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56FE9" w:rsidRDefault="00000000">
      <w:pPr>
        <w:pStyle w:val="Tijeloteksta"/>
        <w:spacing w:before="4"/>
        <w:ind w:left="0"/>
        <w:jc w:val="left"/>
        <w:rPr>
          <w:sz w:val="17"/>
        </w:rPr>
      </w:pPr>
      <w:r>
        <w:rPr>
          <w:noProof/>
        </w:rPr>
        <w:drawing>
          <wp:anchor distT="0" distB="0" distL="0" distR="0" simplePos="0" relativeHeight="475853312" behindDoc="1" locked="0" layoutInCell="1" allowOverlap="1">
            <wp:simplePos x="0" y="0"/>
            <wp:positionH relativeFrom="page">
              <wp:posOffset>13971</wp:posOffset>
            </wp:positionH>
            <wp:positionV relativeFrom="page">
              <wp:posOffset>0</wp:posOffset>
            </wp:positionV>
            <wp:extent cx="7546085" cy="1067371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7546085" cy="10673712"/>
                    </a:xfrm>
                    <a:prstGeom prst="rect">
                      <a:avLst/>
                    </a:prstGeom>
                  </pic:spPr>
                </pic:pic>
              </a:graphicData>
            </a:graphic>
          </wp:anchor>
        </w:drawing>
      </w:r>
    </w:p>
    <w:p w:rsidR="00A56FE9" w:rsidRDefault="00A56FE9">
      <w:pPr>
        <w:rPr>
          <w:sz w:val="17"/>
        </w:rPr>
        <w:sectPr w:rsidR="00A56FE9" w:rsidSect="00AB1E70">
          <w:type w:val="continuous"/>
          <w:pgSz w:w="11910" w:h="16840"/>
          <w:pgMar w:top="1580" w:right="1140" w:bottom="280" w:left="1280" w:header="720" w:footer="720" w:gutter="0"/>
          <w:cols w:space="720"/>
        </w:sectPr>
      </w:pPr>
    </w:p>
    <w:p w:rsidR="00A56FE9" w:rsidRDefault="00000000">
      <w:pPr>
        <w:spacing w:before="69"/>
        <w:ind w:left="136"/>
        <w:rPr>
          <w:sz w:val="32"/>
        </w:rPr>
      </w:pPr>
      <w:r>
        <w:rPr>
          <w:color w:val="DA1F2C"/>
          <w:sz w:val="32"/>
        </w:rPr>
        <w:lastRenderedPageBreak/>
        <w:t>Content</w:t>
      </w:r>
    </w:p>
    <w:sdt>
      <w:sdtPr>
        <w:id w:val="1522747954"/>
        <w:docPartObj>
          <w:docPartGallery w:val="Table of Contents"/>
          <w:docPartUnique/>
        </w:docPartObj>
      </w:sdtPr>
      <w:sdtContent>
        <w:p w:rsidR="00A56FE9" w:rsidRDefault="00000000">
          <w:pPr>
            <w:pStyle w:val="Sadraj1"/>
            <w:numPr>
              <w:ilvl w:val="0"/>
              <w:numId w:val="9"/>
            </w:numPr>
            <w:tabs>
              <w:tab w:val="left" w:pos="616"/>
              <w:tab w:val="left" w:pos="617"/>
              <w:tab w:val="left" w:leader="dot" w:pos="9089"/>
            </w:tabs>
            <w:spacing w:before="125"/>
            <w:ind w:hanging="481"/>
          </w:pPr>
          <w:hyperlink w:anchor="_bookmark0" w:history="1">
            <w:r>
              <w:t>Introduction</w:t>
            </w:r>
            <w:r>
              <w:tab/>
              <w:t>1</w:t>
            </w:r>
          </w:hyperlink>
        </w:p>
        <w:p w:rsidR="00A56FE9" w:rsidRDefault="00000000">
          <w:pPr>
            <w:pStyle w:val="Sadraj1"/>
            <w:numPr>
              <w:ilvl w:val="0"/>
              <w:numId w:val="9"/>
            </w:numPr>
            <w:tabs>
              <w:tab w:val="left" w:pos="616"/>
              <w:tab w:val="left" w:pos="617"/>
              <w:tab w:val="left" w:leader="dot" w:pos="9089"/>
            </w:tabs>
            <w:spacing w:before="117"/>
            <w:ind w:hanging="481"/>
          </w:pPr>
          <w:hyperlink w:anchor="_bookmark1" w:history="1">
            <w:r>
              <w:t>Macroeconomic</w:t>
            </w:r>
            <w:r>
              <w:rPr>
                <w:spacing w:val="-3"/>
              </w:rPr>
              <w:t xml:space="preserve"> </w:t>
            </w:r>
            <w:r>
              <w:t>context</w:t>
            </w:r>
            <w:r>
              <w:rPr>
                <w:spacing w:val="-1"/>
              </w:rPr>
              <w:t xml:space="preserve"> </w:t>
            </w:r>
            <w:r>
              <w:t>and</w:t>
            </w:r>
            <w:r>
              <w:rPr>
                <w:spacing w:val="-1"/>
              </w:rPr>
              <w:t xml:space="preserve"> </w:t>
            </w:r>
            <w:r>
              <w:t>effect</w:t>
            </w:r>
            <w:r>
              <w:rPr>
                <w:spacing w:val="-1"/>
              </w:rPr>
              <w:t xml:space="preserve"> </w:t>
            </w:r>
            <w:r>
              <w:t>of</w:t>
            </w:r>
            <w:r>
              <w:rPr>
                <w:spacing w:val="-1"/>
              </w:rPr>
              <w:t xml:space="preserve"> </w:t>
            </w:r>
            <w:r>
              <w:t>structural</w:t>
            </w:r>
            <w:r>
              <w:rPr>
                <w:spacing w:val="-1"/>
              </w:rPr>
              <w:t xml:space="preserve"> </w:t>
            </w:r>
            <w:r>
              <w:t>reforms</w:t>
            </w:r>
            <w:r>
              <w:tab/>
              <w:t>4</w:t>
            </w:r>
          </w:hyperlink>
        </w:p>
        <w:p w:rsidR="00A56FE9" w:rsidRDefault="00000000">
          <w:pPr>
            <w:pStyle w:val="Sadraj1"/>
            <w:numPr>
              <w:ilvl w:val="0"/>
              <w:numId w:val="9"/>
            </w:numPr>
            <w:tabs>
              <w:tab w:val="left" w:pos="617"/>
              <w:tab w:val="left" w:leader="dot" w:pos="9089"/>
            </w:tabs>
            <w:ind w:hanging="481"/>
          </w:pPr>
          <w:hyperlink w:anchor="_bookmark2" w:history="1">
            <w:r>
              <w:t>Key</w:t>
            </w:r>
            <w:r>
              <w:rPr>
                <w:spacing w:val="-6"/>
              </w:rPr>
              <w:t xml:space="preserve"> </w:t>
            </w:r>
            <w:r>
              <w:t>answers to economic</w:t>
            </w:r>
            <w:r>
              <w:rPr>
                <w:spacing w:val="-1"/>
              </w:rPr>
              <w:t xml:space="preserve"> </w:t>
            </w:r>
            <w:r>
              <w:t>and</w:t>
            </w:r>
            <w:r>
              <w:rPr>
                <w:spacing w:val="-1"/>
              </w:rPr>
              <w:t xml:space="preserve"> </w:t>
            </w:r>
            <w:r>
              <w:t>social trends and challenges</w:t>
            </w:r>
            <w:r>
              <w:tab/>
              <w:t>7</w:t>
            </w:r>
          </w:hyperlink>
        </w:p>
        <w:p w:rsidR="00A56FE9" w:rsidRDefault="00000000">
          <w:pPr>
            <w:pStyle w:val="Sadraj2"/>
            <w:numPr>
              <w:ilvl w:val="1"/>
              <w:numId w:val="9"/>
            </w:numPr>
            <w:tabs>
              <w:tab w:val="left" w:pos="564"/>
              <w:tab w:val="left" w:leader="dot" w:pos="9089"/>
            </w:tabs>
            <w:spacing w:before="125"/>
          </w:pPr>
          <w:hyperlink w:anchor="_bookmark3" w:history="1">
            <w:r>
              <w:rPr>
                <w:color w:val="2C398A"/>
              </w:rPr>
              <w:t>–</w:t>
            </w:r>
            <w:r>
              <w:rPr>
                <w:color w:val="2C398A"/>
                <w:spacing w:val="-2"/>
              </w:rPr>
              <w:t xml:space="preserve"> </w:t>
            </w:r>
            <w:r>
              <w:rPr>
                <w:color w:val="2C398A"/>
              </w:rPr>
              <w:t>ECONOMY</w:t>
            </w:r>
            <w:r>
              <w:rPr>
                <w:color w:val="2C398A"/>
              </w:rPr>
              <w:tab/>
            </w:r>
            <w:r>
              <w:t>7</w:t>
            </w:r>
          </w:hyperlink>
        </w:p>
        <w:p w:rsidR="00A56FE9" w:rsidRDefault="00000000">
          <w:pPr>
            <w:pStyle w:val="Sadraj3"/>
            <w:tabs>
              <w:tab w:val="left" w:leader="dot" w:pos="9089"/>
            </w:tabs>
            <w:spacing w:before="57"/>
          </w:pPr>
          <w:hyperlink w:anchor="_bookmark4" w:history="1">
            <w:r>
              <w:t xml:space="preserve">C1.1.  </w:t>
            </w:r>
            <w:r>
              <w:rPr>
                <w:spacing w:val="4"/>
              </w:rPr>
              <w:t xml:space="preserve"> </w:t>
            </w:r>
            <w:r>
              <w:t>Resilient,</w:t>
            </w:r>
            <w:r>
              <w:rPr>
                <w:spacing w:val="-1"/>
              </w:rPr>
              <w:t xml:space="preserve"> </w:t>
            </w:r>
            <w:r>
              <w:t>Green</w:t>
            </w:r>
            <w:r>
              <w:rPr>
                <w:spacing w:val="-3"/>
              </w:rPr>
              <w:t xml:space="preserve"> </w:t>
            </w:r>
            <w:r>
              <w:t>and</w:t>
            </w:r>
            <w:r>
              <w:rPr>
                <w:spacing w:val="-1"/>
              </w:rPr>
              <w:t xml:space="preserve"> </w:t>
            </w:r>
            <w:r>
              <w:t>Digital Economy</w:t>
            </w:r>
            <w:r>
              <w:tab/>
              <w:t>7</w:t>
            </w:r>
          </w:hyperlink>
        </w:p>
        <w:p w:rsidR="00A56FE9" w:rsidRDefault="00000000">
          <w:pPr>
            <w:pStyle w:val="Sadraj3"/>
            <w:tabs>
              <w:tab w:val="left" w:leader="dot" w:pos="8979"/>
            </w:tabs>
          </w:pPr>
          <w:hyperlink w:anchor="_bookmark5" w:history="1">
            <w:r>
              <w:t xml:space="preserve">C1.2.  </w:t>
            </w:r>
            <w:r>
              <w:rPr>
                <w:spacing w:val="3"/>
              </w:rPr>
              <w:t xml:space="preserve"> </w:t>
            </w:r>
            <w:r>
              <w:t>Energy</w:t>
            </w:r>
            <w:r>
              <w:rPr>
                <w:spacing w:val="-4"/>
              </w:rPr>
              <w:t xml:space="preserve"> </w:t>
            </w:r>
            <w:r>
              <w:t>Transition</w:t>
            </w:r>
            <w:r>
              <w:rPr>
                <w:spacing w:val="-2"/>
              </w:rPr>
              <w:t xml:space="preserve"> </w:t>
            </w:r>
            <w:r>
              <w:t>for</w:t>
            </w:r>
            <w:r>
              <w:rPr>
                <w:spacing w:val="-1"/>
              </w:rPr>
              <w:t xml:space="preserve"> </w:t>
            </w:r>
            <w:r>
              <w:t>a</w:t>
            </w:r>
            <w:r>
              <w:rPr>
                <w:spacing w:val="-1"/>
              </w:rPr>
              <w:t xml:space="preserve"> </w:t>
            </w:r>
            <w:r>
              <w:t>Sustainable</w:t>
            </w:r>
            <w:r>
              <w:rPr>
                <w:spacing w:val="-1"/>
              </w:rPr>
              <w:t xml:space="preserve"> </w:t>
            </w:r>
            <w:r>
              <w:t>Economy</w:t>
            </w:r>
            <w:r>
              <w:tab/>
              <w:t>12</w:t>
            </w:r>
          </w:hyperlink>
        </w:p>
        <w:p w:rsidR="00A56FE9" w:rsidRDefault="00000000">
          <w:pPr>
            <w:pStyle w:val="Sadraj3"/>
            <w:tabs>
              <w:tab w:val="left" w:leader="dot" w:pos="8979"/>
            </w:tabs>
            <w:spacing w:before="62"/>
          </w:pPr>
          <w:hyperlink w:anchor="_bookmark6" w:history="1">
            <w:r>
              <w:t xml:space="preserve">C1.3.  </w:t>
            </w:r>
            <w:r>
              <w:rPr>
                <w:spacing w:val="3"/>
              </w:rPr>
              <w:t xml:space="preserve"> </w:t>
            </w:r>
            <w:r>
              <w:t>Improving</w:t>
            </w:r>
            <w:r>
              <w:rPr>
                <w:spacing w:val="-4"/>
              </w:rPr>
              <w:t xml:space="preserve"> </w:t>
            </w:r>
            <w:r>
              <w:t>Water</w:t>
            </w:r>
            <w:r>
              <w:rPr>
                <w:spacing w:val="-3"/>
              </w:rPr>
              <w:t xml:space="preserve"> </w:t>
            </w:r>
            <w:r>
              <w:t>Management and</w:t>
            </w:r>
            <w:r>
              <w:rPr>
                <w:spacing w:val="-1"/>
              </w:rPr>
              <w:t xml:space="preserve"> </w:t>
            </w:r>
            <w:r>
              <w:t>Waste</w:t>
            </w:r>
            <w:r>
              <w:rPr>
                <w:spacing w:val="-1"/>
              </w:rPr>
              <w:t xml:space="preserve"> </w:t>
            </w:r>
            <w:r>
              <w:t>Management</w:t>
            </w:r>
            <w:r>
              <w:tab/>
              <w:t>15</w:t>
            </w:r>
          </w:hyperlink>
        </w:p>
        <w:p w:rsidR="00A56FE9" w:rsidRDefault="00000000">
          <w:pPr>
            <w:pStyle w:val="Sadraj3"/>
            <w:tabs>
              <w:tab w:val="left" w:leader="dot" w:pos="8979"/>
            </w:tabs>
          </w:pPr>
          <w:hyperlink w:anchor="_bookmark7" w:history="1">
            <w:r>
              <w:t xml:space="preserve">C1.4.  </w:t>
            </w:r>
            <w:r>
              <w:rPr>
                <w:spacing w:val="3"/>
              </w:rPr>
              <w:t xml:space="preserve"> </w:t>
            </w:r>
            <w:r>
              <w:t>Development of</w:t>
            </w:r>
            <w:r>
              <w:rPr>
                <w:spacing w:val="-1"/>
              </w:rPr>
              <w:t xml:space="preserve"> </w:t>
            </w:r>
            <w:r>
              <w:t>a</w:t>
            </w:r>
            <w:r>
              <w:rPr>
                <w:spacing w:val="-1"/>
              </w:rPr>
              <w:t xml:space="preserve"> </w:t>
            </w:r>
            <w:r>
              <w:t>Competitive,</w:t>
            </w:r>
            <w:r>
              <w:rPr>
                <w:spacing w:val="-1"/>
              </w:rPr>
              <w:t xml:space="preserve"> </w:t>
            </w:r>
            <w:r>
              <w:t>Energy</w:t>
            </w:r>
            <w:r>
              <w:rPr>
                <w:spacing w:val="-4"/>
              </w:rPr>
              <w:t xml:space="preserve"> </w:t>
            </w:r>
            <w:r>
              <w:t>Sustainable</w:t>
            </w:r>
            <w:r>
              <w:rPr>
                <w:spacing w:val="-1"/>
              </w:rPr>
              <w:t xml:space="preserve"> </w:t>
            </w:r>
            <w:r>
              <w:t>and</w:t>
            </w:r>
            <w:r>
              <w:rPr>
                <w:spacing w:val="-4"/>
              </w:rPr>
              <w:t xml:space="preserve"> </w:t>
            </w:r>
            <w:r>
              <w:t>Efficient</w:t>
            </w:r>
            <w:r>
              <w:rPr>
                <w:spacing w:val="-3"/>
              </w:rPr>
              <w:t xml:space="preserve"> </w:t>
            </w:r>
            <w:r>
              <w:t>Transport System</w:t>
            </w:r>
            <w:r>
              <w:tab/>
              <w:t>19</w:t>
            </w:r>
          </w:hyperlink>
        </w:p>
        <w:p w:rsidR="00A56FE9" w:rsidRDefault="00000000">
          <w:pPr>
            <w:pStyle w:val="Sadraj3"/>
            <w:tabs>
              <w:tab w:val="left" w:leader="dot" w:pos="8979"/>
            </w:tabs>
          </w:pPr>
          <w:hyperlink w:anchor="_bookmark8" w:history="1">
            <w:r>
              <w:t xml:space="preserve">C1.5.  </w:t>
            </w:r>
            <w:r>
              <w:rPr>
                <w:spacing w:val="4"/>
              </w:rPr>
              <w:t xml:space="preserve"> </w:t>
            </w:r>
            <w:r>
              <w:t>Improving</w:t>
            </w:r>
            <w:r>
              <w:rPr>
                <w:spacing w:val="-4"/>
              </w:rPr>
              <w:t xml:space="preserve"> </w:t>
            </w:r>
            <w:r>
              <w:t>the</w:t>
            </w:r>
            <w:r>
              <w:rPr>
                <w:spacing w:val="-1"/>
              </w:rPr>
              <w:t xml:space="preserve"> </w:t>
            </w:r>
            <w:r>
              <w:t>Use</w:t>
            </w:r>
            <w:r>
              <w:rPr>
                <w:spacing w:val="-1"/>
              </w:rPr>
              <w:t xml:space="preserve"> </w:t>
            </w:r>
            <w:r>
              <w:t>of Natural Resources</w:t>
            </w:r>
            <w:r>
              <w:rPr>
                <w:spacing w:val="-3"/>
              </w:rPr>
              <w:t xml:space="preserve"> </w:t>
            </w:r>
            <w:r>
              <w:t>and</w:t>
            </w:r>
            <w:r>
              <w:rPr>
                <w:spacing w:val="-1"/>
              </w:rPr>
              <w:t xml:space="preserve"> </w:t>
            </w:r>
            <w:r>
              <w:t>Strengthening</w:t>
            </w:r>
            <w:r>
              <w:rPr>
                <w:spacing w:val="-4"/>
              </w:rPr>
              <w:t xml:space="preserve"> </w:t>
            </w:r>
            <w:r>
              <w:t>the</w:t>
            </w:r>
            <w:r>
              <w:rPr>
                <w:spacing w:val="-1"/>
              </w:rPr>
              <w:t xml:space="preserve"> </w:t>
            </w:r>
            <w:r>
              <w:t>Food</w:t>
            </w:r>
            <w:r>
              <w:rPr>
                <w:spacing w:val="-1"/>
              </w:rPr>
              <w:t xml:space="preserve"> </w:t>
            </w:r>
            <w:r>
              <w:t>Supply</w:t>
            </w:r>
            <w:r>
              <w:rPr>
                <w:spacing w:val="-4"/>
              </w:rPr>
              <w:t xml:space="preserve"> </w:t>
            </w:r>
            <w:r>
              <w:t>Chain</w:t>
            </w:r>
            <w:r>
              <w:tab/>
              <w:t>22</w:t>
            </w:r>
          </w:hyperlink>
        </w:p>
        <w:p w:rsidR="00A56FE9" w:rsidRDefault="00000000">
          <w:pPr>
            <w:pStyle w:val="Sadraj3"/>
            <w:tabs>
              <w:tab w:val="left" w:leader="dot" w:pos="8979"/>
            </w:tabs>
            <w:spacing w:before="62"/>
          </w:pPr>
          <w:hyperlink w:anchor="_bookmark9" w:history="1">
            <w:r>
              <w:t xml:space="preserve">C1.6.  </w:t>
            </w:r>
            <w:r>
              <w:rPr>
                <w:spacing w:val="4"/>
              </w:rPr>
              <w:t xml:space="preserve"> </w:t>
            </w:r>
            <w:r>
              <w:t>Developing</w:t>
            </w:r>
            <w:r>
              <w:rPr>
                <w:spacing w:val="-4"/>
              </w:rPr>
              <w:t xml:space="preserve"> </w:t>
            </w:r>
            <w:r>
              <w:t>Sustainable,</w:t>
            </w:r>
            <w:r>
              <w:rPr>
                <w:spacing w:val="-1"/>
              </w:rPr>
              <w:t xml:space="preserve"> </w:t>
            </w:r>
            <w:r>
              <w:t>Innovative</w:t>
            </w:r>
            <w:r>
              <w:rPr>
                <w:spacing w:val="-1"/>
              </w:rPr>
              <w:t xml:space="preserve"> </w:t>
            </w:r>
            <w:r>
              <w:t>and</w:t>
            </w:r>
            <w:r>
              <w:rPr>
                <w:spacing w:val="-1"/>
              </w:rPr>
              <w:t xml:space="preserve"> </w:t>
            </w:r>
            <w:r>
              <w:t>Resilient</w:t>
            </w:r>
            <w:r>
              <w:rPr>
                <w:spacing w:val="-3"/>
              </w:rPr>
              <w:t xml:space="preserve"> </w:t>
            </w:r>
            <w:r>
              <w:t>Tourism</w:t>
            </w:r>
            <w:r>
              <w:tab/>
              <w:t>25</w:t>
            </w:r>
          </w:hyperlink>
        </w:p>
        <w:p w:rsidR="00A56FE9" w:rsidRDefault="00000000">
          <w:pPr>
            <w:pStyle w:val="Sadraj2"/>
            <w:numPr>
              <w:ilvl w:val="1"/>
              <w:numId w:val="9"/>
            </w:numPr>
            <w:tabs>
              <w:tab w:val="left" w:pos="564"/>
              <w:tab w:val="left" w:leader="dot" w:pos="8969"/>
            </w:tabs>
          </w:pPr>
          <w:hyperlink w:anchor="_bookmark10" w:history="1">
            <w:r>
              <w:rPr>
                <w:color w:val="2C398A"/>
              </w:rPr>
              <w:t>–</w:t>
            </w:r>
            <w:r>
              <w:rPr>
                <w:color w:val="2C398A"/>
                <w:spacing w:val="-3"/>
              </w:rPr>
              <w:t xml:space="preserve"> </w:t>
            </w:r>
            <w:r>
              <w:rPr>
                <w:color w:val="2C398A"/>
              </w:rPr>
              <w:t>PUBLIC</w:t>
            </w:r>
            <w:r>
              <w:rPr>
                <w:color w:val="2C398A"/>
                <w:spacing w:val="-1"/>
              </w:rPr>
              <w:t xml:space="preserve"> </w:t>
            </w:r>
            <w:r>
              <w:rPr>
                <w:color w:val="2C398A"/>
              </w:rPr>
              <w:t>ADMINISTRATION,</w:t>
            </w:r>
            <w:r>
              <w:rPr>
                <w:color w:val="2C398A"/>
                <w:spacing w:val="-1"/>
              </w:rPr>
              <w:t xml:space="preserve"> </w:t>
            </w:r>
            <w:r>
              <w:rPr>
                <w:color w:val="2C398A"/>
              </w:rPr>
              <w:t>JUDICIARY AND</w:t>
            </w:r>
            <w:r>
              <w:rPr>
                <w:color w:val="2C398A"/>
                <w:spacing w:val="-2"/>
              </w:rPr>
              <w:t xml:space="preserve"> </w:t>
            </w:r>
            <w:r>
              <w:rPr>
                <w:color w:val="2C398A"/>
              </w:rPr>
              <w:t>STATE</w:t>
            </w:r>
            <w:r>
              <w:rPr>
                <w:color w:val="2C398A"/>
                <w:spacing w:val="-1"/>
              </w:rPr>
              <w:t xml:space="preserve"> </w:t>
            </w:r>
            <w:r>
              <w:rPr>
                <w:color w:val="2C398A"/>
              </w:rPr>
              <w:t>ASSETS</w:t>
            </w:r>
            <w:r>
              <w:rPr>
                <w:color w:val="2C398A"/>
              </w:rPr>
              <w:tab/>
            </w:r>
            <w:r>
              <w:t>28</w:t>
            </w:r>
          </w:hyperlink>
        </w:p>
        <w:p w:rsidR="00A56FE9" w:rsidRDefault="00000000">
          <w:pPr>
            <w:pStyle w:val="Sadraj3"/>
            <w:tabs>
              <w:tab w:val="left" w:leader="dot" w:pos="8979"/>
            </w:tabs>
            <w:spacing w:before="55"/>
          </w:pPr>
          <w:hyperlink w:anchor="_bookmark11" w:history="1">
            <w:r>
              <w:t xml:space="preserve">C2.1.  </w:t>
            </w:r>
            <w:r>
              <w:rPr>
                <w:spacing w:val="3"/>
              </w:rPr>
              <w:t xml:space="preserve"> </w:t>
            </w:r>
            <w:r>
              <w:t>Strengthening</w:t>
            </w:r>
            <w:r>
              <w:rPr>
                <w:spacing w:val="-4"/>
              </w:rPr>
              <w:t xml:space="preserve"> </w:t>
            </w:r>
            <w:r>
              <w:t>Capacity</w:t>
            </w:r>
            <w:r>
              <w:rPr>
                <w:spacing w:val="-4"/>
              </w:rPr>
              <w:t xml:space="preserve"> </w:t>
            </w:r>
            <w:r>
              <w:t>To</w:t>
            </w:r>
            <w:r>
              <w:rPr>
                <w:spacing w:val="-4"/>
              </w:rPr>
              <w:t xml:space="preserve"> </w:t>
            </w:r>
            <w:r>
              <w:t>Design</w:t>
            </w:r>
            <w:r>
              <w:rPr>
                <w:spacing w:val="-2"/>
              </w:rPr>
              <w:t xml:space="preserve"> </w:t>
            </w:r>
            <w:r>
              <w:t>And</w:t>
            </w:r>
            <w:r>
              <w:rPr>
                <w:spacing w:val="-1"/>
              </w:rPr>
              <w:t xml:space="preserve"> </w:t>
            </w:r>
            <w:r>
              <w:t>Implement Public</w:t>
            </w:r>
            <w:r>
              <w:rPr>
                <w:spacing w:val="-1"/>
              </w:rPr>
              <w:t xml:space="preserve"> </w:t>
            </w:r>
            <w:r>
              <w:t>Policies</w:t>
            </w:r>
            <w:r>
              <w:rPr>
                <w:spacing w:val="-1"/>
              </w:rPr>
              <w:t xml:space="preserve"> </w:t>
            </w:r>
            <w:r>
              <w:t>And</w:t>
            </w:r>
            <w:r>
              <w:rPr>
                <w:spacing w:val="-2"/>
              </w:rPr>
              <w:t xml:space="preserve"> </w:t>
            </w:r>
            <w:r>
              <w:t>Projects</w:t>
            </w:r>
            <w:r>
              <w:tab/>
              <w:t>28</w:t>
            </w:r>
          </w:hyperlink>
        </w:p>
        <w:p w:rsidR="00A56FE9" w:rsidRDefault="00000000">
          <w:pPr>
            <w:pStyle w:val="Sadraj3"/>
            <w:tabs>
              <w:tab w:val="left" w:leader="dot" w:pos="8979"/>
            </w:tabs>
            <w:spacing w:before="61"/>
          </w:pPr>
          <w:hyperlink w:anchor="_bookmark12" w:history="1">
            <w:r>
              <w:t xml:space="preserve">C2.2.  </w:t>
            </w:r>
            <w:r>
              <w:rPr>
                <w:spacing w:val="3"/>
              </w:rPr>
              <w:t xml:space="preserve"> </w:t>
            </w:r>
            <w:r>
              <w:t>Further Improving</w:t>
            </w:r>
            <w:r>
              <w:rPr>
                <w:spacing w:val="-4"/>
              </w:rPr>
              <w:t xml:space="preserve"> </w:t>
            </w:r>
            <w:r>
              <w:t>the</w:t>
            </w:r>
            <w:r>
              <w:rPr>
                <w:spacing w:val="-1"/>
              </w:rPr>
              <w:t xml:space="preserve"> </w:t>
            </w:r>
            <w:r>
              <w:t>Efficiency</w:t>
            </w:r>
            <w:r>
              <w:rPr>
                <w:spacing w:val="-4"/>
              </w:rPr>
              <w:t xml:space="preserve"> </w:t>
            </w:r>
            <w:r>
              <w:t>of</w:t>
            </w:r>
            <w:r>
              <w:rPr>
                <w:spacing w:val="-2"/>
              </w:rPr>
              <w:t xml:space="preserve"> </w:t>
            </w:r>
            <w:r>
              <w:t>Public</w:t>
            </w:r>
            <w:r>
              <w:rPr>
                <w:spacing w:val="-1"/>
              </w:rPr>
              <w:t xml:space="preserve"> </w:t>
            </w:r>
            <w:r>
              <w:t>Administration</w:t>
            </w:r>
            <w:r>
              <w:tab/>
              <w:t>33</w:t>
            </w:r>
          </w:hyperlink>
        </w:p>
        <w:p w:rsidR="00A56FE9" w:rsidRDefault="00000000">
          <w:pPr>
            <w:pStyle w:val="Sadraj3"/>
            <w:tabs>
              <w:tab w:val="left" w:leader="dot" w:pos="8979"/>
            </w:tabs>
          </w:pPr>
          <w:hyperlink w:anchor="_bookmark13" w:history="1">
            <w:r>
              <w:t xml:space="preserve">C2.3.  </w:t>
            </w:r>
            <w:r>
              <w:rPr>
                <w:spacing w:val="2"/>
              </w:rPr>
              <w:t xml:space="preserve"> </w:t>
            </w:r>
            <w:r>
              <w:t>Digital</w:t>
            </w:r>
            <w:r>
              <w:rPr>
                <w:spacing w:val="-3"/>
              </w:rPr>
              <w:t xml:space="preserve"> </w:t>
            </w:r>
            <w:r>
              <w:t>Transition</w:t>
            </w:r>
            <w:r>
              <w:rPr>
                <w:spacing w:val="-1"/>
              </w:rPr>
              <w:t xml:space="preserve"> </w:t>
            </w:r>
            <w:r>
              <w:t>of</w:t>
            </w:r>
            <w:r>
              <w:rPr>
                <w:spacing w:val="-1"/>
              </w:rPr>
              <w:t xml:space="preserve"> </w:t>
            </w:r>
            <w:r>
              <w:t>Society</w:t>
            </w:r>
            <w:r>
              <w:rPr>
                <w:spacing w:val="-5"/>
              </w:rPr>
              <w:t xml:space="preserve"> </w:t>
            </w:r>
            <w:r>
              <w:t>and</w:t>
            </w:r>
            <w:r>
              <w:rPr>
                <w:spacing w:val="-1"/>
              </w:rPr>
              <w:t xml:space="preserve"> </w:t>
            </w:r>
            <w:r>
              <w:t>Public</w:t>
            </w:r>
            <w:r>
              <w:rPr>
                <w:spacing w:val="-1"/>
              </w:rPr>
              <w:t xml:space="preserve"> </w:t>
            </w:r>
            <w:r>
              <w:t>Administration</w:t>
            </w:r>
            <w:r>
              <w:tab/>
              <w:t>37</w:t>
            </w:r>
          </w:hyperlink>
        </w:p>
        <w:p w:rsidR="00A56FE9" w:rsidRDefault="00000000">
          <w:pPr>
            <w:pStyle w:val="Sadraj3"/>
            <w:tabs>
              <w:tab w:val="left" w:leader="dot" w:pos="8979"/>
            </w:tabs>
          </w:pPr>
          <w:hyperlink w:anchor="_bookmark14" w:history="1">
            <w:r>
              <w:t xml:space="preserve">C2.4.  </w:t>
            </w:r>
            <w:r>
              <w:rPr>
                <w:spacing w:val="4"/>
              </w:rPr>
              <w:t xml:space="preserve"> </w:t>
            </w:r>
            <w:r>
              <w:t>Improving</w:t>
            </w:r>
            <w:r>
              <w:rPr>
                <w:spacing w:val="-2"/>
              </w:rPr>
              <w:t xml:space="preserve"> </w:t>
            </w:r>
            <w:r>
              <w:t>management of</w:t>
            </w:r>
            <w:r>
              <w:rPr>
                <w:spacing w:val="-3"/>
              </w:rPr>
              <w:t xml:space="preserve"> </w:t>
            </w:r>
            <w:r>
              <w:t>state</w:t>
            </w:r>
            <w:r>
              <w:rPr>
                <w:spacing w:val="-1"/>
              </w:rPr>
              <w:t xml:space="preserve"> </w:t>
            </w:r>
            <w:r>
              <w:t>assets</w:t>
            </w:r>
            <w:r>
              <w:tab/>
              <w:t>42</w:t>
            </w:r>
          </w:hyperlink>
        </w:p>
        <w:p w:rsidR="00A56FE9" w:rsidRDefault="00000000">
          <w:pPr>
            <w:pStyle w:val="Sadraj3"/>
            <w:tabs>
              <w:tab w:val="left" w:leader="dot" w:pos="8979"/>
            </w:tabs>
            <w:spacing w:before="62"/>
          </w:pPr>
          <w:hyperlink w:anchor="_bookmark15" w:history="1">
            <w:r>
              <w:t xml:space="preserve">C2.5.  </w:t>
            </w:r>
            <w:r>
              <w:rPr>
                <w:spacing w:val="4"/>
              </w:rPr>
              <w:t xml:space="preserve"> </w:t>
            </w:r>
            <w:r>
              <w:t>Modern</w:t>
            </w:r>
            <w:r>
              <w:rPr>
                <w:spacing w:val="-4"/>
              </w:rPr>
              <w:t xml:space="preserve"> </w:t>
            </w:r>
            <w:r>
              <w:t>Justice</w:t>
            </w:r>
            <w:r>
              <w:rPr>
                <w:spacing w:val="-1"/>
              </w:rPr>
              <w:t xml:space="preserve"> </w:t>
            </w:r>
            <w:r>
              <w:t>Fit</w:t>
            </w:r>
            <w:r>
              <w:rPr>
                <w:spacing w:val="-3"/>
              </w:rPr>
              <w:t xml:space="preserve"> </w:t>
            </w:r>
            <w:r>
              <w:t>for</w:t>
            </w:r>
            <w:r>
              <w:rPr>
                <w:spacing w:val="-1"/>
              </w:rPr>
              <w:t xml:space="preserve"> </w:t>
            </w:r>
            <w:r>
              <w:t>Future</w:t>
            </w:r>
            <w:r>
              <w:rPr>
                <w:spacing w:val="-1"/>
              </w:rPr>
              <w:t xml:space="preserve"> </w:t>
            </w:r>
            <w:r>
              <w:t>Challenges</w:t>
            </w:r>
            <w:r>
              <w:tab/>
              <w:t>43</w:t>
            </w:r>
          </w:hyperlink>
        </w:p>
        <w:p w:rsidR="00A56FE9" w:rsidRDefault="00000000">
          <w:pPr>
            <w:pStyle w:val="Sadraj3"/>
            <w:tabs>
              <w:tab w:val="left" w:leader="dot" w:pos="8979"/>
            </w:tabs>
          </w:pPr>
          <w:hyperlink w:anchor="_bookmark16" w:history="1">
            <w:r>
              <w:t xml:space="preserve">C2.6.  </w:t>
            </w:r>
            <w:r>
              <w:rPr>
                <w:spacing w:val="6"/>
              </w:rPr>
              <w:t xml:space="preserve"> </w:t>
            </w:r>
            <w:r>
              <w:t>Preventing</w:t>
            </w:r>
            <w:r>
              <w:rPr>
                <w:spacing w:val="-3"/>
              </w:rPr>
              <w:t xml:space="preserve"> </w:t>
            </w:r>
            <w:r>
              <w:t>and Combating</w:t>
            </w:r>
            <w:r>
              <w:rPr>
                <w:spacing w:val="-4"/>
              </w:rPr>
              <w:t xml:space="preserve"> </w:t>
            </w:r>
            <w:r>
              <w:t>Corruption</w:t>
            </w:r>
            <w:r>
              <w:tab/>
              <w:t>48</w:t>
            </w:r>
          </w:hyperlink>
        </w:p>
        <w:p w:rsidR="00A56FE9" w:rsidRDefault="00000000">
          <w:pPr>
            <w:pStyle w:val="Sadraj3"/>
            <w:tabs>
              <w:tab w:val="left" w:leader="dot" w:pos="8979"/>
            </w:tabs>
            <w:spacing w:before="61"/>
          </w:pPr>
          <w:hyperlink w:anchor="_bookmark17" w:history="1">
            <w:r>
              <w:t xml:space="preserve">C2.7.  </w:t>
            </w:r>
            <w:r>
              <w:rPr>
                <w:spacing w:val="6"/>
              </w:rPr>
              <w:t xml:space="preserve"> </w:t>
            </w:r>
            <w:r>
              <w:t>Strengthening</w:t>
            </w:r>
            <w:r>
              <w:rPr>
                <w:spacing w:val="-3"/>
              </w:rPr>
              <w:t xml:space="preserve"> </w:t>
            </w:r>
            <w:r>
              <w:t>of the</w:t>
            </w:r>
            <w:r>
              <w:rPr>
                <w:spacing w:val="-3"/>
              </w:rPr>
              <w:t xml:space="preserve"> </w:t>
            </w:r>
            <w:r>
              <w:t>Fiscal</w:t>
            </w:r>
            <w:r>
              <w:rPr>
                <w:spacing w:val="-2"/>
              </w:rPr>
              <w:t xml:space="preserve"> </w:t>
            </w:r>
            <w:r>
              <w:t>Framework</w:t>
            </w:r>
            <w:r>
              <w:tab/>
              <w:t>50</w:t>
            </w:r>
          </w:hyperlink>
        </w:p>
        <w:p w:rsidR="00A56FE9" w:rsidRDefault="00000000">
          <w:pPr>
            <w:pStyle w:val="Sadraj3"/>
            <w:tabs>
              <w:tab w:val="left" w:leader="dot" w:pos="8979"/>
            </w:tabs>
          </w:pPr>
          <w:hyperlink w:anchor="_bookmark18" w:history="1">
            <w:r>
              <w:t xml:space="preserve">C2.8.  </w:t>
            </w:r>
            <w:r>
              <w:rPr>
                <w:spacing w:val="7"/>
              </w:rPr>
              <w:t xml:space="preserve"> </w:t>
            </w:r>
            <w:r>
              <w:t>Strengthening</w:t>
            </w:r>
            <w:r>
              <w:rPr>
                <w:spacing w:val="-3"/>
              </w:rPr>
              <w:t xml:space="preserve"> </w:t>
            </w:r>
            <w:r>
              <w:t>the Anti-Money</w:t>
            </w:r>
            <w:r>
              <w:rPr>
                <w:spacing w:val="-3"/>
              </w:rPr>
              <w:t xml:space="preserve"> </w:t>
            </w:r>
            <w:r>
              <w:t>Laundering</w:t>
            </w:r>
            <w:r>
              <w:rPr>
                <w:spacing w:val="-2"/>
              </w:rPr>
              <w:t xml:space="preserve"> </w:t>
            </w:r>
            <w:r>
              <w:t>Framework</w:t>
            </w:r>
            <w:r>
              <w:tab/>
              <w:t>52</w:t>
            </w:r>
          </w:hyperlink>
        </w:p>
        <w:p w:rsidR="00A56FE9" w:rsidRDefault="00000000">
          <w:pPr>
            <w:pStyle w:val="Sadraj3"/>
            <w:tabs>
              <w:tab w:val="left" w:leader="dot" w:pos="8979"/>
            </w:tabs>
            <w:spacing w:before="60"/>
          </w:pPr>
          <w:hyperlink w:anchor="_bookmark19" w:history="1">
            <w:r>
              <w:t xml:space="preserve">C2.9.  </w:t>
            </w:r>
            <w:r>
              <w:rPr>
                <w:spacing w:val="4"/>
              </w:rPr>
              <w:t xml:space="preserve"> </w:t>
            </w:r>
            <w:r>
              <w:t>Strengthening</w:t>
            </w:r>
            <w:r>
              <w:rPr>
                <w:spacing w:val="-3"/>
              </w:rPr>
              <w:t xml:space="preserve"> </w:t>
            </w:r>
            <w:r>
              <w:t>the</w:t>
            </w:r>
            <w:r>
              <w:rPr>
                <w:spacing w:val="-1"/>
              </w:rPr>
              <w:t xml:space="preserve"> </w:t>
            </w:r>
            <w:r>
              <w:t>Public Procurement Framework</w:t>
            </w:r>
            <w:r>
              <w:tab/>
              <w:t>52</w:t>
            </w:r>
          </w:hyperlink>
        </w:p>
        <w:p w:rsidR="00A56FE9" w:rsidRDefault="00000000">
          <w:pPr>
            <w:pStyle w:val="Sadraj2"/>
            <w:numPr>
              <w:ilvl w:val="1"/>
              <w:numId w:val="9"/>
            </w:numPr>
            <w:tabs>
              <w:tab w:val="left" w:pos="564"/>
              <w:tab w:val="left" w:leader="dot" w:pos="8969"/>
            </w:tabs>
            <w:spacing w:before="126"/>
          </w:pPr>
          <w:hyperlink w:anchor="_bookmark20" w:history="1">
            <w:r>
              <w:rPr>
                <w:color w:val="2C398A"/>
              </w:rPr>
              <w:t>–</w:t>
            </w:r>
            <w:r>
              <w:rPr>
                <w:color w:val="2C398A"/>
                <w:spacing w:val="-2"/>
              </w:rPr>
              <w:t xml:space="preserve"> </w:t>
            </w:r>
            <w:r>
              <w:rPr>
                <w:color w:val="2C398A"/>
              </w:rPr>
              <w:t>EDUCATION,</w:t>
            </w:r>
            <w:r>
              <w:rPr>
                <w:color w:val="2C398A"/>
                <w:spacing w:val="-1"/>
              </w:rPr>
              <w:t xml:space="preserve"> </w:t>
            </w:r>
            <w:r>
              <w:rPr>
                <w:color w:val="2C398A"/>
              </w:rPr>
              <w:t>SCIENCE</w:t>
            </w:r>
            <w:r>
              <w:rPr>
                <w:color w:val="2C398A"/>
                <w:spacing w:val="-1"/>
              </w:rPr>
              <w:t xml:space="preserve"> </w:t>
            </w:r>
            <w:r>
              <w:rPr>
                <w:color w:val="2C398A"/>
              </w:rPr>
              <w:t>AND</w:t>
            </w:r>
            <w:r>
              <w:rPr>
                <w:color w:val="2C398A"/>
                <w:spacing w:val="-1"/>
              </w:rPr>
              <w:t xml:space="preserve"> </w:t>
            </w:r>
            <w:r>
              <w:rPr>
                <w:color w:val="2C398A"/>
              </w:rPr>
              <w:t>RESEARCH</w:t>
            </w:r>
            <w:r>
              <w:rPr>
                <w:color w:val="2C398A"/>
              </w:rPr>
              <w:tab/>
            </w:r>
            <w:r>
              <w:t>55</w:t>
            </w:r>
          </w:hyperlink>
        </w:p>
        <w:p w:rsidR="00A56FE9" w:rsidRDefault="00000000">
          <w:pPr>
            <w:pStyle w:val="Sadraj3"/>
            <w:tabs>
              <w:tab w:val="left" w:leader="dot" w:pos="8979"/>
            </w:tabs>
            <w:spacing w:before="55"/>
          </w:pPr>
          <w:hyperlink w:anchor="_bookmark21" w:history="1">
            <w:r>
              <w:t xml:space="preserve">C3.1.  </w:t>
            </w:r>
            <w:r>
              <w:rPr>
                <w:spacing w:val="6"/>
              </w:rPr>
              <w:t xml:space="preserve"> </w:t>
            </w:r>
            <w:r>
              <w:t>Reform</w:t>
            </w:r>
            <w:r>
              <w:rPr>
                <w:spacing w:val="-5"/>
              </w:rPr>
              <w:t xml:space="preserve"> </w:t>
            </w:r>
            <w:r>
              <w:t>of the Education System</w:t>
            </w:r>
            <w:r>
              <w:tab/>
              <w:t>55</w:t>
            </w:r>
          </w:hyperlink>
        </w:p>
        <w:p w:rsidR="00A56FE9" w:rsidRDefault="00000000">
          <w:pPr>
            <w:pStyle w:val="Sadraj3"/>
            <w:tabs>
              <w:tab w:val="left" w:leader="dot" w:pos="8979"/>
            </w:tabs>
          </w:pPr>
          <w:hyperlink w:anchor="_bookmark22" w:history="1">
            <w:r>
              <w:t xml:space="preserve">C3.2.  </w:t>
            </w:r>
            <w:r>
              <w:rPr>
                <w:spacing w:val="5"/>
              </w:rPr>
              <w:t xml:space="preserve"> </w:t>
            </w:r>
            <w:r>
              <w:t>Boosting</w:t>
            </w:r>
            <w:r>
              <w:rPr>
                <w:spacing w:val="-3"/>
              </w:rPr>
              <w:t xml:space="preserve"> </w:t>
            </w:r>
            <w:r>
              <w:t>Research</w:t>
            </w:r>
            <w:r>
              <w:rPr>
                <w:spacing w:val="-1"/>
              </w:rPr>
              <w:t xml:space="preserve"> </w:t>
            </w:r>
            <w:r>
              <w:t>and Innovation</w:t>
            </w:r>
            <w:r>
              <w:rPr>
                <w:spacing w:val="-1"/>
              </w:rPr>
              <w:t xml:space="preserve"> </w:t>
            </w:r>
            <w:r>
              <w:t>Capacity</w:t>
            </w:r>
            <w:r>
              <w:tab/>
              <w:t>60</w:t>
            </w:r>
          </w:hyperlink>
        </w:p>
        <w:p w:rsidR="00A56FE9" w:rsidRDefault="00000000">
          <w:pPr>
            <w:pStyle w:val="Sadraj2"/>
            <w:numPr>
              <w:ilvl w:val="1"/>
              <w:numId w:val="9"/>
            </w:numPr>
            <w:tabs>
              <w:tab w:val="left" w:pos="564"/>
              <w:tab w:val="left" w:leader="dot" w:pos="8969"/>
            </w:tabs>
            <w:spacing w:before="127"/>
          </w:pPr>
          <w:hyperlink w:anchor="_bookmark23" w:history="1">
            <w:r>
              <w:rPr>
                <w:color w:val="2C398A"/>
              </w:rPr>
              <w:t>–</w:t>
            </w:r>
            <w:r>
              <w:rPr>
                <w:color w:val="2C398A"/>
                <w:spacing w:val="-3"/>
              </w:rPr>
              <w:t xml:space="preserve"> </w:t>
            </w:r>
            <w:r>
              <w:rPr>
                <w:color w:val="2C398A"/>
              </w:rPr>
              <w:t>LABOUR</w:t>
            </w:r>
            <w:r>
              <w:rPr>
                <w:color w:val="2C398A"/>
                <w:spacing w:val="-2"/>
              </w:rPr>
              <w:t xml:space="preserve"> </w:t>
            </w:r>
            <w:r>
              <w:rPr>
                <w:color w:val="2C398A"/>
              </w:rPr>
              <w:t>MARKET</w:t>
            </w:r>
            <w:r>
              <w:rPr>
                <w:color w:val="2C398A"/>
                <w:spacing w:val="1"/>
              </w:rPr>
              <w:t xml:space="preserve"> </w:t>
            </w:r>
            <w:r>
              <w:rPr>
                <w:color w:val="2C398A"/>
              </w:rPr>
              <w:t>AND</w:t>
            </w:r>
            <w:r>
              <w:rPr>
                <w:color w:val="2C398A"/>
                <w:spacing w:val="-1"/>
              </w:rPr>
              <w:t xml:space="preserve"> </w:t>
            </w:r>
            <w:r>
              <w:rPr>
                <w:color w:val="2C398A"/>
              </w:rPr>
              <w:t>SOCIAL</w:t>
            </w:r>
            <w:r>
              <w:rPr>
                <w:color w:val="2C398A"/>
                <w:spacing w:val="-1"/>
              </w:rPr>
              <w:t xml:space="preserve"> </w:t>
            </w:r>
            <w:r>
              <w:rPr>
                <w:color w:val="2C398A"/>
              </w:rPr>
              <w:t>PROTECTION</w:t>
            </w:r>
            <w:r>
              <w:rPr>
                <w:color w:val="2C398A"/>
              </w:rPr>
              <w:tab/>
            </w:r>
            <w:r>
              <w:t>65</w:t>
            </w:r>
          </w:hyperlink>
        </w:p>
        <w:p w:rsidR="00A56FE9" w:rsidRDefault="00000000">
          <w:pPr>
            <w:pStyle w:val="Sadraj3"/>
            <w:tabs>
              <w:tab w:val="left" w:leader="dot" w:pos="8979"/>
            </w:tabs>
            <w:spacing w:before="54"/>
            <w:ind w:right="281"/>
          </w:pPr>
          <w:hyperlink w:anchor="_bookmark24" w:history="1">
            <w:r>
              <w:t>C4.1.</w:t>
            </w:r>
            <w:r>
              <w:rPr>
                <w:spacing w:val="1"/>
              </w:rPr>
              <w:t xml:space="preserve"> </w:t>
            </w:r>
            <w:r>
              <w:t>Improving Employment Measures and the Legal Framework for a Modern Labour Market</w:t>
            </w:r>
          </w:hyperlink>
          <w:r>
            <w:rPr>
              <w:spacing w:val="-52"/>
            </w:rPr>
            <w:t xml:space="preserve"> </w:t>
          </w:r>
          <w:hyperlink w:anchor="_bookmark24" w:history="1">
            <w:r>
              <w:t>and</w:t>
            </w:r>
            <w:r>
              <w:rPr>
                <w:spacing w:val="-1"/>
              </w:rPr>
              <w:t xml:space="preserve"> </w:t>
            </w:r>
            <w:r>
              <w:t>the Economy</w:t>
            </w:r>
            <w:r>
              <w:rPr>
                <w:spacing w:val="-4"/>
              </w:rPr>
              <w:t xml:space="preserve"> </w:t>
            </w:r>
            <w:r>
              <w:t>of the</w:t>
            </w:r>
            <w:r>
              <w:rPr>
                <w:spacing w:val="-1"/>
              </w:rPr>
              <w:t xml:space="preserve"> </w:t>
            </w:r>
            <w:r>
              <w:t>Future</w:t>
            </w:r>
            <w:r>
              <w:tab/>
              <w:t>65</w:t>
            </w:r>
          </w:hyperlink>
        </w:p>
        <w:p w:rsidR="00A56FE9" w:rsidRDefault="00000000">
          <w:pPr>
            <w:pStyle w:val="Sadraj3"/>
            <w:tabs>
              <w:tab w:val="left" w:leader="dot" w:pos="8979"/>
            </w:tabs>
          </w:pPr>
          <w:hyperlink w:anchor="_bookmark25" w:history="1">
            <w:r>
              <w:t xml:space="preserve">C4.2.  </w:t>
            </w:r>
            <w:r>
              <w:rPr>
                <w:spacing w:val="5"/>
              </w:rPr>
              <w:t xml:space="preserve"> </w:t>
            </w:r>
            <w:r>
              <w:t>Improving</w:t>
            </w:r>
            <w:r>
              <w:rPr>
                <w:spacing w:val="-3"/>
              </w:rPr>
              <w:t xml:space="preserve"> </w:t>
            </w:r>
            <w:r>
              <w:t>the</w:t>
            </w:r>
            <w:r>
              <w:rPr>
                <w:spacing w:val="-1"/>
              </w:rPr>
              <w:t xml:space="preserve"> </w:t>
            </w:r>
            <w:r>
              <w:t>Pension System</w:t>
            </w:r>
            <w:r>
              <w:rPr>
                <w:spacing w:val="-5"/>
              </w:rPr>
              <w:t xml:space="preserve"> </w:t>
            </w:r>
            <w:r>
              <w:t>Through Increased</w:t>
            </w:r>
            <w:r>
              <w:rPr>
                <w:spacing w:val="-1"/>
              </w:rPr>
              <w:t xml:space="preserve"> </w:t>
            </w:r>
            <w:r>
              <w:t>Pension Adequacy</w:t>
            </w:r>
            <w:r>
              <w:tab/>
              <w:t>68</w:t>
            </w:r>
          </w:hyperlink>
        </w:p>
        <w:p w:rsidR="00A56FE9" w:rsidRDefault="00000000">
          <w:pPr>
            <w:pStyle w:val="Sadraj3"/>
            <w:tabs>
              <w:tab w:val="left" w:leader="dot" w:pos="8979"/>
            </w:tabs>
            <w:spacing w:before="61"/>
          </w:pPr>
          <w:hyperlink w:anchor="_bookmark26" w:history="1">
            <w:r>
              <w:t xml:space="preserve">C4.3.  </w:t>
            </w:r>
            <w:r>
              <w:rPr>
                <w:spacing w:val="4"/>
              </w:rPr>
              <w:t xml:space="preserve"> </w:t>
            </w:r>
            <w:r>
              <w:t>Improving</w:t>
            </w:r>
            <w:r>
              <w:rPr>
                <w:spacing w:val="-4"/>
              </w:rPr>
              <w:t xml:space="preserve"> </w:t>
            </w:r>
            <w:r>
              <w:t>the</w:t>
            </w:r>
            <w:r>
              <w:rPr>
                <w:spacing w:val="-1"/>
              </w:rPr>
              <w:t xml:space="preserve"> </w:t>
            </w:r>
            <w:r>
              <w:t>social</w:t>
            </w:r>
            <w:r>
              <w:rPr>
                <w:spacing w:val="1"/>
              </w:rPr>
              <w:t xml:space="preserve"> </w:t>
            </w:r>
            <w:r>
              <w:t>welfare</w:t>
            </w:r>
            <w:r>
              <w:rPr>
                <w:spacing w:val="-1"/>
              </w:rPr>
              <w:t xml:space="preserve"> </w:t>
            </w:r>
            <w:r>
              <w:t>system</w:t>
            </w:r>
            <w:r>
              <w:tab/>
              <w:t>69</w:t>
            </w:r>
          </w:hyperlink>
        </w:p>
        <w:p w:rsidR="00A56FE9" w:rsidRDefault="00000000">
          <w:pPr>
            <w:pStyle w:val="Sadraj2"/>
            <w:numPr>
              <w:ilvl w:val="1"/>
              <w:numId w:val="9"/>
            </w:numPr>
            <w:tabs>
              <w:tab w:val="left" w:pos="564"/>
              <w:tab w:val="left" w:leader="dot" w:pos="8969"/>
            </w:tabs>
          </w:pPr>
          <w:hyperlink w:anchor="_bookmark27" w:history="1">
            <w:r>
              <w:rPr>
                <w:color w:val="2C398A"/>
              </w:rPr>
              <w:t>–</w:t>
            </w:r>
            <w:r>
              <w:rPr>
                <w:color w:val="2C398A"/>
                <w:spacing w:val="-2"/>
              </w:rPr>
              <w:t xml:space="preserve"> </w:t>
            </w:r>
            <w:r>
              <w:rPr>
                <w:color w:val="2C398A"/>
              </w:rPr>
              <w:t>HEALTH CARE</w:t>
            </w:r>
            <w:r>
              <w:rPr>
                <w:color w:val="2C398A"/>
              </w:rPr>
              <w:tab/>
            </w:r>
            <w:r>
              <w:t>79</w:t>
            </w:r>
          </w:hyperlink>
        </w:p>
        <w:p w:rsidR="00A56FE9" w:rsidRDefault="00000000">
          <w:pPr>
            <w:pStyle w:val="Sadraj3"/>
            <w:tabs>
              <w:tab w:val="left" w:leader="dot" w:pos="8979"/>
            </w:tabs>
            <w:spacing w:before="56"/>
          </w:pPr>
          <w:hyperlink w:anchor="_bookmark28" w:history="1">
            <w:r>
              <w:t xml:space="preserve">C5.1.  </w:t>
            </w:r>
            <w:r>
              <w:rPr>
                <w:spacing w:val="4"/>
              </w:rPr>
              <w:t xml:space="preserve"> </w:t>
            </w:r>
            <w:r>
              <w:t>Strengthening</w:t>
            </w:r>
            <w:r>
              <w:rPr>
                <w:spacing w:val="-3"/>
              </w:rPr>
              <w:t xml:space="preserve"> </w:t>
            </w:r>
            <w:r>
              <w:t>the</w:t>
            </w:r>
            <w:r>
              <w:rPr>
                <w:spacing w:val="-1"/>
              </w:rPr>
              <w:t xml:space="preserve"> </w:t>
            </w:r>
            <w:r>
              <w:t>Resilience</w:t>
            </w:r>
            <w:r>
              <w:rPr>
                <w:spacing w:val="-1"/>
              </w:rPr>
              <w:t xml:space="preserve"> </w:t>
            </w:r>
            <w:r>
              <w:t>of</w:t>
            </w:r>
            <w:r>
              <w:rPr>
                <w:spacing w:val="-3"/>
              </w:rPr>
              <w:t xml:space="preserve"> </w:t>
            </w:r>
            <w:r>
              <w:t>the Health</w:t>
            </w:r>
            <w:r>
              <w:rPr>
                <w:spacing w:val="-1"/>
              </w:rPr>
              <w:t xml:space="preserve"> </w:t>
            </w:r>
            <w:r>
              <w:t>Care</w:t>
            </w:r>
            <w:r>
              <w:rPr>
                <w:spacing w:val="-1"/>
              </w:rPr>
              <w:t xml:space="preserve"> </w:t>
            </w:r>
            <w:r>
              <w:t>System</w:t>
            </w:r>
            <w:r>
              <w:tab/>
              <w:t>79</w:t>
            </w:r>
          </w:hyperlink>
        </w:p>
        <w:p w:rsidR="00A56FE9" w:rsidRDefault="00000000">
          <w:pPr>
            <w:pStyle w:val="Sadraj2"/>
            <w:numPr>
              <w:ilvl w:val="1"/>
              <w:numId w:val="9"/>
            </w:numPr>
            <w:tabs>
              <w:tab w:val="left" w:pos="564"/>
              <w:tab w:val="left" w:leader="dot" w:pos="8969"/>
            </w:tabs>
            <w:spacing w:before="126"/>
          </w:pPr>
          <w:hyperlink w:anchor="_bookmark29" w:history="1">
            <w:r>
              <w:rPr>
                <w:color w:val="2C398A"/>
              </w:rPr>
              <w:t>–</w:t>
            </w:r>
            <w:r>
              <w:rPr>
                <w:color w:val="2C398A"/>
                <w:spacing w:val="-2"/>
              </w:rPr>
              <w:t xml:space="preserve"> </w:t>
            </w:r>
            <w:r>
              <w:rPr>
                <w:color w:val="2C398A"/>
              </w:rPr>
              <w:t>RENOVATION OF</w:t>
            </w:r>
            <w:r>
              <w:rPr>
                <w:color w:val="2C398A"/>
                <w:spacing w:val="-4"/>
              </w:rPr>
              <w:t xml:space="preserve"> </w:t>
            </w:r>
            <w:r>
              <w:rPr>
                <w:color w:val="2C398A"/>
              </w:rPr>
              <w:t>BUILDINGS</w:t>
            </w:r>
            <w:r>
              <w:rPr>
                <w:color w:val="2C398A"/>
              </w:rPr>
              <w:tab/>
            </w:r>
            <w:r>
              <w:t>85</w:t>
            </w:r>
          </w:hyperlink>
        </w:p>
        <w:p w:rsidR="00A56FE9" w:rsidRDefault="00000000">
          <w:pPr>
            <w:pStyle w:val="Sadraj3"/>
            <w:tabs>
              <w:tab w:val="left" w:leader="dot" w:pos="8979"/>
            </w:tabs>
            <w:spacing w:before="55"/>
          </w:pPr>
          <w:hyperlink w:anchor="_bookmark30" w:history="1">
            <w:r>
              <w:t xml:space="preserve">C6.1.  </w:t>
            </w:r>
            <w:r>
              <w:rPr>
                <w:spacing w:val="6"/>
              </w:rPr>
              <w:t xml:space="preserve"> </w:t>
            </w:r>
            <w:r>
              <w:t>Renovation</w:t>
            </w:r>
            <w:r>
              <w:rPr>
                <w:spacing w:val="-4"/>
              </w:rPr>
              <w:t xml:space="preserve"> </w:t>
            </w:r>
            <w:r>
              <w:t>of buildings</w:t>
            </w:r>
            <w:r>
              <w:tab/>
              <w:t>85</w:t>
            </w:r>
          </w:hyperlink>
        </w:p>
        <w:p w:rsidR="00A56FE9" w:rsidRDefault="00000000">
          <w:pPr>
            <w:pStyle w:val="Sadraj1"/>
            <w:numPr>
              <w:ilvl w:val="0"/>
              <w:numId w:val="9"/>
            </w:numPr>
            <w:tabs>
              <w:tab w:val="left" w:pos="617"/>
              <w:tab w:val="left" w:leader="dot" w:pos="8969"/>
            </w:tabs>
            <w:ind w:hanging="481"/>
          </w:pPr>
          <w:hyperlink w:anchor="_bookmark31" w:history="1">
            <w:r>
              <w:t>Progress</w:t>
            </w:r>
            <w:r>
              <w:rPr>
                <w:spacing w:val="-1"/>
              </w:rPr>
              <w:t xml:space="preserve"> </w:t>
            </w:r>
            <w:r>
              <w:t>in</w:t>
            </w:r>
            <w:r>
              <w:rPr>
                <w:spacing w:val="-1"/>
              </w:rPr>
              <w:t xml:space="preserve"> </w:t>
            </w:r>
            <w:r>
              <w:t>implementing</w:t>
            </w:r>
            <w:r>
              <w:rPr>
                <w:spacing w:val="-4"/>
              </w:rPr>
              <w:t xml:space="preserve"> </w:t>
            </w:r>
            <w:r>
              <w:t>the</w:t>
            </w:r>
            <w:r>
              <w:rPr>
                <w:spacing w:val="-1"/>
              </w:rPr>
              <w:t xml:space="preserve"> </w:t>
            </w:r>
            <w:r>
              <w:t>UN</w:t>
            </w:r>
            <w:r>
              <w:rPr>
                <w:spacing w:val="-1"/>
              </w:rPr>
              <w:t xml:space="preserve"> </w:t>
            </w:r>
            <w:r>
              <w:t>Sustainable</w:t>
            </w:r>
            <w:r>
              <w:rPr>
                <w:spacing w:val="-1"/>
              </w:rPr>
              <w:t xml:space="preserve"> </w:t>
            </w:r>
            <w:r>
              <w:t>Development</w:t>
            </w:r>
            <w:r>
              <w:rPr>
                <w:spacing w:val="-1"/>
              </w:rPr>
              <w:t xml:space="preserve"> </w:t>
            </w:r>
            <w:r>
              <w:t>Goals</w:t>
            </w:r>
            <w:r>
              <w:rPr>
                <w:spacing w:val="-1"/>
              </w:rPr>
              <w:t xml:space="preserve"> </w:t>
            </w:r>
            <w:r>
              <w:t>(SDGs)</w:t>
            </w:r>
            <w:r>
              <w:tab/>
              <w:t>88</w:t>
            </w:r>
          </w:hyperlink>
        </w:p>
        <w:p w:rsidR="00A56FE9" w:rsidRDefault="00000000">
          <w:pPr>
            <w:pStyle w:val="Sadraj1"/>
            <w:numPr>
              <w:ilvl w:val="0"/>
              <w:numId w:val="9"/>
            </w:numPr>
            <w:tabs>
              <w:tab w:val="left" w:pos="616"/>
              <w:tab w:val="left" w:pos="617"/>
              <w:tab w:val="left" w:leader="dot" w:pos="8849"/>
            </w:tabs>
            <w:ind w:hanging="481"/>
          </w:pPr>
          <w:hyperlink w:anchor="_bookmark32" w:history="1">
            <w:r>
              <w:t>EU</w:t>
            </w:r>
            <w:r>
              <w:rPr>
                <w:spacing w:val="-2"/>
              </w:rPr>
              <w:t xml:space="preserve"> </w:t>
            </w:r>
            <w:r>
              <w:t>Funds</w:t>
            </w:r>
            <w:r>
              <w:tab/>
              <w:t>108</w:t>
            </w:r>
          </w:hyperlink>
        </w:p>
        <w:p w:rsidR="00A56FE9" w:rsidRDefault="00000000">
          <w:pPr>
            <w:pStyle w:val="Sadraj1"/>
            <w:numPr>
              <w:ilvl w:val="0"/>
              <w:numId w:val="9"/>
            </w:numPr>
            <w:tabs>
              <w:tab w:val="left" w:pos="617"/>
              <w:tab w:val="left" w:leader="dot" w:pos="8849"/>
            </w:tabs>
            <w:ind w:hanging="481"/>
          </w:pPr>
          <w:hyperlink w:anchor="_bookmark33" w:history="1">
            <w:r>
              <w:t>Institutional</w:t>
            </w:r>
            <w:r>
              <w:rPr>
                <w:spacing w:val="-2"/>
              </w:rPr>
              <w:t xml:space="preserve"> </w:t>
            </w:r>
            <w:r>
              <w:t>Processes and</w:t>
            </w:r>
            <w:r>
              <w:rPr>
                <w:spacing w:val="-2"/>
              </w:rPr>
              <w:t xml:space="preserve"> </w:t>
            </w:r>
            <w:r>
              <w:t>the Inclusion</w:t>
            </w:r>
            <w:r>
              <w:rPr>
                <w:spacing w:val="-2"/>
              </w:rPr>
              <w:t xml:space="preserve"> </w:t>
            </w:r>
            <w:r>
              <w:t>of</w:t>
            </w:r>
            <w:r>
              <w:rPr>
                <w:spacing w:val="-2"/>
              </w:rPr>
              <w:t xml:space="preserve"> </w:t>
            </w:r>
            <w:r>
              <w:t>Stakeholders</w:t>
            </w:r>
            <w:r>
              <w:tab/>
              <w:t>113</w:t>
            </w:r>
          </w:hyperlink>
        </w:p>
        <w:p w:rsidR="00A56FE9" w:rsidRDefault="00000000">
          <w:pPr>
            <w:pStyle w:val="Sadraj1"/>
            <w:tabs>
              <w:tab w:val="left" w:leader="dot" w:pos="8849"/>
            </w:tabs>
            <w:ind w:left="136" w:firstLine="0"/>
          </w:pPr>
          <w:hyperlink w:anchor="_bookmark34" w:history="1">
            <w:r>
              <w:t>Appendices</w:t>
            </w:r>
            <w:r>
              <w:tab/>
              <w:t>121</w:t>
            </w:r>
          </w:hyperlink>
        </w:p>
        <w:p w:rsidR="00A56FE9" w:rsidRDefault="00000000">
          <w:pPr>
            <w:pStyle w:val="Sadraj1"/>
            <w:tabs>
              <w:tab w:val="left" w:leader="dot" w:pos="8849"/>
            </w:tabs>
            <w:ind w:left="136" w:firstLine="0"/>
          </w:pPr>
          <w:hyperlink w:anchor="_bookmark35" w:history="1">
            <w:r>
              <w:t>Addendum</w:t>
            </w:r>
            <w:r>
              <w:tab/>
              <w:t>169</w:t>
            </w:r>
          </w:hyperlink>
        </w:p>
      </w:sdtContent>
    </w:sdt>
    <w:p w:rsidR="00A56FE9" w:rsidRDefault="00A56FE9">
      <w:pPr>
        <w:sectPr w:rsidR="00A56FE9" w:rsidSect="00AB1E70">
          <w:pgSz w:w="11910" w:h="16840"/>
          <w:pgMar w:top="1320" w:right="1140" w:bottom="280" w:left="1280" w:header="720" w:footer="720" w:gutter="0"/>
          <w:cols w:space="720"/>
        </w:sectPr>
      </w:pPr>
    </w:p>
    <w:p w:rsidR="00A56FE9" w:rsidRDefault="00000000">
      <w:pPr>
        <w:pStyle w:val="Tijeloteksta"/>
        <w:spacing w:before="37"/>
        <w:ind w:left="136"/>
        <w:jc w:val="left"/>
        <w:rPr>
          <w:rFonts w:ascii="Calibri Light"/>
        </w:rPr>
      </w:pPr>
      <w:r>
        <w:rPr>
          <w:rFonts w:ascii="Calibri Light"/>
          <w:color w:val="003399"/>
        </w:rPr>
        <w:lastRenderedPageBreak/>
        <w:t>List</w:t>
      </w:r>
      <w:r>
        <w:rPr>
          <w:rFonts w:ascii="Calibri Light"/>
          <w:color w:val="003399"/>
          <w:spacing w:val="-13"/>
        </w:rPr>
        <w:t xml:space="preserve"> </w:t>
      </w:r>
      <w:r>
        <w:rPr>
          <w:rFonts w:ascii="Calibri Light"/>
          <w:color w:val="003399"/>
        </w:rPr>
        <w:t>of</w:t>
      </w:r>
      <w:r>
        <w:rPr>
          <w:rFonts w:ascii="Calibri Light"/>
          <w:color w:val="003399"/>
          <w:spacing w:val="-14"/>
        </w:rPr>
        <w:t xml:space="preserve"> </w:t>
      </w:r>
      <w:r>
        <w:rPr>
          <w:rFonts w:ascii="Calibri Light"/>
          <w:color w:val="003399"/>
        </w:rPr>
        <w:t>abbreviations</w:t>
      </w:r>
    </w:p>
    <w:p w:rsidR="00A56FE9" w:rsidRDefault="00A56FE9">
      <w:pPr>
        <w:pStyle w:val="Tijeloteksta"/>
        <w:spacing w:before="3"/>
        <w:ind w:left="0"/>
        <w:jc w:val="left"/>
        <w:rPr>
          <w:rFonts w:ascii="Calibri Light"/>
          <w:sz w:val="22"/>
        </w:rPr>
      </w:pPr>
    </w:p>
    <w:tbl>
      <w:tblPr>
        <w:tblStyle w:val="TableNormal"/>
        <w:tblW w:w="0" w:type="auto"/>
        <w:tblInd w:w="129" w:type="dxa"/>
        <w:tblLayout w:type="fixed"/>
        <w:tblLook w:val="01E0" w:firstRow="1" w:lastRow="1" w:firstColumn="1" w:lastColumn="1" w:noHBand="0" w:noVBand="0"/>
      </w:tblPr>
      <w:tblGrid>
        <w:gridCol w:w="1745"/>
        <w:gridCol w:w="7518"/>
      </w:tblGrid>
      <w:tr w:rsidR="00A56FE9">
        <w:trPr>
          <w:trHeight w:val="251"/>
        </w:trPr>
        <w:tc>
          <w:tcPr>
            <w:tcW w:w="1745" w:type="dxa"/>
            <w:tcBorders>
              <w:bottom w:val="single" w:sz="4" w:space="0" w:color="BEBEBE"/>
            </w:tcBorders>
          </w:tcPr>
          <w:p w:rsidR="00A56FE9" w:rsidRDefault="00000000">
            <w:pPr>
              <w:pStyle w:val="TableParagraph"/>
              <w:spacing w:line="226" w:lineRule="exact"/>
              <w:ind w:left="122"/>
              <w:rPr>
                <w:b/>
                <w:sz w:val="20"/>
              </w:rPr>
            </w:pPr>
            <w:r>
              <w:rPr>
                <w:b/>
                <w:sz w:val="20"/>
              </w:rPr>
              <w:t>CSR</w:t>
            </w:r>
          </w:p>
        </w:tc>
        <w:tc>
          <w:tcPr>
            <w:tcW w:w="7518" w:type="dxa"/>
            <w:tcBorders>
              <w:bottom w:val="single" w:sz="4" w:space="0" w:color="BEBEBE"/>
            </w:tcBorders>
          </w:tcPr>
          <w:p w:rsidR="00A56FE9" w:rsidRDefault="00000000">
            <w:pPr>
              <w:pStyle w:val="TableParagraph"/>
              <w:spacing w:line="221" w:lineRule="exact"/>
              <w:ind w:left="112"/>
              <w:rPr>
                <w:sz w:val="20"/>
              </w:rPr>
            </w:pPr>
            <w:r>
              <w:rPr>
                <w:sz w:val="20"/>
              </w:rPr>
              <w:t>Country</w:t>
            </w:r>
            <w:r>
              <w:rPr>
                <w:spacing w:val="-6"/>
                <w:sz w:val="20"/>
              </w:rPr>
              <w:t xml:space="preserve"> </w:t>
            </w:r>
            <w:r>
              <w:rPr>
                <w:sz w:val="20"/>
              </w:rPr>
              <w:t>Specific</w:t>
            </w:r>
            <w:r>
              <w:rPr>
                <w:spacing w:val="-1"/>
                <w:sz w:val="20"/>
              </w:rPr>
              <w:t xml:space="preserve"> </w:t>
            </w:r>
            <w:r>
              <w:rPr>
                <w:sz w:val="20"/>
              </w:rPr>
              <w:t>Recommendation</w:t>
            </w:r>
            <w:r>
              <w:rPr>
                <w:spacing w:val="-2"/>
                <w:sz w:val="20"/>
              </w:rPr>
              <w:t xml:space="preserve"> </w:t>
            </w:r>
            <w:r>
              <w:rPr>
                <w:sz w:val="20"/>
              </w:rPr>
              <w:t>of</w:t>
            </w:r>
            <w:r>
              <w:rPr>
                <w:spacing w:val="-3"/>
                <w:sz w:val="20"/>
              </w:rPr>
              <w:t xml:space="preserve"> </w:t>
            </w:r>
            <w:r>
              <w:rPr>
                <w:sz w:val="20"/>
              </w:rPr>
              <w:t>the</w:t>
            </w:r>
            <w:r>
              <w:rPr>
                <w:spacing w:val="-1"/>
                <w:sz w:val="20"/>
              </w:rPr>
              <w:t xml:space="preserve"> </w:t>
            </w:r>
            <w:r>
              <w:rPr>
                <w:sz w:val="20"/>
              </w:rPr>
              <w:t>Council</w:t>
            </w:r>
            <w:r>
              <w:rPr>
                <w:spacing w:val="-2"/>
                <w:sz w:val="20"/>
              </w:rPr>
              <w:t xml:space="preserve"> </w:t>
            </w:r>
            <w:r>
              <w:rPr>
                <w:sz w:val="20"/>
              </w:rPr>
              <w:t>of</w:t>
            </w:r>
            <w:r>
              <w:rPr>
                <w:spacing w:val="-3"/>
                <w:sz w:val="20"/>
              </w:rPr>
              <w:t xml:space="preserve"> </w:t>
            </w:r>
            <w:r>
              <w:rPr>
                <w:sz w:val="20"/>
              </w:rPr>
              <w:t>the</w:t>
            </w:r>
            <w:r>
              <w:rPr>
                <w:spacing w:val="-1"/>
                <w:sz w:val="20"/>
              </w:rPr>
              <w:t xml:space="preserve"> </w:t>
            </w:r>
            <w:r>
              <w:rPr>
                <w:sz w:val="20"/>
              </w:rPr>
              <w:t>EU</w:t>
            </w:r>
            <w:r>
              <w:rPr>
                <w:spacing w:val="1"/>
                <w:sz w:val="20"/>
              </w:rPr>
              <w:t xml:space="preserve"> </w:t>
            </w:r>
            <w:r>
              <w:rPr>
                <w:sz w:val="20"/>
              </w:rPr>
              <w:t>for</w:t>
            </w:r>
            <w:r>
              <w:rPr>
                <w:spacing w:val="-2"/>
                <w:sz w:val="20"/>
              </w:rPr>
              <w:t xml:space="preserve"> </w:t>
            </w:r>
            <w:r>
              <w:rPr>
                <w:sz w:val="20"/>
              </w:rPr>
              <w:t>2019</w:t>
            </w:r>
            <w:r>
              <w:rPr>
                <w:spacing w:val="-2"/>
                <w:sz w:val="20"/>
              </w:rPr>
              <w:t xml:space="preserve"> </w:t>
            </w:r>
            <w:r>
              <w:rPr>
                <w:sz w:val="20"/>
              </w:rPr>
              <w:t>and 2020</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CES</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Croatian</w:t>
            </w:r>
            <w:r>
              <w:rPr>
                <w:spacing w:val="-5"/>
                <w:sz w:val="20"/>
              </w:rPr>
              <w:t xml:space="preserve"> </w:t>
            </w:r>
            <w:r>
              <w:rPr>
                <w:sz w:val="20"/>
              </w:rPr>
              <w:t>Employment</w:t>
            </w:r>
            <w:r>
              <w:rPr>
                <w:spacing w:val="-1"/>
                <w:sz w:val="20"/>
              </w:rPr>
              <w:t xml:space="preserve"> </w:t>
            </w:r>
            <w:r>
              <w:rPr>
                <w:sz w:val="20"/>
              </w:rPr>
              <w:t>Service</w:t>
            </w:r>
          </w:p>
        </w:tc>
      </w:tr>
      <w:tr w:rsidR="00A56FE9">
        <w:trPr>
          <w:trHeight w:val="285"/>
        </w:trPr>
        <w:tc>
          <w:tcPr>
            <w:tcW w:w="1745" w:type="dxa"/>
            <w:tcBorders>
              <w:top w:val="single" w:sz="4" w:space="0" w:color="BEBEBE"/>
              <w:bottom w:val="single" w:sz="4" w:space="0" w:color="BEBEBE"/>
            </w:tcBorders>
          </w:tcPr>
          <w:p w:rsidR="00A56FE9" w:rsidRDefault="00000000">
            <w:pPr>
              <w:pStyle w:val="TableParagraph"/>
              <w:spacing w:before="29"/>
              <w:ind w:left="122"/>
              <w:rPr>
                <w:b/>
                <w:sz w:val="20"/>
              </w:rPr>
            </w:pPr>
            <w:r>
              <w:rPr>
                <w:b/>
                <w:sz w:val="20"/>
              </w:rPr>
              <w:t>CNB</w:t>
            </w:r>
          </w:p>
        </w:tc>
        <w:tc>
          <w:tcPr>
            <w:tcW w:w="7518" w:type="dxa"/>
            <w:tcBorders>
              <w:top w:val="single" w:sz="4" w:space="0" w:color="BEBEBE"/>
              <w:bottom w:val="single" w:sz="4" w:space="0" w:color="BEBEBE"/>
            </w:tcBorders>
          </w:tcPr>
          <w:p w:rsidR="00A56FE9" w:rsidRDefault="00000000">
            <w:pPr>
              <w:pStyle w:val="TableParagraph"/>
              <w:spacing w:before="24"/>
              <w:ind w:left="112"/>
              <w:rPr>
                <w:sz w:val="20"/>
              </w:rPr>
            </w:pPr>
            <w:r>
              <w:rPr>
                <w:sz w:val="20"/>
              </w:rPr>
              <w:t>Croatian</w:t>
            </w:r>
            <w:r>
              <w:rPr>
                <w:spacing w:val="-3"/>
                <w:sz w:val="20"/>
              </w:rPr>
              <w:t xml:space="preserve"> </w:t>
            </w:r>
            <w:r>
              <w:rPr>
                <w:sz w:val="20"/>
              </w:rPr>
              <w:t>National</w:t>
            </w:r>
            <w:r>
              <w:rPr>
                <w:spacing w:val="-1"/>
                <w:sz w:val="20"/>
              </w:rPr>
              <w:t xml:space="preserve"> </w:t>
            </w:r>
            <w:r>
              <w:rPr>
                <w:sz w:val="20"/>
              </w:rPr>
              <w:t>Bank</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CPII</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Croatian</w:t>
            </w:r>
            <w:r>
              <w:rPr>
                <w:spacing w:val="-4"/>
                <w:sz w:val="20"/>
              </w:rPr>
              <w:t xml:space="preserve"> </w:t>
            </w:r>
            <w:r>
              <w:rPr>
                <w:sz w:val="20"/>
              </w:rPr>
              <w:t>Pension</w:t>
            </w:r>
            <w:r>
              <w:rPr>
                <w:spacing w:val="-4"/>
                <w:sz w:val="20"/>
              </w:rPr>
              <w:t xml:space="preserve"> </w:t>
            </w:r>
            <w:r>
              <w:rPr>
                <w:sz w:val="20"/>
              </w:rPr>
              <w:t>Insurance</w:t>
            </w:r>
            <w:r>
              <w:rPr>
                <w:spacing w:val="-3"/>
                <w:sz w:val="20"/>
              </w:rPr>
              <w:t xml:space="preserve"> </w:t>
            </w:r>
            <w:r>
              <w:rPr>
                <w:sz w:val="20"/>
              </w:rPr>
              <w:t>Institute</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CSODDS</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Central</w:t>
            </w:r>
            <w:r>
              <w:rPr>
                <w:spacing w:val="-2"/>
                <w:sz w:val="20"/>
              </w:rPr>
              <w:t xml:space="preserve"> </w:t>
            </w:r>
            <w:r>
              <w:rPr>
                <w:sz w:val="20"/>
              </w:rPr>
              <w:t>State</w:t>
            </w:r>
            <w:r>
              <w:rPr>
                <w:spacing w:val="-3"/>
                <w:sz w:val="20"/>
              </w:rPr>
              <w:t xml:space="preserve"> </w:t>
            </w:r>
            <w:r>
              <w:rPr>
                <w:sz w:val="20"/>
              </w:rPr>
              <w:t>Office</w:t>
            </w:r>
            <w:r>
              <w:rPr>
                <w:spacing w:val="1"/>
                <w:sz w:val="20"/>
              </w:rPr>
              <w:t xml:space="preserve"> </w:t>
            </w:r>
            <w:r>
              <w:rPr>
                <w:sz w:val="20"/>
              </w:rPr>
              <w:t>for</w:t>
            </w:r>
            <w:r>
              <w:rPr>
                <w:spacing w:val="-2"/>
                <w:sz w:val="20"/>
              </w:rPr>
              <w:t xml:space="preserve"> </w:t>
            </w:r>
            <w:r>
              <w:rPr>
                <w:sz w:val="20"/>
              </w:rPr>
              <w:t>Development</w:t>
            </w:r>
            <w:r>
              <w:rPr>
                <w:spacing w:val="-3"/>
                <w:sz w:val="20"/>
              </w:rPr>
              <w:t xml:space="preserve"> </w:t>
            </w:r>
            <w:r>
              <w:rPr>
                <w:sz w:val="20"/>
              </w:rPr>
              <w:t>of</w:t>
            </w:r>
            <w:r>
              <w:rPr>
                <w:spacing w:val="-4"/>
                <w:sz w:val="20"/>
              </w:rPr>
              <w:t xml:space="preserve"> </w:t>
            </w:r>
            <w:r>
              <w:rPr>
                <w:sz w:val="20"/>
              </w:rPr>
              <w:t>the</w:t>
            </w:r>
            <w:r>
              <w:rPr>
                <w:spacing w:val="-2"/>
                <w:sz w:val="20"/>
              </w:rPr>
              <w:t xml:space="preserve"> </w:t>
            </w:r>
            <w:r>
              <w:rPr>
                <w:sz w:val="20"/>
              </w:rPr>
              <w:t>Digital</w:t>
            </w:r>
            <w:r>
              <w:rPr>
                <w:spacing w:val="-2"/>
                <w:sz w:val="20"/>
              </w:rPr>
              <w:t xml:space="preserve"> </w:t>
            </w:r>
            <w:r>
              <w:rPr>
                <w:sz w:val="20"/>
              </w:rPr>
              <w:t>Society</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CSODY</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Central</w:t>
            </w:r>
            <w:r>
              <w:rPr>
                <w:spacing w:val="-2"/>
                <w:sz w:val="20"/>
              </w:rPr>
              <w:t xml:space="preserve"> </w:t>
            </w:r>
            <w:r>
              <w:rPr>
                <w:sz w:val="20"/>
              </w:rPr>
              <w:t>State</w:t>
            </w:r>
            <w:r>
              <w:rPr>
                <w:spacing w:val="-1"/>
                <w:sz w:val="20"/>
              </w:rPr>
              <w:t xml:space="preserve"> </w:t>
            </w:r>
            <w:r>
              <w:rPr>
                <w:sz w:val="20"/>
              </w:rPr>
              <w:t>Office</w:t>
            </w:r>
            <w:r>
              <w:rPr>
                <w:spacing w:val="-2"/>
                <w:sz w:val="20"/>
              </w:rPr>
              <w:t xml:space="preserve"> </w:t>
            </w:r>
            <w:r>
              <w:rPr>
                <w:sz w:val="20"/>
              </w:rPr>
              <w:t>of</w:t>
            </w:r>
            <w:r>
              <w:rPr>
                <w:spacing w:val="-3"/>
                <w:sz w:val="20"/>
              </w:rPr>
              <w:t xml:space="preserve"> </w:t>
            </w:r>
            <w:r>
              <w:rPr>
                <w:sz w:val="20"/>
              </w:rPr>
              <w:t>Demography</w:t>
            </w:r>
            <w:r>
              <w:rPr>
                <w:spacing w:val="-5"/>
                <w:sz w:val="20"/>
              </w:rPr>
              <w:t xml:space="preserve"> </w:t>
            </w:r>
            <w:r>
              <w:rPr>
                <w:sz w:val="20"/>
              </w:rPr>
              <w:t>and</w:t>
            </w:r>
            <w:r>
              <w:rPr>
                <w:spacing w:val="-1"/>
                <w:sz w:val="20"/>
              </w:rPr>
              <w:t xml:space="preserve"> </w:t>
            </w:r>
            <w:r>
              <w:rPr>
                <w:sz w:val="20"/>
              </w:rPr>
              <w:t>Youth</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EC</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European</w:t>
            </w:r>
            <w:r>
              <w:rPr>
                <w:spacing w:val="-4"/>
                <w:sz w:val="20"/>
              </w:rPr>
              <w:t xml:space="preserve"> </w:t>
            </w:r>
            <w:r>
              <w:rPr>
                <w:sz w:val="20"/>
              </w:rPr>
              <w:t>Commission</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EPEEF</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Environmental</w:t>
            </w:r>
            <w:r>
              <w:rPr>
                <w:spacing w:val="-3"/>
                <w:sz w:val="20"/>
              </w:rPr>
              <w:t xml:space="preserve"> </w:t>
            </w:r>
            <w:r>
              <w:rPr>
                <w:sz w:val="20"/>
              </w:rPr>
              <w:t>Protection</w:t>
            </w:r>
            <w:r>
              <w:rPr>
                <w:spacing w:val="-4"/>
                <w:sz w:val="20"/>
              </w:rPr>
              <w:t xml:space="preserve"> </w:t>
            </w:r>
            <w:r>
              <w:rPr>
                <w:sz w:val="20"/>
              </w:rPr>
              <w:t>and Energy</w:t>
            </w:r>
            <w:r>
              <w:rPr>
                <w:spacing w:val="-7"/>
                <w:sz w:val="20"/>
              </w:rPr>
              <w:t xml:space="preserve"> </w:t>
            </w:r>
            <w:r>
              <w:rPr>
                <w:sz w:val="20"/>
              </w:rPr>
              <w:t>Efficiency</w:t>
            </w:r>
            <w:r>
              <w:rPr>
                <w:spacing w:val="-3"/>
                <w:sz w:val="20"/>
              </w:rPr>
              <w:t xml:space="preserve"> </w:t>
            </w:r>
            <w:r>
              <w:rPr>
                <w:sz w:val="20"/>
              </w:rPr>
              <w:t>Fund</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ESIF</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European</w:t>
            </w:r>
            <w:r>
              <w:rPr>
                <w:spacing w:val="-5"/>
                <w:sz w:val="20"/>
              </w:rPr>
              <w:t xml:space="preserve"> </w:t>
            </w:r>
            <w:r>
              <w:rPr>
                <w:sz w:val="20"/>
              </w:rPr>
              <w:t>Structural</w:t>
            </w:r>
            <w:r>
              <w:rPr>
                <w:spacing w:val="-3"/>
                <w:sz w:val="20"/>
              </w:rPr>
              <w:t xml:space="preserve"> </w:t>
            </w:r>
            <w:r>
              <w:rPr>
                <w:sz w:val="20"/>
              </w:rPr>
              <w:t>and Investment</w:t>
            </w:r>
            <w:r>
              <w:rPr>
                <w:spacing w:val="-4"/>
                <w:sz w:val="20"/>
              </w:rPr>
              <w:t xml:space="preserve"> </w:t>
            </w:r>
            <w:r>
              <w:rPr>
                <w:sz w:val="20"/>
              </w:rPr>
              <w:t>Funds</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EU</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European</w:t>
            </w:r>
            <w:r>
              <w:rPr>
                <w:spacing w:val="-3"/>
                <w:sz w:val="20"/>
              </w:rPr>
              <w:t xml:space="preserve"> </w:t>
            </w:r>
            <w:r>
              <w:rPr>
                <w:sz w:val="20"/>
              </w:rPr>
              <w:t>Union</w:t>
            </w:r>
          </w:p>
        </w:tc>
      </w:tr>
      <w:tr w:rsidR="00A56FE9">
        <w:trPr>
          <w:trHeight w:val="283"/>
        </w:trPr>
        <w:tc>
          <w:tcPr>
            <w:tcW w:w="1745" w:type="dxa"/>
            <w:tcBorders>
              <w:top w:val="single" w:sz="4" w:space="0" w:color="BEBEBE"/>
              <w:bottom w:val="single" w:sz="4" w:space="0" w:color="BEBEBE"/>
            </w:tcBorders>
          </w:tcPr>
          <w:p w:rsidR="00A56FE9" w:rsidRDefault="00000000">
            <w:pPr>
              <w:pStyle w:val="TableParagraph"/>
              <w:spacing w:before="27"/>
              <w:ind w:left="122"/>
              <w:rPr>
                <w:b/>
                <w:sz w:val="20"/>
              </w:rPr>
            </w:pPr>
            <w:r>
              <w:rPr>
                <w:b/>
                <w:sz w:val="20"/>
              </w:rPr>
              <w:t>HAMAG-BICRO</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Croatian</w:t>
            </w:r>
            <w:r>
              <w:rPr>
                <w:spacing w:val="-2"/>
                <w:sz w:val="20"/>
              </w:rPr>
              <w:t xml:space="preserve"> </w:t>
            </w:r>
            <w:r>
              <w:rPr>
                <w:sz w:val="20"/>
              </w:rPr>
              <w:t>Agency</w:t>
            </w:r>
            <w:r>
              <w:rPr>
                <w:spacing w:val="-2"/>
                <w:sz w:val="20"/>
              </w:rPr>
              <w:t xml:space="preserve"> </w:t>
            </w:r>
            <w:r>
              <w:rPr>
                <w:sz w:val="20"/>
              </w:rPr>
              <w:t>for</w:t>
            </w:r>
            <w:r>
              <w:rPr>
                <w:spacing w:val="-3"/>
                <w:sz w:val="20"/>
              </w:rPr>
              <w:t xml:space="preserve"> </w:t>
            </w:r>
            <w:r>
              <w:rPr>
                <w:sz w:val="20"/>
              </w:rPr>
              <w:t>SMEs,</w:t>
            </w:r>
            <w:r>
              <w:rPr>
                <w:spacing w:val="-3"/>
                <w:sz w:val="20"/>
              </w:rPr>
              <w:t xml:space="preserve"> </w:t>
            </w:r>
            <w:r>
              <w:rPr>
                <w:sz w:val="20"/>
              </w:rPr>
              <w:t>Innovation</w:t>
            </w:r>
            <w:r>
              <w:rPr>
                <w:spacing w:val="-4"/>
                <w:sz w:val="20"/>
              </w:rPr>
              <w:t xml:space="preserve"> </w:t>
            </w:r>
            <w:r>
              <w:rPr>
                <w:sz w:val="20"/>
              </w:rPr>
              <w:t>and</w:t>
            </w:r>
            <w:r>
              <w:rPr>
                <w:spacing w:val="-2"/>
                <w:sz w:val="20"/>
              </w:rPr>
              <w:t xml:space="preserve"> </w:t>
            </w:r>
            <w:r>
              <w:rPr>
                <w:sz w:val="20"/>
              </w:rPr>
              <w:t>Investments</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HANFA</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Croatian</w:t>
            </w:r>
            <w:r>
              <w:rPr>
                <w:spacing w:val="-4"/>
                <w:sz w:val="20"/>
              </w:rPr>
              <w:t xml:space="preserve"> </w:t>
            </w:r>
            <w:r>
              <w:rPr>
                <w:sz w:val="20"/>
              </w:rPr>
              <w:t>Financial</w:t>
            </w:r>
            <w:r>
              <w:rPr>
                <w:spacing w:val="-2"/>
                <w:sz w:val="20"/>
              </w:rPr>
              <w:t xml:space="preserve"> </w:t>
            </w:r>
            <w:r>
              <w:rPr>
                <w:sz w:val="20"/>
              </w:rPr>
              <w:t>Services</w:t>
            </w:r>
            <w:r>
              <w:rPr>
                <w:spacing w:val="-4"/>
                <w:sz w:val="20"/>
              </w:rPr>
              <w:t xml:space="preserve"> </w:t>
            </w:r>
            <w:r>
              <w:rPr>
                <w:sz w:val="20"/>
              </w:rPr>
              <w:t>Supervisory</w:t>
            </w:r>
            <w:r>
              <w:rPr>
                <w:spacing w:val="-3"/>
                <w:sz w:val="20"/>
              </w:rPr>
              <w:t xml:space="preserve"> </w:t>
            </w:r>
            <w:r>
              <w:rPr>
                <w:sz w:val="20"/>
              </w:rPr>
              <w:t>Agency</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HBOR</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Croatian</w:t>
            </w:r>
            <w:r>
              <w:rPr>
                <w:spacing w:val="-4"/>
                <w:sz w:val="20"/>
              </w:rPr>
              <w:t xml:space="preserve"> </w:t>
            </w:r>
            <w:r>
              <w:rPr>
                <w:sz w:val="20"/>
              </w:rPr>
              <w:t>Bank</w:t>
            </w:r>
            <w:r>
              <w:rPr>
                <w:spacing w:val="-3"/>
                <w:sz w:val="20"/>
              </w:rPr>
              <w:t xml:space="preserve"> </w:t>
            </w:r>
            <w:r>
              <w:rPr>
                <w:sz w:val="20"/>
              </w:rPr>
              <w:t>for</w:t>
            </w:r>
            <w:r>
              <w:rPr>
                <w:spacing w:val="-2"/>
                <w:sz w:val="20"/>
              </w:rPr>
              <w:t xml:space="preserve"> </w:t>
            </w:r>
            <w:r>
              <w:rPr>
                <w:sz w:val="20"/>
              </w:rPr>
              <w:t>Reconstruction</w:t>
            </w:r>
            <w:r>
              <w:rPr>
                <w:spacing w:val="-3"/>
                <w:sz w:val="20"/>
              </w:rPr>
              <w:t xml:space="preserve"> </w:t>
            </w:r>
            <w:r>
              <w:rPr>
                <w:sz w:val="20"/>
              </w:rPr>
              <w:t>and</w:t>
            </w:r>
            <w:r>
              <w:rPr>
                <w:spacing w:val="-1"/>
                <w:sz w:val="20"/>
              </w:rPr>
              <w:t xml:space="preserve"> </w:t>
            </w:r>
            <w:r>
              <w:rPr>
                <w:sz w:val="20"/>
              </w:rPr>
              <w:t>Development</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LRSGU</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Local</w:t>
            </w:r>
            <w:r>
              <w:rPr>
                <w:spacing w:val="-5"/>
                <w:sz w:val="20"/>
              </w:rPr>
              <w:t xml:space="preserve"> </w:t>
            </w:r>
            <w:r>
              <w:rPr>
                <w:sz w:val="20"/>
              </w:rPr>
              <w:t>and</w:t>
            </w:r>
            <w:r>
              <w:rPr>
                <w:spacing w:val="-2"/>
                <w:sz w:val="20"/>
              </w:rPr>
              <w:t xml:space="preserve"> </w:t>
            </w:r>
            <w:r>
              <w:rPr>
                <w:sz w:val="20"/>
              </w:rPr>
              <w:t>regional</w:t>
            </w:r>
            <w:r>
              <w:rPr>
                <w:spacing w:val="-3"/>
                <w:sz w:val="20"/>
              </w:rPr>
              <w:t xml:space="preserve"> </w:t>
            </w:r>
            <w:r>
              <w:rPr>
                <w:sz w:val="20"/>
              </w:rPr>
              <w:t>self-government</w:t>
            </w:r>
            <w:r>
              <w:rPr>
                <w:spacing w:val="-1"/>
                <w:sz w:val="20"/>
              </w:rPr>
              <w:t xml:space="preserve"> </w:t>
            </w:r>
            <w:r>
              <w:rPr>
                <w:sz w:val="20"/>
              </w:rPr>
              <w:t>units</w:t>
            </w:r>
          </w:p>
        </w:tc>
      </w:tr>
      <w:tr w:rsidR="00A56FE9">
        <w:trPr>
          <w:trHeight w:val="285"/>
        </w:trPr>
        <w:tc>
          <w:tcPr>
            <w:tcW w:w="1745" w:type="dxa"/>
            <w:tcBorders>
              <w:top w:val="single" w:sz="4" w:space="0" w:color="BEBEBE"/>
              <w:bottom w:val="single" w:sz="4" w:space="0" w:color="BEBEBE"/>
            </w:tcBorders>
          </w:tcPr>
          <w:p w:rsidR="00A56FE9" w:rsidRDefault="00000000">
            <w:pPr>
              <w:pStyle w:val="TableParagraph"/>
              <w:spacing w:before="29"/>
              <w:ind w:left="122"/>
              <w:rPr>
                <w:b/>
                <w:sz w:val="20"/>
              </w:rPr>
            </w:pPr>
            <w:r>
              <w:rPr>
                <w:b/>
                <w:sz w:val="20"/>
              </w:rPr>
              <w:t>LSG</w:t>
            </w:r>
          </w:p>
        </w:tc>
        <w:tc>
          <w:tcPr>
            <w:tcW w:w="7518" w:type="dxa"/>
            <w:tcBorders>
              <w:top w:val="single" w:sz="4" w:space="0" w:color="BEBEBE"/>
              <w:bottom w:val="single" w:sz="4" w:space="0" w:color="BEBEBE"/>
            </w:tcBorders>
          </w:tcPr>
          <w:p w:rsidR="00A56FE9" w:rsidRDefault="00000000">
            <w:pPr>
              <w:pStyle w:val="TableParagraph"/>
              <w:spacing w:before="24"/>
              <w:ind w:left="112"/>
              <w:rPr>
                <w:sz w:val="20"/>
              </w:rPr>
            </w:pPr>
            <w:r>
              <w:rPr>
                <w:sz w:val="20"/>
              </w:rPr>
              <w:t>Local</w:t>
            </w:r>
            <w:r>
              <w:rPr>
                <w:spacing w:val="-5"/>
                <w:sz w:val="20"/>
              </w:rPr>
              <w:t xml:space="preserve"> </w:t>
            </w:r>
            <w:r>
              <w:rPr>
                <w:sz w:val="20"/>
              </w:rPr>
              <w:t>self-government</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MA</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6"/>
                <w:sz w:val="20"/>
              </w:rPr>
              <w:t xml:space="preserve"> </w:t>
            </w:r>
            <w:r>
              <w:rPr>
                <w:sz w:val="20"/>
              </w:rPr>
              <w:t>of</w:t>
            </w:r>
            <w:r>
              <w:rPr>
                <w:spacing w:val="-1"/>
                <w:sz w:val="20"/>
              </w:rPr>
              <w:t xml:space="preserve"> </w:t>
            </w:r>
            <w:r>
              <w:rPr>
                <w:sz w:val="20"/>
              </w:rPr>
              <w:t>Agriculture</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MESD</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6"/>
                <w:sz w:val="20"/>
              </w:rPr>
              <w:t xml:space="preserve"> </w:t>
            </w:r>
            <w:r>
              <w:rPr>
                <w:sz w:val="20"/>
              </w:rPr>
              <w:t>of</w:t>
            </w:r>
            <w:r>
              <w:rPr>
                <w:spacing w:val="-3"/>
                <w:sz w:val="20"/>
              </w:rPr>
              <w:t xml:space="preserve"> </w:t>
            </w:r>
            <w:r>
              <w:rPr>
                <w:sz w:val="20"/>
              </w:rPr>
              <w:t>Economy</w:t>
            </w:r>
            <w:r>
              <w:rPr>
                <w:spacing w:val="-6"/>
                <w:sz w:val="20"/>
              </w:rPr>
              <w:t xml:space="preserve"> </w:t>
            </w:r>
            <w:r>
              <w:rPr>
                <w:sz w:val="20"/>
              </w:rPr>
              <w:t>and</w:t>
            </w:r>
            <w:r>
              <w:rPr>
                <w:spacing w:val="-1"/>
                <w:sz w:val="20"/>
              </w:rPr>
              <w:t xml:space="preserve"> </w:t>
            </w:r>
            <w:r>
              <w:rPr>
                <w:sz w:val="20"/>
              </w:rPr>
              <w:t>Sustainable</w:t>
            </w:r>
            <w:r>
              <w:rPr>
                <w:spacing w:val="-1"/>
                <w:sz w:val="20"/>
              </w:rPr>
              <w:t xml:space="preserve"> </w:t>
            </w:r>
            <w:r>
              <w:rPr>
                <w:sz w:val="20"/>
              </w:rPr>
              <w:t>Development</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MF</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6"/>
                <w:sz w:val="20"/>
              </w:rPr>
              <w:t xml:space="preserve"> </w:t>
            </w:r>
            <w:r>
              <w:rPr>
                <w:sz w:val="20"/>
              </w:rPr>
              <w:t>of Finance</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MFEA</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Minister</w:t>
            </w:r>
            <w:r>
              <w:rPr>
                <w:spacing w:val="-2"/>
                <w:sz w:val="20"/>
              </w:rPr>
              <w:t xml:space="preserve"> </w:t>
            </w:r>
            <w:r>
              <w:rPr>
                <w:sz w:val="20"/>
              </w:rPr>
              <w:t>of</w:t>
            </w:r>
            <w:r>
              <w:rPr>
                <w:spacing w:val="-4"/>
                <w:sz w:val="20"/>
              </w:rPr>
              <w:t xml:space="preserve"> </w:t>
            </w:r>
            <w:r>
              <w:rPr>
                <w:sz w:val="20"/>
              </w:rPr>
              <w:t>Foreign</w:t>
            </w:r>
            <w:r>
              <w:rPr>
                <w:spacing w:val="-3"/>
                <w:sz w:val="20"/>
              </w:rPr>
              <w:t xml:space="preserve"> </w:t>
            </w:r>
            <w:r>
              <w:rPr>
                <w:sz w:val="20"/>
              </w:rPr>
              <w:t>and</w:t>
            </w:r>
            <w:r>
              <w:rPr>
                <w:spacing w:val="-1"/>
                <w:sz w:val="20"/>
              </w:rPr>
              <w:t xml:space="preserve"> </w:t>
            </w:r>
            <w:r>
              <w:rPr>
                <w:sz w:val="20"/>
              </w:rPr>
              <w:t>European</w:t>
            </w:r>
            <w:r>
              <w:rPr>
                <w:spacing w:val="-1"/>
                <w:sz w:val="20"/>
              </w:rPr>
              <w:t xml:space="preserve"> </w:t>
            </w:r>
            <w:r>
              <w:rPr>
                <w:sz w:val="20"/>
              </w:rPr>
              <w:t>Affairs</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MFF</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Multiannual</w:t>
            </w:r>
            <w:r>
              <w:rPr>
                <w:spacing w:val="-4"/>
                <w:sz w:val="20"/>
              </w:rPr>
              <w:t xml:space="preserve"> </w:t>
            </w:r>
            <w:r>
              <w:rPr>
                <w:sz w:val="20"/>
              </w:rPr>
              <w:t>Financial</w:t>
            </w:r>
            <w:r>
              <w:rPr>
                <w:spacing w:val="-2"/>
                <w:sz w:val="20"/>
              </w:rPr>
              <w:t xml:space="preserve"> </w:t>
            </w:r>
            <w:r>
              <w:rPr>
                <w:sz w:val="20"/>
              </w:rPr>
              <w:t>Framework</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MH</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4"/>
                <w:sz w:val="20"/>
              </w:rPr>
              <w:t xml:space="preserve"> </w:t>
            </w:r>
            <w:r>
              <w:rPr>
                <w:sz w:val="20"/>
              </w:rPr>
              <w:t>of</w:t>
            </w:r>
            <w:r>
              <w:rPr>
                <w:spacing w:val="-2"/>
                <w:sz w:val="20"/>
              </w:rPr>
              <w:t xml:space="preserve"> </w:t>
            </w:r>
            <w:r>
              <w:rPr>
                <w:sz w:val="20"/>
              </w:rPr>
              <w:t>Health</w:t>
            </w:r>
          </w:p>
        </w:tc>
      </w:tr>
      <w:tr w:rsidR="00A56FE9">
        <w:trPr>
          <w:trHeight w:val="283"/>
        </w:trPr>
        <w:tc>
          <w:tcPr>
            <w:tcW w:w="1745" w:type="dxa"/>
            <w:tcBorders>
              <w:top w:val="single" w:sz="4" w:space="0" w:color="BEBEBE"/>
              <w:bottom w:val="single" w:sz="4" w:space="0" w:color="BEBEBE"/>
            </w:tcBorders>
          </w:tcPr>
          <w:p w:rsidR="00A56FE9" w:rsidRDefault="00000000">
            <w:pPr>
              <w:pStyle w:val="TableParagraph"/>
              <w:spacing w:before="27"/>
              <w:ind w:left="122"/>
              <w:rPr>
                <w:b/>
                <w:sz w:val="20"/>
              </w:rPr>
            </w:pPr>
            <w:r>
              <w:rPr>
                <w:b/>
                <w:sz w:val="20"/>
              </w:rPr>
              <w:t>MI</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6"/>
                <w:sz w:val="20"/>
              </w:rPr>
              <w:t xml:space="preserve"> </w:t>
            </w:r>
            <w:r>
              <w:rPr>
                <w:sz w:val="20"/>
              </w:rPr>
              <w:t>of</w:t>
            </w:r>
            <w:r>
              <w:rPr>
                <w:spacing w:val="-3"/>
                <w:sz w:val="20"/>
              </w:rPr>
              <w:t xml:space="preserve"> </w:t>
            </w:r>
            <w:r>
              <w:rPr>
                <w:sz w:val="20"/>
              </w:rPr>
              <w:t>the</w:t>
            </w:r>
            <w:r>
              <w:rPr>
                <w:spacing w:val="-1"/>
                <w:sz w:val="20"/>
              </w:rPr>
              <w:t xml:space="preserve"> </w:t>
            </w:r>
            <w:r>
              <w:rPr>
                <w:sz w:val="20"/>
              </w:rPr>
              <w:t>Interior</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MJPA</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6"/>
                <w:sz w:val="20"/>
              </w:rPr>
              <w:t xml:space="preserve"> </w:t>
            </w:r>
            <w:r>
              <w:rPr>
                <w:sz w:val="20"/>
              </w:rPr>
              <w:t>of</w:t>
            </w:r>
            <w:r>
              <w:rPr>
                <w:spacing w:val="-3"/>
                <w:sz w:val="20"/>
              </w:rPr>
              <w:t xml:space="preserve"> </w:t>
            </w:r>
            <w:r>
              <w:rPr>
                <w:sz w:val="20"/>
              </w:rPr>
              <w:t>Justice</w:t>
            </w:r>
            <w:r>
              <w:rPr>
                <w:spacing w:val="-2"/>
                <w:sz w:val="20"/>
              </w:rPr>
              <w:t xml:space="preserve"> </w:t>
            </w:r>
            <w:r>
              <w:rPr>
                <w:sz w:val="20"/>
              </w:rPr>
              <w:t>and Public</w:t>
            </w:r>
            <w:r>
              <w:rPr>
                <w:spacing w:val="-1"/>
                <w:sz w:val="20"/>
              </w:rPr>
              <w:t xml:space="preserve"> </w:t>
            </w:r>
            <w:r>
              <w:rPr>
                <w:sz w:val="20"/>
              </w:rPr>
              <w:t>Administration</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MLPSFSP</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6"/>
                <w:sz w:val="20"/>
              </w:rPr>
              <w:t xml:space="preserve"> </w:t>
            </w:r>
            <w:r>
              <w:rPr>
                <w:sz w:val="20"/>
              </w:rPr>
              <w:t>of</w:t>
            </w:r>
            <w:r>
              <w:rPr>
                <w:spacing w:val="-1"/>
                <w:sz w:val="20"/>
              </w:rPr>
              <w:t xml:space="preserve"> </w:t>
            </w:r>
            <w:r>
              <w:rPr>
                <w:sz w:val="20"/>
              </w:rPr>
              <w:t>Labour,</w:t>
            </w:r>
            <w:r>
              <w:rPr>
                <w:spacing w:val="-1"/>
                <w:sz w:val="20"/>
              </w:rPr>
              <w:t xml:space="preserve"> </w:t>
            </w:r>
            <w:r>
              <w:rPr>
                <w:sz w:val="20"/>
              </w:rPr>
              <w:t>Pension</w:t>
            </w:r>
            <w:r>
              <w:rPr>
                <w:spacing w:val="-1"/>
                <w:sz w:val="20"/>
              </w:rPr>
              <w:t xml:space="preserve"> </w:t>
            </w:r>
            <w:r>
              <w:rPr>
                <w:sz w:val="20"/>
              </w:rPr>
              <w:t>System,</w:t>
            </w:r>
            <w:r>
              <w:rPr>
                <w:spacing w:val="-2"/>
                <w:sz w:val="20"/>
              </w:rPr>
              <w:t xml:space="preserve"> </w:t>
            </w:r>
            <w:r>
              <w:rPr>
                <w:sz w:val="20"/>
              </w:rPr>
              <w:t>Family</w:t>
            </w:r>
            <w:r>
              <w:rPr>
                <w:spacing w:val="-3"/>
                <w:sz w:val="20"/>
              </w:rPr>
              <w:t xml:space="preserve"> </w:t>
            </w:r>
            <w:r>
              <w:rPr>
                <w:sz w:val="20"/>
              </w:rPr>
              <w:t>and Social</w:t>
            </w:r>
            <w:r>
              <w:rPr>
                <w:spacing w:val="-2"/>
                <w:sz w:val="20"/>
              </w:rPr>
              <w:t xml:space="preserve"> </w:t>
            </w:r>
            <w:r>
              <w:rPr>
                <w:sz w:val="20"/>
              </w:rPr>
              <w:t>Policy</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MPPCDA</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6"/>
                <w:sz w:val="20"/>
              </w:rPr>
              <w:t xml:space="preserve"> </w:t>
            </w:r>
            <w:r>
              <w:rPr>
                <w:sz w:val="20"/>
              </w:rPr>
              <w:t>of</w:t>
            </w:r>
            <w:r>
              <w:rPr>
                <w:spacing w:val="-4"/>
                <w:sz w:val="20"/>
              </w:rPr>
              <w:t xml:space="preserve"> </w:t>
            </w:r>
            <w:r>
              <w:rPr>
                <w:sz w:val="20"/>
              </w:rPr>
              <w:t>Physical</w:t>
            </w:r>
            <w:r>
              <w:rPr>
                <w:spacing w:val="-3"/>
                <w:sz w:val="20"/>
              </w:rPr>
              <w:t xml:space="preserve"> </w:t>
            </w:r>
            <w:r>
              <w:rPr>
                <w:sz w:val="20"/>
              </w:rPr>
              <w:t>Planning,</w:t>
            </w:r>
            <w:r>
              <w:rPr>
                <w:spacing w:val="1"/>
                <w:sz w:val="20"/>
              </w:rPr>
              <w:t xml:space="preserve"> </w:t>
            </w:r>
            <w:r>
              <w:rPr>
                <w:sz w:val="20"/>
              </w:rPr>
              <w:t>Construction</w:t>
            </w:r>
            <w:r>
              <w:rPr>
                <w:spacing w:val="-3"/>
                <w:sz w:val="20"/>
              </w:rPr>
              <w:t xml:space="preserve"> </w:t>
            </w:r>
            <w:r>
              <w:rPr>
                <w:sz w:val="20"/>
              </w:rPr>
              <w:t>and</w:t>
            </w:r>
            <w:r>
              <w:rPr>
                <w:spacing w:val="-1"/>
                <w:sz w:val="20"/>
              </w:rPr>
              <w:t xml:space="preserve"> </w:t>
            </w:r>
            <w:r>
              <w:rPr>
                <w:sz w:val="20"/>
              </w:rPr>
              <w:t>State Assets</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MRDEUF</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6"/>
                <w:sz w:val="20"/>
              </w:rPr>
              <w:t xml:space="preserve"> </w:t>
            </w:r>
            <w:r>
              <w:rPr>
                <w:sz w:val="20"/>
              </w:rPr>
              <w:t>of</w:t>
            </w:r>
            <w:r>
              <w:rPr>
                <w:spacing w:val="-1"/>
                <w:sz w:val="20"/>
              </w:rPr>
              <w:t xml:space="preserve"> </w:t>
            </w:r>
            <w:r>
              <w:rPr>
                <w:sz w:val="20"/>
              </w:rPr>
              <w:t>Regional</w:t>
            </w:r>
            <w:r>
              <w:rPr>
                <w:spacing w:val="-2"/>
                <w:sz w:val="20"/>
              </w:rPr>
              <w:t xml:space="preserve"> </w:t>
            </w:r>
            <w:r>
              <w:rPr>
                <w:sz w:val="20"/>
              </w:rPr>
              <w:t>Development and</w:t>
            </w:r>
            <w:r>
              <w:rPr>
                <w:spacing w:val="-1"/>
                <w:sz w:val="20"/>
              </w:rPr>
              <w:t xml:space="preserve"> </w:t>
            </w:r>
            <w:r>
              <w:rPr>
                <w:sz w:val="20"/>
              </w:rPr>
              <w:t>EU</w:t>
            </w:r>
            <w:r>
              <w:rPr>
                <w:spacing w:val="-2"/>
                <w:sz w:val="20"/>
              </w:rPr>
              <w:t xml:space="preserve"> </w:t>
            </w:r>
            <w:r>
              <w:rPr>
                <w:sz w:val="20"/>
              </w:rPr>
              <w:t>Funds</w:t>
            </w:r>
          </w:p>
        </w:tc>
      </w:tr>
      <w:tr w:rsidR="00A56FE9">
        <w:trPr>
          <w:trHeight w:val="285"/>
        </w:trPr>
        <w:tc>
          <w:tcPr>
            <w:tcW w:w="1745" w:type="dxa"/>
            <w:tcBorders>
              <w:top w:val="single" w:sz="4" w:space="0" w:color="BEBEBE"/>
              <w:bottom w:val="single" w:sz="4" w:space="0" w:color="BEBEBE"/>
            </w:tcBorders>
          </w:tcPr>
          <w:p w:rsidR="00A56FE9" w:rsidRDefault="00000000">
            <w:pPr>
              <w:pStyle w:val="TableParagraph"/>
              <w:spacing w:before="29"/>
              <w:ind w:left="122"/>
              <w:rPr>
                <w:b/>
                <w:sz w:val="20"/>
              </w:rPr>
            </w:pPr>
            <w:r>
              <w:rPr>
                <w:b/>
                <w:sz w:val="20"/>
              </w:rPr>
              <w:t>MSE</w:t>
            </w:r>
          </w:p>
        </w:tc>
        <w:tc>
          <w:tcPr>
            <w:tcW w:w="7518" w:type="dxa"/>
            <w:tcBorders>
              <w:top w:val="single" w:sz="4" w:space="0" w:color="BEBEBE"/>
              <w:bottom w:val="single" w:sz="4" w:space="0" w:color="BEBEBE"/>
            </w:tcBorders>
          </w:tcPr>
          <w:p w:rsidR="00A56FE9" w:rsidRDefault="00000000">
            <w:pPr>
              <w:pStyle w:val="TableParagraph"/>
              <w:spacing w:before="24"/>
              <w:ind w:left="112"/>
              <w:rPr>
                <w:sz w:val="20"/>
              </w:rPr>
            </w:pPr>
            <w:r>
              <w:rPr>
                <w:sz w:val="20"/>
              </w:rPr>
              <w:t>Ministry</w:t>
            </w:r>
            <w:r>
              <w:rPr>
                <w:spacing w:val="-5"/>
                <w:sz w:val="20"/>
              </w:rPr>
              <w:t xml:space="preserve"> </w:t>
            </w:r>
            <w:r>
              <w:rPr>
                <w:sz w:val="20"/>
              </w:rPr>
              <w:t>of Science</w:t>
            </w:r>
            <w:r>
              <w:rPr>
                <w:spacing w:val="-1"/>
                <w:sz w:val="20"/>
              </w:rPr>
              <w:t xml:space="preserve"> </w:t>
            </w:r>
            <w:r>
              <w:rPr>
                <w:sz w:val="20"/>
              </w:rPr>
              <w:t>and</w:t>
            </w:r>
            <w:r>
              <w:rPr>
                <w:spacing w:val="-1"/>
                <w:sz w:val="20"/>
              </w:rPr>
              <w:t xml:space="preserve"> </w:t>
            </w:r>
            <w:r>
              <w:rPr>
                <w:sz w:val="20"/>
              </w:rPr>
              <w:t>Education</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MSTI</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6"/>
                <w:sz w:val="20"/>
              </w:rPr>
              <w:t xml:space="preserve"> </w:t>
            </w:r>
            <w:r>
              <w:rPr>
                <w:sz w:val="20"/>
              </w:rPr>
              <w:t>of</w:t>
            </w:r>
            <w:r>
              <w:rPr>
                <w:spacing w:val="-4"/>
                <w:sz w:val="20"/>
              </w:rPr>
              <w:t xml:space="preserve"> </w:t>
            </w:r>
            <w:r>
              <w:rPr>
                <w:sz w:val="20"/>
              </w:rPr>
              <w:t>the</w:t>
            </w:r>
            <w:r>
              <w:rPr>
                <w:spacing w:val="-2"/>
                <w:sz w:val="20"/>
              </w:rPr>
              <w:t xml:space="preserve"> </w:t>
            </w:r>
            <w:r>
              <w:rPr>
                <w:sz w:val="20"/>
              </w:rPr>
              <w:t>Sea,</w:t>
            </w:r>
            <w:r>
              <w:rPr>
                <w:spacing w:val="-1"/>
                <w:sz w:val="20"/>
              </w:rPr>
              <w:t xml:space="preserve"> </w:t>
            </w:r>
            <w:r>
              <w:rPr>
                <w:sz w:val="20"/>
              </w:rPr>
              <w:t>Transport</w:t>
            </w:r>
            <w:r>
              <w:rPr>
                <w:spacing w:val="-3"/>
                <w:sz w:val="20"/>
              </w:rPr>
              <w:t xml:space="preserve"> </w:t>
            </w:r>
            <w:r>
              <w:rPr>
                <w:sz w:val="20"/>
              </w:rPr>
              <w:t>and</w:t>
            </w:r>
            <w:r>
              <w:rPr>
                <w:spacing w:val="-1"/>
                <w:sz w:val="20"/>
              </w:rPr>
              <w:t xml:space="preserve"> </w:t>
            </w:r>
            <w:r>
              <w:rPr>
                <w:sz w:val="20"/>
              </w:rPr>
              <w:t>Infrastructure</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MTS</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Ministry</w:t>
            </w:r>
            <w:r>
              <w:rPr>
                <w:spacing w:val="-5"/>
                <w:sz w:val="20"/>
              </w:rPr>
              <w:t xml:space="preserve"> </w:t>
            </w:r>
            <w:r>
              <w:rPr>
                <w:sz w:val="20"/>
              </w:rPr>
              <w:t>of</w:t>
            </w:r>
            <w:r>
              <w:rPr>
                <w:spacing w:val="-2"/>
                <w:sz w:val="20"/>
              </w:rPr>
              <w:t xml:space="preserve"> </w:t>
            </w:r>
            <w:r>
              <w:rPr>
                <w:sz w:val="20"/>
              </w:rPr>
              <w:t>Tourism</w:t>
            </w:r>
            <w:r>
              <w:rPr>
                <w:spacing w:val="-4"/>
                <w:sz w:val="20"/>
              </w:rPr>
              <w:t xml:space="preserve"> </w:t>
            </w:r>
            <w:r>
              <w:rPr>
                <w:sz w:val="20"/>
              </w:rPr>
              <w:t>and</w:t>
            </w:r>
            <w:r>
              <w:rPr>
                <w:spacing w:val="1"/>
                <w:sz w:val="20"/>
              </w:rPr>
              <w:t xml:space="preserve"> </w:t>
            </w:r>
            <w:r>
              <w:rPr>
                <w:sz w:val="20"/>
              </w:rPr>
              <w:t>Sport</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NDS</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2030</w:t>
            </w:r>
            <w:r>
              <w:rPr>
                <w:spacing w:val="-2"/>
                <w:sz w:val="20"/>
              </w:rPr>
              <w:t xml:space="preserve"> </w:t>
            </w:r>
            <w:r>
              <w:rPr>
                <w:sz w:val="20"/>
              </w:rPr>
              <w:t>National</w:t>
            </w:r>
            <w:r>
              <w:rPr>
                <w:spacing w:val="-2"/>
                <w:sz w:val="20"/>
              </w:rPr>
              <w:t xml:space="preserve"> </w:t>
            </w:r>
            <w:r>
              <w:rPr>
                <w:sz w:val="20"/>
              </w:rPr>
              <w:t>Development</w:t>
            </w:r>
            <w:r>
              <w:rPr>
                <w:spacing w:val="-3"/>
                <w:sz w:val="20"/>
              </w:rPr>
              <w:t xml:space="preserve"> </w:t>
            </w:r>
            <w:r>
              <w:rPr>
                <w:sz w:val="20"/>
              </w:rPr>
              <w:t>Strategy</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NRP</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2022</w:t>
            </w:r>
            <w:r>
              <w:rPr>
                <w:spacing w:val="-1"/>
                <w:sz w:val="20"/>
              </w:rPr>
              <w:t xml:space="preserve"> </w:t>
            </w:r>
            <w:r>
              <w:rPr>
                <w:sz w:val="20"/>
              </w:rPr>
              <w:t>National</w:t>
            </w:r>
            <w:r>
              <w:rPr>
                <w:spacing w:val="-1"/>
                <w:sz w:val="20"/>
              </w:rPr>
              <w:t xml:space="preserve"> </w:t>
            </w:r>
            <w:r>
              <w:rPr>
                <w:sz w:val="20"/>
              </w:rPr>
              <w:t>Reform</w:t>
            </w:r>
            <w:r>
              <w:rPr>
                <w:spacing w:val="-5"/>
                <w:sz w:val="20"/>
              </w:rPr>
              <w:t xml:space="preserve"> </w:t>
            </w:r>
            <w:r>
              <w:rPr>
                <w:sz w:val="20"/>
              </w:rPr>
              <w:t>Plan</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NRRP</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2021-2026</w:t>
            </w:r>
            <w:r>
              <w:rPr>
                <w:spacing w:val="-2"/>
                <w:sz w:val="20"/>
              </w:rPr>
              <w:t xml:space="preserve"> </w:t>
            </w:r>
            <w:r>
              <w:rPr>
                <w:sz w:val="20"/>
              </w:rPr>
              <w:t>National</w:t>
            </w:r>
            <w:r>
              <w:rPr>
                <w:spacing w:val="-2"/>
                <w:sz w:val="20"/>
              </w:rPr>
              <w:t xml:space="preserve"> </w:t>
            </w:r>
            <w:r>
              <w:rPr>
                <w:sz w:val="20"/>
              </w:rPr>
              <w:t>Recovery</w:t>
            </w:r>
            <w:r>
              <w:rPr>
                <w:spacing w:val="-4"/>
                <w:sz w:val="20"/>
              </w:rPr>
              <w:t xml:space="preserve"> </w:t>
            </w:r>
            <w:r>
              <w:rPr>
                <w:sz w:val="20"/>
              </w:rPr>
              <w:t>and</w:t>
            </w:r>
            <w:r>
              <w:rPr>
                <w:spacing w:val="2"/>
                <w:sz w:val="20"/>
              </w:rPr>
              <w:t xml:space="preserve"> </w:t>
            </w:r>
            <w:r>
              <w:rPr>
                <w:sz w:val="20"/>
              </w:rPr>
              <w:t>Resilience</w:t>
            </w:r>
            <w:r>
              <w:rPr>
                <w:spacing w:val="-3"/>
                <w:sz w:val="20"/>
              </w:rPr>
              <w:t xml:space="preserve"> </w:t>
            </w:r>
            <w:r>
              <w:rPr>
                <w:sz w:val="20"/>
              </w:rPr>
              <w:t>Plan</w:t>
            </w:r>
          </w:p>
        </w:tc>
      </w:tr>
      <w:tr w:rsidR="00A56FE9">
        <w:trPr>
          <w:trHeight w:val="283"/>
        </w:trPr>
        <w:tc>
          <w:tcPr>
            <w:tcW w:w="1745" w:type="dxa"/>
            <w:tcBorders>
              <w:top w:val="single" w:sz="4" w:space="0" w:color="BEBEBE"/>
              <w:bottom w:val="single" w:sz="4" w:space="0" w:color="BEBEBE"/>
            </w:tcBorders>
          </w:tcPr>
          <w:p w:rsidR="00A56FE9" w:rsidRDefault="00000000">
            <w:pPr>
              <w:pStyle w:val="TableParagraph"/>
              <w:spacing w:before="27"/>
              <w:ind w:left="122"/>
              <w:rPr>
                <w:b/>
                <w:sz w:val="20"/>
              </w:rPr>
            </w:pPr>
            <w:r>
              <w:rPr>
                <w:b/>
                <w:sz w:val="20"/>
              </w:rPr>
              <w:t>OG</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Official</w:t>
            </w:r>
            <w:r>
              <w:rPr>
                <w:spacing w:val="-3"/>
                <w:sz w:val="20"/>
              </w:rPr>
              <w:t xml:space="preserve"> </w:t>
            </w:r>
            <w:r>
              <w:rPr>
                <w:sz w:val="20"/>
              </w:rPr>
              <w:t>Gazette</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RRF</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Recovery</w:t>
            </w:r>
            <w:r>
              <w:rPr>
                <w:spacing w:val="-6"/>
                <w:sz w:val="20"/>
              </w:rPr>
              <w:t xml:space="preserve"> </w:t>
            </w:r>
            <w:r>
              <w:rPr>
                <w:sz w:val="20"/>
              </w:rPr>
              <w:t>and</w:t>
            </w:r>
            <w:r>
              <w:rPr>
                <w:spacing w:val="-1"/>
                <w:sz w:val="20"/>
              </w:rPr>
              <w:t xml:space="preserve"> </w:t>
            </w:r>
            <w:r>
              <w:rPr>
                <w:sz w:val="20"/>
              </w:rPr>
              <w:t>Resilience</w:t>
            </w:r>
            <w:r>
              <w:rPr>
                <w:spacing w:val="1"/>
                <w:sz w:val="20"/>
              </w:rPr>
              <w:t xml:space="preserve"> </w:t>
            </w:r>
            <w:r>
              <w:rPr>
                <w:sz w:val="20"/>
              </w:rPr>
              <w:t>Facility</w:t>
            </w:r>
          </w:p>
        </w:tc>
      </w:tr>
      <w:tr w:rsidR="00A56FE9">
        <w:trPr>
          <w:trHeight w:val="282"/>
        </w:trPr>
        <w:tc>
          <w:tcPr>
            <w:tcW w:w="1745" w:type="dxa"/>
            <w:tcBorders>
              <w:top w:val="single" w:sz="4" w:space="0" w:color="BEBEBE"/>
              <w:bottom w:val="single" w:sz="4" w:space="0" w:color="BEBEBE"/>
            </w:tcBorders>
          </w:tcPr>
          <w:p w:rsidR="00A56FE9" w:rsidRDefault="00000000">
            <w:pPr>
              <w:pStyle w:val="TableParagraph"/>
              <w:spacing w:before="26"/>
              <w:ind w:left="122"/>
              <w:rPr>
                <w:b/>
                <w:sz w:val="20"/>
              </w:rPr>
            </w:pPr>
            <w:r>
              <w:rPr>
                <w:b/>
                <w:sz w:val="20"/>
              </w:rPr>
              <w:t>SAB</w:t>
            </w:r>
          </w:p>
        </w:tc>
        <w:tc>
          <w:tcPr>
            <w:tcW w:w="7518" w:type="dxa"/>
            <w:tcBorders>
              <w:top w:val="single" w:sz="4" w:space="0" w:color="BEBEBE"/>
              <w:bottom w:val="single" w:sz="4" w:space="0" w:color="BEBEBE"/>
            </w:tcBorders>
          </w:tcPr>
          <w:p w:rsidR="00A56FE9" w:rsidRDefault="00000000">
            <w:pPr>
              <w:pStyle w:val="TableParagraph"/>
              <w:spacing w:before="22"/>
              <w:ind w:left="112"/>
              <w:rPr>
                <w:sz w:val="20"/>
              </w:rPr>
            </w:pPr>
            <w:r>
              <w:rPr>
                <w:sz w:val="20"/>
              </w:rPr>
              <w:t>State</w:t>
            </w:r>
            <w:r>
              <w:rPr>
                <w:spacing w:val="-2"/>
                <w:sz w:val="20"/>
              </w:rPr>
              <w:t xml:space="preserve"> </w:t>
            </w:r>
            <w:r>
              <w:rPr>
                <w:sz w:val="20"/>
              </w:rPr>
              <w:t>administration</w:t>
            </w:r>
            <w:r>
              <w:rPr>
                <w:spacing w:val="-2"/>
                <w:sz w:val="20"/>
              </w:rPr>
              <w:t xml:space="preserve"> </w:t>
            </w:r>
            <w:r>
              <w:rPr>
                <w:sz w:val="20"/>
              </w:rPr>
              <w:t>body</w:t>
            </w:r>
          </w:p>
        </w:tc>
      </w:tr>
    </w:tbl>
    <w:p w:rsidR="00A56FE9" w:rsidRDefault="00A56FE9">
      <w:pPr>
        <w:rPr>
          <w:sz w:val="20"/>
        </w:rPr>
        <w:sectPr w:rsidR="00A56FE9" w:rsidSect="00AB1E70">
          <w:pgSz w:w="11910" w:h="16840"/>
          <w:pgMar w:top="1360" w:right="1140" w:bottom="280" w:left="1280" w:header="720" w:footer="720" w:gutter="0"/>
          <w:cols w:space="720"/>
        </w:sectPr>
      </w:pPr>
    </w:p>
    <w:p w:rsidR="00A56FE9" w:rsidRDefault="00000000">
      <w:pPr>
        <w:pStyle w:val="Naslov1"/>
        <w:numPr>
          <w:ilvl w:val="0"/>
          <w:numId w:val="8"/>
        </w:numPr>
        <w:tabs>
          <w:tab w:val="left" w:pos="593"/>
        </w:tabs>
        <w:ind w:hanging="455"/>
      </w:pPr>
      <w:bookmarkStart w:id="0" w:name="_bookmark0"/>
      <w:bookmarkEnd w:id="0"/>
      <w:r>
        <w:rPr>
          <w:color w:val="003399"/>
        </w:rPr>
        <w:t>Introduction</w:t>
      </w:r>
    </w:p>
    <w:p w:rsidR="00A56FE9" w:rsidRDefault="00000000">
      <w:pPr>
        <w:pStyle w:val="Tijeloteksta"/>
        <w:spacing w:before="247" w:line="276" w:lineRule="auto"/>
        <w:ind w:right="276"/>
      </w:pPr>
      <w:r>
        <w:t>After the framework for the annual coordination of economic, fiscal and employment policies</w:t>
      </w:r>
      <w:r>
        <w:rPr>
          <w:spacing w:val="1"/>
        </w:rPr>
        <w:t xml:space="preserve"> </w:t>
      </w:r>
      <w:r>
        <w:t>in the European Union was temporarily adjusted in the 2020 European Semester due to the</w:t>
      </w:r>
      <w:r>
        <w:rPr>
          <w:spacing w:val="1"/>
        </w:rPr>
        <w:t xml:space="preserve"> </w:t>
      </w:r>
      <w:r>
        <w:t>COVID-19</w:t>
      </w:r>
      <w:r>
        <w:rPr>
          <w:spacing w:val="-4"/>
        </w:rPr>
        <w:t xml:space="preserve"> </w:t>
      </w:r>
      <w:r>
        <w:t>pandemic,</w:t>
      </w:r>
      <w:r>
        <w:rPr>
          <w:spacing w:val="-4"/>
        </w:rPr>
        <w:t xml:space="preserve"> </w:t>
      </w:r>
      <w:r>
        <w:t>the</w:t>
      </w:r>
      <w:r>
        <w:rPr>
          <w:spacing w:val="-2"/>
        </w:rPr>
        <w:t xml:space="preserve"> </w:t>
      </w:r>
      <w:r>
        <w:t>cycle</w:t>
      </w:r>
      <w:r>
        <w:rPr>
          <w:spacing w:val="-5"/>
        </w:rPr>
        <w:t xml:space="preserve"> </w:t>
      </w:r>
      <w:r>
        <w:t>for</w:t>
      </w:r>
      <w:r>
        <w:rPr>
          <w:spacing w:val="-3"/>
        </w:rPr>
        <w:t xml:space="preserve"> </w:t>
      </w:r>
      <w:r>
        <w:t>2022</w:t>
      </w:r>
      <w:r>
        <w:rPr>
          <w:spacing w:val="-4"/>
        </w:rPr>
        <w:t xml:space="preserve"> </w:t>
      </w:r>
      <w:r>
        <w:t>reintroduces</w:t>
      </w:r>
      <w:r>
        <w:rPr>
          <w:spacing w:val="-3"/>
        </w:rPr>
        <w:t xml:space="preserve"> </w:t>
      </w:r>
      <w:r>
        <w:t>key</w:t>
      </w:r>
      <w:r>
        <w:rPr>
          <w:spacing w:val="-6"/>
        </w:rPr>
        <w:t xml:space="preserve"> </w:t>
      </w:r>
      <w:r>
        <w:t>elements</w:t>
      </w:r>
      <w:r>
        <w:rPr>
          <w:spacing w:val="-2"/>
        </w:rPr>
        <w:t xml:space="preserve"> </w:t>
      </w:r>
      <w:r>
        <w:t>of</w:t>
      </w:r>
      <w:r>
        <w:rPr>
          <w:spacing w:val="-5"/>
        </w:rPr>
        <w:t xml:space="preserve"> </w:t>
      </w:r>
      <w:r>
        <w:t>the</w:t>
      </w:r>
      <w:r>
        <w:rPr>
          <w:spacing w:val="1"/>
        </w:rPr>
        <w:t xml:space="preserve"> </w:t>
      </w:r>
      <w:r>
        <w:t>European</w:t>
      </w:r>
      <w:r>
        <w:rPr>
          <w:spacing w:val="-4"/>
        </w:rPr>
        <w:t xml:space="preserve"> </w:t>
      </w:r>
      <w:r>
        <w:t>Semester.</w:t>
      </w:r>
      <w:r>
        <w:rPr>
          <w:spacing w:val="-57"/>
        </w:rPr>
        <w:t xml:space="preserve"> </w:t>
      </w:r>
      <w:r>
        <w:t>This primarily applies to the commitments of the Member States, which includes the drafting</w:t>
      </w:r>
      <w:r>
        <w:rPr>
          <w:spacing w:val="1"/>
        </w:rPr>
        <w:t xml:space="preserve"> </w:t>
      </w:r>
      <w:r>
        <w:t>of the National Reform Programs, submitted in last year's cycle of the European Semester as</w:t>
      </w:r>
      <w:r>
        <w:rPr>
          <w:spacing w:val="1"/>
        </w:rPr>
        <w:t xml:space="preserve"> </w:t>
      </w:r>
      <w:r>
        <w:t>an</w:t>
      </w:r>
      <w:r>
        <w:rPr>
          <w:spacing w:val="-1"/>
        </w:rPr>
        <w:t xml:space="preserve"> </w:t>
      </w:r>
      <w:r>
        <w:t>integral part of</w:t>
      </w:r>
      <w:r>
        <w:rPr>
          <w:spacing w:val="-1"/>
        </w:rPr>
        <w:t xml:space="preserve"> </w:t>
      </w:r>
      <w:r>
        <w:t>the recovery</w:t>
      </w:r>
      <w:r>
        <w:rPr>
          <w:spacing w:val="-5"/>
        </w:rPr>
        <w:t xml:space="preserve"> </w:t>
      </w:r>
      <w:r>
        <w:t>and resilience</w:t>
      </w:r>
      <w:r>
        <w:rPr>
          <w:spacing w:val="-1"/>
        </w:rPr>
        <w:t xml:space="preserve"> </w:t>
      </w:r>
      <w:r>
        <w:t>plans.</w:t>
      </w:r>
    </w:p>
    <w:p w:rsidR="00A56FE9" w:rsidRDefault="00000000">
      <w:pPr>
        <w:pStyle w:val="Tijeloteksta"/>
        <w:spacing w:before="121" w:line="276" w:lineRule="auto"/>
        <w:ind w:right="272"/>
      </w:pPr>
      <w:r>
        <w:t>Given that the Recovery and Resilience Facility includes new aspects of the European Union's</w:t>
      </w:r>
      <w:r>
        <w:rPr>
          <w:spacing w:val="-57"/>
        </w:rPr>
        <w:t xml:space="preserve"> </w:t>
      </w:r>
      <w:r>
        <w:t>economic model, the European Semester aims to continue comprehensive monitoring of green</w:t>
      </w:r>
      <w:r>
        <w:rPr>
          <w:spacing w:val="-57"/>
        </w:rPr>
        <w:t xml:space="preserve"> </w:t>
      </w:r>
      <w:r>
        <w:t>and digital transition goals, labour markets as well as social inclusion at the European Union</w:t>
      </w:r>
      <w:r>
        <w:rPr>
          <w:spacing w:val="1"/>
        </w:rPr>
        <w:t xml:space="preserve"> </w:t>
      </w:r>
      <w:r>
        <w:t>level</w:t>
      </w:r>
      <w:r>
        <w:rPr>
          <w:spacing w:val="-1"/>
        </w:rPr>
        <w:t xml:space="preserve"> </w:t>
      </w:r>
      <w:r>
        <w:t>in addition to monitoring</w:t>
      </w:r>
      <w:r>
        <w:rPr>
          <w:spacing w:val="-3"/>
        </w:rPr>
        <w:t xml:space="preserve"> </w:t>
      </w:r>
      <w:r>
        <w:t>progress in fiscal, financial and economic</w:t>
      </w:r>
      <w:r>
        <w:rPr>
          <w:spacing w:val="-1"/>
        </w:rPr>
        <w:t xml:space="preserve"> </w:t>
      </w:r>
      <w:r>
        <w:t>policies.</w:t>
      </w:r>
    </w:p>
    <w:p w:rsidR="00A56FE9" w:rsidRDefault="00000000">
      <w:pPr>
        <w:pStyle w:val="Tijeloteksta"/>
        <w:spacing w:before="121" w:line="276" w:lineRule="auto"/>
        <w:ind w:right="272"/>
      </w:pPr>
      <w:r>
        <w:t>In</w:t>
      </w:r>
      <w:r>
        <w:rPr>
          <w:spacing w:val="-7"/>
        </w:rPr>
        <w:t xml:space="preserve"> </w:t>
      </w:r>
      <w:r>
        <w:t>this</w:t>
      </w:r>
      <w:r>
        <w:rPr>
          <w:spacing w:val="-1"/>
        </w:rPr>
        <w:t xml:space="preserve"> </w:t>
      </w:r>
      <w:r>
        <w:t>year's</w:t>
      </w:r>
      <w:r>
        <w:rPr>
          <w:spacing w:val="-7"/>
        </w:rPr>
        <w:t xml:space="preserve"> </w:t>
      </w:r>
      <w:r>
        <w:t>European</w:t>
      </w:r>
      <w:r>
        <w:rPr>
          <w:spacing w:val="-6"/>
        </w:rPr>
        <w:t xml:space="preserve"> </w:t>
      </w:r>
      <w:r>
        <w:t>Semester</w:t>
      </w:r>
      <w:r>
        <w:rPr>
          <w:spacing w:val="-6"/>
        </w:rPr>
        <w:t xml:space="preserve"> </w:t>
      </w:r>
      <w:r>
        <w:t>cycle,</w:t>
      </w:r>
      <w:r>
        <w:rPr>
          <w:spacing w:val="-6"/>
        </w:rPr>
        <w:t xml:space="preserve"> </w:t>
      </w:r>
      <w:r>
        <w:t>based</w:t>
      </w:r>
      <w:r>
        <w:rPr>
          <w:spacing w:val="-7"/>
        </w:rPr>
        <w:t xml:space="preserve"> </w:t>
      </w:r>
      <w:r>
        <w:t>on</w:t>
      </w:r>
      <w:r>
        <w:rPr>
          <w:spacing w:val="-6"/>
        </w:rPr>
        <w:t xml:space="preserve"> </w:t>
      </w:r>
      <w:r>
        <w:t>submitted</w:t>
      </w:r>
      <w:r>
        <w:rPr>
          <w:spacing w:val="-7"/>
        </w:rPr>
        <w:t xml:space="preserve"> </w:t>
      </w:r>
      <w:r>
        <w:t>strategic</w:t>
      </w:r>
      <w:r>
        <w:rPr>
          <w:spacing w:val="-8"/>
        </w:rPr>
        <w:t xml:space="preserve"> </w:t>
      </w:r>
      <w:r>
        <w:t>documents</w:t>
      </w:r>
      <w:r>
        <w:rPr>
          <w:spacing w:val="-6"/>
        </w:rPr>
        <w:t xml:space="preserve"> </w:t>
      </w:r>
      <w:r>
        <w:t>of</w:t>
      </w:r>
      <w:r>
        <w:rPr>
          <w:spacing w:val="-8"/>
        </w:rPr>
        <w:t xml:space="preserve"> </w:t>
      </w:r>
      <w:r>
        <w:t>the</w:t>
      </w:r>
      <w:r>
        <w:rPr>
          <w:spacing w:val="-7"/>
        </w:rPr>
        <w:t xml:space="preserve"> </w:t>
      </w:r>
      <w:r>
        <w:t>Member</w:t>
      </w:r>
      <w:r>
        <w:rPr>
          <w:spacing w:val="-58"/>
        </w:rPr>
        <w:t xml:space="preserve"> </w:t>
      </w:r>
      <w:r>
        <w:t>States,</w:t>
      </w:r>
      <w:r>
        <w:rPr>
          <w:spacing w:val="1"/>
        </w:rPr>
        <w:t xml:space="preserve"> </w:t>
      </w:r>
      <w:r>
        <w:t>which</w:t>
      </w:r>
      <w:r>
        <w:rPr>
          <w:spacing w:val="1"/>
        </w:rPr>
        <w:t xml:space="preserve"> </w:t>
      </w:r>
      <w:r>
        <w:t>along</w:t>
      </w:r>
      <w:r>
        <w:rPr>
          <w:spacing w:val="1"/>
        </w:rPr>
        <w:t xml:space="preserve"> </w:t>
      </w:r>
      <w:r>
        <w:t>with</w:t>
      </w:r>
      <w:r>
        <w:rPr>
          <w:spacing w:val="1"/>
        </w:rPr>
        <w:t xml:space="preserve"> </w:t>
      </w:r>
      <w:r>
        <w:t>the</w:t>
      </w:r>
      <w:r>
        <w:rPr>
          <w:spacing w:val="1"/>
        </w:rPr>
        <w:t xml:space="preserve"> </w:t>
      </w:r>
      <w:r>
        <w:t>national</w:t>
      </w:r>
      <w:r>
        <w:rPr>
          <w:spacing w:val="1"/>
        </w:rPr>
        <w:t xml:space="preserve"> </w:t>
      </w:r>
      <w:r>
        <w:t>reform</w:t>
      </w:r>
      <w:r>
        <w:rPr>
          <w:spacing w:val="1"/>
        </w:rPr>
        <w:t xml:space="preserve"> </w:t>
      </w:r>
      <w:r>
        <w:t>programs,</w:t>
      </w:r>
      <w:r>
        <w:rPr>
          <w:spacing w:val="1"/>
        </w:rPr>
        <w:t xml:space="preserve"> </w:t>
      </w:r>
      <w:r>
        <w:t>will</w:t>
      </w:r>
      <w:r>
        <w:rPr>
          <w:spacing w:val="1"/>
        </w:rPr>
        <w:t xml:space="preserve"> </w:t>
      </w:r>
      <w:r>
        <w:t>also</w:t>
      </w:r>
      <w:r>
        <w:rPr>
          <w:spacing w:val="1"/>
        </w:rPr>
        <w:t xml:space="preserve"> </w:t>
      </w:r>
      <w:r>
        <w:t>submit</w:t>
      </w:r>
      <w:r>
        <w:rPr>
          <w:spacing w:val="1"/>
        </w:rPr>
        <w:t xml:space="preserve"> </w:t>
      </w:r>
      <w:r>
        <w:t>the</w:t>
      </w:r>
      <w:r>
        <w:rPr>
          <w:spacing w:val="1"/>
        </w:rPr>
        <w:t xml:space="preserve"> </w:t>
      </w:r>
      <w:r>
        <w:t>2022-2025</w:t>
      </w:r>
      <w:r>
        <w:rPr>
          <w:spacing w:val="-57"/>
        </w:rPr>
        <w:t xml:space="preserve"> </w:t>
      </w:r>
      <w:r>
        <w:t>Convergence</w:t>
      </w:r>
      <w:r>
        <w:rPr>
          <w:spacing w:val="-12"/>
        </w:rPr>
        <w:t xml:space="preserve"> </w:t>
      </w:r>
      <w:r>
        <w:t>and</w:t>
      </w:r>
      <w:r>
        <w:rPr>
          <w:spacing w:val="-10"/>
        </w:rPr>
        <w:t xml:space="preserve"> </w:t>
      </w:r>
      <w:r>
        <w:t>Stability</w:t>
      </w:r>
      <w:r>
        <w:rPr>
          <w:spacing w:val="-13"/>
        </w:rPr>
        <w:t xml:space="preserve"> </w:t>
      </w:r>
      <w:r>
        <w:t>Programs,</w:t>
      </w:r>
      <w:r>
        <w:rPr>
          <w:spacing w:val="-9"/>
        </w:rPr>
        <w:t xml:space="preserve"> </w:t>
      </w:r>
      <w:r>
        <w:t>the</w:t>
      </w:r>
      <w:r>
        <w:rPr>
          <w:spacing w:val="-12"/>
        </w:rPr>
        <w:t xml:space="preserve"> </w:t>
      </w:r>
      <w:r>
        <w:t>European</w:t>
      </w:r>
      <w:r>
        <w:rPr>
          <w:spacing w:val="-10"/>
        </w:rPr>
        <w:t xml:space="preserve"> </w:t>
      </w:r>
      <w:r>
        <w:t>Commission</w:t>
      </w:r>
      <w:r>
        <w:rPr>
          <w:spacing w:val="-11"/>
        </w:rPr>
        <w:t xml:space="preserve"> </w:t>
      </w:r>
      <w:r>
        <w:t>will</w:t>
      </w:r>
      <w:r>
        <w:rPr>
          <w:spacing w:val="-10"/>
        </w:rPr>
        <w:t xml:space="preserve"> </w:t>
      </w:r>
      <w:r>
        <w:t>prepare</w:t>
      </w:r>
      <w:r>
        <w:rPr>
          <w:spacing w:val="-13"/>
        </w:rPr>
        <w:t xml:space="preserve"> </w:t>
      </w:r>
      <w:r>
        <w:t>individual</w:t>
      </w:r>
      <w:r>
        <w:rPr>
          <w:spacing w:val="-10"/>
        </w:rPr>
        <w:t xml:space="preserve"> </w:t>
      </w:r>
      <w:r>
        <w:t>reports</w:t>
      </w:r>
      <w:r>
        <w:rPr>
          <w:spacing w:val="-58"/>
        </w:rPr>
        <w:t xml:space="preserve"> </w:t>
      </w:r>
      <w:r>
        <w:t>for the Member States and, consequently, individual recommendations to them concerning the</w:t>
      </w:r>
      <w:r>
        <w:rPr>
          <w:spacing w:val="-57"/>
        </w:rPr>
        <w:t xml:space="preserve"> </w:t>
      </w:r>
      <w:r>
        <w:t>managing</w:t>
      </w:r>
      <w:r>
        <w:rPr>
          <w:spacing w:val="-3"/>
        </w:rPr>
        <w:t xml:space="preserve"> </w:t>
      </w:r>
      <w:r>
        <w:t>of fiscal policy</w:t>
      </w:r>
      <w:r>
        <w:rPr>
          <w:spacing w:val="-3"/>
        </w:rPr>
        <w:t xml:space="preserve"> </w:t>
      </w:r>
      <w:r>
        <w:t>and addressing</w:t>
      </w:r>
      <w:r>
        <w:rPr>
          <w:spacing w:val="-4"/>
        </w:rPr>
        <w:t xml:space="preserve"> </w:t>
      </w:r>
      <w:r>
        <w:t>structural challenges for</w:t>
      </w:r>
      <w:r>
        <w:rPr>
          <w:spacing w:val="-2"/>
        </w:rPr>
        <w:t xml:space="preserve"> </w:t>
      </w:r>
      <w:r>
        <w:t>the</w:t>
      </w:r>
      <w:r>
        <w:rPr>
          <w:spacing w:val="-1"/>
        </w:rPr>
        <w:t xml:space="preserve"> </w:t>
      </w:r>
      <w:r>
        <w:t>future</w:t>
      </w:r>
      <w:r>
        <w:rPr>
          <w:spacing w:val="3"/>
        </w:rPr>
        <w:t xml:space="preserve"> </w:t>
      </w:r>
      <w:r>
        <w:t>period.</w:t>
      </w:r>
    </w:p>
    <w:p w:rsidR="00A56FE9" w:rsidRDefault="00000000">
      <w:pPr>
        <w:spacing w:before="119" w:line="278" w:lineRule="auto"/>
        <w:ind w:left="138" w:right="274"/>
        <w:jc w:val="both"/>
        <w:rPr>
          <w:b/>
          <w:sz w:val="24"/>
        </w:rPr>
      </w:pPr>
      <w:r>
        <w:rPr>
          <w:sz w:val="24"/>
        </w:rPr>
        <w:t>To</w:t>
      </w:r>
      <w:r>
        <w:rPr>
          <w:spacing w:val="-9"/>
          <w:sz w:val="24"/>
        </w:rPr>
        <w:t xml:space="preserve"> </w:t>
      </w:r>
      <w:r>
        <w:rPr>
          <w:sz w:val="24"/>
        </w:rPr>
        <w:t>ensure</w:t>
      </w:r>
      <w:r>
        <w:rPr>
          <w:spacing w:val="-7"/>
          <w:sz w:val="24"/>
        </w:rPr>
        <w:t xml:space="preserve"> </w:t>
      </w:r>
      <w:r>
        <w:rPr>
          <w:sz w:val="24"/>
        </w:rPr>
        <w:t>coherence</w:t>
      </w:r>
      <w:r>
        <w:rPr>
          <w:spacing w:val="-9"/>
          <w:sz w:val="24"/>
        </w:rPr>
        <w:t xml:space="preserve"> </w:t>
      </w:r>
      <w:r>
        <w:rPr>
          <w:sz w:val="24"/>
        </w:rPr>
        <w:t>of</w:t>
      </w:r>
      <w:r>
        <w:rPr>
          <w:spacing w:val="-9"/>
          <w:sz w:val="24"/>
        </w:rPr>
        <w:t xml:space="preserve"> </w:t>
      </w:r>
      <w:r>
        <w:rPr>
          <w:sz w:val="24"/>
        </w:rPr>
        <w:t>the</w:t>
      </w:r>
      <w:r>
        <w:rPr>
          <w:spacing w:val="-9"/>
          <w:sz w:val="24"/>
        </w:rPr>
        <w:t xml:space="preserve"> </w:t>
      </w:r>
      <w:r>
        <w:rPr>
          <w:sz w:val="24"/>
        </w:rPr>
        <w:t>Recovery</w:t>
      </w:r>
      <w:r>
        <w:rPr>
          <w:spacing w:val="-12"/>
          <w:sz w:val="24"/>
        </w:rPr>
        <w:t xml:space="preserve"> </w:t>
      </w:r>
      <w:r>
        <w:rPr>
          <w:sz w:val="24"/>
        </w:rPr>
        <w:t>and</w:t>
      </w:r>
      <w:r>
        <w:rPr>
          <w:spacing w:val="-9"/>
          <w:sz w:val="24"/>
        </w:rPr>
        <w:t xml:space="preserve"> </w:t>
      </w:r>
      <w:r>
        <w:rPr>
          <w:sz w:val="24"/>
        </w:rPr>
        <w:t>Resilience</w:t>
      </w:r>
      <w:r>
        <w:rPr>
          <w:spacing w:val="-5"/>
          <w:sz w:val="24"/>
        </w:rPr>
        <w:t xml:space="preserve"> </w:t>
      </w:r>
      <w:r>
        <w:rPr>
          <w:sz w:val="24"/>
        </w:rPr>
        <w:t>Facility,</w:t>
      </w:r>
      <w:r>
        <w:rPr>
          <w:spacing w:val="-8"/>
          <w:sz w:val="24"/>
        </w:rPr>
        <w:t xml:space="preserve"> </w:t>
      </w:r>
      <w:r>
        <w:rPr>
          <w:sz w:val="24"/>
        </w:rPr>
        <w:t>i.e.,</w:t>
      </w:r>
      <w:r>
        <w:rPr>
          <w:spacing w:val="-9"/>
          <w:sz w:val="24"/>
        </w:rPr>
        <w:t xml:space="preserve"> </w:t>
      </w:r>
      <w:r>
        <w:rPr>
          <w:sz w:val="24"/>
        </w:rPr>
        <w:t>recovery</w:t>
      </w:r>
      <w:r>
        <w:rPr>
          <w:spacing w:val="-10"/>
          <w:sz w:val="24"/>
        </w:rPr>
        <w:t xml:space="preserve"> </w:t>
      </w:r>
      <w:r>
        <w:rPr>
          <w:sz w:val="24"/>
        </w:rPr>
        <w:t>and</w:t>
      </w:r>
      <w:r>
        <w:rPr>
          <w:spacing w:val="-7"/>
          <w:sz w:val="24"/>
        </w:rPr>
        <w:t xml:space="preserve"> </w:t>
      </w:r>
      <w:r>
        <w:rPr>
          <w:sz w:val="24"/>
        </w:rPr>
        <w:t>resilience</w:t>
      </w:r>
      <w:r>
        <w:rPr>
          <w:spacing w:val="-8"/>
          <w:sz w:val="24"/>
        </w:rPr>
        <w:t xml:space="preserve"> </w:t>
      </w:r>
      <w:r>
        <w:rPr>
          <w:sz w:val="24"/>
        </w:rPr>
        <w:t>plans</w:t>
      </w:r>
      <w:r>
        <w:rPr>
          <w:spacing w:val="-58"/>
          <w:sz w:val="24"/>
        </w:rPr>
        <w:t xml:space="preserve"> </w:t>
      </w:r>
      <w:r>
        <w:rPr>
          <w:sz w:val="24"/>
        </w:rPr>
        <w:t xml:space="preserve">and the strategic documents to be developed </w:t>
      </w:r>
      <w:r>
        <w:rPr>
          <w:b/>
          <w:sz w:val="24"/>
        </w:rPr>
        <w:t>within this year's European Semester cycle,</w:t>
      </w:r>
      <w:r>
        <w:rPr>
          <w:b/>
          <w:spacing w:val="1"/>
          <w:sz w:val="24"/>
        </w:rPr>
        <w:t xml:space="preserve"> </w:t>
      </w:r>
      <w:r>
        <w:rPr>
          <w:b/>
          <w:sz w:val="24"/>
        </w:rPr>
        <w:t>special emphasis is placed on ensuring complementarity and synergy between</w:t>
      </w:r>
      <w:r>
        <w:rPr>
          <w:b/>
          <w:spacing w:val="1"/>
          <w:sz w:val="24"/>
        </w:rPr>
        <w:t xml:space="preserve"> </w:t>
      </w:r>
      <w:r>
        <w:rPr>
          <w:b/>
          <w:sz w:val="24"/>
        </w:rPr>
        <w:t>these</w:t>
      </w:r>
      <w:r>
        <w:rPr>
          <w:b/>
          <w:spacing w:val="1"/>
          <w:sz w:val="24"/>
        </w:rPr>
        <w:t xml:space="preserve"> </w:t>
      </w:r>
      <w:r>
        <w:rPr>
          <w:b/>
          <w:sz w:val="24"/>
        </w:rPr>
        <w:t>processes.</w:t>
      </w:r>
    </w:p>
    <w:p w:rsidR="00A56FE9" w:rsidRDefault="00000000">
      <w:pPr>
        <w:spacing w:before="110" w:line="276" w:lineRule="auto"/>
        <w:ind w:left="138" w:right="273"/>
        <w:jc w:val="both"/>
        <w:rPr>
          <w:sz w:val="24"/>
        </w:rPr>
      </w:pPr>
      <w:r>
        <w:rPr>
          <w:sz w:val="24"/>
        </w:rPr>
        <w:t>Therefore,</w:t>
      </w:r>
      <w:r>
        <w:rPr>
          <w:spacing w:val="-4"/>
          <w:sz w:val="24"/>
        </w:rPr>
        <w:t xml:space="preserve"> </w:t>
      </w:r>
      <w:r>
        <w:rPr>
          <w:sz w:val="24"/>
        </w:rPr>
        <w:t>this</w:t>
      </w:r>
      <w:r>
        <w:rPr>
          <w:spacing w:val="-2"/>
          <w:sz w:val="24"/>
        </w:rPr>
        <w:t xml:space="preserve"> </w:t>
      </w:r>
      <w:r>
        <w:rPr>
          <w:b/>
          <w:sz w:val="24"/>
        </w:rPr>
        <w:t>National</w:t>
      </w:r>
      <w:r>
        <w:rPr>
          <w:b/>
          <w:spacing w:val="-3"/>
          <w:sz w:val="24"/>
        </w:rPr>
        <w:t xml:space="preserve"> </w:t>
      </w:r>
      <w:r>
        <w:rPr>
          <w:b/>
          <w:sz w:val="24"/>
        </w:rPr>
        <w:t>Reform</w:t>
      </w:r>
      <w:r>
        <w:rPr>
          <w:b/>
          <w:spacing w:val="-5"/>
          <w:sz w:val="24"/>
        </w:rPr>
        <w:t xml:space="preserve"> </w:t>
      </w:r>
      <w:r>
        <w:rPr>
          <w:b/>
          <w:sz w:val="24"/>
        </w:rPr>
        <w:t>Program</w:t>
      </w:r>
      <w:r>
        <w:rPr>
          <w:b/>
          <w:spacing w:val="-6"/>
          <w:sz w:val="24"/>
        </w:rPr>
        <w:t xml:space="preserve"> </w:t>
      </w:r>
      <w:r>
        <w:rPr>
          <w:b/>
          <w:sz w:val="24"/>
        </w:rPr>
        <w:t>2022</w:t>
      </w:r>
      <w:r>
        <w:rPr>
          <w:b/>
          <w:spacing w:val="-3"/>
          <w:sz w:val="24"/>
        </w:rPr>
        <w:t xml:space="preserve"> </w:t>
      </w:r>
      <w:r>
        <w:rPr>
          <w:b/>
          <w:sz w:val="24"/>
        </w:rPr>
        <w:t>(NRP)</w:t>
      </w:r>
      <w:r>
        <w:rPr>
          <w:b/>
          <w:spacing w:val="-4"/>
          <w:sz w:val="24"/>
        </w:rPr>
        <w:t xml:space="preserve"> </w:t>
      </w:r>
      <w:r>
        <w:rPr>
          <w:b/>
          <w:sz w:val="24"/>
        </w:rPr>
        <w:t>is</w:t>
      </w:r>
      <w:r>
        <w:rPr>
          <w:b/>
          <w:spacing w:val="-3"/>
          <w:sz w:val="24"/>
        </w:rPr>
        <w:t xml:space="preserve"> </w:t>
      </w:r>
      <w:r>
        <w:rPr>
          <w:b/>
          <w:sz w:val="24"/>
        </w:rPr>
        <w:t>based</w:t>
      </w:r>
      <w:r>
        <w:rPr>
          <w:b/>
          <w:spacing w:val="-4"/>
          <w:sz w:val="24"/>
        </w:rPr>
        <w:t xml:space="preserve"> </w:t>
      </w:r>
      <w:r>
        <w:rPr>
          <w:b/>
          <w:sz w:val="24"/>
        </w:rPr>
        <w:t>on</w:t>
      </w:r>
      <w:r>
        <w:rPr>
          <w:b/>
          <w:spacing w:val="-3"/>
          <w:sz w:val="24"/>
        </w:rPr>
        <w:t xml:space="preserve"> </w:t>
      </w:r>
      <w:r>
        <w:rPr>
          <w:b/>
          <w:sz w:val="24"/>
        </w:rPr>
        <w:t>the</w:t>
      </w:r>
      <w:r>
        <w:rPr>
          <w:b/>
          <w:spacing w:val="-2"/>
          <w:sz w:val="24"/>
        </w:rPr>
        <w:t xml:space="preserve"> </w:t>
      </w:r>
      <w:r>
        <w:rPr>
          <w:b/>
          <w:sz w:val="24"/>
        </w:rPr>
        <w:t>reforms</w:t>
      </w:r>
      <w:r>
        <w:rPr>
          <w:b/>
          <w:spacing w:val="-4"/>
          <w:sz w:val="24"/>
        </w:rPr>
        <w:t xml:space="preserve"> </w:t>
      </w:r>
      <w:r>
        <w:rPr>
          <w:b/>
          <w:sz w:val="24"/>
        </w:rPr>
        <w:t>and</w:t>
      </w:r>
      <w:r>
        <w:rPr>
          <w:b/>
          <w:spacing w:val="-3"/>
          <w:sz w:val="24"/>
        </w:rPr>
        <w:t xml:space="preserve"> </w:t>
      </w:r>
      <w:r>
        <w:rPr>
          <w:b/>
          <w:sz w:val="24"/>
        </w:rPr>
        <w:t>related</w:t>
      </w:r>
      <w:r>
        <w:rPr>
          <w:b/>
          <w:spacing w:val="-57"/>
          <w:sz w:val="24"/>
        </w:rPr>
        <w:t xml:space="preserve"> </w:t>
      </w:r>
      <w:r>
        <w:rPr>
          <w:b/>
          <w:sz w:val="24"/>
        </w:rPr>
        <w:t>investments proposed by the Republic of Croatia and approved by the Council of the</w:t>
      </w:r>
      <w:r>
        <w:rPr>
          <w:b/>
          <w:spacing w:val="1"/>
          <w:sz w:val="24"/>
        </w:rPr>
        <w:t xml:space="preserve"> </w:t>
      </w:r>
      <w:r>
        <w:rPr>
          <w:b/>
          <w:sz w:val="24"/>
        </w:rPr>
        <w:t>European</w:t>
      </w:r>
      <w:r>
        <w:rPr>
          <w:b/>
          <w:spacing w:val="1"/>
          <w:sz w:val="24"/>
        </w:rPr>
        <w:t xml:space="preserve"> </w:t>
      </w:r>
      <w:r>
        <w:rPr>
          <w:b/>
          <w:sz w:val="24"/>
        </w:rPr>
        <w:t>Union</w:t>
      </w:r>
      <w:r>
        <w:rPr>
          <w:b/>
          <w:spacing w:val="1"/>
          <w:sz w:val="24"/>
        </w:rPr>
        <w:t xml:space="preserve"> </w:t>
      </w:r>
      <w:r>
        <w:rPr>
          <w:b/>
          <w:sz w:val="24"/>
        </w:rPr>
        <w:t>in</w:t>
      </w:r>
      <w:r>
        <w:rPr>
          <w:b/>
          <w:spacing w:val="1"/>
          <w:sz w:val="24"/>
        </w:rPr>
        <w:t xml:space="preserve"> </w:t>
      </w:r>
      <w:r>
        <w:rPr>
          <w:b/>
          <w:sz w:val="24"/>
        </w:rPr>
        <w:t>July</w:t>
      </w:r>
      <w:r>
        <w:rPr>
          <w:b/>
          <w:spacing w:val="1"/>
          <w:sz w:val="24"/>
        </w:rPr>
        <w:t xml:space="preserve"> </w:t>
      </w:r>
      <w:r>
        <w:rPr>
          <w:b/>
          <w:sz w:val="24"/>
        </w:rPr>
        <w:t>2021</w:t>
      </w:r>
      <w:r>
        <w:rPr>
          <w:b/>
          <w:spacing w:val="1"/>
          <w:sz w:val="24"/>
        </w:rPr>
        <w:t xml:space="preserve"> </w:t>
      </w:r>
      <w:r>
        <w:rPr>
          <w:b/>
          <w:sz w:val="24"/>
        </w:rPr>
        <w:t>as</w:t>
      </w:r>
      <w:r>
        <w:rPr>
          <w:b/>
          <w:spacing w:val="1"/>
          <w:sz w:val="24"/>
        </w:rPr>
        <w:t xml:space="preserve"> </w:t>
      </w:r>
      <w:r>
        <w:rPr>
          <w:b/>
          <w:sz w:val="24"/>
        </w:rPr>
        <w:t>relevant</w:t>
      </w:r>
      <w:r>
        <w:rPr>
          <w:b/>
          <w:spacing w:val="1"/>
          <w:sz w:val="24"/>
        </w:rPr>
        <w:t xml:space="preserve"> </w:t>
      </w:r>
      <w:r>
        <w:rPr>
          <w:b/>
          <w:sz w:val="24"/>
        </w:rPr>
        <w:t>and</w:t>
      </w:r>
      <w:r>
        <w:rPr>
          <w:b/>
          <w:spacing w:val="1"/>
          <w:sz w:val="24"/>
        </w:rPr>
        <w:t xml:space="preserve"> </w:t>
      </w:r>
      <w:r>
        <w:rPr>
          <w:b/>
          <w:sz w:val="24"/>
        </w:rPr>
        <w:t>sufficiently</w:t>
      </w:r>
      <w:r>
        <w:rPr>
          <w:b/>
          <w:spacing w:val="1"/>
          <w:sz w:val="24"/>
        </w:rPr>
        <w:t xml:space="preserve"> </w:t>
      </w:r>
      <w:r>
        <w:rPr>
          <w:b/>
          <w:sz w:val="24"/>
        </w:rPr>
        <w:t>ambitious</w:t>
      </w:r>
      <w:r>
        <w:rPr>
          <w:b/>
          <w:spacing w:val="1"/>
          <w:sz w:val="24"/>
        </w:rPr>
        <w:t xml:space="preserve"> </w:t>
      </w:r>
      <w:r>
        <w:rPr>
          <w:b/>
          <w:sz w:val="24"/>
        </w:rPr>
        <w:t>to address</w:t>
      </w:r>
      <w:r>
        <w:rPr>
          <w:b/>
          <w:spacing w:val="1"/>
          <w:sz w:val="24"/>
        </w:rPr>
        <w:t xml:space="preserve"> </w:t>
      </w:r>
      <w:r>
        <w:rPr>
          <w:b/>
          <w:sz w:val="24"/>
        </w:rPr>
        <w:t>the</w:t>
      </w:r>
      <w:r>
        <w:rPr>
          <w:b/>
          <w:spacing w:val="-57"/>
          <w:sz w:val="24"/>
        </w:rPr>
        <w:t xml:space="preserve"> </w:t>
      </w:r>
      <w:r>
        <w:rPr>
          <w:b/>
          <w:sz w:val="24"/>
        </w:rPr>
        <w:t xml:space="preserve">structural challenges </w:t>
      </w:r>
      <w:r>
        <w:rPr>
          <w:sz w:val="24"/>
        </w:rPr>
        <w:t>identified in the specific recommendations for managing economic</w:t>
      </w:r>
      <w:r>
        <w:rPr>
          <w:spacing w:val="1"/>
          <w:sz w:val="24"/>
        </w:rPr>
        <w:t xml:space="preserve"> </w:t>
      </w:r>
      <w:r>
        <w:rPr>
          <w:sz w:val="24"/>
        </w:rPr>
        <w:t>policy</w:t>
      </w:r>
      <w:r>
        <w:rPr>
          <w:spacing w:val="-6"/>
          <w:sz w:val="24"/>
        </w:rPr>
        <w:t xml:space="preserve"> </w:t>
      </w:r>
      <w:r>
        <w:rPr>
          <w:sz w:val="24"/>
        </w:rPr>
        <w:t>which Croatia</w:t>
      </w:r>
      <w:r>
        <w:rPr>
          <w:spacing w:val="-1"/>
          <w:sz w:val="24"/>
        </w:rPr>
        <w:t xml:space="preserve"> </w:t>
      </w:r>
      <w:r>
        <w:rPr>
          <w:sz w:val="24"/>
        </w:rPr>
        <w:t>received</w:t>
      </w:r>
      <w:r>
        <w:rPr>
          <w:spacing w:val="1"/>
          <w:sz w:val="24"/>
        </w:rPr>
        <w:t xml:space="preserve"> </w:t>
      </w:r>
      <w:r>
        <w:rPr>
          <w:sz w:val="24"/>
        </w:rPr>
        <w:t>in</w:t>
      </w:r>
      <w:r>
        <w:rPr>
          <w:spacing w:val="-1"/>
          <w:sz w:val="24"/>
        </w:rPr>
        <w:t xml:space="preserve"> </w:t>
      </w:r>
      <w:r>
        <w:rPr>
          <w:sz w:val="24"/>
        </w:rPr>
        <w:t>terms of</w:t>
      </w:r>
      <w:r>
        <w:rPr>
          <w:spacing w:val="-1"/>
          <w:sz w:val="24"/>
        </w:rPr>
        <w:t xml:space="preserve"> </w:t>
      </w:r>
      <w:r>
        <w:rPr>
          <w:sz w:val="24"/>
        </w:rPr>
        <w:t>the European Semester for</w:t>
      </w:r>
      <w:r>
        <w:rPr>
          <w:spacing w:val="-2"/>
          <w:sz w:val="24"/>
        </w:rPr>
        <w:t xml:space="preserve"> </w:t>
      </w:r>
      <w:r>
        <w:rPr>
          <w:sz w:val="24"/>
        </w:rPr>
        <w:t>2019</w:t>
      </w:r>
      <w:r>
        <w:rPr>
          <w:spacing w:val="2"/>
          <w:sz w:val="24"/>
        </w:rPr>
        <w:t xml:space="preserve"> </w:t>
      </w:r>
      <w:r>
        <w:rPr>
          <w:sz w:val="24"/>
        </w:rPr>
        <w:t>and 2020.</w:t>
      </w:r>
    </w:p>
    <w:p w:rsidR="00A56FE9" w:rsidRDefault="00000000">
      <w:pPr>
        <w:pStyle w:val="Tijeloteksta"/>
        <w:spacing w:before="119" w:line="276" w:lineRule="auto"/>
        <w:ind w:right="269"/>
      </w:pPr>
      <w:r>
        <w:t>Starting from the guidelines of the European Commission for the development of national</w:t>
      </w:r>
      <w:r>
        <w:rPr>
          <w:spacing w:val="1"/>
        </w:rPr>
        <w:t xml:space="preserve"> </w:t>
      </w:r>
      <w:r>
        <w:t>reform programs, an integral part of this NRP is the report on progress in implementing</w:t>
      </w:r>
      <w:r>
        <w:rPr>
          <w:spacing w:val="1"/>
        </w:rPr>
        <w:t xml:space="preserve"> </w:t>
      </w:r>
      <w:r>
        <w:t>performance indicators (key stages and target values) of the National Recovery and Resilience</w:t>
      </w:r>
      <w:r>
        <w:rPr>
          <w:spacing w:val="-57"/>
        </w:rPr>
        <w:t xml:space="preserve"> </w:t>
      </w:r>
      <w:r>
        <w:t>Plan 2021-2026 (NRRP) in 2021 and the first quarter of 2022. Accordingly, the conclusion is</w:t>
      </w:r>
      <w:r>
        <w:rPr>
          <w:spacing w:val="1"/>
        </w:rPr>
        <w:t xml:space="preserve"> </w:t>
      </w:r>
      <w:r>
        <w:rPr>
          <w:spacing w:val="-1"/>
        </w:rPr>
        <w:t>that</w:t>
      </w:r>
      <w:r>
        <w:rPr>
          <w:spacing w:val="-15"/>
        </w:rPr>
        <w:t xml:space="preserve"> </w:t>
      </w:r>
      <w:r>
        <w:rPr>
          <w:spacing w:val="-1"/>
        </w:rPr>
        <w:t>the</w:t>
      </w:r>
      <w:r>
        <w:rPr>
          <w:spacing w:val="-15"/>
        </w:rPr>
        <w:t xml:space="preserve"> </w:t>
      </w:r>
      <w:r>
        <w:rPr>
          <w:spacing w:val="-1"/>
        </w:rPr>
        <w:t>reforms</w:t>
      </w:r>
      <w:r>
        <w:rPr>
          <w:spacing w:val="-15"/>
        </w:rPr>
        <w:t xml:space="preserve"> </w:t>
      </w:r>
      <w:r>
        <w:t>in</w:t>
      </w:r>
      <w:r>
        <w:rPr>
          <w:spacing w:val="-13"/>
        </w:rPr>
        <w:t xml:space="preserve"> </w:t>
      </w:r>
      <w:r>
        <w:t>certain</w:t>
      </w:r>
      <w:r>
        <w:rPr>
          <w:spacing w:val="-14"/>
        </w:rPr>
        <w:t xml:space="preserve"> </w:t>
      </w:r>
      <w:r>
        <w:t>areas</w:t>
      </w:r>
      <w:r>
        <w:rPr>
          <w:spacing w:val="-15"/>
        </w:rPr>
        <w:t xml:space="preserve"> </w:t>
      </w:r>
      <w:r>
        <w:t>have</w:t>
      </w:r>
      <w:r>
        <w:rPr>
          <w:spacing w:val="-15"/>
        </w:rPr>
        <w:t xml:space="preserve"> </w:t>
      </w:r>
      <w:r>
        <w:t>been</w:t>
      </w:r>
      <w:r>
        <w:rPr>
          <w:spacing w:val="-12"/>
        </w:rPr>
        <w:t xml:space="preserve"> </w:t>
      </w:r>
      <w:r>
        <w:t>fully</w:t>
      </w:r>
      <w:r>
        <w:rPr>
          <w:spacing w:val="-20"/>
        </w:rPr>
        <w:t xml:space="preserve"> </w:t>
      </w:r>
      <w:r>
        <w:t>implemented</w:t>
      </w:r>
      <w:r>
        <w:rPr>
          <w:spacing w:val="-14"/>
        </w:rPr>
        <w:t xml:space="preserve"> </w:t>
      </w:r>
      <w:r>
        <w:t>in</w:t>
      </w:r>
      <w:r>
        <w:rPr>
          <w:spacing w:val="-14"/>
        </w:rPr>
        <w:t xml:space="preserve"> </w:t>
      </w:r>
      <w:r>
        <w:t>the</w:t>
      </w:r>
      <w:r>
        <w:rPr>
          <w:spacing w:val="-15"/>
        </w:rPr>
        <w:t xml:space="preserve"> </w:t>
      </w:r>
      <w:r>
        <w:t>observed</w:t>
      </w:r>
      <w:r>
        <w:rPr>
          <w:spacing w:val="-11"/>
        </w:rPr>
        <w:t xml:space="preserve"> </w:t>
      </w:r>
      <w:r>
        <w:t>period.</w:t>
      </w:r>
      <w:r>
        <w:rPr>
          <w:spacing w:val="-12"/>
        </w:rPr>
        <w:t xml:space="preserve"> </w:t>
      </w:r>
      <w:r>
        <w:t>In</w:t>
      </w:r>
      <w:r>
        <w:rPr>
          <w:spacing w:val="-15"/>
        </w:rPr>
        <w:t xml:space="preserve"> </w:t>
      </w:r>
      <w:r>
        <w:t>contrast,</w:t>
      </w:r>
      <w:r>
        <w:rPr>
          <w:spacing w:val="-57"/>
        </w:rPr>
        <w:t xml:space="preserve"> </w:t>
      </w:r>
      <w:r>
        <w:t>some progress has been confirmed for other reforms and related measures, given that the</w:t>
      </w:r>
      <w:r>
        <w:rPr>
          <w:spacing w:val="1"/>
        </w:rPr>
        <w:t xml:space="preserve"> </w:t>
      </w:r>
      <w:r>
        <w:t>implementation of structural reforms is planned throughout the duration of the NRRP and</w:t>
      </w:r>
      <w:r>
        <w:rPr>
          <w:spacing w:val="1"/>
        </w:rPr>
        <w:t xml:space="preserve"> </w:t>
      </w:r>
      <w:r>
        <w:t>concludes</w:t>
      </w:r>
      <w:r>
        <w:rPr>
          <w:spacing w:val="-1"/>
        </w:rPr>
        <w:t xml:space="preserve"> </w:t>
      </w:r>
      <w:r>
        <w:t>in 2026.</w:t>
      </w:r>
    </w:p>
    <w:p w:rsidR="00A56FE9" w:rsidRDefault="00000000">
      <w:pPr>
        <w:pStyle w:val="Tijeloteksta"/>
        <w:spacing w:before="121" w:line="276" w:lineRule="auto"/>
        <w:ind w:right="276"/>
      </w:pPr>
      <w:r>
        <w:t>Accordingly, the following measures are the backbone of this NRP and have been proposed in</w:t>
      </w:r>
      <w:r>
        <w:rPr>
          <w:spacing w:val="-57"/>
        </w:rPr>
        <w:t xml:space="preserve"> </w:t>
      </w:r>
      <w:r>
        <w:t>the NRRP: continued administrative and fiscal relief and a better regulatory environment;</w:t>
      </w:r>
      <w:r>
        <w:rPr>
          <w:spacing w:val="1"/>
        </w:rPr>
        <w:t xml:space="preserve"> </w:t>
      </w:r>
      <w:r>
        <w:t>continuing the reform of regulated professions; support for companies in transitioning to an</w:t>
      </w:r>
      <w:r>
        <w:rPr>
          <w:spacing w:val="1"/>
        </w:rPr>
        <w:t xml:space="preserve"> </w:t>
      </w:r>
      <w:r>
        <w:t>energy and resource efficient economy; decarbonisation of the energy sector; implementation</w:t>
      </w:r>
      <w:r>
        <w:rPr>
          <w:spacing w:val="1"/>
        </w:rPr>
        <w:t xml:space="preserve"> </w:t>
      </w:r>
      <w:r>
        <w:t>of water management programs; implementation of sustainable waste management projects;</w:t>
      </w:r>
      <w:r>
        <w:rPr>
          <w:spacing w:val="1"/>
        </w:rPr>
        <w:t xml:space="preserve"> </w:t>
      </w:r>
      <w:r>
        <w:t>strengthening</w:t>
      </w:r>
      <w:r>
        <w:rPr>
          <w:spacing w:val="1"/>
        </w:rPr>
        <w:t xml:space="preserve"> </w:t>
      </w:r>
      <w:r>
        <w:t>the public</w:t>
      </w:r>
      <w:r>
        <w:rPr>
          <w:spacing w:val="1"/>
        </w:rPr>
        <w:t xml:space="preserve"> </w:t>
      </w:r>
      <w:r>
        <w:t>procurement</w:t>
      </w:r>
      <w:r>
        <w:rPr>
          <w:spacing w:val="1"/>
        </w:rPr>
        <w:t xml:space="preserve"> </w:t>
      </w:r>
      <w:r>
        <w:t>system;</w:t>
      </w:r>
      <w:r>
        <w:rPr>
          <w:spacing w:val="1"/>
        </w:rPr>
        <w:t xml:space="preserve"> </w:t>
      </w:r>
      <w:r>
        <w:t>railway</w:t>
      </w:r>
      <w:r>
        <w:rPr>
          <w:spacing w:val="1"/>
        </w:rPr>
        <w:t xml:space="preserve"> </w:t>
      </w:r>
      <w:r>
        <w:t>sector</w:t>
      </w:r>
      <w:r>
        <w:rPr>
          <w:spacing w:val="1"/>
        </w:rPr>
        <w:t xml:space="preserve"> </w:t>
      </w:r>
      <w:r>
        <w:t>reform;</w:t>
      </w:r>
      <w:r>
        <w:rPr>
          <w:spacing w:val="1"/>
        </w:rPr>
        <w:t xml:space="preserve"> </w:t>
      </w:r>
      <w:r>
        <w:t>improving the</w:t>
      </w:r>
      <w:r>
        <w:rPr>
          <w:spacing w:val="1"/>
        </w:rPr>
        <w:t xml:space="preserve"> </w:t>
      </w:r>
      <w:r>
        <w:t>food</w:t>
      </w:r>
      <w:r>
        <w:rPr>
          <w:spacing w:val="1"/>
        </w:rPr>
        <w:t xml:space="preserve"> </w:t>
      </w:r>
      <w:r>
        <w:t>donation</w:t>
      </w:r>
      <w:r>
        <w:rPr>
          <w:spacing w:val="-10"/>
        </w:rPr>
        <w:t xml:space="preserve"> </w:t>
      </w:r>
      <w:r>
        <w:t>system;</w:t>
      </w:r>
      <w:r>
        <w:rPr>
          <w:spacing w:val="-8"/>
        </w:rPr>
        <w:t xml:space="preserve"> </w:t>
      </w:r>
      <w:r>
        <w:t>encouraging</w:t>
      </w:r>
      <w:r>
        <w:rPr>
          <w:spacing w:val="-11"/>
        </w:rPr>
        <w:t xml:space="preserve"> </w:t>
      </w:r>
      <w:r>
        <w:t>a</w:t>
      </w:r>
      <w:r>
        <w:rPr>
          <w:spacing w:val="-7"/>
        </w:rPr>
        <w:t xml:space="preserve"> </w:t>
      </w:r>
      <w:r>
        <w:t>green</w:t>
      </w:r>
      <w:r>
        <w:rPr>
          <w:spacing w:val="-7"/>
        </w:rPr>
        <w:t xml:space="preserve"> </w:t>
      </w:r>
      <w:r>
        <w:t>and</w:t>
      </w:r>
      <w:r>
        <w:rPr>
          <w:spacing w:val="-9"/>
        </w:rPr>
        <w:t xml:space="preserve"> </w:t>
      </w:r>
      <w:r>
        <w:t>digital</w:t>
      </w:r>
      <w:r>
        <w:rPr>
          <w:spacing w:val="-8"/>
        </w:rPr>
        <w:t xml:space="preserve"> </w:t>
      </w:r>
      <w:r>
        <w:t>transition</w:t>
      </w:r>
      <w:r>
        <w:rPr>
          <w:spacing w:val="-8"/>
        </w:rPr>
        <w:t xml:space="preserve"> </w:t>
      </w:r>
      <w:r>
        <w:t>of</w:t>
      </w:r>
      <w:r>
        <w:rPr>
          <w:spacing w:val="-9"/>
        </w:rPr>
        <w:t xml:space="preserve"> </w:t>
      </w:r>
      <w:r>
        <w:t>the</w:t>
      </w:r>
      <w:r>
        <w:rPr>
          <w:spacing w:val="-10"/>
        </w:rPr>
        <w:t xml:space="preserve"> </w:t>
      </w:r>
      <w:r>
        <w:t>tourism</w:t>
      </w:r>
      <w:r>
        <w:rPr>
          <w:spacing w:val="-8"/>
        </w:rPr>
        <w:t xml:space="preserve"> </w:t>
      </w:r>
      <w:r>
        <w:t>sector;</w:t>
      </w:r>
      <w:r>
        <w:rPr>
          <w:spacing w:val="-8"/>
        </w:rPr>
        <w:t xml:space="preserve"> </w:t>
      </w:r>
      <w:r>
        <w:t>strengthening</w:t>
      </w:r>
    </w:p>
    <w:p w:rsidR="00A56FE9" w:rsidRDefault="00A56FE9">
      <w:pPr>
        <w:spacing w:line="276" w:lineRule="auto"/>
        <w:sectPr w:rsidR="00A56FE9" w:rsidSect="00AB1E70">
          <w:footerReference w:type="default" r:id="rId8"/>
          <w:pgSz w:w="11910" w:h="16840"/>
          <w:pgMar w:top="1420" w:right="1140" w:bottom="960" w:left="1280" w:header="0" w:footer="779" w:gutter="0"/>
          <w:pgNumType w:start="1"/>
          <w:cols w:space="720"/>
        </w:sectPr>
      </w:pPr>
    </w:p>
    <w:p w:rsidR="00A56FE9" w:rsidRDefault="00000000">
      <w:pPr>
        <w:pStyle w:val="Tijeloteksta"/>
        <w:spacing w:before="74" w:line="276" w:lineRule="auto"/>
        <w:ind w:right="273"/>
      </w:pPr>
      <w:r>
        <w:t>mechanisms for integrating and managing of public policies; upgrading the Shared Services</w:t>
      </w:r>
      <w:r>
        <w:rPr>
          <w:spacing w:val="1"/>
        </w:rPr>
        <w:t xml:space="preserve"> </w:t>
      </w:r>
      <w:r>
        <w:t>Center;</w:t>
      </w:r>
      <w:r>
        <w:rPr>
          <w:spacing w:val="1"/>
        </w:rPr>
        <w:t xml:space="preserve"> </w:t>
      </w:r>
      <w:r>
        <w:t>increasing</w:t>
      </w:r>
      <w:r>
        <w:rPr>
          <w:spacing w:val="1"/>
        </w:rPr>
        <w:t xml:space="preserve"> </w:t>
      </w:r>
      <w:r>
        <w:t>the</w:t>
      </w:r>
      <w:r>
        <w:rPr>
          <w:spacing w:val="1"/>
        </w:rPr>
        <w:t xml:space="preserve"> </w:t>
      </w:r>
      <w:r>
        <w:t>efficiency</w:t>
      </w:r>
      <w:r>
        <w:rPr>
          <w:spacing w:val="1"/>
        </w:rPr>
        <w:t xml:space="preserve"> </w:t>
      </w:r>
      <w:r>
        <w:t>of</w:t>
      </w:r>
      <w:r>
        <w:rPr>
          <w:spacing w:val="1"/>
        </w:rPr>
        <w:t xml:space="preserve"> </w:t>
      </w:r>
      <w:r>
        <w:t>the</w:t>
      </w:r>
      <w:r>
        <w:rPr>
          <w:spacing w:val="1"/>
        </w:rPr>
        <w:t xml:space="preserve"> </w:t>
      </w:r>
      <w:r>
        <w:t>judicial</w:t>
      </w:r>
      <w:r>
        <w:rPr>
          <w:spacing w:val="1"/>
        </w:rPr>
        <w:t xml:space="preserve"> </w:t>
      </w:r>
      <w:r>
        <w:t>system;</w:t>
      </w:r>
      <w:r>
        <w:rPr>
          <w:spacing w:val="1"/>
        </w:rPr>
        <w:t xml:space="preserve"> </w:t>
      </w:r>
      <w:r>
        <w:t>development</w:t>
      </w:r>
      <w:r>
        <w:rPr>
          <w:spacing w:val="1"/>
        </w:rPr>
        <w:t xml:space="preserve"> </w:t>
      </w:r>
      <w:r>
        <w:t>of</w:t>
      </w:r>
      <w:r>
        <w:rPr>
          <w:spacing w:val="1"/>
        </w:rPr>
        <w:t xml:space="preserve"> </w:t>
      </w:r>
      <w:r>
        <w:t>a</w:t>
      </w:r>
      <w:r>
        <w:rPr>
          <w:spacing w:val="1"/>
        </w:rPr>
        <w:t xml:space="preserve"> </w:t>
      </w:r>
      <w:r>
        <w:t>structural</w:t>
      </w:r>
      <w:r>
        <w:rPr>
          <w:spacing w:val="1"/>
        </w:rPr>
        <w:t xml:space="preserve"> </w:t>
      </w:r>
      <w:r>
        <w:t>macroeconomic model of the Croatian economy; structural reform of the education system;</w:t>
      </w:r>
      <w:r>
        <w:rPr>
          <w:spacing w:val="1"/>
        </w:rPr>
        <w:t xml:space="preserve"> </w:t>
      </w:r>
      <w:r>
        <w:t>modernisation of higher education; strengthening the capacity of the public scientific research</w:t>
      </w:r>
      <w:r>
        <w:rPr>
          <w:spacing w:val="1"/>
        </w:rPr>
        <w:t xml:space="preserve"> </w:t>
      </w:r>
      <w:r>
        <w:t>sector; implementation of active employment policy measures; implementation of a voucher</w:t>
      </w:r>
      <w:r>
        <w:rPr>
          <w:spacing w:val="1"/>
        </w:rPr>
        <w:t xml:space="preserve"> </w:t>
      </w:r>
      <w:r>
        <w:t>system</w:t>
      </w:r>
      <w:r>
        <w:rPr>
          <w:spacing w:val="-6"/>
        </w:rPr>
        <w:t xml:space="preserve"> </w:t>
      </w:r>
      <w:r>
        <w:t>for</w:t>
      </w:r>
      <w:r>
        <w:rPr>
          <w:spacing w:val="-7"/>
        </w:rPr>
        <w:t xml:space="preserve"> </w:t>
      </w:r>
      <w:r>
        <w:t>providing</w:t>
      </w:r>
      <w:r>
        <w:rPr>
          <w:spacing w:val="-6"/>
        </w:rPr>
        <w:t xml:space="preserve"> </w:t>
      </w:r>
      <w:r>
        <w:t>education</w:t>
      </w:r>
      <w:r>
        <w:rPr>
          <w:spacing w:val="-5"/>
        </w:rPr>
        <w:t xml:space="preserve"> </w:t>
      </w:r>
      <w:r>
        <w:t>to</w:t>
      </w:r>
      <w:r>
        <w:rPr>
          <w:spacing w:val="-6"/>
        </w:rPr>
        <w:t xml:space="preserve"> </w:t>
      </w:r>
      <w:r>
        <w:t>employed</w:t>
      </w:r>
      <w:r>
        <w:rPr>
          <w:spacing w:val="-4"/>
        </w:rPr>
        <w:t xml:space="preserve"> </w:t>
      </w:r>
      <w:r>
        <w:t>and</w:t>
      </w:r>
      <w:r>
        <w:rPr>
          <w:spacing w:val="-6"/>
        </w:rPr>
        <w:t xml:space="preserve"> </w:t>
      </w:r>
      <w:r>
        <w:t>unemployed</w:t>
      </w:r>
      <w:r>
        <w:rPr>
          <w:spacing w:val="-6"/>
        </w:rPr>
        <w:t xml:space="preserve"> </w:t>
      </w:r>
      <w:r>
        <w:t>persons;</w:t>
      </w:r>
      <w:r>
        <w:rPr>
          <w:spacing w:val="-6"/>
        </w:rPr>
        <w:t xml:space="preserve"> </w:t>
      </w:r>
      <w:r>
        <w:t>increasing</w:t>
      </w:r>
      <w:r>
        <w:rPr>
          <w:spacing w:val="-7"/>
        </w:rPr>
        <w:t xml:space="preserve"> </w:t>
      </w:r>
      <w:r>
        <w:t>the</w:t>
      </w:r>
      <w:r>
        <w:rPr>
          <w:spacing w:val="-4"/>
        </w:rPr>
        <w:t xml:space="preserve"> </w:t>
      </w:r>
      <w:r>
        <w:t>adequacy</w:t>
      </w:r>
      <w:r>
        <w:rPr>
          <w:spacing w:val="-58"/>
        </w:rPr>
        <w:t xml:space="preserve"> </w:t>
      </w:r>
      <w:r>
        <w:t>of pensions through continued pension reform; development of social mentoring services;</w:t>
      </w:r>
      <w:r>
        <w:rPr>
          <w:spacing w:val="1"/>
        </w:rPr>
        <w:t xml:space="preserve"> </w:t>
      </w:r>
      <w:r>
        <w:t>development of community services to prevent institutionalization; improving the efficiency,</w:t>
      </w:r>
      <w:r>
        <w:rPr>
          <w:spacing w:val="1"/>
        </w:rPr>
        <w:t xml:space="preserve"> </w:t>
      </w:r>
      <w:r>
        <w:t>quality and accessibility of the health system; strengthening connectivity as a basis for the</w:t>
      </w:r>
      <w:r>
        <w:rPr>
          <w:spacing w:val="1"/>
        </w:rPr>
        <w:t xml:space="preserve"> </w:t>
      </w:r>
      <w:r>
        <w:t>digital transition of society and the economy;</w:t>
      </w:r>
      <w:r>
        <w:rPr>
          <w:spacing w:val="1"/>
        </w:rPr>
        <w:t xml:space="preserve"> </w:t>
      </w:r>
      <w:r>
        <w:t>and energy renovation of buildings. These</w:t>
      </w:r>
      <w:r>
        <w:rPr>
          <w:spacing w:val="1"/>
        </w:rPr>
        <w:t xml:space="preserve"> </w:t>
      </w:r>
      <w:r>
        <w:t>measures addressed the particular recommendations that the Council sent to Croatia in 2019</w:t>
      </w:r>
      <w:r>
        <w:rPr>
          <w:spacing w:val="1"/>
        </w:rPr>
        <w:t xml:space="preserve"> </w:t>
      </w:r>
      <w:r>
        <w:t>and</w:t>
      </w:r>
      <w:r>
        <w:rPr>
          <w:spacing w:val="-6"/>
        </w:rPr>
        <w:t xml:space="preserve"> </w:t>
      </w:r>
      <w:r>
        <w:t>2020,</w:t>
      </w:r>
      <w:r>
        <w:rPr>
          <w:spacing w:val="-6"/>
        </w:rPr>
        <w:t xml:space="preserve"> </w:t>
      </w:r>
      <w:r>
        <w:t>thus</w:t>
      </w:r>
      <w:r>
        <w:rPr>
          <w:spacing w:val="-6"/>
        </w:rPr>
        <w:t xml:space="preserve"> </w:t>
      </w:r>
      <w:r>
        <w:t>representing</w:t>
      </w:r>
      <w:r>
        <w:rPr>
          <w:spacing w:val="-8"/>
        </w:rPr>
        <w:t xml:space="preserve"> </w:t>
      </w:r>
      <w:r>
        <w:t>the</w:t>
      </w:r>
      <w:r>
        <w:rPr>
          <w:spacing w:val="-7"/>
        </w:rPr>
        <w:t xml:space="preserve"> </w:t>
      </w:r>
      <w:r>
        <w:t>basis</w:t>
      </w:r>
      <w:r>
        <w:rPr>
          <w:spacing w:val="-6"/>
        </w:rPr>
        <w:t xml:space="preserve"> </w:t>
      </w:r>
      <w:r>
        <w:t>for</w:t>
      </w:r>
      <w:r>
        <w:rPr>
          <w:spacing w:val="-8"/>
        </w:rPr>
        <w:t xml:space="preserve"> </w:t>
      </w:r>
      <w:r>
        <w:t>economic</w:t>
      </w:r>
      <w:r>
        <w:rPr>
          <w:spacing w:val="-5"/>
        </w:rPr>
        <w:t xml:space="preserve"> </w:t>
      </w:r>
      <w:r>
        <w:t>recovery</w:t>
      </w:r>
      <w:r>
        <w:rPr>
          <w:spacing w:val="-11"/>
        </w:rPr>
        <w:t xml:space="preserve"> </w:t>
      </w:r>
      <w:r>
        <w:t>and</w:t>
      </w:r>
      <w:r>
        <w:rPr>
          <w:spacing w:val="-6"/>
        </w:rPr>
        <w:t xml:space="preserve"> </w:t>
      </w:r>
      <w:r>
        <w:t>strengthening</w:t>
      </w:r>
      <w:r>
        <w:rPr>
          <w:spacing w:val="-9"/>
        </w:rPr>
        <w:t xml:space="preserve"> </w:t>
      </w:r>
      <w:r>
        <w:t>the</w:t>
      </w:r>
      <w:r>
        <w:rPr>
          <w:spacing w:val="-7"/>
        </w:rPr>
        <w:t xml:space="preserve"> </w:t>
      </w:r>
      <w:r>
        <w:t>resilience</w:t>
      </w:r>
      <w:r>
        <w:rPr>
          <w:spacing w:val="-7"/>
        </w:rPr>
        <w:t xml:space="preserve"> </w:t>
      </w:r>
      <w:r>
        <w:t>of</w:t>
      </w:r>
      <w:r>
        <w:rPr>
          <w:spacing w:val="-58"/>
        </w:rPr>
        <w:t xml:space="preserve"> </w:t>
      </w:r>
      <w:r>
        <w:t>the</w:t>
      </w:r>
      <w:r>
        <w:rPr>
          <w:spacing w:val="-1"/>
        </w:rPr>
        <w:t xml:space="preserve"> </w:t>
      </w:r>
      <w:r>
        <w:t>Croatian economy</w:t>
      </w:r>
      <w:r>
        <w:rPr>
          <w:spacing w:val="-5"/>
        </w:rPr>
        <w:t xml:space="preserve"> </w:t>
      </w:r>
      <w:r>
        <w:t>for future</w:t>
      </w:r>
      <w:r>
        <w:rPr>
          <w:spacing w:val="-2"/>
        </w:rPr>
        <w:t xml:space="preserve"> </w:t>
      </w:r>
      <w:r>
        <w:t>challenges.</w:t>
      </w:r>
    </w:p>
    <w:p w:rsidR="00A56FE9" w:rsidRDefault="00000000">
      <w:pPr>
        <w:pStyle w:val="Tijeloteksta"/>
        <w:spacing w:before="121" w:line="276" w:lineRule="auto"/>
        <w:ind w:right="273"/>
      </w:pPr>
      <w:r>
        <w:t>Moreover, in line with the European Commission's intention to ensure consistent reporting on</w:t>
      </w:r>
      <w:r>
        <w:rPr>
          <w:spacing w:val="1"/>
        </w:rPr>
        <w:t xml:space="preserve"> </w:t>
      </w:r>
      <w:r>
        <w:t>other relevant objectives of economic and social policies of Member States, this NRP includes</w:t>
      </w:r>
      <w:r>
        <w:rPr>
          <w:spacing w:val="-57"/>
        </w:rPr>
        <w:t xml:space="preserve"> </w:t>
      </w:r>
      <w:r>
        <w:t>a reference to the contribution of proposed reforms and other measures to the United Nations</w:t>
      </w:r>
      <w:r>
        <w:rPr>
          <w:spacing w:val="1"/>
        </w:rPr>
        <w:t xml:space="preserve"> </w:t>
      </w:r>
      <w:r>
        <w:t>Sustainable</w:t>
      </w:r>
      <w:r>
        <w:rPr>
          <w:spacing w:val="-1"/>
        </w:rPr>
        <w:t xml:space="preserve"> </w:t>
      </w:r>
      <w:r>
        <w:t>Development</w:t>
      </w:r>
      <w:r>
        <w:rPr>
          <w:spacing w:val="-1"/>
        </w:rPr>
        <w:t xml:space="preserve"> </w:t>
      </w:r>
      <w:r>
        <w:t>Goals and the</w:t>
      </w:r>
      <w:r>
        <w:rPr>
          <w:spacing w:val="-1"/>
        </w:rPr>
        <w:t xml:space="preserve"> </w:t>
      </w:r>
      <w:r>
        <w:t>principles</w:t>
      </w:r>
      <w:r>
        <w:rPr>
          <w:spacing w:val="2"/>
        </w:rPr>
        <w:t xml:space="preserve"> </w:t>
      </w:r>
      <w:r>
        <w:t>of</w:t>
      </w:r>
      <w:r>
        <w:rPr>
          <w:spacing w:val="-1"/>
        </w:rPr>
        <w:t xml:space="preserve"> </w:t>
      </w:r>
      <w:r>
        <w:t>the</w:t>
      </w:r>
      <w:r>
        <w:rPr>
          <w:spacing w:val="-2"/>
        </w:rPr>
        <w:t xml:space="preserve"> </w:t>
      </w:r>
      <w:r>
        <w:t>European</w:t>
      </w:r>
      <w:r>
        <w:rPr>
          <w:spacing w:val="-1"/>
        </w:rPr>
        <w:t xml:space="preserve"> </w:t>
      </w:r>
      <w:r>
        <w:t>Pillar of Social</w:t>
      </w:r>
      <w:r>
        <w:rPr>
          <w:spacing w:val="-1"/>
        </w:rPr>
        <w:t xml:space="preserve"> </w:t>
      </w:r>
      <w:r>
        <w:t>Tights.</w:t>
      </w:r>
    </w:p>
    <w:p w:rsidR="00A56FE9" w:rsidRDefault="00000000">
      <w:pPr>
        <w:pStyle w:val="Tijeloteksta"/>
        <w:spacing w:before="120" w:line="276" w:lineRule="auto"/>
        <w:ind w:right="272"/>
      </w:pPr>
      <w:r>
        <w:t>Accordingly, emphasis should be placed on the fact that even during the preparation of the</w:t>
      </w:r>
      <w:r>
        <w:rPr>
          <w:spacing w:val="1"/>
        </w:rPr>
        <w:t xml:space="preserve"> </w:t>
      </w:r>
      <w:r>
        <w:t>NRRP,</w:t>
      </w:r>
      <w:r>
        <w:rPr>
          <w:spacing w:val="-12"/>
        </w:rPr>
        <w:t xml:space="preserve"> </w:t>
      </w:r>
      <w:r>
        <w:t>special</w:t>
      </w:r>
      <w:r>
        <w:rPr>
          <w:spacing w:val="-11"/>
        </w:rPr>
        <w:t xml:space="preserve"> </w:t>
      </w:r>
      <w:r>
        <w:t>attention</w:t>
      </w:r>
      <w:r>
        <w:rPr>
          <w:spacing w:val="-13"/>
        </w:rPr>
        <w:t xml:space="preserve"> </w:t>
      </w:r>
      <w:r>
        <w:t>was</w:t>
      </w:r>
      <w:r>
        <w:rPr>
          <w:spacing w:val="-10"/>
        </w:rPr>
        <w:t xml:space="preserve"> </w:t>
      </w:r>
      <w:r>
        <w:t>given</w:t>
      </w:r>
      <w:r>
        <w:rPr>
          <w:spacing w:val="-11"/>
        </w:rPr>
        <w:t xml:space="preserve"> </w:t>
      </w:r>
      <w:r>
        <w:t>to</w:t>
      </w:r>
      <w:r>
        <w:rPr>
          <w:spacing w:val="-11"/>
        </w:rPr>
        <w:t xml:space="preserve"> </w:t>
      </w:r>
      <w:r>
        <w:t>defining</w:t>
      </w:r>
      <w:r>
        <w:rPr>
          <w:spacing w:val="-13"/>
        </w:rPr>
        <w:t xml:space="preserve"> </w:t>
      </w:r>
      <w:r>
        <w:t>the</w:t>
      </w:r>
      <w:r>
        <w:rPr>
          <w:spacing w:val="-9"/>
        </w:rPr>
        <w:t xml:space="preserve"> </w:t>
      </w:r>
      <w:r>
        <w:t>proposed</w:t>
      </w:r>
      <w:r>
        <w:rPr>
          <w:spacing w:val="-11"/>
        </w:rPr>
        <w:t xml:space="preserve"> </w:t>
      </w:r>
      <w:r>
        <w:t>reforms</w:t>
      </w:r>
      <w:r>
        <w:rPr>
          <w:spacing w:val="-11"/>
        </w:rPr>
        <w:t xml:space="preserve"> </w:t>
      </w:r>
      <w:r>
        <w:t>while</w:t>
      </w:r>
      <w:r>
        <w:rPr>
          <w:spacing w:val="-12"/>
        </w:rPr>
        <w:t xml:space="preserve"> </w:t>
      </w:r>
      <w:r>
        <w:t>addressing</w:t>
      </w:r>
      <w:r>
        <w:rPr>
          <w:spacing w:val="-13"/>
        </w:rPr>
        <w:t xml:space="preserve"> </w:t>
      </w:r>
      <w:r>
        <w:t>structural</w:t>
      </w:r>
      <w:r>
        <w:rPr>
          <w:spacing w:val="-58"/>
        </w:rPr>
        <w:t xml:space="preserve"> </w:t>
      </w:r>
      <w:r>
        <w:t>challenges</w:t>
      </w:r>
      <w:r>
        <w:rPr>
          <w:spacing w:val="-4"/>
        </w:rPr>
        <w:t xml:space="preserve"> </w:t>
      </w:r>
      <w:r>
        <w:t>to</w:t>
      </w:r>
      <w:r>
        <w:rPr>
          <w:spacing w:val="-3"/>
        </w:rPr>
        <w:t xml:space="preserve"> </w:t>
      </w:r>
      <w:r>
        <w:t>take</w:t>
      </w:r>
      <w:r>
        <w:rPr>
          <w:spacing w:val="-5"/>
        </w:rPr>
        <w:t xml:space="preserve"> </w:t>
      </w:r>
      <w:r>
        <w:t>into</w:t>
      </w:r>
      <w:r>
        <w:rPr>
          <w:spacing w:val="-4"/>
        </w:rPr>
        <w:t xml:space="preserve"> </w:t>
      </w:r>
      <w:r>
        <w:t>account</w:t>
      </w:r>
      <w:r>
        <w:rPr>
          <w:spacing w:val="-4"/>
        </w:rPr>
        <w:t xml:space="preserve"> </w:t>
      </w:r>
      <w:r>
        <w:t>the</w:t>
      </w:r>
      <w:r>
        <w:rPr>
          <w:spacing w:val="-4"/>
        </w:rPr>
        <w:t xml:space="preserve"> </w:t>
      </w:r>
      <w:r>
        <w:t>sustainable</w:t>
      </w:r>
      <w:r>
        <w:rPr>
          <w:spacing w:val="-5"/>
        </w:rPr>
        <w:t xml:space="preserve"> </w:t>
      </w:r>
      <w:r>
        <w:t>development</w:t>
      </w:r>
      <w:r>
        <w:rPr>
          <w:spacing w:val="-1"/>
        </w:rPr>
        <w:t xml:space="preserve"> </w:t>
      </w:r>
      <w:r>
        <w:t>goals</w:t>
      </w:r>
      <w:r>
        <w:rPr>
          <w:spacing w:val="-3"/>
        </w:rPr>
        <w:t xml:space="preserve"> </w:t>
      </w:r>
      <w:r>
        <w:t>and</w:t>
      </w:r>
      <w:r>
        <w:rPr>
          <w:spacing w:val="-5"/>
        </w:rPr>
        <w:t xml:space="preserve"> </w:t>
      </w:r>
      <w:r>
        <w:t>support</w:t>
      </w:r>
      <w:r>
        <w:rPr>
          <w:spacing w:val="-4"/>
        </w:rPr>
        <w:t xml:space="preserve"> </w:t>
      </w:r>
      <w:r>
        <w:t>the</w:t>
      </w:r>
      <w:r>
        <w:rPr>
          <w:spacing w:val="-4"/>
        </w:rPr>
        <w:t xml:space="preserve"> </w:t>
      </w:r>
      <w:r>
        <w:t>principles</w:t>
      </w:r>
      <w:r>
        <w:rPr>
          <w:spacing w:val="-4"/>
        </w:rPr>
        <w:t xml:space="preserve"> </w:t>
      </w:r>
      <w:r>
        <w:t>of</w:t>
      </w:r>
      <w:r>
        <w:rPr>
          <w:spacing w:val="-58"/>
        </w:rPr>
        <w:t xml:space="preserve"> </w:t>
      </w:r>
      <w:r>
        <w:t>the European Pillar of Social Rights. This NRP also considers certain additional activities,</w:t>
      </w:r>
      <w:r>
        <w:rPr>
          <w:spacing w:val="1"/>
        </w:rPr>
        <w:t xml:space="preserve"> </w:t>
      </w:r>
      <w:r>
        <w:t>highlighting the following: the drafting and development of vocational curricula in line with</w:t>
      </w:r>
      <w:r>
        <w:rPr>
          <w:spacing w:val="1"/>
        </w:rPr>
        <w:t xml:space="preserve"> </w:t>
      </w:r>
      <w:r>
        <w:t>the CROQF and labour market needs; awarding scholarships to students from lower socio-</w:t>
      </w:r>
      <w:r>
        <w:rPr>
          <w:spacing w:val="1"/>
        </w:rPr>
        <w:t xml:space="preserve"> </w:t>
      </w:r>
      <w:r>
        <w:t>economic</w:t>
      </w:r>
      <w:r>
        <w:rPr>
          <w:spacing w:val="1"/>
        </w:rPr>
        <w:t xml:space="preserve"> </w:t>
      </w:r>
      <w:r>
        <w:t>backgrounds</w:t>
      </w:r>
      <w:r>
        <w:rPr>
          <w:spacing w:val="1"/>
        </w:rPr>
        <w:t xml:space="preserve"> </w:t>
      </w:r>
      <w:r>
        <w:t>and</w:t>
      </w:r>
      <w:r>
        <w:rPr>
          <w:spacing w:val="1"/>
        </w:rPr>
        <w:t xml:space="preserve"> </w:t>
      </w:r>
      <w:r>
        <w:t>to</w:t>
      </w:r>
      <w:r>
        <w:rPr>
          <w:spacing w:val="1"/>
        </w:rPr>
        <w:t xml:space="preserve"> </w:t>
      </w:r>
      <w:r>
        <w:t>students</w:t>
      </w:r>
      <w:r>
        <w:rPr>
          <w:spacing w:val="1"/>
        </w:rPr>
        <w:t xml:space="preserve"> </w:t>
      </w:r>
      <w:r>
        <w:t>in</w:t>
      </w:r>
      <w:r>
        <w:rPr>
          <w:spacing w:val="1"/>
        </w:rPr>
        <w:t xml:space="preserve"> </w:t>
      </w:r>
      <w:r>
        <w:t>STEM</w:t>
      </w:r>
      <w:r>
        <w:rPr>
          <w:spacing w:val="1"/>
        </w:rPr>
        <w:t xml:space="preserve"> </w:t>
      </w:r>
      <w:r>
        <w:t>priority</w:t>
      </w:r>
      <w:r>
        <w:rPr>
          <w:spacing w:val="1"/>
        </w:rPr>
        <w:t xml:space="preserve"> </w:t>
      </w:r>
      <w:r>
        <w:t>areas;</w:t>
      </w:r>
      <w:r>
        <w:rPr>
          <w:spacing w:val="1"/>
        </w:rPr>
        <w:t xml:space="preserve"> </w:t>
      </w:r>
      <w:r>
        <w:t>adoption</w:t>
      </w:r>
      <w:r>
        <w:rPr>
          <w:spacing w:val="1"/>
        </w:rPr>
        <w:t xml:space="preserve"> </w:t>
      </w:r>
      <w:r>
        <w:t>of</w:t>
      </w:r>
      <w:r>
        <w:rPr>
          <w:spacing w:val="1"/>
        </w:rPr>
        <w:t xml:space="preserve"> </w:t>
      </w:r>
      <w:r>
        <w:t>a</w:t>
      </w:r>
      <w:r>
        <w:rPr>
          <w:spacing w:val="1"/>
        </w:rPr>
        <w:t xml:space="preserve"> </w:t>
      </w:r>
      <w:r>
        <w:t>national</w:t>
      </w:r>
      <w:r>
        <w:rPr>
          <w:spacing w:val="1"/>
        </w:rPr>
        <w:t xml:space="preserve"> </w:t>
      </w:r>
      <w:r>
        <w:t>implementation</w:t>
      </w:r>
      <w:r>
        <w:rPr>
          <w:spacing w:val="1"/>
        </w:rPr>
        <w:t xml:space="preserve"> </w:t>
      </w:r>
      <w:r>
        <w:t>plan</w:t>
      </w:r>
      <w:r>
        <w:rPr>
          <w:spacing w:val="1"/>
        </w:rPr>
        <w:t xml:space="preserve"> </w:t>
      </w:r>
      <w:r>
        <w:t>for</w:t>
      </w:r>
      <w:r>
        <w:rPr>
          <w:spacing w:val="1"/>
        </w:rPr>
        <w:t xml:space="preserve"> </w:t>
      </w:r>
      <w:r>
        <w:t>the</w:t>
      </w:r>
      <w:r>
        <w:rPr>
          <w:spacing w:val="1"/>
        </w:rPr>
        <w:t xml:space="preserve"> </w:t>
      </w:r>
      <w:r>
        <w:t>Child</w:t>
      </w:r>
      <w:r>
        <w:rPr>
          <w:spacing w:val="1"/>
        </w:rPr>
        <w:t xml:space="preserve"> </w:t>
      </w:r>
      <w:r>
        <w:t>Guarantee;</w:t>
      </w:r>
      <w:r>
        <w:rPr>
          <w:spacing w:val="1"/>
        </w:rPr>
        <w:t xml:space="preserve"> </w:t>
      </w:r>
      <w:r>
        <w:t>analysing</w:t>
      </w:r>
      <w:r>
        <w:rPr>
          <w:spacing w:val="1"/>
        </w:rPr>
        <w:t xml:space="preserve"> </w:t>
      </w:r>
      <w:r>
        <w:t>the</w:t>
      </w:r>
      <w:r>
        <w:rPr>
          <w:spacing w:val="1"/>
        </w:rPr>
        <w:t xml:space="preserve"> </w:t>
      </w:r>
      <w:r>
        <w:t>adequacy</w:t>
      </w:r>
      <w:r>
        <w:rPr>
          <w:spacing w:val="1"/>
        </w:rPr>
        <w:t xml:space="preserve"> </w:t>
      </w:r>
      <w:r>
        <w:t>of</w:t>
      </w:r>
      <w:r>
        <w:rPr>
          <w:spacing w:val="1"/>
        </w:rPr>
        <w:t xml:space="preserve"> </w:t>
      </w:r>
      <w:r>
        <w:t>unemployment</w:t>
      </w:r>
      <w:r>
        <w:rPr>
          <w:spacing w:val="-57"/>
        </w:rPr>
        <w:t xml:space="preserve"> </w:t>
      </w:r>
      <w:r>
        <w:t>benefits;</w:t>
      </w:r>
      <w:r>
        <w:rPr>
          <w:spacing w:val="-8"/>
        </w:rPr>
        <w:t xml:space="preserve"> </w:t>
      </w:r>
      <w:r>
        <w:t>adoption</w:t>
      </w:r>
      <w:r>
        <w:rPr>
          <w:spacing w:val="-9"/>
        </w:rPr>
        <w:t xml:space="preserve"> </w:t>
      </w:r>
      <w:r>
        <w:t>of</w:t>
      </w:r>
      <w:r>
        <w:rPr>
          <w:spacing w:val="-9"/>
        </w:rPr>
        <w:t xml:space="preserve"> </w:t>
      </w:r>
      <w:r>
        <w:t>the</w:t>
      </w:r>
      <w:r>
        <w:rPr>
          <w:spacing w:val="-12"/>
        </w:rPr>
        <w:t xml:space="preserve"> </w:t>
      </w:r>
      <w:r>
        <w:t>National</w:t>
      </w:r>
      <w:r>
        <w:rPr>
          <w:spacing w:val="-8"/>
        </w:rPr>
        <w:t xml:space="preserve"> </w:t>
      </w:r>
      <w:r>
        <w:t>Strategy</w:t>
      </w:r>
      <w:r>
        <w:rPr>
          <w:spacing w:val="-13"/>
        </w:rPr>
        <w:t xml:space="preserve"> </w:t>
      </w:r>
      <w:r>
        <w:t>for</w:t>
      </w:r>
      <w:r>
        <w:rPr>
          <w:spacing w:val="-9"/>
        </w:rPr>
        <w:t xml:space="preserve"> </w:t>
      </w:r>
      <w:r>
        <w:t>Action</w:t>
      </w:r>
      <w:r>
        <w:rPr>
          <w:spacing w:val="-8"/>
        </w:rPr>
        <w:t xml:space="preserve"> </w:t>
      </w:r>
      <w:r>
        <w:t>in</w:t>
      </w:r>
      <w:r>
        <w:rPr>
          <w:spacing w:val="-8"/>
        </w:rPr>
        <w:t xml:space="preserve"> </w:t>
      </w:r>
      <w:r>
        <w:t>the</w:t>
      </w:r>
      <w:r>
        <w:rPr>
          <w:spacing w:val="-7"/>
        </w:rPr>
        <w:t xml:space="preserve"> </w:t>
      </w:r>
      <w:r>
        <w:t>Area</w:t>
      </w:r>
      <w:r>
        <w:rPr>
          <w:spacing w:val="-10"/>
        </w:rPr>
        <w:t xml:space="preserve"> </w:t>
      </w:r>
      <w:r>
        <w:t>of</w:t>
      </w:r>
      <w:r>
        <w:rPr>
          <w:spacing w:val="-9"/>
        </w:rPr>
        <w:t xml:space="preserve"> </w:t>
      </w:r>
      <w:r>
        <w:t>Addiction</w:t>
      </w:r>
      <w:r>
        <w:rPr>
          <w:spacing w:val="-7"/>
        </w:rPr>
        <w:t xml:space="preserve"> </w:t>
      </w:r>
      <w:r>
        <w:t>and</w:t>
      </w:r>
      <w:r>
        <w:rPr>
          <w:spacing w:val="-9"/>
        </w:rPr>
        <w:t xml:space="preserve"> </w:t>
      </w:r>
      <w:r>
        <w:t>the</w:t>
      </w:r>
      <w:r>
        <w:rPr>
          <w:spacing w:val="-9"/>
        </w:rPr>
        <w:t xml:space="preserve"> </w:t>
      </w:r>
      <w:r>
        <w:t>National</w:t>
      </w:r>
      <w:r>
        <w:rPr>
          <w:spacing w:val="-58"/>
        </w:rPr>
        <w:t xml:space="preserve"> </w:t>
      </w:r>
      <w:r>
        <w:t>Strategy for Mental Health Development; adoption of the National Plan for Development</w:t>
      </w:r>
      <w:r>
        <w:rPr>
          <w:spacing w:val="1"/>
        </w:rPr>
        <w:t xml:space="preserve"> </w:t>
      </w:r>
      <w:r>
        <w:t>Cooperation</w:t>
      </w:r>
      <w:r>
        <w:rPr>
          <w:spacing w:val="1"/>
        </w:rPr>
        <w:t xml:space="preserve"> </w:t>
      </w:r>
      <w:r>
        <w:t>and</w:t>
      </w:r>
      <w:r>
        <w:rPr>
          <w:spacing w:val="1"/>
        </w:rPr>
        <w:t xml:space="preserve"> </w:t>
      </w:r>
      <w:r>
        <w:t>Humanitarian</w:t>
      </w:r>
      <w:r>
        <w:rPr>
          <w:spacing w:val="1"/>
        </w:rPr>
        <w:t xml:space="preserve"> </w:t>
      </w:r>
      <w:r>
        <w:t>Aid</w:t>
      </w:r>
      <w:r>
        <w:rPr>
          <w:spacing w:val="1"/>
        </w:rPr>
        <w:t xml:space="preserve"> </w:t>
      </w:r>
      <w:r>
        <w:t>of</w:t>
      </w:r>
      <w:r>
        <w:rPr>
          <w:spacing w:val="1"/>
        </w:rPr>
        <w:t xml:space="preserve"> </w:t>
      </w:r>
      <w:r>
        <w:t>the</w:t>
      </w:r>
      <w:r>
        <w:rPr>
          <w:spacing w:val="1"/>
        </w:rPr>
        <w:t xml:space="preserve"> </w:t>
      </w:r>
      <w:r>
        <w:t>Republic</w:t>
      </w:r>
      <w:r>
        <w:rPr>
          <w:spacing w:val="1"/>
        </w:rPr>
        <w:t xml:space="preserve"> </w:t>
      </w:r>
      <w:r>
        <w:t>of</w:t>
      </w:r>
      <w:r>
        <w:rPr>
          <w:spacing w:val="1"/>
        </w:rPr>
        <w:t xml:space="preserve"> </w:t>
      </w:r>
      <w:r>
        <w:t>Croatia;</w:t>
      </w:r>
      <w:r>
        <w:rPr>
          <w:spacing w:val="1"/>
        </w:rPr>
        <w:t xml:space="preserve"> </w:t>
      </w:r>
      <w:r>
        <w:t>action</w:t>
      </w:r>
      <w:r>
        <w:rPr>
          <w:spacing w:val="1"/>
        </w:rPr>
        <w:t xml:space="preserve"> </w:t>
      </w:r>
      <w:r>
        <w:t>plan</w:t>
      </w:r>
      <w:r>
        <w:rPr>
          <w:spacing w:val="1"/>
        </w:rPr>
        <w:t xml:space="preserve"> </w:t>
      </w:r>
      <w:r>
        <w:t>for</w:t>
      </w:r>
      <w:r>
        <w:rPr>
          <w:spacing w:val="1"/>
        </w:rPr>
        <w:t xml:space="preserve"> </w:t>
      </w:r>
      <w:r>
        <w:t>the</w:t>
      </w:r>
      <w:r>
        <w:rPr>
          <w:spacing w:val="1"/>
        </w:rPr>
        <w:t xml:space="preserve"> </w:t>
      </w:r>
      <w:r>
        <w:t>implementation of the Low Carbon Development Strategy and for the implementation of the</w:t>
      </w:r>
      <w:r>
        <w:rPr>
          <w:spacing w:val="1"/>
        </w:rPr>
        <w:t xml:space="preserve"> </w:t>
      </w:r>
      <w:r>
        <w:t>Climate Change Adaptation Strategy; adoption of the National Disaster Risk Management</w:t>
      </w:r>
      <w:r>
        <w:rPr>
          <w:spacing w:val="1"/>
        </w:rPr>
        <w:t xml:space="preserve"> </w:t>
      </w:r>
      <w:r>
        <w:t>Strategy; adoption of the National Plan for Combating Human Trafficking; renovation of</w:t>
      </w:r>
      <w:r>
        <w:rPr>
          <w:spacing w:val="1"/>
        </w:rPr>
        <w:t xml:space="preserve"> </w:t>
      </w:r>
      <w:r>
        <w:t>shelters</w:t>
      </w:r>
      <w:r>
        <w:rPr>
          <w:spacing w:val="-1"/>
        </w:rPr>
        <w:t xml:space="preserve"> </w:t>
      </w:r>
      <w:r>
        <w:t>for applicants of</w:t>
      </w:r>
      <w:r>
        <w:rPr>
          <w:spacing w:val="2"/>
        </w:rPr>
        <w:t xml:space="preserve"> </w:t>
      </w:r>
      <w:r>
        <w:t>international</w:t>
      </w:r>
      <w:r>
        <w:rPr>
          <w:spacing w:val="-1"/>
        </w:rPr>
        <w:t xml:space="preserve"> </w:t>
      </w:r>
      <w:r>
        <w:t>protection in Zagreb</w:t>
      </w:r>
      <w:r>
        <w:rPr>
          <w:spacing w:val="1"/>
        </w:rPr>
        <w:t xml:space="preserve"> </w:t>
      </w:r>
      <w:r>
        <w:t>and Kutina,</w:t>
      </w:r>
      <w:r>
        <w:rPr>
          <w:spacing w:val="-1"/>
        </w:rPr>
        <w:t xml:space="preserve"> </w:t>
      </w:r>
      <w:r>
        <w:t>etc.</w:t>
      </w:r>
    </w:p>
    <w:p w:rsidR="00A56FE9" w:rsidRDefault="00000000">
      <w:pPr>
        <w:spacing w:before="120" w:line="276" w:lineRule="auto"/>
        <w:ind w:left="138" w:right="272"/>
        <w:jc w:val="both"/>
        <w:rPr>
          <w:sz w:val="24"/>
        </w:rPr>
      </w:pPr>
      <w:r>
        <w:rPr>
          <w:sz w:val="24"/>
        </w:rPr>
        <w:t>To ensure consistency and transparency between different strategic and program documents,</w:t>
      </w:r>
      <w:r>
        <w:rPr>
          <w:spacing w:val="1"/>
          <w:sz w:val="24"/>
        </w:rPr>
        <w:t xml:space="preserve"> </w:t>
      </w:r>
      <w:r>
        <w:rPr>
          <w:sz w:val="24"/>
        </w:rPr>
        <w:t>the connecting of EU priorities from the Annual Sustainable Growth Survey and the NRP, the</w:t>
      </w:r>
      <w:r>
        <w:rPr>
          <w:spacing w:val="1"/>
          <w:sz w:val="24"/>
        </w:rPr>
        <w:t xml:space="preserve"> </w:t>
      </w:r>
      <w:r>
        <w:rPr>
          <w:sz w:val="24"/>
        </w:rPr>
        <w:t>document structure follows the division of planned measures (activities) by priority areas as</w:t>
      </w:r>
      <w:r>
        <w:rPr>
          <w:spacing w:val="1"/>
          <w:sz w:val="24"/>
        </w:rPr>
        <w:t xml:space="preserve"> </w:t>
      </w:r>
      <w:r>
        <w:rPr>
          <w:sz w:val="24"/>
        </w:rPr>
        <w:t>defined</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NRRP.</w:t>
      </w:r>
      <w:r>
        <w:rPr>
          <w:spacing w:val="-3"/>
          <w:sz w:val="24"/>
        </w:rPr>
        <w:t xml:space="preserve"> </w:t>
      </w:r>
      <w:r>
        <w:rPr>
          <w:sz w:val="24"/>
        </w:rPr>
        <w:t>Therefore,</w:t>
      </w:r>
      <w:r>
        <w:rPr>
          <w:spacing w:val="-4"/>
          <w:sz w:val="24"/>
        </w:rPr>
        <w:t xml:space="preserve"> </w:t>
      </w:r>
      <w:r>
        <w:rPr>
          <w:sz w:val="24"/>
        </w:rPr>
        <w:t>this</w:t>
      </w:r>
      <w:r>
        <w:rPr>
          <w:spacing w:val="-2"/>
          <w:sz w:val="24"/>
        </w:rPr>
        <w:t xml:space="preserve"> </w:t>
      </w:r>
      <w:r>
        <w:rPr>
          <w:b/>
          <w:sz w:val="24"/>
        </w:rPr>
        <w:t>NRP</w:t>
      </w:r>
      <w:r>
        <w:rPr>
          <w:b/>
          <w:spacing w:val="-6"/>
          <w:sz w:val="24"/>
        </w:rPr>
        <w:t xml:space="preserve"> </w:t>
      </w:r>
      <w:r>
        <w:rPr>
          <w:b/>
          <w:sz w:val="24"/>
        </w:rPr>
        <w:t>includes</w:t>
      </w:r>
      <w:r>
        <w:rPr>
          <w:b/>
          <w:spacing w:val="-4"/>
          <w:sz w:val="24"/>
        </w:rPr>
        <w:t xml:space="preserve"> </w:t>
      </w:r>
      <w:r>
        <w:rPr>
          <w:b/>
          <w:sz w:val="24"/>
        </w:rPr>
        <w:t>95</w:t>
      </w:r>
      <w:r>
        <w:rPr>
          <w:b/>
          <w:spacing w:val="-4"/>
          <w:sz w:val="24"/>
        </w:rPr>
        <w:t xml:space="preserve"> </w:t>
      </w:r>
      <w:r>
        <w:rPr>
          <w:b/>
          <w:sz w:val="24"/>
        </w:rPr>
        <w:t>measures</w:t>
      </w:r>
      <w:r>
        <w:rPr>
          <w:b/>
          <w:spacing w:val="-3"/>
          <w:sz w:val="24"/>
        </w:rPr>
        <w:t xml:space="preserve"> </w:t>
      </w:r>
      <w:r>
        <w:rPr>
          <w:b/>
          <w:sz w:val="24"/>
        </w:rPr>
        <w:t>(60</w:t>
      </w:r>
      <w:r>
        <w:rPr>
          <w:b/>
          <w:spacing w:val="-5"/>
          <w:sz w:val="24"/>
        </w:rPr>
        <w:t xml:space="preserve"> </w:t>
      </w:r>
      <w:r>
        <w:rPr>
          <w:b/>
          <w:sz w:val="24"/>
        </w:rPr>
        <w:t>from</w:t>
      </w:r>
      <w:r>
        <w:rPr>
          <w:b/>
          <w:spacing w:val="-5"/>
          <w:sz w:val="24"/>
        </w:rPr>
        <w:t xml:space="preserve"> </w:t>
      </w:r>
      <w:r>
        <w:rPr>
          <w:b/>
          <w:sz w:val="24"/>
        </w:rPr>
        <w:t>the</w:t>
      </w:r>
      <w:r>
        <w:rPr>
          <w:b/>
          <w:spacing w:val="-1"/>
          <w:sz w:val="24"/>
        </w:rPr>
        <w:t xml:space="preserve"> </w:t>
      </w:r>
      <w:r>
        <w:rPr>
          <w:b/>
          <w:sz w:val="24"/>
        </w:rPr>
        <w:t>NRRP</w:t>
      </w:r>
      <w:r>
        <w:rPr>
          <w:b/>
          <w:spacing w:val="-6"/>
          <w:sz w:val="24"/>
        </w:rPr>
        <w:t xml:space="preserve"> </w:t>
      </w:r>
      <w:r>
        <w:rPr>
          <w:b/>
          <w:sz w:val="24"/>
        </w:rPr>
        <w:t>and</w:t>
      </w:r>
      <w:r>
        <w:rPr>
          <w:b/>
          <w:spacing w:val="-3"/>
          <w:sz w:val="24"/>
        </w:rPr>
        <w:t xml:space="preserve"> </w:t>
      </w:r>
      <w:r>
        <w:rPr>
          <w:b/>
          <w:sz w:val="24"/>
        </w:rPr>
        <w:t>35</w:t>
      </w:r>
      <w:r>
        <w:rPr>
          <w:b/>
          <w:spacing w:val="-57"/>
          <w:sz w:val="24"/>
        </w:rPr>
        <w:t xml:space="preserve"> </w:t>
      </w:r>
      <w:r>
        <w:rPr>
          <w:b/>
          <w:sz w:val="24"/>
        </w:rPr>
        <w:t>additionally added), relating to the following six components: 1) the Economy, 2) Public</w:t>
      </w:r>
      <w:r>
        <w:rPr>
          <w:b/>
          <w:spacing w:val="1"/>
          <w:sz w:val="24"/>
        </w:rPr>
        <w:t xml:space="preserve"> </w:t>
      </w:r>
      <w:r>
        <w:rPr>
          <w:b/>
          <w:sz w:val="24"/>
        </w:rPr>
        <w:t>Administration,</w:t>
      </w:r>
      <w:r>
        <w:rPr>
          <w:b/>
          <w:spacing w:val="1"/>
          <w:sz w:val="24"/>
        </w:rPr>
        <w:t xml:space="preserve"> </w:t>
      </w:r>
      <w:r>
        <w:rPr>
          <w:b/>
          <w:sz w:val="24"/>
        </w:rPr>
        <w:t>Judiciary</w:t>
      </w:r>
      <w:r>
        <w:rPr>
          <w:b/>
          <w:spacing w:val="1"/>
          <w:sz w:val="24"/>
        </w:rPr>
        <w:t xml:space="preserve"> </w:t>
      </w:r>
      <w:r>
        <w:rPr>
          <w:b/>
          <w:sz w:val="24"/>
        </w:rPr>
        <w:t>and</w:t>
      </w:r>
      <w:r>
        <w:rPr>
          <w:b/>
          <w:spacing w:val="1"/>
          <w:sz w:val="24"/>
        </w:rPr>
        <w:t xml:space="preserve"> </w:t>
      </w:r>
      <w:r>
        <w:rPr>
          <w:b/>
          <w:sz w:val="24"/>
        </w:rPr>
        <w:t>State</w:t>
      </w:r>
      <w:r>
        <w:rPr>
          <w:b/>
          <w:spacing w:val="1"/>
          <w:sz w:val="24"/>
        </w:rPr>
        <w:t xml:space="preserve"> </w:t>
      </w:r>
      <w:r>
        <w:rPr>
          <w:b/>
          <w:sz w:val="24"/>
        </w:rPr>
        <w:t>Assets,</w:t>
      </w:r>
      <w:r>
        <w:rPr>
          <w:b/>
          <w:spacing w:val="1"/>
          <w:sz w:val="24"/>
        </w:rPr>
        <w:t xml:space="preserve"> </w:t>
      </w:r>
      <w:r>
        <w:rPr>
          <w:b/>
          <w:sz w:val="24"/>
        </w:rPr>
        <w:t>3)</w:t>
      </w:r>
      <w:r>
        <w:rPr>
          <w:b/>
          <w:spacing w:val="1"/>
          <w:sz w:val="24"/>
        </w:rPr>
        <w:t xml:space="preserve"> </w:t>
      </w:r>
      <w:r>
        <w:rPr>
          <w:b/>
          <w:sz w:val="24"/>
        </w:rPr>
        <w:t>Education, Science</w:t>
      </w:r>
      <w:r>
        <w:rPr>
          <w:b/>
          <w:spacing w:val="1"/>
          <w:sz w:val="24"/>
        </w:rPr>
        <w:t xml:space="preserve"> </w:t>
      </w:r>
      <w:r>
        <w:rPr>
          <w:b/>
          <w:sz w:val="24"/>
        </w:rPr>
        <w:t>and</w:t>
      </w:r>
      <w:r>
        <w:rPr>
          <w:b/>
          <w:spacing w:val="1"/>
          <w:sz w:val="24"/>
        </w:rPr>
        <w:t xml:space="preserve"> </w:t>
      </w:r>
      <w:r>
        <w:rPr>
          <w:b/>
          <w:sz w:val="24"/>
        </w:rPr>
        <w:t>Research,</w:t>
      </w:r>
      <w:r>
        <w:rPr>
          <w:b/>
          <w:spacing w:val="1"/>
          <w:sz w:val="24"/>
        </w:rPr>
        <w:t xml:space="preserve"> </w:t>
      </w:r>
      <w:r>
        <w:rPr>
          <w:b/>
          <w:sz w:val="24"/>
        </w:rPr>
        <w:t>4)</w:t>
      </w:r>
      <w:r>
        <w:rPr>
          <w:b/>
          <w:spacing w:val="-57"/>
          <w:sz w:val="24"/>
        </w:rPr>
        <w:t xml:space="preserve"> </w:t>
      </w:r>
      <w:r>
        <w:rPr>
          <w:b/>
          <w:sz w:val="24"/>
        </w:rPr>
        <w:t>Labour Market and Social Protection, 5) Health and 6) Renovation of Buildings</w:t>
      </w:r>
      <w:r>
        <w:rPr>
          <w:sz w:val="24"/>
        </w:rPr>
        <w:t>. At the</w:t>
      </w:r>
      <w:r>
        <w:rPr>
          <w:spacing w:val="1"/>
          <w:sz w:val="24"/>
        </w:rPr>
        <w:t xml:space="preserve"> </w:t>
      </w:r>
      <w:r>
        <w:rPr>
          <w:sz w:val="24"/>
        </w:rPr>
        <w:t>same</w:t>
      </w:r>
      <w:r>
        <w:rPr>
          <w:spacing w:val="-4"/>
          <w:sz w:val="24"/>
        </w:rPr>
        <w:t xml:space="preserve"> </w:t>
      </w:r>
      <w:r>
        <w:rPr>
          <w:sz w:val="24"/>
        </w:rPr>
        <w:t>time,</w:t>
      </w:r>
      <w:r>
        <w:rPr>
          <w:spacing w:val="-4"/>
          <w:sz w:val="24"/>
        </w:rPr>
        <w:t xml:space="preserve"> </w:t>
      </w:r>
      <w:r>
        <w:rPr>
          <w:sz w:val="24"/>
        </w:rPr>
        <w:t>the</w:t>
      </w:r>
      <w:r>
        <w:rPr>
          <w:spacing w:val="-4"/>
          <w:sz w:val="24"/>
        </w:rPr>
        <w:t xml:space="preserve"> </w:t>
      </w:r>
      <w:r>
        <w:rPr>
          <w:sz w:val="24"/>
        </w:rPr>
        <w:t>measures</w:t>
      </w:r>
      <w:r>
        <w:rPr>
          <w:spacing w:val="-4"/>
          <w:sz w:val="24"/>
        </w:rPr>
        <w:t xml:space="preserve"> </w:t>
      </w:r>
      <w:r>
        <w:rPr>
          <w:sz w:val="24"/>
        </w:rPr>
        <w:t>proposed</w:t>
      </w:r>
      <w:r>
        <w:rPr>
          <w:spacing w:val="-4"/>
          <w:sz w:val="24"/>
        </w:rPr>
        <w:t xml:space="preserve"> </w:t>
      </w:r>
      <w:r>
        <w:rPr>
          <w:sz w:val="24"/>
        </w:rPr>
        <w:t>in</w:t>
      </w:r>
      <w:r>
        <w:rPr>
          <w:spacing w:val="-3"/>
          <w:sz w:val="24"/>
        </w:rPr>
        <w:t xml:space="preserve"> </w:t>
      </w:r>
      <w:r>
        <w:rPr>
          <w:sz w:val="24"/>
        </w:rPr>
        <w:t>these</w:t>
      </w:r>
      <w:r>
        <w:rPr>
          <w:spacing w:val="-5"/>
          <w:sz w:val="24"/>
        </w:rPr>
        <w:t xml:space="preserve"> </w:t>
      </w:r>
      <w:r>
        <w:rPr>
          <w:sz w:val="24"/>
        </w:rPr>
        <w:t>areas</w:t>
      </w:r>
      <w:r>
        <w:rPr>
          <w:spacing w:val="-2"/>
          <w:sz w:val="24"/>
        </w:rPr>
        <w:t xml:space="preserve"> </w:t>
      </w:r>
      <w:r>
        <w:rPr>
          <w:sz w:val="24"/>
        </w:rPr>
        <w:t>for</w:t>
      </w:r>
      <w:r>
        <w:rPr>
          <w:spacing w:val="-5"/>
          <w:sz w:val="24"/>
        </w:rPr>
        <w:t xml:space="preserve"> </w:t>
      </w:r>
      <w:r>
        <w:rPr>
          <w:sz w:val="24"/>
        </w:rPr>
        <w:t>the</w:t>
      </w:r>
      <w:r>
        <w:rPr>
          <w:spacing w:val="-4"/>
          <w:sz w:val="24"/>
        </w:rPr>
        <w:t xml:space="preserve"> </w:t>
      </w:r>
      <w:r>
        <w:rPr>
          <w:sz w:val="24"/>
        </w:rPr>
        <w:t>recovery</w:t>
      </w:r>
      <w:r>
        <w:rPr>
          <w:spacing w:val="-9"/>
          <w:sz w:val="24"/>
        </w:rPr>
        <w:t xml:space="preserve"> </w:t>
      </w:r>
      <w:r>
        <w:rPr>
          <w:sz w:val="24"/>
        </w:rPr>
        <w:t>and</w:t>
      </w:r>
      <w:r>
        <w:rPr>
          <w:spacing w:val="-4"/>
          <w:sz w:val="24"/>
        </w:rPr>
        <w:t xml:space="preserve"> </w:t>
      </w:r>
      <w:r>
        <w:rPr>
          <w:sz w:val="24"/>
        </w:rPr>
        <w:t>resilience</w:t>
      </w:r>
      <w:r>
        <w:rPr>
          <w:spacing w:val="-4"/>
          <w:sz w:val="24"/>
        </w:rPr>
        <w:t xml:space="preserve"> </w:t>
      </w:r>
      <w:r>
        <w:rPr>
          <w:sz w:val="24"/>
        </w:rPr>
        <w:t>of</w:t>
      </w:r>
      <w:r>
        <w:rPr>
          <w:spacing w:val="-5"/>
          <w:sz w:val="24"/>
        </w:rPr>
        <w:t xml:space="preserve"> </w:t>
      </w:r>
      <w:r>
        <w:rPr>
          <w:sz w:val="24"/>
        </w:rPr>
        <w:t>the</w:t>
      </w:r>
      <w:r>
        <w:rPr>
          <w:spacing w:val="-4"/>
          <w:sz w:val="24"/>
        </w:rPr>
        <w:t xml:space="preserve"> </w:t>
      </w:r>
      <w:r>
        <w:rPr>
          <w:sz w:val="24"/>
        </w:rPr>
        <w:t>Croatian</w:t>
      </w:r>
      <w:r>
        <w:rPr>
          <w:spacing w:val="-58"/>
          <w:sz w:val="24"/>
        </w:rPr>
        <w:t xml:space="preserve"> </w:t>
      </w:r>
      <w:r>
        <w:rPr>
          <w:sz w:val="24"/>
        </w:rPr>
        <w:t>economy, by ensuring macroeconomic stability and increasing productivity, will significantly</w:t>
      </w:r>
      <w:r>
        <w:rPr>
          <w:spacing w:val="1"/>
          <w:sz w:val="24"/>
        </w:rPr>
        <w:t xml:space="preserve"> </w:t>
      </w:r>
      <w:r>
        <w:rPr>
          <w:sz w:val="24"/>
        </w:rPr>
        <w:t>contribute to achieving the goals of the green and digital transition while addressing other</w:t>
      </w:r>
      <w:r>
        <w:rPr>
          <w:spacing w:val="1"/>
          <w:sz w:val="24"/>
        </w:rPr>
        <w:t xml:space="preserve"> </w:t>
      </w:r>
      <w:r>
        <w:rPr>
          <w:sz w:val="24"/>
        </w:rPr>
        <w:t>challenges</w:t>
      </w:r>
      <w:r>
        <w:rPr>
          <w:spacing w:val="-1"/>
          <w:sz w:val="24"/>
        </w:rPr>
        <w:t xml:space="preserve"> </w:t>
      </w:r>
      <w:r>
        <w:rPr>
          <w:sz w:val="24"/>
        </w:rPr>
        <w:t>such</w:t>
      </w:r>
      <w:r>
        <w:rPr>
          <w:spacing w:val="1"/>
          <w:sz w:val="24"/>
        </w:rPr>
        <w:t xml:space="preserve"> </w:t>
      </w:r>
      <w:r>
        <w:rPr>
          <w:sz w:val="24"/>
        </w:rPr>
        <w:t>as employment, education,</w:t>
      </w:r>
      <w:r>
        <w:rPr>
          <w:spacing w:val="1"/>
          <w:sz w:val="24"/>
        </w:rPr>
        <w:t xml:space="preserve"> </w:t>
      </w:r>
      <w:r>
        <w:rPr>
          <w:sz w:val="24"/>
        </w:rPr>
        <w:t>and social policy.</w:t>
      </w:r>
    </w:p>
    <w:p w:rsidR="00A56FE9" w:rsidRDefault="00A56FE9">
      <w:pPr>
        <w:spacing w:line="276" w:lineRule="auto"/>
        <w:jc w:val="both"/>
        <w:rPr>
          <w:sz w:val="24"/>
        </w:rPr>
        <w:sectPr w:rsidR="00A56FE9" w:rsidSect="00AB1E70">
          <w:pgSz w:w="11910" w:h="16840"/>
          <w:pgMar w:top="1320" w:right="1140" w:bottom="960" w:left="1280" w:header="0" w:footer="779" w:gutter="0"/>
          <w:cols w:space="720"/>
        </w:sectPr>
      </w:pPr>
    </w:p>
    <w:p w:rsidR="00A56FE9" w:rsidRDefault="00000000">
      <w:pPr>
        <w:pStyle w:val="Tijeloteksta"/>
        <w:spacing w:before="74" w:line="276" w:lineRule="auto"/>
        <w:ind w:right="275"/>
      </w:pPr>
      <w:r>
        <w:t>Importantly, the implementation of reforms and other measures contained in this NRP also</w:t>
      </w:r>
      <w:r>
        <w:rPr>
          <w:spacing w:val="1"/>
        </w:rPr>
        <w:t xml:space="preserve"> </w:t>
      </w:r>
      <w:r>
        <w:t>implies the implementation of measures from the Action Plan for Croatia's participation in the</w:t>
      </w:r>
      <w:r>
        <w:rPr>
          <w:spacing w:val="-57"/>
        </w:rPr>
        <w:t xml:space="preserve"> </w:t>
      </w:r>
      <w:r>
        <w:t>European Exchange Rate Mechanism (ERM) II, which were fully implemented by 31 March</w:t>
      </w:r>
      <w:r>
        <w:rPr>
          <w:spacing w:val="1"/>
        </w:rPr>
        <w:t xml:space="preserve"> </w:t>
      </w:r>
      <w:r>
        <w:t>2022.</w:t>
      </w:r>
    </w:p>
    <w:p w:rsidR="00A56FE9" w:rsidRDefault="00000000">
      <w:pPr>
        <w:pStyle w:val="Tijeloteksta"/>
        <w:spacing w:before="121" w:line="276" w:lineRule="auto"/>
        <w:ind w:right="272"/>
      </w:pPr>
      <w:r>
        <w:t>In</w:t>
      </w:r>
      <w:r>
        <w:rPr>
          <w:spacing w:val="-2"/>
        </w:rPr>
        <w:t xml:space="preserve"> </w:t>
      </w:r>
      <w:r>
        <w:t>conclusion,</w:t>
      </w:r>
      <w:r>
        <w:rPr>
          <w:spacing w:val="-4"/>
        </w:rPr>
        <w:t xml:space="preserve"> </w:t>
      </w:r>
      <w:r>
        <w:t>the</w:t>
      </w:r>
      <w:r>
        <w:rPr>
          <w:spacing w:val="-3"/>
        </w:rPr>
        <w:t xml:space="preserve"> </w:t>
      </w:r>
      <w:r>
        <w:t>drafting</w:t>
      </w:r>
      <w:r>
        <w:rPr>
          <w:spacing w:val="-6"/>
        </w:rPr>
        <w:t xml:space="preserve"> </w:t>
      </w:r>
      <w:r>
        <w:t>of</w:t>
      </w:r>
      <w:r>
        <w:rPr>
          <w:spacing w:val="-5"/>
        </w:rPr>
        <w:t xml:space="preserve"> </w:t>
      </w:r>
      <w:r>
        <w:t>the</w:t>
      </w:r>
      <w:r>
        <w:rPr>
          <w:spacing w:val="-4"/>
        </w:rPr>
        <w:t xml:space="preserve"> </w:t>
      </w:r>
      <w:r>
        <w:t>NRP</w:t>
      </w:r>
      <w:r>
        <w:rPr>
          <w:spacing w:val="-3"/>
        </w:rPr>
        <w:t xml:space="preserve"> </w:t>
      </w:r>
      <w:r>
        <w:t>is</w:t>
      </w:r>
      <w:r>
        <w:rPr>
          <w:spacing w:val="-3"/>
        </w:rPr>
        <w:t xml:space="preserve"> </w:t>
      </w:r>
      <w:r>
        <w:t>based</w:t>
      </w:r>
      <w:r>
        <w:rPr>
          <w:spacing w:val="-4"/>
        </w:rPr>
        <w:t xml:space="preserve"> </w:t>
      </w:r>
      <w:r>
        <w:t>on</w:t>
      </w:r>
      <w:r>
        <w:rPr>
          <w:spacing w:val="-1"/>
        </w:rPr>
        <w:t xml:space="preserve"> </w:t>
      </w:r>
      <w:r>
        <w:t>the</w:t>
      </w:r>
      <w:r>
        <w:rPr>
          <w:spacing w:val="-4"/>
        </w:rPr>
        <w:t xml:space="preserve"> </w:t>
      </w:r>
      <w:r>
        <w:t>institutional</w:t>
      </w:r>
      <w:r>
        <w:rPr>
          <w:spacing w:val="-3"/>
        </w:rPr>
        <w:t xml:space="preserve"> </w:t>
      </w:r>
      <w:r>
        <w:t>framework</w:t>
      </w:r>
      <w:r>
        <w:rPr>
          <w:spacing w:val="-3"/>
        </w:rPr>
        <w:t xml:space="preserve"> </w:t>
      </w:r>
      <w:r>
        <w:t>as</w:t>
      </w:r>
      <w:r>
        <w:rPr>
          <w:spacing w:val="-4"/>
        </w:rPr>
        <w:t xml:space="preserve"> </w:t>
      </w:r>
      <w:r>
        <w:t>defined</w:t>
      </w:r>
      <w:r>
        <w:rPr>
          <w:spacing w:val="-4"/>
        </w:rPr>
        <w:t xml:space="preserve"> </w:t>
      </w:r>
      <w:r>
        <w:t>in</w:t>
      </w:r>
      <w:r>
        <w:rPr>
          <w:spacing w:val="-3"/>
        </w:rPr>
        <w:t xml:space="preserve"> </w:t>
      </w:r>
      <w:r>
        <w:t>the</w:t>
      </w:r>
      <w:r>
        <w:rPr>
          <w:spacing w:val="-58"/>
        </w:rPr>
        <w:t xml:space="preserve"> </w:t>
      </w:r>
      <w:r>
        <w:t>Decision on Coordination of Activities within the EU Economic Governance Framework</w:t>
      </w:r>
      <w:r>
        <w:rPr>
          <w:vertAlign w:val="superscript"/>
        </w:rPr>
        <w:t>1</w:t>
      </w:r>
      <w:r>
        <w:t xml:space="preserve"> and</w:t>
      </w:r>
      <w:r>
        <w:rPr>
          <w:spacing w:val="-57"/>
        </w:rPr>
        <w:t xml:space="preserve"> </w:t>
      </w:r>
      <w:r>
        <w:t>amended in July 2020 for the</w:t>
      </w:r>
      <w:r>
        <w:rPr>
          <w:spacing w:val="1"/>
        </w:rPr>
        <w:t xml:space="preserve"> </w:t>
      </w:r>
      <w:r>
        <w:t>necessary implementation of the Recovery and Resilience</w:t>
      </w:r>
      <w:r>
        <w:rPr>
          <w:spacing w:val="1"/>
        </w:rPr>
        <w:t xml:space="preserve"> </w:t>
      </w:r>
      <w:r>
        <w:t>Facility,</w:t>
      </w:r>
      <w:r>
        <w:rPr>
          <w:spacing w:val="-1"/>
        </w:rPr>
        <w:t xml:space="preserve"> </w:t>
      </w:r>
      <w:r>
        <w:t>i.e., the</w:t>
      </w:r>
      <w:r>
        <w:rPr>
          <w:spacing w:val="-1"/>
        </w:rPr>
        <w:t xml:space="preserve"> </w:t>
      </w:r>
      <w:r>
        <w:t>drafting of the</w:t>
      </w:r>
      <w:r>
        <w:rPr>
          <w:spacing w:val="-1"/>
        </w:rPr>
        <w:t xml:space="preserve"> </w:t>
      </w:r>
      <w:r>
        <w:t>NRRP.</w:t>
      </w: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CC1B9B">
      <w:pPr>
        <w:pStyle w:val="Tijeloteksta"/>
        <w:spacing w:before="1"/>
        <w:ind w:left="0"/>
        <w:jc w:val="left"/>
        <w:rPr>
          <w:sz w:val="17"/>
        </w:rPr>
      </w:pPr>
      <w:r>
        <w:rPr>
          <w:noProof/>
        </w:rPr>
        <mc:AlternateContent>
          <mc:Choice Requires="wps">
            <w:drawing>
              <wp:anchor distT="0" distB="0" distL="0" distR="0" simplePos="0" relativeHeight="487588352" behindDoc="1" locked="0" layoutInCell="1" allowOverlap="1">
                <wp:simplePos x="0" y="0"/>
                <wp:positionH relativeFrom="page">
                  <wp:posOffset>901065</wp:posOffset>
                </wp:positionH>
                <wp:positionV relativeFrom="paragraph">
                  <wp:posOffset>149860</wp:posOffset>
                </wp:positionV>
                <wp:extent cx="1828800" cy="7620"/>
                <wp:effectExtent l="0" t="0" r="0" b="0"/>
                <wp:wrapTopAndBottom/>
                <wp:docPr id="1870966319" name="Rectangle 3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A4852" id="Rectangle 348" o:spid="_x0000_s1026" style="position:absolute;margin-left:70.95pt;margin-top:11.8pt;width:2in;height:.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1</w:t>
      </w:r>
      <w:r>
        <w:rPr>
          <w:spacing w:val="-3"/>
          <w:sz w:val="16"/>
        </w:rPr>
        <w:t xml:space="preserve"> </w:t>
      </w:r>
      <w:r>
        <w:rPr>
          <w:sz w:val="16"/>
        </w:rPr>
        <w:t>OG</w:t>
      </w:r>
      <w:r>
        <w:rPr>
          <w:spacing w:val="-6"/>
          <w:sz w:val="16"/>
        </w:rPr>
        <w:t xml:space="preserve"> </w:t>
      </w:r>
      <w:r>
        <w:rPr>
          <w:sz w:val="16"/>
        </w:rPr>
        <w:t>13/17,</w:t>
      </w:r>
      <w:r>
        <w:rPr>
          <w:spacing w:val="-4"/>
          <w:sz w:val="16"/>
        </w:rPr>
        <w:t xml:space="preserve"> </w:t>
      </w:r>
      <w:r>
        <w:rPr>
          <w:sz w:val="16"/>
        </w:rPr>
        <w:t>51/17,</w:t>
      </w:r>
      <w:r>
        <w:rPr>
          <w:spacing w:val="-5"/>
          <w:sz w:val="16"/>
        </w:rPr>
        <w:t xml:space="preserve"> </w:t>
      </w:r>
      <w:r>
        <w:rPr>
          <w:sz w:val="16"/>
        </w:rPr>
        <w:t>97/17,</w:t>
      </w:r>
      <w:r>
        <w:rPr>
          <w:spacing w:val="-5"/>
          <w:sz w:val="16"/>
        </w:rPr>
        <w:t xml:space="preserve"> </w:t>
      </w:r>
      <w:r>
        <w:rPr>
          <w:sz w:val="16"/>
        </w:rPr>
        <w:t>50/18,</w:t>
      </w:r>
      <w:r>
        <w:rPr>
          <w:spacing w:val="-4"/>
          <w:sz w:val="16"/>
        </w:rPr>
        <w:t xml:space="preserve"> </w:t>
      </w:r>
      <w:r>
        <w:rPr>
          <w:sz w:val="16"/>
        </w:rPr>
        <w:t>74/19,</w:t>
      </w:r>
      <w:r>
        <w:rPr>
          <w:spacing w:val="-2"/>
          <w:sz w:val="16"/>
        </w:rPr>
        <w:t xml:space="preserve"> </w:t>
      </w:r>
      <w:r>
        <w:rPr>
          <w:sz w:val="16"/>
        </w:rPr>
        <w:t>16/20,</w:t>
      </w:r>
      <w:r>
        <w:rPr>
          <w:spacing w:val="-5"/>
          <w:sz w:val="16"/>
        </w:rPr>
        <w:t xml:space="preserve"> </w:t>
      </w:r>
      <w:r>
        <w:rPr>
          <w:sz w:val="16"/>
        </w:rPr>
        <w:t>89/20</w:t>
      </w:r>
      <w:r>
        <w:rPr>
          <w:spacing w:val="-1"/>
          <w:sz w:val="16"/>
        </w:rPr>
        <w:t xml:space="preserve"> </w:t>
      </w:r>
      <w:r>
        <w:rPr>
          <w:sz w:val="16"/>
        </w:rPr>
        <w:t>and</w:t>
      </w:r>
      <w:r>
        <w:rPr>
          <w:spacing w:val="-4"/>
          <w:sz w:val="16"/>
        </w:rPr>
        <w:t xml:space="preserve"> </w:t>
      </w:r>
      <w:r>
        <w:rPr>
          <w:sz w:val="16"/>
        </w:rPr>
        <w:t>37/22</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Naslov1"/>
        <w:numPr>
          <w:ilvl w:val="0"/>
          <w:numId w:val="8"/>
        </w:numPr>
        <w:tabs>
          <w:tab w:val="left" w:pos="593"/>
        </w:tabs>
        <w:ind w:hanging="455"/>
      </w:pPr>
      <w:bookmarkStart w:id="1" w:name="_bookmark1"/>
      <w:bookmarkEnd w:id="1"/>
      <w:r>
        <w:rPr>
          <w:color w:val="003399"/>
          <w:spacing w:val="-2"/>
        </w:rPr>
        <w:t>Macroeconomic</w:t>
      </w:r>
      <w:r>
        <w:rPr>
          <w:color w:val="003399"/>
          <w:spacing w:val="-16"/>
        </w:rPr>
        <w:t xml:space="preserve"> </w:t>
      </w:r>
      <w:r>
        <w:rPr>
          <w:color w:val="003399"/>
          <w:spacing w:val="-2"/>
        </w:rPr>
        <w:t>context</w:t>
      </w:r>
      <w:r>
        <w:rPr>
          <w:color w:val="003399"/>
          <w:spacing w:val="-13"/>
        </w:rPr>
        <w:t xml:space="preserve"> </w:t>
      </w:r>
      <w:r>
        <w:rPr>
          <w:color w:val="003399"/>
          <w:spacing w:val="-1"/>
        </w:rPr>
        <w:t>and</w:t>
      </w:r>
      <w:r>
        <w:rPr>
          <w:color w:val="003399"/>
          <w:spacing w:val="-17"/>
        </w:rPr>
        <w:t xml:space="preserve"> </w:t>
      </w:r>
      <w:r>
        <w:rPr>
          <w:color w:val="003399"/>
          <w:spacing w:val="-1"/>
        </w:rPr>
        <w:t>effect</w:t>
      </w:r>
      <w:r>
        <w:rPr>
          <w:color w:val="003399"/>
          <w:spacing w:val="-13"/>
        </w:rPr>
        <w:t xml:space="preserve"> </w:t>
      </w:r>
      <w:r>
        <w:rPr>
          <w:color w:val="003399"/>
          <w:spacing w:val="-1"/>
        </w:rPr>
        <w:t>of</w:t>
      </w:r>
      <w:r>
        <w:rPr>
          <w:color w:val="003399"/>
          <w:spacing w:val="-15"/>
        </w:rPr>
        <w:t xml:space="preserve"> </w:t>
      </w:r>
      <w:r>
        <w:rPr>
          <w:color w:val="003399"/>
          <w:spacing w:val="-1"/>
        </w:rPr>
        <w:t>structural</w:t>
      </w:r>
      <w:r>
        <w:rPr>
          <w:color w:val="003399"/>
          <w:spacing w:val="-13"/>
        </w:rPr>
        <w:t xml:space="preserve"> </w:t>
      </w:r>
      <w:r>
        <w:rPr>
          <w:color w:val="003399"/>
          <w:spacing w:val="-1"/>
        </w:rPr>
        <w:t>reforms</w:t>
      </w:r>
    </w:p>
    <w:p w:rsidR="00A56FE9" w:rsidRDefault="00000000">
      <w:pPr>
        <w:pStyle w:val="Tijeloteksta"/>
        <w:spacing w:before="247"/>
        <w:ind w:right="273"/>
      </w:pPr>
      <w:r>
        <w:t>After a rapid and strong recovery in 2021 from the recession caused by the coronavirus</w:t>
      </w:r>
      <w:r>
        <w:rPr>
          <w:spacing w:val="1"/>
        </w:rPr>
        <w:t xml:space="preserve"> </w:t>
      </w:r>
      <w:r>
        <w:t>pandemic, further growth of the Croatian economy will be limited by global supply-side</w:t>
      </w:r>
      <w:r>
        <w:rPr>
          <w:spacing w:val="1"/>
        </w:rPr>
        <w:t xml:space="preserve"> </w:t>
      </w:r>
      <w:r>
        <w:t>disruptions, the heightened effects of the Russian invasion of Ukraine, and pandemic risks.</w:t>
      </w:r>
      <w:r>
        <w:rPr>
          <w:spacing w:val="1"/>
        </w:rPr>
        <w:t xml:space="preserve"> </w:t>
      </w:r>
      <w:r>
        <w:t>Shortages on world markets, in terms of labour and a host of other inputs, in an environment</w:t>
      </w:r>
      <w:r>
        <w:rPr>
          <w:spacing w:val="1"/>
        </w:rPr>
        <w:t xml:space="preserve"> </w:t>
      </w:r>
      <w:r>
        <w:t>showing</w:t>
      </w:r>
      <w:r>
        <w:rPr>
          <w:spacing w:val="-6"/>
        </w:rPr>
        <w:t xml:space="preserve"> </w:t>
      </w:r>
      <w:r>
        <w:t>strong</w:t>
      </w:r>
      <w:r>
        <w:rPr>
          <w:spacing w:val="-6"/>
        </w:rPr>
        <w:t xml:space="preserve"> </w:t>
      </w:r>
      <w:r>
        <w:t>recovery</w:t>
      </w:r>
      <w:r>
        <w:rPr>
          <w:spacing w:val="-5"/>
        </w:rPr>
        <w:t xml:space="preserve"> </w:t>
      </w:r>
      <w:r>
        <w:t>in</w:t>
      </w:r>
      <w:r>
        <w:rPr>
          <w:spacing w:val="-3"/>
        </w:rPr>
        <w:t xml:space="preserve"> </w:t>
      </w:r>
      <w:r>
        <w:t>aggregate</w:t>
      </w:r>
      <w:r>
        <w:rPr>
          <w:spacing w:val="-4"/>
        </w:rPr>
        <w:t xml:space="preserve"> </w:t>
      </w:r>
      <w:r>
        <w:t>demand,</w:t>
      </w:r>
      <w:r>
        <w:rPr>
          <w:spacing w:val="-3"/>
        </w:rPr>
        <w:t xml:space="preserve"> </w:t>
      </w:r>
      <w:r>
        <w:t>have</w:t>
      </w:r>
      <w:r>
        <w:rPr>
          <w:spacing w:val="-5"/>
        </w:rPr>
        <w:t xml:space="preserve"> </w:t>
      </w:r>
      <w:r>
        <w:t>created</w:t>
      </w:r>
      <w:r>
        <w:rPr>
          <w:spacing w:val="-4"/>
        </w:rPr>
        <w:t xml:space="preserve"> </w:t>
      </w:r>
      <w:r>
        <w:t>accelerating</w:t>
      </w:r>
      <w:r>
        <w:rPr>
          <w:spacing w:val="-5"/>
        </w:rPr>
        <w:t xml:space="preserve"> </w:t>
      </w:r>
      <w:r>
        <w:t>inflation</w:t>
      </w:r>
      <w:r>
        <w:rPr>
          <w:spacing w:val="-3"/>
        </w:rPr>
        <w:t xml:space="preserve"> </w:t>
      </w:r>
      <w:r>
        <w:t>in</w:t>
      </w:r>
      <w:r>
        <w:rPr>
          <w:spacing w:val="-3"/>
        </w:rPr>
        <w:t xml:space="preserve"> </w:t>
      </w:r>
      <w:r>
        <w:t>just</w:t>
      </w:r>
      <w:r>
        <w:rPr>
          <w:spacing w:val="-2"/>
        </w:rPr>
        <w:t xml:space="preserve"> </w:t>
      </w:r>
      <w:r>
        <w:t>under</w:t>
      </w:r>
      <w:r>
        <w:rPr>
          <w:spacing w:val="-58"/>
        </w:rPr>
        <w:t xml:space="preserve"> </w:t>
      </w:r>
      <w:r>
        <w:t>a</w:t>
      </w:r>
      <w:r>
        <w:rPr>
          <w:spacing w:val="-3"/>
        </w:rPr>
        <w:t xml:space="preserve"> </w:t>
      </w:r>
      <w:r>
        <w:t>year.</w:t>
      </w:r>
      <w:r>
        <w:rPr>
          <w:spacing w:val="-5"/>
        </w:rPr>
        <w:t xml:space="preserve"> </w:t>
      </w:r>
      <w:r>
        <w:t>Currently,</w:t>
      </w:r>
      <w:r>
        <w:rPr>
          <w:spacing w:val="-5"/>
        </w:rPr>
        <w:t xml:space="preserve"> </w:t>
      </w:r>
      <w:r>
        <w:t>there</w:t>
      </w:r>
      <w:r>
        <w:rPr>
          <w:spacing w:val="-5"/>
        </w:rPr>
        <w:t xml:space="preserve"> </w:t>
      </w:r>
      <w:r>
        <w:t>is</w:t>
      </w:r>
      <w:r>
        <w:rPr>
          <w:spacing w:val="-1"/>
        </w:rPr>
        <w:t xml:space="preserve"> </w:t>
      </w:r>
      <w:r>
        <w:t>a</w:t>
      </w:r>
      <w:r>
        <w:rPr>
          <w:spacing w:val="-6"/>
        </w:rPr>
        <w:t xml:space="preserve"> </w:t>
      </w:r>
      <w:r>
        <w:t>significant</w:t>
      </w:r>
      <w:r>
        <w:rPr>
          <w:spacing w:val="-3"/>
        </w:rPr>
        <w:t xml:space="preserve"> </w:t>
      </w:r>
      <w:r>
        <w:t>level</w:t>
      </w:r>
      <w:r>
        <w:rPr>
          <w:spacing w:val="-3"/>
        </w:rPr>
        <w:t xml:space="preserve"> </w:t>
      </w:r>
      <w:r>
        <w:t>of</w:t>
      </w:r>
      <w:r>
        <w:rPr>
          <w:spacing w:val="-6"/>
        </w:rPr>
        <w:t xml:space="preserve"> </w:t>
      </w:r>
      <w:r>
        <w:t>uncertainty</w:t>
      </w:r>
      <w:r>
        <w:rPr>
          <w:spacing w:val="-9"/>
        </w:rPr>
        <w:t xml:space="preserve"> </w:t>
      </w:r>
      <w:r>
        <w:t>associated</w:t>
      </w:r>
      <w:r>
        <w:rPr>
          <w:spacing w:val="-4"/>
        </w:rPr>
        <w:t xml:space="preserve"> </w:t>
      </w:r>
      <w:r>
        <w:t>with</w:t>
      </w:r>
      <w:r>
        <w:rPr>
          <w:spacing w:val="-3"/>
        </w:rPr>
        <w:t xml:space="preserve"> </w:t>
      </w:r>
      <w:r>
        <w:t>an</w:t>
      </w:r>
      <w:r>
        <w:rPr>
          <w:spacing w:val="-5"/>
        </w:rPr>
        <w:t xml:space="preserve"> </w:t>
      </w:r>
      <w:r>
        <w:t>impending</w:t>
      </w:r>
      <w:r>
        <w:rPr>
          <w:spacing w:val="-6"/>
        </w:rPr>
        <w:t xml:space="preserve"> </w:t>
      </w:r>
      <w:r>
        <w:t>wider</w:t>
      </w:r>
      <w:r>
        <w:rPr>
          <w:spacing w:val="-58"/>
        </w:rPr>
        <w:t xml:space="preserve"> </w:t>
      </w:r>
      <w:r>
        <w:t>spillover of rising energy and food prices to core inflation. However, despite the accentuated</w:t>
      </w:r>
      <w:r>
        <w:rPr>
          <w:spacing w:val="1"/>
        </w:rPr>
        <w:t xml:space="preserve"> </w:t>
      </w:r>
      <w:r>
        <w:t>negative</w:t>
      </w:r>
      <w:r>
        <w:rPr>
          <w:spacing w:val="1"/>
        </w:rPr>
        <w:t xml:space="preserve"> </w:t>
      </w:r>
      <w:r>
        <w:t>risks</w:t>
      </w:r>
      <w:r>
        <w:rPr>
          <w:spacing w:val="1"/>
        </w:rPr>
        <w:t xml:space="preserve"> </w:t>
      </w:r>
      <w:r>
        <w:t>to</w:t>
      </w:r>
      <w:r>
        <w:rPr>
          <w:spacing w:val="1"/>
        </w:rPr>
        <w:t xml:space="preserve"> </w:t>
      </w:r>
      <w:r>
        <w:t>short-term</w:t>
      </w:r>
      <w:r>
        <w:rPr>
          <w:spacing w:val="1"/>
        </w:rPr>
        <w:t xml:space="preserve"> </w:t>
      </w:r>
      <w:r>
        <w:t>economic</w:t>
      </w:r>
      <w:r>
        <w:rPr>
          <w:spacing w:val="1"/>
        </w:rPr>
        <w:t xml:space="preserve"> </w:t>
      </w:r>
      <w:r>
        <w:t>activity,</w:t>
      </w:r>
      <w:r>
        <w:rPr>
          <w:spacing w:val="1"/>
        </w:rPr>
        <w:t xml:space="preserve"> </w:t>
      </w:r>
      <w:r>
        <w:t>the</w:t>
      </w:r>
      <w:r>
        <w:rPr>
          <w:spacing w:val="1"/>
        </w:rPr>
        <w:t xml:space="preserve"> </w:t>
      </w:r>
      <w:r>
        <w:t>expectation</w:t>
      </w:r>
      <w:r>
        <w:rPr>
          <w:spacing w:val="1"/>
        </w:rPr>
        <w:t xml:space="preserve"> </w:t>
      </w:r>
      <w:r>
        <w:t>in</w:t>
      </w:r>
      <w:r>
        <w:rPr>
          <w:spacing w:val="1"/>
        </w:rPr>
        <w:t xml:space="preserve"> </w:t>
      </w:r>
      <w:r>
        <w:t>this</w:t>
      </w:r>
      <w:r>
        <w:rPr>
          <w:spacing w:val="1"/>
        </w:rPr>
        <w:t xml:space="preserve"> </w:t>
      </w:r>
      <w:r>
        <w:t>macroeconomic</w:t>
      </w:r>
      <w:r>
        <w:rPr>
          <w:spacing w:val="1"/>
        </w:rPr>
        <w:t xml:space="preserve"> </w:t>
      </w:r>
      <w:r>
        <w:t>framework</w:t>
      </w:r>
      <w:r>
        <w:rPr>
          <w:spacing w:val="-12"/>
        </w:rPr>
        <w:t xml:space="preserve"> </w:t>
      </w:r>
      <w:r>
        <w:t>is</w:t>
      </w:r>
      <w:r>
        <w:rPr>
          <w:spacing w:val="-9"/>
        </w:rPr>
        <w:t xml:space="preserve"> </w:t>
      </w:r>
      <w:r>
        <w:t>that</w:t>
      </w:r>
      <w:r>
        <w:rPr>
          <w:spacing w:val="-11"/>
        </w:rPr>
        <w:t xml:space="preserve"> </w:t>
      </w:r>
      <w:r>
        <w:t>following</w:t>
      </w:r>
      <w:r>
        <w:rPr>
          <w:spacing w:val="-12"/>
        </w:rPr>
        <w:t xml:space="preserve"> </w:t>
      </w:r>
      <w:r>
        <w:t>GDP</w:t>
      </w:r>
      <w:r>
        <w:rPr>
          <w:spacing w:val="-11"/>
        </w:rPr>
        <w:t xml:space="preserve"> </w:t>
      </w:r>
      <w:r>
        <w:t>growth</w:t>
      </w:r>
      <w:r>
        <w:rPr>
          <w:spacing w:val="-10"/>
        </w:rPr>
        <w:t xml:space="preserve"> </w:t>
      </w:r>
      <w:r>
        <w:t>of</w:t>
      </w:r>
      <w:r>
        <w:rPr>
          <w:spacing w:val="-12"/>
        </w:rPr>
        <w:t xml:space="preserve"> </w:t>
      </w:r>
      <w:r>
        <w:t>3.0%</w:t>
      </w:r>
      <w:r>
        <w:rPr>
          <w:spacing w:val="-11"/>
        </w:rPr>
        <w:t xml:space="preserve"> </w:t>
      </w:r>
      <w:r>
        <w:t>in</w:t>
      </w:r>
      <w:r>
        <w:rPr>
          <w:spacing w:val="-11"/>
        </w:rPr>
        <w:t xml:space="preserve"> </w:t>
      </w:r>
      <w:r>
        <w:t>2022,</w:t>
      </w:r>
      <w:r>
        <w:rPr>
          <w:spacing w:val="-10"/>
        </w:rPr>
        <w:t xml:space="preserve"> </w:t>
      </w:r>
      <w:r>
        <w:t>growth</w:t>
      </w:r>
      <w:r>
        <w:rPr>
          <w:spacing w:val="-11"/>
        </w:rPr>
        <w:t xml:space="preserve"> </w:t>
      </w:r>
      <w:r>
        <w:t>will</w:t>
      </w:r>
      <w:r>
        <w:rPr>
          <w:spacing w:val="-9"/>
        </w:rPr>
        <w:t xml:space="preserve"> </w:t>
      </w:r>
      <w:r>
        <w:t>accelerate</w:t>
      </w:r>
      <w:r>
        <w:rPr>
          <w:spacing w:val="-9"/>
        </w:rPr>
        <w:t xml:space="preserve"> </w:t>
      </w:r>
      <w:r>
        <w:t>again</w:t>
      </w:r>
      <w:r>
        <w:rPr>
          <w:spacing w:val="-10"/>
        </w:rPr>
        <w:t xml:space="preserve"> </w:t>
      </w:r>
      <w:r>
        <w:t>to</w:t>
      </w:r>
      <w:r>
        <w:rPr>
          <w:spacing w:val="-10"/>
        </w:rPr>
        <w:t xml:space="preserve"> </w:t>
      </w:r>
      <w:r>
        <w:t>4.4%</w:t>
      </w:r>
      <w:r>
        <w:rPr>
          <w:spacing w:val="-58"/>
        </w:rPr>
        <w:t xml:space="preserve"> </w:t>
      </w:r>
      <w:r>
        <w:t>in 2023. In the remaining medium term, in conditions showing a slightly positive GDP gap,</w:t>
      </w:r>
      <w:r>
        <w:rPr>
          <w:spacing w:val="1"/>
        </w:rPr>
        <w:t xml:space="preserve"> </w:t>
      </w:r>
      <w:r>
        <w:t>economic activity is expected to continue slowing down to 2.7% in 2024 and 2.5% in 2025.</w:t>
      </w:r>
      <w:r>
        <w:rPr>
          <w:spacing w:val="1"/>
        </w:rPr>
        <w:t xml:space="preserve"> </w:t>
      </w:r>
      <w:r>
        <w:t>This GDP trend includes the positive effects of the NRRP. A key positive contribution to</w:t>
      </w:r>
      <w:r>
        <w:rPr>
          <w:spacing w:val="1"/>
        </w:rPr>
        <w:t xml:space="preserve"> </w:t>
      </w:r>
      <w:r>
        <w:t>economic</w:t>
      </w:r>
      <w:r>
        <w:rPr>
          <w:spacing w:val="-11"/>
        </w:rPr>
        <w:t xml:space="preserve"> </w:t>
      </w:r>
      <w:r>
        <w:t>growth</w:t>
      </w:r>
      <w:r>
        <w:rPr>
          <w:spacing w:val="-11"/>
        </w:rPr>
        <w:t xml:space="preserve"> </w:t>
      </w:r>
      <w:r>
        <w:t>is</w:t>
      </w:r>
      <w:r>
        <w:rPr>
          <w:spacing w:val="-10"/>
        </w:rPr>
        <w:t xml:space="preserve"> </w:t>
      </w:r>
      <w:r>
        <w:t>expected</w:t>
      </w:r>
      <w:r>
        <w:rPr>
          <w:spacing w:val="-13"/>
        </w:rPr>
        <w:t xml:space="preserve"> </w:t>
      </w:r>
      <w:r>
        <w:t>from</w:t>
      </w:r>
      <w:r>
        <w:rPr>
          <w:spacing w:val="-11"/>
        </w:rPr>
        <w:t xml:space="preserve"> </w:t>
      </w:r>
      <w:r>
        <w:t>domestic</w:t>
      </w:r>
      <w:r>
        <w:rPr>
          <w:spacing w:val="-12"/>
        </w:rPr>
        <w:t xml:space="preserve"> </w:t>
      </w:r>
      <w:r>
        <w:t>demand</w:t>
      </w:r>
      <w:r>
        <w:rPr>
          <w:spacing w:val="-12"/>
        </w:rPr>
        <w:t xml:space="preserve"> </w:t>
      </w:r>
      <w:r>
        <w:t>throughout</w:t>
      </w:r>
      <w:r>
        <w:rPr>
          <w:spacing w:val="-11"/>
        </w:rPr>
        <w:t xml:space="preserve"> </w:t>
      </w:r>
      <w:r>
        <w:t>the</w:t>
      </w:r>
      <w:r>
        <w:rPr>
          <w:spacing w:val="-12"/>
        </w:rPr>
        <w:t xml:space="preserve"> </w:t>
      </w:r>
      <w:r>
        <w:t>observed</w:t>
      </w:r>
      <w:r>
        <w:rPr>
          <w:spacing w:val="-11"/>
        </w:rPr>
        <w:t xml:space="preserve"> </w:t>
      </w:r>
      <w:r>
        <w:t>period.</w:t>
      </w:r>
      <w:r>
        <w:rPr>
          <w:spacing w:val="-12"/>
        </w:rPr>
        <w:t xml:space="preserve"> </w:t>
      </w:r>
      <w:r>
        <w:t>After</w:t>
      </w:r>
      <w:r>
        <w:rPr>
          <w:spacing w:val="-8"/>
        </w:rPr>
        <w:t xml:space="preserve"> </w:t>
      </w:r>
      <w:r>
        <w:t>two</w:t>
      </w:r>
      <w:r>
        <w:rPr>
          <w:spacing w:val="-58"/>
        </w:rPr>
        <w:t xml:space="preserve"> </w:t>
      </w:r>
      <w:r>
        <w:t>years</w:t>
      </w:r>
      <w:r>
        <w:rPr>
          <w:spacing w:val="1"/>
        </w:rPr>
        <w:t xml:space="preserve"> </w:t>
      </w:r>
      <w:r>
        <w:t>of</w:t>
      </w:r>
      <w:r>
        <w:rPr>
          <w:spacing w:val="1"/>
        </w:rPr>
        <w:t xml:space="preserve"> </w:t>
      </w:r>
      <w:r>
        <w:t>reducing</w:t>
      </w:r>
      <w:r>
        <w:rPr>
          <w:spacing w:val="1"/>
        </w:rPr>
        <w:t xml:space="preserve"> </w:t>
      </w:r>
      <w:r>
        <w:t>the</w:t>
      </w:r>
      <w:r>
        <w:rPr>
          <w:spacing w:val="1"/>
        </w:rPr>
        <w:t xml:space="preserve"> </w:t>
      </w:r>
      <w:r>
        <w:t>category of</w:t>
      </w:r>
      <w:r>
        <w:rPr>
          <w:spacing w:val="1"/>
        </w:rPr>
        <w:t xml:space="preserve"> </w:t>
      </w:r>
      <w:r>
        <w:t>changes</w:t>
      </w:r>
      <w:r>
        <w:rPr>
          <w:spacing w:val="1"/>
        </w:rPr>
        <w:t xml:space="preserve"> </w:t>
      </w:r>
      <w:r>
        <w:t>to</w:t>
      </w:r>
      <w:r>
        <w:rPr>
          <w:spacing w:val="1"/>
        </w:rPr>
        <w:t xml:space="preserve"> </w:t>
      </w:r>
      <w:r>
        <w:t>inventories,</w:t>
      </w:r>
      <w:r>
        <w:rPr>
          <w:spacing w:val="1"/>
        </w:rPr>
        <w:t xml:space="preserve"> </w:t>
      </w:r>
      <w:r>
        <w:t>in</w:t>
      </w:r>
      <w:r>
        <w:rPr>
          <w:spacing w:val="1"/>
        </w:rPr>
        <w:t xml:space="preserve"> </w:t>
      </w:r>
      <w:r>
        <w:t>2023</w:t>
      </w:r>
      <w:r>
        <w:rPr>
          <w:spacing w:val="1"/>
        </w:rPr>
        <w:t xml:space="preserve"> </w:t>
      </w:r>
      <w:r>
        <w:t>and</w:t>
      </w:r>
      <w:r>
        <w:rPr>
          <w:spacing w:val="1"/>
        </w:rPr>
        <w:t xml:space="preserve"> </w:t>
      </w:r>
      <w:r>
        <w:t>2024,</w:t>
      </w:r>
      <w:r>
        <w:rPr>
          <w:spacing w:val="1"/>
        </w:rPr>
        <w:t xml:space="preserve"> </w:t>
      </w:r>
      <w:r>
        <w:t>a</w:t>
      </w:r>
      <w:r>
        <w:rPr>
          <w:spacing w:val="1"/>
        </w:rPr>
        <w:t xml:space="preserve"> </w:t>
      </w:r>
      <w:r>
        <w:t>positive</w:t>
      </w:r>
      <w:r>
        <w:rPr>
          <w:spacing w:val="1"/>
        </w:rPr>
        <w:t xml:space="preserve"> </w:t>
      </w:r>
      <w:r>
        <w:t>contribution to economic growth is expected from the anticipated process of replenishing</w:t>
      </w:r>
      <w:r>
        <w:rPr>
          <w:spacing w:val="1"/>
        </w:rPr>
        <w:t xml:space="preserve"> </w:t>
      </w:r>
      <w:r>
        <w:t>inventories in the corporate sector. After a slightly positive impact on growth in 2022, net</w:t>
      </w:r>
      <w:r>
        <w:rPr>
          <w:spacing w:val="1"/>
        </w:rPr>
        <w:t xml:space="preserve"> </w:t>
      </w:r>
      <w:r>
        <w:t>foreign demand in 2023, and stronger GDP growth, will negatively impact economic growth,</w:t>
      </w:r>
      <w:r>
        <w:rPr>
          <w:spacing w:val="1"/>
        </w:rPr>
        <w:t xml:space="preserve"> </w:t>
      </w:r>
      <w:r>
        <w:t>where</w:t>
      </w:r>
      <w:r>
        <w:rPr>
          <w:spacing w:val="-3"/>
        </w:rPr>
        <w:t xml:space="preserve"> </w:t>
      </w:r>
      <w:r>
        <w:t>the impact will subsequently</w:t>
      </w:r>
      <w:r>
        <w:rPr>
          <w:spacing w:val="-3"/>
        </w:rPr>
        <w:t xml:space="preserve"> </w:t>
      </w:r>
      <w:r>
        <w:t>recede</w:t>
      </w:r>
      <w:r>
        <w:rPr>
          <w:spacing w:val="-1"/>
        </w:rPr>
        <w:t xml:space="preserve"> </w:t>
      </w:r>
      <w:r>
        <w:t>by</w:t>
      </w:r>
      <w:r>
        <w:rPr>
          <w:spacing w:val="-5"/>
        </w:rPr>
        <w:t xml:space="preserve"> </w:t>
      </w:r>
      <w:r>
        <w:t>the</w:t>
      </w:r>
      <w:r>
        <w:rPr>
          <w:spacing w:val="1"/>
        </w:rPr>
        <w:t xml:space="preserve"> </w:t>
      </w:r>
      <w:r>
        <w:t>end of</w:t>
      </w:r>
      <w:r>
        <w:rPr>
          <w:spacing w:val="-1"/>
        </w:rPr>
        <w:t xml:space="preserve"> </w:t>
      </w:r>
      <w:r>
        <w:t>the observed period.</w:t>
      </w:r>
    </w:p>
    <w:p w:rsidR="00A56FE9" w:rsidRDefault="00A56FE9">
      <w:pPr>
        <w:pStyle w:val="Tijeloteksta"/>
        <w:spacing w:before="5"/>
        <w:ind w:left="0"/>
        <w:jc w:val="left"/>
        <w:rPr>
          <w:sz w:val="21"/>
        </w:rPr>
      </w:pPr>
    </w:p>
    <w:p w:rsidR="00A56FE9" w:rsidRDefault="00000000">
      <w:pPr>
        <w:ind w:left="138"/>
        <w:jc w:val="both"/>
        <w:rPr>
          <w:b/>
          <w:i/>
          <w:sz w:val="20"/>
        </w:rPr>
      </w:pPr>
      <w:r>
        <w:rPr>
          <w:b/>
          <w:i/>
          <w:color w:val="003399"/>
          <w:sz w:val="20"/>
        </w:rPr>
        <w:t>Table</w:t>
      </w:r>
      <w:r>
        <w:rPr>
          <w:b/>
          <w:i/>
          <w:color w:val="003399"/>
          <w:spacing w:val="-1"/>
          <w:sz w:val="20"/>
        </w:rPr>
        <w:t xml:space="preserve"> </w:t>
      </w:r>
      <w:r>
        <w:rPr>
          <w:b/>
          <w:i/>
          <w:color w:val="003399"/>
          <w:sz w:val="20"/>
        </w:rPr>
        <w:t>1.</w:t>
      </w:r>
      <w:r>
        <w:rPr>
          <w:b/>
          <w:i/>
          <w:color w:val="003399"/>
          <w:spacing w:val="-1"/>
          <w:sz w:val="20"/>
        </w:rPr>
        <w:t xml:space="preserve"> </w:t>
      </w:r>
      <w:r>
        <w:rPr>
          <w:b/>
          <w:i/>
          <w:color w:val="003399"/>
          <w:sz w:val="20"/>
        </w:rPr>
        <w:t>Macroeconomic</w:t>
      </w:r>
      <w:r>
        <w:rPr>
          <w:b/>
          <w:i/>
          <w:color w:val="003399"/>
          <w:spacing w:val="-1"/>
          <w:sz w:val="20"/>
        </w:rPr>
        <w:t xml:space="preserve"> </w:t>
      </w:r>
      <w:r>
        <w:rPr>
          <w:b/>
          <w:i/>
          <w:color w:val="003399"/>
          <w:sz w:val="20"/>
        </w:rPr>
        <w:t>framework for</w:t>
      </w:r>
      <w:r>
        <w:rPr>
          <w:b/>
          <w:i/>
          <w:color w:val="003399"/>
          <w:spacing w:val="-2"/>
          <w:sz w:val="20"/>
        </w:rPr>
        <w:t xml:space="preserve"> </w:t>
      </w:r>
      <w:r>
        <w:rPr>
          <w:b/>
          <w:i/>
          <w:color w:val="003399"/>
          <w:sz w:val="20"/>
        </w:rPr>
        <w:t>the</w:t>
      </w:r>
      <w:r>
        <w:rPr>
          <w:b/>
          <w:i/>
          <w:color w:val="003399"/>
          <w:spacing w:val="-2"/>
          <w:sz w:val="20"/>
        </w:rPr>
        <w:t xml:space="preserve"> </w:t>
      </w:r>
      <w:r>
        <w:rPr>
          <w:b/>
          <w:i/>
          <w:color w:val="003399"/>
          <w:sz w:val="20"/>
        </w:rPr>
        <w:t>period</w:t>
      </w:r>
      <w:r>
        <w:rPr>
          <w:b/>
          <w:i/>
          <w:color w:val="003399"/>
          <w:spacing w:val="3"/>
          <w:sz w:val="20"/>
        </w:rPr>
        <w:t xml:space="preserve"> </w:t>
      </w:r>
      <w:r>
        <w:rPr>
          <w:b/>
          <w:i/>
          <w:color w:val="003399"/>
          <w:sz w:val="20"/>
        </w:rPr>
        <w:t>2021</w:t>
      </w:r>
      <w:r>
        <w:rPr>
          <w:b/>
          <w:i/>
          <w:color w:val="003399"/>
          <w:spacing w:val="1"/>
          <w:sz w:val="20"/>
        </w:rPr>
        <w:t xml:space="preserve"> </w:t>
      </w:r>
      <w:r>
        <w:rPr>
          <w:b/>
          <w:i/>
          <w:color w:val="003399"/>
          <w:sz w:val="20"/>
        </w:rPr>
        <w:t>-</w:t>
      </w:r>
      <w:r>
        <w:rPr>
          <w:b/>
          <w:i/>
          <w:color w:val="003399"/>
          <w:spacing w:val="-3"/>
          <w:sz w:val="20"/>
        </w:rPr>
        <w:t xml:space="preserve"> </w:t>
      </w:r>
      <w:r>
        <w:rPr>
          <w:b/>
          <w:i/>
          <w:color w:val="003399"/>
          <w:sz w:val="20"/>
        </w:rPr>
        <w:t>2025</w:t>
      </w:r>
    </w:p>
    <w:p w:rsidR="00A56FE9" w:rsidRDefault="00CC1B9B">
      <w:pPr>
        <w:pStyle w:val="Tijeloteksta"/>
        <w:spacing w:before="11"/>
        <w:ind w:left="0"/>
        <w:jc w:val="left"/>
        <w:rPr>
          <w:b/>
          <w:i/>
          <w:sz w:val="13"/>
        </w:rPr>
      </w:pPr>
      <w:r>
        <w:rPr>
          <w:noProof/>
        </w:rPr>
        <mc:AlternateContent>
          <mc:Choice Requires="wpg">
            <w:drawing>
              <wp:anchor distT="0" distB="0" distL="0" distR="0" simplePos="0" relativeHeight="487588864" behindDoc="1" locked="0" layoutInCell="1" allowOverlap="1">
                <wp:simplePos x="0" y="0"/>
                <wp:positionH relativeFrom="page">
                  <wp:posOffset>901065</wp:posOffset>
                </wp:positionH>
                <wp:positionV relativeFrom="paragraph">
                  <wp:posOffset>127000</wp:posOffset>
                </wp:positionV>
                <wp:extent cx="5892800" cy="419735"/>
                <wp:effectExtent l="0" t="0" r="0" b="0"/>
                <wp:wrapTopAndBottom/>
                <wp:docPr id="1292852056"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2800" cy="419735"/>
                          <a:chOff x="1419" y="200"/>
                          <a:chExt cx="9280" cy="661"/>
                        </a:xfrm>
                      </wpg:grpSpPr>
                      <wps:wsp>
                        <wps:cNvPr id="568760573" name="AutoShape 347"/>
                        <wps:cNvSpPr>
                          <a:spLocks/>
                        </wps:cNvSpPr>
                        <wps:spPr bwMode="auto">
                          <a:xfrm>
                            <a:off x="1418" y="199"/>
                            <a:ext cx="9280" cy="661"/>
                          </a:xfrm>
                          <a:custGeom>
                            <a:avLst/>
                            <a:gdLst>
                              <a:gd name="T0" fmla="+- 0 5290 1419"/>
                              <a:gd name="T1" fmla="*/ T0 w 9280"/>
                              <a:gd name="T2" fmla="+- 0 200 200"/>
                              <a:gd name="T3" fmla="*/ 200 h 661"/>
                              <a:gd name="T4" fmla="+- 0 1419 1419"/>
                              <a:gd name="T5" fmla="*/ T4 w 9280"/>
                              <a:gd name="T6" fmla="+- 0 200 200"/>
                              <a:gd name="T7" fmla="*/ 200 h 661"/>
                              <a:gd name="T8" fmla="+- 0 1419 1419"/>
                              <a:gd name="T9" fmla="*/ T8 w 9280"/>
                              <a:gd name="T10" fmla="+- 0 860 200"/>
                              <a:gd name="T11" fmla="*/ 860 h 661"/>
                              <a:gd name="T12" fmla="+- 0 5290 1419"/>
                              <a:gd name="T13" fmla="*/ T12 w 9280"/>
                              <a:gd name="T14" fmla="+- 0 860 200"/>
                              <a:gd name="T15" fmla="*/ 860 h 661"/>
                              <a:gd name="T16" fmla="+- 0 5290 1419"/>
                              <a:gd name="T17" fmla="*/ T16 w 9280"/>
                              <a:gd name="T18" fmla="+- 0 200 200"/>
                              <a:gd name="T19" fmla="*/ 200 h 661"/>
                              <a:gd name="T20" fmla="+- 0 6248 1419"/>
                              <a:gd name="T21" fmla="*/ T20 w 9280"/>
                              <a:gd name="T22" fmla="+- 0 200 200"/>
                              <a:gd name="T23" fmla="*/ 200 h 661"/>
                              <a:gd name="T24" fmla="+- 0 5291 1419"/>
                              <a:gd name="T25" fmla="*/ T24 w 9280"/>
                              <a:gd name="T26" fmla="+- 0 200 200"/>
                              <a:gd name="T27" fmla="*/ 200 h 661"/>
                              <a:gd name="T28" fmla="+- 0 5291 1419"/>
                              <a:gd name="T29" fmla="*/ T28 w 9280"/>
                              <a:gd name="T30" fmla="+- 0 860 200"/>
                              <a:gd name="T31" fmla="*/ 860 h 661"/>
                              <a:gd name="T32" fmla="+- 0 6248 1419"/>
                              <a:gd name="T33" fmla="*/ T32 w 9280"/>
                              <a:gd name="T34" fmla="+- 0 860 200"/>
                              <a:gd name="T35" fmla="*/ 860 h 661"/>
                              <a:gd name="T36" fmla="+- 0 6248 1419"/>
                              <a:gd name="T37" fmla="*/ T36 w 9280"/>
                              <a:gd name="T38" fmla="+- 0 200 200"/>
                              <a:gd name="T39" fmla="*/ 200 h 661"/>
                              <a:gd name="T40" fmla="+- 0 9592 1419"/>
                              <a:gd name="T41" fmla="*/ T40 w 9280"/>
                              <a:gd name="T42" fmla="+- 0 200 200"/>
                              <a:gd name="T43" fmla="*/ 200 h 661"/>
                              <a:gd name="T44" fmla="+- 0 8461 1419"/>
                              <a:gd name="T45" fmla="*/ T44 w 9280"/>
                              <a:gd name="T46" fmla="+- 0 200 200"/>
                              <a:gd name="T47" fmla="*/ 200 h 661"/>
                              <a:gd name="T48" fmla="+- 0 7329 1419"/>
                              <a:gd name="T49" fmla="*/ T48 w 9280"/>
                              <a:gd name="T50" fmla="+- 0 200 200"/>
                              <a:gd name="T51" fmla="*/ 200 h 661"/>
                              <a:gd name="T52" fmla="+- 0 7329 1419"/>
                              <a:gd name="T53" fmla="*/ T52 w 9280"/>
                              <a:gd name="T54" fmla="+- 0 200 200"/>
                              <a:gd name="T55" fmla="*/ 200 h 661"/>
                              <a:gd name="T56" fmla="+- 0 6248 1419"/>
                              <a:gd name="T57" fmla="*/ T56 w 9280"/>
                              <a:gd name="T58" fmla="+- 0 200 200"/>
                              <a:gd name="T59" fmla="*/ 200 h 661"/>
                              <a:gd name="T60" fmla="+- 0 6248 1419"/>
                              <a:gd name="T61" fmla="*/ T60 w 9280"/>
                              <a:gd name="T62" fmla="+- 0 860 200"/>
                              <a:gd name="T63" fmla="*/ 860 h 661"/>
                              <a:gd name="T64" fmla="+- 0 7329 1419"/>
                              <a:gd name="T65" fmla="*/ T64 w 9280"/>
                              <a:gd name="T66" fmla="+- 0 860 200"/>
                              <a:gd name="T67" fmla="*/ 860 h 661"/>
                              <a:gd name="T68" fmla="+- 0 7329 1419"/>
                              <a:gd name="T69" fmla="*/ T68 w 9280"/>
                              <a:gd name="T70" fmla="+- 0 860 200"/>
                              <a:gd name="T71" fmla="*/ 860 h 661"/>
                              <a:gd name="T72" fmla="+- 0 8461 1419"/>
                              <a:gd name="T73" fmla="*/ T72 w 9280"/>
                              <a:gd name="T74" fmla="+- 0 860 200"/>
                              <a:gd name="T75" fmla="*/ 860 h 661"/>
                              <a:gd name="T76" fmla="+- 0 9592 1419"/>
                              <a:gd name="T77" fmla="*/ T76 w 9280"/>
                              <a:gd name="T78" fmla="+- 0 860 200"/>
                              <a:gd name="T79" fmla="*/ 860 h 661"/>
                              <a:gd name="T80" fmla="+- 0 9592 1419"/>
                              <a:gd name="T81" fmla="*/ T80 w 9280"/>
                              <a:gd name="T82" fmla="+- 0 200 200"/>
                              <a:gd name="T83" fmla="*/ 200 h 661"/>
                              <a:gd name="T84" fmla="+- 0 10699 1419"/>
                              <a:gd name="T85" fmla="*/ T84 w 9280"/>
                              <a:gd name="T86" fmla="+- 0 200 200"/>
                              <a:gd name="T87" fmla="*/ 200 h 661"/>
                              <a:gd name="T88" fmla="+- 0 9592 1419"/>
                              <a:gd name="T89" fmla="*/ T88 w 9280"/>
                              <a:gd name="T90" fmla="+- 0 200 200"/>
                              <a:gd name="T91" fmla="*/ 200 h 661"/>
                              <a:gd name="T92" fmla="+- 0 9592 1419"/>
                              <a:gd name="T93" fmla="*/ T92 w 9280"/>
                              <a:gd name="T94" fmla="+- 0 860 200"/>
                              <a:gd name="T95" fmla="*/ 860 h 661"/>
                              <a:gd name="T96" fmla="+- 0 10699 1419"/>
                              <a:gd name="T97" fmla="*/ T96 w 9280"/>
                              <a:gd name="T98" fmla="+- 0 860 200"/>
                              <a:gd name="T99" fmla="*/ 860 h 661"/>
                              <a:gd name="T100" fmla="+- 0 10699 1419"/>
                              <a:gd name="T101" fmla="*/ T100 w 9280"/>
                              <a:gd name="T102" fmla="+- 0 200 200"/>
                              <a:gd name="T103" fmla="*/ 200 h 6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280" h="661">
                                <a:moveTo>
                                  <a:pt x="3871" y="0"/>
                                </a:moveTo>
                                <a:lnTo>
                                  <a:pt x="0" y="0"/>
                                </a:lnTo>
                                <a:lnTo>
                                  <a:pt x="0" y="660"/>
                                </a:lnTo>
                                <a:lnTo>
                                  <a:pt x="3871" y="660"/>
                                </a:lnTo>
                                <a:lnTo>
                                  <a:pt x="3871" y="0"/>
                                </a:lnTo>
                                <a:close/>
                                <a:moveTo>
                                  <a:pt x="4829" y="0"/>
                                </a:moveTo>
                                <a:lnTo>
                                  <a:pt x="3872" y="0"/>
                                </a:lnTo>
                                <a:lnTo>
                                  <a:pt x="3872" y="660"/>
                                </a:lnTo>
                                <a:lnTo>
                                  <a:pt x="4829" y="660"/>
                                </a:lnTo>
                                <a:lnTo>
                                  <a:pt x="4829" y="0"/>
                                </a:lnTo>
                                <a:close/>
                                <a:moveTo>
                                  <a:pt x="8173" y="0"/>
                                </a:moveTo>
                                <a:lnTo>
                                  <a:pt x="7042" y="0"/>
                                </a:lnTo>
                                <a:lnTo>
                                  <a:pt x="5910" y="0"/>
                                </a:lnTo>
                                <a:lnTo>
                                  <a:pt x="4829" y="0"/>
                                </a:lnTo>
                                <a:lnTo>
                                  <a:pt x="4829" y="660"/>
                                </a:lnTo>
                                <a:lnTo>
                                  <a:pt x="5910" y="660"/>
                                </a:lnTo>
                                <a:lnTo>
                                  <a:pt x="7042" y="660"/>
                                </a:lnTo>
                                <a:lnTo>
                                  <a:pt x="8173" y="660"/>
                                </a:lnTo>
                                <a:lnTo>
                                  <a:pt x="8173" y="0"/>
                                </a:lnTo>
                                <a:close/>
                                <a:moveTo>
                                  <a:pt x="9280" y="0"/>
                                </a:moveTo>
                                <a:lnTo>
                                  <a:pt x="8173" y="0"/>
                                </a:lnTo>
                                <a:lnTo>
                                  <a:pt x="8173" y="660"/>
                                </a:lnTo>
                                <a:lnTo>
                                  <a:pt x="9280" y="660"/>
                                </a:lnTo>
                                <a:lnTo>
                                  <a:pt x="9280" y="0"/>
                                </a:lnTo>
                                <a:close/>
                              </a:path>
                            </a:pathLst>
                          </a:custGeom>
                          <a:solidFill>
                            <a:srgbClr val="2C398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991684" name="Text Box 346"/>
                        <wps:cNvSpPr txBox="1">
                          <a:spLocks noChangeArrowheads="1"/>
                        </wps:cNvSpPr>
                        <wps:spPr bwMode="auto">
                          <a:xfrm>
                            <a:off x="5566" y="451"/>
                            <a:ext cx="424"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spacing w:line="199" w:lineRule="exact"/>
                                <w:rPr>
                                  <w:rFonts w:ascii="Calibri"/>
                                  <w:b/>
                                  <w:sz w:val="20"/>
                                </w:rPr>
                              </w:pPr>
                              <w:r>
                                <w:rPr>
                                  <w:rFonts w:ascii="Calibri"/>
                                  <w:b/>
                                  <w:color w:val="FFFFFF"/>
                                  <w:sz w:val="20"/>
                                </w:rPr>
                                <w:t>2021</w:t>
                              </w:r>
                            </w:p>
                          </w:txbxContent>
                        </wps:txbx>
                        <wps:bodyPr rot="0" vert="horz" wrap="square" lIns="0" tIns="0" rIns="0" bIns="0" anchor="t" anchorCtr="0" upright="1">
                          <a:noAutofit/>
                        </wps:bodyPr>
                      </wps:wsp>
                      <wps:wsp>
                        <wps:cNvPr id="1378559566" name="Text Box 345"/>
                        <wps:cNvSpPr txBox="1">
                          <a:spLocks noChangeArrowheads="1"/>
                        </wps:cNvSpPr>
                        <wps:spPr bwMode="auto">
                          <a:xfrm>
                            <a:off x="6435" y="329"/>
                            <a:ext cx="723"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spacing w:line="203" w:lineRule="exact"/>
                                <w:ind w:left="-1" w:right="18"/>
                                <w:jc w:val="center"/>
                                <w:rPr>
                                  <w:rFonts w:ascii="Calibri"/>
                                  <w:b/>
                                  <w:sz w:val="20"/>
                                </w:rPr>
                              </w:pPr>
                              <w:r>
                                <w:rPr>
                                  <w:rFonts w:ascii="Calibri"/>
                                  <w:b/>
                                  <w:color w:val="FFFFFF"/>
                                  <w:sz w:val="20"/>
                                </w:rPr>
                                <w:t>Forecast</w:t>
                              </w:r>
                            </w:p>
                            <w:p w:rsidR="00A56FE9" w:rsidRDefault="00000000">
                              <w:pPr>
                                <w:spacing w:line="240" w:lineRule="exact"/>
                                <w:ind w:right="14"/>
                                <w:jc w:val="center"/>
                                <w:rPr>
                                  <w:rFonts w:ascii="Calibri"/>
                                  <w:b/>
                                  <w:sz w:val="20"/>
                                </w:rPr>
                              </w:pPr>
                              <w:r>
                                <w:rPr>
                                  <w:rFonts w:ascii="Calibri"/>
                                  <w:b/>
                                  <w:color w:val="FFFFFF"/>
                                  <w:sz w:val="20"/>
                                </w:rPr>
                                <w:t>2022</w:t>
                              </w:r>
                            </w:p>
                          </w:txbxContent>
                        </wps:txbx>
                        <wps:bodyPr rot="0" vert="horz" wrap="square" lIns="0" tIns="0" rIns="0" bIns="0" anchor="t" anchorCtr="0" upright="1">
                          <a:noAutofit/>
                        </wps:bodyPr>
                      </wps:wsp>
                      <wps:wsp>
                        <wps:cNvPr id="1869482543" name="Text Box 344"/>
                        <wps:cNvSpPr txBox="1">
                          <a:spLocks noChangeArrowheads="1"/>
                        </wps:cNvSpPr>
                        <wps:spPr bwMode="auto">
                          <a:xfrm>
                            <a:off x="7542" y="329"/>
                            <a:ext cx="723"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spacing w:line="203" w:lineRule="exact"/>
                                <w:ind w:right="18"/>
                                <w:jc w:val="center"/>
                                <w:rPr>
                                  <w:rFonts w:ascii="Calibri"/>
                                  <w:b/>
                                  <w:sz w:val="20"/>
                                </w:rPr>
                              </w:pPr>
                              <w:r>
                                <w:rPr>
                                  <w:rFonts w:ascii="Calibri"/>
                                  <w:b/>
                                  <w:color w:val="FFFFFF"/>
                                  <w:sz w:val="20"/>
                                </w:rPr>
                                <w:t>Forecast</w:t>
                              </w:r>
                            </w:p>
                            <w:p w:rsidR="00A56FE9" w:rsidRDefault="00000000">
                              <w:pPr>
                                <w:spacing w:line="240" w:lineRule="exact"/>
                                <w:ind w:right="14"/>
                                <w:jc w:val="center"/>
                                <w:rPr>
                                  <w:rFonts w:ascii="Calibri"/>
                                  <w:b/>
                                  <w:sz w:val="20"/>
                                </w:rPr>
                              </w:pPr>
                              <w:r>
                                <w:rPr>
                                  <w:rFonts w:ascii="Calibri"/>
                                  <w:b/>
                                  <w:color w:val="FFFFFF"/>
                                  <w:sz w:val="20"/>
                                </w:rPr>
                                <w:t>2023</w:t>
                              </w:r>
                            </w:p>
                          </w:txbxContent>
                        </wps:txbx>
                        <wps:bodyPr rot="0" vert="horz" wrap="square" lIns="0" tIns="0" rIns="0" bIns="0" anchor="t" anchorCtr="0" upright="1">
                          <a:noAutofit/>
                        </wps:bodyPr>
                      </wps:wsp>
                      <wps:wsp>
                        <wps:cNvPr id="35865579" name="Text Box 343"/>
                        <wps:cNvSpPr txBox="1">
                          <a:spLocks noChangeArrowheads="1"/>
                        </wps:cNvSpPr>
                        <wps:spPr bwMode="auto">
                          <a:xfrm>
                            <a:off x="8675" y="329"/>
                            <a:ext cx="723"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spacing w:line="203" w:lineRule="exact"/>
                                <w:ind w:right="18"/>
                                <w:jc w:val="center"/>
                                <w:rPr>
                                  <w:rFonts w:ascii="Calibri"/>
                                  <w:b/>
                                  <w:sz w:val="20"/>
                                </w:rPr>
                              </w:pPr>
                              <w:r>
                                <w:rPr>
                                  <w:rFonts w:ascii="Calibri"/>
                                  <w:b/>
                                  <w:color w:val="FFFFFF"/>
                                  <w:sz w:val="20"/>
                                </w:rPr>
                                <w:t>Forecast</w:t>
                              </w:r>
                            </w:p>
                            <w:p w:rsidR="00A56FE9" w:rsidRDefault="00000000">
                              <w:pPr>
                                <w:spacing w:line="240" w:lineRule="exact"/>
                                <w:ind w:right="14"/>
                                <w:jc w:val="center"/>
                                <w:rPr>
                                  <w:rFonts w:ascii="Calibri"/>
                                  <w:b/>
                                  <w:sz w:val="20"/>
                                </w:rPr>
                              </w:pPr>
                              <w:r>
                                <w:rPr>
                                  <w:rFonts w:ascii="Calibri"/>
                                  <w:b/>
                                  <w:color w:val="FFFFFF"/>
                                  <w:sz w:val="20"/>
                                </w:rPr>
                                <w:t>2024</w:t>
                              </w:r>
                            </w:p>
                          </w:txbxContent>
                        </wps:txbx>
                        <wps:bodyPr rot="0" vert="horz" wrap="square" lIns="0" tIns="0" rIns="0" bIns="0" anchor="t" anchorCtr="0" upright="1">
                          <a:noAutofit/>
                        </wps:bodyPr>
                      </wps:wsp>
                      <wps:wsp>
                        <wps:cNvPr id="2065421677" name="Text Box 342"/>
                        <wps:cNvSpPr txBox="1">
                          <a:spLocks noChangeArrowheads="1"/>
                        </wps:cNvSpPr>
                        <wps:spPr bwMode="auto">
                          <a:xfrm>
                            <a:off x="9794" y="329"/>
                            <a:ext cx="723"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spacing w:line="203" w:lineRule="exact"/>
                                <w:ind w:right="18"/>
                                <w:jc w:val="center"/>
                                <w:rPr>
                                  <w:rFonts w:ascii="Calibri"/>
                                  <w:b/>
                                  <w:sz w:val="20"/>
                                </w:rPr>
                              </w:pPr>
                              <w:r>
                                <w:rPr>
                                  <w:rFonts w:ascii="Calibri"/>
                                  <w:b/>
                                  <w:color w:val="FFFFFF"/>
                                  <w:sz w:val="20"/>
                                </w:rPr>
                                <w:t>Forecast</w:t>
                              </w:r>
                            </w:p>
                            <w:p w:rsidR="00A56FE9" w:rsidRDefault="00000000">
                              <w:pPr>
                                <w:spacing w:line="240" w:lineRule="exact"/>
                                <w:ind w:right="19"/>
                                <w:jc w:val="center"/>
                                <w:rPr>
                                  <w:rFonts w:ascii="Calibri"/>
                                  <w:b/>
                                  <w:sz w:val="20"/>
                                </w:rPr>
                              </w:pPr>
                              <w:r>
                                <w:rPr>
                                  <w:rFonts w:ascii="Calibri"/>
                                  <w:b/>
                                  <w:color w:val="FFFFFF"/>
                                  <w:sz w:val="20"/>
                                </w:rPr>
                                <w:t>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1" o:spid="_x0000_s1026" style="position:absolute;margin-left:70.95pt;margin-top:10pt;width:464pt;height:33.05pt;z-index:-15727616;mso-wrap-distance-left:0;mso-wrap-distance-right:0;mso-position-horizontal-relative:page" coordorigin="1419,200" coordsize="9280,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">
                <v:shape id="AutoShape 347" o:spid="_x0000_s1027" style="position:absolute;left:1418;top:199;width:9280;height:661;visibility:visible;mso-wrap-style:square;v-text-anchor:top" coordsize="9280,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" path="m3871,l,,,660r3871,l3871,xm4829,l3872,r,660l4829,660,4829,xm8173,l7042,,5910,,4829,r,660l5910,660r1132,l8173,660,8173,xm9280,l8173,r,660l9280,660,9280,xe" fillcolor="#2c398a" stroked="f">
                  <v:path arrowok="t" o:connecttype="custom" o:connectlocs="3871,200;0,200;0,860;3871,860;3871,200;4829,200;3872,200;3872,860;4829,860;4829,200;8173,200;7042,200;5910,200;5910,200;4829,200;4829,860;5910,860;5910,860;7042,860;8173,860;8173,200;9280,200;8173,200;8173,860;9280,860;9280,200" o:connectangles="0,0,0,0,0,0,0,0,0,0,0,0,0,0,0,0,0,0,0,0,0,0,0,0,0,0"/>
                </v:shape>
                <v:shapetype id="_x0000_t202" coordsize="21600,21600" o:spt="202" path="m,l,21600r21600,l21600,xe">
                  <v:stroke joinstyle="miter"/>
                  <v:path gradientshapeok="t" o:connecttype="rect"/>
                </v:shapetype>
                <v:shape id="Text Box 346" o:spid="_x0000_s1028" type="#_x0000_t202" style="position:absolute;left:5566;top:451;width:424;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" filled="f" stroked="f">
                  <v:textbox inset="0,0,0,0">
                    <w:txbxContent>
                      <w:p w:rsidR="00A56FE9" w:rsidRDefault="00000000">
                        <w:pPr>
                          <w:spacing w:line="199" w:lineRule="exact"/>
                          <w:rPr>
                            <w:rFonts w:ascii="Calibri"/>
                            <w:b/>
                            <w:sz w:val="20"/>
                          </w:rPr>
                        </w:pPr>
                        <w:r>
                          <w:rPr>
                            <w:rFonts w:ascii="Calibri"/>
                            <w:b/>
                            <w:color w:val="FFFFFF"/>
                            <w:sz w:val="20"/>
                          </w:rPr>
                          <w:t>2021</w:t>
                        </w:r>
                      </w:p>
                    </w:txbxContent>
                  </v:textbox>
                </v:shape>
                <v:shape id="Text Box 345" o:spid="_x0000_s1029" type="#_x0000_t202" style="position:absolute;left:6435;top:329;width:723;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" filled="f" stroked="f">
                  <v:textbox inset="0,0,0,0">
                    <w:txbxContent>
                      <w:p w:rsidR="00A56FE9" w:rsidRDefault="00000000">
                        <w:pPr>
                          <w:spacing w:line="203" w:lineRule="exact"/>
                          <w:ind w:left="-1" w:right="18"/>
                          <w:jc w:val="center"/>
                          <w:rPr>
                            <w:rFonts w:ascii="Calibri"/>
                            <w:b/>
                            <w:sz w:val="20"/>
                          </w:rPr>
                        </w:pPr>
                        <w:r>
                          <w:rPr>
                            <w:rFonts w:ascii="Calibri"/>
                            <w:b/>
                            <w:color w:val="FFFFFF"/>
                            <w:sz w:val="20"/>
                          </w:rPr>
                          <w:t>Forecast</w:t>
                        </w:r>
                      </w:p>
                      <w:p w:rsidR="00A56FE9" w:rsidRDefault="00000000">
                        <w:pPr>
                          <w:spacing w:line="240" w:lineRule="exact"/>
                          <w:ind w:right="14"/>
                          <w:jc w:val="center"/>
                          <w:rPr>
                            <w:rFonts w:ascii="Calibri"/>
                            <w:b/>
                            <w:sz w:val="20"/>
                          </w:rPr>
                        </w:pPr>
                        <w:r>
                          <w:rPr>
                            <w:rFonts w:ascii="Calibri"/>
                            <w:b/>
                            <w:color w:val="FFFFFF"/>
                            <w:sz w:val="20"/>
                          </w:rPr>
                          <w:t>2022</w:t>
                        </w:r>
                      </w:p>
                    </w:txbxContent>
                  </v:textbox>
                </v:shape>
                <v:shape id="Text Box 344" o:spid="_x0000_s1030" type="#_x0000_t202" style="position:absolute;left:7542;top:329;width:723;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" filled="f" stroked="f">
                  <v:textbox inset="0,0,0,0">
                    <w:txbxContent>
                      <w:p w:rsidR="00A56FE9" w:rsidRDefault="00000000">
                        <w:pPr>
                          <w:spacing w:line="203" w:lineRule="exact"/>
                          <w:ind w:right="18"/>
                          <w:jc w:val="center"/>
                          <w:rPr>
                            <w:rFonts w:ascii="Calibri"/>
                            <w:b/>
                            <w:sz w:val="20"/>
                          </w:rPr>
                        </w:pPr>
                        <w:r>
                          <w:rPr>
                            <w:rFonts w:ascii="Calibri"/>
                            <w:b/>
                            <w:color w:val="FFFFFF"/>
                            <w:sz w:val="20"/>
                          </w:rPr>
                          <w:t>Forecast</w:t>
                        </w:r>
                      </w:p>
                      <w:p w:rsidR="00A56FE9" w:rsidRDefault="00000000">
                        <w:pPr>
                          <w:spacing w:line="240" w:lineRule="exact"/>
                          <w:ind w:right="14"/>
                          <w:jc w:val="center"/>
                          <w:rPr>
                            <w:rFonts w:ascii="Calibri"/>
                            <w:b/>
                            <w:sz w:val="20"/>
                          </w:rPr>
                        </w:pPr>
                        <w:r>
                          <w:rPr>
                            <w:rFonts w:ascii="Calibri"/>
                            <w:b/>
                            <w:color w:val="FFFFFF"/>
                            <w:sz w:val="20"/>
                          </w:rPr>
                          <w:t>2023</w:t>
                        </w:r>
                      </w:p>
                    </w:txbxContent>
                  </v:textbox>
                </v:shape>
                <v:shape id="Text Box 343" o:spid="_x0000_s1031" type="#_x0000_t202" style="position:absolute;left:8675;top:329;width:723;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" filled="f" stroked="f">
                  <v:textbox inset="0,0,0,0">
                    <w:txbxContent>
                      <w:p w:rsidR="00A56FE9" w:rsidRDefault="00000000">
                        <w:pPr>
                          <w:spacing w:line="203" w:lineRule="exact"/>
                          <w:ind w:right="18"/>
                          <w:jc w:val="center"/>
                          <w:rPr>
                            <w:rFonts w:ascii="Calibri"/>
                            <w:b/>
                            <w:sz w:val="20"/>
                          </w:rPr>
                        </w:pPr>
                        <w:r>
                          <w:rPr>
                            <w:rFonts w:ascii="Calibri"/>
                            <w:b/>
                            <w:color w:val="FFFFFF"/>
                            <w:sz w:val="20"/>
                          </w:rPr>
                          <w:t>Forecast</w:t>
                        </w:r>
                      </w:p>
                      <w:p w:rsidR="00A56FE9" w:rsidRDefault="00000000">
                        <w:pPr>
                          <w:spacing w:line="240" w:lineRule="exact"/>
                          <w:ind w:right="14"/>
                          <w:jc w:val="center"/>
                          <w:rPr>
                            <w:rFonts w:ascii="Calibri"/>
                            <w:b/>
                            <w:sz w:val="20"/>
                          </w:rPr>
                        </w:pPr>
                        <w:r>
                          <w:rPr>
                            <w:rFonts w:ascii="Calibri"/>
                            <w:b/>
                            <w:color w:val="FFFFFF"/>
                            <w:sz w:val="20"/>
                          </w:rPr>
                          <w:t>2024</w:t>
                        </w:r>
                      </w:p>
                    </w:txbxContent>
                  </v:textbox>
                </v:shape>
                <v:shape id="Text Box 342" o:spid="_x0000_s1032" type="#_x0000_t202" style="position:absolute;left:9794;top:329;width:723;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" filled="f" stroked="f">
                  <v:textbox inset="0,0,0,0">
                    <w:txbxContent>
                      <w:p w:rsidR="00A56FE9" w:rsidRDefault="00000000">
                        <w:pPr>
                          <w:spacing w:line="203" w:lineRule="exact"/>
                          <w:ind w:right="18"/>
                          <w:jc w:val="center"/>
                          <w:rPr>
                            <w:rFonts w:ascii="Calibri"/>
                            <w:b/>
                            <w:sz w:val="20"/>
                          </w:rPr>
                        </w:pPr>
                        <w:r>
                          <w:rPr>
                            <w:rFonts w:ascii="Calibri"/>
                            <w:b/>
                            <w:color w:val="FFFFFF"/>
                            <w:sz w:val="20"/>
                          </w:rPr>
                          <w:t>Forecast</w:t>
                        </w:r>
                      </w:p>
                      <w:p w:rsidR="00A56FE9" w:rsidRDefault="00000000">
                        <w:pPr>
                          <w:spacing w:line="240" w:lineRule="exact"/>
                          <w:ind w:right="19"/>
                          <w:jc w:val="center"/>
                          <w:rPr>
                            <w:rFonts w:ascii="Calibri"/>
                            <w:b/>
                            <w:sz w:val="20"/>
                          </w:rPr>
                        </w:pPr>
                        <w:r>
                          <w:rPr>
                            <w:rFonts w:ascii="Calibri"/>
                            <w:b/>
                            <w:color w:val="FFFFFF"/>
                            <w:sz w:val="20"/>
                          </w:rPr>
                          <w:t>2025</w:t>
                        </w:r>
                      </w:p>
                    </w:txbxContent>
                  </v:textbox>
                </v:shape>
                <w10:wrap type="topAndBottom" anchorx="page"/>
              </v:group>
            </w:pict>
          </mc:Fallback>
        </mc:AlternateContent>
      </w:r>
    </w:p>
    <w:p w:rsidR="00A56FE9" w:rsidRDefault="00000000">
      <w:pPr>
        <w:tabs>
          <w:tab w:val="left" w:pos="4488"/>
          <w:tab w:val="left" w:pos="5657"/>
          <w:tab w:val="left" w:pos="6790"/>
          <w:tab w:val="left" w:pos="7923"/>
          <w:tab w:val="right" w:pos="9253"/>
        </w:tabs>
        <w:spacing w:before="91"/>
        <w:ind w:left="246"/>
        <w:rPr>
          <w:b/>
          <w:sz w:val="18"/>
        </w:rPr>
      </w:pPr>
      <w:r>
        <w:rPr>
          <w:b/>
          <w:color w:val="DA1F2C"/>
          <w:sz w:val="18"/>
        </w:rPr>
        <w:t>GDP</w:t>
      </w:r>
      <w:r>
        <w:rPr>
          <w:b/>
          <w:color w:val="DA1F2C"/>
          <w:spacing w:val="-2"/>
          <w:sz w:val="18"/>
        </w:rPr>
        <w:t xml:space="preserve"> </w:t>
      </w:r>
      <w:r>
        <w:rPr>
          <w:b/>
          <w:color w:val="DA1F2C"/>
          <w:sz w:val="18"/>
        </w:rPr>
        <w:t>– real</w:t>
      </w:r>
      <w:r>
        <w:rPr>
          <w:b/>
          <w:color w:val="DA1F2C"/>
          <w:spacing w:val="-1"/>
          <w:sz w:val="18"/>
        </w:rPr>
        <w:t xml:space="preserve"> </w:t>
      </w:r>
      <w:r>
        <w:rPr>
          <w:b/>
          <w:color w:val="DA1F2C"/>
          <w:sz w:val="18"/>
        </w:rPr>
        <w:t>growth</w:t>
      </w:r>
      <w:r>
        <w:rPr>
          <w:b/>
          <w:color w:val="DA1F2C"/>
          <w:spacing w:val="-4"/>
          <w:sz w:val="18"/>
        </w:rPr>
        <w:t xml:space="preserve"> </w:t>
      </w:r>
      <w:r>
        <w:rPr>
          <w:b/>
          <w:color w:val="DA1F2C"/>
          <w:sz w:val="18"/>
        </w:rPr>
        <w:t>(%)</w:t>
      </w:r>
      <w:r>
        <w:rPr>
          <w:b/>
          <w:color w:val="DA1F2C"/>
          <w:sz w:val="18"/>
        </w:rPr>
        <w:tab/>
      </w:r>
      <w:r>
        <w:rPr>
          <w:b/>
          <w:sz w:val="18"/>
        </w:rPr>
        <w:t>10.2</w:t>
      </w:r>
      <w:r>
        <w:rPr>
          <w:b/>
          <w:sz w:val="18"/>
        </w:rPr>
        <w:tab/>
        <w:t>3.0</w:t>
      </w:r>
      <w:r>
        <w:rPr>
          <w:b/>
          <w:sz w:val="18"/>
        </w:rPr>
        <w:tab/>
        <w:t>4.4</w:t>
      </w:r>
      <w:r>
        <w:rPr>
          <w:b/>
          <w:sz w:val="18"/>
        </w:rPr>
        <w:tab/>
        <w:t>2.7</w:t>
      </w:r>
      <w:r>
        <w:rPr>
          <w:b/>
          <w:sz w:val="18"/>
        </w:rPr>
        <w:tab/>
        <w:t>2.5</w:t>
      </w:r>
    </w:p>
    <w:p w:rsidR="00A56FE9" w:rsidRDefault="00000000">
      <w:pPr>
        <w:tabs>
          <w:tab w:val="left" w:pos="4488"/>
          <w:tab w:val="left" w:pos="5657"/>
          <w:tab w:val="left" w:pos="6790"/>
          <w:tab w:val="left" w:pos="7923"/>
          <w:tab w:val="right" w:pos="9253"/>
        </w:tabs>
        <w:spacing w:before="71"/>
        <w:ind w:left="426"/>
        <w:rPr>
          <w:sz w:val="18"/>
        </w:rPr>
      </w:pPr>
      <w:r>
        <w:rPr>
          <w:sz w:val="18"/>
        </w:rPr>
        <w:t>Personal</w:t>
      </w:r>
      <w:r>
        <w:rPr>
          <w:spacing w:val="-2"/>
          <w:sz w:val="18"/>
        </w:rPr>
        <w:t xml:space="preserve"> </w:t>
      </w:r>
      <w:r>
        <w:rPr>
          <w:sz w:val="18"/>
        </w:rPr>
        <w:t>consumption</w:t>
      </w:r>
      <w:r>
        <w:rPr>
          <w:sz w:val="18"/>
        </w:rPr>
        <w:tab/>
        <w:t>10.0</w:t>
      </w:r>
      <w:r>
        <w:rPr>
          <w:sz w:val="18"/>
        </w:rPr>
        <w:tab/>
        <w:t>1.4</w:t>
      </w:r>
      <w:r>
        <w:rPr>
          <w:sz w:val="18"/>
        </w:rPr>
        <w:tab/>
        <w:t>3.2</w:t>
      </w:r>
      <w:r>
        <w:rPr>
          <w:sz w:val="18"/>
        </w:rPr>
        <w:tab/>
        <w:t>2.4</w:t>
      </w:r>
      <w:r>
        <w:rPr>
          <w:sz w:val="18"/>
        </w:rPr>
        <w:tab/>
        <w:t>2.3</w:t>
      </w:r>
    </w:p>
    <w:p w:rsidR="00A56FE9" w:rsidRDefault="00000000">
      <w:pPr>
        <w:tabs>
          <w:tab w:val="left" w:pos="4576"/>
          <w:tab w:val="left" w:pos="5657"/>
          <w:tab w:val="left" w:pos="6790"/>
          <w:tab w:val="left" w:pos="7923"/>
          <w:tab w:val="right" w:pos="9253"/>
        </w:tabs>
        <w:spacing w:before="76"/>
        <w:ind w:left="426"/>
        <w:rPr>
          <w:sz w:val="18"/>
        </w:rPr>
      </w:pPr>
      <w:r>
        <w:rPr>
          <w:sz w:val="18"/>
        </w:rPr>
        <w:t>Government</w:t>
      </w:r>
      <w:r>
        <w:rPr>
          <w:spacing w:val="-2"/>
          <w:sz w:val="18"/>
        </w:rPr>
        <w:t xml:space="preserve"> </w:t>
      </w:r>
      <w:r>
        <w:rPr>
          <w:sz w:val="18"/>
        </w:rPr>
        <w:t>spending</w:t>
      </w:r>
      <w:r>
        <w:rPr>
          <w:sz w:val="18"/>
        </w:rPr>
        <w:tab/>
        <w:t>3.1</w:t>
      </w:r>
      <w:r>
        <w:rPr>
          <w:sz w:val="18"/>
        </w:rPr>
        <w:tab/>
        <w:t>3.3</w:t>
      </w:r>
      <w:r>
        <w:rPr>
          <w:sz w:val="18"/>
        </w:rPr>
        <w:tab/>
        <w:t>1.9</w:t>
      </w:r>
      <w:r>
        <w:rPr>
          <w:sz w:val="18"/>
        </w:rPr>
        <w:tab/>
        <w:t>2.0</w:t>
      </w:r>
      <w:r>
        <w:rPr>
          <w:sz w:val="18"/>
        </w:rPr>
        <w:tab/>
        <w:t>2.1</w:t>
      </w:r>
    </w:p>
    <w:p w:rsidR="00A56FE9" w:rsidRDefault="00000000">
      <w:pPr>
        <w:tabs>
          <w:tab w:val="left" w:pos="4576"/>
          <w:tab w:val="left" w:pos="5657"/>
          <w:tab w:val="left" w:pos="6790"/>
          <w:tab w:val="left" w:pos="7923"/>
          <w:tab w:val="right" w:pos="9253"/>
        </w:tabs>
        <w:spacing w:before="77"/>
        <w:ind w:left="426"/>
        <w:rPr>
          <w:sz w:val="18"/>
        </w:rPr>
      </w:pPr>
      <w:r>
        <w:rPr>
          <w:sz w:val="18"/>
        </w:rPr>
        <w:t>Gross</w:t>
      </w:r>
      <w:r>
        <w:rPr>
          <w:spacing w:val="-2"/>
          <w:sz w:val="18"/>
        </w:rPr>
        <w:t xml:space="preserve"> </w:t>
      </w:r>
      <w:r>
        <w:rPr>
          <w:sz w:val="18"/>
        </w:rPr>
        <w:t>fixed</w:t>
      </w:r>
      <w:r>
        <w:rPr>
          <w:spacing w:val="-1"/>
          <w:sz w:val="18"/>
        </w:rPr>
        <w:t xml:space="preserve"> </w:t>
      </w:r>
      <w:r>
        <w:rPr>
          <w:sz w:val="18"/>
        </w:rPr>
        <w:t>capital</w:t>
      </w:r>
      <w:r>
        <w:rPr>
          <w:spacing w:val="-3"/>
          <w:sz w:val="18"/>
        </w:rPr>
        <w:t xml:space="preserve"> </w:t>
      </w:r>
      <w:r>
        <w:rPr>
          <w:sz w:val="18"/>
        </w:rPr>
        <w:t>formation</w:t>
      </w:r>
      <w:r>
        <w:rPr>
          <w:sz w:val="18"/>
        </w:rPr>
        <w:tab/>
        <w:t>7.6</w:t>
      </w:r>
      <w:r>
        <w:rPr>
          <w:sz w:val="18"/>
        </w:rPr>
        <w:tab/>
        <w:t>5.8</w:t>
      </w:r>
      <w:r>
        <w:rPr>
          <w:sz w:val="18"/>
        </w:rPr>
        <w:tab/>
        <w:t>6.1</w:t>
      </w:r>
      <w:r>
        <w:rPr>
          <w:sz w:val="18"/>
        </w:rPr>
        <w:tab/>
        <w:t>3.9</w:t>
      </w:r>
      <w:r>
        <w:rPr>
          <w:sz w:val="18"/>
        </w:rPr>
        <w:tab/>
        <w:t>3.6</w:t>
      </w:r>
    </w:p>
    <w:p w:rsidR="00A56FE9" w:rsidRDefault="00000000">
      <w:pPr>
        <w:tabs>
          <w:tab w:val="left" w:pos="4488"/>
          <w:tab w:val="left" w:pos="5657"/>
          <w:tab w:val="left" w:pos="6790"/>
          <w:tab w:val="left" w:pos="7923"/>
          <w:tab w:val="right" w:pos="9253"/>
        </w:tabs>
        <w:spacing w:before="76"/>
        <w:ind w:left="426"/>
        <w:rPr>
          <w:sz w:val="18"/>
        </w:rPr>
      </w:pPr>
      <w:r>
        <w:rPr>
          <w:sz w:val="18"/>
        </w:rPr>
        <w:t>Exports</w:t>
      </w:r>
      <w:r>
        <w:rPr>
          <w:spacing w:val="-1"/>
          <w:sz w:val="18"/>
        </w:rPr>
        <w:t xml:space="preserve"> </w:t>
      </w:r>
      <w:r>
        <w:rPr>
          <w:sz w:val="18"/>
        </w:rPr>
        <w:t>of</w:t>
      </w:r>
      <w:r>
        <w:rPr>
          <w:spacing w:val="-3"/>
          <w:sz w:val="18"/>
        </w:rPr>
        <w:t xml:space="preserve"> </w:t>
      </w:r>
      <w:r>
        <w:rPr>
          <w:sz w:val="18"/>
        </w:rPr>
        <w:t>goods</w:t>
      </w:r>
      <w:r>
        <w:rPr>
          <w:spacing w:val="-1"/>
          <w:sz w:val="18"/>
        </w:rPr>
        <w:t xml:space="preserve"> </w:t>
      </w:r>
      <w:r>
        <w:rPr>
          <w:sz w:val="18"/>
        </w:rPr>
        <w:t>and</w:t>
      </w:r>
      <w:r>
        <w:rPr>
          <w:spacing w:val="-2"/>
          <w:sz w:val="18"/>
        </w:rPr>
        <w:t xml:space="preserve"> </w:t>
      </w:r>
      <w:r>
        <w:rPr>
          <w:sz w:val="18"/>
        </w:rPr>
        <w:t>services</w:t>
      </w:r>
      <w:r>
        <w:rPr>
          <w:sz w:val="18"/>
        </w:rPr>
        <w:tab/>
        <w:t>33.3</w:t>
      </w:r>
      <w:r>
        <w:rPr>
          <w:sz w:val="18"/>
        </w:rPr>
        <w:tab/>
        <w:t>6.9</w:t>
      </w:r>
      <w:r>
        <w:rPr>
          <w:sz w:val="18"/>
        </w:rPr>
        <w:tab/>
        <w:t>6.0</w:t>
      </w:r>
      <w:r>
        <w:rPr>
          <w:sz w:val="18"/>
        </w:rPr>
        <w:tab/>
        <w:t>4.2</w:t>
      </w:r>
      <w:r>
        <w:rPr>
          <w:sz w:val="18"/>
        </w:rPr>
        <w:tab/>
        <w:t>3.8</w:t>
      </w:r>
    </w:p>
    <w:p w:rsidR="00A56FE9" w:rsidRDefault="00000000">
      <w:pPr>
        <w:tabs>
          <w:tab w:val="left" w:pos="4488"/>
          <w:tab w:val="left" w:pos="5657"/>
          <w:tab w:val="left" w:pos="6790"/>
          <w:tab w:val="left" w:pos="7923"/>
          <w:tab w:val="right" w:pos="9253"/>
        </w:tabs>
        <w:spacing w:before="76"/>
        <w:ind w:left="602"/>
        <w:rPr>
          <w:sz w:val="18"/>
        </w:rPr>
      </w:pPr>
      <w:r>
        <w:rPr>
          <w:sz w:val="18"/>
        </w:rPr>
        <w:t>Exports</w:t>
      </w:r>
      <w:r>
        <w:rPr>
          <w:spacing w:val="-1"/>
          <w:sz w:val="18"/>
        </w:rPr>
        <w:t xml:space="preserve"> </w:t>
      </w:r>
      <w:r>
        <w:rPr>
          <w:sz w:val="18"/>
        </w:rPr>
        <w:t>of</w:t>
      </w:r>
      <w:r>
        <w:rPr>
          <w:spacing w:val="-2"/>
          <w:sz w:val="18"/>
        </w:rPr>
        <w:t xml:space="preserve"> </w:t>
      </w:r>
      <w:r>
        <w:rPr>
          <w:sz w:val="18"/>
        </w:rPr>
        <w:t>goods</w:t>
      </w:r>
      <w:r>
        <w:rPr>
          <w:sz w:val="18"/>
        </w:rPr>
        <w:tab/>
        <w:t>20.0</w:t>
      </w:r>
      <w:r>
        <w:rPr>
          <w:sz w:val="18"/>
        </w:rPr>
        <w:tab/>
        <w:t>4.8</w:t>
      </w:r>
      <w:r>
        <w:rPr>
          <w:sz w:val="18"/>
        </w:rPr>
        <w:tab/>
        <w:t>5.4</w:t>
      </w:r>
      <w:r>
        <w:rPr>
          <w:sz w:val="18"/>
        </w:rPr>
        <w:tab/>
        <w:t>4.6</w:t>
      </w:r>
      <w:r>
        <w:rPr>
          <w:sz w:val="18"/>
        </w:rPr>
        <w:tab/>
        <w:t>4.1</w:t>
      </w:r>
    </w:p>
    <w:p w:rsidR="00A56FE9" w:rsidRDefault="00000000">
      <w:pPr>
        <w:tabs>
          <w:tab w:val="left" w:pos="4488"/>
          <w:tab w:val="left" w:pos="5657"/>
          <w:tab w:val="left" w:pos="6790"/>
          <w:tab w:val="left" w:pos="7923"/>
          <w:tab w:val="right" w:pos="9253"/>
        </w:tabs>
        <w:spacing w:before="76"/>
        <w:ind w:left="602"/>
        <w:rPr>
          <w:sz w:val="18"/>
        </w:rPr>
      </w:pPr>
      <w:r>
        <w:rPr>
          <w:sz w:val="18"/>
        </w:rPr>
        <w:t>Exports</w:t>
      </w:r>
      <w:r>
        <w:rPr>
          <w:spacing w:val="-1"/>
          <w:sz w:val="18"/>
        </w:rPr>
        <w:t xml:space="preserve"> </w:t>
      </w:r>
      <w:r>
        <w:rPr>
          <w:sz w:val="18"/>
        </w:rPr>
        <w:t>of</w:t>
      </w:r>
      <w:r>
        <w:rPr>
          <w:spacing w:val="-3"/>
          <w:sz w:val="18"/>
        </w:rPr>
        <w:t xml:space="preserve"> </w:t>
      </w:r>
      <w:r>
        <w:rPr>
          <w:sz w:val="18"/>
        </w:rPr>
        <w:t>services</w:t>
      </w:r>
      <w:r>
        <w:rPr>
          <w:sz w:val="18"/>
        </w:rPr>
        <w:tab/>
        <w:t>51.5</w:t>
      </w:r>
      <w:r>
        <w:rPr>
          <w:sz w:val="18"/>
        </w:rPr>
        <w:tab/>
        <w:t>9.2</w:t>
      </w:r>
      <w:r>
        <w:rPr>
          <w:sz w:val="18"/>
        </w:rPr>
        <w:tab/>
        <w:t>6.7</w:t>
      </w:r>
      <w:r>
        <w:rPr>
          <w:sz w:val="18"/>
        </w:rPr>
        <w:tab/>
        <w:t>3.7</w:t>
      </w:r>
      <w:r>
        <w:rPr>
          <w:sz w:val="18"/>
        </w:rPr>
        <w:tab/>
        <w:t>3.4</w:t>
      </w:r>
    </w:p>
    <w:p w:rsidR="00A56FE9" w:rsidRDefault="00000000">
      <w:pPr>
        <w:tabs>
          <w:tab w:val="left" w:pos="4488"/>
          <w:tab w:val="left" w:pos="5657"/>
          <w:tab w:val="left" w:pos="6790"/>
          <w:tab w:val="left" w:pos="7923"/>
          <w:tab w:val="right" w:pos="9253"/>
        </w:tabs>
        <w:spacing w:before="76"/>
        <w:ind w:left="426"/>
        <w:rPr>
          <w:sz w:val="18"/>
        </w:rPr>
      </w:pPr>
      <w:r>
        <w:rPr>
          <w:sz w:val="18"/>
        </w:rPr>
        <w:t>Imports</w:t>
      </w:r>
      <w:r>
        <w:rPr>
          <w:spacing w:val="-1"/>
          <w:sz w:val="18"/>
        </w:rPr>
        <w:t xml:space="preserve"> </w:t>
      </w:r>
      <w:r>
        <w:rPr>
          <w:sz w:val="18"/>
        </w:rPr>
        <w:t>of</w:t>
      </w:r>
      <w:r>
        <w:rPr>
          <w:spacing w:val="-3"/>
          <w:sz w:val="18"/>
        </w:rPr>
        <w:t xml:space="preserve"> </w:t>
      </w:r>
      <w:r>
        <w:rPr>
          <w:sz w:val="18"/>
        </w:rPr>
        <w:t>goods</w:t>
      </w:r>
      <w:r>
        <w:rPr>
          <w:spacing w:val="-1"/>
          <w:sz w:val="18"/>
        </w:rPr>
        <w:t xml:space="preserve"> </w:t>
      </w:r>
      <w:r>
        <w:rPr>
          <w:sz w:val="18"/>
        </w:rPr>
        <w:t>and</w:t>
      </w:r>
      <w:r>
        <w:rPr>
          <w:spacing w:val="-2"/>
          <w:sz w:val="18"/>
        </w:rPr>
        <w:t xml:space="preserve"> </w:t>
      </w:r>
      <w:r>
        <w:rPr>
          <w:sz w:val="18"/>
        </w:rPr>
        <w:t>services</w:t>
      </w:r>
      <w:r>
        <w:rPr>
          <w:sz w:val="18"/>
        </w:rPr>
        <w:tab/>
        <w:t>14.7</w:t>
      </w:r>
      <w:r>
        <w:rPr>
          <w:sz w:val="18"/>
        </w:rPr>
        <w:tab/>
        <w:t>6.1</w:t>
      </w:r>
      <w:r>
        <w:rPr>
          <w:sz w:val="18"/>
        </w:rPr>
        <w:tab/>
        <w:t>6.9</w:t>
      </w:r>
      <w:r>
        <w:rPr>
          <w:sz w:val="18"/>
        </w:rPr>
        <w:tab/>
        <w:t>4.2</w:t>
      </w:r>
      <w:r>
        <w:rPr>
          <w:sz w:val="18"/>
        </w:rPr>
        <w:tab/>
        <w:t>3.6</w:t>
      </w:r>
    </w:p>
    <w:p w:rsidR="00A56FE9" w:rsidRDefault="00000000">
      <w:pPr>
        <w:tabs>
          <w:tab w:val="left" w:pos="4488"/>
          <w:tab w:val="left" w:pos="5657"/>
          <w:tab w:val="left" w:pos="6790"/>
          <w:tab w:val="left" w:pos="7923"/>
          <w:tab w:val="right" w:pos="9253"/>
        </w:tabs>
        <w:spacing w:before="77"/>
        <w:ind w:left="602"/>
        <w:rPr>
          <w:sz w:val="18"/>
        </w:rPr>
      </w:pPr>
      <w:r>
        <w:rPr>
          <w:sz w:val="18"/>
        </w:rPr>
        <w:t>Imports</w:t>
      </w:r>
      <w:r>
        <w:rPr>
          <w:spacing w:val="-1"/>
          <w:sz w:val="18"/>
        </w:rPr>
        <w:t xml:space="preserve"> </w:t>
      </w:r>
      <w:r>
        <w:rPr>
          <w:sz w:val="18"/>
        </w:rPr>
        <w:t>of</w:t>
      </w:r>
      <w:r>
        <w:rPr>
          <w:spacing w:val="-2"/>
          <w:sz w:val="18"/>
        </w:rPr>
        <w:t xml:space="preserve"> </w:t>
      </w:r>
      <w:r>
        <w:rPr>
          <w:sz w:val="18"/>
        </w:rPr>
        <w:t>goods</w:t>
      </w:r>
      <w:r>
        <w:rPr>
          <w:sz w:val="18"/>
        </w:rPr>
        <w:tab/>
        <w:t>14.8</w:t>
      </w:r>
      <w:r>
        <w:rPr>
          <w:sz w:val="18"/>
        </w:rPr>
        <w:tab/>
        <w:t>5.6</w:t>
      </w:r>
      <w:r>
        <w:rPr>
          <w:sz w:val="18"/>
        </w:rPr>
        <w:tab/>
        <w:t>6.5</w:t>
      </w:r>
      <w:r>
        <w:rPr>
          <w:sz w:val="18"/>
        </w:rPr>
        <w:tab/>
        <w:t>4.0</w:t>
      </w:r>
      <w:r>
        <w:rPr>
          <w:sz w:val="18"/>
        </w:rPr>
        <w:tab/>
        <w:t>3.5</w:t>
      </w:r>
    </w:p>
    <w:p w:rsidR="00A56FE9" w:rsidRDefault="00000000">
      <w:pPr>
        <w:tabs>
          <w:tab w:val="left" w:pos="4488"/>
          <w:tab w:val="left" w:pos="5657"/>
          <w:tab w:val="left" w:pos="6790"/>
          <w:tab w:val="left" w:pos="7923"/>
          <w:tab w:val="right" w:pos="9253"/>
        </w:tabs>
        <w:spacing w:before="76"/>
        <w:ind w:left="602"/>
        <w:rPr>
          <w:sz w:val="18"/>
        </w:rPr>
      </w:pPr>
      <w:r>
        <w:rPr>
          <w:sz w:val="18"/>
        </w:rPr>
        <w:t>Imports</w:t>
      </w:r>
      <w:r>
        <w:rPr>
          <w:spacing w:val="-2"/>
          <w:sz w:val="18"/>
        </w:rPr>
        <w:t xml:space="preserve"> </w:t>
      </w:r>
      <w:r>
        <w:rPr>
          <w:sz w:val="18"/>
        </w:rPr>
        <w:t>of</w:t>
      </w:r>
      <w:r>
        <w:rPr>
          <w:spacing w:val="-3"/>
          <w:sz w:val="18"/>
        </w:rPr>
        <w:t xml:space="preserve"> </w:t>
      </w:r>
      <w:r>
        <w:rPr>
          <w:sz w:val="18"/>
        </w:rPr>
        <w:t>services</w:t>
      </w:r>
      <w:r>
        <w:rPr>
          <w:sz w:val="18"/>
        </w:rPr>
        <w:tab/>
        <w:t>13.9</w:t>
      </w:r>
      <w:r>
        <w:rPr>
          <w:sz w:val="18"/>
        </w:rPr>
        <w:tab/>
        <w:t>9.1</w:t>
      </w:r>
      <w:r>
        <w:rPr>
          <w:sz w:val="18"/>
        </w:rPr>
        <w:tab/>
        <w:t>9.5</w:t>
      </w:r>
      <w:r>
        <w:rPr>
          <w:sz w:val="18"/>
        </w:rPr>
        <w:tab/>
        <w:t>5.1</w:t>
      </w:r>
      <w:r>
        <w:rPr>
          <w:sz w:val="18"/>
        </w:rPr>
        <w:tab/>
        <w:t>4.2</w:t>
      </w:r>
    </w:p>
    <w:p w:rsidR="00A56FE9" w:rsidRDefault="00000000">
      <w:pPr>
        <w:spacing w:before="120"/>
        <w:ind w:left="246"/>
        <w:rPr>
          <w:sz w:val="18"/>
        </w:rPr>
      </w:pPr>
      <w:r>
        <w:rPr>
          <w:b/>
          <w:color w:val="DA1F2C"/>
          <w:sz w:val="18"/>
        </w:rPr>
        <w:t>Contributing</w:t>
      </w:r>
      <w:r>
        <w:rPr>
          <w:b/>
          <w:color w:val="DA1F2C"/>
          <w:spacing w:val="-1"/>
          <w:sz w:val="18"/>
        </w:rPr>
        <w:t xml:space="preserve"> </w:t>
      </w:r>
      <w:r>
        <w:rPr>
          <w:b/>
          <w:color w:val="DA1F2C"/>
          <w:sz w:val="18"/>
        </w:rPr>
        <w:t>to</w:t>
      </w:r>
      <w:r>
        <w:rPr>
          <w:b/>
          <w:color w:val="DA1F2C"/>
          <w:spacing w:val="-2"/>
          <w:sz w:val="18"/>
        </w:rPr>
        <w:t xml:space="preserve"> </w:t>
      </w:r>
      <w:r>
        <w:rPr>
          <w:b/>
          <w:color w:val="DA1F2C"/>
          <w:sz w:val="18"/>
        </w:rPr>
        <w:t>GDP</w:t>
      </w:r>
      <w:r>
        <w:rPr>
          <w:b/>
          <w:color w:val="DA1F2C"/>
          <w:spacing w:val="-2"/>
          <w:sz w:val="18"/>
        </w:rPr>
        <w:t xml:space="preserve"> </w:t>
      </w:r>
      <w:r>
        <w:rPr>
          <w:b/>
          <w:color w:val="DA1F2C"/>
          <w:sz w:val="18"/>
        </w:rPr>
        <w:t>growth</w:t>
      </w:r>
      <w:r>
        <w:rPr>
          <w:b/>
          <w:color w:val="DA1F2C"/>
          <w:spacing w:val="-1"/>
          <w:sz w:val="18"/>
        </w:rPr>
        <w:t xml:space="preserve"> </w:t>
      </w:r>
      <w:r>
        <w:rPr>
          <w:color w:val="DA1F2C"/>
          <w:sz w:val="18"/>
        </w:rPr>
        <w:t>(percentage</w:t>
      </w:r>
      <w:r>
        <w:rPr>
          <w:color w:val="DA1F2C"/>
          <w:spacing w:val="-3"/>
          <w:sz w:val="18"/>
        </w:rPr>
        <w:t xml:space="preserve"> </w:t>
      </w:r>
      <w:r>
        <w:rPr>
          <w:color w:val="DA1F2C"/>
          <w:sz w:val="18"/>
        </w:rPr>
        <w:t>points)</w:t>
      </w:r>
    </w:p>
    <w:p w:rsidR="00A56FE9" w:rsidRDefault="00000000">
      <w:pPr>
        <w:tabs>
          <w:tab w:val="left" w:pos="4576"/>
          <w:tab w:val="left" w:pos="5657"/>
          <w:tab w:val="left" w:pos="6790"/>
          <w:tab w:val="left" w:pos="7923"/>
          <w:tab w:val="right" w:pos="9253"/>
        </w:tabs>
        <w:spacing w:before="76"/>
        <w:ind w:left="426"/>
        <w:rPr>
          <w:sz w:val="18"/>
        </w:rPr>
      </w:pPr>
      <w:r>
        <w:rPr>
          <w:sz w:val="18"/>
        </w:rPr>
        <w:t>Domestic</w:t>
      </w:r>
      <w:r>
        <w:rPr>
          <w:spacing w:val="-2"/>
          <w:sz w:val="18"/>
        </w:rPr>
        <w:t xml:space="preserve"> </w:t>
      </w:r>
      <w:r>
        <w:rPr>
          <w:sz w:val="18"/>
        </w:rPr>
        <w:t>demand</w:t>
      </w:r>
      <w:r>
        <w:rPr>
          <w:sz w:val="18"/>
        </w:rPr>
        <w:tab/>
        <w:t>8.3</w:t>
      </w:r>
      <w:r>
        <w:rPr>
          <w:sz w:val="18"/>
        </w:rPr>
        <w:tab/>
        <w:t>2.8</w:t>
      </w:r>
      <w:r>
        <w:rPr>
          <w:sz w:val="18"/>
        </w:rPr>
        <w:tab/>
        <w:t>3.6</w:t>
      </w:r>
      <w:r>
        <w:rPr>
          <w:sz w:val="18"/>
        </w:rPr>
        <w:tab/>
        <w:t>2.7</w:t>
      </w:r>
      <w:r>
        <w:rPr>
          <w:sz w:val="18"/>
        </w:rPr>
        <w:tab/>
        <w:t>2.6</w:t>
      </w:r>
    </w:p>
    <w:p w:rsidR="00A56FE9" w:rsidRDefault="00000000">
      <w:pPr>
        <w:tabs>
          <w:tab w:val="left" w:pos="4516"/>
          <w:tab w:val="left" w:pos="5597"/>
          <w:tab w:val="left" w:pos="6790"/>
          <w:tab w:val="left" w:pos="7923"/>
          <w:tab w:val="left" w:pos="9027"/>
        </w:tabs>
        <w:spacing w:before="76"/>
        <w:ind w:left="426"/>
        <w:rPr>
          <w:sz w:val="18"/>
        </w:rPr>
      </w:pPr>
      <w:r>
        <w:rPr>
          <w:sz w:val="18"/>
        </w:rPr>
        <w:t>Changes</w:t>
      </w:r>
      <w:r>
        <w:rPr>
          <w:spacing w:val="-2"/>
          <w:sz w:val="18"/>
        </w:rPr>
        <w:t xml:space="preserve"> </w:t>
      </w:r>
      <w:r>
        <w:rPr>
          <w:sz w:val="18"/>
        </w:rPr>
        <w:t>in</w:t>
      </w:r>
      <w:r>
        <w:rPr>
          <w:spacing w:val="1"/>
          <w:sz w:val="18"/>
        </w:rPr>
        <w:t xml:space="preserve"> </w:t>
      </w:r>
      <w:r>
        <w:rPr>
          <w:sz w:val="18"/>
        </w:rPr>
        <w:t>inventory</w:t>
      </w:r>
      <w:r>
        <w:rPr>
          <w:sz w:val="18"/>
        </w:rPr>
        <w:tab/>
        <w:t>-4.9</w:t>
      </w:r>
      <w:r>
        <w:rPr>
          <w:sz w:val="18"/>
        </w:rPr>
        <w:tab/>
        <w:t>-0.2</w:t>
      </w:r>
      <w:r>
        <w:rPr>
          <w:sz w:val="18"/>
        </w:rPr>
        <w:tab/>
        <w:t>1.5</w:t>
      </w:r>
      <w:r>
        <w:rPr>
          <w:sz w:val="18"/>
        </w:rPr>
        <w:tab/>
        <w:t>0.2</w:t>
      </w:r>
      <w:r>
        <w:rPr>
          <w:sz w:val="18"/>
        </w:rPr>
        <w:tab/>
        <w:t>0.0</w:t>
      </w:r>
    </w:p>
    <w:p w:rsidR="00A56FE9" w:rsidRDefault="00000000">
      <w:pPr>
        <w:tabs>
          <w:tab w:val="left" w:pos="4576"/>
          <w:tab w:val="left" w:pos="5657"/>
          <w:tab w:val="left" w:pos="6730"/>
          <w:tab w:val="left" w:pos="7863"/>
          <w:tab w:val="left" w:pos="9027"/>
        </w:tabs>
        <w:spacing w:before="76"/>
        <w:ind w:left="426"/>
        <w:rPr>
          <w:sz w:val="18"/>
        </w:rPr>
      </w:pPr>
      <w:r>
        <w:rPr>
          <w:sz w:val="18"/>
        </w:rPr>
        <w:t>Net</w:t>
      </w:r>
      <w:r>
        <w:rPr>
          <w:spacing w:val="-2"/>
          <w:sz w:val="18"/>
        </w:rPr>
        <w:t xml:space="preserve"> </w:t>
      </w:r>
      <w:r>
        <w:rPr>
          <w:sz w:val="18"/>
        </w:rPr>
        <w:t>foreign</w:t>
      </w:r>
      <w:r>
        <w:rPr>
          <w:spacing w:val="-1"/>
          <w:sz w:val="18"/>
        </w:rPr>
        <w:t xml:space="preserve"> </w:t>
      </w:r>
      <w:r>
        <w:rPr>
          <w:sz w:val="18"/>
        </w:rPr>
        <w:t>demand</w:t>
      </w:r>
      <w:r>
        <w:rPr>
          <w:sz w:val="18"/>
        </w:rPr>
        <w:tab/>
        <w:t>6.8</w:t>
      </w:r>
      <w:r>
        <w:rPr>
          <w:sz w:val="18"/>
        </w:rPr>
        <w:tab/>
        <w:t>0.3</w:t>
      </w:r>
      <w:r>
        <w:rPr>
          <w:sz w:val="18"/>
        </w:rPr>
        <w:tab/>
        <w:t>-0.7</w:t>
      </w:r>
      <w:r>
        <w:rPr>
          <w:sz w:val="18"/>
        </w:rPr>
        <w:tab/>
        <w:t>-0.1</w:t>
      </w:r>
      <w:r>
        <w:rPr>
          <w:sz w:val="18"/>
        </w:rPr>
        <w:tab/>
        <w:t>0.0</w:t>
      </w:r>
    </w:p>
    <w:p w:rsidR="00A56FE9" w:rsidRDefault="00000000">
      <w:pPr>
        <w:spacing w:before="120"/>
        <w:ind w:left="246"/>
        <w:rPr>
          <w:sz w:val="18"/>
        </w:rPr>
      </w:pPr>
      <w:r>
        <w:rPr>
          <w:b/>
          <w:color w:val="DA1F2C"/>
          <w:sz w:val="18"/>
        </w:rPr>
        <w:t>Contributing</w:t>
      </w:r>
      <w:r>
        <w:rPr>
          <w:b/>
          <w:color w:val="DA1F2C"/>
          <w:spacing w:val="-1"/>
          <w:sz w:val="18"/>
        </w:rPr>
        <w:t xml:space="preserve"> </w:t>
      </w:r>
      <w:r>
        <w:rPr>
          <w:b/>
          <w:color w:val="DA1F2C"/>
          <w:sz w:val="18"/>
        </w:rPr>
        <w:t>to</w:t>
      </w:r>
      <w:r>
        <w:rPr>
          <w:b/>
          <w:color w:val="DA1F2C"/>
          <w:spacing w:val="-2"/>
          <w:sz w:val="18"/>
        </w:rPr>
        <w:t xml:space="preserve"> </w:t>
      </w:r>
      <w:r>
        <w:rPr>
          <w:b/>
          <w:color w:val="DA1F2C"/>
          <w:sz w:val="18"/>
        </w:rPr>
        <w:t>GDP</w:t>
      </w:r>
      <w:r>
        <w:rPr>
          <w:b/>
          <w:color w:val="DA1F2C"/>
          <w:spacing w:val="-2"/>
          <w:sz w:val="18"/>
        </w:rPr>
        <w:t xml:space="preserve"> </w:t>
      </w:r>
      <w:r>
        <w:rPr>
          <w:b/>
          <w:color w:val="DA1F2C"/>
          <w:sz w:val="18"/>
        </w:rPr>
        <w:t>growth</w:t>
      </w:r>
      <w:r>
        <w:rPr>
          <w:b/>
          <w:color w:val="DA1F2C"/>
          <w:spacing w:val="-1"/>
          <w:sz w:val="18"/>
        </w:rPr>
        <w:t xml:space="preserve"> </w:t>
      </w:r>
      <w:r>
        <w:rPr>
          <w:color w:val="DA1F2C"/>
          <w:sz w:val="18"/>
        </w:rPr>
        <w:t>(percentage</w:t>
      </w:r>
      <w:r>
        <w:rPr>
          <w:color w:val="DA1F2C"/>
          <w:spacing w:val="-3"/>
          <w:sz w:val="18"/>
        </w:rPr>
        <w:t xml:space="preserve"> </w:t>
      </w:r>
      <w:r>
        <w:rPr>
          <w:color w:val="DA1F2C"/>
          <w:sz w:val="18"/>
        </w:rPr>
        <w:t>points)</w:t>
      </w:r>
    </w:p>
    <w:p w:rsidR="00A56FE9" w:rsidRDefault="00000000">
      <w:pPr>
        <w:tabs>
          <w:tab w:val="left" w:pos="4576"/>
          <w:tab w:val="left" w:pos="5657"/>
          <w:tab w:val="left" w:pos="6790"/>
          <w:tab w:val="left" w:pos="7923"/>
          <w:tab w:val="right" w:pos="9253"/>
        </w:tabs>
        <w:spacing w:before="76"/>
        <w:ind w:left="426"/>
        <w:rPr>
          <w:sz w:val="18"/>
        </w:rPr>
      </w:pPr>
      <w:r>
        <w:rPr>
          <w:sz w:val="18"/>
        </w:rPr>
        <w:t>Personal</w:t>
      </w:r>
      <w:r>
        <w:rPr>
          <w:spacing w:val="-1"/>
          <w:sz w:val="18"/>
        </w:rPr>
        <w:t xml:space="preserve"> </w:t>
      </w:r>
      <w:r>
        <w:rPr>
          <w:sz w:val="18"/>
        </w:rPr>
        <w:t>consumption</w:t>
      </w:r>
      <w:r>
        <w:rPr>
          <w:sz w:val="18"/>
        </w:rPr>
        <w:tab/>
        <w:t>5.9</w:t>
      </w:r>
      <w:r>
        <w:rPr>
          <w:sz w:val="18"/>
        </w:rPr>
        <w:tab/>
        <w:t>0.8</w:t>
      </w:r>
      <w:r>
        <w:rPr>
          <w:sz w:val="18"/>
        </w:rPr>
        <w:tab/>
        <w:t>1.8</w:t>
      </w:r>
      <w:r>
        <w:rPr>
          <w:sz w:val="18"/>
        </w:rPr>
        <w:tab/>
        <w:t>1.4</w:t>
      </w:r>
      <w:r>
        <w:rPr>
          <w:sz w:val="18"/>
        </w:rPr>
        <w:tab/>
        <w:t>1.3</w:t>
      </w:r>
    </w:p>
    <w:p w:rsidR="00A56FE9" w:rsidRDefault="00000000">
      <w:pPr>
        <w:tabs>
          <w:tab w:val="left" w:pos="4576"/>
          <w:tab w:val="left" w:pos="5657"/>
          <w:tab w:val="left" w:pos="6790"/>
          <w:tab w:val="left" w:pos="7923"/>
          <w:tab w:val="right" w:pos="9253"/>
        </w:tabs>
        <w:spacing w:before="76"/>
        <w:ind w:left="426"/>
        <w:rPr>
          <w:sz w:val="18"/>
        </w:rPr>
      </w:pPr>
      <w:r>
        <w:rPr>
          <w:sz w:val="18"/>
        </w:rPr>
        <w:t>Government</w:t>
      </w:r>
      <w:r>
        <w:rPr>
          <w:spacing w:val="-2"/>
          <w:sz w:val="18"/>
        </w:rPr>
        <w:t xml:space="preserve"> </w:t>
      </w:r>
      <w:r>
        <w:rPr>
          <w:sz w:val="18"/>
        </w:rPr>
        <w:t>spending</w:t>
      </w:r>
      <w:r>
        <w:rPr>
          <w:sz w:val="18"/>
        </w:rPr>
        <w:tab/>
        <w:t>0.7</w:t>
      </w:r>
      <w:r>
        <w:rPr>
          <w:sz w:val="18"/>
        </w:rPr>
        <w:tab/>
        <w:t>0.7</w:t>
      </w:r>
      <w:r>
        <w:rPr>
          <w:sz w:val="18"/>
        </w:rPr>
        <w:tab/>
        <w:t>0.4</w:t>
      </w:r>
      <w:r>
        <w:rPr>
          <w:sz w:val="18"/>
        </w:rPr>
        <w:tab/>
        <w:t>0.4</w:t>
      </w:r>
      <w:r>
        <w:rPr>
          <w:sz w:val="18"/>
        </w:rPr>
        <w:tab/>
        <w:t>0.5</w:t>
      </w:r>
    </w:p>
    <w:p w:rsidR="00A56FE9" w:rsidRDefault="00000000">
      <w:pPr>
        <w:tabs>
          <w:tab w:val="left" w:pos="4576"/>
          <w:tab w:val="left" w:pos="5657"/>
          <w:tab w:val="left" w:pos="6790"/>
          <w:tab w:val="left" w:pos="7923"/>
          <w:tab w:val="right" w:pos="9253"/>
        </w:tabs>
        <w:spacing w:before="77"/>
        <w:ind w:left="426"/>
        <w:rPr>
          <w:sz w:val="18"/>
        </w:rPr>
      </w:pPr>
      <w:r>
        <w:rPr>
          <w:sz w:val="18"/>
        </w:rPr>
        <w:t>Gross</w:t>
      </w:r>
      <w:r>
        <w:rPr>
          <w:spacing w:val="-2"/>
          <w:sz w:val="18"/>
        </w:rPr>
        <w:t xml:space="preserve"> </w:t>
      </w:r>
      <w:r>
        <w:rPr>
          <w:sz w:val="18"/>
        </w:rPr>
        <w:t>fixed</w:t>
      </w:r>
      <w:r>
        <w:rPr>
          <w:spacing w:val="-1"/>
          <w:sz w:val="18"/>
        </w:rPr>
        <w:t xml:space="preserve"> </w:t>
      </w:r>
      <w:r>
        <w:rPr>
          <w:sz w:val="18"/>
        </w:rPr>
        <w:t>capital</w:t>
      </w:r>
      <w:r>
        <w:rPr>
          <w:spacing w:val="-3"/>
          <w:sz w:val="18"/>
        </w:rPr>
        <w:t xml:space="preserve"> </w:t>
      </w:r>
      <w:r>
        <w:rPr>
          <w:sz w:val="18"/>
        </w:rPr>
        <w:t>formation</w:t>
      </w:r>
      <w:r>
        <w:rPr>
          <w:sz w:val="18"/>
        </w:rPr>
        <w:tab/>
        <w:t>1.7</w:t>
      </w:r>
      <w:r>
        <w:rPr>
          <w:sz w:val="18"/>
        </w:rPr>
        <w:tab/>
        <w:t>1.2</w:t>
      </w:r>
      <w:r>
        <w:rPr>
          <w:sz w:val="18"/>
        </w:rPr>
        <w:tab/>
        <w:t>1.3</w:t>
      </w:r>
      <w:r>
        <w:rPr>
          <w:sz w:val="18"/>
        </w:rPr>
        <w:tab/>
        <w:t>0.9</w:t>
      </w:r>
      <w:r>
        <w:rPr>
          <w:sz w:val="18"/>
        </w:rPr>
        <w:tab/>
        <w:t>0.8</w:t>
      </w:r>
    </w:p>
    <w:p w:rsidR="00A56FE9" w:rsidRDefault="00000000">
      <w:pPr>
        <w:tabs>
          <w:tab w:val="left" w:pos="4488"/>
          <w:tab w:val="left" w:pos="5657"/>
          <w:tab w:val="left" w:pos="6790"/>
          <w:tab w:val="left" w:pos="7923"/>
          <w:tab w:val="right" w:pos="9253"/>
        </w:tabs>
        <w:spacing w:before="76"/>
        <w:ind w:left="426"/>
        <w:rPr>
          <w:sz w:val="18"/>
        </w:rPr>
      </w:pPr>
      <w:r>
        <w:rPr>
          <w:sz w:val="18"/>
        </w:rPr>
        <w:t>Exports</w:t>
      </w:r>
      <w:r>
        <w:rPr>
          <w:spacing w:val="-1"/>
          <w:sz w:val="18"/>
        </w:rPr>
        <w:t xml:space="preserve"> </w:t>
      </w:r>
      <w:r>
        <w:rPr>
          <w:sz w:val="18"/>
        </w:rPr>
        <w:t>of</w:t>
      </w:r>
      <w:r>
        <w:rPr>
          <w:spacing w:val="-3"/>
          <w:sz w:val="18"/>
        </w:rPr>
        <w:t xml:space="preserve"> </w:t>
      </w:r>
      <w:r>
        <w:rPr>
          <w:sz w:val="18"/>
        </w:rPr>
        <w:t>goods</w:t>
      </w:r>
      <w:r>
        <w:rPr>
          <w:spacing w:val="-1"/>
          <w:sz w:val="18"/>
        </w:rPr>
        <w:t xml:space="preserve"> </w:t>
      </w:r>
      <w:r>
        <w:rPr>
          <w:sz w:val="18"/>
        </w:rPr>
        <w:t>and</w:t>
      </w:r>
      <w:r>
        <w:rPr>
          <w:spacing w:val="-2"/>
          <w:sz w:val="18"/>
        </w:rPr>
        <w:t xml:space="preserve"> </w:t>
      </w:r>
      <w:r>
        <w:rPr>
          <w:sz w:val="18"/>
        </w:rPr>
        <w:t>services</w:t>
      </w:r>
      <w:r>
        <w:rPr>
          <w:sz w:val="18"/>
        </w:rPr>
        <w:tab/>
        <w:t>14.0</w:t>
      </w:r>
      <w:r>
        <w:rPr>
          <w:sz w:val="18"/>
        </w:rPr>
        <w:tab/>
        <w:t>3.5</w:t>
      </w:r>
      <w:r>
        <w:rPr>
          <w:sz w:val="18"/>
        </w:rPr>
        <w:tab/>
        <w:t>3.3</w:t>
      </w:r>
      <w:r>
        <w:rPr>
          <w:sz w:val="18"/>
        </w:rPr>
        <w:tab/>
        <w:t>2.3</w:t>
      </w:r>
      <w:r>
        <w:rPr>
          <w:sz w:val="18"/>
        </w:rPr>
        <w:tab/>
        <w:t>2.1</w:t>
      </w:r>
    </w:p>
    <w:p w:rsidR="00A56FE9" w:rsidRDefault="00000000">
      <w:pPr>
        <w:tabs>
          <w:tab w:val="left" w:pos="4516"/>
          <w:tab w:val="left" w:pos="5597"/>
          <w:tab w:val="left" w:pos="6730"/>
          <w:tab w:val="left" w:pos="7863"/>
          <w:tab w:val="left" w:pos="8967"/>
        </w:tabs>
        <w:spacing w:before="76" w:after="5"/>
        <w:ind w:left="426"/>
        <w:rPr>
          <w:sz w:val="18"/>
        </w:rPr>
      </w:pPr>
      <w:r>
        <w:rPr>
          <w:sz w:val="18"/>
        </w:rPr>
        <w:t>Imports</w:t>
      </w:r>
      <w:r>
        <w:rPr>
          <w:spacing w:val="-1"/>
          <w:sz w:val="18"/>
        </w:rPr>
        <w:t xml:space="preserve"> </w:t>
      </w:r>
      <w:r>
        <w:rPr>
          <w:sz w:val="18"/>
        </w:rPr>
        <w:t>of</w:t>
      </w:r>
      <w:r>
        <w:rPr>
          <w:spacing w:val="-3"/>
          <w:sz w:val="18"/>
        </w:rPr>
        <w:t xml:space="preserve"> </w:t>
      </w:r>
      <w:r>
        <w:rPr>
          <w:sz w:val="18"/>
        </w:rPr>
        <w:t>goods</w:t>
      </w:r>
      <w:r>
        <w:rPr>
          <w:spacing w:val="-1"/>
          <w:sz w:val="18"/>
        </w:rPr>
        <w:t xml:space="preserve"> </w:t>
      </w:r>
      <w:r>
        <w:rPr>
          <w:sz w:val="18"/>
        </w:rPr>
        <w:t>and</w:t>
      </w:r>
      <w:r>
        <w:rPr>
          <w:spacing w:val="-2"/>
          <w:sz w:val="18"/>
        </w:rPr>
        <w:t xml:space="preserve"> </w:t>
      </w:r>
      <w:r>
        <w:rPr>
          <w:sz w:val="18"/>
        </w:rPr>
        <w:t>services</w:t>
      </w:r>
      <w:r>
        <w:rPr>
          <w:sz w:val="18"/>
        </w:rPr>
        <w:tab/>
        <w:t>-7.2</w:t>
      </w:r>
      <w:r>
        <w:rPr>
          <w:sz w:val="18"/>
        </w:rPr>
        <w:tab/>
        <w:t>-3.2</w:t>
      </w:r>
      <w:r>
        <w:rPr>
          <w:sz w:val="18"/>
        </w:rPr>
        <w:tab/>
        <w:t>-3.9</w:t>
      </w:r>
      <w:r>
        <w:rPr>
          <w:sz w:val="18"/>
        </w:rPr>
        <w:tab/>
        <w:t>-2.4</w:t>
      </w:r>
      <w:r>
        <w:rPr>
          <w:sz w:val="18"/>
        </w:rPr>
        <w:tab/>
        <w:t>-2.1</w:t>
      </w:r>
    </w:p>
    <w:p w:rsidR="00A56FE9" w:rsidRDefault="00CC1B9B">
      <w:pPr>
        <w:pStyle w:val="Tijeloteksta"/>
        <w:spacing w:line="20" w:lineRule="exact"/>
        <w:jc w:val="left"/>
        <w:rPr>
          <w:sz w:val="2"/>
        </w:rPr>
      </w:pPr>
      <w:r>
        <w:rPr>
          <w:noProof/>
          <w:sz w:val="2"/>
        </w:rPr>
        <mc:AlternateContent>
          <mc:Choice Requires="wpg">
            <w:drawing>
              <wp:inline distT="0" distB="0" distL="0" distR="0">
                <wp:extent cx="5892800" cy="6350"/>
                <wp:effectExtent l="0" t="0" r="3175" b="3175"/>
                <wp:docPr id="608126620"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2800" cy="6350"/>
                          <a:chOff x="0" y="0"/>
                          <a:chExt cx="9280" cy="10"/>
                        </a:xfrm>
                      </wpg:grpSpPr>
                      <wps:wsp>
                        <wps:cNvPr id="536694336" name="AutoShape 340"/>
                        <wps:cNvSpPr>
                          <a:spLocks/>
                        </wps:cNvSpPr>
                        <wps:spPr bwMode="auto">
                          <a:xfrm>
                            <a:off x="0" y="0"/>
                            <a:ext cx="9280" cy="10"/>
                          </a:xfrm>
                          <a:custGeom>
                            <a:avLst/>
                            <a:gdLst>
                              <a:gd name="T0" fmla="*/ 3872 w 9280"/>
                              <a:gd name="T1" fmla="*/ 0 h 10"/>
                              <a:gd name="T2" fmla="*/ 0 w 9280"/>
                              <a:gd name="T3" fmla="*/ 0 h 10"/>
                              <a:gd name="T4" fmla="*/ 0 w 9280"/>
                              <a:gd name="T5" fmla="*/ 10 h 10"/>
                              <a:gd name="T6" fmla="*/ 3872 w 9280"/>
                              <a:gd name="T7" fmla="*/ 10 h 10"/>
                              <a:gd name="T8" fmla="*/ 3872 w 9280"/>
                              <a:gd name="T9" fmla="*/ 0 h 10"/>
                              <a:gd name="T10" fmla="*/ 3881 w 9280"/>
                              <a:gd name="T11" fmla="*/ 0 h 10"/>
                              <a:gd name="T12" fmla="*/ 3872 w 9280"/>
                              <a:gd name="T13" fmla="*/ 0 h 10"/>
                              <a:gd name="T14" fmla="*/ 3872 w 9280"/>
                              <a:gd name="T15" fmla="*/ 10 h 10"/>
                              <a:gd name="T16" fmla="*/ 3881 w 9280"/>
                              <a:gd name="T17" fmla="*/ 10 h 10"/>
                              <a:gd name="T18" fmla="*/ 3881 w 9280"/>
                              <a:gd name="T19" fmla="*/ 0 h 10"/>
                              <a:gd name="T20" fmla="*/ 4829 w 9280"/>
                              <a:gd name="T21" fmla="*/ 0 h 10"/>
                              <a:gd name="T22" fmla="*/ 3881 w 9280"/>
                              <a:gd name="T23" fmla="*/ 0 h 10"/>
                              <a:gd name="T24" fmla="*/ 3881 w 9280"/>
                              <a:gd name="T25" fmla="*/ 10 h 10"/>
                              <a:gd name="T26" fmla="*/ 4829 w 9280"/>
                              <a:gd name="T27" fmla="*/ 10 h 10"/>
                              <a:gd name="T28" fmla="*/ 4829 w 9280"/>
                              <a:gd name="T29" fmla="*/ 0 h 10"/>
                              <a:gd name="T30" fmla="*/ 8173 w 9280"/>
                              <a:gd name="T31" fmla="*/ 0 h 10"/>
                              <a:gd name="T32" fmla="*/ 7052 w 9280"/>
                              <a:gd name="T33" fmla="*/ 0 h 10"/>
                              <a:gd name="T34" fmla="*/ 7043 w 9280"/>
                              <a:gd name="T35" fmla="*/ 0 h 10"/>
                              <a:gd name="T36" fmla="*/ 5919 w 9280"/>
                              <a:gd name="T37" fmla="*/ 0 h 10"/>
                              <a:gd name="T38" fmla="*/ 5910 w 9280"/>
                              <a:gd name="T39" fmla="*/ 0 h 10"/>
                              <a:gd name="T40" fmla="*/ 5910 w 9280"/>
                              <a:gd name="T41" fmla="*/ 0 h 10"/>
                              <a:gd name="T42" fmla="*/ 4839 w 9280"/>
                              <a:gd name="T43" fmla="*/ 0 h 10"/>
                              <a:gd name="T44" fmla="*/ 4829 w 9280"/>
                              <a:gd name="T45" fmla="*/ 0 h 10"/>
                              <a:gd name="T46" fmla="*/ 4829 w 9280"/>
                              <a:gd name="T47" fmla="*/ 10 h 10"/>
                              <a:gd name="T48" fmla="*/ 4839 w 9280"/>
                              <a:gd name="T49" fmla="*/ 10 h 10"/>
                              <a:gd name="T50" fmla="*/ 5910 w 9280"/>
                              <a:gd name="T51" fmla="*/ 10 h 10"/>
                              <a:gd name="T52" fmla="*/ 5910 w 9280"/>
                              <a:gd name="T53" fmla="*/ 10 h 10"/>
                              <a:gd name="T54" fmla="*/ 5919 w 9280"/>
                              <a:gd name="T55" fmla="*/ 10 h 10"/>
                              <a:gd name="T56" fmla="*/ 7043 w 9280"/>
                              <a:gd name="T57" fmla="*/ 10 h 10"/>
                              <a:gd name="T58" fmla="*/ 7052 w 9280"/>
                              <a:gd name="T59" fmla="*/ 10 h 10"/>
                              <a:gd name="T60" fmla="*/ 8173 w 9280"/>
                              <a:gd name="T61" fmla="*/ 10 h 10"/>
                              <a:gd name="T62" fmla="*/ 8173 w 9280"/>
                              <a:gd name="T63" fmla="*/ 0 h 10"/>
                              <a:gd name="T64" fmla="*/ 9280 w 9280"/>
                              <a:gd name="T65" fmla="*/ 0 h 10"/>
                              <a:gd name="T66" fmla="*/ 8183 w 9280"/>
                              <a:gd name="T67" fmla="*/ 0 h 10"/>
                              <a:gd name="T68" fmla="*/ 8174 w 9280"/>
                              <a:gd name="T69" fmla="*/ 0 h 10"/>
                              <a:gd name="T70" fmla="*/ 8174 w 9280"/>
                              <a:gd name="T71" fmla="*/ 10 h 10"/>
                              <a:gd name="T72" fmla="*/ 8183 w 9280"/>
                              <a:gd name="T73" fmla="*/ 10 h 10"/>
                              <a:gd name="T74" fmla="*/ 9280 w 9280"/>
                              <a:gd name="T75" fmla="*/ 10 h 10"/>
                              <a:gd name="T76" fmla="*/ 9280 w 9280"/>
                              <a:gd name="T77"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9280" h="10">
                                <a:moveTo>
                                  <a:pt x="3872" y="0"/>
                                </a:moveTo>
                                <a:lnTo>
                                  <a:pt x="0" y="0"/>
                                </a:lnTo>
                                <a:lnTo>
                                  <a:pt x="0" y="10"/>
                                </a:lnTo>
                                <a:lnTo>
                                  <a:pt x="3872" y="10"/>
                                </a:lnTo>
                                <a:lnTo>
                                  <a:pt x="3872" y="0"/>
                                </a:lnTo>
                                <a:close/>
                                <a:moveTo>
                                  <a:pt x="3881" y="0"/>
                                </a:moveTo>
                                <a:lnTo>
                                  <a:pt x="3872" y="0"/>
                                </a:lnTo>
                                <a:lnTo>
                                  <a:pt x="3872" y="10"/>
                                </a:lnTo>
                                <a:lnTo>
                                  <a:pt x="3881" y="10"/>
                                </a:lnTo>
                                <a:lnTo>
                                  <a:pt x="3881" y="0"/>
                                </a:lnTo>
                                <a:close/>
                                <a:moveTo>
                                  <a:pt x="4829" y="0"/>
                                </a:moveTo>
                                <a:lnTo>
                                  <a:pt x="3881" y="0"/>
                                </a:lnTo>
                                <a:lnTo>
                                  <a:pt x="3881" y="10"/>
                                </a:lnTo>
                                <a:lnTo>
                                  <a:pt x="4829" y="10"/>
                                </a:lnTo>
                                <a:lnTo>
                                  <a:pt x="4829" y="0"/>
                                </a:lnTo>
                                <a:close/>
                                <a:moveTo>
                                  <a:pt x="8173" y="0"/>
                                </a:moveTo>
                                <a:lnTo>
                                  <a:pt x="7052" y="0"/>
                                </a:lnTo>
                                <a:lnTo>
                                  <a:pt x="7043" y="0"/>
                                </a:lnTo>
                                <a:lnTo>
                                  <a:pt x="5919" y="0"/>
                                </a:lnTo>
                                <a:lnTo>
                                  <a:pt x="5910" y="0"/>
                                </a:lnTo>
                                <a:lnTo>
                                  <a:pt x="4839" y="0"/>
                                </a:lnTo>
                                <a:lnTo>
                                  <a:pt x="4829" y="0"/>
                                </a:lnTo>
                                <a:lnTo>
                                  <a:pt x="4829" y="10"/>
                                </a:lnTo>
                                <a:lnTo>
                                  <a:pt x="4839" y="10"/>
                                </a:lnTo>
                                <a:lnTo>
                                  <a:pt x="5910" y="10"/>
                                </a:lnTo>
                                <a:lnTo>
                                  <a:pt x="5919" y="10"/>
                                </a:lnTo>
                                <a:lnTo>
                                  <a:pt x="7043" y="10"/>
                                </a:lnTo>
                                <a:lnTo>
                                  <a:pt x="7052" y="10"/>
                                </a:lnTo>
                                <a:lnTo>
                                  <a:pt x="8173" y="10"/>
                                </a:lnTo>
                                <a:lnTo>
                                  <a:pt x="8173" y="0"/>
                                </a:lnTo>
                                <a:close/>
                                <a:moveTo>
                                  <a:pt x="9280" y="0"/>
                                </a:moveTo>
                                <a:lnTo>
                                  <a:pt x="8183" y="0"/>
                                </a:lnTo>
                                <a:lnTo>
                                  <a:pt x="8174" y="0"/>
                                </a:lnTo>
                                <a:lnTo>
                                  <a:pt x="8174" y="10"/>
                                </a:lnTo>
                                <a:lnTo>
                                  <a:pt x="8183" y="10"/>
                                </a:lnTo>
                                <a:lnTo>
                                  <a:pt x="9280" y="10"/>
                                </a:lnTo>
                                <a:lnTo>
                                  <a:pt x="9280" y="0"/>
                                </a:lnTo>
                                <a:close/>
                              </a:path>
                            </a:pathLst>
                          </a:custGeom>
                          <a:solidFill>
                            <a:srgbClr val="2C398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70050DA" id="Group 339" o:spid="_x0000_s1026" style="width:464pt;height:.5pt;mso-position-horizontal-relative:char;mso-position-vertical-relative:line" coordsize="92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">
                <v:shape id="AutoShape 340" o:spid="_x0000_s1027" style="position:absolute;width:9280;height:10;visibility:visible;mso-wrap-style:square;v-text-anchor:top" coordsize="928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" path="m3872,l,,,10r3872,l3872,xm3881,r-9,l3872,10r9,l3881,xm4829,l3881,r,10l4829,10r,-10xm8173,l7052,r-9,l5919,r-9,l4839,r-10,l4829,10r10,l5910,10r9,l7043,10r9,l8173,10r,-10xm9280,l8183,r-9,l8174,10r9,l9280,10r,-10xe" fillcolor="#2c398a" stroked="f">
                  <v:path arrowok="t" o:connecttype="custom" o:connectlocs="3872,0;0,0;0,10;3872,10;3872,0;3881,0;3872,0;3872,10;3881,10;3881,0;4829,0;3881,0;3881,10;4829,10;4829,0;8173,0;7052,0;7043,0;5919,0;5910,0;5910,0;4839,0;4829,0;4829,10;4839,10;5910,10;5910,10;5919,10;7043,10;7052,10;8173,10;8173,0;9280,0;8183,0;8174,0;8174,10;8183,10;9280,10;9280,0" o:connectangles="0,0,0,0,0,0,0,0,0,0,0,0,0,0,0,0,0,0,0,0,0,0,0,0,0,0,0,0,0,0,0,0,0,0,0,0,0,0,0"/>
                </v:shape>
                <w10:anchorlock/>
              </v:group>
            </w:pict>
          </mc:Fallback>
        </mc:AlternateContent>
      </w:r>
    </w:p>
    <w:p w:rsidR="00A56FE9" w:rsidRDefault="00000000">
      <w:pPr>
        <w:spacing w:before="102"/>
        <w:ind w:left="138"/>
        <w:rPr>
          <w:i/>
          <w:sz w:val="16"/>
        </w:rPr>
      </w:pPr>
      <w:r>
        <w:rPr>
          <w:i/>
          <w:sz w:val="16"/>
        </w:rPr>
        <w:t>Note:</w:t>
      </w:r>
      <w:r>
        <w:rPr>
          <w:i/>
          <w:spacing w:val="16"/>
          <w:sz w:val="16"/>
        </w:rPr>
        <w:t xml:space="preserve"> </w:t>
      </w:r>
      <w:r>
        <w:rPr>
          <w:i/>
          <w:sz w:val="16"/>
        </w:rPr>
        <w:t>Dana</w:t>
      </w:r>
      <w:r>
        <w:rPr>
          <w:i/>
          <w:spacing w:val="-3"/>
          <w:sz w:val="16"/>
        </w:rPr>
        <w:t xml:space="preserve"> </w:t>
      </w:r>
      <w:r>
        <w:rPr>
          <w:i/>
          <w:sz w:val="16"/>
        </w:rPr>
        <w:t>for</w:t>
      </w:r>
      <w:r>
        <w:rPr>
          <w:i/>
          <w:spacing w:val="-3"/>
          <w:sz w:val="16"/>
        </w:rPr>
        <w:t xml:space="preserve"> </w:t>
      </w:r>
      <w:r>
        <w:rPr>
          <w:i/>
          <w:sz w:val="16"/>
        </w:rPr>
        <w:t>2021</w:t>
      </w:r>
      <w:r>
        <w:rPr>
          <w:i/>
          <w:spacing w:val="-3"/>
          <w:sz w:val="16"/>
        </w:rPr>
        <w:t xml:space="preserve"> </w:t>
      </w:r>
      <w:r>
        <w:rPr>
          <w:i/>
          <w:sz w:val="16"/>
        </w:rPr>
        <w:t>is</w:t>
      </w:r>
      <w:r>
        <w:rPr>
          <w:i/>
          <w:spacing w:val="-4"/>
          <w:sz w:val="16"/>
        </w:rPr>
        <w:t xml:space="preserve"> </w:t>
      </w:r>
      <w:r>
        <w:rPr>
          <w:i/>
          <w:sz w:val="16"/>
        </w:rPr>
        <w:t>preliminary</w:t>
      </w:r>
    </w:p>
    <w:p w:rsidR="00A56FE9" w:rsidRDefault="00000000">
      <w:pPr>
        <w:spacing w:before="1"/>
        <w:ind w:left="141"/>
        <w:rPr>
          <w:sz w:val="16"/>
        </w:rPr>
      </w:pPr>
      <w:r>
        <w:rPr>
          <w:sz w:val="16"/>
        </w:rPr>
        <w:t>Source:</w:t>
      </w:r>
      <w:r>
        <w:rPr>
          <w:spacing w:val="-4"/>
          <w:sz w:val="16"/>
        </w:rPr>
        <w:t xml:space="preserve"> </w:t>
      </w:r>
      <w:r>
        <w:rPr>
          <w:sz w:val="16"/>
        </w:rPr>
        <w:t>State</w:t>
      </w:r>
      <w:r>
        <w:rPr>
          <w:spacing w:val="-5"/>
          <w:sz w:val="16"/>
        </w:rPr>
        <w:t xml:space="preserve"> </w:t>
      </w:r>
      <w:r>
        <w:rPr>
          <w:sz w:val="16"/>
        </w:rPr>
        <w:t>Bureau</w:t>
      </w:r>
      <w:r>
        <w:rPr>
          <w:spacing w:val="-2"/>
          <w:sz w:val="16"/>
        </w:rPr>
        <w:t xml:space="preserve"> </w:t>
      </w:r>
      <w:r>
        <w:rPr>
          <w:sz w:val="16"/>
        </w:rPr>
        <w:t>of</w:t>
      </w:r>
      <w:r>
        <w:rPr>
          <w:spacing w:val="-4"/>
          <w:sz w:val="16"/>
        </w:rPr>
        <w:t xml:space="preserve"> </w:t>
      </w:r>
      <w:r>
        <w:rPr>
          <w:sz w:val="16"/>
        </w:rPr>
        <w:t>Statistics,</w:t>
      </w:r>
      <w:r>
        <w:rPr>
          <w:spacing w:val="-4"/>
          <w:sz w:val="16"/>
        </w:rPr>
        <w:t xml:space="preserve"> </w:t>
      </w:r>
      <w:r>
        <w:rPr>
          <w:sz w:val="16"/>
        </w:rPr>
        <w:t>Ministry</w:t>
      </w:r>
      <w:r>
        <w:rPr>
          <w:spacing w:val="-6"/>
          <w:sz w:val="16"/>
        </w:rPr>
        <w:t xml:space="preserve"> </w:t>
      </w:r>
      <w:r>
        <w:rPr>
          <w:sz w:val="16"/>
        </w:rPr>
        <w:t>of</w:t>
      </w:r>
      <w:r>
        <w:rPr>
          <w:spacing w:val="-1"/>
          <w:sz w:val="16"/>
        </w:rPr>
        <w:t xml:space="preserve"> </w:t>
      </w:r>
      <w:r>
        <w:rPr>
          <w:sz w:val="16"/>
        </w:rPr>
        <w:t>Finance</w:t>
      </w:r>
    </w:p>
    <w:p w:rsidR="00A56FE9" w:rsidRDefault="00A56FE9">
      <w:pPr>
        <w:rPr>
          <w:sz w:val="16"/>
        </w:rPr>
        <w:sectPr w:rsidR="00A56FE9" w:rsidSect="00AB1E70">
          <w:pgSz w:w="11910" w:h="16840"/>
          <w:pgMar w:top="1420" w:right="1140" w:bottom="960" w:left="1280" w:header="0" w:footer="779" w:gutter="0"/>
          <w:cols w:space="720"/>
        </w:sectPr>
      </w:pPr>
    </w:p>
    <w:p w:rsidR="00A56FE9" w:rsidRDefault="00000000">
      <w:pPr>
        <w:pStyle w:val="Tijeloteksta"/>
        <w:spacing w:before="74"/>
        <w:ind w:right="275"/>
      </w:pPr>
      <w:r>
        <w:t>Due to the present imbalance between supply and demand for labour and favourable trends in</w:t>
      </w:r>
      <w:r>
        <w:rPr>
          <w:spacing w:val="1"/>
        </w:rPr>
        <w:t xml:space="preserve"> </w:t>
      </w:r>
      <w:r>
        <w:t>the migration balance in the expansionary phase of the economic cycle, the labour market is</w:t>
      </w:r>
      <w:r>
        <w:rPr>
          <w:spacing w:val="1"/>
        </w:rPr>
        <w:t xml:space="preserve"> </w:t>
      </w:r>
      <w:r>
        <w:t>showing favourable expectations. However, as a result of record inflation and the consequent</w:t>
      </w:r>
      <w:r>
        <w:rPr>
          <w:spacing w:val="1"/>
        </w:rPr>
        <w:t xml:space="preserve"> </w:t>
      </w:r>
      <w:r>
        <w:t>stagnation of disposable income in the household sector in 2022, personal consumption will</w:t>
      </w:r>
      <w:r>
        <w:rPr>
          <w:spacing w:val="1"/>
        </w:rPr>
        <w:t xml:space="preserve"> </w:t>
      </w:r>
      <w:r>
        <w:t>record a temporary slowdown this year. The prevailing inflation effectively transfers wealth</w:t>
      </w:r>
      <w:r>
        <w:rPr>
          <w:spacing w:val="1"/>
        </w:rPr>
        <w:t xml:space="preserve"> </w:t>
      </w:r>
      <w:r>
        <w:t>from</w:t>
      </w:r>
      <w:r>
        <w:rPr>
          <w:spacing w:val="1"/>
        </w:rPr>
        <w:t xml:space="preserve"> </w:t>
      </w:r>
      <w:r>
        <w:t>savers</w:t>
      </w:r>
      <w:r>
        <w:rPr>
          <w:spacing w:val="1"/>
        </w:rPr>
        <w:t xml:space="preserve"> </w:t>
      </w:r>
      <w:r>
        <w:t>to</w:t>
      </w:r>
      <w:r>
        <w:rPr>
          <w:spacing w:val="1"/>
        </w:rPr>
        <w:t xml:space="preserve"> </w:t>
      </w:r>
      <w:r>
        <w:t>debtors</w:t>
      </w:r>
      <w:r>
        <w:rPr>
          <w:spacing w:val="1"/>
        </w:rPr>
        <w:t xml:space="preserve"> </w:t>
      </w:r>
      <w:r>
        <w:t>and</w:t>
      </w:r>
      <w:r>
        <w:rPr>
          <w:spacing w:val="1"/>
        </w:rPr>
        <w:t xml:space="preserve"> </w:t>
      </w:r>
      <w:r>
        <w:t>from</w:t>
      </w:r>
      <w:r>
        <w:rPr>
          <w:spacing w:val="1"/>
        </w:rPr>
        <w:t xml:space="preserve"> </w:t>
      </w:r>
      <w:r>
        <w:t>lower-income</w:t>
      </w:r>
      <w:r>
        <w:rPr>
          <w:spacing w:val="1"/>
        </w:rPr>
        <w:t xml:space="preserve"> </w:t>
      </w:r>
      <w:r>
        <w:t>subjects</w:t>
      </w:r>
      <w:r>
        <w:rPr>
          <w:spacing w:val="1"/>
        </w:rPr>
        <w:t xml:space="preserve"> </w:t>
      </w:r>
      <w:r>
        <w:t>to</w:t>
      </w:r>
      <w:r>
        <w:rPr>
          <w:spacing w:val="1"/>
        </w:rPr>
        <w:t xml:space="preserve"> </w:t>
      </w:r>
      <w:r>
        <w:t>higher-income</w:t>
      </w:r>
      <w:r>
        <w:rPr>
          <w:spacing w:val="1"/>
        </w:rPr>
        <w:t xml:space="preserve"> </w:t>
      </w:r>
      <w:r>
        <w:t>subjects,</w:t>
      </w:r>
      <w:r>
        <w:rPr>
          <w:spacing w:val="1"/>
        </w:rPr>
        <w:t xml:space="preserve"> </w:t>
      </w:r>
      <w:r>
        <w:t>thus</w:t>
      </w:r>
      <w:r>
        <w:rPr>
          <w:spacing w:val="-57"/>
        </w:rPr>
        <w:t xml:space="preserve"> </w:t>
      </w:r>
      <w:r>
        <w:rPr>
          <w:spacing w:val="-1"/>
        </w:rPr>
        <w:t>generating</w:t>
      </w:r>
      <w:r>
        <w:rPr>
          <w:spacing w:val="-17"/>
        </w:rPr>
        <w:t xml:space="preserve"> </w:t>
      </w:r>
      <w:r>
        <w:rPr>
          <w:spacing w:val="-1"/>
        </w:rPr>
        <w:t>a</w:t>
      </w:r>
      <w:r>
        <w:rPr>
          <w:spacing w:val="-16"/>
        </w:rPr>
        <w:t xml:space="preserve"> </w:t>
      </w:r>
      <w:r>
        <w:t>negative</w:t>
      </w:r>
      <w:r>
        <w:rPr>
          <w:spacing w:val="-16"/>
        </w:rPr>
        <w:t xml:space="preserve"> </w:t>
      </w:r>
      <w:r>
        <w:t>wealth</w:t>
      </w:r>
      <w:r>
        <w:rPr>
          <w:spacing w:val="-15"/>
        </w:rPr>
        <w:t xml:space="preserve"> </w:t>
      </w:r>
      <w:r>
        <w:t>effect.</w:t>
      </w:r>
      <w:r>
        <w:rPr>
          <w:spacing w:val="-14"/>
        </w:rPr>
        <w:t xml:space="preserve"> </w:t>
      </w:r>
      <w:r>
        <w:t>Moreover,</w:t>
      </w:r>
      <w:r>
        <w:rPr>
          <w:spacing w:val="-16"/>
        </w:rPr>
        <w:t xml:space="preserve"> </w:t>
      </w:r>
      <w:r>
        <w:t>inflation</w:t>
      </w:r>
      <w:r>
        <w:rPr>
          <w:spacing w:val="-15"/>
        </w:rPr>
        <w:t xml:space="preserve"> </w:t>
      </w:r>
      <w:r>
        <w:t>and</w:t>
      </w:r>
      <w:r>
        <w:rPr>
          <w:spacing w:val="-15"/>
        </w:rPr>
        <w:t xml:space="preserve"> </w:t>
      </w:r>
      <w:r>
        <w:t>the</w:t>
      </w:r>
      <w:r>
        <w:rPr>
          <w:spacing w:val="-15"/>
        </w:rPr>
        <w:t xml:space="preserve"> </w:t>
      </w:r>
      <w:r>
        <w:t>announcement</w:t>
      </w:r>
      <w:r>
        <w:rPr>
          <w:spacing w:val="-14"/>
        </w:rPr>
        <w:t xml:space="preserve"> </w:t>
      </w:r>
      <w:r>
        <w:t>of</w:t>
      </w:r>
      <w:r>
        <w:rPr>
          <w:spacing w:val="-16"/>
        </w:rPr>
        <w:t xml:space="preserve"> </w:t>
      </w:r>
      <w:r>
        <w:t>possibly</w:t>
      </w:r>
      <w:r>
        <w:rPr>
          <w:spacing w:val="-22"/>
        </w:rPr>
        <w:t xml:space="preserve"> </w:t>
      </w:r>
      <w:r>
        <w:t>more</w:t>
      </w:r>
      <w:r>
        <w:rPr>
          <w:spacing w:val="-57"/>
        </w:rPr>
        <w:t xml:space="preserve"> </w:t>
      </w:r>
      <w:r>
        <w:t>tightening</w:t>
      </w:r>
      <w:r>
        <w:rPr>
          <w:spacing w:val="1"/>
        </w:rPr>
        <w:t xml:space="preserve"> </w:t>
      </w:r>
      <w:r>
        <w:t>of</w:t>
      </w:r>
      <w:r>
        <w:rPr>
          <w:spacing w:val="1"/>
        </w:rPr>
        <w:t xml:space="preserve"> </w:t>
      </w:r>
      <w:r>
        <w:t>monetary</w:t>
      </w:r>
      <w:r>
        <w:rPr>
          <w:spacing w:val="1"/>
        </w:rPr>
        <w:t xml:space="preserve"> </w:t>
      </w:r>
      <w:r>
        <w:t>policies</w:t>
      </w:r>
      <w:r>
        <w:rPr>
          <w:spacing w:val="1"/>
        </w:rPr>
        <w:t xml:space="preserve"> </w:t>
      </w:r>
      <w:r>
        <w:t>in</w:t>
      </w:r>
      <w:r>
        <w:rPr>
          <w:spacing w:val="1"/>
        </w:rPr>
        <w:t xml:space="preserve"> </w:t>
      </w:r>
      <w:r>
        <w:t>the</w:t>
      </w:r>
      <w:r>
        <w:rPr>
          <w:spacing w:val="1"/>
        </w:rPr>
        <w:t xml:space="preserve"> </w:t>
      </w:r>
      <w:r>
        <w:t>world</w:t>
      </w:r>
      <w:r>
        <w:rPr>
          <w:spacing w:val="1"/>
        </w:rPr>
        <w:t xml:space="preserve"> </w:t>
      </w:r>
      <w:r>
        <w:t>have</w:t>
      </w:r>
      <w:r>
        <w:rPr>
          <w:spacing w:val="1"/>
        </w:rPr>
        <w:t xml:space="preserve"> </w:t>
      </w:r>
      <w:r>
        <w:t>an</w:t>
      </w:r>
      <w:r>
        <w:rPr>
          <w:spacing w:val="1"/>
        </w:rPr>
        <w:t xml:space="preserve"> </w:t>
      </w:r>
      <w:r>
        <w:t>extremely</w:t>
      </w:r>
      <w:r>
        <w:rPr>
          <w:spacing w:val="1"/>
        </w:rPr>
        <w:t xml:space="preserve"> </w:t>
      </w:r>
      <w:r>
        <w:t>unfavourable</w:t>
      </w:r>
      <w:r>
        <w:rPr>
          <w:spacing w:val="1"/>
        </w:rPr>
        <w:t xml:space="preserve"> </w:t>
      </w:r>
      <w:r>
        <w:t>effect</w:t>
      </w:r>
      <w:r>
        <w:rPr>
          <w:spacing w:val="1"/>
        </w:rPr>
        <w:t xml:space="preserve"> </w:t>
      </w:r>
      <w:r>
        <w:t>on</w:t>
      </w:r>
      <w:r>
        <w:rPr>
          <w:spacing w:val="1"/>
        </w:rPr>
        <w:t xml:space="preserve"> </w:t>
      </w:r>
      <w:r>
        <w:t>consumer confidence. Despite all this, the personal consumption trends across all years of the</w:t>
      </w:r>
      <w:r>
        <w:rPr>
          <w:spacing w:val="1"/>
        </w:rPr>
        <w:t xml:space="preserve"> </w:t>
      </w:r>
      <w:r>
        <w:t>observed</w:t>
      </w:r>
      <w:r>
        <w:rPr>
          <w:spacing w:val="-6"/>
        </w:rPr>
        <w:t xml:space="preserve"> </w:t>
      </w:r>
      <w:r>
        <w:t>period</w:t>
      </w:r>
      <w:r>
        <w:rPr>
          <w:spacing w:val="-3"/>
        </w:rPr>
        <w:t xml:space="preserve"> </w:t>
      </w:r>
      <w:r>
        <w:t>reflect</w:t>
      </w:r>
      <w:r>
        <w:rPr>
          <w:spacing w:val="-6"/>
        </w:rPr>
        <w:t xml:space="preserve"> </w:t>
      </w:r>
      <w:r>
        <w:t>the</w:t>
      </w:r>
      <w:r>
        <w:rPr>
          <w:spacing w:val="-6"/>
        </w:rPr>
        <w:t xml:space="preserve"> </w:t>
      </w:r>
      <w:r>
        <w:t>use</w:t>
      </w:r>
      <w:r>
        <w:rPr>
          <w:spacing w:val="-5"/>
        </w:rPr>
        <w:t xml:space="preserve"> </w:t>
      </w:r>
      <w:r>
        <w:t>again</w:t>
      </w:r>
      <w:r>
        <w:rPr>
          <w:spacing w:val="-3"/>
        </w:rPr>
        <w:t xml:space="preserve"> </w:t>
      </w:r>
      <w:r>
        <w:t>of</w:t>
      </w:r>
      <w:r>
        <w:rPr>
          <w:spacing w:val="-5"/>
        </w:rPr>
        <w:t xml:space="preserve"> </w:t>
      </w:r>
      <w:r>
        <w:t>financial</w:t>
      </w:r>
      <w:r>
        <w:rPr>
          <w:spacing w:val="-5"/>
        </w:rPr>
        <w:t xml:space="preserve"> </w:t>
      </w:r>
      <w:r>
        <w:t>leveraging</w:t>
      </w:r>
      <w:r>
        <w:rPr>
          <w:spacing w:val="-9"/>
        </w:rPr>
        <w:t xml:space="preserve"> </w:t>
      </w:r>
      <w:r>
        <w:t>in</w:t>
      </w:r>
      <w:r>
        <w:rPr>
          <w:spacing w:val="-5"/>
        </w:rPr>
        <w:t xml:space="preserve"> </w:t>
      </w:r>
      <w:r>
        <w:t>the</w:t>
      </w:r>
      <w:r>
        <w:rPr>
          <w:spacing w:val="-7"/>
        </w:rPr>
        <w:t xml:space="preserve"> </w:t>
      </w:r>
      <w:r>
        <w:t>household</w:t>
      </w:r>
      <w:r>
        <w:rPr>
          <w:spacing w:val="-5"/>
        </w:rPr>
        <w:t xml:space="preserve"> </w:t>
      </w:r>
      <w:r>
        <w:t>sector,</w:t>
      </w:r>
      <w:r>
        <w:rPr>
          <w:spacing w:val="-4"/>
        </w:rPr>
        <w:t xml:space="preserve"> </w:t>
      </w:r>
      <w:r>
        <w:t>which</w:t>
      </w:r>
      <w:r>
        <w:rPr>
          <w:spacing w:val="-5"/>
        </w:rPr>
        <w:t xml:space="preserve"> </w:t>
      </w:r>
      <w:r>
        <w:t>has</w:t>
      </w:r>
      <w:r>
        <w:rPr>
          <w:spacing w:val="-58"/>
        </w:rPr>
        <w:t xml:space="preserve"> </w:t>
      </w:r>
      <w:r>
        <w:t>undergone</w:t>
      </w:r>
      <w:r>
        <w:rPr>
          <w:spacing w:val="-2"/>
        </w:rPr>
        <w:t xml:space="preserve"> </w:t>
      </w:r>
      <w:r>
        <w:t>a</w:t>
      </w:r>
      <w:r>
        <w:rPr>
          <w:spacing w:val="-1"/>
        </w:rPr>
        <w:t xml:space="preserve"> </w:t>
      </w:r>
      <w:r>
        <w:t>significant deleveraging</w:t>
      </w:r>
      <w:r>
        <w:rPr>
          <w:spacing w:val="-2"/>
        </w:rPr>
        <w:t xml:space="preserve"> </w:t>
      </w:r>
      <w:r>
        <w:t>process over the</w:t>
      </w:r>
      <w:r>
        <w:rPr>
          <w:spacing w:val="-1"/>
        </w:rPr>
        <w:t xml:space="preserve"> </w:t>
      </w:r>
      <w:r>
        <w:t>past period.</w:t>
      </w:r>
    </w:p>
    <w:p w:rsidR="00A56FE9" w:rsidRDefault="00000000">
      <w:pPr>
        <w:pStyle w:val="Tijeloteksta"/>
        <w:spacing w:before="121"/>
        <w:ind w:right="277"/>
      </w:pPr>
      <w:r>
        <w:t>In line with the projections of fiscal categories at the general government level, the period of</w:t>
      </w:r>
      <w:r>
        <w:rPr>
          <w:spacing w:val="1"/>
        </w:rPr>
        <w:t xml:space="preserve"> </w:t>
      </w:r>
      <w:r>
        <w:t>increased costs will continue in 2022 to finance measures in alleviating inflationary pressures</w:t>
      </w:r>
      <w:r>
        <w:rPr>
          <w:spacing w:val="1"/>
        </w:rPr>
        <w:t xml:space="preserve"> </w:t>
      </w:r>
      <w:r>
        <w:t>and costs of the coronavirus pandemic. In the remaining years, no significant contribution of</w:t>
      </w:r>
      <w:r>
        <w:rPr>
          <w:spacing w:val="1"/>
        </w:rPr>
        <w:t xml:space="preserve"> </w:t>
      </w:r>
      <w:r>
        <w:t>government spending to economic growth is expected. The largest contribution to the real</w:t>
      </w:r>
      <w:r>
        <w:rPr>
          <w:spacing w:val="1"/>
        </w:rPr>
        <w:t xml:space="preserve"> </w:t>
      </w:r>
      <w:r>
        <w:t>growth</w:t>
      </w:r>
      <w:r>
        <w:rPr>
          <w:spacing w:val="-10"/>
        </w:rPr>
        <w:t xml:space="preserve"> </w:t>
      </w:r>
      <w:r>
        <w:t>from</w:t>
      </w:r>
      <w:r>
        <w:rPr>
          <w:spacing w:val="-6"/>
        </w:rPr>
        <w:t xml:space="preserve"> </w:t>
      </w:r>
      <w:r>
        <w:t>government</w:t>
      </w:r>
      <w:r>
        <w:rPr>
          <w:spacing w:val="-9"/>
        </w:rPr>
        <w:t xml:space="preserve"> </w:t>
      </w:r>
      <w:r>
        <w:t>spending</w:t>
      </w:r>
      <w:r>
        <w:rPr>
          <w:spacing w:val="-11"/>
        </w:rPr>
        <w:t xml:space="preserve"> </w:t>
      </w:r>
      <w:r>
        <w:t>throughout</w:t>
      </w:r>
      <w:r>
        <w:rPr>
          <w:spacing w:val="-8"/>
        </w:rPr>
        <w:t xml:space="preserve"> </w:t>
      </w:r>
      <w:r>
        <w:t>the</w:t>
      </w:r>
      <w:r>
        <w:rPr>
          <w:spacing w:val="-10"/>
        </w:rPr>
        <w:t xml:space="preserve"> </w:t>
      </w:r>
      <w:r>
        <w:t>forecasted</w:t>
      </w:r>
      <w:r>
        <w:rPr>
          <w:spacing w:val="-9"/>
        </w:rPr>
        <w:t xml:space="preserve"> </w:t>
      </w:r>
      <w:r>
        <w:t>period</w:t>
      </w:r>
      <w:r>
        <w:rPr>
          <w:spacing w:val="-10"/>
        </w:rPr>
        <w:t xml:space="preserve"> </w:t>
      </w:r>
      <w:r>
        <w:t>will</w:t>
      </w:r>
      <w:r>
        <w:rPr>
          <w:spacing w:val="-8"/>
        </w:rPr>
        <w:t xml:space="preserve"> </w:t>
      </w:r>
      <w:r>
        <w:t>come</w:t>
      </w:r>
      <w:r>
        <w:rPr>
          <w:spacing w:val="-10"/>
        </w:rPr>
        <w:t xml:space="preserve"> </w:t>
      </w:r>
      <w:r>
        <w:t>from</w:t>
      </w:r>
      <w:r>
        <w:rPr>
          <w:spacing w:val="-9"/>
        </w:rPr>
        <w:t xml:space="preserve"> </w:t>
      </w:r>
      <w:r>
        <w:t>the</w:t>
      </w:r>
      <w:r>
        <w:rPr>
          <w:spacing w:val="-7"/>
        </w:rPr>
        <w:t xml:space="preserve"> </w:t>
      </w:r>
      <w:r>
        <w:t>growth</w:t>
      </w:r>
      <w:r>
        <w:rPr>
          <w:spacing w:val="-58"/>
        </w:rPr>
        <w:t xml:space="preserve"> </w:t>
      </w:r>
      <w:r>
        <w:t>of</w:t>
      </w:r>
      <w:r>
        <w:rPr>
          <w:spacing w:val="-1"/>
        </w:rPr>
        <w:t xml:space="preserve"> </w:t>
      </w:r>
      <w:r>
        <w:t>intermediate consumption.</w:t>
      </w:r>
    </w:p>
    <w:p w:rsidR="00A56FE9" w:rsidRDefault="00000000">
      <w:pPr>
        <w:pStyle w:val="Tijeloteksta"/>
        <w:spacing w:before="120"/>
        <w:ind w:right="276"/>
      </w:pPr>
      <w:r>
        <w:t>Apart</w:t>
      </w:r>
      <w:r>
        <w:rPr>
          <w:spacing w:val="-7"/>
        </w:rPr>
        <w:t xml:space="preserve"> </w:t>
      </w:r>
      <w:r>
        <w:t>from</w:t>
      </w:r>
      <w:r>
        <w:rPr>
          <w:spacing w:val="-6"/>
        </w:rPr>
        <w:t xml:space="preserve"> </w:t>
      </w:r>
      <w:r>
        <w:t>the</w:t>
      </w:r>
      <w:r>
        <w:rPr>
          <w:spacing w:val="-6"/>
        </w:rPr>
        <w:t xml:space="preserve"> </w:t>
      </w:r>
      <w:r>
        <w:t>worsening</w:t>
      </w:r>
      <w:r>
        <w:rPr>
          <w:spacing w:val="-8"/>
        </w:rPr>
        <w:t xml:space="preserve"> </w:t>
      </w:r>
      <w:r>
        <w:t>trends</w:t>
      </w:r>
      <w:r>
        <w:rPr>
          <w:spacing w:val="-5"/>
        </w:rPr>
        <w:t xml:space="preserve"> </w:t>
      </w:r>
      <w:r>
        <w:t>in</w:t>
      </w:r>
      <w:r>
        <w:rPr>
          <w:spacing w:val="-5"/>
        </w:rPr>
        <w:t xml:space="preserve"> </w:t>
      </w:r>
      <w:r>
        <w:t>private</w:t>
      </w:r>
      <w:r>
        <w:rPr>
          <w:spacing w:val="-6"/>
        </w:rPr>
        <w:t xml:space="preserve"> </w:t>
      </w:r>
      <w:r>
        <w:t>sector</w:t>
      </w:r>
      <w:r>
        <w:rPr>
          <w:spacing w:val="-3"/>
        </w:rPr>
        <w:t xml:space="preserve"> </w:t>
      </w:r>
      <w:r>
        <w:t>investment</w:t>
      </w:r>
      <w:r>
        <w:rPr>
          <w:spacing w:val="-5"/>
        </w:rPr>
        <w:t xml:space="preserve"> </w:t>
      </w:r>
      <w:r>
        <w:t>at</w:t>
      </w:r>
      <w:r>
        <w:rPr>
          <w:spacing w:val="-5"/>
        </w:rPr>
        <w:t xml:space="preserve"> </w:t>
      </w:r>
      <w:r>
        <w:t>the</w:t>
      </w:r>
      <w:r>
        <w:rPr>
          <w:spacing w:val="-3"/>
        </w:rPr>
        <w:t xml:space="preserve"> </w:t>
      </w:r>
      <w:r>
        <w:t>end</w:t>
      </w:r>
      <w:r>
        <w:rPr>
          <w:spacing w:val="-5"/>
        </w:rPr>
        <w:t xml:space="preserve"> </w:t>
      </w:r>
      <w:r>
        <w:t>of</w:t>
      </w:r>
      <w:r>
        <w:rPr>
          <w:spacing w:val="-5"/>
        </w:rPr>
        <w:t xml:space="preserve"> </w:t>
      </w:r>
      <w:r>
        <w:t>2021,</w:t>
      </w:r>
      <w:r>
        <w:rPr>
          <w:spacing w:val="-5"/>
        </w:rPr>
        <w:t xml:space="preserve"> </w:t>
      </w:r>
      <w:r>
        <w:t>the</w:t>
      </w:r>
      <w:r>
        <w:rPr>
          <w:spacing w:val="-6"/>
        </w:rPr>
        <w:t xml:space="preserve"> </w:t>
      </w:r>
      <w:r>
        <w:t>previously</w:t>
      </w:r>
      <w:r>
        <w:rPr>
          <w:spacing w:val="-57"/>
        </w:rPr>
        <w:t xml:space="preserve"> </w:t>
      </w:r>
      <w:r>
        <w:t>dampened private investment trends in 2022, but partly in 2023, will be contributed by the</w:t>
      </w:r>
      <w:r>
        <w:rPr>
          <w:spacing w:val="1"/>
        </w:rPr>
        <w:t xml:space="preserve"> </w:t>
      </w:r>
      <w:r>
        <w:t>previously described high level of uncertainty concerning economic growth and inflation and</w:t>
      </w:r>
      <w:r>
        <w:rPr>
          <w:spacing w:val="1"/>
        </w:rPr>
        <w:t xml:space="preserve"> </w:t>
      </w:r>
      <w:r>
        <w:t>interest rates. In the last two years of the forecasted period, aggregate investment growth will</w:t>
      </w:r>
      <w:r>
        <w:rPr>
          <w:spacing w:val="1"/>
        </w:rPr>
        <w:t xml:space="preserve"> </w:t>
      </w:r>
      <w:r>
        <w:t>be</w:t>
      </w:r>
      <w:r>
        <w:rPr>
          <w:spacing w:val="-1"/>
        </w:rPr>
        <w:t xml:space="preserve"> </w:t>
      </w:r>
      <w:r>
        <w:t>based solely</w:t>
      </w:r>
      <w:r>
        <w:rPr>
          <w:spacing w:val="-5"/>
        </w:rPr>
        <w:t xml:space="preserve"> </w:t>
      </w:r>
      <w:r>
        <w:t>on the</w:t>
      </w:r>
      <w:r>
        <w:rPr>
          <w:spacing w:val="1"/>
        </w:rPr>
        <w:t xml:space="preserve"> </w:t>
      </w:r>
      <w:r>
        <w:t>contribution of private</w:t>
      </w:r>
      <w:r>
        <w:rPr>
          <w:spacing w:val="-1"/>
        </w:rPr>
        <w:t xml:space="preserve"> </w:t>
      </w:r>
      <w:r>
        <w:t>investment.</w:t>
      </w:r>
    </w:p>
    <w:p w:rsidR="00A56FE9" w:rsidRDefault="00000000">
      <w:pPr>
        <w:pStyle w:val="Tijeloteksta"/>
        <w:spacing w:before="121"/>
        <w:ind w:right="275"/>
      </w:pPr>
      <w:r>
        <w:t>The past</w:t>
      </w:r>
      <w:r>
        <w:rPr>
          <w:spacing w:val="1"/>
        </w:rPr>
        <w:t xml:space="preserve"> </w:t>
      </w:r>
      <w:r>
        <w:t>two pandemic</w:t>
      </w:r>
      <w:r>
        <w:rPr>
          <w:spacing w:val="1"/>
        </w:rPr>
        <w:t xml:space="preserve"> </w:t>
      </w:r>
      <w:r>
        <w:t>years have shown that</w:t>
      </w:r>
      <w:r>
        <w:rPr>
          <w:spacing w:val="1"/>
        </w:rPr>
        <w:t xml:space="preserve"> </w:t>
      </w:r>
      <w:r>
        <w:t>the improved</w:t>
      </w:r>
      <w:r>
        <w:rPr>
          <w:spacing w:val="1"/>
        </w:rPr>
        <w:t xml:space="preserve"> </w:t>
      </w:r>
      <w:r>
        <w:t>export structure and</w:t>
      </w:r>
      <w:r>
        <w:rPr>
          <w:spacing w:val="1"/>
        </w:rPr>
        <w:t xml:space="preserve"> </w:t>
      </w:r>
      <w:r>
        <w:t>better</w:t>
      </w:r>
      <w:r>
        <w:rPr>
          <w:spacing w:val="1"/>
        </w:rPr>
        <w:t xml:space="preserve"> </w:t>
      </w:r>
      <w:r>
        <w:t>involvement in European value chains in the pre-pandemic period have been important in</w:t>
      </w:r>
      <w:r>
        <w:rPr>
          <w:spacing w:val="1"/>
        </w:rPr>
        <w:t xml:space="preserve"> </w:t>
      </w:r>
      <w:r>
        <w:t>increasing the resilience of Croatian exports. Croatian merchandise exports (exports of goods)</w:t>
      </w:r>
      <w:r>
        <w:rPr>
          <w:spacing w:val="-57"/>
        </w:rPr>
        <w:t xml:space="preserve"> </w:t>
      </w:r>
      <w:r>
        <w:t>significantly exceeded the pre-crisis level and reached the highest levels historically. After a</w:t>
      </w:r>
      <w:r>
        <w:rPr>
          <w:spacing w:val="1"/>
        </w:rPr>
        <w:t xml:space="preserve"> </w:t>
      </w:r>
      <w:r>
        <w:t>marked jump in 2020, the growth of domestic share in foreign commodity markets continued</w:t>
      </w:r>
      <w:r>
        <w:rPr>
          <w:spacing w:val="1"/>
        </w:rPr>
        <w:t xml:space="preserve"> </w:t>
      </w:r>
      <w:r>
        <w:t>with similar intensity in 2021. However, in 2022, only slight positive growth in the share in</w:t>
      </w:r>
      <w:r>
        <w:rPr>
          <w:spacing w:val="1"/>
        </w:rPr>
        <w:t xml:space="preserve"> </w:t>
      </w:r>
      <w:r>
        <w:t>foreign markets is expected. By the end of the forecast period, due to the slowdown in the</w:t>
      </w:r>
      <w:r>
        <w:rPr>
          <w:spacing w:val="1"/>
        </w:rPr>
        <w:t xml:space="preserve"> </w:t>
      </w:r>
      <w:r>
        <w:t>growth of major foreign trade partners and a slight weakening of the trends in the presence on</w:t>
      </w:r>
      <w:r>
        <w:rPr>
          <w:spacing w:val="1"/>
        </w:rPr>
        <w:t xml:space="preserve"> </w:t>
      </w:r>
      <w:r>
        <w:t>export markets, as well as rising commodity prices, growth in exports of goods and services is</w:t>
      </w:r>
      <w:r>
        <w:rPr>
          <w:spacing w:val="-57"/>
        </w:rPr>
        <w:t xml:space="preserve"> </w:t>
      </w:r>
      <w:r>
        <w:t>expected</w:t>
      </w:r>
      <w:r>
        <w:rPr>
          <w:spacing w:val="-1"/>
        </w:rPr>
        <w:t xml:space="preserve"> </w:t>
      </w:r>
      <w:r>
        <w:t>at moderate</w:t>
      </w:r>
      <w:r>
        <w:rPr>
          <w:spacing w:val="-1"/>
        </w:rPr>
        <w:t xml:space="preserve"> </w:t>
      </w:r>
      <w:r>
        <w:t>and</w:t>
      </w:r>
      <w:r>
        <w:rPr>
          <w:spacing w:val="2"/>
        </w:rPr>
        <w:t xml:space="preserve"> </w:t>
      </w:r>
      <w:r>
        <w:t>slowing</w:t>
      </w:r>
      <w:r>
        <w:rPr>
          <w:spacing w:val="-3"/>
        </w:rPr>
        <w:t xml:space="preserve"> </w:t>
      </w:r>
      <w:r>
        <w:t>rates.</w:t>
      </w:r>
    </w:p>
    <w:p w:rsidR="00A56FE9" w:rsidRDefault="00000000">
      <w:pPr>
        <w:pStyle w:val="Tijeloteksta"/>
        <w:spacing w:before="120"/>
        <w:ind w:right="272"/>
      </w:pPr>
      <w:r>
        <w:t>Although, it should be pointed out that the elasticity of imports of goods and services was</w:t>
      </w:r>
      <w:r>
        <w:rPr>
          <w:spacing w:val="1"/>
        </w:rPr>
        <w:t xml:space="preserve"> </w:t>
      </w:r>
      <w:r>
        <w:t>expected to be higher than the final demand observed in 2021, given the strong growth in</w:t>
      </w:r>
      <w:r>
        <w:rPr>
          <w:spacing w:val="1"/>
        </w:rPr>
        <w:t xml:space="preserve"> </w:t>
      </w:r>
      <w:r>
        <w:t>demand and reduced capacity, the domestic economic structure is leading to strong growth in</w:t>
      </w:r>
      <w:r>
        <w:rPr>
          <w:spacing w:val="1"/>
        </w:rPr>
        <w:t xml:space="preserve"> </w:t>
      </w:r>
      <w:r>
        <w:t>imports of goods and services and continued growth in GDP. At the same time, compared to</w:t>
      </w:r>
      <w:r>
        <w:rPr>
          <w:spacing w:val="1"/>
        </w:rPr>
        <w:t xml:space="preserve"> </w:t>
      </w:r>
      <w:r>
        <w:t>imports</w:t>
      </w:r>
      <w:r>
        <w:rPr>
          <w:spacing w:val="-7"/>
        </w:rPr>
        <w:t xml:space="preserve"> </w:t>
      </w:r>
      <w:r>
        <w:t>of</w:t>
      </w:r>
      <w:r>
        <w:rPr>
          <w:spacing w:val="-7"/>
        </w:rPr>
        <w:t xml:space="preserve"> </w:t>
      </w:r>
      <w:r>
        <w:t>goods</w:t>
      </w:r>
      <w:r>
        <w:rPr>
          <w:spacing w:val="-6"/>
        </w:rPr>
        <w:t xml:space="preserve"> </w:t>
      </w:r>
      <w:r>
        <w:t>with</w:t>
      </w:r>
      <w:r>
        <w:rPr>
          <w:spacing w:val="-6"/>
        </w:rPr>
        <w:t xml:space="preserve"> </w:t>
      </w:r>
      <w:r>
        <w:t>a</w:t>
      </w:r>
      <w:r>
        <w:rPr>
          <w:spacing w:val="-7"/>
        </w:rPr>
        <w:t xml:space="preserve"> </w:t>
      </w:r>
      <w:r>
        <w:t>share</w:t>
      </w:r>
      <w:r>
        <w:rPr>
          <w:spacing w:val="-9"/>
        </w:rPr>
        <w:t xml:space="preserve"> </w:t>
      </w:r>
      <w:r>
        <w:t>in</w:t>
      </w:r>
      <w:r>
        <w:rPr>
          <w:spacing w:val="-6"/>
        </w:rPr>
        <w:t xml:space="preserve"> </w:t>
      </w:r>
      <w:r>
        <w:t>GDP</w:t>
      </w:r>
      <w:r>
        <w:rPr>
          <w:spacing w:val="-6"/>
        </w:rPr>
        <w:t xml:space="preserve"> </w:t>
      </w:r>
      <w:r>
        <w:t>which</w:t>
      </w:r>
      <w:r>
        <w:rPr>
          <w:spacing w:val="-6"/>
        </w:rPr>
        <w:t xml:space="preserve"> </w:t>
      </w:r>
      <w:r>
        <w:t>will</w:t>
      </w:r>
      <w:r>
        <w:rPr>
          <w:spacing w:val="-6"/>
        </w:rPr>
        <w:t xml:space="preserve"> </w:t>
      </w:r>
      <w:r>
        <w:t>record</w:t>
      </w:r>
      <w:r>
        <w:rPr>
          <w:spacing w:val="-7"/>
        </w:rPr>
        <w:t xml:space="preserve"> </w:t>
      </w:r>
      <w:r>
        <w:t>continuous</w:t>
      </w:r>
      <w:r>
        <w:rPr>
          <w:spacing w:val="-7"/>
        </w:rPr>
        <w:t xml:space="preserve"> </w:t>
      </w:r>
      <w:r>
        <w:t>and</w:t>
      </w:r>
      <w:r>
        <w:rPr>
          <w:spacing w:val="-6"/>
        </w:rPr>
        <w:t xml:space="preserve"> </w:t>
      </w:r>
      <w:r>
        <w:t>strong</w:t>
      </w:r>
      <w:r>
        <w:rPr>
          <w:spacing w:val="-6"/>
        </w:rPr>
        <w:t xml:space="preserve"> </w:t>
      </w:r>
      <w:r>
        <w:t>growth,</w:t>
      </w:r>
      <w:r>
        <w:rPr>
          <w:spacing w:val="-6"/>
        </w:rPr>
        <w:t xml:space="preserve"> </w:t>
      </w:r>
      <w:r>
        <w:t>imports</w:t>
      </w:r>
      <w:r>
        <w:rPr>
          <w:spacing w:val="-58"/>
        </w:rPr>
        <w:t xml:space="preserve"> </w:t>
      </w:r>
      <w:r>
        <w:t>of services are expected to undergo subdued recovery and occurring more towards the end of</w:t>
      </w:r>
      <w:r>
        <w:rPr>
          <w:spacing w:val="1"/>
        </w:rPr>
        <w:t xml:space="preserve"> </w:t>
      </w:r>
      <w:r>
        <w:t>the</w:t>
      </w:r>
      <w:r>
        <w:rPr>
          <w:spacing w:val="-1"/>
        </w:rPr>
        <w:t xml:space="preserve"> </w:t>
      </w:r>
      <w:r>
        <w:t>forecast period.</w:t>
      </w:r>
    </w:p>
    <w:p w:rsidR="00A56FE9" w:rsidRDefault="00000000">
      <w:pPr>
        <w:pStyle w:val="Tijeloteksta"/>
        <w:spacing w:before="119"/>
        <w:ind w:right="277"/>
      </w:pPr>
      <w:r>
        <w:t>In</w:t>
      </w:r>
      <w:r>
        <w:rPr>
          <w:spacing w:val="-10"/>
        </w:rPr>
        <w:t xml:space="preserve"> </w:t>
      </w:r>
      <w:r>
        <w:t>2022,</w:t>
      </w:r>
      <w:r>
        <w:rPr>
          <w:spacing w:val="-9"/>
        </w:rPr>
        <w:t xml:space="preserve"> </w:t>
      </w:r>
      <w:r>
        <w:t>consumer</w:t>
      </w:r>
      <w:r>
        <w:rPr>
          <w:spacing w:val="-9"/>
        </w:rPr>
        <w:t xml:space="preserve"> </w:t>
      </w:r>
      <w:r>
        <w:t>price</w:t>
      </w:r>
      <w:r>
        <w:rPr>
          <w:spacing w:val="-10"/>
        </w:rPr>
        <w:t xml:space="preserve"> </w:t>
      </w:r>
      <w:r>
        <w:t>inflation</w:t>
      </w:r>
      <w:r>
        <w:rPr>
          <w:spacing w:val="-9"/>
        </w:rPr>
        <w:t xml:space="preserve"> </w:t>
      </w:r>
      <w:r>
        <w:t>is</w:t>
      </w:r>
      <w:r>
        <w:rPr>
          <w:spacing w:val="-8"/>
        </w:rPr>
        <w:t xml:space="preserve"> </w:t>
      </w:r>
      <w:r>
        <w:t>expected</w:t>
      </w:r>
      <w:r>
        <w:rPr>
          <w:spacing w:val="-9"/>
        </w:rPr>
        <w:t xml:space="preserve"> </w:t>
      </w:r>
      <w:r>
        <w:t>to</w:t>
      </w:r>
      <w:r>
        <w:rPr>
          <w:spacing w:val="-8"/>
        </w:rPr>
        <w:t xml:space="preserve"> </w:t>
      </w:r>
      <w:r>
        <w:t>accelerate</w:t>
      </w:r>
      <w:r>
        <w:rPr>
          <w:spacing w:val="-9"/>
        </w:rPr>
        <w:t xml:space="preserve"> </w:t>
      </w:r>
      <w:r>
        <w:t>to</w:t>
      </w:r>
      <w:r>
        <w:rPr>
          <w:spacing w:val="-9"/>
        </w:rPr>
        <w:t xml:space="preserve"> </w:t>
      </w:r>
      <w:r>
        <w:t>7.8%.</w:t>
      </w:r>
      <w:r>
        <w:rPr>
          <w:spacing w:val="-9"/>
        </w:rPr>
        <w:t xml:space="preserve"> </w:t>
      </w:r>
      <w:r>
        <w:t>The</w:t>
      </w:r>
      <w:r>
        <w:rPr>
          <w:spacing w:val="-10"/>
        </w:rPr>
        <w:t xml:space="preserve"> </w:t>
      </w:r>
      <w:r>
        <w:t>rise</w:t>
      </w:r>
      <w:r>
        <w:rPr>
          <w:spacing w:val="-7"/>
        </w:rPr>
        <w:t xml:space="preserve"> </w:t>
      </w:r>
      <w:r>
        <w:t>in</w:t>
      </w:r>
      <w:r>
        <w:rPr>
          <w:spacing w:val="-8"/>
        </w:rPr>
        <w:t xml:space="preserve"> </w:t>
      </w:r>
      <w:r>
        <w:t>consumer</w:t>
      </w:r>
      <w:r>
        <w:rPr>
          <w:spacing w:val="-9"/>
        </w:rPr>
        <w:t xml:space="preserve"> </w:t>
      </w:r>
      <w:r>
        <w:t>prices</w:t>
      </w:r>
      <w:r>
        <w:rPr>
          <w:spacing w:val="-58"/>
        </w:rPr>
        <w:t xml:space="preserve"> </w:t>
      </w:r>
      <w:r>
        <w:t>will</w:t>
      </w:r>
      <w:r>
        <w:rPr>
          <w:spacing w:val="-1"/>
        </w:rPr>
        <w:t xml:space="preserve"> </w:t>
      </w:r>
      <w:r>
        <w:t>be</w:t>
      </w:r>
      <w:r>
        <w:rPr>
          <w:spacing w:val="-1"/>
        </w:rPr>
        <w:t xml:space="preserve"> </w:t>
      </w:r>
      <w:r>
        <w:t>strongly</w:t>
      </w:r>
      <w:r>
        <w:rPr>
          <w:spacing w:val="-6"/>
        </w:rPr>
        <w:t xml:space="preserve"> </w:t>
      </w:r>
      <w:r>
        <w:t>impacted</w:t>
      </w:r>
      <w:r>
        <w:rPr>
          <w:spacing w:val="1"/>
        </w:rPr>
        <w:t xml:space="preserve"> </w:t>
      </w:r>
      <w:r>
        <w:t>by</w:t>
      </w:r>
      <w:r>
        <w:rPr>
          <w:spacing w:val="-6"/>
        </w:rPr>
        <w:t xml:space="preserve"> </w:t>
      </w:r>
      <w:r>
        <w:t>the rise in</w:t>
      </w:r>
      <w:r>
        <w:rPr>
          <w:spacing w:val="-1"/>
        </w:rPr>
        <w:t xml:space="preserve"> </w:t>
      </w:r>
      <w:r>
        <w:t>food prices,</w:t>
      </w:r>
      <w:r>
        <w:rPr>
          <w:spacing w:val="-1"/>
        </w:rPr>
        <w:t xml:space="preserve"> </w:t>
      </w:r>
      <w:r>
        <w:t>under the</w:t>
      </w:r>
      <w:r>
        <w:rPr>
          <w:spacing w:val="-2"/>
        </w:rPr>
        <w:t xml:space="preserve"> </w:t>
      </w:r>
      <w:r>
        <w:t>influence</w:t>
      </w:r>
      <w:r>
        <w:rPr>
          <w:spacing w:val="-2"/>
        </w:rPr>
        <w:t xml:space="preserve"> </w:t>
      </w:r>
      <w:r>
        <w:t>of rising</w:t>
      </w:r>
      <w:r>
        <w:rPr>
          <w:spacing w:val="-4"/>
        </w:rPr>
        <w:t xml:space="preserve"> </w:t>
      </w:r>
      <w:r>
        <w:t>oil prices</w:t>
      </w:r>
      <w:r>
        <w:rPr>
          <w:spacing w:val="-1"/>
        </w:rPr>
        <w:t xml:space="preserve"> </w:t>
      </w:r>
      <w:r>
        <w:t>and</w:t>
      </w:r>
      <w:r>
        <w:rPr>
          <w:spacing w:val="-57"/>
        </w:rPr>
        <w:t xml:space="preserve"> </w:t>
      </w:r>
      <w:r>
        <w:t>the cost of other inputs in agricultural production and food price trends in the global and EU</w:t>
      </w:r>
      <w:r>
        <w:rPr>
          <w:spacing w:val="1"/>
        </w:rPr>
        <w:t xml:space="preserve"> </w:t>
      </w:r>
      <w:r>
        <w:t>markets. The increase in food prices will be mitigated by reducing the VAT rate on certain</w:t>
      </w:r>
      <w:r>
        <w:rPr>
          <w:spacing w:val="1"/>
        </w:rPr>
        <w:t xml:space="preserve"> </w:t>
      </w:r>
      <w:r>
        <w:t>categories of food products. In 2023, consumer price inflation will slow to 3.7% due to lower</w:t>
      </w:r>
      <w:r>
        <w:rPr>
          <w:spacing w:val="1"/>
        </w:rPr>
        <w:t xml:space="preserve"> </w:t>
      </w:r>
      <w:r>
        <w:t>prices of energy and other raw materials on the world market and the diminishing base effects</w:t>
      </w:r>
      <w:r>
        <w:rPr>
          <w:spacing w:val="-57"/>
        </w:rPr>
        <w:t xml:space="preserve"> </w:t>
      </w:r>
      <w:r>
        <w:t>of price growth in 2022, including increases in gas and electricity prices. Inflation rates will</w:t>
      </w:r>
      <w:r>
        <w:rPr>
          <w:spacing w:val="1"/>
        </w:rPr>
        <w:t xml:space="preserve"> </w:t>
      </w:r>
      <w:r>
        <w:t>also</w:t>
      </w:r>
      <w:r>
        <w:rPr>
          <w:spacing w:val="-8"/>
        </w:rPr>
        <w:t xml:space="preserve"> </w:t>
      </w:r>
      <w:r>
        <w:t>be</w:t>
      </w:r>
      <w:r>
        <w:rPr>
          <w:spacing w:val="-6"/>
        </w:rPr>
        <w:t xml:space="preserve"> </w:t>
      </w:r>
      <w:r>
        <w:t>affected</w:t>
      </w:r>
      <w:r>
        <w:rPr>
          <w:spacing w:val="-6"/>
        </w:rPr>
        <w:t xml:space="preserve"> </w:t>
      </w:r>
      <w:r>
        <w:t>by</w:t>
      </w:r>
      <w:r>
        <w:rPr>
          <w:spacing w:val="-12"/>
        </w:rPr>
        <w:t xml:space="preserve"> </w:t>
      </w:r>
      <w:r>
        <w:t>the</w:t>
      </w:r>
      <w:r>
        <w:rPr>
          <w:spacing w:val="-7"/>
        </w:rPr>
        <w:t xml:space="preserve"> </w:t>
      </w:r>
      <w:r>
        <w:t>slowdown</w:t>
      </w:r>
      <w:r>
        <w:rPr>
          <w:spacing w:val="-8"/>
        </w:rPr>
        <w:t xml:space="preserve"> </w:t>
      </w:r>
      <w:r>
        <w:t>in</w:t>
      </w:r>
      <w:r>
        <w:rPr>
          <w:spacing w:val="-7"/>
        </w:rPr>
        <w:t xml:space="preserve"> </w:t>
      </w:r>
      <w:r>
        <w:t>EU</w:t>
      </w:r>
      <w:r>
        <w:rPr>
          <w:spacing w:val="-6"/>
        </w:rPr>
        <w:t xml:space="preserve"> </w:t>
      </w:r>
      <w:r>
        <w:t>inflation</w:t>
      </w:r>
      <w:r>
        <w:rPr>
          <w:spacing w:val="-5"/>
        </w:rPr>
        <w:t xml:space="preserve"> </w:t>
      </w:r>
      <w:r>
        <w:t>and</w:t>
      </w:r>
      <w:r>
        <w:rPr>
          <w:spacing w:val="-9"/>
        </w:rPr>
        <w:t xml:space="preserve"> </w:t>
      </w:r>
      <w:r>
        <w:t>the</w:t>
      </w:r>
      <w:r>
        <w:rPr>
          <w:spacing w:val="-6"/>
        </w:rPr>
        <w:t xml:space="preserve"> </w:t>
      </w:r>
      <w:r>
        <w:t>expected</w:t>
      </w:r>
      <w:r>
        <w:rPr>
          <w:spacing w:val="-8"/>
        </w:rPr>
        <w:t xml:space="preserve"> </w:t>
      </w:r>
      <w:r>
        <w:t>easing</w:t>
      </w:r>
      <w:r>
        <w:rPr>
          <w:spacing w:val="-10"/>
        </w:rPr>
        <w:t xml:space="preserve"> </w:t>
      </w:r>
      <w:r>
        <w:t>of</w:t>
      </w:r>
      <w:r>
        <w:rPr>
          <w:spacing w:val="-8"/>
        </w:rPr>
        <w:t xml:space="preserve"> </w:t>
      </w:r>
      <w:r>
        <w:t>pressures</w:t>
      </w:r>
      <w:r>
        <w:rPr>
          <w:spacing w:val="-8"/>
        </w:rPr>
        <w:t xml:space="preserve"> </w:t>
      </w:r>
      <w:r>
        <w:t>in</w:t>
      </w:r>
      <w:r>
        <w:rPr>
          <w:spacing w:val="-5"/>
        </w:rPr>
        <w:t xml:space="preserve"> </w:t>
      </w:r>
      <w:r>
        <w:t>global</w:t>
      </w:r>
      <w:r>
        <w:rPr>
          <w:spacing w:val="-57"/>
        </w:rPr>
        <w:t xml:space="preserve"> </w:t>
      </w:r>
      <w:r>
        <w:t>supply</w:t>
      </w:r>
      <w:r>
        <w:rPr>
          <w:spacing w:val="8"/>
        </w:rPr>
        <w:t xml:space="preserve"> </w:t>
      </w:r>
      <w:r>
        <w:t>chains.</w:t>
      </w:r>
      <w:r>
        <w:rPr>
          <w:spacing w:val="13"/>
        </w:rPr>
        <w:t xml:space="preserve"> </w:t>
      </w:r>
      <w:r>
        <w:t>Consequently,</w:t>
      </w:r>
      <w:r>
        <w:rPr>
          <w:spacing w:val="14"/>
        </w:rPr>
        <w:t xml:space="preserve"> </w:t>
      </w:r>
      <w:r>
        <w:t>the</w:t>
      </w:r>
      <w:r>
        <w:rPr>
          <w:spacing w:val="12"/>
        </w:rPr>
        <w:t xml:space="preserve"> </w:t>
      </w:r>
      <w:r>
        <w:t>identified</w:t>
      </w:r>
      <w:r>
        <w:rPr>
          <w:spacing w:val="14"/>
        </w:rPr>
        <w:t xml:space="preserve"> </w:t>
      </w:r>
      <w:r>
        <w:t>lower</w:t>
      </w:r>
      <w:r>
        <w:rPr>
          <w:spacing w:val="14"/>
        </w:rPr>
        <w:t xml:space="preserve"> </w:t>
      </w:r>
      <w:r>
        <w:t>contribution</w:t>
      </w:r>
      <w:r>
        <w:rPr>
          <w:spacing w:val="13"/>
        </w:rPr>
        <w:t xml:space="preserve"> </w:t>
      </w:r>
      <w:r>
        <w:t>to</w:t>
      </w:r>
      <w:r>
        <w:rPr>
          <w:spacing w:val="14"/>
        </w:rPr>
        <w:t xml:space="preserve"> </w:t>
      </w:r>
      <w:r>
        <w:t>inflation</w:t>
      </w:r>
      <w:r>
        <w:rPr>
          <w:spacing w:val="10"/>
        </w:rPr>
        <w:t xml:space="preserve"> </w:t>
      </w:r>
      <w:r>
        <w:t>in</w:t>
      </w:r>
      <w:r>
        <w:rPr>
          <w:spacing w:val="14"/>
        </w:rPr>
        <w:t xml:space="preserve"> </w:t>
      </w:r>
      <w:r>
        <w:t>2023</w:t>
      </w:r>
      <w:r>
        <w:rPr>
          <w:spacing w:val="13"/>
        </w:rPr>
        <w:t xml:space="preserve"> </w:t>
      </w:r>
      <w:r>
        <w:t>will</w:t>
      </w:r>
      <w:r>
        <w:rPr>
          <w:spacing w:val="12"/>
        </w:rPr>
        <w:t xml:space="preserve"> </w:t>
      </w:r>
      <w:r>
        <w:t>come</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7"/>
      </w:pPr>
      <w:r>
        <w:t>from energy and food prices, while consumer prices without energy and food are expected to</w:t>
      </w:r>
      <w:r>
        <w:rPr>
          <w:spacing w:val="1"/>
        </w:rPr>
        <w:t xml:space="preserve"> </w:t>
      </w:r>
      <w:r>
        <w:t>maintain</w:t>
      </w:r>
      <w:r>
        <w:rPr>
          <w:spacing w:val="-4"/>
        </w:rPr>
        <w:t xml:space="preserve"> </w:t>
      </w:r>
      <w:r>
        <w:t>slightly</w:t>
      </w:r>
      <w:r>
        <w:rPr>
          <w:spacing w:val="-9"/>
        </w:rPr>
        <w:t xml:space="preserve"> </w:t>
      </w:r>
      <w:r>
        <w:t>higher growth</w:t>
      </w:r>
      <w:r>
        <w:rPr>
          <w:spacing w:val="-4"/>
        </w:rPr>
        <w:t xml:space="preserve"> </w:t>
      </w:r>
      <w:r>
        <w:t>trends,</w:t>
      </w:r>
      <w:r>
        <w:rPr>
          <w:spacing w:val="-4"/>
        </w:rPr>
        <w:t xml:space="preserve"> </w:t>
      </w:r>
      <w:r>
        <w:t>though</w:t>
      </w:r>
      <w:r>
        <w:rPr>
          <w:spacing w:val="-3"/>
        </w:rPr>
        <w:t xml:space="preserve"> </w:t>
      </w:r>
      <w:r>
        <w:t>still</w:t>
      </w:r>
      <w:r>
        <w:rPr>
          <w:spacing w:val="-3"/>
        </w:rPr>
        <w:t xml:space="preserve"> </w:t>
      </w:r>
      <w:r>
        <w:t>marginally</w:t>
      </w:r>
      <w:r>
        <w:rPr>
          <w:spacing w:val="-11"/>
        </w:rPr>
        <w:t xml:space="preserve"> </w:t>
      </w:r>
      <w:r>
        <w:t>less</w:t>
      </w:r>
      <w:r>
        <w:rPr>
          <w:spacing w:val="-2"/>
        </w:rPr>
        <w:t xml:space="preserve"> </w:t>
      </w:r>
      <w:r>
        <w:t>than</w:t>
      </w:r>
      <w:r>
        <w:rPr>
          <w:spacing w:val="-4"/>
        </w:rPr>
        <w:t xml:space="preserve"> </w:t>
      </w:r>
      <w:r>
        <w:t>2022.</w:t>
      </w:r>
      <w:r>
        <w:rPr>
          <w:spacing w:val="-1"/>
        </w:rPr>
        <w:t xml:space="preserve"> </w:t>
      </w:r>
      <w:r>
        <w:t>In</w:t>
      </w:r>
      <w:r>
        <w:rPr>
          <w:spacing w:val="-3"/>
        </w:rPr>
        <w:t xml:space="preserve"> </w:t>
      </w:r>
      <w:r>
        <w:t>the</w:t>
      </w:r>
      <w:r>
        <w:rPr>
          <w:spacing w:val="-4"/>
        </w:rPr>
        <w:t xml:space="preserve"> </w:t>
      </w:r>
      <w:r>
        <w:t>rest</w:t>
      </w:r>
      <w:r>
        <w:rPr>
          <w:spacing w:val="-3"/>
        </w:rPr>
        <w:t xml:space="preserve"> </w:t>
      </w:r>
      <w:r>
        <w:t>of</w:t>
      </w:r>
      <w:r>
        <w:rPr>
          <w:spacing w:val="-4"/>
        </w:rPr>
        <w:t xml:space="preserve"> </w:t>
      </w:r>
      <w:r>
        <w:t>the</w:t>
      </w:r>
      <w:r>
        <w:rPr>
          <w:spacing w:val="-58"/>
        </w:rPr>
        <w:t xml:space="preserve"> </w:t>
      </w:r>
      <w:r>
        <w:t>forecast period, inflation is expected to stabilise at significantly lower levels compared to the</w:t>
      </w:r>
      <w:r>
        <w:rPr>
          <w:spacing w:val="1"/>
        </w:rPr>
        <w:t xml:space="preserve"> </w:t>
      </w:r>
      <w:r>
        <w:t>first two years of the forecast period. Hence, in 2024 and 2025, an average inflation rate of</w:t>
      </w:r>
      <w:r>
        <w:rPr>
          <w:spacing w:val="1"/>
        </w:rPr>
        <w:t xml:space="preserve"> </w:t>
      </w:r>
      <w:r>
        <w:t>2.5%</w:t>
      </w:r>
      <w:r>
        <w:rPr>
          <w:spacing w:val="-2"/>
        </w:rPr>
        <w:t xml:space="preserve"> </w:t>
      </w:r>
      <w:r>
        <w:t>and 2.2%, respectively, is expected.</w:t>
      </w:r>
    </w:p>
    <w:p w:rsidR="00A56FE9" w:rsidRDefault="00000000">
      <w:pPr>
        <w:pStyle w:val="Tijeloteksta"/>
        <w:spacing w:before="121"/>
        <w:ind w:right="275"/>
      </w:pPr>
      <w:r>
        <w:t>Economic growth in the coming years is expected to lead to an increase in the number of</w:t>
      </w:r>
      <w:r>
        <w:rPr>
          <w:spacing w:val="1"/>
        </w:rPr>
        <w:t xml:space="preserve"> </w:t>
      </w:r>
      <w:r>
        <w:t>employees at a rate of 2.8% in 2022, and slowing to 1.5% in 2023, 1.1% in 2024 and 0.9% in</w:t>
      </w:r>
      <w:r>
        <w:rPr>
          <w:spacing w:val="1"/>
        </w:rPr>
        <w:t xml:space="preserve"> </w:t>
      </w:r>
      <w:r>
        <w:t>the last year of the forecast period. In 2022, the LFS unemployment rate is expected to fall to</w:t>
      </w:r>
      <w:r>
        <w:rPr>
          <w:spacing w:val="1"/>
        </w:rPr>
        <w:t xml:space="preserve"> </w:t>
      </w:r>
      <w:r>
        <w:t>6.3%, after which it will continue to decline to record lows in the last two years of the forecast</w:t>
      </w:r>
      <w:r>
        <w:rPr>
          <w:spacing w:val="-57"/>
        </w:rPr>
        <w:t xml:space="preserve"> </w:t>
      </w:r>
      <w:r>
        <w:t>period.</w:t>
      </w:r>
      <w:r>
        <w:rPr>
          <w:spacing w:val="1"/>
        </w:rPr>
        <w:t xml:space="preserve"> </w:t>
      </w:r>
      <w:r>
        <w:t>This</w:t>
      </w:r>
      <w:r>
        <w:rPr>
          <w:spacing w:val="1"/>
        </w:rPr>
        <w:t xml:space="preserve"> </w:t>
      </w:r>
      <w:r>
        <w:t>macroeconomic</w:t>
      </w:r>
      <w:r>
        <w:rPr>
          <w:spacing w:val="1"/>
        </w:rPr>
        <w:t xml:space="preserve"> </w:t>
      </w:r>
      <w:r>
        <w:t>scenario</w:t>
      </w:r>
      <w:r>
        <w:rPr>
          <w:spacing w:val="1"/>
        </w:rPr>
        <w:t xml:space="preserve"> </w:t>
      </w:r>
      <w:r>
        <w:t>assumes</w:t>
      </w:r>
      <w:r>
        <w:rPr>
          <w:spacing w:val="1"/>
        </w:rPr>
        <w:t xml:space="preserve"> </w:t>
      </w:r>
      <w:r>
        <w:t>undertaking</w:t>
      </w:r>
      <w:r>
        <w:rPr>
          <w:spacing w:val="1"/>
        </w:rPr>
        <w:t xml:space="preserve"> </w:t>
      </w:r>
      <w:r>
        <w:t>further</w:t>
      </w:r>
      <w:r>
        <w:rPr>
          <w:spacing w:val="1"/>
        </w:rPr>
        <w:t xml:space="preserve"> </w:t>
      </w:r>
      <w:r>
        <w:t>planned</w:t>
      </w:r>
      <w:r>
        <w:rPr>
          <w:spacing w:val="1"/>
        </w:rPr>
        <w:t xml:space="preserve"> </w:t>
      </w:r>
      <w:r>
        <w:t>immigration</w:t>
      </w:r>
      <w:r>
        <w:rPr>
          <w:spacing w:val="1"/>
        </w:rPr>
        <w:t xml:space="preserve"> </w:t>
      </w:r>
      <w:r>
        <w:t>through a system defined by new legal provisions on importing labour (workers), which</w:t>
      </w:r>
      <w:r>
        <w:rPr>
          <w:spacing w:val="1"/>
        </w:rPr>
        <w:t xml:space="preserve"> </w:t>
      </w:r>
      <w:r>
        <w:t>introduced a labour market test instead of a quota system. In line with the expected trend in</w:t>
      </w:r>
      <w:r>
        <w:rPr>
          <w:spacing w:val="1"/>
        </w:rPr>
        <w:t xml:space="preserve"> </w:t>
      </w:r>
      <w:r>
        <w:t>labour</w:t>
      </w:r>
      <w:r>
        <w:rPr>
          <w:spacing w:val="-2"/>
        </w:rPr>
        <w:t xml:space="preserve"> </w:t>
      </w:r>
      <w:r>
        <w:t>demand</w:t>
      </w:r>
      <w:r>
        <w:rPr>
          <w:spacing w:val="-1"/>
        </w:rPr>
        <w:t xml:space="preserve"> </w:t>
      </w:r>
      <w:r>
        <w:t>and</w:t>
      </w:r>
      <w:r>
        <w:rPr>
          <w:spacing w:val="-2"/>
        </w:rPr>
        <w:t xml:space="preserve"> </w:t>
      </w:r>
      <w:r>
        <w:t>persistent</w:t>
      </w:r>
      <w:r>
        <w:rPr>
          <w:spacing w:val="-1"/>
        </w:rPr>
        <w:t xml:space="preserve"> </w:t>
      </w:r>
      <w:r>
        <w:t>labour</w:t>
      </w:r>
      <w:r>
        <w:rPr>
          <w:spacing w:val="-2"/>
        </w:rPr>
        <w:t xml:space="preserve"> </w:t>
      </w:r>
      <w:r>
        <w:t>shortages</w:t>
      </w:r>
      <w:r>
        <w:rPr>
          <w:spacing w:val="-2"/>
        </w:rPr>
        <w:t xml:space="preserve"> </w:t>
      </w:r>
      <w:r>
        <w:t>and</w:t>
      </w:r>
      <w:r>
        <w:rPr>
          <w:spacing w:val="-1"/>
        </w:rPr>
        <w:t xml:space="preserve"> </w:t>
      </w:r>
      <w:r>
        <w:t>inflation,</w:t>
      </w:r>
      <w:r>
        <w:rPr>
          <w:spacing w:val="-2"/>
        </w:rPr>
        <w:t xml:space="preserve"> </w:t>
      </w:r>
      <w:r>
        <w:t>nominal</w:t>
      </w:r>
      <w:r>
        <w:rPr>
          <w:spacing w:val="-1"/>
        </w:rPr>
        <w:t xml:space="preserve"> </w:t>
      </w:r>
      <w:r>
        <w:t>growth</w:t>
      </w:r>
      <w:r>
        <w:rPr>
          <w:spacing w:val="-1"/>
        </w:rPr>
        <w:t xml:space="preserve"> </w:t>
      </w:r>
      <w:r>
        <w:t>in</w:t>
      </w:r>
      <w:r>
        <w:rPr>
          <w:spacing w:val="-2"/>
        </w:rPr>
        <w:t xml:space="preserve"> </w:t>
      </w:r>
      <w:r>
        <w:t>gross</w:t>
      </w:r>
      <w:r>
        <w:rPr>
          <w:spacing w:val="-1"/>
        </w:rPr>
        <w:t xml:space="preserve"> </w:t>
      </w:r>
      <w:r>
        <w:t>wages</w:t>
      </w:r>
      <w:r>
        <w:rPr>
          <w:spacing w:val="-1"/>
        </w:rPr>
        <w:t xml:space="preserve"> </w:t>
      </w:r>
      <w:r>
        <w:t>is</w:t>
      </w:r>
      <w:r>
        <w:rPr>
          <w:spacing w:val="-58"/>
        </w:rPr>
        <w:t xml:space="preserve"> </w:t>
      </w:r>
      <w:r>
        <w:t>expected to accelerate to 6.3% in 2022, which will then slow to an average of 3.6% in the</w:t>
      </w:r>
      <w:r>
        <w:rPr>
          <w:spacing w:val="1"/>
        </w:rPr>
        <w:t xml:space="preserve"> </w:t>
      </w:r>
      <w:r>
        <w:t>remaining</w:t>
      </w:r>
      <w:r>
        <w:rPr>
          <w:spacing w:val="-1"/>
        </w:rPr>
        <w:t xml:space="preserve"> </w:t>
      </w:r>
      <w:r>
        <w:t>forecast period.</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1"/>
        <w:numPr>
          <w:ilvl w:val="0"/>
          <w:numId w:val="8"/>
        </w:numPr>
        <w:tabs>
          <w:tab w:val="left" w:pos="706"/>
        </w:tabs>
        <w:ind w:left="705" w:hanging="568"/>
      </w:pPr>
      <w:bookmarkStart w:id="2" w:name="_bookmark2"/>
      <w:bookmarkEnd w:id="2"/>
      <w:r>
        <w:rPr>
          <w:color w:val="003399"/>
          <w:spacing w:val="-1"/>
        </w:rPr>
        <w:t>Key</w:t>
      </w:r>
      <w:r>
        <w:rPr>
          <w:color w:val="003399"/>
          <w:spacing w:val="-12"/>
        </w:rPr>
        <w:t xml:space="preserve"> </w:t>
      </w:r>
      <w:r>
        <w:rPr>
          <w:color w:val="003399"/>
          <w:spacing w:val="-1"/>
        </w:rPr>
        <w:t>answers</w:t>
      </w:r>
      <w:r>
        <w:rPr>
          <w:color w:val="003399"/>
          <w:spacing w:val="-12"/>
        </w:rPr>
        <w:t xml:space="preserve"> </w:t>
      </w:r>
      <w:r>
        <w:rPr>
          <w:color w:val="003399"/>
          <w:spacing w:val="-1"/>
        </w:rPr>
        <w:t>to</w:t>
      </w:r>
      <w:r>
        <w:rPr>
          <w:color w:val="003399"/>
          <w:spacing w:val="-17"/>
        </w:rPr>
        <w:t xml:space="preserve"> </w:t>
      </w:r>
      <w:r>
        <w:rPr>
          <w:color w:val="003399"/>
          <w:spacing w:val="-1"/>
        </w:rPr>
        <w:t>economic</w:t>
      </w:r>
      <w:r>
        <w:rPr>
          <w:color w:val="003399"/>
          <w:spacing w:val="-14"/>
        </w:rPr>
        <w:t xml:space="preserve"> </w:t>
      </w:r>
      <w:r>
        <w:rPr>
          <w:color w:val="003399"/>
          <w:spacing w:val="-1"/>
        </w:rPr>
        <w:t>and</w:t>
      </w:r>
      <w:r>
        <w:rPr>
          <w:color w:val="003399"/>
          <w:spacing w:val="-13"/>
        </w:rPr>
        <w:t xml:space="preserve"> </w:t>
      </w:r>
      <w:r>
        <w:rPr>
          <w:color w:val="003399"/>
          <w:spacing w:val="-1"/>
        </w:rPr>
        <w:t>social</w:t>
      </w:r>
      <w:r>
        <w:rPr>
          <w:color w:val="003399"/>
          <w:spacing w:val="-11"/>
        </w:rPr>
        <w:t xml:space="preserve"> </w:t>
      </w:r>
      <w:r>
        <w:rPr>
          <w:color w:val="003399"/>
          <w:spacing w:val="-1"/>
        </w:rPr>
        <w:t>trends</w:t>
      </w:r>
      <w:r>
        <w:rPr>
          <w:color w:val="003399"/>
          <w:spacing w:val="-14"/>
        </w:rPr>
        <w:t xml:space="preserve"> </w:t>
      </w:r>
      <w:r>
        <w:rPr>
          <w:color w:val="003399"/>
          <w:spacing w:val="-1"/>
        </w:rPr>
        <w:t>and</w:t>
      </w:r>
      <w:r>
        <w:rPr>
          <w:color w:val="003399"/>
          <w:spacing w:val="-13"/>
        </w:rPr>
        <w:t xml:space="preserve"> </w:t>
      </w:r>
      <w:r>
        <w:rPr>
          <w:color w:val="003399"/>
          <w:spacing w:val="-1"/>
        </w:rPr>
        <w:t>challenges</w:t>
      </w:r>
    </w:p>
    <w:p w:rsidR="00A56FE9" w:rsidRDefault="00000000">
      <w:pPr>
        <w:pStyle w:val="Naslov2"/>
        <w:numPr>
          <w:ilvl w:val="0"/>
          <w:numId w:val="7"/>
        </w:numPr>
        <w:tabs>
          <w:tab w:val="left" w:pos="423"/>
        </w:tabs>
        <w:spacing w:before="251"/>
        <w:ind w:hanging="285"/>
        <w:jc w:val="both"/>
      </w:pPr>
      <w:bookmarkStart w:id="3" w:name="_bookmark3"/>
      <w:bookmarkEnd w:id="3"/>
      <w:r>
        <w:t>–</w:t>
      </w:r>
      <w:r>
        <w:rPr>
          <w:spacing w:val="-2"/>
        </w:rPr>
        <w:t xml:space="preserve"> </w:t>
      </w:r>
      <w:r>
        <w:t>ECONOMY</w:t>
      </w:r>
    </w:p>
    <w:p w:rsidR="00A56FE9" w:rsidRDefault="00A56FE9">
      <w:pPr>
        <w:pStyle w:val="Tijeloteksta"/>
        <w:spacing w:before="9"/>
        <w:ind w:left="0"/>
        <w:jc w:val="left"/>
        <w:rPr>
          <w:b/>
          <w:sz w:val="39"/>
        </w:rPr>
      </w:pPr>
    </w:p>
    <w:p w:rsidR="00A56FE9" w:rsidRDefault="00000000">
      <w:pPr>
        <w:pStyle w:val="Naslov3"/>
        <w:spacing w:before="1"/>
      </w:pPr>
      <w:bookmarkStart w:id="4" w:name="_bookmark4"/>
      <w:bookmarkEnd w:id="4"/>
      <w:r>
        <w:rPr>
          <w:rFonts w:ascii="Times New Roman"/>
          <w:b/>
          <w:color w:val="2C398A"/>
          <w:spacing w:val="-1"/>
        </w:rPr>
        <w:t xml:space="preserve">C1.1. </w:t>
      </w:r>
      <w:r>
        <w:rPr>
          <w:color w:val="003399"/>
          <w:spacing w:val="-1"/>
        </w:rPr>
        <w:t>Resilient,</w:t>
      </w:r>
      <w:r>
        <w:rPr>
          <w:color w:val="003399"/>
          <w:spacing w:val="-13"/>
        </w:rPr>
        <w:t xml:space="preserve"> </w:t>
      </w:r>
      <w:r>
        <w:rPr>
          <w:color w:val="003399"/>
        </w:rPr>
        <w:t>Green</w:t>
      </w:r>
      <w:r>
        <w:rPr>
          <w:color w:val="003399"/>
          <w:spacing w:val="-13"/>
        </w:rPr>
        <w:t xml:space="preserve"> </w:t>
      </w:r>
      <w:r>
        <w:rPr>
          <w:color w:val="003399"/>
        </w:rPr>
        <w:t>and</w:t>
      </w:r>
      <w:r>
        <w:rPr>
          <w:color w:val="003399"/>
          <w:spacing w:val="-16"/>
        </w:rPr>
        <w:t xml:space="preserve"> </w:t>
      </w:r>
      <w:r>
        <w:rPr>
          <w:color w:val="003399"/>
        </w:rPr>
        <w:t>Digital</w:t>
      </w:r>
      <w:r>
        <w:rPr>
          <w:color w:val="003399"/>
          <w:spacing w:val="-14"/>
        </w:rPr>
        <w:t xml:space="preserve"> </w:t>
      </w:r>
      <w:r>
        <w:rPr>
          <w:color w:val="003399"/>
        </w:rPr>
        <w:t>Economy</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31200" behindDoc="0" locked="0" layoutInCell="1" allowOverlap="1">
                <wp:simplePos x="0" y="0"/>
                <wp:positionH relativeFrom="page">
                  <wp:posOffset>814070</wp:posOffset>
                </wp:positionH>
                <wp:positionV relativeFrom="paragraph">
                  <wp:posOffset>-77470</wp:posOffset>
                </wp:positionV>
                <wp:extent cx="18415" cy="341630"/>
                <wp:effectExtent l="0" t="0" r="0" b="0"/>
                <wp:wrapNone/>
                <wp:docPr id="1897099725" name="Rectangle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16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218C6" id="Rectangle 338" o:spid="_x0000_s1026" style="position:absolute;margin-left:64.1pt;margin-top:-6.1pt;width:1.45pt;height:26.9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" fillcolor="#da1f2c" stroked="f">
                <w10:wrap anchorx="page"/>
              </v:rect>
            </w:pict>
          </mc:Fallback>
        </mc:AlternateContent>
      </w:r>
      <w:r w:rsidR="00000000">
        <w:rPr>
          <w:color w:val="2C398A"/>
        </w:rPr>
        <w:t>Stimulating</w:t>
      </w:r>
      <w:r w:rsidR="00000000">
        <w:rPr>
          <w:color w:val="2C398A"/>
          <w:spacing w:val="-4"/>
        </w:rPr>
        <w:t xml:space="preserve"> </w:t>
      </w:r>
      <w:r w:rsidR="00000000">
        <w:rPr>
          <w:color w:val="2C398A"/>
        </w:rPr>
        <w:t>investments</w:t>
      </w:r>
      <w:r w:rsidR="00000000">
        <w:rPr>
          <w:color w:val="2C398A"/>
          <w:spacing w:val="-3"/>
        </w:rPr>
        <w:t xml:space="preserve"> </w:t>
      </w:r>
      <w:r w:rsidR="00000000">
        <w:rPr>
          <w:color w:val="2C398A"/>
        </w:rPr>
        <w:t>and</w:t>
      </w:r>
      <w:r w:rsidR="00000000">
        <w:rPr>
          <w:color w:val="2C398A"/>
          <w:spacing w:val="-1"/>
        </w:rPr>
        <w:t xml:space="preserve"> </w:t>
      </w:r>
      <w:r w:rsidR="00000000">
        <w:rPr>
          <w:color w:val="2C398A"/>
        </w:rPr>
        <w:t>productivity</w:t>
      </w:r>
    </w:p>
    <w:p w:rsidR="00A56FE9" w:rsidRDefault="00000000">
      <w:pPr>
        <w:spacing w:before="231"/>
        <w:ind w:left="138" w:right="272"/>
        <w:jc w:val="both"/>
        <w:rPr>
          <w:i/>
          <w:sz w:val="24"/>
        </w:rPr>
      </w:pPr>
      <w:r>
        <w:rPr>
          <w:i/>
          <w:color w:val="2C398A"/>
          <w:sz w:val="24"/>
        </w:rPr>
        <w:t>2019.CSR3.1.</w:t>
      </w:r>
      <w:r>
        <w:rPr>
          <w:i/>
          <w:color w:val="2C398A"/>
          <w:spacing w:val="1"/>
          <w:sz w:val="24"/>
        </w:rPr>
        <w:t xml:space="preserve"> </w:t>
      </w:r>
      <w:r>
        <w:rPr>
          <w:i/>
          <w:color w:val="2C398A"/>
          <w:sz w:val="24"/>
        </w:rPr>
        <w:t>Focus</w:t>
      </w:r>
      <w:r>
        <w:rPr>
          <w:i/>
          <w:color w:val="2C398A"/>
          <w:spacing w:val="1"/>
          <w:sz w:val="24"/>
        </w:rPr>
        <w:t xml:space="preserve"> </w:t>
      </w:r>
      <w:r>
        <w:rPr>
          <w:i/>
          <w:color w:val="2C398A"/>
          <w:sz w:val="24"/>
        </w:rPr>
        <w:t>investment-related</w:t>
      </w:r>
      <w:r>
        <w:rPr>
          <w:i/>
          <w:color w:val="2C398A"/>
          <w:spacing w:val="1"/>
          <w:sz w:val="24"/>
        </w:rPr>
        <w:t xml:space="preserve"> </w:t>
      </w:r>
      <w:r>
        <w:rPr>
          <w:i/>
          <w:color w:val="2C398A"/>
          <w:sz w:val="24"/>
        </w:rPr>
        <w:t>economic</w:t>
      </w:r>
      <w:r>
        <w:rPr>
          <w:i/>
          <w:color w:val="2C398A"/>
          <w:spacing w:val="1"/>
          <w:sz w:val="24"/>
        </w:rPr>
        <w:t xml:space="preserve"> </w:t>
      </w:r>
      <w:r>
        <w:rPr>
          <w:i/>
          <w:color w:val="2C398A"/>
          <w:sz w:val="24"/>
        </w:rPr>
        <w:t>policy</w:t>
      </w:r>
      <w:r>
        <w:rPr>
          <w:i/>
          <w:color w:val="2C398A"/>
          <w:spacing w:val="1"/>
          <w:sz w:val="24"/>
        </w:rPr>
        <w:t xml:space="preserve"> </w:t>
      </w:r>
      <w:r>
        <w:rPr>
          <w:i/>
          <w:color w:val="2C398A"/>
          <w:sz w:val="24"/>
        </w:rPr>
        <w:t>on</w:t>
      </w:r>
      <w:r>
        <w:rPr>
          <w:i/>
          <w:color w:val="2C398A"/>
          <w:spacing w:val="1"/>
          <w:sz w:val="24"/>
        </w:rPr>
        <w:t xml:space="preserve"> </w:t>
      </w:r>
      <w:r>
        <w:rPr>
          <w:i/>
          <w:color w:val="2C398A"/>
          <w:sz w:val="24"/>
        </w:rPr>
        <w:t>research</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innovation,</w:t>
      </w:r>
      <w:r>
        <w:rPr>
          <w:i/>
          <w:color w:val="2C398A"/>
          <w:spacing w:val="1"/>
          <w:sz w:val="24"/>
        </w:rPr>
        <w:t xml:space="preserve"> </w:t>
      </w:r>
      <w:r>
        <w:rPr>
          <w:i/>
          <w:color w:val="2C398A"/>
          <w:sz w:val="24"/>
        </w:rPr>
        <w:t>sustainable urban and railway transport, energy efficiency, renewables and environmental</w:t>
      </w:r>
      <w:r>
        <w:rPr>
          <w:i/>
          <w:color w:val="2C398A"/>
          <w:spacing w:val="1"/>
          <w:sz w:val="24"/>
        </w:rPr>
        <w:t xml:space="preserve"> </w:t>
      </w:r>
      <w:r>
        <w:rPr>
          <w:i/>
          <w:color w:val="2C398A"/>
          <w:sz w:val="24"/>
        </w:rPr>
        <w:t>infrastructure;</w:t>
      </w:r>
      <w:r>
        <w:rPr>
          <w:i/>
          <w:color w:val="2C398A"/>
          <w:spacing w:val="1"/>
          <w:sz w:val="24"/>
        </w:rPr>
        <w:t xml:space="preserve"> </w:t>
      </w:r>
      <w:r>
        <w:rPr>
          <w:i/>
          <w:color w:val="2C398A"/>
          <w:sz w:val="24"/>
        </w:rPr>
        <w:t>2020.CSR1.1.</w:t>
      </w:r>
      <w:r>
        <w:rPr>
          <w:i/>
          <w:color w:val="2C398A"/>
          <w:spacing w:val="1"/>
          <w:sz w:val="24"/>
        </w:rPr>
        <w:t xml:space="preserve"> </w:t>
      </w:r>
      <w:r>
        <w:rPr>
          <w:i/>
          <w:color w:val="2C398A"/>
          <w:sz w:val="24"/>
        </w:rPr>
        <w:t>In</w:t>
      </w:r>
      <w:r>
        <w:rPr>
          <w:i/>
          <w:color w:val="2C398A"/>
          <w:spacing w:val="1"/>
          <w:sz w:val="24"/>
        </w:rPr>
        <w:t xml:space="preserve"> </w:t>
      </w:r>
      <w:r>
        <w:rPr>
          <w:i/>
          <w:color w:val="2C398A"/>
          <w:sz w:val="24"/>
        </w:rPr>
        <w:t>line</w:t>
      </w:r>
      <w:r>
        <w:rPr>
          <w:i/>
          <w:color w:val="2C398A"/>
          <w:spacing w:val="1"/>
          <w:sz w:val="24"/>
        </w:rPr>
        <w:t xml:space="preserve"> </w:t>
      </w:r>
      <w:r>
        <w:rPr>
          <w:i/>
          <w:color w:val="2C398A"/>
          <w:sz w:val="24"/>
        </w:rPr>
        <w:t>with</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general</w:t>
      </w:r>
      <w:r>
        <w:rPr>
          <w:i/>
          <w:color w:val="2C398A"/>
          <w:spacing w:val="1"/>
          <w:sz w:val="24"/>
        </w:rPr>
        <w:t xml:space="preserve"> </w:t>
      </w:r>
      <w:r>
        <w:rPr>
          <w:i/>
          <w:color w:val="2C398A"/>
          <w:sz w:val="24"/>
        </w:rPr>
        <w:t>escape</w:t>
      </w:r>
      <w:r>
        <w:rPr>
          <w:i/>
          <w:color w:val="2C398A"/>
          <w:spacing w:val="1"/>
          <w:sz w:val="24"/>
        </w:rPr>
        <w:t xml:space="preserve"> </w:t>
      </w:r>
      <w:r>
        <w:rPr>
          <w:i/>
          <w:color w:val="2C398A"/>
          <w:sz w:val="24"/>
        </w:rPr>
        <w:t>clause,</w:t>
      </w:r>
      <w:r>
        <w:rPr>
          <w:i/>
          <w:color w:val="2C398A"/>
          <w:spacing w:val="1"/>
          <w:sz w:val="24"/>
        </w:rPr>
        <w:t xml:space="preserve"> </w:t>
      </w:r>
      <w:r>
        <w:rPr>
          <w:i/>
          <w:color w:val="2C398A"/>
          <w:sz w:val="24"/>
        </w:rPr>
        <w:t>take</w:t>
      </w:r>
      <w:r>
        <w:rPr>
          <w:i/>
          <w:color w:val="2C398A"/>
          <w:spacing w:val="1"/>
          <w:sz w:val="24"/>
        </w:rPr>
        <w:t xml:space="preserve"> </w:t>
      </w:r>
      <w:r>
        <w:rPr>
          <w:i/>
          <w:color w:val="2C398A"/>
          <w:sz w:val="24"/>
        </w:rPr>
        <w:t>all</w:t>
      </w:r>
      <w:r>
        <w:rPr>
          <w:i/>
          <w:color w:val="2C398A"/>
          <w:spacing w:val="1"/>
          <w:sz w:val="24"/>
        </w:rPr>
        <w:t xml:space="preserve"> </w:t>
      </w:r>
      <w:r>
        <w:rPr>
          <w:i/>
          <w:color w:val="2C398A"/>
          <w:sz w:val="24"/>
        </w:rPr>
        <w:t>necessary</w:t>
      </w:r>
      <w:r>
        <w:rPr>
          <w:i/>
          <w:color w:val="2C398A"/>
          <w:spacing w:val="1"/>
          <w:sz w:val="24"/>
        </w:rPr>
        <w:t xml:space="preserve"> </w:t>
      </w:r>
      <w:r>
        <w:rPr>
          <w:i/>
          <w:color w:val="2C398A"/>
          <w:sz w:val="24"/>
        </w:rPr>
        <w:t>measures to effectively address the pandemic, sustain the economy and support the ensuing</w:t>
      </w:r>
      <w:r>
        <w:rPr>
          <w:i/>
          <w:color w:val="2C398A"/>
          <w:spacing w:val="1"/>
          <w:sz w:val="24"/>
        </w:rPr>
        <w:t xml:space="preserve"> </w:t>
      </w:r>
      <w:r>
        <w:rPr>
          <w:i/>
          <w:color w:val="2C398A"/>
          <w:sz w:val="24"/>
        </w:rPr>
        <w:t xml:space="preserve">recovery; 2020.CSR2.2. </w:t>
      </w:r>
      <w:r>
        <w:rPr>
          <w:i/>
          <w:color w:val="2C398A"/>
          <w:sz w:val="23"/>
        </w:rPr>
        <w:t>Increase access to digital infrastructure and services</w:t>
      </w:r>
      <w:r>
        <w:rPr>
          <w:i/>
          <w:color w:val="2C398A"/>
          <w:sz w:val="24"/>
        </w:rPr>
        <w:t>; 2020.CSR3.1.</w:t>
      </w:r>
      <w:r>
        <w:rPr>
          <w:i/>
          <w:color w:val="2C398A"/>
          <w:spacing w:val="1"/>
          <w:sz w:val="24"/>
        </w:rPr>
        <w:t xml:space="preserve"> </w:t>
      </w:r>
      <w:r>
        <w:rPr>
          <w:i/>
          <w:color w:val="2C398A"/>
          <w:sz w:val="24"/>
        </w:rPr>
        <w:t>Front-load mature public investment projects and promote private investment to foster the</w:t>
      </w:r>
      <w:r>
        <w:rPr>
          <w:i/>
          <w:color w:val="2C398A"/>
          <w:spacing w:val="1"/>
          <w:sz w:val="24"/>
        </w:rPr>
        <w:t xml:space="preserve"> </w:t>
      </w:r>
      <w:r>
        <w:rPr>
          <w:i/>
          <w:color w:val="2C398A"/>
          <w:sz w:val="24"/>
        </w:rPr>
        <w:t>economic recovery; 2020.CSR3.3. Focus investment on the green and digital transition, in</w:t>
      </w:r>
      <w:r>
        <w:rPr>
          <w:i/>
          <w:color w:val="2C398A"/>
          <w:spacing w:val="1"/>
          <w:sz w:val="24"/>
        </w:rPr>
        <w:t xml:space="preserve"> </w:t>
      </w:r>
      <w:r>
        <w:rPr>
          <w:i/>
          <w:color w:val="2C398A"/>
          <w:sz w:val="24"/>
        </w:rPr>
        <w:t>particular on environmental infrastructure, sustainable urban and rail transport, clean and</w:t>
      </w:r>
      <w:r>
        <w:rPr>
          <w:i/>
          <w:color w:val="2C398A"/>
          <w:spacing w:val="1"/>
          <w:sz w:val="24"/>
        </w:rPr>
        <w:t xml:space="preserve"> </w:t>
      </w:r>
      <w:r>
        <w:rPr>
          <w:i/>
          <w:color w:val="2C398A"/>
          <w:sz w:val="24"/>
        </w:rPr>
        <w:t>efficient</w:t>
      </w:r>
      <w:r>
        <w:rPr>
          <w:i/>
          <w:color w:val="2C398A"/>
          <w:spacing w:val="-1"/>
          <w:sz w:val="24"/>
        </w:rPr>
        <w:t xml:space="preserve"> </w:t>
      </w:r>
      <w:r>
        <w:rPr>
          <w:i/>
          <w:color w:val="2C398A"/>
          <w:sz w:val="24"/>
        </w:rPr>
        <w:t>production and use</w:t>
      </w:r>
      <w:r>
        <w:rPr>
          <w:i/>
          <w:color w:val="2C398A"/>
          <w:spacing w:val="-1"/>
          <w:sz w:val="24"/>
        </w:rPr>
        <w:t xml:space="preserve"> </w:t>
      </w:r>
      <w:r>
        <w:rPr>
          <w:i/>
          <w:color w:val="2C398A"/>
          <w:sz w:val="24"/>
        </w:rPr>
        <w:t>of energy.</w:t>
      </w:r>
    </w:p>
    <w:p w:rsidR="00A56FE9" w:rsidRDefault="00A56FE9">
      <w:pPr>
        <w:pStyle w:val="Tijeloteksta"/>
        <w:spacing w:before="4"/>
        <w:ind w:left="0"/>
        <w:jc w:val="left"/>
        <w:rPr>
          <w:i/>
          <w:sz w:val="21"/>
        </w:rPr>
      </w:pPr>
    </w:p>
    <w:p w:rsidR="00A56FE9" w:rsidRDefault="00000000">
      <w:pPr>
        <w:pStyle w:val="Naslov5"/>
        <w:spacing w:after="23"/>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634609401"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746018893" name="Rectangle 337"/>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78F44C9" id="Group 336"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">
                <v:rect id="Rectangle 337"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" fillcolor="#2c398a" stroked="f"/>
                <w10:anchorlock/>
              </v:group>
            </w:pict>
          </mc:Fallback>
        </mc:AlternateContent>
      </w:r>
    </w:p>
    <w:p w:rsidR="00A56FE9" w:rsidRDefault="00000000">
      <w:pPr>
        <w:pStyle w:val="Tijeloteksta"/>
        <w:spacing w:before="154"/>
        <w:ind w:right="275"/>
      </w:pPr>
      <w:r>
        <w:t>In 2021, in terms of the REACT-EU instrument, the Call for Grants titled Strengthening</w:t>
      </w:r>
      <w:r>
        <w:rPr>
          <w:spacing w:val="1"/>
        </w:rPr>
        <w:t xml:space="preserve"> </w:t>
      </w:r>
      <w:r>
        <w:t>Competitiveness of Enterprises by Investing in a Digital and Green Transition was conducted,</w:t>
      </w:r>
      <w:r>
        <w:rPr>
          <w:spacing w:val="-57"/>
        </w:rPr>
        <w:t xml:space="preserve"> </w:t>
      </w:r>
      <w:r>
        <w:rPr>
          <w:spacing w:val="-1"/>
        </w:rPr>
        <w:t>which</w:t>
      </w:r>
      <w:r>
        <w:rPr>
          <w:spacing w:val="-12"/>
        </w:rPr>
        <w:t xml:space="preserve"> </w:t>
      </w:r>
      <w:r>
        <w:rPr>
          <w:spacing w:val="-1"/>
        </w:rPr>
        <w:t>has</w:t>
      </w:r>
      <w:r>
        <w:rPr>
          <w:spacing w:val="-12"/>
        </w:rPr>
        <w:t xml:space="preserve"> </w:t>
      </w:r>
      <w:r>
        <w:rPr>
          <w:spacing w:val="-1"/>
        </w:rPr>
        <w:t>the</w:t>
      </w:r>
      <w:r>
        <w:rPr>
          <w:spacing w:val="-8"/>
        </w:rPr>
        <w:t xml:space="preserve"> </w:t>
      </w:r>
      <w:r>
        <w:t>goal</w:t>
      </w:r>
      <w:r>
        <w:rPr>
          <w:spacing w:val="-12"/>
        </w:rPr>
        <w:t xml:space="preserve"> </w:t>
      </w:r>
      <w:r>
        <w:t>of</w:t>
      </w:r>
      <w:r>
        <w:rPr>
          <w:spacing w:val="-11"/>
        </w:rPr>
        <w:t xml:space="preserve"> </w:t>
      </w:r>
      <w:r>
        <w:t>strengthening</w:t>
      </w:r>
      <w:r>
        <w:rPr>
          <w:spacing w:val="-15"/>
        </w:rPr>
        <w:t xml:space="preserve"> </w:t>
      </w:r>
      <w:r>
        <w:t>the</w:t>
      </w:r>
      <w:r>
        <w:rPr>
          <w:spacing w:val="-11"/>
        </w:rPr>
        <w:t xml:space="preserve"> </w:t>
      </w:r>
      <w:r>
        <w:t>competitiveness</w:t>
      </w:r>
      <w:r>
        <w:rPr>
          <w:spacing w:val="-12"/>
        </w:rPr>
        <w:t xml:space="preserve"> </w:t>
      </w:r>
      <w:r>
        <w:t>of</w:t>
      </w:r>
      <w:r>
        <w:rPr>
          <w:spacing w:val="-11"/>
        </w:rPr>
        <w:t xml:space="preserve"> </w:t>
      </w:r>
      <w:r>
        <w:t>companies</w:t>
      </w:r>
      <w:r>
        <w:rPr>
          <w:spacing w:val="-10"/>
        </w:rPr>
        <w:t xml:space="preserve"> </w:t>
      </w:r>
      <w:r>
        <w:t>(SMEs)</w:t>
      </w:r>
      <w:r>
        <w:rPr>
          <w:spacing w:val="-13"/>
        </w:rPr>
        <w:t xml:space="preserve"> </w:t>
      </w:r>
      <w:r>
        <w:t>in</w:t>
      </w:r>
      <w:r>
        <w:rPr>
          <w:spacing w:val="-12"/>
        </w:rPr>
        <w:t xml:space="preserve"> </w:t>
      </w:r>
      <w:r>
        <w:t>the</w:t>
      </w:r>
      <w:r>
        <w:rPr>
          <w:spacing w:val="-13"/>
        </w:rPr>
        <w:t xml:space="preserve"> </w:t>
      </w:r>
      <w:r>
        <w:t>processing</w:t>
      </w:r>
      <w:r>
        <w:rPr>
          <w:spacing w:val="-58"/>
        </w:rPr>
        <w:t xml:space="preserve"> </w:t>
      </w:r>
      <w:r>
        <w:t>sector on the domestic and foreign markets, preparation of green, digital and resilient recovery</w:t>
      </w:r>
      <w:r>
        <w:rPr>
          <w:spacing w:val="-57"/>
        </w:rPr>
        <w:t xml:space="preserve"> </w:t>
      </w:r>
      <w:r>
        <w:t>of</w:t>
      </w:r>
      <w:r>
        <w:rPr>
          <w:spacing w:val="-4"/>
        </w:rPr>
        <w:t xml:space="preserve"> </w:t>
      </w:r>
      <w:r>
        <w:t>the</w:t>
      </w:r>
      <w:r>
        <w:rPr>
          <w:spacing w:val="-3"/>
        </w:rPr>
        <w:t xml:space="preserve"> </w:t>
      </w:r>
      <w:r>
        <w:t>economy</w:t>
      </w:r>
      <w:r>
        <w:rPr>
          <w:spacing w:val="-8"/>
        </w:rPr>
        <w:t xml:space="preserve"> </w:t>
      </w:r>
      <w:r>
        <w:t>by</w:t>
      </w:r>
      <w:r>
        <w:rPr>
          <w:spacing w:val="-8"/>
        </w:rPr>
        <w:t xml:space="preserve"> </w:t>
      </w:r>
      <w:r>
        <w:t>incentivising</w:t>
      </w:r>
      <w:r>
        <w:rPr>
          <w:spacing w:val="-5"/>
        </w:rPr>
        <w:t xml:space="preserve"> </w:t>
      </w:r>
      <w:r>
        <w:t>energy</w:t>
      </w:r>
      <w:r>
        <w:rPr>
          <w:spacing w:val="-7"/>
        </w:rPr>
        <w:t xml:space="preserve"> </w:t>
      </w:r>
      <w:r>
        <w:t>efficiency</w:t>
      </w:r>
      <w:r>
        <w:rPr>
          <w:spacing w:val="-5"/>
        </w:rPr>
        <w:t xml:space="preserve"> </w:t>
      </w:r>
      <w:r>
        <w:t>and/or</w:t>
      </w:r>
      <w:r>
        <w:rPr>
          <w:spacing w:val="-3"/>
        </w:rPr>
        <w:t xml:space="preserve"> </w:t>
      </w:r>
      <w:r>
        <w:t>technologically</w:t>
      </w:r>
      <w:r>
        <w:rPr>
          <w:spacing w:val="-8"/>
        </w:rPr>
        <w:t xml:space="preserve"> </w:t>
      </w:r>
      <w:r>
        <w:t>advanced</w:t>
      </w:r>
      <w:r>
        <w:rPr>
          <w:spacing w:val="-3"/>
        </w:rPr>
        <w:t xml:space="preserve"> </w:t>
      </w:r>
      <w:r>
        <w:t>production</w:t>
      </w:r>
      <w:r>
        <w:rPr>
          <w:spacing w:val="-57"/>
        </w:rPr>
        <w:t xml:space="preserve"> </w:t>
      </w:r>
      <w:r>
        <w:t>including</w:t>
      </w:r>
      <w:r>
        <w:rPr>
          <w:spacing w:val="1"/>
        </w:rPr>
        <w:t xml:space="preserve"> </w:t>
      </w:r>
      <w:r>
        <w:t>innovative</w:t>
      </w:r>
      <w:r>
        <w:rPr>
          <w:spacing w:val="1"/>
        </w:rPr>
        <w:t xml:space="preserve"> </w:t>
      </w:r>
      <w:r>
        <w:t>business</w:t>
      </w:r>
      <w:r>
        <w:rPr>
          <w:spacing w:val="1"/>
        </w:rPr>
        <w:t xml:space="preserve"> </w:t>
      </w:r>
      <w:r>
        <w:t>models</w:t>
      </w:r>
      <w:r>
        <w:rPr>
          <w:spacing w:val="1"/>
        </w:rPr>
        <w:t xml:space="preserve"> </w:t>
      </w:r>
      <w:r>
        <w:t>for</w:t>
      </w:r>
      <w:r>
        <w:rPr>
          <w:spacing w:val="1"/>
        </w:rPr>
        <w:t xml:space="preserve"> </w:t>
      </w:r>
      <w:r>
        <w:t>the</w:t>
      </w:r>
      <w:r>
        <w:rPr>
          <w:spacing w:val="1"/>
        </w:rPr>
        <w:t xml:space="preserve"> </w:t>
      </w:r>
      <w:r>
        <w:t>purpose</w:t>
      </w:r>
      <w:r>
        <w:rPr>
          <w:spacing w:val="1"/>
        </w:rPr>
        <w:t xml:space="preserve"> </w:t>
      </w:r>
      <w:r>
        <w:t>of</w:t>
      </w:r>
      <w:r>
        <w:rPr>
          <w:spacing w:val="1"/>
        </w:rPr>
        <w:t xml:space="preserve"> </w:t>
      </w:r>
      <w:r>
        <w:t>developing</w:t>
      </w:r>
      <w:r>
        <w:rPr>
          <w:spacing w:val="1"/>
        </w:rPr>
        <w:t xml:space="preserve"> </w:t>
      </w:r>
      <w:r>
        <w:t>new</w:t>
      </w:r>
      <w:r>
        <w:rPr>
          <w:spacing w:val="1"/>
        </w:rPr>
        <w:t xml:space="preserve"> </w:t>
      </w:r>
      <w:r>
        <w:t>competencies,</w:t>
      </w:r>
      <w:r>
        <w:rPr>
          <w:spacing w:val="1"/>
        </w:rPr>
        <w:t xml:space="preserve"> </w:t>
      </w:r>
      <w:r>
        <w:t>increasing</w:t>
      </w:r>
      <w:r>
        <w:rPr>
          <w:spacing w:val="1"/>
        </w:rPr>
        <w:t xml:space="preserve"> </w:t>
      </w:r>
      <w:r>
        <w:t>production,</w:t>
      </w:r>
      <w:r>
        <w:rPr>
          <w:spacing w:val="1"/>
        </w:rPr>
        <w:t xml:space="preserve"> </w:t>
      </w:r>
      <w:r>
        <w:t>increasing</w:t>
      </w:r>
      <w:r>
        <w:rPr>
          <w:spacing w:val="1"/>
        </w:rPr>
        <w:t xml:space="preserve"> </w:t>
      </w:r>
      <w:r>
        <w:t>exports</w:t>
      </w:r>
      <w:r>
        <w:rPr>
          <w:spacing w:val="1"/>
        </w:rPr>
        <w:t xml:space="preserve"> </w:t>
      </w:r>
      <w:r>
        <w:t>and</w:t>
      </w:r>
      <w:r>
        <w:rPr>
          <w:spacing w:val="1"/>
        </w:rPr>
        <w:t xml:space="preserve"> </w:t>
      </w:r>
      <w:r>
        <w:t>preserving</w:t>
      </w:r>
      <w:r>
        <w:rPr>
          <w:spacing w:val="1"/>
        </w:rPr>
        <w:t xml:space="preserve"> </w:t>
      </w:r>
      <w:r>
        <w:t>existing</w:t>
      </w:r>
      <w:r>
        <w:rPr>
          <w:spacing w:val="1"/>
        </w:rPr>
        <w:t xml:space="preserve"> </w:t>
      </w:r>
      <w:r>
        <w:t>while</w:t>
      </w:r>
      <w:r>
        <w:rPr>
          <w:spacing w:val="1"/>
        </w:rPr>
        <w:t xml:space="preserve"> </w:t>
      </w:r>
      <w:r>
        <w:t>incentivising</w:t>
      </w:r>
      <w:r>
        <w:rPr>
          <w:spacing w:val="1"/>
        </w:rPr>
        <w:t xml:space="preserve"> </w:t>
      </w:r>
      <w:r>
        <w:t>the</w:t>
      </w:r>
      <w:r>
        <w:rPr>
          <w:spacing w:val="-57"/>
        </w:rPr>
        <w:t xml:space="preserve"> </w:t>
      </w:r>
      <w:r>
        <w:t>creation of new jobs. Expected results at the end of the Call are increased competitiveness of</w:t>
      </w:r>
      <w:r>
        <w:rPr>
          <w:spacing w:val="1"/>
        </w:rPr>
        <w:t xml:space="preserve"> </w:t>
      </w:r>
      <w:r>
        <w:t>the manufacturing industry through increased sales and export revenues, employment growth</w:t>
      </w:r>
      <w:r>
        <w:rPr>
          <w:spacing w:val="1"/>
        </w:rPr>
        <w:t xml:space="preserve"> </w:t>
      </w:r>
      <w:r>
        <w:t>and</w:t>
      </w:r>
      <w:r>
        <w:rPr>
          <w:spacing w:val="-7"/>
        </w:rPr>
        <w:t xml:space="preserve"> </w:t>
      </w:r>
      <w:r>
        <w:t>the</w:t>
      </w:r>
      <w:r>
        <w:rPr>
          <w:spacing w:val="-7"/>
        </w:rPr>
        <w:t xml:space="preserve"> </w:t>
      </w:r>
      <w:r>
        <w:t>introduction</w:t>
      </w:r>
      <w:r>
        <w:rPr>
          <w:spacing w:val="-7"/>
        </w:rPr>
        <w:t xml:space="preserve"> </w:t>
      </w:r>
      <w:r>
        <w:t>of</w:t>
      </w:r>
      <w:r>
        <w:rPr>
          <w:spacing w:val="-7"/>
        </w:rPr>
        <w:t xml:space="preserve"> </w:t>
      </w:r>
      <w:r>
        <w:t>new</w:t>
      </w:r>
      <w:r>
        <w:rPr>
          <w:spacing w:val="-8"/>
        </w:rPr>
        <w:t xml:space="preserve"> </w:t>
      </w:r>
      <w:r>
        <w:t>technological</w:t>
      </w:r>
      <w:r>
        <w:rPr>
          <w:spacing w:val="-6"/>
        </w:rPr>
        <w:t xml:space="preserve"> </w:t>
      </w:r>
      <w:r>
        <w:t>solutions</w:t>
      </w:r>
      <w:r>
        <w:rPr>
          <w:spacing w:val="-7"/>
        </w:rPr>
        <w:t xml:space="preserve"> </w:t>
      </w:r>
      <w:r>
        <w:t>related</w:t>
      </w:r>
      <w:r>
        <w:rPr>
          <w:spacing w:val="-6"/>
        </w:rPr>
        <w:t xml:space="preserve"> </w:t>
      </w:r>
      <w:r>
        <w:t>to</w:t>
      </w:r>
      <w:r>
        <w:rPr>
          <w:spacing w:val="-6"/>
        </w:rPr>
        <w:t xml:space="preserve"> </w:t>
      </w:r>
      <w:r>
        <w:t>green</w:t>
      </w:r>
      <w:r>
        <w:rPr>
          <w:spacing w:val="-7"/>
        </w:rPr>
        <w:t xml:space="preserve"> </w:t>
      </w:r>
      <w:r>
        <w:t>and/or</w:t>
      </w:r>
      <w:r>
        <w:rPr>
          <w:spacing w:val="-4"/>
        </w:rPr>
        <w:t xml:space="preserve"> </w:t>
      </w:r>
      <w:r>
        <w:t>digital</w:t>
      </w:r>
      <w:r>
        <w:rPr>
          <w:spacing w:val="-7"/>
        </w:rPr>
        <w:t xml:space="preserve"> </w:t>
      </w:r>
      <w:r>
        <w:t>development</w:t>
      </w:r>
      <w:r>
        <w:rPr>
          <w:spacing w:val="-57"/>
        </w:rPr>
        <w:t xml:space="preserve"> </w:t>
      </w:r>
      <w:r>
        <w:t>goals</w:t>
      </w:r>
      <w:r>
        <w:rPr>
          <w:spacing w:val="1"/>
        </w:rPr>
        <w:t xml:space="preserve"> </w:t>
      </w:r>
      <w:r>
        <w:t>of the economy as a</w:t>
      </w:r>
      <w:r>
        <w:rPr>
          <w:spacing w:val="1"/>
        </w:rPr>
        <w:t xml:space="preserve"> </w:t>
      </w:r>
      <w:r>
        <w:t>whole. The Call</w:t>
      </w:r>
      <w:r>
        <w:rPr>
          <w:spacing w:val="1"/>
        </w:rPr>
        <w:t xml:space="preserve"> </w:t>
      </w:r>
      <w:r>
        <w:t>received 842</w:t>
      </w:r>
      <w:r>
        <w:rPr>
          <w:spacing w:val="1"/>
        </w:rPr>
        <w:t xml:space="preserve"> </w:t>
      </w:r>
      <w:r>
        <w:t>project proposals with a</w:t>
      </w:r>
      <w:r>
        <w:rPr>
          <w:spacing w:val="1"/>
        </w:rPr>
        <w:t xml:space="preserve"> </w:t>
      </w:r>
      <w:r>
        <w:t>total</w:t>
      </w:r>
      <w:r>
        <w:rPr>
          <w:spacing w:val="1"/>
        </w:rPr>
        <w:t xml:space="preserve"> </w:t>
      </w:r>
      <w:r>
        <w:t>investment value of HRK 7.5 billion. A total of 274 Financing Decisions worth HRK 998.84</w:t>
      </w:r>
      <w:r>
        <w:rPr>
          <w:spacing w:val="1"/>
        </w:rPr>
        <w:t xml:space="preserve"> </w:t>
      </w:r>
      <w:r>
        <w:t>million</w:t>
      </w:r>
      <w:r>
        <w:rPr>
          <w:spacing w:val="-5"/>
        </w:rPr>
        <w:t xml:space="preserve"> </w:t>
      </w:r>
      <w:r>
        <w:t>were</w:t>
      </w:r>
      <w:r>
        <w:rPr>
          <w:spacing w:val="-7"/>
        </w:rPr>
        <w:t xml:space="preserve"> </w:t>
      </w:r>
      <w:r>
        <w:t>made</w:t>
      </w:r>
      <w:r>
        <w:rPr>
          <w:spacing w:val="-6"/>
        </w:rPr>
        <w:t xml:space="preserve"> </w:t>
      </w:r>
      <w:r>
        <w:t>for</w:t>
      </w:r>
      <w:r>
        <w:rPr>
          <w:spacing w:val="-5"/>
        </w:rPr>
        <w:t xml:space="preserve"> </w:t>
      </w:r>
      <w:r>
        <w:t>projects</w:t>
      </w:r>
      <w:r>
        <w:rPr>
          <w:spacing w:val="-5"/>
        </w:rPr>
        <w:t xml:space="preserve"> </w:t>
      </w:r>
      <w:r>
        <w:t>with</w:t>
      </w:r>
      <w:r>
        <w:rPr>
          <w:spacing w:val="-5"/>
        </w:rPr>
        <w:t xml:space="preserve"> </w:t>
      </w:r>
      <w:r>
        <w:t>a</w:t>
      </w:r>
      <w:r>
        <w:rPr>
          <w:spacing w:val="-3"/>
        </w:rPr>
        <w:t xml:space="preserve"> </w:t>
      </w:r>
      <w:r>
        <w:t>total</w:t>
      </w:r>
      <w:r>
        <w:rPr>
          <w:spacing w:val="-5"/>
        </w:rPr>
        <w:t xml:space="preserve"> </w:t>
      </w:r>
      <w:r>
        <w:t>investment</w:t>
      </w:r>
      <w:r>
        <w:rPr>
          <w:spacing w:val="-5"/>
        </w:rPr>
        <w:t xml:space="preserve"> </w:t>
      </w:r>
      <w:r>
        <w:t>value</w:t>
      </w:r>
      <w:r>
        <w:rPr>
          <w:spacing w:val="-6"/>
        </w:rPr>
        <w:t xml:space="preserve"> </w:t>
      </w:r>
      <w:r>
        <w:t>of</w:t>
      </w:r>
      <w:r>
        <w:rPr>
          <w:spacing w:val="-5"/>
        </w:rPr>
        <w:t xml:space="preserve"> </w:t>
      </w:r>
      <w:r>
        <w:t>almost</w:t>
      </w:r>
      <w:r>
        <w:rPr>
          <w:spacing w:val="-5"/>
        </w:rPr>
        <w:t xml:space="preserve"> </w:t>
      </w:r>
      <w:r>
        <w:t>HRK</w:t>
      </w:r>
      <w:r>
        <w:rPr>
          <w:spacing w:val="-6"/>
        </w:rPr>
        <w:t xml:space="preserve"> </w:t>
      </w:r>
      <w:r>
        <w:t>3.1</w:t>
      </w:r>
      <w:r>
        <w:rPr>
          <w:spacing w:val="-4"/>
        </w:rPr>
        <w:t xml:space="preserve"> </w:t>
      </w:r>
      <w:r>
        <w:t>billion.</w:t>
      </w:r>
      <w:r>
        <w:rPr>
          <w:spacing w:val="-3"/>
        </w:rPr>
        <w:t xml:space="preserve"> </w:t>
      </w:r>
      <w:r>
        <w:t>Due</w:t>
      </w:r>
      <w:r>
        <w:rPr>
          <w:spacing w:val="-5"/>
        </w:rPr>
        <w:t xml:space="preserve"> </w:t>
      </w:r>
      <w:r>
        <w:t>to</w:t>
      </w:r>
      <w:r>
        <w:rPr>
          <w:spacing w:val="-57"/>
        </w:rPr>
        <w:t xml:space="preserve"> </w:t>
      </w:r>
      <w:r>
        <w:t>the</w:t>
      </w:r>
      <w:r>
        <w:rPr>
          <w:spacing w:val="-4"/>
        </w:rPr>
        <w:t xml:space="preserve"> </w:t>
      </w:r>
      <w:r>
        <w:t>extraordinary</w:t>
      </w:r>
      <w:r>
        <w:rPr>
          <w:spacing w:val="-6"/>
        </w:rPr>
        <w:t xml:space="preserve"> </w:t>
      </w:r>
      <w:r>
        <w:t>circumstances caused</w:t>
      </w:r>
      <w:r>
        <w:rPr>
          <w:spacing w:val="-2"/>
        </w:rPr>
        <w:t xml:space="preserve"> </w:t>
      </w:r>
      <w:r>
        <w:t>by</w:t>
      </w:r>
      <w:r>
        <w:rPr>
          <w:spacing w:val="-8"/>
        </w:rPr>
        <w:t xml:space="preserve"> </w:t>
      </w:r>
      <w:r>
        <w:t>the</w:t>
      </w:r>
      <w:r>
        <w:rPr>
          <w:spacing w:val="-2"/>
        </w:rPr>
        <w:t xml:space="preserve"> </w:t>
      </w:r>
      <w:r>
        <w:t>epidemic</w:t>
      </w:r>
      <w:r>
        <w:rPr>
          <w:spacing w:val="-5"/>
        </w:rPr>
        <w:t xml:space="preserve"> </w:t>
      </w:r>
      <w:r>
        <w:t>and</w:t>
      </w:r>
      <w:r>
        <w:rPr>
          <w:spacing w:val="-1"/>
        </w:rPr>
        <w:t xml:space="preserve"> </w:t>
      </w:r>
      <w:r>
        <w:t>the</w:t>
      </w:r>
      <w:r>
        <w:rPr>
          <w:spacing w:val="-1"/>
        </w:rPr>
        <w:t xml:space="preserve"> </w:t>
      </w:r>
      <w:r>
        <w:t>earthquake,</w:t>
      </w:r>
      <w:r>
        <w:rPr>
          <w:spacing w:val="-4"/>
        </w:rPr>
        <w:t xml:space="preserve"> </w:t>
      </w:r>
      <w:r>
        <w:t>HAMAG-BICRO</w:t>
      </w:r>
      <w:r>
        <w:rPr>
          <w:spacing w:val="-57"/>
        </w:rPr>
        <w:t xml:space="preserve"> </w:t>
      </w:r>
      <w:r>
        <w:t>has mobilized all available resources so that entrepreneurs can continue their business without</w:t>
      </w:r>
      <w:r>
        <w:rPr>
          <w:spacing w:val="-57"/>
        </w:rPr>
        <w:t xml:space="preserve"> </w:t>
      </w:r>
      <w:r>
        <w:t>any impediment. Although currently, the greatest emphasis is on mitigation measures for the</w:t>
      </w:r>
      <w:r>
        <w:rPr>
          <w:spacing w:val="1"/>
        </w:rPr>
        <w:t xml:space="preserve"> </w:t>
      </w:r>
      <w:r>
        <w:t>novel coronavirus epidemic, four open grant tenders are available to entrepreneurs within the</w:t>
      </w:r>
      <w:r>
        <w:rPr>
          <w:spacing w:val="1"/>
        </w:rPr>
        <w:t xml:space="preserve"> </w:t>
      </w:r>
      <w:r>
        <w:t>current</w:t>
      </w:r>
      <w:r>
        <w:rPr>
          <w:spacing w:val="-9"/>
        </w:rPr>
        <w:t xml:space="preserve"> </w:t>
      </w:r>
      <w:r>
        <w:t>programming</w:t>
      </w:r>
      <w:r>
        <w:rPr>
          <w:spacing w:val="-11"/>
        </w:rPr>
        <w:t xml:space="preserve"> </w:t>
      </w:r>
      <w:r>
        <w:t>period</w:t>
      </w:r>
      <w:r>
        <w:rPr>
          <w:spacing w:val="-8"/>
        </w:rPr>
        <w:t xml:space="preserve"> </w:t>
      </w:r>
      <w:r>
        <w:t>(2014-2020).</w:t>
      </w:r>
      <w:r>
        <w:rPr>
          <w:spacing w:val="-9"/>
        </w:rPr>
        <w:t xml:space="preserve"> </w:t>
      </w:r>
      <w:r>
        <w:t>Existing</w:t>
      </w:r>
      <w:r>
        <w:rPr>
          <w:spacing w:val="-11"/>
        </w:rPr>
        <w:t xml:space="preserve"> </w:t>
      </w:r>
      <w:r>
        <w:t>ESIF-funded</w:t>
      </w:r>
      <w:r>
        <w:rPr>
          <w:spacing w:val="-9"/>
        </w:rPr>
        <w:t xml:space="preserve"> </w:t>
      </w:r>
      <w:r>
        <w:t>programs</w:t>
      </w:r>
      <w:r>
        <w:rPr>
          <w:spacing w:val="-6"/>
        </w:rPr>
        <w:t xml:space="preserve"> </w:t>
      </w:r>
      <w:r>
        <w:t>are</w:t>
      </w:r>
      <w:r>
        <w:rPr>
          <w:spacing w:val="-8"/>
        </w:rPr>
        <w:t xml:space="preserve"> </w:t>
      </w:r>
      <w:r>
        <w:t>also</w:t>
      </w:r>
      <w:r>
        <w:rPr>
          <w:spacing w:val="-8"/>
        </w:rPr>
        <w:t xml:space="preserve"> </w:t>
      </w:r>
      <w:r>
        <w:t>available</w:t>
      </w:r>
      <w:r>
        <w:rPr>
          <w:spacing w:val="-7"/>
        </w:rPr>
        <w:t xml:space="preserve"> </w:t>
      </w:r>
      <w:r>
        <w:t>to</w:t>
      </w:r>
      <w:r>
        <w:rPr>
          <w:spacing w:val="-58"/>
        </w:rPr>
        <w:t xml:space="preserve"> </w:t>
      </w:r>
      <w:r>
        <w:t>entrepreneurs,</w:t>
      </w:r>
      <w:r>
        <w:rPr>
          <w:spacing w:val="1"/>
        </w:rPr>
        <w:t xml:space="preserve"> </w:t>
      </w:r>
      <w:r>
        <w:t>which</w:t>
      </w:r>
      <w:r>
        <w:rPr>
          <w:spacing w:val="1"/>
        </w:rPr>
        <w:t xml:space="preserve"> </w:t>
      </w:r>
      <w:r>
        <w:t>have</w:t>
      </w:r>
      <w:r>
        <w:rPr>
          <w:spacing w:val="1"/>
        </w:rPr>
        <w:t xml:space="preserve"> </w:t>
      </w:r>
      <w:r>
        <w:t>been</w:t>
      </w:r>
      <w:r>
        <w:rPr>
          <w:spacing w:val="1"/>
        </w:rPr>
        <w:t xml:space="preserve"> </w:t>
      </w:r>
      <w:r>
        <w:t>further</w:t>
      </w:r>
      <w:r>
        <w:rPr>
          <w:spacing w:val="1"/>
        </w:rPr>
        <w:t xml:space="preserve"> </w:t>
      </w:r>
      <w:r>
        <w:t>adjusted</w:t>
      </w:r>
      <w:r>
        <w:rPr>
          <w:spacing w:val="1"/>
        </w:rPr>
        <w:t xml:space="preserve"> </w:t>
      </w:r>
      <w:r>
        <w:t>by</w:t>
      </w:r>
      <w:r>
        <w:rPr>
          <w:spacing w:val="1"/>
        </w:rPr>
        <w:t xml:space="preserve"> </w:t>
      </w:r>
      <w:r>
        <w:t>lowering</w:t>
      </w:r>
      <w:r>
        <w:rPr>
          <w:spacing w:val="1"/>
        </w:rPr>
        <w:t xml:space="preserve"> </w:t>
      </w:r>
      <w:r>
        <w:t>interest</w:t>
      </w:r>
      <w:r>
        <w:rPr>
          <w:spacing w:val="1"/>
        </w:rPr>
        <w:t xml:space="preserve"> </w:t>
      </w:r>
      <w:r>
        <w:t>rates,</w:t>
      </w:r>
      <w:r>
        <w:rPr>
          <w:spacing w:val="1"/>
        </w:rPr>
        <w:t xml:space="preserve"> </w:t>
      </w:r>
      <w:r>
        <w:t>increasing</w:t>
      </w:r>
      <w:r>
        <w:rPr>
          <w:spacing w:val="1"/>
        </w:rPr>
        <w:t xml:space="preserve"> </w:t>
      </w:r>
      <w:r>
        <w:t>allocations</w:t>
      </w:r>
      <w:r>
        <w:rPr>
          <w:spacing w:val="-1"/>
        </w:rPr>
        <w:t xml:space="preserve"> </w:t>
      </w:r>
      <w:r>
        <w:t>and</w:t>
      </w:r>
      <w:r>
        <w:rPr>
          <w:spacing w:val="-1"/>
        </w:rPr>
        <w:t xml:space="preserve"> </w:t>
      </w:r>
      <w:r>
        <w:t>introducing</w:t>
      </w:r>
      <w:r>
        <w:rPr>
          <w:spacing w:val="-4"/>
        </w:rPr>
        <w:t xml:space="preserve"> </w:t>
      </w:r>
      <w:r>
        <w:t>a</w:t>
      </w:r>
      <w:r>
        <w:rPr>
          <w:spacing w:val="-1"/>
        </w:rPr>
        <w:t xml:space="preserve"> </w:t>
      </w:r>
      <w:r>
        <w:t>moratorium</w:t>
      </w:r>
      <w:r>
        <w:rPr>
          <w:spacing w:val="-1"/>
        </w:rPr>
        <w:t xml:space="preserve"> </w:t>
      </w:r>
      <w:r>
        <w:t>on</w:t>
      </w:r>
      <w:r>
        <w:rPr>
          <w:spacing w:val="-1"/>
        </w:rPr>
        <w:t xml:space="preserve"> </w:t>
      </w:r>
      <w:r>
        <w:t>debt</w:t>
      </w:r>
      <w:r>
        <w:rPr>
          <w:spacing w:val="1"/>
        </w:rPr>
        <w:t xml:space="preserve"> </w:t>
      </w:r>
      <w:r>
        <w:t>repayment on</w:t>
      </w:r>
      <w:r>
        <w:rPr>
          <w:spacing w:val="-1"/>
        </w:rPr>
        <w:t xml:space="preserve"> </w:t>
      </w:r>
      <w:r>
        <w:t>all</w:t>
      </w:r>
      <w:r>
        <w:rPr>
          <w:spacing w:val="-1"/>
        </w:rPr>
        <w:t xml:space="preserve"> </w:t>
      </w:r>
      <w:r>
        <w:t>previously</w:t>
      </w:r>
      <w:r>
        <w:rPr>
          <w:spacing w:val="-6"/>
        </w:rPr>
        <w:t xml:space="preserve"> </w:t>
      </w:r>
      <w:r>
        <w:t>approved loans.</w:t>
      </w:r>
    </w:p>
    <w:p w:rsidR="00A56FE9" w:rsidRDefault="00000000">
      <w:pPr>
        <w:pStyle w:val="Tijeloteksta"/>
        <w:spacing w:before="119"/>
        <w:ind w:right="275"/>
      </w:pPr>
      <w:r>
        <w:t>The Croatian Agency for SMEs, Innovations and Investments (HAMAG-BICRO) during the</w:t>
      </w:r>
      <w:r>
        <w:rPr>
          <w:spacing w:val="1"/>
        </w:rPr>
        <w:t xml:space="preserve"> </w:t>
      </w:r>
      <w:r>
        <w:t>COVID-19 pandemic has created a packet of measures that provides support to SMEs in the</w:t>
      </w:r>
      <w:r>
        <w:rPr>
          <w:spacing w:val="1"/>
        </w:rPr>
        <w:t xml:space="preserve"> </w:t>
      </w:r>
      <w:r>
        <w:t>form of COVID loans amounting to between EUR 50,000 and EUR 100,000 with a total</w:t>
      </w:r>
      <w:r>
        <w:rPr>
          <w:spacing w:val="1"/>
        </w:rPr>
        <w:t xml:space="preserve"> </w:t>
      </w:r>
      <w:r>
        <w:t>allocation of HRK 2.2 billion (5,300 thousand loans), and introduced a moratorium on all</w:t>
      </w:r>
      <w:r>
        <w:rPr>
          <w:spacing w:val="1"/>
        </w:rPr>
        <w:t xml:space="preserve"> </w:t>
      </w:r>
      <w:r>
        <w:t>existing loans, reduced</w:t>
      </w:r>
      <w:r>
        <w:rPr>
          <w:spacing w:val="1"/>
        </w:rPr>
        <w:t xml:space="preserve"> </w:t>
      </w:r>
      <w:r>
        <w:t>interest rates for newly-approved loans, increased instalments for</w:t>
      </w:r>
      <w:r>
        <w:rPr>
          <w:spacing w:val="1"/>
        </w:rPr>
        <w:t xml:space="preserve"> </w:t>
      </w:r>
      <w:r>
        <w:t>guarantees</w:t>
      </w:r>
      <w:r>
        <w:rPr>
          <w:spacing w:val="-5"/>
        </w:rPr>
        <w:t xml:space="preserve"> </w:t>
      </w:r>
      <w:r>
        <w:t>for</w:t>
      </w:r>
      <w:r>
        <w:rPr>
          <w:spacing w:val="-3"/>
        </w:rPr>
        <w:t xml:space="preserve"> </w:t>
      </w:r>
      <w:r>
        <w:t>ESIF,</w:t>
      </w:r>
      <w:r>
        <w:rPr>
          <w:spacing w:val="-2"/>
        </w:rPr>
        <w:t xml:space="preserve"> </w:t>
      </w:r>
      <w:r>
        <w:t>individual</w:t>
      </w:r>
      <w:r>
        <w:rPr>
          <w:spacing w:val="-4"/>
        </w:rPr>
        <w:t xml:space="preserve"> </w:t>
      </w:r>
      <w:r>
        <w:t>guarantees</w:t>
      </w:r>
      <w:r>
        <w:rPr>
          <w:spacing w:val="-5"/>
        </w:rPr>
        <w:t xml:space="preserve"> </w:t>
      </w:r>
      <w:r>
        <w:t>for</w:t>
      </w:r>
      <w:r>
        <w:rPr>
          <w:spacing w:val="-5"/>
        </w:rPr>
        <w:t xml:space="preserve"> </w:t>
      </w:r>
      <w:r>
        <w:t>OBS,</w:t>
      </w:r>
      <w:r>
        <w:rPr>
          <w:spacing w:val="-4"/>
        </w:rPr>
        <w:t xml:space="preserve"> </w:t>
      </w:r>
      <w:r>
        <w:t>and</w:t>
      </w:r>
      <w:r>
        <w:rPr>
          <w:spacing w:val="-4"/>
        </w:rPr>
        <w:t xml:space="preserve"> </w:t>
      </w:r>
      <w:r>
        <w:t>introduced</w:t>
      </w:r>
      <w:r>
        <w:rPr>
          <w:spacing w:val="-2"/>
        </w:rPr>
        <w:t xml:space="preserve"> </w:t>
      </w:r>
      <w:r>
        <w:t>new</w:t>
      </w:r>
      <w:r>
        <w:rPr>
          <w:spacing w:val="-5"/>
        </w:rPr>
        <w:t xml:space="preserve"> </w:t>
      </w:r>
      <w:r>
        <w:t>programs</w:t>
      </w:r>
      <w:r>
        <w:rPr>
          <w:spacing w:val="-3"/>
        </w:rPr>
        <w:t xml:space="preserve"> </w:t>
      </w:r>
      <w:r>
        <w:t>for</w:t>
      </w:r>
      <w:r>
        <w:rPr>
          <w:spacing w:val="-3"/>
        </w:rPr>
        <w:t xml:space="preserve"> </w:t>
      </w:r>
      <w:r>
        <w:t>specific</w:t>
      </w:r>
      <w:r>
        <w:rPr>
          <w:spacing w:val="-58"/>
        </w:rPr>
        <w:t xml:space="preserve"> </w:t>
      </w:r>
      <w:r>
        <w:t>entrepreneurial</w:t>
      </w:r>
      <w:r>
        <w:rPr>
          <w:spacing w:val="1"/>
        </w:rPr>
        <w:t xml:space="preserve"> </w:t>
      </w:r>
      <w:r>
        <w:t>groups.</w:t>
      </w:r>
    </w:p>
    <w:p w:rsidR="00A56FE9" w:rsidRDefault="00A56FE9">
      <w:pPr>
        <w:sectPr w:rsidR="00A56FE9" w:rsidSect="00AB1E70">
          <w:pgSz w:w="11910" w:h="16840"/>
          <w:pgMar w:top="1420" w:right="1140" w:bottom="960" w:left="1280" w:header="0" w:footer="779" w:gutter="0"/>
          <w:cols w:space="720"/>
        </w:sectPr>
      </w:pPr>
    </w:p>
    <w:p w:rsidR="00A56FE9" w:rsidRDefault="00000000">
      <w:pPr>
        <w:pStyle w:val="Tijeloteksta"/>
        <w:spacing w:before="74"/>
        <w:ind w:right="276"/>
      </w:pPr>
      <w:r>
        <w:t>Moreover, small businesses in agriculture, processing industries and the forestry sector have</w:t>
      </w:r>
      <w:r>
        <w:rPr>
          <w:spacing w:val="1"/>
        </w:rPr>
        <w:t xml:space="preserve"> </w:t>
      </w:r>
      <w:r>
        <w:t>access</w:t>
      </w:r>
      <w:r>
        <w:rPr>
          <w:spacing w:val="-1"/>
        </w:rPr>
        <w:t xml:space="preserve"> </w:t>
      </w:r>
      <w:r>
        <w:t>to</w:t>
      </w:r>
      <w:r>
        <w:rPr>
          <w:spacing w:val="-1"/>
        </w:rPr>
        <w:t xml:space="preserve"> </w:t>
      </w:r>
      <w:r>
        <w:t>Rural</w:t>
      </w:r>
      <w:r>
        <w:rPr>
          <w:spacing w:val="-1"/>
        </w:rPr>
        <w:t xml:space="preserve"> </w:t>
      </w:r>
      <w:r>
        <w:t>Development</w:t>
      </w:r>
      <w:r>
        <w:rPr>
          <w:spacing w:val="-1"/>
        </w:rPr>
        <w:t xml:space="preserve"> </w:t>
      </w:r>
      <w:r>
        <w:t>Microloans</w:t>
      </w:r>
      <w:r>
        <w:rPr>
          <w:spacing w:val="-1"/>
        </w:rPr>
        <w:t xml:space="preserve"> </w:t>
      </w:r>
      <w:r>
        <w:t>for</w:t>
      </w:r>
      <w:r>
        <w:rPr>
          <w:spacing w:val="-3"/>
        </w:rPr>
        <w:t xml:space="preserve"> </w:t>
      </w:r>
      <w:r>
        <w:t>Working</w:t>
      </w:r>
      <w:r>
        <w:rPr>
          <w:spacing w:val="-4"/>
        </w:rPr>
        <w:t xml:space="preserve"> </w:t>
      </w:r>
      <w:r>
        <w:t>Capital</w:t>
      </w:r>
      <w:r>
        <w:rPr>
          <w:spacing w:val="-1"/>
        </w:rPr>
        <w:t xml:space="preserve"> </w:t>
      </w:r>
      <w:r>
        <w:t>amounting</w:t>
      </w:r>
      <w:r>
        <w:rPr>
          <w:spacing w:val="-2"/>
        </w:rPr>
        <w:t xml:space="preserve"> </w:t>
      </w:r>
      <w:r>
        <w:t>to</w:t>
      </w:r>
      <w:r>
        <w:rPr>
          <w:spacing w:val="-1"/>
        </w:rPr>
        <w:t xml:space="preserve"> </w:t>
      </w:r>
      <w:r>
        <w:t>EUR</w:t>
      </w:r>
      <w:r>
        <w:rPr>
          <w:spacing w:val="-1"/>
        </w:rPr>
        <w:t xml:space="preserve"> </w:t>
      </w:r>
      <w:r>
        <w:t>25,000</w:t>
      </w:r>
      <w:r>
        <w:rPr>
          <w:spacing w:val="-1"/>
        </w:rPr>
        <w:t xml:space="preserve"> </w:t>
      </w:r>
      <w:r>
        <w:t>at an</w:t>
      </w:r>
      <w:r>
        <w:rPr>
          <w:spacing w:val="-58"/>
        </w:rPr>
        <w:t xml:space="preserve"> </w:t>
      </w:r>
      <w:r>
        <w:t>interest</w:t>
      </w:r>
      <w:r>
        <w:rPr>
          <w:spacing w:val="-1"/>
        </w:rPr>
        <w:t xml:space="preserve"> </w:t>
      </w:r>
      <w:r>
        <w:t>rate of 0.5%.</w:t>
      </w:r>
    </w:p>
    <w:p w:rsidR="00A56FE9" w:rsidRDefault="00000000">
      <w:pPr>
        <w:pStyle w:val="Tijeloteksta"/>
        <w:spacing w:before="121"/>
        <w:ind w:right="272"/>
      </w:pPr>
      <w:r>
        <w:t>HAMAG-BICRO, within the scope of the program COVID-19 Loans for Working Capital,</w:t>
      </w:r>
      <w:r>
        <w:rPr>
          <w:spacing w:val="1"/>
        </w:rPr>
        <w:t xml:space="preserve"> </w:t>
      </w:r>
      <w:r>
        <w:t>approved</w:t>
      </w:r>
      <w:r>
        <w:rPr>
          <w:spacing w:val="59"/>
        </w:rPr>
        <w:t xml:space="preserve"> </w:t>
      </w:r>
      <w:r>
        <w:t>4,512</w:t>
      </w:r>
      <w:r>
        <w:rPr>
          <w:spacing w:val="57"/>
        </w:rPr>
        <w:t xml:space="preserve"> </w:t>
      </w:r>
      <w:r>
        <w:t>loans</w:t>
      </w:r>
      <w:r>
        <w:rPr>
          <w:spacing w:val="1"/>
        </w:rPr>
        <w:t xml:space="preserve"> </w:t>
      </w:r>
      <w:r>
        <w:t>requiring</w:t>
      </w:r>
      <w:r>
        <w:rPr>
          <w:spacing w:val="57"/>
        </w:rPr>
        <w:t xml:space="preserve"> </w:t>
      </w:r>
      <w:r>
        <w:t>the</w:t>
      </w:r>
      <w:r>
        <w:rPr>
          <w:spacing w:val="56"/>
        </w:rPr>
        <w:t xml:space="preserve"> </w:t>
      </w:r>
      <w:r>
        <w:t>securing</w:t>
      </w:r>
      <w:r>
        <w:rPr>
          <w:spacing w:val="57"/>
        </w:rPr>
        <w:t xml:space="preserve"> </w:t>
      </w:r>
      <w:r>
        <w:t>of</w:t>
      </w:r>
      <w:r>
        <w:rPr>
          <w:spacing w:val="59"/>
        </w:rPr>
        <w:t xml:space="preserve"> </w:t>
      </w:r>
      <w:r>
        <w:t>HRK</w:t>
      </w:r>
      <w:r>
        <w:rPr>
          <w:spacing w:val="57"/>
        </w:rPr>
        <w:t xml:space="preserve"> </w:t>
      </w:r>
      <w:r>
        <w:t>1.759</w:t>
      </w:r>
      <w:r>
        <w:rPr>
          <w:spacing w:val="59"/>
        </w:rPr>
        <w:t xml:space="preserve"> </w:t>
      </w:r>
      <w:r>
        <w:t>billion.</w:t>
      </w:r>
      <w:r>
        <w:rPr>
          <w:spacing w:val="59"/>
        </w:rPr>
        <w:t xml:space="preserve"> </w:t>
      </w:r>
      <w:r>
        <w:t>Given</w:t>
      </w:r>
      <w:r>
        <w:rPr>
          <w:spacing w:val="57"/>
        </w:rPr>
        <w:t xml:space="preserve"> </w:t>
      </w:r>
      <w:r>
        <w:t>the</w:t>
      </w:r>
      <w:r>
        <w:rPr>
          <w:spacing w:val="59"/>
        </w:rPr>
        <w:t xml:space="preserve"> </w:t>
      </w:r>
      <w:r>
        <w:t>relatively</w:t>
      </w:r>
      <w:r>
        <w:rPr>
          <w:spacing w:val="-58"/>
        </w:rPr>
        <w:t xml:space="preserve"> </w:t>
      </w:r>
      <w:r>
        <w:t>insufficient financing of enterprises by commercial banks and the continuation of the COVID-</w:t>
      </w:r>
      <w:r>
        <w:rPr>
          <w:spacing w:val="-57"/>
        </w:rPr>
        <w:t xml:space="preserve"> </w:t>
      </w:r>
      <w:r>
        <w:t>19 pandemic, the decision was made to grant an additional allocation of EUR 100 million in</w:t>
      </w:r>
      <w:r>
        <w:rPr>
          <w:spacing w:val="1"/>
        </w:rPr>
        <w:t xml:space="preserve"> </w:t>
      </w:r>
      <w:r>
        <w:t>line with the Croatian Government’s Conclusion on Measures in Assisting the Economy Due</w:t>
      </w:r>
      <w:r>
        <w:rPr>
          <w:spacing w:val="1"/>
        </w:rPr>
        <w:t xml:space="preserve"> </w:t>
      </w:r>
      <w:r>
        <w:t>to</w:t>
      </w:r>
      <w:r>
        <w:rPr>
          <w:spacing w:val="-1"/>
        </w:rPr>
        <w:t xml:space="preserve"> </w:t>
      </w:r>
      <w:r>
        <w:t>the</w:t>
      </w:r>
      <w:r>
        <w:rPr>
          <w:spacing w:val="-1"/>
        </w:rPr>
        <w:t xml:space="preserve"> </w:t>
      </w:r>
      <w:r>
        <w:t>Novel Coronavirus</w:t>
      </w:r>
      <w:r>
        <w:rPr>
          <w:spacing w:val="2"/>
        </w:rPr>
        <w:t xml:space="preserve"> </w:t>
      </w:r>
      <w:r>
        <w:t>Disease</w:t>
      </w:r>
      <w:r>
        <w:rPr>
          <w:spacing w:val="-1"/>
        </w:rPr>
        <w:t xml:space="preserve"> </w:t>
      </w:r>
      <w:r>
        <w:t>Epidemic of</w:t>
      </w:r>
      <w:r>
        <w:rPr>
          <w:spacing w:val="-1"/>
        </w:rPr>
        <w:t xml:space="preserve"> </w:t>
      </w:r>
      <w:r>
        <w:t>November</w:t>
      </w:r>
      <w:r>
        <w:rPr>
          <w:spacing w:val="-2"/>
        </w:rPr>
        <w:t xml:space="preserve"> </w:t>
      </w:r>
      <w:r>
        <w:t>2020.</w:t>
      </w:r>
    </w:p>
    <w:p w:rsidR="00A56FE9" w:rsidRDefault="00000000">
      <w:pPr>
        <w:pStyle w:val="Tijeloteksta"/>
        <w:spacing w:before="120"/>
        <w:ind w:right="281"/>
      </w:pPr>
      <w:r>
        <w:t>HAMAG-BICRO will continue to secure additional liquidity to SMEs through loans and the</w:t>
      </w:r>
      <w:r>
        <w:rPr>
          <w:spacing w:val="1"/>
        </w:rPr>
        <w:t xml:space="preserve"> </w:t>
      </w:r>
      <w:r>
        <w:t>program</w:t>
      </w:r>
      <w:r>
        <w:rPr>
          <w:spacing w:val="-1"/>
        </w:rPr>
        <w:t xml:space="preserve"> </w:t>
      </w:r>
      <w:r>
        <w:t>for</w:t>
      </w:r>
      <w:r>
        <w:rPr>
          <w:spacing w:val="-1"/>
        </w:rPr>
        <w:t xml:space="preserve"> </w:t>
      </w:r>
      <w:r>
        <w:t>individual and</w:t>
      </w:r>
      <w:r>
        <w:rPr>
          <w:spacing w:val="1"/>
        </w:rPr>
        <w:t xml:space="preserve"> </w:t>
      </w:r>
      <w:r>
        <w:t>portfolio loans.</w:t>
      </w:r>
    </w:p>
    <w:p w:rsidR="00A56FE9" w:rsidRDefault="00000000">
      <w:pPr>
        <w:pStyle w:val="Tijeloteksta"/>
        <w:spacing w:before="120"/>
        <w:ind w:right="274"/>
      </w:pPr>
      <w:r>
        <w:t>In</w:t>
      </w:r>
      <w:r>
        <w:rPr>
          <w:spacing w:val="-2"/>
        </w:rPr>
        <w:t xml:space="preserve"> </w:t>
      </w:r>
      <w:r>
        <w:t>response</w:t>
      </w:r>
      <w:r>
        <w:rPr>
          <w:spacing w:val="-2"/>
        </w:rPr>
        <w:t xml:space="preserve"> </w:t>
      </w:r>
      <w:r>
        <w:t>to</w:t>
      </w:r>
      <w:r>
        <w:rPr>
          <w:spacing w:val="-2"/>
        </w:rPr>
        <w:t xml:space="preserve"> </w:t>
      </w:r>
      <w:r>
        <w:t>the</w:t>
      </w:r>
      <w:r>
        <w:rPr>
          <w:spacing w:val="-2"/>
        </w:rPr>
        <w:t xml:space="preserve"> </w:t>
      </w:r>
      <w:r>
        <w:t>negative</w:t>
      </w:r>
      <w:r>
        <w:rPr>
          <w:spacing w:val="-3"/>
        </w:rPr>
        <w:t xml:space="preserve"> </w:t>
      </w:r>
      <w:r>
        <w:t>impacts</w:t>
      </w:r>
      <w:r>
        <w:rPr>
          <w:spacing w:val="-1"/>
        </w:rPr>
        <w:t xml:space="preserve"> </w:t>
      </w:r>
      <w:r>
        <w:t>of</w:t>
      </w:r>
      <w:r>
        <w:rPr>
          <w:spacing w:val="-2"/>
        </w:rPr>
        <w:t xml:space="preserve"> </w:t>
      </w:r>
      <w:r>
        <w:t>the</w:t>
      </w:r>
      <w:r>
        <w:rPr>
          <w:spacing w:val="-2"/>
        </w:rPr>
        <w:t xml:space="preserve"> </w:t>
      </w:r>
      <w:r>
        <w:t>COVIDA-19</w:t>
      </w:r>
      <w:r>
        <w:rPr>
          <w:spacing w:val="-2"/>
        </w:rPr>
        <w:t xml:space="preserve"> </w:t>
      </w:r>
      <w:r>
        <w:t>pandemic,</w:t>
      </w:r>
      <w:r>
        <w:rPr>
          <w:spacing w:val="-2"/>
        </w:rPr>
        <w:t xml:space="preserve"> </w:t>
      </w:r>
      <w:r>
        <w:t>economic</w:t>
      </w:r>
      <w:r>
        <w:rPr>
          <w:spacing w:val="-2"/>
        </w:rPr>
        <w:t xml:space="preserve"> </w:t>
      </w:r>
      <w:r>
        <w:t>support</w:t>
      </w:r>
      <w:r>
        <w:rPr>
          <w:spacing w:val="-2"/>
        </w:rPr>
        <w:t xml:space="preserve"> </w:t>
      </w:r>
      <w:r>
        <w:t>measures</w:t>
      </w:r>
      <w:r>
        <w:rPr>
          <w:spacing w:val="-58"/>
        </w:rPr>
        <w:t xml:space="preserve"> </w:t>
      </w:r>
      <w:r>
        <w:rPr>
          <w:spacing w:val="-1"/>
        </w:rPr>
        <w:t>were</w:t>
      </w:r>
      <w:r>
        <w:rPr>
          <w:spacing w:val="-9"/>
        </w:rPr>
        <w:t xml:space="preserve"> </w:t>
      </w:r>
      <w:r>
        <w:rPr>
          <w:spacing w:val="-1"/>
        </w:rPr>
        <w:t>also</w:t>
      </w:r>
      <w:r>
        <w:rPr>
          <w:spacing w:val="-9"/>
        </w:rPr>
        <w:t xml:space="preserve"> </w:t>
      </w:r>
      <w:r>
        <w:rPr>
          <w:spacing w:val="-1"/>
        </w:rPr>
        <w:t>developed</w:t>
      </w:r>
      <w:r>
        <w:rPr>
          <w:spacing w:val="-10"/>
        </w:rPr>
        <w:t xml:space="preserve"> </w:t>
      </w:r>
      <w:r>
        <w:rPr>
          <w:spacing w:val="-1"/>
        </w:rPr>
        <w:t>by</w:t>
      </w:r>
      <w:r>
        <w:rPr>
          <w:spacing w:val="-15"/>
        </w:rPr>
        <w:t xml:space="preserve"> </w:t>
      </w:r>
      <w:r>
        <w:t>Croatian</w:t>
      </w:r>
      <w:r>
        <w:rPr>
          <w:spacing w:val="-8"/>
        </w:rPr>
        <w:t xml:space="preserve"> </w:t>
      </w:r>
      <w:r>
        <w:t>Bank</w:t>
      </w:r>
      <w:r>
        <w:rPr>
          <w:spacing w:val="-10"/>
        </w:rPr>
        <w:t xml:space="preserve"> </w:t>
      </w:r>
      <w:r>
        <w:t>for</w:t>
      </w:r>
      <w:r>
        <w:rPr>
          <w:spacing w:val="-11"/>
        </w:rPr>
        <w:t xml:space="preserve"> </w:t>
      </w:r>
      <w:r>
        <w:t>Reconstruction</w:t>
      </w:r>
      <w:r>
        <w:rPr>
          <w:spacing w:val="-10"/>
        </w:rPr>
        <w:t xml:space="preserve"> </w:t>
      </w:r>
      <w:r>
        <w:t>and</w:t>
      </w:r>
      <w:r>
        <w:rPr>
          <w:spacing w:val="-10"/>
        </w:rPr>
        <w:t xml:space="preserve"> </w:t>
      </w:r>
      <w:r>
        <w:t>Development</w:t>
      </w:r>
      <w:r>
        <w:rPr>
          <w:spacing w:val="-7"/>
        </w:rPr>
        <w:t xml:space="preserve"> </w:t>
      </w:r>
      <w:r>
        <w:t>(HBOR).</w:t>
      </w:r>
      <w:r>
        <w:rPr>
          <w:spacing w:val="-11"/>
        </w:rPr>
        <w:t xml:space="preserve"> </w:t>
      </w:r>
      <w:r>
        <w:t>HBOR’s</w:t>
      </w:r>
      <w:r>
        <w:rPr>
          <w:spacing w:val="-57"/>
        </w:rPr>
        <w:t xml:space="preserve"> </w:t>
      </w:r>
      <w:r>
        <w:t>COVID-19 measures were developed aimed at providing liquidity support to small, medium</w:t>
      </w:r>
      <w:r>
        <w:rPr>
          <w:spacing w:val="1"/>
        </w:rPr>
        <w:t xml:space="preserve"> </w:t>
      </w:r>
      <w:r>
        <w:t>and</w:t>
      </w:r>
      <w:r>
        <w:rPr>
          <w:spacing w:val="-6"/>
        </w:rPr>
        <w:t xml:space="preserve"> </w:t>
      </w:r>
      <w:r>
        <w:t>large</w:t>
      </w:r>
      <w:r>
        <w:rPr>
          <w:spacing w:val="-5"/>
        </w:rPr>
        <w:t xml:space="preserve"> </w:t>
      </w:r>
      <w:r>
        <w:t>enterprises</w:t>
      </w:r>
      <w:r>
        <w:rPr>
          <w:spacing w:val="-3"/>
        </w:rPr>
        <w:t xml:space="preserve"> </w:t>
      </w:r>
      <w:r>
        <w:t>affected</w:t>
      </w:r>
      <w:r>
        <w:rPr>
          <w:spacing w:val="-7"/>
        </w:rPr>
        <w:t xml:space="preserve"> </w:t>
      </w:r>
      <w:r>
        <w:t>by</w:t>
      </w:r>
      <w:r>
        <w:rPr>
          <w:spacing w:val="-11"/>
        </w:rPr>
        <w:t xml:space="preserve"> </w:t>
      </w:r>
      <w:r>
        <w:t>the</w:t>
      </w:r>
      <w:r>
        <w:rPr>
          <w:spacing w:val="-6"/>
        </w:rPr>
        <w:t xml:space="preserve"> </w:t>
      </w:r>
      <w:r>
        <w:t>negative</w:t>
      </w:r>
      <w:r>
        <w:rPr>
          <w:spacing w:val="-5"/>
        </w:rPr>
        <w:t xml:space="preserve"> </w:t>
      </w:r>
      <w:r>
        <w:t>effects</w:t>
      </w:r>
      <w:r>
        <w:rPr>
          <w:spacing w:val="-5"/>
        </w:rPr>
        <w:t xml:space="preserve"> </w:t>
      </w:r>
      <w:r>
        <w:t>of</w:t>
      </w:r>
      <w:r>
        <w:rPr>
          <w:spacing w:val="-7"/>
        </w:rPr>
        <w:t xml:space="preserve"> </w:t>
      </w:r>
      <w:r>
        <w:t>the</w:t>
      </w:r>
      <w:r>
        <w:rPr>
          <w:spacing w:val="-5"/>
        </w:rPr>
        <w:t xml:space="preserve"> </w:t>
      </w:r>
      <w:r>
        <w:t>pandemic.</w:t>
      </w:r>
      <w:r>
        <w:rPr>
          <w:spacing w:val="-3"/>
        </w:rPr>
        <w:t xml:space="preserve"> </w:t>
      </w:r>
      <w:r>
        <w:t>The</w:t>
      </w:r>
      <w:r>
        <w:rPr>
          <w:spacing w:val="-3"/>
        </w:rPr>
        <w:t xml:space="preserve"> </w:t>
      </w:r>
      <w:r>
        <w:t>measures</w:t>
      </w:r>
      <w:r>
        <w:rPr>
          <w:spacing w:val="-4"/>
        </w:rPr>
        <w:t xml:space="preserve"> </w:t>
      </w:r>
      <w:r>
        <w:t>have</w:t>
      </w:r>
      <w:r>
        <w:rPr>
          <w:spacing w:val="-4"/>
        </w:rPr>
        <w:t xml:space="preserve"> </w:t>
      </w:r>
      <w:r>
        <w:t>been</w:t>
      </w:r>
      <w:r>
        <w:rPr>
          <w:spacing w:val="-58"/>
        </w:rPr>
        <w:t xml:space="preserve"> </w:t>
      </w:r>
      <w:r>
        <w:t>notified under the Temporary Framework for State Aid. In addition to HBOR’s horizontal</w:t>
      </w:r>
      <w:r>
        <w:rPr>
          <w:spacing w:val="1"/>
        </w:rPr>
        <w:t xml:space="preserve"> </w:t>
      </w:r>
      <w:r>
        <w:t>COVID-19 measures, in cooperation with line ministries, additional sectoral measures were</w:t>
      </w:r>
      <w:r>
        <w:rPr>
          <w:spacing w:val="1"/>
        </w:rPr>
        <w:t xml:space="preserve"> </w:t>
      </w:r>
      <w:r>
        <w:t>developed</w:t>
      </w:r>
      <w:r>
        <w:rPr>
          <w:spacing w:val="-8"/>
        </w:rPr>
        <w:t xml:space="preserve"> </w:t>
      </w:r>
      <w:r>
        <w:t>and</w:t>
      </w:r>
      <w:r>
        <w:rPr>
          <w:spacing w:val="-8"/>
        </w:rPr>
        <w:t xml:space="preserve"> </w:t>
      </w:r>
      <w:r>
        <w:t>reported</w:t>
      </w:r>
      <w:r>
        <w:rPr>
          <w:spacing w:val="-8"/>
        </w:rPr>
        <w:t xml:space="preserve"> </w:t>
      </w:r>
      <w:r>
        <w:t>to</w:t>
      </w:r>
      <w:r>
        <w:rPr>
          <w:spacing w:val="-9"/>
        </w:rPr>
        <w:t xml:space="preserve"> </w:t>
      </w:r>
      <w:r>
        <w:t>the</w:t>
      </w:r>
      <w:r>
        <w:rPr>
          <w:spacing w:val="-11"/>
        </w:rPr>
        <w:t xml:space="preserve"> </w:t>
      </w:r>
      <w:r>
        <w:t>EC,</w:t>
      </w:r>
      <w:r>
        <w:rPr>
          <w:spacing w:val="-10"/>
        </w:rPr>
        <w:t xml:space="preserve"> </w:t>
      </w:r>
      <w:r>
        <w:t>targeting</w:t>
      </w:r>
      <w:r>
        <w:rPr>
          <w:spacing w:val="-12"/>
        </w:rPr>
        <w:t xml:space="preserve"> </w:t>
      </w:r>
      <w:r>
        <w:t>sectors</w:t>
      </w:r>
      <w:r>
        <w:rPr>
          <w:spacing w:val="-9"/>
        </w:rPr>
        <w:t xml:space="preserve"> </w:t>
      </w:r>
      <w:r>
        <w:t>that</w:t>
      </w:r>
      <w:r>
        <w:rPr>
          <w:spacing w:val="-10"/>
        </w:rPr>
        <w:t xml:space="preserve"> </w:t>
      </w:r>
      <w:r>
        <w:t>are</w:t>
      </w:r>
      <w:r>
        <w:rPr>
          <w:spacing w:val="-11"/>
        </w:rPr>
        <w:t xml:space="preserve"> </w:t>
      </w:r>
      <w:r>
        <w:t>particularly</w:t>
      </w:r>
      <w:r>
        <w:rPr>
          <w:spacing w:val="-12"/>
        </w:rPr>
        <w:t xml:space="preserve"> </w:t>
      </w:r>
      <w:r>
        <w:t>strongly</w:t>
      </w:r>
      <w:r>
        <w:rPr>
          <w:spacing w:val="-11"/>
        </w:rPr>
        <w:t xml:space="preserve"> </w:t>
      </w:r>
      <w:r>
        <w:t>affected</w:t>
      </w:r>
      <w:r>
        <w:rPr>
          <w:spacing w:val="-8"/>
        </w:rPr>
        <w:t xml:space="preserve"> </w:t>
      </w:r>
      <w:r>
        <w:t>by</w:t>
      </w:r>
      <w:r>
        <w:rPr>
          <w:spacing w:val="-15"/>
        </w:rPr>
        <w:t xml:space="preserve"> </w:t>
      </w:r>
      <w:r>
        <w:t>the</w:t>
      </w:r>
      <w:r>
        <w:rPr>
          <w:spacing w:val="-57"/>
        </w:rPr>
        <w:t xml:space="preserve"> </w:t>
      </w:r>
      <w:r>
        <w:t>negative</w:t>
      </w:r>
      <w:r>
        <w:rPr>
          <w:spacing w:val="-2"/>
        </w:rPr>
        <w:t xml:space="preserve"> </w:t>
      </w:r>
      <w:r>
        <w:t>effects of the pandemic</w:t>
      </w:r>
      <w:r>
        <w:rPr>
          <w:spacing w:val="-1"/>
        </w:rPr>
        <w:t xml:space="preserve"> </w:t>
      </w:r>
      <w:r>
        <w:t>(tourism,</w:t>
      </w:r>
      <w:r>
        <w:rPr>
          <w:spacing w:val="-1"/>
        </w:rPr>
        <w:t xml:space="preserve"> </w:t>
      </w:r>
      <w:r>
        <w:t>passenger traffic, etc.).</w:t>
      </w:r>
    </w:p>
    <w:p w:rsidR="00A56FE9" w:rsidRDefault="00000000">
      <w:pPr>
        <w:pStyle w:val="Tijeloteksta"/>
        <w:spacing w:before="120"/>
        <w:ind w:right="274"/>
      </w:pPr>
      <w:r>
        <w:t>HBOR’s</w:t>
      </w:r>
      <w:r>
        <w:rPr>
          <w:spacing w:val="-12"/>
        </w:rPr>
        <w:t xml:space="preserve"> </w:t>
      </w:r>
      <w:r>
        <w:t>COVID-19</w:t>
      </w:r>
      <w:r>
        <w:rPr>
          <w:spacing w:val="-9"/>
        </w:rPr>
        <w:t xml:space="preserve"> </w:t>
      </w:r>
      <w:r>
        <w:t>measures</w:t>
      </w:r>
      <w:r>
        <w:rPr>
          <w:spacing w:val="-11"/>
        </w:rPr>
        <w:t xml:space="preserve"> </w:t>
      </w:r>
      <w:r>
        <w:t>are</w:t>
      </w:r>
      <w:r>
        <w:rPr>
          <w:spacing w:val="-13"/>
        </w:rPr>
        <w:t xml:space="preserve"> </w:t>
      </w:r>
      <w:r>
        <w:t>implemented</w:t>
      </w:r>
      <w:r>
        <w:rPr>
          <w:spacing w:val="-11"/>
        </w:rPr>
        <w:t xml:space="preserve"> </w:t>
      </w:r>
      <w:r>
        <w:t>through</w:t>
      </w:r>
      <w:r>
        <w:rPr>
          <w:spacing w:val="-6"/>
        </w:rPr>
        <w:t xml:space="preserve"> </w:t>
      </w:r>
      <w:r>
        <w:t>its</w:t>
      </w:r>
      <w:r>
        <w:rPr>
          <w:spacing w:val="-11"/>
        </w:rPr>
        <w:t xml:space="preserve"> </w:t>
      </w:r>
      <w:r>
        <w:t>direct</w:t>
      </w:r>
      <w:r>
        <w:rPr>
          <w:spacing w:val="-12"/>
        </w:rPr>
        <w:t xml:space="preserve"> </w:t>
      </w:r>
      <w:r>
        <w:t>lending</w:t>
      </w:r>
      <w:r>
        <w:rPr>
          <w:spacing w:val="-11"/>
        </w:rPr>
        <w:t xml:space="preserve"> </w:t>
      </w:r>
      <w:r>
        <w:t>and</w:t>
      </w:r>
      <w:r>
        <w:rPr>
          <w:spacing w:val="-11"/>
        </w:rPr>
        <w:t xml:space="preserve"> </w:t>
      </w:r>
      <w:r>
        <w:t>cooperation</w:t>
      </w:r>
      <w:r>
        <w:rPr>
          <w:spacing w:val="-11"/>
        </w:rPr>
        <w:t xml:space="preserve"> </w:t>
      </w:r>
      <w:r>
        <w:t>with</w:t>
      </w:r>
      <w:r>
        <w:rPr>
          <w:spacing w:val="-58"/>
        </w:rPr>
        <w:t xml:space="preserve"> </w:t>
      </w:r>
      <w:r>
        <w:t xml:space="preserve">financial institutions to achieve a </w:t>
      </w:r>
      <w:r>
        <w:rPr>
          <w:i/>
        </w:rPr>
        <w:t xml:space="preserve">crowding in </w:t>
      </w:r>
      <w:r>
        <w:t>effect. HBOR’s COVID-19 measures include</w:t>
      </w:r>
      <w:r>
        <w:rPr>
          <w:spacing w:val="1"/>
        </w:rPr>
        <w:t xml:space="preserve"> </w:t>
      </w:r>
      <w:r>
        <w:t>more favourable liquidity loans and COVID-19 guarantees/insurance policies for liquidity</w:t>
      </w:r>
      <w:r>
        <w:rPr>
          <w:spacing w:val="1"/>
        </w:rPr>
        <w:t xml:space="preserve"> </w:t>
      </w:r>
      <w:r>
        <w:t>loans.</w:t>
      </w:r>
    </w:p>
    <w:p w:rsidR="00A56FE9" w:rsidRDefault="00000000">
      <w:pPr>
        <w:pStyle w:val="Tijeloteksta"/>
        <w:spacing w:before="121"/>
        <w:ind w:right="273"/>
      </w:pPr>
      <w:r>
        <w:t>Since the implementation of HBOR’s COVID-19 measures leading to the end of 2021, more</w:t>
      </w:r>
      <w:r>
        <w:rPr>
          <w:spacing w:val="1"/>
        </w:rPr>
        <w:t xml:space="preserve"> </w:t>
      </w:r>
      <w:r>
        <w:t>than</w:t>
      </w:r>
      <w:r>
        <w:rPr>
          <w:spacing w:val="-7"/>
        </w:rPr>
        <w:t xml:space="preserve"> </w:t>
      </w:r>
      <w:r>
        <w:t>HRK</w:t>
      </w:r>
      <w:r>
        <w:rPr>
          <w:spacing w:val="-6"/>
        </w:rPr>
        <w:t xml:space="preserve"> </w:t>
      </w:r>
      <w:r>
        <w:t>2.1</w:t>
      </w:r>
      <w:r>
        <w:rPr>
          <w:spacing w:val="-6"/>
        </w:rPr>
        <w:t xml:space="preserve"> </w:t>
      </w:r>
      <w:r>
        <w:t>billion</w:t>
      </w:r>
      <w:r>
        <w:rPr>
          <w:spacing w:val="-8"/>
        </w:rPr>
        <w:t xml:space="preserve"> </w:t>
      </w:r>
      <w:r>
        <w:t>of</w:t>
      </w:r>
      <w:r>
        <w:rPr>
          <w:spacing w:val="-9"/>
        </w:rPr>
        <w:t xml:space="preserve"> </w:t>
      </w:r>
      <w:r>
        <w:t>COVID-19</w:t>
      </w:r>
      <w:r>
        <w:rPr>
          <w:spacing w:val="-5"/>
        </w:rPr>
        <w:t xml:space="preserve"> </w:t>
      </w:r>
      <w:r>
        <w:t>loans</w:t>
      </w:r>
      <w:r>
        <w:rPr>
          <w:spacing w:val="-6"/>
        </w:rPr>
        <w:t xml:space="preserve"> </w:t>
      </w:r>
      <w:r>
        <w:t>have</w:t>
      </w:r>
      <w:r>
        <w:rPr>
          <w:spacing w:val="-6"/>
        </w:rPr>
        <w:t xml:space="preserve"> </w:t>
      </w:r>
      <w:r>
        <w:t>been</w:t>
      </w:r>
      <w:r>
        <w:rPr>
          <w:spacing w:val="-6"/>
        </w:rPr>
        <w:t xml:space="preserve"> </w:t>
      </w:r>
      <w:r>
        <w:t>approved,</w:t>
      </w:r>
      <w:r>
        <w:rPr>
          <w:spacing w:val="-5"/>
        </w:rPr>
        <w:t xml:space="preserve"> </w:t>
      </w:r>
      <w:r>
        <w:t>and</w:t>
      </w:r>
      <w:r>
        <w:rPr>
          <w:spacing w:val="-5"/>
        </w:rPr>
        <w:t xml:space="preserve"> </w:t>
      </w:r>
      <w:r>
        <w:t>more</w:t>
      </w:r>
      <w:r>
        <w:rPr>
          <w:spacing w:val="-7"/>
        </w:rPr>
        <w:t xml:space="preserve"> </w:t>
      </w:r>
      <w:r>
        <w:t>than</w:t>
      </w:r>
      <w:r>
        <w:rPr>
          <w:spacing w:val="-5"/>
        </w:rPr>
        <w:t xml:space="preserve"> </w:t>
      </w:r>
      <w:r>
        <w:t>HRK</w:t>
      </w:r>
      <w:r>
        <w:rPr>
          <w:spacing w:val="-7"/>
        </w:rPr>
        <w:t xml:space="preserve"> </w:t>
      </w:r>
      <w:r>
        <w:t>3</w:t>
      </w:r>
      <w:r>
        <w:rPr>
          <w:spacing w:val="-5"/>
        </w:rPr>
        <w:t xml:space="preserve"> </w:t>
      </w:r>
      <w:r>
        <w:t>billion</w:t>
      </w:r>
      <w:r>
        <w:rPr>
          <w:spacing w:val="-6"/>
        </w:rPr>
        <w:t xml:space="preserve"> </w:t>
      </w:r>
      <w:r>
        <w:t>of</w:t>
      </w:r>
      <w:r>
        <w:rPr>
          <w:spacing w:val="-57"/>
        </w:rPr>
        <w:t xml:space="preserve"> </w:t>
      </w:r>
      <w:r>
        <w:t>loans</w:t>
      </w:r>
      <w:r>
        <w:rPr>
          <w:spacing w:val="1"/>
        </w:rPr>
        <w:t xml:space="preserve"> </w:t>
      </w:r>
      <w:r>
        <w:t>were</w:t>
      </w:r>
      <w:r>
        <w:rPr>
          <w:spacing w:val="1"/>
        </w:rPr>
        <w:t xml:space="preserve"> </w:t>
      </w:r>
      <w:r>
        <w:t>provided</w:t>
      </w:r>
      <w:r>
        <w:rPr>
          <w:spacing w:val="1"/>
        </w:rPr>
        <w:t xml:space="preserve"> </w:t>
      </w:r>
      <w:r>
        <w:t>through</w:t>
      </w:r>
      <w:r>
        <w:rPr>
          <w:spacing w:val="1"/>
        </w:rPr>
        <w:t xml:space="preserve"> </w:t>
      </w:r>
      <w:r>
        <w:t>HBOR's</w:t>
      </w:r>
      <w:r>
        <w:rPr>
          <w:spacing w:val="1"/>
        </w:rPr>
        <w:t xml:space="preserve"> </w:t>
      </w:r>
      <w:r>
        <w:t>COVID-19</w:t>
      </w:r>
      <w:r>
        <w:rPr>
          <w:spacing w:val="1"/>
        </w:rPr>
        <w:t xml:space="preserve"> </w:t>
      </w:r>
      <w:r>
        <w:t>loan</w:t>
      </w:r>
      <w:r>
        <w:rPr>
          <w:spacing w:val="1"/>
        </w:rPr>
        <w:t xml:space="preserve"> </w:t>
      </w:r>
      <w:r>
        <w:t>guarantee/insurance</w:t>
      </w:r>
      <w:r>
        <w:rPr>
          <w:spacing w:val="1"/>
        </w:rPr>
        <w:t xml:space="preserve"> </w:t>
      </w:r>
      <w:r>
        <w:t>policies</w:t>
      </w:r>
      <w:r>
        <w:rPr>
          <w:spacing w:val="1"/>
        </w:rPr>
        <w:t xml:space="preserve"> </w:t>
      </w:r>
      <w:r>
        <w:t>for</w:t>
      </w:r>
      <w:r>
        <w:rPr>
          <w:spacing w:val="1"/>
        </w:rPr>
        <w:t xml:space="preserve"> </w:t>
      </w:r>
      <w:r>
        <w:t>entrepreneurial</w:t>
      </w:r>
      <w:r>
        <w:rPr>
          <w:spacing w:val="-1"/>
        </w:rPr>
        <w:t xml:space="preserve"> </w:t>
      </w:r>
      <w:r>
        <w:t>liquidity.</w:t>
      </w:r>
    </w:p>
    <w:p w:rsidR="00A56FE9" w:rsidRDefault="00000000">
      <w:pPr>
        <w:pStyle w:val="Tijeloteksta"/>
        <w:spacing w:before="120"/>
        <w:ind w:right="273"/>
      </w:pPr>
      <w:r>
        <w:t>In</w:t>
      </w:r>
      <w:r>
        <w:rPr>
          <w:spacing w:val="-4"/>
        </w:rPr>
        <w:t xml:space="preserve"> </w:t>
      </w:r>
      <w:r>
        <w:t>addition</w:t>
      </w:r>
      <w:r>
        <w:rPr>
          <w:spacing w:val="-6"/>
        </w:rPr>
        <w:t xml:space="preserve"> </w:t>
      </w:r>
      <w:r>
        <w:t>to</w:t>
      </w:r>
      <w:r>
        <w:rPr>
          <w:spacing w:val="-6"/>
        </w:rPr>
        <w:t xml:space="preserve"> </w:t>
      </w:r>
      <w:r>
        <w:t>the</w:t>
      </w:r>
      <w:r>
        <w:rPr>
          <w:spacing w:val="-7"/>
        </w:rPr>
        <w:t xml:space="preserve"> </w:t>
      </w:r>
      <w:r>
        <w:t>mentioned</w:t>
      </w:r>
      <w:r>
        <w:rPr>
          <w:spacing w:val="-7"/>
        </w:rPr>
        <w:t xml:space="preserve"> </w:t>
      </w:r>
      <w:r>
        <w:t>measures</w:t>
      </w:r>
      <w:r>
        <w:rPr>
          <w:spacing w:val="-6"/>
        </w:rPr>
        <w:t xml:space="preserve"> </w:t>
      </w:r>
      <w:r>
        <w:t>introduced</w:t>
      </w:r>
      <w:r>
        <w:rPr>
          <w:spacing w:val="-4"/>
        </w:rPr>
        <w:t xml:space="preserve"> </w:t>
      </w:r>
      <w:r>
        <w:t>to</w:t>
      </w:r>
      <w:r>
        <w:rPr>
          <w:spacing w:val="-6"/>
        </w:rPr>
        <w:t xml:space="preserve"> </w:t>
      </w:r>
      <w:r>
        <w:t>provide</w:t>
      </w:r>
      <w:r>
        <w:rPr>
          <w:spacing w:val="-7"/>
        </w:rPr>
        <w:t xml:space="preserve"> </w:t>
      </w:r>
      <w:r>
        <w:t>liquidity</w:t>
      </w:r>
      <w:r>
        <w:rPr>
          <w:spacing w:val="-10"/>
        </w:rPr>
        <w:t xml:space="preserve"> </w:t>
      </w:r>
      <w:r>
        <w:t>support</w:t>
      </w:r>
      <w:r>
        <w:rPr>
          <w:spacing w:val="-6"/>
        </w:rPr>
        <w:t xml:space="preserve"> </w:t>
      </w:r>
      <w:r>
        <w:t>to</w:t>
      </w:r>
      <w:r>
        <w:rPr>
          <w:spacing w:val="-6"/>
        </w:rPr>
        <w:t xml:space="preserve"> </w:t>
      </w:r>
      <w:r>
        <w:t>entrepreneurs,</w:t>
      </w:r>
      <w:r>
        <w:rPr>
          <w:spacing w:val="-58"/>
        </w:rPr>
        <w:t xml:space="preserve"> </w:t>
      </w:r>
      <w:r>
        <w:t>HBOR has also been involved in implementing guarantee schemes within the Pan-European</w:t>
      </w:r>
      <w:r>
        <w:rPr>
          <w:spacing w:val="1"/>
        </w:rPr>
        <w:t xml:space="preserve"> </w:t>
      </w:r>
      <w:r>
        <w:t>Guarantee</w:t>
      </w:r>
      <w:r>
        <w:rPr>
          <w:spacing w:val="1"/>
        </w:rPr>
        <w:t xml:space="preserve"> </w:t>
      </w:r>
      <w:r>
        <w:t>Fund</w:t>
      </w:r>
      <w:r>
        <w:rPr>
          <w:spacing w:val="1"/>
        </w:rPr>
        <w:t xml:space="preserve"> </w:t>
      </w:r>
      <w:r>
        <w:t>(EGF).</w:t>
      </w:r>
      <w:r>
        <w:rPr>
          <w:spacing w:val="1"/>
        </w:rPr>
        <w:t xml:space="preserve"> </w:t>
      </w:r>
      <w:r>
        <w:t>In</w:t>
      </w:r>
      <w:r>
        <w:rPr>
          <w:spacing w:val="1"/>
        </w:rPr>
        <w:t xml:space="preserve"> </w:t>
      </w:r>
      <w:r>
        <w:t>May</w:t>
      </w:r>
      <w:r>
        <w:rPr>
          <w:spacing w:val="1"/>
        </w:rPr>
        <w:t xml:space="preserve"> </w:t>
      </w:r>
      <w:r>
        <w:t>2021,</w:t>
      </w:r>
      <w:r>
        <w:rPr>
          <w:spacing w:val="1"/>
        </w:rPr>
        <w:t xml:space="preserve"> </w:t>
      </w:r>
      <w:r>
        <w:t>a</w:t>
      </w:r>
      <w:r>
        <w:rPr>
          <w:spacing w:val="1"/>
        </w:rPr>
        <w:t xml:space="preserve"> </w:t>
      </w:r>
      <w:r>
        <w:t>Guarantee</w:t>
      </w:r>
      <w:r>
        <w:rPr>
          <w:spacing w:val="1"/>
        </w:rPr>
        <w:t xml:space="preserve"> </w:t>
      </w:r>
      <w:r>
        <w:t>Agreement</w:t>
      </w:r>
      <w:r>
        <w:rPr>
          <w:spacing w:val="1"/>
        </w:rPr>
        <w:t xml:space="preserve"> </w:t>
      </w:r>
      <w:r>
        <w:t>was</w:t>
      </w:r>
      <w:r>
        <w:rPr>
          <w:spacing w:val="1"/>
        </w:rPr>
        <w:t xml:space="preserve"> </w:t>
      </w:r>
      <w:r>
        <w:t>concluded</w:t>
      </w:r>
      <w:r>
        <w:rPr>
          <w:spacing w:val="1"/>
        </w:rPr>
        <w:t xml:space="preserve"> </w:t>
      </w:r>
      <w:r>
        <w:t>with</w:t>
      </w:r>
      <w:r>
        <w:rPr>
          <w:spacing w:val="1"/>
        </w:rPr>
        <w:t xml:space="preserve"> </w:t>
      </w:r>
      <w:r>
        <w:t>the</w:t>
      </w:r>
      <w:r>
        <w:rPr>
          <w:spacing w:val="1"/>
        </w:rPr>
        <w:t xml:space="preserve"> </w:t>
      </w:r>
      <w:r>
        <w:t>European</w:t>
      </w:r>
      <w:r>
        <w:rPr>
          <w:spacing w:val="-7"/>
        </w:rPr>
        <w:t xml:space="preserve"> </w:t>
      </w:r>
      <w:r>
        <w:t>Investment</w:t>
      </w:r>
      <w:r>
        <w:rPr>
          <w:spacing w:val="-8"/>
        </w:rPr>
        <w:t xml:space="preserve"> </w:t>
      </w:r>
      <w:r>
        <w:t>Fund</w:t>
      </w:r>
      <w:r>
        <w:rPr>
          <w:spacing w:val="-9"/>
        </w:rPr>
        <w:t xml:space="preserve"> </w:t>
      </w:r>
      <w:r>
        <w:t>(EIF),</w:t>
      </w:r>
      <w:r>
        <w:rPr>
          <w:spacing w:val="-9"/>
        </w:rPr>
        <w:t xml:space="preserve"> </w:t>
      </w:r>
      <w:r>
        <w:t>a</w:t>
      </w:r>
      <w:r>
        <w:rPr>
          <w:spacing w:val="-10"/>
        </w:rPr>
        <w:t xml:space="preserve"> </w:t>
      </w:r>
      <w:r>
        <w:t>member</w:t>
      </w:r>
      <w:r>
        <w:rPr>
          <w:spacing w:val="-9"/>
        </w:rPr>
        <w:t xml:space="preserve"> </w:t>
      </w:r>
      <w:r>
        <w:t>of</w:t>
      </w:r>
      <w:r>
        <w:rPr>
          <w:spacing w:val="-9"/>
        </w:rPr>
        <w:t xml:space="preserve"> </w:t>
      </w:r>
      <w:r>
        <w:t>the</w:t>
      </w:r>
      <w:r>
        <w:rPr>
          <w:spacing w:val="-10"/>
        </w:rPr>
        <w:t xml:space="preserve"> </w:t>
      </w:r>
      <w:r>
        <w:t>EIB</w:t>
      </w:r>
      <w:r>
        <w:rPr>
          <w:spacing w:val="-8"/>
        </w:rPr>
        <w:t xml:space="preserve"> </w:t>
      </w:r>
      <w:r>
        <w:t>Group,</w:t>
      </w:r>
      <w:r>
        <w:rPr>
          <w:spacing w:val="-9"/>
        </w:rPr>
        <w:t xml:space="preserve"> </w:t>
      </w:r>
      <w:r>
        <w:t>where</w:t>
      </w:r>
      <w:r>
        <w:rPr>
          <w:spacing w:val="-8"/>
        </w:rPr>
        <w:t xml:space="preserve"> </w:t>
      </w:r>
      <w:r>
        <w:t>HBOR</w:t>
      </w:r>
      <w:r>
        <w:rPr>
          <w:spacing w:val="-8"/>
        </w:rPr>
        <w:t xml:space="preserve"> </w:t>
      </w:r>
      <w:r>
        <w:t>was</w:t>
      </w:r>
      <w:r>
        <w:rPr>
          <w:spacing w:val="-8"/>
        </w:rPr>
        <w:t xml:space="preserve"> </w:t>
      </w:r>
      <w:r>
        <w:t>given</w:t>
      </w:r>
      <w:r>
        <w:rPr>
          <w:spacing w:val="-9"/>
        </w:rPr>
        <w:t xml:space="preserve"> </w:t>
      </w:r>
      <w:r>
        <w:t>the</w:t>
      </w:r>
      <w:r>
        <w:rPr>
          <w:spacing w:val="-9"/>
        </w:rPr>
        <w:t xml:space="preserve"> </w:t>
      </w:r>
      <w:r>
        <w:t>use</w:t>
      </w:r>
      <w:r>
        <w:rPr>
          <w:spacing w:val="-58"/>
        </w:rPr>
        <w:t xml:space="preserve"> </w:t>
      </w:r>
      <w:r>
        <w:t>of</w:t>
      </w:r>
      <w:r>
        <w:rPr>
          <w:spacing w:val="-5"/>
        </w:rPr>
        <w:t xml:space="preserve"> </w:t>
      </w:r>
      <w:r>
        <w:t>guarantees</w:t>
      </w:r>
      <w:r>
        <w:rPr>
          <w:spacing w:val="-4"/>
        </w:rPr>
        <w:t xml:space="preserve"> </w:t>
      </w:r>
      <w:r>
        <w:t>for</w:t>
      </w:r>
      <w:r>
        <w:rPr>
          <w:spacing w:val="-7"/>
        </w:rPr>
        <w:t xml:space="preserve"> </w:t>
      </w:r>
      <w:r>
        <w:t>the</w:t>
      </w:r>
      <w:r>
        <w:rPr>
          <w:spacing w:val="-5"/>
        </w:rPr>
        <w:t xml:space="preserve"> </w:t>
      </w:r>
      <w:r>
        <w:t>loan</w:t>
      </w:r>
      <w:r>
        <w:rPr>
          <w:spacing w:val="-4"/>
        </w:rPr>
        <w:t xml:space="preserve"> </w:t>
      </w:r>
      <w:r>
        <w:t>portfolio</w:t>
      </w:r>
      <w:r>
        <w:rPr>
          <w:spacing w:val="-6"/>
        </w:rPr>
        <w:t xml:space="preserve"> </w:t>
      </w:r>
      <w:r>
        <w:t>approved</w:t>
      </w:r>
      <w:r>
        <w:rPr>
          <w:spacing w:val="-5"/>
        </w:rPr>
        <w:t xml:space="preserve"> </w:t>
      </w:r>
      <w:r>
        <w:t>to</w:t>
      </w:r>
      <w:r>
        <w:rPr>
          <w:spacing w:val="-6"/>
        </w:rPr>
        <w:t xml:space="preserve"> </w:t>
      </w:r>
      <w:r>
        <w:t>small</w:t>
      </w:r>
      <w:r>
        <w:rPr>
          <w:spacing w:val="-5"/>
        </w:rPr>
        <w:t xml:space="preserve"> </w:t>
      </w:r>
      <w:r>
        <w:t>and</w:t>
      </w:r>
      <w:r>
        <w:rPr>
          <w:spacing w:val="-6"/>
        </w:rPr>
        <w:t xml:space="preserve"> </w:t>
      </w:r>
      <w:r>
        <w:t>medium-sized</w:t>
      </w:r>
      <w:r>
        <w:rPr>
          <w:spacing w:val="-5"/>
        </w:rPr>
        <w:t xml:space="preserve"> </w:t>
      </w:r>
      <w:r>
        <w:t>enterprises</w:t>
      </w:r>
      <w:r>
        <w:rPr>
          <w:spacing w:val="-4"/>
        </w:rPr>
        <w:t xml:space="preserve"> </w:t>
      </w:r>
      <w:r>
        <w:t>and</w:t>
      </w:r>
      <w:r>
        <w:rPr>
          <w:spacing w:val="-5"/>
        </w:rPr>
        <w:t xml:space="preserve"> </w:t>
      </w:r>
      <w:r>
        <w:t>small-</w:t>
      </w:r>
      <w:r>
        <w:rPr>
          <w:spacing w:val="-58"/>
        </w:rPr>
        <w:t xml:space="preserve"> </w:t>
      </w:r>
      <w:r>
        <w:t>medium capitalised enterprises amounting to a total of EUR 50 million. Subsequently, in June</w:t>
      </w:r>
      <w:r>
        <w:rPr>
          <w:spacing w:val="-57"/>
        </w:rPr>
        <w:t xml:space="preserve"> </w:t>
      </w:r>
      <w:r>
        <w:t>2021,</w:t>
      </w:r>
      <w:r>
        <w:rPr>
          <w:spacing w:val="-4"/>
        </w:rPr>
        <w:t xml:space="preserve"> </w:t>
      </w:r>
      <w:r>
        <w:t>a</w:t>
      </w:r>
      <w:r>
        <w:rPr>
          <w:spacing w:val="-5"/>
        </w:rPr>
        <w:t xml:space="preserve"> </w:t>
      </w:r>
      <w:r>
        <w:t>Guarantee</w:t>
      </w:r>
      <w:r>
        <w:rPr>
          <w:spacing w:val="-5"/>
        </w:rPr>
        <w:t xml:space="preserve"> </w:t>
      </w:r>
      <w:r>
        <w:t>Agreement</w:t>
      </w:r>
      <w:r>
        <w:rPr>
          <w:spacing w:val="-4"/>
        </w:rPr>
        <w:t xml:space="preserve"> </w:t>
      </w:r>
      <w:r>
        <w:t>amounting</w:t>
      </w:r>
      <w:r>
        <w:rPr>
          <w:spacing w:val="-6"/>
        </w:rPr>
        <w:t xml:space="preserve"> </w:t>
      </w:r>
      <w:r>
        <w:t>to</w:t>
      </w:r>
      <w:r>
        <w:rPr>
          <w:spacing w:val="-2"/>
        </w:rPr>
        <w:t xml:space="preserve"> </w:t>
      </w:r>
      <w:r>
        <w:t>EUR</w:t>
      </w:r>
      <w:r>
        <w:rPr>
          <w:spacing w:val="-3"/>
        </w:rPr>
        <w:t xml:space="preserve"> </w:t>
      </w:r>
      <w:r>
        <w:t>50</w:t>
      </w:r>
      <w:r>
        <w:rPr>
          <w:spacing w:val="-4"/>
        </w:rPr>
        <w:t xml:space="preserve"> </w:t>
      </w:r>
      <w:r>
        <w:t>million</w:t>
      </w:r>
      <w:r>
        <w:rPr>
          <w:spacing w:val="-3"/>
        </w:rPr>
        <w:t xml:space="preserve"> </w:t>
      </w:r>
      <w:r>
        <w:t>was</w:t>
      </w:r>
      <w:r>
        <w:rPr>
          <w:spacing w:val="-4"/>
        </w:rPr>
        <w:t xml:space="preserve"> </w:t>
      </w:r>
      <w:r>
        <w:t>concluded</w:t>
      </w:r>
      <w:r>
        <w:rPr>
          <w:spacing w:val="-4"/>
        </w:rPr>
        <w:t xml:space="preserve"> </w:t>
      </w:r>
      <w:r>
        <w:t>with</w:t>
      </w:r>
      <w:r>
        <w:rPr>
          <w:spacing w:val="-3"/>
        </w:rPr>
        <w:t xml:space="preserve"> </w:t>
      </w:r>
      <w:r>
        <w:t>the</w:t>
      </w:r>
      <w:r>
        <w:rPr>
          <w:spacing w:val="-3"/>
        </w:rPr>
        <w:t xml:space="preserve"> </w:t>
      </w:r>
      <w:r>
        <w:t>European</w:t>
      </w:r>
      <w:r>
        <w:rPr>
          <w:spacing w:val="-58"/>
        </w:rPr>
        <w:t xml:space="preserve"> </w:t>
      </w:r>
      <w:r>
        <w:t>Investment Bank (EIB) for loans granted to medium-sized and large entrepreneurs to finance</w:t>
      </w:r>
      <w:r>
        <w:rPr>
          <w:spacing w:val="1"/>
        </w:rPr>
        <w:t xml:space="preserve"> </w:t>
      </w:r>
      <w:r>
        <w:t>recovery</w:t>
      </w:r>
      <w:r>
        <w:rPr>
          <w:spacing w:val="-6"/>
        </w:rPr>
        <w:t xml:space="preserve"> </w:t>
      </w:r>
      <w:r>
        <w:t>from the</w:t>
      </w:r>
      <w:r>
        <w:rPr>
          <w:spacing w:val="1"/>
        </w:rPr>
        <w:t xml:space="preserve"> </w:t>
      </w:r>
      <w:r>
        <w:t>consequences of the</w:t>
      </w:r>
      <w:r>
        <w:rPr>
          <w:spacing w:val="-1"/>
        </w:rPr>
        <w:t xml:space="preserve"> </w:t>
      </w:r>
      <w:r>
        <w:t>COVID-19</w:t>
      </w:r>
      <w:r>
        <w:rPr>
          <w:spacing w:val="2"/>
        </w:rPr>
        <w:t xml:space="preserve"> </w:t>
      </w:r>
      <w:r>
        <w:t>disease</w:t>
      </w:r>
      <w:r>
        <w:rPr>
          <w:spacing w:val="-1"/>
        </w:rPr>
        <w:t xml:space="preserve"> </w:t>
      </w:r>
      <w:r>
        <w:t>pandemic.</w:t>
      </w:r>
    </w:p>
    <w:p w:rsidR="00A56FE9" w:rsidRDefault="00000000">
      <w:pPr>
        <w:pStyle w:val="Tijeloteksta"/>
        <w:spacing w:before="118"/>
        <w:ind w:right="278"/>
      </w:pPr>
      <w:r>
        <w:rPr>
          <w:spacing w:val="-1"/>
        </w:rPr>
        <w:t>In</w:t>
      </w:r>
      <w:r>
        <w:rPr>
          <w:spacing w:val="-10"/>
        </w:rPr>
        <w:t xml:space="preserve"> </w:t>
      </w:r>
      <w:r>
        <w:rPr>
          <w:spacing w:val="-1"/>
        </w:rPr>
        <w:t>addition</w:t>
      </w:r>
      <w:r>
        <w:rPr>
          <w:spacing w:val="-11"/>
        </w:rPr>
        <w:t xml:space="preserve"> </w:t>
      </w:r>
      <w:r>
        <w:rPr>
          <w:spacing w:val="-1"/>
        </w:rPr>
        <w:t>to</w:t>
      </w:r>
      <w:r>
        <w:rPr>
          <w:spacing w:val="-12"/>
        </w:rPr>
        <w:t xml:space="preserve"> </w:t>
      </w:r>
      <w:r>
        <w:rPr>
          <w:spacing w:val="-1"/>
        </w:rPr>
        <w:t>initiatives</w:t>
      </w:r>
      <w:r>
        <w:rPr>
          <w:spacing w:val="-11"/>
        </w:rPr>
        <w:t xml:space="preserve"> </w:t>
      </w:r>
      <w:r>
        <w:t>mitigating</w:t>
      </w:r>
      <w:r>
        <w:rPr>
          <w:spacing w:val="-14"/>
        </w:rPr>
        <w:t xml:space="preserve"> </w:t>
      </w:r>
      <w:r>
        <w:t>the</w:t>
      </w:r>
      <w:r>
        <w:rPr>
          <w:spacing w:val="-13"/>
        </w:rPr>
        <w:t xml:space="preserve"> </w:t>
      </w:r>
      <w:r>
        <w:t>impact</w:t>
      </w:r>
      <w:r>
        <w:rPr>
          <w:spacing w:val="-11"/>
        </w:rPr>
        <w:t xml:space="preserve"> </w:t>
      </w:r>
      <w:r>
        <w:t>of</w:t>
      </w:r>
      <w:r>
        <w:rPr>
          <w:spacing w:val="-11"/>
        </w:rPr>
        <w:t xml:space="preserve"> </w:t>
      </w:r>
      <w:r>
        <w:t>the</w:t>
      </w:r>
      <w:r>
        <w:rPr>
          <w:spacing w:val="-12"/>
        </w:rPr>
        <w:t xml:space="preserve"> </w:t>
      </w:r>
      <w:r>
        <w:t>pandemic</w:t>
      </w:r>
      <w:r>
        <w:rPr>
          <w:spacing w:val="-10"/>
        </w:rPr>
        <w:t xml:space="preserve"> </w:t>
      </w:r>
      <w:r>
        <w:t>on</w:t>
      </w:r>
      <w:r>
        <w:rPr>
          <w:spacing w:val="-12"/>
        </w:rPr>
        <w:t xml:space="preserve"> </w:t>
      </w:r>
      <w:r>
        <w:t>the</w:t>
      </w:r>
      <w:r>
        <w:rPr>
          <w:spacing w:val="-12"/>
        </w:rPr>
        <w:t xml:space="preserve"> </w:t>
      </w:r>
      <w:r>
        <w:t>business</w:t>
      </w:r>
      <w:r>
        <w:rPr>
          <w:spacing w:val="-12"/>
        </w:rPr>
        <w:t xml:space="preserve"> </w:t>
      </w:r>
      <w:r>
        <w:t>of</w:t>
      </w:r>
      <w:r>
        <w:rPr>
          <w:spacing w:val="-12"/>
        </w:rPr>
        <w:t xml:space="preserve"> </w:t>
      </w:r>
      <w:r>
        <w:t>entrepreneurs,</w:t>
      </w:r>
      <w:r>
        <w:rPr>
          <w:spacing w:val="-58"/>
        </w:rPr>
        <w:t xml:space="preserve"> </w:t>
      </w:r>
      <w:r>
        <w:t>HBOR has been involved in implementing financial instruments from the European Structural</w:t>
      </w:r>
      <w:r>
        <w:rPr>
          <w:spacing w:val="-57"/>
        </w:rPr>
        <w:t xml:space="preserve"> </w:t>
      </w:r>
      <w:r>
        <w:t>and Investment Funds (ESIF) since 2016, in addition to regular lending programs and in</w:t>
      </w:r>
      <w:r>
        <w:rPr>
          <w:spacing w:val="1"/>
        </w:rPr>
        <w:t xml:space="preserve"> </w:t>
      </w:r>
      <w:r>
        <w:t>cooperation with commercial banks, has been implementing the financial instrument called</w:t>
      </w:r>
      <w:r>
        <w:rPr>
          <w:spacing w:val="1"/>
        </w:rPr>
        <w:t xml:space="preserve"> </w:t>
      </w:r>
      <w:r>
        <w:t>ESIF Growth and Expansion Loans intended for small and medium-sized entrepreneurs that</w:t>
      </w:r>
      <w:r>
        <w:rPr>
          <w:spacing w:val="1"/>
        </w:rPr>
        <w:t xml:space="preserve"> </w:t>
      </w:r>
      <w:r>
        <w:t>have</w:t>
      </w:r>
      <w:r>
        <w:rPr>
          <w:spacing w:val="-12"/>
        </w:rPr>
        <w:t xml:space="preserve"> </w:t>
      </w:r>
      <w:r>
        <w:t>been</w:t>
      </w:r>
      <w:r>
        <w:rPr>
          <w:spacing w:val="-8"/>
        </w:rPr>
        <w:t xml:space="preserve"> </w:t>
      </w:r>
      <w:r>
        <w:t>operating</w:t>
      </w:r>
      <w:r>
        <w:rPr>
          <w:spacing w:val="-11"/>
        </w:rPr>
        <w:t xml:space="preserve"> </w:t>
      </w:r>
      <w:r>
        <w:t>for</w:t>
      </w:r>
      <w:r>
        <w:rPr>
          <w:spacing w:val="-9"/>
        </w:rPr>
        <w:t xml:space="preserve"> </w:t>
      </w:r>
      <w:r>
        <w:t>at</w:t>
      </w:r>
      <w:r>
        <w:rPr>
          <w:spacing w:val="-10"/>
        </w:rPr>
        <w:t xml:space="preserve"> </w:t>
      </w:r>
      <w:r>
        <w:t>least</w:t>
      </w:r>
      <w:r>
        <w:rPr>
          <w:spacing w:val="-10"/>
        </w:rPr>
        <w:t xml:space="preserve"> </w:t>
      </w:r>
      <w:r>
        <w:t>two</w:t>
      </w:r>
      <w:r>
        <w:rPr>
          <w:spacing w:val="-5"/>
        </w:rPr>
        <w:t xml:space="preserve"> </w:t>
      </w:r>
      <w:r>
        <w:t>years</w:t>
      </w:r>
      <w:r>
        <w:rPr>
          <w:spacing w:val="-12"/>
        </w:rPr>
        <w:t xml:space="preserve"> </w:t>
      </w:r>
      <w:r>
        <w:t>and</w:t>
      </w:r>
      <w:r>
        <w:rPr>
          <w:spacing w:val="-8"/>
        </w:rPr>
        <w:t xml:space="preserve"> </w:t>
      </w:r>
      <w:r>
        <w:t>invest</w:t>
      </w:r>
      <w:r>
        <w:rPr>
          <w:spacing w:val="-10"/>
        </w:rPr>
        <w:t xml:space="preserve"> </w:t>
      </w:r>
      <w:r>
        <w:t>in</w:t>
      </w:r>
      <w:r>
        <w:rPr>
          <w:spacing w:val="-10"/>
        </w:rPr>
        <w:t xml:space="preserve"> </w:t>
      </w:r>
      <w:r>
        <w:t>the</w:t>
      </w:r>
      <w:r>
        <w:rPr>
          <w:spacing w:val="-11"/>
        </w:rPr>
        <w:t xml:space="preserve"> </w:t>
      </w:r>
      <w:r>
        <w:t>manufacturing</w:t>
      </w:r>
      <w:r>
        <w:rPr>
          <w:spacing w:val="-11"/>
        </w:rPr>
        <w:t xml:space="preserve"> </w:t>
      </w:r>
      <w:r>
        <w:t>industry,</w:t>
      </w:r>
      <w:r>
        <w:rPr>
          <w:spacing w:val="-10"/>
        </w:rPr>
        <w:t xml:space="preserve"> </w:t>
      </w:r>
      <w:r>
        <w:t>tourism</w:t>
      </w:r>
      <w:r>
        <w:rPr>
          <w:spacing w:val="-10"/>
        </w:rPr>
        <w:t xml:space="preserve"> </w:t>
      </w:r>
      <w:r>
        <w:t>and</w:t>
      </w:r>
      <w:r>
        <w:rPr>
          <w:spacing w:val="-58"/>
        </w:rPr>
        <w:t xml:space="preserve"> </w:t>
      </w:r>
      <w:r>
        <w:t>other eligible activities. So far, a total of 112 loans totalling HRK 624 million have been</w:t>
      </w:r>
      <w:r>
        <w:rPr>
          <w:spacing w:val="1"/>
        </w:rPr>
        <w:t xml:space="preserve"> </w:t>
      </w:r>
      <w:r>
        <w:t>contracted</w:t>
      </w:r>
      <w:r>
        <w:rPr>
          <w:spacing w:val="-1"/>
        </w:rPr>
        <w:t xml:space="preserve"> </w:t>
      </w:r>
      <w:r>
        <w:t>under the respective</w:t>
      </w:r>
      <w:r>
        <w:rPr>
          <w:spacing w:val="-1"/>
        </w:rPr>
        <w:t xml:space="preserve"> </w:t>
      </w:r>
      <w:r>
        <w:t>financial instrument.</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5"/>
        <w:spacing w:before="79"/>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129753826" name="Group 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202451656" name="Rectangle 335"/>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E1EF2F9" id="Group 334"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">
                <v:rect id="Rectangle 335"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2"/>
      </w:pPr>
      <w:r>
        <w:t>The NRRP component C1.1. Resilient, Green and Digital Economy, intended directly for</w:t>
      </w:r>
      <w:r>
        <w:rPr>
          <w:spacing w:val="1"/>
        </w:rPr>
        <w:t xml:space="preserve"> </w:t>
      </w:r>
      <w:r>
        <w:t>entrepreneurs, incorporates measures for awarding grants totalling HRK 2.85 billion. The</w:t>
      </w:r>
      <w:r>
        <w:rPr>
          <w:spacing w:val="1"/>
        </w:rPr>
        <w:t xml:space="preserve"> </w:t>
      </w:r>
      <w:r>
        <w:t>measures aim to transition the economy towards an energy- and resource-efficient economy</w:t>
      </w:r>
      <w:r>
        <w:rPr>
          <w:spacing w:val="1"/>
        </w:rPr>
        <w:t xml:space="preserve"> </w:t>
      </w:r>
      <w:r>
        <w:t>and innovation, including developing and applying new (digital) technologies. The measures</w:t>
      </w:r>
      <w:r>
        <w:rPr>
          <w:spacing w:val="1"/>
        </w:rPr>
        <w:t xml:space="preserve"> </w:t>
      </w:r>
      <w:r>
        <w:t>relate</w:t>
      </w:r>
      <w:r>
        <w:rPr>
          <w:spacing w:val="-1"/>
        </w:rPr>
        <w:t xml:space="preserve"> </w:t>
      </w:r>
      <w:r>
        <w:t>directly</w:t>
      </w:r>
      <w:r>
        <w:rPr>
          <w:spacing w:val="-5"/>
        </w:rPr>
        <w:t xml:space="preserve"> </w:t>
      </w:r>
      <w:r>
        <w:t>to:</w:t>
      </w:r>
    </w:p>
    <w:p w:rsidR="00A56FE9" w:rsidRDefault="00000000">
      <w:pPr>
        <w:pStyle w:val="Naslov5"/>
        <w:numPr>
          <w:ilvl w:val="0"/>
          <w:numId w:val="6"/>
        </w:numPr>
        <w:tabs>
          <w:tab w:val="left" w:pos="499"/>
        </w:tabs>
        <w:spacing w:before="120"/>
        <w:ind w:hanging="361"/>
        <w:rPr>
          <w:b w:val="0"/>
        </w:rPr>
      </w:pPr>
      <w:r>
        <w:rPr>
          <w:spacing w:val="-1"/>
        </w:rPr>
        <w:t>Aid</w:t>
      </w:r>
      <w:r>
        <w:rPr>
          <w:spacing w:val="-12"/>
        </w:rPr>
        <w:t xml:space="preserve"> </w:t>
      </w:r>
      <w:r>
        <w:rPr>
          <w:spacing w:val="-1"/>
        </w:rPr>
        <w:t>to</w:t>
      </w:r>
      <w:r>
        <w:rPr>
          <w:spacing w:val="-12"/>
        </w:rPr>
        <w:t xml:space="preserve"> </w:t>
      </w:r>
      <w:r>
        <w:rPr>
          <w:spacing w:val="-1"/>
        </w:rPr>
        <w:t>enterprises</w:t>
      </w:r>
      <w:r>
        <w:rPr>
          <w:spacing w:val="-11"/>
        </w:rPr>
        <w:t xml:space="preserve"> </w:t>
      </w:r>
      <w:r>
        <w:rPr>
          <w:spacing w:val="-1"/>
        </w:rPr>
        <w:t>for</w:t>
      </w:r>
      <w:r>
        <w:rPr>
          <w:spacing w:val="-13"/>
        </w:rPr>
        <w:t xml:space="preserve"> </w:t>
      </w:r>
      <w:r>
        <w:rPr>
          <w:spacing w:val="-1"/>
        </w:rPr>
        <w:t>the</w:t>
      </w:r>
      <w:r>
        <w:rPr>
          <w:spacing w:val="-12"/>
        </w:rPr>
        <w:t xml:space="preserve"> </w:t>
      </w:r>
      <w:r>
        <w:rPr>
          <w:spacing w:val="-1"/>
        </w:rPr>
        <w:t>transition</w:t>
      </w:r>
      <w:r>
        <w:rPr>
          <w:spacing w:val="-10"/>
        </w:rPr>
        <w:t xml:space="preserve"> </w:t>
      </w:r>
      <w:r>
        <w:t>to</w:t>
      </w:r>
      <w:r>
        <w:rPr>
          <w:spacing w:val="-13"/>
        </w:rPr>
        <w:t xml:space="preserve"> </w:t>
      </w:r>
      <w:r>
        <w:t>an</w:t>
      </w:r>
      <w:r>
        <w:rPr>
          <w:spacing w:val="-11"/>
        </w:rPr>
        <w:t xml:space="preserve"> </w:t>
      </w:r>
      <w:r>
        <w:t>energy-</w:t>
      </w:r>
      <w:r>
        <w:rPr>
          <w:spacing w:val="-12"/>
        </w:rPr>
        <w:t xml:space="preserve"> </w:t>
      </w:r>
      <w:r>
        <w:t>and</w:t>
      </w:r>
      <w:r>
        <w:rPr>
          <w:spacing w:val="-12"/>
        </w:rPr>
        <w:t xml:space="preserve"> </w:t>
      </w:r>
      <w:r>
        <w:t>resource-efficient</w:t>
      </w:r>
      <w:r>
        <w:rPr>
          <w:spacing w:val="-15"/>
        </w:rPr>
        <w:t xml:space="preserve"> </w:t>
      </w:r>
      <w:r>
        <w:t>economy</w:t>
      </w:r>
      <w:r>
        <w:rPr>
          <w:spacing w:val="-10"/>
        </w:rPr>
        <w:t xml:space="preserve"> </w:t>
      </w:r>
      <w:r>
        <w:rPr>
          <w:b w:val="0"/>
        </w:rPr>
        <w:t>HRK</w:t>
      </w:r>
    </w:p>
    <w:p w:rsidR="00A56FE9" w:rsidRDefault="00000000">
      <w:pPr>
        <w:pStyle w:val="Tijeloteksta"/>
        <w:spacing w:before="13" w:line="252" w:lineRule="auto"/>
        <w:ind w:left="498" w:right="272"/>
      </w:pPr>
      <w:r>
        <w:t>1.9</w:t>
      </w:r>
      <w:r>
        <w:rPr>
          <w:spacing w:val="-4"/>
        </w:rPr>
        <w:t xml:space="preserve"> </w:t>
      </w:r>
      <w:r>
        <w:t>billion,</w:t>
      </w:r>
      <w:r>
        <w:rPr>
          <w:spacing w:val="-4"/>
        </w:rPr>
        <w:t xml:space="preserve"> </w:t>
      </w:r>
      <w:r>
        <w:t>intended</w:t>
      </w:r>
      <w:r>
        <w:rPr>
          <w:spacing w:val="-3"/>
        </w:rPr>
        <w:t xml:space="preserve"> </w:t>
      </w:r>
      <w:r>
        <w:t>for</w:t>
      </w:r>
      <w:r>
        <w:rPr>
          <w:spacing w:val="-3"/>
        </w:rPr>
        <w:t xml:space="preserve"> </w:t>
      </w:r>
      <w:r>
        <w:t>small</w:t>
      </w:r>
      <w:r>
        <w:rPr>
          <w:spacing w:val="-2"/>
        </w:rPr>
        <w:t xml:space="preserve"> </w:t>
      </w:r>
      <w:r>
        <w:t>and</w:t>
      </w:r>
      <w:r>
        <w:rPr>
          <w:spacing w:val="-4"/>
        </w:rPr>
        <w:t xml:space="preserve"> </w:t>
      </w:r>
      <w:r>
        <w:t>medium</w:t>
      </w:r>
      <w:r>
        <w:rPr>
          <w:spacing w:val="2"/>
        </w:rPr>
        <w:t xml:space="preserve"> </w:t>
      </w:r>
      <w:r>
        <w:t>enterprises</w:t>
      </w:r>
      <w:r>
        <w:rPr>
          <w:spacing w:val="-4"/>
        </w:rPr>
        <w:t xml:space="preserve"> </w:t>
      </w:r>
      <w:r>
        <w:t>and</w:t>
      </w:r>
      <w:r>
        <w:rPr>
          <w:spacing w:val="-2"/>
        </w:rPr>
        <w:t xml:space="preserve"> </w:t>
      </w:r>
      <w:r>
        <w:t>medium-sized</w:t>
      </w:r>
      <w:r>
        <w:rPr>
          <w:spacing w:val="-1"/>
        </w:rPr>
        <w:t xml:space="preserve"> </w:t>
      </w:r>
      <w:r>
        <w:t>enterprises (mid-</w:t>
      </w:r>
      <w:r>
        <w:rPr>
          <w:spacing w:val="-58"/>
        </w:rPr>
        <w:t xml:space="preserve"> </w:t>
      </w:r>
      <w:r>
        <w:t>caps)</w:t>
      </w:r>
      <w:r>
        <w:rPr>
          <w:spacing w:val="-8"/>
        </w:rPr>
        <w:t xml:space="preserve"> </w:t>
      </w:r>
      <w:r>
        <w:t>for</w:t>
      </w:r>
      <w:r>
        <w:rPr>
          <w:spacing w:val="-8"/>
        </w:rPr>
        <w:t xml:space="preserve"> </w:t>
      </w:r>
      <w:r>
        <w:t>investments</w:t>
      </w:r>
      <w:r>
        <w:rPr>
          <w:spacing w:val="-6"/>
        </w:rPr>
        <w:t xml:space="preserve"> </w:t>
      </w:r>
      <w:r>
        <w:t>in</w:t>
      </w:r>
      <w:r>
        <w:rPr>
          <w:spacing w:val="-5"/>
        </w:rPr>
        <w:t xml:space="preserve"> </w:t>
      </w:r>
      <w:r>
        <w:t>the</w:t>
      </w:r>
      <w:r>
        <w:rPr>
          <w:spacing w:val="-8"/>
        </w:rPr>
        <w:t xml:space="preserve"> </w:t>
      </w:r>
      <w:r>
        <w:t>green</w:t>
      </w:r>
      <w:r>
        <w:rPr>
          <w:spacing w:val="-6"/>
        </w:rPr>
        <w:t xml:space="preserve"> </w:t>
      </w:r>
      <w:r>
        <w:t>transition,</w:t>
      </w:r>
      <w:r>
        <w:rPr>
          <w:spacing w:val="-6"/>
        </w:rPr>
        <w:t xml:space="preserve"> </w:t>
      </w:r>
      <w:r>
        <w:t>focusing</w:t>
      </w:r>
      <w:r>
        <w:rPr>
          <w:spacing w:val="-8"/>
        </w:rPr>
        <w:t xml:space="preserve"> </w:t>
      </w:r>
      <w:r>
        <w:t>on</w:t>
      </w:r>
      <w:r>
        <w:rPr>
          <w:spacing w:val="-6"/>
        </w:rPr>
        <w:t xml:space="preserve"> </w:t>
      </w:r>
      <w:r>
        <w:t>green</w:t>
      </w:r>
      <w:r>
        <w:rPr>
          <w:spacing w:val="-7"/>
        </w:rPr>
        <w:t xml:space="preserve"> </w:t>
      </w:r>
      <w:r>
        <w:t>technologies</w:t>
      </w:r>
      <w:r>
        <w:rPr>
          <w:spacing w:val="-4"/>
        </w:rPr>
        <w:t xml:space="preserve"> </w:t>
      </w:r>
      <w:r>
        <w:t>that</w:t>
      </w:r>
      <w:r>
        <w:rPr>
          <w:spacing w:val="-6"/>
        </w:rPr>
        <w:t xml:space="preserve"> </w:t>
      </w:r>
      <w:r>
        <w:t>contribute</w:t>
      </w:r>
      <w:r>
        <w:rPr>
          <w:spacing w:val="-58"/>
        </w:rPr>
        <w:t xml:space="preserve"> </w:t>
      </w:r>
      <w:r>
        <w:t>to</w:t>
      </w:r>
      <w:r>
        <w:rPr>
          <w:spacing w:val="-1"/>
        </w:rPr>
        <w:t xml:space="preserve"> </w:t>
      </w:r>
      <w:r>
        <w:t>an energy-</w:t>
      </w:r>
      <w:r>
        <w:rPr>
          <w:spacing w:val="1"/>
        </w:rPr>
        <w:t xml:space="preserve"> </w:t>
      </w:r>
      <w:r>
        <w:t>and resource-efficient economy.</w:t>
      </w:r>
    </w:p>
    <w:p w:rsidR="00A56FE9" w:rsidRDefault="00000000">
      <w:pPr>
        <w:pStyle w:val="Odlomakpopisa"/>
        <w:numPr>
          <w:ilvl w:val="0"/>
          <w:numId w:val="6"/>
        </w:numPr>
        <w:tabs>
          <w:tab w:val="left" w:pos="499"/>
        </w:tabs>
        <w:spacing w:before="4" w:line="249" w:lineRule="auto"/>
        <w:ind w:right="272"/>
        <w:jc w:val="both"/>
        <w:rPr>
          <w:sz w:val="24"/>
        </w:rPr>
      </w:pPr>
      <w:r>
        <w:rPr>
          <w:b/>
          <w:sz w:val="24"/>
        </w:rPr>
        <w:t>Grants</w:t>
      </w:r>
      <w:r>
        <w:rPr>
          <w:b/>
          <w:spacing w:val="-15"/>
          <w:sz w:val="24"/>
        </w:rPr>
        <w:t xml:space="preserve"> </w:t>
      </w:r>
      <w:r>
        <w:rPr>
          <w:b/>
          <w:sz w:val="24"/>
        </w:rPr>
        <w:t>aimed</w:t>
      </w:r>
      <w:r>
        <w:rPr>
          <w:b/>
          <w:spacing w:val="-13"/>
          <w:sz w:val="24"/>
        </w:rPr>
        <w:t xml:space="preserve"> </w:t>
      </w:r>
      <w:r>
        <w:rPr>
          <w:b/>
          <w:sz w:val="24"/>
        </w:rPr>
        <w:t>at</w:t>
      </w:r>
      <w:r>
        <w:rPr>
          <w:b/>
          <w:spacing w:val="-12"/>
          <w:sz w:val="24"/>
        </w:rPr>
        <w:t xml:space="preserve"> </w:t>
      </w:r>
      <w:r>
        <w:rPr>
          <w:b/>
          <w:sz w:val="24"/>
        </w:rPr>
        <w:t>innovation,</w:t>
      </w:r>
      <w:r>
        <w:rPr>
          <w:b/>
          <w:spacing w:val="-13"/>
          <w:sz w:val="24"/>
        </w:rPr>
        <w:t xml:space="preserve"> </w:t>
      </w:r>
      <w:r>
        <w:rPr>
          <w:b/>
          <w:sz w:val="24"/>
        </w:rPr>
        <w:t>development</w:t>
      </w:r>
      <w:r>
        <w:rPr>
          <w:b/>
          <w:spacing w:val="-14"/>
          <w:sz w:val="24"/>
        </w:rPr>
        <w:t xml:space="preserve"> </w:t>
      </w:r>
      <w:r>
        <w:rPr>
          <w:b/>
          <w:sz w:val="24"/>
        </w:rPr>
        <w:t>and</w:t>
      </w:r>
      <w:r>
        <w:rPr>
          <w:b/>
          <w:spacing w:val="-14"/>
          <w:sz w:val="24"/>
        </w:rPr>
        <w:t xml:space="preserve"> </w:t>
      </w:r>
      <w:r>
        <w:rPr>
          <w:b/>
          <w:sz w:val="24"/>
        </w:rPr>
        <w:t>application</w:t>
      </w:r>
      <w:r>
        <w:rPr>
          <w:b/>
          <w:spacing w:val="-13"/>
          <w:sz w:val="24"/>
        </w:rPr>
        <w:t xml:space="preserve"> </w:t>
      </w:r>
      <w:r>
        <w:rPr>
          <w:b/>
          <w:sz w:val="24"/>
        </w:rPr>
        <w:t>of</w:t>
      </w:r>
      <w:r>
        <w:rPr>
          <w:b/>
          <w:spacing w:val="-12"/>
          <w:sz w:val="24"/>
        </w:rPr>
        <w:t xml:space="preserve"> </w:t>
      </w:r>
      <w:r>
        <w:rPr>
          <w:b/>
          <w:sz w:val="24"/>
        </w:rPr>
        <w:t>new</w:t>
      </w:r>
      <w:r>
        <w:rPr>
          <w:b/>
          <w:spacing w:val="-12"/>
          <w:sz w:val="24"/>
        </w:rPr>
        <w:t xml:space="preserve"> </w:t>
      </w:r>
      <w:r>
        <w:rPr>
          <w:b/>
          <w:sz w:val="24"/>
        </w:rPr>
        <w:t>(digital)</w:t>
      </w:r>
      <w:r>
        <w:rPr>
          <w:b/>
          <w:spacing w:val="-14"/>
          <w:sz w:val="24"/>
        </w:rPr>
        <w:t xml:space="preserve"> </w:t>
      </w:r>
      <w:r>
        <w:rPr>
          <w:b/>
          <w:sz w:val="24"/>
        </w:rPr>
        <w:t>technologies</w:t>
      </w:r>
      <w:r>
        <w:rPr>
          <w:b/>
          <w:spacing w:val="-58"/>
          <w:sz w:val="24"/>
        </w:rPr>
        <w:t xml:space="preserve"> </w:t>
      </w:r>
      <w:r>
        <w:rPr>
          <w:sz w:val="24"/>
        </w:rPr>
        <w:t>HRK</w:t>
      </w:r>
      <w:r>
        <w:rPr>
          <w:spacing w:val="1"/>
          <w:sz w:val="24"/>
        </w:rPr>
        <w:t xml:space="preserve"> </w:t>
      </w:r>
      <w:r>
        <w:rPr>
          <w:sz w:val="24"/>
        </w:rPr>
        <w:t>950</w:t>
      </w:r>
      <w:r>
        <w:rPr>
          <w:spacing w:val="1"/>
          <w:sz w:val="24"/>
        </w:rPr>
        <w:t xml:space="preserve"> </w:t>
      </w:r>
      <w:r>
        <w:rPr>
          <w:sz w:val="24"/>
        </w:rPr>
        <w:t>million.</w:t>
      </w:r>
      <w:r>
        <w:rPr>
          <w:spacing w:val="1"/>
          <w:sz w:val="24"/>
        </w:rPr>
        <w:t xml:space="preserve"> </w:t>
      </w:r>
      <w:r>
        <w:rPr>
          <w:sz w:val="24"/>
        </w:rPr>
        <w:t>The</w:t>
      </w:r>
      <w:r>
        <w:rPr>
          <w:spacing w:val="1"/>
          <w:sz w:val="24"/>
        </w:rPr>
        <w:t xml:space="preserve"> </w:t>
      </w:r>
      <w:r>
        <w:rPr>
          <w:sz w:val="24"/>
        </w:rPr>
        <w:t>envisaged</w:t>
      </w:r>
      <w:r>
        <w:rPr>
          <w:spacing w:val="1"/>
          <w:sz w:val="24"/>
        </w:rPr>
        <w:t xml:space="preserve"> </w:t>
      </w:r>
      <w:r>
        <w:rPr>
          <w:sz w:val="24"/>
        </w:rPr>
        <w:t>measures</w:t>
      </w:r>
      <w:r>
        <w:rPr>
          <w:spacing w:val="1"/>
          <w:sz w:val="24"/>
        </w:rPr>
        <w:t xml:space="preserve"> </w:t>
      </w:r>
      <w:r>
        <w:rPr>
          <w:sz w:val="24"/>
        </w:rPr>
        <w:t>aim</w:t>
      </w:r>
      <w:r>
        <w:rPr>
          <w:spacing w:val="1"/>
          <w:sz w:val="24"/>
        </w:rPr>
        <w:t xml:space="preserve"> </w:t>
      </w:r>
      <w:r>
        <w:rPr>
          <w:sz w:val="24"/>
        </w:rPr>
        <w:t>to</w:t>
      </w:r>
      <w:r>
        <w:rPr>
          <w:spacing w:val="1"/>
          <w:sz w:val="24"/>
        </w:rPr>
        <w:t xml:space="preserve"> </w:t>
      </w:r>
      <w:r>
        <w:rPr>
          <w:sz w:val="24"/>
        </w:rPr>
        <w:t>stimulate</w:t>
      </w:r>
      <w:r>
        <w:rPr>
          <w:spacing w:val="1"/>
          <w:sz w:val="24"/>
        </w:rPr>
        <w:t xml:space="preserve"> </w:t>
      </w:r>
      <w:r>
        <w:rPr>
          <w:sz w:val="24"/>
        </w:rPr>
        <w:t>the</w:t>
      </w:r>
      <w:r>
        <w:rPr>
          <w:spacing w:val="1"/>
          <w:sz w:val="24"/>
        </w:rPr>
        <w:t xml:space="preserve"> </w:t>
      </w:r>
      <w:r>
        <w:rPr>
          <w:sz w:val="24"/>
        </w:rPr>
        <w:t>acceleration</w:t>
      </w:r>
      <w:r>
        <w:rPr>
          <w:spacing w:val="1"/>
          <w:sz w:val="24"/>
        </w:rPr>
        <w:t xml:space="preserve"> </w:t>
      </w:r>
      <w:r>
        <w:rPr>
          <w:sz w:val="24"/>
        </w:rPr>
        <w:t>and</w:t>
      </w:r>
      <w:r>
        <w:rPr>
          <w:spacing w:val="1"/>
          <w:sz w:val="24"/>
        </w:rPr>
        <w:t xml:space="preserve"> </w:t>
      </w:r>
      <w:r>
        <w:rPr>
          <w:sz w:val="24"/>
        </w:rPr>
        <w:t>commercialisation</w:t>
      </w:r>
      <w:r>
        <w:rPr>
          <w:spacing w:val="-8"/>
          <w:sz w:val="24"/>
        </w:rPr>
        <w:t xml:space="preserve"> </w:t>
      </w:r>
      <w:r>
        <w:rPr>
          <w:sz w:val="24"/>
        </w:rPr>
        <w:t>of</w:t>
      </w:r>
      <w:r>
        <w:rPr>
          <w:spacing w:val="-6"/>
          <w:sz w:val="24"/>
        </w:rPr>
        <w:t xml:space="preserve"> </w:t>
      </w:r>
      <w:r>
        <w:rPr>
          <w:sz w:val="24"/>
        </w:rPr>
        <w:t>innovation</w:t>
      </w:r>
      <w:r>
        <w:rPr>
          <w:spacing w:val="-6"/>
          <w:sz w:val="24"/>
        </w:rPr>
        <w:t xml:space="preserve"> </w:t>
      </w:r>
      <w:r>
        <w:rPr>
          <w:sz w:val="24"/>
        </w:rPr>
        <w:t>and</w:t>
      </w:r>
      <w:r>
        <w:rPr>
          <w:spacing w:val="-8"/>
          <w:sz w:val="24"/>
        </w:rPr>
        <w:t xml:space="preserve"> </w:t>
      </w:r>
      <w:r>
        <w:rPr>
          <w:sz w:val="24"/>
        </w:rPr>
        <w:t>the</w:t>
      </w:r>
      <w:r>
        <w:rPr>
          <w:spacing w:val="-6"/>
          <w:sz w:val="24"/>
        </w:rPr>
        <w:t xml:space="preserve"> </w:t>
      </w:r>
      <w:r>
        <w:rPr>
          <w:sz w:val="24"/>
        </w:rPr>
        <w:t>digital</w:t>
      </w:r>
      <w:r>
        <w:rPr>
          <w:spacing w:val="-6"/>
          <w:sz w:val="24"/>
        </w:rPr>
        <w:t xml:space="preserve"> </w:t>
      </w:r>
      <w:r>
        <w:rPr>
          <w:sz w:val="24"/>
        </w:rPr>
        <w:t>transformation</w:t>
      </w:r>
      <w:r>
        <w:rPr>
          <w:spacing w:val="-7"/>
          <w:sz w:val="24"/>
        </w:rPr>
        <w:t xml:space="preserve"> </w:t>
      </w:r>
      <w:r>
        <w:rPr>
          <w:sz w:val="24"/>
        </w:rPr>
        <w:t>of</w:t>
      </w:r>
      <w:r>
        <w:rPr>
          <w:spacing w:val="-8"/>
          <w:sz w:val="24"/>
        </w:rPr>
        <w:t xml:space="preserve"> </w:t>
      </w:r>
      <w:r>
        <w:rPr>
          <w:sz w:val="24"/>
        </w:rPr>
        <w:t>the</w:t>
      </w:r>
      <w:r>
        <w:rPr>
          <w:spacing w:val="-9"/>
          <w:sz w:val="24"/>
        </w:rPr>
        <w:t xml:space="preserve"> </w:t>
      </w:r>
      <w:r>
        <w:rPr>
          <w:sz w:val="24"/>
        </w:rPr>
        <w:t>economy</w:t>
      </w:r>
      <w:r>
        <w:rPr>
          <w:spacing w:val="-9"/>
          <w:sz w:val="24"/>
        </w:rPr>
        <w:t xml:space="preserve"> </w:t>
      </w:r>
      <w:r>
        <w:rPr>
          <w:sz w:val="24"/>
        </w:rPr>
        <w:t>by</w:t>
      </w:r>
      <w:r>
        <w:rPr>
          <w:spacing w:val="-10"/>
          <w:sz w:val="24"/>
        </w:rPr>
        <w:t xml:space="preserve"> </w:t>
      </w:r>
      <w:r>
        <w:rPr>
          <w:sz w:val="24"/>
        </w:rPr>
        <w:t>applying</w:t>
      </w:r>
      <w:r>
        <w:rPr>
          <w:spacing w:val="-57"/>
          <w:sz w:val="24"/>
        </w:rPr>
        <w:t xml:space="preserve"> </w:t>
      </w:r>
      <w:r>
        <w:rPr>
          <w:sz w:val="24"/>
        </w:rPr>
        <w:t>digital</w:t>
      </w:r>
      <w:r>
        <w:rPr>
          <w:spacing w:val="-1"/>
          <w:sz w:val="24"/>
        </w:rPr>
        <w:t xml:space="preserve"> </w:t>
      </w:r>
      <w:r>
        <w:rPr>
          <w:sz w:val="24"/>
        </w:rPr>
        <w:t>technologies</w:t>
      </w:r>
      <w:r>
        <w:rPr>
          <w:spacing w:val="-2"/>
          <w:sz w:val="24"/>
        </w:rPr>
        <w:t xml:space="preserve"> </w:t>
      </w:r>
      <w:r>
        <w:rPr>
          <w:sz w:val="24"/>
        </w:rPr>
        <w:t>and</w:t>
      </w:r>
      <w:r>
        <w:rPr>
          <w:spacing w:val="-1"/>
          <w:sz w:val="24"/>
        </w:rPr>
        <w:t xml:space="preserve"> </w:t>
      </w:r>
      <w:r>
        <w:rPr>
          <w:sz w:val="24"/>
        </w:rPr>
        <w:t>supporting</w:t>
      </w:r>
      <w:r>
        <w:rPr>
          <w:spacing w:val="-2"/>
          <w:sz w:val="24"/>
        </w:rPr>
        <w:t xml:space="preserve"> </w:t>
      </w:r>
      <w:r>
        <w:rPr>
          <w:sz w:val="24"/>
        </w:rPr>
        <w:t>the</w:t>
      </w:r>
      <w:r>
        <w:rPr>
          <w:spacing w:val="-2"/>
          <w:sz w:val="24"/>
        </w:rPr>
        <w:t xml:space="preserve"> </w:t>
      </w:r>
      <w:r>
        <w:rPr>
          <w:sz w:val="24"/>
        </w:rPr>
        <w:t>European</w:t>
      </w:r>
      <w:r>
        <w:rPr>
          <w:spacing w:val="1"/>
          <w:sz w:val="24"/>
        </w:rPr>
        <w:t xml:space="preserve"> </w:t>
      </w:r>
      <w:r>
        <w:rPr>
          <w:sz w:val="24"/>
        </w:rPr>
        <w:t>Digital</w:t>
      </w:r>
      <w:r>
        <w:rPr>
          <w:spacing w:val="1"/>
          <w:sz w:val="24"/>
        </w:rPr>
        <w:t xml:space="preserve"> </w:t>
      </w:r>
      <w:r>
        <w:rPr>
          <w:sz w:val="24"/>
        </w:rPr>
        <w:t>Innovation Hubs</w:t>
      </w:r>
      <w:r>
        <w:rPr>
          <w:spacing w:val="1"/>
          <w:sz w:val="24"/>
        </w:rPr>
        <w:t xml:space="preserve"> </w:t>
      </w:r>
      <w:r>
        <w:rPr>
          <w:sz w:val="24"/>
        </w:rPr>
        <w:t>(EDIH).</w:t>
      </w:r>
    </w:p>
    <w:p w:rsidR="00A56FE9" w:rsidRDefault="00000000">
      <w:pPr>
        <w:pStyle w:val="Tijeloteksta"/>
        <w:spacing w:before="166"/>
        <w:ind w:right="272"/>
      </w:pPr>
      <w:r>
        <w:t>Croatia still has a poorly developed venture capital and quasi-equity market; hence traditional</w:t>
      </w:r>
      <w:r>
        <w:rPr>
          <w:spacing w:val="1"/>
        </w:rPr>
        <w:t xml:space="preserve"> </w:t>
      </w:r>
      <w:r>
        <w:t>(banking) funding sources dominate the financial market. Though the financial conditions for</w:t>
      </w:r>
      <w:r>
        <w:rPr>
          <w:spacing w:val="1"/>
        </w:rPr>
        <w:t xml:space="preserve"> </w:t>
      </w:r>
      <w:r>
        <w:t>traditional</w:t>
      </w:r>
      <w:r>
        <w:rPr>
          <w:spacing w:val="-10"/>
        </w:rPr>
        <w:t xml:space="preserve"> </w:t>
      </w:r>
      <w:r>
        <w:t>sources</w:t>
      </w:r>
      <w:r>
        <w:rPr>
          <w:spacing w:val="-8"/>
        </w:rPr>
        <w:t xml:space="preserve"> </w:t>
      </w:r>
      <w:r>
        <w:t>of</w:t>
      </w:r>
      <w:r>
        <w:rPr>
          <w:spacing w:val="-10"/>
        </w:rPr>
        <w:t xml:space="preserve"> </w:t>
      </w:r>
      <w:r>
        <w:t>financing</w:t>
      </w:r>
      <w:r>
        <w:rPr>
          <w:spacing w:val="-11"/>
        </w:rPr>
        <w:t xml:space="preserve"> </w:t>
      </w:r>
      <w:r>
        <w:t>have</w:t>
      </w:r>
      <w:r>
        <w:rPr>
          <w:spacing w:val="-10"/>
        </w:rPr>
        <w:t xml:space="preserve"> </w:t>
      </w:r>
      <w:r>
        <w:t>improved</w:t>
      </w:r>
      <w:r>
        <w:rPr>
          <w:spacing w:val="-8"/>
        </w:rPr>
        <w:t xml:space="preserve"> </w:t>
      </w:r>
      <w:r>
        <w:t>significantly</w:t>
      </w:r>
      <w:r>
        <w:rPr>
          <w:spacing w:val="-13"/>
        </w:rPr>
        <w:t xml:space="preserve"> </w:t>
      </w:r>
      <w:r>
        <w:t>over</w:t>
      </w:r>
      <w:r>
        <w:rPr>
          <w:spacing w:val="-8"/>
        </w:rPr>
        <w:t xml:space="preserve"> </w:t>
      </w:r>
      <w:r>
        <w:t>the</w:t>
      </w:r>
      <w:r>
        <w:rPr>
          <w:spacing w:val="-10"/>
        </w:rPr>
        <w:t xml:space="preserve"> </w:t>
      </w:r>
      <w:r>
        <w:t>past</w:t>
      </w:r>
      <w:r>
        <w:rPr>
          <w:spacing w:val="-8"/>
        </w:rPr>
        <w:t xml:space="preserve"> </w:t>
      </w:r>
      <w:r>
        <w:t>few</w:t>
      </w:r>
      <w:r>
        <w:rPr>
          <w:spacing w:val="-8"/>
        </w:rPr>
        <w:t xml:space="preserve"> </w:t>
      </w:r>
      <w:r>
        <w:t>years</w:t>
      </w:r>
      <w:r>
        <w:rPr>
          <w:spacing w:val="-9"/>
        </w:rPr>
        <w:t xml:space="preserve"> </w:t>
      </w:r>
      <w:r>
        <w:t>(significant</w:t>
      </w:r>
      <w:r>
        <w:rPr>
          <w:spacing w:val="-58"/>
        </w:rPr>
        <w:t xml:space="preserve"> </w:t>
      </w:r>
      <w:r>
        <w:t>decline in interest rates), their availability largely depends on the available collateral. The</w:t>
      </w:r>
      <w:r>
        <w:rPr>
          <w:spacing w:val="1"/>
        </w:rPr>
        <w:t xml:space="preserve"> </w:t>
      </w:r>
      <w:r>
        <w:t>outbreak of the COVID-19 pandemic has led to an economic crisis where traditional financial</w:t>
      </w:r>
      <w:r>
        <w:rPr>
          <w:spacing w:val="1"/>
        </w:rPr>
        <w:t xml:space="preserve"> </w:t>
      </w:r>
      <w:r>
        <w:t>institutions continue to reduce lending activities in the market, making access to finance for</w:t>
      </w:r>
      <w:r>
        <w:rPr>
          <w:spacing w:val="1"/>
        </w:rPr>
        <w:t xml:space="preserve"> </w:t>
      </w:r>
      <w:r>
        <w:t>more</w:t>
      </w:r>
      <w:r>
        <w:rPr>
          <w:spacing w:val="-3"/>
        </w:rPr>
        <w:t xml:space="preserve"> </w:t>
      </w:r>
      <w:r>
        <w:t>vulnerable</w:t>
      </w:r>
      <w:r>
        <w:rPr>
          <w:spacing w:val="1"/>
        </w:rPr>
        <w:t xml:space="preserve"> </w:t>
      </w:r>
      <w:r>
        <w:t>groups even more</w:t>
      </w:r>
      <w:r>
        <w:rPr>
          <w:spacing w:val="-2"/>
        </w:rPr>
        <w:t xml:space="preserve"> </w:t>
      </w:r>
      <w:r>
        <w:t>difficult.</w:t>
      </w:r>
    </w:p>
    <w:p w:rsidR="00A56FE9" w:rsidRDefault="00000000">
      <w:pPr>
        <w:spacing w:before="121"/>
        <w:ind w:left="138" w:right="271"/>
        <w:jc w:val="both"/>
        <w:rPr>
          <w:sz w:val="24"/>
        </w:rPr>
      </w:pPr>
      <w:r>
        <w:rPr>
          <w:spacing w:val="-1"/>
          <w:sz w:val="24"/>
        </w:rPr>
        <w:t>To</w:t>
      </w:r>
      <w:r>
        <w:rPr>
          <w:spacing w:val="-12"/>
          <w:sz w:val="24"/>
        </w:rPr>
        <w:t xml:space="preserve"> </w:t>
      </w:r>
      <w:r>
        <w:rPr>
          <w:spacing w:val="-1"/>
          <w:sz w:val="24"/>
        </w:rPr>
        <w:t>encourage</w:t>
      </w:r>
      <w:r>
        <w:rPr>
          <w:spacing w:val="-13"/>
          <w:sz w:val="24"/>
        </w:rPr>
        <w:t xml:space="preserve"> </w:t>
      </w:r>
      <w:r>
        <w:rPr>
          <w:spacing w:val="-1"/>
          <w:sz w:val="24"/>
        </w:rPr>
        <w:t>faster</w:t>
      </w:r>
      <w:r>
        <w:rPr>
          <w:spacing w:val="-11"/>
          <w:sz w:val="24"/>
        </w:rPr>
        <w:t xml:space="preserve"> </w:t>
      </w:r>
      <w:r>
        <w:rPr>
          <w:sz w:val="24"/>
        </w:rPr>
        <w:t>economic</w:t>
      </w:r>
      <w:r>
        <w:rPr>
          <w:spacing w:val="-13"/>
          <w:sz w:val="24"/>
        </w:rPr>
        <w:t xml:space="preserve"> </w:t>
      </w:r>
      <w:r>
        <w:rPr>
          <w:sz w:val="24"/>
        </w:rPr>
        <w:t>recovery</w:t>
      </w:r>
      <w:r>
        <w:rPr>
          <w:spacing w:val="-14"/>
          <w:sz w:val="24"/>
        </w:rPr>
        <w:t xml:space="preserve"> </w:t>
      </w:r>
      <w:r>
        <w:rPr>
          <w:sz w:val="24"/>
        </w:rPr>
        <w:t>and</w:t>
      </w:r>
      <w:r>
        <w:rPr>
          <w:spacing w:val="-12"/>
          <w:sz w:val="24"/>
        </w:rPr>
        <w:t xml:space="preserve"> </w:t>
      </w:r>
      <w:r>
        <w:rPr>
          <w:sz w:val="24"/>
        </w:rPr>
        <w:t>faster</w:t>
      </w:r>
      <w:r>
        <w:rPr>
          <w:spacing w:val="-11"/>
          <w:sz w:val="24"/>
        </w:rPr>
        <w:t xml:space="preserve"> </w:t>
      </w:r>
      <w:r>
        <w:rPr>
          <w:sz w:val="24"/>
        </w:rPr>
        <w:t>development</w:t>
      </w:r>
      <w:r>
        <w:rPr>
          <w:spacing w:val="-12"/>
          <w:sz w:val="24"/>
        </w:rPr>
        <w:t xml:space="preserve"> </w:t>
      </w:r>
      <w:r>
        <w:rPr>
          <w:sz w:val="24"/>
        </w:rPr>
        <w:t>of</w:t>
      </w:r>
      <w:r>
        <w:rPr>
          <w:spacing w:val="-12"/>
          <w:sz w:val="24"/>
        </w:rPr>
        <w:t xml:space="preserve"> </w:t>
      </w:r>
      <w:r>
        <w:rPr>
          <w:sz w:val="24"/>
        </w:rPr>
        <w:t>companies</w:t>
      </w:r>
      <w:r>
        <w:rPr>
          <w:spacing w:val="-12"/>
          <w:sz w:val="24"/>
        </w:rPr>
        <w:t xml:space="preserve"> </w:t>
      </w:r>
      <w:r>
        <w:rPr>
          <w:sz w:val="24"/>
        </w:rPr>
        <w:t>that</w:t>
      </w:r>
      <w:r>
        <w:rPr>
          <w:spacing w:val="-12"/>
          <w:sz w:val="24"/>
        </w:rPr>
        <w:t xml:space="preserve"> </w:t>
      </w:r>
      <w:r>
        <w:rPr>
          <w:sz w:val="24"/>
        </w:rPr>
        <w:t>cannot</w:t>
      </w:r>
      <w:r>
        <w:rPr>
          <w:spacing w:val="-12"/>
          <w:sz w:val="24"/>
        </w:rPr>
        <w:t xml:space="preserve"> </w:t>
      </w:r>
      <w:r>
        <w:rPr>
          <w:sz w:val="24"/>
        </w:rPr>
        <w:t>obtain</w:t>
      </w:r>
      <w:r>
        <w:rPr>
          <w:spacing w:val="-57"/>
          <w:sz w:val="24"/>
        </w:rPr>
        <w:t xml:space="preserve"> </w:t>
      </w:r>
      <w:r>
        <w:rPr>
          <w:sz w:val="24"/>
        </w:rPr>
        <w:t>financing from traditional financial institutions (e.g., innovative companies with a higher</w:t>
      </w:r>
      <w:r>
        <w:rPr>
          <w:spacing w:val="1"/>
          <w:sz w:val="24"/>
        </w:rPr>
        <w:t xml:space="preserve"> </w:t>
      </w:r>
      <w:r>
        <w:rPr>
          <w:sz w:val="24"/>
        </w:rPr>
        <w:t xml:space="preserve">degree of risk), </w:t>
      </w:r>
      <w:r>
        <w:rPr>
          <w:b/>
          <w:sz w:val="24"/>
        </w:rPr>
        <w:t>the plan is to invest in increasing the size of venture capital funds (those</w:t>
      </w:r>
      <w:r>
        <w:rPr>
          <w:b/>
          <w:spacing w:val="1"/>
          <w:sz w:val="24"/>
        </w:rPr>
        <w:t xml:space="preserve"> </w:t>
      </w:r>
      <w:r>
        <w:rPr>
          <w:b/>
          <w:sz w:val="24"/>
        </w:rPr>
        <w:t>active</w:t>
      </w:r>
      <w:r>
        <w:rPr>
          <w:b/>
          <w:spacing w:val="-11"/>
          <w:sz w:val="24"/>
        </w:rPr>
        <w:t xml:space="preserve"> </w:t>
      </w:r>
      <w:r>
        <w:rPr>
          <w:b/>
          <w:sz w:val="24"/>
        </w:rPr>
        <w:t>and</w:t>
      </w:r>
      <w:r>
        <w:rPr>
          <w:b/>
          <w:spacing w:val="-9"/>
          <w:sz w:val="24"/>
        </w:rPr>
        <w:t xml:space="preserve"> </w:t>
      </w:r>
      <w:r>
        <w:rPr>
          <w:b/>
          <w:sz w:val="24"/>
        </w:rPr>
        <w:t>seeking</w:t>
      </w:r>
      <w:r>
        <w:rPr>
          <w:b/>
          <w:spacing w:val="-10"/>
          <w:sz w:val="24"/>
        </w:rPr>
        <w:t xml:space="preserve"> </w:t>
      </w:r>
      <w:r>
        <w:rPr>
          <w:b/>
          <w:sz w:val="24"/>
        </w:rPr>
        <w:t>additional</w:t>
      </w:r>
      <w:r>
        <w:rPr>
          <w:b/>
          <w:spacing w:val="-9"/>
          <w:sz w:val="24"/>
        </w:rPr>
        <w:t xml:space="preserve"> </w:t>
      </w:r>
      <w:r>
        <w:rPr>
          <w:b/>
          <w:sz w:val="24"/>
        </w:rPr>
        <w:t>investor</w:t>
      </w:r>
      <w:r>
        <w:rPr>
          <w:b/>
          <w:spacing w:val="-11"/>
          <w:sz w:val="24"/>
        </w:rPr>
        <w:t xml:space="preserve"> </w:t>
      </w:r>
      <w:r>
        <w:rPr>
          <w:b/>
          <w:sz w:val="24"/>
        </w:rPr>
        <w:t>funds)</w:t>
      </w:r>
      <w:r>
        <w:rPr>
          <w:b/>
          <w:spacing w:val="-10"/>
          <w:sz w:val="24"/>
        </w:rPr>
        <w:t xml:space="preserve"> </w:t>
      </w:r>
      <w:r>
        <w:rPr>
          <w:b/>
          <w:sz w:val="24"/>
        </w:rPr>
        <w:t>and</w:t>
      </w:r>
      <w:r>
        <w:rPr>
          <w:b/>
          <w:spacing w:val="-9"/>
          <w:sz w:val="24"/>
        </w:rPr>
        <w:t xml:space="preserve"> </w:t>
      </w:r>
      <w:r>
        <w:rPr>
          <w:b/>
          <w:sz w:val="24"/>
        </w:rPr>
        <w:t>for</w:t>
      </w:r>
      <w:r>
        <w:rPr>
          <w:b/>
          <w:spacing w:val="-11"/>
          <w:sz w:val="24"/>
        </w:rPr>
        <w:t xml:space="preserve"> </w:t>
      </w:r>
      <w:r>
        <w:rPr>
          <w:b/>
          <w:sz w:val="24"/>
        </w:rPr>
        <w:t>launching</w:t>
      </w:r>
      <w:r>
        <w:rPr>
          <w:b/>
          <w:spacing w:val="-10"/>
          <w:sz w:val="24"/>
        </w:rPr>
        <w:t xml:space="preserve"> </w:t>
      </w:r>
      <w:r>
        <w:rPr>
          <w:b/>
          <w:sz w:val="24"/>
        </w:rPr>
        <w:t>new</w:t>
      </w:r>
      <w:r>
        <w:rPr>
          <w:b/>
          <w:spacing w:val="-8"/>
          <w:sz w:val="24"/>
        </w:rPr>
        <w:t xml:space="preserve"> </w:t>
      </w:r>
      <w:r>
        <w:rPr>
          <w:b/>
          <w:sz w:val="24"/>
        </w:rPr>
        <w:t>venture</w:t>
      </w:r>
      <w:r>
        <w:rPr>
          <w:b/>
          <w:spacing w:val="-11"/>
          <w:sz w:val="24"/>
        </w:rPr>
        <w:t xml:space="preserve"> </w:t>
      </w:r>
      <w:r>
        <w:rPr>
          <w:b/>
          <w:sz w:val="24"/>
        </w:rPr>
        <w:t>capital</w:t>
      </w:r>
      <w:r>
        <w:rPr>
          <w:b/>
          <w:spacing w:val="-9"/>
          <w:sz w:val="24"/>
        </w:rPr>
        <w:t xml:space="preserve"> </w:t>
      </w:r>
      <w:r>
        <w:rPr>
          <w:b/>
          <w:sz w:val="24"/>
        </w:rPr>
        <w:t>funds</w:t>
      </w:r>
      <w:r>
        <w:rPr>
          <w:b/>
          <w:spacing w:val="-58"/>
          <w:sz w:val="24"/>
        </w:rPr>
        <w:t xml:space="preserve"> </w:t>
      </w:r>
      <w:r>
        <w:rPr>
          <w:b/>
          <w:sz w:val="24"/>
        </w:rPr>
        <w:t>or co-invest with existing active venture capital funds</w:t>
      </w:r>
      <w:r>
        <w:rPr>
          <w:sz w:val="24"/>
        </w:rPr>
        <w:t>. Equity investments from venture</w:t>
      </w:r>
      <w:r>
        <w:rPr>
          <w:spacing w:val="1"/>
          <w:sz w:val="24"/>
        </w:rPr>
        <w:t xml:space="preserve"> </w:t>
      </w:r>
      <w:r>
        <w:rPr>
          <w:sz w:val="24"/>
        </w:rPr>
        <w:t>capital funds also help stimulate equity investments from private and institutional investors,</w:t>
      </w:r>
      <w:r>
        <w:rPr>
          <w:spacing w:val="1"/>
          <w:sz w:val="24"/>
        </w:rPr>
        <w:t xml:space="preserve"> </w:t>
      </w:r>
      <w:r>
        <w:rPr>
          <w:sz w:val="24"/>
        </w:rPr>
        <w:t>encourage the more ambitious running of businesses and expand the business of SMEs to new</w:t>
      </w:r>
      <w:r>
        <w:rPr>
          <w:spacing w:val="-57"/>
          <w:sz w:val="24"/>
        </w:rPr>
        <w:t xml:space="preserve"> </w:t>
      </w:r>
      <w:r>
        <w:rPr>
          <w:sz w:val="24"/>
        </w:rPr>
        <w:t>markets.</w:t>
      </w:r>
    </w:p>
    <w:p w:rsidR="00A56FE9" w:rsidRDefault="00000000">
      <w:pPr>
        <w:pStyle w:val="Tijeloteksta"/>
        <w:spacing w:before="120"/>
        <w:ind w:right="274"/>
      </w:pPr>
      <w:r>
        <w:t>In recognising the fact that this is already an active measure, HBOR will make investing to</w:t>
      </w:r>
      <w:r>
        <w:rPr>
          <w:spacing w:val="1"/>
        </w:rPr>
        <w:t xml:space="preserve"> </w:t>
      </w:r>
      <w:r>
        <w:t>increasing existing PE funds developed in cooperation with the EIF and/or investing in new</w:t>
      </w:r>
      <w:r>
        <w:rPr>
          <w:spacing w:val="1"/>
        </w:rPr>
        <w:t xml:space="preserve"> </w:t>
      </w:r>
      <w:r>
        <w:t>funds and/or co-investments, a condition for incorporating the goals of sustainable businesses,</w:t>
      </w:r>
      <w:r>
        <w:rPr>
          <w:spacing w:val="-57"/>
        </w:rPr>
        <w:t xml:space="preserve"> </w:t>
      </w:r>
      <w:r>
        <w:t>the</w:t>
      </w:r>
      <w:r>
        <w:rPr>
          <w:spacing w:val="-2"/>
        </w:rPr>
        <w:t xml:space="preserve"> </w:t>
      </w:r>
      <w:r>
        <w:t>digital and</w:t>
      </w:r>
      <w:r>
        <w:rPr>
          <w:spacing w:val="1"/>
        </w:rPr>
        <w:t xml:space="preserve"> </w:t>
      </w:r>
      <w:r>
        <w:t>green transition</w:t>
      </w:r>
      <w:r>
        <w:rPr>
          <w:spacing w:val="2"/>
        </w:rPr>
        <w:t xml:space="preserve"> </w:t>
      </w:r>
      <w:r>
        <w:t>into</w:t>
      </w:r>
      <w:r>
        <w:rPr>
          <w:spacing w:val="-1"/>
        </w:rPr>
        <w:t xml:space="preserve"> </w:t>
      </w:r>
      <w:r>
        <w:t>the</w:t>
      </w:r>
      <w:r>
        <w:rPr>
          <w:spacing w:val="-1"/>
        </w:rPr>
        <w:t xml:space="preserve"> </w:t>
      </w:r>
      <w:r>
        <w:t>strategy</w:t>
      </w:r>
      <w:r>
        <w:rPr>
          <w:spacing w:val="-6"/>
        </w:rPr>
        <w:t xml:space="preserve"> </w:t>
      </w:r>
      <w:r>
        <w:t>of</w:t>
      </w:r>
      <w:r>
        <w:rPr>
          <w:spacing w:val="1"/>
        </w:rPr>
        <w:t xml:space="preserve"> </w:t>
      </w:r>
      <w:r>
        <w:t>investment funds</w:t>
      </w:r>
      <w:r>
        <w:rPr>
          <w:spacing w:val="-1"/>
        </w:rPr>
        <w:t xml:space="preserve"> </w:t>
      </w:r>
      <w:r>
        <w:t>as much</w:t>
      </w:r>
      <w:r>
        <w:rPr>
          <w:spacing w:val="-1"/>
        </w:rPr>
        <w:t xml:space="preserve"> </w:t>
      </w:r>
      <w:r>
        <w:t>as possible.</w:t>
      </w:r>
    </w:p>
    <w:p w:rsidR="00A56FE9" w:rsidRDefault="00000000">
      <w:pPr>
        <w:spacing w:before="121"/>
        <w:ind w:left="138" w:right="271"/>
        <w:jc w:val="both"/>
        <w:rPr>
          <w:sz w:val="24"/>
        </w:rPr>
      </w:pPr>
      <w:r>
        <w:rPr>
          <w:sz w:val="24"/>
        </w:rPr>
        <w:t xml:space="preserve">In addition to developing equity instruments in terms of the NRRP, </w:t>
      </w:r>
      <w:r>
        <w:rPr>
          <w:b/>
          <w:sz w:val="24"/>
        </w:rPr>
        <w:t>the plan is to implement</w:t>
      </w:r>
      <w:r>
        <w:rPr>
          <w:b/>
          <w:spacing w:val="1"/>
          <w:sz w:val="24"/>
        </w:rPr>
        <w:t xml:space="preserve"> </w:t>
      </w:r>
      <w:r>
        <w:rPr>
          <w:b/>
          <w:sz w:val="24"/>
        </w:rPr>
        <w:t>additional</w:t>
      </w:r>
      <w:r>
        <w:rPr>
          <w:b/>
          <w:spacing w:val="1"/>
          <w:sz w:val="24"/>
        </w:rPr>
        <w:t xml:space="preserve"> </w:t>
      </w:r>
      <w:r>
        <w:rPr>
          <w:b/>
          <w:sz w:val="24"/>
        </w:rPr>
        <w:t>loans</w:t>
      </w:r>
      <w:r>
        <w:rPr>
          <w:b/>
          <w:spacing w:val="1"/>
          <w:sz w:val="24"/>
        </w:rPr>
        <w:t xml:space="preserve"> </w:t>
      </w:r>
      <w:r>
        <w:rPr>
          <w:b/>
          <w:sz w:val="24"/>
        </w:rPr>
        <w:t>and</w:t>
      </w:r>
      <w:r>
        <w:rPr>
          <w:b/>
          <w:spacing w:val="1"/>
          <w:sz w:val="24"/>
        </w:rPr>
        <w:t xml:space="preserve"> </w:t>
      </w:r>
      <w:r>
        <w:rPr>
          <w:b/>
          <w:sz w:val="24"/>
        </w:rPr>
        <w:t>guarantee</w:t>
      </w:r>
      <w:r>
        <w:rPr>
          <w:b/>
          <w:spacing w:val="1"/>
          <w:sz w:val="24"/>
        </w:rPr>
        <w:t xml:space="preserve"> </w:t>
      </w:r>
      <w:r>
        <w:rPr>
          <w:b/>
          <w:sz w:val="24"/>
        </w:rPr>
        <w:t>instruments</w:t>
      </w:r>
      <w:r>
        <w:rPr>
          <w:b/>
          <w:spacing w:val="1"/>
          <w:sz w:val="24"/>
        </w:rPr>
        <w:t xml:space="preserve"> </w:t>
      </w:r>
      <w:r>
        <w:rPr>
          <w:b/>
          <w:sz w:val="24"/>
        </w:rPr>
        <w:t>(managed</w:t>
      </w:r>
      <w:r>
        <w:rPr>
          <w:b/>
          <w:spacing w:val="1"/>
          <w:sz w:val="24"/>
        </w:rPr>
        <w:t xml:space="preserve"> </w:t>
      </w:r>
      <w:r>
        <w:rPr>
          <w:b/>
          <w:sz w:val="24"/>
        </w:rPr>
        <w:t>by</w:t>
      </w:r>
      <w:r>
        <w:rPr>
          <w:b/>
          <w:spacing w:val="1"/>
          <w:sz w:val="24"/>
        </w:rPr>
        <w:t xml:space="preserve"> </w:t>
      </w:r>
      <w:r>
        <w:rPr>
          <w:b/>
          <w:sz w:val="24"/>
        </w:rPr>
        <w:t>HBOR)</w:t>
      </w:r>
      <w:r>
        <w:rPr>
          <w:b/>
          <w:spacing w:val="1"/>
          <w:sz w:val="24"/>
        </w:rPr>
        <w:t xml:space="preserve"> </w:t>
      </w:r>
      <w:r>
        <w:rPr>
          <w:b/>
          <w:sz w:val="24"/>
        </w:rPr>
        <w:t>to</w:t>
      </w:r>
      <w:r>
        <w:rPr>
          <w:b/>
          <w:spacing w:val="1"/>
          <w:sz w:val="24"/>
        </w:rPr>
        <w:t xml:space="preserve"> </w:t>
      </w:r>
      <w:r>
        <w:rPr>
          <w:b/>
          <w:sz w:val="24"/>
        </w:rPr>
        <w:t>support</w:t>
      </w:r>
      <w:r>
        <w:rPr>
          <w:b/>
          <w:spacing w:val="1"/>
          <w:sz w:val="24"/>
        </w:rPr>
        <w:t xml:space="preserve"> </w:t>
      </w:r>
      <w:r>
        <w:rPr>
          <w:b/>
          <w:sz w:val="24"/>
        </w:rPr>
        <w:t>the</w:t>
      </w:r>
      <w:r>
        <w:rPr>
          <w:b/>
          <w:spacing w:val="1"/>
          <w:sz w:val="24"/>
        </w:rPr>
        <w:t xml:space="preserve"> </w:t>
      </w:r>
      <w:r>
        <w:rPr>
          <w:b/>
          <w:sz w:val="24"/>
        </w:rPr>
        <w:t>strengthening of investments to strengthen competitiveness and the green and digital</w:t>
      </w:r>
      <w:r>
        <w:rPr>
          <w:b/>
          <w:spacing w:val="1"/>
          <w:sz w:val="24"/>
        </w:rPr>
        <w:t xml:space="preserve"> </w:t>
      </w:r>
      <w:r>
        <w:rPr>
          <w:b/>
          <w:sz w:val="24"/>
        </w:rPr>
        <w:t xml:space="preserve">transition of the Croatian economy. </w:t>
      </w:r>
      <w:r>
        <w:rPr>
          <w:sz w:val="24"/>
        </w:rPr>
        <w:t>The NRRP measures for HBOR's financial instruments</w:t>
      </w:r>
      <w:r>
        <w:rPr>
          <w:spacing w:val="1"/>
          <w:sz w:val="24"/>
        </w:rPr>
        <w:t xml:space="preserve"> </w:t>
      </w:r>
      <w:r>
        <w:rPr>
          <w:sz w:val="24"/>
        </w:rPr>
        <w:t>aim to support micro, small and medium-sized business enterprises, mid-cap companies and</w:t>
      </w:r>
      <w:r>
        <w:rPr>
          <w:spacing w:val="1"/>
          <w:sz w:val="24"/>
        </w:rPr>
        <w:t xml:space="preserve"> </w:t>
      </w:r>
      <w:r>
        <w:rPr>
          <w:sz w:val="24"/>
        </w:rPr>
        <w:t>large</w:t>
      </w:r>
      <w:r>
        <w:rPr>
          <w:spacing w:val="1"/>
          <w:sz w:val="24"/>
        </w:rPr>
        <w:t xml:space="preserve"> </w:t>
      </w:r>
      <w:r>
        <w:rPr>
          <w:sz w:val="24"/>
        </w:rPr>
        <w:t>enterprises,</w:t>
      </w:r>
      <w:r>
        <w:rPr>
          <w:spacing w:val="1"/>
          <w:sz w:val="24"/>
        </w:rPr>
        <w:t xml:space="preserve"> </w:t>
      </w:r>
      <w:r>
        <w:rPr>
          <w:sz w:val="24"/>
        </w:rPr>
        <w:t>including</w:t>
      </w:r>
      <w:r>
        <w:rPr>
          <w:spacing w:val="1"/>
          <w:sz w:val="24"/>
        </w:rPr>
        <w:t xml:space="preserve"> </w:t>
      </w:r>
      <w:r>
        <w:rPr>
          <w:sz w:val="24"/>
        </w:rPr>
        <w:t>public</w:t>
      </w:r>
      <w:r>
        <w:rPr>
          <w:spacing w:val="1"/>
          <w:sz w:val="24"/>
        </w:rPr>
        <w:t xml:space="preserve"> </w:t>
      </w:r>
      <w:r>
        <w:rPr>
          <w:sz w:val="24"/>
        </w:rPr>
        <w:t>sector</w:t>
      </w:r>
      <w:r>
        <w:rPr>
          <w:spacing w:val="1"/>
          <w:sz w:val="24"/>
        </w:rPr>
        <w:t xml:space="preserve"> </w:t>
      </w:r>
      <w:r>
        <w:rPr>
          <w:sz w:val="24"/>
        </w:rPr>
        <w:t>entities.</w:t>
      </w:r>
      <w:r>
        <w:rPr>
          <w:spacing w:val="1"/>
          <w:sz w:val="24"/>
        </w:rPr>
        <w:t xml:space="preserve"> </w:t>
      </w:r>
      <w:r>
        <w:rPr>
          <w:sz w:val="24"/>
        </w:rPr>
        <w:t>To</w:t>
      </w:r>
      <w:r>
        <w:rPr>
          <w:spacing w:val="1"/>
          <w:sz w:val="24"/>
        </w:rPr>
        <w:t xml:space="preserve"> </w:t>
      </w:r>
      <w:r>
        <w:rPr>
          <w:sz w:val="24"/>
        </w:rPr>
        <w:t>implement</w:t>
      </w:r>
      <w:r>
        <w:rPr>
          <w:spacing w:val="1"/>
          <w:sz w:val="24"/>
        </w:rPr>
        <w:t xml:space="preserve"> </w:t>
      </w:r>
      <w:r>
        <w:rPr>
          <w:sz w:val="24"/>
        </w:rPr>
        <w:t>these</w:t>
      </w:r>
      <w:r>
        <w:rPr>
          <w:spacing w:val="1"/>
          <w:sz w:val="24"/>
        </w:rPr>
        <w:t xml:space="preserve"> </w:t>
      </w:r>
      <w:r>
        <w:rPr>
          <w:sz w:val="24"/>
        </w:rPr>
        <w:t>HBOR</w:t>
      </w:r>
      <w:r>
        <w:rPr>
          <w:spacing w:val="1"/>
          <w:sz w:val="24"/>
        </w:rPr>
        <w:t xml:space="preserve"> </w:t>
      </w:r>
      <w:r>
        <w:rPr>
          <w:sz w:val="24"/>
        </w:rPr>
        <w:t>financial</w:t>
      </w:r>
      <w:r>
        <w:rPr>
          <w:spacing w:val="1"/>
          <w:sz w:val="24"/>
        </w:rPr>
        <w:t xml:space="preserve"> </w:t>
      </w:r>
      <w:r>
        <w:rPr>
          <w:sz w:val="24"/>
        </w:rPr>
        <w:t>instruments,</w:t>
      </w:r>
      <w:r>
        <w:rPr>
          <w:spacing w:val="-1"/>
          <w:sz w:val="24"/>
        </w:rPr>
        <w:t xml:space="preserve"> </w:t>
      </w:r>
      <w:r>
        <w:rPr>
          <w:sz w:val="24"/>
        </w:rPr>
        <w:t>a total of HRK 1.925 billion</w:t>
      </w:r>
      <w:r>
        <w:rPr>
          <w:spacing w:val="-1"/>
          <w:sz w:val="24"/>
        </w:rPr>
        <w:t xml:space="preserve"> </w:t>
      </w:r>
      <w:r>
        <w:rPr>
          <w:sz w:val="24"/>
        </w:rPr>
        <w:t>is planned within the</w:t>
      </w:r>
      <w:r>
        <w:rPr>
          <w:spacing w:val="2"/>
          <w:sz w:val="24"/>
        </w:rPr>
        <w:t xml:space="preserve"> </w:t>
      </w:r>
      <w:r>
        <w:rPr>
          <w:sz w:val="24"/>
        </w:rPr>
        <w:t>NRRP.</w:t>
      </w:r>
    </w:p>
    <w:p w:rsidR="00A56FE9" w:rsidRDefault="00000000">
      <w:pPr>
        <w:spacing w:before="127" w:line="237" w:lineRule="auto"/>
        <w:ind w:left="138" w:right="273"/>
        <w:jc w:val="both"/>
        <w:rPr>
          <w:sz w:val="24"/>
        </w:rPr>
      </w:pPr>
      <w:r>
        <w:rPr>
          <w:b/>
          <w:sz w:val="24"/>
        </w:rPr>
        <w:t>HAMAG-BICRO</w:t>
      </w:r>
      <w:r>
        <w:rPr>
          <w:b/>
          <w:spacing w:val="1"/>
          <w:sz w:val="24"/>
        </w:rPr>
        <w:t xml:space="preserve"> </w:t>
      </w:r>
      <w:r>
        <w:rPr>
          <w:b/>
          <w:sz w:val="24"/>
        </w:rPr>
        <w:t>will</w:t>
      </w:r>
      <w:r>
        <w:rPr>
          <w:b/>
          <w:spacing w:val="1"/>
          <w:sz w:val="24"/>
        </w:rPr>
        <w:t xml:space="preserve"> </w:t>
      </w:r>
      <w:r>
        <w:rPr>
          <w:b/>
          <w:sz w:val="24"/>
        </w:rPr>
        <w:t>continue</w:t>
      </w:r>
      <w:r>
        <w:rPr>
          <w:b/>
          <w:spacing w:val="1"/>
          <w:sz w:val="24"/>
        </w:rPr>
        <w:t xml:space="preserve"> </w:t>
      </w:r>
      <w:r>
        <w:rPr>
          <w:b/>
          <w:sz w:val="24"/>
        </w:rPr>
        <w:t>to</w:t>
      </w:r>
      <w:r>
        <w:rPr>
          <w:b/>
          <w:spacing w:val="1"/>
          <w:sz w:val="24"/>
        </w:rPr>
        <w:t xml:space="preserve"> </w:t>
      </w:r>
      <w:r>
        <w:rPr>
          <w:b/>
          <w:sz w:val="24"/>
        </w:rPr>
        <w:t>implement</w:t>
      </w:r>
      <w:r>
        <w:rPr>
          <w:b/>
          <w:spacing w:val="1"/>
          <w:sz w:val="24"/>
        </w:rPr>
        <w:t xml:space="preserve"> </w:t>
      </w:r>
      <w:r>
        <w:rPr>
          <w:b/>
          <w:sz w:val="24"/>
        </w:rPr>
        <w:t>individual</w:t>
      </w:r>
      <w:r>
        <w:rPr>
          <w:b/>
          <w:spacing w:val="1"/>
          <w:sz w:val="24"/>
        </w:rPr>
        <w:t xml:space="preserve"> </w:t>
      </w:r>
      <w:r>
        <w:rPr>
          <w:b/>
          <w:sz w:val="24"/>
        </w:rPr>
        <w:t>and</w:t>
      </w:r>
      <w:r>
        <w:rPr>
          <w:b/>
          <w:spacing w:val="1"/>
          <w:sz w:val="24"/>
        </w:rPr>
        <w:t xml:space="preserve"> </w:t>
      </w:r>
      <w:r>
        <w:rPr>
          <w:b/>
          <w:sz w:val="24"/>
        </w:rPr>
        <w:t>portfolio</w:t>
      </w:r>
      <w:r>
        <w:rPr>
          <w:b/>
          <w:spacing w:val="1"/>
          <w:sz w:val="24"/>
        </w:rPr>
        <w:t xml:space="preserve"> </w:t>
      </w:r>
      <w:r>
        <w:rPr>
          <w:b/>
          <w:sz w:val="24"/>
        </w:rPr>
        <w:t>guarantee</w:t>
      </w:r>
      <w:r>
        <w:rPr>
          <w:b/>
          <w:spacing w:val="1"/>
          <w:sz w:val="24"/>
        </w:rPr>
        <w:t xml:space="preserve"> </w:t>
      </w:r>
      <w:r>
        <w:rPr>
          <w:b/>
          <w:sz w:val="24"/>
        </w:rPr>
        <w:t xml:space="preserve">programs in cooperation with commercial banks and HBOR, </w:t>
      </w:r>
      <w:r>
        <w:rPr>
          <w:sz w:val="24"/>
        </w:rPr>
        <w:t>with which it has signed</w:t>
      </w:r>
      <w:r>
        <w:rPr>
          <w:spacing w:val="1"/>
          <w:sz w:val="24"/>
        </w:rPr>
        <w:t xml:space="preserve"> </w:t>
      </w:r>
      <w:r>
        <w:rPr>
          <w:spacing w:val="-1"/>
          <w:sz w:val="24"/>
        </w:rPr>
        <w:t>Cooperation</w:t>
      </w:r>
      <w:r>
        <w:rPr>
          <w:spacing w:val="-12"/>
          <w:sz w:val="24"/>
        </w:rPr>
        <w:t xml:space="preserve"> </w:t>
      </w:r>
      <w:r>
        <w:rPr>
          <w:sz w:val="24"/>
        </w:rPr>
        <w:t>Agreements</w:t>
      </w:r>
      <w:r>
        <w:rPr>
          <w:spacing w:val="-9"/>
          <w:sz w:val="24"/>
        </w:rPr>
        <w:t xml:space="preserve"> </w:t>
      </w:r>
      <w:r>
        <w:rPr>
          <w:sz w:val="24"/>
        </w:rPr>
        <w:t>and</w:t>
      </w:r>
      <w:r>
        <w:rPr>
          <w:spacing w:val="-11"/>
          <w:sz w:val="24"/>
        </w:rPr>
        <w:t xml:space="preserve"> </w:t>
      </w:r>
      <w:r>
        <w:rPr>
          <w:sz w:val="24"/>
        </w:rPr>
        <w:t>will</w:t>
      </w:r>
      <w:r>
        <w:rPr>
          <w:spacing w:val="-10"/>
          <w:sz w:val="24"/>
        </w:rPr>
        <w:t xml:space="preserve"> </w:t>
      </w:r>
      <w:r>
        <w:rPr>
          <w:sz w:val="24"/>
        </w:rPr>
        <w:t>provide</w:t>
      </w:r>
      <w:r>
        <w:rPr>
          <w:spacing w:val="-10"/>
          <w:sz w:val="24"/>
        </w:rPr>
        <w:t xml:space="preserve"> </w:t>
      </w:r>
      <w:r>
        <w:rPr>
          <w:sz w:val="24"/>
        </w:rPr>
        <w:t>an</w:t>
      </w:r>
      <w:r>
        <w:rPr>
          <w:spacing w:val="-11"/>
          <w:sz w:val="24"/>
        </w:rPr>
        <w:t xml:space="preserve"> </w:t>
      </w:r>
      <w:r>
        <w:rPr>
          <w:sz w:val="24"/>
        </w:rPr>
        <w:t>interest</w:t>
      </w:r>
      <w:r>
        <w:rPr>
          <w:spacing w:val="-11"/>
          <w:sz w:val="24"/>
        </w:rPr>
        <w:t xml:space="preserve"> </w:t>
      </w:r>
      <w:r>
        <w:rPr>
          <w:sz w:val="24"/>
        </w:rPr>
        <w:t>rate</w:t>
      </w:r>
      <w:r>
        <w:rPr>
          <w:spacing w:val="-13"/>
          <w:sz w:val="24"/>
        </w:rPr>
        <w:t xml:space="preserve"> </w:t>
      </w:r>
      <w:r>
        <w:rPr>
          <w:sz w:val="24"/>
        </w:rPr>
        <w:t>subsidy</w:t>
      </w:r>
      <w:r>
        <w:rPr>
          <w:spacing w:val="-16"/>
          <w:sz w:val="24"/>
        </w:rPr>
        <w:t xml:space="preserve"> </w:t>
      </w:r>
      <w:r>
        <w:rPr>
          <w:sz w:val="24"/>
        </w:rPr>
        <w:t>(for</w:t>
      </w:r>
      <w:r>
        <w:rPr>
          <w:spacing w:val="-13"/>
          <w:sz w:val="24"/>
        </w:rPr>
        <w:t xml:space="preserve"> </w:t>
      </w:r>
      <w:r>
        <w:rPr>
          <w:sz w:val="24"/>
        </w:rPr>
        <w:t>investment</w:t>
      </w:r>
      <w:r>
        <w:rPr>
          <w:spacing w:val="-11"/>
          <w:sz w:val="24"/>
        </w:rPr>
        <w:t xml:space="preserve"> </w:t>
      </w:r>
      <w:r>
        <w:rPr>
          <w:sz w:val="24"/>
        </w:rPr>
        <w:t>loans)</w:t>
      </w:r>
      <w:r>
        <w:rPr>
          <w:spacing w:val="-11"/>
          <w:sz w:val="24"/>
        </w:rPr>
        <w:t xml:space="preserve"> </w:t>
      </w:r>
      <w:r>
        <w:rPr>
          <w:sz w:val="24"/>
        </w:rPr>
        <w:t>to</w:t>
      </w:r>
      <w:r>
        <w:rPr>
          <w:spacing w:val="-11"/>
          <w:sz w:val="24"/>
        </w:rPr>
        <w:t xml:space="preserve"> </w:t>
      </w:r>
      <w:r>
        <w:rPr>
          <w:sz w:val="24"/>
        </w:rPr>
        <w:t>end-</w:t>
      </w:r>
      <w:r>
        <w:rPr>
          <w:spacing w:val="-58"/>
          <w:sz w:val="24"/>
        </w:rPr>
        <w:t xml:space="preserve"> </w:t>
      </w:r>
      <w:r>
        <w:rPr>
          <w:sz w:val="24"/>
        </w:rPr>
        <w:t>users</w:t>
      </w:r>
      <w:r>
        <w:rPr>
          <w:spacing w:val="-1"/>
          <w:sz w:val="24"/>
        </w:rPr>
        <w:t xml:space="preserve"> </w:t>
      </w:r>
      <w:r>
        <w:rPr>
          <w:sz w:val="24"/>
        </w:rPr>
        <w:t>within the</w:t>
      </w:r>
      <w:r>
        <w:rPr>
          <w:spacing w:val="-1"/>
          <w:sz w:val="24"/>
        </w:rPr>
        <w:t xml:space="preserve"> </w:t>
      </w:r>
      <w:r>
        <w:rPr>
          <w:sz w:val="24"/>
        </w:rPr>
        <w:t>framework of</w:t>
      </w:r>
      <w:r>
        <w:rPr>
          <w:spacing w:val="-2"/>
          <w:sz w:val="24"/>
        </w:rPr>
        <w:t xml:space="preserve"> </w:t>
      </w:r>
      <w:r>
        <w:rPr>
          <w:sz w:val="24"/>
        </w:rPr>
        <w:t>the NRRP</w:t>
      </w:r>
      <w:r>
        <w:rPr>
          <w:spacing w:val="1"/>
          <w:sz w:val="24"/>
        </w:rPr>
        <w:t xml:space="preserve"> </w:t>
      </w:r>
      <w:r>
        <w:rPr>
          <w:sz w:val="24"/>
        </w:rPr>
        <w:t>amounting</w:t>
      </w:r>
      <w:r>
        <w:rPr>
          <w:spacing w:val="-2"/>
          <w:sz w:val="24"/>
        </w:rPr>
        <w:t xml:space="preserve"> </w:t>
      </w:r>
      <w:r>
        <w:rPr>
          <w:sz w:val="24"/>
        </w:rPr>
        <w:t>to HRK 100</w:t>
      </w:r>
      <w:r>
        <w:rPr>
          <w:spacing w:val="-1"/>
          <w:sz w:val="24"/>
        </w:rPr>
        <w:t xml:space="preserve"> </w:t>
      </w:r>
      <w:r>
        <w:rPr>
          <w:sz w:val="24"/>
        </w:rPr>
        <w:t>million.</w:t>
      </w:r>
    </w:p>
    <w:p w:rsidR="00A56FE9" w:rsidRDefault="00000000">
      <w:pPr>
        <w:pStyle w:val="Tijeloteksta"/>
        <w:spacing w:before="125"/>
        <w:ind w:right="272"/>
      </w:pPr>
      <w:r>
        <w:t>In 2022, HAMAG-BICRO will approve investment loans amounting to EUR 100,000 in terms</w:t>
      </w:r>
      <w:r>
        <w:rPr>
          <w:spacing w:val="-58"/>
        </w:rPr>
        <w:t xml:space="preserve"> </w:t>
      </w:r>
      <w:r>
        <w:t>of</w:t>
      </w:r>
      <w:r>
        <w:rPr>
          <w:spacing w:val="-6"/>
        </w:rPr>
        <w:t xml:space="preserve"> </w:t>
      </w:r>
      <w:r>
        <w:t>the</w:t>
      </w:r>
      <w:r>
        <w:rPr>
          <w:spacing w:val="-4"/>
        </w:rPr>
        <w:t xml:space="preserve"> </w:t>
      </w:r>
      <w:r>
        <w:t>NRRP</w:t>
      </w:r>
      <w:r>
        <w:rPr>
          <w:spacing w:val="-6"/>
        </w:rPr>
        <w:t xml:space="preserve"> </w:t>
      </w:r>
      <w:r>
        <w:t>for</w:t>
      </w:r>
      <w:r>
        <w:rPr>
          <w:spacing w:val="-5"/>
        </w:rPr>
        <w:t xml:space="preserve"> </w:t>
      </w:r>
      <w:r>
        <w:t>small</w:t>
      </w:r>
      <w:r>
        <w:rPr>
          <w:spacing w:val="-4"/>
        </w:rPr>
        <w:t xml:space="preserve"> </w:t>
      </w:r>
      <w:r>
        <w:t>and</w:t>
      </w:r>
      <w:r>
        <w:rPr>
          <w:spacing w:val="-4"/>
        </w:rPr>
        <w:t xml:space="preserve"> </w:t>
      </w:r>
      <w:r>
        <w:t>medium-sized</w:t>
      </w:r>
      <w:r>
        <w:rPr>
          <w:spacing w:val="-5"/>
        </w:rPr>
        <w:t xml:space="preserve"> </w:t>
      </w:r>
      <w:r>
        <w:t>enterprises. Implementation</w:t>
      </w:r>
      <w:r>
        <w:rPr>
          <w:spacing w:val="-5"/>
        </w:rPr>
        <w:t xml:space="preserve"> </w:t>
      </w:r>
      <w:r>
        <w:t>of</w:t>
      </w:r>
      <w:r>
        <w:rPr>
          <w:spacing w:val="-5"/>
        </w:rPr>
        <w:t xml:space="preserve"> </w:t>
      </w:r>
      <w:r>
        <w:t>existing</w:t>
      </w:r>
      <w:r>
        <w:rPr>
          <w:spacing w:val="-7"/>
        </w:rPr>
        <w:t xml:space="preserve"> </w:t>
      </w:r>
      <w:r>
        <w:t>programs</w:t>
      </w:r>
      <w:r>
        <w:rPr>
          <w:spacing w:val="-1"/>
        </w:rPr>
        <w:t xml:space="preserve"> </w:t>
      </w:r>
      <w:r>
        <w:t>for</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7"/>
      </w:pPr>
      <w:r>
        <w:t>individual</w:t>
      </w:r>
      <w:r>
        <w:rPr>
          <w:spacing w:val="-8"/>
        </w:rPr>
        <w:t xml:space="preserve"> </w:t>
      </w:r>
      <w:r>
        <w:t>guarantees</w:t>
      </w:r>
      <w:r>
        <w:rPr>
          <w:spacing w:val="-7"/>
        </w:rPr>
        <w:t xml:space="preserve"> </w:t>
      </w:r>
      <w:r>
        <w:t>(above</w:t>
      </w:r>
      <w:r>
        <w:rPr>
          <w:spacing w:val="-10"/>
        </w:rPr>
        <w:t xml:space="preserve"> </w:t>
      </w:r>
      <w:r>
        <w:t>EUR</w:t>
      </w:r>
      <w:r>
        <w:rPr>
          <w:spacing w:val="-7"/>
        </w:rPr>
        <w:t xml:space="preserve"> </w:t>
      </w:r>
      <w:r>
        <w:t>150,000)</w:t>
      </w:r>
      <w:r>
        <w:rPr>
          <w:spacing w:val="-9"/>
        </w:rPr>
        <w:t xml:space="preserve"> </w:t>
      </w:r>
      <w:r>
        <w:t>and</w:t>
      </w:r>
      <w:r>
        <w:rPr>
          <w:spacing w:val="-6"/>
        </w:rPr>
        <w:t xml:space="preserve"> </w:t>
      </w:r>
      <w:r>
        <w:t>portfolio</w:t>
      </w:r>
      <w:r>
        <w:rPr>
          <w:spacing w:val="-9"/>
        </w:rPr>
        <w:t xml:space="preserve"> </w:t>
      </w:r>
      <w:r>
        <w:t>guarantees</w:t>
      </w:r>
      <w:r>
        <w:rPr>
          <w:spacing w:val="-5"/>
        </w:rPr>
        <w:t xml:space="preserve"> </w:t>
      </w:r>
      <w:r>
        <w:t>(up</w:t>
      </w:r>
      <w:r>
        <w:rPr>
          <w:spacing w:val="-9"/>
        </w:rPr>
        <w:t xml:space="preserve"> </w:t>
      </w:r>
      <w:r>
        <w:t>to</w:t>
      </w:r>
      <w:r>
        <w:rPr>
          <w:spacing w:val="-5"/>
        </w:rPr>
        <w:t xml:space="preserve"> </w:t>
      </w:r>
      <w:r>
        <w:t>EUR</w:t>
      </w:r>
      <w:r>
        <w:rPr>
          <w:spacing w:val="-8"/>
        </w:rPr>
        <w:t xml:space="preserve"> </w:t>
      </w:r>
      <w:r>
        <w:t>150,000)</w:t>
      </w:r>
      <w:r>
        <w:rPr>
          <w:spacing w:val="-7"/>
        </w:rPr>
        <w:t xml:space="preserve"> </w:t>
      </w:r>
      <w:r>
        <w:t>will</w:t>
      </w:r>
      <w:r>
        <w:rPr>
          <w:spacing w:val="-57"/>
        </w:rPr>
        <w:t xml:space="preserve"> </w:t>
      </w:r>
      <w:r>
        <w:t>continue</w:t>
      </w:r>
      <w:r>
        <w:rPr>
          <w:spacing w:val="-2"/>
        </w:rPr>
        <w:t xml:space="preserve"> </w:t>
      </w:r>
      <w:r>
        <w:t>with a</w:t>
      </w:r>
      <w:r>
        <w:rPr>
          <w:spacing w:val="-1"/>
        </w:rPr>
        <w:t xml:space="preserve"> </w:t>
      </w:r>
      <w:r>
        <w:t>maximum guarantee rate of 80%.</w:t>
      </w:r>
    </w:p>
    <w:p w:rsidR="00A56FE9" w:rsidRDefault="00A56FE9">
      <w:pPr>
        <w:pStyle w:val="Tijeloteksta"/>
        <w:ind w:left="0"/>
        <w:jc w:val="left"/>
        <w:rPr>
          <w:sz w:val="32"/>
        </w:rPr>
      </w:pPr>
    </w:p>
    <w:p w:rsidR="00A56FE9" w:rsidRDefault="00CC1B9B">
      <w:pPr>
        <w:pStyle w:val="Naslov4"/>
      </w:pPr>
      <w:r>
        <w:rPr>
          <w:noProof/>
        </w:rPr>
        <mc:AlternateContent>
          <mc:Choice Requires="wps">
            <w:drawing>
              <wp:anchor distT="0" distB="0" distL="114300" distR="114300" simplePos="0" relativeHeight="15733760" behindDoc="0" locked="0" layoutInCell="1" allowOverlap="1">
                <wp:simplePos x="0" y="0"/>
                <wp:positionH relativeFrom="page">
                  <wp:posOffset>814070</wp:posOffset>
                </wp:positionH>
                <wp:positionV relativeFrom="paragraph">
                  <wp:posOffset>-1270</wp:posOffset>
                </wp:positionV>
                <wp:extent cx="18415" cy="265430"/>
                <wp:effectExtent l="0" t="0" r="0" b="0"/>
                <wp:wrapNone/>
                <wp:docPr id="2104134483" name="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2654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E55F3" id="Rectangle 333" o:spid="_x0000_s1026" style="position:absolute;margin-left:64.1pt;margin-top:-.1pt;width:1.45pt;height:20.9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" fillcolor="#da1f2c" stroked="f">
                <w10:wrap anchorx="page"/>
              </v:rect>
            </w:pict>
          </mc:Fallback>
        </mc:AlternateContent>
      </w:r>
      <w:r w:rsidR="00000000">
        <w:rPr>
          <w:color w:val="2C398A"/>
        </w:rPr>
        <w:t>Administrative</w:t>
      </w:r>
      <w:r w:rsidR="00000000">
        <w:rPr>
          <w:color w:val="2C398A"/>
          <w:spacing w:val="-3"/>
        </w:rPr>
        <w:t xml:space="preserve"> </w:t>
      </w:r>
      <w:r w:rsidR="00000000">
        <w:rPr>
          <w:color w:val="2C398A"/>
        </w:rPr>
        <w:t>and</w:t>
      </w:r>
      <w:r w:rsidR="00000000">
        <w:rPr>
          <w:color w:val="2C398A"/>
          <w:spacing w:val="-2"/>
        </w:rPr>
        <w:t xml:space="preserve"> </w:t>
      </w:r>
      <w:r w:rsidR="00000000">
        <w:rPr>
          <w:color w:val="2C398A"/>
        </w:rPr>
        <w:t>parafiscal</w:t>
      </w:r>
      <w:r w:rsidR="00000000">
        <w:rPr>
          <w:color w:val="2C398A"/>
          <w:spacing w:val="-2"/>
        </w:rPr>
        <w:t xml:space="preserve"> </w:t>
      </w:r>
      <w:r w:rsidR="00000000">
        <w:rPr>
          <w:color w:val="2C398A"/>
        </w:rPr>
        <w:t>relief</w:t>
      </w:r>
      <w:r w:rsidR="00000000">
        <w:rPr>
          <w:color w:val="2C398A"/>
          <w:spacing w:val="-3"/>
        </w:rPr>
        <w:t xml:space="preserve"> </w:t>
      </w:r>
      <w:r w:rsidR="00000000">
        <w:rPr>
          <w:color w:val="2C398A"/>
        </w:rPr>
        <w:t>of</w:t>
      </w:r>
      <w:r w:rsidR="00000000">
        <w:rPr>
          <w:color w:val="2C398A"/>
          <w:spacing w:val="-2"/>
        </w:rPr>
        <w:t xml:space="preserve"> </w:t>
      </w:r>
      <w:r w:rsidR="00000000">
        <w:rPr>
          <w:color w:val="2C398A"/>
        </w:rPr>
        <w:t>the economy</w:t>
      </w:r>
    </w:p>
    <w:p w:rsidR="00A56FE9" w:rsidRDefault="00000000">
      <w:pPr>
        <w:spacing w:before="231"/>
        <w:ind w:left="138" w:right="273"/>
        <w:jc w:val="both"/>
        <w:rPr>
          <w:i/>
          <w:sz w:val="24"/>
        </w:rPr>
      </w:pPr>
      <w:r>
        <w:rPr>
          <w:i/>
          <w:color w:val="003399"/>
          <w:sz w:val="24"/>
        </w:rPr>
        <w:t>2019.CSR4.4. Reduce the most burdensome parafiscal charges and excessive product and</w:t>
      </w:r>
      <w:r>
        <w:rPr>
          <w:i/>
          <w:color w:val="003399"/>
          <w:spacing w:val="1"/>
          <w:sz w:val="24"/>
        </w:rPr>
        <w:t xml:space="preserve"> </w:t>
      </w:r>
      <w:r>
        <w:rPr>
          <w:i/>
          <w:color w:val="003399"/>
          <w:sz w:val="24"/>
        </w:rPr>
        <w:t>services market regulation; 2020.CSR3.2. Further reduce parafiscal charges and restrictions</w:t>
      </w:r>
      <w:r>
        <w:rPr>
          <w:i/>
          <w:color w:val="003399"/>
          <w:spacing w:val="1"/>
          <w:sz w:val="24"/>
        </w:rPr>
        <w:t xml:space="preserve"> </w:t>
      </w:r>
      <w:r>
        <w:rPr>
          <w:i/>
          <w:color w:val="003399"/>
          <w:sz w:val="24"/>
        </w:rPr>
        <w:t>in</w:t>
      </w:r>
      <w:r>
        <w:rPr>
          <w:i/>
          <w:color w:val="003399"/>
          <w:spacing w:val="-1"/>
          <w:sz w:val="24"/>
        </w:rPr>
        <w:t xml:space="preserve"> </w:t>
      </w:r>
      <w:r>
        <w:rPr>
          <w:i/>
          <w:color w:val="003399"/>
          <w:sz w:val="24"/>
        </w:rPr>
        <w:t>goods and services market regulation</w:t>
      </w:r>
    </w:p>
    <w:p w:rsidR="00A56FE9" w:rsidRDefault="00A56FE9">
      <w:pPr>
        <w:pStyle w:val="Tijeloteksta"/>
        <w:spacing w:before="3"/>
        <w:ind w:left="0"/>
        <w:jc w:val="left"/>
        <w:rPr>
          <w:i/>
          <w:sz w:val="21"/>
        </w:rPr>
      </w:pPr>
    </w:p>
    <w:p w:rsidR="00A56FE9" w:rsidRDefault="00000000">
      <w:pPr>
        <w:pStyle w:val="Naslov5"/>
        <w:spacing w:before="1" w:after="22"/>
      </w:pPr>
      <w:r>
        <w:t>Progress</w:t>
      </w:r>
      <w:r>
        <w:rPr>
          <w:spacing w:val="-3"/>
        </w:rPr>
        <w:t xml:space="preserve"> </w:t>
      </w:r>
      <w:r>
        <w:t>in</w:t>
      </w:r>
      <w:r>
        <w:rPr>
          <w:spacing w:val="-3"/>
        </w:rPr>
        <w:t xml:space="preserve"> </w:t>
      </w:r>
      <w:r>
        <w:t>implementing</w:t>
      </w:r>
      <w:r>
        <w:rPr>
          <w:spacing w:val="-3"/>
        </w:rPr>
        <w:t xml:space="preserve"> </w:t>
      </w:r>
      <w:r>
        <w:t>the</w:t>
      </w:r>
      <w:r>
        <w:rPr>
          <w:spacing w:val="-2"/>
        </w:rPr>
        <w:t xml:space="preserve"> </w:t>
      </w:r>
      <w:r>
        <w:t>recommendation</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293690303"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389870018" name="Rectangle 332"/>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4BFF847" id="Group 331"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">
                <v:rect id="Rectangle 332"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" fillcolor="#2c398a" stroked="f"/>
                <w10:anchorlock/>
              </v:group>
            </w:pict>
          </mc:Fallback>
        </mc:AlternateContent>
      </w:r>
    </w:p>
    <w:p w:rsidR="00A56FE9" w:rsidRDefault="00000000">
      <w:pPr>
        <w:pStyle w:val="Tijeloteksta"/>
        <w:spacing w:before="154"/>
        <w:ind w:right="274"/>
      </w:pPr>
      <w:r>
        <w:rPr>
          <w:spacing w:val="-1"/>
        </w:rPr>
        <w:t>In</w:t>
      </w:r>
      <w:r>
        <w:rPr>
          <w:spacing w:val="-15"/>
        </w:rPr>
        <w:t xml:space="preserve"> </w:t>
      </w:r>
      <w:r>
        <w:rPr>
          <w:spacing w:val="-1"/>
        </w:rPr>
        <w:t>2017,</w:t>
      </w:r>
      <w:r>
        <w:rPr>
          <w:spacing w:val="-13"/>
        </w:rPr>
        <w:t xml:space="preserve"> </w:t>
      </w:r>
      <w:r>
        <w:t>the</w:t>
      </w:r>
      <w:r>
        <w:rPr>
          <w:spacing w:val="-15"/>
        </w:rPr>
        <w:t xml:space="preserve"> </w:t>
      </w:r>
      <w:r>
        <w:t>Ministry</w:t>
      </w:r>
      <w:r>
        <w:rPr>
          <w:spacing w:val="-17"/>
        </w:rPr>
        <w:t xml:space="preserve"> </w:t>
      </w:r>
      <w:r>
        <w:t>of</w:t>
      </w:r>
      <w:r>
        <w:rPr>
          <w:spacing w:val="-16"/>
        </w:rPr>
        <w:t xml:space="preserve"> </w:t>
      </w:r>
      <w:r>
        <w:t>Economy</w:t>
      </w:r>
      <w:r>
        <w:rPr>
          <w:spacing w:val="-17"/>
        </w:rPr>
        <w:t xml:space="preserve"> </w:t>
      </w:r>
      <w:r>
        <w:t>and</w:t>
      </w:r>
      <w:r>
        <w:rPr>
          <w:spacing w:val="-15"/>
        </w:rPr>
        <w:t xml:space="preserve"> </w:t>
      </w:r>
      <w:r>
        <w:t>Sustainable</w:t>
      </w:r>
      <w:r>
        <w:rPr>
          <w:spacing w:val="-12"/>
        </w:rPr>
        <w:t xml:space="preserve"> </w:t>
      </w:r>
      <w:r>
        <w:t>Development</w:t>
      </w:r>
      <w:r>
        <w:rPr>
          <w:spacing w:val="-14"/>
        </w:rPr>
        <w:t xml:space="preserve"> </w:t>
      </w:r>
      <w:r>
        <w:t>(MESD)</w:t>
      </w:r>
      <w:r>
        <w:rPr>
          <w:spacing w:val="-16"/>
        </w:rPr>
        <w:t xml:space="preserve"> </w:t>
      </w:r>
      <w:r>
        <w:t>started</w:t>
      </w:r>
      <w:r>
        <w:rPr>
          <w:spacing w:val="-15"/>
        </w:rPr>
        <w:t xml:space="preserve"> </w:t>
      </w:r>
      <w:r>
        <w:t>systematically</w:t>
      </w:r>
      <w:r>
        <w:rPr>
          <w:spacing w:val="-58"/>
        </w:rPr>
        <w:t xml:space="preserve"> </w:t>
      </w:r>
      <w:r>
        <w:t>reducing</w:t>
      </w:r>
      <w:r>
        <w:rPr>
          <w:spacing w:val="-6"/>
        </w:rPr>
        <w:t xml:space="preserve"> </w:t>
      </w:r>
      <w:r>
        <w:t>administrative</w:t>
      </w:r>
      <w:r>
        <w:rPr>
          <w:spacing w:val="-4"/>
        </w:rPr>
        <w:t xml:space="preserve"> </w:t>
      </w:r>
      <w:r>
        <w:t>burdens</w:t>
      </w:r>
      <w:r>
        <w:rPr>
          <w:spacing w:val="-3"/>
        </w:rPr>
        <w:t xml:space="preserve"> </w:t>
      </w:r>
      <w:r>
        <w:t>by</w:t>
      </w:r>
      <w:r>
        <w:rPr>
          <w:spacing w:val="-8"/>
        </w:rPr>
        <w:t xml:space="preserve"> </w:t>
      </w:r>
      <w:r>
        <w:t>implementing</w:t>
      </w:r>
      <w:r>
        <w:rPr>
          <w:spacing w:val="-5"/>
        </w:rPr>
        <w:t xml:space="preserve"> </w:t>
      </w:r>
      <w:r>
        <w:t>the</w:t>
      </w:r>
      <w:r>
        <w:rPr>
          <w:spacing w:val="-4"/>
        </w:rPr>
        <w:t xml:space="preserve"> </w:t>
      </w:r>
      <w:r>
        <w:t>methodology</w:t>
      </w:r>
      <w:r>
        <w:rPr>
          <w:spacing w:val="-8"/>
        </w:rPr>
        <w:t xml:space="preserve"> </w:t>
      </w:r>
      <w:r>
        <w:t>for</w:t>
      </w:r>
      <w:r>
        <w:rPr>
          <w:spacing w:val="-4"/>
        </w:rPr>
        <w:t xml:space="preserve"> </w:t>
      </w:r>
      <w:r>
        <w:t>assessing</w:t>
      </w:r>
      <w:r>
        <w:rPr>
          <w:spacing w:val="-5"/>
        </w:rPr>
        <w:t xml:space="preserve"> </w:t>
      </w:r>
      <w:r>
        <w:t>the</w:t>
      </w:r>
      <w:r>
        <w:rPr>
          <w:spacing w:val="-3"/>
        </w:rPr>
        <w:t xml:space="preserve"> </w:t>
      </w:r>
      <w:r>
        <w:t>economic</w:t>
      </w:r>
      <w:r>
        <w:rPr>
          <w:spacing w:val="-57"/>
        </w:rPr>
        <w:t xml:space="preserve"> </w:t>
      </w:r>
      <w:r>
        <w:rPr>
          <w:spacing w:val="-1"/>
        </w:rPr>
        <w:t>effects</w:t>
      </w:r>
      <w:r>
        <w:rPr>
          <w:spacing w:val="-12"/>
        </w:rPr>
        <w:t xml:space="preserve"> </w:t>
      </w:r>
      <w:r>
        <w:t>of</w:t>
      </w:r>
      <w:r>
        <w:rPr>
          <w:spacing w:val="-13"/>
        </w:rPr>
        <w:t xml:space="preserve"> </w:t>
      </w:r>
      <w:r>
        <w:t>regulations</w:t>
      </w:r>
      <w:r>
        <w:rPr>
          <w:spacing w:val="-12"/>
        </w:rPr>
        <w:t xml:space="preserve"> </w:t>
      </w:r>
      <w:r>
        <w:t>by</w:t>
      </w:r>
      <w:r>
        <w:rPr>
          <w:spacing w:val="-17"/>
        </w:rPr>
        <w:t xml:space="preserve"> </w:t>
      </w:r>
      <w:r>
        <w:t>calculating</w:t>
      </w:r>
      <w:r>
        <w:rPr>
          <w:spacing w:val="-15"/>
        </w:rPr>
        <w:t xml:space="preserve"> </w:t>
      </w:r>
      <w:r>
        <w:t>the</w:t>
      </w:r>
      <w:r>
        <w:rPr>
          <w:spacing w:val="-13"/>
        </w:rPr>
        <w:t xml:space="preserve"> </w:t>
      </w:r>
      <w:r>
        <w:t>Standard</w:t>
      </w:r>
      <w:r>
        <w:rPr>
          <w:spacing w:val="-13"/>
        </w:rPr>
        <w:t xml:space="preserve"> </w:t>
      </w:r>
      <w:r>
        <w:t>Cost</w:t>
      </w:r>
      <w:r>
        <w:rPr>
          <w:spacing w:val="-12"/>
        </w:rPr>
        <w:t xml:space="preserve"> </w:t>
      </w:r>
      <w:r>
        <w:t>Model</w:t>
      </w:r>
      <w:r>
        <w:rPr>
          <w:spacing w:val="-12"/>
        </w:rPr>
        <w:t xml:space="preserve"> </w:t>
      </w:r>
      <w:r>
        <w:t>(SCM).</w:t>
      </w:r>
      <w:r>
        <w:rPr>
          <w:spacing w:val="-13"/>
        </w:rPr>
        <w:t xml:space="preserve"> </w:t>
      </w:r>
      <w:r>
        <w:t>Due</w:t>
      </w:r>
      <w:r>
        <w:rPr>
          <w:spacing w:val="-14"/>
        </w:rPr>
        <w:t xml:space="preserve"> </w:t>
      </w:r>
      <w:r>
        <w:t>to</w:t>
      </w:r>
      <w:r>
        <w:rPr>
          <w:spacing w:val="-14"/>
        </w:rPr>
        <w:t xml:space="preserve"> </w:t>
      </w:r>
      <w:r>
        <w:t>the</w:t>
      </w:r>
      <w:r>
        <w:rPr>
          <w:spacing w:val="-13"/>
        </w:rPr>
        <w:t xml:space="preserve"> </w:t>
      </w:r>
      <w:r>
        <w:t>positive</w:t>
      </w:r>
      <w:r>
        <w:rPr>
          <w:spacing w:val="-13"/>
        </w:rPr>
        <w:t xml:space="preserve"> </w:t>
      </w:r>
      <w:r>
        <w:t>results</w:t>
      </w:r>
      <w:r>
        <w:rPr>
          <w:spacing w:val="-57"/>
        </w:rPr>
        <w:t xml:space="preserve"> </w:t>
      </w:r>
      <w:r>
        <w:t>of the first action plan, in June 2017 the Government adopted a Decision to Expand the</w:t>
      </w:r>
      <w:r>
        <w:rPr>
          <w:spacing w:val="1"/>
        </w:rPr>
        <w:t xml:space="preserve"> </w:t>
      </w:r>
      <w:r>
        <w:rPr>
          <w:spacing w:val="-1"/>
        </w:rPr>
        <w:t>Application</w:t>
      </w:r>
      <w:r>
        <w:rPr>
          <w:spacing w:val="-15"/>
        </w:rPr>
        <w:t xml:space="preserve"> </w:t>
      </w:r>
      <w:r>
        <w:t>of</w:t>
      </w:r>
      <w:r>
        <w:rPr>
          <w:spacing w:val="-15"/>
        </w:rPr>
        <w:t xml:space="preserve"> </w:t>
      </w:r>
      <w:r>
        <w:t>the</w:t>
      </w:r>
      <w:r>
        <w:rPr>
          <w:spacing w:val="-12"/>
        </w:rPr>
        <w:t xml:space="preserve"> </w:t>
      </w:r>
      <w:r>
        <w:t>SCM</w:t>
      </w:r>
      <w:r>
        <w:rPr>
          <w:spacing w:val="-14"/>
        </w:rPr>
        <w:t xml:space="preserve"> </w:t>
      </w:r>
      <w:r>
        <w:t>Methodology</w:t>
      </w:r>
      <w:r>
        <w:rPr>
          <w:spacing w:val="-17"/>
        </w:rPr>
        <w:t xml:space="preserve"> </w:t>
      </w:r>
      <w:r>
        <w:t>for</w:t>
      </w:r>
      <w:r>
        <w:rPr>
          <w:spacing w:val="-15"/>
        </w:rPr>
        <w:t xml:space="preserve"> </w:t>
      </w:r>
      <w:r>
        <w:t>Measuring</w:t>
      </w:r>
      <w:r>
        <w:rPr>
          <w:spacing w:val="-14"/>
        </w:rPr>
        <w:t xml:space="preserve"> </w:t>
      </w:r>
      <w:r>
        <w:t>and</w:t>
      </w:r>
      <w:r>
        <w:rPr>
          <w:spacing w:val="-14"/>
        </w:rPr>
        <w:t xml:space="preserve"> </w:t>
      </w:r>
      <w:r>
        <w:t>Targeted</w:t>
      </w:r>
      <w:r>
        <w:rPr>
          <w:spacing w:val="-15"/>
        </w:rPr>
        <w:t xml:space="preserve"> </w:t>
      </w:r>
      <w:r>
        <w:t>Reduction</w:t>
      </w:r>
      <w:r>
        <w:rPr>
          <w:spacing w:val="-14"/>
        </w:rPr>
        <w:t xml:space="preserve"> </w:t>
      </w:r>
      <w:r>
        <w:t>of</w:t>
      </w:r>
      <w:r>
        <w:rPr>
          <w:spacing w:val="-15"/>
        </w:rPr>
        <w:t xml:space="preserve"> </w:t>
      </w:r>
      <w:r>
        <w:t>Administrative</w:t>
      </w:r>
      <w:r>
        <w:rPr>
          <w:spacing w:val="-58"/>
        </w:rPr>
        <w:t xml:space="preserve"> </w:t>
      </w:r>
      <w:r>
        <w:t>Burdens on the Economy,</w:t>
      </w:r>
      <w:r>
        <w:rPr>
          <w:vertAlign w:val="superscript"/>
        </w:rPr>
        <w:t>2</w:t>
      </w:r>
      <w:r>
        <w:t xml:space="preserve"> based upon which a systematic analysis of almost all legislative</w:t>
      </w:r>
      <w:r>
        <w:rPr>
          <w:spacing w:val="1"/>
        </w:rPr>
        <w:t xml:space="preserve"> </w:t>
      </w:r>
      <w:r>
        <w:t>areas affecting the business operations of companies was implemented and a set of measures</w:t>
      </w:r>
      <w:r>
        <w:rPr>
          <w:spacing w:val="1"/>
        </w:rPr>
        <w:t xml:space="preserve"> </w:t>
      </w:r>
      <w:r>
        <w:t>prepared</w:t>
      </w:r>
      <w:r>
        <w:rPr>
          <w:spacing w:val="-1"/>
        </w:rPr>
        <w:t xml:space="preserve"> </w:t>
      </w:r>
      <w:r>
        <w:t>in the</w:t>
      </w:r>
      <w:r>
        <w:rPr>
          <w:spacing w:val="-1"/>
        </w:rPr>
        <w:t xml:space="preserve"> </w:t>
      </w:r>
      <w:r>
        <w:t>form</w:t>
      </w:r>
      <w:r>
        <w:rPr>
          <w:spacing w:val="1"/>
        </w:rPr>
        <w:t xml:space="preserve"> </w:t>
      </w:r>
      <w:r>
        <w:t>of the</w:t>
      </w:r>
      <w:r>
        <w:rPr>
          <w:spacing w:val="-2"/>
        </w:rPr>
        <w:t xml:space="preserve"> </w:t>
      </w:r>
      <w:r>
        <w:t>Action Plans for Administrative</w:t>
      </w:r>
      <w:r>
        <w:rPr>
          <w:spacing w:val="-1"/>
        </w:rPr>
        <w:t xml:space="preserve"> </w:t>
      </w:r>
      <w:r>
        <w:t>Relief.</w:t>
      </w:r>
    </w:p>
    <w:p w:rsidR="00A56FE9" w:rsidRDefault="00000000">
      <w:pPr>
        <w:pStyle w:val="Tijeloteksta"/>
        <w:spacing w:before="121"/>
        <w:ind w:right="275"/>
      </w:pPr>
      <w:r>
        <w:t>The aim of measuring the administrative burden on the</w:t>
      </w:r>
      <w:r>
        <w:rPr>
          <w:spacing w:val="1"/>
        </w:rPr>
        <w:t xml:space="preserve"> </w:t>
      </w:r>
      <w:r>
        <w:t>economy by applying the SCM</w:t>
      </w:r>
      <w:r>
        <w:rPr>
          <w:spacing w:val="1"/>
        </w:rPr>
        <w:t xml:space="preserve"> </w:t>
      </w:r>
      <w:r>
        <w:t>methodology and implementing relief measures is to strengthen the competitiveness of the</w:t>
      </w:r>
      <w:r>
        <w:rPr>
          <w:spacing w:val="1"/>
        </w:rPr>
        <w:t xml:space="preserve"> </w:t>
      </w:r>
      <w:r>
        <w:t>Croatian economy by improving the regulatory framework for entrepreneurial activities. The</w:t>
      </w:r>
      <w:r>
        <w:rPr>
          <w:spacing w:val="1"/>
        </w:rPr>
        <w:t xml:space="preserve"> </w:t>
      </w:r>
      <w:r>
        <w:t>end result is a cheaper, more economical, efficient, modern and simpler regulatory framework</w:t>
      </w:r>
      <w:r>
        <w:rPr>
          <w:spacing w:val="-57"/>
        </w:rPr>
        <w:t xml:space="preserve"> </w:t>
      </w:r>
      <w:r>
        <w:t>for</w:t>
      </w:r>
      <w:r>
        <w:rPr>
          <w:spacing w:val="-3"/>
        </w:rPr>
        <w:t xml:space="preserve"> </w:t>
      </w:r>
      <w:r>
        <w:t>entrepreneurs.</w:t>
      </w:r>
    </w:p>
    <w:p w:rsidR="00A56FE9" w:rsidRDefault="00000000">
      <w:pPr>
        <w:pStyle w:val="Tijeloteksta"/>
        <w:spacing w:before="120"/>
        <w:ind w:right="280"/>
      </w:pPr>
      <w:r>
        <w:rPr>
          <w:spacing w:val="-1"/>
        </w:rPr>
        <w:t>The</w:t>
      </w:r>
      <w:r>
        <w:rPr>
          <w:spacing w:val="-14"/>
        </w:rPr>
        <w:t xml:space="preserve"> </w:t>
      </w:r>
      <w:r>
        <w:rPr>
          <w:spacing w:val="-1"/>
        </w:rPr>
        <w:t>Government</w:t>
      </w:r>
      <w:r>
        <w:rPr>
          <w:spacing w:val="-9"/>
        </w:rPr>
        <w:t xml:space="preserve"> </w:t>
      </w:r>
      <w:r>
        <w:t>adopted</w:t>
      </w:r>
      <w:r>
        <w:rPr>
          <w:spacing w:val="-11"/>
        </w:rPr>
        <w:t xml:space="preserve"> </w:t>
      </w:r>
      <w:r>
        <w:t>three</w:t>
      </w:r>
      <w:r>
        <w:rPr>
          <w:spacing w:val="-10"/>
        </w:rPr>
        <w:t xml:space="preserve"> </w:t>
      </w:r>
      <w:r>
        <w:t>Action</w:t>
      </w:r>
      <w:r>
        <w:rPr>
          <w:spacing w:val="-10"/>
        </w:rPr>
        <w:t xml:space="preserve"> </w:t>
      </w:r>
      <w:r>
        <w:t>Plans</w:t>
      </w:r>
      <w:r>
        <w:rPr>
          <w:spacing w:val="-12"/>
        </w:rPr>
        <w:t xml:space="preserve"> </w:t>
      </w:r>
      <w:r>
        <w:t>for</w:t>
      </w:r>
      <w:r>
        <w:rPr>
          <w:spacing w:val="-11"/>
        </w:rPr>
        <w:t xml:space="preserve"> </w:t>
      </w:r>
      <w:r>
        <w:t>Administrative</w:t>
      </w:r>
      <w:r>
        <w:rPr>
          <w:spacing w:val="-13"/>
        </w:rPr>
        <w:t xml:space="preserve"> </w:t>
      </w:r>
      <w:r>
        <w:t>Relief</w:t>
      </w:r>
      <w:r>
        <w:rPr>
          <w:spacing w:val="-12"/>
        </w:rPr>
        <w:t xml:space="preserve"> </w:t>
      </w:r>
      <w:r>
        <w:t>of</w:t>
      </w:r>
      <w:r>
        <w:rPr>
          <w:spacing w:val="-11"/>
        </w:rPr>
        <w:t xml:space="preserve"> </w:t>
      </w:r>
      <w:r>
        <w:t>the</w:t>
      </w:r>
      <w:r>
        <w:rPr>
          <w:spacing w:val="-12"/>
        </w:rPr>
        <w:t xml:space="preserve"> </w:t>
      </w:r>
      <w:r>
        <w:t>Economy</w:t>
      </w:r>
      <w:r>
        <w:rPr>
          <w:spacing w:val="-17"/>
        </w:rPr>
        <w:t xml:space="preserve"> </w:t>
      </w:r>
      <w:r>
        <w:t>in</w:t>
      </w:r>
      <w:r>
        <w:rPr>
          <w:spacing w:val="-9"/>
        </w:rPr>
        <w:t xml:space="preserve"> </w:t>
      </w:r>
      <w:r>
        <w:t>2018,</w:t>
      </w:r>
      <w:r>
        <w:rPr>
          <w:spacing w:val="-58"/>
        </w:rPr>
        <w:t xml:space="preserve"> </w:t>
      </w:r>
      <w:r>
        <w:t>2019</w:t>
      </w:r>
      <w:r>
        <w:rPr>
          <w:spacing w:val="-9"/>
        </w:rPr>
        <w:t xml:space="preserve"> </w:t>
      </w:r>
      <w:r>
        <w:t>and</w:t>
      </w:r>
      <w:r>
        <w:rPr>
          <w:spacing w:val="-9"/>
        </w:rPr>
        <w:t xml:space="preserve"> </w:t>
      </w:r>
      <w:r>
        <w:t>2020.</w:t>
      </w:r>
      <w:r>
        <w:rPr>
          <w:spacing w:val="-8"/>
        </w:rPr>
        <w:t xml:space="preserve"> </w:t>
      </w:r>
      <w:r>
        <w:t>The</w:t>
      </w:r>
      <w:r>
        <w:rPr>
          <w:spacing w:val="-10"/>
        </w:rPr>
        <w:t xml:space="preserve"> </w:t>
      </w:r>
      <w:r>
        <w:t>implementation</w:t>
      </w:r>
      <w:r>
        <w:rPr>
          <w:spacing w:val="-7"/>
        </w:rPr>
        <w:t xml:space="preserve"> </w:t>
      </w:r>
      <w:r>
        <w:t>of</w:t>
      </w:r>
      <w:r>
        <w:rPr>
          <w:spacing w:val="-9"/>
        </w:rPr>
        <w:t xml:space="preserve"> </w:t>
      </w:r>
      <w:r>
        <w:t>343</w:t>
      </w:r>
      <w:r>
        <w:rPr>
          <w:spacing w:val="-8"/>
        </w:rPr>
        <w:t xml:space="preserve"> </w:t>
      </w:r>
      <w:r>
        <w:t>measures</w:t>
      </w:r>
      <w:r>
        <w:rPr>
          <w:spacing w:val="-8"/>
        </w:rPr>
        <w:t xml:space="preserve"> </w:t>
      </w:r>
      <w:r>
        <w:t>from</w:t>
      </w:r>
      <w:r>
        <w:rPr>
          <w:spacing w:val="-7"/>
        </w:rPr>
        <w:t xml:space="preserve"> </w:t>
      </w:r>
      <w:r>
        <w:t>the</w:t>
      </w:r>
      <w:r>
        <w:rPr>
          <w:spacing w:val="-10"/>
        </w:rPr>
        <w:t xml:space="preserve"> </w:t>
      </w:r>
      <w:r>
        <w:t>respective</w:t>
      </w:r>
      <w:r>
        <w:rPr>
          <w:spacing w:val="-6"/>
        </w:rPr>
        <w:t xml:space="preserve"> </w:t>
      </w:r>
      <w:r>
        <w:t>action</w:t>
      </w:r>
      <w:r>
        <w:rPr>
          <w:spacing w:val="-9"/>
        </w:rPr>
        <w:t xml:space="preserve"> </w:t>
      </w:r>
      <w:r>
        <w:t>plans</w:t>
      </w:r>
      <w:r>
        <w:rPr>
          <w:spacing w:val="-8"/>
        </w:rPr>
        <w:t xml:space="preserve"> </w:t>
      </w:r>
      <w:r>
        <w:t>achieved</w:t>
      </w:r>
      <w:r>
        <w:rPr>
          <w:spacing w:val="-58"/>
        </w:rPr>
        <w:t xml:space="preserve"> </w:t>
      </w:r>
      <w:r>
        <w:t>87.68%</w:t>
      </w:r>
      <w:r>
        <w:rPr>
          <w:spacing w:val="-2"/>
        </w:rPr>
        <w:t xml:space="preserve"> </w:t>
      </w:r>
      <w:r>
        <w:t>of the</w:t>
      </w:r>
      <w:r>
        <w:rPr>
          <w:spacing w:val="-2"/>
        </w:rPr>
        <w:t xml:space="preserve"> </w:t>
      </w:r>
      <w:r>
        <w:t>planned</w:t>
      </w:r>
      <w:r>
        <w:rPr>
          <w:spacing w:val="2"/>
        </w:rPr>
        <w:t xml:space="preserve"> </w:t>
      </w:r>
      <w:r>
        <w:t>financial relief, amounting to</w:t>
      </w:r>
      <w:r>
        <w:rPr>
          <w:spacing w:val="-1"/>
        </w:rPr>
        <w:t xml:space="preserve"> </w:t>
      </w:r>
      <w:r>
        <w:t>HRK 1.7 billion.</w:t>
      </w:r>
    </w:p>
    <w:p w:rsidR="00A56FE9" w:rsidRDefault="00000000">
      <w:pPr>
        <w:pStyle w:val="Tijeloteksta"/>
        <w:spacing w:before="120"/>
        <w:ind w:right="273"/>
      </w:pPr>
      <w:r>
        <w:t>Furthermore, in May 2020, the Government adopted the first Action Plan for Reducing Non-</w:t>
      </w:r>
      <w:r>
        <w:rPr>
          <w:spacing w:val="1"/>
        </w:rPr>
        <w:t xml:space="preserve"> </w:t>
      </w:r>
      <w:r>
        <w:t>Tax</w:t>
      </w:r>
      <w:r>
        <w:rPr>
          <w:spacing w:val="-7"/>
        </w:rPr>
        <w:t xml:space="preserve"> </w:t>
      </w:r>
      <w:r>
        <w:t>and</w:t>
      </w:r>
      <w:r>
        <w:rPr>
          <w:spacing w:val="-9"/>
        </w:rPr>
        <w:t xml:space="preserve"> </w:t>
      </w:r>
      <w:r>
        <w:t>Parafiscal</w:t>
      </w:r>
      <w:r>
        <w:rPr>
          <w:spacing w:val="-8"/>
        </w:rPr>
        <w:t xml:space="preserve"> </w:t>
      </w:r>
      <w:r>
        <w:t>Contributions,</w:t>
      </w:r>
      <w:r>
        <w:rPr>
          <w:spacing w:val="-8"/>
        </w:rPr>
        <w:t xml:space="preserve"> </w:t>
      </w:r>
      <w:r>
        <w:t>which</w:t>
      </w:r>
      <w:r>
        <w:rPr>
          <w:spacing w:val="-9"/>
        </w:rPr>
        <w:t xml:space="preserve"> </w:t>
      </w:r>
      <w:r>
        <w:t>contains</w:t>
      </w:r>
      <w:r>
        <w:rPr>
          <w:spacing w:val="-8"/>
        </w:rPr>
        <w:t xml:space="preserve"> </w:t>
      </w:r>
      <w:r>
        <w:t>50</w:t>
      </w:r>
      <w:r>
        <w:rPr>
          <w:spacing w:val="-9"/>
        </w:rPr>
        <w:t xml:space="preserve"> </w:t>
      </w:r>
      <w:r>
        <w:t>measures,</w:t>
      </w:r>
      <w:r>
        <w:rPr>
          <w:spacing w:val="-8"/>
        </w:rPr>
        <w:t xml:space="preserve"> </w:t>
      </w:r>
      <w:r>
        <w:t>of</w:t>
      </w:r>
      <w:r>
        <w:rPr>
          <w:spacing w:val="-7"/>
        </w:rPr>
        <w:t xml:space="preserve"> </w:t>
      </w:r>
      <w:r>
        <w:t>which</w:t>
      </w:r>
      <w:r>
        <w:rPr>
          <w:spacing w:val="-8"/>
        </w:rPr>
        <w:t xml:space="preserve"> </w:t>
      </w:r>
      <w:r>
        <w:t>33</w:t>
      </w:r>
      <w:r>
        <w:rPr>
          <w:spacing w:val="-4"/>
        </w:rPr>
        <w:t xml:space="preserve"> </w:t>
      </w:r>
      <w:r>
        <w:t>measures</w:t>
      </w:r>
      <w:r>
        <w:rPr>
          <w:spacing w:val="-6"/>
        </w:rPr>
        <w:t xml:space="preserve"> </w:t>
      </w:r>
      <w:r>
        <w:t>to</w:t>
      </w:r>
      <w:r>
        <w:rPr>
          <w:spacing w:val="-8"/>
        </w:rPr>
        <w:t xml:space="preserve"> </w:t>
      </w:r>
      <w:r>
        <w:t>reduce</w:t>
      </w:r>
      <w:r>
        <w:rPr>
          <w:spacing w:val="-58"/>
        </w:rPr>
        <w:t xml:space="preserve"> </w:t>
      </w:r>
      <w:r>
        <w:t>non-tax and parafiscal contributions and 17 measures to reduce fees for professional exams.</w:t>
      </w:r>
      <w:r>
        <w:rPr>
          <w:spacing w:val="1"/>
        </w:rPr>
        <w:t xml:space="preserve"> </w:t>
      </w:r>
      <w:r>
        <w:t>Implementation of the mentioned measures achieves direct cost relief for the economy. By the</w:t>
      </w:r>
      <w:r>
        <w:rPr>
          <w:spacing w:val="-57"/>
        </w:rPr>
        <w:t xml:space="preserve"> </w:t>
      </w:r>
      <w:r>
        <w:t>end of 1Q/2022, 50 measures were implemented. Implementing all measures from the Action</w:t>
      </w:r>
      <w:r>
        <w:rPr>
          <w:spacing w:val="1"/>
        </w:rPr>
        <w:t xml:space="preserve"> </w:t>
      </w:r>
      <w:r>
        <w:t>Plan for Reducing Non-Tax and Parafiscal Contributions will lead to annual reductions in</w:t>
      </w:r>
      <w:r>
        <w:rPr>
          <w:spacing w:val="1"/>
        </w:rPr>
        <w:t xml:space="preserve"> </w:t>
      </w:r>
      <w:r>
        <w:t>burdens</w:t>
      </w:r>
      <w:r>
        <w:rPr>
          <w:spacing w:val="-1"/>
        </w:rPr>
        <w:t xml:space="preserve"> </w:t>
      </w:r>
      <w:r>
        <w:t>for</w:t>
      </w:r>
      <w:r>
        <w:rPr>
          <w:spacing w:val="-2"/>
        </w:rPr>
        <w:t xml:space="preserve"> </w:t>
      </w:r>
      <w:r>
        <w:t>the</w:t>
      </w:r>
      <w:r>
        <w:rPr>
          <w:spacing w:val="1"/>
        </w:rPr>
        <w:t xml:space="preserve"> </w:t>
      </w:r>
      <w:r>
        <w:t>economy,</w:t>
      </w:r>
      <w:r>
        <w:rPr>
          <w:spacing w:val="2"/>
        </w:rPr>
        <w:t xml:space="preserve"> </w:t>
      </w:r>
      <w:r>
        <w:t>amounting</w:t>
      </w:r>
      <w:r>
        <w:rPr>
          <w:spacing w:val="-2"/>
        </w:rPr>
        <w:t xml:space="preserve"> </w:t>
      </w:r>
      <w:r>
        <w:t>to HRK 531.99 million.</w:t>
      </w:r>
    </w:p>
    <w:p w:rsidR="00A56FE9" w:rsidRDefault="00A56FE9">
      <w:pPr>
        <w:pStyle w:val="Tijeloteksta"/>
        <w:spacing w:before="2"/>
        <w:ind w:left="0"/>
        <w:jc w:val="left"/>
        <w:rPr>
          <w:sz w:val="21"/>
        </w:rPr>
      </w:pPr>
    </w:p>
    <w:p w:rsidR="00A56FE9" w:rsidRDefault="00000000">
      <w:pPr>
        <w:pStyle w:val="Naslov5"/>
        <w:spacing w:after="23"/>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098800692"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397591882" name="Rectangle 330"/>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99D9E9D" id="Group 329"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">
                <v:rect id="Rectangle 330"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2"/>
      </w:pPr>
      <w:r>
        <w:t>In</w:t>
      </w:r>
      <w:r>
        <w:rPr>
          <w:spacing w:val="-5"/>
        </w:rPr>
        <w:t xml:space="preserve"> </w:t>
      </w:r>
      <w:r>
        <w:t>the</w:t>
      </w:r>
      <w:r>
        <w:rPr>
          <w:spacing w:val="-4"/>
        </w:rPr>
        <w:t xml:space="preserve"> </w:t>
      </w:r>
      <w:r>
        <w:t>area</w:t>
      </w:r>
      <w:r>
        <w:rPr>
          <w:spacing w:val="-6"/>
        </w:rPr>
        <w:t xml:space="preserve"> </w:t>
      </w:r>
      <w:r>
        <w:t>of</w:t>
      </w:r>
      <w:r>
        <w:rPr>
          <w:spacing w:val="-4"/>
        </w:rPr>
        <w:t xml:space="preserve"> </w:t>
      </w:r>
      <w:r>
        <w:t>reform</w:t>
      </w:r>
      <w:r>
        <w:rPr>
          <w:spacing w:val="-4"/>
        </w:rPr>
        <w:t xml:space="preserve"> </w:t>
      </w:r>
      <w:r>
        <w:t>measures,</w:t>
      </w:r>
      <w:r>
        <w:rPr>
          <w:spacing w:val="-3"/>
        </w:rPr>
        <w:t xml:space="preserve"> </w:t>
      </w:r>
      <w:r>
        <w:t>MESD</w:t>
      </w:r>
      <w:r>
        <w:rPr>
          <w:spacing w:val="-4"/>
        </w:rPr>
        <w:t xml:space="preserve"> </w:t>
      </w:r>
      <w:r>
        <w:t>has</w:t>
      </w:r>
      <w:r>
        <w:rPr>
          <w:spacing w:val="-5"/>
        </w:rPr>
        <w:t xml:space="preserve"> </w:t>
      </w:r>
      <w:r>
        <w:t>undertaken</w:t>
      </w:r>
      <w:r>
        <w:rPr>
          <w:spacing w:val="-3"/>
        </w:rPr>
        <w:t xml:space="preserve"> </w:t>
      </w:r>
      <w:r>
        <w:t>to</w:t>
      </w:r>
      <w:r>
        <w:rPr>
          <w:spacing w:val="-3"/>
        </w:rPr>
        <w:t xml:space="preserve"> </w:t>
      </w:r>
      <w:r>
        <w:t>further</w:t>
      </w:r>
      <w:r>
        <w:rPr>
          <w:spacing w:val="-6"/>
        </w:rPr>
        <w:t xml:space="preserve"> </w:t>
      </w:r>
      <w:r>
        <w:t>relieve</w:t>
      </w:r>
      <w:r>
        <w:rPr>
          <w:spacing w:val="-5"/>
        </w:rPr>
        <w:t xml:space="preserve"> </w:t>
      </w:r>
      <w:r>
        <w:t>the</w:t>
      </w:r>
      <w:r>
        <w:rPr>
          <w:spacing w:val="-4"/>
        </w:rPr>
        <w:t xml:space="preserve"> </w:t>
      </w:r>
      <w:r>
        <w:t>economy,</w:t>
      </w:r>
      <w:r>
        <w:rPr>
          <w:spacing w:val="-5"/>
        </w:rPr>
        <w:t xml:space="preserve"> </w:t>
      </w:r>
      <w:r>
        <w:t>which</w:t>
      </w:r>
      <w:r>
        <w:rPr>
          <w:spacing w:val="-4"/>
        </w:rPr>
        <w:t xml:space="preserve"> </w:t>
      </w:r>
      <w:r>
        <w:t>is</w:t>
      </w:r>
      <w:r>
        <w:rPr>
          <w:spacing w:val="-58"/>
        </w:rPr>
        <w:t xml:space="preserve"> </w:t>
      </w:r>
      <w:r>
        <w:t>included</w:t>
      </w:r>
      <w:r>
        <w:rPr>
          <w:spacing w:val="-4"/>
        </w:rPr>
        <w:t xml:space="preserve"> </w:t>
      </w:r>
      <w:r>
        <w:t>in</w:t>
      </w:r>
      <w:r>
        <w:rPr>
          <w:spacing w:val="-2"/>
        </w:rPr>
        <w:t xml:space="preserve"> </w:t>
      </w:r>
      <w:r>
        <w:t>the</w:t>
      </w:r>
      <w:r>
        <w:rPr>
          <w:spacing w:val="-4"/>
        </w:rPr>
        <w:t xml:space="preserve"> </w:t>
      </w:r>
      <w:r>
        <w:t>NRRP</w:t>
      </w:r>
      <w:r>
        <w:rPr>
          <w:spacing w:val="-2"/>
        </w:rPr>
        <w:t xml:space="preserve"> </w:t>
      </w:r>
      <w:r>
        <w:t>in</w:t>
      </w:r>
      <w:r>
        <w:rPr>
          <w:spacing w:val="-5"/>
        </w:rPr>
        <w:t xml:space="preserve"> </w:t>
      </w:r>
      <w:r>
        <w:t>line</w:t>
      </w:r>
      <w:r>
        <w:rPr>
          <w:spacing w:val="-4"/>
        </w:rPr>
        <w:t xml:space="preserve"> </w:t>
      </w:r>
      <w:r>
        <w:t>with</w:t>
      </w:r>
      <w:r>
        <w:rPr>
          <w:spacing w:val="-2"/>
        </w:rPr>
        <w:t xml:space="preserve"> </w:t>
      </w:r>
      <w:r>
        <w:t>the</w:t>
      </w:r>
      <w:r>
        <w:rPr>
          <w:spacing w:val="-4"/>
        </w:rPr>
        <w:t xml:space="preserve"> </w:t>
      </w:r>
      <w:r>
        <w:t>continuity</w:t>
      </w:r>
      <w:r>
        <w:rPr>
          <w:spacing w:val="-10"/>
        </w:rPr>
        <w:t xml:space="preserve"> </w:t>
      </w:r>
      <w:r>
        <w:t>of</w:t>
      </w:r>
      <w:r>
        <w:rPr>
          <w:spacing w:val="-4"/>
        </w:rPr>
        <w:t xml:space="preserve"> </w:t>
      </w:r>
      <w:r>
        <w:t>reform</w:t>
      </w:r>
      <w:r>
        <w:rPr>
          <w:spacing w:val="-3"/>
        </w:rPr>
        <w:t xml:space="preserve"> </w:t>
      </w:r>
      <w:r>
        <w:t>measures</w:t>
      </w:r>
      <w:r>
        <w:rPr>
          <w:spacing w:val="-3"/>
        </w:rPr>
        <w:t xml:space="preserve"> </w:t>
      </w:r>
      <w:r>
        <w:t>in</w:t>
      </w:r>
      <w:r>
        <w:rPr>
          <w:spacing w:val="-2"/>
        </w:rPr>
        <w:t xml:space="preserve"> </w:t>
      </w:r>
      <w:r>
        <w:t>terms</w:t>
      </w:r>
      <w:r>
        <w:rPr>
          <w:spacing w:val="-2"/>
        </w:rPr>
        <w:t xml:space="preserve"> </w:t>
      </w:r>
      <w:r>
        <w:t>of</w:t>
      </w:r>
      <w:r>
        <w:rPr>
          <w:spacing w:val="-4"/>
        </w:rPr>
        <w:t xml:space="preserve"> </w:t>
      </w:r>
      <w:r>
        <w:t>administrative</w:t>
      </w:r>
      <w:r>
        <w:rPr>
          <w:spacing w:val="-57"/>
        </w:rPr>
        <w:t xml:space="preserve"> </w:t>
      </w:r>
      <w:r>
        <w:t>and parafiscal relief, and which has so far been coordinated through three Action Plans for</w:t>
      </w:r>
      <w:r>
        <w:rPr>
          <w:spacing w:val="1"/>
        </w:rPr>
        <w:t xml:space="preserve"> </w:t>
      </w:r>
      <w:r>
        <w:t>Administrative Relief of the Economy (2018, 2019 and 2020). This approach is described in</w:t>
      </w:r>
      <w:r>
        <w:rPr>
          <w:spacing w:val="1"/>
        </w:rPr>
        <w:t xml:space="preserve"> </w:t>
      </w:r>
      <w:r>
        <w:t>the NRRP under measure C1.1.1 R1-I2 Continuing administrative and fiscal burden relief and</w:t>
      </w:r>
      <w:r>
        <w:rPr>
          <w:spacing w:val="-57"/>
        </w:rPr>
        <w:t xml:space="preserve"> </w:t>
      </w:r>
      <w:r>
        <w:t>a better regulatory environment that ensures the implementation of measures from the action</w:t>
      </w:r>
      <w:r>
        <w:rPr>
          <w:spacing w:val="1"/>
        </w:rPr>
        <w:t xml:space="preserve"> </w:t>
      </w:r>
      <w:r>
        <w:t>plans</w:t>
      </w:r>
      <w:r>
        <w:rPr>
          <w:spacing w:val="-11"/>
        </w:rPr>
        <w:t xml:space="preserve"> </w:t>
      </w:r>
      <w:r>
        <w:t>for</w:t>
      </w:r>
      <w:r>
        <w:rPr>
          <w:spacing w:val="-13"/>
        </w:rPr>
        <w:t xml:space="preserve"> </w:t>
      </w:r>
      <w:r>
        <w:t>administrative</w:t>
      </w:r>
      <w:r>
        <w:rPr>
          <w:spacing w:val="-11"/>
        </w:rPr>
        <w:t xml:space="preserve"> </w:t>
      </w:r>
      <w:r>
        <w:t>relief</w:t>
      </w:r>
      <w:r>
        <w:rPr>
          <w:spacing w:val="-10"/>
        </w:rPr>
        <w:t xml:space="preserve"> </w:t>
      </w:r>
      <w:r>
        <w:t>covering</w:t>
      </w:r>
      <w:r>
        <w:rPr>
          <w:spacing w:val="-11"/>
        </w:rPr>
        <w:t xml:space="preserve"> </w:t>
      </w:r>
      <w:r>
        <w:t>at</w:t>
      </w:r>
      <w:r>
        <w:rPr>
          <w:spacing w:val="-9"/>
        </w:rPr>
        <w:t xml:space="preserve"> </w:t>
      </w:r>
      <w:r>
        <w:t>least</w:t>
      </w:r>
      <w:r>
        <w:rPr>
          <w:spacing w:val="-10"/>
        </w:rPr>
        <w:t xml:space="preserve"> </w:t>
      </w:r>
      <w:r>
        <w:t>95%</w:t>
      </w:r>
      <w:r>
        <w:rPr>
          <w:spacing w:val="-12"/>
        </w:rPr>
        <w:t xml:space="preserve"> </w:t>
      </w:r>
      <w:r>
        <w:t>of</w:t>
      </w:r>
      <w:r>
        <w:rPr>
          <w:spacing w:val="-11"/>
        </w:rPr>
        <w:t xml:space="preserve"> </w:t>
      </w:r>
      <w:r>
        <w:t>the</w:t>
      </w:r>
      <w:r>
        <w:rPr>
          <w:spacing w:val="-12"/>
        </w:rPr>
        <w:t xml:space="preserve"> </w:t>
      </w:r>
      <w:r>
        <w:t>projected</w:t>
      </w:r>
      <w:r>
        <w:rPr>
          <w:spacing w:val="-11"/>
        </w:rPr>
        <w:t xml:space="preserve"> </w:t>
      </w:r>
      <w:r>
        <w:t>cost</w:t>
      </w:r>
      <w:r>
        <w:rPr>
          <w:spacing w:val="-9"/>
        </w:rPr>
        <w:t xml:space="preserve"> </w:t>
      </w:r>
      <w:r>
        <w:t>reduction</w:t>
      </w:r>
      <w:r>
        <w:rPr>
          <w:spacing w:val="-11"/>
        </w:rPr>
        <w:t xml:space="preserve"> </w:t>
      </w:r>
      <w:r>
        <w:t>no</w:t>
      </w:r>
      <w:r>
        <w:rPr>
          <w:spacing w:val="-11"/>
        </w:rPr>
        <w:t xml:space="preserve"> </w:t>
      </w:r>
      <w:r>
        <w:t>later</w:t>
      </w:r>
      <w:r>
        <w:rPr>
          <w:spacing w:val="-11"/>
        </w:rPr>
        <w:t xml:space="preserve"> </w:t>
      </w:r>
      <w:r>
        <w:t>than</w:t>
      </w:r>
      <w:r>
        <w:rPr>
          <w:spacing w:val="-58"/>
        </w:rPr>
        <w:t xml:space="preserve"> </w:t>
      </w:r>
      <w:r>
        <w:t>by</w:t>
      </w:r>
      <w:r>
        <w:rPr>
          <w:spacing w:val="-5"/>
        </w:rPr>
        <w:t xml:space="preserve"> </w:t>
      </w:r>
      <w:r>
        <w:t>the</w:t>
      </w:r>
      <w:r>
        <w:rPr>
          <w:spacing w:val="2"/>
        </w:rPr>
        <w:t xml:space="preserve"> </w:t>
      </w:r>
      <w:r>
        <w:t>end of</w:t>
      </w:r>
      <w:r>
        <w:rPr>
          <w:spacing w:val="-1"/>
        </w:rPr>
        <w:t xml:space="preserve"> </w:t>
      </w:r>
      <w:r>
        <w:t>2022.</w:t>
      </w:r>
    </w:p>
    <w:p w:rsidR="00A56FE9" w:rsidRDefault="00A56FE9">
      <w:pPr>
        <w:pStyle w:val="Tijeloteksta"/>
        <w:spacing w:before="4"/>
        <w:ind w:left="0"/>
        <w:jc w:val="left"/>
        <w:rPr>
          <w:sz w:val="31"/>
        </w:rPr>
      </w:pPr>
    </w:p>
    <w:p w:rsidR="00A56FE9" w:rsidRDefault="00000000">
      <w:pPr>
        <w:pStyle w:val="Tijeloteksta"/>
        <w:ind w:right="275"/>
      </w:pPr>
      <w:r>
        <w:t>The implementation of these measures from the action plans for administrative relief of the</w:t>
      </w:r>
      <w:r>
        <w:rPr>
          <w:spacing w:val="1"/>
        </w:rPr>
        <w:t xml:space="preserve"> </w:t>
      </w:r>
      <w:r>
        <w:t>economy</w:t>
      </w:r>
      <w:r>
        <w:rPr>
          <w:spacing w:val="-7"/>
        </w:rPr>
        <w:t xml:space="preserve"> </w:t>
      </w:r>
      <w:r>
        <w:t>is</w:t>
      </w:r>
      <w:r>
        <w:rPr>
          <w:spacing w:val="-1"/>
        </w:rPr>
        <w:t xml:space="preserve"> </w:t>
      </w:r>
      <w:r>
        <w:t>a</w:t>
      </w:r>
      <w:r>
        <w:rPr>
          <w:spacing w:val="-2"/>
        </w:rPr>
        <w:t xml:space="preserve"> </w:t>
      </w:r>
      <w:r>
        <w:t>continuation</w:t>
      </w:r>
      <w:r>
        <w:rPr>
          <w:spacing w:val="-1"/>
        </w:rPr>
        <w:t xml:space="preserve"> </w:t>
      </w:r>
      <w:r>
        <w:t>of</w:t>
      </w:r>
      <w:r>
        <w:rPr>
          <w:spacing w:val="-1"/>
        </w:rPr>
        <w:t xml:space="preserve"> </w:t>
      </w:r>
      <w:r>
        <w:t>administrative</w:t>
      </w:r>
      <w:r>
        <w:rPr>
          <w:spacing w:val="-3"/>
        </w:rPr>
        <w:t xml:space="preserve"> </w:t>
      </w:r>
      <w:r>
        <w:t>and</w:t>
      </w:r>
      <w:r>
        <w:rPr>
          <w:spacing w:val="-1"/>
        </w:rPr>
        <w:t xml:space="preserve"> </w:t>
      </w:r>
      <w:r>
        <w:t>fiscal</w:t>
      </w:r>
      <w:r>
        <w:rPr>
          <w:spacing w:val="-1"/>
        </w:rPr>
        <w:t xml:space="preserve"> </w:t>
      </w:r>
      <w:r>
        <w:t>relief.</w:t>
      </w:r>
      <w:r>
        <w:rPr>
          <w:spacing w:val="5"/>
        </w:rPr>
        <w:t xml:space="preserve"> </w:t>
      </w:r>
      <w:r>
        <w:t>Implementing</w:t>
      </w:r>
      <w:r>
        <w:rPr>
          <w:spacing w:val="-1"/>
        </w:rPr>
        <w:t xml:space="preserve"> </w:t>
      </w:r>
      <w:r>
        <w:t>the</w:t>
      </w:r>
      <w:r>
        <w:rPr>
          <w:spacing w:val="-2"/>
        </w:rPr>
        <w:t xml:space="preserve"> </w:t>
      </w:r>
      <w:r>
        <w:t>measures</w:t>
      </w:r>
      <w:r>
        <w:rPr>
          <w:spacing w:val="1"/>
        </w:rPr>
        <w:t xml:space="preserve"> </w:t>
      </w:r>
      <w:r>
        <w:t>from</w:t>
      </w:r>
    </w:p>
    <w:p w:rsidR="00A56FE9" w:rsidRDefault="00CC1B9B">
      <w:pPr>
        <w:pStyle w:val="Tijeloteksta"/>
        <w:spacing w:before="10"/>
        <w:ind w:left="0"/>
        <w:jc w:val="left"/>
        <w:rPr>
          <w:sz w:val="10"/>
        </w:rPr>
      </w:pPr>
      <w:r>
        <w:rPr>
          <w:noProof/>
        </w:rPr>
        <mc:AlternateContent>
          <mc:Choice Requires="wps">
            <w:drawing>
              <wp:anchor distT="0" distB="0" distL="0" distR="0" simplePos="0" relativeHeight="487592448" behindDoc="1" locked="0" layoutInCell="1" allowOverlap="1">
                <wp:simplePos x="0" y="0"/>
                <wp:positionH relativeFrom="page">
                  <wp:posOffset>901065</wp:posOffset>
                </wp:positionH>
                <wp:positionV relativeFrom="paragraph">
                  <wp:posOffset>104775</wp:posOffset>
                </wp:positionV>
                <wp:extent cx="1828800" cy="7620"/>
                <wp:effectExtent l="0" t="0" r="0" b="0"/>
                <wp:wrapTopAndBottom/>
                <wp:docPr id="79163013"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EC5A7" id="Rectangle 328" o:spid="_x0000_s1026" style="position:absolute;margin-left:70.95pt;margin-top:8.25pt;width:2in;height:.6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2</w:t>
      </w:r>
      <w:r>
        <w:rPr>
          <w:spacing w:val="-1"/>
          <w:sz w:val="16"/>
        </w:rPr>
        <w:t xml:space="preserve"> </w:t>
      </w:r>
      <w:r>
        <w:rPr>
          <w:sz w:val="16"/>
        </w:rPr>
        <w:t>OG</w:t>
      </w:r>
      <w:r>
        <w:rPr>
          <w:spacing w:val="-3"/>
          <w:sz w:val="16"/>
        </w:rPr>
        <w:t xml:space="preserve"> </w:t>
      </w:r>
      <w:r>
        <w:rPr>
          <w:sz w:val="16"/>
        </w:rPr>
        <w:t>60/17</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ind w:right="278"/>
      </w:pPr>
      <w:r>
        <w:t>the mentioned action plans will optimise and digitise administrative procedures identified as</w:t>
      </w:r>
      <w:r>
        <w:rPr>
          <w:spacing w:val="1"/>
        </w:rPr>
        <w:t xml:space="preserve"> </w:t>
      </w:r>
      <w:r>
        <w:t>the greatest burden for the private sector. All relief measures were determined in cooperation</w:t>
      </w:r>
      <w:r>
        <w:rPr>
          <w:spacing w:val="1"/>
        </w:rPr>
        <w:t xml:space="preserve"> </w:t>
      </w:r>
      <w:r>
        <w:t>with</w:t>
      </w:r>
      <w:r>
        <w:rPr>
          <w:spacing w:val="-1"/>
        </w:rPr>
        <w:t xml:space="preserve"> </w:t>
      </w:r>
      <w:r>
        <w:t>representatives</w:t>
      </w:r>
      <w:r>
        <w:rPr>
          <w:spacing w:val="-1"/>
        </w:rPr>
        <w:t xml:space="preserve"> </w:t>
      </w:r>
      <w:r>
        <w:t>of</w:t>
      </w:r>
      <w:r>
        <w:rPr>
          <w:spacing w:val="-1"/>
        </w:rPr>
        <w:t xml:space="preserve"> </w:t>
      </w:r>
      <w:r>
        <w:t>the</w:t>
      </w:r>
      <w:r>
        <w:rPr>
          <w:spacing w:val="-2"/>
        </w:rPr>
        <w:t xml:space="preserve"> </w:t>
      </w:r>
      <w:r>
        <w:t>business community,</w:t>
      </w:r>
      <w:r>
        <w:rPr>
          <w:spacing w:val="-1"/>
        </w:rPr>
        <w:t xml:space="preserve"> </w:t>
      </w:r>
      <w:r>
        <w:t>chambers</w:t>
      </w:r>
      <w:r>
        <w:rPr>
          <w:spacing w:val="-1"/>
        </w:rPr>
        <w:t xml:space="preserve"> </w:t>
      </w:r>
      <w:r>
        <w:t>and</w:t>
      </w:r>
      <w:r>
        <w:rPr>
          <w:spacing w:val="-1"/>
        </w:rPr>
        <w:t xml:space="preserve"> </w:t>
      </w:r>
      <w:r>
        <w:t>professional</w:t>
      </w:r>
      <w:r>
        <w:rPr>
          <w:spacing w:val="1"/>
        </w:rPr>
        <w:t xml:space="preserve"> </w:t>
      </w:r>
      <w:r>
        <w:t>associations.</w:t>
      </w:r>
    </w:p>
    <w:p w:rsidR="00A56FE9" w:rsidRDefault="00A56FE9">
      <w:pPr>
        <w:pStyle w:val="Tijeloteksta"/>
        <w:ind w:left="0"/>
        <w:jc w:val="left"/>
        <w:rPr>
          <w:sz w:val="32"/>
        </w:rPr>
      </w:pPr>
    </w:p>
    <w:p w:rsidR="00A56FE9" w:rsidRDefault="00CC1B9B">
      <w:pPr>
        <w:pStyle w:val="Naslov4"/>
      </w:pPr>
      <w:r>
        <w:rPr>
          <w:noProof/>
        </w:rPr>
        <mc:AlternateContent>
          <mc:Choice Requires="wps">
            <w:drawing>
              <wp:anchor distT="0" distB="0" distL="114300" distR="114300" simplePos="0" relativeHeight="15735296" behindDoc="0" locked="0" layoutInCell="1" allowOverlap="1">
                <wp:simplePos x="0" y="0"/>
                <wp:positionH relativeFrom="page">
                  <wp:posOffset>814070</wp:posOffset>
                </wp:positionH>
                <wp:positionV relativeFrom="paragraph">
                  <wp:posOffset>-1270</wp:posOffset>
                </wp:positionV>
                <wp:extent cx="18415" cy="265430"/>
                <wp:effectExtent l="0" t="0" r="0" b="0"/>
                <wp:wrapNone/>
                <wp:docPr id="1411349539" name="Rectangle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2654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F55DE3" id="Rectangle 327" o:spid="_x0000_s1026" style="position:absolute;margin-left:64.1pt;margin-top:-.1pt;width:1.45pt;height:20.9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" fillcolor="#da1f2c" stroked="f">
                <w10:wrap anchorx="page"/>
              </v:rect>
            </w:pict>
          </mc:Fallback>
        </mc:AlternateContent>
      </w:r>
      <w:r w:rsidR="00000000">
        <w:rPr>
          <w:color w:val="2C398A"/>
        </w:rPr>
        <w:t>Liberalisation</w:t>
      </w:r>
      <w:r w:rsidR="00000000">
        <w:rPr>
          <w:color w:val="2C398A"/>
          <w:spacing w:val="-3"/>
        </w:rPr>
        <w:t xml:space="preserve"> </w:t>
      </w:r>
      <w:r w:rsidR="00000000">
        <w:rPr>
          <w:color w:val="2C398A"/>
        </w:rPr>
        <w:t>of</w:t>
      </w:r>
      <w:r w:rsidR="00000000">
        <w:rPr>
          <w:color w:val="2C398A"/>
          <w:spacing w:val="-1"/>
        </w:rPr>
        <w:t xml:space="preserve"> </w:t>
      </w:r>
      <w:r w:rsidR="00000000">
        <w:rPr>
          <w:color w:val="2C398A"/>
        </w:rPr>
        <w:t>the</w:t>
      </w:r>
      <w:r w:rsidR="00000000">
        <w:rPr>
          <w:color w:val="2C398A"/>
          <w:spacing w:val="-2"/>
        </w:rPr>
        <w:t xml:space="preserve"> </w:t>
      </w:r>
      <w:r w:rsidR="00000000">
        <w:rPr>
          <w:color w:val="2C398A"/>
        </w:rPr>
        <w:t>services market</w:t>
      </w:r>
    </w:p>
    <w:p w:rsidR="00A56FE9" w:rsidRDefault="00000000">
      <w:pPr>
        <w:spacing w:before="231"/>
        <w:ind w:left="138" w:right="275"/>
        <w:jc w:val="both"/>
        <w:rPr>
          <w:i/>
          <w:sz w:val="24"/>
        </w:rPr>
      </w:pPr>
      <w:r>
        <w:rPr>
          <w:i/>
          <w:color w:val="2C398A"/>
          <w:sz w:val="24"/>
        </w:rPr>
        <w:t>2019.CSR4.4. Reduce the most burdensome parafiscal charges and excessive product and</w:t>
      </w:r>
      <w:r>
        <w:rPr>
          <w:i/>
          <w:color w:val="2C398A"/>
          <w:spacing w:val="1"/>
          <w:sz w:val="24"/>
        </w:rPr>
        <w:t xml:space="preserve"> </w:t>
      </w:r>
      <w:r>
        <w:rPr>
          <w:i/>
          <w:color w:val="2C398A"/>
          <w:sz w:val="24"/>
        </w:rPr>
        <w:t>services market regulation; 2020.CSR3.2. Further reduce parafiscal charges and restrictions</w:t>
      </w:r>
      <w:r>
        <w:rPr>
          <w:i/>
          <w:color w:val="2C398A"/>
          <w:spacing w:val="1"/>
          <w:sz w:val="24"/>
        </w:rPr>
        <w:t xml:space="preserve"> </w:t>
      </w:r>
      <w:r>
        <w:rPr>
          <w:i/>
          <w:color w:val="2C398A"/>
          <w:sz w:val="24"/>
        </w:rPr>
        <w:t>in</w:t>
      </w:r>
      <w:r>
        <w:rPr>
          <w:i/>
          <w:color w:val="2C398A"/>
          <w:spacing w:val="-1"/>
          <w:sz w:val="24"/>
        </w:rPr>
        <w:t xml:space="preserve"> </w:t>
      </w:r>
      <w:r>
        <w:rPr>
          <w:i/>
          <w:color w:val="2C398A"/>
          <w:sz w:val="24"/>
        </w:rPr>
        <w:t>goods and services market regulation</w:t>
      </w:r>
    </w:p>
    <w:p w:rsidR="00A56FE9" w:rsidRDefault="00A56FE9">
      <w:pPr>
        <w:pStyle w:val="Tijeloteksta"/>
        <w:spacing w:before="3"/>
        <w:ind w:left="0"/>
        <w:jc w:val="left"/>
        <w:rPr>
          <w:i/>
          <w:sz w:val="21"/>
        </w:rPr>
      </w:pPr>
    </w:p>
    <w:p w:rsidR="00A56FE9" w:rsidRDefault="00000000">
      <w:pPr>
        <w:pStyle w:val="Naslov5"/>
        <w:spacing w:before="1" w:after="22"/>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311365165"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968493216" name="Rectangle 326"/>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0FC8F5C" id="Group 325"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">
                <v:rect id="Rectangle 326"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" fillcolor="#2c398a" stroked="f"/>
                <w10:anchorlock/>
              </v:group>
            </w:pict>
          </mc:Fallback>
        </mc:AlternateContent>
      </w:r>
    </w:p>
    <w:p w:rsidR="00A56FE9" w:rsidRDefault="00000000">
      <w:pPr>
        <w:pStyle w:val="Tijeloteksta"/>
        <w:spacing w:before="155"/>
        <w:ind w:right="273"/>
      </w:pPr>
      <w:r>
        <w:t>The liberalisation of the services market was by the end Q1/2022 conducted using over 250</w:t>
      </w:r>
      <w:r>
        <w:rPr>
          <w:spacing w:val="1"/>
        </w:rPr>
        <w:t xml:space="preserve"> </w:t>
      </w:r>
      <w:r>
        <w:t>measures in 50 or so business activities and professions. Accordingly, the result from the</w:t>
      </w:r>
      <w:r>
        <w:rPr>
          <w:spacing w:val="1"/>
        </w:rPr>
        <w:t xml:space="preserve"> </w:t>
      </w:r>
      <w:r>
        <w:t>previous NRP was achieved. In terms of the adopted recommendations from the World Bank</w:t>
      </w:r>
      <w:r>
        <w:rPr>
          <w:spacing w:val="1"/>
        </w:rPr>
        <w:t xml:space="preserve"> </w:t>
      </w:r>
      <w:r>
        <w:t>(with technical assistance from the EC), 18 of the 20 measures from the first action plan for</w:t>
      </w:r>
      <w:r>
        <w:rPr>
          <w:spacing w:val="1"/>
        </w:rPr>
        <w:t xml:space="preserve"> </w:t>
      </w:r>
      <w:r>
        <w:rPr>
          <w:spacing w:val="-1"/>
        </w:rPr>
        <w:t>liberalisation</w:t>
      </w:r>
      <w:r>
        <w:rPr>
          <w:spacing w:val="-12"/>
        </w:rPr>
        <w:t xml:space="preserve"> </w:t>
      </w:r>
      <w:r>
        <w:t>of</w:t>
      </w:r>
      <w:r>
        <w:rPr>
          <w:spacing w:val="-13"/>
        </w:rPr>
        <w:t xml:space="preserve"> </w:t>
      </w:r>
      <w:r>
        <w:t>the</w:t>
      </w:r>
      <w:r>
        <w:rPr>
          <w:spacing w:val="-13"/>
        </w:rPr>
        <w:t xml:space="preserve"> </w:t>
      </w:r>
      <w:r>
        <w:t>services</w:t>
      </w:r>
      <w:r>
        <w:rPr>
          <w:spacing w:val="-12"/>
        </w:rPr>
        <w:t xml:space="preserve"> </w:t>
      </w:r>
      <w:r>
        <w:t>market</w:t>
      </w:r>
      <w:r>
        <w:rPr>
          <w:spacing w:val="-11"/>
        </w:rPr>
        <w:t xml:space="preserve"> </w:t>
      </w:r>
      <w:r>
        <w:t>were</w:t>
      </w:r>
      <w:r>
        <w:rPr>
          <w:spacing w:val="-14"/>
        </w:rPr>
        <w:t xml:space="preserve"> </w:t>
      </w:r>
      <w:r>
        <w:t>implemented</w:t>
      </w:r>
      <w:r>
        <w:rPr>
          <w:spacing w:val="-13"/>
        </w:rPr>
        <w:t xml:space="preserve"> </w:t>
      </w:r>
      <w:r>
        <w:t>(the</w:t>
      </w:r>
      <w:r>
        <w:rPr>
          <w:spacing w:val="-14"/>
        </w:rPr>
        <w:t xml:space="preserve"> </w:t>
      </w:r>
      <w:r>
        <w:t>remaining</w:t>
      </w:r>
      <w:r>
        <w:rPr>
          <w:spacing w:val="-15"/>
        </w:rPr>
        <w:t xml:space="preserve"> </w:t>
      </w:r>
      <w:r>
        <w:t>2</w:t>
      </w:r>
      <w:r>
        <w:rPr>
          <w:spacing w:val="-11"/>
        </w:rPr>
        <w:t xml:space="preserve"> </w:t>
      </w:r>
      <w:r>
        <w:t>measures</w:t>
      </w:r>
      <w:r>
        <w:rPr>
          <w:spacing w:val="-12"/>
        </w:rPr>
        <w:t xml:space="preserve"> </w:t>
      </w:r>
      <w:r>
        <w:t>are</w:t>
      </w:r>
      <w:r>
        <w:rPr>
          <w:spacing w:val="-13"/>
        </w:rPr>
        <w:t xml:space="preserve"> </w:t>
      </w:r>
      <w:r>
        <w:t>still</w:t>
      </w:r>
      <w:r>
        <w:rPr>
          <w:spacing w:val="-12"/>
        </w:rPr>
        <w:t xml:space="preserve"> </w:t>
      </w:r>
      <w:r>
        <w:t>being</w:t>
      </w:r>
      <w:r>
        <w:rPr>
          <w:spacing w:val="-57"/>
        </w:rPr>
        <w:t xml:space="preserve"> </w:t>
      </w:r>
      <w:r>
        <w:t>implemented),</w:t>
      </w:r>
      <w:r>
        <w:rPr>
          <w:spacing w:val="1"/>
        </w:rPr>
        <w:t xml:space="preserve"> </w:t>
      </w:r>
      <w:r>
        <w:t>and</w:t>
      </w:r>
      <w:r>
        <w:rPr>
          <w:spacing w:val="1"/>
        </w:rPr>
        <w:t xml:space="preserve"> </w:t>
      </w:r>
      <w:r>
        <w:t>11</w:t>
      </w:r>
      <w:r>
        <w:rPr>
          <w:spacing w:val="1"/>
        </w:rPr>
        <w:t xml:space="preserve"> </w:t>
      </w:r>
      <w:r>
        <w:t>of</w:t>
      </w:r>
      <w:r>
        <w:rPr>
          <w:spacing w:val="1"/>
        </w:rPr>
        <w:t xml:space="preserve"> </w:t>
      </w:r>
      <w:r>
        <w:t>the</w:t>
      </w:r>
      <w:r>
        <w:rPr>
          <w:spacing w:val="1"/>
        </w:rPr>
        <w:t xml:space="preserve"> </w:t>
      </w:r>
      <w:r>
        <w:t>18</w:t>
      </w:r>
      <w:r>
        <w:rPr>
          <w:spacing w:val="1"/>
        </w:rPr>
        <w:t xml:space="preserve"> </w:t>
      </w:r>
      <w:r>
        <w:t>measures</w:t>
      </w:r>
      <w:r>
        <w:rPr>
          <w:spacing w:val="1"/>
        </w:rPr>
        <w:t xml:space="preserve"> </w:t>
      </w:r>
      <w:r>
        <w:t>from</w:t>
      </w:r>
      <w:r>
        <w:rPr>
          <w:spacing w:val="1"/>
        </w:rPr>
        <w:t xml:space="preserve"> </w:t>
      </w:r>
      <w:r>
        <w:t>the</w:t>
      </w:r>
      <w:r>
        <w:rPr>
          <w:spacing w:val="1"/>
        </w:rPr>
        <w:t xml:space="preserve"> </w:t>
      </w:r>
      <w:r>
        <w:t>second</w:t>
      </w:r>
      <w:r>
        <w:rPr>
          <w:spacing w:val="1"/>
        </w:rPr>
        <w:t xml:space="preserve"> </w:t>
      </w:r>
      <w:r>
        <w:t>action</w:t>
      </w:r>
      <w:r>
        <w:rPr>
          <w:spacing w:val="1"/>
        </w:rPr>
        <w:t xml:space="preserve"> </w:t>
      </w:r>
      <w:r>
        <w:t>plan</w:t>
      </w:r>
      <w:r>
        <w:rPr>
          <w:spacing w:val="1"/>
        </w:rPr>
        <w:t xml:space="preserve"> </w:t>
      </w:r>
      <w:r>
        <w:t>(whereas</w:t>
      </w:r>
      <w:r>
        <w:rPr>
          <w:spacing w:val="1"/>
        </w:rPr>
        <w:t xml:space="preserve"> </w:t>
      </w:r>
      <w:r>
        <w:t>the</w:t>
      </w:r>
      <w:r>
        <w:rPr>
          <w:spacing w:val="1"/>
        </w:rPr>
        <w:t xml:space="preserve"> </w:t>
      </w:r>
      <w:r>
        <w:t>implementation</w:t>
      </w:r>
      <w:r>
        <w:rPr>
          <w:spacing w:val="-4"/>
        </w:rPr>
        <w:t xml:space="preserve"> </w:t>
      </w:r>
      <w:r>
        <w:t>of</w:t>
      </w:r>
      <w:r>
        <w:rPr>
          <w:spacing w:val="-5"/>
        </w:rPr>
        <w:t xml:space="preserve"> </w:t>
      </w:r>
      <w:r>
        <w:t>other</w:t>
      </w:r>
      <w:r>
        <w:rPr>
          <w:spacing w:val="-7"/>
        </w:rPr>
        <w:t xml:space="preserve"> </w:t>
      </w:r>
      <w:r>
        <w:t>measures</w:t>
      </w:r>
      <w:r>
        <w:rPr>
          <w:spacing w:val="-4"/>
        </w:rPr>
        <w:t xml:space="preserve"> </w:t>
      </w:r>
      <w:r>
        <w:t>in</w:t>
      </w:r>
      <w:r>
        <w:rPr>
          <w:spacing w:val="-3"/>
        </w:rPr>
        <w:t xml:space="preserve"> </w:t>
      </w:r>
      <w:r>
        <w:t>preparation).</w:t>
      </w:r>
      <w:r>
        <w:rPr>
          <w:spacing w:val="-2"/>
        </w:rPr>
        <w:t xml:space="preserve"> </w:t>
      </w:r>
      <w:r>
        <w:t>According</w:t>
      </w:r>
      <w:r>
        <w:rPr>
          <w:spacing w:val="-7"/>
        </w:rPr>
        <w:t xml:space="preserve"> </w:t>
      </w:r>
      <w:r>
        <w:t>to</w:t>
      </w:r>
      <w:r>
        <w:rPr>
          <w:spacing w:val="-3"/>
        </w:rPr>
        <w:t xml:space="preserve"> </w:t>
      </w:r>
      <w:r>
        <w:t>OECD</w:t>
      </w:r>
      <w:r>
        <w:rPr>
          <w:spacing w:val="-4"/>
        </w:rPr>
        <w:t xml:space="preserve"> </w:t>
      </w:r>
      <w:r>
        <w:t>data</w:t>
      </w:r>
      <w:r>
        <w:rPr>
          <w:spacing w:val="-4"/>
        </w:rPr>
        <w:t xml:space="preserve"> </w:t>
      </w:r>
      <w:r>
        <w:t>from</w:t>
      </w:r>
      <w:r>
        <w:rPr>
          <w:spacing w:val="-3"/>
        </w:rPr>
        <w:t xml:space="preserve"> </w:t>
      </w:r>
      <w:r>
        <w:t>the</w:t>
      </w:r>
      <w:r>
        <w:rPr>
          <w:spacing w:val="-4"/>
        </w:rPr>
        <w:t xml:space="preserve"> </w:t>
      </w:r>
      <w:r>
        <w:t>five-year</w:t>
      </w:r>
      <w:r>
        <w:rPr>
          <w:spacing w:val="-58"/>
        </w:rPr>
        <w:t xml:space="preserve"> </w:t>
      </w:r>
      <w:r>
        <w:t>report Product Market Regulation (PMR 2018 compared to PMR 2013), the overall regularity</w:t>
      </w:r>
      <w:r>
        <w:rPr>
          <w:spacing w:val="1"/>
        </w:rPr>
        <w:t xml:space="preserve"> </w:t>
      </w:r>
      <w:r>
        <w:t>of the Croatian economy and services market fell from its highest level to the average EU and</w:t>
      </w:r>
      <w:r>
        <w:rPr>
          <w:spacing w:val="1"/>
        </w:rPr>
        <w:t xml:space="preserve"> </w:t>
      </w:r>
      <w:r>
        <w:t>OECD level. In terms of the mentioned results, the average level of regularity for the services</w:t>
      </w:r>
      <w:r>
        <w:rPr>
          <w:spacing w:val="1"/>
        </w:rPr>
        <w:t xml:space="preserve"> </w:t>
      </w:r>
      <w:r>
        <w:t>market and main market professions relates to architects, engineers, real estate agents, taxi</w:t>
      </w:r>
      <w:r>
        <w:rPr>
          <w:spacing w:val="1"/>
        </w:rPr>
        <w:t xml:space="preserve"> </w:t>
      </w:r>
      <w:r>
        <w:t>drivers and road transport, energy industry, telecommunications, retail and wholesale, and</w:t>
      </w:r>
      <w:r>
        <w:rPr>
          <w:spacing w:val="1"/>
        </w:rPr>
        <w:t xml:space="preserve"> </w:t>
      </w:r>
      <w:r>
        <w:t>registration of establishment, whereas accountants are not regulated. At the same time, the</w:t>
      </w:r>
      <w:r>
        <w:rPr>
          <w:spacing w:val="1"/>
        </w:rPr>
        <w:t xml:space="preserve"> </w:t>
      </w:r>
      <w:r>
        <w:t>overall regulation of access to market services (Barriers in Services Sectors) and main market</w:t>
      </w:r>
      <w:r>
        <w:rPr>
          <w:spacing w:val="1"/>
        </w:rPr>
        <w:t xml:space="preserve"> </w:t>
      </w:r>
      <w:r>
        <w:t>professions (Professional Services) is among the ten lowest in the EU internal market and</w:t>
      </w:r>
      <w:r>
        <w:rPr>
          <w:spacing w:val="1"/>
        </w:rPr>
        <w:t xml:space="preserve"> </w:t>
      </w:r>
      <w:r>
        <w:t>slightly</w:t>
      </w:r>
      <w:r>
        <w:rPr>
          <w:spacing w:val="-6"/>
        </w:rPr>
        <w:t xml:space="preserve"> </w:t>
      </w:r>
      <w:r>
        <w:t>below the</w:t>
      </w:r>
      <w:r>
        <w:rPr>
          <w:spacing w:val="-1"/>
        </w:rPr>
        <w:t xml:space="preserve"> </w:t>
      </w:r>
      <w:r>
        <w:t>OECD</w:t>
      </w:r>
      <w:r>
        <w:rPr>
          <w:spacing w:val="1"/>
        </w:rPr>
        <w:t xml:space="preserve"> </w:t>
      </w:r>
      <w:r>
        <w:t>average.</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770884580"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81390385" name="Rectangle 324"/>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98B9D95" id="Group 323"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">
                <v:rect id="Rectangle 324"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" fillcolor="#2c398a" stroked="f"/>
                <w10:anchorlock/>
              </v:group>
            </w:pict>
          </mc:Fallback>
        </mc:AlternateContent>
      </w:r>
    </w:p>
    <w:p w:rsidR="00A56FE9" w:rsidRDefault="00000000">
      <w:pPr>
        <w:pStyle w:val="Tijeloteksta"/>
        <w:spacing w:before="154"/>
        <w:ind w:right="272"/>
      </w:pPr>
      <w:r>
        <w:t>The general goal of continuing this reform, i.e., liberalisation of the services market, is to</w:t>
      </w:r>
      <w:r>
        <w:rPr>
          <w:spacing w:val="1"/>
        </w:rPr>
        <w:t xml:space="preserve"> </w:t>
      </w:r>
      <w:r>
        <w:t>facilitate</w:t>
      </w:r>
      <w:r>
        <w:rPr>
          <w:spacing w:val="1"/>
        </w:rPr>
        <w:t xml:space="preserve"> </w:t>
      </w:r>
      <w:r>
        <w:t>access to the</w:t>
      </w:r>
      <w:r>
        <w:rPr>
          <w:spacing w:val="1"/>
        </w:rPr>
        <w:t xml:space="preserve"> </w:t>
      </w:r>
      <w:r>
        <w:t>services</w:t>
      </w:r>
      <w:r>
        <w:rPr>
          <w:spacing w:val="1"/>
        </w:rPr>
        <w:t xml:space="preserve"> </w:t>
      </w:r>
      <w:r>
        <w:t>market,</w:t>
      </w:r>
      <w:r>
        <w:rPr>
          <w:spacing w:val="1"/>
        </w:rPr>
        <w:t xml:space="preserve"> </w:t>
      </w:r>
      <w:r>
        <w:t>competitiveness and productivity for key market</w:t>
      </w:r>
      <w:r>
        <w:rPr>
          <w:spacing w:val="1"/>
        </w:rPr>
        <w:t xml:space="preserve"> </w:t>
      </w:r>
      <w:r>
        <w:t>professions.</w:t>
      </w:r>
      <w:r>
        <w:rPr>
          <w:spacing w:val="-4"/>
        </w:rPr>
        <w:t xml:space="preserve"> </w:t>
      </w:r>
      <w:r>
        <w:t>This</w:t>
      </w:r>
      <w:r>
        <w:rPr>
          <w:spacing w:val="-3"/>
        </w:rPr>
        <w:t xml:space="preserve"> </w:t>
      </w:r>
      <w:r>
        <w:t>will</w:t>
      </w:r>
      <w:r>
        <w:rPr>
          <w:spacing w:val="-2"/>
        </w:rPr>
        <w:t xml:space="preserve"> </w:t>
      </w:r>
      <w:r>
        <w:t>further</w:t>
      </w:r>
      <w:r>
        <w:rPr>
          <w:spacing w:val="-5"/>
        </w:rPr>
        <w:t xml:space="preserve"> </w:t>
      </w:r>
      <w:r>
        <w:t>open</w:t>
      </w:r>
      <w:r>
        <w:rPr>
          <w:spacing w:val="-3"/>
        </w:rPr>
        <w:t xml:space="preserve"> </w:t>
      </w:r>
      <w:r>
        <w:t>the</w:t>
      </w:r>
      <w:r>
        <w:rPr>
          <w:spacing w:val="-4"/>
        </w:rPr>
        <w:t xml:space="preserve"> </w:t>
      </w:r>
      <w:r>
        <w:t>institutional</w:t>
      </w:r>
      <w:r>
        <w:rPr>
          <w:spacing w:val="-2"/>
        </w:rPr>
        <w:t xml:space="preserve"> </w:t>
      </w:r>
      <w:r>
        <w:t>framework</w:t>
      </w:r>
      <w:r>
        <w:rPr>
          <w:spacing w:val="-5"/>
        </w:rPr>
        <w:t xml:space="preserve"> </w:t>
      </w:r>
      <w:r>
        <w:t>for</w:t>
      </w:r>
      <w:r>
        <w:rPr>
          <w:spacing w:val="-4"/>
        </w:rPr>
        <w:t xml:space="preserve"> </w:t>
      </w:r>
      <w:r>
        <w:t>potentially</w:t>
      </w:r>
      <w:r>
        <w:rPr>
          <w:spacing w:val="-6"/>
        </w:rPr>
        <w:t xml:space="preserve"> </w:t>
      </w:r>
      <w:r>
        <w:t>new</w:t>
      </w:r>
      <w:r>
        <w:rPr>
          <w:spacing w:val="1"/>
        </w:rPr>
        <w:t xml:space="preserve"> </w:t>
      </w:r>
      <w:r>
        <w:t>and</w:t>
      </w:r>
      <w:r>
        <w:rPr>
          <w:spacing w:val="-4"/>
        </w:rPr>
        <w:t xml:space="preserve"> </w:t>
      </w:r>
      <w:r>
        <w:t>existing</w:t>
      </w:r>
      <w:r>
        <w:rPr>
          <w:spacing w:val="-57"/>
        </w:rPr>
        <w:t xml:space="preserve"> </w:t>
      </w:r>
      <w:r>
        <w:t>entrepreneurs providing professional services in the private sector. The reform will provide</w:t>
      </w:r>
      <w:r>
        <w:rPr>
          <w:spacing w:val="1"/>
        </w:rPr>
        <w:t xml:space="preserve"> </w:t>
      </w:r>
      <w:r>
        <w:t>greater opportunities for net increases in the number of service providers, innovation and</w:t>
      </w:r>
      <w:r>
        <w:rPr>
          <w:spacing w:val="1"/>
        </w:rPr>
        <w:t xml:space="preserve"> </w:t>
      </w:r>
      <w:r>
        <w:t>productivity,</w:t>
      </w:r>
      <w:r>
        <w:rPr>
          <w:spacing w:val="1"/>
        </w:rPr>
        <w:t xml:space="preserve"> </w:t>
      </w:r>
      <w:r>
        <w:t>and</w:t>
      </w:r>
      <w:r>
        <w:rPr>
          <w:spacing w:val="1"/>
        </w:rPr>
        <w:t xml:space="preserve"> </w:t>
      </w:r>
      <w:r>
        <w:t>greater</w:t>
      </w:r>
      <w:r>
        <w:rPr>
          <w:spacing w:val="1"/>
        </w:rPr>
        <w:t xml:space="preserve"> </w:t>
      </w:r>
      <w:r>
        <w:t>opportunities</w:t>
      </w:r>
      <w:r>
        <w:rPr>
          <w:spacing w:val="1"/>
        </w:rPr>
        <w:t xml:space="preserve"> </w:t>
      </w:r>
      <w:r>
        <w:t>for</w:t>
      </w:r>
      <w:r>
        <w:rPr>
          <w:spacing w:val="1"/>
        </w:rPr>
        <w:t xml:space="preserve"> </w:t>
      </w:r>
      <w:r>
        <w:t>individuals</w:t>
      </w:r>
      <w:r>
        <w:rPr>
          <w:spacing w:val="1"/>
        </w:rPr>
        <w:t xml:space="preserve"> </w:t>
      </w:r>
      <w:r>
        <w:t>and</w:t>
      </w:r>
      <w:r>
        <w:rPr>
          <w:spacing w:val="1"/>
        </w:rPr>
        <w:t xml:space="preserve"> </w:t>
      </w:r>
      <w:r>
        <w:t>businesses</w:t>
      </w:r>
      <w:r>
        <w:rPr>
          <w:spacing w:val="1"/>
        </w:rPr>
        <w:t xml:space="preserve"> </w:t>
      </w:r>
      <w:r>
        <w:t>as</w:t>
      </w:r>
      <w:r>
        <w:rPr>
          <w:spacing w:val="1"/>
        </w:rPr>
        <w:t xml:space="preserve"> </w:t>
      </w:r>
      <w:r>
        <w:t>consumers</w:t>
      </w:r>
      <w:r>
        <w:rPr>
          <w:spacing w:val="1"/>
        </w:rPr>
        <w:t xml:space="preserve"> </w:t>
      </w:r>
      <w:r>
        <w:t>of</w:t>
      </w:r>
      <w:r>
        <w:rPr>
          <w:spacing w:val="1"/>
        </w:rPr>
        <w:t xml:space="preserve"> </w:t>
      </w:r>
      <w:r>
        <w:t>professional</w:t>
      </w:r>
      <w:r>
        <w:rPr>
          <w:spacing w:val="-9"/>
        </w:rPr>
        <w:t xml:space="preserve"> </w:t>
      </w:r>
      <w:r>
        <w:t>services</w:t>
      </w:r>
      <w:r>
        <w:rPr>
          <w:spacing w:val="-8"/>
        </w:rPr>
        <w:t xml:space="preserve"> </w:t>
      </w:r>
      <w:r>
        <w:t>in</w:t>
      </w:r>
      <w:r>
        <w:rPr>
          <w:spacing w:val="-8"/>
        </w:rPr>
        <w:t xml:space="preserve"> </w:t>
      </w:r>
      <w:r>
        <w:t>terms</w:t>
      </w:r>
      <w:r>
        <w:rPr>
          <w:spacing w:val="-9"/>
        </w:rPr>
        <w:t xml:space="preserve"> </w:t>
      </w:r>
      <w:r>
        <w:t>of</w:t>
      </w:r>
      <w:r>
        <w:rPr>
          <w:spacing w:val="-9"/>
        </w:rPr>
        <w:t xml:space="preserve"> </w:t>
      </w:r>
      <w:r>
        <w:t>possible</w:t>
      </w:r>
      <w:r>
        <w:rPr>
          <w:spacing w:val="-9"/>
        </w:rPr>
        <w:t xml:space="preserve"> </w:t>
      </w:r>
      <w:r>
        <w:t>price</w:t>
      </w:r>
      <w:r>
        <w:rPr>
          <w:spacing w:val="-7"/>
        </w:rPr>
        <w:t xml:space="preserve"> </w:t>
      </w:r>
      <w:r>
        <w:t>reductions</w:t>
      </w:r>
      <w:r>
        <w:rPr>
          <w:spacing w:val="-9"/>
        </w:rPr>
        <w:t xml:space="preserve"> </w:t>
      </w:r>
      <w:r>
        <w:t>and</w:t>
      </w:r>
      <w:r>
        <w:rPr>
          <w:spacing w:val="-9"/>
        </w:rPr>
        <w:t xml:space="preserve"> </w:t>
      </w:r>
      <w:r>
        <w:t>greater</w:t>
      </w:r>
      <w:r>
        <w:rPr>
          <w:spacing w:val="-9"/>
        </w:rPr>
        <w:t xml:space="preserve"> </w:t>
      </w:r>
      <w:r>
        <w:t>choice.</w:t>
      </w:r>
      <w:r>
        <w:rPr>
          <w:spacing w:val="-9"/>
        </w:rPr>
        <w:t xml:space="preserve"> </w:t>
      </w:r>
      <w:r>
        <w:t>Therefore,</w:t>
      </w:r>
      <w:r>
        <w:rPr>
          <w:spacing w:val="-4"/>
        </w:rPr>
        <w:t xml:space="preserve"> </w:t>
      </w:r>
      <w:r>
        <w:t>in</w:t>
      </w:r>
      <w:r>
        <w:rPr>
          <w:spacing w:val="-8"/>
        </w:rPr>
        <w:t xml:space="preserve"> </w:t>
      </w:r>
      <w:r>
        <w:t>line</w:t>
      </w:r>
      <w:r>
        <w:rPr>
          <w:spacing w:val="-58"/>
        </w:rPr>
        <w:t xml:space="preserve"> </w:t>
      </w:r>
      <w:r>
        <w:t>with</w:t>
      </w:r>
      <w:r>
        <w:rPr>
          <w:spacing w:val="1"/>
        </w:rPr>
        <w:t xml:space="preserve"> </w:t>
      </w:r>
      <w:r>
        <w:t>the</w:t>
      </w:r>
      <w:r>
        <w:rPr>
          <w:spacing w:val="1"/>
        </w:rPr>
        <w:t xml:space="preserve"> </w:t>
      </w:r>
      <w:r>
        <w:t>NRRP,</w:t>
      </w:r>
      <w:r>
        <w:rPr>
          <w:spacing w:val="1"/>
        </w:rPr>
        <w:t xml:space="preserve"> </w:t>
      </w:r>
      <w:r>
        <w:t>the</w:t>
      </w:r>
      <w:r>
        <w:rPr>
          <w:spacing w:val="1"/>
        </w:rPr>
        <w:t xml:space="preserve"> </w:t>
      </w:r>
      <w:r>
        <w:t>specific</w:t>
      </w:r>
      <w:r>
        <w:rPr>
          <w:spacing w:val="1"/>
        </w:rPr>
        <w:t xml:space="preserve"> </w:t>
      </w:r>
      <w:r>
        <w:t>objective</w:t>
      </w:r>
      <w:r>
        <w:rPr>
          <w:spacing w:val="1"/>
        </w:rPr>
        <w:t xml:space="preserve"> </w:t>
      </w:r>
      <w:r>
        <w:t>is</w:t>
      </w:r>
      <w:r>
        <w:rPr>
          <w:spacing w:val="1"/>
        </w:rPr>
        <w:t xml:space="preserve"> </w:t>
      </w:r>
      <w:r>
        <w:t>to</w:t>
      </w:r>
      <w:r>
        <w:rPr>
          <w:spacing w:val="1"/>
        </w:rPr>
        <w:t xml:space="preserve"> </w:t>
      </w:r>
      <w:r>
        <w:t>simplify</w:t>
      </w:r>
      <w:r>
        <w:rPr>
          <w:spacing w:val="1"/>
        </w:rPr>
        <w:t xml:space="preserve"> </w:t>
      </w:r>
      <w:r>
        <w:t>or</w:t>
      </w:r>
      <w:r>
        <w:rPr>
          <w:spacing w:val="1"/>
        </w:rPr>
        <w:t xml:space="preserve"> </w:t>
      </w:r>
      <w:r>
        <w:t>abolish</w:t>
      </w:r>
      <w:r>
        <w:rPr>
          <w:spacing w:val="1"/>
        </w:rPr>
        <w:t xml:space="preserve"> </w:t>
      </w:r>
      <w:r>
        <w:t>at</w:t>
      </w:r>
      <w:r>
        <w:rPr>
          <w:spacing w:val="1"/>
        </w:rPr>
        <w:t xml:space="preserve"> </w:t>
      </w:r>
      <w:r>
        <w:t>least</w:t>
      </w:r>
      <w:r>
        <w:rPr>
          <w:spacing w:val="1"/>
        </w:rPr>
        <w:t xml:space="preserve"> </w:t>
      </w:r>
      <w:r>
        <w:t>50</w:t>
      </w:r>
      <w:r>
        <w:rPr>
          <w:spacing w:val="1"/>
        </w:rPr>
        <w:t xml:space="preserve"> </w:t>
      </w:r>
      <w:r>
        <w:t>regulatory</w:t>
      </w:r>
      <w:r>
        <w:rPr>
          <w:spacing w:val="1"/>
        </w:rPr>
        <w:t xml:space="preserve"> </w:t>
      </w:r>
      <w:r>
        <w:t>requirements</w:t>
      </w:r>
      <w:r>
        <w:rPr>
          <w:spacing w:val="-2"/>
        </w:rPr>
        <w:t xml:space="preserve"> </w:t>
      </w:r>
      <w:r>
        <w:t>for</w:t>
      </w:r>
      <w:r>
        <w:rPr>
          <w:spacing w:val="-3"/>
        </w:rPr>
        <w:t xml:space="preserve"> </w:t>
      </w:r>
      <w:r>
        <w:t>professional</w:t>
      </w:r>
      <w:r>
        <w:rPr>
          <w:spacing w:val="-1"/>
        </w:rPr>
        <w:t xml:space="preserve"> </w:t>
      </w:r>
      <w:r>
        <w:t>services within</w:t>
      </w:r>
      <w:r>
        <w:rPr>
          <w:spacing w:val="-1"/>
        </w:rPr>
        <w:t xml:space="preserve"> </w:t>
      </w:r>
      <w:r>
        <w:t>the</w:t>
      </w:r>
      <w:r>
        <w:rPr>
          <w:spacing w:val="-1"/>
        </w:rPr>
        <w:t xml:space="preserve"> </w:t>
      </w:r>
      <w:r>
        <w:t>private</w:t>
      </w:r>
      <w:r>
        <w:rPr>
          <w:spacing w:val="-1"/>
        </w:rPr>
        <w:t xml:space="preserve"> </w:t>
      </w:r>
      <w:r>
        <w:t>sector</w:t>
      </w:r>
      <w:r>
        <w:rPr>
          <w:spacing w:val="-2"/>
        </w:rPr>
        <w:t xml:space="preserve"> </w:t>
      </w:r>
      <w:r>
        <w:t>by</w:t>
      </w:r>
      <w:r>
        <w:rPr>
          <w:spacing w:val="-9"/>
        </w:rPr>
        <w:t xml:space="preserve"> </w:t>
      </w:r>
      <w:r>
        <w:t>the</w:t>
      </w:r>
      <w:r>
        <w:rPr>
          <w:spacing w:val="-1"/>
        </w:rPr>
        <w:t xml:space="preserve"> </w:t>
      </w:r>
      <w:r>
        <w:t>end</w:t>
      </w:r>
      <w:r>
        <w:rPr>
          <w:spacing w:val="-1"/>
        </w:rPr>
        <w:t xml:space="preserve"> </w:t>
      </w:r>
      <w:r>
        <w:t>of</w:t>
      </w:r>
      <w:r>
        <w:rPr>
          <w:spacing w:val="-1"/>
        </w:rPr>
        <w:t xml:space="preserve"> </w:t>
      </w:r>
      <w:r>
        <w:t>2024. To</w:t>
      </w:r>
      <w:r>
        <w:rPr>
          <w:spacing w:val="-1"/>
        </w:rPr>
        <w:t xml:space="preserve"> </w:t>
      </w:r>
      <w:r>
        <w:t>achieve</w:t>
      </w:r>
      <w:r>
        <w:rPr>
          <w:spacing w:val="-58"/>
        </w:rPr>
        <w:t xml:space="preserve"> </w:t>
      </w:r>
      <w:r>
        <w:t xml:space="preserve">this goal, </w:t>
      </w:r>
      <w:r>
        <w:rPr>
          <w:b/>
        </w:rPr>
        <w:t>the Government will adopt a third Action Plan for the Liberalisation of the</w:t>
      </w:r>
      <w:r>
        <w:rPr>
          <w:b/>
          <w:spacing w:val="1"/>
        </w:rPr>
        <w:t xml:space="preserve"> </w:t>
      </w:r>
      <w:r>
        <w:rPr>
          <w:b/>
        </w:rPr>
        <w:t>Services Market by the end of Q1/2023, providing concrete measures for implementation</w:t>
      </w:r>
      <w:r>
        <w:rPr>
          <w:b/>
          <w:spacing w:val="-58"/>
        </w:rPr>
        <w:t xml:space="preserve"> </w:t>
      </w:r>
      <w:r>
        <w:rPr>
          <w:b/>
        </w:rPr>
        <w:t xml:space="preserve">in 2023 and 2024. </w:t>
      </w:r>
      <w:r>
        <w:t>In terms of performance indicators, the minimum cumulative number of</w:t>
      </w:r>
      <w:r>
        <w:rPr>
          <w:spacing w:val="1"/>
        </w:rPr>
        <w:t xml:space="preserve"> </w:t>
      </w:r>
      <w:r>
        <w:t>implemented measures for liberalisation of the services market will increase from over 250 to</w:t>
      </w:r>
      <w:r>
        <w:rPr>
          <w:spacing w:val="1"/>
        </w:rPr>
        <w:t xml:space="preserve"> </w:t>
      </w:r>
      <w:r>
        <w:t>at least 300 by the end of 2024. Based on the NRRP, several documents form the basis for the</w:t>
      </w:r>
      <w:r>
        <w:rPr>
          <w:spacing w:val="1"/>
        </w:rPr>
        <w:t xml:space="preserve"> </w:t>
      </w:r>
      <w:r>
        <w:t>continued reform of regulated professions, such as recommendations from the EC technical</w:t>
      </w:r>
      <w:r>
        <w:rPr>
          <w:spacing w:val="1"/>
        </w:rPr>
        <w:t xml:space="preserve"> </w:t>
      </w:r>
      <w:r>
        <w:t>assistance</w:t>
      </w:r>
      <w:r>
        <w:rPr>
          <w:spacing w:val="1"/>
        </w:rPr>
        <w:t xml:space="preserve"> </w:t>
      </w:r>
      <w:r>
        <w:t>project</w:t>
      </w:r>
      <w:r>
        <w:rPr>
          <w:spacing w:val="1"/>
        </w:rPr>
        <w:t xml:space="preserve"> </w:t>
      </w:r>
      <w:r>
        <w:t>in</w:t>
      </w:r>
      <w:r>
        <w:rPr>
          <w:spacing w:val="1"/>
        </w:rPr>
        <w:t xml:space="preserve"> </w:t>
      </w:r>
      <w:r>
        <w:t>cooperation</w:t>
      </w:r>
      <w:r>
        <w:rPr>
          <w:spacing w:val="1"/>
        </w:rPr>
        <w:t xml:space="preserve"> </w:t>
      </w:r>
      <w:r>
        <w:t>with</w:t>
      </w:r>
      <w:r>
        <w:rPr>
          <w:spacing w:val="1"/>
        </w:rPr>
        <w:t xml:space="preserve"> </w:t>
      </w:r>
      <w:r>
        <w:t>the</w:t>
      </w:r>
      <w:r>
        <w:rPr>
          <w:spacing w:val="1"/>
        </w:rPr>
        <w:t xml:space="preserve"> </w:t>
      </w:r>
      <w:r>
        <w:t>World</w:t>
      </w:r>
      <w:r>
        <w:rPr>
          <w:spacing w:val="1"/>
        </w:rPr>
        <w:t xml:space="preserve"> </w:t>
      </w:r>
      <w:r>
        <w:t>Bank,</w:t>
      </w:r>
      <w:r>
        <w:rPr>
          <w:spacing w:val="1"/>
        </w:rPr>
        <w:t xml:space="preserve"> </w:t>
      </w:r>
      <w:r>
        <w:t>which</w:t>
      </w:r>
      <w:r>
        <w:rPr>
          <w:spacing w:val="1"/>
        </w:rPr>
        <w:t xml:space="preserve"> </w:t>
      </w:r>
      <w:r>
        <w:t>have</w:t>
      </w:r>
      <w:r>
        <w:rPr>
          <w:spacing w:val="1"/>
        </w:rPr>
        <w:t xml:space="preserve"> </w:t>
      </w:r>
      <w:r>
        <w:t>not</w:t>
      </w:r>
      <w:r>
        <w:rPr>
          <w:spacing w:val="1"/>
        </w:rPr>
        <w:t xml:space="preserve"> </w:t>
      </w:r>
      <w:r>
        <w:t>been</w:t>
      </w:r>
      <w:r>
        <w:rPr>
          <w:spacing w:val="1"/>
        </w:rPr>
        <w:t xml:space="preserve"> </w:t>
      </w:r>
      <w:r>
        <w:t>adopted</w:t>
      </w:r>
      <w:r>
        <w:rPr>
          <w:spacing w:val="1"/>
        </w:rPr>
        <w:t xml:space="preserve"> </w:t>
      </w:r>
      <w:r>
        <w:t>interdepartmentally in the previous two action plans for liberalisation of services markets; the</w:t>
      </w:r>
      <w:r>
        <w:rPr>
          <w:spacing w:val="1"/>
        </w:rPr>
        <w:t xml:space="preserve"> </w:t>
      </w:r>
      <w:r>
        <w:t>results of the updated Restrictiveness Indicator for Professional Services developed by the EC</w:t>
      </w:r>
      <w:r>
        <w:rPr>
          <w:spacing w:val="-57"/>
        </w:rPr>
        <w:t xml:space="preserve"> </w:t>
      </w:r>
      <w:r>
        <w:t>and the OECD Product Market Regulation 2018 report (PMR 2018); EC recommendations</w:t>
      </w:r>
      <w:r>
        <w:rPr>
          <w:spacing w:val="1"/>
        </w:rPr>
        <w:t xml:space="preserve"> </w:t>
      </w:r>
      <w:r>
        <w:rPr>
          <w:spacing w:val="-1"/>
        </w:rPr>
        <w:t>within</w:t>
      </w:r>
      <w:r>
        <w:rPr>
          <w:spacing w:val="-12"/>
        </w:rPr>
        <w:t xml:space="preserve"> </w:t>
      </w:r>
      <w:r>
        <w:rPr>
          <w:spacing w:val="-1"/>
        </w:rPr>
        <w:t>the</w:t>
      </w:r>
      <w:r>
        <w:rPr>
          <w:spacing w:val="-13"/>
        </w:rPr>
        <w:t xml:space="preserve"> </w:t>
      </w:r>
      <w:r>
        <w:rPr>
          <w:spacing w:val="-1"/>
        </w:rPr>
        <w:t>Single</w:t>
      </w:r>
      <w:r>
        <w:rPr>
          <w:spacing w:val="-13"/>
        </w:rPr>
        <w:t xml:space="preserve"> </w:t>
      </w:r>
      <w:r>
        <w:rPr>
          <w:spacing w:val="-1"/>
        </w:rPr>
        <w:t>Market</w:t>
      </w:r>
      <w:r>
        <w:rPr>
          <w:spacing w:val="-10"/>
        </w:rPr>
        <w:t xml:space="preserve"> </w:t>
      </w:r>
      <w:r>
        <w:t>Enforcement</w:t>
      </w:r>
      <w:r>
        <w:rPr>
          <w:spacing w:val="-11"/>
        </w:rPr>
        <w:t xml:space="preserve"> </w:t>
      </w:r>
      <w:r>
        <w:t>Task</w:t>
      </w:r>
      <w:r>
        <w:rPr>
          <w:spacing w:val="-12"/>
        </w:rPr>
        <w:t xml:space="preserve"> </w:t>
      </w:r>
      <w:r>
        <w:t>Force</w:t>
      </w:r>
      <w:r>
        <w:rPr>
          <w:spacing w:val="-11"/>
        </w:rPr>
        <w:t xml:space="preserve"> </w:t>
      </w:r>
      <w:r>
        <w:t>(SMET)</w:t>
      </w:r>
      <w:r>
        <w:rPr>
          <w:spacing w:val="-13"/>
        </w:rPr>
        <w:t xml:space="preserve"> </w:t>
      </w:r>
      <w:r>
        <w:t>regarding</w:t>
      </w:r>
      <w:r>
        <w:rPr>
          <w:spacing w:val="-14"/>
        </w:rPr>
        <w:t xml:space="preserve"> </w:t>
      </w:r>
      <w:r>
        <w:t>professional</w:t>
      </w:r>
      <w:r>
        <w:rPr>
          <w:spacing w:val="-12"/>
        </w:rPr>
        <w:t xml:space="preserve"> </w:t>
      </w:r>
      <w:r>
        <w:t>services;</w:t>
      </w:r>
      <w:r>
        <w:rPr>
          <w:spacing w:val="-8"/>
        </w:rPr>
        <w:t xml:space="preserve"> </w:t>
      </w:r>
      <w:r>
        <w:t>and</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t>commitment to the full implementation of EU legislation in the area of freedom to provide</w:t>
      </w:r>
      <w:r>
        <w:rPr>
          <w:spacing w:val="1"/>
        </w:rPr>
        <w:t xml:space="preserve"> </w:t>
      </w:r>
      <w:r>
        <w:t>services.</w:t>
      </w:r>
    </w:p>
    <w:p w:rsidR="00A56FE9" w:rsidRDefault="00A56FE9">
      <w:pPr>
        <w:pStyle w:val="Tijeloteksta"/>
        <w:ind w:left="0"/>
        <w:jc w:val="left"/>
        <w:rPr>
          <w:sz w:val="26"/>
        </w:rPr>
      </w:pPr>
    </w:p>
    <w:p w:rsidR="00A56FE9" w:rsidRDefault="00000000">
      <w:pPr>
        <w:pStyle w:val="Naslov3"/>
      </w:pPr>
      <w:bookmarkStart w:id="5" w:name="_bookmark5"/>
      <w:bookmarkEnd w:id="5"/>
      <w:r>
        <w:rPr>
          <w:rFonts w:ascii="Times New Roman"/>
          <w:b/>
          <w:color w:val="2C398A"/>
          <w:spacing w:val="-1"/>
        </w:rPr>
        <w:t>C1.2.</w:t>
      </w:r>
      <w:r>
        <w:rPr>
          <w:rFonts w:ascii="Times New Roman"/>
          <w:b/>
          <w:color w:val="2C398A"/>
          <w:spacing w:val="1"/>
        </w:rPr>
        <w:t xml:space="preserve"> </w:t>
      </w:r>
      <w:r>
        <w:rPr>
          <w:color w:val="2C398A"/>
          <w:spacing w:val="-1"/>
        </w:rPr>
        <w:t>Energy</w:t>
      </w:r>
      <w:r>
        <w:rPr>
          <w:color w:val="2C398A"/>
          <w:spacing w:val="-14"/>
        </w:rPr>
        <w:t xml:space="preserve"> </w:t>
      </w:r>
      <w:r>
        <w:rPr>
          <w:color w:val="2C398A"/>
          <w:spacing w:val="-1"/>
        </w:rPr>
        <w:t>Transition</w:t>
      </w:r>
      <w:r>
        <w:rPr>
          <w:color w:val="2C398A"/>
          <w:spacing w:val="-14"/>
        </w:rPr>
        <w:t xml:space="preserve"> </w:t>
      </w:r>
      <w:r>
        <w:rPr>
          <w:color w:val="2C398A"/>
          <w:spacing w:val="-1"/>
        </w:rPr>
        <w:t>for</w:t>
      </w:r>
      <w:r>
        <w:rPr>
          <w:color w:val="2C398A"/>
          <w:spacing w:val="-13"/>
        </w:rPr>
        <w:t xml:space="preserve"> </w:t>
      </w:r>
      <w:r>
        <w:rPr>
          <w:color w:val="2C398A"/>
        </w:rPr>
        <w:t>a</w:t>
      </w:r>
      <w:r>
        <w:rPr>
          <w:color w:val="2C398A"/>
          <w:spacing w:val="-13"/>
        </w:rPr>
        <w:t xml:space="preserve"> </w:t>
      </w:r>
      <w:r>
        <w:rPr>
          <w:color w:val="2C398A"/>
        </w:rPr>
        <w:t>Sustainable</w:t>
      </w:r>
      <w:r>
        <w:rPr>
          <w:color w:val="2C398A"/>
          <w:spacing w:val="-12"/>
        </w:rPr>
        <w:t xml:space="preserve"> </w:t>
      </w:r>
      <w:r>
        <w:rPr>
          <w:color w:val="2C398A"/>
        </w:rPr>
        <w:t>Economy</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37344"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2095007749"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EB2B0" id="Rectangle 322" o:spid="_x0000_s1026" style="position:absolute;margin-left:64.1pt;margin-top:-6.1pt;width:1.45pt;height:27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Limiting</w:t>
      </w:r>
      <w:r w:rsidR="00000000">
        <w:rPr>
          <w:color w:val="2C398A"/>
          <w:spacing w:val="-2"/>
        </w:rPr>
        <w:t xml:space="preserve"> </w:t>
      </w:r>
      <w:r w:rsidR="00000000">
        <w:rPr>
          <w:color w:val="2C398A"/>
        </w:rPr>
        <w:t>greenhouse</w:t>
      </w:r>
      <w:r w:rsidR="00000000">
        <w:rPr>
          <w:color w:val="2C398A"/>
          <w:spacing w:val="-1"/>
        </w:rPr>
        <w:t xml:space="preserve"> </w:t>
      </w:r>
      <w:r w:rsidR="00000000">
        <w:rPr>
          <w:color w:val="2C398A"/>
        </w:rPr>
        <w:t>gas</w:t>
      </w:r>
      <w:r w:rsidR="00000000">
        <w:rPr>
          <w:color w:val="2C398A"/>
          <w:spacing w:val="-3"/>
        </w:rPr>
        <w:t xml:space="preserve"> </w:t>
      </w:r>
      <w:r w:rsidR="00000000">
        <w:rPr>
          <w:color w:val="2C398A"/>
        </w:rPr>
        <w:t>emissions</w:t>
      </w:r>
    </w:p>
    <w:p w:rsidR="00A56FE9" w:rsidRDefault="00000000">
      <w:pPr>
        <w:spacing w:before="234"/>
        <w:ind w:left="138" w:right="272"/>
        <w:jc w:val="both"/>
        <w:rPr>
          <w:i/>
          <w:sz w:val="24"/>
        </w:rPr>
      </w:pPr>
      <w:r>
        <w:rPr>
          <w:i/>
          <w:color w:val="2C398A"/>
          <w:sz w:val="24"/>
        </w:rPr>
        <w:t>2019.CSR3.1.</w:t>
      </w:r>
      <w:r>
        <w:rPr>
          <w:i/>
          <w:color w:val="2C398A"/>
          <w:spacing w:val="1"/>
          <w:sz w:val="24"/>
        </w:rPr>
        <w:t xml:space="preserve"> </w:t>
      </w:r>
      <w:r>
        <w:rPr>
          <w:i/>
          <w:color w:val="2C398A"/>
          <w:sz w:val="24"/>
        </w:rPr>
        <w:t>Focus</w:t>
      </w:r>
      <w:r>
        <w:rPr>
          <w:i/>
          <w:color w:val="2C398A"/>
          <w:spacing w:val="1"/>
          <w:sz w:val="24"/>
        </w:rPr>
        <w:t xml:space="preserve"> </w:t>
      </w:r>
      <w:r>
        <w:rPr>
          <w:i/>
          <w:color w:val="2C398A"/>
          <w:sz w:val="24"/>
        </w:rPr>
        <w:t>investment-related</w:t>
      </w:r>
      <w:r>
        <w:rPr>
          <w:i/>
          <w:color w:val="2C398A"/>
          <w:spacing w:val="1"/>
          <w:sz w:val="24"/>
        </w:rPr>
        <w:t xml:space="preserve"> </w:t>
      </w:r>
      <w:r>
        <w:rPr>
          <w:i/>
          <w:color w:val="2C398A"/>
          <w:sz w:val="24"/>
        </w:rPr>
        <w:t>economic</w:t>
      </w:r>
      <w:r>
        <w:rPr>
          <w:i/>
          <w:color w:val="2C398A"/>
          <w:spacing w:val="1"/>
          <w:sz w:val="24"/>
        </w:rPr>
        <w:t xml:space="preserve"> </w:t>
      </w:r>
      <w:r>
        <w:rPr>
          <w:i/>
          <w:color w:val="2C398A"/>
          <w:sz w:val="24"/>
        </w:rPr>
        <w:t>policy</w:t>
      </w:r>
      <w:r>
        <w:rPr>
          <w:i/>
          <w:color w:val="2C398A"/>
          <w:spacing w:val="1"/>
          <w:sz w:val="24"/>
        </w:rPr>
        <w:t xml:space="preserve"> </w:t>
      </w:r>
      <w:r>
        <w:rPr>
          <w:i/>
          <w:color w:val="2C398A"/>
          <w:sz w:val="24"/>
        </w:rPr>
        <w:t>on</w:t>
      </w:r>
      <w:r>
        <w:rPr>
          <w:i/>
          <w:color w:val="2C398A"/>
          <w:spacing w:val="1"/>
          <w:sz w:val="24"/>
        </w:rPr>
        <w:t xml:space="preserve"> </w:t>
      </w:r>
      <w:r>
        <w:rPr>
          <w:i/>
          <w:color w:val="2C398A"/>
          <w:sz w:val="24"/>
        </w:rPr>
        <w:t>research</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innovation,</w:t>
      </w:r>
      <w:r>
        <w:rPr>
          <w:i/>
          <w:color w:val="2C398A"/>
          <w:spacing w:val="1"/>
          <w:sz w:val="24"/>
        </w:rPr>
        <w:t xml:space="preserve"> </w:t>
      </w:r>
      <w:r>
        <w:rPr>
          <w:i/>
          <w:color w:val="2C398A"/>
          <w:sz w:val="24"/>
        </w:rPr>
        <w:t>sustainable urban and railway transport, energy efficiency, renewables and environmental</w:t>
      </w:r>
      <w:r>
        <w:rPr>
          <w:i/>
          <w:color w:val="2C398A"/>
          <w:spacing w:val="1"/>
          <w:sz w:val="24"/>
        </w:rPr>
        <w:t xml:space="preserve"> </w:t>
      </w:r>
      <w:r>
        <w:rPr>
          <w:i/>
          <w:color w:val="2C398A"/>
          <w:sz w:val="24"/>
        </w:rPr>
        <w:t>infrastructure,</w:t>
      </w:r>
      <w:r>
        <w:rPr>
          <w:i/>
          <w:color w:val="2C398A"/>
          <w:spacing w:val="-5"/>
          <w:sz w:val="24"/>
        </w:rPr>
        <w:t xml:space="preserve"> </w:t>
      </w:r>
      <w:r>
        <w:rPr>
          <w:i/>
          <w:color w:val="2C398A"/>
          <w:sz w:val="24"/>
        </w:rPr>
        <w:t>taking</w:t>
      </w:r>
      <w:r>
        <w:rPr>
          <w:i/>
          <w:color w:val="2C398A"/>
          <w:spacing w:val="-6"/>
          <w:sz w:val="24"/>
        </w:rPr>
        <w:t xml:space="preserve"> </w:t>
      </w:r>
      <w:r>
        <w:rPr>
          <w:i/>
          <w:color w:val="2C398A"/>
          <w:sz w:val="24"/>
        </w:rPr>
        <w:t>into</w:t>
      </w:r>
      <w:r>
        <w:rPr>
          <w:i/>
          <w:color w:val="2C398A"/>
          <w:spacing w:val="-5"/>
          <w:sz w:val="24"/>
        </w:rPr>
        <w:t xml:space="preserve"> </w:t>
      </w:r>
      <w:r>
        <w:rPr>
          <w:i/>
          <w:color w:val="2C398A"/>
          <w:sz w:val="24"/>
        </w:rPr>
        <w:t>account</w:t>
      </w:r>
      <w:r>
        <w:rPr>
          <w:i/>
          <w:color w:val="2C398A"/>
          <w:spacing w:val="-3"/>
          <w:sz w:val="24"/>
        </w:rPr>
        <w:t xml:space="preserve"> </w:t>
      </w:r>
      <w:r>
        <w:rPr>
          <w:i/>
          <w:color w:val="2C398A"/>
          <w:sz w:val="24"/>
        </w:rPr>
        <w:t>regional</w:t>
      </w:r>
      <w:r>
        <w:rPr>
          <w:i/>
          <w:color w:val="2C398A"/>
          <w:spacing w:val="-4"/>
          <w:sz w:val="24"/>
        </w:rPr>
        <w:t xml:space="preserve"> </w:t>
      </w:r>
      <w:r>
        <w:rPr>
          <w:i/>
          <w:color w:val="2C398A"/>
          <w:sz w:val="24"/>
        </w:rPr>
        <w:t>disparities;</w:t>
      </w:r>
      <w:r>
        <w:rPr>
          <w:i/>
          <w:color w:val="2C398A"/>
          <w:spacing w:val="-5"/>
          <w:sz w:val="24"/>
        </w:rPr>
        <w:t xml:space="preserve"> </w:t>
      </w:r>
      <w:r>
        <w:rPr>
          <w:i/>
          <w:color w:val="2C398A"/>
          <w:sz w:val="24"/>
        </w:rPr>
        <w:t>2020.CSR3.3.</w:t>
      </w:r>
      <w:r>
        <w:rPr>
          <w:i/>
          <w:color w:val="2C398A"/>
          <w:spacing w:val="-4"/>
          <w:sz w:val="24"/>
        </w:rPr>
        <w:t xml:space="preserve"> </w:t>
      </w:r>
      <w:r>
        <w:rPr>
          <w:i/>
          <w:color w:val="2C398A"/>
          <w:sz w:val="24"/>
        </w:rPr>
        <w:t>Focus</w:t>
      </w:r>
      <w:r>
        <w:rPr>
          <w:i/>
          <w:color w:val="2C398A"/>
          <w:spacing w:val="-5"/>
          <w:sz w:val="24"/>
        </w:rPr>
        <w:t xml:space="preserve"> </w:t>
      </w:r>
      <w:r>
        <w:rPr>
          <w:i/>
          <w:color w:val="2C398A"/>
          <w:sz w:val="24"/>
        </w:rPr>
        <w:t>investment</w:t>
      </w:r>
      <w:r>
        <w:rPr>
          <w:i/>
          <w:color w:val="2C398A"/>
          <w:spacing w:val="-3"/>
          <w:sz w:val="24"/>
        </w:rPr>
        <w:t xml:space="preserve"> </w:t>
      </w:r>
      <w:r>
        <w:rPr>
          <w:i/>
          <w:color w:val="2C398A"/>
          <w:sz w:val="24"/>
        </w:rPr>
        <w:t>on</w:t>
      </w:r>
      <w:r>
        <w:rPr>
          <w:i/>
          <w:color w:val="2C398A"/>
          <w:spacing w:val="-5"/>
          <w:sz w:val="24"/>
        </w:rPr>
        <w:t xml:space="preserve"> </w:t>
      </w:r>
      <w:r>
        <w:rPr>
          <w:i/>
          <w:color w:val="2C398A"/>
          <w:sz w:val="24"/>
        </w:rPr>
        <w:t>the</w:t>
      </w:r>
      <w:r>
        <w:rPr>
          <w:i/>
          <w:color w:val="2C398A"/>
          <w:spacing w:val="-57"/>
          <w:sz w:val="24"/>
        </w:rPr>
        <w:t xml:space="preserve"> </w:t>
      </w:r>
      <w:r>
        <w:rPr>
          <w:i/>
          <w:color w:val="2C398A"/>
          <w:sz w:val="24"/>
        </w:rPr>
        <w:t>green and digital transition, in particular on environmental infrastructure, sustainable urban</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rail transport, clean</w:t>
      </w:r>
      <w:r>
        <w:rPr>
          <w:i/>
          <w:color w:val="2C398A"/>
          <w:spacing w:val="-3"/>
          <w:sz w:val="24"/>
        </w:rPr>
        <w:t xml:space="preserve"> </w:t>
      </w:r>
      <w:r>
        <w:rPr>
          <w:i/>
          <w:color w:val="2C398A"/>
          <w:sz w:val="24"/>
        </w:rPr>
        <w:t>and efficient production and use</w:t>
      </w:r>
      <w:r>
        <w:rPr>
          <w:i/>
          <w:color w:val="2C398A"/>
          <w:spacing w:val="-2"/>
          <w:sz w:val="24"/>
        </w:rPr>
        <w:t xml:space="preserve"> </w:t>
      </w:r>
      <w:r>
        <w:rPr>
          <w:i/>
          <w:color w:val="2C398A"/>
          <w:sz w:val="24"/>
        </w:rPr>
        <w:t>of energy</w:t>
      </w:r>
    </w:p>
    <w:p w:rsidR="00A56FE9" w:rsidRDefault="00A56FE9">
      <w:pPr>
        <w:pStyle w:val="Tijeloteksta"/>
        <w:spacing w:before="3"/>
        <w:ind w:left="0"/>
        <w:jc w:val="left"/>
        <w:rPr>
          <w:i/>
          <w:sz w:val="21"/>
        </w:rPr>
      </w:pPr>
    </w:p>
    <w:p w:rsidR="00A56FE9" w:rsidRDefault="00000000">
      <w:pPr>
        <w:pStyle w:val="Naslov5"/>
        <w:spacing w:before="1"/>
      </w:pPr>
      <w:r>
        <w:t>Progress</w:t>
      </w:r>
      <w:r>
        <w:rPr>
          <w:spacing w:val="-3"/>
        </w:rPr>
        <w:t xml:space="preserve"> </w:t>
      </w:r>
      <w:r>
        <w:t>in</w:t>
      </w:r>
      <w:r>
        <w:rPr>
          <w:spacing w:val="-1"/>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458845" cy="12700"/>
                <wp:effectExtent l="0" t="0" r="0" b="0"/>
                <wp:docPr id="10701048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58845" cy="12700"/>
                          <a:chOff x="0" y="0"/>
                          <a:chExt cx="5447" cy="20"/>
                        </a:xfrm>
                      </wpg:grpSpPr>
                      <wps:wsp>
                        <wps:cNvPr id="1824353883" name="Rectangle 321"/>
                        <wps:cNvSpPr>
                          <a:spLocks noChangeArrowheads="1"/>
                        </wps:cNvSpPr>
                        <wps:spPr bwMode="auto">
                          <a:xfrm>
                            <a:off x="0" y="0"/>
                            <a:ext cx="5447"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76B38C3" id="Group 320" o:spid="_x0000_s1026" style="width:272.35pt;height:1pt;mso-position-horizontal-relative:char;mso-position-vertical-relative:line" coordsize="544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">
                <v:rect id="Rectangle 321" o:spid="_x0000_s1027" style="position:absolute;width:544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3"/>
      </w:pPr>
      <w:r>
        <w:t>Croatia</w:t>
      </w:r>
      <w:r>
        <w:rPr>
          <w:spacing w:val="-7"/>
        </w:rPr>
        <w:t xml:space="preserve"> </w:t>
      </w:r>
      <w:r>
        <w:t>is</w:t>
      </w:r>
      <w:r>
        <w:rPr>
          <w:spacing w:val="-6"/>
        </w:rPr>
        <w:t xml:space="preserve"> </w:t>
      </w:r>
      <w:r>
        <w:t>obliged</w:t>
      </w:r>
      <w:r>
        <w:rPr>
          <w:spacing w:val="-6"/>
        </w:rPr>
        <w:t xml:space="preserve"> </w:t>
      </w:r>
      <w:r>
        <w:t>to</w:t>
      </w:r>
      <w:r>
        <w:rPr>
          <w:spacing w:val="-1"/>
        </w:rPr>
        <w:t xml:space="preserve"> </w:t>
      </w:r>
      <w:r>
        <w:t>give</w:t>
      </w:r>
      <w:r>
        <w:rPr>
          <w:spacing w:val="-5"/>
        </w:rPr>
        <w:t xml:space="preserve"> </w:t>
      </w:r>
      <w:r>
        <w:t>its</w:t>
      </w:r>
      <w:r>
        <w:rPr>
          <w:spacing w:val="-6"/>
        </w:rPr>
        <w:t xml:space="preserve"> </w:t>
      </w:r>
      <w:r>
        <w:t>share</w:t>
      </w:r>
      <w:r>
        <w:rPr>
          <w:spacing w:val="-6"/>
        </w:rPr>
        <w:t xml:space="preserve"> </w:t>
      </w:r>
      <w:r>
        <w:t>to</w:t>
      </w:r>
      <w:r>
        <w:rPr>
          <w:spacing w:val="-3"/>
        </w:rPr>
        <w:t xml:space="preserve"> </w:t>
      </w:r>
      <w:r>
        <w:t>common</w:t>
      </w:r>
      <w:r>
        <w:rPr>
          <w:spacing w:val="-6"/>
        </w:rPr>
        <w:t xml:space="preserve"> </w:t>
      </w:r>
      <w:r>
        <w:t>EU</w:t>
      </w:r>
      <w:r>
        <w:rPr>
          <w:spacing w:val="-5"/>
        </w:rPr>
        <w:t xml:space="preserve"> </w:t>
      </w:r>
      <w:r>
        <w:t>policy</w:t>
      </w:r>
      <w:r>
        <w:rPr>
          <w:spacing w:val="-11"/>
        </w:rPr>
        <w:t xml:space="preserve"> </w:t>
      </w:r>
      <w:r>
        <w:t>on</w:t>
      </w:r>
      <w:r>
        <w:rPr>
          <w:spacing w:val="-3"/>
        </w:rPr>
        <w:t xml:space="preserve"> </w:t>
      </w:r>
      <w:r>
        <w:t>limiting</w:t>
      </w:r>
      <w:r>
        <w:rPr>
          <w:spacing w:val="-6"/>
        </w:rPr>
        <w:t xml:space="preserve"> </w:t>
      </w:r>
      <w:r>
        <w:t>greenhouse</w:t>
      </w:r>
      <w:r>
        <w:rPr>
          <w:spacing w:val="-5"/>
        </w:rPr>
        <w:t xml:space="preserve"> </w:t>
      </w:r>
      <w:r>
        <w:t>gas</w:t>
      </w:r>
      <w:r>
        <w:rPr>
          <w:spacing w:val="-4"/>
        </w:rPr>
        <w:t xml:space="preserve"> </w:t>
      </w:r>
      <w:r>
        <w:t>emissions</w:t>
      </w:r>
      <w:r>
        <w:rPr>
          <w:spacing w:val="-58"/>
        </w:rPr>
        <w:t xml:space="preserve"> </w:t>
      </w:r>
      <w:r>
        <w:t>from</w:t>
      </w:r>
      <w:r>
        <w:rPr>
          <w:spacing w:val="-6"/>
        </w:rPr>
        <w:t xml:space="preserve"> </w:t>
      </w:r>
      <w:r>
        <w:t>sectors</w:t>
      </w:r>
      <w:r>
        <w:rPr>
          <w:spacing w:val="-3"/>
        </w:rPr>
        <w:t xml:space="preserve"> </w:t>
      </w:r>
      <w:r>
        <w:t>outside</w:t>
      </w:r>
      <w:r>
        <w:rPr>
          <w:spacing w:val="-7"/>
        </w:rPr>
        <w:t xml:space="preserve"> </w:t>
      </w:r>
      <w:r>
        <w:t>of</w:t>
      </w:r>
      <w:r>
        <w:rPr>
          <w:spacing w:val="-6"/>
        </w:rPr>
        <w:t xml:space="preserve"> </w:t>
      </w:r>
      <w:r>
        <w:t>the</w:t>
      </w:r>
      <w:r>
        <w:rPr>
          <w:spacing w:val="-7"/>
        </w:rPr>
        <w:t xml:space="preserve"> </w:t>
      </w:r>
      <w:r>
        <w:t>Emissions</w:t>
      </w:r>
      <w:r>
        <w:rPr>
          <w:spacing w:val="-5"/>
        </w:rPr>
        <w:t xml:space="preserve"> </w:t>
      </w:r>
      <w:r>
        <w:t>Trading</w:t>
      </w:r>
      <w:r>
        <w:rPr>
          <w:spacing w:val="-9"/>
        </w:rPr>
        <w:t xml:space="preserve"> </w:t>
      </w:r>
      <w:r>
        <w:t>System,</w:t>
      </w:r>
      <w:r>
        <w:rPr>
          <w:spacing w:val="-5"/>
        </w:rPr>
        <w:t xml:space="preserve"> </w:t>
      </w:r>
      <w:r>
        <w:t>as</w:t>
      </w:r>
      <w:r>
        <w:rPr>
          <w:spacing w:val="-6"/>
        </w:rPr>
        <w:t xml:space="preserve"> </w:t>
      </w:r>
      <w:r>
        <w:t>well</w:t>
      </w:r>
      <w:r>
        <w:rPr>
          <w:spacing w:val="-5"/>
        </w:rPr>
        <w:t xml:space="preserve"> </w:t>
      </w:r>
      <w:r>
        <w:t>as</w:t>
      </w:r>
      <w:r>
        <w:rPr>
          <w:spacing w:val="-6"/>
        </w:rPr>
        <w:t xml:space="preserve"> </w:t>
      </w:r>
      <w:r>
        <w:t>track</w:t>
      </w:r>
      <w:r>
        <w:rPr>
          <w:spacing w:val="-3"/>
        </w:rPr>
        <w:t xml:space="preserve"> </w:t>
      </w:r>
      <w:r>
        <w:t>and</w:t>
      </w:r>
      <w:r>
        <w:rPr>
          <w:spacing w:val="-6"/>
        </w:rPr>
        <w:t xml:space="preserve"> </w:t>
      </w:r>
      <w:r>
        <w:t>report</w:t>
      </w:r>
      <w:r>
        <w:rPr>
          <w:spacing w:val="-6"/>
        </w:rPr>
        <w:t xml:space="preserve"> </w:t>
      </w:r>
      <w:r>
        <w:t>on</w:t>
      </w:r>
      <w:r>
        <w:rPr>
          <w:spacing w:val="-6"/>
        </w:rPr>
        <w:t xml:space="preserve"> </w:t>
      </w:r>
      <w:r>
        <w:t>emissions</w:t>
      </w:r>
      <w:r>
        <w:rPr>
          <w:spacing w:val="-57"/>
        </w:rPr>
        <w:t xml:space="preserve"> </w:t>
      </w:r>
      <w:r>
        <w:rPr>
          <w:position w:val="2"/>
        </w:rPr>
        <w:t>on an annual basis. In 2019, Croatia was permitted a national quota of 19,105,632 tCO</w:t>
      </w:r>
      <w:r>
        <w:rPr>
          <w:sz w:val="16"/>
        </w:rPr>
        <w:t>2-eq</w:t>
      </w:r>
      <w:r>
        <w:rPr>
          <w:spacing w:val="1"/>
          <w:sz w:val="16"/>
        </w:rPr>
        <w:t xml:space="preserve"> </w:t>
      </w:r>
      <w:r>
        <w:t>whereas actual emissions for 2019 were 16,058,241 tCO2-eq. After an audit by the European</w:t>
      </w:r>
      <w:r>
        <w:rPr>
          <w:spacing w:val="1"/>
        </w:rPr>
        <w:t xml:space="preserve"> </w:t>
      </w:r>
      <w:r>
        <w:t>Commission in 2022, the actual emissions for 2020, will be known, and in 2023 for emissions</w:t>
      </w:r>
      <w:r>
        <w:rPr>
          <w:spacing w:val="-57"/>
        </w:rPr>
        <w:t xml:space="preserve"> </w:t>
      </w:r>
      <w:r>
        <w:t>in 2021.</w:t>
      </w:r>
    </w:p>
    <w:p w:rsidR="00A56FE9" w:rsidRDefault="00000000">
      <w:pPr>
        <w:pStyle w:val="Tijeloteksta"/>
        <w:spacing w:before="117"/>
        <w:ind w:right="273"/>
      </w:pPr>
      <w:r>
        <w:t>The new goal to limit the increase of greenhouse gas emissions for Croatia from 2021 is -7%</w:t>
      </w:r>
      <w:r>
        <w:rPr>
          <w:spacing w:val="1"/>
        </w:rPr>
        <w:t xml:space="preserve"> </w:t>
      </w:r>
      <w:r>
        <w:t>compared</w:t>
      </w:r>
      <w:r>
        <w:rPr>
          <w:spacing w:val="-1"/>
        </w:rPr>
        <w:t xml:space="preserve"> </w:t>
      </w:r>
      <w:r>
        <w:t>to the</w:t>
      </w:r>
      <w:r>
        <w:rPr>
          <w:spacing w:val="-1"/>
        </w:rPr>
        <w:t xml:space="preserve"> </w:t>
      </w:r>
      <w:r>
        <w:t>previous</w:t>
      </w:r>
      <w:r>
        <w:rPr>
          <w:spacing w:val="2"/>
        </w:rPr>
        <w:t xml:space="preserve"> </w:t>
      </w:r>
      <w:r>
        <w:t>level in 2005.</w:t>
      </w:r>
    </w:p>
    <w:p w:rsidR="00A56FE9" w:rsidRDefault="00000000">
      <w:pPr>
        <w:pStyle w:val="Tijeloteksta"/>
        <w:spacing w:before="121"/>
        <w:ind w:right="275"/>
      </w:pPr>
      <w:r>
        <w:t>In</w:t>
      </w:r>
      <w:r>
        <w:rPr>
          <w:spacing w:val="-1"/>
        </w:rPr>
        <w:t xml:space="preserve"> </w:t>
      </w:r>
      <w:r>
        <w:t>June</w:t>
      </w:r>
      <w:r>
        <w:rPr>
          <w:spacing w:val="-2"/>
        </w:rPr>
        <w:t xml:space="preserve"> </w:t>
      </w:r>
      <w:r>
        <w:t>2021, the Low</w:t>
      </w:r>
      <w:r>
        <w:rPr>
          <w:spacing w:val="-1"/>
        </w:rPr>
        <w:t xml:space="preserve"> </w:t>
      </w:r>
      <w:r>
        <w:t>Carbon</w:t>
      </w:r>
      <w:r>
        <w:rPr>
          <w:spacing w:val="-1"/>
        </w:rPr>
        <w:t xml:space="preserve"> </w:t>
      </w:r>
      <w:r>
        <w:t>Development</w:t>
      </w:r>
      <w:r>
        <w:rPr>
          <w:spacing w:val="-1"/>
        </w:rPr>
        <w:t xml:space="preserve"> </w:t>
      </w:r>
      <w:r>
        <w:t>Strategy</w:t>
      </w:r>
      <w:r>
        <w:rPr>
          <w:spacing w:val="-6"/>
        </w:rPr>
        <w:t xml:space="preserve"> </w:t>
      </w:r>
      <w:r>
        <w:t>of the</w:t>
      </w:r>
      <w:r>
        <w:rPr>
          <w:spacing w:val="-3"/>
        </w:rPr>
        <w:t xml:space="preserve"> </w:t>
      </w:r>
      <w:r>
        <w:t>RC</w:t>
      </w:r>
      <w:r>
        <w:rPr>
          <w:spacing w:val="-1"/>
        </w:rPr>
        <w:t xml:space="preserve"> </w:t>
      </w:r>
      <w:r>
        <w:t>for</w:t>
      </w:r>
      <w:r>
        <w:rPr>
          <w:spacing w:val="-2"/>
        </w:rPr>
        <w:t xml:space="preserve"> </w:t>
      </w:r>
      <w:r>
        <w:t>the</w:t>
      </w:r>
      <w:r>
        <w:rPr>
          <w:spacing w:val="-1"/>
        </w:rPr>
        <w:t xml:space="preserve"> </w:t>
      </w:r>
      <w:r>
        <w:t>Period</w:t>
      </w:r>
      <w:r>
        <w:rPr>
          <w:spacing w:val="-1"/>
        </w:rPr>
        <w:t xml:space="preserve"> </w:t>
      </w:r>
      <w:r>
        <w:t>up to</w:t>
      </w:r>
      <w:r>
        <w:rPr>
          <w:spacing w:val="-1"/>
        </w:rPr>
        <w:t xml:space="preserve"> </w:t>
      </w:r>
      <w:r>
        <w:t>2030</w:t>
      </w:r>
      <w:r>
        <w:rPr>
          <w:spacing w:val="-1"/>
        </w:rPr>
        <w:t xml:space="preserve"> </w:t>
      </w:r>
      <w:r>
        <w:t>with</w:t>
      </w:r>
      <w:r>
        <w:rPr>
          <w:spacing w:val="-57"/>
        </w:rPr>
        <w:t xml:space="preserve"> </w:t>
      </w:r>
      <w:r>
        <w:t>an Outlook to 2050</w:t>
      </w:r>
      <w:r>
        <w:rPr>
          <w:vertAlign w:val="superscript"/>
        </w:rPr>
        <w:t>3</w:t>
      </w:r>
      <w:r>
        <w:t xml:space="preserve"> was adopted, with the goal of strongly encouraging a reduction in</w:t>
      </w:r>
      <w:r>
        <w:rPr>
          <w:spacing w:val="1"/>
        </w:rPr>
        <w:t xml:space="preserve"> </w:t>
      </w:r>
      <w:r>
        <w:t>greenhouse</w:t>
      </w:r>
      <w:r>
        <w:rPr>
          <w:spacing w:val="-5"/>
        </w:rPr>
        <w:t xml:space="preserve"> </w:t>
      </w:r>
      <w:r>
        <w:t>gas</w:t>
      </w:r>
      <w:r>
        <w:rPr>
          <w:spacing w:val="-5"/>
        </w:rPr>
        <w:t xml:space="preserve"> </w:t>
      </w:r>
      <w:r>
        <w:t>emissions</w:t>
      </w:r>
      <w:r>
        <w:rPr>
          <w:spacing w:val="-8"/>
        </w:rPr>
        <w:t xml:space="preserve"> </w:t>
      </w:r>
      <w:r>
        <w:t>in</w:t>
      </w:r>
      <w:r>
        <w:rPr>
          <w:spacing w:val="-7"/>
        </w:rPr>
        <w:t xml:space="preserve"> </w:t>
      </w:r>
      <w:r>
        <w:t>Croatia</w:t>
      </w:r>
      <w:r>
        <w:rPr>
          <w:spacing w:val="-9"/>
        </w:rPr>
        <w:t xml:space="preserve"> </w:t>
      </w:r>
      <w:r>
        <w:t>across</w:t>
      </w:r>
      <w:r>
        <w:rPr>
          <w:spacing w:val="-9"/>
        </w:rPr>
        <w:t xml:space="preserve"> </w:t>
      </w:r>
      <w:r>
        <w:t>all</w:t>
      </w:r>
      <w:r>
        <w:rPr>
          <w:spacing w:val="-7"/>
        </w:rPr>
        <w:t xml:space="preserve"> </w:t>
      </w:r>
      <w:r>
        <w:t>sectors</w:t>
      </w:r>
      <w:r>
        <w:rPr>
          <w:spacing w:val="-8"/>
        </w:rPr>
        <w:t xml:space="preserve"> </w:t>
      </w:r>
      <w:r>
        <w:t>of</w:t>
      </w:r>
      <w:r>
        <w:rPr>
          <w:spacing w:val="-9"/>
        </w:rPr>
        <w:t xml:space="preserve"> </w:t>
      </w:r>
      <w:r>
        <w:t>the</w:t>
      </w:r>
      <w:r>
        <w:rPr>
          <w:spacing w:val="-8"/>
        </w:rPr>
        <w:t xml:space="preserve"> </w:t>
      </w:r>
      <w:r>
        <w:t>economy,</w:t>
      </w:r>
      <w:r>
        <w:rPr>
          <w:spacing w:val="-9"/>
        </w:rPr>
        <w:t xml:space="preserve"> </w:t>
      </w:r>
      <w:r>
        <w:t>starting</w:t>
      </w:r>
      <w:r>
        <w:rPr>
          <w:spacing w:val="-10"/>
        </w:rPr>
        <w:t xml:space="preserve"> </w:t>
      </w:r>
      <w:r>
        <w:t>from</w:t>
      </w:r>
      <w:r>
        <w:rPr>
          <w:spacing w:val="-8"/>
        </w:rPr>
        <w:t xml:space="preserve"> </w:t>
      </w:r>
      <w:r>
        <w:t>the</w:t>
      </w:r>
      <w:r>
        <w:rPr>
          <w:spacing w:val="-9"/>
        </w:rPr>
        <w:t xml:space="preserve"> </w:t>
      </w:r>
      <w:r>
        <w:t>energy</w:t>
      </w:r>
      <w:r>
        <w:rPr>
          <w:spacing w:val="-57"/>
        </w:rPr>
        <w:t xml:space="preserve"> </w:t>
      </w:r>
      <w:r>
        <w:t>sector,</w:t>
      </w:r>
      <w:r>
        <w:rPr>
          <w:spacing w:val="-2"/>
        </w:rPr>
        <w:t xml:space="preserve"> </w:t>
      </w:r>
      <w:r>
        <w:t>transport,</w:t>
      </w:r>
      <w:r>
        <w:rPr>
          <w:spacing w:val="-1"/>
        </w:rPr>
        <w:t xml:space="preserve"> </w:t>
      </w:r>
      <w:r>
        <w:t>industries,</w:t>
      </w:r>
      <w:r>
        <w:rPr>
          <w:spacing w:val="-2"/>
        </w:rPr>
        <w:t xml:space="preserve"> </w:t>
      </w:r>
      <w:r>
        <w:t>buildings,</w:t>
      </w:r>
      <w:r>
        <w:rPr>
          <w:spacing w:val="-1"/>
        </w:rPr>
        <w:t xml:space="preserve"> </w:t>
      </w:r>
      <w:r>
        <w:t>waste</w:t>
      </w:r>
      <w:r>
        <w:rPr>
          <w:spacing w:val="-1"/>
        </w:rPr>
        <w:t xml:space="preserve"> </w:t>
      </w:r>
      <w:r>
        <w:t>management,</w:t>
      </w:r>
      <w:r>
        <w:rPr>
          <w:spacing w:val="-2"/>
        </w:rPr>
        <w:t xml:space="preserve"> </w:t>
      </w:r>
      <w:r>
        <w:t>agriculture,</w:t>
      </w:r>
      <w:r>
        <w:rPr>
          <w:spacing w:val="-1"/>
        </w:rPr>
        <w:t xml:space="preserve"> </w:t>
      </w:r>
      <w:r>
        <w:t>tourism</w:t>
      </w:r>
      <w:r>
        <w:rPr>
          <w:spacing w:val="-1"/>
        </w:rPr>
        <w:t xml:space="preserve"> </w:t>
      </w:r>
      <w:r>
        <w:t>and</w:t>
      </w:r>
      <w:r>
        <w:rPr>
          <w:spacing w:val="-2"/>
        </w:rPr>
        <w:t xml:space="preserve"> </w:t>
      </w:r>
      <w:r>
        <w:t>services.</w:t>
      </w:r>
    </w:p>
    <w:p w:rsidR="00A56FE9" w:rsidRDefault="00000000">
      <w:pPr>
        <w:pStyle w:val="Tijeloteksta"/>
        <w:spacing w:before="120"/>
        <w:ind w:right="274"/>
      </w:pPr>
      <w:r>
        <w:rPr>
          <w:spacing w:val="-1"/>
        </w:rPr>
        <w:t>In</w:t>
      </w:r>
      <w:r>
        <w:rPr>
          <w:spacing w:val="-10"/>
        </w:rPr>
        <w:t xml:space="preserve"> </w:t>
      </w:r>
      <w:r>
        <w:rPr>
          <w:spacing w:val="-1"/>
        </w:rPr>
        <w:t>April</w:t>
      </w:r>
      <w:r>
        <w:rPr>
          <w:spacing w:val="-12"/>
        </w:rPr>
        <w:t xml:space="preserve"> </w:t>
      </w:r>
      <w:r>
        <w:rPr>
          <w:spacing w:val="-1"/>
        </w:rPr>
        <w:t>2020,</w:t>
      </w:r>
      <w:r>
        <w:rPr>
          <w:spacing w:val="-12"/>
        </w:rPr>
        <w:t xml:space="preserve"> </w:t>
      </w:r>
      <w:r>
        <w:t>the</w:t>
      </w:r>
      <w:r>
        <w:rPr>
          <w:spacing w:val="-12"/>
        </w:rPr>
        <w:t xml:space="preserve"> </w:t>
      </w:r>
      <w:r>
        <w:t>Climate</w:t>
      </w:r>
      <w:r>
        <w:rPr>
          <w:spacing w:val="-13"/>
        </w:rPr>
        <w:t xml:space="preserve"> </w:t>
      </w:r>
      <w:r>
        <w:t>Change</w:t>
      </w:r>
      <w:r>
        <w:rPr>
          <w:spacing w:val="-13"/>
        </w:rPr>
        <w:t xml:space="preserve"> </w:t>
      </w:r>
      <w:r>
        <w:t>Adaptation</w:t>
      </w:r>
      <w:r>
        <w:rPr>
          <w:spacing w:val="-12"/>
        </w:rPr>
        <w:t xml:space="preserve"> </w:t>
      </w:r>
      <w:r>
        <w:t>Strategy</w:t>
      </w:r>
      <w:r>
        <w:rPr>
          <w:spacing w:val="-17"/>
        </w:rPr>
        <w:t xml:space="preserve"> </w:t>
      </w:r>
      <w:r>
        <w:t>of</w:t>
      </w:r>
      <w:r>
        <w:rPr>
          <w:spacing w:val="-12"/>
        </w:rPr>
        <w:t xml:space="preserve"> </w:t>
      </w:r>
      <w:r>
        <w:t>the</w:t>
      </w:r>
      <w:r>
        <w:rPr>
          <w:spacing w:val="-13"/>
        </w:rPr>
        <w:t xml:space="preserve"> </w:t>
      </w:r>
      <w:r>
        <w:t>Republic</w:t>
      </w:r>
      <w:r>
        <w:rPr>
          <w:spacing w:val="-13"/>
        </w:rPr>
        <w:t xml:space="preserve"> </w:t>
      </w:r>
      <w:r>
        <w:t>of</w:t>
      </w:r>
      <w:r>
        <w:rPr>
          <w:spacing w:val="-13"/>
        </w:rPr>
        <w:t xml:space="preserve"> </w:t>
      </w:r>
      <w:r>
        <w:t>Croatia</w:t>
      </w:r>
      <w:r>
        <w:rPr>
          <w:spacing w:val="-12"/>
        </w:rPr>
        <w:t xml:space="preserve"> </w:t>
      </w:r>
      <w:r>
        <w:t>for</w:t>
      </w:r>
      <w:r>
        <w:rPr>
          <w:spacing w:val="-14"/>
        </w:rPr>
        <w:t xml:space="preserve"> </w:t>
      </w:r>
      <w:r>
        <w:t>the</w:t>
      </w:r>
      <w:r>
        <w:rPr>
          <w:spacing w:val="-13"/>
        </w:rPr>
        <w:t xml:space="preserve"> </w:t>
      </w:r>
      <w:r>
        <w:t>period</w:t>
      </w:r>
      <w:r>
        <w:rPr>
          <w:spacing w:val="-57"/>
        </w:rPr>
        <w:t xml:space="preserve"> </w:t>
      </w:r>
      <w:r>
        <w:t>until 2040 with a view to 2070 was adopted,</w:t>
      </w:r>
      <w:r>
        <w:rPr>
          <w:vertAlign w:val="superscript"/>
        </w:rPr>
        <w:t>4</w:t>
      </w:r>
      <w:r>
        <w:t xml:space="preserve"> which aims to reduce the vulnerability of natural</w:t>
      </w:r>
      <w:r>
        <w:rPr>
          <w:spacing w:val="-57"/>
        </w:rPr>
        <w:t xml:space="preserve"> </w:t>
      </w:r>
      <w:r>
        <w:t>systems and society to climate change, increase the ability to recover from climate change and</w:t>
      </w:r>
      <w:r>
        <w:rPr>
          <w:spacing w:val="-57"/>
        </w:rPr>
        <w:t xml:space="preserve"> </w:t>
      </w:r>
      <w:r>
        <w:t>the</w:t>
      </w:r>
      <w:r>
        <w:rPr>
          <w:spacing w:val="-1"/>
        </w:rPr>
        <w:t xml:space="preserve"> </w:t>
      </w:r>
      <w:r>
        <w:t>ability</w:t>
      </w:r>
      <w:r>
        <w:rPr>
          <w:spacing w:val="-5"/>
        </w:rPr>
        <w:t xml:space="preserve"> </w:t>
      </w:r>
      <w:r>
        <w:t>to exploit</w:t>
      </w:r>
      <w:r>
        <w:rPr>
          <w:spacing w:val="-1"/>
        </w:rPr>
        <w:t xml:space="preserve"> </w:t>
      </w:r>
      <w:r>
        <w:t>the</w:t>
      </w:r>
      <w:r>
        <w:rPr>
          <w:spacing w:val="-4"/>
        </w:rPr>
        <w:t xml:space="preserve"> </w:t>
      </w:r>
      <w:r>
        <w:t>potential positive</w:t>
      </w:r>
      <w:r>
        <w:rPr>
          <w:spacing w:val="-1"/>
        </w:rPr>
        <w:t xml:space="preserve"> </w:t>
      </w:r>
      <w:r>
        <w:t>effects</w:t>
      </w:r>
      <w:r>
        <w:rPr>
          <w:spacing w:val="1"/>
        </w:rPr>
        <w:t xml:space="preserve"> </w:t>
      </w:r>
      <w:r>
        <w:t>that may</w:t>
      </w:r>
      <w:r>
        <w:rPr>
          <w:spacing w:val="-5"/>
        </w:rPr>
        <w:t xml:space="preserve"> </w:t>
      </w:r>
      <w:r>
        <w:t>result from</w:t>
      </w:r>
      <w:r>
        <w:rPr>
          <w:spacing w:val="-1"/>
        </w:rPr>
        <w:t xml:space="preserve"> </w:t>
      </w:r>
      <w:r>
        <w:t>climate change.</w:t>
      </w:r>
    </w:p>
    <w:p w:rsidR="00A56FE9" w:rsidRDefault="00A56FE9">
      <w:pPr>
        <w:pStyle w:val="Tijeloteksta"/>
        <w:spacing w:before="3"/>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458845" cy="12700"/>
                <wp:effectExtent l="0" t="0" r="0" b="0"/>
                <wp:docPr id="585968042"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58845" cy="12700"/>
                          <a:chOff x="0" y="0"/>
                          <a:chExt cx="5447" cy="20"/>
                        </a:xfrm>
                      </wpg:grpSpPr>
                      <wps:wsp>
                        <wps:cNvPr id="314657781" name="Rectangle 319"/>
                        <wps:cNvSpPr>
                          <a:spLocks noChangeArrowheads="1"/>
                        </wps:cNvSpPr>
                        <wps:spPr bwMode="auto">
                          <a:xfrm>
                            <a:off x="0" y="0"/>
                            <a:ext cx="5447"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2C52DF6" id="Group 318" o:spid="_x0000_s1026" style="width:272.35pt;height:1pt;mso-position-horizontal-relative:char;mso-position-vertical-relative:line" coordsize="544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">
                <v:rect id="Rectangle 319" o:spid="_x0000_s1027" style="position:absolute;width:544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" fillcolor="#2c398a" stroked="f"/>
                <w10:anchorlock/>
              </v:group>
            </w:pict>
          </mc:Fallback>
        </mc:AlternateContent>
      </w:r>
    </w:p>
    <w:p w:rsidR="00A56FE9" w:rsidRDefault="00000000">
      <w:pPr>
        <w:pStyle w:val="Tijeloteksta"/>
        <w:spacing w:before="155"/>
        <w:ind w:right="273"/>
      </w:pPr>
      <w:r>
        <w:t>The NRRP measures and reforms from different sectors contribute significantly to climate</w:t>
      </w:r>
      <w:r>
        <w:rPr>
          <w:spacing w:val="1"/>
        </w:rPr>
        <w:t xml:space="preserve"> </w:t>
      </w:r>
      <w:r>
        <w:t>goals. The NRRP supports a green transition utilising investments in energy efficiency and the</w:t>
      </w:r>
      <w:r>
        <w:rPr>
          <w:spacing w:val="-58"/>
        </w:rPr>
        <w:t xml:space="preserve"> </w:t>
      </w:r>
      <w:r>
        <w:t>renovation of buildings, sustainable mobility, especially in railway upgrades, autonomous</w:t>
      </w:r>
      <w:r>
        <w:rPr>
          <w:spacing w:val="1"/>
        </w:rPr>
        <w:t xml:space="preserve"> </w:t>
      </w:r>
      <w:r>
        <w:t>electric</w:t>
      </w:r>
      <w:r>
        <w:rPr>
          <w:spacing w:val="-5"/>
        </w:rPr>
        <w:t xml:space="preserve"> </w:t>
      </w:r>
      <w:r>
        <w:t>vehicles,</w:t>
      </w:r>
      <w:r>
        <w:rPr>
          <w:spacing w:val="-3"/>
        </w:rPr>
        <w:t xml:space="preserve"> </w:t>
      </w:r>
      <w:r>
        <w:t>installation</w:t>
      </w:r>
      <w:r>
        <w:rPr>
          <w:spacing w:val="-3"/>
        </w:rPr>
        <w:t xml:space="preserve"> </w:t>
      </w:r>
      <w:r>
        <w:t>of</w:t>
      </w:r>
      <w:r>
        <w:rPr>
          <w:spacing w:val="-4"/>
        </w:rPr>
        <w:t xml:space="preserve"> </w:t>
      </w:r>
      <w:r>
        <w:t>charging</w:t>
      </w:r>
      <w:r>
        <w:rPr>
          <w:spacing w:val="-5"/>
        </w:rPr>
        <w:t xml:space="preserve"> </w:t>
      </w:r>
      <w:r>
        <w:t>stations</w:t>
      </w:r>
      <w:r>
        <w:rPr>
          <w:spacing w:val="-3"/>
        </w:rPr>
        <w:t xml:space="preserve"> </w:t>
      </w:r>
      <w:r>
        <w:t>for</w:t>
      </w:r>
      <w:r>
        <w:rPr>
          <w:spacing w:val="-4"/>
        </w:rPr>
        <w:t xml:space="preserve"> </w:t>
      </w:r>
      <w:r>
        <w:t>electric</w:t>
      </w:r>
      <w:r>
        <w:rPr>
          <w:spacing w:val="-4"/>
        </w:rPr>
        <w:t xml:space="preserve"> </w:t>
      </w:r>
      <w:r>
        <w:t>vehicles</w:t>
      </w:r>
      <w:r>
        <w:rPr>
          <w:spacing w:val="-1"/>
        </w:rPr>
        <w:t xml:space="preserve"> </w:t>
      </w:r>
      <w:r>
        <w:t>and</w:t>
      </w:r>
      <w:r>
        <w:rPr>
          <w:spacing w:val="-3"/>
        </w:rPr>
        <w:t xml:space="preserve"> </w:t>
      </w:r>
      <w:r>
        <w:t>introduction</w:t>
      </w:r>
      <w:r>
        <w:rPr>
          <w:spacing w:val="-3"/>
        </w:rPr>
        <w:t xml:space="preserve"> </w:t>
      </w:r>
      <w:r>
        <w:t>of</w:t>
      </w:r>
      <w:r>
        <w:rPr>
          <w:spacing w:val="-5"/>
        </w:rPr>
        <w:t xml:space="preserve"> </w:t>
      </w:r>
      <w:r>
        <w:t>zero-</w:t>
      </w:r>
      <w:r>
        <w:rPr>
          <w:spacing w:val="-57"/>
        </w:rPr>
        <w:t xml:space="preserve"> </w:t>
      </w:r>
      <w:r>
        <w:t>emission vehicles and vessels, modernisation of energy infrastructure, investment support in</w:t>
      </w:r>
      <w:r>
        <w:rPr>
          <w:spacing w:val="1"/>
        </w:rPr>
        <w:t xml:space="preserve"> </w:t>
      </w:r>
      <w:r>
        <w:t>the</w:t>
      </w:r>
      <w:r>
        <w:rPr>
          <w:spacing w:val="-1"/>
        </w:rPr>
        <w:t xml:space="preserve"> </w:t>
      </w:r>
      <w:r>
        <w:t>production of</w:t>
      </w:r>
      <w:r>
        <w:rPr>
          <w:spacing w:val="-1"/>
        </w:rPr>
        <w:t xml:space="preserve"> </w:t>
      </w:r>
      <w:r>
        <w:t>advanced biofuels</w:t>
      </w:r>
      <w:r>
        <w:rPr>
          <w:spacing w:val="-1"/>
        </w:rPr>
        <w:t xml:space="preserve"> </w:t>
      </w:r>
      <w:r>
        <w:t>and renewable hydrogen, etc.</w:t>
      </w:r>
    </w:p>
    <w:p w:rsidR="00A56FE9" w:rsidRDefault="00000000">
      <w:pPr>
        <w:pStyle w:val="Tijeloteksta"/>
        <w:spacing w:before="120"/>
        <w:ind w:right="281"/>
      </w:pPr>
      <w:r>
        <w:t>The EU stipulates 37%, and Croatia plans to allocate almost 39.19% of funds or HRK 8.88</w:t>
      </w:r>
      <w:r>
        <w:rPr>
          <w:spacing w:val="1"/>
        </w:rPr>
        <w:t xml:space="preserve"> </w:t>
      </w:r>
      <w:r>
        <w:t>billion (EUR 2.54 billion) to achieving the climate goals; the goal of reducing greenhouse gas</w:t>
      </w:r>
      <w:r>
        <w:rPr>
          <w:spacing w:val="1"/>
        </w:rPr>
        <w:t xml:space="preserve"> </w:t>
      </w:r>
      <w:r>
        <w:t>emissions</w:t>
      </w:r>
      <w:r>
        <w:rPr>
          <w:spacing w:val="-1"/>
        </w:rPr>
        <w:t xml:space="preserve"> </w:t>
      </w:r>
      <w:r>
        <w:t>and the goal of</w:t>
      </w:r>
      <w:r>
        <w:rPr>
          <w:spacing w:val="1"/>
        </w:rPr>
        <w:t xml:space="preserve"> </w:t>
      </w:r>
      <w:r>
        <w:t>adapting</w:t>
      </w:r>
      <w:r>
        <w:rPr>
          <w:spacing w:val="-3"/>
        </w:rPr>
        <w:t xml:space="preserve"> </w:t>
      </w:r>
      <w:r>
        <w:t>to</w:t>
      </w:r>
      <w:r>
        <w:rPr>
          <w:spacing w:val="1"/>
        </w:rPr>
        <w:t xml:space="preserve"> </w:t>
      </w:r>
      <w:r>
        <w:t>climate</w:t>
      </w:r>
      <w:r>
        <w:rPr>
          <w:spacing w:val="-1"/>
        </w:rPr>
        <w:t xml:space="preserve"> </w:t>
      </w:r>
      <w:r>
        <w:t>change.</w:t>
      </w: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CC1B9B">
      <w:pPr>
        <w:pStyle w:val="Tijeloteksta"/>
        <w:spacing w:before="6"/>
        <w:ind w:left="0"/>
        <w:jc w:val="left"/>
        <w:rPr>
          <w:sz w:val="28"/>
        </w:rPr>
      </w:pPr>
      <w:r>
        <w:rPr>
          <w:noProof/>
        </w:rPr>
        <mc:AlternateContent>
          <mc:Choice Requires="wps">
            <w:drawing>
              <wp:anchor distT="0" distB="0" distL="0" distR="0" simplePos="0" relativeHeight="487596032" behindDoc="1" locked="0" layoutInCell="1" allowOverlap="1">
                <wp:simplePos x="0" y="0"/>
                <wp:positionH relativeFrom="page">
                  <wp:posOffset>901065</wp:posOffset>
                </wp:positionH>
                <wp:positionV relativeFrom="paragraph">
                  <wp:posOffset>233045</wp:posOffset>
                </wp:positionV>
                <wp:extent cx="1828800" cy="7620"/>
                <wp:effectExtent l="0" t="0" r="0" b="0"/>
                <wp:wrapTopAndBottom/>
                <wp:docPr id="1498188560" name="Rectangle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174C03" id="Rectangle 317" o:spid="_x0000_s1026" style="position:absolute;margin-left:70.95pt;margin-top:18.35pt;width:2in;height:.6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" fillcolor="black" stroked="f">
                <w10:wrap type="topAndBottom" anchorx="page"/>
              </v:rect>
            </w:pict>
          </mc:Fallback>
        </mc:AlternateContent>
      </w:r>
    </w:p>
    <w:p w:rsidR="00A56FE9" w:rsidRDefault="00000000">
      <w:pPr>
        <w:spacing w:before="73"/>
        <w:ind w:left="138"/>
        <w:rPr>
          <w:sz w:val="16"/>
        </w:rPr>
      </w:pPr>
      <w:r>
        <w:rPr>
          <w:sz w:val="16"/>
          <w:vertAlign w:val="superscript"/>
        </w:rPr>
        <w:t>3</w:t>
      </w:r>
      <w:r>
        <w:rPr>
          <w:spacing w:val="-1"/>
          <w:sz w:val="16"/>
        </w:rPr>
        <w:t xml:space="preserve"> </w:t>
      </w:r>
      <w:r>
        <w:rPr>
          <w:sz w:val="16"/>
        </w:rPr>
        <w:t>OG</w:t>
      </w:r>
      <w:r>
        <w:rPr>
          <w:spacing w:val="-4"/>
          <w:sz w:val="16"/>
        </w:rPr>
        <w:t xml:space="preserve"> </w:t>
      </w:r>
      <w:r>
        <w:rPr>
          <w:sz w:val="16"/>
        </w:rPr>
        <w:t>63/21</w:t>
      </w:r>
    </w:p>
    <w:p w:rsidR="00A56FE9" w:rsidRDefault="00000000">
      <w:pPr>
        <w:spacing w:before="1"/>
        <w:ind w:left="138"/>
        <w:rPr>
          <w:sz w:val="16"/>
        </w:rPr>
      </w:pPr>
      <w:r>
        <w:rPr>
          <w:sz w:val="16"/>
          <w:vertAlign w:val="superscript"/>
        </w:rPr>
        <w:t>4</w:t>
      </w:r>
      <w:r>
        <w:rPr>
          <w:spacing w:val="-1"/>
          <w:sz w:val="16"/>
        </w:rPr>
        <w:t xml:space="preserve"> </w:t>
      </w:r>
      <w:r>
        <w:rPr>
          <w:sz w:val="16"/>
        </w:rPr>
        <w:t>OG</w:t>
      </w:r>
      <w:r>
        <w:rPr>
          <w:spacing w:val="-4"/>
          <w:sz w:val="16"/>
        </w:rPr>
        <w:t xml:space="preserve"> </w:t>
      </w:r>
      <w:r>
        <w:rPr>
          <w:sz w:val="16"/>
        </w:rPr>
        <w:t>46/20</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Naslov5"/>
        <w:spacing w:before="79"/>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458845" cy="12700"/>
                <wp:effectExtent l="0" t="0" r="0" b="0"/>
                <wp:docPr id="125725262"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58845" cy="12700"/>
                          <a:chOff x="0" y="0"/>
                          <a:chExt cx="5447" cy="20"/>
                        </a:xfrm>
                      </wpg:grpSpPr>
                      <wps:wsp>
                        <wps:cNvPr id="1658309803" name="Rectangle 316"/>
                        <wps:cNvSpPr>
                          <a:spLocks noChangeArrowheads="1"/>
                        </wps:cNvSpPr>
                        <wps:spPr bwMode="auto">
                          <a:xfrm>
                            <a:off x="0" y="0"/>
                            <a:ext cx="5447"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689ECCB" id="Group 315" o:spid="_x0000_s1026" style="width:272.35pt;height:1pt;mso-position-horizontal-relative:char;mso-position-vertical-relative:line" coordsize="544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">
                <v:rect id="Rectangle 316" o:spid="_x0000_s1027" style="position:absolute;width:544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" fillcolor="#2c398a" stroked="f"/>
                <w10:anchorlock/>
              </v:group>
            </w:pict>
          </mc:Fallback>
        </mc:AlternateContent>
      </w:r>
    </w:p>
    <w:p w:rsidR="00A56FE9" w:rsidRDefault="00000000">
      <w:pPr>
        <w:pStyle w:val="Tijeloteksta"/>
        <w:spacing w:before="154"/>
        <w:ind w:right="273"/>
      </w:pPr>
      <w:r>
        <w:t>The commitment to reduce emissions by 55% at the EU level is implemented jointly by the</w:t>
      </w:r>
      <w:r>
        <w:rPr>
          <w:spacing w:val="1"/>
        </w:rPr>
        <w:t xml:space="preserve"> </w:t>
      </w:r>
      <w:r>
        <w:t>Member States through the EU (Greenhouse Gas) Emissions Trading System (EU ETS). A</w:t>
      </w:r>
      <w:r>
        <w:rPr>
          <w:spacing w:val="1"/>
        </w:rPr>
        <w:t xml:space="preserve"> </w:t>
      </w:r>
      <w:r>
        <w:t>common quota has been established for the EU ETS system and includes 47 plants from the</w:t>
      </w:r>
      <w:r>
        <w:rPr>
          <w:spacing w:val="1"/>
        </w:rPr>
        <w:t xml:space="preserve"> </w:t>
      </w:r>
      <w:r>
        <w:t>Republic</w:t>
      </w:r>
      <w:r>
        <w:rPr>
          <w:spacing w:val="-3"/>
        </w:rPr>
        <w:t xml:space="preserve"> </w:t>
      </w:r>
      <w:r>
        <w:t>of</w:t>
      </w:r>
      <w:r>
        <w:rPr>
          <w:spacing w:val="-1"/>
        </w:rPr>
        <w:t xml:space="preserve"> </w:t>
      </w:r>
      <w:r>
        <w:t>Croatia</w:t>
      </w:r>
      <w:r>
        <w:rPr>
          <w:spacing w:val="-2"/>
        </w:rPr>
        <w:t xml:space="preserve"> </w:t>
      </w:r>
      <w:r>
        <w:t>and</w:t>
      </w:r>
      <w:r>
        <w:rPr>
          <w:spacing w:val="-2"/>
        </w:rPr>
        <w:t xml:space="preserve"> </w:t>
      </w:r>
      <w:r>
        <w:t>two</w:t>
      </w:r>
      <w:r>
        <w:rPr>
          <w:spacing w:val="-1"/>
        </w:rPr>
        <w:t xml:space="preserve"> </w:t>
      </w:r>
      <w:r>
        <w:t>airline</w:t>
      </w:r>
      <w:r>
        <w:rPr>
          <w:spacing w:val="-2"/>
        </w:rPr>
        <w:t xml:space="preserve"> </w:t>
      </w:r>
      <w:r>
        <w:t>companies.</w:t>
      </w:r>
      <w:r>
        <w:rPr>
          <w:spacing w:val="-2"/>
        </w:rPr>
        <w:t xml:space="preserve"> </w:t>
      </w:r>
      <w:r>
        <w:t>Under</w:t>
      </w:r>
      <w:r>
        <w:rPr>
          <w:spacing w:val="-1"/>
        </w:rPr>
        <w:t xml:space="preserve"> </w:t>
      </w:r>
      <w:r>
        <w:t>the</w:t>
      </w:r>
      <w:r>
        <w:rPr>
          <w:spacing w:val="-3"/>
        </w:rPr>
        <w:t xml:space="preserve"> </w:t>
      </w:r>
      <w:r>
        <w:t>EU</w:t>
      </w:r>
      <w:r>
        <w:rPr>
          <w:spacing w:val="-2"/>
        </w:rPr>
        <w:t xml:space="preserve"> </w:t>
      </w:r>
      <w:r>
        <w:t>ETS,</w:t>
      </w:r>
      <w:r>
        <w:rPr>
          <w:spacing w:val="-2"/>
        </w:rPr>
        <w:t xml:space="preserve"> </w:t>
      </w:r>
      <w:r>
        <w:t>the</w:t>
      </w:r>
      <w:r>
        <w:rPr>
          <w:spacing w:val="-2"/>
        </w:rPr>
        <w:t xml:space="preserve"> </w:t>
      </w:r>
      <w:r>
        <w:t>respective</w:t>
      </w:r>
      <w:r>
        <w:rPr>
          <w:spacing w:val="-1"/>
        </w:rPr>
        <w:t xml:space="preserve"> </w:t>
      </w:r>
      <w:r>
        <w:t>installations</w:t>
      </w:r>
      <w:r>
        <w:rPr>
          <w:spacing w:val="-58"/>
        </w:rPr>
        <w:t xml:space="preserve"> </w:t>
      </w:r>
      <w:r>
        <w:t>must</w:t>
      </w:r>
      <w:r>
        <w:rPr>
          <w:spacing w:val="-11"/>
        </w:rPr>
        <w:t xml:space="preserve"> </w:t>
      </w:r>
      <w:r>
        <w:t>align</w:t>
      </w:r>
      <w:r>
        <w:rPr>
          <w:spacing w:val="-11"/>
        </w:rPr>
        <w:t xml:space="preserve"> </w:t>
      </w:r>
      <w:r>
        <w:t>their</w:t>
      </w:r>
      <w:r>
        <w:rPr>
          <w:spacing w:val="-10"/>
        </w:rPr>
        <w:t xml:space="preserve"> </w:t>
      </w:r>
      <w:r>
        <w:t>operations</w:t>
      </w:r>
      <w:r>
        <w:rPr>
          <w:spacing w:val="-10"/>
        </w:rPr>
        <w:t xml:space="preserve"> </w:t>
      </w:r>
      <w:r>
        <w:t>to</w:t>
      </w:r>
      <w:r>
        <w:rPr>
          <w:spacing w:val="-11"/>
        </w:rPr>
        <w:t xml:space="preserve"> </w:t>
      </w:r>
      <w:r>
        <w:t>greenhouse</w:t>
      </w:r>
      <w:r>
        <w:rPr>
          <w:spacing w:val="-10"/>
        </w:rPr>
        <w:t xml:space="preserve"> </w:t>
      </w:r>
      <w:r>
        <w:t>gas</w:t>
      </w:r>
      <w:r>
        <w:rPr>
          <w:spacing w:val="-9"/>
        </w:rPr>
        <w:t xml:space="preserve"> </w:t>
      </w:r>
      <w:r>
        <w:t>emissions</w:t>
      </w:r>
      <w:r>
        <w:rPr>
          <w:spacing w:val="-11"/>
        </w:rPr>
        <w:t xml:space="preserve"> </w:t>
      </w:r>
      <w:r>
        <w:t>(GHG)</w:t>
      </w:r>
      <w:r>
        <w:rPr>
          <w:spacing w:val="-10"/>
        </w:rPr>
        <w:t xml:space="preserve"> </w:t>
      </w:r>
      <w:r>
        <w:t>benchmarks.</w:t>
      </w:r>
      <w:r>
        <w:rPr>
          <w:spacing w:val="-10"/>
        </w:rPr>
        <w:t xml:space="preserve"> </w:t>
      </w:r>
      <w:r>
        <w:t>The</w:t>
      </w:r>
      <w:r>
        <w:rPr>
          <w:spacing w:val="-12"/>
        </w:rPr>
        <w:t xml:space="preserve"> </w:t>
      </w:r>
      <w:r>
        <w:t>measures</w:t>
      </w:r>
      <w:r>
        <w:rPr>
          <w:spacing w:val="-11"/>
        </w:rPr>
        <w:t xml:space="preserve"> </w:t>
      </w:r>
      <w:r>
        <w:t>that</w:t>
      </w:r>
      <w:r>
        <w:rPr>
          <w:spacing w:val="-58"/>
        </w:rPr>
        <w:t xml:space="preserve"> </w:t>
      </w:r>
      <w:r>
        <w:t>can be implemented by the plant operators are financed from the European Structural and</w:t>
      </w:r>
      <w:r>
        <w:rPr>
          <w:spacing w:val="1"/>
        </w:rPr>
        <w:t xml:space="preserve"> </w:t>
      </w:r>
      <w:r>
        <w:t>Investment Funds, the Innovation and Modernisation Fund, the Just Transition Fund and</w:t>
      </w:r>
      <w:r>
        <w:rPr>
          <w:spacing w:val="1"/>
        </w:rPr>
        <w:t xml:space="preserve"> </w:t>
      </w:r>
      <w:r>
        <w:t>financial</w:t>
      </w:r>
      <w:r>
        <w:rPr>
          <w:spacing w:val="-1"/>
        </w:rPr>
        <w:t xml:space="preserve"> </w:t>
      </w:r>
      <w:r>
        <w:t>resources from</w:t>
      </w:r>
      <w:r>
        <w:rPr>
          <w:spacing w:val="3"/>
        </w:rPr>
        <w:t xml:space="preserve"> </w:t>
      </w:r>
      <w:r>
        <w:t>the</w:t>
      </w:r>
      <w:r>
        <w:rPr>
          <w:spacing w:val="-1"/>
        </w:rPr>
        <w:t xml:space="preserve"> </w:t>
      </w:r>
      <w:r>
        <w:t>auctioning</w:t>
      </w:r>
      <w:r>
        <w:rPr>
          <w:spacing w:val="-2"/>
        </w:rPr>
        <w:t xml:space="preserve"> </w:t>
      </w:r>
      <w:r>
        <w:t>of greenhouse</w:t>
      </w:r>
      <w:r>
        <w:rPr>
          <w:spacing w:val="-1"/>
        </w:rPr>
        <w:t xml:space="preserve"> </w:t>
      </w:r>
      <w:r>
        <w:t>gas</w:t>
      </w:r>
      <w:r>
        <w:rPr>
          <w:spacing w:val="-1"/>
        </w:rPr>
        <w:t xml:space="preserve"> </w:t>
      </w:r>
      <w:r>
        <w:t>emission allowances.</w:t>
      </w:r>
    </w:p>
    <w:p w:rsidR="00A56FE9" w:rsidRDefault="00000000">
      <w:pPr>
        <w:pStyle w:val="Tijeloteksta"/>
        <w:spacing w:before="120"/>
        <w:ind w:right="279"/>
      </w:pPr>
      <w:r>
        <w:t>Due to the EU’s increased climate ambition, the EU ETS includes three levels of sectors,</w:t>
      </w:r>
      <w:r>
        <w:rPr>
          <w:spacing w:val="1"/>
        </w:rPr>
        <w:t xml:space="preserve"> </w:t>
      </w:r>
      <w:r>
        <w:rPr>
          <w:spacing w:val="-1"/>
        </w:rPr>
        <w:t>maritime,</w:t>
      </w:r>
      <w:r>
        <w:rPr>
          <w:spacing w:val="-15"/>
        </w:rPr>
        <w:t xml:space="preserve"> </w:t>
      </w:r>
      <w:r>
        <w:rPr>
          <w:spacing w:val="-1"/>
        </w:rPr>
        <w:t>buildings</w:t>
      </w:r>
      <w:r>
        <w:rPr>
          <w:spacing w:val="-12"/>
        </w:rPr>
        <w:t xml:space="preserve"> </w:t>
      </w:r>
      <w:r>
        <w:t>and</w:t>
      </w:r>
      <w:r>
        <w:rPr>
          <w:spacing w:val="-14"/>
        </w:rPr>
        <w:t xml:space="preserve"> </w:t>
      </w:r>
      <w:r>
        <w:t>road</w:t>
      </w:r>
      <w:r>
        <w:rPr>
          <w:spacing w:val="-15"/>
        </w:rPr>
        <w:t xml:space="preserve"> </w:t>
      </w:r>
      <w:r>
        <w:t>transport.</w:t>
      </w:r>
      <w:r>
        <w:rPr>
          <w:spacing w:val="-12"/>
        </w:rPr>
        <w:t xml:space="preserve"> </w:t>
      </w:r>
      <w:r>
        <w:t>Moreover,</w:t>
      </w:r>
      <w:r>
        <w:rPr>
          <w:spacing w:val="-12"/>
        </w:rPr>
        <w:t xml:space="preserve"> </w:t>
      </w:r>
      <w:r>
        <w:t>a</w:t>
      </w:r>
      <w:r>
        <w:rPr>
          <w:spacing w:val="-14"/>
        </w:rPr>
        <w:t xml:space="preserve"> </w:t>
      </w:r>
      <w:r>
        <w:t>mechanism</w:t>
      </w:r>
      <w:r>
        <w:rPr>
          <w:spacing w:val="-14"/>
        </w:rPr>
        <w:t xml:space="preserve"> </w:t>
      </w:r>
      <w:r>
        <w:t>for</w:t>
      </w:r>
      <w:r>
        <w:rPr>
          <w:spacing w:val="-13"/>
        </w:rPr>
        <w:t xml:space="preserve"> </w:t>
      </w:r>
      <w:r>
        <w:t>regulating</w:t>
      </w:r>
      <w:r>
        <w:rPr>
          <w:spacing w:val="-15"/>
        </w:rPr>
        <w:t xml:space="preserve"> </w:t>
      </w:r>
      <w:r>
        <w:t>carbon</w:t>
      </w:r>
      <w:r>
        <w:rPr>
          <w:spacing w:val="-15"/>
        </w:rPr>
        <w:t xml:space="preserve"> </w:t>
      </w:r>
      <w:r>
        <w:t>at</w:t>
      </w:r>
      <w:r>
        <w:rPr>
          <w:spacing w:val="-12"/>
        </w:rPr>
        <w:t xml:space="preserve"> </w:t>
      </w:r>
      <w:r>
        <w:t>borders</w:t>
      </w:r>
      <w:r>
        <w:rPr>
          <w:spacing w:val="-57"/>
        </w:rPr>
        <w:t xml:space="preserve"> </w:t>
      </w:r>
      <w:r>
        <w:t>is currently being introduced. MESD will carry out activities to assist economic entities in</w:t>
      </w:r>
      <w:r>
        <w:rPr>
          <w:spacing w:val="1"/>
        </w:rPr>
        <w:t xml:space="preserve"> </w:t>
      </w:r>
      <w:r>
        <w:t>meeting</w:t>
      </w:r>
      <w:r>
        <w:rPr>
          <w:spacing w:val="-4"/>
        </w:rPr>
        <w:t xml:space="preserve"> </w:t>
      </w:r>
      <w:r>
        <w:t>their</w:t>
      </w:r>
      <w:r>
        <w:rPr>
          <w:spacing w:val="-1"/>
        </w:rPr>
        <w:t xml:space="preserve"> </w:t>
      </w:r>
      <w:r>
        <w:t>new complex</w:t>
      </w:r>
      <w:r>
        <w:rPr>
          <w:spacing w:val="2"/>
        </w:rPr>
        <w:t xml:space="preserve"> </w:t>
      </w:r>
      <w:r>
        <w:t>obligations.</w:t>
      </w:r>
    </w:p>
    <w:p w:rsidR="00A56FE9" w:rsidRDefault="00000000">
      <w:pPr>
        <w:pStyle w:val="Tijeloteksta"/>
        <w:spacing w:before="121"/>
        <w:ind w:right="273"/>
      </w:pPr>
      <w:r>
        <w:t>The new target for limiting increases in greenhouse gas emissions for Croatia from 2021 is -</w:t>
      </w:r>
      <w:r>
        <w:rPr>
          <w:spacing w:val="1"/>
        </w:rPr>
        <w:t xml:space="preserve"> </w:t>
      </w:r>
      <w:r>
        <w:t>7%</w:t>
      </w:r>
      <w:r>
        <w:rPr>
          <w:spacing w:val="-5"/>
        </w:rPr>
        <w:t xml:space="preserve"> </w:t>
      </w:r>
      <w:r>
        <w:t>compared</w:t>
      </w:r>
      <w:r>
        <w:rPr>
          <w:spacing w:val="-4"/>
        </w:rPr>
        <w:t xml:space="preserve"> </w:t>
      </w:r>
      <w:r>
        <w:t>to</w:t>
      </w:r>
      <w:r>
        <w:rPr>
          <w:spacing w:val="-2"/>
        </w:rPr>
        <w:t xml:space="preserve"> </w:t>
      </w:r>
      <w:r>
        <w:t>the</w:t>
      </w:r>
      <w:r>
        <w:rPr>
          <w:spacing w:val="-4"/>
        </w:rPr>
        <w:t xml:space="preserve"> </w:t>
      </w:r>
      <w:r>
        <w:t>2005</w:t>
      </w:r>
      <w:r>
        <w:rPr>
          <w:spacing w:val="-3"/>
        </w:rPr>
        <w:t xml:space="preserve"> </w:t>
      </w:r>
      <w:r>
        <w:t>level.</w:t>
      </w:r>
      <w:r>
        <w:rPr>
          <w:spacing w:val="-3"/>
        </w:rPr>
        <w:t xml:space="preserve"> </w:t>
      </w:r>
      <w:r>
        <w:t>That</w:t>
      </w:r>
      <w:r>
        <w:rPr>
          <w:spacing w:val="-2"/>
        </w:rPr>
        <w:t xml:space="preserve"> </w:t>
      </w:r>
      <w:r>
        <w:t>target</w:t>
      </w:r>
      <w:r>
        <w:rPr>
          <w:spacing w:val="-3"/>
        </w:rPr>
        <w:t xml:space="preserve"> </w:t>
      </w:r>
      <w:r>
        <w:t>is</w:t>
      </w:r>
      <w:r>
        <w:rPr>
          <w:spacing w:val="2"/>
        </w:rPr>
        <w:t xml:space="preserve"> </w:t>
      </w:r>
      <w:r>
        <w:t>going</w:t>
      </w:r>
      <w:r>
        <w:rPr>
          <w:spacing w:val="-6"/>
        </w:rPr>
        <w:t xml:space="preserve"> </w:t>
      </w:r>
      <w:r>
        <w:t>to</w:t>
      </w:r>
      <w:r>
        <w:rPr>
          <w:spacing w:val="-3"/>
        </w:rPr>
        <w:t xml:space="preserve"> </w:t>
      </w:r>
      <w:r>
        <w:t>be</w:t>
      </w:r>
      <w:r>
        <w:rPr>
          <w:spacing w:val="-1"/>
        </w:rPr>
        <w:t xml:space="preserve"> </w:t>
      </w:r>
      <w:r>
        <w:t>boosted</w:t>
      </w:r>
      <w:r>
        <w:rPr>
          <w:spacing w:val="-4"/>
        </w:rPr>
        <w:t xml:space="preserve"> </w:t>
      </w:r>
      <w:r>
        <w:t>to</w:t>
      </w:r>
      <w:r>
        <w:rPr>
          <w:spacing w:val="-2"/>
        </w:rPr>
        <w:t xml:space="preserve"> </w:t>
      </w:r>
      <w:r>
        <w:t>-16.7%</w:t>
      </w:r>
      <w:r>
        <w:rPr>
          <w:spacing w:val="-5"/>
        </w:rPr>
        <w:t xml:space="preserve"> </w:t>
      </w:r>
      <w:r>
        <w:t>based</w:t>
      </w:r>
      <w:r>
        <w:rPr>
          <w:spacing w:val="-3"/>
        </w:rPr>
        <w:t xml:space="preserve"> </w:t>
      </w:r>
      <w:r>
        <w:t>on</w:t>
      </w:r>
      <w:r>
        <w:rPr>
          <w:spacing w:val="-4"/>
        </w:rPr>
        <w:t xml:space="preserve"> </w:t>
      </w:r>
      <w:r>
        <w:t>the</w:t>
      </w:r>
      <w:r>
        <w:rPr>
          <w:spacing w:val="-4"/>
        </w:rPr>
        <w:t xml:space="preserve"> </w:t>
      </w:r>
      <w:r>
        <w:t>EU's</w:t>
      </w:r>
      <w:r>
        <w:rPr>
          <w:spacing w:val="-58"/>
        </w:rPr>
        <w:t xml:space="preserve"> </w:t>
      </w:r>
      <w:r>
        <w:t>new ambitious common climate targets. Based on this goal, an annual national quota that must</w:t>
      </w:r>
      <w:r>
        <w:rPr>
          <w:spacing w:val="-58"/>
        </w:rPr>
        <w:t xml:space="preserve"> </w:t>
      </w:r>
      <w:r>
        <w:t>not</w:t>
      </w:r>
      <w:r>
        <w:rPr>
          <w:spacing w:val="-1"/>
        </w:rPr>
        <w:t xml:space="preserve"> </w:t>
      </w:r>
      <w:r>
        <w:t>be exceeded is set for</w:t>
      </w:r>
      <w:r>
        <w:rPr>
          <w:spacing w:val="1"/>
        </w:rPr>
        <w:t xml:space="preserve"> </w:t>
      </w:r>
      <w:r>
        <w:t>the</w:t>
      </w:r>
      <w:r>
        <w:rPr>
          <w:spacing w:val="-1"/>
        </w:rPr>
        <w:t xml:space="preserve"> </w:t>
      </w:r>
      <w:r>
        <w:t>Member</w:t>
      </w:r>
      <w:r>
        <w:rPr>
          <w:spacing w:val="-2"/>
        </w:rPr>
        <w:t xml:space="preserve"> </w:t>
      </w:r>
      <w:r>
        <w:t>States and</w:t>
      </w:r>
      <w:r>
        <w:rPr>
          <w:spacing w:val="2"/>
        </w:rPr>
        <w:t xml:space="preserve"> </w:t>
      </w:r>
      <w:r>
        <w:t>Croatia.</w:t>
      </w:r>
    </w:p>
    <w:p w:rsidR="00A56FE9" w:rsidRDefault="00000000">
      <w:pPr>
        <w:pStyle w:val="Tijeloteksta"/>
        <w:spacing w:before="120"/>
        <w:ind w:right="274"/>
      </w:pPr>
      <w:r>
        <w:t>The Act on Climate Change and Ozone Layer Protection</w:t>
      </w:r>
      <w:r>
        <w:rPr>
          <w:vertAlign w:val="superscript"/>
        </w:rPr>
        <w:t>5</w:t>
      </w:r>
      <w:r>
        <w:t xml:space="preserve"> regulates the fulfilment of Croatia's</w:t>
      </w:r>
      <w:r>
        <w:rPr>
          <w:spacing w:val="1"/>
        </w:rPr>
        <w:t xml:space="preserve"> </w:t>
      </w:r>
      <w:r>
        <w:t>obligations to retain emissions within the annual national quota for sectors outside the trading</w:t>
      </w:r>
      <w:r>
        <w:rPr>
          <w:spacing w:val="1"/>
        </w:rPr>
        <w:t xml:space="preserve"> </w:t>
      </w:r>
      <w:r>
        <w:t>system.</w:t>
      </w:r>
      <w:r>
        <w:rPr>
          <w:spacing w:val="1"/>
        </w:rPr>
        <w:t xml:space="preserve"> </w:t>
      </w:r>
      <w:r>
        <w:t>The</w:t>
      </w:r>
      <w:r>
        <w:rPr>
          <w:spacing w:val="1"/>
        </w:rPr>
        <w:t xml:space="preserve"> </w:t>
      </w:r>
      <w:r>
        <w:t>Act</w:t>
      </w:r>
      <w:r>
        <w:rPr>
          <w:spacing w:val="1"/>
        </w:rPr>
        <w:t xml:space="preserve"> </w:t>
      </w:r>
      <w:r>
        <w:t>also</w:t>
      </w:r>
      <w:r>
        <w:rPr>
          <w:spacing w:val="1"/>
        </w:rPr>
        <w:t xml:space="preserve"> </w:t>
      </w:r>
      <w:r>
        <w:t>stipulates</w:t>
      </w:r>
      <w:r>
        <w:rPr>
          <w:spacing w:val="1"/>
        </w:rPr>
        <w:t xml:space="preserve"> </w:t>
      </w:r>
      <w:r>
        <w:t>jurisdiction</w:t>
      </w:r>
      <w:r>
        <w:rPr>
          <w:spacing w:val="1"/>
        </w:rPr>
        <w:t xml:space="preserve"> </w:t>
      </w:r>
      <w:r>
        <w:t>over</w:t>
      </w:r>
      <w:r>
        <w:rPr>
          <w:spacing w:val="1"/>
        </w:rPr>
        <w:t xml:space="preserve"> </w:t>
      </w:r>
      <w:r>
        <w:t>sectoral</w:t>
      </w:r>
      <w:r>
        <w:rPr>
          <w:spacing w:val="1"/>
        </w:rPr>
        <w:t xml:space="preserve"> </w:t>
      </w:r>
      <w:r>
        <w:t>emissions</w:t>
      </w:r>
      <w:r>
        <w:rPr>
          <w:spacing w:val="1"/>
        </w:rPr>
        <w:t xml:space="preserve"> </w:t>
      </w:r>
      <w:r>
        <w:t>and</w:t>
      </w:r>
      <w:r>
        <w:rPr>
          <w:spacing w:val="1"/>
        </w:rPr>
        <w:t xml:space="preserve"> </w:t>
      </w:r>
      <w:r>
        <w:t>competent</w:t>
      </w:r>
      <w:r>
        <w:rPr>
          <w:spacing w:val="1"/>
        </w:rPr>
        <w:t xml:space="preserve"> </w:t>
      </w:r>
      <w:r>
        <w:t>state</w:t>
      </w:r>
      <w:r>
        <w:rPr>
          <w:spacing w:val="-57"/>
        </w:rPr>
        <w:t xml:space="preserve"> </w:t>
      </w:r>
      <w:r>
        <w:t>administration</w:t>
      </w:r>
      <w:r>
        <w:rPr>
          <w:spacing w:val="-9"/>
        </w:rPr>
        <w:t xml:space="preserve"> </w:t>
      </w:r>
      <w:r>
        <w:t>bodies.</w:t>
      </w:r>
      <w:r>
        <w:rPr>
          <w:spacing w:val="-8"/>
        </w:rPr>
        <w:t xml:space="preserve"> </w:t>
      </w:r>
      <w:r>
        <w:t>The</w:t>
      </w:r>
      <w:r>
        <w:rPr>
          <w:spacing w:val="-10"/>
        </w:rPr>
        <w:t xml:space="preserve"> </w:t>
      </w:r>
      <w:r>
        <w:t>MESD</w:t>
      </w:r>
      <w:r>
        <w:rPr>
          <w:spacing w:val="-7"/>
        </w:rPr>
        <w:t xml:space="preserve"> </w:t>
      </w:r>
      <w:r>
        <w:t>monitors</w:t>
      </w:r>
      <w:r>
        <w:rPr>
          <w:spacing w:val="-9"/>
        </w:rPr>
        <w:t xml:space="preserve"> </w:t>
      </w:r>
      <w:r>
        <w:t>the</w:t>
      </w:r>
      <w:r>
        <w:rPr>
          <w:spacing w:val="-9"/>
        </w:rPr>
        <w:t xml:space="preserve"> </w:t>
      </w:r>
      <w:r>
        <w:t>implementation</w:t>
      </w:r>
      <w:r>
        <w:rPr>
          <w:spacing w:val="-8"/>
        </w:rPr>
        <w:t xml:space="preserve"> </w:t>
      </w:r>
      <w:r>
        <w:t>of</w:t>
      </w:r>
      <w:r>
        <w:rPr>
          <w:spacing w:val="-8"/>
        </w:rPr>
        <w:t xml:space="preserve"> </w:t>
      </w:r>
      <w:r>
        <w:t>this</w:t>
      </w:r>
      <w:r>
        <w:rPr>
          <w:spacing w:val="-8"/>
        </w:rPr>
        <w:t xml:space="preserve"> </w:t>
      </w:r>
      <w:r>
        <w:t>obligation</w:t>
      </w:r>
      <w:r>
        <w:rPr>
          <w:spacing w:val="-9"/>
        </w:rPr>
        <w:t xml:space="preserve"> </w:t>
      </w:r>
      <w:r>
        <w:t>and</w:t>
      </w:r>
      <w:r>
        <w:rPr>
          <w:spacing w:val="-8"/>
        </w:rPr>
        <w:t xml:space="preserve"> </w:t>
      </w:r>
      <w:r>
        <w:t>proposes</w:t>
      </w:r>
      <w:r>
        <w:rPr>
          <w:spacing w:val="-58"/>
        </w:rPr>
        <w:t xml:space="preserve"> </w:t>
      </w:r>
      <w:r>
        <w:t>additional</w:t>
      </w:r>
      <w:r>
        <w:rPr>
          <w:spacing w:val="-1"/>
        </w:rPr>
        <w:t xml:space="preserve"> </w:t>
      </w:r>
      <w:r>
        <w:t>measures if necessary.</w:t>
      </w:r>
    </w:p>
    <w:p w:rsidR="00A56FE9" w:rsidRDefault="00000000">
      <w:pPr>
        <w:pStyle w:val="Tijeloteksta"/>
        <w:spacing w:before="121"/>
        <w:ind w:right="271"/>
      </w:pPr>
      <w:r>
        <w:t>Monitoring the fulfilment of the obligations shall take place on an annual basis in line with the</w:t>
      </w:r>
      <w:r>
        <w:rPr>
          <w:spacing w:val="-58"/>
        </w:rPr>
        <w:t xml:space="preserve"> </w:t>
      </w:r>
      <w:r>
        <w:t>procedures laid down in Regulation (EU) No 1999/2018 on the Governance of the Energy</w:t>
      </w:r>
      <w:r>
        <w:rPr>
          <w:spacing w:val="1"/>
        </w:rPr>
        <w:t xml:space="preserve"> </w:t>
      </w:r>
      <w:r>
        <w:t>Union and Climate Action, which sets the preparation and submission to the EC of the</w:t>
      </w:r>
      <w:r>
        <w:rPr>
          <w:spacing w:val="1"/>
        </w:rPr>
        <w:t xml:space="preserve"> </w:t>
      </w:r>
      <w:r>
        <w:t>Greenhouse Gas Inventory Report, the auditing of the Report by EC experts, jointly setting</w:t>
      </w:r>
      <w:r>
        <w:rPr>
          <w:spacing w:val="1"/>
        </w:rPr>
        <w:t xml:space="preserve"> </w:t>
      </w:r>
      <w:r>
        <w:t>emission levels for total emissions in the country and publication of the Decision on Emission</w:t>
      </w:r>
      <w:r>
        <w:rPr>
          <w:spacing w:val="-57"/>
        </w:rPr>
        <w:t xml:space="preserve"> </w:t>
      </w:r>
      <w:r>
        <w:t>Levels in Sectors Outside the Trading System. In 2022, the MESD plans to improve the GHG</w:t>
      </w:r>
      <w:r>
        <w:rPr>
          <w:spacing w:val="1"/>
        </w:rPr>
        <w:t xml:space="preserve"> </w:t>
      </w:r>
      <w:r>
        <w:t>Inventory</w:t>
      </w:r>
      <w:r>
        <w:rPr>
          <w:spacing w:val="-6"/>
        </w:rPr>
        <w:t xml:space="preserve"> </w:t>
      </w:r>
      <w:r>
        <w:t>system to meet</w:t>
      </w:r>
      <w:r>
        <w:rPr>
          <w:spacing w:val="2"/>
        </w:rPr>
        <w:t xml:space="preserve"> </w:t>
      </w:r>
      <w:r>
        <w:t>the obligations</w:t>
      </w:r>
      <w:r>
        <w:rPr>
          <w:spacing w:val="1"/>
        </w:rPr>
        <w:t xml:space="preserve"> </w:t>
      </w:r>
      <w:r>
        <w:t>of</w:t>
      </w:r>
      <w:r>
        <w:rPr>
          <w:spacing w:val="-1"/>
        </w:rPr>
        <w:t xml:space="preserve"> </w:t>
      </w:r>
      <w:r>
        <w:t>EU</w:t>
      </w:r>
      <w:r>
        <w:rPr>
          <w:spacing w:val="-1"/>
        </w:rPr>
        <w:t xml:space="preserve"> </w:t>
      </w:r>
      <w:r>
        <w:t>legislation.</w:t>
      </w:r>
    </w:p>
    <w:p w:rsidR="00A56FE9" w:rsidRDefault="00000000">
      <w:pPr>
        <w:spacing w:before="120"/>
        <w:ind w:left="138" w:right="275"/>
        <w:jc w:val="both"/>
        <w:rPr>
          <w:sz w:val="24"/>
        </w:rPr>
      </w:pPr>
      <w:r>
        <w:rPr>
          <w:sz w:val="24"/>
        </w:rPr>
        <w:t>In</w:t>
      </w:r>
      <w:r>
        <w:rPr>
          <w:spacing w:val="-9"/>
          <w:sz w:val="24"/>
        </w:rPr>
        <w:t xml:space="preserve"> </w:t>
      </w:r>
      <w:r>
        <w:rPr>
          <w:sz w:val="24"/>
        </w:rPr>
        <w:t>2022,</w:t>
      </w:r>
      <w:r>
        <w:rPr>
          <w:spacing w:val="-11"/>
          <w:sz w:val="24"/>
        </w:rPr>
        <w:t xml:space="preserve"> </w:t>
      </w:r>
      <w:r>
        <w:rPr>
          <w:sz w:val="24"/>
        </w:rPr>
        <w:t>the</w:t>
      </w:r>
      <w:r>
        <w:rPr>
          <w:spacing w:val="-8"/>
          <w:sz w:val="24"/>
        </w:rPr>
        <w:t xml:space="preserve"> </w:t>
      </w:r>
      <w:r>
        <w:rPr>
          <w:sz w:val="24"/>
        </w:rPr>
        <w:t>plan</w:t>
      </w:r>
      <w:r>
        <w:rPr>
          <w:spacing w:val="-9"/>
          <w:sz w:val="24"/>
        </w:rPr>
        <w:t xml:space="preserve"> </w:t>
      </w:r>
      <w:r>
        <w:rPr>
          <w:sz w:val="24"/>
        </w:rPr>
        <w:t>is</w:t>
      </w:r>
      <w:r>
        <w:rPr>
          <w:spacing w:val="-10"/>
          <w:sz w:val="24"/>
        </w:rPr>
        <w:t xml:space="preserve"> </w:t>
      </w:r>
      <w:r>
        <w:rPr>
          <w:sz w:val="24"/>
        </w:rPr>
        <w:t>to</w:t>
      </w:r>
      <w:r>
        <w:rPr>
          <w:spacing w:val="-11"/>
          <w:sz w:val="24"/>
        </w:rPr>
        <w:t xml:space="preserve"> </w:t>
      </w:r>
      <w:r>
        <w:rPr>
          <w:sz w:val="24"/>
        </w:rPr>
        <w:t>adopt</w:t>
      </w:r>
      <w:r>
        <w:rPr>
          <w:spacing w:val="-9"/>
          <w:sz w:val="24"/>
        </w:rPr>
        <w:t xml:space="preserve"> </w:t>
      </w:r>
      <w:r>
        <w:rPr>
          <w:sz w:val="24"/>
        </w:rPr>
        <w:t>the</w:t>
      </w:r>
      <w:r>
        <w:rPr>
          <w:spacing w:val="-12"/>
          <w:sz w:val="24"/>
        </w:rPr>
        <w:t xml:space="preserve"> </w:t>
      </w:r>
      <w:r>
        <w:rPr>
          <w:b/>
          <w:sz w:val="24"/>
        </w:rPr>
        <w:t>Action</w:t>
      </w:r>
      <w:r>
        <w:rPr>
          <w:b/>
          <w:spacing w:val="-7"/>
          <w:sz w:val="24"/>
        </w:rPr>
        <w:t xml:space="preserve"> </w:t>
      </w:r>
      <w:r>
        <w:rPr>
          <w:b/>
          <w:sz w:val="24"/>
        </w:rPr>
        <w:t>Plan</w:t>
      </w:r>
      <w:r>
        <w:rPr>
          <w:b/>
          <w:spacing w:val="-10"/>
          <w:sz w:val="24"/>
        </w:rPr>
        <w:t xml:space="preserve"> </w:t>
      </w:r>
      <w:r>
        <w:rPr>
          <w:b/>
          <w:sz w:val="24"/>
        </w:rPr>
        <w:t>for</w:t>
      </w:r>
      <w:r>
        <w:rPr>
          <w:b/>
          <w:spacing w:val="-11"/>
          <w:sz w:val="24"/>
        </w:rPr>
        <w:t xml:space="preserve"> </w:t>
      </w:r>
      <w:r>
        <w:rPr>
          <w:b/>
          <w:sz w:val="24"/>
        </w:rPr>
        <w:t>the</w:t>
      </w:r>
      <w:r>
        <w:rPr>
          <w:b/>
          <w:spacing w:val="-11"/>
          <w:sz w:val="24"/>
        </w:rPr>
        <w:t xml:space="preserve"> </w:t>
      </w:r>
      <w:r>
        <w:rPr>
          <w:b/>
          <w:sz w:val="24"/>
        </w:rPr>
        <w:t>Operational</w:t>
      </w:r>
      <w:r>
        <w:rPr>
          <w:b/>
          <w:spacing w:val="-9"/>
          <w:sz w:val="24"/>
        </w:rPr>
        <w:t xml:space="preserve"> </w:t>
      </w:r>
      <w:r>
        <w:rPr>
          <w:b/>
          <w:sz w:val="24"/>
        </w:rPr>
        <w:t>Implementation</w:t>
      </w:r>
      <w:r>
        <w:rPr>
          <w:b/>
          <w:spacing w:val="-10"/>
          <w:sz w:val="24"/>
        </w:rPr>
        <w:t xml:space="preserve"> </w:t>
      </w:r>
      <w:r>
        <w:rPr>
          <w:b/>
          <w:sz w:val="24"/>
        </w:rPr>
        <w:t>of</w:t>
      </w:r>
      <w:r>
        <w:rPr>
          <w:b/>
          <w:spacing w:val="-9"/>
          <w:sz w:val="24"/>
        </w:rPr>
        <w:t xml:space="preserve"> </w:t>
      </w:r>
      <w:r>
        <w:rPr>
          <w:b/>
          <w:sz w:val="24"/>
        </w:rPr>
        <w:t>the</w:t>
      </w:r>
      <w:r>
        <w:rPr>
          <w:b/>
          <w:spacing w:val="-12"/>
          <w:sz w:val="24"/>
        </w:rPr>
        <w:t xml:space="preserve"> </w:t>
      </w:r>
      <w:r>
        <w:rPr>
          <w:b/>
          <w:sz w:val="24"/>
        </w:rPr>
        <w:t>Low</w:t>
      </w:r>
      <w:r>
        <w:rPr>
          <w:b/>
          <w:spacing w:val="-57"/>
          <w:sz w:val="24"/>
        </w:rPr>
        <w:t xml:space="preserve"> </w:t>
      </w:r>
      <w:r>
        <w:rPr>
          <w:b/>
          <w:sz w:val="24"/>
        </w:rPr>
        <w:t>Carbon Development Strategy for a period of five years</w:t>
      </w:r>
      <w:r>
        <w:rPr>
          <w:sz w:val="24"/>
        </w:rPr>
        <w:t>, with new ambitious goals for</w:t>
      </w:r>
      <w:r>
        <w:rPr>
          <w:spacing w:val="1"/>
          <w:sz w:val="24"/>
        </w:rPr>
        <w:t xml:space="preserve"> </w:t>
      </w:r>
      <w:r>
        <w:rPr>
          <w:sz w:val="24"/>
        </w:rPr>
        <w:t>reducing</w:t>
      </w:r>
      <w:r>
        <w:rPr>
          <w:spacing w:val="-11"/>
          <w:sz w:val="24"/>
        </w:rPr>
        <w:t xml:space="preserve"> </w:t>
      </w:r>
      <w:r>
        <w:rPr>
          <w:sz w:val="24"/>
        </w:rPr>
        <w:t>greenhouse</w:t>
      </w:r>
      <w:r>
        <w:rPr>
          <w:spacing w:val="-8"/>
          <w:sz w:val="24"/>
        </w:rPr>
        <w:t xml:space="preserve"> </w:t>
      </w:r>
      <w:r>
        <w:rPr>
          <w:sz w:val="24"/>
        </w:rPr>
        <w:t>gas</w:t>
      </w:r>
      <w:r>
        <w:rPr>
          <w:spacing w:val="-7"/>
          <w:sz w:val="24"/>
        </w:rPr>
        <w:t xml:space="preserve"> </w:t>
      </w:r>
      <w:r>
        <w:rPr>
          <w:sz w:val="24"/>
        </w:rPr>
        <w:t>emissions</w:t>
      </w:r>
      <w:r>
        <w:rPr>
          <w:spacing w:val="-9"/>
          <w:sz w:val="24"/>
        </w:rPr>
        <w:t xml:space="preserve"> </w:t>
      </w:r>
      <w:r>
        <w:rPr>
          <w:sz w:val="24"/>
        </w:rPr>
        <w:t>and</w:t>
      </w:r>
      <w:r>
        <w:rPr>
          <w:spacing w:val="-8"/>
          <w:sz w:val="24"/>
        </w:rPr>
        <w:t xml:space="preserve"> </w:t>
      </w:r>
      <w:r>
        <w:rPr>
          <w:sz w:val="24"/>
        </w:rPr>
        <w:t>the</w:t>
      </w:r>
      <w:r>
        <w:rPr>
          <w:spacing w:val="-10"/>
          <w:sz w:val="24"/>
        </w:rPr>
        <w:t xml:space="preserve"> </w:t>
      </w:r>
      <w:r>
        <w:rPr>
          <w:b/>
          <w:sz w:val="24"/>
        </w:rPr>
        <w:t>Action</w:t>
      </w:r>
      <w:r>
        <w:rPr>
          <w:b/>
          <w:spacing w:val="-9"/>
          <w:sz w:val="24"/>
        </w:rPr>
        <w:t xml:space="preserve"> </w:t>
      </w:r>
      <w:r>
        <w:rPr>
          <w:b/>
          <w:sz w:val="24"/>
        </w:rPr>
        <w:t>Plan</w:t>
      </w:r>
      <w:r>
        <w:rPr>
          <w:b/>
          <w:spacing w:val="-9"/>
          <w:sz w:val="24"/>
        </w:rPr>
        <w:t xml:space="preserve"> </w:t>
      </w:r>
      <w:r>
        <w:rPr>
          <w:b/>
          <w:sz w:val="24"/>
        </w:rPr>
        <w:t>for</w:t>
      </w:r>
      <w:r>
        <w:rPr>
          <w:b/>
          <w:spacing w:val="-11"/>
          <w:sz w:val="24"/>
        </w:rPr>
        <w:t xml:space="preserve"> </w:t>
      </w:r>
      <w:r>
        <w:rPr>
          <w:b/>
          <w:sz w:val="24"/>
        </w:rPr>
        <w:t>the</w:t>
      </w:r>
      <w:r>
        <w:rPr>
          <w:b/>
          <w:spacing w:val="-10"/>
          <w:sz w:val="24"/>
        </w:rPr>
        <w:t xml:space="preserve"> </w:t>
      </w:r>
      <w:r>
        <w:rPr>
          <w:b/>
          <w:sz w:val="24"/>
        </w:rPr>
        <w:t>Operational</w:t>
      </w:r>
      <w:r>
        <w:rPr>
          <w:b/>
          <w:spacing w:val="-9"/>
          <w:sz w:val="24"/>
        </w:rPr>
        <w:t xml:space="preserve"> </w:t>
      </w:r>
      <w:r>
        <w:rPr>
          <w:b/>
          <w:sz w:val="24"/>
        </w:rPr>
        <w:t>Implementation</w:t>
      </w:r>
      <w:r>
        <w:rPr>
          <w:b/>
          <w:spacing w:val="-57"/>
          <w:sz w:val="24"/>
        </w:rPr>
        <w:t xml:space="preserve"> </w:t>
      </w:r>
      <w:r>
        <w:rPr>
          <w:b/>
          <w:sz w:val="24"/>
        </w:rPr>
        <w:t>of</w:t>
      </w:r>
      <w:r>
        <w:rPr>
          <w:b/>
          <w:spacing w:val="-10"/>
          <w:sz w:val="24"/>
        </w:rPr>
        <w:t xml:space="preserve"> </w:t>
      </w:r>
      <w:r>
        <w:rPr>
          <w:b/>
          <w:sz w:val="24"/>
        </w:rPr>
        <w:t>the</w:t>
      </w:r>
      <w:r>
        <w:rPr>
          <w:b/>
          <w:spacing w:val="-12"/>
          <w:sz w:val="24"/>
        </w:rPr>
        <w:t xml:space="preserve"> </w:t>
      </w:r>
      <w:r>
        <w:rPr>
          <w:b/>
          <w:sz w:val="24"/>
        </w:rPr>
        <w:t>Climate</w:t>
      </w:r>
      <w:r>
        <w:rPr>
          <w:b/>
          <w:spacing w:val="-13"/>
          <w:sz w:val="24"/>
        </w:rPr>
        <w:t xml:space="preserve"> </w:t>
      </w:r>
      <w:r>
        <w:rPr>
          <w:b/>
          <w:sz w:val="24"/>
        </w:rPr>
        <w:t>Change</w:t>
      </w:r>
      <w:r>
        <w:rPr>
          <w:b/>
          <w:spacing w:val="-10"/>
          <w:sz w:val="24"/>
        </w:rPr>
        <w:t xml:space="preserve"> </w:t>
      </w:r>
      <w:r>
        <w:rPr>
          <w:b/>
          <w:sz w:val="24"/>
        </w:rPr>
        <w:t>Adaptation</w:t>
      </w:r>
      <w:r>
        <w:rPr>
          <w:b/>
          <w:spacing w:val="-10"/>
          <w:sz w:val="24"/>
        </w:rPr>
        <w:t xml:space="preserve"> </w:t>
      </w:r>
      <w:r>
        <w:rPr>
          <w:b/>
          <w:sz w:val="24"/>
        </w:rPr>
        <w:t>Strategy</w:t>
      </w:r>
      <w:r>
        <w:rPr>
          <w:b/>
          <w:spacing w:val="-9"/>
          <w:sz w:val="24"/>
        </w:rPr>
        <w:t xml:space="preserve"> </w:t>
      </w:r>
      <w:r>
        <w:rPr>
          <w:b/>
          <w:sz w:val="24"/>
        </w:rPr>
        <w:t>for</w:t>
      </w:r>
      <w:r>
        <w:rPr>
          <w:b/>
          <w:spacing w:val="-11"/>
          <w:sz w:val="24"/>
        </w:rPr>
        <w:t xml:space="preserve"> </w:t>
      </w:r>
      <w:r>
        <w:rPr>
          <w:b/>
          <w:sz w:val="24"/>
        </w:rPr>
        <w:t>a</w:t>
      </w:r>
      <w:r>
        <w:rPr>
          <w:b/>
          <w:spacing w:val="-11"/>
          <w:sz w:val="24"/>
        </w:rPr>
        <w:t xml:space="preserve"> </w:t>
      </w:r>
      <w:r>
        <w:rPr>
          <w:b/>
          <w:sz w:val="24"/>
        </w:rPr>
        <w:t>period</w:t>
      </w:r>
      <w:r>
        <w:rPr>
          <w:b/>
          <w:spacing w:val="-10"/>
          <w:sz w:val="24"/>
        </w:rPr>
        <w:t xml:space="preserve"> </w:t>
      </w:r>
      <w:r>
        <w:rPr>
          <w:b/>
          <w:sz w:val="24"/>
        </w:rPr>
        <w:t>of</w:t>
      </w:r>
      <w:r>
        <w:rPr>
          <w:b/>
          <w:spacing w:val="-12"/>
          <w:sz w:val="24"/>
        </w:rPr>
        <w:t xml:space="preserve"> </w:t>
      </w:r>
      <w:r>
        <w:rPr>
          <w:b/>
          <w:sz w:val="24"/>
        </w:rPr>
        <w:t>five</w:t>
      </w:r>
      <w:r>
        <w:rPr>
          <w:b/>
          <w:spacing w:val="-12"/>
          <w:sz w:val="24"/>
        </w:rPr>
        <w:t xml:space="preserve"> </w:t>
      </w:r>
      <w:r>
        <w:rPr>
          <w:b/>
          <w:sz w:val="24"/>
        </w:rPr>
        <w:t>years</w:t>
      </w:r>
      <w:r>
        <w:rPr>
          <w:sz w:val="24"/>
        </w:rPr>
        <w:t>.</w:t>
      </w:r>
      <w:r>
        <w:rPr>
          <w:spacing w:val="-11"/>
          <w:sz w:val="24"/>
        </w:rPr>
        <w:t xml:space="preserve"> </w:t>
      </w:r>
      <w:r>
        <w:rPr>
          <w:sz w:val="24"/>
        </w:rPr>
        <w:t>Numerous</w:t>
      </w:r>
      <w:r>
        <w:rPr>
          <w:spacing w:val="-11"/>
          <w:sz w:val="24"/>
        </w:rPr>
        <w:t xml:space="preserve"> </w:t>
      </w:r>
      <w:r>
        <w:rPr>
          <w:sz w:val="24"/>
        </w:rPr>
        <w:t>adaptation</w:t>
      </w:r>
      <w:r>
        <w:rPr>
          <w:spacing w:val="-57"/>
          <w:sz w:val="24"/>
        </w:rPr>
        <w:t xml:space="preserve"> </w:t>
      </w:r>
      <w:r>
        <w:rPr>
          <w:sz w:val="24"/>
        </w:rPr>
        <w:t>measures</w:t>
      </w:r>
      <w:r>
        <w:rPr>
          <w:spacing w:val="-1"/>
          <w:sz w:val="24"/>
        </w:rPr>
        <w:t xml:space="preserve"> </w:t>
      </w:r>
      <w:r>
        <w:rPr>
          <w:sz w:val="24"/>
        </w:rPr>
        <w:t>for climate</w:t>
      </w:r>
      <w:r>
        <w:rPr>
          <w:spacing w:val="-2"/>
          <w:sz w:val="24"/>
        </w:rPr>
        <w:t xml:space="preserve"> </w:t>
      </w:r>
      <w:r>
        <w:rPr>
          <w:sz w:val="24"/>
        </w:rPr>
        <w:t>change</w:t>
      </w:r>
      <w:r>
        <w:rPr>
          <w:spacing w:val="3"/>
          <w:sz w:val="24"/>
        </w:rPr>
        <w:t xml:space="preserve"> </w:t>
      </w:r>
      <w:r>
        <w:rPr>
          <w:sz w:val="24"/>
        </w:rPr>
        <w:t>also</w:t>
      </w:r>
      <w:r>
        <w:rPr>
          <w:spacing w:val="-1"/>
          <w:sz w:val="24"/>
        </w:rPr>
        <w:t xml:space="preserve"> </w:t>
      </w:r>
      <w:r>
        <w:rPr>
          <w:sz w:val="24"/>
        </w:rPr>
        <w:t>contribute to</w:t>
      </w:r>
      <w:r>
        <w:rPr>
          <w:spacing w:val="-1"/>
          <w:sz w:val="24"/>
        </w:rPr>
        <w:t xml:space="preserve"> </w:t>
      </w:r>
      <w:r>
        <w:rPr>
          <w:sz w:val="24"/>
        </w:rPr>
        <w:t>reducing greenhouse gas emissions.</w:t>
      </w:r>
    </w:p>
    <w:p w:rsidR="00A56FE9" w:rsidRDefault="00000000">
      <w:pPr>
        <w:pStyle w:val="Tijeloteksta"/>
        <w:spacing w:before="120"/>
        <w:ind w:right="271"/>
      </w:pPr>
      <w:r>
        <w:t>The plan is to direct financial resources from all available sources to achieve climate goals, in</w:t>
      </w:r>
      <w:r>
        <w:rPr>
          <w:spacing w:val="1"/>
        </w:rPr>
        <w:t xml:space="preserve"> </w:t>
      </w:r>
      <w:r>
        <w:t>particular</w:t>
      </w:r>
      <w:r>
        <w:rPr>
          <w:spacing w:val="-5"/>
        </w:rPr>
        <w:t xml:space="preserve"> </w:t>
      </w:r>
      <w:r>
        <w:t>the</w:t>
      </w:r>
      <w:r>
        <w:rPr>
          <w:spacing w:val="-4"/>
        </w:rPr>
        <w:t xml:space="preserve"> </w:t>
      </w:r>
      <w:r>
        <w:t>goal</w:t>
      </w:r>
      <w:r>
        <w:rPr>
          <w:spacing w:val="-6"/>
        </w:rPr>
        <w:t xml:space="preserve"> </w:t>
      </w:r>
      <w:r>
        <w:t>of</w:t>
      </w:r>
      <w:r>
        <w:rPr>
          <w:spacing w:val="-5"/>
        </w:rPr>
        <w:t xml:space="preserve"> </w:t>
      </w:r>
      <w:r>
        <w:t>limiting</w:t>
      </w:r>
      <w:r>
        <w:rPr>
          <w:spacing w:val="-6"/>
        </w:rPr>
        <w:t xml:space="preserve"> </w:t>
      </w:r>
      <w:r>
        <w:t>greenhouse</w:t>
      </w:r>
      <w:r>
        <w:rPr>
          <w:spacing w:val="-2"/>
        </w:rPr>
        <w:t xml:space="preserve"> </w:t>
      </w:r>
      <w:r>
        <w:t>gas</w:t>
      </w:r>
      <w:r>
        <w:rPr>
          <w:spacing w:val="-4"/>
        </w:rPr>
        <w:t xml:space="preserve"> </w:t>
      </w:r>
      <w:r>
        <w:t>emissions</w:t>
      </w:r>
      <w:r>
        <w:rPr>
          <w:spacing w:val="-6"/>
        </w:rPr>
        <w:t xml:space="preserve"> </w:t>
      </w:r>
      <w:r>
        <w:t>from</w:t>
      </w:r>
      <w:r>
        <w:rPr>
          <w:spacing w:val="-6"/>
        </w:rPr>
        <w:t xml:space="preserve"> </w:t>
      </w:r>
      <w:r>
        <w:t>all</w:t>
      </w:r>
      <w:r>
        <w:rPr>
          <w:spacing w:val="-6"/>
        </w:rPr>
        <w:t xml:space="preserve"> </w:t>
      </w:r>
      <w:r>
        <w:t>sectors</w:t>
      </w:r>
      <w:r>
        <w:rPr>
          <w:spacing w:val="-4"/>
        </w:rPr>
        <w:t xml:space="preserve"> </w:t>
      </w:r>
      <w:r>
        <w:t>and</w:t>
      </w:r>
      <w:r>
        <w:rPr>
          <w:spacing w:val="1"/>
        </w:rPr>
        <w:t xml:space="preserve"> </w:t>
      </w:r>
      <w:r>
        <w:t>the</w:t>
      </w:r>
      <w:r>
        <w:rPr>
          <w:spacing w:val="-4"/>
        </w:rPr>
        <w:t xml:space="preserve"> </w:t>
      </w:r>
      <w:r>
        <w:t>goal</w:t>
      </w:r>
      <w:r>
        <w:rPr>
          <w:spacing w:val="-5"/>
        </w:rPr>
        <w:t xml:space="preserve"> </w:t>
      </w:r>
      <w:r>
        <w:t>of</w:t>
      </w:r>
      <w:r>
        <w:rPr>
          <w:spacing w:val="-5"/>
        </w:rPr>
        <w:t xml:space="preserve"> </w:t>
      </w:r>
      <w:r>
        <w:t>energy</w:t>
      </w:r>
      <w:r>
        <w:rPr>
          <w:spacing w:val="-58"/>
        </w:rPr>
        <w:t xml:space="preserve"> </w:t>
      </w:r>
      <w:r>
        <w:t>efficiency and increasing the share of renewable energy sources. The programming of the EU</w:t>
      </w:r>
      <w:r>
        <w:rPr>
          <w:spacing w:val="1"/>
        </w:rPr>
        <w:t xml:space="preserve"> </w:t>
      </w:r>
      <w:r>
        <w:t>Competitiveness and Cohesion Operational Programme 2021-2027 is underway, and at least</w:t>
      </w:r>
      <w:r>
        <w:rPr>
          <w:spacing w:val="1"/>
        </w:rPr>
        <w:t xml:space="preserve"> </w:t>
      </w:r>
      <w:r>
        <w:t>30% of the total funds from the Croatian envelope will be directed to achieving climate goals.</w:t>
      </w:r>
      <w:r>
        <w:rPr>
          <w:spacing w:val="1"/>
        </w:rPr>
        <w:t xml:space="preserve"> </w:t>
      </w:r>
      <w:r>
        <w:t>The</w:t>
      </w:r>
      <w:r>
        <w:rPr>
          <w:spacing w:val="-7"/>
        </w:rPr>
        <w:t xml:space="preserve"> </w:t>
      </w:r>
      <w:r>
        <w:t>EU</w:t>
      </w:r>
      <w:r>
        <w:rPr>
          <w:spacing w:val="-4"/>
        </w:rPr>
        <w:t xml:space="preserve"> </w:t>
      </w:r>
      <w:r>
        <w:t>Modernisation</w:t>
      </w:r>
      <w:r>
        <w:rPr>
          <w:spacing w:val="-4"/>
        </w:rPr>
        <w:t xml:space="preserve"> </w:t>
      </w:r>
      <w:r>
        <w:t>Fund</w:t>
      </w:r>
      <w:r>
        <w:rPr>
          <w:spacing w:val="-5"/>
        </w:rPr>
        <w:t xml:space="preserve"> </w:t>
      </w:r>
      <w:r>
        <w:t>2021-2030</w:t>
      </w:r>
      <w:r>
        <w:rPr>
          <w:spacing w:val="-5"/>
        </w:rPr>
        <w:t xml:space="preserve"> </w:t>
      </w:r>
      <w:r>
        <w:t>provides</w:t>
      </w:r>
      <w:r>
        <w:rPr>
          <w:spacing w:val="-4"/>
        </w:rPr>
        <w:t xml:space="preserve"> </w:t>
      </w:r>
      <w:r>
        <w:t>funds</w:t>
      </w:r>
      <w:r>
        <w:rPr>
          <w:spacing w:val="-5"/>
        </w:rPr>
        <w:t xml:space="preserve"> </w:t>
      </w:r>
      <w:r>
        <w:t>for</w:t>
      </w:r>
      <w:r>
        <w:rPr>
          <w:spacing w:val="-4"/>
        </w:rPr>
        <w:t xml:space="preserve"> </w:t>
      </w:r>
      <w:r>
        <w:t>100%</w:t>
      </w:r>
      <w:r>
        <w:rPr>
          <w:spacing w:val="-5"/>
        </w:rPr>
        <w:t xml:space="preserve"> </w:t>
      </w:r>
      <w:r>
        <w:t>financing</w:t>
      </w:r>
      <w:r>
        <w:rPr>
          <w:spacing w:val="-5"/>
        </w:rPr>
        <w:t xml:space="preserve"> </w:t>
      </w:r>
      <w:r>
        <w:t>of</w:t>
      </w:r>
      <w:r>
        <w:rPr>
          <w:spacing w:val="-6"/>
        </w:rPr>
        <w:t xml:space="preserve"> </w:t>
      </w:r>
      <w:r>
        <w:t>decarbonisation</w:t>
      </w:r>
      <w:r>
        <w:rPr>
          <w:spacing w:val="-58"/>
        </w:rPr>
        <w:t xml:space="preserve"> </w:t>
      </w:r>
      <w:r>
        <w:t>in</w:t>
      </w:r>
      <w:r>
        <w:rPr>
          <w:spacing w:val="-3"/>
        </w:rPr>
        <w:t xml:space="preserve"> </w:t>
      </w:r>
      <w:r>
        <w:t>Croatia</w:t>
      </w:r>
      <w:r>
        <w:rPr>
          <w:spacing w:val="-4"/>
        </w:rPr>
        <w:t xml:space="preserve"> </w:t>
      </w:r>
      <w:r>
        <w:t>(total</w:t>
      </w:r>
      <w:r>
        <w:rPr>
          <w:spacing w:val="-3"/>
        </w:rPr>
        <w:t xml:space="preserve"> </w:t>
      </w:r>
      <w:r>
        <w:t>funds</w:t>
      </w:r>
      <w:r>
        <w:rPr>
          <w:spacing w:val="-3"/>
        </w:rPr>
        <w:t xml:space="preserve"> </w:t>
      </w:r>
      <w:r>
        <w:t>available</w:t>
      </w:r>
      <w:r>
        <w:rPr>
          <w:spacing w:val="-3"/>
        </w:rPr>
        <w:t xml:space="preserve"> </w:t>
      </w:r>
      <w:r>
        <w:t>for</w:t>
      </w:r>
      <w:r>
        <w:rPr>
          <w:spacing w:val="-5"/>
        </w:rPr>
        <w:t xml:space="preserve"> </w:t>
      </w:r>
      <w:r>
        <w:t>Croatia</w:t>
      </w:r>
      <w:r>
        <w:rPr>
          <w:spacing w:val="-4"/>
        </w:rPr>
        <w:t xml:space="preserve"> </w:t>
      </w:r>
      <w:r>
        <w:t>are</w:t>
      </w:r>
      <w:r>
        <w:rPr>
          <w:spacing w:val="-2"/>
        </w:rPr>
        <w:t xml:space="preserve"> </w:t>
      </w:r>
      <w:r>
        <w:t>at</w:t>
      </w:r>
      <w:r>
        <w:rPr>
          <w:spacing w:val="-3"/>
        </w:rPr>
        <w:t xml:space="preserve"> </w:t>
      </w:r>
      <w:r>
        <w:t>least</w:t>
      </w:r>
      <w:r>
        <w:rPr>
          <w:spacing w:val="-2"/>
        </w:rPr>
        <w:t xml:space="preserve"> </w:t>
      </w:r>
      <w:r>
        <w:t>HRK</w:t>
      </w:r>
      <w:r>
        <w:rPr>
          <w:spacing w:val="-3"/>
        </w:rPr>
        <w:t xml:space="preserve"> </w:t>
      </w:r>
      <w:r>
        <w:t>7.5</w:t>
      </w:r>
      <w:r>
        <w:rPr>
          <w:spacing w:val="-4"/>
        </w:rPr>
        <w:t xml:space="preserve"> </w:t>
      </w:r>
      <w:r>
        <w:t>billion</w:t>
      </w:r>
      <w:r>
        <w:rPr>
          <w:spacing w:val="-3"/>
        </w:rPr>
        <w:t xml:space="preserve"> </w:t>
      </w:r>
      <w:r>
        <w:t>(EUR</w:t>
      </w:r>
      <w:r>
        <w:rPr>
          <w:spacing w:val="-2"/>
        </w:rPr>
        <w:t xml:space="preserve"> </w:t>
      </w:r>
      <w:r>
        <w:t>1</w:t>
      </w:r>
      <w:r>
        <w:rPr>
          <w:spacing w:val="-4"/>
        </w:rPr>
        <w:t xml:space="preserve"> </w:t>
      </w:r>
      <w:r>
        <w:t>billion)</w:t>
      </w:r>
      <w:r>
        <w:rPr>
          <w:spacing w:val="2"/>
        </w:rPr>
        <w:t xml:space="preserve"> </w:t>
      </w:r>
      <w:r>
        <w:t>for</w:t>
      </w:r>
      <w:r>
        <w:rPr>
          <w:spacing w:val="-4"/>
        </w:rPr>
        <w:t xml:space="preserve"> </w:t>
      </w:r>
      <w:r>
        <w:t>the</w:t>
      </w:r>
      <w:r>
        <w:rPr>
          <w:spacing w:val="-58"/>
        </w:rPr>
        <w:t xml:space="preserve"> </w:t>
      </w:r>
      <w:r>
        <w:t xml:space="preserve">period to 2030). The </w:t>
      </w:r>
      <w:r>
        <w:rPr>
          <w:b/>
        </w:rPr>
        <w:t>drafting of the legislative framework and the Regulation on the</w:t>
      </w:r>
      <w:r>
        <w:rPr>
          <w:b/>
          <w:spacing w:val="1"/>
        </w:rPr>
        <w:t xml:space="preserve"> </w:t>
      </w:r>
      <w:r>
        <w:rPr>
          <w:b/>
        </w:rPr>
        <w:t>Implementation of the Modernisation Fund for implementation of the framework in</w:t>
      </w:r>
      <w:r>
        <w:rPr>
          <w:b/>
          <w:spacing w:val="1"/>
        </w:rPr>
        <w:t xml:space="preserve"> </w:t>
      </w:r>
      <w:r>
        <w:rPr>
          <w:b/>
        </w:rPr>
        <w:t xml:space="preserve">Croatia is underway </w:t>
      </w:r>
      <w:r>
        <w:t>and is to be adopted in June 2022. To finance the climate transition,</w:t>
      </w:r>
      <w:r>
        <w:rPr>
          <w:spacing w:val="1"/>
        </w:rPr>
        <w:t xml:space="preserve"> </w:t>
      </w:r>
      <w:r>
        <w:t>Croatia</w:t>
      </w:r>
      <w:r>
        <w:rPr>
          <w:spacing w:val="19"/>
        </w:rPr>
        <w:t xml:space="preserve"> </w:t>
      </w:r>
      <w:r>
        <w:t>has</w:t>
      </w:r>
      <w:r>
        <w:rPr>
          <w:spacing w:val="20"/>
        </w:rPr>
        <w:t xml:space="preserve"> </w:t>
      </w:r>
      <w:r>
        <w:t>at</w:t>
      </w:r>
      <w:r>
        <w:rPr>
          <w:spacing w:val="20"/>
        </w:rPr>
        <w:t xml:space="preserve"> </w:t>
      </w:r>
      <w:r>
        <w:t>its</w:t>
      </w:r>
      <w:r>
        <w:rPr>
          <w:spacing w:val="20"/>
        </w:rPr>
        <w:t xml:space="preserve"> </w:t>
      </w:r>
      <w:r>
        <w:t>disposal</w:t>
      </w:r>
      <w:r>
        <w:rPr>
          <w:spacing w:val="20"/>
        </w:rPr>
        <w:t xml:space="preserve"> </w:t>
      </w:r>
      <w:r>
        <w:t>funds</w:t>
      </w:r>
      <w:r>
        <w:rPr>
          <w:spacing w:val="19"/>
        </w:rPr>
        <w:t xml:space="preserve"> </w:t>
      </w:r>
      <w:r>
        <w:t>from</w:t>
      </w:r>
      <w:r>
        <w:rPr>
          <w:spacing w:val="21"/>
        </w:rPr>
        <w:t xml:space="preserve"> </w:t>
      </w:r>
      <w:r>
        <w:t>the</w:t>
      </w:r>
      <w:r>
        <w:rPr>
          <w:spacing w:val="23"/>
        </w:rPr>
        <w:t xml:space="preserve"> </w:t>
      </w:r>
      <w:r>
        <w:t>2021-2027</w:t>
      </w:r>
      <w:r>
        <w:rPr>
          <w:spacing w:val="21"/>
        </w:rPr>
        <w:t xml:space="preserve"> </w:t>
      </w:r>
      <w:r>
        <w:t>EU</w:t>
      </w:r>
      <w:r>
        <w:rPr>
          <w:spacing w:val="19"/>
        </w:rPr>
        <w:t xml:space="preserve"> </w:t>
      </w:r>
      <w:r>
        <w:t>Just</w:t>
      </w:r>
      <w:r>
        <w:rPr>
          <w:spacing w:val="21"/>
        </w:rPr>
        <w:t xml:space="preserve"> </w:t>
      </w:r>
      <w:r>
        <w:t>Transition</w:t>
      </w:r>
      <w:r>
        <w:rPr>
          <w:spacing w:val="19"/>
        </w:rPr>
        <w:t xml:space="preserve"> </w:t>
      </w:r>
      <w:r>
        <w:t>Fund</w:t>
      </w:r>
      <w:r>
        <w:rPr>
          <w:spacing w:val="20"/>
        </w:rPr>
        <w:t xml:space="preserve"> </w:t>
      </w:r>
      <w:r>
        <w:t>amounting</w:t>
      </w:r>
      <w:r>
        <w:rPr>
          <w:spacing w:val="18"/>
        </w:rPr>
        <w:t xml:space="preserve"> </w:t>
      </w:r>
      <w:r>
        <w:t>to</w:t>
      </w:r>
    </w:p>
    <w:p w:rsidR="00A56FE9" w:rsidRDefault="00CC1B9B">
      <w:pPr>
        <w:pStyle w:val="Tijeloteksta"/>
        <w:spacing w:before="3"/>
        <w:ind w:left="0"/>
        <w:jc w:val="left"/>
        <w:rPr>
          <w:sz w:val="28"/>
        </w:rPr>
      </w:pPr>
      <w:r>
        <w:rPr>
          <w:noProof/>
        </w:rPr>
        <mc:AlternateContent>
          <mc:Choice Requires="wps">
            <w:drawing>
              <wp:anchor distT="0" distB="0" distL="0" distR="0" simplePos="0" relativeHeight="487597568" behindDoc="1" locked="0" layoutInCell="1" allowOverlap="1">
                <wp:simplePos x="0" y="0"/>
                <wp:positionH relativeFrom="page">
                  <wp:posOffset>901065</wp:posOffset>
                </wp:positionH>
                <wp:positionV relativeFrom="paragraph">
                  <wp:posOffset>231775</wp:posOffset>
                </wp:positionV>
                <wp:extent cx="1828800" cy="7620"/>
                <wp:effectExtent l="0" t="0" r="0" b="0"/>
                <wp:wrapTopAndBottom/>
                <wp:docPr id="2016742699"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53B77" id="Rectangle 314" o:spid="_x0000_s1026" style="position:absolute;margin-left:70.95pt;margin-top:18.25pt;width:2in;height:.6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" fillcolor="black" stroked="f">
                <w10:wrap type="topAndBottom" anchorx="page"/>
              </v:rect>
            </w:pict>
          </mc:Fallback>
        </mc:AlternateContent>
      </w:r>
    </w:p>
    <w:p w:rsidR="00A56FE9" w:rsidRDefault="00000000">
      <w:pPr>
        <w:spacing w:before="76"/>
        <w:ind w:left="138"/>
        <w:rPr>
          <w:sz w:val="16"/>
        </w:rPr>
      </w:pPr>
      <w:r>
        <w:rPr>
          <w:sz w:val="16"/>
          <w:vertAlign w:val="superscript"/>
        </w:rPr>
        <w:t>5</w:t>
      </w:r>
      <w:r>
        <w:rPr>
          <w:spacing w:val="-1"/>
          <w:sz w:val="16"/>
        </w:rPr>
        <w:t xml:space="preserve"> </w:t>
      </w:r>
      <w:r>
        <w:rPr>
          <w:sz w:val="16"/>
        </w:rPr>
        <w:t>OG</w:t>
      </w:r>
      <w:r>
        <w:rPr>
          <w:spacing w:val="-3"/>
          <w:sz w:val="16"/>
        </w:rPr>
        <w:t xml:space="preserve"> </w:t>
      </w:r>
      <w:r>
        <w:rPr>
          <w:sz w:val="16"/>
        </w:rPr>
        <w:t>127/19</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CC1B9B">
      <w:pPr>
        <w:pStyle w:val="Tijeloteksta"/>
        <w:spacing w:before="74"/>
        <w:ind w:right="273"/>
      </w:pPr>
      <w:r>
        <w:rPr>
          <w:noProof/>
        </w:rPr>
        <mc:AlternateContent>
          <mc:Choice Requires="wps">
            <w:drawing>
              <wp:anchor distT="0" distB="0" distL="114300" distR="114300" simplePos="0" relativeHeight="15740416" behindDoc="0" locked="0" layoutInCell="1" allowOverlap="1">
                <wp:simplePos x="0" y="0"/>
                <wp:positionH relativeFrom="page">
                  <wp:posOffset>814070</wp:posOffset>
                </wp:positionH>
                <wp:positionV relativeFrom="paragraph">
                  <wp:posOffset>1704340</wp:posOffset>
                </wp:positionV>
                <wp:extent cx="18415" cy="417830"/>
                <wp:effectExtent l="0" t="0" r="0" b="0"/>
                <wp:wrapNone/>
                <wp:docPr id="1388930938" name="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FC2ED" id="Rectangle 313" o:spid="_x0000_s1026" style="position:absolute;margin-left:64.1pt;margin-top:134.2pt;width:1.45pt;height:32.9pt;z-index:15740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" fillcolor="#da1f2c" stroked="f">
                <w10:wrap anchorx="page"/>
              </v:rect>
            </w:pict>
          </mc:Fallback>
        </mc:AlternateContent>
      </w:r>
      <w:r w:rsidR="00000000">
        <w:t>approx. HRK 1.27 billion (EUR 169 million). The intention is to finance just/fair transition</w:t>
      </w:r>
      <w:r w:rsidR="00000000">
        <w:rPr>
          <w:spacing w:val="1"/>
        </w:rPr>
        <w:t xml:space="preserve"> </w:t>
      </w:r>
      <w:r w:rsidR="00000000">
        <w:t>measures to reduce greenhouse gas emissions in the Sisak-Moslavina and Istria Counties,</w:t>
      </w:r>
      <w:r w:rsidR="00000000">
        <w:rPr>
          <w:spacing w:val="1"/>
        </w:rPr>
        <w:t xml:space="preserve"> </w:t>
      </w:r>
      <w:r w:rsidR="00000000">
        <w:rPr>
          <w:position w:val="2"/>
        </w:rPr>
        <w:t>regions identified for their high intensity of CO</w:t>
      </w:r>
      <w:r w:rsidR="00000000">
        <w:rPr>
          <w:sz w:val="16"/>
        </w:rPr>
        <w:t xml:space="preserve">2 </w:t>
      </w:r>
      <w:r w:rsidR="00000000">
        <w:rPr>
          <w:position w:val="2"/>
        </w:rPr>
        <w:t>emissions. According to the Plan for the Use</w:t>
      </w:r>
      <w:r w:rsidR="00000000">
        <w:rPr>
          <w:spacing w:val="1"/>
          <w:position w:val="2"/>
        </w:rPr>
        <w:t xml:space="preserve"> </w:t>
      </w:r>
      <w:r w:rsidR="00000000">
        <w:t>of Funds Obtained from the Sale of Emission Allowances through Auctions in the Republic of</w:t>
      </w:r>
      <w:r w:rsidR="00000000">
        <w:rPr>
          <w:spacing w:val="-57"/>
        </w:rPr>
        <w:t xml:space="preserve"> </w:t>
      </w:r>
      <w:r w:rsidR="00000000">
        <w:t>Croatia from 2021 to 2025 (July 2021), fully intended to implement projects and activities</w:t>
      </w:r>
      <w:r w:rsidR="00000000">
        <w:rPr>
          <w:spacing w:val="1"/>
        </w:rPr>
        <w:t xml:space="preserve"> </w:t>
      </w:r>
      <w:r w:rsidR="00000000">
        <w:t>contributing</w:t>
      </w:r>
      <w:r w:rsidR="00000000">
        <w:rPr>
          <w:spacing w:val="-6"/>
        </w:rPr>
        <w:t xml:space="preserve"> </w:t>
      </w:r>
      <w:r w:rsidR="00000000">
        <w:t>to</w:t>
      </w:r>
      <w:r w:rsidR="00000000">
        <w:rPr>
          <w:spacing w:val="-3"/>
        </w:rPr>
        <w:t xml:space="preserve"> </w:t>
      </w:r>
      <w:r w:rsidR="00000000">
        <w:t>the</w:t>
      </w:r>
      <w:r w:rsidR="00000000">
        <w:rPr>
          <w:spacing w:val="-4"/>
        </w:rPr>
        <w:t xml:space="preserve"> </w:t>
      </w:r>
      <w:r w:rsidR="00000000">
        <w:t>climate</w:t>
      </w:r>
      <w:r w:rsidR="00000000">
        <w:rPr>
          <w:spacing w:val="-5"/>
        </w:rPr>
        <w:t xml:space="preserve"> </w:t>
      </w:r>
      <w:r w:rsidR="00000000">
        <w:t>goals</w:t>
      </w:r>
      <w:r w:rsidR="00000000">
        <w:rPr>
          <w:spacing w:val="-3"/>
        </w:rPr>
        <w:t xml:space="preserve"> </w:t>
      </w:r>
      <w:r w:rsidR="00000000">
        <w:t>of</w:t>
      </w:r>
      <w:r w:rsidR="00000000">
        <w:rPr>
          <w:spacing w:val="-5"/>
        </w:rPr>
        <w:t xml:space="preserve"> </w:t>
      </w:r>
      <w:r w:rsidR="00000000">
        <w:t>reducing</w:t>
      </w:r>
      <w:r w:rsidR="00000000">
        <w:rPr>
          <w:spacing w:val="-6"/>
        </w:rPr>
        <w:t xml:space="preserve"> </w:t>
      </w:r>
      <w:r w:rsidR="00000000">
        <w:t>greenhouse</w:t>
      </w:r>
      <w:r w:rsidR="00000000">
        <w:rPr>
          <w:spacing w:val="-5"/>
        </w:rPr>
        <w:t xml:space="preserve"> </w:t>
      </w:r>
      <w:r w:rsidR="00000000">
        <w:t>gas</w:t>
      </w:r>
      <w:r w:rsidR="00000000">
        <w:rPr>
          <w:spacing w:val="-4"/>
        </w:rPr>
        <w:t xml:space="preserve"> </w:t>
      </w:r>
      <w:r w:rsidR="00000000">
        <w:t>emissions</w:t>
      </w:r>
      <w:r w:rsidR="00000000">
        <w:rPr>
          <w:spacing w:val="-4"/>
        </w:rPr>
        <w:t xml:space="preserve"> </w:t>
      </w:r>
      <w:r w:rsidR="00000000">
        <w:t>and</w:t>
      </w:r>
      <w:r w:rsidR="00000000">
        <w:rPr>
          <w:spacing w:val="-4"/>
        </w:rPr>
        <w:t xml:space="preserve"> </w:t>
      </w:r>
      <w:r w:rsidR="00000000">
        <w:t>adapting</w:t>
      </w:r>
      <w:r w:rsidR="00000000">
        <w:rPr>
          <w:spacing w:val="-6"/>
        </w:rPr>
        <w:t xml:space="preserve"> </w:t>
      </w:r>
      <w:r w:rsidR="00000000">
        <w:t>to</w:t>
      </w:r>
      <w:r w:rsidR="00000000">
        <w:rPr>
          <w:spacing w:val="1"/>
        </w:rPr>
        <w:t xml:space="preserve"> </w:t>
      </w:r>
      <w:r w:rsidR="00000000">
        <w:t>climate</w:t>
      </w:r>
      <w:r w:rsidR="00000000">
        <w:rPr>
          <w:spacing w:val="-58"/>
        </w:rPr>
        <w:t xml:space="preserve"> </w:t>
      </w:r>
      <w:r w:rsidR="00000000">
        <w:t>change, a total of HRK 2.9 billion (EUR 386 million) will be invested in measures to reduce</w:t>
      </w:r>
      <w:r w:rsidR="00000000">
        <w:rPr>
          <w:spacing w:val="1"/>
        </w:rPr>
        <w:t xml:space="preserve"> </w:t>
      </w:r>
      <w:r w:rsidR="00000000">
        <w:t>greenhouse gas emissions and adapt to climate change. Given the increase in the price of</w:t>
      </w:r>
      <w:r w:rsidR="00000000">
        <w:rPr>
          <w:spacing w:val="1"/>
        </w:rPr>
        <w:t xml:space="preserve"> </w:t>
      </w:r>
      <w:r w:rsidR="00000000">
        <w:t>emission</w:t>
      </w:r>
      <w:r w:rsidR="00000000">
        <w:rPr>
          <w:spacing w:val="-1"/>
        </w:rPr>
        <w:t xml:space="preserve"> </w:t>
      </w:r>
      <w:r w:rsidR="00000000">
        <w:t>allowances, this amount</w:t>
      </w:r>
      <w:r w:rsidR="00000000">
        <w:rPr>
          <w:spacing w:val="2"/>
        </w:rPr>
        <w:t xml:space="preserve"> </w:t>
      </w:r>
      <w:r w:rsidR="00000000">
        <w:t>is expected</w:t>
      </w:r>
      <w:r w:rsidR="00000000">
        <w:rPr>
          <w:spacing w:val="-1"/>
        </w:rPr>
        <w:t xml:space="preserve"> </w:t>
      </w:r>
      <w:r w:rsidR="00000000">
        <w:t>to be</w:t>
      </w:r>
      <w:r w:rsidR="00000000">
        <w:rPr>
          <w:spacing w:val="-1"/>
        </w:rPr>
        <w:t xml:space="preserve"> </w:t>
      </w:r>
      <w:r w:rsidR="00000000">
        <w:t>significantly</w:t>
      </w:r>
      <w:r w:rsidR="00000000">
        <w:rPr>
          <w:spacing w:val="-5"/>
        </w:rPr>
        <w:t xml:space="preserve"> </w:t>
      </w:r>
      <w:r w:rsidR="00000000">
        <w:t>higher.</w:t>
      </w:r>
    </w:p>
    <w:p w:rsidR="00A56FE9" w:rsidRDefault="00A56FE9">
      <w:pPr>
        <w:pStyle w:val="Tijeloteksta"/>
        <w:spacing w:before="9"/>
        <w:ind w:left="0"/>
        <w:jc w:val="left"/>
        <w:rPr>
          <w:sz w:val="31"/>
        </w:rPr>
      </w:pPr>
    </w:p>
    <w:p w:rsidR="00A56FE9" w:rsidRDefault="00000000">
      <w:pPr>
        <w:pStyle w:val="Naslov4"/>
      </w:pPr>
      <w:r>
        <w:rPr>
          <w:color w:val="2C398A"/>
        </w:rPr>
        <w:t>Promoting</w:t>
      </w:r>
      <w:r>
        <w:rPr>
          <w:color w:val="2C398A"/>
          <w:spacing w:val="-1"/>
        </w:rPr>
        <w:t xml:space="preserve"> </w:t>
      </w:r>
      <w:r>
        <w:rPr>
          <w:color w:val="2C398A"/>
        </w:rPr>
        <w:t>the</w:t>
      </w:r>
      <w:r>
        <w:rPr>
          <w:color w:val="2C398A"/>
          <w:spacing w:val="-2"/>
        </w:rPr>
        <w:t xml:space="preserve"> </w:t>
      </w:r>
      <w:r>
        <w:rPr>
          <w:color w:val="2C398A"/>
        </w:rPr>
        <w:t>use</w:t>
      </w:r>
      <w:r>
        <w:rPr>
          <w:color w:val="2C398A"/>
          <w:spacing w:val="-2"/>
        </w:rPr>
        <w:t xml:space="preserve"> </w:t>
      </w:r>
      <w:r>
        <w:rPr>
          <w:color w:val="2C398A"/>
        </w:rPr>
        <w:t>of</w:t>
      </w:r>
      <w:r>
        <w:rPr>
          <w:color w:val="2C398A"/>
          <w:spacing w:val="1"/>
        </w:rPr>
        <w:t xml:space="preserve"> </w:t>
      </w:r>
      <w:r>
        <w:rPr>
          <w:color w:val="2C398A"/>
        </w:rPr>
        <w:t>energy</w:t>
      </w:r>
      <w:r>
        <w:rPr>
          <w:color w:val="2C398A"/>
          <w:spacing w:val="1"/>
        </w:rPr>
        <w:t xml:space="preserve"> </w:t>
      </w:r>
      <w:r>
        <w:rPr>
          <w:color w:val="2C398A"/>
        </w:rPr>
        <w:t>from</w:t>
      </w:r>
      <w:r>
        <w:rPr>
          <w:color w:val="2C398A"/>
          <w:spacing w:val="-4"/>
        </w:rPr>
        <w:t xml:space="preserve"> </w:t>
      </w:r>
      <w:r>
        <w:rPr>
          <w:color w:val="2C398A"/>
        </w:rPr>
        <w:t>renewable</w:t>
      </w:r>
      <w:r>
        <w:rPr>
          <w:color w:val="2C398A"/>
          <w:spacing w:val="-2"/>
        </w:rPr>
        <w:t xml:space="preserve"> </w:t>
      </w:r>
      <w:r>
        <w:rPr>
          <w:color w:val="2C398A"/>
        </w:rPr>
        <w:t>sources</w:t>
      </w:r>
      <w:r>
        <w:rPr>
          <w:color w:val="2C398A"/>
          <w:spacing w:val="-2"/>
        </w:rPr>
        <w:t xml:space="preserve"> </w:t>
      </w:r>
      <w:r>
        <w:rPr>
          <w:color w:val="2C398A"/>
        </w:rPr>
        <w:t>and</w:t>
      </w:r>
      <w:r>
        <w:rPr>
          <w:color w:val="2C398A"/>
          <w:spacing w:val="-2"/>
        </w:rPr>
        <w:t xml:space="preserve"> </w:t>
      </w:r>
      <w:r>
        <w:rPr>
          <w:color w:val="2C398A"/>
        </w:rPr>
        <w:t>energy</w:t>
      </w:r>
      <w:r>
        <w:rPr>
          <w:color w:val="2C398A"/>
          <w:spacing w:val="1"/>
        </w:rPr>
        <w:t xml:space="preserve"> </w:t>
      </w:r>
      <w:r>
        <w:rPr>
          <w:color w:val="2C398A"/>
        </w:rPr>
        <w:t>savings</w:t>
      </w:r>
    </w:p>
    <w:p w:rsidR="00A56FE9" w:rsidRDefault="00000000">
      <w:pPr>
        <w:spacing w:before="232"/>
        <w:ind w:left="138" w:right="274"/>
        <w:jc w:val="both"/>
        <w:rPr>
          <w:i/>
          <w:sz w:val="24"/>
        </w:rPr>
      </w:pPr>
      <w:r>
        <w:rPr>
          <w:i/>
          <w:color w:val="2C398A"/>
          <w:sz w:val="24"/>
        </w:rPr>
        <w:t>2019.CSR3.1. Focus investment-related economic policy on energy efficiency, renewables and</w:t>
      </w:r>
      <w:r>
        <w:rPr>
          <w:i/>
          <w:color w:val="2C398A"/>
          <w:spacing w:val="-57"/>
          <w:sz w:val="24"/>
        </w:rPr>
        <w:t xml:space="preserve"> </w:t>
      </w:r>
      <w:r>
        <w:rPr>
          <w:i/>
          <w:color w:val="2C398A"/>
          <w:sz w:val="24"/>
        </w:rPr>
        <w:t>environmental infrastructure, taking into account regional disparities; 2020.CSR3.3. Focus</w:t>
      </w:r>
      <w:r>
        <w:rPr>
          <w:i/>
          <w:color w:val="2C398A"/>
          <w:spacing w:val="1"/>
          <w:sz w:val="24"/>
        </w:rPr>
        <w:t xml:space="preserve"> </w:t>
      </w:r>
      <w:r>
        <w:rPr>
          <w:i/>
          <w:color w:val="2C398A"/>
          <w:sz w:val="24"/>
        </w:rPr>
        <w:t>investment on the green and digital transition, in particular on environmental infrastructure,</w:t>
      </w:r>
      <w:r>
        <w:rPr>
          <w:i/>
          <w:color w:val="2C398A"/>
          <w:spacing w:val="1"/>
          <w:sz w:val="24"/>
        </w:rPr>
        <w:t xml:space="preserve"> </w:t>
      </w:r>
      <w:r>
        <w:rPr>
          <w:i/>
          <w:color w:val="2C398A"/>
          <w:sz w:val="24"/>
        </w:rPr>
        <w:t>sustainable</w:t>
      </w:r>
      <w:r>
        <w:rPr>
          <w:i/>
          <w:color w:val="2C398A"/>
          <w:spacing w:val="-2"/>
          <w:sz w:val="24"/>
        </w:rPr>
        <w:t xml:space="preserve"> </w:t>
      </w:r>
      <w:r>
        <w:rPr>
          <w:i/>
          <w:color w:val="2C398A"/>
          <w:sz w:val="24"/>
        </w:rPr>
        <w:t>urban and</w:t>
      </w:r>
      <w:r>
        <w:rPr>
          <w:i/>
          <w:color w:val="2C398A"/>
          <w:spacing w:val="-1"/>
          <w:sz w:val="24"/>
        </w:rPr>
        <w:t xml:space="preserve"> </w:t>
      </w:r>
      <w:r>
        <w:rPr>
          <w:i/>
          <w:color w:val="2C398A"/>
          <w:sz w:val="24"/>
        </w:rPr>
        <w:t>rail transport,</w:t>
      </w:r>
      <w:r>
        <w:rPr>
          <w:i/>
          <w:color w:val="2C398A"/>
          <w:spacing w:val="-1"/>
          <w:sz w:val="24"/>
        </w:rPr>
        <w:t xml:space="preserve"> </w:t>
      </w:r>
      <w:r>
        <w:rPr>
          <w:i/>
          <w:color w:val="2C398A"/>
          <w:sz w:val="24"/>
        </w:rPr>
        <w:t>clean and</w:t>
      </w:r>
      <w:r>
        <w:rPr>
          <w:i/>
          <w:color w:val="2C398A"/>
          <w:spacing w:val="-1"/>
          <w:sz w:val="24"/>
        </w:rPr>
        <w:t xml:space="preserve"> </w:t>
      </w:r>
      <w:r>
        <w:rPr>
          <w:i/>
          <w:color w:val="2C398A"/>
          <w:sz w:val="24"/>
        </w:rPr>
        <w:t>efficient production and</w:t>
      </w:r>
      <w:r>
        <w:rPr>
          <w:i/>
          <w:color w:val="2C398A"/>
          <w:spacing w:val="-1"/>
          <w:sz w:val="24"/>
        </w:rPr>
        <w:t xml:space="preserve"> </w:t>
      </w:r>
      <w:r>
        <w:rPr>
          <w:i/>
          <w:color w:val="2C398A"/>
          <w:sz w:val="24"/>
        </w:rPr>
        <w:t>use</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energy</w:t>
      </w:r>
    </w:p>
    <w:p w:rsidR="00A56FE9" w:rsidRDefault="00A56FE9">
      <w:pPr>
        <w:pStyle w:val="Tijeloteksta"/>
        <w:spacing w:before="3"/>
        <w:ind w:left="0"/>
        <w:jc w:val="left"/>
        <w:rPr>
          <w:i/>
          <w:sz w:val="21"/>
        </w:rPr>
      </w:pPr>
    </w:p>
    <w:p w:rsidR="00A56FE9" w:rsidRDefault="00000000">
      <w:pPr>
        <w:pStyle w:val="Naslov5"/>
        <w:spacing w:after="23"/>
      </w:pPr>
      <w:r>
        <w:t>Progress</w:t>
      </w:r>
      <w:r>
        <w:rPr>
          <w:spacing w:val="-3"/>
        </w:rPr>
        <w:t xml:space="preserve"> </w:t>
      </w:r>
      <w:r>
        <w:t>in</w:t>
      </w:r>
      <w:r>
        <w:rPr>
          <w:spacing w:val="-3"/>
        </w:rPr>
        <w:t xml:space="preserve"> </w:t>
      </w:r>
      <w:r>
        <w:t>implementing</w:t>
      </w:r>
      <w:r>
        <w:rPr>
          <w:spacing w:val="-3"/>
        </w:rPr>
        <w:t xml:space="preserve"> </w:t>
      </w:r>
      <w:r>
        <w:t>the</w:t>
      </w:r>
      <w:r>
        <w:rPr>
          <w:spacing w:val="-2"/>
        </w:rPr>
        <w:t xml:space="preserve"> </w:t>
      </w:r>
      <w:r>
        <w:t>recommendation</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473739534"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581761378" name="Rectangle 312"/>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F164862" id="Group 311"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">
                <v:rect id="Rectangle 312"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" fillcolor="#2c398a" stroked="f"/>
                <w10:anchorlock/>
              </v:group>
            </w:pict>
          </mc:Fallback>
        </mc:AlternateContent>
      </w:r>
    </w:p>
    <w:p w:rsidR="00A56FE9" w:rsidRDefault="00000000">
      <w:pPr>
        <w:pStyle w:val="Tijeloteksta"/>
        <w:spacing w:before="154"/>
        <w:ind w:right="272"/>
      </w:pPr>
      <w:r>
        <w:t>The Electricity Market Act</w:t>
      </w:r>
      <w:r>
        <w:rPr>
          <w:vertAlign w:val="superscript"/>
        </w:rPr>
        <w:t>6</w:t>
      </w:r>
      <w:r>
        <w:t xml:space="preserve"> and the Act on Renewable Energy Sources and High-efficiency</w:t>
      </w:r>
      <w:r>
        <w:rPr>
          <w:spacing w:val="1"/>
        </w:rPr>
        <w:t xml:space="preserve"> </w:t>
      </w:r>
      <w:r>
        <w:t>Cogeneration</w:t>
      </w:r>
      <w:r>
        <w:rPr>
          <w:vertAlign w:val="superscript"/>
        </w:rPr>
        <w:t>7</w:t>
      </w:r>
      <w:r>
        <w:t xml:space="preserve"> have</w:t>
      </w:r>
      <w:r>
        <w:rPr>
          <w:spacing w:val="-1"/>
        </w:rPr>
        <w:t xml:space="preserve"> </w:t>
      </w:r>
      <w:r>
        <w:t>been</w:t>
      </w:r>
      <w:r>
        <w:rPr>
          <w:spacing w:val="1"/>
        </w:rPr>
        <w:t xml:space="preserve"> </w:t>
      </w:r>
      <w:r>
        <w:t>adopted, and currently,</w:t>
      </w:r>
      <w:r>
        <w:rPr>
          <w:spacing w:val="-1"/>
        </w:rPr>
        <w:t xml:space="preserve"> </w:t>
      </w:r>
      <w:r>
        <w:t>bylaw</w:t>
      </w:r>
      <w:r>
        <w:rPr>
          <w:spacing w:val="1"/>
        </w:rPr>
        <w:t xml:space="preserve"> </w:t>
      </w:r>
      <w:r>
        <w:t>acts are</w:t>
      </w:r>
      <w:r>
        <w:rPr>
          <w:spacing w:val="-3"/>
        </w:rPr>
        <w:t xml:space="preserve"> </w:t>
      </w:r>
      <w:r>
        <w:t>being</w:t>
      </w:r>
      <w:r>
        <w:rPr>
          <w:spacing w:val="-3"/>
        </w:rPr>
        <w:t xml:space="preserve"> </w:t>
      </w:r>
      <w:r>
        <w:t>prepared.</w:t>
      </w:r>
    </w:p>
    <w:p w:rsidR="00A56FE9" w:rsidRDefault="00000000">
      <w:pPr>
        <w:pStyle w:val="Tijeloteksta"/>
        <w:spacing w:before="120"/>
        <w:ind w:right="272"/>
      </w:pPr>
      <w:r>
        <w:t>Amendments to the Electricity Market Act and the Act on Renewable Energy Sources and</w:t>
      </w:r>
      <w:r>
        <w:rPr>
          <w:spacing w:val="1"/>
        </w:rPr>
        <w:t xml:space="preserve"> </w:t>
      </w:r>
      <w:r>
        <w:t>High-efficiency Cogeneration reduce obstacles and facilitate administrative procedures that</w:t>
      </w:r>
      <w:r>
        <w:rPr>
          <w:spacing w:val="1"/>
        </w:rPr>
        <w:t xml:space="preserve"> </w:t>
      </w:r>
      <w:r>
        <w:t>prevent greater use of energy from renewable sources, promoting the consumption of energy</w:t>
      </w:r>
      <w:r>
        <w:rPr>
          <w:spacing w:val="1"/>
        </w:rPr>
        <w:t xml:space="preserve"> </w:t>
      </w:r>
      <w:r>
        <w:t>from renewable sources from proprietary production and organising energy communities from</w:t>
      </w:r>
      <w:r>
        <w:rPr>
          <w:spacing w:val="-57"/>
        </w:rPr>
        <w:t xml:space="preserve"> </w:t>
      </w:r>
      <w:r>
        <w:t>renewable sources. The system based on premiums for assisting renewable sources of energy</w:t>
      </w:r>
      <w:r>
        <w:rPr>
          <w:spacing w:val="1"/>
        </w:rPr>
        <w:t xml:space="preserve"> </w:t>
      </w:r>
      <w:r>
        <w:t>will</w:t>
      </w:r>
      <w:r>
        <w:rPr>
          <w:spacing w:val="-2"/>
        </w:rPr>
        <w:t xml:space="preserve"> </w:t>
      </w:r>
      <w:r>
        <w:t>become</w:t>
      </w:r>
      <w:r>
        <w:rPr>
          <w:spacing w:val="-3"/>
        </w:rPr>
        <w:t xml:space="preserve"> </w:t>
      </w:r>
      <w:r>
        <w:t>fully</w:t>
      </w:r>
      <w:r>
        <w:rPr>
          <w:spacing w:val="-8"/>
        </w:rPr>
        <w:t xml:space="preserve"> </w:t>
      </w:r>
      <w:r>
        <w:t>operational.</w:t>
      </w:r>
      <w:r>
        <w:rPr>
          <w:spacing w:val="-2"/>
        </w:rPr>
        <w:t xml:space="preserve"> </w:t>
      </w:r>
      <w:r>
        <w:t>Also,</w:t>
      </w:r>
      <w:r>
        <w:rPr>
          <w:spacing w:val="-3"/>
        </w:rPr>
        <w:t xml:space="preserve"> </w:t>
      </w:r>
      <w:r>
        <w:t>the</w:t>
      </w:r>
      <w:r>
        <w:rPr>
          <w:spacing w:val="-3"/>
        </w:rPr>
        <w:t xml:space="preserve"> </w:t>
      </w:r>
      <w:r>
        <w:t>Program</w:t>
      </w:r>
      <w:r>
        <w:rPr>
          <w:spacing w:val="-1"/>
        </w:rPr>
        <w:t xml:space="preserve"> </w:t>
      </w:r>
      <w:r>
        <w:t>for</w:t>
      </w:r>
      <w:r>
        <w:rPr>
          <w:spacing w:val="-4"/>
        </w:rPr>
        <w:t xml:space="preserve"> </w:t>
      </w:r>
      <w:r>
        <w:t>Energy</w:t>
      </w:r>
      <w:r>
        <w:rPr>
          <w:spacing w:val="-5"/>
        </w:rPr>
        <w:t xml:space="preserve"> </w:t>
      </w:r>
      <w:r>
        <w:t>Efficiency</w:t>
      </w:r>
      <w:r>
        <w:rPr>
          <w:spacing w:val="-4"/>
        </w:rPr>
        <w:t xml:space="preserve"> </w:t>
      </w:r>
      <w:r>
        <w:t>for</w:t>
      </w:r>
      <w:r>
        <w:rPr>
          <w:spacing w:val="-2"/>
        </w:rPr>
        <w:t xml:space="preserve"> </w:t>
      </w:r>
      <w:r>
        <w:t>Decarbonisation</w:t>
      </w:r>
      <w:r>
        <w:rPr>
          <w:spacing w:val="-3"/>
        </w:rPr>
        <w:t xml:space="preserve"> </w:t>
      </w:r>
      <w:r>
        <w:t>of</w:t>
      </w:r>
      <w:r>
        <w:rPr>
          <w:spacing w:val="-57"/>
        </w:rPr>
        <w:t xml:space="preserve"> </w:t>
      </w:r>
      <w:r>
        <w:t>the</w:t>
      </w:r>
      <w:r>
        <w:rPr>
          <w:spacing w:val="-4"/>
        </w:rPr>
        <w:t xml:space="preserve"> </w:t>
      </w:r>
      <w:r>
        <w:t>Energy</w:t>
      </w:r>
      <w:r>
        <w:rPr>
          <w:spacing w:val="-11"/>
        </w:rPr>
        <w:t xml:space="preserve"> </w:t>
      </w:r>
      <w:r>
        <w:t>Sector</w:t>
      </w:r>
      <w:r>
        <w:rPr>
          <w:spacing w:val="-3"/>
        </w:rPr>
        <w:t xml:space="preserve"> </w:t>
      </w:r>
      <w:r>
        <w:t>was</w:t>
      </w:r>
      <w:r>
        <w:rPr>
          <w:spacing w:val="-4"/>
        </w:rPr>
        <w:t xml:space="preserve"> </w:t>
      </w:r>
      <w:r>
        <w:t>adopted</w:t>
      </w:r>
      <w:r>
        <w:rPr>
          <w:spacing w:val="-3"/>
        </w:rPr>
        <w:t xml:space="preserve"> </w:t>
      </w:r>
      <w:r>
        <w:t>(thereby</w:t>
      </w:r>
      <w:r>
        <w:rPr>
          <w:spacing w:val="-9"/>
        </w:rPr>
        <w:t xml:space="preserve"> </w:t>
      </w:r>
      <w:r>
        <w:t>fulfilling</w:t>
      </w:r>
      <w:r>
        <w:rPr>
          <w:spacing w:val="-5"/>
        </w:rPr>
        <w:t xml:space="preserve"> </w:t>
      </w:r>
      <w:r>
        <w:t>the</w:t>
      </w:r>
      <w:r>
        <w:rPr>
          <w:spacing w:val="-5"/>
        </w:rPr>
        <w:t xml:space="preserve"> </w:t>
      </w:r>
      <w:r>
        <w:t>obligations</w:t>
      </w:r>
      <w:r>
        <w:rPr>
          <w:spacing w:val="-3"/>
        </w:rPr>
        <w:t xml:space="preserve"> </w:t>
      </w:r>
      <w:r>
        <w:t>of</w:t>
      </w:r>
      <w:r>
        <w:rPr>
          <w:spacing w:val="-5"/>
        </w:rPr>
        <w:t xml:space="preserve"> </w:t>
      </w:r>
      <w:r>
        <w:t>the</w:t>
      </w:r>
      <w:r>
        <w:rPr>
          <w:spacing w:val="-3"/>
        </w:rPr>
        <w:t xml:space="preserve"> </w:t>
      </w:r>
      <w:r>
        <w:t>National</w:t>
      </w:r>
      <w:r>
        <w:rPr>
          <w:spacing w:val="2"/>
        </w:rPr>
        <w:t xml:space="preserve"> </w:t>
      </w:r>
      <w:r>
        <w:t>Recovery</w:t>
      </w:r>
      <w:r>
        <w:rPr>
          <w:spacing w:val="-8"/>
        </w:rPr>
        <w:t xml:space="preserve"> </w:t>
      </w:r>
      <w:r>
        <w:t>and</w:t>
      </w:r>
      <w:r>
        <w:rPr>
          <w:spacing w:val="-58"/>
        </w:rPr>
        <w:t xml:space="preserve"> </w:t>
      </w:r>
      <w:r>
        <w:rPr>
          <w:spacing w:val="-1"/>
        </w:rPr>
        <w:t>Resilience</w:t>
      </w:r>
      <w:r>
        <w:rPr>
          <w:spacing w:val="-16"/>
        </w:rPr>
        <w:t xml:space="preserve"> </w:t>
      </w:r>
      <w:r>
        <w:rPr>
          <w:spacing w:val="-1"/>
        </w:rPr>
        <w:t>Plan</w:t>
      </w:r>
      <w:r>
        <w:rPr>
          <w:spacing w:val="-15"/>
        </w:rPr>
        <w:t xml:space="preserve"> </w:t>
      </w:r>
      <w:r>
        <w:t>(NRRP),</w:t>
      </w:r>
      <w:r>
        <w:rPr>
          <w:spacing w:val="-16"/>
        </w:rPr>
        <w:t xml:space="preserve"> </w:t>
      </w:r>
      <w:r>
        <w:t>indicator</w:t>
      </w:r>
      <w:r>
        <w:rPr>
          <w:spacing w:val="-15"/>
        </w:rPr>
        <w:t xml:space="preserve"> </w:t>
      </w:r>
      <w:r>
        <w:t>no.</w:t>
      </w:r>
      <w:r>
        <w:rPr>
          <w:spacing w:val="-15"/>
        </w:rPr>
        <w:t xml:space="preserve"> </w:t>
      </w:r>
      <w:r>
        <w:t>45).</w:t>
      </w:r>
      <w:r>
        <w:rPr>
          <w:spacing w:val="-13"/>
        </w:rPr>
        <w:t xml:space="preserve"> </w:t>
      </w:r>
      <w:r>
        <w:t>It</w:t>
      </w:r>
      <w:r>
        <w:rPr>
          <w:spacing w:val="-14"/>
        </w:rPr>
        <w:t xml:space="preserve"> </w:t>
      </w:r>
      <w:r>
        <w:t>identifies</w:t>
      </w:r>
      <w:r>
        <w:rPr>
          <w:spacing w:val="-14"/>
        </w:rPr>
        <w:t xml:space="preserve"> </w:t>
      </w:r>
      <w:r>
        <w:t>areas</w:t>
      </w:r>
      <w:r>
        <w:rPr>
          <w:spacing w:val="-15"/>
        </w:rPr>
        <w:t xml:space="preserve"> </w:t>
      </w:r>
      <w:r>
        <w:t>of</w:t>
      </w:r>
      <w:r>
        <w:rPr>
          <w:spacing w:val="-16"/>
        </w:rPr>
        <w:t xml:space="preserve"> </w:t>
      </w:r>
      <w:r>
        <w:t>investment</w:t>
      </w:r>
      <w:r>
        <w:rPr>
          <w:spacing w:val="-14"/>
        </w:rPr>
        <w:t xml:space="preserve"> </w:t>
      </w:r>
      <w:r>
        <w:t>for</w:t>
      </w:r>
      <w:r>
        <w:rPr>
          <w:spacing w:val="-16"/>
        </w:rPr>
        <w:t xml:space="preserve"> </w:t>
      </w:r>
      <w:r>
        <w:t>energy</w:t>
      </w:r>
      <w:r>
        <w:rPr>
          <w:spacing w:val="-20"/>
        </w:rPr>
        <w:t xml:space="preserve"> </w:t>
      </w:r>
      <w:r>
        <w:t>efficiency</w:t>
      </w:r>
      <w:r>
        <w:rPr>
          <w:spacing w:val="-57"/>
        </w:rPr>
        <w:t xml:space="preserve"> </w:t>
      </w:r>
      <w:r>
        <w:t>and</w:t>
      </w:r>
      <w:r>
        <w:rPr>
          <w:spacing w:val="1"/>
        </w:rPr>
        <w:t xml:space="preserve"> </w:t>
      </w:r>
      <w:r>
        <w:t>central</w:t>
      </w:r>
      <w:r>
        <w:rPr>
          <w:spacing w:val="1"/>
        </w:rPr>
        <w:t xml:space="preserve"> </w:t>
      </w:r>
      <w:r>
        <w:t>thermal</w:t>
      </w:r>
      <w:r>
        <w:rPr>
          <w:spacing w:val="1"/>
        </w:rPr>
        <w:t xml:space="preserve"> </w:t>
      </w:r>
      <w:r>
        <w:t>systems,</w:t>
      </w:r>
      <w:r>
        <w:rPr>
          <w:spacing w:val="1"/>
        </w:rPr>
        <w:t xml:space="preserve"> </w:t>
      </w:r>
      <w:r>
        <w:t>including</w:t>
      </w:r>
      <w:r>
        <w:rPr>
          <w:spacing w:val="1"/>
        </w:rPr>
        <w:t xml:space="preserve"> </w:t>
      </w:r>
      <w:r>
        <w:t>investment</w:t>
      </w:r>
      <w:r>
        <w:rPr>
          <w:spacing w:val="1"/>
        </w:rPr>
        <w:t xml:space="preserve"> </w:t>
      </w:r>
      <w:r>
        <w:t>priorities</w:t>
      </w:r>
      <w:r>
        <w:rPr>
          <w:spacing w:val="1"/>
        </w:rPr>
        <w:t xml:space="preserve"> </w:t>
      </w:r>
      <w:r>
        <w:t>until</w:t>
      </w:r>
      <w:r>
        <w:rPr>
          <w:spacing w:val="1"/>
        </w:rPr>
        <w:t xml:space="preserve"> </w:t>
      </w:r>
      <w:r>
        <w:t>2030.</w:t>
      </w:r>
      <w:r>
        <w:rPr>
          <w:spacing w:val="1"/>
        </w:rPr>
        <w:t xml:space="preserve"> </w:t>
      </w:r>
      <w:r>
        <w:t>The</w:t>
      </w:r>
      <w:r>
        <w:rPr>
          <w:spacing w:val="1"/>
        </w:rPr>
        <w:t xml:space="preserve"> </w:t>
      </w:r>
      <w:r>
        <w:t>planned</w:t>
      </w:r>
      <w:r>
        <w:rPr>
          <w:spacing w:val="1"/>
        </w:rPr>
        <w:t xml:space="preserve"> </w:t>
      </w:r>
      <w:r>
        <w:t>investments include the modernisation of the central thermal system and energy-intensive</w:t>
      </w:r>
      <w:r>
        <w:rPr>
          <w:spacing w:val="1"/>
        </w:rPr>
        <w:t xml:space="preserve"> </w:t>
      </w:r>
      <w:r>
        <w:t>industries,</w:t>
      </w:r>
      <w:r>
        <w:rPr>
          <w:spacing w:val="1"/>
        </w:rPr>
        <w:t xml:space="preserve"> </w:t>
      </w:r>
      <w:r>
        <w:t>with</w:t>
      </w:r>
      <w:r>
        <w:rPr>
          <w:spacing w:val="1"/>
        </w:rPr>
        <w:t xml:space="preserve"> </w:t>
      </w:r>
      <w:r>
        <w:t>an</w:t>
      </w:r>
      <w:r>
        <w:rPr>
          <w:spacing w:val="1"/>
        </w:rPr>
        <w:t xml:space="preserve"> </w:t>
      </w:r>
      <w:r>
        <w:t>emphasis</w:t>
      </w:r>
      <w:r>
        <w:rPr>
          <w:spacing w:val="1"/>
        </w:rPr>
        <w:t xml:space="preserve"> </w:t>
      </w:r>
      <w:r>
        <w:t>on</w:t>
      </w:r>
      <w:r>
        <w:rPr>
          <w:spacing w:val="1"/>
        </w:rPr>
        <w:t xml:space="preserve"> </w:t>
      </w:r>
      <w:r>
        <w:t>efficiency and</w:t>
      </w:r>
      <w:r>
        <w:rPr>
          <w:spacing w:val="1"/>
        </w:rPr>
        <w:t xml:space="preserve"> </w:t>
      </w:r>
      <w:r>
        <w:t>the</w:t>
      </w:r>
      <w:r>
        <w:rPr>
          <w:spacing w:val="1"/>
        </w:rPr>
        <w:t xml:space="preserve"> </w:t>
      </w:r>
      <w:r>
        <w:t>potential</w:t>
      </w:r>
      <w:r>
        <w:rPr>
          <w:spacing w:val="1"/>
        </w:rPr>
        <w:t xml:space="preserve"> </w:t>
      </w:r>
      <w:r>
        <w:t>for</w:t>
      </w:r>
      <w:r>
        <w:rPr>
          <w:spacing w:val="1"/>
        </w:rPr>
        <w:t xml:space="preserve"> </w:t>
      </w:r>
      <w:r>
        <w:t>generating</w:t>
      </w:r>
      <w:r>
        <w:rPr>
          <w:spacing w:val="1"/>
        </w:rPr>
        <w:t xml:space="preserve"> </w:t>
      </w:r>
      <w:r>
        <w:t>energy from</w:t>
      </w:r>
      <w:r>
        <w:rPr>
          <w:spacing w:val="1"/>
        </w:rPr>
        <w:t xml:space="preserve"> </w:t>
      </w:r>
      <w:r>
        <w:t>renewable</w:t>
      </w:r>
      <w:r>
        <w:rPr>
          <w:spacing w:val="1"/>
        </w:rPr>
        <w:t xml:space="preserve"> </w:t>
      </w:r>
      <w:r>
        <w:t>sources.</w:t>
      </w:r>
      <w:r>
        <w:rPr>
          <w:spacing w:val="1"/>
        </w:rPr>
        <w:t xml:space="preserve"> </w:t>
      </w:r>
      <w:r>
        <w:t>State</w:t>
      </w:r>
      <w:r>
        <w:rPr>
          <w:spacing w:val="1"/>
        </w:rPr>
        <w:t xml:space="preserve"> </w:t>
      </w:r>
      <w:r>
        <w:t>assistance</w:t>
      </w:r>
      <w:r>
        <w:rPr>
          <w:spacing w:val="1"/>
        </w:rPr>
        <w:t xml:space="preserve"> </w:t>
      </w:r>
      <w:r>
        <w:t>programs</w:t>
      </w:r>
      <w:r>
        <w:rPr>
          <w:spacing w:val="1"/>
        </w:rPr>
        <w:t xml:space="preserve"> </w:t>
      </w:r>
      <w:r>
        <w:t>and</w:t>
      </w:r>
      <w:r>
        <w:rPr>
          <w:spacing w:val="1"/>
        </w:rPr>
        <w:t xml:space="preserve"> </w:t>
      </w:r>
      <w:r>
        <w:t>decisions</w:t>
      </w:r>
      <w:r>
        <w:rPr>
          <w:spacing w:val="1"/>
        </w:rPr>
        <w:t xml:space="preserve"> </w:t>
      </w:r>
      <w:r>
        <w:t>on</w:t>
      </w:r>
      <w:r>
        <w:rPr>
          <w:spacing w:val="1"/>
        </w:rPr>
        <w:t xml:space="preserve"> </w:t>
      </w:r>
      <w:r>
        <w:t>financing</w:t>
      </w:r>
      <w:r>
        <w:rPr>
          <w:spacing w:val="1"/>
        </w:rPr>
        <w:t xml:space="preserve"> </w:t>
      </w:r>
      <w:r>
        <w:t>75</w:t>
      </w:r>
      <w:r>
        <w:rPr>
          <w:spacing w:val="1"/>
        </w:rPr>
        <w:t xml:space="preserve"> </w:t>
      </w:r>
      <w:r>
        <w:t>selected</w:t>
      </w:r>
      <w:r>
        <w:rPr>
          <w:spacing w:val="1"/>
        </w:rPr>
        <w:t xml:space="preserve"> </w:t>
      </w:r>
      <w:r>
        <w:t>applicants/companies were made in November 2021, and by the end of December 2021, all</w:t>
      </w:r>
      <w:r>
        <w:rPr>
          <w:spacing w:val="1"/>
        </w:rPr>
        <w:t xml:space="preserve"> </w:t>
      </w:r>
      <w:r>
        <w:t>grant</w:t>
      </w:r>
      <w:r>
        <w:rPr>
          <w:spacing w:val="1"/>
        </w:rPr>
        <w:t xml:space="preserve"> </w:t>
      </w:r>
      <w:r>
        <w:t>agreements</w:t>
      </w:r>
      <w:r>
        <w:rPr>
          <w:spacing w:val="1"/>
        </w:rPr>
        <w:t xml:space="preserve"> </w:t>
      </w:r>
      <w:r>
        <w:t>were</w:t>
      </w:r>
      <w:r>
        <w:rPr>
          <w:spacing w:val="1"/>
        </w:rPr>
        <w:t xml:space="preserve"> </w:t>
      </w:r>
      <w:r>
        <w:t>signed</w:t>
      </w:r>
      <w:r>
        <w:rPr>
          <w:spacing w:val="1"/>
        </w:rPr>
        <w:t xml:space="preserve"> </w:t>
      </w:r>
      <w:r>
        <w:t>with</w:t>
      </w:r>
      <w:r>
        <w:rPr>
          <w:spacing w:val="1"/>
        </w:rPr>
        <w:t xml:space="preserve"> </w:t>
      </w:r>
      <w:r>
        <w:t>companies/beneficiaries.</w:t>
      </w:r>
      <w:r>
        <w:rPr>
          <w:spacing w:val="1"/>
        </w:rPr>
        <w:t xml:space="preserve"> </w:t>
      </w:r>
      <w:r>
        <w:t>In</w:t>
      </w:r>
      <w:r>
        <w:rPr>
          <w:spacing w:val="1"/>
        </w:rPr>
        <w:t xml:space="preserve"> </w:t>
      </w:r>
      <w:r>
        <w:t>May</w:t>
      </w:r>
      <w:r>
        <w:rPr>
          <w:spacing w:val="1"/>
        </w:rPr>
        <w:t xml:space="preserve"> </w:t>
      </w:r>
      <w:r>
        <w:t>2021,</w:t>
      </w:r>
      <w:r>
        <w:rPr>
          <w:spacing w:val="1"/>
        </w:rPr>
        <w:t xml:space="preserve"> </w:t>
      </w:r>
      <w:r>
        <w:t>the</w:t>
      </w:r>
      <w:r>
        <w:rPr>
          <w:spacing w:val="1"/>
        </w:rPr>
        <w:t xml:space="preserve"> </w:t>
      </w:r>
      <w:r>
        <w:t>Act</w:t>
      </w:r>
      <w:r>
        <w:rPr>
          <w:spacing w:val="1"/>
        </w:rPr>
        <w:t xml:space="preserve"> </w:t>
      </w:r>
      <w:r>
        <w:t>on</w:t>
      </w:r>
      <w:r>
        <w:rPr>
          <w:spacing w:val="1"/>
        </w:rPr>
        <w:t xml:space="preserve"> </w:t>
      </w:r>
      <w:r>
        <w:t>Amendments to the Act on Biofuels for Transport</w:t>
      </w:r>
      <w:r>
        <w:rPr>
          <w:vertAlign w:val="superscript"/>
        </w:rPr>
        <w:t>8</w:t>
      </w:r>
      <w:r>
        <w:t xml:space="preserve"> (Alternative Fuels in Transport) was</w:t>
      </w:r>
      <w:r>
        <w:rPr>
          <w:spacing w:val="1"/>
        </w:rPr>
        <w:t xml:space="preserve"> </w:t>
      </w:r>
      <w:r>
        <w:t>adopted, and Croatia passed the Croatian Hydrogen Strategy for 2050 in March 2022. The</w:t>
      </w:r>
      <w:r>
        <w:rPr>
          <w:spacing w:val="1"/>
        </w:rPr>
        <w:t xml:space="preserve"> </w:t>
      </w:r>
      <w:r>
        <w:t>strategy considers the potential of hydrogen in decarbonising the economy and how this</w:t>
      </w:r>
      <w:r>
        <w:rPr>
          <w:spacing w:val="1"/>
        </w:rPr>
        <w:t xml:space="preserve"> </w:t>
      </w:r>
      <w:r>
        <w:t>potential</w:t>
      </w:r>
      <w:r>
        <w:rPr>
          <w:spacing w:val="-4"/>
        </w:rPr>
        <w:t xml:space="preserve"> </w:t>
      </w:r>
      <w:r>
        <w:t>can</w:t>
      </w:r>
      <w:r>
        <w:rPr>
          <w:spacing w:val="-4"/>
        </w:rPr>
        <w:t xml:space="preserve"> </w:t>
      </w:r>
      <w:r>
        <w:t>be</w:t>
      </w:r>
      <w:r>
        <w:rPr>
          <w:spacing w:val="-5"/>
        </w:rPr>
        <w:t xml:space="preserve"> </w:t>
      </w:r>
      <w:r>
        <w:t>used</w:t>
      </w:r>
      <w:r>
        <w:rPr>
          <w:spacing w:val="-4"/>
        </w:rPr>
        <w:t xml:space="preserve"> </w:t>
      </w:r>
      <w:r>
        <w:t>for</w:t>
      </w:r>
      <w:r>
        <w:rPr>
          <w:spacing w:val="-3"/>
        </w:rPr>
        <w:t xml:space="preserve"> </w:t>
      </w:r>
      <w:r>
        <w:t>investment,</w:t>
      </w:r>
      <w:r>
        <w:rPr>
          <w:spacing w:val="-3"/>
        </w:rPr>
        <w:t xml:space="preserve"> </w:t>
      </w:r>
      <w:r>
        <w:t>regulation,</w:t>
      </w:r>
      <w:r>
        <w:rPr>
          <w:spacing w:val="-3"/>
        </w:rPr>
        <w:t xml:space="preserve"> </w:t>
      </w:r>
      <w:r>
        <w:t>creating</w:t>
      </w:r>
      <w:r>
        <w:rPr>
          <w:spacing w:val="-6"/>
        </w:rPr>
        <w:t xml:space="preserve"> </w:t>
      </w:r>
      <w:r>
        <w:t>markets,</w:t>
      </w:r>
      <w:r>
        <w:rPr>
          <w:spacing w:val="-3"/>
        </w:rPr>
        <w:t xml:space="preserve"> </w:t>
      </w:r>
      <w:r>
        <w:t>and</w:t>
      </w:r>
      <w:r>
        <w:rPr>
          <w:spacing w:val="-2"/>
        </w:rPr>
        <w:t xml:space="preserve"> </w:t>
      </w:r>
      <w:r>
        <w:t>research</w:t>
      </w:r>
      <w:r>
        <w:rPr>
          <w:spacing w:val="-4"/>
        </w:rPr>
        <w:t xml:space="preserve"> </w:t>
      </w:r>
      <w:r>
        <w:t>and</w:t>
      </w:r>
      <w:r>
        <w:rPr>
          <w:spacing w:val="-4"/>
        </w:rPr>
        <w:t xml:space="preserve"> </w:t>
      </w:r>
      <w:r>
        <w:t>innovation</w:t>
      </w:r>
      <w:r>
        <w:rPr>
          <w:spacing w:val="-58"/>
        </w:rPr>
        <w:t xml:space="preserve"> </w:t>
      </w:r>
      <w:r>
        <w:t>in</w:t>
      </w:r>
      <w:r>
        <w:rPr>
          <w:spacing w:val="-1"/>
        </w:rPr>
        <w:t xml:space="preserve"> </w:t>
      </w:r>
      <w:r>
        <w:t>the</w:t>
      </w:r>
      <w:r>
        <w:rPr>
          <w:spacing w:val="-1"/>
        </w:rPr>
        <w:t xml:space="preserve"> </w:t>
      </w:r>
      <w:r>
        <w:t>hydrogen-based economy.</w:t>
      </w:r>
    </w:p>
    <w:p w:rsidR="00A56FE9" w:rsidRDefault="00A56FE9">
      <w:pPr>
        <w:pStyle w:val="Tijeloteksta"/>
        <w:spacing w:before="2"/>
        <w:ind w:left="0"/>
        <w:jc w:val="left"/>
        <w:rPr>
          <w:sz w:val="21"/>
        </w:rPr>
      </w:pPr>
    </w:p>
    <w:p w:rsidR="00A56FE9" w:rsidRDefault="00CC1B9B">
      <w:pPr>
        <w:pStyle w:val="Naslov5"/>
      </w:pPr>
      <w:r>
        <w:rPr>
          <w:noProof/>
        </w:rPr>
        <mc:AlternateContent>
          <mc:Choice Requires="wps">
            <w:drawing>
              <wp:anchor distT="0" distB="0" distL="0" distR="0" simplePos="0" relativeHeight="487598592" behindDoc="1" locked="0" layoutInCell="1" allowOverlap="1">
                <wp:simplePos x="0" y="0"/>
                <wp:positionH relativeFrom="page">
                  <wp:posOffset>882650</wp:posOffset>
                </wp:positionH>
                <wp:positionV relativeFrom="paragraph">
                  <wp:posOffset>189230</wp:posOffset>
                </wp:positionV>
                <wp:extent cx="3367405" cy="12065"/>
                <wp:effectExtent l="0" t="0" r="0" b="0"/>
                <wp:wrapTopAndBottom/>
                <wp:docPr id="1910552975"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7405"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BC8AA" id="Rectangle 310" o:spid="_x0000_s1026" style="position:absolute;margin-left:69.5pt;margin-top:14.9pt;width:265.15pt;height:.95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" fillcolor="#2c398a" stroked="f">
                <w10:wrap type="topAndBottom" anchorx="page"/>
              </v:rect>
            </w:pict>
          </mc:Fallback>
        </mc:AlternateContent>
      </w:r>
      <w:r w:rsidR="00000000">
        <w:t>Planned</w:t>
      </w:r>
      <w:r w:rsidR="00000000">
        <w:rPr>
          <w:spacing w:val="-1"/>
        </w:rPr>
        <w:t xml:space="preserve"> </w:t>
      </w:r>
      <w:r w:rsidR="00000000">
        <w:t>NRRP</w:t>
      </w:r>
      <w:r w:rsidR="00000000">
        <w:rPr>
          <w:spacing w:val="-5"/>
        </w:rPr>
        <w:t xml:space="preserve"> </w:t>
      </w:r>
      <w:r w:rsidR="00000000">
        <w:t>reforms and</w:t>
      </w:r>
      <w:r w:rsidR="00000000">
        <w:rPr>
          <w:spacing w:val="-2"/>
        </w:rPr>
        <w:t xml:space="preserve"> </w:t>
      </w:r>
      <w:r w:rsidR="00000000">
        <w:t>investments</w:t>
      </w:r>
    </w:p>
    <w:p w:rsidR="00A56FE9" w:rsidRDefault="00000000">
      <w:pPr>
        <w:pStyle w:val="Tijeloteksta"/>
        <w:spacing w:before="126"/>
        <w:ind w:right="276"/>
      </w:pPr>
      <w:r>
        <w:t>Energy</w:t>
      </w:r>
      <w:r>
        <w:rPr>
          <w:spacing w:val="-11"/>
        </w:rPr>
        <w:t xml:space="preserve"> </w:t>
      </w:r>
      <w:r>
        <w:t>is</w:t>
      </w:r>
      <w:r>
        <w:rPr>
          <w:spacing w:val="-5"/>
        </w:rPr>
        <w:t xml:space="preserve"> </w:t>
      </w:r>
      <w:r>
        <w:t>covered</w:t>
      </w:r>
      <w:r>
        <w:rPr>
          <w:spacing w:val="-6"/>
        </w:rPr>
        <w:t xml:space="preserve"> </w:t>
      </w:r>
      <w:r>
        <w:t>in</w:t>
      </w:r>
      <w:r>
        <w:rPr>
          <w:spacing w:val="-4"/>
        </w:rPr>
        <w:t xml:space="preserve"> </w:t>
      </w:r>
      <w:r>
        <w:t>the</w:t>
      </w:r>
      <w:r>
        <w:rPr>
          <w:spacing w:val="-7"/>
        </w:rPr>
        <w:t xml:space="preserve"> </w:t>
      </w:r>
      <w:r>
        <w:t>NRRP</w:t>
      </w:r>
      <w:r>
        <w:rPr>
          <w:spacing w:val="-4"/>
        </w:rPr>
        <w:t xml:space="preserve"> </w:t>
      </w:r>
      <w:r>
        <w:t>under</w:t>
      </w:r>
      <w:r>
        <w:rPr>
          <w:spacing w:val="-7"/>
        </w:rPr>
        <w:t xml:space="preserve"> </w:t>
      </w:r>
      <w:r>
        <w:t>subcomponent</w:t>
      </w:r>
      <w:r>
        <w:rPr>
          <w:spacing w:val="-5"/>
        </w:rPr>
        <w:t xml:space="preserve"> </w:t>
      </w:r>
      <w:r>
        <w:t>C1.2.</w:t>
      </w:r>
      <w:r>
        <w:rPr>
          <w:spacing w:val="-6"/>
        </w:rPr>
        <w:t xml:space="preserve"> </w:t>
      </w:r>
      <w:r>
        <w:t>Energy</w:t>
      </w:r>
      <w:r>
        <w:rPr>
          <w:spacing w:val="-10"/>
        </w:rPr>
        <w:t xml:space="preserve"> </w:t>
      </w:r>
      <w:r>
        <w:t>Transition</w:t>
      </w:r>
      <w:r>
        <w:rPr>
          <w:spacing w:val="-6"/>
        </w:rPr>
        <w:t xml:space="preserve"> </w:t>
      </w:r>
      <w:r>
        <w:t>for</w:t>
      </w:r>
      <w:r>
        <w:rPr>
          <w:spacing w:val="-7"/>
        </w:rPr>
        <w:t xml:space="preserve"> </w:t>
      </w:r>
      <w:r>
        <w:t>a</w:t>
      </w:r>
      <w:r>
        <w:rPr>
          <w:spacing w:val="-7"/>
        </w:rPr>
        <w:t xml:space="preserve"> </w:t>
      </w:r>
      <w:r>
        <w:t>Sustainable</w:t>
      </w:r>
      <w:r>
        <w:rPr>
          <w:spacing w:val="-57"/>
        </w:rPr>
        <w:t xml:space="preserve"> </w:t>
      </w:r>
      <w:r>
        <w:t>Economy, and is fully committed to green transition and decarbonisation. Reform C1.2 R1</w:t>
      </w:r>
      <w:r>
        <w:rPr>
          <w:spacing w:val="1"/>
        </w:rPr>
        <w:t xml:space="preserve"> </w:t>
      </w:r>
      <w:r>
        <w:t>Decarbonisation</w:t>
      </w:r>
      <w:r>
        <w:rPr>
          <w:spacing w:val="-6"/>
        </w:rPr>
        <w:t xml:space="preserve"> </w:t>
      </w:r>
      <w:r>
        <w:t>of</w:t>
      </w:r>
      <w:r>
        <w:rPr>
          <w:spacing w:val="-5"/>
        </w:rPr>
        <w:t xml:space="preserve"> </w:t>
      </w:r>
      <w:r>
        <w:t>the</w:t>
      </w:r>
      <w:r>
        <w:rPr>
          <w:spacing w:val="-3"/>
        </w:rPr>
        <w:t xml:space="preserve"> </w:t>
      </w:r>
      <w:r>
        <w:t>energy</w:t>
      </w:r>
      <w:r>
        <w:rPr>
          <w:spacing w:val="-10"/>
        </w:rPr>
        <w:t xml:space="preserve"> </w:t>
      </w:r>
      <w:r>
        <w:t>sector</w:t>
      </w:r>
      <w:r>
        <w:rPr>
          <w:spacing w:val="-4"/>
        </w:rPr>
        <w:t xml:space="preserve"> </w:t>
      </w:r>
      <w:r>
        <w:t>is</w:t>
      </w:r>
      <w:r>
        <w:rPr>
          <w:spacing w:val="-3"/>
        </w:rPr>
        <w:t xml:space="preserve"> </w:t>
      </w:r>
      <w:r>
        <w:t>envisaged,</w:t>
      </w:r>
      <w:r>
        <w:rPr>
          <w:spacing w:val="-5"/>
        </w:rPr>
        <w:t xml:space="preserve"> </w:t>
      </w:r>
      <w:r>
        <w:t>and</w:t>
      </w:r>
      <w:r>
        <w:rPr>
          <w:spacing w:val="-6"/>
        </w:rPr>
        <w:t xml:space="preserve"> </w:t>
      </w:r>
      <w:r>
        <w:t>its</w:t>
      </w:r>
      <w:r>
        <w:rPr>
          <w:spacing w:val="-4"/>
        </w:rPr>
        <w:t xml:space="preserve"> </w:t>
      </w:r>
      <w:r>
        <w:t>implementation</w:t>
      </w:r>
      <w:r>
        <w:rPr>
          <w:spacing w:val="-3"/>
        </w:rPr>
        <w:t xml:space="preserve"> </w:t>
      </w:r>
      <w:r>
        <w:t>will</w:t>
      </w:r>
      <w:r>
        <w:rPr>
          <w:spacing w:val="-5"/>
        </w:rPr>
        <w:t xml:space="preserve"> </w:t>
      </w:r>
      <w:r>
        <w:t>ensure</w:t>
      </w:r>
      <w:r>
        <w:rPr>
          <w:spacing w:val="-6"/>
        </w:rPr>
        <w:t xml:space="preserve"> </w:t>
      </w:r>
      <w:r>
        <w:t>Croatia's</w:t>
      </w:r>
      <w:r>
        <w:rPr>
          <w:spacing w:val="-57"/>
        </w:rPr>
        <w:t xml:space="preserve"> </w:t>
      </w:r>
      <w:r>
        <w:t>turning</w:t>
      </w:r>
      <w:r>
        <w:rPr>
          <w:spacing w:val="5"/>
        </w:rPr>
        <w:t xml:space="preserve"> </w:t>
      </w:r>
      <w:r>
        <w:t>towards</w:t>
      </w:r>
      <w:r>
        <w:rPr>
          <w:spacing w:val="8"/>
        </w:rPr>
        <w:t xml:space="preserve"> </w:t>
      </w:r>
      <w:r>
        <w:t>clean</w:t>
      </w:r>
      <w:r>
        <w:rPr>
          <w:spacing w:val="8"/>
        </w:rPr>
        <w:t xml:space="preserve"> </w:t>
      </w:r>
      <w:r>
        <w:t>energy.</w:t>
      </w:r>
      <w:r>
        <w:rPr>
          <w:spacing w:val="10"/>
        </w:rPr>
        <w:t xml:space="preserve"> </w:t>
      </w:r>
      <w:r>
        <w:t>The</w:t>
      </w:r>
      <w:r>
        <w:rPr>
          <w:spacing w:val="7"/>
        </w:rPr>
        <w:t xml:space="preserve"> </w:t>
      </w:r>
      <w:r>
        <w:t>reform</w:t>
      </w:r>
      <w:r>
        <w:rPr>
          <w:spacing w:val="8"/>
        </w:rPr>
        <w:t xml:space="preserve"> </w:t>
      </w:r>
      <w:r>
        <w:t>is</w:t>
      </w:r>
      <w:r>
        <w:rPr>
          <w:spacing w:val="9"/>
        </w:rPr>
        <w:t xml:space="preserve"> </w:t>
      </w:r>
      <w:r>
        <w:t>expected</w:t>
      </w:r>
      <w:r>
        <w:rPr>
          <w:spacing w:val="6"/>
        </w:rPr>
        <w:t xml:space="preserve"> </w:t>
      </w:r>
      <w:r>
        <w:t>to</w:t>
      </w:r>
      <w:r>
        <w:rPr>
          <w:spacing w:val="8"/>
        </w:rPr>
        <w:t xml:space="preserve"> </w:t>
      </w:r>
      <w:r>
        <w:t>provide</w:t>
      </w:r>
      <w:r>
        <w:rPr>
          <w:spacing w:val="7"/>
        </w:rPr>
        <w:t xml:space="preserve"> </w:t>
      </w:r>
      <w:r>
        <w:t>the</w:t>
      </w:r>
      <w:r>
        <w:rPr>
          <w:spacing w:val="7"/>
        </w:rPr>
        <w:t xml:space="preserve"> </w:t>
      </w:r>
      <w:r>
        <w:t>infrastructure</w:t>
      </w:r>
      <w:r>
        <w:rPr>
          <w:spacing w:val="7"/>
        </w:rPr>
        <w:t xml:space="preserve"> </w:t>
      </w:r>
      <w:r>
        <w:t>needed</w:t>
      </w:r>
      <w:r>
        <w:rPr>
          <w:spacing w:val="8"/>
        </w:rPr>
        <w:t xml:space="preserve"> </w:t>
      </w:r>
      <w:r>
        <w:t>for</w:t>
      </w:r>
    </w:p>
    <w:p w:rsidR="00A56FE9" w:rsidRDefault="00A56FE9">
      <w:pPr>
        <w:pStyle w:val="Tijeloteksta"/>
        <w:ind w:left="0"/>
        <w:jc w:val="left"/>
        <w:rPr>
          <w:sz w:val="20"/>
        </w:rPr>
      </w:pPr>
    </w:p>
    <w:p w:rsidR="00A56FE9" w:rsidRDefault="00CC1B9B">
      <w:pPr>
        <w:pStyle w:val="Tijeloteksta"/>
        <w:spacing w:before="2"/>
        <w:ind w:left="0"/>
        <w:jc w:val="left"/>
        <w:rPr>
          <w:sz w:val="11"/>
        </w:rPr>
      </w:pPr>
      <w:r>
        <w:rPr>
          <w:noProof/>
        </w:rPr>
        <mc:AlternateContent>
          <mc:Choice Requires="wps">
            <w:drawing>
              <wp:anchor distT="0" distB="0" distL="0" distR="0" simplePos="0" relativeHeight="487599104" behindDoc="1" locked="0" layoutInCell="1" allowOverlap="1">
                <wp:simplePos x="0" y="0"/>
                <wp:positionH relativeFrom="page">
                  <wp:posOffset>901065</wp:posOffset>
                </wp:positionH>
                <wp:positionV relativeFrom="paragraph">
                  <wp:posOffset>106680</wp:posOffset>
                </wp:positionV>
                <wp:extent cx="1828800" cy="7620"/>
                <wp:effectExtent l="0" t="0" r="0" b="0"/>
                <wp:wrapTopAndBottom/>
                <wp:docPr id="297440956"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28B39" id="Rectangle 309" o:spid="_x0000_s1026" style="position:absolute;margin-left:70.95pt;margin-top:8.4pt;width:2in;height:.6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" fillcolor="black" stroked="f">
                <w10:wrap type="topAndBottom" anchorx="page"/>
              </v:rect>
            </w:pict>
          </mc:Fallback>
        </mc:AlternateContent>
      </w:r>
    </w:p>
    <w:p w:rsidR="00A56FE9" w:rsidRDefault="00000000">
      <w:pPr>
        <w:spacing w:before="76" w:line="183" w:lineRule="exact"/>
        <w:ind w:left="138"/>
        <w:rPr>
          <w:sz w:val="16"/>
        </w:rPr>
      </w:pPr>
      <w:r>
        <w:rPr>
          <w:sz w:val="16"/>
          <w:vertAlign w:val="superscript"/>
        </w:rPr>
        <w:t>6</w:t>
      </w:r>
      <w:r>
        <w:rPr>
          <w:spacing w:val="-1"/>
          <w:sz w:val="16"/>
        </w:rPr>
        <w:t xml:space="preserve"> </w:t>
      </w:r>
      <w:r>
        <w:rPr>
          <w:sz w:val="16"/>
        </w:rPr>
        <w:t>OG</w:t>
      </w:r>
      <w:r>
        <w:rPr>
          <w:spacing w:val="-3"/>
          <w:sz w:val="16"/>
        </w:rPr>
        <w:t xml:space="preserve"> </w:t>
      </w:r>
      <w:r>
        <w:rPr>
          <w:sz w:val="16"/>
        </w:rPr>
        <w:t>111/21</w:t>
      </w:r>
    </w:p>
    <w:p w:rsidR="00A56FE9" w:rsidRDefault="00000000">
      <w:pPr>
        <w:spacing w:line="183" w:lineRule="exact"/>
        <w:ind w:left="138"/>
        <w:rPr>
          <w:sz w:val="16"/>
        </w:rPr>
      </w:pPr>
      <w:r>
        <w:rPr>
          <w:sz w:val="16"/>
          <w:vertAlign w:val="superscript"/>
        </w:rPr>
        <w:t>7</w:t>
      </w:r>
      <w:r>
        <w:rPr>
          <w:spacing w:val="-1"/>
          <w:sz w:val="16"/>
        </w:rPr>
        <w:t xml:space="preserve"> </w:t>
      </w:r>
      <w:r>
        <w:rPr>
          <w:sz w:val="16"/>
        </w:rPr>
        <w:t>OG</w:t>
      </w:r>
      <w:r>
        <w:rPr>
          <w:spacing w:val="-3"/>
          <w:sz w:val="16"/>
        </w:rPr>
        <w:t xml:space="preserve"> </w:t>
      </w:r>
      <w:r>
        <w:rPr>
          <w:sz w:val="16"/>
        </w:rPr>
        <w:t>138/21</w:t>
      </w:r>
    </w:p>
    <w:p w:rsidR="00A56FE9" w:rsidRDefault="00000000">
      <w:pPr>
        <w:spacing w:before="1"/>
        <w:ind w:left="138"/>
        <w:rPr>
          <w:sz w:val="16"/>
        </w:rPr>
      </w:pPr>
      <w:r>
        <w:rPr>
          <w:sz w:val="16"/>
          <w:vertAlign w:val="superscript"/>
        </w:rPr>
        <w:t>8</w:t>
      </w:r>
      <w:r>
        <w:rPr>
          <w:spacing w:val="-3"/>
          <w:sz w:val="16"/>
        </w:rPr>
        <w:t xml:space="preserve"> </w:t>
      </w:r>
      <w:r>
        <w:rPr>
          <w:sz w:val="16"/>
        </w:rPr>
        <w:t>OG</w:t>
      </w:r>
      <w:r>
        <w:rPr>
          <w:spacing w:val="-5"/>
          <w:sz w:val="16"/>
        </w:rPr>
        <w:t xml:space="preserve"> </w:t>
      </w:r>
      <w:r>
        <w:rPr>
          <w:sz w:val="16"/>
        </w:rPr>
        <w:t>65/09,</w:t>
      </w:r>
      <w:r>
        <w:rPr>
          <w:spacing w:val="-5"/>
          <w:sz w:val="16"/>
        </w:rPr>
        <w:t xml:space="preserve"> </w:t>
      </w:r>
      <w:r>
        <w:rPr>
          <w:sz w:val="16"/>
        </w:rPr>
        <w:t>145/10,</w:t>
      </w:r>
      <w:r>
        <w:rPr>
          <w:spacing w:val="-4"/>
          <w:sz w:val="16"/>
        </w:rPr>
        <w:t xml:space="preserve"> </w:t>
      </w:r>
      <w:r>
        <w:rPr>
          <w:sz w:val="16"/>
        </w:rPr>
        <w:t>26/11,</w:t>
      </w:r>
      <w:r>
        <w:rPr>
          <w:spacing w:val="-5"/>
          <w:sz w:val="16"/>
        </w:rPr>
        <w:t xml:space="preserve"> </w:t>
      </w:r>
      <w:r>
        <w:rPr>
          <w:sz w:val="16"/>
        </w:rPr>
        <w:t>144/12,</w:t>
      </w:r>
      <w:r>
        <w:rPr>
          <w:spacing w:val="-4"/>
          <w:sz w:val="16"/>
        </w:rPr>
        <w:t xml:space="preserve"> </w:t>
      </w:r>
      <w:r>
        <w:rPr>
          <w:sz w:val="16"/>
        </w:rPr>
        <w:t>14/14,</w:t>
      </w:r>
      <w:r>
        <w:rPr>
          <w:spacing w:val="-5"/>
          <w:sz w:val="16"/>
        </w:rPr>
        <w:t xml:space="preserve"> </w:t>
      </w:r>
      <w:r>
        <w:rPr>
          <w:sz w:val="16"/>
        </w:rPr>
        <w:t>94/18</w:t>
      </w:r>
      <w:r>
        <w:rPr>
          <w:spacing w:val="-3"/>
          <w:sz w:val="16"/>
        </w:rPr>
        <w:t xml:space="preserve"> </w:t>
      </w:r>
      <w:r>
        <w:rPr>
          <w:sz w:val="16"/>
        </w:rPr>
        <w:t>and</w:t>
      </w:r>
      <w:r>
        <w:rPr>
          <w:spacing w:val="-3"/>
          <w:sz w:val="16"/>
        </w:rPr>
        <w:t xml:space="preserve"> </w:t>
      </w:r>
      <w:r>
        <w:rPr>
          <w:sz w:val="16"/>
        </w:rPr>
        <w:t>52/21</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jc w:val="left"/>
      </w:pPr>
      <w:r>
        <w:t>better and</w:t>
      </w:r>
      <w:r>
        <w:rPr>
          <w:spacing w:val="3"/>
        </w:rPr>
        <w:t xml:space="preserve"> </w:t>
      </w:r>
      <w:r>
        <w:t>faster</w:t>
      </w:r>
      <w:r>
        <w:rPr>
          <w:spacing w:val="2"/>
        </w:rPr>
        <w:t xml:space="preserve"> </w:t>
      </w:r>
      <w:r>
        <w:t>implementation</w:t>
      </w:r>
      <w:r>
        <w:rPr>
          <w:spacing w:val="1"/>
        </w:rPr>
        <w:t xml:space="preserve"> </w:t>
      </w:r>
      <w:r>
        <w:t>of clean</w:t>
      </w:r>
      <w:r>
        <w:rPr>
          <w:spacing w:val="1"/>
        </w:rPr>
        <w:t xml:space="preserve"> </w:t>
      </w:r>
      <w:r>
        <w:t>technologies in</w:t>
      </w:r>
      <w:r>
        <w:rPr>
          <w:spacing w:val="1"/>
        </w:rPr>
        <w:t xml:space="preserve"> </w:t>
      </w:r>
      <w:r>
        <w:t>the</w:t>
      </w:r>
      <w:r>
        <w:rPr>
          <w:spacing w:val="2"/>
        </w:rPr>
        <w:t xml:space="preserve"> </w:t>
      </w:r>
      <w:r>
        <w:t>electricity,</w:t>
      </w:r>
      <w:r>
        <w:rPr>
          <w:spacing w:val="1"/>
        </w:rPr>
        <w:t xml:space="preserve"> </w:t>
      </w:r>
      <w:r>
        <w:t>transport,</w:t>
      </w:r>
      <w:r>
        <w:rPr>
          <w:spacing w:val="1"/>
        </w:rPr>
        <w:t xml:space="preserve"> </w:t>
      </w:r>
      <w:r>
        <w:t>heating</w:t>
      </w:r>
      <w:r>
        <w:rPr>
          <w:spacing w:val="-2"/>
        </w:rPr>
        <w:t xml:space="preserve"> </w:t>
      </w:r>
      <w:r>
        <w:t>and</w:t>
      </w:r>
      <w:r>
        <w:rPr>
          <w:spacing w:val="-57"/>
        </w:rPr>
        <w:t xml:space="preserve"> </w:t>
      </w:r>
      <w:r>
        <w:t>industrial</w:t>
      </w:r>
      <w:r>
        <w:rPr>
          <w:spacing w:val="-1"/>
        </w:rPr>
        <w:t xml:space="preserve"> </w:t>
      </w:r>
      <w:r>
        <w:t>sectors</w:t>
      </w:r>
      <w:r>
        <w:rPr>
          <w:spacing w:val="-1"/>
        </w:rPr>
        <w:t xml:space="preserve"> </w:t>
      </w:r>
      <w:r>
        <w:t>in further developing</w:t>
      </w:r>
      <w:r>
        <w:rPr>
          <w:spacing w:val="-3"/>
        </w:rPr>
        <w:t xml:space="preserve"> </w:t>
      </w:r>
      <w:r>
        <w:t>new technologies.</w:t>
      </w:r>
    </w:p>
    <w:p w:rsidR="00A56FE9" w:rsidRDefault="00000000">
      <w:pPr>
        <w:pStyle w:val="Tijeloteksta"/>
        <w:spacing w:before="120" w:line="275" w:lineRule="exact"/>
        <w:jc w:val="left"/>
      </w:pPr>
      <w:r>
        <w:t>The</w:t>
      </w:r>
      <w:r>
        <w:rPr>
          <w:spacing w:val="-3"/>
        </w:rPr>
        <w:t xml:space="preserve"> </w:t>
      </w:r>
      <w:r>
        <w:t>planned</w:t>
      </w:r>
      <w:r>
        <w:rPr>
          <w:spacing w:val="-1"/>
        </w:rPr>
        <w:t xml:space="preserve"> </w:t>
      </w:r>
      <w:r>
        <w:t>actions will</w:t>
      </w:r>
      <w:r>
        <w:rPr>
          <w:spacing w:val="-1"/>
        </w:rPr>
        <w:t xml:space="preserve"> </w:t>
      </w:r>
      <w:r>
        <w:t>be achieved</w:t>
      </w:r>
      <w:r>
        <w:rPr>
          <w:spacing w:val="-1"/>
        </w:rPr>
        <w:t xml:space="preserve"> </w:t>
      </w:r>
      <w:r>
        <w:t>through the</w:t>
      </w:r>
      <w:r>
        <w:rPr>
          <w:spacing w:val="-1"/>
        </w:rPr>
        <w:t xml:space="preserve"> </w:t>
      </w:r>
      <w:r>
        <w:t>following</w:t>
      </w:r>
      <w:r>
        <w:rPr>
          <w:spacing w:val="-3"/>
        </w:rPr>
        <w:t xml:space="preserve"> </w:t>
      </w:r>
      <w:r>
        <w:t>four</w:t>
      </w:r>
      <w:r>
        <w:rPr>
          <w:spacing w:val="-3"/>
        </w:rPr>
        <w:t xml:space="preserve"> </w:t>
      </w:r>
      <w:r>
        <w:t>investments:</w:t>
      </w:r>
    </w:p>
    <w:p w:rsidR="00A56FE9" w:rsidRDefault="00000000">
      <w:pPr>
        <w:pStyle w:val="Odlomakpopisa"/>
        <w:numPr>
          <w:ilvl w:val="0"/>
          <w:numId w:val="5"/>
        </w:numPr>
        <w:tabs>
          <w:tab w:val="left" w:pos="498"/>
          <w:tab w:val="left" w:pos="499"/>
        </w:tabs>
        <w:ind w:right="282"/>
        <w:rPr>
          <w:sz w:val="24"/>
        </w:rPr>
      </w:pPr>
      <w:r>
        <w:rPr>
          <w:sz w:val="24"/>
        </w:rPr>
        <w:t>C1.2.R1-I1</w:t>
      </w:r>
      <w:r>
        <w:rPr>
          <w:spacing w:val="30"/>
          <w:sz w:val="24"/>
        </w:rPr>
        <w:t xml:space="preserve"> </w:t>
      </w:r>
      <w:r>
        <w:rPr>
          <w:sz w:val="24"/>
        </w:rPr>
        <w:t>Revitalising,</w:t>
      </w:r>
      <w:r>
        <w:rPr>
          <w:spacing w:val="33"/>
          <w:sz w:val="24"/>
        </w:rPr>
        <w:t xml:space="preserve"> </w:t>
      </w:r>
      <w:r>
        <w:rPr>
          <w:sz w:val="24"/>
        </w:rPr>
        <w:t>building</w:t>
      </w:r>
      <w:r>
        <w:rPr>
          <w:spacing w:val="31"/>
          <w:sz w:val="24"/>
        </w:rPr>
        <w:t xml:space="preserve"> </w:t>
      </w:r>
      <w:r>
        <w:rPr>
          <w:sz w:val="24"/>
        </w:rPr>
        <w:t>and</w:t>
      </w:r>
      <w:r>
        <w:rPr>
          <w:spacing w:val="30"/>
          <w:sz w:val="24"/>
        </w:rPr>
        <w:t xml:space="preserve"> </w:t>
      </w:r>
      <w:r>
        <w:rPr>
          <w:sz w:val="24"/>
        </w:rPr>
        <w:t>digitising</w:t>
      </w:r>
      <w:r>
        <w:rPr>
          <w:spacing w:val="28"/>
          <w:sz w:val="24"/>
        </w:rPr>
        <w:t xml:space="preserve"> </w:t>
      </w:r>
      <w:r>
        <w:rPr>
          <w:sz w:val="24"/>
        </w:rPr>
        <w:t>the</w:t>
      </w:r>
      <w:r>
        <w:rPr>
          <w:spacing w:val="30"/>
          <w:sz w:val="24"/>
        </w:rPr>
        <w:t xml:space="preserve"> </w:t>
      </w:r>
      <w:r>
        <w:rPr>
          <w:sz w:val="24"/>
        </w:rPr>
        <w:t>energy</w:t>
      </w:r>
      <w:r>
        <w:rPr>
          <w:spacing w:val="28"/>
          <w:sz w:val="24"/>
        </w:rPr>
        <w:t xml:space="preserve"> </w:t>
      </w:r>
      <w:r>
        <w:rPr>
          <w:sz w:val="24"/>
        </w:rPr>
        <w:t>system</w:t>
      </w:r>
      <w:r>
        <w:rPr>
          <w:spacing w:val="31"/>
          <w:sz w:val="24"/>
        </w:rPr>
        <w:t xml:space="preserve"> </w:t>
      </w:r>
      <w:r>
        <w:rPr>
          <w:sz w:val="24"/>
        </w:rPr>
        <w:t>and</w:t>
      </w:r>
      <w:r>
        <w:rPr>
          <w:spacing w:val="30"/>
          <w:sz w:val="24"/>
        </w:rPr>
        <w:t xml:space="preserve"> </w:t>
      </w:r>
      <w:r>
        <w:rPr>
          <w:sz w:val="24"/>
        </w:rPr>
        <w:t>supporting</w:t>
      </w:r>
      <w:r>
        <w:rPr>
          <w:spacing w:val="-57"/>
          <w:sz w:val="24"/>
        </w:rPr>
        <w:t xml:space="preserve"> </w:t>
      </w:r>
      <w:r>
        <w:rPr>
          <w:sz w:val="24"/>
        </w:rPr>
        <w:t>infrastructure</w:t>
      </w:r>
      <w:r>
        <w:rPr>
          <w:spacing w:val="-2"/>
          <w:sz w:val="24"/>
        </w:rPr>
        <w:t xml:space="preserve"> </w:t>
      </w:r>
      <w:r>
        <w:rPr>
          <w:sz w:val="24"/>
        </w:rPr>
        <w:t>to decarbonise the</w:t>
      </w:r>
      <w:r>
        <w:rPr>
          <w:spacing w:val="-1"/>
          <w:sz w:val="24"/>
        </w:rPr>
        <w:t xml:space="preserve"> </w:t>
      </w:r>
      <w:r>
        <w:rPr>
          <w:sz w:val="24"/>
        </w:rPr>
        <w:t>energy</w:t>
      </w:r>
      <w:r>
        <w:rPr>
          <w:spacing w:val="-5"/>
          <w:sz w:val="24"/>
        </w:rPr>
        <w:t xml:space="preserve"> </w:t>
      </w:r>
      <w:r>
        <w:rPr>
          <w:sz w:val="24"/>
        </w:rPr>
        <w:t>sector</w:t>
      </w:r>
    </w:p>
    <w:p w:rsidR="00A56FE9" w:rsidRDefault="00000000">
      <w:pPr>
        <w:pStyle w:val="Odlomakpopisa"/>
        <w:numPr>
          <w:ilvl w:val="0"/>
          <w:numId w:val="5"/>
        </w:numPr>
        <w:tabs>
          <w:tab w:val="left" w:pos="498"/>
          <w:tab w:val="left" w:pos="499"/>
        </w:tabs>
        <w:spacing w:line="242" w:lineRule="auto"/>
        <w:ind w:right="284"/>
        <w:rPr>
          <w:sz w:val="24"/>
        </w:rPr>
      </w:pPr>
      <w:r>
        <w:rPr>
          <w:sz w:val="24"/>
        </w:rPr>
        <w:t>C1.2.R1-I2</w:t>
      </w:r>
      <w:r>
        <w:rPr>
          <w:spacing w:val="44"/>
          <w:sz w:val="24"/>
        </w:rPr>
        <w:t xml:space="preserve"> </w:t>
      </w:r>
      <w:r>
        <w:rPr>
          <w:sz w:val="24"/>
        </w:rPr>
        <w:t>Fostering</w:t>
      </w:r>
      <w:r>
        <w:rPr>
          <w:spacing w:val="41"/>
          <w:sz w:val="24"/>
        </w:rPr>
        <w:t xml:space="preserve"> </w:t>
      </w:r>
      <w:r>
        <w:rPr>
          <w:sz w:val="24"/>
        </w:rPr>
        <w:t>energy</w:t>
      </w:r>
      <w:r>
        <w:rPr>
          <w:spacing w:val="38"/>
          <w:sz w:val="24"/>
        </w:rPr>
        <w:t xml:space="preserve"> </w:t>
      </w:r>
      <w:r>
        <w:rPr>
          <w:sz w:val="24"/>
        </w:rPr>
        <w:t>efficiency,</w:t>
      </w:r>
      <w:r>
        <w:rPr>
          <w:spacing w:val="41"/>
          <w:sz w:val="24"/>
        </w:rPr>
        <w:t xml:space="preserve"> </w:t>
      </w:r>
      <w:r>
        <w:rPr>
          <w:sz w:val="24"/>
        </w:rPr>
        <w:t>heat</w:t>
      </w:r>
      <w:r>
        <w:rPr>
          <w:spacing w:val="43"/>
          <w:sz w:val="24"/>
        </w:rPr>
        <w:t xml:space="preserve"> </w:t>
      </w:r>
      <w:r>
        <w:rPr>
          <w:sz w:val="24"/>
        </w:rPr>
        <w:t>and</w:t>
      </w:r>
      <w:r>
        <w:rPr>
          <w:spacing w:val="41"/>
          <w:sz w:val="24"/>
        </w:rPr>
        <w:t xml:space="preserve"> </w:t>
      </w:r>
      <w:r>
        <w:rPr>
          <w:sz w:val="24"/>
        </w:rPr>
        <w:t>renewable</w:t>
      </w:r>
      <w:r>
        <w:rPr>
          <w:spacing w:val="44"/>
          <w:sz w:val="24"/>
        </w:rPr>
        <w:t xml:space="preserve"> </w:t>
      </w:r>
      <w:r>
        <w:rPr>
          <w:sz w:val="24"/>
        </w:rPr>
        <w:t>energy</w:t>
      </w:r>
      <w:r>
        <w:rPr>
          <w:spacing w:val="37"/>
          <w:sz w:val="24"/>
        </w:rPr>
        <w:t xml:space="preserve"> </w:t>
      </w:r>
      <w:r>
        <w:rPr>
          <w:sz w:val="24"/>
        </w:rPr>
        <w:t>to</w:t>
      </w:r>
      <w:r>
        <w:rPr>
          <w:spacing w:val="44"/>
          <w:sz w:val="24"/>
        </w:rPr>
        <w:t xml:space="preserve"> </w:t>
      </w:r>
      <w:r>
        <w:rPr>
          <w:sz w:val="24"/>
        </w:rPr>
        <w:t>decarbonise</w:t>
      </w:r>
      <w:r>
        <w:rPr>
          <w:spacing w:val="42"/>
          <w:sz w:val="24"/>
        </w:rPr>
        <w:t xml:space="preserve"> </w:t>
      </w:r>
      <w:r>
        <w:rPr>
          <w:sz w:val="24"/>
        </w:rPr>
        <w:t>the</w:t>
      </w:r>
      <w:r>
        <w:rPr>
          <w:spacing w:val="-57"/>
          <w:sz w:val="24"/>
        </w:rPr>
        <w:t xml:space="preserve"> </w:t>
      </w:r>
      <w:r>
        <w:rPr>
          <w:sz w:val="24"/>
        </w:rPr>
        <w:t>energy</w:t>
      </w:r>
      <w:r>
        <w:rPr>
          <w:spacing w:val="-5"/>
          <w:sz w:val="24"/>
        </w:rPr>
        <w:t xml:space="preserve"> </w:t>
      </w:r>
      <w:r>
        <w:rPr>
          <w:sz w:val="24"/>
        </w:rPr>
        <w:t>sector</w:t>
      </w:r>
    </w:p>
    <w:p w:rsidR="00A56FE9" w:rsidRDefault="00000000">
      <w:pPr>
        <w:pStyle w:val="Odlomakpopisa"/>
        <w:numPr>
          <w:ilvl w:val="0"/>
          <w:numId w:val="5"/>
        </w:numPr>
        <w:tabs>
          <w:tab w:val="left" w:pos="498"/>
          <w:tab w:val="left" w:pos="499"/>
        </w:tabs>
        <w:spacing w:line="272" w:lineRule="exact"/>
        <w:ind w:hanging="361"/>
        <w:rPr>
          <w:sz w:val="24"/>
        </w:rPr>
      </w:pPr>
      <w:r>
        <w:rPr>
          <w:sz w:val="24"/>
        </w:rPr>
        <w:t>C1.2.R1-I3</w:t>
      </w:r>
      <w:r>
        <w:rPr>
          <w:spacing w:val="-2"/>
          <w:sz w:val="24"/>
        </w:rPr>
        <w:t xml:space="preserve"> </w:t>
      </w:r>
      <w:r>
        <w:rPr>
          <w:sz w:val="24"/>
        </w:rPr>
        <w:t>Hydrogen</w:t>
      </w:r>
      <w:r>
        <w:rPr>
          <w:spacing w:val="-1"/>
          <w:sz w:val="24"/>
        </w:rPr>
        <w:t xml:space="preserve"> </w:t>
      </w:r>
      <w:r>
        <w:rPr>
          <w:sz w:val="24"/>
        </w:rPr>
        <w:t>use</w:t>
      </w:r>
      <w:r>
        <w:rPr>
          <w:spacing w:val="-2"/>
          <w:sz w:val="24"/>
        </w:rPr>
        <w:t xml:space="preserve"> </w:t>
      </w:r>
      <w:r>
        <w:rPr>
          <w:sz w:val="24"/>
        </w:rPr>
        <w:t>and</w:t>
      </w:r>
      <w:r>
        <w:rPr>
          <w:spacing w:val="-2"/>
          <w:sz w:val="24"/>
        </w:rPr>
        <w:t xml:space="preserve"> </w:t>
      </w:r>
      <w:r>
        <w:rPr>
          <w:sz w:val="24"/>
        </w:rPr>
        <w:t>new</w:t>
      </w:r>
      <w:r>
        <w:rPr>
          <w:spacing w:val="-1"/>
          <w:sz w:val="24"/>
        </w:rPr>
        <w:t xml:space="preserve"> </w:t>
      </w:r>
      <w:r>
        <w:rPr>
          <w:sz w:val="24"/>
        </w:rPr>
        <w:t>technologies</w:t>
      </w:r>
    </w:p>
    <w:p w:rsidR="00A56FE9" w:rsidRDefault="00000000">
      <w:pPr>
        <w:pStyle w:val="Odlomakpopisa"/>
        <w:numPr>
          <w:ilvl w:val="0"/>
          <w:numId w:val="5"/>
        </w:numPr>
        <w:tabs>
          <w:tab w:val="left" w:pos="498"/>
          <w:tab w:val="left" w:pos="499"/>
        </w:tabs>
        <w:spacing w:line="277" w:lineRule="exact"/>
        <w:ind w:hanging="361"/>
        <w:rPr>
          <w:sz w:val="24"/>
        </w:rPr>
      </w:pPr>
      <w:r>
        <w:rPr>
          <w:sz w:val="24"/>
        </w:rPr>
        <w:t>C1.2.R1-I4</w:t>
      </w:r>
      <w:r>
        <w:rPr>
          <w:spacing w:val="1"/>
          <w:sz w:val="24"/>
        </w:rPr>
        <w:t xml:space="preserve"> </w:t>
      </w:r>
      <w:r>
        <w:rPr>
          <w:sz w:val="24"/>
        </w:rPr>
        <w:t>Biorefinery</w:t>
      </w:r>
      <w:r>
        <w:rPr>
          <w:spacing w:val="-6"/>
          <w:sz w:val="24"/>
        </w:rPr>
        <w:t xml:space="preserve"> </w:t>
      </w:r>
      <w:r>
        <w:rPr>
          <w:sz w:val="24"/>
        </w:rPr>
        <w:t>for</w:t>
      </w:r>
      <w:r>
        <w:rPr>
          <w:spacing w:val="-1"/>
          <w:sz w:val="24"/>
        </w:rPr>
        <w:t xml:space="preserve"> </w:t>
      </w:r>
      <w:r>
        <w:rPr>
          <w:sz w:val="24"/>
        </w:rPr>
        <w:t>the</w:t>
      </w:r>
      <w:r>
        <w:rPr>
          <w:spacing w:val="-3"/>
          <w:sz w:val="24"/>
        </w:rPr>
        <w:t xml:space="preserve"> </w:t>
      </w:r>
      <w:r>
        <w:rPr>
          <w:sz w:val="24"/>
        </w:rPr>
        <w:t>production</w:t>
      </w:r>
      <w:r>
        <w:rPr>
          <w:spacing w:val="-1"/>
          <w:sz w:val="24"/>
        </w:rPr>
        <w:t xml:space="preserve"> </w:t>
      </w:r>
      <w:r>
        <w:rPr>
          <w:sz w:val="24"/>
        </w:rPr>
        <w:t>of</w:t>
      </w:r>
      <w:r>
        <w:rPr>
          <w:spacing w:val="-2"/>
          <w:sz w:val="24"/>
        </w:rPr>
        <w:t xml:space="preserve"> </w:t>
      </w:r>
      <w:r>
        <w:rPr>
          <w:sz w:val="24"/>
        </w:rPr>
        <w:t>advanced</w:t>
      </w:r>
      <w:r>
        <w:rPr>
          <w:spacing w:val="-1"/>
          <w:sz w:val="24"/>
        </w:rPr>
        <w:t xml:space="preserve"> </w:t>
      </w:r>
      <w:r>
        <w:rPr>
          <w:sz w:val="24"/>
        </w:rPr>
        <w:t>biofuels</w:t>
      </w:r>
      <w:r>
        <w:rPr>
          <w:spacing w:val="-1"/>
          <w:sz w:val="24"/>
        </w:rPr>
        <w:t xml:space="preserve"> </w:t>
      </w:r>
      <w:r>
        <w:rPr>
          <w:sz w:val="24"/>
        </w:rPr>
        <w:t>Sisak</w:t>
      </w:r>
    </w:p>
    <w:p w:rsidR="00A56FE9" w:rsidRDefault="00A56FE9">
      <w:pPr>
        <w:pStyle w:val="Tijeloteksta"/>
        <w:spacing w:before="5"/>
        <w:ind w:left="0"/>
        <w:jc w:val="left"/>
        <w:rPr>
          <w:sz w:val="21"/>
        </w:rPr>
      </w:pPr>
    </w:p>
    <w:p w:rsidR="00A56FE9" w:rsidRDefault="00000000">
      <w:pPr>
        <w:pStyle w:val="Naslov5"/>
        <w:jc w:val="left"/>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458845" cy="12700"/>
                <wp:effectExtent l="0" t="0" r="0" b="0"/>
                <wp:docPr id="1598261243"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58845" cy="12700"/>
                          <a:chOff x="0" y="0"/>
                          <a:chExt cx="5447" cy="20"/>
                        </a:xfrm>
                      </wpg:grpSpPr>
                      <wps:wsp>
                        <wps:cNvPr id="445214405" name="Rectangle 308"/>
                        <wps:cNvSpPr>
                          <a:spLocks noChangeArrowheads="1"/>
                        </wps:cNvSpPr>
                        <wps:spPr bwMode="auto">
                          <a:xfrm>
                            <a:off x="0" y="0"/>
                            <a:ext cx="5447"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64F4103" id="Group 307" o:spid="_x0000_s1026" style="width:272.35pt;height:1pt;mso-position-horizontal-relative:char;mso-position-vertical-relative:line" coordsize="544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">
                <v:rect id="Rectangle 308" o:spid="_x0000_s1027" style="position:absolute;width:544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" fillcolor="#2c398a" stroked="f"/>
                <w10:anchorlock/>
              </v:group>
            </w:pict>
          </mc:Fallback>
        </mc:AlternateContent>
      </w:r>
    </w:p>
    <w:p w:rsidR="00A56FE9" w:rsidRDefault="00000000">
      <w:pPr>
        <w:pStyle w:val="Tijeloteksta"/>
        <w:spacing w:before="155"/>
        <w:ind w:right="274"/>
      </w:pPr>
      <w:r>
        <w:t>Outside</w:t>
      </w:r>
      <w:r>
        <w:rPr>
          <w:spacing w:val="-10"/>
        </w:rPr>
        <w:t xml:space="preserve"> </w:t>
      </w:r>
      <w:r>
        <w:t>the</w:t>
      </w:r>
      <w:r>
        <w:rPr>
          <w:spacing w:val="-9"/>
        </w:rPr>
        <w:t xml:space="preserve"> </w:t>
      </w:r>
      <w:r>
        <w:t>framework</w:t>
      </w:r>
      <w:r>
        <w:rPr>
          <w:spacing w:val="-8"/>
        </w:rPr>
        <w:t xml:space="preserve"> </w:t>
      </w:r>
      <w:r>
        <w:t>of</w:t>
      </w:r>
      <w:r>
        <w:rPr>
          <w:spacing w:val="-7"/>
        </w:rPr>
        <w:t xml:space="preserve"> </w:t>
      </w:r>
      <w:r>
        <w:t>the</w:t>
      </w:r>
      <w:r>
        <w:rPr>
          <w:spacing w:val="-8"/>
        </w:rPr>
        <w:t xml:space="preserve"> </w:t>
      </w:r>
      <w:r>
        <w:t>NRRP,</w:t>
      </w:r>
      <w:r>
        <w:rPr>
          <w:spacing w:val="-8"/>
        </w:rPr>
        <w:t xml:space="preserve"> </w:t>
      </w:r>
      <w:r>
        <w:t>a</w:t>
      </w:r>
      <w:r>
        <w:rPr>
          <w:spacing w:val="-10"/>
        </w:rPr>
        <w:t xml:space="preserve"> </w:t>
      </w:r>
      <w:r>
        <w:t>note</w:t>
      </w:r>
      <w:r>
        <w:rPr>
          <w:spacing w:val="-9"/>
        </w:rPr>
        <w:t xml:space="preserve"> </w:t>
      </w:r>
      <w:r>
        <w:t>should</w:t>
      </w:r>
      <w:r>
        <w:rPr>
          <w:spacing w:val="-10"/>
        </w:rPr>
        <w:t xml:space="preserve"> </w:t>
      </w:r>
      <w:r>
        <w:t>be</w:t>
      </w:r>
      <w:r>
        <w:rPr>
          <w:spacing w:val="-10"/>
        </w:rPr>
        <w:t xml:space="preserve"> </w:t>
      </w:r>
      <w:r>
        <w:t>made</w:t>
      </w:r>
      <w:r>
        <w:rPr>
          <w:spacing w:val="-8"/>
        </w:rPr>
        <w:t xml:space="preserve"> </w:t>
      </w:r>
      <w:r>
        <w:t>concerning</w:t>
      </w:r>
      <w:r>
        <w:rPr>
          <w:spacing w:val="-10"/>
        </w:rPr>
        <w:t xml:space="preserve"> </w:t>
      </w:r>
      <w:r>
        <w:t>the</w:t>
      </w:r>
      <w:r>
        <w:rPr>
          <w:spacing w:val="-7"/>
        </w:rPr>
        <w:t xml:space="preserve"> </w:t>
      </w:r>
      <w:r>
        <w:t>Integrated</w:t>
      </w:r>
      <w:r>
        <w:rPr>
          <w:spacing w:val="-8"/>
        </w:rPr>
        <w:t xml:space="preserve"> </w:t>
      </w:r>
      <w:r>
        <w:t>National</w:t>
      </w:r>
      <w:r>
        <w:rPr>
          <w:spacing w:val="-58"/>
        </w:rPr>
        <w:t xml:space="preserve"> </w:t>
      </w:r>
      <w:r>
        <w:t>Energy and Climate Plan (NECP) for the period 2021-2030, devised in accordance with</w:t>
      </w:r>
      <w:r>
        <w:rPr>
          <w:spacing w:val="1"/>
        </w:rPr>
        <w:t xml:space="preserve"> </w:t>
      </w:r>
      <w:r>
        <w:rPr>
          <w:spacing w:val="-1"/>
        </w:rPr>
        <w:t>Regulation</w:t>
      </w:r>
      <w:r>
        <w:rPr>
          <w:spacing w:val="-12"/>
        </w:rPr>
        <w:t xml:space="preserve"> </w:t>
      </w:r>
      <w:r>
        <w:t>(EU)</w:t>
      </w:r>
      <w:r>
        <w:rPr>
          <w:spacing w:val="-13"/>
        </w:rPr>
        <w:t xml:space="preserve"> </w:t>
      </w:r>
      <w:r>
        <w:t>2018/1999</w:t>
      </w:r>
      <w:r>
        <w:rPr>
          <w:spacing w:val="-11"/>
        </w:rPr>
        <w:t xml:space="preserve"> </w:t>
      </w:r>
      <w:r>
        <w:t>on</w:t>
      </w:r>
      <w:r>
        <w:rPr>
          <w:spacing w:val="-11"/>
        </w:rPr>
        <w:t xml:space="preserve"> </w:t>
      </w:r>
      <w:r>
        <w:t>the</w:t>
      </w:r>
      <w:r>
        <w:rPr>
          <w:spacing w:val="-13"/>
        </w:rPr>
        <w:t xml:space="preserve"> </w:t>
      </w:r>
      <w:r>
        <w:t>Governance</w:t>
      </w:r>
      <w:r>
        <w:rPr>
          <w:spacing w:val="-10"/>
        </w:rPr>
        <w:t xml:space="preserve"> </w:t>
      </w:r>
      <w:r>
        <w:t>of</w:t>
      </w:r>
      <w:r>
        <w:rPr>
          <w:spacing w:val="-12"/>
        </w:rPr>
        <w:t xml:space="preserve"> </w:t>
      </w:r>
      <w:r>
        <w:t>the</w:t>
      </w:r>
      <w:r>
        <w:rPr>
          <w:spacing w:val="-13"/>
        </w:rPr>
        <w:t xml:space="preserve"> </w:t>
      </w:r>
      <w:r>
        <w:t>Energy</w:t>
      </w:r>
      <w:r>
        <w:rPr>
          <w:spacing w:val="-14"/>
        </w:rPr>
        <w:t xml:space="preserve"> </w:t>
      </w:r>
      <w:r>
        <w:t>Union</w:t>
      </w:r>
      <w:r>
        <w:rPr>
          <w:spacing w:val="-12"/>
        </w:rPr>
        <w:t xml:space="preserve"> </w:t>
      </w:r>
      <w:r>
        <w:t>and</w:t>
      </w:r>
      <w:r>
        <w:rPr>
          <w:spacing w:val="-11"/>
        </w:rPr>
        <w:t xml:space="preserve"> </w:t>
      </w:r>
      <w:r>
        <w:t>Climate</w:t>
      </w:r>
      <w:r>
        <w:rPr>
          <w:spacing w:val="-12"/>
        </w:rPr>
        <w:t xml:space="preserve"> </w:t>
      </w:r>
      <w:r>
        <w:t>Action,</w:t>
      </w:r>
      <w:r>
        <w:rPr>
          <w:spacing w:val="-12"/>
        </w:rPr>
        <w:t xml:space="preserve"> </w:t>
      </w:r>
      <w:r>
        <w:t>which</w:t>
      </w:r>
      <w:r>
        <w:rPr>
          <w:spacing w:val="-57"/>
        </w:rPr>
        <w:t xml:space="preserve"> </w:t>
      </w:r>
      <w:r>
        <w:t>sets national targets to reduce CO2 emissions for 2030, increasing the share of renewable</w:t>
      </w:r>
      <w:r>
        <w:rPr>
          <w:spacing w:val="1"/>
        </w:rPr>
        <w:t xml:space="preserve"> </w:t>
      </w:r>
      <w:r>
        <w:t>energy</w:t>
      </w:r>
      <w:r>
        <w:rPr>
          <w:spacing w:val="-9"/>
        </w:rPr>
        <w:t xml:space="preserve"> </w:t>
      </w:r>
      <w:r>
        <w:t>sources</w:t>
      </w:r>
      <w:r>
        <w:rPr>
          <w:spacing w:val="-4"/>
        </w:rPr>
        <w:t xml:space="preserve"> </w:t>
      </w:r>
      <w:r>
        <w:t>in</w:t>
      </w:r>
      <w:r>
        <w:rPr>
          <w:spacing w:val="-3"/>
        </w:rPr>
        <w:t xml:space="preserve"> </w:t>
      </w:r>
      <w:r>
        <w:t>final</w:t>
      </w:r>
      <w:r>
        <w:rPr>
          <w:spacing w:val="-3"/>
        </w:rPr>
        <w:t xml:space="preserve"> </w:t>
      </w:r>
      <w:r>
        <w:t>consumption</w:t>
      </w:r>
      <w:r>
        <w:rPr>
          <w:spacing w:val="-4"/>
        </w:rPr>
        <w:t xml:space="preserve"> </w:t>
      </w:r>
      <w:r>
        <w:t>and</w:t>
      </w:r>
      <w:r>
        <w:rPr>
          <w:spacing w:val="-4"/>
        </w:rPr>
        <w:t xml:space="preserve"> </w:t>
      </w:r>
      <w:r>
        <w:t>increasing</w:t>
      </w:r>
      <w:r>
        <w:rPr>
          <w:spacing w:val="-6"/>
        </w:rPr>
        <w:t xml:space="preserve"> </w:t>
      </w:r>
      <w:r>
        <w:t>energy</w:t>
      </w:r>
      <w:r>
        <w:rPr>
          <w:spacing w:val="-9"/>
        </w:rPr>
        <w:t xml:space="preserve"> </w:t>
      </w:r>
      <w:r>
        <w:t>efficiency.</w:t>
      </w:r>
      <w:r>
        <w:rPr>
          <w:spacing w:val="-4"/>
        </w:rPr>
        <w:t xml:space="preserve"> </w:t>
      </w:r>
      <w:r>
        <w:t>To</w:t>
      </w:r>
      <w:r>
        <w:rPr>
          <w:spacing w:val="-1"/>
        </w:rPr>
        <w:t xml:space="preserve"> </w:t>
      </w:r>
      <w:r>
        <w:t>meet</w:t>
      </w:r>
      <w:r>
        <w:rPr>
          <w:spacing w:val="-3"/>
        </w:rPr>
        <w:t xml:space="preserve"> </w:t>
      </w:r>
      <w:r>
        <w:t>these</w:t>
      </w:r>
      <w:r>
        <w:rPr>
          <w:spacing w:val="-5"/>
        </w:rPr>
        <w:t xml:space="preserve"> </w:t>
      </w:r>
      <w:r>
        <w:t>goals,</w:t>
      </w:r>
      <w:r>
        <w:rPr>
          <w:spacing w:val="-3"/>
        </w:rPr>
        <w:t xml:space="preserve"> </w:t>
      </w:r>
      <w:r>
        <w:t>the</w:t>
      </w:r>
      <w:r>
        <w:rPr>
          <w:spacing w:val="-58"/>
        </w:rPr>
        <w:t xml:space="preserve"> </w:t>
      </w:r>
      <w:r>
        <w:t>NECP has proposed 106 measures setting activities related to the five pillars of the Energy</w:t>
      </w:r>
      <w:r>
        <w:rPr>
          <w:spacing w:val="1"/>
        </w:rPr>
        <w:t xml:space="preserve"> </w:t>
      </w:r>
      <w:r>
        <w:t>Union. Most of the measures are dedicated to decarbonisation, 67 measures are divided into 7</w:t>
      </w:r>
      <w:r>
        <w:rPr>
          <w:spacing w:val="1"/>
        </w:rPr>
        <w:t xml:space="preserve"> </w:t>
      </w:r>
      <w:r>
        <w:t>groups</w:t>
      </w:r>
      <w:r>
        <w:rPr>
          <w:spacing w:val="-7"/>
        </w:rPr>
        <w:t xml:space="preserve"> </w:t>
      </w:r>
      <w:r>
        <w:t>of</w:t>
      </w:r>
      <w:r>
        <w:rPr>
          <w:spacing w:val="-7"/>
        </w:rPr>
        <w:t xml:space="preserve"> </w:t>
      </w:r>
      <w:r>
        <w:t>interdepartmental</w:t>
      </w:r>
      <w:r>
        <w:rPr>
          <w:spacing w:val="-5"/>
        </w:rPr>
        <w:t xml:space="preserve"> </w:t>
      </w:r>
      <w:r>
        <w:t>measures,</w:t>
      </w:r>
      <w:r>
        <w:rPr>
          <w:spacing w:val="-6"/>
        </w:rPr>
        <w:t xml:space="preserve"> </w:t>
      </w:r>
      <w:r>
        <w:t>i.e.,</w:t>
      </w:r>
      <w:r>
        <w:rPr>
          <w:spacing w:val="-3"/>
        </w:rPr>
        <w:t xml:space="preserve"> </w:t>
      </w:r>
      <w:r>
        <w:t>agriculture,</w:t>
      </w:r>
      <w:r>
        <w:rPr>
          <w:spacing w:val="-6"/>
        </w:rPr>
        <w:t xml:space="preserve"> </w:t>
      </w:r>
      <w:r>
        <w:t>land</w:t>
      </w:r>
      <w:r>
        <w:rPr>
          <w:spacing w:val="-6"/>
        </w:rPr>
        <w:t xml:space="preserve"> </w:t>
      </w:r>
      <w:r>
        <w:t>use</w:t>
      </w:r>
      <w:r>
        <w:rPr>
          <w:spacing w:val="-5"/>
        </w:rPr>
        <w:t xml:space="preserve"> </w:t>
      </w:r>
      <w:r>
        <w:t>and</w:t>
      </w:r>
      <w:r>
        <w:rPr>
          <w:spacing w:val="-5"/>
        </w:rPr>
        <w:t xml:space="preserve"> </w:t>
      </w:r>
      <w:r>
        <w:t>conversion,</w:t>
      </w:r>
      <w:r>
        <w:rPr>
          <w:spacing w:val="-6"/>
        </w:rPr>
        <w:t xml:space="preserve"> </w:t>
      </w:r>
      <w:r>
        <w:t>forestry</w:t>
      </w:r>
      <w:r>
        <w:rPr>
          <w:spacing w:val="-10"/>
        </w:rPr>
        <w:t xml:space="preserve"> </w:t>
      </w:r>
      <w:r>
        <w:t>(Land</w:t>
      </w:r>
      <w:r>
        <w:rPr>
          <w:spacing w:val="-58"/>
        </w:rPr>
        <w:t xml:space="preserve"> </w:t>
      </w:r>
      <w:r>
        <w:t>Use, Land-Use Change and Forestry - LULUCF), industry, waste management, transport-</w:t>
      </w:r>
      <w:r>
        <w:rPr>
          <w:spacing w:val="1"/>
        </w:rPr>
        <w:t xml:space="preserve"> </w:t>
      </w:r>
      <w:r>
        <w:t>related measures and increasing the share of renewable energy sources, and 19 measures are</w:t>
      </w:r>
      <w:r>
        <w:rPr>
          <w:spacing w:val="1"/>
        </w:rPr>
        <w:t xml:space="preserve"> </w:t>
      </w:r>
      <w:r>
        <w:t>related</w:t>
      </w:r>
      <w:r>
        <w:rPr>
          <w:spacing w:val="-1"/>
        </w:rPr>
        <w:t xml:space="preserve"> </w:t>
      </w:r>
      <w:r>
        <w:t>to increasing</w:t>
      </w:r>
      <w:r>
        <w:rPr>
          <w:spacing w:val="-3"/>
        </w:rPr>
        <w:t xml:space="preserve"> </w:t>
      </w:r>
      <w:r>
        <w:t>energy</w:t>
      </w:r>
      <w:r>
        <w:rPr>
          <w:spacing w:val="-5"/>
        </w:rPr>
        <w:t xml:space="preserve"> </w:t>
      </w:r>
      <w:r>
        <w:t>efficiency.</w:t>
      </w:r>
    </w:p>
    <w:p w:rsidR="00A56FE9" w:rsidRDefault="00000000">
      <w:pPr>
        <w:pStyle w:val="Tijeloteksta"/>
        <w:spacing w:before="120"/>
        <w:ind w:right="272"/>
      </w:pPr>
      <w:r>
        <w:t>The plan is also to encourage greater implementation of projects related to increasing the use</w:t>
      </w:r>
      <w:r>
        <w:rPr>
          <w:spacing w:val="1"/>
        </w:rPr>
        <w:t xml:space="preserve"> </w:t>
      </w:r>
      <w:r>
        <w:t>of</w:t>
      </w:r>
      <w:r>
        <w:rPr>
          <w:spacing w:val="1"/>
        </w:rPr>
        <w:t xml:space="preserve"> </w:t>
      </w:r>
      <w:r>
        <w:t>renewable</w:t>
      </w:r>
      <w:r>
        <w:rPr>
          <w:spacing w:val="1"/>
        </w:rPr>
        <w:t xml:space="preserve"> </w:t>
      </w:r>
      <w:r>
        <w:t>energy</w:t>
      </w:r>
      <w:r>
        <w:rPr>
          <w:spacing w:val="1"/>
        </w:rPr>
        <w:t xml:space="preserve"> </w:t>
      </w:r>
      <w:r>
        <w:t>sources</w:t>
      </w:r>
      <w:r>
        <w:rPr>
          <w:spacing w:val="1"/>
        </w:rPr>
        <w:t xml:space="preserve"> </w:t>
      </w:r>
      <w:r>
        <w:t>and</w:t>
      </w:r>
      <w:r>
        <w:rPr>
          <w:spacing w:val="1"/>
        </w:rPr>
        <w:t xml:space="preserve"> </w:t>
      </w:r>
      <w:r>
        <w:t>energy</w:t>
      </w:r>
      <w:r>
        <w:rPr>
          <w:spacing w:val="1"/>
        </w:rPr>
        <w:t xml:space="preserve"> </w:t>
      </w:r>
      <w:r>
        <w:t>efficiency</w:t>
      </w:r>
      <w:r>
        <w:rPr>
          <w:spacing w:val="1"/>
        </w:rPr>
        <w:t xml:space="preserve"> </w:t>
      </w:r>
      <w:r>
        <w:t>measures</w:t>
      </w:r>
      <w:r>
        <w:rPr>
          <w:spacing w:val="1"/>
        </w:rPr>
        <w:t xml:space="preserve"> </w:t>
      </w:r>
      <w:r>
        <w:t>in</w:t>
      </w:r>
      <w:r>
        <w:rPr>
          <w:spacing w:val="1"/>
        </w:rPr>
        <w:t xml:space="preserve"> </w:t>
      </w:r>
      <w:r>
        <w:t>industry</w:t>
      </w:r>
      <w:r>
        <w:rPr>
          <w:spacing w:val="1"/>
        </w:rPr>
        <w:t xml:space="preserve"> </w:t>
      </w:r>
      <w:r>
        <w:t>through</w:t>
      </w:r>
      <w:r>
        <w:rPr>
          <w:spacing w:val="1"/>
        </w:rPr>
        <w:t xml:space="preserve"> </w:t>
      </w:r>
      <w:r>
        <w:t>the</w:t>
      </w:r>
      <w:r>
        <w:rPr>
          <w:spacing w:val="1"/>
        </w:rPr>
        <w:t xml:space="preserve"> </w:t>
      </w:r>
      <w:r>
        <w:t>Modernisation</w:t>
      </w:r>
      <w:r>
        <w:rPr>
          <w:spacing w:val="-1"/>
        </w:rPr>
        <w:t xml:space="preserve"> </w:t>
      </w:r>
      <w:r>
        <w:t>Fund in 2022 and 2023.</w:t>
      </w:r>
    </w:p>
    <w:p w:rsidR="00A56FE9" w:rsidRDefault="00A56FE9">
      <w:pPr>
        <w:pStyle w:val="Tijeloteksta"/>
        <w:ind w:left="0"/>
        <w:jc w:val="left"/>
        <w:rPr>
          <w:sz w:val="26"/>
        </w:rPr>
      </w:pPr>
    </w:p>
    <w:p w:rsidR="00A56FE9" w:rsidRDefault="00000000">
      <w:pPr>
        <w:pStyle w:val="Naslov3"/>
      </w:pPr>
      <w:bookmarkStart w:id="6" w:name="_bookmark6"/>
      <w:bookmarkEnd w:id="6"/>
      <w:r>
        <w:rPr>
          <w:rFonts w:ascii="Times New Roman"/>
          <w:b/>
          <w:color w:val="2C398A"/>
          <w:spacing w:val="-2"/>
        </w:rPr>
        <w:t>C1.3.</w:t>
      </w:r>
      <w:r>
        <w:rPr>
          <w:rFonts w:ascii="Times New Roman"/>
          <w:b/>
          <w:color w:val="2C398A"/>
          <w:spacing w:val="1"/>
        </w:rPr>
        <w:t xml:space="preserve"> </w:t>
      </w:r>
      <w:r>
        <w:rPr>
          <w:color w:val="2C398A"/>
          <w:spacing w:val="-2"/>
        </w:rPr>
        <w:t>Improving</w:t>
      </w:r>
      <w:r>
        <w:rPr>
          <w:color w:val="2C398A"/>
          <w:spacing w:val="-12"/>
        </w:rPr>
        <w:t xml:space="preserve"> </w:t>
      </w:r>
      <w:r>
        <w:rPr>
          <w:color w:val="2C398A"/>
          <w:spacing w:val="-1"/>
        </w:rPr>
        <w:t>Water</w:t>
      </w:r>
      <w:r>
        <w:rPr>
          <w:color w:val="2C398A"/>
          <w:spacing w:val="-12"/>
        </w:rPr>
        <w:t xml:space="preserve"> </w:t>
      </w:r>
      <w:r>
        <w:rPr>
          <w:color w:val="2C398A"/>
          <w:spacing w:val="-1"/>
        </w:rPr>
        <w:t>Management</w:t>
      </w:r>
      <w:r>
        <w:rPr>
          <w:color w:val="2C398A"/>
          <w:spacing w:val="-11"/>
        </w:rPr>
        <w:t xml:space="preserve"> </w:t>
      </w:r>
      <w:r>
        <w:rPr>
          <w:color w:val="2C398A"/>
          <w:spacing w:val="-1"/>
        </w:rPr>
        <w:t>and</w:t>
      </w:r>
      <w:r>
        <w:rPr>
          <w:color w:val="2C398A"/>
          <w:spacing w:val="-12"/>
        </w:rPr>
        <w:t xml:space="preserve"> </w:t>
      </w:r>
      <w:r>
        <w:rPr>
          <w:color w:val="2C398A"/>
          <w:spacing w:val="-1"/>
        </w:rPr>
        <w:t>Waste</w:t>
      </w:r>
      <w:r>
        <w:rPr>
          <w:color w:val="2C398A"/>
          <w:spacing w:val="-15"/>
        </w:rPr>
        <w:t xml:space="preserve"> </w:t>
      </w:r>
      <w:r>
        <w:rPr>
          <w:color w:val="2C398A"/>
          <w:spacing w:val="-1"/>
        </w:rPr>
        <w:t>Management</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41952"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2076530368"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7A3DE" id="Rectangle 306" o:spid="_x0000_s1026" style="position:absolute;margin-left:64.1pt;margin-top:-6.1pt;width:1.45pt;height:27pt;z-index:15741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Reform</w:t>
      </w:r>
      <w:r w:rsidR="00000000">
        <w:rPr>
          <w:color w:val="2C398A"/>
          <w:spacing w:val="-4"/>
        </w:rPr>
        <w:t xml:space="preserve"> </w:t>
      </w:r>
      <w:r w:rsidR="00000000">
        <w:rPr>
          <w:color w:val="2C398A"/>
        </w:rPr>
        <w:t>of</w:t>
      </w:r>
      <w:r w:rsidR="00000000">
        <w:rPr>
          <w:color w:val="2C398A"/>
          <w:spacing w:val="-1"/>
        </w:rPr>
        <w:t xml:space="preserve"> </w:t>
      </w:r>
      <w:r w:rsidR="00000000">
        <w:rPr>
          <w:color w:val="2C398A"/>
        </w:rPr>
        <w:t>the</w:t>
      </w:r>
      <w:r w:rsidR="00000000">
        <w:rPr>
          <w:color w:val="2C398A"/>
          <w:spacing w:val="-2"/>
        </w:rPr>
        <w:t xml:space="preserve"> </w:t>
      </w:r>
      <w:r w:rsidR="00000000">
        <w:rPr>
          <w:color w:val="2C398A"/>
        </w:rPr>
        <w:t>water</w:t>
      </w:r>
      <w:r w:rsidR="00000000">
        <w:rPr>
          <w:color w:val="2C398A"/>
          <w:spacing w:val="-1"/>
        </w:rPr>
        <w:t xml:space="preserve"> </w:t>
      </w:r>
      <w:r w:rsidR="00000000">
        <w:rPr>
          <w:color w:val="2C398A"/>
        </w:rPr>
        <w:t>utility</w:t>
      </w:r>
      <w:r w:rsidR="00000000">
        <w:rPr>
          <w:color w:val="2C398A"/>
          <w:spacing w:val="1"/>
        </w:rPr>
        <w:t xml:space="preserve"> </w:t>
      </w:r>
      <w:r w:rsidR="00000000">
        <w:rPr>
          <w:color w:val="2C398A"/>
        </w:rPr>
        <w:t>sector</w:t>
      </w:r>
    </w:p>
    <w:p w:rsidR="00A56FE9" w:rsidRDefault="00000000">
      <w:pPr>
        <w:spacing w:before="233"/>
        <w:ind w:left="138" w:right="272"/>
        <w:jc w:val="both"/>
        <w:rPr>
          <w:i/>
          <w:sz w:val="24"/>
        </w:rPr>
      </w:pPr>
      <w:r>
        <w:rPr>
          <w:i/>
          <w:color w:val="2C398A"/>
          <w:sz w:val="24"/>
        </w:rPr>
        <w:t>2019.CSR3.1. Focus investment-related economic policy on energy efficiency, renewables and</w:t>
      </w:r>
      <w:r>
        <w:rPr>
          <w:i/>
          <w:color w:val="2C398A"/>
          <w:spacing w:val="-57"/>
          <w:sz w:val="24"/>
        </w:rPr>
        <w:t xml:space="preserve"> </w:t>
      </w:r>
      <w:r>
        <w:rPr>
          <w:i/>
          <w:color w:val="2C398A"/>
          <w:sz w:val="24"/>
        </w:rPr>
        <w:t>environmental infrastructure, taking into account regional disparities; 2020CSR3.3. Focus</w:t>
      </w:r>
      <w:r>
        <w:rPr>
          <w:i/>
          <w:color w:val="2C398A"/>
          <w:spacing w:val="1"/>
          <w:sz w:val="24"/>
        </w:rPr>
        <w:t xml:space="preserve"> </w:t>
      </w:r>
      <w:r>
        <w:rPr>
          <w:i/>
          <w:color w:val="2C398A"/>
          <w:sz w:val="24"/>
        </w:rPr>
        <w:t>investment</w:t>
      </w:r>
      <w:r>
        <w:rPr>
          <w:i/>
          <w:color w:val="2C398A"/>
          <w:spacing w:val="-1"/>
          <w:sz w:val="24"/>
        </w:rPr>
        <w:t xml:space="preserve"> </w:t>
      </w:r>
      <w:r>
        <w:rPr>
          <w:i/>
          <w:color w:val="2C398A"/>
          <w:sz w:val="24"/>
        </w:rPr>
        <w:t>on</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green</w:t>
      </w:r>
      <w:r>
        <w:rPr>
          <w:i/>
          <w:color w:val="2C398A"/>
          <w:spacing w:val="1"/>
          <w:sz w:val="24"/>
        </w:rPr>
        <w:t xml:space="preserve"> </w:t>
      </w:r>
      <w:r>
        <w:rPr>
          <w:i/>
          <w:color w:val="2C398A"/>
          <w:sz w:val="24"/>
        </w:rPr>
        <w:t>and digital</w:t>
      </w:r>
      <w:r>
        <w:rPr>
          <w:i/>
          <w:color w:val="2C398A"/>
          <w:spacing w:val="-1"/>
          <w:sz w:val="24"/>
        </w:rPr>
        <w:t xml:space="preserve"> </w:t>
      </w:r>
      <w:r>
        <w:rPr>
          <w:i/>
          <w:color w:val="2C398A"/>
          <w:sz w:val="24"/>
        </w:rPr>
        <w:t>transition, in</w:t>
      </w:r>
      <w:r>
        <w:rPr>
          <w:i/>
          <w:color w:val="2C398A"/>
          <w:spacing w:val="-3"/>
          <w:sz w:val="24"/>
        </w:rPr>
        <w:t xml:space="preserve"> </w:t>
      </w:r>
      <w:r>
        <w:rPr>
          <w:i/>
          <w:color w:val="2C398A"/>
          <w:sz w:val="24"/>
        </w:rPr>
        <w:t>particular on</w:t>
      </w:r>
      <w:r>
        <w:rPr>
          <w:i/>
          <w:color w:val="2C398A"/>
          <w:spacing w:val="-1"/>
          <w:sz w:val="24"/>
        </w:rPr>
        <w:t xml:space="preserve"> </w:t>
      </w:r>
      <w:r>
        <w:rPr>
          <w:i/>
          <w:color w:val="2C398A"/>
          <w:sz w:val="24"/>
        </w:rPr>
        <w:t>environmental infrastructure,</w:t>
      </w:r>
    </w:p>
    <w:p w:rsidR="00A56FE9" w:rsidRDefault="00A56FE9">
      <w:pPr>
        <w:pStyle w:val="Tijeloteksta"/>
        <w:spacing w:before="4"/>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660928586"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443346685" name="Rectangle 305"/>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12CD217" id="Group 304"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">
                <v:rect id="Rectangle 305"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4"/>
      </w:pPr>
      <w:r>
        <w:t>Reforms in the water utility sector cover mutually aligned processes in passing a legislative</w:t>
      </w:r>
      <w:r>
        <w:rPr>
          <w:spacing w:val="1"/>
        </w:rPr>
        <w:t xml:space="preserve"> </w:t>
      </w:r>
      <w:r>
        <w:t>framework and implementing investments through the Public Sewage Development Program</w:t>
      </w:r>
      <w:r>
        <w:rPr>
          <w:spacing w:val="1"/>
        </w:rPr>
        <w:t xml:space="preserve"> </w:t>
      </w:r>
      <w:r>
        <w:t>and the Public Water Supply Development Program. Accordingly, the NRRP envisages the</w:t>
      </w:r>
      <w:r>
        <w:rPr>
          <w:spacing w:val="1"/>
        </w:rPr>
        <w:t xml:space="preserve"> </w:t>
      </w:r>
      <w:r>
        <w:t>reform</w:t>
      </w:r>
      <w:r>
        <w:rPr>
          <w:spacing w:val="-6"/>
        </w:rPr>
        <w:t xml:space="preserve"> </w:t>
      </w:r>
      <w:r>
        <w:t>C1.3</w:t>
      </w:r>
      <w:r>
        <w:rPr>
          <w:spacing w:val="-1"/>
        </w:rPr>
        <w:t xml:space="preserve"> </w:t>
      </w:r>
      <w:r>
        <w:t>Implementation</w:t>
      </w:r>
      <w:r>
        <w:rPr>
          <w:spacing w:val="-5"/>
        </w:rPr>
        <w:t xml:space="preserve"> </w:t>
      </w:r>
      <w:r>
        <w:t>of</w:t>
      </w:r>
      <w:r>
        <w:rPr>
          <w:spacing w:val="-7"/>
        </w:rPr>
        <w:t xml:space="preserve"> </w:t>
      </w:r>
      <w:r>
        <w:t>the</w:t>
      </w:r>
      <w:r>
        <w:rPr>
          <w:spacing w:val="-6"/>
        </w:rPr>
        <w:t xml:space="preserve"> </w:t>
      </w:r>
      <w:r>
        <w:t>Water</w:t>
      </w:r>
      <w:r>
        <w:rPr>
          <w:spacing w:val="-5"/>
        </w:rPr>
        <w:t xml:space="preserve"> </w:t>
      </w:r>
      <w:r>
        <w:t>Management</w:t>
      </w:r>
      <w:r>
        <w:rPr>
          <w:spacing w:val="-6"/>
        </w:rPr>
        <w:t xml:space="preserve"> </w:t>
      </w:r>
      <w:r>
        <w:t>Program</w:t>
      </w:r>
      <w:r>
        <w:rPr>
          <w:spacing w:val="-5"/>
        </w:rPr>
        <w:t xml:space="preserve"> </w:t>
      </w:r>
      <w:r>
        <w:t>by</w:t>
      </w:r>
      <w:r>
        <w:rPr>
          <w:spacing w:val="-11"/>
        </w:rPr>
        <w:t xml:space="preserve"> </w:t>
      </w:r>
      <w:r>
        <w:t>implementing</w:t>
      </w:r>
      <w:r>
        <w:rPr>
          <w:spacing w:val="-8"/>
        </w:rPr>
        <w:t xml:space="preserve"> </w:t>
      </w:r>
      <w:r>
        <w:t>investments</w:t>
      </w:r>
      <w:r>
        <w:rPr>
          <w:spacing w:val="-58"/>
        </w:rPr>
        <w:t xml:space="preserve"> </w:t>
      </w:r>
      <w:r>
        <w:t>C1.3</w:t>
      </w:r>
      <w:r>
        <w:rPr>
          <w:spacing w:val="1"/>
        </w:rPr>
        <w:t xml:space="preserve"> </w:t>
      </w:r>
      <w:r>
        <w:t>R1-I1</w:t>
      </w:r>
      <w:r>
        <w:rPr>
          <w:spacing w:val="1"/>
        </w:rPr>
        <w:t xml:space="preserve"> </w:t>
      </w:r>
      <w:r>
        <w:t>Public</w:t>
      </w:r>
      <w:r>
        <w:rPr>
          <w:spacing w:val="1"/>
        </w:rPr>
        <w:t xml:space="preserve"> </w:t>
      </w:r>
      <w:r>
        <w:t>Sewage</w:t>
      </w:r>
      <w:r>
        <w:rPr>
          <w:spacing w:val="1"/>
        </w:rPr>
        <w:t xml:space="preserve"> </w:t>
      </w:r>
      <w:r>
        <w:t>Development</w:t>
      </w:r>
      <w:r>
        <w:rPr>
          <w:spacing w:val="1"/>
        </w:rPr>
        <w:t xml:space="preserve"> </w:t>
      </w:r>
      <w:r>
        <w:t>Program</w:t>
      </w:r>
      <w:r>
        <w:rPr>
          <w:spacing w:val="1"/>
        </w:rPr>
        <w:t xml:space="preserve"> </w:t>
      </w:r>
      <w:r>
        <w:t>and</w:t>
      </w:r>
      <w:r>
        <w:rPr>
          <w:spacing w:val="1"/>
        </w:rPr>
        <w:t xml:space="preserve"> </w:t>
      </w:r>
      <w:r>
        <w:t>C1.3</w:t>
      </w:r>
      <w:r>
        <w:rPr>
          <w:spacing w:val="1"/>
        </w:rPr>
        <w:t xml:space="preserve"> </w:t>
      </w:r>
      <w:r>
        <w:t>R1-I2</w:t>
      </w:r>
      <w:r>
        <w:rPr>
          <w:spacing w:val="1"/>
        </w:rPr>
        <w:t xml:space="preserve"> </w:t>
      </w:r>
      <w:r>
        <w:t>Public</w:t>
      </w:r>
      <w:r>
        <w:rPr>
          <w:spacing w:val="1"/>
        </w:rPr>
        <w:t xml:space="preserve"> </w:t>
      </w:r>
      <w:r>
        <w:t>Water</w:t>
      </w:r>
      <w:r>
        <w:rPr>
          <w:spacing w:val="1"/>
        </w:rPr>
        <w:t xml:space="preserve"> </w:t>
      </w:r>
      <w:r>
        <w:t>Supply</w:t>
      </w:r>
      <w:r>
        <w:rPr>
          <w:spacing w:val="-57"/>
        </w:rPr>
        <w:t xml:space="preserve"> </w:t>
      </w:r>
      <w:r>
        <w:t>Development</w:t>
      </w:r>
      <w:r>
        <w:rPr>
          <w:spacing w:val="-1"/>
        </w:rPr>
        <w:t xml:space="preserve"> </w:t>
      </w:r>
      <w:r>
        <w:t>Program.</w:t>
      </w:r>
    </w:p>
    <w:p w:rsidR="00A56FE9" w:rsidRDefault="00000000">
      <w:pPr>
        <w:pStyle w:val="Tijeloteksta"/>
        <w:spacing w:before="120"/>
        <w:ind w:right="273"/>
      </w:pPr>
      <w:r>
        <w:t>One of the most important reform goals in the water services sector is to achieve uniform</w:t>
      </w:r>
      <w:r>
        <w:rPr>
          <w:spacing w:val="1"/>
        </w:rPr>
        <w:t xml:space="preserve"> </w:t>
      </w:r>
      <w:r>
        <w:rPr>
          <w:spacing w:val="-1"/>
        </w:rPr>
        <w:t>development</w:t>
      </w:r>
      <w:r>
        <w:rPr>
          <w:spacing w:val="-14"/>
        </w:rPr>
        <w:t xml:space="preserve"> </w:t>
      </w:r>
      <w:r>
        <w:t>of</w:t>
      </w:r>
      <w:r>
        <w:rPr>
          <w:spacing w:val="-12"/>
        </w:rPr>
        <w:t xml:space="preserve"> </w:t>
      </w:r>
      <w:r>
        <w:t>the</w:t>
      </w:r>
      <w:r>
        <w:rPr>
          <w:spacing w:val="-13"/>
        </w:rPr>
        <w:t xml:space="preserve"> </w:t>
      </w:r>
      <w:r>
        <w:t>entire</w:t>
      </w:r>
      <w:r>
        <w:rPr>
          <w:spacing w:val="-13"/>
        </w:rPr>
        <w:t xml:space="preserve"> </w:t>
      </w:r>
      <w:r>
        <w:t>country</w:t>
      </w:r>
      <w:r>
        <w:rPr>
          <w:spacing w:val="-20"/>
        </w:rPr>
        <w:t xml:space="preserve"> </w:t>
      </w:r>
      <w:r>
        <w:t>in</w:t>
      </w:r>
      <w:r>
        <w:rPr>
          <w:spacing w:val="-12"/>
        </w:rPr>
        <w:t xml:space="preserve"> </w:t>
      </w:r>
      <w:r>
        <w:t>terms</w:t>
      </w:r>
      <w:r>
        <w:rPr>
          <w:spacing w:val="-13"/>
        </w:rPr>
        <w:t xml:space="preserve"> </w:t>
      </w:r>
      <w:r>
        <w:t>of</w:t>
      </w:r>
      <w:r>
        <w:rPr>
          <w:spacing w:val="-16"/>
        </w:rPr>
        <w:t xml:space="preserve"> </w:t>
      </w:r>
      <w:r>
        <w:t>water</w:t>
      </w:r>
      <w:r>
        <w:rPr>
          <w:spacing w:val="-13"/>
        </w:rPr>
        <w:t xml:space="preserve"> </w:t>
      </w:r>
      <w:r>
        <w:t>services</w:t>
      </w:r>
      <w:r>
        <w:rPr>
          <w:spacing w:val="-15"/>
        </w:rPr>
        <w:t xml:space="preserve"> </w:t>
      </w:r>
      <w:r>
        <w:t>in</w:t>
      </w:r>
      <w:r>
        <w:rPr>
          <w:spacing w:val="-13"/>
        </w:rPr>
        <w:t xml:space="preserve"> </w:t>
      </w:r>
      <w:r>
        <w:t>public</w:t>
      </w:r>
      <w:r>
        <w:rPr>
          <w:spacing w:val="-14"/>
        </w:rPr>
        <w:t xml:space="preserve"> </w:t>
      </w:r>
      <w:r>
        <w:t>water</w:t>
      </w:r>
      <w:r>
        <w:rPr>
          <w:spacing w:val="-15"/>
        </w:rPr>
        <w:t xml:space="preserve"> </w:t>
      </w:r>
      <w:r>
        <w:t>supply</w:t>
      </w:r>
      <w:r>
        <w:rPr>
          <w:spacing w:val="-17"/>
        </w:rPr>
        <w:t xml:space="preserve"> </w:t>
      </w:r>
      <w:r>
        <w:t>and</w:t>
      </w:r>
      <w:r>
        <w:rPr>
          <w:spacing w:val="-14"/>
        </w:rPr>
        <w:t xml:space="preserve"> </w:t>
      </w:r>
      <w:r>
        <w:t>drainage</w:t>
      </w:r>
      <w:r>
        <w:rPr>
          <w:spacing w:val="-58"/>
        </w:rPr>
        <w:t xml:space="preserve"> </w:t>
      </w:r>
      <w:r>
        <w:t>system, ensuring all citizens, especially those in rural areas, have access to the public water</w:t>
      </w:r>
      <w:r>
        <w:rPr>
          <w:spacing w:val="1"/>
        </w:rPr>
        <w:t xml:space="preserve"> </w:t>
      </w:r>
      <w:r>
        <w:t>supply and drainage system at an affordable price for water, and taking control over approx.</w:t>
      </w:r>
      <w:r>
        <w:rPr>
          <w:spacing w:val="1"/>
        </w:rPr>
        <w:t xml:space="preserve"> </w:t>
      </w:r>
      <w:r>
        <w:t>200</w:t>
      </w:r>
      <w:r>
        <w:rPr>
          <w:spacing w:val="16"/>
        </w:rPr>
        <w:t xml:space="preserve"> </w:t>
      </w:r>
      <w:r>
        <w:t>local</w:t>
      </w:r>
      <w:r>
        <w:rPr>
          <w:spacing w:val="17"/>
        </w:rPr>
        <w:t xml:space="preserve"> </w:t>
      </w:r>
      <w:r>
        <w:t>water</w:t>
      </w:r>
      <w:r>
        <w:rPr>
          <w:spacing w:val="17"/>
        </w:rPr>
        <w:t xml:space="preserve"> </w:t>
      </w:r>
      <w:r>
        <w:t>pipelines</w:t>
      </w:r>
      <w:r>
        <w:rPr>
          <w:spacing w:val="17"/>
        </w:rPr>
        <w:t xml:space="preserve"> </w:t>
      </w:r>
      <w:r>
        <w:t>from</w:t>
      </w:r>
      <w:r>
        <w:rPr>
          <w:spacing w:val="17"/>
        </w:rPr>
        <w:t xml:space="preserve"> </w:t>
      </w:r>
      <w:r>
        <w:t>which</w:t>
      </w:r>
      <w:r>
        <w:rPr>
          <w:spacing w:val="16"/>
        </w:rPr>
        <w:t xml:space="preserve"> </w:t>
      </w:r>
      <w:r>
        <w:t>supply</w:t>
      </w:r>
      <w:r>
        <w:rPr>
          <w:spacing w:val="11"/>
        </w:rPr>
        <w:t xml:space="preserve"> </w:t>
      </w:r>
      <w:r>
        <w:t>water</w:t>
      </w:r>
      <w:r>
        <w:rPr>
          <w:spacing w:val="16"/>
        </w:rPr>
        <w:t xml:space="preserve"> </w:t>
      </w:r>
      <w:r>
        <w:t>of</w:t>
      </w:r>
      <w:r>
        <w:rPr>
          <w:spacing w:val="18"/>
        </w:rPr>
        <w:t xml:space="preserve"> </w:t>
      </w:r>
      <w:r>
        <w:t>questionable</w:t>
      </w:r>
      <w:r>
        <w:rPr>
          <w:spacing w:val="18"/>
        </w:rPr>
        <w:t xml:space="preserve"> </w:t>
      </w:r>
      <w:r>
        <w:t>health</w:t>
      </w:r>
      <w:r>
        <w:rPr>
          <w:spacing w:val="17"/>
        </w:rPr>
        <w:t xml:space="preserve"> </w:t>
      </w:r>
      <w:r>
        <w:t>safety</w:t>
      </w:r>
      <w:r>
        <w:rPr>
          <w:spacing w:val="11"/>
        </w:rPr>
        <w:t xml:space="preserve"> </w:t>
      </w:r>
      <w:r>
        <w:t>is</w:t>
      </w:r>
      <w:r>
        <w:rPr>
          <w:spacing w:val="19"/>
        </w:rPr>
        <w:t xml:space="preserve"> </w:t>
      </w:r>
      <w:r>
        <w:t>supplied,</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2"/>
      </w:pPr>
      <w:r>
        <w:t>securing</w:t>
      </w:r>
      <w:r>
        <w:rPr>
          <w:spacing w:val="-15"/>
        </w:rPr>
        <w:t xml:space="preserve"> </w:t>
      </w:r>
      <w:r>
        <w:t>for</w:t>
      </w:r>
      <w:r>
        <w:rPr>
          <w:spacing w:val="-13"/>
        </w:rPr>
        <w:t xml:space="preserve"> </w:t>
      </w:r>
      <w:r>
        <w:t>the</w:t>
      </w:r>
      <w:r>
        <w:rPr>
          <w:spacing w:val="-13"/>
        </w:rPr>
        <w:t xml:space="preserve"> </w:t>
      </w:r>
      <w:r>
        <w:t>remaining</w:t>
      </w:r>
      <w:r>
        <w:rPr>
          <w:spacing w:val="-15"/>
        </w:rPr>
        <w:t xml:space="preserve"> </w:t>
      </w:r>
      <w:r>
        <w:t>73</w:t>
      </w:r>
      <w:r>
        <w:rPr>
          <w:spacing w:val="-12"/>
        </w:rPr>
        <w:t xml:space="preserve"> </w:t>
      </w:r>
      <w:r>
        <w:t>local</w:t>
      </w:r>
      <w:r>
        <w:rPr>
          <w:spacing w:val="-12"/>
        </w:rPr>
        <w:t xml:space="preserve"> </w:t>
      </w:r>
      <w:r>
        <w:t>self-government</w:t>
      </w:r>
      <w:r>
        <w:rPr>
          <w:spacing w:val="-12"/>
        </w:rPr>
        <w:t xml:space="preserve"> </w:t>
      </w:r>
      <w:r>
        <w:t>units</w:t>
      </w:r>
      <w:r>
        <w:rPr>
          <w:spacing w:val="-12"/>
        </w:rPr>
        <w:t xml:space="preserve"> </w:t>
      </w:r>
      <w:r>
        <w:t>that</w:t>
      </w:r>
      <w:r>
        <w:rPr>
          <w:spacing w:val="-12"/>
        </w:rPr>
        <w:t xml:space="preserve"> </w:t>
      </w:r>
      <w:r>
        <w:t>do</w:t>
      </w:r>
      <w:r>
        <w:rPr>
          <w:spacing w:val="-11"/>
        </w:rPr>
        <w:t xml:space="preserve"> </w:t>
      </w:r>
      <w:r>
        <w:t>not</w:t>
      </w:r>
      <w:r>
        <w:rPr>
          <w:spacing w:val="-12"/>
        </w:rPr>
        <w:t xml:space="preserve"> </w:t>
      </w:r>
      <w:r>
        <w:t>have</w:t>
      </w:r>
      <w:r>
        <w:rPr>
          <w:spacing w:val="-13"/>
        </w:rPr>
        <w:t xml:space="preserve"> </w:t>
      </w:r>
      <w:r>
        <w:t>a</w:t>
      </w:r>
      <w:r>
        <w:rPr>
          <w:spacing w:val="-11"/>
        </w:rPr>
        <w:t xml:space="preserve"> </w:t>
      </w:r>
      <w:r>
        <w:t>public</w:t>
      </w:r>
      <w:r>
        <w:rPr>
          <w:spacing w:val="-13"/>
        </w:rPr>
        <w:t xml:space="preserve"> </w:t>
      </w:r>
      <w:r>
        <w:t>water</w:t>
      </w:r>
      <w:r>
        <w:rPr>
          <w:spacing w:val="-12"/>
        </w:rPr>
        <w:t xml:space="preserve"> </w:t>
      </w:r>
      <w:r>
        <w:t>supply</w:t>
      </w:r>
      <w:r>
        <w:rPr>
          <w:spacing w:val="-57"/>
        </w:rPr>
        <w:t xml:space="preserve"> </w:t>
      </w:r>
      <w:r>
        <w:t>and drainage system, which represents a significant development and demographic measure.</w:t>
      </w:r>
      <w:r>
        <w:rPr>
          <w:spacing w:val="1"/>
        </w:rPr>
        <w:t xml:space="preserve"> </w:t>
      </w:r>
      <w:r>
        <w:t>Namely, the water sector in the Republic of Croatia lags significantly behind EU standards.</w:t>
      </w:r>
      <w:r>
        <w:rPr>
          <w:spacing w:val="1"/>
        </w:rPr>
        <w:t xml:space="preserve"> </w:t>
      </w:r>
      <w:r>
        <w:rPr>
          <w:spacing w:val="-1"/>
        </w:rPr>
        <w:t>Therefore,</w:t>
      </w:r>
      <w:r>
        <w:rPr>
          <w:spacing w:val="-15"/>
        </w:rPr>
        <w:t xml:space="preserve"> </w:t>
      </w:r>
      <w:r>
        <w:rPr>
          <w:spacing w:val="-1"/>
        </w:rPr>
        <w:t>significant</w:t>
      </w:r>
      <w:r>
        <w:rPr>
          <w:spacing w:val="-14"/>
        </w:rPr>
        <w:t xml:space="preserve"> </w:t>
      </w:r>
      <w:r>
        <w:t>investments</w:t>
      </w:r>
      <w:r>
        <w:rPr>
          <w:spacing w:val="-14"/>
        </w:rPr>
        <w:t xml:space="preserve"> </w:t>
      </w:r>
      <w:r>
        <w:t>are</w:t>
      </w:r>
      <w:r>
        <w:rPr>
          <w:spacing w:val="-17"/>
        </w:rPr>
        <w:t xml:space="preserve"> </w:t>
      </w:r>
      <w:r>
        <w:t>needed</w:t>
      </w:r>
      <w:r>
        <w:rPr>
          <w:spacing w:val="-14"/>
        </w:rPr>
        <w:t xml:space="preserve"> </w:t>
      </w:r>
      <w:r>
        <w:t>in</w:t>
      </w:r>
      <w:r>
        <w:rPr>
          <w:spacing w:val="-14"/>
        </w:rPr>
        <w:t xml:space="preserve"> </w:t>
      </w:r>
      <w:r>
        <w:t>the</w:t>
      </w:r>
      <w:r>
        <w:rPr>
          <w:spacing w:val="-15"/>
        </w:rPr>
        <w:t xml:space="preserve"> </w:t>
      </w:r>
      <w:r>
        <w:t>area</w:t>
      </w:r>
      <w:r>
        <w:rPr>
          <w:spacing w:val="-16"/>
        </w:rPr>
        <w:t xml:space="preserve"> </w:t>
      </w:r>
      <w:r>
        <w:t>of</w:t>
      </w:r>
      <w:r>
        <w:rPr>
          <w:spacing w:val="-15"/>
        </w:rPr>
        <w:t xml:space="preserve"> </w:t>
      </w:r>
      <w:r>
        <w:t>water</w:t>
      </w:r>
      <w:r>
        <w:rPr>
          <w:spacing w:val="-16"/>
        </w:rPr>
        <w:t xml:space="preserve"> </w:t>
      </w:r>
      <w:r>
        <w:t>resources</w:t>
      </w:r>
      <w:r>
        <w:rPr>
          <w:spacing w:val="-12"/>
        </w:rPr>
        <w:t xml:space="preserve"> </w:t>
      </w:r>
      <w:r>
        <w:t>management,</w:t>
      </w:r>
      <w:r>
        <w:rPr>
          <w:spacing w:val="-15"/>
        </w:rPr>
        <w:t xml:space="preserve"> </w:t>
      </w:r>
      <w:r>
        <w:t>which</w:t>
      </w:r>
      <w:r>
        <w:rPr>
          <w:spacing w:val="-57"/>
        </w:rPr>
        <w:t xml:space="preserve"> </w:t>
      </w:r>
      <w:r>
        <w:rPr>
          <w:spacing w:val="-1"/>
        </w:rPr>
        <w:t>is</w:t>
      </w:r>
      <w:r>
        <w:rPr>
          <w:spacing w:val="-13"/>
        </w:rPr>
        <w:t xml:space="preserve"> </w:t>
      </w:r>
      <w:r>
        <w:t>underdeveloped</w:t>
      </w:r>
      <w:r>
        <w:rPr>
          <w:spacing w:val="-14"/>
        </w:rPr>
        <w:t xml:space="preserve"> </w:t>
      </w:r>
      <w:r>
        <w:t>(CSR</w:t>
      </w:r>
      <w:r>
        <w:rPr>
          <w:spacing w:val="-13"/>
        </w:rPr>
        <w:t xml:space="preserve"> </w:t>
      </w:r>
      <w:r>
        <w:t>2020).</w:t>
      </w:r>
      <w:r>
        <w:rPr>
          <w:spacing w:val="-13"/>
        </w:rPr>
        <w:t xml:space="preserve"> </w:t>
      </w:r>
      <w:r>
        <w:t>To</w:t>
      </w:r>
      <w:r>
        <w:rPr>
          <w:spacing w:val="-14"/>
        </w:rPr>
        <w:t xml:space="preserve"> </w:t>
      </w:r>
      <w:r>
        <w:t>ensure</w:t>
      </w:r>
      <w:r>
        <w:rPr>
          <w:spacing w:val="-15"/>
        </w:rPr>
        <w:t xml:space="preserve"> </w:t>
      </w:r>
      <w:r>
        <w:t>implementation</w:t>
      </w:r>
      <w:r>
        <w:rPr>
          <w:spacing w:val="-13"/>
        </w:rPr>
        <w:t xml:space="preserve"> </w:t>
      </w:r>
      <w:r>
        <w:t>of</w:t>
      </w:r>
      <w:r>
        <w:rPr>
          <w:spacing w:val="-14"/>
        </w:rPr>
        <w:t xml:space="preserve"> </w:t>
      </w:r>
      <w:r>
        <w:t>the</w:t>
      </w:r>
      <w:r>
        <w:rPr>
          <w:spacing w:val="-14"/>
        </w:rPr>
        <w:t xml:space="preserve"> </w:t>
      </w:r>
      <w:r>
        <w:t>sustainable</w:t>
      </w:r>
      <w:r>
        <w:rPr>
          <w:spacing w:val="-14"/>
        </w:rPr>
        <w:t xml:space="preserve"> </w:t>
      </w:r>
      <w:r>
        <w:t>development</w:t>
      </w:r>
      <w:r>
        <w:rPr>
          <w:spacing w:val="-13"/>
        </w:rPr>
        <w:t xml:space="preserve"> </w:t>
      </w:r>
      <w:r>
        <w:t>goals</w:t>
      </w:r>
      <w:r>
        <w:rPr>
          <w:spacing w:val="-58"/>
        </w:rPr>
        <w:t xml:space="preserve"> </w:t>
      </w:r>
      <w:r>
        <w:t>(SDG Goal 6: Ensure availability and sustainable management of water and sanitation for all)</w:t>
      </w:r>
      <w:r>
        <w:rPr>
          <w:spacing w:val="1"/>
        </w:rPr>
        <w:t xml:space="preserve"> </w:t>
      </w:r>
      <w:r>
        <w:t>as well as synergetic action in the area of sustained management of water resources and</w:t>
      </w:r>
      <w:r>
        <w:rPr>
          <w:spacing w:val="1"/>
        </w:rPr>
        <w:t xml:space="preserve"> </w:t>
      </w:r>
      <w:r>
        <w:t>protection</w:t>
      </w:r>
      <w:r>
        <w:rPr>
          <w:spacing w:val="-4"/>
        </w:rPr>
        <w:t xml:space="preserve"> </w:t>
      </w:r>
      <w:r>
        <w:t>thereof,</w:t>
      </w:r>
      <w:r>
        <w:rPr>
          <w:spacing w:val="-5"/>
        </w:rPr>
        <w:t xml:space="preserve"> </w:t>
      </w:r>
      <w:r>
        <w:t>Croatia</w:t>
      </w:r>
      <w:r>
        <w:rPr>
          <w:spacing w:val="-5"/>
        </w:rPr>
        <w:t xml:space="preserve"> </w:t>
      </w:r>
      <w:r>
        <w:t>has</w:t>
      </w:r>
      <w:r>
        <w:rPr>
          <w:spacing w:val="-3"/>
        </w:rPr>
        <w:t xml:space="preserve"> </w:t>
      </w:r>
      <w:r>
        <w:t>recognised</w:t>
      </w:r>
      <w:r>
        <w:rPr>
          <w:spacing w:val="-4"/>
        </w:rPr>
        <w:t xml:space="preserve"> </w:t>
      </w:r>
      <w:r>
        <w:t>key</w:t>
      </w:r>
      <w:r>
        <w:rPr>
          <w:spacing w:val="-6"/>
        </w:rPr>
        <w:t xml:space="preserve"> </w:t>
      </w:r>
      <w:r>
        <w:t>area</w:t>
      </w:r>
      <w:r>
        <w:rPr>
          <w:spacing w:val="-3"/>
        </w:rPr>
        <w:t xml:space="preserve"> </w:t>
      </w:r>
      <w:r>
        <w:t>of</w:t>
      </w:r>
      <w:r>
        <w:rPr>
          <w:spacing w:val="-4"/>
        </w:rPr>
        <w:t xml:space="preserve"> </w:t>
      </w:r>
      <w:r>
        <w:t>intervention:</w:t>
      </w:r>
      <w:r>
        <w:rPr>
          <w:spacing w:val="-3"/>
        </w:rPr>
        <w:t xml:space="preserve"> </w:t>
      </w:r>
      <w:r>
        <w:t>improving</w:t>
      </w:r>
      <w:r>
        <w:rPr>
          <w:spacing w:val="-7"/>
        </w:rPr>
        <w:t xml:space="preserve"> </w:t>
      </w:r>
      <w:r>
        <w:t>the</w:t>
      </w:r>
      <w:r>
        <w:rPr>
          <w:spacing w:val="-3"/>
        </w:rPr>
        <w:t xml:space="preserve"> </w:t>
      </w:r>
      <w:r>
        <w:t>public</w:t>
      </w:r>
      <w:r>
        <w:rPr>
          <w:spacing w:val="-2"/>
        </w:rPr>
        <w:t xml:space="preserve"> </w:t>
      </w:r>
      <w:r>
        <w:t>water</w:t>
      </w:r>
      <w:r>
        <w:rPr>
          <w:spacing w:val="-58"/>
        </w:rPr>
        <w:t xml:space="preserve"> </w:t>
      </w:r>
      <w:r>
        <w:t>supply system, upgrading the public sewage system and purification of wastewater, including</w:t>
      </w:r>
      <w:r>
        <w:rPr>
          <w:spacing w:val="1"/>
        </w:rPr>
        <w:t xml:space="preserve"> </w:t>
      </w:r>
      <w:r>
        <w:t>preserving the good condition of water for the purpose of improving sustainability in the</w:t>
      </w:r>
      <w:r>
        <w:rPr>
          <w:spacing w:val="1"/>
        </w:rPr>
        <w:t xml:space="preserve"> </w:t>
      </w:r>
      <w:r>
        <w:t>utilisation</w:t>
      </w:r>
      <w:r>
        <w:rPr>
          <w:spacing w:val="-12"/>
        </w:rPr>
        <w:t xml:space="preserve"> </w:t>
      </w:r>
      <w:r>
        <w:t>and</w:t>
      </w:r>
      <w:r>
        <w:rPr>
          <w:spacing w:val="-13"/>
        </w:rPr>
        <w:t xml:space="preserve"> </w:t>
      </w:r>
      <w:r>
        <w:t>management</w:t>
      </w:r>
      <w:r>
        <w:rPr>
          <w:spacing w:val="-12"/>
        </w:rPr>
        <w:t xml:space="preserve"> </w:t>
      </w:r>
      <w:r>
        <w:t>of</w:t>
      </w:r>
      <w:r>
        <w:rPr>
          <w:spacing w:val="-12"/>
        </w:rPr>
        <w:t xml:space="preserve"> </w:t>
      </w:r>
      <w:r>
        <w:t>water.</w:t>
      </w:r>
      <w:r>
        <w:rPr>
          <w:spacing w:val="-9"/>
        </w:rPr>
        <w:t xml:space="preserve"> </w:t>
      </w:r>
      <w:r>
        <w:t>Increasing</w:t>
      </w:r>
      <w:r>
        <w:rPr>
          <w:spacing w:val="-14"/>
        </w:rPr>
        <w:t xml:space="preserve"> </w:t>
      </w:r>
      <w:r>
        <w:t>effectiveness</w:t>
      </w:r>
      <w:r>
        <w:rPr>
          <w:spacing w:val="-12"/>
        </w:rPr>
        <w:t xml:space="preserve"> </w:t>
      </w:r>
      <w:r>
        <w:t>in</w:t>
      </w:r>
      <w:r>
        <w:rPr>
          <w:spacing w:val="-12"/>
        </w:rPr>
        <w:t xml:space="preserve"> </w:t>
      </w:r>
      <w:r>
        <w:t>water</w:t>
      </w:r>
      <w:r>
        <w:rPr>
          <w:spacing w:val="-13"/>
        </w:rPr>
        <w:t xml:space="preserve"> </w:t>
      </w:r>
      <w:r>
        <w:t>usage</w:t>
      </w:r>
      <w:r>
        <w:rPr>
          <w:spacing w:val="-13"/>
        </w:rPr>
        <w:t xml:space="preserve"> </w:t>
      </w:r>
      <w:r>
        <w:t>and</w:t>
      </w:r>
      <w:r>
        <w:rPr>
          <w:spacing w:val="-12"/>
        </w:rPr>
        <w:t xml:space="preserve"> </w:t>
      </w:r>
      <w:r>
        <w:t>implementing</w:t>
      </w:r>
      <w:r>
        <w:rPr>
          <w:spacing w:val="-57"/>
        </w:rPr>
        <w:t xml:space="preserve"> </w:t>
      </w:r>
      <w:r>
        <w:t>an</w:t>
      </w:r>
      <w:r>
        <w:rPr>
          <w:spacing w:val="-9"/>
        </w:rPr>
        <w:t xml:space="preserve"> </w:t>
      </w:r>
      <w:r>
        <w:t>integrated</w:t>
      </w:r>
      <w:r>
        <w:rPr>
          <w:spacing w:val="-9"/>
        </w:rPr>
        <w:t xml:space="preserve"> </w:t>
      </w:r>
      <w:r>
        <w:t>water</w:t>
      </w:r>
      <w:r>
        <w:rPr>
          <w:spacing w:val="-6"/>
        </w:rPr>
        <w:t xml:space="preserve"> </w:t>
      </w:r>
      <w:r>
        <w:t>resources</w:t>
      </w:r>
      <w:r>
        <w:rPr>
          <w:spacing w:val="-8"/>
        </w:rPr>
        <w:t xml:space="preserve"> </w:t>
      </w:r>
      <w:r>
        <w:t>management</w:t>
      </w:r>
      <w:r>
        <w:rPr>
          <w:spacing w:val="-8"/>
        </w:rPr>
        <w:t xml:space="preserve"> </w:t>
      </w:r>
      <w:r>
        <w:t>system</w:t>
      </w:r>
      <w:r>
        <w:rPr>
          <w:spacing w:val="-6"/>
        </w:rPr>
        <w:t xml:space="preserve"> </w:t>
      </w:r>
      <w:r>
        <w:t>is</w:t>
      </w:r>
      <w:r>
        <w:rPr>
          <w:spacing w:val="-7"/>
        </w:rPr>
        <w:t xml:space="preserve"> </w:t>
      </w:r>
      <w:r>
        <w:t>key</w:t>
      </w:r>
      <w:r>
        <w:rPr>
          <w:spacing w:val="-13"/>
        </w:rPr>
        <w:t xml:space="preserve"> </w:t>
      </w:r>
      <w:r>
        <w:t>to</w:t>
      </w:r>
      <w:r>
        <w:rPr>
          <w:spacing w:val="-7"/>
        </w:rPr>
        <w:t xml:space="preserve"> </w:t>
      </w:r>
      <w:r>
        <w:t>satisfying</w:t>
      </w:r>
      <w:r>
        <w:rPr>
          <w:spacing w:val="-11"/>
        </w:rPr>
        <w:t xml:space="preserve"> </w:t>
      </w:r>
      <w:r>
        <w:t>Croatia’s</w:t>
      </w:r>
      <w:r>
        <w:rPr>
          <w:spacing w:val="-8"/>
        </w:rPr>
        <w:t xml:space="preserve"> </w:t>
      </w:r>
      <w:r>
        <w:t>needs</w:t>
      </w:r>
      <w:r>
        <w:rPr>
          <w:spacing w:val="-6"/>
        </w:rPr>
        <w:t xml:space="preserve"> </w:t>
      </w:r>
      <w:r>
        <w:t>for</w:t>
      </w:r>
      <w:r>
        <w:rPr>
          <w:spacing w:val="-10"/>
        </w:rPr>
        <w:t xml:space="preserve"> </w:t>
      </w:r>
      <w:r>
        <w:t>water</w:t>
      </w:r>
      <w:r>
        <w:rPr>
          <w:spacing w:val="-57"/>
        </w:rPr>
        <w:t xml:space="preserve"> </w:t>
      </w:r>
      <w:r>
        <w:t>in the future. Reform in the water services sector is a prerequisite for effective implementation</w:t>
      </w:r>
      <w:r>
        <w:rPr>
          <w:spacing w:val="-57"/>
        </w:rPr>
        <w:t xml:space="preserve"> </w:t>
      </w:r>
      <w:r>
        <w:t>of investments in water management to ensure compliance with relevant EU directives and</w:t>
      </w:r>
      <w:r>
        <w:rPr>
          <w:spacing w:val="1"/>
        </w:rPr>
        <w:t xml:space="preserve"> </w:t>
      </w:r>
      <w:r>
        <w:t>includes the integration of public water service providers in the service area to strengthen</w:t>
      </w:r>
      <w:r>
        <w:rPr>
          <w:spacing w:val="1"/>
        </w:rPr>
        <w:t xml:space="preserve"> </w:t>
      </w:r>
      <w:r>
        <w:t>implementation capacity and investment capacity and financial and technical sustainability of</w:t>
      </w:r>
      <w:r>
        <w:rPr>
          <w:spacing w:val="1"/>
        </w:rPr>
        <w:t xml:space="preserve"> </w:t>
      </w:r>
      <w:r>
        <w:t>public water service providers. The reform will ensure the implementation of the principle of</w:t>
      </w:r>
      <w:r>
        <w:rPr>
          <w:spacing w:val="1"/>
        </w:rPr>
        <w:t xml:space="preserve"> </w:t>
      </w:r>
      <w:r>
        <w:t>cost</w:t>
      </w:r>
      <w:r>
        <w:rPr>
          <w:spacing w:val="-8"/>
        </w:rPr>
        <w:t xml:space="preserve"> </w:t>
      </w:r>
      <w:r>
        <w:t>recovery</w:t>
      </w:r>
      <w:r>
        <w:rPr>
          <w:spacing w:val="-12"/>
        </w:rPr>
        <w:t xml:space="preserve"> </w:t>
      </w:r>
      <w:r>
        <w:t>from</w:t>
      </w:r>
      <w:r>
        <w:rPr>
          <w:spacing w:val="-9"/>
        </w:rPr>
        <w:t xml:space="preserve"> </w:t>
      </w:r>
      <w:r>
        <w:t>water</w:t>
      </w:r>
      <w:r>
        <w:rPr>
          <w:spacing w:val="-6"/>
        </w:rPr>
        <w:t xml:space="preserve"> </w:t>
      </w:r>
      <w:r>
        <w:t>services</w:t>
      </w:r>
      <w:r>
        <w:rPr>
          <w:spacing w:val="-7"/>
        </w:rPr>
        <w:t xml:space="preserve"> </w:t>
      </w:r>
      <w:r>
        <w:t>so</w:t>
      </w:r>
      <w:r>
        <w:rPr>
          <w:spacing w:val="-8"/>
        </w:rPr>
        <w:t xml:space="preserve"> </w:t>
      </w:r>
      <w:r>
        <w:t>that</w:t>
      </w:r>
      <w:r>
        <w:rPr>
          <w:spacing w:val="-8"/>
        </w:rPr>
        <w:t xml:space="preserve"> </w:t>
      </w:r>
      <w:r>
        <w:t>the</w:t>
      </w:r>
      <w:r>
        <w:rPr>
          <w:spacing w:val="-8"/>
        </w:rPr>
        <w:t xml:space="preserve"> </w:t>
      </w:r>
      <w:r>
        <w:t>price</w:t>
      </w:r>
      <w:r>
        <w:rPr>
          <w:spacing w:val="-7"/>
        </w:rPr>
        <w:t xml:space="preserve"> </w:t>
      </w:r>
      <w:r>
        <w:t>of</w:t>
      </w:r>
      <w:r>
        <w:rPr>
          <w:spacing w:val="-8"/>
        </w:rPr>
        <w:t xml:space="preserve"> </w:t>
      </w:r>
      <w:r>
        <w:t>water</w:t>
      </w:r>
      <w:r>
        <w:rPr>
          <w:spacing w:val="-9"/>
        </w:rPr>
        <w:t xml:space="preserve"> </w:t>
      </w:r>
      <w:r>
        <w:t>is</w:t>
      </w:r>
      <w:r>
        <w:rPr>
          <w:spacing w:val="-8"/>
        </w:rPr>
        <w:t xml:space="preserve"> </w:t>
      </w:r>
      <w:r>
        <w:t>socially</w:t>
      </w:r>
      <w:r>
        <w:rPr>
          <w:spacing w:val="-10"/>
        </w:rPr>
        <w:t xml:space="preserve"> </w:t>
      </w:r>
      <w:r>
        <w:t>affordable</w:t>
      </w:r>
      <w:r>
        <w:rPr>
          <w:spacing w:val="-8"/>
        </w:rPr>
        <w:t xml:space="preserve"> </w:t>
      </w:r>
      <w:r>
        <w:t>for</w:t>
      </w:r>
      <w:r>
        <w:rPr>
          <w:spacing w:val="-8"/>
        </w:rPr>
        <w:t xml:space="preserve"> </w:t>
      </w:r>
      <w:r>
        <w:t>consumers</w:t>
      </w:r>
      <w:r>
        <w:rPr>
          <w:spacing w:val="-57"/>
        </w:rPr>
        <w:t xml:space="preserve"> </w:t>
      </w:r>
      <w:r>
        <w:t>even after the implementation of investments. The legal precondition for water utility reform</w:t>
      </w:r>
      <w:r>
        <w:rPr>
          <w:spacing w:val="1"/>
        </w:rPr>
        <w:t xml:space="preserve"> </w:t>
      </w:r>
      <w:r>
        <w:t>was achieved through measures from the NRP 2019 by adopting the Water Services Act</w:t>
      </w:r>
      <w:r>
        <w:rPr>
          <w:vertAlign w:val="superscript"/>
        </w:rPr>
        <w:t>9</w:t>
      </w:r>
      <w:r>
        <w:t xml:space="preserve"> and</w:t>
      </w:r>
      <w:r>
        <w:rPr>
          <w:spacing w:val="1"/>
        </w:rPr>
        <w:t xml:space="preserve"> </w:t>
      </w:r>
      <w:r>
        <w:t>the NRP 2020 by</w:t>
      </w:r>
      <w:r>
        <w:rPr>
          <w:spacing w:val="-5"/>
        </w:rPr>
        <w:t xml:space="preserve"> </w:t>
      </w:r>
      <w:r>
        <w:t>adopting</w:t>
      </w:r>
      <w:r>
        <w:rPr>
          <w:spacing w:val="-3"/>
        </w:rPr>
        <w:t xml:space="preserve"> </w:t>
      </w:r>
      <w:r>
        <w:t>the Regulation on Service Areas.</w:t>
      </w:r>
      <w:r>
        <w:rPr>
          <w:vertAlign w:val="superscript"/>
        </w:rPr>
        <w:t>10</w:t>
      </w:r>
    </w:p>
    <w:p w:rsidR="00A56FE9" w:rsidRDefault="00000000">
      <w:pPr>
        <w:pStyle w:val="Tijeloteksta"/>
        <w:spacing w:before="122"/>
        <w:ind w:right="274"/>
      </w:pPr>
      <w:r>
        <w:t>The burden for water bodies drawing water for the needs of the public water supply is</w:t>
      </w:r>
      <w:r>
        <w:rPr>
          <w:spacing w:val="1"/>
        </w:rPr>
        <w:t xml:space="preserve"> </w:t>
      </w:r>
      <w:r>
        <w:t>unnecessarily high, and reducing losses is necessary, meaning the impact of water abstraction</w:t>
      </w:r>
      <w:r>
        <w:rPr>
          <w:spacing w:val="1"/>
        </w:rPr>
        <w:t xml:space="preserve"> </w:t>
      </w:r>
      <w:r>
        <w:t>on the quantitative state of groundwater, i.e., the ecological condition (hydromorphological</w:t>
      </w:r>
      <w:r>
        <w:rPr>
          <w:spacing w:val="1"/>
        </w:rPr>
        <w:t xml:space="preserve"> </w:t>
      </w:r>
      <w:r>
        <w:t>element)</w:t>
      </w:r>
      <w:r>
        <w:rPr>
          <w:spacing w:val="1"/>
        </w:rPr>
        <w:t xml:space="preserve"> </w:t>
      </w:r>
      <w:r>
        <w:t>of</w:t>
      </w:r>
      <w:r>
        <w:rPr>
          <w:spacing w:val="1"/>
        </w:rPr>
        <w:t xml:space="preserve"> </w:t>
      </w:r>
      <w:r>
        <w:t>surface</w:t>
      </w:r>
      <w:r>
        <w:rPr>
          <w:spacing w:val="1"/>
        </w:rPr>
        <w:t xml:space="preserve"> </w:t>
      </w:r>
      <w:r>
        <w:t>water.</w:t>
      </w:r>
      <w:r>
        <w:rPr>
          <w:spacing w:val="1"/>
        </w:rPr>
        <w:t xml:space="preserve"> </w:t>
      </w:r>
      <w:r>
        <w:t>To</w:t>
      </w:r>
      <w:r>
        <w:rPr>
          <w:spacing w:val="1"/>
        </w:rPr>
        <w:t xml:space="preserve"> </w:t>
      </w:r>
      <w:r>
        <w:t>reduce</w:t>
      </w:r>
      <w:r>
        <w:rPr>
          <w:spacing w:val="1"/>
        </w:rPr>
        <w:t xml:space="preserve"> </w:t>
      </w:r>
      <w:r>
        <w:t>water</w:t>
      </w:r>
      <w:r>
        <w:rPr>
          <w:spacing w:val="1"/>
        </w:rPr>
        <w:t xml:space="preserve"> </w:t>
      </w:r>
      <w:r>
        <w:t>losses</w:t>
      </w:r>
      <w:r>
        <w:rPr>
          <w:spacing w:val="1"/>
        </w:rPr>
        <w:t xml:space="preserve"> </w:t>
      </w:r>
      <w:r>
        <w:t>in</w:t>
      </w:r>
      <w:r>
        <w:rPr>
          <w:spacing w:val="1"/>
        </w:rPr>
        <w:t xml:space="preserve"> </w:t>
      </w:r>
      <w:r>
        <w:t>public</w:t>
      </w:r>
      <w:r>
        <w:rPr>
          <w:spacing w:val="1"/>
        </w:rPr>
        <w:t xml:space="preserve"> </w:t>
      </w:r>
      <w:r>
        <w:t>water</w:t>
      </w:r>
      <w:r>
        <w:rPr>
          <w:spacing w:val="1"/>
        </w:rPr>
        <w:t xml:space="preserve"> </w:t>
      </w:r>
      <w:r>
        <w:t>supply</w:t>
      </w:r>
      <w:r>
        <w:rPr>
          <w:spacing w:val="1"/>
        </w:rPr>
        <w:t xml:space="preserve"> </w:t>
      </w:r>
      <w:r>
        <w:t>systems,</w:t>
      </w:r>
      <w:r>
        <w:rPr>
          <w:spacing w:val="1"/>
        </w:rPr>
        <w:t xml:space="preserve"> </w:t>
      </w:r>
      <w:r>
        <w:t>the</w:t>
      </w:r>
      <w:r>
        <w:rPr>
          <w:spacing w:val="1"/>
        </w:rPr>
        <w:t xml:space="preserve"> </w:t>
      </w:r>
      <w:r>
        <w:t>Regulation</w:t>
      </w:r>
      <w:r>
        <w:rPr>
          <w:spacing w:val="-2"/>
        </w:rPr>
        <w:t xml:space="preserve"> </w:t>
      </w:r>
      <w:r>
        <w:t>on</w:t>
      </w:r>
      <w:r>
        <w:rPr>
          <w:spacing w:val="-1"/>
        </w:rPr>
        <w:t xml:space="preserve"> </w:t>
      </w:r>
      <w:r>
        <w:t>Amendments</w:t>
      </w:r>
      <w:r>
        <w:rPr>
          <w:spacing w:val="-1"/>
        </w:rPr>
        <w:t xml:space="preserve"> </w:t>
      </w:r>
      <w:r>
        <w:t>to</w:t>
      </w:r>
      <w:r>
        <w:rPr>
          <w:spacing w:val="-1"/>
        </w:rPr>
        <w:t xml:space="preserve"> </w:t>
      </w:r>
      <w:r>
        <w:t>the</w:t>
      </w:r>
      <w:r>
        <w:rPr>
          <w:spacing w:val="-1"/>
        </w:rPr>
        <w:t xml:space="preserve"> </w:t>
      </w:r>
      <w:r>
        <w:t>Regulation</w:t>
      </w:r>
      <w:r>
        <w:rPr>
          <w:spacing w:val="-1"/>
        </w:rPr>
        <w:t xml:space="preserve"> </w:t>
      </w:r>
      <w:r>
        <w:t>on</w:t>
      </w:r>
      <w:r>
        <w:rPr>
          <w:spacing w:val="-1"/>
        </w:rPr>
        <w:t xml:space="preserve"> </w:t>
      </w:r>
      <w:r>
        <w:t>the</w:t>
      </w:r>
      <w:r>
        <w:rPr>
          <w:spacing w:val="-2"/>
        </w:rPr>
        <w:t xml:space="preserve"> </w:t>
      </w:r>
      <w:r>
        <w:t>Amount</w:t>
      </w:r>
      <w:r>
        <w:rPr>
          <w:spacing w:val="-1"/>
        </w:rPr>
        <w:t xml:space="preserve"> </w:t>
      </w:r>
      <w:r>
        <w:t>of</w:t>
      </w:r>
      <w:r>
        <w:rPr>
          <w:spacing w:val="-1"/>
        </w:rPr>
        <w:t xml:space="preserve"> </w:t>
      </w:r>
      <w:r>
        <w:t>Compensation</w:t>
      </w:r>
      <w:r>
        <w:rPr>
          <w:spacing w:val="-1"/>
        </w:rPr>
        <w:t xml:space="preserve"> </w:t>
      </w:r>
      <w:r>
        <w:t>Water</w:t>
      </w:r>
      <w:r>
        <w:rPr>
          <w:spacing w:val="-3"/>
        </w:rPr>
        <w:t xml:space="preserve"> </w:t>
      </w:r>
      <w:r>
        <w:t>Usage</w:t>
      </w:r>
      <w:r>
        <w:rPr>
          <w:vertAlign w:val="superscript"/>
        </w:rPr>
        <w:t>11</w:t>
      </w:r>
      <w:r>
        <w:rPr>
          <w:spacing w:val="-57"/>
        </w:rPr>
        <w:t xml:space="preserve"> </w:t>
      </w:r>
      <w:r>
        <w:t>was</w:t>
      </w:r>
      <w:r>
        <w:rPr>
          <w:spacing w:val="-1"/>
        </w:rPr>
        <w:t xml:space="preserve"> </w:t>
      </w:r>
      <w:r>
        <w:t>adopted as</w:t>
      </w:r>
      <w:r>
        <w:rPr>
          <w:spacing w:val="2"/>
        </w:rPr>
        <w:t xml:space="preserve"> </w:t>
      </w:r>
      <w:r>
        <w:t>a</w:t>
      </w:r>
      <w:r>
        <w:rPr>
          <w:spacing w:val="-1"/>
        </w:rPr>
        <w:t xml:space="preserve"> </w:t>
      </w:r>
      <w:r>
        <w:t>measure</w:t>
      </w:r>
      <w:r>
        <w:rPr>
          <w:spacing w:val="-1"/>
        </w:rPr>
        <w:t xml:space="preserve"> </w:t>
      </w:r>
      <w:r>
        <w:t>from the</w:t>
      </w:r>
      <w:r>
        <w:rPr>
          <w:spacing w:val="-1"/>
        </w:rPr>
        <w:t xml:space="preserve"> </w:t>
      </w:r>
      <w:r>
        <w:t>NRP 2019.</w:t>
      </w:r>
    </w:p>
    <w:p w:rsidR="00A56FE9" w:rsidRDefault="00000000">
      <w:pPr>
        <w:pStyle w:val="Tijeloteksta"/>
        <w:spacing w:before="120"/>
        <w:ind w:right="272"/>
      </w:pPr>
      <w:r>
        <w:t>Additionally, in 2021, the Government's Decision on adoption of the Multiannual Program for</w:t>
      </w:r>
      <w:r>
        <w:rPr>
          <w:spacing w:val="-57"/>
        </w:rPr>
        <w:t xml:space="preserve"> </w:t>
      </w:r>
      <w:r>
        <w:t>the Construction of Municipal Water Structures for the period up to 2030</w:t>
      </w:r>
      <w:r>
        <w:rPr>
          <w:vertAlign w:val="superscript"/>
        </w:rPr>
        <w:t>12</w:t>
      </w:r>
      <w:r>
        <w:t xml:space="preserve"> led to adoption of</w:t>
      </w:r>
      <w:r>
        <w:rPr>
          <w:spacing w:val="1"/>
        </w:rPr>
        <w:t xml:space="preserve"> </w:t>
      </w:r>
      <w:r>
        <w:t>the Program, one of the most crucial water management planning documents, and its adoption</w:t>
      </w:r>
      <w:r>
        <w:rPr>
          <w:spacing w:val="-57"/>
        </w:rPr>
        <w:t xml:space="preserve"> </w:t>
      </w:r>
      <w:r>
        <w:rPr>
          <w:spacing w:val="-1"/>
        </w:rPr>
        <w:t>is</w:t>
      </w:r>
      <w:r>
        <w:rPr>
          <w:spacing w:val="-12"/>
        </w:rPr>
        <w:t xml:space="preserve"> </w:t>
      </w:r>
      <w:r>
        <w:rPr>
          <w:spacing w:val="-1"/>
        </w:rPr>
        <w:t>stipulated</w:t>
      </w:r>
      <w:r>
        <w:rPr>
          <w:spacing w:val="-12"/>
        </w:rPr>
        <w:t xml:space="preserve"> </w:t>
      </w:r>
      <w:r>
        <w:t>in</w:t>
      </w:r>
      <w:r>
        <w:rPr>
          <w:spacing w:val="-12"/>
        </w:rPr>
        <w:t xml:space="preserve"> </w:t>
      </w:r>
      <w:r>
        <w:t>Article</w:t>
      </w:r>
      <w:r>
        <w:rPr>
          <w:spacing w:val="-13"/>
        </w:rPr>
        <w:t xml:space="preserve"> </w:t>
      </w:r>
      <w:r>
        <w:t>43</w:t>
      </w:r>
      <w:r>
        <w:rPr>
          <w:spacing w:val="-15"/>
        </w:rPr>
        <w:t xml:space="preserve"> </w:t>
      </w:r>
      <w:r>
        <w:t>of</w:t>
      </w:r>
      <w:r>
        <w:rPr>
          <w:spacing w:val="-13"/>
        </w:rPr>
        <w:t xml:space="preserve"> </w:t>
      </w:r>
      <w:r>
        <w:t>the</w:t>
      </w:r>
      <w:r>
        <w:rPr>
          <w:spacing w:val="-12"/>
        </w:rPr>
        <w:t xml:space="preserve"> </w:t>
      </w:r>
      <w:r>
        <w:t>Water</w:t>
      </w:r>
      <w:r>
        <w:rPr>
          <w:spacing w:val="-14"/>
        </w:rPr>
        <w:t xml:space="preserve"> </w:t>
      </w:r>
      <w:r>
        <w:t>Act.</w:t>
      </w:r>
      <w:r>
        <w:rPr>
          <w:vertAlign w:val="superscript"/>
        </w:rPr>
        <w:t>13</w:t>
      </w:r>
      <w:r>
        <w:rPr>
          <w:spacing w:val="-11"/>
        </w:rPr>
        <w:t xml:space="preserve"> </w:t>
      </w:r>
      <w:r>
        <w:t>This</w:t>
      </w:r>
      <w:r>
        <w:rPr>
          <w:spacing w:val="-12"/>
        </w:rPr>
        <w:t xml:space="preserve"> </w:t>
      </w:r>
      <w:r>
        <w:t>document</w:t>
      </w:r>
      <w:r>
        <w:rPr>
          <w:spacing w:val="-12"/>
        </w:rPr>
        <w:t xml:space="preserve"> </w:t>
      </w:r>
      <w:r>
        <w:t>establishes</w:t>
      </w:r>
      <w:r>
        <w:rPr>
          <w:spacing w:val="-12"/>
        </w:rPr>
        <w:t xml:space="preserve"> </w:t>
      </w:r>
      <w:r>
        <w:t>the</w:t>
      </w:r>
      <w:r>
        <w:rPr>
          <w:spacing w:val="-12"/>
        </w:rPr>
        <w:t xml:space="preserve"> </w:t>
      </w:r>
      <w:r>
        <w:t>framework</w:t>
      </w:r>
      <w:r>
        <w:rPr>
          <w:spacing w:val="-13"/>
        </w:rPr>
        <w:t xml:space="preserve"> </w:t>
      </w:r>
      <w:r>
        <w:t>program</w:t>
      </w:r>
      <w:r>
        <w:rPr>
          <w:spacing w:val="-58"/>
        </w:rPr>
        <w:t xml:space="preserve"> </w:t>
      </w:r>
      <w:r>
        <w:t>for investing in the development of public water supply and public sewerage, to which the</w:t>
      </w:r>
      <w:r>
        <w:rPr>
          <w:spacing w:val="1"/>
        </w:rPr>
        <w:t xml:space="preserve"> </w:t>
      </w:r>
      <w:r>
        <w:t>Republic of Croatia has committed itself in the Treaty of Accession of the Republic of Croatia</w:t>
      </w:r>
      <w:r>
        <w:rPr>
          <w:spacing w:val="-57"/>
        </w:rPr>
        <w:t xml:space="preserve"> </w:t>
      </w:r>
      <w:r>
        <w:t>to</w:t>
      </w:r>
      <w:r>
        <w:rPr>
          <w:spacing w:val="1"/>
        </w:rPr>
        <w:t xml:space="preserve"> </w:t>
      </w:r>
      <w:r>
        <w:t>the</w:t>
      </w:r>
      <w:r>
        <w:rPr>
          <w:spacing w:val="1"/>
        </w:rPr>
        <w:t xml:space="preserve"> </w:t>
      </w:r>
      <w:r>
        <w:t>European</w:t>
      </w:r>
      <w:r>
        <w:rPr>
          <w:spacing w:val="1"/>
        </w:rPr>
        <w:t xml:space="preserve"> </w:t>
      </w:r>
      <w:r>
        <w:t>Union.</w:t>
      </w:r>
      <w:r>
        <w:rPr>
          <w:spacing w:val="1"/>
        </w:rPr>
        <w:t xml:space="preserve"> </w:t>
      </w:r>
      <w:r>
        <w:t>Also,</w:t>
      </w:r>
      <w:r>
        <w:rPr>
          <w:spacing w:val="1"/>
        </w:rPr>
        <w:t xml:space="preserve"> </w:t>
      </w:r>
      <w:r>
        <w:t>the</w:t>
      </w:r>
      <w:r>
        <w:rPr>
          <w:spacing w:val="1"/>
        </w:rPr>
        <w:t xml:space="preserve"> </w:t>
      </w:r>
      <w:r>
        <w:t>implementation</w:t>
      </w:r>
      <w:r>
        <w:rPr>
          <w:spacing w:val="1"/>
        </w:rPr>
        <w:t xml:space="preserve"> </w:t>
      </w:r>
      <w:r>
        <w:t>system</w:t>
      </w:r>
      <w:r>
        <w:rPr>
          <w:spacing w:val="1"/>
        </w:rPr>
        <w:t xml:space="preserve"> </w:t>
      </w:r>
      <w:r>
        <w:t>is</w:t>
      </w:r>
      <w:r>
        <w:rPr>
          <w:spacing w:val="1"/>
        </w:rPr>
        <w:t xml:space="preserve"> </w:t>
      </w:r>
      <w:r>
        <w:t>currently</w:t>
      </w:r>
      <w:r>
        <w:rPr>
          <w:spacing w:val="1"/>
        </w:rPr>
        <w:t xml:space="preserve"> </w:t>
      </w:r>
      <w:r>
        <w:t>undergoing</w:t>
      </w:r>
      <w:r>
        <w:rPr>
          <w:spacing w:val="1"/>
        </w:rPr>
        <w:t xml:space="preserve"> </w:t>
      </w:r>
      <w:r>
        <w:t>operationalisation</w:t>
      </w:r>
      <w:r>
        <w:rPr>
          <w:spacing w:val="-11"/>
        </w:rPr>
        <w:t xml:space="preserve"> </w:t>
      </w:r>
      <w:r>
        <w:t>in</w:t>
      </w:r>
      <w:r>
        <w:rPr>
          <w:spacing w:val="-10"/>
        </w:rPr>
        <w:t xml:space="preserve"> </w:t>
      </w:r>
      <w:r>
        <w:t>a</w:t>
      </w:r>
      <w:r>
        <w:rPr>
          <w:spacing w:val="-11"/>
        </w:rPr>
        <w:t xml:space="preserve"> </w:t>
      </w:r>
      <w:r>
        <w:t>way</w:t>
      </w:r>
      <w:r>
        <w:rPr>
          <w:spacing w:val="-13"/>
        </w:rPr>
        <w:t xml:space="preserve"> </w:t>
      </w:r>
      <w:r>
        <w:t>that</w:t>
      </w:r>
      <w:r>
        <w:rPr>
          <w:spacing w:val="-10"/>
        </w:rPr>
        <w:t xml:space="preserve"> </w:t>
      </w:r>
      <w:r>
        <w:t>will</w:t>
      </w:r>
      <w:r>
        <w:rPr>
          <w:spacing w:val="-9"/>
        </w:rPr>
        <w:t xml:space="preserve"> </w:t>
      </w:r>
      <w:r>
        <w:t>contribute</w:t>
      </w:r>
      <w:r>
        <w:rPr>
          <w:spacing w:val="-11"/>
        </w:rPr>
        <w:t xml:space="preserve"> </w:t>
      </w:r>
      <w:r>
        <w:t>to</w:t>
      </w:r>
      <w:r>
        <w:rPr>
          <w:spacing w:val="-11"/>
        </w:rPr>
        <w:t xml:space="preserve"> </w:t>
      </w:r>
      <w:r>
        <w:t>the</w:t>
      </w:r>
      <w:r>
        <w:rPr>
          <w:spacing w:val="-11"/>
        </w:rPr>
        <w:t xml:space="preserve"> </w:t>
      </w:r>
      <w:r>
        <w:t>more</w:t>
      </w:r>
      <w:r>
        <w:rPr>
          <w:spacing w:val="-11"/>
        </w:rPr>
        <w:t xml:space="preserve"> </w:t>
      </w:r>
      <w:r>
        <w:t>efficient</w:t>
      </w:r>
      <w:r>
        <w:rPr>
          <w:spacing w:val="-10"/>
        </w:rPr>
        <w:t xml:space="preserve"> </w:t>
      </w:r>
      <w:r>
        <w:t>use</w:t>
      </w:r>
      <w:r>
        <w:rPr>
          <w:spacing w:val="-12"/>
        </w:rPr>
        <w:t xml:space="preserve"> </w:t>
      </w:r>
      <w:r>
        <w:t>of</w:t>
      </w:r>
      <w:r>
        <w:rPr>
          <w:spacing w:val="-11"/>
        </w:rPr>
        <w:t xml:space="preserve"> </w:t>
      </w:r>
      <w:r>
        <w:t>financial,</w:t>
      </w:r>
      <w:r>
        <w:rPr>
          <w:spacing w:val="-10"/>
        </w:rPr>
        <w:t xml:space="preserve"> </w:t>
      </w:r>
      <w:r>
        <w:t>human</w:t>
      </w:r>
      <w:r>
        <w:rPr>
          <w:spacing w:val="-4"/>
        </w:rPr>
        <w:t xml:space="preserve"> </w:t>
      </w:r>
      <w:r>
        <w:t>and</w:t>
      </w:r>
      <w:r>
        <w:rPr>
          <w:spacing w:val="-57"/>
        </w:rPr>
        <w:t xml:space="preserve"> </w:t>
      </w:r>
      <w:r>
        <w:t>technical resources available to water management in the field of water use and protection, as</w:t>
      </w:r>
      <w:r>
        <w:rPr>
          <w:spacing w:val="1"/>
        </w:rPr>
        <w:t xml:space="preserve"> </w:t>
      </w:r>
      <w:r>
        <w:rPr>
          <w:spacing w:val="-1"/>
        </w:rPr>
        <w:t>well</w:t>
      </w:r>
      <w:r>
        <w:rPr>
          <w:spacing w:val="-13"/>
        </w:rPr>
        <w:t xml:space="preserve"> </w:t>
      </w:r>
      <w:r>
        <w:rPr>
          <w:spacing w:val="-1"/>
        </w:rPr>
        <w:t>as</w:t>
      </w:r>
      <w:r>
        <w:rPr>
          <w:spacing w:val="-13"/>
        </w:rPr>
        <w:t xml:space="preserve"> </w:t>
      </w:r>
      <w:r>
        <w:rPr>
          <w:spacing w:val="-1"/>
        </w:rPr>
        <w:t>the</w:t>
      </w:r>
      <w:r>
        <w:rPr>
          <w:spacing w:val="-14"/>
        </w:rPr>
        <w:t xml:space="preserve"> </w:t>
      </w:r>
      <w:r>
        <w:t>water</w:t>
      </w:r>
      <w:r>
        <w:rPr>
          <w:spacing w:val="-15"/>
        </w:rPr>
        <w:t xml:space="preserve"> </w:t>
      </w:r>
      <w:r>
        <w:t>services</w:t>
      </w:r>
      <w:r>
        <w:rPr>
          <w:spacing w:val="-13"/>
        </w:rPr>
        <w:t xml:space="preserve"> </w:t>
      </w:r>
      <w:r>
        <w:t>sector.</w:t>
      </w:r>
      <w:r>
        <w:rPr>
          <w:spacing w:val="-12"/>
        </w:rPr>
        <w:t xml:space="preserve"> </w:t>
      </w:r>
      <w:r>
        <w:t>The</w:t>
      </w:r>
      <w:r>
        <w:rPr>
          <w:spacing w:val="-15"/>
        </w:rPr>
        <w:t xml:space="preserve"> </w:t>
      </w:r>
      <w:r>
        <w:t>respective</w:t>
      </w:r>
      <w:r>
        <w:rPr>
          <w:spacing w:val="-14"/>
        </w:rPr>
        <w:t xml:space="preserve"> </w:t>
      </w:r>
      <w:r>
        <w:t>Program</w:t>
      </w:r>
      <w:r>
        <w:rPr>
          <w:spacing w:val="-13"/>
        </w:rPr>
        <w:t xml:space="preserve"> </w:t>
      </w:r>
      <w:r>
        <w:t>identifies</w:t>
      </w:r>
      <w:r>
        <w:rPr>
          <w:spacing w:val="-13"/>
        </w:rPr>
        <w:t xml:space="preserve"> </w:t>
      </w:r>
      <w:r>
        <w:t>specific</w:t>
      </w:r>
      <w:r>
        <w:rPr>
          <w:spacing w:val="-14"/>
        </w:rPr>
        <w:t xml:space="preserve"> </w:t>
      </w:r>
      <w:r>
        <w:t>projects</w:t>
      </w:r>
      <w:r>
        <w:rPr>
          <w:spacing w:val="-13"/>
        </w:rPr>
        <w:t xml:space="preserve"> </w:t>
      </w:r>
      <w:r>
        <w:t>and</w:t>
      </w:r>
      <w:r>
        <w:rPr>
          <w:spacing w:val="-12"/>
        </w:rPr>
        <w:t xml:space="preserve"> </w:t>
      </w:r>
      <w:r>
        <w:t>defines</w:t>
      </w:r>
      <w:r>
        <w:rPr>
          <w:spacing w:val="-58"/>
        </w:rPr>
        <w:t xml:space="preserve"> </w:t>
      </w:r>
      <w:r>
        <w:t>a</w:t>
      </w:r>
      <w:r>
        <w:rPr>
          <w:spacing w:val="-5"/>
        </w:rPr>
        <w:t xml:space="preserve"> </w:t>
      </w:r>
      <w:r>
        <w:t>framework</w:t>
      </w:r>
      <w:r>
        <w:rPr>
          <w:spacing w:val="-4"/>
        </w:rPr>
        <w:t xml:space="preserve"> </w:t>
      </w:r>
      <w:r>
        <w:t>for</w:t>
      </w:r>
      <w:r>
        <w:rPr>
          <w:spacing w:val="-5"/>
        </w:rPr>
        <w:t xml:space="preserve"> </w:t>
      </w:r>
      <w:r>
        <w:t>monitoring</w:t>
      </w:r>
      <w:r>
        <w:rPr>
          <w:spacing w:val="-6"/>
        </w:rPr>
        <w:t xml:space="preserve"> </w:t>
      </w:r>
      <w:r>
        <w:t>its</w:t>
      </w:r>
      <w:r>
        <w:rPr>
          <w:spacing w:val="-4"/>
        </w:rPr>
        <w:t xml:space="preserve"> </w:t>
      </w:r>
      <w:r>
        <w:t>implementation.</w:t>
      </w:r>
      <w:r>
        <w:rPr>
          <w:spacing w:val="-3"/>
        </w:rPr>
        <w:t xml:space="preserve"> </w:t>
      </w:r>
      <w:r>
        <w:t>Coinciding</w:t>
      </w:r>
      <w:r>
        <w:rPr>
          <w:spacing w:val="-3"/>
        </w:rPr>
        <w:t xml:space="preserve"> </w:t>
      </w:r>
      <w:r>
        <w:t>with</w:t>
      </w:r>
      <w:r>
        <w:rPr>
          <w:spacing w:val="-3"/>
        </w:rPr>
        <w:t xml:space="preserve"> </w:t>
      </w:r>
      <w:r>
        <w:t>the</w:t>
      </w:r>
      <w:r>
        <w:rPr>
          <w:spacing w:val="-3"/>
        </w:rPr>
        <w:t xml:space="preserve"> </w:t>
      </w:r>
      <w:r>
        <w:t>Multiannual</w:t>
      </w:r>
      <w:r>
        <w:rPr>
          <w:spacing w:val="-3"/>
        </w:rPr>
        <w:t xml:space="preserve"> </w:t>
      </w:r>
      <w:r>
        <w:t>Program,</w:t>
      </w:r>
      <w:r>
        <w:rPr>
          <w:spacing w:val="-3"/>
        </w:rPr>
        <w:t xml:space="preserve"> </w:t>
      </w:r>
      <w:r>
        <w:t>the</w:t>
      </w:r>
      <w:r>
        <w:rPr>
          <w:spacing w:val="-58"/>
        </w:rPr>
        <w:t xml:space="preserve"> </w:t>
      </w:r>
      <w:r>
        <w:t>Government</w:t>
      </w:r>
      <w:r>
        <w:rPr>
          <w:spacing w:val="1"/>
        </w:rPr>
        <w:t xml:space="preserve"> </w:t>
      </w:r>
      <w:r>
        <w:t>adopted</w:t>
      </w:r>
      <w:r>
        <w:rPr>
          <w:spacing w:val="1"/>
        </w:rPr>
        <w:t xml:space="preserve"> </w:t>
      </w:r>
      <w:r>
        <w:t>the</w:t>
      </w:r>
      <w:r>
        <w:rPr>
          <w:spacing w:val="1"/>
        </w:rPr>
        <w:t xml:space="preserve"> </w:t>
      </w:r>
      <w:r>
        <w:t>Regulation</w:t>
      </w:r>
      <w:r>
        <w:rPr>
          <w:spacing w:val="1"/>
        </w:rPr>
        <w:t xml:space="preserve"> </w:t>
      </w:r>
      <w:r>
        <w:t>on</w:t>
      </w:r>
      <w:r>
        <w:rPr>
          <w:spacing w:val="1"/>
        </w:rPr>
        <w:t xml:space="preserve"> </w:t>
      </w:r>
      <w:r>
        <w:t>Service</w:t>
      </w:r>
      <w:r>
        <w:rPr>
          <w:spacing w:val="1"/>
        </w:rPr>
        <w:t xml:space="preserve"> </w:t>
      </w:r>
      <w:r>
        <w:t>Areas.</w:t>
      </w:r>
      <w:r>
        <w:rPr>
          <w:vertAlign w:val="superscript"/>
        </w:rPr>
        <w:t>14</w:t>
      </w:r>
      <w:r>
        <w:rPr>
          <w:spacing w:val="1"/>
        </w:rPr>
        <w:t xml:space="preserve"> </w:t>
      </w:r>
      <w:r>
        <w:t>To</w:t>
      </w:r>
      <w:r>
        <w:rPr>
          <w:spacing w:val="1"/>
        </w:rPr>
        <w:t xml:space="preserve"> </w:t>
      </w:r>
      <w:r>
        <w:t>complete</w:t>
      </w:r>
      <w:r>
        <w:rPr>
          <w:spacing w:val="1"/>
        </w:rPr>
        <w:t xml:space="preserve"> </w:t>
      </w:r>
      <w:r>
        <w:t>the</w:t>
      </w:r>
      <w:r>
        <w:rPr>
          <w:spacing w:val="1"/>
        </w:rPr>
        <w:t xml:space="preserve"> </w:t>
      </w:r>
      <w:r>
        <w:t>operational</w:t>
      </w:r>
      <w:r>
        <w:rPr>
          <w:spacing w:val="1"/>
        </w:rPr>
        <w:t xml:space="preserve"> </w:t>
      </w:r>
      <w:r>
        <w:t>implementation of the reform, by the end of 2022, the Regulation on the Methodology for</w:t>
      </w:r>
      <w:r>
        <w:rPr>
          <w:spacing w:val="1"/>
        </w:rPr>
        <w:t xml:space="preserve"> </w:t>
      </w:r>
      <w:r>
        <w:t>Determining the Pricing of Water Services and the Regulation on Specific Conditions for the</w:t>
      </w:r>
      <w:r>
        <w:rPr>
          <w:spacing w:val="1"/>
        </w:rPr>
        <w:t xml:space="preserve"> </w:t>
      </w:r>
      <w:r>
        <w:t>Provision of Water Services are to be adopted, facilitating reforms for public water service</w:t>
      </w:r>
      <w:r>
        <w:rPr>
          <w:spacing w:val="1"/>
        </w:rPr>
        <w:t xml:space="preserve"> </w:t>
      </w:r>
      <w:r>
        <w:t>providers.</w:t>
      </w: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CC1B9B">
      <w:pPr>
        <w:pStyle w:val="Tijeloteksta"/>
        <w:spacing w:before="5"/>
        <w:ind w:left="0"/>
        <w:jc w:val="left"/>
        <w:rPr>
          <w:sz w:val="15"/>
        </w:rPr>
      </w:pPr>
      <w:r>
        <w:rPr>
          <w:noProof/>
        </w:rPr>
        <mc:AlternateContent>
          <mc:Choice Requires="wps">
            <w:drawing>
              <wp:anchor distT="0" distB="0" distL="0" distR="0" simplePos="0" relativeHeight="487601664" behindDoc="1" locked="0" layoutInCell="1" allowOverlap="1">
                <wp:simplePos x="0" y="0"/>
                <wp:positionH relativeFrom="page">
                  <wp:posOffset>901065</wp:posOffset>
                </wp:positionH>
                <wp:positionV relativeFrom="paragraph">
                  <wp:posOffset>137795</wp:posOffset>
                </wp:positionV>
                <wp:extent cx="1828800" cy="7620"/>
                <wp:effectExtent l="0" t="0" r="0" b="0"/>
                <wp:wrapTopAndBottom/>
                <wp:docPr id="240835944"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FC674" id="Rectangle 303" o:spid="_x0000_s1026" style="position:absolute;margin-left:70.95pt;margin-top:10.85pt;width:2in;height:.6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" fillcolor="black" stroked="f">
                <w10:wrap type="topAndBottom" anchorx="page"/>
              </v:rect>
            </w:pict>
          </mc:Fallback>
        </mc:AlternateContent>
      </w:r>
    </w:p>
    <w:p w:rsidR="00A56FE9" w:rsidRDefault="00000000">
      <w:pPr>
        <w:spacing w:before="76" w:line="183" w:lineRule="exact"/>
        <w:ind w:left="138"/>
        <w:rPr>
          <w:sz w:val="16"/>
        </w:rPr>
      </w:pPr>
      <w:r>
        <w:rPr>
          <w:sz w:val="16"/>
          <w:vertAlign w:val="superscript"/>
        </w:rPr>
        <w:t>9</w:t>
      </w:r>
      <w:r>
        <w:rPr>
          <w:spacing w:val="-1"/>
          <w:sz w:val="16"/>
        </w:rPr>
        <w:t xml:space="preserve"> </w:t>
      </w:r>
      <w:r>
        <w:rPr>
          <w:sz w:val="16"/>
        </w:rPr>
        <w:t>OG</w:t>
      </w:r>
      <w:r>
        <w:rPr>
          <w:spacing w:val="-3"/>
          <w:sz w:val="16"/>
        </w:rPr>
        <w:t xml:space="preserve"> </w:t>
      </w:r>
      <w:r>
        <w:rPr>
          <w:sz w:val="16"/>
        </w:rPr>
        <w:t>66/19</w:t>
      </w:r>
    </w:p>
    <w:p w:rsidR="00A56FE9" w:rsidRDefault="00000000">
      <w:pPr>
        <w:spacing w:line="183" w:lineRule="exact"/>
        <w:ind w:left="138"/>
        <w:rPr>
          <w:sz w:val="16"/>
        </w:rPr>
      </w:pPr>
      <w:r>
        <w:rPr>
          <w:sz w:val="16"/>
          <w:vertAlign w:val="superscript"/>
        </w:rPr>
        <w:t>10</w:t>
      </w:r>
      <w:r>
        <w:rPr>
          <w:spacing w:val="-1"/>
          <w:sz w:val="16"/>
        </w:rPr>
        <w:t xml:space="preserve"> </w:t>
      </w:r>
      <w:r>
        <w:rPr>
          <w:sz w:val="16"/>
        </w:rPr>
        <w:t>OG</w:t>
      </w:r>
      <w:r>
        <w:rPr>
          <w:spacing w:val="-3"/>
          <w:sz w:val="16"/>
        </w:rPr>
        <w:t xml:space="preserve"> </w:t>
      </w:r>
      <w:r>
        <w:rPr>
          <w:sz w:val="16"/>
        </w:rPr>
        <w:t>147/21</w:t>
      </w:r>
    </w:p>
    <w:p w:rsidR="00A56FE9" w:rsidRDefault="00000000">
      <w:pPr>
        <w:spacing w:before="1"/>
        <w:ind w:left="138"/>
        <w:rPr>
          <w:sz w:val="16"/>
        </w:rPr>
      </w:pPr>
      <w:r>
        <w:rPr>
          <w:sz w:val="16"/>
          <w:vertAlign w:val="superscript"/>
        </w:rPr>
        <w:t>11</w:t>
      </w:r>
      <w:r>
        <w:rPr>
          <w:spacing w:val="-1"/>
          <w:sz w:val="16"/>
        </w:rPr>
        <w:t xml:space="preserve"> </w:t>
      </w:r>
      <w:r>
        <w:rPr>
          <w:sz w:val="16"/>
        </w:rPr>
        <w:t>OG</w:t>
      </w:r>
      <w:r>
        <w:rPr>
          <w:spacing w:val="-3"/>
          <w:sz w:val="16"/>
        </w:rPr>
        <w:t xml:space="preserve"> </w:t>
      </w:r>
      <w:r>
        <w:rPr>
          <w:sz w:val="16"/>
        </w:rPr>
        <w:t>32/20</w:t>
      </w:r>
    </w:p>
    <w:p w:rsidR="00A56FE9" w:rsidRDefault="00000000">
      <w:pPr>
        <w:spacing w:before="1" w:line="183" w:lineRule="exact"/>
        <w:ind w:left="138"/>
        <w:rPr>
          <w:sz w:val="16"/>
        </w:rPr>
      </w:pPr>
      <w:r>
        <w:rPr>
          <w:sz w:val="16"/>
          <w:vertAlign w:val="superscript"/>
        </w:rPr>
        <w:t>12</w:t>
      </w:r>
      <w:r>
        <w:rPr>
          <w:spacing w:val="-1"/>
          <w:sz w:val="16"/>
        </w:rPr>
        <w:t xml:space="preserve"> </w:t>
      </w:r>
      <w:r>
        <w:rPr>
          <w:sz w:val="16"/>
        </w:rPr>
        <w:t>OG</w:t>
      </w:r>
      <w:r>
        <w:rPr>
          <w:spacing w:val="-3"/>
          <w:sz w:val="16"/>
        </w:rPr>
        <w:t xml:space="preserve"> </w:t>
      </w:r>
      <w:r>
        <w:rPr>
          <w:sz w:val="16"/>
        </w:rPr>
        <w:t>147/21</w:t>
      </w:r>
    </w:p>
    <w:p w:rsidR="00A56FE9" w:rsidRDefault="00000000">
      <w:pPr>
        <w:spacing w:line="183" w:lineRule="exact"/>
        <w:ind w:left="138"/>
        <w:rPr>
          <w:sz w:val="16"/>
        </w:rPr>
      </w:pPr>
      <w:r>
        <w:rPr>
          <w:sz w:val="16"/>
          <w:vertAlign w:val="superscript"/>
        </w:rPr>
        <w:t>13</w:t>
      </w:r>
      <w:r>
        <w:rPr>
          <w:spacing w:val="-1"/>
          <w:sz w:val="16"/>
        </w:rPr>
        <w:t xml:space="preserve"> </w:t>
      </w:r>
      <w:r>
        <w:rPr>
          <w:sz w:val="16"/>
        </w:rPr>
        <w:t>OG</w:t>
      </w:r>
      <w:r>
        <w:rPr>
          <w:spacing w:val="-3"/>
          <w:sz w:val="16"/>
        </w:rPr>
        <w:t xml:space="preserve"> </w:t>
      </w:r>
      <w:r>
        <w:rPr>
          <w:sz w:val="16"/>
        </w:rPr>
        <w:t>6/19</w:t>
      </w:r>
      <w:r>
        <w:rPr>
          <w:spacing w:val="-2"/>
          <w:sz w:val="16"/>
        </w:rPr>
        <w:t xml:space="preserve"> </w:t>
      </w:r>
      <w:r>
        <w:rPr>
          <w:sz w:val="16"/>
        </w:rPr>
        <w:t>and</w:t>
      </w:r>
      <w:r>
        <w:rPr>
          <w:spacing w:val="-1"/>
          <w:sz w:val="16"/>
        </w:rPr>
        <w:t xml:space="preserve"> </w:t>
      </w:r>
      <w:r>
        <w:rPr>
          <w:sz w:val="16"/>
        </w:rPr>
        <w:t>84/21</w:t>
      </w:r>
    </w:p>
    <w:p w:rsidR="00A56FE9" w:rsidRDefault="00000000">
      <w:pPr>
        <w:spacing w:before="1"/>
        <w:ind w:left="138"/>
        <w:rPr>
          <w:sz w:val="16"/>
        </w:rPr>
      </w:pPr>
      <w:r>
        <w:rPr>
          <w:sz w:val="16"/>
          <w:vertAlign w:val="superscript"/>
        </w:rPr>
        <w:t>14</w:t>
      </w:r>
      <w:r>
        <w:rPr>
          <w:spacing w:val="-1"/>
          <w:sz w:val="16"/>
        </w:rPr>
        <w:t xml:space="preserve"> </w:t>
      </w:r>
      <w:r>
        <w:rPr>
          <w:sz w:val="16"/>
        </w:rPr>
        <w:t>OG</w:t>
      </w:r>
      <w:r>
        <w:rPr>
          <w:spacing w:val="-3"/>
          <w:sz w:val="16"/>
        </w:rPr>
        <w:t xml:space="preserve"> </w:t>
      </w:r>
      <w:r>
        <w:rPr>
          <w:sz w:val="16"/>
        </w:rPr>
        <w:t>147/21</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ind w:right="269"/>
      </w:pPr>
      <w:r>
        <w:t>As</w:t>
      </w:r>
      <w:r>
        <w:rPr>
          <w:spacing w:val="-11"/>
        </w:rPr>
        <w:t xml:space="preserve"> </w:t>
      </w:r>
      <w:r>
        <w:t>part</w:t>
      </w:r>
      <w:r>
        <w:rPr>
          <w:spacing w:val="-10"/>
        </w:rPr>
        <w:t xml:space="preserve"> </w:t>
      </w:r>
      <w:r>
        <w:t>of</w:t>
      </w:r>
      <w:r>
        <w:rPr>
          <w:spacing w:val="-12"/>
        </w:rPr>
        <w:t xml:space="preserve"> </w:t>
      </w:r>
      <w:r>
        <w:t>the</w:t>
      </w:r>
      <w:r>
        <w:rPr>
          <w:spacing w:val="-11"/>
        </w:rPr>
        <w:t xml:space="preserve"> </w:t>
      </w:r>
      <w:r>
        <w:t>Public</w:t>
      </w:r>
      <w:r>
        <w:rPr>
          <w:spacing w:val="-12"/>
        </w:rPr>
        <w:t xml:space="preserve"> </w:t>
      </w:r>
      <w:r>
        <w:t>Sewage</w:t>
      </w:r>
      <w:r>
        <w:rPr>
          <w:spacing w:val="-11"/>
        </w:rPr>
        <w:t xml:space="preserve"> </w:t>
      </w:r>
      <w:r>
        <w:t>Development</w:t>
      </w:r>
      <w:r>
        <w:rPr>
          <w:spacing w:val="-11"/>
        </w:rPr>
        <w:t xml:space="preserve"> </w:t>
      </w:r>
      <w:r>
        <w:t>Program</w:t>
      </w:r>
      <w:r>
        <w:rPr>
          <w:spacing w:val="-10"/>
        </w:rPr>
        <w:t xml:space="preserve"> </w:t>
      </w:r>
      <w:r>
        <w:t>(C1.3.</w:t>
      </w:r>
      <w:r>
        <w:rPr>
          <w:spacing w:val="-10"/>
        </w:rPr>
        <w:t xml:space="preserve"> </w:t>
      </w:r>
      <w:r>
        <w:t>R1-I1)</w:t>
      </w:r>
      <w:r>
        <w:rPr>
          <w:spacing w:val="-12"/>
        </w:rPr>
        <w:t xml:space="preserve"> </w:t>
      </w:r>
      <w:r>
        <w:t>and</w:t>
      </w:r>
      <w:r>
        <w:rPr>
          <w:spacing w:val="-10"/>
        </w:rPr>
        <w:t xml:space="preserve"> </w:t>
      </w:r>
      <w:r>
        <w:t>the</w:t>
      </w:r>
      <w:r>
        <w:rPr>
          <w:spacing w:val="-12"/>
        </w:rPr>
        <w:t xml:space="preserve"> </w:t>
      </w:r>
      <w:r>
        <w:t>Public</w:t>
      </w:r>
      <w:r>
        <w:rPr>
          <w:spacing w:val="-11"/>
        </w:rPr>
        <w:t xml:space="preserve"> </w:t>
      </w:r>
      <w:r>
        <w:t>Water</w:t>
      </w:r>
      <w:r>
        <w:rPr>
          <w:spacing w:val="-12"/>
        </w:rPr>
        <w:t xml:space="preserve"> </w:t>
      </w:r>
      <w:r>
        <w:t>Supply</w:t>
      </w:r>
      <w:r>
        <w:rPr>
          <w:spacing w:val="-57"/>
        </w:rPr>
        <w:t xml:space="preserve"> </w:t>
      </w:r>
      <w:r>
        <w:t>Development</w:t>
      </w:r>
      <w:r>
        <w:rPr>
          <w:spacing w:val="1"/>
        </w:rPr>
        <w:t xml:space="preserve"> </w:t>
      </w:r>
      <w:r>
        <w:t>Program</w:t>
      </w:r>
      <w:r>
        <w:rPr>
          <w:spacing w:val="1"/>
        </w:rPr>
        <w:t xml:space="preserve"> </w:t>
      </w:r>
      <w:r>
        <w:t>(C1.3.</w:t>
      </w:r>
      <w:r>
        <w:rPr>
          <w:spacing w:val="1"/>
        </w:rPr>
        <w:t xml:space="preserve"> </w:t>
      </w:r>
      <w:r>
        <w:t>R1-I2),</w:t>
      </w:r>
      <w:r>
        <w:rPr>
          <w:spacing w:val="1"/>
        </w:rPr>
        <w:t xml:space="preserve"> </w:t>
      </w:r>
      <w:r>
        <w:t>a</w:t>
      </w:r>
      <w:r>
        <w:rPr>
          <w:spacing w:val="1"/>
        </w:rPr>
        <w:t xml:space="preserve"> </w:t>
      </w:r>
      <w:r>
        <w:t>continual</w:t>
      </w:r>
      <w:r>
        <w:rPr>
          <w:spacing w:val="1"/>
        </w:rPr>
        <w:t xml:space="preserve"> </w:t>
      </w:r>
      <w:r>
        <w:t>limited</w:t>
      </w:r>
      <w:r>
        <w:rPr>
          <w:spacing w:val="1"/>
        </w:rPr>
        <w:t xml:space="preserve"> </w:t>
      </w:r>
      <w:r>
        <w:t>call</w:t>
      </w:r>
      <w:r>
        <w:rPr>
          <w:spacing w:val="1"/>
        </w:rPr>
        <w:t xml:space="preserve"> </w:t>
      </w:r>
      <w:r>
        <w:t>for</w:t>
      </w:r>
      <w:r>
        <w:rPr>
          <w:spacing w:val="1"/>
        </w:rPr>
        <w:t xml:space="preserve"> </w:t>
      </w:r>
      <w:r>
        <w:t>project</w:t>
      </w:r>
      <w:r>
        <w:rPr>
          <w:spacing w:val="1"/>
        </w:rPr>
        <w:t xml:space="preserve"> </w:t>
      </w:r>
      <w:r>
        <w:t>proposals</w:t>
      </w:r>
      <w:r>
        <w:rPr>
          <w:spacing w:val="1"/>
        </w:rPr>
        <w:t xml:space="preserve"> </w:t>
      </w:r>
      <w:r>
        <w:t>for</w:t>
      </w:r>
      <w:r>
        <w:rPr>
          <w:spacing w:val="1"/>
        </w:rPr>
        <w:t xml:space="preserve"> </w:t>
      </w:r>
      <w:r>
        <w:t>Financing</w:t>
      </w:r>
      <w:r>
        <w:rPr>
          <w:spacing w:val="-12"/>
        </w:rPr>
        <w:t xml:space="preserve"> </w:t>
      </w:r>
      <w:r>
        <w:t>the</w:t>
      </w:r>
      <w:r>
        <w:rPr>
          <w:spacing w:val="-8"/>
        </w:rPr>
        <w:t xml:space="preserve"> </w:t>
      </w:r>
      <w:r>
        <w:t>Implementation</w:t>
      </w:r>
      <w:r>
        <w:rPr>
          <w:spacing w:val="-9"/>
        </w:rPr>
        <w:t xml:space="preserve"> </w:t>
      </w:r>
      <w:r>
        <w:t>of</w:t>
      </w:r>
      <w:r>
        <w:rPr>
          <w:spacing w:val="-10"/>
        </w:rPr>
        <w:t xml:space="preserve"> </w:t>
      </w:r>
      <w:r>
        <w:t>Already</w:t>
      </w:r>
      <w:r>
        <w:rPr>
          <w:spacing w:val="-13"/>
        </w:rPr>
        <w:t xml:space="preserve"> </w:t>
      </w:r>
      <w:r>
        <w:t>Commenced</w:t>
      </w:r>
      <w:r>
        <w:rPr>
          <w:spacing w:val="-7"/>
        </w:rPr>
        <w:t xml:space="preserve"> </w:t>
      </w:r>
      <w:r>
        <w:t>Investment</w:t>
      </w:r>
      <w:r>
        <w:rPr>
          <w:spacing w:val="-8"/>
        </w:rPr>
        <w:t xml:space="preserve"> </w:t>
      </w:r>
      <w:r>
        <w:t>Projects</w:t>
      </w:r>
      <w:r>
        <w:rPr>
          <w:spacing w:val="-7"/>
        </w:rPr>
        <w:t xml:space="preserve"> </w:t>
      </w:r>
      <w:r>
        <w:t>Relating</w:t>
      </w:r>
      <w:r>
        <w:rPr>
          <w:spacing w:val="-11"/>
        </w:rPr>
        <w:t xml:space="preserve"> </w:t>
      </w:r>
      <w:r>
        <w:t>to</w:t>
      </w:r>
      <w:r>
        <w:rPr>
          <w:spacing w:val="-9"/>
        </w:rPr>
        <w:t xml:space="preserve"> </w:t>
      </w:r>
      <w:r>
        <w:t>Smaller</w:t>
      </w:r>
      <w:r>
        <w:rPr>
          <w:spacing w:val="-57"/>
        </w:rPr>
        <w:t xml:space="preserve"> </w:t>
      </w:r>
      <w:r>
        <w:t>Sections of the Public Water Supply and Public Sewage Disposal System within the National</w:t>
      </w:r>
      <w:r>
        <w:rPr>
          <w:spacing w:val="1"/>
        </w:rPr>
        <w:t xml:space="preserve"> </w:t>
      </w:r>
      <w:r>
        <w:t>Recovery and</w:t>
      </w:r>
      <w:r>
        <w:rPr>
          <w:spacing w:val="1"/>
        </w:rPr>
        <w:t xml:space="preserve"> </w:t>
      </w:r>
      <w:r>
        <w:t>Resilience</w:t>
      </w:r>
      <w:r>
        <w:rPr>
          <w:spacing w:val="1"/>
        </w:rPr>
        <w:t xml:space="preserve"> </w:t>
      </w:r>
      <w:r>
        <w:t>Plan</w:t>
      </w:r>
      <w:r>
        <w:rPr>
          <w:spacing w:val="1"/>
        </w:rPr>
        <w:t xml:space="preserve"> </w:t>
      </w:r>
      <w:r>
        <w:t>2021-2026”</w:t>
      </w:r>
      <w:r>
        <w:rPr>
          <w:spacing w:val="1"/>
        </w:rPr>
        <w:t xml:space="preserve"> </w:t>
      </w:r>
      <w:r>
        <w:t>in</w:t>
      </w:r>
      <w:r>
        <w:rPr>
          <w:spacing w:val="1"/>
        </w:rPr>
        <w:t xml:space="preserve"> </w:t>
      </w:r>
      <w:r>
        <w:t>terms</w:t>
      </w:r>
      <w:r>
        <w:rPr>
          <w:spacing w:val="1"/>
        </w:rPr>
        <w:t xml:space="preserve"> </w:t>
      </w:r>
      <w:r>
        <w:t>of</w:t>
      </w:r>
      <w:r>
        <w:rPr>
          <w:spacing w:val="1"/>
        </w:rPr>
        <w:t xml:space="preserve"> </w:t>
      </w:r>
      <w:r>
        <w:t>which</w:t>
      </w:r>
      <w:r>
        <w:rPr>
          <w:spacing w:val="1"/>
        </w:rPr>
        <w:t xml:space="preserve"> </w:t>
      </w:r>
      <w:r>
        <w:t>73</w:t>
      </w:r>
      <w:r>
        <w:rPr>
          <w:spacing w:val="1"/>
        </w:rPr>
        <w:t xml:space="preserve"> </w:t>
      </w:r>
      <w:r>
        <w:t>grant</w:t>
      </w:r>
      <w:r>
        <w:rPr>
          <w:spacing w:val="1"/>
        </w:rPr>
        <w:t xml:space="preserve"> </w:t>
      </w:r>
      <w:r>
        <w:t>agreements</w:t>
      </w:r>
      <w:r>
        <w:rPr>
          <w:spacing w:val="1"/>
        </w:rPr>
        <w:t xml:space="preserve"> </w:t>
      </w:r>
      <w:r>
        <w:t>were</w:t>
      </w:r>
      <w:r>
        <w:rPr>
          <w:spacing w:val="1"/>
        </w:rPr>
        <w:t xml:space="preserve"> </w:t>
      </w:r>
      <w:r>
        <w:t>approved</w:t>
      </w:r>
      <w:r>
        <w:rPr>
          <w:spacing w:val="-4"/>
        </w:rPr>
        <w:t xml:space="preserve"> </w:t>
      </w:r>
      <w:r>
        <w:t>and</w:t>
      </w:r>
      <w:r>
        <w:rPr>
          <w:spacing w:val="-6"/>
        </w:rPr>
        <w:t xml:space="preserve"> </w:t>
      </w:r>
      <w:r>
        <w:t>signed</w:t>
      </w:r>
      <w:r>
        <w:rPr>
          <w:spacing w:val="-4"/>
        </w:rPr>
        <w:t xml:space="preserve"> </w:t>
      </w:r>
      <w:r>
        <w:t>and</w:t>
      </w:r>
      <w:r>
        <w:rPr>
          <w:spacing w:val="-4"/>
        </w:rPr>
        <w:t xml:space="preserve"> </w:t>
      </w:r>
      <w:r>
        <w:t>HRK</w:t>
      </w:r>
      <w:r>
        <w:rPr>
          <w:spacing w:val="-7"/>
        </w:rPr>
        <w:t xml:space="preserve"> </w:t>
      </w:r>
      <w:r>
        <w:t>706.8</w:t>
      </w:r>
      <w:r>
        <w:rPr>
          <w:spacing w:val="-6"/>
        </w:rPr>
        <w:t xml:space="preserve"> </w:t>
      </w:r>
      <w:r>
        <w:t>million</w:t>
      </w:r>
      <w:r>
        <w:rPr>
          <w:spacing w:val="-6"/>
        </w:rPr>
        <w:t xml:space="preserve"> </w:t>
      </w:r>
      <w:r>
        <w:t>in</w:t>
      </w:r>
      <w:r>
        <w:rPr>
          <w:spacing w:val="-6"/>
        </w:rPr>
        <w:t xml:space="preserve"> </w:t>
      </w:r>
      <w:r>
        <w:t>EU</w:t>
      </w:r>
      <w:r>
        <w:rPr>
          <w:spacing w:val="-7"/>
        </w:rPr>
        <w:t xml:space="preserve"> </w:t>
      </w:r>
      <w:r>
        <w:t>grants</w:t>
      </w:r>
      <w:r>
        <w:rPr>
          <w:spacing w:val="-6"/>
        </w:rPr>
        <w:t xml:space="preserve"> </w:t>
      </w:r>
      <w:r>
        <w:t>awarded.</w:t>
      </w:r>
      <w:r>
        <w:rPr>
          <w:spacing w:val="-4"/>
        </w:rPr>
        <w:t xml:space="preserve"> </w:t>
      </w:r>
      <w:r>
        <w:t>These</w:t>
      </w:r>
      <w:r>
        <w:rPr>
          <w:spacing w:val="-5"/>
        </w:rPr>
        <w:t xml:space="preserve"> </w:t>
      </w:r>
      <w:r>
        <w:t>calls</w:t>
      </w:r>
      <w:r>
        <w:rPr>
          <w:spacing w:val="-6"/>
        </w:rPr>
        <w:t xml:space="preserve"> </w:t>
      </w:r>
      <w:r>
        <w:t>also</w:t>
      </w:r>
      <w:r>
        <w:rPr>
          <w:spacing w:val="-5"/>
        </w:rPr>
        <w:t xml:space="preserve"> </w:t>
      </w:r>
      <w:r>
        <w:t>contribute</w:t>
      </w:r>
      <w:r>
        <w:rPr>
          <w:spacing w:val="-58"/>
        </w:rPr>
        <w:t xml:space="preserve"> </w:t>
      </w:r>
      <w:r>
        <w:t>to the indicators in implementing the NRRP with an implementation deadline of Q2/2022 for</w:t>
      </w:r>
      <w:r>
        <w:rPr>
          <w:spacing w:val="1"/>
        </w:rPr>
        <w:t xml:space="preserve"> </w:t>
      </w:r>
      <w:r>
        <w:t>Constructed or Reconstructed Public Sewerage Network and Constructed or Reconstructed</w:t>
      </w:r>
      <w:r>
        <w:rPr>
          <w:spacing w:val="1"/>
        </w:rPr>
        <w:t xml:space="preserve"> </w:t>
      </w:r>
      <w:r>
        <w:t>Public Water Supply Network. On 14 April 2022, a new continual limited call was issued for</w:t>
      </w:r>
      <w:r>
        <w:rPr>
          <w:spacing w:val="1"/>
        </w:rPr>
        <w:t xml:space="preserve"> </w:t>
      </w:r>
      <w:r>
        <w:t>investments</w:t>
      </w:r>
      <w:r>
        <w:rPr>
          <w:spacing w:val="-4"/>
        </w:rPr>
        <w:t xml:space="preserve"> </w:t>
      </w:r>
      <w:r>
        <w:t>in</w:t>
      </w:r>
      <w:r>
        <w:rPr>
          <w:spacing w:val="-3"/>
        </w:rPr>
        <w:t xml:space="preserve"> </w:t>
      </w:r>
      <w:r>
        <w:t>smaller</w:t>
      </w:r>
      <w:r>
        <w:rPr>
          <w:spacing w:val="-5"/>
        </w:rPr>
        <w:t xml:space="preserve"> </w:t>
      </w:r>
      <w:r>
        <w:t>investments</w:t>
      </w:r>
      <w:r>
        <w:rPr>
          <w:spacing w:val="-3"/>
        </w:rPr>
        <w:t xml:space="preserve"> </w:t>
      </w:r>
      <w:r>
        <w:t>of</w:t>
      </w:r>
      <w:r>
        <w:rPr>
          <w:spacing w:val="-5"/>
        </w:rPr>
        <w:t xml:space="preserve"> </w:t>
      </w:r>
      <w:r>
        <w:t>the</w:t>
      </w:r>
      <w:r>
        <w:rPr>
          <w:spacing w:val="-4"/>
        </w:rPr>
        <w:t xml:space="preserve"> </w:t>
      </w:r>
      <w:r>
        <w:t>water</w:t>
      </w:r>
      <w:r>
        <w:rPr>
          <w:spacing w:val="-5"/>
        </w:rPr>
        <w:t xml:space="preserve"> </w:t>
      </w:r>
      <w:r>
        <w:t>supply</w:t>
      </w:r>
      <w:r>
        <w:rPr>
          <w:spacing w:val="-9"/>
        </w:rPr>
        <w:t xml:space="preserve"> </w:t>
      </w:r>
      <w:r>
        <w:t>and</w:t>
      </w:r>
      <w:r>
        <w:rPr>
          <w:spacing w:val="-4"/>
        </w:rPr>
        <w:t xml:space="preserve"> </w:t>
      </w:r>
      <w:r>
        <w:t>sewerage,</w:t>
      </w:r>
      <w:r>
        <w:rPr>
          <w:spacing w:val="-4"/>
        </w:rPr>
        <w:t xml:space="preserve"> </w:t>
      </w:r>
      <w:r>
        <w:t>for</w:t>
      </w:r>
      <w:r>
        <w:rPr>
          <w:spacing w:val="-6"/>
        </w:rPr>
        <w:t xml:space="preserve"> </w:t>
      </w:r>
      <w:r>
        <w:t>which</w:t>
      </w:r>
      <w:r>
        <w:rPr>
          <w:spacing w:val="-4"/>
        </w:rPr>
        <w:t xml:space="preserve"> </w:t>
      </w:r>
      <w:r>
        <w:t>HRK</w:t>
      </w:r>
      <w:r>
        <w:rPr>
          <w:spacing w:val="-4"/>
        </w:rPr>
        <w:t xml:space="preserve"> </w:t>
      </w:r>
      <w:r>
        <w:t>1</w:t>
      </w:r>
      <w:r>
        <w:rPr>
          <w:spacing w:val="-4"/>
        </w:rPr>
        <w:t xml:space="preserve"> </w:t>
      </w:r>
      <w:r>
        <w:t>billion</w:t>
      </w:r>
      <w:r>
        <w:rPr>
          <w:spacing w:val="-57"/>
        </w:rPr>
        <w:t xml:space="preserve"> </w:t>
      </w:r>
      <w:r>
        <w:t>in</w:t>
      </w:r>
      <w:r>
        <w:rPr>
          <w:spacing w:val="-1"/>
        </w:rPr>
        <w:t xml:space="preserve"> </w:t>
      </w:r>
      <w:r>
        <w:t>EU grants is</w:t>
      </w:r>
      <w:r>
        <w:rPr>
          <w:spacing w:val="-1"/>
        </w:rPr>
        <w:t xml:space="preserve"> </w:t>
      </w:r>
      <w:r>
        <w:t>available.</w:t>
      </w:r>
    </w:p>
    <w:p w:rsidR="00A56FE9" w:rsidRDefault="00A56FE9">
      <w:pPr>
        <w:pStyle w:val="Tijeloteksta"/>
        <w:spacing w:before="4"/>
        <w:ind w:left="0"/>
        <w:jc w:val="left"/>
        <w:rPr>
          <w:sz w:val="21"/>
        </w:rPr>
      </w:pPr>
    </w:p>
    <w:p w:rsidR="00A56FE9" w:rsidRDefault="00000000">
      <w:pPr>
        <w:pStyle w:val="Naslov5"/>
        <w:spacing w:before="1"/>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753234370"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643688148" name="Rectangle 302"/>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7087DC1" id="Group 301"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">
                <v:rect id="Rectangle 302"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" fillcolor="#2c398a" stroked="f"/>
                <w10:anchorlock/>
              </v:group>
            </w:pict>
          </mc:Fallback>
        </mc:AlternateContent>
      </w:r>
    </w:p>
    <w:p w:rsidR="00A56FE9" w:rsidRDefault="00000000">
      <w:pPr>
        <w:pStyle w:val="Tijeloteksta"/>
        <w:spacing w:before="154"/>
        <w:ind w:right="272"/>
      </w:pPr>
      <w:r>
        <w:t>Changes</w:t>
      </w:r>
      <w:r>
        <w:rPr>
          <w:spacing w:val="-1"/>
        </w:rPr>
        <w:t xml:space="preserve"> </w:t>
      </w:r>
      <w:r>
        <w:t>to</w:t>
      </w:r>
      <w:r>
        <w:rPr>
          <w:spacing w:val="-3"/>
        </w:rPr>
        <w:t xml:space="preserve"> </w:t>
      </w:r>
      <w:r>
        <w:t>the</w:t>
      </w:r>
      <w:r>
        <w:rPr>
          <w:spacing w:val="-4"/>
        </w:rPr>
        <w:t xml:space="preserve"> </w:t>
      </w:r>
      <w:r>
        <w:t>legal</w:t>
      </w:r>
      <w:r>
        <w:rPr>
          <w:spacing w:val="-3"/>
        </w:rPr>
        <w:t xml:space="preserve"> </w:t>
      </w:r>
      <w:r>
        <w:t>framework</w:t>
      </w:r>
      <w:r>
        <w:rPr>
          <w:spacing w:val="-2"/>
        </w:rPr>
        <w:t xml:space="preserve"> </w:t>
      </w:r>
      <w:r>
        <w:t>are</w:t>
      </w:r>
      <w:r>
        <w:rPr>
          <w:spacing w:val="-5"/>
        </w:rPr>
        <w:t xml:space="preserve"> </w:t>
      </w:r>
      <w:r>
        <w:t>the</w:t>
      </w:r>
      <w:r>
        <w:rPr>
          <w:spacing w:val="-2"/>
        </w:rPr>
        <w:t xml:space="preserve"> </w:t>
      </w:r>
      <w:r>
        <w:t>final</w:t>
      </w:r>
      <w:r>
        <w:rPr>
          <w:spacing w:val="-3"/>
        </w:rPr>
        <w:t xml:space="preserve"> </w:t>
      </w:r>
      <w:r>
        <w:t>step</w:t>
      </w:r>
      <w:r>
        <w:rPr>
          <w:spacing w:val="-2"/>
        </w:rPr>
        <w:t xml:space="preserve"> </w:t>
      </w:r>
      <w:r>
        <w:t>in</w:t>
      </w:r>
      <w:r>
        <w:rPr>
          <w:spacing w:val="-2"/>
        </w:rPr>
        <w:t xml:space="preserve"> </w:t>
      </w:r>
      <w:r>
        <w:t>implementing</w:t>
      </w:r>
      <w:r>
        <w:rPr>
          <w:spacing w:val="-6"/>
        </w:rPr>
        <w:t xml:space="preserve"> </w:t>
      </w:r>
      <w:r>
        <w:t>reform</w:t>
      </w:r>
      <w:r>
        <w:rPr>
          <w:spacing w:val="-1"/>
        </w:rPr>
        <w:t xml:space="preserve"> </w:t>
      </w:r>
      <w:r>
        <w:t>in</w:t>
      </w:r>
      <w:r>
        <w:rPr>
          <w:spacing w:val="-4"/>
        </w:rPr>
        <w:t xml:space="preserve"> </w:t>
      </w:r>
      <w:r>
        <w:t>the</w:t>
      </w:r>
      <w:r>
        <w:rPr>
          <w:spacing w:val="-3"/>
        </w:rPr>
        <w:t xml:space="preserve"> </w:t>
      </w:r>
      <w:r>
        <w:t>water</w:t>
      </w:r>
      <w:r>
        <w:rPr>
          <w:spacing w:val="-5"/>
        </w:rPr>
        <w:t xml:space="preserve"> </w:t>
      </w:r>
      <w:r>
        <w:t>services</w:t>
      </w:r>
      <w:r>
        <w:rPr>
          <w:spacing w:val="-58"/>
        </w:rPr>
        <w:t xml:space="preserve"> </w:t>
      </w:r>
      <w:r>
        <w:t>sector. Following the adoption of the Regulation on Service Areas on 30 December 2021, the</w:t>
      </w:r>
      <w:r>
        <w:rPr>
          <w:spacing w:val="1"/>
        </w:rPr>
        <w:t xml:space="preserve"> </w:t>
      </w:r>
      <w:r>
        <w:t>plan entails the adoption of the Regulation on Evaluating the Efficiency of Water Operators,</w:t>
      </w:r>
      <w:r>
        <w:rPr>
          <w:spacing w:val="1"/>
        </w:rPr>
        <w:t xml:space="preserve"> </w:t>
      </w:r>
      <w:r>
        <w:t>the Regulation on the Methodology for Determining the Price of Water Services and the</w:t>
      </w:r>
      <w:r>
        <w:rPr>
          <w:spacing w:val="1"/>
        </w:rPr>
        <w:t xml:space="preserve"> </w:t>
      </w:r>
      <w:r>
        <w:t>Regulation on Special Conditions for Provision of Water Services by Q4/2022, whereby</w:t>
      </w:r>
      <w:r>
        <w:rPr>
          <w:spacing w:val="1"/>
        </w:rPr>
        <w:t xml:space="preserve"> </w:t>
      </w:r>
      <w:r>
        <w:t>reforms</w:t>
      </w:r>
      <w:r>
        <w:rPr>
          <w:spacing w:val="-1"/>
        </w:rPr>
        <w:t xml:space="preserve"> </w:t>
      </w:r>
      <w:r>
        <w:t>will be</w:t>
      </w:r>
      <w:r>
        <w:rPr>
          <w:spacing w:val="-1"/>
        </w:rPr>
        <w:t xml:space="preserve"> </w:t>
      </w:r>
      <w:r>
        <w:t>implemented among</w:t>
      </w:r>
      <w:r>
        <w:rPr>
          <w:spacing w:val="-2"/>
        </w:rPr>
        <w:t xml:space="preserve"> </w:t>
      </w:r>
      <w:r>
        <w:t>the</w:t>
      </w:r>
      <w:r>
        <w:rPr>
          <w:spacing w:val="1"/>
        </w:rPr>
        <w:t xml:space="preserve"> </w:t>
      </w:r>
      <w:r>
        <w:t>public</w:t>
      </w:r>
      <w:r>
        <w:rPr>
          <w:spacing w:val="-1"/>
        </w:rPr>
        <w:t xml:space="preserve"> </w:t>
      </w:r>
      <w:r>
        <w:t>water</w:t>
      </w:r>
      <w:r>
        <w:rPr>
          <w:spacing w:val="-2"/>
        </w:rPr>
        <w:t xml:space="preserve"> </w:t>
      </w:r>
      <w:r>
        <w:t>service</w:t>
      </w:r>
      <w:r>
        <w:rPr>
          <w:spacing w:val="-1"/>
        </w:rPr>
        <w:t xml:space="preserve"> </w:t>
      </w:r>
      <w:r>
        <w:t>providers.</w:t>
      </w:r>
    </w:p>
    <w:p w:rsidR="00A56FE9" w:rsidRDefault="00000000">
      <w:pPr>
        <w:pStyle w:val="Tijeloteksta"/>
        <w:spacing w:before="120"/>
        <w:ind w:right="274"/>
      </w:pPr>
      <w:r>
        <w:t>To reduce losses and the operational implementation of the Regulation on Amendments to the</w:t>
      </w:r>
      <w:r>
        <w:rPr>
          <w:spacing w:val="-57"/>
        </w:rPr>
        <w:t xml:space="preserve"> </w:t>
      </w:r>
      <w:r>
        <w:t>Regulation on the Amount of Water Use Fees and Commencement of Collection Fees for</w:t>
      </w:r>
      <w:r>
        <w:rPr>
          <w:spacing w:val="1"/>
        </w:rPr>
        <w:t xml:space="preserve"> </w:t>
      </w:r>
      <w:r>
        <w:t>Abstracted</w:t>
      </w:r>
      <w:r>
        <w:rPr>
          <w:spacing w:val="-12"/>
        </w:rPr>
        <w:t xml:space="preserve"> </w:t>
      </w:r>
      <w:r>
        <w:t>Quantities,</w:t>
      </w:r>
      <w:r>
        <w:rPr>
          <w:spacing w:val="-11"/>
        </w:rPr>
        <w:t xml:space="preserve"> </w:t>
      </w:r>
      <w:r>
        <w:t>a</w:t>
      </w:r>
      <w:r>
        <w:rPr>
          <w:spacing w:val="-10"/>
        </w:rPr>
        <w:t xml:space="preserve"> </w:t>
      </w:r>
      <w:r>
        <w:t>minimum</w:t>
      </w:r>
      <w:r>
        <w:rPr>
          <w:spacing w:val="-11"/>
        </w:rPr>
        <w:t xml:space="preserve"> </w:t>
      </w:r>
      <w:r>
        <w:t>of</w:t>
      </w:r>
      <w:r>
        <w:rPr>
          <w:spacing w:val="-11"/>
        </w:rPr>
        <w:t xml:space="preserve"> </w:t>
      </w:r>
      <w:r>
        <w:t>526</w:t>
      </w:r>
      <w:r>
        <w:rPr>
          <w:spacing w:val="-11"/>
        </w:rPr>
        <w:t xml:space="preserve"> </w:t>
      </w:r>
      <w:r>
        <w:t>measuring</w:t>
      </w:r>
      <w:r>
        <w:rPr>
          <w:spacing w:val="-13"/>
        </w:rPr>
        <w:t xml:space="preserve"> </w:t>
      </w:r>
      <w:r>
        <w:t>devices</w:t>
      </w:r>
      <w:r>
        <w:rPr>
          <w:spacing w:val="-8"/>
        </w:rPr>
        <w:t xml:space="preserve"> </w:t>
      </w:r>
      <w:r>
        <w:t>will</w:t>
      </w:r>
      <w:r>
        <w:rPr>
          <w:spacing w:val="-10"/>
        </w:rPr>
        <w:t xml:space="preserve"> </w:t>
      </w:r>
      <w:r>
        <w:t>be</w:t>
      </w:r>
      <w:r>
        <w:rPr>
          <w:spacing w:val="-11"/>
        </w:rPr>
        <w:t xml:space="preserve"> </w:t>
      </w:r>
      <w:r>
        <w:t>installed</w:t>
      </w:r>
      <w:r>
        <w:rPr>
          <w:spacing w:val="-10"/>
        </w:rPr>
        <w:t xml:space="preserve"> </w:t>
      </w:r>
      <w:r>
        <w:t>at</w:t>
      </w:r>
      <w:r>
        <w:rPr>
          <w:spacing w:val="-11"/>
        </w:rPr>
        <w:t xml:space="preserve"> </w:t>
      </w:r>
      <w:r>
        <w:t>all</w:t>
      </w:r>
      <w:r>
        <w:rPr>
          <w:spacing w:val="-10"/>
        </w:rPr>
        <w:t xml:space="preserve"> </w:t>
      </w:r>
      <w:r>
        <w:t>public</w:t>
      </w:r>
      <w:r>
        <w:rPr>
          <w:spacing w:val="-11"/>
        </w:rPr>
        <w:t xml:space="preserve"> </w:t>
      </w:r>
      <w:r>
        <w:t>water</w:t>
      </w:r>
      <w:r>
        <w:rPr>
          <w:spacing w:val="-58"/>
        </w:rPr>
        <w:t xml:space="preserve"> </w:t>
      </w:r>
      <w:r>
        <w:t>supply</w:t>
      </w:r>
      <w:r>
        <w:rPr>
          <w:spacing w:val="-5"/>
        </w:rPr>
        <w:t xml:space="preserve"> </w:t>
      </w:r>
      <w:r>
        <w:t>pumps in Croatia</w:t>
      </w:r>
      <w:r>
        <w:rPr>
          <w:spacing w:val="1"/>
        </w:rPr>
        <w:t xml:space="preserve"> </w:t>
      </w:r>
      <w:r>
        <w:t>by</w:t>
      </w:r>
      <w:r>
        <w:rPr>
          <w:spacing w:val="-5"/>
        </w:rPr>
        <w:t xml:space="preserve"> </w:t>
      </w:r>
      <w:r>
        <w:t>the</w:t>
      </w:r>
      <w:r>
        <w:rPr>
          <w:spacing w:val="1"/>
        </w:rPr>
        <w:t xml:space="preserve"> </w:t>
      </w:r>
      <w:r>
        <w:t>end of</w:t>
      </w:r>
      <w:r>
        <w:rPr>
          <w:spacing w:val="-1"/>
        </w:rPr>
        <w:t xml:space="preserve"> </w:t>
      </w:r>
      <w:r>
        <w:t>Q4/2022.</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621295283"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461297777" name="Rectangle 300"/>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653F2D0" id="Group 299"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">
                <v:rect id="Rectangle 300"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" fillcolor="#2c398a" stroked="f"/>
                <w10:anchorlock/>
              </v:group>
            </w:pict>
          </mc:Fallback>
        </mc:AlternateContent>
      </w:r>
    </w:p>
    <w:p w:rsidR="00A56FE9" w:rsidRDefault="00000000">
      <w:pPr>
        <w:pStyle w:val="Tijeloteksta"/>
        <w:spacing w:before="154"/>
        <w:ind w:right="270"/>
      </w:pPr>
      <w:r>
        <w:t>Additional significant investments are needed to fulfil the obligations to which Croatia has</w:t>
      </w:r>
      <w:r>
        <w:rPr>
          <w:spacing w:val="1"/>
        </w:rPr>
        <w:t xml:space="preserve"> </w:t>
      </w:r>
      <w:r>
        <w:t>committed itself in the Treaty of Accession of the Republic of Croatia to the European Union</w:t>
      </w:r>
      <w:r>
        <w:rPr>
          <w:spacing w:val="1"/>
        </w:rPr>
        <w:t xml:space="preserve"> </w:t>
      </w:r>
      <w:r>
        <w:t>and implement the framework program for investments in developing the public water supply</w:t>
      </w:r>
      <w:r>
        <w:rPr>
          <w:spacing w:val="1"/>
        </w:rPr>
        <w:t xml:space="preserve"> </w:t>
      </w:r>
      <w:r>
        <w:t>and public sewerage. In addition to the funds from the NRRP, programming documents are</w:t>
      </w:r>
      <w:r>
        <w:rPr>
          <w:spacing w:val="1"/>
        </w:rPr>
        <w:t xml:space="preserve"> </w:t>
      </w:r>
      <w:r>
        <w:t>being prepared for a new multiannual financial framework through the Operational Program</w:t>
      </w:r>
      <w:r>
        <w:rPr>
          <w:spacing w:val="1"/>
        </w:rPr>
        <w:t xml:space="preserve"> </w:t>
      </w:r>
      <w:r>
        <w:t>Competitiveness and Cohesion (CCOP) 2021-2027, whereby, in terms of policy objective 2,</w:t>
      </w:r>
      <w:r>
        <w:rPr>
          <w:spacing w:val="1"/>
        </w:rPr>
        <w:t xml:space="preserve"> </w:t>
      </w:r>
      <w:r>
        <w:t>specific objective 2.v “promoting access to water and sustainable water management” the</w:t>
      </w:r>
      <w:r>
        <w:rPr>
          <w:spacing w:val="1"/>
        </w:rPr>
        <w:t xml:space="preserve"> </w:t>
      </w:r>
      <w:r>
        <w:t>recommendation</w:t>
      </w:r>
      <w:r>
        <w:rPr>
          <w:spacing w:val="-4"/>
        </w:rPr>
        <w:t xml:space="preserve"> </w:t>
      </w:r>
      <w:r>
        <w:t>is</w:t>
      </w:r>
      <w:r>
        <w:rPr>
          <w:spacing w:val="1"/>
        </w:rPr>
        <w:t xml:space="preserve"> </w:t>
      </w:r>
      <w:r>
        <w:t>additional</w:t>
      </w:r>
      <w:r>
        <w:rPr>
          <w:spacing w:val="-3"/>
        </w:rPr>
        <w:t xml:space="preserve"> </w:t>
      </w:r>
      <w:r>
        <w:t>investments</w:t>
      </w:r>
      <w:r>
        <w:rPr>
          <w:spacing w:val="-2"/>
        </w:rPr>
        <w:t xml:space="preserve"> </w:t>
      </w:r>
      <w:r>
        <w:t>in</w:t>
      </w:r>
      <w:r>
        <w:rPr>
          <w:spacing w:val="-2"/>
        </w:rPr>
        <w:t xml:space="preserve"> </w:t>
      </w:r>
      <w:r>
        <w:t>public</w:t>
      </w:r>
      <w:r>
        <w:rPr>
          <w:spacing w:val="-4"/>
        </w:rPr>
        <w:t xml:space="preserve"> </w:t>
      </w:r>
      <w:r>
        <w:t>water</w:t>
      </w:r>
      <w:r>
        <w:rPr>
          <w:spacing w:val="-4"/>
        </w:rPr>
        <w:t xml:space="preserve"> </w:t>
      </w:r>
      <w:r>
        <w:t>supply</w:t>
      </w:r>
      <w:r>
        <w:rPr>
          <w:spacing w:val="-5"/>
        </w:rPr>
        <w:t xml:space="preserve"> </w:t>
      </w:r>
      <w:r>
        <w:t>and</w:t>
      </w:r>
      <w:r>
        <w:rPr>
          <w:spacing w:val="-4"/>
        </w:rPr>
        <w:t xml:space="preserve"> </w:t>
      </w:r>
      <w:r>
        <w:t>sewerage</w:t>
      </w:r>
      <w:r>
        <w:rPr>
          <w:spacing w:val="-4"/>
        </w:rPr>
        <w:t xml:space="preserve"> </w:t>
      </w:r>
      <w:r>
        <w:t>systems which</w:t>
      </w:r>
      <w:r>
        <w:rPr>
          <w:spacing w:val="-57"/>
        </w:rPr>
        <w:t xml:space="preserve"> </w:t>
      </w:r>
      <w:r>
        <w:t>include, but are not limited to, investments in new or reconstructed/rehabilitated pipelines for</w:t>
      </w:r>
      <w:r>
        <w:rPr>
          <w:spacing w:val="1"/>
        </w:rPr>
        <w:t xml:space="preserve"> </w:t>
      </w:r>
      <w:r>
        <w:t>public</w:t>
      </w:r>
      <w:r>
        <w:rPr>
          <w:spacing w:val="-7"/>
        </w:rPr>
        <w:t xml:space="preserve"> </w:t>
      </w:r>
      <w:r>
        <w:t>water</w:t>
      </w:r>
      <w:r>
        <w:rPr>
          <w:spacing w:val="-7"/>
        </w:rPr>
        <w:t xml:space="preserve"> </w:t>
      </w:r>
      <w:r>
        <w:t>supply</w:t>
      </w:r>
      <w:r>
        <w:rPr>
          <w:spacing w:val="-10"/>
        </w:rPr>
        <w:t xml:space="preserve"> </w:t>
      </w:r>
      <w:r>
        <w:t>and</w:t>
      </w:r>
      <w:r>
        <w:rPr>
          <w:spacing w:val="-6"/>
        </w:rPr>
        <w:t xml:space="preserve"> </w:t>
      </w:r>
      <w:r>
        <w:t>sewerage</w:t>
      </w:r>
      <w:r>
        <w:rPr>
          <w:spacing w:val="-7"/>
        </w:rPr>
        <w:t xml:space="preserve"> </w:t>
      </w:r>
      <w:r>
        <w:t>systems,</w:t>
      </w:r>
      <w:r>
        <w:rPr>
          <w:spacing w:val="-5"/>
        </w:rPr>
        <w:t xml:space="preserve"> </w:t>
      </w:r>
      <w:r>
        <w:t>water</w:t>
      </w:r>
      <w:r>
        <w:rPr>
          <w:spacing w:val="-7"/>
        </w:rPr>
        <w:t xml:space="preserve"> </w:t>
      </w:r>
      <w:r>
        <w:t>conditioning</w:t>
      </w:r>
      <w:r>
        <w:rPr>
          <w:spacing w:val="-9"/>
        </w:rPr>
        <w:t xml:space="preserve"> </w:t>
      </w:r>
      <w:r>
        <w:t>devices</w:t>
      </w:r>
      <w:r>
        <w:rPr>
          <w:spacing w:val="-5"/>
        </w:rPr>
        <w:t xml:space="preserve"> </w:t>
      </w:r>
      <w:r>
        <w:t>for</w:t>
      </w:r>
      <w:r>
        <w:rPr>
          <w:spacing w:val="-8"/>
        </w:rPr>
        <w:t xml:space="preserve"> </w:t>
      </w:r>
      <w:r>
        <w:t>human</w:t>
      </w:r>
      <w:r>
        <w:rPr>
          <w:spacing w:val="-7"/>
        </w:rPr>
        <w:t xml:space="preserve"> </w:t>
      </w:r>
      <w:r>
        <w:t>consumption</w:t>
      </w:r>
      <w:r>
        <w:rPr>
          <w:spacing w:val="-57"/>
        </w:rPr>
        <w:t xml:space="preserve"> </w:t>
      </w:r>
      <w:r>
        <w:t>and desalination plants, in new or upgraded installations for wastewater treatment including</w:t>
      </w:r>
      <w:r>
        <w:rPr>
          <w:spacing w:val="1"/>
        </w:rPr>
        <w:t xml:space="preserve"> </w:t>
      </w:r>
      <w:r>
        <w:t>sludge</w:t>
      </w:r>
      <w:r>
        <w:rPr>
          <w:spacing w:val="-2"/>
        </w:rPr>
        <w:t xml:space="preserve"> </w:t>
      </w:r>
      <w:r>
        <w:t>treatment plants.</w:t>
      </w:r>
    </w:p>
    <w:p w:rsidR="00A56FE9" w:rsidRDefault="00000000">
      <w:pPr>
        <w:pStyle w:val="Tijeloteksta"/>
        <w:spacing w:before="121"/>
        <w:ind w:right="278"/>
      </w:pPr>
      <w:r>
        <w:t>Furthermore, in 2022, the implementation of investments in public sewerage and public water</w:t>
      </w:r>
      <w:r>
        <w:rPr>
          <w:spacing w:val="1"/>
        </w:rPr>
        <w:t xml:space="preserve"> </w:t>
      </w:r>
      <w:r>
        <w:t>supply</w:t>
      </w:r>
      <w:r>
        <w:rPr>
          <w:spacing w:val="-6"/>
        </w:rPr>
        <w:t xml:space="preserve"> </w:t>
      </w:r>
      <w:r>
        <w:t>systems financed</w:t>
      </w:r>
      <w:r>
        <w:rPr>
          <w:spacing w:val="2"/>
        </w:rPr>
        <w:t xml:space="preserve"> </w:t>
      </w:r>
      <w:r>
        <w:t>by</w:t>
      </w:r>
      <w:r>
        <w:rPr>
          <w:spacing w:val="-5"/>
        </w:rPr>
        <w:t xml:space="preserve"> </w:t>
      </w:r>
      <w:r>
        <w:t>EU</w:t>
      </w:r>
      <w:r>
        <w:rPr>
          <w:spacing w:val="1"/>
        </w:rPr>
        <w:t xml:space="preserve"> </w:t>
      </w:r>
      <w:r>
        <w:t>grants within the</w:t>
      </w:r>
      <w:r>
        <w:rPr>
          <w:spacing w:val="2"/>
        </w:rPr>
        <w:t xml:space="preserve"> </w:t>
      </w:r>
      <w:r>
        <w:t>OPCC</w:t>
      </w:r>
      <w:r>
        <w:rPr>
          <w:spacing w:val="1"/>
        </w:rPr>
        <w:t xml:space="preserve"> </w:t>
      </w:r>
      <w:r>
        <w:t>2014-2020</w:t>
      </w:r>
      <w:r>
        <w:rPr>
          <w:spacing w:val="-1"/>
        </w:rPr>
        <w:t xml:space="preserve"> </w:t>
      </w:r>
      <w:r>
        <w:t>will continue.</w:t>
      </w:r>
    </w:p>
    <w:p w:rsidR="00A56FE9" w:rsidRDefault="00A56FE9">
      <w:pPr>
        <w:sectPr w:rsidR="00A56FE9" w:rsidSect="00AB1E70">
          <w:pgSz w:w="11910" w:h="16840"/>
          <w:pgMar w:top="1320" w:right="1140" w:bottom="960" w:left="1280" w:header="0" w:footer="779" w:gutter="0"/>
          <w:cols w:space="720"/>
        </w:sectPr>
      </w:pPr>
    </w:p>
    <w:p w:rsidR="00A56FE9" w:rsidRDefault="00A56FE9">
      <w:pPr>
        <w:pStyle w:val="Tijeloteksta"/>
        <w:spacing w:before="4"/>
        <w:ind w:left="0"/>
        <w:jc w:val="left"/>
        <w:rPr>
          <w:sz w:val="13"/>
        </w:rPr>
      </w:pPr>
    </w:p>
    <w:p w:rsidR="00A56FE9" w:rsidRDefault="00CC1B9B">
      <w:pPr>
        <w:pStyle w:val="Naslov4"/>
        <w:spacing w:before="89"/>
        <w:jc w:val="left"/>
      </w:pPr>
      <w:r>
        <w:rPr>
          <w:noProof/>
        </w:rPr>
        <mc:AlternateContent>
          <mc:Choice Requires="wps">
            <w:drawing>
              <wp:anchor distT="0" distB="0" distL="114300" distR="114300" simplePos="0" relativeHeight="15746048" behindDoc="0" locked="0" layoutInCell="1" allowOverlap="1">
                <wp:simplePos x="0" y="0"/>
                <wp:positionH relativeFrom="page">
                  <wp:posOffset>814070</wp:posOffset>
                </wp:positionH>
                <wp:positionV relativeFrom="paragraph">
                  <wp:posOffset>-97790</wp:posOffset>
                </wp:positionV>
                <wp:extent cx="18415" cy="417830"/>
                <wp:effectExtent l="0" t="0" r="0" b="0"/>
                <wp:wrapNone/>
                <wp:docPr id="252990277"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98D4A" id="Rectangle 298" o:spid="_x0000_s1026" style="position:absolute;margin-left:64.1pt;margin-top:-7.7pt;width:1.45pt;height:32.9pt;z-index:15746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" fillcolor="#da1f2c" stroked="f">
                <w10:wrap anchorx="page"/>
              </v:rect>
            </w:pict>
          </mc:Fallback>
        </mc:AlternateContent>
      </w:r>
      <w:r w:rsidR="00000000">
        <w:rPr>
          <w:color w:val="2C398A"/>
        </w:rPr>
        <w:t>Sustainable</w:t>
      </w:r>
      <w:r w:rsidR="00000000">
        <w:rPr>
          <w:color w:val="2C398A"/>
          <w:spacing w:val="-4"/>
        </w:rPr>
        <w:t xml:space="preserve"> </w:t>
      </w:r>
      <w:r w:rsidR="00000000">
        <w:rPr>
          <w:color w:val="2C398A"/>
        </w:rPr>
        <w:t>waste</w:t>
      </w:r>
      <w:r w:rsidR="00000000">
        <w:rPr>
          <w:color w:val="2C398A"/>
          <w:spacing w:val="-3"/>
        </w:rPr>
        <w:t xml:space="preserve"> </w:t>
      </w:r>
      <w:r w:rsidR="00000000">
        <w:rPr>
          <w:color w:val="2C398A"/>
        </w:rPr>
        <w:t>management</w:t>
      </w:r>
    </w:p>
    <w:p w:rsidR="00A56FE9" w:rsidRDefault="00CC1B9B">
      <w:pPr>
        <w:pStyle w:val="Naslov5"/>
        <w:spacing w:before="235"/>
        <w:jc w:val="left"/>
      </w:pPr>
      <w:r>
        <w:rPr>
          <w:noProof/>
        </w:rPr>
        <mc:AlternateContent>
          <mc:Choice Requires="wps">
            <w:drawing>
              <wp:anchor distT="0" distB="0" distL="0" distR="0" simplePos="0" relativeHeight="487603200" behindDoc="1" locked="0" layoutInCell="1" allowOverlap="1">
                <wp:simplePos x="0" y="0"/>
                <wp:positionH relativeFrom="page">
                  <wp:posOffset>882650</wp:posOffset>
                </wp:positionH>
                <wp:positionV relativeFrom="paragraph">
                  <wp:posOffset>338455</wp:posOffset>
                </wp:positionV>
                <wp:extent cx="3275965" cy="12065"/>
                <wp:effectExtent l="0" t="0" r="0" b="0"/>
                <wp:wrapTopAndBottom/>
                <wp:docPr id="1948104374"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5965"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21035" id="Rectangle 297" o:spid="_x0000_s1026" style="position:absolute;margin-left:69.5pt;margin-top:26.65pt;width:257.95pt;height:.9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" fillcolor="#2c398a" stroked="f">
                <w10:wrap type="topAndBottom" anchorx="page"/>
              </v:rect>
            </w:pict>
          </mc:Fallback>
        </mc:AlternateContent>
      </w:r>
      <w:r w:rsidR="00000000">
        <w:t>Progress</w:t>
      </w:r>
      <w:r w:rsidR="00000000">
        <w:rPr>
          <w:spacing w:val="-2"/>
        </w:rPr>
        <w:t xml:space="preserve"> </w:t>
      </w:r>
      <w:r w:rsidR="00000000">
        <w:t>in</w:t>
      </w:r>
      <w:r w:rsidR="00000000">
        <w:rPr>
          <w:spacing w:val="-2"/>
        </w:rPr>
        <w:t xml:space="preserve"> </w:t>
      </w:r>
      <w:r w:rsidR="00000000">
        <w:t>implementing</w:t>
      </w:r>
      <w:r w:rsidR="00000000">
        <w:rPr>
          <w:spacing w:val="-2"/>
        </w:rPr>
        <w:t xml:space="preserve"> </w:t>
      </w:r>
      <w:r w:rsidR="00000000">
        <w:t>the</w:t>
      </w:r>
      <w:r w:rsidR="00000000">
        <w:rPr>
          <w:spacing w:val="-2"/>
        </w:rPr>
        <w:t xml:space="preserve"> </w:t>
      </w:r>
      <w:r w:rsidR="00000000">
        <w:t>recommendations</w:t>
      </w:r>
    </w:p>
    <w:p w:rsidR="00A56FE9" w:rsidRDefault="00000000">
      <w:pPr>
        <w:pStyle w:val="Tijeloteksta"/>
        <w:spacing w:before="126"/>
        <w:ind w:right="272"/>
      </w:pPr>
      <w:r>
        <w:t>Regarding</w:t>
      </w:r>
      <w:r>
        <w:rPr>
          <w:spacing w:val="1"/>
        </w:rPr>
        <w:t xml:space="preserve"> </w:t>
      </w:r>
      <w:r>
        <w:t>waste</w:t>
      </w:r>
      <w:r>
        <w:rPr>
          <w:spacing w:val="1"/>
        </w:rPr>
        <w:t xml:space="preserve"> </w:t>
      </w:r>
      <w:r>
        <w:t>management,</w:t>
      </w:r>
      <w:r>
        <w:rPr>
          <w:spacing w:val="1"/>
        </w:rPr>
        <w:t xml:space="preserve"> </w:t>
      </w:r>
      <w:r>
        <w:t>the</w:t>
      </w:r>
      <w:r>
        <w:rPr>
          <w:spacing w:val="1"/>
        </w:rPr>
        <w:t xml:space="preserve"> </w:t>
      </w:r>
      <w:r>
        <w:t>Ministry</w:t>
      </w:r>
      <w:r>
        <w:rPr>
          <w:spacing w:val="1"/>
        </w:rPr>
        <w:t xml:space="preserve"> </w:t>
      </w:r>
      <w:r>
        <w:t>of</w:t>
      </w:r>
      <w:r>
        <w:rPr>
          <w:spacing w:val="1"/>
        </w:rPr>
        <w:t xml:space="preserve"> </w:t>
      </w:r>
      <w:r>
        <w:t>Economy</w:t>
      </w:r>
      <w:r>
        <w:rPr>
          <w:spacing w:val="1"/>
        </w:rPr>
        <w:t xml:space="preserve"> </w:t>
      </w:r>
      <w:r>
        <w:t>and</w:t>
      </w:r>
      <w:r>
        <w:rPr>
          <w:spacing w:val="1"/>
        </w:rPr>
        <w:t xml:space="preserve"> </w:t>
      </w:r>
      <w:r>
        <w:t>Sustainable</w:t>
      </w:r>
      <w:r>
        <w:rPr>
          <w:spacing w:val="1"/>
        </w:rPr>
        <w:t xml:space="preserve"> </w:t>
      </w:r>
      <w:r>
        <w:t>Development</w:t>
      </w:r>
      <w:r>
        <w:rPr>
          <w:spacing w:val="1"/>
        </w:rPr>
        <w:t xml:space="preserve"> </w:t>
      </w:r>
      <w:r>
        <w:rPr>
          <w:spacing w:val="-1"/>
        </w:rPr>
        <w:t>(MESD)</w:t>
      </w:r>
      <w:r>
        <w:rPr>
          <w:spacing w:val="-16"/>
        </w:rPr>
        <w:t xml:space="preserve"> </w:t>
      </w:r>
      <w:r>
        <w:t>passed</w:t>
      </w:r>
      <w:r>
        <w:rPr>
          <w:spacing w:val="-15"/>
        </w:rPr>
        <w:t xml:space="preserve"> </w:t>
      </w:r>
      <w:r>
        <w:t>a</w:t>
      </w:r>
      <w:r>
        <w:rPr>
          <w:spacing w:val="-14"/>
        </w:rPr>
        <w:t xml:space="preserve"> </w:t>
      </w:r>
      <w:r>
        <w:t>Decision</w:t>
      </w:r>
      <w:r>
        <w:rPr>
          <w:spacing w:val="-15"/>
        </w:rPr>
        <w:t xml:space="preserve"> </w:t>
      </w:r>
      <w:r>
        <w:t>on</w:t>
      </w:r>
      <w:r>
        <w:rPr>
          <w:spacing w:val="-14"/>
        </w:rPr>
        <w:t xml:space="preserve"> </w:t>
      </w:r>
      <w:r>
        <w:t>the</w:t>
      </w:r>
      <w:r>
        <w:rPr>
          <w:spacing w:val="-13"/>
        </w:rPr>
        <w:t xml:space="preserve"> </w:t>
      </w:r>
      <w:r>
        <w:t>Sequence</w:t>
      </w:r>
      <w:r>
        <w:rPr>
          <w:spacing w:val="-13"/>
        </w:rPr>
        <w:t xml:space="preserve"> </w:t>
      </w:r>
      <w:r>
        <w:t>and</w:t>
      </w:r>
      <w:r>
        <w:rPr>
          <w:spacing w:val="-15"/>
        </w:rPr>
        <w:t xml:space="preserve"> </w:t>
      </w:r>
      <w:r>
        <w:t>Schedule</w:t>
      </w:r>
      <w:r>
        <w:rPr>
          <w:spacing w:val="-15"/>
        </w:rPr>
        <w:t xml:space="preserve"> </w:t>
      </w:r>
      <w:r>
        <w:t>for</w:t>
      </w:r>
      <w:r>
        <w:rPr>
          <w:spacing w:val="-15"/>
        </w:rPr>
        <w:t xml:space="preserve"> </w:t>
      </w:r>
      <w:r>
        <w:t>Closing</w:t>
      </w:r>
      <w:r>
        <w:rPr>
          <w:spacing w:val="-15"/>
        </w:rPr>
        <w:t xml:space="preserve"> </w:t>
      </w:r>
      <w:r>
        <w:t>Waste</w:t>
      </w:r>
      <w:r>
        <w:rPr>
          <w:spacing w:val="-13"/>
        </w:rPr>
        <w:t xml:space="preserve"> </w:t>
      </w:r>
      <w:r>
        <w:t>Depots,</w:t>
      </w:r>
      <w:r>
        <w:rPr>
          <w:spacing w:val="-23"/>
        </w:rPr>
        <w:t xml:space="preserve"> </w:t>
      </w:r>
      <w:r>
        <w:rPr>
          <w:vertAlign w:val="superscript"/>
        </w:rPr>
        <w:t>15</w:t>
      </w:r>
      <w:r>
        <w:rPr>
          <w:spacing w:val="-13"/>
        </w:rPr>
        <w:t xml:space="preserve"> </w:t>
      </w:r>
      <w:r>
        <w:t>defining</w:t>
      </w:r>
      <w:r>
        <w:rPr>
          <w:spacing w:val="-58"/>
        </w:rPr>
        <w:t xml:space="preserve"> </w:t>
      </w:r>
      <w:r>
        <w:t>the</w:t>
      </w:r>
      <w:r>
        <w:rPr>
          <w:spacing w:val="-1"/>
        </w:rPr>
        <w:t xml:space="preserve"> </w:t>
      </w:r>
      <w:r>
        <w:t>sequence</w:t>
      </w:r>
      <w:r>
        <w:rPr>
          <w:spacing w:val="-1"/>
        </w:rPr>
        <w:t xml:space="preserve"> </w:t>
      </w:r>
      <w:r>
        <w:t>and schedule</w:t>
      </w:r>
      <w:r>
        <w:rPr>
          <w:spacing w:val="-1"/>
        </w:rPr>
        <w:t xml:space="preserve"> </w:t>
      </w:r>
      <w:r>
        <w:t>for</w:t>
      </w:r>
      <w:r>
        <w:rPr>
          <w:spacing w:val="-2"/>
        </w:rPr>
        <w:t xml:space="preserve"> </w:t>
      </w:r>
      <w:r>
        <w:t>closing</w:t>
      </w:r>
      <w:r>
        <w:rPr>
          <w:spacing w:val="-3"/>
        </w:rPr>
        <w:t xml:space="preserve"> </w:t>
      </w:r>
      <w:r>
        <w:t>waste depots for</w:t>
      </w:r>
      <w:r>
        <w:rPr>
          <w:spacing w:val="-2"/>
        </w:rPr>
        <w:t xml:space="preserve"> </w:t>
      </w:r>
      <w:r>
        <w:t>non-hazardous waste</w:t>
      </w:r>
      <w:r>
        <w:rPr>
          <w:spacing w:val="-2"/>
        </w:rPr>
        <w:t xml:space="preserve"> </w:t>
      </w:r>
      <w:r>
        <w:t>across</w:t>
      </w:r>
      <w:r>
        <w:rPr>
          <w:spacing w:val="1"/>
        </w:rPr>
        <w:t xml:space="preserve"> </w:t>
      </w:r>
      <w:r>
        <w:t>counties.</w:t>
      </w:r>
    </w:p>
    <w:p w:rsidR="00A56FE9" w:rsidRDefault="00000000">
      <w:pPr>
        <w:pStyle w:val="Tijeloteksta"/>
        <w:spacing w:before="120"/>
        <w:ind w:right="274"/>
      </w:pPr>
      <w:r>
        <w:t>In</w:t>
      </w:r>
      <w:r>
        <w:rPr>
          <w:spacing w:val="-6"/>
        </w:rPr>
        <w:t xml:space="preserve"> </w:t>
      </w:r>
      <w:r>
        <w:t>2021,</w:t>
      </w:r>
      <w:r>
        <w:rPr>
          <w:spacing w:val="-8"/>
        </w:rPr>
        <w:t xml:space="preserve"> </w:t>
      </w:r>
      <w:r>
        <w:t>the</w:t>
      </w:r>
      <w:r>
        <w:rPr>
          <w:spacing w:val="-8"/>
        </w:rPr>
        <w:t xml:space="preserve"> </w:t>
      </w:r>
      <w:r>
        <w:t>Waste</w:t>
      </w:r>
      <w:r>
        <w:rPr>
          <w:spacing w:val="-8"/>
        </w:rPr>
        <w:t xml:space="preserve"> </w:t>
      </w:r>
      <w:r>
        <w:t>Management</w:t>
      </w:r>
      <w:r>
        <w:rPr>
          <w:spacing w:val="-7"/>
        </w:rPr>
        <w:t xml:space="preserve"> </w:t>
      </w:r>
      <w:r>
        <w:t>Act</w:t>
      </w:r>
      <w:r>
        <w:rPr>
          <w:vertAlign w:val="superscript"/>
        </w:rPr>
        <w:t>16</w:t>
      </w:r>
      <w:r>
        <w:rPr>
          <w:spacing w:val="-6"/>
        </w:rPr>
        <w:t xml:space="preserve"> </w:t>
      </w:r>
      <w:r>
        <w:t>came</w:t>
      </w:r>
      <w:r>
        <w:rPr>
          <w:spacing w:val="-8"/>
        </w:rPr>
        <w:t xml:space="preserve"> </w:t>
      </w:r>
      <w:r>
        <w:t>into</w:t>
      </w:r>
      <w:r>
        <w:rPr>
          <w:spacing w:val="-8"/>
        </w:rPr>
        <w:t xml:space="preserve"> </w:t>
      </w:r>
      <w:r>
        <w:t>force,</w:t>
      </w:r>
      <w:r>
        <w:rPr>
          <w:spacing w:val="-8"/>
        </w:rPr>
        <w:t xml:space="preserve"> </w:t>
      </w:r>
      <w:r>
        <w:t>which</w:t>
      </w:r>
      <w:r>
        <w:rPr>
          <w:spacing w:val="-6"/>
        </w:rPr>
        <w:t xml:space="preserve"> </w:t>
      </w:r>
      <w:r>
        <w:t>was</w:t>
      </w:r>
      <w:r>
        <w:rPr>
          <w:spacing w:val="-7"/>
        </w:rPr>
        <w:t xml:space="preserve"> </w:t>
      </w:r>
      <w:r>
        <w:t>passed</w:t>
      </w:r>
      <w:r>
        <w:rPr>
          <w:spacing w:val="-8"/>
        </w:rPr>
        <w:t xml:space="preserve"> </w:t>
      </w:r>
      <w:r>
        <w:t>on</w:t>
      </w:r>
      <w:r>
        <w:rPr>
          <w:spacing w:val="-5"/>
        </w:rPr>
        <w:t xml:space="preserve"> </w:t>
      </w:r>
      <w:r>
        <w:t>23</w:t>
      </w:r>
      <w:r>
        <w:rPr>
          <w:spacing w:val="-8"/>
        </w:rPr>
        <w:t xml:space="preserve"> </w:t>
      </w:r>
      <w:r>
        <w:t>July</w:t>
      </w:r>
      <w:r>
        <w:rPr>
          <w:spacing w:val="-15"/>
        </w:rPr>
        <w:t xml:space="preserve"> </w:t>
      </w:r>
      <w:r>
        <w:t>2021.</w:t>
      </w:r>
      <w:r>
        <w:rPr>
          <w:spacing w:val="-8"/>
        </w:rPr>
        <w:t xml:space="preserve"> </w:t>
      </w:r>
      <w:r>
        <w:t>The</w:t>
      </w:r>
      <w:r>
        <w:rPr>
          <w:spacing w:val="-58"/>
        </w:rPr>
        <w:t xml:space="preserve"> </w:t>
      </w:r>
      <w:r>
        <w:t>new Waste Management Act integrated new and ambitious goals of waste management into</w:t>
      </w:r>
      <w:r>
        <w:rPr>
          <w:spacing w:val="1"/>
        </w:rPr>
        <w:t xml:space="preserve"> </w:t>
      </w:r>
      <w:r>
        <w:t>national legislation, contributing to the realisation of the European Green Deal goals, i.e.,</w:t>
      </w:r>
      <w:r>
        <w:rPr>
          <w:spacing w:val="1"/>
        </w:rPr>
        <w:t xml:space="preserve"> </w:t>
      </w:r>
      <w:r>
        <w:t>separating the creation of waste from economic growth. Also, the Waste Management Plan of</w:t>
      </w:r>
      <w:r>
        <w:rPr>
          <w:spacing w:val="1"/>
        </w:rPr>
        <w:t xml:space="preserve"> </w:t>
      </w:r>
      <w:r>
        <w:t>the</w:t>
      </w:r>
      <w:r>
        <w:rPr>
          <w:spacing w:val="-12"/>
        </w:rPr>
        <w:t xml:space="preserve"> </w:t>
      </w:r>
      <w:r>
        <w:t>Republic</w:t>
      </w:r>
      <w:r>
        <w:rPr>
          <w:spacing w:val="-12"/>
        </w:rPr>
        <w:t xml:space="preserve"> </w:t>
      </w:r>
      <w:r>
        <w:t>of</w:t>
      </w:r>
      <w:r>
        <w:rPr>
          <w:spacing w:val="-11"/>
        </w:rPr>
        <w:t xml:space="preserve"> </w:t>
      </w:r>
      <w:r>
        <w:t>Croatia</w:t>
      </w:r>
      <w:r>
        <w:rPr>
          <w:spacing w:val="-12"/>
        </w:rPr>
        <w:t xml:space="preserve"> </w:t>
      </w:r>
      <w:r>
        <w:t>for</w:t>
      </w:r>
      <w:r>
        <w:rPr>
          <w:spacing w:val="-13"/>
        </w:rPr>
        <w:t xml:space="preserve"> </w:t>
      </w:r>
      <w:r>
        <w:t>the</w:t>
      </w:r>
      <w:r>
        <w:rPr>
          <w:spacing w:val="-11"/>
        </w:rPr>
        <w:t xml:space="preserve"> </w:t>
      </w:r>
      <w:r>
        <w:t>2017-2022</w:t>
      </w:r>
      <w:r>
        <w:rPr>
          <w:spacing w:val="-11"/>
        </w:rPr>
        <w:t xml:space="preserve"> </w:t>
      </w:r>
      <w:r>
        <w:t>Period</w:t>
      </w:r>
      <w:r>
        <w:rPr>
          <w:vertAlign w:val="superscript"/>
        </w:rPr>
        <w:t>17</w:t>
      </w:r>
      <w:r>
        <w:rPr>
          <w:spacing w:val="-10"/>
        </w:rPr>
        <w:t xml:space="preserve"> </w:t>
      </w:r>
      <w:r>
        <w:t>was</w:t>
      </w:r>
      <w:r>
        <w:rPr>
          <w:spacing w:val="-10"/>
        </w:rPr>
        <w:t xml:space="preserve"> </w:t>
      </w:r>
      <w:r>
        <w:t>replaced</w:t>
      </w:r>
      <w:r>
        <w:rPr>
          <w:spacing w:val="-11"/>
        </w:rPr>
        <w:t xml:space="preserve"> </w:t>
      </w:r>
      <w:r>
        <w:t>with</w:t>
      </w:r>
      <w:r>
        <w:rPr>
          <w:spacing w:val="-11"/>
        </w:rPr>
        <w:t xml:space="preserve"> </w:t>
      </w:r>
      <w:r>
        <w:t>the</w:t>
      </w:r>
      <w:r>
        <w:rPr>
          <w:spacing w:val="-11"/>
        </w:rPr>
        <w:t xml:space="preserve"> </w:t>
      </w:r>
      <w:r>
        <w:t>Decision</w:t>
      </w:r>
      <w:r>
        <w:rPr>
          <w:spacing w:val="-11"/>
        </w:rPr>
        <w:t xml:space="preserve"> </w:t>
      </w:r>
      <w:r>
        <w:t>on</w:t>
      </w:r>
      <w:r>
        <w:rPr>
          <w:spacing w:val="-11"/>
        </w:rPr>
        <w:t xml:space="preserve"> </w:t>
      </w:r>
      <w:r>
        <w:t>Adoption</w:t>
      </w:r>
      <w:r>
        <w:rPr>
          <w:spacing w:val="-57"/>
        </w:rPr>
        <w:t xml:space="preserve"> </w:t>
      </w:r>
      <w:r>
        <w:t>of Amendments to the Waste Management Plan of the Republic of Croatia for the 2017-2022</w:t>
      </w:r>
      <w:r>
        <w:rPr>
          <w:spacing w:val="1"/>
        </w:rPr>
        <w:t xml:space="preserve"> </w:t>
      </w:r>
      <w:r>
        <w:t>Period.</w:t>
      </w:r>
      <w:r>
        <w:rPr>
          <w:vertAlign w:val="superscript"/>
        </w:rPr>
        <w:t>18</w:t>
      </w:r>
      <w:r>
        <w:t xml:space="preserve"> Amendments to the Croatian Waste Management Plan for 2017-2022 were adopted</w:t>
      </w:r>
      <w:r>
        <w:rPr>
          <w:spacing w:val="1"/>
        </w:rPr>
        <w:t xml:space="preserve"> </w:t>
      </w:r>
      <w:r>
        <w:t>to be aligned with new goals and policies in waste management and refer only to 2022 as the</w:t>
      </w:r>
      <w:r>
        <w:rPr>
          <w:spacing w:val="1"/>
        </w:rPr>
        <w:t xml:space="preserve"> </w:t>
      </w:r>
      <w:r>
        <w:t>final</w:t>
      </w:r>
      <w:r>
        <w:rPr>
          <w:spacing w:val="-1"/>
        </w:rPr>
        <w:t xml:space="preserve"> </w:t>
      </w:r>
      <w:r>
        <w:t>year</w:t>
      </w:r>
      <w:r>
        <w:rPr>
          <w:spacing w:val="-5"/>
        </w:rPr>
        <w:t xml:space="preserve"> </w:t>
      </w:r>
      <w:r>
        <w:t>in</w:t>
      </w:r>
      <w:r>
        <w:rPr>
          <w:spacing w:val="-3"/>
        </w:rPr>
        <w:t xml:space="preserve"> </w:t>
      </w:r>
      <w:r>
        <w:t>this</w:t>
      </w:r>
      <w:r>
        <w:rPr>
          <w:spacing w:val="-4"/>
        </w:rPr>
        <w:t xml:space="preserve"> </w:t>
      </w:r>
      <w:r>
        <w:t>planning</w:t>
      </w:r>
      <w:r>
        <w:rPr>
          <w:spacing w:val="-6"/>
        </w:rPr>
        <w:t xml:space="preserve"> </w:t>
      </w:r>
      <w:r>
        <w:t>period,</w:t>
      </w:r>
      <w:r>
        <w:rPr>
          <w:spacing w:val="-4"/>
        </w:rPr>
        <w:t xml:space="preserve"> </w:t>
      </w:r>
      <w:r>
        <w:t>whereas</w:t>
      </w:r>
      <w:r>
        <w:rPr>
          <w:spacing w:val="-4"/>
        </w:rPr>
        <w:t xml:space="preserve"> </w:t>
      </w:r>
      <w:r>
        <w:t>the</w:t>
      </w:r>
      <w:r>
        <w:rPr>
          <w:spacing w:val="-3"/>
        </w:rPr>
        <w:t xml:space="preserve"> </w:t>
      </w:r>
      <w:r>
        <w:t>new</w:t>
      </w:r>
      <w:r>
        <w:rPr>
          <w:spacing w:val="-4"/>
        </w:rPr>
        <w:t xml:space="preserve"> </w:t>
      </w:r>
      <w:r>
        <w:t>Waste</w:t>
      </w:r>
      <w:r>
        <w:rPr>
          <w:spacing w:val="-4"/>
        </w:rPr>
        <w:t xml:space="preserve"> </w:t>
      </w:r>
      <w:r>
        <w:t>Management</w:t>
      </w:r>
      <w:r>
        <w:rPr>
          <w:spacing w:val="-4"/>
        </w:rPr>
        <w:t xml:space="preserve"> </w:t>
      </w:r>
      <w:r>
        <w:t>Plan</w:t>
      </w:r>
      <w:r>
        <w:rPr>
          <w:spacing w:val="-4"/>
        </w:rPr>
        <w:t xml:space="preserve"> </w:t>
      </w:r>
      <w:r>
        <w:t>of</w:t>
      </w:r>
      <w:r>
        <w:rPr>
          <w:spacing w:val="-5"/>
        </w:rPr>
        <w:t xml:space="preserve"> </w:t>
      </w:r>
      <w:r>
        <w:t>the</w:t>
      </w:r>
      <w:r>
        <w:rPr>
          <w:spacing w:val="-4"/>
        </w:rPr>
        <w:t xml:space="preserve"> </w:t>
      </w:r>
      <w:r>
        <w:t>Republic</w:t>
      </w:r>
      <w:r>
        <w:rPr>
          <w:spacing w:val="-4"/>
        </w:rPr>
        <w:t xml:space="preserve"> </w:t>
      </w:r>
      <w:r>
        <w:t>of</w:t>
      </w:r>
      <w:r>
        <w:rPr>
          <w:spacing w:val="-58"/>
        </w:rPr>
        <w:t xml:space="preserve"> </w:t>
      </w:r>
      <w:r>
        <w:t>Croatia for the Next Planned Period of 2022-2028 will be completely based on goals leading</w:t>
      </w:r>
      <w:r>
        <w:rPr>
          <w:spacing w:val="1"/>
        </w:rPr>
        <w:t xml:space="preserve"> </w:t>
      </w:r>
      <w:r>
        <w:t>up to 2035.</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96852754"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763289312" name="Rectangle 296"/>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D64CD46" id="Group 295"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P8uNFNQAgAADwUAAA4AAAAAAAAAAAAAAAAALgIAAGRycy9lMm9Eb2MueG1sUEsBAi0AFAAGAAgA&#10;AAAhAOjoSp3cAAAAAwEAAA8AAAAAAAAAAAAAAAAAqgQAAGRycy9kb3ducmV2LnhtbFBLBQYAAAAA&#10;BAAEAPMAAACzBQAAAAA=&#10;">
                <v:rect id="Rectangle 296"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" fillcolor="#2c398a" stroked="f"/>
                <w10:anchorlock/>
              </v:group>
            </w:pict>
          </mc:Fallback>
        </mc:AlternateContent>
      </w:r>
    </w:p>
    <w:p w:rsidR="00A56FE9" w:rsidRDefault="00000000">
      <w:pPr>
        <w:pStyle w:val="Tijeloteksta"/>
        <w:spacing w:before="154"/>
        <w:ind w:right="268"/>
      </w:pPr>
      <w:r>
        <w:t>The</w:t>
      </w:r>
      <w:r>
        <w:rPr>
          <w:spacing w:val="1"/>
        </w:rPr>
        <w:t xml:space="preserve"> </w:t>
      </w:r>
      <w:r>
        <w:t>NRRP</w:t>
      </w:r>
      <w:r>
        <w:rPr>
          <w:spacing w:val="1"/>
        </w:rPr>
        <w:t xml:space="preserve"> </w:t>
      </w:r>
      <w:r>
        <w:t>envisages</w:t>
      </w:r>
      <w:r>
        <w:rPr>
          <w:spacing w:val="1"/>
        </w:rPr>
        <w:t xml:space="preserve"> </w:t>
      </w:r>
      <w:r>
        <w:t>implementation</w:t>
      </w:r>
      <w:r>
        <w:rPr>
          <w:spacing w:val="1"/>
        </w:rPr>
        <w:t xml:space="preserve"> </w:t>
      </w:r>
      <w:r>
        <w:t>of</w:t>
      </w:r>
      <w:r>
        <w:rPr>
          <w:spacing w:val="1"/>
        </w:rPr>
        <w:t xml:space="preserve"> </w:t>
      </w:r>
      <w:r>
        <w:t>C1.3.</w:t>
      </w:r>
      <w:r>
        <w:rPr>
          <w:spacing w:val="1"/>
        </w:rPr>
        <w:t xml:space="preserve"> </w:t>
      </w:r>
      <w:r>
        <w:t>R2</w:t>
      </w:r>
      <w:r>
        <w:rPr>
          <w:spacing w:val="1"/>
        </w:rPr>
        <w:t xml:space="preserve"> </w:t>
      </w:r>
      <w:r>
        <w:t>Implementation</w:t>
      </w:r>
      <w:r>
        <w:rPr>
          <w:spacing w:val="1"/>
        </w:rPr>
        <w:t xml:space="preserve"> </w:t>
      </w:r>
      <w:r>
        <w:t>of</w:t>
      </w:r>
      <w:r>
        <w:rPr>
          <w:spacing w:val="1"/>
        </w:rPr>
        <w:t xml:space="preserve"> </w:t>
      </w:r>
      <w:r>
        <w:t>sustainable</w:t>
      </w:r>
      <w:r>
        <w:rPr>
          <w:spacing w:val="1"/>
        </w:rPr>
        <w:t xml:space="preserve"> </w:t>
      </w:r>
      <w:r>
        <w:t>waste</w:t>
      </w:r>
      <w:r>
        <w:rPr>
          <w:spacing w:val="1"/>
        </w:rPr>
        <w:t xml:space="preserve"> </w:t>
      </w:r>
      <w:r>
        <w:t>management</w:t>
      </w:r>
      <w:r>
        <w:rPr>
          <w:spacing w:val="-1"/>
        </w:rPr>
        <w:t xml:space="preserve"> </w:t>
      </w:r>
      <w:r>
        <w:t>which</w:t>
      </w:r>
      <w:r>
        <w:rPr>
          <w:spacing w:val="-3"/>
        </w:rPr>
        <w:t xml:space="preserve"> </w:t>
      </w:r>
      <w:r>
        <w:t>includes</w:t>
      </w:r>
      <w:r>
        <w:rPr>
          <w:spacing w:val="-3"/>
        </w:rPr>
        <w:t xml:space="preserve"> </w:t>
      </w:r>
      <w:r>
        <w:t>the</w:t>
      </w:r>
      <w:r>
        <w:rPr>
          <w:spacing w:val="-3"/>
        </w:rPr>
        <w:t xml:space="preserve"> </w:t>
      </w:r>
      <w:r>
        <w:t>implementation of</w:t>
      </w:r>
      <w:r>
        <w:rPr>
          <w:spacing w:val="-3"/>
        </w:rPr>
        <w:t xml:space="preserve"> </w:t>
      </w:r>
      <w:r>
        <w:t>the</w:t>
      </w:r>
      <w:r>
        <w:rPr>
          <w:spacing w:val="-3"/>
        </w:rPr>
        <w:t xml:space="preserve"> </w:t>
      </w:r>
      <w:r>
        <w:t>investment</w:t>
      </w:r>
      <w:r>
        <w:rPr>
          <w:spacing w:val="-2"/>
        </w:rPr>
        <w:t xml:space="preserve"> </w:t>
      </w:r>
      <w:r>
        <w:t>C1.3.</w:t>
      </w:r>
      <w:r>
        <w:rPr>
          <w:spacing w:val="-4"/>
        </w:rPr>
        <w:t xml:space="preserve"> </w:t>
      </w:r>
      <w:r>
        <w:t>R2-I1</w:t>
      </w:r>
      <w:r>
        <w:rPr>
          <w:spacing w:val="-3"/>
        </w:rPr>
        <w:t xml:space="preserve"> </w:t>
      </w:r>
      <w:r>
        <w:t>Waste</w:t>
      </w:r>
      <w:r>
        <w:rPr>
          <w:spacing w:val="-3"/>
        </w:rPr>
        <w:t xml:space="preserve"> </w:t>
      </w:r>
      <w:r>
        <w:t>disposal</w:t>
      </w:r>
      <w:r>
        <w:rPr>
          <w:spacing w:val="-58"/>
        </w:rPr>
        <w:t xml:space="preserve"> </w:t>
      </w:r>
      <w:r>
        <w:t>reduction</w:t>
      </w:r>
      <w:r>
        <w:rPr>
          <w:spacing w:val="1"/>
        </w:rPr>
        <w:t xml:space="preserve"> </w:t>
      </w:r>
      <w:r>
        <w:t>program</w:t>
      </w:r>
      <w:r>
        <w:rPr>
          <w:spacing w:val="1"/>
        </w:rPr>
        <w:t xml:space="preserve"> </w:t>
      </w:r>
      <w:r>
        <w:t>and</w:t>
      </w:r>
      <w:r>
        <w:rPr>
          <w:spacing w:val="1"/>
        </w:rPr>
        <w:t xml:space="preserve"> </w:t>
      </w:r>
      <w:r>
        <w:t>C1.3.</w:t>
      </w:r>
      <w:r>
        <w:rPr>
          <w:spacing w:val="1"/>
        </w:rPr>
        <w:t xml:space="preserve"> </w:t>
      </w:r>
      <w:r>
        <w:t>R2-I2</w:t>
      </w:r>
      <w:r>
        <w:rPr>
          <w:spacing w:val="1"/>
        </w:rPr>
        <w:t xml:space="preserve"> </w:t>
      </w:r>
      <w:r>
        <w:t>Remediation</w:t>
      </w:r>
      <w:r>
        <w:rPr>
          <w:spacing w:val="1"/>
        </w:rPr>
        <w:t xml:space="preserve"> </w:t>
      </w:r>
      <w:r>
        <w:t>program</w:t>
      </w:r>
      <w:r>
        <w:rPr>
          <w:spacing w:val="1"/>
        </w:rPr>
        <w:t xml:space="preserve"> </w:t>
      </w:r>
      <w:r>
        <w:t>for</w:t>
      </w:r>
      <w:r>
        <w:rPr>
          <w:spacing w:val="1"/>
        </w:rPr>
        <w:t xml:space="preserve"> </w:t>
      </w:r>
      <w:r>
        <w:t>closed</w:t>
      </w:r>
      <w:r>
        <w:rPr>
          <w:spacing w:val="1"/>
        </w:rPr>
        <w:t xml:space="preserve"> </w:t>
      </w:r>
      <w:r>
        <w:t>landfills</w:t>
      </w:r>
      <w:r>
        <w:rPr>
          <w:spacing w:val="1"/>
        </w:rPr>
        <w:t xml:space="preserve"> </w:t>
      </w:r>
      <w:r>
        <w:t>and</w:t>
      </w:r>
      <w:r>
        <w:rPr>
          <w:spacing w:val="1"/>
        </w:rPr>
        <w:t xml:space="preserve"> </w:t>
      </w:r>
      <w:r>
        <w:t>sites</w:t>
      </w:r>
      <w:r>
        <w:rPr>
          <w:spacing w:val="1"/>
        </w:rPr>
        <w:t xml:space="preserve"> </w:t>
      </w:r>
      <w:r>
        <w:t>contaminated with hazardous waste. The purpose of the Waste Disposal Reduction Program is</w:t>
      </w:r>
      <w:r>
        <w:rPr>
          <w:spacing w:val="-57"/>
        </w:rPr>
        <w:t xml:space="preserve"> </w:t>
      </w:r>
      <w:r>
        <w:t>a more efficient separate collection of municipal waste to reduce the generation of waste that</w:t>
      </w:r>
      <w:r>
        <w:rPr>
          <w:spacing w:val="1"/>
        </w:rPr>
        <w:t xml:space="preserve"> </w:t>
      </w:r>
      <w:r>
        <w:rPr>
          <w:spacing w:val="-1"/>
        </w:rPr>
        <w:t>needs</w:t>
      </w:r>
      <w:r>
        <w:rPr>
          <w:spacing w:val="-15"/>
        </w:rPr>
        <w:t xml:space="preserve"> </w:t>
      </w:r>
      <w:r>
        <w:rPr>
          <w:spacing w:val="-1"/>
        </w:rPr>
        <w:t>to</w:t>
      </w:r>
      <w:r>
        <w:rPr>
          <w:spacing w:val="-13"/>
        </w:rPr>
        <w:t xml:space="preserve"> </w:t>
      </w:r>
      <w:r>
        <w:rPr>
          <w:spacing w:val="-1"/>
        </w:rPr>
        <w:t>be</w:t>
      </w:r>
      <w:r>
        <w:rPr>
          <w:spacing w:val="-16"/>
        </w:rPr>
        <w:t xml:space="preserve"> </w:t>
      </w:r>
      <w:r>
        <w:rPr>
          <w:spacing w:val="-1"/>
        </w:rPr>
        <w:t>disposed</w:t>
      </w:r>
      <w:r>
        <w:rPr>
          <w:spacing w:val="-12"/>
        </w:rPr>
        <w:t xml:space="preserve"> </w:t>
      </w:r>
      <w:r>
        <w:t>of</w:t>
      </w:r>
      <w:r>
        <w:rPr>
          <w:spacing w:val="-13"/>
        </w:rPr>
        <w:t xml:space="preserve"> </w:t>
      </w:r>
      <w:r>
        <w:t>at</w:t>
      </w:r>
      <w:r>
        <w:rPr>
          <w:spacing w:val="-11"/>
        </w:rPr>
        <w:t xml:space="preserve"> </w:t>
      </w:r>
      <w:r>
        <w:t>landfills.</w:t>
      </w:r>
      <w:r>
        <w:rPr>
          <w:spacing w:val="-15"/>
        </w:rPr>
        <w:t xml:space="preserve"> </w:t>
      </w:r>
      <w:r>
        <w:t>Therefore,</w:t>
      </w:r>
      <w:r>
        <w:rPr>
          <w:spacing w:val="-12"/>
        </w:rPr>
        <w:t xml:space="preserve"> </w:t>
      </w:r>
      <w:r>
        <w:t>the</w:t>
      </w:r>
      <w:r>
        <w:rPr>
          <w:spacing w:val="-14"/>
        </w:rPr>
        <w:t xml:space="preserve"> </w:t>
      </w:r>
      <w:r>
        <w:t>program</w:t>
      </w:r>
      <w:r>
        <w:rPr>
          <w:spacing w:val="-14"/>
        </w:rPr>
        <w:t xml:space="preserve"> </w:t>
      </w:r>
      <w:r>
        <w:t>includes</w:t>
      </w:r>
      <w:r>
        <w:rPr>
          <w:spacing w:val="-14"/>
        </w:rPr>
        <w:t xml:space="preserve"> </w:t>
      </w:r>
      <w:r>
        <w:t>measures</w:t>
      </w:r>
      <w:r>
        <w:rPr>
          <w:spacing w:val="-15"/>
        </w:rPr>
        <w:t xml:space="preserve"> </w:t>
      </w:r>
      <w:r>
        <w:t>and</w:t>
      </w:r>
      <w:r>
        <w:rPr>
          <w:spacing w:val="-14"/>
        </w:rPr>
        <w:t xml:space="preserve"> </w:t>
      </w:r>
      <w:r>
        <w:t>infrastructure</w:t>
      </w:r>
      <w:r>
        <w:rPr>
          <w:spacing w:val="-58"/>
        </w:rPr>
        <w:t xml:space="preserve"> </w:t>
      </w:r>
      <w:r>
        <w:t>needed to reduce waste disposal, which includes the construction of facilities for sorting</w:t>
      </w:r>
      <w:r>
        <w:rPr>
          <w:spacing w:val="1"/>
        </w:rPr>
        <w:t xml:space="preserve"> </w:t>
      </w:r>
      <w:r>
        <w:t>separately collected municipal waste, construction of facilities for biological treatment of</w:t>
      </w:r>
      <w:r>
        <w:rPr>
          <w:spacing w:val="1"/>
        </w:rPr>
        <w:t xml:space="preserve"> </w:t>
      </w:r>
      <w:r>
        <w:t>separately collected biowaste, construction and equipping of recycling yards, and construction</w:t>
      </w:r>
      <w:r>
        <w:rPr>
          <w:spacing w:val="-57"/>
        </w:rPr>
        <w:t xml:space="preserve"> </w:t>
      </w:r>
      <w:r>
        <w:t>and</w:t>
      </w:r>
      <w:r>
        <w:rPr>
          <w:spacing w:val="-6"/>
        </w:rPr>
        <w:t xml:space="preserve"> </w:t>
      </w:r>
      <w:r>
        <w:t>equipping</w:t>
      </w:r>
      <w:r>
        <w:rPr>
          <w:spacing w:val="-9"/>
        </w:rPr>
        <w:t xml:space="preserve"> </w:t>
      </w:r>
      <w:r>
        <w:t>of</w:t>
      </w:r>
      <w:r>
        <w:rPr>
          <w:spacing w:val="-7"/>
        </w:rPr>
        <w:t xml:space="preserve"> </w:t>
      </w:r>
      <w:r>
        <w:t>recycling</w:t>
      </w:r>
      <w:r>
        <w:rPr>
          <w:spacing w:val="-4"/>
        </w:rPr>
        <w:t xml:space="preserve"> </w:t>
      </w:r>
      <w:r>
        <w:t>yards</w:t>
      </w:r>
      <w:r>
        <w:rPr>
          <w:spacing w:val="-7"/>
        </w:rPr>
        <w:t xml:space="preserve"> </w:t>
      </w:r>
      <w:r>
        <w:t>for</w:t>
      </w:r>
      <w:r>
        <w:rPr>
          <w:spacing w:val="-5"/>
        </w:rPr>
        <w:t xml:space="preserve"> </w:t>
      </w:r>
      <w:r>
        <w:t>construction</w:t>
      </w:r>
      <w:r>
        <w:rPr>
          <w:spacing w:val="-4"/>
        </w:rPr>
        <w:t xml:space="preserve"> </w:t>
      </w:r>
      <w:r>
        <w:t>waste.</w:t>
      </w:r>
      <w:r>
        <w:rPr>
          <w:spacing w:val="-3"/>
        </w:rPr>
        <w:t xml:space="preserve"> </w:t>
      </w:r>
      <w:r>
        <w:t>The</w:t>
      </w:r>
      <w:r>
        <w:rPr>
          <w:spacing w:val="-7"/>
        </w:rPr>
        <w:t xml:space="preserve"> </w:t>
      </w:r>
      <w:r>
        <w:t>publication</w:t>
      </w:r>
      <w:r>
        <w:rPr>
          <w:spacing w:val="-6"/>
        </w:rPr>
        <w:t xml:space="preserve"> </w:t>
      </w:r>
      <w:r>
        <w:t>of</w:t>
      </w:r>
      <w:r>
        <w:rPr>
          <w:spacing w:val="-7"/>
        </w:rPr>
        <w:t xml:space="preserve"> </w:t>
      </w:r>
      <w:r>
        <w:t>the</w:t>
      </w:r>
      <w:r>
        <w:rPr>
          <w:spacing w:val="-7"/>
        </w:rPr>
        <w:t xml:space="preserve"> </w:t>
      </w:r>
      <w:r>
        <w:t>Call</w:t>
      </w:r>
      <w:r>
        <w:rPr>
          <w:spacing w:val="-6"/>
        </w:rPr>
        <w:t xml:space="preserve"> </w:t>
      </w:r>
      <w:r>
        <w:t>for</w:t>
      </w:r>
      <w:r>
        <w:rPr>
          <w:spacing w:val="-6"/>
        </w:rPr>
        <w:t xml:space="preserve"> </w:t>
      </w:r>
      <w:r>
        <w:t>Project</w:t>
      </w:r>
      <w:r>
        <w:rPr>
          <w:spacing w:val="-58"/>
        </w:rPr>
        <w:t xml:space="preserve"> </w:t>
      </w:r>
      <w:r>
        <w:t>Proposals for Financing Measures and Infrastructure from the Waste Disposal Reduction</w:t>
      </w:r>
      <w:r>
        <w:rPr>
          <w:spacing w:val="1"/>
        </w:rPr>
        <w:t xml:space="preserve"> </w:t>
      </w:r>
      <w:r>
        <w:t>Program is scheduled for 2022. The implementation of this program means that the share of</w:t>
      </w:r>
      <w:r>
        <w:rPr>
          <w:spacing w:val="1"/>
        </w:rPr>
        <w:t xml:space="preserve"> </w:t>
      </w:r>
      <w:r>
        <w:t>municipal waste sent for disposal will be reduced to 30% by 2026. Also, the Program for</w:t>
      </w:r>
      <w:r>
        <w:rPr>
          <w:spacing w:val="1"/>
        </w:rPr>
        <w:t xml:space="preserve"> </w:t>
      </w:r>
      <w:r>
        <w:t>Rehabilitation</w:t>
      </w:r>
      <w:r>
        <w:rPr>
          <w:spacing w:val="-13"/>
        </w:rPr>
        <w:t xml:space="preserve"> </w:t>
      </w:r>
      <w:r>
        <w:t>of</w:t>
      </w:r>
      <w:r>
        <w:rPr>
          <w:spacing w:val="-14"/>
        </w:rPr>
        <w:t xml:space="preserve"> </w:t>
      </w:r>
      <w:r>
        <w:t>Closed</w:t>
      </w:r>
      <w:r>
        <w:rPr>
          <w:spacing w:val="-11"/>
        </w:rPr>
        <w:t xml:space="preserve"> </w:t>
      </w:r>
      <w:r>
        <w:t>Landfills</w:t>
      </w:r>
      <w:r>
        <w:rPr>
          <w:spacing w:val="-13"/>
        </w:rPr>
        <w:t xml:space="preserve"> </w:t>
      </w:r>
      <w:r>
        <w:t>and</w:t>
      </w:r>
      <w:r>
        <w:rPr>
          <w:spacing w:val="-13"/>
        </w:rPr>
        <w:t xml:space="preserve"> </w:t>
      </w:r>
      <w:r>
        <w:t>Sites</w:t>
      </w:r>
      <w:r>
        <w:rPr>
          <w:spacing w:val="-13"/>
        </w:rPr>
        <w:t xml:space="preserve"> </w:t>
      </w:r>
      <w:r>
        <w:t>Contaminated</w:t>
      </w:r>
      <w:r>
        <w:rPr>
          <w:spacing w:val="-14"/>
        </w:rPr>
        <w:t xml:space="preserve"> </w:t>
      </w:r>
      <w:r>
        <w:t>with</w:t>
      </w:r>
      <w:r>
        <w:rPr>
          <w:spacing w:val="-13"/>
        </w:rPr>
        <w:t xml:space="preserve"> </w:t>
      </w:r>
      <w:r>
        <w:t>Hazardous</w:t>
      </w:r>
      <w:r>
        <w:rPr>
          <w:spacing w:val="-9"/>
        </w:rPr>
        <w:t xml:space="preserve"> </w:t>
      </w:r>
      <w:r>
        <w:t>Waste</w:t>
      </w:r>
      <w:r>
        <w:rPr>
          <w:spacing w:val="-14"/>
        </w:rPr>
        <w:t xml:space="preserve"> </w:t>
      </w:r>
      <w:r>
        <w:t>envisages</w:t>
      </w:r>
      <w:r>
        <w:rPr>
          <w:spacing w:val="-13"/>
        </w:rPr>
        <w:t xml:space="preserve"> </w:t>
      </w:r>
      <w:r>
        <w:t>the</w:t>
      </w:r>
      <w:r>
        <w:rPr>
          <w:spacing w:val="-58"/>
        </w:rPr>
        <w:t xml:space="preserve"> </w:t>
      </w:r>
      <w:r>
        <w:t>financing</w:t>
      </w:r>
      <w:r>
        <w:rPr>
          <w:spacing w:val="-13"/>
        </w:rPr>
        <w:t xml:space="preserve"> </w:t>
      </w:r>
      <w:r>
        <w:t>of</w:t>
      </w:r>
      <w:r>
        <w:rPr>
          <w:spacing w:val="-11"/>
        </w:rPr>
        <w:t xml:space="preserve"> </w:t>
      </w:r>
      <w:r>
        <w:t>10</w:t>
      </w:r>
      <w:r>
        <w:rPr>
          <w:spacing w:val="-10"/>
        </w:rPr>
        <w:t xml:space="preserve"> </w:t>
      </w:r>
      <w:r>
        <w:t>closed</w:t>
      </w:r>
      <w:r>
        <w:rPr>
          <w:spacing w:val="-11"/>
        </w:rPr>
        <w:t xml:space="preserve"> </w:t>
      </w:r>
      <w:r>
        <w:t>landfills</w:t>
      </w:r>
      <w:r>
        <w:rPr>
          <w:spacing w:val="-9"/>
        </w:rPr>
        <w:t xml:space="preserve"> </w:t>
      </w:r>
      <w:r>
        <w:t>that</w:t>
      </w:r>
      <w:r>
        <w:rPr>
          <w:spacing w:val="-10"/>
        </w:rPr>
        <w:t xml:space="preserve"> </w:t>
      </w:r>
      <w:r>
        <w:t>are</w:t>
      </w:r>
      <w:r>
        <w:rPr>
          <w:spacing w:val="-13"/>
        </w:rPr>
        <w:t xml:space="preserve"> </w:t>
      </w:r>
      <w:r>
        <w:t>in</w:t>
      </w:r>
      <w:r>
        <w:rPr>
          <w:spacing w:val="-10"/>
        </w:rPr>
        <w:t xml:space="preserve"> </w:t>
      </w:r>
      <w:r>
        <w:t>the</w:t>
      </w:r>
      <w:r>
        <w:rPr>
          <w:spacing w:val="-11"/>
        </w:rPr>
        <w:t xml:space="preserve"> </w:t>
      </w:r>
      <w:r>
        <w:t>phase</w:t>
      </w:r>
      <w:r>
        <w:rPr>
          <w:spacing w:val="-10"/>
        </w:rPr>
        <w:t xml:space="preserve"> </w:t>
      </w:r>
      <w:r>
        <w:t>of</w:t>
      </w:r>
      <w:r>
        <w:rPr>
          <w:spacing w:val="-11"/>
        </w:rPr>
        <w:t xml:space="preserve"> </w:t>
      </w:r>
      <w:r>
        <w:t>obtaining</w:t>
      </w:r>
      <w:r>
        <w:rPr>
          <w:spacing w:val="-12"/>
        </w:rPr>
        <w:t xml:space="preserve"> </w:t>
      </w:r>
      <w:r>
        <w:t>construction</w:t>
      </w:r>
      <w:r>
        <w:rPr>
          <w:spacing w:val="-11"/>
        </w:rPr>
        <w:t xml:space="preserve"> </w:t>
      </w:r>
      <w:r>
        <w:t>permits</w:t>
      </w:r>
      <w:r>
        <w:rPr>
          <w:spacing w:val="-9"/>
        </w:rPr>
        <w:t xml:space="preserve"> </w:t>
      </w:r>
      <w:r>
        <w:t>and</w:t>
      </w:r>
      <w:r>
        <w:rPr>
          <w:spacing w:val="-10"/>
        </w:rPr>
        <w:t xml:space="preserve"> </w:t>
      </w:r>
      <w:r>
        <w:t>ready</w:t>
      </w:r>
      <w:r>
        <w:rPr>
          <w:spacing w:val="-58"/>
        </w:rPr>
        <w:t xml:space="preserve"> </w:t>
      </w:r>
      <w:r>
        <w:t>for remediation activities. The publication of the Call for Project Proposals for Financing the</w:t>
      </w:r>
      <w:r>
        <w:rPr>
          <w:spacing w:val="1"/>
        </w:rPr>
        <w:t xml:space="preserve"> </w:t>
      </w:r>
      <w:r>
        <w:t>Program for Rehabilitation of Closed Landfills and Sites Contaminated with Hazardous Waste</w:t>
      </w:r>
      <w:r>
        <w:rPr>
          <w:spacing w:val="-57"/>
        </w:rPr>
        <w:t xml:space="preserve"> </w:t>
      </w:r>
      <w:r>
        <w:t>is</w:t>
      </w:r>
      <w:r>
        <w:rPr>
          <w:spacing w:val="1"/>
        </w:rPr>
        <w:t xml:space="preserve"> </w:t>
      </w:r>
      <w:r>
        <w:t>also</w:t>
      </w:r>
      <w:r>
        <w:rPr>
          <w:spacing w:val="1"/>
        </w:rPr>
        <w:t xml:space="preserve"> </w:t>
      </w:r>
      <w:r>
        <w:t>scheduled</w:t>
      </w:r>
      <w:r>
        <w:rPr>
          <w:spacing w:val="1"/>
        </w:rPr>
        <w:t xml:space="preserve"> </w:t>
      </w:r>
      <w:r>
        <w:t>for</w:t>
      </w:r>
      <w:r>
        <w:rPr>
          <w:spacing w:val="1"/>
        </w:rPr>
        <w:t xml:space="preserve"> </w:t>
      </w:r>
      <w:r>
        <w:t>2022.</w:t>
      </w:r>
      <w:r>
        <w:rPr>
          <w:spacing w:val="1"/>
        </w:rPr>
        <w:t xml:space="preserve"> </w:t>
      </w:r>
      <w:r>
        <w:t>In</w:t>
      </w:r>
      <w:r>
        <w:rPr>
          <w:spacing w:val="1"/>
        </w:rPr>
        <w:t xml:space="preserve"> </w:t>
      </w:r>
      <w:r>
        <w:t>addition,</w:t>
      </w:r>
      <w:r>
        <w:rPr>
          <w:spacing w:val="1"/>
        </w:rPr>
        <w:t xml:space="preserve"> </w:t>
      </w:r>
      <w:r>
        <w:t>in</w:t>
      </w:r>
      <w:r>
        <w:rPr>
          <w:spacing w:val="1"/>
        </w:rPr>
        <w:t xml:space="preserve"> </w:t>
      </w:r>
      <w:r>
        <w:t>2022,</w:t>
      </w:r>
      <w:r>
        <w:rPr>
          <w:spacing w:val="1"/>
        </w:rPr>
        <w:t xml:space="preserve"> </w:t>
      </w:r>
      <w:r>
        <w:t>the</w:t>
      </w:r>
      <w:r>
        <w:rPr>
          <w:spacing w:val="1"/>
        </w:rPr>
        <w:t xml:space="preserve"> </w:t>
      </w:r>
      <w:r>
        <w:t>implementation</w:t>
      </w:r>
      <w:r>
        <w:rPr>
          <w:spacing w:val="1"/>
        </w:rPr>
        <w:t xml:space="preserve"> </w:t>
      </w:r>
      <w:r>
        <w:t>of</w:t>
      </w:r>
      <w:r>
        <w:rPr>
          <w:spacing w:val="1"/>
        </w:rPr>
        <w:t xml:space="preserve"> </w:t>
      </w:r>
      <w:r>
        <w:t>investments</w:t>
      </w:r>
      <w:r>
        <w:rPr>
          <w:spacing w:val="1"/>
        </w:rPr>
        <w:t xml:space="preserve"> </w:t>
      </w:r>
      <w:r>
        <w:t>in</w:t>
      </w:r>
      <w:r>
        <w:rPr>
          <w:spacing w:val="1"/>
        </w:rPr>
        <w:t xml:space="preserve"> </w:t>
      </w:r>
      <w:r>
        <w:rPr>
          <w:spacing w:val="-1"/>
        </w:rPr>
        <w:t>infrastructure</w:t>
      </w:r>
      <w:r>
        <w:rPr>
          <w:spacing w:val="-11"/>
        </w:rPr>
        <w:t xml:space="preserve"> </w:t>
      </w:r>
      <w:r>
        <w:t>for</w:t>
      </w:r>
      <w:r>
        <w:rPr>
          <w:spacing w:val="-11"/>
        </w:rPr>
        <w:t xml:space="preserve"> </w:t>
      </w:r>
      <w:r>
        <w:t>sustainable</w:t>
      </w:r>
      <w:r>
        <w:rPr>
          <w:spacing w:val="-10"/>
        </w:rPr>
        <w:t xml:space="preserve"> </w:t>
      </w:r>
      <w:r>
        <w:t>waste</w:t>
      </w:r>
      <w:r>
        <w:rPr>
          <w:spacing w:val="-10"/>
        </w:rPr>
        <w:t xml:space="preserve"> </w:t>
      </w:r>
      <w:r>
        <w:t>management</w:t>
      </w:r>
      <w:r>
        <w:rPr>
          <w:spacing w:val="-9"/>
        </w:rPr>
        <w:t xml:space="preserve"> </w:t>
      </w:r>
      <w:r>
        <w:t>financed</w:t>
      </w:r>
      <w:r>
        <w:rPr>
          <w:spacing w:val="-9"/>
        </w:rPr>
        <w:t xml:space="preserve"> </w:t>
      </w:r>
      <w:r>
        <w:t>by</w:t>
      </w:r>
      <w:r>
        <w:rPr>
          <w:spacing w:val="-17"/>
        </w:rPr>
        <w:t xml:space="preserve"> </w:t>
      </w:r>
      <w:r>
        <w:t>EU</w:t>
      </w:r>
      <w:r>
        <w:rPr>
          <w:spacing w:val="-10"/>
        </w:rPr>
        <w:t xml:space="preserve"> </w:t>
      </w:r>
      <w:r>
        <w:t>grants</w:t>
      </w:r>
      <w:r>
        <w:rPr>
          <w:spacing w:val="-8"/>
        </w:rPr>
        <w:t xml:space="preserve"> </w:t>
      </w:r>
      <w:r>
        <w:t>within</w:t>
      </w:r>
      <w:r>
        <w:rPr>
          <w:spacing w:val="-10"/>
        </w:rPr>
        <w:t xml:space="preserve"> </w:t>
      </w:r>
      <w:r>
        <w:t>the</w:t>
      </w:r>
      <w:r>
        <w:rPr>
          <w:spacing w:val="-10"/>
        </w:rPr>
        <w:t xml:space="preserve"> </w:t>
      </w:r>
      <w:r>
        <w:t>OPCC</w:t>
      </w:r>
      <w:r>
        <w:rPr>
          <w:spacing w:val="-9"/>
        </w:rPr>
        <w:t xml:space="preserve"> </w:t>
      </w:r>
      <w:r>
        <w:t>2014-</w:t>
      </w:r>
      <w:r>
        <w:rPr>
          <w:spacing w:val="-58"/>
        </w:rPr>
        <w:t xml:space="preserve"> </w:t>
      </w:r>
      <w:r>
        <w:t>2020</w:t>
      </w:r>
      <w:r>
        <w:rPr>
          <w:spacing w:val="-1"/>
        </w:rPr>
        <w:t xml:space="preserve"> </w:t>
      </w:r>
      <w:r>
        <w:t>will continue.</w:t>
      </w:r>
    </w:p>
    <w:p w:rsidR="00A56FE9" w:rsidRDefault="00A56FE9">
      <w:pPr>
        <w:pStyle w:val="Tijeloteksta"/>
        <w:spacing w:before="5"/>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780222854"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806609477" name="Rectangle 294"/>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ADBFDC8" id="Group 293"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">
                <v:rect id="Rectangle 294"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6"/>
      </w:pPr>
      <w:r>
        <w:t>Implementing regulatory measures and achieving the goals established in the new Waste</w:t>
      </w:r>
      <w:r>
        <w:rPr>
          <w:spacing w:val="1"/>
        </w:rPr>
        <w:t xml:space="preserve"> </w:t>
      </w:r>
      <w:r>
        <w:t>Management Act and the Waste Management Plan of the Republic of Croatia 2017-2022</w:t>
      </w:r>
      <w:r>
        <w:rPr>
          <w:spacing w:val="1"/>
        </w:rPr>
        <w:t xml:space="preserve"> </w:t>
      </w:r>
      <w:r>
        <w:t>requires</w:t>
      </w:r>
      <w:r>
        <w:rPr>
          <w:spacing w:val="-2"/>
        </w:rPr>
        <w:t xml:space="preserve"> </w:t>
      </w:r>
      <w:r>
        <w:t>additional</w:t>
      </w:r>
      <w:r>
        <w:rPr>
          <w:spacing w:val="-4"/>
        </w:rPr>
        <w:t xml:space="preserve"> </w:t>
      </w:r>
      <w:r>
        <w:t>infrastructure</w:t>
      </w:r>
      <w:r>
        <w:rPr>
          <w:spacing w:val="-3"/>
        </w:rPr>
        <w:t xml:space="preserve"> </w:t>
      </w:r>
      <w:r>
        <w:t>for</w:t>
      </w:r>
      <w:r>
        <w:rPr>
          <w:spacing w:val="-5"/>
        </w:rPr>
        <w:t xml:space="preserve"> </w:t>
      </w:r>
      <w:r>
        <w:t>the</w:t>
      </w:r>
      <w:r>
        <w:rPr>
          <w:spacing w:val="-2"/>
        </w:rPr>
        <w:t xml:space="preserve"> </w:t>
      </w:r>
      <w:r>
        <w:t>separate</w:t>
      </w:r>
      <w:r>
        <w:rPr>
          <w:spacing w:val="-1"/>
        </w:rPr>
        <w:t xml:space="preserve"> </w:t>
      </w:r>
      <w:r>
        <w:t>collection,</w:t>
      </w:r>
      <w:r>
        <w:rPr>
          <w:spacing w:val="-4"/>
        </w:rPr>
        <w:t xml:space="preserve"> </w:t>
      </w:r>
      <w:r>
        <w:t>sorting</w:t>
      </w:r>
      <w:r>
        <w:rPr>
          <w:spacing w:val="-3"/>
        </w:rPr>
        <w:t xml:space="preserve"> </w:t>
      </w:r>
      <w:r>
        <w:t>and</w:t>
      </w:r>
      <w:r>
        <w:rPr>
          <w:spacing w:val="-4"/>
        </w:rPr>
        <w:t xml:space="preserve"> </w:t>
      </w:r>
      <w:r>
        <w:t>recovery</w:t>
      </w:r>
      <w:r>
        <w:rPr>
          <w:spacing w:val="-9"/>
        </w:rPr>
        <w:t xml:space="preserve"> </w:t>
      </w:r>
      <w:r>
        <w:t>of</w:t>
      </w:r>
      <w:r>
        <w:rPr>
          <w:spacing w:val="-2"/>
        </w:rPr>
        <w:t xml:space="preserve"> </w:t>
      </w:r>
      <w:r>
        <w:t>recyclable</w:t>
      </w:r>
    </w:p>
    <w:p w:rsidR="00A56FE9" w:rsidRDefault="00CC1B9B">
      <w:pPr>
        <w:pStyle w:val="Tijeloteksta"/>
        <w:ind w:left="0"/>
        <w:jc w:val="left"/>
        <w:rPr>
          <w:sz w:val="29"/>
        </w:rPr>
      </w:pPr>
      <w:r>
        <w:rPr>
          <w:noProof/>
        </w:rPr>
        <mc:AlternateContent>
          <mc:Choice Requires="wps">
            <w:drawing>
              <wp:anchor distT="0" distB="0" distL="0" distR="0" simplePos="0" relativeHeight="487604736" behindDoc="1" locked="0" layoutInCell="1" allowOverlap="1">
                <wp:simplePos x="0" y="0"/>
                <wp:positionH relativeFrom="page">
                  <wp:posOffset>901065</wp:posOffset>
                </wp:positionH>
                <wp:positionV relativeFrom="paragraph">
                  <wp:posOffset>236855</wp:posOffset>
                </wp:positionV>
                <wp:extent cx="1828800" cy="7620"/>
                <wp:effectExtent l="0" t="0" r="0" b="0"/>
                <wp:wrapTopAndBottom/>
                <wp:docPr id="1876663094"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A5CA8C" id="Rectangle 292" o:spid="_x0000_s1026" style="position:absolute;margin-left:70.95pt;margin-top:18.65pt;width:2in;height:.6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" fillcolor="black" stroked="f">
                <w10:wrap type="topAndBottom" anchorx="page"/>
              </v:rect>
            </w:pict>
          </mc:Fallback>
        </mc:AlternateContent>
      </w:r>
    </w:p>
    <w:p w:rsidR="00A56FE9" w:rsidRDefault="00000000">
      <w:pPr>
        <w:spacing w:before="76"/>
        <w:ind w:left="138"/>
        <w:rPr>
          <w:sz w:val="16"/>
        </w:rPr>
      </w:pPr>
      <w:r>
        <w:rPr>
          <w:sz w:val="16"/>
          <w:vertAlign w:val="superscript"/>
        </w:rPr>
        <w:t>15</w:t>
      </w:r>
      <w:r>
        <w:rPr>
          <w:spacing w:val="-1"/>
          <w:sz w:val="16"/>
        </w:rPr>
        <w:t xml:space="preserve"> </w:t>
      </w:r>
      <w:r>
        <w:rPr>
          <w:sz w:val="16"/>
        </w:rPr>
        <w:t>OG</w:t>
      </w:r>
      <w:r>
        <w:rPr>
          <w:spacing w:val="-3"/>
          <w:sz w:val="16"/>
        </w:rPr>
        <w:t xml:space="preserve"> </w:t>
      </w:r>
      <w:r>
        <w:rPr>
          <w:sz w:val="16"/>
        </w:rPr>
        <w:t>3/19</w:t>
      </w:r>
      <w:r>
        <w:rPr>
          <w:spacing w:val="-2"/>
          <w:sz w:val="16"/>
        </w:rPr>
        <w:t xml:space="preserve"> </w:t>
      </w:r>
      <w:r>
        <w:rPr>
          <w:sz w:val="16"/>
        </w:rPr>
        <w:t>and</w:t>
      </w:r>
      <w:r>
        <w:rPr>
          <w:spacing w:val="-1"/>
          <w:sz w:val="16"/>
        </w:rPr>
        <w:t xml:space="preserve"> </w:t>
      </w:r>
      <w:r>
        <w:rPr>
          <w:sz w:val="16"/>
        </w:rPr>
        <w:t>17/19</w:t>
      </w:r>
    </w:p>
    <w:p w:rsidR="00A56FE9" w:rsidRDefault="00000000">
      <w:pPr>
        <w:spacing w:before="1" w:line="183" w:lineRule="exact"/>
        <w:ind w:left="138"/>
        <w:rPr>
          <w:sz w:val="16"/>
        </w:rPr>
      </w:pPr>
      <w:r>
        <w:rPr>
          <w:sz w:val="16"/>
          <w:vertAlign w:val="superscript"/>
        </w:rPr>
        <w:t>16</w:t>
      </w:r>
      <w:r>
        <w:rPr>
          <w:spacing w:val="-1"/>
          <w:sz w:val="16"/>
        </w:rPr>
        <w:t xml:space="preserve"> </w:t>
      </w:r>
      <w:r>
        <w:rPr>
          <w:sz w:val="16"/>
        </w:rPr>
        <w:t>OG</w:t>
      </w:r>
      <w:r>
        <w:rPr>
          <w:spacing w:val="-3"/>
          <w:sz w:val="16"/>
        </w:rPr>
        <w:t xml:space="preserve"> </w:t>
      </w:r>
      <w:r>
        <w:rPr>
          <w:sz w:val="16"/>
        </w:rPr>
        <w:t>84/21</w:t>
      </w:r>
    </w:p>
    <w:p w:rsidR="00A56FE9" w:rsidRDefault="00000000">
      <w:pPr>
        <w:spacing w:line="183" w:lineRule="exact"/>
        <w:ind w:left="138"/>
        <w:rPr>
          <w:sz w:val="16"/>
        </w:rPr>
      </w:pPr>
      <w:r>
        <w:rPr>
          <w:sz w:val="16"/>
          <w:vertAlign w:val="superscript"/>
        </w:rPr>
        <w:t>17</w:t>
      </w:r>
      <w:r>
        <w:rPr>
          <w:spacing w:val="-1"/>
          <w:sz w:val="16"/>
        </w:rPr>
        <w:t xml:space="preserve"> </w:t>
      </w:r>
      <w:r>
        <w:rPr>
          <w:sz w:val="16"/>
        </w:rPr>
        <w:t>OG</w:t>
      </w:r>
      <w:r>
        <w:rPr>
          <w:spacing w:val="-3"/>
          <w:sz w:val="16"/>
        </w:rPr>
        <w:t xml:space="preserve"> </w:t>
      </w:r>
      <w:r>
        <w:rPr>
          <w:sz w:val="16"/>
        </w:rPr>
        <w:t>3/17</w:t>
      </w:r>
      <w:r>
        <w:rPr>
          <w:spacing w:val="-2"/>
          <w:sz w:val="16"/>
        </w:rPr>
        <w:t xml:space="preserve"> </w:t>
      </w:r>
      <w:r>
        <w:rPr>
          <w:sz w:val="16"/>
        </w:rPr>
        <w:t>and</w:t>
      </w:r>
      <w:r>
        <w:rPr>
          <w:spacing w:val="-1"/>
          <w:sz w:val="16"/>
        </w:rPr>
        <w:t xml:space="preserve"> </w:t>
      </w:r>
      <w:r>
        <w:rPr>
          <w:sz w:val="16"/>
        </w:rPr>
        <w:t>1/22</w:t>
      </w:r>
    </w:p>
    <w:p w:rsidR="00A56FE9" w:rsidRDefault="00000000">
      <w:pPr>
        <w:spacing w:before="1"/>
        <w:ind w:left="138"/>
        <w:rPr>
          <w:sz w:val="16"/>
        </w:rPr>
      </w:pPr>
      <w:r>
        <w:rPr>
          <w:sz w:val="16"/>
          <w:vertAlign w:val="superscript"/>
        </w:rPr>
        <w:t>18</w:t>
      </w:r>
      <w:r>
        <w:rPr>
          <w:sz w:val="16"/>
        </w:rPr>
        <w:t xml:space="preserve"> OG</w:t>
      </w:r>
      <w:r>
        <w:rPr>
          <w:spacing w:val="-3"/>
          <w:sz w:val="16"/>
        </w:rPr>
        <w:t xml:space="preserve"> </w:t>
      </w:r>
      <w:r>
        <w:rPr>
          <w:sz w:val="16"/>
        </w:rPr>
        <w:t>1/21</w:t>
      </w:r>
    </w:p>
    <w:p w:rsidR="00A56FE9" w:rsidRDefault="00A56FE9">
      <w:pPr>
        <w:rPr>
          <w:sz w:val="16"/>
        </w:rPr>
        <w:sectPr w:rsidR="00A56FE9" w:rsidSect="00AB1E70">
          <w:pgSz w:w="11910" w:h="16840"/>
          <w:pgMar w:top="1160" w:right="1140" w:bottom="960" w:left="1280" w:header="0" w:footer="779" w:gutter="0"/>
          <w:cols w:space="720"/>
        </w:sectPr>
      </w:pPr>
    </w:p>
    <w:p w:rsidR="00A56FE9" w:rsidRDefault="00000000">
      <w:pPr>
        <w:pStyle w:val="Tijeloteksta"/>
        <w:spacing w:before="74"/>
        <w:ind w:right="272"/>
      </w:pPr>
      <w:r>
        <w:t>waste. Previous investments in infrastructure for separate collection of municipal waste have</w:t>
      </w:r>
      <w:r>
        <w:rPr>
          <w:spacing w:val="1"/>
        </w:rPr>
        <w:t xml:space="preserve"> </w:t>
      </w:r>
      <w:r>
        <w:t>resulted in a significant increase in the separation rate in the period from 2017 to 2019, which</w:t>
      </w:r>
      <w:r>
        <w:rPr>
          <w:spacing w:val="1"/>
        </w:rPr>
        <w:t xml:space="preserve"> </w:t>
      </w:r>
      <w:r>
        <w:rPr>
          <w:spacing w:val="-1"/>
        </w:rPr>
        <w:t>clearly</w:t>
      </w:r>
      <w:r>
        <w:rPr>
          <w:spacing w:val="-17"/>
        </w:rPr>
        <w:t xml:space="preserve"> </w:t>
      </w:r>
      <w:r>
        <w:rPr>
          <w:spacing w:val="-1"/>
        </w:rPr>
        <w:t>confirms</w:t>
      </w:r>
      <w:r>
        <w:rPr>
          <w:spacing w:val="-13"/>
        </w:rPr>
        <w:t xml:space="preserve"> </w:t>
      </w:r>
      <w:r>
        <w:t>the</w:t>
      </w:r>
      <w:r>
        <w:rPr>
          <w:spacing w:val="-16"/>
        </w:rPr>
        <w:t xml:space="preserve"> </w:t>
      </w:r>
      <w:r>
        <w:t>correlation</w:t>
      </w:r>
      <w:r>
        <w:rPr>
          <w:spacing w:val="-13"/>
        </w:rPr>
        <w:t xml:space="preserve"> </w:t>
      </w:r>
      <w:r>
        <w:t>between</w:t>
      </w:r>
      <w:r>
        <w:rPr>
          <w:spacing w:val="-13"/>
        </w:rPr>
        <w:t xml:space="preserve"> </w:t>
      </w:r>
      <w:r>
        <w:t>the</w:t>
      </w:r>
      <w:r>
        <w:rPr>
          <w:spacing w:val="-10"/>
        </w:rPr>
        <w:t xml:space="preserve"> </w:t>
      </w:r>
      <w:r>
        <w:t>respective</w:t>
      </w:r>
      <w:r>
        <w:rPr>
          <w:spacing w:val="-15"/>
        </w:rPr>
        <w:t xml:space="preserve"> </w:t>
      </w:r>
      <w:r>
        <w:t>investments</w:t>
      </w:r>
      <w:r>
        <w:rPr>
          <w:spacing w:val="-13"/>
        </w:rPr>
        <w:t xml:space="preserve"> </w:t>
      </w:r>
      <w:r>
        <w:t>and</w:t>
      </w:r>
      <w:r>
        <w:rPr>
          <w:spacing w:val="-12"/>
        </w:rPr>
        <w:t xml:space="preserve"> </w:t>
      </w:r>
      <w:r>
        <w:t>achieving</w:t>
      </w:r>
      <w:r>
        <w:rPr>
          <w:spacing w:val="-13"/>
        </w:rPr>
        <w:t xml:space="preserve"> </w:t>
      </w:r>
      <w:r>
        <w:t>the</w:t>
      </w:r>
      <w:r>
        <w:rPr>
          <w:spacing w:val="-15"/>
        </w:rPr>
        <w:t xml:space="preserve"> </w:t>
      </w:r>
      <w:r>
        <w:t>EU</w:t>
      </w:r>
      <w:r>
        <w:rPr>
          <w:spacing w:val="-12"/>
        </w:rPr>
        <w:t xml:space="preserve"> </w:t>
      </w:r>
      <w:r>
        <w:t>goals.</w:t>
      </w:r>
      <w:r>
        <w:rPr>
          <w:spacing w:val="-58"/>
        </w:rPr>
        <w:t xml:space="preserve"> </w:t>
      </w:r>
      <w:r>
        <w:t>In addition to funds from the NRRP, program documents are being prepared for the new</w:t>
      </w:r>
      <w:r>
        <w:rPr>
          <w:spacing w:val="1"/>
        </w:rPr>
        <w:t xml:space="preserve"> </w:t>
      </w:r>
      <w:r>
        <w:t>multiannual financial framework through the OPCC 2021-2027, which, within the policy</w:t>
      </w:r>
      <w:r>
        <w:rPr>
          <w:spacing w:val="1"/>
        </w:rPr>
        <w:t xml:space="preserve"> </w:t>
      </w:r>
      <w:r>
        <w:t>objective 2, specific objective 2.vi Promoting the Transition to a Circular Economy proposes</w:t>
      </w:r>
      <w:r>
        <w:rPr>
          <w:spacing w:val="1"/>
        </w:rPr>
        <w:t xml:space="preserve"> </w:t>
      </w:r>
      <w:r>
        <w:t>additional investments in infrastructure for sustainable waste management, necessary for the</w:t>
      </w:r>
      <w:r>
        <w:rPr>
          <w:spacing w:val="1"/>
        </w:rPr>
        <w:t xml:space="preserve"> </w:t>
      </w:r>
      <w:r>
        <w:t>transition to a circular economy, and investment for the transition of production processes of</w:t>
      </w:r>
      <w:r>
        <w:rPr>
          <w:spacing w:val="1"/>
        </w:rPr>
        <w:t xml:space="preserve"> </w:t>
      </w:r>
      <w:r>
        <w:t>entrepreneurs</w:t>
      </w:r>
      <w:r>
        <w:rPr>
          <w:spacing w:val="-2"/>
        </w:rPr>
        <w:t xml:space="preserve"> </w:t>
      </w:r>
      <w:r>
        <w:t>based on the</w:t>
      </w:r>
      <w:r>
        <w:rPr>
          <w:spacing w:val="-1"/>
        </w:rPr>
        <w:t xml:space="preserve"> </w:t>
      </w:r>
      <w:r>
        <w:t>principles of the circular economy.</w:t>
      </w:r>
    </w:p>
    <w:p w:rsidR="00A56FE9" w:rsidRDefault="00A56FE9">
      <w:pPr>
        <w:pStyle w:val="Tijeloteksta"/>
        <w:ind w:left="0"/>
        <w:jc w:val="left"/>
        <w:rPr>
          <w:sz w:val="26"/>
        </w:rPr>
      </w:pPr>
    </w:p>
    <w:p w:rsidR="00A56FE9" w:rsidRDefault="00000000">
      <w:pPr>
        <w:pStyle w:val="Naslov3"/>
        <w:ind w:left="366" w:hanging="228"/>
        <w:jc w:val="left"/>
      </w:pPr>
      <w:bookmarkStart w:id="7" w:name="_bookmark7"/>
      <w:bookmarkEnd w:id="7"/>
      <w:r>
        <w:rPr>
          <w:rFonts w:ascii="Times New Roman"/>
          <w:b/>
          <w:color w:val="2C398A"/>
        </w:rPr>
        <w:t>C1.4.</w:t>
      </w:r>
      <w:r>
        <w:rPr>
          <w:rFonts w:ascii="Times New Roman"/>
          <w:b/>
          <w:color w:val="2C398A"/>
          <w:spacing w:val="-2"/>
        </w:rPr>
        <w:t xml:space="preserve"> </w:t>
      </w:r>
      <w:r>
        <w:rPr>
          <w:color w:val="2C398A"/>
        </w:rPr>
        <w:t>Development</w:t>
      </w:r>
      <w:r>
        <w:rPr>
          <w:color w:val="2C398A"/>
          <w:spacing w:val="5"/>
        </w:rPr>
        <w:t xml:space="preserve"> </w:t>
      </w:r>
      <w:r>
        <w:rPr>
          <w:color w:val="2C398A"/>
        </w:rPr>
        <w:t>of</w:t>
      </w:r>
      <w:r>
        <w:rPr>
          <w:color w:val="2C398A"/>
          <w:spacing w:val="5"/>
        </w:rPr>
        <w:t xml:space="preserve"> </w:t>
      </w:r>
      <w:r>
        <w:rPr>
          <w:color w:val="2C398A"/>
        </w:rPr>
        <w:t>a</w:t>
      </w:r>
      <w:r>
        <w:rPr>
          <w:color w:val="2C398A"/>
          <w:spacing w:val="2"/>
        </w:rPr>
        <w:t xml:space="preserve"> </w:t>
      </w:r>
      <w:r>
        <w:rPr>
          <w:color w:val="2C398A"/>
        </w:rPr>
        <w:t>Competitive,</w:t>
      </w:r>
      <w:r>
        <w:rPr>
          <w:color w:val="2C398A"/>
          <w:spacing w:val="6"/>
        </w:rPr>
        <w:t xml:space="preserve"> </w:t>
      </w:r>
      <w:r>
        <w:rPr>
          <w:color w:val="2C398A"/>
        </w:rPr>
        <w:t>Energy</w:t>
      </w:r>
      <w:r>
        <w:rPr>
          <w:color w:val="2C398A"/>
          <w:spacing w:val="4"/>
        </w:rPr>
        <w:t xml:space="preserve"> </w:t>
      </w:r>
      <w:r>
        <w:rPr>
          <w:color w:val="2C398A"/>
        </w:rPr>
        <w:t>Sustainable</w:t>
      </w:r>
      <w:r>
        <w:rPr>
          <w:color w:val="2C398A"/>
          <w:spacing w:val="4"/>
        </w:rPr>
        <w:t xml:space="preserve"> </w:t>
      </w:r>
      <w:r>
        <w:rPr>
          <w:color w:val="2C398A"/>
        </w:rPr>
        <w:t>and</w:t>
      </w:r>
      <w:r>
        <w:rPr>
          <w:color w:val="2C398A"/>
          <w:spacing w:val="3"/>
        </w:rPr>
        <w:t xml:space="preserve"> </w:t>
      </w:r>
      <w:r>
        <w:rPr>
          <w:color w:val="2C398A"/>
        </w:rPr>
        <w:t>Efficient</w:t>
      </w:r>
      <w:r>
        <w:rPr>
          <w:color w:val="2C398A"/>
          <w:spacing w:val="4"/>
        </w:rPr>
        <w:t xml:space="preserve"> </w:t>
      </w:r>
      <w:r>
        <w:rPr>
          <w:color w:val="2C398A"/>
        </w:rPr>
        <w:t>Transport</w:t>
      </w:r>
      <w:r>
        <w:rPr>
          <w:color w:val="2C398A"/>
          <w:spacing w:val="-60"/>
        </w:rPr>
        <w:t xml:space="preserve"> </w:t>
      </w:r>
      <w:r>
        <w:rPr>
          <w:color w:val="2C398A"/>
        </w:rPr>
        <w:t>System</w:t>
      </w:r>
    </w:p>
    <w:p w:rsidR="00A56FE9" w:rsidRDefault="00A56FE9">
      <w:pPr>
        <w:pStyle w:val="Tijeloteksta"/>
        <w:spacing w:before="9"/>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47072" behindDoc="0" locked="0" layoutInCell="1" allowOverlap="1">
                <wp:simplePos x="0" y="0"/>
                <wp:positionH relativeFrom="page">
                  <wp:posOffset>814070</wp:posOffset>
                </wp:positionH>
                <wp:positionV relativeFrom="paragraph">
                  <wp:posOffset>-77470</wp:posOffset>
                </wp:positionV>
                <wp:extent cx="18415" cy="341630"/>
                <wp:effectExtent l="0" t="0" r="0" b="0"/>
                <wp:wrapNone/>
                <wp:docPr id="112613552"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16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C0033" id="Rectangle 291" o:spid="_x0000_s1026" style="position:absolute;margin-left:64.1pt;margin-top:-6.1pt;width:1.45pt;height:26.9pt;z-index:15747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" fillcolor="#da1f2c" stroked="f">
                <w10:wrap anchorx="page"/>
              </v:rect>
            </w:pict>
          </mc:Fallback>
        </mc:AlternateContent>
      </w:r>
      <w:r w:rsidR="00000000">
        <w:rPr>
          <w:color w:val="2C398A"/>
        </w:rPr>
        <w:t>Restructuring</w:t>
      </w:r>
      <w:r w:rsidR="00000000">
        <w:rPr>
          <w:color w:val="2C398A"/>
          <w:spacing w:val="-3"/>
        </w:rPr>
        <w:t xml:space="preserve"> </w:t>
      </w:r>
      <w:r w:rsidR="00000000">
        <w:rPr>
          <w:color w:val="2C398A"/>
        </w:rPr>
        <w:t>and</w:t>
      </w:r>
      <w:r w:rsidR="00000000">
        <w:rPr>
          <w:color w:val="2C398A"/>
          <w:spacing w:val="-3"/>
        </w:rPr>
        <w:t xml:space="preserve"> </w:t>
      </w:r>
      <w:r w:rsidR="00000000">
        <w:rPr>
          <w:color w:val="2C398A"/>
        </w:rPr>
        <w:t>construction</w:t>
      </w:r>
      <w:r w:rsidR="00000000">
        <w:rPr>
          <w:color w:val="2C398A"/>
          <w:spacing w:val="-2"/>
        </w:rPr>
        <w:t xml:space="preserve"> </w:t>
      </w:r>
      <w:r w:rsidR="00000000">
        <w:rPr>
          <w:color w:val="2C398A"/>
        </w:rPr>
        <w:t>of</w:t>
      </w:r>
      <w:r w:rsidR="00000000">
        <w:rPr>
          <w:color w:val="2C398A"/>
          <w:spacing w:val="-3"/>
        </w:rPr>
        <w:t xml:space="preserve"> </w:t>
      </w:r>
      <w:r w:rsidR="00000000">
        <w:rPr>
          <w:color w:val="2C398A"/>
        </w:rPr>
        <w:t>a</w:t>
      </w:r>
      <w:r w:rsidR="00000000">
        <w:rPr>
          <w:color w:val="2C398A"/>
          <w:spacing w:val="-2"/>
        </w:rPr>
        <w:t xml:space="preserve"> </w:t>
      </w:r>
      <w:r w:rsidR="00000000">
        <w:rPr>
          <w:color w:val="2C398A"/>
        </w:rPr>
        <w:t>sustainable</w:t>
      </w:r>
      <w:r w:rsidR="00000000">
        <w:rPr>
          <w:color w:val="2C398A"/>
          <w:spacing w:val="-3"/>
        </w:rPr>
        <w:t xml:space="preserve"> </w:t>
      </w:r>
      <w:r w:rsidR="00000000">
        <w:rPr>
          <w:color w:val="2C398A"/>
        </w:rPr>
        <w:t>transport</w:t>
      </w:r>
      <w:r w:rsidR="00000000">
        <w:rPr>
          <w:color w:val="2C398A"/>
          <w:spacing w:val="-1"/>
        </w:rPr>
        <w:t xml:space="preserve"> </w:t>
      </w:r>
      <w:r w:rsidR="00000000">
        <w:rPr>
          <w:color w:val="2C398A"/>
        </w:rPr>
        <w:t>sector</w:t>
      </w:r>
    </w:p>
    <w:p w:rsidR="00A56FE9" w:rsidRDefault="00000000">
      <w:pPr>
        <w:spacing w:before="231"/>
        <w:ind w:left="138" w:right="273"/>
        <w:jc w:val="both"/>
        <w:rPr>
          <w:i/>
          <w:sz w:val="24"/>
        </w:rPr>
      </w:pPr>
      <w:r>
        <w:rPr>
          <w:i/>
          <w:color w:val="2C398A"/>
          <w:sz w:val="24"/>
        </w:rPr>
        <w:t>2019.CSR3.1.</w:t>
      </w:r>
      <w:r>
        <w:rPr>
          <w:i/>
          <w:color w:val="2C398A"/>
          <w:spacing w:val="1"/>
          <w:sz w:val="24"/>
        </w:rPr>
        <w:t xml:space="preserve"> </w:t>
      </w:r>
      <w:r>
        <w:rPr>
          <w:i/>
          <w:color w:val="2C398A"/>
          <w:sz w:val="24"/>
        </w:rPr>
        <w:t>Focus</w:t>
      </w:r>
      <w:r>
        <w:rPr>
          <w:i/>
          <w:color w:val="2C398A"/>
          <w:spacing w:val="1"/>
          <w:sz w:val="24"/>
        </w:rPr>
        <w:t xml:space="preserve"> </w:t>
      </w:r>
      <w:r>
        <w:rPr>
          <w:i/>
          <w:color w:val="2C398A"/>
          <w:sz w:val="24"/>
        </w:rPr>
        <w:t>investment-related</w:t>
      </w:r>
      <w:r>
        <w:rPr>
          <w:i/>
          <w:color w:val="2C398A"/>
          <w:spacing w:val="1"/>
          <w:sz w:val="24"/>
        </w:rPr>
        <w:t xml:space="preserve"> </w:t>
      </w:r>
      <w:r>
        <w:rPr>
          <w:i/>
          <w:color w:val="2C398A"/>
          <w:sz w:val="24"/>
        </w:rPr>
        <w:t>economic</w:t>
      </w:r>
      <w:r>
        <w:rPr>
          <w:i/>
          <w:color w:val="2C398A"/>
          <w:spacing w:val="1"/>
          <w:sz w:val="24"/>
        </w:rPr>
        <w:t xml:space="preserve"> </w:t>
      </w:r>
      <w:r>
        <w:rPr>
          <w:i/>
          <w:color w:val="2C398A"/>
          <w:sz w:val="24"/>
        </w:rPr>
        <w:t>policy</w:t>
      </w:r>
      <w:r>
        <w:rPr>
          <w:i/>
          <w:color w:val="2C398A"/>
          <w:spacing w:val="1"/>
          <w:sz w:val="24"/>
        </w:rPr>
        <w:t xml:space="preserve"> </w:t>
      </w:r>
      <w:r>
        <w:rPr>
          <w:i/>
          <w:color w:val="2C398A"/>
          <w:sz w:val="24"/>
        </w:rPr>
        <w:t>on</w:t>
      </w:r>
      <w:r>
        <w:rPr>
          <w:i/>
          <w:color w:val="2C398A"/>
          <w:spacing w:val="1"/>
          <w:sz w:val="24"/>
        </w:rPr>
        <w:t xml:space="preserve"> </w:t>
      </w:r>
      <w:r>
        <w:rPr>
          <w:i/>
          <w:color w:val="2C398A"/>
          <w:sz w:val="24"/>
        </w:rPr>
        <w:t>research</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innovation,</w:t>
      </w:r>
      <w:r>
        <w:rPr>
          <w:i/>
          <w:color w:val="2C398A"/>
          <w:spacing w:val="1"/>
          <w:sz w:val="24"/>
        </w:rPr>
        <w:t xml:space="preserve"> </w:t>
      </w:r>
      <w:r>
        <w:rPr>
          <w:i/>
          <w:color w:val="2C398A"/>
          <w:sz w:val="24"/>
        </w:rPr>
        <w:t>sustainable urban and railway transport, energy efficiency, renewables and environmental</w:t>
      </w:r>
      <w:r>
        <w:rPr>
          <w:i/>
          <w:color w:val="2C398A"/>
          <w:spacing w:val="1"/>
          <w:sz w:val="24"/>
        </w:rPr>
        <w:t xml:space="preserve"> </w:t>
      </w:r>
      <w:r>
        <w:rPr>
          <w:i/>
          <w:color w:val="2C398A"/>
          <w:sz w:val="24"/>
        </w:rPr>
        <w:t>infrastructure,</w:t>
      </w:r>
      <w:r>
        <w:rPr>
          <w:i/>
          <w:color w:val="2C398A"/>
          <w:spacing w:val="1"/>
          <w:sz w:val="24"/>
        </w:rPr>
        <w:t xml:space="preserve"> </w:t>
      </w:r>
      <w:r>
        <w:rPr>
          <w:i/>
          <w:color w:val="2C398A"/>
          <w:sz w:val="24"/>
        </w:rPr>
        <w:t>taking</w:t>
      </w:r>
      <w:r>
        <w:rPr>
          <w:i/>
          <w:color w:val="2C398A"/>
          <w:spacing w:val="1"/>
          <w:sz w:val="24"/>
        </w:rPr>
        <w:t xml:space="preserve"> </w:t>
      </w:r>
      <w:r>
        <w:rPr>
          <w:i/>
          <w:color w:val="2C398A"/>
          <w:sz w:val="24"/>
        </w:rPr>
        <w:t>into</w:t>
      </w:r>
      <w:r>
        <w:rPr>
          <w:i/>
          <w:color w:val="2C398A"/>
          <w:spacing w:val="1"/>
          <w:sz w:val="24"/>
        </w:rPr>
        <w:t xml:space="preserve"> </w:t>
      </w:r>
      <w:r>
        <w:rPr>
          <w:i/>
          <w:color w:val="2C398A"/>
          <w:sz w:val="24"/>
        </w:rPr>
        <w:t>account</w:t>
      </w:r>
      <w:r>
        <w:rPr>
          <w:i/>
          <w:color w:val="2C398A"/>
          <w:spacing w:val="1"/>
          <w:sz w:val="24"/>
        </w:rPr>
        <w:t xml:space="preserve"> </w:t>
      </w:r>
      <w:r>
        <w:rPr>
          <w:i/>
          <w:color w:val="2C398A"/>
          <w:sz w:val="24"/>
        </w:rPr>
        <w:t>regional</w:t>
      </w:r>
      <w:r>
        <w:rPr>
          <w:i/>
          <w:color w:val="2C398A"/>
          <w:spacing w:val="1"/>
          <w:sz w:val="24"/>
        </w:rPr>
        <w:t xml:space="preserve"> </w:t>
      </w:r>
      <w:r>
        <w:rPr>
          <w:i/>
          <w:color w:val="2C398A"/>
          <w:sz w:val="24"/>
        </w:rPr>
        <w:t>disparities;</w:t>
      </w:r>
      <w:r>
        <w:rPr>
          <w:i/>
          <w:color w:val="2C398A"/>
          <w:spacing w:val="1"/>
          <w:sz w:val="24"/>
        </w:rPr>
        <w:t xml:space="preserve"> </w:t>
      </w:r>
      <w:r>
        <w:rPr>
          <w:i/>
          <w:color w:val="2C398A"/>
          <w:sz w:val="24"/>
        </w:rPr>
        <w:t>2020.CSR2.2.</w:t>
      </w:r>
      <w:r>
        <w:rPr>
          <w:i/>
          <w:color w:val="2C398A"/>
          <w:spacing w:val="1"/>
          <w:sz w:val="24"/>
        </w:rPr>
        <w:t xml:space="preserve"> </w:t>
      </w:r>
      <w:r>
        <w:rPr>
          <w:i/>
          <w:color w:val="2C398A"/>
          <w:sz w:val="24"/>
        </w:rPr>
        <w:t>Increase</w:t>
      </w:r>
      <w:r>
        <w:rPr>
          <w:i/>
          <w:color w:val="2C398A"/>
          <w:spacing w:val="1"/>
          <w:sz w:val="24"/>
        </w:rPr>
        <w:t xml:space="preserve"> </w:t>
      </w:r>
      <w:r>
        <w:rPr>
          <w:i/>
          <w:color w:val="2C398A"/>
          <w:sz w:val="24"/>
        </w:rPr>
        <w:t>access</w:t>
      </w:r>
      <w:r>
        <w:rPr>
          <w:i/>
          <w:color w:val="2C398A"/>
          <w:spacing w:val="1"/>
          <w:sz w:val="24"/>
        </w:rPr>
        <w:t xml:space="preserve"> </w:t>
      </w:r>
      <w:r>
        <w:rPr>
          <w:i/>
          <w:color w:val="2C398A"/>
          <w:sz w:val="24"/>
        </w:rPr>
        <w:t>to</w:t>
      </w:r>
      <w:r>
        <w:rPr>
          <w:i/>
          <w:color w:val="2C398A"/>
          <w:spacing w:val="-58"/>
          <w:sz w:val="24"/>
        </w:rPr>
        <w:t xml:space="preserve"> </w:t>
      </w:r>
      <w:r>
        <w:rPr>
          <w:i/>
          <w:color w:val="2C398A"/>
          <w:sz w:val="24"/>
        </w:rPr>
        <w:t>digital infrastructure and services; 2020CSR3.3. Focus investment on the green and digital</w:t>
      </w:r>
      <w:r>
        <w:rPr>
          <w:i/>
          <w:color w:val="2C398A"/>
          <w:spacing w:val="1"/>
          <w:sz w:val="24"/>
        </w:rPr>
        <w:t xml:space="preserve"> </w:t>
      </w:r>
      <w:r>
        <w:rPr>
          <w:i/>
          <w:color w:val="2C398A"/>
          <w:sz w:val="24"/>
        </w:rPr>
        <w:t>transition,</w:t>
      </w:r>
      <w:r>
        <w:rPr>
          <w:i/>
          <w:color w:val="2C398A"/>
          <w:spacing w:val="-4"/>
          <w:sz w:val="24"/>
        </w:rPr>
        <w:t xml:space="preserve"> </w:t>
      </w:r>
      <w:r>
        <w:rPr>
          <w:i/>
          <w:color w:val="2C398A"/>
          <w:sz w:val="24"/>
        </w:rPr>
        <w:t>in</w:t>
      </w:r>
      <w:r>
        <w:rPr>
          <w:i/>
          <w:color w:val="2C398A"/>
          <w:spacing w:val="-6"/>
          <w:sz w:val="24"/>
        </w:rPr>
        <w:t xml:space="preserve"> </w:t>
      </w:r>
      <w:r>
        <w:rPr>
          <w:i/>
          <w:color w:val="2C398A"/>
          <w:sz w:val="24"/>
        </w:rPr>
        <w:t>particular</w:t>
      </w:r>
      <w:r>
        <w:rPr>
          <w:i/>
          <w:color w:val="2C398A"/>
          <w:spacing w:val="-4"/>
          <w:sz w:val="24"/>
        </w:rPr>
        <w:t xml:space="preserve"> </w:t>
      </w:r>
      <w:r>
        <w:rPr>
          <w:i/>
          <w:color w:val="2C398A"/>
          <w:sz w:val="24"/>
        </w:rPr>
        <w:t>on</w:t>
      </w:r>
      <w:r>
        <w:rPr>
          <w:i/>
          <w:color w:val="2C398A"/>
          <w:spacing w:val="-4"/>
          <w:sz w:val="24"/>
        </w:rPr>
        <w:t xml:space="preserve"> </w:t>
      </w:r>
      <w:r>
        <w:rPr>
          <w:i/>
          <w:color w:val="2C398A"/>
          <w:sz w:val="24"/>
        </w:rPr>
        <w:t>environmental</w:t>
      </w:r>
      <w:r>
        <w:rPr>
          <w:i/>
          <w:color w:val="2C398A"/>
          <w:spacing w:val="-3"/>
          <w:sz w:val="24"/>
        </w:rPr>
        <w:t xml:space="preserve"> </w:t>
      </w:r>
      <w:r>
        <w:rPr>
          <w:i/>
          <w:color w:val="2C398A"/>
          <w:sz w:val="24"/>
        </w:rPr>
        <w:t>infrastructure,</w:t>
      </w:r>
      <w:r>
        <w:rPr>
          <w:i/>
          <w:color w:val="2C398A"/>
          <w:spacing w:val="-4"/>
          <w:sz w:val="24"/>
        </w:rPr>
        <w:t xml:space="preserve"> </w:t>
      </w:r>
      <w:r>
        <w:rPr>
          <w:i/>
          <w:color w:val="2C398A"/>
          <w:sz w:val="24"/>
        </w:rPr>
        <w:t>sustainable</w:t>
      </w:r>
      <w:r>
        <w:rPr>
          <w:i/>
          <w:color w:val="2C398A"/>
          <w:spacing w:val="-5"/>
          <w:sz w:val="24"/>
        </w:rPr>
        <w:t xml:space="preserve"> </w:t>
      </w:r>
      <w:r>
        <w:rPr>
          <w:i/>
          <w:color w:val="2C398A"/>
          <w:sz w:val="24"/>
        </w:rPr>
        <w:t>urban</w:t>
      </w:r>
      <w:r>
        <w:rPr>
          <w:i/>
          <w:color w:val="2C398A"/>
          <w:spacing w:val="-4"/>
          <w:sz w:val="24"/>
        </w:rPr>
        <w:t xml:space="preserve"> </w:t>
      </w:r>
      <w:r>
        <w:rPr>
          <w:i/>
          <w:color w:val="2C398A"/>
          <w:sz w:val="24"/>
        </w:rPr>
        <w:t>and</w:t>
      </w:r>
      <w:r>
        <w:rPr>
          <w:i/>
          <w:color w:val="2C398A"/>
          <w:spacing w:val="-4"/>
          <w:sz w:val="24"/>
        </w:rPr>
        <w:t xml:space="preserve"> </w:t>
      </w:r>
      <w:r>
        <w:rPr>
          <w:i/>
          <w:color w:val="2C398A"/>
          <w:sz w:val="24"/>
        </w:rPr>
        <w:t>rail</w:t>
      </w:r>
      <w:r>
        <w:rPr>
          <w:i/>
          <w:color w:val="2C398A"/>
          <w:spacing w:val="-4"/>
          <w:sz w:val="24"/>
        </w:rPr>
        <w:t xml:space="preserve"> </w:t>
      </w:r>
      <w:r>
        <w:rPr>
          <w:i/>
          <w:color w:val="2C398A"/>
          <w:sz w:val="24"/>
        </w:rPr>
        <w:t>transport,</w:t>
      </w:r>
      <w:r>
        <w:rPr>
          <w:i/>
          <w:color w:val="2C398A"/>
          <w:spacing w:val="-57"/>
          <w:sz w:val="24"/>
        </w:rPr>
        <w:t xml:space="preserve"> </w:t>
      </w:r>
      <w:r>
        <w:rPr>
          <w:i/>
          <w:color w:val="2C398A"/>
          <w:sz w:val="24"/>
        </w:rPr>
        <w:t>clean</w:t>
      </w:r>
      <w:r>
        <w:rPr>
          <w:i/>
          <w:color w:val="2C398A"/>
          <w:spacing w:val="-1"/>
          <w:sz w:val="24"/>
        </w:rPr>
        <w:t xml:space="preserve"> </w:t>
      </w:r>
      <w:r>
        <w:rPr>
          <w:i/>
          <w:color w:val="2C398A"/>
          <w:sz w:val="24"/>
        </w:rPr>
        <w:t>and efficient production and use</w:t>
      </w:r>
      <w:r>
        <w:rPr>
          <w:i/>
          <w:color w:val="2C398A"/>
          <w:spacing w:val="-1"/>
          <w:sz w:val="24"/>
        </w:rPr>
        <w:t xml:space="preserve"> </w:t>
      </w:r>
      <w:r>
        <w:rPr>
          <w:i/>
          <w:color w:val="2C398A"/>
          <w:sz w:val="24"/>
        </w:rPr>
        <w:t>of energy</w:t>
      </w:r>
      <w:r>
        <w:rPr>
          <w:i/>
          <w:color w:val="2C398A"/>
          <w:spacing w:val="-1"/>
          <w:sz w:val="24"/>
        </w:rPr>
        <w:t xml:space="preserve"> </w:t>
      </w:r>
      <w:r>
        <w:rPr>
          <w:i/>
          <w:color w:val="2C398A"/>
          <w:sz w:val="24"/>
        </w:rPr>
        <w:t>and high-speed broadband</w:t>
      </w:r>
    </w:p>
    <w:p w:rsidR="00A56FE9" w:rsidRDefault="00A56FE9">
      <w:pPr>
        <w:pStyle w:val="Tijeloteksta"/>
        <w:spacing w:before="4"/>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678729998"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746021297" name="Rectangle 290"/>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EDFBC46" id="Group 289"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">
                <v:rect id="Rectangle 290"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" fillcolor="#2c398a" stroked="f"/>
                <w10:anchorlock/>
              </v:group>
            </w:pict>
          </mc:Fallback>
        </mc:AlternateContent>
      </w:r>
    </w:p>
    <w:p w:rsidR="00A56FE9" w:rsidRDefault="00A56FE9">
      <w:pPr>
        <w:pStyle w:val="Tijeloteksta"/>
        <w:spacing w:before="11"/>
        <w:ind w:left="0"/>
        <w:jc w:val="left"/>
        <w:rPr>
          <w:b/>
          <w:sz w:val="12"/>
        </w:rPr>
      </w:pPr>
    </w:p>
    <w:p w:rsidR="00A56FE9" w:rsidRDefault="00000000">
      <w:pPr>
        <w:pStyle w:val="Naslov5"/>
        <w:spacing w:before="90"/>
      </w:pPr>
      <w:r>
        <w:rPr>
          <w:color w:val="2C398A"/>
        </w:rPr>
        <w:t>Road</w:t>
      </w:r>
      <w:r>
        <w:rPr>
          <w:color w:val="2C398A"/>
          <w:spacing w:val="-1"/>
        </w:rPr>
        <w:t xml:space="preserve"> </w:t>
      </w:r>
      <w:r>
        <w:rPr>
          <w:color w:val="2C398A"/>
        </w:rPr>
        <w:t>Transport</w:t>
      </w:r>
    </w:p>
    <w:p w:rsidR="00A56FE9" w:rsidRDefault="00000000">
      <w:pPr>
        <w:pStyle w:val="Tijeloteksta"/>
        <w:spacing w:before="117"/>
        <w:ind w:right="272"/>
      </w:pPr>
      <w:r>
        <w:t>The problem of insufficiently secured funds for replacing the vehicle fleet among providers of</w:t>
      </w:r>
      <w:r>
        <w:rPr>
          <w:spacing w:val="-57"/>
        </w:rPr>
        <w:t xml:space="preserve"> </w:t>
      </w:r>
      <w:r>
        <w:t>public city transport services is resolved by implementing the procedure for awarding grants.</w:t>
      </w:r>
      <w:r>
        <w:rPr>
          <w:spacing w:val="1"/>
        </w:rPr>
        <w:t xml:space="preserve"> </w:t>
      </w:r>
      <w:r>
        <w:t>The</w:t>
      </w:r>
      <w:r>
        <w:rPr>
          <w:spacing w:val="-10"/>
        </w:rPr>
        <w:t xml:space="preserve"> </w:t>
      </w:r>
      <w:r>
        <w:t>signing</w:t>
      </w:r>
      <w:r>
        <w:rPr>
          <w:spacing w:val="-11"/>
        </w:rPr>
        <w:t xml:space="preserve"> </w:t>
      </w:r>
      <w:r>
        <w:t>of</w:t>
      </w:r>
      <w:r>
        <w:rPr>
          <w:spacing w:val="-9"/>
        </w:rPr>
        <w:t xml:space="preserve"> </w:t>
      </w:r>
      <w:r>
        <w:t>Grant</w:t>
      </w:r>
      <w:r>
        <w:rPr>
          <w:spacing w:val="-8"/>
        </w:rPr>
        <w:t xml:space="preserve"> </w:t>
      </w:r>
      <w:r>
        <w:t>Agreements</w:t>
      </w:r>
      <w:r>
        <w:rPr>
          <w:spacing w:val="-8"/>
        </w:rPr>
        <w:t xml:space="preserve"> </w:t>
      </w:r>
      <w:r>
        <w:t>with</w:t>
      </w:r>
      <w:r>
        <w:rPr>
          <w:spacing w:val="-8"/>
        </w:rPr>
        <w:t xml:space="preserve"> </w:t>
      </w:r>
      <w:r>
        <w:t>eight</w:t>
      </w:r>
      <w:r>
        <w:rPr>
          <w:spacing w:val="-8"/>
        </w:rPr>
        <w:t xml:space="preserve"> </w:t>
      </w:r>
      <w:r>
        <w:t>public</w:t>
      </w:r>
      <w:r>
        <w:rPr>
          <w:spacing w:val="-10"/>
        </w:rPr>
        <w:t xml:space="preserve"> </w:t>
      </w:r>
      <w:r>
        <w:t>city</w:t>
      </w:r>
      <w:r>
        <w:rPr>
          <w:spacing w:val="-13"/>
        </w:rPr>
        <w:t xml:space="preserve"> </w:t>
      </w:r>
      <w:r>
        <w:t>transport</w:t>
      </w:r>
      <w:r>
        <w:rPr>
          <w:spacing w:val="-8"/>
        </w:rPr>
        <w:t xml:space="preserve"> </w:t>
      </w:r>
      <w:r>
        <w:t>companies</w:t>
      </w:r>
      <w:r>
        <w:rPr>
          <w:spacing w:val="-6"/>
        </w:rPr>
        <w:t xml:space="preserve"> </w:t>
      </w:r>
      <w:r>
        <w:t>has</w:t>
      </w:r>
      <w:r>
        <w:rPr>
          <w:spacing w:val="-8"/>
        </w:rPr>
        <w:t xml:space="preserve"> </w:t>
      </w:r>
      <w:r>
        <w:t>ensured</w:t>
      </w:r>
      <w:r>
        <w:rPr>
          <w:spacing w:val="-6"/>
        </w:rPr>
        <w:t xml:space="preserve"> </w:t>
      </w:r>
      <w:r>
        <w:t>grants</w:t>
      </w:r>
      <w:r>
        <w:rPr>
          <w:spacing w:val="-58"/>
        </w:rPr>
        <w:t xml:space="preserve"> </w:t>
      </w:r>
      <w:r>
        <w:t>totalling HRK 356.13 million for the purpose of renewing and replacing vehicle fleets owned</w:t>
      </w:r>
      <w:r>
        <w:rPr>
          <w:spacing w:val="1"/>
        </w:rPr>
        <w:t xml:space="preserve"> </w:t>
      </w:r>
      <w:r>
        <w:rPr>
          <w:spacing w:val="-1"/>
          <w:position w:val="2"/>
        </w:rPr>
        <w:t>by</w:t>
      </w:r>
      <w:r>
        <w:rPr>
          <w:spacing w:val="-15"/>
          <w:position w:val="2"/>
        </w:rPr>
        <w:t xml:space="preserve"> </w:t>
      </w:r>
      <w:r>
        <w:rPr>
          <w:spacing w:val="-1"/>
          <w:position w:val="2"/>
        </w:rPr>
        <w:t>transporters</w:t>
      </w:r>
      <w:r>
        <w:rPr>
          <w:spacing w:val="-8"/>
          <w:position w:val="2"/>
        </w:rPr>
        <w:t xml:space="preserve"> </w:t>
      </w:r>
      <w:r>
        <w:rPr>
          <w:position w:val="2"/>
        </w:rPr>
        <w:t>with</w:t>
      </w:r>
      <w:r>
        <w:rPr>
          <w:spacing w:val="-9"/>
          <w:position w:val="2"/>
        </w:rPr>
        <w:t xml:space="preserve"> </w:t>
      </w:r>
      <w:r>
        <w:rPr>
          <w:position w:val="2"/>
        </w:rPr>
        <w:t>vehicles</w:t>
      </w:r>
      <w:r>
        <w:rPr>
          <w:spacing w:val="-10"/>
          <w:position w:val="2"/>
        </w:rPr>
        <w:t xml:space="preserve"> </w:t>
      </w:r>
      <w:r>
        <w:rPr>
          <w:position w:val="2"/>
        </w:rPr>
        <w:t>incorporating</w:t>
      </w:r>
      <w:r>
        <w:rPr>
          <w:spacing w:val="-9"/>
          <w:position w:val="2"/>
        </w:rPr>
        <w:t xml:space="preserve"> </w:t>
      </w:r>
      <w:r>
        <w:rPr>
          <w:position w:val="2"/>
        </w:rPr>
        <w:t>higher</w:t>
      </w:r>
      <w:r>
        <w:rPr>
          <w:spacing w:val="-8"/>
          <w:position w:val="2"/>
        </w:rPr>
        <w:t xml:space="preserve"> </w:t>
      </w:r>
      <w:r>
        <w:rPr>
          <w:position w:val="2"/>
        </w:rPr>
        <w:t>ecological</w:t>
      </w:r>
      <w:r>
        <w:rPr>
          <w:spacing w:val="-9"/>
          <w:position w:val="2"/>
        </w:rPr>
        <w:t xml:space="preserve"> </w:t>
      </w:r>
      <w:r>
        <w:rPr>
          <w:position w:val="2"/>
        </w:rPr>
        <w:t>standards</w:t>
      </w:r>
      <w:r>
        <w:rPr>
          <w:spacing w:val="-11"/>
          <w:position w:val="2"/>
        </w:rPr>
        <w:t xml:space="preserve"> </w:t>
      </w:r>
      <w:r>
        <w:rPr>
          <w:position w:val="2"/>
        </w:rPr>
        <w:t>and</w:t>
      </w:r>
      <w:r>
        <w:rPr>
          <w:spacing w:val="-6"/>
          <w:position w:val="2"/>
        </w:rPr>
        <w:t xml:space="preserve"> </w:t>
      </w:r>
      <w:r>
        <w:rPr>
          <w:position w:val="2"/>
        </w:rPr>
        <w:t>low</w:t>
      </w:r>
      <w:r>
        <w:rPr>
          <w:spacing w:val="-9"/>
          <w:position w:val="2"/>
        </w:rPr>
        <w:t xml:space="preserve"> </w:t>
      </w:r>
      <w:r>
        <w:rPr>
          <w:position w:val="2"/>
        </w:rPr>
        <w:t>CO</w:t>
      </w:r>
      <w:r>
        <w:rPr>
          <w:sz w:val="16"/>
        </w:rPr>
        <w:t>2</w:t>
      </w:r>
      <w:r>
        <w:rPr>
          <w:spacing w:val="11"/>
          <w:sz w:val="16"/>
        </w:rPr>
        <w:t xml:space="preserve"> </w:t>
      </w:r>
      <w:r>
        <w:rPr>
          <w:position w:val="2"/>
        </w:rPr>
        <w:t>emissions.</w:t>
      </w:r>
      <w:r>
        <w:rPr>
          <w:spacing w:val="-57"/>
          <w:position w:val="2"/>
        </w:rPr>
        <w:t xml:space="preserve"> </w:t>
      </w:r>
      <w:r>
        <w:t>The grant beneficiaries have signed agreements for the secondary procurement of 212 new</w:t>
      </w:r>
      <w:r>
        <w:rPr>
          <w:spacing w:val="1"/>
        </w:rPr>
        <w:t xml:space="preserve"> </w:t>
      </w:r>
      <w:r>
        <w:t>vehicles,</w:t>
      </w:r>
      <w:r>
        <w:rPr>
          <w:spacing w:val="-1"/>
        </w:rPr>
        <w:t xml:space="preserve"> </w:t>
      </w:r>
      <w:r>
        <w:t>with deliveries</w:t>
      </w:r>
      <w:r>
        <w:rPr>
          <w:spacing w:val="2"/>
        </w:rPr>
        <w:t xml:space="preserve"> </w:t>
      </w:r>
      <w:r>
        <w:t>expected to take</w:t>
      </w:r>
      <w:r>
        <w:rPr>
          <w:spacing w:val="-2"/>
        </w:rPr>
        <w:t xml:space="preserve"> </w:t>
      </w:r>
      <w:r>
        <w:t>place</w:t>
      </w:r>
      <w:r>
        <w:rPr>
          <w:spacing w:val="1"/>
        </w:rPr>
        <w:t xml:space="preserve"> </w:t>
      </w:r>
      <w:r>
        <w:t>in 2022.</w:t>
      </w:r>
    </w:p>
    <w:p w:rsidR="00A56FE9" w:rsidRDefault="00000000">
      <w:pPr>
        <w:pStyle w:val="Tijeloteksta"/>
        <w:spacing w:before="118"/>
        <w:ind w:right="272"/>
      </w:pPr>
      <w:r>
        <w:t>Regarding the implementation of measure Restructuring and Construction of a Sustainable</w:t>
      </w:r>
      <w:r>
        <w:rPr>
          <w:spacing w:val="1"/>
        </w:rPr>
        <w:t xml:space="preserve"> </w:t>
      </w:r>
      <w:r>
        <w:t>Transport Sector, a number of activities were undertaken in 2021. Progress was achieved in</w:t>
      </w:r>
      <w:r>
        <w:rPr>
          <w:spacing w:val="1"/>
        </w:rPr>
        <w:t xml:space="preserve"> </w:t>
      </w:r>
      <w:r>
        <w:t>setting up a legislative framework for maintaining and charging motorway toll fees. The Act</w:t>
      </w:r>
      <w:r>
        <w:rPr>
          <w:spacing w:val="1"/>
        </w:rPr>
        <w:t xml:space="preserve"> </w:t>
      </w:r>
      <w:r>
        <w:t>on Amendments to the Roads Act came into force on 4 January 2022.</w:t>
      </w:r>
      <w:r>
        <w:rPr>
          <w:vertAlign w:val="superscript"/>
        </w:rPr>
        <w:t>19</w:t>
      </w:r>
      <w:r>
        <w:t xml:space="preserve"> Amendments to the</w:t>
      </w:r>
      <w:r>
        <w:rPr>
          <w:spacing w:val="1"/>
        </w:rPr>
        <w:t xml:space="preserve"> </w:t>
      </w:r>
      <w:r>
        <w:t>Roads Act were aligned to the Directive (EU) 2019/520 of the European Parliament and of the</w:t>
      </w:r>
      <w:r>
        <w:rPr>
          <w:spacing w:val="-57"/>
        </w:rPr>
        <w:t xml:space="preserve"> </w:t>
      </w:r>
      <w:r>
        <w:t>Council</w:t>
      </w:r>
      <w:r>
        <w:rPr>
          <w:spacing w:val="-10"/>
        </w:rPr>
        <w:t xml:space="preserve"> </w:t>
      </w:r>
      <w:r>
        <w:t>of</w:t>
      </w:r>
      <w:r>
        <w:rPr>
          <w:spacing w:val="-11"/>
        </w:rPr>
        <w:t xml:space="preserve"> </w:t>
      </w:r>
      <w:r>
        <w:t>19</w:t>
      </w:r>
      <w:r>
        <w:rPr>
          <w:spacing w:val="-11"/>
        </w:rPr>
        <w:t xml:space="preserve"> </w:t>
      </w:r>
      <w:r>
        <w:t>March</w:t>
      </w:r>
      <w:r>
        <w:rPr>
          <w:spacing w:val="-10"/>
        </w:rPr>
        <w:t xml:space="preserve"> </w:t>
      </w:r>
      <w:r>
        <w:t>2019</w:t>
      </w:r>
      <w:r>
        <w:rPr>
          <w:spacing w:val="-10"/>
        </w:rPr>
        <w:t xml:space="preserve"> </w:t>
      </w:r>
      <w:r>
        <w:t>on</w:t>
      </w:r>
      <w:r>
        <w:rPr>
          <w:spacing w:val="-11"/>
        </w:rPr>
        <w:t xml:space="preserve"> </w:t>
      </w:r>
      <w:r>
        <w:t>the</w:t>
      </w:r>
      <w:r>
        <w:rPr>
          <w:spacing w:val="-11"/>
        </w:rPr>
        <w:t xml:space="preserve"> </w:t>
      </w:r>
      <w:r>
        <w:t>interoperability</w:t>
      </w:r>
      <w:r>
        <w:rPr>
          <w:spacing w:val="-10"/>
        </w:rPr>
        <w:t xml:space="preserve"> </w:t>
      </w:r>
      <w:r>
        <w:t>of</w:t>
      </w:r>
      <w:r>
        <w:rPr>
          <w:spacing w:val="-9"/>
        </w:rPr>
        <w:t xml:space="preserve"> </w:t>
      </w:r>
      <w:r>
        <w:t>electronic</w:t>
      </w:r>
      <w:r>
        <w:rPr>
          <w:spacing w:val="-11"/>
        </w:rPr>
        <w:t xml:space="preserve"> </w:t>
      </w:r>
      <w:r>
        <w:t>road</w:t>
      </w:r>
      <w:r>
        <w:rPr>
          <w:spacing w:val="-10"/>
        </w:rPr>
        <w:t xml:space="preserve"> </w:t>
      </w:r>
      <w:r>
        <w:t>toll</w:t>
      </w:r>
      <w:r>
        <w:rPr>
          <w:spacing w:val="-11"/>
        </w:rPr>
        <w:t xml:space="preserve"> </w:t>
      </w:r>
      <w:r>
        <w:t>systems</w:t>
      </w:r>
      <w:r>
        <w:rPr>
          <w:spacing w:val="-10"/>
        </w:rPr>
        <w:t xml:space="preserve"> </w:t>
      </w:r>
      <w:r>
        <w:t>and</w:t>
      </w:r>
      <w:r>
        <w:rPr>
          <w:spacing w:val="-11"/>
        </w:rPr>
        <w:t xml:space="preserve"> </w:t>
      </w:r>
      <w:r>
        <w:t>facilitating</w:t>
      </w:r>
      <w:r>
        <w:rPr>
          <w:spacing w:val="-57"/>
        </w:rPr>
        <w:t xml:space="preserve"> </w:t>
      </w:r>
      <w:r>
        <w:t>cross-border</w:t>
      </w:r>
      <w:r>
        <w:rPr>
          <w:spacing w:val="-7"/>
        </w:rPr>
        <w:t xml:space="preserve"> </w:t>
      </w:r>
      <w:r>
        <w:t>exchange</w:t>
      </w:r>
      <w:r>
        <w:rPr>
          <w:spacing w:val="-9"/>
        </w:rPr>
        <w:t xml:space="preserve"> </w:t>
      </w:r>
      <w:r>
        <w:t>of</w:t>
      </w:r>
      <w:r>
        <w:rPr>
          <w:spacing w:val="-6"/>
        </w:rPr>
        <w:t xml:space="preserve"> </w:t>
      </w:r>
      <w:r>
        <w:t>information</w:t>
      </w:r>
      <w:r>
        <w:rPr>
          <w:spacing w:val="-7"/>
        </w:rPr>
        <w:t xml:space="preserve"> </w:t>
      </w:r>
      <w:r>
        <w:t>on</w:t>
      </w:r>
      <w:r>
        <w:rPr>
          <w:spacing w:val="-8"/>
        </w:rPr>
        <w:t xml:space="preserve"> </w:t>
      </w:r>
      <w:r>
        <w:t>the</w:t>
      </w:r>
      <w:r>
        <w:rPr>
          <w:spacing w:val="-9"/>
        </w:rPr>
        <w:t xml:space="preserve"> </w:t>
      </w:r>
      <w:r>
        <w:t>failure</w:t>
      </w:r>
      <w:r>
        <w:rPr>
          <w:spacing w:val="-10"/>
        </w:rPr>
        <w:t xml:space="preserve"> </w:t>
      </w:r>
      <w:r>
        <w:t>to</w:t>
      </w:r>
      <w:r>
        <w:rPr>
          <w:spacing w:val="-7"/>
        </w:rPr>
        <w:t xml:space="preserve"> </w:t>
      </w:r>
      <w:r>
        <w:t>pay</w:t>
      </w:r>
      <w:r>
        <w:rPr>
          <w:spacing w:val="-10"/>
        </w:rPr>
        <w:t xml:space="preserve"> </w:t>
      </w:r>
      <w:r>
        <w:t>road</w:t>
      </w:r>
      <w:r>
        <w:rPr>
          <w:spacing w:val="-6"/>
        </w:rPr>
        <w:t xml:space="preserve"> </w:t>
      </w:r>
      <w:r>
        <w:t>fees</w:t>
      </w:r>
      <w:r>
        <w:rPr>
          <w:spacing w:val="-7"/>
        </w:rPr>
        <w:t xml:space="preserve"> </w:t>
      </w:r>
      <w:r>
        <w:t>in</w:t>
      </w:r>
      <w:r>
        <w:rPr>
          <w:spacing w:val="-5"/>
        </w:rPr>
        <w:t xml:space="preserve"> </w:t>
      </w:r>
      <w:r>
        <w:t>the</w:t>
      </w:r>
      <w:r>
        <w:rPr>
          <w:spacing w:val="-6"/>
        </w:rPr>
        <w:t xml:space="preserve"> </w:t>
      </w:r>
      <w:r>
        <w:t>Union</w:t>
      </w:r>
      <w:r>
        <w:rPr>
          <w:spacing w:val="-9"/>
        </w:rPr>
        <w:t xml:space="preserve"> </w:t>
      </w:r>
      <w:r>
        <w:t>and</w:t>
      </w:r>
      <w:r>
        <w:rPr>
          <w:spacing w:val="-8"/>
        </w:rPr>
        <w:t xml:space="preserve"> </w:t>
      </w:r>
      <w:r>
        <w:t>Directive</w:t>
      </w:r>
      <w:r>
        <w:rPr>
          <w:spacing w:val="-57"/>
        </w:rPr>
        <w:t xml:space="preserve"> </w:t>
      </w:r>
      <w:r>
        <w:t>(EU) 2019/1936 of the European Parliament and of the Council of 23 October 2019 amending</w:t>
      </w:r>
      <w:r>
        <w:rPr>
          <w:spacing w:val="-57"/>
        </w:rPr>
        <w:t xml:space="preserve"> </w:t>
      </w:r>
      <w:r>
        <w:t>Directive</w:t>
      </w:r>
      <w:r>
        <w:rPr>
          <w:spacing w:val="-2"/>
        </w:rPr>
        <w:t xml:space="preserve"> </w:t>
      </w:r>
      <w:r>
        <w:t>2008/96/EC on</w:t>
      </w:r>
      <w:r>
        <w:rPr>
          <w:spacing w:val="1"/>
        </w:rPr>
        <w:t xml:space="preserve"> </w:t>
      </w:r>
      <w:r>
        <w:t>road infrastructure</w:t>
      </w:r>
      <w:r>
        <w:rPr>
          <w:spacing w:val="-2"/>
        </w:rPr>
        <w:t xml:space="preserve"> </w:t>
      </w:r>
      <w:r>
        <w:t>safety</w:t>
      </w:r>
      <w:r>
        <w:rPr>
          <w:spacing w:val="-3"/>
        </w:rPr>
        <w:t xml:space="preserve"> </w:t>
      </w:r>
      <w:r>
        <w:t>management.</w:t>
      </w:r>
    </w:p>
    <w:p w:rsidR="00A56FE9" w:rsidRDefault="00000000">
      <w:pPr>
        <w:pStyle w:val="Tijeloteksta"/>
        <w:spacing w:before="120"/>
        <w:ind w:right="275"/>
      </w:pPr>
      <w:r>
        <w:t>The technical framework for implementing road safety measures was improved. The National</w:t>
      </w:r>
      <w:r>
        <w:rPr>
          <w:spacing w:val="1"/>
        </w:rPr>
        <w:t xml:space="preserve"> </w:t>
      </w:r>
      <w:r>
        <w:rPr>
          <w:spacing w:val="-1"/>
        </w:rPr>
        <w:t>Road</w:t>
      </w:r>
      <w:r>
        <w:rPr>
          <w:spacing w:val="-15"/>
        </w:rPr>
        <w:t xml:space="preserve"> </w:t>
      </w:r>
      <w:r>
        <w:rPr>
          <w:spacing w:val="-1"/>
        </w:rPr>
        <w:t>Safety</w:t>
      </w:r>
      <w:r>
        <w:rPr>
          <w:spacing w:val="-20"/>
        </w:rPr>
        <w:t xml:space="preserve"> </w:t>
      </w:r>
      <w:r>
        <w:t>Plan</w:t>
      </w:r>
      <w:r>
        <w:rPr>
          <w:spacing w:val="-15"/>
        </w:rPr>
        <w:t xml:space="preserve"> </w:t>
      </w:r>
      <w:r>
        <w:t>of</w:t>
      </w:r>
      <w:r>
        <w:rPr>
          <w:spacing w:val="-15"/>
        </w:rPr>
        <w:t xml:space="preserve"> </w:t>
      </w:r>
      <w:r>
        <w:t>the</w:t>
      </w:r>
      <w:r>
        <w:rPr>
          <w:spacing w:val="-15"/>
        </w:rPr>
        <w:t xml:space="preserve"> </w:t>
      </w:r>
      <w:r>
        <w:t>Republic</w:t>
      </w:r>
      <w:r>
        <w:rPr>
          <w:spacing w:val="-16"/>
        </w:rPr>
        <w:t xml:space="preserve"> </w:t>
      </w:r>
      <w:r>
        <w:t>of</w:t>
      </w:r>
      <w:r>
        <w:rPr>
          <w:spacing w:val="-16"/>
        </w:rPr>
        <w:t xml:space="preserve"> </w:t>
      </w:r>
      <w:r>
        <w:t>Croatia</w:t>
      </w:r>
      <w:r>
        <w:rPr>
          <w:spacing w:val="-15"/>
        </w:rPr>
        <w:t xml:space="preserve"> </w:t>
      </w:r>
      <w:r>
        <w:t>for</w:t>
      </w:r>
      <w:r>
        <w:rPr>
          <w:spacing w:val="-16"/>
        </w:rPr>
        <w:t xml:space="preserve"> </w:t>
      </w:r>
      <w:r>
        <w:t>the</w:t>
      </w:r>
      <w:r>
        <w:rPr>
          <w:spacing w:val="-13"/>
        </w:rPr>
        <w:t xml:space="preserve"> </w:t>
      </w:r>
      <w:r>
        <w:t>2021-2030</w:t>
      </w:r>
      <w:r>
        <w:rPr>
          <w:spacing w:val="-14"/>
        </w:rPr>
        <w:t xml:space="preserve"> </w:t>
      </w:r>
      <w:r>
        <w:t>Period</w:t>
      </w:r>
      <w:r>
        <w:rPr>
          <w:spacing w:val="-15"/>
        </w:rPr>
        <w:t xml:space="preserve"> </w:t>
      </w:r>
      <w:r>
        <w:t>was</w:t>
      </w:r>
      <w:r>
        <w:rPr>
          <w:spacing w:val="-15"/>
        </w:rPr>
        <w:t xml:space="preserve"> </w:t>
      </w:r>
      <w:r>
        <w:t>adopted</w:t>
      </w:r>
      <w:r>
        <w:rPr>
          <w:spacing w:val="-15"/>
        </w:rPr>
        <w:t xml:space="preserve"> </w:t>
      </w:r>
      <w:r>
        <w:t>at</w:t>
      </w:r>
      <w:r>
        <w:rPr>
          <w:spacing w:val="-13"/>
        </w:rPr>
        <w:t xml:space="preserve"> </w:t>
      </w:r>
      <w:r>
        <w:t>the</w:t>
      </w:r>
      <w:r>
        <w:rPr>
          <w:spacing w:val="-15"/>
        </w:rPr>
        <w:t xml:space="preserve"> </w:t>
      </w:r>
      <w:r>
        <w:t>session</w:t>
      </w:r>
      <w:r>
        <w:rPr>
          <w:spacing w:val="-58"/>
        </w:rPr>
        <w:t xml:space="preserve"> </w:t>
      </w:r>
      <w:r>
        <w:t>of the Croatian Government on 29 July 2021 and came into force on the day it was passed. In</w:t>
      </w:r>
      <w:r>
        <w:rPr>
          <w:spacing w:val="1"/>
        </w:rPr>
        <w:t xml:space="preserve"> </w:t>
      </w:r>
      <w:r>
        <w:t>line</w:t>
      </w:r>
      <w:r>
        <w:rPr>
          <w:spacing w:val="24"/>
        </w:rPr>
        <w:t xml:space="preserve"> </w:t>
      </w:r>
      <w:r>
        <w:t>with</w:t>
      </w:r>
      <w:r>
        <w:rPr>
          <w:spacing w:val="25"/>
        </w:rPr>
        <w:t xml:space="preserve"> </w:t>
      </w:r>
      <w:r>
        <w:t>the</w:t>
      </w:r>
      <w:r>
        <w:rPr>
          <w:spacing w:val="24"/>
        </w:rPr>
        <w:t xml:space="preserve"> </w:t>
      </w:r>
      <w:r>
        <w:t>set</w:t>
      </w:r>
      <w:r>
        <w:rPr>
          <w:spacing w:val="25"/>
        </w:rPr>
        <w:t xml:space="preserve"> </w:t>
      </w:r>
      <w:r>
        <w:t>vision</w:t>
      </w:r>
      <w:r>
        <w:rPr>
          <w:spacing w:val="23"/>
        </w:rPr>
        <w:t xml:space="preserve"> </w:t>
      </w:r>
      <w:r>
        <w:t>and</w:t>
      </w:r>
      <w:r>
        <w:rPr>
          <w:spacing w:val="25"/>
        </w:rPr>
        <w:t xml:space="preserve"> </w:t>
      </w:r>
      <w:r>
        <w:t>defined</w:t>
      </w:r>
      <w:r>
        <w:rPr>
          <w:spacing w:val="25"/>
        </w:rPr>
        <w:t xml:space="preserve"> </w:t>
      </w:r>
      <w:r>
        <w:t>special</w:t>
      </w:r>
      <w:r>
        <w:rPr>
          <w:spacing w:val="27"/>
        </w:rPr>
        <w:t xml:space="preserve"> </w:t>
      </w:r>
      <w:r>
        <w:t>goal,</w:t>
      </w:r>
      <w:r>
        <w:rPr>
          <w:spacing w:val="25"/>
        </w:rPr>
        <w:t xml:space="preserve"> </w:t>
      </w:r>
      <w:r>
        <w:t>it</w:t>
      </w:r>
      <w:r>
        <w:rPr>
          <w:spacing w:val="26"/>
        </w:rPr>
        <w:t xml:space="preserve"> </w:t>
      </w:r>
      <w:r>
        <w:t>defined</w:t>
      </w:r>
      <w:r>
        <w:rPr>
          <w:spacing w:val="25"/>
        </w:rPr>
        <w:t xml:space="preserve"> </w:t>
      </w:r>
      <w:r>
        <w:t>expected</w:t>
      </w:r>
      <w:r>
        <w:rPr>
          <w:spacing w:val="24"/>
        </w:rPr>
        <w:t xml:space="preserve"> </w:t>
      </w:r>
      <w:r>
        <w:t>values</w:t>
      </w:r>
      <w:r>
        <w:rPr>
          <w:spacing w:val="25"/>
        </w:rPr>
        <w:t xml:space="preserve"> </w:t>
      </w:r>
      <w:r>
        <w:t>in</w:t>
      </w:r>
      <w:r>
        <w:rPr>
          <w:spacing w:val="25"/>
        </w:rPr>
        <w:t xml:space="preserve"> </w:t>
      </w:r>
      <w:r>
        <w:t>reducing</w:t>
      </w:r>
      <w:r>
        <w:rPr>
          <w:spacing w:val="23"/>
        </w:rPr>
        <w:t xml:space="preserve"> </w:t>
      </w:r>
      <w:r>
        <w:t>the</w:t>
      </w:r>
    </w:p>
    <w:p w:rsidR="00A56FE9" w:rsidRDefault="00A56FE9">
      <w:pPr>
        <w:sectPr w:rsidR="00A56FE9" w:rsidSect="00AB1E70">
          <w:footerReference w:type="default" r:id="rId9"/>
          <w:pgSz w:w="11910" w:h="16840"/>
          <w:pgMar w:top="1320" w:right="1140" w:bottom="1760" w:left="1280" w:header="0" w:footer="1566" w:gutter="0"/>
          <w:cols w:space="720"/>
        </w:sectPr>
      </w:pPr>
    </w:p>
    <w:p w:rsidR="00A56FE9" w:rsidRDefault="00000000">
      <w:pPr>
        <w:pStyle w:val="Tijeloteksta"/>
        <w:spacing w:before="74"/>
        <w:ind w:right="277"/>
      </w:pPr>
      <w:r>
        <w:t>number</w:t>
      </w:r>
      <w:r>
        <w:rPr>
          <w:spacing w:val="-7"/>
        </w:rPr>
        <w:t xml:space="preserve"> </w:t>
      </w:r>
      <w:r>
        <w:t>of</w:t>
      </w:r>
      <w:r>
        <w:rPr>
          <w:spacing w:val="-7"/>
        </w:rPr>
        <w:t xml:space="preserve"> </w:t>
      </w:r>
      <w:r>
        <w:t>persons</w:t>
      </w:r>
      <w:r>
        <w:rPr>
          <w:spacing w:val="-7"/>
        </w:rPr>
        <w:t xml:space="preserve"> </w:t>
      </w:r>
      <w:r>
        <w:t>killed</w:t>
      </w:r>
      <w:r>
        <w:rPr>
          <w:spacing w:val="-6"/>
        </w:rPr>
        <w:t xml:space="preserve"> </w:t>
      </w:r>
      <w:r>
        <w:t>in</w:t>
      </w:r>
      <w:r>
        <w:rPr>
          <w:spacing w:val="-6"/>
        </w:rPr>
        <w:t xml:space="preserve"> </w:t>
      </w:r>
      <w:r>
        <w:t>road</w:t>
      </w:r>
      <w:r>
        <w:rPr>
          <w:spacing w:val="-6"/>
        </w:rPr>
        <w:t xml:space="preserve"> </w:t>
      </w:r>
      <w:r>
        <w:t>accidents</w:t>
      </w:r>
      <w:r>
        <w:rPr>
          <w:spacing w:val="-5"/>
        </w:rPr>
        <w:t xml:space="preserve"> </w:t>
      </w:r>
      <w:r>
        <w:t>and</w:t>
      </w:r>
      <w:r>
        <w:rPr>
          <w:spacing w:val="-6"/>
        </w:rPr>
        <w:t xml:space="preserve"> </w:t>
      </w:r>
      <w:r>
        <w:t>serious</w:t>
      </w:r>
      <w:r>
        <w:rPr>
          <w:spacing w:val="-6"/>
        </w:rPr>
        <w:t xml:space="preserve"> </w:t>
      </w:r>
      <w:r>
        <w:t>road</w:t>
      </w:r>
      <w:r>
        <w:rPr>
          <w:spacing w:val="-5"/>
        </w:rPr>
        <w:t xml:space="preserve"> </w:t>
      </w:r>
      <w:r>
        <w:t>accidents</w:t>
      </w:r>
      <w:r>
        <w:rPr>
          <w:spacing w:val="-6"/>
        </w:rPr>
        <w:t xml:space="preserve"> </w:t>
      </w:r>
      <w:r>
        <w:t>by</w:t>
      </w:r>
      <w:r>
        <w:rPr>
          <w:spacing w:val="-11"/>
        </w:rPr>
        <w:t xml:space="preserve"> </w:t>
      </w:r>
      <w:r>
        <w:t>the</w:t>
      </w:r>
      <w:r>
        <w:rPr>
          <w:spacing w:val="-4"/>
        </w:rPr>
        <w:t xml:space="preserve"> </w:t>
      </w:r>
      <w:r>
        <w:t>end</w:t>
      </w:r>
      <w:r>
        <w:rPr>
          <w:spacing w:val="-6"/>
        </w:rPr>
        <w:t xml:space="preserve"> </w:t>
      </w:r>
      <w:r>
        <w:t>of</w:t>
      </w:r>
      <w:r>
        <w:rPr>
          <w:spacing w:val="-7"/>
        </w:rPr>
        <w:t xml:space="preserve"> </w:t>
      </w:r>
      <w:r>
        <w:t>the</w:t>
      </w:r>
      <w:r>
        <w:rPr>
          <w:spacing w:val="-6"/>
        </w:rPr>
        <w:t xml:space="preserve"> </w:t>
      </w:r>
      <w:r>
        <w:t>planned</w:t>
      </w:r>
      <w:r>
        <w:rPr>
          <w:spacing w:val="-58"/>
        </w:rPr>
        <w:t xml:space="preserve"> </w:t>
      </w:r>
      <w:r>
        <w:t>period</w:t>
      </w:r>
      <w:r>
        <w:rPr>
          <w:spacing w:val="-2"/>
        </w:rPr>
        <w:t xml:space="preserve"> </w:t>
      </w:r>
      <w:r>
        <w:t>and during</w:t>
      </w:r>
      <w:r>
        <w:rPr>
          <w:spacing w:val="-3"/>
        </w:rPr>
        <w:t xml:space="preserve"> </w:t>
      </w:r>
      <w:r>
        <w:t>the implementation of measures and activities.</w:t>
      </w:r>
    </w:p>
    <w:p w:rsidR="00A56FE9" w:rsidRDefault="00A56FE9">
      <w:pPr>
        <w:pStyle w:val="Tijeloteksta"/>
        <w:spacing w:before="4"/>
        <w:ind w:left="0"/>
        <w:jc w:val="left"/>
        <w:rPr>
          <w:sz w:val="21"/>
        </w:rPr>
      </w:pPr>
    </w:p>
    <w:p w:rsidR="00A56FE9" w:rsidRDefault="00000000">
      <w:pPr>
        <w:pStyle w:val="Naslov5"/>
      </w:pPr>
      <w:r>
        <w:rPr>
          <w:color w:val="2C398A"/>
        </w:rPr>
        <w:t>Railway</w:t>
      </w:r>
      <w:r>
        <w:rPr>
          <w:color w:val="2C398A"/>
          <w:spacing w:val="-1"/>
        </w:rPr>
        <w:t xml:space="preserve"> </w:t>
      </w:r>
      <w:r>
        <w:rPr>
          <w:color w:val="2C398A"/>
        </w:rPr>
        <w:t>transport</w:t>
      </w:r>
    </w:p>
    <w:p w:rsidR="00A56FE9" w:rsidRDefault="00000000">
      <w:pPr>
        <w:pStyle w:val="Tijeloteksta"/>
        <w:spacing w:before="115"/>
        <w:ind w:right="273"/>
      </w:pPr>
      <w:r>
        <w:t>Implementation</w:t>
      </w:r>
      <w:r>
        <w:rPr>
          <w:spacing w:val="-5"/>
        </w:rPr>
        <w:t xml:space="preserve"> </w:t>
      </w:r>
      <w:r>
        <w:t>of</w:t>
      </w:r>
      <w:r>
        <w:rPr>
          <w:spacing w:val="-5"/>
        </w:rPr>
        <w:t xml:space="preserve"> </w:t>
      </w:r>
      <w:r>
        <w:t>activities</w:t>
      </w:r>
      <w:r>
        <w:rPr>
          <w:spacing w:val="-4"/>
        </w:rPr>
        <w:t xml:space="preserve"> </w:t>
      </w:r>
      <w:r>
        <w:t>in</w:t>
      </w:r>
      <w:r>
        <w:rPr>
          <w:spacing w:val="-3"/>
        </w:rPr>
        <w:t xml:space="preserve"> </w:t>
      </w:r>
      <w:r>
        <w:t>sector-based</w:t>
      </w:r>
      <w:r>
        <w:rPr>
          <w:spacing w:val="-4"/>
        </w:rPr>
        <w:t xml:space="preserve"> </w:t>
      </w:r>
      <w:r>
        <w:t>strategic</w:t>
      </w:r>
      <w:r>
        <w:rPr>
          <w:spacing w:val="-1"/>
        </w:rPr>
        <w:t xml:space="preserve"> </w:t>
      </w:r>
      <w:r>
        <w:t>guidelines</w:t>
      </w:r>
      <w:r>
        <w:rPr>
          <w:spacing w:val="-5"/>
        </w:rPr>
        <w:t xml:space="preserve"> </w:t>
      </w:r>
      <w:r>
        <w:t>is</w:t>
      </w:r>
      <w:r>
        <w:rPr>
          <w:spacing w:val="-3"/>
        </w:rPr>
        <w:t xml:space="preserve"> </w:t>
      </w:r>
      <w:r>
        <w:t>currently</w:t>
      </w:r>
      <w:r>
        <w:rPr>
          <w:spacing w:val="-6"/>
        </w:rPr>
        <w:t xml:space="preserve"> </w:t>
      </w:r>
      <w:r>
        <w:t>in</w:t>
      </w:r>
      <w:r>
        <w:rPr>
          <w:spacing w:val="-3"/>
        </w:rPr>
        <w:t xml:space="preserve"> </w:t>
      </w:r>
      <w:r>
        <w:t>progress.</w:t>
      </w:r>
      <w:r>
        <w:rPr>
          <w:spacing w:val="-1"/>
        </w:rPr>
        <w:t xml:space="preserve"> </w:t>
      </w:r>
      <w:r>
        <w:t>It</w:t>
      </w:r>
      <w:r>
        <w:rPr>
          <w:spacing w:val="-3"/>
        </w:rPr>
        <w:t xml:space="preserve"> </w:t>
      </w:r>
      <w:r>
        <w:t>will</w:t>
      </w:r>
      <w:r>
        <w:rPr>
          <w:spacing w:val="-58"/>
        </w:rPr>
        <w:t xml:space="preserve"> </w:t>
      </w:r>
      <w:r>
        <w:t>open</w:t>
      </w:r>
      <w:r>
        <w:rPr>
          <w:spacing w:val="1"/>
        </w:rPr>
        <w:t xml:space="preserve"> </w:t>
      </w:r>
      <w:r>
        <w:t>another</w:t>
      </w:r>
      <w:r>
        <w:rPr>
          <w:spacing w:val="1"/>
        </w:rPr>
        <w:t xml:space="preserve"> </w:t>
      </w:r>
      <w:r>
        <w:t>investment</w:t>
      </w:r>
      <w:r>
        <w:rPr>
          <w:spacing w:val="1"/>
        </w:rPr>
        <w:t xml:space="preserve"> </w:t>
      </w:r>
      <w:r>
        <w:t>cycle</w:t>
      </w:r>
      <w:r>
        <w:rPr>
          <w:spacing w:val="1"/>
        </w:rPr>
        <w:t xml:space="preserve"> </w:t>
      </w:r>
      <w:r>
        <w:t>in</w:t>
      </w:r>
      <w:r>
        <w:rPr>
          <w:spacing w:val="1"/>
        </w:rPr>
        <w:t xml:space="preserve"> </w:t>
      </w:r>
      <w:r>
        <w:t>the</w:t>
      </w:r>
      <w:r>
        <w:rPr>
          <w:spacing w:val="1"/>
        </w:rPr>
        <w:t xml:space="preserve"> </w:t>
      </w:r>
      <w:r>
        <w:t>railway sector</w:t>
      </w:r>
      <w:r>
        <w:rPr>
          <w:spacing w:val="1"/>
        </w:rPr>
        <w:t xml:space="preserve"> </w:t>
      </w:r>
      <w:r>
        <w:t>and</w:t>
      </w:r>
      <w:r>
        <w:rPr>
          <w:spacing w:val="1"/>
        </w:rPr>
        <w:t xml:space="preserve"> </w:t>
      </w:r>
      <w:r>
        <w:t>define</w:t>
      </w:r>
      <w:r>
        <w:rPr>
          <w:spacing w:val="1"/>
        </w:rPr>
        <w:t xml:space="preserve"> </w:t>
      </w:r>
      <w:r>
        <w:t>requirements</w:t>
      </w:r>
      <w:r>
        <w:rPr>
          <w:spacing w:val="1"/>
        </w:rPr>
        <w:t xml:space="preserve"> </w:t>
      </w:r>
      <w:r>
        <w:t>for</w:t>
      </w:r>
      <w:r>
        <w:rPr>
          <w:spacing w:val="1"/>
        </w:rPr>
        <w:t xml:space="preserve"> </w:t>
      </w:r>
      <w:r>
        <w:t>further</w:t>
      </w:r>
      <w:r>
        <w:rPr>
          <w:spacing w:val="-57"/>
        </w:rPr>
        <w:t xml:space="preserve"> </w:t>
      </w:r>
      <w:r>
        <w:t>improvements</w:t>
      </w:r>
      <w:r>
        <w:rPr>
          <w:spacing w:val="-1"/>
        </w:rPr>
        <w:t xml:space="preserve"> </w:t>
      </w:r>
      <w:r>
        <w:t>in the railway</w:t>
      </w:r>
      <w:r>
        <w:rPr>
          <w:spacing w:val="-5"/>
        </w:rPr>
        <w:t xml:space="preserve"> </w:t>
      </w:r>
      <w:r>
        <w:t>services market.</w:t>
      </w:r>
    </w:p>
    <w:p w:rsidR="00A56FE9" w:rsidRDefault="00000000">
      <w:pPr>
        <w:pStyle w:val="Tijeloteksta"/>
        <w:spacing w:before="120"/>
        <w:ind w:right="271"/>
      </w:pPr>
      <w:r>
        <w:t>On 1 July 2021, the Croatian Government adopted the Decision on Accepting Modernisation</w:t>
      </w:r>
      <w:r>
        <w:rPr>
          <w:spacing w:val="1"/>
        </w:rPr>
        <w:t xml:space="preserve"> </w:t>
      </w:r>
      <w:r>
        <w:t>and Restructuring of the Railway Sector (so-called Sectoral Policy Letter). The fundamental</w:t>
      </w:r>
      <w:r>
        <w:rPr>
          <w:spacing w:val="1"/>
        </w:rPr>
        <w:t xml:space="preserve"> </w:t>
      </w:r>
      <w:r>
        <w:t>elements of reforms in the railway sector are defined, including the implementation plan for</w:t>
      </w:r>
      <w:r>
        <w:rPr>
          <w:spacing w:val="1"/>
        </w:rPr>
        <w:t xml:space="preserve"> </w:t>
      </w:r>
      <w:r>
        <w:t>measures and activities in reforming the railway sector. The Sectoral Policy Letter contains</w:t>
      </w:r>
      <w:r>
        <w:rPr>
          <w:spacing w:val="1"/>
        </w:rPr>
        <w:t xml:space="preserve"> </w:t>
      </w:r>
      <w:r>
        <w:t>long-term goals for the development of the railway sector, the main elements in reforming the</w:t>
      </w:r>
      <w:r>
        <w:rPr>
          <w:spacing w:val="1"/>
        </w:rPr>
        <w:t xml:space="preserve"> </w:t>
      </w:r>
      <w:r>
        <w:t>railway sector and the Implementation Plan for Measures and Activities in Reforming the</w:t>
      </w:r>
      <w:r>
        <w:rPr>
          <w:spacing w:val="1"/>
        </w:rPr>
        <w:t xml:space="preserve"> </w:t>
      </w:r>
      <w:r>
        <w:t>Railway Sector of the Republic of Croatia which contains all elements of the reform, activities</w:t>
      </w:r>
      <w:r>
        <w:rPr>
          <w:spacing w:val="-57"/>
        </w:rPr>
        <w:t xml:space="preserve"> </w:t>
      </w:r>
      <w:r>
        <w:t>for their implementation and anticipated implementation deadline. The Sectoral Policy Letter</w:t>
      </w:r>
      <w:r>
        <w:rPr>
          <w:spacing w:val="1"/>
        </w:rPr>
        <w:t xml:space="preserve"> </w:t>
      </w:r>
      <w:r>
        <w:t>for the railway sector provides a framework for the modernisation and restructuring of the</w:t>
      </w:r>
      <w:r>
        <w:rPr>
          <w:spacing w:val="1"/>
        </w:rPr>
        <w:t xml:space="preserve"> </w:t>
      </w:r>
      <w:r>
        <w:rPr>
          <w:spacing w:val="-1"/>
        </w:rPr>
        <w:t>railway</w:t>
      </w:r>
      <w:r>
        <w:rPr>
          <w:spacing w:val="-20"/>
        </w:rPr>
        <w:t xml:space="preserve"> </w:t>
      </w:r>
      <w:r>
        <w:t>sector</w:t>
      </w:r>
      <w:r>
        <w:rPr>
          <w:spacing w:val="-15"/>
        </w:rPr>
        <w:t xml:space="preserve"> </w:t>
      </w:r>
      <w:r>
        <w:t>in</w:t>
      </w:r>
      <w:r>
        <w:rPr>
          <w:spacing w:val="-13"/>
        </w:rPr>
        <w:t xml:space="preserve"> </w:t>
      </w:r>
      <w:r>
        <w:t>order</w:t>
      </w:r>
      <w:r>
        <w:rPr>
          <w:spacing w:val="-13"/>
        </w:rPr>
        <w:t xml:space="preserve"> </w:t>
      </w:r>
      <w:r>
        <w:t>to</w:t>
      </w:r>
      <w:r>
        <w:rPr>
          <w:spacing w:val="-12"/>
        </w:rPr>
        <w:t xml:space="preserve"> </w:t>
      </w:r>
      <w:r>
        <w:t>increase</w:t>
      </w:r>
      <w:r>
        <w:rPr>
          <w:spacing w:val="-15"/>
        </w:rPr>
        <w:t xml:space="preserve"> </w:t>
      </w:r>
      <w:r>
        <w:t>the</w:t>
      </w:r>
      <w:r>
        <w:rPr>
          <w:spacing w:val="-13"/>
        </w:rPr>
        <w:t xml:space="preserve"> </w:t>
      </w:r>
      <w:r>
        <w:t>competitiveness</w:t>
      </w:r>
      <w:r>
        <w:rPr>
          <w:spacing w:val="-13"/>
        </w:rPr>
        <w:t xml:space="preserve"> </w:t>
      </w:r>
      <w:r>
        <w:t>and</w:t>
      </w:r>
      <w:r>
        <w:rPr>
          <w:spacing w:val="-12"/>
        </w:rPr>
        <w:t xml:space="preserve"> </w:t>
      </w:r>
      <w:r>
        <w:t>efficiency</w:t>
      </w:r>
      <w:r>
        <w:rPr>
          <w:spacing w:val="-20"/>
        </w:rPr>
        <w:t xml:space="preserve"> </w:t>
      </w:r>
      <w:r>
        <w:t>of</w:t>
      </w:r>
      <w:r>
        <w:rPr>
          <w:spacing w:val="-12"/>
        </w:rPr>
        <w:t xml:space="preserve"> </w:t>
      </w:r>
      <w:r>
        <w:t>the</w:t>
      </w:r>
      <w:r>
        <w:rPr>
          <w:spacing w:val="-15"/>
        </w:rPr>
        <w:t xml:space="preserve"> </w:t>
      </w:r>
      <w:r>
        <w:t>railway</w:t>
      </w:r>
      <w:r>
        <w:rPr>
          <w:spacing w:val="-19"/>
        </w:rPr>
        <w:t xml:space="preserve"> </w:t>
      </w:r>
      <w:r>
        <w:t>sector</w:t>
      </w:r>
      <w:r>
        <w:rPr>
          <w:spacing w:val="-15"/>
        </w:rPr>
        <w:t xml:space="preserve"> </w:t>
      </w:r>
      <w:r>
        <w:t>while</w:t>
      </w:r>
      <w:r>
        <w:rPr>
          <w:spacing w:val="-58"/>
        </w:rPr>
        <w:t xml:space="preserve"> </w:t>
      </w:r>
      <w:r>
        <w:t>providing better services to users in passenger and cargo transport. Achieving these goals</w:t>
      </w:r>
      <w:r>
        <w:rPr>
          <w:spacing w:val="1"/>
        </w:rPr>
        <w:t xml:space="preserve"> </w:t>
      </w:r>
      <w:r>
        <w:t>presumes the following activities: improving the financial and operational efficiency of state-</w:t>
      </w:r>
      <w:r>
        <w:rPr>
          <w:spacing w:val="1"/>
        </w:rPr>
        <w:t xml:space="preserve"> </w:t>
      </w:r>
      <w:r>
        <w:t>owned</w:t>
      </w:r>
      <w:r>
        <w:rPr>
          <w:spacing w:val="-7"/>
        </w:rPr>
        <w:t xml:space="preserve"> </w:t>
      </w:r>
      <w:r>
        <w:t>railway</w:t>
      </w:r>
      <w:r>
        <w:rPr>
          <w:spacing w:val="-11"/>
        </w:rPr>
        <w:t xml:space="preserve"> </w:t>
      </w:r>
      <w:r>
        <w:t>companies,</w:t>
      </w:r>
      <w:r>
        <w:rPr>
          <w:spacing w:val="-6"/>
        </w:rPr>
        <w:t xml:space="preserve"> </w:t>
      </w:r>
      <w:r>
        <w:t>significant</w:t>
      </w:r>
      <w:r>
        <w:rPr>
          <w:spacing w:val="-6"/>
        </w:rPr>
        <w:t xml:space="preserve"> </w:t>
      </w:r>
      <w:r>
        <w:t>public</w:t>
      </w:r>
      <w:r>
        <w:rPr>
          <w:spacing w:val="-7"/>
        </w:rPr>
        <w:t xml:space="preserve"> </w:t>
      </w:r>
      <w:r>
        <w:t>investments</w:t>
      </w:r>
      <w:r>
        <w:rPr>
          <w:spacing w:val="-6"/>
        </w:rPr>
        <w:t xml:space="preserve"> </w:t>
      </w:r>
      <w:r>
        <w:t>in</w:t>
      </w:r>
      <w:r>
        <w:rPr>
          <w:spacing w:val="-6"/>
        </w:rPr>
        <w:t xml:space="preserve"> </w:t>
      </w:r>
      <w:r>
        <w:t>maintenance</w:t>
      </w:r>
      <w:r>
        <w:rPr>
          <w:spacing w:val="-7"/>
        </w:rPr>
        <w:t xml:space="preserve"> </w:t>
      </w:r>
      <w:r>
        <w:t>and</w:t>
      </w:r>
      <w:r>
        <w:rPr>
          <w:spacing w:val="-6"/>
        </w:rPr>
        <w:t xml:space="preserve"> </w:t>
      </w:r>
      <w:r>
        <w:t>modernisation</w:t>
      </w:r>
      <w:r>
        <w:rPr>
          <w:spacing w:val="-6"/>
        </w:rPr>
        <w:t xml:space="preserve"> </w:t>
      </w:r>
      <w:r>
        <w:t>of</w:t>
      </w:r>
      <w:r>
        <w:rPr>
          <w:spacing w:val="-58"/>
        </w:rPr>
        <w:t xml:space="preserve"> </w:t>
      </w:r>
      <w:r>
        <w:t>key railway infrastructure, redefining the scope of services for the purpose of better efficiency</w:t>
      </w:r>
      <w:r>
        <w:rPr>
          <w:spacing w:val="-57"/>
        </w:rPr>
        <w:t xml:space="preserve"> </w:t>
      </w:r>
      <w:r>
        <w:t>of the railway system and improving the functioning of coordination and planning across the</w:t>
      </w:r>
      <w:r>
        <w:rPr>
          <w:spacing w:val="1"/>
        </w:rPr>
        <w:t xml:space="preserve"> </w:t>
      </w:r>
      <w:r>
        <w:t>entire</w:t>
      </w:r>
      <w:r>
        <w:rPr>
          <w:spacing w:val="-3"/>
        </w:rPr>
        <w:t xml:space="preserve"> </w:t>
      </w:r>
      <w:r>
        <w:t>transport sector.</w:t>
      </w:r>
      <w:r>
        <w:rPr>
          <w:spacing w:val="-1"/>
        </w:rPr>
        <w:t xml:space="preserve"> </w:t>
      </w:r>
      <w:r>
        <w:t>The</w:t>
      </w:r>
      <w:r>
        <w:rPr>
          <w:spacing w:val="-1"/>
        </w:rPr>
        <w:t xml:space="preserve"> </w:t>
      </w:r>
      <w:r>
        <w:t>reform</w:t>
      </w:r>
      <w:r>
        <w:rPr>
          <w:spacing w:val="-1"/>
        </w:rPr>
        <w:t xml:space="preserve"> </w:t>
      </w:r>
      <w:r>
        <w:t>of</w:t>
      </w:r>
      <w:r>
        <w:rPr>
          <w:spacing w:val="-1"/>
        </w:rPr>
        <w:t xml:space="preserve"> </w:t>
      </w:r>
      <w:r>
        <w:t>the</w:t>
      </w:r>
      <w:r>
        <w:rPr>
          <w:spacing w:val="-1"/>
        </w:rPr>
        <w:t xml:space="preserve"> </w:t>
      </w:r>
      <w:r>
        <w:t>railway</w:t>
      </w:r>
      <w:r>
        <w:rPr>
          <w:spacing w:val="-3"/>
        </w:rPr>
        <w:t xml:space="preserve"> </w:t>
      </w:r>
      <w:r>
        <w:t>sector is</w:t>
      </w:r>
      <w:r>
        <w:rPr>
          <w:spacing w:val="-1"/>
        </w:rPr>
        <w:t xml:space="preserve"> </w:t>
      </w:r>
      <w:r>
        <w:t>an integral</w:t>
      </w:r>
      <w:r>
        <w:rPr>
          <w:spacing w:val="-1"/>
        </w:rPr>
        <w:t xml:space="preserve"> </w:t>
      </w:r>
      <w:r>
        <w:t>part</w:t>
      </w:r>
      <w:r>
        <w:rPr>
          <w:spacing w:val="2"/>
        </w:rPr>
        <w:t xml:space="preserve"> </w:t>
      </w:r>
      <w:r>
        <w:t>of</w:t>
      </w:r>
      <w:r>
        <w:rPr>
          <w:spacing w:val="-1"/>
        </w:rPr>
        <w:t xml:space="preserve"> </w:t>
      </w:r>
      <w:r>
        <w:t>the</w:t>
      </w:r>
      <w:r>
        <w:rPr>
          <w:spacing w:val="-2"/>
        </w:rPr>
        <w:t xml:space="preserve"> </w:t>
      </w:r>
      <w:r>
        <w:t>NRRP</w:t>
      </w:r>
      <w:r>
        <w:rPr>
          <w:spacing w:val="-1"/>
        </w:rPr>
        <w:t xml:space="preserve"> </w:t>
      </w:r>
      <w:r>
        <w:t>reform</w:t>
      </w:r>
    </w:p>
    <w:p w:rsidR="00A56FE9" w:rsidRDefault="00000000">
      <w:pPr>
        <w:pStyle w:val="Tijeloteksta"/>
        <w:spacing w:before="1"/>
        <w:ind w:right="276"/>
      </w:pPr>
      <w:r>
        <w:rPr>
          <w:spacing w:val="-1"/>
        </w:rPr>
        <w:t>C.1.4.</w:t>
      </w:r>
      <w:r>
        <w:rPr>
          <w:spacing w:val="-10"/>
        </w:rPr>
        <w:t xml:space="preserve"> </w:t>
      </w:r>
      <w:r>
        <w:rPr>
          <w:spacing w:val="-1"/>
        </w:rPr>
        <w:t>R2.</w:t>
      </w:r>
      <w:r>
        <w:rPr>
          <w:spacing w:val="-10"/>
        </w:rPr>
        <w:t xml:space="preserve"> </w:t>
      </w:r>
      <w:r>
        <w:rPr>
          <w:spacing w:val="-1"/>
        </w:rPr>
        <w:t>In</w:t>
      </w:r>
      <w:r>
        <w:rPr>
          <w:spacing w:val="-10"/>
        </w:rPr>
        <w:t xml:space="preserve"> </w:t>
      </w:r>
      <w:r>
        <w:rPr>
          <w:spacing w:val="-1"/>
        </w:rPr>
        <w:t>this</w:t>
      </w:r>
      <w:r>
        <w:rPr>
          <w:spacing w:val="-10"/>
        </w:rPr>
        <w:t xml:space="preserve"> </w:t>
      </w:r>
      <w:r>
        <w:t>regard,</w:t>
      </w:r>
      <w:r>
        <w:rPr>
          <w:spacing w:val="-11"/>
        </w:rPr>
        <w:t xml:space="preserve"> </w:t>
      </w:r>
      <w:r>
        <w:t>the</w:t>
      </w:r>
      <w:r>
        <w:rPr>
          <w:spacing w:val="-10"/>
        </w:rPr>
        <w:t xml:space="preserve"> </w:t>
      </w:r>
      <w:r>
        <w:t>adoption</w:t>
      </w:r>
      <w:r>
        <w:rPr>
          <w:spacing w:val="-10"/>
        </w:rPr>
        <w:t xml:space="preserve"> </w:t>
      </w:r>
      <w:r>
        <w:t>of</w:t>
      </w:r>
      <w:r>
        <w:rPr>
          <w:spacing w:val="-11"/>
        </w:rPr>
        <w:t xml:space="preserve"> </w:t>
      </w:r>
      <w:r>
        <w:t>the</w:t>
      </w:r>
      <w:r>
        <w:rPr>
          <w:spacing w:val="-11"/>
        </w:rPr>
        <w:t xml:space="preserve"> </w:t>
      </w:r>
      <w:r>
        <w:t>Sectoral</w:t>
      </w:r>
      <w:r>
        <w:rPr>
          <w:spacing w:val="-10"/>
        </w:rPr>
        <w:t xml:space="preserve"> </w:t>
      </w:r>
      <w:r>
        <w:t>Policy</w:t>
      </w:r>
      <w:r>
        <w:rPr>
          <w:spacing w:val="-14"/>
        </w:rPr>
        <w:t xml:space="preserve"> </w:t>
      </w:r>
      <w:r>
        <w:t>Letter</w:t>
      </w:r>
      <w:r>
        <w:rPr>
          <w:spacing w:val="-11"/>
        </w:rPr>
        <w:t xml:space="preserve"> </w:t>
      </w:r>
      <w:r>
        <w:t>by</w:t>
      </w:r>
      <w:r>
        <w:rPr>
          <w:spacing w:val="-17"/>
        </w:rPr>
        <w:t xml:space="preserve"> </w:t>
      </w:r>
      <w:r>
        <w:t>the</w:t>
      </w:r>
      <w:r>
        <w:rPr>
          <w:spacing w:val="-11"/>
        </w:rPr>
        <w:t xml:space="preserve"> </w:t>
      </w:r>
      <w:r>
        <w:t>Government</w:t>
      </w:r>
      <w:r>
        <w:rPr>
          <w:spacing w:val="-10"/>
        </w:rPr>
        <w:t xml:space="preserve"> </w:t>
      </w:r>
      <w:r>
        <w:t>achieved</w:t>
      </w:r>
      <w:r>
        <w:rPr>
          <w:spacing w:val="-57"/>
        </w:rPr>
        <w:t xml:space="preserve"> </w:t>
      </w:r>
      <w:r>
        <w:t>the</w:t>
      </w:r>
      <w:r>
        <w:rPr>
          <w:spacing w:val="-2"/>
        </w:rPr>
        <w:t xml:space="preserve"> </w:t>
      </w:r>
      <w:r>
        <w:t>criterion</w:t>
      </w:r>
      <w:r>
        <w:rPr>
          <w:spacing w:val="-1"/>
        </w:rPr>
        <w:t xml:space="preserve"> </w:t>
      </w:r>
      <w:r>
        <w:t>for</w:t>
      </w:r>
      <w:r>
        <w:rPr>
          <w:spacing w:val="-1"/>
        </w:rPr>
        <w:t xml:space="preserve"> </w:t>
      </w:r>
      <w:r>
        <w:t>achieving</w:t>
      </w:r>
      <w:r>
        <w:rPr>
          <w:spacing w:val="-4"/>
        </w:rPr>
        <w:t xml:space="preserve"> </w:t>
      </w:r>
      <w:r>
        <w:t>Milestone</w:t>
      </w:r>
      <w:r>
        <w:rPr>
          <w:spacing w:val="-1"/>
        </w:rPr>
        <w:t xml:space="preserve"> </w:t>
      </w:r>
      <w:r>
        <w:t>#</w:t>
      </w:r>
      <w:r>
        <w:rPr>
          <w:spacing w:val="-1"/>
        </w:rPr>
        <w:t xml:space="preserve"> </w:t>
      </w:r>
      <w:r>
        <w:t>98</w:t>
      </w:r>
      <w:r>
        <w:rPr>
          <w:spacing w:val="-1"/>
        </w:rPr>
        <w:t xml:space="preserve"> </w:t>
      </w:r>
      <w:r>
        <w:t>as</w:t>
      </w:r>
      <w:r>
        <w:rPr>
          <w:spacing w:val="-1"/>
        </w:rPr>
        <w:t xml:space="preserve"> </w:t>
      </w:r>
      <w:r>
        <w:t>set</w:t>
      </w:r>
      <w:r>
        <w:rPr>
          <w:spacing w:val="-1"/>
        </w:rPr>
        <w:t xml:space="preserve"> </w:t>
      </w:r>
      <w:r>
        <w:t>out</w:t>
      </w:r>
      <w:r>
        <w:rPr>
          <w:spacing w:val="-1"/>
        </w:rPr>
        <w:t xml:space="preserve"> </w:t>
      </w:r>
      <w:r>
        <w:t>in</w:t>
      </w:r>
      <w:r>
        <w:rPr>
          <w:spacing w:val="-1"/>
        </w:rPr>
        <w:t xml:space="preserve"> </w:t>
      </w:r>
      <w:r>
        <w:t>the</w:t>
      </w:r>
      <w:r>
        <w:rPr>
          <w:spacing w:val="-1"/>
        </w:rPr>
        <w:t xml:space="preserve"> </w:t>
      </w:r>
      <w:r>
        <w:t>Annex</w:t>
      </w:r>
      <w:r>
        <w:rPr>
          <w:spacing w:val="-2"/>
        </w:rPr>
        <w:t xml:space="preserve"> </w:t>
      </w:r>
      <w:r>
        <w:t>to</w:t>
      </w:r>
      <w:r>
        <w:rPr>
          <w:spacing w:val="-1"/>
        </w:rPr>
        <w:t xml:space="preserve"> </w:t>
      </w:r>
      <w:r>
        <w:t>the</w:t>
      </w:r>
      <w:r>
        <w:rPr>
          <w:spacing w:val="-2"/>
        </w:rPr>
        <w:t xml:space="preserve"> </w:t>
      </w:r>
      <w:r>
        <w:t>Council</w:t>
      </w:r>
      <w:r>
        <w:rPr>
          <w:spacing w:val="1"/>
        </w:rPr>
        <w:t xml:space="preserve"> </w:t>
      </w:r>
      <w:r>
        <w:t>Implementing</w:t>
      </w:r>
      <w:r>
        <w:rPr>
          <w:spacing w:val="-58"/>
        </w:rPr>
        <w:t xml:space="preserve"> </w:t>
      </w:r>
      <w:r>
        <w:t>Decision on the approval of the assessment of the recovery and resilience plan for Croatia</w:t>
      </w:r>
      <w:r>
        <w:rPr>
          <w:spacing w:val="1"/>
        </w:rPr>
        <w:t xml:space="preserve"> </w:t>
      </w:r>
      <w:r>
        <w:t>(10687/21 ADD 1). The letter of the sectoral policy created the preconditions for initiating a</w:t>
      </w:r>
      <w:r>
        <w:rPr>
          <w:spacing w:val="1"/>
        </w:rPr>
        <w:t xml:space="preserve"> </w:t>
      </w:r>
      <w:r>
        <w:t>comprehensive reform and modernization of</w:t>
      </w:r>
      <w:r>
        <w:rPr>
          <w:spacing w:val="-1"/>
        </w:rPr>
        <w:t xml:space="preserve"> </w:t>
      </w:r>
      <w:r>
        <w:t>the railway</w:t>
      </w:r>
      <w:r>
        <w:rPr>
          <w:spacing w:val="-5"/>
        </w:rPr>
        <w:t xml:space="preserve"> </w:t>
      </w:r>
      <w:r>
        <w:t>sector.</w:t>
      </w:r>
    </w:p>
    <w:p w:rsidR="00A56FE9" w:rsidRDefault="00000000">
      <w:pPr>
        <w:pStyle w:val="Tijeloteksta"/>
        <w:spacing w:before="121"/>
        <w:ind w:right="275"/>
      </w:pPr>
      <w:r>
        <w:t>In accordance with the Implementation Plan for Measures and Activities in Reforming the</w:t>
      </w:r>
      <w:r>
        <w:rPr>
          <w:spacing w:val="1"/>
        </w:rPr>
        <w:t xml:space="preserve"> </w:t>
      </w:r>
      <w:r>
        <w:t>Sector Railway Sector, aimed at increasing the quality of railway transport services</w:t>
      </w:r>
      <w:r>
        <w:rPr>
          <w:spacing w:val="1"/>
        </w:rPr>
        <w:t xml:space="preserve"> </w:t>
      </w:r>
      <w:r>
        <w:t>and</w:t>
      </w:r>
      <w:r>
        <w:rPr>
          <w:spacing w:val="1"/>
        </w:rPr>
        <w:t xml:space="preserve"> </w:t>
      </w:r>
      <w:r>
        <w:t>reducing administrative and institutional barriers for more efficient management of project</w:t>
      </w:r>
      <w:r>
        <w:rPr>
          <w:spacing w:val="1"/>
        </w:rPr>
        <w:t xml:space="preserve"> </w:t>
      </w:r>
      <w:r>
        <w:t>cycles</w:t>
      </w:r>
      <w:r>
        <w:rPr>
          <w:spacing w:val="-6"/>
        </w:rPr>
        <w:t xml:space="preserve"> </w:t>
      </w:r>
      <w:r>
        <w:t>related</w:t>
      </w:r>
      <w:r>
        <w:rPr>
          <w:spacing w:val="-6"/>
        </w:rPr>
        <w:t xml:space="preserve"> </w:t>
      </w:r>
      <w:r>
        <w:t>to</w:t>
      </w:r>
      <w:r>
        <w:rPr>
          <w:spacing w:val="-7"/>
        </w:rPr>
        <w:t xml:space="preserve"> </w:t>
      </w:r>
      <w:r>
        <w:t>railway</w:t>
      </w:r>
      <w:r>
        <w:rPr>
          <w:spacing w:val="-12"/>
        </w:rPr>
        <w:t xml:space="preserve"> </w:t>
      </w:r>
      <w:r>
        <w:t>line</w:t>
      </w:r>
      <w:r>
        <w:rPr>
          <w:spacing w:val="-8"/>
        </w:rPr>
        <w:t xml:space="preserve"> </w:t>
      </w:r>
      <w:r>
        <w:t>infrastructure</w:t>
      </w:r>
      <w:r>
        <w:rPr>
          <w:spacing w:val="-8"/>
        </w:rPr>
        <w:t xml:space="preserve"> </w:t>
      </w:r>
      <w:r>
        <w:t>projects</w:t>
      </w:r>
      <w:r>
        <w:rPr>
          <w:spacing w:val="-7"/>
        </w:rPr>
        <w:t xml:space="preserve"> </w:t>
      </w:r>
      <w:r>
        <w:t>within</w:t>
      </w:r>
      <w:r>
        <w:rPr>
          <w:spacing w:val="-8"/>
        </w:rPr>
        <w:t xml:space="preserve"> </w:t>
      </w:r>
      <w:r>
        <w:t>the</w:t>
      </w:r>
      <w:r>
        <w:rPr>
          <w:spacing w:val="-8"/>
        </w:rPr>
        <w:t xml:space="preserve"> </w:t>
      </w:r>
      <w:r>
        <w:t>implementation</w:t>
      </w:r>
      <w:r>
        <w:rPr>
          <w:spacing w:val="-8"/>
        </w:rPr>
        <w:t xml:space="preserve"> </w:t>
      </w:r>
      <w:r>
        <w:t>of</w:t>
      </w:r>
      <w:r>
        <w:rPr>
          <w:spacing w:val="-8"/>
        </w:rPr>
        <w:t xml:space="preserve"> </w:t>
      </w:r>
      <w:r>
        <w:t>measures</w:t>
      </w:r>
      <w:r>
        <w:rPr>
          <w:spacing w:val="-6"/>
        </w:rPr>
        <w:t xml:space="preserve"> </w:t>
      </w:r>
      <w:r>
        <w:t>and</w:t>
      </w:r>
      <w:r>
        <w:rPr>
          <w:spacing w:val="-57"/>
        </w:rPr>
        <w:t xml:space="preserve"> </w:t>
      </w:r>
      <w:r>
        <w:t>activities from the Sector Policy Letter, in 2021 an expert working group to support reform</w:t>
      </w:r>
      <w:r>
        <w:rPr>
          <w:spacing w:val="1"/>
        </w:rPr>
        <w:t xml:space="preserve"> </w:t>
      </w:r>
      <w:r>
        <w:t>activities and an inter-ministerial working group to address liner projects in the railway sector</w:t>
      </w:r>
      <w:r>
        <w:rPr>
          <w:spacing w:val="1"/>
        </w:rPr>
        <w:t xml:space="preserve"> </w:t>
      </w:r>
      <w:r>
        <w:t>was</w:t>
      </w:r>
      <w:r>
        <w:rPr>
          <w:spacing w:val="-1"/>
        </w:rPr>
        <w:t xml:space="preserve"> </w:t>
      </w:r>
      <w:r>
        <w:t>founded</w:t>
      </w:r>
      <w:r>
        <w:rPr>
          <w:spacing w:val="2"/>
        </w:rPr>
        <w:t xml:space="preserve"> </w:t>
      </w:r>
      <w:r>
        <w:t>and began operating.</w:t>
      </w:r>
    </w:p>
    <w:p w:rsidR="00A56FE9" w:rsidRDefault="00A56FE9">
      <w:pPr>
        <w:pStyle w:val="Tijeloteksta"/>
        <w:spacing w:before="3"/>
        <w:ind w:left="0"/>
        <w:jc w:val="left"/>
        <w:rPr>
          <w:sz w:val="21"/>
        </w:rPr>
      </w:pPr>
    </w:p>
    <w:p w:rsidR="00A56FE9" w:rsidRDefault="00000000">
      <w:pPr>
        <w:pStyle w:val="Naslov5"/>
        <w:spacing w:before="1"/>
      </w:pPr>
      <w:r>
        <w:rPr>
          <w:color w:val="2C398A"/>
        </w:rPr>
        <w:t>Maritime</w:t>
      </w:r>
      <w:r>
        <w:rPr>
          <w:color w:val="2C398A"/>
          <w:spacing w:val="-3"/>
        </w:rPr>
        <w:t xml:space="preserve"> </w:t>
      </w:r>
      <w:r>
        <w:rPr>
          <w:color w:val="2C398A"/>
        </w:rPr>
        <w:t>and</w:t>
      </w:r>
      <w:r>
        <w:rPr>
          <w:color w:val="2C398A"/>
          <w:spacing w:val="-2"/>
        </w:rPr>
        <w:t xml:space="preserve"> </w:t>
      </w:r>
      <w:r>
        <w:rPr>
          <w:color w:val="2C398A"/>
        </w:rPr>
        <w:t>inland</w:t>
      </w:r>
      <w:r>
        <w:rPr>
          <w:color w:val="2C398A"/>
          <w:spacing w:val="-3"/>
        </w:rPr>
        <w:t xml:space="preserve"> </w:t>
      </w:r>
      <w:r>
        <w:rPr>
          <w:color w:val="2C398A"/>
        </w:rPr>
        <w:t>waterways</w:t>
      </w:r>
      <w:r>
        <w:rPr>
          <w:color w:val="2C398A"/>
          <w:spacing w:val="-2"/>
        </w:rPr>
        <w:t xml:space="preserve"> </w:t>
      </w:r>
      <w:r>
        <w:rPr>
          <w:color w:val="2C398A"/>
        </w:rPr>
        <w:t>transport</w:t>
      </w:r>
    </w:p>
    <w:p w:rsidR="00A56FE9" w:rsidRDefault="00000000">
      <w:pPr>
        <w:pStyle w:val="Tijeloteksta"/>
        <w:spacing w:before="112"/>
        <w:ind w:right="274"/>
      </w:pPr>
      <w:r>
        <w:t>In</w:t>
      </w:r>
      <w:r>
        <w:rPr>
          <w:spacing w:val="-5"/>
        </w:rPr>
        <w:t xml:space="preserve"> </w:t>
      </w:r>
      <w:r>
        <w:t>terms</w:t>
      </w:r>
      <w:r>
        <w:rPr>
          <w:spacing w:val="-6"/>
        </w:rPr>
        <w:t xml:space="preserve"> </w:t>
      </w:r>
      <w:r>
        <w:t>of</w:t>
      </w:r>
      <w:r>
        <w:rPr>
          <w:spacing w:val="-5"/>
        </w:rPr>
        <w:t xml:space="preserve"> </w:t>
      </w:r>
      <w:r>
        <w:t>reforming</w:t>
      </w:r>
      <w:r>
        <w:rPr>
          <w:spacing w:val="-8"/>
        </w:rPr>
        <w:t xml:space="preserve"> </w:t>
      </w:r>
      <w:r>
        <w:t>maritime</w:t>
      </w:r>
      <w:r>
        <w:rPr>
          <w:spacing w:val="-7"/>
        </w:rPr>
        <w:t xml:space="preserve"> </w:t>
      </w:r>
      <w:r>
        <w:t>and</w:t>
      </w:r>
      <w:r>
        <w:rPr>
          <w:spacing w:val="-6"/>
        </w:rPr>
        <w:t xml:space="preserve"> </w:t>
      </w:r>
      <w:r>
        <w:t>inland</w:t>
      </w:r>
      <w:r>
        <w:rPr>
          <w:spacing w:val="-6"/>
        </w:rPr>
        <w:t xml:space="preserve"> </w:t>
      </w:r>
      <w:r>
        <w:t>waterways</w:t>
      </w:r>
      <w:r>
        <w:rPr>
          <w:spacing w:val="-4"/>
        </w:rPr>
        <w:t xml:space="preserve"> </w:t>
      </w:r>
      <w:r>
        <w:t>transport,</w:t>
      </w:r>
      <w:r>
        <w:rPr>
          <w:spacing w:val="-6"/>
        </w:rPr>
        <w:t xml:space="preserve"> </w:t>
      </w:r>
      <w:r>
        <w:t>on</w:t>
      </w:r>
      <w:r>
        <w:rPr>
          <w:spacing w:val="-6"/>
        </w:rPr>
        <w:t xml:space="preserve"> </w:t>
      </w:r>
      <w:r>
        <w:t>15</w:t>
      </w:r>
      <w:r>
        <w:rPr>
          <w:spacing w:val="-4"/>
        </w:rPr>
        <w:t xml:space="preserve"> </w:t>
      </w:r>
      <w:r>
        <w:t>December</w:t>
      </w:r>
      <w:r>
        <w:rPr>
          <w:spacing w:val="-7"/>
        </w:rPr>
        <w:t xml:space="preserve"> </w:t>
      </w:r>
      <w:r>
        <w:t>2021,</w:t>
      </w:r>
      <w:r>
        <w:rPr>
          <w:spacing w:val="-6"/>
        </w:rPr>
        <w:t xml:space="preserve"> </w:t>
      </w:r>
      <w:r>
        <w:t>the</w:t>
      </w:r>
      <w:r>
        <w:rPr>
          <w:spacing w:val="-4"/>
        </w:rPr>
        <w:t xml:space="preserve"> </w:t>
      </w:r>
      <w:r>
        <w:t>Act</w:t>
      </w:r>
      <w:r>
        <w:rPr>
          <w:spacing w:val="-58"/>
        </w:rPr>
        <w:t xml:space="preserve"> </w:t>
      </w:r>
      <w:r>
        <w:t>on Inland Navigation and Inland Waterway Ports</w:t>
      </w:r>
      <w:r>
        <w:rPr>
          <w:vertAlign w:val="superscript"/>
        </w:rPr>
        <w:t>20</w:t>
      </w:r>
      <w:r>
        <w:t xml:space="preserve"> was adopted. The new Act on Inland</w:t>
      </w:r>
      <w:r>
        <w:rPr>
          <w:spacing w:val="1"/>
        </w:rPr>
        <w:t xml:space="preserve"> </w:t>
      </w:r>
      <w:r>
        <w:t>Navigation and Inland Waterway Ports facilitates identifying special risks on Croatian inland</w:t>
      </w:r>
      <w:r>
        <w:rPr>
          <w:spacing w:val="1"/>
        </w:rPr>
        <w:t xml:space="preserve"> </w:t>
      </w:r>
      <w:r>
        <w:t>waterways to ensure the safety of navigation and prevent navigation accidents and possibly</w:t>
      </w:r>
      <w:r>
        <w:rPr>
          <w:spacing w:val="1"/>
        </w:rPr>
        <w:t xml:space="preserve"> </w:t>
      </w:r>
      <w:r>
        <w:t>human</w:t>
      </w:r>
      <w:r>
        <w:rPr>
          <w:spacing w:val="-9"/>
        </w:rPr>
        <w:t xml:space="preserve"> </w:t>
      </w:r>
      <w:r>
        <w:t>victims,</w:t>
      </w:r>
      <w:r>
        <w:rPr>
          <w:spacing w:val="-8"/>
        </w:rPr>
        <w:t xml:space="preserve"> </w:t>
      </w:r>
      <w:r>
        <w:t>material</w:t>
      </w:r>
      <w:r>
        <w:rPr>
          <w:spacing w:val="-3"/>
        </w:rPr>
        <w:t xml:space="preserve"> </w:t>
      </w:r>
      <w:r>
        <w:t>damage</w:t>
      </w:r>
      <w:r>
        <w:rPr>
          <w:spacing w:val="-7"/>
        </w:rPr>
        <w:t xml:space="preserve"> </w:t>
      </w:r>
      <w:r>
        <w:t>and</w:t>
      </w:r>
      <w:r>
        <w:rPr>
          <w:spacing w:val="-6"/>
        </w:rPr>
        <w:t xml:space="preserve"> </w:t>
      </w:r>
      <w:r>
        <w:t>consequences</w:t>
      </w:r>
      <w:r>
        <w:rPr>
          <w:spacing w:val="-7"/>
        </w:rPr>
        <w:t xml:space="preserve"> </w:t>
      </w:r>
      <w:r>
        <w:t>for</w:t>
      </w:r>
      <w:r>
        <w:rPr>
          <w:spacing w:val="-10"/>
        </w:rPr>
        <w:t xml:space="preserve"> </w:t>
      </w:r>
      <w:r>
        <w:t>human</w:t>
      </w:r>
      <w:r>
        <w:rPr>
          <w:spacing w:val="-9"/>
        </w:rPr>
        <w:t xml:space="preserve"> </w:t>
      </w:r>
      <w:r>
        <w:t>health</w:t>
      </w:r>
      <w:r>
        <w:rPr>
          <w:spacing w:val="-8"/>
        </w:rPr>
        <w:t xml:space="preserve"> </w:t>
      </w:r>
      <w:r>
        <w:t>and</w:t>
      </w:r>
      <w:r>
        <w:rPr>
          <w:spacing w:val="-7"/>
        </w:rPr>
        <w:t xml:space="preserve"> </w:t>
      </w:r>
      <w:r>
        <w:t>the</w:t>
      </w:r>
      <w:r>
        <w:rPr>
          <w:spacing w:val="-9"/>
        </w:rPr>
        <w:t xml:space="preserve"> </w:t>
      </w:r>
      <w:r>
        <w:t>environment.</w:t>
      </w:r>
      <w:r>
        <w:rPr>
          <w:spacing w:val="-7"/>
        </w:rPr>
        <w:t xml:space="preserve"> </w:t>
      </w:r>
      <w:r>
        <w:t>The</w:t>
      </w:r>
      <w:r>
        <w:rPr>
          <w:spacing w:val="-58"/>
        </w:rPr>
        <w:t xml:space="preserve"> </w:t>
      </w:r>
      <w:r>
        <w:t>Act</w:t>
      </w:r>
      <w:r>
        <w:rPr>
          <w:spacing w:val="-9"/>
        </w:rPr>
        <w:t xml:space="preserve"> </w:t>
      </w:r>
      <w:r>
        <w:t>also</w:t>
      </w:r>
      <w:r>
        <w:rPr>
          <w:spacing w:val="-9"/>
        </w:rPr>
        <w:t xml:space="preserve"> </w:t>
      </w:r>
      <w:r>
        <w:t>provides</w:t>
      </w:r>
      <w:r>
        <w:rPr>
          <w:spacing w:val="-8"/>
        </w:rPr>
        <w:t xml:space="preserve"> </w:t>
      </w:r>
      <w:r>
        <w:t>for</w:t>
      </w:r>
      <w:r>
        <w:rPr>
          <w:spacing w:val="-10"/>
        </w:rPr>
        <w:t xml:space="preserve"> </w:t>
      </w:r>
      <w:r>
        <w:t>the</w:t>
      </w:r>
      <w:r>
        <w:rPr>
          <w:spacing w:val="-7"/>
        </w:rPr>
        <w:t xml:space="preserve"> </w:t>
      </w:r>
      <w:r>
        <w:t>harmonization</w:t>
      </w:r>
      <w:r>
        <w:rPr>
          <w:spacing w:val="-9"/>
        </w:rPr>
        <w:t xml:space="preserve"> </w:t>
      </w:r>
      <w:r>
        <w:t>and</w:t>
      </w:r>
      <w:r>
        <w:rPr>
          <w:spacing w:val="-9"/>
        </w:rPr>
        <w:t xml:space="preserve"> </w:t>
      </w:r>
      <w:r>
        <w:t>recognition</w:t>
      </w:r>
      <w:r>
        <w:rPr>
          <w:spacing w:val="-8"/>
        </w:rPr>
        <w:t xml:space="preserve"> </w:t>
      </w:r>
      <w:r>
        <w:t>of</w:t>
      </w:r>
      <w:r>
        <w:rPr>
          <w:spacing w:val="-9"/>
        </w:rPr>
        <w:t xml:space="preserve"> </w:t>
      </w:r>
      <w:r>
        <w:t>professional</w:t>
      </w:r>
      <w:r>
        <w:rPr>
          <w:spacing w:val="-8"/>
        </w:rPr>
        <w:t xml:space="preserve"> </w:t>
      </w:r>
      <w:r>
        <w:t>qualifications</w:t>
      </w:r>
      <w:r>
        <w:rPr>
          <w:spacing w:val="-8"/>
        </w:rPr>
        <w:t xml:space="preserve"> </w:t>
      </w:r>
      <w:r>
        <w:t>of</w:t>
      </w:r>
      <w:r>
        <w:rPr>
          <w:spacing w:val="-9"/>
        </w:rPr>
        <w:t xml:space="preserve"> </w:t>
      </w:r>
      <w:r>
        <w:t>inland</w:t>
      </w:r>
      <w:r>
        <w:rPr>
          <w:spacing w:val="-58"/>
        </w:rPr>
        <w:t xml:space="preserve"> </w:t>
      </w:r>
      <w:r>
        <w:t>waterway crew members, encourages labour mobility, and addresses the sectoral problem of</w:t>
      </w:r>
      <w:r>
        <w:rPr>
          <w:spacing w:val="1"/>
        </w:rPr>
        <w:t xml:space="preserve"> </w:t>
      </w:r>
      <w:r>
        <w:t>shortage of skilled workers through the implementation of Directive (EU) 2017/2397 on the</w:t>
      </w:r>
      <w:r>
        <w:rPr>
          <w:spacing w:val="1"/>
        </w:rPr>
        <w:t xml:space="preserve"> </w:t>
      </w:r>
      <w:r>
        <w:t>recognition</w:t>
      </w:r>
      <w:r>
        <w:rPr>
          <w:spacing w:val="-1"/>
        </w:rPr>
        <w:t xml:space="preserve"> </w:t>
      </w:r>
      <w:r>
        <w:t>of professional qualifications in inland</w:t>
      </w:r>
      <w:r>
        <w:rPr>
          <w:spacing w:val="-1"/>
        </w:rPr>
        <w:t xml:space="preserve"> </w:t>
      </w:r>
      <w:r>
        <w:t>navigation.</w:t>
      </w:r>
    </w:p>
    <w:p w:rsidR="00A56FE9" w:rsidRDefault="00A56FE9">
      <w:pPr>
        <w:sectPr w:rsidR="00A56FE9" w:rsidSect="00AB1E70">
          <w:pgSz w:w="11910" w:h="16840"/>
          <w:pgMar w:top="1320" w:right="1140" w:bottom="1760" w:left="1280" w:header="0" w:footer="1566" w:gutter="0"/>
          <w:cols w:space="720"/>
        </w:sectPr>
      </w:pPr>
    </w:p>
    <w:p w:rsidR="00A56FE9" w:rsidRDefault="00000000">
      <w:pPr>
        <w:pStyle w:val="Tijeloteksta"/>
        <w:spacing w:before="74"/>
        <w:ind w:right="272"/>
      </w:pPr>
      <w:r>
        <w:t>The</w:t>
      </w:r>
      <w:r>
        <w:rPr>
          <w:spacing w:val="-6"/>
        </w:rPr>
        <w:t xml:space="preserve"> </w:t>
      </w:r>
      <w:r>
        <w:t>new</w:t>
      </w:r>
      <w:r>
        <w:rPr>
          <w:spacing w:val="-4"/>
        </w:rPr>
        <w:t xml:space="preserve"> </w:t>
      </w:r>
      <w:r>
        <w:t>Act</w:t>
      </w:r>
      <w:r>
        <w:rPr>
          <w:spacing w:val="-4"/>
        </w:rPr>
        <w:t xml:space="preserve"> </w:t>
      </w:r>
      <w:r>
        <w:t>on</w:t>
      </w:r>
      <w:r>
        <w:rPr>
          <w:spacing w:val="-4"/>
        </w:rPr>
        <w:t xml:space="preserve"> </w:t>
      </w:r>
      <w:r>
        <w:t>Transport</w:t>
      </w:r>
      <w:r>
        <w:rPr>
          <w:spacing w:val="-3"/>
        </w:rPr>
        <w:t xml:space="preserve"> </w:t>
      </w:r>
      <w:r>
        <w:t>in</w:t>
      </w:r>
      <w:r>
        <w:rPr>
          <w:spacing w:val="-4"/>
        </w:rPr>
        <w:t xml:space="preserve"> </w:t>
      </w:r>
      <w:r>
        <w:t>Liner</w:t>
      </w:r>
      <w:r>
        <w:rPr>
          <w:spacing w:val="-5"/>
        </w:rPr>
        <w:t xml:space="preserve"> </w:t>
      </w:r>
      <w:r>
        <w:t>Shipping</w:t>
      </w:r>
      <w:r>
        <w:rPr>
          <w:spacing w:val="-6"/>
        </w:rPr>
        <w:t xml:space="preserve"> </w:t>
      </w:r>
      <w:r>
        <w:t>and</w:t>
      </w:r>
      <w:r>
        <w:rPr>
          <w:spacing w:val="-5"/>
        </w:rPr>
        <w:t xml:space="preserve"> </w:t>
      </w:r>
      <w:r>
        <w:t>Occasional</w:t>
      </w:r>
      <w:r>
        <w:rPr>
          <w:spacing w:val="-4"/>
        </w:rPr>
        <w:t xml:space="preserve"> </w:t>
      </w:r>
      <w:r>
        <w:t>Coastal</w:t>
      </w:r>
      <w:r>
        <w:rPr>
          <w:spacing w:val="-4"/>
        </w:rPr>
        <w:t xml:space="preserve"> </w:t>
      </w:r>
      <w:r>
        <w:t>Maritime</w:t>
      </w:r>
      <w:r>
        <w:rPr>
          <w:spacing w:val="-6"/>
        </w:rPr>
        <w:t xml:space="preserve"> </w:t>
      </w:r>
      <w:r>
        <w:t>Transport</w:t>
      </w:r>
      <w:r>
        <w:rPr>
          <w:spacing w:val="-4"/>
        </w:rPr>
        <w:t xml:space="preserve"> </w:t>
      </w:r>
      <w:r>
        <w:t>came</w:t>
      </w:r>
      <w:r>
        <w:rPr>
          <w:spacing w:val="-58"/>
        </w:rPr>
        <w:t xml:space="preserve"> </w:t>
      </w:r>
      <w:r>
        <w:t xml:space="preserve">into force on 19 February 2022. </w:t>
      </w:r>
      <w:r>
        <w:rPr>
          <w:vertAlign w:val="superscript"/>
        </w:rPr>
        <w:t>21</w:t>
      </w:r>
      <w:r>
        <w:t xml:space="preserve"> This Act, among other things, encourages the introduction</w:t>
      </w:r>
      <w:r>
        <w:rPr>
          <w:spacing w:val="1"/>
        </w:rPr>
        <w:t xml:space="preserve"> </w:t>
      </w:r>
      <w:r>
        <w:t>of new construction on routes of public liner transport, as well as ships driven by alternative</w:t>
      </w:r>
      <w:r>
        <w:rPr>
          <w:spacing w:val="1"/>
        </w:rPr>
        <w:t xml:space="preserve"> </w:t>
      </w:r>
      <w:r>
        <w:t>fuels and energy sources, which will contribute to reducing greenhouse gases from ships, as</w:t>
      </w:r>
      <w:r>
        <w:rPr>
          <w:spacing w:val="1"/>
        </w:rPr>
        <w:t xml:space="preserve"> </w:t>
      </w:r>
      <w:r>
        <w:t>well</w:t>
      </w:r>
      <w:r>
        <w:rPr>
          <w:spacing w:val="-1"/>
        </w:rPr>
        <w:t xml:space="preserve"> </w:t>
      </w:r>
      <w:r>
        <w:t>as raising</w:t>
      </w:r>
      <w:r>
        <w:rPr>
          <w:spacing w:val="-3"/>
        </w:rPr>
        <w:t xml:space="preserve"> </w:t>
      </w:r>
      <w:r>
        <w:t>the</w:t>
      </w:r>
      <w:r>
        <w:rPr>
          <w:spacing w:val="-1"/>
        </w:rPr>
        <w:t xml:space="preserve"> </w:t>
      </w:r>
      <w:r>
        <w:t>quality</w:t>
      </w:r>
      <w:r>
        <w:rPr>
          <w:spacing w:val="-3"/>
        </w:rPr>
        <w:t xml:space="preserve"> </w:t>
      </w:r>
      <w:r>
        <w:t>of provided services</w:t>
      </w:r>
      <w:r>
        <w:rPr>
          <w:spacing w:val="-1"/>
        </w:rPr>
        <w:t xml:space="preserve"> </w:t>
      </w:r>
      <w:r>
        <w:t>in</w:t>
      </w:r>
      <w:r>
        <w:rPr>
          <w:spacing w:val="2"/>
        </w:rPr>
        <w:t xml:space="preserve"> </w:t>
      </w:r>
      <w:r>
        <w:t>public</w:t>
      </w:r>
      <w:r>
        <w:rPr>
          <w:spacing w:val="-1"/>
        </w:rPr>
        <w:t xml:space="preserve"> </w:t>
      </w:r>
      <w:r>
        <w:t>liner</w:t>
      </w:r>
      <w:r>
        <w:rPr>
          <w:spacing w:val="3"/>
        </w:rPr>
        <w:t xml:space="preserve"> </w:t>
      </w:r>
      <w:r>
        <w:t>maritime</w:t>
      </w:r>
      <w:r>
        <w:rPr>
          <w:spacing w:val="-2"/>
        </w:rPr>
        <w:t xml:space="preserve"> </w:t>
      </w:r>
      <w:r>
        <w:t>transport.</w:t>
      </w:r>
    </w:p>
    <w:p w:rsidR="00A56FE9" w:rsidRDefault="00A56FE9">
      <w:pPr>
        <w:pStyle w:val="Tijeloteksta"/>
        <w:spacing w:before="4"/>
        <w:ind w:left="0"/>
        <w:jc w:val="left"/>
        <w:rPr>
          <w:sz w:val="21"/>
        </w:rPr>
      </w:pPr>
    </w:p>
    <w:p w:rsidR="00A56FE9" w:rsidRDefault="00000000">
      <w:pPr>
        <w:pStyle w:val="Naslov5"/>
      </w:pPr>
      <w:r>
        <w:rPr>
          <w:color w:val="001F5F"/>
        </w:rPr>
        <w:t>Development</w:t>
      </w:r>
      <w:r>
        <w:rPr>
          <w:color w:val="001F5F"/>
          <w:spacing w:val="-2"/>
        </w:rPr>
        <w:t xml:space="preserve"> </w:t>
      </w:r>
      <w:r>
        <w:rPr>
          <w:color w:val="001F5F"/>
        </w:rPr>
        <w:t>of</w:t>
      </w:r>
      <w:r>
        <w:rPr>
          <w:color w:val="001F5F"/>
          <w:spacing w:val="-2"/>
        </w:rPr>
        <w:t xml:space="preserve"> </w:t>
      </w:r>
      <w:r>
        <w:rPr>
          <w:color w:val="001F5F"/>
        </w:rPr>
        <w:t>fast</w:t>
      </w:r>
      <w:r>
        <w:rPr>
          <w:color w:val="001F5F"/>
          <w:spacing w:val="-2"/>
        </w:rPr>
        <w:t xml:space="preserve"> </w:t>
      </w:r>
      <w:r>
        <w:rPr>
          <w:color w:val="001F5F"/>
        </w:rPr>
        <w:t>broadband</w:t>
      </w:r>
      <w:r>
        <w:rPr>
          <w:color w:val="001F5F"/>
          <w:spacing w:val="-2"/>
        </w:rPr>
        <w:t xml:space="preserve"> </w:t>
      </w:r>
      <w:r>
        <w:rPr>
          <w:color w:val="001F5F"/>
        </w:rPr>
        <w:t>Internet</w:t>
      </w:r>
    </w:p>
    <w:p w:rsidR="00A56FE9" w:rsidRDefault="00000000">
      <w:pPr>
        <w:pStyle w:val="Tijeloteksta"/>
        <w:spacing w:before="115"/>
        <w:ind w:right="277"/>
      </w:pPr>
      <w:r>
        <w:t>The development of fast broadband Internet is carried out by investing in the Building Next</w:t>
      </w:r>
      <w:r>
        <w:rPr>
          <w:spacing w:val="1"/>
        </w:rPr>
        <w:t xml:space="preserve"> </w:t>
      </w:r>
      <w:r>
        <w:t>Generation</w:t>
      </w:r>
      <w:r>
        <w:rPr>
          <w:spacing w:val="-9"/>
        </w:rPr>
        <w:t xml:space="preserve"> </w:t>
      </w:r>
      <w:r>
        <w:t>Networks</w:t>
      </w:r>
      <w:r>
        <w:rPr>
          <w:spacing w:val="-9"/>
        </w:rPr>
        <w:t xml:space="preserve"> </w:t>
      </w:r>
      <w:r>
        <w:t>(NGN)</w:t>
      </w:r>
      <w:r>
        <w:rPr>
          <w:spacing w:val="-9"/>
        </w:rPr>
        <w:t xml:space="preserve"> </w:t>
      </w:r>
      <w:r>
        <w:t>/</w:t>
      </w:r>
      <w:r>
        <w:rPr>
          <w:spacing w:val="-6"/>
        </w:rPr>
        <w:t xml:space="preserve"> </w:t>
      </w:r>
      <w:r>
        <w:t>Next</w:t>
      </w:r>
      <w:r>
        <w:rPr>
          <w:spacing w:val="-8"/>
        </w:rPr>
        <w:t xml:space="preserve"> </w:t>
      </w:r>
      <w:r>
        <w:t>Generation</w:t>
      </w:r>
      <w:r>
        <w:rPr>
          <w:spacing w:val="-9"/>
        </w:rPr>
        <w:t xml:space="preserve"> </w:t>
      </w:r>
      <w:r>
        <w:t>Access</w:t>
      </w:r>
      <w:r>
        <w:rPr>
          <w:spacing w:val="-6"/>
        </w:rPr>
        <w:t xml:space="preserve"> </w:t>
      </w:r>
      <w:r>
        <w:t>Networks</w:t>
      </w:r>
      <w:r>
        <w:rPr>
          <w:spacing w:val="-6"/>
        </w:rPr>
        <w:t xml:space="preserve"> </w:t>
      </w:r>
      <w:r>
        <w:t>(NGA)</w:t>
      </w:r>
      <w:r>
        <w:rPr>
          <w:spacing w:val="-10"/>
        </w:rPr>
        <w:t xml:space="preserve"> </w:t>
      </w:r>
      <w:r>
        <w:t>in</w:t>
      </w:r>
      <w:r>
        <w:rPr>
          <w:spacing w:val="-9"/>
        </w:rPr>
        <w:t xml:space="preserve"> </w:t>
      </w:r>
      <w:r>
        <w:t>White</w:t>
      </w:r>
      <w:r>
        <w:rPr>
          <w:spacing w:val="-10"/>
        </w:rPr>
        <w:t xml:space="preserve"> </w:t>
      </w:r>
      <w:r>
        <w:t>NGA</w:t>
      </w:r>
      <w:r>
        <w:rPr>
          <w:spacing w:val="-7"/>
        </w:rPr>
        <w:t xml:space="preserve"> </w:t>
      </w:r>
      <w:r>
        <w:t>Areas</w:t>
      </w:r>
      <w:r>
        <w:rPr>
          <w:spacing w:val="-58"/>
        </w:rPr>
        <w:t xml:space="preserve"> </w:t>
      </w:r>
      <w:r>
        <w:t>and</w:t>
      </w:r>
      <w:r>
        <w:rPr>
          <w:spacing w:val="1"/>
        </w:rPr>
        <w:t xml:space="preserve"> </w:t>
      </w:r>
      <w:r>
        <w:t>Building</w:t>
      </w:r>
      <w:r>
        <w:rPr>
          <w:spacing w:val="1"/>
        </w:rPr>
        <w:t xml:space="preserve"> </w:t>
      </w:r>
      <w:r>
        <w:t>the</w:t>
      </w:r>
      <w:r>
        <w:rPr>
          <w:spacing w:val="1"/>
        </w:rPr>
        <w:t xml:space="preserve"> </w:t>
      </w:r>
      <w:r>
        <w:t>National</w:t>
      </w:r>
      <w:r>
        <w:rPr>
          <w:spacing w:val="1"/>
        </w:rPr>
        <w:t xml:space="preserve"> </w:t>
      </w:r>
      <w:r>
        <w:t>Next</w:t>
      </w:r>
      <w:r>
        <w:rPr>
          <w:spacing w:val="1"/>
        </w:rPr>
        <w:t xml:space="preserve"> </w:t>
      </w:r>
      <w:r>
        <w:t>Generation</w:t>
      </w:r>
      <w:r>
        <w:rPr>
          <w:spacing w:val="1"/>
        </w:rPr>
        <w:t xml:space="preserve"> </w:t>
      </w:r>
      <w:r>
        <w:t>Aggregate</w:t>
      </w:r>
      <w:r>
        <w:rPr>
          <w:spacing w:val="1"/>
        </w:rPr>
        <w:t xml:space="preserve"> </w:t>
      </w:r>
      <w:r>
        <w:t>Broadband</w:t>
      </w:r>
      <w:r>
        <w:rPr>
          <w:spacing w:val="1"/>
        </w:rPr>
        <w:t xml:space="preserve"> </w:t>
      </w:r>
      <w:r>
        <w:t>Infrastructure</w:t>
      </w:r>
      <w:r>
        <w:rPr>
          <w:spacing w:val="1"/>
        </w:rPr>
        <w:t xml:space="preserve"> </w:t>
      </w:r>
      <w:r>
        <w:t>and</w:t>
      </w:r>
      <w:r>
        <w:rPr>
          <w:spacing w:val="1"/>
        </w:rPr>
        <w:t xml:space="preserve"> </w:t>
      </w:r>
      <w:r>
        <w:t>Connecting Targeted Users within Public Administration Bodies (public users) along with</w:t>
      </w:r>
      <w:r>
        <w:rPr>
          <w:spacing w:val="1"/>
        </w:rPr>
        <w:t xml:space="preserve"> </w:t>
      </w:r>
      <w:r>
        <w:t>modern next-generation electronic communication infrastructure. Investments are carried out</w:t>
      </w:r>
      <w:r>
        <w:rPr>
          <w:spacing w:val="1"/>
        </w:rPr>
        <w:t xml:space="preserve"> </w:t>
      </w:r>
      <w:r>
        <w:t>in terms of the Call for Building Next Generation Networks (NGN) / Next Generation Access</w:t>
      </w:r>
      <w:r>
        <w:rPr>
          <w:spacing w:val="1"/>
        </w:rPr>
        <w:t xml:space="preserve"> </w:t>
      </w:r>
      <w:r>
        <w:rPr>
          <w:spacing w:val="-1"/>
        </w:rPr>
        <w:t>Networks</w:t>
      </w:r>
      <w:r>
        <w:rPr>
          <w:spacing w:val="-14"/>
        </w:rPr>
        <w:t xml:space="preserve"> </w:t>
      </w:r>
      <w:r>
        <w:t>(NGA)</w:t>
      </w:r>
      <w:r>
        <w:rPr>
          <w:spacing w:val="-14"/>
        </w:rPr>
        <w:t xml:space="preserve"> </w:t>
      </w:r>
      <w:r>
        <w:t>in</w:t>
      </w:r>
      <w:r>
        <w:rPr>
          <w:spacing w:val="-13"/>
        </w:rPr>
        <w:t xml:space="preserve"> </w:t>
      </w:r>
      <w:r>
        <w:t>White</w:t>
      </w:r>
      <w:r>
        <w:rPr>
          <w:spacing w:val="-14"/>
        </w:rPr>
        <w:t xml:space="preserve"> </w:t>
      </w:r>
      <w:r>
        <w:t>NGA</w:t>
      </w:r>
      <w:r>
        <w:rPr>
          <w:spacing w:val="-14"/>
        </w:rPr>
        <w:t xml:space="preserve"> </w:t>
      </w:r>
      <w:r>
        <w:t>Areas</w:t>
      </w:r>
      <w:r>
        <w:rPr>
          <w:spacing w:val="-13"/>
        </w:rPr>
        <w:t xml:space="preserve"> </w:t>
      </w:r>
      <w:r>
        <w:t>for</w:t>
      </w:r>
      <w:r>
        <w:rPr>
          <w:spacing w:val="-15"/>
        </w:rPr>
        <w:t xml:space="preserve"> </w:t>
      </w:r>
      <w:r>
        <w:t>which</w:t>
      </w:r>
      <w:r>
        <w:rPr>
          <w:spacing w:val="-13"/>
        </w:rPr>
        <w:t xml:space="preserve"> </w:t>
      </w:r>
      <w:r>
        <w:t>20</w:t>
      </w:r>
      <w:r>
        <w:rPr>
          <w:spacing w:val="-13"/>
        </w:rPr>
        <w:t xml:space="preserve"> </w:t>
      </w:r>
      <w:r>
        <w:t>Grant</w:t>
      </w:r>
      <w:r>
        <w:rPr>
          <w:spacing w:val="-13"/>
        </w:rPr>
        <w:t xml:space="preserve"> </w:t>
      </w:r>
      <w:r>
        <w:t>Agreements</w:t>
      </w:r>
      <w:r>
        <w:rPr>
          <w:spacing w:val="-13"/>
        </w:rPr>
        <w:t xml:space="preserve"> </w:t>
      </w:r>
      <w:r>
        <w:t>were</w:t>
      </w:r>
      <w:r>
        <w:rPr>
          <w:spacing w:val="-13"/>
        </w:rPr>
        <w:t xml:space="preserve"> </w:t>
      </w:r>
      <w:r>
        <w:t>signed</w:t>
      </w:r>
      <w:r>
        <w:rPr>
          <w:spacing w:val="-13"/>
        </w:rPr>
        <w:t xml:space="preserve"> </w:t>
      </w:r>
      <w:r>
        <w:t>for</w:t>
      </w:r>
      <w:r>
        <w:rPr>
          <w:spacing w:val="-15"/>
        </w:rPr>
        <w:t xml:space="preserve"> </w:t>
      </w:r>
      <w:r>
        <w:t>projects</w:t>
      </w:r>
      <w:r>
        <w:rPr>
          <w:spacing w:val="-57"/>
        </w:rPr>
        <w:t xml:space="preserve"> </w:t>
      </w:r>
      <w:r>
        <w:t>financed from</w:t>
      </w:r>
      <w:r>
        <w:rPr>
          <w:spacing w:val="-1"/>
        </w:rPr>
        <w:t xml:space="preserve"> </w:t>
      </w:r>
      <w:r>
        <w:t>European</w:t>
      </w:r>
      <w:r>
        <w:rPr>
          <w:spacing w:val="1"/>
        </w:rPr>
        <w:t xml:space="preserve"> </w:t>
      </w:r>
      <w:r>
        <w:t>Structural</w:t>
      </w:r>
      <w:r>
        <w:rPr>
          <w:spacing w:val="-1"/>
        </w:rPr>
        <w:t xml:space="preserve"> </w:t>
      </w:r>
      <w:r>
        <w:t>and Investment</w:t>
      </w:r>
      <w:r>
        <w:rPr>
          <w:spacing w:val="-2"/>
        </w:rPr>
        <w:t xml:space="preserve"> </w:t>
      </w:r>
      <w:r>
        <w:t>Funds</w:t>
      </w:r>
      <w:r>
        <w:rPr>
          <w:spacing w:val="-1"/>
        </w:rPr>
        <w:t xml:space="preserve"> </w:t>
      </w:r>
      <w:r>
        <w:t>in</w:t>
      </w:r>
      <w:r>
        <w:rPr>
          <w:spacing w:val="-1"/>
        </w:rPr>
        <w:t xml:space="preserve"> </w:t>
      </w:r>
      <w:r>
        <w:t>the</w:t>
      </w:r>
      <w:r>
        <w:rPr>
          <w:spacing w:val="-1"/>
        </w:rPr>
        <w:t xml:space="preserve"> </w:t>
      </w:r>
      <w:r>
        <w:t>2014-2020</w:t>
      </w:r>
      <w:r>
        <w:rPr>
          <w:spacing w:val="1"/>
        </w:rPr>
        <w:t xml:space="preserve"> </w:t>
      </w:r>
      <w:r>
        <w:t>financial</w:t>
      </w:r>
      <w:r>
        <w:rPr>
          <w:spacing w:val="-1"/>
        </w:rPr>
        <w:t xml:space="preserve"> </w:t>
      </w:r>
      <w:r>
        <w:t>period.</w:t>
      </w:r>
    </w:p>
    <w:p w:rsidR="00A56FE9" w:rsidRDefault="00000000">
      <w:pPr>
        <w:pStyle w:val="Tijeloteksta"/>
        <w:spacing w:before="121"/>
        <w:ind w:right="273"/>
      </w:pPr>
      <w:r>
        <w:t>Investments</w:t>
      </w:r>
      <w:r>
        <w:rPr>
          <w:spacing w:val="1"/>
        </w:rPr>
        <w:t xml:space="preserve"> </w:t>
      </w:r>
      <w:r>
        <w:t>in</w:t>
      </w:r>
      <w:r>
        <w:rPr>
          <w:spacing w:val="1"/>
        </w:rPr>
        <w:t xml:space="preserve"> </w:t>
      </w:r>
      <w:r>
        <w:t>Construction</w:t>
      </w:r>
      <w:r>
        <w:rPr>
          <w:spacing w:val="1"/>
        </w:rPr>
        <w:t xml:space="preserve"> </w:t>
      </w:r>
      <w:r>
        <w:t>of</w:t>
      </w:r>
      <w:r>
        <w:rPr>
          <w:spacing w:val="1"/>
        </w:rPr>
        <w:t xml:space="preserve"> </w:t>
      </w:r>
      <w:r>
        <w:t>the</w:t>
      </w:r>
      <w:r>
        <w:rPr>
          <w:spacing w:val="1"/>
        </w:rPr>
        <w:t xml:space="preserve"> </w:t>
      </w:r>
      <w:r>
        <w:t>National</w:t>
      </w:r>
      <w:r>
        <w:rPr>
          <w:spacing w:val="1"/>
        </w:rPr>
        <w:t xml:space="preserve"> </w:t>
      </w:r>
      <w:r>
        <w:t>Aggregate</w:t>
      </w:r>
      <w:r>
        <w:rPr>
          <w:spacing w:val="1"/>
        </w:rPr>
        <w:t xml:space="preserve"> </w:t>
      </w:r>
      <w:r>
        <w:t>Next</w:t>
      </w:r>
      <w:r>
        <w:rPr>
          <w:spacing w:val="1"/>
        </w:rPr>
        <w:t xml:space="preserve"> </w:t>
      </w:r>
      <w:r>
        <w:t>Generation</w:t>
      </w:r>
      <w:r>
        <w:rPr>
          <w:spacing w:val="1"/>
        </w:rPr>
        <w:t xml:space="preserve"> </w:t>
      </w:r>
      <w:r>
        <w:t>Broadband</w:t>
      </w:r>
      <w:r>
        <w:rPr>
          <w:spacing w:val="1"/>
        </w:rPr>
        <w:t xml:space="preserve"> </w:t>
      </w:r>
      <w:r>
        <w:t>and</w:t>
      </w:r>
      <w:r>
        <w:rPr>
          <w:spacing w:val="-57"/>
        </w:rPr>
        <w:t xml:space="preserve"> </w:t>
      </w:r>
      <w:r>
        <w:t>Connecting Targeted Users within Public Administration Bodies (public users) along with</w:t>
      </w:r>
      <w:r>
        <w:rPr>
          <w:spacing w:val="1"/>
        </w:rPr>
        <w:t xml:space="preserve"> </w:t>
      </w:r>
      <w:r>
        <w:t>modern next-generation electronic communication infrastructure is undertaken through the</w:t>
      </w:r>
      <w:r>
        <w:rPr>
          <w:spacing w:val="1"/>
        </w:rPr>
        <w:t xml:space="preserve"> </w:t>
      </w:r>
      <w:r>
        <w:t>same-named Call in terms of which the Grant Agreement for projects financed from European</w:t>
      </w:r>
      <w:r>
        <w:rPr>
          <w:spacing w:val="-57"/>
        </w:rPr>
        <w:t xml:space="preserve"> </w:t>
      </w:r>
      <w:r>
        <w:t>Structural</w:t>
      </w:r>
      <w:r>
        <w:rPr>
          <w:spacing w:val="-1"/>
        </w:rPr>
        <w:t xml:space="preserve"> </w:t>
      </w:r>
      <w:r>
        <w:t>and Investment Funds</w:t>
      </w:r>
      <w:r>
        <w:rPr>
          <w:spacing w:val="-1"/>
        </w:rPr>
        <w:t xml:space="preserve"> </w:t>
      </w:r>
      <w:r>
        <w:t>(ESIF) was</w:t>
      </w:r>
      <w:r>
        <w:rPr>
          <w:spacing w:val="-1"/>
        </w:rPr>
        <w:t xml:space="preserve"> </w:t>
      </w:r>
      <w:r>
        <w:t>signed for</w:t>
      </w:r>
      <w:r>
        <w:rPr>
          <w:spacing w:val="-3"/>
        </w:rPr>
        <w:t xml:space="preserve"> </w:t>
      </w:r>
      <w:r>
        <w:t>the 2014-2020</w:t>
      </w:r>
      <w:r>
        <w:rPr>
          <w:spacing w:val="-1"/>
        </w:rPr>
        <w:t xml:space="preserve"> </w:t>
      </w:r>
      <w:r>
        <w:t>financial period.</w:t>
      </w:r>
    </w:p>
    <w:p w:rsidR="00A56FE9" w:rsidRDefault="00A56FE9">
      <w:pPr>
        <w:pStyle w:val="Tijeloteksta"/>
        <w:spacing w:before="3"/>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217719563"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597940267" name="Rectangle 288"/>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40EAA0D" id="Group 287"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KjjzJNQAgAADwUAAA4AAAAAAAAAAAAAAAAALgIAAGRycy9lMm9Eb2MueG1sUEsBAi0AFAAGAAgA&#10;AAAhAOjoSp3cAAAAAwEAAA8AAAAAAAAAAAAAAAAAqgQAAGRycy9kb3ducmV2LnhtbFBLBQYAAAAA&#10;BAAEAPMAAACzBQAAAAA=&#10;">
                <v:rect id="Rectangle 288"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" fillcolor="#2c398a" stroked="f"/>
                <w10:anchorlock/>
              </v:group>
            </w:pict>
          </mc:Fallback>
        </mc:AlternateContent>
      </w:r>
    </w:p>
    <w:p w:rsidR="00A56FE9" w:rsidRDefault="00A56FE9">
      <w:pPr>
        <w:pStyle w:val="Tijeloteksta"/>
        <w:spacing w:before="10"/>
        <w:ind w:left="0"/>
        <w:jc w:val="left"/>
        <w:rPr>
          <w:b/>
          <w:sz w:val="12"/>
        </w:rPr>
      </w:pPr>
    </w:p>
    <w:p w:rsidR="00A56FE9" w:rsidRDefault="00000000">
      <w:pPr>
        <w:pStyle w:val="Naslov5"/>
        <w:spacing w:before="90"/>
      </w:pPr>
      <w:r>
        <w:rPr>
          <w:color w:val="2C398A"/>
        </w:rPr>
        <w:t>Railway</w:t>
      </w:r>
      <w:r>
        <w:rPr>
          <w:color w:val="2C398A"/>
          <w:spacing w:val="-1"/>
        </w:rPr>
        <w:t xml:space="preserve"> </w:t>
      </w:r>
      <w:r>
        <w:rPr>
          <w:color w:val="2C398A"/>
        </w:rPr>
        <w:t>transport</w:t>
      </w:r>
    </w:p>
    <w:p w:rsidR="00A56FE9" w:rsidRDefault="00000000">
      <w:pPr>
        <w:pStyle w:val="Tijeloteksta"/>
        <w:spacing w:before="116"/>
        <w:ind w:right="273"/>
      </w:pPr>
      <w:r>
        <w:t>The</w:t>
      </w:r>
      <w:r>
        <w:rPr>
          <w:spacing w:val="1"/>
        </w:rPr>
        <w:t xml:space="preserve"> </w:t>
      </w:r>
      <w:r>
        <w:t>Sectoral</w:t>
      </w:r>
      <w:r>
        <w:rPr>
          <w:spacing w:val="1"/>
        </w:rPr>
        <w:t xml:space="preserve"> </w:t>
      </w:r>
      <w:r>
        <w:t>Policy</w:t>
      </w:r>
      <w:r>
        <w:rPr>
          <w:spacing w:val="1"/>
        </w:rPr>
        <w:t xml:space="preserve"> </w:t>
      </w:r>
      <w:r>
        <w:t>Letter</w:t>
      </w:r>
      <w:r>
        <w:rPr>
          <w:spacing w:val="1"/>
        </w:rPr>
        <w:t xml:space="preserve"> </w:t>
      </w:r>
      <w:r>
        <w:t>provides</w:t>
      </w:r>
      <w:r>
        <w:rPr>
          <w:spacing w:val="1"/>
        </w:rPr>
        <w:t xml:space="preserve"> </w:t>
      </w:r>
      <w:r>
        <w:t>stimulation</w:t>
      </w:r>
      <w:r>
        <w:rPr>
          <w:spacing w:val="1"/>
        </w:rPr>
        <w:t xml:space="preserve"> </w:t>
      </w:r>
      <w:r>
        <w:t>to</w:t>
      </w:r>
      <w:r>
        <w:rPr>
          <w:spacing w:val="1"/>
        </w:rPr>
        <w:t xml:space="preserve"> </w:t>
      </w:r>
      <w:r>
        <w:t>use</w:t>
      </w:r>
      <w:r>
        <w:rPr>
          <w:spacing w:val="1"/>
        </w:rPr>
        <w:t xml:space="preserve"> </w:t>
      </w:r>
      <w:r>
        <w:t>information</w:t>
      </w:r>
      <w:r>
        <w:rPr>
          <w:spacing w:val="1"/>
        </w:rPr>
        <w:t xml:space="preserve"> </w:t>
      </w:r>
      <w:r>
        <w:t>and</w:t>
      </w:r>
      <w:r>
        <w:rPr>
          <w:spacing w:val="1"/>
        </w:rPr>
        <w:t xml:space="preserve"> </w:t>
      </w:r>
      <w:r>
        <w:t>communication</w:t>
      </w:r>
      <w:r>
        <w:rPr>
          <w:spacing w:val="1"/>
        </w:rPr>
        <w:t xml:space="preserve"> </w:t>
      </w:r>
      <w:r>
        <w:t>technological solutions to strengthen the competitiveness, reliability and safety of railway</w:t>
      </w:r>
      <w:r>
        <w:rPr>
          <w:spacing w:val="1"/>
        </w:rPr>
        <w:t xml:space="preserve"> </w:t>
      </w:r>
      <w:r>
        <w:t>transport and reduce the costs of infrastructure management. When planning the development</w:t>
      </w:r>
      <w:r>
        <w:rPr>
          <w:spacing w:val="1"/>
        </w:rPr>
        <w:t xml:space="preserve"> </w:t>
      </w:r>
      <w:r>
        <w:t>of the sector, the need for digital solutions will be taken into account to establish a centralised</w:t>
      </w:r>
      <w:r>
        <w:rPr>
          <w:spacing w:val="1"/>
        </w:rPr>
        <w:t xml:space="preserve"> </w:t>
      </w:r>
      <w:r>
        <w:t>management system, optimise asset management, provide passenger and freight transport</w:t>
      </w:r>
      <w:r>
        <w:rPr>
          <w:spacing w:val="1"/>
        </w:rPr>
        <w:t xml:space="preserve"> </w:t>
      </w:r>
      <w:r>
        <w:t>services,</w:t>
      </w:r>
      <w:r>
        <w:rPr>
          <w:spacing w:val="-1"/>
        </w:rPr>
        <w:t xml:space="preserve"> </w:t>
      </w:r>
      <w:r>
        <w:t>and improve</w:t>
      </w:r>
      <w:r>
        <w:rPr>
          <w:spacing w:val="-2"/>
        </w:rPr>
        <w:t xml:space="preserve"> </w:t>
      </w:r>
      <w:r>
        <w:t>signalling, security,</w:t>
      </w:r>
      <w:r>
        <w:rPr>
          <w:spacing w:val="3"/>
        </w:rPr>
        <w:t xml:space="preserve"> </w:t>
      </w:r>
      <w:r>
        <w:t>and</w:t>
      </w:r>
      <w:r>
        <w:rPr>
          <w:spacing w:val="-1"/>
        </w:rPr>
        <w:t xml:space="preserve"> </w:t>
      </w:r>
      <w:r>
        <w:t>telecommunications systems.</w:t>
      </w:r>
    </w:p>
    <w:p w:rsidR="00A56FE9" w:rsidRDefault="00000000">
      <w:pPr>
        <w:pStyle w:val="Tijeloteksta"/>
        <w:spacing w:before="120"/>
        <w:ind w:right="272"/>
      </w:pPr>
      <w:r>
        <w:t>In</w:t>
      </w:r>
      <w:r>
        <w:rPr>
          <w:spacing w:val="-1"/>
        </w:rPr>
        <w:t xml:space="preserve"> </w:t>
      </w:r>
      <w:r>
        <w:t>line</w:t>
      </w:r>
      <w:r>
        <w:rPr>
          <w:spacing w:val="-5"/>
        </w:rPr>
        <w:t xml:space="preserve"> </w:t>
      </w:r>
      <w:r>
        <w:t>with</w:t>
      </w:r>
      <w:r>
        <w:rPr>
          <w:spacing w:val="-3"/>
        </w:rPr>
        <w:t xml:space="preserve"> </w:t>
      </w:r>
      <w:r>
        <w:t>the</w:t>
      </w:r>
      <w:r>
        <w:rPr>
          <w:spacing w:val="-4"/>
        </w:rPr>
        <w:t xml:space="preserve"> </w:t>
      </w:r>
      <w:r>
        <w:t>NRRP</w:t>
      </w:r>
      <w:r>
        <w:rPr>
          <w:spacing w:val="-3"/>
        </w:rPr>
        <w:t xml:space="preserve"> </w:t>
      </w:r>
      <w:r>
        <w:t>and</w:t>
      </w:r>
      <w:r>
        <w:rPr>
          <w:spacing w:val="-4"/>
        </w:rPr>
        <w:t xml:space="preserve"> </w:t>
      </w:r>
      <w:r>
        <w:t>the</w:t>
      </w:r>
      <w:r>
        <w:rPr>
          <w:spacing w:val="-1"/>
        </w:rPr>
        <w:t xml:space="preserve"> </w:t>
      </w:r>
      <w:r>
        <w:t>Implementation</w:t>
      </w:r>
      <w:r>
        <w:rPr>
          <w:spacing w:val="-3"/>
        </w:rPr>
        <w:t xml:space="preserve"> </w:t>
      </w:r>
      <w:r>
        <w:t>Plan</w:t>
      </w:r>
      <w:r>
        <w:rPr>
          <w:spacing w:val="-4"/>
        </w:rPr>
        <w:t xml:space="preserve"> </w:t>
      </w:r>
      <w:r>
        <w:t>of</w:t>
      </w:r>
      <w:r>
        <w:rPr>
          <w:spacing w:val="-2"/>
        </w:rPr>
        <w:t xml:space="preserve"> </w:t>
      </w:r>
      <w:r>
        <w:t>Measures</w:t>
      </w:r>
      <w:r>
        <w:rPr>
          <w:spacing w:val="-1"/>
        </w:rPr>
        <w:t xml:space="preserve"> </w:t>
      </w:r>
      <w:r>
        <w:t>and</w:t>
      </w:r>
      <w:r>
        <w:rPr>
          <w:spacing w:val="-4"/>
        </w:rPr>
        <w:t xml:space="preserve"> </w:t>
      </w:r>
      <w:r>
        <w:t>Activities</w:t>
      </w:r>
      <w:r>
        <w:rPr>
          <w:spacing w:val="-4"/>
        </w:rPr>
        <w:t xml:space="preserve"> </w:t>
      </w:r>
      <w:r>
        <w:t>for</w:t>
      </w:r>
      <w:r>
        <w:rPr>
          <w:spacing w:val="-5"/>
        </w:rPr>
        <w:t xml:space="preserve"> </w:t>
      </w:r>
      <w:r>
        <w:t>the</w:t>
      </w:r>
      <w:r>
        <w:rPr>
          <w:spacing w:val="-2"/>
        </w:rPr>
        <w:t xml:space="preserve"> </w:t>
      </w:r>
      <w:r>
        <w:t>Reform</w:t>
      </w:r>
      <w:r>
        <w:rPr>
          <w:spacing w:val="-58"/>
        </w:rPr>
        <w:t xml:space="preserve"> </w:t>
      </w:r>
      <w:r>
        <w:t>of the Railway Sector from the Sectoral Policy Letter, the plan isto establish a new strategic</w:t>
      </w:r>
      <w:r>
        <w:rPr>
          <w:spacing w:val="1"/>
        </w:rPr>
        <w:t xml:space="preserve"> </w:t>
      </w:r>
      <w:r>
        <w:t>framework</w:t>
      </w:r>
      <w:r>
        <w:rPr>
          <w:spacing w:val="-1"/>
        </w:rPr>
        <w:t xml:space="preserve"> </w:t>
      </w:r>
      <w:r>
        <w:t>for</w:t>
      </w:r>
      <w:r>
        <w:rPr>
          <w:spacing w:val="-1"/>
        </w:rPr>
        <w:t xml:space="preserve"> </w:t>
      </w:r>
      <w:r>
        <w:t>the</w:t>
      </w:r>
      <w:r>
        <w:rPr>
          <w:spacing w:val="-3"/>
        </w:rPr>
        <w:t xml:space="preserve"> </w:t>
      </w:r>
      <w:r>
        <w:t>railway</w:t>
      </w:r>
      <w:r>
        <w:rPr>
          <w:spacing w:val="-4"/>
        </w:rPr>
        <w:t xml:space="preserve"> </w:t>
      </w:r>
      <w:r>
        <w:t>sector.</w:t>
      </w:r>
      <w:r>
        <w:rPr>
          <w:spacing w:val="-1"/>
        </w:rPr>
        <w:t xml:space="preserve"> </w:t>
      </w:r>
      <w:r>
        <w:t>An</w:t>
      </w:r>
      <w:r>
        <w:rPr>
          <w:spacing w:val="-1"/>
        </w:rPr>
        <w:t xml:space="preserve"> </w:t>
      </w:r>
      <w:r>
        <w:t>analysis</w:t>
      </w:r>
      <w:r>
        <w:rPr>
          <w:spacing w:val="-1"/>
        </w:rPr>
        <w:t xml:space="preserve"> </w:t>
      </w:r>
      <w:r>
        <w:t>of the</w:t>
      </w:r>
      <w:r>
        <w:rPr>
          <w:spacing w:val="-2"/>
        </w:rPr>
        <w:t xml:space="preserve"> </w:t>
      </w:r>
      <w:r>
        <w:t>state</w:t>
      </w:r>
      <w:r>
        <w:rPr>
          <w:spacing w:val="-2"/>
        </w:rPr>
        <w:t xml:space="preserve"> </w:t>
      </w:r>
      <w:r>
        <w:t>of</w:t>
      </w:r>
      <w:r>
        <w:rPr>
          <w:spacing w:val="-1"/>
        </w:rPr>
        <w:t xml:space="preserve"> </w:t>
      </w:r>
      <w:r>
        <w:t>the</w:t>
      </w:r>
      <w:r>
        <w:rPr>
          <w:spacing w:val="-3"/>
        </w:rPr>
        <w:t xml:space="preserve"> </w:t>
      </w:r>
      <w:r>
        <w:t>railway</w:t>
      </w:r>
      <w:r>
        <w:rPr>
          <w:spacing w:val="-9"/>
        </w:rPr>
        <w:t xml:space="preserve"> </w:t>
      </w:r>
      <w:r>
        <w:t>system</w:t>
      </w:r>
      <w:r>
        <w:rPr>
          <w:spacing w:val="-1"/>
        </w:rPr>
        <w:t xml:space="preserve"> </w:t>
      </w:r>
      <w:r>
        <w:t>will</w:t>
      </w:r>
      <w:r>
        <w:rPr>
          <w:spacing w:val="-1"/>
        </w:rPr>
        <w:t xml:space="preserve"> </w:t>
      </w:r>
      <w:r>
        <w:t>be carried</w:t>
      </w:r>
      <w:r>
        <w:rPr>
          <w:spacing w:val="-58"/>
        </w:rPr>
        <w:t xml:space="preserve"> </w:t>
      </w:r>
      <w:r>
        <w:rPr>
          <w:spacing w:val="-1"/>
        </w:rPr>
        <w:t>out</w:t>
      </w:r>
      <w:r>
        <w:rPr>
          <w:spacing w:val="-14"/>
        </w:rPr>
        <w:t xml:space="preserve"> </w:t>
      </w:r>
      <w:r>
        <w:t>as</w:t>
      </w:r>
      <w:r>
        <w:rPr>
          <w:spacing w:val="-15"/>
        </w:rPr>
        <w:t xml:space="preserve"> </w:t>
      </w:r>
      <w:r>
        <w:t>a</w:t>
      </w:r>
      <w:r>
        <w:rPr>
          <w:spacing w:val="-14"/>
        </w:rPr>
        <w:t xml:space="preserve"> </w:t>
      </w:r>
      <w:r>
        <w:t>precondition</w:t>
      </w:r>
      <w:r>
        <w:rPr>
          <w:spacing w:val="-14"/>
        </w:rPr>
        <w:t xml:space="preserve"> </w:t>
      </w:r>
      <w:r>
        <w:t>for</w:t>
      </w:r>
      <w:r>
        <w:rPr>
          <w:spacing w:val="-14"/>
        </w:rPr>
        <w:t xml:space="preserve"> </w:t>
      </w:r>
      <w:r>
        <w:t>further</w:t>
      </w:r>
      <w:r>
        <w:rPr>
          <w:spacing w:val="-13"/>
        </w:rPr>
        <w:t xml:space="preserve"> </w:t>
      </w:r>
      <w:r>
        <w:t>activities</w:t>
      </w:r>
      <w:r>
        <w:rPr>
          <w:spacing w:val="-13"/>
        </w:rPr>
        <w:t xml:space="preserve"> </w:t>
      </w:r>
      <w:r>
        <w:t>in</w:t>
      </w:r>
      <w:r>
        <w:rPr>
          <w:spacing w:val="-14"/>
        </w:rPr>
        <w:t xml:space="preserve"> </w:t>
      </w:r>
      <w:r>
        <w:t>drafting</w:t>
      </w:r>
      <w:r>
        <w:rPr>
          <w:spacing w:val="-17"/>
        </w:rPr>
        <w:t xml:space="preserve"> </w:t>
      </w:r>
      <w:r>
        <w:t>the</w:t>
      </w:r>
      <w:r>
        <w:rPr>
          <w:spacing w:val="-16"/>
        </w:rPr>
        <w:t xml:space="preserve"> </w:t>
      </w:r>
      <w:r>
        <w:t>Railway</w:t>
      </w:r>
      <w:r>
        <w:rPr>
          <w:spacing w:val="-20"/>
        </w:rPr>
        <w:t xml:space="preserve"> </w:t>
      </w:r>
      <w:r>
        <w:t>System</w:t>
      </w:r>
      <w:r>
        <w:rPr>
          <w:spacing w:val="-12"/>
        </w:rPr>
        <w:t xml:space="preserve"> </w:t>
      </w:r>
      <w:r>
        <w:t>Development</w:t>
      </w:r>
      <w:r>
        <w:rPr>
          <w:spacing w:val="-14"/>
        </w:rPr>
        <w:t xml:space="preserve"> </w:t>
      </w:r>
      <w:r>
        <w:t>Strategy</w:t>
      </w:r>
      <w:r>
        <w:rPr>
          <w:spacing w:val="-57"/>
        </w:rPr>
        <w:t xml:space="preserve"> </w:t>
      </w:r>
      <w:r>
        <w:t>in</w:t>
      </w:r>
      <w:r>
        <w:rPr>
          <w:spacing w:val="-13"/>
        </w:rPr>
        <w:t xml:space="preserve"> </w:t>
      </w:r>
      <w:r>
        <w:t>the</w:t>
      </w:r>
      <w:r>
        <w:rPr>
          <w:spacing w:val="-14"/>
        </w:rPr>
        <w:t xml:space="preserve"> </w:t>
      </w:r>
      <w:r>
        <w:t>Republic</w:t>
      </w:r>
      <w:r>
        <w:rPr>
          <w:spacing w:val="-14"/>
        </w:rPr>
        <w:t xml:space="preserve"> </w:t>
      </w:r>
      <w:r>
        <w:t>of</w:t>
      </w:r>
      <w:r>
        <w:rPr>
          <w:spacing w:val="-14"/>
        </w:rPr>
        <w:t xml:space="preserve"> </w:t>
      </w:r>
      <w:r>
        <w:t>Croatia</w:t>
      </w:r>
      <w:r>
        <w:rPr>
          <w:spacing w:val="-12"/>
        </w:rPr>
        <w:t xml:space="preserve"> </w:t>
      </w:r>
      <w:r>
        <w:t>from</w:t>
      </w:r>
      <w:r>
        <w:rPr>
          <w:spacing w:val="-13"/>
        </w:rPr>
        <w:t xml:space="preserve"> </w:t>
      </w:r>
      <w:r>
        <w:t>2022</w:t>
      </w:r>
      <w:r>
        <w:rPr>
          <w:spacing w:val="-13"/>
        </w:rPr>
        <w:t xml:space="preserve"> </w:t>
      </w:r>
      <w:r>
        <w:t>to</w:t>
      </w:r>
      <w:r>
        <w:rPr>
          <w:spacing w:val="-13"/>
        </w:rPr>
        <w:t xml:space="preserve"> </w:t>
      </w:r>
      <w:r>
        <w:t>2032,</w:t>
      </w:r>
      <w:r>
        <w:rPr>
          <w:spacing w:val="-13"/>
        </w:rPr>
        <w:t xml:space="preserve"> </w:t>
      </w:r>
      <w:r>
        <w:t>the</w:t>
      </w:r>
      <w:r>
        <w:rPr>
          <w:spacing w:val="-13"/>
        </w:rPr>
        <w:t xml:space="preserve"> </w:t>
      </w:r>
      <w:r>
        <w:t>National</w:t>
      </w:r>
      <w:r>
        <w:rPr>
          <w:spacing w:val="-13"/>
        </w:rPr>
        <w:t xml:space="preserve"> </w:t>
      </w:r>
      <w:r>
        <w:t>Railway</w:t>
      </w:r>
      <w:r>
        <w:rPr>
          <w:spacing w:val="-13"/>
        </w:rPr>
        <w:t xml:space="preserve"> </w:t>
      </w:r>
      <w:r>
        <w:t>Infrastructure</w:t>
      </w:r>
      <w:r>
        <w:rPr>
          <w:spacing w:val="-15"/>
        </w:rPr>
        <w:t xml:space="preserve"> </w:t>
      </w:r>
      <w:r>
        <w:t>Development</w:t>
      </w:r>
      <w:r>
        <w:rPr>
          <w:spacing w:val="-58"/>
        </w:rPr>
        <w:t xml:space="preserve"> </w:t>
      </w:r>
      <w:r>
        <w:t>Plan until 2027 and the National Railway Infrastructure Management and Development Plan.</w:t>
      </w:r>
      <w:r>
        <w:rPr>
          <w:spacing w:val="1"/>
        </w:rPr>
        <w:t xml:space="preserve"> </w:t>
      </w:r>
      <w:r>
        <w:t>The sectoral strategy will determine the objectives, measures, performance indicators and</w:t>
      </w:r>
      <w:r>
        <w:rPr>
          <w:spacing w:val="1"/>
        </w:rPr>
        <w:t xml:space="preserve"> </w:t>
      </w:r>
      <w:r>
        <w:t>programs</w:t>
      </w:r>
      <w:r>
        <w:rPr>
          <w:spacing w:val="1"/>
        </w:rPr>
        <w:t xml:space="preserve"> </w:t>
      </w:r>
      <w:r>
        <w:t>for</w:t>
      </w:r>
      <w:r>
        <w:rPr>
          <w:spacing w:val="1"/>
        </w:rPr>
        <w:t xml:space="preserve"> </w:t>
      </w:r>
      <w:r>
        <w:t>the</w:t>
      </w:r>
      <w:r>
        <w:rPr>
          <w:spacing w:val="1"/>
        </w:rPr>
        <w:t xml:space="preserve"> </w:t>
      </w:r>
      <w:r>
        <w:t>development</w:t>
      </w:r>
      <w:r>
        <w:rPr>
          <w:spacing w:val="1"/>
        </w:rPr>
        <w:t xml:space="preserve"> </w:t>
      </w:r>
      <w:r>
        <w:t>of</w:t>
      </w:r>
      <w:r>
        <w:rPr>
          <w:spacing w:val="1"/>
        </w:rPr>
        <w:t xml:space="preserve"> </w:t>
      </w:r>
      <w:r>
        <w:t>railway</w:t>
      </w:r>
      <w:r>
        <w:rPr>
          <w:spacing w:val="1"/>
        </w:rPr>
        <w:t xml:space="preserve"> </w:t>
      </w:r>
      <w:r>
        <w:t>transport</w:t>
      </w:r>
      <w:r>
        <w:rPr>
          <w:spacing w:val="1"/>
        </w:rPr>
        <w:t xml:space="preserve"> </w:t>
      </w:r>
      <w:r>
        <w:t>services,</w:t>
      </w:r>
      <w:r>
        <w:rPr>
          <w:spacing w:val="1"/>
        </w:rPr>
        <w:t xml:space="preserve"> </w:t>
      </w:r>
      <w:r>
        <w:t>railway</w:t>
      </w:r>
      <w:r>
        <w:rPr>
          <w:spacing w:val="1"/>
        </w:rPr>
        <w:t xml:space="preserve"> </w:t>
      </w:r>
      <w:r>
        <w:t>infrastructure</w:t>
      </w:r>
      <w:r>
        <w:rPr>
          <w:spacing w:val="1"/>
        </w:rPr>
        <w:t xml:space="preserve"> </w:t>
      </w:r>
      <w:r>
        <w:t>development,</w:t>
      </w:r>
      <w:r>
        <w:rPr>
          <w:spacing w:val="1"/>
        </w:rPr>
        <w:t xml:space="preserve"> </w:t>
      </w:r>
      <w:r>
        <w:t>and</w:t>
      </w:r>
      <w:r>
        <w:rPr>
          <w:spacing w:val="1"/>
        </w:rPr>
        <w:t xml:space="preserve"> </w:t>
      </w:r>
      <w:r>
        <w:t>railway</w:t>
      </w:r>
      <w:r>
        <w:rPr>
          <w:spacing w:val="1"/>
        </w:rPr>
        <w:t xml:space="preserve"> </w:t>
      </w:r>
      <w:r>
        <w:t>infrastructure</w:t>
      </w:r>
      <w:r>
        <w:rPr>
          <w:spacing w:val="1"/>
        </w:rPr>
        <w:t xml:space="preserve"> </w:t>
      </w:r>
      <w:r>
        <w:t>management.</w:t>
      </w:r>
      <w:r>
        <w:rPr>
          <w:spacing w:val="1"/>
        </w:rPr>
        <w:t xml:space="preserve"> </w:t>
      </w:r>
      <w:r>
        <w:t>As</w:t>
      </w:r>
      <w:r>
        <w:rPr>
          <w:spacing w:val="1"/>
        </w:rPr>
        <w:t xml:space="preserve"> </w:t>
      </w:r>
      <w:r>
        <w:t>part</w:t>
      </w:r>
      <w:r>
        <w:rPr>
          <w:spacing w:val="1"/>
        </w:rPr>
        <w:t xml:space="preserve"> </w:t>
      </w:r>
      <w:r>
        <w:t>of</w:t>
      </w:r>
      <w:r>
        <w:rPr>
          <w:spacing w:val="1"/>
        </w:rPr>
        <w:t xml:space="preserve"> </w:t>
      </w:r>
      <w:r>
        <w:t>the</w:t>
      </w:r>
      <w:r>
        <w:rPr>
          <w:spacing w:val="1"/>
        </w:rPr>
        <w:t xml:space="preserve"> </w:t>
      </w:r>
      <w:r>
        <w:t>National</w:t>
      </w:r>
      <w:r>
        <w:rPr>
          <w:spacing w:val="1"/>
        </w:rPr>
        <w:t xml:space="preserve"> </w:t>
      </w:r>
      <w:r>
        <w:t>Railway</w:t>
      </w:r>
      <w:r>
        <w:rPr>
          <w:spacing w:val="1"/>
        </w:rPr>
        <w:t xml:space="preserve"> </w:t>
      </w:r>
      <w:r>
        <w:t>Infrastructure Development Plan, projects and activities necessary for the development of</w:t>
      </w:r>
      <w:r>
        <w:rPr>
          <w:spacing w:val="1"/>
        </w:rPr>
        <w:t xml:space="preserve"> </w:t>
      </w:r>
      <w:r>
        <w:t>railway infrastructure will be identified. The National Plan for the Management of Railway</w:t>
      </w:r>
      <w:r>
        <w:rPr>
          <w:spacing w:val="1"/>
        </w:rPr>
        <w:t xml:space="preserve"> </w:t>
      </w:r>
      <w:r>
        <w:t>Infrastructure and Service Facilities will identify projects and activities for managing and</w:t>
      </w:r>
      <w:r>
        <w:rPr>
          <w:spacing w:val="1"/>
        </w:rPr>
        <w:t xml:space="preserve"> </w:t>
      </w:r>
      <w:r>
        <w:t>organising railway traffic regulations and developing railway transport services. The adoption</w:t>
      </w:r>
      <w:r>
        <w:rPr>
          <w:spacing w:val="1"/>
        </w:rPr>
        <w:t xml:space="preserve"> </w:t>
      </w:r>
      <w:r>
        <w:t>of the documents by the Government is planned to take place by the end of 2022. A contract</w:t>
      </w:r>
      <w:r>
        <w:rPr>
          <w:spacing w:val="1"/>
        </w:rPr>
        <w:t xml:space="preserve"> </w:t>
      </w:r>
      <w:r>
        <w:t>with</w:t>
      </w:r>
      <w:r>
        <w:rPr>
          <w:spacing w:val="-7"/>
        </w:rPr>
        <w:t xml:space="preserve"> </w:t>
      </w:r>
      <w:r>
        <w:t>the</w:t>
      </w:r>
      <w:r>
        <w:rPr>
          <w:spacing w:val="-7"/>
        </w:rPr>
        <w:t xml:space="preserve"> </w:t>
      </w:r>
      <w:r>
        <w:t>selected</w:t>
      </w:r>
      <w:r>
        <w:rPr>
          <w:spacing w:val="-7"/>
        </w:rPr>
        <w:t xml:space="preserve"> </w:t>
      </w:r>
      <w:r>
        <w:t>service</w:t>
      </w:r>
      <w:r>
        <w:rPr>
          <w:spacing w:val="-1"/>
        </w:rPr>
        <w:t xml:space="preserve"> </w:t>
      </w:r>
      <w:r>
        <w:t>provider</w:t>
      </w:r>
      <w:r>
        <w:rPr>
          <w:spacing w:val="-7"/>
        </w:rPr>
        <w:t xml:space="preserve"> </w:t>
      </w:r>
      <w:r>
        <w:t>for</w:t>
      </w:r>
      <w:r>
        <w:rPr>
          <w:spacing w:val="-5"/>
        </w:rPr>
        <w:t xml:space="preserve"> </w:t>
      </w:r>
      <w:r>
        <w:t>drafting</w:t>
      </w:r>
      <w:r>
        <w:rPr>
          <w:spacing w:val="-8"/>
        </w:rPr>
        <w:t xml:space="preserve"> </w:t>
      </w:r>
      <w:r>
        <w:t>strategic</w:t>
      </w:r>
      <w:r>
        <w:rPr>
          <w:spacing w:val="-7"/>
        </w:rPr>
        <w:t xml:space="preserve"> </w:t>
      </w:r>
      <w:r>
        <w:t>documents</w:t>
      </w:r>
      <w:r>
        <w:rPr>
          <w:spacing w:val="-2"/>
        </w:rPr>
        <w:t xml:space="preserve"> </w:t>
      </w:r>
      <w:r>
        <w:t>Inovacija</w:t>
      </w:r>
      <w:r>
        <w:rPr>
          <w:spacing w:val="-5"/>
        </w:rPr>
        <w:t xml:space="preserve"> </w:t>
      </w:r>
      <w:r>
        <w:t>i</w:t>
      </w:r>
      <w:r>
        <w:rPr>
          <w:spacing w:val="-6"/>
        </w:rPr>
        <w:t xml:space="preserve"> </w:t>
      </w:r>
      <w:r>
        <w:t>razvoj</w:t>
      </w:r>
      <w:r>
        <w:rPr>
          <w:spacing w:val="-6"/>
        </w:rPr>
        <w:t xml:space="preserve"> </w:t>
      </w:r>
      <w:r>
        <w:t>d.o.o.</w:t>
      </w:r>
      <w:r>
        <w:rPr>
          <w:spacing w:val="-6"/>
        </w:rPr>
        <w:t xml:space="preserve"> </w:t>
      </w:r>
      <w:r>
        <w:t>was</w:t>
      </w:r>
      <w:r>
        <w:rPr>
          <w:spacing w:val="-58"/>
        </w:rPr>
        <w:t xml:space="preserve"> </w:t>
      </w:r>
      <w:r>
        <w:t>signed on</w:t>
      </w:r>
      <w:r>
        <w:rPr>
          <w:spacing w:val="-1"/>
        </w:rPr>
        <w:t xml:space="preserve"> </w:t>
      </w:r>
      <w:r>
        <w:t>9</w:t>
      </w:r>
      <w:r>
        <w:rPr>
          <w:spacing w:val="2"/>
        </w:rPr>
        <w:t xml:space="preserve"> </w:t>
      </w:r>
      <w:r>
        <w:t>February</w:t>
      </w:r>
      <w:r>
        <w:rPr>
          <w:spacing w:val="-5"/>
        </w:rPr>
        <w:t xml:space="preserve"> </w:t>
      </w:r>
      <w:r>
        <w:t>2022.</w:t>
      </w:r>
    </w:p>
    <w:p w:rsidR="00A56FE9" w:rsidRDefault="00A56FE9">
      <w:pPr>
        <w:pStyle w:val="Tijeloteksta"/>
        <w:ind w:left="0"/>
        <w:jc w:val="left"/>
        <w:rPr>
          <w:sz w:val="20"/>
        </w:rPr>
      </w:pPr>
    </w:p>
    <w:p w:rsidR="00A56FE9" w:rsidRDefault="00CC1B9B">
      <w:pPr>
        <w:pStyle w:val="Tijeloteksta"/>
        <w:spacing w:before="7"/>
        <w:ind w:left="0"/>
        <w:jc w:val="left"/>
      </w:pPr>
      <w:r>
        <w:rPr>
          <w:noProof/>
        </w:rPr>
        <mc:AlternateContent>
          <mc:Choice Requires="wps">
            <w:drawing>
              <wp:anchor distT="0" distB="0" distL="0" distR="0" simplePos="0" relativeHeight="487607296" behindDoc="1" locked="0" layoutInCell="1" allowOverlap="1">
                <wp:simplePos x="0" y="0"/>
                <wp:positionH relativeFrom="page">
                  <wp:posOffset>901065</wp:posOffset>
                </wp:positionH>
                <wp:positionV relativeFrom="paragraph">
                  <wp:posOffset>204470</wp:posOffset>
                </wp:positionV>
                <wp:extent cx="1828800" cy="7620"/>
                <wp:effectExtent l="0" t="0" r="0" b="0"/>
                <wp:wrapTopAndBottom/>
                <wp:docPr id="1413682061" name="Rectangle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4FBEE" id="Rectangle 286" o:spid="_x0000_s1026" style="position:absolute;margin-left:70.95pt;margin-top:16.1pt;width:2in;height:.6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" fillcolor="black" stroked="f">
                <w10:wrap type="topAndBottom" anchorx="page"/>
              </v:rect>
            </w:pict>
          </mc:Fallback>
        </mc:AlternateContent>
      </w:r>
    </w:p>
    <w:p w:rsidR="00A56FE9" w:rsidRDefault="00000000">
      <w:pPr>
        <w:spacing w:before="74"/>
        <w:ind w:left="138"/>
        <w:rPr>
          <w:sz w:val="20"/>
        </w:rPr>
      </w:pPr>
      <w:r>
        <w:rPr>
          <w:sz w:val="20"/>
          <w:vertAlign w:val="superscript"/>
        </w:rPr>
        <w:t>21</w:t>
      </w:r>
      <w:r>
        <w:rPr>
          <w:spacing w:val="-1"/>
          <w:sz w:val="20"/>
        </w:rPr>
        <w:t xml:space="preserve"> </w:t>
      </w:r>
      <w:r>
        <w:rPr>
          <w:sz w:val="20"/>
        </w:rPr>
        <w:t>OG</w:t>
      </w:r>
      <w:r>
        <w:rPr>
          <w:spacing w:val="-1"/>
          <w:sz w:val="20"/>
        </w:rPr>
        <w:t xml:space="preserve"> </w:t>
      </w:r>
      <w:r>
        <w:rPr>
          <w:sz w:val="20"/>
        </w:rPr>
        <w:t>19/22</w:t>
      </w:r>
    </w:p>
    <w:p w:rsidR="00A56FE9" w:rsidRDefault="00A56FE9">
      <w:pPr>
        <w:rPr>
          <w:sz w:val="20"/>
        </w:rPr>
        <w:sectPr w:rsidR="00A56FE9" w:rsidSect="00AB1E70">
          <w:footerReference w:type="default" r:id="rId10"/>
          <w:pgSz w:w="11910" w:h="16840"/>
          <w:pgMar w:top="1320" w:right="1140" w:bottom="960" w:left="1280" w:header="0" w:footer="779" w:gutter="0"/>
          <w:cols w:space="720"/>
        </w:sectPr>
      </w:pPr>
    </w:p>
    <w:p w:rsidR="00A56FE9" w:rsidRDefault="00000000">
      <w:pPr>
        <w:pStyle w:val="Tijeloteksta"/>
        <w:spacing w:before="74"/>
        <w:ind w:right="272"/>
      </w:pPr>
      <w:r>
        <w:t>Preparatory activities are underway to reorganise the management of railway companies and</w:t>
      </w:r>
      <w:r>
        <w:rPr>
          <w:spacing w:val="1"/>
        </w:rPr>
        <w:t xml:space="preserve"> </w:t>
      </w:r>
      <w:r>
        <w:t>their</w:t>
      </w:r>
      <w:r>
        <w:rPr>
          <w:spacing w:val="-5"/>
        </w:rPr>
        <w:t xml:space="preserve"> </w:t>
      </w:r>
      <w:r>
        <w:t>operations.</w:t>
      </w:r>
      <w:r>
        <w:rPr>
          <w:spacing w:val="-2"/>
        </w:rPr>
        <w:t xml:space="preserve"> </w:t>
      </w:r>
      <w:r>
        <w:t>The</w:t>
      </w:r>
      <w:r>
        <w:rPr>
          <w:spacing w:val="-5"/>
        </w:rPr>
        <w:t xml:space="preserve"> </w:t>
      </w:r>
      <w:r>
        <w:t>expectation</w:t>
      </w:r>
      <w:r>
        <w:rPr>
          <w:spacing w:val="-2"/>
        </w:rPr>
        <w:t xml:space="preserve"> </w:t>
      </w:r>
      <w:r>
        <w:t>is</w:t>
      </w:r>
      <w:r>
        <w:rPr>
          <w:spacing w:val="-1"/>
        </w:rPr>
        <w:t xml:space="preserve"> </w:t>
      </w:r>
      <w:r>
        <w:t>that</w:t>
      </w:r>
      <w:r>
        <w:rPr>
          <w:spacing w:val="-4"/>
        </w:rPr>
        <w:t xml:space="preserve"> </w:t>
      </w:r>
      <w:r>
        <w:t>the</w:t>
      </w:r>
      <w:r>
        <w:rPr>
          <w:spacing w:val="-3"/>
        </w:rPr>
        <w:t xml:space="preserve"> </w:t>
      </w:r>
      <w:r>
        <w:t>Plan</w:t>
      </w:r>
      <w:r>
        <w:rPr>
          <w:spacing w:val="-4"/>
        </w:rPr>
        <w:t xml:space="preserve"> </w:t>
      </w:r>
      <w:r>
        <w:t>for</w:t>
      </w:r>
      <w:r>
        <w:rPr>
          <w:spacing w:val="-4"/>
        </w:rPr>
        <w:t xml:space="preserve"> </w:t>
      </w:r>
      <w:r>
        <w:t>Reorganising</w:t>
      </w:r>
      <w:r>
        <w:rPr>
          <w:spacing w:val="-5"/>
        </w:rPr>
        <w:t xml:space="preserve"> </w:t>
      </w:r>
      <w:r>
        <w:t>the</w:t>
      </w:r>
      <w:r>
        <w:rPr>
          <w:spacing w:val="-4"/>
        </w:rPr>
        <w:t xml:space="preserve"> </w:t>
      </w:r>
      <w:r>
        <w:t>Management</w:t>
      </w:r>
      <w:r>
        <w:rPr>
          <w:spacing w:val="-3"/>
        </w:rPr>
        <w:t xml:space="preserve"> </w:t>
      </w:r>
      <w:r>
        <w:t>of</w:t>
      </w:r>
      <w:r>
        <w:rPr>
          <w:spacing w:val="-4"/>
        </w:rPr>
        <w:t xml:space="preserve"> </w:t>
      </w:r>
      <w:r>
        <w:t>Railway</w:t>
      </w:r>
      <w:r>
        <w:rPr>
          <w:spacing w:val="-57"/>
        </w:rPr>
        <w:t xml:space="preserve"> </w:t>
      </w:r>
      <w:r>
        <w:t>Companies</w:t>
      </w:r>
      <w:r>
        <w:rPr>
          <w:spacing w:val="-1"/>
        </w:rPr>
        <w:t xml:space="preserve"> </w:t>
      </w:r>
      <w:r>
        <w:t>by</w:t>
      </w:r>
      <w:r>
        <w:rPr>
          <w:spacing w:val="-5"/>
        </w:rPr>
        <w:t xml:space="preserve"> </w:t>
      </w:r>
      <w:r>
        <w:t>the</w:t>
      </w:r>
      <w:r>
        <w:rPr>
          <w:spacing w:val="1"/>
        </w:rPr>
        <w:t xml:space="preserve"> </w:t>
      </w:r>
      <w:r>
        <w:t>end of 2022 will be aligned</w:t>
      </w:r>
      <w:r>
        <w:rPr>
          <w:spacing w:val="2"/>
        </w:rPr>
        <w:t xml:space="preserve"> </w:t>
      </w:r>
      <w:r>
        <w:t>with</w:t>
      </w:r>
      <w:r>
        <w:rPr>
          <w:spacing w:val="-1"/>
        </w:rPr>
        <w:t xml:space="preserve"> </w:t>
      </w:r>
      <w:r>
        <w:t>the</w:t>
      </w:r>
      <w:r>
        <w:rPr>
          <w:spacing w:val="-1"/>
        </w:rPr>
        <w:t xml:space="preserve"> </w:t>
      </w:r>
      <w:r>
        <w:t>rules on state aid.</w:t>
      </w:r>
    </w:p>
    <w:p w:rsidR="00A56FE9" w:rsidRDefault="00A56FE9">
      <w:pPr>
        <w:pStyle w:val="Tijeloteksta"/>
        <w:spacing w:before="4"/>
        <w:ind w:left="0"/>
        <w:jc w:val="left"/>
        <w:rPr>
          <w:sz w:val="21"/>
        </w:rPr>
      </w:pPr>
    </w:p>
    <w:p w:rsidR="00A56FE9" w:rsidRDefault="00000000">
      <w:pPr>
        <w:pStyle w:val="Naslov5"/>
      </w:pPr>
      <w:r>
        <w:rPr>
          <w:color w:val="003399"/>
        </w:rPr>
        <w:t>Maritime</w:t>
      </w:r>
      <w:r>
        <w:rPr>
          <w:color w:val="003399"/>
          <w:spacing w:val="-3"/>
        </w:rPr>
        <w:t xml:space="preserve"> </w:t>
      </w:r>
      <w:r>
        <w:rPr>
          <w:color w:val="003399"/>
        </w:rPr>
        <w:t>and</w:t>
      </w:r>
      <w:r>
        <w:rPr>
          <w:color w:val="003399"/>
          <w:spacing w:val="-1"/>
        </w:rPr>
        <w:t xml:space="preserve"> </w:t>
      </w:r>
      <w:r>
        <w:rPr>
          <w:color w:val="003399"/>
        </w:rPr>
        <w:t>inland</w:t>
      </w:r>
      <w:r>
        <w:rPr>
          <w:color w:val="003399"/>
          <w:spacing w:val="-3"/>
        </w:rPr>
        <w:t xml:space="preserve"> </w:t>
      </w:r>
      <w:r>
        <w:rPr>
          <w:color w:val="003399"/>
        </w:rPr>
        <w:t>waterways</w:t>
      </w:r>
      <w:r>
        <w:rPr>
          <w:color w:val="003399"/>
          <w:spacing w:val="-1"/>
        </w:rPr>
        <w:t xml:space="preserve"> </w:t>
      </w:r>
      <w:r>
        <w:rPr>
          <w:color w:val="003399"/>
        </w:rPr>
        <w:t>transport</w:t>
      </w:r>
    </w:p>
    <w:p w:rsidR="00A56FE9" w:rsidRDefault="00000000">
      <w:pPr>
        <w:pStyle w:val="Tijeloteksta"/>
        <w:spacing w:before="115"/>
        <w:ind w:right="273"/>
      </w:pPr>
      <w:r>
        <w:t>The new Maritime Domain and Seaports Act will lead to the structural reorganisation of the</w:t>
      </w:r>
      <w:r>
        <w:rPr>
          <w:spacing w:val="1"/>
        </w:rPr>
        <w:t xml:space="preserve"> </w:t>
      </w:r>
      <w:r>
        <w:t>port</w:t>
      </w:r>
      <w:r>
        <w:rPr>
          <w:spacing w:val="-7"/>
        </w:rPr>
        <w:t xml:space="preserve"> </w:t>
      </w:r>
      <w:r>
        <w:t>system</w:t>
      </w:r>
      <w:r>
        <w:rPr>
          <w:spacing w:val="-6"/>
        </w:rPr>
        <w:t xml:space="preserve"> </w:t>
      </w:r>
      <w:r>
        <w:t>of</w:t>
      </w:r>
      <w:r>
        <w:rPr>
          <w:spacing w:val="-7"/>
        </w:rPr>
        <w:t xml:space="preserve"> </w:t>
      </w:r>
      <w:r>
        <w:t>ports</w:t>
      </w:r>
      <w:r>
        <w:rPr>
          <w:spacing w:val="-6"/>
        </w:rPr>
        <w:t xml:space="preserve"> </w:t>
      </w:r>
      <w:r>
        <w:t>open</w:t>
      </w:r>
      <w:r>
        <w:rPr>
          <w:spacing w:val="-6"/>
        </w:rPr>
        <w:t xml:space="preserve"> </w:t>
      </w:r>
      <w:r>
        <w:t>to</w:t>
      </w:r>
      <w:r>
        <w:rPr>
          <w:spacing w:val="-6"/>
        </w:rPr>
        <w:t xml:space="preserve"> </w:t>
      </w:r>
      <w:r>
        <w:t>public</w:t>
      </w:r>
      <w:r>
        <w:rPr>
          <w:spacing w:val="-7"/>
        </w:rPr>
        <w:t xml:space="preserve"> </w:t>
      </w:r>
      <w:r>
        <w:t>traffic,</w:t>
      </w:r>
      <w:r>
        <w:rPr>
          <w:spacing w:val="-6"/>
        </w:rPr>
        <w:t xml:space="preserve"> </w:t>
      </w:r>
      <w:r>
        <w:t>and</w:t>
      </w:r>
      <w:r>
        <w:rPr>
          <w:spacing w:val="-6"/>
        </w:rPr>
        <w:t xml:space="preserve"> </w:t>
      </w:r>
      <w:r>
        <w:t>aims</w:t>
      </w:r>
      <w:r>
        <w:rPr>
          <w:spacing w:val="-6"/>
        </w:rPr>
        <w:t xml:space="preserve"> </w:t>
      </w:r>
      <w:r>
        <w:t>to</w:t>
      </w:r>
      <w:r>
        <w:rPr>
          <w:spacing w:val="-6"/>
        </w:rPr>
        <w:t xml:space="preserve"> </w:t>
      </w:r>
      <w:r>
        <w:t>ensure</w:t>
      </w:r>
      <w:r>
        <w:rPr>
          <w:spacing w:val="-8"/>
        </w:rPr>
        <w:t xml:space="preserve"> </w:t>
      </w:r>
      <w:r>
        <w:t>uniformity</w:t>
      </w:r>
      <w:r>
        <w:rPr>
          <w:spacing w:val="-13"/>
        </w:rPr>
        <w:t xml:space="preserve"> </w:t>
      </w:r>
      <w:r>
        <w:t>in</w:t>
      </w:r>
      <w:r>
        <w:rPr>
          <w:spacing w:val="-6"/>
        </w:rPr>
        <w:t xml:space="preserve"> </w:t>
      </w:r>
      <w:r>
        <w:t>implementing</w:t>
      </w:r>
      <w:r>
        <w:rPr>
          <w:spacing w:val="-8"/>
        </w:rPr>
        <w:t xml:space="preserve"> </w:t>
      </w:r>
      <w:r>
        <w:t>legal</w:t>
      </w:r>
      <w:r>
        <w:rPr>
          <w:spacing w:val="-58"/>
        </w:rPr>
        <w:t xml:space="preserve"> </w:t>
      </w:r>
      <w:r>
        <w:t>obligations</w:t>
      </w:r>
      <w:r>
        <w:rPr>
          <w:spacing w:val="-9"/>
        </w:rPr>
        <w:t xml:space="preserve"> </w:t>
      </w:r>
      <w:r>
        <w:t>for</w:t>
      </w:r>
      <w:r>
        <w:rPr>
          <w:spacing w:val="-10"/>
        </w:rPr>
        <w:t xml:space="preserve"> </w:t>
      </w:r>
      <w:r>
        <w:t>managing</w:t>
      </w:r>
      <w:r>
        <w:rPr>
          <w:spacing w:val="-8"/>
        </w:rPr>
        <w:t xml:space="preserve"> </w:t>
      </w:r>
      <w:r>
        <w:t>public</w:t>
      </w:r>
      <w:r>
        <w:rPr>
          <w:spacing w:val="-10"/>
        </w:rPr>
        <w:t xml:space="preserve"> </w:t>
      </w:r>
      <w:r>
        <w:t>ports</w:t>
      </w:r>
      <w:r>
        <w:rPr>
          <w:spacing w:val="-9"/>
        </w:rPr>
        <w:t xml:space="preserve"> </w:t>
      </w:r>
      <w:r>
        <w:t>and</w:t>
      </w:r>
      <w:r>
        <w:rPr>
          <w:spacing w:val="-9"/>
        </w:rPr>
        <w:t xml:space="preserve"> </w:t>
      </w:r>
      <w:r>
        <w:t>streamlining</w:t>
      </w:r>
      <w:r>
        <w:rPr>
          <w:spacing w:val="-11"/>
        </w:rPr>
        <w:t xml:space="preserve"> </w:t>
      </w:r>
      <w:r>
        <w:t>management</w:t>
      </w:r>
      <w:r>
        <w:rPr>
          <w:spacing w:val="-8"/>
        </w:rPr>
        <w:t xml:space="preserve"> </w:t>
      </w:r>
      <w:r>
        <w:t>costs.</w:t>
      </w:r>
      <w:r>
        <w:rPr>
          <w:spacing w:val="-9"/>
        </w:rPr>
        <w:t xml:space="preserve"> </w:t>
      </w:r>
      <w:r>
        <w:t>The</w:t>
      </w:r>
      <w:r>
        <w:rPr>
          <w:spacing w:val="-10"/>
        </w:rPr>
        <w:t xml:space="preserve"> </w:t>
      </w:r>
      <w:r>
        <w:t>Decision</w:t>
      </w:r>
      <w:r>
        <w:rPr>
          <w:spacing w:val="-9"/>
        </w:rPr>
        <w:t xml:space="preserve"> </w:t>
      </w:r>
      <w:r>
        <w:t>on</w:t>
      </w:r>
      <w:r>
        <w:rPr>
          <w:spacing w:val="-9"/>
        </w:rPr>
        <w:t xml:space="preserve"> </w:t>
      </w:r>
      <w:r>
        <w:t>the</w:t>
      </w:r>
      <w:r>
        <w:rPr>
          <w:spacing w:val="-58"/>
        </w:rPr>
        <w:t xml:space="preserve"> </w:t>
      </w:r>
      <w:r>
        <w:t>Establishment and Appointment of Members of the Working Group for Preparing the Draft on</w:t>
      </w:r>
      <w:r>
        <w:rPr>
          <w:spacing w:val="-57"/>
        </w:rPr>
        <w:t xml:space="preserve"> </w:t>
      </w:r>
      <w:r>
        <w:t>the Maritime Domain and Seaports Act, consisting of experts in the field covered by the topic</w:t>
      </w:r>
      <w:r>
        <w:rPr>
          <w:spacing w:val="1"/>
        </w:rPr>
        <w:t xml:space="preserve"> </w:t>
      </w:r>
      <w:r>
        <w:t>and</w:t>
      </w:r>
      <w:r>
        <w:rPr>
          <w:spacing w:val="-1"/>
        </w:rPr>
        <w:t xml:space="preserve"> </w:t>
      </w:r>
      <w:r>
        <w:t>representatives of</w:t>
      </w:r>
      <w:r>
        <w:rPr>
          <w:spacing w:val="1"/>
        </w:rPr>
        <w:t xml:space="preserve"> </w:t>
      </w:r>
      <w:r>
        <w:t>a</w:t>
      </w:r>
      <w:r>
        <w:rPr>
          <w:spacing w:val="1"/>
        </w:rPr>
        <w:t xml:space="preserve"> </w:t>
      </w:r>
      <w:r>
        <w:t>wide</w:t>
      </w:r>
      <w:r>
        <w:rPr>
          <w:spacing w:val="-1"/>
        </w:rPr>
        <w:t xml:space="preserve"> </w:t>
      </w:r>
      <w:r>
        <w:t>range</w:t>
      </w:r>
      <w:r>
        <w:rPr>
          <w:spacing w:val="-1"/>
        </w:rPr>
        <w:t xml:space="preserve"> </w:t>
      </w:r>
      <w:r>
        <w:t>of stakeholders,</w:t>
      </w:r>
      <w:r>
        <w:rPr>
          <w:spacing w:val="-1"/>
        </w:rPr>
        <w:t xml:space="preserve"> </w:t>
      </w:r>
      <w:r>
        <w:t>was adopted.</w:t>
      </w:r>
    </w:p>
    <w:p w:rsidR="00A56FE9" w:rsidRDefault="00000000">
      <w:pPr>
        <w:spacing w:before="120"/>
        <w:ind w:left="138" w:right="275"/>
        <w:jc w:val="both"/>
        <w:rPr>
          <w:sz w:val="24"/>
        </w:rPr>
      </w:pPr>
      <w:r>
        <w:rPr>
          <w:sz w:val="24"/>
        </w:rPr>
        <w:t xml:space="preserve">The </w:t>
      </w:r>
      <w:r>
        <w:rPr>
          <w:b/>
          <w:sz w:val="24"/>
        </w:rPr>
        <w:t xml:space="preserve">new Maritime Domain and Seaports Act </w:t>
      </w:r>
      <w:r>
        <w:rPr>
          <w:sz w:val="24"/>
        </w:rPr>
        <w:t>is included in the NRRP within the C1.4. R3</w:t>
      </w:r>
      <w:r>
        <w:rPr>
          <w:spacing w:val="1"/>
          <w:sz w:val="24"/>
        </w:rPr>
        <w:t xml:space="preserve"> </w:t>
      </w:r>
      <w:r>
        <w:rPr>
          <w:sz w:val="24"/>
        </w:rPr>
        <w:t>maritime</w:t>
      </w:r>
      <w:r>
        <w:rPr>
          <w:spacing w:val="-2"/>
          <w:sz w:val="24"/>
        </w:rPr>
        <w:t xml:space="preserve"> </w:t>
      </w:r>
      <w:r>
        <w:rPr>
          <w:sz w:val="24"/>
        </w:rPr>
        <w:t>and inland</w:t>
      </w:r>
      <w:r>
        <w:rPr>
          <w:spacing w:val="-1"/>
          <w:sz w:val="24"/>
        </w:rPr>
        <w:t xml:space="preserve"> </w:t>
      </w:r>
      <w:r>
        <w:rPr>
          <w:sz w:val="24"/>
        </w:rPr>
        <w:t>navigation</w:t>
      </w:r>
      <w:r>
        <w:rPr>
          <w:spacing w:val="2"/>
          <w:sz w:val="24"/>
        </w:rPr>
        <w:t xml:space="preserve"> </w:t>
      </w:r>
      <w:r>
        <w:rPr>
          <w:sz w:val="24"/>
        </w:rPr>
        <w:t>reform,</w:t>
      </w:r>
      <w:r>
        <w:rPr>
          <w:spacing w:val="-1"/>
          <w:sz w:val="24"/>
        </w:rPr>
        <w:t xml:space="preserve"> </w:t>
      </w:r>
      <w:r>
        <w:rPr>
          <w:sz w:val="24"/>
        </w:rPr>
        <w:t>where</w:t>
      </w:r>
      <w:r>
        <w:rPr>
          <w:spacing w:val="-2"/>
          <w:sz w:val="24"/>
        </w:rPr>
        <w:t xml:space="preserve"> </w:t>
      </w:r>
      <w:r>
        <w:rPr>
          <w:sz w:val="24"/>
        </w:rPr>
        <w:t>the</w:t>
      </w:r>
      <w:r>
        <w:rPr>
          <w:spacing w:val="1"/>
          <w:sz w:val="24"/>
        </w:rPr>
        <w:t xml:space="preserve"> </w:t>
      </w:r>
      <w:r>
        <w:rPr>
          <w:sz w:val="24"/>
        </w:rPr>
        <w:t>deadline</w:t>
      </w:r>
      <w:r>
        <w:rPr>
          <w:spacing w:val="-2"/>
          <w:sz w:val="24"/>
        </w:rPr>
        <w:t xml:space="preserve"> </w:t>
      </w:r>
      <w:r>
        <w:rPr>
          <w:sz w:val="24"/>
        </w:rPr>
        <w:t>for</w:t>
      </w:r>
      <w:r>
        <w:rPr>
          <w:spacing w:val="-1"/>
          <w:sz w:val="24"/>
        </w:rPr>
        <w:t xml:space="preserve"> </w:t>
      </w:r>
      <w:r>
        <w:rPr>
          <w:sz w:val="24"/>
        </w:rPr>
        <w:t>its</w:t>
      </w:r>
      <w:r>
        <w:rPr>
          <w:spacing w:val="-1"/>
          <w:sz w:val="24"/>
        </w:rPr>
        <w:t xml:space="preserve"> </w:t>
      </w:r>
      <w:r>
        <w:rPr>
          <w:sz w:val="24"/>
        </w:rPr>
        <w:t>adoption</w:t>
      </w:r>
      <w:r>
        <w:rPr>
          <w:spacing w:val="2"/>
          <w:sz w:val="24"/>
        </w:rPr>
        <w:t xml:space="preserve"> </w:t>
      </w:r>
      <w:r>
        <w:rPr>
          <w:sz w:val="24"/>
        </w:rPr>
        <w:t>is</w:t>
      </w:r>
      <w:r>
        <w:rPr>
          <w:spacing w:val="-1"/>
          <w:sz w:val="24"/>
        </w:rPr>
        <w:t xml:space="preserve"> </w:t>
      </w:r>
      <w:r>
        <w:rPr>
          <w:sz w:val="24"/>
        </w:rPr>
        <w:t>Q4/2022.</w:t>
      </w:r>
    </w:p>
    <w:p w:rsidR="00A56FE9" w:rsidRDefault="00000000">
      <w:pPr>
        <w:pStyle w:val="Tijeloteksta"/>
        <w:spacing w:before="121"/>
        <w:ind w:right="274"/>
      </w:pPr>
      <w:r>
        <w:t>In</w:t>
      </w:r>
      <w:r>
        <w:rPr>
          <w:spacing w:val="-9"/>
        </w:rPr>
        <w:t xml:space="preserve"> </w:t>
      </w:r>
      <w:r>
        <w:t>line</w:t>
      </w:r>
      <w:r>
        <w:rPr>
          <w:spacing w:val="-7"/>
        </w:rPr>
        <w:t xml:space="preserve"> </w:t>
      </w:r>
      <w:r>
        <w:t>with</w:t>
      </w:r>
      <w:r>
        <w:rPr>
          <w:spacing w:val="-7"/>
        </w:rPr>
        <w:t xml:space="preserve"> </w:t>
      </w:r>
      <w:r>
        <w:t>the</w:t>
      </w:r>
      <w:r>
        <w:rPr>
          <w:spacing w:val="-9"/>
        </w:rPr>
        <w:t xml:space="preserve"> </w:t>
      </w:r>
      <w:r>
        <w:t>NRRP</w:t>
      </w:r>
      <w:r>
        <w:rPr>
          <w:spacing w:val="-7"/>
        </w:rPr>
        <w:t xml:space="preserve"> </w:t>
      </w:r>
      <w:r>
        <w:t>for</w:t>
      </w:r>
      <w:r>
        <w:rPr>
          <w:spacing w:val="-7"/>
        </w:rPr>
        <w:t xml:space="preserve"> </w:t>
      </w:r>
      <w:r>
        <w:t>the</w:t>
      </w:r>
      <w:r>
        <w:rPr>
          <w:spacing w:val="-9"/>
        </w:rPr>
        <w:t xml:space="preserve"> </w:t>
      </w:r>
      <w:r>
        <w:t>reform</w:t>
      </w:r>
      <w:r>
        <w:rPr>
          <w:spacing w:val="-7"/>
        </w:rPr>
        <w:t xml:space="preserve"> </w:t>
      </w:r>
      <w:r>
        <w:t>of</w:t>
      </w:r>
      <w:r>
        <w:rPr>
          <w:spacing w:val="-9"/>
        </w:rPr>
        <w:t xml:space="preserve"> </w:t>
      </w:r>
      <w:r>
        <w:t>maritime</w:t>
      </w:r>
      <w:r>
        <w:rPr>
          <w:spacing w:val="-9"/>
        </w:rPr>
        <w:t xml:space="preserve"> </w:t>
      </w:r>
      <w:r>
        <w:t>and</w:t>
      </w:r>
      <w:r>
        <w:rPr>
          <w:spacing w:val="-7"/>
        </w:rPr>
        <w:t xml:space="preserve"> </w:t>
      </w:r>
      <w:r>
        <w:t>inland</w:t>
      </w:r>
      <w:r>
        <w:rPr>
          <w:spacing w:val="-9"/>
        </w:rPr>
        <w:t xml:space="preserve"> </w:t>
      </w:r>
      <w:r>
        <w:t>navigation</w:t>
      </w:r>
      <w:r>
        <w:rPr>
          <w:spacing w:val="-8"/>
        </w:rPr>
        <w:t xml:space="preserve"> </w:t>
      </w:r>
      <w:r>
        <w:t>(C1.4.</w:t>
      </w:r>
      <w:r>
        <w:rPr>
          <w:spacing w:val="-9"/>
        </w:rPr>
        <w:t xml:space="preserve"> </w:t>
      </w:r>
      <w:r>
        <w:t>R3),</w:t>
      </w:r>
      <w:r>
        <w:rPr>
          <w:spacing w:val="-8"/>
        </w:rPr>
        <w:t xml:space="preserve"> </w:t>
      </w:r>
      <w:r>
        <w:t>preparation</w:t>
      </w:r>
      <w:r>
        <w:rPr>
          <w:spacing w:val="-58"/>
        </w:rPr>
        <w:t xml:space="preserve"> </w:t>
      </w:r>
      <w:r>
        <w:t>in implementing the tender for the constructing a scaffolding, an investment in the green</w:t>
      </w:r>
      <w:r>
        <w:rPr>
          <w:spacing w:val="1"/>
        </w:rPr>
        <w:t xml:space="preserve"> </w:t>
      </w:r>
      <w:r>
        <w:t>transition,</w:t>
      </w:r>
      <w:r>
        <w:rPr>
          <w:spacing w:val="-7"/>
        </w:rPr>
        <w:t xml:space="preserve"> </w:t>
      </w:r>
      <w:r>
        <w:t>is</w:t>
      </w:r>
      <w:r>
        <w:rPr>
          <w:spacing w:val="-6"/>
        </w:rPr>
        <w:t xml:space="preserve"> </w:t>
      </w:r>
      <w:r>
        <w:t>underway.</w:t>
      </w:r>
      <w:r>
        <w:rPr>
          <w:spacing w:val="-4"/>
        </w:rPr>
        <w:t xml:space="preserve"> </w:t>
      </w:r>
      <w:r>
        <w:t>As</w:t>
      </w:r>
      <w:r>
        <w:rPr>
          <w:spacing w:val="-7"/>
        </w:rPr>
        <w:t xml:space="preserve"> </w:t>
      </w:r>
      <w:r>
        <w:t>part</w:t>
      </w:r>
      <w:r>
        <w:rPr>
          <w:spacing w:val="-7"/>
        </w:rPr>
        <w:t xml:space="preserve"> </w:t>
      </w:r>
      <w:r>
        <w:t>of</w:t>
      </w:r>
      <w:r>
        <w:rPr>
          <w:spacing w:val="-7"/>
        </w:rPr>
        <w:t xml:space="preserve"> </w:t>
      </w:r>
      <w:r>
        <w:t>the</w:t>
      </w:r>
      <w:r>
        <w:rPr>
          <w:spacing w:val="-6"/>
        </w:rPr>
        <w:t xml:space="preserve"> </w:t>
      </w:r>
      <w:r>
        <w:rPr>
          <w:b/>
        </w:rPr>
        <w:t>investment,</w:t>
      </w:r>
      <w:r>
        <w:rPr>
          <w:b/>
          <w:spacing w:val="-7"/>
        </w:rPr>
        <w:t xml:space="preserve"> </w:t>
      </w:r>
      <w:r>
        <w:rPr>
          <w:b/>
        </w:rPr>
        <w:t>solar-powered</w:t>
      </w:r>
      <w:r>
        <w:rPr>
          <w:b/>
          <w:spacing w:val="-6"/>
        </w:rPr>
        <w:t xml:space="preserve"> </w:t>
      </w:r>
      <w:r>
        <w:rPr>
          <w:b/>
        </w:rPr>
        <w:t>electric</w:t>
      </w:r>
      <w:r>
        <w:rPr>
          <w:b/>
          <w:spacing w:val="-7"/>
        </w:rPr>
        <w:t xml:space="preserve"> </w:t>
      </w:r>
      <w:r>
        <w:rPr>
          <w:b/>
        </w:rPr>
        <w:t>scaffolding</w:t>
      </w:r>
      <w:r>
        <w:rPr>
          <w:b/>
          <w:spacing w:val="-7"/>
        </w:rPr>
        <w:t xml:space="preserve"> </w:t>
      </w:r>
      <w:r>
        <w:rPr>
          <w:b/>
        </w:rPr>
        <w:t>should</w:t>
      </w:r>
      <w:r>
        <w:rPr>
          <w:b/>
          <w:spacing w:val="-57"/>
        </w:rPr>
        <w:t xml:space="preserve"> </w:t>
      </w:r>
      <w:r>
        <w:rPr>
          <w:b/>
        </w:rPr>
        <w:t>be</w:t>
      </w:r>
      <w:r>
        <w:rPr>
          <w:b/>
          <w:spacing w:val="-10"/>
        </w:rPr>
        <w:t xml:space="preserve"> </w:t>
      </w:r>
      <w:r>
        <w:rPr>
          <w:b/>
        </w:rPr>
        <w:t>built</w:t>
      </w:r>
      <w:r>
        <w:rPr>
          <w:b/>
          <w:spacing w:val="-9"/>
        </w:rPr>
        <w:t xml:space="preserve"> </w:t>
      </w:r>
      <w:r>
        <w:rPr>
          <w:b/>
        </w:rPr>
        <w:t>connecting</w:t>
      </w:r>
      <w:r>
        <w:rPr>
          <w:b/>
          <w:spacing w:val="-8"/>
        </w:rPr>
        <w:t xml:space="preserve"> </w:t>
      </w:r>
      <w:r>
        <w:rPr>
          <w:b/>
        </w:rPr>
        <w:t>the</w:t>
      </w:r>
      <w:r>
        <w:rPr>
          <w:b/>
          <w:spacing w:val="-9"/>
        </w:rPr>
        <w:t xml:space="preserve"> </w:t>
      </w:r>
      <w:r>
        <w:rPr>
          <w:b/>
        </w:rPr>
        <w:t>mainland</w:t>
      </w:r>
      <w:r>
        <w:rPr>
          <w:b/>
          <w:spacing w:val="-8"/>
        </w:rPr>
        <w:t xml:space="preserve"> </w:t>
      </w:r>
      <w:r>
        <w:rPr>
          <w:b/>
        </w:rPr>
        <w:t>with</w:t>
      </w:r>
      <w:r>
        <w:rPr>
          <w:b/>
          <w:spacing w:val="-8"/>
        </w:rPr>
        <w:t xml:space="preserve"> </w:t>
      </w:r>
      <w:r>
        <w:rPr>
          <w:b/>
        </w:rPr>
        <w:t>Križnica</w:t>
      </w:r>
      <w:r>
        <w:rPr>
          <w:b/>
          <w:spacing w:val="-8"/>
        </w:rPr>
        <w:t xml:space="preserve"> </w:t>
      </w:r>
      <w:r>
        <w:t>and</w:t>
      </w:r>
      <w:r>
        <w:rPr>
          <w:spacing w:val="-9"/>
        </w:rPr>
        <w:t xml:space="preserve"> </w:t>
      </w:r>
      <w:r>
        <w:t>become</w:t>
      </w:r>
      <w:r>
        <w:rPr>
          <w:spacing w:val="-9"/>
        </w:rPr>
        <w:t xml:space="preserve"> </w:t>
      </w:r>
      <w:r>
        <w:t>operational,</w:t>
      </w:r>
      <w:r>
        <w:rPr>
          <w:spacing w:val="-6"/>
        </w:rPr>
        <w:t xml:space="preserve"> </w:t>
      </w:r>
      <w:r>
        <w:t>with</w:t>
      </w:r>
      <w:r>
        <w:rPr>
          <w:spacing w:val="-8"/>
        </w:rPr>
        <w:t xml:space="preserve"> </w:t>
      </w:r>
      <w:r>
        <w:t>approval</w:t>
      </w:r>
      <w:r>
        <w:rPr>
          <w:spacing w:val="-7"/>
        </w:rPr>
        <w:t xml:space="preserve"> </w:t>
      </w:r>
      <w:r>
        <w:t>from</w:t>
      </w:r>
      <w:r>
        <w:rPr>
          <w:spacing w:val="-58"/>
        </w:rPr>
        <w:t xml:space="preserve"> </w:t>
      </w:r>
      <w:r>
        <w:t>the Croatian Register of Shipping. Due to the COVID-19 pandemic and delays in material</w:t>
      </w:r>
      <w:r>
        <w:rPr>
          <w:spacing w:val="1"/>
        </w:rPr>
        <w:t xml:space="preserve"> </w:t>
      </w:r>
      <w:r>
        <w:t>delivery, preparation and procurement, the scaffolding process faces the challenge of timely</w:t>
      </w:r>
      <w:r>
        <w:rPr>
          <w:spacing w:val="1"/>
        </w:rPr>
        <w:t xml:space="preserve"> </w:t>
      </w:r>
      <w:r>
        <w:t>implementation of the investment and the threat of missing the deadline, which will need to be</w:t>
      </w:r>
      <w:r>
        <w:rPr>
          <w:spacing w:val="-58"/>
        </w:rPr>
        <w:t xml:space="preserve"> </w:t>
      </w:r>
      <w:r>
        <w:t>extended</w:t>
      </w:r>
      <w:r>
        <w:rPr>
          <w:spacing w:val="-1"/>
        </w:rPr>
        <w:t xml:space="preserve"> </w:t>
      </w:r>
      <w:r>
        <w:t>to complete</w:t>
      </w:r>
      <w:r>
        <w:rPr>
          <w:spacing w:val="-1"/>
        </w:rPr>
        <w:t xml:space="preserve"> </w:t>
      </w:r>
      <w:r>
        <w:t>the reform.</w:t>
      </w:r>
    </w:p>
    <w:p w:rsidR="00A56FE9" w:rsidRDefault="00A56FE9">
      <w:pPr>
        <w:pStyle w:val="Tijeloteksta"/>
        <w:spacing w:before="3"/>
        <w:ind w:left="0"/>
        <w:jc w:val="left"/>
        <w:rPr>
          <w:sz w:val="21"/>
        </w:rPr>
      </w:pPr>
    </w:p>
    <w:p w:rsidR="00A56FE9" w:rsidRDefault="00000000">
      <w:pPr>
        <w:pStyle w:val="Naslov5"/>
      </w:pPr>
      <w:r>
        <w:rPr>
          <w:color w:val="003399"/>
        </w:rPr>
        <w:t>Fast</w:t>
      </w:r>
      <w:r>
        <w:rPr>
          <w:color w:val="003399"/>
          <w:spacing w:val="-2"/>
        </w:rPr>
        <w:t xml:space="preserve"> </w:t>
      </w:r>
      <w:r>
        <w:rPr>
          <w:color w:val="003399"/>
        </w:rPr>
        <w:t>broadband</w:t>
      </w:r>
      <w:r>
        <w:rPr>
          <w:color w:val="003399"/>
          <w:spacing w:val="-2"/>
        </w:rPr>
        <w:t xml:space="preserve"> </w:t>
      </w:r>
      <w:r>
        <w:rPr>
          <w:color w:val="003399"/>
        </w:rPr>
        <w:t>Internet</w:t>
      </w:r>
    </w:p>
    <w:p w:rsidR="00A56FE9" w:rsidRDefault="00000000">
      <w:pPr>
        <w:pStyle w:val="Tijeloteksta"/>
        <w:spacing w:before="116"/>
        <w:ind w:right="273"/>
      </w:pPr>
      <w:r>
        <w:t>In</w:t>
      </w:r>
      <w:r>
        <w:rPr>
          <w:spacing w:val="-4"/>
        </w:rPr>
        <w:t xml:space="preserve"> </w:t>
      </w:r>
      <w:r>
        <w:t>2022,</w:t>
      </w:r>
      <w:r>
        <w:rPr>
          <w:spacing w:val="-4"/>
        </w:rPr>
        <w:t xml:space="preserve"> </w:t>
      </w:r>
      <w:r>
        <w:t>the</w:t>
      </w:r>
      <w:r>
        <w:rPr>
          <w:spacing w:val="-4"/>
        </w:rPr>
        <w:t xml:space="preserve"> </w:t>
      </w:r>
      <w:r>
        <w:t>plan</w:t>
      </w:r>
      <w:r>
        <w:rPr>
          <w:spacing w:val="-3"/>
        </w:rPr>
        <w:t xml:space="preserve"> </w:t>
      </w:r>
      <w:r>
        <w:t>is</w:t>
      </w:r>
      <w:r>
        <w:rPr>
          <w:spacing w:val="-3"/>
        </w:rPr>
        <w:t xml:space="preserve"> </w:t>
      </w:r>
      <w:r>
        <w:t>to</w:t>
      </w:r>
      <w:r>
        <w:rPr>
          <w:spacing w:val="-3"/>
        </w:rPr>
        <w:t xml:space="preserve"> </w:t>
      </w:r>
      <w:r>
        <w:t>prepare</w:t>
      </w:r>
      <w:r>
        <w:rPr>
          <w:spacing w:val="-4"/>
        </w:rPr>
        <w:t xml:space="preserve"> </w:t>
      </w:r>
      <w:r>
        <w:t>the</w:t>
      </w:r>
      <w:r>
        <w:rPr>
          <w:spacing w:val="-4"/>
        </w:rPr>
        <w:t xml:space="preserve"> </w:t>
      </w:r>
      <w:r>
        <w:t>Feasibility</w:t>
      </w:r>
      <w:r>
        <w:rPr>
          <w:spacing w:val="-11"/>
        </w:rPr>
        <w:t xml:space="preserve"> </w:t>
      </w:r>
      <w:r>
        <w:t>Study</w:t>
      </w:r>
      <w:r>
        <w:rPr>
          <w:spacing w:val="-3"/>
        </w:rPr>
        <w:t xml:space="preserve"> </w:t>
      </w:r>
      <w:r>
        <w:t>and</w:t>
      </w:r>
      <w:r>
        <w:rPr>
          <w:spacing w:val="-4"/>
        </w:rPr>
        <w:t xml:space="preserve"> </w:t>
      </w:r>
      <w:r>
        <w:t>conceptual</w:t>
      </w:r>
      <w:r>
        <w:rPr>
          <w:spacing w:val="-4"/>
        </w:rPr>
        <w:t xml:space="preserve"> </w:t>
      </w:r>
      <w:r>
        <w:t>planning</w:t>
      </w:r>
      <w:r>
        <w:rPr>
          <w:spacing w:val="-3"/>
        </w:rPr>
        <w:t xml:space="preserve"> </w:t>
      </w:r>
      <w:r>
        <w:t>of</w:t>
      </w:r>
      <w:r>
        <w:rPr>
          <w:spacing w:val="-5"/>
        </w:rPr>
        <w:t xml:space="preserve"> </w:t>
      </w:r>
      <w:r>
        <w:t>the</w:t>
      </w:r>
      <w:r>
        <w:rPr>
          <w:spacing w:val="-4"/>
        </w:rPr>
        <w:t xml:space="preserve"> </w:t>
      </w:r>
      <w:r>
        <w:t>network</w:t>
      </w:r>
      <w:r>
        <w:rPr>
          <w:spacing w:val="-4"/>
        </w:rPr>
        <w:t xml:space="preserve"> </w:t>
      </w:r>
      <w:r>
        <w:t>for</w:t>
      </w:r>
      <w:r>
        <w:rPr>
          <w:spacing w:val="-58"/>
        </w:rPr>
        <w:t xml:space="preserve"> </w:t>
      </w:r>
      <w:r>
        <w:t>constructing passive electronic communications infrastructure and obtaining approval for state</w:t>
      </w:r>
      <w:r>
        <w:rPr>
          <w:spacing w:val="-57"/>
        </w:rPr>
        <w:t xml:space="preserve"> </w:t>
      </w:r>
      <w:r>
        <w:t>aid. The investment refers to constructing an open electronic communication infrastructure</w:t>
      </w:r>
      <w:r>
        <w:rPr>
          <w:spacing w:val="1"/>
        </w:rPr>
        <w:t xml:space="preserve"> </w:t>
      </w:r>
      <w:r>
        <w:t>consisting of free-standing antenna poles, providing a low-voltage connection and fibre-optic</w:t>
      </w:r>
      <w:r>
        <w:rPr>
          <w:spacing w:val="1"/>
        </w:rPr>
        <w:t xml:space="preserve"> </w:t>
      </w:r>
      <w:r>
        <w:t>or</w:t>
      </w:r>
      <w:r>
        <w:rPr>
          <w:spacing w:val="1"/>
        </w:rPr>
        <w:t xml:space="preserve"> </w:t>
      </w:r>
      <w:r>
        <w:t>microwave</w:t>
      </w:r>
      <w:r>
        <w:rPr>
          <w:spacing w:val="1"/>
        </w:rPr>
        <w:t xml:space="preserve"> </w:t>
      </w:r>
      <w:r>
        <w:t>transmission</w:t>
      </w:r>
      <w:r>
        <w:rPr>
          <w:spacing w:val="1"/>
        </w:rPr>
        <w:t xml:space="preserve"> </w:t>
      </w:r>
      <w:r>
        <w:t>capacities</w:t>
      </w:r>
      <w:r>
        <w:rPr>
          <w:spacing w:val="1"/>
        </w:rPr>
        <w:t xml:space="preserve"> </w:t>
      </w:r>
      <w:r>
        <w:t>for</w:t>
      </w:r>
      <w:r>
        <w:rPr>
          <w:spacing w:val="1"/>
        </w:rPr>
        <w:t xml:space="preserve"> </w:t>
      </w:r>
      <w:r>
        <w:t>connecting</w:t>
      </w:r>
      <w:r>
        <w:rPr>
          <w:spacing w:val="1"/>
        </w:rPr>
        <w:t xml:space="preserve"> </w:t>
      </w:r>
      <w:r>
        <w:t>mobile</w:t>
      </w:r>
      <w:r>
        <w:rPr>
          <w:spacing w:val="1"/>
        </w:rPr>
        <w:t xml:space="preserve"> </w:t>
      </w:r>
      <w:r>
        <w:t>electronic</w:t>
      </w:r>
      <w:r>
        <w:rPr>
          <w:spacing w:val="1"/>
        </w:rPr>
        <w:t xml:space="preserve"> </w:t>
      </w:r>
      <w:r>
        <w:t>communications</w:t>
      </w:r>
      <w:r>
        <w:rPr>
          <w:spacing w:val="1"/>
        </w:rPr>
        <w:t xml:space="preserve"> </w:t>
      </w:r>
      <w:r>
        <w:t>network base stations. State infrastructure will facilitate development of 5G networks across</w:t>
      </w:r>
      <w:r>
        <w:rPr>
          <w:spacing w:val="1"/>
        </w:rPr>
        <w:t xml:space="preserve"> </w:t>
      </w:r>
      <w:r>
        <w:t>the</w:t>
      </w:r>
      <w:r>
        <w:rPr>
          <w:spacing w:val="-4"/>
        </w:rPr>
        <w:t xml:space="preserve"> </w:t>
      </w:r>
      <w:r>
        <w:t>coverage</w:t>
      </w:r>
      <w:r>
        <w:rPr>
          <w:spacing w:val="-2"/>
        </w:rPr>
        <w:t xml:space="preserve"> </w:t>
      </w:r>
      <w:r>
        <w:t>area</w:t>
      </w:r>
      <w:r>
        <w:rPr>
          <w:spacing w:val="-3"/>
        </w:rPr>
        <w:t xml:space="preserve"> </w:t>
      </w:r>
      <w:r>
        <w:t>and,</w:t>
      </w:r>
      <w:r>
        <w:rPr>
          <w:spacing w:val="-1"/>
        </w:rPr>
        <w:t xml:space="preserve"> </w:t>
      </w:r>
      <w:r>
        <w:t>by</w:t>
      </w:r>
      <w:r>
        <w:rPr>
          <w:spacing w:val="-5"/>
        </w:rPr>
        <w:t xml:space="preserve"> </w:t>
      </w:r>
      <w:r>
        <w:t>providing</w:t>
      </w:r>
      <w:r>
        <w:rPr>
          <w:spacing w:val="-4"/>
        </w:rPr>
        <w:t xml:space="preserve"> </w:t>
      </w:r>
      <w:r>
        <w:t>operators</w:t>
      </w:r>
      <w:r>
        <w:rPr>
          <w:spacing w:val="-3"/>
        </w:rPr>
        <w:t xml:space="preserve"> </w:t>
      </w:r>
      <w:r>
        <w:t>with equal</w:t>
      </w:r>
      <w:r>
        <w:rPr>
          <w:spacing w:val="-1"/>
        </w:rPr>
        <w:t xml:space="preserve"> </w:t>
      </w:r>
      <w:r>
        <w:t>access</w:t>
      </w:r>
      <w:r>
        <w:rPr>
          <w:spacing w:val="-2"/>
        </w:rPr>
        <w:t xml:space="preserve"> </w:t>
      </w:r>
      <w:r>
        <w:t>to</w:t>
      </w:r>
      <w:r>
        <w:rPr>
          <w:spacing w:val="-1"/>
        </w:rPr>
        <w:t xml:space="preserve"> </w:t>
      </w:r>
      <w:r>
        <w:t>end-users,</w:t>
      </w:r>
      <w:r>
        <w:rPr>
          <w:spacing w:val="-3"/>
        </w:rPr>
        <w:t xml:space="preserve"> </w:t>
      </w:r>
      <w:r>
        <w:t>will</w:t>
      </w:r>
      <w:r>
        <w:rPr>
          <w:spacing w:val="-2"/>
        </w:rPr>
        <w:t xml:space="preserve"> </w:t>
      </w:r>
      <w:r>
        <w:t>enable</w:t>
      </w:r>
      <w:r>
        <w:rPr>
          <w:spacing w:val="-2"/>
        </w:rPr>
        <w:t xml:space="preserve"> </w:t>
      </w:r>
      <w:r>
        <w:t>users</w:t>
      </w:r>
      <w:r>
        <w:rPr>
          <w:spacing w:val="-57"/>
        </w:rPr>
        <w:t xml:space="preserve"> </w:t>
      </w:r>
      <w:r>
        <w:t xml:space="preserve">to choose operators and broadband access services. </w:t>
      </w:r>
      <w:r>
        <w:rPr>
          <w:b/>
        </w:rPr>
        <w:t>The signing of the grant agreement and</w:t>
      </w:r>
      <w:r>
        <w:rPr>
          <w:b/>
          <w:spacing w:val="1"/>
        </w:rPr>
        <w:t xml:space="preserve"> </w:t>
      </w:r>
      <w:r>
        <w:rPr>
          <w:b/>
        </w:rPr>
        <w:t>the start of the project for the construction of the passive electronic communications</w:t>
      </w:r>
      <w:r>
        <w:rPr>
          <w:b/>
          <w:spacing w:val="1"/>
        </w:rPr>
        <w:t xml:space="preserve"> </w:t>
      </w:r>
      <w:r>
        <w:rPr>
          <w:b/>
        </w:rPr>
        <w:t>infrastructure</w:t>
      </w:r>
      <w:r>
        <w:rPr>
          <w:b/>
          <w:spacing w:val="-1"/>
        </w:rPr>
        <w:t xml:space="preserve"> </w:t>
      </w:r>
      <w:r>
        <w:t>are</w:t>
      </w:r>
      <w:r>
        <w:rPr>
          <w:spacing w:val="-1"/>
        </w:rPr>
        <w:t xml:space="preserve"> </w:t>
      </w:r>
      <w:r>
        <w:t>planned</w:t>
      </w:r>
      <w:r>
        <w:rPr>
          <w:spacing w:val="1"/>
        </w:rPr>
        <w:t xml:space="preserve"> </w:t>
      </w:r>
      <w:r>
        <w:t>to take</w:t>
      </w:r>
      <w:r>
        <w:rPr>
          <w:spacing w:val="-1"/>
        </w:rPr>
        <w:t xml:space="preserve"> </w:t>
      </w:r>
      <w:r>
        <w:t>place</w:t>
      </w:r>
      <w:r>
        <w:rPr>
          <w:spacing w:val="-1"/>
        </w:rPr>
        <w:t xml:space="preserve"> </w:t>
      </w:r>
      <w:r>
        <w:t>by</w:t>
      </w:r>
      <w:r>
        <w:rPr>
          <w:spacing w:val="-4"/>
        </w:rPr>
        <w:t xml:space="preserve"> </w:t>
      </w:r>
      <w:r>
        <w:t>Q1/2023.</w:t>
      </w:r>
    </w:p>
    <w:p w:rsidR="00A56FE9" w:rsidRDefault="00A56FE9">
      <w:pPr>
        <w:pStyle w:val="Tijeloteksta"/>
        <w:ind w:left="0"/>
        <w:jc w:val="left"/>
        <w:rPr>
          <w:sz w:val="26"/>
        </w:rPr>
      </w:pPr>
    </w:p>
    <w:p w:rsidR="00A56FE9" w:rsidRDefault="00000000">
      <w:pPr>
        <w:pStyle w:val="Naslov3"/>
        <w:ind w:left="366" w:hanging="228"/>
        <w:jc w:val="left"/>
      </w:pPr>
      <w:bookmarkStart w:id="8" w:name="_bookmark8"/>
      <w:bookmarkEnd w:id="8"/>
      <w:r>
        <w:rPr>
          <w:rFonts w:ascii="Times New Roman"/>
          <w:b/>
          <w:color w:val="2C398A"/>
        </w:rPr>
        <w:t>C1.5.</w:t>
      </w:r>
      <w:r>
        <w:rPr>
          <w:rFonts w:ascii="Times New Roman"/>
          <w:b/>
          <w:color w:val="2C398A"/>
          <w:spacing w:val="-2"/>
        </w:rPr>
        <w:t xml:space="preserve"> </w:t>
      </w:r>
      <w:r>
        <w:rPr>
          <w:color w:val="003399"/>
        </w:rPr>
        <w:t>Improving</w:t>
      </w:r>
      <w:r>
        <w:rPr>
          <w:color w:val="003399"/>
          <w:spacing w:val="-13"/>
        </w:rPr>
        <w:t xml:space="preserve"> </w:t>
      </w:r>
      <w:r>
        <w:rPr>
          <w:color w:val="003399"/>
        </w:rPr>
        <w:t>the</w:t>
      </w:r>
      <w:r>
        <w:rPr>
          <w:color w:val="003399"/>
          <w:spacing w:val="-14"/>
        </w:rPr>
        <w:t xml:space="preserve"> </w:t>
      </w:r>
      <w:r>
        <w:rPr>
          <w:color w:val="003399"/>
        </w:rPr>
        <w:t>Use</w:t>
      </w:r>
      <w:r>
        <w:rPr>
          <w:color w:val="003399"/>
          <w:spacing w:val="-12"/>
        </w:rPr>
        <w:t xml:space="preserve"> </w:t>
      </w:r>
      <w:r>
        <w:rPr>
          <w:color w:val="003399"/>
        </w:rPr>
        <w:t>of</w:t>
      </w:r>
      <w:r>
        <w:rPr>
          <w:color w:val="003399"/>
          <w:spacing w:val="-15"/>
        </w:rPr>
        <w:t xml:space="preserve"> </w:t>
      </w:r>
      <w:r>
        <w:rPr>
          <w:color w:val="003399"/>
        </w:rPr>
        <w:t>Natural</w:t>
      </w:r>
      <w:r>
        <w:rPr>
          <w:color w:val="003399"/>
          <w:spacing w:val="-13"/>
        </w:rPr>
        <w:t xml:space="preserve"> </w:t>
      </w:r>
      <w:r>
        <w:rPr>
          <w:color w:val="003399"/>
        </w:rPr>
        <w:t>Resources</w:t>
      </w:r>
      <w:r>
        <w:rPr>
          <w:color w:val="003399"/>
          <w:spacing w:val="-13"/>
        </w:rPr>
        <w:t xml:space="preserve"> </w:t>
      </w:r>
      <w:r>
        <w:rPr>
          <w:color w:val="003399"/>
        </w:rPr>
        <w:t>and</w:t>
      </w:r>
      <w:r>
        <w:rPr>
          <w:color w:val="003399"/>
          <w:spacing w:val="-13"/>
        </w:rPr>
        <w:t xml:space="preserve"> </w:t>
      </w:r>
      <w:r>
        <w:rPr>
          <w:color w:val="003399"/>
        </w:rPr>
        <w:t>Strengthening</w:t>
      </w:r>
      <w:r>
        <w:rPr>
          <w:color w:val="003399"/>
          <w:spacing w:val="-14"/>
        </w:rPr>
        <w:t xml:space="preserve"> </w:t>
      </w:r>
      <w:r>
        <w:rPr>
          <w:color w:val="003399"/>
        </w:rPr>
        <w:t>the</w:t>
      </w:r>
      <w:r>
        <w:rPr>
          <w:color w:val="003399"/>
          <w:spacing w:val="-12"/>
        </w:rPr>
        <w:t xml:space="preserve"> </w:t>
      </w:r>
      <w:r>
        <w:rPr>
          <w:color w:val="003399"/>
        </w:rPr>
        <w:t>Food</w:t>
      </w:r>
      <w:r>
        <w:rPr>
          <w:color w:val="003399"/>
          <w:spacing w:val="-13"/>
        </w:rPr>
        <w:t xml:space="preserve"> </w:t>
      </w:r>
      <w:r>
        <w:rPr>
          <w:color w:val="003399"/>
        </w:rPr>
        <w:t>Supply</w:t>
      </w:r>
      <w:r>
        <w:rPr>
          <w:color w:val="003399"/>
          <w:spacing w:val="-60"/>
        </w:rPr>
        <w:t xml:space="preserve"> </w:t>
      </w:r>
      <w:r>
        <w:rPr>
          <w:color w:val="003399"/>
        </w:rPr>
        <w:t>Chain</w:t>
      </w:r>
    </w:p>
    <w:p w:rsidR="00A56FE9" w:rsidRDefault="00A56FE9">
      <w:pPr>
        <w:pStyle w:val="Tijeloteksta"/>
        <w:spacing w:before="6"/>
        <w:ind w:left="0"/>
        <w:jc w:val="left"/>
        <w:rPr>
          <w:rFonts w:ascii="Calibri Light"/>
          <w:sz w:val="29"/>
        </w:rPr>
      </w:pPr>
    </w:p>
    <w:p w:rsidR="00A56FE9" w:rsidRDefault="00CC1B9B">
      <w:pPr>
        <w:pStyle w:val="Naslov4"/>
        <w:spacing w:before="1"/>
      </w:pPr>
      <w:r>
        <w:rPr>
          <w:noProof/>
        </w:rPr>
        <mc:AlternateContent>
          <mc:Choice Requires="wps">
            <w:drawing>
              <wp:anchor distT="0" distB="0" distL="114300" distR="114300" simplePos="0" relativeHeight="15748608" behindDoc="0" locked="0" layoutInCell="1" allowOverlap="1">
                <wp:simplePos x="0" y="0"/>
                <wp:positionH relativeFrom="page">
                  <wp:posOffset>814070</wp:posOffset>
                </wp:positionH>
                <wp:positionV relativeFrom="paragraph">
                  <wp:posOffset>-76835</wp:posOffset>
                </wp:positionV>
                <wp:extent cx="18415" cy="342900"/>
                <wp:effectExtent l="0" t="0" r="0" b="0"/>
                <wp:wrapNone/>
                <wp:docPr id="1911419003"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B2C28" id="Rectangle 285" o:spid="_x0000_s1026" style="position:absolute;margin-left:64.1pt;margin-top:-6.05pt;width:1.45pt;height:27pt;z-index:1574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" fillcolor="#da1f2c" stroked="f">
                <w10:wrap anchorx="page"/>
              </v:rect>
            </w:pict>
          </mc:Fallback>
        </mc:AlternateContent>
      </w:r>
      <w:r w:rsidR="00000000">
        <w:rPr>
          <w:color w:val="2C398A"/>
          <w:spacing w:val="-1"/>
        </w:rPr>
        <w:t>Improving</w:t>
      </w:r>
      <w:r w:rsidR="00000000">
        <w:rPr>
          <w:color w:val="2C398A"/>
          <w:spacing w:val="-16"/>
        </w:rPr>
        <w:t xml:space="preserve"> </w:t>
      </w:r>
      <w:r w:rsidR="00000000">
        <w:rPr>
          <w:color w:val="2C398A"/>
          <w:spacing w:val="-1"/>
        </w:rPr>
        <w:t>the</w:t>
      </w:r>
      <w:r w:rsidR="00000000">
        <w:rPr>
          <w:color w:val="2C398A"/>
          <w:spacing w:val="-13"/>
        </w:rPr>
        <w:t xml:space="preserve"> </w:t>
      </w:r>
      <w:r w:rsidR="00000000">
        <w:rPr>
          <w:color w:val="2C398A"/>
          <w:spacing w:val="-1"/>
        </w:rPr>
        <w:t>Use</w:t>
      </w:r>
      <w:r w:rsidR="00000000">
        <w:rPr>
          <w:color w:val="2C398A"/>
          <w:spacing w:val="-15"/>
        </w:rPr>
        <w:t xml:space="preserve"> </w:t>
      </w:r>
      <w:r w:rsidR="00000000">
        <w:rPr>
          <w:color w:val="2C398A"/>
          <w:spacing w:val="-1"/>
        </w:rPr>
        <w:t>of</w:t>
      </w:r>
      <w:r w:rsidR="00000000">
        <w:rPr>
          <w:color w:val="2C398A"/>
          <w:spacing w:val="-13"/>
        </w:rPr>
        <w:t xml:space="preserve"> </w:t>
      </w:r>
      <w:r w:rsidR="00000000">
        <w:rPr>
          <w:color w:val="2C398A"/>
          <w:spacing w:val="-1"/>
        </w:rPr>
        <w:t>Natural</w:t>
      </w:r>
      <w:r w:rsidR="00000000">
        <w:rPr>
          <w:color w:val="2C398A"/>
          <w:spacing w:val="-12"/>
        </w:rPr>
        <w:t xml:space="preserve"> </w:t>
      </w:r>
      <w:r w:rsidR="00000000">
        <w:rPr>
          <w:color w:val="2C398A"/>
          <w:spacing w:val="-1"/>
        </w:rPr>
        <w:t>Resources</w:t>
      </w:r>
      <w:r w:rsidR="00000000">
        <w:rPr>
          <w:color w:val="2C398A"/>
          <w:spacing w:val="-16"/>
        </w:rPr>
        <w:t xml:space="preserve"> </w:t>
      </w:r>
      <w:r w:rsidR="00000000">
        <w:rPr>
          <w:color w:val="2C398A"/>
          <w:spacing w:val="-1"/>
        </w:rPr>
        <w:t>and</w:t>
      </w:r>
      <w:r w:rsidR="00000000">
        <w:rPr>
          <w:color w:val="2C398A"/>
          <w:spacing w:val="-15"/>
        </w:rPr>
        <w:t xml:space="preserve"> </w:t>
      </w:r>
      <w:r w:rsidR="00000000">
        <w:rPr>
          <w:color w:val="2C398A"/>
          <w:spacing w:val="-1"/>
        </w:rPr>
        <w:t>Strengthening</w:t>
      </w:r>
      <w:r w:rsidR="00000000">
        <w:rPr>
          <w:color w:val="2C398A"/>
          <w:spacing w:val="-15"/>
        </w:rPr>
        <w:t xml:space="preserve"> </w:t>
      </w:r>
      <w:r w:rsidR="00000000">
        <w:rPr>
          <w:color w:val="2C398A"/>
          <w:spacing w:val="-1"/>
        </w:rPr>
        <w:t>the</w:t>
      </w:r>
      <w:r w:rsidR="00000000">
        <w:rPr>
          <w:color w:val="2C398A"/>
          <w:spacing w:val="-13"/>
        </w:rPr>
        <w:t xml:space="preserve"> </w:t>
      </w:r>
      <w:r w:rsidR="00000000">
        <w:rPr>
          <w:color w:val="2C398A"/>
          <w:spacing w:val="-1"/>
        </w:rPr>
        <w:t>Food</w:t>
      </w:r>
      <w:r w:rsidR="00000000">
        <w:rPr>
          <w:color w:val="2C398A"/>
          <w:spacing w:val="-15"/>
        </w:rPr>
        <w:t xml:space="preserve"> </w:t>
      </w:r>
      <w:r w:rsidR="00000000">
        <w:rPr>
          <w:color w:val="2C398A"/>
        </w:rPr>
        <w:t>Supply</w:t>
      </w:r>
      <w:r w:rsidR="00000000">
        <w:rPr>
          <w:color w:val="2C398A"/>
          <w:spacing w:val="-13"/>
        </w:rPr>
        <w:t xml:space="preserve"> </w:t>
      </w:r>
      <w:r w:rsidR="00000000">
        <w:rPr>
          <w:color w:val="2C398A"/>
        </w:rPr>
        <w:t>Chain</w:t>
      </w:r>
    </w:p>
    <w:p w:rsidR="00A56FE9" w:rsidRDefault="00000000">
      <w:pPr>
        <w:spacing w:before="233"/>
        <w:ind w:left="138" w:right="271"/>
        <w:jc w:val="both"/>
        <w:rPr>
          <w:i/>
          <w:sz w:val="24"/>
        </w:rPr>
      </w:pPr>
      <w:r>
        <w:rPr>
          <w:i/>
          <w:color w:val="2C398A"/>
          <w:sz w:val="24"/>
        </w:rPr>
        <w:t>2019.CSR3.1.</w:t>
      </w:r>
      <w:r>
        <w:rPr>
          <w:i/>
          <w:color w:val="2C398A"/>
          <w:spacing w:val="1"/>
          <w:sz w:val="24"/>
        </w:rPr>
        <w:t xml:space="preserve"> </w:t>
      </w:r>
      <w:r>
        <w:rPr>
          <w:i/>
          <w:color w:val="2C398A"/>
          <w:sz w:val="24"/>
        </w:rPr>
        <w:t>Focus</w:t>
      </w:r>
      <w:r>
        <w:rPr>
          <w:i/>
          <w:color w:val="2C398A"/>
          <w:spacing w:val="1"/>
          <w:sz w:val="24"/>
        </w:rPr>
        <w:t xml:space="preserve"> </w:t>
      </w:r>
      <w:r>
        <w:rPr>
          <w:i/>
          <w:color w:val="2C398A"/>
          <w:sz w:val="24"/>
        </w:rPr>
        <w:t>investment-related</w:t>
      </w:r>
      <w:r>
        <w:rPr>
          <w:i/>
          <w:color w:val="2C398A"/>
          <w:spacing w:val="1"/>
          <w:sz w:val="24"/>
        </w:rPr>
        <w:t xml:space="preserve"> </w:t>
      </w:r>
      <w:r>
        <w:rPr>
          <w:i/>
          <w:color w:val="2C398A"/>
          <w:sz w:val="24"/>
        </w:rPr>
        <w:t>economic</w:t>
      </w:r>
      <w:r>
        <w:rPr>
          <w:i/>
          <w:color w:val="2C398A"/>
          <w:spacing w:val="1"/>
          <w:sz w:val="24"/>
        </w:rPr>
        <w:t xml:space="preserve"> </w:t>
      </w:r>
      <w:r>
        <w:rPr>
          <w:i/>
          <w:color w:val="2C398A"/>
          <w:sz w:val="24"/>
        </w:rPr>
        <w:t>policy</w:t>
      </w:r>
      <w:r>
        <w:rPr>
          <w:i/>
          <w:color w:val="2C398A"/>
          <w:spacing w:val="1"/>
          <w:sz w:val="24"/>
        </w:rPr>
        <w:t xml:space="preserve"> </w:t>
      </w:r>
      <w:r>
        <w:rPr>
          <w:i/>
          <w:color w:val="2C398A"/>
          <w:sz w:val="24"/>
        </w:rPr>
        <w:t>on</w:t>
      </w:r>
      <w:r>
        <w:rPr>
          <w:i/>
          <w:color w:val="2C398A"/>
          <w:spacing w:val="1"/>
          <w:sz w:val="24"/>
        </w:rPr>
        <w:t xml:space="preserve"> </w:t>
      </w:r>
      <w:r>
        <w:rPr>
          <w:i/>
          <w:color w:val="2C398A"/>
          <w:sz w:val="24"/>
        </w:rPr>
        <w:t>research</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innovation,</w:t>
      </w:r>
      <w:r>
        <w:rPr>
          <w:i/>
          <w:color w:val="2C398A"/>
          <w:spacing w:val="1"/>
          <w:sz w:val="24"/>
        </w:rPr>
        <w:t xml:space="preserve"> </w:t>
      </w:r>
      <w:r>
        <w:rPr>
          <w:i/>
          <w:color w:val="2C398A"/>
          <w:sz w:val="24"/>
        </w:rPr>
        <w:t>sustainable urban and railway transport, energy efficiency, renewables and environmental</w:t>
      </w:r>
      <w:r>
        <w:rPr>
          <w:i/>
          <w:color w:val="2C398A"/>
          <w:spacing w:val="1"/>
          <w:sz w:val="24"/>
        </w:rPr>
        <w:t xml:space="preserve"> </w:t>
      </w:r>
      <w:r>
        <w:rPr>
          <w:i/>
          <w:color w:val="2C398A"/>
          <w:sz w:val="24"/>
        </w:rPr>
        <w:t>infrastructure,</w:t>
      </w:r>
      <w:r>
        <w:rPr>
          <w:i/>
          <w:color w:val="2C398A"/>
          <w:spacing w:val="1"/>
          <w:sz w:val="24"/>
        </w:rPr>
        <w:t xml:space="preserve"> </w:t>
      </w:r>
      <w:r>
        <w:rPr>
          <w:i/>
          <w:color w:val="2C398A"/>
          <w:sz w:val="24"/>
        </w:rPr>
        <w:t>taking</w:t>
      </w:r>
      <w:r>
        <w:rPr>
          <w:i/>
          <w:color w:val="2C398A"/>
          <w:spacing w:val="1"/>
          <w:sz w:val="24"/>
        </w:rPr>
        <w:t xml:space="preserve"> </w:t>
      </w:r>
      <w:r>
        <w:rPr>
          <w:i/>
          <w:color w:val="2C398A"/>
          <w:sz w:val="24"/>
        </w:rPr>
        <w:t>into</w:t>
      </w:r>
      <w:r>
        <w:rPr>
          <w:i/>
          <w:color w:val="2C398A"/>
          <w:spacing w:val="1"/>
          <w:sz w:val="24"/>
        </w:rPr>
        <w:t xml:space="preserve"> </w:t>
      </w:r>
      <w:r>
        <w:rPr>
          <w:i/>
          <w:color w:val="2C398A"/>
          <w:sz w:val="24"/>
        </w:rPr>
        <w:t>account</w:t>
      </w:r>
      <w:r>
        <w:rPr>
          <w:i/>
          <w:color w:val="2C398A"/>
          <w:spacing w:val="1"/>
          <w:sz w:val="24"/>
        </w:rPr>
        <w:t xml:space="preserve"> </w:t>
      </w:r>
      <w:r>
        <w:rPr>
          <w:i/>
          <w:color w:val="2C398A"/>
          <w:sz w:val="24"/>
        </w:rPr>
        <w:t>regional</w:t>
      </w:r>
      <w:r>
        <w:rPr>
          <w:i/>
          <w:color w:val="2C398A"/>
          <w:spacing w:val="1"/>
          <w:sz w:val="24"/>
        </w:rPr>
        <w:t xml:space="preserve"> </w:t>
      </w:r>
      <w:r>
        <w:rPr>
          <w:i/>
          <w:color w:val="2C398A"/>
          <w:sz w:val="24"/>
        </w:rPr>
        <w:t>disparities;</w:t>
      </w:r>
      <w:r>
        <w:rPr>
          <w:i/>
          <w:color w:val="2C398A"/>
          <w:spacing w:val="1"/>
          <w:sz w:val="24"/>
        </w:rPr>
        <w:t xml:space="preserve"> </w:t>
      </w:r>
      <w:r>
        <w:rPr>
          <w:i/>
          <w:color w:val="2C398A"/>
          <w:sz w:val="24"/>
        </w:rPr>
        <w:t>2020.CSR3.1.</w:t>
      </w:r>
      <w:r>
        <w:rPr>
          <w:i/>
          <w:color w:val="2C398A"/>
          <w:spacing w:val="1"/>
          <w:sz w:val="24"/>
        </w:rPr>
        <w:t xml:space="preserve"> </w:t>
      </w:r>
      <w:r>
        <w:rPr>
          <w:i/>
          <w:color w:val="2C398A"/>
          <w:sz w:val="24"/>
        </w:rPr>
        <w:t>Front-load</w:t>
      </w:r>
      <w:r>
        <w:rPr>
          <w:i/>
          <w:color w:val="2C398A"/>
          <w:spacing w:val="1"/>
          <w:sz w:val="24"/>
        </w:rPr>
        <w:t xml:space="preserve"> </w:t>
      </w:r>
      <w:r>
        <w:rPr>
          <w:i/>
          <w:color w:val="2C398A"/>
          <w:sz w:val="24"/>
        </w:rPr>
        <w:t>mature</w:t>
      </w:r>
      <w:r>
        <w:rPr>
          <w:i/>
          <w:color w:val="2C398A"/>
          <w:spacing w:val="-57"/>
          <w:sz w:val="24"/>
        </w:rPr>
        <w:t xml:space="preserve"> </w:t>
      </w:r>
      <w:r>
        <w:rPr>
          <w:i/>
          <w:color w:val="2C398A"/>
          <w:sz w:val="24"/>
        </w:rPr>
        <w:t>public investment projects and promote private investment to foster the economic recovery;</w:t>
      </w:r>
      <w:r>
        <w:rPr>
          <w:i/>
          <w:color w:val="2C398A"/>
          <w:spacing w:val="1"/>
          <w:sz w:val="24"/>
        </w:rPr>
        <w:t xml:space="preserve"> </w:t>
      </w:r>
      <w:r>
        <w:rPr>
          <w:i/>
          <w:color w:val="2C398A"/>
          <w:sz w:val="24"/>
        </w:rPr>
        <w:t>2020.CSR3.3. Focus investment on the green and digital transition; 2020.CSR2.2. Increase</w:t>
      </w:r>
      <w:r>
        <w:rPr>
          <w:i/>
          <w:color w:val="2C398A"/>
          <w:spacing w:val="1"/>
          <w:sz w:val="24"/>
        </w:rPr>
        <w:t xml:space="preserve"> </w:t>
      </w:r>
      <w:r>
        <w:rPr>
          <w:i/>
          <w:color w:val="2C398A"/>
          <w:sz w:val="24"/>
        </w:rPr>
        <w:t>access</w:t>
      </w:r>
      <w:r>
        <w:rPr>
          <w:i/>
          <w:color w:val="2C398A"/>
          <w:spacing w:val="-1"/>
          <w:sz w:val="24"/>
        </w:rPr>
        <w:t xml:space="preserve"> </w:t>
      </w:r>
      <w:r>
        <w:rPr>
          <w:i/>
          <w:color w:val="2C398A"/>
          <w:sz w:val="24"/>
        </w:rPr>
        <w:t>to digital infrastructure and services</w:t>
      </w:r>
    </w:p>
    <w:p w:rsidR="00A56FE9" w:rsidRDefault="00A56FE9">
      <w:pPr>
        <w:jc w:val="both"/>
        <w:rPr>
          <w:sz w:val="24"/>
        </w:rPr>
        <w:sectPr w:rsidR="00A56FE9" w:rsidSect="00AB1E70">
          <w:pgSz w:w="11910" w:h="16840"/>
          <w:pgMar w:top="1320" w:right="1140" w:bottom="960" w:left="1280" w:header="0" w:footer="779" w:gutter="0"/>
          <w:cols w:space="720"/>
        </w:sectPr>
      </w:pPr>
    </w:p>
    <w:p w:rsidR="00A56FE9" w:rsidRDefault="00000000">
      <w:pPr>
        <w:pStyle w:val="Naslov5"/>
        <w:spacing w:before="79"/>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224530906"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045918241" name="Rectangle 284"/>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FE777C4" id="Group 283"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">
                <v:rect id="Rectangle 284"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4"/>
      </w:pPr>
      <w:r>
        <w:t>The agricultural sector accounts for 3.3% of Croatia's total GDP and employs 6.2% of the</w:t>
      </w:r>
      <w:r>
        <w:rPr>
          <w:spacing w:val="1"/>
        </w:rPr>
        <w:t xml:space="preserve"> </w:t>
      </w:r>
      <w:r>
        <w:t>workforce, more than the average share at the EU level. Following EU accession, difficulties</w:t>
      </w:r>
      <w:r>
        <w:rPr>
          <w:spacing w:val="1"/>
        </w:rPr>
        <w:t xml:space="preserve"> </w:t>
      </w:r>
      <w:r>
        <w:t>in adapting to new economic circumstances have contributed to a worsening performance of</w:t>
      </w:r>
      <w:r>
        <w:rPr>
          <w:spacing w:val="1"/>
        </w:rPr>
        <w:t xml:space="preserve"> </w:t>
      </w:r>
      <w:r>
        <w:t>the agricultural</w:t>
      </w:r>
      <w:r>
        <w:rPr>
          <w:spacing w:val="1"/>
        </w:rPr>
        <w:t xml:space="preserve"> </w:t>
      </w:r>
      <w:r>
        <w:t>sector</w:t>
      </w:r>
      <w:r>
        <w:rPr>
          <w:spacing w:val="1"/>
        </w:rPr>
        <w:t xml:space="preserve"> </w:t>
      </w:r>
      <w:r>
        <w:t>compared</w:t>
      </w:r>
      <w:r>
        <w:rPr>
          <w:spacing w:val="1"/>
        </w:rPr>
        <w:t xml:space="preserve"> </w:t>
      </w:r>
      <w:r>
        <w:t>to</w:t>
      </w:r>
      <w:r>
        <w:rPr>
          <w:spacing w:val="1"/>
        </w:rPr>
        <w:t xml:space="preserve"> </w:t>
      </w:r>
      <w:r>
        <w:t>the rest</w:t>
      </w:r>
      <w:r>
        <w:rPr>
          <w:spacing w:val="1"/>
        </w:rPr>
        <w:t xml:space="preserve"> </w:t>
      </w:r>
      <w:r>
        <w:t>of</w:t>
      </w:r>
      <w:r>
        <w:rPr>
          <w:spacing w:val="1"/>
        </w:rPr>
        <w:t xml:space="preserve"> </w:t>
      </w:r>
      <w:r>
        <w:t>the economy.</w:t>
      </w:r>
      <w:r>
        <w:rPr>
          <w:spacing w:val="1"/>
        </w:rPr>
        <w:t xml:space="preserve"> </w:t>
      </w:r>
      <w:r>
        <w:t>From</w:t>
      </w:r>
      <w:r>
        <w:rPr>
          <w:spacing w:val="1"/>
        </w:rPr>
        <w:t xml:space="preserve"> </w:t>
      </w:r>
      <w:r>
        <w:t>2008</w:t>
      </w:r>
      <w:r>
        <w:rPr>
          <w:spacing w:val="1"/>
        </w:rPr>
        <w:t xml:space="preserve"> </w:t>
      </w:r>
      <w:r>
        <w:t>to</w:t>
      </w:r>
      <w:r>
        <w:rPr>
          <w:spacing w:val="1"/>
        </w:rPr>
        <w:t xml:space="preserve"> </w:t>
      </w:r>
      <w:r>
        <w:t>2017,</w:t>
      </w:r>
      <w:r>
        <w:rPr>
          <w:spacing w:val="1"/>
        </w:rPr>
        <w:t xml:space="preserve"> </w:t>
      </w:r>
      <w:r>
        <w:t>gross</w:t>
      </w:r>
      <w:r>
        <w:rPr>
          <w:spacing w:val="1"/>
        </w:rPr>
        <w:t xml:space="preserve"> </w:t>
      </w:r>
      <w:r>
        <w:t>agricultural production fell by an average of 3.7% each year, while gross value added of the</w:t>
      </w:r>
      <w:r>
        <w:rPr>
          <w:spacing w:val="1"/>
        </w:rPr>
        <w:t xml:space="preserve"> </w:t>
      </w:r>
      <w:r>
        <w:t>agricultural sector fell by an average of 4.3% each year. Since 2018, Croatia's agricultural</w:t>
      </w:r>
      <w:r>
        <w:rPr>
          <w:spacing w:val="1"/>
        </w:rPr>
        <w:t xml:space="preserve"> </w:t>
      </w:r>
      <w:r>
        <w:t>activity</w:t>
      </w:r>
      <w:r>
        <w:rPr>
          <w:spacing w:val="-6"/>
        </w:rPr>
        <w:t xml:space="preserve"> </w:t>
      </w:r>
      <w:r>
        <w:t>has been recovering</w:t>
      </w:r>
      <w:r>
        <w:rPr>
          <w:spacing w:val="-2"/>
        </w:rPr>
        <w:t xml:space="preserve"> </w:t>
      </w:r>
      <w:r>
        <w:t>and increasing the value of</w:t>
      </w:r>
      <w:r>
        <w:rPr>
          <w:spacing w:val="-2"/>
        </w:rPr>
        <w:t xml:space="preserve"> </w:t>
      </w:r>
      <w:r>
        <w:t>agricultural production.</w:t>
      </w:r>
    </w:p>
    <w:p w:rsidR="00A56FE9" w:rsidRDefault="00000000">
      <w:pPr>
        <w:pStyle w:val="Tijeloteksta"/>
        <w:spacing w:before="120"/>
        <w:ind w:right="271"/>
      </w:pPr>
      <w:r>
        <w:t>These results are attributed to the implementation of agricultural policy measures, which in</w:t>
      </w:r>
      <w:r>
        <w:rPr>
          <w:spacing w:val="1"/>
        </w:rPr>
        <w:t xml:space="preserve"> </w:t>
      </w:r>
      <w:r>
        <w:rPr>
          <w:spacing w:val="-1"/>
        </w:rPr>
        <w:t>Croatia</w:t>
      </w:r>
      <w:r>
        <w:rPr>
          <w:spacing w:val="-4"/>
        </w:rPr>
        <w:t xml:space="preserve"> </w:t>
      </w:r>
      <w:r>
        <w:t>is</w:t>
      </w:r>
      <w:r>
        <w:rPr>
          <w:spacing w:val="-2"/>
        </w:rPr>
        <w:t xml:space="preserve"> </w:t>
      </w:r>
      <w:r>
        <w:t>defined</w:t>
      </w:r>
      <w:r>
        <w:rPr>
          <w:spacing w:val="-2"/>
        </w:rPr>
        <w:t xml:space="preserve"> </w:t>
      </w:r>
      <w:r>
        <w:t>by</w:t>
      </w:r>
      <w:r>
        <w:rPr>
          <w:spacing w:val="-8"/>
        </w:rPr>
        <w:t xml:space="preserve"> </w:t>
      </w:r>
      <w:r>
        <w:t>the Agriculture</w:t>
      </w:r>
      <w:r>
        <w:rPr>
          <w:spacing w:val="-4"/>
        </w:rPr>
        <w:t xml:space="preserve"> </w:t>
      </w:r>
      <w:r>
        <w:t>Act,</w:t>
      </w:r>
      <w:r>
        <w:rPr>
          <w:spacing w:val="-20"/>
        </w:rPr>
        <w:t xml:space="preserve"> </w:t>
      </w:r>
      <w:r>
        <w:rPr>
          <w:vertAlign w:val="superscript"/>
        </w:rPr>
        <w:t>22</w:t>
      </w:r>
      <w:r>
        <w:rPr>
          <w:spacing w:val="-2"/>
        </w:rPr>
        <w:t xml:space="preserve"> </w:t>
      </w:r>
      <w:r>
        <w:t>while</w:t>
      </w:r>
      <w:r>
        <w:rPr>
          <w:spacing w:val="-2"/>
        </w:rPr>
        <w:t xml:space="preserve"> </w:t>
      </w:r>
      <w:r>
        <w:t>the</w:t>
      </w:r>
      <w:r>
        <w:rPr>
          <w:spacing w:val="-3"/>
        </w:rPr>
        <w:t xml:space="preserve"> </w:t>
      </w:r>
      <w:r>
        <w:t>primary</w:t>
      </w:r>
      <w:r>
        <w:rPr>
          <w:spacing w:val="-7"/>
        </w:rPr>
        <w:t xml:space="preserve"> </w:t>
      </w:r>
      <w:r>
        <w:t>implementation</w:t>
      </w:r>
      <w:r>
        <w:rPr>
          <w:spacing w:val="-3"/>
        </w:rPr>
        <w:t xml:space="preserve"> </w:t>
      </w:r>
      <w:r>
        <w:t>document</w:t>
      </w:r>
      <w:r>
        <w:rPr>
          <w:spacing w:val="-3"/>
        </w:rPr>
        <w:t xml:space="preserve"> </w:t>
      </w:r>
      <w:r>
        <w:t>is</w:t>
      </w:r>
      <w:r>
        <w:rPr>
          <w:spacing w:val="-1"/>
        </w:rPr>
        <w:t xml:space="preserve"> </w:t>
      </w:r>
      <w:r>
        <w:t>the</w:t>
      </w:r>
      <w:r>
        <w:rPr>
          <w:spacing w:val="-58"/>
        </w:rPr>
        <w:t xml:space="preserve"> </w:t>
      </w:r>
      <w:r>
        <w:t>Rural Development Program, approved by the EC. In the program period 2023-2027, and in</w:t>
      </w:r>
      <w:r>
        <w:rPr>
          <w:spacing w:val="1"/>
        </w:rPr>
        <w:t xml:space="preserve"> </w:t>
      </w:r>
      <w:r>
        <w:t>line with the reformed EU common agricultural policy rules, Croatia will implement the so-</w:t>
      </w:r>
      <w:r>
        <w:rPr>
          <w:spacing w:val="1"/>
        </w:rPr>
        <w:t xml:space="preserve"> </w:t>
      </w:r>
      <w:r>
        <w:t>called</w:t>
      </w:r>
      <w:r>
        <w:rPr>
          <w:spacing w:val="-1"/>
        </w:rPr>
        <w:t xml:space="preserve"> </w:t>
      </w:r>
      <w:r>
        <w:t>strategic plan,</w:t>
      </w:r>
      <w:r>
        <w:rPr>
          <w:spacing w:val="-1"/>
        </w:rPr>
        <w:t xml:space="preserve"> </w:t>
      </w:r>
      <w:r>
        <w:t>the</w:t>
      </w:r>
      <w:r>
        <w:rPr>
          <w:spacing w:val="1"/>
        </w:rPr>
        <w:t xml:space="preserve"> </w:t>
      </w:r>
      <w:r>
        <w:t>draft of</w:t>
      </w:r>
      <w:r>
        <w:rPr>
          <w:spacing w:val="-2"/>
        </w:rPr>
        <w:t xml:space="preserve"> </w:t>
      </w:r>
      <w:r>
        <w:t>which</w:t>
      </w:r>
      <w:r>
        <w:rPr>
          <w:spacing w:val="2"/>
        </w:rPr>
        <w:t xml:space="preserve"> </w:t>
      </w:r>
      <w:r>
        <w:t>was</w:t>
      </w:r>
      <w:r>
        <w:rPr>
          <w:spacing w:val="-1"/>
        </w:rPr>
        <w:t xml:space="preserve"> </w:t>
      </w:r>
      <w:r>
        <w:t>also submitted to</w:t>
      </w:r>
      <w:r>
        <w:rPr>
          <w:spacing w:val="-1"/>
        </w:rPr>
        <w:t xml:space="preserve"> </w:t>
      </w:r>
      <w:r>
        <w:t>the</w:t>
      </w:r>
      <w:r>
        <w:rPr>
          <w:spacing w:val="-1"/>
        </w:rPr>
        <w:t xml:space="preserve"> </w:t>
      </w:r>
      <w:r>
        <w:t>EC</w:t>
      </w:r>
      <w:r>
        <w:rPr>
          <w:spacing w:val="-1"/>
        </w:rPr>
        <w:t xml:space="preserve"> </w:t>
      </w:r>
      <w:r>
        <w:t>for</w:t>
      </w:r>
      <w:r>
        <w:rPr>
          <w:spacing w:val="-1"/>
        </w:rPr>
        <w:t xml:space="preserve"> </w:t>
      </w:r>
      <w:r>
        <w:t>approval.</w:t>
      </w:r>
    </w:p>
    <w:p w:rsidR="00A56FE9" w:rsidRDefault="00000000">
      <w:pPr>
        <w:pStyle w:val="Tijeloteksta"/>
        <w:spacing w:before="121"/>
        <w:ind w:right="279"/>
      </w:pPr>
      <w:r>
        <w:t>The</w:t>
      </w:r>
      <w:r>
        <w:rPr>
          <w:spacing w:val="1"/>
        </w:rPr>
        <w:t xml:space="preserve"> </w:t>
      </w:r>
      <w:r>
        <w:t>draft</w:t>
      </w:r>
      <w:r>
        <w:rPr>
          <w:spacing w:val="1"/>
        </w:rPr>
        <w:t xml:space="preserve"> </w:t>
      </w:r>
      <w:r>
        <w:t>strategic</w:t>
      </w:r>
      <w:r>
        <w:rPr>
          <w:spacing w:val="1"/>
        </w:rPr>
        <w:t xml:space="preserve"> </w:t>
      </w:r>
      <w:r>
        <w:t>plan</w:t>
      </w:r>
      <w:r>
        <w:rPr>
          <w:spacing w:val="1"/>
        </w:rPr>
        <w:t xml:space="preserve"> </w:t>
      </w:r>
      <w:r>
        <w:t>recognizes</w:t>
      </w:r>
      <w:r>
        <w:rPr>
          <w:spacing w:val="1"/>
        </w:rPr>
        <w:t xml:space="preserve"> </w:t>
      </w:r>
      <w:r>
        <w:t>the</w:t>
      </w:r>
      <w:r>
        <w:rPr>
          <w:spacing w:val="1"/>
        </w:rPr>
        <w:t xml:space="preserve"> </w:t>
      </w:r>
      <w:r>
        <w:t>progress</w:t>
      </w:r>
      <w:r>
        <w:rPr>
          <w:spacing w:val="1"/>
        </w:rPr>
        <w:t xml:space="preserve"> </w:t>
      </w:r>
      <w:r>
        <w:t>in</w:t>
      </w:r>
      <w:r>
        <w:rPr>
          <w:spacing w:val="1"/>
        </w:rPr>
        <w:t xml:space="preserve"> </w:t>
      </w:r>
      <w:r>
        <w:t>consolidating</w:t>
      </w:r>
      <w:r>
        <w:rPr>
          <w:spacing w:val="1"/>
        </w:rPr>
        <w:t xml:space="preserve"> </w:t>
      </w:r>
      <w:r>
        <w:t>agricultural</w:t>
      </w:r>
      <w:r>
        <w:rPr>
          <w:spacing w:val="1"/>
        </w:rPr>
        <w:t xml:space="preserve"> </w:t>
      </w:r>
      <w:r>
        <w:t>holdings,</w:t>
      </w:r>
      <w:r>
        <w:rPr>
          <w:spacing w:val="1"/>
        </w:rPr>
        <w:t xml:space="preserve"> </w:t>
      </w:r>
      <w:r>
        <w:t>generational</w:t>
      </w:r>
      <w:r>
        <w:rPr>
          <w:spacing w:val="1"/>
        </w:rPr>
        <w:t xml:space="preserve"> </w:t>
      </w:r>
      <w:r>
        <w:t>renewal,</w:t>
      </w:r>
      <w:r>
        <w:rPr>
          <w:spacing w:val="1"/>
        </w:rPr>
        <w:t xml:space="preserve"> </w:t>
      </w:r>
      <w:r>
        <w:t>modernisation</w:t>
      </w:r>
      <w:r>
        <w:rPr>
          <w:spacing w:val="1"/>
        </w:rPr>
        <w:t xml:space="preserve"> </w:t>
      </w:r>
      <w:r>
        <w:t>of</w:t>
      </w:r>
      <w:r>
        <w:rPr>
          <w:spacing w:val="1"/>
        </w:rPr>
        <w:t xml:space="preserve"> </w:t>
      </w:r>
      <w:r>
        <w:t>production,</w:t>
      </w:r>
      <w:r>
        <w:rPr>
          <w:spacing w:val="1"/>
        </w:rPr>
        <w:t xml:space="preserve"> </w:t>
      </w:r>
      <w:r>
        <w:t>and</w:t>
      </w:r>
      <w:r>
        <w:rPr>
          <w:spacing w:val="1"/>
        </w:rPr>
        <w:t xml:space="preserve"> </w:t>
      </w:r>
      <w:r>
        <w:t>the</w:t>
      </w:r>
      <w:r>
        <w:rPr>
          <w:spacing w:val="1"/>
        </w:rPr>
        <w:t xml:space="preserve"> </w:t>
      </w:r>
      <w:r>
        <w:t>recognisability</w:t>
      </w:r>
      <w:r>
        <w:rPr>
          <w:spacing w:val="1"/>
        </w:rPr>
        <w:t xml:space="preserve"> </w:t>
      </w:r>
      <w:r>
        <w:t>of</w:t>
      </w:r>
      <w:r>
        <w:rPr>
          <w:spacing w:val="1"/>
        </w:rPr>
        <w:t xml:space="preserve"> </w:t>
      </w:r>
      <w:r>
        <w:t>Croatian</w:t>
      </w:r>
      <w:r>
        <w:rPr>
          <w:spacing w:val="1"/>
        </w:rPr>
        <w:t xml:space="preserve"> </w:t>
      </w:r>
      <w:r>
        <w:t>products.</w:t>
      </w:r>
    </w:p>
    <w:p w:rsidR="00A56FE9" w:rsidRDefault="00000000">
      <w:pPr>
        <w:pStyle w:val="Tijeloteksta"/>
        <w:spacing w:before="120"/>
        <w:ind w:right="278"/>
      </w:pPr>
      <w:r>
        <w:t>In the current programming period, the financial envelope of the common agricultural policy</w:t>
      </w:r>
      <w:r>
        <w:rPr>
          <w:spacing w:val="1"/>
        </w:rPr>
        <w:t xml:space="preserve"> </w:t>
      </w:r>
      <w:r>
        <w:t>of the Republic of Croatia is aimed at supporting rural development (58% of the envelope is</w:t>
      </w:r>
      <w:r>
        <w:rPr>
          <w:spacing w:val="1"/>
        </w:rPr>
        <w:t xml:space="preserve"> </w:t>
      </w:r>
      <w:r>
        <w:t>focused on rural development measures, 40% on direct payments and 2% on common market</w:t>
      </w:r>
      <w:r>
        <w:rPr>
          <w:spacing w:val="1"/>
        </w:rPr>
        <w:t xml:space="preserve"> </w:t>
      </w:r>
      <w:r>
        <w:t>measures).</w:t>
      </w:r>
    </w:p>
    <w:p w:rsidR="00A56FE9" w:rsidRDefault="00000000">
      <w:pPr>
        <w:pStyle w:val="Tijeloteksta"/>
        <w:spacing w:before="120"/>
        <w:ind w:right="272"/>
      </w:pPr>
      <w:r>
        <w:t>Aid</w:t>
      </w:r>
      <w:r>
        <w:rPr>
          <w:spacing w:val="-10"/>
        </w:rPr>
        <w:t xml:space="preserve"> </w:t>
      </w:r>
      <w:r>
        <w:t>to</w:t>
      </w:r>
      <w:r>
        <w:rPr>
          <w:spacing w:val="-8"/>
        </w:rPr>
        <w:t xml:space="preserve"> </w:t>
      </w:r>
      <w:r>
        <w:t>agriculture</w:t>
      </w:r>
      <w:r>
        <w:rPr>
          <w:spacing w:val="-10"/>
        </w:rPr>
        <w:t xml:space="preserve"> </w:t>
      </w:r>
      <w:r>
        <w:t>(direct</w:t>
      </w:r>
      <w:r>
        <w:rPr>
          <w:spacing w:val="-6"/>
        </w:rPr>
        <w:t xml:space="preserve"> </w:t>
      </w:r>
      <w:r>
        <w:t>payments</w:t>
      </w:r>
      <w:r>
        <w:rPr>
          <w:spacing w:val="-8"/>
        </w:rPr>
        <w:t xml:space="preserve"> </w:t>
      </w:r>
      <w:r>
        <w:t>and</w:t>
      </w:r>
      <w:r>
        <w:rPr>
          <w:spacing w:val="-9"/>
        </w:rPr>
        <w:t xml:space="preserve"> </w:t>
      </w:r>
      <w:r>
        <w:t>support</w:t>
      </w:r>
      <w:r>
        <w:rPr>
          <w:spacing w:val="-9"/>
        </w:rPr>
        <w:t xml:space="preserve"> </w:t>
      </w:r>
      <w:r>
        <w:t>to</w:t>
      </w:r>
      <w:r>
        <w:rPr>
          <w:spacing w:val="-8"/>
        </w:rPr>
        <w:t xml:space="preserve"> </w:t>
      </w:r>
      <w:r>
        <w:t>rural</w:t>
      </w:r>
      <w:r>
        <w:rPr>
          <w:spacing w:val="-8"/>
        </w:rPr>
        <w:t xml:space="preserve"> </w:t>
      </w:r>
      <w:r>
        <w:t>development)</w:t>
      </w:r>
      <w:r>
        <w:rPr>
          <w:spacing w:val="-6"/>
        </w:rPr>
        <w:t xml:space="preserve"> </w:t>
      </w:r>
      <w:r>
        <w:t>contributes</w:t>
      </w:r>
      <w:r>
        <w:rPr>
          <w:spacing w:val="-9"/>
        </w:rPr>
        <w:t xml:space="preserve"> </w:t>
      </w:r>
      <w:r>
        <w:t>to</w:t>
      </w:r>
      <w:r>
        <w:rPr>
          <w:spacing w:val="-8"/>
        </w:rPr>
        <w:t xml:space="preserve"> </w:t>
      </w:r>
      <w:r>
        <w:t>the</w:t>
      </w:r>
      <w:r>
        <w:rPr>
          <w:spacing w:val="-9"/>
        </w:rPr>
        <w:t xml:space="preserve"> </w:t>
      </w:r>
      <w:r>
        <w:t>growth</w:t>
      </w:r>
      <w:r>
        <w:rPr>
          <w:spacing w:val="-58"/>
        </w:rPr>
        <w:t xml:space="preserve"> </w:t>
      </w:r>
      <w:r>
        <w:t>of economic results with a multiplier effect of 2.67 (on an annual basis, increase in economic</w:t>
      </w:r>
      <w:r>
        <w:rPr>
          <w:spacing w:val="1"/>
        </w:rPr>
        <w:t xml:space="preserve"> </w:t>
      </w:r>
      <w:r>
        <w:t>results by 1.55%, value-adding by 2.93% and employment by 1.49%). Rural development</w:t>
      </w:r>
      <w:r>
        <w:rPr>
          <w:spacing w:val="1"/>
        </w:rPr>
        <w:t xml:space="preserve"> </w:t>
      </w:r>
      <w:r>
        <w:t>projects bring broader economic effects by strengthening the structural link between primary</w:t>
      </w:r>
      <w:r>
        <w:rPr>
          <w:spacing w:val="1"/>
        </w:rPr>
        <w:t xml:space="preserve"> </w:t>
      </w:r>
      <w:r>
        <w:t>agriculture</w:t>
      </w:r>
      <w:r>
        <w:rPr>
          <w:spacing w:val="-1"/>
        </w:rPr>
        <w:t xml:space="preserve"> </w:t>
      </w:r>
      <w:r>
        <w:t>and other</w:t>
      </w:r>
      <w:r>
        <w:rPr>
          <w:spacing w:val="-2"/>
        </w:rPr>
        <w:t xml:space="preserve"> </w:t>
      </w:r>
      <w:r>
        <w:t>economic</w:t>
      </w:r>
      <w:r>
        <w:rPr>
          <w:spacing w:val="-1"/>
        </w:rPr>
        <w:t xml:space="preserve"> </w:t>
      </w:r>
      <w:r>
        <w:t>sub-sectors.</w:t>
      </w:r>
    </w:p>
    <w:p w:rsidR="00A56FE9" w:rsidRDefault="00000000">
      <w:pPr>
        <w:pStyle w:val="Tijeloteksta"/>
        <w:spacing w:before="121"/>
        <w:ind w:right="272"/>
      </w:pPr>
      <w:r>
        <w:t>The NRRP reform C1.5. Improving the use of natural resources and strengthening the food</w:t>
      </w:r>
      <w:r>
        <w:rPr>
          <w:spacing w:val="1"/>
        </w:rPr>
        <w:t xml:space="preserve"> </w:t>
      </w:r>
      <w:r>
        <w:t>supply chain, especially the establishment of a network of logistics infrastructure, encourages</w:t>
      </w:r>
      <w:r>
        <w:rPr>
          <w:spacing w:val="1"/>
        </w:rPr>
        <w:t xml:space="preserve"> </w:t>
      </w:r>
      <w:r>
        <w:t>the creation of partnerships in the sector as a prerequisite for improving the market position of</w:t>
      </w:r>
      <w:r>
        <w:rPr>
          <w:spacing w:val="-57"/>
        </w:rPr>
        <w:t xml:space="preserve"> </w:t>
      </w:r>
      <w:r>
        <w:t>farmers by organising sales and providing services that increase the added value of their</w:t>
      </w:r>
      <w:r>
        <w:rPr>
          <w:spacing w:val="1"/>
        </w:rPr>
        <w:t xml:space="preserve"> </w:t>
      </w:r>
      <w:r>
        <w:t>products (warehousing, packaging, marking, processes). The first step in implementing this</w:t>
      </w:r>
      <w:r>
        <w:rPr>
          <w:spacing w:val="1"/>
        </w:rPr>
        <w:t xml:space="preserve"> </w:t>
      </w:r>
      <w:r>
        <w:rPr>
          <w:spacing w:val="-1"/>
        </w:rPr>
        <w:t>measure</w:t>
      </w:r>
      <w:r>
        <w:rPr>
          <w:spacing w:val="-14"/>
        </w:rPr>
        <w:t xml:space="preserve"> </w:t>
      </w:r>
      <w:r>
        <w:t>was</w:t>
      </w:r>
      <w:r>
        <w:rPr>
          <w:spacing w:val="-15"/>
        </w:rPr>
        <w:t xml:space="preserve"> </w:t>
      </w:r>
      <w:r>
        <w:t>the</w:t>
      </w:r>
      <w:r>
        <w:rPr>
          <w:spacing w:val="-13"/>
        </w:rPr>
        <w:t xml:space="preserve"> </w:t>
      </w:r>
      <w:r>
        <w:t>adoption</w:t>
      </w:r>
      <w:r>
        <w:rPr>
          <w:spacing w:val="-15"/>
        </w:rPr>
        <w:t xml:space="preserve"> </w:t>
      </w:r>
      <w:r>
        <w:t>of</w:t>
      </w:r>
      <w:r>
        <w:rPr>
          <w:spacing w:val="-16"/>
        </w:rPr>
        <w:t xml:space="preserve"> </w:t>
      </w:r>
      <w:r>
        <w:t>the</w:t>
      </w:r>
      <w:r>
        <w:rPr>
          <w:spacing w:val="-15"/>
        </w:rPr>
        <w:t xml:space="preserve"> </w:t>
      </w:r>
      <w:r>
        <w:t>Operational</w:t>
      </w:r>
      <w:r>
        <w:rPr>
          <w:spacing w:val="-13"/>
        </w:rPr>
        <w:t xml:space="preserve"> </w:t>
      </w:r>
      <w:r>
        <w:t>Programme</w:t>
      </w:r>
      <w:r>
        <w:rPr>
          <w:spacing w:val="-13"/>
        </w:rPr>
        <w:t xml:space="preserve"> </w:t>
      </w:r>
      <w:r>
        <w:t>for</w:t>
      </w:r>
      <w:r>
        <w:rPr>
          <w:spacing w:val="-16"/>
        </w:rPr>
        <w:t xml:space="preserve"> </w:t>
      </w:r>
      <w:r>
        <w:t>Strengthening</w:t>
      </w:r>
      <w:r>
        <w:rPr>
          <w:spacing w:val="-17"/>
        </w:rPr>
        <w:t xml:space="preserve"> </w:t>
      </w:r>
      <w:r>
        <w:t>the</w:t>
      </w:r>
      <w:r>
        <w:rPr>
          <w:spacing w:val="-16"/>
        </w:rPr>
        <w:t xml:space="preserve"> </w:t>
      </w:r>
      <w:r>
        <w:t>Market</w:t>
      </w:r>
      <w:r>
        <w:rPr>
          <w:spacing w:val="-14"/>
        </w:rPr>
        <w:t xml:space="preserve"> </w:t>
      </w:r>
      <w:r>
        <w:t>Capacity</w:t>
      </w:r>
      <w:r>
        <w:rPr>
          <w:spacing w:val="-57"/>
        </w:rPr>
        <w:t xml:space="preserve"> </w:t>
      </w:r>
      <w:r>
        <w:t>of the Fruit and Vegetable Sector for the period 2021-2026, adopted by the Government on 23</w:t>
      </w:r>
      <w:r>
        <w:rPr>
          <w:spacing w:val="-57"/>
        </w:rPr>
        <w:t xml:space="preserve"> </w:t>
      </w:r>
      <w:r>
        <w:t>December 2021. The readiness to participate in the financing and the existence of already</w:t>
      </w:r>
      <w:r>
        <w:rPr>
          <w:spacing w:val="1"/>
        </w:rPr>
        <w:t xml:space="preserve"> </w:t>
      </w:r>
      <w:r>
        <w:t>developed</w:t>
      </w:r>
      <w:r>
        <w:rPr>
          <w:spacing w:val="1"/>
        </w:rPr>
        <w:t xml:space="preserve"> </w:t>
      </w:r>
      <w:r>
        <w:t>public</w:t>
      </w:r>
      <w:r>
        <w:rPr>
          <w:spacing w:val="1"/>
        </w:rPr>
        <w:t xml:space="preserve"> </w:t>
      </w:r>
      <w:r>
        <w:t>investment</w:t>
      </w:r>
      <w:r>
        <w:rPr>
          <w:spacing w:val="1"/>
        </w:rPr>
        <w:t xml:space="preserve"> </w:t>
      </w:r>
      <w:r>
        <w:t>projects</w:t>
      </w:r>
      <w:r>
        <w:rPr>
          <w:spacing w:val="1"/>
        </w:rPr>
        <w:t xml:space="preserve"> </w:t>
      </w:r>
      <w:r>
        <w:t>within</w:t>
      </w:r>
      <w:r>
        <w:rPr>
          <w:spacing w:val="1"/>
        </w:rPr>
        <w:t xml:space="preserve"> </w:t>
      </w:r>
      <w:r>
        <w:t>this</w:t>
      </w:r>
      <w:r>
        <w:rPr>
          <w:spacing w:val="1"/>
        </w:rPr>
        <w:t xml:space="preserve"> </w:t>
      </w:r>
      <w:r>
        <w:t>reform</w:t>
      </w:r>
      <w:r>
        <w:rPr>
          <w:spacing w:val="1"/>
        </w:rPr>
        <w:t xml:space="preserve"> </w:t>
      </w:r>
      <w:r>
        <w:t>was</w:t>
      </w:r>
      <w:r>
        <w:rPr>
          <w:spacing w:val="1"/>
        </w:rPr>
        <w:t xml:space="preserve"> </w:t>
      </w:r>
      <w:r>
        <w:t>determined</w:t>
      </w:r>
      <w:r>
        <w:rPr>
          <w:spacing w:val="1"/>
        </w:rPr>
        <w:t xml:space="preserve"> </w:t>
      </w:r>
      <w:r>
        <w:t>by the</w:t>
      </w:r>
      <w:r>
        <w:rPr>
          <w:spacing w:val="1"/>
        </w:rPr>
        <w:t xml:space="preserve"> </w:t>
      </w:r>
      <w:r>
        <w:t>call</w:t>
      </w:r>
      <w:r>
        <w:rPr>
          <w:spacing w:val="1"/>
        </w:rPr>
        <w:t xml:space="preserve"> </w:t>
      </w:r>
      <w:r>
        <w:t>for</w:t>
      </w:r>
      <w:r>
        <w:rPr>
          <w:spacing w:val="1"/>
        </w:rPr>
        <w:t xml:space="preserve"> </w:t>
      </w:r>
      <w:r>
        <w:t>expressions</w:t>
      </w:r>
      <w:r>
        <w:rPr>
          <w:spacing w:val="-1"/>
        </w:rPr>
        <w:t xml:space="preserve"> </w:t>
      </w:r>
      <w:r>
        <w:t>of interest.</w:t>
      </w:r>
    </w:p>
    <w:p w:rsidR="00A56FE9" w:rsidRDefault="00000000">
      <w:pPr>
        <w:pStyle w:val="Tijeloteksta"/>
        <w:spacing w:before="120"/>
        <w:ind w:right="275"/>
      </w:pPr>
      <w:r>
        <w:t>The</w:t>
      </w:r>
      <w:r>
        <w:rPr>
          <w:spacing w:val="-12"/>
        </w:rPr>
        <w:t xml:space="preserve"> </w:t>
      </w:r>
      <w:r>
        <w:t>call</w:t>
      </w:r>
      <w:r>
        <w:rPr>
          <w:spacing w:val="-10"/>
        </w:rPr>
        <w:t xml:space="preserve"> </w:t>
      </w:r>
      <w:r>
        <w:t>for</w:t>
      </w:r>
      <w:r>
        <w:rPr>
          <w:spacing w:val="-13"/>
        </w:rPr>
        <w:t xml:space="preserve"> </w:t>
      </w:r>
      <w:r>
        <w:t>expressions</w:t>
      </w:r>
      <w:r>
        <w:rPr>
          <w:spacing w:val="-11"/>
        </w:rPr>
        <w:t xml:space="preserve"> </w:t>
      </w:r>
      <w:r>
        <w:t>of</w:t>
      </w:r>
      <w:r>
        <w:rPr>
          <w:spacing w:val="-12"/>
        </w:rPr>
        <w:t xml:space="preserve"> </w:t>
      </w:r>
      <w:r>
        <w:t>interest</w:t>
      </w:r>
      <w:r>
        <w:rPr>
          <w:spacing w:val="-10"/>
        </w:rPr>
        <w:t xml:space="preserve"> </w:t>
      </w:r>
      <w:r>
        <w:t>was</w:t>
      </w:r>
      <w:r>
        <w:rPr>
          <w:spacing w:val="-10"/>
        </w:rPr>
        <w:t xml:space="preserve"> </w:t>
      </w:r>
      <w:r>
        <w:t>published</w:t>
      </w:r>
      <w:r>
        <w:rPr>
          <w:spacing w:val="-11"/>
        </w:rPr>
        <w:t xml:space="preserve"> </w:t>
      </w:r>
      <w:r>
        <w:t>for</w:t>
      </w:r>
      <w:r>
        <w:rPr>
          <w:spacing w:val="-12"/>
        </w:rPr>
        <w:t xml:space="preserve"> </w:t>
      </w:r>
      <w:r>
        <w:t>the</w:t>
      </w:r>
      <w:r>
        <w:rPr>
          <w:spacing w:val="-12"/>
        </w:rPr>
        <w:t xml:space="preserve"> </w:t>
      </w:r>
      <w:r>
        <w:t>reform</w:t>
      </w:r>
      <w:r>
        <w:rPr>
          <w:spacing w:val="-11"/>
        </w:rPr>
        <w:t xml:space="preserve"> </w:t>
      </w:r>
      <w:r>
        <w:t>measure</w:t>
      </w:r>
      <w:r>
        <w:rPr>
          <w:spacing w:val="-10"/>
        </w:rPr>
        <w:t xml:space="preserve"> </w:t>
      </w:r>
      <w:r>
        <w:t>Improving</w:t>
      </w:r>
      <w:r>
        <w:rPr>
          <w:spacing w:val="-14"/>
        </w:rPr>
        <w:t xml:space="preserve"> </w:t>
      </w:r>
      <w:r>
        <w:t>the</w:t>
      </w:r>
      <w:r>
        <w:rPr>
          <w:spacing w:val="-11"/>
        </w:rPr>
        <w:t xml:space="preserve"> </w:t>
      </w:r>
      <w:r>
        <w:t>System</w:t>
      </w:r>
      <w:r>
        <w:rPr>
          <w:spacing w:val="-58"/>
        </w:rPr>
        <w:t xml:space="preserve"> </w:t>
      </w:r>
      <w:r>
        <w:t>for Restructuring of Farmland and Its Consolidation. Local self-government and regional self-</w:t>
      </w:r>
      <w:r>
        <w:rPr>
          <w:spacing w:val="-57"/>
        </w:rPr>
        <w:t xml:space="preserve"> </w:t>
      </w:r>
      <w:r>
        <w:t>government unit were obliged to develop a conceptual design for land consolidation for the</w:t>
      </w:r>
      <w:r>
        <w:rPr>
          <w:spacing w:val="1"/>
        </w:rPr>
        <w:t xml:space="preserve"> </w:t>
      </w:r>
      <w:r>
        <w:rPr>
          <w:spacing w:val="-1"/>
        </w:rPr>
        <w:t>purposes</w:t>
      </w:r>
      <w:r>
        <w:rPr>
          <w:spacing w:val="-12"/>
        </w:rPr>
        <w:t xml:space="preserve"> </w:t>
      </w:r>
      <w:r>
        <w:rPr>
          <w:spacing w:val="-1"/>
        </w:rPr>
        <w:t>of</w:t>
      </w:r>
      <w:r>
        <w:rPr>
          <w:spacing w:val="-13"/>
        </w:rPr>
        <w:t xml:space="preserve"> </w:t>
      </w:r>
      <w:r>
        <w:t>the</w:t>
      </w:r>
      <w:r>
        <w:rPr>
          <w:spacing w:val="-13"/>
        </w:rPr>
        <w:t xml:space="preserve"> </w:t>
      </w:r>
      <w:r>
        <w:t>invitation,</w:t>
      </w:r>
      <w:r>
        <w:rPr>
          <w:spacing w:val="-12"/>
        </w:rPr>
        <w:t xml:space="preserve"> </w:t>
      </w:r>
      <w:r>
        <w:t>and</w:t>
      </w:r>
      <w:r>
        <w:rPr>
          <w:spacing w:val="-12"/>
        </w:rPr>
        <w:t xml:space="preserve"> </w:t>
      </w:r>
      <w:r>
        <w:t>the</w:t>
      </w:r>
      <w:r>
        <w:rPr>
          <w:spacing w:val="-13"/>
        </w:rPr>
        <w:t xml:space="preserve"> </w:t>
      </w:r>
      <w:r>
        <w:t>criteria</w:t>
      </w:r>
      <w:r>
        <w:rPr>
          <w:spacing w:val="-14"/>
        </w:rPr>
        <w:t xml:space="preserve"> </w:t>
      </w:r>
      <w:r>
        <w:t>for</w:t>
      </w:r>
      <w:r>
        <w:rPr>
          <w:spacing w:val="-14"/>
        </w:rPr>
        <w:t xml:space="preserve"> </w:t>
      </w:r>
      <w:r>
        <w:t>eligibility</w:t>
      </w:r>
      <w:r>
        <w:rPr>
          <w:spacing w:val="-20"/>
        </w:rPr>
        <w:t xml:space="preserve"> </w:t>
      </w:r>
      <w:r>
        <w:t>of</w:t>
      </w:r>
      <w:r>
        <w:rPr>
          <w:spacing w:val="-13"/>
        </w:rPr>
        <w:t xml:space="preserve"> </w:t>
      </w:r>
      <w:r>
        <w:t>areas</w:t>
      </w:r>
      <w:r>
        <w:rPr>
          <w:spacing w:val="-12"/>
        </w:rPr>
        <w:t xml:space="preserve"> </w:t>
      </w:r>
      <w:r>
        <w:t>for</w:t>
      </w:r>
      <w:r>
        <w:rPr>
          <w:spacing w:val="-14"/>
        </w:rPr>
        <w:t xml:space="preserve"> </w:t>
      </w:r>
      <w:r>
        <w:t>land</w:t>
      </w:r>
      <w:r>
        <w:rPr>
          <w:spacing w:val="-13"/>
        </w:rPr>
        <w:t xml:space="preserve"> </w:t>
      </w:r>
      <w:r>
        <w:t>consolidation</w:t>
      </w:r>
      <w:r>
        <w:rPr>
          <w:spacing w:val="-12"/>
        </w:rPr>
        <w:t xml:space="preserve"> </w:t>
      </w:r>
      <w:r>
        <w:t>are</w:t>
      </w:r>
      <w:r>
        <w:rPr>
          <w:spacing w:val="-14"/>
        </w:rPr>
        <w:t xml:space="preserve"> </w:t>
      </w:r>
      <w:r>
        <w:t>given</w:t>
      </w:r>
      <w:r>
        <w:rPr>
          <w:spacing w:val="-57"/>
        </w:rPr>
        <w:t xml:space="preserve"> </w:t>
      </w:r>
      <w:r>
        <w:t>priority</w:t>
      </w:r>
      <w:r>
        <w:rPr>
          <w:spacing w:val="-6"/>
        </w:rPr>
        <w:t xml:space="preserve"> </w:t>
      </w:r>
      <w:r>
        <w:t>to</w:t>
      </w:r>
      <w:r>
        <w:rPr>
          <w:spacing w:val="-1"/>
        </w:rPr>
        <w:t xml:space="preserve"> </w:t>
      </w:r>
      <w:r>
        <w:t>those</w:t>
      </w:r>
      <w:r>
        <w:rPr>
          <w:spacing w:val="-1"/>
        </w:rPr>
        <w:t xml:space="preserve"> </w:t>
      </w:r>
      <w:r>
        <w:t>areas</w:t>
      </w:r>
      <w:r>
        <w:rPr>
          <w:spacing w:val="1"/>
        </w:rPr>
        <w:t xml:space="preserve"> </w:t>
      </w:r>
      <w:r>
        <w:t>for</w:t>
      </w:r>
      <w:r>
        <w:rPr>
          <w:spacing w:val="-1"/>
        </w:rPr>
        <w:t xml:space="preserve"> </w:t>
      </w:r>
      <w:r>
        <w:t>which</w:t>
      </w:r>
      <w:r>
        <w:rPr>
          <w:spacing w:val="-1"/>
        </w:rPr>
        <w:t xml:space="preserve"> </w:t>
      </w:r>
      <w:r>
        <w:t>the consent</w:t>
      </w:r>
      <w:r>
        <w:rPr>
          <w:spacing w:val="-1"/>
        </w:rPr>
        <w:t xml:space="preserve"> </w:t>
      </w:r>
      <w:r>
        <w:t>of</w:t>
      </w:r>
      <w:r>
        <w:rPr>
          <w:spacing w:val="-1"/>
        </w:rPr>
        <w:t xml:space="preserve"> </w:t>
      </w:r>
      <w:r>
        <w:t>most agricultural</w:t>
      </w:r>
      <w:r>
        <w:rPr>
          <w:spacing w:val="-1"/>
        </w:rPr>
        <w:t xml:space="preserve"> </w:t>
      </w:r>
      <w:r>
        <w:t>landowners</w:t>
      </w:r>
      <w:r>
        <w:rPr>
          <w:spacing w:val="-1"/>
        </w:rPr>
        <w:t xml:space="preserve"> </w:t>
      </w:r>
      <w:r>
        <w:t>will be</w:t>
      </w:r>
      <w:r>
        <w:rPr>
          <w:spacing w:val="-2"/>
        </w:rPr>
        <w:t xml:space="preserve"> </w:t>
      </w:r>
      <w:r>
        <w:t>collected.</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530783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95685764" name="Rectangle 282"/>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096F613" id="Group 281"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Dqxe79QAgAADwUAAA4AAAAAAAAAAAAAAAAALgIAAGRycy9lMm9Eb2MueG1sUEsBAi0AFAAGAAgA&#10;AAAhAOjoSp3cAAAAAwEAAA8AAAAAAAAAAAAAAAAAqgQAAGRycy9kb3ducmV2LnhtbFBLBQYAAAAA&#10;BAAEAPMAAACzBQAAAAA=&#10;">
                <v:rect id="Rectangle 282"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" fillcolor="#2c398a" stroked="f"/>
                <w10:anchorlock/>
              </v:group>
            </w:pict>
          </mc:Fallback>
        </mc:AlternateContent>
      </w:r>
    </w:p>
    <w:p w:rsidR="00A56FE9" w:rsidRDefault="00000000">
      <w:pPr>
        <w:pStyle w:val="Tijeloteksta"/>
        <w:spacing w:before="154"/>
        <w:ind w:right="273"/>
      </w:pPr>
      <w:r>
        <w:t>The</w:t>
      </w:r>
      <w:r>
        <w:rPr>
          <w:spacing w:val="-10"/>
        </w:rPr>
        <w:t xml:space="preserve"> </w:t>
      </w:r>
      <w:r>
        <w:t>NRRP</w:t>
      </w:r>
      <w:r>
        <w:rPr>
          <w:spacing w:val="-8"/>
        </w:rPr>
        <w:t xml:space="preserve"> </w:t>
      </w:r>
      <w:r>
        <w:rPr>
          <w:b/>
        </w:rPr>
        <w:t>reform</w:t>
      </w:r>
      <w:r>
        <w:rPr>
          <w:b/>
          <w:spacing w:val="-8"/>
        </w:rPr>
        <w:t xml:space="preserve"> </w:t>
      </w:r>
      <w:r>
        <w:rPr>
          <w:b/>
        </w:rPr>
        <w:t>Improving</w:t>
      </w:r>
      <w:r>
        <w:rPr>
          <w:b/>
          <w:spacing w:val="-7"/>
        </w:rPr>
        <w:t xml:space="preserve"> </w:t>
      </w:r>
      <w:r>
        <w:rPr>
          <w:b/>
        </w:rPr>
        <w:t>the</w:t>
      </w:r>
      <w:r>
        <w:rPr>
          <w:b/>
          <w:spacing w:val="-6"/>
        </w:rPr>
        <w:t xml:space="preserve"> </w:t>
      </w:r>
      <w:r>
        <w:rPr>
          <w:b/>
        </w:rPr>
        <w:t>Food</w:t>
      </w:r>
      <w:r>
        <w:rPr>
          <w:b/>
          <w:spacing w:val="-8"/>
        </w:rPr>
        <w:t xml:space="preserve"> </w:t>
      </w:r>
      <w:r>
        <w:rPr>
          <w:b/>
        </w:rPr>
        <w:t>Donation</w:t>
      </w:r>
      <w:r>
        <w:rPr>
          <w:b/>
          <w:spacing w:val="-6"/>
        </w:rPr>
        <w:t xml:space="preserve"> </w:t>
      </w:r>
      <w:r>
        <w:rPr>
          <w:b/>
        </w:rPr>
        <w:t>Systems</w:t>
      </w:r>
      <w:r>
        <w:rPr>
          <w:b/>
          <w:spacing w:val="-8"/>
        </w:rPr>
        <w:t xml:space="preserve"> </w:t>
      </w:r>
      <w:r>
        <w:t>(C1.5.</w:t>
      </w:r>
      <w:r>
        <w:rPr>
          <w:spacing w:val="-8"/>
        </w:rPr>
        <w:t xml:space="preserve"> </w:t>
      </w:r>
      <w:r>
        <w:t>R4)</w:t>
      </w:r>
      <w:r>
        <w:rPr>
          <w:spacing w:val="-7"/>
        </w:rPr>
        <w:t xml:space="preserve"> </w:t>
      </w:r>
      <w:r>
        <w:t>and</w:t>
      </w:r>
      <w:r>
        <w:rPr>
          <w:spacing w:val="-8"/>
        </w:rPr>
        <w:t xml:space="preserve"> </w:t>
      </w:r>
      <w:r>
        <w:t>the</w:t>
      </w:r>
      <w:r>
        <w:rPr>
          <w:spacing w:val="-9"/>
        </w:rPr>
        <w:t xml:space="preserve"> </w:t>
      </w:r>
      <w:r>
        <w:t>accompanying</w:t>
      </w:r>
      <w:r>
        <w:rPr>
          <w:spacing w:val="-57"/>
        </w:rPr>
        <w:t xml:space="preserve"> </w:t>
      </w:r>
      <w:r>
        <w:t>investment Infrastructural equipping of food bank and intermediaries in the food donation</w:t>
      </w:r>
      <w:r>
        <w:rPr>
          <w:spacing w:val="1"/>
        </w:rPr>
        <w:t xml:space="preserve"> </w:t>
      </w:r>
      <w:r>
        <w:t>chain”</w:t>
      </w:r>
      <w:r>
        <w:rPr>
          <w:spacing w:val="-9"/>
        </w:rPr>
        <w:t xml:space="preserve"> </w:t>
      </w:r>
      <w:r>
        <w:t>(C1.5.</w:t>
      </w:r>
      <w:r>
        <w:rPr>
          <w:spacing w:val="-9"/>
        </w:rPr>
        <w:t xml:space="preserve"> </w:t>
      </w:r>
      <w:r>
        <w:t>R4-I1)</w:t>
      </w:r>
      <w:r>
        <w:rPr>
          <w:spacing w:val="-6"/>
        </w:rPr>
        <w:t xml:space="preserve"> </w:t>
      </w:r>
      <w:r>
        <w:t>are</w:t>
      </w:r>
      <w:r>
        <w:rPr>
          <w:spacing w:val="-10"/>
        </w:rPr>
        <w:t xml:space="preserve"> </w:t>
      </w:r>
      <w:r>
        <w:t>important</w:t>
      </w:r>
      <w:r>
        <w:rPr>
          <w:spacing w:val="-7"/>
        </w:rPr>
        <w:t xml:space="preserve"> </w:t>
      </w:r>
      <w:r>
        <w:t>in</w:t>
      </w:r>
      <w:r>
        <w:rPr>
          <w:spacing w:val="-8"/>
        </w:rPr>
        <w:t xml:space="preserve"> </w:t>
      </w:r>
      <w:r>
        <w:t>the</w:t>
      </w:r>
      <w:r>
        <w:rPr>
          <w:spacing w:val="-9"/>
        </w:rPr>
        <w:t xml:space="preserve"> </w:t>
      </w:r>
      <w:r>
        <w:t>context</w:t>
      </w:r>
      <w:r>
        <w:rPr>
          <w:spacing w:val="-7"/>
        </w:rPr>
        <w:t xml:space="preserve"> </w:t>
      </w:r>
      <w:r>
        <w:t>of</w:t>
      </w:r>
      <w:r>
        <w:rPr>
          <w:spacing w:val="-9"/>
        </w:rPr>
        <w:t xml:space="preserve"> </w:t>
      </w:r>
      <w:r>
        <w:t>a</w:t>
      </w:r>
      <w:r>
        <w:rPr>
          <w:spacing w:val="-9"/>
        </w:rPr>
        <w:t xml:space="preserve"> </w:t>
      </w:r>
      <w:r>
        <w:t>circular</w:t>
      </w:r>
      <w:r>
        <w:rPr>
          <w:spacing w:val="-9"/>
        </w:rPr>
        <w:t xml:space="preserve"> </w:t>
      </w:r>
      <w:r>
        <w:t>and</w:t>
      </w:r>
      <w:r>
        <w:rPr>
          <w:spacing w:val="-9"/>
        </w:rPr>
        <w:t xml:space="preserve"> </w:t>
      </w:r>
      <w:r>
        <w:t>sustainable</w:t>
      </w:r>
      <w:r>
        <w:rPr>
          <w:spacing w:val="-9"/>
        </w:rPr>
        <w:t xml:space="preserve"> </w:t>
      </w:r>
      <w:r>
        <w:t>economy,</w:t>
      </w:r>
      <w:r>
        <w:rPr>
          <w:spacing w:val="-9"/>
        </w:rPr>
        <w:t xml:space="preserve"> </w:t>
      </w:r>
      <w:r>
        <w:t>as</w:t>
      </w:r>
      <w:r>
        <w:rPr>
          <w:spacing w:val="-7"/>
        </w:rPr>
        <w:t xml:space="preserve"> </w:t>
      </w:r>
      <w:r>
        <w:t>they</w:t>
      </w:r>
    </w:p>
    <w:p w:rsidR="00A56FE9" w:rsidRDefault="00CC1B9B">
      <w:pPr>
        <w:pStyle w:val="Tijeloteksta"/>
        <w:ind w:left="0"/>
        <w:jc w:val="left"/>
        <w:rPr>
          <w:sz w:val="14"/>
        </w:rPr>
      </w:pPr>
      <w:r>
        <w:rPr>
          <w:noProof/>
        </w:rPr>
        <mc:AlternateContent>
          <mc:Choice Requires="wps">
            <w:drawing>
              <wp:anchor distT="0" distB="0" distL="0" distR="0" simplePos="0" relativeHeight="487609344" behindDoc="1" locked="0" layoutInCell="1" allowOverlap="1">
                <wp:simplePos x="0" y="0"/>
                <wp:positionH relativeFrom="page">
                  <wp:posOffset>901065</wp:posOffset>
                </wp:positionH>
                <wp:positionV relativeFrom="paragraph">
                  <wp:posOffset>127635</wp:posOffset>
                </wp:positionV>
                <wp:extent cx="1828800" cy="7620"/>
                <wp:effectExtent l="0" t="0" r="0" b="0"/>
                <wp:wrapTopAndBottom/>
                <wp:docPr id="1141767670"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D0385" id="Rectangle 280" o:spid="_x0000_s1026" style="position:absolute;margin-left:70.95pt;margin-top:10.05pt;width:2in;height:.6pt;z-index:-15707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22</w:t>
      </w:r>
      <w:r>
        <w:rPr>
          <w:spacing w:val="-2"/>
          <w:sz w:val="16"/>
        </w:rPr>
        <w:t xml:space="preserve"> </w:t>
      </w:r>
      <w:r>
        <w:rPr>
          <w:sz w:val="16"/>
        </w:rPr>
        <w:t>OG</w:t>
      </w:r>
      <w:r>
        <w:rPr>
          <w:spacing w:val="-5"/>
          <w:sz w:val="16"/>
        </w:rPr>
        <w:t xml:space="preserve"> </w:t>
      </w:r>
      <w:r>
        <w:rPr>
          <w:sz w:val="16"/>
        </w:rPr>
        <w:t>118/18,</w:t>
      </w:r>
      <w:r>
        <w:rPr>
          <w:spacing w:val="-4"/>
          <w:sz w:val="16"/>
        </w:rPr>
        <w:t xml:space="preserve"> </w:t>
      </w:r>
      <w:r>
        <w:rPr>
          <w:sz w:val="16"/>
        </w:rPr>
        <w:t>42/20,</w:t>
      </w:r>
      <w:r>
        <w:rPr>
          <w:spacing w:val="-3"/>
          <w:sz w:val="16"/>
        </w:rPr>
        <w:t xml:space="preserve"> </w:t>
      </w:r>
      <w:r>
        <w:rPr>
          <w:sz w:val="16"/>
        </w:rPr>
        <w:t>127/20</w:t>
      </w:r>
      <w:r>
        <w:rPr>
          <w:spacing w:val="-1"/>
          <w:sz w:val="16"/>
        </w:rPr>
        <w:t xml:space="preserve"> </w:t>
      </w:r>
      <w:r>
        <w:rPr>
          <w:sz w:val="16"/>
        </w:rPr>
        <w:t>and</w:t>
      </w:r>
      <w:r>
        <w:rPr>
          <w:spacing w:val="-3"/>
          <w:sz w:val="16"/>
        </w:rPr>
        <w:t xml:space="preserve"> </w:t>
      </w:r>
      <w:r>
        <w:rPr>
          <w:sz w:val="16"/>
        </w:rPr>
        <w:t>52/21</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ind w:right="275"/>
      </w:pPr>
      <w:r>
        <w:t>contribute to reducing food waste. The drafting of the Program for Infrastructural Equipment</w:t>
      </w:r>
      <w:r>
        <w:rPr>
          <w:spacing w:val="1"/>
        </w:rPr>
        <w:t xml:space="preserve"> </w:t>
      </w:r>
      <w:r>
        <w:t>of Intermediaries in the Food Donation Chain and Food Bank, preparation of tenders for</w:t>
      </w:r>
      <w:r>
        <w:rPr>
          <w:spacing w:val="1"/>
        </w:rPr>
        <w:t xml:space="preserve"> </w:t>
      </w:r>
      <w:r>
        <w:t>upgrading</w:t>
      </w:r>
      <w:r>
        <w:rPr>
          <w:spacing w:val="-7"/>
        </w:rPr>
        <w:t xml:space="preserve"> </w:t>
      </w:r>
      <w:r>
        <w:t>IT</w:t>
      </w:r>
      <w:r>
        <w:rPr>
          <w:spacing w:val="-6"/>
        </w:rPr>
        <w:t xml:space="preserve"> </w:t>
      </w:r>
      <w:r>
        <w:t>systems</w:t>
      </w:r>
      <w:r>
        <w:rPr>
          <w:spacing w:val="-6"/>
        </w:rPr>
        <w:t xml:space="preserve"> </w:t>
      </w:r>
      <w:r>
        <w:t>for</w:t>
      </w:r>
      <w:r>
        <w:rPr>
          <w:spacing w:val="-5"/>
        </w:rPr>
        <w:t xml:space="preserve"> </w:t>
      </w:r>
      <w:r>
        <w:t>food</w:t>
      </w:r>
      <w:r>
        <w:rPr>
          <w:spacing w:val="-7"/>
        </w:rPr>
        <w:t xml:space="preserve"> </w:t>
      </w:r>
      <w:r>
        <w:t>donation</w:t>
      </w:r>
      <w:r>
        <w:rPr>
          <w:spacing w:val="-7"/>
        </w:rPr>
        <w:t xml:space="preserve"> </w:t>
      </w:r>
      <w:r>
        <w:t>and</w:t>
      </w:r>
      <w:r>
        <w:rPr>
          <w:spacing w:val="-6"/>
        </w:rPr>
        <w:t xml:space="preserve"> </w:t>
      </w:r>
      <w:r>
        <w:t>construction</w:t>
      </w:r>
      <w:r>
        <w:rPr>
          <w:spacing w:val="-6"/>
        </w:rPr>
        <w:t xml:space="preserve"> </w:t>
      </w:r>
      <w:r>
        <w:t>of</w:t>
      </w:r>
      <w:r>
        <w:rPr>
          <w:spacing w:val="-7"/>
        </w:rPr>
        <w:t xml:space="preserve"> </w:t>
      </w:r>
      <w:r>
        <w:t>an</w:t>
      </w:r>
      <w:r>
        <w:rPr>
          <w:spacing w:val="-6"/>
        </w:rPr>
        <w:t xml:space="preserve"> </w:t>
      </w:r>
      <w:r>
        <w:t>internet</w:t>
      </w:r>
      <w:r>
        <w:rPr>
          <w:spacing w:val="-7"/>
        </w:rPr>
        <w:t xml:space="preserve"> </w:t>
      </w:r>
      <w:r>
        <w:t>platform</w:t>
      </w:r>
      <w:r>
        <w:rPr>
          <w:spacing w:val="-7"/>
        </w:rPr>
        <w:t xml:space="preserve"> </w:t>
      </w:r>
      <w:r>
        <w:t>for</w:t>
      </w:r>
      <w:r>
        <w:rPr>
          <w:spacing w:val="-8"/>
        </w:rPr>
        <w:t xml:space="preserve"> </w:t>
      </w:r>
      <w:r>
        <w:t>food</w:t>
      </w:r>
      <w:r>
        <w:rPr>
          <w:spacing w:val="-7"/>
        </w:rPr>
        <w:t xml:space="preserve"> </w:t>
      </w:r>
      <w:r>
        <w:t>waste</w:t>
      </w:r>
      <w:r>
        <w:rPr>
          <w:spacing w:val="-58"/>
        </w:rPr>
        <w:t xml:space="preserve"> </w:t>
      </w:r>
      <w:r>
        <w:t>prevention</w:t>
      </w:r>
      <w:r>
        <w:rPr>
          <w:spacing w:val="-1"/>
        </w:rPr>
        <w:t xml:space="preserve"> </w:t>
      </w:r>
      <w:r>
        <w:t>and</w:t>
      </w:r>
      <w:r>
        <w:rPr>
          <w:spacing w:val="-1"/>
        </w:rPr>
        <w:t xml:space="preserve"> </w:t>
      </w:r>
      <w:r>
        <w:t>preparation of</w:t>
      </w:r>
      <w:r>
        <w:rPr>
          <w:spacing w:val="-2"/>
        </w:rPr>
        <w:t xml:space="preserve"> </w:t>
      </w:r>
      <w:r>
        <w:t>information</w:t>
      </w:r>
      <w:r>
        <w:rPr>
          <w:spacing w:val="-1"/>
        </w:rPr>
        <w:t xml:space="preserve"> </w:t>
      </w:r>
      <w:r>
        <w:t>and educational</w:t>
      </w:r>
      <w:r>
        <w:rPr>
          <w:spacing w:val="-1"/>
        </w:rPr>
        <w:t xml:space="preserve"> </w:t>
      </w:r>
      <w:r>
        <w:t>campaigns</w:t>
      </w:r>
      <w:r>
        <w:rPr>
          <w:spacing w:val="1"/>
        </w:rPr>
        <w:t xml:space="preserve"> </w:t>
      </w:r>
      <w:r>
        <w:t>are underway.</w:t>
      </w:r>
    </w:p>
    <w:p w:rsidR="00A56FE9" w:rsidRDefault="00000000">
      <w:pPr>
        <w:pStyle w:val="Tijeloteksta"/>
        <w:spacing w:before="121"/>
        <w:ind w:right="272"/>
      </w:pPr>
      <w:r>
        <w:t>Investment</w:t>
      </w:r>
      <w:r>
        <w:rPr>
          <w:spacing w:val="1"/>
        </w:rPr>
        <w:t xml:space="preserve"> </w:t>
      </w:r>
      <w:r>
        <w:t>in</w:t>
      </w:r>
      <w:r>
        <w:rPr>
          <w:spacing w:val="1"/>
        </w:rPr>
        <w:t xml:space="preserve"> </w:t>
      </w:r>
      <w:r>
        <w:t>the</w:t>
      </w:r>
      <w:r>
        <w:rPr>
          <w:spacing w:val="1"/>
        </w:rPr>
        <w:t xml:space="preserve"> </w:t>
      </w:r>
      <w:r>
        <w:t>NRRP</w:t>
      </w:r>
      <w:r>
        <w:rPr>
          <w:spacing w:val="1"/>
        </w:rPr>
        <w:t xml:space="preserve"> </w:t>
      </w:r>
      <w:r>
        <w:t>reform</w:t>
      </w:r>
      <w:r>
        <w:rPr>
          <w:spacing w:val="1"/>
        </w:rPr>
        <w:t xml:space="preserve"> </w:t>
      </w:r>
      <w:r>
        <w:t>“Improving</w:t>
      </w:r>
      <w:r>
        <w:rPr>
          <w:spacing w:val="1"/>
        </w:rPr>
        <w:t xml:space="preserve"> </w:t>
      </w:r>
      <w:r>
        <w:t>the</w:t>
      </w:r>
      <w:r>
        <w:rPr>
          <w:spacing w:val="1"/>
        </w:rPr>
        <w:t xml:space="preserve"> </w:t>
      </w:r>
      <w:r>
        <w:t>agricultural</w:t>
      </w:r>
      <w:r>
        <w:rPr>
          <w:spacing w:val="1"/>
        </w:rPr>
        <w:t xml:space="preserve"> </w:t>
      </w:r>
      <w:r>
        <w:t>land</w:t>
      </w:r>
      <w:r>
        <w:rPr>
          <w:spacing w:val="1"/>
        </w:rPr>
        <w:t xml:space="preserve"> </w:t>
      </w:r>
      <w:r>
        <w:t>restructuring</w:t>
      </w:r>
      <w:r>
        <w:rPr>
          <w:spacing w:val="1"/>
        </w:rPr>
        <w:t xml:space="preserve"> </w:t>
      </w:r>
      <w:r>
        <w:t>and</w:t>
      </w:r>
      <w:r>
        <w:rPr>
          <w:spacing w:val="1"/>
        </w:rPr>
        <w:t xml:space="preserve"> </w:t>
      </w:r>
      <w:r>
        <w:t>consolidation systems” (C1.5. R2) creates preconditions for better management of agricultural</w:t>
      </w:r>
      <w:r>
        <w:rPr>
          <w:spacing w:val="-57"/>
        </w:rPr>
        <w:t xml:space="preserve"> </w:t>
      </w:r>
      <w:r>
        <w:t>land,</w:t>
      </w:r>
      <w:r>
        <w:rPr>
          <w:spacing w:val="1"/>
        </w:rPr>
        <w:t xml:space="preserve"> </w:t>
      </w:r>
      <w:r>
        <w:t>water</w:t>
      </w:r>
      <w:r>
        <w:rPr>
          <w:spacing w:val="1"/>
        </w:rPr>
        <w:t xml:space="preserve"> </w:t>
      </w:r>
      <w:r>
        <w:t>conservation,</w:t>
      </w:r>
      <w:r>
        <w:rPr>
          <w:spacing w:val="1"/>
        </w:rPr>
        <w:t xml:space="preserve"> </w:t>
      </w:r>
      <w:r>
        <w:t>soil</w:t>
      </w:r>
      <w:r>
        <w:rPr>
          <w:spacing w:val="1"/>
        </w:rPr>
        <w:t xml:space="preserve"> </w:t>
      </w:r>
      <w:r>
        <w:t>erosion</w:t>
      </w:r>
      <w:r>
        <w:rPr>
          <w:spacing w:val="1"/>
        </w:rPr>
        <w:t xml:space="preserve"> </w:t>
      </w:r>
      <w:r>
        <w:t>and</w:t>
      </w:r>
      <w:r>
        <w:rPr>
          <w:spacing w:val="1"/>
        </w:rPr>
        <w:t xml:space="preserve"> </w:t>
      </w:r>
      <w:r>
        <w:t>acidification</w:t>
      </w:r>
      <w:r>
        <w:rPr>
          <w:spacing w:val="1"/>
        </w:rPr>
        <w:t xml:space="preserve"> </w:t>
      </w:r>
      <w:r>
        <w:t>prevention,</w:t>
      </w:r>
      <w:r>
        <w:rPr>
          <w:spacing w:val="1"/>
        </w:rPr>
        <w:t xml:space="preserve"> </w:t>
      </w:r>
      <w:r>
        <w:t>air</w:t>
      </w:r>
      <w:r>
        <w:rPr>
          <w:spacing w:val="1"/>
        </w:rPr>
        <w:t xml:space="preserve"> </w:t>
      </w:r>
      <w:r>
        <w:t>conservation,</w:t>
      </w:r>
      <w:r>
        <w:rPr>
          <w:spacing w:val="1"/>
        </w:rPr>
        <w:t xml:space="preserve"> </w:t>
      </w:r>
      <w:r>
        <w:t>and</w:t>
      </w:r>
      <w:r>
        <w:rPr>
          <w:spacing w:val="-57"/>
        </w:rPr>
        <w:t xml:space="preserve"> </w:t>
      </w:r>
      <w:r>
        <w:t>landscaping</w:t>
      </w:r>
      <w:r>
        <w:rPr>
          <w:spacing w:val="-13"/>
        </w:rPr>
        <w:t xml:space="preserve"> </w:t>
      </w:r>
      <w:r>
        <w:t>and</w:t>
      </w:r>
      <w:r>
        <w:rPr>
          <w:spacing w:val="-9"/>
        </w:rPr>
        <w:t xml:space="preserve"> </w:t>
      </w:r>
      <w:r>
        <w:t>landscape</w:t>
      </w:r>
      <w:r>
        <w:rPr>
          <w:spacing w:val="-11"/>
        </w:rPr>
        <w:t xml:space="preserve"> </w:t>
      </w:r>
      <w:r>
        <w:t>protection.</w:t>
      </w:r>
      <w:r>
        <w:rPr>
          <w:spacing w:val="-11"/>
        </w:rPr>
        <w:t xml:space="preserve"> </w:t>
      </w:r>
      <w:r>
        <w:t>Also,</w:t>
      </w:r>
      <w:r>
        <w:rPr>
          <w:spacing w:val="-10"/>
        </w:rPr>
        <w:t xml:space="preserve"> </w:t>
      </w:r>
      <w:r>
        <w:t>the</w:t>
      </w:r>
      <w:r>
        <w:rPr>
          <w:spacing w:val="-12"/>
        </w:rPr>
        <w:t xml:space="preserve"> </w:t>
      </w:r>
      <w:r>
        <w:t>investment</w:t>
      </w:r>
      <w:r>
        <w:rPr>
          <w:spacing w:val="-11"/>
        </w:rPr>
        <w:t xml:space="preserve"> </w:t>
      </w:r>
      <w:r>
        <w:t>Program</w:t>
      </w:r>
      <w:r>
        <w:rPr>
          <w:spacing w:val="-10"/>
        </w:rPr>
        <w:t xml:space="preserve"> </w:t>
      </w:r>
      <w:r>
        <w:t>for</w:t>
      </w:r>
      <w:r>
        <w:rPr>
          <w:spacing w:val="-8"/>
        </w:rPr>
        <w:t xml:space="preserve"> </w:t>
      </w:r>
      <w:r>
        <w:t>Permanent</w:t>
      </w:r>
      <w:r>
        <w:rPr>
          <w:spacing w:val="-9"/>
        </w:rPr>
        <w:t xml:space="preserve"> </w:t>
      </w:r>
      <w:r>
        <w:t>Monitoring</w:t>
      </w:r>
      <w:r>
        <w:rPr>
          <w:spacing w:val="-58"/>
        </w:rPr>
        <w:t xml:space="preserve"> </w:t>
      </w:r>
      <w:r>
        <w:t>of</w:t>
      </w:r>
      <w:r>
        <w:rPr>
          <w:spacing w:val="-15"/>
        </w:rPr>
        <w:t xml:space="preserve"> </w:t>
      </w:r>
      <w:r>
        <w:t>Agricultural</w:t>
      </w:r>
      <w:r>
        <w:rPr>
          <w:spacing w:val="-11"/>
        </w:rPr>
        <w:t xml:space="preserve"> </w:t>
      </w:r>
      <w:r>
        <w:t>Land</w:t>
      </w:r>
      <w:r>
        <w:rPr>
          <w:spacing w:val="-14"/>
        </w:rPr>
        <w:t xml:space="preserve"> </w:t>
      </w:r>
      <w:r>
        <w:t>will</w:t>
      </w:r>
      <w:r>
        <w:rPr>
          <w:spacing w:val="-11"/>
        </w:rPr>
        <w:t xml:space="preserve"> </w:t>
      </w:r>
      <w:r>
        <w:t>facilitate</w:t>
      </w:r>
      <w:r>
        <w:rPr>
          <w:spacing w:val="-15"/>
        </w:rPr>
        <w:t xml:space="preserve"> </w:t>
      </w:r>
      <w:r>
        <w:t>systematic</w:t>
      </w:r>
      <w:r>
        <w:rPr>
          <w:spacing w:val="-13"/>
        </w:rPr>
        <w:t xml:space="preserve"> </w:t>
      </w:r>
      <w:r>
        <w:t>and</w:t>
      </w:r>
      <w:r>
        <w:rPr>
          <w:spacing w:val="-11"/>
        </w:rPr>
        <w:t xml:space="preserve"> </w:t>
      </w:r>
      <w:r>
        <w:t>planned</w:t>
      </w:r>
      <w:r>
        <w:rPr>
          <w:spacing w:val="-14"/>
        </w:rPr>
        <w:t xml:space="preserve"> </w:t>
      </w:r>
      <w:r>
        <w:t>management</w:t>
      </w:r>
      <w:r>
        <w:rPr>
          <w:spacing w:val="-14"/>
        </w:rPr>
        <w:t xml:space="preserve"> </w:t>
      </w:r>
      <w:r>
        <w:t>of</w:t>
      </w:r>
      <w:r>
        <w:rPr>
          <w:spacing w:val="-13"/>
        </w:rPr>
        <w:t xml:space="preserve"> </w:t>
      </w:r>
      <w:r>
        <w:t>agricultural</w:t>
      </w:r>
      <w:r>
        <w:rPr>
          <w:spacing w:val="-14"/>
        </w:rPr>
        <w:t xml:space="preserve"> </w:t>
      </w:r>
      <w:r>
        <w:t>land</w:t>
      </w:r>
      <w:r>
        <w:rPr>
          <w:spacing w:val="-14"/>
        </w:rPr>
        <w:t xml:space="preserve"> </w:t>
      </w:r>
      <w:r>
        <w:t>and</w:t>
      </w:r>
      <w:r>
        <w:rPr>
          <w:spacing w:val="-58"/>
        </w:rPr>
        <w:t xml:space="preserve"> </w:t>
      </w:r>
      <w:r>
        <w:t>enable the identification of crisis areas where soils are exposed to threats. The investment in</w:t>
      </w:r>
      <w:r>
        <w:rPr>
          <w:spacing w:val="1"/>
        </w:rPr>
        <w:t xml:space="preserve"> </w:t>
      </w:r>
      <w:r>
        <w:t>agricultural land consolidation, implemented within the NRRP, will increase the capacity of</w:t>
      </w:r>
      <w:r>
        <w:rPr>
          <w:spacing w:val="1"/>
        </w:rPr>
        <w:t xml:space="preserve"> </w:t>
      </w:r>
      <w:r>
        <w:t>public administration to develop public consolidation projects at the central and local levels.</w:t>
      </w:r>
      <w:r>
        <w:rPr>
          <w:spacing w:val="1"/>
        </w:rPr>
        <w:t xml:space="preserve"> </w:t>
      </w:r>
      <w:r>
        <w:t>The</w:t>
      </w:r>
      <w:r>
        <w:rPr>
          <w:spacing w:val="-10"/>
        </w:rPr>
        <w:t xml:space="preserve"> </w:t>
      </w:r>
      <w:r>
        <w:t>NRRP</w:t>
      </w:r>
      <w:r>
        <w:rPr>
          <w:spacing w:val="-7"/>
        </w:rPr>
        <w:t xml:space="preserve"> </w:t>
      </w:r>
      <w:r>
        <w:t>facilitates</w:t>
      </w:r>
      <w:r>
        <w:rPr>
          <w:spacing w:val="-8"/>
        </w:rPr>
        <w:t xml:space="preserve"> </w:t>
      </w:r>
      <w:r>
        <w:t>the</w:t>
      </w:r>
      <w:r>
        <w:rPr>
          <w:spacing w:val="-5"/>
        </w:rPr>
        <w:t xml:space="preserve"> </w:t>
      </w:r>
      <w:r>
        <w:t>implementation</w:t>
      </w:r>
      <w:r>
        <w:rPr>
          <w:spacing w:val="-8"/>
        </w:rPr>
        <w:t xml:space="preserve"> </w:t>
      </w:r>
      <w:r>
        <w:t>of</w:t>
      </w:r>
      <w:r>
        <w:rPr>
          <w:spacing w:val="-8"/>
        </w:rPr>
        <w:t xml:space="preserve"> </w:t>
      </w:r>
      <w:r>
        <w:t>land</w:t>
      </w:r>
      <w:r>
        <w:rPr>
          <w:spacing w:val="-7"/>
        </w:rPr>
        <w:t xml:space="preserve"> </w:t>
      </w:r>
      <w:r>
        <w:t>consolidation</w:t>
      </w:r>
      <w:r>
        <w:rPr>
          <w:spacing w:val="-7"/>
        </w:rPr>
        <w:t xml:space="preserve"> </w:t>
      </w:r>
      <w:r>
        <w:t>on</w:t>
      </w:r>
      <w:r>
        <w:rPr>
          <w:spacing w:val="-9"/>
        </w:rPr>
        <w:t xml:space="preserve"> </w:t>
      </w:r>
      <w:r>
        <w:t>a</w:t>
      </w:r>
      <w:r>
        <w:rPr>
          <w:spacing w:val="-9"/>
        </w:rPr>
        <w:t xml:space="preserve"> </w:t>
      </w:r>
      <w:r>
        <w:t>smaller</w:t>
      </w:r>
      <w:r>
        <w:rPr>
          <w:spacing w:val="-4"/>
        </w:rPr>
        <w:t xml:space="preserve"> </w:t>
      </w:r>
      <w:r>
        <w:t>part</w:t>
      </w:r>
      <w:r>
        <w:rPr>
          <w:spacing w:val="-9"/>
        </w:rPr>
        <w:t xml:space="preserve"> </w:t>
      </w:r>
      <w:r>
        <w:t>of</w:t>
      </w:r>
      <w:r>
        <w:rPr>
          <w:spacing w:val="-6"/>
        </w:rPr>
        <w:t xml:space="preserve"> </w:t>
      </w:r>
      <w:r>
        <w:t>agricultural</w:t>
      </w:r>
      <w:r>
        <w:rPr>
          <w:spacing w:val="-58"/>
        </w:rPr>
        <w:t xml:space="preserve"> </w:t>
      </w:r>
      <w:r>
        <w:t>land in Croatia, and land consolidation procedures will continue after the completion of</w:t>
      </w:r>
      <w:r>
        <w:rPr>
          <w:spacing w:val="1"/>
        </w:rPr>
        <w:t xml:space="preserve"> </w:t>
      </w:r>
      <w:r>
        <w:t>activities planned by the NRRP, providing preconditions or providing in a land consolidation</w:t>
      </w:r>
      <w:r>
        <w:rPr>
          <w:spacing w:val="1"/>
        </w:rPr>
        <w:t xml:space="preserve"> </w:t>
      </w:r>
      <w:r>
        <w:t>model</w:t>
      </w:r>
      <w:r>
        <w:rPr>
          <w:spacing w:val="-2"/>
        </w:rPr>
        <w:t xml:space="preserve"> </w:t>
      </w:r>
      <w:r>
        <w:t>applicable</w:t>
      </w:r>
      <w:r>
        <w:rPr>
          <w:spacing w:val="-1"/>
        </w:rPr>
        <w:t xml:space="preserve"> </w:t>
      </w:r>
      <w:r>
        <w:t>throughout</w:t>
      </w:r>
      <w:r>
        <w:rPr>
          <w:spacing w:val="1"/>
        </w:rPr>
        <w:t xml:space="preserve"> </w:t>
      </w:r>
      <w:r>
        <w:t>the country.</w:t>
      </w:r>
    </w:p>
    <w:p w:rsidR="00A56FE9" w:rsidRDefault="00000000">
      <w:pPr>
        <w:pStyle w:val="Tijeloteksta"/>
        <w:spacing w:before="120"/>
        <w:ind w:right="272"/>
      </w:pPr>
      <w:r>
        <w:t>The</w:t>
      </w:r>
      <w:r>
        <w:rPr>
          <w:spacing w:val="1"/>
        </w:rPr>
        <w:t xml:space="preserve"> </w:t>
      </w:r>
      <w:r>
        <w:t>contribution</w:t>
      </w:r>
      <w:r>
        <w:rPr>
          <w:spacing w:val="1"/>
        </w:rPr>
        <w:t xml:space="preserve"> </w:t>
      </w:r>
      <w:r>
        <w:t>to</w:t>
      </w:r>
      <w:r>
        <w:rPr>
          <w:spacing w:val="1"/>
        </w:rPr>
        <w:t xml:space="preserve"> </w:t>
      </w:r>
      <w:r>
        <w:t>digital</w:t>
      </w:r>
      <w:r>
        <w:rPr>
          <w:spacing w:val="1"/>
        </w:rPr>
        <w:t xml:space="preserve"> </w:t>
      </w:r>
      <w:r>
        <w:t>transition</w:t>
      </w:r>
      <w:r>
        <w:rPr>
          <w:spacing w:val="1"/>
        </w:rPr>
        <w:t xml:space="preserve"> </w:t>
      </w:r>
      <w:r>
        <w:t>is</w:t>
      </w:r>
      <w:r>
        <w:rPr>
          <w:spacing w:val="1"/>
        </w:rPr>
        <w:t xml:space="preserve"> </w:t>
      </w:r>
      <w:r>
        <w:t>most</w:t>
      </w:r>
      <w:r>
        <w:rPr>
          <w:spacing w:val="1"/>
        </w:rPr>
        <w:t xml:space="preserve"> </w:t>
      </w:r>
      <w:r>
        <w:t>directly</w:t>
      </w:r>
      <w:r>
        <w:rPr>
          <w:spacing w:val="1"/>
        </w:rPr>
        <w:t xml:space="preserve"> </w:t>
      </w:r>
      <w:r>
        <w:t>related</w:t>
      </w:r>
      <w:r>
        <w:rPr>
          <w:spacing w:val="1"/>
        </w:rPr>
        <w:t xml:space="preserve"> </w:t>
      </w:r>
      <w:r>
        <w:t>to</w:t>
      </w:r>
      <w:r>
        <w:rPr>
          <w:spacing w:val="1"/>
        </w:rPr>
        <w:t xml:space="preserve"> </w:t>
      </w:r>
      <w:r>
        <w:t>the</w:t>
      </w:r>
      <w:r>
        <w:rPr>
          <w:spacing w:val="1"/>
        </w:rPr>
        <w:t xml:space="preserve"> </w:t>
      </w:r>
      <w:r>
        <w:t>reform</w:t>
      </w:r>
      <w:r>
        <w:rPr>
          <w:spacing w:val="1"/>
        </w:rPr>
        <w:t xml:space="preserve"> </w:t>
      </w:r>
      <w:r>
        <w:t>“Digital</w:t>
      </w:r>
      <w:r>
        <w:rPr>
          <w:spacing w:val="1"/>
        </w:rPr>
        <w:t xml:space="preserve"> </w:t>
      </w:r>
      <w:r>
        <w:t>Transformation of Agriculture” (C1.5. R3), which aims to digitise public services in the</w:t>
      </w:r>
      <w:r>
        <w:rPr>
          <w:spacing w:val="1"/>
        </w:rPr>
        <w:t xml:space="preserve"> </w:t>
      </w:r>
      <w:r>
        <w:t>agricultural sector, making them more accessible to farmers while reducing administrative</w:t>
      </w:r>
      <w:r>
        <w:rPr>
          <w:spacing w:val="1"/>
        </w:rPr>
        <w:t xml:space="preserve"> </w:t>
      </w:r>
      <w:r>
        <w:t>capacity. The reform will also lead to constructing a platform using consolidated data relevant</w:t>
      </w:r>
      <w:r>
        <w:rPr>
          <w:spacing w:val="-57"/>
        </w:rPr>
        <w:t xml:space="preserve"> </w:t>
      </w:r>
      <w:r>
        <w:t>for the</w:t>
      </w:r>
      <w:r>
        <w:rPr>
          <w:spacing w:val="1"/>
        </w:rPr>
        <w:t xml:space="preserve"> </w:t>
      </w:r>
      <w:r>
        <w:t>day-to-day operations</w:t>
      </w:r>
      <w:r>
        <w:rPr>
          <w:spacing w:val="1"/>
        </w:rPr>
        <w:t xml:space="preserve"> </w:t>
      </w:r>
      <w:r>
        <w:t>of farmers and</w:t>
      </w:r>
      <w:r>
        <w:rPr>
          <w:spacing w:val="1"/>
        </w:rPr>
        <w:t xml:space="preserve"> </w:t>
      </w:r>
      <w:r>
        <w:t>the establishment</w:t>
      </w:r>
      <w:r>
        <w:rPr>
          <w:spacing w:val="1"/>
        </w:rPr>
        <w:t xml:space="preserve"> </w:t>
      </w:r>
      <w:r>
        <w:t>of a national</w:t>
      </w:r>
      <w:r>
        <w:rPr>
          <w:spacing w:val="1"/>
        </w:rPr>
        <w:t xml:space="preserve"> </w:t>
      </w:r>
      <w:r>
        <w:t>traceability</w:t>
      </w:r>
      <w:r>
        <w:rPr>
          <w:spacing w:val="1"/>
        </w:rPr>
        <w:t xml:space="preserve"> </w:t>
      </w:r>
      <w:r>
        <w:t>information</w:t>
      </w:r>
      <w:r>
        <w:rPr>
          <w:spacing w:val="-1"/>
        </w:rPr>
        <w:t xml:space="preserve"> </w:t>
      </w:r>
      <w:r>
        <w:t>system available to the public.</w:t>
      </w:r>
    </w:p>
    <w:p w:rsidR="00A56FE9" w:rsidRDefault="00000000">
      <w:pPr>
        <w:pStyle w:val="Tijeloteksta"/>
        <w:spacing w:before="121"/>
        <w:ind w:right="274"/>
      </w:pPr>
      <w:r>
        <w:t>In terms of the NRRP reform of digital transformation of agriculture and the establishment of</w:t>
      </w:r>
      <w:r>
        <w:rPr>
          <w:spacing w:val="1"/>
        </w:rPr>
        <w:t xml:space="preserve"> </w:t>
      </w:r>
      <w:r>
        <w:t>logistics infrastructure in the fruit and vegetable sector, emphasis is placed on educational</w:t>
      </w:r>
      <w:r>
        <w:rPr>
          <w:spacing w:val="1"/>
        </w:rPr>
        <w:t xml:space="preserve"> </w:t>
      </w:r>
      <w:r>
        <w:t>activities for acquiring digital skills necessary for the use of digital services and activities in</w:t>
      </w:r>
      <w:r>
        <w:rPr>
          <w:spacing w:val="1"/>
        </w:rPr>
        <w:t xml:space="preserve"> </w:t>
      </w:r>
      <w:r>
        <w:t>acquiring</w:t>
      </w:r>
      <w:r>
        <w:rPr>
          <w:spacing w:val="-12"/>
        </w:rPr>
        <w:t xml:space="preserve"> </w:t>
      </w:r>
      <w:r>
        <w:t>knowledge</w:t>
      </w:r>
      <w:r>
        <w:rPr>
          <w:spacing w:val="-7"/>
        </w:rPr>
        <w:t xml:space="preserve"> </w:t>
      </w:r>
      <w:r>
        <w:t>and</w:t>
      </w:r>
      <w:r>
        <w:rPr>
          <w:spacing w:val="-7"/>
        </w:rPr>
        <w:t xml:space="preserve"> </w:t>
      </w:r>
      <w:r>
        <w:t>skills</w:t>
      </w:r>
      <w:r>
        <w:rPr>
          <w:spacing w:val="-9"/>
        </w:rPr>
        <w:t xml:space="preserve"> </w:t>
      </w:r>
      <w:r>
        <w:t>for</w:t>
      </w:r>
      <w:r>
        <w:rPr>
          <w:spacing w:val="-10"/>
        </w:rPr>
        <w:t xml:space="preserve"> </w:t>
      </w:r>
      <w:r>
        <w:t>infrastructure</w:t>
      </w:r>
      <w:r>
        <w:rPr>
          <w:spacing w:val="-7"/>
        </w:rPr>
        <w:t xml:space="preserve"> </w:t>
      </w:r>
      <w:r>
        <w:t>management</w:t>
      </w:r>
      <w:r>
        <w:rPr>
          <w:spacing w:val="-10"/>
        </w:rPr>
        <w:t xml:space="preserve"> </w:t>
      </w:r>
      <w:r>
        <w:t>and</w:t>
      </w:r>
      <w:r>
        <w:rPr>
          <w:spacing w:val="-6"/>
        </w:rPr>
        <w:t xml:space="preserve"> </w:t>
      </w:r>
      <w:r>
        <w:t>effective</w:t>
      </w:r>
      <w:r>
        <w:rPr>
          <w:spacing w:val="-10"/>
        </w:rPr>
        <w:t xml:space="preserve"> </w:t>
      </w:r>
      <w:r>
        <w:t>participation</w:t>
      </w:r>
      <w:r>
        <w:rPr>
          <w:spacing w:val="-9"/>
        </w:rPr>
        <w:t xml:space="preserve"> </w:t>
      </w:r>
      <w:r>
        <w:t>in</w:t>
      </w:r>
      <w:r>
        <w:rPr>
          <w:spacing w:val="-8"/>
        </w:rPr>
        <w:t xml:space="preserve"> </w:t>
      </w:r>
      <w:r>
        <w:t>the</w:t>
      </w:r>
      <w:r>
        <w:rPr>
          <w:spacing w:val="-58"/>
        </w:rPr>
        <w:t xml:space="preserve"> </w:t>
      </w:r>
      <w:r>
        <w:t>market</w:t>
      </w:r>
      <w:r>
        <w:rPr>
          <w:spacing w:val="-1"/>
        </w:rPr>
        <w:t xml:space="preserve"> </w:t>
      </w:r>
      <w:r>
        <w:t>chain.</w:t>
      </w:r>
    </w:p>
    <w:p w:rsidR="00A56FE9" w:rsidRDefault="00A56FE9">
      <w:pPr>
        <w:pStyle w:val="Tijeloteksta"/>
        <w:spacing w:before="3"/>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513957962"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70814881" name="Rectangle 279"/>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A9DD14C" id="Group 278"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">
                <v:rect id="Rectangle 279"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" fillcolor="#2c398a" stroked="f"/>
                <w10:anchorlock/>
              </v:group>
            </w:pict>
          </mc:Fallback>
        </mc:AlternateContent>
      </w:r>
    </w:p>
    <w:p w:rsidR="00A56FE9" w:rsidRDefault="00000000">
      <w:pPr>
        <w:pStyle w:val="Tijeloteksta"/>
        <w:spacing w:before="154"/>
        <w:ind w:right="272"/>
      </w:pPr>
      <w:r>
        <w:t>The</w:t>
      </w:r>
      <w:r>
        <w:rPr>
          <w:spacing w:val="-10"/>
        </w:rPr>
        <w:t xml:space="preserve"> </w:t>
      </w:r>
      <w:r>
        <w:t>outbreak</w:t>
      </w:r>
      <w:r>
        <w:rPr>
          <w:spacing w:val="-8"/>
        </w:rPr>
        <w:t xml:space="preserve"> </w:t>
      </w:r>
      <w:r>
        <w:t>of</w:t>
      </w:r>
      <w:r>
        <w:rPr>
          <w:spacing w:val="-8"/>
        </w:rPr>
        <w:t xml:space="preserve"> </w:t>
      </w:r>
      <w:r>
        <w:t>the</w:t>
      </w:r>
      <w:r>
        <w:rPr>
          <w:spacing w:val="-9"/>
        </w:rPr>
        <w:t xml:space="preserve"> </w:t>
      </w:r>
      <w:r>
        <w:t>COVID-19</w:t>
      </w:r>
      <w:r>
        <w:rPr>
          <w:spacing w:val="-8"/>
        </w:rPr>
        <w:t xml:space="preserve"> </w:t>
      </w:r>
      <w:r>
        <w:t>pandemic</w:t>
      </w:r>
      <w:r>
        <w:rPr>
          <w:spacing w:val="-10"/>
        </w:rPr>
        <w:t xml:space="preserve"> </w:t>
      </w:r>
      <w:r>
        <w:t>has</w:t>
      </w:r>
      <w:r>
        <w:rPr>
          <w:spacing w:val="-7"/>
        </w:rPr>
        <w:t xml:space="preserve"> </w:t>
      </w:r>
      <w:r>
        <w:t>caused</w:t>
      </w:r>
      <w:r>
        <w:rPr>
          <w:spacing w:val="-8"/>
        </w:rPr>
        <w:t xml:space="preserve"> </w:t>
      </w:r>
      <w:r>
        <w:t>serious</w:t>
      </w:r>
      <w:r>
        <w:rPr>
          <w:spacing w:val="-9"/>
        </w:rPr>
        <w:t xml:space="preserve"> </w:t>
      </w:r>
      <w:r>
        <w:t>disruptions</w:t>
      </w:r>
      <w:r>
        <w:rPr>
          <w:spacing w:val="-7"/>
        </w:rPr>
        <w:t xml:space="preserve"> </w:t>
      </w:r>
      <w:r>
        <w:t>in</w:t>
      </w:r>
      <w:r>
        <w:rPr>
          <w:spacing w:val="-7"/>
        </w:rPr>
        <w:t xml:space="preserve"> </w:t>
      </w:r>
      <w:r>
        <w:t>the</w:t>
      </w:r>
      <w:r>
        <w:rPr>
          <w:spacing w:val="-9"/>
        </w:rPr>
        <w:t xml:space="preserve"> </w:t>
      </w:r>
      <w:r>
        <w:t>agri-food</w:t>
      </w:r>
      <w:r>
        <w:rPr>
          <w:spacing w:val="-8"/>
        </w:rPr>
        <w:t xml:space="preserve"> </w:t>
      </w:r>
      <w:r>
        <w:t>sector</w:t>
      </w:r>
      <w:r>
        <w:rPr>
          <w:spacing w:val="-58"/>
        </w:rPr>
        <w:t xml:space="preserve"> </w:t>
      </w:r>
      <w:r>
        <w:t>due</w:t>
      </w:r>
      <w:r>
        <w:rPr>
          <w:spacing w:val="-6"/>
        </w:rPr>
        <w:t xml:space="preserve"> </w:t>
      </w:r>
      <w:r>
        <w:t>to</w:t>
      </w:r>
      <w:r>
        <w:rPr>
          <w:spacing w:val="-5"/>
        </w:rPr>
        <w:t xml:space="preserve"> </w:t>
      </w:r>
      <w:r>
        <w:t>disrupted</w:t>
      </w:r>
      <w:r>
        <w:rPr>
          <w:spacing w:val="-6"/>
        </w:rPr>
        <w:t xml:space="preserve"> </w:t>
      </w:r>
      <w:r>
        <w:t>supply</w:t>
      </w:r>
      <w:r>
        <w:rPr>
          <w:spacing w:val="-10"/>
        </w:rPr>
        <w:t xml:space="preserve"> </w:t>
      </w:r>
      <w:r>
        <w:t>chains,</w:t>
      </w:r>
      <w:r>
        <w:rPr>
          <w:spacing w:val="-5"/>
        </w:rPr>
        <w:t xml:space="preserve"> </w:t>
      </w:r>
      <w:r>
        <w:t>limited</w:t>
      </w:r>
      <w:r>
        <w:rPr>
          <w:spacing w:val="-6"/>
        </w:rPr>
        <w:t xml:space="preserve"> </w:t>
      </w:r>
      <w:r>
        <w:t>human</w:t>
      </w:r>
      <w:r>
        <w:rPr>
          <w:spacing w:val="-6"/>
        </w:rPr>
        <w:t xml:space="preserve"> </w:t>
      </w:r>
      <w:r>
        <w:t>movement</w:t>
      </w:r>
      <w:r>
        <w:rPr>
          <w:spacing w:val="-4"/>
        </w:rPr>
        <w:t xml:space="preserve"> </w:t>
      </w:r>
      <w:r>
        <w:t>and</w:t>
      </w:r>
      <w:r>
        <w:rPr>
          <w:spacing w:val="-5"/>
        </w:rPr>
        <w:t xml:space="preserve"> </w:t>
      </w:r>
      <w:r>
        <w:t>the</w:t>
      </w:r>
      <w:r>
        <w:rPr>
          <w:spacing w:val="-6"/>
        </w:rPr>
        <w:t xml:space="preserve"> </w:t>
      </w:r>
      <w:r>
        <w:t>closure</w:t>
      </w:r>
      <w:r>
        <w:rPr>
          <w:spacing w:val="-6"/>
        </w:rPr>
        <w:t xml:space="preserve"> </w:t>
      </w:r>
      <w:r>
        <w:t>or</w:t>
      </w:r>
      <w:r>
        <w:rPr>
          <w:spacing w:val="-6"/>
        </w:rPr>
        <w:t xml:space="preserve"> </w:t>
      </w:r>
      <w:r>
        <w:t>reduced</w:t>
      </w:r>
      <w:r>
        <w:rPr>
          <w:spacing w:val="-5"/>
        </w:rPr>
        <w:t xml:space="preserve"> </w:t>
      </w:r>
      <w:r>
        <w:t>activity</w:t>
      </w:r>
      <w:r>
        <w:rPr>
          <w:spacing w:val="-10"/>
        </w:rPr>
        <w:t xml:space="preserve"> </w:t>
      </w:r>
      <w:r>
        <w:t>of</w:t>
      </w:r>
      <w:r>
        <w:rPr>
          <w:spacing w:val="-57"/>
        </w:rPr>
        <w:t xml:space="preserve"> </w:t>
      </w:r>
      <w:r>
        <w:t>the hospitality industry. Therefore, the Government has adopted several support programs</w:t>
      </w:r>
      <w:r>
        <w:rPr>
          <w:vertAlign w:val="superscript"/>
        </w:rPr>
        <w:t>23</w:t>
      </w:r>
      <w:r>
        <w:rPr>
          <w:spacing w:val="1"/>
        </w:rPr>
        <w:t xml:space="preserve"> </w:t>
      </w:r>
      <w:r>
        <w:t>under the Temporary Framework for State Aid Measures to Support the Economy of Member</w:t>
      </w:r>
      <w:r>
        <w:rPr>
          <w:spacing w:val="1"/>
        </w:rPr>
        <w:t xml:space="preserve"> </w:t>
      </w:r>
      <w:r>
        <w:t>States in the Current COVID 19 Pandemic (EC), which has provided extraordinary assistance</w:t>
      </w:r>
      <w:r>
        <w:rPr>
          <w:spacing w:val="1"/>
        </w:rPr>
        <w:t xml:space="preserve"> </w:t>
      </w:r>
      <w:r>
        <w:t>to</w:t>
      </w:r>
      <w:r>
        <w:rPr>
          <w:spacing w:val="-1"/>
        </w:rPr>
        <w:t xml:space="preserve"> </w:t>
      </w:r>
      <w:r>
        <w:t>farmers in the livestock, poultry</w:t>
      </w:r>
      <w:r>
        <w:rPr>
          <w:spacing w:val="-5"/>
        </w:rPr>
        <w:t xml:space="preserve"> </w:t>
      </w:r>
      <w:r>
        <w:t>and viticulture sectors.</w:t>
      </w:r>
    </w:p>
    <w:p w:rsidR="00A56FE9" w:rsidRDefault="00000000">
      <w:pPr>
        <w:pStyle w:val="Tijeloteksta"/>
        <w:spacing w:before="121"/>
        <w:ind w:right="275"/>
      </w:pPr>
      <w:r>
        <w:rPr>
          <w:spacing w:val="-1"/>
        </w:rPr>
        <w:t>Also,</w:t>
      </w:r>
      <w:r>
        <w:rPr>
          <w:spacing w:val="-12"/>
        </w:rPr>
        <w:t xml:space="preserve"> </w:t>
      </w:r>
      <w:r>
        <w:rPr>
          <w:spacing w:val="-1"/>
        </w:rPr>
        <w:t>to</w:t>
      </w:r>
      <w:r>
        <w:rPr>
          <w:spacing w:val="-12"/>
        </w:rPr>
        <w:t xml:space="preserve"> </w:t>
      </w:r>
      <w:r>
        <w:rPr>
          <w:spacing w:val="-1"/>
        </w:rPr>
        <w:t>help</w:t>
      </w:r>
      <w:r>
        <w:rPr>
          <w:spacing w:val="-12"/>
        </w:rPr>
        <w:t xml:space="preserve"> </w:t>
      </w:r>
      <w:r>
        <w:t>farmers</w:t>
      </w:r>
      <w:r>
        <w:rPr>
          <w:spacing w:val="-11"/>
        </w:rPr>
        <w:t xml:space="preserve"> </w:t>
      </w:r>
      <w:r>
        <w:t>with</w:t>
      </w:r>
      <w:r>
        <w:rPr>
          <w:spacing w:val="-12"/>
        </w:rPr>
        <w:t xml:space="preserve"> </w:t>
      </w:r>
      <w:r>
        <w:t>liquidity</w:t>
      </w:r>
      <w:r>
        <w:rPr>
          <w:spacing w:val="-20"/>
        </w:rPr>
        <w:t xml:space="preserve"> </w:t>
      </w:r>
      <w:r>
        <w:t>problems</w:t>
      </w:r>
      <w:r>
        <w:rPr>
          <w:spacing w:val="-12"/>
        </w:rPr>
        <w:t xml:space="preserve"> </w:t>
      </w:r>
      <w:r>
        <w:t>and</w:t>
      </w:r>
      <w:r>
        <w:rPr>
          <w:spacing w:val="-7"/>
        </w:rPr>
        <w:t xml:space="preserve"> </w:t>
      </w:r>
      <w:r>
        <w:t>micro,</w:t>
      </w:r>
      <w:r>
        <w:rPr>
          <w:spacing w:val="-13"/>
        </w:rPr>
        <w:t xml:space="preserve"> </w:t>
      </w:r>
      <w:r>
        <w:t>small</w:t>
      </w:r>
      <w:r>
        <w:rPr>
          <w:spacing w:val="-12"/>
        </w:rPr>
        <w:t xml:space="preserve"> </w:t>
      </w:r>
      <w:r>
        <w:t>and</w:t>
      </w:r>
      <w:r>
        <w:rPr>
          <w:spacing w:val="-12"/>
        </w:rPr>
        <w:t xml:space="preserve"> </w:t>
      </w:r>
      <w:r>
        <w:t>medium</w:t>
      </w:r>
      <w:r>
        <w:rPr>
          <w:spacing w:val="-10"/>
        </w:rPr>
        <w:t xml:space="preserve"> </w:t>
      </w:r>
      <w:r>
        <w:t>enterprises</w:t>
      </w:r>
      <w:r>
        <w:rPr>
          <w:spacing w:val="-12"/>
        </w:rPr>
        <w:t xml:space="preserve"> </w:t>
      </w:r>
      <w:r>
        <w:t>engaged</w:t>
      </w:r>
      <w:r>
        <w:rPr>
          <w:spacing w:val="-57"/>
        </w:rPr>
        <w:t xml:space="preserve"> </w:t>
      </w:r>
      <w:r>
        <w:t>in processing, marketing and development of agricultural products, the Rural Development</w:t>
      </w:r>
      <w:r>
        <w:rPr>
          <w:spacing w:val="1"/>
        </w:rPr>
        <w:t xml:space="preserve"> </w:t>
      </w:r>
      <w:r>
        <w:t>Program was supplemented with a new measure 21 “Extraordinary temporary support to</w:t>
      </w:r>
      <w:r>
        <w:rPr>
          <w:spacing w:val="1"/>
        </w:rPr>
        <w:t xml:space="preserve"> </w:t>
      </w:r>
      <w:r>
        <w:t>farmers and SMEs particularly affected by the COVID-19 crisis.” The Rural Development</w:t>
      </w:r>
      <w:r>
        <w:rPr>
          <w:spacing w:val="1"/>
        </w:rPr>
        <w:t xml:space="preserve"> </w:t>
      </w:r>
      <w:r>
        <w:t>Program</w:t>
      </w:r>
      <w:r>
        <w:rPr>
          <w:spacing w:val="-7"/>
        </w:rPr>
        <w:t xml:space="preserve"> </w:t>
      </w:r>
      <w:r>
        <w:t>promotes</w:t>
      </w:r>
      <w:r>
        <w:rPr>
          <w:spacing w:val="-8"/>
        </w:rPr>
        <w:t xml:space="preserve"> </w:t>
      </w:r>
      <w:r>
        <w:t>the</w:t>
      </w:r>
      <w:r>
        <w:rPr>
          <w:spacing w:val="-8"/>
        </w:rPr>
        <w:t xml:space="preserve"> </w:t>
      </w:r>
      <w:r>
        <w:t>use</w:t>
      </w:r>
      <w:r>
        <w:rPr>
          <w:spacing w:val="-9"/>
        </w:rPr>
        <w:t xml:space="preserve"> </w:t>
      </w:r>
      <w:r>
        <w:t>of</w:t>
      </w:r>
      <w:r>
        <w:rPr>
          <w:spacing w:val="-8"/>
        </w:rPr>
        <w:t xml:space="preserve"> </w:t>
      </w:r>
      <w:r>
        <w:t>renewable</w:t>
      </w:r>
      <w:r>
        <w:rPr>
          <w:spacing w:val="-6"/>
        </w:rPr>
        <w:t xml:space="preserve"> </w:t>
      </w:r>
      <w:r>
        <w:t>energy</w:t>
      </w:r>
      <w:r>
        <w:rPr>
          <w:spacing w:val="-12"/>
        </w:rPr>
        <w:t xml:space="preserve"> </w:t>
      </w:r>
      <w:r>
        <w:t>sources</w:t>
      </w:r>
      <w:r>
        <w:rPr>
          <w:spacing w:val="-7"/>
        </w:rPr>
        <w:t xml:space="preserve"> </w:t>
      </w:r>
      <w:r>
        <w:t>by</w:t>
      </w:r>
      <w:r>
        <w:rPr>
          <w:spacing w:val="-12"/>
        </w:rPr>
        <w:t xml:space="preserve"> </w:t>
      </w:r>
      <w:r>
        <w:t>supporting</w:t>
      </w:r>
      <w:r>
        <w:rPr>
          <w:spacing w:val="-7"/>
        </w:rPr>
        <w:t xml:space="preserve"> </w:t>
      </w:r>
      <w:r>
        <w:t>farmers</w:t>
      </w:r>
      <w:r>
        <w:rPr>
          <w:spacing w:val="-8"/>
        </w:rPr>
        <w:t xml:space="preserve"> </w:t>
      </w:r>
      <w:r>
        <w:t>and</w:t>
      </w:r>
      <w:r>
        <w:rPr>
          <w:spacing w:val="-8"/>
        </w:rPr>
        <w:t xml:space="preserve"> </w:t>
      </w:r>
      <w:r>
        <w:t>micro,</w:t>
      </w:r>
      <w:r>
        <w:rPr>
          <w:spacing w:val="-8"/>
        </w:rPr>
        <w:t xml:space="preserve"> </w:t>
      </w:r>
      <w:r>
        <w:t>small</w:t>
      </w:r>
      <w:r>
        <w:rPr>
          <w:spacing w:val="-57"/>
        </w:rPr>
        <w:t xml:space="preserve"> </w:t>
      </w:r>
      <w:r>
        <w:t>and</w:t>
      </w:r>
      <w:r>
        <w:rPr>
          <w:spacing w:val="1"/>
        </w:rPr>
        <w:t xml:space="preserve"> </w:t>
      </w:r>
      <w:r>
        <w:t>medium-sized</w:t>
      </w:r>
      <w:r>
        <w:rPr>
          <w:spacing w:val="2"/>
        </w:rPr>
        <w:t xml:space="preserve"> </w:t>
      </w:r>
      <w:r>
        <w:t>enterprises</w:t>
      </w:r>
      <w:r>
        <w:rPr>
          <w:spacing w:val="2"/>
        </w:rPr>
        <w:t xml:space="preserve"> </w:t>
      </w:r>
      <w:r>
        <w:t>registered</w:t>
      </w:r>
      <w:r>
        <w:rPr>
          <w:spacing w:val="3"/>
        </w:rPr>
        <w:t xml:space="preserve"> </w:t>
      </w:r>
      <w:r>
        <w:t>for the</w:t>
      </w:r>
      <w:r>
        <w:rPr>
          <w:spacing w:val="1"/>
        </w:rPr>
        <w:t xml:space="preserve"> </w:t>
      </w:r>
      <w:r>
        <w:t>processing</w:t>
      </w:r>
      <w:r>
        <w:rPr>
          <w:spacing w:val="2"/>
        </w:rPr>
        <w:t xml:space="preserve"> </w:t>
      </w:r>
      <w:r>
        <w:t>of</w:t>
      </w:r>
      <w:r>
        <w:rPr>
          <w:spacing w:val="2"/>
        </w:rPr>
        <w:t xml:space="preserve"> </w:t>
      </w:r>
      <w:r>
        <w:t>agricultural</w:t>
      </w:r>
      <w:r>
        <w:rPr>
          <w:spacing w:val="2"/>
        </w:rPr>
        <w:t xml:space="preserve"> </w:t>
      </w:r>
      <w:r>
        <w:t>products.</w:t>
      </w:r>
      <w:r>
        <w:rPr>
          <w:spacing w:val="2"/>
        </w:rPr>
        <w:t xml:space="preserve"> </w:t>
      </w:r>
      <w:r>
        <w:t>The</w:t>
      </w:r>
      <w:r>
        <w:rPr>
          <w:spacing w:val="3"/>
        </w:rPr>
        <w:t xml:space="preserve"> </w:t>
      </w:r>
      <w:r>
        <w:t>aid</w:t>
      </w:r>
      <w:r>
        <w:rPr>
          <w:spacing w:val="1"/>
        </w:rPr>
        <w:t xml:space="preserve"> </w:t>
      </w:r>
      <w:r>
        <w:t>is</w:t>
      </w: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CC1B9B">
      <w:pPr>
        <w:pStyle w:val="Tijeloteksta"/>
        <w:spacing w:before="2"/>
        <w:ind w:left="0"/>
        <w:jc w:val="left"/>
        <w:rPr>
          <w:sz w:val="12"/>
        </w:rPr>
      </w:pPr>
      <w:r>
        <w:rPr>
          <w:noProof/>
        </w:rPr>
        <mc:AlternateContent>
          <mc:Choice Requires="wps">
            <w:drawing>
              <wp:anchor distT="0" distB="0" distL="0" distR="0" simplePos="0" relativeHeight="487610368" behindDoc="1" locked="0" layoutInCell="1" allowOverlap="1">
                <wp:simplePos x="0" y="0"/>
                <wp:positionH relativeFrom="page">
                  <wp:posOffset>901065</wp:posOffset>
                </wp:positionH>
                <wp:positionV relativeFrom="paragraph">
                  <wp:posOffset>114300</wp:posOffset>
                </wp:positionV>
                <wp:extent cx="1828800" cy="7620"/>
                <wp:effectExtent l="0" t="0" r="0" b="0"/>
                <wp:wrapTopAndBottom/>
                <wp:docPr id="1550265900"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26791" id="Rectangle 277" o:spid="_x0000_s1026" style="position:absolute;margin-left:70.95pt;margin-top:9pt;width:2in;height:.6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" fillcolor="black" stroked="f">
                <w10:wrap type="topAndBottom" anchorx="page"/>
              </v:rect>
            </w:pict>
          </mc:Fallback>
        </mc:AlternateContent>
      </w:r>
    </w:p>
    <w:p w:rsidR="00A56FE9" w:rsidRDefault="00000000">
      <w:pPr>
        <w:spacing w:before="76"/>
        <w:ind w:left="138" w:right="271"/>
        <w:jc w:val="both"/>
        <w:rPr>
          <w:sz w:val="16"/>
        </w:rPr>
      </w:pPr>
      <w:r>
        <w:rPr>
          <w:sz w:val="16"/>
          <w:vertAlign w:val="superscript"/>
        </w:rPr>
        <w:t>23</w:t>
      </w:r>
      <w:r>
        <w:rPr>
          <w:sz w:val="16"/>
        </w:rPr>
        <w:t xml:space="preserve"> Decision on the implementation of a temporary emergency aid measure for producers of fattening cattle, fattening pigs and lambs for</w:t>
      </w:r>
      <w:r>
        <w:rPr>
          <w:spacing w:val="1"/>
          <w:sz w:val="16"/>
        </w:rPr>
        <w:t xml:space="preserve"> </w:t>
      </w:r>
      <w:r>
        <w:rPr>
          <w:sz w:val="16"/>
        </w:rPr>
        <w:t>slaughter</w:t>
      </w:r>
      <w:r>
        <w:rPr>
          <w:spacing w:val="-6"/>
          <w:sz w:val="16"/>
        </w:rPr>
        <w:t xml:space="preserve"> </w:t>
      </w:r>
      <w:r>
        <w:rPr>
          <w:sz w:val="16"/>
        </w:rPr>
        <w:t>with</w:t>
      </w:r>
      <w:r>
        <w:rPr>
          <w:spacing w:val="-7"/>
          <w:sz w:val="16"/>
        </w:rPr>
        <w:t xml:space="preserve"> </w:t>
      </w:r>
      <w:r>
        <w:rPr>
          <w:sz w:val="16"/>
        </w:rPr>
        <w:t>business</w:t>
      </w:r>
      <w:r>
        <w:rPr>
          <w:spacing w:val="-5"/>
          <w:sz w:val="16"/>
        </w:rPr>
        <w:t xml:space="preserve"> </w:t>
      </w:r>
      <w:r>
        <w:rPr>
          <w:sz w:val="16"/>
        </w:rPr>
        <w:t>problems</w:t>
      </w:r>
      <w:r>
        <w:rPr>
          <w:spacing w:val="-6"/>
          <w:sz w:val="16"/>
        </w:rPr>
        <w:t xml:space="preserve"> </w:t>
      </w:r>
      <w:r>
        <w:rPr>
          <w:sz w:val="16"/>
        </w:rPr>
        <w:t>caused</w:t>
      </w:r>
      <w:r>
        <w:rPr>
          <w:spacing w:val="-4"/>
          <w:sz w:val="16"/>
        </w:rPr>
        <w:t xml:space="preserve"> </w:t>
      </w:r>
      <w:r>
        <w:rPr>
          <w:sz w:val="16"/>
        </w:rPr>
        <w:t>by</w:t>
      </w:r>
      <w:r>
        <w:rPr>
          <w:spacing w:val="-9"/>
          <w:sz w:val="16"/>
        </w:rPr>
        <w:t xml:space="preserve"> </w:t>
      </w:r>
      <w:r>
        <w:rPr>
          <w:sz w:val="16"/>
        </w:rPr>
        <w:t>the</w:t>
      </w:r>
      <w:r>
        <w:rPr>
          <w:spacing w:val="-6"/>
          <w:sz w:val="16"/>
        </w:rPr>
        <w:t xml:space="preserve"> </w:t>
      </w:r>
      <w:r>
        <w:rPr>
          <w:sz w:val="16"/>
        </w:rPr>
        <w:t>COVID-19</w:t>
      </w:r>
      <w:r>
        <w:rPr>
          <w:spacing w:val="-4"/>
          <w:sz w:val="16"/>
        </w:rPr>
        <w:t xml:space="preserve"> </w:t>
      </w:r>
      <w:r>
        <w:rPr>
          <w:sz w:val="16"/>
        </w:rPr>
        <w:t>epidemic</w:t>
      </w:r>
      <w:r>
        <w:rPr>
          <w:spacing w:val="-7"/>
          <w:sz w:val="16"/>
        </w:rPr>
        <w:t xml:space="preserve"> </w:t>
      </w:r>
      <w:r>
        <w:rPr>
          <w:sz w:val="16"/>
        </w:rPr>
        <w:t>and</w:t>
      </w:r>
      <w:r>
        <w:rPr>
          <w:spacing w:val="-4"/>
          <w:sz w:val="16"/>
        </w:rPr>
        <w:t xml:space="preserve"> </w:t>
      </w:r>
      <w:r>
        <w:rPr>
          <w:sz w:val="16"/>
        </w:rPr>
        <w:t>for</w:t>
      </w:r>
      <w:r>
        <w:rPr>
          <w:spacing w:val="-6"/>
          <w:sz w:val="16"/>
        </w:rPr>
        <w:t xml:space="preserve"> </w:t>
      </w:r>
      <w:r>
        <w:rPr>
          <w:sz w:val="16"/>
        </w:rPr>
        <w:t>entities</w:t>
      </w:r>
      <w:r>
        <w:rPr>
          <w:spacing w:val="-5"/>
          <w:sz w:val="16"/>
        </w:rPr>
        <w:t xml:space="preserve"> </w:t>
      </w:r>
      <w:r>
        <w:rPr>
          <w:sz w:val="16"/>
        </w:rPr>
        <w:t>operating</w:t>
      </w:r>
      <w:r>
        <w:rPr>
          <w:spacing w:val="-6"/>
          <w:sz w:val="16"/>
        </w:rPr>
        <w:t xml:space="preserve"> </w:t>
      </w:r>
      <w:r>
        <w:rPr>
          <w:sz w:val="16"/>
        </w:rPr>
        <w:t>in</w:t>
      </w:r>
      <w:r>
        <w:rPr>
          <w:spacing w:val="-7"/>
          <w:sz w:val="16"/>
        </w:rPr>
        <w:t xml:space="preserve"> </w:t>
      </w:r>
      <w:r>
        <w:rPr>
          <w:sz w:val="16"/>
        </w:rPr>
        <w:t>approved</w:t>
      </w:r>
      <w:r>
        <w:rPr>
          <w:spacing w:val="-1"/>
          <w:sz w:val="16"/>
        </w:rPr>
        <w:t xml:space="preserve"> </w:t>
      </w:r>
      <w:r>
        <w:rPr>
          <w:sz w:val="16"/>
        </w:rPr>
        <w:t>ungulate</w:t>
      </w:r>
      <w:r>
        <w:rPr>
          <w:spacing w:val="-7"/>
          <w:sz w:val="16"/>
        </w:rPr>
        <w:t xml:space="preserve"> </w:t>
      </w:r>
      <w:r>
        <w:rPr>
          <w:sz w:val="16"/>
        </w:rPr>
        <w:t>slaughter</w:t>
      </w:r>
      <w:r>
        <w:rPr>
          <w:spacing w:val="-6"/>
          <w:sz w:val="16"/>
        </w:rPr>
        <w:t xml:space="preserve"> </w:t>
      </w:r>
      <w:r>
        <w:rPr>
          <w:sz w:val="16"/>
        </w:rPr>
        <w:t>facilities</w:t>
      </w:r>
      <w:r>
        <w:rPr>
          <w:spacing w:val="-5"/>
          <w:sz w:val="16"/>
        </w:rPr>
        <w:t xml:space="preserve"> </w:t>
      </w:r>
      <w:r>
        <w:rPr>
          <w:sz w:val="16"/>
        </w:rPr>
        <w:t>(May,</w:t>
      </w:r>
      <w:r>
        <w:rPr>
          <w:spacing w:val="1"/>
          <w:sz w:val="16"/>
        </w:rPr>
        <w:t xml:space="preserve"> </w:t>
      </w:r>
      <w:r>
        <w:rPr>
          <w:spacing w:val="-1"/>
          <w:sz w:val="16"/>
        </w:rPr>
        <w:t>2020);</w:t>
      </w:r>
      <w:r>
        <w:rPr>
          <w:spacing w:val="-8"/>
          <w:sz w:val="16"/>
        </w:rPr>
        <w:t xml:space="preserve"> </w:t>
      </w:r>
      <w:r>
        <w:rPr>
          <w:spacing w:val="-1"/>
          <w:sz w:val="16"/>
        </w:rPr>
        <w:t>Support</w:t>
      </w:r>
      <w:r>
        <w:rPr>
          <w:spacing w:val="-8"/>
          <w:sz w:val="16"/>
        </w:rPr>
        <w:t xml:space="preserve"> </w:t>
      </w:r>
      <w:r>
        <w:rPr>
          <w:spacing w:val="-1"/>
          <w:sz w:val="16"/>
        </w:rPr>
        <w:t>program</w:t>
      </w:r>
      <w:r>
        <w:rPr>
          <w:spacing w:val="-7"/>
          <w:sz w:val="16"/>
        </w:rPr>
        <w:t xml:space="preserve"> </w:t>
      </w:r>
      <w:r>
        <w:rPr>
          <w:spacing w:val="-1"/>
          <w:sz w:val="16"/>
        </w:rPr>
        <w:t>for</w:t>
      </w:r>
      <w:r>
        <w:rPr>
          <w:spacing w:val="-10"/>
          <w:sz w:val="16"/>
        </w:rPr>
        <w:t xml:space="preserve"> </w:t>
      </w:r>
      <w:r>
        <w:rPr>
          <w:spacing w:val="-1"/>
          <w:sz w:val="16"/>
        </w:rPr>
        <w:t>primary</w:t>
      </w:r>
      <w:r>
        <w:rPr>
          <w:spacing w:val="-11"/>
          <w:sz w:val="16"/>
        </w:rPr>
        <w:t xml:space="preserve"> </w:t>
      </w:r>
      <w:r>
        <w:rPr>
          <w:spacing w:val="-1"/>
          <w:sz w:val="16"/>
        </w:rPr>
        <w:t>farmers</w:t>
      </w:r>
      <w:r>
        <w:rPr>
          <w:spacing w:val="-7"/>
          <w:sz w:val="16"/>
        </w:rPr>
        <w:t xml:space="preserve"> </w:t>
      </w:r>
      <w:r>
        <w:rPr>
          <w:spacing w:val="-1"/>
          <w:sz w:val="16"/>
        </w:rPr>
        <w:t>due</w:t>
      </w:r>
      <w:r>
        <w:rPr>
          <w:spacing w:val="-11"/>
          <w:sz w:val="16"/>
        </w:rPr>
        <w:t xml:space="preserve"> </w:t>
      </w:r>
      <w:r>
        <w:rPr>
          <w:spacing w:val="-1"/>
          <w:sz w:val="16"/>
        </w:rPr>
        <w:t>to</w:t>
      </w:r>
      <w:r>
        <w:rPr>
          <w:spacing w:val="-10"/>
          <w:sz w:val="16"/>
        </w:rPr>
        <w:t xml:space="preserve"> </w:t>
      </w:r>
      <w:r>
        <w:rPr>
          <w:spacing w:val="-1"/>
          <w:sz w:val="16"/>
        </w:rPr>
        <w:t>difficult</w:t>
      </w:r>
      <w:r>
        <w:rPr>
          <w:spacing w:val="-11"/>
          <w:sz w:val="16"/>
        </w:rPr>
        <w:t xml:space="preserve"> </w:t>
      </w:r>
      <w:r>
        <w:rPr>
          <w:spacing w:val="-1"/>
          <w:sz w:val="16"/>
        </w:rPr>
        <w:t>business</w:t>
      </w:r>
      <w:r>
        <w:rPr>
          <w:spacing w:val="-6"/>
          <w:sz w:val="16"/>
        </w:rPr>
        <w:t xml:space="preserve"> </w:t>
      </w:r>
      <w:r>
        <w:rPr>
          <w:sz w:val="16"/>
        </w:rPr>
        <w:t>conditions</w:t>
      </w:r>
      <w:r>
        <w:rPr>
          <w:spacing w:val="-7"/>
          <w:sz w:val="16"/>
        </w:rPr>
        <w:t xml:space="preserve"> </w:t>
      </w:r>
      <w:r>
        <w:rPr>
          <w:sz w:val="16"/>
        </w:rPr>
        <w:t>caused</w:t>
      </w:r>
      <w:r>
        <w:rPr>
          <w:spacing w:val="-8"/>
          <w:sz w:val="16"/>
        </w:rPr>
        <w:t xml:space="preserve"> </w:t>
      </w:r>
      <w:r>
        <w:rPr>
          <w:sz w:val="16"/>
        </w:rPr>
        <w:t>by</w:t>
      </w:r>
      <w:r>
        <w:rPr>
          <w:spacing w:val="-10"/>
          <w:sz w:val="16"/>
        </w:rPr>
        <w:t xml:space="preserve"> </w:t>
      </w:r>
      <w:r>
        <w:rPr>
          <w:sz w:val="16"/>
        </w:rPr>
        <w:t>the</w:t>
      </w:r>
      <w:r>
        <w:rPr>
          <w:spacing w:val="-9"/>
          <w:sz w:val="16"/>
        </w:rPr>
        <w:t xml:space="preserve"> </w:t>
      </w:r>
      <w:r>
        <w:rPr>
          <w:sz w:val="16"/>
        </w:rPr>
        <w:t>COVID-19</w:t>
      </w:r>
      <w:r>
        <w:rPr>
          <w:spacing w:val="-8"/>
          <w:sz w:val="16"/>
        </w:rPr>
        <w:t xml:space="preserve"> </w:t>
      </w:r>
      <w:r>
        <w:rPr>
          <w:sz w:val="16"/>
        </w:rPr>
        <w:t>pandemic</w:t>
      </w:r>
      <w:r>
        <w:rPr>
          <w:spacing w:val="-6"/>
          <w:sz w:val="16"/>
        </w:rPr>
        <w:t xml:space="preserve"> </w:t>
      </w:r>
      <w:r>
        <w:rPr>
          <w:sz w:val="16"/>
        </w:rPr>
        <w:t>(December</w:t>
      </w:r>
      <w:r>
        <w:rPr>
          <w:spacing w:val="-8"/>
          <w:sz w:val="16"/>
        </w:rPr>
        <w:t xml:space="preserve"> </w:t>
      </w:r>
      <w:r>
        <w:rPr>
          <w:sz w:val="16"/>
        </w:rPr>
        <w:t>2020);</w:t>
      </w:r>
      <w:r>
        <w:rPr>
          <w:spacing w:val="-6"/>
          <w:sz w:val="16"/>
        </w:rPr>
        <w:t xml:space="preserve"> </w:t>
      </w:r>
      <w:r>
        <w:rPr>
          <w:sz w:val="16"/>
        </w:rPr>
        <w:t>Support</w:t>
      </w:r>
      <w:r>
        <w:rPr>
          <w:spacing w:val="1"/>
          <w:sz w:val="16"/>
        </w:rPr>
        <w:t xml:space="preserve"> </w:t>
      </w:r>
      <w:r>
        <w:rPr>
          <w:spacing w:val="-1"/>
          <w:sz w:val="16"/>
        </w:rPr>
        <w:t>program</w:t>
      </w:r>
      <w:r>
        <w:rPr>
          <w:spacing w:val="-4"/>
          <w:sz w:val="16"/>
        </w:rPr>
        <w:t xml:space="preserve"> </w:t>
      </w:r>
      <w:r>
        <w:rPr>
          <w:spacing w:val="-1"/>
          <w:sz w:val="16"/>
        </w:rPr>
        <w:t>for</w:t>
      </w:r>
      <w:r>
        <w:rPr>
          <w:spacing w:val="-7"/>
          <w:sz w:val="16"/>
        </w:rPr>
        <w:t xml:space="preserve"> </w:t>
      </w:r>
      <w:r>
        <w:rPr>
          <w:spacing w:val="-1"/>
          <w:sz w:val="16"/>
        </w:rPr>
        <w:t>producers</w:t>
      </w:r>
      <w:r>
        <w:rPr>
          <w:spacing w:val="-4"/>
          <w:sz w:val="16"/>
        </w:rPr>
        <w:t xml:space="preserve"> </w:t>
      </w:r>
      <w:r>
        <w:rPr>
          <w:sz w:val="16"/>
        </w:rPr>
        <w:t>of</w:t>
      </w:r>
      <w:r>
        <w:rPr>
          <w:spacing w:val="-5"/>
          <w:sz w:val="16"/>
        </w:rPr>
        <w:t xml:space="preserve"> </w:t>
      </w:r>
      <w:r>
        <w:rPr>
          <w:sz w:val="16"/>
        </w:rPr>
        <w:t>fattening</w:t>
      </w:r>
      <w:r>
        <w:rPr>
          <w:spacing w:val="-10"/>
          <w:sz w:val="16"/>
        </w:rPr>
        <w:t xml:space="preserve"> </w:t>
      </w:r>
      <w:r>
        <w:rPr>
          <w:sz w:val="16"/>
        </w:rPr>
        <w:t>pig</w:t>
      </w:r>
      <w:r>
        <w:rPr>
          <w:spacing w:val="-8"/>
          <w:sz w:val="16"/>
        </w:rPr>
        <w:t xml:space="preserve"> </w:t>
      </w:r>
      <w:r>
        <w:rPr>
          <w:sz w:val="16"/>
        </w:rPr>
        <w:t>due</w:t>
      </w:r>
      <w:r>
        <w:rPr>
          <w:spacing w:val="-8"/>
          <w:sz w:val="16"/>
        </w:rPr>
        <w:t xml:space="preserve"> </w:t>
      </w:r>
      <w:r>
        <w:rPr>
          <w:sz w:val="16"/>
        </w:rPr>
        <w:t>to</w:t>
      </w:r>
      <w:r>
        <w:rPr>
          <w:spacing w:val="-7"/>
          <w:sz w:val="16"/>
        </w:rPr>
        <w:t xml:space="preserve"> </w:t>
      </w:r>
      <w:r>
        <w:rPr>
          <w:sz w:val="16"/>
        </w:rPr>
        <w:t>difficult</w:t>
      </w:r>
      <w:r>
        <w:rPr>
          <w:spacing w:val="-8"/>
          <w:sz w:val="16"/>
        </w:rPr>
        <w:t xml:space="preserve"> </w:t>
      </w:r>
      <w:r>
        <w:rPr>
          <w:sz w:val="16"/>
        </w:rPr>
        <w:t>business</w:t>
      </w:r>
      <w:r>
        <w:rPr>
          <w:spacing w:val="-4"/>
          <w:sz w:val="16"/>
        </w:rPr>
        <w:t xml:space="preserve"> </w:t>
      </w:r>
      <w:r>
        <w:rPr>
          <w:sz w:val="16"/>
        </w:rPr>
        <w:t>conditions</w:t>
      </w:r>
      <w:r>
        <w:rPr>
          <w:spacing w:val="-7"/>
          <w:sz w:val="16"/>
        </w:rPr>
        <w:t xml:space="preserve"> </w:t>
      </w:r>
      <w:r>
        <w:rPr>
          <w:sz w:val="16"/>
        </w:rPr>
        <w:t>caused</w:t>
      </w:r>
      <w:r>
        <w:rPr>
          <w:spacing w:val="-1"/>
          <w:sz w:val="16"/>
        </w:rPr>
        <w:t xml:space="preserve"> </w:t>
      </w:r>
      <w:r>
        <w:rPr>
          <w:sz w:val="16"/>
        </w:rPr>
        <w:t>by</w:t>
      </w:r>
      <w:r>
        <w:rPr>
          <w:spacing w:val="-8"/>
          <w:sz w:val="16"/>
        </w:rPr>
        <w:t xml:space="preserve"> </w:t>
      </w:r>
      <w:r>
        <w:rPr>
          <w:sz w:val="16"/>
        </w:rPr>
        <w:t>the</w:t>
      </w:r>
      <w:r>
        <w:rPr>
          <w:spacing w:val="-8"/>
          <w:sz w:val="16"/>
        </w:rPr>
        <w:t xml:space="preserve"> </w:t>
      </w:r>
      <w:r>
        <w:rPr>
          <w:sz w:val="16"/>
        </w:rPr>
        <w:t>COVID-19</w:t>
      </w:r>
      <w:r>
        <w:rPr>
          <w:spacing w:val="-3"/>
          <w:sz w:val="16"/>
        </w:rPr>
        <w:t xml:space="preserve"> </w:t>
      </w:r>
      <w:r>
        <w:rPr>
          <w:sz w:val="16"/>
        </w:rPr>
        <w:t>pandemic</w:t>
      </w:r>
      <w:r>
        <w:rPr>
          <w:spacing w:val="-4"/>
          <w:sz w:val="16"/>
        </w:rPr>
        <w:t xml:space="preserve"> </w:t>
      </w:r>
      <w:r>
        <w:rPr>
          <w:sz w:val="16"/>
        </w:rPr>
        <w:t>(April,</w:t>
      </w:r>
      <w:r>
        <w:rPr>
          <w:spacing w:val="-6"/>
          <w:sz w:val="16"/>
        </w:rPr>
        <w:t xml:space="preserve"> </w:t>
      </w:r>
      <w:r>
        <w:rPr>
          <w:sz w:val="16"/>
        </w:rPr>
        <w:t>2021);</w:t>
      </w:r>
      <w:r>
        <w:rPr>
          <w:spacing w:val="-5"/>
          <w:sz w:val="16"/>
        </w:rPr>
        <w:t xml:space="preserve"> </w:t>
      </w:r>
      <w:r>
        <w:rPr>
          <w:sz w:val="16"/>
        </w:rPr>
        <w:t>Support</w:t>
      </w:r>
      <w:r>
        <w:rPr>
          <w:spacing w:val="-8"/>
          <w:sz w:val="16"/>
        </w:rPr>
        <w:t xml:space="preserve"> </w:t>
      </w:r>
      <w:r>
        <w:rPr>
          <w:sz w:val="16"/>
        </w:rPr>
        <w:t>program</w:t>
      </w:r>
      <w:r>
        <w:rPr>
          <w:spacing w:val="1"/>
          <w:sz w:val="16"/>
        </w:rPr>
        <w:t xml:space="preserve"> </w:t>
      </w:r>
      <w:r>
        <w:rPr>
          <w:sz w:val="16"/>
        </w:rPr>
        <w:t>for primary agricultural producers in livestock due to difficult business conditions caused by the COVID-19 pandemic (December 2021);</w:t>
      </w:r>
      <w:r>
        <w:rPr>
          <w:spacing w:val="1"/>
          <w:sz w:val="16"/>
        </w:rPr>
        <w:t xml:space="preserve"> </w:t>
      </w:r>
      <w:r>
        <w:rPr>
          <w:sz w:val="16"/>
        </w:rPr>
        <w:t>Poultry</w:t>
      </w:r>
      <w:r>
        <w:rPr>
          <w:spacing w:val="-10"/>
          <w:sz w:val="16"/>
        </w:rPr>
        <w:t xml:space="preserve"> </w:t>
      </w:r>
      <w:r>
        <w:rPr>
          <w:sz w:val="16"/>
        </w:rPr>
        <w:t>support</w:t>
      </w:r>
      <w:r>
        <w:rPr>
          <w:spacing w:val="-6"/>
          <w:sz w:val="16"/>
        </w:rPr>
        <w:t xml:space="preserve"> </w:t>
      </w:r>
      <w:r>
        <w:rPr>
          <w:sz w:val="16"/>
        </w:rPr>
        <w:t>program</w:t>
      </w:r>
      <w:r>
        <w:rPr>
          <w:spacing w:val="-9"/>
          <w:sz w:val="16"/>
        </w:rPr>
        <w:t xml:space="preserve"> </w:t>
      </w:r>
      <w:r>
        <w:rPr>
          <w:sz w:val="16"/>
        </w:rPr>
        <w:t>due</w:t>
      </w:r>
      <w:r>
        <w:rPr>
          <w:spacing w:val="-7"/>
          <w:sz w:val="16"/>
        </w:rPr>
        <w:t xml:space="preserve"> </w:t>
      </w:r>
      <w:r>
        <w:rPr>
          <w:sz w:val="16"/>
        </w:rPr>
        <w:t>to</w:t>
      </w:r>
      <w:r>
        <w:rPr>
          <w:spacing w:val="-10"/>
          <w:sz w:val="16"/>
        </w:rPr>
        <w:t xml:space="preserve"> </w:t>
      </w:r>
      <w:r>
        <w:rPr>
          <w:sz w:val="16"/>
        </w:rPr>
        <w:t>difficult</w:t>
      </w:r>
      <w:r>
        <w:rPr>
          <w:spacing w:val="-6"/>
          <w:sz w:val="16"/>
        </w:rPr>
        <w:t xml:space="preserve"> </w:t>
      </w:r>
      <w:r>
        <w:rPr>
          <w:sz w:val="16"/>
        </w:rPr>
        <w:t>business</w:t>
      </w:r>
      <w:r>
        <w:rPr>
          <w:spacing w:val="-6"/>
          <w:sz w:val="16"/>
        </w:rPr>
        <w:t xml:space="preserve"> </w:t>
      </w:r>
      <w:r>
        <w:rPr>
          <w:sz w:val="16"/>
        </w:rPr>
        <w:t>conditions</w:t>
      </w:r>
      <w:r>
        <w:rPr>
          <w:spacing w:val="-9"/>
          <w:sz w:val="16"/>
        </w:rPr>
        <w:t xml:space="preserve"> </w:t>
      </w:r>
      <w:r>
        <w:rPr>
          <w:sz w:val="16"/>
        </w:rPr>
        <w:t>caused</w:t>
      </w:r>
      <w:r>
        <w:rPr>
          <w:spacing w:val="-8"/>
          <w:sz w:val="16"/>
        </w:rPr>
        <w:t xml:space="preserve"> </w:t>
      </w:r>
      <w:r>
        <w:rPr>
          <w:sz w:val="16"/>
        </w:rPr>
        <w:t>by</w:t>
      </w:r>
      <w:r>
        <w:rPr>
          <w:spacing w:val="-9"/>
          <w:sz w:val="16"/>
        </w:rPr>
        <w:t xml:space="preserve"> </w:t>
      </w:r>
      <w:r>
        <w:rPr>
          <w:sz w:val="16"/>
        </w:rPr>
        <w:t>the</w:t>
      </w:r>
      <w:r>
        <w:rPr>
          <w:spacing w:val="-8"/>
          <w:sz w:val="16"/>
        </w:rPr>
        <w:t xml:space="preserve"> </w:t>
      </w:r>
      <w:r>
        <w:rPr>
          <w:sz w:val="16"/>
        </w:rPr>
        <w:t>Covid-19</w:t>
      </w:r>
      <w:r>
        <w:rPr>
          <w:spacing w:val="-6"/>
          <w:sz w:val="16"/>
        </w:rPr>
        <w:t xml:space="preserve"> </w:t>
      </w:r>
      <w:r>
        <w:rPr>
          <w:sz w:val="16"/>
        </w:rPr>
        <w:t>pandemic</w:t>
      </w:r>
      <w:r>
        <w:rPr>
          <w:spacing w:val="-7"/>
          <w:sz w:val="16"/>
        </w:rPr>
        <w:t xml:space="preserve"> </w:t>
      </w:r>
      <w:r>
        <w:rPr>
          <w:sz w:val="16"/>
        </w:rPr>
        <w:t>(December</w:t>
      </w:r>
      <w:r>
        <w:rPr>
          <w:spacing w:val="-7"/>
          <w:sz w:val="16"/>
        </w:rPr>
        <w:t xml:space="preserve"> </w:t>
      </w:r>
      <w:r>
        <w:rPr>
          <w:sz w:val="16"/>
        </w:rPr>
        <w:t>2021);</w:t>
      </w:r>
      <w:r>
        <w:rPr>
          <w:spacing w:val="-8"/>
          <w:sz w:val="16"/>
        </w:rPr>
        <w:t xml:space="preserve"> </w:t>
      </w:r>
      <w:r>
        <w:rPr>
          <w:sz w:val="16"/>
        </w:rPr>
        <w:t>National</w:t>
      </w:r>
      <w:r>
        <w:rPr>
          <w:spacing w:val="-8"/>
          <w:sz w:val="16"/>
        </w:rPr>
        <w:t xml:space="preserve"> </w:t>
      </w:r>
      <w:r>
        <w:rPr>
          <w:sz w:val="16"/>
        </w:rPr>
        <w:t>aid</w:t>
      </w:r>
      <w:r>
        <w:rPr>
          <w:spacing w:val="-7"/>
          <w:sz w:val="16"/>
        </w:rPr>
        <w:t xml:space="preserve"> </w:t>
      </w:r>
      <w:r>
        <w:rPr>
          <w:sz w:val="16"/>
        </w:rPr>
        <w:t>program</w:t>
      </w:r>
      <w:r>
        <w:rPr>
          <w:spacing w:val="-7"/>
          <w:sz w:val="16"/>
        </w:rPr>
        <w:t xml:space="preserve"> </w:t>
      </w:r>
      <w:r>
        <w:rPr>
          <w:sz w:val="16"/>
        </w:rPr>
        <w:t>for</w:t>
      </w:r>
      <w:r>
        <w:rPr>
          <w:spacing w:val="-7"/>
          <w:sz w:val="16"/>
        </w:rPr>
        <w:t xml:space="preserve"> </w:t>
      </w:r>
      <w:r>
        <w:rPr>
          <w:sz w:val="16"/>
        </w:rPr>
        <w:t>the</w:t>
      </w:r>
      <w:r>
        <w:rPr>
          <w:spacing w:val="1"/>
          <w:sz w:val="16"/>
        </w:rPr>
        <w:t xml:space="preserve"> </w:t>
      </w:r>
      <w:r>
        <w:rPr>
          <w:sz w:val="16"/>
        </w:rPr>
        <w:t>wine</w:t>
      </w:r>
      <w:r>
        <w:rPr>
          <w:spacing w:val="-3"/>
          <w:sz w:val="16"/>
        </w:rPr>
        <w:t xml:space="preserve"> </w:t>
      </w:r>
      <w:r>
        <w:rPr>
          <w:sz w:val="16"/>
        </w:rPr>
        <w:t>sector</w:t>
      </w:r>
      <w:r>
        <w:rPr>
          <w:spacing w:val="-1"/>
          <w:sz w:val="16"/>
        </w:rPr>
        <w:t xml:space="preserve"> </w:t>
      </w:r>
      <w:r>
        <w:rPr>
          <w:sz w:val="16"/>
        </w:rPr>
        <w:t>for</w:t>
      </w:r>
      <w:r>
        <w:rPr>
          <w:spacing w:val="-1"/>
          <w:sz w:val="16"/>
        </w:rPr>
        <w:t xml:space="preserve"> </w:t>
      </w:r>
      <w:r>
        <w:rPr>
          <w:sz w:val="16"/>
        </w:rPr>
        <w:t>the</w:t>
      </w:r>
      <w:r>
        <w:rPr>
          <w:spacing w:val="-2"/>
          <w:sz w:val="16"/>
        </w:rPr>
        <w:t xml:space="preserve"> </w:t>
      </w:r>
      <w:r>
        <w:rPr>
          <w:sz w:val="16"/>
        </w:rPr>
        <w:t>period</w:t>
      </w:r>
      <w:r>
        <w:rPr>
          <w:spacing w:val="-1"/>
          <w:sz w:val="16"/>
        </w:rPr>
        <w:t xml:space="preserve"> </w:t>
      </w:r>
      <w:r>
        <w:rPr>
          <w:sz w:val="16"/>
        </w:rPr>
        <w:t>2019</w:t>
      </w:r>
      <w:r>
        <w:rPr>
          <w:spacing w:val="-1"/>
          <w:sz w:val="16"/>
        </w:rPr>
        <w:t xml:space="preserve"> </w:t>
      </w:r>
      <w:r>
        <w:rPr>
          <w:sz w:val="16"/>
        </w:rPr>
        <w:t>to</w:t>
      </w:r>
      <w:r>
        <w:rPr>
          <w:spacing w:val="-1"/>
          <w:sz w:val="16"/>
        </w:rPr>
        <w:t xml:space="preserve"> </w:t>
      </w:r>
      <w:r>
        <w:rPr>
          <w:sz w:val="16"/>
        </w:rPr>
        <w:t>2023</w:t>
      </w:r>
    </w:p>
    <w:p w:rsidR="00A56FE9" w:rsidRDefault="00A56FE9">
      <w:pPr>
        <w:jc w:val="both"/>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t>directed</w:t>
      </w:r>
      <w:r>
        <w:rPr>
          <w:spacing w:val="-12"/>
        </w:rPr>
        <w:t xml:space="preserve"> </w:t>
      </w:r>
      <w:r>
        <w:t>to</w:t>
      </w:r>
      <w:r>
        <w:rPr>
          <w:spacing w:val="-10"/>
        </w:rPr>
        <w:t xml:space="preserve"> </w:t>
      </w:r>
      <w:r>
        <w:t>the</w:t>
      </w:r>
      <w:r>
        <w:rPr>
          <w:spacing w:val="-12"/>
        </w:rPr>
        <w:t xml:space="preserve"> </w:t>
      </w:r>
      <w:r>
        <w:t>construction,</w:t>
      </w:r>
      <w:r>
        <w:rPr>
          <w:spacing w:val="-10"/>
        </w:rPr>
        <w:t xml:space="preserve"> </w:t>
      </w:r>
      <w:r>
        <w:t>reconstruction</w:t>
      </w:r>
      <w:r>
        <w:rPr>
          <w:spacing w:val="-11"/>
        </w:rPr>
        <w:t xml:space="preserve"> </w:t>
      </w:r>
      <w:r>
        <w:t>and</w:t>
      </w:r>
      <w:r>
        <w:rPr>
          <w:spacing w:val="-8"/>
        </w:rPr>
        <w:t xml:space="preserve"> </w:t>
      </w:r>
      <w:r>
        <w:t>equipping</w:t>
      </w:r>
      <w:r>
        <w:rPr>
          <w:spacing w:val="-13"/>
        </w:rPr>
        <w:t xml:space="preserve"> </w:t>
      </w:r>
      <w:r>
        <w:t>of</w:t>
      </w:r>
      <w:r>
        <w:rPr>
          <w:spacing w:val="-11"/>
        </w:rPr>
        <w:t xml:space="preserve"> </w:t>
      </w:r>
      <w:r>
        <w:t>plants</w:t>
      </w:r>
      <w:r>
        <w:rPr>
          <w:spacing w:val="-11"/>
        </w:rPr>
        <w:t xml:space="preserve"> </w:t>
      </w:r>
      <w:r>
        <w:t>for</w:t>
      </w:r>
      <w:r>
        <w:rPr>
          <w:spacing w:val="-12"/>
        </w:rPr>
        <w:t xml:space="preserve"> </w:t>
      </w:r>
      <w:r>
        <w:t>the</w:t>
      </w:r>
      <w:r>
        <w:rPr>
          <w:spacing w:val="-11"/>
        </w:rPr>
        <w:t xml:space="preserve"> </w:t>
      </w:r>
      <w:r>
        <w:t>production</w:t>
      </w:r>
      <w:r>
        <w:rPr>
          <w:spacing w:val="-11"/>
        </w:rPr>
        <w:t xml:space="preserve"> </w:t>
      </w:r>
      <w:r>
        <w:t>of</w:t>
      </w:r>
      <w:r>
        <w:rPr>
          <w:spacing w:val="-11"/>
        </w:rPr>
        <w:t xml:space="preserve"> </w:t>
      </w:r>
      <w:r>
        <w:t>energy</w:t>
      </w:r>
      <w:r>
        <w:rPr>
          <w:spacing w:val="-58"/>
        </w:rPr>
        <w:t xml:space="preserve"> </w:t>
      </w:r>
      <w:r>
        <w:t>from</w:t>
      </w:r>
      <w:r>
        <w:rPr>
          <w:spacing w:val="-1"/>
        </w:rPr>
        <w:t xml:space="preserve"> </w:t>
      </w:r>
      <w:r>
        <w:t>renewable</w:t>
      </w:r>
      <w:r>
        <w:rPr>
          <w:spacing w:val="-1"/>
        </w:rPr>
        <w:t xml:space="preserve"> </w:t>
      </w:r>
      <w:r>
        <w:t>sources</w:t>
      </w:r>
      <w:r>
        <w:rPr>
          <w:spacing w:val="3"/>
        </w:rPr>
        <w:t xml:space="preserve"> </w:t>
      </w:r>
      <w:r>
        <w:t>and</w:t>
      </w:r>
      <w:r>
        <w:rPr>
          <w:spacing w:val="-1"/>
        </w:rPr>
        <w:t xml:space="preserve"> </w:t>
      </w:r>
      <w:r>
        <w:t>for</w:t>
      </w:r>
      <w:r>
        <w:rPr>
          <w:spacing w:val="-2"/>
        </w:rPr>
        <w:t xml:space="preserve"> </w:t>
      </w:r>
      <w:r>
        <w:t>the</w:t>
      </w:r>
      <w:r>
        <w:rPr>
          <w:spacing w:val="-1"/>
        </w:rPr>
        <w:t xml:space="preserve"> </w:t>
      </w:r>
      <w:r>
        <w:t>needs</w:t>
      </w:r>
      <w:r>
        <w:rPr>
          <w:spacing w:val="-1"/>
        </w:rPr>
        <w:t xml:space="preserve"> </w:t>
      </w:r>
      <w:r>
        <w:t>of</w:t>
      </w:r>
      <w:r>
        <w:rPr>
          <w:spacing w:val="2"/>
        </w:rPr>
        <w:t xml:space="preserve"> </w:t>
      </w:r>
      <w:r>
        <w:t>a</w:t>
      </w:r>
      <w:r>
        <w:rPr>
          <w:spacing w:val="-2"/>
        </w:rPr>
        <w:t xml:space="preserve"> </w:t>
      </w:r>
      <w:r>
        <w:t>beneficiary’s own</w:t>
      </w:r>
      <w:r>
        <w:rPr>
          <w:spacing w:val="-1"/>
        </w:rPr>
        <w:t xml:space="preserve"> </w:t>
      </w:r>
      <w:r>
        <w:t>production</w:t>
      </w:r>
      <w:r>
        <w:rPr>
          <w:spacing w:val="-1"/>
        </w:rPr>
        <w:t xml:space="preserve"> </w:t>
      </w:r>
      <w:r>
        <w:t>facilities.</w:t>
      </w:r>
    </w:p>
    <w:p w:rsidR="00A56FE9" w:rsidRDefault="00A56FE9">
      <w:pPr>
        <w:pStyle w:val="Tijeloteksta"/>
        <w:ind w:left="0"/>
        <w:jc w:val="left"/>
        <w:rPr>
          <w:sz w:val="26"/>
        </w:rPr>
      </w:pPr>
    </w:p>
    <w:p w:rsidR="00A56FE9" w:rsidRDefault="00000000">
      <w:pPr>
        <w:pStyle w:val="Naslov3"/>
      </w:pPr>
      <w:bookmarkStart w:id="9" w:name="_bookmark9"/>
      <w:bookmarkEnd w:id="9"/>
      <w:r>
        <w:rPr>
          <w:rFonts w:ascii="Times New Roman"/>
          <w:b/>
          <w:color w:val="2C398A"/>
          <w:spacing w:val="-1"/>
        </w:rPr>
        <w:t xml:space="preserve">C1.6. </w:t>
      </w:r>
      <w:r>
        <w:rPr>
          <w:color w:val="003399"/>
          <w:spacing w:val="-1"/>
        </w:rPr>
        <w:t>Developing</w:t>
      </w:r>
      <w:r>
        <w:rPr>
          <w:color w:val="003399"/>
          <w:spacing w:val="-14"/>
        </w:rPr>
        <w:t xml:space="preserve"> </w:t>
      </w:r>
      <w:r>
        <w:rPr>
          <w:color w:val="003399"/>
          <w:spacing w:val="-1"/>
        </w:rPr>
        <w:t>Sustainable,</w:t>
      </w:r>
      <w:r>
        <w:rPr>
          <w:color w:val="003399"/>
          <w:spacing w:val="-13"/>
        </w:rPr>
        <w:t xml:space="preserve"> </w:t>
      </w:r>
      <w:r>
        <w:rPr>
          <w:color w:val="003399"/>
          <w:spacing w:val="-1"/>
        </w:rPr>
        <w:t>Innovative</w:t>
      </w:r>
      <w:r>
        <w:rPr>
          <w:color w:val="003399"/>
          <w:spacing w:val="-14"/>
        </w:rPr>
        <w:t xml:space="preserve"> </w:t>
      </w:r>
      <w:r>
        <w:rPr>
          <w:color w:val="003399"/>
          <w:spacing w:val="-1"/>
        </w:rPr>
        <w:t>and</w:t>
      </w:r>
      <w:r>
        <w:rPr>
          <w:color w:val="003399"/>
          <w:spacing w:val="-14"/>
        </w:rPr>
        <w:t xml:space="preserve"> </w:t>
      </w:r>
      <w:r>
        <w:rPr>
          <w:color w:val="003399"/>
          <w:spacing w:val="-1"/>
        </w:rPr>
        <w:t>Resilient</w:t>
      </w:r>
      <w:r>
        <w:rPr>
          <w:color w:val="003399"/>
          <w:spacing w:val="-12"/>
        </w:rPr>
        <w:t xml:space="preserve"> </w:t>
      </w:r>
      <w:r>
        <w:rPr>
          <w:color w:val="003399"/>
        </w:rPr>
        <w:t>Tourism</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52192"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1578226212"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469AA" id="Rectangle 276" o:spid="_x0000_s1026" style="position:absolute;margin-left:64.1pt;margin-top:-6.1pt;width:1.45pt;height:27pt;z-index:15752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Developing</w:t>
      </w:r>
      <w:r w:rsidR="00000000">
        <w:rPr>
          <w:color w:val="2C398A"/>
          <w:spacing w:val="-3"/>
        </w:rPr>
        <w:t xml:space="preserve"> </w:t>
      </w:r>
      <w:r w:rsidR="00000000">
        <w:rPr>
          <w:color w:val="2C398A"/>
        </w:rPr>
        <w:t>Sustainable,</w:t>
      </w:r>
      <w:r w:rsidR="00000000">
        <w:rPr>
          <w:color w:val="2C398A"/>
          <w:spacing w:val="-3"/>
        </w:rPr>
        <w:t xml:space="preserve"> </w:t>
      </w:r>
      <w:r w:rsidR="00000000">
        <w:rPr>
          <w:color w:val="2C398A"/>
        </w:rPr>
        <w:t>Innovative</w:t>
      </w:r>
      <w:r w:rsidR="00000000">
        <w:rPr>
          <w:color w:val="2C398A"/>
          <w:spacing w:val="-2"/>
        </w:rPr>
        <w:t xml:space="preserve"> </w:t>
      </w:r>
      <w:r w:rsidR="00000000">
        <w:rPr>
          <w:color w:val="2C398A"/>
        </w:rPr>
        <w:t>and</w:t>
      </w:r>
      <w:r w:rsidR="00000000">
        <w:rPr>
          <w:color w:val="2C398A"/>
          <w:spacing w:val="-3"/>
        </w:rPr>
        <w:t xml:space="preserve"> </w:t>
      </w:r>
      <w:r w:rsidR="00000000">
        <w:rPr>
          <w:color w:val="2C398A"/>
        </w:rPr>
        <w:t>Resilient</w:t>
      </w:r>
      <w:r w:rsidR="00000000">
        <w:rPr>
          <w:color w:val="2C398A"/>
          <w:spacing w:val="-3"/>
        </w:rPr>
        <w:t xml:space="preserve"> </w:t>
      </w:r>
      <w:r w:rsidR="00000000">
        <w:rPr>
          <w:color w:val="2C398A"/>
        </w:rPr>
        <w:t>Tourism</w:t>
      </w:r>
    </w:p>
    <w:p w:rsidR="00A56FE9" w:rsidRDefault="00000000">
      <w:pPr>
        <w:spacing w:before="234"/>
        <w:ind w:left="138" w:right="271"/>
        <w:jc w:val="both"/>
        <w:rPr>
          <w:i/>
          <w:sz w:val="24"/>
        </w:rPr>
      </w:pPr>
      <w:r>
        <w:rPr>
          <w:i/>
          <w:color w:val="2C398A"/>
          <w:sz w:val="24"/>
        </w:rPr>
        <w:t>2019.CSR2.1. Deliver on the education reform and improve both access to education and</w:t>
      </w:r>
      <w:r>
        <w:rPr>
          <w:i/>
          <w:color w:val="2C398A"/>
          <w:spacing w:val="1"/>
          <w:sz w:val="24"/>
        </w:rPr>
        <w:t xml:space="preserve"> </w:t>
      </w:r>
      <w:r>
        <w:rPr>
          <w:i/>
          <w:color w:val="2C398A"/>
          <w:sz w:val="24"/>
        </w:rPr>
        <w:t>training at all levels and their quality and labour market relevance; 2019.CSR3.1. Focus</w:t>
      </w:r>
      <w:r>
        <w:rPr>
          <w:i/>
          <w:color w:val="2C398A"/>
          <w:spacing w:val="1"/>
          <w:sz w:val="24"/>
        </w:rPr>
        <w:t xml:space="preserve"> </w:t>
      </w:r>
      <w:r>
        <w:rPr>
          <w:i/>
          <w:color w:val="2C398A"/>
          <w:sz w:val="24"/>
        </w:rPr>
        <w:t>investment-related</w:t>
      </w:r>
      <w:r>
        <w:rPr>
          <w:i/>
          <w:color w:val="2C398A"/>
          <w:spacing w:val="-11"/>
          <w:sz w:val="24"/>
        </w:rPr>
        <w:t xml:space="preserve"> </w:t>
      </w:r>
      <w:r>
        <w:rPr>
          <w:i/>
          <w:color w:val="2C398A"/>
          <w:sz w:val="24"/>
        </w:rPr>
        <w:t>economic</w:t>
      </w:r>
      <w:r>
        <w:rPr>
          <w:i/>
          <w:color w:val="2C398A"/>
          <w:spacing w:val="-13"/>
          <w:sz w:val="24"/>
        </w:rPr>
        <w:t xml:space="preserve"> </w:t>
      </w:r>
      <w:r>
        <w:rPr>
          <w:i/>
          <w:color w:val="2C398A"/>
          <w:sz w:val="24"/>
        </w:rPr>
        <w:t>policy</w:t>
      </w:r>
      <w:r>
        <w:rPr>
          <w:i/>
          <w:color w:val="2C398A"/>
          <w:spacing w:val="-11"/>
          <w:sz w:val="24"/>
        </w:rPr>
        <w:t xml:space="preserve"> </w:t>
      </w:r>
      <w:r>
        <w:rPr>
          <w:i/>
          <w:color w:val="2C398A"/>
          <w:sz w:val="24"/>
        </w:rPr>
        <w:t>on</w:t>
      </w:r>
      <w:r>
        <w:rPr>
          <w:i/>
          <w:color w:val="2C398A"/>
          <w:spacing w:val="-13"/>
          <w:sz w:val="24"/>
        </w:rPr>
        <w:t xml:space="preserve"> </w:t>
      </w:r>
      <w:r>
        <w:rPr>
          <w:i/>
          <w:color w:val="2C398A"/>
          <w:sz w:val="24"/>
        </w:rPr>
        <w:t>research</w:t>
      </w:r>
      <w:r>
        <w:rPr>
          <w:i/>
          <w:color w:val="2C398A"/>
          <w:spacing w:val="-10"/>
          <w:sz w:val="24"/>
        </w:rPr>
        <w:t xml:space="preserve"> </w:t>
      </w:r>
      <w:r>
        <w:rPr>
          <w:i/>
          <w:color w:val="2C398A"/>
          <w:sz w:val="24"/>
        </w:rPr>
        <w:t>and</w:t>
      </w:r>
      <w:r>
        <w:rPr>
          <w:i/>
          <w:color w:val="2C398A"/>
          <w:spacing w:val="-12"/>
          <w:sz w:val="24"/>
        </w:rPr>
        <w:t xml:space="preserve"> </w:t>
      </w:r>
      <w:r>
        <w:rPr>
          <w:i/>
          <w:color w:val="2C398A"/>
          <w:sz w:val="24"/>
        </w:rPr>
        <w:t>innovation,</w:t>
      </w:r>
      <w:r>
        <w:rPr>
          <w:i/>
          <w:color w:val="2C398A"/>
          <w:spacing w:val="-13"/>
          <w:sz w:val="24"/>
        </w:rPr>
        <w:t xml:space="preserve"> </w:t>
      </w:r>
      <w:r>
        <w:rPr>
          <w:i/>
          <w:color w:val="2C398A"/>
          <w:sz w:val="24"/>
        </w:rPr>
        <w:t>sustainable</w:t>
      </w:r>
      <w:r>
        <w:rPr>
          <w:i/>
          <w:color w:val="2C398A"/>
          <w:spacing w:val="-11"/>
          <w:sz w:val="24"/>
        </w:rPr>
        <w:t xml:space="preserve"> </w:t>
      </w:r>
      <w:r>
        <w:rPr>
          <w:i/>
          <w:color w:val="2C398A"/>
          <w:sz w:val="24"/>
        </w:rPr>
        <w:t>urban</w:t>
      </w:r>
      <w:r>
        <w:rPr>
          <w:i/>
          <w:color w:val="2C398A"/>
          <w:spacing w:val="-12"/>
          <w:sz w:val="24"/>
        </w:rPr>
        <w:t xml:space="preserve"> </w:t>
      </w:r>
      <w:r>
        <w:rPr>
          <w:i/>
          <w:color w:val="2C398A"/>
          <w:sz w:val="24"/>
        </w:rPr>
        <w:t>and</w:t>
      </w:r>
      <w:r>
        <w:rPr>
          <w:i/>
          <w:color w:val="2C398A"/>
          <w:spacing w:val="-13"/>
          <w:sz w:val="24"/>
        </w:rPr>
        <w:t xml:space="preserve"> </w:t>
      </w:r>
      <w:r>
        <w:rPr>
          <w:i/>
          <w:color w:val="2C398A"/>
          <w:sz w:val="24"/>
        </w:rPr>
        <w:t>railway</w:t>
      </w:r>
      <w:r>
        <w:rPr>
          <w:i/>
          <w:color w:val="2C398A"/>
          <w:spacing w:val="-57"/>
          <w:sz w:val="24"/>
        </w:rPr>
        <w:t xml:space="preserve"> </w:t>
      </w:r>
      <w:r>
        <w:rPr>
          <w:i/>
          <w:color w:val="2C398A"/>
          <w:sz w:val="24"/>
        </w:rPr>
        <w:t>transport,</w:t>
      </w:r>
      <w:r>
        <w:rPr>
          <w:i/>
          <w:color w:val="2C398A"/>
          <w:spacing w:val="-5"/>
          <w:sz w:val="24"/>
        </w:rPr>
        <w:t xml:space="preserve"> </w:t>
      </w:r>
      <w:r>
        <w:rPr>
          <w:i/>
          <w:color w:val="2C398A"/>
          <w:sz w:val="24"/>
        </w:rPr>
        <w:t>energy</w:t>
      </w:r>
      <w:r>
        <w:rPr>
          <w:i/>
          <w:color w:val="2C398A"/>
          <w:spacing w:val="-5"/>
          <w:sz w:val="24"/>
        </w:rPr>
        <w:t xml:space="preserve"> </w:t>
      </w:r>
      <w:r>
        <w:rPr>
          <w:i/>
          <w:color w:val="2C398A"/>
          <w:sz w:val="24"/>
        </w:rPr>
        <w:t>efficiency,</w:t>
      </w:r>
      <w:r>
        <w:rPr>
          <w:i/>
          <w:color w:val="2C398A"/>
          <w:spacing w:val="-4"/>
          <w:sz w:val="24"/>
        </w:rPr>
        <w:t xml:space="preserve"> </w:t>
      </w:r>
      <w:r>
        <w:rPr>
          <w:i/>
          <w:color w:val="2C398A"/>
          <w:sz w:val="24"/>
        </w:rPr>
        <w:t>renewables</w:t>
      </w:r>
      <w:r>
        <w:rPr>
          <w:i/>
          <w:color w:val="2C398A"/>
          <w:spacing w:val="-4"/>
          <w:sz w:val="24"/>
        </w:rPr>
        <w:t xml:space="preserve"> </w:t>
      </w:r>
      <w:r>
        <w:rPr>
          <w:i/>
          <w:color w:val="2C398A"/>
          <w:sz w:val="24"/>
        </w:rPr>
        <w:t>and</w:t>
      </w:r>
      <w:r>
        <w:rPr>
          <w:i/>
          <w:color w:val="2C398A"/>
          <w:spacing w:val="-2"/>
          <w:sz w:val="24"/>
        </w:rPr>
        <w:t xml:space="preserve"> </w:t>
      </w:r>
      <w:r>
        <w:rPr>
          <w:i/>
          <w:color w:val="2C398A"/>
          <w:sz w:val="24"/>
        </w:rPr>
        <w:t>environmental</w:t>
      </w:r>
      <w:r>
        <w:rPr>
          <w:i/>
          <w:color w:val="2C398A"/>
          <w:spacing w:val="-3"/>
          <w:sz w:val="24"/>
        </w:rPr>
        <w:t xml:space="preserve"> </w:t>
      </w:r>
      <w:r>
        <w:rPr>
          <w:i/>
          <w:color w:val="2C398A"/>
          <w:sz w:val="24"/>
        </w:rPr>
        <w:t>infrastructure,</w:t>
      </w:r>
      <w:r>
        <w:rPr>
          <w:i/>
          <w:color w:val="2C398A"/>
          <w:spacing w:val="-4"/>
          <w:sz w:val="24"/>
        </w:rPr>
        <w:t xml:space="preserve"> </w:t>
      </w:r>
      <w:r>
        <w:rPr>
          <w:i/>
          <w:color w:val="2C398A"/>
          <w:sz w:val="24"/>
        </w:rPr>
        <w:t>taking</w:t>
      </w:r>
      <w:r>
        <w:rPr>
          <w:i/>
          <w:color w:val="2C398A"/>
          <w:spacing w:val="-4"/>
          <w:sz w:val="24"/>
        </w:rPr>
        <w:t xml:space="preserve"> </w:t>
      </w:r>
      <w:r>
        <w:rPr>
          <w:i/>
          <w:color w:val="2C398A"/>
          <w:sz w:val="24"/>
        </w:rPr>
        <w:t>into</w:t>
      </w:r>
      <w:r>
        <w:rPr>
          <w:i/>
          <w:color w:val="2C398A"/>
          <w:spacing w:val="-5"/>
          <w:sz w:val="24"/>
        </w:rPr>
        <w:t xml:space="preserve"> </w:t>
      </w:r>
      <w:r>
        <w:rPr>
          <w:i/>
          <w:color w:val="2C398A"/>
          <w:sz w:val="24"/>
        </w:rPr>
        <w:t>account</w:t>
      </w:r>
      <w:r>
        <w:rPr>
          <w:i/>
          <w:color w:val="2C398A"/>
          <w:spacing w:val="-57"/>
          <w:sz w:val="24"/>
        </w:rPr>
        <w:t xml:space="preserve"> </w:t>
      </w:r>
      <w:r>
        <w:rPr>
          <w:i/>
          <w:color w:val="2C398A"/>
          <w:sz w:val="24"/>
        </w:rPr>
        <w:t>regional</w:t>
      </w:r>
      <w:r>
        <w:rPr>
          <w:i/>
          <w:color w:val="2C398A"/>
          <w:spacing w:val="1"/>
          <w:sz w:val="24"/>
        </w:rPr>
        <w:t xml:space="preserve"> </w:t>
      </w:r>
      <w:r>
        <w:rPr>
          <w:i/>
          <w:color w:val="2C398A"/>
          <w:sz w:val="24"/>
        </w:rPr>
        <w:t>disparities;</w:t>
      </w:r>
      <w:r>
        <w:rPr>
          <w:i/>
          <w:color w:val="2C398A"/>
          <w:spacing w:val="1"/>
          <w:sz w:val="24"/>
        </w:rPr>
        <w:t xml:space="preserve"> </w:t>
      </w:r>
      <w:r>
        <w:rPr>
          <w:i/>
          <w:color w:val="2C398A"/>
          <w:sz w:val="24"/>
        </w:rPr>
        <w:t>2019.CSR3.2.</w:t>
      </w:r>
      <w:r>
        <w:rPr>
          <w:i/>
          <w:color w:val="2C398A"/>
          <w:spacing w:val="1"/>
          <w:sz w:val="24"/>
        </w:rPr>
        <w:t xml:space="preserve"> </w:t>
      </w:r>
      <w:r>
        <w:rPr>
          <w:i/>
          <w:color w:val="2C398A"/>
          <w:sz w:val="24"/>
        </w:rPr>
        <w:t>Increase</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administration’s</w:t>
      </w:r>
      <w:r>
        <w:rPr>
          <w:i/>
          <w:color w:val="2C398A"/>
          <w:spacing w:val="1"/>
          <w:sz w:val="24"/>
        </w:rPr>
        <w:t xml:space="preserve"> </w:t>
      </w:r>
      <w:r>
        <w:rPr>
          <w:i/>
          <w:color w:val="2C398A"/>
          <w:sz w:val="24"/>
        </w:rPr>
        <w:t>capacity</w:t>
      </w:r>
      <w:r>
        <w:rPr>
          <w:i/>
          <w:color w:val="2C398A"/>
          <w:spacing w:val="1"/>
          <w:sz w:val="24"/>
        </w:rPr>
        <w:t xml:space="preserve"> </w:t>
      </w:r>
      <w:r>
        <w:rPr>
          <w:i/>
          <w:color w:val="2C398A"/>
          <w:sz w:val="24"/>
        </w:rPr>
        <w:t>to</w:t>
      </w:r>
      <w:r>
        <w:rPr>
          <w:i/>
          <w:color w:val="2C398A"/>
          <w:spacing w:val="1"/>
          <w:sz w:val="24"/>
        </w:rPr>
        <w:t xml:space="preserve"> </w:t>
      </w:r>
      <w:r>
        <w:rPr>
          <w:i/>
          <w:color w:val="2C398A"/>
          <w:sz w:val="24"/>
        </w:rPr>
        <w:t>design</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implement</w:t>
      </w:r>
      <w:r>
        <w:rPr>
          <w:i/>
          <w:color w:val="2C398A"/>
          <w:spacing w:val="1"/>
          <w:sz w:val="24"/>
        </w:rPr>
        <w:t xml:space="preserve"> </w:t>
      </w:r>
      <w:r>
        <w:rPr>
          <w:i/>
          <w:color w:val="2C398A"/>
          <w:sz w:val="24"/>
        </w:rPr>
        <w:t>public</w:t>
      </w:r>
      <w:r>
        <w:rPr>
          <w:i/>
          <w:color w:val="2C398A"/>
          <w:spacing w:val="1"/>
          <w:sz w:val="24"/>
        </w:rPr>
        <w:t xml:space="preserve"> </w:t>
      </w:r>
      <w:r>
        <w:rPr>
          <w:i/>
          <w:color w:val="2C398A"/>
          <w:sz w:val="24"/>
        </w:rPr>
        <w:t>projects</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policies;</w:t>
      </w:r>
      <w:r>
        <w:rPr>
          <w:i/>
          <w:color w:val="2C398A"/>
          <w:spacing w:val="1"/>
          <w:sz w:val="24"/>
        </w:rPr>
        <w:t xml:space="preserve"> </w:t>
      </w:r>
      <w:r>
        <w:rPr>
          <w:i/>
          <w:color w:val="2C398A"/>
          <w:sz w:val="24"/>
        </w:rPr>
        <w:t>2020.CSR2.3.</w:t>
      </w:r>
      <w:r>
        <w:rPr>
          <w:i/>
          <w:color w:val="2C398A"/>
          <w:spacing w:val="1"/>
          <w:sz w:val="24"/>
        </w:rPr>
        <w:t xml:space="preserve"> </w:t>
      </w:r>
      <w:r>
        <w:rPr>
          <w:i/>
          <w:color w:val="2C398A"/>
          <w:sz w:val="24"/>
        </w:rPr>
        <w:t>Promote</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acquisition</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skills;</w:t>
      </w:r>
      <w:r>
        <w:rPr>
          <w:i/>
          <w:color w:val="2C398A"/>
          <w:spacing w:val="-57"/>
          <w:sz w:val="24"/>
        </w:rPr>
        <w:t xml:space="preserve"> </w:t>
      </w:r>
      <w:r>
        <w:rPr>
          <w:i/>
          <w:color w:val="2C398A"/>
          <w:sz w:val="24"/>
        </w:rPr>
        <w:t>2020.CSR3.1.</w:t>
      </w:r>
      <w:r>
        <w:rPr>
          <w:i/>
          <w:color w:val="2C398A"/>
          <w:spacing w:val="-6"/>
          <w:sz w:val="24"/>
        </w:rPr>
        <w:t xml:space="preserve"> </w:t>
      </w:r>
      <w:r>
        <w:rPr>
          <w:i/>
          <w:color w:val="2C398A"/>
          <w:sz w:val="24"/>
        </w:rPr>
        <w:t>Front-load</w:t>
      </w:r>
      <w:r>
        <w:rPr>
          <w:i/>
          <w:color w:val="2C398A"/>
          <w:spacing w:val="-5"/>
          <w:sz w:val="24"/>
        </w:rPr>
        <w:t xml:space="preserve"> </w:t>
      </w:r>
      <w:r>
        <w:rPr>
          <w:i/>
          <w:color w:val="2C398A"/>
          <w:sz w:val="24"/>
        </w:rPr>
        <w:t>mature</w:t>
      </w:r>
      <w:r>
        <w:rPr>
          <w:i/>
          <w:color w:val="2C398A"/>
          <w:spacing w:val="-6"/>
          <w:sz w:val="24"/>
        </w:rPr>
        <w:t xml:space="preserve"> </w:t>
      </w:r>
      <w:r>
        <w:rPr>
          <w:i/>
          <w:color w:val="2C398A"/>
          <w:sz w:val="24"/>
        </w:rPr>
        <w:t>public</w:t>
      </w:r>
      <w:r>
        <w:rPr>
          <w:i/>
          <w:color w:val="2C398A"/>
          <w:spacing w:val="-7"/>
          <w:sz w:val="24"/>
        </w:rPr>
        <w:t xml:space="preserve"> </w:t>
      </w:r>
      <w:r>
        <w:rPr>
          <w:i/>
          <w:color w:val="2C398A"/>
          <w:sz w:val="24"/>
        </w:rPr>
        <w:t>investment</w:t>
      </w:r>
      <w:r>
        <w:rPr>
          <w:i/>
          <w:color w:val="2C398A"/>
          <w:spacing w:val="-5"/>
          <w:sz w:val="24"/>
        </w:rPr>
        <w:t xml:space="preserve"> </w:t>
      </w:r>
      <w:r>
        <w:rPr>
          <w:i/>
          <w:color w:val="2C398A"/>
          <w:sz w:val="24"/>
        </w:rPr>
        <w:t>projects</w:t>
      </w:r>
      <w:r>
        <w:rPr>
          <w:i/>
          <w:color w:val="2C398A"/>
          <w:spacing w:val="-5"/>
          <w:sz w:val="24"/>
        </w:rPr>
        <w:t xml:space="preserve"> </w:t>
      </w:r>
      <w:r>
        <w:rPr>
          <w:i/>
          <w:color w:val="2C398A"/>
          <w:sz w:val="24"/>
        </w:rPr>
        <w:t>and</w:t>
      </w:r>
      <w:r>
        <w:rPr>
          <w:i/>
          <w:color w:val="2C398A"/>
          <w:spacing w:val="-6"/>
          <w:sz w:val="24"/>
        </w:rPr>
        <w:t xml:space="preserve"> </w:t>
      </w:r>
      <w:r>
        <w:rPr>
          <w:i/>
          <w:color w:val="2C398A"/>
          <w:sz w:val="24"/>
        </w:rPr>
        <w:t>promote</w:t>
      </w:r>
      <w:r>
        <w:rPr>
          <w:i/>
          <w:color w:val="2C398A"/>
          <w:spacing w:val="-6"/>
          <w:sz w:val="24"/>
        </w:rPr>
        <w:t xml:space="preserve"> </w:t>
      </w:r>
      <w:r>
        <w:rPr>
          <w:i/>
          <w:color w:val="2C398A"/>
          <w:sz w:val="24"/>
        </w:rPr>
        <w:t>private</w:t>
      </w:r>
      <w:r>
        <w:rPr>
          <w:i/>
          <w:color w:val="2C398A"/>
          <w:spacing w:val="-6"/>
          <w:sz w:val="24"/>
        </w:rPr>
        <w:t xml:space="preserve"> </w:t>
      </w:r>
      <w:r>
        <w:rPr>
          <w:i/>
          <w:color w:val="2C398A"/>
          <w:sz w:val="24"/>
        </w:rPr>
        <w:t>investment</w:t>
      </w:r>
      <w:r>
        <w:rPr>
          <w:i/>
          <w:color w:val="2C398A"/>
          <w:spacing w:val="-4"/>
          <w:sz w:val="24"/>
        </w:rPr>
        <w:t xml:space="preserve"> </w:t>
      </w:r>
      <w:r>
        <w:rPr>
          <w:i/>
          <w:color w:val="2C398A"/>
          <w:sz w:val="24"/>
        </w:rPr>
        <w:t>to</w:t>
      </w:r>
      <w:r>
        <w:rPr>
          <w:i/>
          <w:color w:val="2C398A"/>
          <w:spacing w:val="-57"/>
          <w:sz w:val="24"/>
        </w:rPr>
        <w:t xml:space="preserve"> </w:t>
      </w:r>
      <w:r>
        <w:rPr>
          <w:i/>
          <w:color w:val="2C398A"/>
          <w:sz w:val="24"/>
        </w:rPr>
        <w:t>foster</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economic</w:t>
      </w:r>
      <w:r>
        <w:rPr>
          <w:i/>
          <w:color w:val="2C398A"/>
          <w:spacing w:val="1"/>
          <w:sz w:val="24"/>
        </w:rPr>
        <w:t xml:space="preserve"> </w:t>
      </w:r>
      <w:r>
        <w:rPr>
          <w:i/>
          <w:color w:val="2C398A"/>
          <w:sz w:val="24"/>
        </w:rPr>
        <w:t>recovery;</w:t>
      </w:r>
      <w:r>
        <w:rPr>
          <w:i/>
          <w:color w:val="2C398A"/>
          <w:spacing w:val="1"/>
          <w:sz w:val="24"/>
        </w:rPr>
        <w:t xml:space="preserve"> </w:t>
      </w:r>
      <w:r>
        <w:rPr>
          <w:i/>
          <w:color w:val="2C398A"/>
          <w:sz w:val="24"/>
        </w:rPr>
        <w:t>2020.CSR3.3.</w:t>
      </w:r>
      <w:r>
        <w:rPr>
          <w:i/>
          <w:color w:val="2C398A"/>
          <w:spacing w:val="1"/>
          <w:sz w:val="24"/>
        </w:rPr>
        <w:t xml:space="preserve"> </w:t>
      </w:r>
      <w:r>
        <w:rPr>
          <w:i/>
          <w:color w:val="2C398A"/>
          <w:sz w:val="24"/>
        </w:rPr>
        <w:t>Focus</w:t>
      </w:r>
      <w:r>
        <w:rPr>
          <w:i/>
          <w:color w:val="2C398A"/>
          <w:spacing w:val="1"/>
          <w:sz w:val="24"/>
        </w:rPr>
        <w:t xml:space="preserve"> </w:t>
      </w:r>
      <w:r>
        <w:rPr>
          <w:i/>
          <w:color w:val="2C398A"/>
          <w:sz w:val="24"/>
        </w:rPr>
        <w:t>investment</w:t>
      </w:r>
      <w:r>
        <w:rPr>
          <w:i/>
          <w:color w:val="2C398A"/>
          <w:spacing w:val="1"/>
          <w:sz w:val="24"/>
        </w:rPr>
        <w:t xml:space="preserve"> </w:t>
      </w:r>
      <w:r>
        <w:rPr>
          <w:i/>
          <w:color w:val="2C398A"/>
          <w:sz w:val="24"/>
        </w:rPr>
        <w:t>on</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green</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digital</w:t>
      </w:r>
      <w:r>
        <w:rPr>
          <w:i/>
          <w:color w:val="2C398A"/>
          <w:spacing w:val="1"/>
          <w:sz w:val="24"/>
        </w:rPr>
        <w:t xml:space="preserve"> </w:t>
      </w:r>
      <w:r>
        <w:rPr>
          <w:i/>
          <w:color w:val="2C398A"/>
          <w:sz w:val="24"/>
        </w:rPr>
        <w:t>transition; 2020.CSR4.1. Reinforce the capacity and efficiency of the public administration to</w:t>
      </w:r>
      <w:r>
        <w:rPr>
          <w:i/>
          <w:color w:val="2C398A"/>
          <w:spacing w:val="1"/>
          <w:sz w:val="24"/>
        </w:rPr>
        <w:t xml:space="preserve"> </w:t>
      </w:r>
      <w:r>
        <w:rPr>
          <w:i/>
          <w:color w:val="2C398A"/>
          <w:sz w:val="24"/>
        </w:rPr>
        <w:t>design</w:t>
      </w:r>
      <w:r>
        <w:rPr>
          <w:i/>
          <w:color w:val="2C398A"/>
          <w:spacing w:val="-1"/>
          <w:sz w:val="24"/>
        </w:rPr>
        <w:t xml:space="preserve"> </w:t>
      </w:r>
      <w:r>
        <w:rPr>
          <w:i/>
          <w:color w:val="2C398A"/>
          <w:sz w:val="24"/>
        </w:rPr>
        <w:t>and implement public</w:t>
      </w:r>
      <w:r>
        <w:rPr>
          <w:i/>
          <w:color w:val="2C398A"/>
          <w:spacing w:val="-1"/>
          <w:sz w:val="24"/>
        </w:rPr>
        <w:t xml:space="preserve"> </w:t>
      </w:r>
      <w:r>
        <w:rPr>
          <w:i/>
          <w:color w:val="2C398A"/>
          <w:sz w:val="24"/>
        </w:rPr>
        <w:t>projects and</w:t>
      </w:r>
      <w:r>
        <w:rPr>
          <w:i/>
          <w:color w:val="2C398A"/>
          <w:spacing w:val="-1"/>
          <w:sz w:val="24"/>
        </w:rPr>
        <w:t xml:space="preserve"> </w:t>
      </w:r>
      <w:r>
        <w:rPr>
          <w:i/>
          <w:color w:val="2C398A"/>
          <w:sz w:val="24"/>
        </w:rPr>
        <w:t>policies at central and local levels</w:t>
      </w:r>
    </w:p>
    <w:p w:rsidR="00A56FE9" w:rsidRDefault="00A56FE9">
      <w:pPr>
        <w:pStyle w:val="Tijeloteksta"/>
        <w:spacing w:before="3"/>
        <w:ind w:left="0"/>
        <w:jc w:val="left"/>
        <w:rPr>
          <w:i/>
          <w:sz w:val="21"/>
        </w:rPr>
      </w:pPr>
    </w:p>
    <w:p w:rsidR="00A56FE9" w:rsidRDefault="00000000">
      <w:pPr>
        <w:pStyle w:val="Naslov5"/>
        <w:spacing w:before="1"/>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330602848"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544204781" name="Rectangle 275"/>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BA164E1" id="Group 274"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">
                <v:rect id="Rectangle 275"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" fillcolor="#2c398a" stroked="f"/>
                <w10:anchorlock/>
              </v:group>
            </w:pict>
          </mc:Fallback>
        </mc:AlternateContent>
      </w:r>
    </w:p>
    <w:p w:rsidR="00A56FE9" w:rsidRDefault="00000000">
      <w:pPr>
        <w:pStyle w:val="Tijeloteksta"/>
        <w:spacing w:before="154"/>
        <w:ind w:right="274"/>
      </w:pPr>
      <w:r>
        <w:t>To help the tourism and hospitality sector cope with the consequences of the crisis caused by</w:t>
      </w:r>
      <w:r>
        <w:rPr>
          <w:spacing w:val="1"/>
        </w:rPr>
        <w:t xml:space="preserve"> </w:t>
      </w:r>
      <w:r>
        <w:t>the COVID-19 pandemic, a number of measures and activities have been taken, aimed at</w:t>
      </w:r>
      <w:r>
        <w:rPr>
          <w:spacing w:val="1"/>
        </w:rPr>
        <w:t xml:space="preserve"> </w:t>
      </w:r>
      <w:r>
        <w:t>strengthening</w:t>
      </w:r>
      <w:r>
        <w:rPr>
          <w:spacing w:val="1"/>
        </w:rPr>
        <w:t xml:space="preserve"> </w:t>
      </w:r>
      <w:r>
        <w:t>the</w:t>
      </w:r>
      <w:r>
        <w:rPr>
          <w:spacing w:val="1"/>
        </w:rPr>
        <w:t xml:space="preserve"> </w:t>
      </w:r>
      <w:r>
        <w:t>sector</w:t>
      </w:r>
      <w:r>
        <w:rPr>
          <w:spacing w:val="1"/>
        </w:rPr>
        <w:t xml:space="preserve"> </w:t>
      </w:r>
      <w:r>
        <w:t>and</w:t>
      </w:r>
      <w:r>
        <w:rPr>
          <w:spacing w:val="1"/>
        </w:rPr>
        <w:t xml:space="preserve"> </w:t>
      </w:r>
      <w:r>
        <w:t>strengthening</w:t>
      </w:r>
      <w:r>
        <w:rPr>
          <w:spacing w:val="1"/>
        </w:rPr>
        <w:t xml:space="preserve"> </w:t>
      </w:r>
      <w:r>
        <w:t>its</w:t>
      </w:r>
      <w:r>
        <w:rPr>
          <w:spacing w:val="1"/>
        </w:rPr>
        <w:t xml:space="preserve"> </w:t>
      </w:r>
      <w:r>
        <w:t>resilience.</w:t>
      </w:r>
      <w:r>
        <w:rPr>
          <w:spacing w:val="1"/>
        </w:rPr>
        <w:t xml:space="preserve"> </w:t>
      </w:r>
      <w:r>
        <w:t>In</w:t>
      </w:r>
      <w:r>
        <w:rPr>
          <w:spacing w:val="1"/>
        </w:rPr>
        <w:t xml:space="preserve"> </w:t>
      </w:r>
      <w:r>
        <w:t>March</w:t>
      </w:r>
      <w:r>
        <w:rPr>
          <w:spacing w:val="1"/>
        </w:rPr>
        <w:t xml:space="preserve"> </w:t>
      </w:r>
      <w:r>
        <w:t>2021,</w:t>
      </w:r>
      <w:r>
        <w:rPr>
          <w:spacing w:val="1"/>
        </w:rPr>
        <w:t xml:space="preserve"> </w:t>
      </w:r>
      <w:r>
        <w:t>commenced</w:t>
      </w:r>
      <w:r>
        <w:rPr>
          <w:spacing w:val="1"/>
        </w:rPr>
        <w:t xml:space="preserve"> </w:t>
      </w:r>
      <w:r>
        <w:t>implementation of the Program for Granting Assistance to Tourism and Sports in the Current</w:t>
      </w:r>
      <w:r>
        <w:rPr>
          <w:spacing w:val="1"/>
        </w:rPr>
        <w:t xml:space="preserve"> </w:t>
      </w:r>
      <w:r>
        <w:t>COVID-19 Pandemic amounting to a total value of HRK 1.5 billion, with the aim of ensuring</w:t>
      </w:r>
      <w:r>
        <w:rPr>
          <w:spacing w:val="1"/>
        </w:rPr>
        <w:t xml:space="preserve"> </w:t>
      </w:r>
      <w:r>
        <w:t>access to financing liquidity for small, medium-sized and large enterprises in the tourism and</w:t>
      </w:r>
      <w:r>
        <w:rPr>
          <w:spacing w:val="1"/>
        </w:rPr>
        <w:t xml:space="preserve"> </w:t>
      </w:r>
      <w:r>
        <w:t>sports</w:t>
      </w:r>
      <w:r>
        <w:rPr>
          <w:spacing w:val="-1"/>
        </w:rPr>
        <w:t xml:space="preserve"> </w:t>
      </w:r>
      <w:r>
        <w:t>sectors by</w:t>
      </w:r>
      <w:r>
        <w:rPr>
          <w:spacing w:val="-5"/>
        </w:rPr>
        <w:t xml:space="preserve"> </w:t>
      </w:r>
      <w:r>
        <w:t>issuing state</w:t>
      </w:r>
      <w:r>
        <w:rPr>
          <w:spacing w:val="-1"/>
        </w:rPr>
        <w:t xml:space="preserve"> </w:t>
      </w:r>
      <w:r>
        <w:t>guarantees.</w:t>
      </w:r>
    </w:p>
    <w:p w:rsidR="00A56FE9" w:rsidRDefault="00000000">
      <w:pPr>
        <w:pStyle w:val="Tijeloteksta"/>
        <w:spacing w:before="121"/>
        <w:ind w:right="279"/>
      </w:pPr>
      <w:r>
        <w:t>The Small Value Aid Program to Help Affected Activities in the Transport Sector, Tourism</w:t>
      </w:r>
      <w:r>
        <w:rPr>
          <w:spacing w:val="1"/>
        </w:rPr>
        <w:t xml:space="preserve"> </w:t>
      </w:r>
      <w:r>
        <w:t>Sector</w:t>
      </w:r>
      <w:r>
        <w:rPr>
          <w:spacing w:val="1"/>
        </w:rPr>
        <w:t xml:space="preserve"> </w:t>
      </w:r>
      <w:r>
        <w:t>and</w:t>
      </w:r>
      <w:r>
        <w:rPr>
          <w:spacing w:val="1"/>
        </w:rPr>
        <w:t xml:space="preserve"> </w:t>
      </w:r>
      <w:r>
        <w:t>the</w:t>
      </w:r>
      <w:r>
        <w:rPr>
          <w:spacing w:val="1"/>
        </w:rPr>
        <w:t xml:space="preserve"> </w:t>
      </w:r>
      <w:r>
        <w:t>Cultural</w:t>
      </w:r>
      <w:r>
        <w:rPr>
          <w:spacing w:val="1"/>
        </w:rPr>
        <w:t xml:space="preserve"> </w:t>
      </w:r>
      <w:r>
        <w:t>and</w:t>
      </w:r>
      <w:r>
        <w:rPr>
          <w:spacing w:val="1"/>
        </w:rPr>
        <w:t xml:space="preserve"> </w:t>
      </w:r>
      <w:r>
        <w:t>Artistic</w:t>
      </w:r>
      <w:r>
        <w:rPr>
          <w:spacing w:val="1"/>
        </w:rPr>
        <w:t xml:space="preserve"> </w:t>
      </w:r>
      <w:r>
        <w:t>Events</w:t>
      </w:r>
      <w:r>
        <w:rPr>
          <w:spacing w:val="1"/>
        </w:rPr>
        <w:t xml:space="preserve"> </w:t>
      </w:r>
      <w:r>
        <w:t>Industry</w:t>
      </w:r>
      <w:r>
        <w:rPr>
          <w:spacing w:val="1"/>
        </w:rPr>
        <w:t xml:space="preserve"> </w:t>
      </w:r>
      <w:r>
        <w:t>to</w:t>
      </w:r>
      <w:r>
        <w:rPr>
          <w:spacing w:val="1"/>
        </w:rPr>
        <w:t xml:space="preserve"> </w:t>
      </w:r>
      <w:r>
        <w:t>Launch</w:t>
      </w:r>
      <w:r>
        <w:rPr>
          <w:spacing w:val="1"/>
        </w:rPr>
        <w:t xml:space="preserve"> </w:t>
      </w:r>
      <w:r>
        <w:t>and</w:t>
      </w:r>
      <w:r>
        <w:rPr>
          <w:spacing w:val="1"/>
        </w:rPr>
        <w:t xml:space="preserve"> </w:t>
      </w:r>
      <w:r>
        <w:t>Normalize</w:t>
      </w:r>
      <w:r>
        <w:rPr>
          <w:spacing w:val="1"/>
        </w:rPr>
        <w:t xml:space="preserve"> </w:t>
      </w:r>
      <w:r>
        <w:t>Current</w:t>
      </w:r>
      <w:r>
        <w:rPr>
          <w:spacing w:val="1"/>
        </w:rPr>
        <w:t xml:space="preserve"> </w:t>
      </w:r>
      <w:r>
        <w:t>Operations</w:t>
      </w:r>
      <w:r>
        <w:rPr>
          <w:spacing w:val="1"/>
        </w:rPr>
        <w:t xml:space="preserve"> </w:t>
      </w:r>
      <w:r>
        <w:t>Due</w:t>
      </w:r>
      <w:r>
        <w:rPr>
          <w:spacing w:val="1"/>
        </w:rPr>
        <w:t xml:space="preserve"> </w:t>
      </w:r>
      <w:r>
        <w:t>to</w:t>
      </w:r>
      <w:r>
        <w:rPr>
          <w:spacing w:val="1"/>
        </w:rPr>
        <w:t xml:space="preserve"> </w:t>
      </w:r>
      <w:r>
        <w:t>the</w:t>
      </w:r>
      <w:r>
        <w:rPr>
          <w:spacing w:val="1"/>
        </w:rPr>
        <w:t xml:space="preserve"> </w:t>
      </w:r>
      <w:r>
        <w:t>Current</w:t>
      </w:r>
      <w:r>
        <w:rPr>
          <w:spacing w:val="1"/>
        </w:rPr>
        <w:t xml:space="preserve"> </w:t>
      </w:r>
      <w:r>
        <w:t>COVID-19</w:t>
      </w:r>
      <w:r>
        <w:rPr>
          <w:spacing w:val="1"/>
        </w:rPr>
        <w:t xml:space="preserve"> </w:t>
      </w:r>
      <w:r>
        <w:t>Pandemic</w:t>
      </w:r>
      <w:r>
        <w:rPr>
          <w:spacing w:val="1"/>
        </w:rPr>
        <w:t xml:space="preserve"> </w:t>
      </w:r>
      <w:r>
        <w:t>ensured</w:t>
      </w:r>
      <w:r>
        <w:rPr>
          <w:spacing w:val="1"/>
        </w:rPr>
        <w:t xml:space="preserve"> </w:t>
      </w:r>
      <w:r>
        <w:t>travel</w:t>
      </w:r>
      <w:r>
        <w:rPr>
          <w:spacing w:val="1"/>
        </w:rPr>
        <w:t xml:space="preserve"> </w:t>
      </w:r>
      <w:r>
        <w:t>agencies</w:t>
      </w:r>
      <w:r>
        <w:rPr>
          <w:spacing w:val="1"/>
        </w:rPr>
        <w:t xml:space="preserve"> </w:t>
      </w:r>
      <w:r>
        <w:t>and</w:t>
      </w:r>
      <w:r>
        <w:rPr>
          <w:spacing w:val="1"/>
        </w:rPr>
        <w:t xml:space="preserve"> </w:t>
      </w:r>
      <w:r>
        <w:t>travel</w:t>
      </w:r>
      <w:r>
        <w:rPr>
          <w:spacing w:val="-57"/>
        </w:rPr>
        <w:t xml:space="preserve"> </w:t>
      </w:r>
      <w:r>
        <w:t>organisers</w:t>
      </w:r>
      <w:r>
        <w:rPr>
          <w:spacing w:val="-1"/>
        </w:rPr>
        <w:t xml:space="preserve"> </w:t>
      </w:r>
      <w:r>
        <w:t>a</w:t>
      </w:r>
      <w:r>
        <w:rPr>
          <w:spacing w:val="-1"/>
        </w:rPr>
        <w:t xml:space="preserve"> </w:t>
      </w:r>
      <w:r>
        <w:t>total of HRK 16.54 million through</w:t>
      </w:r>
      <w:r>
        <w:rPr>
          <w:spacing w:val="-1"/>
        </w:rPr>
        <w:t xml:space="preserve"> </w:t>
      </w:r>
      <w:r>
        <w:t>342</w:t>
      </w:r>
      <w:r>
        <w:rPr>
          <w:spacing w:val="2"/>
        </w:rPr>
        <w:t xml:space="preserve"> </w:t>
      </w:r>
      <w:r>
        <w:t>assistance</w:t>
      </w:r>
      <w:r>
        <w:rPr>
          <w:spacing w:val="-1"/>
        </w:rPr>
        <w:t xml:space="preserve"> </w:t>
      </w:r>
      <w:r>
        <w:t>packages.</w:t>
      </w:r>
    </w:p>
    <w:p w:rsidR="00A56FE9" w:rsidRDefault="00000000">
      <w:pPr>
        <w:pStyle w:val="Tijeloteksta"/>
        <w:spacing w:before="120"/>
        <w:ind w:right="278"/>
      </w:pPr>
      <w:r>
        <w:t>In</w:t>
      </w:r>
      <w:r>
        <w:rPr>
          <w:spacing w:val="1"/>
        </w:rPr>
        <w:t xml:space="preserve"> </w:t>
      </w:r>
      <w:r>
        <w:t>2021,</w:t>
      </w:r>
      <w:r>
        <w:rPr>
          <w:spacing w:val="1"/>
        </w:rPr>
        <w:t xml:space="preserve"> </w:t>
      </w:r>
      <w:r>
        <w:t>the</w:t>
      </w:r>
      <w:r>
        <w:rPr>
          <w:spacing w:val="1"/>
        </w:rPr>
        <w:t xml:space="preserve"> </w:t>
      </w:r>
      <w:r>
        <w:t>implementation</w:t>
      </w:r>
      <w:r>
        <w:rPr>
          <w:spacing w:val="1"/>
        </w:rPr>
        <w:t xml:space="preserve"> </w:t>
      </w:r>
      <w:r>
        <w:t>of</w:t>
      </w:r>
      <w:r>
        <w:rPr>
          <w:spacing w:val="1"/>
        </w:rPr>
        <w:t xml:space="preserve"> </w:t>
      </w:r>
      <w:r>
        <w:t>the</w:t>
      </w:r>
      <w:r>
        <w:rPr>
          <w:spacing w:val="1"/>
        </w:rPr>
        <w:t xml:space="preserve"> </w:t>
      </w:r>
      <w:r>
        <w:t>public</w:t>
      </w:r>
      <w:r>
        <w:rPr>
          <w:spacing w:val="1"/>
        </w:rPr>
        <w:t xml:space="preserve"> </w:t>
      </w:r>
      <w:r>
        <w:t>call</w:t>
      </w:r>
      <w:r>
        <w:rPr>
          <w:spacing w:val="1"/>
        </w:rPr>
        <w:t xml:space="preserve"> </w:t>
      </w:r>
      <w:r>
        <w:t>for</w:t>
      </w:r>
      <w:r>
        <w:rPr>
          <w:spacing w:val="1"/>
        </w:rPr>
        <w:t xml:space="preserve"> </w:t>
      </w:r>
      <w:r>
        <w:t>investments</w:t>
      </w:r>
      <w:r>
        <w:rPr>
          <w:spacing w:val="1"/>
        </w:rPr>
        <w:t xml:space="preserve"> </w:t>
      </w:r>
      <w:r>
        <w:t>in</w:t>
      </w:r>
      <w:r>
        <w:rPr>
          <w:spacing w:val="1"/>
        </w:rPr>
        <w:t xml:space="preserve"> </w:t>
      </w:r>
      <w:r>
        <w:t>continental</w:t>
      </w:r>
      <w:r>
        <w:rPr>
          <w:spacing w:val="1"/>
        </w:rPr>
        <w:t xml:space="preserve"> </w:t>
      </w:r>
      <w:r>
        <w:t>tourism</w:t>
      </w:r>
      <w:r>
        <w:rPr>
          <w:spacing w:val="1"/>
        </w:rPr>
        <w:t xml:space="preserve"> </w:t>
      </w:r>
      <w:r>
        <w:t>infrastructure contributed to the development of a special form of tourism (cycling tourism) in</w:t>
      </w:r>
      <w:r>
        <w:rPr>
          <w:spacing w:val="-57"/>
        </w:rPr>
        <w:t xml:space="preserve"> </w:t>
      </w:r>
      <w:r>
        <w:t>the</w:t>
      </w:r>
      <w:r>
        <w:rPr>
          <w:spacing w:val="1"/>
        </w:rPr>
        <w:t xml:space="preserve"> </w:t>
      </w:r>
      <w:r>
        <w:t>Croatian</w:t>
      </w:r>
      <w:r>
        <w:rPr>
          <w:spacing w:val="1"/>
        </w:rPr>
        <w:t xml:space="preserve"> </w:t>
      </w:r>
      <w:r>
        <w:t>inland</w:t>
      </w:r>
      <w:r>
        <w:rPr>
          <w:spacing w:val="1"/>
        </w:rPr>
        <w:t xml:space="preserve"> </w:t>
      </w:r>
      <w:r>
        <w:t>(hinterland),</w:t>
      </w:r>
      <w:r>
        <w:rPr>
          <w:spacing w:val="1"/>
        </w:rPr>
        <w:t xml:space="preserve"> </w:t>
      </w:r>
      <w:r>
        <w:t>improving</w:t>
      </w:r>
      <w:r>
        <w:rPr>
          <w:spacing w:val="1"/>
        </w:rPr>
        <w:t xml:space="preserve"> </w:t>
      </w:r>
      <w:r>
        <w:t>the</w:t>
      </w:r>
      <w:r>
        <w:rPr>
          <w:spacing w:val="1"/>
        </w:rPr>
        <w:t xml:space="preserve"> </w:t>
      </w:r>
      <w:r>
        <w:t>quality</w:t>
      </w:r>
      <w:r>
        <w:rPr>
          <w:spacing w:val="1"/>
        </w:rPr>
        <w:t xml:space="preserve"> </w:t>
      </w:r>
      <w:r>
        <w:t>and</w:t>
      </w:r>
      <w:r>
        <w:rPr>
          <w:spacing w:val="1"/>
        </w:rPr>
        <w:t xml:space="preserve"> </w:t>
      </w:r>
      <w:r>
        <w:t>content</w:t>
      </w:r>
      <w:r>
        <w:rPr>
          <w:spacing w:val="1"/>
        </w:rPr>
        <w:t xml:space="preserve"> </w:t>
      </w:r>
      <w:r>
        <w:t>of</w:t>
      </w:r>
      <w:r>
        <w:rPr>
          <w:spacing w:val="1"/>
        </w:rPr>
        <w:t xml:space="preserve"> </w:t>
      </w:r>
      <w:r>
        <w:t>tourism</w:t>
      </w:r>
      <w:r>
        <w:rPr>
          <w:spacing w:val="1"/>
        </w:rPr>
        <w:t xml:space="preserve"> </w:t>
      </w:r>
      <w:r>
        <w:t>products,</w:t>
      </w:r>
      <w:r>
        <w:rPr>
          <w:spacing w:val="-57"/>
        </w:rPr>
        <w:t xml:space="preserve"> </w:t>
      </w:r>
      <w:r>
        <w:t>developing tourism infrastructure, better valorisation of resources, and creating new motives</w:t>
      </w:r>
      <w:r>
        <w:rPr>
          <w:spacing w:val="1"/>
        </w:rPr>
        <w:t xml:space="preserve"> </w:t>
      </w:r>
      <w:r>
        <w:t>for arrivals as well as more uniform spatial distribution of demand. In all, 14 projects with a</w:t>
      </w:r>
      <w:r>
        <w:rPr>
          <w:spacing w:val="1"/>
        </w:rPr>
        <w:t xml:space="preserve"> </w:t>
      </w:r>
      <w:r>
        <w:t>total</w:t>
      </w:r>
      <w:r>
        <w:rPr>
          <w:spacing w:val="-1"/>
        </w:rPr>
        <w:t xml:space="preserve"> </w:t>
      </w:r>
      <w:r>
        <w:t>value</w:t>
      </w:r>
      <w:r>
        <w:rPr>
          <w:spacing w:val="-1"/>
        </w:rPr>
        <w:t xml:space="preserve"> </w:t>
      </w:r>
      <w:r>
        <w:t>of HRK 3.37</w:t>
      </w:r>
      <w:r>
        <w:rPr>
          <w:spacing w:val="1"/>
        </w:rPr>
        <w:t xml:space="preserve"> </w:t>
      </w:r>
      <w:r>
        <w:t>million were</w:t>
      </w:r>
      <w:r>
        <w:rPr>
          <w:spacing w:val="-2"/>
        </w:rPr>
        <w:t xml:space="preserve"> </w:t>
      </w:r>
      <w:r>
        <w:t>financed.</w:t>
      </w:r>
    </w:p>
    <w:p w:rsidR="00A56FE9" w:rsidRDefault="00000000">
      <w:pPr>
        <w:pStyle w:val="Tijeloteksta"/>
        <w:spacing w:before="120"/>
        <w:ind w:right="276"/>
      </w:pPr>
      <w:r>
        <w:t xml:space="preserve">Moreover, the project </w:t>
      </w:r>
      <w:r>
        <w:rPr>
          <w:i/>
        </w:rPr>
        <w:t xml:space="preserve">Safe Stay in Croatia </w:t>
      </w:r>
      <w:r>
        <w:t>was initiated with the goal of informing and</w:t>
      </w:r>
      <w:r>
        <w:rPr>
          <w:spacing w:val="1"/>
        </w:rPr>
        <w:t xml:space="preserve"> </w:t>
      </w:r>
      <w:r>
        <w:t>familiarising</w:t>
      </w:r>
      <w:r>
        <w:rPr>
          <w:spacing w:val="-13"/>
        </w:rPr>
        <w:t xml:space="preserve"> </w:t>
      </w:r>
      <w:r>
        <w:t>visitors</w:t>
      </w:r>
      <w:r>
        <w:rPr>
          <w:spacing w:val="-9"/>
        </w:rPr>
        <w:t xml:space="preserve"> </w:t>
      </w:r>
      <w:r>
        <w:t>and</w:t>
      </w:r>
      <w:r>
        <w:rPr>
          <w:spacing w:val="-9"/>
        </w:rPr>
        <w:t xml:space="preserve"> </w:t>
      </w:r>
      <w:r>
        <w:t>stakeholders</w:t>
      </w:r>
      <w:r>
        <w:rPr>
          <w:spacing w:val="-11"/>
        </w:rPr>
        <w:t xml:space="preserve"> </w:t>
      </w:r>
      <w:r>
        <w:t>in</w:t>
      </w:r>
      <w:r>
        <w:rPr>
          <w:spacing w:val="-11"/>
        </w:rPr>
        <w:t xml:space="preserve"> </w:t>
      </w:r>
      <w:r>
        <w:t>tourism</w:t>
      </w:r>
      <w:r>
        <w:rPr>
          <w:spacing w:val="-8"/>
        </w:rPr>
        <w:t xml:space="preserve"> </w:t>
      </w:r>
      <w:r>
        <w:t>with</w:t>
      </w:r>
      <w:r>
        <w:rPr>
          <w:spacing w:val="-11"/>
        </w:rPr>
        <w:t xml:space="preserve"> </w:t>
      </w:r>
      <w:r>
        <w:t>the</w:t>
      </w:r>
      <w:r>
        <w:rPr>
          <w:spacing w:val="-12"/>
        </w:rPr>
        <w:t xml:space="preserve"> </w:t>
      </w:r>
      <w:r>
        <w:t>protocols</w:t>
      </w:r>
      <w:r>
        <w:rPr>
          <w:spacing w:val="-8"/>
        </w:rPr>
        <w:t xml:space="preserve"> </w:t>
      </w:r>
      <w:r>
        <w:t>and</w:t>
      </w:r>
      <w:r>
        <w:rPr>
          <w:spacing w:val="-11"/>
        </w:rPr>
        <w:t xml:space="preserve"> </w:t>
      </w:r>
      <w:r>
        <w:t>measures</w:t>
      </w:r>
      <w:r>
        <w:rPr>
          <w:spacing w:val="-10"/>
        </w:rPr>
        <w:t xml:space="preserve"> </w:t>
      </w:r>
      <w:r>
        <w:t>implemented</w:t>
      </w:r>
      <w:r>
        <w:rPr>
          <w:spacing w:val="-58"/>
        </w:rPr>
        <w:t xml:space="preserve"> </w:t>
      </w:r>
      <w:r>
        <w:t>in Croatia at all levels of tourism sector activities. In 2021, a total of HRK 20 million was</w:t>
      </w:r>
      <w:r>
        <w:rPr>
          <w:spacing w:val="1"/>
        </w:rPr>
        <w:t xml:space="preserve"> </w:t>
      </w:r>
      <w:r>
        <w:t>secured</w:t>
      </w:r>
      <w:r>
        <w:rPr>
          <w:spacing w:val="-13"/>
        </w:rPr>
        <w:t xml:space="preserve"> </w:t>
      </w:r>
      <w:r>
        <w:t>from</w:t>
      </w:r>
      <w:r>
        <w:rPr>
          <w:spacing w:val="-14"/>
        </w:rPr>
        <w:t xml:space="preserve"> </w:t>
      </w:r>
      <w:r>
        <w:t>the</w:t>
      </w:r>
      <w:r>
        <w:rPr>
          <w:spacing w:val="-14"/>
        </w:rPr>
        <w:t xml:space="preserve"> </w:t>
      </w:r>
      <w:r>
        <w:t>state</w:t>
      </w:r>
      <w:r>
        <w:rPr>
          <w:spacing w:val="-14"/>
        </w:rPr>
        <w:t xml:space="preserve"> </w:t>
      </w:r>
      <w:r>
        <w:t>budget</w:t>
      </w:r>
      <w:r>
        <w:rPr>
          <w:spacing w:val="-13"/>
        </w:rPr>
        <w:t xml:space="preserve"> </w:t>
      </w:r>
      <w:r>
        <w:t>for</w:t>
      </w:r>
      <w:r>
        <w:rPr>
          <w:spacing w:val="-14"/>
        </w:rPr>
        <w:t xml:space="preserve"> </w:t>
      </w:r>
      <w:r>
        <w:t>the</w:t>
      </w:r>
      <w:r>
        <w:rPr>
          <w:spacing w:val="-14"/>
        </w:rPr>
        <w:t xml:space="preserve"> </w:t>
      </w:r>
      <w:r>
        <w:t>procurement</w:t>
      </w:r>
      <w:r>
        <w:rPr>
          <w:spacing w:val="-11"/>
        </w:rPr>
        <w:t xml:space="preserve"> </w:t>
      </w:r>
      <w:r>
        <w:t>of</w:t>
      </w:r>
      <w:r>
        <w:rPr>
          <w:spacing w:val="-14"/>
        </w:rPr>
        <w:t xml:space="preserve"> </w:t>
      </w:r>
      <w:r>
        <w:t>rapid</w:t>
      </w:r>
      <w:r>
        <w:rPr>
          <w:spacing w:val="-13"/>
        </w:rPr>
        <w:t xml:space="preserve"> </w:t>
      </w:r>
      <w:r>
        <w:t>antigen</w:t>
      </w:r>
      <w:r>
        <w:rPr>
          <w:spacing w:val="-13"/>
        </w:rPr>
        <w:t xml:space="preserve"> </w:t>
      </w:r>
      <w:r>
        <w:t>tests</w:t>
      </w:r>
      <w:r>
        <w:rPr>
          <w:spacing w:val="-13"/>
        </w:rPr>
        <w:t xml:space="preserve"> </w:t>
      </w:r>
      <w:r>
        <w:t>for</w:t>
      </w:r>
      <w:r>
        <w:rPr>
          <w:spacing w:val="-14"/>
        </w:rPr>
        <w:t xml:space="preserve"> </w:t>
      </w:r>
      <w:r>
        <w:t>tourists</w:t>
      </w:r>
      <w:r>
        <w:rPr>
          <w:spacing w:val="-13"/>
        </w:rPr>
        <w:t xml:space="preserve"> </w:t>
      </w:r>
      <w:r>
        <w:t>who</w:t>
      </w:r>
      <w:r>
        <w:rPr>
          <w:spacing w:val="-14"/>
        </w:rPr>
        <w:t xml:space="preserve"> </w:t>
      </w:r>
      <w:r>
        <w:t>planned</w:t>
      </w:r>
      <w:r>
        <w:rPr>
          <w:spacing w:val="-58"/>
        </w:rPr>
        <w:t xml:space="preserve"> </w:t>
      </w:r>
      <w:r>
        <w:t>to</w:t>
      </w:r>
      <w:r>
        <w:rPr>
          <w:spacing w:val="-3"/>
        </w:rPr>
        <w:t xml:space="preserve"> </w:t>
      </w:r>
      <w:r>
        <w:t>stay</w:t>
      </w:r>
      <w:r>
        <w:rPr>
          <w:spacing w:val="-8"/>
        </w:rPr>
        <w:t xml:space="preserve"> </w:t>
      </w:r>
      <w:r>
        <w:t>in</w:t>
      </w:r>
      <w:r>
        <w:rPr>
          <w:spacing w:val="-2"/>
        </w:rPr>
        <w:t xml:space="preserve"> </w:t>
      </w:r>
      <w:r>
        <w:t>Croatia</w:t>
      </w:r>
      <w:r>
        <w:rPr>
          <w:spacing w:val="-3"/>
        </w:rPr>
        <w:t xml:space="preserve"> </w:t>
      </w:r>
      <w:r>
        <w:t>for</w:t>
      </w:r>
      <w:r>
        <w:rPr>
          <w:spacing w:val="-4"/>
        </w:rPr>
        <w:t xml:space="preserve"> </w:t>
      </w:r>
      <w:r>
        <w:t>a</w:t>
      </w:r>
      <w:r>
        <w:rPr>
          <w:spacing w:val="-4"/>
        </w:rPr>
        <w:t xml:space="preserve"> </w:t>
      </w:r>
      <w:r>
        <w:t>number</w:t>
      </w:r>
      <w:r>
        <w:rPr>
          <w:spacing w:val="-4"/>
        </w:rPr>
        <w:t xml:space="preserve"> </w:t>
      </w:r>
      <w:r>
        <w:t>of</w:t>
      </w:r>
      <w:r>
        <w:rPr>
          <w:spacing w:val="-4"/>
        </w:rPr>
        <w:t xml:space="preserve"> </w:t>
      </w:r>
      <w:r>
        <w:t>days,</w:t>
      </w:r>
      <w:r>
        <w:rPr>
          <w:spacing w:val="-4"/>
        </w:rPr>
        <w:t xml:space="preserve"> </w:t>
      </w:r>
      <w:r>
        <w:t>thus</w:t>
      </w:r>
      <w:r>
        <w:rPr>
          <w:spacing w:val="-2"/>
        </w:rPr>
        <w:t xml:space="preserve"> </w:t>
      </w:r>
      <w:r>
        <w:t>protecting</w:t>
      </w:r>
      <w:r>
        <w:rPr>
          <w:spacing w:val="-5"/>
        </w:rPr>
        <w:t xml:space="preserve"> </w:t>
      </w:r>
      <w:r>
        <w:t>the</w:t>
      </w:r>
      <w:r>
        <w:rPr>
          <w:spacing w:val="-3"/>
        </w:rPr>
        <w:t xml:space="preserve"> </w:t>
      </w:r>
      <w:r>
        <w:t>safety</w:t>
      </w:r>
      <w:r>
        <w:rPr>
          <w:spacing w:val="-8"/>
        </w:rPr>
        <w:t xml:space="preserve"> </w:t>
      </w:r>
      <w:r>
        <w:t>of</w:t>
      </w:r>
      <w:r>
        <w:rPr>
          <w:spacing w:val="-4"/>
        </w:rPr>
        <w:t xml:space="preserve"> </w:t>
      </w:r>
      <w:r>
        <w:t>tourists and</w:t>
      </w:r>
      <w:r>
        <w:rPr>
          <w:spacing w:val="-3"/>
        </w:rPr>
        <w:t xml:space="preserve"> </w:t>
      </w:r>
      <w:r>
        <w:t>preventing</w:t>
      </w:r>
      <w:r>
        <w:rPr>
          <w:spacing w:val="-6"/>
        </w:rPr>
        <w:t xml:space="preserve"> </w:t>
      </w:r>
      <w:r>
        <w:t>the</w:t>
      </w:r>
      <w:r>
        <w:rPr>
          <w:spacing w:val="-57"/>
        </w:rPr>
        <w:t xml:space="preserve"> </w:t>
      </w:r>
      <w:r>
        <w:t>spread</w:t>
      </w:r>
      <w:r>
        <w:rPr>
          <w:spacing w:val="-1"/>
        </w:rPr>
        <w:t xml:space="preserve"> </w:t>
      </w:r>
      <w:r>
        <w:t>of the pandemic.</w:t>
      </w:r>
    </w:p>
    <w:p w:rsidR="00A56FE9" w:rsidRDefault="00000000">
      <w:pPr>
        <w:pStyle w:val="Tijeloteksta"/>
        <w:spacing w:before="121"/>
        <w:ind w:right="275"/>
      </w:pPr>
      <w:r>
        <w:t>In accordance with the commitments undertaken within the NRRP, in 2021, the development</w:t>
      </w:r>
      <w:r>
        <w:rPr>
          <w:spacing w:val="1"/>
        </w:rPr>
        <w:t xml:space="preserve"> </w:t>
      </w:r>
      <w:r>
        <w:t>of the Sustainable Tourism Development Strategy until 2030 began with the National Plan for</w:t>
      </w:r>
      <w:r>
        <w:rPr>
          <w:spacing w:val="-57"/>
        </w:rPr>
        <w:t xml:space="preserve"> </w:t>
      </w:r>
      <w:r>
        <w:t>the</w:t>
      </w:r>
      <w:r>
        <w:rPr>
          <w:spacing w:val="-4"/>
        </w:rPr>
        <w:t xml:space="preserve"> </w:t>
      </w:r>
      <w:r>
        <w:t>Development</w:t>
      </w:r>
      <w:r>
        <w:rPr>
          <w:spacing w:val="-2"/>
        </w:rPr>
        <w:t xml:space="preserve"> </w:t>
      </w:r>
      <w:r>
        <w:t>of</w:t>
      </w:r>
      <w:r>
        <w:rPr>
          <w:spacing w:val="-5"/>
        </w:rPr>
        <w:t xml:space="preserve"> </w:t>
      </w:r>
      <w:r>
        <w:t>Sustainable</w:t>
      </w:r>
      <w:r>
        <w:rPr>
          <w:spacing w:val="-3"/>
        </w:rPr>
        <w:t xml:space="preserve"> </w:t>
      </w:r>
      <w:r>
        <w:t>Tourism</w:t>
      </w:r>
      <w:r>
        <w:rPr>
          <w:spacing w:val="-3"/>
        </w:rPr>
        <w:t xml:space="preserve"> </w:t>
      </w:r>
      <w:r>
        <w:t>2021-2027.</w:t>
      </w:r>
      <w:r>
        <w:rPr>
          <w:spacing w:val="-3"/>
        </w:rPr>
        <w:t xml:space="preserve"> </w:t>
      </w:r>
      <w:r>
        <w:t>The</w:t>
      </w:r>
      <w:r>
        <w:rPr>
          <w:spacing w:val="-5"/>
        </w:rPr>
        <w:t xml:space="preserve"> </w:t>
      </w:r>
      <w:r>
        <w:t>adoption</w:t>
      </w:r>
      <w:r>
        <w:rPr>
          <w:spacing w:val="-3"/>
        </w:rPr>
        <w:t xml:space="preserve"> </w:t>
      </w:r>
      <w:r>
        <w:t>of</w:t>
      </w:r>
      <w:r>
        <w:rPr>
          <w:spacing w:val="-2"/>
        </w:rPr>
        <w:t xml:space="preserve"> </w:t>
      </w:r>
      <w:r>
        <w:t>the</w:t>
      </w:r>
      <w:r>
        <w:rPr>
          <w:spacing w:val="-2"/>
        </w:rPr>
        <w:t xml:space="preserve"> </w:t>
      </w:r>
      <w:r>
        <w:t>Sustainable</w:t>
      </w:r>
      <w:r>
        <w:rPr>
          <w:spacing w:val="-4"/>
        </w:rPr>
        <w:t xml:space="preserve"> </w:t>
      </w:r>
      <w:r>
        <w:t>Tourism</w:t>
      </w:r>
      <w:r>
        <w:rPr>
          <w:spacing w:val="-57"/>
        </w:rPr>
        <w:t xml:space="preserve"> </w:t>
      </w:r>
      <w:r>
        <w:t>Development</w:t>
      </w:r>
      <w:r>
        <w:rPr>
          <w:spacing w:val="1"/>
        </w:rPr>
        <w:t xml:space="preserve"> </w:t>
      </w:r>
      <w:r>
        <w:t>Strategy</w:t>
      </w:r>
      <w:r>
        <w:rPr>
          <w:spacing w:val="1"/>
        </w:rPr>
        <w:t xml:space="preserve"> </w:t>
      </w:r>
      <w:r>
        <w:t>until</w:t>
      </w:r>
      <w:r>
        <w:rPr>
          <w:spacing w:val="1"/>
        </w:rPr>
        <w:t xml:space="preserve"> </w:t>
      </w:r>
      <w:r>
        <w:t>2030</w:t>
      </w:r>
      <w:r>
        <w:rPr>
          <w:spacing w:val="2"/>
        </w:rPr>
        <w:t xml:space="preserve"> </w:t>
      </w:r>
      <w:r>
        <w:t>is</w:t>
      </w:r>
      <w:r>
        <w:rPr>
          <w:spacing w:val="1"/>
        </w:rPr>
        <w:t xml:space="preserve"> </w:t>
      </w:r>
      <w:r>
        <w:t>planned</w:t>
      </w:r>
      <w:r>
        <w:rPr>
          <w:spacing w:val="2"/>
        </w:rPr>
        <w:t xml:space="preserve"> </w:t>
      </w:r>
      <w:r>
        <w:t>for</w:t>
      </w:r>
      <w:r>
        <w:rPr>
          <w:spacing w:val="2"/>
        </w:rPr>
        <w:t xml:space="preserve"> </w:t>
      </w:r>
      <w:r>
        <w:t>Q3/2022.</w:t>
      </w:r>
      <w:r>
        <w:rPr>
          <w:spacing w:val="2"/>
        </w:rPr>
        <w:t xml:space="preserve"> </w:t>
      </w:r>
      <w:r>
        <w:t>Also,</w:t>
      </w:r>
      <w:r>
        <w:rPr>
          <w:spacing w:val="1"/>
        </w:rPr>
        <w:t xml:space="preserve"> </w:t>
      </w:r>
      <w:r>
        <w:t>the</w:t>
      </w:r>
      <w:r>
        <w:rPr>
          <w:spacing w:val="1"/>
        </w:rPr>
        <w:t xml:space="preserve"> </w:t>
      </w:r>
      <w:r>
        <w:t>preparation</w:t>
      </w:r>
      <w:r>
        <w:rPr>
          <w:spacing w:val="1"/>
        </w:rPr>
        <w:t xml:space="preserve"> </w:t>
      </w:r>
      <w:r>
        <w:t>of</w:t>
      </w:r>
      <w:r>
        <w:rPr>
          <w:spacing w:val="1"/>
        </w:rPr>
        <w:t xml:space="preserve"> </w:t>
      </w:r>
      <w:r>
        <w:t>public</w:t>
      </w:r>
      <w:r>
        <w:rPr>
          <w:spacing w:val="2"/>
        </w:rPr>
        <w:t xml:space="preserve"> </w:t>
      </w:r>
      <w:r>
        <w:t>calls</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t>for the tourism sector has been initiated within the planned investments of the NRRP, which</w:t>
      </w:r>
      <w:r>
        <w:rPr>
          <w:spacing w:val="1"/>
        </w:rPr>
        <w:t xml:space="preserve"> </w:t>
      </w:r>
      <w:r>
        <w:t>are</w:t>
      </w:r>
      <w:r>
        <w:rPr>
          <w:spacing w:val="-3"/>
        </w:rPr>
        <w:t xml:space="preserve"> </w:t>
      </w:r>
      <w:r>
        <w:t>planned to be</w:t>
      </w:r>
      <w:r>
        <w:rPr>
          <w:spacing w:val="-1"/>
        </w:rPr>
        <w:t xml:space="preserve"> </w:t>
      </w:r>
      <w:r>
        <w:t>announced in 2022.</w:t>
      </w:r>
    </w:p>
    <w:p w:rsidR="00A56FE9" w:rsidRDefault="00000000">
      <w:pPr>
        <w:pStyle w:val="Tijeloteksta"/>
        <w:spacing w:before="120"/>
        <w:ind w:right="275"/>
      </w:pPr>
      <w:r>
        <w:t>In terms of NRRP reform C1.6. R1 for the transition to the model of sustainable tourism</w:t>
      </w:r>
      <w:r>
        <w:rPr>
          <w:spacing w:val="1"/>
        </w:rPr>
        <w:t xml:space="preserve"> </w:t>
      </w:r>
      <w:r>
        <w:rPr>
          <w:spacing w:val="-1"/>
        </w:rPr>
        <w:t>development</w:t>
      </w:r>
      <w:r>
        <w:rPr>
          <w:spacing w:val="-14"/>
        </w:rPr>
        <w:t xml:space="preserve"> </w:t>
      </w:r>
      <w:r>
        <w:t>by</w:t>
      </w:r>
      <w:r>
        <w:rPr>
          <w:spacing w:val="-20"/>
        </w:rPr>
        <w:t xml:space="preserve"> </w:t>
      </w:r>
      <w:r>
        <w:t>the</w:t>
      </w:r>
      <w:r>
        <w:rPr>
          <w:spacing w:val="-15"/>
        </w:rPr>
        <w:t xml:space="preserve"> </w:t>
      </w:r>
      <w:r>
        <w:t>end</w:t>
      </w:r>
      <w:r>
        <w:rPr>
          <w:spacing w:val="-15"/>
        </w:rPr>
        <w:t xml:space="preserve"> </w:t>
      </w:r>
      <w:r>
        <w:t>of</w:t>
      </w:r>
      <w:r>
        <w:rPr>
          <w:spacing w:val="-16"/>
        </w:rPr>
        <w:t xml:space="preserve"> </w:t>
      </w:r>
      <w:r>
        <w:t>2021,</w:t>
      </w:r>
      <w:r>
        <w:rPr>
          <w:spacing w:val="-15"/>
        </w:rPr>
        <w:t xml:space="preserve"> </w:t>
      </w:r>
      <w:r>
        <w:t>the</w:t>
      </w:r>
      <w:r>
        <w:rPr>
          <w:spacing w:val="-15"/>
        </w:rPr>
        <w:t xml:space="preserve"> </w:t>
      </w:r>
      <w:r>
        <w:t>Scenario</w:t>
      </w:r>
      <w:r>
        <w:rPr>
          <w:spacing w:val="-15"/>
        </w:rPr>
        <w:t xml:space="preserve"> </w:t>
      </w:r>
      <w:r>
        <w:t>Analysis</w:t>
      </w:r>
      <w:r>
        <w:rPr>
          <w:spacing w:val="-14"/>
        </w:rPr>
        <w:t xml:space="preserve"> </w:t>
      </w:r>
      <w:r>
        <w:t>was</w:t>
      </w:r>
      <w:r>
        <w:rPr>
          <w:spacing w:val="-15"/>
        </w:rPr>
        <w:t xml:space="preserve"> </w:t>
      </w:r>
      <w:r>
        <w:t>prepared,</w:t>
      </w:r>
      <w:r>
        <w:rPr>
          <w:spacing w:val="-15"/>
        </w:rPr>
        <w:t xml:space="preserve"> </w:t>
      </w:r>
      <w:r>
        <w:t>which</w:t>
      </w:r>
      <w:r>
        <w:rPr>
          <w:spacing w:val="-12"/>
        </w:rPr>
        <w:t xml:space="preserve"> </w:t>
      </w:r>
      <w:r>
        <w:t>includes</w:t>
      </w:r>
      <w:r>
        <w:rPr>
          <w:spacing w:val="-11"/>
        </w:rPr>
        <w:t xml:space="preserve"> </w:t>
      </w:r>
      <w:r>
        <w:t>guidelines</w:t>
      </w:r>
      <w:r>
        <w:rPr>
          <w:spacing w:val="-58"/>
        </w:rPr>
        <w:t xml:space="preserve"> </w:t>
      </w:r>
      <w:r>
        <w:t>for drafting the Sustainable Tourism Development Strategy until 2030 and addresses issues of</w:t>
      </w:r>
      <w:r>
        <w:rPr>
          <w:spacing w:val="-57"/>
        </w:rPr>
        <w:t xml:space="preserve"> </w:t>
      </w:r>
      <w:r>
        <w:t>aligning tourism investments with the criteria for a circular economy. The guidelines provide</w:t>
      </w:r>
      <w:r>
        <w:rPr>
          <w:spacing w:val="1"/>
        </w:rPr>
        <w:t xml:space="preserve"> </w:t>
      </w:r>
      <w:r>
        <w:t>recommendations for directing tourism investment to innovation activities and research and</w:t>
      </w:r>
      <w:r>
        <w:rPr>
          <w:spacing w:val="1"/>
        </w:rPr>
        <w:t xml:space="preserve"> </w:t>
      </w:r>
      <w:r>
        <w:t>development.</w:t>
      </w:r>
      <w:r>
        <w:rPr>
          <w:spacing w:val="-8"/>
        </w:rPr>
        <w:t xml:space="preserve"> </w:t>
      </w:r>
      <w:r>
        <w:t>In</w:t>
      </w:r>
      <w:r>
        <w:rPr>
          <w:spacing w:val="-10"/>
        </w:rPr>
        <w:t xml:space="preserve"> </w:t>
      </w:r>
      <w:r>
        <w:t>addition,</w:t>
      </w:r>
      <w:r>
        <w:rPr>
          <w:spacing w:val="-7"/>
        </w:rPr>
        <w:t xml:space="preserve"> </w:t>
      </w:r>
      <w:r>
        <w:t>the</w:t>
      </w:r>
      <w:r>
        <w:rPr>
          <w:spacing w:val="-10"/>
        </w:rPr>
        <w:t xml:space="preserve"> </w:t>
      </w:r>
      <w:r>
        <w:t>developed</w:t>
      </w:r>
      <w:r>
        <w:rPr>
          <w:spacing w:val="-8"/>
        </w:rPr>
        <w:t xml:space="preserve"> </w:t>
      </w:r>
      <w:r>
        <w:t>guidelines</w:t>
      </w:r>
      <w:r>
        <w:rPr>
          <w:spacing w:val="-9"/>
        </w:rPr>
        <w:t xml:space="preserve"> </w:t>
      </w:r>
      <w:r>
        <w:t>are</w:t>
      </w:r>
      <w:r>
        <w:rPr>
          <w:spacing w:val="-11"/>
        </w:rPr>
        <w:t xml:space="preserve"> </w:t>
      </w:r>
      <w:r>
        <w:t>aimed</w:t>
      </w:r>
      <w:r>
        <w:rPr>
          <w:spacing w:val="-7"/>
        </w:rPr>
        <w:t xml:space="preserve"> </w:t>
      </w:r>
      <w:r>
        <w:t>at</w:t>
      </w:r>
      <w:r>
        <w:rPr>
          <w:spacing w:val="-9"/>
        </w:rPr>
        <w:t xml:space="preserve"> </w:t>
      </w:r>
      <w:r>
        <w:t>encouraging</w:t>
      </w:r>
      <w:r>
        <w:rPr>
          <w:spacing w:val="-10"/>
        </w:rPr>
        <w:t xml:space="preserve"> </w:t>
      </w:r>
      <w:r>
        <w:t>balanced</w:t>
      </w:r>
      <w:r>
        <w:rPr>
          <w:spacing w:val="-8"/>
        </w:rPr>
        <w:t xml:space="preserve"> </w:t>
      </w:r>
      <w:r>
        <w:t>regional</w:t>
      </w:r>
      <w:r>
        <w:rPr>
          <w:spacing w:val="-57"/>
        </w:rPr>
        <w:t xml:space="preserve"> </w:t>
      </w:r>
      <w:r>
        <w:t>development by directing investments to less-developed tourist areas based on the tourism</w:t>
      </w:r>
      <w:r>
        <w:rPr>
          <w:spacing w:val="1"/>
        </w:rPr>
        <w:t xml:space="preserve"> </w:t>
      </w:r>
      <w:r>
        <w:t>development</w:t>
      </w:r>
      <w:r>
        <w:rPr>
          <w:spacing w:val="-1"/>
        </w:rPr>
        <w:t xml:space="preserve"> </w:t>
      </w:r>
      <w:r>
        <w:t>index.</w:t>
      </w:r>
    </w:p>
    <w:p w:rsidR="00A56FE9" w:rsidRDefault="00000000">
      <w:pPr>
        <w:pStyle w:val="Tijeloteksta"/>
        <w:spacing w:before="121"/>
        <w:ind w:right="275"/>
      </w:pPr>
      <w:r>
        <w:t>Documentation for the procurement services involving analysis of best practice, testing of</w:t>
      </w:r>
      <w:r>
        <w:rPr>
          <w:spacing w:val="1"/>
        </w:rPr>
        <w:t xml:space="preserve"> </w:t>
      </w:r>
      <w:r>
        <w:t>educational needs and labour market, as well as analysis of development needs and potentials</w:t>
      </w:r>
      <w:r>
        <w:rPr>
          <w:spacing w:val="1"/>
        </w:rPr>
        <w:t xml:space="preserve"> </w:t>
      </w:r>
      <w:r>
        <w:t>for increasing sustainability and resilience of the tourism sector is currently being prepared,</w:t>
      </w:r>
      <w:r>
        <w:rPr>
          <w:spacing w:val="1"/>
        </w:rPr>
        <w:t xml:space="preserve"> </w:t>
      </w:r>
      <w:r>
        <w:t>based upon which new educational programs will be prepared to strengthen knowledge and</w:t>
      </w:r>
      <w:r>
        <w:rPr>
          <w:spacing w:val="1"/>
        </w:rPr>
        <w:t xml:space="preserve"> </w:t>
      </w:r>
      <w:r>
        <w:rPr>
          <w:spacing w:val="-1"/>
        </w:rPr>
        <w:t>skills,</w:t>
      </w:r>
      <w:r>
        <w:rPr>
          <w:spacing w:val="-12"/>
        </w:rPr>
        <w:t xml:space="preserve"> </w:t>
      </w:r>
      <w:r>
        <w:rPr>
          <w:spacing w:val="-1"/>
        </w:rPr>
        <w:t>especially</w:t>
      </w:r>
      <w:r>
        <w:rPr>
          <w:spacing w:val="-16"/>
        </w:rPr>
        <w:t xml:space="preserve"> </w:t>
      </w:r>
      <w:r>
        <w:t>strengthening</w:t>
      </w:r>
      <w:r>
        <w:rPr>
          <w:spacing w:val="-14"/>
        </w:rPr>
        <w:t xml:space="preserve"> </w:t>
      </w:r>
      <w:r>
        <w:t>sustainability</w:t>
      </w:r>
      <w:r>
        <w:rPr>
          <w:spacing w:val="-16"/>
        </w:rPr>
        <w:t xml:space="preserve"> </w:t>
      </w:r>
      <w:r>
        <w:t>and</w:t>
      </w:r>
      <w:r>
        <w:rPr>
          <w:spacing w:val="-10"/>
        </w:rPr>
        <w:t xml:space="preserve"> </w:t>
      </w:r>
      <w:r>
        <w:t>resilience,</w:t>
      </w:r>
      <w:r>
        <w:rPr>
          <w:spacing w:val="-11"/>
        </w:rPr>
        <w:t xml:space="preserve"> </w:t>
      </w:r>
      <w:r>
        <w:t>the</w:t>
      </w:r>
      <w:r>
        <w:rPr>
          <w:spacing w:val="-11"/>
        </w:rPr>
        <w:t xml:space="preserve"> </w:t>
      </w:r>
      <w:r>
        <w:t>green</w:t>
      </w:r>
      <w:r>
        <w:rPr>
          <w:spacing w:val="-9"/>
        </w:rPr>
        <w:t xml:space="preserve"> </w:t>
      </w:r>
      <w:r>
        <w:t>and</w:t>
      </w:r>
      <w:r>
        <w:rPr>
          <w:spacing w:val="-11"/>
        </w:rPr>
        <w:t xml:space="preserve"> </w:t>
      </w:r>
      <w:r>
        <w:t>digital</w:t>
      </w:r>
      <w:r>
        <w:rPr>
          <w:spacing w:val="-12"/>
        </w:rPr>
        <w:t xml:space="preserve"> </w:t>
      </w:r>
      <w:r>
        <w:t>transition,</w:t>
      </w:r>
      <w:r>
        <w:rPr>
          <w:spacing w:val="-11"/>
        </w:rPr>
        <w:t xml:space="preserve"> </w:t>
      </w:r>
      <w:r>
        <w:t>and</w:t>
      </w:r>
      <w:r>
        <w:rPr>
          <w:spacing w:val="-58"/>
        </w:rPr>
        <w:t xml:space="preserve"> </w:t>
      </w:r>
      <w:r>
        <w:t>strengthening the skills of the unemployed and employers. These activities are carried out in</w:t>
      </w:r>
      <w:r>
        <w:rPr>
          <w:spacing w:val="1"/>
        </w:rPr>
        <w:t xml:space="preserve"> </w:t>
      </w:r>
      <w:r>
        <w:rPr>
          <w:spacing w:val="-1"/>
        </w:rPr>
        <w:t>terms</w:t>
      </w:r>
      <w:r>
        <w:rPr>
          <w:spacing w:val="-14"/>
        </w:rPr>
        <w:t xml:space="preserve"> </w:t>
      </w:r>
      <w:r>
        <w:rPr>
          <w:spacing w:val="-1"/>
        </w:rPr>
        <w:t>of</w:t>
      </w:r>
      <w:r>
        <w:rPr>
          <w:spacing w:val="-16"/>
        </w:rPr>
        <w:t xml:space="preserve"> </w:t>
      </w:r>
      <w:r>
        <w:rPr>
          <w:spacing w:val="-1"/>
        </w:rPr>
        <w:t>the</w:t>
      </w:r>
      <w:r>
        <w:rPr>
          <w:spacing w:val="-15"/>
        </w:rPr>
        <w:t xml:space="preserve"> </w:t>
      </w:r>
      <w:r>
        <w:rPr>
          <w:spacing w:val="-1"/>
        </w:rPr>
        <w:t>NRRP</w:t>
      </w:r>
      <w:r>
        <w:rPr>
          <w:spacing w:val="-14"/>
        </w:rPr>
        <w:t xml:space="preserve"> </w:t>
      </w:r>
      <w:r>
        <w:t>investment</w:t>
      </w:r>
      <w:r>
        <w:rPr>
          <w:spacing w:val="-15"/>
        </w:rPr>
        <w:t xml:space="preserve"> </w:t>
      </w:r>
      <w:r>
        <w:t>C1.6.</w:t>
      </w:r>
      <w:r>
        <w:rPr>
          <w:spacing w:val="-15"/>
        </w:rPr>
        <w:t xml:space="preserve"> </w:t>
      </w:r>
      <w:r>
        <w:t>R1-I3</w:t>
      </w:r>
      <w:r>
        <w:rPr>
          <w:spacing w:val="-15"/>
        </w:rPr>
        <w:t xml:space="preserve"> </w:t>
      </w:r>
      <w:r>
        <w:t>Strengthening</w:t>
      </w:r>
      <w:r>
        <w:rPr>
          <w:spacing w:val="-17"/>
        </w:rPr>
        <w:t xml:space="preserve"> </w:t>
      </w:r>
      <w:r>
        <w:t>the</w:t>
      </w:r>
      <w:r>
        <w:rPr>
          <w:spacing w:val="-14"/>
        </w:rPr>
        <w:t xml:space="preserve"> </w:t>
      </w:r>
      <w:r>
        <w:t>capacity</w:t>
      </w:r>
      <w:r>
        <w:rPr>
          <w:spacing w:val="-20"/>
        </w:rPr>
        <w:t xml:space="preserve"> </w:t>
      </w:r>
      <w:r>
        <w:t>of</w:t>
      </w:r>
      <w:r>
        <w:rPr>
          <w:spacing w:val="-16"/>
        </w:rPr>
        <w:t xml:space="preserve"> </w:t>
      </w:r>
      <w:r>
        <w:t>the</w:t>
      </w:r>
      <w:r>
        <w:rPr>
          <w:spacing w:val="-13"/>
        </w:rPr>
        <w:t xml:space="preserve"> </w:t>
      </w:r>
      <w:r>
        <w:t>system</w:t>
      </w:r>
      <w:r>
        <w:rPr>
          <w:spacing w:val="-15"/>
        </w:rPr>
        <w:t xml:space="preserve"> </w:t>
      </w:r>
      <w:r>
        <w:t>for</w:t>
      </w:r>
      <w:r>
        <w:rPr>
          <w:spacing w:val="-16"/>
        </w:rPr>
        <w:t xml:space="preserve"> </w:t>
      </w:r>
      <w:r>
        <w:t>resilient</w:t>
      </w:r>
      <w:r>
        <w:rPr>
          <w:spacing w:val="-57"/>
        </w:rPr>
        <w:t xml:space="preserve"> </w:t>
      </w:r>
      <w:r>
        <w:t>and</w:t>
      </w:r>
      <w:r>
        <w:rPr>
          <w:spacing w:val="-1"/>
        </w:rPr>
        <w:t xml:space="preserve"> </w:t>
      </w:r>
      <w:r>
        <w:t>sustainable</w:t>
      </w:r>
      <w:r>
        <w:rPr>
          <w:spacing w:val="-1"/>
        </w:rPr>
        <w:t xml:space="preserve"> </w:t>
      </w:r>
      <w:r>
        <w:t>tourism.</w:t>
      </w:r>
    </w:p>
    <w:p w:rsidR="00A56FE9" w:rsidRDefault="00000000">
      <w:pPr>
        <w:pStyle w:val="Tijeloteksta"/>
        <w:spacing w:before="120"/>
        <w:ind w:right="273"/>
      </w:pPr>
      <w:r>
        <w:t>In addition to the above, in terms of implementing the projects of six Regional Competence</w:t>
      </w:r>
      <w:r>
        <w:rPr>
          <w:spacing w:val="1"/>
        </w:rPr>
        <w:t xml:space="preserve"> </w:t>
      </w:r>
      <w:r>
        <w:t>Centres in the tourism and hospitality sector, since their launch in 2020, activities have been</w:t>
      </w:r>
      <w:r>
        <w:rPr>
          <w:spacing w:val="1"/>
        </w:rPr>
        <w:t xml:space="preserve"> </w:t>
      </w:r>
      <w:r>
        <w:t>regularly</w:t>
      </w:r>
      <w:r>
        <w:rPr>
          <w:spacing w:val="-15"/>
        </w:rPr>
        <w:t xml:space="preserve"> </w:t>
      </w:r>
      <w:r>
        <w:t>undertaken</w:t>
      </w:r>
      <w:r>
        <w:rPr>
          <w:spacing w:val="-11"/>
        </w:rPr>
        <w:t xml:space="preserve"> </w:t>
      </w:r>
      <w:r>
        <w:t>in</w:t>
      </w:r>
      <w:r>
        <w:rPr>
          <w:spacing w:val="-8"/>
        </w:rPr>
        <w:t xml:space="preserve"> </w:t>
      </w:r>
      <w:r>
        <w:t>formal</w:t>
      </w:r>
      <w:r>
        <w:rPr>
          <w:spacing w:val="-11"/>
        </w:rPr>
        <w:t xml:space="preserve"> </w:t>
      </w:r>
      <w:r>
        <w:t>and</w:t>
      </w:r>
      <w:r>
        <w:rPr>
          <w:spacing w:val="-8"/>
        </w:rPr>
        <w:t xml:space="preserve"> </w:t>
      </w:r>
      <w:r>
        <w:t>non-formal</w:t>
      </w:r>
      <w:r>
        <w:rPr>
          <w:spacing w:val="-11"/>
        </w:rPr>
        <w:t xml:space="preserve"> </w:t>
      </w:r>
      <w:r>
        <w:t>education</w:t>
      </w:r>
      <w:r>
        <w:rPr>
          <w:spacing w:val="-11"/>
        </w:rPr>
        <w:t xml:space="preserve"> </w:t>
      </w:r>
      <w:r>
        <w:t>of</w:t>
      </w:r>
      <w:r>
        <w:rPr>
          <w:spacing w:val="-10"/>
        </w:rPr>
        <w:t xml:space="preserve"> </w:t>
      </w:r>
      <w:r>
        <w:t>adults,</w:t>
      </w:r>
      <w:r>
        <w:rPr>
          <w:spacing w:val="-10"/>
        </w:rPr>
        <w:t xml:space="preserve"> </w:t>
      </w:r>
      <w:r>
        <w:t>as</w:t>
      </w:r>
      <w:r>
        <w:rPr>
          <w:spacing w:val="-9"/>
        </w:rPr>
        <w:t xml:space="preserve"> </w:t>
      </w:r>
      <w:r>
        <w:t>well</w:t>
      </w:r>
      <w:r>
        <w:rPr>
          <w:spacing w:val="-8"/>
        </w:rPr>
        <w:t xml:space="preserve"> </w:t>
      </w:r>
      <w:r>
        <w:t>as</w:t>
      </w:r>
      <w:r>
        <w:rPr>
          <w:spacing w:val="-11"/>
        </w:rPr>
        <w:t xml:space="preserve"> </w:t>
      </w:r>
      <w:r>
        <w:t>that</w:t>
      </w:r>
      <w:r>
        <w:rPr>
          <w:spacing w:val="-10"/>
        </w:rPr>
        <w:t xml:space="preserve"> </w:t>
      </w:r>
      <w:r>
        <w:t>of</w:t>
      </w:r>
      <w:r>
        <w:rPr>
          <w:spacing w:val="-10"/>
        </w:rPr>
        <w:t xml:space="preserve"> </w:t>
      </w:r>
      <w:r>
        <w:t>employees</w:t>
      </w:r>
      <w:r>
        <w:rPr>
          <w:spacing w:val="-58"/>
        </w:rPr>
        <w:t xml:space="preserve"> </w:t>
      </w:r>
      <w:r>
        <w:t>in Regional Competence Centres along with regular development of new formal and non-</w:t>
      </w:r>
      <w:r>
        <w:rPr>
          <w:spacing w:val="1"/>
        </w:rPr>
        <w:t xml:space="preserve"> </w:t>
      </w:r>
      <w:r>
        <w:t>formal</w:t>
      </w:r>
      <w:r>
        <w:rPr>
          <w:spacing w:val="-1"/>
        </w:rPr>
        <w:t xml:space="preserve"> </w:t>
      </w:r>
      <w:r>
        <w:t>educational programs.</w:t>
      </w:r>
    </w:p>
    <w:p w:rsidR="00A56FE9" w:rsidRDefault="00000000">
      <w:pPr>
        <w:pStyle w:val="Tijeloteksta"/>
        <w:spacing w:before="121"/>
        <w:ind w:right="276"/>
      </w:pPr>
      <w:r>
        <w:t>Based on the call Improving the Access of Vulnerable Groups to the Labour Market in the</w:t>
      </w:r>
      <w:r>
        <w:rPr>
          <w:spacing w:val="1"/>
        </w:rPr>
        <w:t xml:space="preserve"> </w:t>
      </w:r>
      <w:r>
        <w:t>Tourism and Hospitality Sector II, funded under the Operational Programme Effective Human</w:t>
      </w:r>
      <w:r>
        <w:rPr>
          <w:spacing w:val="-57"/>
        </w:rPr>
        <w:t xml:space="preserve"> </w:t>
      </w:r>
      <w:r>
        <w:t>Potential</w:t>
      </w:r>
      <w:r>
        <w:rPr>
          <w:spacing w:val="-5"/>
        </w:rPr>
        <w:t xml:space="preserve"> </w:t>
      </w:r>
      <w:r>
        <w:t>2014-2020,</w:t>
      </w:r>
      <w:r>
        <w:rPr>
          <w:spacing w:val="-4"/>
        </w:rPr>
        <w:t xml:space="preserve"> </w:t>
      </w:r>
      <w:r>
        <w:t>published</w:t>
      </w:r>
      <w:r>
        <w:rPr>
          <w:spacing w:val="-4"/>
        </w:rPr>
        <w:t xml:space="preserve"> </w:t>
      </w:r>
      <w:r>
        <w:t>in</w:t>
      </w:r>
      <w:r>
        <w:rPr>
          <w:spacing w:val="-4"/>
        </w:rPr>
        <w:t xml:space="preserve"> </w:t>
      </w:r>
      <w:r>
        <w:t>2021,</w:t>
      </w:r>
      <w:r>
        <w:rPr>
          <w:spacing w:val="-4"/>
        </w:rPr>
        <w:t xml:space="preserve"> </w:t>
      </w:r>
      <w:r>
        <w:t>a</w:t>
      </w:r>
      <w:r>
        <w:rPr>
          <w:spacing w:val="-5"/>
        </w:rPr>
        <w:t xml:space="preserve"> </w:t>
      </w:r>
      <w:r>
        <w:t>grant</w:t>
      </w:r>
      <w:r>
        <w:rPr>
          <w:spacing w:val="-4"/>
        </w:rPr>
        <w:t xml:space="preserve"> </w:t>
      </w:r>
      <w:r>
        <w:t>amounting</w:t>
      </w:r>
      <w:r>
        <w:rPr>
          <w:spacing w:val="-6"/>
        </w:rPr>
        <w:t xml:space="preserve"> </w:t>
      </w:r>
      <w:r>
        <w:t>to</w:t>
      </w:r>
      <w:r>
        <w:rPr>
          <w:spacing w:val="-3"/>
        </w:rPr>
        <w:t xml:space="preserve"> </w:t>
      </w:r>
      <w:r>
        <w:t>HRK</w:t>
      </w:r>
      <w:r>
        <w:rPr>
          <w:spacing w:val="-4"/>
        </w:rPr>
        <w:t xml:space="preserve"> </w:t>
      </w:r>
      <w:r>
        <w:t>27.65</w:t>
      </w:r>
      <w:r>
        <w:rPr>
          <w:spacing w:val="-7"/>
        </w:rPr>
        <w:t xml:space="preserve"> </w:t>
      </w:r>
      <w:r>
        <w:t>million</w:t>
      </w:r>
      <w:r>
        <w:rPr>
          <w:spacing w:val="-3"/>
        </w:rPr>
        <w:t xml:space="preserve"> </w:t>
      </w:r>
      <w:r>
        <w:t>was</w:t>
      </w:r>
      <w:r>
        <w:rPr>
          <w:spacing w:val="-4"/>
        </w:rPr>
        <w:t xml:space="preserve"> </w:t>
      </w:r>
      <w:r>
        <w:t>secured.</w:t>
      </w:r>
      <w:r>
        <w:rPr>
          <w:spacing w:val="-58"/>
        </w:rPr>
        <w:t xml:space="preserve"> </w:t>
      </w:r>
      <w:r>
        <w:t>The Public Call facilitates the financing of social inclusion of persons with disabilities on the</w:t>
      </w:r>
      <w:r>
        <w:rPr>
          <w:spacing w:val="1"/>
        </w:rPr>
        <w:t xml:space="preserve"> </w:t>
      </w:r>
      <w:r>
        <w:t>labour market in the tourism and hospitality sector, as well as strengthening human capacities</w:t>
      </w:r>
      <w:r>
        <w:rPr>
          <w:spacing w:val="1"/>
        </w:rPr>
        <w:t xml:space="preserve"> </w:t>
      </w:r>
      <w:r>
        <w:t>in</w:t>
      </w:r>
      <w:r>
        <w:rPr>
          <w:spacing w:val="-1"/>
        </w:rPr>
        <w:t xml:space="preserve"> </w:t>
      </w:r>
      <w:r>
        <w:t>the</w:t>
      </w:r>
      <w:r>
        <w:rPr>
          <w:spacing w:val="-1"/>
        </w:rPr>
        <w:t xml:space="preserve"> </w:t>
      </w:r>
      <w:r>
        <w:t>sector.</w:t>
      </w:r>
      <w:r>
        <w:rPr>
          <w:spacing w:val="-1"/>
        </w:rPr>
        <w:t xml:space="preserve"> </w:t>
      </w:r>
      <w:r>
        <w:t>The</w:t>
      </w:r>
      <w:r>
        <w:rPr>
          <w:spacing w:val="-2"/>
        </w:rPr>
        <w:t xml:space="preserve"> </w:t>
      </w:r>
      <w:r>
        <w:t>implementation</w:t>
      </w:r>
      <w:r>
        <w:rPr>
          <w:spacing w:val="-1"/>
        </w:rPr>
        <w:t xml:space="preserve"> </w:t>
      </w:r>
      <w:r>
        <w:t>of</w:t>
      </w:r>
      <w:r>
        <w:rPr>
          <w:spacing w:val="-1"/>
        </w:rPr>
        <w:t xml:space="preserve"> </w:t>
      </w:r>
      <w:r>
        <w:t>14 contracted</w:t>
      </w:r>
      <w:r>
        <w:rPr>
          <w:spacing w:val="-1"/>
        </w:rPr>
        <w:t xml:space="preserve"> </w:t>
      </w:r>
      <w:r>
        <w:t>projects was</w:t>
      </w:r>
      <w:r>
        <w:rPr>
          <w:spacing w:val="-1"/>
        </w:rPr>
        <w:t xml:space="preserve"> </w:t>
      </w:r>
      <w:r>
        <w:t>commenced in</w:t>
      </w:r>
      <w:r>
        <w:rPr>
          <w:spacing w:val="-1"/>
        </w:rPr>
        <w:t xml:space="preserve"> </w:t>
      </w:r>
      <w:r>
        <w:t>Q1/2022.</w:t>
      </w:r>
    </w:p>
    <w:p w:rsidR="00A56FE9" w:rsidRDefault="00A56FE9">
      <w:pPr>
        <w:pStyle w:val="Tijeloteksta"/>
        <w:spacing w:before="3"/>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695553407"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889769091" name="Rectangle 273"/>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0D1F9A" id="Group 272"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HH4kGRQAgAAEAUAAA4AAAAAAAAAAAAAAAAALgIAAGRycy9lMm9Eb2MueG1sUEsBAi0AFAAGAAgA&#10;AAAhAOjoSp3cAAAAAwEAAA8AAAAAAAAAAAAAAAAAqgQAAGRycy9kb3ducmV2LnhtbFBLBQYAAAAA&#10;BAAEAPMAAACzBQAAAAA=&#10;">
                <v:rect id="Rectangle 273"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1"/>
      </w:pPr>
      <w:r>
        <w:t>The</w:t>
      </w:r>
      <w:r>
        <w:rPr>
          <w:spacing w:val="-7"/>
        </w:rPr>
        <w:t xml:space="preserve"> </w:t>
      </w:r>
      <w:r>
        <w:t>NRRP</w:t>
      </w:r>
      <w:r>
        <w:rPr>
          <w:spacing w:val="-5"/>
        </w:rPr>
        <w:t xml:space="preserve"> </w:t>
      </w:r>
      <w:r>
        <w:t>includes</w:t>
      </w:r>
      <w:r>
        <w:rPr>
          <w:spacing w:val="-5"/>
        </w:rPr>
        <w:t xml:space="preserve"> </w:t>
      </w:r>
      <w:r>
        <w:t>three</w:t>
      </w:r>
      <w:r>
        <w:rPr>
          <w:spacing w:val="-5"/>
        </w:rPr>
        <w:t xml:space="preserve"> </w:t>
      </w:r>
      <w:r>
        <w:t>investments</w:t>
      </w:r>
      <w:r>
        <w:rPr>
          <w:spacing w:val="-6"/>
        </w:rPr>
        <w:t xml:space="preserve"> </w:t>
      </w:r>
      <w:r>
        <w:t>that</w:t>
      </w:r>
      <w:r>
        <w:rPr>
          <w:spacing w:val="-5"/>
        </w:rPr>
        <w:t xml:space="preserve"> </w:t>
      </w:r>
      <w:r>
        <w:t>contribute</w:t>
      </w:r>
      <w:r>
        <w:rPr>
          <w:spacing w:val="-7"/>
        </w:rPr>
        <w:t xml:space="preserve"> </w:t>
      </w:r>
      <w:r>
        <w:t>to</w:t>
      </w:r>
      <w:r>
        <w:rPr>
          <w:spacing w:val="-5"/>
        </w:rPr>
        <w:t xml:space="preserve"> </w:t>
      </w:r>
      <w:r>
        <w:t>the</w:t>
      </w:r>
      <w:r>
        <w:rPr>
          <w:spacing w:val="-7"/>
        </w:rPr>
        <w:t xml:space="preserve"> </w:t>
      </w:r>
      <w:r>
        <w:t>recovery,</w:t>
      </w:r>
      <w:r>
        <w:rPr>
          <w:spacing w:val="-5"/>
        </w:rPr>
        <w:t xml:space="preserve"> </w:t>
      </w:r>
      <w:r>
        <w:t>resilience,</w:t>
      </w:r>
      <w:r>
        <w:rPr>
          <w:spacing w:val="-4"/>
        </w:rPr>
        <w:t xml:space="preserve"> </w:t>
      </w:r>
      <w:r>
        <w:t>and</w:t>
      </w:r>
      <w:r>
        <w:rPr>
          <w:spacing w:val="-4"/>
        </w:rPr>
        <w:t xml:space="preserve"> </w:t>
      </w:r>
      <w:r>
        <w:t>green</w:t>
      </w:r>
      <w:r>
        <w:rPr>
          <w:spacing w:val="-3"/>
        </w:rPr>
        <w:t xml:space="preserve"> </w:t>
      </w:r>
      <w:r>
        <w:t>and</w:t>
      </w:r>
      <w:r>
        <w:rPr>
          <w:spacing w:val="-58"/>
        </w:rPr>
        <w:t xml:space="preserve"> </w:t>
      </w:r>
      <w:r>
        <w:t>digital transition of the tourism sector. Investment C1.6. R1-I1 Regional diversification and</w:t>
      </w:r>
      <w:r>
        <w:rPr>
          <w:spacing w:val="1"/>
        </w:rPr>
        <w:t xml:space="preserve"> </w:t>
      </w:r>
      <w:r>
        <w:t>specialization</w:t>
      </w:r>
      <w:r>
        <w:rPr>
          <w:spacing w:val="-10"/>
        </w:rPr>
        <w:t xml:space="preserve"> </w:t>
      </w:r>
      <w:r>
        <w:t>of</w:t>
      </w:r>
      <w:r>
        <w:rPr>
          <w:spacing w:val="-9"/>
        </w:rPr>
        <w:t xml:space="preserve"> </w:t>
      </w:r>
      <w:r>
        <w:t>Croatian</w:t>
      </w:r>
      <w:r>
        <w:rPr>
          <w:spacing w:val="-9"/>
        </w:rPr>
        <w:t xml:space="preserve"> </w:t>
      </w:r>
      <w:r>
        <w:t>tourism</w:t>
      </w:r>
      <w:r>
        <w:rPr>
          <w:spacing w:val="-8"/>
        </w:rPr>
        <w:t xml:space="preserve"> </w:t>
      </w:r>
      <w:r>
        <w:t>through</w:t>
      </w:r>
      <w:r>
        <w:rPr>
          <w:spacing w:val="-9"/>
        </w:rPr>
        <w:t xml:space="preserve"> </w:t>
      </w:r>
      <w:r>
        <w:t>investments</w:t>
      </w:r>
      <w:r>
        <w:rPr>
          <w:spacing w:val="-8"/>
        </w:rPr>
        <w:t xml:space="preserve"> </w:t>
      </w:r>
      <w:r>
        <w:t>in</w:t>
      </w:r>
      <w:r>
        <w:rPr>
          <w:spacing w:val="-8"/>
        </w:rPr>
        <w:t xml:space="preserve"> </w:t>
      </w:r>
      <w:r>
        <w:t>the</w:t>
      </w:r>
      <w:r>
        <w:rPr>
          <w:spacing w:val="-9"/>
        </w:rPr>
        <w:t xml:space="preserve"> </w:t>
      </w:r>
      <w:r>
        <w:t>development</w:t>
      </w:r>
      <w:r>
        <w:rPr>
          <w:spacing w:val="-8"/>
        </w:rPr>
        <w:t xml:space="preserve"> </w:t>
      </w:r>
      <w:r>
        <w:t>of</w:t>
      </w:r>
      <w:r>
        <w:rPr>
          <w:spacing w:val="-9"/>
        </w:rPr>
        <w:t xml:space="preserve"> </w:t>
      </w:r>
      <w:r>
        <w:t>high</w:t>
      </w:r>
      <w:r>
        <w:rPr>
          <w:spacing w:val="-9"/>
        </w:rPr>
        <w:t xml:space="preserve"> </w:t>
      </w:r>
      <w:r>
        <w:t>value-added</w:t>
      </w:r>
      <w:r>
        <w:rPr>
          <w:spacing w:val="-58"/>
        </w:rPr>
        <w:t xml:space="preserve"> </w:t>
      </w:r>
      <w:r>
        <w:t>tourism products includes financing already prepared public investment projects in tourism</w:t>
      </w:r>
      <w:r>
        <w:rPr>
          <w:spacing w:val="1"/>
        </w:rPr>
        <w:t xml:space="preserve"> </w:t>
      </w:r>
      <w:r>
        <w:t>infrastructure and sports and recreation centres and active tourism zones. This investment will</w:t>
      </w:r>
      <w:r>
        <w:rPr>
          <w:spacing w:val="-57"/>
        </w:rPr>
        <w:t xml:space="preserve"> </w:t>
      </w:r>
      <w:r>
        <w:t>facilitate</w:t>
      </w:r>
      <w:r>
        <w:rPr>
          <w:spacing w:val="-6"/>
        </w:rPr>
        <w:t xml:space="preserve"> </w:t>
      </w:r>
      <w:r>
        <w:t>transformation</w:t>
      </w:r>
      <w:r>
        <w:rPr>
          <w:spacing w:val="-6"/>
        </w:rPr>
        <w:t xml:space="preserve"> </w:t>
      </w:r>
      <w:r>
        <w:t>of</w:t>
      </w:r>
      <w:r>
        <w:rPr>
          <w:spacing w:val="-6"/>
        </w:rPr>
        <w:t xml:space="preserve"> </w:t>
      </w:r>
      <w:r>
        <w:t>the</w:t>
      </w:r>
      <w:r>
        <w:rPr>
          <w:spacing w:val="-7"/>
        </w:rPr>
        <w:t xml:space="preserve"> </w:t>
      </w:r>
      <w:r>
        <w:t>tourism</w:t>
      </w:r>
      <w:r>
        <w:rPr>
          <w:spacing w:val="-5"/>
        </w:rPr>
        <w:t xml:space="preserve"> </w:t>
      </w:r>
      <w:r>
        <w:t>model</w:t>
      </w:r>
      <w:r>
        <w:rPr>
          <w:spacing w:val="-6"/>
        </w:rPr>
        <w:t xml:space="preserve"> </w:t>
      </w:r>
      <w:r>
        <w:t>towards</w:t>
      </w:r>
      <w:r>
        <w:rPr>
          <w:spacing w:val="-6"/>
        </w:rPr>
        <w:t xml:space="preserve"> </w:t>
      </w:r>
      <w:r>
        <w:t>sustainability</w:t>
      </w:r>
      <w:r>
        <w:rPr>
          <w:spacing w:val="-11"/>
        </w:rPr>
        <w:t xml:space="preserve"> </w:t>
      </w:r>
      <w:r>
        <w:t>through</w:t>
      </w:r>
      <w:r>
        <w:rPr>
          <w:spacing w:val="-5"/>
        </w:rPr>
        <w:t xml:space="preserve"> </w:t>
      </w:r>
      <w:r>
        <w:t>support</w:t>
      </w:r>
      <w:r>
        <w:rPr>
          <w:spacing w:val="-6"/>
        </w:rPr>
        <w:t xml:space="preserve"> </w:t>
      </w:r>
      <w:r>
        <w:t>for</w:t>
      </w:r>
      <w:r>
        <w:rPr>
          <w:spacing w:val="-7"/>
        </w:rPr>
        <w:t xml:space="preserve"> </w:t>
      </w:r>
      <w:r>
        <w:t>public</w:t>
      </w:r>
      <w:r>
        <w:rPr>
          <w:spacing w:val="-58"/>
        </w:rPr>
        <w:t xml:space="preserve"> </w:t>
      </w:r>
      <w:r>
        <w:t>investment for the green and digital transition of public infrastructure. This investment will</w:t>
      </w:r>
      <w:r>
        <w:rPr>
          <w:spacing w:val="1"/>
        </w:rPr>
        <w:t xml:space="preserve"> </w:t>
      </w:r>
      <w:r>
        <w:t>facilitate the recovery and resilience of the tourism sector through the diversification of the</w:t>
      </w:r>
      <w:r>
        <w:rPr>
          <w:spacing w:val="1"/>
        </w:rPr>
        <w:t xml:space="preserve"> </w:t>
      </w:r>
      <w:r>
        <w:t>tourism assortment, increasing the attractiveness of destinations, and, thus tourist demand.</w:t>
      </w:r>
      <w:r>
        <w:rPr>
          <w:spacing w:val="1"/>
        </w:rPr>
        <w:t xml:space="preserve"> </w:t>
      </w:r>
      <w:r>
        <w:t>Investment</w:t>
      </w:r>
      <w:r>
        <w:rPr>
          <w:spacing w:val="1"/>
        </w:rPr>
        <w:t xml:space="preserve"> </w:t>
      </w:r>
      <w:r>
        <w:t>C1.6.</w:t>
      </w:r>
      <w:r>
        <w:rPr>
          <w:spacing w:val="1"/>
        </w:rPr>
        <w:t xml:space="preserve"> </w:t>
      </w:r>
      <w:r>
        <w:t>R1-I2</w:t>
      </w:r>
      <w:r>
        <w:rPr>
          <w:spacing w:val="1"/>
        </w:rPr>
        <w:t xml:space="preserve"> </w:t>
      </w:r>
      <w:r>
        <w:t>Strengthening</w:t>
      </w:r>
      <w:r>
        <w:rPr>
          <w:spacing w:val="1"/>
        </w:rPr>
        <w:t xml:space="preserve"> </w:t>
      </w:r>
      <w:r>
        <w:t>sustainability</w:t>
      </w:r>
      <w:r>
        <w:rPr>
          <w:spacing w:val="1"/>
        </w:rPr>
        <w:t xml:space="preserve"> </w:t>
      </w:r>
      <w:r>
        <w:t>and</w:t>
      </w:r>
      <w:r>
        <w:rPr>
          <w:spacing w:val="1"/>
        </w:rPr>
        <w:t xml:space="preserve"> </w:t>
      </w:r>
      <w:r>
        <w:t>encouraging</w:t>
      </w:r>
      <w:r>
        <w:rPr>
          <w:spacing w:val="1"/>
        </w:rPr>
        <w:t xml:space="preserve"> </w:t>
      </w:r>
      <w:r>
        <w:t>green</w:t>
      </w:r>
      <w:r>
        <w:rPr>
          <w:spacing w:val="1"/>
        </w:rPr>
        <w:t xml:space="preserve"> </w:t>
      </w:r>
      <w:r>
        <w:t>and</w:t>
      </w:r>
      <w:r>
        <w:rPr>
          <w:spacing w:val="1"/>
        </w:rPr>
        <w:t xml:space="preserve"> </w:t>
      </w:r>
      <w:r>
        <w:t>digital</w:t>
      </w:r>
      <w:r>
        <w:rPr>
          <w:spacing w:val="1"/>
        </w:rPr>
        <w:t xml:space="preserve"> </w:t>
      </w:r>
      <w:r>
        <w:t>transition of entrepreneurs in the tourism sector refers to investments by entrepreneurs in the</w:t>
      </w:r>
      <w:r>
        <w:rPr>
          <w:spacing w:val="1"/>
        </w:rPr>
        <w:t xml:space="preserve"> </w:t>
      </w:r>
      <w:r>
        <w:t>tourism value chain in for developing a higher value-added tourism assortment, green and</w:t>
      </w:r>
      <w:r>
        <w:rPr>
          <w:spacing w:val="1"/>
        </w:rPr>
        <w:t xml:space="preserve"> </w:t>
      </w:r>
      <w:r>
        <w:t>sustainable construction, energy efficiency, RES use, electricity connectivity and application</w:t>
      </w:r>
      <w:r>
        <w:rPr>
          <w:spacing w:val="1"/>
        </w:rPr>
        <w:t xml:space="preserve"> </w:t>
      </w:r>
      <w:r>
        <w:t>of</w:t>
      </w:r>
      <w:r>
        <w:rPr>
          <w:spacing w:val="1"/>
        </w:rPr>
        <w:t xml:space="preserve"> </w:t>
      </w:r>
      <w:r>
        <w:t>circular</w:t>
      </w:r>
      <w:r>
        <w:rPr>
          <w:spacing w:val="1"/>
        </w:rPr>
        <w:t xml:space="preserve"> </w:t>
      </w:r>
      <w:r>
        <w:t>economy</w:t>
      </w:r>
      <w:r>
        <w:rPr>
          <w:spacing w:val="1"/>
        </w:rPr>
        <w:t xml:space="preserve"> </w:t>
      </w:r>
      <w:r>
        <w:t>principles,</w:t>
      </w:r>
      <w:r>
        <w:rPr>
          <w:spacing w:val="1"/>
        </w:rPr>
        <w:t xml:space="preserve"> </w:t>
      </w:r>
      <w:r>
        <w:t>land</w:t>
      </w:r>
      <w:r>
        <w:rPr>
          <w:spacing w:val="1"/>
        </w:rPr>
        <w:t xml:space="preserve"> </w:t>
      </w:r>
      <w:r>
        <w:t>and</w:t>
      </w:r>
      <w:r>
        <w:rPr>
          <w:spacing w:val="1"/>
        </w:rPr>
        <w:t xml:space="preserve"> </w:t>
      </w:r>
      <w:r>
        <w:t>sea</w:t>
      </w:r>
      <w:r>
        <w:rPr>
          <w:spacing w:val="1"/>
        </w:rPr>
        <w:t xml:space="preserve"> </w:t>
      </w:r>
      <w:r>
        <w:t>waste</w:t>
      </w:r>
      <w:r>
        <w:rPr>
          <w:spacing w:val="1"/>
        </w:rPr>
        <w:t xml:space="preserve"> </w:t>
      </w:r>
      <w:r>
        <w:t>management,</w:t>
      </w:r>
      <w:r>
        <w:rPr>
          <w:spacing w:val="1"/>
        </w:rPr>
        <w:t xml:space="preserve"> </w:t>
      </w:r>
      <w:r>
        <w:t>and</w:t>
      </w:r>
      <w:r>
        <w:rPr>
          <w:spacing w:val="1"/>
        </w:rPr>
        <w:t xml:space="preserve"> </w:t>
      </w:r>
      <w:r>
        <w:t>the</w:t>
      </w:r>
      <w:r>
        <w:rPr>
          <w:spacing w:val="1"/>
        </w:rPr>
        <w:t xml:space="preserve"> </w:t>
      </w:r>
      <w:r>
        <w:t>use</w:t>
      </w:r>
      <w:r>
        <w:rPr>
          <w:spacing w:val="1"/>
        </w:rPr>
        <w:t xml:space="preserve"> </w:t>
      </w:r>
      <w:r>
        <w:t>of</w:t>
      </w:r>
      <w:r>
        <w:rPr>
          <w:spacing w:val="1"/>
        </w:rPr>
        <w:t xml:space="preserve"> </w:t>
      </w:r>
      <w:r>
        <w:t>digital</w:t>
      </w:r>
      <w:r>
        <w:rPr>
          <w:spacing w:val="-57"/>
        </w:rPr>
        <w:t xml:space="preserve"> </w:t>
      </w:r>
      <w:r>
        <w:t>technologies. Recommendations related to human resources development are contributed by</w:t>
      </w:r>
      <w:r>
        <w:rPr>
          <w:spacing w:val="1"/>
        </w:rPr>
        <w:t xml:space="preserve"> </w:t>
      </w:r>
      <w:r>
        <w:t>the</w:t>
      </w:r>
      <w:r>
        <w:rPr>
          <w:spacing w:val="-7"/>
        </w:rPr>
        <w:t xml:space="preserve"> </w:t>
      </w:r>
      <w:r>
        <w:t>NRRP</w:t>
      </w:r>
      <w:r>
        <w:rPr>
          <w:spacing w:val="-4"/>
        </w:rPr>
        <w:t xml:space="preserve"> </w:t>
      </w:r>
      <w:r>
        <w:t>investment</w:t>
      </w:r>
      <w:r>
        <w:rPr>
          <w:spacing w:val="-5"/>
        </w:rPr>
        <w:t xml:space="preserve"> </w:t>
      </w:r>
      <w:r>
        <w:t>C1.6.</w:t>
      </w:r>
      <w:r>
        <w:rPr>
          <w:spacing w:val="-5"/>
        </w:rPr>
        <w:t xml:space="preserve"> </w:t>
      </w:r>
      <w:r>
        <w:t>R1-I3</w:t>
      </w:r>
      <w:r>
        <w:rPr>
          <w:spacing w:val="-5"/>
        </w:rPr>
        <w:t xml:space="preserve"> </w:t>
      </w:r>
      <w:r>
        <w:t>Strengthening</w:t>
      </w:r>
      <w:r>
        <w:rPr>
          <w:spacing w:val="-8"/>
        </w:rPr>
        <w:t xml:space="preserve"> </w:t>
      </w:r>
      <w:r>
        <w:t>the</w:t>
      </w:r>
      <w:r>
        <w:rPr>
          <w:spacing w:val="-7"/>
        </w:rPr>
        <w:t xml:space="preserve"> </w:t>
      </w:r>
      <w:r>
        <w:t>capacity</w:t>
      </w:r>
      <w:r>
        <w:rPr>
          <w:spacing w:val="-10"/>
        </w:rPr>
        <w:t xml:space="preserve"> </w:t>
      </w:r>
      <w:r>
        <w:t>of</w:t>
      </w:r>
      <w:r>
        <w:rPr>
          <w:spacing w:val="-4"/>
        </w:rPr>
        <w:t xml:space="preserve"> </w:t>
      </w:r>
      <w:r>
        <w:t>the</w:t>
      </w:r>
      <w:r>
        <w:rPr>
          <w:spacing w:val="-6"/>
        </w:rPr>
        <w:t xml:space="preserve"> </w:t>
      </w:r>
      <w:r>
        <w:t>system</w:t>
      </w:r>
      <w:r>
        <w:rPr>
          <w:spacing w:val="-3"/>
        </w:rPr>
        <w:t xml:space="preserve"> </w:t>
      </w:r>
      <w:r>
        <w:t>for</w:t>
      </w:r>
      <w:r>
        <w:rPr>
          <w:spacing w:val="-7"/>
        </w:rPr>
        <w:t xml:space="preserve"> </w:t>
      </w:r>
      <w:r>
        <w:t>sustainable</w:t>
      </w:r>
      <w:r>
        <w:rPr>
          <w:spacing w:val="-5"/>
        </w:rPr>
        <w:t xml:space="preserve"> </w:t>
      </w:r>
      <w:r>
        <w:t>and</w:t>
      </w:r>
      <w:r>
        <w:rPr>
          <w:spacing w:val="-57"/>
        </w:rPr>
        <w:t xml:space="preserve"> </w:t>
      </w:r>
      <w:r>
        <w:t>sustainable</w:t>
      </w:r>
      <w:r>
        <w:rPr>
          <w:spacing w:val="-10"/>
        </w:rPr>
        <w:t xml:space="preserve"> </w:t>
      </w:r>
      <w:r>
        <w:t>tourism.</w:t>
      </w:r>
      <w:r>
        <w:rPr>
          <w:spacing w:val="-6"/>
        </w:rPr>
        <w:t xml:space="preserve"> </w:t>
      </w:r>
      <w:r>
        <w:t>In</w:t>
      </w:r>
      <w:r>
        <w:rPr>
          <w:spacing w:val="-8"/>
        </w:rPr>
        <w:t xml:space="preserve"> </w:t>
      </w:r>
      <w:r>
        <w:t>terms</w:t>
      </w:r>
      <w:r>
        <w:rPr>
          <w:spacing w:val="-9"/>
        </w:rPr>
        <w:t xml:space="preserve"> </w:t>
      </w:r>
      <w:r>
        <w:t>of</w:t>
      </w:r>
      <w:r>
        <w:rPr>
          <w:spacing w:val="-7"/>
        </w:rPr>
        <w:t xml:space="preserve"> </w:t>
      </w:r>
      <w:r>
        <w:t>the</w:t>
      </w:r>
      <w:r>
        <w:rPr>
          <w:spacing w:val="-9"/>
        </w:rPr>
        <w:t xml:space="preserve"> </w:t>
      </w:r>
      <w:r>
        <w:t>reform</w:t>
      </w:r>
      <w:r>
        <w:rPr>
          <w:spacing w:val="-7"/>
        </w:rPr>
        <w:t xml:space="preserve"> </w:t>
      </w:r>
      <w:r>
        <w:t>C1.6.</w:t>
      </w:r>
      <w:r>
        <w:rPr>
          <w:spacing w:val="-9"/>
        </w:rPr>
        <w:t xml:space="preserve"> </w:t>
      </w:r>
      <w:r>
        <w:t>R1</w:t>
      </w:r>
      <w:r>
        <w:rPr>
          <w:spacing w:val="-5"/>
        </w:rPr>
        <w:t xml:space="preserve"> </w:t>
      </w:r>
      <w:r>
        <w:t>Increasing</w:t>
      </w:r>
      <w:r>
        <w:rPr>
          <w:spacing w:val="-11"/>
        </w:rPr>
        <w:t xml:space="preserve"> </w:t>
      </w:r>
      <w:r>
        <w:t>the</w:t>
      </w:r>
      <w:r>
        <w:rPr>
          <w:spacing w:val="-6"/>
        </w:rPr>
        <w:t xml:space="preserve"> </w:t>
      </w:r>
      <w:r>
        <w:t>resilience</w:t>
      </w:r>
      <w:r>
        <w:rPr>
          <w:spacing w:val="-10"/>
        </w:rPr>
        <w:t xml:space="preserve"> </w:t>
      </w:r>
      <w:r>
        <w:t>and</w:t>
      </w:r>
      <w:r>
        <w:rPr>
          <w:spacing w:val="-8"/>
        </w:rPr>
        <w:t xml:space="preserve"> </w:t>
      </w:r>
      <w:r>
        <w:t>sustainability</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t>of the tourism sector, by drafting the Sustainable Tourism Development Strategy until 2030</w:t>
      </w:r>
      <w:r>
        <w:rPr>
          <w:spacing w:val="1"/>
        </w:rPr>
        <w:t xml:space="preserve"> </w:t>
      </w:r>
      <w:r>
        <w:t>will</w:t>
      </w:r>
      <w:r>
        <w:rPr>
          <w:spacing w:val="1"/>
        </w:rPr>
        <w:t xml:space="preserve"> </w:t>
      </w:r>
      <w:r>
        <w:t>include</w:t>
      </w:r>
      <w:r>
        <w:rPr>
          <w:spacing w:val="1"/>
        </w:rPr>
        <w:t xml:space="preserve"> </w:t>
      </w:r>
      <w:r>
        <w:t>the</w:t>
      </w:r>
      <w:r>
        <w:rPr>
          <w:spacing w:val="1"/>
        </w:rPr>
        <w:t xml:space="preserve"> </w:t>
      </w:r>
      <w:r>
        <w:t>implementation</w:t>
      </w:r>
      <w:r>
        <w:rPr>
          <w:spacing w:val="1"/>
        </w:rPr>
        <w:t xml:space="preserve"> </w:t>
      </w:r>
      <w:r>
        <w:t>of</w:t>
      </w:r>
      <w:r>
        <w:rPr>
          <w:spacing w:val="1"/>
        </w:rPr>
        <w:t xml:space="preserve"> </w:t>
      </w:r>
      <w:r>
        <w:t>medium-term</w:t>
      </w:r>
      <w:r>
        <w:rPr>
          <w:spacing w:val="1"/>
        </w:rPr>
        <w:t xml:space="preserve"> </w:t>
      </w:r>
      <w:r>
        <w:t>development</w:t>
      </w:r>
      <w:r>
        <w:rPr>
          <w:spacing w:val="1"/>
        </w:rPr>
        <w:t xml:space="preserve"> </w:t>
      </w:r>
      <w:r>
        <w:t>needs</w:t>
      </w:r>
      <w:r>
        <w:rPr>
          <w:spacing w:val="1"/>
        </w:rPr>
        <w:t xml:space="preserve"> </w:t>
      </w:r>
      <w:r>
        <w:t>and</w:t>
      </w:r>
      <w:r>
        <w:rPr>
          <w:spacing w:val="1"/>
        </w:rPr>
        <w:t xml:space="preserve"> </w:t>
      </w:r>
      <w:r>
        <w:t>development</w:t>
      </w:r>
      <w:r>
        <w:rPr>
          <w:spacing w:val="1"/>
        </w:rPr>
        <w:t xml:space="preserve"> </w:t>
      </w:r>
      <w:r>
        <w:t>potentials as well as define specific goals and projects of strategic importance to increase</w:t>
      </w:r>
      <w:r>
        <w:rPr>
          <w:spacing w:val="1"/>
        </w:rPr>
        <w:t xml:space="preserve"> </w:t>
      </w:r>
      <w:r>
        <w:t>sustainability and resilience of the tourism sector, the seasonal nature of employment, the lack</w:t>
      </w:r>
      <w:r>
        <w:rPr>
          <w:spacing w:val="-57"/>
        </w:rPr>
        <w:t xml:space="preserve"> </w:t>
      </w:r>
      <w:r>
        <w:t>of</w:t>
      </w:r>
      <w:r>
        <w:rPr>
          <w:spacing w:val="-7"/>
        </w:rPr>
        <w:t xml:space="preserve"> </w:t>
      </w:r>
      <w:r>
        <w:t>quality</w:t>
      </w:r>
      <w:r>
        <w:rPr>
          <w:spacing w:val="-11"/>
        </w:rPr>
        <w:t xml:space="preserve"> </w:t>
      </w:r>
      <w:r>
        <w:t>workforce</w:t>
      </w:r>
      <w:r>
        <w:rPr>
          <w:spacing w:val="-4"/>
        </w:rPr>
        <w:t xml:space="preserve"> </w:t>
      </w:r>
      <w:r>
        <w:t>and</w:t>
      </w:r>
      <w:r>
        <w:rPr>
          <w:spacing w:val="-6"/>
        </w:rPr>
        <w:t xml:space="preserve"> </w:t>
      </w:r>
      <w:r>
        <w:t>the</w:t>
      </w:r>
      <w:r>
        <w:rPr>
          <w:spacing w:val="-7"/>
        </w:rPr>
        <w:t xml:space="preserve"> </w:t>
      </w:r>
      <w:r>
        <w:t>adjustment</w:t>
      </w:r>
      <w:r>
        <w:rPr>
          <w:spacing w:val="-5"/>
        </w:rPr>
        <w:t xml:space="preserve"> </w:t>
      </w:r>
      <w:r>
        <w:t>of</w:t>
      </w:r>
      <w:r>
        <w:rPr>
          <w:spacing w:val="-7"/>
        </w:rPr>
        <w:t xml:space="preserve"> </w:t>
      </w:r>
      <w:r>
        <w:t>the</w:t>
      </w:r>
      <w:r>
        <w:rPr>
          <w:spacing w:val="-7"/>
        </w:rPr>
        <w:t xml:space="preserve"> </w:t>
      </w:r>
      <w:r>
        <w:t>workforce</w:t>
      </w:r>
      <w:r>
        <w:rPr>
          <w:spacing w:val="-6"/>
        </w:rPr>
        <w:t xml:space="preserve"> </w:t>
      </w:r>
      <w:r>
        <w:t>to</w:t>
      </w:r>
      <w:r>
        <w:rPr>
          <w:spacing w:val="-6"/>
        </w:rPr>
        <w:t xml:space="preserve"> </w:t>
      </w:r>
      <w:r>
        <w:t>new</w:t>
      </w:r>
      <w:r>
        <w:rPr>
          <w:spacing w:val="-7"/>
        </w:rPr>
        <w:t xml:space="preserve"> </w:t>
      </w:r>
      <w:r>
        <w:t>business</w:t>
      </w:r>
      <w:r>
        <w:rPr>
          <w:spacing w:val="-5"/>
        </w:rPr>
        <w:t xml:space="preserve"> </w:t>
      </w:r>
      <w:r>
        <w:t>conditions</w:t>
      </w:r>
      <w:r>
        <w:rPr>
          <w:spacing w:val="-6"/>
        </w:rPr>
        <w:t xml:space="preserve"> </w:t>
      </w:r>
      <w:r>
        <w:t>due</w:t>
      </w:r>
      <w:r>
        <w:rPr>
          <w:spacing w:val="-7"/>
        </w:rPr>
        <w:t xml:space="preserve"> </w:t>
      </w:r>
      <w:r>
        <w:t>to</w:t>
      </w:r>
      <w:r>
        <w:rPr>
          <w:spacing w:val="-5"/>
        </w:rPr>
        <w:t xml:space="preserve"> </w:t>
      </w:r>
      <w:r>
        <w:t>the</w:t>
      </w:r>
      <w:r>
        <w:rPr>
          <w:spacing w:val="-58"/>
        </w:rPr>
        <w:t xml:space="preserve"> </w:t>
      </w:r>
      <w:r>
        <w:t>COVID-19 pandemic. In addition, a market analysis will be conducted to identify the sectorial</w:t>
      </w:r>
      <w:r>
        <w:rPr>
          <w:spacing w:val="-57"/>
        </w:rPr>
        <w:t xml:space="preserve"> </w:t>
      </w:r>
      <w:r>
        <w:t>requirements for new knowledge related to green and digital transition and innovation. Based</w:t>
      </w:r>
      <w:r>
        <w:rPr>
          <w:spacing w:val="1"/>
        </w:rPr>
        <w:t xml:space="preserve"> </w:t>
      </w:r>
      <w:r>
        <w:rPr>
          <w:spacing w:val="-1"/>
        </w:rPr>
        <w:t>on</w:t>
      </w:r>
      <w:r>
        <w:rPr>
          <w:spacing w:val="-15"/>
        </w:rPr>
        <w:t xml:space="preserve"> </w:t>
      </w:r>
      <w:r>
        <w:rPr>
          <w:spacing w:val="-1"/>
        </w:rPr>
        <w:t>the</w:t>
      </w:r>
      <w:r>
        <w:rPr>
          <w:spacing w:val="-15"/>
        </w:rPr>
        <w:t xml:space="preserve"> </w:t>
      </w:r>
      <w:r>
        <w:rPr>
          <w:spacing w:val="-1"/>
        </w:rPr>
        <w:t>conducted</w:t>
      </w:r>
      <w:r>
        <w:rPr>
          <w:spacing w:val="-12"/>
        </w:rPr>
        <w:t xml:space="preserve"> </w:t>
      </w:r>
      <w:r>
        <w:t>analysis,</w:t>
      </w:r>
      <w:r>
        <w:rPr>
          <w:spacing w:val="-15"/>
        </w:rPr>
        <w:t xml:space="preserve"> </w:t>
      </w:r>
      <w:r>
        <w:t>educational</w:t>
      </w:r>
      <w:r>
        <w:rPr>
          <w:spacing w:val="-13"/>
        </w:rPr>
        <w:t xml:space="preserve"> </w:t>
      </w:r>
      <w:r>
        <w:t>programs</w:t>
      </w:r>
      <w:r>
        <w:rPr>
          <w:spacing w:val="-14"/>
        </w:rPr>
        <w:t xml:space="preserve"> </w:t>
      </w:r>
      <w:r>
        <w:t>(strengthening</w:t>
      </w:r>
      <w:r>
        <w:rPr>
          <w:spacing w:val="-16"/>
        </w:rPr>
        <w:t xml:space="preserve"> </w:t>
      </w:r>
      <w:r>
        <w:t>digital</w:t>
      </w:r>
      <w:r>
        <w:rPr>
          <w:spacing w:val="-14"/>
        </w:rPr>
        <w:t xml:space="preserve"> </w:t>
      </w:r>
      <w:r>
        <w:t>and</w:t>
      </w:r>
      <w:r>
        <w:rPr>
          <w:spacing w:val="-14"/>
        </w:rPr>
        <w:t xml:space="preserve"> </w:t>
      </w:r>
      <w:r>
        <w:t>skills</w:t>
      </w:r>
      <w:r>
        <w:rPr>
          <w:spacing w:val="-14"/>
        </w:rPr>
        <w:t xml:space="preserve"> </w:t>
      </w:r>
      <w:r>
        <w:t>for</w:t>
      </w:r>
      <w:r>
        <w:rPr>
          <w:spacing w:val="-15"/>
        </w:rPr>
        <w:t xml:space="preserve"> </w:t>
      </w:r>
      <w:r>
        <w:t>sustainable</w:t>
      </w:r>
      <w:r>
        <w:rPr>
          <w:spacing w:val="-58"/>
        </w:rPr>
        <w:t xml:space="preserve"> </w:t>
      </w:r>
      <w:r>
        <w:t>business by entrepreneurs and skills related to safety and hygiene and sanitation) will be</w:t>
      </w:r>
      <w:r>
        <w:rPr>
          <w:spacing w:val="1"/>
        </w:rPr>
        <w:t xml:space="preserve"> </w:t>
      </w:r>
      <w:r>
        <w:t>developed and implemented, as well as for vulnerable groups, including the unemployed and</w:t>
      </w:r>
      <w:r>
        <w:rPr>
          <w:spacing w:val="1"/>
        </w:rPr>
        <w:t xml:space="preserve"> </w:t>
      </w:r>
      <w:r>
        <w:t>programs for civil servants working with the tourist boards (strengthen digital and destination</w:t>
      </w:r>
      <w:r>
        <w:rPr>
          <w:spacing w:val="1"/>
        </w:rPr>
        <w:t xml:space="preserve"> </w:t>
      </w:r>
      <w:r>
        <w:t>management skills). The investment will also support the improvement of vertical mobility,</w:t>
      </w:r>
      <w:r>
        <w:rPr>
          <w:spacing w:val="1"/>
        </w:rPr>
        <w:t xml:space="preserve"> </w:t>
      </w:r>
      <w:r>
        <w:t>especially</w:t>
      </w:r>
      <w:r>
        <w:rPr>
          <w:spacing w:val="1"/>
        </w:rPr>
        <w:t xml:space="preserve"> </w:t>
      </w:r>
      <w:r>
        <w:t>in</w:t>
      </w:r>
      <w:r>
        <w:rPr>
          <w:spacing w:val="1"/>
        </w:rPr>
        <w:t xml:space="preserve"> </w:t>
      </w:r>
      <w:r>
        <w:t>the</w:t>
      </w:r>
      <w:r>
        <w:rPr>
          <w:spacing w:val="1"/>
        </w:rPr>
        <w:t xml:space="preserve"> </w:t>
      </w:r>
      <w:r>
        <w:t>gastronomy</w:t>
      </w:r>
      <w:r>
        <w:rPr>
          <w:spacing w:val="1"/>
        </w:rPr>
        <w:t xml:space="preserve"> </w:t>
      </w:r>
      <w:r>
        <w:t>segment,</w:t>
      </w:r>
      <w:r>
        <w:rPr>
          <w:spacing w:val="1"/>
        </w:rPr>
        <w:t xml:space="preserve"> </w:t>
      </w:r>
      <w:r>
        <w:t>development</w:t>
      </w:r>
      <w:r>
        <w:rPr>
          <w:spacing w:val="1"/>
        </w:rPr>
        <w:t xml:space="preserve"> </w:t>
      </w:r>
      <w:r>
        <w:t>of</w:t>
      </w:r>
      <w:r>
        <w:rPr>
          <w:spacing w:val="1"/>
        </w:rPr>
        <w:t xml:space="preserve"> </w:t>
      </w:r>
      <w:r>
        <w:t>professional</w:t>
      </w:r>
      <w:r>
        <w:rPr>
          <w:spacing w:val="1"/>
        </w:rPr>
        <w:t xml:space="preserve"> </w:t>
      </w:r>
      <w:r>
        <w:t>potential</w:t>
      </w:r>
      <w:r>
        <w:rPr>
          <w:spacing w:val="1"/>
        </w:rPr>
        <w:t xml:space="preserve"> </w:t>
      </w:r>
      <w:r>
        <w:t>in</w:t>
      </w:r>
      <w:r>
        <w:rPr>
          <w:spacing w:val="1"/>
        </w:rPr>
        <w:t xml:space="preserve"> </w:t>
      </w:r>
      <w:r>
        <w:t>tertiary</w:t>
      </w:r>
      <w:r>
        <w:rPr>
          <w:spacing w:val="1"/>
        </w:rPr>
        <w:t xml:space="preserve"> </w:t>
      </w:r>
      <w:r>
        <w:t>education</w:t>
      </w:r>
      <w:r>
        <w:rPr>
          <w:spacing w:val="-10"/>
        </w:rPr>
        <w:t xml:space="preserve"> </w:t>
      </w:r>
      <w:r>
        <w:t>and</w:t>
      </w:r>
      <w:r>
        <w:rPr>
          <w:spacing w:val="-9"/>
        </w:rPr>
        <w:t xml:space="preserve"> </w:t>
      </w:r>
      <w:r>
        <w:t>similar</w:t>
      </w:r>
      <w:r>
        <w:rPr>
          <w:spacing w:val="-9"/>
        </w:rPr>
        <w:t xml:space="preserve"> </w:t>
      </w:r>
      <w:r>
        <w:t>activities</w:t>
      </w:r>
      <w:r>
        <w:rPr>
          <w:spacing w:val="-9"/>
        </w:rPr>
        <w:t xml:space="preserve"> </w:t>
      </w:r>
      <w:r>
        <w:t>specifically</w:t>
      </w:r>
      <w:r>
        <w:rPr>
          <w:spacing w:val="-13"/>
        </w:rPr>
        <w:t xml:space="preserve"> </w:t>
      </w:r>
      <w:r>
        <w:t>aimed</w:t>
      </w:r>
      <w:r>
        <w:rPr>
          <w:spacing w:val="-6"/>
        </w:rPr>
        <w:t xml:space="preserve"> </w:t>
      </w:r>
      <w:r>
        <w:t>at</w:t>
      </w:r>
      <w:r>
        <w:rPr>
          <w:spacing w:val="-8"/>
        </w:rPr>
        <w:t xml:space="preserve"> </w:t>
      </w:r>
      <w:r>
        <w:t>raising</w:t>
      </w:r>
      <w:r>
        <w:rPr>
          <w:spacing w:val="-12"/>
        </w:rPr>
        <w:t xml:space="preserve"> </w:t>
      </w:r>
      <w:r>
        <w:t>the</w:t>
      </w:r>
      <w:r>
        <w:rPr>
          <w:spacing w:val="-9"/>
        </w:rPr>
        <w:t xml:space="preserve"> </w:t>
      </w:r>
      <w:r>
        <w:t>quality</w:t>
      </w:r>
      <w:r>
        <w:rPr>
          <w:spacing w:val="-13"/>
        </w:rPr>
        <w:t xml:space="preserve"> </w:t>
      </w:r>
      <w:r>
        <w:t>of</w:t>
      </w:r>
      <w:r>
        <w:rPr>
          <w:spacing w:val="-9"/>
        </w:rPr>
        <w:t xml:space="preserve"> </w:t>
      </w:r>
      <w:r>
        <w:t>tourism</w:t>
      </w:r>
      <w:r>
        <w:rPr>
          <w:spacing w:val="-8"/>
        </w:rPr>
        <w:t xml:space="preserve"> </w:t>
      </w:r>
      <w:r>
        <w:t>products</w:t>
      </w:r>
      <w:r>
        <w:rPr>
          <w:spacing w:val="-8"/>
        </w:rPr>
        <w:t xml:space="preserve"> </w:t>
      </w:r>
      <w:r>
        <w:t>and</w:t>
      </w:r>
      <w:r>
        <w:rPr>
          <w:spacing w:val="-58"/>
        </w:rPr>
        <w:t xml:space="preserve"> </w:t>
      </w:r>
      <w:r>
        <w:t>services</w:t>
      </w:r>
      <w:r>
        <w:rPr>
          <w:spacing w:val="1"/>
        </w:rPr>
        <w:t xml:space="preserve"> </w:t>
      </w:r>
      <w:r>
        <w:t>in</w:t>
      </w:r>
      <w:r>
        <w:rPr>
          <w:spacing w:val="1"/>
        </w:rPr>
        <w:t xml:space="preserve"> </w:t>
      </w:r>
      <w:r>
        <w:t>the</w:t>
      </w:r>
      <w:r>
        <w:rPr>
          <w:spacing w:val="1"/>
        </w:rPr>
        <w:t xml:space="preserve"> </w:t>
      </w:r>
      <w:r>
        <w:t>entire</w:t>
      </w:r>
      <w:r>
        <w:rPr>
          <w:spacing w:val="1"/>
        </w:rPr>
        <w:t xml:space="preserve"> </w:t>
      </w:r>
      <w:r>
        <w:t>tourism</w:t>
      </w:r>
      <w:r>
        <w:rPr>
          <w:spacing w:val="1"/>
        </w:rPr>
        <w:t xml:space="preserve"> </w:t>
      </w:r>
      <w:r>
        <w:t>value</w:t>
      </w:r>
      <w:r>
        <w:rPr>
          <w:spacing w:val="1"/>
        </w:rPr>
        <w:t xml:space="preserve"> </w:t>
      </w:r>
      <w:r>
        <w:t>chain,</w:t>
      </w:r>
      <w:r>
        <w:rPr>
          <w:spacing w:val="1"/>
        </w:rPr>
        <w:t xml:space="preserve"> </w:t>
      </w:r>
      <w:r>
        <w:t>which</w:t>
      </w:r>
      <w:r>
        <w:rPr>
          <w:spacing w:val="1"/>
        </w:rPr>
        <w:t xml:space="preserve"> </w:t>
      </w:r>
      <w:r>
        <w:t>ultimately contributes</w:t>
      </w:r>
      <w:r>
        <w:rPr>
          <w:spacing w:val="1"/>
        </w:rPr>
        <w:t xml:space="preserve"> </w:t>
      </w:r>
      <w:r>
        <w:t>to</w:t>
      </w:r>
      <w:r>
        <w:rPr>
          <w:spacing w:val="1"/>
        </w:rPr>
        <w:t xml:space="preserve"> </w:t>
      </w:r>
      <w:r>
        <w:t>recovery and</w:t>
      </w:r>
      <w:r>
        <w:rPr>
          <w:spacing w:val="1"/>
        </w:rPr>
        <w:t xml:space="preserve"> </w:t>
      </w:r>
      <w:r>
        <w:t>resilience.</w:t>
      </w:r>
    </w:p>
    <w:p w:rsidR="00A56FE9" w:rsidRDefault="00000000">
      <w:pPr>
        <w:pStyle w:val="Tijeloteksta"/>
        <w:spacing w:before="121"/>
        <w:ind w:right="272"/>
      </w:pPr>
      <w:r>
        <w:t>The objective of NRRP investment C2.3. R3-I15 Setting up tourism application solutions is to</w:t>
      </w:r>
      <w:r>
        <w:rPr>
          <w:spacing w:val="-57"/>
        </w:rPr>
        <w:t xml:space="preserve"> </w:t>
      </w:r>
      <w:r>
        <w:t>administratively relieve entrepreneurs and transform the tourism model towards sustainability</w:t>
      </w:r>
      <w:r>
        <w:rPr>
          <w:spacing w:val="1"/>
        </w:rPr>
        <w:t xml:space="preserve"> </w:t>
      </w:r>
      <w:r>
        <w:t>of the tourism ecosystem through the digitalisation of destination management processes and</w:t>
      </w:r>
      <w:r>
        <w:rPr>
          <w:spacing w:val="1"/>
        </w:rPr>
        <w:t xml:space="preserve"> </w:t>
      </w:r>
      <w:r>
        <w:t>the</w:t>
      </w:r>
      <w:r>
        <w:rPr>
          <w:spacing w:val="1"/>
        </w:rPr>
        <w:t xml:space="preserve"> </w:t>
      </w:r>
      <w:r>
        <w:t>establishment</w:t>
      </w:r>
      <w:r>
        <w:rPr>
          <w:spacing w:val="1"/>
        </w:rPr>
        <w:t xml:space="preserve"> </w:t>
      </w:r>
      <w:r>
        <w:t>of</w:t>
      </w:r>
      <w:r>
        <w:rPr>
          <w:spacing w:val="1"/>
        </w:rPr>
        <w:t xml:space="preserve"> </w:t>
      </w:r>
      <w:r>
        <w:t>value</w:t>
      </w:r>
      <w:r>
        <w:rPr>
          <w:spacing w:val="1"/>
        </w:rPr>
        <w:t xml:space="preserve"> </w:t>
      </w:r>
      <w:r>
        <w:t>chains,</w:t>
      </w:r>
      <w:r>
        <w:rPr>
          <w:spacing w:val="1"/>
        </w:rPr>
        <w:t xml:space="preserve"> </w:t>
      </w:r>
      <w:r>
        <w:t>improving</w:t>
      </w:r>
      <w:r>
        <w:rPr>
          <w:spacing w:val="1"/>
        </w:rPr>
        <w:t xml:space="preserve"> </w:t>
      </w:r>
      <w:r>
        <w:t>business</w:t>
      </w:r>
      <w:r>
        <w:rPr>
          <w:spacing w:val="1"/>
        </w:rPr>
        <w:t xml:space="preserve"> </w:t>
      </w:r>
      <w:r>
        <w:t>intelligence</w:t>
      </w:r>
      <w:r>
        <w:rPr>
          <w:spacing w:val="1"/>
        </w:rPr>
        <w:t xml:space="preserve"> </w:t>
      </w:r>
      <w:r>
        <w:t>systems</w:t>
      </w:r>
      <w:r>
        <w:rPr>
          <w:spacing w:val="1"/>
        </w:rPr>
        <w:t xml:space="preserve"> </w:t>
      </w:r>
      <w:r>
        <w:t>in</w:t>
      </w:r>
      <w:r>
        <w:rPr>
          <w:spacing w:val="1"/>
        </w:rPr>
        <w:t xml:space="preserve"> </w:t>
      </w:r>
      <w:r>
        <w:t>tourism.</w:t>
      </w:r>
      <w:r>
        <w:rPr>
          <w:spacing w:val="1"/>
        </w:rPr>
        <w:t xml:space="preserve"> </w:t>
      </w:r>
      <w:r>
        <w:t>Investment C1.6 R1-I3 Strengthening system capacity for resilient and sustainable tourism</w:t>
      </w:r>
      <w:r>
        <w:rPr>
          <w:spacing w:val="1"/>
        </w:rPr>
        <w:t xml:space="preserve"> </w:t>
      </w:r>
      <w:r>
        <w:t>through strengthening digital skills, as well as the skills of officials of tourist boards for</w:t>
      </w:r>
      <w:r>
        <w:rPr>
          <w:spacing w:val="1"/>
        </w:rPr>
        <w:t xml:space="preserve"> </w:t>
      </w:r>
      <w:r>
        <w:t>sustainable</w:t>
      </w:r>
      <w:r>
        <w:rPr>
          <w:spacing w:val="-2"/>
        </w:rPr>
        <w:t xml:space="preserve"> </w:t>
      </w:r>
      <w:r>
        <w:t>management of destinations.</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2"/>
        <w:numPr>
          <w:ilvl w:val="0"/>
          <w:numId w:val="7"/>
        </w:numPr>
        <w:tabs>
          <w:tab w:val="left" w:pos="423"/>
        </w:tabs>
        <w:ind w:hanging="285"/>
        <w:jc w:val="both"/>
      </w:pPr>
      <w:bookmarkStart w:id="10" w:name="_bookmark10"/>
      <w:bookmarkEnd w:id="10"/>
      <w:r>
        <w:t>–</w:t>
      </w:r>
      <w:r>
        <w:rPr>
          <w:spacing w:val="-4"/>
        </w:rPr>
        <w:t xml:space="preserve"> </w:t>
      </w:r>
      <w:r>
        <w:t>PUBLIC</w:t>
      </w:r>
      <w:r>
        <w:rPr>
          <w:spacing w:val="-4"/>
        </w:rPr>
        <w:t xml:space="preserve"> </w:t>
      </w:r>
      <w:r>
        <w:t>ADMINISTRATION,</w:t>
      </w:r>
      <w:r>
        <w:rPr>
          <w:spacing w:val="-4"/>
        </w:rPr>
        <w:t xml:space="preserve"> </w:t>
      </w:r>
      <w:r>
        <w:t>JUDICIARY</w:t>
      </w:r>
      <w:r>
        <w:rPr>
          <w:spacing w:val="-4"/>
        </w:rPr>
        <w:t xml:space="preserve"> </w:t>
      </w:r>
      <w:r>
        <w:t>AND</w:t>
      </w:r>
      <w:r>
        <w:rPr>
          <w:spacing w:val="-2"/>
        </w:rPr>
        <w:t xml:space="preserve"> </w:t>
      </w:r>
      <w:r>
        <w:t>STATE</w:t>
      </w:r>
      <w:r>
        <w:rPr>
          <w:spacing w:val="-3"/>
        </w:rPr>
        <w:t xml:space="preserve"> </w:t>
      </w:r>
      <w:r>
        <w:t>ASSETS</w:t>
      </w:r>
    </w:p>
    <w:p w:rsidR="00A56FE9" w:rsidRDefault="00A56FE9">
      <w:pPr>
        <w:pStyle w:val="Tijeloteksta"/>
        <w:spacing w:before="7"/>
        <w:ind w:left="0"/>
        <w:jc w:val="left"/>
        <w:rPr>
          <w:b/>
          <w:sz w:val="39"/>
        </w:rPr>
      </w:pPr>
    </w:p>
    <w:p w:rsidR="00A56FE9" w:rsidRDefault="00000000">
      <w:pPr>
        <w:pStyle w:val="Naslov3"/>
        <w:spacing w:before="0"/>
        <w:ind w:left="846" w:right="545" w:hanging="708"/>
        <w:jc w:val="left"/>
      </w:pPr>
      <w:bookmarkStart w:id="11" w:name="_bookmark11"/>
      <w:bookmarkEnd w:id="11"/>
      <w:r>
        <w:rPr>
          <w:rFonts w:ascii="Times New Roman"/>
          <w:b/>
          <w:color w:val="2C398A"/>
          <w:spacing w:val="-1"/>
        </w:rPr>
        <w:t>C2.1.</w:t>
      </w:r>
      <w:r>
        <w:rPr>
          <w:rFonts w:ascii="Times New Roman"/>
          <w:b/>
          <w:color w:val="2C398A"/>
        </w:rPr>
        <w:t xml:space="preserve"> </w:t>
      </w:r>
      <w:r>
        <w:rPr>
          <w:color w:val="003399"/>
          <w:spacing w:val="-1"/>
        </w:rPr>
        <w:t>Strengthening</w:t>
      </w:r>
      <w:r>
        <w:rPr>
          <w:color w:val="003399"/>
          <w:spacing w:val="-13"/>
        </w:rPr>
        <w:t xml:space="preserve"> </w:t>
      </w:r>
      <w:r>
        <w:rPr>
          <w:color w:val="003399"/>
          <w:spacing w:val="-1"/>
        </w:rPr>
        <w:t>Capacity</w:t>
      </w:r>
      <w:r>
        <w:rPr>
          <w:color w:val="003399"/>
          <w:spacing w:val="-13"/>
        </w:rPr>
        <w:t xml:space="preserve"> </w:t>
      </w:r>
      <w:r>
        <w:rPr>
          <w:color w:val="003399"/>
          <w:spacing w:val="-1"/>
        </w:rPr>
        <w:t>To</w:t>
      </w:r>
      <w:r>
        <w:rPr>
          <w:color w:val="003399"/>
          <w:spacing w:val="-14"/>
        </w:rPr>
        <w:t xml:space="preserve"> </w:t>
      </w:r>
      <w:r>
        <w:rPr>
          <w:color w:val="003399"/>
          <w:spacing w:val="-1"/>
        </w:rPr>
        <w:t>Design</w:t>
      </w:r>
      <w:r>
        <w:rPr>
          <w:color w:val="003399"/>
          <w:spacing w:val="-13"/>
        </w:rPr>
        <w:t xml:space="preserve"> </w:t>
      </w:r>
      <w:r>
        <w:rPr>
          <w:color w:val="003399"/>
        </w:rPr>
        <w:t>And</w:t>
      </w:r>
      <w:r>
        <w:rPr>
          <w:color w:val="003399"/>
          <w:spacing w:val="-15"/>
        </w:rPr>
        <w:t xml:space="preserve"> </w:t>
      </w:r>
      <w:r>
        <w:rPr>
          <w:color w:val="003399"/>
        </w:rPr>
        <w:t>Implement</w:t>
      </w:r>
      <w:r>
        <w:rPr>
          <w:color w:val="003399"/>
          <w:spacing w:val="-12"/>
        </w:rPr>
        <w:t xml:space="preserve"> </w:t>
      </w:r>
      <w:r>
        <w:rPr>
          <w:color w:val="003399"/>
        </w:rPr>
        <w:t>Public</w:t>
      </w:r>
      <w:r>
        <w:rPr>
          <w:color w:val="003399"/>
          <w:spacing w:val="-13"/>
        </w:rPr>
        <w:t xml:space="preserve"> </w:t>
      </w:r>
      <w:r>
        <w:rPr>
          <w:color w:val="003399"/>
        </w:rPr>
        <w:t>Policies</w:t>
      </w:r>
      <w:r>
        <w:rPr>
          <w:color w:val="003399"/>
          <w:spacing w:val="-14"/>
        </w:rPr>
        <w:t xml:space="preserve"> </w:t>
      </w:r>
      <w:r>
        <w:rPr>
          <w:color w:val="003399"/>
        </w:rPr>
        <w:t>And</w:t>
      </w:r>
      <w:r>
        <w:rPr>
          <w:color w:val="003399"/>
          <w:spacing w:val="-60"/>
        </w:rPr>
        <w:t xml:space="preserve"> </w:t>
      </w:r>
      <w:r>
        <w:rPr>
          <w:color w:val="003399"/>
        </w:rPr>
        <w:t>Projects</w:t>
      </w:r>
    </w:p>
    <w:p w:rsidR="00A56FE9" w:rsidRDefault="00A56FE9">
      <w:pPr>
        <w:pStyle w:val="Tijeloteksta"/>
        <w:spacing w:before="6"/>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53728"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305809772" name="Rectangle 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44F22" id="Rectangle 271" o:spid="_x0000_s1026" style="position:absolute;margin-left:64.1pt;margin-top:-6.1pt;width:1.45pt;height:27pt;z-index:1575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Integration</w:t>
      </w:r>
      <w:r w:rsidR="00000000">
        <w:rPr>
          <w:color w:val="2C398A"/>
          <w:spacing w:val="-8"/>
        </w:rPr>
        <w:t xml:space="preserve"> </w:t>
      </w:r>
      <w:r w:rsidR="00000000">
        <w:rPr>
          <w:color w:val="2C398A"/>
        </w:rPr>
        <w:t>of</w:t>
      </w:r>
      <w:r w:rsidR="00000000">
        <w:rPr>
          <w:color w:val="2C398A"/>
          <w:spacing w:val="-7"/>
        </w:rPr>
        <w:t xml:space="preserve"> </w:t>
      </w:r>
      <w:r w:rsidR="00000000">
        <w:rPr>
          <w:color w:val="2C398A"/>
        </w:rPr>
        <w:t>strategic</w:t>
      </w:r>
      <w:r w:rsidR="00000000">
        <w:rPr>
          <w:color w:val="2C398A"/>
          <w:spacing w:val="-7"/>
        </w:rPr>
        <w:t xml:space="preserve"> </w:t>
      </w:r>
      <w:r w:rsidR="00000000">
        <w:rPr>
          <w:color w:val="2C398A"/>
        </w:rPr>
        <w:t>planning</w:t>
      </w:r>
      <w:r w:rsidR="00000000">
        <w:rPr>
          <w:color w:val="2C398A"/>
          <w:spacing w:val="-7"/>
        </w:rPr>
        <w:t xml:space="preserve"> </w:t>
      </w:r>
      <w:r w:rsidR="00000000">
        <w:rPr>
          <w:color w:val="2C398A"/>
        </w:rPr>
        <w:t>and</w:t>
      </w:r>
      <w:r w:rsidR="00000000">
        <w:rPr>
          <w:color w:val="2C398A"/>
          <w:spacing w:val="-6"/>
        </w:rPr>
        <w:t xml:space="preserve"> </w:t>
      </w:r>
      <w:r w:rsidR="00000000">
        <w:rPr>
          <w:color w:val="2C398A"/>
        </w:rPr>
        <w:t>development</w:t>
      </w:r>
      <w:r w:rsidR="00000000">
        <w:rPr>
          <w:color w:val="2C398A"/>
          <w:spacing w:val="-4"/>
        </w:rPr>
        <w:t xml:space="preserve"> </w:t>
      </w:r>
      <w:r w:rsidR="00000000">
        <w:rPr>
          <w:color w:val="2C398A"/>
        </w:rPr>
        <w:t>management</w:t>
      </w:r>
    </w:p>
    <w:p w:rsidR="00A56FE9" w:rsidRDefault="00000000">
      <w:pPr>
        <w:spacing w:before="233"/>
        <w:ind w:left="138" w:right="275"/>
        <w:jc w:val="both"/>
        <w:rPr>
          <w:i/>
          <w:sz w:val="24"/>
        </w:rPr>
      </w:pPr>
      <w:r>
        <w:rPr>
          <w:i/>
          <w:color w:val="2C398A"/>
          <w:sz w:val="24"/>
        </w:rPr>
        <w:t>2019.CSR3.2. Increase the administration’s capacity to design and implement public projects</w:t>
      </w:r>
      <w:r>
        <w:rPr>
          <w:i/>
          <w:color w:val="2C398A"/>
          <w:spacing w:val="1"/>
          <w:sz w:val="24"/>
        </w:rPr>
        <w:t xml:space="preserve"> </w:t>
      </w:r>
      <w:r>
        <w:rPr>
          <w:i/>
          <w:color w:val="2C398A"/>
          <w:sz w:val="24"/>
        </w:rPr>
        <w:t>and</w:t>
      </w:r>
      <w:r>
        <w:rPr>
          <w:i/>
          <w:color w:val="2C398A"/>
          <w:spacing w:val="-4"/>
          <w:sz w:val="24"/>
        </w:rPr>
        <w:t xml:space="preserve"> </w:t>
      </w:r>
      <w:r>
        <w:rPr>
          <w:i/>
          <w:color w:val="2C398A"/>
          <w:sz w:val="24"/>
        </w:rPr>
        <w:t>policies;</w:t>
      </w:r>
      <w:r>
        <w:rPr>
          <w:i/>
          <w:color w:val="2C398A"/>
          <w:spacing w:val="-4"/>
          <w:sz w:val="24"/>
        </w:rPr>
        <w:t xml:space="preserve"> </w:t>
      </w:r>
      <w:r>
        <w:rPr>
          <w:i/>
          <w:color w:val="2C398A"/>
          <w:sz w:val="24"/>
        </w:rPr>
        <w:t>2020.CSR3.1.</w:t>
      </w:r>
      <w:r>
        <w:rPr>
          <w:i/>
          <w:color w:val="2C398A"/>
          <w:spacing w:val="-2"/>
          <w:sz w:val="24"/>
        </w:rPr>
        <w:t xml:space="preserve"> </w:t>
      </w:r>
      <w:r>
        <w:rPr>
          <w:i/>
          <w:color w:val="2C398A"/>
          <w:sz w:val="24"/>
        </w:rPr>
        <w:t>Front-load</w:t>
      </w:r>
      <w:r>
        <w:rPr>
          <w:i/>
          <w:color w:val="2C398A"/>
          <w:spacing w:val="-2"/>
          <w:sz w:val="24"/>
        </w:rPr>
        <w:t xml:space="preserve"> </w:t>
      </w:r>
      <w:r>
        <w:rPr>
          <w:i/>
          <w:color w:val="2C398A"/>
          <w:sz w:val="24"/>
        </w:rPr>
        <w:t>mature</w:t>
      </w:r>
      <w:r>
        <w:rPr>
          <w:i/>
          <w:color w:val="2C398A"/>
          <w:spacing w:val="-4"/>
          <w:sz w:val="24"/>
        </w:rPr>
        <w:t xml:space="preserve"> </w:t>
      </w:r>
      <w:r>
        <w:rPr>
          <w:i/>
          <w:color w:val="2C398A"/>
          <w:sz w:val="24"/>
        </w:rPr>
        <w:t>public</w:t>
      </w:r>
      <w:r>
        <w:rPr>
          <w:i/>
          <w:color w:val="2C398A"/>
          <w:spacing w:val="-4"/>
          <w:sz w:val="24"/>
        </w:rPr>
        <w:t xml:space="preserve"> </w:t>
      </w:r>
      <w:r>
        <w:rPr>
          <w:i/>
          <w:color w:val="2C398A"/>
          <w:sz w:val="24"/>
        </w:rPr>
        <w:t>investment</w:t>
      </w:r>
      <w:r>
        <w:rPr>
          <w:i/>
          <w:color w:val="2C398A"/>
          <w:spacing w:val="-2"/>
          <w:sz w:val="24"/>
        </w:rPr>
        <w:t xml:space="preserve"> </w:t>
      </w:r>
      <w:r>
        <w:rPr>
          <w:i/>
          <w:color w:val="2C398A"/>
          <w:sz w:val="24"/>
        </w:rPr>
        <w:t>projects</w:t>
      </w:r>
      <w:r>
        <w:rPr>
          <w:i/>
          <w:color w:val="2C398A"/>
          <w:spacing w:val="-1"/>
          <w:sz w:val="24"/>
        </w:rPr>
        <w:t xml:space="preserve"> </w:t>
      </w:r>
      <w:r>
        <w:rPr>
          <w:i/>
          <w:color w:val="2C398A"/>
          <w:sz w:val="24"/>
        </w:rPr>
        <w:t>and</w:t>
      </w:r>
      <w:r>
        <w:rPr>
          <w:i/>
          <w:color w:val="2C398A"/>
          <w:spacing w:val="-3"/>
          <w:sz w:val="24"/>
        </w:rPr>
        <w:t xml:space="preserve"> </w:t>
      </w:r>
      <w:r>
        <w:rPr>
          <w:i/>
          <w:color w:val="2C398A"/>
          <w:sz w:val="24"/>
        </w:rPr>
        <w:t>promote</w:t>
      </w:r>
      <w:r>
        <w:rPr>
          <w:i/>
          <w:color w:val="2C398A"/>
          <w:spacing w:val="-4"/>
          <w:sz w:val="24"/>
        </w:rPr>
        <w:t xml:space="preserve"> </w:t>
      </w:r>
      <w:r>
        <w:rPr>
          <w:i/>
          <w:color w:val="2C398A"/>
          <w:sz w:val="24"/>
        </w:rPr>
        <w:t>private</w:t>
      </w:r>
      <w:r>
        <w:rPr>
          <w:i/>
          <w:color w:val="2C398A"/>
          <w:spacing w:val="-57"/>
          <w:sz w:val="24"/>
        </w:rPr>
        <w:t xml:space="preserve"> </w:t>
      </w:r>
      <w:r>
        <w:rPr>
          <w:i/>
          <w:color w:val="2C398A"/>
          <w:sz w:val="24"/>
        </w:rPr>
        <w:t>investment</w:t>
      </w:r>
      <w:r>
        <w:rPr>
          <w:i/>
          <w:color w:val="2C398A"/>
          <w:spacing w:val="-13"/>
          <w:sz w:val="24"/>
        </w:rPr>
        <w:t xml:space="preserve"> </w:t>
      </w:r>
      <w:r>
        <w:rPr>
          <w:i/>
          <w:color w:val="2C398A"/>
          <w:sz w:val="24"/>
        </w:rPr>
        <w:t>to</w:t>
      </w:r>
      <w:r>
        <w:rPr>
          <w:i/>
          <w:color w:val="2C398A"/>
          <w:spacing w:val="-13"/>
          <w:sz w:val="24"/>
        </w:rPr>
        <w:t xml:space="preserve"> </w:t>
      </w:r>
      <w:r>
        <w:rPr>
          <w:i/>
          <w:color w:val="2C398A"/>
          <w:sz w:val="24"/>
        </w:rPr>
        <w:t>foster</w:t>
      </w:r>
      <w:r>
        <w:rPr>
          <w:i/>
          <w:color w:val="2C398A"/>
          <w:spacing w:val="-12"/>
          <w:sz w:val="24"/>
        </w:rPr>
        <w:t xml:space="preserve"> </w:t>
      </w:r>
      <w:r>
        <w:rPr>
          <w:i/>
          <w:color w:val="2C398A"/>
          <w:sz w:val="24"/>
        </w:rPr>
        <w:t>the</w:t>
      </w:r>
      <w:r>
        <w:rPr>
          <w:i/>
          <w:color w:val="2C398A"/>
          <w:spacing w:val="-12"/>
          <w:sz w:val="24"/>
        </w:rPr>
        <w:t xml:space="preserve"> </w:t>
      </w:r>
      <w:r>
        <w:rPr>
          <w:i/>
          <w:color w:val="2C398A"/>
          <w:sz w:val="24"/>
        </w:rPr>
        <w:t>economic</w:t>
      </w:r>
      <w:r>
        <w:rPr>
          <w:i/>
          <w:color w:val="2C398A"/>
          <w:spacing w:val="-13"/>
          <w:sz w:val="24"/>
        </w:rPr>
        <w:t xml:space="preserve"> </w:t>
      </w:r>
      <w:r>
        <w:rPr>
          <w:i/>
          <w:color w:val="2C398A"/>
          <w:sz w:val="24"/>
        </w:rPr>
        <w:t>recovery;</w:t>
      </w:r>
      <w:r>
        <w:rPr>
          <w:i/>
          <w:color w:val="2C398A"/>
          <w:spacing w:val="-14"/>
          <w:sz w:val="24"/>
        </w:rPr>
        <w:t xml:space="preserve"> </w:t>
      </w:r>
      <w:r>
        <w:rPr>
          <w:i/>
          <w:color w:val="2C398A"/>
          <w:sz w:val="24"/>
        </w:rPr>
        <w:t>2020.CSR4.1.</w:t>
      </w:r>
      <w:r>
        <w:rPr>
          <w:i/>
          <w:color w:val="2C398A"/>
          <w:spacing w:val="-12"/>
          <w:sz w:val="24"/>
        </w:rPr>
        <w:t xml:space="preserve"> </w:t>
      </w:r>
      <w:r>
        <w:rPr>
          <w:i/>
          <w:color w:val="2C398A"/>
          <w:sz w:val="24"/>
        </w:rPr>
        <w:t>Reinforce</w:t>
      </w:r>
      <w:r>
        <w:rPr>
          <w:i/>
          <w:color w:val="2C398A"/>
          <w:spacing w:val="-14"/>
          <w:sz w:val="24"/>
        </w:rPr>
        <w:t xml:space="preserve"> </w:t>
      </w:r>
      <w:r>
        <w:rPr>
          <w:i/>
          <w:color w:val="2C398A"/>
          <w:sz w:val="24"/>
        </w:rPr>
        <w:t>the</w:t>
      </w:r>
      <w:r>
        <w:rPr>
          <w:i/>
          <w:color w:val="2C398A"/>
          <w:spacing w:val="-11"/>
          <w:sz w:val="24"/>
        </w:rPr>
        <w:t xml:space="preserve"> </w:t>
      </w:r>
      <w:r>
        <w:rPr>
          <w:i/>
          <w:color w:val="2C398A"/>
          <w:sz w:val="24"/>
        </w:rPr>
        <w:t>capacity</w:t>
      </w:r>
      <w:r>
        <w:rPr>
          <w:i/>
          <w:color w:val="2C398A"/>
          <w:spacing w:val="-14"/>
          <w:sz w:val="24"/>
        </w:rPr>
        <w:t xml:space="preserve"> </w:t>
      </w:r>
      <w:r>
        <w:rPr>
          <w:i/>
          <w:color w:val="2C398A"/>
          <w:sz w:val="24"/>
        </w:rPr>
        <w:t>and</w:t>
      </w:r>
      <w:r>
        <w:rPr>
          <w:i/>
          <w:color w:val="2C398A"/>
          <w:spacing w:val="-13"/>
          <w:sz w:val="24"/>
        </w:rPr>
        <w:t xml:space="preserve"> </w:t>
      </w:r>
      <w:r>
        <w:rPr>
          <w:i/>
          <w:color w:val="2C398A"/>
          <w:sz w:val="24"/>
        </w:rPr>
        <w:t>efficiency</w:t>
      </w:r>
      <w:r>
        <w:rPr>
          <w:i/>
          <w:color w:val="2C398A"/>
          <w:spacing w:val="-57"/>
          <w:sz w:val="24"/>
        </w:rPr>
        <w:t xml:space="preserve"> </w:t>
      </w:r>
      <w:r>
        <w:rPr>
          <w:i/>
          <w:color w:val="2C398A"/>
          <w:sz w:val="24"/>
        </w:rPr>
        <w:t>of</w:t>
      </w:r>
      <w:r>
        <w:rPr>
          <w:i/>
          <w:color w:val="2C398A"/>
          <w:spacing w:val="-11"/>
          <w:sz w:val="24"/>
        </w:rPr>
        <w:t xml:space="preserve"> </w:t>
      </w:r>
      <w:r>
        <w:rPr>
          <w:i/>
          <w:color w:val="2C398A"/>
          <w:sz w:val="24"/>
        </w:rPr>
        <w:t>the</w:t>
      </w:r>
      <w:r>
        <w:rPr>
          <w:i/>
          <w:color w:val="2C398A"/>
          <w:spacing w:val="-12"/>
          <w:sz w:val="24"/>
        </w:rPr>
        <w:t xml:space="preserve"> </w:t>
      </w:r>
      <w:r>
        <w:rPr>
          <w:i/>
          <w:color w:val="2C398A"/>
          <w:sz w:val="24"/>
        </w:rPr>
        <w:t>public</w:t>
      </w:r>
      <w:r>
        <w:rPr>
          <w:i/>
          <w:color w:val="2C398A"/>
          <w:spacing w:val="-12"/>
          <w:sz w:val="24"/>
        </w:rPr>
        <w:t xml:space="preserve"> </w:t>
      </w:r>
      <w:r>
        <w:rPr>
          <w:i/>
          <w:color w:val="2C398A"/>
          <w:sz w:val="24"/>
        </w:rPr>
        <w:t>administration</w:t>
      </w:r>
      <w:r>
        <w:rPr>
          <w:i/>
          <w:color w:val="2C398A"/>
          <w:spacing w:val="-11"/>
          <w:sz w:val="24"/>
        </w:rPr>
        <w:t xml:space="preserve"> </w:t>
      </w:r>
      <w:r>
        <w:rPr>
          <w:i/>
          <w:color w:val="2C398A"/>
          <w:sz w:val="24"/>
        </w:rPr>
        <w:t>to</w:t>
      </w:r>
      <w:r>
        <w:rPr>
          <w:i/>
          <w:color w:val="2C398A"/>
          <w:spacing w:val="-11"/>
          <w:sz w:val="24"/>
        </w:rPr>
        <w:t xml:space="preserve"> </w:t>
      </w:r>
      <w:r>
        <w:rPr>
          <w:i/>
          <w:color w:val="2C398A"/>
          <w:sz w:val="24"/>
        </w:rPr>
        <w:t>design</w:t>
      </w:r>
      <w:r>
        <w:rPr>
          <w:i/>
          <w:color w:val="2C398A"/>
          <w:spacing w:val="-10"/>
          <w:sz w:val="24"/>
        </w:rPr>
        <w:t xml:space="preserve"> </w:t>
      </w:r>
      <w:r>
        <w:rPr>
          <w:i/>
          <w:color w:val="2C398A"/>
          <w:sz w:val="24"/>
        </w:rPr>
        <w:t>and</w:t>
      </w:r>
      <w:r>
        <w:rPr>
          <w:i/>
          <w:color w:val="2C398A"/>
          <w:spacing w:val="-11"/>
          <w:sz w:val="24"/>
        </w:rPr>
        <w:t xml:space="preserve"> </w:t>
      </w:r>
      <w:r>
        <w:rPr>
          <w:i/>
          <w:color w:val="2C398A"/>
          <w:sz w:val="24"/>
        </w:rPr>
        <w:t>implement</w:t>
      </w:r>
      <w:r>
        <w:rPr>
          <w:i/>
          <w:color w:val="2C398A"/>
          <w:spacing w:val="-11"/>
          <w:sz w:val="24"/>
        </w:rPr>
        <w:t xml:space="preserve"> </w:t>
      </w:r>
      <w:r>
        <w:rPr>
          <w:i/>
          <w:color w:val="2C398A"/>
          <w:sz w:val="24"/>
        </w:rPr>
        <w:t>public</w:t>
      </w:r>
      <w:r>
        <w:rPr>
          <w:i/>
          <w:color w:val="2C398A"/>
          <w:spacing w:val="-12"/>
          <w:sz w:val="24"/>
        </w:rPr>
        <w:t xml:space="preserve"> </w:t>
      </w:r>
      <w:r>
        <w:rPr>
          <w:i/>
          <w:color w:val="2C398A"/>
          <w:sz w:val="24"/>
        </w:rPr>
        <w:t>projects</w:t>
      </w:r>
      <w:r>
        <w:rPr>
          <w:i/>
          <w:color w:val="2C398A"/>
          <w:spacing w:val="-10"/>
          <w:sz w:val="24"/>
        </w:rPr>
        <w:t xml:space="preserve"> </w:t>
      </w:r>
      <w:r>
        <w:rPr>
          <w:i/>
          <w:color w:val="2C398A"/>
          <w:sz w:val="24"/>
        </w:rPr>
        <w:t>and</w:t>
      </w:r>
      <w:r>
        <w:rPr>
          <w:i/>
          <w:color w:val="2C398A"/>
          <w:spacing w:val="-11"/>
          <w:sz w:val="24"/>
        </w:rPr>
        <w:t xml:space="preserve"> </w:t>
      </w:r>
      <w:r>
        <w:rPr>
          <w:i/>
          <w:color w:val="2C398A"/>
          <w:sz w:val="24"/>
        </w:rPr>
        <w:t>policies</w:t>
      </w:r>
      <w:r>
        <w:rPr>
          <w:i/>
          <w:color w:val="2C398A"/>
          <w:spacing w:val="-11"/>
          <w:sz w:val="24"/>
        </w:rPr>
        <w:t xml:space="preserve"> </w:t>
      </w:r>
      <w:r>
        <w:rPr>
          <w:i/>
          <w:color w:val="2C398A"/>
          <w:sz w:val="24"/>
        </w:rPr>
        <w:t>at</w:t>
      </w:r>
      <w:r>
        <w:rPr>
          <w:i/>
          <w:color w:val="2C398A"/>
          <w:spacing w:val="-11"/>
          <w:sz w:val="24"/>
        </w:rPr>
        <w:t xml:space="preserve"> </w:t>
      </w:r>
      <w:r>
        <w:rPr>
          <w:i/>
          <w:color w:val="2C398A"/>
          <w:sz w:val="24"/>
        </w:rPr>
        <w:t>central</w:t>
      </w:r>
      <w:r>
        <w:rPr>
          <w:i/>
          <w:color w:val="2C398A"/>
          <w:spacing w:val="-10"/>
          <w:sz w:val="24"/>
        </w:rPr>
        <w:t xml:space="preserve"> </w:t>
      </w:r>
      <w:r>
        <w:rPr>
          <w:i/>
          <w:color w:val="2C398A"/>
          <w:sz w:val="24"/>
        </w:rPr>
        <w:t>and</w:t>
      </w:r>
      <w:r>
        <w:rPr>
          <w:i/>
          <w:color w:val="2C398A"/>
          <w:spacing w:val="-58"/>
          <w:sz w:val="24"/>
        </w:rPr>
        <w:t xml:space="preserve"> </w:t>
      </w:r>
      <w:r>
        <w:rPr>
          <w:i/>
          <w:color w:val="2C398A"/>
          <w:sz w:val="24"/>
        </w:rPr>
        <w:t>local</w:t>
      </w:r>
      <w:r>
        <w:rPr>
          <w:i/>
          <w:color w:val="2C398A"/>
          <w:spacing w:val="-1"/>
          <w:sz w:val="24"/>
        </w:rPr>
        <w:t xml:space="preserve"> </w:t>
      </w:r>
      <w:r>
        <w:rPr>
          <w:i/>
          <w:color w:val="2C398A"/>
          <w:sz w:val="24"/>
        </w:rPr>
        <w:t>levels;</w:t>
      </w:r>
    </w:p>
    <w:p w:rsidR="00A56FE9" w:rsidRDefault="00A56FE9">
      <w:pPr>
        <w:pStyle w:val="Tijeloteksta"/>
        <w:spacing w:before="4"/>
        <w:ind w:left="0"/>
        <w:jc w:val="left"/>
        <w:rPr>
          <w:i/>
          <w:sz w:val="21"/>
        </w:rPr>
      </w:pPr>
    </w:p>
    <w:p w:rsidR="00A56FE9" w:rsidRDefault="00000000">
      <w:pPr>
        <w:pStyle w:val="Naslov5"/>
      </w:pPr>
      <w:r>
        <w:t>Progress</w:t>
      </w:r>
      <w:r>
        <w:rPr>
          <w:spacing w:val="-3"/>
        </w:rPr>
        <w:t xml:space="preserve"> </w:t>
      </w:r>
      <w:r>
        <w:t>in</w:t>
      </w:r>
      <w:r>
        <w:rPr>
          <w:spacing w:val="-2"/>
        </w:rPr>
        <w:t xml:space="preserve"> </w:t>
      </w:r>
      <w:r>
        <w:t>implementing</w:t>
      </w:r>
      <w:r>
        <w:rPr>
          <w:spacing w:val="-2"/>
        </w:rPr>
        <w:t xml:space="preserve"> </w:t>
      </w:r>
      <w:r>
        <w:t>the</w:t>
      </w:r>
      <w:r>
        <w:rPr>
          <w:spacing w:val="-1"/>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118019475"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23416646" name="Rectangle 270"/>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D76D73E" id="Group 269"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">
                <v:rect id="Rectangle 270"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" fillcolor="#2c398a" stroked="f"/>
                <w10:anchorlock/>
              </v:group>
            </w:pict>
          </mc:Fallback>
        </mc:AlternateContent>
      </w:r>
    </w:p>
    <w:p w:rsidR="00A56FE9" w:rsidRDefault="00000000">
      <w:pPr>
        <w:pStyle w:val="Tijeloteksta"/>
        <w:spacing w:before="154"/>
        <w:ind w:right="277"/>
      </w:pPr>
      <w:r>
        <w:t>Based on the NRP 2019, work has continued on the reform of the strategic planning and</w:t>
      </w:r>
      <w:r>
        <w:rPr>
          <w:spacing w:val="1"/>
        </w:rPr>
        <w:t xml:space="preserve"> </w:t>
      </w:r>
      <w:r>
        <w:t>development</w:t>
      </w:r>
      <w:r>
        <w:rPr>
          <w:spacing w:val="-4"/>
        </w:rPr>
        <w:t xml:space="preserve"> </w:t>
      </w:r>
      <w:r>
        <w:t>management</w:t>
      </w:r>
      <w:r>
        <w:rPr>
          <w:spacing w:val="-3"/>
        </w:rPr>
        <w:t xml:space="preserve"> </w:t>
      </w:r>
      <w:r>
        <w:t>system</w:t>
      </w:r>
      <w:r>
        <w:rPr>
          <w:spacing w:val="-3"/>
        </w:rPr>
        <w:t xml:space="preserve"> </w:t>
      </w:r>
      <w:r>
        <w:t>to</w:t>
      </w:r>
      <w:r>
        <w:rPr>
          <w:spacing w:val="-3"/>
        </w:rPr>
        <w:t xml:space="preserve"> </w:t>
      </w:r>
      <w:r>
        <w:t>increase</w:t>
      </w:r>
      <w:r>
        <w:rPr>
          <w:spacing w:val="-5"/>
        </w:rPr>
        <w:t xml:space="preserve"> </w:t>
      </w:r>
      <w:r>
        <w:t>the</w:t>
      </w:r>
      <w:r>
        <w:rPr>
          <w:spacing w:val="-1"/>
        </w:rPr>
        <w:t xml:space="preserve"> </w:t>
      </w:r>
      <w:r>
        <w:t>quality</w:t>
      </w:r>
      <w:r>
        <w:rPr>
          <w:spacing w:val="-10"/>
        </w:rPr>
        <w:t xml:space="preserve"> </w:t>
      </w:r>
      <w:r>
        <w:t>of</w:t>
      </w:r>
      <w:r>
        <w:rPr>
          <w:spacing w:val="-5"/>
        </w:rPr>
        <w:t xml:space="preserve"> </w:t>
      </w:r>
      <w:r>
        <w:t>formulating</w:t>
      </w:r>
      <w:r>
        <w:rPr>
          <w:spacing w:val="-6"/>
        </w:rPr>
        <w:t xml:space="preserve"> </w:t>
      </w:r>
      <w:r>
        <w:t>public</w:t>
      </w:r>
      <w:r>
        <w:rPr>
          <w:spacing w:val="-5"/>
        </w:rPr>
        <w:t xml:space="preserve"> </w:t>
      </w:r>
      <w:r>
        <w:t>policies</w:t>
      </w:r>
      <w:r>
        <w:rPr>
          <w:spacing w:val="-4"/>
        </w:rPr>
        <w:t xml:space="preserve"> </w:t>
      </w:r>
      <w:r>
        <w:t>and</w:t>
      </w:r>
      <w:r>
        <w:rPr>
          <w:spacing w:val="-4"/>
        </w:rPr>
        <w:t xml:space="preserve"> </w:t>
      </w:r>
      <w:r>
        <w:t>the</w:t>
      </w:r>
      <w:r>
        <w:rPr>
          <w:spacing w:val="-58"/>
        </w:rPr>
        <w:t xml:space="preserve"> </w:t>
      </w:r>
      <w:r>
        <w:t>quality targeting of investments from EU funds for the purpose of social progress and uniform</w:t>
      </w:r>
      <w:r>
        <w:rPr>
          <w:spacing w:val="-57"/>
        </w:rPr>
        <w:t xml:space="preserve"> </w:t>
      </w:r>
      <w:r>
        <w:t>regional</w:t>
      </w:r>
      <w:r>
        <w:rPr>
          <w:spacing w:val="-1"/>
        </w:rPr>
        <w:t xml:space="preserve"> </w:t>
      </w:r>
      <w:r>
        <w:t>development.</w:t>
      </w:r>
    </w:p>
    <w:p w:rsidR="00A56FE9" w:rsidRDefault="00000000">
      <w:pPr>
        <w:pStyle w:val="Tijeloteksta"/>
        <w:spacing w:before="120"/>
        <w:ind w:right="275"/>
      </w:pPr>
      <w:r>
        <w:t>The</w:t>
      </w:r>
      <w:r>
        <w:rPr>
          <w:spacing w:val="-5"/>
        </w:rPr>
        <w:t xml:space="preserve"> </w:t>
      </w:r>
      <w:r>
        <w:t>legislative</w:t>
      </w:r>
      <w:r>
        <w:rPr>
          <w:spacing w:val="-2"/>
        </w:rPr>
        <w:t xml:space="preserve"> </w:t>
      </w:r>
      <w:r>
        <w:t>framework</w:t>
      </w:r>
      <w:r>
        <w:rPr>
          <w:spacing w:val="-3"/>
        </w:rPr>
        <w:t xml:space="preserve"> </w:t>
      </w:r>
      <w:r>
        <w:t>of</w:t>
      </w:r>
      <w:r>
        <w:rPr>
          <w:spacing w:val="-5"/>
        </w:rPr>
        <w:t xml:space="preserve"> </w:t>
      </w:r>
      <w:r>
        <w:t>the</w:t>
      </w:r>
      <w:r>
        <w:rPr>
          <w:spacing w:val="-2"/>
        </w:rPr>
        <w:t xml:space="preserve"> </w:t>
      </w:r>
      <w:r>
        <w:t>strategic</w:t>
      </w:r>
      <w:r>
        <w:rPr>
          <w:spacing w:val="-1"/>
        </w:rPr>
        <w:t xml:space="preserve"> </w:t>
      </w:r>
      <w:r>
        <w:t>planning</w:t>
      </w:r>
      <w:r>
        <w:rPr>
          <w:spacing w:val="-6"/>
        </w:rPr>
        <w:t xml:space="preserve"> </w:t>
      </w:r>
      <w:r>
        <w:t>system</w:t>
      </w:r>
      <w:r>
        <w:rPr>
          <w:spacing w:val="-1"/>
        </w:rPr>
        <w:t xml:space="preserve"> </w:t>
      </w:r>
      <w:r>
        <w:t>in</w:t>
      </w:r>
      <w:r>
        <w:rPr>
          <w:spacing w:val="-2"/>
        </w:rPr>
        <w:t xml:space="preserve"> </w:t>
      </w:r>
      <w:r>
        <w:t>the</w:t>
      </w:r>
      <w:r>
        <w:rPr>
          <w:spacing w:val="-4"/>
        </w:rPr>
        <w:t xml:space="preserve"> </w:t>
      </w:r>
      <w:r>
        <w:t>Republic of</w:t>
      </w:r>
      <w:r>
        <w:rPr>
          <w:spacing w:val="-4"/>
        </w:rPr>
        <w:t xml:space="preserve"> </w:t>
      </w:r>
      <w:r>
        <w:t>Croatia</w:t>
      </w:r>
      <w:r>
        <w:rPr>
          <w:spacing w:val="-5"/>
        </w:rPr>
        <w:t xml:space="preserve"> </w:t>
      </w:r>
      <w:r>
        <w:t>has</w:t>
      </w:r>
      <w:r>
        <w:rPr>
          <w:spacing w:val="-3"/>
        </w:rPr>
        <w:t xml:space="preserve"> </w:t>
      </w:r>
      <w:r>
        <w:t>been</w:t>
      </w:r>
      <w:r>
        <w:rPr>
          <w:spacing w:val="-58"/>
        </w:rPr>
        <w:t xml:space="preserve"> </w:t>
      </w:r>
      <w:r>
        <w:t>in full application since 1 January 2020. The mentioned legislative framework establishes a</w:t>
      </w:r>
      <w:r>
        <w:rPr>
          <w:spacing w:val="1"/>
        </w:rPr>
        <w:t xml:space="preserve"> </w:t>
      </w:r>
      <w:r>
        <w:t>model for the standardising strategic planning procedures, has determined a clear relationship</w:t>
      </w:r>
      <w:r>
        <w:rPr>
          <w:spacing w:val="1"/>
        </w:rPr>
        <w:t xml:space="preserve"> </w:t>
      </w:r>
      <w:r>
        <w:t>between</w:t>
      </w:r>
      <w:r>
        <w:rPr>
          <w:spacing w:val="1"/>
        </w:rPr>
        <w:t xml:space="preserve"> </w:t>
      </w:r>
      <w:r>
        <w:t>long-term,</w:t>
      </w:r>
      <w:r>
        <w:rPr>
          <w:spacing w:val="1"/>
        </w:rPr>
        <w:t xml:space="preserve"> </w:t>
      </w:r>
      <w:r>
        <w:t>medium-term</w:t>
      </w:r>
      <w:r>
        <w:rPr>
          <w:spacing w:val="1"/>
        </w:rPr>
        <w:t xml:space="preserve"> </w:t>
      </w:r>
      <w:r>
        <w:t>and</w:t>
      </w:r>
      <w:r>
        <w:rPr>
          <w:spacing w:val="1"/>
        </w:rPr>
        <w:t xml:space="preserve"> </w:t>
      </w:r>
      <w:r>
        <w:t>short-term</w:t>
      </w:r>
      <w:r>
        <w:rPr>
          <w:spacing w:val="1"/>
        </w:rPr>
        <w:t xml:space="preserve"> </w:t>
      </w:r>
      <w:r>
        <w:t>strategic</w:t>
      </w:r>
      <w:r>
        <w:rPr>
          <w:spacing w:val="1"/>
        </w:rPr>
        <w:t xml:space="preserve"> </w:t>
      </w:r>
      <w:r>
        <w:t>planning</w:t>
      </w:r>
      <w:r>
        <w:rPr>
          <w:spacing w:val="1"/>
        </w:rPr>
        <w:t xml:space="preserve"> </w:t>
      </w:r>
      <w:r>
        <w:t>acts,</w:t>
      </w:r>
      <w:r>
        <w:rPr>
          <w:spacing w:val="1"/>
        </w:rPr>
        <w:t xml:space="preserve"> </w:t>
      </w:r>
      <w:r>
        <w:t>regulates</w:t>
      </w:r>
      <w:r>
        <w:rPr>
          <w:spacing w:val="1"/>
        </w:rPr>
        <w:t xml:space="preserve"> </w:t>
      </w:r>
      <w:r>
        <w:t>their</w:t>
      </w:r>
      <w:r>
        <w:rPr>
          <w:spacing w:val="1"/>
        </w:rPr>
        <w:t xml:space="preserve"> </w:t>
      </w:r>
      <w:r>
        <w:t>dependency on the budget and determines the roles and responsibilities of public authorities in</w:t>
      </w:r>
      <w:r>
        <w:rPr>
          <w:spacing w:val="-57"/>
        </w:rPr>
        <w:t xml:space="preserve"> </w:t>
      </w:r>
      <w:r>
        <w:t>prescribing</w:t>
      </w:r>
      <w:r>
        <w:rPr>
          <w:spacing w:val="-6"/>
        </w:rPr>
        <w:t xml:space="preserve"> </w:t>
      </w:r>
      <w:r>
        <w:t>strategic</w:t>
      </w:r>
      <w:r>
        <w:rPr>
          <w:spacing w:val="-3"/>
        </w:rPr>
        <w:t xml:space="preserve"> </w:t>
      </w:r>
      <w:r>
        <w:t>planning</w:t>
      </w:r>
      <w:r>
        <w:rPr>
          <w:spacing w:val="-5"/>
        </w:rPr>
        <w:t xml:space="preserve"> </w:t>
      </w:r>
      <w:r>
        <w:t>procedures.</w:t>
      </w:r>
      <w:r>
        <w:rPr>
          <w:spacing w:val="-4"/>
        </w:rPr>
        <w:t xml:space="preserve"> </w:t>
      </w:r>
      <w:r>
        <w:t>The</w:t>
      </w:r>
      <w:r>
        <w:rPr>
          <w:spacing w:val="-2"/>
        </w:rPr>
        <w:t xml:space="preserve"> </w:t>
      </w:r>
      <w:r>
        <w:t>new</w:t>
      </w:r>
      <w:r>
        <w:rPr>
          <w:spacing w:val="-3"/>
        </w:rPr>
        <w:t xml:space="preserve"> </w:t>
      </w:r>
      <w:r>
        <w:t>model</w:t>
      </w:r>
      <w:r>
        <w:rPr>
          <w:spacing w:val="-4"/>
        </w:rPr>
        <w:t xml:space="preserve"> </w:t>
      </w:r>
      <w:r>
        <w:t>ensures</w:t>
      </w:r>
      <w:r>
        <w:rPr>
          <w:spacing w:val="-3"/>
        </w:rPr>
        <w:t xml:space="preserve"> </w:t>
      </w:r>
      <w:r>
        <w:t>the</w:t>
      </w:r>
      <w:r>
        <w:rPr>
          <w:spacing w:val="-3"/>
        </w:rPr>
        <w:t xml:space="preserve"> </w:t>
      </w:r>
      <w:r>
        <w:t>measurement</w:t>
      </w:r>
      <w:r>
        <w:rPr>
          <w:spacing w:val="-3"/>
        </w:rPr>
        <w:t xml:space="preserve"> </w:t>
      </w:r>
      <w:r>
        <w:t>of</w:t>
      </w:r>
      <w:r>
        <w:rPr>
          <w:spacing w:val="-5"/>
        </w:rPr>
        <w:t xml:space="preserve"> </w:t>
      </w:r>
      <w:r>
        <w:t>success</w:t>
      </w:r>
      <w:r>
        <w:rPr>
          <w:spacing w:val="-57"/>
        </w:rPr>
        <w:t xml:space="preserve"> </w:t>
      </w:r>
      <w:r>
        <w:rPr>
          <w:spacing w:val="-1"/>
        </w:rPr>
        <w:t>in</w:t>
      </w:r>
      <w:r>
        <w:rPr>
          <w:spacing w:val="-14"/>
        </w:rPr>
        <w:t xml:space="preserve"> </w:t>
      </w:r>
      <w:r>
        <w:rPr>
          <w:spacing w:val="-1"/>
        </w:rPr>
        <w:t>implementing</w:t>
      </w:r>
      <w:r>
        <w:rPr>
          <w:spacing w:val="-16"/>
        </w:rPr>
        <w:t xml:space="preserve"> </w:t>
      </w:r>
      <w:r>
        <w:rPr>
          <w:spacing w:val="-1"/>
        </w:rPr>
        <w:t>objectives,</w:t>
      </w:r>
      <w:r>
        <w:rPr>
          <w:spacing w:val="-15"/>
        </w:rPr>
        <w:t xml:space="preserve"> </w:t>
      </w:r>
      <w:r>
        <w:t>measures</w:t>
      </w:r>
      <w:r>
        <w:rPr>
          <w:spacing w:val="-11"/>
        </w:rPr>
        <w:t xml:space="preserve"> </w:t>
      </w:r>
      <w:r>
        <w:t>and</w:t>
      </w:r>
      <w:r>
        <w:rPr>
          <w:spacing w:val="-14"/>
        </w:rPr>
        <w:t xml:space="preserve"> </w:t>
      </w:r>
      <w:r>
        <w:t>projects</w:t>
      </w:r>
      <w:r>
        <w:rPr>
          <w:spacing w:val="-14"/>
        </w:rPr>
        <w:t xml:space="preserve"> </w:t>
      </w:r>
      <w:r>
        <w:t>defined</w:t>
      </w:r>
      <w:r>
        <w:rPr>
          <w:spacing w:val="-14"/>
        </w:rPr>
        <w:t xml:space="preserve"> </w:t>
      </w:r>
      <w:r>
        <w:t>in</w:t>
      </w:r>
      <w:r>
        <w:rPr>
          <w:spacing w:val="-14"/>
        </w:rPr>
        <w:t xml:space="preserve"> </w:t>
      </w:r>
      <w:r>
        <w:t>strategic</w:t>
      </w:r>
      <w:r>
        <w:rPr>
          <w:spacing w:val="-14"/>
        </w:rPr>
        <w:t xml:space="preserve"> </w:t>
      </w:r>
      <w:r>
        <w:t>planning</w:t>
      </w:r>
      <w:r>
        <w:rPr>
          <w:spacing w:val="-16"/>
        </w:rPr>
        <w:t xml:space="preserve"> </w:t>
      </w:r>
      <w:r>
        <w:t>acts</w:t>
      </w:r>
      <w:r>
        <w:rPr>
          <w:spacing w:val="-14"/>
        </w:rPr>
        <w:t xml:space="preserve"> </w:t>
      </w:r>
      <w:r>
        <w:t>as</w:t>
      </w:r>
      <w:r>
        <w:rPr>
          <w:spacing w:val="-14"/>
        </w:rPr>
        <w:t xml:space="preserve"> </w:t>
      </w:r>
      <w:r>
        <w:t>prepared</w:t>
      </w:r>
      <w:r>
        <w:rPr>
          <w:spacing w:val="-58"/>
        </w:rPr>
        <w:t xml:space="preserve"> </w:t>
      </w:r>
      <w:r>
        <w:t>by</w:t>
      </w:r>
      <w:r>
        <w:rPr>
          <w:spacing w:val="-6"/>
        </w:rPr>
        <w:t xml:space="preserve"> </w:t>
      </w:r>
      <w:r>
        <w:t>public</w:t>
      </w:r>
      <w:r>
        <w:rPr>
          <w:spacing w:val="-1"/>
        </w:rPr>
        <w:t xml:space="preserve"> </w:t>
      </w:r>
      <w:r>
        <w:t>authorities</w:t>
      </w:r>
      <w:r>
        <w:rPr>
          <w:spacing w:val="1"/>
        </w:rPr>
        <w:t xml:space="preserve"> </w:t>
      </w:r>
      <w:r>
        <w:t>at the</w:t>
      </w:r>
      <w:r>
        <w:rPr>
          <w:spacing w:val="-1"/>
        </w:rPr>
        <w:t xml:space="preserve"> </w:t>
      </w:r>
      <w:r>
        <w:t>national, regional</w:t>
      </w:r>
      <w:r>
        <w:rPr>
          <w:spacing w:val="2"/>
        </w:rPr>
        <w:t xml:space="preserve"> </w:t>
      </w:r>
      <w:r>
        <w:t>and local levels.</w:t>
      </w:r>
    </w:p>
    <w:p w:rsidR="00A56FE9" w:rsidRDefault="00000000">
      <w:pPr>
        <w:pStyle w:val="Tijeloteksta"/>
        <w:spacing w:before="121"/>
        <w:ind w:right="280"/>
      </w:pPr>
      <w:r>
        <w:t>A number of activities have been initiated to apply a standardized approach to preparing,</w:t>
      </w:r>
      <w:r>
        <w:rPr>
          <w:spacing w:val="1"/>
        </w:rPr>
        <w:t xml:space="preserve"> </w:t>
      </w:r>
      <w:r>
        <w:t>monitoring and reporting, and evaluating the effectiveness of the implementation of public</w:t>
      </w:r>
      <w:r>
        <w:rPr>
          <w:spacing w:val="1"/>
        </w:rPr>
        <w:t xml:space="preserve"> </w:t>
      </w:r>
      <w:r>
        <w:t>policies</w:t>
      </w:r>
      <w:r>
        <w:rPr>
          <w:spacing w:val="-1"/>
        </w:rPr>
        <w:t xml:space="preserve"> </w:t>
      </w:r>
      <w:r>
        <w:t>and projects</w:t>
      </w:r>
    </w:p>
    <w:p w:rsidR="00A56FE9" w:rsidRDefault="00000000">
      <w:pPr>
        <w:pStyle w:val="Tijeloteksta"/>
        <w:spacing w:before="120"/>
        <w:ind w:right="276"/>
      </w:pPr>
      <w:r>
        <w:t>For the purpose of ensuring a standardised approach to drafting acts on strategic planning and</w:t>
      </w:r>
      <w:r>
        <w:rPr>
          <w:spacing w:val="1"/>
        </w:rPr>
        <w:t xml:space="preserve"> </w:t>
      </w:r>
      <w:r>
        <w:t>proper</w:t>
      </w:r>
      <w:r>
        <w:rPr>
          <w:spacing w:val="1"/>
        </w:rPr>
        <w:t xml:space="preserve"> </w:t>
      </w:r>
      <w:r>
        <w:t>application</w:t>
      </w:r>
      <w:r>
        <w:rPr>
          <w:spacing w:val="1"/>
        </w:rPr>
        <w:t xml:space="preserve"> </w:t>
      </w:r>
      <w:r>
        <w:t>of</w:t>
      </w:r>
      <w:r>
        <w:rPr>
          <w:spacing w:val="1"/>
        </w:rPr>
        <w:t xml:space="preserve"> </w:t>
      </w:r>
      <w:r>
        <w:t>provisions</w:t>
      </w:r>
      <w:r>
        <w:rPr>
          <w:spacing w:val="1"/>
        </w:rPr>
        <w:t xml:space="preserve"> </w:t>
      </w:r>
      <w:r>
        <w:t>from</w:t>
      </w:r>
      <w:r>
        <w:rPr>
          <w:spacing w:val="1"/>
        </w:rPr>
        <w:t xml:space="preserve"> </w:t>
      </w:r>
      <w:r>
        <w:t>the</w:t>
      </w:r>
      <w:r>
        <w:rPr>
          <w:spacing w:val="1"/>
        </w:rPr>
        <w:t xml:space="preserve"> </w:t>
      </w:r>
      <w:r>
        <w:t>legislative</w:t>
      </w:r>
      <w:r>
        <w:rPr>
          <w:spacing w:val="1"/>
        </w:rPr>
        <w:t xml:space="preserve"> </w:t>
      </w:r>
      <w:r>
        <w:t>framework,</w:t>
      </w:r>
      <w:r>
        <w:rPr>
          <w:spacing w:val="1"/>
        </w:rPr>
        <w:t xml:space="preserve"> </w:t>
      </w:r>
      <w:r>
        <w:t>written</w:t>
      </w:r>
      <w:r>
        <w:rPr>
          <w:spacing w:val="1"/>
        </w:rPr>
        <w:t xml:space="preserve"> </w:t>
      </w:r>
      <w:r>
        <w:t>instructions</w:t>
      </w:r>
      <w:r>
        <w:rPr>
          <w:spacing w:val="1"/>
        </w:rPr>
        <w:t xml:space="preserve"> </w:t>
      </w:r>
      <w:r>
        <w:t>on</w:t>
      </w:r>
      <w:r>
        <w:rPr>
          <w:spacing w:val="1"/>
        </w:rPr>
        <w:t xml:space="preserve"> </w:t>
      </w:r>
      <w:r>
        <w:t>approaches for all public authorities have been prepared. For the requirements of devising a</w:t>
      </w:r>
      <w:r>
        <w:rPr>
          <w:spacing w:val="1"/>
        </w:rPr>
        <w:t xml:space="preserve"> </w:t>
      </w:r>
      <w:r>
        <w:t>relevant</w:t>
      </w:r>
      <w:r>
        <w:rPr>
          <w:spacing w:val="1"/>
        </w:rPr>
        <w:t xml:space="preserve"> </w:t>
      </w:r>
      <w:r>
        <w:t>and</w:t>
      </w:r>
      <w:r>
        <w:rPr>
          <w:spacing w:val="1"/>
        </w:rPr>
        <w:t xml:space="preserve"> </w:t>
      </w:r>
      <w:r>
        <w:t>reliable</w:t>
      </w:r>
      <w:r>
        <w:rPr>
          <w:spacing w:val="1"/>
        </w:rPr>
        <w:t xml:space="preserve"> </w:t>
      </w:r>
      <w:r>
        <w:t>framework</w:t>
      </w:r>
      <w:r>
        <w:rPr>
          <w:spacing w:val="1"/>
        </w:rPr>
        <w:t xml:space="preserve"> </w:t>
      </w:r>
      <w:r>
        <w:t>for</w:t>
      </w:r>
      <w:r>
        <w:rPr>
          <w:spacing w:val="1"/>
        </w:rPr>
        <w:t xml:space="preserve"> </w:t>
      </w:r>
      <w:r>
        <w:t>monitoring</w:t>
      </w:r>
      <w:r>
        <w:rPr>
          <w:spacing w:val="1"/>
        </w:rPr>
        <w:t xml:space="preserve"> </w:t>
      </w:r>
      <w:r>
        <w:t>and</w:t>
      </w:r>
      <w:r>
        <w:rPr>
          <w:spacing w:val="1"/>
        </w:rPr>
        <w:t xml:space="preserve"> </w:t>
      </w:r>
      <w:r>
        <w:t>reporting</w:t>
      </w:r>
      <w:r>
        <w:rPr>
          <w:spacing w:val="1"/>
        </w:rPr>
        <w:t xml:space="preserve"> </w:t>
      </w:r>
      <w:r>
        <w:t>on</w:t>
      </w:r>
      <w:r>
        <w:rPr>
          <w:spacing w:val="1"/>
        </w:rPr>
        <w:t xml:space="preserve"> </w:t>
      </w:r>
      <w:r>
        <w:t>the</w:t>
      </w:r>
      <w:r>
        <w:rPr>
          <w:spacing w:val="1"/>
        </w:rPr>
        <w:t xml:space="preserve"> </w:t>
      </w:r>
      <w:r>
        <w:t>implementation</w:t>
      </w:r>
      <w:r>
        <w:rPr>
          <w:spacing w:val="1"/>
        </w:rPr>
        <w:t xml:space="preserve"> </w:t>
      </w:r>
      <w:r>
        <w:t>of</w:t>
      </w:r>
      <w:r>
        <w:rPr>
          <w:spacing w:val="-57"/>
        </w:rPr>
        <w:t xml:space="preserve"> </w:t>
      </w:r>
      <w:r>
        <w:t>medium-term</w:t>
      </w:r>
      <w:r>
        <w:rPr>
          <w:spacing w:val="1"/>
        </w:rPr>
        <w:t xml:space="preserve"> </w:t>
      </w:r>
      <w:r>
        <w:t>and</w:t>
      </w:r>
      <w:r>
        <w:rPr>
          <w:spacing w:val="1"/>
        </w:rPr>
        <w:t xml:space="preserve"> </w:t>
      </w:r>
      <w:r>
        <w:t>long-term</w:t>
      </w:r>
      <w:r>
        <w:rPr>
          <w:spacing w:val="1"/>
        </w:rPr>
        <w:t xml:space="preserve"> </w:t>
      </w:r>
      <w:r>
        <w:t>strategic</w:t>
      </w:r>
      <w:r>
        <w:rPr>
          <w:spacing w:val="1"/>
        </w:rPr>
        <w:t xml:space="preserve"> </w:t>
      </w:r>
      <w:r>
        <w:t>planning</w:t>
      </w:r>
      <w:r>
        <w:rPr>
          <w:spacing w:val="1"/>
        </w:rPr>
        <w:t xml:space="preserve"> </w:t>
      </w:r>
      <w:r>
        <w:t>acts,</w:t>
      </w:r>
      <w:r>
        <w:rPr>
          <w:spacing w:val="1"/>
        </w:rPr>
        <w:t xml:space="preserve"> </w:t>
      </w:r>
      <w:r>
        <w:t>the</w:t>
      </w:r>
      <w:r>
        <w:rPr>
          <w:spacing w:val="1"/>
        </w:rPr>
        <w:t xml:space="preserve"> </w:t>
      </w:r>
      <w:r>
        <w:t>Library</w:t>
      </w:r>
      <w:r>
        <w:rPr>
          <w:spacing w:val="1"/>
        </w:rPr>
        <w:t xml:space="preserve"> </w:t>
      </w:r>
      <w:r>
        <w:t>of</w:t>
      </w:r>
      <w:r>
        <w:rPr>
          <w:spacing w:val="1"/>
        </w:rPr>
        <w:t xml:space="preserve"> </w:t>
      </w:r>
      <w:r>
        <w:t>Indicators</w:t>
      </w:r>
      <w:r>
        <w:rPr>
          <w:spacing w:val="1"/>
        </w:rPr>
        <w:t xml:space="preserve"> </w:t>
      </w:r>
      <w:r>
        <w:t>has</w:t>
      </w:r>
      <w:r>
        <w:rPr>
          <w:spacing w:val="1"/>
        </w:rPr>
        <w:t xml:space="preserve"> </w:t>
      </w:r>
      <w:r>
        <w:t>been</w:t>
      </w:r>
      <w:r>
        <w:rPr>
          <w:spacing w:val="1"/>
        </w:rPr>
        <w:t xml:space="preserve"> </w:t>
      </w:r>
      <w:r>
        <w:t>established,</w:t>
      </w:r>
      <w:r>
        <w:rPr>
          <w:spacing w:val="-1"/>
        </w:rPr>
        <w:t xml:space="preserve"> </w:t>
      </w:r>
      <w:r>
        <w:t>which is regularly</w:t>
      </w:r>
      <w:r>
        <w:rPr>
          <w:spacing w:val="-5"/>
        </w:rPr>
        <w:t xml:space="preserve"> </w:t>
      </w:r>
      <w:r>
        <w:t>maintained and updated.</w:t>
      </w:r>
    </w:p>
    <w:p w:rsidR="00A56FE9" w:rsidRDefault="00000000">
      <w:pPr>
        <w:pStyle w:val="Tijeloteksta"/>
        <w:spacing w:before="121"/>
        <w:ind w:right="276"/>
      </w:pPr>
      <w:r>
        <w:t>In February 2021, the 2030 National Development Strategy (2030 NDS) was adopted as the</w:t>
      </w:r>
      <w:r>
        <w:rPr>
          <w:spacing w:val="1"/>
        </w:rPr>
        <w:t xml:space="preserve"> </w:t>
      </w:r>
      <w:r>
        <w:t>main</w:t>
      </w:r>
      <w:r>
        <w:rPr>
          <w:spacing w:val="1"/>
        </w:rPr>
        <w:t xml:space="preserve"> </w:t>
      </w:r>
      <w:r>
        <w:t>and</w:t>
      </w:r>
      <w:r>
        <w:rPr>
          <w:spacing w:val="1"/>
        </w:rPr>
        <w:t xml:space="preserve"> </w:t>
      </w:r>
      <w:r>
        <w:t>hierarchically</w:t>
      </w:r>
      <w:r>
        <w:rPr>
          <w:spacing w:val="1"/>
        </w:rPr>
        <w:t xml:space="preserve"> </w:t>
      </w:r>
      <w:r>
        <w:t>highest</w:t>
      </w:r>
      <w:r>
        <w:rPr>
          <w:spacing w:val="1"/>
        </w:rPr>
        <w:t xml:space="preserve"> </w:t>
      </w:r>
      <w:r>
        <w:t>strategic</w:t>
      </w:r>
      <w:r>
        <w:rPr>
          <w:spacing w:val="1"/>
        </w:rPr>
        <w:t xml:space="preserve"> </w:t>
      </w:r>
      <w:r>
        <w:t>planning</w:t>
      </w:r>
      <w:r>
        <w:rPr>
          <w:spacing w:val="1"/>
        </w:rPr>
        <w:t xml:space="preserve"> </w:t>
      </w:r>
      <w:r>
        <w:t>act</w:t>
      </w:r>
      <w:r>
        <w:rPr>
          <w:spacing w:val="1"/>
        </w:rPr>
        <w:t xml:space="preserve"> </w:t>
      </w:r>
      <w:r>
        <w:t>that</w:t>
      </w:r>
      <w:r>
        <w:rPr>
          <w:spacing w:val="1"/>
        </w:rPr>
        <w:t xml:space="preserve"> </w:t>
      </w:r>
      <w:r>
        <w:t>determines</w:t>
      </w:r>
      <w:r>
        <w:rPr>
          <w:spacing w:val="1"/>
        </w:rPr>
        <w:t xml:space="preserve"> </w:t>
      </w:r>
      <w:r>
        <w:t>priorities</w:t>
      </w:r>
      <w:r>
        <w:rPr>
          <w:spacing w:val="1"/>
        </w:rPr>
        <w:t xml:space="preserve"> </w:t>
      </w:r>
      <w:r>
        <w:t>for</w:t>
      </w:r>
      <w:r>
        <w:rPr>
          <w:spacing w:val="1"/>
        </w:rPr>
        <w:t xml:space="preserve"> </w:t>
      </w:r>
      <w:r>
        <w:t>the</w:t>
      </w:r>
      <w:r>
        <w:rPr>
          <w:spacing w:val="1"/>
        </w:rPr>
        <w:t xml:space="preserve"> </w:t>
      </w:r>
      <w:r>
        <w:t>development of the Republic of Croatia in the period leading to the year 2030 and sets</w:t>
      </w:r>
      <w:r>
        <w:rPr>
          <w:spacing w:val="1"/>
        </w:rPr>
        <w:t xml:space="preserve"> </w:t>
      </w:r>
      <w:r>
        <w:t>guidelines</w:t>
      </w:r>
      <w:r>
        <w:rPr>
          <w:spacing w:val="1"/>
        </w:rPr>
        <w:t xml:space="preserve"> </w:t>
      </w:r>
      <w:r>
        <w:t>for</w:t>
      </w:r>
      <w:r>
        <w:rPr>
          <w:spacing w:val="1"/>
        </w:rPr>
        <w:t xml:space="preserve"> </w:t>
      </w:r>
      <w:r>
        <w:t>programming and</w:t>
      </w:r>
      <w:r>
        <w:rPr>
          <w:spacing w:val="1"/>
        </w:rPr>
        <w:t xml:space="preserve"> </w:t>
      </w:r>
      <w:r>
        <w:t>utilisation</w:t>
      </w:r>
      <w:r>
        <w:rPr>
          <w:spacing w:val="1"/>
        </w:rPr>
        <w:t xml:space="preserve"> </w:t>
      </w:r>
      <w:r>
        <w:t>of</w:t>
      </w:r>
      <w:r>
        <w:rPr>
          <w:spacing w:val="1"/>
        </w:rPr>
        <w:t xml:space="preserve"> </w:t>
      </w:r>
      <w:r>
        <w:t>EU</w:t>
      </w:r>
      <w:r>
        <w:rPr>
          <w:spacing w:val="1"/>
        </w:rPr>
        <w:t xml:space="preserve"> </w:t>
      </w:r>
      <w:r>
        <w:t>funds in</w:t>
      </w:r>
      <w:r>
        <w:rPr>
          <w:spacing w:val="1"/>
        </w:rPr>
        <w:t xml:space="preserve"> </w:t>
      </w:r>
      <w:r>
        <w:t>the</w:t>
      </w:r>
      <w:r>
        <w:rPr>
          <w:spacing w:val="1"/>
        </w:rPr>
        <w:t xml:space="preserve"> </w:t>
      </w:r>
      <w:r>
        <w:t>coming</w:t>
      </w:r>
      <w:r>
        <w:rPr>
          <w:spacing w:val="1"/>
        </w:rPr>
        <w:t xml:space="preserve"> </w:t>
      </w:r>
      <w:r>
        <w:t>financial</w:t>
      </w:r>
      <w:r>
        <w:rPr>
          <w:spacing w:val="1"/>
        </w:rPr>
        <w:t xml:space="preserve"> </w:t>
      </w:r>
      <w:r>
        <w:t>period.</w:t>
      </w:r>
      <w:r>
        <w:rPr>
          <w:spacing w:val="1"/>
        </w:rPr>
        <w:t xml:space="preserve"> </w:t>
      </w:r>
      <w:r>
        <w:t>Preparations have begun on the medium-term strategic planning acts which will facilitate the</w:t>
      </w:r>
      <w:r>
        <w:rPr>
          <w:spacing w:val="1"/>
        </w:rPr>
        <w:t xml:space="preserve"> </w:t>
      </w:r>
      <w:r>
        <w:t>implementation of the NDS. The preparation process is complete for a number of acts, and</w:t>
      </w:r>
      <w:r>
        <w:rPr>
          <w:spacing w:val="1"/>
        </w:rPr>
        <w:t xml:space="preserve"> </w:t>
      </w:r>
      <w:r>
        <w:t>which have been adopted in 2021, whereas the remaining acts are expected to be passed in</w:t>
      </w:r>
      <w:r>
        <w:rPr>
          <w:spacing w:val="1"/>
        </w:rPr>
        <w:t xml:space="preserve"> </w:t>
      </w:r>
      <w:r>
        <w:t>2022.</w:t>
      </w:r>
    </w:p>
    <w:p w:rsidR="00A56FE9" w:rsidRDefault="00000000">
      <w:pPr>
        <w:pStyle w:val="Tijeloteksta"/>
        <w:spacing w:before="120"/>
        <w:ind w:right="273"/>
      </w:pPr>
      <w:r>
        <w:t>To implement the goals, the Government Program has been defined and along with medium-</w:t>
      </w:r>
      <w:r>
        <w:rPr>
          <w:spacing w:val="1"/>
        </w:rPr>
        <w:t xml:space="preserve"> </w:t>
      </w:r>
      <w:r>
        <w:t>term</w:t>
      </w:r>
      <w:r>
        <w:rPr>
          <w:spacing w:val="16"/>
        </w:rPr>
        <w:t xml:space="preserve"> </w:t>
      </w:r>
      <w:r>
        <w:t>strategic</w:t>
      </w:r>
      <w:r>
        <w:rPr>
          <w:spacing w:val="15"/>
        </w:rPr>
        <w:t xml:space="preserve"> </w:t>
      </w:r>
      <w:r>
        <w:t>planning</w:t>
      </w:r>
      <w:r>
        <w:rPr>
          <w:spacing w:val="16"/>
        </w:rPr>
        <w:t xml:space="preserve"> </w:t>
      </w:r>
      <w:r>
        <w:t>acts,</w:t>
      </w:r>
      <w:r>
        <w:rPr>
          <w:spacing w:val="16"/>
        </w:rPr>
        <w:t xml:space="preserve"> </w:t>
      </w:r>
      <w:r>
        <w:t>implementation</w:t>
      </w:r>
      <w:r>
        <w:rPr>
          <w:spacing w:val="16"/>
        </w:rPr>
        <w:t xml:space="preserve"> </w:t>
      </w:r>
      <w:r>
        <w:t>programs</w:t>
      </w:r>
      <w:r>
        <w:rPr>
          <w:spacing w:val="16"/>
        </w:rPr>
        <w:t xml:space="preserve"> </w:t>
      </w:r>
      <w:r>
        <w:t>for</w:t>
      </w:r>
      <w:r>
        <w:rPr>
          <w:spacing w:val="14"/>
        </w:rPr>
        <w:t xml:space="preserve"> </w:t>
      </w:r>
      <w:r>
        <w:t>state</w:t>
      </w:r>
      <w:r>
        <w:rPr>
          <w:spacing w:val="14"/>
        </w:rPr>
        <w:t xml:space="preserve"> </w:t>
      </w:r>
      <w:r>
        <w:t>administration</w:t>
      </w:r>
      <w:r>
        <w:rPr>
          <w:spacing w:val="15"/>
        </w:rPr>
        <w:t xml:space="preserve"> </w:t>
      </w:r>
      <w:r>
        <w:t>bodies</w:t>
      </w:r>
      <w:r>
        <w:rPr>
          <w:spacing w:val="16"/>
        </w:rPr>
        <w:t xml:space="preserve"> </w:t>
      </w:r>
      <w:r>
        <w:t>(SAB)</w:t>
      </w:r>
    </w:p>
    <w:p w:rsidR="00A56FE9" w:rsidRDefault="00A56FE9">
      <w:pPr>
        <w:sectPr w:rsidR="00A56FE9" w:rsidSect="00AB1E70">
          <w:pgSz w:w="11910" w:h="16840"/>
          <w:pgMar w:top="1340" w:right="1140" w:bottom="960" w:left="1280" w:header="0" w:footer="779" w:gutter="0"/>
          <w:cols w:space="720"/>
        </w:sectPr>
      </w:pPr>
    </w:p>
    <w:p w:rsidR="00A56FE9" w:rsidRDefault="00000000">
      <w:pPr>
        <w:pStyle w:val="Tijeloteksta"/>
        <w:spacing w:before="74"/>
        <w:ind w:right="274"/>
      </w:pPr>
      <w:r>
        <w:t>for the 2021-2024 period have been devised. Preparations have also been directed at the</w:t>
      </w:r>
      <w:r>
        <w:rPr>
          <w:spacing w:val="1"/>
        </w:rPr>
        <w:t xml:space="preserve"> </w:t>
      </w:r>
      <w:r>
        <w:t>implementation programs for the LRSGUs in terms of the required goals, as defined in the</w:t>
      </w:r>
      <w:r>
        <w:rPr>
          <w:spacing w:val="1"/>
        </w:rPr>
        <w:t xml:space="preserve"> </w:t>
      </w:r>
      <w:r>
        <w:t>relevant strategic planning acts of national importance. The implementation programs contain</w:t>
      </w:r>
      <w:r>
        <w:rPr>
          <w:spacing w:val="1"/>
        </w:rPr>
        <w:t xml:space="preserve"> </w:t>
      </w:r>
      <w:r>
        <w:t>measures and elements for effective implementation (implementation framework, framework</w:t>
      </w:r>
      <w:r>
        <w:rPr>
          <w:spacing w:val="1"/>
        </w:rPr>
        <w:t xml:space="preserve"> </w:t>
      </w:r>
      <w:r>
        <w:t>for monitoring progress and an indicative financial framework). Also implemented is the first</w:t>
      </w:r>
      <w:r>
        <w:rPr>
          <w:spacing w:val="1"/>
        </w:rPr>
        <w:t xml:space="preserve"> </w:t>
      </w:r>
      <w:r>
        <w:t>cycle</w:t>
      </w:r>
      <w:r>
        <w:rPr>
          <w:spacing w:val="-9"/>
        </w:rPr>
        <w:t xml:space="preserve"> </w:t>
      </w:r>
      <w:r>
        <w:t>of</w:t>
      </w:r>
      <w:r>
        <w:rPr>
          <w:spacing w:val="-8"/>
        </w:rPr>
        <w:t xml:space="preserve"> </w:t>
      </w:r>
      <w:r>
        <w:t>semi-annual</w:t>
      </w:r>
      <w:r>
        <w:rPr>
          <w:spacing w:val="-8"/>
        </w:rPr>
        <w:t xml:space="preserve"> </w:t>
      </w:r>
      <w:r>
        <w:t>reporting</w:t>
      </w:r>
      <w:r>
        <w:rPr>
          <w:spacing w:val="-10"/>
        </w:rPr>
        <w:t xml:space="preserve"> </w:t>
      </w:r>
      <w:r>
        <w:t>on</w:t>
      </w:r>
      <w:r>
        <w:rPr>
          <w:spacing w:val="-9"/>
        </w:rPr>
        <w:t xml:space="preserve"> </w:t>
      </w:r>
      <w:r>
        <w:t>the</w:t>
      </w:r>
      <w:r>
        <w:rPr>
          <w:spacing w:val="-8"/>
        </w:rPr>
        <w:t xml:space="preserve"> </w:t>
      </w:r>
      <w:r>
        <w:t>execution</w:t>
      </w:r>
      <w:r>
        <w:rPr>
          <w:spacing w:val="-9"/>
        </w:rPr>
        <w:t xml:space="preserve"> </w:t>
      </w:r>
      <w:r>
        <w:t>of</w:t>
      </w:r>
      <w:r>
        <w:rPr>
          <w:spacing w:val="-6"/>
        </w:rPr>
        <w:t xml:space="preserve"> </w:t>
      </w:r>
      <w:r>
        <w:t>the</w:t>
      </w:r>
      <w:r>
        <w:rPr>
          <w:spacing w:val="-9"/>
        </w:rPr>
        <w:t xml:space="preserve"> </w:t>
      </w:r>
      <w:r>
        <w:t>SAB</w:t>
      </w:r>
      <w:r>
        <w:rPr>
          <w:spacing w:val="-10"/>
        </w:rPr>
        <w:t xml:space="preserve"> </w:t>
      </w:r>
      <w:r>
        <w:t>implementation</w:t>
      </w:r>
      <w:r>
        <w:rPr>
          <w:spacing w:val="-9"/>
        </w:rPr>
        <w:t xml:space="preserve"> </w:t>
      </w:r>
      <w:r>
        <w:t>programs</w:t>
      </w:r>
      <w:r>
        <w:rPr>
          <w:spacing w:val="-7"/>
        </w:rPr>
        <w:t xml:space="preserve"> </w:t>
      </w:r>
      <w:r>
        <w:t>based</w:t>
      </w:r>
      <w:r>
        <w:rPr>
          <w:spacing w:val="-8"/>
        </w:rPr>
        <w:t xml:space="preserve"> </w:t>
      </w:r>
      <w:r>
        <w:t>on</w:t>
      </w:r>
      <w:r>
        <w:rPr>
          <w:spacing w:val="-58"/>
        </w:rPr>
        <w:t xml:space="preserve"> </w:t>
      </w:r>
      <w:r>
        <w:t>specific data relating to the status of the execution of defined measures, achieved values of</w:t>
      </w:r>
      <w:r>
        <w:rPr>
          <w:spacing w:val="1"/>
        </w:rPr>
        <w:t xml:space="preserve"> </w:t>
      </w:r>
      <w:r>
        <w:t>associated result indicators and budgetary funds utilised for implementation. Amendments to</w:t>
      </w:r>
      <w:r>
        <w:rPr>
          <w:spacing w:val="1"/>
        </w:rPr>
        <w:t xml:space="preserve"> </w:t>
      </w:r>
      <w:r>
        <w:t>the SAB implementation programs have also been applied in accordance with new obligations</w:t>
      </w:r>
      <w:r>
        <w:rPr>
          <w:spacing w:val="-57"/>
        </w:rPr>
        <w:t xml:space="preserve"> </w:t>
      </w:r>
      <w:r>
        <w:t>for</w:t>
      </w:r>
      <w:r>
        <w:rPr>
          <w:spacing w:val="-3"/>
        </w:rPr>
        <w:t xml:space="preserve"> </w:t>
      </w:r>
      <w:r>
        <w:t>implementing</w:t>
      </w:r>
      <w:r>
        <w:rPr>
          <w:spacing w:val="-1"/>
        </w:rPr>
        <w:t xml:space="preserve"> </w:t>
      </w:r>
      <w:r>
        <w:t>goals as determined</w:t>
      </w:r>
      <w:r>
        <w:rPr>
          <w:spacing w:val="-1"/>
        </w:rPr>
        <w:t xml:space="preserve"> </w:t>
      </w:r>
      <w:r>
        <w:t>in the</w:t>
      </w:r>
      <w:r>
        <w:rPr>
          <w:spacing w:val="-1"/>
        </w:rPr>
        <w:t xml:space="preserve"> </w:t>
      </w:r>
      <w:r>
        <w:t>adopted static</w:t>
      </w:r>
      <w:r>
        <w:rPr>
          <w:spacing w:val="-1"/>
        </w:rPr>
        <w:t xml:space="preserve"> </w:t>
      </w:r>
      <w:r>
        <w:t>planning</w:t>
      </w:r>
      <w:r>
        <w:rPr>
          <w:spacing w:val="-2"/>
        </w:rPr>
        <w:t xml:space="preserve"> </w:t>
      </w:r>
      <w:r>
        <w:t>acts.</w:t>
      </w:r>
    </w:p>
    <w:p w:rsidR="00A56FE9" w:rsidRDefault="00000000">
      <w:pPr>
        <w:pStyle w:val="Tijeloteksta"/>
        <w:spacing w:before="121"/>
        <w:ind w:right="275"/>
      </w:pPr>
      <w:r>
        <w:t>In terms of the Structural Reform Support Programming (SRSP) project titled Framework for</w:t>
      </w:r>
      <w:r>
        <w:rPr>
          <w:spacing w:val="1"/>
        </w:rPr>
        <w:t xml:space="preserve"> </w:t>
      </w:r>
      <w:r>
        <w:t>Evaluating</w:t>
      </w:r>
      <w:r>
        <w:rPr>
          <w:spacing w:val="-6"/>
        </w:rPr>
        <w:t xml:space="preserve"> </w:t>
      </w:r>
      <w:r>
        <w:t>Efficiency</w:t>
      </w:r>
      <w:r>
        <w:rPr>
          <w:spacing w:val="-8"/>
        </w:rPr>
        <w:t xml:space="preserve"> </w:t>
      </w:r>
      <w:r>
        <w:t>of Public</w:t>
      </w:r>
      <w:r>
        <w:rPr>
          <w:spacing w:val="-4"/>
        </w:rPr>
        <w:t xml:space="preserve"> </w:t>
      </w:r>
      <w:r>
        <w:t>Policies</w:t>
      </w:r>
      <w:r>
        <w:rPr>
          <w:spacing w:val="-3"/>
        </w:rPr>
        <w:t xml:space="preserve"> </w:t>
      </w:r>
      <w:r>
        <w:t>in</w:t>
      </w:r>
      <w:r>
        <w:rPr>
          <w:spacing w:val="-3"/>
        </w:rPr>
        <w:t xml:space="preserve"> </w:t>
      </w:r>
      <w:r>
        <w:t>Croatia, the</w:t>
      </w:r>
      <w:r>
        <w:rPr>
          <w:spacing w:val="-3"/>
        </w:rPr>
        <w:t xml:space="preserve"> </w:t>
      </w:r>
      <w:r>
        <w:t>Guidelines</w:t>
      </w:r>
      <w:r>
        <w:rPr>
          <w:spacing w:val="-4"/>
        </w:rPr>
        <w:t xml:space="preserve"> </w:t>
      </w:r>
      <w:r>
        <w:t>on</w:t>
      </w:r>
      <w:r>
        <w:rPr>
          <w:spacing w:val="-3"/>
        </w:rPr>
        <w:t xml:space="preserve"> </w:t>
      </w:r>
      <w:r>
        <w:t>Evaluating</w:t>
      </w:r>
      <w:r>
        <w:rPr>
          <w:spacing w:val="-5"/>
        </w:rPr>
        <w:t xml:space="preserve"> </w:t>
      </w:r>
      <w:r>
        <w:t>Efficiency</w:t>
      </w:r>
      <w:r>
        <w:rPr>
          <w:spacing w:val="-6"/>
        </w:rPr>
        <w:t xml:space="preserve"> </w:t>
      </w:r>
      <w:r>
        <w:t>of</w:t>
      </w:r>
      <w:r>
        <w:rPr>
          <w:spacing w:val="-57"/>
        </w:rPr>
        <w:t xml:space="preserve"> </w:t>
      </w:r>
      <w:r>
        <w:t>Public Policies and Projects have been prepared, including the conceptual development of a</w:t>
      </w:r>
      <w:r>
        <w:rPr>
          <w:spacing w:val="1"/>
        </w:rPr>
        <w:t xml:space="preserve"> </w:t>
      </w:r>
      <w:r>
        <w:t>platform</w:t>
      </w:r>
      <w:r>
        <w:rPr>
          <w:spacing w:val="-11"/>
        </w:rPr>
        <w:t xml:space="preserve"> </w:t>
      </w:r>
      <w:r>
        <w:t>for</w:t>
      </w:r>
      <w:r>
        <w:rPr>
          <w:spacing w:val="-12"/>
        </w:rPr>
        <w:t xml:space="preserve"> </w:t>
      </w:r>
      <w:r>
        <w:t>open</w:t>
      </w:r>
      <w:r>
        <w:rPr>
          <w:spacing w:val="-10"/>
        </w:rPr>
        <w:t xml:space="preserve"> </w:t>
      </w:r>
      <w:r>
        <w:t>data</w:t>
      </w:r>
      <w:r>
        <w:rPr>
          <w:spacing w:val="-12"/>
        </w:rPr>
        <w:t xml:space="preserve"> </w:t>
      </w:r>
      <w:r>
        <w:t>on</w:t>
      </w:r>
      <w:r>
        <w:rPr>
          <w:spacing w:val="-8"/>
        </w:rPr>
        <w:t xml:space="preserve"> </w:t>
      </w:r>
      <w:r>
        <w:t>the</w:t>
      </w:r>
      <w:r>
        <w:rPr>
          <w:spacing w:val="-11"/>
        </w:rPr>
        <w:t xml:space="preserve"> </w:t>
      </w:r>
      <w:r>
        <w:t>success</w:t>
      </w:r>
      <w:r>
        <w:rPr>
          <w:spacing w:val="-11"/>
        </w:rPr>
        <w:t xml:space="preserve"> </w:t>
      </w:r>
      <w:r>
        <w:t>of</w:t>
      </w:r>
      <w:r>
        <w:rPr>
          <w:spacing w:val="-11"/>
        </w:rPr>
        <w:t xml:space="preserve"> </w:t>
      </w:r>
      <w:r>
        <w:t>the</w:t>
      </w:r>
      <w:r>
        <w:rPr>
          <w:spacing w:val="-11"/>
        </w:rPr>
        <w:t xml:space="preserve"> </w:t>
      </w:r>
      <w:r>
        <w:t>implementation</w:t>
      </w:r>
      <w:r>
        <w:rPr>
          <w:spacing w:val="-11"/>
        </w:rPr>
        <w:t xml:space="preserve"> </w:t>
      </w:r>
      <w:r>
        <w:t>of</w:t>
      </w:r>
      <w:r>
        <w:rPr>
          <w:spacing w:val="-11"/>
        </w:rPr>
        <w:t xml:space="preserve"> </w:t>
      </w:r>
      <w:r>
        <w:t>public</w:t>
      </w:r>
      <w:r>
        <w:rPr>
          <w:spacing w:val="-11"/>
        </w:rPr>
        <w:t xml:space="preserve"> </w:t>
      </w:r>
      <w:r>
        <w:t>policies</w:t>
      </w:r>
      <w:r>
        <w:rPr>
          <w:spacing w:val="-11"/>
        </w:rPr>
        <w:t xml:space="preserve"> </w:t>
      </w:r>
      <w:r>
        <w:t>and</w:t>
      </w:r>
      <w:r>
        <w:rPr>
          <w:spacing w:val="-10"/>
        </w:rPr>
        <w:t xml:space="preserve"> </w:t>
      </w:r>
      <w:r>
        <w:t>projects.</w:t>
      </w:r>
      <w:r>
        <w:rPr>
          <w:spacing w:val="-10"/>
        </w:rPr>
        <w:t xml:space="preserve"> </w:t>
      </w:r>
      <w:r>
        <w:t>The</w:t>
      </w:r>
      <w:r>
        <w:rPr>
          <w:spacing w:val="-57"/>
        </w:rPr>
        <w:t xml:space="preserve"> </w:t>
      </w:r>
      <w:r>
        <w:t>platform facilitates reporting on the progress of implementing the 2030 NDS and associated</w:t>
      </w:r>
      <w:r>
        <w:rPr>
          <w:spacing w:val="1"/>
        </w:rPr>
        <w:t xml:space="preserve"> </w:t>
      </w:r>
      <w:r>
        <w:t>strategic</w:t>
      </w:r>
      <w:r>
        <w:rPr>
          <w:spacing w:val="-1"/>
        </w:rPr>
        <w:t xml:space="preserve"> </w:t>
      </w:r>
      <w:r>
        <w:t>planning</w:t>
      </w:r>
      <w:r>
        <w:rPr>
          <w:spacing w:val="-3"/>
        </w:rPr>
        <w:t xml:space="preserve"> </w:t>
      </w:r>
      <w:r>
        <w:t>acts.</w:t>
      </w:r>
    </w:p>
    <w:p w:rsidR="00A56FE9" w:rsidRDefault="00000000">
      <w:pPr>
        <w:pStyle w:val="Tijeloteksta"/>
        <w:spacing w:before="120"/>
        <w:ind w:right="274"/>
      </w:pPr>
      <w:r>
        <w:t>In terms of the SRSP project Improving Cost Estimates of Implementing Government Policies</w:t>
      </w:r>
      <w:r>
        <w:rPr>
          <w:spacing w:val="-57"/>
        </w:rPr>
        <w:t xml:space="preserve"> </w:t>
      </w:r>
      <w:r>
        <w:t>in</w:t>
      </w:r>
      <w:r>
        <w:rPr>
          <w:spacing w:val="1"/>
        </w:rPr>
        <w:t xml:space="preserve"> </w:t>
      </w:r>
      <w:r>
        <w:t>Strategic</w:t>
      </w:r>
      <w:r>
        <w:rPr>
          <w:spacing w:val="1"/>
        </w:rPr>
        <w:t xml:space="preserve"> </w:t>
      </w:r>
      <w:r>
        <w:t>Planning Processes,</w:t>
      </w:r>
      <w:r>
        <w:rPr>
          <w:spacing w:val="1"/>
        </w:rPr>
        <w:t xml:space="preserve"> </w:t>
      </w:r>
      <w:r>
        <w:t>a</w:t>
      </w:r>
      <w:r>
        <w:rPr>
          <w:spacing w:val="1"/>
        </w:rPr>
        <w:t xml:space="preserve"> </w:t>
      </w:r>
      <w:r>
        <w:t>proposed</w:t>
      </w:r>
      <w:r>
        <w:rPr>
          <w:spacing w:val="1"/>
        </w:rPr>
        <w:t xml:space="preserve"> </w:t>
      </w:r>
      <w:r>
        <w:t>model</w:t>
      </w:r>
      <w:r>
        <w:rPr>
          <w:spacing w:val="1"/>
        </w:rPr>
        <w:t xml:space="preserve"> </w:t>
      </w:r>
      <w:r>
        <w:t>for</w:t>
      </w:r>
      <w:r>
        <w:rPr>
          <w:spacing w:val="1"/>
        </w:rPr>
        <w:t xml:space="preserve"> </w:t>
      </w:r>
      <w:r>
        <w:t>estimating</w:t>
      </w:r>
      <w:r>
        <w:rPr>
          <w:spacing w:val="1"/>
        </w:rPr>
        <w:t xml:space="preserve"> </w:t>
      </w:r>
      <w:r>
        <w:t>costs</w:t>
      </w:r>
      <w:r>
        <w:rPr>
          <w:spacing w:val="1"/>
        </w:rPr>
        <w:t xml:space="preserve"> </w:t>
      </w:r>
      <w:r>
        <w:t>of</w:t>
      </w:r>
      <w:r>
        <w:rPr>
          <w:spacing w:val="1"/>
        </w:rPr>
        <w:t xml:space="preserve"> </w:t>
      </w:r>
      <w:r>
        <w:t>implementing</w:t>
      </w:r>
      <w:r>
        <w:rPr>
          <w:spacing w:val="-57"/>
        </w:rPr>
        <w:t xml:space="preserve"> </w:t>
      </w:r>
      <w:r>
        <w:t>structural policies and measures for investments has been prepared, including an evaluation of</w:t>
      </w:r>
      <w:r>
        <w:rPr>
          <w:spacing w:val="-57"/>
        </w:rPr>
        <w:t xml:space="preserve"> </w:t>
      </w:r>
      <w:r>
        <w:t>a model based on investment recommendations as defined in the National Recovery and</w:t>
      </w:r>
      <w:r>
        <w:rPr>
          <w:spacing w:val="1"/>
        </w:rPr>
        <w:t xml:space="preserve"> </w:t>
      </w:r>
      <w:r>
        <w:t>Resilience</w:t>
      </w:r>
      <w:r>
        <w:rPr>
          <w:spacing w:val="-2"/>
        </w:rPr>
        <w:t xml:space="preserve"> </w:t>
      </w:r>
      <w:r>
        <w:t>Plan (NRRP).</w:t>
      </w:r>
    </w:p>
    <w:p w:rsidR="00A56FE9" w:rsidRDefault="00000000">
      <w:pPr>
        <w:pStyle w:val="Tijeloteksta"/>
        <w:spacing w:before="121"/>
        <w:ind w:right="273"/>
      </w:pPr>
      <w:r>
        <w:rPr>
          <w:spacing w:val="-1"/>
        </w:rPr>
        <w:t>In</w:t>
      </w:r>
      <w:r>
        <w:rPr>
          <w:spacing w:val="-15"/>
        </w:rPr>
        <w:t xml:space="preserve"> </w:t>
      </w:r>
      <w:r>
        <w:rPr>
          <w:spacing w:val="-1"/>
        </w:rPr>
        <w:t>the</w:t>
      </w:r>
      <w:r>
        <w:rPr>
          <w:spacing w:val="-16"/>
        </w:rPr>
        <w:t xml:space="preserve"> </w:t>
      </w:r>
      <w:r>
        <w:rPr>
          <w:spacing w:val="-1"/>
        </w:rPr>
        <w:t>period</w:t>
      </w:r>
      <w:r>
        <w:rPr>
          <w:spacing w:val="-15"/>
        </w:rPr>
        <w:t xml:space="preserve"> </w:t>
      </w:r>
      <w:r>
        <w:rPr>
          <w:spacing w:val="-1"/>
        </w:rPr>
        <w:t>since</w:t>
      </w:r>
      <w:r>
        <w:rPr>
          <w:spacing w:val="-16"/>
        </w:rPr>
        <w:t xml:space="preserve"> </w:t>
      </w:r>
      <w:r>
        <w:t>2021,</w:t>
      </w:r>
      <w:r>
        <w:rPr>
          <w:spacing w:val="-12"/>
        </w:rPr>
        <w:t xml:space="preserve"> </w:t>
      </w:r>
      <w:r>
        <w:t>Croatia</w:t>
      </w:r>
      <w:r>
        <w:rPr>
          <w:spacing w:val="-16"/>
        </w:rPr>
        <w:t xml:space="preserve"> </w:t>
      </w:r>
      <w:r>
        <w:t>has</w:t>
      </w:r>
      <w:r>
        <w:rPr>
          <w:spacing w:val="-13"/>
        </w:rPr>
        <w:t xml:space="preserve"> </w:t>
      </w:r>
      <w:r>
        <w:t>had</w:t>
      </w:r>
      <w:r>
        <w:rPr>
          <w:spacing w:val="-12"/>
        </w:rPr>
        <w:t xml:space="preserve"> </w:t>
      </w:r>
      <w:r>
        <w:t>at</w:t>
      </w:r>
      <w:r>
        <w:rPr>
          <w:spacing w:val="-14"/>
        </w:rPr>
        <w:t xml:space="preserve"> </w:t>
      </w:r>
      <w:r>
        <w:t>its</w:t>
      </w:r>
      <w:r>
        <w:rPr>
          <w:spacing w:val="-14"/>
        </w:rPr>
        <w:t xml:space="preserve"> </w:t>
      </w:r>
      <w:r>
        <w:t>disposal</w:t>
      </w:r>
      <w:r>
        <w:rPr>
          <w:spacing w:val="-14"/>
        </w:rPr>
        <w:t xml:space="preserve"> </w:t>
      </w:r>
      <w:r>
        <w:t>a</w:t>
      </w:r>
      <w:r>
        <w:rPr>
          <w:spacing w:val="-16"/>
        </w:rPr>
        <w:t xml:space="preserve"> </w:t>
      </w:r>
      <w:r>
        <w:t>more</w:t>
      </w:r>
      <w:r>
        <w:rPr>
          <w:spacing w:val="-14"/>
        </w:rPr>
        <w:t xml:space="preserve"> </w:t>
      </w:r>
      <w:r>
        <w:t>considerable</w:t>
      </w:r>
      <w:r>
        <w:rPr>
          <w:spacing w:val="-13"/>
        </w:rPr>
        <w:t xml:space="preserve"> </w:t>
      </w:r>
      <w:r>
        <w:t>amount</w:t>
      </w:r>
      <w:r>
        <w:rPr>
          <w:spacing w:val="-14"/>
        </w:rPr>
        <w:t xml:space="preserve"> </w:t>
      </w:r>
      <w:r>
        <w:t>of</w:t>
      </w:r>
      <w:r>
        <w:rPr>
          <w:spacing w:val="-16"/>
        </w:rPr>
        <w:t xml:space="preserve"> </w:t>
      </w:r>
      <w:r>
        <w:t>resources</w:t>
      </w:r>
      <w:r>
        <w:rPr>
          <w:spacing w:val="-57"/>
        </w:rPr>
        <w:t xml:space="preserve"> </w:t>
      </w:r>
      <w:r>
        <w:t>from EU funds than in the period up to 2020. Timely use of available funds requires quality</w:t>
      </w:r>
      <w:r>
        <w:rPr>
          <w:spacing w:val="1"/>
        </w:rPr>
        <w:t xml:space="preserve"> </w:t>
      </w:r>
      <w:r>
        <w:t>preparation of projects for implementation. Given that the Recovery and Resilience Fund</w:t>
      </w:r>
      <w:r>
        <w:rPr>
          <w:spacing w:val="1"/>
        </w:rPr>
        <w:t xml:space="preserve"> </w:t>
      </w:r>
      <w:r>
        <w:t>(RRF), like the Cohesion Policy, supports the financing of projects on green and digital</w:t>
      </w:r>
      <w:r>
        <w:rPr>
          <w:spacing w:val="1"/>
        </w:rPr>
        <w:t xml:space="preserve"> </w:t>
      </w:r>
      <w:r>
        <w:rPr>
          <w:spacing w:val="-1"/>
        </w:rPr>
        <w:t>transition</w:t>
      </w:r>
      <w:r>
        <w:rPr>
          <w:spacing w:val="-14"/>
        </w:rPr>
        <w:t xml:space="preserve"> </w:t>
      </w:r>
      <w:r>
        <w:t>and</w:t>
      </w:r>
      <w:r>
        <w:rPr>
          <w:spacing w:val="-15"/>
        </w:rPr>
        <w:t xml:space="preserve"> </w:t>
      </w:r>
      <w:r>
        <w:t>that</w:t>
      </w:r>
      <w:r>
        <w:rPr>
          <w:spacing w:val="-14"/>
        </w:rPr>
        <w:t xml:space="preserve"> </w:t>
      </w:r>
      <w:r>
        <w:t>much</w:t>
      </w:r>
      <w:r>
        <w:rPr>
          <w:spacing w:val="-15"/>
        </w:rPr>
        <w:t xml:space="preserve"> </w:t>
      </w:r>
      <w:r>
        <w:t>of</w:t>
      </w:r>
      <w:r>
        <w:rPr>
          <w:spacing w:val="-15"/>
        </w:rPr>
        <w:t xml:space="preserve"> </w:t>
      </w:r>
      <w:r>
        <w:t>the</w:t>
      </w:r>
      <w:r>
        <w:rPr>
          <w:spacing w:val="-15"/>
        </w:rPr>
        <w:t xml:space="preserve"> </w:t>
      </w:r>
      <w:r>
        <w:t>timeframe</w:t>
      </w:r>
      <w:r>
        <w:rPr>
          <w:spacing w:val="-14"/>
        </w:rPr>
        <w:t xml:space="preserve"> </w:t>
      </w:r>
      <w:r>
        <w:t>for</w:t>
      </w:r>
      <w:r>
        <w:rPr>
          <w:spacing w:val="-16"/>
        </w:rPr>
        <w:t xml:space="preserve"> </w:t>
      </w:r>
      <w:r>
        <w:t>project</w:t>
      </w:r>
      <w:r>
        <w:rPr>
          <w:spacing w:val="-14"/>
        </w:rPr>
        <w:t xml:space="preserve"> </w:t>
      </w:r>
      <w:r>
        <w:t>implementation</w:t>
      </w:r>
      <w:r>
        <w:rPr>
          <w:spacing w:val="-13"/>
        </w:rPr>
        <w:t xml:space="preserve"> </w:t>
      </w:r>
      <w:r>
        <w:t>overlaps,</w:t>
      </w:r>
      <w:r>
        <w:rPr>
          <w:spacing w:val="-15"/>
        </w:rPr>
        <w:t xml:space="preserve"> </w:t>
      </w:r>
      <w:r>
        <w:t>a</w:t>
      </w:r>
      <w:r>
        <w:rPr>
          <w:spacing w:val="-15"/>
        </w:rPr>
        <w:t xml:space="preserve"> </w:t>
      </w:r>
      <w:r>
        <w:t>sufficient</w:t>
      </w:r>
      <w:r>
        <w:rPr>
          <w:spacing w:val="-14"/>
        </w:rPr>
        <w:t xml:space="preserve"> </w:t>
      </w:r>
      <w:r>
        <w:t>stock</w:t>
      </w:r>
      <w:r>
        <w:rPr>
          <w:spacing w:val="-57"/>
        </w:rPr>
        <w:t xml:space="preserve"> </w:t>
      </w:r>
      <w:r>
        <w:t>of</w:t>
      </w:r>
      <w:r>
        <w:rPr>
          <w:spacing w:val="-7"/>
        </w:rPr>
        <w:t xml:space="preserve"> </w:t>
      </w:r>
      <w:r>
        <w:t>projects</w:t>
      </w:r>
      <w:r>
        <w:rPr>
          <w:spacing w:val="-5"/>
        </w:rPr>
        <w:t xml:space="preserve"> </w:t>
      </w:r>
      <w:r>
        <w:t>ready</w:t>
      </w:r>
      <w:r>
        <w:rPr>
          <w:spacing w:val="-10"/>
        </w:rPr>
        <w:t xml:space="preserve"> </w:t>
      </w:r>
      <w:r>
        <w:t>for</w:t>
      </w:r>
      <w:r>
        <w:rPr>
          <w:spacing w:val="-7"/>
        </w:rPr>
        <w:t xml:space="preserve"> </w:t>
      </w:r>
      <w:r>
        <w:t>implementation</w:t>
      </w:r>
      <w:r>
        <w:rPr>
          <w:spacing w:val="-6"/>
        </w:rPr>
        <w:t xml:space="preserve"> </w:t>
      </w:r>
      <w:r>
        <w:t>in</w:t>
      </w:r>
      <w:r>
        <w:rPr>
          <w:spacing w:val="-5"/>
        </w:rPr>
        <w:t xml:space="preserve"> </w:t>
      </w:r>
      <w:r>
        <w:t>the</w:t>
      </w:r>
      <w:r>
        <w:rPr>
          <w:spacing w:val="-6"/>
        </w:rPr>
        <w:t xml:space="preserve"> </w:t>
      </w:r>
      <w:r>
        <w:t>next</w:t>
      </w:r>
      <w:r>
        <w:rPr>
          <w:spacing w:val="-5"/>
        </w:rPr>
        <w:t xml:space="preserve"> </w:t>
      </w:r>
      <w:r>
        <w:t>financial</w:t>
      </w:r>
      <w:r>
        <w:rPr>
          <w:spacing w:val="-5"/>
        </w:rPr>
        <w:t xml:space="preserve"> </w:t>
      </w:r>
      <w:r>
        <w:t>perspective</w:t>
      </w:r>
      <w:r>
        <w:rPr>
          <w:spacing w:val="-7"/>
        </w:rPr>
        <w:t xml:space="preserve"> </w:t>
      </w:r>
      <w:r>
        <w:t>relating</w:t>
      </w:r>
      <w:r>
        <w:rPr>
          <w:spacing w:val="-8"/>
        </w:rPr>
        <w:t xml:space="preserve"> </w:t>
      </w:r>
      <w:r>
        <w:t>to</w:t>
      </w:r>
      <w:r>
        <w:rPr>
          <w:spacing w:val="-5"/>
        </w:rPr>
        <w:t xml:space="preserve"> </w:t>
      </w:r>
      <w:r>
        <w:t>key</w:t>
      </w:r>
      <w:r>
        <w:rPr>
          <w:spacing w:val="-10"/>
        </w:rPr>
        <w:t xml:space="preserve"> </w:t>
      </w:r>
      <w:r>
        <w:t>areas</w:t>
      </w:r>
      <w:r>
        <w:rPr>
          <w:spacing w:val="-6"/>
        </w:rPr>
        <w:t xml:space="preserve"> </w:t>
      </w:r>
      <w:r>
        <w:t>such</w:t>
      </w:r>
      <w:r>
        <w:rPr>
          <w:spacing w:val="-57"/>
        </w:rPr>
        <w:t xml:space="preserve"> </w:t>
      </w:r>
      <w:r>
        <w:t>as green and digital should be ensured. For this purpose, the call Preparation of Project-</w:t>
      </w:r>
      <w:r>
        <w:rPr>
          <w:spacing w:val="1"/>
        </w:rPr>
        <w:t xml:space="preserve"> </w:t>
      </w:r>
      <w:r>
        <w:t>Technical</w:t>
      </w:r>
      <w:r>
        <w:rPr>
          <w:spacing w:val="1"/>
        </w:rPr>
        <w:t xml:space="preserve"> </w:t>
      </w:r>
      <w:r>
        <w:t>Documentation</w:t>
      </w:r>
      <w:r>
        <w:rPr>
          <w:spacing w:val="1"/>
        </w:rPr>
        <w:t xml:space="preserve"> </w:t>
      </w:r>
      <w:r>
        <w:t>for</w:t>
      </w:r>
      <w:r>
        <w:rPr>
          <w:spacing w:val="1"/>
        </w:rPr>
        <w:t xml:space="preserve"> </w:t>
      </w:r>
      <w:r>
        <w:t>Projects</w:t>
      </w:r>
      <w:r>
        <w:rPr>
          <w:spacing w:val="1"/>
        </w:rPr>
        <w:t xml:space="preserve"> </w:t>
      </w:r>
      <w:r>
        <w:t>in</w:t>
      </w:r>
      <w:r>
        <w:rPr>
          <w:spacing w:val="1"/>
        </w:rPr>
        <w:t xml:space="preserve"> </w:t>
      </w:r>
      <w:r>
        <w:t>the</w:t>
      </w:r>
      <w:r>
        <w:rPr>
          <w:spacing w:val="1"/>
        </w:rPr>
        <w:t xml:space="preserve"> </w:t>
      </w:r>
      <w:r>
        <w:t>Area</w:t>
      </w:r>
      <w:r>
        <w:rPr>
          <w:spacing w:val="1"/>
        </w:rPr>
        <w:t xml:space="preserve"> </w:t>
      </w:r>
      <w:r>
        <w:t>of</w:t>
      </w:r>
      <w:r>
        <w:rPr>
          <w:spacing w:val="1"/>
        </w:rPr>
        <w:t xml:space="preserve"> </w:t>
      </w:r>
      <w:r>
        <w:t>Digital</w:t>
      </w:r>
      <w:r>
        <w:rPr>
          <w:spacing w:val="1"/>
        </w:rPr>
        <w:t xml:space="preserve"> </w:t>
      </w:r>
      <w:r>
        <w:t>Transformation</w:t>
      </w:r>
      <w:r>
        <w:rPr>
          <w:spacing w:val="1"/>
        </w:rPr>
        <w:t xml:space="preserve"> </w:t>
      </w:r>
      <w:r>
        <w:t>and</w:t>
      </w:r>
      <w:r>
        <w:rPr>
          <w:spacing w:val="1"/>
        </w:rPr>
        <w:t xml:space="preserve"> </w:t>
      </w:r>
      <w:r>
        <w:t>Green</w:t>
      </w:r>
      <w:r>
        <w:rPr>
          <w:spacing w:val="-57"/>
        </w:rPr>
        <w:t xml:space="preserve"> </w:t>
      </w:r>
      <w:r>
        <w:t>Transition</w:t>
      </w:r>
      <w:r>
        <w:rPr>
          <w:spacing w:val="-1"/>
        </w:rPr>
        <w:t xml:space="preserve"> </w:t>
      </w:r>
      <w:r>
        <w:t>for</w:t>
      </w:r>
      <w:r>
        <w:rPr>
          <w:spacing w:val="1"/>
        </w:rPr>
        <w:t xml:space="preserve"> </w:t>
      </w:r>
      <w:r>
        <w:t>grants was</w:t>
      </w:r>
      <w:r>
        <w:rPr>
          <w:spacing w:val="2"/>
        </w:rPr>
        <w:t xml:space="preserve"> </w:t>
      </w:r>
      <w:r>
        <w:t>prepared and</w:t>
      </w:r>
      <w:r>
        <w:rPr>
          <w:spacing w:val="2"/>
        </w:rPr>
        <w:t xml:space="preserve"> </w:t>
      </w:r>
      <w:r>
        <w:t>announced.</w:t>
      </w:r>
    </w:p>
    <w:p w:rsidR="00A56FE9" w:rsidRDefault="00000000">
      <w:pPr>
        <w:pStyle w:val="Tijeloteksta"/>
        <w:spacing w:before="120"/>
        <w:ind w:right="280"/>
      </w:pPr>
      <w:r>
        <w:t>Work on systematic capacity building for strategic planning and development management</w:t>
      </w:r>
      <w:r>
        <w:rPr>
          <w:spacing w:val="1"/>
        </w:rPr>
        <w:t xml:space="preserve"> </w:t>
      </w:r>
      <w:r>
        <w:t>includes</w:t>
      </w:r>
      <w:r>
        <w:rPr>
          <w:spacing w:val="-12"/>
        </w:rPr>
        <w:t xml:space="preserve"> </w:t>
      </w:r>
      <w:r>
        <w:t>conducting</w:t>
      </w:r>
      <w:r>
        <w:rPr>
          <w:spacing w:val="-13"/>
        </w:rPr>
        <w:t xml:space="preserve"> </w:t>
      </w:r>
      <w:r>
        <w:t>training</w:t>
      </w:r>
      <w:r>
        <w:rPr>
          <w:spacing w:val="-13"/>
        </w:rPr>
        <w:t xml:space="preserve"> </w:t>
      </w:r>
      <w:r>
        <w:t>for</w:t>
      </w:r>
      <w:r>
        <w:rPr>
          <w:spacing w:val="-10"/>
        </w:rPr>
        <w:t xml:space="preserve"> </w:t>
      </w:r>
      <w:r>
        <w:t>civil</w:t>
      </w:r>
      <w:r>
        <w:rPr>
          <w:spacing w:val="-12"/>
        </w:rPr>
        <w:t xml:space="preserve"> </w:t>
      </w:r>
      <w:r>
        <w:t>servants</w:t>
      </w:r>
      <w:r>
        <w:rPr>
          <w:spacing w:val="-10"/>
        </w:rPr>
        <w:t xml:space="preserve"> </w:t>
      </w:r>
      <w:r>
        <w:t>at</w:t>
      </w:r>
      <w:r>
        <w:rPr>
          <w:spacing w:val="-11"/>
        </w:rPr>
        <w:t xml:space="preserve"> </w:t>
      </w:r>
      <w:r>
        <w:t>the</w:t>
      </w:r>
      <w:r>
        <w:rPr>
          <w:spacing w:val="-12"/>
        </w:rPr>
        <w:t xml:space="preserve"> </w:t>
      </w:r>
      <w:r>
        <w:t>national,</w:t>
      </w:r>
      <w:r>
        <w:rPr>
          <w:spacing w:val="-12"/>
        </w:rPr>
        <w:t xml:space="preserve"> </w:t>
      </w:r>
      <w:r>
        <w:t>regional</w:t>
      </w:r>
      <w:r>
        <w:rPr>
          <w:spacing w:val="-9"/>
        </w:rPr>
        <w:t xml:space="preserve"> </w:t>
      </w:r>
      <w:r>
        <w:t>and</w:t>
      </w:r>
      <w:r>
        <w:rPr>
          <w:spacing w:val="-11"/>
        </w:rPr>
        <w:t xml:space="preserve"> </w:t>
      </w:r>
      <w:r>
        <w:t>local</w:t>
      </w:r>
      <w:r>
        <w:rPr>
          <w:spacing w:val="-11"/>
        </w:rPr>
        <w:t xml:space="preserve"> </w:t>
      </w:r>
      <w:r>
        <w:t>levels.</w:t>
      </w:r>
      <w:r>
        <w:rPr>
          <w:spacing w:val="-9"/>
        </w:rPr>
        <w:t xml:space="preserve"> </w:t>
      </w:r>
      <w:r>
        <w:t>In</w:t>
      </w:r>
      <w:r>
        <w:rPr>
          <w:spacing w:val="-11"/>
        </w:rPr>
        <w:t xml:space="preserve"> </w:t>
      </w:r>
      <w:r>
        <w:t>2020,</w:t>
      </w:r>
      <w:r>
        <w:rPr>
          <w:spacing w:val="-58"/>
        </w:rPr>
        <w:t xml:space="preserve"> </w:t>
      </w:r>
      <w:r>
        <w:t>more</w:t>
      </w:r>
      <w:r>
        <w:rPr>
          <w:spacing w:val="-3"/>
        </w:rPr>
        <w:t xml:space="preserve"> </w:t>
      </w:r>
      <w:r>
        <w:t>than 1,200 participants participated in the</w:t>
      </w:r>
      <w:r>
        <w:rPr>
          <w:spacing w:val="-1"/>
        </w:rPr>
        <w:t xml:space="preserve"> </w:t>
      </w:r>
      <w:r>
        <w:t>courses,</w:t>
      </w:r>
      <w:r>
        <w:rPr>
          <w:spacing w:val="-1"/>
        </w:rPr>
        <w:t xml:space="preserve"> </w:t>
      </w:r>
      <w:r>
        <w:t>and more</w:t>
      </w:r>
      <w:r>
        <w:rPr>
          <w:spacing w:val="-2"/>
        </w:rPr>
        <w:t xml:space="preserve"> </w:t>
      </w:r>
      <w:r>
        <w:t>than 700 in 2021.</w:t>
      </w:r>
    </w:p>
    <w:p w:rsidR="00A56FE9" w:rsidRDefault="00000000">
      <w:pPr>
        <w:pStyle w:val="Tijeloteksta"/>
        <w:spacing w:before="120"/>
        <w:ind w:right="275"/>
      </w:pPr>
      <w:r>
        <w:t>To improve inter-departmental coordination, strengthen capacities, and exchange experiences</w:t>
      </w:r>
      <w:r>
        <w:rPr>
          <w:spacing w:val="1"/>
        </w:rPr>
        <w:t xml:space="preserve"> </w:t>
      </w:r>
      <w:r>
        <w:t>in</w:t>
      </w:r>
      <w:r>
        <w:rPr>
          <w:spacing w:val="1"/>
        </w:rPr>
        <w:t xml:space="preserve"> </w:t>
      </w:r>
      <w:r>
        <w:t>implementing</w:t>
      </w:r>
      <w:r>
        <w:rPr>
          <w:spacing w:val="1"/>
        </w:rPr>
        <w:t xml:space="preserve"> </w:t>
      </w:r>
      <w:r>
        <w:t>the</w:t>
      </w:r>
      <w:r>
        <w:rPr>
          <w:spacing w:val="1"/>
        </w:rPr>
        <w:t xml:space="preserve"> </w:t>
      </w:r>
      <w:r>
        <w:t>Strategic</w:t>
      </w:r>
      <w:r>
        <w:rPr>
          <w:spacing w:val="1"/>
        </w:rPr>
        <w:t xml:space="preserve"> </w:t>
      </w:r>
      <w:r>
        <w:t>Planning</w:t>
      </w:r>
      <w:r>
        <w:rPr>
          <w:spacing w:val="1"/>
        </w:rPr>
        <w:t xml:space="preserve"> </w:t>
      </w:r>
      <w:r>
        <w:t>and</w:t>
      </w:r>
      <w:r>
        <w:rPr>
          <w:spacing w:val="1"/>
        </w:rPr>
        <w:t xml:space="preserve"> </w:t>
      </w:r>
      <w:r>
        <w:t>Development</w:t>
      </w:r>
      <w:r>
        <w:rPr>
          <w:spacing w:val="1"/>
        </w:rPr>
        <w:t xml:space="preserve"> </w:t>
      </w:r>
      <w:r>
        <w:t>Management</w:t>
      </w:r>
      <w:r>
        <w:rPr>
          <w:spacing w:val="1"/>
        </w:rPr>
        <w:t xml:space="preserve"> </w:t>
      </w:r>
      <w:r>
        <w:t>Framework,</w:t>
      </w:r>
      <w:r>
        <w:rPr>
          <w:spacing w:val="1"/>
        </w:rPr>
        <w:t xml:space="preserve"> </w:t>
      </w:r>
      <w:r>
        <w:t>the</w:t>
      </w:r>
      <w:r>
        <w:rPr>
          <w:spacing w:val="1"/>
        </w:rPr>
        <w:t xml:space="preserve"> </w:t>
      </w:r>
      <w:r>
        <w:t>Network of Strategic Planning Coordinators was established at the national, regional and local</w:t>
      </w:r>
      <w:r>
        <w:rPr>
          <w:spacing w:val="-57"/>
        </w:rPr>
        <w:t xml:space="preserve"> </w:t>
      </w:r>
      <w:r>
        <w:t>levels,</w:t>
      </w:r>
      <w:r>
        <w:rPr>
          <w:spacing w:val="-1"/>
        </w:rPr>
        <w:t xml:space="preserve"> </w:t>
      </w:r>
      <w:r>
        <w:t>which facilitated the</w:t>
      </w:r>
      <w:r>
        <w:rPr>
          <w:spacing w:val="-1"/>
        </w:rPr>
        <w:t xml:space="preserve"> </w:t>
      </w:r>
      <w:r>
        <w:t>coordination</w:t>
      </w:r>
      <w:r>
        <w:rPr>
          <w:spacing w:val="-1"/>
        </w:rPr>
        <w:t xml:space="preserve"> </w:t>
      </w:r>
      <w:r>
        <w:t>of</w:t>
      </w:r>
      <w:r>
        <w:rPr>
          <w:spacing w:val="-1"/>
        </w:rPr>
        <w:t xml:space="preserve"> </w:t>
      </w:r>
      <w:r>
        <w:t>the strategic planning</w:t>
      </w:r>
      <w:r>
        <w:rPr>
          <w:spacing w:val="-4"/>
        </w:rPr>
        <w:t xml:space="preserve"> </w:t>
      </w:r>
      <w:r>
        <w:t>process.</w:t>
      </w:r>
    </w:p>
    <w:p w:rsidR="00A56FE9" w:rsidRDefault="00000000">
      <w:pPr>
        <w:pStyle w:val="Tijeloteksta"/>
        <w:spacing w:before="119"/>
        <w:ind w:right="271"/>
      </w:pPr>
      <w:r>
        <w:t>Croatia is continuously building its administrative capacity in its use of EU funds, which is</w:t>
      </w:r>
      <w:r>
        <w:rPr>
          <w:spacing w:val="1"/>
        </w:rPr>
        <w:t xml:space="preserve"> </w:t>
      </w:r>
      <w:r>
        <w:t>noticeable</w:t>
      </w:r>
      <w:r>
        <w:rPr>
          <w:spacing w:val="-4"/>
        </w:rPr>
        <w:t xml:space="preserve"> </w:t>
      </w:r>
      <w:r>
        <w:t>in</w:t>
      </w:r>
      <w:r>
        <w:rPr>
          <w:spacing w:val="-2"/>
        </w:rPr>
        <w:t xml:space="preserve"> </w:t>
      </w:r>
      <w:r>
        <w:t>terms</w:t>
      </w:r>
      <w:r>
        <w:rPr>
          <w:spacing w:val="-3"/>
        </w:rPr>
        <w:t xml:space="preserve"> </w:t>
      </w:r>
      <w:r>
        <w:t>of</w:t>
      </w:r>
      <w:r>
        <w:rPr>
          <w:spacing w:val="-4"/>
        </w:rPr>
        <w:t xml:space="preserve"> </w:t>
      </w:r>
      <w:r>
        <w:t>accelerating</w:t>
      </w:r>
      <w:r>
        <w:rPr>
          <w:spacing w:val="-5"/>
        </w:rPr>
        <w:t xml:space="preserve"> </w:t>
      </w:r>
      <w:r>
        <w:t>the</w:t>
      </w:r>
      <w:r>
        <w:rPr>
          <w:spacing w:val="-4"/>
        </w:rPr>
        <w:t xml:space="preserve"> </w:t>
      </w:r>
      <w:r>
        <w:t>speed</w:t>
      </w:r>
      <w:r>
        <w:rPr>
          <w:spacing w:val="-3"/>
        </w:rPr>
        <w:t xml:space="preserve"> </w:t>
      </w:r>
      <w:r>
        <w:t>of</w:t>
      </w:r>
      <w:r>
        <w:rPr>
          <w:spacing w:val="-4"/>
        </w:rPr>
        <w:t xml:space="preserve"> </w:t>
      </w:r>
      <w:r>
        <w:t>spending</w:t>
      </w:r>
      <w:r>
        <w:rPr>
          <w:spacing w:val="-6"/>
        </w:rPr>
        <w:t xml:space="preserve"> </w:t>
      </w:r>
      <w:r>
        <w:t>funds</w:t>
      </w:r>
      <w:r>
        <w:rPr>
          <w:spacing w:val="-3"/>
        </w:rPr>
        <w:t xml:space="preserve"> </w:t>
      </w:r>
      <w:r>
        <w:t>in</w:t>
      </w:r>
      <w:r>
        <w:rPr>
          <w:spacing w:val="-2"/>
        </w:rPr>
        <w:t xml:space="preserve"> </w:t>
      </w:r>
      <w:r>
        <w:t>the</w:t>
      </w:r>
      <w:r>
        <w:rPr>
          <w:spacing w:val="-4"/>
        </w:rPr>
        <w:t xml:space="preserve"> </w:t>
      </w:r>
      <w:r>
        <w:t>2014-2020</w:t>
      </w:r>
      <w:r>
        <w:rPr>
          <w:spacing w:val="-3"/>
        </w:rPr>
        <w:t xml:space="preserve"> </w:t>
      </w:r>
      <w:r>
        <w:t>period.</w:t>
      </w:r>
      <w:r>
        <w:rPr>
          <w:spacing w:val="-4"/>
        </w:rPr>
        <w:t xml:space="preserve"> </w:t>
      </w:r>
      <w:r>
        <w:t>These</w:t>
      </w:r>
      <w:r>
        <w:rPr>
          <w:spacing w:val="-57"/>
        </w:rPr>
        <w:t xml:space="preserve"> </w:t>
      </w:r>
      <w:r>
        <w:t>experiences</w:t>
      </w:r>
      <w:r>
        <w:rPr>
          <w:spacing w:val="-8"/>
        </w:rPr>
        <w:t xml:space="preserve"> </w:t>
      </w:r>
      <w:r>
        <w:t>are</w:t>
      </w:r>
      <w:r>
        <w:rPr>
          <w:spacing w:val="-11"/>
        </w:rPr>
        <w:t xml:space="preserve"> </w:t>
      </w:r>
      <w:r>
        <w:t>used</w:t>
      </w:r>
      <w:r>
        <w:rPr>
          <w:spacing w:val="-10"/>
        </w:rPr>
        <w:t xml:space="preserve"> </w:t>
      </w:r>
      <w:r>
        <w:t>in</w:t>
      </w:r>
      <w:r>
        <w:rPr>
          <w:spacing w:val="-8"/>
        </w:rPr>
        <w:t xml:space="preserve"> </w:t>
      </w:r>
      <w:r>
        <w:t>preparing</w:t>
      </w:r>
      <w:r>
        <w:rPr>
          <w:spacing w:val="-10"/>
        </w:rPr>
        <w:t xml:space="preserve"> </w:t>
      </w:r>
      <w:r>
        <w:t>activities</w:t>
      </w:r>
      <w:r>
        <w:rPr>
          <w:spacing w:val="-11"/>
        </w:rPr>
        <w:t xml:space="preserve"> </w:t>
      </w:r>
      <w:r>
        <w:t>for</w:t>
      </w:r>
      <w:r>
        <w:rPr>
          <w:spacing w:val="-11"/>
        </w:rPr>
        <w:t xml:space="preserve"> </w:t>
      </w:r>
      <w:r>
        <w:t>the</w:t>
      </w:r>
      <w:r>
        <w:rPr>
          <w:spacing w:val="-9"/>
        </w:rPr>
        <w:t xml:space="preserve"> </w:t>
      </w:r>
      <w:r>
        <w:t>2021-2027</w:t>
      </w:r>
      <w:r>
        <w:rPr>
          <w:spacing w:val="-10"/>
        </w:rPr>
        <w:t xml:space="preserve"> </w:t>
      </w:r>
      <w:r>
        <w:t>period.</w:t>
      </w:r>
      <w:r>
        <w:rPr>
          <w:spacing w:val="-9"/>
        </w:rPr>
        <w:t xml:space="preserve"> </w:t>
      </w:r>
      <w:r>
        <w:t>The</w:t>
      </w:r>
      <w:r>
        <w:rPr>
          <w:spacing w:val="-11"/>
        </w:rPr>
        <w:t xml:space="preserve"> </w:t>
      </w:r>
      <w:r>
        <w:t>basic</w:t>
      </w:r>
      <w:r>
        <w:rPr>
          <w:spacing w:val="-11"/>
        </w:rPr>
        <w:t xml:space="preserve"> </w:t>
      </w:r>
      <w:r>
        <w:t>prerequisite</w:t>
      </w:r>
      <w:r>
        <w:rPr>
          <w:spacing w:val="-8"/>
        </w:rPr>
        <w:t xml:space="preserve"> </w:t>
      </w:r>
      <w:r>
        <w:t>for</w:t>
      </w:r>
      <w:r>
        <w:rPr>
          <w:spacing w:val="-58"/>
        </w:rPr>
        <w:t xml:space="preserve"> </w:t>
      </w:r>
      <w:r>
        <w:t>the</w:t>
      </w:r>
      <w:r>
        <w:rPr>
          <w:spacing w:val="-12"/>
        </w:rPr>
        <w:t xml:space="preserve"> </w:t>
      </w:r>
      <w:r>
        <w:t>use</w:t>
      </w:r>
      <w:r>
        <w:rPr>
          <w:spacing w:val="-11"/>
        </w:rPr>
        <w:t xml:space="preserve"> </w:t>
      </w:r>
      <w:r>
        <w:t>of</w:t>
      </w:r>
      <w:r>
        <w:rPr>
          <w:spacing w:val="-10"/>
        </w:rPr>
        <w:t xml:space="preserve"> </w:t>
      </w:r>
      <w:r>
        <w:t>funds</w:t>
      </w:r>
      <w:r>
        <w:rPr>
          <w:spacing w:val="-11"/>
        </w:rPr>
        <w:t xml:space="preserve"> </w:t>
      </w:r>
      <w:r>
        <w:t>in</w:t>
      </w:r>
      <w:r>
        <w:rPr>
          <w:spacing w:val="-11"/>
        </w:rPr>
        <w:t xml:space="preserve"> </w:t>
      </w:r>
      <w:r>
        <w:t>the</w:t>
      </w:r>
      <w:r>
        <w:rPr>
          <w:spacing w:val="-8"/>
        </w:rPr>
        <w:t xml:space="preserve"> </w:t>
      </w:r>
      <w:r>
        <w:t>period</w:t>
      </w:r>
      <w:r>
        <w:rPr>
          <w:spacing w:val="-11"/>
        </w:rPr>
        <w:t xml:space="preserve"> </w:t>
      </w:r>
      <w:r>
        <w:t>2021-2027</w:t>
      </w:r>
      <w:r>
        <w:rPr>
          <w:spacing w:val="-10"/>
        </w:rPr>
        <w:t xml:space="preserve"> </w:t>
      </w:r>
      <w:r>
        <w:t>is</w:t>
      </w:r>
      <w:r>
        <w:rPr>
          <w:spacing w:val="-10"/>
        </w:rPr>
        <w:t xml:space="preserve"> </w:t>
      </w:r>
      <w:r>
        <w:t>the</w:t>
      </w:r>
      <w:r>
        <w:rPr>
          <w:spacing w:val="-11"/>
        </w:rPr>
        <w:t xml:space="preserve"> </w:t>
      </w:r>
      <w:r>
        <w:t>establishment</w:t>
      </w:r>
      <w:r>
        <w:rPr>
          <w:spacing w:val="-11"/>
        </w:rPr>
        <w:t xml:space="preserve"> </w:t>
      </w:r>
      <w:r>
        <w:t>of</w:t>
      </w:r>
      <w:r>
        <w:rPr>
          <w:spacing w:val="-11"/>
        </w:rPr>
        <w:t xml:space="preserve"> </w:t>
      </w:r>
      <w:r>
        <w:t>an</w:t>
      </w:r>
      <w:r>
        <w:rPr>
          <w:spacing w:val="-10"/>
        </w:rPr>
        <w:t xml:space="preserve"> </w:t>
      </w:r>
      <w:r>
        <w:t>institutional</w:t>
      </w:r>
      <w:r>
        <w:rPr>
          <w:spacing w:val="-11"/>
        </w:rPr>
        <w:t xml:space="preserve"> </w:t>
      </w:r>
      <w:r>
        <w:t>framework</w:t>
      </w:r>
      <w:r>
        <w:rPr>
          <w:spacing w:val="-8"/>
        </w:rPr>
        <w:t xml:space="preserve"> </w:t>
      </w:r>
      <w:r>
        <w:t>(Act</w:t>
      </w:r>
      <w:r>
        <w:rPr>
          <w:spacing w:val="-58"/>
        </w:rPr>
        <w:t xml:space="preserve"> </w:t>
      </w:r>
      <w:r>
        <w:t>on the Institutional Framework for the Use of European Union Funds in the Republic of</w:t>
      </w:r>
      <w:r>
        <w:rPr>
          <w:spacing w:val="1"/>
        </w:rPr>
        <w:t xml:space="preserve"> </w:t>
      </w:r>
      <w:r>
        <w:t>Croatia</w:t>
      </w:r>
      <w:r>
        <w:rPr>
          <w:vertAlign w:val="superscript"/>
        </w:rPr>
        <w:t>24</w:t>
      </w:r>
      <w:r>
        <w:t xml:space="preserve"> and regulations stemming from it) which will define the Coordinating Body (and</w:t>
      </w:r>
      <w:r>
        <w:rPr>
          <w:spacing w:val="1"/>
        </w:rPr>
        <w:t xml:space="preserve"> </w:t>
      </w:r>
      <w:r>
        <w:t>programme bodies in terms of shared management, and which are also covered by investment</w:t>
      </w:r>
      <w:r>
        <w:rPr>
          <w:spacing w:val="1"/>
        </w:rPr>
        <w:t xml:space="preserve"> </w:t>
      </w:r>
      <w:r>
        <w:t>funds and instruments of the European Union in the Republic of Croatia (NCC). Within the</w:t>
      </w:r>
      <w:r>
        <w:rPr>
          <w:spacing w:val="1"/>
        </w:rPr>
        <w:t xml:space="preserve"> </w:t>
      </w:r>
      <w:r>
        <w:t>competence</w:t>
      </w:r>
      <w:r>
        <w:rPr>
          <w:spacing w:val="-1"/>
        </w:rPr>
        <w:t xml:space="preserve"> </w:t>
      </w:r>
      <w:r>
        <w:t>of the NCC,</w:t>
      </w:r>
      <w:r>
        <w:rPr>
          <w:spacing w:val="-1"/>
        </w:rPr>
        <w:t xml:space="preserve"> </w:t>
      </w:r>
      <w:r>
        <w:t>a cooperation mechanism</w:t>
      </w:r>
      <w:r>
        <w:rPr>
          <w:spacing w:val="2"/>
        </w:rPr>
        <w:t xml:space="preserve"> </w:t>
      </w:r>
      <w:r>
        <w:t>has</w:t>
      </w:r>
      <w:r>
        <w:rPr>
          <w:spacing w:val="1"/>
        </w:rPr>
        <w:t xml:space="preserve"> </w:t>
      </w:r>
      <w:r>
        <w:t>been</w:t>
      </w:r>
      <w:r>
        <w:rPr>
          <w:spacing w:val="1"/>
        </w:rPr>
        <w:t xml:space="preserve"> </w:t>
      </w:r>
      <w:r>
        <w:t>established between</w:t>
      </w:r>
      <w:r>
        <w:rPr>
          <w:spacing w:val="1"/>
        </w:rPr>
        <w:t xml:space="preserve"> </w:t>
      </w:r>
      <w:r>
        <w:t>the Office of</w:t>
      </w:r>
    </w:p>
    <w:p w:rsidR="00A56FE9" w:rsidRDefault="00CC1B9B">
      <w:pPr>
        <w:pStyle w:val="Tijeloteksta"/>
        <w:spacing w:before="8"/>
        <w:ind w:left="0"/>
        <w:jc w:val="left"/>
        <w:rPr>
          <w:sz w:val="21"/>
        </w:rPr>
      </w:pPr>
      <w:r>
        <w:rPr>
          <w:noProof/>
        </w:rPr>
        <mc:AlternateContent>
          <mc:Choice Requires="wps">
            <w:drawing>
              <wp:anchor distT="0" distB="0" distL="0" distR="0" simplePos="0" relativeHeight="487613440" behindDoc="1" locked="0" layoutInCell="1" allowOverlap="1">
                <wp:simplePos x="0" y="0"/>
                <wp:positionH relativeFrom="page">
                  <wp:posOffset>901065</wp:posOffset>
                </wp:positionH>
                <wp:positionV relativeFrom="paragraph">
                  <wp:posOffset>183515</wp:posOffset>
                </wp:positionV>
                <wp:extent cx="1828800" cy="7620"/>
                <wp:effectExtent l="0" t="0" r="0" b="0"/>
                <wp:wrapTopAndBottom/>
                <wp:docPr id="681024479"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01CA6" id="Rectangle 268" o:spid="_x0000_s1026" style="position:absolute;margin-left:70.95pt;margin-top:14.45pt;width:2in;height:.6pt;z-index:-15703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24</w:t>
      </w:r>
      <w:r>
        <w:rPr>
          <w:spacing w:val="-1"/>
          <w:sz w:val="16"/>
        </w:rPr>
        <w:t xml:space="preserve"> </w:t>
      </w:r>
      <w:r>
        <w:rPr>
          <w:sz w:val="16"/>
        </w:rPr>
        <w:t>OG</w:t>
      </w:r>
      <w:r>
        <w:rPr>
          <w:spacing w:val="-3"/>
          <w:sz w:val="16"/>
        </w:rPr>
        <w:t xml:space="preserve"> </w:t>
      </w:r>
      <w:r>
        <w:rPr>
          <w:sz w:val="16"/>
        </w:rPr>
        <w:t>116/21</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ind w:right="272"/>
      </w:pPr>
      <w:r>
        <w:rPr>
          <w:spacing w:val="-1"/>
        </w:rPr>
        <w:t>the</w:t>
      </w:r>
      <w:r>
        <w:rPr>
          <w:spacing w:val="-11"/>
        </w:rPr>
        <w:t xml:space="preserve"> </w:t>
      </w:r>
      <w:r>
        <w:rPr>
          <w:spacing w:val="-1"/>
        </w:rPr>
        <w:t>Prime</w:t>
      </w:r>
      <w:r>
        <w:rPr>
          <w:spacing w:val="-11"/>
        </w:rPr>
        <w:t xml:space="preserve"> </w:t>
      </w:r>
      <w:r>
        <w:t>Minister,</w:t>
      </w:r>
      <w:r>
        <w:rPr>
          <w:spacing w:val="-10"/>
        </w:rPr>
        <w:t xml:space="preserve"> </w:t>
      </w:r>
      <w:r>
        <w:t>the</w:t>
      </w:r>
      <w:r>
        <w:rPr>
          <w:spacing w:val="-10"/>
        </w:rPr>
        <w:t xml:space="preserve"> </w:t>
      </w:r>
      <w:r>
        <w:t>Ministry</w:t>
      </w:r>
      <w:r>
        <w:rPr>
          <w:spacing w:val="-15"/>
        </w:rPr>
        <w:t xml:space="preserve"> </w:t>
      </w:r>
      <w:r>
        <w:t>of</w:t>
      </w:r>
      <w:r>
        <w:rPr>
          <w:spacing w:val="-9"/>
        </w:rPr>
        <w:t xml:space="preserve"> </w:t>
      </w:r>
      <w:r>
        <w:t>Finance</w:t>
      </w:r>
      <w:r>
        <w:rPr>
          <w:spacing w:val="-9"/>
        </w:rPr>
        <w:t xml:space="preserve"> </w:t>
      </w:r>
      <w:r>
        <w:t>(MFIN)</w:t>
      </w:r>
      <w:r>
        <w:rPr>
          <w:spacing w:val="-10"/>
        </w:rPr>
        <w:t xml:space="preserve"> </w:t>
      </w:r>
      <w:r>
        <w:t>and</w:t>
      </w:r>
      <w:r>
        <w:rPr>
          <w:spacing w:val="-10"/>
        </w:rPr>
        <w:t xml:space="preserve"> </w:t>
      </w:r>
      <w:r>
        <w:t>the</w:t>
      </w:r>
      <w:r>
        <w:rPr>
          <w:spacing w:val="-8"/>
        </w:rPr>
        <w:t xml:space="preserve"> </w:t>
      </w:r>
      <w:r>
        <w:t>Ministry</w:t>
      </w:r>
      <w:r>
        <w:rPr>
          <w:spacing w:val="-12"/>
        </w:rPr>
        <w:t xml:space="preserve"> </w:t>
      </w:r>
      <w:r>
        <w:t>of</w:t>
      </w:r>
      <w:r>
        <w:rPr>
          <w:spacing w:val="-10"/>
        </w:rPr>
        <w:t xml:space="preserve"> </w:t>
      </w:r>
      <w:r>
        <w:t>Regional</w:t>
      </w:r>
      <w:r>
        <w:rPr>
          <w:spacing w:val="-10"/>
        </w:rPr>
        <w:t xml:space="preserve"> </w:t>
      </w:r>
      <w:r>
        <w:t>Development</w:t>
      </w:r>
      <w:r>
        <w:rPr>
          <w:spacing w:val="-58"/>
        </w:rPr>
        <w:t xml:space="preserve"> </w:t>
      </w:r>
      <w:r>
        <w:t>and</w:t>
      </w:r>
      <w:r>
        <w:rPr>
          <w:spacing w:val="-4"/>
        </w:rPr>
        <w:t xml:space="preserve"> </w:t>
      </w:r>
      <w:r>
        <w:t>EU</w:t>
      </w:r>
      <w:r>
        <w:rPr>
          <w:spacing w:val="-5"/>
        </w:rPr>
        <w:t xml:space="preserve"> </w:t>
      </w:r>
      <w:r>
        <w:t>Funds</w:t>
      </w:r>
      <w:r>
        <w:rPr>
          <w:spacing w:val="-1"/>
        </w:rPr>
        <w:t xml:space="preserve"> </w:t>
      </w:r>
      <w:r>
        <w:t>(MRDEUF)</w:t>
      </w:r>
      <w:r>
        <w:rPr>
          <w:spacing w:val="-5"/>
        </w:rPr>
        <w:t xml:space="preserve"> </w:t>
      </w:r>
      <w:r>
        <w:t>for</w:t>
      </w:r>
      <w:r>
        <w:rPr>
          <w:spacing w:val="-5"/>
        </w:rPr>
        <w:t xml:space="preserve"> </w:t>
      </w:r>
      <w:r>
        <w:t>the</w:t>
      </w:r>
      <w:r>
        <w:rPr>
          <w:spacing w:val="-4"/>
        </w:rPr>
        <w:t xml:space="preserve"> </w:t>
      </w:r>
      <w:r>
        <w:t>use</w:t>
      </w:r>
      <w:r>
        <w:rPr>
          <w:spacing w:val="-5"/>
        </w:rPr>
        <w:t xml:space="preserve"> </w:t>
      </w:r>
      <w:r>
        <w:t>of</w:t>
      </w:r>
      <w:r>
        <w:rPr>
          <w:spacing w:val="-2"/>
        </w:rPr>
        <w:t xml:space="preserve"> </w:t>
      </w:r>
      <w:r>
        <w:t>crucial</w:t>
      </w:r>
      <w:r>
        <w:rPr>
          <w:spacing w:val="-4"/>
        </w:rPr>
        <w:t xml:space="preserve"> </w:t>
      </w:r>
      <w:r>
        <w:t>resources</w:t>
      </w:r>
      <w:r>
        <w:rPr>
          <w:spacing w:val="-1"/>
        </w:rPr>
        <w:t xml:space="preserve"> </w:t>
      </w:r>
      <w:r>
        <w:t>from</w:t>
      </w:r>
      <w:r>
        <w:rPr>
          <w:spacing w:val="-3"/>
        </w:rPr>
        <w:t xml:space="preserve"> </w:t>
      </w:r>
      <w:r>
        <w:t>EU</w:t>
      </w:r>
      <w:r>
        <w:rPr>
          <w:spacing w:val="-5"/>
        </w:rPr>
        <w:t xml:space="preserve"> </w:t>
      </w:r>
      <w:r>
        <w:t>funds.</w:t>
      </w:r>
      <w:r>
        <w:rPr>
          <w:spacing w:val="-1"/>
        </w:rPr>
        <w:t xml:space="preserve"> </w:t>
      </w:r>
      <w:r>
        <w:t>Given</w:t>
      </w:r>
      <w:r>
        <w:rPr>
          <w:spacing w:val="-4"/>
        </w:rPr>
        <w:t xml:space="preserve"> </w:t>
      </w:r>
      <w:r>
        <w:t>that</w:t>
      </w:r>
      <w:r>
        <w:rPr>
          <w:spacing w:val="-4"/>
        </w:rPr>
        <w:t xml:space="preserve"> </w:t>
      </w:r>
      <w:r>
        <w:t>progress</w:t>
      </w:r>
      <w:r>
        <w:rPr>
          <w:spacing w:val="-58"/>
        </w:rPr>
        <w:t xml:space="preserve"> </w:t>
      </w:r>
      <w:r>
        <w:t>in ensuring sufficient (quantitative and qualitative) capacity remains relevant, the legislative</w:t>
      </w:r>
      <w:r>
        <w:rPr>
          <w:spacing w:val="1"/>
        </w:rPr>
        <w:t xml:space="preserve"> </w:t>
      </w:r>
      <w:r>
        <w:t>framework also institutionalises the scope of responsibility for strengthening capacity, both</w:t>
      </w:r>
      <w:r>
        <w:rPr>
          <w:spacing w:val="1"/>
        </w:rPr>
        <w:t xml:space="preserve"> </w:t>
      </w:r>
      <w:r>
        <w:t>within the institutional framework for the use of EU funds and potential beneficiaries and</w:t>
      </w:r>
      <w:r>
        <w:rPr>
          <w:spacing w:val="1"/>
        </w:rPr>
        <w:t xml:space="preserve"> </w:t>
      </w:r>
      <w:r>
        <w:t>partners.</w:t>
      </w:r>
    </w:p>
    <w:p w:rsidR="00A56FE9" w:rsidRDefault="00000000">
      <w:pPr>
        <w:pStyle w:val="Tijeloteksta"/>
        <w:spacing w:before="121"/>
        <w:ind w:right="278"/>
      </w:pPr>
      <w:r>
        <w:t>To approach the issue of capacity building of the institutional framework for the use of EU</w:t>
      </w:r>
      <w:r>
        <w:rPr>
          <w:spacing w:val="1"/>
        </w:rPr>
        <w:t xml:space="preserve"> </w:t>
      </w:r>
      <w:r>
        <w:t>funds</w:t>
      </w:r>
      <w:r>
        <w:rPr>
          <w:spacing w:val="-4"/>
        </w:rPr>
        <w:t xml:space="preserve"> </w:t>
      </w:r>
      <w:r>
        <w:t>in</w:t>
      </w:r>
      <w:r>
        <w:rPr>
          <w:spacing w:val="-2"/>
        </w:rPr>
        <w:t xml:space="preserve"> </w:t>
      </w:r>
      <w:r>
        <w:t>the</w:t>
      </w:r>
      <w:r>
        <w:rPr>
          <w:spacing w:val="-3"/>
        </w:rPr>
        <w:t xml:space="preserve"> </w:t>
      </w:r>
      <w:r>
        <w:t>new</w:t>
      </w:r>
      <w:r>
        <w:rPr>
          <w:spacing w:val="-3"/>
        </w:rPr>
        <w:t xml:space="preserve"> </w:t>
      </w:r>
      <w:r>
        <w:t>period,</w:t>
      </w:r>
      <w:r>
        <w:rPr>
          <w:spacing w:val="-3"/>
        </w:rPr>
        <w:t xml:space="preserve"> </w:t>
      </w:r>
      <w:r>
        <w:t>the</w:t>
      </w:r>
      <w:r>
        <w:rPr>
          <w:spacing w:val="-4"/>
        </w:rPr>
        <w:t xml:space="preserve"> </w:t>
      </w:r>
      <w:r>
        <w:t>institutions</w:t>
      </w:r>
      <w:r>
        <w:rPr>
          <w:spacing w:val="-3"/>
        </w:rPr>
        <w:t xml:space="preserve"> </w:t>
      </w:r>
      <w:r>
        <w:t>responsible</w:t>
      </w:r>
      <w:r>
        <w:rPr>
          <w:spacing w:val="-4"/>
        </w:rPr>
        <w:t xml:space="preserve"> </w:t>
      </w:r>
      <w:r>
        <w:t>for</w:t>
      </w:r>
      <w:r>
        <w:rPr>
          <w:spacing w:val="-4"/>
        </w:rPr>
        <w:t xml:space="preserve"> </w:t>
      </w:r>
      <w:r>
        <w:t>implementing</w:t>
      </w:r>
      <w:r>
        <w:rPr>
          <w:spacing w:val="-5"/>
        </w:rPr>
        <w:t xml:space="preserve"> </w:t>
      </w:r>
      <w:r>
        <w:t>EU</w:t>
      </w:r>
      <w:r>
        <w:rPr>
          <w:spacing w:val="-1"/>
        </w:rPr>
        <w:t xml:space="preserve"> </w:t>
      </w:r>
      <w:r>
        <w:t>and</w:t>
      </w:r>
      <w:r>
        <w:rPr>
          <w:spacing w:val="-3"/>
        </w:rPr>
        <w:t xml:space="preserve"> </w:t>
      </w:r>
      <w:r>
        <w:t>RRF</w:t>
      </w:r>
      <w:r>
        <w:rPr>
          <w:spacing w:val="-4"/>
        </w:rPr>
        <w:t xml:space="preserve"> </w:t>
      </w:r>
      <w:r>
        <w:t>funds</w:t>
      </w:r>
      <w:r>
        <w:rPr>
          <w:spacing w:val="-3"/>
        </w:rPr>
        <w:t xml:space="preserve"> </w:t>
      </w:r>
      <w:r>
        <w:t>have</w:t>
      </w:r>
      <w:r>
        <w:rPr>
          <w:spacing w:val="-57"/>
        </w:rPr>
        <w:t xml:space="preserve"> </w:t>
      </w:r>
      <w:r>
        <w:t>prepared an initial analysis of the workload in the last quarter of 2021 to ensure sufficient</w:t>
      </w:r>
      <w:r>
        <w:rPr>
          <w:spacing w:val="1"/>
        </w:rPr>
        <w:t xml:space="preserve"> </w:t>
      </w:r>
      <w:r>
        <w:t>capacity</w:t>
      </w:r>
      <w:r>
        <w:rPr>
          <w:spacing w:val="1"/>
        </w:rPr>
        <w:t xml:space="preserve"> </w:t>
      </w:r>
      <w:r>
        <w:t>for</w:t>
      </w:r>
      <w:r>
        <w:rPr>
          <w:spacing w:val="1"/>
        </w:rPr>
        <w:t xml:space="preserve"> </w:t>
      </w:r>
      <w:r>
        <w:t>their</w:t>
      </w:r>
      <w:r>
        <w:rPr>
          <w:spacing w:val="1"/>
        </w:rPr>
        <w:t xml:space="preserve"> </w:t>
      </w:r>
      <w:r>
        <w:t>implementation.</w:t>
      </w:r>
      <w:r>
        <w:rPr>
          <w:spacing w:val="1"/>
        </w:rPr>
        <w:t xml:space="preserve"> </w:t>
      </w:r>
      <w:r>
        <w:t>Considering</w:t>
      </w:r>
      <w:r>
        <w:rPr>
          <w:spacing w:val="1"/>
        </w:rPr>
        <w:t xml:space="preserve"> </w:t>
      </w:r>
      <w:r>
        <w:t>the</w:t>
      </w:r>
      <w:r>
        <w:rPr>
          <w:spacing w:val="1"/>
        </w:rPr>
        <w:t xml:space="preserve"> </w:t>
      </w:r>
      <w:r>
        <w:t>ongoing</w:t>
      </w:r>
      <w:r>
        <w:rPr>
          <w:spacing w:val="1"/>
        </w:rPr>
        <w:t xml:space="preserve"> </w:t>
      </w:r>
      <w:r>
        <w:t>establishment</w:t>
      </w:r>
      <w:r>
        <w:rPr>
          <w:spacing w:val="1"/>
        </w:rPr>
        <w:t xml:space="preserve"> </w:t>
      </w:r>
      <w:r>
        <w:t>of</w:t>
      </w:r>
      <w:r>
        <w:rPr>
          <w:spacing w:val="1"/>
        </w:rPr>
        <w:t xml:space="preserve"> </w:t>
      </w:r>
      <w:r>
        <w:t>individual</w:t>
      </w:r>
      <w:r>
        <w:rPr>
          <w:spacing w:val="1"/>
        </w:rPr>
        <w:t xml:space="preserve"> </w:t>
      </w:r>
      <w:r>
        <w:t>management and control systems for the use of EU funds, the respective analysis will be</w:t>
      </w:r>
      <w:r>
        <w:rPr>
          <w:spacing w:val="1"/>
        </w:rPr>
        <w:t xml:space="preserve"> </w:t>
      </w:r>
      <w:r>
        <w:t>updated</w:t>
      </w:r>
      <w:r>
        <w:rPr>
          <w:spacing w:val="-1"/>
        </w:rPr>
        <w:t xml:space="preserve"> </w:t>
      </w:r>
      <w:r>
        <w:t>once</w:t>
      </w:r>
      <w:r>
        <w:rPr>
          <w:spacing w:val="-1"/>
        </w:rPr>
        <w:t xml:space="preserve"> </w:t>
      </w:r>
      <w:r>
        <w:t>the</w:t>
      </w:r>
      <w:r>
        <w:rPr>
          <w:spacing w:val="-1"/>
        </w:rPr>
        <w:t xml:space="preserve"> </w:t>
      </w:r>
      <w:r>
        <w:t>system has been established.</w:t>
      </w:r>
    </w:p>
    <w:p w:rsidR="00A56FE9" w:rsidRDefault="00A56FE9">
      <w:pPr>
        <w:pStyle w:val="Tijeloteksta"/>
        <w:spacing w:before="3"/>
        <w:ind w:left="0"/>
        <w:jc w:val="left"/>
        <w:rPr>
          <w:sz w:val="21"/>
        </w:rPr>
      </w:pPr>
    </w:p>
    <w:p w:rsidR="00A56FE9" w:rsidRDefault="00000000">
      <w:pPr>
        <w:pStyle w:val="Naslov5"/>
        <w:spacing w:before="1"/>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478169915"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311770902" name="Rectangle 267"/>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F753192" id="Group 266"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">
                <v:rect id="Rectangle 267"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" fillcolor="#2c398a" stroked="f"/>
                <w10:anchorlock/>
              </v:group>
            </w:pict>
          </mc:Fallback>
        </mc:AlternateContent>
      </w:r>
    </w:p>
    <w:p w:rsidR="00A56FE9" w:rsidRDefault="00000000">
      <w:pPr>
        <w:spacing w:before="154"/>
        <w:ind w:left="138" w:right="271"/>
        <w:jc w:val="both"/>
        <w:rPr>
          <w:sz w:val="24"/>
        </w:rPr>
      </w:pPr>
      <w:r>
        <w:rPr>
          <w:sz w:val="24"/>
        </w:rPr>
        <w:t>To strengthen the capacity of bodies responsible for developing and implementing public</w:t>
      </w:r>
      <w:r>
        <w:rPr>
          <w:spacing w:val="1"/>
          <w:sz w:val="24"/>
        </w:rPr>
        <w:t xml:space="preserve"> </w:t>
      </w:r>
      <w:r>
        <w:rPr>
          <w:sz w:val="24"/>
        </w:rPr>
        <w:t>policies</w:t>
      </w:r>
      <w:r>
        <w:rPr>
          <w:spacing w:val="-5"/>
          <w:sz w:val="24"/>
        </w:rPr>
        <w:t xml:space="preserve"> </w:t>
      </w:r>
      <w:r>
        <w:rPr>
          <w:sz w:val="24"/>
        </w:rPr>
        <w:t>and</w:t>
      </w:r>
      <w:r>
        <w:rPr>
          <w:spacing w:val="-4"/>
          <w:sz w:val="24"/>
        </w:rPr>
        <w:t xml:space="preserve"> </w:t>
      </w:r>
      <w:r>
        <w:rPr>
          <w:sz w:val="24"/>
        </w:rPr>
        <w:t>projects,</w:t>
      </w:r>
      <w:r>
        <w:rPr>
          <w:spacing w:val="-4"/>
          <w:sz w:val="24"/>
        </w:rPr>
        <w:t xml:space="preserve"> </w:t>
      </w:r>
      <w:r>
        <w:rPr>
          <w:sz w:val="24"/>
        </w:rPr>
        <w:t>the</w:t>
      </w:r>
      <w:r>
        <w:rPr>
          <w:spacing w:val="-1"/>
          <w:sz w:val="24"/>
        </w:rPr>
        <w:t xml:space="preserve"> </w:t>
      </w:r>
      <w:r>
        <w:rPr>
          <w:sz w:val="24"/>
        </w:rPr>
        <w:t>NRRP</w:t>
      </w:r>
      <w:r>
        <w:rPr>
          <w:spacing w:val="-4"/>
          <w:sz w:val="24"/>
        </w:rPr>
        <w:t xml:space="preserve"> </w:t>
      </w:r>
      <w:r>
        <w:rPr>
          <w:sz w:val="24"/>
        </w:rPr>
        <w:t>envisages</w:t>
      </w:r>
      <w:r>
        <w:rPr>
          <w:spacing w:val="-4"/>
          <w:sz w:val="24"/>
        </w:rPr>
        <w:t xml:space="preserve"> </w:t>
      </w:r>
      <w:r>
        <w:rPr>
          <w:sz w:val="24"/>
        </w:rPr>
        <w:t>the</w:t>
      </w:r>
      <w:r>
        <w:rPr>
          <w:spacing w:val="-4"/>
          <w:sz w:val="24"/>
        </w:rPr>
        <w:t xml:space="preserve"> </w:t>
      </w:r>
      <w:r>
        <w:rPr>
          <w:b/>
          <w:sz w:val="24"/>
        </w:rPr>
        <w:t>implementation</w:t>
      </w:r>
      <w:r>
        <w:rPr>
          <w:b/>
          <w:spacing w:val="-4"/>
          <w:sz w:val="24"/>
        </w:rPr>
        <w:t xml:space="preserve"> </w:t>
      </w:r>
      <w:r>
        <w:rPr>
          <w:b/>
          <w:sz w:val="24"/>
        </w:rPr>
        <w:t>of</w:t>
      </w:r>
      <w:r>
        <w:rPr>
          <w:b/>
          <w:spacing w:val="-2"/>
          <w:sz w:val="24"/>
        </w:rPr>
        <w:t xml:space="preserve"> </w:t>
      </w:r>
      <w:r>
        <w:rPr>
          <w:b/>
          <w:sz w:val="24"/>
        </w:rPr>
        <w:t>a</w:t>
      </w:r>
      <w:r>
        <w:rPr>
          <w:b/>
          <w:spacing w:val="-5"/>
          <w:sz w:val="24"/>
        </w:rPr>
        <w:t xml:space="preserve"> </w:t>
      </w:r>
      <w:r>
        <w:rPr>
          <w:b/>
          <w:sz w:val="24"/>
        </w:rPr>
        <w:t>reform</w:t>
      </w:r>
      <w:r>
        <w:rPr>
          <w:b/>
          <w:spacing w:val="-2"/>
          <w:sz w:val="24"/>
        </w:rPr>
        <w:t xml:space="preserve"> </w:t>
      </w:r>
      <w:r>
        <w:rPr>
          <w:b/>
          <w:sz w:val="24"/>
        </w:rPr>
        <w:t>on</w:t>
      </w:r>
      <w:r>
        <w:rPr>
          <w:b/>
          <w:spacing w:val="-2"/>
          <w:sz w:val="24"/>
        </w:rPr>
        <w:t xml:space="preserve"> </w:t>
      </w:r>
      <w:r>
        <w:rPr>
          <w:b/>
          <w:sz w:val="24"/>
        </w:rPr>
        <w:t>strengthening</w:t>
      </w:r>
      <w:r>
        <w:rPr>
          <w:b/>
          <w:spacing w:val="-58"/>
          <w:sz w:val="24"/>
        </w:rPr>
        <w:t xml:space="preserve"> </w:t>
      </w:r>
      <w:r>
        <w:rPr>
          <w:b/>
          <w:sz w:val="24"/>
        </w:rPr>
        <w:t>mechanisms</w:t>
      </w:r>
      <w:r>
        <w:rPr>
          <w:b/>
          <w:spacing w:val="1"/>
          <w:sz w:val="24"/>
        </w:rPr>
        <w:t xml:space="preserve"> </w:t>
      </w:r>
      <w:r>
        <w:rPr>
          <w:b/>
          <w:sz w:val="24"/>
        </w:rPr>
        <w:t>for</w:t>
      </w:r>
      <w:r>
        <w:rPr>
          <w:b/>
          <w:spacing w:val="1"/>
          <w:sz w:val="24"/>
        </w:rPr>
        <w:t xml:space="preserve"> </w:t>
      </w:r>
      <w:r>
        <w:rPr>
          <w:b/>
          <w:sz w:val="24"/>
        </w:rPr>
        <w:t>the</w:t>
      </w:r>
      <w:r>
        <w:rPr>
          <w:b/>
          <w:spacing w:val="1"/>
          <w:sz w:val="24"/>
        </w:rPr>
        <w:t xml:space="preserve"> </w:t>
      </w:r>
      <w:r>
        <w:rPr>
          <w:b/>
          <w:sz w:val="24"/>
        </w:rPr>
        <w:t>integration</w:t>
      </w:r>
      <w:r>
        <w:rPr>
          <w:b/>
          <w:spacing w:val="1"/>
          <w:sz w:val="24"/>
        </w:rPr>
        <w:t xml:space="preserve"> </w:t>
      </w:r>
      <w:r>
        <w:rPr>
          <w:b/>
          <w:sz w:val="24"/>
        </w:rPr>
        <w:t>and</w:t>
      </w:r>
      <w:r>
        <w:rPr>
          <w:b/>
          <w:spacing w:val="1"/>
          <w:sz w:val="24"/>
        </w:rPr>
        <w:t xml:space="preserve"> </w:t>
      </w:r>
      <w:r>
        <w:rPr>
          <w:b/>
          <w:sz w:val="24"/>
        </w:rPr>
        <w:t>management</w:t>
      </w:r>
      <w:r>
        <w:rPr>
          <w:b/>
          <w:spacing w:val="1"/>
          <w:sz w:val="24"/>
        </w:rPr>
        <w:t xml:space="preserve"> </w:t>
      </w:r>
      <w:r>
        <w:rPr>
          <w:b/>
          <w:sz w:val="24"/>
        </w:rPr>
        <w:t>of</w:t>
      </w:r>
      <w:r>
        <w:rPr>
          <w:b/>
          <w:spacing w:val="1"/>
          <w:sz w:val="24"/>
        </w:rPr>
        <w:t xml:space="preserve"> </w:t>
      </w:r>
      <w:r>
        <w:rPr>
          <w:b/>
          <w:sz w:val="24"/>
        </w:rPr>
        <w:t>public</w:t>
      </w:r>
      <w:r>
        <w:rPr>
          <w:b/>
          <w:spacing w:val="1"/>
          <w:sz w:val="24"/>
        </w:rPr>
        <w:t xml:space="preserve"> </w:t>
      </w:r>
      <w:r>
        <w:rPr>
          <w:b/>
          <w:sz w:val="24"/>
        </w:rPr>
        <w:t>policies</w:t>
      </w:r>
      <w:r>
        <w:rPr>
          <w:b/>
          <w:spacing w:val="1"/>
          <w:sz w:val="24"/>
        </w:rPr>
        <w:t xml:space="preserve"> </w:t>
      </w:r>
      <w:r>
        <w:rPr>
          <w:b/>
          <w:sz w:val="24"/>
        </w:rPr>
        <w:t>along</w:t>
      </w:r>
      <w:r>
        <w:rPr>
          <w:b/>
          <w:spacing w:val="1"/>
          <w:sz w:val="24"/>
        </w:rPr>
        <w:t xml:space="preserve"> </w:t>
      </w:r>
      <w:r>
        <w:rPr>
          <w:b/>
          <w:sz w:val="24"/>
        </w:rPr>
        <w:t>with</w:t>
      </w:r>
      <w:r>
        <w:rPr>
          <w:b/>
          <w:spacing w:val="1"/>
          <w:sz w:val="24"/>
        </w:rPr>
        <w:t xml:space="preserve"> </w:t>
      </w:r>
      <w:r>
        <w:rPr>
          <w:b/>
          <w:sz w:val="24"/>
        </w:rPr>
        <w:t>the</w:t>
      </w:r>
      <w:r>
        <w:rPr>
          <w:b/>
          <w:spacing w:val="1"/>
          <w:sz w:val="24"/>
        </w:rPr>
        <w:t xml:space="preserve"> </w:t>
      </w:r>
      <w:r>
        <w:rPr>
          <w:b/>
          <w:sz w:val="24"/>
        </w:rPr>
        <w:t>professionalization</w:t>
      </w:r>
      <w:r>
        <w:rPr>
          <w:b/>
          <w:spacing w:val="-1"/>
          <w:sz w:val="24"/>
        </w:rPr>
        <w:t xml:space="preserve"> </w:t>
      </w:r>
      <w:r>
        <w:rPr>
          <w:b/>
          <w:sz w:val="24"/>
        </w:rPr>
        <w:t>of</w:t>
      </w:r>
      <w:r>
        <w:rPr>
          <w:b/>
          <w:spacing w:val="1"/>
          <w:sz w:val="24"/>
        </w:rPr>
        <w:t xml:space="preserve"> </w:t>
      </w:r>
      <w:r>
        <w:rPr>
          <w:b/>
          <w:sz w:val="24"/>
        </w:rPr>
        <w:t>strategic planning</w:t>
      </w:r>
      <w:r>
        <w:rPr>
          <w:b/>
          <w:spacing w:val="3"/>
          <w:sz w:val="24"/>
        </w:rPr>
        <w:t xml:space="preserve"> </w:t>
      </w:r>
      <w:r>
        <w:rPr>
          <w:sz w:val="24"/>
        </w:rPr>
        <w:t>(C2.1.</w:t>
      </w:r>
      <w:r>
        <w:rPr>
          <w:spacing w:val="-3"/>
          <w:sz w:val="24"/>
        </w:rPr>
        <w:t xml:space="preserve"> </w:t>
      </w:r>
      <w:r>
        <w:rPr>
          <w:sz w:val="24"/>
        </w:rPr>
        <w:t>R1).</w:t>
      </w:r>
    </w:p>
    <w:p w:rsidR="00A56FE9" w:rsidRDefault="00000000">
      <w:pPr>
        <w:pStyle w:val="Tijeloteksta"/>
        <w:spacing w:before="120"/>
        <w:ind w:right="275"/>
      </w:pPr>
      <w:r>
        <w:t>Based on the results of the Structural Reform Support Programme (SRSP) project Framework</w:t>
      </w:r>
      <w:r>
        <w:rPr>
          <w:spacing w:val="1"/>
        </w:rPr>
        <w:t xml:space="preserve"> </w:t>
      </w:r>
      <w:r>
        <w:t>for Evaluating the Efficiency of Public Policies in Croatia, and applying knowledge gained in</w:t>
      </w:r>
      <w:r>
        <w:rPr>
          <w:spacing w:val="1"/>
        </w:rPr>
        <w:t xml:space="preserve"> </w:t>
      </w:r>
      <w:r>
        <w:t>the preparation, implementation and monitoring of strategic planning acts, amendments to the</w:t>
      </w:r>
      <w:r>
        <w:rPr>
          <w:spacing w:val="1"/>
        </w:rPr>
        <w:t xml:space="preserve"> </w:t>
      </w:r>
      <w:r>
        <w:t>legal</w:t>
      </w:r>
      <w:r>
        <w:rPr>
          <w:spacing w:val="-4"/>
        </w:rPr>
        <w:t xml:space="preserve"> </w:t>
      </w:r>
      <w:r>
        <w:t>framework</w:t>
      </w:r>
      <w:r>
        <w:rPr>
          <w:spacing w:val="-4"/>
        </w:rPr>
        <w:t xml:space="preserve"> </w:t>
      </w:r>
      <w:r>
        <w:t>of</w:t>
      </w:r>
      <w:r>
        <w:rPr>
          <w:spacing w:val="-5"/>
        </w:rPr>
        <w:t xml:space="preserve"> </w:t>
      </w:r>
      <w:r>
        <w:t>the</w:t>
      </w:r>
      <w:r>
        <w:rPr>
          <w:spacing w:val="-4"/>
        </w:rPr>
        <w:t xml:space="preserve"> </w:t>
      </w:r>
      <w:r>
        <w:t>strategic</w:t>
      </w:r>
      <w:r>
        <w:rPr>
          <w:spacing w:val="-4"/>
        </w:rPr>
        <w:t xml:space="preserve"> </w:t>
      </w:r>
      <w:r>
        <w:t>planning</w:t>
      </w:r>
      <w:r>
        <w:rPr>
          <w:spacing w:val="-6"/>
        </w:rPr>
        <w:t xml:space="preserve"> </w:t>
      </w:r>
      <w:r>
        <w:t>system</w:t>
      </w:r>
      <w:r>
        <w:rPr>
          <w:spacing w:val="-1"/>
        </w:rPr>
        <w:t xml:space="preserve"> </w:t>
      </w:r>
      <w:r>
        <w:t>will</w:t>
      </w:r>
      <w:r>
        <w:rPr>
          <w:spacing w:val="-4"/>
        </w:rPr>
        <w:t xml:space="preserve"> </w:t>
      </w:r>
      <w:r>
        <w:t>be</w:t>
      </w:r>
      <w:r>
        <w:rPr>
          <w:spacing w:val="-4"/>
        </w:rPr>
        <w:t xml:space="preserve"> </w:t>
      </w:r>
      <w:r>
        <w:t>undertaken.</w:t>
      </w:r>
      <w:r>
        <w:rPr>
          <w:spacing w:val="-4"/>
        </w:rPr>
        <w:t xml:space="preserve"> </w:t>
      </w:r>
      <w:r>
        <w:t>The</w:t>
      </w:r>
      <w:r>
        <w:rPr>
          <w:spacing w:val="-5"/>
        </w:rPr>
        <w:t xml:space="preserve"> </w:t>
      </w:r>
      <w:r>
        <w:t>legal</w:t>
      </w:r>
      <w:r>
        <w:rPr>
          <w:spacing w:val="-3"/>
        </w:rPr>
        <w:t xml:space="preserve"> </w:t>
      </w:r>
      <w:r>
        <w:t>framework</w:t>
      </w:r>
      <w:r>
        <w:rPr>
          <w:spacing w:val="-4"/>
        </w:rPr>
        <w:t xml:space="preserve"> </w:t>
      </w:r>
      <w:r>
        <w:t>will</w:t>
      </w:r>
      <w:r>
        <w:rPr>
          <w:spacing w:val="-58"/>
        </w:rPr>
        <w:t xml:space="preserve"> </w:t>
      </w:r>
      <w:r>
        <w:t>be</w:t>
      </w:r>
      <w:r>
        <w:rPr>
          <w:spacing w:val="1"/>
        </w:rPr>
        <w:t xml:space="preserve"> </w:t>
      </w:r>
      <w:r>
        <w:t>improved</w:t>
      </w:r>
      <w:r>
        <w:rPr>
          <w:spacing w:val="1"/>
        </w:rPr>
        <w:t xml:space="preserve"> </w:t>
      </w:r>
      <w:r>
        <w:t>and</w:t>
      </w:r>
      <w:r>
        <w:rPr>
          <w:spacing w:val="1"/>
        </w:rPr>
        <w:t xml:space="preserve"> </w:t>
      </w:r>
      <w:r>
        <w:t>aligned</w:t>
      </w:r>
      <w:r>
        <w:rPr>
          <w:spacing w:val="1"/>
        </w:rPr>
        <w:t xml:space="preserve"> </w:t>
      </w:r>
      <w:r>
        <w:t>with</w:t>
      </w:r>
      <w:r>
        <w:rPr>
          <w:spacing w:val="1"/>
        </w:rPr>
        <w:t xml:space="preserve"> </w:t>
      </w:r>
      <w:r>
        <w:t>the</w:t>
      </w:r>
      <w:r>
        <w:rPr>
          <w:spacing w:val="1"/>
        </w:rPr>
        <w:t xml:space="preserve"> </w:t>
      </w:r>
      <w:r>
        <w:t>legally-stipulated</w:t>
      </w:r>
      <w:r>
        <w:rPr>
          <w:spacing w:val="1"/>
        </w:rPr>
        <w:t xml:space="preserve"> </w:t>
      </w:r>
      <w:r>
        <w:t>framework</w:t>
      </w:r>
      <w:r>
        <w:rPr>
          <w:spacing w:val="1"/>
        </w:rPr>
        <w:t xml:space="preserve"> </w:t>
      </w:r>
      <w:r>
        <w:t>for</w:t>
      </w:r>
      <w:r>
        <w:rPr>
          <w:spacing w:val="1"/>
        </w:rPr>
        <w:t xml:space="preserve"> </w:t>
      </w:r>
      <w:r>
        <w:t>regulatory</w:t>
      </w:r>
      <w:r>
        <w:rPr>
          <w:spacing w:val="1"/>
        </w:rPr>
        <w:t xml:space="preserve"> </w:t>
      </w:r>
      <w:r>
        <w:t>impact</w:t>
      </w:r>
      <w:r>
        <w:rPr>
          <w:spacing w:val="1"/>
        </w:rPr>
        <w:t xml:space="preserve"> </w:t>
      </w:r>
      <w:r>
        <w:t>assessment,</w:t>
      </w:r>
      <w:r>
        <w:rPr>
          <w:spacing w:val="1"/>
        </w:rPr>
        <w:t xml:space="preserve"> </w:t>
      </w:r>
      <w:r>
        <w:t>budgetary</w:t>
      </w:r>
      <w:r>
        <w:rPr>
          <w:spacing w:val="1"/>
        </w:rPr>
        <w:t xml:space="preserve"> </w:t>
      </w:r>
      <w:r>
        <w:t>planning</w:t>
      </w:r>
      <w:r>
        <w:rPr>
          <w:spacing w:val="1"/>
        </w:rPr>
        <w:t xml:space="preserve"> </w:t>
      </w:r>
      <w:r>
        <w:t>framework</w:t>
      </w:r>
      <w:r>
        <w:rPr>
          <w:spacing w:val="1"/>
        </w:rPr>
        <w:t xml:space="preserve"> </w:t>
      </w:r>
      <w:r>
        <w:t>and</w:t>
      </w:r>
      <w:r>
        <w:rPr>
          <w:spacing w:val="1"/>
        </w:rPr>
        <w:t xml:space="preserve"> </w:t>
      </w:r>
      <w:r>
        <w:t>the</w:t>
      </w:r>
      <w:r>
        <w:rPr>
          <w:spacing w:val="1"/>
        </w:rPr>
        <w:t xml:space="preserve"> </w:t>
      </w:r>
      <w:r>
        <w:t>financial</w:t>
      </w:r>
      <w:r>
        <w:rPr>
          <w:spacing w:val="1"/>
        </w:rPr>
        <w:t xml:space="preserve"> </w:t>
      </w:r>
      <w:r>
        <w:t>management</w:t>
      </w:r>
      <w:r>
        <w:rPr>
          <w:spacing w:val="1"/>
        </w:rPr>
        <w:t xml:space="preserve"> </w:t>
      </w:r>
      <w:r>
        <w:t>and</w:t>
      </w:r>
      <w:r>
        <w:rPr>
          <w:spacing w:val="1"/>
        </w:rPr>
        <w:t xml:space="preserve"> </w:t>
      </w:r>
      <w:r>
        <w:t>control</w:t>
      </w:r>
      <w:r>
        <w:rPr>
          <w:spacing w:val="1"/>
        </w:rPr>
        <w:t xml:space="preserve"> </w:t>
      </w:r>
      <w:r>
        <w:t>framework. Amendments to the legal framework will be implemented by the second half of</w:t>
      </w:r>
      <w:r>
        <w:rPr>
          <w:spacing w:val="1"/>
        </w:rPr>
        <w:t xml:space="preserve"> </w:t>
      </w:r>
      <w:r>
        <w:t>2022.</w:t>
      </w:r>
    </w:p>
    <w:p w:rsidR="00A56FE9" w:rsidRDefault="00000000">
      <w:pPr>
        <w:pStyle w:val="Tijeloteksta"/>
        <w:spacing w:before="121"/>
        <w:ind w:right="275"/>
      </w:pPr>
      <w:r>
        <w:t>Improving the legal framework and integrating strategic planning processes including other</w:t>
      </w:r>
      <w:r>
        <w:rPr>
          <w:spacing w:val="1"/>
        </w:rPr>
        <w:t xml:space="preserve"> </w:t>
      </w:r>
      <w:r>
        <w:t>complementary</w:t>
      </w:r>
      <w:r>
        <w:rPr>
          <w:spacing w:val="1"/>
        </w:rPr>
        <w:t xml:space="preserve"> </w:t>
      </w:r>
      <w:r>
        <w:t>processes,</w:t>
      </w:r>
      <w:r>
        <w:rPr>
          <w:spacing w:val="1"/>
        </w:rPr>
        <w:t xml:space="preserve"> </w:t>
      </w:r>
      <w:r>
        <w:t>establishing</w:t>
      </w:r>
      <w:r>
        <w:rPr>
          <w:spacing w:val="1"/>
        </w:rPr>
        <w:t xml:space="preserve"> </w:t>
      </w:r>
      <w:r>
        <w:t>coordination</w:t>
      </w:r>
      <w:r>
        <w:rPr>
          <w:spacing w:val="1"/>
        </w:rPr>
        <w:t xml:space="preserve"> </w:t>
      </w:r>
      <w:r>
        <w:t>mechanisms</w:t>
      </w:r>
      <w:r>
        <w:rPr>
          <w:spacing w:val="1"/>
        </w:rPr>
        <w:t xml:space="preserve"> </w:t>
      </w:r>
      <w:r>
        <w:t>in</w:t>
      </w:r>
      <w:r>
        <w:rPr>
          <w:spacing w:val="1"/>
        </w:rPr>
        <w:t xml:space="preserve"> </w:t>
      </w:r>
      <w:r>
        <w:t>preparing</w:t>
      </w:r>
      <w:r>
        <w:rPr>
          <w:spacing w:val="1"/>
        </w:rPr>
        <w:t xml:space="preserve"> </w:t>
      </w:r>
      <w:r>
        <w:t>and</w:t>
      </w:r>
      <w:r>
        <w:rPr>
          <w:spacing w:val="1"/>
        </w:rPr>
        <w:t xml:space="preserve"> </w:t>
      </w:r>
      <w:r>
        <w:t>implementing policies, improving transparency in monitoring performance and evaluating the</w:t>
      </w:r>
      <w:r>
        <w:rPr>
          <w:spacing w:val="1"/>
        </w:rPr>
        <w:t xml:space="preserve"> </w:t>
      </w:r>
      <w:r>
        <w:t>effectiveness of public policies will facilitate improving the efficiency and sustainability of</w:t>
      </w:r>
      <w:r>
        <w:rPr>
          <w:spacing w:val="1"/>
        </w:rPr>
        <w:t xml:space="preserve"> </w:t>
      </w:r>
      <w:r>
        <w:t>strategic</w:t>
      </w:r>
      <w:r>
        <w:rPr>
          <w:spacing w:val="-1"/>
        </w:rPr>
        <w:t xml:space="preserve"> </w:t>
      </w:r>
      <w:r>
        <w:t>planning</w:t>
      </w:r>
      <w:r>
        <w:rPr>
          <w:spacing w:val="-3"/>
        </w:rPr>
        <w:t xml:space="preserve"> </w:t>
      </w:r>
      <w:r>
        <w:t>and public</w:t>
      </w:r>
      <w:r>
        <w:rPr>
          <w:spacing w:val="-1"/>
        </w:rPr>
        <w:t xml:space="preserve"> </w:t>
      </w:r>
      <w:r>
        <w:t>policy</w:t>
      </w:r>
      <w:r>
        <w:rPr>
          <w:spacing w:val="-5"/>
        </w:rPr>
        <w:t xml:space="preserve"> </w:t>
      </w:r>
      <w:r>
        <w:t>management.</w:t>
      </w:r>
    </w:p>
    <w:p w:rsidR="00A56FE9" w:rsidRDefault="00000000">
      <w:pPr>
        <w:pStyle w:val="Tijeloteksta"/>
        <w:spacing w:before="120"/>
        <w:ind w:right="273"/>
      </w:pPr>
      <w:r>
        <w:t>To ensure a sufficient stock of projects within the NRRP investment C2.1.R2.-I1, on 31</w:t>
      </w:r>
      <w:r>
        <w:rPr>
          <w:spacing w:val="1"/>
        </w:rPr>
        <w:t xml:space="preserve"> </w:t>
      </w:r>
      <w:r>
        <w:t>December</w:t>
      </w:r>
      <w:r>
        <w:rPr>
          <w:spacing w:val="-13"/>
        </w:rPr>
        <w:t xml:space="preserve"> </w:t>
      </w:r>
      <w:r>
        <w:t>2021</w:t>
      </w:r>
      <w:r>
        <w:rPr>
          <w:spacing w:val="-9"/>
        </w:rPr>
        <w:t xml:space="preserve"> </w:t>
      </w:r>
      <w:r>
        <w:t>a</w:t>
      </w:r>
      <w:r>
        <w:rPr>
          <w:spacing w:val="-10"/>
        </w:rPr>
        <w:t xml:space="preserve"> </w:t>
      </w:r>
      <w:r>
        <w:t>call</w:t>
      </w:r>
      <w:r>
        <w:rPr>
          <w:spacing w:val="-10"/>
        </w:rPr>
        <w:t xml:space="preserve"> </w:t>
      </w:r>
      <w:r>
        <w:t>was</w:t>
      </w:r>
      <w:r>
        <w:rPr>
          <w:spacing w:val="-11"/>
        </w:rPr>
        <w:t xml:space="preserve"> </w:t>
      </w:r>
      <w:r>
        <w:t>issued</w:t>
      </w:r>
      <w:r>
        <w:rPr>
          <w:spacing w:val="-9"/>
        </w:rPr>
        <w:t xml:space="preserve"> </w:t>
      </w:r>
      <w:r>
        <w:t>to</w:t>
      </w:r>
      <w:r>
        <w:rPr>
          <w:spacing w:val="-9"/>
        </w:rPr>
        <w:t xml:space="preserve"> </w:t>
      </w:r>
      <w:r>
        <w:t>Local</w:t>
      </w:r>
      <w:r>
        <w:rPr>
          <w:spacing w:val="-11"/>
        </w:rPr>
        <w:t xml:space="preserve"> </w:t>
      </w:r>
      <w:r>
        <w:t>and</w:t>
      </w:r>
      <w:r>
        <w:rPr>
          <w:spacing w:val="-9"/>
        </w:rPr>
        <w:t xml:space="preserve"> </w:t>
      </w:r>
      <w:r>
        <w:t>regional</w:t>
      </w:r>
      <w:r>
        <w:rPr>
          <w:spacing w:val="-11"/>
        </w:rPr>
        <w:t xml:space="preserve"> </w:t>
      </w:r>
      <w:r>
        <w:t>self-government</w:t>
      </w:r>
      <w:r>
        <w:rPr>
          <w:spacing w:val="-11"/>
        </w:rPr>
        <w:t xml:space="preserve"> </w:t>
      </w:r>
      <w:r>
        <w:t>units</w:t>
      </w:r>
      <w:r>
        <w:rPr>
          <w:spacing w:val="-10"/>
        </w:rPr>
        <w:t xml:space="preserve"> </w:t>
      </w:r>
      <w:r>
        <w:t>(LRSGU),</w:t>
      </w:r>
      <w:r>
        <w:rPr>
          <w:spacing w:val="-11"/>
        </w:rPr>
        <w:t xml:space="preserve"> </w:t>
      </w:r>
      <w:r>
        <w:t>public</w:t>
      </w:r>
      <w:r>
        <w:rPr>
          <w:spacing w:val="-58"/>
        </w:rPr>
        <w:t xml:space="preserve"> </w:t>
      </w:r>
      <w:r>
        <w:rPr>
          <w:spacing w:val="-1"/>
        </w:rPr>
        <w:t>institutions,</w:t>
      </w:r>
      <w:r>
        <w:rPr>
          <w:spacing w:val="-17"/>
        </w:rPr>
        <w:t xml:space="preserve"> </w:t>
      </w:r>
      <w:r>
        <w:rPr>
          <w:spacing w:val="-1"/>
        </w:rPr>
        <w:t>the</w:t>
      </w:r>
      <w:r>
        <w:rPr>
          <w:spacing w:val="-14"/>
        </w:rPr>
        <w:t xml:space="preserve"> </w:t>
      </w:r>
      <w:r>
        <w:rPr>
          <w:spacing w:val="-1"/>
        </w:rPr>
        <w:t>(co)founders</w:t>
      </w:r>
      <w:r>
        <w:rPr>
          <w:spacing w:val="-13"/>
        </w:rPr>
        <w:t xml:space="preserve"> </w:t>
      </w:r>
      <w:r>
        <w:t>of</w:t>
      </w:r>
      <w:r>
        <w:rPr>
          <w:spacing w:val="-15"/>
        </w:rPr>
        <w:t xml:space="preserve"> </w:t>
      </w:r>
      <w:r>
        <w:t>which</w:t>
      </w:r>
      <w:r>
        <w:rPr>
          <w:spacing w:val="-11"/>
        </w:rPr>
        <w:t xml:space="preserve"> </w:t>
      </w:r>
      <w:r>
        <w:t>are</w:t>
      </w:r>
      <w:r>
        <w:rPr>
          <w:spacing w:val="-13"/>
        </w:rPr>
        <w:t xml:space="preserve"> </w:t>
      </w:r>
      <w:r>
        <w:t>LRSGUs</w:t>
      </w:r>
      <w:r>
        <w:rPr>
          <w:spacing w:val="-14"/>
        </w:rPr>
        <w:t xml:space="preserve"> </w:t>
      </w:r>
      <w:r>
        <w:t>and</w:t>
      </w:r>
      <w:r>
        <w:rPr>
          <w:spacing w:val="-14"/>
        </w:rPr>
        <w:t xml:space="preserve"> </w:t>
      </w:r>
      <w:r>
        <w:t>others</w:t>
      </w:r>
      <w:r>
        <w:rPr>
          <w:spacing w:val="-14"/>
        </w:rPr>
        <w:t xml:space="preserve"> </w:t>
      </w:r>
      <w:r>
        <w:t>legal</w:t>
      </w:r>
      <w:r>
        <w:rPr>
          <w:spacing w:val="-13"/>
        </w:rPr>
        <w:t xml:space="preserve"> </w:t>
      </w:r>
      <w:r>
        <w:t>entities</w:t>
      </w:r>
      <w:r>
        <w:rPr>
          <w:spacing w:val="-11"/>
        </w:rPr>
        <w:t xml:space="preserve"> </w:t>
      </w:r>
      <w:r>
        <w:t>with</w:t>
      </w:r>
      <w:r>
        <w:rPr>
          <w:spacing w:val="-13"/>
        </w:rPr>
        <w:t xml:space="preserve"> </w:t>
      </w:r>
      <w:r>
        <w:t>public</w:t>
      </w:r>
      <w:r>
        <w:rPr>
          <w:spacing w:val="-13"/>
        </w:rPr>
        <w:t xml:space="preserve"> </w:t>
      </w:r>
      <w:r>
        <w:t>powers,</w:t>
      </w:r>
      <w:r>
        <w:rPr>
          <w:spacing w:val="-58"/>
        </w:rPr>
        <w:t xml:space="preserve"> </w:t>
      </w:r>
      <w:r>
        <w:t>the (co)founders of which are LRSGUs which are to be assisted in preparing project-technical</w:t>
      </w:r>
      <w:r>
        <w:rPr>
          <w:spacing w:val="1"/>
        </w:rPr>
        <w:t xml:space="preserve"> </w:t>
      </w:r>
      <w:r>
        <w:t>documentation. The application deadline was 28 February 2022. A review of received project</w:t>
      </w:r>
      <w:r>
        <w:rPr>
          <w:spacing w:val="1"/>
        </w:rPr>
        <w:t xml:space="preserve"> </w:t>
      </w:r>
      <w:r>
        <w:t>proposals</w:t>
      </w:r>
      <w:r>
        <w:rPr>
          <w:spacing w:val="-1"/>
        </w:rPr>
        <w:t xml:space="preserve"> </w:t>
      </w:r>
      <w:r>
        <w:t>is underway.</w:t>
      </w:r>
    </w:p>
    <w:p w:rsidR="00A56FE9" w:rsidRDefault="00000000">
      <w:pPr>
        <w:pStyle w:val="Tijeloteksta"/>
        <w:spacing w:before="121"/>
        <w:ind w:right="272"/>
      </w:pPr>
      <w:r>
        <w:t>Projects</w:t>
      </w:r>
      <w:r>
        <w:rPr>
          <w:spacing w:val="1"/>
        </w:rPr>
        <w:t xml:space="preserve"> </w:t>
      </w:r>
      <w:r>
        <w:t>requiring</w:t>
      </w:r>
      <w:r>
        <w:rPr>
          <w:spacing w:val="1"/>
        </w:rPr>
        <w:t xml:space="preserve"> </w:t>
      </w:r>
      <w:r>
        <w:t>preparation</w:t>
      </w:r>
      <w:r>
        <w:rPr>
          <w:spacing w:val="1"/>
        </w:rPr>
        <w:t xml:space="preserve"> </w:t>
      </w:r>
      <w:r>
        <w:t>of</w:t>
      </w:r>
      <w:r>
        <w:rPr>
          <w:spacing w:val="1"/>
        </w:rPr>
        <w:t xml:space="preserve"> </w:t>
      </w:r>
      <w:r>
        <w:t>project-technical</w:t>
      </w:r>
      <w:r>
        <w:rPr>
          <w:spacing w:val="1"/>
        </w:rPr>
        <w:t xml:space="preserve"> </w:t>
      </w:r>
      <w:r>
        <w:t>documentation</w:t>
      </w:r>
      <w:r>
        <w:rPr>
          <w:spacing w:val="1"/>
        </w:rPr>
        <w:t xml:space="preserve"> </w:t>
      </w:r>
      <w:r>
        <w:t>in</w:t>
      </w:r>
      <w:r>
        <w:rPr>
          <w:spacing w:val="1"/>
        </w:rPr>
        <w:t xml:space="preserve"> </w:t>
      </w:r>
      <w:r>
        <w:t>the</w:t>
      </w:r>
      <w:r>
        <w:rPr>
          <w:spacing w:val="1"/>
        </w:rPr>
        <w:t xml:space="preserve"> </w:t>
      </w:r>
      <w:r>
        <w:t>field</w:t>
      </w:r>
      <w:r>
        <w:rPr>
          <w:spacing w:val="1"/>
        </w:rPr>
        <w:t xml:space="preserve"> </w:t>
      </w:r>
      <w:r>
        <w:t>of</w:t>
      </w:r>
      <w:r>
        <w:rPr>
          <w:spacing w:val="1"/>
        </w:rPr>
        <w:t xml:space="preserve"> </w:t>
      </w:r>
      <w:r>
        <w:t>digital</w:t>
      </w:r>
      <w:r>
        <w:rPr>
          <w:spacing w:val="1"/>
        </w:rPr>
        <w:t xml:space="preserve"> </w:t>
      </w:r>
      <w:r>
        <w:t>transformation will have to incorporate to one of the following areas of intervention: ICT</w:t>
      </w:r>
      <w:r>
        <w:rPr>
          <w:spacing w:val="1"/>
        </w:rPr>
        <w:t xml:space="preserve"> </w:t>
      </w:r>
      <w:r>
        <w:t>solutions,</w:t>
      </w:r>
      <w:r>
        <w:rPr>
          <w:spacing w:val="-4"/>
        </w:rPr>
        <w:t xml:space="preserve"> </w:t>
      </w:r>
      <w:r>
        <w:t>digitalisation,</w:t>
      </w:r>
      <w:r>
        <w:rPr>
          <w:spacing w:val="-4"/>
        </w:rPr>
        <w:t xml:space="preserve"> </w:t>
      </w:r>
      <w:r>
        <w:t>e-services,</w:t>
      </w:r>
      <w:r>
        <w:rPr>
          <w:spacing w:val="-2"/>
        </w:rPr>
        <w:t xml:space="preserve"> </w:t>
      </w:r>
      <w:r>
        <w:t>applications</w:t>
      </w:r>
      <w:r>
        <w:rPr>
          <w:spacing w:val="-4"/>
        </w:rPr>
        <w:t xml:space="preserve"> </w:t>
      </w:r>
      <w:r>
        <w:t>for</w:t>
      </w:r>
      <w:r>
        <w:rPr>
          <w:spacing w:val="-6"/>
        </w:rPr>
        <w:t xml:space="preserve"> </w:t>
      </w:r>
      <w:r>
        <w:t>public</w:t>
      </w:r>
      <w:r>
        <w:rPr>
          <w:spacing w:val="-5"/>
        </w:rPr>
        <w:t xml:space="preserve"> </w:t>
      </w:r>
      <w:r>
        <w:t>services</w:t>
      </w:r>
      <w:r>
        <w:rPr>
          <w:spacing w:val="-2"/>
        </w:rPr>
        <w:t xml:space="preserve"> </w:t>
      </w:r>
      <w:r>
        <w:t>and/or</w:t>
      </w:r>
      <w:r>
        <w:rPr>
          <w:spacing w:val="1"/>
        </w:rPr>
        <w:t xml:space="preserve"> </w:t>
      </w:r>
      <w:r>
        <w:t>operations</w:t>
      </w:r>
      <w:r>
        <w:rPr>
          <w:spacing w:val="-4"/>
        </w:rPr>
        <w:t xml:space="preserve"> </w:t>
      </w:r>
      <w:r>
        <w:t>of</w:t>
      </w:r>
      <w:r>
        <w:rPr>
          <w:spacing w:val="-2"/>
        </w:rPr>
        <w:t xml:space="preserve"> </w:t>
      </w:r>
      <w:r>
        <w:t>public</w:t>
      </w:r>
      <w:r>
        <w:rPr>
          <w:spacing w:val="-58"/>
        </w:rPr>
        <w:t xml:space="preserve"> </w:t>
      </w:r>
      <w:r>
        <w:t>bodies; ICT infrastructure for public services: extensive computing resources/equipment, data</w:t>
      </w:r>
      <w:r>
        <w:rPr>
          <w:spacing w:val="1"/>
        </w:rPr>
        <w:t xml:space="preserve"> </w:t>
      </w:r>
      <w:r>
        <w:t>centres,</w:t>
      </w:r>
      <w:r>
        <w:rPr>
          <w:spacing w:val="-6"/>
        </w:rPr>
        <w:t xml:space="preserve"> </w:t>
      </w:r>
      <w:r>
        <w:t>sensors</w:t>
      </w:r>
      <w:r>
        <w:rPr>
          <w:spacing w:val="-7"/>
        </w:rPr>
        <w:t xml:space="preserve"> </w:t>
      </w:r>
      <w:r>
        <w:t>and</w:t>
      </w:r>
      <w:r>
        <w:rPr>
          <w:spacing w:val="-6"/>
        </w:rPr>
        <w:t xml:space="preserve"> </w:t>
      </w:r>
      <w:r>
        <w:t>other</w:t>
      </w:r>
      <w:r>
        <w:rPr>
          <w:spacing w:val="-5"/>
        </w:rPr>
        <w:t xml:space="preserve"> </w:t>
      </w:r>
      <w:r>
        <w:t>wireless</w:t>
      </w:r>
      <w:r>
        <w:rPr>
          <w:spacing w:val="-6"/>
        </w:rPr>
        <w:t xml:space="preserve"> </w:t>
      </w:r>
      <w:r>
        <w:t>equipment;</w:t>
      </w:r>
      <w:r>
        <w:rPr>
          <w:spacing w:val="-6"/>
        </w:rPr>
        <w:t xml:space="preserve"> </w:t>
      </w:r>
      <w:r>
        <w:t>digitalisation</w:t>
      </w:r>
      <w:r>
        <w:rPr>
          <w:spacing w:val="-5"/>
        </w:rPr>
        <w:t xml:space="preserve"> </w:t>
      </w:r>
      <w:r>
        <w:t>in</w:t>
      </w:r>
      <w:r>
        <w:rPr>
          <w:spacing w:val="-6"/>
        </w:rPr>
        <w:t xml:space="preserve"> </w:t>
      </w:r>
      <w:r>
        <w:t>the</w:t>
      </w:r>
      <w:r>
        <w:rPr>
          <w:spacing w:val="-7"/>
        </w:rPr>
        <w:t xml:space="preserve"> </w:t>
      </w:r>
      <w:r>
        <w:t>field</w:t>
      </w:r>
      <w:r>
        <w:rPr>
          <w:spacing w:val="-6"/>
        </w:rPr>
        <w:t xml:space="preserve"> </w:t>
      </w:r>
      <w:r>
        <w:t>of</w:t>
      </w:r>
      <w:r>
        <w:rPr>
          <w:spacing w:val="-7"/>
        </w:rPr>
        <w:t xml:space="preserve"> </w:t>
      </w:r>
      <w:r>
        <w:t>health</w:t>
      </w:r>
      <w:r>
        <w:rPr>
          <w:spacing w:val="-5"/>
        </w:rPr>
        <w:t xml:space="preserve"> </w:t>
      </w:r>
      <w:r>
        <w:t>care;</w:t>
      </w:r>
      <w:r>
        <w:rPr>
          <w:spacing w:val="-6"/>
        </w:rPr>
        <w:t xml:space="preserve"> </w:t>
      </w:r>
      <w:r>
        <w:t>e-health</w:t>
      </w:r>
      <w:r>
        <w:rPr>
          <w:spacing w:val="-58"/>
        </w:rPr>
        <w:t xml:space="preserve"> </w:t>
      </w:r>
      <w:r>
        <w:t>services and applications (including e-care, the Internet of Things (IoT) for physical activity</w:t>
      </w:r>
      <w:r>
        <w:rPr>
          <w:spacing w:val="1"/>
        </w:rPr>
        <w:t xml:space="preserve"> </w:t>
      </w:r>
      <w:r>
        <w:t>and environments of assisted living (AL)); digitisation of educational and training institutions</w:t>
      </w:r>
      <w:r>
        <w:rPr>
          <w:spacing w:val="1"/>
        </w:rPr>
        <w:t xml:space="preserve"> </w:t>
      </w:r>
      <w:r>
        <w:t>and/or development of digital skills and content in these institutions; digitisation of urban</w:t>
      </w:r>
      <w:r>
        <w:rPr>
          <w:spacing w:val="1"/>
        </w:rPr>
        <w:t xml:space="preserve"> </w:t>
      </w:r>
      <w:r>
        <w:t>transport;</w:t>
      </w:r>
      <w:r>
        <w:rPr>
          <w:spacing w:val="22"/>
        </w:rPr>
        <w:t xml:space="preserve"> </w:t>
      </w:r>
      <w:r>
        <w:t>smart</w:t>
      </w:r>
      <w:r>
        <w:rPr>
          <w:spacing w:val="23"/>
        </w:rPr>
        <w:t xml:space="preserve"> </w:t>
      </w:r>
      <w:r>
        <w:t>cities,</w:t>
      </w:r>
      <w:r>
        <w:rPr>
          <w:spacing w:val="22"/>
        </w:rPr>
        <w:t xml:space="preserve"> </w:t>
      </w:r>
      <w:r>
        <w:t>the</w:t>
      </w:r>
      <w:r>
        <w:rPr>
          <w:spacing w:val="21"/>
        </w:rPr>
        <w:t xml:space="preserve"> </w:t>
      </w:r>
      <w:r>
        <w:t>use</w:t>
      </w:r>
      <w:r>
        <w:rPr>
          <w:spacing w:val="22"/>
        </w:rPr>
        <w:t xml:space="preserve"> </w:t>
      </w:r>
      <w:r>
        <w:t>of</w:t>
      </w:r>
      <w:r>
        <w:rPr>
          <w:spacing w:val="22"/>
        </w:rPr>
        <w:t xml:space="preserve"> </w:t>
      </w:r>
      <w:r>
        <w:t>digital</w:t>
      </w:r>
      <w:r>
        <w:rPr>
          <w:spacing w:val="23"/>
        </w:rPr>
        <w:t xml:space="preserve"> </w:t>
      </w:r>
      <w:r>
        <w:t>and</w:t>
      </w:r>
      <w:r>
        <w:rPr>
          <w:spacing w:val="21"/>
        </w:rPr>
        <w:t xml:space="preserve"> </w:t>
      </w:r>
      <w:r>
        <w:t>communication</w:t>
      </w:r>
      <w:r>
        <w:rPr>
          <w:spacing w:val="22"/>
        </w:rPr>
        <w:t xml:space="preserve"> </w:t>
      </w:r>
      <w:r>
        <w:t>technologies</w:t>
      </w:r>
      <w:r>
        <w:rPr>
          <w:spacing w:val="24"/>
        </w:rPr>
        <w:t xml:space="preserve"> </w:t>
      </w:r>
      <w:r>
        <w:t>to</w:t>
      </w:r>
      <w:r>
        <w:rPr>
          <w:spacing w:val="23"/>
        </w:rPr>
        <w:t xml:space="preserve"> </w:t>
      </w:r>
      <w:r>
        <w:t>better</w:t>
      </w:r>
      <w:r>
        <w:rPr>
          <w:spacing w:val="22"/>
        </w:rPr>
        <w:t xml:space="preserve"> </w:t>
      </w:r>
      <w:r>
        <w:t>meet</w:t>
      </w:r>
      <w:r>
        <w:rPr>
          <w:spacing w:val="23"/>
        </w:rPr>
        <w:t xml:space="preserve"> </w:t>
      </w:r>
      <w:r>
        <w:t>the</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t>needs of citizens and improve the efficiency of urban services; smart villages - transformation</w:t>
      </w:r>
      <w:r>
        <w:rPr>
          <w:spacing w:val="1"/>
        </w:rPr>
        <w:t xml:space="preserve"> </w:t>
      </w:r>
      <w:r>
        <w:t>of</w:t>
      </w:r>
      <w:r>
        <w:rPr>
          <w:spacing w:val="-1"/>
        </w:rPr>
        <w:t xml:space="preserve"> </w:t>
      </w:r>
      <w:r>
        <w:t>rural areas using</w:t>
      </w:r>
      <w:r>
        <w:rPr>
          <w:spacing w:val="-3"/>
        </w:rPr>
        <w:t xml:space="preserve"> </w:t>
      </w:r>
      <w:r>
        <w:t>digital and communication</w:t>
      </w:r>
      <w:r>
        <w:rPr>
          <w:spacing w:val="-1"/>
        </w:rPr>
        <w:t xml:space="preserve"> </w:t>
      </w:r>
      <w:r>
        <w:t>technologies.</w:t>
      </w:r>
    </w:p>
    <w:p w:rsidR="00A56FE9" w:rsidRDefault="00000000">
      <w:pPr>
        <w:pStyle w:val="Tijeloteksta"/>
        <w:spacing w:before="120"/>
        <w:ind w:right="275"/>
      </w:pPr>
      <w:r>
        <w:rPr>
          <w:spacing w:val="-1"/>
        </w:rPr>
        <w:t>Projects</w:t>
      </w:r>
      <w:r>
        <w:rPr>
          <w:spacing w:val="-12"/>
        </w:rPr>
        <w:t xml:space="preserve"> </w:t>
      </w:r>
      <w:r>
        <w:rPr>
          <w:spacing w:val="-1"/>
        </w:rPr>
        <w:t>requiring</w:t>
      </w:r>
      <w:r>
        <w:rPr>
          <w:spacing w:val="-14"/>
        </w:rPr>
        <w:t xml:space="preserve"> </w:t>
      </w:r>
      <w:r>
        <w:rPr>
          <w:spacing w:val="-1"/>
        </w:rPr>
        <w:t>preparation</w:t>
      </w:r>
      <w:r>
        <w:rPr>
          <w:spacing w:val="-11"/>
        </w:rPr>
        <w:t xml:space="preserve"> </w:t>
      </w:r>
      <w:r>
        <w:t>of</w:t>
      </w:r>
      <w:r>
        <w:rPr>
          <w:spacing w:val="-10"/>
        </w:rPr>
        <w:t xml:space="preserve"> </w:t>
      </w:r>
      <w:r>
        <w:t>project-technical</w:t>
      </w:r>
      <w:r>
        <w:rPr>
          <w:spacing w:val="-9"/>
        </w:rPr>
        <w:t xml:space="preserve"> </w:t>
      </w:r>
      <w:r>
        <w:t>documentation</w:t>
      </w:r>
      <w:r>
        <w:rPr>
          <w:spacing w:val="-11"/>
        </w:rPr>
        <w:t xml:space="preserve"> </w:t>
      </w:r>
      <w:r>
        <w:t>in</w:t>
      </w:r>
      <w:r>
        <w:rPr>
          <w:spacing w:val="-11"/>
        </w:rPr>
        <w:t xml:space="preserve"> </w:t>
      </w:r>
      <w:r>
        <w:t>the</w:t>
      </w:r>
      <w:r>
        <w:rPr>
          <w:spacing w:val="-12"/>
        </w:rPr>
        <w:t xml:space="preserve"> </w:t>
      </w:r>
      <w:r>
        <w:t>field</w:t>
      </w:r>
      <w:r>
        <w:rPr>
          <w:spacing w:val="-11"/>
        </w:rPr>
        <w:t xml:space="preserve"> </w:t>
      </w:r>
      <w:r>
        <w:t>of</w:t>
      </w:r>
      <w:r>
        <w:rPr>
          <w:spacing w:val="-12"/>
        </w:rPr>
        <w:t xml:space="preserve"> </w:t>
      </w:r>
      <w:r>
        <w:t>green</w:t>
      </w:r>
      <w:r>
        <w:rPr>
          <w:spacing w:val="-10"/>
        </w:rPr>
        <w:t xml:space="preserve"> </w:t>
      </w:r>
      <w:r>
        <w:t>transition</w:t>
      </w:r>
      <w:r>
        <w:rPr>
          <w:spacing w:val="-58"/>
        </w:rPr>
        <w:t xml:space="preserve"> </w:t>
      </w:r>
      <w:r>
        <w:t>relate to one of the following areas of intervention: construction of new energy efficient</w:t>
      </w:r>
      <w:r>
        <w:rPr>
          <w:spacing w:val="1"/>
        </w:rPr>
        <w:t xml:space="preserve"> </w:t>
      </w:r>
      <w:r>
        <w:t>buildings; renovations to increase energy efficiency or energy efficiency measures for public</w:t>
      </w:r>
      <w:r>
        <w:rPr>
          <w:spacing w:val="1"/>
        </w:rPr>
        <w:t xml:space="preserve"> </w:t>
      </w:r>
      <w:r>
        <w:t>buildings and public infrastructure; measures to adapt to climate change and to prevent and</w:t>
      </w:r>
      <w:r>
        <w:rPr>
          <w:spacing w:val="1"/>
        </w:rPr>
        <w:t xml:space="preserve"> </w:t>
      </w:r>
      <w:r>
        <w:t>manage</w:t>
      </w:r>
      <w:r>
        <w:rPr>
          <w:spacing w:val="-15"/>
        </w:rPr>
        <w:t xml:space="preserve"> </w:t>
      </w:r>
      <w:r>
        <w:t>climate-related</w:t>
      </w:r>
      <w:r>
        <w:rPr>
          <w:spacing w:val="-13"/>
        </w:rPr>
        <w:t xml:space="preserve"> </w:t>
      </w:r>
      <w:r>
        <w:t>risks;</w:t>
      </w:r>
      <w:r>
        <w:rPr>
          <w:spacing w:val="-13"/>
        </w:rPr>
        <w:t xml:space="preserve"> </w:t>
      </w:r>
      <w:r>
        <w:t>risk</w:t>
      </w:r>
      <w:r>
        <w:rPr>
          <w:spacing w:val="-13"/>
        </w:rPr>
        <w:t xml:space="preserve"> </w:t>
      </w:r>
      <w:r>
        <w:t>prevention</w:t>
      </w:r>
      <w:r>
        <w:rPr>
          <w:spacing w:val="-13"/>
        </w:rPr>
        <w:t xml:space="preserve"> </w:t>
      </w:r>
      <w:r>
        <w:t>and</w:t>
      </w:r>
      <w:r>
        <w:rPr>
          <w:spacing w:val="-13"/>
        </w:rPr>
        <w:t xml:space="preserve"> </w:t>
      </w:r>
      <w:r>
        <w:t>management</w:t>
      </w:r>
      <w:r>
        <w:rPr>
          <w:spacing w:val="-14"/>
        </w:rPr>
        <w:t xml:space="preserve"> </w:t>
      </w:r>
      <w:r>
        <w:t>of</w:t>
      </w:r>
      <w:r>
        <w:rPr>
          <w:spacing w:val="-14"/>
        </w:rPr>
        <w:t xml:space="preserve"> </w:t>
      </w:r>
      <w:r>
        <w:t>non-climatic</w:t>
      </w:r>
      <w:r>
        <w:rPr>
          <w:spacing w:val="-14"/>
        </w:rPr>
        <w:t xml:space="preserve"> </w:t>
      </w:r>
      <w:r>
        <w:t>natural</w:t>
      </w:r>
      <w:r>
        <w:rPr>
          <w:spacing w:val="-13"/>
        </w:rPr>
        <w:t xml:space="preserve"> </w:t>
      </w:r>
      <w:r>
        <w:t>risks</w:t>
      </w:r>
      <w:r>
        <w:rPr>
          <w:spacing w:val="-13"/>
        </w:rPr>
        <w:t xml:space="preserve"> </w:t>
      </w:r>
      <w:r>
        <w:t>and</w:t>
      </w:r>
      <w:r>
        <w:rPr>
          <w:spacing w:val="-58"/>
        </w:rPr>
        <w:t xml:space="preserve"> </w:t>
      </w:r>
      <w:r>
        <w:t>risks related to human activities including awareness raising, civil protection and disaster</w:t>
      </w:r>
      <w:r>
        <w:rPr>
          <w:spacing w:val="1"/>
        </w:rPr>
        <w:t xml:space="preserve"> </w:t>
      </w:r>
      <w:r>
        <w:t>management</w:t>
      </w:r>
      <w:r>
        <w:rPr>
          <w:spacing w:val="1"/>
        </w:rPr>
        <w:t xml:space="preserve"> </w:t>
      </w:r>
      <w:r>
        <w:t>systems,</w:t>
      </w:r>
      <w:r>
        <w:rPr>
          <w:spacing w:val="1"/>
        </w:rPr>
        <w:t xml:space="preserve"> </w:t>
      </w:r>
      <w:r>
        <w:t>infrastructure</w:t>
      </w:r>
      <w:r>
        <w:rPr>
          <w:spacing w:val="1"/>
        </w:rPr>
        <w:t xml:space="preserve"> </w:t>
      </w:r>
      <w:r>
        <w:t>and</w:t>
      </w:r>
      <w:r>
        <w:rPr>
          <w:spacing w:val="1"/>
        </w:rPr>
        <w:t xml:space="preserve"> </w:t>
      </w:r>
      <w:r>
        <w:t>ecosystem</w:t>
      </w:r>
      <w:r>
        <w:rPr>
          <w:spacing w:val="1"/>
        </w:rPr>
        <w:t xml:space="preserve"> </w:t>
      </w:r>
      <w:r>
        <w:t>approaches;</w:t>
      </w:r>
      <w:r>
        <w:rPr>
          <w:spacing w:val="1"/>
        </w:rPr>
        <w:t xml:space="preserve"> </w:t>
      </w:r>
      <w:r>
        <w:t>improving</w:t>
      </w:r>
      <w:r>
        <w:rPr>
          <w:spacing w:val="1"/>
        </w:rPr>
        <w:t xml:space="preserve"> </w:t>
      </w:r>
      <w:r>
        <w:t>air</w:t>
      </w:r>
      <w:r>
        <w:rPr>
          <w:spacing w:val="1"/>
        </w:rPr>
        <w:t xml:space="preserve"> </w:t>
      </w:r>
      <w:r>
        <w:t>quality;</w:t>
      </w:r>
      <w:r>
        <w:rPr>
          <w:spacing w:val="1"/>
        </w:rPr>
        <w:t xml:space="preserve"> </w:t>
      </w:r>
      <w:r>
        <w:t>protection,</w:t>
      </w:r>
      <w:r>
        <w:rPr>
          <w:spacing w:val="1"/>
        </w:rPr>
        <w:t xml:space="preserve"> </w:t>
      </w:r>
      <w:r>
        <w:t>restoration</w:t>
      </w:r>
      <w:r>
        <w:rPr>
          <w:spacing w:val="1"/>
        </w:rPr>
        <w:t xml:space="preserve"> </w:t>
      </w:r>
      <w:r>
        <w:t>and</w:t>
      </w:r>
      <w:r>
        <w:rPr>
          <w:spacing w:val="1"/>
        </w:rPr>
        <w:t xml:space="preserve"> </w:t>
      </w:r>
      <w:r>
        <w:t>sustainable</w:t>
      </w:r>
      <w:r>
        <w:rPr>
          <w:spacing w:val="1"/>
        </w:rPr>
        <w:t xml:space="preserve"> </w:t>
      </w:r>
      <w:r>
        <w:t>use</w:t>
      </w:r>
      <w:r>
        <w:rPr>
          <w:spacing w:val="1"/>
        </w:rPr>
        <w:t xml:space="preserve"> </w:t>
      </w:r>
      <w:r>
        <w:t>of</w:t>
      </w:r>
      <w:r>
        <w:rPr>
          <w:spacing w:val="1"/>
        </w:rPr>
        <w:t xml:space="preserve"> </w:t>
      </w:r>
      <w:r>
        <w:t>Natura</w:t>
      </w:r>
      <w:r>
        <w:rPr>
          <w:spacing w:val="1"/>
        </w:rPr>
        <w:t xml:space="preserve"> </w:t>
      </w:r>
      <w:r>
        <w:t>2000</w:t>
      </w:r>
      <w:r>
        <w:rPr>
          <w:spacing w:val="1"/>
        </w:rPr>
        <w:t xml:space="preserve"> </w:t>
      </w:r>
      <w:r>
        <w:t>sites;</w:t>
      </w:r>
      <w:r>
        <w:rPr>
          <w:spacing w:val="1"/>
        </w:rPr>
        <w:t xml:space="preserve"> </w:t>
      </w:r>
      <w:r>
        <w:t>nature</w:t>
      </w:r>
      <w:r>
        <w:rPr>
          <w:spacing w:val="1"/>
        </w:rPr>
        <w:t xml:space="preserve"> </w:t>
      </w:r>
      <w:r>
        <w:t>and</w:t>
      </w:r>
      <w:r>
        <w:rPr>
          <w:spacing w:val="1"/>
        </w:rPr>
        <w:t xml:space="preserve"> </w:t>
      </w:r>
      <w:r>
        <w:t>biodiversity</w:t>
      </w:r>
      <w:r>
        <w:rPr>
          <w:spacing w:val="-57"/>
        </w:rPr>
        <w:t xml:space="preserve"> </w:t>
      </w:r>
      <w:r>
        <w:t>protection,</w:t>
      </w:r>
      <w:r>
        <w:rPr>
          <w:spacing w:val="-6"/>
        </w:rPr>
        <w:t xml:space="preserve"> </w:t>
      </w:r>
      <w:r>
        <w:t>ecosystem</w:t>
      </w:r>
      <w:r>
        <w:rPr>
          <w:spacing w:val="-6"/>
        </w:rPr>
        <w:t xml:space="preserve"> </w:t>
      </w:r>
      <w:r>
        <w:t>conservation</w:t>
      </w:r>
      <w:r>
        <w:rPr>
          <w:spacing w:val="-5"/>
        </w:rPr>
        <w:t xml:space="preserve"> </w:t>
      </w:r>
      <w:r>
        <w:t>and</w:t>
      </w:r>
      <w:r>
        <w:rPr>
          <w:spacing w:val="-6"/>
        </w:rPr>
        <w:t xml:space="preserve"> </w:t>
      </w:r>
      <w:r>
        <w:t>restoration</w:t>
      </w:r>
      <w:r>
        <w:rPr>
          <w:spacing w:val="-6"/>
        </w:rPr>
        <w:t xml:space="preserve"> </w:t>
      </w:r>
      <w:r>
        <w:t>and</w:t>
      </w:r>
      <w:r>
        <w:rPr>
          <w:spacing w:val="-5"/>
        </w:rPr>
        <w:t xml:space="preserve"> </w:t>
      </w:r>
      <w:r>
        <w:t>related</w:t>
      </w:r>
      <w:r>
        <w:rPr>
          <w:spacing w:val="-3"/>
        </w:rPr>
        <w:t xml:space="preserve"> </w:t>
      </w:r>
      <w:r>
        <w:t>green</w:t>
      </w:r>
      <w:r>
        <w:rPr>
          <w:spacing w:val="-6"/>
        </w:rPr>
        <w:t xml:space="preserve"> </w:t>
      </w:r>
      <w:r>
        <w:t>infrastructure;</w:t>
      </w:r>
      <w:r>
        <w:rPr>
          <w:spacing w:val="-4"/>
        </w:rPr>
        <w:t xml:space="preserve"> </w:t>
      </w:r>
      <w:r>
        <w:t>protection,</w:t>
      </w:r>
      <w:r>
        <w:rPr>
          <w:spacing w:val="-58"/>
        </w:rPr>
        <w:t xml:space="preserve"> </w:t>
      </w:r>
      <w:r>
        <w:t>development</w:t>
      </w:r>
      <w:r>
        <w:rPr>
          <w:spacing w:val="1"/>
        </w:rPr>
        <w:t xml:space="preserve"> </w:t>
      </w:r>
      <w:r>
        <w:t>and</w:t>
      </w:r>
      <w:r>
        <w:rPr>
          <w:spacing w:val="1"/>
        </w:rPr>
        <w:t xml:space="preserve"> </w:t>
      </w:r>
      <w:r>
        <w:t>promotion</w:t>
      </w:r>
      <w:r>
        <w:rPr>
          <w:spacing w:val="1"/>
        </w:rPr>
        <w:t xml:space="preserve"> </w:t>
      </w:r>
      <w:r>
        <w:t>of</w:t>
      </w:r>
      <w:r>
        <w:rPr>
          <w:spacing w:val="1"/>
        </w:rPr>
        <w:t xml:space="preserve"> </w:t>
      </w:r>
      <w:r>
        <w:t>natural</w:t>
      </w:r>
      <w:r>
        <w:rPr>
          <w:spacing w:val="1"/>
        </w:rPr>
        <w:t xml:space="preserve"> </w:t>
      </w:r>
      <w:r>
        <w:t>heritage</w:t>
      </w:r>
      <w:r>
        <w:rPr>
          <w:spacing w:val="1"/>
        </w:rPr>
        <w:t xml:space="preserve"> </w:t>
      </w:r>
      <w:r>
        <w:t>outside</w:t>
      </w:r>
      <w:r>
        <w:rPr>
          <w:spacing w:val="1"/>
        </w:rPr>
        <w:t xml:space="preserve"> </w:t>
      </w:r>
      <w:r>
        <w:t>the</w:t>
      </w:r>
      <w:r>
        <w:rPr>
          <w:spacing w:val="1"/>
        </w:rPr>
        <w:t xml:space="preserve"> </w:t>
      </w:r>
      <w:r>
        <w:t>Natura</w:t>
      </w:r>
      <w:r>
        <w:rPr>
          <w:spacing w:val="1"/>
        </w:rPr>
        <w:t xml:space="preserve"> </w:t>
      </w:r>
      <w:r>
        <w:t>2000</w:t>
      </w:r>
      <w:r>
        <w:rPr>
          <w:spacing w:val="1"/>
        </w:rPr>
        <w:t xml:space="preserve"> </w:t>
      </w:r>
      <w:r>
        <w:t>network;</w:t>
      </w:r>
      <w:r>
        <w:rPr>
          <w:spacing w:val="1"/>
        </w:rPr>
        <w:t xml:space="preserve"> </w:t>
      </w:r>
      <w:r>
        <w:t>green</w:t>
      </w:r>
      <w:r>
        <w:rPr>
          <w:spacing w:val="-57"/>
        </w:rPr>
        <w:t xml:space="preserve"> </w:t>
      </w:r>
      <w:r>
        <w:t>infrastructure</w:t>
      </w:r>
      <w:r>
        <w:rPr>
          <w:spacing w:val="-2"/>
        </w:rPr>
        <w:t xml:space="preserve"> </w:t>
      </w:r>
      <w:r>
        <w:t>in</w:t>
      </w:r>
      <w:r>
        <w:rPr>
          <w:spacing w:val="-1"/>
        </w:rPr>
        <w:t xml:space="preserve"> </w:t>
      </w:r>
      <w:r>
        <w:t>urban</w:t>
      </w:r>
      <w:r>
        <w:rPr>
          <w:spacing w:val="2"/>
        </w:rPr>
        <w:t xml:space="preserve"> </w:t>
      </w:r>
      <w:r>
        <w:t>areas;</w:t>
      </w:r>
      <w:r>
        <w:rPr>
          <w:spacing w:val="-1"/>
        </w:rPr>
        <w:t xml:space="preserve"> </w:t>
      </w:r>
      <w:r>
        <w:t>bicycle infrastructure;</w:t>
      </w:r>
      <w:r>
        <w:rPr>
          <w:spacing w:val="-1"/>
        </w:rPr>
        <w:t xml:space="preserve"> </w:t>
      </w:r>
      <w:r>
        <w:t>rehabilitation of</w:t>
      </w:r>
      <w:r>
        <w:rPr>
          <w:spacing w:val="-2"/>
        </w:rPr>
        <w:t xml:space="preserve"> </w:t>
      </w:r>
      <w:r>
        <w:t>industrial sites.</w:t>
      </w:r>
    </w:p>
    <w:p w:rsidR="00A56FE9" w:rsidRDefault="00000000">
      <w:pPr>
        <w:pStyle w:val="Tijeloteksta"/>
        <w:spacing w:before="121"/>
      </w:pPr>
      <w:r>
        <w:t>The</w:t>
      </w:r>
      <w:r>
        <w:rPr>
          <w:spacing w:val="-3"/>
        </w:rPr>
        <w:t xml:space="preserve"> </w:t>
      </w:r>
      <w:r>
        <w:t>implementation of</w:t>
      </w:r>
      <w:r>
        <w:rPr>
          <w:spacing w:val="-1"/>
        </w:rPr>
        <w:t xml:space="preserve"> </w:t>
      </w:r>
      <w:r>
        <w:t>these</w:t>
      </w:r>
      <w:r>
        <w:rPr>
          <w:spacing w:val="-1"/>
        </w:rPr>
        <w:t xml:space="preserve"> </w:t>
      </w:r>
      <w:r>
        <w:t>activities</w:t>
      </w:r>
      <w:r>
        <w:rPr>
          <w:spacing w:val="-1"/>
        </w:rPr>
        <w:t xml:space="preserve"> </w:t>
      </w:r>
      <w:r>
        <w:t>will contribute</w:t>
      </w:r>
      <w:r>
        <w:rPr>
          <w:spacing w:val="-1"/>
        </w:rPr>
        <w:t xml:space="preserve"> </w:t>
      </w:r>
      <w:r>
        <w:t>to:</w:t>
      </w:r>
    </w:p>
    <w:p w:rsidR="00A56FE9" w:rsidRDefault="00000000">
      <w:pPr>
        <w:pStyle w:val="Odlomakpopisa"/>
        <w:numPr>
          <w:ilvl w:val="0"/>
          <w:numId w:val="5"/>
        </w:numPr>
        <w:tabs>
          <w:tab w:val="left" w:pos="498"/>
          <w:tab w:val="left" w:pos="499"/>
        </w:tabs>
        <w:spacing w:before="119"/>
        <w:ind w:right="278"/>
        <w:rPr>
          <w:sz w:val="24"/>
        </w:rPr>
      </w:pPr>
      <w:r>
        <w:rPr>
          <w:sz w:val="24"/>
        </w:rPr>
        <w:t>Improving</w:t>
      </w:r>
      <w:r>
        <w:rPr>
          <w:spacing w:val="25"/>
          <w:sz w:val="24"/>
        </w:rPr>
        <w:t xml:space="preserve"> </w:t>
      </w:r>
      <w:r>
        <w:rPr>
          <w:sz w:val="24"/>
        </w:rPr>
        <w:t>efficiency</w:t>
      </w:r>
      <w:r>
        <w:rPr>
          <w:spacing w:val="21"/>
          <w:sz w:val="24"/>
        </w:rPr>
        <w:t xml:space="preserve"> </w:t>
      </w:r>
      <w:r>
        <w:rPr>
          <w:sz w:val="24"/>
        </w:rPr>
        <w:t>in</w:t>
      </w:r>
      <w:r>
        <w:rPr>
          <w:spacing w:val="29"/>
          <w:sz w:val="24"/>
        </w:rPr>
        <w:t xml:space="preserve"> </w:t>
      </w:r>
      <w:r>
        <w:rPr>
          <w:sz w:val="24"/>
        </w:rPr>
        <w:t>implementing</w:t>
      </w:r>
      <w:r>
        <w:rPr>
          <w:spacing w:val="24"/>
          <w:sz w:val="24"/>
        </w:rPr>
        <w:t xml:space="preserve"> </w:t>
      </w:r>
      <w:r>
        <w:rPr>
          <w:sz w:val="24"/>
        </w:rPr>
        <w:t>public</w:t>
      </w:r>
      <w:r>
        <w:rPr>
          <w:spacing w:val="25"/>
          <w:sz w:val="24"/>
        </w:rPr>
        <w:t xml:space="preserve"> </w:t>
      </w:r>
      <w:r>
        <w:rPr>
          <w:sz w:val="24"/>
        </w:rPr>
        <w:t>policies,</w:t>
      </w:r>
      <w:r>
        <w:rPr>
          <w:spacing w:val="25"/>
          <w:sz w:val="24"/>
        </w:rPr>
        <w:t xml:space="preserve"> </w:t>
      </w:r>
      <w:r>
        <w:rPr>
          <w:sz w:val="24"/>
        </w:rPr>
        <w:t>significantly</w:t>
      </w:r>
      <w:r>
        <w:rPr>
          <w:spacing w:val="21"/>
          <w:sz w:val="24"/>
        </w:rPr>
        <w:t xml:space="preserve"> </w:t>
      </w:r>
      <w:r>
        <w:rPr>
          <w:sz w:val="24"/>
        </w:rPr>
        <w:t>improved</w:t>
      </w:r>
      <w:r>
        <w:rPr>
          <w:spacing w:val="26"/>
          <w:sz w:val="24"/>
        </w:rPr>
        <w:t xml:space="preserve"> </w:t>
      </w:r>
      <w:r>
        <w:rPr>
          <w:sz w:val="24"/>
        </w:rPr>
        <w:t>conditions</w:t>
      </w:r>
      <w:r>
        <w:rPr>
          <w:spacing w:val="-57"/>
          <w:sz w:val="24"/>
        </w:rPr>
        <w:t xml:space="preserve"> </w:t>
      </w:r>
      <w:r>
        <w:rPr>
          <w:sz w:val="24"/>
        </w:rPr>
        <w:t>for</w:t>
      </w:r>
      <w:r>
        <w:rPr>
          <w:spacing w:val="-3"/>
          <w:sz w:val="24"/>
        </w:rPr>
        <w:t xml:space="preserve"> </w:t>
      </w:r>
      <w:r>
        <w:rPr>
          <w:sz w:val="24"/>
        </w:rPr>
        <w:t>developing</w:t>
      </w:r>
      <w:r>
        <w:rPr>
          <w:spacing w:val="-3"/>
          <w:sz w:val="24"/>
        </w:rPr>
        <w:t xml:space="preserve"> </w:t>
      </w:r>
      <w:r>
        <w:rPr>
          <w:sz w:val="24"/>
        </w:rPr>
        <w:t>a</w:t>
      </w:r>
      <w:r>
        <w:rPr>
          <w:spacing w:val="-1"/>
          <w:sz w:val="24"/>
        </w:rPr>
        <w:t xml:space="preserve"> </w:t>
      </w:r>
      <w:r>
        <w:rPr>
          <w:sz w:val="24"/>
        </w:rPr>
        <w:t>monitoring</w:t>
      </w:r>
      <w:r>
        <w:rPr>
          <w:spacing w:val="-2"/>
          <w:sz w:val="24"/>
        </w:rPr>
        <w:t xml:space="preserve"> </w:t>
      </w:r>
      <w:r>
        <w:rPr>
          <w:sz w:val="24"/>
        </w:rPr>
        <w:t>and reporting</w:t>
      </w:r>
      <w:r>
        <w:rPr>
          <w:spacing w:val="-1"/>
          <w:sz w:val="24"/>
        </w:rPr>
        <w:t xml:space="preserve"> </w:t>
      </w:r>
      <w:r>
        <w:rPr>
          <w:sz w:val="24"/>
        </w:rPr>
        <w:t>framework in strategic planning</w:t>
      </w:r>
      <w:r>
        <w:rPr>
          <w:spacing w:val="-2"/>
          <w:sz w:val="24"/>
        </w:rPr>
        <w:t xml:space="preserve"> </w:t>
      </w:r>
      <w:r>
        <w:rPr>
          <w:sz w:val="24"/>
        </w:rPr>
        <w:t>acts</w:t>
      </w:r>
    </w:p>
    <w:p w:rsidR="00A56FE9" w:rsidRDefault="00000000">
      <w:pPr>
        <w:pStyle w:val="Odlomakpopisa"/>
        <w:numPr>
          <w:ilvl w:val="0"/>
          <w:numId w:val="5"/>
        </w:numPr>
        <w:tabs>
          <w:tab w:val="left" w:pos="498"/>
          <w:tab w:val="left" w:pos="499"/>
        </w:tabs>
        <w:spacing w:line="242" w:lineRule="auto"/>
        <w:ind w:right="278"/>
        <w:rPr>
          <w:sz w:val="24"/>
        </w:rPr>
      </w:pPr>
      <w:r>
        <w:rPr>
          <w:sz w:val="24"/>
        </w:rPr>
        <w:t>Improving</w:t>
      </w:r>
      <w:r>
        <w:rPr>
          <w:spacing w:val="-10"/>
          <w:sz w:val="24"/>
        </w:rPr>
        <w:t xml:space="preserve"> </w:t>
      </w:r>
      <w:r>
        <w:rPr>
          <w:sz w:val="24"/>
        </w:rPr>
        <w:t>transparency</w:t>
      </w:r>
      <w:r>
        <w:rPr>
          <w:spacing w:val="-12"/>
          <w:sz w:val="24"/>
        </w:rPr>
        <w:t xml:space="preserve"> </w:t>
      </w:r>
      <w:r>
        <w:rPr>
          <w:sz w:val="24"/>
        </w:rPr>
        <w:t>in</w:t>
      </w:r>
      <w:r>
        <w:rPr>
          <w:spacing w:val="-7"/>
          <w:sz w:val="24"/>
        </w:rPr>
        <w:t xml:space="preserve"> </w:t>
      </w:r>
      <w:r>
        <w:rPr>
          <w:sz w:val="24"/>
        </w:rPr>
        <w:t>implementing</w:t>
      </w:r>
      <w:r>
        <w:rPr>
          <w:spacing w:val="-10"/>
          <w:sz w:val="24"/>
        </w:rPr>
        <w:t xml:space="preserve"> </w:t>
      </w:r>
      <w:r>
        <w:rPr>
          <w:sz w:val="24"/>
        </w:rPr>
        <w:t>public</w:t>
      </w:r>
      <w:r>
        <w:rPr>
          <w:spacing w:val="-8"/>
          <w:sz w:val="24"/>
        </w:rPr>
        <w:t xml:space="preserve"> </w:t>
      </w:r>
      <w:r>
        <w:rPr>
          <w:sz w:val="24"/>
        </w:rPr>
        <w:t>policies,</w:t>
      </w:r>
      <w:r>
        <w:rPr>
          <w:spacing w:val="-8"/>
          <w:sz w:val="24"/>
        </w:rPr>
        <w:t xml:space="preserve"> </w:t>
      </w:r>
      <w:r>
        <w:rPr>
          <w:sz w:val="24"/>
        </w:rPr>
        <w:t>significantly</w:t>
      </w:r>
      <w:r>
        <w:rPr>
          <w:spacing w:val="-11"/>
          <w:sz w:val="24"/>
        </w:rPr>
        <w:t xml:space="preserve"> </w:t>
      </w:r>
      <w:r>
        <w:rPr>
          <w:sz w:val="24"/>
        </w:rPr>
        <w:t>improved</w:t>
      </w:r>
      <w:r>
        <w:rPr>
          <w:spacing w:val="-8"/>
          <w:sz w:val="24"/>
        </w:rPr>
        <w:t xml:space="preserve"> </w:t>
      </w:r>
      <w:r>
        <w:rPr>
          <w:sz w:val="24"/>
        </w:rPr>
        <w:t>conditions</w:t>
      </w:r>
      <w:r>
        <w:rPr>
          <w:spacing w:val="-57"/>
          <w:sz w:val="24"/>
        </w:rPr>
        <w:t xml:space="preserve"> </w:t>
      </w:r>
      <w:r>
        <w:rPr>
          <w:sz w:val="24"/>
        </w:rPr>
        <w:t>for</w:t>
      </w:r>
      <w:r>
        <w:rPr>
          <w:spacing w:val="-3"/>
          <w:sz w:val="24"/>
        </w:rPr>
        <w:t xml:space="preserve"> </w:t>
      </w:r>
      <w:r>
        <w:rPr>
          <w:sz w:val="24"/>
        </w:rPr>
        <w:t>independent performance evaluation in</w:t>
      </w:r>
      <w:r>
        <w:rPr>
          <w:spacing w:val="-1"/>
          <w:sz w:val="24"/>
        </w:rPr>
        <w:t xml:space="preserve"> </w:t>
      </w:r>
      <w:r>
        <w:rPr>
          <w:sz w:val="24"/>
        </w:rPr>
        <w:t>the implementation of</w:t>
      </w:r>
      <w:r>
        <w:rPr>
          <w:spacing w:val="-1"/>
          <w:sz w:val="24"/>
        </w:rPr>
        <w:t xml:space="preserve"> </w:t>
      </w:r>
      <w:r>
        <w:rPr>
          <w:sz w:val="24"/>
        </w:rPr>
        <w:t>public</w:t>
      </w:r>
      <w:r>
        <w:rPr>
          <w:spacing w:val="-2"/>
          <w:sz w:val="24"/>
        </w:rPr>
        <w:t xml:space="preserve"> </w:t>
      </w:r>
      <w:r>
        <w:rPr>
          <w:sz w:val="24"/>
        </w:rPr>
        <w:t>policies</w:t>
      </w:r>
    </w:p>
    <w:p w:rsidR="00A56FE9" w:rsidRDefault="00000000">
      <w:pPr>
        <w:pStyle w:val="Odlomakpopisa"/>
        <w:numPr>
          <w:ilvl w:val="0"/>
          <w:numId w:val="5"/>
        </w:numPr>
        <w:tabs>
          <w:tab w:val="left" w:pos="498"/>
          <w:tab w:val="left" w:pos="499"/>
        </w:tabs>
        <w:ind w:right="280"/>
        <w:rPr>
          <w:sz w:val="24"/>
        </w:rPr>
      </w:pPr>
      <w:r>
        <w:rPr>
          <w:spacing w:val="-1"/>
          <w:sz w:val="24"/>
        </w:rPr>
        <w:t>Improving</w:t>
      </w:r>
      <w:r>
        <w:rPr>
          <w:spacing w:val="-17"/>
          <w:sz w:val="24"/>
        </w:rPr>
        <w:t xml:space="preserve"> </w:t>
      </w:r>
      <w:r>
        <w:rPr>
          <w:sz w:val="24"/>
        </w:rPr>
        <w:t>the</w:t>
      </w:r>
      <w:r>
        <w:rPr>
          <w:spacing w:val="-15"/>
          <w:sz w:val="24"/>
        </w:rPr>
        <w:t xml:space="preserve"> </w:t>
      </w:r>
      <w:r>
        <w:rPr>
          <w:sz w:val="24"/>
        </w:rPr>
        <w:t>sustainability</w:t>
      </w:r>
      <w:r>
        <w:rPr>
          <w:spacing w:val="-22"/>
          <w:sz w:val="24"/>
        </w:rPr>
        <w:t xml:space="preserve"> </w:t>
      </w:r>
      <w:r>
        <w:rPr>
          <w:sz w:val="24"/>
        </w:rPr>
        <w:t>of</w:t>
      </w:r>
      <w:r>
        <w:rPr>
          <w:spacing w:val="-15"/>
          <w:sz w:val="24"/>
        </w:rPr>
        <w:t xml:space="preserve"> </w:t>
      </w:r>
      <w:r>
        <w:rPr>
          <w:sz w:val="24"/>
        </w:rPr>
        <w:t>public</w:t>
      </w:r>
      <w:r>
        <w:rPr>
          <w:spacing w:val="-16"/>
          <w:sz w:val="24"/>
        </w:rPr>
        <w:t xml:space="preserve"> </w:t>
      </w:r>
      <w:r>
        <w:rPr>
          <w:sz w:val="24"/>
        </w:rPr>
        <w:t>policies,</w:t>
      </w:r>
      <w:r>
        <w:rPr>
          <w:spacing w:val="-15"/>
          <w:sz w:val="24"/>
        </w:rPr>
        <w:t xml:space="preserve"> </w:t>
      </w:r>
      <w:r>
        <w:rPr>
          <w:sz w:val="24"/>
        </w:rPr>
        <w:t>significant</w:t>
      </w:r>
      <w:r>
        <w:rPr>
          <w:spacing w:val="-14"/>
          <w:sz w:val="24"/>
        </w:rPr>
        <w:t xml:space="preserve"> </w:t>
      </w:r>
      <w:r>
        <w:rPr>
          <w:sz w:val="24"/>
        </w:rPr>
        <w:t>improvements</w:t>
      </w:r>
      <w:r>
        <w:rPr>
          <w:spacing w:val="-14"/>
          <w:sz w:val="24"/>
        </w:rPr>
        <w:t xml:space="preserve"> </w:t>
      </w:r>
      <w:r>
        <w:rPr>
          <w:sz w:val="24"/>
        </w:rPr>
        <w:t>in</w:t>
      </w:r>
      <w:r>
        <w:rPr>
          <w:spacing w:val="-14"/>
          <w:sz w:val="24"/>
        </w:rPr>
        <w:t xml:space="preserve"> </w:t>
      </w:r>
      <w:r>
        <w:rPr>
          <w:sz w:val="24"/>
        </w:rPr>
        <w:t>linking</w:t>
      </w:r>
      <w:r>
        <w:rPr>
          <w:spacing w:val="-17"/>
          <w:sz w:val="24"/>
        </w:rPr>
        <w:t xml:space="preserve"> </w:t>
      </w:r>
      <w:r>
        <w:rPr>
          <w:sz w:val="24"/>
        </w:rPr>
        <w:t>strategic</w:t>
      </w:r>
      <w:r>
        <w:rPr>
          <w:spacing w:val="-57"/>
          <w:sz w:val="24"/>
        </w:rPr>
        <w:t xml:space="preserve"> </w:t>
      </w:r>
      <w:r>
        <w:rPr>
          <w:sz w:val="24"/>
        </w:rPr>
        <w:t>and budgetary</w:t>
      </w:r>
      <w:r>
        <w:rPr>
          <w:spacing w:val="-5"/>
          <w:sz w:val="24"/>
        </w:rPr>
        <w:t xml:space="preserve"> </w:t>
      </w:r>
      <w:r>
        <w:rPr>
          <w:sz w:val="24"/>
        </w:rPr>
        <w:t>planning</w:t>
      </w:r>
      <w:r>
        <w:rPr>
          <w:spacing w:val="-2"/>
          <w:sz w:val="24"/>
        </w:rPr>
        <w:t xml:space="preserve"> </w:t>
      </w:r>
      <w:r>
        <w:rPr>
          <w:sz w:val="24"/>
        </w:rPr>
        <w:t>processes.</w:t>
      </w:r>
    </w:p>
    <w:p w:rsidR="00A56FE9" w:rsidRDefault="00000000">
      <w:pPr>
        <w:pStyle w:val="Tijeloteksta"/>
        <w:spacing w:before="115"/>
        <w:ind w:right="274"/>
      </w:pPr>
      <w:r>
        <w:t>Improving the quality of preparation and implementation of sustainable public policies, based</w:t>
      </w:r>
      <w:r>
        <w:rPr>
          <w:spacing w:val="1"/>
        </w:rPr>
        <w:t xml:space="preserve"> </w:t>
      </w:r>
      <w:r>
        <w:t>on data and evidence, facilitates implementation of the UN Sustainable Development Goal 16.</w:t>
      </w:r>
      <w:r>
        <w:rPr>
          <w:spacing w:val="-57"/>
        </w:rPr>
        <w:t xml:space="preserve"> </w:t>
      </w:r>
      <w:r>
        <w:t>“Promote peaceful and inclusive societies for sustainable development, provide access to</w:t>
      </w:r>
      <w:r>
        <w:rPr>
          <w:spacing w:val="1"/>
        </w:rPr>
        <w:t xml:space="preserve"> </w:t>
      </w:r>
      <w:r>
        <w:t>justice for all and build effective, accountable and inclusive institutions at all levels,” and</w:t>
      </w:r>
      <w:r>
        <w:rPr>
          <w:spacing w:val="1"/>
        </w:rPr>
        <w:t xml:space="preserve"> </w:t>
      </w:r>
      <w:r>
        <w:t>Subgoal 16.7 “ensure responsive, inclusive, participatory and representative decision-making</w:t>
      </w:r>
      <w:r>
        <w:rPr>
          <w:spacing w:val="1"/>
        </w:rPr>
        <w:t xml:space="preserve"> </w:t>
      </w:r>
      <w:r>
        <w:t>at</w:t>
      </w:r>
      <w:r>
        <w:rPr>
          <w:spacing w:val="-1"/>
        </w:rPr>
        <w:t xml:space="preserve"> </w:t>
      </w:r>
      <w:r>
        <w:t>all levels.”</w:t>
      </w:r>
    </w:p>
    <w:p w:rsidR="00A56FE9" w:rsidRDefault="00000000">
      <w:pPr>
        <w:pStyle w:val="Tijeloteksta"/>
        <w:spacing w:before="121"/>
        <w:ind w:right="272"/>
      </w:pPr>
      <w:r>
        <w:t>Investments within the NRRP reform C2.1. R1 Strengthening mechanisms for the integration</w:t>
      </w:r>
      <w:r>
        <w:rPr>
          <w:spacing w:val="1"/>
        </w:rPr>
        <w:t xml:space="preserve"> </w:t>
      </w:r>
      <w:r>
        <w:t>and management of public policies with the professionalisation of strategic planning, aims to</w:t>
      </w:r>
      <w:r>
        <w:rPr>
          <w:spacing w:val="1"/>
        </w:rPr>
        <w:t xml:space="preserve"> </w:t>
      </w:r>
      <w:r>
        <w:t>strengthen capacities in strategic planning and better regulation. The investment goal is to</w:t>
      </w:r>
      <w:r>
        <w:rPr>
          <w:spacing w:val="1"/>
        </w:rPr>
        <w:t xml:space="preserve"> </w:t>
      </w:r>
      <w:r>
        <w:t>implement training programs and encourage continuous learning in strategic planning and</w:t>
      </w:r>
      <w:r>
        <w:rPr>
          <w:spacing w:val="1"/>
        </w:rPr>
        <w:t xml:space="preserve"> </w:t>
      </w:r>
      <w:r>
        <w:t>better regulation, strengthen the relevant competencies of employees in the state and public</w:t>
      </w:r>
      <w:r>
        <w:rPr>
          <w:spacing w:val="1"/>
        </w:rPr>
        <w:t xml:space="preserve"> </w:t>
      </w:r>
      <w:r>
        <w:t>administration</w:t>
      </w:r>
      <w:r>
        <w:rPr>
          <w:spacing w:val="-10"/>
        </w:rPr>
        <w:t xml:space="preserve"> </w:t>
      </w:r>
      <w:r>
        <w:t>systems</w:t>
      </w:r>
      <w:r>
        <w:rPr>
          <w:spacing w:val="-9"/>
        </w:rPr>
        <w:t xml:space="preserve"> </w:t>
      </w:r>
      <w:r>
        <w:t>and</w:t>
      </w:r>
      <w:r>
        <w:rPr>
          <w:spacing w:val="-8"/>
        </w:rPr>
        <w:t xml:space="preserve"> </w:t>
      </w:r>
      <w:r>
        <w:t>ensure</w:t>
      </w:r>
      <w:r>
        <w:rPr>
          <w:spacing w:val="-11"/>
        </w:rPr>
        <w:t xml:space="preserve"> </w:t>
      </w:r>
      <w:r>
        <w:t>a</w:t>
      </w:r>
      <w:r>
        <w:rPr>
          <w:spacing w:val="-10"/>
        </w:rPr>
        <w:t xml:space="preserve"> </w:t>
      </w:r>
      <w:r>
        <w:t>long-term</w:t>
      </w:r>
      <w:r>
        <w:rPr>
          <w:spacing w:val="-9"/>
        </w:rPr>
        <w:t xml:space="preserve"> </w:t>
      </w:r>
      <w:r>
        <w:t>sustainable</w:t>
      </w:r>
      <w:r>
        <w:rPr>
          <w:spacing w:val="-10"/>
        </w:rPr>
        <w:t xml:space="preserve"> </w:t>
      </w:r>
      <w:r>
        <w:t>system</w:t>
      </w:r>
      <w:r>
        <w:rPr>
          <w:spacing w:val="-9"/>
        </w:rPr>
        <w:t xml:space="preserve"> </w:t>
      </w:r>
      <w:r>
        <w:t>for</w:t>
      </w:r>
      <w:r>
        <w:rPr>
          <w:spacing w:val="-10"/>
        </w:rPr>
        <w:t xml:space="preserve"> </w:t>
      </w:r>
      <w:r>
        <w:t>strategic</w:t>
      </w:r>
      <w:r>
        <w:rPr>
          <w:spacing w:val="-9"/>
        </w:rPr>
        <w:t xml:space="preserve"> </w:t>
      </w:r>
      <w:r>
        <w:t>planning,</w:t>
      </w:r>
      <w:r>
        <w:rPr>
          <w:spacing w:val="-10"/>
        </w:rPr>
        <w:t xml:space="preserve"> </w:t>
      </w:r>
      <w:r>
        <w:t>public</w:t>
      </w:r>
      <w:r>
        <w:rPr>
          <w:spacing w:val="-58"/>
        </w:rPr>
        <w:t xml:space="preserve"> </w:t>
      </w:r>
      <w:r>
        <w:t>policy</w:t>
      </w:r>
      <w:r>
        <w:rPr>
          <w:spacing w:val="-6"/>
        </w:rPr>
        <w:t xml:space="preserve"> </w:t>
      </w:r>
      <w:r>
        <w:t>management and</w:t>
      </w:r>
      <w:r>
        <w:rPr>
          <w:spacing w:val="2"/>
        </w:rPr>
        <w:t xml:space="preserve"> </w:t>
      </w:r>
      <w:r>
        <w:t>better regulation.</w:t>
      </w:r>
    </w:p>
    <w:p w:rsidR="00A56FE9" w:rsidRDefault="00000000">
      <w:pPr>
        <w:pStyle w:val="Tijeloteksta"/>
        <w:spacing w:before="121"/>
        <w:ind w:right="273"/>
      </w:pPr>
      <w:r>
        <w:t>The</w:t>
      </w:r>
      <w:r>
        <w:rPr>
          <w:spacing w:val="-5"/>
        </w:rPr>
        <w:t xml:space="preserve"> </w:t>
      </w:r>
      <w:r>
        <w:t>mapping</w:t>
      </w:r>
      <w:r>
        <w:rPr>
          <w:spacing w:val="-5"/>
        </w:rPr>
        <w:t xml:space="preserve"> </w:t>
      </w:r>
      <w:r>
        <w:t>of</w:t>
      </w:r>
      <w:r>
        <w:rPr>
          <w:spacing w:val="-5"/>
        </w:rPr>
        <w:t xml:space="preserve"> </w:t>
      </w:r>
      <w:r>
        <w:t>business processes</w:t>
      </w:r>
      <w:r>
        <w:rPr>
          <w:spacing w:val="-4"/>
        </w:rPr>
        <w:t xml:space="preserve"> </w:t>
      </w:r>
      <w:r>
        <w:t>in</w:t>
      </w:r>
      <w:r>
        <w:rPr>
          <w:spacing w:val="-2"/>
        </w:rPr>
        <w:t xml:space="preserve"> </w:t>
      </w:r>
      <w:r>
        <w:t>strategic</w:t>
      </w:r>
      <w:r>
        <w:rPr>
          <w:spacing w:val="-4"/>
        </w:rPr>
        <w:t xml:space="preserve"> </w:t>
      </w:r>
      <w:r>
        <w:t>planning</w:t>
      </w:r>
      <w:r>
        <w:rPr>
          <w:spacing w:val="-5"/>
        </w:rPr>
        <w:t xml:space="preserve"> </w:t>
      </w:r>
      <w:r>
        <w:t>and</w:t>
      </w:r>
      <w:r>
        <w:rPr>
          <w:spacing w:val="-4"/>
        </w:rPr>
        <w:t xml:space="preserve"> </w:t>
      </w:r>
      <w:r>
        <w:t>impact</w:t>
      </w:r>
      <w:r>
        <w:rPr>
          <w:spacing w:val="-2"/>
        </w:rPr>
        <w:t xml:space="preserve"> </w:t>
      </w:r>
      <w:r>
        <w:t>assessment</w:t>
      </w:r>
      <w:r>
        <w:rPr>
          <w:spacing w:val="-4"/>
        </w:rPr>
        <w:t xml:space="preserve"> </w:t>
      </w:r>
      <w:r>
        <w:t>will</w:t>
      </w:r>
      <w:r>
        <w:rPr>
          <w:spacing w:val="-2"/>
        </w:rPr>
        <w:t xml:space="preserve"> </w:t>
      </w:r>
      <w:r>
        <w:t>be</w:t>
      </w:r>
      <w:r>
        <w:rPr>
          <w:spacing w:val="-5"/>
        </w:rPr>
        <w:t xml:space="preserve"> </w:t>
      </w:r>
      <w:r>
        <w:t>carried</w:t>
      </w:r>
      <w:r>
        <w:rPr>
          <w:spacing w:val="-57"/>
        </w:rPr>
        <w:t xml:space="preserve"> </w:t>
      </w:r>
      <w:r>
        <w:t>out</w:t>
      </w:r>
      <w:r>
        <w:rPr>
          <w:spacing w:val="1"/>
        </w:rPr>
        <w:t xml:space="preserve"> </w:t>
      </w:r>
      <w:r>
        <w:t>to</w:t>
      </w:r>
      <w:r>
        <w:rPr>
          <w:spacing w:val="1"/>
        </w:rPr>
        <w:t xml:space="preserve"> </w:t>
      </w:r>
      <w:r>
        <w:t>harmonise</w:t>
      </w:r>
      <w:r>
        <w:rPr>
          <w:spacing w:val="1"/>
        </w:rPr>
        <w:t xml:space="preserve"> </w:t>
      </w:r>
      <w:r>
        <w:t>and</w:t>
      </w:r>
      <w:r>
        <w:rPr>
          <w:spacing w:val="1"/>
        </w:rPr>
        <w:t xml:space="preserve"> </w:t>
      </w:r>
      <w:r>
        <w:t>standardise</w:t>
      </w:r>
      <w:r>
        <w:rPr>
          <w:spacing w:val="1"/>
        </w:rPr>
        <w:t xml:space="preserve"> </w:t>
      </w:r>
      <w:r>
        <w:t>the</w:t>
      </w:r>
      <w:r>
        <w:rPr>
          <w:spacing w:val="1"/>
        </w:rPr>
        <w:t xml:space="preserve"> </w:t>
      </w:r>
      <w:r>
        <w:t>procedures</w:t>
      </w:r>
      <w:r>
        <w:rPr>
          <w:spacing w:val="1"/>
        </w:rPr>
        <w:t xml:space="preserve"> </w:t>
      </w:r>
      <w:r>
        <w:t>carried</w:t>
      </w:r>
      <w:r>
        <w:rPr>
          <w:spacing w:val="1"/>
        </w:rPr>
        <w:t xml:space="preserve"> </w:t>
      </w:r>
      <w:r>
        <w:t>out</w:t>
      </w:r>
      <w:r>
        <w:rPr>
          <w:spacing w:val="1"/>
        </w:rPr>
        <w:t xml:space="preserve"> </w:t>
      </w:r>
      <w:r>
        <w:t>by the</w:t>
      </w:r>
      <w:r>
        <w:rPr>
          <w:spacing w:val="1"/>
        </w:rPr>
        <w:t xml:space="preserve"> </w:t>
      </w:r>
      <w:r>
        <w:t>bodies</w:t>
      </w:r>
      <w:r>
        <w:rPr>
          <w:spacing w:val="1"/>
        </w:rPr>
        <w:t xml:space="preserve"> </w:t>
      </w:r>
      <w:r>
        <w:t>within</w:t>
      </w:r>
      <w:r>
        <w:rPr>
          <w:spacing w:val="1"/>
        </w:rPr>
        <w:t xml:space="preserve"> </w:t>
      </w:r>
      <w:r>
        <w:t>these</w:t>
      </w:r>
      <w:r>
        <w:rPr>
          <w:spacing w:val="1"/>
        </w:rPr>
        <w:t xml:space="preserve"> </w:t>
      </w:r>
      <w:r>
        <w:t>processes. Based on the results of the mapping and the results of the project Development of</w:t>
      </w:r>
      <w:r>
        <w:rPr>
          <w:spacing w:val="1"/>
        </w:rPr>
        <w:t xml:space="preserve"> </w:t>
      </w:r>
      <w:r>
        <w:rPr>
          <w:spacing w:val="-1"/>
        </w:rPr>
        <w:t>the</w:t>
      </w:r>
      <w:r>
        <w:rPr>
          <w:spacing w:val="-11"/>
        </w:rPr>
        <w:t xml:space="preserve"> </w:t>
      </w:r>
      <w:r>
        <w:rPr>
          <w:spacing w:val="-1"/>
        </w:rPr>
        <w:t>Competency</w:t>
      </w:r>
      <w:r>
        <w:rPr>
          <w:spacing w:val="-11"/>
        </w:rPr>
        <w:t xml:space="preserve"> </w:t>
      </w:r>
      <w:r>
        <w:t>Framework</w:t>
      </w:r>
      <w:r>
        <w:rPr>
          <w:spacing w:val="-10"/>
        </w:rPr>
        <w:t xml:space="preserve"> </w:t>
      </w:r>
      <w:r>
        <w:t>for</w:t>
      </w:r>
      <w:r>
        <w:rPr>
          <w:spacing w:val="-8"/>
        </w:rPr>
        <w:t xml:space="preserve"> </w:t>
      </w:r>
      <w:r>
        <w:t>Public</w:t>
      </w:r>
      <w:r>
        <w:rPr>
          <w:spacing w:val="-10"/>
        </w:rPr>
        <w:t xml:space="preserve"> </w:t>
      </w:r>
      <w:r>
        <w:t>Administration</w:t>
      </w:r>
      <w:r>
        <w:rPr>
          <w:spacing w:val="-7"/>
        </w:rPr>
        <w:t xml:space="preserve"> </w:t>
      </w:r>
      <w:r>
        <w:t>Employees</w:t>
      </w:r>
      <w:r>
        <w:rPr>
          <w:spacing w:val="-7"/>
        </w:rPr>
        <w:t xml:space="preserve"> </w:t>
      </w:r>
      <w:r>
        <w:t>(project</w:t>
      </w:r>
      <w:r>
        <w:rPr>
          <w:spacing w:val="-10"/>
        </w:rPr>
        <w:t xml:space="preserve"> </w:t>
      </w:r>
      <w:r>
        <w:t>implemented</w:t>
      </w:r>
      <w:r>
        <w:rPr>
          <w:spacing w:val="-9"/>
        </w:rPr>
        <w:t xml:space="preserve"> </w:t>
      </w:r>
      <w:r>
        <w:t>by</w:t>
      </w:r>
      <w:r>
        <w:rPr>
          <w:spacing w:val="-14"/>
        </w:rPr>
        <w:t xml:space="preserve"> </w:t>
      </w:r>
      <w:r>
        <w:t>the</w:t>
      </w:r>
      <w:r>
        <w:rPr>
          <w:spacing w:val="-58"/>
        </w:rPr>
        <w:t xml:space="preserve"> </w:t>
      </w:r>
      <w:r>
        <w:t>MJPA), a job description and catalogue of competencies necessary for effective strategic</w:t>
      </w:r>
      <w:r>
        <w:rPr>
          <w:spacing w:val="1"/>
        </w:rPr>
        <w:t xml:space="preserve"> </w:t>
      </w:r>
      <w:r>
        <w:t>planning and regulatory impact assessment will be prepared including better regulation. The</w:t>
      </w:r>
      <w:r>
        <w:rPr>
          <w:spacing w:val="1"/>
        </w:rPr>
        <w:t xml:space="preserve"> </w:t>
      </w:r>
      <w:r>
        <w:t>framework</w:t>
      </w:r>
      <w:r>
        <w:rPr>
          <w:spacing w:val="1"/>
        </w:rPr>
        <w:t xml:space="preserve"> </w:t>
      </w:r>
      <w:r>
        <w:t>of</w:t>
      </w:r>
      <w:r>
        <w:rPr>
          <w:spacing w:val="1"/>
        </w:rPr>
        <w:t xml:space="preserve"> </w:t>
      </w:r>
      <w:r>
        <w:t>developed</w:t>
      </w:r>
      <w:r>
        <w:rPr>
          <w:spacing w:val="1"/>
        </w:rPr>
        <w:t xml:space="preserve"> </w:t>
      </w:r>
      <w:r>
        <w:t>competencies</w:t>
      </w:r>
      <w:r>
        <w:rPr>
          <w:spacing w:val="1"/>
        </w:rPr>
        <w:t xml:space="preserve"> </w:t>
      </w:r>
      <w:r>
        <w:t>provides</w:t>
      </w:r>
      <w:r>
        <w:rPr>
          <w:spacing w:val="1"/>
        </w:rPr>
        <w:t xml:space="preserve"> </w:t>
      </w:r>
      <w:r>
        <w:t>preconditions</w:t>
      </w:r>
      <w:r>
        <w:rPr>
          <w:spacing w:val="1"/>
        </w:rPr>
        <w:t xml:space="preserve"> </w:t>
      </w:r>
      <w:r>
        <w:t>for</w:t>
      </w:r>
      <w:r>
        <w:rPr>
          <w:spacing w:val="1"/>
        </w:rPr>
        <w:t xml:space="preserve"> </w:t>
      </w:r>
      <w:r>
        <w:t>drafting</w:t>
      </w:r>
      <w:r>
        <w:rPr>
          <w:spacing w:val="1"/>
        </w:rPr>
        <w:t xml:space="preserve"> </w:t>
      </w:r>
      <w:r>
        <w:t>occupational</w:t>
      </w:r>
      <w:r>
        <w:rPr>
          <w:spacing w:val="1"/>
        </w:rPr>
        <w:t xml:space="preserve"> </w:t>
      </w:r>
      <w:r>
        <w:t>standards for particular working positions within the strategic planning system and better</w:t>
      </w:r>
      <w:r>
        <w:rPr>
          <w:spacing w:val="1"/>
        </w:rPr>
        <w:t xml:space="preserve"> </w:t>
      </w:r>
      <w:r>
        <w:t>regulation and establishment of training programs for work based on real needs, i.e., all</w:t>
      </w:r>
      <w:r>
        <w:rPr>
          <w:spacing w:val="1"/>
        </w:rPr>
        <w:t xml:space="preserve"> </w:t>
      </w:r>
      <w:r>
        <w:t>preconditions for the professionalisation of working positions related to strategic planning and</w:t>
      </w:r>
      <w:r>
        <w:rPr>
          <w:spacing w:val="-57"/>
        </w:rPr>
        <w:t xml:space="preserve"> </w:t>
      </w:r>
      <w:r>
        <w:t>regulatory impact assessment. In line with the competence framework, the professionalisation</w:t>
      </w:r>
      <w:r>
        <w:rPr>
          <w:spacing w:val="1"/>
        </w:rPr>
        <w:t xml:space="preserve"> </w:t>
      </w:r>
      <w:r>
        <w:t>of</w:t>
      </w:r>
      <w:r>
        <w:rPr>
          <w:spacing w:val="1"/>
        </w:rPr>
        <w:t xml:space="preserve"> </w:t>
      </w:r>
      <w:r>
        <w:t>working</w:t>
      </w:r>
      <w:r>
        <w:rPr>
          <w:spacing w:val="1"/>
        </w:rPr>
        <w:t xml:space="preserve"> </w:t>
      </w:r>
      <w:r>
        <w:t>positions</w:t>
      </w:r>
      <w:r>
        <w:rPr>
          <w:spacing w:val="1"/>
        </w:rPr>
        <w:t xml:space="preserve"> </w:t>
      </w:r>
      <w:r>
        <w:t>in</w:t>
      </w:r>
      <w:r>
        <w:rPr>
          <w:spacing w:val="1"/>
        </w:rPr>
        <w:t xml:space="preserve"> </w:t>
      </w:r>
      <w:r>
        <w:t>strategic</w:t>
      </w:r>
      <w:r>
        <w:rPr>
          <w:spacing w:val="1"/>
        </w:rPr>
        <w:t xml:space="preserve"> </w:t>
      </w:r>
      <w:r>
        <w:t>planning</w:t>
      </w:r>
      <w:r>
        <w:rPr>
          <w:spacing w:val="1"/>
        </w:rPr>
        <w:t xml:space="preserve"> </w:t>
      </w:r>
      <w:r>
        <w:t>organisational</w:t>
      </w:r>
      <w:r>
        <w:rPr>
          <w:spacing w:val="1"/>
        </w:rPr>
        <w:t xml:space="preserve"> </w:t>
      </w:r>
      <w:r>
        <w:t>units</w:t>
      </w:r>
      <w:r>
        <w:rPr>
          <w:spacing w:val="1"/>
        </w:rPr>
        <w:t xml:space="preserve"> </w:t>
      </w:r>
      <w:r>
        <w:t>will</w:t>
      </w:r>
      <w:r>
        <w:rPr>
          <w:spacing w:val="1"/>
        </w:rPr>
        <w:t xml:space="preserve"> </w:t>
      </w:r>
      <w:r>
        <w:t>be</w:t>
      </w:r>
      <w:r>
        <w:rPr>
          <w:spacing w:val="1"/>
        </w:rPr>
        <w:t xml:space="preserve"> </w:t>
      </w:r>
      <w:r>
        <w:t>carried</w:t>
      </w:r>
      <w:r>
        <w:rPr>
          <w:spacing w:val="1"/>
        </w:rPr>
        <w:t xml:space="preserve"> </w:t>
      </w:r>
      <w:r>
        <w:t>out.</w:t>
      </w:r>
      <w:r>
        <w:rPr>
          <w:spacing w:val="1"/>
        </w:rPr>
        <w:t xml:space="preserve"> </w:t>
      </w:r>
      <w:r>
        <w:t>The</w:t>
      </w:r>
      <w:r>
        <w:rPr>
          <w:spacing w:val="1"/>
        </w:rPr>
        <w:t xml:space="preserve"> </w:t>
      </w:r>
      <w:r>
        <w:t>professionalisation of working positions prescribes competencies necessary for the effective</w:t>
      </w:r>
      <w:r>
        <w:rPr>
          <w:spacing w:val="1"/>
        </w:rPr>
        <w:t xml:space="preserve"> </w:t>
      </w:r>
      <w:r>
        <w:t>performance of strategic planning tasks, but also ensures the authority and powers to officials</w:t>
      </w:r>
      <w:r>
        <w:rPr>
          <w:spacing w:val="1"/>
        </w:rPr>
        <w:t xml:space="preserve"> </w:t>
      </w:r>
      <w:r>
        <w:t>to</w:t>
      </w:r>
      <w:r>
        <w:rPr>
          <w:spacing w:val="-3"/>
        </w:rPr>
        <w:t xml:space="preserve"> </w:t>
      </w:r>
      <w:r>
        <w:t>carry</w:t>
      </w:r>
      <w:r>
        <w:rPr>
          <w:spacing w:val="-8"/>
        </w:rPr>
        <w:t xml:space="preserve"> </w:t>
      </w:r>
      <w:r>
        <w:t>out</w:t>
      </w:r>
      <w:r>
        <w:rPr>
          <w:spacing w:val="-2"/>
        </w:rPr>
        <w:t xml:space="preserve"> </w:t>
      </w:r>
      <w:r>
        <w:t>tasks within</w:t>
      </w:r>
      <w:r>
        <w:rPr>
          <w:spacing w:val="-3"/>
        </w:rPr>
        <w:t xml:space="preserve"> </w:t>
      </w:r>
      <w:r>
        <w:t>their</w:t>
      </w:r>
      <w:r>
        <w:rPr>
          <w:spacing w:val="-4"/>
        </w:rPr>
        <w:t xml:space="preserve"> </w:t>
      </w:r>
      <w:r>
        <w:t>competence,</w:t>
      </w:r>
      <w:r>
        <w:rPr>
          <w:spacing w:val="-1"/>
        </w:rPr>
        <w:t xml:space="preserve"> </w:t>
      </w:r>
      <w:r>
        <w:t>including</w:t>
      </w:r>
      <w:r>
        <w:rPr>
          <w:spacing w:val="-5"/>
        </w:rPr>
        <w:t xml:space="preserve"> </w:t>
      </w:r>
      <w:r>
        <w:t>the</w:t>
      </w:r>
      <w:r>
        <w:rPr>
          <w:spacing w:val="-3"/>
        </w:rPr>
        <w:t xml:space="preserve"> </w:t>
      </w:r>
      <w:r>
        <w:t>efficient exchange</w:t>
      </w:r>
      <w:r>
        <w:rPr>
          <w:spacing w:val="-2"/>
        </w:rPr>
        <w:t xml:space="preserve"> </w:t>
      </w:r>
      <w:r>
        <w:t>of</w:t>
      </w:r>
      <w:r>
        <w:rPr>
          <w:spacing w:val="-4"/>
        </w:rPr>
        <w:t xml:space="preserve"> </w:t>
      </w:r>
      <w:r>
        <w:t>information</w:t>
      </w:r>
      <w:r>
        <w:rPr>
          <w:spacing w:val="-3"/>
        </w:rPr>
        <w:t xml:space="preserve"> </w:t>
      </w:r>
      <w:r>
        <w:t>and</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t>active</w:t>
      </w:r>
      <w:r>
        <w:rPr>
          <w:spacing w:val="-11"/>
        </w:rPr>
        <w:t xml:space="preserve"> </w:t>
      </w:r>
      <w:r>
        <w:t>participation</w:t>
      </w:r>
      <w:r>
        <w:rPr>
          <w:spacing w:val="-9"/>
        </w:rPr>
        <w:t xml:space="preserve"> </w:t>
      </w:r>
      <w:r>
        <w:t>in</w:t>
      </w:r>
      <w:r>
        <w:rPr>
          <w:spacing w:val="-8"/>
        </w:rPr>
        <w:t xml:space="preserve"> </w:t>
      </w:r>
      <w:r>
        <w:t>associated</w:t>
      </w:r>
      <w:r>
        <w:rPr>
          <w:spacing w:val="-9"/>
        </w:rPr>
        <w:t xml:space="preserve"> </w:t>
      </w:r>
      <w:r>
        <w:t>processes.</w:t>
      </w:r>
      <w:r>
        <w:rPr>
          <w:spacing w:val="-9"/>
        </w:rPr>
        <w:t xml:space="preserve"> </w:t>
      </w:r>
      <w:r>
        <w:t>Professionalisation</w:t>
      </w:r>
      <w:r>
        <w:rPr>
          <w:spacing w:val="-10"/>
        </w:rPr>
        <w:t xml:space="preserve"> </w:t>
      </w:r>
      <w:r>
        <w:t>will</w:t>
      </w:r>
      <w:r>
        <w:rPr>
          <w:spacing w:val="-10"/>
        </w:rPr>
        <w:t xml:space="preserve"> </w:t>
      </w:r>
      <w:r>
        <w:t>facilitate</w:t>
      </w:r>
      <w:r>
        <w:rPr>
          <w:spacing w:val="-9"/>
        </w:rPr>
        <w:t xml:space="preserve"> </w:t>
      </w:r>
      <w:r>
        <w:t>affirmation</w:t>
      </w:r>
      <w:r>
        <w:rPr>
          <w:spacing w:val="-10"/>
        </w:rPr>
        <w:t xml:space="preserve"> </w:t>
      </w:r>
      <w:r>
        <w:t>of</w:t>
      </w:r>
      <w:r>
        <w:rPr>
          <w:spacing w:val="-9"/>
        </w:rPr>
        <w:t xml:space="preserve"> </w:t>
      </w:r>
      <w:r>
        <w:t>the</w:t>
      </w:r>
      <w:r>
        <w:rPr>
          <w:spacing w:val="-58"/>
        </w:rPr>
        <w:t xml:space="preserve"> </w:t>
      </w:r>
      <w:r>
        <w:t>Network</w:t>
      </w:r>
      <w:r>
        <w:rPr>
          <w:spacing w:val="-10"/>
        </w:rPr>
        <w:t xml:space="preserve"> </w:t>
      </w:r>
      <w:r>
        <w:t>of</w:t>
      </w:r>
      <w:r>
        <w:rPr>
          <w:spacing w:val="-10"/>
        </w:rPr>
        <w:t xml:space="preserve"> </w:t>
      </w:r>
      <w:r>
        <w:t>Strategic</w:t>
      </w:r>
      <w:r>
        <w:rPr>
          <w:spacing w:val="-9"/>
        </w:rPr>
        <w:t xml:space="preserve"> </w:t>
      </w:r>
      <w:r>
        <w:t>Planning</w:t>
      </w:r>
      <w:r>
        <w:rPr>
          <w:spacing w:val="-11"/>
        </w:rPr>
        <w:t xml:space="preserve"> </w:t>
      </w:r>
      <w:r>
        <w:t>Coordinators</w:t>
      </w:r>
      <w:r>
        <w:rPr>
          <w:spacing w:val="-10"/>
        </w:rPr>
        <w:t xml:space="preserve"> </w:t>
      </w:r>
      <w:r>
        <w:t>within</w:t>
      </w:r>
      <w:r>
        <w:rPr>
          <w:spacing w:val="-10"/>
        </w:rPr>
        <w:t xml:space="preserve"> </w:t>
      </w:r>
      <w:r>
        <w:t>the</w:t>
      </w:r>
      <w:r>
        <w:rPr>
          <w:spacing w:val="-9"/>
        </w:rPr>
        <w:t xml:space="preserve"> </w:t>
      </w:r>
      <w:r>
        <w:t>state</w:t>
      </w:r>
      <w:r>
        <w:rPr>
          <w:spacing w:val="-10"/>
        </w:rPr>
        <w:t xml:space="preserve"> </w:t>
      </w:r>
      <w:r>
        <w:t>and</w:t>
      </w:r>
      <w:r>
        <w:rPr>
          <w:spacing w:val="-9"/>
        </w:rPr>
        <w:t xml:space="preserve"> </w:t>
      </w:r>
      <w:r>
        <w:t>public</w:t>
      </w:r>
      <w:r>
        <w:rPr>
          <w:spacing w:val="-11"/>
        </w:rPr>
        <w:t xml:space="preserve"> </w:t>
      </w:r>
      <w:r>
        <w:t>administration</w:t>
      </w:r>
      <w:r>
        <w:rPr>
          <w:spacing w:val="-9"/>
        </w:rPr>
        <w:t xml:space="preserve"> </w:t>
      </w:r>
      <w:r>
        <w:t>systems.</w:t>
      </w:r>
    </w:p>
    <w:p w:rsidR="00A56FE9" w:rsidRDefault="00000000">
      <w:pPr>
        <w:pStyle w:val="Tijeloteksta"/>
        <w:spacing w:before="120"/>
        <w:ind w:right="274"/>
      </w:pPr>
      <w:r>
        <w:t>The Ordinance on Training will be drafted and adopted by the end of 2022 based on the</w:t>
      </w:r>
      <w:r>
        <w:rPr>
          <w:spacing w:val="1"/>
        </w:rPr>
        <w:t xml:space="preserve"> </w:t>
      </w:r>
      <w:r>
        <w:t>competency</w:t>
      </w:r>
      <w:r>
        <w:rPr>
          <w:spacing w:val="-10"/>
        </w:rPr>
        <w:t xml:space="preserve"> </w:t>
      </w:r>
      <w:r>
        <w:t>framework,</w:t>
      </w:r>
      <w:r>
        <w:rPr>
          <w:spacing w:val="-1"/>
        </w:rPr>
        <w:t xml:space="preserve"> </w:t>
      </w:r>
      <w:r>
        <w:t>and</w:t>
      </w:r>
      <w:r>
        <w:rPr>
          <w:spacing w:val="-5"/>
        </w:rPr>
        <w:t xml:space="preserve"> </w:t>
      </w:r>
      <w:r>
        <w:t>which</w:t>
      </w:r>
      <w:r>
        <w:rPr>
          <w:spacing w:val="-4"/>
        </w:rPr>
        <w:t xml:space="preserve"> </w:t>
      </w:r>
      <w:r>
        <w:t>will</w:t>
      </w:r>
      <w:r>
        <w:rPr>
          <w:spacing w:val="-3"/>
        </w:rPr>
        <w:t xml:space="preserve"> </w:t>
      </w:r>
      <w:r>
        <w:t>define</w:t>
      </w:r>
      <w:r>
        <w:rPr>
          <w:spacing w:val="-6"/>
        </w:rPr>
        <w:t xml:space="preserve"> </w:t>
      </w:r>
      <w:r>
        <w:t>specialist</w:t>
      </w:r>
      <w:r>
        <w:rPr>
          <w:spacing w:val="-3"/>
        </w:rPr>
        <w:t xml:space="preserve"> </w:t>
      </w:r>
      <w:r>
        <w:t>training</w:t>
      </w:r>
      <w:r>
        <w:rPr>
          <w:spacing w:val="-6"/>
        </w:rPr>
        <w:t xml:space="preserve"> </w:t>
      </w:r>
      <w:r>
        <w:t>programs,</w:t>
      </w:r>
      <w:r>
        <w:rPr>
          <w:spacing w:val="-3"/>
        </w:rPr>
        <w:t xml:space="preserve"> </w:t>
      </w:r>
      <w:r>
        <w:t>ongoing</w:t>
      </w:r>
      <w:r>
        <w:rPr>
          <w:spacing w:val="-5"/>
        </w:rPr>
        <w:t xml:space="preserve"> </w:t>
      </w:r>
      <w:r>
        <w:t>education</w:t>
      </w:r>
      <w:r>
        <w:rPr>
          <w:spacing w:val="-58"/>
        </w:rPr>
        <w:t xml:space="preserve"> </w:t>
      </w:r>
      <w:r>
        <w:t>and</w:t>
      </w:r>
      <w:r>
        <w:rPr>
          <w:spacing w:val="-7"/>
        </w:rPr>
        <w:t xml:space="preserve"> </w:t>
      </w:r>
      <w:r>
        <w:t>training</w:t>
      </w:r>
      <w:r>
        <w:rPr>
          <w:spacing w:val="-9"/>
        </w:rPr>
        <w:t xml:space="preserve"> </w:t>
      </w:r>
      <w:r>
        <w:t>programs,</w:t>
      </w:r>
      <w:r>
        <w:rPr>
          <w:spacing w:val="-6"/>
        </w:rPr>
        <w:t xml:space="preserve"> </w:t>
      </w:r>
      <w:r>
        <w:t>as</w:t>
      </w:r>
      <w:r>
        <w:rPr>
          <w:spacing w:val="-7"/>
        </w:rPr>
        <w:t xml:space="preserve"> </w:t>
      </w:r>
      <w:r>
        <w:t>well</w:t>
      </w:r>
      <w:r>
        <w:rPr>
          <w:spacing w:val="-6"/>
        </w:rPr>
        <w:t xml:space="preserve"> </w:t>
      </w:r>
      <w:r>
        <w:t>as</w:t>
      </w:r>
      <w:r>
        <w:rPr>
          <w:spacing w:val="-6"/>
        </w:rPr>
        <w:t xml:space="preserve"> </w:t>
      </w:r>
      <w:r>
        <w:t>the</w:t>
      </w:r>
      <w:r>
        <w:rPr>
          <w:spacing w:val="-7"/>
        </w:rPr>
        <w:t xml:space="preserve"> </w:t>
      </w:r>
      <w:r>
        <w:t>implementation</w:t>
      </w:r>
      <w:r>
        <w:rPr>
          <w:spacing w:val="-7"/>
        </w:rPr>
        <w:t xml:space="preserve"> </w:t>
      </w:r>
      <w:r>
        <w:t>of</w:t>
      </w:r>
      <w:r>
        <w:rPr>
          <w:spacing w:val="-7"/>
        </w:rPr>
        <w:t xml:space="preserve"> </w:t>
      </w:r>
      <w:r>
        <w:t>training</w:t>
      </w:r>
      <w:r>
        <w:rPr>
          <w:spacing w:val="-9"/>
        </w:rPr>
        <w:t xml:space="preserve"> </w:t>
      </w:r>
      <w:r>
        <w:t>programs</w:t>
      </w:r>
      <w:r>
        <w:rPr>
          <w:spacing w:val="-7"/>
        </w:rPr>
        <w:t xml:space="preserve"> </w:t>
      </w:r>
      <w:r>
        <w:t>in</w:t>
      </w:r>
      <w:r>
        <w:rPr>
          <w:spacing w:val="-6"/>
        </w:rPr>
        <w:t xml:space="preserve"> </w:t>
      </w:r>
      <w:r>
        <w:t>strategic</w:t>
      </w:r>
      <w:r>
        <w:rPr>
          <w:spacing w:val="-7"/>
        </w:rPr>
        <w:t xml:space="preserve"> </w:t>
      </w:r>
      <w:r>
        <w:t>planning</w:t>
      </w:r>
      <w:r>
        <w:rPr>
          <w:spacing w:val="-58"/>
        </w:rPr>
        <w:t xml:space="preserve"> </w:t>
      </w:r>
      <w:r>
        <w:t>and</w:t>
      </w:r>
      <w:r>
        <w:rPr>
          <w:spacing w:val="-1"/>
        </w:rPr>
        <w:t xml:space="preserve"> </w:t>
      </w:r>
      <w:r>
        <w:t>regulatory</w:t>
      </w:r>
      <w:r>
        <w:rPr>
          <w:spacing w:val="-5"/>
        </w:rPr>
        <w:t xml:space="preserve"> </w:t>
      </w:r>
      <w:r>
        <w:t>impact assessment.</w:t>
      </w:r>
    </w:p>
    <w:p w:rsidR="00A56FE9" w:rsidRDefault="00000000">
      <w:pPr>
        <w:pStyle w:val="Tijeloteksta"/>
        <w:spacing w:before="121"/>
        <w:ind w:right="273"/>
      </w:pPr>
      <w:r>
        <w:t>At the beginning of each cycle of strategic planning, the Coordinating Body will ensure the</w:t>
      </w:r>
      <w:r>
        <w:rPr>
          <w:spacing w:val="1"/>
        </w:rPr>
        <w:t xml:space="preserve"> </w:t>
      </w:r>
      <w:r>
        <w:t>strengthening</w:t>
      </w:r>
      <w:r>
        <w:rPr>
          <w:spacing w:val="-7"/>
        </w:rPr>
        <w:t xml:space="preserve"> </w:t>
      </w:r>
      <w:r>
        <w:t>and</w:t>
      </w:r>
      <w:r>
        <w:rPr>
          <w:spacing w:val="-6"/>
        </w:rPr>
        <w:t xml:space="preserve"> </w:t>
      </w:r>
      <w:r>
        <w:t>upgrading</w:t>
      </w:r>
      <w:r>
        <w:rPr>
          <w:spacing w:val="-10"/>
        </w:rPr>
        <w:t xml:space="preserve"> </w:t>
      </w:r>
      <w:r>
        <w:t>of</w:t>
      </w:r>
      <w:r>
        <w:rPr>
          <w:spacing w:val="-8"/>
        </w:rPr>
        <w:t xml:space="preserve"> </w:t>
      </w:r>
      <w:r>
        <w:t>key</w:t>
      </w:r>
      <w:r>
        <w:rPr>
          <w:spacing w:val="-10"/>
        </w:rPr>
        <w:t xml:space="preserve"> </w:t>
      </w:r>
      <w:r>
        <w:t>competencies</w:t>
      </w:r>
      <w:r>
        <w:rPr>
          <w:spacing w:val="-3"/>
        </w:rPr>
        <w:t xml:space="preserve"> </w:t>
      </w:r>
      <w:r>
        <w:t>by</w:t>
      </w:r>
      <w:r>
        <w:rPr>
          <w:spacing w:val="-12"/>
        </w:rPr>
        <w:t xml:space="preserve"> </w:t>
      </w:r>
      <w:r>
        <w:t>implementing</w:t>
      </w:r>
      <w:r>
        <w:rPr>
          <w:spacing w:val="-10"/>
        </w:rPr>
        <w:t xml:space="preserve"> </w:t>
      </w:r>
      <w:r>
        <w:t>prepared</w:t>
      </w:r>
      <w:r>
        <w:rPr>
          <w:spacing w:val="-8"/>
        </w:rPr>
        <w:t xml:space="preserve"> </w:t>
      </w:r>
      <w:r>
        <w:t>specialist</w:t>
      </w:r>
      <w:r>
        <w:rPr>
          <w:spacing w:val="-7"/>
        </w:rPr>
        <w:t xml:space="preserve"> </w:t>
      </w:r>
      <w:r>
        <w:t>training</w:t>
      </w:r>
      <w:r>
        <w:rPr>
          <w:spacing w:val="-57"/>
        </w:rPr>
        <w:t xml:space="preserve"> </w:t>
      </w:r>
      <w:r>
        <w:t>programs.</w:t>
      </w:r>
      <w:r>
        <w:rPr>
          <w:spacing w:val="-6"/>
        </w:rPr>
        <w:t xml:space="preserve"> </w:t>
      </w:r>
      <w:r>
        <w:t>The</w:t>
      </w:r>
      <w:r>
        <w:rPr>
          <w:spacing w:val="-6"/>
        </w:rPr>
        <w:t xml:space="preserve"> </w:t>
      </w:r>
      <w:r>
        <w:t>focus</w:t>
      </w:r>
      <w:r>
        <w:rPr>
          <w:spacing w:val="-6"/>
        </w:rPr>
        <w:t xml:space="preserve"> </w:t>
      </w:r>
      <w:r>
        <w:t>of</w:t>
      </w:r>
      <w:r>
        <w:rPr>
          <w:spacing w:val="-6"/>
        </w:rPr>
        <w:t xml:space="preserve"> </w:t>
      </w:r>
      <w:r>
        <w:t>the</w:t>
      </w:r>
      <w:r>
        <w:rPr>
          <w:spacing w:val="-7"/>
        </w:rPr>
        <w:t xml:space="preserve"> </w:t>
      </w:r>
      <w:r>
        <w:t>training</w:t>
      </w:r>
      <w:r>
        <w:rPr>
          <w:spacing w:val="-4"/>
        </w:rPr>
        <w:t xml:space="preserve"> </w:t>
      </w:r>
      <w:r>
        <w:t>courses</w:t>
      </w:r>
      <w:r>
        <w:rPr>
          <w:spacing w:val="-4"/>
        </w:rPr>
        <w:t xml:space="preserve"> </w:t>
      </w:r>
      <w:r>
        <w:t>will</w:t>
      </w:r>
      <w:r>
        <w:rPr>
          <w:spacing w:val="-6"/>
        </w:rPr>
        <w:t xml:space="preserve"> </w:t>
      </w:r>
      <w:r>
        <w:t>be</w:t>
      </w:r>
      <w:r>
        <w:rPr>
          <w:spacing w:val="-6"/>
        </w:rPr>
        <w:t xml:space="preserve"> </w:t>
      </w:r>
      <w:r>
        <w:t>on</w:t>
      </w:r>
      <w:r>
        <w:rPr>
          <w:spacing w:val="-6"/>
        </w:rPr>
        <w:t xml:space="preserve"> </w:t>
      </w:r>
      <w:r>
        <w:t>applying</w:t>
      </w:r>
      <w:r>
        <w:rPr>
          <w:spacing w:val="-7"/>
        </w:rPr>
        <w:t xml:space="preserve"> </w:t>
      </w:r>
      <w:r>
        <w:t>new</w:t>
      </w:r>
      <w:r>
        <w:rPr>
          <w:spacing w:val="-7"/>
        </w:rPr>
        <w:t xml:space="preserve"> </w:t>
      </w:r>
      <w:r>
        <w:t>methodologies</w:t>
      </w:r>
      <w:r>
        <w:rPr>
          <w:spacing w:val="-5"/>
        </w:rPr>
        <w:t xml:space="preserve"> </w:t>
      </w:r>
      <w:r>
        <w:t>and</w:t>
      </w:r>
      <w:r>
        <w:rPr>
          <w:spacing w:val="-6"/>
        </w:rPr>
        <w:t xml:space="preserve"> </w:t>
      </w:r>
      <w:r>
        <w:t>develo</w:t>
      </w:r>
      <w:r>
        <w:rPr>
          <w:spacing w:val="-57"/>
        </w:rPr>
        <w:t xml:space="preserve"> </w:t>
      </w:r>
      <w:r>
        <w:t>tools</w:t>
      </w:r>
      <w:r>
        <w:rPr>
          <w:spacing w:val="-6"/>
        </w:rPr>
        <w:t xml:space="preserve"> </w:t>
      </w:r>
      <w:r>
        <w:t>for</w:t>
      </w:r>
      <w:r>
        <w:rPr>
          <w:spacing w:val="-7"/>
        </w:rPr>
        <w:t xml:space="preserve"> </w:t>
      </w:r>
      <w:r>
        <w:t>strategic</w:t>
      </w:r>
      <w:r>
        <w:rPr>
          <w:spacing w:val="-7"/>
        </w:rPr>
        <w:t xml:space="preserve"> </w:t>
      </w:r>
      <w:r>
        <w:t>planning,</w:t>
      </w:r>
      <w:r>
        <w:rPr>
          <w:spacing w:val="-5"/>
        </w:rPr>
        <w:t xml:space="preserve"> </w:t>
      </w:r>
      <w:r>
        <w:t>and</w:t>
      </w:r>
      <w:r>
        <w:rPr>
          <w:spacing w:val="-6"/>
        </w:rPr>
        <w:t xml:space="preserve"> </w:t>
      </w:r>
      <w:r>
        <w:t>the</w:t>
      </w:r>
      <w:r>
        <w:rPr>
          <w:spacing w:val="-6"/>
        </w:rPr>
        <w:t xml:space="preserve"> </w:t>
      </w:r>
      <w:r>
        <w:t>training</w:t>
      </w:r>
      <w:r>
        <w:rPr>
          <w:spacing w:val="-6"/>
        </w:rPr>
        <w:t xml:space="preserve"> </w:t>
      </w:r>
      <w:r>
        <w:t>courses</w:t>
      </w:r>
      <w:r>
        <w:rPr>
          <w:spacing w:val="-4"/>
        </w:rPr>
        <w:t xml:space="preserve"> </w:t>
      </w:r>
      <w:r>
        <w:t>will</w:t>
      </w:r>
      <w:r>
        <w:rPr>
          <w:spacing w:val="-6"/>
        </w:rPr>
        <w:t xml:space="preserve"> </w:t>
      </w:r>
      <w:r>
        <w:t>be</w:t>
      </w:r>
      <w:r>
        <w:rPr>
          <w:spacing w:val="-6"/>
        </w:rPr>
        <w:t xml:space="preserve"> </w:t>
      </w:r>
      <w:r>
        <w:t>conducted</w:t>
      </w:r>
      <w:r>
        <w:rPr>
          <w:spacing w:val="-7"/>
        </w:rPr>
        <w:t xml:space="preserve"> </w:t>
      </w:r>
      <w:r>
        <w:t>for</w:t>
      </w:r>
      <w:r>
        <w:rPr>
          <w:spacing w:val="-4"/>
        </w:rPr>
        <w:t xml:space="preserve"> </w:t>
      </w:r>
      <w:r>
        <w:t>all</w:t>
      </w:r>
      <w:r>
        <w:rPr>
          <w:spacing w:val="-6"/>
        </w:rPr>
        <w:t xml:space="preserve"> </w:t>
      </w:r>
      <w:r>
        <w:t>officials</w:t>
      </w:r>
      <w:r>
        <w:rPr>
          <w:spacing w:val="-5"/>
        </w:rPr>
        <w:t xml:space="preserve"> </w:t>
      </w:r>
      <w:r>
        <w:t>involved</w:t>
      </w:r>
      <w:r>
        <w:rPr>
          <w:spacing w:val="-58"/>
        </w:rPr>
        <w:t xml:space="preserve"> </w:t>
      </w:r>
      <w:r>
        <w:t>in</w:t>
      </w:r>
      <w:r>
        <w:rPr>
          <w:spacing w:val="-11"/>
        </w:rPr>
        <w:t xml:space="preserve"> </w:t>
      </w:r>
      <w:r>
        <w:t>strategic</w:t>
      </w:r>
      <w:r>
        <w:rPr>
          <w:spacing w:val="-12"/>
        </w:rPr>
        <w:t xml:space="preserve"> </w:t>
      </w:r>
      <w:r>
        <w:t>planning</w:t>
      </w:r>
      <w:r>
        <w:rPr>
          <w:spacing w:val="-11"/>
        </w:rPr>
        <w:t xml:space="preserve"> </w:t>
      </w:r>
      <w:r>
        <w:t>and</w:t>
      </w:r>
      <w:r>
        <w:rPr>
          <w:spacing w:val="-11"/>
        </w:rPr>
        <w:t xml:space="preserve"> </w:t>
      </w:r>
      <w:r>
        <w:t>implementation</w:t>
      </w:r>
      <w:r>
        <w:rPr>
          <w:spacing w:val="-11"/>
        </w:rPr>
        <w:t xml:space="preserve"> </w:t>
      </w:r>
      <w:r>
        <w:t>of</w:t>
      </w:r>
      <w:r>
        <w:rPr>
          <w:spacing w:val="-11"/>
        </w:rPr>
        <w:t xml:space="preserve"> </w:t>
      </w:r>
      <w:r>
        <w:t>regulatory</w:t>
      </w:r>
      <w:r>
        <w:rPr>
          <w:spacing w:val="-13"/>
        </w:rPr>
        <w:t xml:space="preserve"> </w:t>
      </w:r>
      <w:r>
        <w:t>effects</w:t>
      </w:r>
      <w:r>
        <w:rPr>
          <w:spacing w:val="-10"/>
        </w:rPr>
        <w:t xml:space="preserve"> </w:t>
      </w:r>
      <w:r>
        <w:t>at</w:t>
      </w:r>
      <w:r>
        <w:rPr>
          <w:spacing w:val="-11"/>
        </w:rPr>
        <w:t xml:space="preserve"> </w:t>
      </w:r>
      <w:r>
        <w:t>the</w:t>
      </w:r>
      <w:r>
        <w:rPr>
          <w:spacing w:val="-12"/>
        </w:rPr>
        <w:t xml:space="preserve"> </w:t>
      </w:r>
      <w:r>
        <w:t>national</w:t>
      </w:r>
      <w:r>
        <w:rPr>
          <w:spacing w:val="-8"/>
        </w:rPr>
        <w:t xml:space="preserve"> </w:t>
      </w:r>
      <w:r>
        <w:t>and</w:t>
      </w:r>
      <w:r>
        <w:rPr>
          <w:spacing w:val="-10"/>
        </w:rPr>
        <w:t xml:space="preserve"> </w:t>
      </w:r>
      <w:r>
        <w:t>regional</w:t>
      </w:r>
      <w:r>
        <w:rPr>
          <w:spacing w:val="-11"/>
        </w:rPr>
        <w:t xml:space="preserve"> </w:t>
      </w:r>
      <w:r>
        <w:t>level.</w:t>
      </w:r>
    </w:p>
    <w:p w:rsidR="00A56FE9" w:rsidRDefault="00000000">
      <w:pPr>
        <w:pStyle w:val="Tijeloteksta"/>
        <w:spacing w:before="120"/>
        <w:ind w:right="277"/>
      </w:pPr>
      <w:r>
        <w:t>Experts in public administration involved in the work of the Network of Coordinators for</w:t>
      </w:r>
      <w:r>
        <w:rPr>
          <w:spacing w:val="1"/>
        </w:rPr>
        <w:t xml:space="preserve"> </w:t>
      </w:r>
      <w:r>
        <w:rPr>
          <w:spacing w:val="-1"/>
        </w:rPr>
        <w:t>Strategic</w:t>
      </w:r>
      <w:r>
        <w:rPr>
          <w:spacing w:val="-11"/>
        </w:rPr>
        <w:t xml:space="preserve"> </w:t>
      </w:r>
      <w:r>
        <w:rPr>
          <w:spacing w:val="-1"/>
        </w:rPr>
        <w:t>Planning,</w:t>
      </w:r>
      <w:r>
        <w:rPr>
          <w:spacing w:val="-10"/>
        </w:rPr>
        <w:t xml:space="preserve"> </w:t>
      </w:r>
      <w:r>
        <w:t>Coordination</w:t>
      </w:r>
      <w:r>
        <w:rPr>
          <w:spacing w:val="-11"/>
        </w:rPr>
        <w:t xml:space="preserve"> </w:t>
      </w:r>
      <w:r>
        <w:t>of</w:t>
      </w:r>
      <w:r>
        <w:rPr>
          <w:spacing w:val="-13"/>
        </w:rPr>
        <w:t xml:space="preserve"> </w:t>
      </w:r>
      <w:r>
        <w:t>the</w:t>
      </w:r>
      <w:r>
        <w:rPr>
          <w:spacing w:val="-12"/>
        </w:rPr>
        <w:t xml:space="preserve"> </w:t>
      </w:r>
      <w:r>
        <w:t>European</w:t>
      </w:r>
      <w:r>
        <w:rPr>
          <w:spacing w:val="-10"/>
        </w:rPr>
        <w:t xml:space="preserve"> </w:t>
      </w:r>
      <w:r>
        <w:t>Semester,</w:t>
      </w:r>
      <w:r>
        <w:rPr>
          <w:spacing w:val="-12"/>
        </w:rPr>
        <w:t xml:space="preserve"> </w:t>
      </w:r>
      <w:r>
        <w:t>Coordination</w:t>
      </w:r>
      <w:r>
        <w:rPr>
          <w:spacing w:val="-12"/>
        </w:rPr>
        <w:t xml:space="preserve"> </w:t>
      </w:r>
      <w:r>
        <w:t>of</w:t>
      </w:r>
      <w:r>
        <w:rPr>
          <w:spacing w:val="-12"/>
        </w:rPr>
        <w:t xml:space="preserve"> </w:t>
      </w:r>
      <w:r>
        <w:t>Regulatory</w:t>
      </w:r>
      <w:r>
        <w:rPr>
          <w:spacing w:val="-15"/>
        </w:rPr>
        <w:t xml:space="preserve"> </w:t>
      </w:r>
      <w:r>
        <w:t>Impact</w:t>
      </w:r>
      <w:r>
        <w:rPr>
          <w:spacing w:val="-57"/>
        </w:rPr>
        <w:t xml:space="preserve"> </w:t>
      </w:r>
      <w:r>
        <w:t>Assessment</w:t>
      </w:r>
      <w:r>
        <w:rPr>
          <w:spacing w:val="-7"/>
        </w:rPr>
        <w:t xml:space="preserve"> </w:t>
      </w:r>
      <w:r>
        <w:t>and</w:t>
      </w:r>
      <w:r>
        <w:rPr>
          <w:spacing w:val="-6"/>
        </w:rPr>
        <w:t xml:space="preserve"> </w:t>
      </w:r>
      <w:r>
        <w:t>Coordination</w:t>
      </w:r>
      <w:r>
        <w:rPr>
          <w:spacing w:val="-7"/>
        </w:rPr>
        <w:t xml:space="preserve"> </w:t>
      </w:r>
      <w:r>
        <w:t>of</w:t>
      </w:r>
      <w:r>
        <w:rPr>
          <w:spacing w:val="-7"/>
        </w:rPr>
        <w:t xml:space="preserve"> </w:t>
      </w:r>
      <w:r>
        <w:t>the</w:t>
      </w:r>
      <w:r>
        <w:rPr>
          <w:spacing w:val="-5"/>
        </w:rPr>
        <w:t xml:space="preserve"> </w:t>
      </w:r>
      <w:r>
        <w:t>Implementation</w:t>
      </w:r>
      <w:r>
        <w:rPr>
          <w:spacing w:val="-6"/>
        </w:rPr>
        <w:t xml:space="preserve"> </w:t>
      </w:r>
      <w:r>
        <w:t>of</w:t>
      </w:r>
      <w:r>
        <w:rPr>
          <w:spacing w:val="-8"/>
        </w:rPr>
        <w:t xml:space="preserve"> </w:t>
      </w:r>
      <w:r>
        <w:t>Public</w:t>
      </w:r>
      <w:r>
        <w:rPr>
          <w:spacing w:val="-4"/>
        </w:rPr>
        <w:t xml:space="preserve"> </w:t>
      </w:r>
      <w:r>
        <w:t>Consultation</w:t>
      </w:r>
      <w:r>
        <w:rPr>
          <w:spacing w:val="-8"/>
        </w:rPr>
        <w:t xml:space="preserve"> </w:t>
      </w:r>
      <w:r>
        <w:t>Procedures</w:t>
      </w:r>
      <w:r>
        <w:rPr>
          <w:spacing w:val="-7"/>
        </w:rPr>
        <w:t xml:space="preserve"> </w:t>
      </w:r>
      <w:r>
        <w:t>will</w:t>
      </w:r>
      <w:r>
        <w:rPr>
          <w:spacing w:val="-6"/>
        </w:rPr>
        <w:t xml:space="preserve"> </w:t>
      </w:r>
      <w:r>
        <w:t>be</w:t>
      </w:r>
      <w:r>
        <w:rPr>
          <w:spacing w:val="-58"/>
        </w:rPr>
        <w:t xml:space="preserve"> </w:t>
      </w:r>
      <w:r>
        <w:t>connected</w:t>
      </w:r>
      <w:r>
        <w:rPr>
          <w:spacing w:val="-1"/>
        </w:rPr>
        <w:t xml:space="preserve"> </w:t>
      </w:r>
      <w:r>
        <w:t>into</w:t>
      </w:r>
      <w:r>
        <w:rPr>
          <w:spacing w:val="-1"/>
        </w:rPr>
        <w:t xml:space="preserve"> </w:t>
      </w:r>
      <w:r>
        <w:t>a single</w:t>
      </w:r>
      <w:r>
        <w:rPr>
          <w:spacing w:val="-1"/>
        </w:rPr>
        <w:t xml:space="preserve"> </w:t>
      </w:r>
      <w:r>
        <w:t>network</w:t>
      </w:r>
      <w:r>
        <w:rPr>
          <w:spacing w:val="-1"/>
        </w:rPr>
        <w:t xml:space="preserve"> </w:t>
      </w:r>
      <w:r>
        <w:t>for</w:t>
      </w:r>
      <w:r>
        <w:rPr>
          <w:spacing w:val="-3"/>
        </w:rPr>
        <w:t xml:space="preserve"> </w:t>
      </w:r>
      <w:r>
        <w:t>preparation,</w:t>
      </w:r>
      <w:r>
        <w:rPr>
          <w:spacing w:val="2"/>
        </w:rPr>
        <w:t xml:space="preserve"> </w:t>
      </w:r>
      <w:r>
        <w:t>monitoring</w:t>
      </w:r>
      <w:r>
        <w:rPr>
          <w:spacing w:val="-4"/>
        </w:rPr>
        <w:t xml:space="preserve"> </w:t>
      </w:r>
      <w:r>
        <w:t>and evaluation</w:t>
      </w:r>
      <w:r>
        <w:rPr>
          <w:spacing w:val="-1"/>
        </w:rPr>
        <w:t xml:space="preserve"> </w:t>
      </w:r>
      <w:r>
        <w:t>of public</w:t>
      </w:r>
      <w:r>
        <w:rPr>
          <w:spacing w:val="-2"/>
        </w:rPr>
        <w:t xml:space="preserve"> </w:t>
      </w:r>
      <w:r>
        <w:t>policies.</w:t>
      </w:r>
    </w:p>
    <w:p w:rsidR="00A56FE9" w:rsidRDefault="00000000">
      <w:pPr>
        <w:pStyle w:val="Tijeloteksta"/>
        <w:spacing w:before="120"/>
        <w:ind w:right="273"/>
      </w:pPr>
      <w:r>
        <w:t>The professionalisation of jobs and institutionalisation of strategic planning and regulatory</w:t>
      </w:r>
      <w:r>
        <w:rPr>
          <w:spacing w:val="1"/>
        </w:rPr>
        <w:t xml:space="preserve"> </w:t>
      </w:r>
      <w:r>
        <w:t>impact</w:t>
      </w:r>
      <w:r>
        <w:rPr>
          <w:spacing w:val="1"/>
        </w:rPr>
        <w:t xml:space="preserve"> </w:t>
      </w:r>
      <w:r>
        <w:t>assessment,</w:t>
      </w:r>
      <w:r>
        <w:rPr>
          <w:spacing w:val="1"/>
        </w:rPr>
        <w:t xml:space="preserve"> </w:t>
      </w:r>
      <w:r>
        <w:t>systematic strengthening of</w:t>
      </w:r>
      <w:r>
        <w:rPr>
          <w:spacing w:val="1"/>
        </w:rPr>
        <w:t xml:space="preserve"> </w:t>
      </w:r>
      <w:r>
        <w:t>competencies</w:t>
      </w:r>
      <w:r>
        <w:rPr>
          <w:spacing w:val="1"/>
        </w:rPr>
        <w:t xml:space="preserve"> </w:t>
      </w:r>
      <w:r>
        <w:t>for applying the</w:t>
      </w:r>
      <w:r>
        <w:rPr>
          <w:spacing w:val="1"/>
        </w:rPr>
        <w:t xml:space="preserve"> </w:t>
      </w:r>
      <w:r>
        <w:t>prescribed</w:t>
      </w:r>
      <w:r>
        <w:rPr>
          <w:spacing w:val="1"/>
        </w:rPr>
        <w:t xml:space="preserve"> </w:t>
      </w:r>
      <w:r>
        <w:t>methodology</w:t>
      </w:r>
      <w:r>
        <w:rPr>
          <w:spacing w:val="1"/>
        </w:rPr>
        <w:t xml:space="preserve"> </w:t>
      </w:r>
      <w:r>
        <w:t>and</w:t>
      </w:r>
      <w:r>
        <w:rPr>
          <w:spacing w:val="1"/>
        </w:rPr>
        <w:t xml:space="preserve"> </w:t>
      </w:r>
      <w:r>
        <w:t>developed</w:t>
      </w:r>
      <w:r>
        <w:rPr>
          <w:spacing w:val="1"/>
        </w:rPr>
        <w:t xml:space="preserve"> </w:t>
      </w:r>
      <w:r>
        <w:t>tools,</w:t>
      </w:r>
      <w:r>
        <w:rPr>
          <w:spacing w:val="1"/>
        </w:rPr>
        <w:t xml:space="preserve"> </w:t>
      </w:r>
      <w:r>
        <w:t>establishment</w:t>
      </w:r>
      <w:r>
        <w:rPr>
          <w:spacing w:val="1"/>
        </w:rPr>
        <w:t xml:space="preserve"> </w:t>
      </w:r>
      <w:r>
        <w:t>of</w:t>
      </w:r>
      <w:r>
        <w:rPr>
          <w:spacing w:val="1"/>
        </w:rPr>
        <w:t xml:space="preserve"> </w:t>
      </w:r>
      <w:r>
        <w:t>mechanisms</w:t>
      </w:r>
      <w:r>
        <w:rPr>
          <w:spacing w:val="1"/>
        </w:rPr>
        <w:t xml:space="preserve"> </w:t>
      </w:r>
      <w:r>
        <w:t>for</w:t>
      </w:r>
      <w:r>
        <w:rPr>
          <w:spacing w:val="1"/>
        </w:rPr>
        <w:t xml:space="preserve"> </w:t>
      </w:r>
      <w:r>
        <w:t>coordinating</w:t>
      </w:r>
      <w:r>
        <w:rPr>
          <w:spacing w:val="1"/>
        </w:rPr>
        <w:t xml:space="preserve"> </w:t>
      </w:r>
      <w:r>
        <w:t>and</w:t>
      </w:r>
      <w:r>
        <w:rPr>
          <w:spacing w:val="1"/>
        </w:rPr>
        <w:t xml:space="preserve"> </w:t>
      </w:r>
      <w:r>
        <w:t>integrating strategic planning and other complementary processes will significantly improve</w:t>
      </w:r>
      <w:r>
        <w:rPr>
          <w:spacing w:val="1"/>
        </w:rPr>
        <w:t xml:space="preserve"> </w:t>
      </w:r>
      <w:r>
        <w:t>the efficiency</w:t>
      </w:r>
      <w:r>
        <w:rPr>
          <w:spacing w:val="-5"/>
        </w:rPr>
        <w:t xml:space="preserve"> </w:t>
      </w:r>
      <w:r>
        <w:t>and sustainability</w:t>
      </w:r>
      <w:r>
        <w:rPr>
          <w:spacing w:val="-5"/>
        </w:rPr>
        <w:t xml:space="preserve"> </w:t>
      </w:r>
      <w:r>
        <w:t>of strategic</w:t>
      </w:r>
      <w:r>
        <w:rPr>
          <w:spacing w:val="-1"/>
        </w:rPr>
        <w:t xml:space="preserve"> </w:t>
      </w:r>
      <w:r>
        <w:t>planning</w:t>
      </w:r>
      <w:r>
        <w:rPr>
          <w:spacing w:val="-3"/>
        </w:rPr>
        <w:t xml:space="preserve"> </w:t>
      </w:r>
      <w:r>
        <w:t>and impact assessment.</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61424553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1054339309" name="Rectangle 265"/>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5C7569F" id="Group 264"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">
                <v:rect id="Rectangle 265"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3"/>
      </w:pPr>
      <w:r>
        <w:t>To ensure a standardised approach to the proper application of the provisions of the legislative</w:t>
      </w:r>
      <w:r>
        <w:rPr>
          <w:spacing w:val="-57"/>
        </w:rPr>
        <w:t xml:space="preserve"> </w:t>
      </w:r>
      <w:r>
        <w:t>framework of the strategic planning system, work will continue on harmonising the actions of</w:t>
      </w:r>
      <w:r>
        <w:rPr>
          <w:spacing w:val="1"/>
        </w:rPr>
        <w:t xml:space="preserve"> </w:t>
      </w:r>
      <w:r>
        <w:t>public authorities in drafting strategic planning acts, primarily by providing clarifications and</w:t>
      </w:r>
      <w:r>
        <w:rPr>
          <w:spacing w:val="1"/>
        </w:rPr>
        <w:t xml:space="preserve"> </w:t>
      </w:r>
      <w:r>
        <w:t>instructions, comments and suggestions for improvement. In line with the amendments to the</w:t>
      </w:r>
      <w:r>
        <w:rPr>
          <w:spacing w:val="1"/>
        </w:rPr>
        <w:t xml:space="preserve"> </w:t>
      </w:r>
      <w:r>
        <w:t>legal framework of the strategic planning system, written instructions on the procedure for</w:t>
      </w:r>
      <w:r>
        <w:rPr>
          <w:spacing w:val="1"/>
        </w:rPr>
        <w:t xml:space="preserve"> </w:t>
      </w:r>
      <w:r>
        <w:t>drafting and implementing strategic planning acts for all public authorities will be amended or</w:t>
      </w:r>
      <w:r>
        <w:rPr>
          <w:spacing w:val="-57"/>
        </w:rPr>
        <w:t xml:space="preserve"> </w:t>
      </w:r>
      <w:r>
        <w:t>harmonised. Work will continue on maintaining and supplementing the Library of Indicators,</w:t>
      </w:r>
      <w:r>
        <w:rPr>
          <w:spacing w:val="1"/>
        </w:rPr>
        <w:t xml:space="preserve"> </w:t>
      </w:r>
      <w:r>
        <w:t>to ensure a uniform approach to developing a relevant and reliable framework for monitoring</w:t>
      </w:r>
      <w:r>
        <w:rPr>
          <w:spacing w:val="1"/>
        </w:rPr>
        <w:t xml:space="preserve"> </w:t>
      </w:r>
      <w:r>
        <w:t>and</w:t>
      </w:r>
      <w:r>
        <w:rPr>
          <w:spacing w:val="-1"/>
        </w:rPr>
        <w:t xml:space="preserve"> </w:t>
      </w:r>
      <w:r>
        <w:t>reporting</w:t>
      </w:r>
      <w:r>
        <w:rPr>
          <w:spacing w:val="-3"/>
        </w:rPr>
        <w:t xml:space="preserve"> </w:t>
      </w:r>
      <w:r>
        <w:t>on the implementation of</w:t>
      </w:r>
      <w:r>
        <w:rPr>
          <w:spacing w:val="-1"/>
        </w:rPr>
        <w:t xml:space="preserve"> </w:t>
      </w:r>
      <w:r>
        <w:t>strategic planning acts among</w:t>
      </w:r>
      <w:r>
        <w:rPr>
          <w:spacing w:val="-3"/>
        </w:rPr>
        <w:t xml:space="preserve"> </w:t>
      </w:r>
      <w:r>
        <w:t>all stakeholders.</w:t>
      </w:r>
    </w:p>
    <w:p w:rsidR="00A56FE9" w:rsidRDefault="00000000">
      <w:pPr>
        <w:pStyle w:val="Tijeloteksta"/>
        <w:spacing w:before="121"/>
        <w:ind w:right="274"/>
      </w:pPr>
      <w:r>
        <w:t>Work</w:t>
      </w:r>
      <w:r>
        <w:rPr>
          <w:spacing w:val="1"/>
        </w:rPr>
        <w:t xml:space="preserve"> </w:t>
      </w:r>
      <w:r>
        <w:t>will</w:t>
      </w:r>
      <w:r>
        <w:rPr>
          <w:spacing w:val="1"/>
        </w:rPr>
        <w:t xml:space="preserve"> </w:t>
      </w:r>
      <w:r>
        <w:t>continue</w:t>
      </w:r>
      <w:r>
        <w:rPr>
          <w:spacing w:val="1"/>
        </w:rPr>
        <w:t xml:space="preserve"> </w:t>
      </w:r>
      <w:r>
        <w:t>on</w:t>
      </w:r>
      <w:r>
        <w:rPr>
          <w:spacing w:val="1"/>
        </w:rPr>
        <w:t xml:space="preserve"> </w:t>
      </w:r>
      <w:r>
        <w:t>coordinating</w:t>
      </w:r>
      <w:r>
        <w:rPr>
          <w:spacing w:val="1"/>
        </w:rPr>
        <w:t xml:space="preserve"> </w:t>
      </w:r>
      <w:r>
        <w:t>the</w:t>
      </w:r>
      <w:r>
        <w:rPr>
          <w:spacing w:val="1"/>
        </w:rPr>
        <w:t xml:space="preserve"> </w:t>
      </w:r>
      <w:r>
        <w:t>overall</w:t>
      </w:r>
      <w:r>
        <w:rPr>
          <w:spacing w:val="1"/>
        </w:rPr>
        <w:t xml:space="preserve"> </w:t>
      </w:r>
      <w:r>
        <w:t>strategic</w:t>
      </w:r>
      <w:r>
        <w:rPr>
          <w:spacing w:val="1"/>
        </w:rPr>
        <w:t xml:space="preserve"> </w:t>
      </w:r>
      <w:r>
        <w:t>planning</w:t>
      </w:r>
      <w:r>
        <w:rPr>
          <w:spacing w:val="1"/>
        </w:rPr>
        <w:t xml:space="preserve"> </w:t>
      </w:r>
      <w:r>
        <w:t>and</w:t>
      </w:r>
      <w:r>
        <w:rPr>
          <w:spacing w:val="1"/>
        </w:rPr>
        <w:t xml:space="preserve"> </w:t>
      </w:r>
      <w:r>
        <w:t>development</w:t>
      </w:r>
      <w:r>
        <w:rPr>
          <w:spacing w:val="1"/>
        </w:rPr>
        <w:t xml:space="preserve"> </w:t>
      </w:r>
      <w:r>
        <w:t>management system, and after the amended legal framework for the strategic planning system</w:t>
      </w:r>
      <w:r>
        <w:rPr>
          <w:spacing w:val="-57"/>
        </w:rPr>
        <w:t xml:space="preserve"> </w:t>
      </w:r>
      <w:r>
        <w:t>has</w:t>
      </w:r>
      <w:r>
        <w:rPr>
          <w:spacing w:val="-7"/>
        </w:rPr>
        <w:t xml:space="preserve"> </w:t>
      </w:r>
      <w:r>
        <w:t>entered</w:t>
      </w:r>
      <w:r>
        <w:rPr>
          <w:spacing w:val="-6"/>
        </w:rPr>
        <w:t xml:space="preserve"> </w:t>
      </w:r>
      <w:r>
        <w:t>into</w:t>
      </w:r>
      <w:r>
        <w:rPr>
          <w:spacing w:val="-6"/>
        </w:rPr>
        <w:t xml:space="preserve"> </w:t>
      </w:r>
      <w:r>
        <w:t>force,</w:t>
      </w:r>
      <w:r>
        <w:rPr>
          <w:spacing w:val="-6"/>
        </w:rPr>
        <w:t xml:space="preserve"> </w:t>
      </w:r>
      <w:r>
        <w:t>the</w:t>
      </w:r>
      <w:r>
        <w:rPr>
          <w:spacing w:val="-8"/>
        </w:rPr>
        <w:t xml:space="preserve"> </w:t>
      </w:r>
      <w:r>
        <w:t>harmonisation</w:t>
      </w:r>
      <w:r>
        <w:rPr>
          <w:spacing w:val="-6"/>
        </w:rPr>
        <w:t xml:space="preserve"> </w:t>
      </w:r>
      <w:r>
        <w:t>of</w:t>
      </w:r>
      <w:r>
        <w:rPr>
          <w:spacing w:val="-7"/>
        </w:rPr>
        <w:t xml:space="preserve"> </w:t>
      </w:r>
      <w:r>
        <w:t>the</w:t>
      </w:r>
      <w:r>
        <w:rPr>
          <w:spacing w:val="-7"/>
        </w:rPr>
        <w:t xml:space="preserve"> </w:t>
      </w:r>
      <w:r>
        <w:t>corresponding</w:t>
      </w:r>
      <w:r>
        <w:rPr>
          <w:spacing w:val="-10"/>
        </w:rPr>
        <w:t xml:space="preserve"> </w:t>
      </w:r>
      <w:r>
        <w:t>institutional</w:t>
      </w:r>
      <w:r>
        <w:rPr>
          <w:spacing w:val="-9"/>
        </w:rPr>
        <w:t xml:space="preserve"> </w:t>
      </w:r>
      <w:r>
        <w:t>and</w:t>
      </w:r>
      <w:r>
        <w:rPr>
          <w:spacing w:val="-6"/>
        </w:rPr>
        <w:t xml:space="preserve"> </w:t>
      </w:r>
      <w:r>
        <w:t>methodological</w:t>
      </w:r>
      <w:r>
        <w:rPr>
          <w:spacing w:val="-58"/>
        </w:rPr>
        <w:t xml:space="preserve"> </w:t>
      </w:r>
      <w:r>
        <w:t>framework</w:t>
      </w:r>
      <w:r>
        <w:rPr>
          <w:spacing w:val="-1"/>
        </w:rPr>
        <w:t xml:space="preserve"> </w:t>
      </w:r>
      <w:r>
        <w:t>will be carried out.</w:t>
      </w:r>
    </w:p>
    <w:p w:rsidR="00A56FE9" w:rsidRDefault="00000000">
      <w:pPr>
        <w:pStyle w:val="Tijeloteksta"/>
        <w:spacing w:before="120"/>
        <w:ind w:right="274"/>
      </w:pPr>
      <w:r>
        <w:t>Guidelines, tools and recommendations, developed within the SRSP project Framework for</w:t>
      </w:r>
      <w:r>
        <w:rPr>
          <w:spacing w:val="1"/>
        </w:rPr>
        <w:t xml:space="preserve"> </w:t>
      </w:r>
      <w:r>
        <w:t>Evaluating the Efficiency of Public Policies in Croatia and Improving the Cost Estimation of</w:t>
      </w:r>
      <w:r>
        <w:rPr>
          <w:spacing w:val="1"/>
        </w:rPr>
        <w:t xml:space="preserve"> </w:t>
      </w:r>
      <w:r>
        <w:t>Government Policies in Strategic Planning Processes, will be appropriately integrated into the</w:t>
      </w:r>
      <w:r>
        <w:rPr>
          <w:spacing w:val="1"/>
        </w:rPr>
        <w:t xml:space="preserve"> </w:t>
      </w:r>
      <w:r>
        <w:t>methodological framework of the strategic planning system, as well as other processes in the</w:t>
      </w:r>
      <w:r>
        <w:rPr>
          <w:spacing w:val="1"/>
        </w:rPr>
        <w:t xml:space="preserve"> </w:t>
      </w:r>
      <w:r>
        <w:t>strategic</w:t>
      </w:r>
      <w:r>
        <w:rPr>
          <w:spacing w:val="-1"/>
        </w:rPr>
        <w:t xml:space="preserve"> </w:t>
      </w:r>
      <w:r>
        <w:t>planning</w:t>
      </w:r>
      <w:r>
        <w:rPr>
          <w:spacing w:val="-3"/>
        </w:rPr>
        <w:t xml:space="preserve"> </w:t>
      </w:r>
      <w:r>
        <w:t>and impact assessment of public</w:t>
      </w:r>
      <w:r>
        <w:rPr>
          <w:spacing w:val="1"/>
        </w:rPr>
        <w:t xml:space="preserve"> </w:t>
      </w:r>
      <w:r>
        <w:t>policies.</w:t>
      </w:r>
    </w:p>
    <w:p w:rsidR="00A56FE9" w:rsidRDefault="00000000">
      <w:pPr>
        <w:pStyle w:val="Tijeloteksta"/>
        <w:spacing w:before="120"/>
        <w:ind w:right="275"/>
      </w:pPr>
      <w:r>
        <w:t>Within the set deadlines, Annual Progress Report on the Implementation of the 2030 National</w:t>
      </w:r>
      <w:r>
        <w:rPr>
          <w:spacing w:val="1"/>
        </w:rPr>
        <w:t xml:space="preserve"> </w:t>
      </w:r>
      <w:r>
        <w:t>Development strategy (NDS 2030) will be prepared, and which will, for the first time, publish</w:t>
      </w:r>
      <w:r>
        <w:rPr>
          <w:spacing w:val="-57"/>
        </w:rPr>
        <w:t xml:space="preserve"> </w:t>
      </w:r>
      <w:r>
        <w:t>all relevant data on the implementation progress of strategic objectives, achieved performance</w:t>
      </w:r>
      <w:r>
        <w:rPr>
          <w:spacing w:val="-57"/>
        </w:rPr>
        <w:t xml:space="preserve"> </w:t>
      </w:r>
      <w:r>
        <w:t>indicators and budget spent on implementation. The data will be made available to the general</w:t>
      </w:r>
      <w:r>
        <w:rPr>
          <w:spacing w:val="-57"/>
        </w:rPr>
        <w:t xml:space="preserve"> </w:t>
      </w:r>
      <w:r>
        <w:t>public and facilitate evaluation of the outcomes achieved in implementing the NDS 2030 on</w:t>
      </w:r>
      <w:r>
        <w:rPr>
          <w:spacing w:val="1"/>
        </w:rPr>
        <w:t xml:space="preserve"> </w:t>
      </w:r>
      <w:r>
        <w:t>social</w:t>
      </w:r>
      <w:r>
        <w:rPr>
          <w:spacing w:val="-1"/>
        </w:rPr>
        <w:t xml:space="preserve"> </w:t>
      </w:r>
      <w:r>
        <w:t>and economic</w:t>
      </w:r>
      <w:r>
        <w:rPr>
          <w:spacing w:val="1"/>
        </w:rPr>
        <w:t xml:space="preserve"> </w:t>
      </w:r>
      <w:r>
        <w:t>growth and development.</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2"/>
      </w:pPr>
      <w:r>
        <w:t>Under</w:t>
      </w:r>
      <w:r>
        <w:rPr>
          <w:spacing w:val="1"/>
        </w:rPr>
        <w:t xml:space="preserve"> </w:t>
      </w:r>
      <w:r>
        <w:t>the</w:t>
      </w:r>
      <w:r>
        <w:rPr>
          <w:spacing w:val="1"/>
        </w:rPr>
        <w:t xml:space="preserve"> </w:t>
      </w:r>
      <w:r>
        <w:t>Norwegian</w:t>
      </w:r>
      <w:r>
        <w:rPr>
          <w:spacing w:val="1"/>
        </w:rPr>
        <w:t xml:space="preserve"> </w:t>
      </w:r>
      <w:r>
        <w:t>Financial</w:t>
      </w:r>
      <w:r>
        <w:rPr>
          <w:spacing w:val="1"/>
        </w:rPr>
        <w:t xml:space="preserve"> </w:t>
      </w:r>
      <w:r>
        <w:t>Mechanism</w:t>
      </w:r>
      <w:r>
        <w:rPr>
          <w:spacing w:val="1"/>
        </w:rPr>
        <w:t xml:space="preserve"> </w:t>
      </w:r>
      <w:r>
        <w:t>2014-2021,</w:t>
      </w:r>
      <w:r>
        <w:rPr>
          <w:spacing w:val="1"/>
        </w:rPr>
        <w:t xml:space="preserve"> </w:t>
      </w:r>
      <w:r>
        <w:t>the</w:t>
      </w:r>
      <w:r>
        <w:rPr>
          <w:spacing w:val="1"/>
        </w:rPr>
        <w:t xml:space="preserve"> </w:t>
      </w:r>
      <w:r>
        <w:t>project</w:t>
      </w:r>
      <w:r>
        <w:rPr>
          <w:spacing w:val="1"/>
        </w:rPr>
        <w:t xml:space="preserve"> </w:t>
      </w:r>
      <w:r>
        <w:t>Enhanced</w:t>
      </w:r>
      <w:r>
        <w:rPr>
          <w:spacing w:val="1"/>
        </w:rPr>
        <w:t xml:space="preserve"> </w:t>
      </w:r>
      <w:r>
        <w:t>Strategic</w:t>
      </w:r>
      <w:r>
        <w:rPr>
          <w:spacing w:val="1"/>
        </w:rPr>
        <w:t xml:space="preserve"> </w:t>
      </w:r>
      <w:r>
        <w:t>Planning at the Regional and Local Level in Croatia was contracted. Implementation of the</w:t>
      </w:r>
      <w:r>
        <w:rPr>
          <w:spacing w:val="1"/>
        </w:rPr>
        <w:t xml:space="preserve"> </w:t>
      </w:r>
      <w:r>
        <w:t>project will strengthen the capacities for strategic planning and development management at</w:t>
      </w:r>
      <w:r>
        <w:rPr>
          <w:spacing w:val="1"/>
        </w:rPr>
        <w:t xml:space="preserve"> </w:t>
      </w:r>
      <w:r>
        <w:t>the regional and local state levels. The project includes a quantitative and qualitative analysis</w:t>
      </w:r>
      <w:r>
        <w:rPr>
          <w:spacing w:val="1"/>
        </w:rPr>
        <w:t xml:space="preserve"> </w:t>
      </w:r>
      <w:r>
        <w:t>of the current state of the strategic planning system at the regional and local level, provides</w:t>
      </w:r>
      <w:r>
        <w:rPr>
          <w:spacing w:val="1"/>
        </w:rPr>
        <w:t xml:space="preserve"> </w:t>
      </w:r>
      <w:r>
        <w:t>recommendations for improving the preparation of public policy and strengthens the capacity</w:t>
      </w:r>
      <w:r>
        <w:rPr>
          <w:spacing w:val="1"/>
        </w:rPr>
        <w:t xml:space="preserve"> </w:t>
      </w:r>
      <w:r>
        <w:t>of</w:t>
      </w:r>
      <w:r>
        <w:rPr>
          <w:spacing w:val="-8"/>
        </w:rPr>
        <w:t xml:space="preserve"> </w:t>
      </w:r>
      <w:r>
        <w:t>regional</w:t>
      </w:r>
      <w:r>
        <w:rPr>
          <w:spacing w:val="-7"/>
        </w:rPr>
        <w:t xml:space="preserve"> </w:t>
      </w:r>
      <w:r>
        <w:t>and</w:t>
      </w:r>
      <w:r>
        <w:rPr>
          <w:spacing w:val="-7"/>
        </w:rPr>
        <w:t xml:space="preserve"> </w:t>
      </w:r>
      <w:r>
        <w:t>local</w:t>
      </w:r>
      <w:r>
        <w:rPr>
          <w:spacing w:val="-6"/>
        </w:rPr>
        <w:t xml:space="preserve"> </w:t>
      </w:r>
      <w:r>
        <w:t>self-government,</w:t>
      </w:r>
      <w:r>
        <w:rPr>
          <w:spacing w:val="-7"/>
        </w:rPr>
        <w:t xml:space="preserve"> </w:t>
      </w:r>
      <w:r>
        <w:t>and</w:t>
      </w:r>
      <w:r>
        <w:rPr>
          <w:spacing w:val="-7"/>
        </w:rPr>
        <w:t xml:space="preserve"> </w:t>
      </w:r>
      <w:r>
        <w:t>implements</w:t>
      </w:r>
      <w:r>
        <w:rPr>
          <w:spacing w:val="-5"/>
        </w:rPr>
        <w:t xml:space="preserve"> </w:t>
      </w:r>
      <w:r>
        <w:t>targeted</w:t>
      </w:r>
      <w:r>
        <w:rPr>
          <w:spacing w:val="-8"/>
        </w:rPr>
        <w:t xml:space="preserve"> </w:t>
      </w:r>
      <w:r>
        <w:t>education</w:t>
      </w:r>
      <w:r>
        <w:rPr>
          <w:spacing w:val="-7"/>
        </w:rPr>
        <w:t xml:space="preserve"> </w:t>
      </w:r>
      <w:r>
        <w:t>prepared</w:t>
      </w:r>
      <w:r>
        <w:rPr>
          <w:spacing w:val="-6"/>
        </w:rPr>
        <w:t xml:space="preserve"> </w:t>
      </w:r>
      <w:r>
        <w:t>in</w:t>
      </w:r>
      <w:r>
        <w:rPr>
          <w:spacing w:val="-7"/>
        </w:rPr>
        <w:t xml:space="preserve"> </w:t>
      </w:r>
      <w:r>
        <w:t>line</w:t>
      </w:r>
      <w:r>
        <w:rPr>
          <w:spacing w:val="-8"/>
        </w:rPr>
        <w:t xml:space="preserve"> </w:t>
      </w:r>
      <w:r>
        <w:t>with</w:t>
      </w:r>
      <w:r>
        <w:rPr>
          <w:spacing w:val="-57"/>
        </w:rPr>
        <w:t xml:space="preserve"> </w:t>
      </w:r>
      <w:r>
        <w:t>the</w:t>
      </w:r>
      <w:r>
        <w:rPr>
          <w:spacing w:val="-1"/>
        </w:rPr>
        <w:t xml:space="preserve"> </w:t>
      </w:r>
      <w:r>
        <w:t>conducted</w:t>
      </w:r>
      <w:r>
        <w:rPr>
          <w:spacing w:val="1"/>
        </w:rPr>
        <w:t xml:space="preserve"> </w:t>
      </w:r>
      <w:r>
        <w:t>analyses.</w:t>
      </w:r>
    </w:p>
    <w:p w:rsidR="00A56FE9" w:rsidRDefault="00000000">
      <w:pPr>
        <w:pStyle w:val="Tijeloteksta"/>
        <w:spacing w:before="121"/>
        <w:ind w:right="272"/>
      </w:pPr>
      <w:r>
        <w:t>The</w:t>
      </w:r>
      <w:r>
        <w:rPr>
          <w:spacing w:val="1"/>
        </w:rPr>
        <w:t xml:space="preserve"> </w:t>
      </w:r>
      <w:r>
        <w:t>Ministry of</w:t>
      </w:r>
      <w:r>
        <w:rPr>
          <w:spacing w:val="1"/>
        </w:rPr>
        <w:t xml:space="preserve"> </w:t>
      </w:r>
      <w:r>
        <w:t>Regional</w:t>
      </w:r>
      <w:r>
        <w:rPr>
          <w:spacing w:val="1"/>
        </w:rPr>
        <w:t xml:space="preserve"> </w:t>
      </w:r>
      <w:r>
        <w:t>Development</w:t>
      </w:r>
      <w:r>
        <w:rPr>
          <w:spacing w:val="1"/>
        </w:rPr>
        <w:t xml:space="preserve"> </w:t>
      </w:r>
      <w:r>
        <w:t>and</w:t>
      </w:r>
      <w:r>
        <w:rPr>
          <w:spacing w:val="1"/>
        </w:rPr>
        <w:t xml:space="preserve"> </w:t>
      </w:r>
      <w:r>
        <w:t>EU</w:t>
      </w:r>
      <w:r>
        <w:rPr>
          <w:spacing w:val="1"/>
        </w:rPr>
        <w:t xml:space="preserve"> </w:t>
      </w:r>
      <w:r>
        <w:t>Funds</w:t>
      </w:r>
      <w:r>
        <w:rPr>
          <w:spacing w:val="1"/>
        </w:rPr>
        <w:t xml:space="preserve"> </w:t>
      </w:r>
      <w:r>
        <w:t>(MRDEUF)</w:t>
      </w:r>
      <w:r>
        <w:rPr>
          <w:spacing w:val="1"/>
        </w:rPr>
        <w:t xml:space="preserve"> </w:t>
      </w:r>
      <w:r>
        <w:t>in</w:t>
      </w:r>
      <w:r>
        <w:rPr>
          <w:spacing w:val="1"/>
        </w:rPr>
        <w:t xml:space="preserve"> </w:t>
      </w:r>
      <w:r>
        <w:t>its</w:t>
      </w:r>
      <w:r>
        <w:rPr>
          <w:spacing w:val="1"/>
        </w:rPr>
        <w:t xml:space="preserve"> </w:t>
      </w:r>
      <w:r>
        <w:t>capacity</w:t>
      </w:r>
      <w:r>
        <w:rPr>
          <w:spacing w:val="1"/>
        </w:rPr>
        <w:t xml:space="preserve"> </w:t>
      </w:r>
      <w:r>
        <w:t>as</w:t>
      </w:r>
      <w:r>
        <w:rPr>
          <w:spacing w:val="1"/>
        </w:rPr>
        <w:t xml:space="preserve"> </w:t>
      </w:r>
      <w:r>
        <w:t>a</w:t>
      </w:r>
      <w:r>
        <w:rPr>
          <w:spacing w:val="1"/>
        </w:rPr>
        <w:t xml:space="preserve"> </w:t>
      </w:r>
      <w:r>
        <w:rPr>
          <w:spacing w:val="-1"/>
        </w:rPr>
        <w:t>Coordinating</w:t>
      </w:r>
      <w:r>
        <w:rPr>
          <w:spacing w:val="-15"/>
        </w:rPr>
        <w:t xml:space="preserve"> </w:t>
      </w:r>
      <w:r>
        <w:rPr>
          <w:spacing w:val="-1"/>
        </w:rPr>
        <w:t>Body,</w:t>
      </w:r>
      <w:r>
        <w:rPr>
          <w:spacing w:val="-9"/>
        </w:rPr>
        <w:t xml:space="preserve"> </w:t>
      </w:r>
      <w:r>
        <w:t>and</w:t>
      </w:r>
      <w:r>
        <w:rPr>
          <w:spacing w:val="-12"/>
        </w:rPr>
        <w:t xml:space="preserve"> </w:t>
      </w:r>
      <w:r>
        <w:t>in</w:t>
      </w:r>
      <w:r>
        <w:rPr>
          <w:spacing w:val="-11"/>
        </w:rPr>
        <w:t xml:space="preserve"> </w:t>
      </w:r>
      <w:r>
        <w:t>terms</w:t>
      </w:r>
      <w:r>
        <w:rPr>
          <w:spacing w:val="-12"/>
        </w:rPr>
        <w:t xml:space="preserve"> </w:t>
      </w:r>
      <w:r>
        <w:t>of</w:t>
      </w:r>
      <w:r>
        <w:rPr>
          <w:spacing w:val="-13"/>
        </w:rPr>
        <w:t xml:space="preserve"> </w:t>
      </w:r>
      <w:r>
        <w:t>the</w:t>
      </w:r>
      <w:r>
        <w:rPr>
          <w:spacing w:val="-13"/>
        </w:rPr>
        <w:t xml:space="preserve"> </w:t>
      </w:r>
      <w:r>
        <w:t>drafting</w:t>
      </w:r>
      <w:r>
        <w:rPr>
          <w:spacing w:val="-14"/>
        </w:rPr>
        <w:t xml:space="preserve"> </w:t>
      </w:r>
      <w:r>
        <w:t>of</w:t>
      </w:r>
      <w:r>
        <w:rPr>
          <w:spacing w:val="-10"/>
        </w:rPr>
        <w:t xml:space="preserve"> </w:t>
      </w:r>
      <w:r>
        <w:t>program</w:t>
      </w:r>
      <w:r>
        <w:rPr>
          <w:spacing w:val="-12"/>
        </w:rPr>
        <w:t xml:space="preserve"> </w:t>
      </w:r>
      <w:r>
        <w:t>documents</w:t>
      </w:r>
      <w:r>
        <w:rPr>
          <w:spacing w:val="-12"/>
        </w:rPr>
        <w:t xml:space="preserve"> </w:t>
      </w:r>
      <w:r>
        <w:t>for</w:t>
      </w:r>
      <w:r>
        <w:rPr>
          <w:spacing w:val="-12"/>
        </w:rPr>
        <w:t xml:space="preserve"> </w:t>
      </w:r>
      <w:r>
        <w:t>the</w:t>
      </w:r>
      <w:r>
        <w:rPr>
          <w:spacing w:val="-13"/>
        </w:rPr>
        <w:t xml:space="preserve"> </w:t>
      </w:r>
      <w:r>
        <w:t>new</w:t>
      </w:r>
      <w:r>
        <w:rPr>
          <w:spacing w:val="-13"/>
        </w:rPr>
        <w:t xml:space="preserve"> </w:t>
      </w:r>
      <w:r>
        <w:t>EU</w:t>
      </w:r>
      <w:r>
        <w:rPr>
          <w:spacing w:val="-11"/>
        </w:rPr>
        <w:t xml:space="preserve"> </w:t>
      </w:r>
      <w:r>
        <w:t>financial</w:t>
      </w:r>
      <w:r>
        <w:rPr>
          <w:spacing w:val="-57"/>
        </w:rPr>
        <w:t xml:space="preserve"> </w:t>
      </w:r>
      <w:r>
        <w:t>period, in cooperation with competent authorities and other bodies of the management and</w:t>
      </w:r>
      <w:r>
        <w:rPr>
          <w:spacing w:val="1"/>
        </w:rPr>
        <w:t xml:space="preserve"> </w:t>
      </w:r>
      <w:r>
        <w:t>control system for the financial period 2014-2020, with the participation of Ministry of Justice</w:t>
      </w:r>
      <w:r>
        <w:rPr>
          <w:spacing w:val="-57"/>
        </w:rPr>
        <w:t xml:space="preserve"> </w:t>
      </w:r>
      <w:r>
        <w:t>and</w:t>
      </w:r>
      <w:r>
        <w:rPr>
          <w:spacing w:val="1"/>
        </w:rPr>
        <w:t xml:space="preserve"> </w:t>
      </w:r>
      <w:r>
        <w:t>Public</w:t>
      </w:r>
      <w:r>
        <w:rPr>
          <w:spacing w:val="1"/>
        </w:rPr>
        <w:t xml:space="preserve"> </w:t>
      </w:r>
      <w:r>
        <w:t>Administration</w:t>
      </w:r>
      <w:r>
        <w:rPr>
          <w:spacing w:val="1"/>
        </w:rPr>
        <w:t xml:space="preserve"> </w:t>
      </w:r>
      <w:r>
        <w:t>(MJPA),</w:t>
      </w:r>
      <w:r>
        <w:rPr>
          <w:spacing w:val="1"/>
        </w:rPr>
        <w:t xml:space="preserve"> </w:t>
      </w:r>
      <w:r>
        <w:t>will</w:t>
      </w:r>
      <w:r>
        <w:rPr>
          <w:spacing w:val="1"/>
        </w:rPr>
        <w:t xml:space="preserve"> </w:t>
      </w:r>
      <w:r>
        <w:t>develop</w:t>
      </w:r>
      <w:r>
        <w:rPr>
          <w:spacing w:val="1"/>
        </w:rPr>
        <w:t xml:space="preserve"> </w:t>
      </w:r>
      <w:r>
        <w:t>a</w:t>
      </w:r>
      <w:r>
        <w:rPr>
          <w:spacing w:val="1"/>
        </w:rPr>
        <w:t xml:space="preserve"> </w:t>
      </w:r>
      <w:r>
        <w:rPr>
          <w:b/>
        </w:rPr>
        <w:t>single</w:t>
      </w:r>
      <w:r>
        <w:rPr>
          <w:b/>
          <w:spacing w:val="1"/>
        </w:rPr>
        <w:t xml:space="preserve"> </w:t>
      </w:r>
      <w:r>
        <w:rPr>
          <w:b/>
        </w:rPr>
        <w:t>national</w:t>
      </w:r>
      <w:r>
        <w:rPr>
          <w:b/>
          <w:spacing w:val="1"/>
        </w:rPr>
        <w:t xml:space="preserve"> </w:t>
      </w:r>
      <w:r>
        <w:rPr>
          <w:b/>
        </w:rPr>
        <w:t>plan</w:t>
      </w:r>
      <w:r>
        <w:rPr>
          <w:b/>
          <w:spacing w:val="1"/>
        </w:rPr>
        <w:t xml:space="preserve"> </w:t>
      </w:r>
      <w:r>
        <w:rPr>
          <w:b/>
        </w:rPr>
        <w:t>to</w:t>
      </w:r>
      <w:r>
        <w:rPr>
          <w:b/>
          <w:spacing w:val="1"/>
        </w:rPr>
        <w:t xml:space="preserve"> </w:t>
      </w:r>
      <w:r>
        <w:rPr>
          <w:b/>
        </w:rPr>
        <w:t>strengthen</w:t>
      </w:r>
      <w:r>
        <w:rPr>
          <w:b/>
          <w:spacing w:val="1"/>
        </w:rPr>
        <w:t xml:space="preserve"> </w:t>
      </w:r>
      <w:r>
        <w:rPr>
          <w:b/>
        </w:rPr>
        <w:t xml:space="preserve">administrative capacity in the use of EU funds </w:t>
      </w:r>
      <w:r>
        <w:t>(Roadmap for Administrative Capacity</w:t>
      </w:r>
      <w:r>
        <w:rPr>
          <w:spacing w:val="1"/>
        </w:rPr>
        <w:t xml:space="preserve"> </w:t>
      </w:r>
      <w:r>
        <w:t>Building), for EU funds under shared management. The scope of the Plan exceeds the limits</w:t>
      </w:r>
      <w:r>
        <w:rPr>
          <w:spacing w:val="1"/>
        </w:rPr>
        <w:t xml:space="preserve"> </w:t>
      </w:r>
      <w:r>
        <w:t>not only of the Cohesion Policy but also of the Regulation (EU) 2021/1060</w:t>
      </w:r>
      <w:r>
        <w:rPr>
          <w:spacing w:val="1"/>
        </w:rPr>
        <w:t xml:space="preserve"> </w:t>
      </w:r>
      <w:r>
        <w:t>- Common</w:t>
      </w:r>
      <w:r>
        <w:rPr>
          <w:spacing w:val="1"/>
        </w:rPr>
        <w:t xml:space="preserve"> </w:t>
      </w:r>
      <w:r>
        <w:t>Provisions</w:t>
      </w:r>
      <w:r>
        <w:rPr>
          <w:spacing w:val="1"/>
        </w:rPr>
        <w:t xml:space="preserve"> </w:t>
      </w:r>
      <w:r>
        <w:t>for</w:t>
      </w:r>
      <w:r>
        <w:rPr>
          <w:spacing w:val="1"/>
        </w:rPr>
        <w:t xml:space="preserve"> </w:t>
      </w:r>
      <w:r>
        <w:t>the</w:t>
      </w:r>
      <w:r>
        <w:rPr>
          <w:spacing w:val="1"/>
        </w:rPr>
        <w:t xml:space="preserve"> </w:t>
      </w:r>
      <w:r>
        <w:t>period</w:t>
      </w:r>
      <w:r>
        <w:rPr>
          <w:spacing w:val="1"/>
        </w:rPr>
        <w:t xml:space="preserve"> </w:t>
      </w:r>
      <w:r>
        <w:t>2021-2027,</w:t>
      </w:r>
      <w:r>
        <w:rPr>
          <w:spacing w:val="1"/>
        </w:rPr>
        <w:t xml:space="preserve"> </w:t>
      </w:r>
      <w:r>
        <w:t>given</w:t>
      </w:r>
      <w:r>
        <w:rPr>
          <w:spacing w:val="1"/>
        </w:rPr>
        <w:t xml:space="preserve"> </w:t>
      </w:r>
      <w:r>
        <w:t>that</w:t>
      </w:r>
      <w:r>
        <w:rPr>
          <w:spacing w:val="1"/>
        </w:rPr>
        <w:t xml:space="preserve"> </w:t>
      </w:r>
      <w:r>
        <w:t>it</w:t>
      </w:r>
      <w:r>
        <w:rPr>
          <w:spacing w:val="1"/>
        </w:rPr>
        <w:t xml:space="preserve"> </w:t>
      </w:r>
      <w:r>
        <w:t>includes</w:t>
      </w:r>
      <w:r>
        <w:rPr>
          <w:spacing w:val="1"/>
        </w:rPr>
        <w:t xml:space="preserve"> </w:t>
      </w:r>
      <w:r>
        <w:t>the</w:t>
      </w:r>
      <w:r>
        <w:rPr>
          <w:spacing w:val="1"/>
        </w:rPr>
        <w:t xml:space="preserve"> </w:t>
      </w:r>
      <w:r>
        <w:t>2023–2027</w:t>
      </w:r>
      <w:r>
        <w:rPr>
          <w:spacing w:val="1"/>
        </w:rPr>
        <w:t xml:space="preserve"> </w:t>
      </w:r>
      <w:r>
        <w:t>Common</w:t>
      </w:r>
      <w:r>
        <w:rPr>
          <w:spacing w:val="1"/>
        </w:rPr>
        <w:t xml:space="preserve"> </w:t>
      </w:r>
      <w:r>
        <w:t>Agricultural Policy (CAP) Strategic Plan. The plan is envisaged by the Act on the Institutional</w:t>
      </w:r>
      <w:r>
        <w:rPr>
          <w:spacing w:val="-57"/>
        </w:rPr>
        <w:t xml:space="preserve"> </w:t>
      </w:r>
      <w:r>
        <w:t>Framework for the Use of EU Funds in the Republic of Croatia, where the actual process of</w:t>
      </w:r>
      <w:r>
        <w:rPr>
          <w:spacing w:val="1"/>
        </w:rPr>
        <w:t xml:space="preserve"> </w:t>
      </w:r>
      <w:r>
        <w:t>drafting the document follows the course and development of the program process. The plan</w:t>
      </w:r>
      <w:r>
        <w:rPr>
          <w:spacing w:val="1"/>
        </w:rPr>
        <w:t xml:space="preserve"> </w:t>
      </w:r>
      <w:r>
        <w:t>simplifies and covers the needs of all stakeholders within the institutional framework for the</w:t>
      </w:r>
      <w:r>
        <w:rPr>
          <w:spacing w:val="1"/>
        </w:rPr>
        <w:t xml:space="preserve"> </w:t>
      </w:r>
      <w:r>
        <w:t>use of EU funds in Croatia for the program perspective 2021-2027. The development of the</w:t>
      </w:r>
      <w:r>
        <w:rPr>
          <w:spacing w:val="1"/>
        </w:rPr>
        <w:t xml:space="preserve"> </w:t>
      </w:r>
      <w:r>
        <w:t>plan is based on OECD methodology, defined during the pilot phase at the EC level (2018-</w:t>
      </w:r>
      <w:r>
        <w:rPr>
          <w:spacing w:val="1"/>
        </w:rPr>
        <w:t xml:space="preserve"> </w:t>
      </w:r>
      <w:r>
        <w:t>2020).</w:t>
      </w:r>
      <w:r>
        <w:rPr>
          <w:spacing w:val="1"/>
        </w:rPr>
        <w:t xml:space="preserve"> </w:t>
      </w:r>
      <w:r>
        <w:t>The</w:t>
      </w:r>
      <w:r>
        <w:rPr>
          <w:spacing w:val="1"/>
        </w:rPr>
        <w:t xml:space="preserve"> </w:t>
      </w:r>
      <w:r>
        <w:t>process</w:t>
      </w:r>
      <w:r>
        <w:rPr>
          <w:spacing w:val="1"/>
        </w:rPr>
        <w:t xml:space="preserve"> </w:t>
      </w:r>
      <w:r>
        <w:t>began</w:t>
      </w:r>
      <w:r>
        <w:rPr>
          <w:spacing w:val="1"/>
        </w:rPr>
        <w:t xml:space="preserve"> </w:t>
      </w:r>
      <w:r>
        <w:t>in</w:t>
      </w:r>
      <w:r>
        <w:rPr>
          <w:spacing w:val="1"/>
        </w:rPr>
        <w:t xml:space="preserve"> </w:t>
      </w:r>
      <w:r>
        <w:t>January 2021</w:t>
      </w:r>
      <w:r>
        <w:rPr>
          <w:spacing w:val="1"/>
        </w:rPr>
        <w:t xml:space="preserve"> </w:t>
      </w:r>
      <w:r>
        <w:t>and</w:t>
      </w:r>
      <w:r>
        <w:rPr>
          <w:spacing w:val="1"/>
        </w:rPr>
        <w:t xml:space="preserve"> </w:t>
      </w:r>
      <w:r>
        <w:t>16</w:t>
      </w:r>
      <w:r>
        <w:rPr>
          <w:spacing w:val="1"/>
        </w:rPr>
        <w:t xml:space="preserve"> </w:t>
      </w:r>
      <w:r>
        <w:t>workshops</w:t>
      </w:r>
      <w:r>
        <w:rPr>
          <w:spacing w:val="1"/>
        </w:rPr>
        <w:t xml:space="preserve"> </w:t>
      </w:r>
      <w:r>
        <w:t>were</w:t>
      </w:r>
      <w:r>
        <w:rPr>
          <w:spacing w:val="1"/>
        </w:rPr>
        <w:t xml:space="preserve"> </w:t>
      </w:r>
      <w:r>
        <w:t>held</w:t>
      </w:r>
      <w:r>
        <w:rPr>
          <w:spacing w:val="1"/>
        </w:rPr>
        <w:t xml:space="preserve"> </w:t>
      </w:r>
      <w:r>
        <w:t>with</w:t>
      </w:r>
      <w:r>
        <w:rPr>
          <w:spacing w:val="1"/>
        </w:rPr>
        <w:t xml:space="preserve"> </w:t>
      </w:r>
      <w:r>
        <w:t>over</w:t>
      </w:r>
      <w:r>
        <w:rPr>
          <w:spacing w:val="1"/>
        </w:rPr>
        <w:t xml:space="preserve"> </w:t>
      </w:r>
      <w:r>
        <w:t>200</w:t>
      </w:r>
      <w:r>
        <w:rPr>
          <w:spacing w:val="-57"/>
        </w:rPr>
        <w:t xml:space="preserve"> </w:t>
      </w:r>
      <w:r>
        <w:t>participants from 31 bodies in management and control systems. By the end of 2021, the</w:t>
      </w:r>
      <w:r>
        <w:rPr>
          <w:spacing w:val="1"/>
        </w:rPr>
        <w:t xml:space="preserve"> </w:t>
      </w:r>
      <w:r>
        <w:t>objectives,</w:t>
      </w:r>
      <w:r>
        <w:rPr>
          <w:spacing w:val="1"/>
        </w:rPr>
        <w:t xml:space="preserve"> </w:t>
      </w:r>
      <w:r>
        <w:t>measures</w:t>
      </w:r>
      <w:r>
        <w:rPr>
          <w:spacing w:val="1"/>
        </w:rPr>
        <w:t xml:space="preserve"> </w:t>
      </w:r>
      <w:r>
        <w:t>and</w:t>
      </w:r>
      <w:r>
        <w:rPr>
          <w:spacing w:val="1"/>
        </w:rPr>
        <w:t xml:space="preserve"> </w:t>
      </w:r>
      <w:r>
        <w:t>activities</w:t>
      </w:r>
      <w:r>
        <w:rPr>
          <w:spacing w:val="1"/>
        </w:rPr>
        <w:t xml:space="preserve"> </w:t>
      </w:r>
      <w:r>
        <w:t>were</w:t>
      </w:r>
      <w:r>
        <w:rPr>
          <w:spacing w:val="1"/>
        </w:rPr>
        <w:t xml:space="preserve"> </w:t>
      </w:r>
      <w:r>
        <w:t>defined</w:t>
      </w:r>
      <w:r>
        <w:rPr>
          <w:spacing w:val="1"/>
        </w:rPr>
        <w:t xml:space="preserve"> </w:t>
      </w:r>
      <w:r>
        <w:t>and</w:t>
      </w:r>
      <w:r>
        <w:rPr>
          <w:spacing w:val="1"/>
        </w:rPr>
        <w:t xml:space="preserve"> </w:t>
      </w:r>
      <w:r>
        <w:t>the</w:t>
      </w:r>
      <w:r>
        <w:rPr>
          <w:spacing w:val="1"/>
        </w:rPr>
        <w:t xml:space="preserve"> </w:t>
      </w:r>
      <w:r>
        <w:t>harmonisation</w:t>
      </w:r>
      <w:r>
        <w:rPr>
          <w:spacing w:val="1"/>
        </w:rPr>
        <w:t xml:space="preserve"> </w:t>
      </w:r>
      <w:r>
        <w:t>of</w:t>
      </w:r>
      <w:r>
        <w:rPr>
          <w:spacing w:val="1"/>
        </w:rPr>
        <w:t xml:space="preserve"> </w:t>
      </w:r>
      <w:r>
        <w:t>the</w:t>
      </w:r>
      <w:r>
        <w:rPr>
          <w:spacing w:val="1"/>
        </w:rPr>
        <w:t xml:space="preserve"> </w:t>
      </w:r>
      <w:r>
        <w:t>proposed</w:t>
      </w:r>
      <w:r>
        <w:rPr>
          <w:spacing w:val="-57"/>
        </w:rPr>
        <w:t xml:space="preserve"> </w:t>
      </w:r>
      <w:r>
        <w:t>measures and activities with the competent managing authorities is currently underway. Upon</w:t>
      </w:r>
      <w:r>
        <w:rPr>
          <w:spacing w:val="1"/>
        </w:rPr>
        <w:t xml:space="preserve"> </w:t>
      </w:r>
      <w:r>
        <w:t>completing the harmonisation, the draft will be sent to the EC. After receiving feedback, and</w:t>
      </w:r>
      <w:r>
        <w:rPr>
          <w:spacing w:val="1"/>
        </w:rPr>
        <w:t xml:space="preserve"> </w:t>
      </w:r>
      <w:r>
        <w:t>depending on completion of the program documents for the 2021-2027 financial period, the</w:t>
      </w:r>
      <w:r>
        <w:rPr>
          <w:spacing w:val="1"/>
        </w:rPr>
        <w:t xml:space="preserve"> </w:t>
      </w:r>
      <w:r>
        <w:t>implementation of measures and activities will begin, the coordination of which, including the</w:t>
      </w:r>
      <w:r>
        <w:rPr>
          <w:spacing w:val="-57"/>
        </w:rPr>
        <w:t xml:space="preserve"> </w:t>
      </w:r>
      <w:r>
        <w:t>monitoring, reporting, evaluation and, if necessary, updating falls under the MRDEUF as the</w:t>
      </w:r>
      <w:r>
        <w:rPr>
          <w:spacing w:val="1"/>
        </w:rPr>
        <w:t xml:space="preserve"> </w:t>
      </w:r>
      <w:r>
        <w:t>Coordinating</w:t>
      </w:r>
      <w:r>
        <w:rPr>
          <w:spacing w:val="-4"/>
        </w:rPr>
        <w:t xml:space="preserve"> </w:t>
      </w:r>
      <w:r>
        <w:t>Body</w:t>
      </w:r>
      <w:r>
        <w:rPr>
          <w:spacing w:val="-3"/>
        </w:rPr>
        <w:t xml:space="preserve"> </w:t>
      </w:r>
      <w:r>
        <w:t>for</w:t>
      </w:r>
      <w:r>
        <w:rPr>
          <w:spacing w:val="-2"/>
        </w:rPr>
        <w:t xml:space="preserve"> </w:t>
      </w:r>
      <w:r>
        <w:t>EU Funds.</w:t>
      </w:r>
    </w:p>
    <w:p w:rsidR="00A56FE9" w:rsidRDefault="00A56FE9">
      <w:pPr>
        <w:pStyle w:val="Tijeloteksta"/>
        <w:ind w:left="0"/>
        <w:jc w:val="left"/>
        <w:rPr>
          <w:sz w:val="26"/>
        </w:rPr>
      </w:pPr>
    </w:p>
    <w:p w:rsidR="00A56FE9" w:rsidRDefault="00000000">
      <w:pPr>
        <w:pStyle w:val="Naslov3"/>
        <w:spacing w:before="188"/>
      </w:pPr>
      <w:bookmarkStart w:id="12" w:name="_bookmark12"/>
      <w:bookmarkEnd w:id="12"/>
      <w:r>
        <w:rPr>
          <w:rFonts w:ascii="Times New Roman"/>
          <w:b/>
          <w:color w:val="2C398A"/>
          <w:spacing w:val="-1"/>
        </w:rPr>
        <w:t>C2.2.</w:t>
      </w:r>
      <w:r>
        <w:rPr>
          <w:rFonts w:ascii="Times New Roman"/>
          <w:b/>
          <w:color w:val="2C398A"/>
          <w:spacing w:val="1"/>
        </w:rPr>
        <w:t xml:space="preserve"> </w:t>
      </w:r>
      <w:r>
        <w:rPr>
          <w:color w:val="003399"/>
          <w:spacing w:val="-1"/>
        </w:rPr>
        <w:t>Further</w:t>
      </w:r>
      <w:r>
        <w:rPr>
          <w:color w:val="003399"/>
          <w:spacing w:val="-11"/>
        </w:rPr>
        <w:t xml:space="preserve"> </w:t>
      </w:r>
      <w:r>
        <w:rPr>
          <w:color w:val="003399"/>
          <w:spacing w:val="-1"/>
        </w:rPr>
        <w:t>Improving</w:t>
      </w:r>
      <w:r>
        <w:rPr>
          <w:color w:val="003399"/>
          <w:spacing w:val="-14"/>
        </w:rPr>
        <w:t xml:space="preserve"> </w:t>
      </w:r>
      <w:r>
        <w:rPr>
          <w:color w:val="003399"/>
          <w:spacing w:val="-1"/>
        </w:rPr>
        <w:t>the</w:t>
      </w:r>
      <w:r>
        <w:rPr>
          <w:color w:val="003399"/>
          <w:spacing w:val="-14"/>
        </w:rPr>
        <w:t xml:space="preserve"> </w:t>
      </w:r>
      <w:r>
        <w:rPr>
          <w:color w:val="003399"/>
          <w:spacing w:val="-1"/>
        </w:rPr>
        <w:t>Efficiency</w:t>
      </w:r>
      <w:r>
        <w:rPr>
          <w:color w:val="003399"/>
          <w:spacing w:val="-12"/>
        </w:rPr>
        <w:t xml:space="preserve"> </w:t>
      </w:r>
      <w:r>
        <w:rPr>
          <w:color w:val="003399"/>
          <w:spacing w:val="-1"/>
        </w:rPr>
        <w:t>of</w:t>
      </w:r>
      <w:r>
        <w:rPr>
          <w:color w:val="003399"/>
          <w:spacing w:val="-13"/>
        </w:rPr>
        <w:t xml:space="preserve"> </w:t>
      </w:r>
      <w:r>
        <w:rPr>
          <w:color w:val="003399"/>
          <w:spacing w:val="-1"/>
        </w:rPr>
        <w:t>Public</w:t>
      </w:r>
      <w:r>
        <w:rPr>
          <w:color w:val="003399"/>
          <w:spacing w:val="-12"/>
        </w:rPr>
        <w:t xml:space="preserve"> </w:t>
      </w:r>
      <w:r>
        <w:rPr>
          <w:color w:val="003399"/>
        </w:rPr>
        <w:t>Administration</w:t>
      </w:r>
    </w:p>
    <w:p w:rsidR="00A56FE9" w:rsidRDefault="00A56FE9">
      <w:pPr>
        <w:pStyle w:val="Tijeloteksta"/>
        <w:spacing w:before="7"/>
        <w:ind w:left="0"/>
        <w:jc w:val="left"/>
        <w:rPr>
          <w:rFonts w:ascii="Calibri Light"/>
          <w:sz w:val="29"/>
        </w:rPr>
      </w:pPr>
    </w:p>
    <w:p w:rsidR="00A56FE9" w:rsidRDefault="00CC1B9B">
      <w:pPr>
        <w:pStyle w:val="Naslov4"/>
        <w:spacing w:before="1"/>
      </w:pPr>
      <w:r>
        <w:rPr>
          <w:noProof/>
        </w:rPr>
        <mc:AlternateContent>
          <mc:Choice Requires="wps">
            <w:drawing>
              <wp:anchor distT="0" distB="0" distL="114300" distR="114300" simplePos="0" relativeHeight="15756288"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729628960" name="Rectangl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E9DC9" id="Rectangle 263" o:spid="_x0000_s1026" style="position:absolute;margin-left:64.1pt;margin-top:-6.1pt;width:1.45pt;height:27pt;z-index:15756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Decentralisation</w:t>
      </w:r>
      <w:r w:rsidR="00000000">
        <w:rPr>
          <w:color w:val="2C398A"/>
          <w:spacing w:val="-4"/>
        </w:rPr>
        <w:t xml:space="preserve"> </w:t>
      </w:r>
      <w:r w:rsidR="00000000">
        <w:rPr>
          <w:color w:val="2C398A"/>
        </w:rPr>
        <w:t>and rationalisation</w:t>
      </w:r>
    </w:p>
    <w:p w:rsidR="00A56FE9" w:rsidRDefault="00000000">
      <w:pPr>
        <w:spacing w:before="230"/>
        <w:ind w:left="138" w:right="274"/>
        <w:jc w:val="both"/>
        <w:rPr>
          <w:i/>
          <w:sz w:val="24"/>
        </w:rPr>
      </w:pPr>
      <w:r>
        <w:rPr>
          <w:i/>
          <w:color w:val="2C398A"/>
          <w:sz w:val="24"/>
        </w:rPr>
        <w:t>2019.CSR1.1. Reinforce the budgetary framework and monitoring of contingent liabilities at</w:t>
      </w:r>
      <w:r>
        <w:rPr>
          <w:i/>
          <w:color w:val="2C398A"/>
          <w:spacing w:val="1"/>
          <w:sz w:val="24"/>
        </w:rPr>
        <w:t xml:space="preserve"> </w:t>
      </w:r>
      <w:r>
        <w:rPr>
          <w:i/>
          <w:color w:val="2C398A"/>
          <w:sz w:val="24"/>
        </w:rPr>
        <w:t>central</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local</w:t>
      </w:r>
      <w:r>
        <w:rPr>
          <w:i/>
          <w:color w:val="2C398A"/>
          <w:spacing w:val="1"/>
          <w:sz w:val="24"/>
        </w:rPr>
        <w:t xml:space="preserve"> </w:t>
      </w:r>
      <w:r>
        <w:rPr>
          <w:i/>
          <w:color w:val="2C398A"/>
          <w:sz w:val="24"/>
        </w:rPr>
        <w:t>level;</w:t>
      </w:r>
      <w:r>
        <w:rPr>
          <w:i/>
          <w:color w:val="2C398A"/>
          <w:spacing w:val="1"/>
          <w:sz w:val="24"/>
        </w:rPr>
        <w:t xml:space="preserve"> </w:t>
      </w:r>
      <w:r>
        <w:rPr>
          <w:i/>
          <w:color w:val="2C398A"/>
          <w:sz w:val="24"/>
        </w:rPr>
        <w:t>2019.CSR1.2.</w:t>
      </w:r>
      <w:r>
        <w:rPr>
          <w:i/>
          <w:color w:val="2C398A"/>
          <w:spacing w:val="1"/>
          <w:sz w:val="24"/>
        </w:rPr>
        <w:t xml:space="preserve"> </w:t>
      </w:r>
      <w:r>
        <w:rPr>
          <w:i/>
          <w:color w:val="2C398A"/>
          <w:sz w:val="24"/>
        </w:rPr>
        <w:t>Reduce the territorial</w:t>
      </w:r>
      <w:r>
        <w:rPr>
          <w:i/>
          <w:color w:val="2C398A"/>
          <w:spacing w:val="1"/>
          <w:sz w:val="24"/>
        </w:rPr>
        <w:t xml:space="preserve"> </w:t>
      </w:r>
      <w:r>
        <w:rPr>
          <w:i/>
          <w:color w:val="2C398A"/>
          <w:sz w:val="24"/>
        </w:rPr>
        <w:t>fragmentation</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the public</w:t>
      </w:r>
      <w:r>
        <w:rPr>
          <w:i/>
          <w:color w:val="2C398A"/>
          <w:spacing w:val="1"/>
          <w:sz w:val="24"/>
        </w:rPr>
        <w:t xml:space="preserve"> </w:t>
      </w:r>
      <w:r>
        <w:rPr>
          <w:i/>
          <w:color w:val="2C398A"/>
          <w:sz w:val="24"/>
        </w:rPr>
        <w:t>administration</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streamline</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functional</w:t>
      </w:r>
      <w:r>
        <w:rPr>
          <w:i/>
          <w:color w:val="2C398A"/>
          <w:spacing w:val="1"/>
          <w:sz w:val="24"/>
        </w:rPr>
        <w:t xml:space="preserve"> </w:t>
      </w:r>
      <w:r>
        <w:rPr>
          <w:i/>
          <w:color w:val="2C398A"/>
          <w:sz w:val="24"/>
        </w:rPr>
        <w:t>distribution</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competencies;</w:t>
      </w:r>
      <w:r>
        <w:rPr>
          <w:i/>
          <w:color w:val="2C398A"/>
          <w:spacing w:val="1"/>
          <w:sz w:val="24"/>
        </w:rPr>
        <w:t xml:space="preserve"> </w:t>
      </w:r>
      <w:r>
        <w:rPr>
          <w:i/>
          <w:color w:val="2C398A"/>
          <w:sz w:val="24"/>
        </w:rPr>
        <w:t>2020.CSR4.1.</w:t>
      </w:r>
      <w:r>
        <w:rPr>
          <w:i/>
          <w:color w:val="2C398A"/>
          <w:spacing w:val="-57"/>
          <w:sz w:val="24"/>
        </w:rPr>
        <w:t xml:space="preserve"> </w:t>
      </w:r>
      <w:r>
        <w:rPr>
          <w:i/>
          <w:color w:val="2C398A"/>
          <w:sz w:val="24"/>
        </w:rPr>
        <w:t>Reinforce the capacity and efficiency of the public administration to design and implement</w:t>
      </w:r>
      <w:r>
        <w:rPr>
          <w:i/>
          <w:color w:val="2C398A"/>
          <w:spacing w:val="1"/>
          <w:sz w:val="24"/>
        </w:rPr>
        <w:t xml:space="preserve"> </w:t>
      </w:r>
      <w:r>
        <w:rPr>
          <w:i/>
          <w:color w:val="2C398A"/>
          <w:sz w:val="24"/>
        </w:rPr>
        <w:t>public</w:t>
      </w:r>
      <w:r>
        <w:rPr>
          <w:i/>
          <w:color w:val="2C398A"/>
          <w:spacing w:val="-2"/>
          <w:sz w:val="24"/>
        </w:rPr>
        <w:t xml:space="preserve"> </w:t>
      </w:r>
      <w:r>
        <w:rPr>
          <w:i/>
          <w:color w:val="2C398A"/>
          <w:sz w:val="24"/>
        </w:rPr>
        <w:t>projects and policies at central and local levels</w:t>
      </w:r>
    </w:p>
    <w:p w:rsidR="00A56FE9" w:rsidRDefault="00A56FE9">
      <w:pPr>
        <w:pStyle w:val="Tijeloteksta"/>
        <w:spacing w:before="4"/>
        <w:ind w:left="0"/>
        <w:jc w:val="left"/>
        <w:rPr>
          <w:i/>
          <w:sz w:val="21"/>
        </w:rPr>
      </w:pPr>
    </w:p>
    <w:p w:rsidR="00A56FE9" w:rsidRDefault="00000000">
      <w:pPr>
        <w:pStyle w:val="Naslov5"/>
        <w:spacing w:after="23"/>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871079247"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6221296" name="Rectangle 262"/>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29AD242" id="Group 261"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">
                <v:rect id="Rectangle 262"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" fillcolor="#2c398a" stroked="f"/>
                <w10:anchorlock/>
              </v:group>
            </w:pict>
          </mc:Fallback>
        </mc:AlternateContent>
      </w:r>
    </w:p>
    <w:p w:rsidR="00A56FE9" w:rsidRDefault="00000000">
      <w:pPr>
        <w:pStyle w:val="Tijeloteksta"/>
        <w:spacing w:before="154"/>
        <w:ind w:right="277"/>
      </w:pPr>
      <w:r>
        <w:t>The</w:t>
      </w:r>
      <w:r>
        <w:rPr>
          <w:spacing w:val="-7"/>
        </w:rPr>
        <w:t xml:space="preserve"> </w:t>
      </w:r>
      <w:r>
        <w:t>Budget</w:t>
      </w:r>
      <w:r>
        <w:rPr>
          <w:spacing w:val="-7"/>
        </w:rPr>
        <w:t xml:space="preserve"> </w:t>
      </w:r>
      <w:r>
        <w:t>Execution</w:t>
      </w:r>
      <w:r>
        <w:rPr>
          <w:spacing w:val="-9"/>
        </w:rPr>
        <w:t xml:space="preserve"> </w:t>
      </w:r>
      <w:r>
        <w:t>Act</w:t>
      </w:r>
      <w:r>
        <w:rPr>
          <w:spacing w:val="-7"/>
        </w:rPr>
        <w:t xml:space="preserve"> </w:t>
      </w:r>
      <w:r>
        <w:t>of</w:t>
      </w:r>
      <w:r>
        <w:rPr>
          <w:spacing w:val="-9"/>
        </w:rPr>
        <w:t xml:space="preserve"> </w:t>
      </w:r>
      <w:r>
        <w:t>the</w:t>
      </w:r>
      <w:r>
        <w:rPr>
          <w:spacing w:val="-6"/>
        </w:rPr>
        <w:t xml:space="preserve"> </w:t>
      </w:r>
      <w:r>
        <w:t>Republic</w:t>
      </w:r>
      <w:r>
        <w:rPr>
          <w:spacing w:val="-10"/>
        </w:rPr>
        <w:t xml:space="preserve"> </w:t>
      </w:r>
      <w:r>
        <w:t>of</w:t>
      </w:r>
      <w:r>
        <w:rPr>
          <w:spacing w:val="-8"/>
        </w:rPr>
        <w:t xml:space="preserve"> </w:t>
      </w:r>
      <w:r>
        <w:t>Croatia</w:t>
      </w:r>
      <w:r>
        <w:rPr>
          <w:spacing w:val="-10"/>
        </w:rPr>
        <w:t xml:space="preserve"> </w:t>
      </w:r>
      <w:r>
        <w:t>for</w:t>
      </w:r>
      <w:r>
        <w:rPr>
          <w:spacing w:val="-7"/>
        </w:rPr>
        <w:t xml:space="preserve"> </w:t>
      </w:r>
      <w:r>
        <w:t>2022</w:t>
      </w:r>
      <w:r>
        <w:rPr>
          <w:spacing w:val="-9"/>
        </w:rPr>
        <w:t xml:space="preserve"> </w:t>
      </w:r>
      <w:r>
        <w:t>introduces</w:t>
      </w:r>
      <w:r>
        <w:rPr>
          <w:spacing w:val="-5"/>
        </w:rPr>
        <w:t xml:space="preserve"> </w:t>
      </w:r>
      <w:r>
        <w:t>a</w:t>
      </w:r>
      <w:r>
        <w:rPr>
          <w:spacing w:val="-7"/>
        </w:rPr>
        <w:t xml:space="preserve"> </w:t>
      </w:r>
      <w:r>
        <w:t>financial</w:t>
      </w:r>
      <w:r>
        <w:rPr>
          <w:spacing w:val="-6"/>
        </w:rPr>
        <w:t xml:space="preserve"> </w:t>
      </w:r>
      <w:r>
        <w:t>assistance</w:t>
      </w:r>
      <w:r>
        <w:rPr>
          <w:spacing w:val="-58"/>
        </w:rPr>
        <w:t xml:space="preserve"> </w:t>
      </w:r>
      <w:r>
        <w:t>mechanism</w:t>
      </w:r>
      <w:r>
        <w:rPr>
          <w:spacing w:val="-5"/>
        </w:rPr>
        <w:t xml:space="preserve"> </w:t>
      </w:r>
      <w:r>
        <w:t>for</w:t>
      </w:r>
      <w:r>
        <w:rPr>
          <w:spacing w:val="-8"/>
        </w:rPr>
        <w:t xml:space="preserve"> </w:t>
      </w:r>
      <w:r>
        <w:t>incentivising</w:t>
      </w:r>
      <w:r>
        <w:rPr>
          <w:spacing w:val="-9"/>
        </w:rPr>
        <w:t xml:space="preserve"> </w:t>
      </w:r>
      <w:r>
        <w:t>functional</w:t>
      </w:r>
      <w:r>
        <w:rPr>
          <w:spacing w:val="-6"/>
        </w:rPr>
        <w:t xml:space="preserve"> </w:t>
      </w:r>
      <w:r>
        <w:t>and</w:t>
      </w:r>
      <w:r>
        <w:rPr>
          <w:spacing w:val="-6"/>
        </w:rPr>
        <w:t xml:space="preserve"> </w:t>
      </w:r>
      <w:r>
        <w:t>real</w:t>
      </w:r>
      <w:r>
        <w:rPr>
          <w:spacing w:val="-6"/>
        </w:rPr>
        <w:t xml:space="preserve"> </w:t>
      </w:r>
      <w:r>
        <w:t>mergers.</w:t>
      </w:r>
      <w:r>
        <w:rPr>
          <w:spacing w:val="-3"/>
        </w:rPr>
        <w:t xml:space="preserve"> </w:t>
      </w:r>
      <w:r>
        <w:t>Adequate</w:t>
      </w:r>
      <w:r>
        <w:rPr>
          <w:spacing w:val="-7"/>
        </w:rPr>
        <w:t xml:space="preserve"> </w:t>
      </w:r>
      <w:r>
        <w:t>funds</w:t>
      </w:r>
      <w:r>
        <w:rPr>
          <w:spacing w:val="-7"/>
        </w:rPr>
        <w:t xml:space="preserve"> </w:t>
      </w:r>
      <w:r>
        <w:t>have</w:t>
      </w:r>
      <w:r>
        <w:rPr>
          <w:spacing w:val="-7"/>
        </w:rPr>
        <w:t xml:space="preserve"> </w:t>
      </w:r>
      <w:r>
        <w:t>been</w:t>
      </w:r>
      <w:r>
        <w:rPr>
          <w:spacing w:val="-6"/>
        </w:rPr>
        <w:t xml:space="preserve"> </w:t>
      </w:r>
      <w:r>
        <w:t>secured</w:t>
      </w:r>
      <w:r>
        <w:rPr>
          <w:spacing w:val="-6"/>
        </w:rPr>
        <w:t xml:space="preserve"> </w:t>
      </w:r>
      <w:r>
        <w:t>in</w:t>
      </w:r>
      <w:r>
        <w:rPr>
          <w:spacing w:val="-57"/>
        </w:rPr>
        <w:t xml:space="preserve"> </w:t>
      </w:r>
      <w:r>
        <w:t>the state budget to incentivise such mergers financially, and Government’s Decision will</w:t>
      </w:r>
      <w:r>
        <w:rPr>
          <w:spacing w:val="1"/>
        </w:rPr>
        <w:t xml:space="preserve"> </w:t>
      </w:r>
      <w:r>
        <w:t>stipulate</w:t>
      </w:r>
      <w:r>
        <w:rPr>
          <w:spacing w:val="-12"/>
        </w:rPr>
        <w:t xml:space="preserve"> </w:t>
      </w:r>
      <w:r>
        <w:t>the</w:t>
      </w:r>
      <w:r>
        <w:rPr>
          <w:spacing w:val="-11"/>
        </w:rPr>
        <w:t xml:space="preserve"> </w:t>
      </w:r>
      <w:r>
        <w:t>criteria</w:t>
      </w:r>
      <w:r>
        <w:rPr>
          <w:spacing w:val="-10"/>
        </w:rPr>
        <w:t xml:space="preserve"> </w:t>
      </w:r>
      <w:r>
        <w:t>and</w:t>
      </w:r>
      <w:r>
        <w:rPr>
          <w:spacing w:val="-11"/>
        </w:rPr>
        <w:t xml:space="preserve"> </w:t>
      </w:r>
      <w:r>
        <w:t>level</w:t>
      </w:r>
      <w:r>
        <w:rPr>
          <w:spacing w:val="-11"/>
        </w:rPr>
        <w:t xml:space="preserve"> </w:t>
      </w:r>
      <w:r>
        <w:t>of</w:t>
      </w:r>
      <w:r>
        <w:rPr>
          <w:spacing w:val="-12"/>
        </w:rPr>
        <w:t xml:space="preserve"> </w:t>
      </w:r>
      <w:r>
        <w:t>incentives</w:t>
      </w:r>
      <w:r>
        <w:rPr>
          <w:spacing w:val="-10"/>
        </w:rPr>
        <w:t xml:space="preserve"> </w:t>
      </w:r>
      <w:r>
        <w:t>along</w:t>
      </w:r>
      <w:r>
        <w:rPr>
          <w:spacing w:val="-11"/>
        </w:rPr>
        <w:t xml:space="preserve"> </w:t>
      </w:r>
      <w:r>
        <w:t>with</w:t>
      </w:r>
      <w:r>
        <w:rPr>
          <w:spacing w:val="-11"/>
        </w:rPr>
        <w:t xml:space="preserve"> </w:t>
      </w:r>
      <w:r>
        <w:t>greater</w:t>
      </w:r>
      <w:r>
        <w:rPr>
          <w:spacing w:val="-10"/>
        </w:rPr>
        <w:t xml:space="preserve"> </w:t>
      </w:r>
      <w:r>
        <w:t>fiscal</w:t>
      </w:r>
      <w:r>
        <w:rPr>
          <w:spacing w:val="-11"/>
        </w:rPr>
        <w:t xml:space="preserve"> </w:t>
      </w:r>
      <w:r>
        <w:t>incentives</w:t>
      </w:r>
      <w:r>
        <w:rPr>
          <w:spacing w:val="-11"/>
        </w:rPr>
        <w:t xml:space="preserve"> </w:t>
      </w:r>
      <w:r>
        <w:t>for</w:t>
      </w:r>
      <w:r>
        <w:rPr>
          <w:spacing w:val="-12"/>
        </w:rPr>
        <w:t xml:space="preserve"> </w:t>
      </w:r>
      <w:r>
        <w:t>real</w:t>
      </w:r>
      <w:r>
        <w:rPr>
          <w:spacing w:val="-11"/>
        </w:rPr>
        <w:t xml:space="preserve"> </w:t>
      </w:r>
      <w:r>
        <w:t>mergers,</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83"/>
      </w:pPr>
      <w:r>
        <w:t>while incentives for functional mergers will depend on the number and type of functions</w:t>
      </w:r>
      <w:r>
        <w:rPr>
          <w:spacing w:val="1"/>
        </w:rPr>
        <w:t xml:space="preserve"> </w:t>
      </w:r>
      <w:r>
        <w:t>planned</w:t>
      </w:r>
      <w:r>
        <w:rPr>
          <w:spacing w:val="-1"/>
        </w:rPr>
        <w:t xml:space="preserve"> </w:t>
      </w:r>
      <w:r>
        <w:t>for</w:t>
      </w:r>
      <w:r>
        <w:rPr>
          <w:spacing w:val="-2"/>
        </w:rPr>
        <w:t xml:space="preserve"> </w:t>
      </w:r>
      <w:r>
        <w:t>the mergers.</w:t>
      </w:r>
    </w:p>
    <w:p w:rsidR="00A56FE9" w:rsidRDefault="00000000">
      <w:pPr>
        <w:pStyle w:val="Tijeloteksta"/>
        <w:spacing w:before="120"/>
        <w:ind w:right="273"/>
      </w:pPr>
      <w:r>
        <w:t>The aim of reducing territorial fragmentation and simplifying the distribution of territorial</w:t>
      </w:r>
      <w:r>
        <w:rPr>
          <w:spacing w:val="1"/>
        </w:rPr>
        <w:t xml:space="preserve"> </w:t>
      </w:r>
      <w:r>
        <w:t>responsibility in 2020 involves implementing reform is to implement measures in entrusting</w:t>
      </w:r>
      <w:r>
        <w:rPr>
          <w:spacing w:val="1"/>
        </w:rPr>
        <w:t xml:space="preserve"> </w:t>
      </w:r>
      <w:r>
        <w:t>activities</w:t>
      </w:r>
      <w:r>
        <w:rPr>
          <w:spacing w:val="1"/>
        </w:rPr>
        <w:t xml:space="preserve"> </w:t>
      </w:r>
      <w:r>
        <w:t>from</w:t>
      </w:r>
      <w:r>
        <w:rPr>
          <w:spacing w:val="1"/>
        </w:rPr>
        <w:t xml:space="preserve"> </w:t>
      </w:r>
      <w:r>
        <w:t>state</w:t>
      </w:r>
      <w:r>
        <w:rPr>
          <w:spacing w:val="1"/>
        </w:rPr>
        <w:t xml:space="preserve"> </w:t>
      </w:r>
      <w:r>
        <w:t>administration</w:t>
      </w:r>
      <w:r>
        <w:rPr>
          <w:spacing w:val="1"/>
        </w:rPr>
        <w:t xml:space="preserve"> </w:t>
      </w:r>
      <w:r>
        <w:t>to</w:t>
      </w:r>
      <w:r>
        <w:rPr>
          <w:spacing w:val="1"/>
        </w:rPr>
        <w:t xml:space="preserve"> </w:t>
      </w:r>
      <w:r>
        <w:t>the</w:t>
      </w:r>
      <w:r>
        <w:rPr>
          <w:spacing w:val="1"/>
        </w:rPr>
        <w:t xml:space="preserve"> </w:t>
      </w:r>
      <w:r>
        <w:t>counties.</w:t>
      </w:r>
      <w:r>
        <w:rPr>
          <w:spacing w:val="1"/>
        </w:rPr>
        <w:t xml:space="preserve"> </w:t>
      </w:r>
      <w:r>
        <w:t>The</w:t>
      </w:r>
      <w:r>
        <w:rPr>
          <w:spacing w:val="1"/>
        </w:rPr>
        <w:t xml:space="preserve"> </w:t>
      </w:r>
      <w:r>
        <w:t>measure</w:t>
      </w:r>
      <w:r>
        <w:rPr>
          <w:spacing w:val="1"/>
        </w:rPr>
        <w:t xml:space="preserve"> </w:t>
      </w:r>
      <w:r>
        <w:t>contributed</w:t>
      </w:r>
      <w:r>
        <w:rPr>
          <w:spacing w:val="1"/>
        </w:rPr>
        <w:t xml:space="preserve"> </w:t>
      </w:r>
      <w:r>
        <w:t>to</w:t>
      </w:r>
      <w:r>
        <w:rPr>
          <w:spacing w:val="1"/>
        </w:rPr>
        <w:t xml:space="preserve"> </w:t>
      </w:r>
      <w:r>
        <w:t>further</w:t>
      </w:r>
      <w:r>
        <w:rPr>
          <w:spacing w:val="1"/>
        </w:rPr>
        <w:t xml:space="preserve"> </w:t>
      </w:r>
      <w:r>
        <w:t>decentralising the undertaking of state administration activities. A total of 64 particular laws</w:t>
      </w:r>
      <w:r>
        <w:rPr>
          <w:spacing w:val="1"/>
        </w:rPr>
        <w:t xml:space="preserve"> </w:t>
      </w:r>
      <w:r>
        <w:t>were</w:t>
      </w:r>
      <w:r>
        <w:rPr>
          <w:spacing w:val="-8"/>
        </w:rPr>
        <w:t xml:space="preserve"> </w:t>
      </w:r>
      <w:r>
        <w:t>amended</w:t>
      </w:r>
      <w:r>
        <w:rPr>
          <w:spacing w:val="-8"/>
        </w:rPr>
        <w:t xml:space="preserve"> </w:t>
      </w:r>
      <w:r>
        <w:t>where</w:t>
      </w:r>
      <w:r>
        <w:rPr>
          <w:spacing w:val="-8"/>
        </w:rPr>
        <w:t xml:space="preserve"> </w:t>
      </w:r>
      <w:r>
        <w:t>certain</w:t>
      </w:r>
      <w:r>
        <w:rPr>
          <w:spacing w:val="-7"/>
        </w:rPr>
        <w:t xml:space="preserve"> </w:t>
      </w:r>
      <w:r>
        <w:t>state</w:t>
      </w:r>
      <w:r>
        <w:rPr>
          <w:spacing w:val="-7"/>
        </w:rPr>
        <w:t xml:space="preserve"> </w:t>
      </w:r>
      <w:r>
        <w:t>administration</w:t>
      </w:r>
      <w:r>
        <w:rPr>
          <w:spacing w:val="-8"/>
        </w:rPr>
        <w:t xml:space="preserve"> </w:t>
      </w:r>
      <w:r>
        <w:t>activities</w:t>
      </w:r>
      <w:r>
        <w:rPr>
          <w:spacing w:val="-8"/>
        </w:rPr>
        <w:t xml:space="preserve"> </w:t>
      </w:r>
      <w:r>
        <w:t>from</w:t>
      </w:r>
      <w:r>
        <w:rPr>
          <w:spacing w:val="-8"/>
        </w:rPr>
        <w:t xml:space="preserve"> </w:t>
      </w:r>
      <w:r>
        <w:t>1</w:t>
      </w:r>
      <w:r>
        <w:rPr>
          <w:spacing w:val="-8"/>
        </w:rPr>
        <w:t xml:space="preserve"> </w:t>
      </w:r>
      <w:r>
        <w:t>January</w:t>
      </w:r>
      <w:r>
        <w:rPr>
          <w:spacing w:val="-11"/>
        </w:rPr>
        <w:t xml:space="preserve"> </w:t>
      </w:r>
      <w:r>
        <w:t>2020</w:t>
      </w:r>
      <w:r>
        <w:rPr>
          <w:spacing w:val="-8"/>
        </w:rPr>
        <w:t xml:space="preserve"> </w:t>
      </w:r>
      <w:r>
        <w:t>were</w:t>
      </w:r>
      <w:r>
        <w:rPr>
          <w:spacing w:val="-7"/>
        </w:rPr>
        <w:t xml:space="preserve"> </w:t>
      </w:r>
      <w:r>
        <w:t>entrusted</w:t>
      </w:r>
      <w:r>
        <w:rPr>
          <w:spacing w:val="-57"/>
        </w:rPr>
        <w:t xml:space="preserve"> </w:t>
      </w:r>
      <w:r>
        <w:t>to counties. From that date, state administration offices within the counties ceased to operate.</w:t>
      </w:r>
      <w:r>
        <w:rPr>
          <w:spacing w:val="1"/>
        </w:rPr>
        <w:t xml:space="preserve"> </w:t>
      </w:r>
      <w:r>
        <w:t>This measure was a step toward setting up an effective, quick and quality system to assist</w:t>
      </w:r>
      <w:r>
        <w:rPr>
          <w:spacing w:val="1"/>
        </w:rPr>
        <w:t xml:space="preserve"> </w:t>
      </w:r>
      <w:r>
        <w:t>citizens</w:t>
      </w:r>
      <w:r>
        <w:rPr>
          <w:spacing w:val="1"/>
        </w:rPr>
        <w:t xml:space="preserve"> </w:t>
      </w:r>
      <w:r>
        <w:t>in</w:t>
      </w:r>
      <w:r>
        <w:rPr>
          <w:spacing w:val="1"/>
        </w:rPr>
        <w:t xml:space="preserve"> </w:t>
      </w:r>
      <w:r>
        <w:t>achieving</w:t>
      </w:r>
      <w:r>
        <w:rPr>
          <w:spacing w:val="1"/>
        </w:rPr>
        <w:t xml:space="preserve"> </w:t>
      </w:r>
      <w:r>
        <w:t>their</w:t>
      </w:r>
      <w:r>
        <w:rPr>
          <w:spacing w:val="1"/>
        </w:rPr>
        <w:t xml:space="preserve"> </w:t>
      </w:r>
      <w:r>
        <w:t>rights</w:t>
      </w:r>
      <w:r>
        <w:rPr>
          <w:spacing w:val="1"/>
        </w:rPr>
        <w:t xml:space="preserve"> </w:t>
      </w:r>
      <w:r>
        <w:t>more</w:t>
      </w:r>
      <w:r>
        <w:rPr>
          <w:spacing w:val="1"/>
        </w:rPr>
        <w:t xml:space="preserve"> </w:t>
      </w:r>
      <w:r>
        <w:t>easily</w:t>
      </w:r>
      <w:r>
        <w:rPr>
          <w:spacing w:val="1"/>
        </w:rPr>
        <w:t xml:space="preserve"> </w:t>
      </w:r>
      <w:r>
        <w:t>while</w:t>
      </w:r>
      <w:r>
        <w:rPr>
          <w:spacing w:val="1"/>
        </w:rPr>
        <w:t xml:space="preserve"> </w:t>
      </w:r>
      <w:r>
        <w:t>offering</w:t>
      </w:r>
      <w:r>
        <w:rPr>
          <w:spacing w:val="1"/>
        </w:rPr>
        <w:t xml:space="preserve"> </w:t>
      </w:r>
      <w:r>
        <w:t>public</w:t>
      </w:r>
      <w:r>
        <w:rPr>
          <w:spacing w:val="1"/>
        </w:rPr>
        <w:t xml:space="preserve"> </w:t>
      </w:r>
      <w:r>
        <w:t>services</w:t>
      </w:r>
      <w:r>
        <w:rPr>
          <w:spacing w:val="1"/>
        </w:rPr>
        <w:t xml:space="preserve"> </w:t>
      </w:r>
      <w:r>
        <w:t>in</w:t>
      </w:r>
      <w:r>
        <w:rPr>
          <w:spacing w:val="1"/>
        </w:rPr>
        <w:t xml:space="preserve"> </w:t>
      </w:r>
      <w:r>
        <w:t>a</w:t>
      </w:r>
      <w:r>
        <w:rPr>
          <w:spacing w:val="1"/>
        </w:rPr>
        <w:t xml:space="preserve"> </w:t>
      </w:r>
      <w:r>
        <w:t>more</w:t>
      </w:r>
      <w:r>
        <w:rPr>
          <w:spacing w:val="1"/>
        </w:rPr>
        <w:t xml:space="preserve"> </w:t>
      </w:r>
      <w:r>
        <w:t>straightforward and more accessible manner. Responsibility for various activities, such as</w:t>
      </w:r>
      <w:r>
        <w:rPr>
          <w:spacing w:val="1"/>
        </w:rPr>
        <w:t xml:space="preserve"> </w:t>
      </w:r>
      <w:r>
        <w:t>requests for defining minimal technical conditions (for business premises), expropriations,</w:t>
      </w:r>
      <w:r>
        <w:rPr>
          <w:spacing w:val="1"/>
        </w:rPr>
        <w:t xml:space="preserve"> </w:t>
      </w:r>
      <w:r>
        <w:t>approvals and excerpts from numerous registries, have been ceded to the counties. County</w:t>
      </w:r>
      <w:r>
        <w:rPr>
          <w:spacing w:val="1"/>
        </w:rPr>
        <w:t xml:space="preserve"> </w:t>
      </w:r>
      <w:r>
        <w:t>administration bodies will no longer seek from citizens documents that can be found in their</w:t>
      </w:r>
      <w:r>
        <w:rPr>
          <w:spacing w:val="1"/>
        </w:rPr>
        <w:t xml:space="preserve"> </w:t>
      </w:r>
      <w:r>
        <w:t>registries. This provides significant cost savings while assisting citizens in exercising their</w:t>
      </w:r>
      <w:r>
        <w:rPr>
          <w:spacing w:val="1"/>
        </w:rPr>
        <w:t xml:space="preserve"> </w:t>
      </w:r>
      <w:r>
        <w:t>rights.</w:t>
      </w:r>
    </w:p>
    <w:p w:rsidR="00A56FE9" w:rsidRDefault="00000000">
      <w:pPr>
        <w:pStyle w:val="Tijeloteksta"/>
        <w:spacing w:before="121"/>
        <w:ind w:right="269"/>
      </w:pPr>
      <w:r>
        <w:t>To reduce and rationalise the costs of local and regional self-government, the number of local</w:t>
      </w:r>
      <w:r>
        <w:rPr>
          <w:spacing w:val="1"/>
        </w:rPr>
        <w:t xml:space="preserve"> </w:t>
      </w:r>
      <w:r>
        <w:t>officials was revised based on the adoption of the Act on Amendments to the Local and</w:t>
      </w:r>
      <w:r>
        <w:rPr>
          <w:spacing w:val="1"/>
        </w:rPr>
        <w:t xml:space="preserve"> </w:t>
      </w:r>
      <w:r>
        <w:t>Regional</w:t>
      </w:r>
      <w:r>
        <w:rPr>
          <w:spacing w:val="-9"/>
        </w:rPr>
        <w:t xml:space="preserve"> </w:t>
      </w:r>
      <w:r>
        <w:t>Self-Government</w:t>
      </w:r>
      <w:r>
        <w:rPr>
          <w:spacing w:val="-7"/>
        </w:rPr>
        <w:t xml:space="preserve"> </w:t>
      </w:r>
      <w:r>
        <w:t>Act</w:t>
      </w:r>
      <w:r>
        <w:rPr>
          <w:spacing w:val="-7"/>
        </w:rPr>
        <w:t xml:space="preserve"> </w:t>
      </w:r>
      <w:r>
        <w:t>in</w:t>
      </w:r>
      <w:r>
        <w:rPr>
          <w:spacing w:val="-8"/>
        </w:rPr>
        <w:t xml:space="preserve"> </w:t>
      </w:r>
      <w:r>
        <w:t>December</w:t>
      </w:r>
      <w:r>
        <w:rPr>
          <w:spacing w:val="-9"/>
        </w:rPr>
        <w:t xml:space="preserve"> </w:t>
      </w:r>
      <w:r>
        <w:t>2020.</w:t>
      </w:r>
      <w:r>
        <w:rPr>
          <w:spacing w:val="-8"/>
        </w:rPr>
        <w:t xml:space="preserve"> </w:t>
      </w:r>
      <w:r>
        <w:t>At</w:t>
      </w:r>
      <w:r>
        <w:rPr>
          <w:spacing w:val="-9"/>
        </w:rPr>
        <w:t xml:space="preserve"> </w:t>
      </w:r>
      <w:r>
        <w:t>the</w:t>
      </w:r>
      <w:r>
        <w:rPr>
          <w:spacing w:val="-8"/>
        </w:rPr>
        <w:t xml:space="preserve"> </w:t>
      </w:r>
      <w:r>
        <w:t>local</w:t>
      </w:r>
      <w:r>
        <w:rPr>
          <w:spacing w:val="-5"/>
        </w:rPr>
        <w:t xml:space="preserve"> </w:t>
      </w:r>
      <w:r>
        <w:t>elections</w:t>
      </w:r>
      <w:r>
        <w:rPr>
          <w:spacing w:val="-7"/>
        </w:rPr>
        <w:t xml:space="preserve"> </w:t>
      </w:r>
      <w:r>
        <w:t>held</w:t>
      </w:r>
      <w:r>
        <w:rPr>
          <w:spacing w:val="-8"/>
        </w:rPr>
        <w:t xml:space="preserve"> </w:t>
      </w:r>
      <w:r>
        <w:t>in</w:t>
      </w:r>
      <w:r>
        <w:rPr>
          <w:spacing w:val="-7"/>
        </w:rPr>
        <w:t xml:space="preserve"> </w:t>
      </w:r>
      <w:r>
        <w:t>May</w:t>
      </w:r>
      <w:r>
        <w:rPr>
          <w:spacing w:val="-12"/>
        </w:rPr>
        <w:t xml:space="preserve"> </w:t>
      </w:r>
      <w:r>
        <w:t>2021,</w:t>
      </w:r>
      <w:r>
        <w:rPr>
          <w:spacing w:val="-7"/>
        </w:rPr>
        <w:t xml:space="preserve"> </w:t>
      </w:r>
      <w:r>
        <w:t>the</w:t>
      </w:r>
      <w:r>
        <w:rPr>
          <w:spacing w:val="-57"/>
        </w:rPr>
        <w:t xml:space="preserve"> </w:t>
      </w:r>
      <w:r>
        <w:t>total number of deputies was 568 less than the previous 671 deputies, and 103 deputies for</w:t>
      </w:r>
      <w:r>
        <w:rPr>
          <w:spacing w:val="1"/>
        </w:rPr>
        <w:t xml:space="preserve"> </w:t>
      </w:r>
      <w:r>
        <w:t>municipal heads, town mayors, and county prefects were elected. Moreover, the number of</w:t>
      </w:r>
      <w:r>
        <w:rPr>
          <w:spacing w:val="1"/>
        </w:rPr>
        <w:t xml:space="preserve"> </w:t>
      </w:r>
      <w:r>
        <w:t>members in representative bodies was reduced, i.e., 870 fewer councillors were elected; hence</w:t>
      </w:r>
      <w:r>
        <w:rPr>
          <w:spacing w:val="-57"/>
        </w:rPr>
        <w:t xml:space="preserve"> </w:t>
      </w:r>
      <w:r>
        <w:t>instead</w:t>
      </w:r>
      <w:r>
        <w:rPr>
          <w:spacing w:val="-5"/>
        </w:rPr>
        <w:t xml:space="preserve"> </w:t>
      </w:r>
      <w:r>
        <w:t>of</w:t>
      </w:r>
      <w:r>
        <w:rPr>
          <w:spacing w:val="-6"/>
        </w:rPr>
        <w:t xml:space="preserve"> </w:t>
      </w:r>
      <w:r>
        <w:t>the</w:t>
      </w:r>
      <w:r>
        <w:rPr>
          <w:spacing w:val="-6"/>
        </w:rPr>
        <w:t xml:space="preserve"> </w:t>
      </w:r>
      <w:r>
        <w:t>previous</w:t>
      </w:r>
      <w:r>
        <w:rPr>
          <w:spacing w:val="-4"/>
        </w:rPr>
        <w:t xml:space="preserve"> </w:t>
      </w:r>
      <w:r>
        <w:t>8,254,</w:t>
      </w:r>
      <w:r>
        <w:rPr>
          <w:spacing w:val="-5"/>
        </w:rPr>
        <w:t xml:space="preserve"> </w:t>
      </w:r>
      <w:r>
        <w:t>a</w:t>
      </w:r>
      <w:r>
        <w:rPr>
          <w:spacing w:val="-6"/>
        </w:rPr>
        <w:t xml:space="preserve"> </w:t>
      </w:r>
      <w:r>
        <w:t>total</w:t>
      </w:r>
      <w:r>
        <w:rPr>
          <w:spacing w:val="-4"/>
        </w:rPr>
        <w:t xml:space="preserve"> </w:t>
      </w:r>
      <w:r>
        <w:t>of</w:t>
      </w:r>
      <w:r>
        <w:rPr>
          <w:spacing w:val="-6"/>
        </w:rPr>
        <w:t xml:space="preserve"> </w:t>
      </w:r>
      <w:r>
        <w:t>7,384</w:t>
      </w:r>
      <w:r>
        <w:rPr>
          <w:spacing w:val="-5"/>
        </w:rPr>
        <w:t xml:space="preserve"> </w:t>
      </w:r>
      <w:r>
        <w:t>members</w:t>
      </w:r>
      <w:r>
        <w:rPr>
          <w:spacing w:val="-5"/>
        </w:rPr>
        <w:t xml:space="preserve"> </w:t>
      </w:r>
      <w:r>
        <w:t>to</w:t>
      </w:r>
      <w:r>
        <w:rPr>
          <w:spacing w:val="-5"/>
        </w:rPr>
        <w:t xml:space="preserve"> </w:t>
      </w:r>
      <w:r>
        <w:t>municipal,</w:t>
      </w:r>
      <w:r>
        <w:rPr>
          <w:spacing w:val="-5"/>
        </w:rPr>
        <w:t xml:space="preserve"> </w:t>
      </w:r>
      <w:r>
        <w:t>town</w:t>
      </w:r>
      <w:r>
        <w:rPr>
          <w:spacing w:val="-4"/>
        </w:rPr>
        <w:t xml:space="preserve"> </w:t>
      </w:r>
      <w:r>
        <w:t>councils</w:t>
      </w:r>
      <w:r>
        <w:rPr>
          <w:spacing w:val="-5"/>
        </w:rPr>
        <w:t xml:space="preserve"> </w:t>
      </w:r>
      <w:r>
        <w:t>and</w:t>
      </w:r>
      <w:r>
        <w:rPr>
          <w:spacing w:val="-5"/>
        </w:rPr>
        <w:t xml:space="preserve"> </w:t>
      </w:r>
      <w:r>
        <w:t>county</w:t>
      </w:r>
      <w:r>
        <w:rPr>
          <w:spacing w:val="-57"/>
        </w:rPr>
        <w:t xml:space="preserve"> </w:t>
      </w:r>
      <w:r>
        <w:t>assemblies</w:t>
      </w:r>
      <w:r>
        <w:rPr>
          <w:spacing w:val="-1"/>
        </w:rPr>
        <w:t xml:space="preserve"> </w:t>
      </w:r>
      <w:r>
        <w:t>were</w:t>
      </w:r>
      <w:r>
        <w:rPr>
          <w:spacing w:val="-1"/>
        </w:rPr>
        <w:t xml:space="preserve"> </w:t>
      </w:r>
      <w:r>
        <w:t>elected.</w:t>
      </w:r>
    </w:p>
    <w:p w:rsidR="00A56FE9" w:rsidRDefault="00000000">
      <w:pPr>
        <w:pStyle w:val="Tijeloteksta"/>
        <w:spacing w:before="121"/>
        <w:ind w:right="278"/>
      </w:pPr>
      <w:r>
        <w:t>The same goal is used to implement the ESF project Optimisation of the Local and Regional</w:t>
      </w:r>
      <w:r>
        <w:rPr>
          <w:spacing w:val="1"/>
        </w:rPr>
        <w:t xml:space="preserve"> </w:t>
      </w:r>
      <w:r>
        <w:t>Self-Government System. The Project will facilitate a more effective undertaking of activities</w:t>
      </w:r>
      <w:r>
        <w:rPr>
          <w:spacing w:val="1"/>
        </w:rPr>
        <w:t xml:space="preserve"> </w:t>
      </w:r>
      <w:r>
        <w:t>within the scope of LRSGUs, eventually increasing the quality of public services. Also, to</w:t>
      </w:r>
      <w:r>
        <w:rPr>
          <w:spacing w:val="1"/>
        </w:rPr>
        <w:t xml:space="preserve"> </w:t>
      </w:r>
      <w:r>
        <w:t>improve the quality management system in public administration, the ESF project is currently</w:t>
      </w:r>
      <w:r>
        <w:rPr>
          <w:spacing w:val="1"/>
        </w:rPr>
        <w:t xml:space="preserve"> </w:t>
      </w:r>
      <w:r>
        <w:t>being</w:t>
      </w:r>
      <w:r>
        <w:rPr>
          <w:spacing w:val="1"/>
        </w:rPr>
        <w:t xml:space="preserve"> </w:t>
      </w:r>
      <w:r>
        <w:t>undertaken,</w:t>
      </w:r>
      <w:r>
        <w:rPr>
          <w:spacing w:val="1"/>
        </w:rPr>
        <w:t xml:space="preserve"> </w:t>
      </w:r>
      <w:r>
        <w:t>where</w:t>
      </w:r>
      <w:r>
        <w:rPr>
          <w:spacing w:val="1"/>
        </w:rPr>
        <w:t xml:space="preserve"> </w:t>
      </w:r>
      <w:r>
        <w:t>15%</w:t>
      </w:r>
      <w:r>
        <w:rPr>
          <w:spacing w:val="1"/>
        </w:rPr>
        <w:t xml:space="preserve"> </w:t>
      </w:r>
      <w:r>
        <w:t>of</w:t>
      </w:r>
      <w:r>
        <w:rPr>
          <w:spacing w:val="1"/>
        </w:rPr>
        <w:t xml:space="preserve"> </w:t>
      </w:r>
      <w:r>
        <w:t>LRSGUs,</w:t>
      </w:r>
      <w:r>
        <w:rPr>
          <w:spacing w:val="1"/>
        </w:rPr>
        <w:t xml:space="preserve"> </w:t>
      </w:r>
      <w:r>
        <w:t>i.e.,</w:t>
      </w:r>
      <w:r>
        <w:rPr>
          <w:spacing w:val="1"/>
        </w:rPr>
        <w:t xml:space="preserve"> </w:t>
      </w:r>
      <w:r>
        <w:t>118</w:t>
      </w:r>
      <w:r>
        <w:rPr>
          <w:spacing w:val="1"/>
        </w:rPr>
        <w:t xml:space="preserve"> </w:t>
      </w:r>
      <w:r>
        <w:t>public</w:t>
      </w:r>
      <w:r>
        <w:rPr>
          <w:spacing w:val="1"/>
        </w:rPr>
        <w:t xml:space="preserve"> </w:t>
      </w:r>
      <w:r>
        <w:t>administration</w:t>
      </w:r>
      <w:r>
        <w:rPr>
          <w:spacing w:val="1"/>
        </w:rPr>
        <w:t xml:space="preserve"> </w:t>
      </w:r>
      <w:r>
        <w:t>bodies,</w:t>
      </w:r>
      <w:r>
        <w:rPr>
          <w:spacing w:val="1"/>
        </w:rPr>
        <w:t xml:space="preserve"> </w:t>
      </w:r>
      <w:r>
        <w:t>are</w:t>
      </w:r>
      <w:r>
        <w:rPr>
          <w:spacing w:val="1"/>
        </w:rPr>
        <w:t xml:space="preserve"> </w:t>
      </w:r>
      <w:r>
        <w:t>introducing the quality management system, as well as optimising and standardising some</w:t>
      </w:r>
      <w:r>
        <w:rPr>
          <w:spacing w:val="1"/>
        </w:rPr>
        <w:t xml:space="preserve"> </w:t>
      </w:r>
      <w:r>
        <w:t>business processes relating to the most frequently occurring existential situations for citizens</w:t>
      </w:r>
      <w:r>
        <w:rPr>
          <w:spacing w:val="1"/>
        </w:rPr>
        <w:t xml:space="preserve"> </w:t>
      </w:r>
      <w:r>
        <w:t>and</w:t>
      </w:r>
      <w:r>
        <w:rPr>
          <w:spacing w:val="-1"/>
        </w:rPr>
        <w:t xml:space="preserve"> </w:t>
      </w:r>
      <w:r>
        <w:t>businesses at the</w:t>
      </w:r>
      <w:r>
        <w:rPr>
          <w:spacing w:val="-1"/>
        </w:rPr>
        <w:t xml:space="preserve"> </w:t>
      </w:r>
      <w:r>
        <w:t>state</w:t>
      </w:r>
      <w:r>
        <w:rPr>
          <w:spacing w:val="-1"/>
        </w:rPr>
        <w:t xml:space="preserve"> </w:t>
      </w:r>
      <w:r>
        <w:t>and local level.</w:t>
      </w:r>
    </w:p>
    <w:p w:rsidR="00A56FE9" w:rsidRDefault="00A56FE9">
      <w:pPr>
        <w:pStyle w:val="Tijeloteksta"/>
        <w:spacing w:before="3"/>
        <w:ind w:left="0"/>
        <w:jc w:val="left"/>
        <w:rPr>
          <w:sz w:val="21"/>
        </w:rPr>
      </w:pPr>
    </w:p>
    <w:p w:rsidR="00A56FE9" w:rsidRDefault="00000000">
      <w:pPr>
        <w:pStyle w:val="Naslov5"/>
        <w:spacing w:before="1"/>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906361694"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2038870992" name="Rectangle 260"/>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121B006" id="Group 259"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">
                <v:rect id="Rectangle 260"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" fillcolor="#2c398a" stroked="f"/>
                <w10:anchorlock/>
              </v:group>
            </w:pict>
          </mc:Fallback>
        </mc:AlternateContent>
      </w:r>
    </w:p>
    <w:p w:rsidR="00A56FE9" w:rsidRDefault="00000000">
      <w:pPr>
        <w:pStyle w:val="Tijeloteksta"/>
        <w:spacing w:before="155"/>
        <w:ind w:right="272"/>
      </w:pPr>
      <w:r>
        <w:t>Further</w:t>
      </w:r>
      <w:r>
        <w:rPr>
          <w:spacing w:val="1"/>
        </w:rPr>
        <w:t xml:space="preserve"> </w:t>
      </w:r>
      <w:r>
        <w:t>improvement</w:t>
      </w:r>
      <w:r>
        <w:rPr>
          <w:spacing w:val="1"/>
        </w:rPr>
        <w:t xml:space="preserve"> </w:t>
      </w:r>
      <w:r>
        <w:t>to</w:t>
      </w:r>
      <w:r>
        <w:rPr>
          <w:spacing w:val="1"/>
        </w:rPr>
        <w:t xml:space="preserve"> </w:t>
      </w:r>
      <w:r>
        <w:t>the</w:t>
      </w:r>
      <w:r>
        <w:rPr>
          <w:spacing w:val="1"/>
        </w:rPr>
        <w:t xml:space="preserve"> </w:t>
      </w:r>
      <w:r>
        <w:t>functionality</w:t>
      </w:r>
      <w:r>
        <w:rPr>
          <w:spacing w:val="1"/>
        </w:rPr>
        <w:t xml:space="preserve"> </w:t>
      </w:r>
      <w:r>
        <w:t>and</w:t>
      </w:r>
      <w:r>
        <w:rPr>
          <w:spacing w:val="1"/>
        </w:rPr>
        <w:t xml:space="preserve"> </w:t>
      </w:r>
      <w:r>
        <w:t>sustainability</w:t>
      </w:r>
      <w:r>
        <w:rPr>
          <w:spacing w:val="1"/>
        </w:rPr>
        <w:t xml:space="preserve"> </w:t>
      </w:r>
      <w:r>
        <w:t>of</w:t>
      </w:r>
      <w:r>
        <w:rPr>
          <w:spacing w:val="1"/>
        </w:rPr>
        <w:t xml:space="preserve"> </w:t>
      </w:r>
      <w:r>
        <w:t>local</w:t>
      </w:r>
      <w:r>
        <w:rPr>
          <w:spacing w:val="1"/>
        </w:rPr>
        <w:t xml:space="preserve"> </w:t>
      </w:r>
      <w:r>
        <w:t>and</w:t>
      </w:r>
      <w:r>
        <w:rPr>
          <w:spacing w:val="1"/>
        </w:rPr>
        <w:t xml:space="preserve"> </w:t>
      </w:r>
      <w:r>
        <w:t>regional</w:t>
      </w:r>
      <w:r>
        <w:rPr>
          <w:spacing w:val="1"/>
        </w:rPr>
        <w:t xml:space="preserve"> </w:t>
      </w:r>
      <w:r>
        <w:t>self-</w:t>
      </w:r>
      <w:r>
        <w:rPr>
          <w:spacing w:val="1"/>
        </w:rPr>
        <w:t xml:space="preserve"> </w:t>
      </w:r>
      <w:r>
        <w:t>government</w:t>
      </w:r>
      <w:r>
        <w:rPr>
          <w:spacing w:val="1"/>
        </w:rPr>
        <w:t xml:space="preserve"> </w:t>
      </w:r>
      <w:r>
        <w:t>is</w:t>
      </w:r>
      <w:r>
        <w:rPr>
          <w:spacing w:val="1"/>
        </w:rPr>
        <w:t xml:space="preserve"> </w:t>
      </w:r>
      <w:r>
        <w:t>planned</w:t>
      </w:r>
      <w:r>
        <w:rPr>
          <w:spacing w:val="1"/>
        </w:rPr>
        <w:t xml:space="preserve"> </w:t>
      </w:r>
      <w:r>
        <w:t>within</w:t>
      </w:r>
      <w:r>
        <w:rPr>
          <w:spacing w:val="1"/>
        </w:rPr>
        <w:t xml:space="preserve"> </w:t>
      </w:r>
      <w:r>
        <w:t>the</w:t>
      </w:r>
      <w:r>
        <w:rPr>
          <w:spacing w:val="1"/>
        </w:rPr>
        <w:t xml:space="preserve"> </w:t>
      </w:r>
      <w:r>
        <w:t>NRRP,</w:t>
      </w:r>
      <w:r>
        <w:rPr>
          <w:spacing w:val="1"/>
        </w:rPr>
        <w:t xml:space="preserve"> </w:t>
      </w:r>
      <w:r>
        <w:t>and</w:t>
      </w:r>
      <w:r>
        <w:rPr>
          <w:spacing w:val="1"/>
        </w:rPr>
        <w:t xml:space="preserve"> </w:t>
      </w:r>
      <w:r>
        <w:t>the</w:t>
      </w:r>
      <w:r>
        <w:rPr>
          <w:spacing w:val="1"/>
        </w:rPr>
        <w:t xml:space="preserve"> </w:t>
      </w:r>
      <w:r>
        <w:t>goal</w:t>
      </w:r>
      <w:r>
        <w:rPr>
          <w:spacing w:val="1"/>
        </w:rPr>
        <w:t xml:space="preserve"> </w:t>
      </w:r>
      <w:r>
        <w:t>of</w:t>
      </w:r>
      <w:r>
        <w:rPr>
          <w:spacing w:val="1"/>
        </w:rPr>
        <w:t xml:space="preserve"> </w:t>
      </w:r>
      <w:r>
        <w:t>reforming</w:t>
      </w:r>
      <w:r>
        <w:rPr>
          <w:spacing w:val="1"/>
        </w:rPr>
        <w:t xml:space="preserve"> </w:t>
      </w:r>
      <w:r>
        <w:t>the</w:t>
      </w:r>
      <w:r>
        <w:rPr>
          <w:spacing w:val="1"/>
        </w:rPr>
        <w:t xml:space="preserve"> </w:t>
      </w:r>
      <w:r>
        <w:t>functional</w:t>
      </w:r>
      <w:r>
        <w:rPr>
          <w:spacing w:val="1"/>
        </w:rPr>
        <w:t xml:space="preserve"> </w:t>
      </w:r>
      <w:r>
        <w:t>and</w:t>
      </w:r>
      <w:r>
        <w:rPr>
          <w:spacing w:val="-57"/>
        </w:rPr>
        <w:t xml:space="preserve"> </w:t>
      </w:r>
      <w:r>
        <w:t>sustainable local government is to establish a high quality and efficient system of local and</w:t>
      </w:r>
      <w:r>
        <w:rPr>
          <w:spacing w:val="1"/>
        </w:rPr>
        <w:t xml:space="preserve"> </w:t>
      </w:r>
      <w:r>
        <w:t>regional government by encouraging functional and real integration of local government units.</w:t>
      </w:r>
      <w:r>
        <w:rPr>
          <w:spacing w:val="-58"/>
        </w:rPr>
        <w:t xml:space="preserve"> </w:t>
      </w:r>
      <w:r>
        <w:t>In</w:t>
      </w:r>
      <w:r>
        <w:rPr>
          <w:spacing w:val="1"/>
        </w:rPr>
        <w:t xml:space="preserve"> </w:t>
      </w:r>
      <w:r>
        <w:t>particular,</w:t>
      </w:r>
      <w:r>
        <w:rPr>
          <w:spacing w:val="1"/>
        </w:rPr>
        <w:t xml:space="preserve"> </w:t>
      </w:r>
      <w:r>
        <w:t>the</w:t>
      </w:r>
      <w:r>
        <w:rPr>
          <w:spacing w:val="1"/>
        </w:rPr>
        <w:t xml:space="preserve"> </w:t>
      </w:r>
      <w:r>
        <w:t>amended</w:t>
      </w:r>
      <w:r>
        <w:rPr>
          <w:spacing w:val="1"/>
        </w:rPr>
        <w:t xml:space="preserve"> </w:t>
      </w:r>
      <w:r>
        <w:t>legislative</w:t>
      </w:r>
      <w:r>
        <w:rPr>
          <w:spacing w:val="1"/>
        </w:rPr>
        <w:t xml:space="preserve"> </w:t>
      </w:r>
      <w:r>
        <w:t>framework</w:t>
      </w:r>
      <w:r>
        <w:rPr>
          <w:spacing w:val="1"/>
        </w:rPr>
        <w:t xml:space="preserve"> </w:t>
      </w:r>
      <w:r>
        <w:t>and</w:t>
      </w:r>
      <w:r>
        <w:rPr>
          <w:spacing w:val="1"/>
        </w:rPr>
        <w:t xml:space="preserve"> </w:t>
      </w:r>
      <w:r>
        <w:t>financial</w:t>
      </w:r>
      <w:r>
        <w:rPr>
          <w:spacing w:val="1"/>
        </w:rPr>
        <w:t xml:space="preserve"> </w:t>
      </w:r>
      <w:r>
        <w:t>support</w:t>
      </w:r>
      <w:r>
        <w:rPr>
          <w:spacing w:val="1"/>
        </w:rPr>
        <w:t xml:space="preserve"> </w:t>
      </w:r>
      <w:r>
        <w:t>mechanism</w:t>
      </w:r>
      <w:r>
        <w:rPr>
          <w:spacing w:val="1"/>
        </w:rPr>
        <w:t xml:space="preserve"> </w:t>
      </w:r>
      <w:r>
        <w:t>will</w:t>
      </w:r>
      <w:r>
        <w:rPr>
          <w:spacing w:val="1"/>
        </w:rPr>
        <w:t xml:space="preserve"> </w:t>
      </w:r>
      <w:r>
        <w:t>encourage the functional and actual merger of local self-government units (LSGUs), while</w:t>
      </w:r>
      <w:r>
        <w:rPr>
          <w:spacing w:val="1"/>
        </w:rPr>
        <w:t xml:space="preserve"> </w:t>
      </w:r>
      <w:r>
        <w:t>ensuring</w:t>
      </w:r>
      <w:r>
        <w:rPr>
          <w:spacing w:val="1"/>
        </w:rPr>
        <w:t xml:space="preserve"> </w:t>
      </w:r>
      <w:r>
        <w:t>sufficient</w:t>
      </w:r>
      <w:r>
        <w:rPr>
          <w:spacing w:val="1"/>
        </w:rPr>
        <w:t xml:space="preserve"> </w:t>
      </w:r>
      <w:r>
        <w:t>funds</w:t>
      </w:r>
      <w:r>
        <w:rPr>
          <w:spacing w:val="1"/>
        </w:rPr>
        <w:t xml:space="preserve"> </w:t>
      </w:r>
      <w:r>
        <w:t>in</w:t>
      </w:r>
      <w:r>
        <w:rPr>
          <w:spacing w:val="1"/>
        </w:rPr>
        <w:t xml:space="preserve"> </w:t>
      </w:r>
      <w:r>
        <w:t>the</w:t>
      </w:r>
      <w:r>
        <w:rPr>
          <w:spacing w:val="1"/>
        </w:rPr>
        <w:t xml:space="preserve"> </w:t>
      </w:r>
      <w:r>
        <w:t>state</w:t>
      </w:r>
      <w:r>
        <w:rPr>
          <w:spacing w:val="1"/>
        </w:rPr>
        <w:t xml:space="preserve"> </w:t>
      </w:r>
      <w:r>
        <w:t>budget</w:t>
      </w:r>
      <w:r>
        <w:rPr>
          <w:spacing w:val="1"/>
        </w:rPr>
        <w:t xml:space="preserve"> </w:t>
      </w:r>
      <w:r>
        <w:t>to</w:t>
      </w:r>
      <w:r>
        <w:rPr>
          <w:spacing w:val="1"/>
        </w:rPr>
        <w:t xml:space="preserve"> </w:t>
      </w:r>
      <w:r>
        <w:t>financially</w:t>
      </w:r>
      <w:r>
        <w:rPr>
          <w:spacing w:val="1"/>
        </w:rPr>
        <w:t xml:space="preserve"> </w:t>
      </w:r>
      <w:r>
        <w:t>encourage</w:t>
      </w:r>
      <w:r>
        <w:rPr>
          <w:spacing w:val="1"/>
        </w:rPr>
        <w:t xml:space="preserve"> </w:t>
      </w:r>
      <w:r>
        <w:t>mergers.</w:t>
      </w:r>
      <w:r>
        <w:rPr>
          <w:spacing w:val="1"/>
        </w:rPr>
        <w:t xml:space="preserve"> </w:t>
      </w:r>
      <w:r>
        <w:t>Thus,</w:t>
      </w:r>
      <w:r>
        <w:rPr>
          <w:spacing w:val="1"/>
        </w:rPr>
        <w:t xml:space="preserve"> </w:t>
      </w:r>
      <w:r>
        <w:t>functionally merged LSGUs will retain the same funds from the budget that were otherwise</w:t>
      </w:r>
      <w:r>
        <w:rPr>
          <w:spacing w:val="1"/>
        </w:rPr>
        <w:t xml:space="preserve"> </w:t>
      </w:r>
      <w:r>
        <w:t>available to them before the merger, for a period of at least 2 years, and the incentives will</w:t>
      </w:r>
      <w:r>
        <w:rPr>
          <w:spacing w:val="1"/>
        </w:rPr>
        <w:t xml:space="preserve"> </w:t>
      </w:r>
      <w:r>
        <w:t>cover one-time merger costs and provide additional funds based on savings over the next 5</w:t>
      </w:r>
      <w:r>
        <w:rPr>
          <w:spacing w:val="1"/>
        </w:rPr>
        <w:t xml:space="preserve"> </w:t>
      </w:r>
      <w:r>
        <w:t>years.</w:t>
      </w:r>
      <w:r>
        <w:rPr>
          <w:spacing w:val="-7"/>
        </w:rPr>
        <w:t xml:space="preserve"> </w:t>
      </w:r>
      <w:r>
        <w:t>In</w:t>
      </w:r>
      <w:r>
        <w:rPr>
          <w:spacing w:val="-6"/>
        </w:rPr>
        <w:t xml:space="preserve"> </w:t>
      </w:r>
      <w:r>
        <w:t>addition,</w:t>
      </w:r>
      <w:r>
        <w:rPr>
          <w:spacing w:val="-8"/>
        </w:rPr>
        <w:t xml:space="preserve"> </w:t>
      </w:r>
      <w:r>
        <w:t>incentives</w:t>
      </w:r>
      <w:r>
        <w:rPr>
          <w:spacing w:val="-8"/>
        </w:rPr>
        <w:t xml:space="preserve"> </w:t>
      </w:r>
      <w:r>
        <w:t>for</w:t>
      </w:r>
      <w:r>
        <w:rPr>
          <w:spacing w:val="-11"/>
        </w:rPr>
        <w:t xml:space="preserve"> </w:t>
      </w:r>
      <w:r>
        <w:t>actual</w:t>
      </w:r>
      <w:r>
        <w:rPr>
          <w:spacing w:val="-9"/>
        </w:rPr>
        <w:t xml:space="preserve"> </w:t>
      </w:r>
      <w:r>
        <w:t>mergers</w:t>
      </w:r>
      <w:r>
        <w:rPr>
          <w:spacing w:val="-9"/>
        </w:rPr>
        <w:t xml:space="preserve"> </w:t>
      </w:r>
      <w:r>
        <w:t>of</w:t>
      </w:r>
      <w:r>
        <w:rPr>
          <w:spacing w:val="-7"/>
        </w:rPr>
        <w:t xml:space="preserve"> </w:t>
      </w:r>
      <w:r>
        <w:t>LSGUs</w:t>
      </w:r>
      <w:r>
        <w:rPr>
          <w:spacing w:val="-8"/>
        </w:rPr>
        <w:t xml:space="preserve"> </w:t>
      </w:r>
      <w:r>
        <w:t>will</w:t>
      </w:r>
      <w:r>
        <w:rPr>
          <w:spacing w:val="-9"/>
        </w:rPr>
        <w:t xml:space="preserve"> </w:t>
      </w:r>
      <w:r>
        <w:t>include</w:t>
      </w:r>
      <w:r>
        <w:rPr>
          <w:spacing w:val="-9"/>
        </w:rPr>
        <w:t xml:space="preserve"> </w:t>
      </w:r>
      <w:r>
        <w:t>one-off</w:t>
      </w:r>
      <w:r>
        <w:rPr>
          <w:spacing w:val="-10"/>
        </w:rPr>
        <w:t xml:space="preserve"> </w:t>
      </w:r>
      <w:r>
        <w:t>capital</w:t>
      </w:r>
      <w:r>
        <w:rPr>
          <w:spacing w:val="-8"/>
        </w:rPr>
        <w:t xml:space="preserve"> </w:t>
      </w:r>
      <w:r>
        <w:t>transfers</w:t>
      </w:r>
      <w:r>
        <w:rPr>
          <w:spacing w:val="-58"/>
        </w:rPr>
        <w:t xml:space="preserve"> </w:t>
      </w:r>
      <w:r>
        <w:t>over</w:t>
      </w:r>
      <w:r>
        <w:rPr>
          <w:spacing w:val="-8"/>
        </w:rPr>
        <w:t xml:space="preserve"> </w:t>
      </w:r>
      <w:r>
        <w:t>5</w:t>
      </w:r>
      <w:r>
        <w:rPr>
          <w:spacing w:val="-5"/>
        </w:rPr>
        <w:t xml:space="preserve"> </w:t>
      </w:r>
      <w:r>
        <w:t>years</w:t>
      </w:r>
      <w:r>
        <w:rPr>
          <w:spacing w:val="-7"/>
        </w:rPr>
        <w:t xml:space="preserve"> </w:t>
      </w:r>
      <w:r>
        <w:t>that</w:t>
      </w:r>
      <w:r>
        <w:rPr>
          <w:spacing w:val="-7"/>
        </w:rPr>
        <w:t xml:space="preserve"> </w:t>
      </w:r>
      <w:r>
        <w:t>the</w:t>
      </w:r>
      <w:r>
        <w:rPr>
          <w:spacing w:val="-5"/>
        </w:rPr>
        <w:t xml:space="preserve"> </w:t>
      </w:r>
      <w:r>
        <w:t>LSGUs</w:t>
      </w:r>
      <w:r>
        <w:rPr>
          <w:spacing w:val="-8"/>
        </w:rPr>
        <w:t xml:space="preserve"> </w:t>
      </w:r>
      <w:r>
        <w:t>will</w:t>
      </w:r>
      <w:r>
        <w:rPr>
          <w:spacing w:val="-6"/>
        </w:rPr>
        <w:t xml:space="preserve"> </w:t>
      </w:r>
      <w:r>
        <w:t>use</w:t>
      </w:r>
      <w:r>
        <w:rPr>
          <w:spacing w:val="-8"/>
        </w:rPr>
        <w:t xml:space="preserve"> </w:t>
      </w:r>
      <w:r>
        <w:t>specifically</w:t>
      </w:r>
      <w:r>
        <w:rPr>
          <w:spacing w:val="-11"/>
        </w:rPr>
        <w:t xml:space="preserve"> </w:t>
      </w:r>
      <w:r>
        <w:t>for</w:t>
      </w:r>
      <w:r>
        <w:rPr>
          <w:spacing w:val="-8"/>
        </w:rPr>
        <w:t xml:space="preserve"> </w:t>
      </w:r>
      <w:r>
        <w:t>infrastructure</w:t>
      </w:r>
      <w:r>
        <w:rPr>
          <w:spacing w:val="-8"/>
        </w:rPr>
        <w:t xml:space="preserve"> </w:t>
      </w:r>
      <w:r>
        <w:t>projects.</w:t>
      </w:r>
      <w:r>
        <w:rPr>
          <w:spacing w:val="-3"/>
        </w:rPr>
        <w:t xml:space="preserve"> </w:t>
      </w:r>
      <w:r>
        <w:t>The</w:t>
      </w:r>
      <w:r>
        <w:rPr>
          <w:spacing w:val="-5"/>
        </w:rPr>
        <w:t xml:space="preserve"> </w:t>
      </w:r>
      <w:r>
        <w:t>Government’s</w:t>
      </w:r>
      <w:r>
        <w:rPr>
          <w:spacing w:val="-58"/>
        </w:rPr>
        <w:t xml:space="preserve"> </w:t>
      </w:r>
      <w:r>
        <w:t>Decision will prescribe the criteria and amount of incentives, with higher fiscal incentives for</w:t>
      </w:r>
      <w:r>
        <w:rPr>
          <w:spacing w:val="1"/>
        </w:rPr>
        <w:t xml:space="preserve"> </w:t>
      </w:r>
      <w:r>
        <w:t>actual</w:t>
      </w:r>
      <w:r>
        <w:rPr>
          <w:spacing w:val="-1"/>
        </w:rPr>
        <w:t xml:space="preserve"> </w:t>
      </w:r>
      <w:r>
        <w:t>mergers,</w:t>
      </w:r>
      <w:r>
        <w:rPr>
          <w:spacing w:val="-1"/>
        </w:rPr>
        <w:t xml:space="preserve"> </w:t>
      </w:r>
      <w:r>
        <w:t>while</w:t>
      </w:r>
      <w:r>
        <w:rPr>
          <w:spacing w:val="-2"/>
        </w:rPr>
        <w:t xml:space="preserve"> </w:t>
      </w:r>
      <w:r>
        <w:t>incentives</w:t>
      </w:r>
      <w:r>
        <w:rPr>
          <w:spacing w:val="-1"/>
        </w:rPr>
        <w:t xml:space="preserve"> </w:t>
      </w:r>
      <w:r>
        <w:t>for functional</w:t>
      </w:r>
      <w:r>
        <w:rPr>
          <w:spacing w:val="-1"/>
        </w:rPr>
        <w:t xml:space="preserve"> </w:t>
      </w:r>
      <w:r>
        <w:t>mergers</w:t>
      </w:r>
      <w:r>
        <w:rPr>
          <w:spacing w:val="-1"/>
        </w:rPr>
        <w:t xml:space="preserve"> </w:t>
      </w:r>
      <w:r>
        <w:t>will</w:t>
      </w:r>
      <w:r>
        <w:rPr>
          <w:spacing w:val="-1"/>
        </w:rPr>
        <w:t xml:space="preserve"> </w:t>
      </w:r>
      <w:r>
        <w:t>depend</w:t>
      </w:r>
      <w:r>
        <w:rPr>
          <w:spacing w:val="-1"/>
        </w:rPr>
        <w:t xml:space="preserve"> </w:t>
      </w:r>
      <w:r>
        <w:t>on the number</w:t>
      </w:r>
      <w:r>
        <w:rPr>
          <w:spacing w:val="-3"/>
        </w:rPr>
        <w:t xml:space="preserve"> </w:t>
      </w:r>
      <w:r>
        <w:t>and</w:t>
      </w:r>
      <w:r>
        <w:rPr>
          <w:spacing w:val="-1"/>
        </w:rPr>
        <w:t xml:space="preserve"> </w:t>
      </w:r>
      <w:r>
        <w:t>type</w:t>
      </w:r>
      <w:r>
        <w:rPr>
          <w:spacing w:val="-1"/>
        </w:rPr>
        <w:t xml:space="preserve"> </w:t>
      </w:r>
      <w:r>
        <w:t>of</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t>functions envisaged for mergers. After the adoption of the Government’s Decision, a public</w:t>
      </w:r>
      <w:r>
        <w:rPr>
          <w:spacing w:val="1"/>
        </w:rPr>
        <w:t xml:space="preserve"> </w:t>
      </w:r>
      <w:r>
        <w:t>call will be announced for local self-government units to express their interest in voluntary</w:t>
      </w:r>
      <w:r>
        <w:rPr>
          <w:spacing w:val="1"/>
        </w:rPr>
        <w:t xml:space="preserve"> </w:t>
      </w:r>
      <w:r>
        <w:t>functional</w:t>
      </w:r>
      <w:r>
        <w:rPr>
          <w:spacing w:val="-1"/>
        </w:rPr>
        <w:t xml:space="preserve"> </w:t>
      </w:r>
      <w:r>
        <w:t>or actual mergers.</w:t>
      </w:r>
    </w:p>
    <w:p w:rsidR="00A56FE9" w:rsidRDefault="00000000">
      <w:pPr>
        <w:pStyle w:val="Tijeloteksta"/>
        <w:spacing w:before="121"/>
        <w:ind w:right="277"/>
      </w:pPr>
      <w:r>
        <w:t>In the 2022 State Budget and projections for 2023 and 2024, HRK 100 million has been</w:t>
      </w:r>
      <w:r>
        <w:rPr>
          <w:spacing w:val="1"/>
        </w:rPr>
        <w:t xml:space="preserve"> </w:t>
      </w:r>
      <w:r>
        <w:t>allocated</w:t>
      </w:r>
      <w:r>
        <w:rPr>
          <w:spacing w:val="-1"/>
        </w:rPr>
        <w:t xml:space="preserve"> </w:t>
      </w:r>
      <w:r>
        <w:t>for</w:t>
      </w:r>
      <w:r>
        <w:rPr>
          <w:spacing w:val="-2"/>
        </w:rPr>
        <w:t xml:space="preserve"> </w:t>
      </w:r>
      <w:r>
        <w:t>incentives directed</w:t>
      </w:r>
      <w:r>
        <w:rPr>
          <w:spacing w:val="-1"/>
        </w:rPr>
        <w:t xml:space="preserve"> </w:t>
      </w:r>
      <w:r>
        <w:t>to the</w:t>
      </w:r>
      <w:r>
        <w:rPr>
          <w:spacing w:val="-1"/>
        </w:rPr>
        <w:t xml:space="preserve"> </w:t>
      </w:r>
      <w:r>
        <w:t>voluntary</w:t>
      </w:r>
      <w:r>
        <w:rPr>
          <w:spacing w:val="-3"/>
        </w:rPr>
        <w:t xml:space="preserve"> </w:t>
      </w:r>
      <w:r>
        <w:t>functional</w:t>
      </w:r>
      <w:r>
        <w:rPr>
          <w:spacing w:val="1"/>
        </w:rPr>
        <w:t xml:space="preserve"> </w:t>
      </w:r>
      <w:r>
        <w:t>or</w:t>
      </w:r>
      <w:r>
        <w:rPr>
          <w:spacing w:val="-2"/>
        </w:rPr>
        <w:t xml:space="preserve"> </w:t>
      </w:r>
      <w:r>
        <w:t>actual merging</w:t>
      </w:r>
      <w:r>
        <w:rPr>
          <w:spacing w:val="-3"/>
        </w:rPr>
        <w:t xml:space="preserve"> </w:t>
      </w:r>
      <w:r>
        <w:t>of local</w:t>
      </w:r>
      <w:r>
        <w:rPr>
          <w:spacing w:val="-1"/>
        </w:rPr>
        <w:t xml:space="preserve"> </w:t>
      </w:r>
      <w:r>
        <w:t>units.</w:t>
      </w:r>
    </w:p>
    <w:p w:rsidR="00A56FE9" w:rsidRDefault="00CC1B9B">
      <w:pPr>
        <w:pStyle w:val="Tijeloteksta"/>
        <w:spacing w:before="120"/>
        <w:ind w:right="274"/>
      </w:pPr>
      <w:r>
        <w:rPr>
          <w:noProof/>
        </w:rPr>
        <mc:AlternateContent>
          <mc:Choice Requires="wps">
            <w:drawing>
              <wp:anchor distT="0" distB="0" distL="114300" distR="114300" simplePos="0" relativeHeight="15758336" behindDoc="0" locked="0" layoutInCell="1" allowOverlap="1">
                <wp:simplePos x="0" y="0"/>
                <wp:positionH relativeFrom="page">
                  <wp:posOffset>814070</wp:posOffset>
                </wp:positionH>
                <wp:positionV relativeFrom="paragraph">
                  <wp:posOffset>1908810</wp:posOffset>
                </wp:positionV>
                <wp:extent cx="18415" cy="417830"/>
                <wp:effectExtent l="0" t="0" r="0" b="0"/>
                <wp:wrapNone/>
                <wp:docPr id="848588093" name="Rectangle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1D226" id="Rectangle 258" o:spid="_x0000_s1026" style="position:absolute;margin-left:64.1pt;margin-top:150.3pt;width:1.45pt;height:32.9pt;z-index:15758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" fillcolor="#da1f2c" stroked="f">
                <w10:wrap anchorx="page"/>
              </v:rect>
            </w:pict>
          </mc:Fallback>
        </mc:AlternateContent>
      </w:r>
      <w:r w:rsidR="00000000">
        <w:t>The criteria for determining the amount of co-financing will depend, among other factors, on</w:t>
      </w:r>
      <w:r w:rsidR="00000000">
        <w:rPr>
          <w:spacing w:val="1"/>
        </w:rPr>
        <w:t xml:space="preserve"> </w:t>
      </w:r>
      <w:r w:rsidR="00000000">
        <w:t>the number of tasks performed by the units together and will be determined by the decision of</w:t>
      </w:r>
      <w:r w:rsidR="00000000">
        <w:rPr>
          <w:spacing w:val="1"/>
        </w:rPr>
        <w:t xml:space="preserve"> </w:t>
      </w:r>
      <w:r w:rsidR="00000000">
        <w:t>the Government. An individual unit will be entitled to additional funds or co-financing, if</w:t>
      </w:r>
      <w:r w:rsidR="00000000">
        <w:rPr>
          <w:spacing w:val="1"/>
        </w:rPr>
        <w:t xml:space="preserve"> </w:t>
      </w:r>
      <w:r w:rsidR="00000000">
        <w:t>involved in the joint undertaking of certain listed tasks, for which at least one is performed</w:t>
      </w:r>
      <w:r w:rsidR="00000000">
        <w:rPr>
          <w:spacing w:val="1"/>
        </w:rPr>
        <w:t xml:space="preserve"> </w:t>
      </w:r>
      <w:r w:rsidR="00000000">
        <w:t>together</w:t>
      </w:r>
      <w:r w:rsidR="00000000">
        <w:rPr>
          <w:spacing w:val="-8"/>
        </w:rPr>
        <w:t xml:space="preserve"> </w:t>
      </w:r>
      <w:r w:rsidR="00000000">
        <w:t>with</w:t>
      </w:r>
      <w:r w:rsidR="00000000">
        <w:rPr>
          <w:spacing w:val="-7"/>
        </w:rPr>
        <w:t xml:space="preserve"> </w:t>
      </w:r>
      <w:r w:rsidR="00000000">
        <w:t>another</w:t>
      </w:r>
      <w:r w:rsidR="00000000">
        <w:rPr>
          <w:spacing w:val="-8"/>
        </w:rPr>
        <w:t xml:space="preserve"> </w:t>
      </w:r>
      <w:r w:rsidR="00000000">
        <w:t>or</w:t>
      </w:r>
      <w:r w:rsidR="00000000">
        <w:rPr>
          <w:spacing w:val="-6"/>
        </w:rPr>
        <w:t xml:space="preserve"> </w:t>
      </w:r>
      <w:r w:rsidR="00000000">
        <w:t>other</w:t>
      </w:r>
      <w:r w:rsidR="00000000">
        <w:rPr>
          <w:spacing w:val="-9"/>
        </w:rPr>
        <w:t xml:space="preserve"> </w:t>
      </w:r>
      <w:r w:rsidR="00000000">
        <w:t>units.</w:t>
      </w:r>
      <w:r w:rsidR="00000000">
        <w:rPr>
          <w:spacing w:val="-7"/>
        </w:rPr>
        <w:t xml:space="preserve"> </w:t>
      </w:r>
      <w:r w:rsidR="00000000">
        <w:t>Funds</w:t>
      </w:r>
      <w:r w:rsidR="00000000">
        <w:rPr>
          <w:spacing w:val="-7"/>
        </w:rPr>
        <w:t xml:space="preserve"> </w:t>
      </w:r>
      <w:r w:rsidR="00000000">
        <w:t>for</w:t>
      </w:r>
      <w:r w:rsidR="00000000">
        <w:rPr>
          <w:spacing w:val="-8"/>
        </w:rPr>
        <w:t xml:space="preserve"> </w:t>
      </w:r>
      <w:r w:rsidR="00000000">
        <w:t>co-financing</w:t>
      </w:r>
      <w:r w:rsidR="00000000">
        <w:rPr>
          <w:spacing w:val="-10"/>
        </w:rPr>
        <w:t xml:space="preserve"> </w:t>
      </w:r>
      <w:r w:rsidR="00000000">
        <w:t>will</w:t>
      </w:r>
      <w:r w:rsidR="00000000">
        <w:rPr>
          <w:spacing w:val="-6"/>
        </w:rPr>
        <w:t xml:space="preserve"> </w:t>
      </w:r>
      <w:r w:rsidR="00000000">
        <w:t>be</w:t>
      </w:r>
      <w:r w:rsidR="00000000">
        <w:rPr>
          <w:spacing w:val="-9"/>
        </w:rPr>
        <w:t xml:space="preserve"> </w:t>
      </w:r>
      <w:r w:rsidR="00000000">
        <w:t>provided</w:t>
      </w:r>
      <w:r w:rsidR="00000000">
        <w:rPr>
          <w:spacing w:val="-8"/>
        </w:rPr>
        <w:t xml:space="preserve"> </w:t>
      </w:r>
      <w:r w:rsidR="00000000">
        <w:t>in</w:t>
      </w:r>
      <w:r w:rsidR="00000000">
        <w:rPr>
          <w:spacing w:val="-7"/>
        </w:rPr>
        <w:t xml:space="preserve"> </w:t>
      </w:r>
      <w:r w:rsidR="00000000">
        <w:t>the</w:t>
      </w:r>
      <w:r w:rsidR="00000000">
        <w:rPr>
          <w:spacing w:val="-8"/>
        </w:rPr>
        <w:t xml:space="preserve"> </w:t>
      </w:r>
      <w:r w:rsidR="00000000">
        <w:t>equalisation</w:t>
      </w:r>
      <w:r w:rsidR="00000000">
        <w:rPr>
          <w:spacing w:val="-58"/>
        </w:rPr>
        <w:t xml:space="preserve"> </w:t>
      </w:r>
      <w:r w:rsidR="00000000">
        <w:t>fund</w:t>
      </w:r>
      <w:r w:rsidR="00000000">
        <w:rPr>
          <w:spacing w:val="-7"/>
        </w:rPr>
        <w:t xml:space="preserve"> </w:t>
      </w:r>
      <w:r w:rsidR="00000000">
        <w:t>and</w:t>
      </w:r>
      <w:r w:rsidR="00000000">
        <w:rPr>
          <w:spacing w:val="-6"/>
        </w:rPr>
        <w:t xml:space="preserve"> </w:t>
      </w:r>
      <w:r w:rsidR="00000000">
        <w:t>planned</w:t>
      </w:r>
      <w:r w:rsidR="00000000">
        <w:rPr>
          <w:spacing w:val="-6"/>
        </w:rPr>
        <w:t xml:space="preserve"> </w:t>
      </w:r>
      <w:r w:rsidR="00000000">
        <w:t>in</w:t>
      </w:r>
      <w:r w:rsidR="00000000">
        <w:rPr>
          <w:spacing w:val="-5"/>
        </w:rPr>
        <w:t xml:space="preserve"> </w:t>
      </w:r>
      <w:r w:rsidR="00000000">
        <w:t>the</w:t>
      </w:r>
      <w:r w:rsidR="00000000">
        <w:rPr>
          <w:spacing w:val="-7"/>
        </w:rPr>
        <w:t xml:space="preserve"> </w:t>
      </w:r>
      <w:r w:rsidR="00000000">
        <w:t>state</w:t>
      </w:r>
      <w:r w:rsidR="00000000">
        <w:rPr>
          <w:spacing w:val="-7"/>
        </w:rPr>
        <w:t xml:space="preserve"> </w:t>
      </w:r>
      <w:r w:rsidR="00000000">
        <w:t>budget</w:t>
      </w:r>
      <w:r w:rsidR="00000000">
        <w:rPr>
          <w:spacing w:val="-5"/>
        </w:rPr>
        <w:t xml:space="preserve"> </w:t>
      </w:r>
      <w:r w:rsidR="00000000">
        <w:t>for</w:t>
      </w:r>
      <w:r w:rsidR="00000000">
        <w:rPr>
          <w:spacing w:val="-8"/>
        </w:rPr>
        <w:t xml:space="preserve"> </w:t>
      </w:r>
      <w:r w:rsidR="00000000">
        <w:t>the</w:t>
      </w:r>
      <w:r w:rsidR="00000000">
        <w:rPr>
          <w:spacing w:val="-4"/>
        </w:rPr>
        <w:t xml:space="preserve"> </w:t>
      </w:r>
      <w:r w:rsidR="00000000">
        <w:t>current</w:t>
      </w:r>
      <w:r w:rsidR="00000000">
        <w:rPr>
          <w:spacing w:val="-2"/>
        </w:rPr>
        <w:t xml:space="preserve"> </w:t>
      </w:r>
      <w:r w:rsidR="00000000">
        <w:t>year</w:t>
      </w:r>
      <w:r w:rsidR="00000000">
        <w:rPr>
          <w:spacing w:val="-7"/>
        </w:rPr>
        <w:t xml:space="preserve"> </w:t>
      </w:r>
      <w:r w:rsidR="00000000">
        <w:t>with</w:t>
      </w:r>
      <w:r w:rsidR="00000000">
        <w:rPr>
          <w:spacing w:val="-6"/>
        </w:rPr>
        <w:t xml:space="preserve"> </w:t>
      </w:r>
      <w:r w:rsidR="00000000">
        <w:t>projections</w:t>
      </w:r>
      <w:r w:rsidR="00000000">
        <w:rPr>
          <w:spacing w:val="-6"/>
        </w:rPr>
        <w:t xml:space="preserve"> </w:t>
      </w:r>
      <w:r w:rsidR="00000000">
        <w:t>for</w:t>
      </w:r>
      <w:r w:rsidR="00000000">
        <w:rPr>
          <w:spacing w:val="-7"/>
        </w:rPr>
        <w:t xml:space="preserve"> </w:t>
      </w:r>
      <w:r w:rsidR="00000000">
        <w:t>the</w:t>
      </w:r>
      <w:r w:rsidR="00000000">
        <w:rPr>
          <w:spacing w:val="-7"/>
        </w:rPr>
        <w:t xml:space="preserve"> </w:t>
      </w:r>
      <w:r w:rsidR="00000000">
        <w:t>next</w:t>
      </w:r>
      <w:r w:rsidR="00000000">
        <w:rPr>
          <w:spacing w:val="-6"/>
        </w:rPr>
        <w:t xml:space="preserve"> </w:t>
      </w:r>
      <w:r w:rsidR="00000000">
        <w:t>two</w:t>
      </w:r>
      <w:r w:rsidR="00000000">
        <w:rPr>
          <w:spacing w:val="-3"/>
        </w:rPr>
        <w:t xml:space="preserve"> </w:t>
      </w:r>
      <w:r w:rsidR="00000000">
        <w:t>years</w:t>
      </w:r>
      <w:r w:rsidR="00000000">
        <w:rPr>
          <w:spacing w:val="-58"/>
        </w:rPr>
        <w:t xml:space="preserve"> </w:t>
      </w:r>
      <w:r w:rsidR="00000000">
        <w:t>depending on the expressed and identified needs of units that decide on a functional merger.</w:t>
      </w:r>
      <w:r w:rsidR="00000000">
        <w:rPr>
          <w:spacing w:val="1"/>
        </w:rPr>
        <w:t xml:space="preserve"> </w:t>
      </w:r>
      <w:r w:rsidR="00000000">
        <w:rPr>
          <w:spacing w:val="-1"/>
        </w:rPr>
        <w:t>The</w:t>
      </w:r>
      <w:r w:rsidR="00000000">
        <w:rPr>
          <w:spacing w:val="-9"/>
        </w:rPr>
        <w:t xml:space="preserve"> </w:t>
      </w:r>
      <w:r w:rsidR="00000000">
        <w:rPr>
          <w:spacing w:val="-1"/>
        </w:rPr>
        <w:t>exact</w:t>
      </w:r>
      <w:r w:rsidR="00000000">
        <w:rPr>
          <w:spacing w:val="-7"/>
        </w:rPr>
        <w:t xml:space="preserve"> </w:t>
      </w:r>
      <w:r w:rsidR="00000000">
        <w:t>criteria,</w:t>
      </w:r>
      <w:r w:rsidR="00000000">
        <w:rPr>
          <w:spacing w:val="-8"/>
        </w:rPr>
        <w:t xml:space="preserve"> </w:t>
      </w:r>
      <w:r w:rsidR="00000000">
        <w:t>manner</w:t>
      </w:r>
      <w:r w:rsidR="00000000">
        <w:rPr>
          <w:spacing w:val="-8"/>
        </w:rPr>
        <w:t xml:space="preserve"> </w:t>
      </w:r>
      <w:r w:rsidR="00000000">
        <w:t>and</w:t>
      </w:r>
      <w:r w:rsidR="00000000">
        <w:rPr>
          <w:spacing w:val="-7"/>
        </w:rPr>
        <w:t xml:space="preserve"> </w:t>
      </w:r>
      <w:r w:rsidR="00000000">
        <w:t>possibility</w:t>
      </w:r>
      <w:r w:rsidR="00000000">
        <w:rPr>
          <w:spacing w:val="-15"/>
        </w:rPr>
        <w:t xml:space="preserve"> </w:t>
      </w:r>
      <w:r w:rsidR="00000000">
        <w:t>for</w:t>
      </w:r>
      <w:r w:rsidR="00000000">
        <w:rPr>
          <w:spacing w:val="-7"/>
        </w:rPr>
        <w:t xml:space="preserve"> </w:t>
      </w:r>
      <w:r w:rsidR="00000000">
        <w:t>co-financing</w:t>
      </w:r>
      <w:r w:rsidR="00000000">
        <w:rPr>
          <w:spacing w:val="-10"/>
        </w:rPr>
        <w:t xml:space="preserve"> </w:t>
      </w:r>
      <w:r w:rsidR="00000000">
        <w:t>the</w:t>
      </w:r>
      <w:r w:rsidR="00000000">
        <w:rPr>
          <w:spacing w:val="-8"/>
        </w:rPr>
        <w:t xml:space="preserve"> </w:t>
      </w:r>
      <w:r w:rsidR="00000000">
        <w:t>joint</w:t>
      </w:r>
      <w:r w:rsidR="00000000">
        <w:rPr>
          <w:spacing w:val="-5"/>
        </w:rPr>
        <w:t xml:space="preserve"> </w:t>
      </w:r>
      <w:r w:rsidR="00000000">
        <w:t>undertaking</w:t>
      </w:r>
      <w:r w:rsidR="00000000">
        <w:rPr>
          <w:spacing w:val="-9"/>
        </w:rPr>
        <w:t xml:space="preserve"> </w:t>
      </w:r>
      <w:r w:rsidR="00000000">
        <w:t>of</w:t>
      </w:r>
      <w:r w:rsidR="00000000">
        <w:rPr>
          <w:spacing w:val="-8"/>
        </w:rPr>
        <w:t xml:space="preserve"> </w:t>
      </w:r>
      <w:r w:rsidR="00000000">
        <w:t>certain</w:t>
      </w:r>
      <w:r w:rsidR="00000000">
        <w:rPr>
          <w:spacing w:val="-7"/>
        </w:rPr>
        <w:t xml:space="preserve"> </w:t>
      </w:r>
      <w:r w:rsidR="00000000">
        <w:t>tasks</w:t>
      </w:r>
      <w:r w:rsidR="00000000">
        <w:rPr>
          <w:spacing w:val="-57"/>
        </w:rPr>
        <w:t xml:space="preserve"> </w:t>
      </w:r>
      <w:r w:rsidR="00000000">
        <w:t>and the status of employees in bodies that will perform tasks for several local units, as well as</w:t>
      </w:r>
      <w:r w:rsidR="00000000">
        <w:rPr>
          <w:spacing w:val="1"/>
        </w:rPr>
        <w:t xml:space="preserve"> </w:t>
      </w:r>
      <w:r w:rsidR="00000000">
        <w:t>other</w:t>
      </w:r>
      <w:r w:rsidR="00000000">
        <w:rPr>
          <w:spacing w:val="-3"/>
        </w:rPr>
        <w:t xml:space="preserve"> </w:t>
      </w:r>
      <w:r w:rsidR="00000000">
        <w:t>professional tasks that</w:t>
      </w:r>
      <w:r w:rsidR="00000000">
        <w:rPr>
          <w:spacing w:val="-1"/>
        </w:rPr>
        <w:t xml:space="preserve"> </w:t>
      </w:r>
      <w:r w:rsidR="00000000">
        <w:t>units perform for</w:t>
      </w:r>
      <w:r w:rsidR="00000000">
        <w:rPr>
          <w:spacing w:val="-2"/>
        </w:rPr>
        <w:t xml:space="preserve"> </w:t>
      </w:r>
      <w:r w:rsidR="00000000">
        <w:t>their own needs</w:t>
      </w:r>
      <w:r w:rsidR="00000000">
        <w:rPr>
          <w:spacing w:val="2"/>
        </w:rPr>
        <w:t xml:space="preserve"> </w:t>
      </w:r>
      <w:r w:rsidR="00000000">
        <w:t>will</w:t>
      </w:r>
      <w:r w:rsidR="00000000">
        <w:rPr>
          <w:spacing w:val="-1"/>
        </w:rPr>
        <w:t xml:space="preserve"> </w:t>
      </w:r>
      <w:r w:rsidR="00000000">
        <w:t>be</w:t>
      </w:r>
      <w:r w:rsidR="00000000">
        <w:rPr>
          <w:spacing w:val="-1"/>
        </w:rPr>
        <w:t xml:space="preserve"> </w:t>
      </w:r>
      <w:r w:rsidR="00000000">
        <w:t>determined.</w:t>
      </w:r>
    </w:p>
    <w:p w:rsidR="00A56FE9" w:rsidRDefault="00A56FE9">
      <w:pPr>
        <w:pStyle w:val="Tijeloteksta"/>
        <w:ind w:left="0"/>
        <w:jc w:val="left"/>
        <w:rPr>
          <w:sz w:val="32"/>
        </w:rPr>
      </w:pPr>
    </w:p>
    <w:p w:rsidR="00A56FE9" w:rsidRDefault="00000000">
      <w:pPr>
        <w:pStyle w:val="Naslov4"/>
        <w:ind w:left="203"/>
      </w:pPr>
      <w:r>
        <w:rPr>
          <w:color w:val="2C398A"/>
        </w:rPr>
        <w:t>Revising the</w:t>
      </w:r>
      <w:r>
        <w:rPr>
          <w:color w:val="2C398A"/>
          <w:spacing w:val="-2"/>
        </w:rPr>
        <w:t xml:space="preserve"> </w:t>
      </w:r>
      <w:r>
        <w:rPr>
          <w:color w:val="2C398A"/>
        </w:rPr>
        <w:t>wage</w:t>
      </w:r>
      <w:r>
        <w:rPr>
          <w:color w:val="2C398A"/>
          <w:spacing w:val="-2"/>
        </w:rPr>
        <w:t xml:space="preserve"> </w:t>
      </w:r>
      <w:r>
        <w:rPr>
          <w:color w:val="2C398A"/>
        </w:rPr>
        <w:t>setting</w:t>
      </w:r>
      <w:r>
        <w:rPr>
          <w:color w:val="2C398A"/>
          <w:spacing w:val="-1"/>
        </w:rPr>
        <w:t xml:space="preserve"> </w:t>
      </w:r>
      <w:r>
        <w:rPr>
          <w:color w:val="2C398A"/>
        </w:rPr>
        <w:t>system</w:t>
      </w:r>
    </w:p>
    <w:p w:rsidR="00A56FE9" w:rsidRDefault="00000000">
      <w:pPr>
        <w:spacing w:before="231"/>
        <w:ind w:left="138" w:right="272"/>
        <w:jc w:val="both"/>
        <w:rPr>
          <w:i/>
          <w:sz w:val="24"/>
        </w:rPr>
      </w:pPr>
      <w:r>
        <w:rPr>
          <w:i/>
          <w:color w:val="2C398A"/>
          <w:sz w:val="24"/>
        </w:rPr>
        <w:t>2019.CSR2.4. In consultation with the social partners, introduce harmonised wage-setting</w:t>
      </w:r>
      <w:r>
        <w:rPr>
          <w:i/>
          <w:color w:val="2C398A"/>
          <w:spacing w:val="1"/>
          <w:sz w:val="24"/>
        </w:rPr>
        <w:t xml:space="preserve"> </w:t>
      </w:r>
      <w:r>
        <w:rPr>
          <w:i/>
          <w:color w:val="2C398A"/>
          <w:sz w:val="24"/>
        </w:rPr>
        <w:t>frameworks</w:t>
      </w:r>
      <w:r>
        <w:rPr>
          <w:i/>
          <w:color w:val="2C398A"/>
          <w:spacing w:val="-1"/>
          <w:sz w:val="24"/>
        </w:rPr>
        <w:t xml:space="preserve"> </w:t>
      </w:r>
      <w:r>
        <w:rPr>
          <w:i/>
          <w:color w:val="2C398A"/>
          <w:sz w:val="24"/>
        </w:rPr>
        <w:t>across the</w:t>
      </w:r>
      <w:r>
        <w:rPr>
          <w:i/>
          <w:color w:val="2C398A"/>
          <w:spacing w:val="-1"/>
          <w:sz w:val="24"/>
        </w:rPr>
        <w:t xml:space="preserve"> </w:t>
      </w:r>
      <w:r>
        <w:rPr>
          <w:i/>
          <w:color w:val="2C398A"/>
          <w:sz w:val="24"/>
        </w:rPr>
        <w:t>public</w:t>
      </w:r>
      <w:r>
        <w:rPr>
          <w:i/>
          <w:color w:val="2C398A"/>
          <w:spacing w:val="-1"/>
          <w:sz w:val="24"/>
        </w:rPr>
        <w:t xml:space="preserve"> </w:t>
      </w:r>
      <w:r>
        <w:rPr>
          <w:i/>
          <w:color w:val="2C398A"/>
          <w:sz w:val="24"/>
        </w:rPr>
        <w:t>administration and</w:t>
      </w:r>
      <w:r>
        <w:rPr>
          <w:i/>
          <w:color w:val="2C398A"/>
          <w:spacing w:val="-2"/>
          <w:sz w:val="24"/>
        </w:rPr>
        <w:t xml:space="preserve"> </w:t>
      </w:r>
      <w:r>
        <w:rPr>
          <w:i/>
          <w:color w:val="2C398A"/>
          <w:sz w:val="24"/>
        </w:rPr>
        <w:t>public</w:t>
      </w:r>
      <w:r>
        <w:rPr>
          <w:i/>
          <w:color w:val="2C398A"/>
          <w:spacing w:val="-1"/>
          <w:sz w:val="24"/>
        </w:rPr>
        <w:t xml:space="preserve"> </w:t>
      </w:r>
      <w:r>
        <w:rPr>
          <w:i/>
          <w:color w:val="2C398A"/>
          <w:sz w:val="24"/>
        </w:rPr>
        <w:t>services</w:t>
      </w:r>
    </w:p>
    <w:p w:rsidR="00A56FE9" w:rsidRDefault="00A56FE9">
      <w:pPr>
        <w:pStyle w:val="Tijeloteksta"/>
        <w:spacing w:before="3"/>
        <w:ind w:left="0"/>
        <w:jc w:val="left"/>
        <w:rPr>
          <w:i/>
          <w:sz w:val="21"/>
        </w:rPr>
      </w:pPr>
    </w:p>
    <w:p w:rsidR="00A56FE9" w:rsidRDefault="00CC1B9B">
      <w:pPr>
        <w:pStyle w:val="Naslov5"/>
      </w:pPr>
      <w:r>
        <w:rPr>
          <w:noProof/>
        </w:rPr>
        <mc:AlternateContent>
          <mc:Choice Requires="wps">
            <w:drawing>
              <wp:anchor distT="0" distB="0" distL="0" distR="0" simplePos="0" relativeHeight="487616512" behindDoc="1" locked="0" layoutInCell="1" allowOverlap="1">
                <wp:simplePos x="0" y="0"/>
                <wp:positionH relativeFrom="page">
                  <wp:posOffset>882650</wp:posOffset>
                </wp:positionH>
                <wp:positionV relativeFrom="paragraph">
                  <wp:posOffset>189230</wp:posOffset>
                </wp:positionV>
                <wp:extent cx="3367405" cy="12065"/>
                <wp:effectExtent l="0" t="0" r="0" b="0"/>
                <wp:wrapTopAndBottom/>
                <wp:docPr id="1149163458"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7405"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DBEFB" id="Rectangle 257" o:spid="_x0000_s1026" style="position:absolute;margin-left:69.5pt;margin-top:14.9pt;width:265.15pt;height:.95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" fillcolor="#2c398a" stroked="f">
                <w10:wrap type="topAndBottom" anchorx="page"/>
              </v:rect>
            </w:pict>
          </mc:Fallback>
        </mc:AlternateContent>
      </w:r>
      <w:r w:rsidR="00000000">
        <w:t>Progress</w:t>
      </w:r>
      <w:r w:rsidR="00000000">
        <w:rPr>
          <w:spacing w:val="-2"/>
        </w:rPr>
        <w:t xml:space="preserve"> </w:t>
      </w:r>
      <w:r w:rsidR="00000000">
        <w:t>in</w:t>
      </w:r>
      <w:r w:rsidR="00000000">
        <w:rPr>
          <w:spacing w:val="-2"/>
        </w:rPr>
        <w:t xml:space="preserve"> </w:t>
      </w:r>
      <w:r w:rsidR="00000000">
        <w:t>implementing</w:t>
      </w:r>
      <w:r w:rsidR="00000000">
        <w:rPr>
          <w:spacing w:val="-2"/>
        </w:rPr>
        <w:t xml:space="preserve"> </w:t>
      </w:r>
      <w:r w:rsidR="00000000">
        <w:t>the</w:t>
      </w:r>
      <w:r w:rsidR="00000000">
        <w:rPr>
          <w:spacing w:val="-2"/>
        </w:rPr>
        <w:t xml:space="preserve"> </w:t>
      </w:r>
      <w:r w:rsidR="00000000">
        <w:t>recommendations</w:t>
      </w:r>
    </w:p>
    <w:p w:rsidR="00A56FE9" w:rsidRDefault="00000000">
      <w:pPr>
        <w:pStyle w:val="Tijeloteksta"/>
        <w:spacing w:before="126"/>
        <w:ind w:right="274"/>
      </w:pPr>
      <w:r>
        <w:t>The</w:t>
      </w:r>
      <w:r>
        <w:rPr>
          <w:spacing w:val="1"/>
        </w:rPr>
        <w:t xml:space="preserve"> </w:t>
      </w:r>
      <w:r>
        <w:t>planned</w:t>
      </w:r>
      <w:r>
        <w:rPr>
          <w:spacing w:val="1"/>
        </w:rPr>
        <w:t xml:space="preserve"> </w:t>
      </w:r>
      <w:r>
        <w:t>reform</w:t>
      </w:r>
      <w:r>
        <w:rPr>
          <w:spacing w:val="1"/>
        </w:rPr>
        <w:t xml:space="preserve"> </w:t>
      </w:r>
      <w:r>
        <w:t>of</w:t>
      </w:r>
      <w:r>
        <w:rPr>
          <w:spacing w:val="1"/>
        </w:rPr>
        <w:t xml:space="preserve"> </w:t>
      </w:r>
      <w:r>
        <w:t>the</w:t>
      </w:r>
      <w:r>
        <w:rPr>
          <w:spacing w:val="1"/>
        </w:rPr>
        <w:t xml:space="preserve"> </w:t>
      </w:r>
      <w:r>
        <w:t>salary</w:t>
      </w:r>
      <w:r>
        <w:rPr>
          <w:spacing w:val="1"/>
        </w:rPr>
        <w:t xml:space="preserve"> </w:t>
      </w:r>
      <w:r>
        <w:t>system</w:t>
      </w:r>
      <w:r>
        <w:rPr>
          <w:spacing w:val="1"/>
        </w:rPr>
        <w:t xml:space="preserve"> </w:t>
      </w:r>
      <w:r>
        <w:t>in</w:t>
      </w:r>
      <w:r>
        <w:rPr>
          <w:spacing w:val="1"/>
        </w:rPr>
        <w:t xml:space="preserve"> </w:t>
      </w:r>
      <w:r>
        <w:t>the</w:t>
      </w:r>
      <w:r>
        <w:rPr>
          <w:spacing w:val="1"/>
        </w:rPr>
        <w:t xml:space="preserve"> </w:t>
      </w:r>
      <w:r>
        <w:t>civil</w:t>
      </w:r>
      <w:r>
        <w:rPr>
          <w:spacing w:val="1"/>
        </w:rPr>
        <w:t xml:space="preserve"> </w:t>
      </w:r>
      <w:r>
        <w:t>and</w:t>
      </w:r>
      <w:r>
        <w:rPr>
          <w:spacing w:val="1"/>
        </w:rPr>
        <w:t xml:space="preserve"> </w:t>
      </w:r>
      <w:r>
        <w:t>public</w:t>
      </w:r>
      <w:r>
        <w:rPr>
          <w:spacing w:val="1"/>
        </w:rPr>
        <w:t xml:space="preserve"> </w:t>
      </w:r>
      <w:r>
        <w:t>service</w:t>
      </w:r>
      <w:r>
        <w:rPr>
          <w:spacing w:val="1"/>
        </w:rPr>
        <w:t xml:space="preserve"> </w:t>
      </w:r>
      <w:r>
        <w:t>should</w:t>
      </w:r>
      <w:r>
        <w:rPr>
          <w:spacing w:val="1"/>
        </w:rPr>
        <w:t xml:space="preserve"> </w:t>
      </w:r>
      <w:r>
        <w:t>ensure</w:t>
      </w:r>
      <w:r>
        <w:rPr>
          <w:spacing w:val="1"/>
        </w:rPr>
        <w:t xml:space="preserve"> </w:t>
      </w:r>
      <w:r>
        <w:t>harmonisation</w:t>
      </w:r>
      <w:r>
        <w:rPr>
          <w:spacing w:val="-6"/>
        </w:rPr>
        <w:t xml:space="preserve"> </w:t>
      </w:r>
      <w:r>
        <w:t>of</w:t>
      </w:r>
      <w:r>
        <w:rPr>
          <w:spacing w:val="-7"/>
        </w:rPr>
        <w:t xml:space="preserve"> </w:t>
      </w:r>
      <w:r>
        <w:t>the</w:t>
      </w:r>
      <w:r>
        <w:rPr>
          <w:spacing w:val="-4"/>
        </w:rPr>
        <w:t xml:space="preserve"> </w:t>
      </w:r>
      <w:r>
        <w:t>framework</w:t>
      </w:r>
      <w:r>
        <w:rPr>
          <w:spacing w:val="-7"/>
        </w:rPr>
        <w:t xml:space="preserve"> </w:t>
      </w:r>
      <w:r>
        <w:t>for</w:t>
      </w:r>
      <w:r>
        <w:rPr>
          <w:spacing w:val="-7"/>
        </w:rPr>
        <w:t xml:space="preserve"> </w:t>
      </w:r>
      <w:r>
        <w:t>determining</w:t>
      </w:r>
      <w:r>
        <w:rPr>
          <w:spacing w:val="-5"/>
        </w:rPr>
        <w:t xml:space="preserve"> </w:t>
      </w:r>
      <w:r>
        <w:t>salaries</w:t>
      </w:r>
      <w:r>
        <w:rPr>
          <w:spacing w:val="-6"/>
        </w:rPr>
        <w:t xml:space="preserve"> </w:t>
      </w:r>
      <w:r>
        <w:t>in</w:t>
      </w:r>
      <w:r>
        <w:rPr>
          <w:spacing w:val="-2"/>
        </w:rPr>
        <w:t xml:space="preserve"> </w:t>
      </w:r>
      <w:r>
        <w:t>civil</w:t>
      </w:r>
      <w:r>
        <w:rPr>
          <w:spacing w:val="-6"/>
        </w:rPr>
        <w:t xml:space="preserve"> </w:t>
      </w:r>
      <w:r>
        <w:t>service</w:t>
      </w:r>
      <w:r>
        <w:rPr>
          <w:spacing w:val="-2"/>
        </w:rPr>
        <w:t xml:space="preserve"> </w:t>
      </w:r>
      <w:r>
        <w:t>and</w:t>
      </w:r>
      <w:r>
        <w:rPr>
          <w:spacing w:val="-5"/>
        </w:rPr>
        <w:t xml:space="preserve"> </w:t>
      </w:r>
      <w:r>
        <w:t>public</w:t>
      </w:r>
      <w:r>
        <w:rPr>
          <w:spacing w:val="-7"/>
        </w:rPr>
        <w:t xml:space="preserve"> </w:t>
      </w:r>
      <w:r>
        <w:t>service</w:t>
      </w:r>
      <w:r>
        <w:rPr>
          <w:spacing w:val="-6"/>
        </w:rPr>
        <w:t xml:space="preserve"> </w:t>
      </w:r>
      <w:r>
        <w:t>and</w:t>
      </w:r>
      <w:r>
        <w:rPr>
          <w:spacing w:val="-58"/>
        </w:rPr>
        <w:t xml:space="preserve"> </w:t>
      </w:r>
      <w:r>
        <w:t>harmonisation of the salary system. The salary system in civil service and public service will</w:t>
      </w:r>
      <w:r>
        <w:rPr>
          <w:spacing w:val="1"/>
        </w:rPr>
        <w:t xml:space="preserve"> </w:t>
      </w:r>
      <w:r>
        <w:t>be</w:t>
      </w:r>
      <w:r>
        <w:rPr>
          <w:spacing w:val="-7"/>
        </w:rPr>
        <w:t xml:space="preserve"> </w:t>
      </w:r>
      <w:r>
        <w:t>standardised,</w:t>
      </w:r>
      <w:r>
        <w:rPr>
          <w:spacing w:val="-6"/>
        </w:rPr>
        <w:t xml:space="preserve"> </w:t>
      </w:r>
      <w:r>
        <w:t>including</w:t>
      </w:r>
      <w:r>
        <w:rPr>
          <w:spacing w:val="-8"/>
        </w:rPr>
        <w:t xml:space="preserve"> </w:t>
      </w:r>
      <w:r>
        <w:t>the</w:t>
      </w:r>
      <w:r>
        <w:rPr>
          <w:spacing w:val="-7"/>
        </w:rPr>
        <w:t xml:space="preserve"> </w:t>
      </w:r>
      <w:r>
        <w:t>implementation</w:t>
      </w:r>
      <w:r>
        <w:rPr>
          <w:spacing w:val="-5"/>
        </w:rPr>
        <w:t xml:space="preserve"> </w:t>
      </w:r>
      <w:r>
        <w:t>of</w:t>
      </w:r>
      <w:r>
        <w:rPr>
          <w:spacing w:val="-7"/>
        </w:rPr>
        <w:t xml:space="preserve"> </w:t>
      </w:r>
      <w:r>
        <w:t>the</w:t>
      </w:r>
      <w:r>
        <w:rPr>
          <w:spacing w:val="-7"/>
        </w:rPr>
        <w:t xml:space="preserve"> </w:t>
      </w:r>
      <w:r>
        <w:t>principle</w:t>
      </w:r>
      <w:r>
        <w:rPr>
          <w:spacing w:val="-7"/>
        </w:rPr>
        <w:t xml:space="preserve"> </w:t>
      </w:r>
      <w:r>
        <w:t>of</w:t>
      </w:r>
      <w:r>
        <w:rPr>
          <w:spacing w:val="-6"/>
        </w:rPr>
        <w:t xml:space="preserve"> </w:t>
      </w:r>
      <w:r>
        <w:t>equal</w:t>
      </w:r>
      <w:r>
        <w:rPr>
          <w:spacing w:val="-6"/>
        </w:rPr>
        <w:t xml:space="preserve"> </w:t>
      </w:r>
      <w:r>
        <w:t>pay</w:t>
      </w:r>
      <w:r>
        <w:rPr>
          <w:spacing w:val="-11"/>
        </w:rPr>
        <w:t xml:space="preserve"> </w:t>
      </w:r>
      <w:r>
        <w:t>for</w:t>
      </w:r>
      <w:r>
        <w:rPr>
          <w:spacing w:val="-8"/>
        </w:rPr>
        <w:t xml:space="preserve"> </w:t>
      </w:r>
      <w:r>
        <w:t>equal</w:t>
      </w:r>
      <w:r>
        <w:rPr>
          <w:spacing w:val="-5"/>
        </w:rPr>
        <w:t xml:space="preserve"> </w:t>
      </w:r>
      <w:r>
        <w:t>work,</w:t>
      </w:r>
      <w:r>
        <w:rPr>
          <w:spacing w:val="-6"/>
        </w:rPr>
        <w:t xml:space="preserve"> </w:t>
      </w:r>
      <w:r>
        <w:t>i.e.,</w:t>
      </w:r>
      <w:r>
        <w:rPr>
          <w:spacing w:val="-58"/>
        </w:rPr>
        <w:t xml:space="preserve"> </w:t>
      </w:r>
      <w:r>
        <w:t>work</w:t>
      </w:r>
      <w:r>
        <w:rPr>
          <w:spacing w:val="-2"/>
        </w:rPr>
        <w:t xml:space="preserve"> </w:t>
      </w:r>
      <w:r>
        <w:t>of</w:t>
      </w:r>
      <w:r>
        <w:rPr>
          <w:spacing w:val="-2"/>
        </w:rPr>
        <w:t xml:space="preserve"> </w:t>
      </w:r>
      <w:r>
        <w:t>equal</w:t>
      </w:r>
      <w:r>
        <w:rPr>
          <w:spacing w:val="-1"/>
        </w:rPr>
        <w:t xml:space="preserve"> </w:t>
      </w:r>
      <w:r>
        <w:t>value,</w:t>
      </w:r>
      <w:r>
        <w:rPr>
          <w:spacing w:val="-2"/>
        </w:rPr>
        <w:t xml:space="preserve"> </w:t>
      </w:r>
      <w:r>
        <w:t>regardless</w:t>
      </w:r>
      <w:r>
        <w:rPr>
          <w:spacing w:val="-1"/>
        </w:rPr>
        <w:t xml:space="preserve"> </w:t>
      </w:r>
      <w:r>
        <w:t>of</w:t>
      </w:r>
      <w:r>
        <w:rPr>
          <w:spacing w:val="-2"/>
        </w:rPr>
        <w:t xml:space="preserve"> </w:t>
      </w:r>
      <w:r>
        <w:t>the</w:t>
      </w:r>
      <w:r>
        <w:rPr>
          <w:spacing w:val="-1"/>
        </w:rPr>
        <w:t xml:space="preserve"> </w:t>
      </w:r>
      <w:r>
        <w:t>segment</w:t>
      </w:r>
      <w:r>
        <w:rPr>
          <w:spacing w:val="-2"/>
        </w:rPr>
        <w:t xml:space="preserve"> </w:t>
      </w:r>
      <w:r>
        <w:t>of</w:t>
      </w:r>
      <w:r>
        <w:rPr>
          <w:spacing w:val="-2"/>
        </w:rPr>
        <w:t xml:space="preserve"> </w:t>
      </w:r>
      <w:r>
        <w:t>public</w:t>
      </w:r>
      <w:r>
        <w:rPr>
          <w:spacing w:val="-3"/>
        </w:rPr>
        <w:t xml:space="preserve"> </w:t>
      </w:r>
      <w:r>
        <w:t>administration</w:t>
      </w:r>
      <w:r>
        <w:rPr>
          <w:spacing w:val="-2"/>
        </w:rPr>
        <w:t xml:space="preserve"> </w:t>
      </w:r>
      <w:r>
        <w:t>in</w:t>
      </w:r>
      <w:r>
        <w:rPr>
          <w:spacing w:val="-6"/>
        </w:rPr>
        <w:t xml:space="preserve"> </w:t>
      </w:r>
      <w:r>
        <w:t>which</w:t>
      </w:r>
      <w:r>
        <w:rPr>
          <w:spacing w:val="-2"/>
        </w:rPr>
        <w:t xml:space="preserve"> </w:t>
      </w:r>
      <w:r>
        <w:t>the</w:t>
      </w:r>
      <w:r>
        <w:rPr>
          <w:spacing w:val="-1"/>
        </w:rPr>
        <w:t xml:space="preserve"> </w:t>
      </w:r>
      <w:r>
        <w:t>employee</w:t>
      </w:r>
      <w:r>
        <w:rPr>
          <w:spacing w:val="-58"/>
        </w:rPr>
        <w:t xml:space="preserve"> </w:t>
      </w:r>
      <w:r>
        <w:t>is employed, will be implemented, and a system of rewarding employees with extraordinary</w:t>
      </w:r>
      <w:r>
        <w:rPr>
          <w:spacing w:val="1"/>
        </w:rPr>
        <w:t xml:space="preserve"> </w:t>
      </w:r>
      <w:r>
        <w:t>work results. To implement this reform, the Ministry of Justice and Public Administration</w:t>
      </w:r>
      <w:r>
        <w:rPr>
          <w:spacing w:val="1"/>
        </w:rPr>
        <w:t xml:space="preserve"> </w:t>
      </w:r>
      <w:r>
        <w:t>(MJPA) and the Ministry of Labour, Pension System, Family and Social Policy (MLPSFSP)</w:t>
      </w:r>
      <w:r>
        <w:rPr>
          <w:spacing w:val="1"/>
        </w:rPr>
        <w:t xml:space="preserve"> </w:t>
      </w:r>
      <w:r>
        <w:t>initiated cooperation with the World Bank in December 2021, which will analyse the current</w:t>
      </w:r>
      <w:r>
        <w:rPr>
          <w:spacing w:val="1"/>
        </w:rPr>
        <w:t xml:space="preserve"> </w:t>
      </w:r>
      <w:r>
        <w:t>public sector salary system in 2022, present the way salary systems are regulated in other EU</w:t>
      </w:r>
      <w:r>
        <w:rPr>
          <w:spacing w:val="1"/>
        </w:rPr>
        <w:t xml:space="preserve"> </w:t>
      </w:r>
      <w:r>
        <w:t>member</w:t>
      </w:r>
      <w:r>
        <w:rPr>
          <w:spacing w:val="-9"/>
        </w:rPr>
        <w:t xml:space="preserve"> </w:t>
      </w:r>
      <w:r>
        <w:t>states</w:t>
      </w:r>
      <w:r>
        <w:rPr>
          <w:spacing w:val="-5"/>
        </w:rPr>
        <w:t xml:space="preserve"> </w:t>
      </w:r>
      <w:r>
        <w:t>and</w:t>
      </w:r>
      <w:r>
        <w:rPr>
          <w:spacing w:val="-8"/>
        </w:rPr>
        <w:t xml:space="preserve"> </w:t>
      </w:r>
      <w:r>
        <w:t>propose</w:t>
      </w:r>
      <w:r>
        <w:rPr>
          <w:spacing w:val="-8"/>
        </w:rPr>
        <w:t xml:space="preserve"> </w:t>
      </w:r>
      <w:r>
        <w:t>a</w:t>
      </w:r>
      <w:r>
        <w:rPr>
          <w:spacing w:val="-9"/>
        </w:rPr>
        <w:t xml:space="preserve"> </w:t>
      </w:r>
      <w:r>
        <w:t>new</w:t>
      </w:r>
      <w:r>
        <w:rPr>
          <w:spacing w:val="-9"/>
        </w:rPr>
        <w:t xml:space="preserve"> </w:t>
      </w:r>
      <w:r>
        <w:t>model.</w:t>
      </w:r>
      <w:r>
        <w:rPr>
          <w:spacing w:val="-7"/>
        </w:rPr>
        <w:t xml:space="preserve"> </w:t>
      </w:r>
      <w:r>
        <w:t>Salaries</w:t>
      </w:r>
      <w:r>
        <w:rPr>
          <w:spacing w:val="-3"/>
        </w:rPr>
        <w:t xml:space="preserve"> </w:t>
      </w:r>
      <w:r>
        <w:t>in</w:t>
      </w:r>
      <w:r>
        <w:rPr>
          <w:spacing w:val="-7"/>
        </w:rPr>
        <w:t xml:space="preserve"> </w:t>
      </w:r>
      <w:r>
        <w:t>the</w:t>
      </w:r>
      <w:r>
        <w:rPr>
          <w:spacing w:val="-8"/>
        </w:rPr>
        <w:t xml:space="preserve"> </w:t>
      </w:r>
      <w:r>
        <w:t>public</w:t>
      </w:r>
      <w:r>
        <w:rPr>
          <w:spacing w:val="-10"/>
        </w:rPr>
        <w:t xml:space="preserve"> </w:t>
      </w:r>
      <w:r>
        <w:t>sector,</w:t>
      </w:r>
      <w:r>
        <w:rPr>
          <w:spacing w:val="-8"/>
        </w:rPr>
        <w:t xml:space="preserve"> </w:t>
      </w:r>
      <w:r>
        <w:t>on</w:t>
      </w:r>
      <w:r>
        <w:rPr>
          <w:spacing w:val="-6"/>
        </w:rPr>
        <w:t xml:space="preserve"> </w:t>
      </w:r>
      <w:r>
        <w:t>the</w:t>
      </w:r>
      <w:r>
        <w:rPr>
          <w:spacing w:val="-8"/>
        </w:rPr>
        <w:t xml:space="preserve"> </w:t>
      </w:r>
      <w:r>
        <w:t>basis</w:t>
      </w:r>
      <w:r>
        <w:rPr>
          <w:spacing w:val="-7"/>
        </w:rPr>
        <w:t xml:space="preserve"> </w:t>
      </w:r>
      <w:r>
        <w:t>of</w:t>
      </w:r>
      <w:r>
        <w:rPr>
          <w:spacing w:val="-7"/>
        </w:rPr>
        <w:t xml:space="preserve"> </w:t>
      </w:r>
      <w:r>
        <w:t>which</w:t>
      </w:r>
      <w:r>
        <w:rPr>
          <w:spacing w:val="-6"/>
        </w:rPr>
        <w:t xml:space="preserve"> </w:t>
      </w:r>
      <w:r>
        <w:t>the</w:t>
      </w:r>
      <w:r>
        <w:rPr>
          <w:spacing w:val="-57"/>
        </w:rPr>
        <w:t xml:space="preserve"> </w:t>
      </w:r>
      <w:r>
        <w:t>MJPA will draft the Civil Service Salaries Act in Q1/2023, and the MLPSFSP will draft the</w:t>
      </w:r>
      <w:r>
        <w:rPr>
          <w:spacing w:val="1"/>
        </w:rPr>
        <w:t xml:space="preserve"> </w:t>
      </w:r>
      <w:r>
        <w:t>Public Services Salaries Act. To coordinate activities related to this complex reform, a joint</w:t>
      </w:r>
      <w:r>
        <w:rPr>
          <w:spacing w:val="1"/>
        </w:rPr>
        <w:t xml:space="preserve"> </w:t>
      </w:r>
      <w:r>
        <w:t>governmental coordinating body headed by the Deputy Prime Minister</w:t>
      </w:r>
      <w:r>
        <w:rPr>
          <w:spacing w:val="1"/>
        </w:rPr>
        <w:t xml:space="preserve"> </w:t>
      </w:r>
      <w:r>
        <w:t>– the Minister of</w:t>
      </w:r>
      <w:r>
        <w:rPr>
          <w:spacing w:val="1"/>
        </w:rPr>
        <w:t xml:space="preserve"> </w:t>
      </w:r>
      <w:r>
        <w:rPr>
          <w:spacing w:val="-1"/>
        </w:rPr>
        <w:t>Finance</w:t>
      </w:r>
      <w:r>
        <w:rPr>
          <w:spacing w:val="-16"/>
        </w:rPr>
        <w:t xml:space="preserve"> </w:t>
      </w:r>
      <w:r>
        <w:rPr>
          <w:spacing w:val="-1"/>
        </w:rPr>
        <w:t>-</w:t>
      </w:r>
      <w:r>
        <w:rPr>
          <w:spacing w:val="-12"/>
        </w:rPr>
        <w:t xml:space="preserve"> </w:t>
      </w:r>
      <w:r>
        <w:rPr>
          <w:spacing w:val="-1"/>
        </w:rPr>
        <w:t>was</w:t>
      </w:r>
      <w:r>
        <w:rPr>
          <w:spacing w:val="-11"/>
        </w:rPr>
        <w:t xml:space="preserve"> </w:t>
      </w:r>
      <w:r>
        <w:rPr>
          <w:spacing w:val="-1"/>
        </w:rPr>
        <w:t>established</w:t>
      </w:r>
      <w:r>
        <w:rPr>
          <w:spacing w:val="-13"/>
        </w:rPr>
        <w:t xml:space="preserve"> </w:t>
      </w:r>
      <w:r>
        <w:t>by</w:t>
      </w:r>
      <w:r>
        <w:rPr>
          <w:spacing w:val="-16"/>
        </w:rPr>
        <w:t xml:space="preserve"> </w:t>
      </w:r>
      <w:r>
        <w:t>a</w:t>
      </w:r>
      <w:r>
        <w:rPr>
          <w:spacing w:val="-15"/>
        </w:rPr>
        <w:t xml:space="preserve"> </w:t>
      </w:r>
      <w:r>
        <w:t>decision</w:t>
      </w:r>
      <w:r>
        <w:rPr>
          <w:spacing w:val="-15"/>
        </w:rPr>
        <w:t xml:space="preserve"> </w:t>
      </w:r>
      <w:r>
        <w:t>of</w:t>
      </w:r>
      <w:r>
        <w:rPr>
          <w:spacing w:val="-15"/>
        </w:rPr>
        <w:t xml:space="preserve"> </w:t>
      </w:r>
      <w:r>
        <w:t>the</w:t>
      </w:r>
      <w:r>
        <w:rPr>
          <w:spacing w:val="-12"/>
        </w:rPr>
        <w:t xml:space="preserve"> </w:t>
      </w:r>
      <w:r>
        <w:t>Government.</w:t>
      </w:r>
      <w:r>
        <w:rPr>
          <w:spacing w:val="-12"/>
        </w:rPr>
        <w:t xml:space="preserve"> </w:t>
      </w:r>
      <w:r>
        <w:t>In</w:t>
      </w:r>
      <w:r>
        <w:rPr>
          <w:spacing w:val="-14"/>
        </w:rPr>
        <w:t xml:space="preserve"> </w:t>
      </w:r>
      <w:r>
        <w:t>terms</w:t>
      </w:r>
      <w:r>
        <w:rPr>
          <w:spacing w:val="-14"/>
        </w:rPr>
        <w:t xml:space="preserve"> </w:t>
      </w:r>
      <w:r>
        <w:t>of</w:t>
      </w:r>
      <w:r>
        <w:rPr>
          <w:spacing w:val="-16"/>
        </w:rPr>
        <w:t xml:space="preserve"> </w:t>
      </w:r>
      <w:r>
        <w:t>each</w:t>
      </w:r>
      <w:r>
        <w:rPr>
          <w:spacing w:val="-14"/>
        </w:rPr>
        <w:t xml:space="preserve"> </w:t>
      </w:r>
      <w:r>
        <w:t>state</w:t>
      </w:r>
      <w:r>
        <w:rPr>
          <w:spacing w:val="-15"/>
        </w:rPr>
        <w:t xml:space="preserve"> </w:t>
      </w:r>
      <w:r>
        <w:t>administration</w:t>
      </w:r>
      <w:r>
        <w:rPr>
          <w:spacing w:val="-58"/>
        </w:rPr>
        <w:t xml:space="preserve"> </w:t>
      </w:r>
      <w:r>
        <w:t>body,</w:t>
      </w:r>
      <w:r>
        <w:rPr>
          <w:spacing w:val="-4"/>
        </w:rPr>
        <w:t xml:space="preserve"> </w:t>
      </w:r>
      <w:r>
        <w:t>there</w:t>
      </w:r>
      <w:r>
        <w:rPr>
          <w:spacing w:val="-2"/>
        </w:rPr>
        <w:t xml:space="preserve"> </w:t>
      </w:r>
      <w:r>
        <w:t>will</w:t>
      </w:r>
      <w:r>
        <w:rPr>
          <w:spacing w:val="-2"/>
        </w:rPr>
        <w:t xml:space="preserve"> </w:t>
      </w:r>
      <w:r>
        <w:t>be</w:t>
      </w:r>
      <w:r>
        <w:rPr>
          <w:spacing w:val="-2"/>
        </w:rPr>
        <w:t xml:space="preserve"> </w:t>
      </w:r>
      <w:r>
        <w:t>formed</w:t>
      </w:r>
      <w:r>
        <w:rPr>
          <w:spacing w:val="-3"/>
        </w:rPr>
        <w:t xml:space="preserve"> </w:t>
      </w:r>
      <w:r>
        <w:t>a</w:t>
      </w:r>
      <w:r>
        <w:rPr>
          <w:spacing w:val="-5"/>
        </w:rPr>
        <w:t xml:space="preserve"> </w:t>
      </w:r>
      <w:r>
        <w:t>working</w:t>
      </w:r>
      <w:r>
        <w:rPr>
          <w:spacing w:val="-3"/>
        </w:rPr>
        <w:t xml:space="preserve"> </w:t>
      </w:r>
      <w:r>
        <w:t>group</w:t>
      </w:r>
      <w:r>
        <w:rPr>
          <w:spacing w:val="-1"/>
        </w:rPr>
        <w:t xml:space="preserve"> </w:t>
      </w:r>
      <w:r>
        <w:t>for</w:t>
      </w:r>
      <w:r>
        <w:rPr>
          <w:spacing w:val="-2"/>
        </w:rPr>
        <w:t xml:space="preserve"> </w:t>
      </w:r>
      <w:r>
        <w:t>expert</w:t>
      </w:r>
      <w:r>
        <w:rPr>
          <w:spacing w:val="-3"/>
        </w:rPr>
        <w:t xml:space="preserve"> </w:t>
      </w:r>
      <w:r>
        <w:t>support</w:t>
      </w:r>
      <w:r>
        <w:rPr>
          <w:spacing w:val="-1"/>
        </w:rPr>
        <w:t xml:space="preserve"> </w:t>
      </w:r>
      <w:r>
        <w:t>and cooperation</w:t>
      </w:r>
      <w:r>
        <w:rPr>
          <w:spacing w:val="-3"/>
        </w:rPr>
        <w:t xml:space="preserve"> </w:t>
      </w:r>
      <w:r>
        <w:t>with</w:t>
      </w:r>
      <w:r>
        <w:rPr>
          <w:spacing w:val="-2"/>
        </w:rPr>
        <w:t xml:space="preserve"> </w:t>
      </w:r>
      <w:r>
        <w:t>the</w:t>
      </w:r>
      <w:r>
        <w:rPr>
          <w:spacing w:val="-4"/>
        </w:rPr>
        <w:t xml:space="preserve"> </w:t>
      </w:r>
      <w:r>
        <w:t>World</w:t>
      </w:r>
      <w:r>
        <w:rPr>
          <w:spacing w:val="-57"/>
        </w:rPr>
        <w:t xml:space="preserve"> </w:t>
      </w:r>
      <w:r>
        <w:rPr>
          <w:spacing w:val="-1"/>
        </w:rPr>
        <w:t>Bank</w:t>
      </w:r>
      <w:r>
        <w:rPr>
          <w:spacing w:val="-8"/>
        </w:rPr>
        <w:t xml:space="preserve"> </w:t>
      </w:r>
      <w:r>
        <w:rPr>
          <w:spacing w:val="-1"/>
        </w:rPr>
        <w:t>and</w:t>
      </w:r>
      <w:r>
        <w:rPr>
          <w:spacing w:val="-10"/>
        </w:rPr>
        <w:t xml:space="preserve"> </w:t>
      </w:r>
      <w:r>
        <w:rPr>
          <w:spacing w:val="-1"/>
        </w:rPr>
        <w:t>the</w:t>
      </w:r>
      <w:r>
        <w:rPr>
          <w:spacing w:val="-11"/>
        </w:rPr>
        <w:t xml:space="preserve"> </w:t>
      </w:r>
      <w:r>
        <w:t>MJPA</w:t>
      </w:r>
      <w:r>
        <w:rPr>
          <w:spacing w:val="-11"/>
        </w:rPr>
        <w:t xml:space="preserve"> </w:t>
      </w:r>
      <w:r>
        <w:t>as</w:t>
      </w:r>
      <w:r>
        <w:rPr>
          <w:spacing w:val="-10"/>
        </w:rPr>
        <w:t xml:space="preserve"> </w:t>
      </w:r>
      <w:r>
        <w:t>a</w:t>
      </w:r>
      <w:r>
        <w:rPr>
          <w:spacing w:val="-11"/>
        </w:rPr>
        <w:t xml:space="preserve"> </w:t>
      </w:r>
      <w:r>
        <w:t>coordinator</w:t>
      </w:r>
      <w:r>
        <w:rPr>
          <w:spacing w:val="-10"/>
        </w:rPr>
        <w:t xml:space="preserve"> </w:t>
      </w:r>
      <w:r>
        <w:t>of</w:t>
      </w:r>
      <w:r>
        <w:rPr>
          <w:spacing w:val="-8"/>
        </w:rPr>
        <w:t xml:space="preserve"> </w:t>
      </w:r>
      <w:r>
        <w:t>activities</w:t>
      </w:r>
      <w:r>
        <w:rPr>
          <w:spacing w:val="-10"/>
        </w:rPr>
        <w:t xml:space="preserve"> </w:t>
      </w:r>
      <w:r>
        <w:t>in</w:t>
      </w:r>
      <w:r>
        <w:rPr>
          <w:spacing w:val="-10"/>
        </w:rPr>
        <w:t xml:space="preserve"> </w:t>
      </w:r>
      <w:r>
        <w:t>the</w:t>
      </w:r>
      <w:r>
        <w:rPr>
          <w:spacing w:val="-10"/>
        </w:rPr>
        <w:t xml:space="preserve"> </w:t>
      </w:r>
      <w:r>
        <w:t>reform</w:t>
      </w:r>
      <w:r>
        <w:rPr>
          <w:spacing w:val="-10"/>
        </w:rPr>
        <w:t xml:space="preserve"> </w:t>
      </w:r>
      <w:r>
        <w:t>of</w:t>
      </w:r>
      <w:r>
        <w:rPr>
          <w:spacing w:val="-11"/>
        </w:rPr>
        <w:t xml:space="preserve"> </w:t>
      </w:r>
      <w:r>
        <w:t>the</w:t>
      </w:r>
      <w:r>
        <w:rPr>
          <w:spacing w:val="-11"/>
        </w:rPr>
        <w:t xml:space="preserve"> </w:t>
      </w:r>
      <w:r>
        <w:t>civil</w:t>
      </w:r>
      <w:r>
        <w:rPr>
          <w:spacing w:val="-10"/>
        </w:rPr>
        <w:t xml:space="preserve"> </w:t>
      </w:r>
      <w:r>
        <w:t>service</w:t>
      </w:r>
      <w:r>
        <w:rPr>
          <w:spacing w:val="-11"/>
        </w:rPr>
        <w:t xml:space="preserve"> </w:t>
      </w:r>
      <w:r>
        <w:t>salary</w:t>
      </w:r>
      <w:r>
        <w:rPr>
          <w:spacing w:val="-15"/>
        </w:rPr>
        <w:t xml:space="preserve"> </w:t>
      </w:r>
      <w:r>
        <w:t>system</w:t>
      </w:r>
      <w:r>
        <w:rPr>
          <w:spacing w:val="-57"/>
        </w:rPr>
        <w:t xml:space="preserve"> </w:t>
      </w:r>
      <w:r>
        <w:t>and</w:t>
      </w:r>
      <w:r>
        <w:rPr>
          <w:spacing w:val="-1"/>
        </w:rPr>
        <w:t xml:space="preserve"> </w:t>
      </w:r>
      <w:r>
        <w:t>MLPSFSP</w:t>
      </w:r>
      <w:r>
        <w:rPr>
          <w:spacing w:val="-1"/>
        </w:rPr>
        <w:t xml:space="preserve"> </w:t>
      </w:r>
      <w:r>
        <w:t>as a coordinator</w:t>
      </w:r>
      <w:r>
        <w:rPr>
          <w:spacing w:val="-2"/>
        </w:rPr>
        <w:t xml:space="preserve"> </w:t>
      </w:r>
      <w:r>
        <w:t>of activities</w:t>
      </w:r>
      <w:r>
        <w:rPr>
          <w:spacing w:val="-1"/>
        </w:rPr>
        <w:t xml:space="preserve"> </w:t>
      </w:r>
      <w:r>
        <w:t>in the</w:t>
      </w:r>
      <w:r>
        <w:rPr>
          <w:spacing w:val="-2"/>
        </w:rPr>
        <w:t xml:space="preserve"> </w:t>
      </w:r>
      <w:r>
        <w:t>reform</w:t>
      </w:r>
      <w:r>
        <w:rPr>
          <w:spacing w:val="-1"/>
        </w:rPr>
        <w:t xml:space="preserve"> </w:t>
      </w:r>
      <w:r>
        <w:t>of</w:t>
      </w:r>
      <w:r>
        <w:rPr>
          <w:spacing w:val="-1"/>
        </w:rPr>
        <w:t xml:space="preserve"> </w:t>
      </w:r>
      <w:r>
        <w:t>the</w:t>
      </w:r>
      <w:r>
        <w:rPr>
          <w:spacing w:val="-1"/>
        </w:rPr>
        <w:t xml:space="preserve"> </w:t>
      </w:r>
      <w:r>
        <w:t>public service</w:t>
      </w:r>
      <w:r>
        <w:rPr>
          <w:spacing w:val="-3"/>
        </w:rPr>
        <w:t xml:space="preserve"> </w:t>
      </w:r>
      <w:r>
        <w:t>salary</w:t>
      </w:r>
      <w:r>
        <w:rPr>
          <w:spacing w:val="-6"/>
        </w:rPr>
        <w:t xml:space="preserve"> </w:t>
      </w:r>
      <w:r>
        <w:t>system.</w:t>
      </w:r>
    </w:p>
    <w:p w:rsidR="00A56FE9" w:rsidRDefault="00A56FE9">
      <w:pPr>
        <w:pStyle w:val="Tijeloteksta"/>
        <w:spacing w:before="2"/>
        <w:ind w:left="0"/>
        <w:jc w:val="left"/>
        <w:rPr>
          <w:sz w:val="21"/>
        </w:rPr>
      </w:pPr>
    </w:p>
    <w:p w:rsidR="00A56FE9" w:rsidRDefault="00000000">
      <w:pPr>
        <w:pStyle w:val="Naslov5"/>
        <w:spacing w:after="23"/>
      </w:pPr>
      <w:r>
        <w:t>Planned</w:t>
      </w:r>
      <w:r>
        <w:rPr>
          <w:spacing w:val="-2"/>
        </w:rPr>
        <w:t xml:space="preserve"> </w:t>
      </w:r>
      <w:r>
        <w:t>NRRP</w:t>
      </w:r>
      <w:r>
        <w:rPr>
          <w:spacing w:val="-4"/>
        </w:rPr>
        <w:t xml:space="preserve"> </w:t>
      </w:r>
      <w:r>
        <w:t>reforms and</w:t>
      </w:r>
      <w:r>
        <w:rPr>
          <w:spacing w:val="-1"/>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82123077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606911987" name="Rectangle 256"/>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CAA0863" id="Group 255"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F38tWdQAgAADwUAAA4AAAAAAAAAAAAAAAAALgIAAGRycy9lMm9Eb2MueG1sUEsBAi0AFAAGAAgA&#10;AAAhAOjoSp3cAAAAAwEAAA8AAAAAAAAAAAAAAAAAqgQAAGRycy9kb3ducmV2LnhtbFBLBQYAAAAA&#10;BAAEAPMAAACzBQAAAAA=&#10;">
                <v:rect id="Rectangle 256"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" fillcolor="#2c398a" stroked="f"/>
                <w10:anchorlock/>
              </v:group>
            </w:pict>
          </mc:Fallback>
        </mc:AlternateContent>
      </w:r>
    </w:p>
    <w:p w:rsidR="00A56FE9" w:rsidRDefault="00000000">
      <w:pPr>
        <w:pStyle w:val="Tijeloteksta"/>
        <w:spacing w:before="154"/>
        <w:ind w:right="273"/>
      </w:pPr>
      <w:r>
        <w:t>In terms of the NRRP, the planned reform and investment</w:t>
      </w:r>
      <w:r>
        <w:rPr>
          <w:spacing w:val="1"/>
        </w:rPr>
        <w:t xml:space="preserve"> </w:t>
      </w:r>
      <w:r>
        <w:t>C2.2 R2-I1 –</w:t>
      </w:r>
      <w:r>
        <w:rPr>
          <w:spacing w:val="1"/>
        </w:rPr>
        <w:t xml:space="preserve"> </w:t>
      </w:r>
      <w:r>
        <w:t>Improving the</w:t>
      </w:r>
      <w:r>
        <w:rPr>
          <w:spacing w:val="1"/>
        </w:rPr>
        <w:t xml:space="preserve"> </w:t>
      </w:r>
      <w:r>
        <w:t>remuneration system in the state administration and public services and in the period from</w:t>
      </w:r>
      <w:r>
        <w:rPr>
          <w:spacing w:val="1"/>
        </w:rPr>
        <w:t xml:space="preserve"> </w:t>
      </w:r>
      <w:r>
        <w:t>Q2/2022 to Q1/2023 a comprehensive analysis of the current method of determining wages in</w:t>
      </w:r>
      <w:r>
        <w:rPr>
          <w:spacing w:val="1"/>
        </w:rPr>
        <w:t xml:space="preserve"> </w:t>
      </w:r>
      <w:r>
        <w:t>the</w:t>
      </w:r>
      <w:r>
        <w:rPr>
          <w:spacing w:val="-7"/>
        </w:rPr>
        <w:t xml:space="preserve"> </w:t>
      </w:r>
      <w:r>
        <w:t>public</w:t>
      </w:r>
      <w:r>
        <w:rPr>
          <w:spacing w:val="-7"/>
        </w:rPr>
        <w:t xml:space="preserve"> </w:t>
      </w:r>
      <w:r>
        <w:t>sector</w:t>
      </w:r>
      <w:r>
        <w:rPr>
          <w:spacing w:val="-6"/>
        </w:rPr>
        <w:t xml:space="preserve"> </w:t>
      </w:r>
      <w:r>
        <w:t>will</w:t>
      </w:r>
      <w:r>
        <w:rPr>
          <w:spacing w:val="-6"/>
        </w:rPr>
        <w:t xml:space="preserve"> </w:t>
      </w:r>
      <w:r>
        <w:t>be</w:t>
      </w:r>
      <w:r>
        <w:rPr>
          <w:spacing w:val="-10"/>
        </w:rPr>
        <w:t xml:space="preserve"> </w:t>
      </w:r>
      <w:r>
        <w:t>done,</w:t>
      </w:r>
      <w:r>
        <w:rPr>
          <w:spacing w:val="-6"/>
        </w:rPr>
        <w:t xml:space="preserve"> </w:t>
      </w:r>
      <w:r>
        <w:t>including</w:t>
      </w:r>
      <w:r>
        <w:rPr>
          <w:spacing w:val="-8"/>
        </w:rPr>
        <w:t xml:space="preserve"> </w:t>
      </w:r>
      <w:r>
        <w:t>analysis</w:t>
      </w:r>
      <w:r>
        <w:rPr>
          <w:spacing w:val="-6"/>
        </w:rPr>
        <w:t xml:space="preserve"> </w:t>
      </w:r>
      <w:r>
        <w:t>of</w:t>
      </w:r>
      <w:r>
        <w:rPr>
          <w:spacing w:val="-6"/>
        </w:rPr>
        <w:t xml:space="preserve"> </w:t>
      </w:r>
      <w:r>
        <w:t>data</w:t>
      </w:r>
      <w:r>
        <w:rPr>
          <w:spacing w:val="-7"/>
        </w:rPr>
        <w:t xml:space="preserve"> </w:t>
      </w:r>
      <w:r>
        <w:t>on</w:t>
      </w:r>
      <w:r>
        <w:rPr>
          <w:spacing w:val="-6"/>
        </w:rPr>
        <w:t xml:space="preserve"> </w:t>
      </w:r>
      <w:r>
        <w:t>wages</w:t>
      </w:r>
      <w:r>
        <w:rPr>
          <w:spacing w:val="-6"/>
        </w:rPr>
        <w:t xml:space="preserve"> </w:t>
      </w:r>
      <w:r>
        <w:t>in</w:t>
      </w:r>
      <w:r>
        <w:rPr>
          <w:spacing w:val="-6"/>
        </w:rPr>
        <w:t xml:space="preserve"> </w:t>
      </w:r>
      <w:r>
        <w:t>the</w:t>
      </w:r>
      <w:r>
        <w:rPr>
          <w:spacing w:val="-7"/>
        </w:rPr>
        <w:t xml:space="preserve"> </w:t>
      </w:r>
      <w:r>
        <w:t>public</w:t>
      </w:r>
      <w:r>
        <w:rPr>
          <w:spacing w:val="-7"/>
        </w:rPr>
        <w:t xml:space="preserve"> </w:t>
      </w:r>
      <w:r>
        <w:t>sector</w:t>
      </w:r>
      <w:r>
        <w:rPr>
          <w:spacing w:val="-6"/>
        </w:rPr>
        <w:t xml:space="preserve"> </w:t>
      </w:r>
      <w:r>
        <w:t>based</w:t>
      </w:r>
      <w:r>
        <w:rPr>
          <w:spacing w:val="-5"/>
        </w:rPr>
        <w:t xml:space="preserve"> </w:t>
      </w:r>
      <w:r>
        <w:t>on</w:t>
      </w:r>
      <w:r>
        <w:rPr>
          <w:spacing w:val="-58"/>
        </w:rPr>
        <w:t xml:space="preserve"> </w:t>
      </w:r>
      <w:r>
        <w:t>the</w:t>
      </w:r>
      <w:r>
        <w:rPr>
          <w:spacing w:val="-4"/>
        </w:rPr>
        <w:t xml:space="preserve"> </w:t>
      </w:r>
      <w:r>
        <w:t>data</w:t>
      </w:r>
      <w:r>
        <w:rPr>
          <w:spacing w:val="-4"/>
        </w:rPr>
        <w:t xml:space="preserve"> </w:t>
      </w:r>
      <w:r>
        <w:t>from</w:t>
      </w:r>
      <w:r>
        <w:rPr>
          <w:spacing w:val="-3"/>
        </w:rPr>
        <w:t xml:space="preserve"> </w:t>
      </w:r>
      <w:r>
        <w:t>the</w:t>
      </w:r>
      <w:r>
        <w:rPr>
          <w:spacing w:val="-4"/>
        </w:rPr>
        <w:t xml:space="preserve"> </w:t>
      </w:r>
      <w:r>
        <w:t>Central</w:t>
      </w:r>
      <w:r>
        <w:rPr>
          <w:spacing w:val="-2"/>
        </w:rPr>
        <w:t xml:space="preserve"> </w:t>
      </w:r>
      <w:r>
        <w:t>Payroll</w:t>
      </w:r>
      <w:r>
        <w:rPr>
          <w:spacing w:val="-4"/>
        </w:rPr>
        <w:t xml:space="preserve"> </w:t>
      </w:r>
      <w:r>
        <w:t>System,</w:t>
      </w:r>
      <w:r>
        <w:rPr>
          <w:spacing w:val="-4"/>
        </w:rPr>
        <w:t xml:space="preserve"> </w:t>
      </w:r>
      <w:r>
        <w:t>the</w:t>
      </w:r>
      <w:r>
        <w:rPr>
          <w:spacing w:val="-4"/>
        </w:rPr>
        <w:t xml:space="preserve"> </w:t>
      </w:r>
      <w:r>
        <w:t>drafting</w:t>
      </w:r>
      <w:r>
        <w:rPr>
          <w:spacing w:val="-6"/>
        </w:rPr>
        <w:t xml:space="preserve"> </w:t>
      </w:r>
      <w:r>
        <w:t>of</w:t>
      </w:r>
      <w:r>
        <w:rPr>
          <w:spacing w:val="-4"/>
        </w:rPr>
        <w:t xml:space="preserve"> </w:t>
      </w:r>
      <w:r>
        <w:t>a</w:t>
      </w:r>
      <w:r>
        <w:rPr>
          <w:spacing w:val="-5"/>
        </w:rPr>
        <w:t xml:space="preserve"> </w:t>
      </w:r>
      <w:r>
        <w:t>proposal</w:t>
      </w:r>
      <w:r>
        <w:rPr>
          <w:spacing w:val="-3"/>
        </w:rPr>
        <w:t xml:space="preserve"> </w:t>
      </w:r>
      <w:r>
        <w:t>for</w:t>
      </w:r>
      <w:r>
        <w:rPr>
          <w:spacing w:val="-4"/>
        </w:rPr>
        <w:t xml:space="preserve"> </w:t>
      </w:r>
      <w:r>
        <w:t>reforming</w:t>
      </w:r>
      <w:r>
        <w:rPr>
          <w:spacing w:val="-6"/>
        </w:rPr>
        <w:t xml:space="preserve"> </w:t>
      </w:r>
      <w:r>
        <w:t>public</w:t>
      </w:r>
      <w:r>
        <w:rPr>
          <w:spacing w:val="-5"/>
        </w:rPr>
        <w:t xml:space="preserve"> </w:t>
      </w:r>
      <w:r>
        <w:t>sector</w:t>
      </w:r>
      <w:r>
        <w:rPr>
          <w:spacing w:val="-58"/>
        </w:rPr>
        <w:t xml:space="preserve"> </w:t>
      </w:r>
      <w:r>
        <w:t>wages</w:t>
      </w:r>
      <w:r>
        <w:rPr>
          <w:spacing w:val="31"/>
        </w:rPr>
        <w:t xml:space="preserve"> </w:t>
      </w:r>
      <w:r>
        <w:t>and</w:t>
      </w:r>
      <w:r>
        <w:rPr>
          <w:spacing w:val="32"/>
        </w:rPr>
        <w:t xml:space="preserve"> </w:t>
      </w:r>
      <w:r>
        <w:t>harmonisation</w:t>
      </w:r>
      <w:r>
        <w:rPr>
          <w:spacing w:val="33"/>
        </w:rPr>
        <w:t xml:space="preserve"> </w:t>
      </w:r>
      <w:r>
        <w:t>with</w:t>
      </w:r>
      <w:r>
        <w:rPr>
          <w:spacing w:val="32"/>
        </w:rPr>
        <w:t xml:space="preserve"> </w:t>
      </w:r>
      <w:r>
        <w:t>social</w:t>
      </w:r>
      <w:r>
        <w:rPr>
          <w:spacing w:val="32"/>
        </w:rPr>
        <w:t xml:space="preserve"> </w:t>
      </w:r>
      <w:r>
        <w:t>partners</w:t>
      </w:r>
      <w:r>
        <w:rPr>
          <w:spacing w:val="32"/>
        </w:rPr>
        <w:t xml:space="preserve"> </w:t>
      </w:r>
      <w:r>
        <w:t>as</w:t>
      </w:r>
      <w:r>
        <w:rPr>
          <w:spacing w:val="32"/>
        </w:rPr>
        <w:t xml:space="preserve"> </w:t>
      </w:r>
      <w:r>
        <w:t>well</w:t>
      </w:r>
      <w:r>
        <w:rPr>
          <w:spacing w:val="33"/>
        </w:rPr>
        <w:t xml:space="preserve"> </w:t>
      </w:r>
      <w:r>
        <w:t>as</w:t>
      </w:r>
      <w:r>
        <w:rPr>
          <w:spacing w:val="34"/>
        </w:rPr>
        <w:t xml:space="preserve"> </w:t>
      </w:r>
      <w:r>
        <w:t>preparing</w:t>
      </w:r>
      <w:r>
        <w:rPr>
          <w:spacing w:val="30"/>
        </w:rPr>
        <w:t xml:space="preserve"> </w:t>
      </w:r>
      <w:r>
        <w:t>a</w:t>
      </w:r>
      <w:r>
        <w:rPr>
          <w:spacing w:val="31"/>
        </w:rPr>
        <w:t xml:space="preserve"> </w:t>
      </w:r>
      <w:r>
        <w:t>draft</w:t>
      </w:r>
      <w:r>
        <w:rPr>
          <w:spacing w:val="32"/>
        </w:rPr>
        <w:t xml:space="preserve"> </w:t>
      </w:r>
      <w:r>
        <w:t>proposal</w:t>
      </w:r>
      <w:r>
        <w:rPr>
          <w:spacing w:val="31"/>
        </w:rPr>
        <w:t xml:space="preserve"> </w:t>
      </w:r>
      <w:r>
        <w:t>for</w:t>
      </w:r>
      <w:r>
        <w:rPr>
          <w:spacing w:val="30"/>
        </w:rPr>
        <w:t xml:space="preserve"> </w:t>
      </w:r>
      <w:r>
        <w:t>the</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3"/>
      </w:pPr>
      <w:r>
        <w:t>Wages</w:t>
      </w:r>
      <w:r>
        <w:rPr>
          <w:spacing w:val="-12"/>
        </w:rPr>
        <w:t xml:space="preserve"> </w:t>
      </w:r>
      <w:r>
        <w:t>Act,</w:t>
      </w:r>
      <w:r>
        <w:rPr>
          <w:spacing w:val="-11"/>
        </w:rPr>
        <w:t xml:space="preserve"> </w:t>
      </w:r>
      <w:r>
        <w:t>in</w:t>
      </w:r>
      <w:r>
        <w:rPr>
          <w:spacing w:val="-11"/>
        </w:rPr>
        <w:t xml:space="preserve"> </w:t>
      </w:r>
      <w:r>
        <w:t>order</w:t>
      </w:r>
      <w:r>
        <w:rPr>
          <w:spacing w:val="-12"/>
        </w:rPr>
        <w:t xml:space="preserve"> </w:t>
      </w:r>
      <w:r>
        <w:t>to</w:t>
      </w:r>
      <w:r>
        <w:rPr>
          <w:spacing w:val="-11"/>
        </w:rPr>
        <w:t xml:space="preserve"> </w:t>
      </w:r>
      <w:r>
        <w:t>refer</w:t>
      </w:r>
      <w:r>
        <w:rPr>
          <w:spacing w:val="-13"/>
        </w:rPr>
        <w:t xml:space="preserve"> </w:t>
      </w:r>
      <w:r>
        <w:t>the</w:t>
      </w:r>
      <w:r>
        <w:rPr>
          <w:spacing w:val="-11"/>
        </w:rPr>
        <w:t xml:space="preserve"> </w:t>
      </w:r>
      <w:r>
        <w:t>draft</w:t>
      </w:r>
      <w:r>
        <w:rPr>
          <w:spacing w:val="-11"/>
        </w:rPr>
        <w:t xml:space="preserve"> </w:t>
      </w:r>
      <w:r>
        <w:t>law</w:t>
      </w:r>
      <w:r>
        <w:rPr>
          <w:spacing w:val="-12"/>
        </w:rPr>
        <w:t xml:space="preserve"> </w:t>
      </w:r>
      <w:r>
        <w:t>on</w:t>
      </w:r>
      <w:r>
        <w:rPr>
          <w:spacing w:val="-11"/>
        </w:rPr>
        <w:t xml:space="preserve"> </w:t>
      </w:r>
      <w:r>
        <w:t>wages</w:t>
      </w:r>
      <w:r>
        <w:rPr>
          <w:spacing w:val="-9"/>
        </w:rPr>
        <w:t xml:space="preserve"> </w:t>
      </w:r>
      <w:r>
        <w:t>(for</w:t>
      </w:r>
      <w:r>
        <w:rPr>
          <w:spacing w:val="-12"/>
        </w:rPr>
        <w:t xml:space="preserve"> </w:t>
      </w:r>
      <w:r>
        <w:t>civil</w:t>
      </w:r>
      <w:r>
        <w:rPr>
          <w:spacing w:val="-11"/>
        </w:rPr>
        <w:t xml:space="preserve"> </w:t>
      </w:r>
      <w:r>
        <w:t>servants</w:t>
      </w:r>
      <w:r>
        <w:rPr>
          <w:spacing w:val="-10"/>
        </w:rPr>
        <w:t xml:space="preserve"> </w:t>
      </w:r>
      <w:r>
        <w:t>and</w:t>
      </w:r>
      <w:r>
        <w:rPr>
          <w:spacing w:val="-10"/>
        </w:rPr>
        <w:t xml:space="preserve"> </w:t>
      </w:r>
      <w:r>
        <w:t>employees</w:t>
      </w:r>
      <w:r>
        <w:rPr>
          <w:spacing w:val="-6"/>
        </w:rPr>
        <w:t xml:space="preserve"> </w:t>
      </w:r>
      <w:r>
        <w:t>and</w:t>
      </w:r>
      <w:r>
        <w:rPr>
          <w:spacing w:val="-11"/>
        </w:rPr>
        <w:t xml:space="preserve"> </w:t>
      </w:r>
      <w:r>
        <w:t>public</w:t>
      </w:r>
      <w:r>
        <w:rPr>
          <w:spacing w:val="-58"/>
        </w:rPr>
        <w:t xml:space="preserve"> </w:t>
      </w:r>
      <w:r>
        <w:t>servants)</w:t>
      </w:r>
      <w:r>
        <w:rPr>
          <w:spacing w:val="-1"/>
        </w:rPr>
        <w:t xml:space="preserve"> </w:t>
      </w:r>
      <w:r>
        <w:t>to the</w:t>
      </w:r>
      <w:r>
        <w:rPr>
          <w:spacing w:val="-1"/>
        </w:rPr>
        <w:t xml:space="preserve"> </w:t>
      </w:r>
      <w:r>
        <w:t>legislative</w:t>
      </w:r>
      <w:r>
        <w:rPr>
          <w:spacing w:val="-1"/>
        </w:rPr>
        <w:t xml:space="preserve"> </w:t>
      </w:r>
      <w:r>
        <w:t>procedure</w:t>
      </w:r>
      <w:r>
        <w:rPr>
          <w:spacing w:val="2"/>
        </w:rPr>
        <w:t xml:space="preserve"> </w:t>
      </w:r>
      <w:r>
        <w:t>at the</w:t>
      </w:r>
      <w:r>
        <w:rPr>
          <w:spacing w:val="-1"/>
        </w:rPr>
        <w:t xml:space="preserve"> </w:t>
      </w:r>
      <w:r>
        <w:t>end of</w:t>
      </w:r>
      <w:r>
        <w:rPr>
          <w:spacing w:val="1"/>
        </w:rPr>
        <w:t xml:space="preserve"> </w:t>
      </w:r>
      <w:r>
        <w:t>Q1/2023.</w:t>
      </w:r>
    </w:p>
    <w:p w:rsidR="00A56FE9" w:rsidRDefault="00A56FE9">
      <w:pPr>
        <w:pStyle w:val="Tijeloteksta"/>
        <w:ind w:left="0"/>
        <w:jc w:val="left"/>
        <w:rPr>
          <w:sz w:val="32"/>
        </w:rPr>
      </w:pPr>
    </w:p>
    <w:p w:rsidR="00A56FE9" w:rsidRDefault="00CC1B9B">
      <w:pPr>
        <w:pStyle w:val="Naslov4"/>
      </w:pPr>
      <w:r>
        <w:rPr>
          <w:noProof/>
        </w:rPr>
        <mc:AlternateContent>
          <mc:Choice Requires="wps">
            <w:drawing>
              <wp:anchor distT="0" distB="0" distL="114300" distR="114300" simplePos="0" relativeHeight="15759872" behindDoc="0" locked="0" layoutInCell="1" allowOverlap="1">
                <wp:simplePos x="0" y="0"/>
                <wp:positionH relativeFrom="page">
                  <wp:posOffset>814070</wp:posOffset>
                </wp:positionH>
                <wp:positionV relativeFrom="paragraph">
                  <wp:posOffset>-1270</wp:posOffset>
                </wp:positionV>
                <wp:extent cx="18415" cy="265430"/>
                <wp:effectExtent l="0" t="0" r="0" b="0"/>
                <wp:wrapNone/>
                <wp:docPr id="2041841646" name="Rectangl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2654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BE8E9" id="Rectangle 254" o:spid="_x0000_s1026" style="position:absolute;margin-left:64.1pt;margin-top:-.1pt;width:1.45pt;height:20.9pt;z-index:15759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" fillcolor="#da1f2c" stroked="f">
                <w10:wrap anchorx="page"/>
              </v:rect>
            </w:pict>
          </mc:Fallback>
        </mc:AlternateContent>
      </w:r>
      <w:r w:rsidR="00000000">
        <w:rPr>
          <w:color w:val="2C398A"/>
        </w:rPr>
        <w:t>Quality</w:t>
      </w:r>
      <w:r w:rsidR="00000000">
        <w:rPr>
          <w:color w:val="2C398A"/>
          <w:spacing w:val="-2"/>
        </w:rPr>
        <w:t xml:space="preserve"> </w:t>
      </w:r>
      <w:r w:rsidR="00000000">
        <w:rPr>
          <w:color w:val="2C398A"/>
        </w:rPr>
        <w:t>management</w:t>
      </w:r>
    </w:p>
    <w:p w:rsidR="00A56FE9" w:rsidRDefault="00000000">
      <w:pPr>
        <w:spacing w:before="231"/>
        <w:ind w:left="138" w:right="273"/>
        <w:jc w:val="both"/>
        <w:rPr>
          <w:i/>
          <w:sz w:val="24"/>
        </w:rPr>
      </w:pPr>
      <w:r>
        <w:rPr>
          <w:i/>
          <w:color w:val="2C398A"/>
          <w:sz w:val="24"/>
        </w:rPr>
        <w:t>2019.CSR3.2. Increase the administration’s capacity to design and implement public projects</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policies;</w:t>
      </w:r>
      <w:r>
        <w:rPr>
          <w:i/>
          <w:color w:val="2C398A"/>
          <w:spacing w:val="1"/>
          <w:sz w:val="24"/>
        </w:rPr>
        <w:t xml:space="preserve"> </w:t>
      </w:r>
      <w:r>
        <w:rPr>
          <w:i/>
          <w:color w:val="2C398A"/>
          <w:sz w:val="24"/>
        </w:rPr>
        <w:t>2020.CSR2.2.</w:t>
      </w:r>
      <w:r>
        <w:rPr>
          <w:i/>
          <w:color w:val="2C398A"/>
          <w:spacing w:val="1"/>
          <w:sz w:val="24"/>
        </w:rPr>
        <w:t xml:space="preserve"> </w:t>
      </w:r>
      <w:r>
        <w:rPr>
          <w:i/>
          <w:color w:val="2C398A"/>
          <w:sz w:val="24"/>
        </w:rPr>
        <w:t>Increase</w:t>
      </w:r>
      <w:r>
        <w:rPr>
          <w:i/>
          <w:color w:val="2C398A"/>
          <w:spacing w:val="1"/>
          <w:sz w:val="24"/>
        </w:rPr>
        <w:t xml:space="preserve"> </w:t>
      </w:r>
      <w:r>
        <w:rPr>
          <w:i/>
          <w:color w:val="2C398A"/>
          <w:sz w:val="24"/>
        </w:rPr>
        <w:t>access</w:t>
      </w:r>
      <w:r>
        <w:rPr>
          <w:i/>
          <w:color w:val="2C398A"/>
          <w:spacing w:val="1"/>
          <w:sz w:val="24"/>
        </w:rPr>
        <w:t xml:space="preserve"> </w:t>
      </w:r>
      <w:r>
        <w:rPr>
          <w:i/>
          <w:color w:val="2C398A"/>
          <w:sz w:val="24"/>
        </w:rPr>
        <w:t>to</w:t>
      </w:r>
      <w:r>
        <w:rPr>
          <w:i/>
          <w:color w:val="2C398A"/>
          <w:spacing w:val="1"/>
          <w:sz w:val="24"/>
        </w:rPr>
        <w:t xml:space="preserve"> </w:t>
      </w:r>
      <w:r>
        <w:rPr>
          <w:i/>
          <w:color w:val="2C398A"/>
          <w:sz w:val="24"/>
        </w:rPr>
        <w:t>digital</w:t>
      </w:r>
      <w:r>
        <w:rPr>
          <w:i/>
          <w:color w:val="2C398A"/>
          <w:spacing w:val="1"/>
          <w:sz w:val="24"/>
        </w:rPr>
        <w:t xml:space="preserve"> </w:t>
      </w:r>
      <w:r>
        <w:rPr>
          <w:i/>
          <w:color w:val="2C398A"/>
          <w:sz w:val="24"/>
        </w:rPr>
        <w:t>infrastructure</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services;</w:t>
      </w:r>
      <w:r>
        <w:rPr>
          <w:i/>
          <w:color w:val="2C398A"/>
          <w:spacing w:val="1"/>
          <w:sz w:val="24"/>
        </w:rPr>
        <w:t xml:space="preserve"> </w:t>
      </w:r>
      <w:r>
        <w:rPr>
          <w:i/>
          <w:color w:val="2C398A"/>
          <w:sz w:val="24"/>
        </w:rPr>
        <w:t>2020.CSR4.1. Reinforce the capacity and efficiency of the public administration to design and</w:t>
      </w:r>
      <w:r>
        <w:rPr>
          <w:i/>
          <w:color w:val="2C398A"/>
          <w:spacing w:val="-57"/>
          <w:sz w:val="24"/>
        </w:rPr>
        <w:t xml:space="preserve"> </w:t>
      </w:r>
      <w:r>
        <w:rPr>
          <w:i/>
          <w:color w:val="2C398A"/>
          <w:sz w:val="24"/>
        </w:rPr>
        <w:t>implement</w:t>
      </w:r>
      <w:r>
        <w:rPr>
          <w:i/>
          <w:color w:val="2C398A"/>
          <w:spacing w:val="-1"/>
          <w:sz w:val="24"/>
        </w:rPr>
        <w:t xml:space="preserve"> </w:t>
      </w:r>
      <w:r>
        <w:rPr>
          <w:i/>
          <w:color w:val="2C398A"/>
          <w:sz w:val="24"/>
        </w:rPr>
        <w:t>public</w:t>
      </w:r>
      <w:r>
        <w:rPr>
          <w:i/>
          <w:color w:val="2C398A"/>
          <w:spacing w:val="-1"/>
          <w:sz w:val="24"/>
        </w:rPr>
        <w:t xml:space="preserve"> </w:t>
      </w:r>
      <w:r>
        <w:rPr>
          <w:i/>
          <w:color w:val="2C398A"/>
          <w:sz w:val="24"/>
        </w:rPr>
        <w:t>projects and policies at central</w:t>
      </w:r>
      <w:r>
        <w:rPr>
          <w:i/>
          <w:color w:val="2C398A"/>
          <w:spacing w:val="-1"/>
          <w:sz w:val="24"/>
        </w:rPr>
        <w:t xml:space="preserve"> </w:t>
      </w:r>
      <w:r>
        <w:rPr>
          <w:i/>
          <w:color w:val="2C398A"/>
          <w:sz w:val="24"/>
        </w:rPr>
        <w:t>and local levels</w:t>
      </w:r>
    </w:p>
    <w:p w:rsidR="00A56FE9" w:rsidRDefault="00A56FE9">
      <w:pPr>
        <w:pStyle w:val="Tijeloteksta"/>
        <w:spacing w:before="3"/>
        <w:ind w:left="0"/>
        <w:jc w:val="left"/>
        <w:rPr>
          <w:i/>
          <w:sz w:val="21"/>
        </w:rPr>
      </w:pPr>
    </w:p>
    <w:p w:rsidR="00A56FE9" w:rsidRDefault="00000000">
      <w:pPr>
        <w:pStyle w:val="Naslov5"/>
        <w:spacing w:before="1" w:after="22"/>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458845" cy="12700"/>
                <wp:effectExtent l="0" t="0" r="0" b="0"/>
                <wp:docPr id="401308703"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58845" cy="12700"/>
                          <a:chOff x="0" y="0"/>
                          <a:chExt cx="5447" cy="20"/>
                        </a:xfrm>
                      </wpg:grpSpPr>
                      <wps:wsp>
                        <wps:cNvPr id="673285641" name="Rectangle 253"/>
                        <wps:cNvSpPr>
                          <a:spLocks noChangeArrowheads="1"/>
                        </wps:cNvSpPr>
                        <wps:spPr bwMode="auto">
                          <a:xfrm>
                            <a:off x="0" y="0"/>
                            <a:ext cx="5447"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9A69D85" id="Group 252" o:spid="_x0000_s1026" style="width:272.35pt;height:1pt;mso-position-horizontal-relative:char;mso-position-vertical-relative:line" coordsize="544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">
                <v:rect id="Rectangle 253" o:spid="_x0000_s1027" style="position:absolute;width:544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" fillcolor="#2c398a" stroked="f"/>
                <w10:anchorlock/>
              </v:group>
            </w:pict>
          </mc:Fallback>
        </mc:AlternateContent>
      </w:r>
    </w:p>
    <w:p w:rsidR="00A56FE9" w:rsidRDefault="00000000">
      <w:pPr>
        <w:pStyle w:val="Tijeloteksta"/>
        <w:spacing w:before="155"/>
        <w:ind w:right="273"/>
      </w:pPr>
      <w:r>
        <w:t>In the last two years, in terms of the project Introduction of a Quality Management System in</w:t>
      </w:r>
      <w:r>
        <w:rPr>
          <w:spacing w:val="1"/>
        </w:rPr>
        <w:t xml:space="preserve"> </w:t>
      </w:r>
      <w:r>
        <w:t>Public</w:t>
      </w:r>
      <w:r>
        <w:rPr>
          <w:spacing w:val="-4"/>
        </w:rPr>
        <w:t xml:space="preserve"> </w:t>
      </w:r>
      <w:r>
        <w:t>Administration</w:t>
      </w:r>
      <w:r>
        <w:rPr>
          <w:spacing w:val="-3"/>
        </w:rPr>
        <w:t xml:space="preserve"> </w:t>
      </w:r>
      <w:r>
        <w:t>of</w:t>
      </w:r>
      <w:r>
        <w:rPr>
          <w:spacing w:val="-3"/>
        </w:rPr>
        <w:t xml:space="preserve"> </w:t>
      </w:r>
      <w:r>
        <w:t>the</w:t>
      </w:r>
      <w:r>
        <w:rPr>
          <w:spacing w:val="-3"/>
        </w:rPr>
        <w:t xml:space="preserve"> </w:t>
      </w:r>
      <w:r>
        <w:t>Republic</w:t>
      </w:r>
      <w:r>
        <w:rPr>
          <w:spacing w:val="-3"/>
        </w:rPr>
        <w:t xml:space="preserve"> </w:t>
      </w:r>
      <w:r>
        <w:t>of</w:t>
      </w:r>
      <w:r>
        <w:rPr>
          <w:spacing w:val="-4"/>
        </w:rPr>
        <w:t xml:space="preserve"> </w:t>
      </w:r>
      <w:r>
        <w:t>Croatia</w:t>
      </w:r>
      <w:r>
        <w:rPr>
          <w:spacing w:val="-4"/>
        </w:rPr>
        <w:t xml:space="preserve"> </w:t>
      </w:r>
      <w:r>
        <w:t>(HRK</w:t>
      </w:r>
      <w:r>
        <w:rPr>
          <w:spacing w:val="-2"/>
        </w:rPr>
        <w:t xml:space="preserve"> </w:t>
      </w:r>
      <w:r>
        <w:t>40.5</w:t>
      </w:r>
      <w:r>
        <w:rPr>
          <w:spacing w:val="-3"/>
        </w:rPr>
        <w:t xml:space="preserve"> </w:t>
      </w:r>
      <w:r>
        <w:t>million,</w:t>
      </w:r>
      <w:r>
        <w:rPr>
          <w:spacing w:val="-1"/>
        </w:rPr>
        <w:t xml:space="preserve"> </w:t>
      </w:r>
      <w:r>
        <w:t>85%</w:t>
      </w:r>
      <w:r>
        <w:rPr>
          <w:spacing w:val="-1"/>
        </w:rPr>
        <w:t xml:space="preserve"> </w:t>
      </w:r>
      <w:r>
        <w:t>ESF),</w:t>
      </w:r>
      <w:r>
        <w:rPr>
          <w:spacing w:val="-3"/>
        </w:rPr>
        <w:t xml:space="preserve"> </w:t>
      </w:r>
      <w:r>
        <w:t>the</w:t>
      </w:r>
      <w:r>
        <w:rPr>
          <w:spacing w:val="-3"/>
        </w:rPr>
        <w:t xml:space="preserve"> </w:t>
      </w:r>
      <w:r>
        <w:t>necessary</w:t>
      </w:r>
      <w:r>
        <w:rPr>
          <w:spacing w:val="-58"/>
        </w:rPr>
        <w:t xml:space="preserve"> </w:t>
      </w:r>
      <w:r>
        <w:t>methodologies</w:t>
      </w:r>
      <w:r>
        <w:rPr>
          <w:spacing w:val="1"/>
        </w:rPr>
        <w:t xml:space="preserve"> </w:t>
      </w:r>
      <w:r>
        <w:t>have</w:t>
      </w:r>
      <w:r>
        <w:rPr>
          <w:spacing w:val="1"/>
        </w:rPr>
        <w:t xml:space="preserve"> </w:t>
      </w:r>
      <w:r>
        <w:t>been</w:t>
      </w:r>
      <w:r>
        <w:rPr>
          <w:spacing w:val="1"/>
        </w:rPr>
        <w:t xml:space="preserve"> </w:t>
      </w:r>
      <w:r>
        <w:t>developed</w:t>
      </w:r>
      <w:r>
        <w:rPr>
          <w:spacing w:val="1"/>
        </w:rPr>
        <w:t xml:space="preserve"> </w:t>
      </w:r>
      <w:r>
        <w:t>(Methodology</w:t>
      </w:r>
      <w:r>
        <w:rPr>
          <w:spacing w:val="1"/>
        </w:rPr>
        <w:t xml:space="preserve"> </w:t>
      </w:r>
      <w:r>
        <w:t>for</w:t>
      </w:r>
      <w:r>
        <w:rPr>
          <w:spacing w:val="1"/>
        </w:rPr>
        <w:t xml:space="preserve"> </w:t>
      </w:r>
      <w:r>
        <w:t>Mapping,</w:t>
      </w:r>
      <w:r>
        <w:rPr>
          <w:spacing w:val="1"/>
        </w:rPr>
        <w:t xml:space="preserve"> </w:t>
      </w:r>
      <w:r>
        <w:t>Optimisation</w:t>
      </w:r>
      <w:r>
        <w:rPr>
          <w:spacing w:val="1"/>
        </w:rPr>
        <w:t xml:space="preserve"> </w:t>
      </w:r>
      <w:r>
        <w:t>and</w:t>
      </w:r>
      <w:r>
        <w:rPr>
          <w:spacing w:val="1"/>
        </w:rPr>
        <w:t xml:space="preserve"> </w:t>
      </w:r>
      <w:r>
        <w:t>Standardisation of Business Processes and the Quality Management Methodology in Public</w:t>
      </w:r>
      <w:r>
        <w:rPr>
          <w:spacing w:val="1"/>
        </w:rPr>
        <w:t xml:space="preserve"> </w:t>
      </w:r>
      <w:r>
        <w:t>Administration of the Republic of Croatia) and the IT tool necessary for raising the quality of</w:t>
      </w:r>
      <w:r>
        <w:rPr>
          <w:spacing w:val="1"/>
        </w:rPr>
        <w:t xml:space="preserve"> </w:t>
      </w:r>
      <w:r>
        <w:t>public administration. The development of e-learning training materials for 600 employees in</w:t>
      </w:r>
      <w:r>
        <w:rPr>
          <w:spacing w:val="1"/>
        </w:rPr>
        <w:t xml:space="preserve"> </w:t>
      </w:r>
      <w:r>
        <w:t>118</w:t>
      </w:r>
      <w:r>
        <w:rPr>
          <w:spacing w:val="-1"/>
        </w:rPr>
        <w:t xml:space="preserve"> </w:t>
      </w:r>
      <w:r>
        <w:t>public</w:t>
      </w:r>
      <w:r>
        <w:rPr>
          <w:spacing w:val="-1"/>
        </w:rPr>
        <w:t xml:space="preserve"> </w:t>
      </w:r>
      <w:r>
        <w:t>administration bodies is also nearing</w:t>
      </w:r>
      <w:r>
        <w:rPr>
          <w:spacing w:val="-3"/>
        </w:rPr>
        <w:t xml:space="preserve"> </w:t>
      </w:r>
      <w:r>
        <w:t>completion.</w:t>
      </w:r>
    </w:p>
    <w:p w:rsidR="00A56FE9" w:rsidRDefault="00A56FE9">
      <w:pPr>
        <w:pStyle w:val="Tijeloteksta"/>
        <w:spacing w:before="3"/>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808219833"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014862242" name="Rectangle 251"/>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496C818" id="Group 250"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HN1mitQAgAAEAUAAA4AAAAAAAAAAAAAAAAALgIAAGRycy9lMm9Eb2MueG1sUEsBAi0AFAAGAAgA&#10;AAAhAOjoSp3cAAAAAwEAAA8AAAAAAAAAAAAAAAAAqgQAAGRycy9kb3ducmV2LnhtbFBLBQYAAAAA&#10;BAAEAPMAAACzBQAAAAA=&#10;">
                <v:rect id="Rectangle 251"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" fillcolor="#2c398a" stroked="f"/>
                <w10:anchorlock/>
              </v:group>
            </w:pict>
          </mc:Fallback>
        </mc:AlternateContent>
      </w:r>
    </w:p>
    <w:p w:rsidR="00A56FE9" w:rsidRDefault="00000000">
      <w:pPr>
        <w:pStyle w:val="Tijeloteksta"/>
        <w:spacing w:before="154"/>
        <w:ind w:right="272"/>
      </w:pPr>
      <w:r>
        <w:t>By mid-2023, the development of administrative capacity at all levels (managers, quality</w:t>
      </w:r>
      <w:r>
        <w:rPr>
          <w:spacing w:val="1"/>
        </w:rPr>
        <w:t xml:space="preserve"> </w:t>
      </w:r>
      <w:r>
        <w:t>managers</w:t>
      </w:r>
      <w:r>
        <w:rPr>
          <w:spacing w:val="-7"/>
        </w:rPr>
        <w:t xml:space="preserve"> </w:t>
      </w:r>
      <w:r>
        <w:t>and</w:t>
      </w:r>
      <w:r>
        <w:rPr>
          <w:spacing w:val="-8"/>
        </w:rPr>
        <w:t xml:space="preserve"> </w:t>
      </w:r>
      <w:r>
        <w:t>internal</w:t>
      </w:r>
      <w:r>
        <w:rPr>
          <w:spacing w:val="-8"/>
        </w:rPr>
        <w:t xml:space="preserve"> </w:t>
      </w:r>
      <w:r>
        <w:t>auditors)</w:t>
      </w:r>
      <w:r>
        <w:rPr>
          <w:spacing w:val="-9"/>
        </w:rPr>
        <w:t xml:space="preserve"> </w:t>
      </w:r>
      <w:r>
        <w:t>for</w:t>
      </w:r>
      <w:r>
        <w:rPr>
          <w:spacing w:val="-9"/>
        </w:rPr>
        <w:t xml:space="preserve"> </w:t>
      </w:r>
      <w:r>
        <w:t>optimising</w:t>
      </w:r>
      <w:r>
        <w:rPr>
          <w:spacing w:val="-10"/>
        </w:rPr>
        <w:t xml:space="preserve"> </w:t>
      </w:r>
      <w:r>
        <w:t>and</w:t>
      </w:r>
      <w:r>
        <w:rPr>
          <w:spacing w:val="-6"/>
        </w:rPr>
        <w:t xml:space="preserve"> </w:t>
      </w:r>
      <w:r>
        <w:t>standardising</w:t>
      </w:r>
      <w:r>
        <w:rPr>
          <w:spacing w:val="-8"/>
        </w:rPr>
        <w:t xml:space="preserve"> </w:t>
      </w:r>
      <w:r>
        <w:t>processes,</w:t>
      </w:r>
      <w:r>
        <w:rPr>
          <w:spacing w:val="-6"/>
        </w:rPr>
        <w:t xml:space="preserve"> </w:t>
      </w:r>
      <w:r>
        <w:t>introducing</w:t>
      </w:r>
      <w:r>
        <w:rPr>
          <w:spacing w:val="-11"/>
        </w:rPr>
        <w:t xml:space="preserve"> </w:t>
      </w:r>
      <w:r>
        <w:t>quality</w:t>
      </w:r>
      <w:r>
        <w:rPr>
          <w:spacing w:val="-57"/>
        </w:rPr>
        <w:t xml:space="preserve"> </w:t>
      </w:r>
      <w:r>
        <w:t>management systems, as well as external assessment and evaluation of quality management in</w:t>
      </w:r>
      <w:r>
        <w:rPr>
          <w:spacing w:val="-57"/>
        </w:rPr>
        <w:t xml:space="preserve"> </w:t>
      </w:r>
      <w:r>
        <w:t>public</w:t>
      </w:r>
      <w:r>
        <w:rPr>
          <w:spacing w:val="-2"/>
        </w:rPr>
        <w:t xml:space="preserve"> </w:t>
      </w:r>
      <w:r>
        <w:t>administration will commence.</w:t>
      </w:r>
    </w:p>
    <w:p w:rsidR="00A56FE9" w:rsidRDefault="00000000">
      <w:pPr>
        <w:pStyle w:val="Tijeloteksta"/>
        <w:spacing w:before="121"/>
        <w:ind w:right="274"/>
      </w:pPr>
      <w:r>
        <w:t>Business processes will be reviewed for optimisation and administrative relief. Inefficient</w:t>
      </w:r>
      <w:r>
        <w:rPr>
          <w:spacing w:val="1"/>
        </w:rPr>
        <w:t xml:space="preserve"> </w:t>
      </w:r>
      <w:r>
        <w:t>business processes will be optimised or eliminated to reduce administrative burdens</w:t>
      </w:r>
      <w:r>
        <w:rPr>
          <w:spacing w:val="1"/>
        </w:rPr>
        <w:t xml:space="preserve"> </w:t>
      </w:r>
      <w:r>
        <w:t>and</w:t>
      </w:r>
      <w:r>
        <w:rPr>
          <w:spacing w:val="1"/>
        </w:rPr>
        <w:t xml:space="preserve"> </w:t>
      </w:r>
      <w:r>
        <w:rPr>
          <w:spacing w:val="-1"/>
        </w:rPr>
        <w:t>achieve</w:t>
      </w:r>
      <w:r>
        <w:rPr>
          <w:spacing w:val="-14"/>
        </w:rPr>
        <w:t xml:space="preserve"> </w:t>
      </w:r>
      <w:r>
        <w:rPr>
          <w:spacing w:val="-1"/>
        </w:rPr>
        <w:t>more</w:t>
      </w:r>
      <w:r>
        <w:rPr>
          <w:spacing w:val="-13"/>
        </w:rPr>
        <w:t xml:space="preserve"> </w:t>
      </w:r>
      <w:r>
        <w:rPr>
          <w:spacing w:val="-1"/>
        </w:rPr>
        <w:t>efficient</w:t>
      </w:r>
      <w:r>
        <w:rPr>
          <w:spacing w:val="-12"/>
        </w:rPr>
        <w:t xml:space="preserve"> </w:t>
      </w:r>
      <w:r>
        <w:t>public</w:t>
      </w:r>
      <w:r>
        <w:rPr>
          <w:spacing w:val="-12"/>
        </w:rPr>
        <w:t xml:space="preserve"> </w:t>
      </w:r>
      <w:r>
        <w:t>administration.</w:t>
      </w:r>
      <w:r>
        <w:rPr>
          <w:spacing w:val="-10"/>
        </w:rPr>
        <w:t xml:space="preserve"> </w:t>
      </w:r>
      <w:r>
        <w:t>To</w:t>
      </w:r>
      <w:r>
        <w:rPr>
          <w:spacing w:val="-12"/>
        </w:rPr>
        <w:t xml:space="preserve"> </w:t>
      </w:r>
      <w:r>
        <w:t>achieve</w:t>
      </w:r>
      <w:r>
        <w:rPr>
          <w:spacing w:val="-13"/>
        </w:rPr>
        <w:t xml:space="preserve"> </w:t>
      </w:r>
      <w:r>
        <w:t>the</w:t>
      </w:r>
      <w:r>
        <w:rPr>
          <w:spacing w:val="-13"/>
        </w:rPr>
        <w:t xml:space="preserve"> </w:t>
      </w:r>
      <w:r>
        <w:t>above,</w:t>
      </w:r>
      <w:r>
        <w:rPr>
          <w:spacing w:val="-12"/>
        </w:rPr>
        <w:t xml:space="preserve"> </w:t>
      </w:r>
      <w:r>
        <w:t>regulations</w:t>
      </w:r>
      <w:r>
        <w:rPr>
          <w:spacing w:val="-11"/>
        </w:rPr>
        <w:t xml:space="preserve"> </w:t>
      </w:r>
      <w:r>
        <w:t>will</w:t>
      </w:r>
      <w:r>
        <w:rPr>
          <w:spacing w:val="-12"/>
        </w:rPr>
        <w:t xml:space="preserve"> </w:t>
      </w:r>
      <w:r>
        <w:t>be</w:t>
      </w:r>
      <w:r>
        <w:rPr>
          <w:spacing w:val="-13"/>
        </w:rPr>
        <w:t xml:space="preserve"> </w:t>
      </w:r>
      <w:r>
        <w:t>analysed</w:t>
      </w:r>
      <w:r>
        <w:rPr>
          <w:spacing w:val="-57"/>
        </w:rPr>
        <w:t xml:space="preserve"> </w:t>
      </w:r>
      <w:r>
        <w:t>and their modernity and adaptation to new technologies and the needs of citizens will be</w:t>
      </w:r>
      <w:r>
        <w:rPr>
          <w:spacing w:val="1"/>
        </w:rPr>
        <w:t xml:space="preserve"> </w:t>
      </w:r>
      <w:r>
        <w:t>determined. Prior simplification and elimination of unnecessary processes is necessary for</w:t>
      </w:r>
      <w:r>
        <w:rPr>
          <w:spacing w:val="1"/>
        </w:rPr>
        <w:t xml:space="preserve"> </w:t>
      </w:r>
      <w:r>
        <w:t>successful digitisation. Taking into account the already prepared analyses of life events in the</w:t>
      </w:r>
      <w:r>
        <w:rPr>
          <w:spacing w:val="1"/>
        </w:rPr>
        <w:t xml:space="preserve"> </w:t>
      </w:r>
      <w:r>
        <w:t>project, the updated analyses will be updated by the end of Q3/2022 and the administrative</w:t>
      </w:r>
      <w:r>
        <w:rPr>
          <w:spacing w:val="1"/>
        </w:rPr>
        <w:t xml:space="preserve"> </w:t>
      </w:r>
      <w:r>
        <w:t>burden on citizens will be calculated at the end of 2019 and 2021, with the first action plan for</w:t>
      </w:r>
      <w:r>
        <w:rPr>
          <w:spacing w:val="-57"/>
        </w:rPr>
        <w:t xml:space="preserve"> </w:t>
      </w:r>
      <w:r>
        <w:t>administrative relief of citizens (for the realization of NRRP indicator # 152) prepared by the</w:t>
      </w:r>
      <w:r>
        <w:rPr>
          <w:spacing w:val="1"/>
        </w:rPr>
        <w:t xml:space="preserve"> </w:t>
      </w:r>
      <w:r>
        <w:rPr>
          <w:spacing w:val="-1"/>
        </w:rPr>
        <w:t>end</w:t>
      </w:r>
      <w:r>
        <w:rPr>
          <w:spacing w:val="-12"/>
        </w:rPr>
        <w:t xml:space="preserve"> </w:t>
      </w:r>
      <w:r>
        <w:rPr>
          <w:spacing w:val="-1"/>
        </w:rPr>
        <w:t>of</w:t>
      </w:r>
      <w:r>
        <w:rPr>
          <w:spacing w:val="-13"/>
        </w:rPr>
        <w:t xml:space="preserve"> </w:t>
      </w:r>
      <w:r>
        <w:rPr>
          <w:spacing w:val="-1"/>
        </w:rPr>
        <w:t>Q1/2023,</w:t>
      </w:r>
      <w:r>
        <w:rPr>
          <w:spacing w:val="-12"/>
        </w:rPr>
        <w:t xml:space="preserve"> </w:t>
      </w:r>
      <w:r>
        <w:t>as</w:t>
      </w:r>
      <w:r>
        <w:rPr>
          <w:spacing w:val="-11"/>
        </w:rPr>
        <w:t xml:space="preserve"> </w:t>
      </w:r>
      <w:r>
        <w:t>well</w:t>
      </w:r>
      <w:r>
        <w:rPr>
          <w:spacing w:val="-12"/>
        </w:rPr>
        <w:t xml:space="preserve"> </w:t>
      </w:r>
      <w:r>
        <w:t>as</w:t>
      </w:r>
      <w:r>
        <w:rPr>
          <w:spacing w:val="-11"/>
        </w:rPr>
        <w:t xml:space="preserve"> </w:t>
      </w:r>
      <w:r>
        <w:t>methods</w:t>
      </w:r>
      <w:r>
        <w:rPr>
          <w:spacing w:val="-11"/>
        </w:rPr>
        <w:t xml:space="preserve"> </w:t>
      </w:r>
      <w:r>
        <w:t>of</w:t>
      </w:r>
      <w:r>
        <w:rPr>
          <w:spacing w:val="-13"/>
        </w:rPr>
        <w:t xml:space="preserve"> </w:t>
      </w:r>
      <w:r>
        <w:t>measuring</w:t>
      </w:r>
      <w:r>
        <w:rPr>
          <w:spacing w:val="-15"/>
        </w:rPr>
        <w:t xml:space="preserve"> </w:t>
      </w:r>
      <w:r>
        <w:t>the</w:t>
      </w:r>
      <w:r>
        <w:rPr>
          <w:spacing w:val="-11"/>
        </w:rPr>
        <w:t xml:space="preserve"> </w:t>
      </w:r>
      <w:r>
        <w:t>user</w:t>
      </w:r>
      <w:r>
        <w:rPr>
          <w:spacing w:val="-13"/>
        </w:rPr>
        <w:t xml:space="preserve"> </w:t>
      </w:r>
      <w:r>
        <w:t>(citizen)</w:t>
      </w:r>
      <w:r>
        <w:rPr>
          <w:spacing w:val="-12"/>
        </w:rPr>
        <w:t xml:space="preserve"> </w:t>
      </w:r>
      <w:r>
        <w:t>satisfaction</w:t>
      </w:r>
      <w:r>
        <w:rPr>
          <w:spacing w:val="-12"/>
        </w:rPr>
        <w:t xml:space="preserve"> </w:t>
      </w:r>
      <w:r>
        <w:t>with</w:t>
      </w:r>
      <w:r>
        <w:rPr>
          <w:spacing w:val="-11"/>
        </w:rPr>
        <w:t xml:space="preserve"> </w:t>
      </w:r>
      <w:r>
        <w:t>the</w:t>
      </w:r>
      <w:r>
        <w:rPr>
          <w:spacing w:val="-13"/>
        </w:rPr>
        <w:t xml:space="preserve"> </w:t>
      </w:r>
      <w:r>
        <w:t>services</w:t>
      </w:r>
      <w:r>
        <w:rPr>
          <w:spacing w:val="-58"/>
        </w:rPr>
        <w:t xml:space="preserve"> </w:t>
      </w:r>
      <w:r>
        <w:t>provided</w:t>
      </w:r>
      <w:r>
        <w:rPr>
          <w:spacing w:val="-1"/>
        </w:rPr>
        <w:t xml:space="preserve"> </w:t>
      </w:r>
      <w:r>
        <w:t>by</w:t>
      </w:r>
      <w:r>
        <w:rPr>
          <w:spacing w:val="-5"/>
        </w:rPr>
        <w:t xml:space="preserve"> </w:t>
      </w:r>
      <w:r>
        <w:t>public</w:t>
      </w:r>
      <w:r>
        <w:rPr>
          <w:spacing w:val="-1"/>
        </w:rPr>
        <w:t xml:space="preserve"> </w:t>
      </w:r>
      <w:r>
        <w:t>administration (contribution to SDG</w:t>
      </w:r>
      <w:r>
        <w:rPr>
          <w:spacing w:val="-1"/>
        </w:rPr>
        <w:t xml:space="preserve"> </w:t>
      </w:r>
      <w:r>
        <w:t>16.6.2.).</w:t>
      </w:r>
    </w:p>
    <w:p w:rsidR="00A56FE9" w:rsidRDefault="00000000">
      <w:pPr>
        <w:spacing w:before="120"/>
        <w:ind w:left="138" w:right="279"/>
        <w:jc w:val="both"/>
        <w:rPr>
          <w:i/>
          <w:sz w:val="24"/>
        </w:rPr>
      </w:pPr>
      <w:r>
        <w:rPr>
          <w:i/>
          <w:sz w:val="24"/>
        </w:rPr>
        <w:t>All the mentioned activities comply with SDG 16. Promote peaceful and inclusive societies for</w:t>
      </w:r>
      <w:r>
        <w:rPr>
          <w:i/>
          <w:spacing w:val="-57"/>
          <w:sz w:val="24"/>
        </w:rPr>
        <w:t xml:space="preserve"> </w:t>
      </w:r>
      <w:r>
        <w:rPr>
          <w:i/>
          <w:sz w:val="24"/>
        </w:rPr>
        <w:t>sustainable development, provide access to justice for all and build effective, accountable and</w:t>
      </w:r>
      <w:r>
        <w:rPr>
          <w:i/>
          <w:spacing w:val="-57"/>
          <w:sz w:val="24"/>
        </w:rPr>
        <w:t xml:space="preserve"> </w:t>
      </w:r>
      <w:r>
        <w:rPr>
          <w:i/>
          <w:sz w:val="24"/>
        </w:rPr>
        <w:t>inclusive</w:t>
      </w:r>
      <w:r>
        <w:rPr>
          <w:i/>
          <w:spacing w:val="-2"/>
          <w:sz w:val="24"/>
        </w:rPr>
        <w:t xml:space="preserve"> </w:t>
      </w:r>
      <w:r>
        <w:rPr>
          <w:i/>
          <w:sz w:val="24"/>
        </w:rPr>
        <w:t>institutions at all levels</w:t>
      </w:r>
    </w:p>
    <w:p w:rsidR="00A56FE9" w:rsidRDefault="00A56FE9">
      <w:pPr>
        <w:jc w:val="both"/>
        <w:rPr>
          <w:sz w:val="24"/>
        </w:rPr>
        <w:sectPr w:rsidR="00A56FE9" w:rsidSect="00AB1E70">
          <w:pgSz w:w="11910" w:h="16840"/>
          <w:pgMar w:top="1320" w:right="1140" w:bottom="960" w:left="1280" w:header="0" w:footer="779" w:gutter="0"/>
          <w:cols w:space="720"/>
        </w:sectPr>
      </w:pPr>
    </w:p>
    <w:p w:rsidR="00A56FE9" w:rsidRDefault="00000000">
      <w:pPr>
        <w:pStyle w:val="Naslov3"/>
        <w:spacing w:before="60"/>
        <w:jc w:val="left"/>
      </w:pPr>
      <w:bookmarkStart w:id="13" w:name="_bookmark13"/>
      <w:bookmarkEnd w:id="13"/>
      <w:r>
        <w:rPr>
          <w:rFonts w:ascii="Times New Roman"/>
          <w:b/>
          <w:color w:val="2C398A"/>
          <w:spacing w:val="-1"/>
        </w:rPr>
        <w:t>C2.3.</w:t>
      </w:r>
      <w:r>
        <w:rPr>
          <w:rFonts w:ascii="Times New Roman"/>
          <w:b/>
          <w:color w:val="2C398A"/>
          <w:spacing w:val="1"/>
        </w:rPr>
        <w:t xml:space="preserve"> </w:t>
      </w:r>
      <w:r>
        <w:rPr>
          <w:color w:val="003399"/>
          <w:spacing w:val="-1"/>
        </w:rPr>
        <w:t>Digital</w:t>
      </w:r>
      <w:r>
        <w:rPr>
          <w:color w:val="003399"/>
          <w:spacing w:val="-12"/>
        </w:rPr>
        <w:t xml:space="preserve"> </w:t>
      </w:r>
      <w:r>
        <w:rPr>
          <w:color w:val="003399"/>
          <w:spacing w:val="-1"/>
        </w:rPr>
        <w:t>Transition</w:t>
      </w:r>
      <w:r>
        <w:rPr>
          <w:color w:val="003399"/>
          <w:spacing w:val="-15"/>
        </w:rPr>
        <w:t xml:space="preserve"> </w:t>
      </w:r>
      <w:r>
        <w:rPr>
          <w:color w:val="003399"/>
          <w:spacing w:val="-1"/>
        </w:rPr>
        <w:t>of</w:t>
      </w:r>
      <w:r>
        <w:rPr>
          <w:color w:val="003399"/>
          <w:spacing w:val="-13"/>
        </w:rPr>
        <w:t xml:space="preserve"> </w:t>
      </w:r>
      <w:r>
        <w:rPr>
          <w:color w:val="003399"/>
          <w:spacing w:val="-1"/>
        </w:rPr>
        <w:t>Society</w:t>
      </w:r>
      <w:r>
        <w:rPr>
          <w:color w:val="003399"/>
          <w:spacing w:val="-12"/>
        </w:rPr>
        <w:t xml:space="preserve"> </w:t>
      </w:r>
      <w:r>
        <w:rPr>
          <w:color w:val="003399"/>
          <w:spacing w:val="-1"/>
        </w:rPr>
        <w:t>and</w:t>
      </w:r>
      <w:r>
        <w:rPr>
          <w:color w:val="003399"/>
          <w:spacing w:val="-12"/>
        </w:rPr>
        <w:t xml:space="preserve"> </w:t>
      </w:r>
      <w:r>
        <w:rPr>
          <w:color w:val="003399"/>
        </w:rPr>
        <w:t>Public</w:t>
      </w:r>
      <w:r>
        <w:rPr>
          <w:color w:val="003399"/>
          <w:spacing w:val="-12"/>
        </w:rPr>
        <w:t xml:space="preserve"> </w:t>
      </w:r>
      <w:r>
        <w:rPr>
          <w:color w:val="003399"/>
        </w:rPr>
        <w:t>Administration</w:t>
      </w:r>
    </w:p>
    <w:p w:rsidR="00A56FE9" w:rsidRDefault="00A56FE9">
      <w:pPr>
        <w:pStyle w:val="Tijeloteksta"/>
        <w:spacing w:before="7"/>
        <w:ind w:left="0"/>
        <w:jc w:val="left"/>
        <w:rPr>
          <w:rFonts w:ascii="Calibri Light"/>
          <w:sz w:val="29"/>
        </w:rPr>
      </w:pPr>
    </w:p>
    <w:p w:rsidR="00A56FE9" w:rsidRDefault="00CC1B9B">
      <w:pPr>
        <w:pStyle w:val="Naslov4"/>
        <w:jc w:val="left"/>
      </w:pPr>
      <w:r>
        <w:rPr>
          <w:noProof/>
        </w:rPr>
        <mc:AlternateContent>
          <mc:Choice Requires="wps">
            <w:drawing>
              <wp:anchor distT="0" distB="0" distL="114300" distR="114300" simplePos="0" relativeHeight="15761408"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1605213779"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D5EFD" id="Rectangle 249" o:spid="_x0000_s1026" style="position:absolute;margin-left:64.1pt;margin-top:-6.1pt;width:1.45pt;height:27pt;z-index:15761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Digitalisation</w:t>
      </w:r>
      <w:r w:rsidR="00000000">
        <w:rPr>
          <w:color w:val="2C398A"/>
          <w:spacing w:val="-4"/>
        </w:rPr>
        <w:t xml:space="preserve"> </w:t>
      </w:r>
      <w:r w:rsidR="00000000">
        <w:rPr>
          <w:color w:val="2C398A"/>
        </w:rPr>
        <w:t>of</w:t>
      </w:r>
      <w:r w:rsidR="00000000">
        <w:rPr>
          <w:color w:val="2C398A"/>
          <w:spacing w:val="-2"/>
        </w:rPr>
        <w:t xml:space="preserve"> </w:t>
      </w:r>
      <w:r w:rsidR="00000000">
        <w:rPr>
          <w:color w:val="2C398A"/>
        </w:rPr>
        <w:t>public</w:t>
      </w:r>
      <w:r w:rsidR="00000000">
        <w:rPr>
          <w:color w:val="2C398A"/>
          <w:spacing w:val="-4"/>
        </w:rPr>
        <w:t xml:space="preserve"> </w:t>
      </w:r>
      <w:r w:rsidR="00000000">
        <w:rPr>
          <w:color w:val="2C398A"/>
        </w:rPr>
        <w:t>administration</w:t>
      </w:r>
    </w:p>
    <w:p w:rsidR="00A56FE9" w:rsidRDefault="00000000">
      <w:pPr>
        <w:pStyle w:val="Naslov5"/>
        <w:spacing w:before="238"/>
        <w:jc w:val="left"/>
      </w:pPr>
      <w:r>
        <w:rPr>
          <w:color w:val="003399"/>
        </w:rPr>
        <w:t>Strategically</w:t>
      </w:r>
      <w:r>
        <w:rPr>
          <w:color w:val="003399"/>
          <w:spacing w:val="-2"/>
        </w:rPr>
        <w:t xml:space="preserve"> </w:t>
      </w:r>
      <w:r>
        <w:rPr>
          <w:color w:val="003399"/>
        </w:rPr>
        <w:t>directing</w:t>
      </w:r>
      <w:r>
        <w:rPr>
          <w:color w:val="003399"/>
          <w:spacing w:val="-1"/>
        </w:rPr>
        <w:t xml:space="preserve"> </w:t>
      </w:r>
      <w:r>
        <w:rPr>
          <w:color w:val="003399"/>
        </w:rPr>
        <w:t>the</w:t>
      </w:r>
      <w:r>
        <w:rPr>
          <w:color w:val="003399"/>
          <w:spacing w:val="-2"/>
        </w:rPr>
        <w:t xml:space="preserve"> </w:t>
      </w:r>
      <w:r>
        <w:rPr>
          <w:color w:val="003399"/>
        </w:rPr>
        <w:t>digitalisation</w:t>
      </w:r>
      <w:r>
        <w:rPr>
          <w:color w:val="003399"/>
          <w:spacing w:val="-3"/>
        </w:rPr>
        <w:t xml:space="preserve"> </w:t>
      </w:r>
      <w:r>
        <w:rPr>
          <w:color w:val="003399"/>
        </w:rPr>
        <w:t>process</w:t>
      </w:r>
    </w:p>
    <w:p w:rsidR="00A56FE9" w:rsidRDefault="00A56FE9">
      <w:pPr>
        <w:pStyle w:val="Tijeloteksta"/>
        <w:spacing w:before="5"/>
        <w:ind w:left="0"/>
        <w:jc w:val="left"/>
        <w:rPr>
          <w:b/>
          <w:sz w:val="20"/>
        </w:rPr>
      </w:pPr>
    </w:p>
    <w:p w:rsidR="00A56FE9" w:rsidRDefault="00000000">
      <w:pPr>
        <w:spacing w:before="1"/>
        <w:ind w:left="138" w:right="276"/>
        <w:jc w:val="both"/>
        <w:rPr>
          <w:i/>
          <w:sz w:val="24"/>
        </w:rPr>
      </w:pPr>
      <w:r>
        <w:rPr>
          <w:i/>
          <w:color w:val="2C398A"/>
          <w:sz w:val="24"/>
        </w:rPr>
        <w:t>2020.CSR2.2. Increase access to digital infrastructure and services; 2020.CSR4.1. Reinforce</w:t>
      </w:r>
      <w:r>
        <w:rPr>
          <w:i/>
          <w:color w:val="2C398A"/>
          <w:spacing w:val="1"/>
          <w:sz w:val="24"/>
        </w:rPr>
        <w:t xml:space="preserve"> </w:t>
      </w:r>
      <w:r>
        <w:rPr>
          <w:i/>
          <w:color w:val="2C398A"/>
          <w:sz w:val="24"/>
        </w:rPr>
        <w:t>the</w:t>
      </w:r>
      <w:r>
        <w:rPr>
          <w:i/>
          <w:color w:val="2C398A"/>
          <w:spacing w:val="-12"/>
          <w:sz w:val="24"/>
        </w:rPr>
        <w:t xml:space="preserve"> </w:t>
      </w:r>
      <w:r>
        <w:rPr>
          <w:i/>
          <w:color w:val="2C398A"/>
          <w:sz w:val="24"/>
        </w:rPr>
        <w:t>capacity</w:t>
      </w:r>
      <w:r>
        <w:rPr>
          <w:i/>
          <w:color w:val="2C398A"/>
          <w:spacing w:val="-12"/>
          <w:sz w:val="24"/>
        </w:rPr>
        <w:t xml:space="preserve"> </w:t>
      </w:r>
      <w:r>
        <w:rPr>
          <w:i/>
          <w:color w:val="2C398A"/>
          <w:sz w:val="24"/>
        </w:rPr>
        <w:t>and</w:t>
      </w:r>
      <w:r>
        <w:rPr>
          <w:i/>
          <w:color w:val="2C398A"/>
          <w:spacing w:val="-11"/>
          <w:sz w:val="24"/>
        </w:rPr>
        <w:t xml:space="preserve"> </w:t>
      </w:r>
      <w:r>
        <w:rPr>
          <w:i/>
          <w:color w:val="2C398A"/>
          <w:sz w:val="24"/>
        </w:rPr>
        <w:t>efficiency</w:t>
      </w:r>
      <w:r>
        <w:rPr>
          <w:i/>
          <w:color w:val="2C398A"/>
          <w:spacing w:val="-12"/>
          <w:sz w:val="24"/>
        </w:rPr>
        <w:t xml:space="preserve"> </w:t>
      </w:r>
      <w:r>
        <w:rPr>
          <w:i/>
          <w:color w:val="2C398A"/>
          <w:sz w:val="24"/>
        </w:rPr>
        <w:t>of</w:t>
      </w:r>
      <w:r>
        <w:rPr>
          <w:i/>
          <w:color w:val="2C398A"/>
          <w:spacing w:val="-11"/>
          <w:sz w:val="24"/>
        </w:rPr>
        <w:t xml:space="preserve"> </w:t>
      </w:r>
      <w:r>
        <w:rPr>
          <w:i/>
          <w:color w:val="2C398A"/>
          <w:sz w:val="24"/>
        </w:rPr>
        <w:t>the</w:t>
      </w:r>
      <w:r>
        <w:rPr>
          <w:i/>
          <w:color w:val="2C398A"/>
          <w:spacing w:val="-12"/>
          <w:sz w:val="24"/>
        </w:rPr>
        <w:t xml:space="preserve"> </w:t>
      </w:r>
      <w:r>
        <w:rPr>
          <w:i/>
          <w:color w:val="2C398A"/>
          <w:sz w:val="24"/>
        </w:rPr>
        <w:t>public</w:t>
      </w:r>
      <w:r>
        <w:rPr>
          <w:i/>
          <w:color w:val="2C398A"/>
          <w:spacing w:val="-12"/>
          <w:sz w:val="24"/>
        </w:rPr>
        <w:t xml:space="preserve"> </w:t>
      </w:r>
      <w:r>
        <w:rPr>
          <w:i/>
          <w:color w:val="2C398A"/>
          <w:sz w:val="24"/>
        </w:rPr>
        <w:t>administration</w:t>
      </w:r>
      <w:r>
        <w:rPr>
          <w:i/>
          <w:color w:val="2C398A"/>
          <w:spacing w:val="-11"/>
          <w:sz w:val="24"/>
        </w:rPr>
        <w:t xml:space="preserve"> </w:t>
      </w:r>
      <w:r>
        <w:rPr>
          <w:i/>
          <w:color w:val="2C398A"/>
          <w:sz w:val="24"/>
        </w:rPr>
        <w:t>to</w:t>
      </w:r>
      <w:r>
        <w:rPr>
          <w:i/>
          <w:color w:val="2C398A"/>
          <w:spacing w:val="-11"/>
          <w:sz w:val="24"/>
        </w:rPr>
        <w:t xml:space="preserve"> </w:t>
      </w:r>
      <w:r>
        <w:rPr>
          <w:i/>
          <w:color w:val="2C398A"/>
          <w:sz w:val="24"/>
        </w:rPr>
        <w:t>design</w:t>
      </w:r>
      <w:r>
        <w:rPr>
          <w:i/>
          <w:color w:val="2C398A"/>
          <w:spacing w:val="-10"/>
          <w:sz w:val="24"/>
        </w:rPr>
        <w:t xml:space="preserve"> </w:t>
      </w:r>
      <w:r>
        <w:rPr>
          <w:i/>
          <w:color w:val="2C398A"/>
          <w:sz w:val="24"/>
        </w:rPr>
        <w:t>and</w:t>
      </w:r>
      <w:r>
        <w:rPr>
          <w:i/>
          <w:color w:val="2C398A"/>
          <w:spacing w:val="-13"/>
          <w:sz w:val="24"/>
        </w:rPr>
        <w:t xml:space="preserve"> </w:t>
      </w:r>
      <w:r>
        <w:rPr>
          <w:i/>
          <w:color w:val="2C398A"/>
          <w:sz w:val="24"/>
        </w:rPr>
        <w:t>implement</w:t>
      </w:r>
      <w:r>
        <w:rPr>
          <w:i/>
          <w:color w:val="2C398A"/>
          <w:spacing w:val="-11"/>
          <w:sz w:val="24"/>
        </w:rPr>
        <w:t xml:space="preserve"> </w:t>
      </w:r>
      <w:r>
        <w:rPr>
          <w:i/>
          <w:color w:val="2C398A"/>
          <w:sz w:val="24"/>
        </w:rPr>
        <w:t>public</w:t>
      </w:r>
      <w:r>
        <w:rPr>
          <w:i/>
          <w:color w:val="2C398A"/>
          <w:spacing w:val="-12"/>
          <w:sz w:val="24"/>
        </w:rPr>
        <w:t xml:space="preserve"> </w:t>
      </w:r>
      <w:r>
        <w:rPr>
          <w:i/>
          <w:color w:val="2C398A"/>
          <w:sz w:val="24"/>
        </w:rPr>
        <w:t>projects</w:t>
      </w:r>
      <w:r>
        <w:rPr>
          <w:i/>
          <w:color w:val="2C398A"/>
          <w:spacing w:val="-58"/>
          <w:sz w:val="24"/>
        </w:rPr>
        <w:t xml:space="preserve"> </w:t>
      </w:r>
      <w:r>
        <w:rPr>
          <w:i/>
          <w:color w:val="2C398A"/>
          <w:sz w:val="24"/>
        </w:rPr>
        <w:t>and</w:t>
      </w:r>
      <w:r>
        <w:rPr>
          <w:i/>
          <w:color w:val="2C398A"/>
          <w:spacing w:val="-1"/>
          <w:sz w:val="24"/>
        </w:rPr>
        <w:t xml:space="preserve"> </w:t>
      </w:r>
      <w:r>
        <w:rPr>
          <w:i/>
          <w:color w:val="2C398A"/>
          <w:sz w:val="24"/>
        </w:rPr>
        <w:t>policies at central and local levels</w:t>
      </w:r>
    </w:p>
    <w:p w:rsidR="00A56FE9" w:rsidRDefault="00A56FE9">
      <w:pPr>
        <w:pStyle w:val="Tijeloteksta"/>
        <w:spacing w:before="3"/>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707061673"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774841049" name="Rectangle 248"/>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65A2945" id="Group 247"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">
                <v:rect id="Rectangle 248"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" fillcolor="#2c398a" stroked="f"/>
                <w10:anchorlock/>
              </v:group>
            </w:pict>
          </mc:Fallback>
        </mc:AlternateContent>
      </w:r>
    </w:p>
    <w:p w:rsidR="00A56FE9" w:rsidRDefault="00000000">
      <w:pPr>
        <w:pStyle w:val="Tijeloteksta"/>
        <w:spacing w:before="155"/>
        <w:ind w:right="275"/>
      </w:pPr>
      <w:r>
        <w:t>Croatia</w:t>
      </w:r>
      <w:r>
        <w:rPr>
          <w:spacing w:val="1"/>
        </w:rPr>
        <w:t xml:space="preserve"> </w:t>
      </w:r>
      <w:r>
        <w:t>has</w:t>
      </w:r>
      <w:r>
        <w:rPr>
          <w:spacing w:val="1"/>
        </w:rPr>
        <w:t xml:space="preserve"> </w:t>
      </w:r>
      <w:r>
        <w:t>started</w:t>
      </w:r>
      <w:r>
        <w:rPr>
          <w:spacing w:val="1"/>
        </w:rPr>
        <w:t xml:space="preserve"> </w:t>
      </w:r>
      <w:r>
        <w:t>implementing</w:t>
      </w:r>
      <w:r>
        <w:rPr>
          <w:spacing w:val="1"/>
        </w:rPr>
        <w:t xml:space="preserve"> </w:t>
      </w:r>
      <w:r>
        <w:t>the</w:t>
      </w:r>
      <w:r>
        <w:rPr>
          <w:spacing w:val="1"/>
        </w:rPr>
        <w:t xml:space="preserve"> </w:t>
      </w:r>
      <w:r>
        <w:t>digital</w:t>
      </w:r>
      <w:r>
        <w:rPr>
          <w:spacing w:val="1"/>
        </w:rPr>
        <w:t xml:space="preserve"> </w:t>
      </w:r>
      <w:r>
        <w:t>transition</w:t>
      </w:r>
      <w:r>
        <w:rPr>
          <w:spacing w:val="1"/>
        </w:rPr>
        <w:t xml:space="preserve"> </w:t>
      </w:r>
      <w:r>
        <w:t>and</w:t>
      </w:r>
      <w:r>
        <w:rPr>
          <w:spacing w:val="1"/>
        </w:rPr>
        <w:t xml:space="preserve"> </w:t>
      </w:r>
      <w:r>
        <w:t>transformation</w:t>
      </w:r>
      <w:r>
        <w:rPr>
          <w:spacing w:val="1"/>
        </w:rPr>
        <w:t xml:space="preserve"> </w:t>
      </w:r>
      <w:r>
        <w:t>of</w:t>
      </w:r>
      <w:r>
        <w:rPr>
          <w:spacing w:val="1"/>
        </w:rPr>
        <w:t xml:space="preserve"> </w:t>
      </w:r>
      <w:r>
        <w:t>public</w:t>
      </w:r>
      <w:r>
        <w:rPr>
          <w:spacing w:val="1"/>
        </w:rPr>
        <w:t xml:space="preserve"> </w:t>
      </w:r>
      <w:r>
        <w:t>administration</w:t>
      </w:r>
      <w:r>
        <w:rPr>
          <w:spacing w:val="-11"/>
        </w:rPr>
        <w:t xml:space="preserve"> </w:t>
      </w:r>
      <w:r>
        <w:t>by</w:t>
      </w:r>
      <w:r>
        <w:rPr>
          <w:spacing w:val="-12"/>
        </w:rPr>
        <w:t xml:space="preserve"> </w:t>
      </w:r>
      <w:r>
        <w:t>adopting</w:t>
      </w:r>
      <w:r>
        <w:rPr>
          <w:spacing w:val="-12"/>
        </w:rPr>
        <w:t xml:space="preserve"> </w:t>
      </w:r>
      <w:r>
        <w:t>national</w:t>
      </w:r>
      <w:r>
        <w:rPr>
          <w:spacing w:val="-10"/>
        </w:rPr>
        <w:t xml:space="preserve"> </w:t>
      </w:r>
      <w:r>
        <w:t>strategic</w:t>
      </w:r>
      <w:r>
        <w:rPr>
          <w:spacing w:val="-11"/>
        </w:rPr>
        <w:t xml:space="preserve"> </w:t>
      </w:r>
      <w:r>
        <w:t>planning</w:t>
      </w:r>
      <w:r>
        <w:rPr>
          <w:spacing w:val="-10"/>
        </w:rPr>
        <w:t xml:space="preserve"> </w:t>
      </w:r>
      <w:r>
        <w:t>acts</w:t>
      </w:r>
      <w:r>
        <w:rPr>
          <w:spacing w:val="-10"/>
        </w:rPr>
        <w:t xml:space="preserve"> </w:t>
      </w:r>
      <w:r>
        <w:t>for</w:t>
      </w:r>
      <w:r>
        <w:rPr>
          <w:spacing w:val="-11"/>
        </w:rPr>
        <w:t xml:space="preserve"> </w:t>
      </w:r>
      <w:r>
        <w:t>the</w:t>
      </w:r>
      <w:r>
        <w:rPr>
          <w:spacing w:val="-8"/>
        </w:rPr>
        <w:t xml:space="preserve"> </w:t>
      </w:r>
      <w:r>
        <w:t>period</w:t>
      </w:r>
      <w:r>
        <w:rPr>
          <w:spacing w:val="-8"/>
        </w:rPr>
        <w:t xml:space="preserve"> </w:t>
      </w:r>
      <w:r>
        <w:t>until</w:t>
      </w:r>
      <w:r>
        <w:rPr>
          <w:spacing w:val="-10"/>
        </w:rPr>
        <w:t xml:space="preserve"> </w:t>
      </w:r>
      <w:r>
        <w:t>2020,</w:t>
      </w:r>
      <w:r>
        <w:rPr>
          <w:spacing w:val="-10"/>
        </w:rPr>
        <w:t xml:space="preserve"> </w:t>
      </w:r>
      <w:r>
        <w:t>in</w:t>
      </w:r>
      <w:r>
        <w:rPr>
          <w:spacing w:val="-10"/>
        </w:rPr>
        <w:t xml:space="preserve"> </w:t>
      </w:r>
      <w:r>
        <w:t>the</w:t>
      </w:r>
      <w:r>
        <w:rPr>
          <w:spacing w:val="-12"/>
        </w:rPr>
        <w:t xml:space="preserve"> </w:t>
      </w:r>
      <w:r>
        <w:t>field</w:t>
      </w:r>
      <w:r>
        <w:rPr>
          <w:spacing w:val="-57"/>
        </w:rPr>
        <w:t xml:space="preserve"> </w:t>
      </w:r>
      <w:r>
        <w:t>of digitalization and in line with the priorities of the Digital Agenda for Europe. Priorities</w:t>
      </w:r>
      <w:r>
        <w:rPr>
          <w:spacing w:val="1"/>
        </w:rPr>
        <w:t xml:space="preserve"> </w:t>
      </w:r>
      <w:r>
        <w:t>identified in previous strategic acts are the development of public e-services and continuous</w:t>
      </w:r>
      <w:r>
        <w:rPr>
          <w:spacing w:val="1"/>
        </w:rPr>
        <w:t xml:space="preserve"> </w:t>
      </w:r>
      <w:r>
        <w:t>upgrading</w:t>
      </w:r>
      <w:r>
        <w:rPr>
          <w:spacing w:val="1"/>
        </w:rPr>
        <w:t xml:space="preserve"> </w:t>
      </w:r>
      <w:r>
        <w:t>of</w:t>
      </w:r>
      <w:r>
        <w:rPr>
          <w:spacing w:val="1"/>
        </w:rPr>
        <w:t xml:space="preserve"> </w:t>
      </w:r>
      <w:r>
        <w:t>national</w:t>
      </w:r>
      <w:r>
        <w:rPr>
          <w:spacing w:val="1"/>
        </w:rPr>
        <w:t xml:space="preserve"> </w:t>
      </w:r>
      <w:r>
        <w:t>infrastructure</w:t>
      </w:r>
      <w:r>
        <w:rPr>
          <w:spacing w:val="1"/>
        </w:rPr>
        <w:t xml:space="preserve"> </w:t>
      </w:r>
      <w:r>
        <w:t>as</w:t>
      </w:r>
      <w:r>
        <w:rPr>
          <w:spacing w:val="1"/>
        </w:rPr>
        <w:t xml:space="preserve"> </w:t>
      </w:r>
      <w:r>
        <w:t>a</w:t>
      </w:r>
      <w:r>
        <w:rPr>
          <w:spacing w:val="1"/>
        </w:rPr>
        <w:t xml:space="preserve"> </w:t>
      </w:r>
      <w:r>
        <w:t>prerequisite</w:t>
      </w:r>
      <w:r>
        <w:rPr>
          <w:spacing w:val="1"/>
        </w:rPr>
        <w:t xml:space="preserve"> </w:t>
      </w:r>
      <w:r>
        <w:t>for</w:t>
      </w:r>
      <w:r>
        <w:rPr>
          <w:spacing w:val="1"/>
        </w:rPr>
        <w:t xml:space="preserve"> </w:t>
      </w:r>
      <w:r>
        <w:t>further</w:t>
      </w:r>
      <w:r>
        <w:rPr>
          <w:spacing w:val="1"/>
        </w:rPr>
        <w:t xml:space="preserve"> </w:t>
      </w:r>
      <w:r>
        <w:t>development</w:t>
      </w:r>
      <w:r>
        <w:rPr>
          <w:spacing w:val="1"/>
        </w:rPr>
        <w:t xml:space="preserve"> </w:t>
      </w:r>
      <w:r>
        <w:t>of</w:t>
      </w:r>
      <w:r>
        <w:rPr>
          <w:spacing w:val="1"/>
        </w:rPr>
        <w:t xml:space="preserve"> </w:t>
      </w:r>
      <w:r>
        <w:t>digital</w:t>
      </w:r>
      <w:r>
        <w:rPr>
          <w:spacing w:val="1"/>
        </w:rPr>
        <w:t xml:space="preserve"> </w:t>
      </w:r>
      <w:r>
        <w:t>technologies and the establishment of a central interoperability system as key prerequisites for</w:t>
      </w:r>
      <w:r>
        <w:rPr>
          <w:spacing w:val="-57"/>
        </w:rPr>
        <w:t xml:space="preserve"> </w:t>
      </w:r>
      <w:r>
        <w:t>secure data exchange and interconnection of public administration services for developing</w:t>
      </w:r>
      <w:r>
        <w:rPr>
          <w:spacing w:val="1"/>
        </w:rPr>
        <w:t xml:space="preserve"> </w:t>
      </w:r>
      <w:r>
        <w:t>complex</w:t>
      </w:r>
      <w:r>
        <w:rPr>
          <w:spacing w:val="1"/>
        </w:rPr>
        <w:t xml:space="preserve"> </w:t>
      </w:r>
      <w:r>
        <w:t>e-services</w:t>
      </w:r>
      <w:r>
        <w:rPr>
          <w:spacing w:val="1"/>
        </w:rPr>
        <w:t xml:space="preserve"> </w:t>
      </w:r>
      <w:r>
        <w:t>tailored</w:t>
      </w:r>
      <w:r>
        <w:rPr>
          <w:spacing w:val="1"/>
        </w:rPr>
        <w:t xml:space="preserve"> </w:t>
      </w:r>
      <w:r>
        <w:t>to</w:t>
      </w:r>
      <w:r>
        <w:rPr>
          <w:spacing w:val="1"/>
        </w:rPr>
        <w:t xml:space="preserve"> </w:t>
      </w:r>
      <w:r>
        <w:t>users.</w:t>
      </w:r>
      <w:r>
        <w:rPr>
          <w:spacing w:val="1"/>
        </w:rPr>
        <w:t xml:space="preserve"> </w:t>
      </w:r>
      <w:r>
        <w:t>Further</w:t>
      </w:r>
      <w:r>
        <w:rPr>
          <w:spacing w:val="1"/>
        </w:rPr>
        <w:t xml:space="preserve"> </w:t>
      </w:r>
      <w:r>
        <w:t>strategic</w:t>
      </w:r>
      <w:r>
        <w:rPr>
          <w:spacing w:val="1"/>
        </w:rPr>
        <w:t xml:space="preserve"> </w:t>
      </w:r>
      <w:r>
        <w:t>determinants</w:t>
      </w:r>
      <w:r>
        <w:rPr>
          <w:spacing w:val="1"/>
        </w:rPr>
        <w:t xml:space="preserve"> </w:t>
      </w:r>
      <w:r>
        <w:t>and</w:t>
      </w:r>
      <w:r>
        <w:rPr>
          <w:spacing w:val="1"/>
        </w:rPr>
        <w:t xml:space="preserve"> </w:t>
      </w:r>
      <w:r>
        <w:t>the</w:t>
      </w:r>
      <w:r>
        <w:rPr>
          <w:spacing w:val="1"/>
        </w:rPr>
        <w:t xml:space="preserve"> </w:t>
      </w:r>
      <w:r>
        <w:t>direction</w:t>
      </w:r>
      <w:r>
        <w:rPr>
          <w:spacing w:val="1"/>
        </w:rPr>
        <w:t xml:space="preserve"> </w:t>
      </w:r>
      <w:r>
        <w:t>in</w:t>
      </w:r>
      <w:r>
        <w:rPr>
          <w:spacing w:val="-57"/>
        </w:rPr>
        <w:t xml:space="preserve"> </w:t>
      </w:r>
      <w:r>
        <w:t>developing the digitalisation of public administration will be given in the 2021-2027 National</w:t>
      </w:r>
      <w:r>
        <w:rPr>
          <w:spacing w:val="1"/>
        </w:rPr>
        <w:t xml:space="preserve"> </w:t>
      </w:r>
      <w:r>
        <w:t>Plan</w:t>
      </w:r>
      <w:r>
        <w:rPr>
          <w:spacing w:val="1"/>
        </w:rPr>
        <w:t xml:space="preserve"> </w:t>
      </w:r>
      <w:r>
        <w:t>for</w:t>
      </w:r>
      <w:r>
        <w:rPr>
          <w:spacing w:val="1"/>
        </w:rPr>
        <w:t xml:space="preserve"> </w:t>
      </w:r>
      <w:r>
        <w:t>Development</w:t>
      </w:r>
      <w:r>
        <w:rPr>
          <w:spacing w:val="1"/>
        </w:rPr>
        <w:t xml:space="preserve"> </w:t>
      </w:r>
      <w:r>
        <w:t>of</w:t>
      </w:r>
      <w:r>
        <w:rPr>
          <w:spacing w:val="1"/>
        </w:rPr>
        <w:t xml:space="preserve"> </w:t>
      </w:r>
      <w:r>
        <w:t>Public</w:t>
      </w:r>
      <w:r>
        <w:rPr>
          <w:spacing w:val="1"/>
        </w:rPr>
        <w:t xml:space="preserve"> </w:t>
      </w:r>
      <w:r>
        <w:t>Administration</w:t>
      </w:r>
      <w:r>
        <w:rPr>
          <w:spacing w:val="1"/>
        </w:rPr>
        <w:t xml:space="preserve"> </w:t>
      </w:r>
      <w:r>
        <w:t>in</w:t>
      </w:r>
      <w:r>
        <w:rPr>
          <w:spacing w:val="1"/>
        </w:rPr>
        <w:t xml:space="preserve"> </w:t>
      </w:r>
      <w:r>
        <w:t>terms</w:t>
      </w:r>
      <w:r>
        <w:rPr>
          <w:spacing w:val="1"/>
        </w:rPr>
        <w:t xml:space="preserve"> </w:t>
      </w:r>
      <w:r>
        <w:t>of</w:t>
      </w:r>
      <w:r>
        <w:rPr>
          <w:spacing w:val="1"/>
        </w:rPr>
        <w:t xml:space="preserve"> </w:t>
      </w:r>
      <w:r>
        <w:t>the</w:t>
      </w:r>
      <w:r>
        <w:rPr>
          <w:spacing w:val="1"/>
        </w:rPr>
        <w:t xml:space="preserve"> </w:t>
      </w:r>
      <w:r>
        <w:t>special</w:t>
      </w:r>
      <w:r>
        <w:rPr>
          <w:spacing w:val="1"/>
        </w:rPr>
        <w:t xml:space="preserve"> </w:t>
      </w:r>
      <w:r>
        <w:t>Goal</w:t>
      </w:r>
      <w:r>
        <w:rPr>
          <w:spacing w:val="1"/>
        </w:rPr>
        <w:t xml:space="preserve"> </w:t>
      </w:r>
      <w:r>
        <w:t>2.</w:t>
      </w:r>
      <w:r>
        <w:rPr>
          <w:spacing w:val="1"/>
        </w:rPr>
        <w:t xml:space="preserve"> </w:t>
      </w:r>
      <w:r>
        <w:t>Digital</w:t>
      </w:r>
      <w:r>
        <w:rPr>
          <w:spacing w:val="-57"/>
        </w:rPr>
        <w:t xml:space="preserve"> </w:t>
      </w:r>
      <w:r>
        <w:t>Transformation of Public Administration, which is in the final phases of adoption, and the</w:t>
      </w:r>
      <w:r>
        <w:rPr>
          <w:spacing w:val="1"/>
        </w:rPr>
        <w:t xml:space="preserve"> </w:t>
      </w:r>
      <w:r>
        <w:t>framework strategic act called the 2030 Digital Croatia Strategy, the drafting and adoption of</w:t>
      </w:r>
      <w:r>
        <w:rPr>
          <w:spacing w:val="1"/>
        </w:rPr>
        <w:t xml:space="preserve"> </w:t>
      </w:r>
      <w:r>
        <w:t>which is planned by</w:t>
      </w:r>
      <w:r>
        <w:rPr>
          <w:spacing w:val="-5"/>
        </w:rPr>
        <w:t xml:space="preserve"> </w:t>
      </w:r>
      <w:r>
        <w:t>the end of</w:t>
      </w:r>
      <w:r>
        <w:rPr>
          <w:spacing w:val="-1"/>
        </w:rPr>
        <w:t xml:space="preserve"> </w:t>
      </w:r>
      <w:r>
        <w:t>2022.</w:t>
      </w:r>
    </w:p>
    <w:p w:rsidR="00A56FE9" w:rsidRDefault="00A56FE9">
      <w:pPr>
        <w:pStyle w:val="Tijeloteksta"/>
        <w:spacing w:before="3"/>
        <w:ind w:left="0"/>
        <w:jc w:val="left"/>
        <w:rPr>
          <w:sz w:val="21"/>
        </w:rPr>
      </w:pPr>
    </w:p>
    <w:p w:rsidR="00A56FE9" w:rsidRDefault="00000000">
      <w:pPr>
        <w:pStyle w:val="Naslov5"/>
        <w:spacing w:before="1"/>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234515824"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234680087" name="Rectangle 246"/>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0EC6BC8" id="Group 245"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">
                <v:rect id="Rectangle 246"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" fillcolor="#2c398a" stroked="f"/>
                <w10:anchorlock/>
              </v:group>
            </w:pict>
          </mc:Fallback>
        </mc:AlternateContent>
      </w:r>
    </w:p>
    <w:p w:rsidR="00A56FE9" w:rsidRDefault="00000000">
      <w:pPr>
        <w:pStyle w:val="Tijeloteksta"/>
        <w:spacing w:before="154"/>
        <w:ind w:right="273"/>
      </w:pPr>
      <w:r>
        <w:t>One of the measures that addresses the digitalisation of public administration is the umbrella</w:t>
      </w:r>
      <w:r>
        <w:rPr>
          <w:spacing w:val="1"/>
        </w:rPr>
        <w:t xml:space="preserve"> </w:t>
      </w:r>
      <w:r>
        <w:t>strategic document Digital Croatia Strategy for the period until 2030, to be developed and</w:t>
      </w:r>
      <w:r>
        <w:rPr>
          <w:spacing w:val="1"/>
        </w:rPr>
        <w:t xml:space="preserve"> </w:t>
      </w:r>
      <w:r>
        <w:t>adopted by the end of 2022 within the NRRP reform C2.3. R1. The strategy defines the vision</w:t>
      </w:r>
      <w:r>
        <w:rPr>
          <w:spacing w:val="-57"/>
        </w:rPr>
        <w:t xml:space="preserve"> </w:t>
      </w:r>
      <w:r>
        <w:t>and strategic goals and priorities that will be the basis for defining measures in the following</w:t>
      </w:r>
      <w:r>
        <w:rPr>
          <w:spacing w:val="1"/>
        </w:rPr>
        <w:t xml:space="preserve"> </w:t>
      </w:r>
      <w:r>
        <w:t>areas:</w:t>
      </w:r>
      <w:r>
        <w:rPr>
          <w:spacing w:val="1"/>
        </w:rPr>
        <w:t xml:space="preserve"> </w:t>
      </w:r>
      <w:r>
        <w:t>(i) digital transition of the</w:t>
      </w:r>
      <w:r>
        <w:rPr>
          <w:spacing w:val="1"/>
        </w:rPr>
        <w:t xml:space="preserve"> </w:t>
      </w:r>
      <w:r>
        <w:t>economy; (ii)</w:t>
      </w:r>
      <w:r>
        <w:rPr>
          <w:spacing w:val="1"/>
        </w:rPr>
        <w:t xml:space="preserve"> </w:t>
      </w:r>
      <w:r>
        <w:t>digitisation of public</w:t>
      </w:r>
      <w:r>
        <w:rPr>
          <w:spacing w:val="1"/>
        </w:rPr>
        <w:t xml:space="preserve"> </w:t>
      </w:r>
      <w:r>
        <w:t>administration and</w:t>
      </w:r>
      <w:r>
        <w:rPr>
          <w:spacing w:val="1"/>
        </w:rPr>
        <w:t xml:space="preserve"> </w:t>
      </w:r>
      <w:r>
        <w:t>judiciary;</w:t>
      </w:r>
      <w:r>
        <w:rPr>
          <w:spacing w:val="1"/>
        </w:rPr>
        <w:t xml:space="preserve"> </w:t>
      </w:r>
      <w:r>
        <w:t>(iii)</w:t>
      </w:r>
      <w:r>
        <w:rPr>
          <w:spacing w:val="1"/>
        </w:rPr>
        <w:t xml:space="preserve"> </w:t>
      </w:r>
      <w:r>
        <w:t>development</w:t>
      </w:r>
      <w:r>
        <w:rPr>
          <w:spacing w:val="1"/>
        </w:rPr>
        <w:t xml:space="preserve"> </w:t>
      </w:r>
      <w:r>
        <w:t>of</w:t>
      </w:r>
      <w:r>
        <w:rPr>
          <w:spacing w:val="1"/>
        </w:rPr>
        <w:t xml:space="preserve"> </w:t>
      </w:r>
      <w:r>
        <w:t>broadband</w:t>
      </w:r>
      <w:r>
        <w:rPr>
          <w:spacing w:val="1"/>
        </w:rPr>
        <w:t xml:space="preserve"> </w:t>
      </w:r>
      <w:r>
        <w:t>electronic</w:t>
      </w:r>
      <w:r>
        <w:rPr>
          <w:spacing w:val="1"/>
        </w:rPr>
        <w:t xml:space="preserve"> </w:t>
      </w:r>
      <w:r>
        <w:t>communications</w:t>
      </w:r>
      <w:r>
        <w:rPr>
          <w:spacing w:val="1"/>
        </w:rPr>
        <w:t xml:space="preserve"> </w:t>
      </w:r>
      <w:r>
        <w:t>networks;</w:t>
      </w:r>
      <w:r>
        <w:rPr>
          <w:spacing w:val="1"/>
        </w:rPr>
        <w:t xml:space="preserve"> </w:t>
      </w:r>
      <w:r>
        <w:t>(iv)</w:t>
      </w:r>
      <w:r>
        <w:rPr>
          <w:spacing w:val="1"/>
        </w:rPr>
        <w:t xml:space="preserve"> </w:t>
      </w:r>
      <w:r>
        <w:t>development of digital competencies and digital jobs. The strategy will determine the strategic</w:t>
      </w:r>
      <w:r>
        <w:rPr>
          <w:spacing w:val="-57"/>
        </w:rPr>
        <w:t xml:space="preserve"> </w:t>
      </w:r>
      <w:r>
        <w:t>direction of digital transformation to establish a systematic approach to digitalisation and</w:t>
      </w:r>
      <w:r>
        <w:rPr>
          <w:spacing w:val="1"/>
        </w:rPr>
        <w:t xml:space="preserve"> </w:t>
      </w:r>
      <w:r>
        <w:t>anticipate the need to adhere to existing standards, best practices and design principles in</w:t>
      </w:r>
      <w:r>
        <w:rPr>
          <w:spacing w:val="1"/>
        </w:rPr>
        <w:t xml:space="preserve"> </w:t>
      </w:r>
      <w:r>
        <w:t>developing new services, systems and platforms, and the need for continuous and coordinated</w:t>
      </w:r>
      <w:r>
        <w:rPr>
          <w:spacing w:val="1"/>
        </w:rPr>
        <w:t xml:space="preserve"> </w:t>
      </w:r>
      <w:r>
        <w:t>upgrades and connectivity, based on the latest technologies and achievements in the field of</w:t>
      </w:r>
      <w:r>
        <w:rPr>
          <w:spacing w:val="1"/>
        </w:rPr>
        <w:t xml:space="preserve"> </w:t>
      </w:r>
      <w:r>
        <w:t>digitalisation</w:t>
      </w:r>
      <w:r>
        <w:rPr>
          <w:spacing w:val="-3"/>
        </w:rPr>
        <w:t xml:space="preserve"> </w:t>
      </w:r>
      <w:r>
        <w:t>and</w:t>
      </w:r>
      <w:r>
        <w:rPr>
          <w:spacing w:val="-3"/>
        </w:rPr>
        <w:t xml:space="preserve"> </w:t>
      </w:r>
      <w:r>
        <w:t>setting</w:t>
      </w:r>
      <w:r>
        <w:rPr>
          <w:spacing w:val="-2"/>
        </w:rPr>
        <w:t xml:space="preserve"> </w:t>
      </w:r>
      <w:r>
        <w:t>the</w:t>
      </w:r>
      <w:r>
        <w:rPr>
          <w:spacing w:val="-3"/>
        </w:rPr>
        <w:t xml:space="preserve"> </w:t>
      </w:r>
      <w:r>
        <w:t>security</w:t>
      </w:r>
      <w:r>
        <w:rPr>
          <w:spacing w:val="-7"/>
        </w:rPr>
        <w:t xml:space="preserve"> </w:t>
      </w:r>
      <w:r>
        <w:t>of</w:t>
      </w:r>
      <w:r>
        <w:rPr>
          <w:spacing w:val="-4"/>
        </w:rPr>
        <w:t xml:space="preserve"> </w:t>
      </w:r>
      <w:r>
        <w:t>end</w:t>
      </w:r>
      <w:r>
        <w:rPr>
          <w:spacing w:val="-3"/>
        </w:rPr>
        <w:t xml:space="preserve"> </w:t>
      </w:r>
      <w:r>
        <w:t>users of</w:t>
      </w:r>
      <w:r>
        <w:rPr>
          <w:spacing w:val="-3"/>
        </w:rPr>
        <w:t xml:space="preserve"> </w:t>
      </w:r>
      <w:r>
        <w:t>the</w:t>
      </w:r>
      <w:r>
        <w:rPr>
          <w:spacing w:val="-3"/>
        </w:rPr>
        <w:t xml:space="preserve"> </w:t>
      </w:r>
      <w:r>
        <w:t>system</w:t>
      </w:r>
      <w:r>
        <w:rPr>
          <w:spacing w:val="-1"/>
        </w:rPr>
        <w:t xml:space="preserve"> </w:t>
      </w:r>
      <w:r>
        <w:t>as the</w:t>
      </w:r>
      <w:r>
        <w:rPr>
          <w:spacing w:val="-2"/>
        </w:rPr>
        <w:t xml:space="preserve"> </w:t>
      </w:r>
      <w:r>
        <w:t>primary</w:t>
      </w:r>
      <w:r>
        <w:rPr>
          <w:spacing w:val="-8"/>
        </w:rPr>
        <w:t xml:space="preserve"> </w:t>
      </w:r>
      <w:r>
        <w:t>task.</w:t>
      </w:r>
      <w:r>
        <w:rPr>
          <w:spacing w:val="-3"/>
        </w:rPr>
        <w:t xml:space="preserve"> </w:t>
      </w:r>
      <w:r>
        <w:t>Moreover,</w:t>
      </w:r>
      <w:r>
        <w:rPr>
          <w:spacing w:val="-57"/>
        </w:rPr>
        <w:t xml:space="preserve"> </w:t>
      </w:r>
      <w:r>
        <w:t>this strategic act will focus on addressing existing challenges in monitoring and coordinating</w:t>
      </w:r>
      <w:r>
        <w:rPr>
          <w:spacing w:val="1"/>
        </w:rPr>
        <w:t xml:space="preserve"> </w:t>
      </w:r>
      <w:r>
        <w:t>the digitisation process. Strengthening inter-institutional cooperation and coordination are key</w:t>
      </w:r>
      <w:r>
        <w:rPr>
          <w:spacing w:val="-57"/>
        </w:rPr>
        <w:t xml:space="preserve"> </w:t>
      </w:r>
      <w:r>
        <w:t>prerequisites</w:t>
      </w:r>
      <w:r>
        <w:rPr>
          <w:spacing w:val="1"/>
        </w:rPr>
        <w:t xml:space="preserve"> </w:t>
      </w:r>
      <w:r>
        <w:t>for</w:t>
      </w:r>
      <w:r>
        <w:rPr>
          <w:spacing w:val="1"/>
        </w:rPr>
        <w:t xml:space="preserve"> </w:t>
      </w:r>
      <w:r>
        <w:t>successful</w:t>
      </w:r>
      <w:r>
        <w:rPr>
          <w:spacing w:val="1"/>
        </w:rPr>
        <w:t xml:space="preserve"> </w:t>
      </w:r>
      <w:r>
        <w:t>digital</w:t>
      </w:r>
      <w:r>
        <w:rPr>
          <w:spacing w:val="1"/>
        </w:rPr>
        <w:t xml:space="preserve"> </w:t>
      </w:r>
      <w:r>
        <w:t>transformation.</w:t>
      </w:r>
      <w:r>
        <w:rPr>
          <w:spacing w:val="1"/>
        </w:rPr>
        <w:t xml:space="preserve"> </w:t>
      </w:r>
      <w:r>
        <w:t>Therefore,</w:t>
      </w:r>
      <w:r>
        <w:rPr>
          <w:spacing w:val="1"/>
        </w:rPr>
        <w:t xml:space="preserve"> </w:t>
      </w:r>
      <w:r>
        <w:t>a</w:t>
      </w:r>
      <w:r>
        <w:rPr>
          <w:spacing w:val="1"/>
        </w:rPr>
        <w:t xml:space="preserve"> </w:t>
      </w:r>
      <w:r>
        <w:rPr>
          <w:b/>
        </w:rPr>
        <w:t>central</w:t>
      </w:r>
      <w:r>
        <w:rPr>
          <w:b/>
          <w:spacing w:val="1"/>
        </w:rPr>
        <w:t xml:space="preserve"> </w:t>
      </w:r>
      <w:r>
        <w:rPr>
          <w:b/>
        </w:rPr>
        <w:t>coordination</w:t>
      </w:r>
      <w:r>
        <w:rPr>
          <w:b/>
          <w:spacing w:val="1"/>
        </w:rPr>
        <w:t xml:space="preserve"> </w:t>
      </w:r>
      <w:r>
        <w:rPr>
          <w:b/>
        </w:rPr>
        <w:t>mechanism will be established for all public digitisation initiatives, as well as a system of</w:t>
      </w:r>
      <w:r>
        <w:rPr>
          <w:b/>
          <w:spacing w:val="1"/>
        </w:rPr>
        <w:t xml:space="preserve"> </w:t>
      </w:r>
      <w:r>
        <w:rPr>
          <w:b/>
        </w:rPr>
        <w:t>interoperability</w:t>
      </w:r>
      <w:r>
        <w:rPr>
          <w:b/>
          <w:spacing w:val="-9"/>
        </w:rPr>
        <w:t xml:space="preserve"> </w:t>
      </w:r>
      <w:r>
        <w:rPr>
          <w:b/>
        </w:rPr>
        <w:t>for</w:t>
      </w:r>
      <w:r>
        <w:rPr>
          <w:b/>
          <w:spacing w:val="-9"/>
        </w:rPr>
        <w:t xml:space="preserve"> </w:t>
      </w:r>
      <w:r>
        <w:rPr>
          <w:b/>
        </w:rPr>
        <w:t>digital</w:t>
      </w:r>
      <w:r>
        <w:rPr>
          <w:b/>
          <w:spacing w:val="-9"/>
        </w:rPr>
        <w:t xml:space="preserve"> </w:t>
      </w:r>
      <w:r>
        <w:rPr>
          <w:b/>
        </w:rPr>
        <w:t>public</w:t>
      </w:r>
      <w:r>
        <w:rPr>
          <w:b/>
          <w:spacing w:val="-10"/>
        </w:rPr>
        <w:t xml:space="preserve"> </w:t>
      </w:r>
      <w:r>
        <w:rPr>
          <w:b/>
        </w:rPr>
        <w:t>services</w:t>
      </w:r>
      <w:r>
        <w:rPr>
          <w:b/>
          <w:spacing w:val="-6"/>
        </w:rPr>
        <w:t xml:space="preserve"> </w:t>
      </w:r>
      <w:r>
        <w:t>to</w:t>
      </w:r>
      <w:r>
        <w:rPr>
          <w:spacing w:val="-8"/>
        </w:rPr>
        <w:t xml:space="preserve"> </w:t>
      </w:r>
      <w:r>
        <w:t>ensure</w:t>
      </w:r>
      <w:r>
        <w:rPr>
          <w:spacing w:val="-10"/>
        </w:rPr>
        <w:t xml:space="preserve"> </w:t>
      </w:r>
      <w:r>
        <w:t>coherent</w:t>
      </w:r>
      <w:r>
        <w:rPr>
          <w:spacing w:val="-8"/>
        </w:rPr>
        <w:t xml:space="preserve"> </w:t>
      </w:r>
      <w:r>
        <w:t>development</w:t>
      </w:r>
      <w:r>
        <w:rPr>
          <w:spacing w:val="-8"/>
        </w:rPr>
        <w:t xml:space="preserve"> </w:t>
      </w:r>
      <w:r>
        <w:t>of</w:t>
      </w:r>
      <w:r>
        <w:rPr>
          <w:spacing w:val="-9"/>
        </w:rPr>
        <w:t xml:space="preserve"> </w:t>
      </w:r>
      <w:r>
        <w:t>e-Government.</w:t>
      </w:r>
      <w:r>
        <w:rPr>
          <w:spacing w:val="-58"/>
        </w:rPr>
        <w:t xml:space="preserve"> </w:t>
      </w:r>
      <w:r>
        <w:t>The</w:t>
      </w:r>
      <w:r>
        <w:rPr>
          <w:spacing w:val="-11"/>
        </w:rPr>
        <w:t xml:space="preserve"> </w:t>
      </w:r>
      <w:r>
        <w:t>drafting</w:t>
      </w:r>
      <w:r>
        <w:rPr>
          <w:spacing w:val="-9"/>
        </w:rPr>
        <w:t xml:space="preserve"> </w:t>
      </w:r>
      <w:r>
        <w:t>of</w:t>
      </w:r>
      <w:r>
        <w:rPr>
          <w:spacing w:val="-10"/>
        </w:rPr>
        <w:t xml:space="preserve"> </w:t>
      </w:r>
      <w:r>
        <w:t>the</w:t>
      </w:r>
      <w:r>
        <w:rPr>
          <w:spacing w:val="-10"/>
        </w:rPr>
        <w:t xml:space="preserve"> </w:t>
      </w:r>
      <w:r>
        <w:t>Strategy</w:t>
      </w:r>
      <w:r>
        <w:rPr>
          <w:spacing w:val="-15"/>
        </w:rPr>
        <w:t xml:space="preserve"> </w:t>
      </w:r>
      <w:r>
        <w:t>includes</w:t>
      </w:r>
      <w:r>
        <w:rPr>
          <w:spacing w:val="-7"/>
        </w:rPr>
        <w:t xml:space="preserve"> </w:t>
      </w:r>
      <w:r>
        <w:t>defining</w:t>
      </w:r>
      <w:r>
        <w:rPr>
          <w:spacing w:val="-8"/>
        </w:rPr>
        <w:t xml:space="preserve"> </w:t>
      </w:r>
      <w:r>
        <w:t>the</w:t>
      </w:r>
      <w:r>
        <w:rPr>
          <w:spacing w:val="-7"/>
        </w:rPr>
        <w:t xml:space="preserve"> </w:t>
      </w:r>
      <w:r>
        <w:t>methodology</w:t>
      </w:r>
      <w:r>
        <w:rPr>
          <w:spacing w:val="-14"/>
        </w:rPr>
        <w:t xml:space="preserve"> </w:t>
      </w:r>
      <w:r>
        <w:t>for</w:t>
      </w:r>
      <w:r>
        <w:rPr>
          <w:spacing w:val="-11"/>
        </w:rPr>
        <w:t xml:space="preserve"> </w:t>
      </w:r>
      <w:r>
        <w:t>drafting</w:t>
      </w:r>
      <w:r>
        <w:rPr>
          <w:spacing w:val="-9"/>
        </w:rPr>
        <w:t xml:space="preserve"> </w:t>
      </w:r>
      <w:r>
        <w:t>the</w:t>
      </w:r>
      <w:r>
        <w:rPr>
          <w:spacing w:val="-10"/>
        </w:rPr>
        <w:t xml:space="preserve"> </w:t>
      </w:r>
      <w:r>
        <w:t>act,</w:t>
      </w:r>
      <w:r>
        <w:rPr>
          <w:spacing w:val="-9"/>
        </w:rPr>
        <w:t xml:space="preserve"> </w:t>
      </w:r>
      <w:r>
        <w:t>establishing</w:t>
      </w:r>
      <w:r>
        <w:rPr>
          <w:spacing w:val="-58"/>
        </w:rPr>
        <w:t xml:space="preserve"> </w:t>
      </w:r>
      <w:r>
        <w:t>a working group for drafting the Strategy, gathering information and drafting an assessment of</w:t>
      </w:r>
      <w:r>
        <w:rPr>
          <w:spacing w:val="-58"/>
        </w:rPr>
        <w:t xml:space="preserve"> </w:t>
      </w:r>
      <w:r>
        <w:t>the</w:t>
      </w:r>
      <w:r>
        <w:rPr>
          <w:spacing w:val="-9"/>
        </w:rPr>
        <w:t xml:space="preserve"> </w:t>
      </w:r>
      <w:r>
        <w:t>current</w:t>
      </w:r>
      <w:r>
        <w:rPr>
          <w:spacing w:val="-7"/>
        </w:rPr>
        <w:t xml:space="preserve"> </w:t>
      </w:r>
      <w:r>
        <w:t>situation,</w:t>
      </w:r>
      <w:r>
        <w:rPr>
          <w:spacing w:val="-8"/>
        </w:rPr>
        <w:t xml:space="preserve"> </w:t>
      </w:r>
      <w:r>
        <w:t>and</w:t>
      </w:r>
      <w:r>
        <w:rPr>
          <w:spacing w:val="-5"/>
        </w:rPr>
        <w:t xml:space="preserve"> </w:t>
      </w:r>
      <w:r>
        <w:t>drafting</w:t>
      </w:r>
      <w:r>
        <w:rPr>
          <w:spacing w:val="-11"/>
        </w:rPr>
        <w:t xml:space="preserve"> </w:t>
      </w:r>
      <w:r>
        <w:t>a</w:t>
      </w:r>
      <w:r>
        <w:rPr>
          <w:spacing w:val="-9"/>
        </w:rPr>
        <w:t xml:space="preserve"> </w:t>
      </w:r>
      <w:r>
        <w:t>proposal</w:t>
      </w:r>
      <w:r>
        <w:rPr>
          <w:spacing w:val="-7"/>
        </w:rPr>
        <w:t xml:space="preserve"> </w:t>
      </w:r>
      <w:r>
        <w:t>for</w:t>
      </w:r>
      <w:r>
        <w:rPr>
          <w:spacing w:val="-8"/>
        </w:rPr>
        <w:t xml:space="preserve"> </w:t>
      </w:r>
      <w:r>
        <w:t>the</w:t>
      </w:r>
      <w:r>
        <w:rPr>
          <w:spacing w:val="-9"/>
        </w:rPr>
        <w:t xml:space="preserve"> </w:t>
      </w:r>
      <w:r>
        <w:t>Digital</w:t>
      </w:r>
      <w:r>
        <w:rPr>
          <w:spacing w:val="-8"/>
        </w:rPr>
        <w:t xml:space="preserve"> </w:t>
      </w:r>
      <w:r>
        <w:t>Croatia</w:t>
      </w:r>
      <w:r>
        <w:rPr>
          <w:spacing w:val="-9"/>
        </w:rPr>
        <w:t xml:space="preserve"> </w:t>
      </w:r>
      <w:r>
        <w:t>Strategy</w:t>
      </w:r>
      <w:r>
        <w:rPr>
          <w:spacing w:val="-10"/>
        </w:rPr>
        <w:t xml:space="preserve"> </w:t>
      </w:r>
      <w:r>
        <w:t>for</w:t>
      </w:r>
      <w:r>
        <w:rPr>
          <w:spacing w:val="-9"/>
        </w:rPr>
        <w:t xml:space="preserve"> </w:t>
      </w:r>
      <w:r>
        <w:t>the</w:t>
      </w:r>
      <w:r>
        <w:rPr>
          <w:spacing w:val="-8"/>
        </w:rPr>
        <w:t xml:space="preserve"> </w:t>
      </w:r>
      <w:r>
        <w:t>period</w:t>
      </w:r>
      <w:r>
        <w:rPr>
          <w:spacing w:val="-9"/>
        </w:rPr>
        <w:t xml:space="preserve"> </w:t>
      </w:r>
      <w:r>
        <w:t>until</w:t>
      </w:r>
      <w:r>
        <w:rPr>
          <w:spacing w:val="-57"/>
        </w:rPr>
        <w:t xml:space="preserve"> </w:t>
      </w:r>
      <w:r>
        <w:t>2030.</w:t>
      </w:r>
    </w:p>
    <w:p w:rsidR="00A56FE9" w:rsidRDefault="00A56FE9">
      <w:pPr>
        <w:sectPr w:rsidR="00A56FE9" w:rsidSect="00AB1E70">
          <w:pgSz w:w="11910" w:h="16840"/>
          <w:pgMar w:top="1340" w:right="1140" w:bottom="960" w:left="1280" w:header="0" w:footer="779" w:gutter="0"/>
          <w:cols w:space="720"/>
        </w:sectPr>
      </w:pPr>
    </w:p>
    <w:p w:rsidR="00A56FE9" w:rsidRDefault="00000000">
      <w:pPr>
        <w:pStyle w:val="Naslov5"/>
        <w:spacing w:before="79"/>
      </w:pPr>
      <w:r>
        <w:rPr>
          <w:color w:val="2C398A"/>
        </w:rPr>
        <w:t>Electronic</w:t>
      </w:r>
      <w:r>
        <w:rPr>
          <w:color w:val="2C398A"/>
          <w:spacing w:val="-3"/>
        </w:rPr>
        <w:t xml:space="preserve"> </w:t>
      </w:r>
      <w:r>
        <w:rPr>
          <w:color w:val="2C398A"/>
        </w:rPr>
        <w:t>services</w:t>
      </w:r>
      <w:r>
        <w:rPr>
          <w:color w:val="2C398A"/>
          <w:spacing w:val="-2"/>
        </w:rPr>
        <w:t xml:space="preserve"> </w:t>
      </w:r>
      <w:r>
        <w:rPr>
          <w:color w:val="2C398A"/>
        </w:rPr>
        <w:t>and</w:t>
      </w:r>
      <w:r>
        <w:rPr>
          <w:color w:val="2C398A"/>
          <w:spacing w:val="-2"/>
        </w:rPr>
        <w:t xml:space="preserve"> </w:t>
      </w:r>
      <w:r>
        <w:rPr>
          <w:color w:val="2C398A"/>
        </w:rPr>
        <w:t>digitalisation</w:t>
      </w:r>
      <w:r>
        <w:rPr>
          <w:color w:val="2C398A"/>
          <w:spacing w:val="-2"/>
        </w:rPr>
        <w:t xml:space="preserve"> </w:t>
      </w:r>
      <w:r>
        <w:rPr>
          <w:color w:val="2C398A"/>
        </w:rPr>
        <w:t>of</w:t>
      </w:r>
      <w:r>
        <w:rPr>
          <w:color w:val="2C398A"/>
          <w:spacing w:val="-1"/>
        </w:rPr>
        <w:t xml:space="preserve"> </w:t>
      </w:r>
      <w:r>
        <w:rPr>
          <w:color w:val="2C398A"/>
        </w:rPr>
        <w:t>process</w:t>
      </w:r>
    </w:p>
    <w:p w:rsidR="00A56FE9" w:rsidRDefault="00A56FE9">
      <w:pPr>
        <w:pStyle w:val="Tijeloteksta"/>
        <w:spacing w:before="5"/>
        <w:ind w:left="0"/>
        <w:jc w:val="left"/>
        <w:rPr>
          <w:b/>
          <w:sz w:val="20"/>
        </w:rPr>
      </w:pPr>
    </w:p>
    <w:p w:rsidR="00A56FE9" w:rsidRDefault="00000000">
      <w:pPr>
        <w:ind w:left="138" w:right="276"/>
        <w:jc w:val="both"/>
        <w:rPr>
          <w:i/>
          <w:sz w:val="24"/>
        </w:rPr>
      </w:pPr>
      <w:r>
        <w:rPr>
          <w:i/>
          <w:color w:val="2C398A"/>
          <w:sz w:val="24"/>
        </w:rPr>
        <w:t>2020.CSR2.2. Increase access to digital infrastructure and services; 2020.CSR4.1. Reinforce</w:t>
      </w:r>
      <w:r>
        <w:rPr>
          <w:i/>
          <w:color w:val="2C398A"/>
          <w:spacing w:val="1"/>
          <w:sz w:val="24"/>
        </w:rPr>
        <w:t xml:space="preserve"> </w:t>
      </w:r>
      <w:r>
        <w:rPr>
          <w:i/>
          <w:color w:val="2C398A"/>
          <w:sz w:val="24"/>
        </w:rPr>
        <w:t>the</w:t>
      </w:r>
      <w:r>
        <w:rPr>
          <w:i/>
          <w:color w:val="2C398A"/>
          <w:spacing w:val="-12"/>
          <w:sz w:val="24"/>
        </w:rPr>
        <w:t xml:space="preserve"> </w:t>
      </w:r>
      <w:r>
        <w:rPr>
          <w:i/>
          <w:color w:val="2C398A"/>
          <w:sz w:val="24"/>
        </w:rPr>
        <w:t>capacity</w:t>
      </w:r>
      <w:r>
        <w:rPr>
          <w:i/>
          <w:color w:val="2C398A"/>
          <w:spacing w:val="-12"/>
          <w:sz w:val="24"/>
        </w:rPr>
        <w:t xml:space="preserve"> </w:t>
      </w:r>
      <w:r>
        <w:rPr>
          <w:i/>
          <w:color w:val="2C398A"/>
          <w:sz w:val="24"/>
        </w:rPr>
        <w:t>and</w:t>
      </w:r>
      <w:r>
        <w:rPr>
          <w:i/>
          <w:color w:val="2C398A"/>
          <w:spacing w:val="-11"/>
          <w:sz w:val="24"/>
        </w:rPr>
        <w:t xml:space="preserve"> </w:t>
      </w:r>
      <w:r>
        <w:rPr>
          <w:i/>
          <w:color w:val="2C398A"/>
          <w:sz w:val="24"/>
        </w:rPr>
        <w:t>efficiency</w:t>
      </w:r>
      <w:r>
        <w:rPr>
          <w:i/>
          <w:color w:val="2C398A"/>
          <w:spacing w:val="-12"/>
          <w:sz w:val="24"/>
        </w:rPr>
        <w:t xml:space="preserve"> </w:t>
      </w:r>
      <w:r>
        <w:rPr>
          <w:i/>
          <w:color w:val="2C398A"/>
          <w:sz w:val="24"/>
        </w:rPr>
        <w:t>of</w:t>
      </w:r>
      <w:r>
        <w:rPr>
          <w:i/>
          <w:color w:val="2C398A"/>
          <w:spacing w:val="-11"/>
          <w:sz w:val="24"/>
        </w:rPr>
        <w:t xml:space="preserve"> </w:t>
      </w:r>
      <w:r>
        <w:rPr>
          <w:i/>
          <w:color w:val="2C398A"/>
          <w:sz w:val="24"/>
        </w:rPr>
        <w:t>the</w:t>
      </w:r>
      <w:r>
        <w:rPr>
          <w:i/>
          <w:color w:val="2C398A"/>
          <w:spacing w:val="-12"/>
          <w:sz w:val="24"/>
        </w:rPr>
        <w:t xml:space="preserve"> </w:t>
      </w:r>
      <w:r>
        <w:rPr>
          <w:i/>
          <w:color w:val="2C398A"/>
          <w:sz w:val="24"/>
        </w:rPr>
        <w:t>public</w:t>
      </w:r>
      <w:r>
        <w:rPr>
          <w:i/>
          <w:color w:val="2C398A"/>
          <w:spacing w:val="-12"/>
          <w:sz w:val="24"/>
        </w:rPr>
        <w:t xml:space="preserve"> </w:t>
      </w:r>
      <w:r>
        <w:rPr>
          <w:i/>
          <w:color w:val="2C398A"/>
          <w:sz w:val="24"/>
        </w:rPr>
        <w:t>administration</w:t>
      </w:r>
      <w:r>
        <w:rPr>
          <w:i/>
          <w:color w:val="2C398A"/>
          <w:spacing w:val="-11"/>
          <w:sz w:val="24"/>
        </w:rPr>
        <w:t xml:space="preserve"> </w:t>
      </w:r>
      <w:r>
        <w:rPr>
          <w:i/>
          <w:color w:val="2C398A"/>
          <w:sz w:val="24"/>
        </w:rPr>
        <w:t>to</w:t>
      </w:r>
      <w:r>
        <w:rPr>
          <w:i/>
          <w:color w:val="2C398A"/>
          <w:spacing w:val="-11"/>
          <w:sz w:val="24"/>
        </w:rPr>
        <w:t xml:space="preserve"> </w:t>
      </w:r>
      <w:r>
        <w:rPr>
          <w:i/>
          <w:color w:val="2C398A"/>
          <w:sz w:val="24"/>
        </w:rPr>
        <w:t>design</w:t>
      </w:r>
      <w:r>
        <w:rPr>
          <w:i/>
          <w:color w:val="2C398A"/>
          <w:spacing w:val="-10"/>
          <w:sz w:val="24"/>
        </w:rPr>
        <w:t xml:space="preserve"> </w:t>
      </w:r>
      <w:r>
        <w:rPr>
          <w:i/>
          <w:color w:val="2C398A"/>
          <w:sz w:val="24"/>
        </w:rPr>
        <w:t>and</w:t>
      </w:r>
      <w:r>
        <w:rPr>
          <w:i/>
          <w:color w:val="2C398A"/>
          <w:spacing w:val="-13"/>
          <w:sz w:val="24"/>
        </w:rPr>
        <w:t xml:space="preserve"> </w:t>
      </w:r>
      <w:r>
        <w:rPr>
          <w:i/>
          <w:color w:val="2C398A"/>
          <w:sz w:val="24"/>
        </w:rPr>
        <w:t>implement</w:t>
      </w:r>
      <w:r>
        <w:rPr>
          <w:i/>
          <w:color w:val="2C398A"/>
          <w:spacing w:val="-11"/>
          <w:sz w:val="24"/>
        </w:rPr>
        <w:t xml:space="preserve"> </w:t>
      </w:r>
      <w:r>
        <w:rPr>
          <w:i/>
          <w:color w:val="2C398A"/>
          <w:sz w:val="24"/>
        </w:rPr>
        <w:t>public</w:t>
      </w:r>
      <w:r>
        <w:rPr>
          <w:i/>
          <w:color w:val="2C398A"/>
          <w:spacing w:val="-12"/>
          <w:sz w:val="24"/>
        </w:rPr>
        <w:t xml:space="preserve"> </w:t>
      </w:r>
      <w:r>
        <w:rPr>
          <w:i/>
          <w:color w:val="2C398A"/>
          <w:sz w:val="24"/>
        </w:rPr>
        <w:t>projects</w:t>
      </w:r>
      <w:r>
        <w:rPr>
          <w:i/>
          <w:color w:val="2C398A"/>
          <w:spacing w:val="-58"/>
          <w:sz w:val="24"/>
        </w:rPr>
        <w:t xml:space="preserve"> </w:t>
      </w:r>
      <w:r>
        <w:rPr>
          <w:i/>
          <w:color w:val="2C398A"/>
          <w:sz w:val="24"/>
        </w:rPr>
        <w:t>and</w:t>
      </w:r>
      <w:r>
        <w:rPr>
          <w:i/>
          <w:color w:val="2C398A"/>
          <w:spacing w:val="-1"/>
          <w:sz w:val="24"/>
        </w:rPr>
        <w:t xml:space="preserve"> </w:t>
      </w:r>
      <w:r>
        <w:rPr>
          <w:i/>
          <w:color w:val="2C398A"/>
          <w:sz w:val="24"/>
        </w:rPr>
        <w:t>policies at central</w:t>
      </w:r>
      <w:r>
        <w:rPr>
          <w:i/>
          <w:color w:val="2C398A"/>
          <w:spacing w:val="1"/>
          <w:sz w:val="24"/>
        </w:rPr>
        <w:t xml:space="preserve"> </w:t>
      </w:r>
      <w:r>
        <w:rPr>
          <w:i/>
          <w:color w:val="2C398A"/>
          <w:sz w:val="24"/>
        </w:rPr>
        <w:t>and local levels</w:t>
      </w:r>
    </w:p>
    <w:p w:rsidR="00A56FE9" w:rsidRDefault="00A56FE9">
      <w:pPr>
        <w:pStyle w:val="Tijeloteksta"/>
        <w:spacing w:before="4"/>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2109663582"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763446382" name="Rectangle 244"/>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E9CCCB6" id="Group 243"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">
                <v:rect id="Rectangle 244"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" fillcolor="#2c398a" stroked="f"/>
                <w10:anchorlock/>
              </v:group>
            </w:pict>
          </mc:Fallback>
        </mc:AlternateContent>
      </w:r>
    </w:p>
    <w:p w:rsidR="00A56FE9" w:rsidRDefault="00000000">
      <w:pPr>
        <w:pStyle w:val="Tijeloteksta"/>
        <w:spacing w:before="154"/>
        <w:ind w:right="273"/>
      </w:pPr>
      <w:r>
        <w:t>A key system important in the digitalisation of public administration is the e-Citizens system</w:t>
      </w:r>
      <w:r>
        <w:rPr>
          <w:spacing w:val="1"/>
        </w:rPr>
        <w:t xml:space="preserve"> </w:t>
      </w:r>
      <w:r>
        <w:t>established in 2014. The project provides information and electronic services to citizens and</w:t>
      </w:r>
      <w:r>
        <w:rPr>
          <w:spacing w:val="1"/>
        </w:rPr>
        <w:t xml:space="preserve"> </w:t>
      </w:r>
      <w:r>
        <w:t>entrepreneurs</w:t>
      </w:r>
      <w:r>
        <w:rPr>
          <w:spacing w:val="-9"/>
        </w:rPr>
        <w:t xml:space="preserve"> </w:t>
      </w:r>
      <w:r>
        <w:t>in</w:t>
      </w:r>
      <w:r>
        <w:rPr>
          <w:spacing w:val="-11"/>
        </w:rPr>
        <w:t xml:space="preserve"> </w:t>
      </w:r>
      <w:r>
        <w:t>one</w:t>
      </w:r>
      <w:r>
        <w:rPr>
          <w:spacing w:val="-9"/>
        </w:rPr>
        <w:t xml:space="preserve"> </w:t>
      </w:r>
      <w:r>
        <w:t>place,</w:t>
      </w:r>
      <w:r>
        <w:rPr>
          <w:spacing w:val="-11"/>
        </w:rPr>
        <w:t xml:space="preserve"> </w:t>
      </w:r>
      <w:r>
        <w:t>enabling</w:t>
      </w:r>
      <w:r>
        <w:rPr>
          <w:spacing w:val="-10"/>
        </w:rPr>
        <w:t xml:space="preserve"> </w:t>
      </w:r>
      <w:r>
        <w:t>quick</w:t>
      </w:r>
      <w:r>
        <w:rPr>
          <w:spacing w:val="-9"/>
        </w:rPr>
        <w:t xml:space="preserve"> </w:t>
      </w:r>
      <w:r>
        <w:t>and</w:t>
      </w:r>
      <w:r>
        <w:rPr>
          <w:spacing w:val="-10"/>
        </w:rPr>
        <w:t xml:space="preserve"> </w:t>
      </w:r>
      <w:r>
        <w:t>easy</w:t>
      </w:r>
      <w:r>
        <w:rPr>
          <w:spacing w:val="-13"/>
        </w:rPr>
        <w:t xml:space="preserve"> </w:t>
      </w:r>
      <w:r>
        <w:t>communication</w:t>
      </w:r>
      <w:r>
        <w:rPr>
          <w:spacing w:val="-10"/>
        </w:rPr>
        <w:t xml:space="preserve"> </w:t>
      </w:r>
      <w:r>
        <w:t>with</w:t>
      </w:r>
      <w:r>
        <w:rPr>
          <w:spacing w:val="-11"/>
        </w:rPr>
        <w:t xml:space="preserve"> </w:t>
      </w:r>
      <w:r>
        <w:t>public</w:t>
      </w:r>
      <w:r>
        <w:rPr>
          <w:spacing w:val="-11"/>
        </w:rPr>
        <w:t xml:space="preserve"> </w:t>
      </w:r>
      <w:r>
        <w:t>administration.</w:t>
      </w:r>
      <w:r>
        <w:rPr>
          <w:spacing w:val="-58"/>
        </w:rPr>
        <w:t xml:space="preserve"> </w:t>
      </w:r>
      <w:r>
        <w:t>Citizens</w:t>
      </w:r>
      <w:r>
        <w:rPr>
          <w:spacing w:val="-11"/>
        </w:rPr>
        <w:t xml:space="preserve"> </w:t>
      </w:r>
      <w:r>
        <w:t>and</w:t>
      </w:r>
      <w:r>
        <w:rPr>
          <w:spacing w:val="-10"/>
        </w:rPr>
        <w:t xml:space="preserve"> </w:t>
      </w:r>
      <w:r>
        <w:t>entrepreneurs</w:t>
      </w:r>
      <w:r>
        <w:rPr>
          <w:spacing w:val="-11"/>
        </w:rPr>
        <w:t xml:space="preserve"> </w:t>
      </w:r>
      <w:r>
        <w:t>can,</w:t>
      </w:r>
      <w:r>
        <w:rPr>
          <w:spacing w:val="-10"/>
        </w:rPr>
        <w:t xml:space="preserve"> </w:t>
      </w:r>
      <w:r>
        <w:t>on</w:t>
      </w:r>
      <w:r>
        <w:rPr>
          <w:spacing w:val="-8"/>
        </w:rPr>
        <w:t xml:space="preserve"> </w:t>
      </w:r>
      <w:r>
        <w:t>their</w:t>
      </w:r>
      <w:r>
        <w:rPr>
          <w:spacing w:val="-12"/>
        </w:rPr>
        <w:t xml:space="preserve"> </w:t>
      </w:r>
      <w:r>
        <w:t>own</w:t>
      </w:r>
      <w:r>
        <w:rPr>
          <w:spacing w:val="-8"/>
        </w:rPr>
        <w:t xml:space="preserve"> </w:t>
      </w:r>
      <w:r>
        <w:t>behalf,</w:t>
      </w:r>
      <w:r>
        <w:rPr>
          <w:spacing w:val="-11"/>
        </w:rPr>
        <w:t xml:space="preserve"> </w:t>
      </w:r>
      <w:r>
        <w:t>on</w:t>
      </w:r>
      <w:r>
        <w:rPr>
          <w:spacing w:val="-10"/>
        </w:rPr>
        <w:t xml:space="preserve"> </w:t>
      </w:r>
      <w:r>
        <w:t>behalf</w:t>
      </w:r>
      <w:r>
        <w:rPr>
          <w:spacing w:val="-8"/>
        </w:rPr>
        <w:t xml:space="preserve"> </w:t>
      </w:r>
      <w:r>
        <w:t>of</w:t>
      </w:r>
      <w:r>
        <w:rPr>
          <w:spacing w:val="-12"/>
        </w:rPr>
        <w:t xml:space="preserve"> </w:t>
      </w:r>
      <w:r>
        <w:t>their</w:t>
      </w:r>
      <w:r>
        <w:rPr>
          <w:spacing w:val="-10"/>
        </w:rPr>
        <w:t xml:space="preserve"> </w:t>
      </w:r>
      <w:r>
        <w:t>children</w:t>
      </w:r>
      <w:r>
        <w:rPr>
          <w:spacing w:val="-11"/>
        </w:rPr>
        <w:t xml:space="preserve"> </w:t>
      </w:r>
      <w:r>
        <w:t>or</w:t>
      </w:r>
      <w:r>
        <w:rPr>
          <w:spacing w:val="-11"/>
        </w:rPr>
        <w:t xml:space="preserve"> </w:t>
      </w:r>
      <w:r>
        <w:t>their</w:t>
      </w:r>
      <w:r>
        <w:rPr>
          <w:spacing w:val="-11"/>
        </w:rPr>
        <w:t xml:space="preserve"> </w:t>
      </w:r>
      <w:r>
        <w:t>business</w:t>
      </w:r>
      <w:r>
        <w:rPr>
          <w:spacing w:val="-58"/>
        </w:rPr>
        <w:t xml:space="preserve"> </w:t>
      </w:r>
      <w:r>
        <w:t>entity, access public electronic services provided by public sector bodies. The main goal of</w:t>
      </w:r>
      <w:r>
        <w:rPr>
          <w:spacing w:val="1"/>
        </w:rPr>
        <w:t xml:space="preserve"> </w:t>
      </w:r>
      <w:r>
        <w:t>public electronic services is to save citizens and entrepreneurs time, provide communication</w:t>
      </w:r>
      <w:r>
        <w:rPr>
          <w:spacing w:val="1"/>
        </w:rPr>
        <w:t xml:space="preserve"> </w:t>
      </w:r>
      <w:r>
        <w:t>from anywhere and quickly and efficiently resolve requests addressed to public sector bodies</w:t>
      </w:r>
      <w:r>
        <w:rPr>
          <w:spacing w:val="1"/>
        </w:rPr>
        <w:t xml:space="preserve"> </w:t>
      </w:r>
      <w:r>
        <w:t>using digital technologies without visiting any of the institutions. Redesigning the e-Citizens</w:t>
      </w:r>
      <w:r>
        <w:rPr>
          <w:spacing w:val="1"/>
        </w:rPr>
        <w:t xml:space="preserve"> </w:t>
      </w:r>
      <w:r>
        <w:t>web</w:t>
      </w:r>
      <w:r>
        <w:rPr>
          <w:spacing w:val="-13"/>
        </w:rPr>
        <w:t xml:space="preserve"> </w:t>
      </w:r>
      <w:r>
        <w:t>portal,</w:t>
      </w:r>
      <w:r>
        <w:rPr>
          <w:spacing w:val="-13"/>
        </w:rPr>
        <w:t xml:space="preserve"> </w:t>
      </w:r>
      <w:r>
        <w:t>which</w:t>
      </w:r>
      <w:r>
        <w:rPr>
          <w:spacing w:val="-13"/>
        </w:rPr>
        <w:t xml:space="preserve"> </w:t>
      </w:r>
      <w:r>
        <w:t>took</w:t>
      </w:r>
      <w:r>
        <w:rPr>
          <w:spacing w:val="-13"/>
        </w:rPr>
        <w:t xml:space="preserve"> </w:t>
      </w:r>
      <w:r>
        <w:t>place</w:t>
      </w:r>
      <w:r>
        <w:rPr>
          <w:spacing w:val="-13"/>
        </w:rPr>
        <w:t xml:space="preserve"> </w:t>
      </w:r>
      <w:r>
        <w:t>in</w:t>
      </w:r>
      <w:r>
        <w:rPr>
          <w:spacing w:val="-13"/>
        </w:rPr>
        <w:t xml:space="preserve"> </w:t>
      </w:r>
      <w:r>
        <w:t>2021,</w:t>
      </w:r>
      <w:r>
        <w:rPr>
          <w:spacing w:val="-11"/>
        </w:rPr>
        <w:t xml:space="preserve"> </w:t>
      </w:r>
      <w:r>
        <w:t>focuses</w:t>
      </w:r>
      <w:r>
        <w:rPr>
          <w:spacing w:val="-11"/>
        </w:rPr>
        <w:t xml:space="preserve"> </w:t>
      </w:r>
      <w:r>
        <w:t>on</w:t>
      </w:r>
      <w:r>
        <w:rPr>
          <w:spacing w:val="-13"/>
        </w:rPr>
        <w:t xml:space="preserve"> </w:t>
      </w:r>
      <w:r>
        <w:t>requirements</w:t>
      </w:r>
      <w:r>
        <w:rPr>
          <w:spacing w:val="-12"/>
        </w:rPr>
        <w:t xml:space="preserve"> </w:t>
      </w:r>
      <w:r>
        <w:t>and</w:t>
      </w:r>
      <w:r>
        <w:rPr>
          <w:spacing w:val="-13"/>
        </w:rPr>
        <w:t xml:space="preserve"> </w:t>
      </w:r>
      <w:r>
        <w:t>how</w:t>
      </w:r>
      <w:r>
        <w:rPr>
          <w:spacing w:val="-12"/>
        </w:rPr>
        <w:t xml:space="preserve"> </w:t>
      </w:r>
      <w:r>
        <w:t>citizens</w:t>
      </w:r>
      <w:r>
        <w:rPr>
          <w:spacing w:val="-13"/>
        </w:rPr>
        <w:t xml:space="preserve"> </w:t>
      </w:r>
      <w:r>
        <w:t>use</w:t>
      </w:r>
      <w:r>
        <w:rPr>
          <w:spacing w:val="-14"/>
        </w:rPr>
        <w:t xml:space="preserve"> </w:t>
      </w:r>
      <w:r>
        <w:t>their</w:t>
      </w:r>
      <w:r>
        <w:rPr>
          <w:spacing w:val="-13"/>
        </w:rPr>
        <w:t xml:space="preserve"> </w:t>
      </w:r>
      <w:r>
        <w:t>digital</w:t>
      </w:r>
      <w:r>
        <w:rPr>
          <w:spacing w:val="-58"/>
        </w:rPr>
        <w:t xml:space="preserve"> </w:t>
      </w:r>
      <w:r>
        <w:t>identities. Today, the e-Citizens web portal services are utilised by more than 1.59 million</w:t>
      </w:r>
      <w:r>
        <w:rPr>
          <w:spacing w:val="1"/>
        </w:rPr>
        <w:t xml:space="preserve"> </w:t>
      </w:r>
      <w:r>
        <w:t>citizens, whose numbers have increased by almost 25% in the past year. Of the total 100</w:t>
      </w:r>
      <w:r>
        <w:rPr>
          <w:spacing w:val="1"/>
        </w:rPr>
        <w:t xml:space="preserve"> </w:t>
      </w:r>
      <w:r>
        <w:t>services available today through the e-Citizens web portal, the most frequently used services</w:t>
      </w:r>
      <w:r>
        <w:rPr>
          <w:spacing w:val="1"/>
        </w:rPr>
        <w:t xml:space="preserve"> </w:t>
      </w:r>
      <w:r>
        <w:rPr>
          <w:spacing w:val="-1"/>
        </w:rPr>
        <w:t>are</w:t>
      </w:r>
      <w:r>
        <w:rPr>
          <w:spacing w:val="-9"/>
        </w:rPr>
        <w:t xml:space="preserve"> </w:t>
      </w:r>
      <w:r>
        <w:rPr>
          <w:spacing w:val="-1"/>
        </w:rPr>
        <w:t>the</w:t>
      </w:r>
      <w:r>
        <w:rPr>
          <w:spacing w:val="-8"/>
        </w:rPr>
        <w:t xml:space="preserve"> </w:t>
      </w:r>
      <w:r>
        <w:rPr>
          <w:spacing w:val="-1"/>
        </w:rPr>
        <w:t>EU</w:t>
      </w:r>
      <w:r>
        <w:rPr>
          <w:spacing w:val="-8"/>
        </w:rPr>
        <w:t xml:space="preserve"> </w:t>
      </w:r>
      <w:r>
        <w:rPr>
          <w:spacing w:val="-1"/>
        </w:rPr>
        <w:t>Digital</w:t>
      </w:r>
      <w:r>
        <w:rPr>
          <w:spacing w:val="-7"/>
        </w:rPr>
        <w:t xml:space="preserve"> </w:t>
      </w:r>
      <w:r>
        <w:t>COVID</w:t>
      </w:r>
      <w:r>
        <w:rPr>
          <w:spacing w:val="-9"/>
        </w:rPr>
        <w:t xml:space="preserve"> </w:t>
      </w:r>
      <w:r>
        <w:t>Certificate,</w:t>
      </w:r>
      <w:r>
        <w:rPr>
          <w:spacing w:val="-8"/>
        </w:rPr>
        <w:t xml:space="preserve"> </w:t>
      </w:r>
      <w:r>
        <w:t>e-Civil</w:t>
      </w:r>
      <w:r>
        <w:rPr>
          <w:spacing w:val="-7"/>
        </w:rPr>
        <w:t xml:space="preserve"> </w:t>
      </w:r>
      <w:r>
        <w:t>Registries,</w:t>
      </w:r>
      <w:r>
        <w:rPr>
          <w:spacing w:val="-7"/>
        </w:rPr>
        <w:t xml:space="preserve"> </w:t>
      </w:r>
      <w:r>
        <w:t>e-Services</w:t>
      </w:r>
      <w:r>
        <w:rPr>
          <w:spacing w:val="-6"/>
        </w:rPr>
        <w:t xml:space="preserve"> </w:t>
      </w:r>
      <w:r>
        <w:t>of</w:t>
      </w:r>
      <w:r>
        <w:rPr>
          <w:spacing w:val="-8"/>
        </w:rPr>
        <w:t xml:space="preserve"> </w:t>
      </w:r>
      <w:r>
        <w:t>the</w:t>
      </w:r>
      <w:r>
        <w:rPr>
          <w:spacing w:val="-6"/>
        </w:rPr>
        <w:t xml:space="preserve"> </w:t>
      </w:r>
      <w:r>
        <w:t>Ministry</w:t>
      </w:r>
      <w:r>
        <w:rPr>
          <w:spacing w:val="-15"/>
        </w:rPr>
        <w:t xml:space="preserve"> </w:t>
      </w:r>
      <w:r>
        <w:t>of</w:t>
      </w:r>
      <w:r>
        <w:rPr>
          <w:spacing w:val="-6"/>
        </w:rPr>
        <w:t xml:space="preserve"> </w:t>
      </w:r>
      <w:r>
        <w:t>Interior,</w:t>
      </w:r>
      <w:r>
        <w:rPr>
          <w:spacing w:val="-58"/>
        </w:rPr>
        <w:t xml:space="preserve"> </w:t>
      </w:r>
      <w:r>
        <w:t>e-Tax</w:t>
      </w:r>
      <w:r>
        <w:rPr>
          <w:spacing w:val="-8"/>
        </w:rPr>
        <w:t xml:space="preserve"> </w:t>
      </w:r>
      <w:r>
        <w:t>Administration,</w:t>
      </w:r>
      <w:r>
        <w:rPr>
          <w:spacing w:val="-9"/>
        </w:rPr>
        <w:t xml:space="preserve"> </w:t>
      </w:r>
      <w:r>
        <w:t>e-Diary</w:t>
      </w:r>
      <w:r>
        <w:rPr>
          <w:spacing w:val="-13"/>
        </w:rPr>
        <w:t xml:space="preserve"> </w:t>
      </w:r>
      <w:r>
        <w:t>for</w:t>
      </w:r>
      <w:r>
        <w:rPr>
          <w:spacing w:val="-10"/>
        </w:rPr>
        <w:t xml:space="preserve"> </w:t>
      </w:r>
      <w:r>
        <w:t>parents</w:t>
      </w:r>
      <w:r>
        <w:rPr>
          <w:spacing w:val="-6"/>
        </w:rPr>
        <w:t xml:space="preserve"> </w:t>
      </w:r>
      <w:r>
        <w:t>and</w:t>
      </w:r>
      <w:r>
        <w:rPr>
          <w:spacing w:val="-9"/>
        </w:rPr>
        <w:t xml:space="preserve"> </w:t>
      </w:r>
      <w:r>
        <w:t>the</w:t>
      </w:r>
      <w:r>
        <w:rPr>
          <w:spacing w:val="-7"/>
        </w:rPr>
        <w:t xml:space="preserve"> </w:t>
      </w:r>
      <w:r>
        <w:t>Health</w:t>
      </w:r>
      <w:r>
        <w:rPr>
          <w:spacing w:val="-10"/>
        </w:rPr>
        <w:t xml:space="preserve"> </w:t>
      </w:r>
      <w:r>
        <w:t>Portal.</w:t>
      </w:r>
      <w:r>
        <w:rPr>
          <w:spacing w:val="-8"/>
        </w:rPr>
        <w:t xml:space="preserve"> </w:t>
      </w:r>
      <w:r>
        <w:t>These</w:t>
      </w:r>
      <w:r>
        <w:rPr>
          <w:spacing w:val="-9"/>
        </w:rPr>
        <w:t xml:space="preserve"> </w:t>
      </w:r>
      <w:r>
        <w:t>services</w:t>
      </w:r>
      <w:r>
        <w:rPr>
          <w:spacing w:val="-8"/>
        </w:rPr>
        <w:t xml:space="preserve"> </w:t>
      </w:r>
      <w:r>
        <w:t>have</w:t>
      </w:r>
      <w:r>
        <w:rPr>
          <w:spacing w:val="-10"/>
        </w:rPr>
        <w:t xml:space="preserve"> </w:t>
      </w:r>
      <w:r>
        <w:t>been</w:t>
      </w:r>
      <w:r>
        <w:rPr>
          <w:spacing w:val="-9"/>
        </w:rPr>
        <w:t xml:space="preserve"> </w:t>
      </w:r>
      <w:r>
        <w:t>used</w:t>
      </w:r>
      <w:r>
        <w:rPr>
          <w:spacing w:val="-58"/>
        </w:rPr>
        <w:t xml:space="preserve"> </w:t>
      </w:r>
      <w:r>
        <w:t>almost 81 million</w:t>
      </w:r>
      <w:r>
        <w:rPr>
          <w:spacing w:val="-2"/>
        </w:rPr>
        <w:t xml:space="preserve"> </w:t>
      </w:r>
      <w:r>
        <w:t>times,</w:t>
      </w:r>
      <w:r>
        <w:rPr>
          <w:spacing w:val="-3"/>
        </w:rPr>
        <w:t xml:space="preserve"> </w:t>
      </w:r>
      <w:r>
        <w:t>and only</w:t>
      </w:r>
      <w:r>
        <w:rPr>
          <w:spacing w:val="-5"/>
        </w:rPr>
        <w:t xml:space="preserve"> </w:t>
      </w:r>
      <w:r>
        <w:t>in</w:t>
      </w:r>
      <w:r>
        <w:rPr>
          <w:spacing w:val="-1"/>
        </w:rPr>
        <w:t xml:space="preserve"> </w:t>
      </w:r>
      <w:r>
        <w:t>2021, more</w:t>
      </w:r>
      <w:r>
        <w:rPr>
          <w:spacing w:val="-2"/>
        </w:rPr>
        <w:t xml:space="preserve"> </w:t>
      </w:r>
      <w:r>
        <w:t>than 33.5 million times.</w:t>
      </w:r>
    </w:p>
    <w:p w:rsidR="00A56FE9" w:rsidRDefault="00000000">
      <w:pPr>
        <w:pStyle w:val="Tijeloteksta"/>
        <w:spacing w:before="121"/>
        <w:ind w:right="273"/>
      </w:pPr>
      <w:r>
        <w:t>In implementing the project Croatian Digital Tourism e-Tourism, all procurement procedures</w:t>
      </w:r>
      <w:r>
        <w:rPr>
          <w:spacing w:val="1"/>
        </w:rPr>
        <w:t xml:space="preserve"> </w:t>
      </w:r>
      <w:r>
        <w:t>have been undertaken that are essential for programming, testing and establishing public e-</w:t>
      </w:r>
      <w:r>
        <w:rPr>
          <w:spacing w:val="1"/>
        </w:rPr>
        <w:t xml:space="preserve"> </w:t>
      </w:r>
      <w:r>
        <w:t>Services</w:t>
      </w:r>
      <w:r>
        <w:rPr>
          <w:spacing w:val="-1"/>
        </w:rPr>
        <w:t xml:space="preserve"> </w:t>
      </w:r>
      <w:r>
        <w:t>in tourism.</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524774269"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72371104" name="Rectangle 242"/>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E751654" id="Group 241"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">
                <v:rect id="Rectangle 242"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" fillcolor="#2c398a" stroked="f"/>
                <w10:anchorlock/>
              </v:group>
            </w:pict>
          </mc:Fallback>
        </mc:AlternateContent>
      </w:r>
    </w:p>
    <w:p w:rsidR="00A56FE9" w:rsidRDefault="00000000">
      <w:pPr>
        <w:pStyle w:val="Tijeloteksta"/>
        <w:spacing w:before="154"/>
        <w:ind w:right="271"/>
      </w:pPr>
      <w:r>
        <w:rPr>
          <w:spacing w:val="-1"/>
        </w:rPr>
        <w:t>In</w:t>
      </w:r>
      <w:r>
        <w:rPr>
          <w:spacing w:val="-15"/>
        </w:rPr>
        <w:t xml:space="preserve"> </w:t>
      </w:r>
      <w:r>
        <w:rPr>
          <w:spacing w:val="-1"/>
        </w:rPr>
        <w:t>line</w:t>
      </w:r>
      <w:r>
        <w:rPr>
          <w:spacing w:val="-13"/>
        </w:rPr>
        <w:t xml:space="preserve"> </w:t>
      </w:r>
      <w:r>
        <w:rPr>
          <w:spacing w:val="-1"/>
        </w:rPr>
        <w:t>with</w:t>
      </w:r>
      <w:r>
        <w:rPr>
          <w:spacing w:val="-14"/>
        </w:rPr>
        <w:t xml:space="preserve"> </w:t>
      </w:r>
      <w:r>
        <w:rPr>
          <w:spacing w:val="-1"/>
        </w:rPr>
        <w:t>the</w:t>
      </w:r>
      <w:r>
        <w:rPr>
          <w:spacing w:val="-15"/>
        </w:rPr>
        <w:t xml:space="preserve"> </w:t>
      </w:r>
      <w:r>
        <w:t>Act</w:t>
      </w:r>
      <w:r>
        <w:rPr>
          <w:spacing w:val="-14"/>
        </w:rPr>
        <w:t xml:space="preserve"> </w:t>
      </w:r>
      <w:r>
        <w:t>on</w:t>
      </w:r>
      <w:r>
        <w:rPr>
          <w:spacing w:val="-15"/>
        </w:rPr>
        <w:t xml:space="preserve"> </w:t>
      </w:r>
      <w:r>
        <w:t>Amendments</w:t>
      </w:r>
      <w:r>
        <w:rPr>
          <w:spacing w:val="-14"/>
        </w:rPr>
        <w:t xml:space="preserve"> </w:t>
      </w:r>
      <w:r>
        <w:t>to</w:t>
      </w:r>
      <w:r>
        <w:rPr>
          <w:spacing w:val="-14"/>
        </w:rPr>
        <w:t xml:space="preserve"> </w:t>
      </w:r>
      <w:r>
        <w:t>the</w:t>
      </w:r>
      <w:r>
        <w:rPr>
          <w:spacing w:val="-15"/>
        </w:rPr>
        <w:t xml:space="preserve"> </w:t>
      </w:r>
      <w:r>
        <w:t>Civil</w:t>
      </w:r>
      <w:r>
        <w:rPr>
          <w:spacing w:val="-14"/>
        </w:rPr>
        <w:t xml:space="preserve"> </w:t>
      </w:r>
      <w:r>
        <w:t>Servants</w:t>
      </w:r>
      <w:r>
        <w:rPr>
          <w:spacing w:val="-12"/>
        </w:rPr>
        <w:t xml:space="preserve"> </w:t>
      </w:r>
      <w:r>
        <w:t>Act</w:t>
      </w:r>
      <w:r>
        <w:rPr>
          <w:vertAlign w:val="superscript"/>
        </w:rPr>
        <w:t>25</w:t>
      </w:r>
      <w:r>
        <w:rPr>
          <w:spacing w:val="-14"/>
        </w:rPr>
        <w:t xml:space="preserve"> </w:t>
      </w:r>
      <w:r>
        <w:t>and</w:t>
      </w:r>
      <w:r>
        <w:rPr>
          <w:spacing w:val="-15"/>
        </w:rPr>
        <w:t xml:space="preserve"> </w:t>
      </w:r>
      <w:r>
        <w:t>amended</w:t>
      </w:r>
      <w:r>
        <w:rPr>
          <w:spacing w:val="-12"/>
        </w:rPr>
        <w:t xml:space="preserve"> </w:t>
      </w:r>
      <w:r>
        <w:t>provisions</w:t>
      </w:r>
      <w:r>
        <w:rPr>
          <w:spacing w:val="-14"/>
        </w:rPr>
        <w:t xml:space="preserve"> </w:t>
      </w:r>
      <w:r>
        <w:t>relating</w:t>
      </w:r>
      <w:r>
        <w:rPr>
          <w:spacing w:val="-58"/>
        </w:rPr>
        <w:t xml:space="preserve"> </w:t>
      </w:r>
      <w:r>
        <w:rPr>
          <w:spacing w:val="-1"/>
        </w:rPr>
        <w:t>to</w:t>
      </w:r>
      <w:r>
        <w:rPr>
          <w:spacing w:val="-14"/>
        </w:rPr>
        <w:t xml:space="preserve"> </w:t>
      </w:r>
      <w:r>
        <w:rPr>
          <w:spacing w:val="-1"/>
        </w:rPr>
        <w:t>the</w:t>
      </w:r>
      <w:r>
        <w:rPr>
          <w:spacing w:val="-15"/>
        </w:rPr>
        <w:t xml:space="preserve"> </w:t>
      </w:r>
      <w:r>
        <w:rPr>
          <w:spacing w:val="-1"/>
        </w:rPr>
        <w:t>title</w:t>
      </w:r>
      <w:r>
        <w:rPr>
          <w:spacing w:val="-16"/>
        </w:rPr>
        <w:t xml:space="preserve"> </w:t>
      </w:r>
      <w:r>
        <w:t>of</w:t>
      </w:r>
      <w:r>
        <w:rPr>
          <w:spacing w:val="-16"/>
        </w:rPr>
        <w:t xml:space="preserve"> </w:t>
      </w:r>
      <w:r>
        <w:t>the</w:t>
      </w:r>
      <w:r>
        <w:rPr>
          <w:spacing w:val="-15"/>
        </w:rPr>
        <w:t xml:space="preserve"> </w:t>
      </w:r>
      <w:r>
        <w:t>exam,</w:t>
      </w:r>
      <w:r>
        <w:rPr>
          <w:spacing w:val="-13"/>
        </w:rPr>
        <w:t xml:space="preserve"> </w:t>
      </w:r>
      <w:r>
        <w:t>obligation,</w:t>
      </w:r>
      <w:r>
        <w:rPr>
          <w:spacing w:val="-15"/>
        </w:rPr>
        <w:t xml:space="preserve"> </w:t>
      </w:r>
      <w:r>
        <w:t>content</w:t>
      </w:r>
      <w:r>
        <w:rPr>
          <w:spacing w:val="-15"/>
        </w:rPr>
        <w:t xml:space="preserve"> </w:t>
      </w:r>
      <w:r>
        <w:t>and</w:t>
      </w:r>
      <w:r>
        <w:rPr>
          <w:spacing w:val="-15"/>
        </w:rPr>
        <w:t xml:space="preserve"> </w:t>
      </w:r>
      <w:r>
        <w:t>deadlines</w:t>
      </w:r>
      <w:r>
        <w:rPr>
          <w:spacing w:val="-15"/>
        </w:rPr>
        <w:t xml:space="preserve"> </w:t>
      </w:r>
      <w:r>
        <w:t>for</w:t>
      </w:r>
      <w:r>
        <w:rPr>
          <w:spacing w:val="-15"/>
        </w:rPr>
        <w:t xml:space="preserve"> </w:t>
      </w:r>
      <w:r>
        <w:t>taking</w:t>
      </w:r>
      <w:r>
        <w:rPr>
          <w:spacing w:val="-17"/>
        </w:rPr>
        <w:t xml:space="preserve"> </w:t>
      </w:r>
      <w:r>
        <w:t>the</w:t>
      </w:r>
      <w:r>
        <w:rPr>
          <w:spacing w:val="-12"/>
        </w:rPr>
        <w:t xml:space="preserve"> </w:t>
      </w:r>
      <w:r>
        <w:t>current</w:t>
      </w:r>
      <w:r>
        <w:rPr>
          <w:spacing w:val="-14"/>
        </w:rPr>
        <w:t xml:space="preserve"> </w:t>
      </w:r>
      <w:r>
        <w:t>state</w:t>
      </w:r>
      <w:r>
        <w:rPr>
          <w:spacing w:val="-16"/>
        </w:rPr>
        <w:t xml:space="preserve"> </w:t>
      </w:r>
      <w:r>
        <w:t>professional</w:t>
      </w:r>
      <w:r>
        <w:rPr>
          <w:spacing w:val="-57"/>
        </w:rPr>
        <w:t xml:space="preserve"> </w:t>
      </w:r>
      <w:r>
        <w:t>exam and the Ordinance on Taking the State Exam prescribing a new way of taking the state</w:t>
      </w:r>
      <w:r>
        <w:rPr>
          <w:spacing w:val="1"/>
        </w:rPr>
        <w:t xml:space="preserve"> </w:t>
      </w:r>
      <w:r>
        <w:t>exam</w:t>
      </w:r>
      <w:r>
        <w:rPr>
          <w:spacing w:val="-7"/>
        </w:rPr>
        <w:t xml:space="preserve"> </w:t>
      </w:r>
      <w:r>
        <w:t>in</w:t>
      </w:r>
      <w:r>
        <w:rPr>
          <w:spacing w:val="-6"/>
        </w:rPr>
        <w:t xml:space="preserve"> </w:t>
      </w:r>
      <w:r>
        <w:t>writing</w:t>
      </w:r>
      <w:r>
        <w:rPr>
          <w:spacing w:val="-8"/>
        </w:rPr>
        <w:t xml:space="preserve"> </w:t>
      </w:r>
      <w:r>
        <w:t>or</w:t>
      </w:r>
      <w:r>
        <w:rPr>
          <w:spacing w:val="-7"/>
        </w:rPr>
        <w:t xml:space="preserve"> </w:t>
      </w:r>
      <w:r>
        <w:t>electronically,</w:t>
      </w:r>
      <w:r>
        <w:rPr>
          <w:spacing w:val="-6"/>
        </w:rPr>
        <w:t xml:space="preserve"> </w:t>
      </w:r>
      <w:r>
        <w:t>a</w:t>
      </w:r>
      <w:r>
        <w:rPr>
          <w:spacing w:val="-7"/>
        </w:rPr>
        <w:t xml:space="preserve"> </w:t>
      </w:r>
      <w:r>
        <w:t>new</w:t>
      </w:r>
      <w:r>
        <w:rPr>
          <w:spacing w:val="-7"/>
        </w:rPr>
        <w:t xml:space="preserve"> </w:t>
      </w:r>
      <w:r>
        <w:t>system</w:t>
      </w:r>
      <w:r>
        <w:rPr>
          <w:spacing w:val="-6"/>
        </w:rPr>
        <w:t xml:space="preserve"> </w:t>
      </w:r>
      <w:r>
        <w:t>of</w:t>
      </w:r>
      <w:r>
        <w:rPr>
          <w:spacing w:val="-5"/>
        </w:rPr>
        <w:t xml:space="preserve"> </w:t>
      </w:r>
      <w:r>
        <w:t>taking</w:t>
      </w:r>
      <w:r>
        <w:rPr>
          <w:spacing w:val="-9"/>
        </w:rPr>
        <w:t xml:space="preserve"> </w:t>
      </w:r>
      <w:r>
        <w:t>the</w:t>
      </w:r>
      <w:r>
        <w:rPr>
          <w:spacing w:val="-7"/>
        </w:rPr>
        <w:t xml:space="preserve"> </w:t>
      </w:r>
      <w:r>
        <w:t>state</w:t>
      </w:r>
      <w:r>
        <w:rPr>
          <w:spacing w:val="-7"/>
        </w:rPr>
        <w:t xml:space="preserve"> </w:t>
      </w:r>
      <w:r>
        <w:t>exam</w:t>
      </w:r>
      <w:r>
        <w:rPr>
          <w:spacing w:val="-6"/>
        </w:rPr>
        <w:t xml:space="preserve"> </w:t>
      </w:r>
      <w:r>
        <w:t>electronically</w:t>
      </w:r>
      <w:r>
        <w:rPr>
          <w:vertAlign w:val="superscript"/>
        </w:rPr>
        <w:t>26</w:t>
      </w:r>
      <w:r>
        <w:rPr>
          <w:spacing w:val="-5"/>
        </w:rPr>
        <w:t xml:space="preserve"> </w:t>
      </w:r>
      <w:r>
        <w:t>will</w:t>
      </w:r>
      <w:r>
        <w:rPr>
          <w:spacing w:val="-8"/>
        </w:rPr>
        <w:t xml:space="preserve"> </w:t>
      </w:r>
      <w:r>
        <w:t>be</w:t>
      </w:r>
      <w:r>
        <w:rPr>
          <w:spacing w:val="-57"/>
        </w:rPr>
        <w:t xml:space="preserve"> </w:t>
      </w:r>
      <w:r>
        <w:t>established, to ensure a more objective, appropriate and transparent way of assessing the</w:t>
      </w:r>
      <w:r>
        <w:rPr>
          <w:spacing w:val="1"/>
        </w:rPr>
        <w:t xml:space="preserve"> </w:t>
      </w:r>
      <w:r>
        <w:t>knowledge</w:t>
      </w:r>
      <w:r>
        <w:rPr>
          <w:spacing w:val="-3"/>
        </w:rPr>
        <w:t xml:space="preserve"> </w:t>
      </w:r>
      <w:r>
        <w:t>of</w:t>
      </w:r>
      <w:r>
        <w:rPr>
          <w:spacing w:val="-2"/>
        </w:rPr>
        <w:t xml:space="preserve"> </w:t>
      </w:r>
      <w:r>
        <w:t>candidates</w:t>
      </w:r>
      <w:r>
        <w:rPr>
          <w:spacing w:val="1"/>
        </w:rPr>
        <w:t xml:space="preserve"> </w:t>
      </w:r>
      <w:r>
        <w:t>using</w:t>
      </w:r>
      <w:r>
        <w:rPr>
          <w:spacing w:val="-3"/>
        </w:rPr>
        <w:t xml:space="preserve"> </w:t>
      </w:r>
      <w:r>
        <w:t>standardised</w:t>
      </w:r>
      <w:r>
        <w:rPr>
          <w:spacing w:val="-1"/>
        </w:rPr>
        <w:t xml:space="preserve"> </w:t>
      </w:r>
      <w:r>
        <w:t>written</w:t>
      </w:r>
      <w:r>
        <w:rPr>
          <w:spacing w:val="-2"/>
        </w:rPr>
        <w:t xml:space="preserve"> </w:t>
      </w:r>
      <w:r>
        <w:t>exams.</w:t>
      </w:r>
      <w:r>
        <w:rPr>
          <w:spacing w:val="-2"/>
        </w:rPr>
        <w:t xml:space="preserve"> </w:t>
      </w:r>
      <w:r>
        <w:t>Exam</w:t>
      </w:r>
      <w:r>
        <w:rPr>
          <w:spacing w:val="-3"/>
        </w:rPr>
        <w:t xml:space="preserve"> </w:t>
      </w:r>
      <w:r>
        <w:t>materials</w:t>
      </w:r>
      <w:r>
        <w:rPr>
          <w:spacing w:val="-2"/>
        </w:rPr>
        <w:t xml:space="preserve"> </w:t>
      </w:r>
      <w:r>
        <w:t>for</w:t>
      </w:r>
      <w:r>
        <w:rPr>
          <w:spacing w:val="-2"/>
        </w:rPr>
        <w:t xml:space="preserve"> </w:t>
      </w:r>
      <w:r>
        <w:t>written</w:t>
      </w:r>
      <w:r>
        <w:rPr>
          <w:spacing w:val="-2"/>
        </w:rPr>
        <w:t xml:space="preserve"> </w:t>
      </w:r>
      <w:r>
        <w:t>tests</w:t>
      </w:r>
      <w:r>
        <w:rPr>
          <w:spacing w:val="-1"/>
        </w:rPr>
        <w:t xml:space="preserve"> </w:t>
      </w:r>
      <w:r>
        <w:t>or</w:t>
      </w:r>
      <w:r>
        <w:rPr>
          <w:spacing w:val="-58"/>
        </w:rPr>
        <w:t xml:space="preserve"> </w:t>
      </w:r>
      <w:r>
        <w:t>electronically taken exams will be prepared according to a predetermined methodology and</w:t>
      </w:r>
      <w:r>
        <w:rPr>
          <w:spacing w:val="1"/>
        </w:rPr>
        <w:t xml:space="preserve"> </w:t>
      </w:r>
      <w:r>
        <w:t>criteria, enabling examination to be taken in a standardised and objective manner, under the</w:t>
      </w:r>
      <w:r>
        <w:rPr>
          <w:spacing w:val="1"/>
        </w:rPr>
        <w:t xml:space="preserve"> </w:t>
      </w:r>
      <w:r>
        <w:t>same conditions for all candidates who take the state exam. To ensure implementation of the</w:t>
      </w:r>
      <w:r>
        <w:rPr>
          <w:spacing w:val="1"/>
        </w:rPr>
        <w:t xml:space="preserve"> </w:t>
      </w:r>
      <w:r>
        <w:t>state</w:t>
      </w:r>
      <w:r>
        <w:rPr>
          <w:spacing w:val="1"/>
        </w:rPr>
        <w:t xml:space="preserve"> </w:t>
      </w:r>
      <w:r>
        <w:t>exam</w:t>
      </w:r>
      <w:r>
        <w:rPr>
          <w:spacing w:val="1"/>
        </w:rPr>
        <w:t xml:space="preserve"> </w:t>
      </w:r>
      <w:r>
        <w:t>electronically,</w:t>
      </w:r>
      <w:r>
        <w:rPr>
          <w:spacing w:val="1"/>
        </w:rPr>
        <w:t xml:space="preserve"> </w:t>
      </w:r>
      <w:r>
        <w:t>a</w:t>
      </w:r>
      <w:r>
        <w:rPr>
          <w:spacing w:val="1"/>
        </w:rPr>
        <w:t xml:space="preserve"> </w:t>
      </w:r>
      <w:r>
        <w:t>computer</w:t>
      </w:r>
      <w:r>
        <w:rPr>
          <w:spacing w:val="1"/>
        </w:rPr>
        <w:t xml:space="preserve"> </w:t>
      </w:r>
      <w:r>
        <w:t>(application)</w:t>
      </w:r>
      <w:r>
        <w:rPr>
          <w:spacing w:val="1"/>
        </w:rPr>
        <w:t xml:space="preserve"> </w:t>
      </w:r>
      <w:r>
        <w:t>system</w:t>
      </w:r>
      <w:r>
        <w:rPr>
          <w:spacing w:val="1"/>
        </w:rPr>
        <w:t xml:space="preserve"> </w:t>
      </w:r>
      <w:r>
        <w:t>will</w:t>
      </w:r>
      <w:r>
        <w:rPr>
          <w:spacing w:val="1"/>
        </w:rPr>
        <w:t xml:space="preserve"> </w:t>
      </w:r>
      <w:r>
        <w:t>be</w:t>
      </w:r>
      <w:r>
        <w:rPr>
          <w:spacing w:val="1"/>
        </w:rPr>
        <w:t xml:space="preserve"> </w:t>
      </w:r>
      <w:r>
        <w:t>developed</w:t>
      </w:r>
      <w:r>
        <w:rPr>
          <w:spacing w:val="1"/>
        </w:rPr>
        <w:t xml:space="preserve"> </w:t>
      </w:r>
      <w:r>
        <w:t>to</w:t>
      </w:r>
      <w:r>
        <w:rPr>
          <w:spacing w:val="1"/>
        </w:rPr>
        <w:t xml:space="preserve"> </w:t>
      </w:r>
      <w:r>
        <w:t>execute</w:t>
      </w:r>
      <w:r>
        <w:rPr>
          <w:spacing w:val="-57"/>
        </w:rPr>
        <w:t xml:space="preserve"> </w:t>
      </w:r>
      <w:r>
        <w:t>procedures for the development of exam materials for the state exam, exam applications, the</w:t>
      </w:r>
      <w:r>
        <w:rPr>
          <w:spacing w:val="1"/>
        </w:rPr>
        <w:t xml:space="preserve"> </w:t>
      </w:r>
      <w:r>
        <w:t>organisation and implementation of and taking the state exam, concluding with the issuing of</w:t>
      </w:r>
      <w:r>
        <w:rPr>
          <w:spacing w:val="1"/>
        </w:rPr>
        <w:t xml:space="preserve"> </w:t>
      </w:r>
      <w:r>
        <w:t>the</w:t>
      </w:r>
      <w:r>
        <w:rPr>
          <w:spacing w:val="-9"/>
        </w:rPr>
        <w:t xml:space="preserve"> </w:t>
      </w:r>
      <w:r>
        <w:t>exam</w:t>
      </w:r>
      <w:r>
        <w:rPr>
          <w:spacing w:val="-7"/>
        </w:rPr>
        <w:t xml:space="preserve"> </w:t>
      </w:r>
      <w:r>
        <w:t>completion</w:t>
      </w:r>
      <w:r>
        <w:rPr>
          <w:spacing w:val="-8"/>
        </w:rPr>
        <w:t xml:space="preserve"> </w:t>
      </w:r>
      <w:r>
        <w:t>certificate.</w:t>
      </w:r>
      <w:r>
        <w:rPr>
          <w:spacing w:val="-8"/>
        </w:rPr>
        <w:t xml:space="preserve"> </w:t>
      </w:r>
      <w:r>
        <w:t>The</w:t>
      </w:r>
      <w:r>
        <w:rPr>
          <w:spacing w:val="-9"/>
        </w:rPr>
        <w:t xml:space="preserve"> </w:t>
      </w:r>
      <w:r>
        <w:t>system</w:t>
      </w:r>
      <w:r>
        <w:rPr>
          <w:spacing w:val="-6"/>
        </w:rPr>
        <w:t xml:space="preserve"> </w:t>
      </w:r>
      <w:r>
        <w:t>will</w:t>
      </w:r>
      <w:r>
        <w:rPr>
          <w:spacing w:val="-7"/>
        </w:rPr>
        <w:t xml:space="preserve"> </w:t>
      </w:r>
      <w:r>
        <w:t>create</w:t>
      </w:r>
      <w:r>
        <w:rPr>
          <w:spacing w:val="-6"/>
        </w:rPr>
        <w:t xml:space="preserve"> </w:t>
      </w:r>
      <w:r>
        <w:t>a</w:t>
      </w:r>
      <w:r>
        <w:rPr>
          <w:spacing w:val="-7"/>
        </w:rPr>
        <w:t xml:space="preserve"> </w:t>
      </w:r>
      <w:r>
        <w:t>database</w:t>
      </w:r>
      <w:r>
        <w:rPr>
          <w:spacing w:val="-9"/>
        </w:rPr>
        <w:t xml:space="preserve"> </w:t>
      </w:r>
      <w:r>
        <w:t>of</w:t>
      </w:r>
      <w:r>
        <w:rPr>
          <w:spacing w:val="-8"/>
        </w:rPr>
        <w:t xml:space="preserve"> </w:t>
      </w:r>
      <w:r>
        <w:t>exam</w:t>
      </w:r>
      <w:r>
        <w:rPr>
          <w:spacing w:val="-8"/>
        </w:rPr>
        <w:t xml:space="preserve"> </w:t>
      </w:r>
      <w:r>
        <w:t>tasks</w:t>
      </w:r>
      <w:r>
        <w:rPr>
          <w:spacing w:val="-7"/>
        </w:rPr>
        <w:t xml:space="preserve"> </w:t>
      </w:r>
      <w:r>
        <w:t>and</w:t>
      </w:r>
      <w:r>
        <w:rPr>
          <w:spacing w:val="-8"/>
        </w:rPr>
        <w:t xml:space="preserve"> </w:t>
      </w:r>
      <w:r>
        <w:t>materials,</w:t>
      </w:r>
      <w:r>
        <w:rPr>
          <w:spacing w:val="-58"/>
        </w:rPr>
        <w:t xml:space="preserve"> </w:t>
      </w:r>
      <w:r>
        <w:t>a</w:t>
      </w:r>
      <w:r>
        <w:rPr>
          <w:spacing w:val="-10"/>
        </w:rPr>
        <w:t xml:space="preserve"> </w:t>
      </w:r>
      <w:r>
        <w:t>candidate</w:t>
      </w:r>
      <w:r>
        <w:rPr>
          <w:spacing w:val="-10"/>
        </w:rPr>
        <w:t xml:space="preserve"> </w:t>
      </w:r>
      <w:r>
        <w:t>database</w:t>
      </w:r>
      <w:r>
        <w:rPr>
          <w:spacing w:val="-9"/>
        </w:rPr>
        <w:t xml:space="preserve"> </w:t>
      </w:r>
      <w:r>
        <w:t>and</w:t>
      </w:r>
      <w:r>
        <w:rPr>
          <w:spacing w:val="-6"/>
        </w:rPr>
        <w:t xml:space="preserve"> </w:t>
      </w:r>
      <w:r>
        <w:t>will</w:t>
      </w:r>
      <w:r>
        <w:rPr>
          <w:spacing w:val="-8"/>
        </w:rPr>
        <w:t xml:space="preserve"> </w:t>
      </w:r>
      <w:r>
        <w:t>ensure</w:t>
      </w:r>
      <w:r>
        <w:rPr>
          <w:spacing w:val="-10"/>
        </w:rPr>
        <w:t xml:space="preserve"> </w:t>
      </w:r>
      <w:r>
        <w:t>the</w:t>
      </w:r>
      <w:r>
        <w:rPr>
          <w:spacing w:val="-8"/>
        </w:rPr>
        <w:t xml:space="preserve"> </w:t>
      </w:r>
      <w:r>
        <w:t>creation</w:t>
      </w:r>
      <w:r>
        <w:rPr>
          <w:spacing w:val="-9"/>
        </w:rPr>
        <w:t xml:space="preserve"> </w:t>
      </w:r>
      <w:r>
        <w:t>of</w:t>
      </w:r>
      <w:r>
        <w:rPr>
          <w:spacing w:val="-9"/>
        </w:rPr>
        <w:t xml:space="preserve"> </w:t>
      </w:r>
      <w:r>
        <w:t>reports</w:t>
      </w:r>
      <w:r>
        <w:rPr>
          <w:spacing w:val="-9"/>
        </w:rPr>
        <w:t xml:space="preserve"> </w:t>
      </w:r>
      <w:r>
        <w:t>related</w:t>
      </w:r>
      <w:r>
        <w:rPr>
          <w:spacing w:val="-9"/>
        </w:rPr>
        <w:t xml:space="preserve"> </w:t>
      </w:r>
      <w:r>
        <w:t>to</w:t>
      </w:r>
      <w:r>
        <w:rPr>
          <w:spacing w:val="-6"/>
        </w:rPr>
        <w:t xml:space="preserve"> </w:t>
      </w:r>
      <w:r>
        <w:t>conducting</w:t>
      </w:r>
      <w:r>
        <w:rPr>
          <w:spacing w:val="-11"/>
        </w:rPr>
        <w:t xml:space="preserve"> </w:t>
      </w:r>
      <w:r>
        <w:t>the</w:t>
      </w:r>
      <w:r>
        <w:rPr>
          <w:spacing w:val="-8"/>
        </w:rPr>
        <w:t xml:space="preserve"> </w:t>
      </w:r>
      <w:r>
        <w:t>exams</w:t>
      </w:r>
      <w:r>
        <w:rPr>
          <w:spacing w:val="-8"/>
        </w:rPr>
        <w:t xml:space="preserve"> </w:t>
      </w:r>
      <w:r>
        <w:t>and</w:t>
      </w:r>
      <w:r>
        <w:rPr>
          <w:spacing w:val="-58"/>
        </w:rPr>
        <w:t xml:space="preserve"> </w:t>
      </w:r>
      <w:r>
        <w:t>the actual exam results. This comprehensive computer system will continuously monitor and</w:t>
      </w:r>
      <w:r>
        <w:rPr>
          <w:spacing w:val="1"/>
        </w:rPr>
        <w:t xml:space="preserve"> </w:t>
      </w:r>
      <w:r>
        <w:t>improve all procedures in the development and implementation of state exams. Improving the</w:t>
      </w:r>
      <w:r>
        <w:rPr>
          <w:spacing w:val="1"/>
        </w:rPr>
        <w:t xml:space="preserve"> </w:t>
      </w:r>
      <w:r>
        <w:t>training system for new employees and employees who are obliged to take the state exam will</w:t>
      </w:r>
      <w:r>
        <w:rPr>
          <w:spacing w:val="-57"/>
        </w:rPr>
        <w:t xml:space="preserve"> </w:t>
      </w:r>
      <w:r>
        <w:t>be</w:t>
      </w:r>
      <w:r>
        <w:rPr>
          <w:spacing w:val="-5"/>
        </w:rPr>
        <w:t xml:space="preserve"> </w:t>
      </w:r>
      <w:r>
        <w:t>covered</w:t>
      </w:r>
      <w:r>
        <w:rPr>
          <w:spacing w:val="-4"/>
        </w:rPr>
        <w:t xml:space="preserve"> </w:t>
      </w:r>
      <w:r>
        <w:t>by</w:t>
      </w:r>
      <w:r>
        <w:rPr>
          <w:spacing w:val="-9"/>
        </w:rPr>
        <w:t xml:space="preserve"> </w:t>
      </w:r>
      <w:r>
        <w:t>the</w:t>
      </w:r>
      <w:r>
        <w:rPr>
          <w:spacing w:val="-4"/>
        </w:rPr>
        <w:t xml:space="preserve"> </w:t>
      </w:r>
      <w:r>
        <w:t>development</w:t>
      </w:r>
      <w:r>
        <w:rPr>
          <w:spacing w:val="-4"/>
        </w:rPr>
        <w:t xml:space="preserve"> </w:t>
      </w:r>
      <w:r>
        <w:t>of</w:t>
      </w:r>
      <w:r>
        <w:rPr>
          <w:spacing w:val="-5"/>
        </w:rPr>
        <w:t xml:space="preserve"> </w:t>
      </w:r>
      <w:r>
        <w:t>a</w:t>
      </w:r>
      <w:r>
        <w:rPr>
          <w:spacing w:val="-5"/>
        </w:rPr>
        <w:t xml:space="preserve"> </w:t>
      </w:r>
      <w:r>
        <w:t>system</w:t>
      </w:r>
      <w:r>
        <w:rPr>
          <w:spacing w:val="-3"/>
        </w:rPr>
        <w:t xml:space="preserve"> </w:t>
      </w:r>
      <w:r>
        <w:t>of</w:t>
      </w:r>
      <w:r>
        <w:rPr>
          <w:spacing w:val="-5"/>
        </w:rPr>
        <w:t xml:space="preserve"> </w:t>
      </w:r>
      <w:r>
        <w:t>interactive</w:t>
      </w:r>
      <w:r>
        <w:rPr>
          <w:spacing w:val="-4"/>
        </w:rPr>
        <w:t xml:space="preserve"> </w:t>
      </w:r>
      <w:r>
        <w:t>e-learning</w:t>
      </w:r>
      <w:r>
        <w:rPr>
          <w:spacing w:val="-6"/>
        </w:rPr>
        <w:t xml:space="preserve"> </w:t>
      </w:r>
      <w:r>
        <w:t>programs</w:t>
      </w:r>
      <w:r>
        <w:rPr>
          <w:spacing w:val="-1"/>
        </w:rPr>
        <w:t xml:space="preserve"> </w:t>
      </w:r>
      <w:r>
        <w:t>-</w:t>
      </w:r>
      <w:r>
        <w:rPr>
          <w:spacing w:val="-5"/>
        </w:rPr>
        <w:t xml:space="preserve"> </w:t>
      </w:r>
      <w:r>
        <w:t>preparation</w:t>
      </w:r>
      <w:r>
        <w:rPr>
          <w:spacing w:val="-4"/>
        </w:rPr>
        <w:t xml:space="preserve"> </w:t>
      </w:r>
      <w:r>
        <w:t>for</w:t>
      </w:r>
      <w:r>
        <w:rPr>
          <w:spacing w:val="-58"/>
        </w:rPr>
        <w:t xml:space="preserve"> </w:t>
      </w:r>
      <w:r>
        <w:t>taking</w:t>
      </w:r>
      <w:r>
        <w:rPr>
          <w:spacing w:val="17"/>
        </w:rPr>
        <w:t xml:space="preserve"> </w:t>
      </w:r>
      <w:r>
        <w:t>the</w:t>
      </w:r>
      <w:r>
        <w:rPr>
          <w:spacing w:val="20"/>
        </w:rPr>
        <w:t xml:space="preserve"> </w:t>
      </w:r>
      <w:r>
        <w:t>state</w:t>
      </w:r>
      <w:r>
        <w:rPr>
          <w:spacing w:val="22"/>
        </w:rPr>
        <w:t xml:space="preserve"> </w:t>
      </w:r>
      <w:r>
        <w:t>exam.</w:t>
      </w:r>
      <w:r>
        <w:rPr>
          <w:spacing w:val="23"/>
        </w:rPr>
        <w:t xml:space="preserve"> </w:t>
      </w:r>
      <w:r>
        <w:t>The</w:t>
      </w:r>
      <w:r>
        <w:rPr>
          <w:spacing w:val="20"/>
        </w:rPr>
        <w:t xml:space="preserve"> </w:t>
      </w:r>
      <w:r>
        <w:t>e-learning</w:t>
      </w:r>
      <w:r>
        <w:rPr>
          <w:spacing w:val="21"/>
        </w:rPr>
        <w:t xml:space="preserve"> </w:t>
      </w:r>
      <w:r>
        <w:t>programs</w:t>
      </w:r>
      <w:r>
        <w:rPr>
          <w:spacing w:val="24"/>
        </w:rPr>
        <w:t xml:space="preserve"> </w:t>
      </w:r>
      <w:r>
        <w:t>will</w:t>
      </w:r>
      <w:r>
        <w:rPr>
          <w:spacing w:val="21"/>
        </w:rPr>
        <w:t xml:space="preserve"> </w:t>
      </w:r>
      <w:r>
        <w:t>be</w:t>
      </w:r>
      <w:r>
        <w:rPr>
          <w:spacing w:val="20"/>
        </w:rPr>
        <w:t xml:space="preserve"> </w:t>
      </w:r>
      <w:r>
        <w:t>aligned</w:t>
      </w:r>
      <w:r>
        <w:rPr>
          <w:spacing w:val="26"/>
        </w:rPr>
        <w:t xml:space="preserve"> </w:t>
      </w:r>
      <w:r>
        <w:t>to</w:t>
      </w:r>
      <w:r>
        <w:rPr>
          <w:spacing w:val="22"/>
        </w:rPr>
        <w:t xml:space="preserve"> </w:t>
      </w:r>
      <w:r>
        <w:t>the</w:t>
      </w:r>
      <w:r>
        <w:rPr>
          <w:spacing w:val="23"/>
        </w:rPr>
        <w:t xml:space="preserve"> </w:t>
      </w:r>
      <w:r>
        <w:t>level</w:t>
      </w:r>
      <w:r>
        <w:rPr>
          <w:spacing w:val="21"/>
        </w:rPr>
        <w:t xml:space="preserve"> </w:t>
      </w:r>
      <w:r>
        <w:t>of</w:t>
      </w:r>
      <w:r>
        <w:rPr>
          <w:spacing w:val="23"/>
        </w:rPr>
        <w:t xml:space="preserve"> </w:t>
      </w:r>
      <w:r>
        <w:t>education</w:t>
      </w:r>
      <w:r>
        <w:rPr>
          <w:spacing w:val="20"/>
        </w:rPr>
        <w:t xml:space="preserve"> </w:t>
      </w:r>
      <w:r>
        <w:t>for</w:t>
      </w:r>
    </w:p>
    <w:p w:rsidR="00A56FE9" w:rsidRDefault="00A56FE9">
      <w:pPr>
        <w:pStyle w:val="Tijeloteksta"/>
        <w:ind w:left="0"/>
        <w:jc w:val="left"/>
        <w:rPr>
          <w:sz w:val="20"/>
        </w:rPr>
      </w:pPr>
    </w:p>
    <w:p w:rsidR="00A56FE9" w:rsidRDefault="00CC1B9B">
      <w:pPr>
        <w:pStyle w:val="Tijeloteksta"/>
        <w:spacing w:before="8"/>
        <w:ind w:left="0"/>
        <w:jc w:val="left"/>
        <w:rPr>
          <w:sz w:val="12"/>
        </w:rPr>
      </w:pPr>
      <w:r>
        <w:rPr>
          <w:noProof/>
        </w:rPr>
        <mc:AlternateContent>
          <mc:Choice Requires="wps">
            <w:drawing>
              <wp:anchor distT="0" distB="0" distL="0" distR="0" simplePos="0" relativeHeight="487622144" behindDoc="1" locked="0" layoutInCell="1" allowOverlap="1">
                <wp:simplePos x="0" y="0"/>
                <wp:positionH relativeFrom="page">
                  <wp:posOffset>901065</wp:posOffset>
                </wp:positionH>
                <wp:positionV relativeFrom="paragraph">
                  <wp:posOffset>117475</wp:posOffset>
                </wp:positionV>
                <wp:extent cx="1828800" cy="7620"/>
                <wp:effectExtent l="0" t="0" r="0" b="0"/>
                <wp:wrapTopAndBottom/>
                <wp:docPr id="1575415830" name="Rectangl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C013B" id="Rectangle 240" o:spid="_x0000_s1026" style="position:absolute;margin-left:70.95pt;margin-top:9.25pt;width:2in;height:.6pt;z-index:-1569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" fillcolor="black" stroked="f">
                <w10:wrap type="topAndBottom" anchorx="page"/>
              </v:rect>
            </w:pict>
          </mc:Fallback>
        </mc:AlternateContent>
      </w:r>
    </w:p>
    <w:p w:rsidR="00A56FE9" w:rsidRDefault="00000000">
      <w:pPr>
        <w:spacing w:before="73"/>
        <w:ind w:left="138"/>
        <w:rPr>
          <w:sz w:val="16"/>
        </w:rPr>
      </w:pPr>
      <w:r>
        <w:rPr>
          <w:sz w:val="16"/>
          <w:vertAlign w:val="superscript"/>
        </w:rPr>
        <w:t>25</w:t>
      </w:r>
      <w:r>
        <w:rPr>
          <w:spacing w:val="-1"/>
          <w:sz w:val="16"/>
        </w:rPr>
        <w:t xml:space="preserve"> </w:t>
      </w:r>
      <w:r>
        <w:rPr>
          <w:sz w:val="16"/>
        </w:rPr>
        <w:t>OG</w:t>
      </w:r>
      <w:r>
        <w:rPr>
          <w:spacing w:val="-3"/>
          <w:sz w:val="16"/>
        </w:rPr>
        <w:t xml:space="preserve"> </w:t>
      </w:r>
      <w:r>
        <w:rPr>
          <w:sz w:val="16"/>
        </w:rPr>
        <w:t>70/19</w:t>
      </w:r>
    </w:p>
    <w:p w:rsidR="00A56FE9" w:rsidRDefault="00000000">
      <w:pPr>
        <w:spacing w:before="1"/>
        <w:ind w:left="138"/>
        <w:rPr>
          <w:sz w:val="16"/>
        </w:rPr>
      </w:pPr>
      <w:r>
        <w:rPr>
          <w:sz w:val="16"/>
          <w:vertAlign w:val="superscript"/>
        </w:rPr>
        <w:t>26</w:t>
      </w:r>
      <w:r>
        <w:rPr>
          <w:spacing w:val="-1"/>
          <w:sz w:val="16"/>
        </w:rPr>
        <w:t xml:space="preserve"> </w:t>
      </w:r>
      <w:r>
        <w:rPr>
          <w:sz w:val="16"/>
        </w:rPr>
        <w:t>OG</w:t>
      </w:r>
      <w:r>
        <w:rPr>
          <w:spacing w:val="-3"/>
          <w:sz w:val="16"/>
        </w:rPr>
        <w:t xml:space="preserve"> </w:t>
      </w:r>
      <w:r>
        <w:rPr>
          <w:sz w:val="16"/>
        </w:rPr>
        <w:t>70/20</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ind w:right="272"/>
      </w:pPr>
      <w:r>
        <w:t>which employees take the state exam. The development of professional training using e-</w:t>
      </w:r>
      <w:r>
        <w:rPr>
          <w:spacing w:val="1"/>
        </w:rPr>
        <w:t xml:space="preserve"> </w:t>
      </w:r>
      <w:r>
        <w:t>learning techniques for employees who are obliged to take the state exam will improve and</w:t>
      </w:r>
      <w:r>
        <w:rPr>
          <w:spacing w:val="1"/>
        </w:rPr>
        <w:t xml:space="preserve"> </w:t>
      </w:r>
      <w:r>
        <w:t>modernise the training system using ICT and e-learning programs, making them available to a</w:t>
      </w:r>
      <w:r>
        <w:rPr>
          <w:spacing w:val="-57"/>
        </w:rPr>
        <w:t xml:space="preserve"> </w:t>
      </w:r>
      <w:r>
        <w:t>large number of participants and all candidates obliged to take the state exam. By the end of</w:t>
      </w:r>
      <w:r>
        <w:rPr>
          <w:spacing w:val="1"/>
        </w:rPr>
        <w:t xml:space="preserve"> </w:t>
      </w:r>
      <w:r>
        <w:t>2022, all employees of public institution employees obliged to take the state exam will do so</w:t>
      </w:r>
      <w:r>
        <w:rPr>
          <w:spacing w:val="1"/>
        </w:rPr>
        <w:t xml:space="preserve"> </w:t>
      </w:r>
      <w:r>
        <w:t>digitally</w:t>
      </w:r>
      <w:r>
        <w:rPr>
          <w:spacing w:val="-3"/>
        </w:rPr>
        <w:t xml:space="preserve"> </w:t>
      </w:r>
      <w:r>
        <w:t>and based on the</w:t>
      </w:r>
      <w:r>
        <w:rPr>
          <w:spacing w:val="-1"/>
        </w:rPr>
        <w:t xml:space="preserve"> </w:t>
      </w:r>
      <w:r>
        <w:t>new exam model.</w:t>
      </w:r>
    </w:p>
    <w:p w:rsidR="00A56FE9" w:rsidRDefault="00000000">
      <w:pPr>
        <w:pStyle w:val="Tijeloteksta"/>
        <w:spacing w:before="121"/>
        <w:ind w:right="270"/>
      </w:pPr>
      <w:r>
        <w:t>All planned activities within the NRRP reform C1.5. Improving the Use of Natural Resources</w:t>
      </w:r>
      <w:r>
        <w:rPr>
          <w:spacing w:val="1"/>
        </w:rPr>
        <w:t xml:space="preserve"> </w:t>
      </w:r>
      <w:r>
        <w:t>and</w:t>
      </w:r>
      <w:r>
        <w:rPr>
          <w:spacing w:val="-4"/>
        </w:rPr>
        <w:t xml:space="preserve"> </w:t>
      </w:r>
      <w:r>
        <w:t>Strengthening</w:t>
      </w:r>
      <w:r>
        <w:rPr>
          <w:spacing w:val="-5"/>
        </w:rPr>
        <w:t xml:space="preserve"> </w:t>
      </w:r>
      <w:r>
        <w:t>the</w:t>
      </w:r>
      <w:r>
        <w:rPr>
          <w:spacing w:val="-2"/>
        </w:rPr>
        <w:t xml:space="preserve"> </w:t>
      </w:r>
      <w:r>
        <w:t>Food</w:t>
      </w:r>
      <w:r>
        <w:rPr>
          <w:spacing w:val="-3"/>
        </w:rPr>
        <w:t xml:space="preserve"> </w:t>
      </w:r>
      <w:r>
        <w:t>Supply</w:t>
      </w:r>
      <w:r>
        <w:rPr>
          <w:spacing w:val="-8"/>
        </w:rPr>
        <w:t xml:space="preserve"> </w:t>
      </w:r>
      <w:r>
        <w:t>Chain</w:t>
      </w:r>
      <w:r>
        <w:rPr>
          <w:spacing w:val="-1"/>
        </w:rPr>
        <w:t xml:space="preserve"> </w:t>
      </w:r>
      <w:r>
        <w:t>include</w:t>
      </w:r>
      <w:r>
        <w:rPr>
          <w:spacing w:val="-1"/>
        </w:rPr>
        <w:t xml:space="preserve"> </w:t>
      </w:r>
      <w:r>
        <w:t>an</w:t>
      </w:r>
      <w:r>
        <w:rPr>
          <w:spacing w:val="-4"/>
        </w:rPr>
        <w:t xml:space="preserve"> </w:t>
      </w:r>
      <w:r>
        <w:t>element of</w:t>
      </w:r>
      <w:r>
        <w:rPr>
          <w:spacing w:val="-4"/>
        </w:rPr>
        <w:t xml:space="preserve"> </w:t>
      </w:r>
      <w:r>
        <w:t>digitalisation,</w:t>
      </w:r>
      <w:r>
        <w:rPr>
          <w:spacing w:val="-4"/>
        </w:rPr>
        <w:t xml:space="preserve"> </w:t>
      </w:r>
      <w:r>
        <w:t>with</w:t>
      </w:r>
      <w:r>
        <w:rPr>
          <w:spacing w:val="-2"/>
        </w:rPr>
        <w:t xml:space="preserve"> </w:t>
      </w:r>
      <w:r>
        <w:t>the</w:t>
      </w:r>
      <w:r>
        <w:rPr>
          <w:spacing w:val="-3"/>
        </w:rPr>
        <w:t xml:space="preserve"> </w:t>
      </w:r>
      <w:r>
        <w:t>reform</w:t>
      </w:r>
      <w:r>
        <w:rPr>
          <w:spacing w:val="-58"/>
        </w:rPr>
        <w:t xml:space="preserve"> </w:t>
      </w:r>
      <w:r>
        <w:t>Digital Transformation of Agriculture directly related to CSR 2020/2.2 given that planned</w:t>
      </w:r>
      <w:r>
        <w:rPr>
          <w:spacing w:val="1"/>
        </w:rPr>
        <w:t xml:space="preserve"> </w:t>
      </w:r>
      <w:r>
        <w:t>investments will increase access to digital infrastructure and services. The catalogue of public</w:t>
      </w:r>
      <w:r>
        <w:rPr>
          <w:spacing w:val="1"/>
        </w:rPr>
        <w:t xml:space="preserve"> </w:t>
      </w:r>
      <w:r>
        <w:t>services to be digitalised has been completed, and project documentation is being prepared for</w:t>
      </w:r>
      <w:r>
        <w:rPr>
          <w:spacing w:val="-57"/>
        </w:rPr>
        <w:t xml:space="preserve"> </w:t>
      </w:r>
      <w:r>
        <w:t>setting</w:t>
      </w:r>
      <w:r>
        <w:rPr>
          <w:spacing w:val="-11"/>
        </w:rPr>
        <w:t xml:space="preserve"> </w:t>
      </w:r>
      <w:r>
        <w:t>up</w:t>
      </w:r>
      <w:r>
        <w:rPr>
          <w:spacing w:val="-7"/>
        </w:rPr>
        <w:t xml:space="preserve"> </w:t>
      </w:r>
      <w:r>
        <w:t>appropriate</w:t>
      </w:r>
      <w:r>
        <w:rPr>
          <w:spacing w:val="-9"/>
        </w:rPr>
        <w:t xml:space="preserve"> </w:t>
      </w:r>
      <w:r>
        <w:t>portals</w:t>
      </w:r>
      <w:r>
        <w:rPr>
          <w:spacing w:val="-7"/>
        </w:rPr>
        <w:t xml:space="preserve"> </w:t>
      </w:r>
      <w:r>
        <w:t>which</w:t>
      </w:r>
      <w:r>
        <w:rPr>
          <w:spacing w:val="-6"/>
        </w:rPr>
        <w:t xml:space="preserve"> </w:t>
      </w:r>
      <w:r>
        <w:t>will</w:t>
      </w:r>
      <w:r>
        <w:rPr>
          <w:spacing w:val="-8"/>
        </w:rPr>
        <w:t xml:space="preserve"> </w:t>
      </w:r>
      <w:r>
        <w:t>give</w:t>
      </w:r>
      <w:r>
        <w:rPr>
          <w:spacing w:val="-8"/>
        </w:rPr>
        <w:t xml:space="preserve"> </w:t>
      </w:r>
      <w:r>
        <w:t>users</w:t>
      </w:r>
      <w:r>
        <w:rPr>
          <w:spacing w:val="-6"/>
        </w:rPr>
        <w:t xml:space="preserve"> </w:t>
      </w:r>
      <w:r>
        <w:t>access</w:t>
      </w:r>
      <w:r>
        <w:rPr>
          <w:spacing w:val="-7"/>
        </w:rPr>
        <w:t xml:space="preserve"> </w:t>
      </w:r>
      <w:r>
        <w:t>to</w:t>
      </w:r>
      <w:r>
        <w:rPr>
          <w:spacing w:val="-7"/>
        </w:rPr>
        <w:t xml:space="preserve"> </w:t>
      </w:r>
      <w:r>
        <w:t>the</w:t>
      </w:r>
      <w:r>
        <w:rPr>
          <w:spacing w:val="-8"/>
        </w:rPr>
        <w:t xml:space="preserve"> </w:t>
      </w:r>
      <w:r>
        <w:t>public</w:t>
      </w:r>
      <w:r>
        <w:rPr>
          <w:spacing w:val="-10"/>
        </w:rPr>
        <w:t xml:space="preserve"> </w:t>
      </w:r>
      <w:r>
        <w:t>services</w:t>
      </w:r>
      <w:r>
        <w:rPr>
          <w:spacing w:val="-6"/>
        </w:rPr>
        <w:t xml:space="preserve"> </w:t>
      </w:r>
      <w:r>
        <w:t>of</w:t>
      </w:r>
      <w:r>
        <w:rPr>
          <w:spacing w:val="-8"/>
        </w:rPr>
        <w:t xml:space="preserve"> </w:t>
      </w:r>
      <w:r>
        <w:t>the</w:t>
      </w:r>
      <w:r>
        <w:rPr>
          <w:spacing w:val="-9"/>
        </w:rPr>
        <w:t xml:space="preserve"> </w:t>
      </w:r>
      <w:r>
        <w:t>Ministry</w:t>
      </w:r>
      <w:r>
        <w:rPr>
          <w:spacing w:val="-57"/>
        </w:rPr>
        <w:t xml:space="preserve"> </w:t>
      </w:r>
      <w:r>
        <w:t>of</w:t>
      </w:r>
      <w:r>
        <w:rPr>
          <w:spacing w:val="-12"/>
        </w:rPr>
        <w:t xml:space="preserve"> </w:t>
      </w:r>
      <w:r>
        <w:t>Agriculture</w:t>
      </w:r>
      <w:r>
        <w:rPr>
          <w:spacing w:val="-12"/>
        </w:rPr>
        <w:t xml:space="preserve"> </w:t>
      </w:r>
      <w:r>
        <w:t>(MA).</w:t>
      </w:r>
      <w:r>
        <w:rPr>
          <w:spacing w:val="-10"/>
        </w:rPr>
        <w:t xml:space="preserve"> </w:t>
      </w:r>
      <w:r>
        <w:t>Activities</w:t>
      </w:r>
      <w:r>
        <w:rPr>
          <w:spacing w:val="-9"/>
        </w:rPr>
        <w:t xml:space="preserve"> </w:t>
      </w:r>
      <w:r>
        <w:t>stemming</w:t>
      </w:r>
      <w:r>
        <w:rPr>
          <w:spacing w:val="-12"/>
        </w:rPr>
        <w:t xml:space="preserve"> </w:t>
      </w:r>
      <w:r>
        <w:t>from</w:t>
      </w:r>
      <w:r>
        <w:rPr>
          <w:spacing w:val="-11"/>
        </w:rPr>
        <w:t xml:space="preserve"> </w:t>
      </w:r>
      <w:r>
        <w:t>investments</w:t>
      </w:r>
      <w:r>
        <w:rPr>
          <w:spacing w:val="-10"/>
        </w:rPr>
        <w:t xml:space="preserve"> </w:t>
      </w:r>
      <w:r>
        <w:t>in</w:t>
      </w:r>
      <w:r>
        <w:rPr>
          <w:spacing w:val="-9"/>
        </w:rPr>
        <w:t xml:space="preserve"> </w:t>
      </w:r>
      <w:r>
        <w:t>Smart</w:t>
      </w:r>
      <w:r>
        <w:rPr>
          <w:spacing w:val="-11"/>
        </w:rPr>
        <w:t xml:space="preserve"> </w:t>
      </w:r>
      <w:r>
        <w:t>Agriculture</w:t>
      </w:r>
      <w:r>
        <w:rPr>
          <w:spacing w:val="-12"/>
        </w:rPr>
        <w:t xml:space="preserve"> </w:t>
      </w:r>
      <w:r>
        <w:t>are</w:t>
      </w:r>
      <w:r>
        <w:rPr>
          <w:spacing w:val="-12"/>
        </w:rPr>
        <w:t xml:space="preserve"> </w:t>
      </w:r>
      <w:r>
        <w:t>in</w:t>
      </w:r>
      <w:r>
        <w:rPr>
          <w:spacing w:val="-10"/>
        </w:rPr>
        <w:t xml:space="preserve"> </w:t>
      </w:r>
      <w:r>
        <w:t>various</w:t>
      </w:r>
      <w:r>
        <w:rPr>
          <w:spacing w:val="-58"/>
        </w:rPr>
        <w:t xml:space="preserve"> </w:t>
      </w:r>
      <w:r>
        <w:t>stages of preparation or implementation, and will enable users to access all data relevant to</w:t>
      </w:r>
      <w:r>
        <w:rPr>
          <w:spacing w:val="1"/>
        </w:rPr>
        <w:t xml:space="preserve"> </w:t>
      </w:r>
      <w:r>
        <w:t>agricultural</w:t>
      </w:r>
      <w:r>
        <w:rPr>
          <w:spacing w:val="-1"/>
        </w:rPr>
        <w:t xml:space="preserve"> </w:t>
      </w:r>
      <w:r>
        <w:t>production through</w:t>
      </w:r>
      <w:r>
        <w:rPr>
          <w:spacing w:val="2"/>
        </w:rPr>
        <w:t xml:space="preserve"> </w:t>
      </w:r>
      <w:r>
        <w:t>a</w:t>
      </w:r>
      <w:r>
        <w:rPr>
          <w:spacing w:val="-1"/>
        </w:rPr>
        <w:t xml:space="preserve"> </w:t>
      </w:r>
      <w:r>
        <w:t>centralized platform.</w:t>
      </w:r>
    </w:p>
    <w:p w:rsidR="00A56FE9" w:rsidRDefault="00000000">
      <w:pPr>
        <w:pStyle w:val="Tijeloteksta"/>
        <w:spacing w:before="120"/>
        <w:ind w:right="270"/>
      </w:pPr>
      <w:r>
        <w:t>Investment in the Traceability System in terms of the Digital Transformation of Agriculture</w:t>
      </w:r>
      <w:r>
        <w:rPr>
          <w:spacing w:val="1"/>
        </w:rPr>
        <w:t xml:space="preserve"> </w:t>
      </w:r>
      <w:r>
        <w:t>will integrate existing food traceability systems of animal origin, and in upgrading the existing</w:t>
      </w:r>
      <w:r>
        <w:rPr>
          <w:spacing w:val="-57"/>
        </w:rPr>
        <w:t xml:space="preserve"> </w:t>
      </w:r>
      <w:r>
        <w:t>systems and devising new systems, will facilitate setting up a comprehensive set of food</w:t>
      </w:r>
      <w:r>
        <w:rPr>
          <w:spacing w:val="1"/>
        </w:rPr>
        <w:t xml:space="preserve"> </w:t>
      </w:r>
      <w:r>
        <w:t>information displayed in QR codes. To read the information stored in the QR code, a mobile</w:t>
      </w:r>
      <w:r>
        <w:rPr>
          <w:spacing w:val="1"/>
        </w:rPr>
        <w:t xml:space="preserve"> </w:t>
      </w:r>
      <w:r>
        <w:t>application will be devised within the project activities. The system will provide primary</w:t>
      </w:r>
      <w:r>
        <w:rPr>
          <w:spacing w:val="1"/>
        </w:rPr>
        <w:t xml:space="preserve"> </w:t>
      </w:r>
      <w:r>
        <w:t>farmers and processors the ability to better recognise their products, providing added value,</w:t>
      </w:r>
      <w:r>
        <w:rPr>
          <w:spacing w:val="1"/>
        </w:rPr>
        <w:t xml:space="preserve"> </w:t>
      </w:r>
      <w:r>
        <w:t>while consumers will receive products with a clear system of traceability of the food they buy</w:t>
      </w:r>
      <w:r>
        <w:rPr>
          <w:spacing w:val="1"/>
        </w:rPr>
        <w:t xml:space="preserve"> </w:t>
      </w:r>
      <w:r>
        <w:t>and additional information about the food. Producers, processors and consumers will find out</w:t>
      </w:r>
      <w:r>
        <w:rPr>
          <w:spacing w:val="1"/>
        </w:rPr>
        <w:t xml:space="preserve"> </w:t>
      </w:r>
      <w:r>
        <w:t>and</w:t>
      </w:r>
      <w:r>
        <w:rPr>
          <w:spacing w:val="-1"/>
        </w:rPr>
        <w:t xml:space="preserve"> </w:t>
      </w:r>
      <w:r>
        <w:t>learn about the</w:t>
      </w:r>
      <w:r>
        <w:rPr>
          <w:spacing w:val="-2"/>
        </w:rPr>
        <w:t xml:space="preserve"> </w:t>
      </w:r>
      <w:r>
        <w:t>system as</w:t>
      </w:r>
      <w:r>
        <w:rPr>
          <w:spacing w:val="-1"/>
        </w:rPr>
        <w:t xml:space="preserve"> </w:t>
      </w:r>
      <w:r>
        <w:t>part of</w:t>
      </w:r>
      <w:r>
        <w:rPr>
          <w:spacing w:val="-2"/>
        </w:rPr>
        <w:t xml:space="preserve"> </w:t>
      </w:r>
      <w:r>
        <w:t>a</w:t>
      </w:r>
      <w:r>
        <w:rPr>
          <w:spacing w:val="-1"/>
        </w:rPr>
        <w:t xml:space="preserve"> </w:t>
      </w:r>
      <w:r>
        <w:t>planned</w:t>
      </w:r>
      <w:r>
        <w:rPr>
          <w:spacing w:val="-1"/>
        </w:rPr>
        <w:t xml:space="preserve"> </w:t>
      </w:r>
      <w:r>
        <w:t>information and</w:t>
      </w:r>
      <w:r>
        <w:rPr>
          <w:spacing w:val="-1"/>
        </w:rPr>
        <w:t xml:space="preserve"> </w:t>
      </w:r>
      <w:r>
        <w:t>educational</w:t>
      </w:r>
      <w:r>
        <w:rPr>
          <w:spacing w:val="3"/>
        </w:rPr>
        <w:t xml:space="preserve"> </w:t>
      </w:r>
      <w:r>
        <w:t>campaign.</w:t>
      </w:r>
    </w:p>
    <w:p w:rsidR="00A56FE9" w:rsidRDefault="00000000">
      <w:pPr>
        <w:pStyle w:val="Tijeloteksta"/>
        <w:spacing w:before="121"/>
        <w:ind w:right="273"/>
      </w:pPr>
      <w:r>
        <w:t>The</w:t>
      </w:r>
      <w:r>
        <w:rPr>
          <w:spacing w:val="-7"/>
        </w:rPr>
        <w:t xml:space="preserve"> </w:t>
      </w:r>
      <w:r>
        <w:t>recommendation</w:t>
      </w:r>
      <w:r>
        <w:rPr>
          <w:spacing w:val="-4"/>
        </w:rPr>
        <w:t xml:space="preserve"> </w:t>
      </w:r>
      <w:r>
        <w:t>on</w:t>
      </w:r>
      <w:r>
        <w:rPr>
          <w:spacing w:val="-3"/>
        </w:rPr>
        <w:t xml:space="preserve"> </w:t>
      </w:r>
      <w:r>
        <w:t>improving</w:t>
      </w:r>
      <w:r>
        <w:rPr>
          <w:spacing w:val="-8"/>
        </w:rPr>
        <w:t xml:space="preserve"> </w:t>
      </w:r>
      <w:r>
        <w:t>access</w:t>
      </w:r>
      <w:r>
        <w:rPr>
          <w:spacing w:val="-6"/>
        </w:rPr>
        <w:t xml:space="preserve"> </w:t>
      </w:r>
      <w:r>
        <w:t>to</w:t>
      </w:r>
      <w:r>
        <w:rPr>
          <w:spacing w:val="-5"/>
        </w:rPr>
        <w:t xml:space="preserve"> </w:t>
      </w:r>
      <w:r>
        <w:t>digital</w:t>
      </w:r>
      <w:r>
        <w:rPr>
          <w:spacing w:val="-6"/>
        </w:rPr>
        <w:t xml:space="preserve"> </w:t>
      </w:r>
      <w:r>
        <w:t>services</w:t>
      </w:r>
      <w:r>
        <w:rPr>
          <w:spacing w:val="-5"/>
        </w:rPr>
        <w:t xml:space="preserve"> </w:t>
      </w:r>
      <w:r>
        <w:t>is</w:t>
      </w:r>
      <w:r>
        <w:rPr>
          <w:spacing w:val="-4"/>
        </w:rPr>
        <w:t xml:space="preserve"> </w:t>
      </w:r>
      <w:r>
        <w:t>facilitated</w:t>
      </w:r>
      <w:r>
        <w:rPr>
          <w:spacing w:val="-5"/>
        </w:rPr>
        <w:t xml:space="preserve"> </w:t>
      </w:r>
      <w:r>
        <w:t>by</w:t>
      </w:r>
      <w:r>
        <w:rPr>
          <w:spacing w:val="-9"/>
        </w:rPr>
        <w:t xml:space="preserve"> </w:t>
      </w:r>
      <w:r>
        <w:t>the</w:t>
      </w:r>
      <w:r>
        <w:rPr>
          <w:spacing w:val="-2"/>
        </w:rPr>
        <w:t xml:space="preserve"> </w:t>
      </w:r>
      <w:r>
        <w:t>NRRP</w:t>
      </w:r>
      <w:r>
        <w:rPr>
          <w:spacing w:val="-5"/>
        </w:rPr>
        <w:t xml:space="preserve"> </w:t>
      </w:r>
      <w:r>
        <w:t>reform</w:t>
      </w:r>
      <w:r>
        <w:rPr>
          <w:spacing w:val="-57"/>
        </w:rPr>
        <w:t xml:space="preserve"> </w:t>
      </w:r>
      <w:r>
        <w:t>C1.6. R1 Enhancing the Resilience and Sustainability of the Tourism Sector and the NRRP</w:t>
      </w:r>
      <w:r>
        <w:rPr>
          <w:spacing w:val="1"/>
        </w:rPr>
        <w:t xml:space="preserve"> </w:t>
      </w:r>
      <w:r>
        <w:t>investment</w:t>
      </w:r>
      <w:r>
        <w:rPr>
          <w:spacing w:val="1"/>
        </w:rPr>
        <w:t xml:space="preserve"> </w:t>
      </w:r>
      <w:r>
        <w:t>C2.3.R3-I15</w:t>
      </w:r>
      <w:r>
        <w:rPr>
          <w:spacing w:val="1"/>
        </w:rPr>
        <w:t xml:space="preserve"> </w:t>
      </w:r>
      <w:r>
        <w:t>Setting</w:t>
      </w:r>
      <w:r>
        <w:rPr>
          <w:spacing w:val="1"/>
        </w:rPr>
        <w:t xml:space="preserve"> </w:t>
      </w:r>
      <w:r>
        <w:t>Up</w:t>
      </w:r>
      <w:r>
        <w:rPr>
          <w:spacing w:val="1"/>
        </w:rPr>
        <w:t xml:space="preserve"> </w:t>
      </w:r>
      <w:r>
        <w:t>Tourism</w:t>
      </w:r>
      <w:r>
        <w:rPr>
          <w:spacing w:val="1"/>
        </w:rPr>
        <w:t xml:space="preserve"> </w:t>
      </w:r>
      <w:r>
        <w:t>Application</w:t>
      </w:r>
      <w:r>
        <w:rPr>
          <w:spacing w:val="1"/>
        </w:rPr>
        <w:t xml:space="preserve"> </w:t>
      </w:r>
      <w:r>
        <w:t>Solutions</w:t>
      </w:r>
      <w:r>
        <w:rPr>
          <w:spacing w:val="1"/>
        </w:rPr>
        <w:t xml:space="preserve"> </w:t>
      </w:r>
      <w:r>
        <w:t>with</w:t>
      </w:r>
      <w:r>
        <w:rPr>
          <w:spacing w:val="1"/>
        </w:rPr>
        <w:t xml:space="preserve"> </w:t>
      </w:r>
      <w:r>
        <w:t>the</w:t>
      </w:r>
      <w:r>
        <w:rPr>
          <w:spacing w:val="1"/>
        </w:rPr>
        <w:t xml:space="preserve"> </w:t>
      </w:r>
      <w:r>
        <w:t>Aim</w:t>
      </w:r>
      <w:r>
        <w:rPr>
          <w:spacing w:val="1"/>
        </w:rPr>
        <w:t xml:space="preserve"> </w:t>
      </w:r>
      <w:r>
        <w:t>of</w:t>
      </w:r>
      <w:r>
        <w:rPr>
          <w:spacing w:val="1"/>
        </w:rPr>
        <w:t xml:space="preserve"> </w:t>
      </w:r>
      <w:r>
        <w:t>Administratively Relieving Entrepreneurs and Transforming the Tourism Model Towards</w:t>
      </w:r>
      <w:r>
        <w:rPr>
          <w:spacing w:val="1"/>
        </w:rPr>
        <w:t xml:space="preserve"> </w:t>
      </w:r>
      <w:r>
        <w:t>Sustainability, and relates to upgrading business intelligence. The aim is to help entrepreneurs</w:t>
      </w:r>
      <w:r>
        <w:rPr>
          <w:spacing w:val="-57"/>
        </w:rPr>
        <w:t xml:space="preserve"> </w:t>
      </w:r>
      <w:r>
        <w:t>but also the public administration in deciding on sustainable destination management and</w:t>
      </w:r>
      <w:r>
        <w:rPr>
          <w:spacing w:val="1"/>
        </w:rPr>
        <w:t xml:space="preserve"> </w:t>
      </w:r>
      <w:r>
        <w:t>monitoring the destination sustainability within tourism management. The planned investment</w:t>
      </w:r>
      <w:r>
        <w:rPr>
          <w:spacing w:val="-57"/>
        </w:rPr>
        <w:t xml:space="preserve"> </w:t>
      </w:r>
      <w:r>
        <w:t>will support activities in utilising tourist data from public registers such as the Central Tourist</w:t>
      </w:r>
      <w:r>
        <w:rPr>
          <w:spacing w:val="1"/>
        </w:rPr>
        <w:t xml:space="preserve"> </w:t>
      </w:r>
      <w:r>
        <w:t>Register</w:t>
      </w:r>
      <w:r>
        <w:rPr>
          <w:spacing w:val="-8"/>
        </w:rPr>
        <w:t xml:space="preserve"> </w:t>
      </w:r>
      <w:r>
        <w:t>and</w:t>
      </w:r>
      <w:r>
        <w:rPr>
          <w:spacing w:val="-7"/>
        </w:rPr>
        <w:t xml:space="preserve"> </w:t>
      </w:r>
      <w:r>
        <w:t>the</w:t>
      </w:r>
      <w:r>
        <w:rPr>
          <w:spacing w:val="-8"/>
        </w:rPr>
        <w:t xml:space="preserve"> </w:t>
      </w:r>
      <w:r>
        <w:t>e-Visitor</w:t>
      </w:r>
      <w:r>
        <w:rPr>
          <w:spacing w:val="-7"/>
        </w:rPr>
        <w:t xml:space="preserve"> </w:t>
      </w:r>
      <w:r>
        <w:t>system,</w:t>
      </w:r>
      <w:r>
        <w:rPr>
          <w:spacing w:val="-7"/>
        </w:rPr>
        <w:t xml:space="preserve"> </w:t>
      </w:r>
      <w:r>
        <w:t>which</w:t>
      </w:r>
      <w:r>
        <w:rPr>
          <w:spacing w:val="-7"/>
        </w:rPr>
        <w:t xml:space="preserve"> </w:t>
      </w:r>
      <w:r>
        <w:t>are</w:t>
      </w:r>
      <w:r>
        <w:rPr>
          <w:spacing w:val="-9"/>
        </w:rPr>
        <w:t xml:space="preserve"> </w:t>
      </w:r>
      <w:r>
        <w:t>part</w:t>
      </w:r>
      <w:r>
        <w:rPr>
          <w:spacing w:val="-8"/>
        </w:rPr>
        <w:t xml:space="preserve"> </w:t>
      </w:r>
      <w:r>
        <w:t>of</w:t>
      </w:r>
      <w:r>
        <w:rPr>
          <w:spacing w:val="-6"/>
        </w:rPr>
        <w:t xml:space="preserve"> </w:t>
      </w:r>
      <w:r>
        <w:t>the</w:t>
      </w:r>
      <w:r>
        <w:rPr>
          <w:spacing w:val="-8"/>
        </w:rPr>
        <w:t xml:space="preserve"> </w:t>
      </w:r>
      <w:r>
        <w:t>Croatian</w:t>
      </w:r>
      <w:r>
        <w:rPr>
          <w:spacing w:val="-7"/>
        </w:rPr>
        <w:t xml:space="preserve"> </w:t>
      </w:r>
      <w:r>
        <w:t>Digital</w:t>
      </w:r>
      <w:r>
        <w:rPr>
          <w:spacing w:val="-7"/>
        </w:rPr>
        <w:t xml:space="preserve"> </w:t>
      </w:r>
      <w:r>
        <w:t>Tourism</w:t>
      </w:r>
      <w:r>
        <w:rPr>
          <w:spacing w:val="-4"/>
        </w:rPr>
        <w:t xml:space="preserve"> </w:t>
      </w:r>
      <w:r>
        <w:t>project</w:t>
      </w:r>
      <w:r>
        <w:rPr>
          <w:spacing w:val="-7"/>
        </w:rPr>
        <w:t xml:space="preserve"> </w:t>
      </w:r>
      <w:r>
        <w:t>called</w:t>
      </w:r>
      <w:r>
        <w:rPr>
          <w:spacing w:val="-57"/>
        </w:rPr>
        <w:t xml:space="preserve"> </w:t>
      </w:r>
      <w:r>
        <w:t>e-Tourism, and serves to make business decisions more effectively within the overall value</w:t>
      </w:r>
      <w:r>
        <w:rPr>
          <w:spacing w:val="1"/>
        </w:rPr>
        <w:t xml:space="preserve"> </w:t>
      </w:r>
      <w:r>
        <w:t>chain</w:t>
      </w:r>
      <w:r>
        <w:rPr>
          <w:spacing w:val="-4"/>
        </w:rPr>
        <w:t xml:space="preserve"> </w:t>
      </w:r>
      <w:r>
        <w:t>of</w:t>
      </w:r>
      <w:r>
        <w:rPr>
          <w:spacing w:val="-5"/>
        </w:rPr>
        <w:t xml:space="preserve"> </w:t>
      </w:r>
      <w:r>
        <w:t>tourism,</w:t>
      </w:r>
      <w:r>
        <w:rPr>
          <w:spacing w:val="-5"/>
        </w:rPr>
        <w:t xml:space="preserve"> </w:t>
      </w:r>
      <w:r>
        <w:t>as</w:t>
      </w:r>
      <w:r>
        <w:rPr>
          <w:spacing w:val="-4"/>
        </w:rPr>
        <w:t xml:space="preserve"> </w:t>
      </w:r>
      <w:r>
        <w:t>well</w:t>
      </w:r>
      <w:r>
        <w:rPr>
          <w:spacing w:val="-3"/>
        </w:rPr>
        <w:t xml:space="preserve"> </w:t>
      </w:r>
      <w:r>
        <w:t>as</w:t>
      </w:r>
      <w:r>
        <w:rPr>
          <w:spacing w:val="-5"/>
        </w:rPr>
        <w:t xml:space="preserve"> </w:t>
      </w:r>
      <w:r>
        <w:t>effective</w:t>
      </w:r>
      <w:r>
        <w:rPr>
          <w:spacing w:val="-5"/>
        </w:rPr>
        <w:t xml:space="preserve"> </w:t>
      </w:r>
      <w:r>
        <w:t>and</w:t>
      </w:r>
      <w:r>
        <w:rPr>
          <w:spacing w:val="-4"/>
        </w:rPr>
        <w:t xml:space="preserve"> </w:t>
      </w:r>
      <w:r>
        <w:t>targeted</w:t>
      </w:r>
      <w:r>
        <w:rPr>
          <w:spacing w:val="-2"/>
        </w:rPr>
        <w:t xml:space="preserve"> </w:t>
      </w:r>
      <w:r>
        <w:t>promotion</w:t>
      </w:r>
      <w:r>
        <w:rPr>
          <w:spacing w:val="-3"/>
        </w:rPr>
        <w:t xml:space="preserve"> </w:t>
      </w:r>
      <w:r>
        <w:t>in</w:t>
      </w:r>
      <w:r>
        <w:rPr>
          <w:spacing w:val="-3"/>
        </w:rPr>
        <w:t xml:space="preserve"> </w:t>
      </w:r>
      <w:r>
        <w:t>the</w:t>
      </w:r>
      <w:r>
        <w:rPr>
          <w:spacing w:val="-5"/>
        </w:rPr>
        <w:t xml:space="preserve"> </w:t>
      </w:r>
      <w:r>
        <w:t>tourism</w:t>
      </w:r>
      <w:r>
        <w:rPr>
          <w:spacing w:val="-8"/>
        </w:rPr>
        <w:t xml:space="preserve"> </w:t>
      </w:r>
      <w:r>
        <w:t>market.</w:t>
      </w:r>
      <w:r>
        <w:rPr>
          <w:spacing w:val="2"/>
        </w:rPr>
        <w:t xml:space="preserve"> </w:t>
      </w:r>
      <w:r>
        <w:t>In</w:t>
      </w:r>
      <w:r>
        <w:rPr>
          <w:spacing w:val="-5"/>
        </w:rPr>
        <w:t xml:space="preserve"> </w:t>
      </w:r>
      <w:r>
        <w:t>terms</w:t>
      </w:r>
      <w:r>
        <w:rPr>
          <w:spacing w:val="-3"/>
        </w:rPr>
        <w:t xml:space="preserve"> </w:t>
      </w:r>
      <w:r>
        <w:t>of</w:t>
      </w:r>
      <w:r>
        <w:rPr>
          <w:spacing w:val="-58"/>
        </w:rPr>
        <w:t xml:space="preserve"> </w:t>
      </w:r>
      <w:r>
        <w:t>the</w:t>
      </w:r>
      <w:r>
        <w:rPr>
          <w:spacing w:val="1"/>
        </w:rPr>
        <w:t xml:space="preserve"> </w:t>
      </w:r>
      <w:r>
        <w:t>NRRP</w:t>
      </w:r>
      <w:r>
        <w:rPr>
          <w:spacing w:val="1"/>
        </w:rPr>
        <w:t xml:space="preserve"> </w:t>
      </w:r>
      <w:r>
        <w:t>reform</w:t>
      </w:r>
      <w:r>
        <w:rPr>
          <w:spacing w:val="1"/>
        </w:rPr>
        <w:t xml:space="preserve"> </w:t>
      </w:r>
      <w:r>
        <w:t>C2.3.</w:t>
      </w:r>
      <w:r>
        <w:rPr>
          <w:spacing w:val="1"/>
        </w:rPr>
        <w:t xml:space="preserve"> </w:t>
      </w:r>
      <w:r>
        <w:t>R1,</w:t>
      </w:r>
      <w:r>
        <w:rPr>
          <w:spacing w:val="1"/>
        </w:rPr>
        <w:t xml:space="preserve"> </w:t>
      </w:r>
      <w:r>
        <w:t>to</w:t>
      </w:r>
      <w:r>
        <w:rPr>
          <w:spacing w:val="1"/>
        </w:rPr>
        <w:t xml:space="preserve"> </w:t>
      </w:r>
      <w:r>
        <w:t>achieve</w:t>
      </w:r>
      <w:r>
        <w:rPr>
          <w:spacing w:val="1"/>
        </w:rPr>
        <w:t xml:space="preserve"> </w:t>
      </w:r>
      <w:r>
        <w:t>more</w:t>
      </w:r>
      <w:r>
        <w:rPr>
          <w:spacing w:val="1"/>
        </w:rPr>
        <w:t xml:space="preserve"> </w:t>
      </w:r>
      <w:r>
        <w:t>efficient</w:t>
      </w:r>
      <w:r>
        <w:rPr>
          <w:spacing w:val="1"/>
        </w:rPr>
        <w:t xml:space="preserve"> </w:t>
      </w:r>
      <w:r>
        <w:t>operation</w:t>
      </w:r>
      <w:r>
        <w:rPr>
          <w:spacing w:val="1"/>
        </w:rPr>
        <w:t xml:space="preserve"> </w:t>
      </w:r>
      <w:r>
        <w:t>of</w:t>
      </w:r>
      <w:r>
        <w:rPr>
          <w:spacing w:val="1"/>
        </w:rPr>
        <w:t xml:space="preserve"> </w:t>
      </w:r>
      <w:r>
        <w:t>the</w:t>
      </w:r>
      <w:r>
        <w:rPr>
          <w:spacing w:val="1"/>
        </w:rPr>
        <w:t xml:space="preserve"> </w:t>
      </w:r>
      <w:r>
        <w:t>central</w:t>
      </w:r>
      <w:r>
        <w:rPr>
          <w:spacing w:val="1"/>
        </w:rPr>
        <w:t xml:space="preserve"> </w:t>
      </w:r>
      <w:r>
        <w:t>state</w:t>
      </w:r>
      <w:r>
        <w:rPr>
          <w:spacing w:val="1"/>
        </w:rPr>
        <w:t xml:space="preserve"> </w:t>
      </w:r>
      <w:r>
        <w:t>administration</w:t>
      </w:r>
      <w:r>
        <w:rPr>
          <w:spacing w:val="-9"/>
        </w:rPr>
        <w:t xml:space="preserve"> </w:t>
      </w:r>
      <w:r>
        <w:t>body</w:t>
      </w:r>
      <w:r>
        <w:rPr>
          <w:spacing w:val="-13"/>
        </w:rPr>
        <w:t xml:space="preserve"> </w:t>
      </w:r>
      <w:r>
        <w:t>responsible</w:t>
      </w:r>
      <w:r>
        <w:rPr>
          <w:spacing w:val="-9"/>
        </w:rPr>
        <w:t xml:space="preserve"> </w:t>
      </w:r>
      <w:r>
        <w:t>for</w:t>
      </w:r>
      <w:r>
        <w:rPr>
          <w:spacing w:val="-10"/>
        </w:rPr>
        <w:t xml:space="preserve"> </w:t>
      </w:r>
      <w:r>
        <w:t>sports,</w:t>
      </w:r>
      <w:r>
        <w:rPr>
          <w:spacing w:val="-8"/>
        </w:rPr>
        <w:t xml:space="preserve"> </w:t>
      </w:r>
      <w:r>
        <w:t>as</w:t>
      </w:r>
      <w:r>
        <w:rPr>
          <w:spacing w:val="-8"/>
        </w:rPr>
        <w:t xml:space="preserve"> </w:t>
      </w:r>
      <w:r>
        <w:t>well</w:t>
      </w:r>
      <w:r>
        <w:rPr>
          <w:spacing w:val="-8"/>
        </w:rPr>
        <w:t xml:space="preserve"> </w:t>
      </w:r>
      <w:r>
        <w:t>as</w:t>
      </w:r>
      <w:r>
        <w:rPr>
          <w:spacing w:val="-6"/>
        </w:rPr>
        <w:t xml:space="preserve"> </w:t>
      </w:r>
      <w:r>
        <w:t>the</w:t>
      </w:r>
      <w:r>
        <w:rPr>
          <w:spacing w:val="-9"/>
        </w:rPr>
        <w:t xml:space="preserve"> </w:t>
      </w:r>
      <w:r>
        <w:t>development</w:t>
      </w:r>
      <w:r>
        <w:rPr>
          <w:spacing w:val="-8"/>
        </w:rPr>
        <w:t xml:space="preserve"> </w:t>
      </w:r>
      <w:r>
        <w:t>of</w:t>
      </w:r>
      <w:r>
        <w:rPr>
          <w:spacing w:val="-9"/>
        </w:rPr>
        <w:t xml:space="preserve"> </w:t>
      </w:r>
      <w:r>
        <w:t>e-services</w:t>
      </w:r>
      <w:r>
        <w:rPr>
          <w:spacing w:val="-8"/>
        </w:rPr>
        <w:t xml:space="preserve"> </w:t>
      </w:r>
      <w:r>
        <w:t>for</w:t>
      </w:r>
      <w:r>
        <w:rPr>
          <w:spacing w:val="-8"/>
        </w:rPr>
        <w:t xml:space="preserve"> </w:t>
      </w:r>
      <w:r>
        <w:t>citizens</w:t>
      </w:r>
      <w:r>
        <w:rPr>
          <w:spacing w:val="-57"/>
        </w:rPr>
        <w:t xml:space="preserve"> </w:t>
      </w:r>
      <w:r>
        <w:t>and stakeholders in the sports system, the aim is to establish new application modules for the</w:t>
      </w:r>
      <w:r>
        <w:rPr>
          <w:spacing w:val="1"/>
        </w:rPr>
        <w:t xml:space="preserve"> </w:t>
      </w:r>
      <w:r>
        <w:t>Information System in Sports (ISS), primarily in providing e-services to stakeholders in sports</w:t>
      </w:r>
      <w:r>
        <w:rPr>
          <w:spacing w:val="-57"/>
        </w:rPr>
        <w:t xml:space="preserve"> </w:t>
      </w:r>
      <w:r>
        <w:t>and health-oriented physical exercise at the local and regional level. This will contribute to</w:t>
      </w:r>
      <w:r>
        <w:rPr>
          <w:spacing w:val="1"/>
        </w:rPr>
        <w:t xml:space="preserve"> </w:t>
      </w:r>
      <w:r>
        <w:t>improving the effectiveness of sports clubs by providing direct access to basic registers and</w:t>
      </w:r>
      <w:r>
        <w:rPr>
          <w:spacing w:val="1"/>
        </w:rPr>
        <w:t xml:space="preserve"> </w:t>
      </w:r>
      <w:r>
        <w:t>records</w:t>
      </w:r>
      <w:r>
        <w:rPr>
          <w:spacing w:val="-3"/>
        </w:rPr>
        <w:t xml:space="preserve"> </w:t>
      </w:r>
      <w:r>
        <w:t>of</w:t>
      </w:r>
      <w:r>
        <w:rPr>
          <w:spacing w:val="-6"/>
        </w:rPr>
        <w:t xml:space="preserve"> </w:t>
      </w:r>
      <w:r>
        <w:t>the Information</w:t>
      </w:r>
      <w:r>
        <w:rPr>
          <w:spacing w:val="-5"/>
        </w:rPr>
        <w:t xml:space="preserve"> </w:t>
      </w:r>
      <w:r>
        <w:t>System</w:t>
      </w:r>
      <w:r>
        <w:rPr>
          <w:spacing w:val="-4"/>
        </w:rPr>
        <w:t xml:space="preserve"> </w:t>
      </w:r>
      <w:r>
        <w:t>in</w:t>
      </w:r>
      <w:r>
        <w:rPr>
          <w:spacing w:val="-4"/>
        </w:rPr>
        <w:t xml:space="preserve"> </w:t>
      </w:r>
      <w:r>
        <w:t>Sports</w:t>
      </w:r>
      <w:r>
        <w:rPr>
          <w:spacing w:val="-2"/>
        </w:rPr>
        <w:t xml:space="preserve"> </w:t>
      </w:r>
      <w:r>
        <w:t>(ISS),</w:t>
      </w:r>
      <w:r>
        <w:rPr>
          <w:spacing w:val="-3"/>
        </w:rPr>
        <w:t xml:space="preserve"> </w:t>
      </w:r>
      <w:r>
        <w:t>with</w:t>
      </w:r>
      <w:r>
        <w:rPr>
          <w:spacing w:val="-4"/>
        </w:rPr>
        <w:t xml:space="preserve"> </w:t>
      </w:r>
      <w:r>
        <w:t>functions</w:t>
      </w:r>
      <w:r>
        <w:rPr>
          <w:spacing w:val="-4"/>
        </w:rPr>
        <w:t xml:space="preserve"> </w:t>
      </w:r>
      <w:r>
        <w:t>for</w:t>
      </w:r>
      <w:r>
        <w:rPr>
          <w:spacing w:val="-5"/>
        </w:rPr>
        <w:t xml:space="preserve"> </w:t>
      </w:r>
      <w:r>
        <w:t>data</w:t>
      </w:r>
      <w:r>
        <w:rPr>
          <w:spacing w:val="-2"/>
        </w:rPr>
        <w:t xml:space="preserve"> </w:t>
      </w:r>
      <w:r>
        <w:t>entry;</w:t>
      </w:r>
      <w:r>
        <w:rPr>
          <w:spacing w:val="-4"/>
        </w:rPr>
        <w:t xml:space="preserve"> </w:t>
      </w:r>
      <w:r>
        <w:t>simplification</w:t>
      </w:r>
      <w:r>
        <w:rPr>
          <w:spacing w:val="-57"/>
        </w:rPr>
        <w:t xml:space="preserve"> </w:t>
      </w:r>
      <w:r>
        <w:t>and</w:t>
      </w:r>
      <w:r>
        <w:rPr>
          <w:spacing w:val="-4"/>
        </w:rPr>
        <w:t xml:space="preserve"> </w:t>
      </w:r>
      <w:r>
        <w:t>transparency</w:t>
      </w:r>
      <w:r>
        <w:rPr>
          <w:spacing w:val="-5"/>
        </w:rPr>
        <w:t xml:space="preserve"> </w:t>
      </w:r>
      <w:r>
        <w:t>of</w:t>
      </w:r>
      <w:r>
        <w:rPr>
          <w:spacing w:val="-4"/>
        </w:rPr>
        <w:t xml:space="preserve"> </w:t>
      </w:r>
      <w:r>
        <w:t>procedures for</w:t>
      </w:r>
      <w:r>
        <w:rPr>
          <w:spacing w:val="-4"/>
        </w:rPr>
        <w:t xml:space="preserve"> </w:t>
      </w:r>
      <w:r>
        <w:t>financing</w:t>
      </w:r>
      <w:r>
        <w:rPr>
          <w:spacing w:val="-5"/>
        </w:rPr>
        <w:t xml:space="preserve"> </w:t>
      </w:r>
      <w:r>
        <w:t>public</w:t>
      </w:r>
      <w:r>
        <w:rPr>
          <w:spacing w:val="-4"/>
        </w:rPr>
        <w:t xml:space="preserve"> </w:t>
      </w:r>
      <w:r>
        <w:t>needs</w:t>
      </w:r>
      <w:r>
        <w:rPr>
          <w:spacing w:val="-3"/>
        </w:rPr>
        <w:t xml:space="preserve"> </w:t>
      </w:r>
      <w:r>
        <w:t>in</w:t>
      </w:r>
      <w:r>
        <w:rPr>
          <w:spacing w:val="-2"/>
        </w:rPr>
        <w:t xml:space="preserve"> </w:t>
      </w:r>
      <w:r>
        <w:t>sport</w:t>
      </w:r>
      <w:r>
        <w:rPr>
          <w:spacing w:val="-3"/>
        </w:rPr>
        <w:t xml:space="preserve"> </w:t>
      </w:r>
      <w:r>
        <w:t>at</w:t>
      </w:r>
      <w:r>
        <w:rPr>
          <w:spacing w:val="-2"/>
        </w:rPr>
        <w:t xml:space="preserve"> </w:t>
      </w:r>
      <w:r>
        <w:t>the</w:t>
      </w:r>
      <w:r>
        <w:rPr>
          <w:spacing w:val="-3"/>
        </w:rPr>
        <w:t xml:space="preserve"> </w:t>
      </w:r>
      <w:r>
        <w:t>national,</w:t>
      </w:r>
      <w:r>
        <w:rPr>
          <w:spacing w:val="-2"/>
        </w:rPr>
        <w:t xml:space="preserve"> </w:t>
      </w:r>
      <w:r>
        <w:t>regional</w:t>
      </w:r>
      <w:r>
        <w:rPr>
          <w:spacing w:val="-4"/>
        </w:rPr>
        <w:t xml:space="preserve"> </w:t>
      </w:r>
      <w:r>
        <w:t>and</w:t>
      </w:r>
      <w:r>
        <w:rPr>
          <w:spacing w:val="-57"/>
        </w:rPr>
        <w:t xml:space="preserve"> </w:t>
      </w:r>
      <w:r>
        <w:t>local levels based on digitised processes; monitoring and managing the development of sports</w:t>
      </w:r>
      <w:r>
        <w:rPr>
          <w:spacing w:val="1"/>
        </w:rPr>
        <w:t xml:space="preserve"> </w:t>
      </w:r>
      <w:r>
        <w:t>and health-oriented physical exercise, in terms of simplifying and improving the efficiency of</w:t>
      </w:r>
      <w:r>
        <w:rPr>
          <w:spacing w:val="1"/>
        </w:rPr>
        <w:t xml:space="preserve"> </w:t>
      </w:r>
      <w:r>
        <w:t>data</w:t>
      </w:r>
      <w:r>
        <w:rPr>
          <w:spacing w:val="-1"/>
        </w:rPr>
        <w:t xml:space="preserve"> </w:t>
      </w:r>
      <w:r>
        <w:t>collection on sports</w:t>
      </w:r>
      <w:r>
        <w:rPr>
          <w:spacing w:val="2"/>
        </w:rPr>
        <w:t xml:space="preserve"> </w:t>
      </w:r>
      <w:r>
        <w:t>and</w:t>
      </w:r>
      <w:r>
        <w:rPr>
          <w:spacing w:val="-1"/>
        </w:rPr>
        <w:t xml:space="preserve"> </w:t>
      </w:r>
      <w:r>
        <w:t>health-oriented physical exercise.</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5"/>
        <w:spacing w:before="79"/>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504087931"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1049694345" name="Rectangle 239"/>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1B4EAD3" id="Group 238"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">
                <v:rect id="Rectangle 239"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3"/>
      </w:pPr>
      <w:r>
        <w:t>The</w:t>
      </w:r>
      <w:r>
        <w:rPr>
          <w:spacing w:val="-8"/>
        </w:rPr>
        <w:t xml:space="preserve"> </w:t>
      </w:r>
      <w:r>
        <w:t>digitalisation</w:t>
      </w:r>
      <w:r>
        <w:rPr>
          <w:spacing w:val="-6"/>
        </w:rPr>
        <w:t xml:space="preserve"> </w:t>
      </w:r>
      <w:r>
        <w:t>of</w:t>
      </w:r>
      <w:r>
        <w:rPr>
          <w:spacing w:val="-7"/>
        </w:rPr>
        <w:t xml:space="preserve"> </w:t>
      </w:r>
      <w:r>
        <w:t>public</w:t>
      </w:r>
      <w:r>
        <w:rPr>
          <w:spacing w:val="-7"/>
        </w:rPr>
        <w:t xml:space="preserve"> </w:t>
      </w:r>
      <w:r>
        <w:t>administration</w:t>
      </w:r>
      <w:r>
        <w:rPr>
          <w:spacing w:val="-6"/>
        </w:rPr>
        <w:t xml:space="preserve"> </w:t>
      </w:r>
      <w:r>
        <w:t>continues</w:t>
      </w:r>
      <w:r>
        <w:rPr>
          <w:spacing w:val="-6"/>
        </w:rPr>
        <w:t xml:space="preserve"> </w:t>
      </w:r>
      <w:r>
        <w:t>through</w:t>
      </w:r>
      <w:r>
        <w:rPr>
          <w:spacing w:val="-7"/>
        </w:rPr>
        <w:t xml:space="preserve"> </w:t>
      </w:r>
      <w:r>
        <w:t>upgrades</w:t>
      </w:r>
      <w:r>
        <w:rPr>
          <w:spacing w:val="-3"/>
        </w:rPr>
        <w:t xml:space="preserve"> </w:t>
      </w:r>
      <w:r>
        <w:t>to</w:t>
      </w:r>
      <w:r>
        <w:rPr>
          <w:spacing w:val="-6"/>
        </w:rPr>
        <w:t xml:space="preserve"> </w:t>
      </w:r>
      <w:r>
        <w:t>the</w:t>
      </w:r>
      <w:r>
        <w:rPr>
          <w:spacing w:val="-7"/>
        </w:rPr>
        <w:t xml:space="preserve"> </w:t>
      </w:r>
      <w:r>
        <w:t>e-Citizens</w:t>
      </w:r>
      <w:r>
        <w:rPr>
          <w:spacing w:val="-6"/>
        </w:rPr>
        <w:t xml:space="preserve"> </w:t>
      </w:r>
      <w:r>
        <w:t>system</w:t>
      </w:r>
      <w:r>
        <w:rPr>
          <w:spacing w:val="-58"/>
        </w:rPr>
        <w:t xml:space="preserve"> </w:t>
      </w:r>
      <w:r>
        <w:t>and</w:t>
      </w:r>
      <w:r>
        <w:rPr>
          <w:spacing w:val="-1"/>
        </w:rPr>
        <w:t xml:space="preserve"> </w:t>
      </w:r>
      <w:r>
        <w:t>state information infrastructure.</w:t>
      </w:r>
    </w:p>
    <w:p w:rsidR="00A56FE9" w:rsidRDefault="00A56FE9">
      <w:pPr>
        <w:pStyle w:val="Tijeloteksta"/>
        <w:spacing w:before="3"/>
        <w:ind w:left="0"/>
        <w:jc w:val="left"/>
        <w:rPr>
          <w:sz w:val="21"/>
        </w:rPr>
      </w:pPr>
    </w:p>
    <w:p w:rsidR="00A56FE9" w:rsidRDefault="00000000">
      <w:pPr>
        <w:pStyle w:val="Naslov5"/>
      </w:pPr>
      <w:r>
        <w:rPr>
          <w:color w:val="003399"/>
        </w:rPr>
        <w:t>State</w:t>
      </w:r>
      <w:r>
        <w:rPr>
          <w:color w:val="003399"/>
          <w:spacing w:val="-4"/>
        </w:rPr>
        <w:t xml:space="preserve"> </w:t>
      </w:r>
      <w:r>
        <w:rPr>
          <w:color w:val="003399"/>
        </w:rPr>
        <w:t>information</w:t>
      </w:r>
      <w:r>
        <w:rPr>
          <w:color w:val="003399"/>
          <w:spacing w:val="-2"/>
        </w:rPr>
        <w:t xml:space="preserve"> </w:t>
      </w:r>
      <w:r>
        <w:rPr>
          <w:color w:val="003399"/>
        </w:rPr>
        <w:t>infrastructure</w:t>
      </w:r>
    </w:p>
    <w:p w:rsidR="00A56FE9" w:rsidRDefault="00A56FE9">
      <w:pPr>
        <w:pStyle w:val="Tijeloteksta"/>
        <w:spacing w:before="5"/>
        <w:ind w:left="0"/>
        <w:jc w:val="left"/>
        <w:rPr>
          <w:b/>
          <w:sz w:val="20"/>
        </w:rPr>
      </w:pPr>
    </w:p>
    <w:p w:rsidR="00A56FE9" w:rsidRDefault="00000000">
      <w:pPr>
        <w:spacing w:before="1"/>
        <w:ind w:left="138" w:right="274"/>
        <w:jc w:val="both"/>
        <w:rPr>
          <w:i/>
          <w:sz w:val="24"/>
        </w:rPr>
      </w:pPr>
      <w:r>
        <w:rPr>
          <w:i/>
          <w:color w:val="2C398A"/>
          <w:sz w:val="24"/>
        </w:rPr>
        <w:t>2019.CSR1.1. Reinforce the budgetary framework and monitoring of contingent liabilities at</w:t>
      </w:r>
      <w:r>
        <w:rPr>
          <w:i/>
          <w:color w:val="2C398A"/>
          <w:spacing w:val="1"/>
          <w:sz w:val="24"/>
        </w:rPr>
        <w:t xml:space="preserve"> </w:t>
      </w:r>
      <w:r>
        <w:rPr>
          <w:i/>
          <w:color w:val="2C398A"/>
          <w:sz w:val="24"/>
        </w:rPr>
        <w:t>central</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local</w:t>
      </w:r>
      <w:r>
        <w:rPr>
          <w:i/>
          <w:color w:val="2C398A"/>
          <w:spacing w:val="1"/>
          <w:sz w:val="24"/>
        </w:rPr>
        <w:t xml:space="preserve"> </w:t>
      </w:r>
      <w:r>
        <w:rPr>
          <w:i/>
          <w:color w:val="2C398A"/>
          <w:sz w:val="24"/>
        </w:rPr>
        <w:t>level;</w:t>
      </w:r>
      <w:r>
        <w:rPr>
          <w:i/>
          <w:color w:val="2C398A"/>
          <w:spacing w:val="1"/>
          <w:sz w:val="24"/>
        </w:rPr>
        <w:t xml:space="preserve"> </w:t>
      </w:r>
      <w:r>
        <w:rPr>
          <w:i/>
          <w:color w:val="2C398A"/>
          <w:sz w:val="24"/>
        </w:rPr>
        <w:t>2019.CSR1.2.</w:t>
      </w:r>
      <w:r>
        <w:rPr>
          <w:i/>
          <w:color w:val="2C398A"/>
          <w:spacing w:val="1"/>
          <w:sz w:val="24"/>
        </w:rPr>
        <w:t xml:space="preserve"> </w:t>
      </w:r>
      <w:r>
        <w:rPr>
          <w:i/>
          <w:color w:val="2C398A"/>
          <w:sz w:val="24"/>
        </w:rPr>
        <w:t>Reduce the territorial</w:t>
      </w:r>
      <w:r>
        <w:rPr>
          <w:i/>
          <w:color w:val="2C398A"/>
          <w:spacing w:val="1"/>
          <w:sz w:val="24"/>
        </w:rPr>
        <w:t xml:space="preserve"> </w:t>
      </w:r>
      <w:r>
        <w:rPr>
          <w:i/>
          <w:color w:val="2C398A"/>
          <w:sz w:val="24"/>
        </w:rPr>
        <w:t>fragmentation</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the public</w:t>
      </w:r>
      <w:r>
        <w:rPr>
          <w:i/>
          <w:color w:val="2C398A"/>
          <w:spacing w:val="1"/>
          <w:sz w:val="24"/>
        </w:rPr>
        <w:t xml:space="preserve"> </w:t>
      </w:r>
      <w:r>
        <w:rPr>
          <w:i/>
          <w:color w:val="2C398A"/>
          <w:sz w:val="24"/>
        </w:rPr>
        <w:t>administration</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streamline</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functional</w:t>
      </w:r>
      <w:r>
        <w:rPr>
          <w:i/>
          <w:color w:val="2C398A"/>
          <w:spacing w:val="1"/>
          <w:sz w:val="24"/>
        </w:rPr>
        <w:t xml:space="preserve"> </w:t>
      </w:r>
      <w:r>
        <w:rPr>
          <w:i/>
          <w:color w:val="2C398A"/>
          <w:sz w:val="24"/>
        </w:rPr>
        <w:t>distribution</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competencies;</w:t>
      </w:r>
      <w:r>
        <w:rPr>
          <w:i/>
          <w:color w:val="2C398A"/>
          <w:spacing w:val="1"/>
          <w:sz w:val="24"/>
        </w:rPr>
        <w:t xml:space="preserve"> </w:t>
      </w:r>
      <w:r>
        <w:rPr>
          <w:i/>
          <w:color w:val="2C398A"/>
          <w:sz w:val="24"/>
        </w:rPr>
        <w:t>2020.CSR2.2.</w:t>
      </w:r>
      <w:r>
        <w:rPr>
          <w:i/>
          <w:color w:val="2C398A"/>
          <w:spacing w:val="-57"/>
          <w:sz w:val="24"/>
        </w:rPr>
        <w:t xml:space="preserve"> </w:t>
      </w:r>
      <w:r>
        <w:rPr>
          <w:i/>
          <w:color w:val="2C398A"/>
          <w:sz w:val="24"/>
        </w:rPr>
        <w:t>Increase</w:t>
      </w:r>
      <w:r>
        <w:rPr>
          <w:i/>
          <w:color w:val="2C398A"/>
          <w:spacing w:val="-14"/>
          <w:sz w:val="24"/>
        </w:rPr>
        <w:t xml:space="preserve"> </w:t>
      </w:r>
      <w:r>
        <w:rPr>
          <w:i/>
          <w:color w:val="2C398A"/>
          <w:sz w:val="24"/>
        </w:rPr>
        <w:t>access</w:t>
      </w:r>
      <w:r>
        <w:rPr>
          <w:i/>
          <w:color w:val="2C398A"/>
          <w:spacing w:val="-12"/>
          <w:sz w:val="24"/>
        </w:rPr>
        <w:t xml:space="preserve"> </w:t>
      </w:r>
      <w:r>
        <w:rPr>
          <w:i/>
          <w:color w:val="2C398A"/>
          <w:sz w:val="24"/>
        </w:rPr>
        <w:t>to</w:t>
      </w:r>
      <w:r>
        <w:rPr>
          <w:i/>
          <w:color w:val="2C398A"/>
          <w:spacing w:val="-13"/>
          <w:sz w:val="24"/>
        </w:rPr>
        <w:t xml:space="preserve"> </w:t>
      </w:r>
      <w:r>
        <w:rPr>
          <w:i/>
          <w:color w:val="2C398A"/>
          <w:sz w:val="24"/>
        </w:rPr>
        <w:t>digital</w:t>
      </w:r>
      <w:r>
        <w:rPr>
          <w:i/>
          <w:color w:val="2C398A"/>
          <w:spacing w:val="-12"/>
          <w:sz w:val="24"/>
        </w:rPr>
        <w:t xml:space="preserve"> </w:t>
      </w:r>
      <w:r>
        <w:rPr>
          <w:i/>
          <w:color w:val="2C398A"/>
          <w:sz w:val="24"/>
        </w:rPr>
        <w:t>infrastructure</w:t>
      </w:r>
      <w:r>
        <w:rPr>
          <w:i/>
          <w:color w:val="2C398A"/>
          <w:spacing w:val="-14"/>
          <w:sz w:val="24"/>
        </w:rPr>
        <w:t xml:space="preserve"> </w:t>
      </w:r>
      <w:r>
        <w:rPr>
          <w:i/>
          <w:color w:val="2C398A"/>
          <w:sz w:val="24"/>
        </w:rPr>
        <w:t>and</w:t>
      </w:r>
      <w:r>
        <w:rPr>
          <w:i/>
          <w:color w:val="2C398A"/>
          <w:spacing w:val="-12"/>
          <w:sz w:val="24"/>
        </w:rPr>
        <w:t xml:space="preserve"> </w:t>
      </w:r>
      <w:r>
        <w:rPr>
          <w:i/>
          <w:color w:val="2C398A"/>
          <w:sz w:val="24"/>
        </w:rPr>
        <w:t>services;</w:t>
      </w:r>
      <w:r>
        <w:rPr>
          <w:i/>
          <w:color w:val="2C398A"/>
          <w:spacing w:val="-14"/>
          <w:sz w:val="24"/>
        </w:rPr>
        <w:t xml:space="preserve"> </w:t>
      </w:r>
      <w:r>
        <w:rPr>
          <w:i/>
          <w:color w:val="2C398A"/>
          <w:sz w:val="24"/>
        </w:rPr>
        <w:t>2020.CSR4.1.</w:t>
      </w:r>
      <w:r>
        <w:rPr>
          <w:i/>
          <w:color w:val="2C398A"/>
          <w:spacing w:val="-12"/>
          <w:sz w:val="24"/>
        </w:rPr>
        <w:t xml:space="preserve"> </w:t>
      </w:r>
      <w:r>
        <w:rPr>
          <w:i/>
          <w:color w:val="2C398A"/>
          <w:sz w:val="24"/>
        </w:rPr>
        <w:t>Reinforce</w:t>
      </w:r>
      <w:r>
        <w:rPr>
          <w:i/>
          <w:color w:val="2C398A"/>
          <w:spacing w:val="-14"/>
          <w:sz w:val="24"/>
        </w:rPr>
        <w:t xml:space="preserve"> </w:t>
      </w:r>
      <w:r>
        <w:rPr>
          <w:i/>
          <w:color w:val="2C398A"/>
          <w:sz w:val="24"/>
        </w:rPr>
        <w:t>the</w:t>
      </w:r>
      <w:r>
        <w:rPr>
          <w:i/>
          <w:color w:val="2C398A"/>
          <w:spacing w:val="-11"/>
          <w:sz w:val="24"/>
        </w:rPr>
        <w:t xml:space="preserve"> </w:t>
      </w:r>
      <w:r>
        <w:rPr>
          <w:i/>
          <w:color w:val="2C398A"/>
          <w:sz w:val="24"/>
        </w:rPr>
        <w:t>capacity</w:t>
      </w:r>
      <w:r>
        <w:rPr>
          <w:i/>
          <w:color w:val="2C398A"/>
          <w:spacing w:val="-14"/>
          <w:sz w:val="24"/>
        </w:rPr>
        <w:t xml:space="preserve"> </w:t>
      </w:r>
      <w:r>
        <w:rPr>
          <w:i/>
          <w:color w:val="2C398A"/>
          <w:sz w:val="24"/>
        </w:rPr>
        <w:t>and</w:t>
      </w:r>
      <w:r>
        <w:rPr>
          <w:i/>
          <w:color w:val="2C398A"/>
          <w:spacing w:val="-57"/>
          <w:sz w:val="24"/>
        </w:rPr>
        <w:t xml:space="preserve"> </w:t>
      </w:r>
      <w:r>
        <w:rPr>
          <w:i/>
          <w:color w:val="2C398A"/>
          <w:sz w:val="24"/>
        </w:rPr>
        <w:t>efficiency of the public administration to design and implement public projects and policies at</w:t>
      </w:r>
      <w:r>
        <w:rPr>
          <w:i/>
          <w:color w:val="2C398A"/>
          <w:spacing w:val="-57"/>
          <w:sz w:val="24"/>
        </w:rPr>
        <w:t xml:space="preserve"> </w:t>
      </w:r>
      <w:r>
        <w:rPr>
          <w:i/>
          <w:color w:val="2C398A"/>
          <w:sz w:val="24"/>
        </w:rPr>
        <w:t>central</w:t>
      </w:r>
      <w:r>
        <w:rPr>
          <w:i/>
          <w:color w:val="2C398A"/>
          <w:spacing w:val="-1"/>
          <w:sz w:val="24"/>
        </w:rPr>
        <w:t xml:space="preserve"> </w:t>
      </w:r>
      <w:r>
        <w:rPr>
          <w:i/>
          <w:color w:val="2C398A"/>
          <w:sz w:val="24"/>
        </w:rPr>
        <w:t>and local levels</w:t>
      </w:r>
    </w:p>
    <w:p w:rsidR="00A56FE9" w:rsidRDefault="00A56FE9">
      <w:pPr>
        <w:pStyle w:val="Tijeloteksta"/>
        <w:spacing w:before="4"/>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979024706"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44287886" name="Rectangle 237"/>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B02F3C6" id="Group 236"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">
                <v:rect id="Rectangle 237"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" fillcolor="#2c398a" stroked="f"/>
                <w10:anchorlock/>
              </v:group>
            </w:pict>
          </mc:Fallback>
        </mc:AlternateContent>
      </w:r>
    </w:p>
    <w:p w:rsidR="00A56FE9" w:rsidRDefault="00000000">
      <w:pPr>
        <w:pStyle w:val="Tijeloteksta"/>
        <w:spacing w:before="154"/>
        <w:ind w:right="272"/>
      </w:pPr>
      <w:r>
        <w:t>One of the identified problems that negatively affects the level of using public e-services in</w:t>
      </w:r>
      <w:r>
        <w:rPr>
          <w:spacing w:val="1"/>
        </w:rPr>
        <w:t xml:space="preserve"> </w:t>
      </w:r>
      <w:r>
        <w:t>Croatia via the Internet and communication with public authorities using online applications is</w:t>
      </w:r>
      <w:r>
        <w:rPr>
          <w:spacing w:val="-58"/>
        </w:rPr>
        <w:t xml:space="preserve"> </w:t>
      </w:r>
      <w:r>
        <w:t>inadequate</w:t>
      </w:r>
      <w:r>
        <w:rPr>
          <w:spacing w:val="1"/>
        </w:rPr>
        <w:t xml:space="preserve"> </w:t>
      </w:r>
      <w:r>
        <w:t>and</w:t>
      </w:r>
      <w:r>
        <w:rPr>
          <w:spacing w:val="1"/>
        </w:rPr>
        <w:t xml:space="preserve"> </w:t>
      </w:r>
      <w:r>
        <w:t>inefficiently</w:t>
      </w:r>
      <w:r>
        <w:rPr>
          <w:spacing w:val="1"/>
        </w:rPr>
        <w:t xml:space="preserve"> </w:t>
      </w:r>
      <w:r>
        <w:t>managed</w:t>
      </w:r>
      <w:r>
        <w:rPr>
          <w:spacing w:val="1"/>
        </w:rPr>
        <w:t xml:space="preserve"> </w:t>
      </w:r>
      <w:r>
        <w:t>information</w:t>
      </w:r>
      <w:r>
        <w:rPr>
          <w:spacing w:val="1"/>
        </w:rPr>
        <w:t xml:space="preserve"> </w:t>
      </w:r>
      <w:r>
        <w:t>and</w:t>
      </w:r>
      <w:r>
        <w:rPr>
          <w:spacing w:val="1"/>
        </w:rPr>
        <w:t xml:space="preserve"> </w:t>
      </w:r>
      <w:r>
        <w:t>communication</w:t>
      </w:r>
      <w:r>
        <w:rPr>
          <w:spacing w:val="1"/>
        </w:rPr>
        <w:t xml:space="preserve"> </w:t>
      </w:r>
      <w:r>
        <w:t>technology</w:t>
      </w:r>
      <w:r>
        <w:rPr>
          <w:spacing w:val="1"/>
        </w:rPr>
        <w:t xml:space="preserve"> </w:t>
      </w:r>
      <w:r>
        <w:t>(ICT)</w:t>
      </w:r>
      <w:r>
        <w:rPr>
          <w:spacing w:val="1"/>
        </w:rPr>
        <w:t xml:space="preserve"> </w:t>
      </w:r>
      <w:r>
        <w:t>infrastructure within public administration. The aim is to establish common platforms and</w:t>
      </w:r>
      <w:r>
        <w:rPr>
          <w:spacing w:val="1"/>
        </w:rPr>
        <w:t xml:space="preserve"> </w:t>
      </w:r>
      <w:r>
        <w:t>appropriate digital infrastructure services for public administration bodies, facilitating the</w:t>
      </w:r>
      <w:r>
        <w:rPr>
          <w:spacing w:val="1"/>
        </w:rPr>
        <w:t xml:space="preserve"> </w:t>
      </w:r>
      <w:r>
        <w:t>provision</w:t>
      </w:r>
      <w:r>
        <w:rPr>
          <w:spacing w:val="1"/>
        </w:rPr>
        <w:t xml:space="preserve"> </w:t>
      </w:r>
      <w:r>
        <w:t>of</w:t>
      </w:r>
      <w:r>
        <w:rPr>
          <w:spacing w:val="1"/>
        </w:rPr>
        <w:t xml:space="preserve"> </w:t>
      </w:r>
      <w:r>
        <w:t>electronic</w:t>
      </w:r>
      <w:r>
        <w:rPr>
          <w:spacing w:val="1"/>
        </w:rPr>
        <w:t xml:space="preserve"> </w:t>
      </w:r>
      <w:r>
        <w:t>public</w:t>
      </w:r>
      <w:r>
        <w:rPr>
          <w:spacing w:val="1"/>
        </w:rPr>
        <w:t xml:space="preserve"> </w:t>
      </w:r>
      <w:r>
        <w:t>services</w:t>
      </w:r>
      <w:r>
        <w:rPr>
          <w:spacing w:val="1"/>
        </w:rPr>
        <w:t xml:space="preserve"> </w:t>
      </w:r>
      <w:r>
        <w:t>and</w:t>
      </w:r>
      <w:r>
        <w:rPr>
          <w:spacing w:val="1"/>
        </w:rPr>
        <w:t xml:space="preserve"> </w:t>
      </w:r>
      <w:r>
        <w:t>reducing</w:t>
      </w:r>
      <w:r>
        <w:rPr>
          <w:spacing w:val="1"/>
        </w:rPr>
        <w:t xml:space="preserve"> </w:t>
      </w:r>
      <w:r>
        <w:t>burdens</w:t>
      </w:r>
      <w:r>
        <w:rPr>
          <w:spacing w:val="1"/>
        </w:rPr>
        <w:t xml:space="preserve"> </w:t>
      </w:r>
      <w:r>
        <w:t>(of</w:t>
      </w:r>
      <w:r>
        <w:rPr>
          <w:spacing w:val="1"/>
        </w:rPr>
        <w:t xml:space="preserve"> </w:t>
      </w:r>
      <w:r>
        <w:t>regulatory</w:t>
      </w:r>
      <w:r>
        <w:rPr>
          <w:spacing w:val="1"/>
        </w:rPr>
        <w:t xml:space="preserve"> </w:t>
      </w:r>
      <w:r>
        <w:t>costs</w:t>
      </w:r>
      <w:r>
        <w:rPr>
          <w:spacing w:val="1"/>
        </w:rPr>
        <w:t xml:space="preserve"> </w:t>
      </w:r>
      <w:r>
        <w:t>and</w:t>
      </w:r>
      <w:r>
        <w:rPr>
          <w:spacing w:val="1"/>
        </w:rPr>
        <w:t xml:space="preserve"> </w:t>
      </w:r>
      <w:r>
        <w:t>procedures)</w:t>
      </w:r>
      <w:r>
        <w:rPr>
          <w:spacing w:val="1"/>
        </w:rPr>
        <w:t xml:space="preserve"> </w:t>
      </w:r>
      <w:r>
        <w:t>for</w:t>
      </w:r>
      <w:r>
        <w:rPr>
          <w:spacing w:val="1"/>
        </w:rPr>
        <w:t xml:space="preserve"> </w:t>
      </w:r>
      <w:r>
        <w:t>citizens</w:t>
      </w:r>
      <w:r>
        <w:rPr>
          <w:spacing w:val="1"/>
        </w:rPr>
        <w:t xml:space="preserve"> </w:t>
      </w:r>
      <w:r>
        <w:t>and</w:t>
      </w:r>
      <w:r>
        <w:rPr>
          <w:spacing w:val="1"/>
        </w:rPr>
        <w:t xml:space="preserve"> </w:t>
      </w:r>
      <w:r>
        <w:t>businesses.</w:t>
      </w:r>
      <w:r>
        <w:rPr>
          <w:spacing w:val="1"/>
        </w:rPr>
        <w:t xml:space="preserve"> </w:t>
      </w:r>
      <w:r>
        <w:t>According</w:t>
      </w:r>
      <w:r>
        <w:rPr>
          <w:spacing w:val="1"/>
        </w:rPr>
        <w:t xml:space="preserve"> </w:t>
      </w:r>
      <w:r>
        <w:t>to</w:t>
      </w:r>
      <w:r>
        <w:rPr>
          <w:spacing w:val="1"/>
        </w:rPr>
        <w:t xml:space="preserve"> </w:t>
      </w:r>
      <w:r>
        <w:t>the</w:t>
      </w:r>
      <w:r>
        <w:rPr>
          <w:spacing w:val="1"/>
        </w:rPr>
        <w:t xml:space="preserve"> </w:t>
      </w:r>
      <w:r>
        <w:t>Act</w:t>
      </w:r>
      <w:r>
        <w:rPr>
          <w:spacing w:val="1"/>
        </w:rPr>
        <w:t xml:space="preserve"> </w:t>
      </w:r>
      <w:r>
        <w:t>on</w:t>
      </w:r>
      <w:r>
        <w:rPr>
          <w:spacing w:val="1"/>
        </w:rPr>
        <w:t xml:space="preserve"> </w:t>
      </w:r>
      <w:r>
        <w:t>State</w:t>
      </w:r>
      <w:r>
        <w:rPr>
          <w:spacing w:val="1"/>
        </w:rPr>
        <w:t xml:space="preserve"> </w:t>
      </w:r>
      <w:r>
        <w:t>Information</w:t>
      </w:r>
      <w:r>
        <w:rPr>
          <w:spacing w:val="1"/>
        </w:rPr>
        <w:t xml:space="preserve"> </w:t>
      </w:r>
      <w:r>
        <w:t>Infrastructure</w:t>
      </w:r>
      <w:r>
        <w:rPr>
          <w:vertAlign w:val="superscript"/>
        </w:rPr>
        <w:t>27</w:t>
      </w:r>
      <w:r>
        <w:t xml:space="preserve"> and the Regulation on Organisational and Technical Standards for Connecting</w:t>
      </w:r>
      <w:r>
        <w:rPr>
          <w:spacing w:val="-57"/>
        </w:rPr>
        <w:t xml:space="preserve"> </w:t>
      </w:r>
      <w:r>
        <w:t>to the State Information Infrastructure,</w:t>
      </w:r>
      <w:r>
        <w:rPr>
          <w:vertAlign w:val="superscript"/>
        </w:rPr>
        <w:t>28</w:t>
      </w:r>
      <w:r>
        <w:t xml:space="preserve"> work has begun on establishing the Shared Services</w:t>
      </w:r>
      <w:r>
        <w:rPr>
          <w:spacing w:val="1"/>
        </w:rPr>
        <w:t xml:space="preserve"> </w:t>
      </w:r>
      <w:r>
        <w:t>Centre (SSC) (HRK 360.76 million, 85% EFRR). The SSC was rolled out at the end of</w:t>
      </w:r>
      <w:r>
        <w:rPr>
          <w:spacing w:val="1"/>
        </w:rPr>
        <w:t xml:space="preserve"> </w:t>
      </w:r>
      <w:r>
        <w:t>November</w:t>
      </w:r>
      <w:r>
        <w:rPr>
          <w:spacing w:val="-5"/>
        </w:rPr>
        <w:t xml:space="preserve"> </w:t>
      </w:r>
      <w:r>
        <w:t>2019,</w:t>
      </w:r>
      <w:r>
        <w:rPr>
          <w:spacing w:val="-4"/>
        </w:rPr>
        <w:t xml:space="preserve"> </w:t>
      </w:r>
      <w:r>
        <w:t>ensuring</w:t>
      </w:r>
      <w:r>
        <w:rPr>
          <w:spacing w:val="-6"/>
        </w:rPr>
        <w:t xml:space="preserve"> </w:t>
      </w:r>
      <w:r>
        <w:t>conditions</w:t>
      </w:r>
      <w:r>
        <w:rPr>
          <w:spacing w:val="-3"/>
        </w:rPr>
        <w:t xml:space="preserve"> </w:t>
      </w:r>
      <w:r>
        <w:t>for</w:t>
      </w:r>
      <w:r>
        <w:rPr>
          <w:spacing w:val="-4"/>
        </w:rPr>
        <w:t xml:space="preserve"> </w:t>
      </w:r>
      <w:r>
        <w:t>rational</w:t>
      </w:r>
      <w:r>
        <w:rPr>
          <w:spacing w:val="-1"/>
        </w:rPr>
        <w:t xml:space="preserve"> </w:t>
      </w:r>
      <w:r>
        <w:t>and</w:t>
      </w:r>
      <w:r>
        <w:rPr>
          <w:spacing w:val="-4"/>
        </w:rPr>
        <w:t xml:space="preserve"> </w:t>
      </w:r>
      <w:r>
        <w:t>economically</w:t>
      </w:r>
      <w:r>
        <w:rPr>
          <w:spacing w:val="-9"/>
        </w:rPr>
        <w:t xml:space="preserve"> </w:t>
      </w:r>
      <w:r>
        <w:t>feasible</w:t>
      </w:r>
      <w:r>
        <w:rPr>
          <w:spacing w:val="-5"/>
        </w:rPr>
        <w:t xml:space="preserve"> </w:t>
      </w:r>
      <w:r>
        <w:t>development</w:t>
      </w:r>
      <w:r>
        <w:rPr>
          <w:spacing w:val="-2"/>
        </w:rPr>
        <w:t xml:space="preserve"> </w:t>
      </w:r>
      <w:r>
        <w:t>of</w:t>
      </w:r>
      <w:r>
        <w:rPr>
          <w:spacing w:val="-5"/>
        </w:rPr>
        <w:t xml:space="preserve"> </w:t>
      </w:r>
      <w:r>
        <w:t>an</w:t>
      </w:r>
      <w:r>
        <w:rPr>
          <w:spacing w:val="-58"/>
        </w:rPr>
        <w:t xml:space="preserve"> </w:t>
      </w:r>
      <w:r>
        <w:t>interoperable</w:t>
      </w:r>
      <w:r>
        <w:rPr>
          <w:spacing w:val="-2"/>
        </w:rPr>
        <w:t xml:space="preserve"> </w:t>
      </w:r>
      <w:r>
        <w:t>ICT</w:t>
      </w:r>
      <w:r>
        <w:rPr>
          <w:spacing w:val="-1"/>
        </w:rPr>
        <w:t xml:space="preserve"> </w:t>
      </w:r>
      <w:r>
        <w:t>system</w:t>
      </w:r>
      <w:r>
        <w:rPr>
          <w:spacing w:val="-2"/>
        </w:rPr>
        <w:t xml:space="preserve"> </w:t>
      </w:r>
      <w:r>
        <w:t>within</w:t>
      </w:r>
      <w:r>
        <w:rPr>
          <w:spacing w:val="-2"/>
        </w:rPr>
        <w:t xml:space="preserve"> </w:t>
      </w:r>
      <w:r>
        <w:t>the</w:t>
      </w:r>
      <w:r>
        <w:rPr>
          <w:spacing w:val="-3"/>
        </w:rPr>
        <w:t xml:space="preserve"> </w:t>
      </w:r>
      <w:r>
        <w:t>state</w:t>
      </w:r>
      <w:r>
        <w:rPr>
          <w:spacing w:val="-3"/>
        </w:rPr>
        <w:t xml:space="preserve"> </w:t>
      </w:r>
      <w:r>
        <w:t>administration</w:t>
      </w:r>
      <w:r>
        <w:rPr>
          <w:spacing w:val="-2"/>
        </w:rPr>
        <w:t xml:space="preserve"> </w:t>
      </w:r>
      <w:r>
        <w:t>based</w:t>
      </w:r>
      <w:r>
        <w:rPr>
          <w:spacing w:val="-2"/>
        </w:rPr>
        <w:t xml:space="preserve"> </w:t>
      </w:r>
      <w:r>
        <w:t>on</w:t>
      </w:r>
      <w:r>
        <w:rPr>
          <w:spacing w:val="-2"/>
        </w:rPr>
        <w:t xml:space="preserve"> </w:t>
      </w:r>
      <w:r>
        <w:t>the</w:t>
      </w:r>
      <w:r>
        <w:rPr>
          <w:spacing w:val="4"/>
        </w:rPr>
        <w:t xml:space="preserve"> </w:t>
      </w:r>
      <w:r>
        <w:t>“state</w:t>
      </w:r>
      <w:r>
        <w:rPr>
          <w:spacing w:val="-1"/>
        </w:rPr>
        <w:t xml:space="preserve"> </w:t>
      </w:r>
      <w:r>
        <w:t>cloud”</w:t>
      </w:r>
      <w:r>
        <w:rPr>
          <w:spacing w:val="-2"/>
        </w:rPr>
        <w:t xml:space="preserve"> </w:t>
      </w:r>
      <w:r>
        <w:t>paradigm.</w:t>
      </w:r>
    </w:p>
    <w:p w:rsidR="00A56FE9" w:rsidRDefault="00000000">
      <w:pPr>
        <w:pStyle w:val="Tijeloteksta"/>
        <w:spacing w:before="121"/>
        <w:ind w:right="273"/>
      </w:pPr>
      <w:r>
        <w:t>The CDU is a long-term measure within the NRP and implies a strong political commitment,</w:t>
      </w:r>
      <w:r>
        <w:rPr>
          <w:spacing w:val="1"/>
        </w:rPr>
        <w:t xml:space="preserve"> </w:t>
      </w:r>
      <w:r>
        <w:t>which</w:t>
      </w:r>
      <w:r>
        <w:rPr>
          <w:spacing w:val="-6"/>
        </w:rPr>
        <w:t xml:space="preserve"> </w:t>
      </w:r>
      <w:r>
        <w:t>is</w:t>
      </w:r>
      <w:r>
        <w:rPr>
          <w:spacing w:val="-6"/>
        </w:rPr>
        <w:t xml:space="preserve"> </w:t>
      </w:r>
      <w:r>
        <w:t>why</w:t>
      </w:r>
      <w:r>
        <w:rPr>
          <w:spacing w:val="-10"/>
        </w:rPr>
        <w:t xml:space="preserve"> </w:t>
      </w:r>
      <w:r>
        <w:t>the</w:t>
      </w:r>
      <w:r>
        <w:rPr>
          <w:spacing w:val="-7"/>
        </w:rPr>
        <w:t xml:space="preserve"> </w:t>
      </w:r>
      <w:r>
        <w:t>project</w:t>
      </w:r>
      <w:r>
        <w:rPr>
          <w:spacing w:val="-2"/>
        </w:rPr>
        <w:t xml:space="preserve"> </w:t>
      </w:r>
      <w:r>
        <w:t>was</w:t>
      </w:r>
      <w:r>
        <w:rPr>
          <w:spacing w:val="-6"/>
        </w:rPr>
        <w:t xml:space="preserve"> </w:t>
      </w:r>
      <w:r>
        <w:t>declared</w:t>
      </w:r>
      <w:r>
        <w:rPr>
          <w:spacing w:val="-6"/>
        </w:rPr>
        <w:t xml:space="preserve"> </w:t>
      </w:r>
      <w:r>
        <w:t>a</w:t>
      </w:r>
      <w:r>
        <w:rPr>
          <w:spacing w:val="-6"/>
        </w:rPr>
        <w:t xml:space="preserve"> </w:t>
      </w:r>
      <w:r>
        <w:t>strategic</w:t>
      </w:r>
      <w:r>
        <w:rPr>
          <w:spacing w:val="-7"/>
        </w:rPr>
        <w:t xml:space="preserve"> </w:t>
      </w:r>
      <w:r>
        <w:t>project</w:t>
      </w:r>
      <w:r>
        <w:rPr>
          <w:spacing w:val="-6"/>
        </w:rPr>
        <w:t xml:space="preserve"> </w:t>
      </w:r>
      <w:r>
        <w:t>of</w:t>
      </w:r>
      <w:r>
        <w:rPr>
          <w:spacing w:val="-6"/>
        </w:rPr>
        <w:t xml:space="preserve"> </w:t>
      </w:r>
      <w:r>
        <w:t>the</w:t>
      </w:r>
      <w:r>
        <w:rPr>
          <w:spacing w:val="-7"/>
        </w:rPr>
        <w:t xml:space="preserve"> </w:t>
      </w:r>
      <w:r>
        <w:t>Government.</w:t>
      </w:r>
      <w:r>
        <w:rPr>
          <w:spacing w:val="-5"/>
        </w:rPr>
        <w:t xml:space="preserve"> </w:t>
      </w:r>
      <w:r>
        <w:t>The</w:t>
      </w:r>
      <w:r>
        <w:rPr>
          <w:spacing w:val="-7"/>
        </w:rPr>
        <w:t xml:space="preserve"> </w:t>
      </w:r>
      <w:r>
        <w:t>CDU</w:t>
      </w:r>
      <w:r>
        <w:rPr>
          <w:spacing w:val="-6"/>
        </w:rPr>
        <w:t xml:space="preserve"> </w:t>
      </w:r>
      <w:r>
        <w:t>ensures</w:t>
      </w:r>
      <w:r>
        <w:rPr>
          <w:spacing w:val="-58"/>
        </w:rPr>
        <w:t xml:space="preserve"> </w:t>
      </w:r>
      <w:r>
        <w:t>the</w:t>
      </w:r>
      <w:r>
        <w:rPr>
          <w:spacing w:val="1"/>
        </w:rPr>
        <w:t xml:space="preserve"> </w:t>
      </w:r>
      <w:r>
        <w:t>standardisation</w:t>
      </w:r>
      <w:r>
        <w:rPr>
          <w:spacing w:val="1"/>
        </w:rPr>
        <w:t xml:space="preserve"> </w:t>
      </w:r>
      <w:r>
        <w:t>of</w:t>
      </w:r>
      <w:r>
        <w:rPr>
          <w:spacing w:val="1"/>
        </w:rPr>
        <w:t xml:space="preserve"> </w:t>
      </w:r>
      <w:r>
        <w:t>digital</w:t>
      </w:r>
      <w:r>
        <w:rPr>
          <w:spacing w:val="1"/>
        </w:rPr>
        <w:t xml:space="preserve"> </w:t>
      </w:r>
      <w:r>
        <w:t>services,</w:t>
      </w:r>
      <w:r>
        <w:rPr>
          <w:spacing w:val="1"/>
        </w:rPr>
        <w:t xml:space="preserve"> </w:t>
      </w:r>
      <w:r>
        <w:t>better</w:t>
      </w:r>
      <w:r>
        <w:rPr>
          <w:spacing w:val="1"/>
        </w:rPr>
        <w:t xml:space="preserve"> </w:t>
      </w:r>
      <w:r>
        <w:t>connection</w:t>
      </w:r>
      <w:r>
        <w:rPr>
          <w:spacing w:val="1"/>
        </w:rPr>
        <w:t xml:space="preserve"> </w:t>
      </w:r>
      <w:r>
        <w:t>of</w:t>
      </w:r>
      <w:r>
        <w:rPr>
          <w:spacing w:val="1"/>
        </w:rPr>
        <w:t xml:space="preserve"> </w:t>
      </w:r>
      <w:r>
        <w:t>databases</w:t>
      </w:r>
      <w:r>
        <w:rPr>
          <w:spacing w:val="1"/>
        </w:rPr>
        <w:t xml:space="preserve"> </w:t>
      </w:r>
      <w:r>
        <w:t>across</w:t>
      </w:r>
      <w:r>
        <w:rPr>
          <w:spacing w:val="1"/>
        </w:rPr>
        <w:t xml:space="preserve"> </w:t>
      </w:r>
      <w:r>
        <w:t>all</w:t>
      </w:r>
      <w:r>
        <w:rPr>
          <w:spacing w:val="1"/>
        </w:rPr>
        <w:t xml:space="preserve"> </w:t>
      </w:r>
      <w:r>
        <w:t>state</w:t>
      </w:r>
      <w:r>
        <w:rPr>
          <w:spacing w:val="1"/>
        </w:rPr>
        <w:t xml:space="preserve"> </w:t>
      </w:r>
      <w:r>
        <w:t>administration bodies, cost-effectiveness of the entire ICT system, data storage security and</w:t>
      </w:r>
      <w:r>
        <w:rPr>
          <w:spacing w:val="1"/>
        </w:rPr>
        <w:t xml:space="preserve"> </w:t>
      </w:r>
      <w:r>
        <w:t>centralized data management. This project will enable all public sector bodies to reliably</w:t>
      </w:r>
      <w:r>
        <w:rPr>
          <w:spacing w:val="1"/>
        </w:rPr>
        <w:t xml:space="preserve"> </w:t>
      </w:r>
      <w:r>
        <w:t>exchange</w:t>
      </w:r>
      <w:r>
        <w:rPr>
          <w:spacing w:val="-12"/>
        </w:rPr>
        <w:t xml:space="preserve"> </w:t>
      </w:r>
      <w:r>
        <w:t>information</w:t>
      </w:r>
      <w:r>
        <w:rPr>
          <w:spacing w:val="-11"/>
        </w:rPr>
        <w:t xml:space="preserve"> </w:t>
      </w:r>
      <w:r>
        <w:t>and</w:t>
      </w:r>
      <w:r>
        <w:rPr>
          <w:spacing w:val="-11"/>
        </w:rPr>
        <w:t xml:space="preserve"> </w:t>
      </w:r>
      <w:r>
        <w:t>documentation</w:t>
      </w:r>
      <w:r>
        <w:rPr>
          <w:spacing w:val="-10"/>
        </w:rPr>
        <w:t xml:space="preserve"> </w:t>
      </w:r>
      <w:r>
        <w:t>based</w:t>
      </w:r>
      <w:r>
        <w:rPr>
          <w:spacing w:val="-11"/>
        </w:rPr>
        <w:t xml:space="preserve"> </w:t>
      </w:r>
      <w:r>
        <w:t>on</w:t>
      </w:r>
      <w:r>
        <w:rPr>
          <w:spacing w:val="-10"/>
        </w:rPr>
        <w:t xml:space="preserve"> </w:t>
      </w:r>
      <w:r>
        <w:t>the</w:t>
      </w:r>
      <w:r>
        <w:rPr>
          <w:spacing w:val="-12"/>
        </w:rPr>
        <w:t xml:space="preserve"> </w:t>
      </w:r>
      <w:r>
        <w:t>cloud</w:t>
      </w:r>
      <w:r>
        <w:rPr>
          <w:spacing w:val="-11"/>
        </w:rPr>
        <w:t xml:space="preserve"> </w:t>
      </w:r>
      <w:r>
        <w:t>paradigm</w:t>
      </w:r>
      <w:r>
        <w:rPr>
          <w:spacing w:val="-8"/>
        </w:rPr>
        <w:t xml:space="preserve"> </w:t>
      </w:r>
      <w:r>
        <w:t>(Cloud)</w:t>
      </w:r>
      <w:r>
        <w:rPr>
          <w:spacing w:val="-10"/>
        </w:rPr>
        <w:t xml:space="preserve"> </w:t>
      </w:r>
      <w:r>
        <w:t>to</w:t>
      </w:r>
      <w:r>
        <w:rPr>
          <w:spacing w:val="-10"/>
        </w:rPr>
        <w:t xml:space="preserve"> </w:t>
      </w:r>
      <w:r>
        <w:t>integrate</w:t>
      </w:r>
      <w:r>
        <w:rPr>
          <w:spacing w:val="-11"/>
        </w:rPr>
        <w:t xml:space="preserve"> </w:t>
      </w:r>
      <w:r>
        <w:t>300</w:t>
      </w:r>
      <w:r>
        <w:rPr>
          <w:spacing w:val="-58"/>
        </w:rPr>
        <w:t xml:space="preserve"> </w:t>
      </w:r>
      <w:r>
        <w:t>institutions by 2023. In this regard, preparations have begun for the migration and inclusion of</w:t>
      </w:r>
      <w:r>
        <w:rPr>
          <w:spacing w:val="-57"/>
        </w:rPr>
        <w:t xml:space="preserve"> </w:t>
      </w:r>
      <w:r>
        <w:t>the first users in the CDU. In 2019, the project entailed a public procurement procedure for 15</w:t>
      </w:r>
      <w:r>
        <w:rPr>
          <w:spacing w:val="-57"/>
        </w:rPr>
        <w:t xml:space="preserve"> </w:t>
      </w:r>
      <w:r>
        <w:t>procurement groups and 13 contracts were concluded (HRK 106.36 million). In 2022, the</w:t>
      </w:r>
      <w:r>
        <w:rPr>
          <w:spacing w:val="1"/>
        </w:rPr>
        <w:t xml:space="preserve"> </w:t>
      </w:r>
      <w:r>
        <w:t>number</w:t>
      </w:r>
      <w:r>
        <w:rPr>
          <w:spacing w:val="-3"/>
        </w:rPr>
        <w:t xml:space="preserve"> </w:t>
      </w:r>
      <w:r>
        <w:t>of public</w:t>
      </w:r>
      <w:r>
        <w:rPr>
          <w:spacing w:val="-1"/>
        </w:rPr>
        <w:t xml:space="preserve"> </w:t>
      </w:r>
      <w:r>
        <w:t>sector</w:t>
      </w:r>
      <w:r>
        <w:rPr>
          <w:spacing w:val="1"/>
        </w:rPr>
        <w:t xml:space="preserve"> </w:t>
      </w:r>
      <w:r>
        <w:t>bodies in the</w:t>
      </w:r>
      <w:r>
        <w:rPr>
          <w:spacing w:val="-1"/>
        </w:rPr>
        <w:t xml:space="preserve"> </w:t>
      </w:r>
      <w:r>
        <w:t>CDU</w:t>
      </w:r>
      <w:r>
        <w:rPr>
          <w:spacing w:val="1"/>
        </w:rPr>
        <w:t xml:space="preserve"> </w:t>
      </w:r>
      <w:r>
        <w:t>will be</w:t>
      </w:r>
      <w:r>
        <w:rPr>
          <w:spacing w:val="-1"/>
        </w:rPr>
        <w:t xml:space="preserve"> </w:t>
      </w:r>
      <w:r>
        <w:t>increased.</w:t>
      </w:r>
    </w:p>
    <w:p w:rsidR="00A56FE9" w:rsidRDefault="00A56FE9">
      <w:pPr>
        <w:pStyle w:val="Tijeloteksta"/>
        <w:spacing w:before="4"/>
        <w:ind w:left="0"/>
        <w:jc w:val="left"/>
        <w:rPr>
          <w:sz w:val="21"/>
        </w:rPr>
      </w:pPr>
    </w:p>
    <w:p w:rsidR="00A56FE9" w:rsidRDefault="00000000">
      <w:pPr>
        <w:pStyle w:val="Naslov5"/>
        <w:spacing w:after="23"/>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6862049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083339614" name="Rectangle 235"/>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74C8C4C" id="Group 234"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">
                <v:rect id="Rectangle 235"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" fillcolor="#2c398a" stroked="f"/>
                <w10:anchorlock/>
              </v:group>
            </w:pict>
          </mc:Fallback>
        </mc:AlternateContent>
      </w:r>
    </w:p>
    <w:p w:rsidR="00A56FE9" w:rsidRDefault="00000000">
      <w:pPr>
        <w:pStyle w:val="Tijeloteksta"/>
        <w:spacing w:before="152"/>
        <w:ind w:right="273"/>
      </w:pPr>
      <w:r>
        <w:t>The development and introduction of new technologies requires having the most modern</w:t>
      </w:r>
      <w:r>
        <w:rPr>
          <w:spacing w:val="1"/>
        </w:rPr>
        <w:t xml:space="preserve"> </w:t>
      </w:r>
      <w:r>
        <w:t>development environment for the development of future applications in state administration</w:t>
      </w:r>
      <w:r>
        <w:rPr>
          <w:spacing w:val="1"/>
        </w:rPr>
        <w:t xml:space="preserve"> </w:t>
      </w:r>
      <w:r>
        <w:t>bodies. The Shared Services Centre (SSC) platform also needs to be adapted to DevOps</w:t>
      </w:r>
      <w:r>
        <w:rPr>
          <w:spacing w:val="1"/>
        </w:rPr>
        <w:t xml:space="preserve"> </w:t>
      </w:r>
      <w:r>
        <w:t>methodologies to more effectively implement new services and upgrade existing services. The</w:t>
      </w:r>
      <w:r>
        <w:rPr>
          <w:spacing w:val="-57"/>
        </w:rPr>
        <w:t xml:space="preserve"> </w:t>
      </w:r>
      <w:r>
        <w:t>objective</w:t>
      </w:r>
      <w:r>
        <w:rPr>
          <w:spacing w:val="-13"/>
        </w:rPr>
        <w:t xml:space="preserve"> </w:t>
      </w:r>
      <w:r>
        <w:t>of</w:t>
      </w:r>
      <w:r>
        <w:rPr>
          <w:spacing w:val="-11"/>
        </w:rPr>
        <w:t xml:space="preserve"> </w:t>
      </w:r>
      <w:r>
        <w:t>the</w:t>
      </w:r>
      <w:r>
        <w:rPr>
          <w:spacing w:val="-12"/>
        </w:rPr>
        <w:t xml:space="preserve"> </w:t>
      </w:r>
      <w:r>
        <w:t>NRRP</w:t>
      </w:r>
      <w:r>
        <w:rPr>
          <w:spacing w:val="-10"/>
        </w:rPr>
        <w:t xml:space="preserve"> </w:t>
      </w:r>
      <w:r>
        <w:t>investment</w:t>
      </w:r>
      <w:r>
        <w:rPr>
          <w:spacing w:val="-10"/>
        </w:rPr>
        <w:t xml:space="preserve"> </w:t>
      </w:r>
      <w:r>
        <w:rPr>
          <w:b/>
        </w:rPr>
        <w:t>C2.3.</w:t>
      </w:r>
      <w:r>
        <w:rPr>
          <w:b/>
          <w:spacing w:val="-12"/>
        </w:rPr>
        <w:t xml:space="preserve"> </w:t>
      </w:r>
      <w:r>
        <w:rPr>
          <w:b/>
        </w:rPr>
        <w:t>R3-I1</w:t>
      </w:r>
      <w:r>
        <w:rPr>
          <w:b/>
          <w:spacing w:val="-11"/>
        </w:rPr>
        <w:t xml:space="preserve"> </w:t>
      </w:r>
      <w:r>
        <w:rPr>
          <w:b/>
        </w:rPr>
        <w:t>Upgrading</w:t>
      </w:r>
      <w:r>
        <w:rPr>
          <w:b/>
          <w:spacing w:val="-12"/>
        </w:rPr>
        <w:t xml:space="preserve"> </w:t>
      </w:r>
      <w:r>
        <w:rPr>
          <w:b/>
        </w:rPr>
        <w:t>the</w:t>
      </w:r>
      <w:r>
        <w:rPr>
          <w:b/>
          <w:spacing w:val="-12"/>
        </w:rPr>
        <w:t xml:space="preserve"> </w:t>
      </w:r>
      <w:r>
        <w:rPr>
          <w:b/>
        </w:rPr>
        <w:t>Shared</w:t>
      </w:r>
      <w:r>
        <w:rPr>
          <w:b/>
          <w:spacing w:val="-10"/>
        </w:rPr>
        <w:t xml:space="preserve"> </w:t>
      </w:r>
      <w:r>
        <w:rPr>
          <w:b/>
        </w:rPr>
        <w:t>Services</w:t>
      </w:r>
      <w:r>
        <w:rPr>
          <w:b/>
          <w:spacing w:val="-11"/>
        </w:rPr>
        <w:t xml:space="preserve"> </w:t>
      </w:r>
      <w:r>
        <w:rPr>
          <w:b/>
        </w:rPr>
        <w:t>Center</w:t>
      </w:r>
      <w:r>
        <w:rPr>
          <w:b/>
          <w:spacing w:val="-9"/>
        </w:rPr>
        <w:t xml:space="preserve"> </w:t>
      </w:r>
      <w:r>
        <w:t>(HRK</w:t>
      </w:r>
    </w:p>
    <w:p w:rsidR="00A56FE9" w:rsidRDefault="00000000">
      <w:pPr>
        <w:pStyle w:val="Tijeloteksta"/>
        <w:ind w:right="272"/>
      </w:pPr>
      <w:r>
        <w:t>259.95</w:t>
      </w:r>
      <w:r>
        <w:rPr>
          <w:spacing w:val="-2"/>
        </w:rPr>
        <w:t xml:space="preserve"> </w:t>
      </w:r>
      <w:r>
        <w:t>million)</w:t>
      </w:r>
      <w:r>
        <w:rPr>
          <w:spacing w:val="-1"/>
        </w:rPr>
        <w:t xml:space="preserve"> </w:t>
      </w:r>
      <w:r>
        <w:t>is</w:t>
      </w:r>
      <w:r>
        <w:rPr>
          <w:spacing w:val="-3"/>
        </w:rPr>
        <w:t xml:space="preserve"> </w:t>
      </w:r>
      <w:r>
        <w:t>to</w:t>
      </w:r>
      <w:r>
        <w:rPr>
          <w:spacing w:val="-2"/>
        </w:rPr>
        <w:t xml:space="preserve"> </w:t>
      </w:r>
      <w:r>
        <w:t>expand</w:t>
      </w:r>
      <w:r>
        <w:rPr>
          <w:spacing w:val="-1"/>
        </w:rPr>
        <w:t xml:space="preserve"> </w:t>
      </w:r>
      <w:r>
        <w:t>capacity,</w:t>
      </w:r>
      <w:r>
        <w:rPr>
          <w:spacing w:val="-1"/>
        </w:rPr>
        <w:t xml:space="preserve"> </w:t>
      </w:r>
      <w:r>
        <w:t>further</w:t>
      </w:r>
      <w:r>
        <w:rPr>
          <w:spacing w:val="-2"/>
        </w:rPr>
        <w:t xml:space="preserve"> </w:t>
      </w:r>
      <w:r>
        <w:t>upgrade</w:t>
      </w:r>
      <w:r>
        <w:rPr>
          <w:spacing w:val="-2"/>
        </w:rPr>
        <w:t xml:space="preserve"> </w:t>
      </w:r>
      <w:r>
        <w:t>the</w:t>
      </w:r>
      <w:r>
        <w:rPr>
          <w:spacing w:val="-1"/>
        </w:rPr>
        <w:t xml:space="preserve"> </w:t>
      </w:r>
      <w:r>
        <w:t>existing</w:t>
      </w:r>
      <w:r>
        <w:rPr>
          <w:spacing w:val="-3"/>
        </w:rPr>
        <w:t xml:space="preserve"> </w:t>
      </w:r>
      <w:r>
        <w:t>national</w:t>
      </w:r>
      <w:r>
        <w:rPr>
          <w:spacing w:val="-2"/>
        </w:rPr>
        <w:t xml:space="preserve"> </w:t>
      </w:r>
      <w:r>
        <w:t>cloud</w:t>
      </w:r>
      <w:r>
        <w:rPr>
          <w:spacing w:val="-1"/>
        </w:rPr>
        <w:t xml:space="preserve"> </w:t>
      </w:r>
      <w:r>
        <w:t>and</w:t>
      </w:r>
      <w:r>
        <w:rPr>
          <w:spacing w:val="-1"/>
        </w:rPr>
        <w:t xml:space="preserve"> </w:t>
      </w:r>
      <w:r>
        <w:t>establish</w:t>
      </w:r>
      <w:r>
        <w:rPr>
          <w:spacing w:val="-58"/>
        </w:rPr>
        <w:t xml:space="preserve"> </w:t>
      </w:r>
      <w:r>
        <w:t>new</w:t>
      </w:r>
      <w:r>
        <w:rPr>
          <w:spacing w:val="1"/>
        </w:rPr>
        <w:t xml:space="preserve"> </w:t>
      </w:r>
      <w:r>
        <w:t>functionalities.</w:t>
      </w:r>
      <w:r>
        <w:rPr>
          <w:spacing w:val="1"/>
        </w:rPr>
        <w:t xml:space="preserve"> </w:t>
      </w:r>
      <w:r>
        <w:t>The</w:t>
      </w:r>
      <w:r>
        <w:rPr>
          <w:spacing w:val="1"/>
        </w:rPr>
        <w:t xml:space="preserve"> </w:t>
      </w:r>
      <w:r>
        <w:t>most</w:t>
      </w:r>
      <w:r>
        <w:rPr>
          <w:spacing w:val="1"/>
        </w:rPr>
        <w:t xml:space="preserve"> </w:t>
      </w:r>
      <w:r>
        <w:t>modern</w:t>
      </w:r>
      <w:r>
        <w:rPr>
          <w:spacing w:val="1"/>
        </w:rPr>
        <w:t xml:space="preserve"> </w:t>
      </w:r>
      <w:r>
        <w:t>development</w:t>
      </w:r>
      <w:r>
        <w:rPr>
          <w:spacing w:val="1"/>
        </w:rPr>
        <w:t xml:space="preserve"> </w:t>
      </w:r>
      <w:r>
        <w:t>environment</w:t>
      </w:r>
      <w:r>
        <w:rPr>
          <w:spacing w:val="1"/>
        </w:rPr>
        <w:t xml:space="preserve"> </w:t>
      </w:r>
      <w:r>
        <w:t>and</w:t>
      </w:r>
      <w:r>
        <w:rPr>
          <w:spacing w:val="1"/>
        </w:rPr>
        <w:t xml:space="preserve"> </w:t>
      </w:r>
      <w:r>
        <w:t>all</w:t>
      </w:r>
      <w:r>
        <w:rPr>
          <w:spacing w:val="1"/>
        </w:rPr>
        <w:t xml:space="preserve"> </w:t>
      </w:r>
      <w:r>
        <w:t>the</w:t>
      </w:r>
      <w:r>
        <w:rPr>
          <w:spacing w:val="1"/>
        </w:rPr>
        <w:t xml:space="preserve"> </w:t>
      </w:r>
      <w:r>
        <w:t>necessary</w:t>
      </w:r>
      <w:r>
        <w:rPr>
          <w:spacing w:val="1"/>
        </w:rPr>
        <w:t xml:space="preserve"> </w:t>
      </w:r>
      <w:r>
        <w:t>resources</w:t>
      </w:r>
      <w:r>
        <w:rPr>
          <w:spacing w:val="87"/>
        </w:rPr>
        <w:t xml:space="preserve"> </w:t>
      </w:r>
      <w:r>
        <w:t>for</w:t>
      </w:r>
      <w:r>
        <w:rPr>
          <w:spacing w:val="86"/>
        </w:rPr>
        <w:t xml:space="preserve"> </w:t>
      </w:r>
      <w:r>
        <w:t>development</w:t>
      </w:r>
      <w:r>
        <w:rPr>
          <w:spacing w:val="88"/>
        </w:rPr>
        <w:t xml:space="preserve"> </w:t>
      </w:r>
      <w:r>
        <w:t>teams</w:t>
      </w:r>
      <w:r>
        <w:rPr>
          <w:spacing w:val="90"/>
        </w:rPr>
        <w:t xml:space="preserve"> </w:t>
      </w:r>
      <w:r>
        <w:t>regarding</w:t>
      </w:r>
      <w:r>
        <w:rPr>
          <w:spacing w:val="86"/>
        </w:rPr>
        <w:t xml:space="preserve"> </w:t>
      </w:r>
      <w:r>
        <w:t>all</w:t>
      </w:r>
      <w:r>
        <w:rPr>
          <w:spacing w:val="88"/>
        </w:rPr>
        <w:t xml:space="preserve"> </w:t>
      </w:r>
      <w:r>
        <w:t>future</w:t>
      </w:r>
      <w:r>
        <w:rPr>
          <w:spacing w:val="86"/>
        </w:rPr>
        <w:t xml:space="preserve"> </w:t>
      </w:r>
      <w:r>
        <w:t>applications</w:t>
      </w:r>
      <w:r>
        <w:rPr>
          <w:spacing w:val="87"/>
        </w:rPr>
        <w:t xml:space="preserve"> </w:t>
      </w:r>
      <w:r>
        <w:t>developed</w:t>
      </w:r>
      <w:r>
        <w:rPr>
          <w:spacing w:val="87"/>
        </w:rPr>
        <w:t xml:space="preserve"> </w:t>
      </w:r>
      <w:r>
        <w:t>for</w:t>
      </w:r>
      <w:r>
        <w:rPr>
          <w:spacing w:val="86"/>
        </w:rPr>
        <w:t xml:space="preserve"> </w:t>
      </w:r>
      <w:r>
        <w:t>state</w:t>
      </w:r>
    </w:p>
    <w:p w:rsidR="00A56FE9" w:rsidRDefault="00CC1B9B">
      <w:pPr>
        <w:pStyle w:val="Tijeloteksta"/>
        <w:spacing w:before="5"/>
        <w:ind w:left="0"/>
        <w:jc w:val="left"/>
        <w:rPr>
          <w:sz w:val="18"/>
        </w:rPr>
      </w:pPr>
      <w:r>
        <w:rPr>
          <w:noProof/>
        </w:rPr>
        <mc:AlternateContent>
          <mc:Choice Requires="wps">
            <w:drawing>
              <wp:anchor distT="0" distB="0" distL="0" distR="0" simplePos="0" relativeHeight="487624192" behindDoc="1" locked="0" layoutInCell="1" allowOverlap="1">
                <wp:simplePos x="0" y="0"/>
                <wp:positionH relativeFrom="page">
                  <wp:posOffset>901065</wp:posOffset>
                </wp:positionH>
                <wp:positionV relativeFrom="paragraph">
                  <wp:posOffset>159385</wp:posOffset>
                </wp:positionV>
                <wp:extent cx="1828800" cy="7620"/>
                <wp:effectExtent l="0" t="0" r="0" b="0"/>
                <wp:wrapTopAndBottom/>
                <wp:docPr id="375590277"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497F5" id="Rectangle 233" o:spid="_x0000_s1026" style="position:absolute;margin-left:70.95pt;margin-top:12.55pt;width:2in;height:.6pt;z-index:-1569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" fillcolor="black" stroked="f">
                <w10:wrap type="topAndBottom" anchorx="page"/>
              </v:rect>
            </w:pict>
          </mc:Fallback>
        </mc:AlternateContent>
      </w:r>
    </w:p>
    <w:p w:rsidR="00A56FE9" w:rsidRDefault="00000000">
      <w:pPr>
        <w:spacing w:before="73"/>
        <w:ind w:left="138"/>
        <w:rPr>
          <w:sz w:val="16"/>
        </w:rPr>
      </w:pPr>
      <w:r>
        <w:rPr>
          <w:sz w:val="16"/>
          <w:vertAlign w:val="superscript"/>
        </w:rPr>
        <w:t>27</w:t>
      </w:r>
      <w:r>
        <w:rPr>
          <w:spacing w:val="-1"/>
          <w:sz w:val="16"/>
        </w:rPr>
        <w:t xml:space="preserve"> </w:t>
      </w:r>
      <w:r>
        <w:rPr>
          <w:sz w:val="16"/>
        </w:rPr>
        <w:t>OG</w:t>
      </w:r>
      <w:r>
        <w:rPr>
          <w:spacing w:val="-3"/>
          <w:sz w:val="16"/>
        </w:rPr>
        <w:t xml:space="preserve"> </w:t>
      </w:r>
      <w:r>
        <w:rPr>
          <w:sz w:val="16"/>
        </w:rPr>
        <w:t>92/14</w:t>
      </w:r>
    </w:p>
    <w:p w:rsidR="00A56FE9" w:rsidRDefault="00000000">
      <w:pPr>
        <w:spacing w:before="1"/>
        <w:ind w:left="138"/>
        <w:rPr>
          <w:sz w:val="16"/>
        </w:rPr>
      </w:pPr>
      <w:r>
        <w:rPr>
          <w:sz w:val="16"/>
          <w:vertAlign w:val="superscript"/>
        </w:rPr>
        <w:t>28</w:t>
      </w:r>
      <w:r>
        <w:rPr>
          <w:spacing w:val="-1"/>
          <w:sz w:val="16"/>
        </w:rPr>
        <w:t xml:space="preserve"> </w:t>
      </w:r>
      <w:r>
        <w:rPr>
          <w:sz w:val="16"/>
        </w:rPr>
        <w:t>OG</w:t>
      </w:r>
      <w:r>
        <w:rPr>
          <w:spacing w:val="-3"/>
          <w:sz w:val="16"/>
        </w:rPr>
        <w:t xml:space="preserve"> </w:t>
      </w:r>
      <w:r>
        <w:rPr>
          <w:sz w:val="16"/>
        </w:rPr>
        <w:t>60/17</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ind w:right="272"/>
      </w:pPr>
      <w:r>
        <w:t>administration bodies will be implemented. The establishment of new functionalities/services</w:t>
      </w:r>
      <w:r>
        <w:rPr>
          <w:spacing w:val="1"/>
        </w:rPr>
        <w:t xml:space="preserve"> </w:t>
      </w:r>
      <w:r>
        <w:t>in</w:t>
      </w:r>
      <w:r>
        <w:rPr>
          <w:spacing w:val="1"/>
        </w:rPr>
        <w:t xml:space="preserve"> </w:t>
      </w:r>
      <w:r>
        <w:t>the</w:t>
      </w:r>
      <w:r>
        <w:rPr>
          <w:spacing w:val="1"/>
        </w:rPr>
        <w:t xml:space="preserve"> </w:t>
      </w:r>
      <w:r>
        <w:t>period</w:t>
      </w:r>
      <w:r>
        <w:rPr>
          <w:spacing w:val="1"/>
        </w:rPr>
        <w:t xml:space="preserve"> </w:t>
      </w:r>
      <w:r>
        <w:t>from</w:t>
      </w:r>
      <w:r>
        <w:rPr>
          <w:spacing w:val="1"/>
        </w:rPr>
        <w:t xml:space="preserve"> </w:t>
      </w:r>
      <w:r>
        <w:t>2021</w:t>
      </w:r>
      <w:r>
        <w:rPr>
          <w:spacing w:val="1"/>
        </w:rPr>
        <w:t xml:space="preserve"> </w:t>
      </w:r>
      <w:r>
        <w:t>to</w:t>
      </w:r>
      <w:r>
        <w:rPr>
          <w:spacing w:val="1"/>
        </w:rPr>
        <w:t xml:space="preserve"> </w:t>
      </w:r>
      <w:r>
        <w:t>2023</w:t>
      </w:r>
      <w:r>
        <w:rPr>
          <w:spacing w:val="1"/>
        </w:rPr>
        <w:t xml:space="preserve"> </w:t>
      </w:r>
      <w:r>
        <w:t>includes</w:t>
      </w:r>
      <w:r>
        <w:rPr>
          <w:spacing w:val="1"/>
        </w:rPr>
        <w:t xml:space="preserve"> </w:t>
      </w:r>
      <w:r>
        <w:t>the</w:t>
      </w:r>
      <w:r>
        <w:rPr>
          <w:spacing w:val="1"/>
        </w:rPr>
        <w:t xml:space="preserve"> </w:t>
      </w:r>
      <w:r>
        <w:t>establishment</w:t>
      </w:r>
      <w:r>
        <w:rPr>
          <w:spacing w:val="1"/>
        </w:rPr>
        <w:t xml:space="preserve"> </w:t>
      </w:r>
      <w:r>
        <w:t>of</w:t>
      </w:r>
      <w:r>
        <w:rPr>
          <w:spacing w:val="1"/>
        </w:rPr>
        <w:t xml:space="preserve"> </w:t>
      </w:r>
      <w:r>
        <w:t>the</w:t>
      </w:r>
      <w:r>
        <w:rPr>
          <w:spacing w:val="1"/>
        </w:rPr>
        <w:t xml:space="preserve"> </w:t>
      </w:r>
      <w:r>
        <w:t>following</w:t>
      </w:r>
      <w:r>
        <w:rPr>
          <w:spacing w:val="1"/>
        </w:rPr>
        <w:t xml:space="preserve"> </w:t>
      </w:r>
      <w:r>
        <w:t>functionalities/services:</w:t>
      </w:r>
      <w:r>
        <w:rPr>
          <w:spacing w:val="1"/>
        </w:rPr>
        <w:t xml:space="preserve"> </w:t>
      </w:r>
      <w:r>
        <w:t>a)</w:t>
      </w:r>
      <w:r>
        <w:rPr>
          <w:spacing w:val="1"/>
        </w:rPr>
        <w:t xml:space="preserve"> </w:t>
      </w:r>
      <w:r>
        <w:t>Platform</w:t>
      </w:r>
      <w:r>
        <w:rPr>
          <w:spacing w:val="1"/>
        </w:rPr>
        <w:t xml:space="preserve"> </w:t>
      </w:r>
      <w:r>
        <w:t>for</w:t>
      </w:r>
      <w:r>
        <w:rPr>
          <w:spacing w:val="1"/>
        </w:rPr>
        <w:t xml:space="preserve"> </w:t>
      </w:r>
      <w:r>
        <w:t>establishing</w:t>
      </w:r>
      <w:r>
        <w:rPr>
          <w:spacing w:val="1"/>
        </w:rPr>
        <w:t xml:space="preserve"> </w:t>
      </w:r>
      <w:r>
        <w:t>a</w:t>
      </w:r>
      <w:r>
        <w:rPr>
          <w:spacing w:val="1"/>
        </w:rPr>
        <w:t xml:space="preserve"> </w:t>
      </w:r>
      <w:r>
        <w:t>development</w:t>
      </w:r>
      <w:r>
        <w:rPr>
          <w:spacing w:val="1"/>
        </w:rPr>
        <w:t xml:space="preserve"> </w:t>
      </w:r>
      <w:r>
        <w:t>and</w:t>
      </w:r>
      <w:r>
        <w:rPr>
          <w:spacing w:val="1"/>
        </w:rPr>
        <w:t xml:space="preserve"> </w:t>
      </w:r>
      <w:r>
        <w:t>implementation</w:t>
      </w:r>
      <w:r>
        <w:rPr>
          <w:spacing w:val="1"/>
        </w:rPr>
        <w:t xml:space="preserve"> </w:t>
      </w:r>
      <w:r>
        <w:t>environment in SSC for development, implementation and testing of applications intended for</w:t>
      </w:r>
      <w:r>
        <w:rPr>
          <w:spacing w:val="-57"/>
        </w:rPr>
        <w:t xml:space="preserve"> </w:t>
      </w:r>
      <w:r>
        <w:t>SAB,</w:t>
      </w:r>
      <w:r>
        <w:rPr>
          <w:spacing w:val="-11"/>
        </w:rPr>
        <w:t xml:space="preserve"> </w:t>
      </w:r>
      <w:r>
        <w:t>PA</w:t>
      </w:r>
      <w:r>
        <w:rPr>
          <w:spacing w:val="-11"/>
        </w:rPr>
        <w:t xml:space="preserve"> </w:t>
      </w:r>
      <w:r>
        <w:t>and</w:t>
      </w:r>
      <w:r>
        <w:rPr>
          <w:spacing w:val="-6"/>
        </w:rPr>
        <w:t xml:space="preserve"> </w:t>
      </w:r>
      <w:r>
        <w:t>LSG;</w:t>
      </w:r>
      <w:r>
        <w:rPr>
          <w:spacing w:val="-11"/>
        </w:rPr>
        <w:t xml:space="preserve"> </w:t>
      </w:r>
      <w:r>
        <w:t>b)</w:t>
      </w:r>
      <w:r>
        <w:rPr>
          <w:spacing w:val="-12"/>
        </w:rPr>
        <w:t xml:space="preserve"> </w:t>
      </w:r>
      <w:r>
        <w:t>Platform</w:t>
      </w:r>
      <w:r>
        <w:rPr>
          <w:spacing w:val="-10"/>
        </w:rPr>
        <w:t xml:space="preserve"> </w:t>
      </w:r>
      <w:r>
        <w:t>for</w:t>
      </w:r>
      <w:r>
        <w:rPr>
          <w:spacing w:val="-9"/>
        </w:rPr>
        <w:t xml:space="preserve"> </w:t>
      </w:r>
      <w:r>
        <w:t>the</w:t>
      </w:r>
      <w:r>
        <w:rPr>
          <w:spacing w:val="-12"/>
        </w:rPr>
        <w:t xml:space="preserve"> </w:t>
      </w:r>
      <w:r>
        <w:t>contact</w:t>
      </w:r>
      <w:r>
        <w:rPr>
          <w:spacing w:val="-11"/>
        </w:rPr>
        <w:t xml:space="preserve"> </w:t>
      </w:r>
      <w:r>
        <w:t>centre</w:t>
      </w:r>
      <w:r>
        <w:rPr>
          <w:spacing w:val="-12"/>
        </w:rPr>
        <w:t xml:space="preserve"> </w:t>
      </w:r>
      <w:r>
        <w:t>and</w:t>
      </w:r>
      <w:r>
        <w:rPr>
          <w:spacing w:val="-9"/>
        </w:rPr>
        <w:t xml:space="preserve"> </w:t>
      </w:r>
      <w:r>
        <w:t>for</w:t>
      </w:r>
      <w:r>
        <w:rPr>
          <w:spacing w:val="-12"/>
        </w:rPr>
        <w:t xml:space="preserve"> </w:t>
      </w:r>
      <w:r>
        <w:t>reporting</w:t>
      </w:r>
      <w:r>
        <w:rPr>
          <w:spacing w:val="-13"/>
        </w:rPr>
        <w:t xml:space="preserve"> </w:t>
      </w:r>
      <w:r>
        <w:t>issues</w:t>
      </w:r>
      <w:r>
        <w:rPr>
          <w:spacing w:val="-10"/>
        </w:rPr>
        <w:t xml:space="preserve"> </w:t>
      </w:r>
      <w:r>
        <w:t>to</w:t>
      </w:r>
      <w:r>
        <w:rPr>
          <w:spacing w:val="-8"/>
        </w:rPr>
        <w:t xml:space="preserve"> </w:t>
      </w:r>
      <w:r>
        <w:t>ICT;</w:t>
      </w:r>
      <w:r>
        <w:rPr>
          <w:spacing w:val="-8"/>
        </w:rPr>
        <w:t xml:space="preserve"> </w:t>
      </w:r>
      <w:r>
        <w:t>c)</w:t>
      </w:r>
      <w:r>
        <w:rPr>
          <w:spacing w:val="-11"/>
        </w:rPr>
        <w:t xml:space="preserve"> </w:t>
      </w:r>
      <w:r>
        <w:t>Central</w:t>
      </w:r>
      <w:r>
        <w:rPr>
          <w:spacing w:val="-58"/>
        </w:rPr>
        <w:t xml:space="preserve"> </w:t>
      </w:r>
      <w:r>
        <w:rPr>
          <w:spacing w:val="-1"/>
        </w:rPr>
        <w:t>Information</w:t>
      </w:r>
      <w:r>
        <w:rPr>
          <w:spacing w:val="-7"/>
        </w:rPr>
        <w:t xml:space="preserve"> </w:t>
      </w:r>
      <w:r>
        <w:rPr>
          <w:spacing w:val="-1"/>
        </w:rPr>
        <w:t>Security</w:t>
      </w:r>
      <w:r>
        <w:rPr>
          <w:spacing w:val="-15"/>
        </w:rPr>
        <w:t xml:space="preserve"> </w:t>
      </w:r>
      <w:r>
        <w:t>Supervision</w:t>
      </w:r>
      <w:r>
        <w:rPr>
          <w:spacing w:val="-7"/>
        </w:rPr>
        <w:t xml:space="preserve"> </w:t>
      </w:r>
      <w:r>
        <w:t>System,</w:t>
      </w:r>
      <w:r>
        <w:rPr>
          <w:spacing w:val="-7"/>
        </w:rPr>
        <w:t xml:space="preserve"> </w:t>
      </w:r>
      <w:r>
        <w:t>which</w:t>
      </w:r>
      <w:r>
        <w:rPr>
          <w:spacing w:val="-8"/>
        </w:rPr>
        <w:t xml:space="preserve"> </w:t>
      </w:r>
      <w:r>
        <w:t>establishes</w:t>
      </w:r>
      <w:r>
        <w:rPr>
          <w:spacing w:val="-7"/>
        </w:rPr>
        <w:t xml:space="preserve"> </w:t>
      </w:r>
      <w:r>
        <w:t>the</w:t>
      </w:r>
      <w:r>
        <w:rPr>
          <w:spacing w:val="-8"/>
        </w:rPr>
        <w:t xml:space="preserve"> </w:t>
      </w:r>
      <w:r>
        <w:t>service</w:t>
      </w:r>
      <w:r>
        <w:rPr>
          <w:spacing w:val="-5"/>
        </w:rPr>
        <w:t xml:space="preserve"> </w:t>
      </w:r>
      <w:r>
        <w:t>within</w:t>
      </w:r>
      <w:r>
        <w:rPr>
          <w:spacing w:val="-7"/>
        </w:rPr>
        <w:t xml:space="preserve"> </w:t>
      </w:r>
      <w:r>
        <w:t>a</w:t>
      </w:r>
      <w:r>
        <w:rPr>
          <w:spacing w:val="-9"/>
        </w:rPr>
        <w:t xml:space="preserve"> </w:t>
      </w:r>
      <w:r>
        <w:t>central</w:t>
      </w:r>
      <w:r>
        <w:rPr>
          <w:spacing w:val="-7"/>
        </w:rPr>
        <w:t xml:space="preserve"> </w:t>
      </w:r>
      <w:r>
        <w:t>system</w:t>
      </w:r>
      <w:r>
        <w:rPr>
          <w:spacing w:val="-57"/>
        </w:rPr>
        <w:t xml:space="preserve"> </w:t>
      </w:r>
      <w:r>
        <w:t>for</w:t>
      </w:r>
      <w:r>
        <w:rPr>
          <w:spacing w:val="1"/>
        </w:rPr>
        <w:t xml:space="preserve"> </w:t>
      </w:r>
      <w:r>
        <w:t>monitoring,</w:t>
      </w:r>
      <w:r>
        <w:rPr>
          <w:spacing w:val="1"/>
        </w:rPr>
        <w:t xml:space="preserve"> </w:t>
      </w:r>
      <w:r>
        <w:t>supervising</w:t>
      </w:r>
      <w:r>
        <w:rPr>
          <w:spacing w:val="1"/>
        </w:rPr>
        <w:t xml:space="preserve"> </w:t>
      </w:r>
      <w:r>
        <w:t>and</w:t>
      </w:r>
      <w:r>
        <w:rPr>
          <w:spacing w:val="1"/>
        </w:rPr>
        <w:t xml:space="preserve"> </w:t>
      </w:r>
      <w:r>
        <w:t>managing</w:t>
      </w:r>
      <w:r>
        <w:rPr>
          <w:spacing w:val="1"/>
        </w:rPr>
        <w:t xml:space="preserve"> </w:t>
      </w:r>
      <w:r>
        <w:t>security</w:t>
      </w:r>
      <w:r>
        <w:rPr>
          <w:spacing w:val="1"/>
        </w:rPr>
        <w:t xml:space="preserve"> </w:t>
      </w:r>
      <w:r>
        <w:t>events</w:t>
      </w:r>
      <w:r>
        <w:rPr>
          <w:spacing w:val="1"/>
        </w:rPr>
        <w:t xml:space="preserve"> </w:t>
      </w:r>
      <w:r>
        <w:t>on</w:t>
      </w:r>
      <w:r>
        <w:rPr>
          <w:spacing w:val="1"/>
        </w:rPr>
        <w:t xml:space="preserve"> </w:t>
      </w:r>
      <w:r>
        <w:t>the</w:t>
      </w:r>
      <w:r>
        <w:rPr>
          <w:spacing w:val="1"/>
        </w:rPr>
        <w:t xml:space="preserve"> </w:t>
      </w:r>
      <w:r>
        <w:t>information</w:t>
      </w:r>
      <w:r>
        <w:rPr>
          <w:spacing w:val="1"/>
        </w:rPr>
        <w:t xml:space="preserve"> </w:t>
      </w:r>
      <w:r>
        <w:t>and</w:t>
      </w:r>
      <w:r>
        <w:rPr>
          <w:spacing w:val="1"/>
        </w:rPr>
        <w:t xml:space="preserve"> </w:t>
      </w:r>
      <w:r>
        <w:t>communication</w:t>
      </w:r>
      <w:r>
        <w:rPr>
          <w:spacing w:val="-10"/>
        </w:rPr>
        <w:t xml:space="preserve"> </w:t>
      </w:r>
      <w:r>
        <w:t>infrastructure</w:t>
      </w:r>
      <w:r>
        <w:rPr>
          <w:spacing w:val="-10"/>
        </w:rPr>
        <w:t xml:space="preserve"> </w:t>
      </w:r>
      <w:r>
        <w:t>of</w:t>
      </w:r>
      <w:r>
        <w:rPr>
          <w:spacing w:val="-9"/>
        </w:rPr>
        <w:t xml:space="preserve"> </w:t>
      </w:r>
      <w:r>
        <w:t>SAB,</w:t>
      </w:r>
      <w:r>
        <w:rPr>
          <w:spacing w:val="-9"/>
        </w:rPr>
        <w:t xml:space="preserve"> </w:t>
      </w:r>
      <w:r>
        <w:t>PA</w:t>
      </w:r>
      <w:r>
        <w:rPr>
          <w:spacing w:val="-10"/>
        </w:rPr>
        <w:t xml:space="preserve"> </w:t>
      </w:r>
      <w:r>
        <w:t>and</w:t>
      </w:r>
      <w:r>
        <w:rPr>
          <w:spacing w:val="-6"/>
        </w:rPr>
        <w:t xml:space="preserve"> </w:t>
      </w:r>
      <w:r>
        <w:t>LSG;</w:t>
      </w:r>
      <w:r>
        <w:rPr>
          <w:spacing w:val="-8"/>
        </w:rPr>
        <w:t xml:space="preserve"> </w:t>
      </w:r>
      <w:r>
        <w:t>d)</w:t>
      </w:r>
      <w:r>
        <w:rPr>
          <w:spacing w:val="-9"/>
        </w:rPr>
        <w:t xml:space="preserve"> </w:t>
      </w:r>
      <w:r>
        <w:t>A</w:t>
      </w:r>
      <w:r>
        <w:rPr>
          <w:spacing w:val="-10"/>
        </w:rPr>
        <w:t xml:space="preserve"> </w:t>
      </w:r>
      <w:r>
        <w:t>biometric</w:t>
      </w:r>
      <w:r>
        <w:rPr>
          <w:spacing w:val="-9"/>
        </w:rPr>
        <w:t xml:space="preserve"> </w:t>
      </w:r>
      <w:r>
        <w:t>authentication</w:t>
      </w:r>
      <w:r>
        <w:rPr>
          <w:spacing w:val="-7"/>
        </w:rPr>
        <w:t xml:space="preserve"> </w:t>
      </w:r>
      <w:r>
        <w:t>platform</w:t>
      </w:r>
      <w:r>
        <w:rPr>
          <w:spacing w:val="-9"/>
        </w:rPr>
        <w:t xml:space="preserve"> </w:t>
      </w:r>
      <w:r>
        <w:t>for</w:t>
      </w:r>
      <w:r>
        <w:rPr>
          <w:spacing w:val="-58"/>
        </w:rPr>
        <w:t xml:space="preserve"> </w:t>
      </w:r>
      <w:r>
        <w:t>citizens and employees of SAB, PA and LSG to establish a biometric identification service</w:t>
      </w:r>
      <w:r>
        <w:rPr>
          <w:spacing w:val="1"/>
        </w:rPr>
        <w:t xml:space="preserve"> </w:t>
      </w:r>
      <w:r>
        <w:t>integrated</w:t>
      </w:r>
      <w:r>
        <w:rPr>
          <w:spacing w:val="-4"/>
        </w:rPr>
        <w:t xml:space="preserve"> </w:t>
      </w:r>
      <w:r>
        <w:t>with</w:t>
      </w:r>
      <w:r>
        <w:rPr>
          <w:spacing w:val="-3"/>
        </w:rPr>
        <w:t xml:space="preserve"> </w:t>
      </w:r>
      <w:r>
        <w:t>the</w:t>
      </w:r>
      <w:r>
        <w:rPr>
          <w:spacing w:val="-4"/>
        </w:rPr>
        <w:t xml:space="preserve"> </w:t>
      </w:r>
      <w:r>
        <w:t>existing</w:t>
      </w:r>
      <w:r>
        <w:rPr>
          <w:spacing w:val="-6"/>
        </w:rPr>
        <w:t xml:space="preserve"> </w:t>
      </w:r>
      <w:r>
        <w:t>central</w:t>
      </w:r>
      <w:r>
        <w:rPr>
          <w:spacing w:val="-1"/>
        </w:rPr>
        <w:t xml:space="preserve"> </w:t>
      </w:r>
      <w:r>
        <w:t>system</w:t>
      </w:r>
      <w:r>
        <w:rPr>
          <w:spacing w:val="-4"/>
        </w:rPr>
        <w:t xml:space="preserve"> </w:t>
      </w:r>
      <w:r>
        <w:t>for</w:t>
      </w:r>
      <w:r>
        <w:rPr>
          <w:spacing w:val="-3"/>
        </w:rPr>
        <w:t xml:space="preserve"> </w:t>
      </w:r>
      <w:r>
        <w:t>managing</w:t>
      </w:r>
      <w:r>
        <w:rPr>
          <w:spacing w:val="-6"/>
        </w:rPr>
        <w:t xml:space="preserve"> </w:t>
      </w:r>
      <w:r>
        <w:t>user</w:t>
      </w:r>
      <w:r>
        <w:rPr>
          <w:spacing w:val="-5"/>
        </w:rPr>
        <w:t xml:space="preserve"> </w:t>
      </w:r>
      <w:r>
        <w:t>privileges</w:t>
      </w:r>
      <w:r>
        <w:rPr>
          <w:spacing w:val="-3"/>
        </w:rPr>
        <w:t xml:space="preserve"> </w:t>
      </w:r>
      <w:r>
        <w:t>and</w:t>
      </w:r>
      <w:r>
        <w:rPr>
          <w:spacing w:val="-4"/>
        </w:rPr>
        <w:t xml:space="preserve"> </w:t>
      </w:r>
      <w:r>
        <w:t>identity</w:t>
      </w:r>
      <w:r>
        <w:rPr>
          <w:spacing w:val="-10"/>
        </w:rPr>
        <w:t xml:space="preserve"> </w:t>
      </w:r>
      <w:r>
        <w:t>system;</w:t>
      </w:r>
      <w:r>
        <w:rPr>
          <w:spacing w:val="-3"/>
        </w:rPr>
        <w:t xml:space="preserve"> </w:t>
      </w:r>
      <w:r>
        <w:t>e)</w:t>
      </w:r>
      <w:r>
        <w:rPr>
          <w:spacing w:val="-58"/>
        </w:rPr>
        <w:t xml:space="preserve"> </w:t>
      </w:r>
      <w:r>
        <w:t>Platform for content management of the SAB, PA and LSG portals, establishing a service for</w:t>
      </w:r>
      <w:r>
        <w:rPr>
          <w:spacing w:val="1"/>
        </w:rPr>
        <w:t xml:space="preserve"> </w:t>
      </w:r>
      <w:r>
        <w:t>creating web pages for the needs of SAB, PA and LSG and managing their content; f) A</w:t>
      </w:r>
      <w:r>
        <w:rPr>
          <w:spacing w:val="1"/>
        </w:rPr>
        <w:t xml:space="preserve"> </w:t>
      </w:r>
      <w:r>
        <w:t>blockchain</w:t>
      </w:r>
      <w:r>
        <w:rPr>
          <w:spacing w:val="-11"/>
        </w:rPr>
        <w:t xml:space="preserve"> </w:t>
      </w:r>
      <w:r>
        <w:t>platform</w:t>
      </w:r>
      <w:r>
        <w:rPr>
          <w:spacing w:val="-10"/>
        </w:rPr>
        <w:t xml:space="preserve"> </w:t>
      </w:r>
      <w:r>
        <w:t>to</w:t>
      </w:r>
      <w:r>
        <w:rPr>
          <w:spacing w:val="-7"/>
        </w:rPr>
        <w:t xml:space="preserve"> </w:t>
      </w:r>
      <w:r>
        <w:t>establish</w:t>
      </w:r>
      <w:r>
        <w:rPr>
          <w:spacing w:val="-11"/>
        </w:rPr>
        <w:t xml:space="preserve"> </w:t>
      </w:r>
      <w:r>
        <w:t>a</w:t>
      </w:r>
      <w:r>
        <w:rPr>
          <w:spacing w:val="-10"/>
        </w:rPr>
        <w:t xml:space="preserve"> </w:t>
      </w:r>
      <w:r>
        <w:t>service</w:t>
      </w:r>
      <w:r>
        <w:rPr>
          <w:spacing w:val="-9"/>
        </w:rPr>
        <w:t xml:space="preserve"> </w:t>
      </w:r>
      <w:r>
        <w:t>for</w:t>
      </w:r>
      <w:r>
        <w:rPr>
          <w:spacing w:val="-10"/>
        </w:rPr>
        <w:t xml:space="preserve"> </w:t>
      </w:r>
      <w:r>
        <w:t>combining</w:t>
      </w:r>
      <w:r>
        <w:rPr>
          <w:spacing w:val="-12"/>
        </w:rPr>
        <w:t xml:space="preserve"> </w:t>
      </w:r>
      <w:r>
        <w:t>public</w:t>
      </w:r>
      <w:r>
        <w:rPr>
          <w:spacing w:val="-11"/>
        </w:rPr>
        <w:t xml:space="preserve"> </w:t>
      </w:r>
      <w:r>
        <w:t>or</w:t>
      </w:r>
      <w:r>
        <w:rPr>
          <w:spacing w:val="-12"/>
        </w:rPr>
        <w:t xml:space="preserve"> </w:t>
      </w:r>
      <w:r>
        <w:t>private</w:t>
      </w:r>
      <w:r>
        <w:rPr>
          <w:spacing w:val="-11"/>
        </w:rPr>
        <w:t xml:space="preserve"> </w:t>
      </w:r>
      <w:r>
        <w:t>networks</w:t>
      </w:r>
      <w:r>
        <w:rPr>
          <w:spacing w:val="-10"/>
        </w:rPr>
        <w:t xml:space="preserve"> </w:t>
      </w:r>
      <w:r>
        <w:t>using</w:t>
      </w:r>
      <w:r>
        <w:rPr>
          <w:spacing w:val="-13"/>
        </w:rPr>
        <w:t xml:space="preserve"> </w:t>
      </w:r>
      <w:r>
        <w:t>open-</w:t>
      </w:r>
      <w:r>
        <w:rPr>
          <w:spacing w:val="-57"/>
        </w:rPr>
        <w:t xml:space="preserve"> </w:t>
      </w:r>
      <w:r>
        <w:t>source blockchain solutions for deployment in SAB, PA and LSG. The planned completion of</w:t>
      </w:r>
      <w:r>
        <w:rPr>
          <w:spacing w:val="-57"/>
        </w:rPr>
        <w:t xml:space="preserve"> </w:t>
      </w:r>
      <w:r>
        <w:t>the</w:t>
      </w:r>
      <w:r>
        <w:rPr>
          <w:spacing w:val="-1"/>
        </w:rPr>
        <w:t xml:space="preserve"> </w:t>
      </w:r>
      <w:r>
        <w:t>project is June</w:t>
      </w:r>
      <w:r>
        <w:rPr>
          <w:spacing w:val="-1"/>
        </w:rPr>
        <w:t xml:space="preserve"> </w:t>
      </w:r>
      <w:r>
        <w:t>2026.</w:t>
      </w:r>
    </w:p>
    <w:p w:rsidR="00A56FE9" w:rsidRDefault="00000000">
      <w:pPr>
        <w:pStyle w:val="Tijeloteksta"/>
        <w:spacing w:before="121"/>
        <w:ind w:right="271"/>
      </w:pPr>
      <w:r>
        <w:t>The establishment of processes and procedures to enable system users to access to certain data</w:t>
      </w:r>
      <w:r>
        <w:rPr>
          <w:spacing w:val="-57"/>
        </w:rPr>
        <w:t xml:space="preserve"> </w:t>
      </w:r>
      <w:r>
        <w:t>sets in accordance with legal regulations will be carried out based on the NRPP investment</w:t>
      </w:r>
      <w:r>
        <w:rPr>
          <w:spacing w:val="1"/>
        </w:rPr>
        <w:t xml:space="preserve"> </w:t>
      </w:r>
      <w:r>
        <w:t>C2.3.</w:t>
      </w:r>
      <w:r>
        <w:rPr>
          <w:spacing w:val="24"/>
        </w:rPr>
        <w:t xml:space="preserve"> </w:t>
      </w:r>
      <w:r>
        <w:t>R2-I2</w:t>
      </w:r>
      <w:r>
        <w:rPr>
          <w:spacing w:val="25"/>
        </w:rPr>
        <w:t xml:space="preserve"> </w:t>
      </w:r>
      <w:r>
        <w:t>Establishment</w:t>
      </w:r>
      <w:r>
        <w:rPr>
          <w:spacing w:val="24"/>
        </w:rPr>
        <w:t xml:space="preserve"> </w:t>
      </w:r>
      <w:r>
        <w:t>of</w:t>
      </w:r>
      <w:r>
        <w:rPr>
          <w:spacing w:val="24"/>
        </w:rPr>
        <w:t xml:space="preserve"> </w:t>
      </w:r>
      <w:r>
        <w:t>a</w:t>
      </w:r>
      <w:r>
        <w:rPr>
          <w:spacing w:val="24"/>
        </w:rPr>
        <w:t xml:space="preserve"> </w:t>
      </w:r>
      <w:r>
        <w:t>central</w:t>
      </w:r>
      <w:r>
        <w:rPr>
          <w:spacing w:val="24"/>
        </w:rPr>
        <w:t xml:space="preserve"> </w:t>
      </w:r>
      <w:r>
        <w:t>data</w:t>
      </w:r>
      <w:r>
        <w:rPr>
          <w:spacing w:val="27"/>
        </w:rPr>
        <w:t xml:space="preserve"> </w:t>
      </w:r>
      <w:r>
        <w:t>repository</w:t>
      </w:r>
      <w:r>
        <w:rPr>
          <w:spacing w:val="20"/>
        </w:rPr>
        <w:t xml:space="preserve"> </w:t>
      </w:r>
      <w:r>
        <w:t>and</w:t>
      </w:r>
      <w:r>
        <w:rPr>
          <w:spacing w:val="24"/>
        </w:rPr>
        <w:t xml:space="preserve"> </w:t>
      </w:r>
      <w:r>
        <w:t>business</w:t>
      </w:r>
      <w:r>
        <w:rPr>
          <w:spacing w:val="25"/>
        </w:rPr>
        <w:t xml:space="preserve"> </w:t>
      </w:r>
      <w:r>
        <w:t>analytics</w:t>
      </w:r>
      <w:r>
        <w:rPr>
          <w:spacing w:val="24"/>
        </w:rPr>
        <w:t xml:space="preserve"> </w:t>
      </w:r>
      <w:r>
        <w:t>system</w:t>
      </w:r>
      <w:r>
        <w:rPr>
          <w:spacing w:val="24"/>
        </w:rPr>
        <w:t xml:space="preserve"> </w:t>
      </w:r>
      <w:r>
        <w:t>(HRK</w:t>
      </w:r>
    </w:p>
    <w:p w:rsidR="00A56FE9" w:rsidRDefault="00000000">
      <w:pPr>
        <w:pStyle w:val="Tijeloteksta"/>
        <w:ind w:right="273"/>
      </w:pPr>
      <w:r>
        <w:t>125.09 million). One of the identified challenges is establishing a partnership between Central</w:t>
      </w:r>
      <w:r>
        <w:rPr>
          <w:spacing w:val="-57"/>
        </w:rPr>
        <w:t xml:space="preserve"> </w:t>
      </w:r>
      <w:r>
        <w:t>State Office for Development of the Digital Society (CSODDS) as a service provider (and</w:t>
      </w:r>
      <w:r>
        <w:rPr>
          <w:spacing w:val="1"/>
        </w:rPr>
        <w:t xml:space="preserve"> </w:t>
      </w:r>
      <w:r>
        <w:t>infrastructure) and the data resource administrator, along with specific user requirements,</w:t>
      </w:r>
      <w:r>
        <w:rPr>
          <w:spacing w:val="1"/>
        </w:rPr>
        <w:t xml:space="preserve"> </w:t>
      </w:r>
      <w:r>
        <w:t>analytical queries and interpretation of individual data content with data warehousing (DWH)</w:t>
      </w:r>
      <w:r>
        <w:rPr>
          <w:spacing w:val="1"/>
        </w:rPr>
        <w:t xml:space="preserve"> </w:t>
      </w:r>
      <w:r>
        <w:rPr>
          <w:spacing w:val="-1"/>
        </w:rPr>
        <w:t>system</w:t>
      </w:r>
      <w:r>
        <w:rPr>
          <w:spacing w:val="-15"/>
        </w:rPr>
        <w:t xml:space="preserve"> </w:t>
      </w:r>
      <w:r>
        <w:rPr>
          <w:spacing w:val="-1"/>
        </w:rPr>
        <w:t>owners</w:t>
      </w:r>
      <w:r>
        <w:rPr>
          <w:spacing w:val="-15"/>
        </w:rPr>
        <w:t xml:space="preserve"> </w:t>
      </w:r>
      <w:r>
        <w:rPr>
          <w:spacing w:val="-1"/>
        </w:rPr>
        <w:t>and</w:t>
      </w:r>
      <w:r>
        <w:rPr>
          <w:spacing w:val="-15"/>
        </w:rPr>
        <w:t xml:space="preserve"> </w:t>
      </w:r>
      <w:r>
        <w:t>users.</w:t>
      </w:r>
      <w:r>
        <w:rPr>
          <w:spacing w:val="-13"/>
        </w:rPr>
        <w:t xml:space="preserve"> </w:t>
      </w:r>
      <w:r>
        <w:t>The</w:t>
      </w:r>
      <w:r>
        <w:rPr>
          <w:spacing w:val="-16"/>
        </w:rPr>
        <w:t xml:space="preserve"> </w:t>
      </w:r>
      <w:r>
        <w:t>aim</w:t>
      </w:r>
      <w:r>
        <w:rPr>
          <w:spacing w:val="-14"/>
        </w:rPr>
        <w:t xml:space="preserve"> </w:t>
      </w:r>
      <w:r>
        <w:t>is</w:t>
      </w:r>
      <w:r>
        <w:rPr>
          <w:spacing w:val="-14"/>
        </w:rPr>
        <w:t xml:space="preserve"> </w:t>
      </w:r>
      <w:r>
        <w:t>to</w:t>
      </w:r>
      <w:r>
        <w:rPr>
          <w:spacing w:val="-14"/>
        </w:rPr>
        <w:t xml:space="preserve"> </w:t>
      </w:r>
      <w:r>
        <w:t>introduce</w:t>
      </w:r>
      <w:r>
        <w:rPr>
          <w:spacing w:val="-16"/>
        </w:rPr>
        <w:t xml:space="preserve"> </w:t>
      </w:r>
      <w:r>
        <w:t>data</w:t>
      </w:r>
      <w:r>
        <w:rPr>
          <w:spacing w:val="-15"/>
        </w:rPr>
        <w:t xml:space="preserve"> </w:t>
      </w:r>
      <w:r>
        <w:t>storage</w:t>
      </w:r>
      <w:r>
        <w:rPr>
          <w:spacing w:val="-16"/>
        </w:rPr>
        <w:t xml:space="preserve"> </w:t>
      </w:r>
      <w:r>
        <w:t>systems</w:t>
      </w:r>
      <w:r>
        <w:rPr>
          <w:spacing w:val="-12"/>
        </w:rPr>
        <w:t xml:space="preserve"> </w:t>
      </w:r>
      <w:r>
        <w:t>along</w:t>
      </w:r>
      <w:r>
        <w:rPr>
          <w:spacing w:val="-14"/>
        </w:rPr>
        <w:t xml:space="preserve"> </w:t>
      </w:r>
      <w:r>
        <w:t>with</w:t>
      </w:r>
      <w:r>
        <w:rPr>
          <w:spacing w:val="-14"/>
        </w:rPr>
        <w:t xml:space="preserve"> </w:t>
      </w:r>
      <w:r>
        <w:t>their</w:t>
      </w:r>
      <w:r>
        <w:rPr>
          <w:spacing w:val="-16"/>
        </w:rPr>
        <w:t xml:space="preserve"> </w:t>
      </w:r>
      <w:r>
        <w:t>attributes</w:t>
      </w:r>
      <w:r>
        <w:rPr>
          <w:spacing w:val="-57"/>
        </w:rPr>
        <w:t xml:space="preserve"> </w:t>
      </w:r>
      <w:r>
        <w:t>and based on this, data to design different data warehouses as ecosystems to extract, load,</w:t>
      </w:r>
      <w:r>
        <w:rPr>
          <w:spacing w:val="1"/>
        </w:rPr>
        <w:t xml:space="preserve"> </w:t>
      </w:r>
      <w:r>
        <w:t>transform,</w:t>
      </w:r>
      <w:r>
        <w:rPr>
          <w:spacing w:val="1"/>
        </w:rPr>
        <w:t xml:space="preserve"> </w:t>
      </w:r>
      <w:r>
        <w:t>store,</w:t>
      </w:r>
      <w:r>
        <w:rPr>
          <w:spacing w:val="1"/>
        </w:rPr>
        <w:t xml:space="preserve"> </w:t>
      </w:r>
      <w:r>
        <w:t>analyse,</w:t>
      </w:r>
      <w:r>
        <w:rPr>
          <w:spacing w:val="1"/>
        </w:rPr>
        <w:t xml:space="preserve"> </w:t>
      </w:r>
      <w:r>
        <w:t>visualisation</w:t>
      </w:r>
      <w:r>
        <w:rPr>
          <w:spacing w:val="1"/>
        </w:rPr>
        <w:t xml:space="preserve"> </w:t>
      </w:r>
      <w:r>
        <w:t>and</w:t>
      </w:r>
      <w:r>
        <w:rPr>
          <w:spacing w:val="1"/>
        </w:rPr>
        <w:t xml:space="preserve"> </w:t>
      </w:r>
      <w:r>
        <w:t>analytics</w:t>
      </w:r>
      <w:r>
        <w:rPr>
          <w:spacing w:val="1"/>
        </w:rPr>
        <w:t xml:space="preserve"> </w:t>
      </w:r>
      <w:r>
        <w:t>and</w:t>
      </w:r>
      <w:r>
        <w:rPr>
          <w:spacing w:val="1"/>
        </w:rPr>
        <w:t xml:space="preserve"> </w:t>
      </w:r>
      <w:r>
        <w:t>also</w:t>
      </w:r>
      <w:r>
        <w:rPr>
          <w:spacing w:val="1"/>
        </w:rPr>
        <w:t xml:space="preserve"> </w:t>
      </w:r>
      <w:r>
        <w:t>the</w:t>
      </w:r>
      <w:r>
        <w:rPr>
          <w:spacing w:val="1"/>
        </w:rPr>
        <w:t xml:space="preserve"> </w:t>
      </w:r>
      <w:r>
        <w:t>introduction</w:t>
      </w:r>
      <w:r>
        <w:rPr>
          <w:spacing w:val="1"/>
        </w:rPr>
        <w:t xml:space="preserve"> </w:t>
      </w:r>
      <w:r>
        <w:t>of</w:t>
      </w:r>
      <w:r>
        <w:rPr>
          <w:spacing w:val="1"/>
        </w:rPr>
        <w:t xml:space="preserve"> </w:t>
      </w:r>
      <w:r>
        <w:t>an</w:t>
      </w:r>
      <w:r>
        <w:rPr>
          <w:spacing w:val="1"/>
        </w:rPr>
        <w:t xml:space="preserve"> </w:t>
      </w:r>
      <w:r>
        <w:t>organisational</w:t>
      </w:r>
      <w:r>
        <w:rPr>
          <w:spacing w:val="1"/>
        </w:rPr>
        <w:t xml:space="preserve"> </w:t>
      </w:r>
      <w:r>
        <w:t>culture as</w:t>
      </w:r>
      <w:r>
        <w:rPr>
          <w:spacing w:val="1"/>
        </w:rPr>
        <w:t xml:space="preserve"> </w:t>
      </w:r>
      <w:r>
        <w:t>a source of reliable summarised</w:t>
      </w:r>
      <w:r>
        <w:rPr>
          <w:spacing w:val="1"/>
        </w:rPr>
        <w:t xml:space="preserve"> </w:t>
      </w:r>
      <w:r>
        <w:t>data for decision</w:t>
      </w:r>
      <w:r>
        <w:rPr>
          <w:spacing w:val="1"/>
        </w:rPr>
        <w:t xml:space="preserve"> </w:t>
      </w:r>
      <w:r>
        <w:t>making.</w:t>
      </w:r>
      <w:r>
        <w:rPr>
          <w:spacing w:val="1"/>
        </w:rPr>
        <w:t xml:space="preserve"> </w:t>
      </w:r>
      <w:r>
        <w:t>The</w:t>
      </w:r>
      <w:r>
        <w:rPr>
          <w:spacing w:val="1"/>
        </w:rPr>
        <w:t xml:space="preserve"> </w:t>
      </w:r>
      <w:r>
        <w:t>establishment of data warehousing and business analytics systems in public administration,</w:t>
      </w:r>
      <w:r>
        <w:rPr>
          <w:spacing w:val="1"/>
        </w:rPr>
        <w:t xml:space="preserve"> </w:t>
      </w:r>
      <w:r>
        <w:t>achieves</w:t>
      </w:r>
      <w:r>
        <w:rPr>
          <w:spacing w:val="-6"/>
        </w:rPr>
        <w:t xml:space="preserve"> </w:t>
      </w:r>
      <w:r>
        <w:t>the</w:t>
      </w:r>
      <w:r>
        <w:rPr>
          <w:spacing w:val="-7"/>
        </w:rPr>
        <w:t xml:space="preserve"> </w:t>
      </w:r>
      <w:r>
        <w:t>primary</w:t>
      </w:r>
      <w:r>
        <w:rPr>
          <w:spacing w:val="-9"/>
        </w:rPr>
        <w:t xml:space="preserve"> </w:t>
      </w:r>
      <w:r>
        <w:t>goal</w:t>
      </w:r>
      <w:r>
        <w:rPr>
          <w:spacing w:val="-1"/>
        </w:rPr>
        <w:t xml:space="preserve"> </w:t>
      </w:r>
      <w:r>
        <w:t>of</w:t>
      </w:r>
      <w:r>
        <w:rPr>
          <w:spacing w:val="-7"/>
        </w:rPr>
        <w:t xml:space="preserve"> </w:t>
      </w:r>
      <w:r>
        <w:t>improving</w:t>
      </w:r>
      <w:r>
        <w:rPr>
          <w:spacing w:val="-8"/>
        </w:rPr>
        <w:t xml:space="preserve"> </w:t>
      </w:r>
      <w:r>
        <w:t>and</w:t>
      </w:r>
      <w:r>
        <w:rPr>
          <w:spacing w:val="-6"/>
        </w:rPr>
        <w:t xml:space="preserve"> </w:t>
      </w:r>
      <w:r>
        <w:t>optimally</w:t>
      </w:r>
      <w:r>
        <w:rPr>
          <w:spacing w:val="-12"/>
        </w:rPr>
        <w:t xml:space="preserve"> </w:t>
      </w:r>
      <w:r>
        <w:t>organising</w:t>
      </w:r>
      <w:r>
        <w:rPr>
          <w:spacing w:val="-8"/>
        </w:rPr>
        <w:t xml:space="preserve"> </w:t>
      </w:r>
      <w:r>
        <w:t>the</w:t>
      </w:r>
      <w:r>
        <w:rPr>
          <w:spacing w:val="-7"/>
        </w:rPr>
        <w:t xml:space="preserve"> </w:t>
      </w:r>
      <w:r>
        <w:t>data</w:t>
      </w:r>
      <w:r>
        <w:rPr>
          <w:spacing w:val="-6"/>
        </w:rPr>
        <w:t xml:space="preserve"> </w:t>
      </w:r>
      <w:r>
        <w:t>management</w:t>
      </w:r>
      <w:r>
        <w:rPr>
          <w:spacing w:val="-6"/>
        </w:rPr>
        <w:t xml:space="preserve"> </w:t>
      </w:r>
      <w:r>
        <w:t>system,</w:t>
      </w:r>
      <w:r>
        <w:rPr>
          <w:spacing w:val="-58"/>
        </w:rPr>
        <w:t xml:space="preserve"> </w:t>
      </w:r>
      <w:r>
        <w:t>reporting system and decision-making process at all levels and enables the private sector to</w:t>
      </w:r>
      <w:r>
        <w:rPr>
          <w:spacing w:val="1"/>
        </w:rPr>
        <w:t xml:space="preserve"> </w:t>
      </w:r>
      <w:r>
        <w:t>build</w:t>
      </w:r>
      <w:r>
        <w:rPr>
          <w:spacing w:val="-11"/>
        </w:rPr>
        <w:t xml:space="preserve"> </w:t>
      </w:r>
      <w:r>
        <w:t>value-added</w:t>
      </w:r>
      <w:r>
        <w:rPr>
          <w:spacing w:val="-11"/>
        </w:rPr>
        <w:t xml:space="preserve"> </w:t>
      </w:r>
      <w:r>
        <w:t>services</w:t>
      </w:r>
      <w:r>
        <w:rPr>
          <w:spacing w:val="-11"/>
        </w:rPr>
        <w:t xml:space="preserve"> </w:t>
      </w:r>
      <w:r>
        <w:t>on</w:t>
      </w:r>
      <w:r>
        <w:rPr>
          <w:spacing w:val="-11"/>
        </w:rPr>
        <w:t xml:space="preserve"> </w:t>
      </w:r>
      <w:r>
        <w:t>available</w:t>
      </w:r>
      <w:r>
        <w:rPr>
          <w:spacing w:val="-11"/>
        </w:rPr>
        <w:t xml:space="preserve"> </w:t>
      </w:r>
      <w:r>
        <w:t>data</w:t>
      </w:r>
      <w:r>
        <w:rPr>
          <w:spacing w:val="-9"/>
        </w:rPr>
        <w:t xml:space="preserve"> </w:t>
      </w:r>
      <w:r>
        <w:t>and</w:t>
      </w:r>
      <w:r>
        <w:rPr>
          <w:spacing w:val="-11"/>
        </w:rPr>
        <w:t xml:space="preserve"> </w:t>
      </w:r>
      <w:r>
        <w:t>tools.</w:t>
      </w:r>
      <w:r>
        <w:rPr>
          <w:spacing w:val="-10"/>
        </w:rPr>
        <w:t xml:space="preserve"> </w:t>
      </w:r>
      <w:r>
        <w:t>The</w:t>
      </w:r>
      <w:r>
        <w:rPr>
          <w:spacing w:val="-11"/>
        </w:rPr>
        <w:t xml:space="preserve"> </w:t>
      </w:r>
      <w:r>
        <w:t>investment</w:t>
      </w:r>
      <w:r>
        <w:rPr>
          <w:spacing w:val="-11"/>
        </w:rPr>
        <w:t xml:space="preserve"> </w:t>
      </w:r>
      <w:r>
        <w:t>will</w:t>
      </w:r>
      <w:r>
        <w:rPr>
          <w:spacing w:val="-10"/>
        </w:rPr>
        <w:t xml:space="preserve"> </w:t>
      </w:r>
      <w:r>
        <w:t>establish</w:t>
      </w:r>
      <w:r>
        <w:rPr>
          <w:spacing w:val="-11"/>
        </w:rPr>
        <w:t xml:space="preserve"> </w:t>
      </w:r>
      <w:r>
        <w:t>a</w:t>
      </w:r>
      <w:r>
        <w:rPr>
          <w:spacing w:val="-12"/>
        </w:rPr>
        <w:t xml:space="preserve"> </w:t>
      </w:r>
      <w:r>
        <w:t>data</w:t>
      </w:r>
      <w:r>
        <w:rPr>
          <w:spacing w:val="-11"/>
        </w:rPr>
        <w:t xml:space="preserve"> </w:t>
      </w:r>
      <w:r>
        <w:t>lake</w:t>
      </w:r>
      <w:r>
        <w:rPr>
          <w:spacing w:val="-58"/>
        </w:rPr>
        <w:t xml:space="preserve"> </w:t>
      </w:r>
      <w:r>
        <w:t>and a DWH platform that, based on openness and integrity,</w:t>
      </w:r>
      <w:r>
        <w:rPr>
          <w:spacing w:val="1"/>
        </w:rPr>
        <w:t xml:space="preserve"> </w:t>
      </w:r>
      <w:r>
        <w:t>facilitates data collection in</w:t>
      </w:r>
      <w:r>
        <w:rPr>
          <w:spacing w:val="1"/>
        </w:rPr>
        <w:t xml:space="preserve"> </w:t>
      </w:r>
      <w:r>
        <w:t>standardised formats (structured and unstructured data), easy access to data sources, advanced</w:t>
      </w:r>
      <w:r>
        <w:rPr>
          <w:spacing w:val="-57"/>
        </w:rPr>
        <w:t xml:space="preserve"> </w:t>
      </w:r>
      <w:r>
        <w:t>analytics</w:t>
      </w:r>
      <w:r>
        <w:rPr>
          <w:spacing w:val="6"/>
        </w:rPr>
        <w:t xml:space="preserve"> </w:t>
      </w:r>
      <w:r>
        <w:t>and</w:t>
      </w:r>
      <w:r>
        <w:rPr>
          <w:spacing w:val="5"/>
        </w:rPr>
        <w:t xml:space="preserve"> </w:t>
      </w:r>
      <w:r>
        <w:t>visualisation</w:t>
      </w:r>
      <w:r>
        <w:rPr>
          <w:spacing w:val="8"/>
        </w:rPr>
        <w:t xml:space="preserve"> </w:t>
      </w:r>
      <w:r>
        <w:t>of</w:t>
      </w:r>
      <w:r>
        <w:rPr>
          <w:spacing w:val="5"/>
        </w:rPr>
        <w:t xml:space="preserve"> </w:t>
      </w:r>
      <w:r>
        <w:t>collected</w:t>
      </w:r>
      <w:r>
        <w:rPr>
          <w:spacing w:val="5"/>
        </w:rPr>
        <w:t xml:space="preserve"> </w:t>
      </w:r>
      <w:r>
        <w:t>data.</w:t>
      </w:r>
      <w:r>
        <w:rPr>
          <w:spacing w:val="7"/>
        </w:rPr>
        <w:t xml:space="preserve"> </w:t>
      </w:r>
      <w:r>
        <w:t>The</w:t>
      </w:r>
      <w:r>
        <w:rPr>
          <w:spacing w:val="7"/>
        </w:rPr>
        <w:t xml:space="preserve"> </w:t>
      </w:r>
      <w:r>
        <w:t>platform</w:t>
      </w:r>
      <w:r>
        <w:rPr>
          <w:spacing w:val="7"/>
        </w:rPr>
        <w:t xml:space="preserve"> </w:t>
      </w:r>
      <w:r>
        <w:t>is</w:t>
      </w:r>
      <w:r>
        <w:rPr>
          <w:spacing w:val="7"/>
        </w:rPr>
        <w:t xml:space="preserve"> </w:t>
      </w:r>
      <w:r>
        <w:t>to</w:t>
      </w:r>
      <w:r>
        <w:rPr>
          <w:spacing w:val="6"/>
        </w:rPr>
        <w:t xml:space="preserve"> </w:t>
      </w:r>
      <w:r>
        <w:t>be</w:t>
      </w:r>
      <w:r>
        <w:rPr>
          <w:spacing w:val="5"/>
        </w:rPr>
        <w:t xml:space="preserve"> </w:t>
      </w:r>
      <w:r>
        <w:t>divided</w:t>
      </w:r>
      <w:r>
        <w:rPr>
          <w:spacing w:val="9"/>
        </w:rPr>
        <w:t xml:space="preserve"> </w:t>
      </w:r>
      <w:r>
        <w:t>into</w:t>
      </w:r>
      <w:r>
        <w:rPr>
          <w:spacing w:val="5"/>
        </w:rPr>
        <w:t xml:space="preserve"> </w:t>
      </w:r>
      <w:r>
        <w:t>two</w:t>
      </w:r>
      <w:r>
        <w:rPr>
          <w:spacing w:val="6"/>
        </w:rPr>
        <w:t xml:space="preserve"> </w:t>
      </w:r>
      <w:r>
        <w:t>segments:</w:t>
      </w:r>
    </w:p>
    <w:p w:rsidR="00A56FE9" w:rsidRDefault="00000000">
      <w:pPr>
        <w:pStyle w:val="Tijeloteksta"/>
        <w:spacing w:before="1"/>
        <w:ind w:right="273"/>
      </w:pPr>
      <w:r>
        <w:t>(i) a data warehouse for state administration bodies where advanced analytics are conducted</w:t>
      </w:r>
      <w:r>
        <w:rPr>
          <w:spacing w:val="1"/>
        </w:rPr>
        <w:t xml:space="preserve"> </w:t>
      </w:r>
      <w:r>
        <w:t>facilitate decision making; (ii) an open data warehouse, using analytical tools and artificial</w:t>
      </w:r>
      <w:r>
        <w:rPr>
          <w:spacing w:val="1"/>
        </w:rPr>
        <w:t xml:space="preserve"> </w:t>
      </w:r>
      <w:r>
        <w:t>intelligence</w:t>
      </w:r>
      <w:r>
        <w:rPr>
          <w:spacing w:val="-5"/>
        </w:rPr>
        <w:t xml:space="preserve"> </w:t>
      </w:r>
      <w:r>
        <w:t>elements,</w:t>
      </w:r>
      <w:r>
        <w:rPr>
          <w:spacing w:val="-6"/>
        </w:rPr>
        <w:t xml:space="preserve"> </w:t>
      </w:r>
      <w:r>
        <w:t>available</w:t>
      </w:r>
      <w:r>
        <w:rPr>
          <w:spacing w:val="-7"/>
        </w:rPr>
        <w:t xml:space="preserve"> </w:t>
      </w:r>
      <w:r>
        <w:t>to</w:t>
      </w:r>
      <w:r>
        <w:rPr>
          <w:spacing w:val="-6"/>
        </w:rPr>
        <w:t xml:space="preserve"> </w:t>
      </w:r>
      <w:r>
        <w:t>the</w:t>
      </w:r>
      <w:r>
        <w:rPr>
          <w:spacing w:val="-7"/>
        </w:rPr>
        <w:t xml:space="preserve"> </w:t>
      </w:r>
      <w:r>
        <w:t>private</w:t>
      </w:r>
      <w:r>
        <w:rPr>
          <w:spacing w:val="-7"/>
        </w:rPr>
        <w:t xml:space="preserve"> </w:t>
      </w:r>
      <w:r>
        <w:t>and</w:t>
      </w:r>
      <w:r>
        <w:rPr>
          <w:spacing w:val="-6"/>
        </w:rPr>
        <w:t xml:space="preserve"> </w:t>
      </w:r>
      <w:r>
        <w:t>public</w:t>
      </w:r>
      <w:r>
        <w:rPr>
          <w:spacing w:val="-7"/>
        </w:rPr>
        <w:t xml:space="preserve"> </w:t>
      </w:r>
      <w:r>
        <w:t>sectors</w:t>
      </w:r>
      <w:r>
        <w:rPr>
          <w:spacing w:val="-6"/>
        </w:rPr>
        <w:t xml:space="preserve"> </w:t>
      </w:r>
      <w:r>
        <w:t>for</w:t>
      </w:r>
      <w:r>
        <w:rPr>
          <w:spacing w:val="-8"/>
        </w:rPr>
        <w:t xml:space="preserve"> </w:t>
      </w:r>
      <w:r>
        <w:t>developing</w:t>
      </w:r>
      <w:r>
        <w:rPr>
          <w:spacing w:val="-7"/>
        </w:rPr>
        <w:t xml:space="preserve"> </w:t>
      </w:r>
      <w:r>
        <w:t>new</w:t>
      </w:r>
      <w:r>
        <w:rPr>
          <w:spacing w:val="-7"/>
        </w:rPr>
        <w:t xml:space="preserve"> </w:t>
      </w:r>
      <w:r>
        <w:t>innovative</w:t>
      </w:r>
      <w:r>
        <w:rPr>
          <w:spacing w:val="-58"/>
        </w:rPr>
        <w:t xml:space="preserve"> </w:t>
      </w:r>
      <w:r>
        <w:t>services.</w:t>
      </w:r>
      <w:r>
        <w:rPr>
          <w:spacing w:val="-1"/>
        </w:rPr>
        <w:t xml:space="preserve"> </w:t>
      </w:r>
      <w:r>
        <w:t>The</w:t>
      </w:r>
      <w:r>
        <w:rPr>
          <w:spacing w:val="-1"/>
        </w:rPr>
        <w:t xml:space="preserve"> </w:t>
      </w:r>
      <w:r>
        <w:t>planned</w:t>
      </w:r>
      <w:r>
        <w:rPr>
          <w:spacing w:val="2"/>
        </w:rPr>
        <w:t xml:space="preserve"> </w:t>
      </w:r>
      <w:r>
        <w:t>completion of</w:t>
      </w:r>
      <w:r>
        <w:rPr>
          <w:spacing w:val="-1"/>
        </w:rPr>
        <w:t xml:space="preserve"> </w:t>
      </w:r>
      <w:r>
        <w:t>the project is June</w:t>
      </w:r>
      <w:r>
        <w:rPr>
          <w:spacing w:val="-1"/>
        </w:rPr>
        <w:t xml:space="preserve"> </w:t>
      </w:r>
      <w:r>
        <w:t>2026.</w:t>
      </w:r>
    </w:p>
    <w:p w:rsidR="00A56FE9" w:rsidRDefault="00000000">
      <w:pPr>
        <w:pStyle w:val="Tijeloteksta"/>
        <w:spacing w:before="119"/>
        <w:ind w:right="272"/>
      </w:pPr>
      <w:r>
        <w:t>Croatia is lagging behind in implementing measures on establishing a single digital gateway</w:t>
      </w:r>
      <w:r>
        <w:rPr>
          <w:spacing w:val="1"/>
        </w:rPr>
        <w:t xml:space="preserve"> </w:t>
      </w:r>
      <w:r>
        <w:t>and the application of the “only once” principle, which will be addressed by the NRRP</w:t>
      </w:r>
      <w:r>
        <w:rPr>
          <w:spacing w:val="1"/>
        </w:rPr>
        <w:t xml:space="preserve"> </w:t>
      </w:r>
      <w:r>
        <w:t>investment C2.3. R2-I1, Establishment of a Central Interoperability System (HRK 105.12</w:t>
      </w:r>
      <w:r>
        <w:rPr>
          <w:spacing w:val="1"/>
        </w:rPr>
        <w:t xml:space="preserve"> </w:t>
      </w:r>
      <w:r>
        <w:t>million). The Single Digital Gateway Regulation (SDGR) aims to establish a single EU-wide</w:t>
      </w:r>
      <w:r>
        <w:rPr>
          <w:spacing w:val="1"/>
        </w:rPr>
        <w:t xml:space="preserve"> </w:t>
      </w:r>
      <w:r>
        <w:t>place to facilitate the interaction of citizens, businesses and authorities by providing access to</w:t>
      </w:r>
      <w:r>
        <w:rPr>
          <w:spacing w:val="1"/>
        </w:rPr>
        <w:t xml:space="preserve"> </w:t>
      </w:r>
      <w:r>
        <w:t>information</w:t>
      </w:r>
      <w:r>
        <w:rPr>
          <w:spacing w:val="-13"/>
        </w:rPr>
        <w:t xml:space="preserve"> </w:t>
      </w:r>
      <w:r>
        <w:t>on</w:t>
      </w:r>
      <w:r>
        <w:rPr>
          <w:spacing w:val="-12"/>
        </w:rPr>
        <w:t xml:space="preserve"> </w:t>
      </w:r>
      <w:r>
        <w:t>administrative</w:t>
      </w:r>
      <w:r>
        <w:rPr>
          <w:spacing w:val="-13"/>
        </w:rPr>
        <w:t xml:space="preserve"> </w:t>
      </w:r>
      <w:r>
        <w:t>procedures</w:t>
      </w:r>
      <w:r>
        <w:rPr>
          <w:spacing w:val="-12"/>
        </w:rPr>
        <w:t xml:space="preserve"> </w:t>
      </w:r>
      <w:r>
        <w:t>and</w:t>
      </w:r>
      <w:r>
        <w:rPr>
          <w:spacing w:val="-12"/>
        </w:rPr>
        <w:t xml:space="preserve"> </w:t>
      </w:r>
      <w:r>
        <w:t>assistance</w:t>
      </w:r>
      <w:r>
        <w:rPr>
          <w:spacing w:val="-13"/>
        </w:rPr>
        <w:t xml:space="preserve"> </w:t>
      </w:r>
      <w:r>
        <w:t>services</w:t>
      </w:r>
      <w:r>
        <w:rPr>
          <w:spacing w:val="-9"/>
        </w:rPr>
        <w:t xml:space="preserve"> </w:t>
      </w:r>
      <w:r>
        <w:t>in</w:t>
      </w:r>
      <w:r>
        <w:rPr>
          <w:spacing w:val="-12"/>
        </w:rPr>
        <w:t xml:space="preserve"> </w:t>
      </w:r>
      <w:r>
        <w:t>terms</w:t>
      </w:r>
      <w:r>
        <w:rPr>
          <w:spacing w:val="-11"/>
        </w:rPr>
        <w:t xml:space="preserve"> </w:t>
      </w:r>
      <w:r>
        <w:t>of</w:t>
      </w:r>
      <w:r>
        <w:rPr>
          <w:spacing w:val="-13"/>
        </w:rPr>
        <w:t xml:space="preserve"> </w:t>
      </w:r>
      <w:r>
        <w:t>their</w:t>
      </w:r>
      <w:r>
        <w:rPr>
          <w:spacing w:val="-14"/>
        </w:rPr>
        <w:t xml:space="preserve"> </w:t>
      </w:r>
      <w:r>
        <w:t>single</w:t>
      </w:r>
      <w:r>
        <w:rPr>
          <w:spacing w:val="-13"/>
        </w:rPr>
        <w:t xml:space="preserve"> </w:t>
      </w:r>
      <w:r>
        <w:t>market</w:t>
      </w:r>
      <w:r>
        <w:rPr>
          <w:spacing w:val="-57"/>
        </w:rPr>
        <w:t xml:space="preserve"> </w:t>
      </w:r>
      <w:r>
        <w:t>rights, while reducing the administrative burden. The implementation deadline is 2023. This</w:t>
      </w:r>
      <w:r>
        <w:rPr>
          <w:spacing w:val="1"/>
        </w:rPr>
        <w:t xml:space="preserve"> </w:t>
      </w:r>
      <w:r>
        <w:t>investment</w:t>
      </w:r>
      <w:r>
        <w:rPr>
          <w:spacing w:val="-11"/>
        </w:rPr>
        <w:t xml:space="preserve"> </w:t>
      </w:r>
      <w:r>
        <w:t>aims</w:t>
      </w:r>
      <w:r>
        <w:rPr>
          <w:spacing w:val="-11"/>
        </w:rPr>
        <w:t xml:space="preserve"> </w:t>
      </w:r>
      <w:r>
        <w:t>to</w:t>
      </w:r>
      <w:r>
        <w:rPr>
          <w:spacing w:val="-11"/>
        </w:rPr>
        <w:t xml:space="preserve"> </w:t>
      </w:r>
      <w:r>
        <w:t>consolidate</w:t>
      </w:r>
      <w:r>
        <w:rPr>
          <w:spacing w:val="-12"/>
        </w:rPr>
        <w:t xml:space="preserve"> </w:t>
      </w:r>
      <w:r>
        <w:t>the</w:t>
      </w:r>
      <w:r>
        <w:rPr>
          <w:spacing w:val="-12"/>
        </w:rPr>
        <w:t xml:space="preserve"> </w:t>
      </w:r>
      <w:r>
        <w:t>basic</w:t>
      </w:r>
      <w:r>
        <w:rPr>
          <w:spacing w:val="-9"/>
        </w:rPr>
        <w:t xml:space="preserve"> </w:t>
      </w:r>
      <w:r>
        <w:t>registers,</w:t>
      </w:r>
      <w:r>
        <w:rPr>
          <w:spacing w:val="-7"/>
        </w:rPr>
        <w:t xml:space="preserve"> </w:t>
      </w:r>
      <w:r>
        <w:t>integrate</w:t>
      </w:r>
      <w:r>
        <w:rPr>
          <w:spacing w:val="-12"/>
        </w:rPr>
        <w:t xml:space="preserve"> </w:t>
      </w:r>
      <w:r>
        <w:t>these</w:t>
      </w:r>
      <w:r>
        <w:rPr>
          <w:spacing w:val="-12"/>
        </w:rPr>
        <w:t xml:space="preserve"> </w:t>
      </w:r>
      <w:r>
        <w:t>registers</w:t>
      </w:r>
      <w:r>
        <w:rPr>
          <w:spacing w:val="-12"/>
        </w:rPr>
        <w:t xml:space="preserve"> </w:t>
      </w:r>
      <w:r>
        <w:t>into</w:t>
      </w:r>
      <w:r>
        <w:rPr>
          <w:spacing w:val="-11"/>
        </w:rPr>
        <w:t xml:space="preserve"> </w:t>
      </w:r>
      <w:r>
        <w:t>the</w:t>
      </w:r>
      <w:r>
        <w:rPr>
          <w:spacing w:val="-6"/>
        </w:rPr>
        <w:t xml:space="preserve"> </w:t>
      </w:r>
      <w:r>
        <w:t>Government</w:t>
      </w:r>
      <w:r>
        <w:rPr>
          <w:spacing w:val="-58"/>
        </w:rPr>
        <w:t xml:space="preserve"> </w:t>
      </w:r>
      <w:r>
        <w:t>Service Bus (GSB) and establish a central interoperability portal in accordance with the</w:t>
      </w:r>
      <w:r>
        <w:rPr>
          <w:spacing w:val="1"/>
        </w:rPr>
        <w:t xml:space="preserve"> </w:t>
      </w:r>
      <w:r>
        <w:t>European Interoperability Framework (EIF), create interoperability standards and policies,</w:t>
      </w:r>
      <w:r>
        <w:rPr>
          <w:spacing w:val="1"/>
        </w:rPr>
        <w:t xml:space="preserve"> </w:t>
      </w:r>
      <w:r>
        <w:t>harmonise</w:t>
      </w:r>
      <w:r>
        <w:rPr>
          <w:spacing w:val="1"/>
        </w:rPr>
        <w:t xml:space="preserve"> </w:t>
      </w:r>
      <w:r>
        <w:t>legal</w:t>
      </w:r>
      <w:r>
        <w:rPr>
          <w:spacing w:val="1"/>
        </w:rPr>
        <w:t xml:space="preserve"> </w:t>
      </w:r>
      <w:r>
        <w:t>frameworks</w:t>
      </w:r>
      <w:r>
        <w:rPr>
          <w:spacing w:val="1"/>
        </w:rPr>
        <w:t xml:space="preserve"> </w:t>
      </w:r>
      <w:r>
        <w:t>and</w:t>
      </w:r>
      <w:r>
        <w:rPr>
          <w:spacing w:val="1"/>
        </w:rPr>
        <w:t xml:space="preserve"> </w:t>
      </w:r>
      <w:r>
        <w:t>fully</w:t>
      </w:r>
      <w:r>
        <w:rPr>
          <w:spacing w:val="1"/>
        </w:rPr>
        <w:t xml:space="preserve"> </w:t>
      </w:r>
      <w:r>
        <w:t>implement</w:t>
      </w:r>
      <w:r>
        <w:rPr>
          <w:spacing w:val="1"/>
        </w:rPr>
        <w:t xml:space="preserve"> </w:t>
      </w:r>
      <w:r>
        <w:t>the</w:t>
      </w:r>
      <w:r>
        <w:rPr>
          <w:spacing w:val="1"/>
        </w:rPr>
        <w:t xml:space="preserve"> </w:t>
      </w:r>
      <w:r>
        <w:t>“once</w:t>
      </w:r>
      <w:r>
        <w:rPr>
          <w:spacing w:val="1"/>
        </w:rPr>
        <w:t xml:space="preserve"> </w:t>
      </w:r>
      <w:r>
        <w:t>only”</w:t>
      </w:r>
      <w:r>
        <w:rPr>
          <w:spacing w:val="1"/>
        </w:rPr>
        <w:t xml:space="preserve"> </w:t>
      </w:r>
      <w:r>
        <w:t>principle</w:t>
      </w:r>
      <w:r>
        <w:rPr>
          <w:spacing w:val="1"/>
        </w:rPr>
        <w:t xml:space="preserve"> </w:t>
      </w:r>
      <w:r>
        <w:t>by</w:t>
      </w:r>
      <w:r>
        <w:rPr>
          <w:spacing w:val="1"/>
        </w:rPr>
        <w:t xml:space="preserve"> </w:t>
      </w:r>
      <w:r>
        <w:t>2023</w:t>
      </w:r>
      <w:r>
        <w:rPr>
          <w:spacing w:val="1"/>
        </w:rPr>
        <w:t xml:space="preserve"> </w:t>
      </w:r>
      <w:r>
        <w:t>in</w:t>
      </w:r>
      <w:r>
        <w:rPr>
          <w:spacing w:val="-57"/>
        </w:rPr>
        <w:t xml:space="preserve"> </w:t>
      </w:r>
      <w:r>
        <w:t>accordance</w:t>
      </w:r>
      <w:r>
        <w:rPr>
          <w:spacing w:val="45"/>
        </w:rPr>
        <w:t xml:space="preserve"> </w:t>
      </w:r>
      <w:r>
        <w:t>with</w:t>
      </w:r>
      <w:r>
        <w:rPr>
          <w:spacing w:val="47"/>
        </w:rPr>
        <w:t xml:space="preserve"> </w:t>
      </w:r>
      <w:r>
        <w:t>the</w:t>
      </w:r>
      <w:r>
        <w:rPr>
          <w:spacing w:val="46"/>
        </w:rPr>
        <w:t xml:space="preserve"> </w:t>
      </w:r>
      <w:r>
        <w:t>SDGR,</w:t>
      </w:r>
      <w:r>
        <w:rPr>
          <w:spacing w:val="46"/>
        </w:rPr>
        <w:t xml:space="preserve"> </w:t>
      </w:r>
      <w:r>
        <w:t>as</w:t>
      </w:r>
      <w:r>
        <w:rPr>
          <w:spacing w:val="48"/>
        </w:rPr>
        <w:t xml:space="preserve"> </w:t>
      </w:r>
      <w:r>
        <w:t>well</w:t>
      </w:r>
      <w:r>
        <w:rPr>
          <w:spacing w:val="47"/>
        </w:rPr>
        <w:t xml:space="preserve"> </w:t>
      </w:r>
      <w:r>
        <w:t>as</w:t>
      </w:r>
      <w:r>
        <w:rPr>
          <w:spacing w:val="47"/>
        </w:rPr>
        <w:t xml:space="preserve"> </w:t>
      </w:r>
      <w:r>
        <w:t>establish</w:t>
      </w:r>
      <w:r>
        <w:rPr>
          <w:spacing w:val="46"/>
        </w:rPr>
        <w:t xml:space="preserve"> </w:t>
      </w:r>
      <w:r>
        <w:t>cross-border</w:t>
      </w:r>
      <w:r>
        <w:rPr>
          <w:spacing w:val="47"/>
        </w:rPr>
        <w:t xml:space="preserve"> </w:t>
      </w:r>
      <w:r>
        <w:t>data</w:t>
      </w:r>
      <w:r>
        <w:rPr>
          <w:spacing w:val="48"/>
        </w:rPr>
        <w:t xml:space="preserve"> </w:t>
      </w:r>
      <w:r>
        <w:t>exchange</w:t>
      </w:r>
      <w:r>
        <w:rPr>
          <w:spacing w:val="45"/>
        </w:rPr>
        <w:t xml:space="preserve"> </w:t>
      </w:r>
      <w:r>
        <w:t>between</w:t>
      </w:r>
      <w:r>
        <w:rPr>
          <w:spacing w:val="46"/>
        </w:rPr>
        <w:t xml:space="preserve"> </w:t>
      </w:r>
      <w:r>
        <w:t>EU</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1"/>
      </w:pPr>
      <w:r>
        <w:t>Member States. The proposed investment is complementary to the project Establishment of a</w:t>
      </w:r>
      <w:r>
        <w:rPr>
          <w:spacing w:val="1"/>
        </w:rPr>
        <w:t xml:space="preserve"> </w:t>
      </w:r>
      <w:r>
        <w:t>Shared</w:t>
      </w:r>
      <w:r>
        <w:rPr>
          <w:spacing w:val="-5"/>
        </w:rPr>
        <w:t xml:space="preserve"> </w:t>
      </w:r>
      <w:r>
        <w:t>Services</w:t>
      </w:r>
      <w:r>
        <w:rPr>
          <w:spacing w:val="-4"/>
        </w:rPr>
        <w:t xml:space="preserve"> </w:t>
      </w:r>
      <w:r>
        <w:t>Centre,</w:t>
      </w:r>
      <w:r>
        <w:rPr>
          <w:spacing w:val="-5"/>
        </w:rPr>
        <w:t xml:space="preserve"> </w:t>
      </w:r>
      <w:r>
        <w:t>co-financed</w:t>
      </w:r>
      <w:r>
        <w:rPr>
          <w:spacing w:val="-4"/>
        </w:rPr>
        <w:t xml:space="preserve"> </w:t>
      </w:r>
      <w:r>
        <w:t>by</w:t>
      </w:r>
      <w:r>
        <w:rPr>
          <w:spacing w:val="-9"/>
        </w:rPr>
        <w:t xml:space="preserve"> </w:t>
      </w:r>
      <w:r>
        <w:t>the</w:t>
      </w:r>
      <w:r>
        <w:rPr>
          <w:spacing w:val="-5"/>
        </w:rPr>
        <w:t xml:space="preserve"> </w:t>
      </w:r>
      <w:r>
        <w:t>ERDF</w:t>
      </w:r>
      <w:r>
        <w:rPr>
          <w:spacing w:val="-3"/>
        </w:rPr>
        <w:t xml:space="preserve"> </w:t>
      </w:r>
      <w:r>
        <w:t>under</w:t>
      </w:r>
      <w:r>
        <w:rPr>
          <w:spacing w:val="-6"/>
        </w:rPr>
        <w:t xml:space="preserve"> </w:t>
      </w:r>
      <w:r>
        <w:t>the</w:t>
      </w:r>
      <w:r>
        <w:rPr>
          <w:spacing w:val="-4"/>
        </w:rPr>
        <w:t xml:space="preserve"> </w:t>
      </w:r>
      <w:r>
        <w:t>OPCC.</w:t>
      </w:r>
      <w:r>
        <w:rPr>
          <w:spacing w:val="-2"/>
        </w:rPr>
        <w:t xml:space="preserve"> </w:t>
      </w:r>
      <w:r>
        <w:t>Furthermore,</w:t>
      </w:r>
      <w:r>
        <w:rPr>
          <w:spacing w:val="-5"/>
        </w:rPr>
        <w:t xml:space="preserve"> </w:t>
      </w:r>
      <w:r>
        <w:t>the</w:t>
      </w:r>
      <w:r>
        <w:rPr>
          <w:spacing w:val="-4"/>
        </w:rPr>
        <w:t xml:space="preserve"> </w:t>
      </w:r>
      <w:r>
        <w:t>initiative</w:t>
      </w:r>
      <w:r>
        <w:rPr>
          <w:spacing w:val="-58"/>
        </w:rPr>
        <w:t xml:space="preserve"> </w:t>
      </w:r>
      <w:r>
        <w:t>for</w:t>
      </w:r>
      <w:r>
        <w:rPr>
          <w:spacing w:val="-16"/>
        </w:rPr>
        <w:t xml:space="preserve"> </w:t>
      </w:r>
      <w:r>
        <w:t>systematic</w:t>
      </w:r>
      <w:r>
        <w:rPr>
          <w:spacing w:val="-14"/>
        </w:rPr>
        <w:t xml:space="preserve"> </w:t>
      </w:r>
      <w:r>
        <w:t>development</w:t>
      </w:r>
      <w:r>
        <w:rPr>
          <w:spacing w:val="-14"/>
        </w:rPr>
        <w:t xml:space="preserve"> </w:t>
      </w:r>
      <w:r>
        <w:t>of</w:t>
      </w:r>
      <w:r>
        <w:rPr>
          <w:spacing w:val="-16"/>
        </w:rPr>
        <w:t xml:space="preserve"> </w:t>
      </w:r>
      <w:r>
        <w:t>interoperability</w:t>
      </w:r>
      <w:r>
        <w:rPr>
          <w:spacing w:val="-17"/>
        </w:rPr>
        <w:t xml:space="preserve"> </w:t>
      </w:r>
      <w:r>
        <w:t>is</w:t>
      </w:r>
      <w:r>
        <w:rPr>
          <w:spacing w:val="-14"/>
        </w:rPr>
        <w:t xml:space="preserve"> </w:t>
      </w:r>
      <w:r>
        <w:t>complementary</w:t>
      </w:r>
      <w:r>
        <w:rPr>
          <w:spacing w:val="-20"/>
        </w:rPr>
        <w:t xml:space="preserve"> </w:t>
      </w:r>
      <w:r>
        <w:t>to</w:t>
      </w:r>
      <w:r>
        <w:rPr>
          <w:spacing w:val="-14"/>
        </w:rPr>
        <w:t xml:space="preserve"> </w:t>
      </w:r>
      <w:r>
        <w:t>the</w:t>
      </w:r>
      <w:r>
        <w:rPr>
          <w:spacing w:val="-13"/>
        </w:rPr>
        <w:t xml:space="preserve"> </w:t>
      </w:r>
      <w:r>
        <w:t>ESF</w:t>
      </w:r>
      <w:r>
        <w:rPr>
          <w:spacing w:val="-14"/>
        </w:rPr>
        <w:t xml:space="preserve"> </w:t>
      </w:r>
      <w:r>
        <w:t>co-financed</w:t>
      </w:r>
      <w:r>
        <w:rPr>
          <w:spacing w:val="-15"/>
        </w:rPr>
        <w:t xml:space="preserve"> </w:t>
      </w:r>
      <w:r>
        <w:t>project</w:t>
      </w:r>
      <w:r>
        <w:rPr>
          <w:spacing w:val="-57"/>
        </w:rPr>
        <w:t xml:space="preserve"> </w:t>
      </w:r>
      <w:r>
        <w:t>Process Informatisation and Establishment of a Complete Electronic Enrolment Service in</w:t>
      </w:r>
      <w:r>
        <w:rPr>
          <w:spacing w:val="1"/>
        </w:rPr>
        <w:t xml:space="preserve"> </w:t>
      </w:r>
      <w:r>
        <w:t>Educational</w:t>
      </w:r>
      <w:r>
        <w:rPr>
          <w:spacing w:val="-2"/>
        </w:rPr>
        <w:t xml:space="preserve"> </w:t>
      </w:r>
      <w:r>
        <w:t>Institutions</w:t>
      </w:r>
      <w:r>
        <w:rPr>
          <w:spacing w:val="-2"/>
        </w:rPr>
        <w:t xml:space="preserve"> </w:t>
      </w:r>
      <w:r>
        <w:t>in</w:t>
      </w:r>
      <w:r>
        <w:rPr>
          <w:spacing w:val="-3"/>
        </w:rPr>
        <w:t xml:space="preserve"> </w:t>
      </w:r>
      <w:r>
        <w:t>terms</w:t>
      </w:r>
      <w:r>
        <w:rPr>
          <w:spacing w:val="-4"/>
        </w:rPr>
        <w:t xml:space="preserve"> </w:t>
      </w:r>
      <w:r>
        <w:t>of</w:t>
      </w:r>
      <w:r>
        <w:rPr>
          <w:spacing w:val="-2"/>
        </w:rPr>
        <w:t xml:space="preserve"> </w:t>
      </w:r>
      <w:r>
        <w:t>which</w:t>
      </w:r>
      <w:r>
        <w:rPr>
          <w:spacing w:val="-1"/>
        </w:rPr>
        <w:t xml:space="preserve"> </w:t>
      </w:r>
      <w:r>
        <w:t>a</w:t>
      </w:r>
      <w:r>
        <w:rPr>
          <w:spacing w:val="-5"/>
        </w:rPr>
        <w:t xml:space="preserve"> </w:t>
      </w:r>
      <w:r>
        <w:t>smaller</w:t>
      </w:r>
      <w:r>
        <w:rPr>
          <w:spacing w:val="-6"/>
        </w:rPr>
        <w:t xml:space="preserve"> </w:t>
      </w:r>
      <w:r>
        <w:t>scope</w:t>
      </w:r>
      <w:r>
        <w:rPr>
          <w:spacing w:val="-5"/>
        </w:rPr>
        <w:t xml:space="preserve"> </w:t>
      </w:r>
      <w:r>
        <w:t>of</w:t>
      </w:r>
      <w:r>
        <w:rPr>
          <w:spacing w:val="-2"/>
        </w:rPr>
        <w:t xml:space="preserve"> </w:t>
      </w:r>
      <w:r>
        <w:t>the</w:t>
      </w:r>
      <w:r>
        <w:rPr>
          <w:spacing w:val="-1"/>
        </w:rPr>
        <w:t xml:space="preserve"> </w:t>
      </w:r>
      <w:r>
        <w:t>register</w:t>
      </w:r>
      <w:r>
        <w:rPr>
          <w:spacing w:val="-3"/>
        </w:rPr>
        <w:t xml:space="preserve"> </w:t>
      </w:r>
      <w:r>
        <w:t>integration</w:t>
      </w:r>
      <w:r>
        <w:rPr>
          <w:spacing w:val="-4"/>
        </w:rPr>
        <w:t xml:space="preserve"> </w:t>
      </w:r>
      <w:r>
        <w:t>process</w:t>
      </w:r>
      <w:r>
        <w:rPr>
          <w:spacing w:val="-3"/>
        </w:rPr>
        <w:t xml:space="preserve"> </w:t>
      </w:r>
      <w:r>
        <w:t>in</w:t>
      </w:r>
      <w:r>
        <w:rPr>
          <w:spacing w:val="-58"/>
        </w:rPr>
        <w:t xml:space="preserve"> </w:t>
      </w:r>
      <w:r>
        <w:t>the GSB has begun in order to develop complex services for electronic applications and</w:t>
      </w:r>
      <w:r>
        <w:rPr>
          <w:spacing w:val="1"/>
        </w:rPr>
        <w:t xml:space="preserve"> </w:t>
      </w:r>
      <w:r>
        <w:t>enrolment into institutions in the education system, the state matura register and the national</w:t>
      </w:r>
      <w:r>
        <w:rPr>
          <w:spacing w:val="1"/>
        </w:rPr>
        <w:t xml:space="preserve"> </w:t>
      </w:r>
      <w:r>
        <w:t>information system for adult education. This project envisages the integration of 8 registers</w:t>
      </w:r>
      <w:r>
        <w:rPr>
          <w:spacing w:val="1"/>
        </w:rPr>
        <w:t xml:space="preserve"> </w:t>
      </w:r>
      <w:r>
        <w:t>(e.g., register of veterans, state registers, register of residence) through the central bus, but not</w:t>
      </w:r>
      <w:r>
        <w:rPr>
          <w:spacing w:val="-57"/>
        </w:rPr>
        <w:t xml:space="preserve"> </w:t>
      </w:r>
      <w:r>
        <w:t>the</w:t>
      </w:r>
      <w:r>
        <w:rPr>
          <w:spacing w:val="-7"/>
        </w:rPr>
        <w:t xml:space="preserve"> </w:t>
      </w:r>
      <w:r>
        <w:t>establishment</w:t>
      </w:r>
      <w:r>
        <w:rPr>
          <w:spacing w:val="-6"/>
        </w:rPr>
        <w:t xml:space="preserve"> </w:t>
      </w:r>
      <w:r>
        <w:t>and</w:t>
      </w:r>
      <w:r>
        <w:rPr>
          <w:spacing w:val="-6"/>
        </w:rPr>
        <w:t xml:space="preserve"> </w:t>
      </w:r>
      <w:r>
        <w:t>implementation</w:t>
      </w:r>
      <w:r>
        <w:rPr>
          <w:spacing w:val="-6"/>
        </w:rPr>
        <w:t xml:space="preserve"> </w:t>
      </w:r>
      <w:r>
        <w:t>of</w:t>
      </w:r>
      <w:r>
        <w:rPr>
          <w:spacing w:val="-7"/>
        </w:rPr>
        <w:t xml:space="preserve"> </w:t>
      </w:r>
      <w:r>
        <w:t>all</w:t>
      </w:r>
      <w:r>
        <w:rPr>
          <w:spacing w:val="-6"/>
        </w:rPr>
        <w:t xml:space="preserve"> </w:t>
      </w:r>
      <w:r>
        <w:t>components</w:t>
      </w:r>
      <w:r>
        <w:rPr>
          <w:spacing w:val="-6"/>
        </w:rPr>
        <w:t xml:space="preserve"> </w:t>
      </w:r>
      <w:r>
        <w:t>of</w:t>
      </w:r>
      <w:r>
        <w:rPr>
          <w:spacing w:val="-7"/>
        </w:rPr>
        <w:t xml:space="preserve"> </w:t>
      </w:r>
      <w:r>
        <w:t>the</w:t>
      </w:r>
      <w:r>
        <w:rPr>
          <w:spacing w:val="-6"/>
        </w:rPr>
        <w:t xml:space="preserve"> </w:t>
      </w:r>
      <w:r>
        <w:t>Central</w:t>
      </w:r>
      <w:r>
        <w:rPr>
          <w:spacing w:val="-3"/>
        </w:rPr>
        <w:t xml:space="preserve"> </w:t>
      </w:r>
      <w:r>
        <w:t>Interoperability</w:t>
      </w:r>
      <w:r>
        <w:rPr>
          <w:spacing w:val="-13"/>
        </w:rPr>
        <w:t xml:space="preserve"> </w:t>
      </w:r>
      <w:r>
        <w:t>System</w:t>
      </w:r>
      <w:r>
        <w:rPr>
          <w:spacing w:val="-58"/>
        </w:rPr>
        <w:t xml:space="preserve"> </w:t>
      </w:r>
      <w:r>
        <w:t>in accordance with EIF principles. The project is ongoing, and this segment requires co-</w:t>
      </w:r>
      <w:r>
        <w:rPr>
          <w:spacing w:val="1"/>
        </w:rPr>
        <w:t xml:space="preserve"> </w:t>
      </w:r>
      <w:r>
        <w:t>financing of registry connections to the GSB in terms of this investment. An analysis of the</w:t>
      </w:r>
      <w:r>
        <w:rPr>
          <w:spacing w:val="1"/>
        </w:rPr>
        <w:t xml:space="preserve"> </w:t>
      </w:r>
      <w:r>
        <w:t>current</w:t>
      </w:r>
      <w:r>
        <w:rPr>
          <w:spacing w:val="-4"/>
        </w:rPr>
        <w:t xml:space="preserve"> </w:t>
      </w:r>
      <w:r>
        <w:t>state</w:t>
      </w:r>
      <w:r>
        <w:rPr>
          <w:spacing w:val="-6"/>
        </w:rPr>
        <w:t xml:space="preserve"> </w:t>
      </w:r>
      <w:r>
        <w:t>of</w:t>
      </w:r>
      <w:r>
        <w:rPr>
          <w:spacing w:val="-6"/>
        </w:rPr>
        <w:t xml:space="preserve"> </w:t>
      </w:r>
      <w:r>
        <w:t>the</w:t>
      </w:r>
      <w:r>
        <w:rPr>
          <w:spacing w:val="-4"/>
        </w:rPr>
        <w:t xml:space="preserve"> </w:t>
      </w:r>
      <w:r>
        <w:t>registers</w:t>
      </w:r>
      <w:r>
        <w:rPr>
          <w:spacing w:val="-7"/>
        </w:rPr>
        <w:t xml:space="preserve"> </w:t>
      </w:r>
      <w:r>
        <w:t>is</w:t>
      </w:r>
      <w:r>
        <w:rPr>
          <w:spacing w:val="-5"/>
        </w:rPr>
        <w:t xml:space="preserve"> </w:t>
      </w:r>
      <w:r>
        <w:t>planned,</w:t>
      </w:r>
      <w:r>
        <w:rPr>
          <w:spacing w:val="-3"/>
        </w:rPr>
        <w:t xml:space="preserve"> </w:t>
      </w:r>
      <w:r>
        <w:t>which</w:t>
      </w:r>
      <w:r>
        <w:rPr>
          <w:spacing w:val="-5"/>
        </w:rPr>
        <w:t xml:space="preserve"> </w:t>
      </w:r>
      <w:r>
        <w:t>should</w:t>
      </w:r>
      <w:r>
        <w:rPr>
          <w:spacing w:val="-6"/>
        </w:rPr>
        <w:t xml:space="preserve"> </w:t>
      </w:r>
      <w:r>
        <w:t>result</w:t>
      </w:r>
      <w:r>
        <w:rPr>
          <w:spacing w:val="-4"/>
        </w:rPr>
        <w:t xml:space="preserve"> </w:t>
      </w:r>
      <w:r>
        <w:t>in</w:t>
      </w:r>
      <w:r>
        <w:rPr>
          <w:spacing w:val="-5"/>
        </w:rPr>
        <w:t xml:space="preserve"> </w:t>
      </w:r>
      <w:r>
        <w:t>recommendations</w:t>
      </w:r>
      <w:r>
        <w:rPr>
          <w:spacing w:val="-5"/>
        </w:rPr>
        <w:t xml:space="preserve"> </w:t>
      </w:r>
      <w:r>
        <w:t>for</w:t>
      </w:r>
      <w:r>
        <w:rPr>
          <w:spacing w:val="-8"/>
        </w:rPr>
        <w:t xml:space="preserve"> </w:t>
      </w:r>
      <w:r>
        <w:t>improving</w:t>
      </w:r>
      <w:r>
        <w:rPr>
          <w:spacing w:val="-57"/>
        </w:rPr>
        <w:t xml:space="preserve"> </w:t>
      </w:r>
      <w:r>
        <w:t>the current state in legal, technical, organisational and procedural aspects, which is actually</w:t>
      </w:r>
      <w:r>
        <w:rPr>
          <w:spacing w:val="1"/>
        </w:rPr>
        <w:t xml:space="preserve"> </w:t>
      </w:r>
      <w:r>
        <w:t>defined</w:t>
      </w:r>
      <w:r>
        <w:rPr>
          <w:spacing w:val="-5"/>
        </w:rPr>
        <w:t xml:space="preserve"> </w:t>
      </w:r>
      <w:r>
        <w:t>in</w:t>
      </w:r>
      <w:r>
        <w:rPr>
          <w:spacing w:val="-3"/>
        </w:rPr>
        <w:t xml:space="preserve"> </w:t>
      </w:r>
      <w:r>
        <w:t>the</w:t>
      </w:r>
      <w:r>
        <w:rPr>
          <w:spacing w:val="-3"/>
        </w:rPr>
        <w:t xml:space="preserve"> </w:t>
      </w:r>
      <w:r>
        <w:t>principles</w:t>
      </w:r>
      <w:r>
        <w:rPr>
          <w:spacing w:val="-1"/>
        </w:rPr>
        <w:t xml:space="preserve"> </w:t>
      </w:r>
      <w:r>
        <w:t>of</w:t>
      </w:r>
      <w:r>
        <w:rPr>
          <w:spacing w:val="-5"/>
        </w:rPr>
        <w:t xml:space="preserve"> </w:t>
      </w:r>
      <w:r>
        <w:t>the</w:t>
      </w:r>
      <w:r>
        <w:rPr>
          <w:spacing w:val="-4"/>
        </w:rPr>
        <w:t xml:space="preserve"> </w:t>
      </w:r>
      <w:r>
        <w:t>European</w:t>
      </w:r>
      <w:r>
        <w:rPr>
          <w:spacing w:val="1"/>
        </w:rPr>
        <w:t xml:space="preserve"> </w:t>
      </w:r>
      <w:r>
        <w:t>Interoperability</w:t>
      </w:r>
      <w:r>
        <w:rPr>
          <w:spacing w:val="-7"/>
        </w:rPr>
        <w:t xml:space="preserve"> </w:t>
      </w:r>
      <w:r>
        <w:t>Framework.</w:t>
      </w:r>
      <w:r>
        <w:rPr>
          <w:spacing w:val="-4"/>
        </w:rPr>
        <w:t xml:space="preserve"> </w:t>
      </w:r>
      <w:r>
        <w:t>The</w:t>
      </w:r>
      <w:r>
        <w:rPr>
          <w:spacing w:val="-3"/>
        </w:rPr>
        <w:t xml:space="preserve"> </w:t>
      </w:r>
      <w:r>
        <w:t>planned</w:t>
      </w:r>
      <w:r>
        <w:rPr>
          <w:spacing w:val="-4"/>
        </w:rPr>
        <w:t xml:space="preserve"> </w:t>
      </w:r>
      <w:r>
        <w:t>completion</w:t>
      </w:r>
      <w:r>
        <w:rPr>
          <w:spacing w:val="-58"/>
        </w:rPr>
        <w:t xml:space="preserve"> </w:t>
      </w:r>
      <w:r>
        <w:t>of the</w:t>
      </w:r>
      <w:r>
        <w:rPr>
          <w:spacing w:val="-3"/>
        </w:rPr>
        <w:t xml:space="preserve"> </w:t>
      </w:r>
      <w:r>
        <w:t>project is June</w:t>
      </w:r>
      <w:r>
        <w:rPr>
          <w:spacing w:val="-1"/>
        </w:rPr>
        <w:t xml:space="preserve"> </w:t>
      </w:r>
      <w:r>
        <w:t>2026.</w:t>
      </w:r>
    </w:p>
    <w:p w:rsidR="00A56FE9" w:rsidRDefault="00A56FE9">
      <w:pPr>
        <w:pStyle w:val="Tijeloteksta"/>
        <w:ind w:left="0"/>
        <w:jc w:val="left"/>
        <w:rPr>
          <w:sz w:val="26"/>
        </w:rPr>
      </w:pPr>
    </w:p>
    <w:p w:rsidR="00A56FE9" w:rsidRDefault="00000000">
      <w:pPr>
        <w:pStyle w:val="Naslov3"/>
        <w:spacing w:before="188"/>
      </w:pPr>
      <w:bookmarkStart w:id="14" w:name="_bookmark14"/>
      <w:bookmarkEnd w:id="14"/>
      <w:r>
        <w:rPr>
          <w:rFonts w:ascii="Times New Roman"/>
          <w:b/>
          <w:color w:val="2C398A"/>
          <w:spacing w:val="-1"/>
        </w:rPr>
        <w:t>C2.4.</w:t>
      </w:r>
      <w:r>
        <w:rPr>
          <w:rFonts w:ascii="Times New Roman"/>
          <w:b/>
          <w:color w:val="2C398A"/>
          <w:spacing w:val="1"/>
        </w:rPr>
        <w:t xml:space="preserve"> </w:t>
      </w:r>
      <w:r>
        <w:rPr>
          <w:color w:val="003399"/>
          <w:spacing w:val="-1"/>
        </w:rPr>
        <w:t>Improving</w:t>
      </w:r>
      <w:r>
        <w:rPr>
          <w:color w:val="003399"/>
          <w:spacing w:val="-15"/>
        </w:rPr>
        <w:t xml:space="preserve"> </w:t>
      </w:r>
      <w:r>
        <w:rPr>
          <w:color w:val="003399"/>
          <w:spacing w:val="-1"/>
        </w:rPr>
        <w:t>management</w:t>
      </w:r>
      <w:r>
        <w:rPr>
          <w:color w:val="003399"/>
          <w:spacing w:val="-11"/>
        </w:rPr>
        <w:t xml:space="preserve"> </w:t>
      </w:r>
      <w:r>
        <w:rPr>
          <w:color w:val="003399"/>
        </w:rPr>
        <w:t>of</w:t>
      </w:r>
      <w:r>
        <w:rPr>
          <w:color w:val="003399"/>
          <w:spacing w:val="-13"/>
        </w:rPr>
        <w:t xml:space="preserve"> </w:t>
      </w:r>
      <w:r>
        <w:rPr>
          <w:color w:val="003399"/>
        </w:rPr>
        <w:t>state</w:t>
      </w:r>
      <w:r>
        <w:rPr>
          <w:color w:val="003399"/>
          <w:spacing w:val="-12"/>
        </w:rPr>
        <w:t xml:space="preserve"> </w:t>
      </w:r>
      <w:r>
        <w:rPr>
          <w:color w:val="003399"/>
        </w:rPr>
        <w:t>assets</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66016"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140753211" name="Rectangl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43487" id="Rectangle 232" o:spid="_x0000_s1026" style="position:absolute;margin-left:64.1pt;margin-top:-6.1pt;width:1.45pt;height:27pt;z-index:1576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Improving</w:t>
      </w:r>
      <w:r w:rsidR="00000000">
        <w:rPr>
          <w:color w:val="2C398A"/>
          <w:spacing w:val="-6"/>
        </w:rPr>
        <w:t xml:space="preserve"> </w:t>
      </w:r>
      <w:r w:rsidR="00000000">
        <w:rPr>
          <w:color w:val="2C398A"/>
        </w:rPr>
        <w:t>management</w:t>
      </w:r>
      <w:r w:rsidR="00000000">
        <w:rPr>
          <w:color w:val="2C398A"/>
          <w:spacing w:val="-7"/>
        </w:rPr>
        <w:t xml:space="preserve"> </w:t>
      </w:r>
      <w:r w:rsidR="00000000">
        <w:rPr>
          <w:color w:val="2C398A"/>
        </w:rPr>
        <w:t>of</w:t>
      </w:r>
      <w:r w:rsidR="00000000">
        <w:rPr>
          <w:color w:val="2C398A"/>
          <w:spacing w:val="-7"/>
        </w:rPr>
        <w:t xml:space="preserve"> </w:t>
      </w:r>
      <w:r w:rsidR="00000000">
        <w:rPr>
          <w:color w:val="2C398A"/>
        </w:rPr>
        <w:t>state</w:t>
      </w:r>
      <w:r w:rsidR="00000000">
        <w:rPr>
          <w:color w:val="2C398A"/>
          <w:spacing w:val="-4"/>
        </w:rPr>
        <w:t xml:space="preserve"> </w:t>
      </w:r>
      <w:r w:rsidR="00000000">
        <w:rPr>
          <w:color w:val="2C398A"/>
        </w:rPr>
        <w:t>assets</w:t>
      </w:r>
    </w:p>
    <w:p w:rsidR="00A56FE9" w:rsidRDefault="00000000">
      <w:pPr>
        <w:spacing w:before="233"/>
        <w:ind w:left="138" w:right="273"/>
        <w:jc w:val="both"/>
        <w:rPr>
          <w:i/>
          <w:sz w:val="24"/>
        </w:rPr>
      </w:pPr>
      <w:r>
        <w:rPr>
          <w:i/>
          <w:color w:val="003399"/>
          <w:sz w:val="24"/>
        </w:rPr>
        <w:t>2019.CSR4.1.</w:t>
      </w:r>
      <w:r>
        <w:rPr>
          <w:i/>
          <w:color w:val="003399"/>
          <w:spacing w:val="-7"/>
          <w:sz w:val="24"/>
        </w:rPr>
        <w:t xml:space="preserve"> </w:t>
      </w:r>
      <w:r>
        <w:rPr>
          <w:i/>
          <w:color w:val="003399"/>
          <w:sz w:val="24"/>
        </w:rPr>
        <w:t>Improving</w:t>
      </w:r>
      <w:r>
        <w:rPr>
          <w:i/>
          <w:color w:val="003399"/>
          <w:spacing w:val="-6"/>
          <w:sz w:val="24"/>
        </w:rPr>
        <w:t xml:space="preserve"> </w:t>
      </w:r>
      <w:r>
        <w:rPr>
          <w:i/>
          <w:color w:val="003399"/>
          <w:sz w:val="24"/>
        </w:rPr>
        <w:t>corporate</w:t>
      </w:r>
      <w:r>
        <w:rPr>
          <w:i/>
          <w:color w:val="003399"/>
          <w:spacing w:val="-7"/>
          <w:sz w:val="24"/>
        </w:rPr>
        <w:t xml:space="preserve"> </w:t>
      </w:r>
      <w:r>
        <w:rPr>
          <w:i/>
          <w:color w:val="003399"/>
          <w:sz w:val="24"/>
        </w:rPr>
        <w:t>governance</w:t>
      </w:r>
      <w:r>
        <w:rPr>
          <w:i/>
          <w:color w:val="003399"/>
          <w:spacing w:val="-7"/>
          <w:sz w:val="24"/>
        </w:rPr>
        <w:t xml:space="preserve"> </w:t>
      </w:r>
      <w:r>
        <w:rPr>
          <w:i/>
          <w:color w:val="003399"/>
          <w:sz w:val="24"/>
        </w:rPr>
        <w:t>of</w:t>
      </w:r>
      <w:r>
        <w:rPr>
          <w:i/>
          <w:color w:val="003399"/>
          <w:spacing w:val="-6"/>
          <w:sz w:val="24"/>
        </w:rPr>
        <w:t xml:space="preserve"> </w:t>
      </w:r>
      <w:r>
        <w:rPr>
          <w:i/>
          <w:color w:val="003399"/>
          <w:sz w:val="24"/>
        </w:rPr>
        <w:t>state-owned</w:t>
      </w:r>
      <w:r>
        <w:rPr>
          <w:i/>
          <w:color w:val="003399"/>
          <w:spacing w:val="-6"/>
          <w:sz w:val="24"/>
        </w:rPr>
        <w:t xml:space="preserve"> </w:t>
      </w:r>
      <w:r>
        <w:rPr>
          <w:i/>
          <w:color w:val="003399"/>
          <w:sz w:val="24"/>
        </w:rPr>
        <w:t>enterprises</w:t>
      </w:r>
      <w:r>
        <w:rPr>
          <w:i/>
          <w:color w:val="003399"/>
          <w:spacing w:val="-6"/>
          <w:sz w:val="24"/>
        </w:rPr>
        <w:t xml:space="preserve"> </w:t>
      </w:r>
      <w:r>
        <w:rPr>
          <w:i/>
          <w:color w:val="003399"/>
          <w:sz w:val="24"/>
        </w:rPr>
        <w:t>and</w:t>
      </w:r>
      <w:r>
        <w:rPr>
          <w:i/>
          <w:color w:val="003399"/>
          <w:spacing w:val="-6"/>
          <w:sz w:val="24"/>
        </w:rPr>
        <w:t xml:space="preserve"> </w:t>
      </w:r>
      <w:r>
        <w:rPr>
          <w:i/>
          <w:color w:val="003399"/>
          <w:sz w:val="24"/>
        </w:rPr>
        <w:t>intensifying</w:t>
      </w:r>
      <w:r>
        <w:rPr>
          <w:i/>
          <w:color w:val="003399"/>
          <w:spacing w:val="-7"/>
          <w:sz w:val="24"/>
        </w:rPr>
        <w:t xml:space="preserve"> </w:t>
      </w:r>
      <w:r>
        <w:rPr>
          <w:i/>
          <w:color w:val="003399"/>
          <w:sz w:val="24"/>
        </w:rPr>
        <w:t>the</w:t>
      </w:r>
      <w:r>
        <w:rPr>
          <w:i/>
          <w:color w:val="003399"/>
          <w:spacing w:val="-57"/>
          <w:sz w:val="24"/>
        </w:rPr>
        <w:t xml:space="preserve"> </w:t>
      </w:r>
      <w:r>
        <w:rPr>
          <w:i/>
          <w:color w:val="003399"/>
          <w:sz w:val="24"/>
        </w:rPr>
        <w:t>sale</w:t>
      </w:r>
      <w:r>
        <w:rPr>
          <w:i/>
          <w:color w:val="003399"/>
          <w:spacing w:val="-1"/>
          <w:sz w:val="24"/>
        </w:rPr>
        <w:t xml:space="preserve"> </w:t>
      </w:r>
      <w:r>
        <w:rPr>
          <w:i/>
          <w:color w:val="003399"/>
          <w:sz w:val="24"/>
        </w:rPr>
        <w:t>of such enterprises and inactive</w:t>
      </w:r>
      <w:r>
        <w:rPr>
          <w:i/>
          <w:color w:val="003399"/>
          <w:spacing w:val="-2"/>
          <w:sz w:val="24"/>
        </w:rPr>
        <w:t xml:space="preserve"> </w:t>
      </w:r>
      <w:r>
        <w:rPr>
          <w:i/>
          <w:color w:val="003399"/>
          <w:sz w:val="24"/>
        </w:rPr>
        <w:t>assets</w:t>
      </w:r>
    </w:p>
    <w:p w:rsidR="00A56FE9" w:rsidRDefault="00A56FE9">
      <w:pPr>
        <w:pStyle w:val="Tijeloteksta"/>
        <w:spacing w:before="4"/>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08691407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417045391" name="Rectangle 231"/>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F4B9EF6" id="Group 230"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">
                <v:rect id="Rectangle 231"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4"/>
      </w:pPr>
      <w:r>
        <w:t>The implementation of reform measures is continuing in the area of improving corporate</w:t>
      </w:r>
      <w:r>
        <w:rPr>
          <w:spacing w:val="1"/>
        </w:rPr>
        <w:t xml:space="preserve"> </w:t>
      </w:r>
      <w:r>
        <w:t>governance in legal persons of special interest to the Republic of Croatia and in the area of</w:t>
      </w:r>
      <w:r>
        <w:rPr>
          <w:spacing w:val="1"/>
        </w:rPr>
        <w:t xml:space="preserve"> </w:t>
      </w:r>
      <w:r>
        <w:t>faster activation and reduction of the real estate portfolio, as well as the portfolio of stock and</w:t>
      </w:r>
      <w:r>
        <w:rPr>
          <w:spacing w:val="1"/>
        </w:rPr>
        <w:t xml:space="preserve"> </w:t>
      </w:r>
      <w:r>
        <w:t>business</w:t>
      </w:r>
      <w:r>
        <w:rPr>
          <w:spacing w:val="1"/>
        </w:rPr>
        <w:t xml:space="preserve"> </w:t>
      </w:r>
      <w:r>
        <w:t>shares</w:t>
      </w:r>
      <w:r>
        <w:rPr>
          <w:spacing w:val="1"/>
        </w:rPr>
        <w:t xml:space="preserve"> </w:t>
      </w:r>
      <w:r>
        <w:t>in</w:t>
      </w:r>
      <w:r>
        <w:rPr>
          <w:spacing w:val="1"/>
        </w:rPr>
        <w:t xml:space="preserve"> </w:t>
      </w:r>
      <w:r>
        <w:t>companies</w:t>
      </w:r>
      <w:r>
        <w:rPr>
          <w:spacing w:val="1"/>
        </w:rPr>
        <w:t xml:space="preserve"> </w:t>
      </w:r>
      <w:r>
        <w:t>of</w:t>
      </w:r>
      <w:r>
        <w:rPr>
          <w:spacing w:val="1"/>
        </w:rPr>
        <w:t xml:space="preserve"> </w:t>
      </w:r>
      <w:r>
        <w:t>special</w:t>
      </w:r>
      <w:r>
        <w:rPr>
          <w:spacing w:val="1"/>
        </w:rPr>
        <w:t xml:space="preserve"> </w:t>
      </w:r>
      <w:r>
        <w:t>interest</w:t>
      </w:r>
      <w:r>
        <w:rPr>
          <w:spacing w:val="1"/>
        </w:rPr>
        <w:t xml:space="preserve"> </w:t>
      </w:r>
      <w:r>
        <w:t>to</w:t>
      </w:r>
      <w:r>
        <w:rPr>
          <w:spacing w:val="1"/>
        </w:rPr>
        <w:t xml:space="preserve"> </w:t>
      </w:r>
      <w:r>
        <w:t>the</w:t>
      </w:r>
      <w:r>
        <w:rPr>
          <w:spacing w:val="1"/>
        </w:rPr>
        <w:t xml:space="preserve"> </w:t>
      </w:r>
      <w:r>
        <w:t>Republic</w:t>
      </w:r>
      <w:r>
        <w:rPr>
          <w:spacing w:val="1"/>
        </w:rPr>
        <w:t xml:space="preserve"> </w:t>
      </w:r>
      <w:r>
        <w:t>of</w:t>
      </w:r>
      <w:r>
        <w:rPr>
          <w:spacing w:val="1"/>
        </w:rPr>
        <w:t xml:space="preserve"> </w:t>
      </w:r>
      <w:r>
        <w:t>Croatia.</w:t>
      </w:r>
      <w:r>
        <w:rPr>
          <w:spacing w:val="1"/>
        </w:rPr>
        <w:t xml:space="preserve"> </w:t>
      </w:r>
      <w:r>
        <w:t>A</w:t>
      </w:r>
      <w:r>
        <w:rPr>
          <w:spacing w:val="1"/>
        </w:rPr>
        <w:t xml:space="preserve"> </w:t>
      </w:r>
      <w:r>
        <w:t>business</w:t>
      </w:r>
      <w:r>
        <w:rPr>
          <w:spacing w:val="-57"/>
        </w:rPr>
        <w:t xml:space="preserve"> </w:t>
      </w:r>
      <w:r>
        <w:t>compliance function has been introduced in all majority state-owned legal persons; and the</w:t>
      </w:r>
      <w:r>
        <w:rPr>
          <w:spacing w:val="1"/>
        </w:rPr>
        <w:t xml:space="preserve"> </w:t>
      </w:r>
      <w:r>
        <w:t>publication Review of Corporate Governance in State-Owned Enterprises in the Republic of</w:t>
      </w:r>
      <w:r>
        <w:rPr>
          <w:spacing w:val="1"/>
        </w:rPr>
        <w:t xml:space="preserve"> </w:t>
      </w:r>
      <w:r>
        <w:t>Croatia prepared by the OECD was published; the Government’s Decision on adoption of the</w:t>
      </w:r>
      <w:r>
        <w:rPr>
          <w:spacing w:val="1"/>
        </w:rPr>
        <w:t xml:space="preserve"> </w:t>
      </w:r>
      <w:r>
        <w:t>Action Plan for the Implementation of OECD Recommendations for Improving Corporate</w:t>
      </w:r>
      <w:r>
        <w:rPr>
          <w:spacing w:val="1"/>
        </w:rPr>
        <w:t xml:space="preserve"> </w:t>
      </w:r>
      <w:r>
        <w:t>Governance of Legal Entities Owned by the Republic of Croatia and the establishment of a</w:t>
      </w:r>
      <w:r>
        <w:rPr>
          <w:spacing w:val="1"/>
        </w:rPr>
        <w:t xml:space="preserve"> </w:t>
      </w:r>
      <w:r>
        <w:t>Steering Committee for its implementation; also passed are the Guidelines for the Work of</w:t>
      </w:r>
      <w:r>
        <w:rPr>
          <w:spacing w:val="1"/>
        </w:rPr>
        <w:t xml:space="preserve"> </w:t>
      </w:r>
      <w:r>
        <w:t>Supervisory Boards and Guidelines for the Work of Audit Committees in Legal Entities of</w:t>
      </w:r>
      <w:r>
        <w:rPr>
          <w:spacing w:val="1"/>
        </w:rPr>
        <w:t xml:space="preserve"> </w:t>
      </w:r>
      <w:r>
        <w:t>Special</w:t>
      </w:r>
      <w:r>
        <w:rPr>
          <w:spacing w:val="-6"/>
        </w:rPr>
        <w:t xml:space="preserve"> </w:t>
      </w:r>
      <w:r>
        <w:t>Interest</w:t>
      </w:r>
      <w:r>
        <w:rPr>
          <w:spacing w:val="-8"/>
        </w:rPr>
        <w:t xml:space="preserve"> </w:t>
      </w:r>
      <w:r>
        <w:t>to</w:t>
      </w:r>
      <w:r>
        <w:rPr>
          <w:spacing w:val="-8"/>
        </w:rPr>
        <w:t xml:space="preserve"> </w:t>
      </w:r>
      <w:r>
        <w:t>the</w:t>
      </w:r>
      <w:r>
        <w:rPr>
          <w:spacing w:val="-9"/>
        </w:rPr>
        <w:t xml:space="preserve"> </w:t>
      </w:r>
      <w:r>
        <w:t>Republic</w:t>
      </w:r>
      <w:r>
        <w:rPr>
          <w:spacing w:val="-10"/>
        </w:rPr>
        <w:t xml:space="preserve"> </w:t>
      </w:r>
      <w:r>
        <w:t>of</w:t>
      </w:r>
      <w:r>
        <w:rPr>
          <w:spacing w:val="-9"/>
        </w:rPr>
        <w:t xml:space="preserve"> </w:t>
      </w:r>
      <w:r>
        <w:t>Croatia,</w:t>
      </w:r>
      <w:r>
        <w:rPr>
          <w:spacing w:val="-6"/>
        </w:rPr>
        <w:t xml:space="preserve"> </w:t>
      </w:r>
      <w:r>
        <w:t>as</w:t>
      </w:r>
      <w:r>
        <w:rPr>
          <w:spacing w:val="-8"/>
        </w:rPr>
        <w:t xml:space="preserve"> </w:t>
      </w:r>
      <w:r>
        <w:t>well</w:t>
      </w:r>
      <w:r>
        <w:rPr>
          <w:spacing w:val="-6"/>
        </w:rPr>
        <w:t xml:space="preserve"> </w:t>
      </w:r>
      <w:r>
        <w:t>as</w:t>
      </w:r>
      <w:r>
        <w:rPr>
          <w:spacing w:val="-8"/>
        </w:rPr>
        <w:t xml:space="preserve"> </w:t>
      </w:r>
      <w:r>
        <w:t>in</w:t>
      </w:r>
      <w:r>
        <w:rPr>
          <w:spacing w:val="-8"/>
        </w:rPr>
        <w:t xml:space="preserve"> </w:t>
      </w:r>
      <w:r>
        <w:t>other</w:t>
      </w:r>
      <w:r>
        <w:rPr>
          <w:spacing w:val="-10"/>
        </w:rPr>
        <w:t xml:space="preserve"> </w:t>
      </w:r>
      <w:r>
        <w:t>legal</w:t>
      </w:r>
      <w:r>
        <w:rPr>
          <w:spacing w:val="-8"/>
        </w:rPr>
        <w:t xml:space="preserve"> </w:t>
      </w:r>
      <w:r>
        <w:t>entities,</w:t>
      </w:r>
      <w:r>
        <w:rPr>
          <w:spacing w:val="-8"/>
        </w:rPr>
        <w:t xml:space="preserve"> </w:t>
      </w:r>
      <w:r>
        <w:t>the</w:t>
      </w:r>
      <w:r>
        <w:rPr>
          <w:spacing w:val="-9"/>
        </w:rPr>
        <w:t xml:space="preserve"> </w:t>
      </w:r>
      <w:r>
        <w:t>shares,</w:t>
      </w:r>
      <w:r>
        <w:rPr>
          <w:spacing w:val="-8"/>
        </w:rPr>
        <w:t xml:space="preserve"> </w:t>
      </w:r>
      <w:r>
        <w:t>business</w:t>
      </w:r>
      <w:r>
        <w:rPr>
          <w:spacing w:val="-58"/>
        </w:rPr>
        <w:t xml:space="preserve"> </w:t>
      </w:r>
      <w:r>
        <w:t>shares</w:t>
      </w:r>
      <w:r>
        <w:rPr>
          <w:spacing w:val="-11"/>
        </w:rPr>
        <w:t xml:space="preserve"> </w:t>
      </w:r>
      <w:r>
        <w:t>and</w:t>
      </w:r>
      <w:r>
        <w:rPr>
          <w:spacing w:val="-8"/>
        </w:rPr>
        <w:t xml:space="preserve"> </w:t>
      </w:r>
      <w:r>
        <w:t>founding</w:t>
      </w:r>
      <w:r>
        <w:rPr>
          <w:spacing w:val="-11"/>
        </w:rPr>
        <w:t xml:space="preserve"> </w:t>
      </w:r>
      <w:r>
        <w:t>rights</w:t>
      </w:r>
      <w:r>
        <w:rPr>
          <w:spacing w:val="-9"/>
        </w:rPr>
        <w:t xml:space="preserve"> </w:t>
      </w:r>
      <w:r>
        <w:t>of</w:t>
      </w:r>
      <w:r>
        <w:rPr>
          <w:spacing w:val="-11"/>
        </w:rPr>
        <w:t xml:space="preserve"> </w:t>
      </w:r>
      <w:r>
        <w:t>which</w:t>
      </w:r>
      <w:r>
        <w:rPr>
          <w:spacing w:val="-11"/>
        </w:rPr>
        <w:t xml:space="preserve"> </w:t>
      </w:r>
      <w:r>
        <w:t>are</w:t>
      </w:r>
      <w:r>
        <w:rPr>
          <w:spacing w:val="-11"/>
        </w:rPr>
        <w:t xml:space="preserve"> </w:t>
      </w:r>
      <w:r>
        <w:t>managed</w:t>
      </w:r>
      <w:r>
        <w:rPr>
          <w:spacing w:val="-10"/>
        </w:rPr>
        <w:t xml:space="preserve"> </w:t>
      </w:r>
      <w:r>
        <w:t>by</w:t>
      </w:r>
      <w:r>
        <w:rPr>
          <w:spacing w:val="-13"/>
        </w:rPr>
        <w:t xml:space="preserve"> </w:t>
      </w:r>
      <w:r>
        <w:t>the</w:t>
      </w:r>
      <w:r>
        <w:rPr>
          <w:spacing w:val="-11"/>
        </w:rPr>
        <w:t xml:space="preserve"> </w:t>
      </w:r>
      <w:r>
        <w:t>Restructuring</w:t>
      </w:r>
      <w:r>
        <w:rPr>
          <w:spacing w:val="-12"/>
        </w:rPr>
        <w:t xml:space="preserve"> </w:t>
      </w:r>
      <w:r>
        <w:t>and</w:t>
      </w:r>
      <w:r>
        <w:rPr>
          <w:spacing w:val="-11"/>
        </w:rPr>
        <w:t xml:space="preserve"> </w:t>
      </w:r>
      <w:r>
        <w:t>Sale</w:t>
      </w:r>
      <w:r>
        <w:rPr>
          <w:spacing w:val="-11"/>
        </w:rPr>
        <w:t xml:space="preserve"> </w:t>
      </w:r>
      <w:r>
        <w:t>Centre</w:t>
      </w:r>
      <w:r>
        <w:rPr>
          <w:spacing w:val="-8"/>
        </w:rPr>
        <w:t xml:space="preserve"> </w:t>
      </w:r>
      <w:r>
        <w:t>(CERP).</w:t>
      </w:r>
      <w:r>
        <w:rPr>
          <w:spacing w:val="-57"/>
        </w:rPr>
        <w:t xml:space="preserve"> </w:t>
      </w:r>
      <w:r>
        <w:t>The Methodology for selecting members to supervisory boards in state-owned companies has</w:t>
      </w:r>
      <w:r>
        <w:rPr>
          <w:spacing w:val="1"/>
        </w:rPr>
        <w:t xml:space="preserve"> </w:t>
      </w:r>
      <w:r>
        <w:t>been developed as a basis for amending the existing Regulation that regulating the selection of</w:t>
      </w:r>
      <w:r>
        <w:rPr>
          <w:spacing w:val="-58"/>
        </w:rPr>
        <w:t xml:space="preserve"> </w:t>
      </w:r>
      <w:r>
        <w:t>members to supervisory boards and management boards in legal entities of special interest to</w:t>
      </w:r>
      <w:r>
        <w:rPr>
          <w:spacing w:val="1"/>
        </w:rPr>
        <w:t xml:space="preserve"> </w:t>
      </w:r>
      <w:r>
        <w:t>the</w:t>
      </w:r>
      <w:r>
        <w:rPr>
          <w:spacing w:val="-1"/>
        </w:rPr>
        <w:t xml:space="preserve"> </w:t>
      </w:r>
      <w:r>
        <w:t>Republic</w:t>
      </w:r>
      <w:r>
        <w:rPr>
          <w:spacing w:val="-1"/>
        </w:rPr>
        <w:t xml:space="preserve"> </w:t>
      </w:r>
      <w:r>
        <w:t>of Croatia.</w:t>
      </w:r>
    </w:p>
    <w:p w:rsidR="00A56FE9" w:rsidRDefault="00000000">
      <w:pPr>
        <w:pStyle w:val="Tijeloteksta"/>
        <w:spacing w:before="121"/>
        <w:ind w:right="274"/>
      </w:pPr>
      <w:r>
        <w:t>At the end of 2021, the Government adopted the Decision on Legal Entities of Special Interest</w:t>
      </w:r>
      <w:r>
        <w:rPr>
          <w:spacing w:val="-57"/>
        </w:rPr>
        <w:t xml:space="preserve"> </w:t>
      </w:r>
      <w:r>
        <w:t>to the Republic of Croatia with a revised list of legal entities and attached explanations from</w:t>
      </w:r>
      <w:r>
        <w:rPr>
          <w:spacing w:val="1"/>
        </w:rPr>
        <w:t xml:space="preserve"> </w:t>
      </w:r>
      <w:r>
        <w:t>line</w:t>
      </w:r>
      <w:r>
        <w:rPr>
          <w:spacing w:val="-7"/>
        </w:rPr>
        <w:t xml:space="preserve"> </w:t>
      </w:r>
      <w:r>
        <w:t>ministries</w:t>
      </w:r>
      <w:r>
        <w:rPr>
          <w:spacing w:val="-6"/>
        </w:rPr>
        <w:t xml:space="preserve"> </w:t>
      </w:r>
      <w:r>
        <w:t>for</w:t>
      </w:r>
      <w:r>
        <w:rPr>
          <w:spacing w:val="-8"/>
        </w:rPr>
        <w:t xml:space="preserve"> </w:t>
      </w:r>
      <w:r>
        <w:t>reviewing</w:t>
      </w:r>
      <w:r>
        <w:rPr>
          <w:spacing w:val="-5"/>
        </w:rPr>
        <w:t xml:space="preserve"> </w:t>
      </w:r>
      <w:r>
        <w:t>reasons</w:t>
      </w:r>
      <w:r>
        <w:rPr>
          <w:spacing w:val="-6"/>
        </w:rPr>
        <w:t xml:space="preserve"> </w:t>
      </w:r>
      <w:r>
        <w:t>for</w:t>
      </w:r>
      <w:r>
        <w:rPr>
          <w:spacing w:val="-8"/>
        </w:rPr>
        <w:t xml:space="preserve"> </w:t>
      </w:r>
      <w:r>
        <w:t>state</w:t>
      </w:r>
      <w:r>
        <w:rPr>
          <w:spacing w:val="-6"/>
        </w:rPr>
        <w:t xml:space="preserve"> </w:t>
      </w:r>
      <w:r>
        <w:t>ownership</w:t>
      </w:r>
      <w:r>
        <w:rPr>
          <w:spacing w:val="-6"/>
        </w:rPr>
        <w:t xml:space="preserve"> </w:t>
      </w:r>
      <w:r>
        <w:t>based</w:t>
      </w:r>
      <w:r>
        <w:rPr>
          <w:spacing w:val="-6"/>
        </w:rPr>
        <w:t xml:space="preserve"> </w:t>
      </w:r>
      <w:r>
        <w:t>on</w:t>
      </w:r>
      <w:r>
        <w:rPr>
          <w:spacing w:val="-6"/>
        </w:rPr>
        <w:t xml:space="preserve"> </w:t>
      </w:r>
      <w:r>
        <w:t>criteria</w:t>
      </w:r>
      <w:r>
        <w:rPr>
          <w:spacing w:val="-6"/>
        </w:rPr>
        <w:t xml:space="preserve"> </w:t>
      </w:r>
      <w:r>
        <w:t>from</w:t>
      </w:r>
      <w:r>
        <w:rPr>
          <w:spacing w:val="-6"/>
        </w:rPr>
        <w:t xml:space="preserve"> </w:t>
      </w:r>
      <w:r>
        <w:t>the</w:t>
      </w:r>
      <w:r>
        <w:rPr>
          <w:spacing w:val="-7"/>
        </w:rPr>
        <w:t xml:space="preserve"> </w:t>
      </w:r>
      <w:r>
        <w:t>Decision</w:t>
      </w:r>
      <w:r>
        <w:rPr>
          <w:spacing w:val="-5"/>
        </w:rPr>
        <w:t xml:space="preserve"> </w:t>
      </w:r>
      <w:r>
        <w:t>on</w:t>
      </w:r>
      <w:r>
        <w:rPr>
          <w:spacing w:val="-58"/>
        </w:rPr>
        <w:t xml:space="preserve"> </w:t>
      </w:r>
      <w:r>
        <w:t>Criteria for Identifying Legal Entities of Special Interest to the Republic of Croatia. In 2021,</w:t>
      </w:r>
      <w:r>
        <w:rPr>
          <w:spacing w:val="1"/>
        </w:rPr>
        <w:t xml:space="preserve"> </w:t>
      </w:r>
      <w:r>
        <w:t>activities</w:t>
      </w:r>
      <w:r>
        <w:rPr>
          <w:spacing w:val="-4"/>
        </w:rPr>
        <w:t xml:space="preserve"> </w:t>
      </w:r>
      <w:r>
        <w:t>began</w:t>
      </w:r>
      <w:r>
        <w:rPr>
          <w:spacing w:val="-4"/>
        </w:rPr>
        <w:t xml:space="preserve"> </w:t>
      </w:r>
      <w:r>
        <w:t>on</w:t>
      </w:r>
      <w:r>
        <w:rPr>
          <w:spacing w:val="-4"/>
        </w:rPr>
        <w:t xml:space="preserve"> </w:t>
      </w:r>
      <w:r>
        <w:t>the</w:t>
      </w:r>
      <w:r>
        <w:rPr>
          <w:spacing w:val="-1"/>
        </w:rPr>
        <w:t xml:space="preserve"> </w:t>
      </w:r>
      <w:r>
        <w:t>preparation</w:t>
      </w:r>
      <w:r>
        <w:rPr>
          <w:spacing w:val="-1"/>
        </w:rPr>
        <w:t xml:space="preserve"> </w:t>
      </w:r>
      <w:r>
        <w:t>and</w:t>
      </w:r>
      <w:r>
        <w:rPr>
          <w:spacing w:val="-4"/>
        </w:rPr>
        <w:t xml:space="preserve"> </w:t>
      </w:r>
      <w:r>
        <w:t>drafting</w:t>
      </w:r>
      <w:r>
        <w:rPr>
          <w:spacing w:val="-5"/>
        </w:rPr>
        <w:t xml:space="preserve"> </w:t>
      </w:r>
      <w:r>
        <w:t>of</w:t>
      </w:r>
      <w:r>
        <w:rPr>
          <w:spacing w:val="-1"/>
        </w:rPr>
        <w:t xml:space="preserve"> </w:t>
      </w:r>
      <w:r>
        <w:t>a</w:t>
      </w:r>
      <w:r>
        <w:rPr>
          <w:spacing w:val="-6"/>
        </w:rPr>
        <w:t xml:space="preserve"> </w:t>
      </w:r>
      <w:r>
        <w:t>new</w:t>
      </w:r>
      <w:r>
        <w:rPr>
          <w:spacing w:val="-3"/>
        </w:rPr>
        <w:t xml:space="preserve"> </w:t>
      </w:r>
      <w:r>
        <w:t>legislative</w:t>
      </w:r>
      <w:r>
        <w:rPr>
          <w:spacing w:val="-2"/>
        </w:rPr>
        <w:t xml:space="preserve"> </w:t>
      </w:r>
      <w:r>
        <w:t>framework</w:t>
      </w:r>
      <w:r>
        <w:rPr>
          <w:spacing w:val="-5"/>
        </w:rPr>
        <w:t xml:space="preserve"> </w:t>
      </w:r>
      <w:r>
        <w:t>on</w:t>
      </w:r>
      <w:r>
        <w:rPr>
          <w:spacing w:val="-3"/>
        </w:rPr>
        <w:t xml:space="preserve"> </w:t>
      </w:r>
      <w:r>
        <w:t>state-owned</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6"/>
      </w:pPr>
      <w:bookmarkStart w:id="15" w:name="_bookmark15"/>
      <w:bookmarkEnd w:id="15"/>
      <w:r>
        <w:t>enterprises,</w:t>
      </w:r>
      <w:r>
        <w:rPr>
          <w:spacing w:val="1"/>
        </w:rPr>
        <w:t xml:space="preserve"> </w:t>
      </w:r>
      <w:r>
        <w:t>and</w:t>
      </w:r>
      <w:r>
        <w:rPr>
          <w:spacing w:val="1"/>
        </w:rPr>
        <w:t xml:space="preserve"> </w:t>
      </w:r>
      <w:r>
        <w:t>the</w:t>
      </w:r>
      <w:r>
        <w:rPr>
          <w:spacing w:val="1"/>
        </w:rPr>
        <w:t xml:space="preserve"> </w:t>
      </w:r>
      <w:r>
        <w:t>project</w:t>
      </w:r>
      <w:r>
        <w:rPr>
          <w:spacing w:val="1"/>
        </w:rPr>
        <w:t xml:space="preserve"> </w:t>
      </w:r>
      <w:r>
        <w:t>of</w:t>
      </w:r>
      <w:r>
        <w:rPr>
          <w:spacing w:val="1"/>
        </w:rPr>
        <w:t xml:space="preserve"> </w:t>
      </w:r>
      <w:r>
        <w:t>activating</w:t>
      </w:r>
      <w:r>
        <w:rPr>
          <w:spacing w:val="1"/>
        </w:rPr>
        <w:t xml:space="preserve"> </w:t>
      </w:r>
      <w:r>
        <w:t>non-operational</w:t>
      </w:r>
      <w:r>
        <w:rPr>
          <w:spacing w:val="1"/>
        </w:rPr>
        <w:t xml:space="preserve"> </w:t>
      </w:r>
      <w:r>
        <w:t>assets</w:t>
      </w:r>
      <w:r>
        <w:rPr>
          <w:spacing w:val="1"/>
        </w:rPr>
        <w:t xml:space="preserve"> </w:t>
      </w:r>
      <w:r>
        <w:t>in</w:t>
      </w:r>
      <w:r>
        <w:rPr>
          <w:spacing w:val="1"/>
        </w:rPr>
        <w:t xml:space="preserve"> </w:t>
      </w:r>
      <w:r>
        <w:t>majority</w:t>
      </w:r>
      <w:r>
        <w:rPr>
          <w:spacing w:val="1"/>
        </w:rPr>
        <w:t xml:space="preserve"> </w:t>
      </w:r>
      <w:r>
        <w:t>state-owned</w:t>
      </w:r>
      <w:r>
        <w:rPr>
          <w:spacing w:val="1"/>
        </w:rPr>
        <w:t xml:space="preserve"> </w:t>
      </w:r>
      <w:r>
        <w:t>companies</w:t>
      </w:r>
      <w:r>
        <w:rPr>
          <w:spacing w:val="-8"/>
        </w:rPr>
        <w:t xml:space="preserve"> </w:t>
      </w:r>
      <w:r>
        <w:t>was</w:t>
      </w:r>
      <w:r>
        <w:rPr>
          <w:spacing w:val="-7"/>
        </w:rPr>
        <w:t xml:space="preserve"> </w:t>
      </w:r>
      <w:r>
        <w:t>finalised,</w:t>
      </w:r>
      <w:r>
        <w:rPr>
          <w:spacing w:val="-6"/>
        </w:rPr>
        <w:t xml:space="preserve"> </w:t>
      </w:r>
      <w:r>
        <w:t>and</w:t>
      </w:r>
      <w:r>
        <w:rPr>
          <w:spacing w:val="-8"/>
        </w:rPr>
        <w:t xml:space="preserve"> </w:t>
      </w:r>
      <w:r>
        <w:t>draft</w:t>
      </w:r>
      <w:r>
        <w:rPr>
          <w:spacing w:val="-8"/>
        </w:rPr>
        <w:t xml:space="preserve"> </w:t>
      </w:r>
      <w:r>
        <w:t>documents</w:t>
      </w:r>
      <w:r>
        <w:rPr>
          <w:spacing w:val="-8"/>
        </w:rPr>
        <w:t xml:space="preserve"> </w:t>
      </w:r>
      <w:r>
        <w:t>for</w:t>
      </w:r>
      <w:r>
        <w:rPr>
          <w:spacing w:val="-7"/>
        </w:rPr>
        <w:t xml:space="preserve"> </w:t>
      </w:r>
      <w:r>
        <w:t>its</w:t>
      </w:r>
      <w:r>
        <w:rPr>
          <w:spacing w:val="-8"/>
        </w:rPr>
        <w:t xml:space="preserve"> </w:t>
      </w:r>
      <w:r>
        <w:t>implementation</w:t>
      </w:r>
      <w:r>
        <w:rPr>
          <w:spacing w:val="-7"/>
        </w:rPr>
        <w:t xml:space="preserve"> </w:t>
      </w:r>
      <w:r>
        <w:t>in</w:t>
      </w:r>
      <w:r>
        <w:rPr>
          <w:spacing w:val="-7"/>
        </w:rPr>
        <w:t xml:space="preserve"> </w:t>
      </w:r>
      <w:r>
        <w:t>2022</w:t>
      </w:r>
      <w:r>
        <w:rPr>
          <w:spacing w:val="-9"/>
        </w:rPr>
        <w:t xml:space="preserve"> </w:t>
      </w:r>
      <w:r>
        <w:t>are</w:t>
      </w:r>
      <w:r>
        <w:rPr>
          <w:spacing w:val="-7"/>
        </w:rPr>
        <w:t xml:space="preserve"> </w:t>
      </w:r>
      <w:r>
        <w:t>being</w:t>
      </w:r>
      <w:r>
        <w:rPr>
          <w:spacing w:val="-9"/>
        </w:rPr>
        <w:t xml:space="preserve"> </w:t>
      </w:r>
      <w:r>
        <w:t>drafted.</w:t>
      </w:r>
    </w:p>
    <w:p w:rsidR="00A56FE9" w:rsidRDefault="00000000">
      <w:pPr>
        <w:pStyle w:val="Tijeloteksta"/>
        <w:spacing w:before="120"/>
        <w:ind w:right="276"/>
      </w:pPr>
      <w:r>
        <w:rPr>
          <w:spacing w:val="-1"/>
        </w:rPr>
        <w:t>In</w:t>
      </w:r>
      <w:r>
        <w:rPr>
          <w:spacing w:val="-13"/>
        </w:rPr>
        <w:t xml:space="preserve"> </w:t>
      </w:r>
      <w:r>
        <w:rPr>
          <w:spacing w:val="-1"/>
        </w:rPr>
        <w:t>2021,</w:t>
      </w:r>
      <w:r>
        <w:rPr>
          <w:spacing w:val="-15"/>
        </w:rPr>
        <w:t xml:space="preserve"> </w:t>
      </w:r>
      <w:r>
        <w:rPr>
          <w:spacing w:val="-1"/>
        </w:rPr>
        <w:t>the</w:t>
      </w:r>
      <w:r>
        <w:rPr>
          <w:spacing w:val="-15"/>
        </w:rPr>
        <w:t xml:space="preserve"> </w:t>
      </w:r>
      <w:r>
        <w:rPr>
          <w:spacing w:val="-1"/>
        </w:rPr>
        <w:t>value</w:t>
      </w:r>
      <w:r>
        <w:rPr>
          <w:spacing w:val="-15"/>
        </w:rPr>
        <w:t xml:space="preserve"> </w:t>
      </w:r>
      <w:r>
        <w:t>of</w:t>
      </w:r>
      <w:r>
        <w:rPr>
          <w:spacing w:val="-13"/>
        </w:rPr>
        <w:t xml:space="preserve"> </w:t>
      </w:r>
      <w:r>
        <w:t>realised</w:t>
      </w:r>
      <w:r>
        <w:rPr>
          <w:spacing w:val="-15"/>
        </w:rPr>
        <w:t xml:space="preserve"> </w:t>
      </w:r>
      <w:r>
        <w:t>sales</w:t>
      </w:r>
      <w:r>
        <w:rPr>
          <w:spacing w:val="-15"/>
        </w:rPr>
        <w:t xml:space="preserve"> </w:t>
      </w:r>
      <w:r>
        <w:t>of</w:t>
      </w:r>
      <w:r>
        <w:rPr>
          <w:spacing w:val="-13"/>
        </w:rPr>
        <w:t xml:space="preserve"> </w:t>
      </w:r>
      <w:r>
        <w:t>stakes/</w:t>
      </w:r>
      <w:r>
        <w:rPr>
          <w:spacing w:val="-14"/>
        </w:rPr>
        <w:t xml:space="preserve"> </w:t>
      </w:r>
      <w:r>
        <w:t>business</w:t>
      </w:r>
      <w:r>
        <w:rPr>
          <w:spacing w:val="-13"/>
        </w:rPr>
        <w:t xml:space="preserve"> </w:t>
      </w:r>
      <w:r>
        <w:t>shares</w:t>
      </w:r>
      <w:r>
        <w:rPr>
          <w:spacing w:val="-12"/>
        </w:rPr>
        <w:t xml:space="preserve"> </w:t>
      </w:r>
      <w:r>
        <w:t>from</w:t>
      </w:r>
      <w:r>
        <w:rPr>
          <w:spacing w:val="-14"/>
        </w:rPr>
        <w:t xml:space="preserve"> </w:t>
      </w:r>
      <w:r>
        <w:t>the</w:t>
      </w:r>
      <w:r>
        <w:rPr>
          <w:spacing w:val="-15"/>
        </w:rPr>
        <w:t xml:space="preserve"> </w:t>
      </w:r>
      <w:r>
        <w:t>CERP</w:t>
      </w:r>
      <w:r>
        <w:rPr>
          <w:spacing w:val="-11"/>
        </w:rPr>
        <w:t xml:space="preserve"> </w:t>
      </w:r>
      <w:r>
        <w:t>portfolio</w:t>
      </w:r>
      <w:r>
        <w:rPr>
          <w:spacing w:val="-15"/>
        </w:rPr>
        <w:t xml:space="preserve"> </w:t>
      </w:r>
      <w:r>
        <w:t>amounted</w:t>
      </w:r>
      <w:r>
        <w:rPr>
          <w:spacing w:val="-58"/>
        </w:rPr>
        <w:t xml:space="preserve"> </w:t>
      </w:r>
      <w:r>
        <w:t>to HRK 73.54 million, and revenues from the profit of legal entities of special interest to the</w:t>
      </w:r>
      <w:r>
        <w:rPr>
          <w:spacing w:val="1"/>
        </w:rPr>
        <w:t xml:space="preserve"> </w:t>
      </w:r>
      <w:r>
        <w:t>Republic of Croatia amounted to HRK 1,311 million. Activities to reduce the portfolio and</w:t>
      </w:r>
      <w:r>
        <w:rPr>
          <w:spacing w:val="1"/>
        </w:rPr>
        <w:t xml:space="preserve"> </w:t>
      </w:r>
      <w:r>
        <w:t>activate non-utilised state-owned non-financial assets were also carried out intensively, and</w:t>
      </w:r>
      <w:r>
        <w:rPr>
          <w:spacing w:val="1"/>
        </w:rPr>
        <w:t xml:space="preserve"> </w:t>
      </w:r>
      <w:r>
        <w:t>total</w:t>
      </w:r>
      <w:r>
        <w:rPr>
          <w:spacing w:val="-3"/>
        </w:rPr>
        <w:t xml:space="preserve"> </w:t>
      </w:r>
      <w:r>
        <w:t>revenues</w:t>
      </w:r>
      <w:r>
        <w:rPr>
          <w:spacing w:val="-4"/>
        </w:rPr>
        <w:t xml:space="preserve"> </w:t>
      </w:r>
      <w:r>
        <w:t>from</w:t>
      </w:r>
      <w:r>
        <w:rPr>
          <w:spacing w:val="-3"/>
        </w:rPr>
        <w:t xml:space="preserve"> </w:t>
      </w:r>
      <w:r>
        <w:t>the</w:t>
      </w:r>
      <w:r>
        <w:rPr>
          <w:spacing w:val="-1"/>
        </w:rPr>
        <w:t xml:space="preserve"> </w:t>
      </w:r>
      <w:r>
        <w:t>managing</w:t>
      </w:r>
      <w:r>
        <w:rPr>
          <w:spacing w:val="-3"/>
        </w:rPr>
        <w:t xml:space="preserve"> </w:t>
      </w:r>
      <w:r>
        <w:t>and</w:t>
      </w:r>
      <w:r>
        <w:rPr>
          <w:spacing w:val="-1"/>
        </w:rPr>
        <w:t xml:space="preserve"> </w:t>
      </w:r>
      <w:r>
        <w:t>disposal</w:t>
      </w:r>
      <w:r>
        <w:rPr>
          <w:spacing w:val="-3"/>
        </w:rPr>
        <w:t xml:space="preserve"> </w:t>
      </w:r>
      <w:r>
        <w:t>of</w:t>
      </w:r>
      <w:r>
        <w:rPr>
          <w:spacing w:val="-2"/>
        </w:rPr>
        <w:t xml:space="preserve"> </w:t>
      </w:r>
      <w:r>
        <w:t>real estate</w:t>
      </w:r>
      <w:r>
        <w:rPr>
          <w:spacing w:val="-2"/>
        </w:rPr>
        <w:t xml:space="preserve"> </w:t>
      </w:r>
      <w:r>
        <w:t>in</w:t>
      </w:r>
      <w:r>
        <w:rPr>
          <w:spacing w:val="-3"/>
        </w:rPr>
        <w:t xml:space="preserve"> </w:t>
      </w:r>
      <w:r>
        <w:t>2021 amounted</w:t>
      </w:r>
      <w:r>
        <w:rPr>
          <w:spacing w:val="-4"/>
        </w:rPr>
        <w:t xml:space="preserve"> </w:t>
      </w:r>
      <w:r>
        <w:t>to</w:t>
      </w:r>
      <w:r>
        <w:rPr>
          <w:spacing w:val="-3"/>
        </w:rPr>
        <w:t xml:space="preserve"> </w:t>
      </w:r>
      <w:r>
        <w:t>HRK</w:t>
      </w:r>
      <w:r>
        <w:rPr>
          <w:spacing w:val="-3"/>
        </w:rPr>
        <w:t xml:space="preserve"> </w:t>
      </w:r>
      <w:r>
        <w:t>167.18</w:t>
      </w:r>
      <w:r>
        <w:rPr>
          <w:spacing w:val="-58"/>
        </w:rPr>
        <w:t xml:space="preserve"> </w:t>
      </w:r>
      <w:r>
        <w:t>million. In all, 422 contracts on the disposal of real estate were concluded, of which 318</w:t>
      </w:r>
      <w:r>
        <w:rPr>
          <w:spacing w:val="1"/>
        </w:rPr>
        <w:t xml:space="preserve"> </w:t>
      </w:r>
      <w:r>
        <w:t>contracts with compensation in favour of the state budget, totalling HRK 123.56 million, and</w:t>
      </w:r>
      <w:r>
        <w:rPr>
          <w:spacing w:val="1"/>
        </w:rPr>
        <w:t xml:space="preserve"> </w:t>
      </w:r>
      <w:r>
        <w:t>28 contracts were concluded on donating the total estimated market value of donated property</w:t>
      </w:r>
      <w:r>
        <w:rPr>
          <w:spacing w:val="-57"/>
        </w:rPr>
        <w:t xml:space="preserve"> </w:t>
      </w:r>
      <w:r>
        <w:t>amounting</w:t>
      </w:r>
      <w:r>
        <w:rPr>
          <w:spacing w:val="-3"/>
        </w:rPr>
        <w:t xml:space="preserve"> </w:t>
      </w:r>
      <w:r>
        <w:t>to HRK 311.41 million</w:t>
      </w:r>
      <w:r>
        <w:rPr>
          <w:spacing w:val="-1"/>
        </w:rPr>
        <w:t xml:space="preserve"> </w:t>
      </w:r>
      <w:r>
        <w:t>for</w:t>
      </w:r>
      <w:r>
        <w:rPr>
          <w:spacing w:val="-1"/>
        </w:rPr>
        <w:t xml:space="preserve"> </w:t>
      </w:r>
      <w:r>
        <w:t>the purpose</w:t>
      </w:r>
      <w:r>
        <w:rPr>
          <w:spacing w:val="-1"/>
        </w:rPr>
        <w:t xml:space="preserve"> </w:t>
      </w:r>
      <w:r>
        <w:t>realizing</w:t>
      </w:r>
      <w:r>
        <w:rPr>
          <w:spacing w:val="-2"/>
        </w:rPr>
        <w:t xml:space="preserve"> </w:t>
      </w:r>
      <w:r>
        <w:t>development</w:t>
      </w:r>
      <w:r>
        <w:rPr>
          <w:spacing w:val="-1"/>
        </w:rPr>
        <w:t xml:space="preserve"> </w:t>
      </w:r>
      <w:r>
        <w:t>projects.</w:t>
      </w:r>
    </w:p>
    <w:p w:rsidR="00A56FE9" w:rsidRDefault="00A56FE9">
      <w:pPr>
        <w:pStyle w:val="Tijeloteksta"/>
        <w:spacing w:before="4"/>
        <w:ind w:left="0"/>
        <w:jc w:val="left"/>
        <w:rPr>
          <w:sz w:val="21"/>
        </w:rPr>
      </w:pPr>
    </w:p>
    <w:p w:rsidR="00A56FE9" w:rsidRDefault="00000000">
      <w:pPr>
        <w:pStyle w:val="Naslov5"/>
        <w:spacing w:before="1"/>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2094246692"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115559833" name="Rectangle 229"/>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6B7B4FE" id="Group 228"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CAq/FFQAgAAEAUAAA4AAAAAAAAAAAAAAAAALgIAAGRycy9lMm9Eb2MueG1sUEsBAi0AFAAGAAgA&#10;AAAhAOjoSp3cAAAAAwEAAA8AAAAAAAAAAAAAAAAAqgQAAGRycy9kb3ducmV2LnhtbFBLBQYAAAAA&#10;BAAEAPMAAACzBQAAAAA=&#10;">
                <v:rect id="Rectangle 229"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2"/>
      </w:pPr>
      <w:r>
        <w:t>In terms of the NRRP, subcomponent C2.4. Improving the Management of State Assets,</w:t>
      </w:r>
      <w:r>
        <w:rPr>
          <w:spacing w:val="1"/>
        </w:rPr>
        <w:t xml:space="preserve"> </w:t>
      </w:r>
      <w:r>
        <w:t>implementation of state asset management reforms is continuing. Four reforms are envisaged</w:t>
      </w:r>
      <w:r>
        <w:rPr>
          <w:spacing w:val="1"/>
        </w:rPr>
        <w:t xml:space="preserve"> </w:t>
      </w:r>
      <w:r>
        <w:t>in the field of corporate governance: 1) Revision of the list of legal entities of special state</w:t>
      </w:r>
      <w:r>
        <w:rPr>
          <w:spacing w:val="1"/>
        </w:rPr>
        <w:t xml:space="preserve"> </w:t>
      </w:r>
      <w:r>
        <w:t>interest;</w:t>
      </w:r>
      <w:r>
        <w:rPr>
          <w:spacing w:val="-9"/>
        </w:rPr>
        <w:t xml:space="preserve"> </w:t>
      </w:r>
      <w:r>
        <w:t>2)</w:t>
      </w:r>
      <w:r>
        <w:rPr>
          <w:spacing w:val="-7"/>
        </w:rPr>
        <w:t xml:space="preserve"> </w:t>
      </w:r>
      <w:r>
        <w:t>Improving</w:t>
      </w:r>
      <w:r>
        <w:rPr>
          <w:spacing w:val="-12"/>
        </w:rPr>
        <w:t xml:space="preserve"> </w:t>
      </w:r>
      <w:r>
        <w:t>corporate</w:t>
      </w:r>
      <w:r>
        <w:rPr>
          <w:spacing w:val="-7"/>
        </w:rPr>
        <w:t xml:space="preserve"> </w:t>
      </w:r>
      <w:r>
        <w:t>governance</w:t>
      </w:r>
      <w:r>
        <w:rPr>
          <w:spacing w:val="-10"/>
        </w:rPr>
        <w:t xml:space="preserve"> </w:t>
      </w:r>
      <w:r>
        <w:t>in</w:t>
      </w:r>
      <w:r>
        <w:rPr>
          <w:spacing w:val="-9"/>
        </w:rPr>
        <w:t xml:space="preserve"> </w:t>
      </w:r>
      <w:r>
        <w:t>state-owned</w:t>
      </w:r>
      <w:r>
        <w:rPr>
          <w:spacing w:val="-6"/>
        </w:rPr>
        <w:t xml:space="preserve"> </w:t>
      </w:r>
      <w:r>
        <w:t>enterprises</w:t>
      </w:r>
      <w:r>
        <w:rPr>
          <w:spacing w:val="-9"/>
        </w:rPr>
        <w:t xml:space="preserve"> </w:t>
      </w:r>
      <w:r>
        <w:t>of</w:t>
      </w:r>
      <w:r>
        <w:rPr>
          <w:spacing w:val="-9"/>
        </w:rPr>
        <w:t xml:space="preserve"> </w:t>
      </w:r>
      <w:r>
        <w:t>special</w:t>
      </w:r>
      <w:r>
        <w:rPr>
          <w:spacing w:val="-9"/>
        </w:rPr>
        <w:t xml:space="preserve"> </w:t>
      </w:r>
      <w:r>
        <w:t>interest</w:t>
      </w:r>
      <w:r>
        <w:rPr>
          <w:spacing w:val="-9"/>
        </w:rPr>
        <w:t xml:space="preserve"> </w:t>
      </w:r>
      <w:r>
        <w:t>to</w:t>
      </w:r>
      <w:r>
        <w:rPr>
          <w:spacing w:val="-8"/>
        </w:rPr>
        <w:t xml:space="preserve"> </w:t>
      </w:r>
      <w:r>
        <w:t>the</w:t>
      </w:r>
      <w:r>
        <w:rPr>
          <w:spacing w:val="-58"/>
        </w:rPr>
        <w:t xml:space="preserve"> </w:t>
      </w:r>
      <w:r>
        <w:t>Republic of Croatia and enterprises in majority ownership of the central government; 3)</w:t>
      </w:r>
      <w:r>
        <w:rPr>
          <w:spacing w:val="1"/>
        </w:rPr>
        <w:t xml:space="preserve"> </w:t>
      </w:r>
      <w:r>
        <w:t>Strengthening</w:t>
      </w:r>
      <w:r>
        <w:rPr>
          <w:spacing w:val="-13"/>
        </w:rPr>
        <w:t xml:space="preserve"> </w:t>
      </w:r>
      <w:r>
        <w:t>human</w:t>
      </w:r>
      <w:r>
        <w:rPr>
          <w:spacing w:val="-10"/>
        </w:rPr>
        <w:t xml:space="preserve"> </w:t>
      </w:r>
      <w:r>
        <w:t>capacity</w:t>
      </w:r>
      <w:r>
        <w:rPr>
          <w:spacing w:val="-12"/>
        </w:rPr>
        <w:t xml:space="preserve"> </w:t>
      </w:r>
      <w:r>
        <w:t>to</w:t>
      </w:r>
      <w:r>
        <w:rPr>
          <w:spacing w:val="-10"/>
        </w:rPr>
        <w:t xml:space="preserve"> </w:t>
      </w:r>
      <w:r>
        <w:t>monitor</w:t>
      </w:r>
      <w:r>
        <w:rPr>
          <w:spacing w:val="-10"/>
        </w:rPr>
        <w:t xml:space="preserve"> </w:t>
      </w:r>
      <w:r>
        <w:t>corporate</w:t>
      </w:r>
      <w:r>
        <w:rPr>
          <w:spacing w:val="-9"/>
        </w:rPr>
        <w:t xml:space="preserve"> </w:t>
      </w:r>
      <w:r>
        <w:t>governance</w:t>
      </w:r>
      <w:r>
        <w:rPr>
          <w:spacing w:val="-11"/>
        </w:rPr>
        <w:t xml:space="preserve"> </w:t>
      </w:r>
      <w:r>
        <w:t>in</w:t>
      </w:r>
      <w:r>
        <w:rPr>
          <w:spacing w:val="-10"/>
        </w:rPr>
        <w:t xml:space="preserve"> </w:t>
      </w:r>
      <w:r>
        <w:t>state-owned</w:t>
      </w:r>
      <w:r>
        <w:rPr>
          <w:spacing w:val="-11"/>
        </w:rPr>
        <w:t xml:space="preserve"> </w:t>
      </w:r>
      <w:r>
        <w:t>enterprises;</w:t>
      </w:r>
      <w:r>
        <w:rPr>
          <w:spacing w:val="-6"/>
        </w:rPr>
        <w:t xml:space="preserve"> </w:t>
      </w:r>
      <w:r>
        <w:t>and</w:t>
      </w:r>
    </w:p>
    <w:p w:rsidR="00A56FE9" w:rsidRDefault="00000000">
      <w:pPr>
        <w:pStyle w:val="Tijeloteksta"/>
        <w:ind w:right="270"/>
      </w:pPr>
      <w:r>
        <w:t>4) Continuing the privatisation of state-owned enterprises. There is also reform in the field of</w:t>
      </w:r>
      <w:r>
        <w:rPr>
          <w:spacing w:val="1"/>
        </w:rPr>
        <w:t xml:space="preserve"> </w:t>
      </w:r>
      <w:r>
        <w:rPr>
          <w:spacing w:val="-1"/>
        </w:rPr>
        <w:t>property</w:t>
      </w:r>
      <w:r>
        <w:rPr>
          <w:spacing w:val="-17"/>
        </w:rPr>
        <w:t xml:space="preserve"> </w:t>
      </w:r>
      <w:r>
        <w:rPr>
          <w:spacing w:val="-1"/>
        </w:rPr>
        <w:t>management</w:t>
      </w:r>
      <w:r>
        <w:rPr>
          <w:spacing w:val="-9"/>
        </w:rPr>
        <w:t xml:space="preserve"> </w:t>
      </w:r>
      <w:r>
        <w:t>called</w:t>
      </w:r>
      <w:r>
        <w:rPr>
          <w:spacing w:val="-10"/>
        </w:rPr>
        <w:t xml:space="preserve"> </w:t>
      </w:r>
      <w:r>
        <w:t>Optimisation</w:t>
      </w:r>
      <w:r>
        <w:rPr>
          <w:spacing w:val="-9"/>
        </w:rPr>
        <w:t xml:space="preserve"> </w:t>
      </w:r>
      <w:r>
        <w:t>of</w:t>
      </w:r>
      <w:r>
        <w:rPr>
          <w:spacing w:val="-10"/>
        </w:rPr>
        <w:t xml:space="preserve"> </w:t>
      </w:r>
      <w:r>
        <w:t>the</w:t>
      </w:r>
      <w:r>
        <w:rPr>
          <w:spacing w:val="-10"/>
        </w:rPr>
        <w:t xml:space="preserve"> </w:t>
      </w:r>
      <w:r>
        <w:t>Management</w:t>
      </w:r>
      <w:r>
        <w:rPr>
          <w:spacing w:val="-10"/>
        </w:rPr>
        <w:t xml:space="preserve"> </w:t>
      </w:r>
      <w:r>
        <w:t>of</w:t>
      </w:r>
      <w:r>
        <w:rPr>
          <w:spacing w:val="-9"/>
        </w:rPr>
        <w:t xml:space="preserve"> </w:t>
      </w:r>
      <w:r>
        <w:t>State-Owned</w:t>
      </w:r>
      <w:r>
        <w:rPr>
          <w:spacing w:val="-9"/>
        </w:rPr>
        <w:t xml:space="preserve"> </w:t>
      </w:r>
      <w:r>
        <w:t>Real</w:t>
      </w:r>
      <w:r>
        <w:rPr>
          <w:spacing w:val="-9"/>
        </w:rPr>
        <w:t xml:space="preserve"> </w:t>
      </w:r>
      <w:r>
        <w:t>Estate.</w:t>
      </w:r>
      <w:r>
        <w:rPr>
          <w:spacing w:val="-9"/>
        </w:rPr>
        <w:t xml:space="preserve"> </w:t>
      </w:r>
      <w:r>
        <w:t>The</w:t>
      </w:r>
      <w:r>
        <w:rPr>
          <w:spacing w:val="-58"/>
        </w:rPr>
        <w:t xml:space="preserve"> </w:t>
      </w:r>
      <w:r>
        <w:t>set key phases and target values, as well as the intermediate steps for implementation of</w:t>
      </w:r>
      <w:r>
        <w:rPr>
          <w:spacing w:val="1"/>
        </w:rPr>
        <w:t xml:space="preserve"> </w:t>
      </w:r>
      <w:r>
        <w:t>reforms, are covered in the five-year implementation period of the NRRP and extend beyond</w:t>
      </w:r>
      <w:r>
        <w:rPr>
          <w:spacing w:val="1"/>
        </w:rPr>
        <w:t xml:space="preserve"> </w:t>
      </w:r>
      <w:r>
        <w:t>the</w:t>
      </w:r>
      <w:r>
        <w:rPr>
          <w:spacing w:val="-8"/>
        </w:rPr>
        <w:t xml:space="preserve"> </w:t>
      </w:r>
      <w:r>
        <w:t>framework</w:t>
      </w:r>
      <w:r>
        <w:rPr>
          <w:spacing w:val="-6"/>
        </w:rPr>
        <w:t xml:space="preserve"> </w:t>
      </w:r>
      <w:r>
        <w:t>of</w:t>
      </w:r>
      <w:r>
        <w:rPr>
          <w:spacing w:val="-8"/>
        </w:rPr>
        <w:t xml:space="preserve"> </w:t>
      </w:r>
      <w:r>
        <w:t>implementing</w:t>
      </w:r>
      <w:r>
        <w:rPr>
          <w:spacing w:val="-9"/>
        </w:rPr>
        <w:t xml:space="preserve"> </w:t>
      </w:r>
      <w:r>
        <w:t>the</w:t>
      </w:r>
      <w:r>
        <w:rPr>
          <w:spacing w:val="-8"/>
        </w:rPr>
        <w:t xml:space="preserve"> </w:t>
      </w:r>
      <w:r>
        <w:t>2022</w:t>
      </w:r>
      <w:r>
        <w:rPr>
          <w:spacing w:val="-5"/>
        </w:rPr>
        <w:t xml:space="preserve"> </w:t>
      </w:r>
      <w:r>
        <w:t>NRP.</w:t>
      </w:r>
      <w:r>
        <w:rPr>
          <w:spacing w:val="-6"/>
        </w:rPr>
        <w:t xml:space="preserve"> </w:t>
      </w:r>
      <w:r>
        <w:t>Activities</w:t>
      </w:r>
      <w:r>
        <w:rPr>
          <w:spacing w:val="-7"/>
        </w:rPr>
        <w:t xml:space="preserve"> </w:t>
      </w:r>
      <w:r>
        <w:t>in</w:t>
      </w:r>
      <w:r>
        <w:rPr>
          <w:spacing w:val="-7"/>
        </w:rPr>
        <w:t xml:space="preserve"> </w:t>
      </w:r>
      <w:r>
        <w:t>the</w:t>
      </w:r>
      <w:r>
        <w:rPr>
          <w:spacing w:val="-7"/>
        </w:rPr>
        <w:t xml:space="preserve"> </w:t>
      </w:r>
      <w:r>
        <w:t>previously</w:t>
      </w:r>
      <w:r>
        <w:rPr>
          <w:spacing w:val="-10"/>
        </w:rPr>
        <w:t xml:space="preserve"> </w:t>
      </w:r>
      <w:r>
        <w:t>mentioned</w:t>
      </w:r>
      <w:r>
        <w:rPr>
          <w:spacing w:val="-8"/>
        </w:rPr>
        <w:t xml:space="preserve"> </w:t>
      </w:r>
      <w:r>
        <w:t>reforms,</w:t>
      </w:r>
      <w:r>
        <w:rPr>
          <w:spacing w:val="-57"/>
        </w:rPr>
        <w:t xml:space="preserve"> </w:t>
      </w:r>
      <w:r>
        <w:t>occurring within the implementation time frame for this NRP, include: ongoing review of the</w:t>
      </w:r>
      <w:r>
        <w:rPr>
          <w:spacing w:val="1"/>
        </w:rPr>
        <w:t xml:space="preserve"> </w:t>
      </w:r>
      <w:r>
        <w:rPr>
          <w:spacing w:val="-1"/>
        </w:rPr>
        <w:t>reasons</w:t>
      </w:r>
      <w:r>
        <w:rPr>
          <w:spacing w:val="-10"/>
        </w:rPr>
        <w:t xml:space="preserve"> </w:t>
      </w:r>
      <w:r>
        <w:rPr>
          <w:spacing w:val="-1"/>
        </w:rPr>
        <w:t>for</w:t>
      </w:r>
      <w:r>
        <w:rPr>
          <w:spacing w:val="-11"/>
        </w:rPr>
        <w:t xml:space="preserve"> </w:t>
      </w:r>
      <w:r>
        <w:t>state</w:t>
      </w:r>
      <w:r>
        <w:rPr>
          <w:spacing w:val="-11"/>
        </w:rPr>
        <w:t xml:space="preserve"> </w:t>
      </w:r>
      <w:r>
        <w:t>ownership,</w:t>
      </w:r>
      <w:r>
        <w:rPr>
          <w:spacing w:val="-10"/>
        </w:rPr>
        <w:t xml:space="preserve"> </w:t>
      </w:r>
      <w:r>
        <w:t>as</w:t>
      </w:r>
      <w:r>
        <w:rPr>
          <w:spacing w:val="-10"/>
        </w:rPr>
        <w:t xml:space="preserve"> </w:t>
      </w:r>
      <w:r>
        <w:t>well</w:t>
      </w:r>
      <w:r>
        <w:rPr>
          <w:spacing w:val="-9"/>
        </w:rPr>
        <w:t xml:space="preserve"> </w:t>
      </w:r>
      <w:r>
        <w:t>as</w:t>
      </w:r>
      <w:r>
        <w:rPr>
          <w:spacing w:val="-9"/>
        </w:rPr>
        <w:t xml:space="preserve"> </w:t>
      </w:r>
      <w:r>
        <w:t>the</w:t>
      </w:r>
      <w:r>
        <w:rPr>
          <w:spacing w:val="-11"/>
        </w:rPr>
        <w:t xml:space="preserve"> </w:t>
      </w:r>
      <w:r>
        <w:t>role</w:t>
      </w:r>
      <w:r>
        <w:rPr>
          <w:spacing w:val="-11"/>
        </w:rPr>
        <w:t xml:space="preserve"> </w:t>
      </w:r>
      <w:r>
        <w:t>of</w:t>
      </w:r>
      <w:r>
        <w:rPr>
          <w:spacing w:val="-11"/>
        </w:rPr>
        <w:t xml:space="preserve"> </w:t>
      </w:r>
      <w:r>
        <w:t>the</w:t>
      </w:r>
      <w:r>
        <w:rPr>
          <w:spacing w:val="-11"/>
        </w:rPr>
        <w:t xml:space="preserve"> </w:t>
      </w:r>
      <w:r>
        <w:t>state</w:t>
      </w:r>
      <w:r>
        <w:rPr>
          <w:spacing w:val="-11"/>
        </w:rPr>
        <w:t xml:space="preserve"> </w:t>
      </w:r>
      <w:r>
        <w:t>in</w:t>
      </w:r>
      <w:r>
        <w:rPr>
          <w:spacing w:val="-10"/>
        </w:rPr>
        <w:t xml:space="preserve"> </w:t>
      </w:r>
      <w:r>
        <w:t>legal</w:t>
      </w:r>
      <w:r>
        <w:rPr>
          <w:spacing w:val="-9"/>
        </w:rPr>
        <w:t xml:space="preserve"> </w:t>
      </w:r>
      <w:r>
        <w:t>entities</w:t>
      </w:r>
      <w:r>
        <w:rPr>
          <w:spacing w:val="-10"/>
        </w:rPr>
        <w:t xml:space="preserve"> </w:t>
      </w:r>
      <w:r>
        <w:t>with</w:t>
      </w:r>
      <w:r>
        <w:rPr>
          <w:spacing w:val="-10"/>
        </w:rPr>
        <w:t xml:space="preserve"> </w:t>
      </w:r>
      <w:r>
        <w:t>a</w:t>
      </w:r>
      <w:r>
        <w:rPr>
          <w:spacing w:val="-11"/>
        </w:rPr>
        <w:t xml:space="preserve"> </w:t>
      </w:r>
      <w:r>
        <w:t>clearly</w:t>
      </w:r>
      <w:r>
        <w:rPr>
          <w:spacing w:val="-15"/>
        </w:rPr>
        <w:t xml:space="preserve"> </w:t>
      </w:r>
      <w:r>
        <w:t>defined</w:t>
      </w:r>
      <w:r>
        <w:rPr>
          <w:spacing w:val="-58"/>
        </w:rPr>
        <w:t xml:space="preserve"> </w:t>
      </w:r>
      <w:r>
        <w:t>public</w:t>
      </w:r>
      <w:r>
        <w:rPr>
          <w:spacing w:val="1"/>
        </w:rPr>
        <w:t xml:space="preserve"> </w:t>
      </w:r>
      <w:r>
        <w:t>or</w:t>
      </w:r>
      <w:r>
        <w:rPr>
          <w:spacing w:val="1"/>
        </w:rPr>
        <w:t xml:space="preserve"> </w:t>
      </w:r>
      <w:r>
        <w:t>national</w:t>
      </w:r>
      <w:r>
        <w:rPr>
          <w:spacing w:val="1"/>
        </w:rPr>
        <w:t xml:space="preserve"> </w:t>
      </w:r>
      <w:r>
        <w:t>interest;</w:t>
      </w:r>
      <w:r>
        <w:rPr>
          <w:spacing w:val="1"/>
        </w:rPr>
        <w:t xml:space="preserve"> </w:t>
      </w:r>
      <w:r>
        <w:t>drafting</w:t>
      </w:r>
      <w:r>
        <w:rPr>
          <w:spacing w:val="1"/>
        </w:rPr>
        <w:t xml:space="preserve"> </w:t>
      </w:r>
      <w:r>
        <w:t>a</w:t>
      </w:r>
      <w:r>
        <w:rPr>
          <w:spacing w:val="1"/>
        </w:rPr>
        <w:t xml:space="preserve"> </w:t>
      </w:r>
      <w:r>
        <w:t>proposal</w:t>
      </w:r>
      <w:r>
        <w:rPr>
          <w:spacing w:val="1"/>
        </w:rPr>
        <w:t xml:space="preserve"> </w:t>
      </w:r>
      <w:r>
        <w:t>for</w:t>
      </w:r>
      <w:r>
        <w:rPr>
          <w:spacing w:val="1"/>
        </w:rPr>
        <w:t xml:space="preserve"> </w:t>
      </w:r>
      <w:r>
        <w:t>the</w:t>
      </w:r>
      <w:r>
        <w:rPr>
          <w:spacing w:val="1"/>
        </w:rPr>
        <w:t xml:space="preserve"> </w:t>
      </w:r>
      <w:r>
        <w:t>legal</w:t>
      </w:r>
      <w:r>
        <w:rPr>
          <w:spacing w:val="1"/>
        </w:rPr>
        <w:t xml:space="preserve"> </w:t>
      </w:r>
      <w:r>
        <w:t>framework</w:t>
      </w:r>
      <w:r>
        <w:rPr>
          <w:spacing w:val="1"/>
        </w:rPr>
        <w:t xml:space="preserve"> </w:t>
      </w:r>
      <w:r>
        <w:t>for</w:t>
      </w:r>
      <w:r>
        <w:rPr>
          <w:spacing w:val="1"/>
        </w:rPr>
        <w:t xml:space="preserve"> </w:t>
      </w:r>
      <w:r>
        <w:t>state-owned</w:t>
      </w:r>
      <w:r>
        <w:rPr>
          <w:spacing w:val="1"/>
        </w:rPr>
        <w:t xml:space="preserve"> </w:t>
      </w:r>
      <w:r>
        <w:t>enterprises incorporating official OECD recommendations; launching a program for ongoing</w:t>
      </w:r>
      <w:r>
        <w:rPr>
          <w:spacing w:val="1"/>
        </w:rPr>
        <w:t xml:space="preserve"> </w:t>
      </w:r>
      <w:r>
        <w:t>education of employees</w:t>
      </w:r>
      <w:r>
        <w:rPr>
          <w:spacing w:val="1"/>
        </w:rPr>
        <w:t xml:space="preserve"> </w:t>
      </w:r>
      <w:r>
        <w:t>of</w:t>
      </w:r>
      <w:r>
        <w:rPr>
          <w:spacing w:val="1"/>
        </w:rPr>
        <w:t xml:space="preserve"> </w:t>
      </w:r>
      <w:r>
        <w:t>Ministry of Physical Planning, Construction and State Assets</w:t>
      </w:r>
      <w:r>
        <w:rPr>
          <w:spacing w:val="1"/>
        </w:rPr>
        <w:t xml:space="preserve"> </w:t>
      </w:r>
      <w:r>
        <w:t>(MPPCDA) and other line ministries for the acquiring and enhancing knowledge in corporate</w:t>
      </w:r>
      <w:r>
        <w:rPr>
          <w:spacing w:val="1"/>
        </w:rPr>
        <w:t xml:space="preserve"> </w:t>
      </w:r>
      <w:r>
        <w:t>governance of state-owned enterprises; more frequent announcements of sales and the sale of</w:t>
      </w:r>
      <w:r>
        <w:rPr>
          <w:spacing w:val="1"/>
        </w:rPr>
        <w:t xml:space="preserve"> </w:t>
      </w:r>
      <w:r>
        <w:t>companies</w:t>
      </w:r>
      <w:r>
        <w:rPr>
          <w:spacing w:val="1"/>
        </w:rPr>
        <w:t xml:space="preserve"> </w:t>
      </w:r>
      <w:r>
        <w:t>that</w:t>
      </w:r>
      <w:r>
        <w:rPr>
          <w:spacing w:val="1"/>
        </w:rPr>
        <w:t xml:space="preserve"> </w:t>
      </w:r>
      <w:r>
        <w:t>are</w:t>
      </w:r>
      <w:r>
        <w:rPr>
          <w:spacing w:val="1"/>
        </w:rPr>
        <w:t xml:space="preserve"> </w:t>
      </w:r>
      <w:r>
        <w:t>not</w:t>
      </w:r>
      <w:r>
        <w:rPr>
          <w:spacing w:val="1"/>
        </w:rPr>
        <w:t xml:space="preserve"> </w:t>
      </w:r>
      <w:r>
        <w:t>of</w:t>
      </w:r>
      <w:r>
        <w:rPr>
          <w:spacing w:val="1"/>
        </w:rPr>
        <w:t xml:space="preserve"> </w:t>
      </w:r>
      <w:r>
        <w:t>special</w:t>
      </w:r>
      <w:r>
        <w:rPr>
          <w:spacing w:val="1"/>
        </w:rPr>
        <w:t xml:space="preserve"> </w:t>
      </w:r>
      <w:r>
        <w:t>interest</w:t>
      </w:r>
      <w:r>
        <w:rPr>
          <w:spacing w:val="1"/>
        </w:rPr>
        <w:t xml:space="preserve"> </w:t>
      </w:r>
      <w:r>
        <w:t>to</w:t>
      </w:r>
      <w:r>
        <w:rPr>
          <w:spacing w:val="1"/>
        </w:rPr>
        <w:t xml:space="preserve"> </w:t>
      </w:r>
      <w:r>
        <w:t>the</w:t>
      </w:r>
      <w:r>
        <w:rPr>
          <w:spacing w:val="1"/>
        </w:rPr>
        <w:t xml:space="preserve"> </w:t>
      </w:r>
      <w:r>
        <w:t>Republic</w:t>
      </w:r>
      <w:r>
        <w:rPr>
          <w:spacing w:val="1"/>
        </w:rPr>
        <w:t xml:space="preserve"> </w:t>
      </w:r>
      <w:r>
        <w:t>of</w:t>
      </w:r>
      <w:r>
        <w:rPr>
          <w:spacing w:val="1"/>
        </w:rPr>
        <w:t xml:space="preserve"> </w:t>
      </w:r>
      <w:r>
        <w:t>Croatia</w:t>
      </w:r>
      <w:r>
        <w:rPr>
          <w:spacing w:val="1"/>
        </w:rPr>
        <w:t xml:space="preserve"> </w:t>
      </w:r>
      <w:r>
        <w:t>and</w:t>
      </w:r>
      <w:r>
        <w:rPr>
          <w:spacing w:val="1"/>
        </w:rPr>
        <w:t xml:space="preserve"> </w:t>
      </w:r>
      <w:r>
        <w:t>managed</w:t>
      </w:r>
      <w:r>
        <w:rPr>
          <w:spacing w:val="1"/>
        </w:rPr>
        <w:t xml:space="preserve"> </w:t>
      </w:r>
      <w:r>
        <w:t>by</w:t>
      </w:r>
      <w:r>
        <w:rPr>
          <w:spacing w:val="1"/>
        </w:rPr>
        <w:t xml:space="preserve"> </w:t>
      </w:r>
      <w:r>
        <w:t>Restructuring</w:t>
      </w:r>
      <w:r>
        <w:rPr>
          <w:spacing w:val="-6"/>
        </w:rPr>
        <w:t xml:space="preserve"> </w:t>
      </w:r>
      <w:r>
        <w:t>and</w:t>
      </w:r>
      <w:r>
        <w:rPr>
          <w:spacing w:val="-6"/>
        </w:rPr>
        <w:t xml:space="preserve"> </w:t>
      </w:r>
      <w:r>
        <w:t>Sales</w:t>
      </w:r>
      <w:r>
        <w:rPr>
          <w:spacing w:val="-6"/>
        </w:rPr>
        <w:t xml:space="preserve"> </w:t>
      </w:r>
      <w:r>
        <w:t>Centre</w:t>
      </w:r>
      <w:r>
        <w:rPr>
          <w:spacing w:val="-6"/>
        </w:rPr>
        <w:t xml:space="preserve"> </w:t>
      </w:r>
      <w:r>
        <w:t>(RSC);</w:t>
      </w:r>
      <w:r>
        <w:rPr>
          <w:spacing w:val="-6"/>
        </w:rPr>
        <w:t xml:space="preserve"> </w:t>
      </w:r>
      <w:r>
        <w:t>the</w:t>
      </w:r>
      <w:r>
        <w:rPr>
          <w:spacing w:val="-7"/>
        </w:rPr>
        <w:t xml:space="preserve"> </w:t>
      </w:r>
      <w:r>
        <w:t>RSC</w:t>
      </w:r>
      <w:r>
        <w:rPr>
          <w:spacing w:val="-6"/>
        </w:rPr>
        <w:t xml:space="preserve"> </w:t>
      </w:r>
      <w:r>
        <w:t>action</w:t>
      </w:r>
      <w:r>
        <w:rPr>
          <w:spacing w:val="-6"/>
        </w:rPr>
        <w:t xml:space="preserve"> </w:t>
      </w:r>
      <w:r>
        <w:t>plan</w:t>
      </w:r>
      <w:r>
        <w:rPr>
          <w:spacing w:val="-7"/>
        </w:rPr>
        <w:t xml:space="preserve"> </w:t>
      </w:r>
      <w:r>
        <w:t>for</w:t>
      </w:r>
      <w:r>
        <w:rPr>
          <w:spacing w:val="-7"/>
        </w:rPr>
        <w:t xml:space="preserve"> </w:t>
      </w:r>
      <w:r>
        <w:t>initiating</w:t>
      </w:r>
      <w:r>
        <w:rPr>
          <w:spacing w:val="-9"/>
        </w:rPr>
        <w:t xml:space="preserve"> </w:t>
      </w:r>
      <w:r>
        <w:t>activities</w:t>
      </w:r>
      <w:r>
        <w:rPr>
          <w:spacing w:val="-6"/>
        </w:rPr>
        <w:t xml:space="preserve"> </w:t>
      </w:r>
      <w:r>
        <w:t>ensuring</w:t>
      </w:r>
      <w:r>
        <w:rPr>
          <w:spacing w:val="-7"/>
        </w:rPr>
        <w:t xml:space="preserve"> </w:t>
      </w:r>
      <w:r>
        <w:t>the</w:t>
      </w:r>
      <w:r>
        <w:rPr>
          <w:spacing w:val="-58"/>
        </w:rPr>
        <w:t xml:space="preserve"> </w:t>
      </w:r>
      <w:r>
        <w:t>preconditions for currently available-for-sale portion of the RSC portfolio; activities aimed at</w:t>
      </w:r>
      <w:r>
        <w:rPr>
          <w:spacing w:val="1"/>
        </w:rPr>
        <w:t xml:space="preserve"> </w:t>
      </w:r>
      <w:r>
        <w:t>further</w:t>
      </w:r>
      <w:r>
        <w:rPr>
          <w:spacing w:val="-12"/>
        </w:rPr>
        <w:t xml:space="preserve"> </w:t>
      </w:r>
      <w:r>
        <w:t>reducing</w:t>
      </w:r>
      <w:r>
        <w:rPr>
          <w:spacing w:val="-12"/>
        </w:rPr>
        <w:t xml:space="preserve"> </w:t>
      </w:r>
      <w:r>
        <w:t>the</w:t>
      </w:r>
      <w:r>
        <w:rPr>
          <w:spacing w:val="-11"/>
        </w:rPr>
        <w:t xml:space="preserve"> </w:t>
      </w:r>
      <w:r>
        <w:t>state-owned</w:t>
      </w:r>
      <w:r>
        <w:rPr>
          <w:spacing w:val="-10"/>
        </w:rPr>
        <w:t xml:space="preserve"> </w:t>
      </w:r>
      <w:r>
        <w:t>real</w:t>
      </w:r>
      <w:r>
        <w:rPr>
          <w:spacing w:val="-10"/>
        </w:rPr>
        <w:t xml:space="preserve"> </w:t>
      </w:r>
      <w:r>
        <w:t>estate</w:t>
      </w:r>
      <w:r>
        <w:rPr>
          <w:spacing w:val="-11"/>
        </w:rPr>
        <w:t xml:space="preserve"> </w:t>
      </w:r>
      <w:r>
        <w:t>portfolio</w:t>
      </w:r>
      <w:r>
        <w:rPr>
          <w:spacing w:val="-10"/>
        </w:rPr>
        <w:t xml:space="preserve"> </w:t>
      </w:r>
      <w:r>
        <w:t>and</w:t>
      </w:r>
      <w:r>
        <w:rPr>
          <w:spacing w:val="-10"/>
        </w:rPr>
        <w:t xml:space="preserve"> </w:t>
      </w:r>
      <w:r>
        <w:t>creating</w:t>
      </w:r>
      <w:r>
        <w:rPr>
          <w:spacing w:val="-12"/>
        </w:rPr>
        <w:t xml:space="preserve"> </w:t>
      </w:r>
      <w:r>
        <w:t>preconditions</w:t>
      </w:r>
      <w:r>
        <w:rPr>
          <w:spacing w:val="-10"/>
        </w:rPr>
        <w:t xml:space="preserve"> </w:t>
      </w:r>
      <w:r>
        <w:t>for</w:t>
      </w:r>
      <w:r>
        <w:rPr>
          <w:spacing w:val="-10"/>
        </w:rPr>
        <w:t xml:space="preserve"> </w:t>
      </w:r>
      <w:r>
        <w:t>announcing</w:t>
      </w:r>
      <w:r>
        <w:rPr>
          <w:spacing w:val="-58"/>
        </w:rPr>
        <w:t xml:space="preserve"> </w:t>
      </w:r>
      <w:r>
        <w:t>international public calls for the implementation of investment projects; further improvement</w:t>
      </w:r>
      <w:r>
        <w:rPr>
          <w:spacing w:val="1"/>
        </w:rPr>
        <w:t xml:space="preserve"> </w:t>
      </w:r>
      <w:r>
        <w:t>of relations with LRSGU in order to activate the existing real estate portfolio and implement</w:t>
      </w:r>
      <w:r>
        <w:rPr>
          <w:spacing w:val="1"/>
        </w:rPr>
        <w:t xml:space="preserve"> </w:t>
      </w:r>
      <w:r>
        <w:t>development</w:t>
      </w:r>
      <w:r>
        <w:rPr>
          <w:spacing w:val="-1"/>
        </w:rPr>
        <w:t xml:space="preserve"> </w:t>
      </w:r>
      <w:r>
        <w:t>(infrastructure,</w:t>
      </w:r>
      <w:r>
        <w:rPr>
          <w:spacing w:val="-1"/>
        </w:rPr>
        <w:t xml:space="preserve"> </w:t>
      </w:r>
      <w:r>
        <w:t>cultural, social,</w:t>
      </w:r>
      <w:r>
        <w:rPr>
          <w:spacing w:val="1"/>
        </w:rPr>
        <w:t xml:space="preserve"> </w:t>
      </w:r>
      <w:r>
        <w:t>economic</w:t>
      </w:r>
      <w:r>
        <w:rPr>
          <w:spacing w:val="-1"/>
        </w:rPr>
        <w:t xml:space="preserve"> </w:t>
      </w:r>
      <w:r>
        <w:t>and</w:t>
      </w:r>
      <w:r>
        <w:rPr>
          <w:spacing w:val="-1"/>
        </w:rPr>
        <w:t xml:space="preserve"> </w:t>
      </w:r>
      <w:r>
        <w:t>demographic)</w:t>
      </w:r>
      <w:r>
        <w:rPr>
          <w:spacing w:val="1"/>
        </w:rPr>
        <w:t xml:space="preserve"> </w:t>
      </w:r>
      <w:r>
        <w:t>projects.</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3"/>
        <w:spacing w:before="60"/>
      </w:pPr>
      <w:r>
        <w:rPr>
          <w:rFonts w:ascii="Times New Roman"/>
          <w:b/>
          <w:color w:val="2C398A"/>
        </w:rPr>
        <w:t>C2.5.</w:t>
      </w:r>
      <w:r>
        <w:rPr>
          <w:rFonts w:ascii="Times New Roman"/>
          <w:b/>
          <w:color w:val="2C398A"/>
          <w:spacing w:val="1"/>
        </w:rPr>
        <w:t xml:space="preserve"> </w:t>
      </w:r>
      <w:r>
        <w:rPr>
          <w:color w:val="003399"/>
        </w:rPr>
        <w:t>Modern</w:t>
      </w:r>
      <w:r>
        <w:rPr>
          <w:color w:val="003399"/>
          <w:spacing w:val="-13"/>
        </w:rPr>
        <w:t xml:space="preserve"> </w:t>
      </w:r>
      <w:r>
        <w:rPr>
          <w:color w:val="003399"/>
        </w:rPr>
        <w:t>Justice</w:t>
      </w:r>
      <w:r>
        <w:rPr>
          <w:color w:val="003399"/>
          <w:spacing w:val="-12"/>
        </w:rPr>
        <w:t xml:space="preserve"> </w:t>
      </w:r>
      <w:r>
        <w:rPr>
          <w:color w:val="003399"/>
        </w:rPr>
        <w:t>Fit</w:t>
      </w:r>
      <w:r>
        <w:rPr>
          <w:color w:val="003399"/>
          <w:spacing w:val="-11"/>
        </w:rPr>
        <w:t xml:space="preserve"> </w:t>
      </w:r>
      <w:r>
        <w:rPr>
          <w:color w:val="003399"/>
        </w:rPr>
        <w:t>for</w:t>
      </w:r>
      <w:r>
        <w:rPr>
          <w:color w:val="003399"/>
          <w:spacing w:val="-14"/>
        </w:rPr>
        <w:t xml:space="preserve"> </w:t>
      </w:r>
      <w:r>
        <w:rPr>
          <w:color w:val="003399"/>
        </w:rPr>
        <w:t>Future</w:t>
      </w:r>
      <w:r>
        <w:rPr>
          <w:color w:val="003399"/>
          <w:spacing w:val="-12"/>
        </w:rPr>
        <w:t xml:space="preserve"> </w:t>
      </w:r>
      <w:r>
        <w:rPr>
          <w:color w:val="003399"/>
        </w:rPr>
        <w:t>Challenges</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68064"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268490412"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3C1E3" id="Rectangle 227" o:spid="_x0000_s1026" style="position:absolute;margin-left:64.1pt;margin-top:-6.1pt;width:1.45pt;height:27pt;z-index:15768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Modernisation</w:t>
      </w:r>
      <w:r w:rsidR="00000000">
        <w:rPr>
          <w:color w:val="2C398A"/>
          <w:spacing w:val="-2"/>
        </w:rPr>
        <w:t xml:space="preserve"> </w:t>
      </w:r>
      <w:r w:rsidR="00000000">
        <w:rPr>
          <w:color w:val="2C398A"/>
        </w:rPr>
        <w:t>and</w:t>
      </w:r>
      <w:r w:rsidR="00000000">
        <w:rPr>
          <w:color w:val="2C398A"/>
          <w:spacing w:val="-2"/>
        </w:rPr>
        <w:t xml:space="preserve"> </w:t>
      </w:r>
      <w:r w:rsidR="00000000">
        <w:rPr>
          <w:color w:val="2C398A"/>
        </w:rPr>
        <w:t>automatisation</w:t>
      </w:r>
      <w:r w:rsidR="00000000">
        <w:rPr>
          <w:color w:val="2C398A"/>
          <w:spacing w:val="-2"/>
        </w:rPr>
        <w:t xml:space="preserve"> </w:t>
      </w:r>
      <w:r w:rsidR="00000000">
        <w:rPr>
          <w:color w:val="2C398A"/>
        </w:rPr>
        <w:t>of</w:t>
      </w:r>
      <w:r w:rsidR="00000000">
        <w:rPr>
          <w:color w:val="2C398A"/>
          <w:spacing w:val="-2"/>
        </w:rPr>
        <w:t xml:space="preserve"> </w:t>
      </w:r>
      <w:r w:rsidR="00000000">
        <w:rPr>
          <w:color w:val="2C398A"/>
        </w:rPr>
        <w:t>the</w:t>
      </w:r>
      <w:r w:rsidR="00000000">
        <w:rPr>
          <w:color w:val="2C398A"/>
          <w:spacing w:val="-1"/>
        </w:rPr>
        <w:t xml:space="preserve"> </w:t>
      </w:r>
      <w:r w:rsidR="00000000">
        <w:rPr>
          <w:color w:val="2C398A"/>
        </w:rPr>
        <w:t>courts</w:t>
      </w:r>
    </w:p>
    <w:p w:rsidR="00A56FE9" w:rsidRDefault="00000000">
      <w:pPr>
        <w:spacing w:before="233"/>
        <w:ind w:left="138" w:right="274"/>
        <w:jc w:val="both"/>
        <w:rPr>
          <w:i/>
          <w:sz w:val="23"/>
        </w:rPr>
      </w:pPr>
      <w:r>
        <w:rPr>
          <w:i/>
          <w:color w:val="2C398A"/>
          <w:spacing w:val="-1"/>
          <w:sz w:val="24"/>
        </w:rPr>
        <w:t>2019.CSR4.3.</w:t>
      </w:r>
      <w:r>
        <w:rPr>
          <w:i/>
          <w:color w:val="2C398A"/>
          <w:spacing w:val="-15"/>
          <w:sz w:val="24"/>
        </w:rPr>
        <w:t xml:space="preserve"> </w:t>
      </w:r>
      <w:r>
        <w:rPr>
          <w:i/>
          <w:color w:val="2C398A"/>
          <w:sz w:val="24"/>
        </w:rPr>
        <w:t>Reduce</w:t>
      </w:r>
      <w:r>
        <w:rPr>
          <w:i/>
          <w:color w:val="2C398A"/>
          <w:spacing w:val="-13"/>
          <w:sz w:val="24"/>
        </w:rPr>
        <w:t xml:space="preserve"> </w:t>
      </w:r>
      <w:r>
        <w:rPr>
          <w:i/>
          <w:color w:val="2C398A"/>
          <w:sz w:val="24"/>
        </w:rPr>
        <w:t>the</w:t>
      </w:r>
      <w:r>
        <w:rPr>
          <w:i/>
          <w:color w:val="2C398A"/>
          <w:spacing w:val="-13"/>
          <w:sz w:val="24"/>
        </w:rPr>
        <w:t xml:space="preserve"> </w:t>
      </w:r>
      <w:r>
        <w:rPr>
          <w:i/>
          <w:color w:val="2C398A"/>
          <w:sz w:val="24"/>
        </w:rPr>
        <w:t>duration</w:t>
      </w:r>
      <w:r>
        <w:rPr>
          <w:i/>
          <w:color w:val="2C398A"/>
          <w:spacing w:val="-13"/>
          <w:sz w:val="24"/>
        </w:rPr>
        <w:t xml:space="preserve"> </w:t>
      </w:r>
      <w:r>
        <w:rPr>
          <w:i/>
          <w:color w:val="2C398A"/>
          <w:sz w:val="24"/>
        </w:rPr>
        <w:t>of</w:t>
      </w:r>
      <w:r>
        <w:rPr>
          <w:i/>
          <w:color w:val="2C398A"/>
          <w:spacing w:val="-14"/>
          <w:sz w:val="24"/>
        </w:rPr>
        <w:t xml:space="preserve"> </w:t>
      </w:r>
      <w:r>
        <w:rPr>
          <w:i/>
          <w:color w:val="2C398A"/>
          <w:sz w:val="24"/>
        </w:rPr>
        <w:t>court</w:t>
      </w:r>
      <w:r>
        <w:rPr>
          <w:i/>
          <w:color w:val="2C398A"/>
          <w:spacing w:val="-13"/>
          <w:sz w:val="24"/>
        </w:rPr>
        <w:t xml:space="preserve"> </w:t>
      </w:r>
      <w:r>
        <w:rPr>
          <w:i/>
          <w:color w:val="2C398A"/>
          <w:sz w:val="24"/>
        </w:rPr>
        <w:t>proceedings</w:t>
      </w:r>
      <w:r>
        <w:rPr>
          <w:i/>
          <w:color w:val="2C398A"/>
          <w:spacing w:val="-14"/>
          <w:sz w:val="24"/>
        </w:rPr>
        <w:t xml:space="preserve"> </w:t>
      </w:r>
      <w:r>
        <w:rPr>
          <w:i/>
          <w:color w:val="2C398A"/>
          <w:sz w:val="24"/>
        </w:rPr>
        <w:t>and</w:t>
      </w:r>
      <w:r>
        <w:rPr>
          <w:i/>
          <w:color w:val="2C398A"/>
          <w:spacing w:val="-14"/>
          <w:sz w:val="24"/>
        </w:rPr>
        <w:t xml:space="preserve"> </w:t>
      </w:r>
      <w:r>
        <w:rPr>
          <w:i/>
          <w:color w:val="2C398A"/>
          <w:sz w:val="24"/>
        </w:rPr>
        <w:t>improve</w:t>
      </w:r>
      <w:r>
        <w:rPr>
          <w:i/>
          <w:color w:val="2C398A"/>
          <w:spacing w:val="-13"/>
          <w:sz w:val="24"/>
        </w:rPr>
        <w:t xml:space="preserve"> </w:t>
      </w:r>
      <w:r>
        <w:rPr>
          <w:i/>
          <w:color w:val="2C398A"/>
          <w:sz w:val="24"/>
        </w:rPr>
        <w:t>electronic</w:t>
      </w:r>
      <w:r>
        <w:rPr>
          <w:i/>
          <w:color w:val="2C398A"/>
          <w:spacing w:val="-16"/>
          <w:sz w:val="24"/>
        </w:rPr>
        <w:t xml:space="preserve"> </w:t>
      </w:r>
      <w:r>
        <w:rPr>
          <w:i/>
          <w:color w:val="2C398A"/>
          <w:sz w:val="24"/>
        </w:rPr>
        <w:t>communication</w:t>
      </w:r>
      <w:r>
        <w:rPr>
          <w:i/>
          <w:color w:val="2C398A"/>
          <w:spacing w:val="-58"/>
          <w:sz w:val="24"/>
        </w:rPr>
        <w:t xml:space="preserve"> </w:t>
      </w:r>
      <w:r>
        <w:rPr>
          <w:i/>
          <w:color w:val="2C398A"/>
          <w:sz w:val="24"/>
        </w:rPr>
        <w:t>in courts; 2020.CSR2.2. Increase access to digital infrastructure and services; 2020.CSR4.2.</w:t>
      </w:r>
      <w:r>
        <w:rPr>
          <w:i/>
          <w:color w:val="2C398A"/>
          <w:spacing w:val="1"/>
          <w:sz w:val="24"/>
        </w:rPr>
        <w:t xml:space="preserve"> </w:t>
      </w:r>
      <w:r>
        <w:rPr>
          <w:i/>
          <w:color w:val="2C398A"/>
          <w:sz w:val="23"/>
        </w:rPr>
        <w:t>Improve</w:t>
      </w:r>
      <w:r>
        <w:rPr>
          <w:i/>
          <w:color w:val="2C398A"/>
          <w:spacing w:val="-1"/>
          <w:sz w:val="23"/>
        </w:rPr>
        <w:t xml:space="preserve"> </w:t>
      </w:r>
      <w:r>
        <w:rPr>
          <w:i/>
          <w:color w:val="2C398A"/>
          <w:sz w:val="23"/>
        </w:rPr>
        <w:t>the efficiency of the judicial</w:t>
      </w:r>
      <w:r>
        <w:rPr>
          <w:i/>
          <w:color w:val="2C398A"/>
          <w:spacing w:val="-1"/>
          <w:sz w:val="23"/>
        </w:rPr>
        <w:t xml:space="preserve"> </w:t>
      </w:r>
      <w:r>
        <w:rPr>
          <w:i/>
          <w:color w:val="2C398A"/>
          <w:sz w:val="23"/>
        </w:rPr>
        <w:t>system</w:t>
      </w:r>
    </w:p>
    <w:p w:rsidR="00A56FE9" w:rsidRDefault="00A56FE9">
      <w:pPr>
        <w:pStyle w:val="Tijeloteksta"/>
        <w:spacing w:before="3"/>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905804386"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78730156" name="Rectangle 226"/>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5096FDD" id="Group 225"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">
                <v:rect id="Rectangle 226"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" fillcolor="#2c398a" stroked="f"/>
                <w10:anchorlock/>
              </v:group>
            </w:pict>
          </mc:Fallback>
        </mc:AlternateContent>
      </w:r>
    </w:p>
    <w:p w:rsidR="00A56FE9" w:rsidRDefault="00000000">
      <w:pPr>
        <w:pStyle w:val="Tijeloteksta"/>
        <w:spacing w:before="154"/>
        <w:ind w:right="271"/>
      </w:pPr>
      <w:r>
        <w:t>To improve the efficiency of the judicial system, electronic communication has so far been</w:t>
      </w:r>
      <w:r>
        <w:rPr>
          <w:spacing w:val="1"/>
        </w:rPr>
        <w:t xml:space="preserve"> </w:t>
      </w:r>
      <w:r>
        <w:rPr>
          <w:spacing w:val="-1"/>
        </w:rPr>
        <w:t>introduced</w:t>
      </w:r>
      <w:r>
        <w:rPr>
          <w:spacing w:val="-12"/>
        </w:rPr>
        <w:t xml:space="preserve"> </w:t>
      </w:r>
      <w:r>
        <w:t>across</w:t>
      </w:r>
      <w:r>
        <w:rPr>
          <w:spacing w:val="-10"/>
        </w:rPr>
        <w:t xml:space="preserve"> </w:t>
      </w:r>
      <w:r>
        <w:t>all</w:t>
      </w:r>
      <w:r>
        <w:rPr>
          <w:spacing w:val="-12"/>
        </w:rPr>
        <w:t xml:space="preserve"> </w:t>
      </w:r>
      <w:r>
        <w:t>commercial,</w:t>
      </w:r>
      <w:r>
        <w:rPr>
          <w:spacing w:val="-10"/>
        </w:rPr>
        <w:t xml:space="preserve"> </w:t>
      </w:r>
      <w:r>
        <w:t>county</w:t>
      </w:r>
      <w:r>
        <w:rPr>
          <w:spacing w:val="-15"/>
        </w:rPr>
        <w:t xml:space="preserve"> </w:t>
      </w:r>
      <w:r>
        <w:t>and</w:t>
      </w:r>
      <w:r>
        <w:rPr>
          <w:spacing w:val="-10"/>
        </w:rPr>
        <w:t xml:space="preserve"> </w:t>
      </w:r>
      <w:r>
        <w:t>municipal</w:t>
      </w:r>
      <w:r>
        <w:rPr>
          <w:spacing w:val="-11"/>
        </w:rPr>
        <w:t xml:space="preserve"> </w:t>
      </w:r>
      <w:r>
        <w:t>courts,</w:t>
      </w:r>
      <w:r>
        <w:rPr>
          <w:spacing w:val="-10"/>
        </w:rPr>
        <w:t xml:space="preserve"> </w:t>
      </w:r>
      <w:r>
        <w:t>including</w:t>
      </w:r>
      <w:r>
        <w:rPr>
          <w:spacing w:val="-12"/>
        </w:rPr>
        <w:t xml:space="preserve"> </w:t>
      </w:r>
      <w:r>
        <w:t>the</w:t>
      </w:r>
      <w:r>
        <w:rPr>
          <w:spacing w:val="-13"/>
        </w:rPr>
        <w:t xml:space="preserve"> </w:t>
      </w:r>
      <w:r>
        <w:t>High</w:t>
      </w:r>
      <w:r>
        <w:rPr>
          <w:spacing w:val="-12"/>
        </w:rPr>
        <w:t xml:space="preserve"> </w:t>
      </w:r>
      <w:r>
        <w:t>Commercial</w:t>
      </w:r>
      <w:r>
        <w:rPr>
          <w:spacing w:val="-57"/>
        </w:rPr>
        <w:t xml:space="preserve"> </w:t>
      </w:r>
      <w:r>
        <w:t>Court</w:t>
      </w:r>
      <w:r>
        <w:rPr>
          <w:spacing w:val="-7"/>
        </w:rPr>
        <w:t xml:space="preserve"> </w:t>
      </w:r>
      <w:r>
        <w:t>of</w:t>
      </w:r>
      <w:r>
        <w:rPr>
          <w:spacing w:val="-7"/>
        </w:rPr>
        <w:t xml:space="preserve"> </w:t>
      </w:r>
      <w:r>
        <w:t>the</w:t>
      </w:r>
      <w:r>
        <w:rPr>
          <w:spacing w:val="-7"/>
        </w:rPr>
        <w:t xml:space="preserve"> </w:t>
      </w:r>
      <w:r>
        <w:t>Republic</w:t>
      </w:r>
      <w:r>
        <w:rPr>
          <w:spacing w:val="-7"/>
        </w:rPr>
        <w:t xml:space="preserve"> </w:t>
      </w:r>
      <w:r>
        <w:t>of</w:t>
      </w:r>
      <w:r>
        <w:rPr>
          <w:spacing w:val="-6"/>
        </w:rPr>
        <w:t xml:space="preserve"> </w:t>
      </w:r>
      <w:r>
        <w:t>Croatia,</w:t>
      </w:r>
      <w:r>
        <w:rPr>
          <w:spacing w:val="-6"/>
        </w:rPr>
        <w:t xml:space="preserve"> </w:t>
      </w:r>
      <w:r>
        <w:t>the</w:t>
      </w:r>
      <w:r>
        <w:rPr>
          <w:spacing w:val="-7"/>
        </w:rPr>
        <w:t xml:space="preserve"> </w:t>
      </w:r>
      <w:r>
        <w:t>High</w:t>
      </w:r>
      <w:r>
        <w:rPr>
          <w:spacing w:val="-4"/>
        </w:rPr>
        <w:t xml:space="preserve"> </w:t>
      </w:r>
      <w:r>
        <w:t>Administrative</w:t>
      </w:r>
      <w:r>
        <w:rPr>
          <w:spacing w:val="-6"/>
        </w:rPr>
        <w:t xml:space="preserve"> </w:t>
      </w:r>
      <w:r>
        <w:t>Court</w:t>
      </w:r>
      <w:r>
        <w:rPr>
          <w:spacing w:val="-7"/>
        </w:rPr>
        <w:t xml:space="preserve"> </w:t>
      </w:r>
      <w:r>
        <w:t>of</w:t>
      </w:r>
      <w:r>
        <w:rPr>
          <w:spacing w:val="-7"/>
        </w:rPr>
        <w:t xml:space="preserve"> </w:t>
      </w:r>
      <w:r>
        <w:t>the</w:t>
      </w:r>
      <w:r>
        <w:rPr>
          <w:spacing w:val="-7"/>
        </w:rPr>
        <w:t xml:space="preserve"> </w:t>
      </w:r>
      <w:r>
        <w:t>Republic</w:t>
      </w:r>
      <w:r>
        <w:rPr>
          <w:spacing w:val="-7"/>
        </w:rPr>
        <w:t xml:space="preserve"> </w:t>
      </w:r>
      <w:r>
        <w:t>of</w:t>
      </w:r>
      <w:r>
        <w:rPr>
          <w:spacing w:val="-6"/>
        </w:rPr>
        <w:t xml:space="preserve"> </w:t>
      </w:r>
      <w:r>
        <w:t>Croatia</w:t>
      </w:r>
      <w:r>
        <w:rPr>
          <w:spacing w:val="-7"/>
        </w:rPr>
        <w:t xml:space="preserve"> </w:t>
      </w:r>
      <w:r>
        <w:t>and</w:t>
      </w:r>
      <w:r>
        <w:rPr>
          <w:spacing w:val="-58"/>
        </w:rPr>
        <w:t xml:space="preserve"> </w:t>
      </w:r>
      <w:r>
        <w:t>the</w:t>
      </w:r>
      <w:r>
        <w:rPr>
          <w:spacing w:val="-6"/>
        </w:rPr>
        <w:t xml:space="preserve"> </w:t>
      </w:r>
      <w:r>
        <w:t>Supreme</w:t>
      </w:r>
      <w:r>
        <w:rPr>
          <w:spacing w:val="-6"/>
        </w:rPr>
        <w:t xml:space="preserve"> </w:t>
      </w:r>
      <w:r>
        <w:t>Court</w:t>
      </w:r>
      <w:r>
        <w:rPr>
          <w:spacing w:val="-6"/>
        </w:rPr>
        <w:t xml:space="preserve"> </w:t>
      </w:r>
      <w:r>
        <w:t>of</w:t>
      </w:r>
      <w:r>
        <w:rPr>
          <w:spacing w:val="-6"/>
        </w:rPr>
        <w:t xml:space="preserve"> </w:t>
      </w:r>
      <w:r>
        <w:t>the</w:t>
      </w:r>
      <w:r>
        <w:rPr>
          <w:spacing w:val="-4"/>
        </w:rPr>
        <w:t xml:space="preserve"> </w:t>
      </w:r>
      <w:r>
        <w:t>Republic</w:t>
      </w:r>
      <w:r>
        <w:rPr>
          <w:spacing w:val="-6"/>
        </w:rPr>
        <w:t xml:space="preserve"> </w:t>
      </w:r>
      <w:r>
        <w:t>of</w:t>
      </w:r>
      <w:r>
        <w:rPr>
          <w:spacing w:val="-6"/>
        </w:rPr>
        <w:t xml:space="preserve"> </w:t>
      </w:r>
      <w:r>
        <w:t>Croatia</w:t>
      </w:r>
      <w:r>
        <w:rPr>
          <w:spacing w:val="-6"/>
        </w:rPr>
        <w:t xml:space="preserve"> </w:t>
      </w:r>
      <w:r>
        <w:t>in</w:t>
      </w:r>
      <w:r>
        <w:rPr>
          <w:spacing w:val="-4"/>
        </w:rPr>
        <w:t xml:space="preserve"> </w:t>
      </w:r>
      <w:r>
        <w:t>matters</w:t>
      </w:r>
      <w:r>
        <w:rPr>
          <w:spacing w:val="-6"/>
        </w:rPr>
        <w:t xml:space="preserve"> </w:t>
      </w:r>
      <w:r>
        <w:t>for</w:t>
      </w:r>
      <w:r>
        <w:rPr>
          <w:spacing w:val="-5"/>
        </w:rPr>
        <w:t xml:space="preserve"> </w:t>
      </w:r>
      <w:r>
        <w:t>which</w:t>
      </w:r>
      <w:r>
        <w:rPr>
          <w:spacing w:val="-3"/>
        </w:rPr>
        <w:t xml:space="preserve"> </w:t>
      </w:r>
      <w:r>
        <w:t>a</w:t>
      </w:r>
      <w:r>
        <w:rPr>
          <w:spacing w:val="-6"/>
        </w:rPr>
        <w:t xml:space="preserve"> </w:t>
      </w:r>
      <w:r>
        <w:t>legal</w:t>
      </w:r>
      <w:r>
        <w:rPr>
          <w:spacing w:val="-5"/>
        </w:rPr>
        <w:t xml:space="preserve"> </w:t>
      </w:r>
      <w:r>
        <w:t>framework</w:t>
      </w:r>
      <w:r>
        <w:rPr>
          <w:spacing w:val="-4"/>
        </w:rPr>
        <w:t xml:space="preserve"> </w:t>
      </w:r>
      <w:r>
        <w:t>exists.</w:t>
      </w:r>
      <w:r>
        <w:rPr>
          <w:spacing w:val="-5"/>
        </w:rPr>
        <w:t xml:space="preserve"> </w:t>
      </w:r>
      <w:r>
        <w:t>E-</w:t>
      </w:r>
      <w:r>
        <w:rPr>
          <w:spacing w:val="-57"/>
        </w:rPr>
        <w:t xml:space="preserve"> </w:t>
      </w:r>
      <w:r>
        <w:t>Communication</w:t>
      </w:r>
      <w:r>
        <w:rPr>
          <w:spacing w:val="-9"/>
        </w:rPr>
        <w:t xml:space="preserve"> </w:t>
      </w:r>
      <w:r>
        <w:t>also</w:t>
      </w:r>
      <w:r>
        <w:rPr>
          <w:spacing w:val="-8"/>
        </w:rPr>
        <w:t xml:space="preserve"> </w:t>
      </w:r>
      <w:r>
        <w:t>covers</w:t>
      </w:r>
      <w:r>
        <w:rPr>
          <w:spacing w:val="-9"/>
        </w:rPr>
        <w:t xml:space="preserve"> </w:t>
      </w:r>
      <w:r>
        <w:t>legal</w:t>
      </w:r>
      <w:r>
        <w:rPr>
          <w:spacing w:val="-8"/>
        </w:rPr>
        <w:t xml:space="preserve"> </w:t>
      </w:r>
      <w:r>
        <w:t>persons</w:t>
      </w:r>
      <w:r>
        <w:rPr>
          <w:spacing w:val="-9"/>
        </w:rPr>
        <w:t xml:space="preserve"> </w:t>
      </w:r>
      <w:r>
        <w:t>as</w:t>
      </w:r>
      <w:r>
        <w:rPr>
          <w:spacing w:val="-8"/>
        </w:rPr>
        <w:t xml:space="preserve"> </w:t>
      </w:r>
      <w:r>
        <w:t>mandatory</w:t>
      </w:r>
      <w:r>
        <w:rPr>
          <w:spacing w:val="-13"/>
        </w:rPr>
        <w:t xml:space="preserve"> </w:t>
      </w:r>
      <w:r>
        <w:t>participants</w:t>
      </w:r>
      <w:r>
        <w:rPr>
          <w:spacing w:val="-8"/>
        </w:rPr>
        <w:t xml:space="preserve"> </w:t>
      </w:r>
      <w:r>
        <w:t>and</w:t>
      </w:r>
      <w:r>
        <w:rPr>
          <w:spacing w:val="-6"/>
        </w:rPr>
        <w:t xml:space="preserve"> </w:t>
      </w:r>
      <w:r>
        <w:t>were</w:t>
      </w:r>
      <w:r>
        <w:rPr>
          <w:spacing w:val="-10"/>
        </w:rPr>
        <w:t xml:space="preserve"> </w:t>
      </w:r>
      <w:r>
        <w:t>obliged</w:t>
      </w:r>
      <w:r>
        <w:rPr>
          <w:spacing w:val="-8"/>
        </w:rPr>
        <w:t xml:space="preserve"> </w:t>
      </w:r>
      <w:r>
        <w:t>to</w:t>
      </w:r>
      <w:r>
        <w:rPr>
          <w:spacing w:val="-8"/>
        </w:rPr>
        <w:t xml:space="preserve"> </w:t>
      </w:r>
      <w:r>
        <w:t>access</w:t>
      </w:r>
      <w:r>
        <w:rPr>
          <w:spacing w:val="-58"/>
        </w:rPr>
        <w:t xml:space="preserve"> </w:t>
      </w:r>
      <w:r>
        <w:t>the electronic communication information system with all courts by 1 September 2020. E-</w:t>
      </w:r>
      <w:r>
        <w:rPr>
          <w:spacing w:val="1"/>
        </w:rPr>
        <w:t xml:space="preserve"> </w:t>
      </w:r>
      <w:r>
        <w:t>Communication for individuals has also been enabled but is not required. A web portal for</w:t>
      </w:r>
      <w:r>
        <w:rPr>
          <w:spacing w:val="1"/>
        </w:rPr>
        <w:t xml:space="preserve"> </w:t>
      </w:r>
      <w:r>
        <w:t>judges has also been implemented, providing the possibility of gaining insight into their own</w:t>
      </w:r>
      <w:r>
        <w:rPr>
          <w:spacing w:val="1"/>
        </w:rPr>
        <w:t xml:space="preserve"> </w:t>
      </w:r>
      <w:r>
        <w:t>cases and performing some common activities in the system and monitoring selected reports</w:t>
      </w:r>
      <w:r>
        <w:rPr>
          <w:spacing w:val="1"/>
        </w:rPr>
        <w:t xml:space="preserve"> </w:t>
      </w:r>
      <w:r>
        <w:t>from</w:t>
      </w:r>
      <w:r>
        <w:rPr>
          <w:spacing w:val="1"/>
        </w:rPr>
        <w:t xml:space="preserve"> </w:t>
      </w:r>
      <w:r>
        <w:t>the</w:t>
      </w:r>
      <w:r>
        <w:rPr>
          <w:spacing w:val="1"/>
        </w:rPr>
        <w:t xml:space="preserve"> </w:t>
      </w:r>
      <w:r>
        <w:t>eCasefile</w:t>
      </w:r>
      <w:r>
        <w:rPr>
          <w:spacing w:val="1"/>
        </w:rPr>
        <w:t xml:space="preserve"> </w:t>
      </w:r>
      <w:r>
        <w:t>(eSpis)</w:t>
      </w:r>
      <w:r>
        <w:rPr>
          <w:spacing w:val="1"/>
        </w:rPr>
        <w:t xml:space="preserve"> </w:t>
      </w:r>
      <w:r>
        <w:t>system.</w:t>
      </w:r>
      <w:r>
        <w:rPr>
          <w:spacing w:val="1"/>
        </w:rPr>
        <w:t xml:space="preserve"> </w:t>
      </w:r>
      <w:r>
        <w:t>To</w:t>
      </w:r>
      <w:r>
        <w:rPr>
          <w:spacing w:val="1"/>
        </w:rPr>
        <w:t xml:space="preserve"> </w:t>
      </w:r>
      <w:r>
        <w:t>administratively</w:t>
      </w:r>
      <w:r>
        <w:rPr>
          <w:spacing w:val="1"/>
        </w:rPr>
        <w:t xml:space="preserve"> </w:t>
      </w:r>
      <w:r>
        <w:t>relieve</w:t>
      </w:r>
      <w:r>
        <w:rPr>
          <w:spacing w:val="1"/>
        </w:rPr>
        <w:t xml:space="preserve"> </w:t>
      </w:r>
      <w:r>
        <w:t>the</w:t>
      </w:r>
      <w:r>
        <w:rPr>
          <w:spacing w:val="1"/>
        </w:rPr>
        <w:t xml:space="preserve"> </w:t>
      </w:r>
      <w:r>
        <w:t>courts</w:t>
      </w:r>
      <w:r>
        <w:rPr>
          <w:spacing w:val="1"/>
        </w:rPr>
        <w:t xml:space="preserve"> </w:t>
      </w:r>
      <w:r>
        <w:t>and</w:t>
      </w:r>
      <w:r>
        <w:rPr>
          <w:spacing w:val="1"/>
        </w:rPr>
        <w:t xml:space="preserve"> </w:t>
      </w:r>
      <w:r>
        <w:t>increase</w:t>
      </w:r>
      <w:r>
        <w:rPr>
          <w:spacing w:val="1"/>
        </w:rPr>
        <w:t xml:space="preserve"> </w:t>
      </w:r>
      <w:r>
        <w:t>productivity in dispatching tasks, the eDelivery (eDostava) system was introduced in 2019,</w:t>
      </w:r>
      <w:r>
        <w:rPr>
          <w:spacing w:val="1"/>
        </w:rPr>
        <w:t xml:space="preserve"> </w:t>
      </w:r>
      <w:r>
        <w:t>enabling</w:t>
      </w:r>
      <w:r>
        <w:rPr>
          <w:spacing w:val="-11"/>
        </w:rPr>
        <w:t xml:space="preserve"> </w:t>
      </w:r>
      <w:r>
        <w:t>the</w:t>
      </w:r>
      <w:r>
        <w:rPr>
          <w:spacing w:val="-9"/>
        </w:rPr>
        <w:t xml:space="preserve"> </w:t>
      </w:r>
      <w:r>
        <w:t>electronic</w:t>
      </w:r>
      <w:r>
        <w:rPr>
          <w:spacing w:val="-9"/>
        </w:rPr>
        <w:t xml:space="preserve"> </w:t>
      </w:r>
      <w:r>
        <w:t>sending</w:t>
      </w:r>
      <w:r>
        <w:rPr>
          <w:spacing w:val="-11"/>
        </w:rPr>
        <w:t xml:space="preserve"> </w:t>
      </w:r>
      <w:r>
        <w:t>of</w:t>
      </w:r>
      <w:r>
        <w:rPr>
          <w:spacing w:val="-9"/>
        </w:rPr>
        <w:t xml:space="preserve"> </w:t>
      </w:r>
      <w:r>
        <w:t>documents</w:t>
      </w:r>
      <w:r>
        <w:rPr>
          <w:spacing w:val="-8"/>
        </w:rPr>
        <w:t xml:space="preserve"> </w:t>
      </w:r>
      <w:r>
        <w:t>from</w:t>
      </w:r>
      <w:r>
        <w:rPr>
          <w:spacing w:val="-6"/>
        </w:rPr>
        <w:t xml:space="preserve"> </w:t>
      </w:r>
      <w:r>
        <w:t>courts</w:t>
      </w:r>
      <w:r>
        <w:rPr>
          <w:spacing w:val="-9"/>
        </w:rPr>
        <w:t xml:space="preserve"> </w:t>
      </w:r>
      <w:r>
        <w:t>to</w:t>
      </w:r>
      <w:r>
        <w:rPr>
          <w:spacing w:val="-8"/>
        </w:rPr>
        <w:t xml:space="preserve"> </w:t>
      </w:r>
      <w:r>
        <w:t>the</w:t>
      </w:r>
      <w:r>
        <w:rPr>
          <w:spacing w:val="-9"/>
        </w:rPr>
        <w:t xml:space="preserve"> </w:t>
      </w:r>
      <w:r>
        <w:t>postal</w:t>
      </w:r>
      <w:r>
        <w:rPr>
          <w:spacing w:val="-11"/>
        </w:rPr>
        <w:t xml:space="preserve"> </w:t>
      </w:r>
      <w:r>
        <w:t>service</w:t>
      </w:r>
      <w:r>
        <w:rPr>
          <w:spacing w:val="-10"/>
        </w:rPr>
        <w:t xml:space="preserve"> </w:t>
      </w:r>
      <w:r>
        <w:t>provider</w:t>
      </w:r>
      <w:r>
        <w:rPr>
          <w:spacing w:val="-9"/>
        </w:rPr>
        <w:t xml:space="preserve"> </w:t>
      </w:r>
      <w:r>
        <w:t>in</w:t>
      </w:r>
      <w:r>
        <w:rPr>
          <w:spacing w:val="-8"/>
        </w:rPr>
        <w:t xml:space="preserve"> </w:t>
      </w:r>
      <w:r>
        <w:t>order</w:t>
      </w:r>
      <w:r>
        <w:rPr>
          <w:spacing w:val="-58"/>
        </w:rPr>
        <w:t xml:space="preserve"> </w:t>
      </w:r>
      <w:r>
        <w:t>to materialise documents and electronically sign them. As part of the ESF-funded project</w:t>
      </w:r>
      <w:r>
        <w:rPr>
          <w:spacing w:val="1"/>
        </w:rPr>
        <w:t xml:space="preserve"> </w:t>
      </w:r>
      <w:r>
        <w:t>Upgrading the eCasefile (eSpis) Application System, a unique court web portal has been</w:t>
      </w:r>
      <w:r>
        <w:rPr>
          <w:spacing w:val="1"/>
        </w:rPr>
        <w:t xml:space="preserve"> </w:t>
      </w:r>
      <w:r>
        <w:t>developed,</w:t>
      </w:r>
      <w:r>
        <w:rPr>
          <w:spacing w:val="-8"/>
        </w:rPr>
        <w:t xml:space="preserve"> </w:t>
      </w:r>
      <w:r>
        <w:t>allowing</w:t>
      </w:r>
      <w:r>
        <w:rPr>
          <w:spacing w:val="-9"/>
        </w:rPr>
        <w:t xml:space="preserve"> </w:t>
      </w:r>
      <w:r>
        <w:t>the</w:t>
      </w:r>
      <w:r>
        <w:rPr>
          <w:spacing w:val="-7"/>
        </w:rPr>
        <w:t xml:space="preserve"> </w:t>
      </w:r>
      <w:r>
        <w:t>public</w:t>
      </w:r>
      <w:r>
        <w:rPr>
          <w:spacing w:val="-7"/>
        </w:rPr>
        <w:t xml:space="preserve"> </w:t>
      </w:r>
      <w:r>
        <w:t>to</w:t>
      </w:r>
      <w:r>
        <w:rPr>
          <w:spacing w:val="-6"/>
        </w:rPr>
        <w:t xml:space="preserve"> </w:t>
      </w:r>
      <w:r>
        <w:t>access</w:t>
      </w:r>
      <w:r>
        <w:rPr>
          <w:spacing w:val="-6"/>
        </w:rPr>
        <w:t xml:space="preserve"> </w:t>
      </w:r>
      <w:r>
        <w:t>court</w:t>
      </w:r>
      <w:r>
        <w:rPr>
          <w:spacing w:val="-7"/>
        </w:rPr>
        <w:t xml:space="preserve"> </w:t>
      </w:r>
      <w:r>
        <w:t>e-services</w:t>
      </w:r>
      <w:r>
        <w:rPr>
          <w:spacing w:val="-6"/>
        </w:rPr>
        <w:t xml:space="preserve"> </w:t>
      </w:r>
      <w:r>
        <w:t>and</w:t>
      </w:r>
      <w:r>
        <w:rPr>
          <w:spacing w:val="-6"/>
        </w:rPr>
        <w:t xml:space="preserve"> </w:t>
      </w:r>
      <w:r>
        <w:t>essential</w:t>
      </w:r>
      <w:r>
        <w:rPr>
          <w:spacing w:val="-6"/>
        </w:rPr>
        <w:t xml:space="preserve"> </w:t>
      </w:r>
      <w:r>
        <w:t>information</w:t>
      </w:r>
      <w:r>
        <w:rPr>
          <w:spacing w:val="-6"/>
        </w:rPr>
        <w:t xml:space="preserve"> </w:t>
      </w:r>
      <w:r>
        <w:t>on</w:t>
      </w:r>
      <w:r>
        <w:rPr>
          <w:spacing w:val="-6"/>
        </w:rPr>
        <w:t xml:space="preserve"> </w:t>
      </w:r>
      <w:r>
        <w:t>the</w:t>
      </w:r>
      <w:r>
        <w:rPr>
          <w:spacing w:val="-7"/>
        </w:rPr>
        <w:t xml:space="preserve"> </w:t>
      </w:r>
      <w:r>
        <w:t>work</w:t>
      </w:r>
      <w:r>
        <w:rPr>
          <w:spacing w:val="-58"/>
        </w:rPr>
        <w:t xml:space="preserve"> </w:t>
      </w:r>
      <w:r>
        <w:t>of each court. Each court now has its own website, with the same design for all courts. From</w:t>
      </w:r>
      <w:r>
        <w:rPr>
          <w:spacing w:val="1"/>
        </w:rPr>
        <w:t xml:space="preserve"> </w:t>
      </w:r>
      <w:r>
        <w:t>December 2020, eCasefile (eSpis) was introduced to misdemeanour departments at municipal</w:t>
      </w:r>
      <w:r>
        <w:rPr>
          <w:spacing w:val="1"/>
        </w:rPr>
        <w:t xml:space="preserve"> </w:t>
      </w:r>
      <w:r>
        <w:t>courts, municipal misdemeanour courts and the High Misdemeanour Court of the Republic of</w:t>
      </w:r>
      <w:r>
        <w:rPr>
          <w:spacing w:val="1"/>
        </w:rPr>
        <w:t xml:space="preserve"> </w:t>
      </w:r>
      <w:r>
        <w:t>Croatia. In June 2021, eCasefile (eSpis) was introduced into the daily work of administrative</w:t>
      </w:r>
      <w:r>
        <w:rPr>
          <w:spacing w:val="1"/>
        </w:rPr>
        <w:t xml:space="preserve"> </w:t>
      </w:r>
      <w:r>
        <w:t>courts and the High Administrative Court of the Republic of Croatia. In accordance with the</w:t>
      </w:r>
      <w:r>
        <w:rPr>
          <w:spacing w:val="1"/>
        </w:rPr>
        <w:t xml:space="preserve"> </w:t>
      </w:r>
      <w:r>
        <w:t>Enforcement Act and the Ordinance on Forms in the Enforcement Procedure, Manner of</w:t>
      </w:r>
      <w:r>
        <w:rPr>
          <w:spacing w:val="1"/>
        </w:rPr>
        <w:t xml:space="preserve"> </w:t>
      </w:r>
      <w:r>
        <w:t>Electronic Communication Between Participants and Manner of Assigning Cases in Notary</w:t>
      </w:r>
      <w:r>
        <w:rPr>
          <w:spacing w:val="1"/>
        </w:rPr>
        <w:t xml:space="preserve"> </w:t>
      </w:r>
      <w:r>
        <w:t>Public Operations, on 15 September 2021, an applicative system for submitting petitions for</w:t>
      </w:r>
      <w:r>
        <w:rPr>
          <w:spacing w:val="1"/>
        </w:rPr>
        <w:t xml:space="preserve"> </w:t>
      </w:r>
      <w:r>
        <w:t>enforcement</w:t>
      </w:r>
      <w:r>
        <w:rPr>
          <w:spacing w:val="1"/>
        </w:rPr>
        <w:t xml:space="preserve"> </w:t>
      </w:r>
      <w:r>
        <w:t>was</w:t>
      </w:r>
      <w:r>
        <w:rPr>
          <w:spacing w:val="1"/>
        </w:rPr>
        <w:t xml:space="preserve"> </w:t>
      </w:r>
      <w:r>
        <w:t>established</w:t>
      </w:r>
      <w:r>
        <w:rPr>
          <w:spacing w:val="1"/>
        </w:rPr>
        <w:t xml:space="preserve"> </w:t>
      </w:r>
      <w:r>
        <w:t>where</w:t>
      </w:r>
      <w:r>
        <w:rPr>
          <w:spacing w:val="1"/>
        </w:rPr>
        <w:t xml:space="preserve"> </w:t>
      </w:r>
      <w:r>
        <w:t>enforcements</w:t>
      </w:r>
      <w:r>
        <w:rPr>
          <w:spacing w:val="1"/>
        </w:rPr>
        <w:t xml:space="preserve"> </w:t>
      </w:r>
      <w:r>
        <w:t>are</w:t>
      </w:r>
      <w:r>
        <w:rPr>
          <w:spacing w:val="1"/>
        </w:rPr>
        <w:t xml:space="preserve"> </w:t>
      </w:r>
      <w:r>
        <w:t>based</w:t>
      </w:r>
      <w:r>
        <w:rPr>
          <w:spacing w:val="1"/>
        </w:rPr>
        <w:t xml:space="preserve"> </w:t>
      </w:r>
      <w:r>
        <w:t>on</w:t>
      </w:r>
      <w:r>
        <w:rPr>
          <w:spacing w:val="1"/>
        </w:rPr>
        <w:t xml:space="preserve"> </w:t>
      </w:r>
      <w:r>
        <w:t>authentic</w:t>
      </w:r>
      <w:r>
        <w:rPr>
          <w:spacing w:val="1"/>
        </w:rPr>
        <w:t xml:space="preserve"> </w:t>
      </w:r>
      <w:r>
        <w:t>documents</w:t>
      </w:r>
      <w:r>
        <w:rPr>
          <w:spacing w:val="1"/>
        </w:rPr>
        <w:t xml:space="preserve"> </w:t>
      </w:r>
      <w:r>
        <w:t>to</w:t>
      </w:r>
      <w:r>
        <w:rPr>
          <w:spacing w:val="1"/>
        </w:rPr>
        <w:t xml:space="preserve"> </w:t>
      </w:r>
      <w:r>
        <w:t>municipal courts, the so-called eOvrha (eEnforcement) System. The system was put into</w:t>
      </w:r>
      <w:r>
        <w:rPr>
          <w:spacing w:val="1"/>
        </w:rPr>
        <w:t xml:space="preserve"> </w:t>
      </w:r>
      <w:r>
        <w:t>operation and connected to the FINA IT system and the eNotar system (Croatian Notaries</w:t>
      </w:r>
      <w:r>
        <w:rPr>
          <w:spacing w:val="1"/>
        </w:rPr>
        <w:t xml:space="preserve"> </w:t>
      </w:r>
      <w:r>
        <w:t>Chamber).</w:t>
      </w:r>
    </w:p>
    <w:p w:rsidR="00A56FE9" w:rsidRDefault="00000000">
      <w:pPr>
        <w:pStyle w:val="Tijeloteksta"/>
        <w:spacing w:before="122"/>
        <w:ind w:right="269"/>
      </w:pPr>
      <w:r>
        <w:t>The latest amendments to the Criminal Procedure Act,</w:t>
      </w:r>
      <w:r>
        <w:rPr>
          <w:vertAlign w:val="superscript"/>
        </w:rPr>
        <w:t>29</w:t>
      </w:r>
      <w:r>
        <w:t xml:space="preserve"> which entered into force on 1 January</w:t>
      </w:r>
      <w:r>
        <w:rPr>
          <w:spacing w:val="-57"/>
        </w:rPr>
        <w:t xml:space="preserve"> </w:t>
      </w:r>
      <w:r>
        <w:t>2020,</w:t>
      </w:r>
      <w:r>
        <w:rPr>
          <w:spacing w:val="-5"/>
        </w:rPr>
        <w:t xml:space="preserve"> </w:t>
      </w:r>
      <w:r>
        <w:t>to</w:t>
      </w:r>
      <w:r>
        <w:rPr>
          <w:spacing w:val="-3"/>
        </w:rPr>
        <w:t xml:space="preserve"> </w:t>
      </w:r>
      <w:r>
        <w:t>facilitate</w:t>
      </w:r>
      <w:r>
        <w:rPr>
          <w:spacing w:val="-5"/>
        </w:rPr>
        <w:t xml:space="preserve"> </w:t>
      </w:r>
      <w:r>
        <w:t>the</w:t>
      </w:r>
      <w:r>
        <w:rPr>
          <w:spacing w:val="-4"/>
        </w:rPr>
        <w:t xml:space="preserve"> </w:t>
      </w:r>
      <w:r>
        <w:t>introduction</w:t>
      </w:r>
      <w:r>
        <w:rPr>
          <w:spacing w:val="-4"/>
        </w:rPr>
        <w:t xml:space="preserve"> </w:t>
      </w:r>
      <w:r>
        <w:t>of</w:t>
      </w:r>
      <w:r>
        <w:rPr>
          <w:spacing w:val="-6"/>
        </w:rPr>
        <w:t xml:space="preserve"> </w:t>
      </w:r>
      <w:r>
        <w:t>e-Communication</w:t>
      </w:r>
      <w:r>
        <w:rPr>
          <w:spacing w:val="-4"/>
        </w:rPr>
        <w:t xml:space="preserve"> </w:t>
      </w:r>
      <w:r>
        <w:t>in</w:t>
      </w:r>
      <w:r>
        <w:rPr>
          <w:spacing w:val="-4"/>
        </w:rPr>
        <w:t xml:space="preserve"> </w:t>
      </w:r>
      <w:r>
        <w:t>criminal</w:t>
      </w:r>
      <w:r>
        <w:rPr>
          <w:spacing w:val="-3"/>
        </w:rPr>
        <w:t xml:space="preserve"> </w:t>
      </w:r>
      <w:r>
        <w:t>proceedings,</w:t>
      </w:r>
      <w:r>
        <w:rPr>
          <w:spacing w:val="-4"/>
        </w:rPr>
        <w:t xml:space="preserve"> </w:t>
      </w:r>
      <w:r>
        <w:t>stipulates</w:t>
      </w:r>
      <w:r>
        <w:rPr>
          <w:spacing w:val="-5"/>
        </w:rPr>
        <w:t xml:space="preserve"> </w:t>
      </w:r>
      <w:r>
        <w:t>that</w:t>
      </w:r>
      <w:r>
        <w:rPr>
          <w:spacing w:val="-57"/>
        </w:rPr>
        <w:t xml:space="preserve"> </w:t>
      </w:r>
      <w:r>
        <w:t>the verdict be signed only by the presiding judge, no longer by the clerk, given the secured</w:t>
      </w:r>
      <w:r>
        <w:rPr>
          <w:spacing w:val="1"/>
        </w:rPr>
        <w:t xml:space="preserve"> </w:t>
      </w:r>
      <w:r>
        <w:t>digital</w:t>
      </w:r>
      <w:r>
        <w:rPr>
          <w:spacing w:val="-11"/>
        </w:rPr>
        <w:t xml:space="preserve"> </w:t>
      </w:r>
      <w:r>
        <w:t>signature</w:t>
      </w:r>
      <w:r>
        <w:rPr>
          <w:spacing w:val="-10"/>
        </w:rPr>
        <w:t xml:space="preserve"> </w:t>
      </w:r>
      <w:r>
        <w:t>certificate</w:t>
      </w:r>
      <w:r>
        <w:rPr>
          <w:spacing w:val="-9"/>
        </w:rPr>
        <w:t xml:space="preserve"> </w:t>
      </w:r>
      <w:r>
        <w:t>for</w:t>
      </w:r>
      <w:r>
        <w:rPr>
          <w:spacing w:val="-13"/>
        </w:rPr>
        <w:t xml:space="preserve"> </w:t>
      </w:r>
      <w:r>
        <w:t>judges</w:t>
      </w:r>
      <w:r>
        <w:rPr>
          <w:spacing w:val="-10"/>
        </w:rPr>
        <w:t xml:space="preserve"> </w:t>
      </w:r>
      <w:r>
        <w:t>and</w:t>
      </w:r>
      <w:r>
        <w:rPr>
          <w:spacing w:val="-9"/>
        </w:rPr>
        <w:t xml:space="preserve"> </w:t>
      </w:r>
      <w:r>
        <w:t>court</w:t>
      </w:r>
      <w:r>
        <w:rPr>
          <w:spacing w:val="-8"/>
        </w:rPr>
        <w:t xml:space="preserve"> </w:t>
      </w:r>
      <w:r>
        <w:t>advisers</w:t>
      </w:r>
      <w:r>
        <w:rPr>
          <w:spacing w:val="-11"/>
        </w:rPr>
        <w:t xml:space="preserve"> </w:t>
      </w:r>
      <w:r>
        <w:t>and</w:t>
      </w:r>
      <w:r>
        <w:rPr>
          <w:spacing w:val="-11"/>
        </w:rPr>
        <w:t xml:space="preserve"> </w:t>
      </w:r>
      <w:r>
        <w:t>the</w:t>
      </w:r>
      <w:r>
        <w:rPr>
          <w:spacing w:val="-8"/>
        </w:rPr>
        <w:t xml:space="preserve"> </w:t>
      </w:r>
      <w:r>
        <w:t>preparation</w:t>
      </w:r>
      <w:r>
        <w:rPr>
          <w:spacing w:val="-9"/>
        </w:rPr>
        <w:t xml:space="preserve"> </w:t>
      </w:r>
      <w:r>
        <w:t>of</w:t>
      </w:r>
      <w:r>
        <w:rPr>
          <w:spacing w:val="-11"/>
        </w:rPr>
        <w:t xml:space="preserve"> </w:t>
      </w:r>
      <w:r>
        <w:t>courts</w:t>
      </w:r>
      <w:r>
        <w:rPr>
          <w:spacing w:val="-11"/>
        </w:rPr>
        <w:t xml:space="preserve"> </w:t>
      </w:r>
      <w:r>
        <w:t>for</w:t>
      </w:r>
      <w:r>
        <w:rPr>
          <w:spacing w:val="-11"/>
        </w:rPr>
        <w:t xml:space="preserve"> </w:t>
      </w:r>
      <w:r>
        <w:t>future</w:t>
      </w:r>
      <w:r>
        <w:rPr>
          <w:spacing w:val="-58"/>
        </w:rPr>
        <w:t xml:space="preserve"> </w:t>
      </w:r>
      <w:r>
        <w:t>electronic</w:t>
      </w:r>
      <w:r>
        <w:rPr>
          <w:spacing w:val="-2"/>
        </w:rPr>
        <w:t xml:space="preserve"> </w:t>
      </w:r>
      <w:r>
        <w:t>operations.</w:t>
      </w:r>
    </w:p>
    <w:p w:rsidR="00A56FE9" w:rsidRDefault="00000000">
      <w:pPr>
        <w:pStyle w:val="Tijeloteksta"/>
        <w:spacing w:before="120"/>
        <w:ind w:right="271"/>
      </w:pPr>
      <w:r>
        <w:t>The Act on Amendments to the Act on Administrative Disputes</w:t>
      </w:r>
      <w:r>
        <w:rPr>
          <w:vertAlign w:val="superscript"/>
        </w:rPr>
        <w:t>30</w:t>
      </w:r>
      <w:r>
        <w:t xml:space="preserve"> was adopted, introducing</w:t>
      </w:r>
      <w:r>
        <w:rPr>
          <w:spacing w:val="1"/>
        </w:rPr>
        <w:t xml:space="preserve"> </w:t>
      </w:r>
      <w:r>
        <w:t>electronic communication instruments to this type of court proceedings. A list of persons who</w:t>
      </w:r>
      <w:r>
        <w:rPr>
          <w:spacing w:val="1"/>
        </w:rPr>
        <w:t xml:space="preserve"> </w:t>
      </w:r>
      <w:r>
        <w:t>are obliged to deliver submissions in electronic form via the information system and to whom</w:t>
      </w:r>
      <w:r>
        <w:rPr>
          <w:spacing w:val="1"/>
        </w:rPr>
        <w:t xml:space="preserve"> </w:t>
      </w:r>
      <w:r>
        <w:t>the delivery is to be done in the same way are listed in the same form (state administration</w:t>
      </w:r>
      <w:r>
        <w:rPr>
          <w:spacing w:val="1"/>
        </w:rPr>
        <w:t xml:space="preserve"> </w:t>
      </w:r>
      <w:r>
        <w:t>bodies</w:t>
      </w:r>
      <w:r>
        <w:rPr>
          <w:spacing w:val="-1"/>
        </w:rPr>
        <w:t xml:space="preserve"> </w:t>
      </w:r>
      <w:r>
        <w:t>and</w:t>
      </w:r>
      <w:r>
        <w:rPr>
          <w:spacing w:val="-1"/>
        </w:rPr>
        <w:t xml:space="preserve"> </w:t>
      </w:r>
      <w:r>
        <w:t>other</w:t>
      </w:r>
      <w:r>
        <w:rPr>
          <w:spacing w:val="-1"/>
        </w:rPr>
        <w:t xml:space="preserve"> </w:t>
      </w:r>
      <w:r>
        <w:t>state bodies,</w:t>
      </w:r>
      <w:r>
        <w:rPr>
          <w:spacing w:val="-1"/>
        </w:rPr>
        <w:t xml:space="preserve"> </w:t>
      </w:r>
      <w:r>
        <w:t>bodies of local</w:t>
      </w:r>
      <w:r>
        <w:rPr>
          <w:spacing w:val="1"/>
        </w:rPr>
        <w:t xml:space="preserve"> </w:t>
      </w:r>
      <w:r>
        <w:t>and</w:t>
      </w:r>
      <w:r>
        <w:rPr>
          <w:spacing w:val="3"/>
        </w:rPr>
        <w:t xml:space="preserve"> </w:t>
      </w:r>
      <w:r>
        <w:t>regional</w:t>
      </w:r>
      <w:r>
        <w:rPr>
          <w:spacing w:val="-1"/>
        </w:rPr>
        <w:t xml:space="preserve"> </w:t>
      </w:r>
      <w:r>
        <w:t>self-government</w:t>
      </w:r>
      <w:r>
        <w:rPr>
          <w:spacing w:val="-1"/>
        </w:rPr>
        <w:t xml:space="preserve"> </w:t>
      </w:r>
      <w:r>
        <w:t>units,</w:t>
      </w:r>
      <w:r>
        <w:rPr>
          <w:spacing w:val="-1"/>
        </w:rPr>
        <w:t xml:space="preserve"> </w:t>
      </w:r>
      <w:r>
        <w:t>legal entities</w:t>
      </w:r>
    </w:p>
    <w:p w:rsidR="00A56FE9" w:rsidRDefault="00CC1B9B">
      <w:pPr>
        <w:pStyle w:val="Tijeloteksta"/>
        <w:spacing w:before="5"/>
        <w:ind w:left="0"/>
        <w:jc w:val="left"/>
        <w:rPr>
          <w:sz w:val="22"/>
        </w:rPr>
      </w:pPr>
      <w:r>
        <w:rPr>
          <w:noProof/>
        </w:rPr>
        <mc:AlternateContent>
          <mc:Choice Requires="wps">
            <w:drawing>
              <wp:anchor distT="0" distB="0" distL="0" distR="0" simplePos="0" relativeHeight="487626752" behindDoc="1" locked="0" layoutInCell="1" allowOverlap="1">
                <wp:simplePos x="0" y="0"/>
                <wp:positionH relativeFrom="page">
                  <wp:posOffset>901065</wp:posOffset>
                </wp:positionH>
                <wp:positionV relativeFrom="paragraph">
                  <wp:posOffset>188595</wp:posOffset>
                </wp:positionV>
                <wp:extent cx="1828800" cy="7620"/>
                <wp:effectExtent l="0" t="0" r="0" b="0"/>
                <wp:wrapTopAndBottom/>
                <wp:docPr id="840049330" name="Rectangle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803C4" id="Rectangle 224" o:spid="_x0000_s1026" style="position:absolute;margin-left:70.95pt;margin-top:14.85pt;width:2in;height:.6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" fillcolor="black" stroked="f">
                <w10:wrap type="topAndBottom" anchorx="page"/>
              </v:rect>
            </w:pict>
          </mc:Fallback>
        </mc:AlternateContent>
      </w:r>
    </w:p>
    <w:p w:rsidR="00A56FE9" w:rsidRDefault="00000000">
      <w:pPr>
        <w:spacing w:before="73"/>
        <w:ind w:left="138"/>
        <w:rPr>
          <w:sz w:val="16"/>
        </w:rPr>
      </w:pPr>
      <w:r>
        <w:rPr>
          <w:sz w:val="16"/>
          <w:vertAlign w:val="superscript"/>
        </w:rPr>
        <w:t>29</w:t>
      </w:r>
      <w:r>
        <w:rPr>
          <w:spacing w:val="-1"/>
          <w:sz w:val="16"/>
        </w:rPr>
        <w:t xml:space="preserve"> </w:t>
      </w:r>
      <w:r>
        <w:rPr>
          <w:sz w:val="16"/>
        </w:rPr>
        <w:t>OG</w:t>
      </w:r>
      <w:r>
        <w:rPr>
          <w:spacing w:val="-3"/>
          <w:sz w:val="16"/>
        </w:rPr>
        <w:t xml:space="preserve"> </w:t>
      </w:r>
      <w:r>
        <w:rPr>
          <w:sz w:val="16"/>
        </w:rPr>
        <w:t>126/19</w:t>
      </w:r>
    </w:p>
    <w:p w:rsidR="00A56FE9" w:rsidRDefault="00000000">
      <w:pPr>
        <w:spacing w:before="1"/>
        <w:ind w:left="138"/>
        <w:rPr>
          <w:sz w:val="16"/>
        </w:rPr>
      </w:pPr>
      <w:r>
        <w:rPr>
          <w:sz w:val="16"/>
          <w:vertAlign w:val="superscript"/>
        </w:rPr>
        <w:t>30</w:t>
      </w:r>
      <w:r>
        <w:rPr>
          <w:spacing w:val="-1"/>
          <w:sz w:val="16"/>
        </w:rPr>
        <w:t xml:space="preserve"> </w:t>
      </w:r>
      <w:r>
        <w:rPr>
          <w:sz w:val="16"/>
        </w:rPr>
        <w:t>OG</w:t>
      </w:r>
      <w:r>
        <w:rPr>
          <w:spacing w:val="-3"/>
          <w:sz w:val="16"/>
        </w:rPr>
        <w:t xml:space="preserve"> </w:t>
      </w:r>
      <w:r>
        <w:rPr>
          <w:sz w:val="16"/>
        </w:rPr>
        <w:t>110/21</w:t>
      </w:r>
    </w:p>
    <w:p w:rsidR="00A56FE9" w:rsidRDefault="00A56FE9">
      <w:pPr>
        <w:rPr>
          <w:sz w:val="16"/>
        </w:rPr>
        <w:sectPr w:rsidR="00A56FE9" w:rsidSect="00AB1E70">
          <w:pgSz w:w="11910" w:h="16840"/>
          <w:pgMar w:top="1340" w:right="1140" w:bottom="960" w:left="1280" w:header="0" w:footer="779" w:gutter="0"/>
          <w:cols w:space="720"/>
        </w:sectPr>
      </w:pPr>
    </w:p>
    <w:p w:rsidR="00A56FE9" w:rsidRDefault="00000000">
      <w:pPr>
        <w:pStyle w:val="Tijeloteksta"/>
        <w:spacing w:before="74"/>
        <w:ind w:right="275"/>
      </w:pPr>
      <w:r>
        <w:t>with public authority, State Attorney's Office, lawyers, court experts, court appraisers, court</w:t>
      </w:r>
      <w:r>
        <w:rPr>
          <w:spacing w:val="1"/>
        </w:rPr>
        <w:t xml:space="preserve"> </w:t>
      </w:r>
      <w:r>
        <w:t>interpreters,</w:t>
      </w:r>
      <w:r>
        <w:rPr>
          <w:spacing w:val="-1"/>
        </w:rPr>
        <w:t xml:space="preserve"> </w:t>
      </w:r>
      <w:r>
        <w:t>and</w:t>
      </w:r>
      <w:r>
        <w:rPr>
          <w:spacing w:val="-4"/>
        </w:rPr>
        <w:t xml:space="preserve"> </w:t>
      </w:r>
      <w:r>
        <w:t>legal</w:t>
      </w:r>
      <w:r>
        <w:rPr>
          <w:spacing w:val="-3"/>
        </w:rPr>
        <w:t xml:space="preserve"> </w:t>
      </w:r>
      <w:r>
        <w:t>entities),</w:t>
      </w:r>
      <w:r>
        <w:rPr>
          <w:spacing w:val="-4"/>
        </w:rPr>
        <w:t xml:space="preserve"> </w:t>
      </w:r>
      <w:r>
        <w:t>and</w:t>
      </w:r>
      <w:r>
        <w:rPr>
          <w:spacing w:val="-3"/>
        </w:rPr>
        <w:t xml:space="preserve"> </w:t>
      </w:r>
      <w:r>
        <w:t>other</w:t>
      </w:r>
      <w:r>
        <w:rPr>
          <w:spacing w:val="-5"/>
        </w:rPr>
        <w:t xml:space="preserve"> </w:t>
      </w:r>
      <w:r>
        <w:t>parties</w:t>
      </w:r>
      <w:r>
        <w:rPr>
          <w:spacing w:val="-4"/>
        </w:rPr>
        <w:t xml:space="preserve"> </w:t>
      </w:r>
      <w:r>
        <w:t>if</w:t>
      </w:r>
      <w:r>
        <w:rPr>
          <w:spacing w:val="-2"/>
        </w:rPr>
        <w:t xml:space="preserve"> </w:t>
      </w:r>
      <w:r>
        <w:t>they</w:t>
      </w:r>
      <w:r>
        <w:rPr>
          <w:spacing w:val="-5"/>
        </w:rPr>
        <w:t xml:space="preserve"> </w:t>
      </w:r>
      <w:r>
        <w:t>agree.</w:t>
      </w:r>
      <w:r>
        <w:rPr>
          <w:spacing w:val="-4"/>
        </w:rPr>
        <w:t xml:space="preserve"> </w:t>
      </w:r>
      <w:r>
        <w:t>These</w:t>
      </w:r>
      <w:r>
        <w:rPr>
          <w:spacing w:val="-2"/>
        </w:rPr>
        <w:t xml:space="preserve"> </w:t>
      </w:r>
      <w:r>
        <w:t>changes,</w:t>
      </w:r>
      <w:r>
        <w:rPr>
          <w:spacing w:val="-4"/>
        </w:rPr>
        <w:t xml:space="preserve"> </w:t>
      </w:r>
      <w:r>
        <w:t>i.e.,</w:t>
      </w:r>
      <w:r>
        <w:rPr>
          <w:spacing w:val="-4"/>
        </w:rPr>
        <w:t xml:space="preserve"> </w:t>
      </w:r>
      <w:r>
        <w:t>utilising</w:t>
      </w:r>
      <w:r>
        <w:rPr>
          <w:spacing w:val="-5"/>
        </w:rPr>
        <w:t xml:space="preserve"> </w:t>
      </w:r>
      <w:r>
        <w:t>the</w:t>
      </w:r>
      <w:r>
        <w:rPr>
          <w:spacing w:val="-58"/>
        </w:rPr>
        <w:t xml:space="preserve"> </w:t>
      </w:r>
      <w:r>
        <w:t>potential</w:t>
      </w:r>
      <w:r>
        <w:rPr>
          <w:spacing w:val="-4"/>
        </w:rPr>
        <w:t xml:space="preserve"> </w:t>
      </w:r>
      <w:r>
        <w:t>provided</w:t>
      </w:r>
      <w:r>
        <w:rPr>
          <w:spacing w:val="-3"/>
        </w:rPr>
        <w:t xml:space="preserve"> </w:t>
      </w:r>
      <w:r>
        <w:t>by</w:t>
      </w:r>
      <w:r>
        <w:rPr>
          <w:spacing w:val="-10"/>
        </w:rPr>
        <w:t xml:space="preserve"> </w:t>
      </w:r>
      <w:r>
        <w:t>modern</w:t>
      </w:r>
      <w:r>
        <w:rPr>
          <w:spacing w:val="-5"/>
        </w:rPr>
        <w:t xml:space="preserve"> </w:t>
      </w:r>
      <w:r>
        <w:t>technology,</w:t>
      </w:r>
      <w:r>
        <w:rPr>
          <w:spacing w:val="-3"/>
        </w:rPr>
        <w:t xml:space="preserve"> </w:t>
      </w:r>
      <w:r>
        <w:t>will</w:t>
      </w:r>
      <w:r>
        <w:rPr>
          <w:spacing w:val="-2"/>
        </w:rPr>
        <w:t xml:space="preserve"> </w:t>
      </w:r>
      <w:r>
        <w:t>improve</w:t>
      </w:r>
      <w:r>
        <w:rPr>
          <w:spacing w:val="-6"/>
        </w:rPr>
        <w:t xml:space="preserve"> </w:t>
      </w:r>
      <w:r>
        <w:t>delivery</w:t>
      </w:r>
      <w:r>
        <w:rPr>
          <w:spacing w:val="-10"/>
        </w:rPr>
        <w:t xml:space="preserve"> </w:t>
      </w:r>
      <w:r>
        <w:t>in</w:t>
      </w:r>
      <w:r>
        <w:rPr>
          <w:spacing w:val="-2"/>
        </w:rPr>
        <w:t xml:space="preserve"> </w:t>
      </w:r>
      <w:r>
        <w:t>administrative</w:t>
      </w:r>
      <w:r>
        <w:rPr>
          <w:spacing w:val="-5"/>
        </w:rPr>
        <w:t xml:space="preserve"> </w:t>
      </w:r>
      <w:r>
        <w:t>disputes</w:t>
      </w:r>
      <w:r>
        <w:rPr>
          <w:spacing w:val="-3"/>
        </w:rPr>
        <w:t xml:space="preserve"> </w:t>
      </w:r>
      <w:r>
        <w:t>in</w:t>
      </w:r>
      <w:r>
        <w:rPr>
          <w:spacing w:val="-5"/>
        </w:rPr>
        <w:t xml:space="preserve"> </w:t>
      </w:r>
      <w:r>
        <w:t>a</w:t>
      </w:r>
      <w:r>
        <w:rPr>
          <w:spacing w:val="-58"/>
        </w:rPr>
        <w:t xml:space="preserve"> </w:t>
      </w:r>
      <w:r>
        <w:t>faster and more efficient way, which will ultimately shorten the duration of proceedings and</w:t>
      </w:r>
      <w:r>
        <w:rPr>
          <w:spacing w:val="1"/>
        </w:rPr>
        <w:t xml:space="preserve"> </w:t>
      </w:r>
      <w:r>
        <w:t>lower</w:t>
      </w:r>
      <w:r>
        <w:rPr>
          <w:spacing w:val="-1"/>
        </w:rPr>
        <w:t xml:space="preserve"> </w:t>
      </w:r>
      <w:r>
        <w:t>costs.</w:t>
      </w:r>
    </w:p>
    <w:p w:rsidR="00A56FE9" w:rsidRDefault="00000000">
      <w:pPr>
        <w:pStyle w:val="Tijeloteksta"/>
        <w:spacing w:before="121"/>
        <w:ind w:right="277"/>
      </w:pPr>
      <w:r>
        <w:t>To ensure greater efficiency of bankruptcy proceedings and prevent a potential increase in the</w:t>
      </w:r>
      <w:r>
        <w:rPr>
          <w:spacing w:val="-57"/>
        </w:rPr>
        <w:t xml:space="preserve"> </w:t>
      </w:r>
      <w:r>
        <w:t>number of these cases in the system due to the conditions brought on by the coronavirus</w:t>
      </w:r>
      <w:r>
        <w:rPr>
          <w:spacing w:val="1"/>
        </w:rPr>
        <w:t xml:space="preserve"> </w:t>
      </w:r>
      <w:r>
        <w:t>pandemic, amendments have been made to the Bankruptcy Act and the Consumer Bankruptcy</w:t>
      </w:r>
      <w:r>
        <w:rPr>
          <w:spacing w:val="-57"/>
        </w:rPr>
        <w:t xml:space="preserve"> </w:t>
      </w:r>
      <w:r>
        <w:t>Act.</w:t>
      </w:r>
      <w:r>
        <w:rPr>
          <w:spacing w:val="-3"/>
        </w:rPr>
        <w:t xml:space="preserve"> </w:t>
      </w:r>
      <w:r>
        <w:t>The</w:t>
      </w:r>
      <w:r>
        <w:rPr>
          <w:spacing w:val="-4"/>
        </w:rPr>
        <w:t xml:space="preserve"> </w:t>
      </w:r>
      <w:r>
        <w:t>final</w:t>
      </w:r>
      <w:r>
        <w:rPr>
          <w:spacing w:val="-3"/>
        </w:rPr>
        <w:t xml:space="preserve"> </w:t>
      </w:r>
      <w:r>
        <w:t>draft</w:t>
      </w:r>
      <w:r>
        <w:rPr>
          <w:spacing w:val="-3"/>
        </w:rPr>
        <w:t xml:space="preserve"> </w:t>
      </w:r>
      <w:r>
        <w:t>act</w:t>
      </w:r>
      <w:r>
        <w:rPr>
          <w:spacing w:val="-2"/>
        </w:rPr>
        <w:t xml:space="preserve"> </w:t>
      </w:r>
      <w:r>
        <w:t>on</w:t>
      </w:r>
      <w:r>
        <w:rPr>
          <w:spacing w:val="-4"/>
        </w:rPr>
        <w:t xml:space="preserve"> </w:t>
      </w:r>
      <w:r>
        <w:t>amendments</w:t>
      </w:r>
      <w:r>
        <w:rPr>
          <w:spacing w:val="-2"/>
        </w:rPr>
        <w:t xml:space="preserve"> </w:t>
      </w:r>
      <w:r>
        <w:t>to</w:t>
      </w:r>
      <w:r>
        <w:rPr>
          <w:spacing w:val="-3"/>
        </w:rPr>
        <w:t xml:space="preserve"> </w:t>
      </w:r>
      <w:r>
        <w:t>the</w:t>
      </w:r>
      <w:r>
        <w:rPr>
          <w:spacing w:val="-3"/>
        </w:rPr>
        <w:t xml:space="preserve"> </w:t>
      </w:r>
      <w:r>
        <w:t>Consumer</w:t>
      </w:r>
      <w:r>
        <w:rPr>
          <w:spacing w:val="-4"/>
        </w:rPr>
        <w:t xml:space="preserve"> </w:t>
      </w:r>
      <w:r>
        <w:t>Bankruptcy</w:t>
      </w:r>
      <w:r>
        <w:rPr>
          <w:spacing w:val="-9"/>
        </w:rPr>
        <w:t xml:space="preserve"> </w:t>
      </w:r>
      <w:r>
        <w:t>Act</w:t>
      </w:r>
      <w:r>
        <w:rPr>
          <w:spacing w:val="-2"/>
        </w:rPr>
        <w:t xml:space="preserve"> </w:t>
      </w:r>
      <w:r>
        <w:t>and</w:t>
      </w:r>
      <w:r>
        <w:rPr>
          <w:spacing w:val="-3"/>
        </w:rPr>
        <w:t xml:space="preserve"> </w:t>
      </w:r>
      <w:r>
        <w:t>the</w:t>
      </w:r>
      <w:r>
        <w:rPr>
          <w:spacing w:val="-4"/>
        </w:rPr>
        <w:t xml:space="preserve"> </w:t>
      </w:r>
      <w:r>
        <w:t>final</w:t>
      </w:r>
      <w:r>
        <w:rPr>
          <w:spacing w:val="-2"/>
        </w:rPr>
        <w:t xml:space="preserve"> </w:t>
      </w:r>
      <w:r>
        <w:t>draft</w:t>
      </w:r>
      <w:r>
        <w:rPr>
          <w:spacing w:val="-3"/>
        </w:rPr>
        <w:t xml:space="preserve"> </w:t>
      </w:r>
      <w:r>
        <w:t>act</w:t>
      </w:r>
      <w:r>
        <w:rPr>
          <w:spacing w:val="-58"/>
        </w:rPr>
        <w:t xml:space="preserve"> </w:t>
      </w:r>
      <w:r>
        <w:t>on amendments to the</w:t>
      </w:r>
      <w:r>
        <w:rPr>
          <w:spacing w:val="1"/>
        </w:rPr>
        <w:t xml:space="preserve"> </w:t>
      </w:r>
      <w:r>
        <w:t>Bankruptcy Act</w:t>
      </w:r>
      <w:r>
        <w:rPr>
          <w:spacing w:val="1"/>
        </w:rPr>
        <w:t xml:space="preserve"> </w:t>
      </w:r>
      <w:r>
        <w:t>were passed on 11 March 2022 by the Croatian</w:t>
      </w:r>
      <w:r>
        <w:rPr>
          <w:spacing w:val="1"/>
        </w:rPr>
        <w:t xml:space="preserve"> </w:t>
      </w:r>
      <w:r>
        <w:t>Parliament. The Action Plan for Participation in the European Exchange Rate Mechanism II</w:t>
      </w:r>
      <w:r>
        <w:rPr>
          <w:spacing w:val="1"/>
        </w:rPr>
        <w:t xml:space="preserve"> </w:t>
      </w:r>
      <w:r>
        <w:t>(ERM</w:t>
      </w:r>
      <w:r>
        <w:rPr>
          <w:spacing w:val="1"/>
        </w:rPr>
        <w:t xml:space="preserve"> </w:t>
      </w:r>
      <w:r>
        <w:t>II)</w:t>
      </w:r>
      <w:r>
        <w:rPr>
          <w:spacing w:val="1"/>
        </w:rPr>
        <w:t xml:space="preserve"> </w:t>
      </w:r>
      <w:r>
        <w:t>means</w:t>
      </w:r>
      <w:r>
        <w:rPr>
          <w:spacing w:val="1"/>
        </w:rPr>
        <w:t xml:space="preserve"> </w:t>
      </w:r>
      <w:r>
        <w:t>that</w:t>
      </w:r>
      <w:r>
        <w:rPr>
          <w:spacing w:val="1"/>
        </w:rPr>
        <w:t xml:space="preserve"> </w:t>
      </w:r>
      <w:r>
        <w:t>the</w:t>
      </w:r>
      <w:r>
        <w:rPr>
          <w:spacing w:val="1"/>
        </w:rPr>
        <w:t xml:space="preserve"> </w:t>
      </w:r>
      <w:r>
        <w:t>Republic</w:t>
      </w:r>
      <w:r>
        <w:rPr>
          <w:spacing w:val="1"/>
        </w:rPr>
        <w:t xml:space="preserve"> </w:t>
      </w:r>
      <w:r>
        <w:t>of</w:t>
      </w:r>
      <w:r>
        <w:rPr>
          <w:spacing w:val="1"/>
        </w:rPr>
        <w:t xml:space="preserve"> </w:t>
      </w:r>
      <w:r>
        <w:t>Croatia</w:t>
      </w:r>
      <w:r>
        <w:rPr>
          <w:spacing w:val="1"/>
        </w:rPr>
        <w:t xml:space="preserve"> </w:t>
      </w:r>
      <w:r>
        <w:t>has</w:t>
      </w:r>
      <w:r>
        <w:rPr>
          <w:spacing w:val="1"/>
        </w:rPr>
        <w:t xml:space="preserve"> </w:t>
      </w:r>
      <w:r>
        <w:t>undertaken</w:t>
      </w:r>
      <w:r>
        <w:rPr>
          <w:spacing w:val="1"/>
        </w:rPr>
        <w:t xml:space="preserve"> </w:t>
      </w:r>
      <w:r>
        <w:t>to</w:t>
      </w:r>
      <w:r>
        <w:rPr>
          <w:spacing w:val="1"/>
        </w:rPr>
        <w:t xml:space="preserve"> </w:t>
      </w:r>
      <w:r>
        <w:t>strengthen</w:t>
      </w:r>
      <w:r>
        <w:rPr>
          <w:spacing w:val="1"/>
        </w:rPr>
        <w:t xml:space="preserve"> </w:t>
      </w:r>
      <w:r>
        <w:t>its</w:t>
      </w:r>
      <w:r>
        <w:rPr>
          <w:spacing w:val="1"/>
        </w:rPr>
        <w:t xml:space="preserve"> </w:t>
      </w:r>
      <w:r>
        <w:t>national</w:t>
      </w:r>
      <w:r>
        <w:rPr>
          <w:spacing w:val="1"/>
        </w:rPr>
        <w:t xml:space="preserve"> </w:t>
      </w:r>
      <w:r>
        <w:t>bankruptcy</w:t>
      </w:r>
      <w:r>
        <w:rPr>
          <w:spacing w:val="1"/>
        </w:rPr>
        <w:t xml:space="preserve"> </w:t>
      </w:r>
      <w:r>
        <w:t>framework</w:t>
      </w:r>
      <w:r>
        <w:rPr>
          <w:spacing w:val="1"/>
        </w:rPr>
        <w:t xml:space="preserve"> </w:t>
      </w:r>
      <w:r>
        <w:t>in</w:t>
      </w:r>
      <w:r>
        <w:rPr>
          <w:spacing w:val="1"/>
        </w:rPr>
        <w:t xml:space="preserve"> </w:t>
      </w:r>
      <w:r>
        <w:t>accordance</w:t>
      </w:r>
      <w:r>
        <w:rPr>
          <w:spacing w:val="1"/>
        </w:rPr>
        <w:t xml:space="preserve"> </w:t>
      </w:r>
      <w:r>
        <w:t>with</w:t>
      </w:r>
      <w:r>
        <w:rPr>
          <w:spacing w:val="1"/>
        </w:rPr>
        <w:t xml:space="preserve"> </w:t>
      </w:r>
      <w:r>
        <w:t>Directive</w:t>
      </w:r>
      <w:r>
        <w:rPr>
          <w:spacing w:val="1"/>
        </w:rPr>
        <w:t xml:space="preserve"> </w:t>
      </w:r>
      <w:r>
        <w:t>(EU)</w:t>
      </w:r>
      <w:r>
        <w:rPr>
          <w:spacing w:val="1"/>
        </w:rPr>
        <w:t xml:space="preserve"> </w:t>
      </w:r>
      <w:r>
        <w:t>2019/1023</w:t>
      </w:r>
      <w:r>
        <w:rPr>
          <w:spacing w:val="1"/>
        </w:rPr>
        <w:t xml:space="preserve"> </w:t>
      </w:r>
      <w:r>
        <w:t>of</w:t>
      </w:r>
      <w:r>
        <w:rPr>
          <w:spacing w:val="1"/>
        </w:rPr>
        <w:t xml:space="preserve"> </w:t>
      </w:r>
      <w:r>
        <w:t>the</w:t>
      </w:r>
      <w:r>
        <w:rPr>
          <w:spacing w:val="1"/>
        </w:rPr>
        <w:t xml:space="preserve"> </w:t>
      </w:r>
      <w:r>
        <w:t>European</w:t>
      </w:r>
      <w:r>
        <w:rPr>
          <w:spacing w:val="1"/>
        </w:rPr>
        <w:t xml:space="preserve"> </w:t>
      </w:r>
      <w:r>
        <w:t>Parliament and of the Council of 20 June 2019 amending Directive (EU) 2017/1132 on</w:t>
      </w:r>
      <w:r>
        <w:rPr>
          <w:spacing w:val="1"/>
        </w:rPr>
        <w:t xml:space="preserve"> </w:t>
      </w:r>
      <w:r>
        <w:t>Restructuring</w:t>
      </w:r>
      <w:r>
        <w:rPr>
          <w:spacing w:val="-13"/>
        </w:rPr>
        <w:t xml:space="preserve"> </w:t>
      </w:r>
      <w:r>
        <w:t>and</w:t>
      </w:r>
      <w:r>
        <w:rPr>
          <w:spacing w:val="-11"/>
        </w:rPr>
        <w:t xml:space="preserve"> </w:t>
      </w:r>
      <w:r>
        <w:t>Insolvency)</w:t>
      </w:r>
      <w:r>
        <w:rPr>
          <w:spacing w:val="-14"/>
        </w:rPr>
        <w:t xml:space="preserve"> </w:t>
      </w:r>
      <w:r>
        <w:t>on</w:t>
      </w:r>
      <w:r>
        <w:rPr>
          <w:spacing w:val="-13"/>
        </w:rPr>
        <w:t xml:space="preserve"> </w:t>
      </w:r>
      <w:r>
        <w:t>preventive</w:t>
      </w:r>
      <w:r>
        <w:rPr>
          <w:spacing w:val="-14"/>
        </w:rPr>
        <w:t xml:space="preserve"> </w:t>
      </w:r>
      <w:r>
        <w:t>restructuring</w:t>
      </w:r>
      <w:r>
        <w:rPr>
          <w:spacing w:val="-13"/>
        </w:rPr>
        <w:t xml:space="preserve"> </w:t>
      </w:r>
      <w:r>
        <w:t>frameworks,</w:t>
      </w:r>
      <w:r>
        <w:rPr>
          <w:spacing w:val="-13"/>
        </w:rPr>
        <w:t xml:space="preserve"> </w:t>
      </w:r>
      <w:r>
        <w:t>on</w:t>
      </w:r>
      <w:r>
        <w:rPr>
          <w:spacing w:val="-11"/>
        </w:rPr>
        <w:t xml:space="preserve"> </w:t>
      </w:r>
      <w:r>
        <w:t>the</w:t>
      </w:r>
      <w:r>
        <w:rPr>
          <w:spacing w:val="-13"/>
        </w:rPr>
        <w:t xml:space="preserve"> </w:t>
      </w:r>
      <w:r>
        <w:t>discharge</w:t>
      </w:r>
      <w:r>
        <w:rPr>
          <w:spacing w:val="-14"/>
        </w:rPr>
        <w:t xml:space="preserve"> </w:t>
      </w:r>
      <w:r>
        <w:t>of</w:t>
      </w:r>
      <w:r>
        <w:rPr>
          <w:spacing w:val="-14"/>
        </w:rPr>
        <w:t xml:space="preserve"> </w:t>
      </w:r>
      <w:r>
        <w:t>debt</w:t>
      </w:r>
      <w:r>
        <w:rPr>
          <w:spacing w:val="-58"/>
        </w:rPr>
        <w:t xml:space="preserve"> </w:t>
      </w:r>
      <w:r>
        <w:t>and disqualifications, and on measures to increase the efficiency of procedures concerning</w:t>
      </w:r>
      <w:r>
        <w:rPr>
          <w:spacing w:val="1"/>
        </w:rPr>
        <w:t xml:space="preserve"> </w:t>
      </w:r>
      <w:r>
        <w:t>restructuring, insolvency and discharge of debt procedures and to improve the existing legal</w:t>
      </w:r>
      <w:r>
        <w:rPr>
          <w:spacing w:val="1"/>
        </w:rPr>
        <w:t xml:space="preserve"> </w:t>
      </w:r>
      <w:r>
        <w:t>framework</w:t>
      </w:r>
      <w:r>
        <w:rPr>
          <w:spacing w:val="-1"/>
        </w:rPr>
        <w:t xml:space="preserve"> </w:t>
      </w:r>
      <w:r>
        <w:t>for bankruptcy</w:t>
      </w:r>
      <w:r>
        <w:rPr>
          <w:spacing w:val="-3"/>
        </w:rPr>
        <w:t xml:space="preserve"> </w:t>
      </w:r>
      <w:r>
        <w:t>trustees and data</w:t>
      </w:r>
      <w:r>
        <w:rPr>
          <w:spacing w:val="1"/>
        </w:rPr>
        <w:t xml:space="preserve"> </w:t>
      </w:r>
      <w:r>
        <w:t>collection.</w:t>
      </w:r>
    </w:p>
    <w:p w:rsidR="00A56FE9" w:rsidRDefault="00000000">
      <w:pPr>
        <w:pStyle w:val="Tijeloteksta"/>
        <w:spacing w:before="120"/>
      </w:pPr>
      <w:r>
        <w:t>All</w:t>
      </w:r>
      <w:r>
        <w:rPr>
          <w:spacing w:val="-1"/>
        </w:rPr>
        <w:t xml:space="preserve"> </w:t>
      </w:r>
      <w:r>
        <w:t>first</w:t>
      </w:r>
      <w:r>
        <w:rPr>
          <w:spacing w:val="-1"/>
        </w:rPr>
        <w:t xml:space="preserve"> </w:t>
      </w:r>
      <w:r>
        <w:t>instance</w:t>
      </w:r>
      <w:r>
        <w:rPr>
          <w:spacing w:val="-1"/>
        </w:rPr>
        <w:t xml:space="preserve"> </w:t>
      </w:r>
      <w:r>
        <w:t>courts</w:t>
      </w:r>
      <w:r>
        <w:rPr>
          <w:spacing w:val="-1"/>
        </w:rPr>
        <w:t xml:space="preserve"> </w:t>
      </w:r>
      <w:r>
        <w:t>are</w:t>
      </w:r>
      <w:r>
        <w:rPr>
          <w:spacing w:val="-3"/>
        </w:rPr>
        <w:t xml:space="preserve"> </w:t>
      </w:r>
      <w:r>
        <w:t>equipped</w:t>
      </w:r>
      <w:r>
        <w:rPr>
          <w:spacing w:val="1"/>
        </w:rPr>
        <w:t xml:space="preserve"> </w:t>
      </w:r>
      <w:r>
        <w:t>and</w:t>
      </w:r>
      <w:r>
        <w:rPr>
          <w:spacing w:val="-1"/>
        </w:rPr>
        <w:t xml:space="preserve"> </w:t>
      </w:r>
      <w:r>
        <w:t>eligible</w:t>
      </w:r>
      <w:r>
        <w:rPr>
          <w:spacing w:val="-2"/>
        </w:rPr>
        <w:t xml:space="preserve"> </w:t>
      </w:r>
      <w:r>
        <w:t>for holding</w:t>
      </w:r>
      <w:r>
        <w:rPr>
          <w:spacing w:val="-4"/>
        </w:rPr>
        <w:t xml:space="preserve"> </w:t>
      </w:r>
      <w:r>
        <w:t>remote</w:t>
      </w:r>
      <w:r>
        <w:rPr>
          <w:spacing w:val="-2"/>
        </w:rPr>
        <w:t xml:space="preserve"> </w:t>
      </w:r>
      <w:r>
        <w:t>hearings.</w:t>
      </w:r>
    </w:p>
    <w:p w:rsidR="00A56FE9" w:rsidRDefault="00000000">
      <w:pPr>
        <w:pStyle w:val="Tijeloteksta"/>
        <w:spacing w:before="120"/>
        <w:ind w:right="278"/>
      </w:pPr>
      <w:r>
        <w:t>Also, establishing a normative framework will contribute to increasing the efficiency of the</w:t>
      </w:r>
      <w:r>
        <w:rPr>
          <w:spacing w:val="1"/>
        </w:rPr>
        <w:t xml:space="preserve"> </w:t>
      </w:r>
      <w:r>
        <w:t>courts,</w:t>
      </w:r>
      <w:r>
        <w:rPr>
          <w:spacing w:val="1"/>
        </w:rPr>
        <w:t xml:space="preserve"> </w:t>
      </w:r>
      <w:r>
        <w:t>reducing</w:t>
      </w:r>
      <w:r>
        <w:rPr>
          <w:spacing w:val="1"/>
        </w:rPr>
        <w:t xml:space="preserve"> </w:t>
      </w:r>
      <w:r>
        <w:t>the</w:t>
      </w:r>
      <w:r>
        <w:rPr>
          <w:spacing w:val="1"/>
        </w:rPr>
        <w:t xml:space="preserve"> </w:t>
      </w:r>
      <w:r>
        <w:t>number</w:t>
      </w:r>
      <w:r>
        <w:rPr>
          <w:spacing w:val="1"/>
        </w:rPr>
        <w:t xml:space="preserve"> </w:t>
      </w:r>
      <w:r>
        <w:t>of</w:t>
      </w:r>
      <w:r>
        <w:rPr>
          <w:spacing w:val="1"/>
        </w:rPr>
        <w:t xml:space="preserve"> </w:t>
      </w:r>
      <w:r>
        <w:t>unresolved</w:t>
      </w:r>
      <w:r>
        <w:rPr>
          <w:spacing w:val="1"/>
        </w:rPr>
        <w:t xml:space="preserve"> </w:t>
      </w:r>
      <w:r>
        <w:t>cases</w:t>
      </w:r>
      <w:r>
        <w:rPr>
          <w:spacing w:val="1"/>
        </w:rPr>
        <w:t xml:space="preserve"> </w:t>
      </w:r>
      <w:r>
        <w:t>and</w:t>
      </w:r>
      <w:r>
        <w:rPr>
          <w:spacing w:val="1"/>
        </w:rPr>
        <w:t xml:space="preserve"> </w:t>
      </w:r>
      <w:r>
        <w:t>shortening</w:t>
      </w:r>
      <w:r>
        <w:rPr>
          <w:spacing w:val="1"/>
        </w:rPr>
        <w:t xml:space="preserve"> </w:t>
      </w:r>
      <w:r>
        <w:t>court</w:t>
      </w:r>
      <w:r>
        <w:rPr>
          <w:spacing w:val="1"/>
        </w:rPr>
        <w:t xml:space="preserve"> </w:t>
      </w:r>
      <w:r>
        <w:t>proceedings.</w:t>
      </w:r>
      <w:r>
        <w:rPr>
          <w:spacing w:val="1"/>
        </w:rPr>
        <w:t xml:space="preserve"> </w:t>
      </w:r>
      <w:r>
        <w:t>The</w:t>
      </w:r>
      <w:r>
        <w:rPr>
          <w:spacing w:val="-57"/>
        </w:rPr>
        <w:t xml:space="preserve"> </w:t>
      </w:r>
      <w:r>
        <w:rPr>
          <w:spacing w:val="-1"/>
        </w:rPr>
        <w:t>adoption</w:t>
      </w:r>
      <w:r>
        <w:rPr>
          <w:spacing w:val="-12"/>
        </w:rPr>
        <w:t xml:space="preserve"> </w:t>
      </w:r>
      <w:r>
        <w:t>of</w:t>
      </w:r>
      <w:r>
        <w:rPr>
          <w:spacing w:val="-13"/>
        </w:rPr>
        <w:t xml:space="preserve"> </w:t>
      </w:r>
      <w:r>
        <w:t>amendments</w:t>
      </w:r>
      <w:r>
        <w:rPr>
          <w:spacing w:val="-9"/>
        </w:rPr>
        <w:t xml:space="preserve"> </w:t>
      </w:r>
      <w:r>
        <w:t>to</w:t>
      </w:r>
      <w:r>
        <w:rPr>
          <w:spacing w:val="-12"/>
        </w:rPr>
        <w:t xml:space="preserve"> </w:t>
      </w:r>
      <w:r>
        <w:t>the</w:t>
      </w:r>
      <w:r>
        <w:rPr>
          <w:spacing w:val="-13"/>
        </w:rPr>
        <w:t xml:space="preserve"> </w:t>
      </w:r>
      <w:r>
        <w:t>Courts</w:t>
      </w:r>
      <w:r>
        <w:rPr>
          <w:spacing w:val="-12"/>
        </w:rPr>
        <w:t xml:space="preserve"> </w:t>
      </w:r>
      <w:r>
        <w:t>Act</w:t>
      </w:r>
      <w:r>
        <w:rPr>
          <w:spacing w:val="-10"/>
        </w:rPr>
        <w:t xml:space="preserve"> </w:t>
      </w:r>
      <w:r>
        <w:t>and</w:t>
      </w:r>
      <w:r>
        <w:rPr>
          <w:spacing w:val="-12"/>
        </w:rPr>
        <w:t xml:space="preserve"> </w:t>
      </w:r>
      <w:r>
        <w:t>the</w:t>
      </w:r>
      <w:r>
        <w:rPr>
          <w:spacing w:val="-11"/>
        </w:rPr>
        <w:t xml:space="preserve"> </w:t>
      </w:r>
      <w:r>
        <w:t>Courts</w:t>
      </w:r>
      <w:r>
        <w:rPr>
          <w:spacing w:val="-12"/>
        </w:rPr>
        <w:t xml:space="preserve"> </w:t>
      </w:r>
      <w:r>
        <w:t>Areas</w:t>
      </w:r>
      <w:r>
        <w:rPr>
          <w:spacing w:val="-10"/>
        </w:rPr>
        <w:t xml:space="preserve"> </w:t>
      </w:r>
      <w:r>
        <w:t>and</w:t>
      </w:r>
      <w:r>
        <w:rPr>
          <w:spacing w:val="-12"/>
        </w:rPr>
        <w:t xml:space="preserve"> </w:t>
      </w:r>
      <w:r>
        <w:t>Seats</w:t>
      </w:r>
      <w:r>
        <w:rPr>
          <w:spacing w:val="-12"/>
        </w:rPr>
        <w:t xml:space="preserve"> </w:t>
      </w:r>
      <w:r>
        <w:t>Act</w:t>
      </w:r>
      <w:r>
        <w:rPr>
          <w:spacing w:val="-12"/>
        </w:rPr>
        <w:t xml:space="preserve"> </w:t>
      </w:r>
      <w:r>
        <w:t>in</w:t>
      </w:r>
      <w:r>
        <w:rPr>
          <w:spacing w:val="-12"/>
        </w:rPr>
        <w:t xml:space="preserve"> </w:t>
      </w:r>
      <w:r>
        <w:t>February</w:t>
      </w:r>
      <w:r>
        <w:rPr>
          <w:spacing w:val="-17"/>
        </w:rPr>
        <w:t xml:space="preserve"> </w:t>
      </w:r>
      <w:r>
        <w:t>2022</w:t>
      </w:r>
      <w:r>
        <w:rPr>
          <w:spacing w:val="-57"/>
        </w:rPr>
        <w:t xml:space="preserve"> </w:t>
      </w:r>
      <w:r>
        <w:t>envisages the establishment of specialised court departments for family cases and revises the</w:t>
      </w:r>
      <w:r>
        <w:rPr>
          <w:spacing w:val="1"/>
        </w:rPr>
        <w:t xml:space="preserve"> </w:t>
      </w:r>
      <w:r>
        <w:t>normative</w:t>
      </w:r>
      <w:r>
        <w:rPr>
          <w:spacing w:val="-2"/>
        </w:rPr>
        <w:t xml:space="preserve"> </w:t>
      </w:r>
      <w:r>
        <w:t>framework for the work of</w:t>
      </w:r>
      <w:r>
        <w:rPr>
          <w:spacing w:val="-1"/>
        </w:rPr>
        <w:t xml:space="preserve"> </w:t>
      </w:r>
      <w:r>
        <w:t>permanent court</w:t>
      </w:r>
      <w:r>
        <w:rPr>
          <w:spacing w:val="-1"/>
        </w:rPr>
        <w:t xml:space="preserve"> </w:t>
      </w:r>
      <w:r>
        <w:t>experts and interpreters.</w:t>
      </w:r>
    </w:p>
    <w:p w:rsidR="00A56FE9" w:rsidRDefault="00000000">
      <w:pPr>
        <w:pStyle w:val="Tijeloteksta"/>
        <w:spacing w:before="121"/>
        <w:ind w:right="272"/>
      </w:pPr>
      <w:r>
        <w:t>At</w:t>
      </w:r>
      <w:r>
        <w:rPr>
          <w:spacing w:val="-4"/>
        </w:rPr>
        <w:t xml:space="preserve"> </w:t>
      </w:r>
      <w:r>
        <w:t>the</w:t>
      </w:r>
      <w:r>
        <w:rPr>
          <w:spacing w:val="-4"/>
        </w:rPr>
        <w:t xml:space="preserve"> </w:t>
      </w:r>
      <w:r>
        <w:t>end</w:t>
      </w:r>
      <w:r>
        <w:rPr>
          <w:spacing w:val="-3"/>
        </w:rPr>
        <w:t xml:space="preserve"> </w:t>
      </w:r>
      <w:r>
        <w:t>of</w:t>
      </w:r>
      <w:r>
        <w:rPr>
          <w:spacing w:val="-5"/>
        </w:rPr>
        <w:t xml:space="preserve"> </w:t>
      </w:r>
      <w:r>
        <w:t>2021,</w:t>
      </w:r>
      <w:r>
        <w:rPr>
          <w:spacing w:val="-4"/>
        </w:rPr>
        <w:t xml:space="preserve"> </w:t>
      </w:r>
      <w:r>
        <w:t>the</w:t>
      </w:r>
      <w:r>
        <w:rPr>
          <w:spacing w:val="-3"/>
        </w:rPr>
        <w:t xml:space="preserve"> </w:t>
      </w:r>
      <w:r>
        <w:t>proposed</w:t>
      </w:r>
      <w:r>
        <w:rPr>
          <w:spacing w:val="-4"/>
        </w:rPr>
        <w:t xml:space="preserve"> </w:t>
      </w:r>
      <w:r>
        <w:t>Act</w:t>
      </w:r>
      <w:r>
        <w:rPr>
          <w:spacing w:val="-3"/>
        </w:rPr>
        <w:t xml:space="preserve"> </w:t>
      </w:r>
      <w:r>
        <w:t>on</w:t>
      </w:r>
      <w:r>
        <w:rPr>
          <w:spacing w:val="-3"/>
        </w:rPr>
        <w:t xml:space="preserve"> </w:t>
      </w:r>
      <w:r>
        <w:t>Amendments</w:t>
      </w:r>
      <w:r>
        <w:rPr>
          <w:spacing w:val="-3"/>
        </w:rPr>
        <w:t xml:space="preserve"> </w:t>
      </w:r>
      <w:r>
        <w:t>to</w:t>
      </w:r>
      <w:r>
        <w:rPr>
          <w:spacing w:val="-2"/>
        </w:rPr>
        <w:t xml:space="preserve"> </w:t>
      </w:r>
      <w:r>
        <w:t>the</w:t>
      </w:r>
      <w:r>
        <w:rPr>
          <w:spacing w:val="-4"/>
        </w:rPr>
        <w:t xml:space="preserve"> </w:t>
      </w:r>
      <w:r>
        <w:t>Notary</w:t>
      </w:r>
      <w:r>
        <w:rPr>
          <w:spacing w:val="-9"/>
        </w:rPr>
        <w:t xml:space="preserve"> </w:t>
      </w:r>
      <w:r>
        <w:t>Act</w:t>
      </w:r>
      <w:r>
        <w:rPr>
          <w:spacing w:val="-2"/>
        </w:rPr>
        <w:t xml:space="preserve"> </w:t>
      </w:r>
      <w:r>
        <w:t>was</w:t>
      </w:r>
      <w:r>
        <w:rPr>
          <w:spacing w:val="-1"/>
        </w:rPr>
        <w:t xml:space="preserve"> </w:t>
      </w:r>
      <w:r>
        <w:t>drafted,</w:t>
      </w:r>
      <w:r>
        <w:rPr>
          <w:spacing w:val="-4"/>
        </w:rPr>
        <w:t xml:space="preserve"> </w:t>
      </w:r>
      <w:r>
        <w:t>primarily</w:t>
      </w:r>
      <w:r>
        <w:rPr>
          <w:spacing w:val="-57"/>
        </w:rPr>
        <w:t xml:space="preserve"> </w:t>
      </w:r>
      <w:r>
        <w:t>to modernise the work of notaries by introducing an electronic notary document and the work</w:t>
      </w:r>
      <w:r>
        <w:rPr>
          <w:spacing w:val="1"/>
        </w:rPr>
        <w:t xml:space="preserve"> </w:t>
      </w:r>
      <w:r>
        <w:t>of notaries "remotely". The adoption of the law is expected in the first half of 2022. The new</w:t>
      </w:r>
      <w:r>
        <w:rPr>
          <w:spacing w:val="1"/>
        </w:rPr>
        <w:t xml:space="preserve"> </w:t>
      </w:r>
      <w:r>
        <w:t>Framework Measures were adopted in December 2021 a took effect on 1 January 2022. The</w:t>
      </w:r>
      <w:r>
        <w:rPr>
          <w:spacing w:val="1"/>
        </w:rPr>
        <w:t xml:space="preserve"> </w:t>
      </w:r>
      <w:r>
        <w:t>new Framework Measures for the Work of Judges stipulates increasing the number of cases to</w:t>
      </w:r>
      <w:r>
        <w:rPr>
          <w:spacing w:val="-57"/>
        </w:rPr>
        <w:t xml:space="preserve"> </w:t>
      </w:r>
      <w:r>
        <w:t>be</w:t>
      </w:r>
      <w:r>
        <w:rPr>
          <w:spacing w:val="-1"/>
        </w:rPr>
        <w:t xml:space="preserve"> </w:t>
      </w:r>
      <w:r>
        <w:t>resolved by</w:t>
      </w:r>
      <w:r>
        <w:rPr>
          <w:spacing w:val="-5"/>
        </w:rPr>
        <w:t xml:space="preserve"> </w:t>
      </w:r>
      <w:r>
        <w:t>judges,</w:t>
      </w:r>
      <w:r>
        <w:rPr>
          <w:spacing w:val="2"/>
        </w:rPr>
        <w:t xml:space="preserve"> </w:t>
      </w:r>
      <w:r>
        <w:t>especially</w:t>
      </w:r>
      <w:r>
        <w:rPr>
          <w:spacing w:val="-5"/>
        </w:rPr>
        <w:t xml:space="preserve"> </w:t>
      </w:r>
      <w:r>
        <w:t>in municipal courts.</w:t>
      </w:r>
    </w:p>
    <w:p w:rsidR="00A56FE9" w:rsidRDefault="00000000">
      <w:pPr>
        <w:pStyle w:val="Tijeloteksta"/>
        <w:spacing w:before="120"/>
        <w:ind w:right="276"/>
      </w:pPr>
      <w:r>
        <w:t>Since 2017, there has been intensive work on resolving cases that have been before the courts</w:t>
      </w:r>
      <w:r>
        <w:rPr>
          <w:spacing w:val="1"/>
        </w:rPr>
        <w:t xml:space="preserve"> </w:t>
      </w:r>
      <w:r>
        <w:t>for over ten years. Tracking the resolving of such cases (based on the submission of monthly</w:t>
      </w:r>
      <w:r>
        <w:rPr>
          <w:spacing w:val="1"/>
        </w:rPr>
        <w:t xml:space="preserve"> </w:t>
      </w:r>
      <w:r>
        <w:t>reports to the Ministry of Justice and Public Administration (MJPA) by the courts) is an effort</w:t>
      </w:r>
      <w:r>
        <w:rPr>
          <w:spacing w:val="-57"/>
        </w:rPr>
        <w:t xml:space="preserve"> </w:t>
      </w:r>
      <w:r>
        <w:t>to</w:t>
      </w:r>
      <w:r>
        <w:rPr>
          <w:spacing w:val="-6"/>
        </w:rPr>
        <w:t xml:space="preserve"> </w:t>
      </w:r>
      <w:r>
        <w:t>ensure</w:t>
      </w:r>
      <w:r>
        <w:rPr>
          <w:spacing w:val="-8"/>
        </w:rPr>
        <w:t xml:space="preserve"> </w:t>
      </w:r>
      <w:r>
        <w:t>rapid</w:t>
      </w:r>
      <w:r>
        <w:rPr>
          <w:spacing w:val="-6"/>
        </w:rPr>
        <w:t xml:space="preserve"> </w:t>
      </w:r>
      <w:r>
        <w:t>resolution</w:t>
      </w:r>
      <w:r>
        <w:rPr>
          <w:spacing w:val="-6"/>
        </w:rPr>
        <w:t xml:space="preserve"> </w:t>
      </w:r>
      <w:r>
        <w:t>of</w:t>
      </w:r>
      <w:r>
        <w:rPr>
          <w:spacing w:val="-6"/>
        </w:rPr>
        <w:t xml:space="preserve"> </w:t>
      </w:r>
      <w:r>
        <w:t>cases</w:t>
      </w:r>
      <w:r>
        <w:rPr>
          <w:spacing w:val="-6"/>
        </w:rPr>
        <w:t xml:space="preserve"> </w:t>
      </w:r>
      <w:r>
        <w:t>older</w:t>
      </w:r>
      <w:r>
        <w:rPr>
          <w:spacing w:val="-7"/>
        </w:rPr>
        <w:t xml:space="preserve"> </w:t>
      </w:r>
      <w:r>
        <w:t>than</w:t>
      </w:r>
      <w:r>
        <w:rPr>
          <w:spacing w:val="-7"/>
        </w:rPr>
        <w:t xml:space="preserve"> </w:t>
      </w:r>
      <w:r>
        <w:t>ten</w:t>
      </w:r>
      <w:r>
        <w:rPr>
          <w:spacing w:val="-1"/>
        </w:rPr>
        <w:t xml:space="preserve"> </w:t>
      </w:r>
      <w:r>
        <w:t>years</w:t>
      </w:r>
      <w:r>
        <w:rPr>
          <w:spacing w:val="-7"/>
        </w:rPr>
        <w:t xml:space="preserve"> </w:t>
      </w:r>
      <w:r>
        <w:t>and</w:t>
      </w:r>
      <w:r>
        <w:rPr>
          <w:spacing w:val="-5"/>
        </w:rPr>
        <w:t xml:space="preserve"> </w:t>
      </w:r>
      <w:r>
        <w:t>which</w:t>
      </w:r>
      <w:r>
        <w:rPr>
          <w:spacing w:val="-6"/>
        </w:rPr>
        <w:t xml:space="preserve"> </w:t>
      </w:r>
      <w:r>
        <w:t>are</w:t>
      </w:r>
      <w:r>
        <w:rPr>
          <w:spacing w:val="-7"/>
        </w:rPr>
        <w:t xml:space="preserve"> </w:t>
      </w:r>
      <w:r>
        <w:t>still</w:t>
      </w:r>
      <w:r>
        <w:rPr>
          <w:spacing w:val="-6"/>
        </w:rPr>
        <w:t xml:space="preserve"> </w:t>
      </w:r>
      <w:r>
        <w:t>before</w:t>
      </w:r>
      <w:r>
        <w:rPr>
          <w:spacing w:val="-7"/>
        </w:rPr>
        <w:t xml:space="preserve"> </w:t>
      </w:r>
      <w:r>
        <w:t>the</w:t>
      </w:r>
      <w:r>
        <w:rPr>
          <w:spacing w:val="-6"/>
        </w:rPr>
        <w:t xml:space="preserve"> </w:t>
      </w:r>
      <w:r>
        <w:t>municipal,</w:t>
      </w:r>
      <w:r>
        <w:rPr>
          <w:spacing w:val="-58"/>
        </w:rPr>
        <w:t xml:space="preserve"> </w:t>
      </w:r>
      <w:r>
        <w:t>count</w:t>
      </w:r>
      <w:r>
        <w:rPr>
          <w:spacing w:val="-6"/>
        </w:rPr>
        <w:t xml:space="preserve"> </w:t>
      </w:r>
      <w:r>
        <w:t>and</w:t>
      </w:r>
      <w:r>
        <w:rPr>
          <w:spacing w:val="-6"/>
        </w:rPr>
        <w:t xml:space="preserve"> </w:t>
      </w:r>
      <w:r>
        <w:t>commercial</w:t>
      </w:r>
      <w:r>
        <w:rPr>
          <w:spacing w:val="-5"/>
        </w:rPr>
        <w:t xml:space="preserve"> </w:t>
      </w:r>
      <w:r>
        <w:t>courts</w:t>
      </w:r>
      <w:r>
        <w:rPr>
          <w:spacing w:val="-6"/>
        </w:rPr>
        <w:t xml:space="preserve"> </w:t>
      </w:r>
      <w:r>
        <w:t>as</w:t>
      </w:r>
      <w:r>
        <w:rPr>
          <w:spacing w:val="-6"/>
        </w:rPr>
        <w:t xml:space="preserve"> </w:t>
      </w:r>
      <w:r>
        <w:t>well</w:t>
      </w:r>
      <w:r>
        <w:rPr>
          <w:spacing w:val="-5"/>
        </w:rPr>
        <w:t xml:space="preserve"> </w:t>
      </w:r>
      <w:r>
        <w:t>as</w:t>
      </w:r>
      <w:r>
        <w:rPr>
          <w:spacing w:val="-6"/>
        </w:rPr>
        <w:t xml:space="preserve"> </w:t>
      </w:r>
      <w:r>
        <w:t>the</w:t>
      </w:r>
      <w:r>
        <w:rPr>
          <w:spacing w:val="-7"/>
        </w:rPr>
        <w:t xml:space="preserve"> </w:t>
      </w:r>
      <w:r>
        <w:t>High</w:t>
      </w:r>
      <w:r>
        <w:rPr>
          <w:spacing w:val="-5"/>
        </w:rPr>
        <w:t xml:space="preserve"> </w:t>
      </w:r>
      <w:r>
        <w:t>Commercial</w:t>
      </w:r>
      <w:r>
        <w:rPr>
          <w:spacing w:val="-6"/>
        </w:rPr>
        <w:t xml:space="preserve"> </w:t>
      </w:r>
      <w:r>
        <w:t>Court</w:t>
      </w:r>
      <w:r>
        <w:rPr>
          <w:spacing w:val="-7"/>
        </w:rPr>
        <w:t xml:space="preserve"> </w:t>
      </w:r>
      <w:r>
        <w:t>of</w:t>
      </w:r>
      <w:r>
        <w:rPr>
          <w:spacing w:val="-6"/>
        </w:rPr>
        <w:t xml:space="preserve"> </w:t>
      </w:r>
      <w:r>
        <w:t>the</w:t>
      </w:r>
      <w:r>
        <w:rPr>
          <w:spacing w:val="-7"/>
        </w:rPr>
        <w:t xml:space="preserve"> </w:t>
      </w:r>
      <w:r>
        <w:t>Republic</w:t>
      </w:r>
      <w:r>
        <w:rPr>
          <w:spacing w:val="-7"/>
        </w:rPr>
        <w:t xml:space="preserve"> </w:t>
      </w:r>
      <w:r>
        <w:t>of</w:t>
      </w:r>
      <w:r>
        <w:rPr>
          <w:spacing w:val="-6"/>
        </w:rPr>
        <w:t xml:space="preserve"> </w:t>
      </w:r>
      <w:r>
        <w:t>Croatia.</w:t>
      </w:r>
      <w:r>
        <w:rPr>
          <w:spacing w:val="-58"/>
        </w:rPr>
        <w:t xml:space="preserve"> </w:t>
      </w:r>
      <w:r>
        <w:t>From 2016 to 2018, the number of such cases decreased by 41%, i.e., from 15,373 cases to</w:t>
      </w:r>
      <w:r>
        <w:rPr>
          <w:spacing w:val="1"/>
        </w:rPr>
        <w:t xml:space="preserve"> </w:t>
      </w:r>
      <w:r>
        <w:t>9,131</w:t>
      </w:r>
      <w:r>
        <w:rPr>
          <w:spacing w:val="-13"/>
        </w:rPr>
        <w:t xml:space="preserve"> </w:t>
      </w:r>
      <w:r>
        <w:t>cases.</w:t>
      </w:r>
      <w:r>
        <w:rPr>
          <w:spacing w:val="-7"/>
        </w:rPr>
        <w:t xml:space="preserve"> </w:t>
      </w:r>
      <w:r>
        <w:t>In</w:t>
      </w:r>
      <w:r>
        <w:rPr>
          <w:spacing w:val="-12"/>
        </w:rPr>
        <w:t xml:space="preserve"> </w:t>
      </w:r>
      <w:r>
        <w:t>the</w:t>
      </w:r>
      <w:r>
        <w:rPr>
          <w:spacing w:val="-14"/>
        </w:rPr>
        <w:t xml:space="preserve"> </w:t>
      </w:r>
      <w:r>
        <w:t>period</w:t>
      </w:r>
      <w:r>
        <w:rPr>
          <w:spacing w:val="-10"/>
        </w:rPr>
        <w:t xml:space="preserve"> </w:t>
      </w:r>
      <w:r>
        <w:t>from</w:t>
      </w:r>
      <w:r>
        <w:rPr>
          <w:spacing w:val="-12"/>
        </w:rPr>
        <w:t xml:space="preserve"> </w:t>
      </w:r>
      <w:r>
        <w:t>the</w:t>
      </w:r>
      <w:r>
        <w:rPr>
          <w:spacing w:val="-13"/>
        </w:rPr>
        <w:t xml:space="preserve"> </w:t>
      </w:r>
      <w:r>
        <w:t>end</w:t>
      </w:r>
      <w:r>
        <w:rPr>
          <w:spacing w:val="-13"/>
        </w:rPr>
        <w:t xml:space="preserve"> </w:t>
      </w:r>
      <w:r>
        <w:t>of</w:t>
      </w:r>
      <w:r>
        <w:rPr>
          <w:spacing w:val="-13"/>
        </w:rPr>
        <w:t xml:space="preserve"> </w:t>
      </w:r>
      <w:r>
        <w:t>2018</w:t>
      </w:r>
      <w:r>
        <w:rPr>
          <w:spacing w:val="-12"/>
        </w:rPr>
        <w:t xml:space="preserve"> </w:t>
      </w:r>
      <w:r>
        <w:t>to</w:t>
      </w:r>
      <w:r>
        <w:rPr>
          <w:spacing w:val="-12"/>
        </w:rPr>
        <w:t xml:space="preserve"> </w:t>
      </w:r>
      <w:r>
        <w:t>the</w:t>
      </w:r>
      <w:r>
        <w:rPr>
          <w:spacing w:val="-14"/>
        </w:rPr>
        <w:t xml:space="preserve"> </w:t>
      </w:r>
      <w:r>
        <w:t>end</w:t>
      </w:r>
      <w:r>
        <w:rPr>
          <w:spacing w:val="-12"/>
        </w:rPr>
        <w:t xml:space="preserve"> </w:t>
      </w:r>
      <w:r>
        <w:t>of</w:t>
      </w:r>
      <w:r>
        <w:rPr>
          <w:spacing w:val="-11"/>
        </w:rPr>
        <w:t xml:space="preserve"> </w:t>
      </w:r>
      <w:r>
        <w:t>2020,</w:t>
      </w:r>
      <w:r>
        <w:rPr>
          <w:spacing w:val="-12"/>
        </w:rPr>
        <w:t xml:space="preserve"> </w:t>
      </w:r>
      <w:r>
        <w:t>the</w:t>
      </w:r>
      <w:r>
        <w:rPr>
          <w:spacing w:val="-14"/>
        </w:rPr>
        <w:t xml:space="preserve"> </w:t>
      </w:r>
      <w:r>
        <w:t>number</w:t>
      </w:r>
      <w:r>
        <w:rPr>
          <w:spacing w:val="-13"/>
        </w:rPr>
        <w:t xml:space="preserve"> </w:t>
      </w:r>
      <w:r>
        <w:t>of</w:t>
      </w:r>
      <w:r>
        <w:rPr>
          <w:spacing w:val="-13"/>
        </w:rPr>
        <w:t xml:space="preserve"> </w:t>
      </w:r>
      <w:r>
        <w:t>old</w:t>
      </w:r>
      <w:r>
        <w:rPr>
          <w:spacing w:val="-12"/>
        </w:rPr>
        <w:t xml:space="preserve"> </w:t>
      </w:r>
      <w:r>
        <w:t>unresolved</w:t>
      </w:r>
      <w:r>
        <w:rPr>
          <w:spacing w:val="-58"/>
        </w:rPr>
        <w:t xml:space="preserve"> </w:t>
      </w:r>
      <w:r>
        <w:t>cases decreased by an additional 8% (8,426 cases at the end of 2020). Given the achieved</w:t>
      </w:r>
      <w:r>
        <w:rPr>
          <w:spacing w:val="1"/>
        </w:rPr>
        <w:t xml:space="preserve"> </w:t>
      </w:r>
      <w:r>
        <w:t>reduction in the number of cases older than ten years, the focus of the MJPA in the coming</w:t>
      </w:r>
      <w:r>
        <w:rPr>
          <w:spacing w:val="1"/>
        </w:rPr>
        <w:t xml:space="preserve"> </w:t>
      </w:r>
      <w:r>
        <w:t>period</w:t>
      </w:r>
      <w:r>
        <w:rPr>
          <w:spacing w:val="-1"/>
        </w:rPr>
        <w:t xml:space="preserve"> </w:t>
      </w:r>
      <w:r>
        <w:t>will be cases older</w:t>
      </w:r>
      <w:r>
        <w:rPr>
          <w:spacing w:val="1"/>
        </w:rPr>
        <w:t xml:space="preserve"> </w:t>
      </w:r>
      <w:r>
        <w:t>than seven</w:t>
      </w:r>
      <w:r>
        <w:rPr>
          <w:spacing w:val="3"/>
        </w:rPr>
        <w:t xml:space="preserve"> </w:t>
      </w:r>
      <w:r>
        <w:t>years.</w:t>
      </w:r>
    </w:p>
    <w:p w:rsidR="00A56FE9" w:rsidRDefault="00000000">
      <w:pPr>
        <w:pStyle w:val="Tijeloteksta"/>
        <w:spacing w:before="119"/>
        <w:ind w:right="273"/>
      </w:pPr>
      <w:r>
        <w:t>Given that measures were undertaken in the previous period to reduce the number of cases in</w:t>
      </w:r>
      <w:r>
        <w:rPr>
          <w:spacing w:val="1"/>
        </w:rPr>
        <w:t xml:space="preserve"> </w:t>
      </w:r>
      <w:r>
        <w:t>which proceedings began ten years ago or more and resulted in a significant decrease in the</w:t>
      </w:r>
      <w:r>
        <w:rPr>
          <w:spacing w:val="1"/>
        </w:rPr>
        <w:t xml:space="preserve"> </w:t>
      </w:r>
      <w:r>
        <w:t>number of such cases, the focus is placed on cases for which proceedings have been going on</w:t>
      </w:r>
      <w:r>
        <w:rPr>
          <w:spacing w:val="1"/>
        </w:rPr>
        <w:t xml:space="preserve"> </w:t>
      </w:r>
      <w:r>
        <w:t>for seven or more years. From 2018 to the end of 2021, there has been a continual decrease in</w:t>
      </w:r>
      <w:r>
        <w:rPr>
          <w:spacing w:val="1"/>
        </w:rPr>
        <w:t xml:space="preserve"> </w:t>
      </w:r>
      <w:r>
        <w:t>the number of such cases, decreasing from 24,713 at the end of 2018 to 18,939 at the end of</w:t>
      </w:r>
      <w:r>
        <w:rPr>
          <w:spacing w:val="1"/>
        </w:rPr>
        <w:t xml:space="preserve"> </w:t>
      </w:r>
      <w:r>
        <w:t>2021,</w:t>
      </w:r>
      <w:r>
        <w:rPr>
          <w:spacing w:val="-1"/>
        </w:rPr>
        <w:t xml:space="preserve"> </w:t>
      </w:r>
      <w:r>
        <w:t>representing</w:t>
      </w:r>
      <w:r>
        <w:rPr>
          <w:spacing w:val="-1"/>
        </w:rPr>
        <w:t xml:space="preserve"> </w:t>
      </w:r>
      <w:r>
        <w:t>a</w:t>
      </w:r>
      <w:r>
        <w:rPr>
          <w:spacing w:val="-1"/>
        </w:rPr>
        <w:t xml:space="preserve"> </w:t>
      </w:r>
      <w:r>
        <w:t>decrease</w:t>
      </w:r>
      <w:r>
        <w:rPr>
          <w:spacing w:val="-1"/>
        </w:rPr>
        <w:t xml:space="preserve"> </w:t>
      </w:r>
      <w:r>
        <w:t>of 23%.</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6"/>
      </w:pPr>
      <w:r>
        <w:t>At</w:t>
      </w:r>
      <w:r>
        <w:rPr>
          <w:spacing w:val="-6"/>
        </w:rPr>
        <w:t xml:space="preserve"> </w:t>
      </w:r>
      <w:r>
        <w:t>the</w:t>
      </w:r>
      <w:r>
        <w:rPr>
          <w:spacing w:val="-7"/>
        </w:rPr>
        <w:t xml:space="preserve"> </w:t>
      </w:r>
      <w:r>
        <w:t>beginning</w:t>
      </w:r>
      <w:r>
        <w:rPr>
          <w:spacing w:val="-8"/>
        </w:rPr>
        <w:t xml:space="preserve"> </w:t>
      </w:r>
      <w:r>
        <w:t>of</w:t>
      </w:r>
      <w:r>
        <w:rPr>
          <w:spacing w:val="-7"/>
        </w:rPr>
        <w:t xml:space="preserve"> </w:t>
      </w:r>
      <w:r>
        <w:t>2021,</w:t>
      </w:r>
      <w:r>
        <w:rPr>
          <w:spacing w:val="-3"/>
        </w:rPr>
        <w:t xml:space="preserve"> </w:t>
      </w:r>
      <w:r>
        <w:t>the</w:t>
      </w:r>
      <w:r>
        <w:rPr>
          <w:spacing w:val="-7"/>
        </w:rPr>
        <w:t xml:space="preserve"> </w:t>
      </w:r>
      <w:r>
        <w:t>MJPA,</w:t>
      </w:r>
      <w:r>
        <w:rPr>
          <w:spacing w:val="-6"/>
        </w:rPr>
        <w:t xml:space="preserve"> </w:t>
      </w:r>
      <w:r>
        <w:t>in</w:t>
      </w:r>
      <w:r>
        <w:rPr>
          <w:spacing w:val="-6"/>
        </w:rPr>
        <w:t xml:space="preserve"> </w:t>
      </w:r>
      <w:r>
        <w:t>cooperation</w:t>
      </w:r>
      <w:r>
        <w:rPr>
          <w:spacing w:val="-6"/>
        </w:rPr>
        <w:t xml:space="preserve"> </w:t>
      </w:r>
      <w:r>
        <w:t>with</w:t>
      </w:r>
      <w:r>
        <w:rPr>
          <w:spacing w:val="-5"/>
        </w:rPr>
        <w:t xml:space="preserve"> </w:t>
      </w:r>
      <w:r>
        <w:t>court</w:t>
      </w:r>
      <w:r>
        <w:rPr>
          <w:spacing w:val="-7"/>
        </w:rPr>
        <w:t xml:space="preserve"> </w:t>
      </w:r>
      <w:r>
        <w:t>presidents,</w:t>
      </w:r>
      <w:r>
        <w:rPr>
          <w:spacing w:val="-5"/>
        </w:rPr>
        <w:t xml:space="preserve"> </w:t>
      </w:r>
      <w:r>
        <w:t>devised</w:t>
      </w:r>
      <w:r>
        <w:rPr>
          <w:spacing w:val="-7"/>
        </w:rPr>
        <w:t xml:space="preserve"> </w:t>
      </w:r>
      <w:r>
        <w:t>action</w:t>
      </w:r>
      <w:r>
        <w:rPr>
          <w:spacing w:val="-6"/>
        </w:rPr>
        <w:t xml:space="preserve"> </w:t>
      </w:r>
      <w:r>
        <w:t>plans</w:t>
      </w:r>
      <w:r>
        <w:rPr>
          <w:spacing w:val="-57"/>
        </w:rPr>
        <w:t xml:space="preserve"> </w:t>
      </w:r>
      <w:r>
        <w:rPr>
          <w:spacing w:val="-1"/>
        </w:rPr>
        <w:t>to</w:t>
      </w:r>
      <w:r>
        <w:rPr>
          <w:spacing w:val="-14"/>
        </w:rPr>
        <w:t xml:space="preserve"> </w:t>
      </w:r>
      <w:r>
        <w:rPr>
          <w:spacing w:val="-1"/>
        </w:rPr>
        <w:t>improve</w:t>
      </w:r>
      <w:r>
        <w:rPr>
          <w:spacing w:val="-17"/>
        </w:rPr>
        <w:t xml:space="preserve"> </w:t>
      </w:r>
      <w:r>
        <w:t>the</w:t>
      </w:r>
      <w:r>
        <w:rPr>
          <w:spacing w:val="-13"/>
        </w:rPr>
        <w:t xml:space="preserve"> </w:t>
      </w:r>
      <w:r>
        <w:t>efficiency</w:t>
      </w:r>
      <w:r>
        <w:rPr>
          <w:spacing w:val="-15"/>
        </w:rPr>
        <w:t xml:space="preserve"> </w:t>
      </w:r>
      <w:r>
        <w:t>of</w:t>
      </w:r>
      <w:r>
        <w:rPr>
          <w:spacing w:val="-16"/>
        </w:rPr>
        <w:t xml:space="preserve"> </w:t>
      </w:r>
      <w:r>
        <w:t>court</w:t>
      </w:r>
      <w:r>
        <w:rPr>
          <w:spacing w:val="-12"/>
        </w:rPr>
        <w:t xml:space="preserve"> </w:t>
      </w:r>
      <w:r>
        <w:t>operations.</w:t>
      </w:r>
      <w:r>
        <w:rPr>
          <w:spacing w:val="-15"/>
        </w:rPr>
        <w:t xml:space="preserve"> </w:t>
      </w:r>
      <w:r>
        <w:t>For</w:t>
      </w:r>
      <w:r>
        <w:rPr>
          <w:spacing w:val="-16"/>
        </w:rPr>
        <w:t xml:space="preserve"> </w:t>
      </w:r>
      <w:r>
        <w:t>each</w:t>
      </w:r>
      <w:r>
        <w:rPr>
          <w:spacing w:val="-14"/>
        </w:rPr>
        <w:t xml:space="preserve"> </w:t>
      </w:r>
      <w:r>
        <w:t>judicial</w:t>
      </w:r>
      <w:r>
        <w:rPr>
          <w:spacing w:val="-13"/>
        </w:rPr>
        <w:t xml:space="preserve"> </w:t>
      </w:r>
      <w:r>
        <w:t>area</w:t>
      </w:r>
      <w:r>
        <w:rPr>
          <w:spacing w:val="-14"/>
        </w:rPr>
        <w:t xml:space="preserve"> </w:t>
      </w:r>
      <w:r>
        <w:t>(county</w:t>
      </w:r>
      <w:r>
        <w:rPr>
          <w:spacing w:val="-16"/>
        </w:rPr>
        <w:t xml:space="preserve"> </w:t>
      </w:r>
      <w:r>
        <w:t>court</w:t>
      </w:r>
      <w:r>
        <w:rPr>
          <w:spacing w:val="-15"/>
        </w:rPr>
        <w:t xml:space="preserve"> </w:t>
      </w:r>
      <w:r>
        <w:t>and</w:t>
      </w:r>
      <w:r>
        <w:rPr>
          <w:spacing w:val="-13"/>
        </w:rPr>
        <w:t xml:space="preserve"> </w:t>
      </w:r>
      <w:r>
        <w:t>municipal</w:t>
      </w:r>
      <w:r>
        <w:rPr>
          <w:spacing w:val="-57"/>
        </w:rPr>
        <w:t xml:space="preserve"> </w:t>
      </w:r>
      <w:r>
        <w:t>courts in their area), a special plan was developed focusing on three aspects: increasing the</w:t>
      </w:r>
      <w:r>
        <w:rPr>
          <w:spacing w:val="1"/>
        </w:rPr>
        <w:t xml:space="preserve"> </w:t>
      </w:r>
      <w:r>
        <w:t>number of resolved cases in line with performance indicators for each type of case, quicker</w:t>
      </w:r>
      <w:r>
        <w:rPr>
          <w:spacing w:val="1"/>
        </w:rPr>
        <w:t xml:space="preserve"> </w:t>
      </w:r>
      <w:r>
        <w:t>finalisation of cases in courts older than seven years, along with special monitoring and</w:t>
      </w:r>
      <w:r>
        <w:rPr>
          <w:spacing w:val="1"/>
        </w:rPr>
        <w:t xml:space="preserve"> </w:t>
      </w:r>
      <w:r>
        <w:t>finalising of criminal cases for which in the next three threes there exists the possibility of</w:t>
      </w:r>
      <w:r>
        <w:rPr>
          <w:spacing w:val="1"/>
        </w:rPr>
        <w:t xml:space="preserve"> </w:t>
      </w:r>
      <w:r>
        <w:t>statutory limitations. The performance of actions plans was tracked monthly, in synergy with</w:t>
      </w:r>
      <w:r>
        <w:rPr>
          <w:spacing w:val="1"/>
        </w:rPr>
        <w:t xml:space="preserve"> </w:t>
      </w:r>
      <w:r>
        <w:t>court</w:t>
      </w:r>
      <w:r>
        <w:rPr>
          <w:spacing w:val="-2"/>
        </w:rPr>
        <w:t xml:space="preserve"> </w:t>
      </w:r>
      <w:r>
        <w:t>presidents,</w:t>
      </w:r>
      <w:r>
        <w:rPr>
          <w:spacing w:val="-1"/>
        </w:rPr>
        <w:t xml:space="preserve"> </w:t>
      </w:r>
      <w:r>
        <w:t>and</w:t>
      </w:r>
      <w:r>
        <w:rPr>
          <w:spacing w:val="-1"/>
        </w:rPr>
        <w:t xml:space="preserve"> </w:t>
      </w:r>
      <w:r>
        <w:t>subjective</w:t>
      </w:r>
      <w:r>
        <w:rPr>
          <w:spacing w:val="-2"/>
        </w:rPr>
        <w:t xml:space="preserve"> </w:t>
      </w:r>
      <w:r>
        <w:t>and</w:t>
      </w:r>
      <w:r>
        <w:rPr>
          <w:spacing w:val="-2"/>
        </w:rPr>
        <w:t xml:space="preserve"> </w:t>
      </w:r>
      <w:r>
        <w:t>objective</w:t>
      </w:r>
      <w:r>
        <w:rPr>
          <w:spacing w:val="-2"/>
        </w:rPr>
        <w:t xml:space="preserve"> </w:t>
      </w:r>
      <w:r>
        <w:t>reasons</w:t>
      </w:r>
      <w:r>
        <w:rPr>
          <w:spacing w:val="-1"/>
        </w:rPr>
        <w:t xml:space="preserve"> </w:t>
      </w:r>
      <w:r>
        <w:t>for</w:t>
      </w:r>
      <w:r>
        <w:rPr>
          <w:spacing w:val="-2"/>
        </w:rPr>
        <w:t xml:space="preserve"> </w:t>
      </w:r>
      <w:r>
        <w:t>eventual</w:t>
      </w:r>
      <w:r>
        <w:rPr>
          <w:spacing w:val="-1"/>
        </w:rPr>
        <w:t xml:space="preserve"> </w:t>
      </w:r>
      <w:r>
        <w:t>failure</w:t>
      </w:r>
      <w:r>
        <w:rPr>
          <w:spacing w:val="-4"/>
        </w:rPr>
        <w:t xml:space="preserve"> </w:t>
      </w:r>
      <w:r>
        <w:t>to</w:t>
      </w:r>
      <w:r>
        <w:rPr>
          <w:spacing w:val="-1"/>
        </w:rPr>
        <w:t xml:space="preserve"> </w:t>
      </w:r>
      <w:r>
        <w:t>fulfil</w:t>
      </w:r>
      <w:r>
        <w:rPr>
          <w:spacing w:val="-1"/>
        </w:rPr>
        <w:t xml:space="preserve"> </w:t>
      </w:r>
      <w:r>
        <w:t>the</w:t>
      </w:r>
      <w:r>
        <w:rPr>
          <w:spacing w:val="-2"/>
        </w:rPr>
        <w:t xml:space="preserve"> </w:t>
      </w:r>
      <w:r>
        <w:t>set</w:t>
      </w:r>
      <w:r>
        <w:rPr>
          <w:spacing w:val="-1"/>
        </w:rPr>
        <w:t xml:space="preserve"> </w:t>
      </w:r>
      <w:r>
        <w:t>goals</w:t>
      </w:r>
      <w:r>
        <w:rPr>
          <w:spacing w:val="-58"/>
        </w:rPr>
        <w:t xml:space="preserve"> </w:t>
      </w:r>
      <w:r>
        <w:t>in</w:t>
      </w:r>
      <w:r>
        <w:rPr>
          <w:spacing w:val="-6"/>
        </w:rPr>
        <w:t xml:space="preserve"> </w:t>
      </w:r>
      <w:r>
        <w:t>the</w:t>
      </w:r>
      <w:r>
        <w:rPr>
          <w:spacing w:val="-7"/>
        </w:rPr>
        <w:t xml:space="preserve"> </w:t>
      </w:r>
      <w:r>
        <w:t>action</w:t>
      </w:r>
      <w:r>
        <w:rPr>
          <w:spacing w:val="-5"/>
        </w:rPr>
        <w:t xml:space="preserve"> </w:t>
      </w:r>
      <w:r>
        <w:t>plans</w:t>
      </w:r>
      <w:r>
        <w:rPr>
          <w:spacing w:val="-6"/>
        </w:rPr>
        <w:t xml:space="preserve"> </w:t>
      </w:r>
      <w:r>
        <w:t>will</w:t>
      </w:r>
      <w:r>
        <w:rPr>
          <w:spacing w:val="-5"/>
        </w:rPr>
        <w:t xml:space="preserve"> </w:t>
      </w:r>
      <w:r>
        <w:t>be</w:t>
      </w:r>
      <w:r>
        <w:rPr>
          <w:spacing w:val="-5"/>
        </w:rPr>
        <w:t xml:space="preserve"> </w:t>
      </w:r>
      <w:r>
        <w:t>identified.</w:t>
      </w:r>
      <w:r>
        <w:rPr>
          <w:spacing w:val="-3"/>
        </w:rPr>
        <w:t xml:space="preserve"> </w:t>
      </w:r>
      <w:r>
        <w:t>In</w:t>
      </w:r>
      <w:r>
        <w:rPr>
          <w:spacing w:val="-2"/>
        </w:rPr>
        <w:t xml:space="preserve"> </w:t>
      </w:r>
      <w:r>
        <w:t>line</w:t>
      </w:r>
      <w:r>
        <w:rPr>
          <w:spacing w:val="-6"/>
        </w:rPr>
        <w:t xml:space="preserve"> </w:t>
      </w:r>
      <w:r>
        <w:t>with</w:t>
      </w:r>
      <w:r>
        <w:rPr>
          <w:spacing w:val="-6"/>
        </w:rPr>
        <w:t xml:space="preserve"> </w:t>
      </w:r>
      <w:r>
        <w:t>the</w:t>
      </w:r>
      <w:r>
        <w:rPr>
          <w:spacing w:val="-6"/>
        </w:rPr>
        <w:t xml:space="preserve"> </w:t>
      </w:r>
      <w:r>
        <w:t>achieved</w:t>
      </w:r>
      <w:r>
        <w:rPr>
          <w:spacing w:val="-4"/>
        </w:rPr>
        <w:t xml:space="preserve"> </w:t>
      </w:r>
      <w:r>
        <w:t>results,</w:t>
      </w:r>
      <w:r>
        <w:rPr>
          <w:spacing w:val="-5"/>
        </w:rPr>
        <w:t xml:space="preserve"> </w:t>
      </w:r>
      <w:r>
        <w:t>the</w:t>
      </w:r>
      <w:r>
        <w:rPr>
          <w:spacing w:val="-4"/>
        </w:rPr>
        <w:t xml:space="preserve"> </w:t>
      </w:r>
      <w:r>
        <w:t>action</w:t>
      </w:r>
      <w:r>
        <w:rPr>
          <w:spacing w:val="-5"/>
        </w:rPr>
        <w:t xml:space="preserve"> </w:t>
      </w:r>
      <w:r>
        <w:t>plans</w:t>
      </w:r>
      <w:r>
        <w:rPr>
          <w:spacing w:val="-7"/>
        </w:rPr>
        <w:t xml:space="preserve"> </w:t>
      </w:r>
      <w:r>
        <w:t>will</w:t>
      </w:r>
      <w:r>
        <w:rPr>
          <w:spacing w:val="-5"/>
        </w:rPr>
        <w:t xml:space="preserve"> </w:t>
      </w:r>
      <w:r>
        <w:t>also</w:t>
      </w:r>
      <w:r>
        <w:rPr>
          <w:spacing w:val="-58"/>
        </w:rPr>
        <w:t xml:space="preserve"> </w:t>
      </w:r>
      <w:r>
        <w:t>be</w:t>
      </w:r>
      <w:r>
        <w:rPr>
          <w:spacing w:val="-2"/>
        </w:rPr>
        <w:t xml:space="preserve"> </w:t>
      </w:r>
      <w:r>
        <w:t>adopted for 2022.</w:t>
      </w:r>
    </w:p>
    <w:p w:rsidR="00A56FE9" w:rsidRDefault="00000000">
      <w:pPr>
        <w:pStyle w:val="Tijeloteksta"/>
        <w:spacing w:before="121" w:line="275" w:lineRule="exact"/>
      </w:pPr>
      <w:r>
        <w:t>The</w:t>
      </w:r>
      <w:r>
        <w:rPr>
          <w:spacing w:val="-3"/>
        </w:rPr>
        <w:t xml:space="preserve"> </w:t>
      </w:r>
      <w:r>
        <w:t>achieved results</w:t>
      </w:r>
      <w:r>
        <w:rPr>
          <w:spacing w:val="-1"/>
        </w:rPr>
        <w:t xml:space="preserve"> </w:t>
      </w:r>
      <w:r>
        <w:t>of the</w:t>
      </w:r>
      <w:r>
        <w:rPr>
          <w:spacing w:val="-2"/>
        </w:rPr>
        <w:t xml:space="preserve"> </w:t>
      </w:r>
      <w:r>
        <w:t>action plans</w:t>
      </w:r>
      <w:r>
        <w:rPr>
          <w:spacing w:val="-1"/>
        </w:rPr>
        <w:t xml:space="preserve"> </w:t>
      </w:r>
      <w:r>
        <w:t>in 2021:</w:t>
      </w:r>
    </w:p>
    <w:p w:rsidR="00A56FE9" w:rsidRDefault="00000000">
      <w:pPr>
        <w:pStyle w:val="Odlomakpopisa"/>
        <w:numPr>
          <w:ilvl w:val="0"/>
          <w:numId w:val="5"/>
        </w:numPr>
        <w:tabs>
          <w:tab w:val="left" w:pos="498"/>
          <w:tab w:val="left" w:pos="499"/>
        </w:tabs>
        <w:ind w:right="281"/>
        <w:rPr>
          <w:sz w:val="24"/>
        </w:rPr>
      </w:pPr>
      <w:r>
        <w:rPr>
          <w:sz w:val="24"/>
        </w:rPr>
        <w:t>Municipal</w:t>
      </w:r>
      <w:r>
        <w:rPr>
          <w:spacing w:val="32"/>
          <w:sz w:val="24"/>
        </w:rPr>
        <w:t xml:space="preserve"> </w:t>
      </w:r>
      <w:r>
        <w:rPr>
          <w:sz w:val="24"/>
        </w:rPr>
        <w:t>courts</w:t>
      </w:r>
      <w:r>
        <w:rPr>
          <w:spacing w:val="32"/>
          <w:sz w:val="24"/>
        </w:rPr>
        <w:t xml:space="preserve"> </w:t>
      </w:r>
      <w:r>
        <w:rPr>
          <w:sz w:val="24"/>
        </w:rPr>
        <w:t>fulfilled</w:t>
      </w:r>
      <w:r>
        <w:rPr>
          <w:spacing w:val="31"/>
          <w:sz w:val="24"/>
        </w:rPr>
        <w:t xml:space="preserve"> </w:t>
      </w:r>
      <w:r>
        <w:rPr>
          <w:sz w:val="24"/>
        </w:rPr>
        <w:t>86%</w:t>
      </w:r>
      <w:r>
        <w:rPr>
          <w:spacing w:val="31"/>
          <w:sz w:val="24"/>
        </w:rPr>
        <w:t xml:space="preserve"> </w:t>
      </w:r>
      <w:r>
        <w:rPr>
          <w:sz w:val="24"/>
        </w:rPr>
        <w:t>of</w:t>
      </w:r>
      <w:r>
        <w:rPr>
          <w:spacing w:val="32"/>
          <w:sz w:val="24"/>
        </w:rPr>
        <w:t xml:space="preserve"> </w:t>
      </w:r>
      <w:r>
        <w:rPr>
          <w:sz w:val="24"/>
        </w:rPr>
        <w:t>the</w:t>
      </w:r>
      <w:r>
        <w:rPr>
          <w:spacing w:val="31"/>
          <w:sz w:val="24"/>
        </w:rPr>
        <w:t xml:space="preserve"> </w:t>
      </w:r>
      <w:r>
        <w:rPr>
          <w:sz w:val="24"/>
        </w:rPr>
        <w:t>goal</w:t>
      </w:r>
      <w:r>
        <w:rPr>
          <w:spacing w:val="32"/>
          <w:sz w:val="24"/>
        </w:rPr>
        <w:t xml:space="preserve"> </w:t>
      </w:r>
      <w:r>
        <w:rPr>
          <w:sz w:val="24"/>
        </w:rPr>
        <w:t>in</w:t>
      </w:r>
      <w:r>
        <w:rPr>
          <w:spacing w:val="32"/>
          <w:sz w:val="24"/>
        </w:rPr>
        <w:t xml:space="preserve"> </w:t>
      </w:r>
      <w:r>
        <w:rPr>
          <w:sz w:val="24"/>
        </w:rPr>
        <w:t>improving</w:t>
      </w:r>
      <w:r>
        <w:rPr>
          <w:spacing w:val="30"/>
          <w:sz w:val="24"/>
        </w:rPr>
        <w:t xml:space="preserve"> </w:t>
      </w:r>
      <w:r>
        <w:rPr>
          <w:sz w:val="24"/>
        </w:rPr>
        <w:t>efficiency,</w:t>
      </w:r>
      <w:r>
        <w:rPr>
          <w:spacing w:val="34"/>
          <w:sz w:val="24"/>
        </w:rPr>
        <w:t xml:space="preserve"> </w:t>
      </w:r>
      <w:r>
        <w:rPr>
          <w:sz w:val="24"/>
        </w:rPr>
        <w:t>and</w:t>
      </w:r>
      <w:r>
        <w:rPr>
          <w:spacing w:val="32"/>
          <w:sz w:val="24"/>
        </w:rPr>
        <w:t xml:space="preserve"> </w:t>
      </w:r>
      <w:r>
        <w:rPr>
          <w:sz w:val="24"/>
        </w:rPr>
        <w:t>of</w:t>
      </w:r>
      <w:r>
        <w:rPr>
          <w:spacing w:val="31"/>
          <w:sz w:val="24"/>
        </w:rPr>
        <w:t xml:space="preserve"> </w:t>
      </w:r>
      <w:r>
        <w:rPr>
          <w:sz w:val="24"/>
        </w:rPr>
        <w:t>the</w:t>
      </w:r>
      <w:r>
        <w:rPr>
          <w:spacing w:val="32"/>
          <w:sz w:val="24"/>
        </w:rPr>
        <w:t xml:space="preserve"> </w:t>
      </w:r>
      <w:r>
        <w:rPr>
          <w:sz w:val="24"/>
        </w:rPr>
        <w:t>planned</w:t>
      </w:r>
      <w:r>
        <w:rPr>
          <w:spacing w:val="-57"/>
          <w:sz w:val="24"/>
        </w:rPr>
        <w:t xml:space="preserve"> </w:t>
      </w:r>
      <w:r>
        <w:rPr>
          <w:sz w:val="24"/>
        </w:rPr>
        <w:t>455,302</w:t>
      </w:r>
      <w:r>
        <w:rPr>
          <w:spacing w:val="-1"/>
          <w:sz w:val="24"/>
        </w:rPr>
        <w:t xml:space="preserve"> </w:t>
      </w:r>
      <w:r>
        <w:rPr>
          <w:sz w:val="24"/>
        </w:rPr>
        <w:t>to be completed,</w:t>
      </w:r>
      <w:r>
        <w:rPr>
          <w:spacing w:val="1"/>
          <w:sz w:val="24"/>
        </w:rPr>
        <w:t xml:space="preserve"> </w:t>
      </w:r>
      <w:r>
        <w:rPr>
          <w:sz w:val="24"/>
        </w:rPr>
        <w:t>they</w:t>
      </w:r>
      <w:r>
        <w:rPr>
          <w:spacing w:val="-5"/>
          <w:sz w:val="24"/>
        </w:rPr>
        <w:t xml:space="preserve"> </w:t>
      </w:r>
      <w:r>
        <w:rPr>
          <w:sz w:val="24"/>
        </w:rPr>
        <w:t>finalised 393,042 (86%).</w:t>
      </w:r>
    </w:p>
    <w:p w:rsidR="00A56FE9" w:rsidRDefault="00000000">
      <w:pPr>
        <w:pStyle w:val="Odlomakpopisa"/>
        <w:numPr>
          <w:ilvl w:val="0"/>
          <w:numId w:val="5"/>
        </w:numPr>
        <w:tabs>
          <w:tab w:val="left" w:pos="498"/>
          <w:tab w:val="left" w:pos="499"/>
        </w:tabs>
        <w:spacing w:line="242" w:lineRule="auto"/>
        <w:ind w:right="275"/>
        <w:rPr>
          <w:sz w:val="24"/>
        </w:rPr>
      </w:pPr>
      <w:r>
        <w:rPr>
          <w:spacing w:val="-1"/>
          <w:sz w:val="24"/>
        </w:rPr>
        <w:t>County</w:t>
      </w:r>
      <w:r>
        <w:rPr>
          <w:spacing w:val="-15"/>
          <w:sz w:val="24"/>
        </w:rPr>
        <w:t xml:space="preserve"> </w:t>
      </w:r>
      <w:r>
        <w:rPr>
          <w:sz w:val="24"/>
        </w:rPr>
        <w:t>courts</w:t>
      </w:r>
      <w:r>
        <w:rPr>
          <w:spacing w:val="-8"/>
          <w:sz w:val="24"/>
        </w:rPr>
        <w:t xml:space="preserve"> </w:t>
      </w:r>
      <w:r>
        <w:rPr>
          <w:sz w:val="24"/>
        </w:rPr>
        <w:t>fulfilled</w:t>
      </w:r>
      <w:r>
        <w:rPr>
          <w:spacing w:val="-11"/>
          <w:sz w:val="24"/>
        </w:rPr>
        <w:t xml:space="preserve"> </w:t>
      </w:r>
      <w:r>
        <w:rPr>
          <w:sz w:val="24"/>
        </w:rPr>
        <w:t>94%</w:t>
      </w:r>
      <w:r>
        <w:rPr>
          <w:spacing w:val="-11"/>
          <w:sz w:val="24"/>
        </w:rPr>
        <w:t xml:space="preserve"> </w:t>
      </w:r>
      <w:r>
        <w:rPr>
          <w:sz w:val="24"/>
        </w:rPr>
        <w:t>of</w:t>
      </w:r>
      <w:r>
        <w:rPr>
          <w:spacing w:val="-11"/>
          <w:sz w:val="24"/>
        </w:rPr>
        <w:t xml:space="preserve"> </w:t>
      </w:r>
      <w:r>
        <w:rPr>
          <w:sz w:val="24"/>
        </w:rPr>
        <w:t>the</w:t>
      </w:r>
      <w:r>
        <w:rPr>
          <w:spacing w:val="-8"/>
          <w:sz w:val="24"/>
        </w:rPr>
        <w:t xml:space="preserve"> </w:t>
      </w:r>
      <w:r>
        <w:rPr>
          <w:sz w:val="24"/>
        </w:rPr>
        <w:t>goal</w:t>
      </w:r>
      <w:r>
        <w:rPr>
          <w:spacing w:val="-10"/>
          <w:sz w:val="24"/>
        </w:rPr>
        <w:t xml:space="preserve"> </w:t>
      </w:r>
      <w:r>
        <w:rPr>
          <w:sz w:val="24"/>
        </w:rPr>
        <w:t>in</w:t>
      </w:r>
      <w:r>
        <w:rPr>
          <w:spacing w:val="-10"/>
          <w:sz w:val="24"/>
        </w:rPr>
        <w:t xml:space="preserve"> </w:t>
      </w:r>
      <w:r>
        <w:rPr>
          <w:sz w:val="24"/>
        </w:rPr>
        <w:t>improving</w:t>
      </w:r>
      <w:r>
        <w:rPr>
          <w:spacing w:val="-10"/>
          <w:sz w:val="24"/>
        </w:rPr>
        <w:t xml:space="preserve"> </w:t>
      </w:r>
      <w:r>
        <w:rPr>
          <w:sz w:val="24"/>
        </w:rPr>
        <w:t>efficiency,</w:t>
      </w:r>
      <w:r>
        <w:rPr>
          <w:spacing w:val="-8"/>
          <w:sz w:val="24"/>
        </w:rPr>
        <w:t xml:space="preserve"> </w:t>
      </w:r>
      <w:r>
        <w:rPr>
          <w:sz w:val="24"/>
        </w:rPr>
        <w:t>and</w:t>
      </w:r>
      <w:r>
        <w:rPr>
          <w:spacing w:val="-10"/>
          <w:sz w:val="24"/>
        </w:rPr>
        <w:t xml:space="preserve"> </w:t>
      </w:r>
      <w:r>
        <w:rPr>
          <w:sz w:val="24"/>
        </w:rPr>
        <w:t>of</w:t>
      </w:r>
      <w:r>
        <w:rPr>
          <w:spacing w:val="-11"/>
          <w:sz w:val="24"/>
        </w:rPr>
        <w:t xml:space="preserve"> </w:t>
      </w:r>
      <w:r>
        <w:rPr>
          <w:sz w:val="24"/>
        </w:rPr>
        <w:t>the</w:t>
      </w:r>
      <w:r>
        <w:rPr>
          <w:spacing w:val="-6"/>
          <w:sz w:val="24"/>
        </w:rPr>
        <w:t xml:space="preserve"> </w:t>
      </w:r>
      <w:r>
        <w:rPr>
          <w:sz w:val="24"/>
        </w:rPr>
        <w:t>planned</w:t>
      </w:r>
      <w:r>
        <w:rPr>
          <w:spacing w:val="-10"/>
          <w:sz w:val="24"/>
        </w:rPr>
        <w:t xml:space="preserve"> </w:t>
      </w:r>
      <w:r>
        <w:rPr>
          <w:sz w:val="24"/>
        </w:rPr>
        <w:t>100,593</w:t>
      </w:r>
      <w:r>
        <w:rPr>
          <w:spacing w:val="-57"/>
          <w:sz w:val="24"/>
        </w:rPr>
        <w:t xml:space="preserve"> </w:t>
      </w:r>
      <w:r>
        <w:rPr>
          <w:sz w:val="24"/>
        </w:rPr>
        <w:t>to</w:t>
      </w:r>
      <w:r>
        <w:rPr>
          <w:spacing w:val="-1"/>
          <w:sz w:val="24"/>
        </w:rPr>
        <w:t xml:space="preserve"> </w:t>
      </w:r>
      <w:r>
        <w:rPr>
          <w:sz w:val="24"/>
        </w:rPr>
        <w:t>be completed, they</w:t>
      </w:r>
      <w:r>
        <w:rPr>
          <w:spacing w:val="-5"/>
          <w:sz w:val="24"/>
        </w:rPr>
        <w:t xml:space="preserve"> </w:t>
      </w:r>
      <w:r>
        <w:rPr>
          <w:sz w:val="24"/>
        </w:rPr>
        <w:t>finalised 94,221 (94%).</w:t>
      </w:r>
    </w:p>
    <w:p w:rsidR="00A56FE9" w:rsidRDefault="00000000">
      <w:pPr>
        <w:pStyle w:val="Odlomakpopisa"/>
        <w:numPr>
          <w:ilvl w:val="0"/>
          <w:numId w:val="5"/>
        </w:numPr>
        <w:tabs>
          <w:tab w:val="left" w:pos="498"/>
          <w:tab w:val="left" w:pos="499"/>
        </w:tabs>
        <w:ind w:right="280"/>
        <w:rPr>
          <w:sz w:val="24"/>
        </w:rPr>
      </w:pPr>
      <w:r>
        <w:rPr>
          <w:sz w:val="24"/>
        </w:rPr>
        <w:t>Overall,</w:t>
      </w:r>
      <w:r>
        <w:rPr>
          <w:spacing w:val="22"/>
          <w:sz w:val="24"/>
        </w:rPr>
        <w:t xml:space="preserve"> </w:t>
      </w:r>
      <w:r>
        <w:rPr>
          <w:sz w:val="24"/>
        </w:rPr>
        <w:t>municipal</w:t>
      </w:r>
      <w:r>
        <w:rPr>
          <w:spacing w:val="23"/>
          <w:sz w:val="24"/>
        </w:rPr>
        <w:t xml:space="preserve"> </w:t>
      </w:r>
      <w:r>
        <w:rPr>
          <w:sz w:val="24"/>
        </w:rPr>
        <w:t>and</w:t>
      </w:r>
      <w:r>
        <w:rPr>
          <w:spacing w:val="23"/>
          <w:sz w:val="24"/>
        </w:rPr>
        <w:t xml:space="preserve"> </w:t>
      </w:r>
      <w:r>
        <w:rPr>
          <w:sz w:val="24"/>
        </w:rPr>
        <w:t>county</w:t>
      </w:r>
      <w:r>
        <w:rPr>
          <w:spacing w:val="18"/>
          <w:sz w:val="24"/>
        </w:rPr>
        <w:t xml:space="preserve"> </w:t>
      </w:r>
      <w:r>
        <w:rPr>
          <w:sz w:val="24"/>
        </w:rPr>
        <w:t>courts,</w:t>
      </w:r>
      <w:r>
        <w:rPr>
          <w:spacing w:val="22"/>
          <w:sz w:val="24"/>
        </w:rPr>
        <w:t xml:space="preserve"> </w:t>
      </w:r>
      <w:r>
        <w:rPr>
          <w:sz w:val="24"/>
        </w:rPr>
        <w:t>by</w:t>
      </w:r>
      <w:r>
        <w:rPr>
          <w:spacing w:val="18"/>
          <w:sz w:val="24"/>
        </w:rPr>
        <w:t xml:space="preserve"> </w:t>
      </w:r>
      <w:r>
        <w:rPr>
          <w:sz w:val="24"/>
        </w:rPr>
        <w:t>the</w:t>
      </w:r>
      <w:r>
        <w:rPr>
          <w:spacing w:val="25"/>
          <w:sz w:val="24"/>
        </w:rPr>
        <w:t xml:space="preserve"> </w:t>
      </w:r>
      <w:r>
        <w:rPr>
          <w:sz w:val="24"/>
        </w:rPr>
        <w:t>end</w:t>
      </w:r>
      <w:r>
        <w:rPr>
          <w:spacing w:val="25"/>
          <w:sz w:val="24"/>
        </w:rPr>
        <w:t xml:space="preserve"> </w:t>
      </w:r>
      <w:r>
        <w:rPr>
          <w:sz w:val="24"/>
        </w:rPr>
        <w:t>of</w:t>
      </w:r>
      <w:r>
        <w:rPr>
          <w:spacing w:val="23"/>
          <w:sz w:val="24"/>
        </w:rPr>
        <w:t xml:space="preserve"> </w:t>
      </w:r>
      <w:r>
        <w:rPr>
          <w:sz w:val="24"/>
        </w:rPr>
        <w:t>2021,</w:t>
      </w:r>
      <w:r>
        <w:rPr>
          <w:spacing w:val="22"/>
          <w:sz w:val="24"/>
        </w:rPr>
        <w:t xml:space="preserve"> </w:t>
      </w:r>
      <w:r>
        <w:rPr>
          <w:sz w:val="24"/>
        </w:rPr>
        <w:t>of</w:t>
      </w:r>
      <w:r>
        <w:rPr>
          <w:spacing w:val="23"/>
          <w:sz w:val="24"/>
        </w:rPr>
        <w:t xml:space="preserve"> </w:t>
      </w:r>
      <w:r>
        <w:rPr>
          <w:sz w:val="24"/>
        </w:rPr>
        <w:t>the</w:t>
      </w:r>
      <w:r>
        <w:rPr>
          <w:spacing w:val="23"/>
          <w:sz w:val="24"/>
        </w:rPr>
        <w:t xml:space="preserve"> </w:t>
      </w:r>
      <w:r>
        <w:rPr>
          <w:sz w:val="24"/>
        </w:rPr>
        <w:t>planned</w:t>
      </w:r>
      <w:r>
        <w:rPr>
          <w:spacing w:val="25"/>
          <w:sz w:val="24"/>
        </w:rPr>
        <w:t xml:space="preserve"> </w:t>
      </w:r>
      <w:r>
        <w:rPr>
          <w:sz w:val="24"/>
        </w:rPr>
        <w:t>555,892</w:t>
      </w:r>
      <w:r>
        <w:rPr>
          <w:spacing w:val="23"/>
          <w:sz w:val="24"/>
        </w:rPr>
        <w:t xml:space="preserve"> </w:t>
      </w:r>
      <w:r>
        <w:rPr>
          <w:sz w:val="24"/>
        </w:rPr>
        <w:t>to</w:t>
      </w:r>
      <w:r>
        <w:rPr>
          <w:spacing w:val="23"/>
          <w:sz w:val="24"/>
        </w:rPr>
        <w:t xml:space="preserve"> </w:t>
      </w:r>
      <w:r>
        <w:rPr>
          <w:sz w:val="24"/>
        </w:rPr>
        <w:t>be</w:t>
      </w:r>
      <w:r>
        <w:rPr>
          <w:spacing w:val="-57"/>
          <w:sz w:val="24"/>
        </w:rPr>
        <w:t xml:space="preserve"> </w:t>
      </w:r>
      <w:r>
        <w:rPr>
          <w:sz w:val="24"/>
        </w:rPr>
        <w:t>completed,</w:t>
      </w:r>
      <w:r>
        <w:rPr>
          <w:spacing w:val="-1"/>
          <w:sz w:val="24"/>
        </w:rPr>
        <w:t xml:space="preserve"> </w:t>
      </w:r>
      <w:r>
        <w:rPr>
          <w:sz w:val="24"/>
        </w:rPr>
        <w:t>finalised 487,263 cases.</w:t>
      </w:r>
    </w:p>
    <w:p w:rsidR="00A56FE9" w:rsidRDefault="00000000">
      <w:pPr>
        <w:pStyle w:val="Tijeloteksta"/>
        <w:spacing w:before="115" w:line="275" w:lineRule="exact"/>
        <w:jc w:val="left"/>
      </w:pPr>
      <w:r>
        <w:t>Finalising</w:t>
      </w:r>
      <w:r>
        <w:rPr>
          <w:spacing w:val="-5"/>
        </w:rPr>
        <w:t xml:space="preserve"> </w:t>
      </w:r>
      <w:r>
        <w:t>cases</w:t>
      </w:r>
      <w:r>
        <w:rPr>
          <w:spacing w:val="-1"/>
        </w:rPr>
        <w:t xml:space="preserve"> </w:t>
      </w:r>
      <w:r>
        <w:t>in</w:t>
      </w:r>
      <w:r>
        <w:rPr>
          <w:spacing w:val="-1"/>
        </w:rPr>
        <w:t xml:space="preserve"> </w:t>
      </w:r>
      <w:r>
        <w:t>which proceedings</w:t>
      </w:r>
      <w:r>
        <w:rPr>
          <w:spacing w:val="-1"/>
        </w:rPr>
        <w:t xml:space="preserve"> </w:t>
      </w:r>
      <w:r>
        <w:t>have</w:t>
      </w:r>
      <w:r>
        <w:rPr>
          <w:spacing w:val="-3"/>
        </w:rPr>
        <w:t xml:space="preserve"> </w:t>
      </w:r>
      <w:r>
        <w:t>lasted</w:t>
      </w:r>
      <w:r>
        <w:rPr>
          <w:spacing w:val="1"/>
        </w:rPr>
        <w:t xml:space="preserve"> </w:t>
      </w:r>
      <w:r>
        <w:t>more</w:t>
      </w:r>
      <w:r>
        <w:rPr>
          <w:spacing w:val="-2"/>
        </w:rPr>
        <w:t xml:space="preserve"> </w:t>
      </w:r>
      <w:r>
        <w:t>than</w:t>
      </w:r>
      <w:r>
        <w:rPr>
          <w:spacing w:val="-2"/>
        </w:rPr>
        <w:t xml:space="preserve"> </w:t>
      </w:r>
      <w:r>
        <w:t>seven</w:t>
      </w:r>
      <w:r>
        <w:rPr>
          <w:spacing w:val="3"/>
        </w:rPr>
        <w:t xml:space="preserve"> </w:t>
      </w:r>
      <w:r>
        <w:t>years:</w:t>
      </w:r>
    </w:p>
    <w:p w:rsidR="00A56FE9" w:rsidRDefault="00000000">
      <w:pPr>
        <w:pStyle w:val="Odlomakpopisa"/>
        <w:numPr>
          <w:ilvl w:val="0"/>
          <w:numId w:val="5"/>
        </w:numPr>
        <w:tabs>
          <w:tab w:val="left" w:pos="498"/>
          <w:tab w:val="left" w:pos="499"/>
        </w:tabs>
        <w:ind w:right="282"/>
        <w:rPr>
          <w:sz w:val="24"/>
        </w:rPr>
      </w:pPr>
      <w:r>
        <w:rPr>
          <w:sz w:val="24"/>
        </w:rPr>
        <w:t>Municipal</w:t>
      </w:r>
      <w:r>
        <w:rPr>
          <w:spacing w:val="30"/>
          <w:sz w:val="24"/>
        </w:rPr>
        <w:t xml:space="preserve"> </w:t>
      </w:r>
      <w:r>
        <w:rPr>
          <w:sz w:val="24"/>
        </w:rPr>
        <w:t>Courts</w:t>
      </w:r>
      <w:r>
        <w:rPr>
          <w:spacing w:val="29"/>
          <w:sz w:val="24"/>
        </w:rPr>
        <w:t xml:space="preserve"> </w:t>
      </w:r>
      <w:r>
        <w:rPr>
          <w:sz w:val="24"/>
        </w:rPr>
        <w:t>reduced</w:t>
      </w:r>
      <w:r>
        <w:rPr>
          <w:spacing w:val="29"/>
          <w:sz w:val="24"/>
        </w:rPr>
        <w:t xml:space="preserve"> </w:t>
      </w:r>
      <w:r>
        <w:rPr>
          <w:sz w:val="24"/>
        </w:rPr>
        <w:t>the</w:t>
      </w:r>
      <w:r>
        <w:rPr>
          <w:spacing w:val="30"/>
          <w:sz w:val="24"/>
        </w:rPr>
        <w:t xml:space="preserve"> </w:t>
      </w:r>
      <w:r>
        <w:rPr>
          <w:sz w:val="24"/>
        </w:rPr>
        <w:t>number</w:t>
      </w:r>
      <w:r>
        <w:rPr>
          <w:spacing w:val="28"/>
          <w:sz w:val="24"/>
        </w:rPr>
        <w:t xml:space="preserve"> </w:t>
      </w:r>
      <w:r>
        <w:rPr>
          <w:sz w:val="24"/>
        </w:rPr>
        <w:t>of</w:t>
      </w:r>
      <w:r>
        <w:rPr>
          <w:spacing w:val="31"/>
          <w:sz w:val="24"/>
        </w:rPr>
        <w:t xml:space="preserve"> </w:t>
      </w:r>
      <w:r>
        <w:rPr>
          <w:sz w:val="24"/>
        </w:rPr>
        <w:t>unfinalised</w:t>
      </w:r>
      <w:r>
        <w:rPr>
          <w:spacing w:val="30"/>
          <w:sz w:val="24"/>
        </w:rPr>
        <w:t xml:space="preserve"> </w:t>
      </w:r>
      <w:r>
        <w:rPr>
          <w:sz w:val="24"/>
        </w:rPr>
        <w:t>cases</w:t>
      </w:r>
      <w:r>
        <w:rPr>
          <w:spacing w:val="30"/>
          <w:sz w:val="24"/>
        </w:rPr>
        <w:t xml:space="preserve"> </w:t>
      </w:r>
      <w:r>
        <w:rPr>
          <w:sz w:val="24"/>
        </w:rPr>
        <w:t>older</w:t>
      </w:r>
      <w:r>
        <w:rPr>
          <w:spacing w:val="29"/>
          <w:sz w:val="24"/>
        </w:rPr>
        <w:t xml:space="preserve"> </w:t>
      </w:r>
      <w:r>
        <w:rPr>
          <w:sz w:val="24"/>
        </w:rPr>
        <w:t>than</w:t>
      </w:r>
      <w:r>
        <w:rPr>
          <w:spacing w:val="30"/>
          <w:sz w:val="24"/>
        </w:rPr>
        <w:t xml:space="preserve"> </w:t>
      </w:r>
      <w:r>
        <w:rPr>
          <w:sz w:val="24"/>
        </w:rPr>
        <w:t>seven</w:t>
      </w:r>
      <w:r>
        <w:rPr>
          <w:spacing w:val="34"/>
          <w:sz w:val="24"/>
        </w:rPr>
        <w:t xml:space="preserve"> </w:t>
      </w:r>
      <w:r>
        <w:rPr>
          <w:sz w:val="24"/>
        </w:rPr>
        <w:t>years</w:t>
      </w:r>
      <w:r>
        <w:rPr>
          <w:spacing w:val="29"/>
          <w:sz w:val="24"/>
        </w:rPr>
        <w:t xml:space="preserve"> </w:t>
      </w:r>
      <w:r>
        <w:rPr>
          <w:sz w:val="24"/>
        </w:rPr>
        <w:t>from</w:t>
      </w:r>
      <w:r>
        <w:rPr>
          <w:spacing w:val="-57"/>
          <w:sz w:val="24"/>
        </w:rPr>
        <w:t xml:space="preserve"> </w:t>
      </w:r>
      <w:r>
        <w:rPr>
          <w:sz w:val="24"/>
        </w:rPr>
        <w:t>20,282</w:t>
      </w:r>
      <w:r>
        <w:rPr>
          <w:spacing w:val="-1"/>
          <w:sz w:val="24"/>
        </w:rPr>
        <w:t xml:space="preserve"> </w:t>
      </w:r>
      <w:r>
        <w:rPr>
          <w:sz w:val="24"/>
        </w:rPr>
        <w:t>to 13,919 (a</w:t>
      </w:r>
      <w:r>
        <w:rPr>
          <w:spacing w:val="-2"/>
          <w:sz w:val="24"/>
        </w:rPr>
        <w:t xml:space="preserve"> </w:t>
      </w:r>
      <w:r>
        <w:rPr>
          <w:sz w:val="24"/>
        </w:rPr>
        <w:t>reduction of</w:t>
      </w:r>
      <w:r>
        <w:rPr>
          <w:spacing w:val="-1"/>
          <w:sz w:val="24"/>
        </w:rPr>
        <w:t xml:space="preserve"> </w:t>
      </w:r>
      <w:r>
        <w:rPr>
          <w:sz w:val="24"/>
        </w:rPr>
        <w:t>31%).</w:t>
      </w:r>
    </w:p>
    <w:p w:rsidR="00A56FE9" w:rsidRDefault="00000000">
      <w:pPr>
        <w:pStyle w:val="Odlomakpopisa"/>
        <w:numPr>
          <w:ilvl w:val="0"/>
          <w:numId w:val="5"/>
        </w:numPr>
        <w:tabs>
          <w:tab w:val="left" w:pos="498"/>
          <w:tab w:val="left" w:pos="499"/>
        </w:tabs>
        <w:spacing w:line="276" w:lineRule="exact"/>
        <w:ind w:hanging="361"/>
        <w:rPr>
          <w:sz w:val="24"/>
        </w:rPr>
      </w:pPr>
      <w:r>
        <w:rPr>
          <w:sz w:val="24"/>
        </w:rPr>
        <w:t>County</w:t>
      </w:r>
      <w:r>
        <w:rPr>
          <w:spacing w:val="-7"/>
          <w:sz w:val="24"/>
        </w:rPr>
        <w:t xml:space="preserve"> </w:t>
      </w:r>
      <w:r>
        <w:rPr>
          <w:sz w:val="24"/>
        </w:rPr>
        <w:t>courts reduced</w:t>
      </w:r>
      <w:r>
        <w:rPr>
          <w:spacing w:val="-1"/>
          <w:sz w:val="24"/>
        </w:rPr>
        <w:t xml:space="preserve"> </w:t>
      </w:r>
      <w:r>
        <w:rPr>
          <w:sz w:val="24"/>
        </w:rPr>
        <w:t>the</w:t>
      </w:r>
      <w:r>
        <w:rPr>
          <w:spacing w:val="-1"/>
          <w:sz w:val="24"/>
        </w:rPr>
        <w:t xml:space="preserve"> </w:t>
      </w:r>
      <w:r>
        <w:rPr>
          <w:sz w:val="24"/>
        </w:rPr>
        <w:t>number</w:t>
      </w:r>
      <w:r>
        <w:rPr>
          <w:spacing w:val="-2"/>
          <w:sz w:val="24"/>
        </w:rPr>
        <w:t xml:space="preserve"> </w:t>
      </w:r>
      <w:r>
        <w:rPr>
          <w:sz w:val="24"/>
        </w:rPr>
        <w:t>of</w:t>
      </w:r>
      <w:r>
        <w:rPr>
          <w:spacing w:val="-1"/>
          <w:sz w:val="24"/>
        </w:rPr>
        <w:t xml:space="preserve"> </w:t>
      </w:r>
      <w:r>
        <w:rPr>
          <w:sz w:val="24"/>
        </w:rPr>
        <w:t>older ones</w:t>
      </w:r>
      <w:r>
        <w:rPr>
          <w:spacing w:val="-1"/>
          <w:sz w:val="24"/>
        </w:rPr>
        <w:t xml:space="preserve"> </w:t>
      </w:r>
      <w:r>
        <w:rPr>
          <w:sz w:val="24"/>
        </w:rPr>
        <w:t>from 5,585</w:t>
      </w:r>
      <w:r>
        <w:rPr>
          <w:spacing w:val="-1"/>
          <w:sz w:val="24"/>
        </w:rPr>
        <w:t xml:space="preserve"> </w:t>
      </w:r>
      <w:r>
        <w:rPr>
          <w:sz w:val="24"/>
        </w:rPr>
        <w:t>to 3,684 (a</w:t>
      </w:r>
      <w:r>
        <w:rPr>
          <w:spacing w:val="-2"/>
          <w:sz w:val="24"/>
        </w:rPr>
        <w:t xml:space="preserve"> </w:t>
      </w:r>
      <w:r>
        <w:rPr>
          <w:sz w:val="24"/>
        </w:rPr>
        <w:t>reduction of</w:t>
      </w:r>
      <w:r>
        <w:rPr>
          <w:spacing w:val="-2"/>
          <w:sz w:val="24"/>
        </w:rPr>
        <w:t xml:space="preserve"> </w:t>
      </w:r>
      <w:r>
        <w:rPr>
          <w:sz w:val="24"/>
        </w:rPr>
        <w:t>34%).</w:t>
      </w:r>
    </w:p>
    <w:p w:rsidR="00A56FE9" w:rsidRDefault="00000000">
      <w:pPr>
        <w:pStyle w:val="Odlomakpopisa"/>
        <w:numPr>
          <w:ilvl w:val="0"/>
          <w:numId w:val="5"/>
        </w:numPr>
        <w:tabs>
          <w:tab w:val="left" w:pos="498"/>
          <w:tab w:val="left" w:pos="499"/>
        </w:tabs>
        <w:spacing w:before="1"/>
        <w:ind w:hanging="361"/>
        <w:rPr>
          <w:sz w:val="24"/>
        </w:rPr>
      </w:pPr>
      <w:r>
        <w:rPr>
          <w:sz w:val="24"/>
        </w:rPr>
        <w:t>In</w:t>
      </w:r>
      <w:r>
        <w:rPr>
          <w:spacing w:val="1"/>
          <w:sz w:val="24"/>
        </w:rPr>
        <w:t xml:space="preserve"> </w:t>
      </w:r>
      <w:r>
        <w:rPr>
          <w:sz w:val="24"/>
        </w:rPr>
        <w:t>all,</w:t>
      </w:r>
      <w:r>
        <w:rPr>
          <w:spacing w:val="-1"/>
          <w:sz w:val="24"/>
        </w:rPr>
        <w:t xml:space="preserve"> </w:t>
      </w:r>
      <w:r>
        <w:rPr>
          <w:sz w:val="24"/>
        </w:rPr>
        <w:t>they</w:t>
      </w:r>
      <w:r>
        <w:rPr>
          <w:spacing w:val="-3"/>
          <w:sz w:val="24"/>
        </w:rPr>
        <w:t xml:space="preserve"> </w:t>
      </w:r>
      <w:r>
        <w:rPr>
          <w:sz w:val="24"/>
        </w:rPr>
        <w:t>reduced</w:t>
      </w:r>
      <w:r>
        <w:rPr>
          <w:spacing w:val="-1"/>
          <w:sz w:val="24"/>
        </w:rPr>
        <w:t xml:space="preserve"> </w:t>
      </w:r>
      <w:r>
        <w:rPr>
          <w:sz w:val="24"/>
        </w:rPr>
        <w:t>the</w:t>
      </w:r>
      <w:r>
        <w:rPr>
          <w:spacing w:val="-2"/>
          <w:sz w:val="24"/>
        </w:rPr>
        <w:t xml:space="preserve"> </w:t>
      </w:r>
      <w:r>
        <w:rPr>
          <w:sz w:val="24"/>
        </w:rPr>
        <w:t>number</w:t>
      </w:r>
      <w:r>
        <w:rPr>
          <w:spacing w:val="-2"/>
          <w:sz w:val="24"/>
        </w:rPr>
        <w:t xml:space="preserve"> </w:t>
      </w:r>
      <w:r>
        <w:rPr>
          <w:sz w:val="24"/>
        </w:rPr>
        <w:t>of</w:t>
      </w:r>
      <w:r>
        <w:rPr>
          <w:spacing w:val="-1"/>
          <w:sz w:val="24"/>
        </w:rPr>
        <w:t xml:space="preserve"> </w:t>
      </w:r>
      <w:r>
        <w:rPr>
          <w:sz w:val="24"/>
        </w:rPr>
        <w:t>older cases</w:t>
      </w:r>
      <w:r>
        <w:rPr>
          <w:spacing w:val="2"/>
          <w:sz w:val="24"/>
        </w:rPr>
        <w:t xml:space="preserve"> </w:t>
      </w:r>
      <w:r>
        <w:rPr>
          <w:sz w:val="24"/>
        </w:rPr>
        <w:t>from</w:t>
      </w:r>
      <w:r>
        <w:rPr>
          <w:spacing w:val="-1"/>
          <w:sz w:val="24"/>
        </w:rPr>
        <w:t xml:space="preserve"> </w:t>
      </w:r>
      <w:r>
        <w:rPr>
          <w:sz w:val="24"/>
        </w:rPr>
        <w:t>25,867 to</w:t>
      </w:r>
      <w:r>
        <w:rPr>
          <w:spacing w:val="-1"/>
          <w:sz w:val="24"/>
        </w:rPr>
        <w:t xml:space="preserve"> </w:t>
      </w:r>
      <w:r>
        <w:rPr>
          <w:sz w:val="24"/>
        </w:rPr>
        <w:t>17,603</w:t>
      </w:r>
      <w:r>
        <w:rPr>
          <w:spacing w:val="-1"/>
          <w:sz w:val="24"/>
        </w:rPr>
        <w:t xml:space="preserve"> </w:t>
      </w:r>
      <w:r>
        <w:rPr>
          <w:sz w:val="24"/>
        </w:rPr>
        <w:t>(a</w:t>
      </w:r>
      <w:r>
        <w:rPr>
          <w:spacing w:val="-1"/>
          <w:sz w:val="24"/>
        </w:rPr>
        <w:t xml:space="preserve"> </w:t>
      </w:r>
      <w:r>
        <w:rPr>
          <w:sz w:val="24"/>
        </w:rPr>
        <w:t>reduction</w:t>
      </w:r>
      <w:r>
        <w:rPr>
          <w:spacing w:val="-1"/>
          <w:sz w:val="24"/>
        </w:rPr>
        <w:t xml:space="preserve"> </w:t>
      </w:r>
      <w:r>
        <w:rPr>
          <w:sz w:val="24"/>
        </w:rPr>
        <w:t>of</w:t>
      </w:r>
      <w:r>
        <w:rPr>
          <w:spacing w:val="-2"/>
          <w:sz w:val="24"/>
        </w:rPr>
        <w:t xml:space="preserve"> </w:t>
      </w:r>
      <w:r>
        <w:rPr>
          <w:sz w:val="24"/>
        </w:rPr>
        <w:t>32%).</w:t>
      </w:r>
    </w:p>
    <w:p w:rsidR="00A56FE9" w:rsidRDefault="00000000">
      <w:pPr>
        <w:pStyle w:val="Tijeloteksta"/>
        <w:spacing w:before="120" w:line="276" w:lineRule="exact"/>
        <w:jc w:val="left"/>
      </w:pPr>
      <w:r>
        <w:t>Finalising</w:t>
      </w:r>
      <w:r>
        <w:rPr>
          <w:spacing w:val="-4"/>
        </w:rPr>
        <w:t xml:space="preserve"> </w:t>
      </w:r>
      <w:r>
        <w:t>cases</w:t>
      </w:r>
      <w:r>
        <w:rPr>
          <w:spacing w:val="-1"/>
        </w:rPr>
        <w:t xml:space="preserve"> </w:t>
      </w:r>
      <w:r>
        <w:t>in</w:t>
      </w:r>
      <w:r>
        <w:rPr>
          <w:spacing w:val="-1"/>
        </w:rPr>
        <w:t xml:space="preserve"> </w:t>
      </w:r>
      <w:r>
        <w:t>which</w:t>
      </w:r>
      <w:r>
        <w:rPr>
          <w:spacing w:val="1"/>
        </w:rPr>
        <w:t xml:space="preserve"> </w:t>
      </w:r>
      <w:r>
        <w:t>the statutory</w:t>
      </w:r>
      <w:r>
        <w:rPr>
          <w:spacing w:val="-6"/>
        </w:rPr>
        <w:t xml:space="preserve"> </w:t>
      </w:r>
      <w:r>
        <w:t>limitations</w:t>
      </w:r>
      <w:r>
        <w:rPr>
          <w:spacing w:val="-1"/>
        </w:rPr>
        <w:t xml:space="preserve"> </w:t>
      </w:r>
      <w:r>
        <w:t>are</w:t>
      </w:r>
      <w:r>
        <w:rPr>
          <w:spacing w:val="-3"/>
        </w:rPr>
        <w:t xml:space="preserve"> </w:t>
      </w:r>
      <w:r>
        <w:t>approaching:</w:t>
      </w:r>
    </w:p>
    <w:p w:rsidR="00A56FE9" w:rsidRDefault="00000000">
      <w:pPr>
        <w:pStyle w:val="Odlomakpopisa"/>
        <w:numPr>
          <w:ilvl w:val="0"/>
          <w:numId w:val="5"/>
        </w:numPr>
        <w:tabs>
          <w:tab w:val="left" w:pos="499"/>
        </w:tabs>
        <w:ind w:right="275"/>
        <w:jc w:val="both"/>
        <w:rPr>
          <w:sz w:val="24"/>
        </w:rPr>
      </w:pPr>
      <w:r>
        <w:rPr>
          <w:sz w:val="24"/>
        </w:rPr>
        <w:t>Municipal</w:t>
      </w:r>
      <w:r>
        <w:rPr>
          <w:spacing w:val="-1"/>
          <w:sz w:val="24"/>
        </w:rPr>
        <w:t xml:space="preserve"> </w:t>
      </w:r>
      <w:r>
        <w:rPr>
          <w:sz w:val="24"/>
        </w:rPr>
        <w:t>Courts finalised</w:t>
      </w:r>
      <w:r>
        <w:rPr>
          <w:spacing w:val="-1"/>
          <w:sz w:val="24"/>
        </w:rPr>
        <w:t xml:space="preserve"> </w:t>
      </w:r>
      <w:r>
        <w:rPr>
          <w:sz w:val="24"/>
        </w:rPr>
        <w:t>47%</w:t>
      </w:r>
      <w:r>
        <w:rPr>
          <w:spacing w:val="-1"/>
          <w:sz w:val="24"/>
        </w:rPr>
        <w:t xml:space="preserve"> </w:t>
      </w:r>
      <w:r>
        <w:rPr>
          <w:sz w:val="24"/>
        </w:rPr>
        <w:t>(279</w:t>
      </w:r>
      <w:r>
        <w:rPr>
          <w:spacing w:val="-2"/>
          <w:sz w:val="24"/>
        </w:rPr>
        <w:t xml:space="preserve"> </w:t>
      </w:r>
      <w:r>
        <w:rPr>
          <w:sz w:val="24"/>
        </w:rPr>
        <w:t>of 590)</w:t>
      </w:r>
      <w:r>
        <w:rPr>
          <w:spacing w:val="-1"/>
          <w:sz w:val="24"/>
        </w:rPr>
        <w:t xml:space="preserve"> </w:t>
      </w:r>
      <w:r>
        <w:rPr>
          <w:sz w:val="24"/>
        </w:rPr>
        <w:t>cases</w:t>
      </w:r>
      <w:r>
        <w:rPr>
          <w:spacing w:val="2"/>
          <w:sz w:val="24"/>
        </w:rPr>
        <w:t xml:space="preserve"> </w:t>
      </w:r>
      <w:r>
        <w:rPr>
          <w:sz w:val="24"/>
        </w:rPr>
        <w:t>in which</w:t>
      </w:r>
      <w:r>
        <w:rPr>
          <w:spacing w:val="-1"/>
          <w:sz w:val="24"/>
        </w:rPr>
        <w:t xml:space="preserve"> </w:t>
      </w:r>
      <w:r>
        <w:rPr>
          <w:sz w:val="24"/>
        </w:rPr>
        <w:t>the</w:t>
      </w:r>
      <w:r>
        <w:rPr>
          <w:spacing w:val="-1"/>
          <w:sz w:val="24"/>
        </w:rPr>
        <w:t xml:space="preserve"> </w:t>
      </w:r>
      <w:r>
        <w:rPr>
          <w:sz w:val="24"/>
        </w:rPr>
        <w:t>statutory</w:t>
      </w:r>
      <w:r>
        <w:rPr>
          <w:spacing w:val="-9"/>
          <w:sz w:val="24"/>
        </w:rPr>
        <w:t xml:space="preserve"> </w:t>
      </w:r>
      <w:r>
        <w:rPr>
          <w:sz w:val="24"/>
        </w:rPr>
        <w:t>limitation was</w:t>
      </w:r>
      <w:r>
        <w:rPr>
          <w:spacing w:val="-1"/>
          <w:sz w:val="24"/>
        </w:rPr>
        <w:t xml:space="preserve"> </w:t>
      </w:r>
      <w:r>
        <w:rPr>
          <w:sz w:val="24"/>
        </w:rPr>
        <w:t>to</w:t>
      </w:r>
      <w:r>
        <w:rPr>
          <w:spacing w:val="-57"/>
          <w:sz w:val="24"/>
        </w:rPr>
        <w:t xml:space="preserve"> </w:t>
      </w:r>
      <w:r>
        <w:rPr>
          <w:sz w:val="24"/>
        </w:rPr>
        <w:t>occur</w:t>
      </w:r>
      <w:r>
        <w:rPr>
          <w:spacing w:val="-5"/>
          <w:sz w:val="24"/>
        </w:rPr>
        <w:t xml:space="preserve"> </w:t>
      </w:r>
      <w:r>
        <w:rPr>
          <w:sz w:val="24"/>
        </w:rPr>
        <w:t>within</w:t>
      </w:r>
      <w:r>
        <w:rPr>
          <w:spacing w:val="-3"/>
          <w:sz w:val="24"/>
        </w:rPr>
        <w:t xml:space="preserve"> </w:t>
      </w:r>
      <w:r>
        <w:rPr>
          <w:sz w:val="24"/>
        </w:rPr>
        <w:t>three years and</w:t>
      </w:r>
      <w:r>
        <w:rPr>
          <w:spacing w:val="-2"/>
          <w:sz w:val="24"/>
        </w:rPr>
        <w:t xml:space="preserve"> </w:t>
      </w:r>
      <w:r>
        <w:rPr>
          <w:sz w:val="24"/>
        </w:rPr>
        <w:t>57%</w:t>
      </w:r>
      <w:r>
        <w:rPr>
          <w:spacing w:val="-4"/>
          <w:sz w:val="24"/>
        </w:rPr>
        <w:t xml:space="preserve"> </w:t>
      </w:r>
      <w:r>
        <w:rPr>
          <w:sz w:val="24"/>
        </w:rPr>
        <w:t>(93</w:t>
      </w:r>
      <w:r>
        <w:rPr>
          <w:spacing w:val="-5"/>
          <w:sz w:val="24"/>
        </w:rPr>
        <w:t xml:space="preserve"> </w:t>
      </w:r>
      <w:r>
        <w:rPr>
          <w:sz w:val="24"/>
        </w:rPr>
        <w:t>of</w:t>
      </w:r>
      <w:r>
        <w:rPr>
          <w:spacing w:val="-4"/>
          <w:sz w:val="24"/>
        </w:rPr>
        <w:t xml:space="preserve"> </w:t>
      </w:r>
      <w:r>
        <w:rPr>
          <w:sz w:val="24"/>
        </w:rPr>
        <w:t>162)</w:t>
      </w:r>
      <w:r>
        <w:rPr>
          <w:spacing w:val="-1"/>
          <w:sz w:val="24"/>
        </w:rPr>
        <w:t xml:space="preserve"> </w:t>
      </w:r>
      <w:r>
        <w:rPr>
          <w:sz w:val="24"/>
        </w:rPr>
        <w:t>cases</w:t>
      </w:r>
      <w:r>
        <w:rPr>
          <w:spacing w:val="-4"/>
          <w:sz w:val="24"/>
        </w:rPr>
        <w:t xml:space="preserve"> </w:t>
      </w:r>
      <w:r>
        <w:rPr>
          <w:sz w:val="24"/>
        </w:rPr>
        <w:t>in</w:t>
      </w:r>
      <w:r>
        <w:rPr>
          <w:spacing w:val="-2"/>
          <w:sz w:val="24"/>
        </w:rPr>
        <w:t xml:space="preserve"> </w:t>
      </w:r>
      <w:r>
        <w:rPr>
          <w:sz w:val="24"/>
        </w:rPr>
        <w:t>which</w:t>
      </w:r>
      <w:r>
        <w:rPr>
          <w:spacing w:val="-4"/>
          <w:sz w:val="24"/>
        </w:rPr>
        <w:t xml:space="preserve"> </w:t>
      </w:r>
      <w:r>
        <w:rPr>
          <w:sz w:val="24"/>
        </w:rPr>
        <w:t>the</w:t>
      </w:r>
      <w:r>
        <w:rPr>
          <w:spacing w:val="-3"/>
          <w:sz w:val="24"/>
        </w:rPr>
        <w:t xml:space="preserve"> </w:t>
      </w:r>
      <w:r>
        <w:rPr>
          <w:sz w:val="24"/>
        </w:rPr>
        <w:t>statutory</w:t>
      </w:r>
      <w:r>
        <w:rPr>
          <w:spacing w:val="-9"/>
          <w:sz w:val="24"/>
        </w:rPr>
        <w:t xml:space="preserve"> </w:t>
      </w:r>
      <w:r>
        <w:rPr>
          <w:sz w:val="24"/>
        </w:rPr>
        <w:t>limitation</w:t>
      </w:r>
      <w:r>
        <w:rPr>
          <w:spacing w:val="-2"/>
          <w:sz w:val="24"/>
        </w:rPr>
        <w:t xml:space="preserve"> </w:t>
      </w:r>
      <w:r>
        <w:rPr>
          <w:sz w:val="24"/>
        </w:rPr>
        <w:t>was</w:t>
      </w:r>
      <w:r>
        <w:rPr>
          <w:spacing w:val="-4"/>
          <w:sz w:val="24"/>
        </w:rPr>
        <w:t xml:space="preserve"> </w:t>
      </w:r>
      <w:r>
        <w:rPr>
          <w:sz w:val="24"/>
        </w:rPr>
        <w:t>to</w:t>
      </w:r>
      <w:r>
        <w:rPr>
          <w:spacing w:val="-57"/>
          <w:sz w:val="24"/>
        </w:rPr>
        <w:t xml:space="preserve"> </w:t>
      </w:r>
      <w:r>
        <w:rPr>
          <w:sz w:val="24"/>
        </w:rPr>
        <w:t>occur</w:t>
      </w:r>
      <w:r>
        <w:rPr>
          <w:spacing w:val="-1"/>
          <w:sz w:val="24"/>
        </w:rPr>
        <w:t xml:space="preserve"> </w:t>
      </w:r>
      <w:r>
        <w:rPr>
          <w:sz w:val="24"/>
        </w:rPr>
        <w:t>in 2021.</w:t>
      </w:r>
    </w:p>
    <w:p w:rsidR="00A56FE9" w:rsidRDefault="00000000">
      <w:pPr>
        <w:pStyle w:val="Odlomakpopisa"/>
        <w:numPr>
          <w:ilvl w:val="0"/>
          <w:numId w:val="5"/>
        </w:numPr>
        <w:tabs>
          <w:tab w:val="left" w:pos="499"/>
        </w:tabs>
        <w:spacing w:before="1"/>
        <w:ind w:right="277"/>
        <w:jc w:val="both"/>
        <w:rPr>
          <w:sz w:val="24"/>
        </w:rPr>
      </w:pPr>
      <w:r>
        <w:rPr>
          <w:sz w:val="24"/>
        </w:rPr>
        <w:t>County</w:t>
      </w:r>
      <w:r>
        <w:rPr>
          <w:spacing w:val="-13"/>
          <w:sz w:val="24"/>
        </w:rPr>
        <w:t xml:space="preserve"> </w:t>
      </w:r>
      <w:r>
        <w:rPr>
          <w:sz w:val="24"/>
        </w:rPr>
        <w:t>Courts</w:t>
      </w:r>
      <w:r>
        <w:rPr>
          <w:spacing w:val="-5"/>
          <w:sz w:val="24"/>
        </w:rPr>
        <w:t xml:space="preserve"> </w:t>
      </w:r>
      <w:r>
        <w:rPr>
          <w:sz w:val="24"/>
        </w:rPr>
        <w:t>finalised</w:t>
      </w:r>
      <w:r>
        <w:rPr>
          <w:spacing w:val="-4"/>
          <w:sz w:val="24"/>
        </w:rPr>
        <w:t xml:space="preserve"> </w:t>
      </w:r>
      <w:r>
        <w:rPr>
          <w:sz w:val="24"/>
        </w:rPr>
        <w:t>46%</w:t>
      </w:r>
      <w:r>
        <w:rPr>
          <w:spacing w:val="-6"/>
          <w:sz w:val="24"/>
        </w:rPr>
        <w:t xml:space="preserve"> </w:t>
      </w:r>
      <w:r>
        <w:rPr>
          <w:sz w:val="24"/>
        </w:rPr>
        <w:t>(29</w:t>
      </w:r>
      <w:r>
        <w:rPr>
          <w:spacing w:val="-7"/>
          <w:sz w:val="24"/>
        </w:rPr>
        <w:t xml:space="preserve"> </w:t>
      </w:r>
      <w:r>
        <w:rPr>
          <w:sz w:val="24"/>
        </w:rPr>
        <w:t>of</w:t>
      </w:r>
      <w:r>
        <w:rPr>
          <w:spacing w:val="-6"/>
          <w:sz w:val="24"/>
        </w:rPr>
        <w:t xml:space="preserve"> </w:t>
      </w:r>
      <w:r>
        <w:rPr>
          <w:sz w:val="24"/>
        </w:rPr>
        <w:t>63)</w:t>
      </w:r>
      <w:r>
        <w:rPr>
          <w:spacing w:val="-7"/>
          <w:sz w:val="24"/>
        </w:rPr>
        <w:t xml:space="preserve"> </w:t>
      </w:r>
      <w:r>
        <w:rPr>
          <w:sz w:val="24"/>
        </w:rPr>
        <w:t>cases</w:t>
      </w:r>
      <w:r>
        <w:rPr>
          <w:spacing w:val="-5"/>
          <w:sz w:val="24"/>
        </w:rPr>
        <w:t xml:space="preserve"> </w:t>
      </w:r>
      <w:r>
        <w:rPr>
          <w:sz w:val="24"/>
        </w:rPr>
        <w:t>in</w:t>
      </w:r>
      <w:r>
        <w:rPr>
          <w:spacing w:val="-6"/>
          <w:sz w:val="24"/>
        </w:rPr>
        <w:t xml:space="preserve"> </w:t>
      </w:r>
      <w:r>
        <w:rPr>
          <w:sz w:val="24"/>
        </w:rPr>
        <w:t>which</w:t>
      </w:r>
      <w:r>
        <w:rPr>
          <w:spacing w:val="-5"/>
          <w:sz w:val="24"/>
        </w:rPr>
        <w:t xml:space="preserve"> </w:t>
      </w:r>
      <w:r>
        <w:rPr>
          <w:sz w:val="24"/>
        </w:rPr>
        <w:t>the</w:t>
      </w:r>
      <w:r>
        <w:rPr>
          <w:spacing w:val="-7"/>
          <w:sz w:val="24"/>
        </w:rPr>
        <w:t xml:space="preserve"> </w:t>
      </w:r>
      <w:r>
        <w:rPr>
          <w:sz w:val="24"/>
        </w:rPr>
        <w:t>statutory</w:t>
      </w:r>
      <w:r>
        <w:rPr>
          <w:spacing w:val="-10"/>
          <w:sz w:val="24"/>
        </w:rPr>
        <w:t xml:space="preserve"> </w:t>
      </w:r>
      <w:r>
        <w:rPr>
          <w:sz w:val="24"/>
        </w:rPr>
        <w:t>limitation</w:t>
      </w:r>
      <w:r>
        <w:rPr>
          <w:spacing w:val="-6"/>
          <w:sz w:val="24"/>
        </w:rPr>
        <w:t xml:space="preserve"> </w:t>
      </w:r>
      <w:r>
        <w:rPr>
          <w:sz w:val="24"/>
        </w:rPr>
        <w:t>was</w:t>
      </w:r>
      <w:r>
        <w:rPr>
          <w:spacing w:val="-5"/>
          <w:sz w:val="24"/>
        </w:rPr>
        <w:t xml:space="preserve"> </w:t>
      </w:r>
      <w:r>
        <w:rPr>
          <w:sz w:val="24"/>
        </w:rPr>
        <w:t>to</w:t>
      </w:r>
      <w:r>
        <w:rPr>
          <w:spacing w:val="-6"/>
          <w:sz w:val="24"/>
        </w:rPr>
        <w:t xml:space="preserve"> </w:t>
      </w:r>
      <w:r>
        <w:rPr>
          <w:sz w:val="24"/>
        </w:rPr>
        <w:t>occur</w:t>
      </w:r>
      <w:r>
        <w:rPr>
          <w:spacing w:val="-57"/>
          <w:sz w:val="24"/>
        </w:rPr>
        <w:t xml:space="preserve"> </w:t>
      </w:r>
      <w:r>
        <w:rPr>
          <w:sz w:val="24"/>
        </w:rPr>
        <w:t>within</w:t>
      </w:r>
      <w:r>
        <w:rPr>
          <w:spacing w:val="-4"/>
          <w:sz w:val="24"/>
        </w:rPr>
        <w:t xml:space="preserve"> </w:t>
      </w:r>
      <w:r>
        <w:rPr>
          <w:sz w:val="24"/>
        </w:rPr>
        <w:t>three</w:t>
      </w:r>
      <w:r>
        <w:rPr>
          <w:spacing w:val="-1"/>
          <w:sz w:val="24"/>
        </w:rPr>
        <w:t xml:space="preserve"> </w:t>
      </w:r>
      <w:r>
        <w:rPr>
          <w:sz w:val="24"/>
        </w:rPr>
        <w:t>years</w:t>
      </w:r>
      <w:r>
        <w:rPr>
          <w:spacing w:val="-4"/>
          <w:sz w:val="24"/>
        </w:rPr>
        <w:t xml:space="preserve"> </w:t>
      </w:r>
      <w:r>
        <w:rPr>
          <w:sz w:val="24"/>
        </w:rPr>
        <w:t>and</w:t>
      </w:r>
      <w:r>
        <w:rPr>
          <w:spacing w:val="-3"/>
          <w:sz w:val="24"/>
        </w:rPr>
        <w:t xml:space="preserve"> </w:t>
      </w:r>
      <w:r>
        <w:rPr>
          <w:sz w:val="24"/>
        </w:rPr>
        <w:t>35%</w:t>
      </w:r>
      <w:r>
        <w:rPr>
          <w:spacing w:val="-4"/>
          <w:sz w:val="24"/>
        </w:rPr>
        <w:t xml:space="preserve"> </w:t>
      </w:r>
      <w:r>
        <w:rPr>
          <w:sz w:val="24"/>
        </w:rPr>
        <w:t>(7</w:t>
      </w:r>
      <w:r>
        <w:rPr>
          <w:spacing w:val="-5"/>
          <w:sz w:val="24"/>
        </w:rPr>
        <w:t xml:space="preserve"> </w:t>
      </w:r>
      <w:r>
        <w:rPr>
          <w:sz w:val="24"/>
        </w:rPr>
        <w:t>of</w:t>
      </w:r>
      <w:r>
        <w:rPr>
          <w:spacing w:val="-4"/>
          <w:sz w:val="24"/>
        </w:rPr>
        <w:t xml:space="preserve"> </w:t>
      </w:r>
      <w:r>
        <w:rPr>
          <w:sz w:val="24"/>
        </w:rPr>
        <w:t>20) cases</w:t>
      </w:r>
      <w:r>
        <w:rPr>
          <w:spacing w:val="-4"/>
          <w:sz w:val="24"/>
        </w:rPr>
        <w:t xml:space="preserve"> </w:t>
      </w:r>
      <w:r>
        <w:rPr>
          <w:sz w:val="24"/>
        </w:rPr>
        <w:t>in</w:t>
      </w:r>
      <w:r>
        <w:rPr>
          <w:spacing w:val="-2"/>
          <w:sz w:val="24"/>
        </w:rPr>
        <w:t xml:space="preserve"> </w:t>
      </w:r>
      <w:r>
        <w:rPr>
          <w:sz w:val="24"/>
        </w:rPr>
        <w:t>which</w:t>
      </w:r>
      <w:r>
        <w:rPr>
          <w:spacing w:val="-3"/>
          <w:sz w:val="24"/>
        </w:rPr>
        <w:t xml:space="preserve"> </w:t>
      </w:r>
      <w:r>
        <w:rPr>
          <w:sz w:val="24"/>
        </w:rPr>
        <w:t>the</w:t>
      </w:r>
      <w:r>
        <w:rPr>
          <w:spacing w:val="-4"/>
          <w:sz w:val="24"/>
        </w:rPr>
        <w:t xml:space="preserve"> </w:t>
      </w:r>
      <w:r>
        <w:rPr>
          <w:sz w:val="24"/>
        </w:rPr>
        <w:t>statutory</w:t>
      </w:r>
      <w:r>
        <w:rPr>
          <w:spacing w:val="-8"/>
          <w:sz w:val="24"/>
        </w:rPr>
        <w:t xml:space="preserve"> </w:t>
      </w:r>
      <w:r>
        <w:rPr>
          <w:sz w:val="24"/>
        </w:rPr>
        <w:t>limitation</w:t>
      </w:r>
      <w:r>
        <w:rPr>
          <w:spacing w:val="-2"/>
          <w:sz w:val="24"/>
        </w:rPr>
        <w:t xml:space="preserve"> </w:t>
      </w:r>
      <w:r>
        <w:rPr>
          <w:sz w:val="24"/>
        </w:rPr>
        <w:t>was</w:t>
      </w:r>
      <w:r>
        <w:rPr>
          <w:spacing w:val="-4"/>
          <w:sz w:val="24"/>
        </w:rPr>
        <w:t xml:space="preserve"> </w:t>
      </w:r>
      <w:r>
        <w:rPr>
          <w:sz w:val="24"/>
        </w:rPr>
        <w:t>to</w:t>
      </w:r>
      <w:r>
        <w:rPr>
          <w:spacing w:val="-2"/>
          <w:sz w:val="24"/>
        </w:rPr>
        <w:t xml:space="preserve"> </w:t>
      </w:r>
      <w:r>
        <w:rPr>
          <w:sz w:val="24"/>
        </w:rPr>
        <w:t>occur</w:t>
      </w:r>
      <w:r>
        <w:rPr>
          <w:spacing w:val="-5"/>
          <w:sz w:val="24"/>
        </w:rPr>
        <w:t xml:space="preserve"> </w:t>
      </w:r>
      <w:r>
        <w:rPr>
          <w:sz w:val="24"/>
        </w:rPr>
        <w:t>in</w:t>
      </w:r>
      <w:r>
        <w:rPr>
          <w:spacing w:val="-57"/>
          <w:sz w:val="24"/>
        </w:rPr>
        <w:t xml:space="preserve"> </w:t>
      </w:r>
      <w:r>
        <w:rPr>
          <w:sz w:val="24"/>
        </w:rPr>
        <w:t>2021.</w:t>
      </w:r>
    </w:p>
    <w:p w:rsidR="00A56FE9" w:rsidRDefault="00000000">
      <w:pPr>
        <w:pStyle w:val="Odlomakpopisa"/>
        <w:numPr>
          <w:ilvl w:val="0"/>
          <w:numId w:val="5"/>
        </w:numPr>
        <w:tabs>
          <w:tab w:val="left" w:pos="499"/>
        </w:tabs>
        <w:ind w:right="279"/>
        <w:jc w:val="both"/>
        <w:rPr>
          <w:sz w:val="24"/>
        </w:rPr>
      </w:pPr>
      <w:r>
        <w:rPr>
          <w:sz w:val="24"/>
        </w:rPr>
        <w:t>In all, they finalized 47% (308 of 653) cases in which the statutory limitation was to occur</w:t>
      </w:r>
      <w:r>
        <w:rPr>
          <w:spacing w:val="-57"/>
          <w:sz w:val="24"/>
        </w:rPr>
        <w:t xml:space="preserve"> </w:t>
      </w:r>
      <w:r>
        <w:rPr>
          <w:spacing w:val="-1"/>
          <w:sz w:val="24"/>
        </w:rPr>
        <w:t>within</w:t>
      </w:r>
      <w:r>
        <w:rPr>
          <w:spacing w:val="-10"/>
          <w:sz w:val="24"/>
        </w:rPr>
        <w:t xml:space="preserve"> </w:t>
      </w:r>
      <w:r>
        <w:rPr>
          <w:spacing w:val="-1"/>
          <w:sz w:val="24"/>
        </w:rPr>
        <w:t>three</w:t>
      </w:r>
      <w:r>
        <w:rPr>
          <w:spacing w:val="-9"/>
          <w:sz w:val="24"/>
        </w:rPr>
        <w:t xml:space="preserve"> </w:t>
      </w:r>
      <w:r>
        <w:rPr>
          <w:sz w:val="24"/>
        </w:rPr>
        <w:t>years</w:t>
      </w:r>
      <w:r>
        <w:rPr>
          <w:spacing w:val="-11"/>
          <w:sz w:val="24"/>
        </w:rPr>
        <w:t xml:space="preserve"> </w:t>
      </w:r>
      <w:r>
        <w:rPr>
          <w:sz w:val="24"/>
        </w:rPr>
        <w:t>and</w:t>
      </w:r>
      <w:r>
        <w:rPr>
          <w:spacing w:val="-10"/>
          <w:sz w:val="24"/>
        </w:rPr>
        <w:t xml:space="preserve"> </w:t>
      </w:r>
      <w:r>
        <w:rPr>
          <w:sz w:val="24"/>
        </w:rPr>
        <w:t>55%</w:t>
      </w:r>
      <w:r>
        <w:rPr>
          <w:spacing w:val="-11"/>
          <w:sz w:val="24"/>
        </w:rPr>
        <w:t xml:space="preserve"> </w:t>
      </w:r>
      <w:r>
        <w:rPr>
          <w:sz w:val="24"/>
        </w:rPr>
        <w:t>(308</w:t>
      </w:r>
      <w:r>
        <w:rPr>
          <w:spacing w:val="-10"/>
          <w:sz w:val="24"/>
        </w:rPr>
        <w:t xml:space="preserve"> </w:t>
      </w:r>
      <w:r>
        <w:rPr>
          <w:sz w:val="24"/>
        </w:rPr>
        <w:t>of</w:t>
      </w:r>
      <w:r>
        <w:rPr>
          <w:spacing w:val="-11"/>
          <w:sz w:val="24"/>
        </w:rPr>
        <w:t xml:space="preserve"> </w:t>
      </w:r>
      <w:r>
        <w:rPr>
          <w:sz w:val="24"/>
        </w:rPr>
        <w:t>653)</w:t>
      </w:r>
      <w:r>
        <w:rPr>
          <w:spacing w:val="-8"/>
          <w:sz w:val="24"/>
        </w:rPr>
        <w:t xml:space="preserve"> </w:t>
      </w:r>
      <w:r>
        <w:rPr>
          <w:sz w:val="24"/>
        </w:rPr>
        <w:t>cases</w:t>
      </w:r>
      <w:r>
        <w:rPr>
          <w:spacing w:val="-10"/>
          <w:sz w:val="24"/>
        </w:rPr>
        <w:t xml:space="preserve"> </w:t>
      </w:r>
      <w:r>
        <w:rPr>
          <w:sz w:val="24"/>
        </w:rPr>
        <w:t>in</w:t>
      </w:r>
      <w:r>
        <w:rPr>
          <w:spacing w:val="-10"/>
          <w:sz w:val="24"/>
        </w:rPr>
        <w:t xml:space="preserve"> </w:t>
      </w:r>
      <w:r>
        <w:rPr>
          <w:sz w:val="24"/>
        </w:rPr>
        <w:t>which</w:t>
      </w:r>
      <w:r>
        <w:rPr>
          <w:spacing w:val="-11"/>
          <w:sz w:val="24"/>
        </w:rPr>
        <w:t xml:space="preserve"> </w:t>
      </w:r>
      <w:r>
        <w:rPr>
          <w:sz w:val="24"/>
        </w:rPr>
        <w:t>the</w:t>
      </w:r>
      <w:r>
        <w:rPr>
          <w:spacing w:val="-10"/>
          <w:sz w:val="24"/>
        </w:rPr>
        <w:t xml:space="preserve"> </w:t>
      </w:r>
      <w:r>
        <w:rPr>
          <w:sz w:val="24"/>
        </w:rPr>
        <w:t>statutory</w:t>
      </w:r>
      <w:r>
        <w:rPr>
          <w:spacing w:val="-15"/>
          <w:sz w:val="24"/>
        </w:rPr>
        <w:t xml:space="preserve"> </w:t>
      </w:r>
      <w:r>
        <w:rPr>
          <w:sz w:val="24"/>
        </w:rPr>
        <w:t>limitation</w:t>
      </w:r>
      <w:r>
        <w:rPr>
          <w:spacing w:val="-10"/>
          <w:sz w:val="24"/>
        </w:rPr>
        <w:t xml:space="preserve"> </w:t>
      </w:r>
      <w:r>
        <w:rPr>
          <w:sz w:val="24"/>
        </w:rPr>
        <w:t>was</w:t>
      </w:r>
      <w:r>
        <w:rPr>
          <w:spacing w:val="-10"/>
          <w:sz w:val="24"/>
        </w:rPr>
        <w:t xml:space="preserve"> </w:t>
      </w:r>
      <w:r>
        <w:rPr>
          <w:sz w:val="24"/>
        </w:rPr>
        <w:t>to</w:t>
      </w:r>
      <w:r>
        <w:rPr>
          <w:spacing w:val="-10"/>
          <w:sz w:val="24"/>
        </w:rPr>
        <w:t xml:space="preserve"> </w:t>
      </w:r>
      <w:r>
        <w:rPr>
          <w:sz w:val="24"/>
        </w:rPr>
        <w:t>occur</w:t>
      </w:r>
      <w:r>
        <w:rPr>
          <w:spacing w:val="-57"/>
          <w:sz w:val="24"/>
        </w:rPr>
        <w:t xml:space="preserve"> </w:t>
      </w:r>
      <w:r>
        <w:rPr>
          <w:sz w:val="24"/>
        </w:rPr>
        <w:t>in 2021.</w:t>
      </w:r>
    </w:p>
    <w:p w:rsidR="00A56FE9" w:rsidRDefault="00A56FE9">
      <w:pPr>
        <w:pStyle w:val="Tijeloteksta"/>
        <w:spacing w:before="2"/>
        <w:ind w:left="0"/>
        <w:jc w:val="left"/>
        <w:rPr>
          <w:sz w:val="21"/>
        </w:rPr>
      </w:pPr>
    </w:p>
    <w:p w:rsidR="00A56FE9" w:rsidRDefault="00000000">
      <w:pPr>
        <w:pStyle w:val="Naslov5"/>
        <w:spacing w:after="23"/>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503179660"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2143386547" name="Rectangle 223"/>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C021E15" id="Group 222"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">
                <v:rect id="Rectangle 223"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" fillcolor="#2c398a" stroked="f"/>
                <w10:anchorlock/>
              </v:group>
            </w:pict>
          </mc:Fallback>
        </mc:AlternateContent>
      </w:r>
    </w:p>
    <w:p w:rsidR="00A56FE9" w:rsidRDefault="00000000">
      <w:pPr>
        <w:pStyle w:val="Tijeloteksta"/>
        <w:spacing w:before="155"/>
        <w:ind w:right="272"/>
      </w:pPr>
      <w:r>
        <w:t>The priority is the use of the remote hearing protocol and e-Communication outside the civil</w:t>
      </w:r>
      <w:r>
        <w:rPr>
          <w:spacing w:val="1"/>
        </w:rPr>
        <w:t xml:space="preserve"> </w:t>
      </w:r>
      <w:r>
        <w:t>branch</w:t>
      </w:r>
      <w:r>
        <w:rPr>
          <w:spacing w:val="-14"/>
        </w:rPr>
        <w:t xml:space="preserve"> </w:t>
      </w:r>
      <w:r>
        <w:t>of</w:t>
      </w:r>
      <w:r>
        <w:rPr>
          <w:spacing w:val="-14"/>
        </w:rPr>
        <w:t xml:space="preserve"> </w:t>
      </w:r>
      <w:r>
        <w:t>the</w:t>
      </w:r>
      <w:r>
        <w:rPr>
          <w:spacing w:val="-14"/>
        </w:rPr>
        <w:t xml:space="preserve"> </w:t>
      </w:r>
      <w:r>
        <w:t>judiciary,</w:t>
      </w:r>
      <w:r>
        <w:rPr>
          <w:spacing w:val="-14"/>
        </w:rPr>
        <w:t xml:space="preserve"> </w:t>
      </w:r>
      <w:r>
        <w:t>for</w:t>
      </w:r>
      <w:r>
        <w:rPr>
          <w:spacing w:val="-14"/>
        </w:rPr>
        <w:t xml:space="preserve"> </w:t>
      </w:r>
      <w:r>
        <w:t>which</w:t>
      </w:r>
      <w:r>
        <w:rPr>
          <w:spacing w:val="-14"/>
        </w:rPr>
        <w:t xml:space="preserve"> </w:t>
      </w:r>
      <w:r>
        <w:t>a</w:t>
      </w:r>
      <w:r>
        <w:rPr>
          <w:spacing w:val="-14"/>
        </w:rPr>
        <w:t xml:space="preserve"> </w:t>
      </w:r>
      <w:r>
        <w:t>redefined</w:t>
      </w:r>
      <w:r>
        <w:rPr>
          <w:spacing w:val="-13"/>
        </w:rPr>
        <w:t xml:space="preserve"> </w:t>
      </w:r>
      <w:r>
        <w:t>procedural</w:t>
      </w:r>
      <w:r>
        <w:rPr>
          <w:spacing w:val="-14"/>
        </w:rPr>
        <w:t xml:space="preserve"> </w:t>
      </w:r>
      <w:r>
        <w:t>normative</w:t>
      </w:r>
      <w:r>
        <w:rPr>
          <w:spacing w:val="-14"/>
        </w:rPr>
        <w:t xml:space="preserve"> </w:t>
      </w:r>
      <w:r>
        <w:t>framework</w:t>
      </w:r>
      <w:r>
        <w:rPr>
          <w:spacing w:val="-14"/>
        </w:rPr>
        <w:t xml:space="preserve"> </w:t>
      </w:r>
      <w:r>
        <w:t>in</w:t>
      </w:r>
      <w:r>
        <w:rPr>
          <w:spacing w:val="-14"/>
        </w:rPr>
        <w:t xml:space="preserve"> </w:t>
      </w:r>
      <w:r>
        <w:t>criminal</w:t>
      </w:r>
      <w:r>
        <w:rPr>
          <w:spacing w:val="-13"/>
        </w:rPr>
        <w:t xml:space="preserve"> </w:t>
      </w:r>
      <w:r>
        <w:t>trials</w:t>
      </w:r>
      <w:r>
        <w:rPr>
          <w:spacing w:val="-58"/>
        </w:rPr>
        <w:t xml:space="preserve"> </w:t>
      </w:r>
      <w:r>
        <w:t xml:space="preserve">has been prepared. </w:t>
      </w:r>
      <w:r>
        <w:rPr>
          <w:b/>
        </w:rPr>
        <w:t>Reforming the criminal procedure will be based on expanding the use</w:t>
      </w:r>
      <w:r>
        <w:rPr>
          <w:b/>
          <w:spacing w:val="1"/>
        </w:rPr>
        <w:t xml:space="preserve"> </w:t>
      </w:r>
      <w:r>
        <w:rPr>
          <w:b/>
        </w:rPr>
        <w:t>of information and communication technologies</w:t>
      </w:r>
      <w:r>
        <w:t>: sound recording, remote hearings, video-</w:t>
      </w:r>
      <w:r>
        <w:rPr>
          <w:spacing w:val="1"/>
        </w:rPr>
        <w:t xml:space="preserve"> </w:t>
      </w:r>
      <w:r>
        <w:t>links and e-Communication. Amendments to the Criminal Code will create the necessary</w:t>
      </w:r>
      <w:r>
        <w:rPr>
          <w:spacing w:val="1"/>
        </w:rPr>
        <w:t xml:space="preserve"> </w:t>
      </w:r>
      <w:r>
        <w:t>preconditions</w:t>
      </w:r>
      <w:r>
        <w:rPr>
          <w:spacing w:val="-8"/>
        </w:rPr>
        <w:t xml:space="preserve"> </w:t>
      </w:r>
      <w:r>
        <w:t>for</w:t>
      </w:r>
      <w:r>
        <w:rPr>
          <w:spacing w:val="-10"/>
        </w:rPr>
        <w:t xml:space="preserve"> </w:t>
      </w:r>
      <w:r>
        <w:t>the</w:t>
      </w:r>
      <w:r>
        <w:rPr>
          <w:spacing w:val="-9"/>
        </w:rPr>
        <w:t xml:space="preserve"> </w:t>
      </w:r>
      <w:r>
        <w:t>above</w:t>
      </w:r>
      <w:r>
        <w:rPr>
          <w:spacing w:val="-9"/>
        </w:rPr>
        <w:t xml:space="preserve"> </w:t>
      </w:r>
      <w:r>
        <w:t>mentioned,</w:t>
      </w:r>
      <w:r>
        <w:rPr>
          <w:spacing w:val="-9"/>
        </w:rPr>
        <w:t xml:space="preserve"> </w:t>
      </w:r>
      <w:r>
        <w:t>and</w:t>
      </w:r>
      <w:r>
        <w:rPr>
          <w:spacing w:val="-9"/>
        </w:rPr>
        <w:t xml:space="preserve"> </w:t>
      </w:r>
      <w:r>
        <w:t>specific</w:t>
      </w:r>
      <w:r>
        <w:rPr>
          <w:spacing w:val="-10"/>
        </w:rPr>
        <w:t xml:space="preserve"> </w:t>
      </w:r>
      <w:r>
        <w:t>work</w:t>
      </w:r>
      <w:r>
        <w:rPr>
          <w:spacing w:val="-9"/>
        </w:rPr>
        <w:t xml:space="preserve"> </w:t>
      </w:r>
      <w:r>
        <w:t>process</w:t>
      </w:r>
      <w:r>
        <w:rPr>
          <w:spacing w:val="-8"/>
        </w:rPr>
        <w:t xml:space="preserve"> </w:t>
      </w:r>
      <w:r>
        <w:t>and</w:t>
      </w:r>
      <w:r>
        <w:rPr>
          <w:spacing w:val="-9"/>
        </w:rPr>
        <w:t xml:space="preserve"> </w:t>
      </w:r>
      <w:r>
        <w:t>procedural</w:t>
      </w:r>
      <w:r>
        <w:rPr>
          <w:spacing w:val="-8"/>
        </w:rPr>
        <w:t xml:space="preserve"> </w:t>
      </w:r>
      <w:r>
        <w:t>aspects</w:t>
      </w:r>
      <w:r>
        <w:rPr>
          <w:spacing w:val="-8"/>
        </w:rPr>
        <w:t xml:space="preserve"> </w:t>
      </w:r>
      <w:r>
        <w:t>of</w:t>
      </w:r>
      <w:r>
        <w:rPr>
          <w:spacing w:val="-9"/>
        </w:rPr>
        <w:t xml:space="preserve"> </w:t>
      </w:r>
      <w:r>
        <w:t>the</w:t>
      </w:r>
      <w:r>
        <w:rPr>
          <w:spacing w:val="-58"/>
        </w:rPr>
        <w:t xml:space="preserve"> </w:t>
      </w:r>
      <w:r>
        <w:t>use</w:t>
      </w:r>
      <w:r>
        <w:rPr>
          <w:spacing w:val="-5"/>
        </w:rPr>
        <w:t xml:space="preserve"> </w:t>
      </w:r>
      <w:r>
        <w:t>of</w:t>
      </w:r>
      <w:r>
        <w:rPr>
          <w:spacing w:val="-5"/>
        </w:rPr>
        <w:t xml:space="preserve"> </w:t>
      </w:r>
      <w:r>
        <w:t>information</w:t>
      </w:r>
      <w:r>
        <w:rPr>
          <w:spacing w:val="-3"/>
        </w:rPr>
        <w:t xml:space="preserve"> </w:t>
      </w:r>
      <w:r>
        <w:t>and</w:t>
      </w:r>
      <w:r>
        <w:rPr>
          <w:spacing w:val="-4"/>
        </w:rPr>
        <w:t xml:space="preserve"> </w:t>
      </w:r>
      <w:r>
        <w:t>communication</w:t>
      </w:r>
      <w:r>
        <w:rPr>
          <w:spacing w:val="-3"/>
        </w:rPr>
        <w:t xml:space="preserve"> </w:t>
      </w:r>
      <w:r>
        <w:t>technologies</w:t>
      </w:r>
      <w:r>
        <w:rPr>
          <w:spacing w:val="-4"/>
        </w:rPr>
        <w:t xml:space="preserve"> </w:t>
      </w:r>
      <w:r>
        <w:t>will</w:t>
      </w:r>
      <w:r>
        <w:rPr>
          <w:spacing w:val="-3"/>
        </w:rPr>
        <w:t xml:space="preserve"> </w:t>
      </w:r>
      <w:r>
        <w:t>be</w:t>
      </w:r>
      <w:r>
        <w:rPr>
          <w:spacing w:val="-5"/>
        </w:rPr>
        <w:t xml:space="preserve"> </w:t>
      </w:r>
      <w:r>
        <w:t>agreed in</w:t>
      </w:r>
      <w:r>
        <w:rPr>
          <w:spacing w:val="-3"/>
        </w:rPr>
        <w:t xml:space="preserve"> </w:t>
      </w:r>
      <w:r>
        <w:t>more</w:t>
      </w:r>
      <w:r>
        <w:rPr>
          <w:spacing w:val="-2"/>
        </w:rPr>
        <w:t xml:space="preserve"> </w:t>
      </w:r>
      <w:r>
        <w:t>detail</w:t>
      </w:r>
      <w:r>
        <w:rPr>
          <w:spacing w:val="-3"/>
        </w:rPr>
        <w:t xml:space="preserve"> </w:t>
      </w:r>
      <w:r>
        <w:t>with</w:t>
      </w:r>
      <w:r>
        <w:rPr>
          <w:spacing w:val="-3"/>
        </w:rPr>
        <w:t xml:space="preserve"> </w:t>
      </w:r>
      <w:r>
        <w:t>users</w:t>
      </w:r>
      <w:r>
        <w:rPr>
          <w:spacing w:val="-3"/>
        </w:rPr>
        <w:t xml:space="preserve"> </w:t>
      </w:r>
      <w:r>
        <w:t>in</w:t>
      </w:r>
      <w:r>
        <w:rPr>
          <w:spacing w:val="-58"/>
        </w:rPr>
        <w:t xml:space="preserve"> </w:t>
      </w:r>
      <w:r>
        <w:t>the</w:t>
      </w:r>
      <w:r>
        <w:rPr>
          <w:spacing w:val="-1"/>
        </w:rPr>
        <w:t xml:space="preserve"> </w:t>
      </w:r>
      <w:r>
        <w:t>courts.</w:t>
      </w:r>
    </w:p>
    <w:p w:rsidR="00A56FE9" w:rsidRDefault="00000000">
      <w:pPr>
        <w:pStyle w:val="Tijeloteksta"/>
        <w:spacing w:before="120"/>
        <w:ind w:right="272"/>
      </w:pPr>
      <w:r>
        <w:t>The Draft Proposal of the Act on Amendments to the Criminal Code, was subjected to a</w:t>
      </w:r>
      <w:r>
        <w:rPr>
          <w:spacing w:val="1"/>
        </w:rPr>
        <w:t xml:space="preserve"> </w:t>
      </w:r>
      <w:r>
        <w:t>consultation with the interested public and its adoption is planned for Q2/2022. The proposed</w:t>
      </w:r>
      <w:r>
        <w:rPr>
          <w:spacing w:val="1"/>
        </w:rPr>
        <w:t xml:space="preserve"> </w:t>
      </w:r>
      <w:r>
        <w:t>amendments</w:t>
      </w:r>
      <w:r>
        <w:rPr>
          <w:spacing w:val="1"/>
        </w:rPr>
        <w:t xml:space="preserve"> </w:t>
      </w:r>
      <w:r>
        <w:t>introduce</w:t>
      </w:r>
      <w:r>
        <w:rPr>
          <w:spacing w:val="1"/>
        </w:rPr>
        <w:t xml:space="preserve"> </w:t>
      </w:r>
      <w:r>
        <w:t>electronic</w:t>
      </w:r>
      <w:r>
        <w:rPr>
          <w:spacing w:val="1"/>
        </w:rPr>
        <w:t xml:space="preserve"> </w:t>
      </w:r>
      <w:r>
        <w:t>communication</w:t>
      </w:r>
      <w:r>
        <w:rPr>
          <w:spacing w:val="1"/>
        </w:rPr>
        <w:t xml:space="preserve"> </w:t>
      </w:r>
      <w:r>
        <w:t>in</w:t>
      </w:r>
      <w:r>
        <w:rPr>
          <w:spacing w:val="1"/>
        </w:rPr>
        <w:t xml:space="preserve"> </w:t>
      </w:r>
      <w:r>
        <w:t>criminal</w:t>
      </w:r>
      <w:r>
        <w:rPr>
          <w:spacing w:val="1"/>
        </w:rPr>
        <w:t xml:space="preserve"> </w:t>
      </w:r>
      <w:r>
        <w:t>proceedings,</w:t>
      </w:r>
      <w:r>
        <w:rPr>
          <w:spacing w:val="1"/>
        </w:rPr>
        <w:t xml:space="preserve"> </w:t>
      </w:r>
      <w:r>
        <w:t>facilitating</w:t>
      </w:r>
      <w:r>
        <w:rPr>
          <w:spacing w:val="1"/>
        </w:rPr>
        <w:t xml:space="preserve"> </w:t>
      </w:r>
      <w:r>
        <w:t>the</w:t>
      </w:r>
      <w:r>
        <w:rPr>
          <w:spacing w:val="-57"/>
        </w:rPr>
        <w:t xml:space="preserve"> </w:t>
      </w:r>
      <w:r>
        <w:t>sending of documents in electronic form via the information system, which will shorten the</w:t>
      </w:r>
      <w:r>
        <w:rPr>
          <w:spacing w:val="1"/>
        </w:rPr>
        <w:t xml:space="preserve"> </w:t>
      </w:r>
      <w:r>
        <w:rPr>
          <w:spacing w:val="-1"/>
        </w:rPr>
        <w:t>time</w:t>
      </w:r>
      <w:r>
        <w:rPr>
          <w:spacing w:val="-13"/>
        </w:rPr>
        <w:t xml:space="preserve"> </w:t>
      </w:r>
      <w:r>
        <w:rPr>
          <w:spacing w:val="-1"/>
        </w:rPr>
        <w:t>of</w:t>
      </w:r>
      <w:r>
        <w:rPr>
          <w:spacing w:val="-13"/>
        </w:rPr>
        <w:t xml:space="preserve"> </w:t>
      </w:r>
      <w:r>
        <w:rPr>
          <w:spacing w:val="-1"/>
        </w:rPr>
        <w:t>sending</w:t>
      </w:r>
      <w:r>
        <w:rPr>
          <w:spacing w:val="-13"/>
        </w:rPr>
        <w:t xml:space="preserve"> </w:t>
      </w:r>
      <w:r>
        <w:t>submissions</w:t>
      </w:r>
      <w:r>
        <w:rPr>
          <w:spacing w:val="-12"/>
        </w:rPr>
        <w:t xml:space="preserve"> </w:t>
      </w:r>
      <w:r>
        <w:t>to</w:t>
      </w:r>
      <w:r>
        <w:rPr>
          <w:spacing w:val="-12"/>
        </w:rPr>
        <w:t xml:space="preserve"> </w:t>
      </w:r>
      <w:r>
        <w:t>the</w:t>
      </w:r>
      <w:r>
        <w:rPr>
          <w:spacing w:val="-12"/>
        </w:rPr>
        <w:t xml:space="preserve"> </w:t>
      </w:r>
      <w:r>
        <w:t>courts</w:t>
      </w:r>
      <w:r>
        <w:rPr>
          <w:spacing w:val="-12"/>
        </w:rPr>
        <w:t xml:space="preserve"> </w:t>
      </w:r>
      <w:r>
        <w:t>and</w:t>
      </w:r>
      <w:r>
        <w:rPr>
          <w:spacing w:val="-12"/>
        </w:rPr>
        <w:t xml:space="preserve"> </w:t>
      </w:r>
      <w:r>
        <w:t>delivery</w:t>
      </w:r>
      <w:r>
        <w:rPr>
          <w:spacing w:val="-16"/>
        </w:rPr>
        <w:t xml:space="preserve"> </w:t>
      </w:r>
      <w:r>
        <w:t>of</w:t>
      </w:r>
      <w:r>
        <w:rPr>
          <w:spacing w:val="-13"/>
        </w:rPr>
        <w:t xml:space="preserve"> </w:t>
      </w:r>
      <w:r>
        <w:t>court</w:t>
      </w:r>
      <w:r>
        <w:rPr>
          <w:spacing w:val="-12"/>
        </w:rPr>
        <w:t xml:space="preserve"> </w:t>
      </w:r>
      <w:r>
        <w:t>documents,</w:t>
      </w:r>
      <w:r>
        <w:rPr>
          <w:spacing w:val="-10"/>
        </w:rPr>
        <w:t xml:space="preserve"> </w:t>
      </w:r>
      <w:r>
        <w:t>but</w:t>
      </w:r>
      <w:r>
        <w:rPr>
          <w:spacing w:val="-12"/>
        </w:rPr>
        <w:t xml:space="preserve"> </w:t>
      </w:r>
      <w:r>
        <w:t>also</w:t>
      </w:r>
      <w:r>
        <w:rPr>
          <w:spacing w:val="-11"/>
        </w:rPr>
        <w:t xml:space="preserve"> </w:t>
      </w:r>
      <w:r>
        <w:t>reduce</w:t>
      </w:r>
      <w:r>
        <w:rPr>
          <w:spacing w:val="-11"/>
        </w:rPr>
        <w:t xml:space="preserve"> </w:t>
      </w:r>
      <w:r>
        <w:t>costs</w:t>
      </w:r>
      <w:r>
        <w:rPr>
          <w:spacing w:val="-58"/>
        </w:rPr>
        <w:t xml:space="preserve"> </w:t>
      </w:r>
      <w:r>
        <w:t>and</w:t>
      </w:r>
      <w:r>
        <w:rPr>
          <w:spacing w:val="-4"/>
        </w:rPr>
        <w:t xml:space="preserve"> </w:t>
      </w:r>
      <w:r>
        <w:t>facilitate</w:t>
      </w:r>
      <w:r>
        <w:rPr>
          <w:spacing w:val="-3"/>
        </w:rPr>
        <w:t xml:space="preserve"> </w:t>
      </w:r>
      <w:r>
        <w:t>communication</w:t>
      </w:r>
      <w:r>
        <w:rPr>
          <w:spacing w:val="-4"/>
        </w:rPr>
        <w:t xml:space="preserve"> </w:t>
      </w:r>
      <w:r>
        <w:t>with</w:t>
      </w:r>
      <w:r>
        <w:rPr>
          <w:spacing w:val="-2"/>
        </w:rPr>
        <w:t xml:space="preserve"> </w:t>
      </w:r>
      <w:r>
        <w:t>the</w:t>
      </w:r>
      <w:r>
        <w:rPr>
          <w:spacing w:val="-3"/>
        </w:rPr>
        <w:t xml:space="preserve"> </w:t>
      </w:r>
      <w:r>
        <w:t>courts.</w:t>
      </w:r>
      <w:r>
        <w:rPr>
          <w:spacing w:val="-1"/>
        </w:rPr>
        <w:t xml:space="preserve"> </w:t>
      </w:r>
      <w:r>
        <w:t>It will</w:t>
      </w:r>
      <w:r>
        <w:rPr>
          <w:spacing w:val="-3"/>
        </w:rPr>
        <w:t xml:space="preserve"> </w:t>
      </w:r>
      <w:r>
        <w:t>also</w:t>
      </w:r>
      <w:r>
        <w:rPr>
          <w:spacing w:val="-2"/>
        </w:rPr>
        <w:t xml:space="preserve"> </w:t>
      </w:r>
      <w:r>
        <w:t>shorten</w:t>
      </w:r>
      <w:r>
        <w:rPr>
          <w:spacing w:val="-4"/>
        </w:rPr>
        <w:t xml:space="preserve"> </w:t>
      </w:r>
      <w:r>
        <w:t>the</w:t>
      </w:r>
      <w:r>
        <w:rPr>
          <w:spacing w:val="-3"/>
        </w:rPr>
        <w:t xml:space="preserve"> </w:t>
      </w:r>
      <w:r>
        <w:t>duration</w:t>
      </w:r>
      <w:r>
        <w:rPr>
          <w:spacing w:val="-3"/>
        </w:rPr>
        <w:t xml:space="preserve"> </w:t>
      </w:r>
      <w:r>
        <w:t>of</w:t>
      </w:r>
      <w:r>
        <w:rPr>
          <w:spacing w:val="-5"/>
        </w:rPr>
        <w:t xml:space="preserve"> </w:t>
      </w:r>
      <w:r>
        <w:t>the</w:t>
      </w:r>
      <w:r>
        <w:rPr>
          <w:spacing w:val="-3"/>
        </w:rPr>
        <w:t xml:space="preserve"> </w:t>
      </w:r>
      <w:r>
        <w:t>hearing</w:t>
      </w:r>
      <w:r>
        <w:rPr>
          <w:spacing w:val="-5"/>
        </w:rPr>
        <w:t xml:space="preserve"> </w:t>
      </w:r>
      <w:r>
        <w:t>by</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t>extending the possibility of audio recordings to all criminal proceedings in the coming period,</w:t>
      </w:r>
      <w:r>
        <w:rPr>
          <w:spacing w:val="-57"/>
        </w:rPr>
        <w:t xml:space="preserve"> </w:t>
      </w:r>
      <w:r>
        <w:t>upon</w:t>
      </w:r>
      <w:r>
        <w:rPr>
          <w:spacing w:val="-8"/>
        </w:rPr>
        <w:t xml:space="preserve"> </w:t>
      </w:r>
      <w:r>
        <w:t>fulfilling</w:t>
      </w:r>
      <w:r>
        <w:rPr>
          <w:spacing w:val="-10"/>
        </w:rPr>
        <w:t xml:space="preserve"> </w:t>
      </w:r>
      <w:r>
        <w:t>the</w:t>
      </w:r>
      <w:r>
        <w:rPr>
          <w:spacing w:val="-9"/>
        </w:rPr>
        <w:t xml:space="preserve"> </w:t>
      </w:r>
      <w:r>
        <w:t>technical</w:t>
      </w:r>
      <w:r>
        <w:rPr>
          <w:spacing w:val="-7"/>
        </w:rPr>
        <w:t xml:space="preserve"> </w:t>
      </w:r>
      <w:r>
        <w:t>preconditions</w:t>
      </w:r>
      <w:r>
        <w:rPr>
          <w:spacing w:val="-7"/>
        </w:rPr>
        <w:t xml:space="preserve"> </w:t>
      </w:r>
      <w:r>
        <w:t>in</w:t>
      </w:r>
      <w:r>
        <w:rPr>
          <w:spacing w:val="-7"/>
        </w:rPr>
        <w:t xml:space="preserve"> </w:t>
      </w:r>
      <w:r>
        <w:t>the</w:t>
      </w:r>
      <w:r>
        <w:rPr>
          <w:spacing w:val="-6"/>
        </w:rPr>
        <w:t xml:space="preserve"> </w:t>
      </w:r>
      <w:r>
        <w:t>courts</w:t>
      </w:r>
      <w:r>
        <w:rPr>
          <w:spacing w:val="-5"/>
        </w:rPr>
        <w:t xml:space="preserve"> </w:t>
      </w:r>
      <w:r>
        <w:t>and</w:t>
      </w:r>
      <w:r>
        <w:rPr>
          <w:spacing w:val="-8"/>
        </w:rPr>
        <w:t xml:space="preserve"> </w:t>
      </w:r>
      <w:r>
        <w:t>making</w:t>
      </w:r>
      <w:r>
        <w:rPr>
          <w:spacing w:val="-8"/>
        </w:rPr>
        <w:t xml:space="preserve"> </w:t>
      </w:r>
      <w:r>
        <w:t>it</w:t>
      </w:r>
      <w:r>
        <w:rPr>
          <w:spacing w:val="-6"/>
        </w:rPr>
        <w:t xml:space="preserve"> </w:t>
      </w:r>
      <w:r>
        <w:t>easier</w:t>
      </w:r>
      <w:r>
        <w:rPr>
          <w:spacing w:val="-6"/>
        </w:rPr>
        <w:t xml:space="preserve"> </w:t>
      </w:r>
      <w:r>
        <w:t>for</w:t>
      </w:r>
      <w:r>
        <w:rPr>
          <w:spacing w:val="-9"/>
        </w:rPr>
        <w:t xml:space="preserve"> </w:t>
      </w:r>
      <w:r>
        <w:t>the</w:t>
      </w:r>
      <w:r>
        <w:rPr>
          <w:spacing w:val="-7"/>
        </w:rPr>
        <w:t xml:space="preserve"> </w:t>
      </w:r>
      <w:r>
        <w:t>participants</w:t>
      </w:r>
      <w:r>
        <w:rPr>
          <w:spacing w:val="-57"/>
        </w:rPr>
        <w:t xml:space="preserve"> </w:t>
      </w:r>
      <w:r>
        <w:t>of</w:t>
      </w:r>
      <w:r>
        <w:rPr>
          <w:spacing w:val="1"/>
        </w:rPr>
        <w:t xml:space="preserve"> </w:t>
      </w:r>
      <w:r>
        <w:t>the</w:t>
      </w:r>
      <w:r>
        <w:rPr>
          <w:spacing w:val="1"/>
        </w:rPr>
        <w:t xml:space="preserve"> </w:t>
      </w:r>
      <w:r>
        <w:t>proceedings</w:t>
      </w:r>
      <w:r>
        <w:rPr>
          <w:spacing w:val="1"/>
        </w:rPr>
        <w:t xml:space="preserve"> </w:t>
      </w:r>
      <w:r>
        <w:t>to</w:t>
      </w:r>
      <w:r>
        <w:rPr>
          <w:spacing w:val="1"/>
        </w:rPr>
        <w:t xml:space="preserve"> </w:t>
      </w:r>
      <w:r>
        <w:t>monitor</w:t>
      </w:r>
      <w:r>
        <w:rPr>
          <w:spacing w:val="1"/>
        </w:rPr>
        <w:t xml:space="preserve"> </w:t>
      </w:r>
      <w:r>
        <w:t>its</w:t>
      </w:r>
      <w:r>
        <w:rPr>
          <w:spacing w:val="1"/>
        </w:rPr>
        <w:t xml:space="preserve"> </w:t>
      </w:r>
      <w:r>
        <w:t>course.</w:t>
      </w:r>
      <w:r>
        <w:rPr>
          <w:spacing w:val="1"/>
        </w:rPr>
        <w:t xml:space="preserve"> </w:t>
      </w:r>
      <w:r>
        <w:t>These</w:t>
      </w:r>
      <w:r>
        <w:rPr>
          <w:spacing w:val="1"/>
        </w:rPr>
        <w:t xml:space="preserve"> </w:t>
      </w:r>
      <w:r>
        <w:t>amendments</w:t>
      </w:r>
      <w:r>
        <w:rPr>
          <w:spacing w:val="1"/>
        </w:rPr>
        <w:t xml:space="preserve"> </w:t>
      </w:r>
      <w:r>
        <w:t>further</w:t>
      </w:r>
      <w:r>
        <w:rPr>
          <w:spacing w:val="1"/>
        </w:rPr>
        <w:t xml:space="preserve"> </w:t>
      </w:r>
      <w:r>
        <w:t>expand</w:t>
      </w:r>
      <w:r>
        <w:rPr>
          <w:spacing w:val="1"/>
        </w:rPr>
        <w:t xml:space="preserve"> </w:t>
      </w:r>
      <w:r>
        <w:t>the</w:t>
      </w:r>
      <w:r>
        <w:rPr>
          <w:spacing w:val="1"/>
        </w:rPr>
        <w:t xml:space="preserve"> </w:t>
      </w:r>
      <w:r>
        <w:t>use</w:t>
      </w:r>
      <w:r>
        <w:rPr>
          <w:spacing w:val="1"/>
        </w:rPr>
        <w:t xml:space="preserve"> </w:t>
      </w:r>
      <w:r>
        <w:t>of</w:t>
      </w:r>
      <w:r>
        <w:rPr>
          <w:spacing w:val="1"/>
        </w:rPr>
        <w:t xml:space="preserve"> </w:t>
      </w:r>
      <w:r>
        <w:t>audiovisual links in criminal proceedings, providing the opportunity of ensuring the presence</w:t>
      </w:r>
      <w:r>
        <w:rPr>
          <w:spacing w:val="1"/>
        </w:rPr>
        <w:t xml:space="preserve"> </w:t>
      </w:r>
      <w:r>
        <w:t>of parties at the session of the indictment panel and at the preparatory hearing via audiovisual</w:t>
      </w:r>
      <w:r>
        <w:rPr>
          <w:spacing w:val="1"/>
        </w:rPr>
        <w:t xml:space="preserve"> </w:t>
      </w:r>
      <w:r>
        <w:t>links.</w:t>
      </w:r>
    </w:p>
    <w:p w:rsidR="00A56FE9" w:rsidRDefault="00000000">
      <w:pPr>
        <w:pStyle w:val="Tijeloteksta"/>
        <w:spacing w:before="121"/>
        <w:ind w:right="273"/>
      </w:pPr>
      <w:r>
        <w:rPr>
          <w:spacing w:val="-1"/>
        </w:rPr>
        <w:t>In</w:t>
      </w:r>
      <w:r>
        <w:rPr>
          <w:spacing w:val="-15"/>
        </w:rPr>
        <w:t xml:space="preserve"> </w:t>
      </w:r>
      <w:r>
        <w:rPr>
          <w:spacing w:val="-1"/>
        </w:rPr>
        <w:t>2022,</w:t>
      </w:r>
      <w:r>
        <w:rPr>
          <w:spacing w:val="-15"/>
        </w:rPr>
        <w:t xml:space="preserve"> </w:t>
      </w:r>
      <w:r>
        <w:rPr>
          <w:spacing w:val="-1"/>
        </w:rPr>
        <w:t>tender</w:t>
      </w:r>
      <w:r>
        <w:rPr>
          <w:spacing w:val="-15"/>
        </w:rPr>
        <w:t xml:space="preserve"> </w:t>
      </w:r>
      <w:r>
        <w:rPr>
          <w:spacing w:val="-1"/>
        </w:rPr>
        <w:t>documents</w:t>
      </w:r>
      <w:r>
        <w:rPr>
          <w:spacing w:val="-15"/>
        </w:rPr>
        <w:t xml:space="preserve"> </w:t>
      </w:r>
      <w:r>
        <w:t>will</w:t>
      </w:r>
      <w:r>
        <w:rPr>
          <w:spacing w:val="-13"/>
        </w:rPr>
        <w:t xml:space="preserve"> </w:t>
      </w:r>
      <w:r>
        <w:t>be</w:t>
      </w:r>
      <w:r>
        <w:rPr>
          <w:spacing w:val="-14"/>
        </w:rPr>
        <w:t xml:space="preserve"> </w:t>
      </w:r>
      <w:r>
        <w:t>prepared,</w:t>
      </w:r>
      <w:r>
        <w:rPr>
          <w:spacing w:val="-11"/>
        </w:rPr>
        <w:t xml:space="preserve"> </w:t>
      </w:r>
      <w:r>
        <w:t>and</w:t>
      </w:r>
      <w:r>
        <w:rPr>
          <w:spacing w:val="-15"/>
        </w:rPr>
        <w:t xml:space="preserve"> </w:t>
      </w:r>
      <w:r>
        <w:t>a</w:t>
      </w:r>
      <w:r>
        <w:rPr>
          <w:spacing w:val="-15"/>
        </w:rPr>
        <w:t xml:space="preserve"> </w:t>
      </w:r>
      <w:r>
        <w:t>procurement</w:t>
      </w:r>
      <w:r>
        <w:rPr>
          <w:spacing w:val="-14"/>
        </w:rPr>
        <w:t xml:space="preserve"> </w:t>
      </w:r>
      <w:r>
        <w:t>procedure</w:t>
      </w:r>
      <w:r>
        <w:rPr>
          <w:spacing w:val="-16"/>
        </w:rPr>
        <w:t xml:space="preserve"> </w:t>
      </w:r>
      <w:r>
        <w:t>carried</w:t>
      </w:r>
      <w:r>
        <w:rPr>
          <w:spacing w:val="-15"/>
        </w:rPr>
        <w:t xml:space="preserve"> </w:t>
      </w:r>
      <w:r>
        <w:t>out</w:t>
      </w:r>
      <w:r>
        <w:rPr>
          <w:spacing w:val="-13"/>
        </w:rPr>
        <w:t xml:space="preserve"> </w:t>
      </w:r>
      <w:r>
        <w:t>to</w:t>
      </w:r>
      <w:r>
        <w:rPr>
          <w:spacing w:val="-14"/>
        </w:rPr>
        <w:t xml:space="preserve"> </w:t>
      </w:r>
      <w:r>
        <w:t>upgrade</w:t>
      </w:r>
      <w:r>
        <w:rPr>
          <w:spacing w:val="-57"/>
        </w:rPr>
        <w:t xml:space="preserve"> </w:t>
      </w:r>
      <w:r>
        <w:t>the</w:t>
      </w:r>
      <w:r>
        <w:rPr>
          <w:spacing w:val="-13"/>
        </w:rPr>
        <w:t xml:space="preserve"> </w:t>
      </w:r>
      <w:r>
        <w:t>eCasefile</w:t>
      </w:r>
      <w:r>
        <w:rPr>
          <w:spacing w:val="-13"/>
        </w:rPr>
        <w:t xml:space="preserve"> </w:t>
      </w:r>
      <w:r>
        <w:t>(eSpis)</w:t>
      </w:r>
      <w:r>
        <w:rPr>
          <w:spacing w:val="-13"/>
        </w:rPr>
        <w:t xml:space="preserve"> </w:t>
      </w:r>
      <w:r>
        <w:t>system,</w:t>
      </w:r>
      <w:r>
        <w:rPr>
          <w:spacing w:val="-11"/>
        </w:rPr>
        <w:t xml:space="preserve"> </w:t>
      </w:r>
      <w:r>
        <w:t>ensuring</w:t>
      </w:r>
      <w:r>
        <w:rPr>
          <w:spacing w:val="-14"/>
        </w:rPr>
        <w:t xml:space="preserve"> </w:t>
      </w:r>
      <w:r>
        <w:t>the</w:t>
      </w:r>
      <w:r>
        <w:rPr>
          <w:spacing w:val="-13"/>
        </w:rPr>
        <w:t xml:space="preserve"> </w:t>
      </w:r>
      <w:r>
        <w:t>digitalisation</w:t>
      </w:r>
      <w:r>
        <w:rPr>
          <w:spacing w:val="-12"/>
        </w:rPr>
        <w:t xml:space="preserve"> </w:t>
      </w:r>
      <w:r>
        <w:t>of</w:t>
      </w:r>
      <w:r>
        <w:rPr>
          <w:spacing w:val="-12"/>
        </w:rPr>
        <w:t xml:space="preserve"> </w:t>
      </w:r>
      <w:r>
        <w:t>communication</w:t>
      </w:r>
      <w:r>
        <w:rPr>
          <w:spacing w:val="-12"/>
        </w:rPr>
        <w:t xml:space="preserve"> </w:t>
      </w:r>
      <w:r>
        <w:t>between</w:t>
      </w:r>
      <w:r>
        <w:rPr>
          <w:spacing w:val="-12"/>
        </w:rPr>
        <w:t xml:space="preserve"> </w:t>
      </w:r>
      <w:r>
        <w:t>participants</w:t>
      </w:r>
      <w:r>
        <w:rPr>
          <w:spacing w:val="-57"/>
        </w:rPr>
        <w:t xml:space="preserve"> </w:t>
      </w:r>
      <w:r>
        <w:t>in court proceedings, supporting the courts to work with electronic casefiles and preparing the</w:t>
      </w:r>
      <w:r>
        <w:rPr>
          <w:spacing w:val="-57"/>
        </w:rPr>
        <w:t xml:space="preserve"> </w:t>
      </w:r>
      <w:r>
        <w:t>migration of eCasefile (eSpis) to the State Cloud (SSC) to increase stability and system</w:t>
      </w:r>
      <w:r>
        <w:rPr>
          <w:spacing w:val="1"/>
        </w:rPr>
        <w:t xml:space="preserve"> </w:t>
      </w:r>
      <w:r>
        <w:t>availability.</w:t>
      </w:r>
      <w:r>
        <w:rPr>
          <w:spacing w:val="-5"/>
        </w:rPr>
        <w:t xml:space="preserve"> </w:t>
      </w:r>
      <w:r>
        <w:t>At</w:t>
      </w:r>
      <w:r>
        <w:rPr>
          <w:spacing w:val="-4"/>
        </w:rPr>
        <w:t xml:space="preserve"> </w:t>
      </w:r>
      <w:r>
        <w:t>the</w:t>
      </w:r>
      <w:r>
        <w:rPr>
          <w:spacing w:val="-4"/>
        </w:rPr>
        <w:t xml:space="preserve"> </w:t>
      </w:r>
      <w:r>
        <w:t>same</w:t>
      </w:r>
      <w:r>
        <w:rPr>
          <w:spacing w:val="-1"/>
        </w:rPr>
        <w:t xml:space="preserve"> </w:t>
      </w:r>
      <w:r>
        <w:t>time,</w:t>
      </w:r>
      <w:r>
        <w:rPr>
          <w:spacing w:val="-4"/>
        </w:rPr>
        <w:t xml:space="preserve"> </w:t>
      </w:r>
      <w:r>
        <w:t>the</w:t>
      </w:r>
      <w:r>
        <w:rPr>
          <w:spacing w:val="-4"/>
        </w:rPr>
        <w:t xml:space="preserve"> </w:t>
      </w:r>
      <w:r>
        <w:t>speed</w:t>
      </w:r>
      <w:r>
        <w:rPr>
          <w:spacing w:val="-4"/>
        </w:rPr>
        <w:t xml:space="preserve"> </w:t>
      </w:r>
      <w:r>
        <w:t>of</w:t>
      </w:r>
      <w:r>
        <w:rPr>
          <w:spacing w:val="-5"/>
        </w:rPr>
        <w:t xml:space="preserve"> </w:t>
      </w:r>
      <w:r>
        <w:t>data</w:t>
      </w:r>
      <w:r>
        <w:rPr>
          <w:spacing w:val="-5"/>
        </w:rPr>
        <w:t xml:space="preserve"> </w:t>
      </w:r>
      <w:r>
        <w:t>connections</w:t>
      </w:r>
      <w:r>
        <w:rPr>
          <w:spacing w:val="-4"/>
        </w:rPr>
        <w:t xml:space="preserve"> </w:t>
      </w:r>
      <w:r>
        <w:t>between</w:t>
      </w:r>
      <w:r>
        <w:rPr>
          <w:spacing w:val="-4"/>
        </w:rPr>
        <w:t xml:space="preserve"> </w:t>
      </w:r>
      <w:r>
        <w:t>the</w:t>
      </w:r>
      <w:r>
        <w:rPr>
          <w:spacing w:val="-1"/>
        </w:rPr>
        <w:t xml:space="preserve"> </w:t>
      </w:r>
      <w:r>
        <w:t>courts</w:t>
      </w:r>
      <w:r>
        <w:rPr>
          <w:spacing w:val="-4"/>
        </w:rPr>
        <w:t xml:space="preserve"> </w:t>
      </w:r>
      <w:r>
        <w:t>and</w:t>
      </w:r>
      <w:r>
        <w:rPr>
          <w:spacing w:val="-4"/>
        </w:rPr>
        <w:t xml:space="preserve"> </w:t>
      </w:r>
      <w:r>
        <w:t>the</w:t>
      </w:r>
      <w:r>
        <w:rPr>
          <w:spacing w:val="-4"/>
        </w:rPr>
        <w:t xml:space="preserve"> </w:t>
      </w:r>
      <w:r>
        <w:t>central</w:t>
      </w:r>
      <w:r>
        <w:rPr>
          <w:spacing w:val="-58"/>
        </w:rPr>
        <w:t xml:space="preserve"> </w:t>
      </w:r>
      <w:r>
        <w:t>location</w:t>
      </w:r>
      <w:r>
        <w:rPr>
          <w:spacing w:val="-1"/>
        </w:rPr>
        <w:t xml:space="preserve"> </w:t>
      </w:r>
      <w:r>
        <w:t>of</w:t>
      </w:r>
      <w:r>
        <w:rPr>
          <w:spacing w:val="-1"/>
        </w:rPr>
        <w:t xml:space="preserve"> </w:t>
      </w:r>
      <w:r>
        <w:t>the</w:t>
      </w:r>
      <w:r>
        <w:rPr>
          <w:spacing w:val="-1"/>
        </w:rPr>
        <w:t xml:space="preserve"> </w:t>
      </w:r>
      <w:r>
        <w:t>eCasefile</w:t>
      </w:r>
      <w:r>
        <w:rPr>
          <w:spacing w:val="1"/>
        </w:rPr>
        <w:t xml:space="preserve"> </w:t>
      </w:r>
      <w:r>
        <w:t>(eSpis)</w:t>
      </w:r>
      <w:r>
        <w:rPr>
          <w:spacing w:val="-1"/>
        </w:rPr>
        <w:t xml:space="preserve"> </w:t>
      </w:r>
      <w:r>
        <w:t>system will</w:t>
      </w:r>
      <w:r>
        <w:rPr>
          <w:spacing w:val="1"/>
        </w:rPr>
        <w:t xml:space="preserve"> </w:t>
      </w:r>
      <w:r>
        <w:t>be</w:t>
      </w:r>
      <w:r>
        <w:rPr>
          <w:spacing w:val="-1"/>
        </w:rPr>
        <w:t xml:space="preserve"> </w:t>
      </w:r>
      <w:r>
        <w:t>increased.</w:t>
      </w:r>
    </w:p>
    <w:p w:rsidR="00A56FE9" w:rsidRDefault="00000000">
      <w:pPr>
        <w:pStyle w:val="Tijeloteksta"/>
        <w:spacing w:before="120"/>
        <w:ind w:right="274"/>
      </w:pPr>
      <w:r>
        <w:t>The development of tools for public announcements and searching all court decisions along</w:t>
      </w:r>
      <w:r>
        <w:rPr>
          <w:spacing w:val="1"/>
        </w:rPr>
        <w:t xml:space="preserve"> </w:t>
      </w:r>
      <w:r>
        <w:t>with prior automatic anonymisation will increase the transparency of the judicial system and</w:t>
      </w:r>
      <w:r>
        <w:rPr>
          <w:spacing w:val="1"/>
        </w:rPr>
        <w:t xml:space="preserve"> </w:t>
      </w:r>
      <w:r>
        <w:t>facilitate</w:t>
      </w:r>
      <w:r>
        <w:rPr>
          <w:spacing w:val="1"/>
        </w:rPr>
        <w:t xml:space="preserve"> </w:t>
      </w:r>
      <w:r>
        <w:t>continuous</w:t>
      </w:r>
      <w:r>
        <w:rPr>
          <w:spacing w:val="1"/>
        </w:rPr>
        <w:t xml:space="preserve"> </w:t>
      </w:r>
      <w:r>
        <w:t>access</w:t>
      </w:r>
      <w:r>
        <w:rPr>
          <w:spacing w:val="1"/>
        </w:rPr>
        <w:t xml:space="preserve"> </w:t>
      </w:r>
      <w:r>
        <w:t>to</w:t>
      </w:r>
      <w:r>
        <w:rPr>
          <w:spacing w:val="1"/>
        </w:rPr>
        <w:t xml:space="preserve"> </w:t>
      </w:r>
      <w:r>
        <w:t>information.</w:t>
      </w:r>
      <w:r>
        <w:rPr>
          <w:spacing w:val="1"/>
        </w:rPr>
        <w:t xml:space="preserve"> </w:t>
      </w:r>
      <w:r>
        <w:t>In</w:t>
      </w:r>
      <w:r>
        <w:rPr>
          <w:spacing w:val="1"/>
        </w:rPr>
        <w:t xml:space="preserve"> </w:t>
      </w:r>
      <w:r>
        <w:t>Q2</w:t>
      </w:r>
      <w:r>
        <w:rPr>
          <w:spacing w:val="1"/>
        </w:rPr>
        <w:t xml:space="preserve"> </w:t>
      </w:r>
      <w:r>
        <w:t>and</w:t>
      </w:r>
      <w:r>
        <w:rPr>
          <w:spacing w:val="1"/>
        </w:rPr>
        <w:t xml:space="preserve"> </w:t>
      </w:r>
      <w:r>
        <w:t>Q3/2022,</w:t>
      </w:r>
      <w:r>
        <w:rPr>
          <w:spacing w:val="1"/>
        </w:rPr>
        <w:t xml:space="preserve"> </w:t>
      </w:r>
      <w:r>
        <w:t>activities</w:t>
      </w:r>
      <w:r>
        <w:rPr>
          <w:spacing w:val="1"/>
        </w:rPr>
        <w:t xml:space="preserve"> </w:t>
      </w:r>
      <w:r>
        <w:t>in</w:t>
      </w:r>
      <w:r>
        <w:rPr>
          <w:spacing w:val="1"/>
        </w:rPr>
        <w:t xml:space="preserve"> </w:t>
      </w:r>
      <w:r>
        <w:t>analysing</w:t>
      </w:r>
      <w:r>
        <w:rPr>
          <w:spacing w:val="1"/>
        </w:rPr>
        <w:t xml:space="preserve"> </w:t>
      </w:r>
      <w:r>
        <w:t>requirements be carried out, technical requirements will be defined, as well as defining an</w:t>
      </w:r>
      <w:r>
        <w:rPr>
          <w:spacing w:val="1"/>
        </w:rPr>
        <w:t xml:space="preserve"> </w:t>
      </w:r>
      <w:r>
        <w:t>anonymisation methodology with the aim of preparing tender documentation, and for which a</w:t>
      </w:r>
      <w:r>
        <w:rPr>
          <w:spacing w:val="1"/>
        </w:rPr>
        <w:t xml:space="preserve"> </w:t>
      </w:r>
      <w:r>
        <w:t>public</w:t>
      </w:r>
      <w:r>
        <w:rPr>
          <w:spacing w:val="-2"/>
        </w:rPr>
        <w:t xml:space="preserve"> </w:t>
      </w:r>
      <w:r>
        <w:t>procurement procedure</w:t>
      </w:r>
      <w:r>
        <w:rPr>
          <w:spacing w:val="-2"/>
        </w:rPr>
        <w:t xml:space="preserve"> </w:t>
      </w:r>
      <w:r>
        <w:t>will be</w:t>
      </w:r>
      <w:r>
        <w:rPr>
          <w:spacing w:val="-1"/>
        </w:rPr>
        <w:t xml:space="preserve"> </w:t>
      </w:r>
      <w:r>
        <w:t>carried out</w:t>
      </w:r>
      <w:r>
        <w:rPr>
          <w:spacing w:val="3"/>
        </w:rPr>
        <w:t xml:space="preserve"> </w:t>
      </w:r>
      <w:r>
        <w:t>in Q4/2022.</w:t>
      </w:r>
    </w:p>
    <w:p w:rsidR="00A56FE9" w:rsidRDefault="00000000">
      <w:pPr>
        <w:pStyle w:val="Tijeloteksta"/>
        <w:spacing w:before="120"/>
        <w:ind w:right="277"/>
      </w:pPr>
      <w:r>
        <w:t>In Q1/2022, in cooperation with the presidents of the courts, action plans were developed to</w:t>
      </w:r>
      <w:r>
        <w:rPr>
          <w:spacing w:val="1"/>
        </w:rPr>
        <w:t xml:space="preserve"> </w:t>
      </w:r>
      <w:r>
        <w:t>improve the efficiency of the work of courts for 2022, and upon which new plans will be</w:t>
      </w:r>
      <w:r>
        <w:rPr>
          <w:spacing w:val="1"/>
        </w:rPr>
        <w:t xml:space="preserve"> </w:t>
      </w:r>
      <w:r>
        <w:t>developed</w:t>
      </w:r>
      <w:r>
        <w:rPr>
          <w:spacing w:val="-1"/>
        </w:rPr>
        <w:t xml:space="preserve"> </w:t>
      </w:r>
      <w:r>
        <w:t>for each subsequent</w:t>
      </w:r>
      <w:r>
        <w:rPr>
          <w:spacing w:val="1"/>
        </w:rPr>
        <w:t xml:space="preserve"> </w:t>
      </w:r>
      <w:r>
        <w:t>year,</w:t>
      </w:r>
      <w:r>
        <w:rPr>
          <w:spacing w:val="1"/>
        </w:rPr>
        <w:t xml:space="preserve"> </w:t>
      </w:r>
      <w:r>
        <w:t>while</w:t>
      </w:r>
      <w:r>
        <w:rPr>
          <w:spacing w:val="-1"/>
        </w:rPr>
        <w:t xml:space="preserve"> </w:t>
      </w:r>
      <w:r>
        <w:t>taking</w:t>
      </w:r>
      <w:r>
        <w:rPr>
          <w:spacing w:val="-3"/>
        </w:rPr>
        <w:t xml:space="preserve"> </w:t>
      </w:r>
      <w:r>
        <w:t>into</w:t>
      </w:r>
      <w:r>
        <w:rPr>
          <w:spacing w:val="-1"/>
        </w:rPr>
        <w:t xml:space="preserve"> </w:t>
      </w:r>
      <w:r>
        <w:t>account</w:t>
      </w:r>
      <w:r>
        <w:rPr>
          <w:spacing w:val="1"/>
        </w:rPr>
        <w:t xml:space="preserve"> </w:t>
      </w:r>
      <w:r>
        <w:t>achieved results.</w:t>
      </w:r>
    </w:p>
    <w:p w:rsidR="00A56FE9" w:rsidRDefault="00000000">
      <w:pPr>
        <w:pStyle w:val="Tijeloteksta"/>
        <w:spacing w:before="121"/>
        <w:ind w:right="275"/>
      </w:pPr>
      <w:r>
        <w:t>In the coming period, the system of training the heads of judicial bodies, officials and other</w:t>
      </w:r>
      <w:r>
        <w:rPr>
          <w:spacing w:val="1"/>
        </w:rPr>
        <w:t xml:space="preserve"> </w:t>
      </w:r>
      <w:r>
        <w:t>stakeholders</w:t>
      </w:r>
      <w:r>
        <w:rPr>
          <w:spacing w:val="-14"/>
        </w:rPr>
        <w:t xml:space="preserve"> </w:t>
      </w:r>
      <w:r>
        <w:t>in</w:t>
      </w:r>
      <w:r>
        <w:rPr>
          <w:spacing w:val="-14"/>
        </w:rPr>
        <w:t xml:space="preserve"> </w:t>
      </w:r>
      <w:r>
        <w:t>court</w:t>
      </w:r>
      <w:r>
        <w:rPr>
          <w:spacing w:val="-14"/>
        </w:rPr>
        <w:t xml:space="preserve"> </w:t>
      </w:r>
      <w:r>
        <w:t>proceedings</w:t>
      </w:r>
      <w:r>
        <w:rPr>
          <w:spacing w:val="-14"/>
        </w:rPr>
        <w:t xml:space="preserve"> </w:t>
      </w:r>
      <w:r>
        <w:t>will</w:t>
      </w:r>
      <w:r>
        <w:rPr>
          <w:spacing w:val="-14"/>
        </w:rPr>
        <w:t xml:space="preserve"> </w:t>
      </w:r>
      <w:r>
        <w:t>continue</w:t>
      </w:r>
      <w:r>
        <w:rPr>
          <w:spacing w:val="-14"/>
        </w:rPr>
        <w:t xml:space="preserve"> </w:t>
      </w:r>
      <w:r>
        <w:t>to</w:t>
      </w:r>
      <w:r>
        <w:rPr>
          <w:spacing w:val="-14"/>
        </w:rPr>
        <w:t xml:space="preserve"> </w:t>
      </w:r>
      <w:r>
        <w:t>be</w:t>
      </w:r>
      <w:r>
        <w:rPr>
          <w:spacing w:val="-14"/>
        </w:rPr>
        <w:t xml:space="preserve"> </w:t>
      </w:r>
      <w:r>
        <w:t>strengthened.</w:t>
      </w:r>
      <w:r>
        <w:rPr>
          <w:spacing w:val="-12"/>
        </w:rPr>
        <w:t xml:space="preserve"> </w:t>
      </w:r>
      <w:r>
        <w:rPr>
          <w:b/>
        </w:rPr>
        <w:t>Six</w:t>
      </w:r>
      <w:r>
        <w:rPr>
          <w:b/>
          <w:spacing w:val="-14"/>
        </w:rPr>
        <w:t xml:space="preserve"> </w:t>
      </w:r>
      <w:r>
        <w:rPr>
          <w:b/>
        </w:rPr>
        <w:t>new</w:t>
      </w:r>
      <w:r>
        <w:rPr>
          <w:b/>
          <w:spacing w:val="-12"/>
        </w:rPr>
        <w:t xml:space="preserve"> </w:t>
      </w:r>
      <w:r>
        <w:rPr>
          <w:b/>
        </w:rPr>
        <w:t>training</w:t>
      </w:r>
      <w:r>
        <w:rPr>
          <w:b/>
          <w:spacing w:val="-14"/>
        </w:rPr>
        <w:t xml:space="preserve"> </w:t>
      </w:r>
      <w:r>
        <w:rPr>
          <w:b/>
        </w:rPr>
        <w:t>programs</w:t>
      </w:r>
      <w:r>
        <w:rPr>
          <w:b/>
          <w:spacing w:val="-58"/>
        </w:rPr>
        <w:t xml:space="preserve"> </w:t>
      </w:r>
      <w:r>
        <w:rPr>
          <w:b/>
        </w:rPr>
        <w:t>will be developed as part of the in-service training program for judicial officials, officers</w:t>
      </w:r>
      <w:r>
        <w:rPr>
          <w:b/>
          <w:spacing w:val="1"/>
        </w:rPr>
        <w:t xml:space="preserve"> </w:t>
      </w:r>
      <w:r>
        <w:rPr>
          <w:b/>
        </w:rPr>
        <w:t>and</w:t>
      </w:r>
      <w:r>
        <w:rPr>
          <w:b/>
          <w:spacing w:val="-13"/>
        </w:rPr>
        <w:t xml:space="preserve"> </w:t>
      </w:r>
      <w:r>
        <w:rPr>
          <w:b/>
        </w:rPr>
        <w:t>employees</w:t>
      </w:r>
      <w:r>
        <w:rPr>
          <w:b/>
          <w:spacing w:val="-13"/>
        </w:rPr>
        <w:t xml:space="preserve"> </w:t>
      </w:r>
      <w:r>
        <w:t>at</w:t>
      </w:r>
      <w:r>
        <w:rPr>
          <w:spacing w:val="-13"/>
        </w:rPr>
        <w:t xml:space="preserve"> </w:t>
      </w:r>
      <w:r>
        <w:t>the</w:t>
      </w:r>
      <w:r>
        <w:rPr>
          <w:spacing w:val="-14"/>
        </w:rPr>
        <w:t xml:space="preserve"> </w:t>
      </w:r>
      <w:r>
        <w:t>Judicial</w:t>
      </w:r>
      <w:r>
        <w:rPr>
          <w:spacing w:val="-13"/>
        </w:rPr>
        <w:t xml:space="preserve"> </w:t>
      </w:r>
      <w:r>
        <w:t>Academy:</w:t>
      </w:r>
      <w:r>
        <w:rPr>
          <w:spacing w:val="-13"/>
        </w:rPr>
        <w:t xml:space="preserve"> </w:t>
      </w:r>
      <w:r>
        <w:t>skills</w:t>
      </w:r>
      <w:r>
        <w:rPr>
          <w:spacing w:val="-14"/>
        </w:rPr>
        <w:t xml:space="preserve"> </w:t>
      </w:r>
      <w:r>
        <w:t>development</w:t>
      </w:r>
      <w:r>
        <w:rPr>
          <w:spacing w:val="-13"/>
        </w:rPr>
        <w:t xml:space="preserve"> </w:t>
      </w:r>
      <w:r>
        <w:t>(leadership</w:t>
      </w:r>
      <w:r>
        <w:rPr>
          <w:spacing w:val="-11"/>
        </w:rPr>
        <w:t xml:space="preserve"> </w:t>
      </w:r>
      <w:r>
        <w:t>and</w:t>
      </w:r>
      <w:r>
        <w:rPr>
          <w:spacing w:val="-11"/>
        </w:rPr>
        <w:t xml:space="preserve"> </w:t>
      </w:r>
      <w:r>
        <w:t>management</w:t>
      </w:r>
      <w:r>
        <w:rPr>
          <w:spacing w:val="-13"/>
        </w:rPr>
        <w:t xml:space="preserve"> </w:t>
      </w:r>
      <w:r>
        <w:t>skills</w:t>
      </w:r>
      <w:r>
        <w:rPr>
          <w:spacing w:val="-58"/>
        </w:rPr>
        <w:t xml:space="preserve"> </w:t>
      </w:r>
      <w:r>
        <w:t>for court presidents, court management for court administration directors and communication</w:t>
      </w:r>
      <w:r>
        <w:rPr>
          <w:spacing w:val="1"/>
        </w:rPr>
        <w:t xml:space="preserve"> </w:t>
      </w:r>
      <w:r>
        <w:t>skills</w:t>
      </w:r>
      <w:r>
        <w:rPr>
          <w:spacing w:val="1"/>
        </w:rPr>
        <w:t xml:space="preserve"> </w:t>
      </w:r>
      <w:r>
        <w:t>for</w:t>
      </w:r>
      <w:r>
        <w:rPr>
          <w:spacing w:val="1"/>
        </w:rPr>
        <w:t xml:space="preserve"> </w:t>
      </w:r>
      <w:r>
        <w:t>officers</w:t>
      </w:r>
      <w:r>
        <w:rPr>
          <w:spacing w:val="1"/>
        </w:rPr>
        <w:t xml:space="preserve"> </w:t>
      </w:r>
      <w:r>
        <w:t>in</w:t>
      </w:r>
      <w:r>
        <w:rPr>
          <w:spacing w:val="1"/>
        </w:rPr>
        <w:t xml:space="preserve"> </w:t>
      </w:r>
      <w:r>
        <w:t>judicial</w:t>
      </w:r>
      <w:r>
        <w:rPr>
          <w:spacing w:val="1"/>
        </w:rPr>
        <w:t xml:space="preserve"> </w:t>
      </w:r>
      <w:r>
        <w:t>bodies</w:t>
      </w:r>
      <w:r>
        <w:rPr>
          <w:spacing w:val="1"/>
        </w:rPr>
        <w:t xml:space="preserve"> </w:t>
      </w:r>
      <w:r>
        <w:t>-</w:t>
      </w:r>
      <w:r>
        <w:rPr>
          <w:spacing w:val="1"/>
        </w:rPr>
        <w:t xml:space="preserve"> </w:t>
      </w:r>
      <w:r>
        <w:t>three</w:t>
      </w:r>
      <w:r>
        <w:rPr>
          <w:spacing w:val="1"/>
        </w:rPr>
        <w:t xml:space="preserve"> </w:t>
      </w:r>
      <w:r>
        <w:t>programs);</w:t>
      </w:r>
      <w:r>
        <w:rPr>
          <w:spacing w:val="1"/>
        </w:rPr>
        <w:t xml:space="preserve"> </w:t>
      </w:r>
      <w:r>
        <w:t>promoting</w:t>
      </w:r>
      <w:r>
        <w:rPr>
          <w:spacing w:val="1"/>
        </w:rPr>
        <w:t xml:space="preserve"> </w:t>
      </w:r>
      <w:r>
        <w:t>the</w:t>
      </w:r>
      <w:r>
        <w:rPr>
          <w:spacing w:val="1"/>
        </w:rPr>
        <w:t xml:space="preserve"> </w:t>
      </w:r>
      <w:r>
        <w:t>rule</w:t>
      </w:r>
      <w:r>
        <w:rPr>
          <w:spacing w:val="1"/>
        </w:rPr>
        <w:t xml:space="preserve"> </w:t>
      </w:r>
      <w:r>
        <w:t>of</w:t>
      </w:r>
      <w:r>
        <w:rPr>
          <w:spacing w:val="1"/>
        </w:rPr>
        <w:t xml:space="preserve"> </w:t>
      </w:r>
      <w:r>
        <w:t>law</w:t>
      </w:r>
      <w:r>
        <w:rPr>
          <w:spacing w:val="1"/>
        </w:rPr>
        <w:t xml:space="preserve"> </w:t>
      </w:r>
      <w:r>
        <w:t>and</w:t>
      </w:r>
      <w:r>
        <w:rPr>
          <w:spacing w:val="1"/>
        </w:rPr>
        <w:t xml:space="preserve"> </w:t>
      </w:r>
      <w:r>
        <w:t>fundamental</w:t>
      </w:r>
      <w:r>
        <w:rPr>
          <w:spacing w:val="1"/>
        </w:rPr>
        <w:t xml:space="preserve"> </w:t>
      </w:r>
      <w:r>
        <w:t>rights</w:t>
      </w:r>
      <w:r>
        <w:rPr>
          <w:spacing w:val="1"/>
        </w:rPr>
        <w:t xml:space="preserve"> </w:t>
      </w:r>
      <w:r>
        <w:t>in</w:t>
      </w:r>
      <w:r>
        <w:rPr>
          <w:spacing w:val="1"/>
        </w:rPr>
        <w:t xml:space="preserve"> </w:t>
      </w:r>
      <w:r>
        <w:t>high-quality</w:t>
      </w:r>
      <w:r>
        <w:rPr>
          <w:spacing w:val="1"/>
        </w:rPr>
        <w:t xml:space="preserve"> </w:t>
      </w:r>
      <w:r>
        <w:t>educational</w:t>
      </w:r>
      <w:r>
        <w:rPr>
          <w:spacing w:val="1"/>
        </w:rPr>
        <w:t xml:space="preserve"> </w:t>
      </w:r>
      <w:r>
        <w:t>courses</w:t>
      </w:r>
      <w:r>
        <w:rPr>
          <w:spacing w:val="1"/>
        </w:rPr>
        <w:t xml:space="preserve"> </w:t>
      </w:r>
      <w:r>
        <w:t>within</w:t>
      </w:r>
      <w:r>
        <w:rPr>
          <w:spacing w:val="1"/>
        </w:rPr>
        <w:t xml:space="preserve"> </w:t>
      </w:r>
      <w:r>
        <w:t>the</w:t>
      </w:r>
      <w:r>
        <w:rPr>
          <w:spacing w:val="1"/>
        </w:rPr>
        <w:t xml:space="preserve"> </w:t>
      </w:r>
      <w:r>
        <w:t>Croatian</w:t>
      </w:r>
      <w:r>
        <w:rPr>
          <w:spacing w:val="1"/>
        </w:rPr>
        <w:t xml:space="preserve"> </w:t>
      </w:r>
      <w:r>
        <w:t>judiciary;</w:t>
      </w:r>
      <w:r>
        <w:rPr>
          <w:spacing w:val="1"/>
        </w:rPr>
        <w:t xml:space="preserve"> </w:t>
      </w:r>
      <w:r>
        <w:t>specialised training programs for judges in bankruptcy proceedings and training judges in the</w:t>
      </w:r>
      <w:r>
        <w:rPr>
          <w:spacing w:val="1"/>
        </w:rPr>
        <w:t xml:space="preserve"> </w:t>
      </w:r>
      <w:r>
        <w:t>field of family</w:t>
      </w:r>
      <w:r>
        <w:rPr>
          <w:spacing w:val="-5"/>
        </w:rPr>
        <w:t xml:space="preserve"> </w:t>
      </w:r>
      <w:r>
        <w:t>law.</w:t>
      </w:r>
    </w:p>
    <w:p w:rsidR="00A56FE9" w:rsidRDefault="00000000">
      <w:pPr>
        <w:pStyle w:val="Tijeloteksta"/>
        <w:spacing w:before="120"/>
        <w:ind w:right="272"/>
      </w:pPr>
      <w:r>
        <w:rPr>
          <w:spacing w:val="-1"/>
        </w:rPr>
        <w:t>Reforms</w:t>
      </w:r>
      <w:r>
        <w:rPr>
          <w:spacing w:val="-10"/>
        </w:rPr>
        <w:t xml:space="preserve"> </w:t>
      </w:r>
      <w:r>
        <w:rPr>
          <w:spacing w:val="-1"/>
        </w:rPr>
        <w:t>in</w:t>
      </w:r>
      <w:r>
        <w:rPr>
          <w:spacing w:val="-9"/>
        </w:rPr>
        <w:t xml:space="preserve"> </w:t>
      </w:r>
      <w:r>
        <w:rPr>
          <w:spacing w:val="-1"/>
        </w:rPr>
        <w:t>civil</w:t>
      </w:r>
      <w:r>
        <w:rPr>
          <w:spacing w:val="-12"/>
        </w:rPr>
        <w:t xml:space="preserve"> </w:t>
      </w:r>
      <w:r>
        <w:rPr>
          <w:spacing w:val="-1"/>
        </w:rPr>
        <w:t>procedure</w:t>
      </w:r>
      <w:r>
        <w:rPr>
          <w:spacing w:val="-10"/>
        </w:rPr>
        <w:t xml:space="preserve"> </w:t>
      </w:r>
      <w:r>
        <w:t>will</w:t>
      </w:r>
      <w:r>
        <w:rPr>
          <w:spacing w:val="-9"/>
        </w:rPr>
        <w:t xml:space="preserve"> </w:t>
      </w:r>
      <w:r>
        <w:t>be</w:t>
      </w:r>
      <w:r>
        <w:rPr>
          <w:spacing w:val="-10"/>
        </w:rPr>
        <w:t xml:space="preserve"> </w:t>
      </w:r>
      <w:r>
        <w:t>implemented</w:t>
      </w:r>
      <w:r>
        <w:rPr>
          <w:spacing w:val="-9"/>
        </w:rPr>
        <w:t xml:space="preserve"> </w:t>
      </w:r>
      <w:r>
        <w:t>by</w:t>
      </w:r>
      <w:r>
        <w:rPr>
          <w:spacing w:val="-15"/>
        </w:rPr>
        <w:t xml:space="preserve"> </w:t>
      </w:r>
      <w:r>
        <w:t>passing</w:t>
      </w:r>
      <w:r>
        <w:rPr>
          <w:spacing w:val="-11"/>
        </w:rPr>
        <w:t xml:space="preserve"> </w:t>
      </w:r>
      <w:r>
        <w:t>the</w:t>
      </w:r>
      <w:r>
        <w:rPr>
          <w:spacing w:val="-8"/>
        </w:rPr>
        <w:t xml:space="preserve"> </w:t>
      </w:r>
      <w:r>
        <w:t>Act</w:t>
      </w:r>
      <w:r>
        <w:rPr>
          <w:spacing w:val="-9"/>
        </w:rPr>
        <w:t xml:space="preserve"> </w:t>
      </w:r>
      <w:r>
        <w:t>on</w:t>
      </w:r>
      <w:r>
        <w:rPr>
          <w:spacing w:val="-10"/>
        </w:rPr>
        <w:t xml:space="preserve"> </w:t>
      </w:r>
      <w:r>
        <w:t>Amendments</w:t>
      </w:r>
      <w:r>
        <w:rPr>
          <w:spacing w:val="-9"/>
        </w:rPr>
        <w:t xml:space="preserve"> </w:t>
      </w:r>
      <w:r>
        <w:t>to</w:t>
      </w:r>
      <w:r>
        <w:rPr>
          <w:spacing w:val="-12"/>
        </w:rPr>
        <w:t xml:space="preserve"> </w:t>
      </w:r>
      <w:r>
        <w:t>the</w:t>
      </w:r>
      <w:r>
        <w:rPr>
          <w:spacing w:val="-10"/>
        </w:rPr>
        <w:t xml:space="preserve"> </w:t>
      </w:r>
      <w:r>
        <w:t>Civil</w:t>
      </w:r>
      <w:r>
        <w:rPr>
          <w:spacing w:val="-58"/>
        </w:rPr>
        <w:t xml:space="preserve"> </w:t>
      </w:r>
      <w:r>
        <w:t>Procedure Act. The draft proposal for the Act on Amendments to the Civil Procedure Act is</w:t>
      </w:r>
      <w:r>
        <w:rPr>
          <w:spacing w:val="1"/>
        </w:rPr>
        <w:t xml:space="preserve"> </w:t>
      </w:r>
      <w:r>
        <w:t>currently</w:t>
      </w:r>
      <w:r>
        <w:rPr>
          <w:spacing w:val="1"/>
        </w:rPr>
        <w:t xml:space="preserve"> </w:t>
      </w:r>
      <w:r>
        <w:t>in</w:t>
      </w:r>
      <w:r>
        <w:rPr>
          <w:spacing w:val="1"/>
        </w:rPr>
        <w:t xml:space="preserve"> </w:t>
      </w:r>
      <w:r>
        <w:t>the</w:t>
      </w:r>
      <w:r>
        <w:rPr>
          <w:spacing w:val="1"/>
        </w:rPr>
        <w:t xml:space="preserve"> </w:t>
      </w:r>
      <w:r>
        <w:t>parliamentary procedure</w:t>
      </w:r>
      <w:r>
        <w:rPr>
          <w:spacing w:val="1"/>
        </w:rPr>
        <w:t xml:space="preserve"> </w:t>
      </w:r>
      <w:r>
        <w:t>(1st</w:t>
      </w:r>
      <w:r>
        <w:rPr>
          <w:spacing w:val="1"/>
        </w:rPr>
        <w:t xml:space="preserve"> </w:t>
      </w:r>
      <w:r>
        <w:t>reading).</w:t>
      </w:r>
      <w:r>
        <w:rPr>
          <w:spacing w:val="1"/>
        </w:rPr>
        <w:t xml:space="preserve"> </w:t>
      </w:r>
      <w:r>
        <w:t>The</w:t>
      </w:r>
      <w:r>
        <w:rPr>
          <w:spacing w:val="1"/>
        </w:rPr>
        <w:t xml:space="preserve"> </w:t>
      </w:r>
      <w:r>
        <w:t>proposed</w:t>
      </w:r>
      <w:r>
        <w:rPr>
          <w:spacing w:val="1"/>
        </w:rPr>
        <w:t xml:space="preserve"> </w:t>
      </w:r>
      <w:r>
        <w:t>amendments</w:t>
      </w:r>
      <w:r>
        <w:rPr>
          <w:spacing w:val="1"/>
        </w:rPr>
        <w:t xml:space="preserve"> </w:t>
      </w:r>
      <w:r>
        <w:t>entail</w:t>
      </w:r>
      <w:r>
        <w:rPr>
          <w:spacing w:val="1"/>
        </w:rPr>
        <w:t xml:space="preserve"> </w:t>
      </w:r>
      <w:r>
        <w:t>supplementing the provisions on holding remote hearings, the introduction of audio recording</w:t>
      </w:r>
      <w:r>
        <w:rPr>
          <w:spacing w:val="1"/>
        </w:rPr>
        <w:t xml:space="preserve"> </w:t>
      </w:r>
      <w:r>
        <w:t>of</w:t>
      </w:r>
      <w:r>
        <w:rPr>
          <w:spacing w:val="1"/>
        </w:rPr>
        <w:t xml:space="preserve"> </w:t>
      </w:r>
      <w:r>
        <w:t>hearings,</w:t>
      </w:r>
      <w:r>
        <w:rPr>
          <w:spacing w:val="1"/>
        </w:rPr>
        <w:t xml:space="preserve"> </w:t>
      </w:r>
      <w:r>
        <w:t>regulating</w:t>
      </w:r>
      <w:r>
        <w:rPr>
          <w:spacing w:val="1"/>
        </w:rPr>
        <w:t xml:space="preserve"> </w:t>
      </w:r>
      <w:r>
        <w:t>the</w:t>
      </w:r>
      <w:r>
        <w:rPr>
          <w:spacing w:val="1"/>
        </w:rPr>
        <w:t xml:space="preserve"> </w:t>
      </w:r>
      <w:r>
        <w:t>small-claims</w:t>
      </w:r>
      <w:r>
        <w:rPr>
          <w:spacing w:val="1"/>
        </w:rPr>
        <w:t xml:space="preserve"> </w:t>
      </w:r>
      <w:r>
        <w:t>dispute</w:t>
      </w:r>
      <w:r>
        <w:rPr>
          <w:spacing w:val="1"/>
        </w:rPr>
        <w:t xml:space="preserve"> </w:t>
      </w:r>
      <w:r>
        <w:t>procedure</w:t>
      </w:r>
      <w:r>
        <w:rPr>
          <w:spacing w:val="1"/>
        </w:rPr>
        <w:t xml:space="preserve"> </w:t>
      </w:r>
      <w:r>
        <w:t>regarding</w:t>
      </w:r>
      <w:r>
        <w:rPr>
          <w:spacing w:val="1"/>
        </w:rPr>
        <w:t xml:space="preserve"> </w:t>
      </w:r>
      <w:r>
        <w:t>objections</w:t>
      </w:r>
      <w:r>
        <w:rPr>
          <w:spacing w:val="1"/>
        </w:rPr>
        <w:t xml:space="preserve"> </w:t>
      </w:r>
      <w:r>
        <w:t>against</w:t>
      </w:r>
      <w:r>
        <w:rPr>
          <w:spacing w:val="1"/>
        </w:rPr>
        <w:t xml:space="preserve"> </w:t>
      </w:r>
      <w:r>
        <w:t>payment orders as in the rule of the written procedure, signing the deadlines for finalising</w:t>
      </w:r>
      <w:r>
        <w:rPr>
          <w:spacing w:val="1"/>
        </w:rPr>
        <w:t xml:space="preserve"> </w:t>
      </w:r>
      <w:r>
        <w:t>proceedings at particular instances of court proceedings, expanding the circle of obligated</w:t>
      </w:r>
      <w:r>
        <w:rPr>
          <w:spacing w:val="1"/>
        </w:rPr>
        <w:t xml:space="preserve"> </w:t>
      </w:r>
      <w:r>
        <w:t>stakeholders</w:t>
      </w:r>
      <w:r>
        <w:rPr>
          <w:spacing w:val="-8"/>
        </w:rPr>
        <w:t xml:space="preserve"> </w:t>
      </w:r>
      <w:r>
        <w:t>in</w:t>
      </w:r>
      <w:r>
        <w:rPr>
          <w:spacing w:val="-8"/>
        </w:rPr>
        <w:t xml:space="preserve"> </w:t>
      </w:r>
      <w:r>
        <w:t>e-Communication,</w:t>
      </w:r>
      <w:r>
        <w:rPr>
          <w:spacing w:val="-9"/>
        </w:rPr>
        <w:t xml:space="preserve"> </w:t>
      </w:r>
      <w:r>
        <w:t>and</w:t>
      </w:r>
      <w:r>
        <w:rPr>
          <w:spacing w:val="-9"/>
        </w:rPr>
        <w:t xml:space="preserve"> </w:t>
      </w:r>
      <w:r>
        <w:t>the</w:t>
      </w:r>
      <w:r>
        <w:rPr>
          <w:spacing w:val="-9"/>
        </w:rPr>
        <w:t xml:space="preserve"> </w:t>
      </w:r>
      <w:r>
        <w:t>introduction</w:t>
      </w:r>
      <w:r>
        <w:rPr>
          <w:spacing w:val="-9"/>
        </w:rPr>
        <w:t xml:space="preserve"> </w:t>
      </w:r>
      <w:r>
        <w:t>of</w:t>
      </w:r>
      <w:r>
        <w:rPr>
          <w:spacing w:val="-9"/>
        </w:rPr>
        <w:t xml:space="preserve"> </w:t>
      </w:r>
      <w:r>
        <w:t>the</w:t>
      </w:r>
      <w:r>
        <w:rPr>
          <w:spacing w:val="-8"/>
        </w:rPr>
        <w:t xml:space="preserve"> </w:t>
      </w:r>
      <w:r>
        <w:t>proceedings</w:t>
      </w:r>
      <w:r>
        <w:rPr>
          <w:spacing w:val="-8"/>
        </w:rPr>
        <w:t xml:space="preserve"> </w:t>
      </w:r>
      <w:r>
        <w:t>management</w:t>
      </w:r>
      <w:r>
        <w:rPr>
          <w:spacing w:val="-9"/>
        </w:rPr>
        <w:t xml:space="preserve"> </w:t>
      </w:r>
      <w:r>
        <w:t>plan</w:t>
      </w:r>
      <w:r>
        <w:rPr>
          <w:spacing w:val="-9"/>
        </w:rPr>
        <w:t xml:space="preserve"> </w:t>
      </w:r>
      <w:r>
        <w:t>as</w:t>
      </w:r>
      <w:r>
        <w:rPr>
          <w:spacing w:val="-58"/>
        </w:rPr>
        <w:t xml:space="preserve"> </w:t>
      </w:r>
      <w:r>
        <w:t>well</w:t>
      </w:r>
      <w:r>
        <w:rPr>
          <w:spacing w:val="1"/>
        </w:rPr>
        <w:t xml:space="preserve"> </w:t>
      </w:r>
      <w:r>
        <w:t>as</w:t>
      </w:r>
      <w:r>
        <w:rPr>
          <w:spacing w:val="1"/>
        </w:rPr>
        <w:t xml:space="preserve"> </w:t>
      </w:r>
      <w:r>
        <w:t>redefining</w:t>
      </w:r>
      <w:r>
        <w:rPr>
          <w:spacing w:val="1"/>
        </w:rPr>
        <w:t xml:space="preserve"> </w:t>
      </w:r>
      <w:r>
        <w:t>the</w:t>
      </w:r>
      <w:r>
        <w:rPr>
          <w:spacing w:val="1"/>
        </w:rPr>
        <w:t xml:space="preserve"> </w:t>
      </w:r>
      <w:r>
        <w:t>provisions</w:t>
      </w:r>
      <w:r>
        <w:rPr>
          <w:spacing w:val="1"/>
        </w:rPr>
        <w:t xml:space="preserve"> </w:t>
      </w:r>
      <w:r>
        <w:t>of</w:t>
      </w:r>
      <w:r>
        <w:rPr>
          <w:spacing w:val="1"/>
        </w:rPr>
        <w:t xml:space="preserve"> </w:t>
      </w:r>
      <w:r>
        <w:t>the</w:t>
      </w:r>
      <w:r>
        <w:rPr>
          <w:spacing w:val="1"/>
        </w:rPr>
        <w:t xml:space="preserve"> </w:t>
      </w:r>
      <w:r>
        <w:t>audit</w:t>
      </w:r>
      <w:r>
        <w:rPr>
          <w:spacing w:val="1"/>
        </w:rPr>
        <w:t xml:space="preserve"> </w:t>
      </w:r>
      <w:r>
        <w:t>and</w:t>
      </w:r>
      <w:r>
        <w:rPr>
          <w:spacing w:val="1"/>
        </w:rPr>
        <w:t xml:space="preserve"> </w:t>
      </w:r>
      <w:r>
        <w:t>model</w:t>
      </w:r>
      <w:r>
        <w:rPr>
          <w:spacing w:val="1"/>
        </w:rPr>
        <w:t xml:space="preserve"> </w:t>
      </w:r>
      <w:r>
        <w:t>proceedings.</w:t>
      </w:r>
      <w:r>
        <w:rPr>
          <w:spacing w:val="1"/>
        </w:rPr>
        <w:t xml:space="preserve"> </w:t>
      </w:r>
      <w:r>
        <w:t>Regarding</w:t>
      </w:r>
      <w:r>
        <w:rPr>
          <w:spacing w:val="1"/>
        </w:rPr>
        <w:t xml:space="preserve"> </w:t>
      </w:r>
      <w:r>
        <w:t>the</w:t>
      </w:r>
      <w:r>
        <w:rPr>
          <w:spacing w:val="1"/>
        </w:rPr>
        <w:t xml:space="preserve"> </w:t>
      </w:r>
      <w:r>
        <w:t>harmonisation of regulations with the EU legal order, the reason for the amendments is to</w:t>
      </w:r>
      <w:r>
        <w:rPr>
          <w:spacing w:val="1"/>
        </w:rPr>
        <w:t xml:space="preserve"> </w:t>
      </w:r>
      <w:r>
        <w:t>amend the implementation provisions for the section of the Civil Procedure Act regulating</w:t>
      </w:r>
      <w:r>
        <w:rPr>
          <w:spacing w:val="1"/>
        </w:rPr>
        <w:t xml:space="preserve"> </w:t>
      </w:r>
      <w:r>
        <w:t>European civil proceedings regarding cross-border delivery of documents and presentation of</w:t>
      </w:r>
      <w:r>
        <w:rPr>
          <w:spacing w:val="1"/>
        </w:rPr>
        <w:t xml:space="preserve"> </w:t>
      </w:r>
      <w:r>
        <w:t>evidence. Accordingly, this ensures the implementation of the new regulations amending the</w:t>
      </w:r>
      <w:r>
        <w:rPr>
          <w:spacing w:val="1"/>
        </w:rPr>
        <w:t xml:space="preserve"> </w:t>
      </w:r>
      <w:r>
        <w:t>previous</w:t>
      </w:r>
      <w:r>
        <w:rPr>
          <w:spacing w:val="-1"/>
        </w:rPr>
        <w:t xml:space="preserve"> </w:t>
      </w:r>
      <w:r>
        <w:t>ones.</w:t>
      </w:r>
    </w:p>
    <w:p w:rsidR="00A56FE9" w:rsidRDefault="00000000">
      <w:pPr>
        <w:pStyle w:val="Tijeloteksta"/>
        <w:spacing w:before="119"/>
        <w:ind w:right="275"/>
      </w:pPr>
      <w:r>
        <w:t>Also,</w:t>
      </w:r>
      <w:r>
        <w:rPr>
          <w:spacing w:val="-6"/>
        </w:rPr>
        <w:t xml:space="preserve"> </w:t>
      </w:r>
      <w:r>
        <w:t>the</w:t>
      </w:r>
      <w:r>
        <w:rPr>
          <w:spacing w:val="-6"/>
        </w:rPr>
        <w:t xml:space="preserve"> </w:t>
      </w:r>
      <w:r>
        <w:t>reforming</w:t>
      </w:r>
      <w:r>
        <w:rPr>
          <w:spacing w:val="-7"/>
        </w:rPr>
        <w:t xml:space="preserve"> </w:t>
      </w:r>
      <w:r>
        <w:t>and</w:t>
      </w:r>
      <w:r>
        <w:rPr>
          <w:spacing w:val="-6"/>
        </w:rPr>
        <w:t xml:space="preserve"> </w:t>
      </w:r>
      <w:r>
        <w:t>strengthening</w:t>
      </w:r>
      <w:r>
        <w:rPr>
          <w:spacing w:val="-6"/>
        </w:rPr>
        <w:t xml:space="preserve"> </w:t>
      </w:r>
      <w:r>
        <w:t>of</w:t>
      </w:r>
      <w:r>
        <w:rPr>
          <w:spacing w:val="-6"/>
        </w:rPr>
        <w:t xml:space="preserve"> </w:t>
      </w:r>
      <w:r>
        <w:t>the</w:t>
      </w:r>
      <w:r>
        <w:rPr>
          <w:spacing w:val="-7"/>
        </w:rPr>
        <w:t xml:space="preserve"> </w:t>
      </w:r>
      <w:r>
        <w:t>conciliation</w:t>
      </w:r>
      <w:r>
        <w:rPr>
          <w:spacing w:val="-5"/>
        </w:rPr>
        <w:t xml:space="preserve"> </w:t>
      </w:r>
      <w:r>
        <w:t>process</w:t>
      </w:r>
      <w:r>
        <w:rPr>
          <w:spacing w:val="-4"/>
        </w:rPr>
        <w:t xml:space="preserve"> </w:t>
      </w:r>
      <w:r>
        <w:t>will</w:t>
      </w:r>
      <w:r>
        <w:rPr>
          <w:spacing w:val="-6"/>
        </w:rPr>
        <w:t xml:space="preserve"> </w:t>
      </w:r>
      <w:r>
        <w:t>be</w:t>
      </w:r>
      <w:r>
        <w:rPr>
          <w:spacing w:val="-6"/>
        </w:rPr>
        <w:t xml:space="preserve"> </w:t>
      </w:r>
      <w:r>
        <w:t>carried</w:t>
      </w:r>
      <w:r>
        <w:rPr>
          <w:spacing w:val="-5"/>
        </w:rPr>
        <w:t xml:space="preserve"> </w:t>
      </w:r>
      <w:r>
        <w:t>out</w:t>
      </w:r>
      <w:r>
        <w:rPr>
          <w:spacing w:val="-5"/>
        </w:rPr>
        <w:t xml:space="preserve"> </w:t>
      </w:r>
      <w:r>
        <w:t>by</w:t>
      </w:r>
      <w:r>
        <w:rPr>
          <w:spacing w:val="-11"/>
        </w:rPr>
        <w:t xml:space="preserve"> </w:t>
      </w:r>
      <w:r>
        <w:t>passing</w:t>
      </w:r>
      <w:r>
        <w:rPr>
          <w:spacing w:val="-57"/>
        </w:rPr>
        <w:t xml:space="preserve"> </w:t>
      </w:r>
      <w:r>
        <w:t>the</w:t>
      </w:r>
      <w:r>
        <w:rPr>
          <w:spacing w:val="-12"/>
        </w:rPr>
        <w:t xml:space="preserve"> </w:t>
      </w:r>
      <w:r>
        <w:t>Act</w:t>
      </w:r>
      <w:r>
        <w:rPr>
          <w:spacing w:val="-10"/>
        </w:rPr>
        <w:t xml:space="preserve"> </w:t>
      </w:r>
      <w:r>
        <w:t>on</w:t>
      </w:r>
      <w:r>
        <w:rPr>
          <w:spacing w:val="-9"/>
        </w:rPr>
        <w:t xml:space="preserve"> </w:t>
      </w:r>
      <w:r>
        <w:t>Amendments</w:t>
      </w:r>
      <w:r>
        <w:rPr>
          <w:spacing w:val="-10"/>
        </w:rPr>
        <w:t xml:space="preserve"> </w:t>
      </w:r>
      <w:r>
        <w:t>to</w:t>
      </w:r>
      <w:r>
        <w:rPr>
          <w:spacing w:val="-11"/>
        </w:rPr>
        <w:t xml:space="preserve"> </w:t>
      </w:r>
      <w:r>
        <w:t>the</w:t>
      </w:r>
      <w:r>
        <w:rPr>
          <w:spacing w:val="-11"/>
        </w:rPr>
        <w:t xml:space="preserve"> </w:t>
      </w:r>
      <w:r>
        <w:t>Conciliation</w:t>
      </w:r>
      <w:r>
        <w:rPr>
          <w:spacing w:val="-9"/>
        </w:rPr>
        <w:t xml:space="preserve"> </w:t>
      </w:r>
      <w:r>
        <w:t>Act.</w:t>
      </w:r>
      <w:r>
        <w:rPr>
          <w:spacing w:val="-8"/>
        </w:rPr>
        <w:t xml:space="preserve"> </w:t>
      </w:r>
      <w:r>
        <w:t>Working</w:t>
      </w:r>
      <w:r>
        <w:rPr>
          <w:spacing w:val="-9"/>
        </w:rPr>
        <w:t xml:space="preserve"> </w:t>
      </w:r>
      <w:r>
        <w:t>groups</w:t>
      </w:r>
      <w:r>
        <w:rPr>
          <w:spacing w:val="-11"/>
        </w:rPr>
        <w:t xml:space="preserve"> </w:t>
      </w:r>
      <w:r>
        <w:t>have</w:t>
      </w:r>
      <w:r>
        <w:rPr>
          <w:spacing w:val="-12"/>
        </w:rPr>
        <w:t xml:space="preserve"> </w:t>
      </w:r>
      <w:r>
        <w:t>been</w:t>
      </w:r>
      <w:r>
        <w:rPr>
          <w:spacing w:val="-8"/>
        </w:rPr>
        <w:t xml:space="preserve"> </w:t>
      </w:r>
      <w:r>
        <w:t>established</w:t>
      </w:r>
      <w:r>
        <w:rPr>
          <w:spacing w:val="-11"/>
        </w:rPr>
        <w:t xml:space="preserve"> </w:t>
      </w:r>
      <w:r>
        <w:t>to</w:t>
      </w:r>
      <w:r>
        <w:rPr>
          <w:spacing w:val="-10"/>
        </w:rPr>
        <w:t xml:space="preserve"> </w:t>
      </w:r>
      <w:r>
        <w:t>draft</w:t>
      </w:r>
      <w:r>
        <w:rPr>
          <w:spacing w:val="-58"/>
        </w:rPr>
        <w:t xml:space="preserve"> </w:t>
      </w:r>
      <w:r>
        <w:t>the Act on Non-Contentious Civil Procedures</w:t>
      </w:r>
      <w:r>
        <w:rPr>
          <w:spacing w:val="1"/>
        </w:rPr>
        <w:t xml:space="preserve"> </w:t>
      </w:r>
      <w:r>
        <w:t>and the Draft Act on</w:t>
      </w:r>
      <w:r>
        <w:rPr>
          <w:spacing w:val="1"/>
        </w:rPr>
        <w:t xml:space="preserve"> </w:t>
      </w:r>
      <w:r>
        <w:t>Amendments to the</w:t>
      </w:r>
      <w:r>
        <w:rPr>
          <w:spacing w:val="1"/>
        </w:rPr>
        <w:t xml:space="preserve"> </w:t>
      </w:r>
      <w:r>
        <w:t>Conciliation Act, where</w:t>
      </w:r>
      <w:r>
        <w:rPr>
          <w:spacing w:val="-2"/>
        </w:rPr>
        <w:t xml:space="preserve"> </w:t>
      </w:r>
      <w:r>
        <w:t>several working</w:t>
      </w:r>
      <w:r>
        <w:rPr>
          <w:spacing w:val="-1"/>
        </w:rPr>
        <w:t xml:space="preserve"> </w:t>
      </w:r>
      <w:r>
        <w:t>group</w:t>
      </w:r>
      <w:r>
        <w:rPr>
          <w:spacing w:val="-1"/>
        </w:rPr>
        <w:t xml:space="preserve"> </w:t>
      </w:r>
      <w:r>
        <w:t>meetings</w:t>
      </w:r>
      <w:r>
        <w:rPr>
          <w:spacing w:val="-1"/>
        </w:rPr>
        <w:t xml:space="preserve"> </w:t>
      </w:r>
      <w:r>
        <w:t>having</w:t>
      </w:r>
      <w:r>
        <w:rPr>
          <w:spacing w:val="-3"/>
        </w:rPr>
        <w:t xml:space="preserve"> </w:t>
      </w:r>
      <w:r>
        <w:t>already</w:t>
      </w:r>
      <w:r>
        <w:rPr>
          <w:spacing w:val="-5"/>
        </w:rPr>
        <w:t xml:space="preserve"> </w:t>
      </w:r>
      <w:r>
        <w:t>been</w:t>
      </w:r>
      <w:r>
        <w:rPr>
          <w:spacing w:val="1"/>
        </w:rPr>
        <w:t xml:space="preserve"> </w:t>
      </w:r>
      <w:r>
        <w:t>held.</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2"/>
      </w:pPr>
      <w:r>
        <w:t>Furthermore,</w:t>
      </w:r>
      <w:r>
        <w:rPr>
          <w:spacing w:val="-8"/>
        </w:rPr>
        <w:t xml:space="preserve"> </w:t>
      </w:r>
      <w:r>
        <w:t>reform</w:t>
      </w:r>
      <w:r>
        <w:rPr>
          <w:spacing w:val="-7"/>
        </w:rPr>
        <w:t xml:space="preserve"> </w:t>
      </w:r>
      <w:r>
        <w:t>of</w:t>
      </w:r>
      <w:r>
        <w:rPr>
          <w:spacing w:val="-8"/>
        </w:rPr>
        <w:t xml:space="preserve"> </w:t>
      </w:r>
      <w:r>
        <w:t>the</w:t>
      </w:r>
      <w:r>
        <w:rPr>
          <w:spacing w:val="-9"/>
        </w:rPr>
        <w:t xml:space="preserve"> </w:t>
      </w:r>
      <w:r>
        <w:t>land</w:t>
      </w:r>
      <w:r>
        <w:rPr>
          <w:spacing w:val="-8"/>
        </w:rPr>
        <w:t xml:space="preserve"> </w:t>
      </w:r>
      <w:r>
        <w:t>registry</w:t>
      </w:r>
      <w:r>
        <w:rPr>
          <w:spacing w:val="-10"/>
        </w:rPr>
        <w:t xml:space="preserve"> </w:t>
      </w:r>
      <w:r>
        <w:t>procedure</w:t>
      </w:r>
      <w:r>
        <w:rPr>
          <w:spacing w:val="-9"/>
        </w:rPr>
        <w:t xml:space="preserve"> </w:t>
      </w:r>
      <w:r>
        <w:t>will</w:t>
      </w:r>
      <w:r>
        <w:rPr>
          <w:spacing w:val="-7"/>
        </w:rPr>
        <w:t xml:space="preserve"> </w:t>
      </w:r>
      <w:r>
        <w:t>be</w:t>
      </w:r>
      <w:r>
        <w:rPr>
          <w:spacing w:val="-9"/>
        </w:rPr>
        <w:t xml:space="preserve"> </w:t>
      </w:r>
      <w:r>
        <w:t>implemented</w:t>
      </w:r>
      <w:r>
        <w:rPr>
          <w:spacing w:val="-8"/>
        </w:rPr>
        <w:t xml:space="preserve"> </w:t>
      </w:r>
      <w:r>
        <w:t>by</w:t>
      </w:r>
      <w:r>
        <w:rPr>
          <w:spacing w:val="-10"/>
        </w:rPr>
        <w:t xml:space="preserve"> </w:t>
      </w:r>
      <w:r>
        <w:t>adopting</w:t>
      </w:r>
      <w:r>
        <w:rPr>
          <w:spacing w:val="-10"/>
        </w:rPr>
        <w:t xml:space="preserve"> </w:t>
      </w:r>
      <w:r>
        <w:t>the</w:t>
      </w:r>
      <w:r>
        <w:rPr>
          <w:spacing w:val="-5"/>
        </w:rPr>
        <w:t xml:space="preserve"> </w:t>
      </w:r>
      <w:r>
        <w:t>Act</w:t>
      </w:r>
      <w:r>
        <w:rPr>
          <w:spacing w:val="-7"/>
        </w:rPr>
        <w:t xml:space="preserve"> </w:t>
      </w:r>
      <w:r>
        <w:t>on</w:t>
      </w:r>
      <w:r>
        <w:rPr>
          <w:spacing w:val="-57"/>
        </w:rPr>
        <w:t xml:space="preserve"> </w:t>
      </w:r>
      <w:r>
        <w:t>Amendments to the Land Register Act. The draft proposal for the Act on Amendments to the</w:t>
      </w:r>
      <w:r>
        <w:rPr>
          <w:spacing w:val="1"/>
        </w:rPr>
        <w:t xml:space="preserve"> </w:t>
      </w:r>
      <w:r>
        <w:t>Land Register Act was published at the e-Consultations on 17 March 2022. Upon completion</w:t>
      </w:r>
      <w:r>
        <w:rPr>
          <w:spacing w:val="1"/>
        </w:rPr>
        <w:t xml:space="preserve"> </w:t>
      </w:r>
      <w:r>
        <w:rPr>
          <w:spacing w:val="-1"/>
        </w:rPr>
        <w:t>of</w:t>
      </w:r>
      <w:r>
        <w:rPr>
          <w:spacing w:val="-16"/>
        </w:rPr>
        <w:t xml:space="preserve"> </w:t>
      </w:r>
      <w:r>
        <w:rPr>
          <w:spacing w:val="-1"/>
        </w:rPr>
        <w:t>the</w:t>
      </w:r>
      <w:r>
        <w:rPr>
          <w:spacing w:val="-14"/>
        </w:rPr>
        <w:t xml:space="preserve"> </w:t>
      </w:r>
      <w:r>
        <w:rPr>
          <w:spacing w:val="-1"/>
        </w:rPr>
        <w:t>e-Consultation</w:t>
      </w:r>
      <w:r>
        <w:rPr>
          <w:spacing w:val="-14"/>
        </w:rPr>
        <w:t xml:space="preserve"> </w:t>
      </w:r>
      <w:r>
        <w:t>procedure,</w:t>
      </w:r>
      <w:r>
        <w:rPr>
          <w:spacing w:val="-12"/>
        </w:rPr>
        <w:t xml:space="preserve"> </w:t>
      </w:r>
      <w:r>
        <w:t>it</w:t>
      </w:r>
      <w:r>
        <w:rPr>
          <w:spacing w:val="-14"/>
        </w:rPr>
        <w:t xml:space="preserve"> </w:t>
      </w:r>
      <w:r>
        <w:t>will</w:t>
      </w:r>
      <w:r>
        <w:rPr>
          <w:spacing w:val="-13"/>
        </w:rPr>
        <w:t xml:space="preserve"> </w:t>
      </w:r>
      <w:r>
        <w:t>be</w:t>
      </w:r>
      <w:r>
        <w:rPr>
          <w:spacing w:val="-15"/>
        </w:rPr>
        <w:t xml:space="preserve"> </w:t>
      </w:r>
      <w:r>
        <w:t>sent</w:t>
      </w:r>
      <w:r>
        <w:rPr>
          <w:spacing w:val="-14"/>
        </w:rPr>
        <w:t xml:space="preserve"> </w:t>
      </w:r>
      <w:r>
        <w:t>to</w:t>
      </w:r>
      <w:r>
        <w:rPr>
          <w:spacing w:val="-13"/>
        </w:rPr>
        <w:t xml:space="preserve"> </w:t>
      </w:r>
      <w:r>
        <w:t>the</w:t>
      </w:r>
      <w:r>
        <w:rPr>
          <w:spacing w:val="-15"/>
        </w:rPr>
        <w:t xml:space="preserve"> </w:t>
      </w:r>
      <w:r>
        <w:t>Government.</w:t>
      </w:r>
      <w:r>
        <w:rPr>
          <w:spacing w:val="-13"/>
        </w:rPr>
        <w:t xml:space="preserve"> </w:t>
      </w:r>
      <w:r>
        <w:t>The</w:t>
      </w:r>
      <w:r>
        <w:rPr>
          <w:spacing w:val="-16"/>
        </w:rPr>
        <w:t xml:space="preserve"> </w:t>
      </w:r>
      <w:r>
        <w:t>draft</w:t>
      </w:r>
      <w:r>
        <w:rPr>
          <w:spacing w:val="-12"/>
        </w:rPr>
        <w:t xml:space="preserve"> </w:t>
      </w:r>
      <w:r>
        <w:t>bill</w:t>
      </w:r>
      <w:r>
        <w:rPr>
          <w:spacing w:val="-13"/>
        </w:rPr>
        <w:t xml:space="preserve"> </w:t>
      </w:r>
      <w:r>
        <w:t>on</w:t>
      </w:r>
      <w:r>
        <w:rPr>
          <w:spacing w:val="-15"/>
        </w:rPr>
        <w:t xml:space="preserve"> </w:t>
      </w:r>
      <w:r>
        <w:t>amendments</w:t>
      </w:r>
      <w:r>
        <w:rPr>
          <w:spacing w:val="-57"/>
        </w:rPr>
        <w:t xml:space="preserve"> </w:t>
      </w:r>
      <w:r>
        <w:t>to the Land Register Act establishes a normative, technological and organisational framework</w:t>
      </w:r>
      <w:r>
        <w:rPr>
          <w:spacing w:val="1"/>
        </w:rPr>
        <w:t xml:space="preserve"> </w:t>
      </w:r>
      <w:r>
        <w:t>facilitating continued digitisation of land registers and speeding up the process of establishing</w:t>
      </w:r>
      <w:r>
        <w:rPr>
          <w:spacing w:val="1"/>
        </w:rPr>
        <w:t xml:space="preserve"> </w:t>
      </w:r>
      <w:r>
        <w:rPr>
          <w:spacing w:val="-1"/>
        </w:rPr>
        <w:t>and</w:t>
      </w:r>
      <w:r>
        <w:rPr>
          <w:spacing w:val="-12"/>
        </w:rPr>
        <w:t xml:space="preserve"> </w:t>
      </w:r>
      <w:r>
        <w:rPr>
          <w:spacing w:val="-1"/>
        </w:rPr>
        <w:t>renewing</w:t>
      </w:r>
      <w:r>
        <w:rPr>
          <w:spacing w:val="-15"/>
        </w:rPr>
        <w:t xml:space="preserve"> </w:t>
      </w:r>
      <w:r>
        <w:rPr>
          <w:spacing w:val="-1"/>
        </w:rPr>
        <w:t>land</w:t>
      </w:r>
      <w:r>
        <w:rPr>
          <w:spacing w:val="-13"/>
        </w:rPr>
        <w:t xml:space="preserve"> </w:t>
      </w:r>
      <w:r>
        <w:t>registers.</w:t>
      </w:r>
      <w:r>
        <w:rPr>
          <w:spacing w:val="-11"/>
        </w:rPr>
        <w:t xml:space="preserve"> </w:t>
      </w:r>
      <w:r>
        <w:t>The</w:t>
      </w:r>
      <w:r>
        <w:rPr>
          <w:spacing w:val="-14"/>
        </w:rPr>
        <w:t xml:space="preserve"> </w:t>
      </w:r>
      <w:r>
        <w:t>reform</w:t>
      </w:r>
      <w:r>
        <w:rPr>
          <w:spacing w:val="-12"/>
        </w:rPr>
        <w:t xml:space="preserve"> </w:t>
      </w:r>
      <w:r>
        <w:t>of</w:t>
      </w:r>
      <w:r>
        <w:rPr>
          <w:spacing w:val="-13"/>
        </w:rPr>
        <w:t xml:space="preserve"> </w:t>
      </w:r>
      <w:r>
        <w:t>the</w:t>
      </w:r>
      <w:r>
        <w:rPr>
          <w:spacing w:val="-13"/>
        </w:rPr>
        <w:t xml:space="preserve"> </w:t>
      </w:r>
      <w:r>
        <w:t>land</w:t>
      </w:r>
      <w:r>
        <w:rPr>
          <w:spacing w:val="-12"/>
        </w:rPr>
        <w:t xml:space="preserve"> </w:t>
      </w:r>
      <w:r>
        <w:t>registry</w:t>
      </w:r>
      <w:r>
        <w:rPr>
          <w:spacing w:val="-17"/>
        </w:rPr>
        <w:t xml:space="preserve"> </w:t>
      </w:r>
      <w:r>
        <w:t>procedure</w:t>
      </w:r>
      <w:r>
        <w:rPr>
          <w:spacing w:val="-14"/>
        </w:rPr>
        <w:t xml:space="preserve"> </w:t>
      </w:r>
      <w:r>
        <w:t>is</w:t>
      </w:r>
      <w:r>
        <w:rPr>
          <w:spacing w:val="-12"/>
        </w:rPr>
        <w:t xml:space="preserve"> </w:t>
      </w:r>
      <w:r>
        <w:t>based</w:t>
      </w:r>
      <w:r>
        <w:rPr>
          <w:spacing w:val="-12"/>
        </w:rPr>
        <w:t xml:space="preserve"> </w:t>
      </w:r>
      <w:r>
        <w:t>on</w:t>
      </w:r>
      <w:r>
        <w:rPr>
          <w:spacing w:val="-12"/>
        </w:rPr>
        <w:t xml:space="preserve"> </w:t>
      </w:r>
      <w:r>
        <w:t>the</w:t>
      </w:r>
      <w:r>
        <w:rPr>
          <w:spacing w:val="-10"/>
        </w:rPr>
        <w:t xml:space="preserve"> </w:t>
      </w:r>
      <w:r>
        <w:t>obligation</w:t>
      </w:r>
      <w:r>
        <w:rPr>
          <w:spacing w:val="-57"/>
        </w:rPr>
        <w:t xml:space="preserve"> </w:t>
      </w:r>
      <w:r>
        <w:t>to perform registration in the land register and exclusive electronic processing in the land</w:t>
      </w:r>
      <w:r>
        <w:rPr>
          <w:spacing w:val="1"/>
        </w:rPr>
        <w:t xml:space="preserve"> </w:t>
      </w:r>
      <w:r>
        <w:t>register, and additionally, currently involved in the establishment and renewal procedure are</w:t>
      </w:r>
      <w:r>
        <w:rPr>
          <w:spacing w:val="1"/>
        </w:rPr>
        <w:t xml:space="preserve"> </w:t>
      </w:r>
      <w:r>
        <w:t>notaries public as court commissioners where the establishment and renewal procedure has</w:t>
      </w:r>
      <w:r>
        <w:rPr>
          <w:spacing w:val="1"/>
        </w:rPr>
        <w:t xml:space="preserve"> </w:t>
      </w:r>
      <w:r>
        <w:t>been</w:t>
      </w:r>
      <w:r>
        <w:rPr>
          <w:spacing w:val="-12"/>
        </w:rPr>
        <w:t xml:space="preserve"> </w:t>
      </w:r>
      <w:r>
        <w:t>further</w:t>
      </w:r>
      <w:r>
        <w:rPr>
          <w:spacing w:val="-12"/>
        </w:rPr>
        <w:t xml:space="preserve"> </w:t>
      </w:r>
      <w:r>
        <w:t>simplified</w:t>
      </w:r>
      <w:r>
        <w:rPr>
          <w:spacing w:val="-11"/>
        </w:rPr>
        <w:t xml:space="preserve"> </w:t>
      </w:r>
      <w:r>
        <w:t>and</w:t>
      </w:r>
      <w:r>
        <w:rPr>
          <w:spacing w:val="-11"/>
        </w:rPr>
        <w:t xml:space="preserve"> </w:t>
      </w:r>
      <w:r>
        <w:t>the</w:t>
      </w:r>
      <w:r>
        <w:rPr>
          <w:spacing w:val="-12"/>
        </w:rPr>
        <w:t xml:space="preserve"> </w:t>
      </w:r>
      <w:r>
        <w:t>need</w:t>
      </w:r>
      <w:r>
        <w:rPr>
          <w:spacing w:val="-11"/>
        </w:rPr>
        <w:t xml:space="preserve"> </w:t>
      </w:r>
      <w:r>
        <w:t>for</w:t>
      </w:r>
      <w:r>
        <w:rPr>
          <w:spacing w:val="-13"/>
        </w:rPr>
        <w:t xml:space="preserve"> </w:t>
      </w:r>
      <w:r>
        <w:t>holding</w:t>
      </w:r>
      <w:r>
        <w:rPr>
          <w:spacing w:val="-13"/>
        </w:rPr>
        <w:t xml:space="preserve"> </w:t>
      </w:r>
      <w:r>
        <w:t>hearings</w:t>
      </w:r>
      <w:r>
        <w:rPr>
          <w:spacing w:val="-11"/>
        </w:rPr>
        <w:t xml:space="preserve"> </w:t>
      </w:r>
      <w:r>
        <w:t>has</w:t>
      </w:r>
      <w:r>
        <w:rPr>
          <w:spacing w:val="-12"/>
        </w:rPr>
        <w:t xml:space="preserve"> </w:t>
      </w:r>
      <w:r>
        <w:t>been</w:t>
      </w:r>
      <w:r>
        <w:rPr>
          <w:spacing w:val="-11"/>
        </w:rPr>
        <w:t xml:space="preserve"> </w:t>
      </w:r>
      <w:r>
        <w:t>reduced.</w:t>
      </w:r>
      <w:r>
        <w:rPr>
          <w:spacing w:val="-9"/>
        </w:rPr>
        <w:t xml:space="preserve"> </w:t>
      </w:r>
      <w:r>
        <w:t>Also,</w:t>
      </w:r>
      <w:r>
        <w:rPr>
          <w:spacing w:val="-7"/>
        </w:rPr>
        <w:t xml:space="preserve"> </w:t>
      </w:r>
      <w:r>
        <w:t>the</w:t>
      </w:r>
      <w:r>
        <w:rPr>
          <w:spacing w:val="-12"/>
        </w:rPr>
        <w:t xml:space="preserve"> </w:t>
      </w:r>
      <w:r>
        <w:t>respective</w:t>
      </w:r>
      <w:r>
        <w:rPr>
          <w:spacing w:val="-58"/>
        </w:rPr>
        <w:t xml:space="preserve"> </w:t>
      </w:r>
      <w:r>
        <w:t>provisions have been harmonised with the provisions of the civil procedure regarding records</w:t>
      </w:r>
      <w:r>
        <w:rPr>
          <w:spacing w:val="1"/>
        </w:rPr>
        <w:t xml:space="preserve"> </w:t>
      </w:r>
      <w:r>
        <w:t>and electronic delivery, and the provisions on the gratuitous write-offs of small claims have</w:t>
      </w:r>
      <w:r>
        <w:rPr>
          <w:spacing w:val="1"/>
        </w:rPr>
        <w:t xml:space="preserve"> </w:t>
      </w:r>
      <w:r>
        <w:t>been</w:t>
      </w:r>
      <w:r>
        <w:rPr>
          <w:spacing w:val="-1"/>
        </w:rPr>
        <w:t xml:space="preserve"> </w:t>
      </w:r>
      <w:r>
        <w:t>deleted because</w:t>
      </w:r>
      <w:r>
        <w:rPr>
          <w:spacing w:val="-1"/>
        </w:rPr>
        <w:t xml:space="preserve"> </w:t>
      </w:r>
      <w:r>
        <w:t>it</w:t>
      </w:r>
      <w:r>
        <w:rPr>
          <w:spacing w:val="1"/>
        </w:rPr>
        <w:t xml:space="preserve"> </w:t>
      </w:r>
      <w:r>
        <w:t>is a</w:t>
      </w:r>
      <w:r>
        <w:rPr>
          <w:spacing w:val="-1"/>
        </w:rPr>
        <w:t xml:space="preserve"> </w:t>
      </w:r>
      <w:r>
        <w:t>procedure</w:t>
      </w:r>
      <w:r>
        <w:rPr>
          <w:spacing w:val="-2"/>
        </w:rPr>
        <w:t xml:space="preserve"> </w:t>
      </w:r>
      <w:r>
        <w:t>not carried</w:t>
      </w:r>
      <w:r>
        <w:rPr>
          <w:spacing w:val="2"/>
        </w:rPr>
        <w:t xml:space="preserve"> </w:t>
      </w:r>
      <w:r>
        <w:t>out in practice.</w:t>
      </w:r>
    </w:p>
    <w:p w:rsidR="00A56FE9" w:rsidRDefault="00A56FE9">
      <w:pPr>
        <w:pStyle w:val="Tijeloteksta"/>
        <w:ind w:left="0"/>
        <w:jc w:val="left"/>
        <w:rPr>
          <w:sz w:val="26"/>
        </w:rPr>
      </w:pPr>
    </w:p>
    <w:p w:rsidR="00A56FE9" w:rsidRDefault="00A56FE9">
      <w:pPr>
        <w:pStyle w:val="Tijeloteksta"/>
        <w:spacing w:before="10"/>
        <w:ind w:left="0"/>
        <w:jc w:val="left"/>
        <w:rPr>
          <w:sz w:val="29"/>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1"/>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95738066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758492195" name="Rectangle 221"/>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C4E86A4" id="Group 220"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">
                <v:rect id="Rectangle 221"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" fillcolor="#2c398a" stroked="f"/>
                <w10:anchorlock/>
              </v:group>
            </w:pict>
          </mc:Fallback>
        </mc:AlternateContent>
      </w:r>
    </w:p>
    <w:p w:rsidR="00A56FE9" w:rsidRDefault="00000000">
      <w:pPr>
        <w:pStyle w:val="Tijeloteksta"/>
        <w:spacing w:before="154"/>
        <w:ind w:right="277"/>
      </w:pPr>
      <w:r>
        <w:t>Some of the activities for analysing available tools for anonymising court decisions, based on</w:t>
      </w:r>
      <w:r>
        <w:rPr>
          <w:spacing w:val="1"/>
        </w:rPr>
        <w:t xml:space="preserve"> </w:t>
      </w:r>
      <w:r>
        <w:t>artificial</w:t>
      </w:r>
      <w:r>
        <w:rPr>
          <w:spacing w:val="-10"/>
        </w:rPr>
        <w:t xml:space="preserve"> </w:t>
      </w:r>
      <w:r>
        <w:t>intelligence</w:t>
      </w:r>
      <w:r>
        <w:rPr>
          <w:spacing w:val="-7"/>
        </w:rPr>
        <w:t xml:space="preserve"> </w:t>
      </w:r>
      <w:r>
        <w:t>algorithms,</w:t>
      </w:r>
      <w:r>
        <w:rPr>
          <w:spacing w:val="-8"/>
        </w:rPr>
        <w:t xml:space="preserve"> </w:t>
      </w:r>
      <w:r>
        <w:t>will</w:t>
      </w:r>
      <w:r>
        <w:rPr>
          <w:spacing w:val="-8"/>
        </w:rPr>
        <w:t xml:space="preserve"> </w:t>
      </w:r>
      <w:r>
        <w:t>be</w:t>
      </w:r>
      <w:r>
        <w:rPr>
          <w:spacing w:val="-10"/>
        </w:rPr>
        <w:t xml:space="preserve"> </w:t>
      </w:r>
      <w:r>
        <w:t>carried</w:t>
      </w:r>
      <w:r>
        <w:rPr>
          <w:spacing w:val="-9"/>
        </w:rPr>
        <w:t xml:space="preserve"> </w:t>
      </w:r>
      <w:r>
        <w:t>out</w:t>
      </w:r>
      <w:r>
        <w:rPr>
          <w:spacing w:val="-9"/>
        </w:rPr>
        <w:t xml:space="preserve"> </w:t>
      </w:r>
      <w:r>
        <w:t>using</w:t>
      </w:r>
      <w:r>
        <w:rPr>
          <w:spacing w:val="-10"/>
        </w:rPr>
        <w:t xml:space="preserve"> </w:t>
      </w:r>
      <w:r>
        <w:t>the</w:t>
      </w:r>
      <w:r>
        <w:rPr>
          <w:spacing w:val="-7"/>
        </w:rPr>
        <w:t xml:space="preserve"> </w:t>
      </w:r>
      <w:r>
        <w:t>Norwegian</w:t>
      </w:r>
      <w:r>
        <w:rPr>
          <w:spacing w:val="-9"/>
        </w:rPr>
        <w:t xml:space="preserve"> </w:t>
      </w:r>
      <w:r>
        <w:t>Financial</w:t>
      </w:r>
      <w:r>
        <w:rPr>
          <w:spacing w:val="-9"/>
        </w:rPr>
        <w:t xml:space="preserve"> </w:t>
      </w:r>
      <w:r>
        <w:t>Mechanism</w:t>
      </w:r>
      <w:r>
        <w:rPr>
          <w:spacing w:val="-58"/>
        </w:rPr>
        <w:t xml:space="preserve"> </w:t>
      </w:r>
      <w:r>
        <w:t>and within technical assistance (TSI2022) from the EC (Directorate-General for Structural</w:t>
      </w:r>
      <w:r>
        <w:rPr>
          <w:spacing w:val="1"/>
        </w:rPr>
        <w:t xml:space="preserve"> </w:t>
      </w:r>
      <w:r>
        <w:t>Reform Support – DG REFORM). The purpose of these activities is to analyse and review</w:t>
      </w:r>
      <w:r>
        <w:rPr>
          <w:spacing w:val="1"/>
        </w:rPr>
        <w:t xml:space="preserve"> </w:t>
      </w:r>
      <w:r>
        <w:t>examples</w:t>
      </w:r>
      <w:r>
        <w:rPr>
          <w:spacing w:val="-4"/>
        </w:rPr>
        <w:t xml:space="preserve"> </w:t>
      </w:r>
      <w:r>
        <w:t>of good</w:t>
      </w:r>
      <w:r>
        <w:rPr>
          <w:spacing w:val="-3"/>
        </w:rPr>
        <w:t xml:space="preserve"> </w:t>
      </w:r>
      <w:r>
        <w:t>practice</w:t>
      </w:r>
      <w:r>
        <w:rPr>
          <w:spacing w:val="-4"/>
        </w:rPr>
        <w:t xml:space="preserve"> </w:t>
      </w:r>
      <w:r>
        <w:t>and existing</w:t>
      </w:r>
      <w:r>
        <w:rPr>
          <w:spacing w:val="-5"/>
        </w:rPr>
        <w:t xml:space="preserve"> </w:t>
      </w:r>
      <w:r>
        <w:t>anonymisation</w:t>
      </w:r>
      <w:r>
        <w:rPr>
          <w:spacing w:val="-3"/>
        </w:rPr>
        <w:t xml:space="preserve"> </w:t>
      </w:r>
      <w:r>
        <w:t>solutions</w:t>
      </w:r>
      <w:r>
        <w:rPr>
          <w:spacing w:val="-2"/>
        </w:rPr>
        <w:t xml:space="preserve"> </w:t>
      </w:r>
      <w:r>
        <w:t>already</w:t>
      </w:r>
      <w:r>
        <w:rPr>
          <w:spacing w:val="-8"/>
        </w:rPr>
        <w:t xml:space="preserve"> </w:t>
      </w:r>
      <w:r>
        <w:t>used</w:t>
      </w:r>
      <w:r>
        <w:rPr>
          <w:spacing w:val="-3"/>
        </w:rPr>
        <w:t xml:space="preserve"> </w:t>
      </w:r>
      <w:r>
        <w:t>and,</w:t>
      </w:r>
      <w:r>
        <w:rPr>
          <w:spacing w:val="-3"/>
        </w:rPr>
        <w:t xml:space="preserve"> </w:t>
      </w:r>
      <w:r>
        <w:t>on</w:t>
      </w:r>
      <w:r>
        <w:rPr>
          <w:spacing w:val="-4"/>
        </w:rPr>
        <w:t xml:space="preserve"> </w:t>
      </w:r>
      <w:r>
        <w:t>the</w:t>
      </w:r>
      <w:r>
        <w:rPr>
          <w:spacing w:val="-4"/>
        </w:rPr>
        <w:t xml:space="preserve"> </w:t>
      </w:r>
      <w:r>
        <w:t>other</w:t>
      </w:r>
      <w:r>
        <w:rPr>
          <w:spacing w:val="-57"/>
        </w:rPr>
        <w:t xml:space="preserve"> </w:t>
      </w:r>
      <w:r>
        <w:t>hand,</w:t>
      </w:r>
      <w:r>
        <w:rPr>
          <w:spacing w:val="-2"/>
        </w:rPr>
        <w:t xml:space="preserve"> </w:t>
      </w:r>
      <w:r>
        <w:t>to</w:t>
      </w:r>
      <w:r>
        <w:rPr>
          <w:spacing w:val="-2"/>
        </w:rPr>
        <w:t xml:space="preserve"> </w:t>
      </w:r>
      <w:r>
        <w:t>make</w:t>
      </w:r>
      <w:r>
        <w:rPr>
          <w:spacing w:val="-2"/>
        </w:rPr>
        <w:t xml:space="preserve"> </w:t>
      </w:r>
      <w:r>
        <w:t>recommendations</w:t>
      </w:r>
      <w:r>
        <w:rPr>
          <w:spacing w:val="-2"/>
        </w:rPr>
        <w:t xml:space="preserve"> </w:t>
      </w:r>
      <w:r>
        <w:t>on</w:t>
      </w:r>
      <w:r>
        <w:rPr>
          <w:spacing w:val="-2"/>
        </w:rPr>
        <w:t xml:space="preserve"> </w:t>
      </w:r>
      <w:r>
        <w:t>the</w:t>
      </w:r>
      <w:r>
        <w:rPr>
          <w:spacing w:val="-2"/>
        </w:rPr>
        <w:t xml:space="preserve"> </w:t>
      </w:r>
      <w:r>
        <w:t>methodology,</w:t>
      </w:r>
      <w:r>
        <w:rPr>
          <w:spacing w:val="-2"/>
        </w:rPr>
        <w:t xml:space="preserve"> </w:t>
      </w:r>
      <w:r>
        <w:t>anonymisation</w:t>
      </w:r>
      <w:r>
        <w:rPr>
          <w:spacing w:val="-2"/>
        </w:rPr>
        <w:t xml:space="preserve"> </w:t>
      </w:r>
      <w:r>
        <w:t>procedures</w:t>
      </w:r>
      <w:r>
        <w:rPr>
          <w:spacing w:val="-1"/>
        </w:rPr>
        <w:t xml:space="preserve"> </w:t>
      </w:r>
      <w:r>
        <w:t>and</w:t>
      </w:r>
      <w:r>
        <w:rPr>
          <w:spacing w:val="-2"/>
        </w:rPr>
        <w:t xml:space="preserve"> </w:t>
      </w:r>
      <w:r>
        <w:t>technical</w:t>
      </w:r>
      <w:r>
        <w:rPr>
          <w:spacing w:val="-58"/>
        </w:rPr>
        <w:t xml:space="preserve"> </w:t>
      </w:r>
      <w:r>
        <w:t>specifications</w:t>
      </w:r>
      <w:r>
        <w:rPr>
          <w:spacing w:val="-1"/>
        </w:rPr>
        <w:t xml:space="preserve"> </w:t>
      </w:r>
      <w:r>
        <w:t>for</w:t>
      </w:r>
      <w:r>
        <w:rPr>
          <w:spacing w:val="-1"/>
        </w:rPr>
        <w:t xml:space="preserve"> </w:t>
      </w:r>
      <w:r>
        <w:t>anonymisation solutions</w:t>
      </w:r>
      <w:r>
        <w:rPr>
          <w:spacing w:val="-4"/>
        </w:rPr>
        <w:t xml:space="preserve"> </w:t>
      </w:r>
      <w:r>
        <w:t>to be</w:t>
      </w:r>
      <w:r>
        <w:rPr>
          <w:spacing w:val="-1"/>
        </w:rPr>
        <w:t xml:space="preserve"> </w:t>
      </w:r>
      <w:r>
        <w:t>implemented within</w:t>
      </w:r>
      <w:r>
        <w:rPr>
          <w:spacing w:val="-1"/>
        </w:rPr>
        <w:t xml:space="preserve"> </w:t>
      </w:r>
      <w:r>
        <w:t>the NRRP</w:t>
      </w:r>
      <w:r>
        <w:rPr>
          <w:spacing w:val="-1"/>
        </w:rPr>
        <w:t xml:space="preserve"> </w:t>
      </w:r>
      <w:r>
        <w:t>project.</w:t>
      </w:r>
    </w:p>
    <w:p w:rsidR="00A56FE9" w:rsidRDefault="00000000">
      <w:pPr>
        <w:spacing w:before="121"/>
        <w:ind w:left="138" w:right="279"/>
        <w:jc w:val="both"/>
        <w:rPr>
          <w:i/>
          <w:sz w:val="24"/>
        </w:rPr>
      </w:pPr>
      <w:r>
        <w:rPr>
          <w:i/>
          <w:sz w:val="24"/>
        </w:rPr>
        <w:t>All the mentioned activities comply with SDG 16. Promote peaceful and inclusive societies for</w:t>
      </w:r>
      <w:r>
        <w:rPr>
          <w:i/>
          <w:spacing w:val="-57"/>
          <w:sz w:val="24"/>
        </w:rPr>
        <w:t xml:space="preserve"> </w:t>
      </w:r>
      <w:r>
        <w:rPr>
          <w:i/>
          <w:sz w:val="24"/>
        </w:rPr>
        <w:t>sustainable development, provide access to justice for all and build effective, accountable and</w:t>
      </w:r>
      <w:r>
        <w:rPr>
          <w:i/>
          <w:spacing w:val="-57"/>
          <w:sz w:val="24"/>
        </w:rPr>
        <w:t xml:space="preserve"> </w:t>
      </w:r>
      <w:r>
        <w:rPr>
          <w:i/>
          <w:sz w:val="24"/>
        </w:rPr>
        <w:t>inclusive</w:t>
      </w:r>
      <w:r>
        <w:rPr>
          <w:i/>
          <w:spacing w:val="-2"/>
          <w:sz w:val="24"/>
        </w:rPr>
        <w:t xml:space="preserve"> </w:t>
      </w:r>
      <w:r>
        <w:rPr>
          <w:i/>
          <w:sz w:val="24"/>
        </w:rPr>
        <w:t>institutions at all levels</w:t>
      </w:r>
    </w:p>
    <w:p w:rsidR="00A56FE9" w:rsidRDefault="00A56FE9">
      <w:pPr>
        <w:pStyle w:val="Tijeloteksta"/>
        <w:ind w:left="0"/>
        <w:jc w:val="left"/>
        <w:rPr>
          <w:i/>
          <w:sz w:val="26"/>
        </w:rPr>
      </w:pPr>
    </w:p>
    <w:p w:rsidR="00A56FE9" w:rsidRDefault="00000000">
      <w:pPr>
        <w:pStyle w:val="Naslov3"/>
        <w:spacing w:before="186"/>
      </w:pPr>
      <w:bookmarkStart w:id="16" w:name="_bookmark16"/>
      <w:bookmarkEnd w:id="16"/>
      <w:r>
        <w:rPr>
          <w:rFonts w:ascii="Times New Roman"/>
          <w:b/>
          <w:color w:val="2C398A"/>
          <w:spacing w:val="-1"/>
        </w:rPr>
        <w:t>C2.6.</w:t>
      </w:r>
      <w:r>
        <w:rPr>
          <w:rFonts w:ascii="Times New Roman"/>
          <w:b/>
          <w:color w:val="2C398A"/>
          <w:spacing w:val="1"/>
        </w:rPr>
        <w:t xml:space="preserve"> </w:t>
      </w:r>
      <w:r>
        <w:rPr>
          <w:color w:val="003399"/>
          <w:spacing w:val="-1"/>
        </w:rPr>
        <w:t>Preventing</w:t>
      </w:r>
      <w:r>
        <w:rPr>
          <w:color w:val="003399"/>
          <w:spacing w:val="-12"/>
        </w:rPr>
        <w:t xml:space="preserve"> </w:t>
      </w:r>
      <w:r>
        <w:rPr>
          <w:color w:val="003399"/>
          <w:spacing w:val="-1"/>
        </w:rPr>
        <w:t>and</w:t>
      </w:r>
      <w:r>
        <w:rPr>
          <w:color w:val="003399"/>
          <w:spacing w:val="-12"/>
        </w:rPr>
        <w:t xml:space="preserve"> </w:t>
      </w:r>
      <w:r>
        <w:rPr>
          <w:color w:val="003399"/>
          <w:spacing w:val="-1"/>
        </w:rPr>
        <w:t>Combating</w:t>
      </w:r>
      <w:r>
        <w:rPr>
          <w:color w:val="003399"/>
          <w:spacing w:val="-15"/>
        </w:rPr>
        <w:t xml:space="preserve"> </w:t>
      </w:r>
      <w:r>
        <w:rPr>
          <w:color w:val="003399"/>
          <w:spacing w:val="-1"/>
        </w:rPr>
        <w:t>Corruption</w:t>
      </w:r>
    </w:p>
    <w:p w:rsidR="00A56FE9" w:rsidRDefault="00A56FE9">
      <w:pPr>
        <w:pStyle w:val="Tijeloteksta"/>
        <w:spacing w:before="7"/>
        <w:ind w:left="0"/>
        <w:jc w:val="left"/>
        <w:rPr>
          <w:rFonts w:ascii="Calibri Light"/>
          <w:sz w:val="29"/>
        </w:rPr>
      </w:pPr>
    </w:p>
    <w:p w:rsidR="00A56FE9" w:rsidRDefault="00CC1B9B">
      <w:pPr>
        <w:pStyle w:val="Naslov4"/>
        <w:ind w:right="281"/>
      </w:pPr>
      <w:r>
        <w:rPr>
          <w:noProof/>
        </w:rPr>
        <mc:AlternateContent>
          <mc:Choice Requires="wps">
            <w:drawing>
              <wp:anchor distT="0" distB="0" distL="114300" distR="114300" simplePos="0" relativeHeight="15770112" behindDoc="0" locked="0" layoutInCell="1" allowOverlap="1">
                <wp:simplePos x="0" y="0"/>
                <wp:positionH relativeFrom="page">
                  <wp:posOffset>814070</wp:posOffset>
                </wp:positionH>
                <wp:positionV relativeFrom="paragraph">
                  <wp:posOffset>-77470</wp:posOffset>
                </wp:positionV>
                <wp:extent cx="18415" cy="532130"/>
                <wp:effectExtent l="0" t="0" r="0" b="0"/>
                <wp:wrapNone/>
                <wp:docPr id="1292829806" name="Freeform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532130"/>
                        </a:xfrm>
                        <a:custGeom>
                          <a:avLst/>
                          <a:gdLst>
                            <a:gd name="T0" fmla="+- 0 1311 1282"/>
                            <a:gd name="T1" fmla="*/ T0 w 29"/>
                            <a:gd name="T2" fmla="+- 0 -122 -122"/>
                            <a:gd name="T3" fmla="*/ -122 h 838"/>
                            <a:gd name="T4" fmla="+- 0 1282 1282"/>
                            <a:gd name="T5" fmla="*/ T4 w 29"/>
                            <a:gd name="T6" fmla="+- 0 -122 -122"/>
                            <a:gd name="T7" fmla="*/ -122 h 838"/>
                            <a:gd name="T8" fmla="+- 0 1282 1282"/>
                            <a:gd name="T9" fmla="*/ T8 w 29"/>
                            <a:gd name="T10" fmla="+- 0 298 -122"/>
                            <a:gd name="T11" fmla="*/ 298 h 838"/>
                            <a:gd name="T12" fmla="+- 0 1282 1282"/>
                            <a:gd name="T13" fmla="*/ T12 w 29"/>
                            <a:gd name="T14" fmla="+- 0 716 -122"/>
                            <a:gd name="T15" fmla="*/ 716 h 838"/>
                            <a:gd name="T16" fmla="+- 0 1311 1282"/>
                            <a:gd name="T17" fmla="*/ T16 w 29"/>
                            <a:gd name="T18" fmla="+- 0 716 -122"/>
                            <a:gd name="T19" fmla="*/ 716 h 838"/>
                            <a:gd name="T20" fmla="+- 0 1311 1282"/>
                            <a:gd name="T21" fmla="*/ T20 w 29"/>
                            <a:gd name="T22" fmla="+- 0 298 -122"/>
                            <a:gd name="T23" fmla="*/ 298 h 838"/>
                            <a:gd name="T24" fmla="+- 0 1311 1282"/>
                            <a:gd name="T25" fmla="*/ T24 w 29"/>
                            <a:gd name="T26" fmla="+- 0 -122 -122"/>
                            <a:gd name="T27" fmla="*/ -122 h 838"/>
                          </a:gdLst>
                          <a:ahLst/>
                          <a:cxnLst>
                            <a:cxn ang="0">
                              <a:pos x="T1" y="T3"/>
                            </a:cxn>
                            <a:cxn ang="0">
                              <a:pos x="T5" y="T7"/>
                            </a:cxn>
                            <a:cxn ang="0">
                              <a:pos x="T9" y="T11"/>
                            </a:cxn>
                            <a:cxn ang="0">
                              <a:pos x="T13" y="T15"/>
                            </a:cxn>
                            <a:cxn ang="0">
                              <a:pos x="T17" y="T19"/>
                            </a:cxn>
                            <a:cxn ang="0">
                              <a:pos x="T21" y="T23"/>
                            </a:cxn>
                            <a:cxn ang="0">
                              <a:pos x="T25" y="T27"/>
                            </a:cxn>
                          </a:cxnLst>
                          <a:rect l="0" t="0" r="r" b="b"/>
                          <a:pathLst>
                            <a:path w="29" h="838">
                              <a:moveTo>
                                <a:pt x="29" y="0"/>
                              </a:moveTo>
                              <a:lnTo>
                                <a:pt x="0" y="0"/>
                              </a:lnTo>
                              <a:lnTo>
                                <a:pt x="0" y="420"/>
                              </a:lnTo>
                              <a:lnTo>
                                <a:pt x="0" y="838"/>
                              </a:lnTo>
                              <a:lnTo>
                                <a:pt x="29" y="838"/>
                              </a:lnTo>
                              <a:lnTo>
                                <a:pt x="29" y="420"/>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32EA20" id="Freeform 219" o:spid="_x0000_s1026" style="position:absolute;margin-left:64.1pt;margin-top:-6.1pt;width:1.45pt;height:41.9pt;z-index:15770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" path="m29,l,,,420,,838r29,l29,420,29,xe" fillcolor="#da1f2c" stroked="f">
                <v:path arrowok="t" o:connecttype="custom" o:connectlocs="18415,-77470;0,-77470;0,189230;0,454660;18415,454660;18415,189230;18415,-77470" o:connectangles="0,0,0,0,0,0,0"/>
                <w10:wrap anchorx="page"/>
              </v:shape>
            </w:pict>
          </mc:Fallback>
        </mc:AlternateContent>
      </w:r>
      <w:r w:rsidR="00000000">
        <w:rPr>
          <w:color w:val="2C398A"/>
        </w:rPr>
        <w:t>Strengthen</w:t>
      </w:r>
      <w:r w:rsidR="00000000">
        <w:rPr>
          <w:color w:val="2C398A"/>
          <w:spacing w:val="1"/>
        </w:rPr>
        <w:t xml:space="preserve"> </w:t>
      </w:r>
      <w:r w:rsidR="00000000">
        <w:rPr>
          <w:color w:val="2C398A"/>
        </w:rPr>
        <w:t>the</w:t>
      </w:r>
      <w:r w:rsidR="00000000">
        <w:rPr>
          <w:color w:val="2C398A"/>
          <w:spacing w:val="1"/>
        </w:rPr>
        <w:t xml:space="preserve"> </w:t>
      </w:r>
      <w:r w:rsidR="00000000">
        <w:rPr>
          <w:color w:val="2C398A"/>
        </w:rPr>
        <w:t>institutional</w:t>
      </w:r>
      <w:r w:rsidR="00000000">
        <w:rPr>
          <w:color w:val="2C398A"/>
          <w:spacing w:val="1"/>
        </w:rPr>
        <w:t xml:space="preserve"> </w:t>
      </w:r>
      <w:r w:rsidR="00000000">
        <w:rPr>
          <w:color w:val="2C398A"/>
        </w:rPr>
        <w:t>and</w:t>
      </w:r>
      <w:r w:rsidR="00000000">
        <w:rPr>
          <w:color w:val="2C398A"/>
          <w:spacing w:val="1"/>
        </w:rPr>
        <w:t xml:space="preserve"> </w:t>
      </w:r>
      <w:r w:rsidR="00000000">
        <w:rPr>
          <w:color w:val="2C398A"/>
        </w:rPr>
        <w:t>normative</w:t>
      </w:r>
      <w:r w:rsidR="00000000">
        <w:rPr>
          <w:color w:val="2C398A"/>
          <w:spacing w:val="1"/>
        </w:rPr>
        <w:t xml:space="preserve"> </w:t>
      </w:r>
      <w:r w:rsidR="00000000">
        <w:rPr>
          <w:color w:val="2C398A"/>
        </w:rPr>
        <w:t>framework</w:t>
      </w:r>
      <w:r w:rsidR="00000000">
        <w:rPr>
          <w:color w:val="2C398A"/>
          <w:spacing w:val="1"/>
        </w:rPr>
        <w:t xml:space="preserve"> </w:t>
      </w:r>
      <w:r w:rsidR="00000000">
        <w:rPr>
          <w:color w:val="2C398A"/>
        </w:rPr>
        <w:t>for</w:t>
      </w:r>
      <w:r w:rsidR="00000000">
        <w:rPr>
          <w:color w:val="2C398A"/>
          <w:spacing w:val="1"/>
        </w:rPr>
        <w:t xml:space="preserve"> </w:t>
      </w:r>
      <w:r w:rsidR="00000000">
        <w:rPr>
          <w:color w:val="2C398A"/>
        </w:rPr>
        <w:t>the</w:t>
      </w:r>
      <w:r w:rsidR="00000000">
        <w:rPr>
          <w:color w:val="2C398A"/>
          <w:spacing w:val="1"/>
        </w:rPr>
        <w:t xml:space="preserve"> </w:t>
      </w:r>
      <w:r w:rsidR="00000000">
        <w:rPr>
          <w:color w:val="2C398A"/>
        </w:rPr>
        <w:t>fight</w:t>
      </w:r>
      <w:r w:rsidR="00000000">
        <w:rPr>
          <w:color w:val="2C398A"/>
          <w:spacing w:val="1"/>
        </w:rPr>
        <w:t xml:space="preserve"> </w:t>
      </w:r>
      <w:r w:rsidR="00000000">
        <w:rPr>
          <w:color w:val="2C398A"/>
        </w:rPr>
        <w:t>against</w:t>
      </w:r>
      <w:r w:rsidR="00000000">
        <w:rPr>
          <w:color w:val="2C398A"/>
          <w:spacing w:val="1"/>
        </w:rPr>
        <w:t xml:space="preserve"> </w:t>
      </w:r>
      <w:r w:rsidR="00000000">
        <w:rPr>
          <w:color w:val="2C398A"/>
        </w:rPr>
        <w:t>corruption</w:t>
      </w:r>
    </w:p>
    <w:p w:rsidR="00A56FE9" w:rsidRDefault="00000000">
      <w:pPr>
        <w:spacing w:before="233"/>
        <w:ind w:left="138" w:right="276"/>
        <w:jc w:val="both"/>
        <w:rPr>
          <w:i/>
          <w:sz w:val="24"/>
        </w:rPr>
      </w:pPr>
      <w:r>
        <w:rPr>
          <w:i/>
          <w:color w:val="2C398A"/>
          <w:sz w:val="24"/>
        </w:rPr>
        <w:t>2019.CSR4.1. Improve corporate governance in state-owned enterprises and intensify the sale</w:t>
      </w:r>
      <w:r>
        <w:rPr>
          <w:i/>
          <w:color w:val="2C398A"/>
          <w:spacing w:val="-57"/>
          <w:sz w:val="24"/>
        </w:rPr>
        <w:t xml:space="preserve"> </w:t>
      </w:r>
      <w:r>
        <w:rPr>
          <w:i/>
          <w:color w:val="2C398A"/>
          <w:sz w:val="24"/>
        </w:rPr>
        <w:t>of such enterprises and non-productive assets; 2019.CSR4.2. Enhance the prevention and</w:t>
      </w:r>
      <w:r>
        <w:rPr>
          <w:i/>
          <w:color w:val="2C398A"/>
          <w:spacing w:val="1"/>
          <w:sz w:val="24"/>
        </w:rPr>
        <w:t xml:space="preserve"> </w:t>
      </w:r>
      <w:r>
        <w:rPr>
          <w:i/>
          <w:color w:val="2C398A"/>
          <w:sz w:val="24"/>
        </w:rPr>
        <w:t>sanctioning of corruption, in particular at the local level; 2020.CSR 2.2. Increase access to</w:t>
      </w:r>
      <w:r>
        <w:rPr>
          <w:i/>
          <w:color w:val="2C398A"/>
          <w:spacing w:val="1"/>
          <w:sz w:val="24"/>
        </w:rPr>
        <w:t xml:space="preserve"> </w:t>
      </w:r>
      <w:r>
        <w:rPr>
          <w:i/>
          <w:color w:val="2C398A"/>
          <w:sz w:val="24"/>
        </w:rPr>
        <w:t>digital</w:t>
      </w:r>
      <w:r>
        <w:rPr>
          <w:i/>
          <w:color w:val="2C398A"/>
          <w:spacing w:val="-1"/>
          <w:sz w:val="24"/>
        </w:rPr>
        <w:t xml:space="preserve"> </w:t>
      </w:r>
      <w:r>
        <w:rPr>
          <w:i/>
          <w:color w:val="2C398A"/>
          <w:sz w:val="24"/>
        </w:rPr>
        <w:t>infrastructure and services</w:t>
      </w:r>
    </w:p>
    <w:p w:rsidR="00A56FE9" w:rsidRDefault="00A56FE9">
      <w:pPr>
        <w:pStyle w:val="Tijeloteksta"/>
        <w:spacing w:before="3"/>
        <w:ind w:left="0"/>
        <w:jc w:val="left"/>
        <w:rPr>
          <w:i/>
          <w:sz w:val="21"/>
        </w:rPr>
      </w:pPr>
    </w:p>
    <w:p w:rsidR="00A56FE9" w:rsidRDefault="00CC1B9B">
      <w:pPr>
        <w:pStyle w:val="Naslov5"/>
      </w:pPr>
      <w:r>
        <w:rPr>
          <w:noProof/>
        </w:rPr>
        <mc:AlternateContent>
          <mc:Choice Requires="wps">
            <w:drawing>
              <wp:anchor distT="0" distB="0" distL="0" distR="0" simplePos="0" relativeHeight="487628800" behindDoc="1" locked="0" layoutInCell="1" allowOverlap="1">
                <wp:simplePos x="0" y="0"/>
                <wp:positionH relativeFrom="page">
                  <wp:posOffset>882650</wp:posOffset>
                </wp:positionH>
                <wp:positionV relativeFrom="paragraph">
                  <wp:posOffset>189230</wp:posOffset>
                </wp:positionV>
                <wp:extent cx="3277235" cy="12065"/>
                <wp:effectExtent l="0" t="0" r="0" b="0"/>
                <wp:wrapTopAndBottom/>
                <wp:docPr id="1334452148"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7235"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E2FAE" id="Rectangle 218" o:spid="_x0000_s1026" style="position:absolute;margin-left:69.5pt;margin-top:14.9pt;width:258.05pt;height:.95pt;z-index:-1568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" fillcolor="#2c398a" stroked="f">
                <w10:wrap type="topAndBottom" anchorx="page"/>
              </v:rect>
            </w:pict>
          </mc:Fallback>
        </mc:AlternateContent>
      </w:r>
      <w:r w:rsidR="00000000">
        <w:t>Progress</w:t>
      </w:r>
      <w:r w:rsidR="00000000">
        <w:rPr>
          <w:spacing w:val="-2"/>
        </w:rPr>
        <w:t xml:space="preserve"> </w:t>
      </w:r>
      <w:r w:rsidR="00000000">
        <w:t>in</w:t>
      </w:r>
      <w:r w:rsidR="00000000">
        <w:rPr>
          <w:spacing w:val="-2"/>
        </w:rPr>
        <w:t xml:space="preserve"> </w:t>
      </w:r>
      <w:r w:rsidR="00000000">
        <w:t>implementing</w:t>
      </w:r>
      <w:r w:rsidR="00000000">
        <w:rPr>
          <w:spacing w:val="-2"/>
        </w:rPr>
        <w:t xml:space="preserve"> </w:t>
      </w:r>
      <w:r w:rsidR="00000000">
        <w:t>the</w:t>
      </w:r>
      <w:r w:rsidR="00000000">
        <w:rPr>
          <w:spacing w:val="-2"/>
        </w:rPr>
        <w:t xml:space="preserve"> </w:t>
      </w:r>
      <w:r w:rsidR="00000000">
        <w:t>recommendations</w:t>
      </w:r>
    </w:p>
    <w:p w:rsidR="00A56FE9" w:rsidRDefault="00000000">
      <w:pPr>
        <w:pStyle w:val="Tijeloteksta"/>
        <w:spacing w:before="126"/>
        <w:ind w:right="274"/>
      </w:pPr>
      <w:r>
        <w:t>In</w:t>
      </w:r>
      <w:r>
        <w:rPr>
          <w:spacing w:val="-7"/>
        </w:rPr>
        <w:t xml:space="preserve"> </w:t>
      </w:r>
      <w:r>
        <w:t>the</w:t>
      </w:r>
      <w:r>
        <w:rPr>
          <w:spacing w:val="-7"/>
        </w:rPr>
        <w:t xml:space="preserve"> </w:t>
      </w:r>
      <w:r>
        <w:t>process</w:t>
      </w:r>
      <w:r>
        <w:rPr>
          <w:spacing w:val="-6"/>
        </w:rPr>
        <w:t xml:space="preserve"> </w:t>
      </w:r>
      <w:r>
        <w:t>of</w:t>
      </w:r>
      <w:r>
        <w:rPr>
          <w:spacing w:val="-7"/>
        </w:rPr>
        <w:t xml:space="preserve"> </w:t>
      </w:r>
      <w:r>
        <w:t>ensuring</w:t>
      </w:r>
      <w:r>
        <w:rPr>
          <w:spacing w:val="-9"/>
        </w:rPr>
        <w:t xml:space="preserve"> </w:t>
      </w:r>
      <w:r>
        <w:t>technical</w:t>
      </w:r>
      <w:r>
        <w:rPr>
          <w:spacing w:val="-7"/>
        </w:rPr>
        <w:t xml:space="preserve"> </w:t>
      </w:r>
      <w:r>
        <w:t>and</w:t>
      </w:r>
      <w:r>
        <w:rPr>
          <w:spacing w:val="-6"/>
        </w:rPr>
        <w:t xml:space="preserve"> </w:t>
      </w:r>
      <w:r>
        <w:t>legal</w:t>
      </w:r>
      <w:r>
        <w:rPr>
          <w:spacing w:val="-6"/>
        </w:rPr>
        <w:t xml:space="preserve"> </w:t>
      </w:r>
      <w:r>
        <w:t>preconditions</w:t>
      </w:r>
      <w:r>
        <w:rPr>
          <w:spacing w:val="-6"/>
        </w:rPr>
        <w:t xml:space="preserve"> </w:t>
      </w:r>
      <w:r>
        <w:t>for</w:t>
      </w:r>
      <w:r>
        <w:rPr>
          <w:spacing w:val="-8"/>
        </w:rPr>
        <w:t xml:space="preserve"> </w:t>
      </w:r>
      <w:r>
        <w:t>publishing</w:t>
      </w:r>
      <w:r>
        <w:rPr>
          <w:spacing w:val="-9"/>
        </w:rPr>
        <w:t xml:space="preserve"> </w:t>
      </w:r>
      <w:r>
        <w:t>records</w:t>
      </w:r>
      <w:r>
        <w:rPr>
          <w:spacing w:val="-7"/>
        </w:rPr>
        <w:t xml:space="preserve"> </w:t>
      </w:r>
      <w:r>
        <w:t>of</w:t>
      </w:r>
      <w:r>
        <w:rPr>
          <w:spacing w:val="-7"/>
        </w:rPr>
        <w:t xml:space="preserve"> </w:t>
      </w:r>
      <w:r>
        <w:t>wealth,</w:t>
      </w:r>
      <w:r>
        <w:rPr>
          <w:spacing w:val="-6"/>
        </w:rPr>
        <w:t xml:space="preserve"> </w:t>
      </w:r>
      <w:r>
        <w:t>in</w:t>
      </w:r>
      <w:r>
        <w:rPr>
          <w:spacing w:val="-58"/>
        </w:rPr>
        <w:t xml:space="preserve"> </w:t>
      </w:r>
      <w:r>
        <w:t>July</w:t>
      </w:r>
      <w:r>
        <w:rPr>
          <w:spacing w:val="-11"/>
        </w:rPr>
        <w:t xml:space="preserve"> </w:t>
      </w:r>
      <w:r>
        <w:t>2020, at</w:t>
      </w:r>
      <w:r>
        <w:rPr>
          <w:spacing w:val="-2"/>
        </w:rPr>
        <w:t xml:space="preserve"> </w:t>
      </w:r>
      <w:r>
        <w:t>the</w:t>
      </w:r>
      <w:r>
        <w:rPr>
          <w:spacing w:val="-3"/>
        </w:rPr>
        <w:t xml:space="preserve"> </w:t>
      </w:r>
      <w:r>
        <w:t>sessions of</w:t>
      </w:r>
      <w:r>
        <w:rPr>
          <w:spacing w:val="-4"/>
        </w:rPr>
        <w:t xml:space="preserve"> </w:t>
      </w:r>
      <w:r>
        <w:t>the</w:t>
      </w:r>
      <w:r>
        <w:rPr>
          <w:spacing w:val="-2"/>
        </w:rPr>
        <w:t xml:space="preserve"> </w:t>
      </w:r>
      <w:r>
        <w:t>State</w:t>
      </w:r>
      <w:r>
        <w:rPr>
          <w:spacing w:val="-4"/>
        </w:rPr>
        <w:t xml:space="preserve"> </w:t>
      </w:r>
      <w:r>
        <w:t>Judiciary</w:t>
      </w:r>
      <w:r>
        <w:rPr>
          <w:spacing w:val="-8"/>
        </w:rPr>
        <w:t xml:space="preserve"> </w:t>
      </w:r>
      <w:r>
        <w:t>Council</w:t>
      </w:r>
      <w:r>
        <w:rPr>
          <w:spacing w:val="-2"/>
        </w:rPr>
        <w:t xml:space="preserve"> </w:t>
      </w:r>
      <w:r>
        <w:t>and</w:t>
      </w:r>
      <w:r>
        <w:rPr>
          <w:spacing w:val="-3"/>
        </w:rPr>
        <w:t xml:space="preserve"> </w:t>
      </w:r>
      <w:r>
        <w:t>the</w:t>
      </w:r>
      <w:r>
        <w:rPr>
          <w:spacing w:val="-3"/>
        </w:rPr>
        <w:t xml:space="preserve"> </w:t>
      </w:r>
      <w:r>
        <w:t>session</w:t>
      </w:r>
      <w:r>
        <w:rPr>
          <w:spacing w:val="-3"/>
        </w:rPr>
        <w:t xml:space="preserve"> </w:t>
      </w:r>
      <w:r>
        <w:t>of</w:t>
      </w:r>
      <w:r>
        <w:rPr>
          <w:spacing w:val="-4"/>
        </w:rPr>
        <w:t xml:space="preserve"> </w:t>
      </w:r>
      <w:r>
        <w:t>the</w:t>
      </w:r>
      <w:r>
        <w:rPr>
          <w:spacing w:val="-4"/>
        </w:rPr>
        <w:t xml:space="preserve"> </w:t>
      </w:r>
      <w:r>
        <w:t>State</w:t>
      </w:r>
      <w:r>
        <w:rPr>
          <w:spacing w:val="-4"/>
        </w:rPr>
        <w:t xml:space="preserve"> </w:t>
      </w:r>
      <w:r>
        <w:t>Attorney’s</w:t>
      </w:r>
      <w:r>
        <w:rPr>
          <w:spacing w:val="-57"/>
        </w:rPr>
        <w:t xml:space="preserve"> </w:t>
      </w:r>
      <w:r>
        <w:t>Council, the Rules on Amendments to the Rules on the Content of the Judge's Asset Report</w:t>
      </w:r>
      <w:r>
        <w:rPr>
          <w:spacing w:val="1"/>
        </w:rPr>
        <w:t xml:space="preserve"> </w:t>
      </w:r>
      <w:r>
        <w:t>Form</w:t>
      </w:r>
      <w:r>
        <w:rPr>
          <w:spacing w:val="-4"/>
        </w:rPr>
        <w:t xml:space="preserve"> </w:t>
      </w:r>
      <w:r>
        <w:t>and</w:t>
      </w:r>
      <w:r>
        <w:rPr>
          <w:spacing w:val="-3"/>
        </w:rPr>
        <w:t xml:space="preserve"> </w:t>
      </w:r>
      <w:r>
        <w:t>the</w:t>
      </w:r>
      <w:r>
        <w:rPr>
          <w:spacing w:val="-3"/>
        </w:rPr>
        <w:t xml:space="preserve"> </w:t>
      </w:r>
      <w:r>
        <w:t>Rules</w:t>
      </w:r>
      <w:r>
        <w:rPr>
          <w:spacing w:val="-4"/>
        </w:rPr>
        <w:t xml:space="preserve"> </w:t>
      </w:r>
      <w:r>
        <w:t>on</w:t>
      </w:r>
      <w:r>
        <w:rPr>
          <w:spacing w:val="-3"/>
        </w:rPr>
        <w:t xml:space="preserve"> </w:t>
      </w:r>
      <w:r>
        <w:t>Amendments</w:t>
      </w:r>
      <w:r>
        <w:rPr>
          <w:spacing w:val="-2"/>
        </w:rPr>
        <w:t xml:space="preserve"> </w:t>
      </w:r>
      <w:r>
        <w:t>on</w:t>
      </w:r>
      <w:r>
        <w:rPr>
          <w:spacing w:val="-4"/>
        </w:rPr>
        <w:t xml:space="preserve"> </w:t>
      </w:r>
      <w:r>
        <w:t>the</w:t>
      </w:r>
      <w:r>
        <w:rPr>
          <w:spacing w:val="-3"/>
        </w:rPr>
        <w:t xml:space="preserve"> </w:t>
      </w:r>
      <w:r>
        <w:t>Content</w:t>
      </w:r>
      <w:r>
        <w:rPr>
          <w:spacing w:val="-3"/>
        </w:rPr>
        <w:t xml:space="preserve"> </w:t>
      </w:r>
      <w:r>
        <w:t>of</w:t>
      </w:r>
      <w:r>
        <w:rPr>
          <w:spacing w:val="-4"/>
        </w:rPr>
        <w:t xml:space="preserve"> </w:t>
      </w:r>
      <w:r>
        <w:t>the</w:t>
      </w:r>
      <w:r>
        <w:rPr>
          <w:spacing w:val="-4"/>
        </w:rPr>
        <w:t xml:space="preserve"> </w:t>
      </w:r>
      <w:r>
        <w:t>Form</w:t>
      </w:r>
      <w:r>
        <w:rPr>
          <w:spacing w:val="-3"/>
        </w:rPr>
        <w:t xml:space="preserve"> </w:t>
      </w:r>
      <w:r>
        <w:t>of</w:t>
      </w:r>
      <w:r>
        <w:rPr>
          <w:spacing w:val="-4"/>
        </w:rPr>
        <w:t xml:space="preserve"> </w:t>
      </w:r>
      <w:r>
        <w:t>the</w:t>
      </w:r>
      <w:r>
        <w:rPr>
          <w:spacing w:val="-4"/>
        </w:rPr>
        <w:t xml:space="preserve"> </w:t>
      </w:r>
      <w:r>
        <w:t>Report</w:t>
      </w:r>
      <w:r>
        <w:rPr>
          <w:spacing w:val="-3"/>
        </w:rPr>
        <w:t xml:space="preserve"> </w:t>
      </w:r>
      <w:r>
        <w:t>on</w:t>
      </w:r>
      <w:r>
        <w:rPr>
          <w:spacing w:val="-3"/>
        </w:rPr>
        <w:t xml:space="preserve"> </w:t>
      </w:r>
      <w:r>
        <w:t>the</w:t>
      </w:r>
      <w:r>
        <w:rPr>
          <w:spacing w:val="-3"/>
        </w:rPr>
        <w:t xml:space="preserve"> </w:t>
      </w:r>
      <w:r>
        <w:t>Assets</w:t>
      </w:r>
      <w:r>
        <w:rPr>
          <w:spacing w:val="-3"/>
        </w:rPr>
        <w:t xml:space="preserve"> </w:t>
      </w:r>
      <w:r>
        <w:t>of</w:t>
      </w:r>
      <w:r>
        <w:rPr>
          <w:spacing w:val="-57"/>
        </w:rPr>
        <w:t xml:space="preserve"> </w:t>
      </w:r>
      <w:r>
        <w:t>the</w:t>
      </w:r>
      <w:r>
        <w:rPr>
          <w:spacing w:val="-7"/>
        </w:rPr>
        <w:t xml:space="preserve"> </w:t>
      </w:r>
      <w:r>
        <w:t>State</w:t>
      </w:r>
      <w:r>
        <w:rPr>
          <w:spacing w:val="-6"/>
        </w:rPr>
        <w:t xml:space="preserve"> </w:t>
      </w:r>
      <w:r>
        <w:t>Attorney</w:t>
      </w:r>
      <w:r>
        <w:rPr>
          <w:spacing w:val="-10"/>
        </w:rPr>
        <w:t xml:space="preserve"> </w:t>
      </w:r>
      <w:r>
        <w:t>and</w:t>
      </w:r>
      <w:r>
        <w:rPr>
          <w:spacing w:val="-5"/>
        </w:rPr>
        <w:t xml:space="preserve"> </w:t>
      </w:r>
      <w:r>
        <w:t>Deputy</w:t>
      </w:r>
      <w:r>
        <w:rPr>
          <w:spacing w:val="-10"/>
        </w:rPr>
        <w:t xml:space="preserve"> </w:t>
      </w:r>
      <w:r>
        <w:t>State</w:t>
      </w:r>
      <w:r>
        <w:rPr>
          <w:spacing w:val="-6"/>
        </w:rPr>
        <w:t xml:space="preserve"> </w:t>
      </w:r>
      <w:r>
        <w:t>Attorney</w:t>
      </w:r>
      <w:r>
        <w:rPr>
          <w:spacing w:val="-10"/>
        </w:rPr>
        <w:t xml:space="preserve"> </w:t>
      </w:r>
      <w:r>
        <w:t>and</w:t>
      </w:r>
      <w:r>
        <w:rPr>
          <w:spacing w:val="-3"/>
        </w:rPr>
        <w:t xml:space="preserve"> </w:t>
      </w:r>
      <w:r>
        <w:t>the</w:t>
      </w:r>
      <w:r>
        <w:rPr>
          <w:spacing w:val="-6"/>
        </w:rPr>
        <w:t xml:space="preserve"> </w:t>
      </w:r>
      <w:r>
        <w:t>Manner</w:t>
      </w:r>
      <w:r>
        <w:rPr>
          <w:spacing w:val="-6"/>
        </w:rPr>
        <w:t xml:space="preserve"> </w:t>
      </w:r>
      <w:r>
        <w:t>of</w:t>
      </w:r>
      <w:r>
        <w:rPr>
          <w:spacing w:val="-6"/>
        </w:rPr>
        <w:t xml:space="preserve"> </w:t>
      </w:r>
      <w:r>
        <w:t>its</w:t>
      </w:r>
      <w:r>
        <w:rPr>
          <w:spacing w:val="-5"/>
        </w:rPr>
        <w:t xml:space="preserve"> </w:t>
      </w:r>
      <w:r>
        <w:t>Submission,</w:t>
      </w:r>
      <w:r>
        <w:rPr>
          <w:spacing w:val="-5"/>
        </w:rPr>
        <w:t xml:space="preserve"> </w:t>
      </w:r>
      <w:r>
        <w:t>which</w:t>
      </w:r>
      <w:r>
        <w:rPr>
          <w:spacing w:val="-5"/>
        </w:rPr>
        <w:t xml:space="preserve"> </w:t>
      </w:r>
      <w:r>
        <w:t>entered</w:t>
      </w:r>
      <w:r>
        <w:rPr>
          <w:spacing w:val="-57"/>
        </w:rPr>
        <w:t xml:space="preserve"> </w:t>
      </w:r>
      <w:r>
        <w:t>into force in early September 2020, and records of wealth have been publicly available via the</w:t>
      </w:r>
      <w:r>
        <w:rPr>
          <w:spacing w:val="-57"/>
        </w:rPr>
        <w:t xml:space="preserve"> </w:t>
      </w:r>
      <w:r>
        <w:t>online</w:t>
      </w:r>
      <w:r>
        <w:rPr>
          <w:spacing w:val="-2"/>
        </w:rPr>
        <w:t xml:space="preserve"> </w:t>
      </w:r>
      <w:r>
        <w:t>application since</w:t>
      </w:r>
      <w:r>
        <w:rPr>
          <w:spacing w:val="1"/>
        </w:rPr>
        <w:t xml:space="preserve"> </w:t>
      </w:r>
      <w:r>
        <w:t>4 January</w:t>
      </w:r>
      <w:r>
        <w:rPr>
          <w:spacing w:val="-5"/>
        </w:rPr>
        <w:t xml:space="preserve"> </w:t>
      </w:r>
      <w:r>
        <w:t>2021.</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1"/>
      </w:pPr>
      <w:r>
        <w:t>The</w:t>
      </w:r>
      <w:r>
        <w:rPr>
          <w:spacing w:val="1"/>
        </w:rPr>
        <w:t xml:space="preserve"> </w:t>
      </w:r>
      <w:r>
        <w:t>national</w:t>
      </w:r>
      <w:r>
        <w:rPr>
          <w:spacing w:val="1"/>
        </w:rPr>
        <w:t xml:space="preserve"> </w:t>
      </w:r>
      <w:r>
        <w:t>strategic</w:t>
      </w:r>
      <w:r>
        <w:rPr>
          <w:spacing w:val="1"/>
        </w:rPr>
        <w:t xml:space="preserve"> </w:t>
      </w:r>
      <w:r>
        <w:t>document</w:t>
      </w:r>
      <w:r>
        <w:rPr>
          <w:spacing w:val="1"/>
        </w:rPr>
        <w:t xml:space="preserve"> </w:t>
      </w:r>
      <w:r>
        <w:t>in</w:t>
      </w:r>
      <w:r>
        <w:rPr>
          <w:spacing w:val="1"/>
        </w:rPr>
        <w:t xml:space="preserve"> </w:t>
      </w:r>
      <w:r>
        <w:t>combatting</w:t>
      </w:r>
      <w:r>
        <w:rPr>
          <w:spacing w:val="1"/>
        </w:rPr>
        <w:t xml:space="preserve"> </w:t>
      </w:r>
      <w:r>
        <w:t>corruption</w:t>
      </w:r>
      <w:r>
        <w:rPr>
          <w:spacing w:val="1"/>
        </w:rPr>
        <w:t xml:space="preserve"> </w:t>
      </w:r>
      <w:r>
        <w:t>titled</w:t>
      </w:r>
      <w:r>
        <w:rPr>
          <w:spacing w:val="1"/>
        </w:rPr>
        <w:t xml:space="preserve"> </w:t>
      </w:r>
      <w:r>
        <w:t>Strategy</w:t>
      </w:r>
      <w:r>
        <w:rPr>
          <w:spacing w:val="1"/>
        </w:rPr>
        <w:t xml:space="preserve"> </w:t>
      </w:r>
      <w:r>
        <w:t>in</w:t>
      </w:r>
      <w:r>
        <w:rPr>
          <w:spacing w:val="1"/>
        </w:rPr>
        <w:t xml:space="preserve"> </w:t>
      </w:r>
      <w:r>
        <w:t>Preventing</w:t>
      </w:r>
      <w:r>
        <w:rPr>
          <w:spacing w:val="1"/>
        </w:rPr>
        <w:t xml:space="preserve"> </w:t>
      </w:r>
      <w:r>
        <w:t>Corruption</w:t>
      </w:r>
      <w:r>
        <w:rPr>
          <w:spacing w:val="-5"/>
        </w:rPr>
        <w:t xml:space="preserve"> </w:t>
      </w:r>
      <w:r>
        <w:t>for</w:t>
      </w:r>
      <w:r>
        <w:rPr>
          <w:spacing w:val="-7"/>
        </w:rPr>
        <w:t xml:space="preserve"> </w:t>
      </w:r>
      <w:r>
        <w:t>the</w:t>
      </w:r>
      <w:r>
        <w:rPr>
          <w:spacing w:val="-6"/>
        </w:rPr>
        <w:t xml:space="preserve"> </w:t>
      </w:r>
      <w:r>
        <w:t>2021-2030</w:t>
      </w:r>
      <w:r>
        <w:rPr>
          <w:spacing w:val="-5"/>
        </w:rPr>
        <w:t xml:space="preserve"> </w:t>
      </w:r>
      <w:r>
        <w:t>Period</w:t>
      </w:r>
      <w:r>
        <w:rPr>
          <w:vertAlign w:val="superscript"/>
        </w:rPr>
        <w:t>31</w:t>
      </w:r>
      <w:r>
        <w:rPr>
          <w:spacing w:val="-4"/>
        </w:rPr>
        <w:t xml:space="preserve"> </w:t>
      </w:r>
      <w:r>
        <w:t>has</w:t>
      </w:r>
      <w:r>
        <w:rPr>
          <w:spacing w:val="-5"/>
        </w:rPr>
        <w:t xml:space="preserve"> </w:t>
      </w:r>
      <w:r>
        <w:t>been</w:t>
      </w:r>
      <w:r>
        <w:rPr>
          <w:spacing w:val="-5"/>
        </w:rPr>
        <w:t xml:space="preserve"> </w:t>
      </w:r>
      <w:r>
        <w:t>passed.</w:t>
      </w:r>
      <w:r>
        <w:rPr>
          <w:spacing w:val="-5"/>
        </w:rPr>
        <w:t xml:space="preserve"> </w:t>
      </w:r>
      <w:r>
        <w:t>The</w:t>
      </w:r>
      <w:r>
        <w:rPr>
          <w:spacing w:val="-6"/>
        </w:rPr>
        <w:t xml:space="preserve"> </w:t>
      </w:r>
      <w:r>
        <w:t>strategy</w:t>
      </w:r>
      <w:r>
        <w:rPr>
          <w:spacing w:val="-9"/>
        </w:rPr>
        <w:t xml:space="preserve"> </w:t>
      </w:r>
      <w:r>
        <w:t>defines</w:t>
      </w:r>
      <w:r>
        <w:rPr>
          <w:spacing w:val="-3"/>
        </w:rPr>
        <w:t xml:space="preserve"> </w:t>
      </w:r>
      <w:r>
        <w:t>the</w:t>
      </w:r>
      <w:r>
        <w:rPr>
          <w:spacing w:val="-6"/>
        </w:rPr>
        <w:t xml:space="preserve"> </w:t>
      </w:r>
      <w:r>
        <w:t>following</w:t>
      </w:r>
      <w:r>
        <w:rPr>
          <w:spacing w:val="-7"/>
        </w:rPr>
        <w:t xml:space="preserve"> </w:t>
      </w:r>
      <w:r>
        <w:t>five</w:t>
      </w:r>
      <w:r>
        <w:rPr>
          <w:spacing w:val="-58"/>
        </w:rPr>
        <w:t xml:space="preserve"> </w:t>
      </w:r>
      <w:r>
        <w:t>particular</w:t>
      </w:r>
      <w:r>
        <w:rPr>
          <w:spacing w:val="1"/>
        </w:rPr>
        <w:t xml:space="preserve"> </w:t>
      </w:r>
      <w:r>
        <w:t>goals:</w:t>
      </w:r>
      <w:r>
        <w:rPr>
          <w:spacing w:val="1"/>
        </w:rPr>
        <w:t xml:space="preserve"> </w:t>
      </w:r>
      <w:r>
        <w:t>1)</w:t>
      </w:r>
      <w:r>
        <w:rPr>
          <w:spacing w:val="1"/>
        </w:rPr>
        <w:t xml:space="preserve"> </w:t>
      </w:r>
      <w:r>
        <w:t>strengthening</w:t>
      </w:r>
      <w:r>
        <w:rPr>
          <w:spacing w:val="1"/>
        </w:rPr>
        <w:t xml:space="preserve"> </w:t>
      </w:r>
      <w:r>
        <w:t>the</w:t>
      </w:r>
      <w:r>
        <w:rPr>
          <w:spacing w:val="1"/>
        </w:rPr>
        <w:t xml:space="preserve"> </w:t>
      </w:r>
      <w:r>
        <w:t>institutional</w:t>
      </w:r>
      <w:r>
        <w:rPr>
          <w:spacing w:val="1"/>
        </w:rPr>
        <w:t xml:space="preserve"> </w:t>
      </w:r>
      <w:r>
        <w:t>and</w:t>
      </w:r>
      <w:r>
        <w:rPr>
          <w:spacing w:val="1"/>
        </w:rPr>
        <w:t xml:space="preserve"> </w:t>
      </w:r>
      <w:r>
        <w:t>normative</w:t>
      </w:r>
      <w:r>
        <w:rPr>
          <w:spacing w:val="1"/>
        </w:rPr>
        <w:t xml:space="preserve"> </w:t>
      </w:r>
      <w:r>
        <w:t>framework</w:t>
      </w:r>
      <w:r>
        <w:rPr>
          <w:spacing w:val="1"/>
        </w:rPr>
        <w:t xml:space="preserve"> </w:t>
      </w:r>
      <w:r>
        <w:t>in</w:t>
      </w:r>
      <w:r>
        <w:rPr>
          <w:spacing w:val="1"/>
        </w:rPr>
        <w:t xml:space="preserve"> </w:t>
      </w:r>
      <w:r>
        <w:t>fighting</w:t>
      </w:r>
      <w:r>
        <w:rPr>
          <w:spacing w:val="1"/>
        </w:rPr>
        <w:t xml:space="preserve"> </w:t>
      </w:r>
      <w:r>
        <w:t>corruption, 2) strengthening transparency and openness of work done by public authorities, 3)</w:t>
      </w:r>
      <w:r>
        <w:rPr>
          <w:spacing w:val="1"/>
        </w:rPr>
        <w:t xml:space="preserve"> </w:t>
      </w:r>
      <w:r>
        <w:t>strengthening the system of integrity and handling conflicts of interest, 4) strengthening anti-</w:t>
      </w:r>
      <w:r>
        <w:rPr>
          <w:spacing w:val="1"/>
        </w:rPr>
        <w:t xml:space="preserve"> </w:t>
      </w:r>
      <w:r>
        <w:t>corruption</w:t>
      </w:r>
      <w:r>
        <w:rPr>
          <w:spacing w:val="-6"/>
        </w:rPr>
        <w:t xml:space="preserve"> </w:t>
      </w:r>
      <w:r>
        <w:t>potential</w:t>
      </w:r>
      <w:r>
        <w:rPr>
          <w:spacing w:val="-6"/>
        </w:rPr>
        <w:t xml:space="preserve"> </w:t>
      </w:r>
      <w:r>
        <w:t>within</w:t>
      </w:r>
      <w:r>
        <w:rPr>
          <w:spacing w:val="-6"/>
        </w:rPr>
        <w:t xml:space="preserve"> </w:t>
      </w:r>
      <w:r>
        <w:t>the</w:t>
      </w:r>
      <w:r>
        <w:rPr>
          <w:spacing w:val="-7"/>
        </w:rPr>
        <w:t xml:space="preserve"> </w:t>
      </w:r>
      <w:r>
        <w:t>public</w:t>
      </w:r>
      <w:r>
        <w:rPr>
          <w:spacing w:val="-7"/>
        </w:rPr>
        <w:t xml:space="preserve"> </w:t>
      </w:r>
      <w:r>
        <w:t>procurement</w:t>
      </w:r>
      <w:r>
        <w:rPr>
          <w:spacing w:val="-6"/>
        </w:rPr>
        <w:t xml:space="preserve"> </w:t>
      </w:r>
      <w:r>
        <w:t>system,</w:t>
      </w:r>
      <w:r>
        <w:rPr>
          <w:spacing w:val="-6"/>
        </w:rPr>
        <w:t xml:space="preserve"> </w:t>
      </w:r>
      <w:r>
        <w:t>and</w:t>
      </w:r>
      <w:r>
        <w:rPr>
          <w:spacing w:val="-6"/>
        </w:rPr>
        <w:t xml:space="preserve"> </w:t>
      </w:r>
      <w:r>
        <w:t>5)</w:t>
      </w:r>
      <w:r>
        <w:rPr>
          <w:spacing w:val="-7"/>
        </w:rPr>
        <w:t xml:space="preserve"> </w:t>
      </w:r>
      <w:r>
        <w:t>raising</w:t>
      </w:r>
      <w:r>
        <w:rPr>
          <w:spacing w:val="-9"/>
        </w:rPr>
        <w:t xml:space="preserve"> </w:t>
      </w:r>
      <w:r>
        <w:t>awareness</w:t>
      </w:r>
      <w:r>
        <w:rPr>
          <w:spacing w:val="-6"/>
        </w:rPr>
        <w:t xml:space="preserve"> </w:t>
      </w:r>
      <w:r>
        <w:t>among</w:t>
      </w:r>
      <w:r>
        <w:rPr>
          <w:spacing w:val="-9"/>
        </w:rPr>
        <w:t xml:space="preserve"> </w:t>
      </w:r>
      <w:r>
        <w:t>the</w:t>
      </w:r>
      <w:r>
        <w:rPr>
          <w:spacing w:val="-58"/>
        </w:rPr>
        <w:t xml:space="preserve"> </w:t>
      </w:r>
      <w:r>
        <w:t>public</w:t>
      </w:r>
      <w:r>
        <w:rPr>
          <w:spacing w:val="1"/>
        </w:rPr>
        <w:t xml:space="preserve"> </w:t>
      </w:r>
      <w:r>
        <w:t>of</w:t>
      </w:r>
      <w:r>
        <w:rPr>
          <w:spacing w:val="1"/>
        </w:rPr>
        <w:t xml:space="preserve"> </w:t>
      </w:r>
      <w:r>
        <w:t>the</w:t>
      </w:r>
      <w:r>
        <w:rPr>
          <w:spacing w:val="1"/>
        </w:rPr>
        <w:t xml:space="preserve"> </w:t>
      </w:r>
      <w:r>
        <w:t>harmfulness</w:t>
      </w:r>
      <w:r>
        <w:rPr>
          <w:spacing w:val="1"/>
        </w:rPr>
        <w:t xml:space="preserve"> </w:t>
      </w:r>
      <w:r>
        <w:t>of</w:t>
      </w:r>
      <w:r>
        <w:rPr>
          <w:spacing w:val="1"/>
        </w:rPr>
        <w:t xml:space="preserve"> </w:t>
      </w:r>
      <w:r>
        <w:t>corruption,</w:t>
      </w:r>
      <w:r>
        <w:rPr>
          <w:spacing w:val="1"/>
        </w:rPr>
        <w:t xml:space="preserve"> </w:t>
      </w:r>
      <w:r>
        <w:t>the</w:t>
      </w:r>
      <w:r>
        <w:rPr>
          <w:spacing w:val="1"/>
        </w:rPr>
        <w:t xml:space="preserve"> </w:t>
      </w:r>
      <w:r>
        <w:t>necessity</w:t>
      </w:r>
      <w:r>
        <w:rPr>
          <w:spacing w:val="1"/>
        </w:rPr>
        <w:t xml:space="preserve"> </w:t>
      </w:r>
      <w:r>
        <w:t>of</w:t>
      </w:r>
      <w:r>
        <w:rPr>
          <w:spacing w:val="1"/>
        </w:rPr>
        <w:t xml:space="preserve"> </w:t>
      </w:r>
      <w:r>
        <w:t>reporting</w:t>
      </w:r>
      <w:r>
        <w:rPr>
          <w:spacing w:val="1"/>
        </w:rPr>
        <w:t xml:space="preserve"> </w:t>
      </w:r>
      <w:r>
        <w:t>irregularities</w:t>
      </w:r>
      <w:r>
        <w:rPr>
          <w:spacing w:val="1"/>
        </w:rPr>
        <w:t xml:space="preserve"> </w:t>
      </w:r>
      <w:r>
        <w:t>and</w:t>
      </w:r>
      <w:r>
        <w:rPr>
          <w:spacing w:val="1"/>
        </w:rPr>
        <w:t xml:space="preserve"> </w:t>
      </w:r>
      <w:r>
        <w:t>strengthening transparency. Each special goal has defined a set of measures for managing</w:t>
      </w:r>
      <w:r>
        <w:rPr>
          <w:spacing w:val="1"/>
        </w:rPr>
        <w:t xml:space="preserve"> </w:t>
      </w:r>
      <w:r>
        <w:t>corruption</w:t>
      </w:r>
      <w:r>
        <w:rPr>
          <w:spacing w:val="-4"/>
        </w:rPr>
        <w:t xml:space="preserve"> </w:t>
      </w:r>
      <w:r>
        <w:t>risk</w:t>
      </w:r>
      <w:r>
        <w:rPr>
          <w:spacing w:val="-4"/>
        </w:rPr>
        <w:t xml:space="preserve"> </w:t>
      </w:r>
      <w:r>
        <w:t>in</w:t>
      </w:r>
      <w:r>
        <w:rPr>
          <w:spacing w:val="-3"/>
        </w:rPr>
        <w:t xml:space="preserve"> </w:t>
      </w:r>
      <w:r>
        <w:t>prioritised</w:t>
      </w:r>
      <w:r>
        <w:rPr>
          <w:spacing w:val="-4"/>
        </w:rPr>
        <w:t xml:space="preserve"> </w:t>
      </w:r>
      <w:r>
        <w:t>areas.</w:t>
      </w:r>
      <w:r>
        <w:rPr>
          <w:spacing w:val="-3"/>
        </w:rPr>
        <w:t xml:space="preserve"> </w:t>
      </w:r>
      <w:r>
        <w:t>The</w:t>
      </w:r>
      <w:r>
        <w:rPr>
          <w:spacing w:val="-5"/>
        </w:rPr>
        <w:t xml:space="preserve"> </w:t>
      </w:r>
      <w:r>
        <w:t>measures</w:t>
      </w:r>
      <w:r>
        <w:rPr>
          <w:spacing w:val="-1"/>
        </w:rPr>
        <w:t xml:space="preserve"> </w:t>
      </w:r>
      <w:r>
        <w:t>will</w:t>
      </w:r>
      <w:r>
        <w:rPr>
          <w:spacing w:val="-3"/>
        </w:rPr>
        <w:t xml:space="preserve"> </w:t>
      </w:r>
      <w:r>
        <w:t>be</w:t>
      </w:r>
      <w:r>
        <w:rPr>
          <w:spacing w:val="-4"/>
        </w:rPr>
        <w:t xml:space="preserve"> </w:t>
      </w:r>
      <w:r>
        <w:t>further</w:t>
      </w:r>
      <w:r>
        <w:rPr>
          <w:spacing w:val="-3"/>
        </w:rPr>
        <w:t xml:space="preserve"> </w:t>
      </w:r>
      <w:r>
        <w:t>elaborated</w:t>
      </w:r>
      <w:r>
        <w:rPr>
          <w:spacing w:val="2"/>
        </w:rPr>
        <w:t xml:space="preserve"> </w:t>
      </w:r>
      <w:r>
        <w:t>in</w:t>
      </w:r>
      <w:r>
        <w:rPr>
          <w:spacing w:val="-3"/>
        </w:rPr>
        <w:t xml:space="preserve"> </w:t>
      </w:r>
      <w:r>
        <w:t>actions</w:t>
      </w:r>
      <w:r>
        <w:rPr>
          <w:spacing w:val="-4"/>
        </w:rPr>
        <w:t xml:space="preserve"> </w:t>
      </w:r>
      <w:r>
        <w:t>plans</w:t>
      </w:r>
      <w:r>
        <w:rPr>
          <w:spacing w:val="-3"/>
        </w:rPr>
        <w:t xml:space="preserve"> </w:t>
      </w:r>
      <w:r>
        <w:t>for</w:t>
      </w:r>
      <w:r>
        <w:rPr>
          <w:spacing w:val="-58"/>
        </w:rPr>
        <w:t xml:space="preserve"> </w:t>
      </w:r>
      <w:r>
        <w:t>implementing the Strategy. The plan is to implement the Strategy through three three-year</w:t>
      </w:r>
      <w:r>
        <w:rPr>
          <w:spacing w:val="1"/>
        </w:rPr>
        <w:t xml:space="preserve"> </w:t>
      </w:r>
      <w:r>
        <w:t>implementation</w:t>
      </w:r>
      <w:r>
        <w:rPr>
          <w:spacing w:val="-10"/>
        </w:rPr>
        <w:t xml:space="preserve"> </w:t>
      </w:r>
      <w:r>
        <w:t>documents</w:t>
      </w:r>
      <w:r>
        <w:rPr>
          <w:spacing w:val="-10"/>
        </w:rPr>
        <w:t xml:space="preserve"> </w:t>
      </w:r>
      <w:r>
        <w:t>(action</w:t>
      </w:r>
      <w:r>
        <w:rPr>
          <w:spacing w:val="-10"/>
        </w:rPr>
        <w:t xml:space="preserve"> </w:t>
      </w:r>
      <w:r>
        <w:t>plans)</w:t>
      </w:r>
      <w:r>
        <w:rPr>
          <w:spacing w:val="-8"/>
        </w:rPr>
        <w:t xml:space="preserve"> </w:t>
      </w:r>
      <w:r>
        <w:t>for</w:t>
      </w:r>
      <w:r>
        <w:rPr>
          <w:spacing w:val="-12"/>
        </w:rPr>
        <w:t xml:space="preserve"> </w:t>
      </w:r>
      <w:r>
        <w:t>the</w:t>
      </w:r>
      <w:r>
        <w:rPr>
          <w:spacing w:val="-11"/>
        </w:rPr>
        <w:t xml:space="preserve"> </w:t>
      </w:r>
      <w:r>
        <w:t>2022-2024</w:t>
      </w:r>
      <w:r>
        <w:rPr>
          <w:spacing w:val="-10"/>
        </w:rPr>
        <w:t xml:space="preserve"> </w:t>
      </w:r>
      <w:r>
        <w:t>period,</w:t>
      </w:r>
      <w:r>
        <w:rPr>
          <w:spacing w:val="-9"/>
        </w:rPr>
        <w:t xml:space="preserve"> </w:t>
      </w:r>
      <w:r>
        <w:t>followed</w:t>
      </w:r>
      <w:r>
        <w:rPr>
          <w:spacing w:val="-10"/>
        </w:rPr>
        <w:t xml:space="preserve"> </w:t>
      </w:r>
      <w:r>
        <w:t>by</w:t>
      </w:r>
      <w:r>
        <w:rPr>
          <w:spacing w:val="-15"/>
        </w:rPr>
        <w:t xml:space="preserve"> </w:t>
      </w:r>
      <w:r>
        <w:t>the</w:t>
      </w:r>
      <w:r>
        <w:rPr>
          <w:spacing w:val="-11"/>
        </w:rPr>
        <w:t xml:space="preserve"> </w:t>
      </w:r>
      <w:r>
        <w:t>2025-2027</w:t>
      </w:r>
      <w:r>
        <w:rPr>
          <w:spacing w:val="-57"/>
        </w:rPr>
        <w:t xml:space="preserve"> </w:t>
      </w:r>
      <w:r>
        <w:t>period,</w:t>
      </w:r>
      <w:r>
        <w:rPr>
          <w:spacing w:val="-14"/>
        </w:rPr>
        <w:t xml:space="preserve"> </w:t>
      </w:r>
      <w:r>
        <w:t>and</w:t>
      </w:r>
      <w:r>
        <w:rPr>
          <w:spacing w:val="-12"/>
        </w:rPr>
        <w:t xml:space="preserve"> </w:t>
      </w:r>
      <w:r>
        <w:t>the</w:t>
      </w:r>
      <w:r>
        <w:rPr>
          <w:spacing w:val="-14"/>
        </w:rPr>
        <w:t xml:space="preserve"> </w:t>
      </w:r>
      <w:r>
        <w:t>final</w:t>
      </w:r>
      <w:r>
        <w:rPr>
          <w:spacing w:val="-12"/>
        </w:rPr>
        <w:t xml:space="preserve"> </w:t>
      </w:r>
      <w:r>
        <w:t>implementation</w:t>
      </w:r>
      <w:r>
        <w:rPr>
          <w:spacing w:val="-13"/>
        </w:rPr>
        <w:t xml:space="preserve"> </w:t>
      </w:r>
      <w:r>
        <w:t>document</w:t>
      </w:r>
      <w:r>
        <w:rPr>
          <w:spacing w:val="-12"/>
        </w:rPr>
        <w:t xml:space="preserve"> </w:t>
      </w:r>
      <w:r>
        <w:t>in</w:t>
      </w:r>
      <w:r>
        <w:rPr>
          <w:spacing w:val="-13"/>
        </w:rPr>
        <w:t xml:space="preserve"> </w:t>
      </w:r>
      <w:r>
        <w:t>this</w:t>
      </w:r>
      <w:r>
        <w:rPr>
          <w:spacing w:val="-12"/>
        </w:rPr>
        <w:t xml:space="preserve"> </w:t>
      </w:r>
      <w:r>
        <w:t>strategic</w:t>
      </w:r>
      <w:r>
        <w:rPr>
          <w:spacing w:val="-14"/>
        </w:rPr>
        <w:t xml:space="preserve"> </w:t>
      </w:r>
      <w:r>
        <w:t>period</w:t>
      </w:r>
      <w:r>
        <w:rPr>
          <w:spacing w:val="-13"/>
        </w:rPr>
        <w:t xml:space="preserve"> </w:t>
      </w:r>
      <w:r>
        <w:t>for</w:t>
      </w:r>
      <w:r>
        <w:rPr>
          <w:spacing w:val="-15"/>
        </w:rPr>
        <w:t xml:space="preserve"> </w:t>
      </w:r>
      <w:r>
        <w:t>the</w:t>
      </w:r>
      <w:r>
        <w:rPr>
          <w:spacing w:val="-13"/>
        </w:rPr>
        <w:t xml:space="preserve"> </w:t>
      </w:r>
      <w:r>
        <w:t>2028-2030</w:t>
      </w:r>
      <w:r>
        <w:rPr>
          <w:spacing w:val="-12"/>
        </w:rPr>
        <w:t xml:space="preserve"> </w:t>
      </w:r>
      <w:r>
        <w:t>period.</w:t>
      </w:r>
    </w:p>
    <w:p w:rsidR="00A56FE9" w:rsidRDefault="00000000">
      <w:pPr>
        <w:pStyle w:val="Tijeloteksta"/>
        <w:spacing w:before="121"/>
        <w:ind w:right="273"/>
      </w:pPr>
      <w:r>
        <w:t>The</w:t>
      </w:r>
      <w:r>
        <w:rPr>
          <w:spacing w:val="1"/>
        </w:rPr>
        <w:t xml:space="preserve"> </w:t>
      </w:r>
      <w:r>
        <w:t>Conflict</w:t>
      </w:r>
      <w:r>
        <w:rPr>
          <w:spacing w:val="1"/>
        </w:rPr>
        <w:t xml:space="preserve"> </w:t>
      </w:r>
      <w:r>
        <w:t>of</w:t>
      </w:r>
      <w:r>
        <w:rPr>
          <w:spacing w:val="1"/>
        </w:rPr>
        <w:t xml:space="preserve"> </w:t>
      </w:r>
      <w:r>
        <w:t>Interest</w:t>
      </w:r>
      <w:r>
        <w:rPr>
          <w:spacing w:val="1"/>
        </w:rPr>
        <w:t xml:space="preserve"> </w:t>
      </w:r>
      <w:r>
        <w:t>Prevention</w:t>
      </w:r>
      <w:r>
        <w:rPr>
          <w:spacing w:val="1"/>
        </w:rPr>
        <w:t xml:space="preserve"> </w:t>
      </w:r>
      <w:r>
        <w:t>Act</w:t>
      </w:r>
      <w:r>
        <w:rPr>
          <w:vertAlign w:val="superscript"/>
        </w:rPr>
        <w:t>32</w:t>
      </w:r>
      <w:r>
        <w:rPr>
          <w:spacing w:val="1"/>
        </w:rPr>
        <w:t xml:space="preserve"> </w:t>
      </w:r>
      <w:r>
        <w:t>has</w:t>
      </w:r>
      <w:r>
        <w:rPr>
          <w:spacing w:val="1"/>
        </w:rPr>
        <w:t xml:space="preserve"> </w:t>
      </w:r>
      <w:r>
        <w:t>been</w:t>
      </w:r>
      <w:r>
        <w:rPr>
          <w:spacing w:val="1"/>
        </w:rPr>
        <w:t xml:space="preserve"> </w:t>
      </w:r>
      <w:r>
        <w:t>adopted,</w:t>
      </w:r>
      <w:r>
        <w:rPr>
          <w:spacing w:val="1"/>
        </w:rPr>
        <w:t xml:space="preserve"> </w:t>
      </w:r>
      <w:r>
        <w:t>the</w:t>
      </w:r>
      <w:r>
        <w:rPr>
          <w:spacing w:val="1"/>
        </w:rPr>
        <w:t xml:space="preserve"> </w:t>
      </w:r>
      <w:r>
        <w:t>provisions</w:t>
      </w:r>
      <w:r>
        <w:rPr>
          <w:spacing w:val="1"/>
        </w:rPr>
        <w:t xml:space="preserve"> </w:t>
      </w:r>
      <w:r>
        <w:t>of</w:t>
      </w:r>
      <w:r>
        <w:rPr>
          <w:spacing w:val="1"/>
        </w:rPr>
        <w:t xml:space="preserve"> </w:t>
      </w:r>
      <w:r>
        <w:t>which</w:t>
      </w:r>
      <w:r>
        <w:rPr>
          <w:spacing w:val="1"/>
        </w:rPr>
        <w:t xml:space="preserve"> </w:t>
      </w:r>
      <w:r>
        <w:t>significantly</w:t>
      </w:r>
      <w:r>
        <w:rPr>
          <w:spacing w:val="-11"/>
        </w:rPr>
        <w:t xml:space="preserve"> </w:t>
      </w:r>
      <w:r>
        <w:t>expand</w:t>
      </w:r>
      <w:r>
        <w:rPr>
          <w:spacing w:val="-9"/>
        </w:rPr>
        <w:t xml:space="preserve"> </w:t>
      </w:r>
      <w:r>
        <w:t>the</w:t>
      </w:r>
      <w:r>
        <w:rPr>
          <w:spacing w:val="-8"/>
        </w:rPr>
        <w:t xml:space="preserve"> </w:t>
      </w:r>
      <w:r>
        <w:t>circle</w:t>
      </w:r>
      <w:r>
        <w:rPr>
          <w:spacing w:val="-9"/>
        </w:rPr>
        <w:t xml:space="preserve"> </w:t>
      </w:r>
      <w:r>
        <w:t>of</w:t>
      </w:r>
      <w:r>
        <w:rPr>
          <w:spacing w:val="-7"/>
        </w:rPr>
        <w:t xml:space="preserve"> </w:t>
      </w:r>
      <w:r>
        <w:t>affected</w:t>
      </w:r>
      <w:r>
        <w:rPr>
          <w:spacing w:val="-6"/>
        </w:rPr>
        <w:t xml:space="preserve"> </w:t>
      </w:r>
      <w:r>
        <w:t>parties,</w:t>
      </w:r>
      <w:r>
        <w:rPr>
          <w:spacing w:val="-6"/>
        </w:rPr>
        <w:t xml:space="preserve"> </w:t>
      </w:r>
      <w:r>
        <w:t>and</w:t>
      </w:r>
      <w:r>
        <w:rPr>
          <w:spacing w:val="-9"/>
        </w:rPr>
        <w:t xml:space="preserve"> </w:t>
      </w:r>
      <w:r>
        <w:t>which</w:t>
      </w:r>
      <w:r>
        <w:rPr>
          <w:spacing w:val="-8"/>
        </w:rPr>
        <w:t xml:space="preserve"> </w:t>
      </w:r>
      <w:r>
        <w:t>includes</w:t>
      </w:r>
      <w:r>
        <w:rPr>
          <w:spacing w:val="-8"/>
        </w:rPr>
        <w:t xml:space="preserve"> </w:t>
      </w:r>
      <w:r>
        <w:t>members</w:t>
      </w:r>
      <w:r>
        <w:rPr>
          <w:spacing w:val="-8"/>
        </w:rPr>
        <w:t xml:space="preserve"> </w:t>
      </w:r>
      <w:r>
        <w:t>of</w:t>
      </w:r>
      <w:r>
        <w:rPr>
          <w:spacing w:val="-8"/>
        </w:rPr>
        <w:t xml:space="preserve"> </w:t>
      </w:r>
      <w:r>
        <w:t>management</w:t>
      </w:r>
      <w:r>
        <w:rPr>
          <w:spacing w:val="-58"/>
        </w:rPr>
        <w:t xml:space="preserve"> </w:t>
      </w:r>
      <w:r>
        <w:t>boards of companies in which local and regional self-government units have a majority stake,</w:t>
      </w:r>
      <w:r>
        <w:rPr>
          <w:spacing w:val="1"/>
        </w:rPr>
        <w:t xml:space="preserve"> </w:t>
      </w:r>
      <w:r>
        <w:t>as well as their subsidiary companies. A novelty in the Act stipulates the manner of adopting</w:t>
      </w:r>
      <w:r>
        <w:rPr>
          <w:spacing w:val="1"/>
        </w:rPr>
        <w:t xml:space="preserve"> </w:t>
      </w:r>
      <w:r>
        <w:t>and supervising the code of behaviour at the level of local (regional) self-government units,</w:t>
      </w:r>
      <w:r>
        <w:rPr>
          <w:spacing w:val="1"/>
        </w:rPr>
        <w:t xml:space="preserve"> </w:t>
      </w:r>
      <w:r>
        <w:t>which will contribute to nurturing a culture of integrity and transparency for the purpose of</w:t>
      </w:r>
      <w:r>
        <w:rPr>
          <w:spacing w:val="1"/>
        </w:rPr>
        <w:t xml:space="preserve"> </w:t>
      </w:r>
      <w:r>
        <w:t>strengthening anti-corruption capacities and trust from the public in institutions at the local</w:t>
      </w:r>
      <w:r>
        <w:rPr>
          <w:spacing w:val="1"/>
        </w:rPr>
        <w:t xml:space="preserve"> </w:t>
      </w:r>
      <w:r>
        <w:t>level. The new Act means that the Committee for Deciding on Conflict of Interest remains an</w:t>
      </w:r>
      <w:r>
        <w:rPr>
          <w:spacing w:val="1"/>
        </w:rPr>
        <w:t xml:space="preserve"> </w:t>
      </w:r>
      <w:r>
        <w:t>important</w:t>
      </w:r>
      <w:r>
        <w:rPr>
          <w:spacing w:val="1"/>
        </w:rPr>
        <w:t xml:space="preserve"> </w:t>
      </w:r>
      <w:r>
        <w:t>independent</w:t>
      </w:r>
      <w:r>
        <w:rPr>
          <w:spacing w:val="1"/>
        </w:rPr>
        <w:t xml:space="preserve"> </w:t>
      </w:r>
      <w:r>
        <w:t>anti-corruption</w:t>
      </w:r>
      <w:r>
        <w:rPr>
          <w:spacing w:val="1"/>
        </w:rPr>
        <w:t xml:space="preserve"> </w:t>
      </w:r>
      <w:r>
        <w:t>body with</w:t>
      </w:r>
      <w:r>
        <w:rPr>
          <w:spacing w:val="1"/>
        </w:rPr>
        <w:t xml:space="preserve"> </w:t>
      </w:r>
      <w:r>
        <w:t>expanded</w:t>
      </w:r>
      <w:r>
        <w:rPr>
          <w:spacing w:val="1"/>
        </w:rPr>
        <w:t xml:space="preserve"> </w:t>
      </w:r>
      <w:r>
        <w:t>jurisdiction</w:t>
      </w:r>
      <w:r>
        <w:rPr>
          <w:spacing w:val="1"/>
        </w:rPr>
        <w:t xml:space="preserve"> </w:t>
      </w:r>
      <w:r>
        <w:t>extending</w:t>
      </w:r>
      <w:r>
        <w:rPr>
          <w:spacing w:val="1"/>
        </w:rPr>
        <w:t xml:space="preserve"> </w:t>
      </w:r>
      <w:r>
        <w:t>to</w:t>
      </w:r>
      <w:r>
        <w:rPr>
          <w:spacing w:val="1"/>
        </w:rPr>
        <w:t xml:space="preserve"> </w:t>
      </w:r>
      <w:r>
        <w:t>new</w:t>
      </w:r>
      <w:r>
        <w:rPr>
          <w:spacing w:val="1"/>
        </w:rPr>
        <w:t xml:space="preserve"> </w:t>
      </w:r>
      <w:r>
        <w:rPr>
          <w:spacing w:val="-1"/>
        </w:rPr>
        <w:t>obligated</w:t>
      </w:r>
      <w:r>
        <w:rPr>
          <w:spacing w:val="-13"/>
        </w:rPr>
        <w:t xml:space="preserve"> </w:t>
      </w:r>
      <w:r>
        <w:t>parties</w:t>
      </w:r>
      <w:r>
        <w:rPr>
          <w:spacing w:val="-12"/>
        </w:rPr>
        <w:t xml:space="preserve"> </w:t>
      </w:r>
      <w:r>
        <w:t>and</w:t>
      </w:r>
      <w:r>
        <w:rPr>
          <w:spacing w:val="-12"/>
        </w:rPr>
        <w:t xml:space="preserve"> </w:t>
      </w:r>
      <w:r>
        <w:t>a</w:t>
      </w:r>
      <w:r>
        <w:rPr>
          <w:spacing w:val="-16"/>
        </w:rPr>
        <w:t xml:space="preserve"> </w:t>
      </w:r>
      <w:r>
        <w:t>new</w:t>
      </w:r>
      <w:r>
        <w:rPr>
          <w:spacing w:val="-15"/>
        </w:rPr>
        <w:t xml:space="preserve"> </w:t>
      </w:r>
      <w:r>
        <w:t>mechanism</w:t>
      </w:r>
      <w:r>
        <w:rPr>
          <w:spacing w:val="-14"/>
        </w:rPr>
        <w:t xml:space="preserve"> </w:t>
      </w:r>
      <w:r>
        <w:t>for</w:t>
      </w:r>
      <w:r>
        <w:rPr>
          <w:spacing w:val="-14"/>
        </w:rPr>
        <w:t xml:space="preserve"> </w:t>
      </w:r>
      <w:r>
        <w:t>preventing</w:t>
      </w:r>
      <w:r>
        <w:rPr>
          <w:spacing w:val="-16"/>
        </w:rPr>
        <w:t xml:space="preserve"> </w:t>
      </w:r>
      <w:r>
        <w:t>potential</w:t>
      </w:r>
      <w:r>
        <w:rPr>
          <w:spacing w:val="-13"/>
        </w:rPr>
        <w:t xml:space="preserve"> </w:t>
      </w:r>
      <w:r>
        <w:t>conflicts</w:t>
      </w:r>
      <w:r>
        <w:rPr>
          <w:spacing w:val="-14"/>
        </w:rPr>
        <w:t xml:space="preserve"> </w:t>
      </w:r>
      <w:r>
        <w:t>of</w:t>
      </w:r>
      <w:r>
        <w:rPr>
          <w:spacing w:val="-16"/>
        </w:rPr>
        <w:t xml:space="preserve"> </w:t>
      </w:r>
      <w:r>
        <w:t>interest</w:t>
      </w:r>
      <w:r>
        <w:rPr>
          <w:spacing w:val="-14"/>
        </w:rPr>
        <w:t xml:space="preserve"> </w:t>
      </w:r>
      <w:r>
        <w:t>and</w:t>
      </w:r>
      <w:r>
        <w:rPr>
          <w:spacing w:val="-13"/>
        </w:rPr>
        <w:t xml:space="preserve"> </w:t>
      </w:r>
      <w:r>
        <w:t>existing</w:t>
      </w:r>
      <w:r>
        <w:rPr>
          <w:spacing w:val="-57"/>
        </w:rPr>
        <w:t xml:space="preserve"> </w:t>
      </w:r>
      <w:r>
        <w:t>conflicts</w:t>
      </w:r>
      <w:r>
        <w:rPr>
          <w:spacing w:val="-6"/>
        </w:rPr>
        <w:t xml:space="preserve"> </w:t>
      </w:r>
      <w:r>
        <w:t>of</w:t>
      </w:r>
      <w:r>
        <w:rPr>
          <w:spacing w:val="-7"/>
        </w:rPr>
        <w:t xml:space="preserve"> </w:t>
      </w:r>
      <w:r>
        <w:t>interest.</w:t>
      </w:r>
      <w:r>
        <w:rPr>
          <w:spacing w:val="-5"/>
        </w:rPr>
        <w:t xml:space="preserve"> </w:t>
      </w:r>
      <w:r>
        <w:t>The</w:t>
      </w:r>
      <w:r>
        <w:rPr>
          <w:spacing w:val="-4"/>
        </w:rPr>
        <w:t xml:space="preserve"> </w:t>
      </w:r>
      <w:r>
        <w:t>process</w:t>
      </w:r>
      <w:r>
        <w:rPr>
          <w:spacing w:val="-6"/>
        </w:rPr>
        <w:t xml:space="preserve"> </w:t>
      </w:r>
      <w:r>
        <w:t>will</w:t>
      </w:r>
      <w:r>
        <w:rPr>
          <w:spacing w:val="-6"/>
        </w:rPr>
        <w:t xml:space="preserve"> </w:t>
      </w:r>
      <w:r>
        <w:t>be</w:t>
      </w:r>
      <w:r>
        <w:rPr>
          <w:spacing w:val="-7"/>
        </w:rPr>
        <w:t xml:space="preserve"> </w:t>
      </w:r>
      <w:r>
        <w:t>faster,</w:t>
      </w:r>
      <w:r>
        <w:rPr>
          <w:spacing w:val="-6"/>
        </w:rPr>
        <w:t xml:space="preserve"> </w:t>
      </w:r>
      <w:r>
        <w:t>more</w:t>
      </w:r>
      <w:r>
        <w:rPr>
          <w:spacing w:val="-7"/>
        </w:rPr>
        <w:t xml:space="preserve"> </w:t>
      </w:r>
      <w:r>
        <w:t>efficient,</w:t>
      </w:r>
      <w:r>
        <w:rPr>
          <w:spacing w:val="-6"/>
        </w:rPr>
        <w:t xml:space="preserve"> </w:t>
      </w:r>
      <w:r>
        <w:t>and</w:t>
      </w:r>
      <w:r>
        <w:rPr>
          <w:spacing w:val="-5"/>
        </w:rPr>
        <w:t xml:space="preserve"> </w:t>
      </w:r>
      <w:r>
        <w:t>transparent</w:t>
      </w:r>
      <w:r>
        <w:rPr>
          <w:spacing w:val="-6"/>
        </w:rPr>
        <w:t xml:space="preserve"> </w:t>
      </w:r>
      <w:r>
        <w:t>in</w:t>
      </w:r>
      <w:r>
        <w:rPr>
          <w:spacing w:val="-6"/>
        </w:rPr>
        <w:t xml:space="preserve"> </w:t>
      </w:r>
      <w:r>
        <w:t>relation</w:t>
      </w:r>
      <w:r>
        <w:rPr>
          <w:spacing w:val="-6"/>
        </w:rPr>
        <w:t xml:space="preserve"> </w:t>
      </w:r>
      <w:r>
        <w:t>to</w:t>
      </w:r>
      <w:r>
        <w:rPr>
          <w:spacing w:val="-5"/>
        </w:rPr>
        <w:t xml:space="preserve"> </w:t>
      </w:r>
      <w:r>
        <w:t>the</w:t>
      </w:r>
      <w:r>
        <w:rPr>
          <w:spacing w:val="-58"/>
        </w:rPr>
        <w:t xml:space="preserve"> </w:t>
      </w:r>
      <w:r>
        <w:t>course of proceedings before the Commission. The law tightens penalties for violating the</w:t>
      </w:r>
      <w:r>
        <w:rPr>
          <w:spacing w:val="1"/>
        </w:rPr>
        <w:t xml:space="preserve"> </w:t>
      </w:r>
      <w:r>
        <w:t>provisions, and the cooling-off period, during which obligors will not be able to be appointed</w:t>
      </w:r>
      <w:r>
        <w:rPr>
          <w:spacing w:val="1"/>
        </w:rPr>
        <w:t xml:space="preserve"> </w:t>
      </w:r>
      <w:r>
        <w:t>to management positions in companies with which the body they worked in was either in a</w:t>
      </w:r>
      <w:r>
        <w:rPr>
          <w:spacing w:val="1"/>
        </w:rPr>
        <w:t xml:space="preserve"> </w:t>
      </w:r>
      <w:r>
        <w:t>business</w:t>
      </w:r>
      <w:r>
        <w:rPr>
          <w:spacing w:val="-1"/>
        </w:rPr>
        <w:t xml:space="preserve"> </w:t>
      </w:r>
      <w:r>
        <w:t>or supervised by</w:t>
      </w:r>
      <w:r>
        <w:rPr>
          <w:spacing w:val="-3"/>
        </w:rPr>
        <w:t xml:space="preserve"> </w:t>
      </w:r>
      <w:r>
        <w:t>the person,</w:t>
      </w:r>
      <w:r>
        <w:rPr>
          <w:spacing w:val="-1"/>
        </w:rPr>
        <w:t xml:space="preserve"> </w:t>
      </w:r>
      <w:r>
        <w:t>and the period is extended</w:t>
      </w:r>
      <w:r>
        <w:rPr>
          <w:spacing w:val="-1"/>
        </w:rPr>
        <w:t xml:space="preserve"> </w:t>
      </w:r>
      <w:r>
        <w:t>from 12 to 18 months.</w:t>
      </w:r>
    </w:p>
    <w:p w:rsidR="00A56FE9" w:rsidRDefault="00000000">
      <w:pPr>
        <w:pStyle w:val="Tijeloteksta"/>
        <w:spacing w:before="121"/>
        <w:ind w:right="275"/>
      </w:pPr>
      <w:r>
        <w:t>In terms of protecting whistleblowers, for the purpose of adopting Directive (EU) 2019/1937</w:t>
      </w:r>
      <w:r>
        <w:rPr>
          <w:spacing w:val="1"/>
        </w:rPr>
        <w:t xml:space="preserve"> </w:t>
      </w:r>
      <w:r>
        <w:t>of</w:t>
      </w:r>
      <w:r>
        <w:rPr>
          <w:spacing w:val="-7"/>
        </w:rPr>
        <w:t xml:space="preserve"> </w:t>
      </w:r>
      <w:r>
        <w:t>the</w:t>
      </w:r>
      <w:r>
        <w:rPr>
          <w:spacing w:val="-6"/>
        </w:rPr>
        <w:t xml:space="preserve"> </w:t>
      </w:r>
      <w:r>
        <w:t>European</w:t>
      </w:r>
      <w:r>
        <w:rPr>
          <w:spacing w:val="-5"/>
        </w:rPr>
        <w:t xml:space="preserve"> </w:t>
      </w:r>
      <w:r>
        <w:t>Parliament</w:t>
      </w:r>
      <w:r>
        <w:rPr>
          <w:spacing w:val="-6"/>
        </w:rPr>
        <w:t xml:space="preserve"> </w:t>
      </w:r>
      <w:r>
        <w:t>and</w:t>
      </w:r>
      <w:r>
        <w:rPr>
          <w:spacing w:val="-5"/>
        </w:rPr>
        <w:t xml:space="preserve"> </w:t>
      </w:r>
      <w:r>
        <w:t>of</w:t>
      </w:r>
      <w:r>
        <w:rPr>
          <w:spacing w:val="-6"/>
        </w:rPr>
        <w:t xml:space="preserve"> </w:t>
      </w:r>
      <w:r>
        <w:t>the</w:t>
      </w:r>
      <w:r>
        <w:rPr>
          <w:spacing w:val="-7"/>
        </w:rPr>
        <w:t xml:space="preserve"> </w:t>
      </w:r>
      <w:r>
        <w:t>Council</w:t>
      </w:r>
      <w:r>
        <w:rPr>
          <w:spacing w:val="-5"/>
        </w:rPr>
        <w:t xml:space="preserve"> </w:t>
      </w:r>
      <w:r>
        <w:t>of</w:t>
      </w:r>
      <w:r>
        <w:rPr>
          <w:spacing w:val="-6"/>
        </w:rPr>
        <w:t xml:space="preserve"> </w:t>
      </w:r>
      <w:r>
        <w:t>23</w:t>
      </w:r>
      <w:r>
        <w:rPr>
          <w:spacing w:val="-6"/>
        </w:rPr>
        <w:t xml:space="preserve"> </w:t>
      </w:r>
      <w:r>
        <w:t>October</w:t>
      </w:r>
      <w:r>
        <w:rPr>
          <w:spacing w:val="-6"/>
        </w:rPr>
        <w:t xml:space="preserve"> </w:t>
      </w:r>
      <w:r>
        <w:t>2019</w:t>
      </w:r>
      <w:r>
        <w:rPr>
          <w:spacing w:val="-5"/>
        </w:rPr>
        <w:t xml:space="preserve"> </w:t>
      </w:r>
      <w:r>
        <w:t>on</w:t>
      </w:r>
      <w:r>
        <w:rPr>
          <w:spacing w:val="-6"/>
        </w:rPr>
        <w:t xml:space="preserve"> </w:t>
      </w:r>
      <w:r>
        <w:t>the</w:t>
      </w:r>
      <w:r>
        <w:rPr>
          <w:spacing w:val="-6"/>
        </w:rPr>
        <w:t xml:space="preserve"> </w:t>
      </w:r>
      <w:r>
        <w:t>protection</w:t>
      </w:r>
      <w:r>
        <w:rPr>
          <w:spacing w:val="-5"/>
        </w:rPr>
        <w:t xml:space="preserve"> </w:t>
      </w:r>
      <w:r>
        <w:t>of</w:t>
      </w:r>
      <w:r>
        <w:rPr>
          <w:spacing w:val="-6"/>
        </w:rPr>
        <w:t xml:space="preserve"> </w:t>
      </w:r>
      <w:r>
        <w:t>persons</w:t>
      </w:r>
      <w:r>
        <w:rPr>
          <w:spacing w:val="-58"/>
        </w:rPr>
        <w:t xml:space="preserve"> </w:t>
      </w:r>
      <w:r>
        <w:t>who report breaches of Union law in the legal order of the Republic of Croatia (Directive), the</w:t>
      </w:r>
      <w:r>
        <w:rPr>
          <w:spacing w:val="-57"/>
        </w:rPr>
        <w:t xml:space="preserve"> </w:t>
      </w:r>
      <w:r>
        <w:rPr>
          <w:spacing w:val="-1"/>
        </w:rPr>
        <w:t>decision</w:t>
      </w:r>
      <w:r>
        <w:rPr>
          <w:spacing w:val="-10"/>
        </w:rPr>
        <w:t xml:space="preserve"> </w:t>
      </w:r>
      <w:r>
        <w:rPr>
          <w:spacing w:val="-1"/>
        </w:rPr>
        <w:t>was</w:t>
      </w:r>
      <w:r>
        <w:rPr>
          <w:spacing w:val="-10"/>
        </w:rPr>
        <w:t xml:space="preserve"> </w:t>
      </w:r>
      <w:r>
        <w:rPr>
          <w:spacing w:val="-1"/>
        </w:rPr>
        <w:t>made</w:t>
      </w:r>
      <w:r>
        <w:rPr>
          <w:spacing w:val="-12"/>
        </w:rPr>
        <w:t xml:space="preserve"> </w:t>
      </w:r>
      <w:r>
        <w:t>to</w:t>
      </w:r>
      <w:r>
        <w:rPr>
          <w:spacing w:val="-10"/>
        </w:rPr>
        <w:t xml:space="preserve"> </w:t>
      </w:r>
      <w:r>
        <w:t>prepare</w:t>
      </w:r>
      <w:r>
        <w:rPr>
          <w:spacing w:val="-12"/>
        </w:rPr>
        <w:t xml:space="preserve"> </w:t>
      </w:r>
      <w:r>
        <w:t>a</w:t>
      </w:r>
      <w:r>
        <w:rPr>
          <w:spacing w:val="-8"/>
        </w:rPr>
        <w:t xml:space="preserve"> </w:t>
      </w:r>
      <w:r>
        <w:t>completely</w:t>
      </w:r>
      <w:r>
        <w:rPr>
          <w:spacing w:val="-15"/>
        </w:rPr>
        <w:t xml:space="preserve"> </w:t>
      </w:r>
      <w:r>
        <w:t>new</w:t>
      </w:r>
      <w:r>
        <w:rPr>
          <w:spacing w:val="-11"/>
        </w:rPr>
        <w:t xml:space="preserve"> </w:t>
      </w:r>
      <w:r>
        <w:t>act</w:t>
      </w:r>
      <w:r>
        <w:rPr>
          <w:spacing w:val="-10"/>
        </w:rPr>
        <w:t xml:space="preserve"> </w:t>
      </w:r>
      <w:r>
        <w:t>to</w:t>
      </w:r>
      <w:r>
        <w:rPr>
          <w:spacing w:val="-10"/>
        </w:rPr>
        <w:t xml:space="preserve"> </w:t>
      </w:r>
      <w:r>
        <w:t>replace</w:t>
      </w:r>
      <w:r>
        <w:rPr>
          <w:spacing w:val="-11"/>
        </w:rPr>
        <w:t xml:space="preserve"> </w:t>
      </w:r>
      <w:r>
        <w:t>the</w:t>
      </w:r>
      <w:r>
        <w:rPr>
          <w:spacing w:val="-10"/>
        </w:rPr>
        <w:t xml:space="preserve"> </w:t>
      </w:r>
      <w:r>
        <w:t>Whistleblower</w:t>
      </w:r>
      <w:r>
        <w:rPr>
          <w:spacing w:val="-6"/>
        </w:rPr>
        <w:t xml:space="preserve"> </w:t>
      </w:r>
      <w:r>
        <w:t>Protection</w:t>
      </w:r>
      <w:r>
        <w:rPr>
          <w:spacing w:val="-10"/>
        </w:rPr>
        <w:t xml:space="preserve"> </w:t>
      </w:r>
      <w:r>
        <w:t>Act</w:t>
      </w:r>
      <w:r>
        <w:rPr>
          <w:spacing w:val="-58"/>
        </w:rPr>
        <w:t xml:space="preserve"> </w:t>
      </w:r>
      <w:r>
        <w:t>currently in force. The new Whistleblower Protection Act</w:t>
      </w:r>
      <w:r>
        <w:rPr>
          <w:vertAlign w:val="superscript"/>
        </w:rPr>
        <w:t>33</w:t>
      </w:r>
      <w:r>
        <w:t xml:space="preserve"> was passed on 8 April 2022. In</w:t>
      </w:r>
      <w:r>
        <w:rPr>
          <w:spacing w:val="1"/>
        </w:rPr>
        <w:t xml:space="preserve"> </w:t>
      </w:r>
      <w:r>
        <w:t>terms</w:t>
      </w:r>
      <w:r>
        <w:rPr>
          <w:spacing w:val="1"/>
        </w:rPr>
        <w:t xml:space="preserve"> </w:t>
      </w:r>
      <w:r>
        <w:t>of</w:t>
      </w:r>
      <w:r>
        <w:rPr>
          <w:spacing w:val="1"/>
        </w:rPr>
        <w:t xml:space="preserve"> </w:t>
      </w:r>
      <w:r>
        <w:t>strengthening</w:t>
      </w:r>
      <w:r>
        <w:rPr>
          <w:spacing w:val="1"/>
        </w:rPr>
        <w:t xml:space="preserve"> </w:t>
      </w:r>
      <w:r>
        <w:t>capacities</w:t>
      </w:r>
      <w:r>
        <w:rPr>
          <w:spacing w:val="1"/>
        </w:rPr>
        <w:t xml:space="preserve"> </w:t>
      </w:r>
      <w:r>
        <w:t>in</w:t>
      </w:r>
      <w:r>
        <w:rPr>
          <w:spacing w:val="1"/>
        </w:rPr>
        <w:t xml:space="preserve"> </w:t>
      </w:r>
      <w:r>
        <w:t>this</w:t>
      </w:r>
      <w:r>
        <w:rPr>
          <w:spacing w:val="1"/>
        </w:rPr>
        <w:t xml:space="preserve"> </w:t>
      </w:r>
      <w:r>
        <w:t>area,</w:t>
      </w:r>
      <w:r>
        <w:rPr>
          <w:spacing w:val="1"/>
        </w:rPr>
        <w:t xml:space="preserve"> </w:t>
      </w:r>
      <w:r>
        <w:t>in</w:t>
      </w:r>
      <w:r>
        <w:rPr>
          <w:spacing w:val="1"/>
        </w:rPr>
        <w:t xml:space="preserve"> </w:t>
      </w:r>
      <w:r>
        <w:t>2022</w:t>
      </w:r>
      <w:r>
        <w:rPr>
          <w:spacing w:val="1"/>
        </w:rPr>
        <w:t xml:space="preserve"> </w:t>
      </w:r>
      <w:r>
        <w:t>the</w:t>
      </w:r>
      <w:r>
        <w:rPr>
          <w:spacing w:val="1"/>
        </w:rPr>
        <w:t xml:space="preserve"> </w:t>
      </w:r>
      <w:r>
        <w:t>Judicial</w:t>
      </w:r>
      <w:r>
        <w:rPr>
          <w:spacing w:val="1"/>
        </w:rPr>
        <w:t xml:space="preserve"> </w:t>
      </w:r>
      <w:r>
        <w:t>Academy</w:t>
      </w:r>
      <w:r>
        <w:rPr>
          <w:spacing w:val="1"/>
        </w:rPr>
        <w:t xml:space="preserve"> </w:t>
      </w:r>
      <w:r>
        <w:t>held</w:t>
      </w:r>
      <w:r>
        <w:rPr>
          <w:spacing w:val="1"/>
        </w:rPr>
        <w:t xml:space="preserve"> </w:t>
      </w:r>
      <w:r>
        <w:t>two</w:t>
      </w:r>
      <w:r>
        <w:rPr>
          <w:spacing w:val="1"/>
        </w:rPr>
        <w:t xml:space="preserve"> </w:t>
      </w:r>
      <w:r>
        <w:t>educational courses for civil judges and judicial advisors at the municipal and county level,</w:t>
      </w:r>
      <w:r>
        <w:rPr>
          <w:spacing w:val="1"/>
        </w:rPr>
        <w:t xml:space="preserve"> </w:t>
      </w:r>
      <w:r>
        <w:t>with an emphasis on those judges and judicial advisors involved in labour disputes, including</w:t>
      </w:r>
      <w:r>
        <w:rPr>
          <w:spacing w:val="1"/>
        </w:rPr>
        <w:t xml:space="preserve"> </w:t>
      </w:r>
      <w:r>
        <w:t>deputies</w:t>
      </w:r>
      <w:r>
        <w:rPr>
          <w:spacing w:val="-2"/>
        </w:rPr>
        <w:t xml:space="preserve"> </w:t>
      </w:r>
      <w:r>
        <w:t>and judicial</w:t>
      </w:r>
      <w:r>
        <w:rPr>
          <w:spacing w:val="-1"/>
        </w:rPr>
        <w:t xml:space="preserve"> </w:t>
      </w:r>
      <w:r>
        <w:t>advisors in state</w:t>
      </w:r>
      <w:r>
        <w:rPr>
          <w:spacing w:val="-1"/>
        </w:rPr>
        <w:t xml:space="preserve"> </w:t>
      </w:r>
      <w:r>
        <w:t>attorney’s offices</w:t>
      </w:r>
      <w:r>
        <w:rPr>
          <w:spacing w:val="-2"/>
        </w:rPr>
        <w:t xml:space="preserve"> </w:t>
      </w:r>
      <w:r>
        <w:t>from crime</w:t>
      </w:r>
      <w:r>
        <w:rPr>
          <w:spacing w:val="-1"/>
        </w:rPr>
        <w:t xml:space="preserve"> </w:t>
      </w:r>
      <w:r>
        <w:t>departments.</w:t>
      </w:r>
    </w:p>
    <w:p w:rsidR="00A56FE9" w:rsidRDefault="00000000">
      <w:pPr>
        <w:pStyle w:val="Tijeloteksta"/>
        <w:spacing w:before="118"/>
        <w:ind w:right="278"/>
      </w:pPr>
      <w:r>
        <w:t>Furthermore, implementation of internal anti-corruption action plans is ongoing in companies</w:t>
      </w:r>
      <w:r>
        <w:rPr>
          <w:spacing w:val="1"/>
        </w:rPr>
        <w:t xml:space="preserve"> </w:t>
      </w:r>
      <w:r>
        <w:t>in which local and regional self-government units have a majority stake, and where such plans</w:t>
      </w:r>
      <w:r>
        <w:rPr>
          <w:spacing w:val="-57"/>
        </w:rPr>
        <w:t xml:space="preserve"> </w:t>
      </w:r>
      <w:r>
        <w:t>are based on the 2021-2022 Anti-Corruption Program for Companies in Which Local and</w:t>
      </w:r>
      <w:r>
        <w:rPr>
          <w:spacing w:val="1"/>
        </w:rPr>
        <w:t xml:space="preserve"> </w:t>
      </w:r>
      <w:r>
        <w:t>Regional Self-Government Units Have a Majority Stake, and which the Croatian Government</w:t>
      </w:r>
      <w:r>
        <w:rPr>
          <w:spacing w:val="1"/>
        </w:rPr>
        <w:t xml:space="preserve"> </w:t>
      </w:r>
      <w:r>
        <w:t>passed in</w:t>
      </w:r>
      <w:r>
        <w:rPr>
          <w:spacing w:val="-1"/>
        </w:rPr>
        <w:t xml:space="preserve"> </w:t>
      </w:r>
      <w:r>
        <w:t>December</w:t>
      </w:r>
      <w:r>
        <w:rPr>
          <w:spacing w:val="-2"/>
        </w:rPr>
        <w:t xml:space="preserve"> </w:t>
      </w:r>
      <w:r>
        <w:t>2020.</w:t>
      </w:r>
    </w:p>
    <w:p w:rsidR="00A56FE9" w:rsidRDefault="00A56FE9">
      <w:pPr>
        <w:pStyle w:val="Tijeloteksta"/>
        <w:spacing w:before="4"/>
        <w:ind w:left="0"/>
        <w:jc w:val="left"/>
        <w:rPr>
          <w:sz w:val="21"/>
        </w:rPr>
      </w:pPr>
    </w:p>
    <w:p w:rsidR="00A56FE9" w:rsidRDefault="00000000">
      <w:pPr>
        <w:pStyle w:val="Naslov5"/>
        <w:spacing w:after="23"/>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802177755"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588524192" name="Rectangle 217"/>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C4EB560" id="Group 216"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">
                <v:rect id="Rectangle 217"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2"/>
      </w:pPr>
      <w:r>
        <w:t>In 2002, the NRRP will pass the 2022-2024 Action Plan along with the Anti-Corruption</w:t>
      </w:r>
      <w:r>
        <w:rPr>
          <w:spacing w:val="1"/>
        </w:rPr>
        <w:t xml:space="preserve"> </w:t>
      </w:r>
      <w:r>
        <w:t>Strategy</w:t>
      </w:r>
      <w:r>
        <w:rPr>
          <w:spacing w:val="-3"/>
        </w:rPr>
        <w:t xml:space="preserve"> </w:t>
      </w:r>
      <w:r>
        <w:t>for</w:t>
      </w:r>
      <w:r>
        <w:rPr>
          <w:spacing w:val="-2"/>
        </w:rPr>
        <w:t xml:space="preserve"> </w:t>
      </w:r>
      <w:r>
        <w:t>the period 2021-2030.</w:t>
      </w:r>
    </w:p>
    <w:p w:rsidR="00A56FE9" w:rsidRDefault="00A56FE9">
      <w:pPr>
        <w:pStyle w:val="Tijeloteksta"/>
        <w:ind w:left="0"/>
        <w:jc w:val="left"/>
        <w:rPr>
          <w:sz w:val="20"/>
        </w:rPr>
      </w:pPr>
    </w:p>
    <w:p w:rsidR="00A56FE9" w:rsidRDefault="00CC1B9B">
      <w:pPr>
        <w:pStyle w:val="Tijeloteksta"/>
        <w:spacing w:before="8"/>
        <w:ind w:left="0"/>
        <w:jc w:val="left"/>
        <w:rPr>
          <w:sz w:val="10"/>
        </w:rPr>
      </w:pPr>
      <w:r>
        <w:rPr>
          <w:noProof/>
        </w:rPr>
        <mc:AlternateContent>
          <mc:Choice Requires="wps">
            <w:drawing>
              <wp:anchor distT="0" distB="0" distL="0" distR="0" simplePos="0" relativeHeight="487630336" behindDoc="1" locked="0" layoutInCell="1" allowOverlap="1">
                <wp:simplePos x="0" y="0"/>
                <wp:positionH relativeFrom="page">
                  <wp:posOffset>901065</wp:posOffset>
                </wp:positionH>
                <wp:positionV relativeFrom="paragraph">
                  <wp:posOffset>103505</wp:posOffset>
                </wp:positionV>
                <wp:extent cx="1828800" cy="7620"/>
                <wp:effectExtent l="0" t="0" r="0" b="0"/>
                <wp:wrapTopAndBottom/>
                <wp:docPr id="663479137" name="Rectangl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CC3CC" id="Rectangle 215" o:spid="_x0000_s1026" style="position:absolute;margin-left:70.95pt;margin-top:8.15pt;width:2in;height:.6pt;z-index:-156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" fillcolor="black" stroked="f">
                <w10:wrap type="topAndBottom" anchorx="page"/>
              </v:rect>
            </w:pict>
          </mc:Fallback>
        </mc:AlternateContent>
      </w:r>
    </w:p>
    <w:p w:rsidR="00A56FE9" w:rsidRDefault="00000000">
      <w:pPr>
        <w:spacing w:before="76" w:line="183" w:lineRule="exact"/>
        <w:ind w:left="138"/>
        <w:rPr>
          <w:sz w:val="16"/>
        </w:rPr>
      </w:pPr>
      <w:r>
        <w:rPr>
          <w:sz w:val="16"/>
          <w:vertAlign w:val="superscript"/>
        </w:rPr>
        <w:t>31</w:t>
      </w:r>
      <w:r>
        <w:rPr>
          <w:spacing w:val="-1"/>
          <w:sz w:val="16"/>
        </w:rPr>
        <w:t xml:space="preserve"> </w:t>
      </w:r>
      <w:r>
        <w:rPr>
          <w:sz w:val="16"/>
        </w:rPr>
        <w:t>OG</w:t>
      </w:r>
      <w:r>
        <w:rPr>
          <w:spacing w:val="-3"/>
          <w:sz w:val="16"/>
        </w:rPr>
        <w:t xml:space="preserve"> </w:t>
      </w:r>
      <w:r>
        <w:rPr>
          <w:sz w:val="16"/>
        </w:rPr>
        <w:t>120/21</w:t>
      </w:r>
    </w:p>
    <w:p w:rsidR="00A56FE9" w:rsidRDefault="00000000">
      <w:pPr>
        <w:spacing w:line="183" w:lineRule="exact"/>
        <w:ind w:left="138"/>
        <w:rPr>
          <w:sz w:val="16"/>
        </w:rPr>
      </w:pPr>
      <w:r>
        <w:rPr>
          <w:sz w:val="16"/>
          <w:vertAlign w:val="superscript"/>
        </w:rPr>
        <w:t>32</w:t>
      </w:r>
      <w:r>
        <w:rPr>
          <w:spacing w:val="-1"/>
          <w:sz w:val="16"/>
        </w:rPr>
        <w:t xml:space="preserve"> </w:t>
      </w:r>
      <w:r>
        <w:rPr>
          <w:sz w:val="16"/>
        </w:rPr>
        <w:t>OG</w:t>
      </w:r>
      <w:r>
        <w:rPr>
          <w:spacing w:val="-3"/>
          <w:sz w:val="16"/>
        </w:rPr>
        <w:t xml:space="preserve"> </w:t>
      </w:r>
      <w:r>
        <w:rPr>
          <w:sz w:val="16"/>
        </w:rPr>
        <w:t>143/21</w:t>
      </w:r>
    </w:p>
    <w:p w:rsidR="00A56FE9" w:rsidRDefault="00000000">
      <w:pPr>
        <w:spacing w:before="1"/>
        <w:ind w:left="138"/>
        <w:rPr>
          <w:sz w:val="16"/>
        </w:rPr>
      </w:pPr>
      <w:r>
        <w:rPr>
          <w:sz w:val="16"/>
          <w:vertAlign w:val="superscript"/>
        </w:rPr>
        <w:t>33</w:t>
      </w:r>
      <w:r>
        <w:rPr>
          <w:spacing w:val="-1"/>
          <w:sz w:val="16"/>
        </w:rPr>
        <w:t xml:space="preserve"> </w:t>
      </w:r>
      <w:r>
        <w:rPr>
          <w:sz w:val="16"/>
        </w:rPr>
        <w:t>OG</w:t>
      </w:r>
      <w:r>
        <w:rPr>
          <w:spacing w:val="-3"/>
          <w:sz w:val="16"/>
        </w:rPr>
        <w:t xml:space="preserve"> </w:t>
      </w:r>
      <w:r>
        <w:rPr>
          <w:sz w:val="16"/>
        </w:rPr>
        <w:t>46/22</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ind w:right="281"/>
      </w:pPr>
      <w:r>
        <w:t>The</w:t>
      </w:r>
      <w:r>
        <w:rPr>
          <w:spacing w:val="1"/>
        </w:rPr>
        <w:t xml:space="preserve"> </w:t>
      </w:r>
      <w:r>
        <w:t>Croatian</w:t>
      </w:r>
      <w:r>
        <w:rPr>
          <w:spacing w:val="1"/>
        </w:rPr>
        <w:t xml:space="preserve"> </w:t>
      </w:r>
      <w:r>
        <w:t>Parliament</w:t>
      </w:r>
      <w:r>
        <w:rPr>
          <w:spacing w:val="1"/>
        </w:rPr>
        <w:t xml:space="preserve"> </w:t>
      </w:r>
      <w:r>
        <w:t>passed</w:t>
      </w:r>
      <w:r>
        <w:rPr>
          <w:spacing w:val="1"/>
        </w:rPr>
        <w:t xml:space="preserve"> </w:t>
      </w:r>
      <w:r>
        <w:t>the</w:t>
      </w:r>
      <w:r>
        <w:rPr>
          <w:spacing w:val="1"/>
        </w:rPr>
        <w:t xml:space="preserve"> </w:t>
      </w:r>
      <w:r>
        <w:t>Whistleblower</w:t>
      </w:r>
      <w:r>
        <w:rPr>
          <w:spacing w:val="1"/>
        </w:rPr>
        <w:t xml:space="preserve"> </w:t>
      </w:r>
      <w:r>
        <w:t>Act</w:t>
      </w:r>
      <w:r>
        <w:rPr>
          <w:spacing w:val="1"/>
        </w:rPr>
        <w:t xml:space="preserve"> </w:t>
      </w:r>
      <w:r>
        <w:t>(EU)</w:t>
      </w:r>
      <w:r>
        <w:rPr>
          <w:spacing w:val="1"/>
        </w:rPr>
        <w:t xml:space="preserve"> </w:t>
      </w:r>
      <w:r>
        <w:t>on</w:t>
      </w:r>
      <w:r>
        <w:rPr>
          <w:spacing w:val="1"/>
        </w:rPr>
        <w:t xml:space="preserve"> </w:t>
      </w:r>
      <w:r>
        <w:t>8</w:t>
      </w:r>
      <w:r>
        <w:rPr>
          <w:spacing w:val="1"/>
        </w:rPr>
        <w:t xml:space="preserve"> </w:t>
      </w:r>
      <w:r>
        <w:t>April</w:t>
      </w:r>
      <w:r>
        <w:rPr>
          <w:spacing w:val="1"/>
        </w:rPr>
        <w:t xml:space="preserve"> </w:t>
      </w:r>
      <w:r>
        <w:t>2022</w:t>
      </w:r>
      <w:r>
        <w:rPr>
          <w:spacing w:val="1"/>
        </w:rPr>
        <w:t xml:space="preserve"> </w:t>
      </w:r>
      <w:r>
        <w:t>and</w:t>
      </w:r>
      <w:r>
        <w:rPr>
          <w:spacing w:val="1"/>
        </w:rPr>
        <w:t xml:space="preserve"> </w:t>
      </w:r>
      <w:r>
        <w:t>was</w:t>
      </w:r>
      <w:r>
        <w:rPr>
          <w:spacing w:val="-57"/>
        </w:rPr>
        <w:t xml:space="preserve"> </w:t>
      </w:r>
      <w:r>
        <w:t>subsequently</w:t>
      </w:r>
      <w:r>
        <w:rPr>
          <w:spacing w:val="-5"/>
        </w:rPr>
        <w:t xml:space="preserve"> </w:t>
      </w:r>
      <w:r>
        <w:t>published</w:t>
      </w:r>
      <w:r>
        <w:rPr>
          <w:spacing w:val="-1"/>
        </w:rPr>
        <w:t xml:space="preserve"> </w:t>
      </w:r>
      <w:r>
        <w:t>in the Official Gazette.</w:t>
      </w:r>
    </w:p>
    <w:p w:rsidR="00A56FE9" w:rsidRDefault="00000000">
      <w:pPr>
        <w:pStyle w:val="Tijeloteksta"/>
        <w:spacing w:before="120"/>
        <w:ind w:right="274"/>
      </w:pPr>
      <w:r>
        <w:t>Following the adoption of the Anti-Corruption Strategy for the period 2021-2030, the Action</w:t>
      </w:r>
      <w:r>
        <w:rPr>
          <w:spacing w:val="1"/>
        </w:rPr>
        <w:t xml:space="preserve"> </w:t>
      </w:r>
      <w:r>
        <w:t>Plan for the period 2022-2024 is to be adopted, containing specific activities for managing</w:t>
      </w:r>
      <w:r>
        <w:rPr>
          <w:spacing w:val="1"/>
        </w:rPr>
        <w:t xml:space="preserve"> </w:t>
      </w:r>
      <w:r>
        <w:t>corruption</w:t>
      </w:r>
      <w:r>
        <w:rPr>
          <w:spacing w:val="-6"/>
        </w:rPr>
        <w:t xml:space="preserve"> </w:t>
      </w:r>
      <w:r>
        <w:t>risks</w:t>
      </w:r>
      <w:r>
        <w:rPr>
          <w:spacing w:val="-5"/>
        </w:rPr>
        <w:t xml:space="preserve"> </w:t>
      </w:r>
      <w:r>
        <w:t>in</w:t>
      </w:r>
      <w:r>
        <w:rPr>
          <w:spacing w:val="-5"/>
        </w:rPr>
        <w:t xml:space="preserve"> </w:t>
      </w:r>
      <w:r>
        <w:t>terms</w:t>
      </w:r>
      <w:r>
        <w:rPr>
          <w:spacing w:val="-3"/>
        </w:rPr>
        <w:t xml:space="preserve"> </w:t>
      </w:r>
      <w:r>
        <w:t>of</w:t>
      </w:r>
      <w:r>
        <w:rPr>
          <w:spacing w:val="-5"/>
        </w:rPr>
        <w:t xml:space="preserve"> </w:t>
      </w:r>
      <w:r>
        <w:t>previously</w:t>
      </w:r>
      <w:r>
        <w:rPr>
          <w:spacing w:val="-10"/>
        </w:rPr>
        <w:t xml:space="preserve"> </w:t>
      </w:r>
      <w:r>
        <w:t>strategically</w:t>
      </w:r>
      <w:r>
        <w:rPr>
          <w:spacing w:val="-8"/>
        </w:rPr>
        <w:t xml:space="preserve"> </w:t>
      </w:r>
      <w:r>
        <w:t>determining</w:t>
      </w:r>
      <w:r>
        <w:rPr>
          <w:spacing w:val="-7"/>
        </w:rPr>
        <w:t xml:space="preserve"> </w:t>
      </w:r>
      <w:r>
        <w:t>specific</w:t>
      </w:r>
      <w:r>
        <w:rPr>
          <w:spacing w:val="-4"/>
        </w:rPr>
        <w:t xml:space="preserve"> </w:t>
      </w:r>
      <w:r>
        <w:t>goals</w:t>
      </w:r>
      <w:r>
        <w:rPr>
          <w:spacing w:val="-6"/>
        </w:rPr>
        <w:t xml:space="preserve"> </w:t>
      </w:r>
      <w:r>
        <w:t>and</w:t>
      </w:r>
      <w:r>
        <w:rPr>
          <w:spacing w:val="-5"/>
        </w:rPr>
        <w:t xml:space="preserve"> </w:t>
      </w:r>
      <w:r>
        <w:t>measures</w:t>
      </w:r>
      <w:r>
        <w:rPr>
          <w:spacing w:val="-3"/>
        </w:rPr>
        <w:t xml:space="preserve"> </w:t>
      </w:r>
      <w:r>
        <w:t>in</w:t>
      </w:r>
      <w:r>
        <w:rPr>
          <w:spacing w:val="-57"/>
        </w:rPr>
        <w:t xml:space="preserve"> </w:t>
      </w:r>
      <w:r>
        <w:t>specific</w:t>
      </w:r>
      <w:r>
        <w:rPr>
          <w:spacing w:val="-2"/>
        </w:rPr>
        <w:t xml:space="preserve"> </w:t>
      </w:r>
      <w:r>
        <w:t>sectoral priority</w:t>
      </w:r>
      <w:r>
        <w:rPr>
          <w:spacing w:val="-3"/>
        </w:rPr>
        <w:t xml:space="preserve"> </w:t>
      </w:r>
      <w:r>
        <w:t>areas.</w:t>
      </w:r>
    </w:p>
    <w:p w:rsidR="00A56FE9" w:rsidRDefault="00000000">
      <w:pPr>
        <w:pStyle w:val="Tijeloteksta"/>
        <w:spacing w:before="121"/>
        <w:ind w:right="273"/>
      </w:pPr>
      <w:r>
        <w:t>The</w:t>
      </w:r>
      <w:r>
        <w:rPr>
          <w:spacing w:val="-5"/>
        </w:rPr>
        <w:t xml:space="preserve"> </w:t>
      </w:r>
      <w:r>
        <w:t>NRRP</w:t>
      </w:r>
      <w:r>
        <w:rPr>
          <w:spacing w:val="-3"/>
        </w:rPr>
        <w:t xml:space="preserve"> </w:t>
      </w:r>
      <w:r>
        <w:t>also</w:t>
      </w:r>
      <w:r>
        <w:rPr>
          <w:spacing w:val="-2"/>
        </w:rPr>
        <w:t xml:space="preserve"> </w:t>
      </w:r>
      <w:r>
        <w:t>envisages</w:t>
      </w:r>
      <w:r>
        <w:rPr>
          <w:spacing w:val="-4"/>
        </w:rPr>
        <w:t xml:space="preserve"> </w:t>
      </w:r>
      <w:r>
        <w:t>a</w:t>
      </w:r>
      <w:r>
        <w:rPr>
          <w:spacing w:val="-5"/>
        </w:rPr>
        <w:t xml:space="preserve"> </w:t>
      </w:r>
      <w:r>
        <w:t>broad</w:t>
      </w:r>
      <w:r>
        <w:rPr>
          <w:spacing w:val="-3"/>
        </w:rPr>
        <w:t xml:space="preserve"> </w:t>
      </w:r>
      <w:r>
        <w:t>media</w:t>
      </w:r>
      <w:r>
        <w:rPr>
          <w:spacing w:val="-5"/>
        </w:rPr>
        <w:t xml:space="preserve"> </w:t>
      </w:r>
      <w:r>
        <w:t>campaign</w:t>
      </w:r>
      <w:r>
        <w:rPr>
          <w:spacing w:val="-3"/>
        </w:rPr>
        <w:t xml:space="preserve"> </w:t>
      </w:r>
      <w:r>
        <w:t>to</w:t>
      </w:r>
      <w:r>
        <w:rPr>
          <w:spacing w:val="-3"/>
        </w:rPr>
        <w:t xml:space="preserve"> </w:t>
      </w:r>
      <w:r>
        <w:t>raise</w:t>
      </w:r>
      <w:r>
        <w:rPr>
          <w:spacing w:val="-4"/>
        </w:rPr>
        <w:t xml:space="preserve"> </w:t>
      </w:r>
      <w:r>
        <w:t>awareness</w:t>
      </w:r>
      <w:r>
        <w:rPr>
          <w:spacing w:val="-2"/>
        </w:rPr>
        <w:t xml:space="preserve"> </w:t>
      </w:r>
      <w:r>
        <w:t>of</w:t>
      </w:r>
      <w:r>
        <w:rPr>
          <w:spacing w:val="-5"/>
        </w:rPr>
        <w:t xml:space="preserve"> </w:t>
      </w:r>
      <w:r>
        <w:t>the</w:t>
      </w:r>
      <w:r>
        <w:rPr>
          <w:spacing w:val="-4"/>
        </w:rPr>
        <w:t xml:space="preserve"> </w:t>
      </w:r>
      <w:r>
        <w:t>harmful</w:t>
      </w:r>
      <w:r>
        <w:rPr>
          <w:spacing w:val="-2"/>
        </w:rPr>
        <w:t xml:space="preserve"> </w:t>
      </w:r>
      <w:r>
        <w:t>effects</w:t>
      </w:r>
      <w:r>
        <w:rPr>
          <w:spacing w:val="-3"/>
        </w:rPr>
        <w:t xml:space="preserve"> </w:t>
      </w:r>
      <w:r>
        <w:t>of</w:t>
      </w:r>
      <w:r>
        <w:rPr>
          <w:spacing w:val="-57"/>
        </w:rPr>
        <w:t xml:space="preserve"> </w:t>
      </w:r>
      <w:r>
        <w:t>corruption, the need to prevent and combat it, and inform the general public about existing</w:t>
      </w:r>
      <w:r>
        <w:rPr>
          <w:spacing w:val="1"/>
        </w:rPr>
        <w:t xml:space="preserve"> </w:t>
      </w:r>
      <w:r>
        <w:rPr>
          <w:spacing w:val="-1"/>
        </w:rPr>
        <w:t>reporting</w:t>
      </w:r>
      <w:r>
        <w:rPr>
          <w:spacing w:val="-17"/>
        </w:rPr>
        <w:t xml:space="preserve"> </w:t>
      </w:r>
      <w:r>
        <w:rPr>
          <w:spacing w:val="-1"/>
        </w:rPr>
        <w:t>channels</w:t>
      </w:r>
      <w:r>
        <w:rPr>
          <w:spacing w:val="-14"/>
        </w:rPr>
        <w:t xml:space="preserve"> </w:t>
      </w:r>
      <w:r>
        <w:t>and</w:t>
      </w:r>
      <w:r>
        <w:rPr>
          <w:spacing w:val="-15"/>
        </w:rPr>
        <w:t xml:space="preserve"> </w:t>
      </w:r>
      <w:r>
        <w:t>mechanisms</w:t>
      </w:r>
      <w:r>
        <w:rPr>
          <w:spacing w:val="-15"/>
        </w:rPr>
        <w:t xml:space="preserve"> </w:t>
      </w:r>
      <w:r>
        <w:t>for</w:t>
      </w:r>
      <w:r>
        <w:rPr>
          <w:spacing w:val="-16"/>
        </w:rPr>
        <w:t xml:space="preserve"> </w:t>
      </w:r>
      <w:r>
        <w:t>protecting</w:t>
      </w:r>
      <w:r>
        <w:rPr>
          <w:spacing w:val="-15"/>
        </w:rPr>
        <w:t xml:space="preserve"> </w:t>
      </w:r>
      <w:r>
        <w:t>whistleblowers.</w:t>
      </w:r>
      <w:r>
        <w:rPr>
          <w:spacing w:val="-12"/>
        </w:rPr>
        <w:t xml:space="preserve"> </w:t>
      </w:r>
      <w:r>
        <w:t>The</w:t>
      </w:r>
      <w:r>
        <w:rPr>
          <w:spacing w:val="-16"/>
        </w:rPr>
        <w:t xml:space="preserve"> </w:t>
      </w:r>
      <w:r>
        <w:t>plan</w:t>
      </w:r>
      <w:r>
        <w:rPr>
          <w:spacing w:val="-11"/>
        </w:rPr>
        <w:t xml:space="preserve"> </w:t>
      </w:r>
      <w:r>
        <w:t>is</w:t>
      </w:r>
      <w:r>
        <w:rPr>
          <w:spacing w:val="-14"/>
        </w:rPr>
        <w:t xml:space="preserve"> </w:t>
      </w:r>
      <w:r>
        <w:t>to</w:t>
      </w:r>
      <w:r>
        <w:rPr>
          <w:spacing w:val="-14"/>
        </w:rPr>
        <w:t xml:space="preserve"> </w:t>
      </w:r>
      <w:r>
        <w:t>create</w:t>
      </w:r>
      <w:r>
        <w:rPr>
          <w:spacing w:val="-15"/>
        </w:rPr>
        <w:t xml:space="preserve"> </w:t>
      </w:r>
      <w:r>
        <w:t>a</w:t>
      </w:r>
      <w:r>
        <w:rPr>
          <w:spacing w:val="-15"/>
        </w:rPr>
        <w:t xml:space="preserve"> </w:t>
      </w:r>
      <w:r>
        <w:t>central</w:t>
      </w:r>
      <w:r>
        <w:rPr>
          <w:spacing w:val="-57"/>
        </w:rPr>
        <w:t xml:space="preserve"> </w:t>
      </w:r>
      <w:r>
        <w:t>IT</w:t>
      </w:r>
      <w:r>
        <w:rPr>
          <w:spacing w:val="-5"/>
        </w:rPr>
        <w:t xml:space="preserve"> </w:t>
      </w:r>
      <w:r>
        <w:t>platform</w:t>
      </w:r>
      <w:r>
        <w:rPr>
          <w:spacing w:val="-4"/>
        </w:rPr>
        <w:t xml:space="preserve"> </w:t>
      </w:r>
      <w:r>
        <w:t>to</w:t>
      </w:r>
      <w:r>
        <w:rPr>
          <w:spacing w:val="-3"/>
        </w:rPr>
        <w:t xml:space="preserve"> </w:t>
      </w:r>
      <w:r>
        <w:t>improve</w:t>
      </w:r>
      <w:r>
        <w:rPr>
          <w:spacing w:val="-6"/>
        </w:rPr>
        <w:t xml:space="preserve"> </w:t>
      </w:r>
      <w:r>
        <w:t>the</w:t>
      </w:r>
      <w:r>
        <w:rPr>
          <w:spacing w:val="-5"/>
        </w:rPr>
        <w:t xml:space="preserve"> </w:t>
      </w:r>
      <w:r>
        <w:t>effectiveness</w:t>
      </w:r>
      <w:r>
        <w:rPr>
          <w:spacing w:val="-3"/>
        </w:rPr>
        <w:t xml:space="preserve"> </w:t>
      </w:r>
      <w:r>
        <w:t>of</w:t>
      </w:r>
      <w:r>
        <w:rPr>
          <w:spacing w:val="-5"/>
        </w:rPr>
        <w:t xml:space="preserve"> </w:t>
      </w:r>
      <w:r>
        <w:t>the</w:t>
      </w:r>
      <w:r>
        <w:rPr>
          <w:spacing w:val="-4"/>
        </w:rPr>
        <w:t xml:space="preserve"> </w:t>
      </w:r>
      <w:r>
        <w:t>preventive</w:t>
      </w:r>
      <w:r>
        <w:rPr>
          <w:spacing w:val="-5"/>
        </w:rPr>
        <w:t xml:space="preserve"> </w:t>
      </w:r>
      <w:r>
        <w:t>anti-corruption</w:t>
      </w:r>
      <w:r>
        <w:rPr>
          <w:spacing w:val="-5"/>
        </w:rPr>
        <w:t xml:space="preserve"> </w:t>
      </w:r>
      <w:r>
        <w:t>framework.</w:t>
      </w:r>
      <w:r>
        <w:rPr>
          <w:spacing w:val="-1"/>
        </w:rPr>
        <w:t xml:space="preserve"> </w:t>
      </w:r>
      <w:r>
        <w:t>In</w:t>
      </w:r>
      <w:r>
        <w:rPr>
          <w:spacing w:val="-4"/>
        </w:rPr>
        <w:t xml:space="preserve"> </w:t>
      </w:r>
      <w:r>
        <w:t>2022,</w:t>
      </w:r>
      <w:r>
        <w:rPr>
          <w:spacing w:val="-58"/>
        </w:rPr>
        <w:t xml:space="preserve"> </w:t>
      </w:r>
      <w:r>
        <w:t>the</w:t>
      </w:r>
      <w:r>
        <w:rPr>
          <w:spacing w:val="55"/>
        </w:rPr>
        <w:t xml:space="preserve"> </w:t>
      </w:r>
      <w:r>
        <w:t>plan</w:t>
      </w:r>
      <w:r>
        <w:rPr>
          <w:spacing w:val="56"/>
        </w:rPr>
        <w:t xml:space="preserve"> </w:t>
      </w:r>
      <w:r>
        <w:t>is</w:t>
      </w:r>
      <w:r>
        <w:rPr>
          <w:spacing w:val="58"/>
        </w:rPr>
        <w:t xml:space="preserve"> </w:t>
      </w:r>
      <w:r>
        <w:t>to</w:t>
      </w:r>
      <w:r>
        <w:rPr>
          <w:spacing w:val="57"/>
        </w:rPr>
        <w:t xml:space="preserve"> </w:t>
      </w:r>
      <w:r>
        <w:t>prepare</w:t>
      </w:r>
      <w:r>
        <w:rPr>
          <w:spacing w:val="58"/>
        </w:rPr>
        <w:t xml:space="preserve"> </w:t>
      </w:r>
      <w:r>
        <w:t>project</w:t>
      </w:r>
      <w:r>
        <w:rPr>
          <w:spacing w:val="57"/>
        </w:rPr>
        <w:t xml:space="preserve"> </w:t>
      </w:r>
      <w:r>
        <w:t>documentation</w:t>
      </w:r>
      <w:r>
        <w:rPr>
          <w:spacing w:val="57"/>
        </w:rPr>
        <w:t xml:space="preserve"> </w:t>
      </w:r>
      <w:r>
        <w:t>and</w:t>
      </w:r>
      <w:r>
        <w:rPr>
          <w:spacing w:val="57"/>
        </w:rPr>
        <w:t xml:space="preserve"> </w:t>
      </w:r>
      <w:r>
        <w:t>start</w:t>
      </w:r>
      <w:r>
        <w:rPr>
          <w:spacing w:val="57"/>
        </w:rPr>
        <w:t xml:space="preserve"> </w:t>
      </w:r>
      <w:r>
        <w:t>implementing</w:t>
      </w:r>
      <w:r>
        <w:rPr>
          <w:spacing w:val="58"/>
        </w:rPr>
        <w:t xml:space="preserve"> </w:t>
      </w:r>
      <w:r>
        <w:t>public</w:t>
      </w:r>
      <w:r>
        <w:rPr>
          <w:spacing w:val="55"/>
        </w:rPr>
        <w:t xml:space="preserve"> </w:t>
      </w:r>
      <w:r>
        <w:t>procurement</w:t>
      </w:r>
      <w:r>
        <w:rPr>
          <w:spacing w:val="-57"/>
        </w:rPr>
        <w:t xml:space="preserve"> </w:t>
      </w:r>
      <w:r>
        <w:t>procedures</w:t>
      </w:r>
      <w:r>
        <w:rPr>
          <w:spacing w:val="-1"/>
        </w:rPr>
        <w:t xml:space="preserve"> </w:t>
      </w:r>
      <w:r>
        <w:t>in these</w:t>
      </w:r>
      <w:r>
        <w:rPr>
          <w:spacing w:val="-1"/>
        </w:rPr>
        <w:t xml:space="preserve"> </w:t>
      </w:r>
      <w:r>
        <w:t>projects.</w:t>
      </w:r>
    </w:p>
    <w:p w:rsidR="00A56FE9" w:rsidRDefault="00A56FE9">
      <w:pPr>
        <w:pStyle w:val="Tijeloteksta"/>
        <w:spacing w:before="3"/>
        <w:ind w:left="0"/>
        <w:jc w:val="left"/>
        <w:rPr>
          <w:sz w:val="21"/>
        </w:rPr>
      </w:pPr>
    </w:p>
    <w:p w:rsidR="00A56FE9" w:rsidRDefault="00000000">
      <w:pPr>
        <w:pStyle w:val="Naslov5"/>
        <w:spacing w:before="1"/>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2003071445"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1673814648" name="Rectangle 214"/>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0B8ED35" id="Group 213"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">
                <v:rect id="Rectangle 214"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" fillcolor="#2c398a" stroked="f"/>
                <w10:anchorlock/>
              </v:group>
            </w:pict>
          </mc:Fallback>
        </mc:AlternateContent>
      </w:r>
    </w:p>
    <w:p w:rsidR="00A56FE9" w:rsidRDefault="00000000">
      <w:pPr>
        <w:pStyle w:val="Tijeloteksta"/>
        <w:spacing w:before="154"/>
        <w:ind w:right="272"/>
      </w:pPr>
      <w:r>
        <w:t>The</w:t>
      </w:r>
      <w:r>
        <w:rPr>
          <w:spacing w:val="-10"/>
        </w:rPr>
        <w:t xml:space="preserve"> </w:t>
      </w:r>
      <w:r>
        <w:t>existing</w:t>
      </w:r>
      <w:r>
        <w:rPr>
          <w:spacing w:val="-10"/>
        </w:rPr>
        <w:t xml:space="preserve"> </w:t>
      </w:r>
      <w:r>
        <w:t>Whistleblower</w:t>
      </w:r>
      <w:r>
        <w:rPr>
          <w:spacing w:val="-9"/>
        </w:rPr>
        <w:t xml:space="preserve"> </w:t>
      </w:r>
      <w:r>
        <w:t>Act</w:t>
      </w:r>
      <w:r>
        <w:rPr>
          <w:vertAlign w:val="superscript"/>
        </w:rPr>
        <w:t>34</w:t>
      </w:r>
      <w:r>
        <w:rPr>
          <w:spacing w:val="-7"/>
        </w:rPr>
        <w:t xml:space="preserve"> </w:t>
      </w:r>
      <w:r>
        <w:t>stipulates</w:t>
      </w:r>
      <w:r>
        <w:rPr>
          <w:spacing w:val="-8"/>
        </w:rPr>
        <w:t xml:space="preserve"> </w:t>
      </w:r>
      <w:r>
        <w:t>the</w:t>
      </w:r>
      <w:r>
        <w:rPr>
          <w:spacing w:val="-9"/>
        </w:rPr>
        <w:t xml:space="preserve"> </w:t>
      </w:r>
      <w:r>
        <w:t>obligation</w:t>
      </w:r>
      <w:r>
        <w:rPr>
          <w:spacing w:val="-9"/>
        </w:rPr>
        <w:t xml:space="preserve"> </w:t>
      </w:r>
      <w:r>
        <w:t>to</w:t>
      </w:r>
      <w:r>
        <w:rPr>
          <w:spacing w:val="-8"/>
        </w:rPr>
        <w:t xml:space="preserve"> </w:t>
      </w:r>
      <w:r>
        <w:t>adopt</w:t>
      </w:r>
      <w:r>
        <w:rPr>
          <w:spacing w:val="-8"/>
        </w:rPr>
        <w:t xml:space="preserve"> </w:t>
      </w:r>
      <w:r>
        <w:t>General</w:t>
      </w:r>
      <w:r>
        <w:rPr>
          <w:spacing w:val="-6"/>
        </w:rPr>
        <w:t xml:space="preserve"> </w:t>
      </w:r>
      <w:r>
        <w:t>Acts</w:t>
      </w:r>
      <w:r>
        <w:rPr>
          <w:spacing w:val="-8"/>
        </w:rPr>
        <w:t xml:space="preserve"> </w:t>
      </w:r>
      <w:r>
        <w:t>or</w:t>
      </w:r>
      <w:r>
        <w:rPr>
          <w:spacing w:val="-9"/>
        </w:rPr>
        <w:t xml:space="preserve"> </w:t>
      </w:r>
      <w:r>
        <w:t>Ordinances</w:t>
      </w:r>
      <w:r>
        <w:rPr>
          <w:spacing w:val="-57"/>
        </w:rPr>
        <w:t xml:space="preserve"> </w:t>
      </w:r>
      <w:r>
        <w:t>for those obliged to apply the law (employers). These ordinances regulate the procedure for</w:t>
      </w:r>
      <w:r>
        <w:rPr>
          <w:spacing w:val="1"/>
        </w:rPr>
        <w:t xml:space="preserve"> </w:t>
      </w:r>
      <w:r>
        <w:t>internal</w:t>
      </w:r>
      <w:r>
        <w:rPr>
          <w:spacing w:val="1"/>
        </w:rPr>
        <w:t xml:space="preserve"> </w:t>
      </w:r>
      <w:r>
        <w:t>reporting</w:t>
      </w:r>
      <w:r>
        <w:rPr>
          <w:spacing w:val="1"/>
        </w:rPr>
        <w:t xml:space="preserve"> </w:t>
      </w:r>
      <w:r>
        <w:t>of</w:t>
      </w:r>
      <w:r>
        <w:rPr>
          <w:spacing w:val="1"/>
        </w:rPr>
        <w:t xml:space="preserve"> </w:t>
      </w:r>
      <w:r>
        <w:t>irregularities</w:t>
      </w:r>
      <w:r>
        <w:rPr>
          <w:spacing w:val="1"/>
        </w:rPr>
        <w:t xml:space="preserve"> </w:t>
      </w:r>
      <w:r>
        <w:t>(whistleblowing</w:t>
      </w:r>
      <w:r>
        <w:rPr>
          <w:spacing w:val="1"/>
        </w:rPr>
        <w:t xml:space="preserve"> </w:t>
      </w:r>
      <w:r>
        <w:t>procedures)</w:t>
      </w:r>
      <w:r>
        <w:rPr>
          <w:spacing w:val="1"/>
        </w:rPr>
        <w:t xml:space="preserve"> </w:t>
      </w:r>
      <w:r>
        <w:t>and</w:t>
      </w:r>
      <w:r>
        <w:rPr>
          <w:spacing w:val="1"/>
        </w:rPr>
        <w:t xml:space="preserve"> </w:t>
      </w:r>
      <w:r>
        <w:t>the</w:t>
      </w:r>
      <w:r>
        <w:rPr>
          <w:spacing w:val="1"/>
        </w:rPr>
        <w:t xml:space="preserve"> </w:t>
      </w:r>
      <w:r>
        <w:t>procedure</w:t>
      </w:r>
      <w:r>
        <w:rPr>
          <w:spacing w:val="1"/>
        </w:rPr>
        <w:t xml:space="preserve"> </w:t>
      </w:r>
      <w:r>
        <w:t>for</w:t>
      </w:r>
      <w:r>
        <w:rPr>
          <w:spacing w:val="1"/>
        </w:rPr>
        <w:t xml:space="preserve"> </w:t>
      </w:r>
      <w:r>
        <w:t>appointing a trusted person and their deputy. The aim of this act is to make the system for</w:t>
      </w:r>
      <w:r>
        <w:rPr>
          <w:spacing w:val="1"/>
        </w:rPr>
        <w:t xml:space="preserve"> </w:t>
      </w:r>
      <w:r>
        <w:t>internal reporting of irregularities (whistleblowing) and information about it easily accessible</w:t>
      </w:r>
      <w:r>
        <w:rPr>
          <w:spacing w:val="1"/>
        </w:rPr>
        <w:t xml:space="preserve"> </w:t>
      </w:r>
      <w:r>
        <w:t>and</w:t>
      </w:r>
      <w:r>
        <w:rPr>
          <w:spacing w:val="-1"/>
        </w:rPr>
        <w:t xml:space="preserve"> </w:t>
      </w:r>
      <w:r>
        <w:t>understandable to all</w:t>
      </w:r>
      <w:r>
        <w:rPr>
          <w:spacing w:val="3"/>
        </w:rPr>
        <w:t xml:space="preserve"> </w:t>
      </w:r>
      <w:r>
        <w:t>persons in the</w:t>
      </w:r>
      <w:r>
        <w:rPr>
          <w:spacing w:val="-1"/>
        </w:rPr>
        <w:t xml:space="preserve"> </w:t>
      </w:r>
      <w:r>
        <w:t>work environment.</w:t>
      </w:r>
    </w:p>
    <w:p w:rsidR="00A56FE9" w:rsidRDefault="00000000">
      <w:pPr>
        <w:spacing w:before="120"/>
        <w:ind w:left="138" w:right="273"/>
        <w:jc w:val="both"/>
        <w:rPr>
          <w:sz w:val="24"/>
        </w:rPr>
      </w:pPr>
      <w:r>
        <w:rPr>
          <w:sz w:val="24"/>
        </w:rPr>
        <w:t>After the passing of the Whistleblower Act has been adopted, those obliged to apply the law</w:t>
      </w:r>
      <w:r>
        <w:rPr>
          <w:spacing w:val="1"/>
          <w:sz w:val="24"/>
        </w:rPr>
        <w:t xml:space="preserve"> </w:t>
      </w:r>
      <w:r>
        <w:rPr>
          <w:sz w:val="24"/>
        </w:rPr>
        <w:t>will align their existing general acts with the new legal provisions. Accordingly, within the</w:t>
      </w:r>
      <w:r>
        <w:rPr>
          <w:spacing w:val="1"/>
          <w:sz w:val="24"/>
        </w:rPr>
        <w:t xml:space="preserve"> </w:t>
      </w:r>
      <w:r>
        <w:rPr>
          <w:sz w:val="24"/>
        </w:rPr>
        <w:t xml:space="preserve">competence of the MJPA, the plan is to </w:t>
      </w:r>
      <w:r>
        <w:rPr>
          <w:b/>
          <w:sz w:val="24"/>
        </w:rPr>
        <w:t>adopt the Ordinance on the Manner of Appointing</w:t>
      </w:r>
      <w:r>
        <w:rPr>
          <w:b/>
          <w:spacing w:val="-57"/>
          <w:sz w:val="24"/>
        </w:rPr>
        <w:t xml:space="preserve"> </w:t>
      </w:r>
      <w:r>
        <w:rPr>
          <w:b/>
          <w:sz w:val="24"/>
        </w:rPr>
        <w:t>a</w:t>
      </w:r>
      <w:r>
        <w:rPr>
          <w:b/>
          <w:spacing w:val="-1"/>
          <w:sz w:val="24"/>
        </w:rPr>
        <w:t xml:space="preserve"> </w:t>
      </w:r>
      <w:r>
        <w:rPr>
          <w:b/>
          <w:sz w:val="24"/>
        </w:rPr>
        <w:t>Confidential Person</w:t>
      </w:r>
      <w:r>
        <w:rPr>
          <w:b/>
          <w:spacing w:val="-1"/>
          <w:sz w:val="24"/>
        </w:rPr>
        <w:t xml:space="preserve"> </w:t>
      </w:r>
      <w:r>
        <w:rPr>
          <w:b/>
          <w:sz w:val="24"/>
        </w:rPr>
        <w:t>and the</w:t>
      </w:r>
      <w:r>
        <w:rPr>
          <w:b/>
          <w:spacing w:val="-1"/>
          <w:sz w:val="24"/>
        </w:rPr>
        <w:t xml:space="preserve"> </w:t>
      </w:r>
      <w:r>
        <w:rPr>
          <w:b/>
          <w:sz w:val="24"/>
        </w:rPr>
        <w:t>Procedure</w:t>
      </w:r>
      <w:r>
        <w:rPr>
          <w:b/>
          <w:spacing w:val="-2"/>
          <w:sz w:val="24"/>
        </w:rPr>
        <w:t xml:space="preserve"> </w:t>
      </w:r>
      <w:r>
        <w:rPr>
          <w:b/>
          <w:sz w:val="24"/>
        </w:rPr>
        <w:t>of</w:t>
      </w:r>
      <w:r>
        <w:rPr>
          <w:b/>
          <w:spacing w:val="2"/>
          <w:sz w:val="24"/>
        </w:rPr>
        <w:t xml:space="preserve"> </w:t>
      </w:r>
      <w:r>
        <w:rPr>
          <w:b/>
          <w:sz w:val="24"/>
        </w:rPr>
        <w:t>Internal Reporting</w:t>
      </w:r>
      <w:r>
        <w:rPr>
          <w:b/>
          <w:spacing w:val="-1"/>
          <w:sz w:val="24"/>
        </w:rPr>
        <w:t xml:space="preserve"> </w:t>
      </w:r>
      <w:r>
        <w:rPr>
          <w:b/>
          <w:sz w:val="24"/>
        </w:rPr>
        <w:t>to the MJPA</w:t>
      </w:r>
      <w:r>
        <w:rPr>
          <w:sz w:val="24"/>
        </w:rPr>
        <w:t>.</w:t>
      </w:r>
    </w:p>
    <w:p w:rsidR="00A56FE9" w:rsidRDefault="00000000">
      <w:pPr>
        <w:spacing w:before="121"/>
        <w:ind w:left="138" w:right="279"/>
        <w:jc w:val="both"/>
        <w:rPr>
          <w:i/>
          <w:sz w:val="24"/>
        </w:rPr>
      </w:pPr>
      <w:r>
        <w:rPr>
          <w:i/>
          <w:sz w:val="24"/>
        </w:rPr>
        <w:t>All the mentioned activities comply with SDG 16. Promote peaceful and inclusive societies for</w:t>
      </w:r>
      <w:r>
        <w:rPr>
          <w:i/>
          <w:spacing w:val="-57"/>
          <w:sz w:val="24"/>
        </w:rPr>
        <w:t xml:space="preserve"> </w:t>
      </w:r>
      <w:r>
        <w:rPr>
          <w:i/>
          <w:sz w:val="24"/>
        </w:rPr>
        <w:t>sustainable development, provide access to justice for all and build effective, accountable and</w:t>
      </w:r>
      <w:r>
        <w:rPr>
          <w:i/>
          <w:spacing w:val="-57"/>
          <w:sz w:val="24"/>
        </w:rPr>
        <w:t xml:space="preserve"> </w:t>
      </w:r>
      <w:r>
        <w:rPr>
          <w:i/>
          <w:sz w:val="24"/>
        </w:rPr>
        <w:t>inclusive</w:t>
      </w:r>
      <w:r>
        <w:rPr>
          <w:i/>
          <w:spacing w:val="-2"/>
          <w:sz w:val="24"/>
        </w:rPr>
        <w:t xml:space="preserve"> </w:t>
      </w:r>
      <w:r>
        <w:rPr>
          <w:i/>
          <w:sz w:val="24"/>
        </w:rPr>
        <w:t>institutions at all levels.</w:t>
      </w:r>
    </w:p>
    <w:p w:rsidR="00A56FE9" w:rsidRDefault="00A56FE9">
      <w:pPr>
        <w:pStyle w:val="Tijeloteksta"/>
        <w:ind w:left="0"/>
        <w:jc w:val="left"/>
        <w:rPr>
          <w:i/>
          <w:sz w:val="26"/>
        </w:rPr>
      </w:pPr>
    </w:p>
    <w:p w:rsidR="00A56FE9" w:rsidRDefault="00000000">
      <w:pPr>
        <w:pStyle w:val="Naslov3"/>
        <w:spacing w:before="186"/>
      </w:pPr>
      <w:bookmarkStart w:id="17" w:name="_bookmark17"/>
      <w:bookmarkEnd w:id="17"/>
      <w:r>
        <w:rPr>
          <w:rFonts w:ascii="Times New Roman"/>
          <w:b/>
          <w:color w:val="2C398A"/>
          <w:spacing w:val="-1"/>
        </w:rPr>
        <w:t>C2.7.</w:t>
      </w:r>
      <w:r>
        <w:rPr>
          <w:rFonts w:ascii="Times New Roman"/>
          <w:b/>
          <w:color w:val="2C398A"/>
        </w:rPr>
        <w:t xml:space="preserve"> </w:t>
      </w:r>
      <w:r>
        <w:rPr>
          <w:color w:val="003399"/>
          <w:spacing w:val="-1"/>
        </w:rPr>
        <w:t>Strengthening</w:t>
      </w:r>
      <w:r>
        <w:rPr>
          <w:color w:val="003399"/>
          <w:spacing w:val="-14"/>
        </w:rPr>
        <w:t xml:space="preserve"> </w:t>
      </w:r>
      <w:r>
        <w:rPr>
          <w:color w:val="003399"/>
        </w:rPr>
        <w:t>of</w:t>
      </w:r>
      <w:r>
        <w:rPr>
          <w:color w:val="003399"/>
          <w:spacing w:val="-13"/>
        </w:rPr>
        <w:t xml:space="preserve"> </w:t>
      </w:r>
      <w:r>
        <w:rPr>
          <w:color w:val="003399"/>
        </w:rPr>
        <w:t>the</w:t>
      </w:r>
      <w:r>
        <w:rPr>
          <w:color w:val="003399"/>
          <w:spacing w:val="-16"/>
        </w:rPr>
        <w:t xml:space="preserve"> </w:t>
      </w:r>
      <w:r>
        <w:rPr>
          <w:color w:val="003399"/>
        </w:rPr>
        <w:t>Fiscal</w:t>
      </w:r>
      <w:r>
        <w:rPr>
          <w:color w:val="003399"/>
          <w:spacing w:val="-13"/>
        </w:rPr>
        <w:t xml:space="preserve"> </w:t>
      </w:r>
      <w:r>
        <w:rPr>
          <w:color w:val="003399"/>
        </w:rPr>
        <w:t>Framework</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73184"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1167206987"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A98C9" id="Rectangle 212" o:spid="_x0000_s1026" style="position:absolute;margin-left:64.1pt;margin-top:-6.1pt;width:1.45pt;height:27pt;z-index:15773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Strengthening</w:t>
      </w:r>
      <w:r w:rsidR="00000000">
        <w:rPr>
          <w:color w:val="2C398A"/>
          <w:spacing w:val="-3"/>
        </w:rPr>
        <w:t xml:space="preserve"> </w:t>
      </w:r>
      <w:r w:rsidR="00000000">
        <w:rPr>
          <w:color w:val="2C398A"/>
        </w:rPr>
        <w:t>the</w:t>
      </w:r>
      <w:r w:rsidR="00000000">
        <w:rPr>
          <w:color w:val="2C398A"/>
          <w:spacing w:val="-2"/>
        </w:rPr>
        <w:t xml:space="preserve"> </w:t>
      </w:r>
      <w:r w:rsidR="00000000">
        <w:rPr>
          <w:color w:val="2C398A"/>
        </w:rPr>
        <w:t>fiscal</w:t>
      </w:r>
      <w:r w:rsidR="00000000">
        <w:rPr>
          <w:color w:val="2C398A"/>
          <w:spacing w:val="-2"/>
        </w:rPr>
        <w:t xml:space="preserve"> </w:t>
      </w:r>
      <w:r w:rsidR="00000000">
        <w:rPr>
          <w:color w:val="2C398A"/>
        </w:rPr>
        <w:t>framework</w:t>
      </w:r>
      <w:r w:rsidR="00000000">
        <w:rPr>
          <w:color w:val="2C398A"/>
          <w:spacing w:val="-2"/>
        </w:rPr>
        <w:t xml:space="preserve"> </w:t>
      </w:r>
      <w:r w:rsidR="00000000">
        <w:rPr>
          <w:color w:val="2C398A"/>
        </w:rPr>
        <w:t>and</w:t>
      </w:r>
      <w:r w:rsidR="00000000">
        <w:rPr>
          <w:color w:val="2C398A"/>
          <w:spacing w:val="-2"/>
        </w:rPr>
        <w:t xml:space="preserve"> </w:t>
      </w:r>
      <w:r w:rsidR="00000000">
        <w:rPr>
          <w:color w:val="2C398A"/>
        </w:rPr>
        <w:t>reporting</w:t>
      </w:r>
    </w:p>
    <w:p w:rsidR="00A56FE9" w:rsidRDefault="00000000">
      <w:pPr>
        <w:spacing w:before="234"/>
        <w:ind w:left="138" w:right="277"/>
        <w:jc w:val="both"/>
        <w:rPr>
          <w:i/>
          <w:sz w:val="24"/>
        </w:rPr>
      </w:pPr>
      <w:r>
        <w:rPr>
          <w:i/>
          <w:color w:val="2C398A"/>
          <w:sz w:val="24"/>
        </w:rPr>
        <w:t>2019.CSR 1.1. Reinforce the budgetary framework and monitoring of contingent liabilities at</w:t>
      </w:r>
      <w:r>
        <w:rPr>
          <w:i/>
          <w:color w:val="2C398A"/>
          <w:spacing w:val="1"/>
          <w:sz w:val="24"/>
        </w:rPr>
        <w:t xml:space="preserve"> </w:t>
      </w:r>
      <w:r>
        <w:rPr>
          <w:i/>
          <w:color w:val="2C398A"/>
          <w:sz w:val="24"/>
        </w:rPr>
        <w:t>central</w:t>
      </w:r>
      <w:r>
        <w:rPr>
          <w:i/>
          <w:color w:val="2C398A"/>
          <w:spacing w:val="-1"/>
          <w:sz w:val="24"/>
        </w:rPr>
        <w:t xml:space="preserve"> </w:t>
      </w:r>
      <w:r>
        <w:rPr>
          <w:i/>
          <w:color w:val="2C398A"/>
          <w:sz w:val="24"/>
        </w:rPr>
        <w:t>and local level</w:t>
      </w:r>
    </w:p>
    <w:p w:rsidR="00A56FE9" w:rsidRDefault="00A56FE9">
      <w:pPr>
        <w:pStyle w:val="Tijeloteksta"/>
        <w:spacing w:before="4"/>
        <w:ind w:left="0"/>
        <w:jc w:val="left"/>
        <w:rPr>
          <w:i/>
          <w:sz w:val="21"/>
        </w:rPr>
      </w:pPr>
    </w:p>
    <w:p w:rsidR="00A56FE9" w:rsidRDefault="00000000">
      <w:pPr>
        <w:pStyle w:val="Naslov5"/>
      </w:pPr>
      <w:r>
        <w:t>Progress</w:t>
      </w:r>
      <w:r>
        <w:rPr>
          <w:spacing w:val="-3"/>
        </w:rPr>
        <w:t xml:space="preserve"> </w:t>
      </w:r>
      <w:r>
        <w:t>in</w:t>
      </w:r>
      <w:r>
        <w:rPr>
          <w:spacing w:val="-1"/>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1525961739"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771070626" name="Rectangle 211"/>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F6987C4" id="Group 210"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">
                <v:rect id="Rectangle 211"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" fillcolor="#2c398a" stroked="f"/>
                <w10:anchorlock/>
              </v:group>
            </w:pict>
          </mc:Fallback>
        </mc:AlternateContent>
      </w:r>
    </w:p>
    <w:p w:rsidR="00A56FE9" w:rsidRDefault="00000000">
      <w:pPr>
        <w:pStyle w:val="Tijeloteksta"/>
        <w:spacing w:before="154"/>
        <w:ind w:right="272"/>
      </w:pPr>
      <w:r>
        <w:t>The new Budget Act</w:t>
      </w:r>
      <w:r>
        <w:rPr>
          <w:vertAlign w:val="superscript"/>
        </w:rPr>
        <w:t>35</w:t>
      </w:r>
      <w:r>
        <w:t xml:space="preserve"> has been adopted to improve the budgetary process and associated</w:t>
      </w:r>
      <w:r>
        <w:rPr>
          <w:spacing w:val="1"/>
        </w:rPr>
        <w:t xml:space="preserve"> </w:t>
      </w:r>
      <w:r>
        <w:t>budgetary</w:t>
      </w:r>
      <w:r>
        <w:rPr>
          <w:spacing w:val="-13"/>
        </w:rPr>
        <w:t xml:space="preserve"> </w:t>
      </w:r>
      <w:r>
        <w:t>documents,</w:t>
      </w:r>
      <w:r>
        <w:rPr>
          <w:spacing w:val="-7"/>
        </w:rPr>
        <w:t xml:space="preserve"> </w:t>
      </w:r>
      <w:r>
        <w:t>thereby</w:t>
      </w:r>
      <w:r>
        <w:rPr>
          <w:spacing w:val="-10"/>
        </w:rPr>
        <w:t xml:space="preserve"> </w:t>
      </w:r>
      <w:r>
        <w:t>ensuring</w:t>
      </w:r>
      <w:r>
        <w:rPr>
          <w:spacing w:val="-11"/>
        </w:rPr>
        <w:t xml:space="preserve"> </w:t>
      </w:r>
      <w:r>
        <w:t>the</w:t>
      </w:r>
      <w:r>
        <w:rPr>
          <w:spacing w:val="-8"/>
        </w:rPr>
        <w:t xml:space="preserve"> </w:t>
      </w:r>
      <w:r>
        <w:t>development</w:t>
      </w:r>
      <w:r>
        <w:rPr>
          <w:spacing w:val="-8"/>
        </w:rPr>
        <w:t xml:space="preserve"> </w:t>
      </w:r>
      <w:r>
        <w:t>of</w:t>
      </w:r>
      <w:r>
        <w:rPr>
          <w:spacing w:val="-8"/>
        </w:rPr>
        <w:t xml:space="preserve"> </w:t>
      </w:r>
      <w:r>
        <w:t>an</w:t>
      </w:r>
      <w:r>
        <w:rPr>
          <w:spacing w:val="-6"/>
        </w:rPr>
        <w:t xml:space="preserve"> </w:t>
      </w:r>
      <w:r>
        <w:t>effective</w:t>
      </w:r>
      <w:r>
        <w:rPr>
          <w:spacing w:val="-6"/>
        </w:rPr>
        <w:t xml:space="preserve"> </w:t>
      </w:r>
      <w:r>
        <w:t>and</w:t>
      </w:r>
      <w:r>
        <w:rPr>
          <w:spacing w:val="-6"/>
        </w:rPr>
        <w:t xml:space="preserve"> </w:t>
      </w:r>
      <w:r>
        <w:t>sustainable</w:t>
      </w:r>
      <w:r>
        <w:rPr>
          <w:spacing w:val="-9"/>
        </w:rPr>
        <w:t xml:space="preserve"> </w:t>
      </w:r>
      <w:r>
        <w:t>system</w:t>
      </w:r>
      <w:r>
        <w:rPr>
          <w:spacing w:val="-58"/>
        </w:rPr>
        <w:t xml:space="preserve"> </w:t>
      </w:r>
      <w:r>
        <w:t>for managing public finance. Strengthening the fiscal framework is one of the main elements</w:t>
      </w:r>
      <w:r>
        <w:rPr>
          <w:spacing w:val="1"/>
        </w:rPr>
        <w:t xml:space="preserve"> </w:t>
      </w:r>
      <w:r>
        <w:t>in improving the management of public finance, which contributes to macroeconomic stability</w:t>
      </w:r>
      <w:r>
        <w:rPr>
          <w:spacing w:val="-58"/>
        </w:rPr>
        <w:t xml:space="preserve"> </w:t>
      </w:r>
      <w:r>
        <w:t>and creates the preconditions for increasing the potential growth rate and economic recovery</w:t>
      </w:r>
      <w:r>
        <w:rPr>
          <w:spacing w:val="1"/>
        </w:rPr>
        <w:t xml:space="preserve"> </w:t>
      </w:r>
      <w:r>
        <w:t>and resilience. The new Budget Act determines the procedures and key documents necessary</w:t>
      </w:r>
      <w:r>
        <w:rPr>
          <w:spacing w:val="1"/>
        </w:rPr>
        <w:t xml:space="preserve"> </w:t>
      </w:r>
      <w:r>
        <w:t>for drafting, adoption and execution of the state budget, the budget of local and regional self-</w:t>
      </w:r>
      <w:r>
        <w:rPr>
          <w:spacing w:val="1"/>
        </w:rPr>
        <w:t xml:space="preserve"> </w:t>
      </w:r>
      <w:r>
        <w:t>government</w:t>
      </w:r>
      <w:r>
        <w:rPr>
          <w:spacing w:val="2"/>
        </w:rPr>
        <w:t xml:space="preserve"> </w:t>
      </w:r>
      <w:r>
        <w:t>units</w:t>
      </w:r>
      <w:r>
        <w:rPr>
          <w:spacing w:val="3"/>
        </w:rPr>
        <w:t xml:space="preserve"> </w:t>
      </w:r>
      <w:r>
        <w:t>(LRSGUs)</w:t>
      </w:r>
      <w:r>
        <w:rPr>
          <w:spacing w:val="1"/>
        </w:rPr>
        <w:t xml:space="preserve"> </w:t>
      </w:r>
      <w:r>
        <w:t>and</w:t>
      </w:r>
      <w:r>
        <w:rPr>
          <w:spacing w:val="3"/>
        </w:rPr>
        <w:t xml:space="preserve"> </w:t>
      </w:r>
      <w:r>
        <w:t>their</w:t>
      </w:r>
      <w:r>
        <w:rPr>
          <w:spacing w:val="1"/>
        </w:rPr>
        <w:t xml:space="preserve"> </w:t>
      </w:r>
      <w:r>
        <w:t>extra-budgetary</w:t>
      </w:r>
      <w:r>
        <w:rPr>
          <w:spacing w:val="-3"/>
        </w:rPr>
        <w:t xml:space="preserve"> </w:t>
      </w:r>
      <w:r>
        <w:t>users,</w:t>
      </w:r>
      <w:r>
        <w:rPr>
          <w:spacing w:val="2"/>
        </w:rPr>
        <w:t xml:space="preserve"> </w:t>
      </w:r>
      <w:r>
        <w:t>the</w:t>
      </w:r>
      <w:r>
        <w:rPr>
          <w:spacing w:val="4"/>
        </w:rPr>
        <w:t xml:space="preserve"> </w:t>
      </w:r>
      <w:r>
        <w:t>framework</w:t>
      </w:r>
      <w:r>
        <w:rPr>
          <w:spacing w:val="3"/>
        </w:rPr>
        <w:t xml:space="preserve"> </w:t>
      </w:r>
      <w:r>
        <w:t>for borrowing by</w:t>
      </w:r>
    </w:p>
    <w:p w:rsidR="00A56FE9" w:rsidRDefault="00CC1B9B">
      <w:pPr>
        <w:pStyle w:val="Tijeloteksta"/>
        <w:spacing w:before="7"/>
        <w:ind w:left="0"/>
        <w:jc w:val="left"/>
        <w:rPr>
          <w:sz w:val="12"/>
        </w:rPr>
      </w:pPr>
      <w:r>
        <w:rPr>
          <w:noProof/>
        </w:rPr>
        <mc:AlternateContent>
          <mc:Choice Requires="wps">
            <w:drawing>
              <wp:anchor distT="0" distB="0" distL="0" distR="0" simplePos="0" relativeHeight="487631872" behindDoc="1" locked="0" layoutInCell="1" allowOverlap="1">
                <wp:simplePos x="0" y="0"/>
                <wp:positionH relativeFrom="page">
                  <wp:posOffset>901065</wp:posOffset>
                </wp:positionH>
                <wp:positionV relativeFrom="paragraph">
                  <wp:posOffset>116840</wp:posOffset>
                </wp:positionV>
                <wp:extent cx="1828800" cy="7620"/>
                <wp:effectExtent l="0" t="0" r="0" b="0"/>
                <wp:wrapTopAndBottom/>
                <wp:docPr id="928876080"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77DF2" id="Rectangle 209" o:spid="_x0000_s1026" style="position:absolute;margin-left:70.95pt;margin-top:9.2pt;width:2in;height:.6pt;z-index:-15684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" fillcolor="black" stroked="f">
                <w10:wrap type="topAndBottom" anchorx="page"/>
              </v:rect>
            </w:pict>
          </mc:Fallback>
        </mc:AlternateContent>
      </w:r>
    </w:p>
    <w:p w:rsidR="00A56FE9" w:rsidRDefault="00000000">
      <w:pPr>
        <w:spacing w:before="73" w:line="184" w:lineRule="exact"/>
        <w:ind w:left="138"/>
        <w:rPr>
          <w:sz w:val="16"/>
        </w:rPr>
      </w:pPr>
      <w:r>
        <w:rPr>
          <w:sz w:val="16"/>
          <w:vertAlign w:val="superscript"/>
        </w:rPr>
        <w:t>34</w:t>
      </w:r>
      <w:r>
        <w:rPr>
          <w:spacing w:val="-1"/>
          <w:sz w:val="16"/>
        </w:rPr>
        <w:t xml:space="preserve"> </w:t>
      </w:r>
      <w:r>
        <w:rPr>
          <w:sz w:val="16"/>
        </w:rPr>
        <w:t>OG</w:t>
      </w:r>
      <w:r>
        <w:rPr>
          <w:spacing w:val="-3"/>
          <w:sz w:val="16"/>
        </w:rPr>
        <w:t xml:space="preserve"> </w:t>
      </w:r>
      <w:r>
        <w:rPr>
          <w:sz w:val="16"/>
        </w:rPr>
        <w:t>17/19</w:t>
      </w:r>
    </w:p>
    <w:p w:rsidR="00A56FE9" w:rsidRDefault="00000000">
      <w:pPr>
        <w:spacing w:line="230" w:lineRule="exact"/>
        <w:ind w:left="138"/>
        <w:rPr>
          <w:sz w:val="20"/>
        </w:rPr>
      </w:pPr>
      <w:r>
        <w:rPr>
          <w:sz w:val="20"/>
          <w:vertAlign w:val="superscript"/>
        </w:rPr>
        <w:t>35</w:t>
      </w:r>
      <w:r>
        <w:rPr>
          <w:spacing w:val="-1"/>
          <w:sz w:val="20"/>
        </w:rPr>
        <w:t xml:space="preserve"> </w:t>
      </w:r>
      <w:r>
        <w:rPr>
          <w:sz w:val="20"/>
        </w:rPr>
        <w:t>OG 144/21</w:t>
      </w:r>
    </w:p>
    <w:p w:rsidR="00A56FE9" w:rsidRDefault="00A56FE9">
      <w:pPr>
        <w:spacing w:line="230" w:lineRule="exact"/>
        <w:rPr>
          <w:sz w:val="20"/>
        </w:rPr>
        <w:sectPr w:rsidR="00A56FE9" w:rsidSect="00AB1E70">
          <w:pgSz w:w="11910" w:h="16840"/>
          <w:pgMar w:top="1320" w:right="1140" w:bottom="960" w:left="1280" w:header="0" w:footer="779" w:gutter="0"/>
          <w:cols w:space="720"/>
        </w:sectPr>
      </w:pPr>
    </w:p>
    <w:p w:rsidR="00A56FE9" w:rsidRDefault="00000000">
      <w:pPr>
        <w:pStyle w:val="Tijeloteksta"/>
        <w:spacing w:before="74"/>
        <w:ind w:right="278"/>
      </w:pPr>
      <w:r>
        <w:t>local</w:t>
      </w:r>
      <w:r>
        <w:rPr>
          <w:spacing w:val="-9"/>
        </w:rPr>
        <w:t xml:space="preserve"> </w:t>
      </w:r>
      <w:r>
        <w:t>and</w:t>
      </w:r>
      <w:r>
        <w:rPr>
          <w:spacing w:val="-10"/>
        </w:rPr>
        <w:t xml:space="preserve"> </w:t>
      </w:r>
      <w:r>
        <w:t>regional</w:t>
      </w:r>
      <w:r>
        <w:rPr>
          <w:spacing w:val="-9"/>
        </w:rPr>
        <w:t xml:space="preserve"> </w:t>
      </w:r>
      <w:r>
        <w:t>self-government</w:t>
      </w:r>
      <w:r>
        <w:rPr>
          <w:spacing w:val="-9"/>
        </w:rPr>
        <w:t xml:space="preserve"> </w:t>
      </w:r>
      <w:r>
        <w:t>units,</w:t>
      </w:r>
      <w:r>
        <w:rPr>
          <w:spacing w:val="-8"/>
        </w:rPr>
        <w:t xml:space="preserve"> </w:t>
      </w:r>
      <w:r>
        <w:t>tracking</w:t>
      </w:r>
      <w:r>
        <w:rPr>
          <w:spacing w:val="-12"/>
        </w:rPr>
        <w:t xml:space="preserve"> </w:t>
      </w:r>
      <w:r>
        <w:t>the</w:t>
      </w:r>
      <w:r>
        <w:rPr>
          <w:spacing w:val="-9"/>
        </w:rPr>
        <w:t xml:space="preserve"> </w:t>
      </w:r>
      <w:r>
        <w:t>use</w:t>
      </w:r>
      <w:r>
        <w:rPr>
          <w:spacing w:val="-11"/>
        </w:rPr>
        <w:t xml:space="preserve"> </w:t>
      </w:r>
      <w:r>
        <w:t>of</w:t>
      </w:r>
      <w:r>
        <w:rPr>
          <w:spacing w:val="-9"/>
        </w:rPr>
        <w:t xml:space="preserve"> </w:t>
      </w:r>
      <w:r>
        <w:t>proprietary</w:t>
      </w:r>
      <w:r>
        <w:rPr>
          <w:spacing w:val="-14"/>
        </w:rPr>
        <w:t xml:space="preserve"> </w:t>
      </w:r>
      <w:r>
        <w:t>and</w:t>
      </w:r>
      <w:r>
        <w:rPr>
          <w:spacing w:val="-9"/>
        </w:rPr>
        <w:t xml:space="preserve"> </w:t>
      </w:r>
      <w:r>
        <w:t>dedicated</w:t>
      </w:r>
      <w:r>
        <w:rPr>
          <w:spacing w:val="-10"/>
        </w:rPr>
        <w:t xml:space="preserve"> </w:t>
      </w:r>
      <w:r>
        <w:t>revenue,</w:t>
      </w:r>
      <w:r>
        <w:rPr>
          <w:spacing w:val="-58"/>
        </w:rPr>
        <w:t xml:space="preserve"> </w:t>
      </w:r>
      <w:r>
        <w:t>as</w:t>
      </w:r>
      <w:r>
        <w:rPr>
          <w:spacing w:val="-7"/>
        </w:rPr>
        <w:t xml:space="preserve"> </w:t>
      </w:r>
      <w:r>
        <w:t>well</w:t>
      </w:r>
      <w:r>
        <w:rPr>
          <w:spacing w:val="-7"/>
        </w:rPr>
        <w:t xml:space="preserve"> </w:t>
      </w:r>
      <w:r>
        <w:t>as</w:t>
      </w:r>
      <w:r>
        <w:rPr>
          <w:spacing w:val="-6"/>
        </w:rPr>
        <w:t xml:space="preserve"> </w:t>
      </w:r>
      <w:r>
        <w:t>projecting</w:t>
      </w:r>
      <w:r>
        <w:rPr>
          <w:spacing w:val="-10"/>
        </w:rPr>
        <w:t xml:space="preserve"> </w:t>
      </w:r>
      <w:r>
        <w:t>and</w:t>
      </w:r>
      <w:r>
        <w:rPr>
          <w:spacing w:val="-4"/>
        </w:rPr>
        <w:t xml:space="preserve"> </w:t>
      </w:r>
      <w:r>
        <w:t>controlling</w:t>
      </w:r>
      <w:r>
        <w:rPr>
          <w:spacing w:val="-9"/>
        </w:rPr>
        <w:t xml:space="preserve"> </w:t>
      </w:r>
      <w:r>
        <w:t>future</w:t>
      </w:r>
      <w:r>
        <w:rPr>
          <w:spacing w:val="-7"/>
        </w:rPr>
        <w:t xml:space="preserve"> </w:t>
      </w:r>
      <w:r>
        <w:t>consumption</w:t>
      </w:r>
      <w:r>
        <w:rPr>
          <w:spacing w:val="-7"/>
        </w:rPr>
        <w:t xml:space="preserve"> </w:t>
      </w:r>
      <w:r>
        <w:t>including</w:t>
      </w:r>
      <w:r>
        <w:rPr>
          <w:spacing w:val="-8"/>
        </w:rPr>
        <w:t xml:space="preserve"> </w:t>
      </w:r>
      <w:r>
        <w:t>perennial</w:t>
      </w:r>
      <w:r>
        <w:rPr>
          <w:spacing w:val="-7"/>
        </w:rPr>
        <w:t xml:space="preserve"> </w:t>
      </w:r>
      <w:r>
        <w:t>liabilities.</w:t>
      </w:r>
      <w:r>
        <w:rPr>
          <w:spacing w:val="-6"/>
        </w:rPr>
        <w:t xml:space="preserve"> </w:t>
      </w:r>
      <w:r>
        <w:t>Greater</w:t>
      </w:r>
      <w:r>
        <w:rPr>
          <w:spacing w:val="-58"/>
        </w:rPr>
        <w:t xml:space="preserve"> </w:t>
      </w:r>
      <w:r>
        <w:t>flexibility has also been given to implementing EU projects and compliance with the Council</w:t>
      </w:r>
      <w:r>
        <w:rPr>
          <w:spacing w:val="1"/>
        </w:rPr>
        <w:t xml:space="preserve"> </w:t>
      </w:r>
      <w:r>
        <w:t>Directive</w:t>
      </w:r>
      <w:r>
        <w:rPr>
          <w:spacing w:val="-2"/>
        </w:rPr>
        <w:t xml:space="preserve"> </w:t>
      </w:r>
      <w:r>
        <w:t>2011/85/EU</w:t>
      </w:r>
      <w:r>
        <w:rPr>
          <w:spacing w:val="-2"/>
        </w:rPr>
        <w:t xml:space="preserve"> </w:t>
      </w:r>
      <w:r>
        <w:t>to establish</w:t>
      </w:r>
      <w:r>
        <w:rPr>
          <w:spacing w:val="-1"/>
        </w:rPr>
        <w:t xml:space="preserve"> </w:t>
      </w:r>
      <w:r>
        <w:t>a</w:t>
      </w:r>
      <w:r>
        <w:rPr>
          <w:spacing w:val="-2"/>
        </w:rPr>
        <w:t xml:space="preserve"> </w:t>
      </w:r>
      <w:r>
        <w:t>more</w:t>
      </w:r>
      <w:r>
        <w:rPr>
          <w:spacing w:val="-3"/>
        </w:rPr>
        <w:t xml:space="preserve"> </w:t>
      </w:r>
      <w:r>
        <w:t>effective</w:t>
      </w:r>
      <w:r>
        <w:rPr>
          <w:spacing w:val="-2"/>
        </w:rPr>
        <w:t xml:space="preserve"> </w:t>
      </w:r>
      <w:r>
        <w:t>financial</w:t>
      </w:r>
      <w:r>
        <w:rPr>
          <w:spacing w:val="1"/>
        </w:rPr>
        <w:t xml:space="preserve"> </w:t>
      </w:r>
      <w:r>
        <w:t>and</w:t>
      </w:r>
      <w:r>
        <w:rPr>
          <w:spacing w:val="-1"/>
        </w:rPr>
        <w:t xml:space="preserve"> </w:t>
      </w:r>
      <w:r>
        <w:t>statistical</w:t>
      </w:r>
      <w:r>
        <w:rPr>
          <w:spacing w:val="-1"/>
        </w:rPr>
        <w:t xml:space="preserve"> </w:t>
      </w:r>
      <w:r>
        <w:t>reporting</w:t>
      </w:r>
      <w:r>
        <w:rPr>
          <w:spacing w:val="-4"/>
        </w:rPr>
        <w:t xml:space="preserve"> </w:t>
      </w:r>
      <w:r>
        <w:t>system.</w:t>
      </w:r>
    </w:p>
    <w:p w:rsidR="00A56FE9" w:rsidRDefault="00000000">
      <w:pPr>
        <w:pStyle w:val="Tijeloteksta"/>
        <w:spacing w:before="121"/>
        <w:ind w:right="277"/>
      </w:pPr>
      <w:r>
        <w:t>In addition, the president of the Commission on Fiscal Policy was selected on the basis of a</w:t>
      </w:r>
      <w:r>
        <w:rPr>
          <w:spacing w:val="1"/>
        </w:rPr>
        <w:t xml:space="preserve"> </w:t>
      </w:r>
      <w:r>
        <w:t>public call, thereby ensuring the Commission's complete functioning. Namely, the Fiscal</w:t>
      </w:r>
      <w:r>
        <w:rPr>
          <w:spacing w:val="1"/>
        </w:rPr>
        <w:t xml:space="preserve"> </w:t>
      </w:r>
      <w:r>
        <w:t>Responsibility</w:t>
      </w:r>
      <w:r>
        <w:rPr>
          <w:spacing w:val="-11"/>
        </w:rPr>
        <w:t xml:space="preserve"> </w:t>
      </w:r>
      <w:r>
        <w:t>Act</w:t>
      </w:r>
      <w:r>
        <w:rPr>
          <w:spacing w:val="-3"/>
        </w:rPr>
        <w:t xml:space="preserve"> </w:t>
      </w:r>
      <w:r>
        <w:t>stipulates</w:t>
      </w:r>
      <w:r>
        <w:rPr>
          <w:spacing w:val="-4"/>
        </w:rPr>
        <w:t xml:space="preserve"> </w:t>
      </w:r>
      <w:r>
        <w:t>that</w:t>
      </w:r>
      <w:r>
        <w:rPr>
          <w:spacing w:val="-4"/>
        </w:rPr>
        <w:t xml:space="preserve"> </w:t>
      </w:r>
      <w:r>
        <w:t>the</w:t>
      </w:r>
      <w:r>
        <w:rPr>
          <w:spacing w:val="-4"/>
        </w:rPr>
        <w:t xml:space="preserve"> </w:t>
      </w:r>
      <w:r>
        <w:t>president</w:t>
      </w:r>
      <w:r>
        <w:rPr>
          <w:spacing w:val="-4"/>
        </w:rPr>
        <w:t xml:space="preserve"> </w:t>
      </w:r>
      <w:r>
        <w:t>of</w:t>
      </w:r>
      <w:r>
        <w:rPr>
          <w:spacing w:val="-5"/>
        </w:rPr>
        <w:t xml:space="preserve"> </w:t>
      </w:r>
      <w:r>
        <w:t>the</w:t>
      </w:r>
      <w:r>
        <w:rPr>
          <w:spacing w:val="-4"/>
        </w:rPr>
        <w:t xml:space="preserve"> </w:t>
      </w:r>
      <w:r>
        <w:t>Commission</w:t>
      </w:r>
      <w:r>
        <w:rPr>
          <w:spacing w:val="-6"/>
        </w:rPr>
        <w:t xml:space="preserve"> </w:t>
      </w:r>
      <w:r>
        <w:t>who</w:t>
      </w:r>
      <w:r>
        <w:rPr>
          <w:spacing w:val="-4"/>
        </w:rPr>
        <w:t xml:space="preserve"> </w:t>
      </w:r>
      <w:r>
        <w:t>organises</w:t>
      </w:r>
      <w:r>
        <w:rPr>
          <w:spacing w:val="-3"/>
        </w:rPr>
        <w:t xml:space="preserve"> </w:t>
      </w:r>
      <w:r>
        <w:t>and</w:t>
      </w:r>
      <w:r>
        <w:rPr>
          <w:spacing w:val="-4"/>
        </w:rPr>
        <w:t xml:space="preserve"> </w:t>
      </w:r>
      <w:r>
        <w:t>manages</w:t>
      </w:r>
      <w:r>
        <w:rPr>
          <w:spacing w:val="-58"/>
        </w:rPr>
        <w:t xml:space="preserve"> </w:t>
      </w:r>
      <w:r>
        <w:t>its</w:t>
      </w:r>
      <w:r>
        <w:rPr>
          <w:spacing w:val="-4"/>
        </w:rPr>
        <w:t xml:space="preserve"> </w:t>
      </w:r>
      <w:r>
        <w:t>work</w:t>
      </w:r>
      <w:r>
        <w:rPr>
          <w:spacing w:val="-4"/>
        </w:rPr>
        <w:t xml:space="preserve"> </w:t>
      </w:r>
      <w:r>
        <w:t>is</w:t>
      </w:r>
      <w:r>
        <w:rPr>
          <w:spacing w:val="-3"/>
        </w:rPr>
        <w:t xml:space="preserve"> </w:t>
      </w:r>
      <w:r>
        <w:t>selected</w:t>
      </w:r>
      <w:r>
        <w:rPr>
          <w:spacing w:val="-3"/>
        </w:rPr>
        <w:t xml:space="preserve"> </w:t>
      </w:r>
      <w:r>
        <w:t>based</w:t>
      </w:r>
      <w:r>
        <w:rPr>
          <w:spacing w:val="-2"/>
        </w:rPr>
        <w:t xml:space="preserve"> </w:t>
      </w:r>
      <w:r>
        <w:t>on</w:t>
      </w:r>
      <w:r>
        <w:rPr>
          <w:spacing w:val="-4"/>
        </w:rPr>
        <w:t xml:space="preserve"> </w:t>
      </w:r>
      <w:r>
        <w:t>a</w:t>
      </w:r>
      <w:r>
        <w:rPr>
          <w:spacing w:val="-4"/>
        </w:rPr>
        <w:t xml:space="preserve"> </w:t>
      </w:r>
      <w:r>
        <w:t>public</w:t>
      </w:r>
      <w:r>
        <w:rPr>
          <w:spacing w:val="-5"/>
        </w:rPr>
        <w:t xml:space="preserve"> </w:t>
      </w:r>
      <w:r>
        <w:t>call,</w:t>
      </w:r>
      <w:r>
        <w:rPr>
          <w:spacing w:val="-4"/>
        </w:rPr>
        <w:t xml:space="preserve"> </w:t>
      </w:r>
      <w:r>
        <w:t>thereby</w:t>
      </w:r>
      <w:r>
        <w:rPr>
          <w:spacing w:val="-5"/>
        </w:rPr>
        <w:t xml:space="preserve"> </w:t>
      </w:r>
      <w:r>
        <w:t>giving</w:t>
      </w:r>
      <w:r>
        <w:rPr>
          <w:spacing w:val="-6"/>
        </w:rPr>
        <w:t xml:space="preserve"> </w:t>
      </w:r>
      <w:r>
        <w:t>the</w:t>
      </w:r>
      <w:r>
        <w:rPr>
          <w:spacing w:val="-4"/>
        </w:rPr>
        <w:t xml:space="preserve"> </w:t>
      </w:r>
      <w:r>
        <w:t>Commission</w:t>
      </w:r>
      <w:r>
        <w:rPr>
          <w:spacing w:val="-2"/>
        </w:rPr>
        <w:t xml:space="preserve"> </w:t>
      </w:r>
      <w:r>
        <w:t>a</w:t>
      </w:r>
      <w:r>
        <w:rPr>
          <w:spacing w:val="-5"/>
        </w:rPr>
        <w:t xml:space="preserve"> </w:t>
      </w:r>
      <w:r>
        <w:t>more</w:t>
      </w:r>
      <w:r>
        <w:rPr>
          <w:spacing w:val="-5"/>
        </w:rPr>
        <w:t xml:space="preserve"> </w:t>
      </w:r>
      <w:r>
        <w:t>decisive</w:t>
      </w:r>
      <w:r>
        <w:rPr>
          <w:spacing w:val="-4"/>
        </w:rPr>
        <w:t xml:space="preserve"> </w:t>
      </w:r>
      <w:r>
        <w:t>role</w:t>
      </w:r>
      <w:r>
        <w:rPr>
          <w:spacing w:val="-58"/>
        </w:rPr>
        <w:t xml:space="preserve"> </w:t>
      </w:r>
      <w:r>
        <w:t>in supervising the application of the Fiscal Responsibility Act and implementation of overall</w:t>
      </w:r>
      <w:r>
        <w:rPr>
          <w:spacing w:val="1"/>
        </w:rPr>
        <w:t xml:space="preserve"> </w:t>
      </w:r>
      <w:r>
        <w:t>state</w:t>
      </w:r>
      <w:r>
        <w:rPr>
          <w:spacing w:val="-2"/>
        </w:rPr>
        <w:t xml:space="preserve"> </w:t>
      </w:r>
      <w:r>
        <w:t>fiscal policy, all to improve</w:t>
      </w:r>
      <w:r>
        <w:rPr>
          <w:spacing w:val="-2"/>
        </w:rPr>
        <w:t xml:space="preserve"> </w:t>
      </w:r>
      <w:r>
        <w:t>the public finance</w:t>
      </w:r>
      <w:r>
        <w:rPr>
          <w:spacing w:val="-1"/>
        </w:rPr>
        <w:t xml:space="preserve"> </w:t>
      </w:r>
      <w:r>
        <w:t>system.</w:t>
      </w:r>
    </w:p>
    <w:p w:rsidR="00A56FE9" w:rsidRDefault="00000000">
      <w:pPr>
        <w:pStyle w:val="Tijeloteksta"/>
        <w:spacing w:before="120"/>
        <w:ind w:right="276"/>
      </w:pPr>
      <w:r>
        <w:t>The above was part of the National Recovery and Resilience Plan (NRRP) reform activities</w:t>
      </w:r>
      <w:r>
        <w:rPr>
          <w:spacing w:val="1"/>
        </w:rPr>
        <w:t xml:space="preserve"> </w:t>
      </w:r>
      <w:r>
        <w:t>carried</w:t>
      </w:r>
      <w:r>
        <w:rPr>
          <w:spacing w:val="1"/>
        </w:rPr>
        <w:t xml:space="preserve"> </w:t>
      </w:r>
      <w:r>
        <w:t>out</w:t>
      </w:r>
      <w:r>
        <w:rPr>
          <w:spacing w:val="1"/>
        </w:rPr>
        <w:t xml:space="preserve"> </w:t>
      </w:r>
      <w:r>
        <w:t>in</w:t>
      </w:r>
      <w:r>
        <w:rPr>
          <w:spacing w:val="1"/>
        </w:rPr>
        <w:t xml:space="preserve"> </w:t>
      </w:r>
      <w:r>
        <w:t>2021.</w:t>
      </w:r>
      <w:r>
        <w:rPr>
          <w:spacing w:val="1"/>
        </w:rPr>
        <w:t xml:space="preserve"> </w:t>
      </w:r>
      <w:r>
        <w:t>Namely,</w:t>
      </w:r>
      <w:r>
        <w:rPr>
          <w:spacing w:val="1"/>
        </w:rPr>
        <w:t xml:space="preserve"> </w:t>
      </w:r>
      <w:r>
        <w:t>the</w:t>
      </w:r>
      <w:r>
        <w:rPr>
          <w:spacing w:val="1"/>
        </w:rPr>
        <w:t xml:space="preserve"> </w:t>
      </w:r>
      <w:r>
        <w:t>reforms</w:t>
      </w:r>
      <w:r>
        <w:rPr>
          <w:spacing w:val="1"/>
        </w:rPr>
        <w:t xml:space="preserve"> </w:t>
      </w:r>
      <w:r>
        <w:t>covered</w:t>
      </w:r>
      <w:r>
        <w:rPr>
          <w:spacing w:val="1"/>
        </w:rPr>
        <w:t xml:space="preserve"> </w:t>
      </w:r>
      <w:r>
        <w:t>by</w:t>
      </w:r>
      <w:r>
        <w:rPr>
          <w:spacing w:val="1"/>
        </w:rPr>
        <w:t xml:space="preserve"> </w:t>
      </w:r>
      <w:r>
        <w:t>the</w:t>
      </w:r>
      <w:r>
        <w:rPr>
          <w:spacing w:val="1"/>
        </w:rPr>
        <w:t xml:space="preserve"> </w:t>
      </w:r>
      <w:r>
        <w:t>NRRP</w:t>
      </w:r>
      <w:r>
        <w:rPr>
          <w:spacing w:val="1"/>
        </w:rPr>
        <w:t xml:space="preserve"> </w:t>
      </w:r>
      <w:r>
        <w:t>are</w:t>
      </w:r>
      <w:r>
        <w:rPr>
          <w:spacing w:val="1"/>
        </w:rPr>
        <w:t xml:space="preserve"> </w:t>
      </w:r>
      <w:r>
        <w:t>aimed</w:t>
      </w:r>
      <w:r>
        <w:rPr>
          <w:spacing w:val="1"/>
        </w:rPr>
        <w:t xml:space="preserve"> </w:t>
      </w:r>
      <w:r>
        <w:t>at</w:t>
      </w:r>
      <w:r>
        <w:rPr>
          <w:spacing w:val="1"/>
        </w:rPr>
        <w:t xml:space="preserve"> </w:t>
      </w:r>
      <w:r>
        <w:t>further</w:t>
      </w:r>
      <w:r>
        <w:rPr>
          <w:spacing w:val="1"/>
        </w:rPr>
        <w:t xml:space="preserve"> </w:t>
      </w:r>
      <w:r>
        <w:t>strengthening</w:t>
      </w:r>
      <w:r>
        <w:rPr>
          <w:spacing w:val="1"/>
        </w:rPr>
        <w:t xml:space="preserve"> </w:t>
      </w:r>
      <w:r>
        <w:t>the</w:t>
      </w:r>
      <w:r>
        <w:rPr>
          <w:spacing w:val="1"/>
        </w:rPr>
        <w:t xml:space="preserve"> </w:t>
      </w:r>
      <w:r>
        <w:t>fiscal</w:t>
      </w:r>
      <w:r>
        <w:rPr>
          <w:spacing w:val="1"/>
        </w:rPr>
        <w:t xml:space="preserve"> </w:t>
      </w:r>
      <w:r>
        <w:t>framework</w:t>
      </w:r>
      <w:r>
        <w:rPr>
          <w:spacing w:val="1"/>
        </w:rPr>
        <w:t xml:space="preserve"> </w:t>
      </w:r>
      <w:r>
        <w:t>and</w:t>
      </w:r>
      <w:r>
        <w:rPr>
          <w:spacing w:val="1"/>
        </w:rPr>
        <w:t xml:space="preserve"> </w:t>
      </w:r>
      <w:r>
        <w:t>fiscal</w:t>
      </w:r>
      <w:r>
        <w:rPr>
          <w:spacing w:val="1"/>
        </w:rPr>
        <w:t xml:space="preserve"> </w:t>
      </w:r>
      <w:r>
        <w:t>discipline</w:t>
      </w:r>
      <w:r>
        <w:rPr>
          <w:spacing w:val="1"/>
        </w:rPr>
        <w:t xml:space="preserve"> </w:t>
      </w:r>
      <w:r>
        <w:t>in</w:t>
      </w:r>
      <w:r>
        <w:rPr>
          <w:spacing w:val="1"/>
        </w:rPr>
        <w:t xml:space="preserve"> </w:t>
      </w:r>
      <w:r>
        <w:t>order</w:t>
      </w:r>
      <w:r>
        <w:rPr>
          <w:spacing w:val="1"/>
        </w:rPr>
        <w:t xml:space="preserve"> </w:t>
      </w:r>
      <w:r>
        <w:t>to</w:t>
      </w:r>
      <w:r>
        <w:rPr>
          <w:spacing w:val="1"/>
        </w:rPr>
        <w:t xml:space="preserve"> </w:t>
      </w:r>
      <w:r>
        <w:t>improve</w:t>
      </w:r>
      <w:r>
        <w:rPr>
          <w:spacing w:val="1"/>
        </w:rPr>
        <w:t xml:space="preserve"> </w:t>
      </w:r>
      <w:r>
        <w:t>budgetary</w:t>
      </w:r>
      <w:r>
        <w:rPr>
          <w:spacing w:val="1"/>
        </w:rPr>
        <w:t xml:space="preserve"> </w:t>
      </w:r>
      <w:r>
        <w:t>processes,</w:t>
      </w:r>
      <w:r>
        <w:rPr>
          <w:spacing w:val="-1"/>
        </w:rPr>
        <w:t xml:space="preserve"> </w:t>
      </w:r>
      <w:r>
        <w:t>improve</w:t>
      </w:r>
      <w:r>
        <w:rPr>
          <w:spacing w:val="-1"/>
        </w:rPr>
        <w:t xml:space="preserve"> </w:t>
      </w:r>
      <w:r>
        <w:t>financial</w:t>
      </w:r>
      <w:r>
        <w:rPr>
          <w:spacing w:val="-1"/>
        </w:rPr>
        <w:t xml:space="preserve"> </w:t>
      </w:r>
      <w:r>
        <w:t>reporting</w:t>
      </w:r>
      <w:r>
        <w:rPr>
          <w:spacing w:val="-3"/>
        </w:rPr>
        <w:t xml:space="preserve"> </w:t>
      </w:r>
      <w:r>
        <w:t>and develop</w:t>
      </w:r>
      <w:r>
        <w:rPr>
          <w:spacing w:val="-1"/>
        </w:rPr>
        <w:t xml:space="preserve"> </w:t>
      </w:r>
      <w:r>
        <w:t>a</w:t>
      </w:r>
      <w:r>
        <w:rPr>
          <w:spacing w:val="-1"/>
        </w:rPr>
        <w:t xml:space="preserve"> </w:t>
      </w:r>
      <w:r>
        <w:t>model</w:t>
      </w:r>
      <w:r>
        <w:rPr>
          <w:spacing w:val="-1"/>
        </w:rPr>
        <w:t xml:space="preserve"> </w:t>
      </w:r>
      <w:r>
        <w:t>of</w:t>
      </w:r>
      <w:r>
        <w:rPr>
          <w:spacing w:val="-1"/>
        </w:rPr>
        <w:t xml:space="preserve"> </w:t>
      </w:r>
      <w:r>
        <w:t>macroeconomic</w:t>
      </w:r>
      <w:r>
        <w:rPr>
          <w:spacing w:val="-1"/>
        </w:rPr>
        <w:t xml:space="preserve"> </w:t>
      </w:r>
      <w:r>
        <w:t>projections.</w:t>
      </w:r>
    </w:p>
    <w:p w:rsidR="00A56FE9" w:rsidRDefault="00A56FE9">
      <w:pPr>
        <w:pStyle w:val="Tijeloteksta"/>
        <w:spacing w:before="3"/>
        <w:ind w:left="0"/>
        <w:jc w:val="left"/>
        <w:rPr>
          <w:sz w:val="21"/>
        </w:rPr>
      </w:pPr>
    </w:p>
    <w:p w:rsidR="00A56FE9" w:rsidRDefault="00000000">
      <w:pPr>
        <w:pStyle w:val="Naslov5"/>
        <w:spacing w:before="1"/>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535693512"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103615628" name="Rectangle 208"/>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5689E53" id="Group 207"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">
                <v:rect id="Rectangle 208"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" fillcolor="#2c398a" stroked="f"/>
                <w10:anchorlock/>
              </v:group>
            </w:pict>
          </mc:Fallback>
        </mc:AlternateContent>
      </w:r>
    </w:p>
    <w:p w:rsidR="00A56FE9" w:rsidRDefault="00000000">
      <w:pPr>
        <w:pStyle w:val="Tijeloteksta"/>
        <w:spacing w:before="154"/>
        <w:ind w:right="272"/>
      </w:pPr>
      <w:r>
        <w:rPr>
          <w:b/>
        </w:rPr>
        <w:t>Development</w:t>
      </w:r>
      <w:r>
        <w:rPr>
          <w:b/>
          <w:spacing w:val="-13"/>
        </w:rPr>
        <w:t xml:space="preserve"> </w:t>
      </w:r>
      <w:r>
        <w:rPr>
          <w:b/>
        </w:rPr>
        <w:t>of</w:t>
      </w:r>
      <w:r>
        <w:rPr>
          <w:b/>
          <w:spacing w:val="-10"/>
        </w:rPr>
        <w:t xml:space="preserve"> </w:t>
      </w:r>
      <w:r>
        <w:rPr>
          <w:b/>
        </w:rPr>
        <w:t>the</w:t>
      </w:r>
      <w:r>
        <w:rPr>
          <w:b/>
          <w:spacing w:val="-13"/>
        </w:rPr>
        <w:t xml:space="preserve"> </w:t>
      </w:r>
      <w:r>
        <w:rPr>
          <w:b/>
        </w:rPr>
        <w:t>structural</w:t>
      </w:r>
      <w:r>
        <w:rPr>
          <w:b/>
          <w:spacing w:val="-8"/>
        </w:rPr>
        <w:t xml:space="preserve"> </w:t>
      </w:r>
      <w:r>
        <w:rPr>
          <w:b/>
        </w:rPr>
        <w:t>macroeconomic</w:t>
      </w:r>
      <w:r>
        <w:rPr>
          <w:b/>
          <w:spacing w:val="-7"/>
        </w:rPr>
        <w:t xml:space="preserve"> </w:t>
      </w:r>
      <w:r>
        <w:rPr>
          <w:b/>
        </w:rPr>
        <w:t>model</w:t>
      </w:r>
      <w:r>
        <w:rPr>
          <w:b/>
          <w:spacing w:val="-9"/>
        </w:rPr>
        <w:t xml:space="preserve"> </w:t>
      </w:r>
      <w:r>
        <w:rPr>
          <w:b/>
        </w:rPr>
        <w:t>of</w:t>
      </w:r>
      <w:r>
        <w:rPr>
          <w:b/>
          <w:spacing w:val="-10"/>
        </w:rPr>
        <w:t xml:space="preserve"> </w:t>
      </w:r>
      <w:r>
        <w:rPr>
          <w:b/>
        </w:rPr>
        <w:t>the</w:t>
      </w:r>
      <w:r>
        <w:rPr>
          <w:b/>
          <w:spacing w:val="-13"/>
        </w:rPr>
        <w:t xml:space="preserve"> </w:t>
      </w:r>
      <w:r>
        <w:rPr>
          <w:b/>
        </w:rPr>
        <w:t>Croatian</w:t>
      </w:r>
      <w:r>
        <w:rPr>
          <w:b/>
          <w:spacing w:val="-11"/>
        </w:rPr>
        <w:t xml:space="preserve"> </w:t>
      </w:r>
      <w:r>
        <w:rPr>
          <w:b/>
        </w:rPr>
        <w:t>economy</w:t>
      </w:r>
      <w:r>
        <w:rPr>
          <w:b/>
          <w:spacing w:val="-7"/>
        </w:rPr>
        <w:t xml:space="preserve"> </w:t>
      </w:r>
      <w:r>
        <w:t>is</w:t>
      </w:r>
      <w:r>
        <w:rPr>
          <w:spacing w:val="-10"/>
        </w:rPr>
        <w:t xml:space="preserve"> </w:t>
      </w:r>
      <w:r>
        <w:t>currently</w:t>
      </w:r>
      <w:r>
        <w:rPr>
          <w:spacing w:val="-58"/>
        </w:rPr>
        <w:t xml:space="preserve"> </w:t>
      </w:r>
      <w:r>
        <w:t>underway. Medium-term forecasts of macroeconomic and fiscal aggregates are contained in a</w:t>
      </w:r>
      <w:r>
        <w:rPr>
          <w:spacing w:val="1"/>
        </w:rPr>
        <w:t xml:space="preserve"> </w:t>
      </w:r>
      <w:r>
        <w:t>number of strategic documents published by the Government, with the Ministry of Finance</w:t>
      </w:r>
      <w:r>
        <w:rPr>
          <w:spacing w:val="1"/>
        </w:rPr>
        <w:t xml:space="preserve"> </w:t>
      </w:r>
      <w:r>
        <w:t>(MF), as the body responsible for forecasting macroeconomic and budgetary aggregates and</w:t>
      </w:r>
      <w:r>
        <w:rPr>
          <w:spacing w:val="1"/>
        </w:rPr>
        <w:t xml:space="preserve"> </w:t>
      </w:r>
      <w:r>
        <w:rPr>
          <w:spacing w:val="-1"/>
        </w:rPr>
        <w:t>actively</w:t>
      </w:r>
      <w:r>
        <w:rPr>
          <w:spacing w:val="-17"/>
        </w:rPr>
        <w:t xml:space="preserve"> </w:t>
      </w:r>
      <w:r>
        <w:t>participating</w:t>
      </w:r>
      <w:r>
        <w:rPr>
          <w:spacing w:val="-15"/>
        </w:rPr>
        <w:t xml:space="preserve"> </w:t>
      </w:r>
      <w:r>
        <w:t>in</w:t>
      </w:r>
      <w:r>
        <w:rPr>
          <w:spacing w:val="-11"/>
        </w:rPr>
        <w:t xml:space="preserve"> </w:t>
      </w:r>
      <w:r>
        <w:t>policy</w:t>
      </w:r>
      <w:r>
        <w:rPr>
          <w:spacing w:val="-17"/>
        </w:rPr>
        <w:t xml:space="preserve"> </w:t>
      </w:r>
      <w:r>
        <w:t>formulation</w:t>
      </w:r>
      <w:r>
        <w:rPr>
          <w:spacing w:val="-11"/>
        </w:rPr>
        <w:t xml:space="preserve"> </w:t>
      </w:r>
      <w:r>
        <w:t>and</w:t>
      </w:r>
      <w:r>
        <w:rPr>
          <w:spacing w:val="-12"/>
        </w:rPr>
        <w:t xml:space="preserve"> </w:t>
      </w:r>
      <w:r>
        <w:t>preparation.</w:t>
      </w:r>
      <w:r>
        <w:rPr>
          <w:spacing w:val="-11"/>
        </w:rPr>
        <w:t xml:space="preserve"> </w:t>
      </w:r>
      <w:r>
        <w:t>Reliable</w:t>
      </w:r>
      <w:r>
        <w:rPr>
          <w:spacing w:val="-13"/>
        </w:rPr>
        <w:t xml:space="preserve"> </w:t>
      </w:r>
      <w:r>
        <w:t>macroeconomic</w:t>
      </w:r>
      <w:r>
        <w:rPr>
          <w:spacing w:val="-12"/>
        </w:rPr>
        <w:t xml:space="preserve"> </w:t>
      </w:r>
      <w:r>
        <w:t>and</w:t>
      </w:r>
      <w:r>
        <w:rPr>
          <w:spacing w:val="-12"/>
        </w:rPr>
        <w:t xml:space="preserve"> </w:t>
      </w:r>
      <w:r>
        <w:t>fiscal</w:t>
      </w:r>
      <w:r>
        <w:rPr>
          <w:spacing w:val="-57"/>
        </w:rPr>
        <w:t xml:space="preserve"> </w:t>
      </w:r>
      <w:r>
        <w:t>forecasts are also extremely important in terms of the European Semester and are published</w:t>
      </w:r>
      <w:r>
        <w:rPr>
          <w:spacing w:val="1"/>
        </w:rPr>
        <w:t xml:space="preserve"> </w:t>
      </w:r>
      <w:r>
        <w:t>under the Convergence Programme, while playing an important role in calculating indicators</w:t>
      </w:r>
      <w:r>
        <w:rPr>
          <w:spacing w:val="1"/>
        </w:rPr>
        <w:t xml:space="preserve"> </w:t>
      </w:r>
      <w:r>
        <w:t>under</w:t>
      </w:r>
      <w:r>
        <w:rPr>
          <w:spacing w:val="-1"/>
        </w:rPr>
        <w:t xml:space="preserve"> </w:t>
      </w:r>
      <w:r>
        <w:t>the</w:t>
      </w:r>
      <w:r>
        <w:rPr>
          <w:spacing w:val="-2"/>
        </w:rPr>
        <w:t xml:space="preserve"> </w:t>
      </w:r>
      <w:r>
        <w:t>Stability</w:t>
      </w:r>
      <w:r>
        <w:rPr>
          <w:spacing w:val="-5"/>
        </w:rPr>
        <w:t xml:space="preserve"> </w:t>
      </w:r>
      <w:r>
        <w:t>and Growth Pact.</w:t>
      </w:r>
    </w:p>
    <w:p w:rsidR="00A56FE9" w:rsidRDefault="00000000">
      <w:pPr>
        <w:pStyle w:val="Tijeloteksta"/>
        <w:spacing w:before="121"/>
        <w:ind w:right="271"/>
      </w:pPr>
      <w:r>
        <w:t>Furthermore, as part of the process for Croatia's accession to the euro area, high-quality draft</w:t>
      </w:r>
      <w:r>
        <w:rPr>
          <w:spacing w:val="1"/>
        </w:rPr>
        <w:t xml:space="preserve"> </w:t>
      </w:r>
      <w:r>
        <w:t>budget plans are becoming even more important in terms of the Fiscal Agreement. In the</w:t>
      </w:r>
      <w:r>
        <w:rPr>
          <w:spacing w:val="1"/>
        </w:rPr>
        <w:t xml:space="preserve"> </w:t>
      </w:r>
      <w:r>
        <w:t>coming period, Croatia will also implement a number of structural reforms, resulting in the</w:t>
      </w:r>
      <w:r>
        <w:rPr>
          <w:spacing w:val="1"/>
        </w:rPr>
        <w:t xml:space="preserve"> </w:t>
      </w:r>
      <w:r>
        <w:t>growing</w:t>
      </w:r>
      <w:r>
        <w:rPr>
          <w:spacing w:val="1"/>
        </w:rPr>
        <w:t xml:space="preserve"> </w:t>
      </w:r>
      <w:r>
        <w:t>need</w:t>
      </w:r>
      <w:r>
        <w:rPr>
          <w:spacing w:val="1"/>
        </w:rPr>
        <w:t xml:space="preserve"> </w:t>
      </w:r>
      <w:r>
        <w:t>for</w:t>
      </w:r>
      <w:r>
        <w:rPr>
          <w:spacing w:val="1"/>
        </w:rPr>
        <w:t xml:space="preserve"> </w:t>
      </w:r>
      <w:r>
        <w:t>a</w:t>
      </w:r>
      <w:r>
        <w:rPr>
          <w:spacing w:val="1"/>
        </w:rPr>
        <w:t xml:space="preserve"> </w:t>
      </w:r>
      <w:r>
        <w:t>model</w:t>
      </w:r>
      <w:r>
        <w:rPr>
          <w:spacing w:val="1"/>
        </w:rPr>
        <w:t xml:space="preserve"> </w:t>
      </w:r>
      <w:r>
        <w:t>to</w:t>
      </w:r>
      <w:r>
        <w:rPr>
          <w:spacing w:val="1"/>
        </w:rPr>
        <w:t xml:space="preserve"> </w:t>
      </w:r>
      <w:r>
        <w:t>simulate</w:t>
      </w:r>
      <w:r>
        <w:rPr>
          <w:spacing w:val="1"/>
        </w:rPr>
        <w:t xml:space="preserve"> </w:t>
      </w:r>
      <w:r>
        <w:t>the</w:t>
      </w:r>
      <w:r>
        <w:rPr>
          <w:spacing w:val="1"/>
        </w:rPr>
        <w:t xml:space="preserve"> </w:t>
      </w:r>
      <w:r>
        <w:t>effects</w:t>
      </w:r>
      <w:r>
        <w:rPr>
          <w:spacing w:val="1"/>
        </w:rPr>
        <w:t xml:space="preserve"> </w:t>
      </w:r>
      <w:r>
        <w:t>of</w:t>
      </w:r>
      <w:r>
        <w:rPr>
          <w:spacing w:val="1"/>
        </w:rPr>
        <w:t xml:space="preserve"> </w:t>
      </w:r>
      <w:r>
        <w:t>such</w:t>
      </w:r>
      <w:r>
        <w:rPr>
          <w:spacing w:val="1"/>
        </w:rPr>
        <w:t xml:space="preserve"> </w:t>
      </w:r>
      <w:r>
        <w:t>reforms.</w:t>
      </w:r>
      <w:r>
        <w:rPr>
          <w:spacing w:val="1"/>
        </w:rPr>
        <w:t xml:space="preserve"> </w:t>
      </w:r>
      <w:r>
        <w:t>During</w:t>
      </w:r>
      <w:r>
        <w:rPr>
          <w:spacing w:val="1"/>
        </w:rPr>
        <w:t xml:space="preserve"> </w:t>
      </w:r>
      <w:r>
        <w:t>the</w:t>
      </w:r>
      <w:r>
        <w:rPr>
          <w:spacing w:val="1"/>
        </w:rPr>
        <w:t xml:space="preserve"> </w:t>
      </w:r>
      <w:r>
        <w:t>NRRP</w:t>
      </w:r>
      <w:r>
        <w:rPr>
          <w:spacing w:val="1"/>
        </w:rPr>
        <w:t xml:space="preserve"> </w:t>
      </w:r>
      <w:r>
        <w:t>implementation</w:t>
      </w:r>
      <w:r>
        <w:rPr>
          <w:spacing w:val="1"/>
        </w:rPr>
        <w:t xml:space="preserve"> </w:t>
      </w:r>
      <w:r>
        <w:t>phase,</w:t>
      </w:r>
      <w:r>
        <w:rPr>
          <w:spacing w:val="1"/>
        </w:rPr>
        <w:t xml:space="preserve"> </w:t>
      </w:r>
      <w:r>
        <w:t>ensuring</w:t>
      </w:r>
      <w:r>
        <w:rPr>
          <w:spacing w:val="1"/>
        </w:rPr>
        <w:t xml:space="preserve"> </w:t>
      </w:r>
      <w:r>
        <w:t>adequate</w:t>
      </w:r>
      <w:r>
        <w:rPr>
          <w:spacing w:val="1"/>
        </w:rPr>
        <w:t xml:space="preserve"> </w:t>
      </w:r>
      <w:r>
        <w:t>monitoring</w:t>
      </w:r>
      <w:r>
        <w:rPr>
          <w:spacing w:val="1"/>
        </w:rPr>
        <w:t xml:space="preserve"> </w:t>
      </w:r>
      <w:r>
        <w:t>of</w:t>
      </w:r>
      <w:r>
        <w:rPr>
          <w:spacing w:val="1"/>
        </w:rPr>
        <w:t xml:space="preserve"> </w:t>
      </w:r>
      <w:r>
        <w:t>investments</w:t>
      </w:r>
      <w:r>
        <w:rPr>
          <w:spacing w:val="1"/>
        </w:rPr>
        <w:t xml:space="preserve"> </w:t>
      </w:r>
      <w:r>
        <w:t>and</w:t>
      </w:r>
      <w:r>
        <w:rPr>
          <w:spacing w:val="1"/>
        </w:rPr>
        <w:t xml:space="preserve"> </w:t>
      </w:r>
      <w:r>
        <w:t>assessment</w:t>
      </w:r>
      <w:r>
        <w:rPr>
          <w:spacing w:val="1"/>
        </w:rPr>
        <w:t xml:space="preserve"> </w:t>
      </w:r>
      <w:r>
        <w:t>the</w:t>
      </w:r>
      <w:r>
        <w:rPr>
          <w:spacing w:val="1"/>
        </w:rPr>
        <w:t xml:space="preserve"> </w:t>
      </w:r>
      <w:r>
        <w:t>associated</w:t>
      </w:r>
      <w:r>
        <w:rPr>
          <w:spacing w:val="-2"/>
        </w:rPr>
        <w:t xml:space="preserve"> </w:t>
      </w:r>
      <w:r>
        <w:t>macroeconomic</w:t>
      </w:r>
      <w:r>
        <w:rPr>
          <w:spacing w:val="-1"/>
        </w:rPr>
        <w:t xml:space="preserve"> </w:t>
      </w:r>
      <w:r>
        <w:t>and fiscal</w:t>
      </w:r>
      <w:r>
        <w:rPr>
          <w:spacing w:val="2"/>
        </w:rPr>
        <w:t xml:space="preserve"> </w:t>
      </w:r>
      <w:r>
        <w:t>effects will be</w:t>
      </w:r>
      <w:r>
        <w:rPr>
          <w:spacing w:val="-2"/>
        </w:rPr>
        <w:t xml:space="preserve"> </w:t>
      </w:r>
      <w:r>
        <w:t>extremely</w:t>
      </w:r>
      <w:r>
        <w:rPr>
          <w:spacing w:val="-5"/>
        </w:rPr>
        <w:t xml:space="preserve"> </w:t>
      </w:r>
      <w:r>
        <w:t>important.</w:t>
      </w:r>
    </w:p>
    <w:p w:rsidR="00A56FE9" w:rsidRDefault="00000000">
      <w:pPr>
        <w:pStyle w:val="Tijeloteksta"/>
        <w:spacing w:before="120"/>
        <w:ind w:right="269"/>
      </w:pPr>
      <w:r>
        <w:t>The</w:t>
      </w:r>
      <w:r>
        <w:rPr>
          <w:spacing w:val="-15"/>
        </w:rPr>
        <w:t xml:space="preserve"> </w:t>
      </w:r>
      <w:r>
        <w:t>Project</w:t>
      </w:r>
      <w:r>
        <w:rPr>
          <w:spacing w:val="-12"/>
        </w:rPr>
        <w:t xml:space="preserve"> </w:t>
      </w:r>
      <w:r>
        <w:t>for</w:t>
      </w:r>
      <w:r>
        <w:rPr>
          <w:spacing w:val="-14"/>
        </w:rPr>
        <w:t xml:space="preserve"> </w:t>
      </w:r>
      <w:r>
        <w:t>Development</w:t>
      </w:r>
      <w:r>
        <w:rPr>
          <w:spacing w:val="-12"/>
        </w:rPr>
        <w:t xml:space="preserve"> </w:t>
      </w:r>
      <w:r>
        <w:t>of</w:t>
      </w:r>
      <w:r>
        <w:rPr>
          <w:spacing w:val="-14"/>
        </w:rPr>
        <w:t xml:space="preserve"> </w:t>
      </w:r>
      <w:r>
        <w:t>the</w:t>
      </w:r>
      <w:r>
        <w:rPr>
          <w:spacing w:val="-12"/>
        </w:rPr>
        <w:t xml:space="preserve"> </w:t>
      </w:r>
      <w:r>
        <w:t>Structural</w:t>
      </w:r>
      <w:r>
        <w:rPr>
          <w:spacing w:val="-12"/>
        </w:rPr>
        <w:t xml:space="preserve"> </w:t>
      </w:r>
      <w:r>
        <w:t>Macroeconomic</w:t>
      </w:r>
      <w:r>
        <w:rPr>
          <w:spacing w:val="-11"/>
        </w:rPr>
        <w:t xml:space="preserve"> </w:t>
      </w:r>
      <w:r>
        <w:t>Model</w:t>
      </w:r>
      <w:r>
        <w:rPr>
          <w:spacing w:val="-12"/>
        </w:rPr>
        <w:t xml:space="preserve"> </w:t>
      </w:r>
      <w:r>
        <w:t>of</w:t>
      </w:r>
      <w:r>
        <w:rPr>
          <w:spacing w:val="-14"/>
        </w:rPr>
        <w:t xml:space="preserve"> </w:t>
      </w:r>
      <w:r>
        <w:t>the</w:t>
      </w:r>
      <w:r>
        <w:rPr>
          <w:spacing w:val="-13"/>
        </w:rPr>
        <w:t xml:space="preserve"> </w:t>
      </w:r>
      <w:r>
        <w:t>Croatian</w:t>
      </w:r>
      <w:r>
        <w:rPr>
          <w:spacing w:val="-11"/>
        </w:rPr>
        <w:t xml:space="preserve"> </w:t>
      </w:r>
      <w:r>
        <w:t>Economy</w:t>
      </w:r>
      <w:r>
        <w:rPr>
          <w:spacing w:val="-58"/>
        </w:rPr>
        <w:t xml:space="preserve"> </w:t>
      </w:r>
      <w:r>
        <w:t>was</w:t>
      </w:r>
      <w:r>
        <w:rPr>
          <w:spacing w:val="-8"/>
        </w:rPr>
        <w:t xml:space="preserve"> </w:t>
      </w:r>
      <w:r>
        <w:t>commenced</w:t>
      </w:r>
      <w:r>
        <w:rPr>
          <w:spacing w:val="-8"/>
        </w:rPr>
        <w:t xml:space="preserve"> </w:t>
      </w:r>
      <w:r>
        <w:t>in</w:t>
      </w:r>
      <w:r>
        <w:rPr>
          <w:spacing w:val="-7"/>
        </w:rPr>
        <w:t xml:space="preserve"> </w:t>
      </w:r>
      <w:r>
        <w:t>September</w:t>
      </w:r>
      <w:r>
        <w:rPr>
          <w:spacing w:val="-10"/>
        </w:rPr>
        <w:t xml:space="preserve"> </w:t>
      </w:r>
      <w:r>
        <w:t>2021,</w:t>
      </w:r>
      <w:r>
        <w:rPr>
          <w:spacing w:val="-8"/>
        </w:rPr>
        <w:t xml:space="preserve"> </w:t>
      </w:r>
      <w:r>
        <w:t>and</w:t>
      </w:r>
      <w:r>
        <w:rPr>
          <w:spacing w:val="-8"/>
        </w:rPr>
        <w:t xml:space="preserve"> </w:t>
      </w:r>
      <w:r>
        <w:t>its</w:t>
      </w:r>
      <w:r>
        <w:rPr>
          <w:spacing w:val="-8"/>
        </w:rPr>
        <w:t xml:space="preserve"> </w:t>
      </w:r>
      <w:r>
        <w:t>implementation</w:t>
      </w:r>
      <w:r>
        <w:rPr>
          <w:spacing w:val="-8"/>
        </w:rPr>
        <w:t xml:space="preserve"> </w:t>
      </w:r>
      <w:r>
        <w:t>is</w:t>
      </w:r>
      <w:r>
        <w:rPr>
          <w:spacing w:val="-8"/>
        </w:rPr>
        <w:t xml:space="preserve"> </w:t>
      </w:r>
      <w:r>
        <w:t>taking</w:t>
      </w:r>
      <w:r>
        <w:rPr>
          <w:spacing w:val="-10"/>
        </w:rPr>
        <w:t xml:space="preserve"> </w:t>
      </w:r>
      <w:r>
        <w:t>place</w:t>
      </w:r>
      <w:r>
        <w:rPr>
          <w:spacing w:val="-7"/>
        </w:rPr>
        <w:t xml:space="preserve"> </w:t>
      </w:r>
      <w:r>
        <w:t>in</w:t>
      </w:r>
      <w:r>
        <w:rPr>
          <w:spacing w:val="-8"/>
        </w:rPr>
        <w:t xml:space="preserve"> </w:t>
      </w:r>
      <w:r>
        <w:t>cooperation</w:t>
      </w:r>
      <w:r>
        <w:rPr>
          <w:spacing w:val="-8"/>
        </w:rPr>
        <w:t xml:space="preserve"> </w:t>
      </w:r>
      <w:r>
        <w:t>with</w:t>
      </w:r>
      <w:r>
        <w:rPr>
          <w:spacing w:val="-58"/>
        </w:rPr>
        <w:t xml:space="preserve"> </w:t>
      </w:r>
      <w:r>
        <w:t>experts from the World Bank. The development of a Structural Macroeconomic Model of the</w:t>
      </w:r>
      <w:r>
        <w:rPr>
          <w:spacing w:val="1"/>
        </w:rPr>
        <w:t xml:space="preserve"> </w:t>
      </w:r>
      <w:r>
        <w:t>Croatian Economy will improve macroeconomic forecasts and facilitate assessment of the</w:t>
      </w:r>
      <w:r>
        <w:rPr>
          <w:spacing w:val="1"/>
        </w:rPr>
        <w:t xml:space="preserve"> </w:t>
      </w:r>
      <w:r>
        <w:t>effects</w:t>
      </w:r>
      <w:r>
        <w:rPr>
          <w:spacing w:val="-6"/>
        </w:rPr>
        <w:t xml:space="preserve"> </w:t>
      </w:r>
      <w:r>
        <w:t>of</w:t>
      </w:r>
      <w:r>
        <w:rPr>
          <w:spacing w:val="-7"/>
        </w:rPr>
        <w:t xml:space="preserve"> </w:t>
      </w:r>
      <w:r>
        <w:t>shocks</w:t>
      </w:r>
      <w:r>
        <w:rPr>
          <w:spacing w:val="-6"/>
        </w:rPr>
        <w:t xml:space="preserve"> </w:t>
      </w:r>
      <w:r>
        <w:t>and</w:t>
      </w:r>
      <w:r>
        <w:rPr>
          <w:spacing w:val="-6"/>
        </w:rPr>
        <w:t xml:space="preserve"> </w:t>
      </w:r>
      <w:r>
        <w:t>Government</w:t>
      </w:r>
      <w:r>
        <w:rPr>
          <w:spacing w:val="-6"/>
        </w:rPr>
        <w:t xml:space="preserve"> </w:t>
      </w:r>
      <w:r>
        <w:t>economic</w:t>
      </w:r>
      <w:r>
        <w:rPr>
          <w:spacing w:val="-7"/>
        </w:rPr>
        <w:t xml:space="preserve"> </w:t>
      </w:r>
      <w:r>
        <w:t>policies</w:t>
      </w:r>
      <w:r>
        <w:rPr>
          <w:spacing w:val="-6"/>
        </w:rPr>
        <w:t xml:space="preserve"> </w:t>
      </w:r>
      <w:r>
        <w:t>on</w:t>
      </w:r>
      <w:r>
        <w:rPr>
          <w:spacing w:val="-6"/>
        </w:rPr>
        <w:t xml:space="preserve"> </w:t>
      </w:r>
      <w:r>
        <w:t>the</w:t>
      </w:r>
      <w:r>
        <w:rPr>
          <w:spacing w:val="-7"/>
        </w:rPr>
        <w:t xml:space="preserve"> </w:t>
      </w:r>
      <w:r>
        <w:t>economy,</w:t>
      </w:r>
      <w:r>
        <w:rPr>
          <w:spacing w:val="-6"/>
        </w:rPr>
        <w:t xml:space="preserve"> </w:t>
      </w:r>
      <w:r>
        <w:t>ultimately</w:t>
      </w:r>
      <w:r>
        <w:rPr>
          <w:spacing w:val="-11"/>
        </w:rPr>
        <w:t xml:space="preserve"> </w:t>
      </w:r>
      <w:r>
        <w:t>strengthening</w:t>
      </w:r>
      <w:r>
        <w:rPr>
          <w:spacing w:val="-58"/>
        </w:rPr>
        <w:t xml:space="preserve"> </w:t>
      </w:r>
      <w:r>
        <w:t>the capacity to produce quality budget forecasts. In addition to the appropriate tools for</w:t>
      </w:r>
      <w:r>
        <w:rPr>
          <w:spacing w:val="1"/>
        </w:rPr>
        <w:t xml:space="preserve"> </w:t>
      </w:r>
      <w:r>
        <w:t>forecasting and simulating the mentioned effects, this also means that employees should have</w:t>
      </w:r>
      <w:r>
        <w:rPr>
          <w:spacing w:val="1"/>
        </w:rPr>
        <w:t xml:space="preserve"> </w:t>
      </w:r>
      <w:r>
        <w:t>good</w:t>
      </w:r>
      <w:r>
        <w:rPr>
          <w:spacing w:val="-1"/>
        </w:rPr>
        <w:t xml:space="preserve"> </w:t>
      </w:r>
      <w:r>
        <w:t>analytical competency.</w:t>
      </w:r>
    </w:p>
    <w:p w:rsidR="00A56FE9" w:rsidRDefault="00000000">
      <w:pPr>
        <w:pStyle w:val="Tijeloteksta"/>
        <w:spacing w:before="121"/>
        <w:ind w:right="275"/>
      </w:pPr>
      <w:r>
        <w:t>The project is funded under the EU TSI (Technical Support Instrument) and will develop a</w:t>
      </w:r>
      <w:r>
        <w:rPr>
          <w:spacing w:val="1"/>
        </w:rPr>
        <w:t xml:space="preserve"> </w:t>
      </w:r>
      <w:r>
        <w:t>macroeconomic model of the Croatian economy in accordance with the needs of the MF. To</w:t>
      </w:r>
      <w:r>
        <w:rPr>
          <w:spacing w:val="1"/>
        </w:rPr>
        <w:t xml:space="preserve"> </w:t>
      </w:r>
      <w:r>
        <w:t>ensure further use and development of the model, the project will prepare comprehensive</w:t>
      </w:r>
      <w:r>
        <w:rPr>
          <w:spacing w:val="1"/>
        </w:rPr>
        <w:t xml:space="preserve"> </w:t>
      </w:r>
      <w:r>
        <w:t>documentation and hold specific workshops and training courses for relevant officials. In the</w:t>
      </w:r>
      <w:r>
        <w:rPr>
          <w:spacing w:val="1"/>
        </w:rPr>
        <w:t xml:space="preserve"> </w:t>
      </w:r>
      <w:r>
        <w:t>second</w:t>
      </w:r>
      <w:r>
        <w:rPr>
          <w:spacing w:val="-4"/>
        </w:rPr>
        <w:t xml:space="preserve"> </w:t>
      </w:r>
      <w:r>
        <w:t>half</w:t>
      </w:r>
      <w:r>
        <w:rPr>
          <w:spacing w:val="-4"/>
        </w:rPr>
        <w:t xml:space="preserve"> </w:t>
      </w:r>
      <w:r>
        <w:t>of</w:t>
      </w:r>
      <w:r>
        <w:rPr>
          <w:spacing w:val="-5"/>
        </w:rPr>
        <w:t xml:space="preserve"> </w:t>
      </w:r>
      <w:r>
        <w:t>2022,</w:t>
      </w:r>
      <w:r>
        <w:rPr>
          <w:spacing w:val="-4"/>
        </w:rPr>
        <w:t xml:space="preserve"> </w:t>
      </w:r>
      <w:r>
        <w:t>the</w:t>
      </w:r>
      <w:r>
        <w:rPr>
          <w:spacing w:val="-4"/>
        </w:rPr>
        <w:t xml:space="preserve"> </w:t>
      </w:r>
      <w:r>
        <w:t>development</w:t>
      </w:r>
      <w:r>
        <w:rPr>
          <w:spacing w:val="-3"/>
        </w:rPr>
        <w:t xml:space="preserve"> </w:t>
      </w:r>
      <w:r>
        <w:t>of</w:t>
      </w:r>
      <w:r>
        <w:rPr>
          <w:spacing w:val="-5"/>
        </w:rPr>
        <w:t xml:space="preserve"> </w:t>
      </w:r>
      <w:r>
        <w:t>a</w:t>
      </w:r>
      <w:r>
        <w:rPr>
          <w:spacing w:val="-4"/>
        </w:rPr>
        <w:t xml:space="preserve"> </w:t>
      </w:r>
      <w:r>
        <w:t>final</w:t>
      </w:r>
      <w:r>
        <w:rPr>
          <w:spacing w:val="-3"/>
        </w:rPr>
        <w:t xml:space="preserve"> </w:t>
      </w:r>
      <w:r>
        <w:t>model</w:t>
      </w:r>
      <w:r>
        <w:rPr>
          <w:spacing w:val="-4"/>
        </w:rPr>
        <w:t xml:space="preserve"> </w:t>
      </w:r>
      <w:r>
        <w:t>adapted</w:t>
      </w:r>
      <w:r>
        <w:rPr>
          <w:spacing w:val="-4"/>
        </w:rPr>
        <w:t xml:space="preserve"> </w:t>
      </w:r>
      <w:r>
        <w:t>to</w:t>
      </w:r>
      <w:r>
        <w:rPr>
          <w:spacing w:val="-3"/>
        </w:rPr>
        <w:t xml:space="preserve"> </w:t>
      </w:r>
      <w:r>
        <w:t>the</w:t>
      </w:r>
      <w:r>
        <w:rPr>
          <w:spacing w:val="-4"/>
        </w:rPr>
        <w:t xml:space="preserve"> </w:t>
      </w:r>
      <w:r>
        <w:t>Croatian</w:t>
      </w:r>
      <w:r>
        <w:rPr>
          <w:spacing w:val="-4"/>
        </w:rPr>
        <w:t xml:space="preserve"> </w:t>
      </w:r>
      <w:r>
        <w:t>economy</w:t>
      </w:r>
      <w:r>
        <w:rPr>
          <w:spacing w:val="-8"/>
        </w:rPr>
        <w:t xml:space="preserve"> </w:t>
      </w:r>
      <w:r>
        <w:t>and</w:t>
      </w:r>
      <w:r>
        <w:rPr>
          <w:spacing w:val="-4"/>
        </w:rPr>
        <w:t xml:space="preserve"> </w:t>
      </w:r>
      <w:r>
        <w:t>its</w:t>
      </w:r>
      <w:r>
        <w:rPr>
          <w:spacing w:val="-58"/>
        </w:rPr>
        <w:t xml:space="preserve"> </w:t>
      </w:r>
      <w:r>
        <w:t>testing by MF employees is planned. The planned project adheres to the Country Specific</w:t>
      </w:r>
      <w:r>
        <w:rPr>
          <w:spacing w:val="1"/>
        </w:rPr>
        <w:t xml:space="preserve"> </w:t>
      </w:r>
      <w:r>
        <w:t>Recommendations (CSR), as it supports the strengthening of the budget framework given that</w:t>
      </w:r>
      <w:r>
        <w:rPr>
          <w:spacing w:val="-57"/>
        </w:rPr>
        <w:t xml:space="preserve"> </w:t>
      </w:r>
      <w:r>
        <w:t>the results of the model will be used to prepare budget documents, improving the quality of</w:t>
      </w:r>
      <w:r>
        <w:rPr>
          <w:spacing w:val="1"/>
        </w:rPr>
        <w:t xml:space="preserve"> </w:t>
      </w:r>
      <w:r>
        <w:t>medium-term</w:t>
      </w:r>
      <w:r>
        <w:rPr>
          <w:spacing w:val="-1"/>
        </w:rPr>
        <w:t xml:space="preserve"> </w:t>
      </w:r>
      <w:r>
        <w:t>budget forecasts and the sustainability</w:t>
      </w:r>
      <w:r>
        <w:rPr>
          <w:spacing w:val="-5"/>
        </w:rPr>
        <w:t xml:space="preserve"> </w:t>
      </w:r>
      <w:r>
        <w:t>of public</w:t>
      </w:r>
      <w:r>
        <w:rPr>
          <w:spacing w:val="-1"/>
        </w:rPr>
        <w:t xml:space="preserve"> </w:t>
      </w:r>
      <w:r>
        <w:t>finances.</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3"/>
        <w:spacing w:before="60"/>
        <w:jc w:val="left"/>
      </w:pPr>
      <w:bookmarkStart w:id="18" w:name="_bookmark18"/>
      <w:bookmarkEnd w:id="18"/>
      <w:r>
        <w:rPr>
          <w:rFonts w:ascii="Times New Roman"/>
          <w:b/>
          <w:color w:val="2C398A"/>
          <w:spacing w:val="-2"/>
        </w:rPr>
        <w:t>C2.8.</w:t>
      </w:r>
      <w:r>
        <w:rPr>
          <w:rFonts w:ascii="Times New Roman"/>
          <w:b/>
          <w:color w:val="2C398A"/>
          <w:spacing w:val="1"/>
        </w:rPr>
        <w:t xml:space="preserve"> </w:t>
      </w:r>
      <w:r>
        <w:rPr>
          <w:color w:val="003399"/>
          <w:spacing w:val="-2"/>
        </w:rPr>
        <w:t>Strengthening</w:t>
      </w:r>
      <w:r>
        <w:rPr>
          <w:color w:val="003399"/>
          <w:spacing w:val="-11"/>
        </w:rPr>
        <w:t xml:space="preserve"> </w:t>
      </w:r>
      <w:r>
        <w:rPr>
          <w:color w:val="003399"/>
          <w:spacing w:val="-1"/>
        </w:rPr>
        <w:t>the</w:t>
      </w:r>
      <w:r>
        <w:rPr>
          <w:color w:val="003399"/>
          <w:spacing w:val="-15"/>
        </w:rPr>
        <w:t xml:space="preserve"> </w:t>
      </w:r>
      <w:r>
        <w:rPr>
          <w:color w:val="003399"/>
          <w:spacing w:val="-1"/>
        </w:rPr>
        <w:t>Anti-Money</w:t>
      </w:r>
      <w:r>
        <w:rPr>
          <w:color w:val="003399"/>
          <w:spacing w:val="-11"/>
        </w:rPr>
        <w:t xml:space="preserve"> </w:t>
      </w:r>
      <w:r>
        <w:rPr>
          <w:color w:val="003399"/>
          <w:spacing w:val="-1"/>
        </w:rPr>
        <w:t>Laundering</w:t>
      </w:r>
      <w:r>
        <w:rPr>
          <w:color w:val="003399"/>
          <w:spacing w:val="-12"/>
        </w:rPr>
        <w:t xml:space="preserve"> </w:t>
      </w:r>
      <w:r>
        <w:rPr>
          <w:color w:val="003399"/>
          <w:spacing w:val="-1"/>
        </w:rPr>
        <w:t>Framework</w:t>
      </w:r>
    </w:p>
    <w:p w:rsidR="00A56FE9" w:rsidRDefault="00A56FE9">
      <w:pPr>
        <w:pStyle w:val="Tijeloteksta"/>
        <w:spacing w:before="7"/>
        <w:ind w:left="0"/>
        <w:jc w:val="left"/>
        <w:rPr>
          <w:rFonts w:ascii="Calibri Light"/>
          <w:sz w:val="29"/>
        </w:rPr>
      </w:pPr>
    </w:p>
    <w:p w:rsidR="00A56FE9" w:rsidRDefault="00CC1B9B">
      <w:pPr>
        <w:pStyle w:val="Naslov4"/>
        <w:jc w:val="left"/>
      </w:pPr>
      <w:r>
        <w:rPr>
          <w:noProof/>
        </w:rPr>
        <mc:AlternateContent>
          <mc:Choice Requires="wps">
            <w:drawing>
              <wp:anchor distT="0" distB="0" distL="114300" distR="114300" simplePos="0" relativeHeight="15775232"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1391512450"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400BA" id="Rectangle 206" o:spid="_x0000_s1026" style="position:absolute;margin-left:64.1pt;margin-top:-6.1pt;width:1.45pt;height:27pt;z-index:15775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Strengthening</w:t>
      </w:r>
      <w:r w:rsidR="00000000">
        <w:rPr>
          <w:color w:val="2C398A"/>
          <w:spacing w:val="-2"/>
        </w:rPr>
        <w:t xml:space="preserve"> </w:t>
      </w:r>
      <w:r w:rsidR="00000000">
        <w:rPr>
          <w:color w:val="2C398A"/>
        </w:rPr>
        <w:t>the</w:t>
      </w:r>
      <w:r w:rsidR="00000000">
        <w:rPr>
          <w:color w:val="2C398A"/>
          <w:spacing w:val="-2"/>
        </w:rPr>
        <w:t xml:space="preserve"> </w:t>
      </w:r>
      <w:r w:rsidR="00000000">
        <w:rPr>
          <w:color w:val="2C398A"/>
        </w:rPr>
        <w:t>anti-money</w:t>
      </w:r>
      <w:r w:rsidR="00000000">
        <w:rPr>
          <w:color w:val="2C398A"/>
          <w:spacing w:val="1"/>
        </w:rPr>
        <w:t xml:space="preserve"> </w:t>
      </w:r>
      <w:r w:rsidR="00000000">
        <w:rPr>
          <w:color w:val="2C398A"/>
        </w:rPr>
        <w:t>laundering</w:t>
      </w:r>
      <w:r w:rsidR="00000000">
        <w:rPr>
          <w:color w:val="2C398A"/>
          <w:spacing w:val="-1"/>
        </w:rPr>
        <w:t xml:space="preserve"> </w:t>
      </w:r>
      <w:r w:rsidR="00000000">
        <w:rPr>
          <w:color w:val="2C398A"/>
        </w:rPr>
        <w:t>framework</w:t>
      </w:r>
    </w:p>
    <w:p w:rsidR="00A56FE9" w:rsidRDefault="00000000">
      <w:pPr>
        <w:pStyle w:val="Naslov5"/>
        <w:spacing w:before="238"/>
        <w:jc w:val="left"/>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886716918"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046662733" name="Rectangle 205"/>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4C4A146" id="Group 204"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">
                <v:rect id="Rectangle 205"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" fillcolor="#2c398a" stroked="f"/>
                <w10:anchorlock/>
              </v:group>
            </w:pict>
          </mc:Fallback>
        </mc:AlternateContent>
      </w:r>
    </w:p>
    <w:p w:rsidR="00A56FE9" w:rsidRDefault="00000000">
      <w:pPr>
        <w:pStyle w:val="Tijeloteksta"/>
        <w:spacing w:before="154"/>
        <w:ind w:right="269"/>
      </w:pPr>
      <w:r>
        <w:t>Croatia, in the prevention and fight against money laundering and financing terrorism, and in</w:t>
      </w:r>
      <w:r>
        <w:rPr>
          <w:spacing w:val="1"/>
        </w:rPr>
        <w:t xml:space="preserve"> </w:t>
      </w:r>
      <w:r>
        <w:t>addition to comprehensive measures already taken in accordance with the 5th Anti-Money</w:t>
      </w:r>
      <w:r>
        <w:rPr>
          <w:spacing w:val="1"/>
        </w:rPr>
        <w:t xml:space="preserve"> </w:t>
      </w:r>
      <w:r>
        <w:t>Laundering Directive - Directive (EU) 2018/843, has taken additional measures to strengthen</w:t>
      </w:r>
      <w:r>
        <w:rPr>
          <w:spacing w:val="1"/>
        </w:rPr>
        <w:t xml:space="preserve"> </w:t>
      </w:r>
      <w:r>
        <w:t>the framework for preventing money laundering and financing terrorism, in accordance with</w:t>
      </w:r>
      <w:r>
        <w:rPr>
          <w:spacing w:val="1"/>
        </w:rPr>
        <w:t xml:space="preserve"> </w:t>
      </w:r>
      <w:r>
        <w:t>the</w:t>
      </w:r>
      <w:r>
        <w:rPr>
          <w:spacing w:val="-10"/>
        </w:rPr>
        <w:t xml:space="preserve"> </w:t>
      </w:r>
      <w:r>
        <w:t>Croatian</w:t>
      </w:r>
      <w:r>
        <w:rPr>
          <w:spacing w:val="-6"/>
        </w:rPr>
        <w:t xml:space="preserve"> </w:t>
      </w:r>
      <w:r>
        <w:t>Action</w:t>
      </w:r>
      <w:r>
        <w:rPr>
          <w:spacing w:val="-9"/>
        </w:rPr>
        <w:t xml:space="preserve"> </w:t>
      </w:r>
      <w:r>
        <w:t>Plan</w:t>
      </w:r>
      <w:r>
        <w:rPr>
          <w:spacing w:val="-7"/>
        </w:rPr>
        <w:t xml:space="preserve"> </w:t>
      </w:r>
      <w:r>
        <w:t>for</w:t>
      </w:r>
      <w:r>
        <w:rPr>
          <w:spacing w:val="-10"/>
        </w:rPr>
        <w:t xml:space="preserve"> </w:t>
      </w:r>
      <w:r>
        <w:t>Participation</w:t>
      </w:r>
      <w:r>
        <w:rPr>
          <w:spacing w:val="-8"/>
        </w:rPr>
        <w:t xml:space="preserve"> </w:t>
      </w:r>
      <w:r>
        <w:t>in</w:t>
      </w:r>
      <w:r>
        <w:rPr>
          <w:spacing w:val="-6"/>
        </w:rPr>
        <w:t xml:space="preserve"> </w:t>
      </w:r>
      <w:r>
        <w:t>the</w:t>
      </w:r>
      <w:r>
        <w:rPr>
          <w:spacing w:val="-9"/>
        </w:rPr>
        <w:t xml:space="preserve"> </w:t>
      </w:r>
      <w:r>
        <w:t>European</w:t>
      </w:r>
      <w:r>
        <w:rPr>
          <w:spacing w:val="-7"/>
        </w:rPr>
        <w:t xml:space="preserve"> </w:t>
      </w:r>
      <w:r>
        <w:t>Exchange</w:t>
      </w:r>
      <w:r>
        <w:rPr>
          <w:spacing w:val="-11"/>
        </w:rPr>
        <w:t xml:space="preserve"> </w:t>
      </w:r>
      <w:r>
        <w:t>Rate</w:t>
      </w:r>
      <w:r>
        <w:rPr>
          <w:spacing w:val="-5"/>
        </w:rPr>
        <w:t xml:space="preserve"> </w:t>
      </w:r>
      <w:r>
        <w:t>Mechanism</w:t>
      </w:r>
      <w:r>
        <w:rPr>
          <w:spacing w:val="-5"/>
        </w:rPr>
        <w:t xml:space="preserve"> </w:t>
      </w:r>
      <w:r>
        <w:t>II</w:t>
      </w:r>
      <w:r>
        <w:rPr>
          <w:spacing w:val="-10"/>
        </w:rPr>
        <w:t xml:space="preserve"> </w:t>
      </w:r>
      <w:r>
        <w:t>(ERM</w:t>
      </w:r>
      <w:r>
        <w:rPr>
          <w:spacing w:val="-58"/>
        </w:rPr>
        <w:t xml:space="preserve"> </w:t>
      </w:r>
      <w:r>
        <w:t>II) and the Government Program, which sets out Croatia's obligations to join the euro area. In</w:t>
      </w:r>
      <w:r>
        <w:rPr>
          <w:spacing w:val="1"/>
        </w:rPr>
        <w:t xml:space="preserve"> </w:t>
      </w:r>
      <w:r>
        <w:t>particular,</w:t>
      </w:r>
      <w:r>
        <w:rPr>
          <w:spacing w:val="-1"/>
        </w:rPr>
        <w:t xml:space="preserve"> </w:t>
      </w:r>
      <w:r>
        <w:t>the implemented</w:t>
      </w:r>
      <w:r>
        <w:rPr>
          <w:spacing w:val="1"/>
        </w:rPr>
        <w:t xml:space="preserve"> </w:t>
      </w:r>
      <w:r>
        <w:t>measures relate</w:t>
      </w:r>
      <w:r>
        <w:rPr>
          <w:spacing w:val="-1"/>
        </w:rPr>
        <w:t xml:space="preserve"> </w:t>
      </w:r>
      <w:r>
        <w:t>to:</w:t>
      </w:r>
    </w:p>
    <w:p w:rsidR="00A56FE9" w:rsidRDefault="00000000">
      <w:pPr>
        <w:pStyle w:val="Odlomakpopisa"/>
        <w:numPr>
          <w:ilvl w:val="0"/>
          <w:numId w:val="5"/>
        </w:numPr>
        <w:tabs>
          <w:tab w:val="left" w:pos="499"/>
        </w:tabs>
        <w:spacing w:before="120"/>
        <w:ind w:right="272"/>
        <w:jc w:val="both"/>
        <w:rPr>
          <w:sz w:val="24"/>
        </w:rPr>
      </w:pPr>
      <w:r>
        <w:rPr>
          <w:sz w:val="24"/>
        </w:rPr>
        <w:t>Establishment of a framework for continuous training of employees obligated to report on</w:t>
      </w:r>
      <w:r>
        <w:rPr>
          <w:spacing w:val="1"/>
          <w:sz w:val="24"/>
        </w:rPr>
        <w:t xml:space="preserve"> </w:t>
      </w:r>
      <w:r>
        <w:rPr>
          <w:sz w:val="24"/>
        </w:rPr>
        <w:t>the prevention of money laundering and terrorist financing conducted by the Anti-Money</w:t>
      </w:r>
      <w:r>
        <w:rPr>
          <w:spacing w:val="1"/>
          <w:sz w:val="24"/>
        </w:rPr>
        <w:t xml:space="preserve"> </w:t>
      </w:r>
      <w:r>
        <w:rPr>
          <w:spacing w:val="-1"/>
          <w:sz w:val="24"/>
        </w:rPr>
        <w:t>Laundering</w:t>
      </w:r>
      <w:r>
        <w:rPr>
          <w:spacing w:val="-12"/>
          <w:sz w:val="24"/>
        </w:rPr>
        <w:t xml:space="preserve"> </w:t>
      </w:r>
      <w:r>
        <w:rPr>
          <w:spacing w:val="-1"/>
          <w:sz w:val="24"/>
        </w:rPr>
        <w:t>Office</w:t>
      </w:r>
      <w:r>
        <w:rPr>
          <w:spacing w:val="-11"/>
          <w:sz w:val="24"/>
        </w:rPr>
        <w:t xml:space="preserve"> </w:t>
      </w:r>
      <w:r>
        <w:rPr>
          <w:sz w:val="24"/>
        </w:rPr>
        <w:t>together</w:t>
      </w:r>
      <w:r>
        <w:rPr>
          <w:spacing w:val="-11"/>
          <w:sz w:val="24"/>
        </w:rPr>
        <w:t xml:space="preserve"> </w:t>
      </w:r>
      <w:r>
        <w:rPr>
          <w:sz w:val="24"/>
        </w:rPr>
        <w:t>with</w:t>
      </w:r>
      <w:r>
        <w:rPr>
          <w:spacing w:val="-10"/>
          <w:sz w:val="24"/>
        </w:rPr>
        <w:t xml:space="preserve"> </w:t>
      </w:r>
      <w:r>
        <w:rPr>
          <w:sz w:val="24"/>
        </w:rPr>
        <w:t>supervisory</w:t>
      </w:r>
      <w:r>
        <w:rPr>
          <w:spacing w:val="-15"/>
          <w:sz w:val="24"/>
        </w:rPr>
        <w:t xml:space="preserve"> </w:t>
      </w:r>
      <w:r>
        <w:rPr>
          <w:sz w:val="24"/>
        </w:rPr>
        <w:t>bodies</w:t>
      </w:r>
      <w:r>
        <w:rPr>
          <w:spacing w:val="-9"/>
          <w:sz w:val="24"/>
        </w:rPr>
        <w:t xml:space="preserve"> </w:t>
      </w:r>
      <w:r>
        <w:rPr>
          <w:sz w:val="24"/>
        </w:rPr>
        <w:t>(CNB,</w:t>
      </w:r>
      <w:r>
        <w:rPr>
          <w:spacing w:val="-10"/>
          <w:sz w:val="24"/>
        </w:rPr>
        <w:t xml:space="preserve"> </w:t>
      </w:r>
      <w:r>
        <w:rPr>
          <w:sz w:val="24"/>
        </w:rPr>
        <w:t>HANFA,</w:t>
      </w:r>
      <w:r>
        <w:rPr>
          <w:spacing w:val="-11"/>
          <w:sz w:val="24"/>
        </w:rPr>
        <w:t xml:space="preserve"> </w:t>
      </w:r>
      <w:r>
        <w:rPr>
          <w:sz w:val="24"/>
        </w:rPr>
        <w:t>Financial</w:t>
      </w:r>
      <w:r>
        <w:rPr>
          <w:spacing w:val="-8"/>
          <w:sz w:val="24"/>
        </w:rPr>
        <w:t xml:space="preserve"> </w:t>
      </w:r>
      <w:r>
        <w:rPr>
          <w:sz w:val="24"/>
        </w:rPr>
        <w:t>Inspectorate</w:t>
      </w:r>
      <w:r>
        <w:rPr>
          <w:spacing w:val="-58"/>
          <w:sz w:val="24"/>
        </w:rPr>
        <w:t xml:space="preserve"> </w:t>
      </w:r>
      <w:r>
        <w:rPr>
          <w:sz w:val="24"/>
        </w:rPr>
        <w:t>and Tax</w:t>
      </w:r>
      <w:r>
        <w:rPr>
          <w:spacing w:val="1"/>
          <w:sz w:val="24"/>
        </w:rPr>
        <w:t xml:space="preserve"> </w:t>
      </w:r>
      <w:r>
        <w:rPr>
          <w:sz w:val="24"/>
        </w:rPr>
        <w:t>Administration), in addition to regularly holding the</w:t>
      </w:r>
      <w:r>
        <w:rPr>
          <w:spacing w:val="1"/>
          <w:sz w:val="24"/>
        </w:rPr>
        <w:t xml:space="preserve"> </w:t>
      </w:r>
      <w:r>
        <w:rPr>
          <w:sz w:val="24"/>
        </w:rPr>
        <w:t>Annual</w:t>
      </w:r>
      <w:r>
        <w:rPr>
          <w:spacing w:val="1"/>
          <w:sz w:val="24"/>
        </w:rPr>
        <w:t xml:space="preserve"> </w:t>
      </w:r>
      <w:r>
        <w:rPr>
          <w:sz w:val="24"/>
        </w:rPr>
        <w:t>Conference on</w:t>
      </w:r>
      <w:r>
        <w:rPr>
          <w:spacing w:val="1"/>
          <w:sz w:val="24"/>
        </w:rPr>
        <w:t xml:space="preserve"> </w:t>
      </w:r>
      <w:r>
        <w:rPr>
          <w:sz w:val="24"/>
        </w:rPr>
        <w:t>Prevention of Money Laundering and Terrorist Financing, the aim of which is to acquaint</w:t>
      </w:r>
      <w:r>
        <w:rPr>
          <w:spacing w:val="1"/>
          <w:sz w:val="24"/>
        </w:rPr>
        <w:t xml:space="preserve"> </w:t>
      </w:r>
      <w:r>
        <w:rPr>
          <w:sz w:val="24"/>
        </w:rPr>
        <w:t>banks</w:t>
      </w:r>
      <w:r>
        <w:rPr>
          <w:spacing w:val="-5"/>
          <w:sz w:val="24"/>
        </w:rPr>
        <w:t xml:space="preserve"> </w:t>
      </w:r>
      <w:r>
        <w:rPr>
          <w:sz w:val="24"/>
        </w:rPr>
        <w:t>and</w:t>
      </w:r>
      <w:r>
        <w:rPr>
          <w:spacing w:val="-4"/>
          <w:sz w:val="24"/>
        </w:rPr>
        <w:t xml:space="preserve"> </w:t>
      </w:r>
      <w:r>
        <w:rPr>
          <w:sz w:val="24"/>
        </w:rPr>
        <w:t>other</w:t>
      </w:r>
      <w:r>
        <w:rPr>
          <w:spacing w:val="-5"/>
          <w:sz w:val="24"/>
        </w:rPr>
        <w:t xml:space="preserve"> </w:t>
      </w:r>
      <w:r>
        <w:rPr>
          <w:sz w:val="24"/>
        </w:rPr>
        <w:t>obligors</w:t>
      </w:r>
      <w:r>
        <w:rPr>
          <w:spacing w:val="-1"/>
          <w:sz w:val="24"/>
        </w:rPr>
        <w:t xml:space="preserve"> </w:t>
      </w:r>
      <w:r>
        <w:rPr>
          <w:sz w:val="24"/>
        </w:rPr>
        <w:t>with</w:t>
      </w:r>
      <w:r>
        <w:rPr>
          <w:spacing w:val="-5"/>
          <w:sz w:val="24"/>
        </w:rPr>
        <w:t xml:space="preserve"> </w:t>
      </w:r>
      <w:r>
        <w:rPr>
          <w:sz w:val="24"/>
        </w:rPr>
        <w:t>preventive</w:t>
      </w:r>
      <w:r>
        <w:rPr>
          <w:spacing w:val="-5"/>
          <w:sz w:val="24"/>
        </w:rPr>
        <w:t xml:space="preserve"> </w:t>
      </w:r>
      <w:r>
        <w:rPr>
          <w:sz w:val="24"/>
        </w:rPr>
        <w:t>measures</w:t>
      </w:r>
      <w:r>
        <w:rPr>
          <w:spacing w:val="-1"/>
          <w:sz w:val="24"/>
        </w:rPr>
        <w:t xml:space="preserve"> </w:t>
      </w:r>
      <w:r>
        <w:rPr>
          <w:sz w:val="24"/>
        </w:rPr>
        <w:t>prescribed</w:t>
      </w:r>
      <w:r>
        <w:rPr>
          <w:spacing w:val="-4"/>
          <w:sz w:val="24"/>
        </w:rPr>
        <w:t xml:space="preserve"> </w:t>
      </w:r>
      <w:r>
        <w:rPr>
          <w:sz w:val="24"/>
        </w:rPr>
        <w:t>by</w:t>
      </w:r>
      <w:r>
        <w:rPr>
          <w:spacing w:val="-9"/>
          <w:sz w:val="24"/>
        </w:rPr>
        <w:t xml:space="preserve"> </w:t>
      </w:r>
      <w:r>
        <w:rPr>
          <w:sz w:val="24"/>
        </w:rPr>
        <w:t>the</w:t>
      </w:r>
      <w:r>
        <w:rPr>
          <w:spacing w:val="-5"/>
          <w:sz w:val="24"/>
        </w:rPr>
        <w:t xml:space="preserve"> </w:t>
      </w:r>
      <w:r>
        <w:rPr>
          <w:sz w:val="24"/>
        </w:rPr>
        <w:t>Act</w:t>
      </w:r>
      <w:r>
        <w:rPr>
          <w:spacing w:val="-3"/>
          <w:sz w:val="24"/>
        </w:rPr>
        <w:t xml:space="preserve"> </w:t>
      </w:r>
      <w:r>
        <w:rPr>
          <w:sz w:val="24"/>
        </w:rPr>
        <w:t>on</w:t>
      </w:r>
      <w:r>
        <w:rPr>
          <w:spacing w:val="-2"/>
          <w:sz w:val="24"/>
        </w:rPr>
        <w:t xml:space="preserve"> </w:t>
      </w:r>
      <w:r>
        <w:rPr>
          <w:sz w:val="24"/>
        </w:rPr>
        <w:t>the</w:t>
      </w:r>
      <w:r>
        <w:rPr>
          <w:spacing w:val="-4"/>
          <w:sz w:val="24"/>
        </w:rPr>
        <w:t xml:space="preserve"> </w:t>
      </w:r>
      <w:r>
        <w:rPr>
          <w:sz w:val="24"/>
        </w:rPr>
        <w:t>Prevention</w:t>
      </w:r>
      <w:r>
        <w:rPr>
          <w:spacing w:val="-58"/>
          <w:sz w:val="24"/>
        </w:rPr>
        <w:t xml:space="preserve"> </w:t>
      </w:r>
      <w:r>
        <w:rPr>
          <w:sz w:val="24"/>
        </w:rPr>
        <w:t>of Money Laundering and Terrorist Financing and the typologies and trends of money</w:t>
      </w:r>
      <w:r>
        <w:rPr>
          <w:spacing w:val="1"/>
          <w:sz w:val="24"/>
        </w:rPr>
        <w:t xml:space="preserve"> </w:t>
      </w:r>
      <w:r>
        <w:rPr>
          <w:sz w:val="24"/>
        </w:rPr>
        <w:t>laundering</w:t>
      </w:r>
      <w:r>
        <w:rPr>
          <w:spacing w:val="-4"/>
          <w:sz w:val="24"/>
        </w:rPr>
        <w:t xml:space="preserve"> </w:t>
      </w:r>
      <w:r>
        <w:rPr>
          <w:sz w:val="24"/>
        </w:rPr>
        <w:t>and terrorist financing.</w:t>
      </w:r>
    </w:p>
    <w:p w:rsidR="00A56FE9" w:rsidRDefault="00000000">
      <w:pPr>
        <w:pStyle w:val="Odlomakpopisa"/>
        <w:numPr>
          <w:ilvl w:val="0"/>
          <w:numId w:val="5"/>
        </w:numPr>
        <w:tabs>
          <w:tab w:val="left" w:pos="499"/>
        </w:tabs>
        <w:spacing w:before="119"/>
        <w:ind w:right="269"/>
        <w:jc w:val="both"/>
        <w:rPr>
          <w:sz w:val="24"/>
        </w:rPr>
      </w:pPr>
      <w:r>
        <w:rPr>
          <w:sz w:val="24"/>
        </w:rPr>
        <w:t>Improving</w:t>
      </w:r>
      <w:r>
        <w:rPr>
          <w:spacing w:val="1"/>
          <w:sz w:val="24"/>
        </w:rPr>
        <w:t xml:space="preserve"> </w:t>
      </w:r>
      <w:r>
        <w:rPr>
          <w:sz w:val="24"/>
        </w:rPr>
        <w:t>the</w:t>
      </w:r>
      <w:r>
        <w:rPr>
          <w:spacing w:val="1"/>
          <w:sz w:val="24"/>
        </w:rPr>
        <w:t xml:space="preserve"> </w:t>
      </w:r>
      <w:r>
        <w:rPr>
          <w:sz w:val="24"/>
        </w:rPr>
        <w:t>existing</w:t>
      </w:r>
      <w:r>
        <w:rPr>
          <w:spacing w:val="1"/>
          <w:sz w:val="24"/>
        </w:rPr>
        <w:t xml:space="preserve"> </w:t>
      </w:r>
      <w:r>
        <w:rPr>
          <w:sz w:val="24"/>
        </w:rPr>
        <w:t>institutional</w:t>
      </w:r>
      <w:r>
        <w:rPr>
          <w:spacing w:val="1"/>
          <w:sz w:val="24"/>
        </w:rPr>
        <w:t xml:space="preserve"> </w:t>
      </w:r>
      <w:r>
        <w:rPr>
          <w:sz w:val="24"/>
        </w:rPr>
        <w:t>framework</w:t>
      </w:r>
      <w:r>
        <w:rPr>
          <w:spacing w:val="1"/>
          <w:sz w:val="24"/>
        </w:rPr>
        <w:t xml:space="preserve"> </w:t>
      </w:r>
      <w:r>
        <w:rPr>
          <w:sz w:val="24"/>
        </w:rPr>
        <w:t>for</w:t>
      </w:r>
      <w:r>
        <w:rPr>
          <w:spacing w:val="1"/>
          <w:sz w:val="24"/>
        </w:rPr>
        <w:t xml:space="preserve"> </w:t>
      </w:r>
      <w:r>
        <w:rPr>
          <w:sz w:val="24"/>
        </w:rPr>
        <w:t>preventing</w:t>
      </w:r>
      <w:r>
        <w:rPr>
          <w:spacing w:val="1"/>
          <w:sz w:val="24"/>
        </w:rPr>
        <w:t xml:space="preserve"> </w:t>
      </w:r>
      <w:r>
        <w:rPr>
          <w:sz w:val="24"/>
        </w:rPr>
        <w:t>and</w:t>
      </w:r>
      <w:r>
        <w:rPr>
          <w:spacing w:val="1"/>
          <w:sz w:val="24"/>
        </w:rPr>
        <w:t xml:space="preserve"> </w:t>
      </w:r>
      <w:r>
        <w:rPr>
          <w:sz w:val="24"/>
        </w:rPr>
        <w:t>combating</w:t>
      </w:r>
      <w:r>
        <w:rPr>
          <w:spacing w:val="1"/>
          <w:sz w:val="24"/>
        </w:rPr>
        <w:t xml:space="preserve"> </w:t>
      </w:r>
      <w:r>
        <w:rPr>
          <w:sz w:val="24"/>
        </w:rPr>
        <w:t>money</w:t>
      </w:r>
      <w:r>
        <w:rPr>
          <w:spacing w:val="-57"/>
          <w:sz w:val="24"/>
        </w:rPr>
        <w:t xml:space="preserve"> </w:t>
      </w:r>
      <w:r>
        <w:rPr>
          <w:sz w:val="24"/>
        </w:rPr>
        <w:t>laundering and terrorist financing by continuing the work of the Interinstitutional Working</w:t>
      </w:r>
      <w:r>
        <w:rPr>
          <w:spacing w:val="-57"/>
          <w:sz w:val="24"/>
        </w:rPr>
        <w:t xml:space="preserve"> </w:t>
      </w:r>
      <w:r>
        <w:rPr>
          <w:sz w:val="24"/>
        </w:rPr>
        <w:t>Subgroup</w:t>
      </w:r>
      <w:r>
        <w:rPr>
          <w:spacing w:val="1"/>
          <w:sz w:val="24"/>
        </w:rPr>
        <w:t xml:space="preserve"> </w:t>
      </w:r>
      <w:r>
        <w:rPr>
          <w:sz w:val="24"/>
        </w:rPr>
        <w:t>on</w:t>
      </w:r>
      <w:r>
        <w:rPr>
          <w:spacing w:val="1"/>
          <w:sz w:val="24"/>
        </w:rPr>
        <w:t xml:space="preserve"> </w:t>
      </w:r>
      <w:r>
        <w:rPr>
          <w:sz w:val="24"/>
        </w:rPr>
        <w:t>Supervision</w:t>
      </w:r>
      <w:r>
        <w:rPr>
          <w:spacing w:val="1"/>
          <w:sz w:val="24"/>
        </w:rPr>
        <w:t xml:space="preserve"> </w:t>
      </w:r>
      <w:r>
        <w:rPr>
          <w:sz w:val="24"/>
        </w:rPr>
        <w:t>and</w:t>
      </w:r>
      <w:r>
        <w:rPr>
          <w:spacing w:val="1"/>
          <w:sz w:val="24"/>
        </w:rPr>
        <w:t xml:space="preserve"> </w:t>
      </w:r>
      <w:r>
        <w:rPr>
          <w:sz w:val="24"/>
        </w:rPr>
        <w:t>holding</w:t>
      </w:r>
      <w:r>
        <w:rPr>
          <w:spacing w:val="1"/>
          <w:sz w:val="24"/>
        </w:rPr>
        <w:t xml:space="preserve"> </w:t>
      </w:r>
      <w:r>
        <w:rPr>
          <w:sz w:val="24"/>
        </w:rPr>
        <w:t>regular</w:t>
      </w:r>
      <w:r>
        <w:rPr>
          <w:spacing w:val="1"/>
          <w:sz w:val="24"/>
        </w:rPr>
        <w:t xml:space="preserve"> </w:t>
      </w:r>
      <w:r>
        <w:rPr>
          <w:sz w:val="24"/>
        </w:rPr>
        <w:t>working</w:t>
      </w:r>
      <w:r>
        <w:rPr>
          <w:spacing w:val="1"/>
          <w:sz w:val="24"/>
        </w:rPr>
        <w:t xml:space="preserve"> </w:t>
      </w:r>
      <w:r>
        <w:rPr>
          <w:sz w:val="24"/>
        </w:rPr>
        <w:t>meetings</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Anti-Money</w:t>
      </w:r>
      <w:r>
        <w:rPr>
          <w:spacing w:val="1"/>
          <w:sz w:val="24"/>
        </w:rPr>
        <w:t xml:space="preserve"> </w:t>
      </w:r>
      <w:r>
        <w:rPr>
          <w:sz w:val="24"/>
        </w:rPr>
        <w:t>Laundering Office and supervisory bodies in the field of supervision and monitoring of</w:t>
      </w:r>
      <w:r>
        <w:rPr>
          <w:spacing w:val="1"/>
          <w:sz w:val="24"/>
        </w:rPr>
        <w:t xml:space="preserve"> </w:t>
      </w:r>
      <w:r>
        <w:rPr>
          <w:sz w:val="24"/>
        </w:rPr>
        <w:t>money</w:t>
      </w:r>
      <w:r>
        <w:rPr>
          <w:spacing w:val="-13"/>
          <w:sz w:val="24"/>
        </w:rPr>
        <w:t xml:space="preserve"> </w:t>
      </w:r>
      <w:r>
        <w:rPr>
          <w:sz w:val="24"/>
        </w:rPr>
        <w:t>laundering</w:t>
      </w:r>
      <w:r>
        <w:rPr>
          <w:spacing w:val="-8"/>
          <w:sz w:val="24"/>
        </w:rPr>
        <w:t xml:space="preserve"> </w:t>
      </w:r>
      <w:r>
        <w:rPr>
          <w:sz w:val="24"/>
        </w:rPr>
        <w:t>and</w:t>
      </w:r>
      <w:r>
        <w:rPr>
          <w:spacing w:val="-5"/>
          <w:sz w:val="24"/>
        </w:rPr>
        <w:t xml:space="preserve"> </w:t>
      </w:r>
      <w:r>
        <w:rPr>
          <w:sz w:val="24"/>
        </w:rPr>
        <w:t>terrorist</w:t>
      </w:r>
      <w:r>
        <w:rPr>
          <w:spacing w:val="-8"/>
          <w:sz w:val="24"/>
        </w:rPr>
        <w:t xml:space="preserve"> </w:t>
      </w:r>
      <w:r>
        <w:rPr>
          <w:sz w:val="24"/>
        </w:rPr>
        <w:t>financing</w:t>
      </w:r>
      <w:r>
        <w:rPr>
          <w:spacing w:val="-8"/>
          <w:sz w:val="24"/>
        </w:rPr>
        <w:t xml:space="preserve"> </w:t>
      </w:r>
      <w:r>
        <w:rPr>
          <w:sz w:val="24"/>
        </w:rPr>
        <w:t>(banks,</w:t>
      </w:r>
      <w:r>
        <w:rPr>
          <w:spacing w:val="-6"/>
          <w:sz w:val="24"/>
        </w:rPr>
        <w:t xml:space="preserve"> </w:t>
      </w:r>
      <w:r>
        <w:rPr>
          <w:sz w:val="24"/>
        </w:rPr>
        <w:t>etc.)</w:t>
      </w:r>
      <w:r>
        <w:rPr>
          <w:spacing w:val="-8"/>
          <w:sz w:val="24"/>
        </w:rPr>
        <w:t xml:space="preserve"> </w:t>
      </w:r>
      <w:r>
        <w:rPr>
          <w:sz w:val="24"/>
        </w:rPr>
        <w:t>based</w:t>
      </w:r>
      <w:r>
        <w:rPr>
          <w:spacing w:val="-9"/>
          <w:sz w:val="24"/>
        </w:rPr>
        <w:t xml:space="preserve"> </w:t>
      </w:r>
      <w:r>
        <w:rPr>
          <w:sz w:val="24"/>
        </w:rPr>
        <w:t>on</w:t>
      </w:r>
      <w:r>
        <w:rPr>
          <w:spacing w:val="-6"/>
          <w:sz w:val="24"/>
        </w:rPr>
        <w:t xml:space="preserve"> </w:t>
      </w:r>
      <w:r>
        <w:rPr>
          <w:sz w:val="24"/>
        </w:rPr>
        <w:t>updated</w:t>
      </w:r>
      <w:r>
        <w:rPr>
          <w:spacing w:val="-7"/>
          <w:sz w:val="24"/>
        </w:rPr>
        <w:t xml:space="preserve"> </w:t>
      </w:r>
      <w:r>
        <w:rPr>
          <w:sz w:val="24"/>
        </w:rPr>
        <w:t>signed</w:t>
      </w:r>
      <w:r>
        <w:rPr>
          <w:spacing w:val="-8"/>
          <w:sz w:val="24"/>
        </w:rPr>
        <w:t xml:space="preserve"> </w:t>
      </w:r>
      <w:r>
        <w:rPr>
          <w:sz w:val="24"/>
        </w:rPr>
        <w:t>cooperation</w:t>
      </w:r>
      <w:r>
        <w:rPr>
          <w:spacing w:val="-58"/>
          <w:sz w:val="24"/>
        </w:rPr>
        <w:t xml:space="preserve"> </w:t>
      </w:r>
      <w:r>
        <w:rPr>
          <w:sz w:val="24"/>
        </w:rPr>
        <w:t>agreements.</w:t>
      </w:r>
    </w:p>
    <w:p w:rsidR="00A56FE9" w:rsidRDefault="00000000">
      <w:pPr>
        <w:pStyle w:val="Odlomakpopisa"/>
        <w:numPr>
          <w:ilvl w:val="0"/>
          <w:numId w:val="5"/>
        </w:numPr>
        <w:tabs>
          <w:tab w:val="left" w:pos="499"/>
        </w:tabs>
        <w:spacing w:before="122"/>
        <w:ind w:right="275"/>
        <w:jc w:val="both"/>
        <w:rPr>
          <w:sz w:val="24"/>
        </w:rPr>
      </w:pPr>
      <w:r>
        <w:rPr>
          <w:sz w:val="24"/>
        </w:rPr>
        <w:t>Implementation</w:t>
      </w:r>
      <w:r>
        <w:rPr>
          <w:spacing w:val="-13"/>
          <w:sz w:val="24"/>
        </w:rPr>
        <w:t xml:space="preserve"> </w:t>
      </w:r>
      <w:r>
        <w:rPr>
          <w:sz w:val="24"/>
        </w:rPr>
        <w:t>of</w:t>
      </w:r>
      <w:r>
        <w:rPr>
          <w:spacing w:val="-14"/>
          <w:sz w:val="24"/>
        </w:rPr>
        <w:t xml:space="preserve"> </w:t>
      </w:r>
      <w:r>
        <w:rPr>
          <w:sz w:val="24"/>
        </w:rPr>
        <w:t>the</w:t>
      </w:r>
      <w:r>
        <w:rPr>
          <w:spacing w:val="-12"/>
          <w:sz w:val="24"/>
        </w:rPr>
        <w:t xml:space="preserve"> </w:t>
      </w:r>
      <w:r>
        <w:rPr>
          <w:sz w:val="24"/>
        </w:rPr>
        <w:t>new</w:t>
      </w:r>
      <w:r>
        <w:rPr>
          <w:spacing w:val="-13"/>
          <w:sz w:val="24"/>
        </w:rPr>
        <w:t xml:space="preserve"> </w:t>
      </w:r>
      <w:r>
        <w:rPr>
          <w:sz w:val="24"/>
        </w:rPr>
        <w:t>Action</w:t>
      </w:r>
      <w:r>
        <w:rPr>
          <w:spacing w:val="-13"/>
          <w:sz w:val="24"/>
        </w:rPr>
        <w:t xml:space="preserve"> </w:t>
      </w:r>
      <w:r>
        <w:rPr>
          <w:sz w:val="24"/>
        </w:rPr>
        <w:t>Plan</w:t>
      </w:r>
      <w:r>
        <w:rPr>
          <w:spacing w:val="-14"/>
          <w:sz w:val="24"/>
        </w:rPr>
        <w:t xml:space="preserve"> </w:t>
      </w:r>
      <w:r>
        <w:rPr>
          <w:sz w:val="24"/>
        </w:rPr>
        <w:t>which</w:t>
      </w:r>
      <w:r>
        <w:rPr>
          <w:spacing w:val="-10"/>
          <w:sz w:val="24"/>
        </w:rPr>
        <w:t xml:space="preserve"> </w:t>
      </w:r>
      <w:r>
        <w:rPr>
          <w:sz w:val="24"/>
        </w:rPr>
        <w:t>included</w:t>
      </w:r>
      <w:r>
        <w:rPr>
          <w:spacing w:val="-13"/>
          <w:sz w:val="24"/>
        </w:rPr>
        <w:t xml:space="preserve"> </w:t>
      </w:r>
      <w:r>
        <w:rPr>
          <w:sz w:val="24"/>
        </w:rPr>
        <w:t>13</w:t>
      </w:r>
      <w:r>
        <w:rPr>
          <w:spacing w:val="-13"/>
          <w:sz w:val="24"/>
        </w:rPr>
        <w:t xml:space="preserve"> </w:t>
      </w:r>
      <w:r>
        <w:rPr>
          <w:sz w:val="24"/>
        </w:rPr>
        <w:t>measures</w:t>
      </w:r>
      <w:r>
        <w:rPr>
          <w:spacing w:val="-12"/>
          <w:sz w:val="24"/>
        </w:rPr>
        <w:t xml:space="preserve"> </w:t>
      </w:r>
      <w:r>
        <w:rPr>
          <w:sz w:val="24"/>
        </w:rPr>
        <w:t>to</w:t>
      </w:r>
      <w:r>
        <w:rPr>
          <w:spacing w:val="-11"/>
          <w:sz w:val="24"/>
        </w:rPr>
        <w:t xml:space="preserve"> </w:t>
      </w:r>
      <w:r>
        <w:rPr>
          <w:sz w:val="24"/>
        </w:rPr>
        <w:t>reduce</w:t>
      </w:r>
      <w:r>
        <w:rPr>
          <w:spacing w:val="-14"/>
          <w:sz w:val="24"/>
        </w:rPr>
        <w:t xml:space="preserve"> </w:t>
      </w:r>
      <w:r>
        <w:rPr>
          <w:sz w:val="24"/>
        </w:rPr>
        <w:t>the</w:t>
      </w:r>
      <w:r>
        <w:rPr>
          <w:spacing w:val="-11"/>
          <w:sz w:val="24"/>
        </w:rPr>
        <w:t xml:space="preserve"> </w:t>
      </w:r>
      <w:r>
        <w:rPr>
          <w:sz w:val="24"/>
        </w:rPr>
        <w:t>identified</w:t>
      </w:r>
      <w:r>
        <w:rPr>
          <w:spacing w:val="-58"/>
          <w:sz w:val="24"/>
        </w:rPr>
        <w:t xml:space="preserve"> </w:t>
      </w:r>
      <w:r>
        <w:rPr>
          <w:spacing w:val="-1"/>
          <w:sz w:val="24"/>
        </w:rPr>
        <w:t>risks</w:t>
      </w:r>
      <w:r>
        <w:rPr>
          <w:spacing w:val="-12"/>
          <w:sz w:val="24"/>
        </w:rPr>
        <w:t xml:space="preserve"> </w:t>
      </w:r>
      <w:r>
        <w:rPr>
          <w:spacing w:val="-1"/>
          <w:sz w:val="24"/>
        </w:rPr>
        <w:t>of</w:t>
      </w:r>
      <w:r>
        <w:rPr>
          <w:spacing w:val="-13"/>
          <w:sz w:val="24"/>
        </w:rPr>
        <w:t xml:space="preserve"> </w:t>
      </w:r>
      <w:r>
        <w:rPr>
          <w:sz w:val="24"/>
        </w:rPr>
        <w:t>money</w:t>
      </w:r>
      <w:r>
        <w:rPr>
          <w:spacing w:val="-20"/>
          <w:sz w:val="24"/>
        </w:rPr>
        <w:t xml:space="preserve"> </w:t>
      </w:r>
      <w:r>
        <w:rPr>
          <w:sz w:val="24"/>
        </w:rPr>
        <w:t>laundering</w:t>
      </w:r>
      <w:r>
        <w:rPr>
          <w:spacing w:val="-15"/>
          <w:sz w:val="24"/>
        </w:rPr>
        <w:t xml:space="preserve"> </w:t>
      </w:r>
      <w:r>
        <w:rPr>
          <w:sz w:val="24"/>
        </w:rPr>
        <w:t>and</w:t>
      </w:r>
      <w:r>
        <w:rPr>
          <w:spacing w:val="-12"/>
          <w:sz w:val="24"/>
        </w:rPr>
        <w:t xml:space="preserve"> </w:t>
      </w:r>
      <w:r>
        <w:rPr>
          <w:sz w:val="24"/>
        </w:rPr>
        <w:t>terrorist</w:t>
      </w:r>
      <w:r>
        <w:rPr>
          <w:spacing w:val="-12"/>
          <w:sz w:val="24"/>
        </w:rPr>
        <w:t xml:space="preserve"> </w:t>
      </w:r>
      <w:r>
        <w:rPr>
          <w:sz w:val="24"/>
        </w:rPr>
        <w:t>financing</w:t>
      </w:r>
      <w:r>
        <w:rPr>
          <w:spacing w:val="-15"/>
          <w:sz w:val="24"/>
        </w:rPr>
        <w:t xml:space="preserve"> </w:t>
      </w:r>
      <w:r>
        <w:rPr>
          <w:sz w:val="24"/>
        </w:rPr>
        <w:t>based</w:t>
      </w:r>
      <w:r>
        <w:rPr>
          <w:spacing w:val="-12"/>
          <w:sz w:val="24"/>
        </w:rPr>
        <w:t xml:space="preserve"> </w:t>
      </w:r>
      <w:r>
        <w:rPr>
          <w:sz w:val="24"/>
        </w:rPr>
        <w:t>on</w:t>
      </w:r>
      <w:r>
        <w:rPr>
          <w:spacing w:val="-12"/>
          <w:sz w:val="24"/>
        </w:rPr>
        <w:t xml:space="preserve"> </w:t>
      </w:r>
      <w:r>
        <w:rPr>
          <w:sz w:val="24"/>
        </w:rPr>
        <w:t>the</w:t>
      </w:r>
      <w:r>
        <w:rPr>
          <w:spacing w:val="-13"/>
          <w:sz w:val="24"/>
        </w:rPr>
        <w:t xml:space="preserve"> </w:t>
      </w:r>
      <w:r>
        <w:rPr>
          <w:sz w:val="24"/>
        </w:rPr>
        <w:t>updated</w:t>
      </w:r>
      <w:r>
        <w:rPr>
          <w:spacing w:val="-13"/>
          <w:sz w:val="24"/>
        </w:rPr>
        <w:t xml:space="preserve"> </w:t>
      </w:r>
      <w:r>
        <w:rPr>
          <w:sz w:val="24"/>
        </w:rPr>
        <w:t>National</w:t>
      </w:r>
      <w:r>
        <w:rPr>
          <w:spacing w:val="-12"/>
          <w:sz w:val="24"/>
        </w:rPr>
        <w:t xml:space="preserve"> </w:t>
      </w:r>
      <w:r>
        <w:rPr>
          <w:sz w:val="24"/>
        </w:rPr>
        <w:t>Assessment</w:t>
      </w:r>
      <w:r>
        <w:rPr>
          <w:spacing w:val="-58"/>
          <w:sz w:val="24"/>
        </w:rPr>
        <w:t xml:space="preserve"> </w:t>
      </w:r>
      <w:r>
        <w:rPr>
          <w:sz w:val="24"/>
        </w:rPr>
        <w:t>of</w:t>
      </w:r>
      <w:r>
        <w:rPr>
          <w:spacing w:val="-6"/>
          <w:sz w:val="24"/>
        </w:rPr>
        <w:t xml:space="preserve"> </w:t>
      </w:r>
      <w:r>
        <w:rPr>
          <w:sz w:val="24"/>
        </w:rPr>
        <w:t>Money</w:t>
      </w:r>
      <w:r>
        <w:rPr>
          <w:spacing w:val="-5"/>
          <w:sz w:val="24"/>
        </w:rPr>
        <w:t xml:space="preserve"> </w:t>
      </w:r>
      <w:r>
        <w:rPr>
          <w:sz w:val="24"/>
        </w:rPr>
        <w:t>Laundering</w:t>
      </w:r>
      <w:r>
        <w:rPr>
          <w:spacing w:val="-8"/>
          <w:sz w:val="24"/>
        </w:rPr>
        <w:t xml:space="preserve"> </w:t>
      </w:r>
      <w:r>
        <w:rPr>
          <w:sz w:val="24"/>
        </w:rPr>
        <w:t>and</w:t>
      </w:r>
      <w:r>
        <w:rPr>
          <w:spacing w:val="-5"/>
          <w:sz w:val="24"/>
        </w:rPr>
        <w:t xml:space="preserve"> </w:t>
      </w:r>
      <w:r>
        <w:rPr>
          <w:sz w:val="24"/>
        </w:rPr>
        <w:t>Terrorist</w:t>
      </w:r>
      <w:r>
        <w:rPr>
          <w:spacing w:val="-4"/>
          <w:sz w:val="24"/>
        </w:rPr>
        <w:t xml:space="preserve"> </w:t>
      </w:r>
      <w:r>
        <w:rPr>
          <w:sz w:val="24"/>
        </w:rPr>
        <w:t>Financing</w:t>
      </w:r>
      <w:r>
        <w:rPr>
          <w:spacing w:val="-8"/>
          <w:sz w:val="24"/>
        </w:rPr>
        <w:t xml:space="preserve"> </w:t>
      </w:r>
      <w:r>
        <w:rPr>
          <w:sz w:val="24"/>
        </w:rPr>
        <w:t>Risks</w:t>
      </w:r>
      <w:r>
        <w:rPr>
          <w:spacing w:val="-5"/>
          <w:sz w:val="24"/>
        </w:rPr>
        <w:t xml:space="preserve"> </w:t>
      </w:r>
      <w:r>
        <w:rPr>
          <w:sz w:val="24"/>
        </w:rPr>
        <w:t>in</w:t>
      </w:r>
      <w:r>
        <w:rPr>
          <w:spacing w:val="-4"/>
          <w:sz w:val="24"/>
        </w:rPr>
        <w:t xml:space="preserve"> </w:t>
      </w:r>
      <w:r>
        <w:rPr>
          <w:sz w:val="24"/>
        </w:rPr>
        <w:t>the</w:t>
      </w:r>
      <w:r>
        <w:rPr>
          <w:spacing w:val="-6"/>
          <w:sz w:val="24"/>
        </w:rPr>
        <w:t xml:space="preserve"> </w:t>
      </w:r>
      <w:r>
        <w:rPr>
          <w:sz w:val="24"/>
        </w:rPr>
        <w:t>Republic</w:t>
      </w:r>
      <w:r>
        <w:rPr>
          <w:spacing w:val="-4"/>
          <w:sz w:val="24"/>
        </w:rPr>
        <w:t xml:space="preserve"> </w:t>
      </w:r>
      <w:r>
        <w:rPr>
          <w:sz w:val="24"/>
        </w:rPr>
        <w:t>of</w:t>
      </w:r>
      <w:r>
        <w:rPr>
          <w:spacing w:val="-4"/>
          <w:sz w:val="24"/>
        </w:rPr>
        <w:t xml:space="preserve"> </w:t>
      </w:r>
      <w:r>
        <w:rPr>
          <w:sz w:val="24"/>
        </w:rPr>
        <w:t>Croatia,</w:t>
      </w:r>
      <w:r>
        <w:rPr>
          <w:spacing w:val="-5"/>
          <w:sz w:val="24"/>
        </w:rPr>
        <w:t xml:space="preserve"> </w:t>
      </w:r>
      <w:r>
        <w:rPr>
          <w:sz w:val="24"/>
        </w:rPr>
        <w:t>adopted</w:t>
      </w:r>
      <w:r>
        <w:rPr>
          <w:spacing w:val="-4"/>
          <w:sz w:val="24"/>
        </w:rPr>
        <w:t xml:space="preserve"> </w:t>
      </w:r>
      <w:r>
        <w:rPr>
          <w:sz w:val="24"/>
        </w:rPr>
        <w:t>by</w:t>
      </w:r>
      <w:r>
        <w:rPr>
          <w:spacing w:val="-57"/>
          <w:sz w:val="24"/>
        </w:rPr>
        <w:t xml:space="preserve"> </w:t>
      </w:r>
      <w:r>
        <w:rPr>
          <w:sz w:val="24"/>
        </w:rPr>
        <w:t>the</w:t>
      </w:r>
      <w:r>
        <w:rPr>
          <w:spacing w:val="-1"/>
          <w:sz w:val="24"/>
        </w:rPr>
        <w:t xml:space="preserve"> </w:t>
      </w:r>
      <w:r>
        <w:rPr>
          <w:sz w:val="24"/>
        </w:rPr>
        <w:t>Government in June</w:t>
      </w:r>
      <w:r>
        <w:rPr>
          <w:spacing w:val="-1"/>
          <w:sz w:val="24"/>
        </w:rPr>
        <w:t xml:space="preserve"> </w:t>
      </w:r>
      <w:r>
        <w:rPr>
          <w:sz w:val="24"/>
        </w:rPr>
        <w:t>2020.</w:t>
      </w:r>
    </w:p>
    <w:p w:rsidR="00A56FE9" w:rsidRDefault="00A56FE9">
      <w:pPr>
        <w:pStyle w:val="Tijeloteksta"/>
        <w:ind w:left="0"/>
        <w:jc w:val="left"/>
        <w:rPr>
          <w:sz w:val="26"/>
        </w:rPr>
      </w:pPr>
    </w:p>
    <w:p w:rsidR="00A56FE9" w:rsidRDefault="00000000">
      <w:pPr>
        <w:pStyle w:val="Naslov3"/>
        <w:spacing w:before="186"/>
      </w:pPr>
      <w:bookmarkStart w:id="19" w:name="_bookmark19"/>
      <w:bookmarkEnd w:id="19"/>
      <w:r>
        <w:rPr>
          <w:rFonts w:ascii="Times New Roman"/>
          <w:b/>
          <w:color w:val="2C398A"/>
          <w:spacing w:val="-1"/>
        </w:rPr>
        <w:t>C2.9.</w:t>
      </w:r>
      <w:r>
        <w:rPr>
          <w:rFonts w:ascii="Times New Roman"/>
          <w:b/>
          <w:color w:val="2C398A"/>
        </w:rPr>
        <w:t xml:space="preserve"> </w:t>
      </w:r>
      <w:r>
        <w:rPr>
          <w:color w:val="003399"/>
          <w:spacing w:val="-1"/>
        </w:rPr>
        <w:t>Strengthening</w:t>
      </w:r>
      <w:r>
        <w:rPr>
          <w:color w:val="003399"/>
          <w:spacing w:val="-13"/>
        </w:rPr>
        <w:t xml:space="preserve"> </w:t>
      </w:r>
      <w:r>
        <w:rPr>
          <w:color w:val="003399"/>
          <w:spacing w:val="-1"/>
        </w:rPr>
        <w:t>the</w:t>
      </w:r>
      <w:r>
        <w:rPr>
          <w:color w:val="003399"/>
          <w:spacing w:val="-12"/>
        </w:rPr>
        <w:t xml:space="preserve"> </w:t>
      </w:r>
      <w:r>
        <w:rPr>
          <w:color w:val="003399"/>
          <w:spacing w:val="-1"/>
        </w:rPr>
        <w:t>Public</w:t>
      </w:r>
      <w:r>
        <w:rPr>
          <w:color w:val="003399"/>
          <w:spacing w:val="-13"/>
        </w:rPr>
        <w:t xml:space="preserve"> </w:t>
      </w:r>
      <w:r>
        <w:rPr>
          <w:color w:val="003399"/>
          <w:spacing w:val="-1"/>
        </w:rPr>
        <w:t>Procurement</w:t>
      </w:r>
      <w:r>
        <w:rPr>
          <w:color w:val="003399"/>
          <w:spacing w:val="-14"/>
        </w:rPr>
        <w:t xml:space="preserve"> </w:t>
      </w:r>
      <w:r>
        <w:rPr>
          <w:color w:val="003399"/>
          <w:spacing w:val="-1"/>
        </w:rPr>
        <w:t>Framework</w:t>
      </w:r>
    </w:p>
    <w:p w:rsidR="00A56FE9" w:rsidRDefault="00A56FE9">
      <w:pPr>
        <w:pStyle w:val="Tijeloteksta"/>
        <w:spacing w:before="8"/>
        <w:ind w:left="0"/>
        <w:jc w:val="left"/>
        <w:rPr>
          <w:rFonts w:ascii="Calibri Light"/>
          <w:sz w:val="29"/>
        </w:rPr>
      </w:pPr>
    </w:p>
    <w:p w:rsidR="00A56FE9" w:rsidRDefault="00CC1B9B">
      <w:pPr>
        <w:pStyle w:val="Naslov4"/>
        <w:ind w:right="281"/>
      </w:pPr>
      <w:r>
        <w:rPr>
          <w:noProof/>
        </w:rPr>
        <mc:AlternateContent>
          <mc:Choice Requires="wps">
            <w:drawing>
              <wp:anchor distT="0" distB="0" distL="114300" distR="114300" simplePos="0" relativeHeight="15775744" behindDoc="0" locked="0" layoutInCell="1" allowOverlap="1">
                <wp:simplePos x="0" y="0"/>
                <wp:positionH relativeFrom="page">
                  <wp:posOffset>814070</wp:posOffset>
                </wp:positionH>
                <wp:positionV relativeFrom="paragraph">
                  <wp:posOffset>-76200</wp:posOffset>
                </wp:positionV>
                <wp:extent cx="18415" cy="532130"/>
                <wp:effectExtent l="0" t="0" r="0" b="0"/>
                <wp:wrapNone/>
                <wp:docPr id="1439299043" name="Freeform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532130"/>
                        </a:xfrm>
                        <a:custGeom>
                          <a:avLst/>
                          <a:gdLst>
                            <a:gd name="T0" fmla="+- 0 1311 1282"/>
                            <a:gd name="T1" fmla="*/ T0 w 29"/>
                            <a:gd name="T2" fmla="+- 0 -120 -120"/>
                            <a:gd name="T3" fmla="*/ -120 h 838"/>
                            <a:gd name="T4" fmla="+- 0 1282 1282"/>
                            <a:gd name="T5" fmla="*/ T4 w 29"/>
                            <a:gd name="T6" fmla="+- 0 -120 -120"/>
                            <a:gd name="T7" fmla="*/ -120 h 838"/>
                            <a:gd name="T8" fmla="+- 0 1282 1282"/>
                            <a:gd name="T9" fmla="*/ T8 w 29"/>
                            <a:gd name="T10" fmla="+- 0 298 -120"/>
                            <a:gd name="T11" fmla="*/ 298 h 838"/>
                            <a:gd name="T12" fmla="+- 0 1282 1282"/>
                            <a:gd name="T13" fmla="*/ T12 w 29"/>
                            <a:gd name="T14" fmla="+- 0 718 -120"/>
                            <a:gd name="T15" fmla="*/ 718 h 838"/>
                            <a:gd name="T16" fmla="+- 0 1311 1282"/>
                            <a:gd name="T17" fmla="*/ T16 w 29"/>
                            <a:gd name="T18" fmla="+- 0 718 -120"/>
                            <a:gd name="T19" fmla="*/ 718 h 838"/>
                            <a:gd name="T20" fmla="+- 0 1311 1282"/>
                            <a:gd name="T21" fmla="*/ T20 w 29"/>
                            <a:gd name="T22" fmla="+- 0 298 -120"/>
                            <a:gd name="T23" fmla="*/ 298 h 838"/>
                            <a:gd name="T24" fmla="+- 0 1311 1282"/>
                            <a:gd name="T25" fmla="*/ T24 w 29"/>
                            <a:gd name="T26" fmla="+- 0 -120 -120"/>
                            <a:gd name="T27" fmla="*/ -120 h 838"/>
                          </a:gdLst>
                          <a:ahLst/>
                          <a:cxnLst>
                            <a:cxn ang="0">
                              <a:pos x="T1" y="T3"/>
                            </a:cxn>
                            <a:cxn ang="0">
                              <a:pos x="T5" y="T7"/>
                            </a:cxn>
                            <a:cxn ang="0">
                              <a:pos x="T9" y="T11"/>
                            </a:cxn>
                            <a:cxn ang="0">
                              <a:pos x="T13" y="T15"/>
                            </a:cxn>
                            <a:cxn ang="0">
                              <a:pos x="T17" y="T19"/>
                            </a:cxn>
                            <a:cxn ang="0">
                              <a:pos x="T21" y="T23"/>
                            </a:cxn>
                            <a:cxn ang="0">
                              <a:pos x="T25" y="T27"/>
                            </a:cxn>
                          </a:cxnLst>
                          <a:rect l="0" t="0" r="r" b="b"/>
                          <a:pathLst>
                            <a:path w="29" h="838">
                              <a:moveTo>
                                <a:pt x="29" y="0"/>
                              </a:moveTo>
                              <a:lnTo>
                                <a:pt x="0" y="0"/>
                              </a:lnTo>
                              <a:lnTo>
                                <a:pt x="0" y="418"/>
                              </a:lnTo>
                              <a:lnTo>
                                <a:pt x="0" y="838"/>
                              </a:lnTo>
                              <a:lnTo>
                                <a:pt x="29" y="838"/>
                              </a:lnTo>
                              <a:lnTo>
                                <a:pt x="29" y="41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7A4E" id="Freeform 203" o:spid="_x0000_s1026" style="position:absolute;margin-left:64.1pt;margin-top:-6pt;width:1.45pt;height:41.9pt;z-index:1577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" path="m29,l,,,418,,838r29,l29,418,29,xe" fillcolor="#da1f2c" stroked="f">
                <v:path arrowok="t" o:connecttype="custom" o:connectlocs="18415,-76200;0,-76200;0,189230;0,455930;18415,455930;18415,189230;18415,-76200" o:connectangles="0,0,0,0,0,0,0"/>
                <w10:wrap anchorx="page"/>
              </v:shape>
            </w:pict>
          </mc:Fallback>
        </mc:AlternateContent>
      </w:r>
      <w:r w:rsidR="00000000">
        <w:rPr>
          <w:color w:val="2C398A"/>
        </w:rPr>
        <w:t>Continuous</w:t>
      </w:r>
      <w:r w:rsidR="00000000">
        <w:rPr>
          <w:color w:val="2C398A"/>
          <w:spacing w:val="1"/>
        </w:rPr>
        <w:t xml:space="preserve"> </w:t>
      </w:r>
      <w:r w:rsidR="00000000">
        <w:rPr>
          <w:color w:val="2C398A"/>
        </w:rPr>
        <w:t>provision</w:t>
      </w:r>
      <w:r w:rsidR="00000000">
        <w:rPr>
          <w:color w:val="2C398A"/>
          <w:spacing w:val="1"/>
        </w:rPr>
        <w:t xml:space="preserve"> </w:t>
      </w:r>
      <w:r w:rsidR="00000000">
        <w:rPr>
          <w:color w:val="2C398A"/>
        </w:rPr>
        <w:t>of</w:t>
      </w:r>
      <w:r w:rsidR="00000000">
        <w:rPr>
          <w:color w:val="2C398A"/>
          <w:spacing w:val="1"/>
        </w:rPr>
        <w:t xml:space="preserve"> </w:t>
      </w:r>
      <w:r w:rsidR="00000000">
        <w:rPr>
          <w:color w:val="2C398A"/>
        </w:rPr>
        <w:t>public</w:t>
      </w:r>
      <w:r w:rsidR="00000000">
        <w:rPr>
          <w:color w:val="2C398A"/>
          <w:spacing w:val="1"/>
        </w:rPr>
        <w:t xml:space="preserve"> </w:t>
      </w:r>
      <w:r w:rsidR="00000000">
        <w:rPr>
          <w:color w:val="2C398A"/>
        </w:rPr>
        <w:t>procurement</w:t>
      </w:r>
      <w:r w:rsidR="00000000">
        <w:rPr>
          <w:color w:val="2C398A"/>
          <w:spacing w:val="1"/>
        </w:rPr>
        <w:t xml:space="preserve"> </w:t>
      </w:r>
      <w:r w:rsidR="00000000">
        <w:rPr>
          <w:color w:val="2C398A"/>
        </w:rPr>
        <w:t>training</w:t>
      </w:r>
      <w:r w:rsidR="00000000">
        <w:rPr>
          <w:color w:val="2C398A"/>
          <w:spacing w:val="1"/>
        </w:rPr>
        <w:t xml:space="preserve"> </w:t>
      </w:r>
      <w:r w:rsidR="00000000">
        <w:rPr>
          <w:color w:val="2C398A"/>
        </w:rPr>
        <w:t>in</w:t>
      </w:r>
      <w:r w:rsidR="00000000">
        <w:rPr>
          <w:color w:val="2C398A"/>
          <w:spacing w:val="1"/>
        </w:rPr>
        <w:t xml:space="preserve"> </w:t>
      </w:r>
      <w:r w:rsidR="00000000">
        <w:rPr>
          <w:color w:val="2C398A"/>
        </w:rPr>
        <w:t>the</w:t>
      </w:r>
      <w:r w:rsidR="00000000">
        <w:rPr>
          <w:color w:val="2C398A"/>
          <w:spacing w:val="1"/>
        </w:rPr>
        <w:t xml:space="preserve"> </w:t>
      </w:r>
      <w:r w:rsidR="00000000">
        <w:rPr>
          <w:color w:val="2C398A"/>
        </w:rPr>
        <w:t>area</w:t>
      </w:r>
      <w:r w:rsidR="00000000">
        <w:rPr>
          <w:color w:val="2C398A"/>
          <w:spacing w:val="1"/>
        </w:rPr>
        <w:t xml:space="preserve"> </w:t>
      </w:r>
      <w:r w:rsidR="00000000">
        <w:rPr>
          <w:color w:val="2C398A"/>
        </w:rPr>
        <w:t>of</w:t>
      </w:r>
      <w:r w:rsidR="00000000">
        <w:rPr>
          <w:color w:val="2C398A"/>
          <w:spacing w:val="1"/>
        </w:rPr>
        <w:t xml:space="preserve"> </w:t>
      </w:r>
      <w:r w:rsidR="00000000">
        <w:rPr>
          <w:color w:val="2C398A"/>
        </w:rPr>
        <w:t>public</w:t>
      </w:r>
      <w:r w:rsidR="00000000">
        <w:rPr>
          <w:color w:val="2C398A"/>
          <w:spacing w:val="1"/>
        </w:rPr>
        <w:t xml:space="preserve"> </w:t>
      </w:r>
      <w:r w:rsidR="00000000">
        <w:rPr>
          <w:color w:val="2C398A"/>
        </w:rPr>
        <w:t>procurement</w:t>
      </w:r>
    </w:p>
    <w:p w:rsidR="00A56FE9" w:rsidRDefault="00000000">
      <w:pPr>
        <w:spacing w:before="235"/>
        <w:ind w:left="138" w:right="274"/>
        <w:jc w:val="both"/>
        <w:rPr>
          <w:i/>
          <w:sz w:val="24"/>
        </w:rPr>
      </w:pPr>
      <w:r>
        <w:rPr>
          <w:i/>
          <w:color w:val="2C398A"/>
          <w:sz w:val="24"/>
        </w:rPr>
        <w:t>2019.CSR3.2. Increase the administration’s capacity to design and implement public projects</w:t>
      </w:r>
      <w:r>
        <w:rPr>
          <w:i/>
          <w:color w:val="2C398A"/>
          <w:spacing w:val="1"/>
          <w:sz w:val="24"/>
        </w:rPr>
        <w:t xml:space="preserve"> </w:t>
      </w:r>
      <w:r>
        <w:rPr>
          <w:i/>
          <w:color w:val="2C398A"/>
          <w:sz w:val="24"/>
        </w:rPr>
        <w:t>and policies; 2020.CSR2.3. Promote the acquisition of skills; 2020.CSR4.1. Reinforce the</w:t>
      </w:r>
      <w:r>
        <w:rPr>
          <w:i/>
          <w:color w:val="2C398A"/>
          <w:spacing w:val="1"/>
          <w:sz w:val="24"/>
        </w:rPr>
        <w:t xml:space="preserve"> </w:t>
      </w:r>
      <w:r>
        <w:rPr>
          <w:i/>
          <w:color w:val="2C398A"/>
          <w:sz w:val="24"/>
        </w:rPr>
        <w:t>capacity and efficiency of the public administration to design and implement public projects</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policies at central and local levels</w:t>
      </w:r>
    </w:p>
    <w:p w:rsidR="00A56FE9" w:rsidRDefault="00A56FE9">
      <w:pPr>
        <w:pStyle w:val="Tijeloteksta"/>
        <w:spacing w:before="3"/>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520728823"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1701055421" name="Rectangle 202"/>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C1CDD64" id="Group 201"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">
                <v:rect id="Rectangle 202"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5"/>
      </w:pPr>
      <w:r>
        <w:t>An effective training and certification program for public procurement officials has been</w:t>
      </w:r>
      <w:r>
        <w:rPr>
          <w:spacing w:val="1"/>
        </w:rPr>
        <w:t xml:space="preserve"> </w:t>
      </w:r>
      <w:r>
        <w:t>established in Croatia but currently lacks adequate tools tailored to national specificities in</w:t>
      </w:r>
      <w:r>
        <w:rPr>
          <w:spacing w:val="1"/>
        </w:rPr>
        <w:t xml:space="preserve"> </w:t>
      </w:r>
      <w:r>
        <w:t>enabling contracting authorities and public procurement officials to self-assess individual</w:t>
      </w:r>
      <w:r>
        <w:rPr>
          <w:spacing w:val="1"/>
        </w:rPr>
        <w:t xml:space="preserve"> </w:t>
      </w:r>
      <w:r>
        <w:t>competencies</w:t>
      </w:r>
      <w:r>
        <w:rPr>
          <w:spacing w:val="8"/>
        </w:rPr>
        <w:t xml:space="preserve"> </w:t>
      </w:r>
      <w:r>
        <w:t>and</w:t>
      </w:r>
      <w:r>
        <w:rPr>
          <w:spacing w:val="6"/>
        </w:rPr>
        <w:t xml:space="preserve"> </w:t>
      </w:r>
      <w:r>
        <w:t>levels</w:t>
      </w:r>
      <w:r>
        <w:rPr>
          <w:spacing w:val="7"/>
        </w:rPr>
        <w:t xml:space="preserve"> </w:t>
      </w:r>
      <w:r>
        <w:t>of</w:t>
      </w:r>
      <w:r>
        <w:rPr>
          <w:spacing w:val="6"/>
        </w:rPr>
        <w:t xml:space="preserve"> </w:t>
      </w:r>
      <w:r>
        <w:t>expertise;</w:t>
      </w:r>
      <w:r>
        <w:rPr>
          <w:spacing w:val="6"/>
        </w:rPr>
        <w:t xml:space="preserve"> </w:t>
      </w:r>
      <w:r>
        <w:t>identify</w:t>
      </w:r>
      <w:r>
        <w:rPr>
          <w:spacing w:val="4"/>
        </w:rPr>
        <w:t xml:space="preserve"> </w:t>
      </w:r>
      <w:r>
        <w:t>shortcomings</w:t>
      </w:r>
      <w:r>
        <w:rPr>
          <w:spacing w:val="7"/>
        </w:rPr>
        <w:t xml:space="preserve"> </w:t>
      </w:r>
      <w:r>
        <w:t>in</w:t>
      </w:r>
      <w:r>
        <w:rPr>
          <w:spacing w:val="7"/>
        </w:rPr>
        <w:t xml:space="preserve"> </w:t>
      </w:r>
      <w:r>
        <w:t>their</w:t>
      </w:r>
      <w:r>
        <w:rPr>
          <w:spacing w:val="8"/>
        </w:rPr>
        <w:t xml:space="preserve"> </w:t>
      </w:r>
      <w:r>
        <w:t>own</w:t>
      </w:r>
      <w:r>
        <w:rPr>
          <w:spacing w:val="6"/>
        </w:rPr>
        <w:t xml:space="preserve"> </w:t>
      </w:r>
      <w:r>
        <w:t>administrative</w:t>
      </w:r>
    </w:p>
    <w:p w:rsidR="00A56FE9" w:rsidRDefault="00A56FE9">
      <w:pPr>
        <w:sectPr w:rsidR="00A56FE9" w:rsidSect="00AB1E70">
          <w:pgSz w:w="11910" w:h="16840"/>
          <w:pgMar w:top="1340" w:right="1140" w:bottom="960" w:left="1280" w:header="0" w:footer="779" w:gutter="0"/>
          <w:cols w:space="720"/>
        </w:sectPr>
      </w:pPr>
    </w:p>
    <w:p w:rsidR="00A56FE9" w:rsidRDefault="00000000">
      <w:pPr>
        <w:pStyle w:val="Tijeloteksta"/>
        <w:spacing w:before="74"/>
        <w:ind w:right="279"/>
      </w:pPr>
      <w:r>
        <w:t>capacity and introduce their own targeted learning and development measures to address</w:t>
      </w:r>
      <w:r>
        <w:rPr>
          <w:spacing w:val="1"/>
        </w:rPr>
        <w:t xml:space="preserve"> </w:t>
      </w:r>
      <w:r>
        <w:t>existing</w:t>
      </w:r>
      <w:r>
        <w:rPr>
          <w:spacing w:val="-3"/>
        </w:rPr>
        <w:t xml:space="preserve"> </w:t>
      </w:r>
      <w:r>
        <w:t>shortcomings.</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133988193"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112260566" name="Rectangle 200"/>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9B09B76" id="Group 199"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Npgpu9QAgAAEAUAAA4AAAAAAAAAAAAAAAAALgIAAGRycy9lMm9Eb2MueG1sUEsBAi0AFAAGAAgA&#10;AAAhAOjoSp3cAAAAAwEAAA8AAAAAAAAAAAAAAAAAqgQAAGRycy9kb3ducmV2LnhtbFBLBQYAAAAA&#10;BAAEAPMAAACzBQAAAAA=&#10;">
                <v:rect id="Rectangle 200"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" fillcolor="#2c398a" stroked="f"/>
                <w10:anchorlock/>
              </v:group>
            </w:pict>
          </mc:Fallback>
        </mc:AlternateContent>
      </w:r>
    </w:p>
    <w:p w:rsidR="00A56FE9" w:rsidRDefault="00000000">
      <w:pPr>
        <w:pStyle w:val="Tijeloteksta"/>
        <w:spacing w:before="154"/>
        <w:ind w:right="272"/>
        <w:rPr>
          <w:b/>
        </w:rPr>
      </w:pPr>
      <w:r>
        <w:t>Training</w:t>
      </w:r>
      <w:r>
        <w:rPr>
          <w:spacing w:val="-8"/>
        </w:rPr>
        <w:t xml:space="preserve"> </w:t>
      </w:r>
      <w:r>
        <w:t>courses</w:t>
      </w:r>
      <w:r>
        <w:rPr>
          <w:spacing w:val="-7"/>
        </w:rPr>
        <w:t xml:space="preserve"> </w:t>
      </w:r>
      <w:r>
        <w:t>for</w:t>
      </w:r>
      <w:r>
        <w:rPr>
          <w:spacing w:val="-10"/>
        </w:rPr>
        <w:t xml:space="preserve"> </w:t>
      </w:r>
      <w:r>
        <w:t>public</w:t>
      </w:r>
      <w:r>
        <w:rPr>
          <w:spacing w:val="-9"/>
        </w:rPr>
        <w:t xml:space="preserve"> </w:t>
      </w:r>
      <w:r>
        <w:t>procurement</w:t>
      </w:r>
      <w:r>
        <w:rPr>
          <w:spacing w:val="-7"/>
        </w:rPr>
        <w:t xml:space="preserve"> </w:t>
      </w:r>
      <w:r>
        <w:t>are</w:t>
      </w:r>
      <w:r>
        <w:rPr>
          <w:spacing w:val="-7"/>
        </w:rPr>
        <w:t xml:space="preserve"> </w:t>
      </w:r>
      <w:r>
        <w:t>conducted</w:t>
      </w:r>
      <w:r>
        <w:rPr>
          <w:spacing w:val="-9"/>
        </w:rPr>
        <w:t xml:space="preserve"> </w:t>
      </w:r>
      <w:r>
        <w:t>continuously,</w:t>
      </w:r>
      <w:r>
        <w:rPr>
          <w:spacing w:val="-6"/>
        </w:rPr>
        <w:t xml:space="preserve"> </w:t>
      </w:r>
      <w:r>
        <w:t>but</w:t>
      </w:r>
      <w:r>
        <w:rPr>
          <w:spacing w:val="-7"/>
        </w:rPr>
        <w:t xml:space="preserve"> </w:t>
      </w:r>
      <w:r>
        <w:t>the</w:t>
      </w:r>
      <w:r>
        <w:rPr>
          <w:spacing w:val="-8"/>
        </w:rPr>
        <w:t xml:space="preserve"> </w:t>
      </w:r>
      <w:r>
        <w:t>plan</w:t>
      </w:r>
      <w:r>
        <w:rPr>
          <w:spacing w:val="-7"/>
        </w:rPr>
        <w:t xml:space="preserve"> </w:t>
      </w:r>
      <w:r>
        <w:t>is</w:t>
      </w:r>
      <w:r>
        <w:rPr>
          <w:spacing w:val="-8"/>
        </w:rPr>
        <w:t xml:space="preserve"> </w:t>
      </w:r>
      <w:r>
        <w:t>to</w:t>
      </w:r>
      <w:r>
        <w:rPr>
          <w:spacing w:val="-7"/>
        </w:rPr>
        <w:t xml:space="preserve"> </w:t>
      </w:r>
      <w:r>
        <w:t>improve</w:t>
      </w:r>
      <w:r>
        <w:rPr>
          <w:spacing w:val="-58"/>
        </w:rPr>
        <w:t xml:space="preserve"> </w:t>
      </w:r>
      <w:r>
        <w:t>the training system for public procurement by developing new tools for acquiring theoretical</w:t>
      </w:r>
      <w:r>
        <w:rPr>
          <w:spacing w:val="1"/>
        </w:rPr>
        <w:t xml:space="preserve"> </w:t>
      </w:r>
      <w:r>
        <w:t>and practical knowledge, professional skills and competencies for professional, economical,</w:t>
      </w:r>
      <w:r>
        <w:rPr>
          <w:spacing w:val="1"/>
        </w:rPr>
        <w:t xml:space="preserve"> </w:t>
      </w:r>
      <w:r>
        <w:t>efficient and effective implementation of public procurement procedures at all levels. The</w:t>
      </w:r>
      <w:r>
        <w:rPr>
          <w:spacing w:val="1"/>
        </w:rPr>
        <w:t xml:space="preserve"> </w:t>
      </w:r>
      <w:r>
        <w:t>ProcurCompEU tool will be adapted to specific Croatian circumstances and integrated into the</w:t>
      </w:r>
      <w:r>
        <w:rPr>
          <w:spacing w:val="-58"/>
        </w:rPr>
        <w:t xml:space="preserve"> </w:t>
      </w:r>
      <w:r>
        <w:t>existing mandatory training and certification scheme for public procurement. Priority will be</w:t>
      </w:r>
      <w:r>
        <w:rPr>
          <w:spacing w:val="1"/>
        </w:rPr>
        <w:t xml:space="preserve"> </w:t>
      </w:r>
      <w:r>
        <w:t>given to training that has the greatest impact on achieving objectives, such as integrity and</w:t>
      </w:r>
      <w:r>
        <w:rPr>
          <w:spacing w:val="1"/>
        </w:rPr>
        <w:t xml:space="preserve"> </w:t>
      </w:r>
      <w:r>
        <w:t>transparency, proper planning of procedures, fair and open technical specifications, clear</w:t>
      </w:r>
      <w:r>
        <w:rPr>
          <w:spacing w:val="1"/>
        </w:rPr>
        <w:t xml:space="preserve"> </w:t>
      </w:r>
      <w:r>
        <w:t>selection and evaluation criteria, and management of contracts and associated modifications.</w:t>
      </w:r>
      <w:r>
        <w:rPr>
          <w:spacing w:val="1"/>
        </w:rPr>
        <w:t xml:space="preserve"> </w:t>
      </w:r>
      <w:r>
        <w:rPr>
          <w:b/>
        </w:rPr>
        <w:t>The legislative framework for public procurement will also be amended to establish a</w:t>
      </w:r>
      <w:r>
        <w:rPr>
          <w:b/>
          <w:spacing w:val="1"/>
        </w:rPr>
        <w:t xml:space="preserve"> </w:t>
      </w:r>
      <w:r>
        <w:rPr>
          <w:b/>
        </w:rPr>
        <w:t>curriculum</w:t>
      </w:r>
      <w:r>
        <w:rPr>
          <w:b/>
          <w:spacing w:val="-5"/>
        </w:rPr>
        <w:t xml:space="preserve"> </w:t>
      </w:r>
      <w:r>
        <w:rPr>
          <w:b/>
        </w:rPr>
        <w:t>for</w:t>
      </w:r>
      <w:r>
        <w:rPr>
          <w:b/>
          <w:spacing w:val="-1"/>
        </w:rPr>
        <w:t xml:space="preserve"> </w:t>
      </w:r>
      <w:r>
        <w:rPr>
          <w:b/>
        </w:rPr>
        <w:t>training</w:t>
      </w:r>
      <w:r>
        <w:rPr>
          <w:b/>
          <w:spacing w:val="-3"/>
        </w:rPr>
        <w:t xml:space="preserve"> </w:t>
      </w:r>
      <w:r>
        <w:rPr>
          <w:b/>
        </w:rPr>
        <w:t>programs.</w:t>
      </w:r>
    </w:p>
    <w:p w:rsidR="00A56FE9" w:rsidRDefault="00000000">
      <w:pPr>
        <w:pStyle w:val="Tijeloteksta"/>
        <w:spacing w:before="121"/>
        <w:ind w:right="273"/>
      </w:pPr>
      <w:r>
        <w:t>A</w:t>
      </w:r>
      <w:r>
        <w:rPr>
          <w:spacing w:val="1"/>
        </w:rPr>
        <w:t xml:space="preserve"> </w:t>
      </w:r>
      <w:r>
        <w:t>categorised</w:t>
      </w:r>
      <w:r>
        <w:rPr>
          <w:spacing w:val="1"/>
        </w:rPr>
        <w:t xml:space="preserve"> </w:t>
      </w:r>
      <w:r>
        <w:t>webpage</w:t>
      </w:r>
      <w:r>
        <w:rPr>
          <w:spacing w:val="1"/>
        </w:rPr>
        <w:t xml:space="preserve"> </w:t>
      </w:r>
      <w:r>
        <w:t>will</w:t>
      </w:r>
      <w:r>
        <w:rPr>
          <w:spacing w:val="1"/>
        </w:rPr>
        <w:t xml:space="preserve"> </w:t>
      </w:r>
      <w:r>
        <w:t>be</w:t>
      </w:r>
      <w:r>
        <w:rPr>
          <w:spacing w:val="1"/>
        </w:rPr>
        <w:t xml:space="preserve"> </w:t>
      </w:r>
      <w:r>
        <w:t>created</w:t>
      </w:r>
      <w:r>
        <w:rPr>
          <w:spacing w:val="1"/>
        </w:rPr>
        <w:t xml:space="preserve"> </w:t>
      </w:r>
      <w:r>
        <w:t>on</w:t>
      </w:r>
      <w:r>
        <w:rPr>
          <w:spacing w:val="1"/>
        </w:rPr>
        <w:t xml:space="preserve"> </w:t>
      </w:r>
      <w:r>
        <w:t>the</w:t>
      </w:r>
      <w:r>
        <w:rPr>
          <w:spacing w:val="1"/>
        </w:rPr>
        <w:t xml:space="preserve"> </w:t>
      </w:r>
      <w:r>
        <w:t>Portal</w:t>
      </w:r>
      <w:r>
        <w:rPr>
          <w:spacing w:val="1"/>
        </w:rPr>
        <w:t xml:space="preserve"> </w:t>
      </w:r>
      <w:r>
        <w:t>of</w:t>
      </w:r>
      <w:r>
        <w:rPr>
          <w:spacing w:val="1"/>
        </w:rPr>
        <w:t xml:space="preserve"> </w:t>
      </w:r>
      <w:r>
        <w:t>Public</w:t>
      </w:r>
      <w:r>
        <w:rPr>
          <w:spacing w:val="1"/>
        </w:rPr>
        <w:t xml:space="preserve"> </w:t>
      </w:r>
      <w:r>
        <w:t>Procurement</w:t>
      </w:r>
      <w:r>
        <w:rPr>
          <w:spacing w:val="1"/>
        </w:rPr>
        <w:t xml:space="preserve"> </w:t>
      </w:r>
      <w:r>
        <w:t>where</w:t>
      </w:r>
      <w:r>
        <w:rPr>
          <w:spacing w:val="1"/>
        </w:rPr>
        <w:t xml:space="preserve"> </w:t>
      </w:r>
      <w:r>
        <w:t>ProcurCompEU tools will be available and free for use for all stakeholders in the public</w:t>
      </w:r>
      <w:r>
        <w:rPr>
          <w:spacing w:val="1"/>
        </w:rPr>
        <w:t xml:space="preserve"> </w:t>
      </w:r>
      <w:r>
        <w:t>procurement system, and the competent state administration body for public procurement</w:t>
      </w:r>
      <w:r>
        <w:rPr>
          <w:spacing w:val="1"/>
        </w:rPr>
        <w:t xml:space="preserve"> </w:t>
      </w:r>
      <w:r>
        <w:t>policy</w:t>
      </w:r>
      <w:r>
        <w:rPr>
          <w:spacing w:val="-6"/>
        </w:rPr>
        <w:t xml:space="preserve"> </w:t>
      </w:r>
      <w:r>
        <w:t>will support its implementation in practice</w:t>
      </w:r>
      <w:r>
        <w:rPr>
          <w:spacing w:val="1"/>
        </w:rPr>
        <w:t xml:space="preserve"> </w:t>
      </w:r>
      <w:r>
        <w:t>and supervision.</w:t>
      </w:r>
    </w:p>
    <w:p w:rsidR="00A56FE9" w:rsidRDefault="00CC1B9B">
      <w:pPr>
        <w:spacing w:before="120" w:line="242" w:lineRule="auto"/>
        <w:ind w:left="138" w:right="277"/>
        <w:jc w:val="both"/>
        <w:rPr>
          <w:b/>
          <w:sz w:val="24"/>
        </w:rPr>
      </w:pPr>
      <w:r>
        <w:rPr>
          <w:noProof/>
        </w:rPr>
        <mc:AlternateContent>
          <mc:Choice Requires="wps">
            <w:drawing>
              <wp:anchor distT="0" distB="0" distL="114300" distR="114300" simplePos="0" relativeHeight="15777792" behindDoc="0" locked="0" layoutInCell="1" allowOverlap="1">
                <wp:simplePos x="0" y="0"/>
                <wp:positionH relativeFrom="page">
                  <wp:posOffset>814070</wp:posOffset>
                </wp:positionH>
                <wp:positionV relativeFrom="paragraph">
                  <wp:posOffset>681990</wp:posOffset>
                </wp:positionV>
                <wp:extent cx="18415" cy="608965"/>
                <wp:effectExtent l="0" t="0" r="0" b="0"/>
                <wp:wrapNone/>
                <wp:docPr id="681909377" name="Freeform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965"/>
                        </a:xfrm>
                        <a:custGeom>
                          <a:avLst/>
                          <a:gdLst>
                            <a:gd name="T0" fmla="+- 0 1311 1282"/>
                            <a:gd name="T1" fmla="*/ T0 w 29"/>
                            <a:gd name="T2" fmla="+- 0 1074 1074"/>
                            <a:gd name="T3" fmla="*/ 1074 h 959"/>
                            <a:gd name="T4" fmla="+- 0 1282 1282"/>
                            <a:gd name="T5" fmla="*/ T4 w 29"/>
                            <a:gd name="T6" fmla="+- 0 1074 1074"/>
                            <a:gd name="T7" fmla="*/ 1074 h 959"/>
                            <a:gd name="T8" fmla="+- 0 1282 1282"/>
                            <a:gd name="T9" fmla="*/ T8 w 29"/>
                            <a:gd name="T10" fmla="+- 0 1614 1074"/>
                            <a:gd name="T11" fmla="*/ 1614 h 959"/>
                            <a:gd name="T12" fmla="+- 0 1282 1282"/>
                            <a:gd name="T13" fmla="*/ T12 w 29"/>
                            <a:gd name="T14" fmla="+- 0 2032 1074"/>
                            <a:gd name="T15" fmla="*/ 2032 h 959"/>
                            <a:gd name="T16" fmla="+- 0 1311 1282"/>
                            <a:gd name="T17" fmla="*/ T16 w 29"/>
                            <a:gd name="T18" fmla="+- 0 2032 1074"/>
                            <a:gd name="T19" fmla="*/ 2032 h 959"/>
                            <a:gd name="T20" fmla="+- 0 1311 1282"/>
                            <a:gd name="T21" fmla="*/ T20 w 29"/>
                            <a:gd name="T22" fmla="+- 0 1614 1074"/>
                            <a:gd name="T23" fmla="*/ 1614 h 959"/>
                            <a:gd name="T24" fmla="+- 0 1311 1282"/>
                            <a:gd name="T25" fmla="*/ T24 w 29"/>
                            <a:gd name="T26" fmla="+- 0 1074 1074"/>
                            <a:gd name="T27" fmla="*/ 1074 h 959"/>
                          </a:gdLst>
                          <a:ahLst/>
                          <a:cxnLst>
                            <a:cxn ang="0">
                              <a:pos x="T1" y="T3"/>
                            </a:cxn>
                            <a:cxn ang="0">
                              <a:pos x="T5" y="T7"/>
                            </a:cxn>
                            <a:cxn ang="0">
                              <a:pos x="T9" y="T11"/>
                            </a:cxn>
                            <a:cxn ang="0">
                              <a:pos x="T13" y="T15"/>
                            </a:cxn>
                            <a:cxn ang="0">
                              <a:pos x="T17" y="T19"/>
                            </a:cxn>
                            <a:cxn ang="0">
                              <a:pos x="T21" y="T23"/>
                            </a:cxn>
                            <a:cxn ang="0">
                              <a:pos x="T25" y="T27"/>
                            </a:cxn>
                          </a:cxnLst>
                          <a:rect l="0" t="0" r="r" b="b"/>
                          <a:pathLst>
                            <a:path w="29" h="959">
                              <a:moveTo>
                                <a:pt x="29" y="0"/>
                              </a:moveTo>
                              <a:lnTo>
                                <a:pt x="0" y="0"/>
                              </a:lnTo>
                              <a:lnTo>
                                <a:pt x="0" y="540"/>
                              </a:lnTo>
                              <a:lnTo>
                                <a:pt x="0" y="958"/>
                              </a:lnTo>
                              <a:lnTo>
                                <a:pt x="29" y="958"/>
                              </a:lnTo>
                              <a:lnTo>
                                <a:pt x="29" y="540"/>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3A4CC" id="Freeform 198" o:spid="_x0000_s1026" style="position:absolute;margin-left:64.1pt;margin-top:53.7pt;width:1.45pt;height:47.95pt;z-index:15777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" path="m29,l,,,540,,958r29,l29,540,29,xe" fillcolor="#da1f2c" stroked="f">
                <v:path arrowok="t" o:connecttype="custom" o:connectlocs="18415,681990;0,681990;0,1024890;0,1290320;18415,1290320;18415,1024890;18415,681990" o:connectangles="0,0,0,0,0,0,0"/>
                <w10:wrap anchorx="page"/>
              </v:shape>
            </w:pict>
          </mc:Fallback>
        </mc:AlternateContent>
      </w:r>
      <w:r w:rsidR="00000000">
        <w:rPr>
          <w:sz w:val="24"/>
        </w:rPr>
        <w:t xml:space="preserve">In addition, in 2022, </w:t>
      </w:r>
      <w:r w:rsidR="00000000">
        <w:rPr>
          <w:b/>
          <w:sz w:val="24"/>
        </w:rPr>
        <w:t>guidelines for small and medium-sized enterprises will be published</w:t>
      </w:r>
      <w:r w:rsidR="00000000">
        <w:rPr>
          <w:b/>
          <w:spacing w:val="1"/>
          <w:sz w:val="24"/>
        </w:rPr>
        <w:t xml:space="preserve"> </w:t>
      </w:r>
      <w:r w:rsidR="00000000">
        <w:rPr>
          <w:b/>
          <w:sz w:val="24"/>
        </w:rPr>
        <w:t xml:space="preserve">and also on the </w:t>
      </w:r>
      <w:r w:rsidR="00000000">
        <w:rPr>
          <w:sz w:val="24"/>
        </w:rPr>
        <w:t>Portal of Public Procurement</w:t>
      </w:r>
      <w:r w:rsidR="00000000">
        <w:rPr>
          <w:b/>
          <w:sz w:val="24"/>
        </w:rPr>
        <w:t>, which aims to increase transparency and</w:t>
      </w:r>
      <w:r w:rsidR="00000000">
        <w:rPr>
          <w:b/>
          <w:spacing w:val="1"/>
          <w:sz w:val="24"/>
        </w:rPr>
        <w:t xml:space="preserve"> </w:t>
      </w:r>
      <w:r w:rsidR="00000000">
        <w:rPr>
          <w:b/>
          <w:sz w:val="24"/>
        </w:rPr>
        <w:t>competition in</w:t>
      </w:r>
      <w:r w:rsidR="00000000">
        <w:rPr>
          <w:b/>
          <w:spacing w:val="1"/>
          <w:sz w:val="24"/>
        </w:rPr>
        <w:t xml:space="preserve"> </w:t>
      </w:r>
      <w:r w:rsidR="00000000">
        <w:rPr>
          <w:b/>
          <w:sz w:val="24"/>
        </w:rPr>
        <w:t>procurement procedures.</w:t>
      </w:r>
    </w:p>
    <w:p w:rsidR="00A56FE9" w:rsidRDefault="00A56FE9">
      <w:pPr>
        <w:pStyle w:val="Tijeloteksta"/>
        <w:spacing w:before="3"/>
        <w:ind w:left="0"/>
        <w:jc w:val="left"/>
        <w:rPr>
          <w:b/>
          <w:sz w:val="31"/>
        </w:rPr>
      </w:pPr>
    </w:p>
    <w:p w:rsidR="00A56FE9" w:rsidRDefault="00000000">
      <w:pPr>
        <w:pStyle w:val="Naslov4"/>
        <w:ind w:right="281"/>
      </w:pPr>
      <w:r>
        <w:rPr>
          <w:color w:val="2C398A"/>
        </w:rPr>
        <w:t>Analysis</w:t>
      </w:r>
      <w:r>
        <w:rPr>
          <w:color w:val="2C398A"/>
          <w:spacing w:val="-16"/>
        </w:rPr>
        <w:t xml:space="preserve"> </w:t>
      </w:r>
      <w:r>
        <w:rPr>
          <w:color w:val="2C398A"/>
        </w:rPr>
        <w:t>of</w:t>
      </w:r>
      <w:r>
        <w:rPr>
          <w:color w:val="2C398A"/>
          <w:spacing w:val="-16"/>
        </w:rPr>
        <w:t xml:space="preserve"> </w:t>
      </w:r>
      <w:r>
        <w:rPr>
          <w:color w:val="2C398A"/>
        </w:rPr>
        <w:t>the</w:t>
      </w:r>
      <w:r>
        <w:rPr>
          <w:color w:val="2C398A"/>
          <w:spacing w:val="-16"/>
        </w:rPr>
        <w:t xml:space="preserve"> </w:t>
      </w:r>
      <w:r>
        <w:rPr>
          <w:color w:val="2C398A"/>
        </w:rPr>
        <w:t>workload</w:t>
      </w:r>
      <w:r>
        <w:rPr>
          <w:color w:val="2C398A"/>
          <w:spacing w:val="-16"/>
        </w:rPr>
        <w:t xml:space="preserve"> </w:t>
      </w:r>
      <w:r>
        <w:rPr>
          <w:color w:val="2C398A"/>
        </w:rPr>
        <w:t>of</w:t>
      </w:r>
      <w:r>
        <w:rPr>
          <w:color w:val="2C398A"/>
          <w:spacing w:val="-16"/>
        </w:rPr>
        <w:t xml:space="preserve"> </w:t>
      </w:r>
      <w:r>
        <w:rPr>
          <w:color w:val="2C398A"/>
        </w:rPr>
        <w:t>employees</w:t>
      </w:r>
      <w:r>
        <w:rPr>
          <w:color w:val="2C398A"/>
          <w:spacing w:val="-16"/>
        </w:rPr>
        <w:t xml:space="preserve"> </w:t>
      </w:r>
      <w:r>
        <w:rPr>
          <w:color w:val="2C398A"/>
        </w:rPr>
        <w:t>of</w:t>
      </w:r>
      <w:r>
        <w:rPr>
          <w:color w:val="2C398A"/>
          <w:spacing w:val="-16"/>
        </w:rPr>
        <w:t xml:space="preserve"> </w:t>
      </w:r>
      <w:r>
        <w:rPr>
          <w:color w:val="2C398A"/>
        </w:rPr>
        <w:t>key</w:t>
      </w:r>
      <w:r>
        <w:rPr>
          <w:color w:val="2C398A"/>
          <w:spacing w:val="-14"/>
        </w:rPr>
        <w:t xml:space="preserve"> </w:t>
      </w:r>
      <w:r>
        <w:rPr>
          <w:color w:val="2C398A"/>
        </w:rPr>
        <w:t>institutions</w:t>
      </w:r>
      <w:r>
        <w:rPr>
          <w:color w:val="2C398A"/>
          <w:spacing w:val="-16"/>
        </w:rPr>
        <w:t xml:space="preserve"> </w:t>
      </w:r>
      <w:r>
        <w:rPr>
          <w:color w:val="2C398A"/>
        </w:rPr>
        <w:t>in</w:t>
      </w:r>
      <w:r>
        <w:rPr>
          <w:color w:val="2C398A"/>
          <w:spacing w:val="-15"/>
        </w:rPr>
        <w:t xml:space="preserve"> </w:t>
      </w:r>
      <w:r>
        <w:rPr>
          <w:color w:val="2C398A"/>
        </w:rPr>
        <w:t>the</w:t>
      </w:r>
      <w:r>
        <w:rPr>
          <w:color w:val="2C398A"/>
          <w:spacing w:val="-16"/>
        </w:rPr>
        <w:t xml:space="preserve"> </w:t>
      </w:r>
      <w:r>
        <w:rPr>
          <w:color w:val="2C398A"/>
        </w:rPr>
        <w:t>public</w:t>
      </w:r>
      <w:r>
        <w:rPr>
          <w:color w:val="2C398A"/>
          <w:spacing w:val="-16"/>
        </w:rPr>
        <w:t xml:space="preserve"> </w:t>
      </w:r>
      <w:r>
        <w:rPr>
          <w:color w:val="2C398A"/>
        </w:rPr>
        <w:t>procurement</w:t>
      </w:r>
      <w:r>
        <w:rPr>
          <w:color w:val="2C398A"/>
          <w:spacing w:val="-63"/>
        </w:rPr>
        <w:t xml:space="preserve"> </w:t>
      </w:r>
      <w:r>
        <w:rPr>
          <w:color w:val="2C398A"/>
        </w:rPr>
        <w:t>system</w:t>
      </w:r>
    </w:p>
    <w:p w:rsidR="00A56FE9" w:rsidRDefault="00000000">
      <w:pPr>
        <w:spacing w:before="232"/>
        <w:ind w:left="138" w:right="276"/>
        <w:jc w:val="both"/>
        <w:rPr>
          <w:i/>
          <w:sz w:val="24"/>
        </w:rPr>
      </w:pPr>
      <w:r>
        <w:rPr>
          <w:i/>
          <w:color w:val="2C398A"/>
          <w:sz w:val="24"/>
        </w:rPr>
        <w:t>2019.CSR3.2. Increase the administration’s capacity to design and implement public projects</w:t>
      </w:r>
      <w:r>
        <w:rPr>
          <w:i/>
          <w:color w:val="2C398A"/>
          <w:spacing w:val="1"/>
          <w:sz w:val="24"/>
        </w:rPr>
        <w:t xml:space="preserve"> </w:t>
      </w:r>
      <w:r>
        <w:rPr>
          <w:i/>
          <w:color w:val="2C398A"/>
          <w:sz w:val="24"/>
        </w:rPr>
        <w:t>and policies; 2020.CSR2.3. Promote the acquisition of skills; 2020.CSR4.1. Reinforce the</w:t>
      </w:r>
      <w:r>
        <w:rPr>
          <w:i/>
          <w:color w:val="2C398A"/>
          <w:spacing w:val="1"/>
          <w:sz w:val="24"/>
        </w:rPr>
        <w:t xml:space="preserve"> </w:t>
      </w:r>
      <w:r>
        <w:rPr>
          <w:i/>
          <w:color w:val="2C398A"/>
          <w:sz w:val="24"/>
        </w:rPr>
        <w:t>capacity and efficiency of the public administration to design and implement public projects</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policies at central and local levels</w:t>
      </w:r>
    </w:p>
    <w:p w:rsidR="00A56FE9" w:rsidRDefault="00A56FE9">
      <w:pPr>
        <w:pStyle w:val="Tijeloteksta"/>
        <w:spacing w:before="4"/>
        <w:ind w:left="0"/>
        <w:jc w:val="left"/>
        <w:rPr>
          <w:i/>
          <w:sz w:val="21"/>
        </w:rPr>
      </w:pPr>
    </w:p>
    <w:p w:rsidR="00A56FE9" w:rsidRDefault="00000000">
      <w:pPr>
        <w:pStyle w:val="Naslov5"/>
      </w:pPr>
      <w:r>
        <w:t>Progress</w:t>
      </w:r>
      <w:r>
        <w:rPr>
          <w:spacing w:val="-3"/>
        </w:rPr>
        <w:t xml:space="preserve"> </w:t>
      </w:r>
      <w:r>
        <w:t>in</w:t>
      </w:r>
      <w:r>
        <w:rPr>
          <w:spacing w:val="-1"/>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430612569"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791635853" name="Rectangle 197"/>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C9CB6E7" id="Group 196"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">
                <v:rect id="Rectangle 197"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" fillcolor="#2c398a" stroked="f"/>
                <w10:anchorlock/>
              </v:group>
            </w:pict>
          </mc:Fallback>
        </mc:AlternateContent>
      </w:r>
    </w:p>
    <w:p w:rsidR="00A56FE9" w:rsidRDefault="00000000">
      <w:pPr>
        <w:pStyle w:val="Tijeloteksta"/>
        <w:spacing w:before="154"/>
        <w:ind w:right="276"/>
      </w:pPr>
      <w:r>
        <w:t>Analysis of Work Loads of Employees in Key Institutions within the Public Procurement</w:t>
      </w:r>
      <w:r>
        <w:rPr>
          <w:spacing w:val="1"/>
        </w:rPr>
        <w:t xml:space="preserve"> </w:t>
      </w:r>
      <w:r>
        <w:t>System (Ministry of Economy and Sustainable Development - MESD, Central Finance and</w:t>
      </w:r>
      <w:r>
        <w:rPr>
          <w:spacing w:val="1"/>
        </w:rPr>
        <w:t xml:space="preserve"> </w:t>
      </w:r>
      <w:r>
        <w:t>Contracting</w:t>
      </w:r>
      <w:r>
        <w:rPr>
          <w:spacing w:val="-9"/>
        </w:rPr>
        <w:t xml:space="preserve"> </w:t>
      </w:r>
      <w:r>
        <w:t>Agency</w:t>
      </w:r>
      <w:r>
        <w:rPr>
          <w:spacing w:val="-12"/>
        </w:rPr>
        <w:t xml:space="preserve"> </w:t>
      </w:r>
      <w:r>
        <w:t>–</w:t>
      </w:r>
      <w:r>
        <w:rPr>
          <w:spacing w:val="-6"/>
        </w:rPr>
        <w:t xml:space="preserve"> </w:t>
      </w:r>
      <w:r>
        <w:t>CFCA/SAFU,</w:t>
      </w:r>
      <w:r>
        <w:rPr>
          <w:spacing w:val="-7"/>
        </w:rPr>
        <w:t xml:space="preserve"> </w:t>
      </w:r>
      <w:r>
        <w:t>State</w:t>
      </w:r>
      <w:r>
        <w:rPr>
          <w:spacing w:val="-7"/>
        </w:rPr>
        <w:t xml:space="preserve"> </w:t>
      </w:r>
      <w:r>
        <w:t>Commission</w:t>
      </w:r>
      <w:r>
        <w:rPr>
          <w:spacing w:val="-6"/>
        </w:rPr>
        <w:t xml:space="preserve"> </w:t>
      </w:r>
      <w:r>
        <w:t>for</w:t>
      </w:r>
      <w:r>
        <w:rPr>
          <w:spacing w:val="-6"/>
        </w:rPr>
        <w:t xml:space="preserve"> </w:t>
      </w:r>
      <w:r>
        <w:t>Supervision</w:t>
      </w:r>
      <w:r>
        <w:rPr>
          <w:spacing w:val="-6"/>
        </w:rPr>
        <w:t xml:space="preserve"> </w:t>
      </w:r>
      <w:r>
        <w:t>of</w:t>
      </w:r>
      <w:r>
        <w:rPr>
          <w:spacing w:val="-9"/>
        </w:rPr>
        <w:t xml:space="preserve"> </w:t>
      </w:r>
      <w:r>
        <w:t>Public</w:t>
      </w:r>
      <w:r>
        <w:rPr>
          <w:spacing w:val="-7"/>
        </w:rPr>
        <w:t xml:space="preserve"> </w:t>
      </w:r>
      <w:r>
        <w:t>Procurement</w:t>
      </w:r>
      <w:r>
        <w:rPr>
          <w:spacing w:val="-57"/>
        </w:rPr>
        <w:t xml:space="preserve"> </w:t>
      </w:r>
      <w:r>
        <w:t>Procedures – SCSPPP/DKOM), along with an analysis of jobs which official undertake, is the</w:t>
      </w:r>
      <w:r>
        <w:rPr>
          <w:spacing w:val="-57"/>
        </w:rPr>
        <w:t xml:space="preserve"> </w:t>
      </w:r>
      <w:r>
        <w:t>basis for planning necessary personnel and their qualifications in order for institutions to</w:t>
      </w:r>
      <w:r>
        <w:rPr>
          <w:spacing w:val="1"/>
        </w:rPr>
        <w:t xml:space="preserve"> </w:t>
      </w:r>
      <w:r>
        <w:t>promptly prepare to assist the system in implementing public procurement procedures for the</w:t>
      </w:r>
      <w:r>
        <w:rPr>
          <w:spacing w:val="1"/>
        </w:rPr>
        <w:t xml:space="preserve"> </w:t>
      </w:r>
      <w:r>
        <w:t>Multi-Year</w:t>
      </w:r>
      <w:r>
        <w:rPr>
          <w:spacing w:val="1"/>
        </w:rPr>
        <w:t xml:space="preserve"> </w:t>
      </w:r>
      <w:r>
        <w:t>Financial</w:t>
      </w:r>
      <w:r>
        <w:rPr>
          <w:spacing w:val="1"/>
        </w:rPr>
        <w:t xml:space="preserve"> </w:t>
      </w:r>
      <w:r>
        <w:t>Framework</w:t>
      </w:r>
      <w:r>
        <w:rPr>
          <w:spacing w:val="1"/>
        </w:rPr>
        <w:t xml:space="preserve"> </w:t>
      </w:r>
      <w:r>
        <w:t>for</w:t>
      </w:r>
      <w:r>
        <w:rPr>
          <w:spacing w:val="1"/>
        </w:rPr>
        <w:t xml:space="preserve"> </w:t>
      </w:r>
      <w:r>
        <w:t>the</w:t>
      </w:r>
      <w:r>
        <w:rPr>
          <w:spacing w:val="1"/>
        </w:rPr>
        <w:t xml:space="preserve"> </w:t>
      </w:r>
      <w:r>
        <w:t>2021-2027</w:t>
      </w:r>
      <w:r>
        <w:rPr>
          <w:spacing w:val="1"/>
        </w:rPr>
        <w:t xml:space="preserve"> </w:t>
      </w:r>
      <w:r>
        <w:t>Budgetary</w:t>
      </w:r>
      <w:r>
        <w:rPr>
          <w:spacing w:val="1"/>
        </w:rPr>
        <w:t xml:space="preserve"> </w:t>
      </w:r>
      <w:r>
        <w:t>Period,</w:t>
      </w:r>
      <w:r>
        <w:rPr>
          <w:spacing w:val="1"/>
        </w:rPr>
        <w:t xml:space="preserve"> </w:t>
      </w:r>
      <w:r>
        <w:t>as</w:t>
      </w:r>
      <w:r>
        <w:rPr>
          <w:spacing w:val="1"/>
        </w:rPr>
        <w:t xml:space="preserve"> </w:t>
      </w:r>
      <w:r>
        <w:t>well</w:t>
      </w:r>
      <w:r>
        <w:rPr>
          <w:spacing w:val="1"/>
        </w:rPr>
        <w:t xml:space="preserve"> </w:t>
      </w:r>
      <w:r>
        <w:t>as</w:t>
      </w:r>
      <w:r>
        <w:rPr>
          <w:spacing w:val="1"/>
        </w:rPr>
        <w:t xml:space="preserve"> </w:t>
      </w:r>
      <w:r>
        <w:t>implementation of the National Recovery and Resilience Program (NRRP). An insufficiency</w:t>
      </w:r>
      <w:r>
        <w:rPr>
          <w:spacing w:val="1"/>
        </w:rPr>
        <w:t xml:space="preserve"> </w:t>
      </w:r>
      <w:r>
        <w:t>in</w:t>
      </w:r>
      <w:r>
        <w:rPr>
          <w:spacing w:val="-1"/>
        </w:rPr>
        <w:t xml:space="preserve"> </w:t>
      </w:r>
      <w:r>
        <w:t>this aspect is the challenge</w:t>
      </w:r>
      <w:r>
        <w:rPr>
          <w:spacing w:val="-1"/>
        </w:rPr>
        <w:t xml:space="preserve"> </w:t>
      </w:r>
      <w:r>
        <w:t>for</w:t>
      </w:r>
      <w:r>
        <w:rPr>
          <w:spacing w:val="-1"/>
        </w:rPr>
        <w:t xml:space="preserve"> </w:t>
      </w:r>
      <w:r>
        <w:t>quality</w:t>
      </w:r>
      <w:r>
        <w:rPr>
          <w:spacing w:val="-5"/>
        </w:rPr>
        <w:t xml:space="preserve"> </w:t>
      </w:r>
      <w:r>
        <w:t>planning for</w:t>
      </w:r>
      <w:r>
        <w:rPr>
          <w:spacing w:val="-2"/>
        </w:rPr>
        <w:t xml:space="preserve"> </w:t>
      </w:r>
      <w:r>
        <w:t>the necessary</w:t>
      </w:r>
      <w:r>
        <w:rPr>
          <w:spacing w:val="-3"/>
        </w:rPr>
        <w:t xml:space="preserve"> </w:t>
      </w:r>
      <w:r>
        <w:t>personnel.</w:t>
      </w:r>
    </w:p>
    <w:p w:rsidR="00A56FE9" w:rsidRDefault="00A56FE9">
      <w:pPr>
        <w:pStyle w:val="Tijeloteksta"/>
        <w:spacing w:before="4"/>
        <w:ind w:left="0"/>
        <w:jc w:val="left"/>
        <w:rPr>
          <w:sz w:val="21"/>
        </w:rPr>
      </w:pPr>
    </w:p>
    <w:p w:rsidR="00A56FE9" w:rsidRDefault="00000000">
      <w:pPr>
        <w:pStyle w:val="Naslov5"/>
        <w:spacing w:after="23"/>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557899475"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606821925" name="Rectangle 195"/>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15B7C1C" id="Group 194"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Jg//tBQAgAADwUAAA4AAAAAAAAAAAAAAAAALgIAAGRycy9lMm9Eb2MueG1sUEsBAi0AFAAGAAgA&#10;AAAhAOjoSp3cAAAAAwEAAA8AAAAAAAAAAAAAAAAAqgQAAGRycy9kb3ducmV2LnhtbFBLBQYAAAAA&#10;BAAEAPMAAACzBQAAAAA=&#10;">
                <v:rect id="Rectangle 195"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" fillcolor="#2c398a" stroked="f"/>
                <w10:anchorlock/>
              </v:group>
            </w:pict>
          </mc:Fallback>
        </mc:AlternateContent>
      </w:r>
    </w:p>
    <w:p w:rsidR="00A56FE9" w:rsidRDefault="00000000">
      <w:pPr>
        <w:spacing w:before="161" w:line="237" w:lineRule="auto"/>
        <w:ind w:left="138" w:right="274"/>
        <w:jc w:val="both"/>
        <w:rPr>
          <w:sz w:val="24"/>
        </w:rPr>
      </w:pPr>
      <w:r>
        <w:rPr>
          <w:b/>
          <w:sz w:val="24"/>
        </w:rPr>
        <w:t>A comprehensive analysis of the workload of employees at key institutions in the public</w:t>
      </w:r>
      <w:r>
        <w:rPr>
          <w:b/>
          <w:spacing w:val="1"/>
          <w:sz w:val="24"/>
        </w:rPr>
        <w:t xml:space="preserve"> </w:t>
      </w:r>
      <w:r>
        <w:rPr>
          <w:b/>
          <w:sz w:val="24"/>
        </w:rPr>
        <w:t>procurement</w:t>
      </w:r>
      <w:r>
        <w:rPr>
          <w:b/>
          <w:spacing w:val="1"/>
          <w:sz w:val="24"/>
        </w:rPr>
        <w:t xml:space="preserve"> </w:t>
      </w:r>
      <w:r>
        <w:rPr>
          <w:b/>
          <w:sz w:val="24"/>
        </w:rPr>
        <w:t>system</w:t>
      </w:r>
      <w:r>
        <w:rPr>
          <w:b/>
          <w:spacing w:val="1"/>
          <w:sz w:val="24"/>
        </w:rPr>
        <w:t xml:space="preserve"> </w:t>
      </w:r>
      <w:r>
        <w:rPr>
          <w:b/>
          <w:sz w:val="24"/>
        </w:rPr>
        <w:t>involved</w:t>
      </w:r>
      <w:r>
        <w:rPr>
          <w:b/>
          <w:spacing w:val="1"/>
          <w:sz w:val="24"/>
        </w:rPr>
        <w:t xml:space="preserve"> </w:t>
      </w:r>
      <w:r>
        <w:rPr>
          <w:b/>
          <w:sz w:val="24"/>
        </w:rPr>
        <w:t>in</w:t>
      </w:r>
      <w:r>
        <w:rPr>
          <w:b/>
          <w:spacing w:val="1"/>
          <w:sz w:val="24"/>
        </w:rPr>
        <w:t xml:space="preserve"> </w:t>
      </w:r>
      <w:r>
        <w:rPr>
          <w:b/>
          <w:sz w:val="24"/>
        </w:rPr>
        <w:t>EU</w:t>
      </w:r>
      <w:r>
        <w:rPr>
          <w:b/>
          <w:spacing w:val="1"/>
          <w:sz w:val="24"/>
        </w:rPr>
        <w:t xml:space="preserve"> </w:t>
      </w:r>
      <w:r>
        <w:rPr>
          <w:b/>
          <w:sz w:val="24"/>
        </w:rPr>
        <w:t>funds</w:t>
      </w:r>
      <w:r>
        <w:rPr>
          <w:b/>
          <w:spacing w:val="1"/>
          <w:sz w:val="24"/>
        </w:rPr>
        <w:t xml:space="preserve"> </w:t>
      </w:r>
      <w:r>
        <w:rPr>
          <w:b/>
          <w:sz w:val="24"/>
        </w:rPr>
        <w:t>will</w:t>
      </w:r>
      <w:r>
        <w:rPr>
          <w:b/>
          <w:spacing w:val="1"/>
          <w:sz w:val="24"/>
        </w:rPr>
        <w:t xml:space="preserve"> </w:t>
      </w:r>
      <w:r>
        <w:rPr>
          <w:b/>
          <w:sz w:val="24"/>
        </w:rPr>
        <w:t>be</w:t>
      </w:r>
      <w:r>
        <w:rPr>
          <w:b/>
          <w:spacing w:val="1"/>
          <w:sz w:val="24"/>
        </w:rPr>
        <w:t xml:space="preserve"> </w:t>
      </w:r>
      <w:r>
        <w:rPr>
          <w:b/>
          <w:sz w:val="24"/>
        </w:rPr>
        <w:t>commenced</w:t>
      </w:r>
      <w:r>
        <w:rPr>
          <w:sz w:val="24"/>
        </w:rPr>
        <w:t>,</w:t>
      </w:r>
      <w:r>
        <w:rPr>
          <w:spacing w:val="1"/>
          <w:sz w:val="24"/>
        </w:rPr>
        <w:t xml:space="preserve"> </w:t>
      </w:r>
      <w:r>
        <w:rPr>
          <w:sz w:val="24"/>
        </w:rPr>
        <w:t>as</w:t>
      </w:r>
      <w:r>
        <w:rPr>
          <w:spacing w:val="1"/>
          <w:sz w:val="24"/>
        </w:rPr>
        <w:t xml:space="preserve"> </w:t>
      </w:r>
      <w:r>
        <w:rPr>
          <w:sz w:val="24"/>
        </w:rPr>
        <w:t>well</w:t>
      </w:r>
      <w:r>
        <w:rPr>
          <w:spacing w:val="1"/>
          <w:sz w:val="24"/>
        </w:rPr>
        <w:t xml:space="preserve"> </w:t>
      </w:r>
      <w:r>
        <w:rPr>
          <w:sz w:val="24"/>
        </w:rPr>
        <w:t>as</w:t>
      </w:r>
      <w:r>
        <w:rPr>
          <w:spacing w:val="1"/>
          <w:sz w:val="24"/>
        </w:rPr>
        <w:t xml:space="preserve"> </w:t>
      </w:r>
      <w:r>
        <w:rPr>
          <w:sz w:val="24"/>
        </w:rPr>
        <w:t>defining</w:t>
      </w:r>
      <w:r>
        <w:rPr>
          <w:spacing w:val="1"/>
          <w:sz w:val="24"/>
        </w:rPr>
        <w:t xml:space="preserve"> </w:t>
      </w:r>
      <w:r>
        <w:rPr>
          <w:sz w:val="24"/>
        </w:rPr>
        <w:t>descriptions</w:t>
      </w:r>
      <w:r>
        <w:rPr>
          <w:spacing w:val="1"/>
          <w:sz w:val="24"/>
        </w:rPr>
        <w:t xml:space="preserve"> </w:t>
      </w:r>
      <w:r>
        <w:rPr>
          <w:sz w:val="24"/>
        </w:rPr>
        <w:t>of</w:t>
      </w:r>
      <w:r>
        <w:rPr>
          <w:spacing w:val="1"/>
          <w:sz w:val="24"/>
        </w:rPr>
        <w:t xml:space="preserve"> </w:t>
      </w:r>
      <w:r>
        <w:rPr>
          <w:sz w:val="24"/>
        </w:rPr>
        <w:t>jobs</w:t>
      </w:r>
      <w:r>
        <w:rPr>
          <w:spacing w:val="1"/>
          <w:sz w:val="24"/>
        </w:rPr>
        <w:t xml:space="preserve"> </w:t>
      </w:r>
      <w:r>
        <w:rPr>
          <w:sz w:val="24"/>
        </w:rPr>
        <w:t>they</w:t>
      </w:r>
      <w:r>
        <w:rPr>
          <w:spacing w:val="1"/>
          <w:sz w:val="24"/>
        </w:rPr>
        <w:t xml:space="preserve"> </w:t>
      </w:r>
      <w:r>
        <w:rPr>
          <w:sz w:val="24"/>
        </w:rPr>
        <w:t>perform</w:t>
      </w:r>
      <w:r>
        <w:rPr>
          <w:spacing w:val="1"/>
          <w:sz w:val="24"/>
        </w:rPr>
        <w:t xml:space="preserve"> </w:t>
      </w:r>
      <w:r>
        <w:rPr>
          <w:sz w:val="24"/>
        </w:rPr>
        <w:t>and</w:t>
      </w:r>
      <w:r>
        <w:rPr>
          <w:spacing w:val="1"/>
          <w:sz w:val="24"/>
        </w:rPr>
        <w:t xml:space="preserve"> </w:t>
      </w:r>
      <w:r>
        <w:rPr>
          <w:sz w:val="24"/>
        </w:rPr>
        <w:t>also</w:t>
      </w:r>
      <w:r>
        <w:rPr>
          <w:spacing w:val="1"/>
          <w:sz w:val="24"/>
        </w:rPr>
        <w:t xml:space="preserve"> </w:t>
      </w:r>
      <w:r>
        <w:rPr>
          <w:sz w:val="24"/>
        </w:rPr>
        <w:t>defining</w:t>
      </w:r>
      <w:r>
        <w:rPr>
          <w:spacing w:val="1"/>
          <w:sz w:val="24"/>
        </w:rPr>
        <w:t xml:space="preserve"> </w:t>
      </w:r>
      <w:r>
        <w:rPr>
          <w:sz w:val="24"/>
        </w:rPr>
        <w:t>the</w:t>
      </w:r>
      <w:r>
        <w:rPr>
          <w:spacing w:val="1"/>
          <w:sz w:val="24"/>
        </w:rPr>
        <w:t xml:space="preserve"> </w:t>
      </w:r>
      <w:r>
        <w:rPr>
          <w:sz w:val="24"/>
        </w:rPr>
        <w:t>necessary</w:t>
      </w:r>
      <w:r>
        <w:rPr>
          <w:spacing w:val="1"/>
          <w:sz w:val="24"/>
        </w:rPr>
        <w:t xml:space="preserve"> </w:t>
      </w:r>
      <w:r>
        <w:rPr>
          <w:sz w:val="24"/>
        </w:rPr>
        <w:t>competencies</w:t>
      </w:r>
      <w:r>
        <w:rPr>
          <w:spacing w:val="1"/>
          <w:sz w:val="24"/>
        </w:rPr>
        <w:t xml:space="preserve"> </w:t>
      </w:r>
      <w:r>
        <w:rPr>
          <w:sz w:val="24"/>
        </w:rPr>
        <w:t>and</w:t>
      </w:r>
      <w:r>
        <w:rPr>
          <w:spacing w:val="1"/>
          <w:sz w:val="24"/>
        </w:rPr>
        <w:t xml:space="preserve"> </w:t>
      </w:r>
      <w:r>
        <w:rPr>
          <w:sz w:val="24"/>
        </w:rPr>
        <w:t>remuneration</w:t>
      </w:r>
      <w:r>
        <w:rPr>
          <w:spacing w:val="40"/>
          <w:sz w:val="24"/>
        </w:rPr>
        <w:t xml:space="preserve"> </w:t>
      </w:r>
      <w:r>
        <w:rPr>
          <w:sz w:val="24"/>
        </w:rPr>
        <w:t>system.</w:t>
      </w:r>
      <w:r>
        <w:rPr>
          <w:spacing w:val="40"/>
          <w:sz w:val="24"/>
        </w:rPr>
        <w:t xml:space="preserve"> </w:t>
      </w:r>
      <w:r>
        <w:rPr>
          <w:sz w:val="24"/>
        </w:rPr>
        <w:t>Historical</w:t>
      </w:r>
      <w:r>
        <w:rPr>
          <w:spacing w:val="40"/>
          <w:sz w:val="24"/>
        </w:rPr>
        <w:t xml:space="preserve"> </w:t>
      </w:r>
      <w:r>
        <w:rPr>
          <w:sz w:val="24"/>
        </w:rPr>
        <w:t>data</w:t>
      </w:r>
      <w:r>
        <w:rPr>
          <w:spacing w:val="44"/>
          <w:sz w:val="24"/>
        </w:rPr>
        <w:t xml:space="preserve"> </w:t>
      </w:r>
      <w:r>
        <w:rPr>
          <w:sz w:val="24"/>
        </w:rPr>
        <w:t>on</w:t>
      </w:r>
      <w:r>
        <w:rPr>
          <w:spacing w:val="39"/>
          <w:sz w:val="24"/>
        </w:rPr>
        <w:t xml:space="preserve"> </w:t>
      </w:r>
      <w:r>
        <w:rPr>
          <w:sz w:val="24"/>
        </w:rPr>
        <w:t>workloads</w:t>
      </w:r>
      <w:r>
        <w:rPr>
          <w:spacing w:val="41"/>
          <w:sz w:val="24"/>
        </w:rPr>
        <w:t xml:space="preserve"> </w:t>
      </w:r>
      <w:r>
        <w:rPr>
          <w:sz w:val="24"/>
        </w:rPr>
        <w:t>will</w:t>
      </w:r>
      <w:r>
        <w:rPr>
          <w:spacing w:val="40"/>
          <w:sz w:val="24"/>
        </w:rPr>
        <w:t xml:space="preserve"> </w:t>
      </w:r>
      <w:r>
        <w:rPr>
          <w:sz w:val="24"/>
        </w:rPr>
        <w:t>be</w:t>
      </w:r>
      <w:r>
        <w:rPr>
          <w:spacing w:val="40"/>
          <w:sz w:val="24"/>
        </w:rPr>
        <w:t xml:space="preserve"> </w:t>
      </w:r>
      <w:r>
        <w:rPr>
          <w:sz w:val="24"/>
        </w:rPr>
        <w:t>considered</w:t>
      </w:r>
      <w:r>
        <w:rPr>
          <w:spacing w:val="42"/>
          <w:sz w:val="24"/>
        </w:rPr>
        <w:t xml:space="preserve"> </w:t>
      </w:r>
      <w:r>
        <w:rPr>
          <w:sz w:val="24"/>
        </w:rPr>
        <w:t>and</w:t>
      </w:r>
      <w:r>
        <w:rPr>
          <w:spacing w:val="39"/>
          <w:sz w:val="24"/>
        </w:rPr>
        <w:t xml:space="preserve"> </w:t>
      </w:r>
      <w:r>
        <w:rPr>
          <w:sz w:val="24"/>
        </w:rPr>
        <w:t>compared</w:t>
      </w:r>
      <w:r>
        <w:rPr>
          <w:spacing w:val="39"/>
          <w:sz w:val="24"/>
        </w:rPr>
        <w:t xml:space="preserve"> </w:t>
      </w:r>
      <w:r>
        <w:rPr>
          <w:sz w:val="24"/>
        </w:rPr>
        <w:t>with</w:t>
      </w:r>
    </w:p>
    <w:p w:rsidR="00A56FE9" w:rsidRDefault="00A56FE9">
      <w:pPr>
        <w:spacing w:line="237" w:lineRule="auto"/>
        <w:jc w:val="both"/>
        <w:rPr>
          <w:sz w:val="24"/>
        </w:rPr>
        <w:sectPr w:rsidR="00A56FE9" w:rsidSect="00AB1E70">
          <w:pgSz w:w="11910" w:h="16840"/>
          <w:pgMar w:top="1320" w:right="1140" w:bottom="960" w:left="1280" w:header="0" w:footer="779" w:gutter="0"/>
          <w:cols w:space="720"/>
        </w:sectPr>
      </w:pPr>
    </w:p>
    <w:p w:rsidR="00A56FE9" w:rsidRDefault="00000000">
      <w:pPr>
        <w:pStyle w:val="Tijeloteksta"/>
        <w:spacing w:before="74"/>
        <w:ind w:right="271"/>
      </w:pPr>
      <w:r>
        <w:rPr>
          <w:spacing w:val="-1"/>
        </w:rPr>
        <w:t>trends</w:t>
      </w:r>
      <w:r>
        <w:rPr>
          <w:spacing w:val="-12"/>
        </w:rPr>
        <w:t xml:space="preserve"> </w:t>
      </w:r>
      <w:r>
        <w:rPr>
          <w:spacing w:val="-1"/>
        </w:rPr>
        <w:t>on</w:t>
      </w:r>
      <w:r>
        <w:rPr>
          <w:spacing w:val="-12"/>
        </w:rPr>
        <w:t xml:space="preserve"> </w:t>
      </w:r>
      <w:r>
        <w:rPr>
          <w:spacing w:val="-1"/>
        </w:rPr>
        <w:t>increasing</w:t>
      </w:r>
      <w:r>
        <w:rPr>
          <w:spacing w:val="-14"/>
        </w:rPr>
        <w:t xml:space="preserve"> </w:t>
      </w:r>
      <w:r>
        <w:t>workload,</w:t>
      </w:r>
      <w:r>
        <w:rPr>
          <w:spacing w:val="-13"/>
        </w:rPr>
        <w:t xml:space="preserve"> </w:t>
      </w:r>
      <w:r>
        <w:t>including</w:t>
      </w:r>
      <w:r>
        <w:rPr>
          <w:spacing w:val="-13"/>
        </w:rPr>
        <w:t xml:space="preserve"> </w:t>
      </w:r>
      <w:r>
        <w:t>the</w:t>
      </w:r>
      <w:r>
        <w:rPr>
          <w:spacing w:val="-13"/>
        </w:rPr>
        <w:t xml:space="preserve"> </w:t>
      </w:r>
      <w:r>
        <w:t>need</w:t>
      </w:r>
      <w:r>
        <w:rPr>
          <w:spacing w:val="-11"/>
        </w:rPr>
        <w:t xml:space="preserve"> </w:t>
      </w:r>
      <w:r>
        <w:t>for</w:t>
      </w:r>
      <w:r>
        <w:rPr>
          <w:spacing w:val="-13"/>
        </w:rPr>
        <w:t xml:space="preserve"> </w:t>
      </w:r>
      <w:r>
        <w:t>continuous</w:t>
      </w:r>
      <w:r>
        <w:rPr>
          <w:spacing w:val="-12"/>
        </w:rPr>
        <w:t xml:space="preserve"> </w:t>
      </w:r>
      <w:r>
        <w:t>and</w:t>
      </w:r>
      <w:r>
        <w:rPr>
          <w:spacing w:val="-11"/>
        </w:rPr>
        <w:t xml:space="preserve"> </w:t>
      </w:r>
      <w:r>
        <w:t>planned</w:t>
      </w:r>
      <w:r>
        <w:rPr>
          <w:spacing w:val="-12"/>
        </w:rPr>
        <w:t xml:space="preserve"> </w:t>
      </w:r>
      <w:r>
        <w:t>training</w:t>
      </w:r>
      <w:r>
        <w:rPr>
          <w:spacing w:val="-14"/>
        </w:rPr>
        <w:t xml:space="preserve"> </w:t>
      </w:r>
      <w:r>
        <w:t>in</w:t>
      </w:r>
      <w:r>
        <w:rPr>
          <w:spacing w:val="-12"/>
        </w:rPr>
        <w:t xml:space="preserve"> </w:t>
      </w:r>
      <w:r>
        <w:t>certain</w:t>
      </w:r>
      <w:r>
        <w:rPr>
          <w:spacing w:val="-57"/>
        </w:rPr>
        <w:t xml:space="preserve"> </w:t>
      </w:r>
      <w:r>
        <w:t>topics on public procurement such as strategic, socially responsible, sustainable procurement,</w:t>
      </w:r>
      <w:r>
        <w:rPr>
          <w:spacing w:val="1"/>
        </w:rPr>
        <w:t xml:space="preserve"> </w:t>
      </w:r>
      <w:r>
        <w:t>innovation procurement and the SME approach to the public procurement market. The aim of</w:t>
      </w:r>
      <w:r>
        <w:rPr>
          <w:spacing w:val="1"/>
        </w:rPr>
        <w:t xml:space="preserve"> </w:t>
      </w:r>
      <w:r>
        <w:rPr>
          <w:spacing w:val="-1"/>
        </w:rPr>
        <w:t>the</w:t>
      </w:r>
      <w:r>
        <w:rPr>
          <w:spacing w:val="-11"/>
        </w:rPr>
        <w:t xml:space="preserve"> </w:t>
      </w:r>
      <w:r>
        <w:rPr>
          <w:spacing w:val="-1"/>
        </w:rPr>
        <w:t>measure</w:t>
      </w:r>
      <w:r>
        <w:rPr>
          <w:spacing w:val="-12"/>
        </w:rPr>
        <w:t xml:space="preserve"> </w:t>
      </w:r>
      <w:r>
        <w:t>is</w:t>
      </w:r>
      <w:r>
        <w:rPr>
          <w:spacing w:val="-8"/>
        </w:rPr>
        <w:t xml:space="preserve"> </w:t>
      </w:r>
      <w:r>
        <w:t>to</w:t>
      </w:r>
      <w:r>
        <w:rPr>
          <w:spacing w:val="-10"/>
        </w:rPr>
        <w:t xml:space="preserve"> </w:t>
      </w:r>
      <w:r>
        <w:t>ensure</w:t>
      </w:r>
      <w:r>
        <w:rPr>
          <w:spacing w:val="-12"/>
        </w:rPr>
        <w:t xml:space="preserve"> </w:t>
      </w:r>
      <w:r>
        <w:t>and</w:t>
      </w:r>
      <w:r>
        <w:rPr>
          <w:spacing w:val="-9"/>
        </w:rPr>
        <w:t xml:space="preserve"> </w:t>
      </w:r>
      <w:r>
        <w:t>retain</w:t>
      </w:r>
      <w:r>
        <w:rPr>
          <w:spacing w:val="-9"/>
        </w:rPr>
        <w:t xml:space="preserve"> </w:t>
      </w:r>
      <w:r>
        <w:t>an</w:t>
      </w:r>
      <w:r>
        <w:rPr>
          <w:spacing w:val="-9"/>
        </w:rPr>
        <w:t xml:space="preserve"> </w:t>
      </w:r>
      <w:r>
        <w:t>optimal</w:t>
      </w:r>
      <w:r>
        <w:rPr>
          <w:spacing w:val="-10"/>
        </w:rPr>
        <w:t xml:space="preserve"> </w:t>
      </w:r>
      <w:r>
        <w:t>number</w:t>
      </w:r>
      <w:r>
        <w:rPr>
          <w:spacing w:val="-11"/>
        </w:rPr>
        <w:t xml:space="preserve"> </w:t>
      </w:r>
      <w:r>
        <w:t>of</w:t>
      </w:r>
      <w:r>
        <w:rPr>
          <w:spacing w:val="-10"/>
        </w:rPr>
        <w:t xml:space="preserve"> </w:t>
      </w:r>
      <w:r>
        <w:t>highly</w:t>
      </w:r>
      <w:r>
        <w:rPr>
          <w:spacing w:val="-15"/>
        </w:rPr>
        <w:t xml:space="preserve"> </w:t>
      </w:r>
      <w:r>
        <w:t>qualified,</w:t>
      </w:r>
      <w:r>
        <w:rPr>
          <w:spacing w:val="-9"/>
        </w:rPr>
        <w:t xml:space="preserve"> </w:t>
      </w:r>
      <w:r>
        <w:t>motivated</w:t>
      </w:r>
      <w:r>
        <w:rPr>
          <w:spacing w:val="-11"/>
        </w:rPr>
        <w:t xml:space="preserve"> </w:t>
      </w:r>
      <w:r>
        <w:t>employees</w:t>
      </w:r>
      <w:r>
        <w:rPr>
          <w:spacing w:val="-58"/>
        </w:rPr>
        <w:t xml:space="preserve"> </w:t>
      </w:r>
      <w:r>
        <w:t>that meet the needs of key institutions within the public procurement system. Recommended</w:t>
      </w:r>
      <w:r>
        <w:rPr>
          <w:spacing w:val="1"/>
        </w:rPr>
        <w:t xml:space="preserve"> </w:t>
      </w:r>
      <w:r>
        <w:t>measures</w:t>
      </w:r>
      <w:r>
        <w:rPr>
          <w:spacing w:val="1"/>
        </w:rPr>
        <w:t xml:space="preserve"> </w:t>
      </w:r>
      <w:r>
        <w:t>will</w:t>
      </w:r>
      <w:r>
        <w:rPr>
          <w:spacing w:val="1"/>
        </w:rPr>
        <w:t xml:space="preserve"> </w:t>
      </w:r>
      <w:r>
        <w:t>be</w:t>
      </w:r>
      <w:r>
        <w:rPr>
          <w:spacing w:val="1"/>
        </w:rPr>
        <w:t xml:space="preserve"> </w:t>
      </w:r>
      <w:r>
        <w:t>adopted</w:t>
      </w:r>
      <w:r>
        <w:rPr>
          <w:spacing w:val="1"/>
        </w:rPr>
        <w:t xml:space="preserve"> </w:t>
      </w:r>
      <w:r>
        <w:t>to</w:t>
      </w:r>
      <w:r>
        <w:rPr>
          <w:spacing w:val="1"/>
        </w:rPr>
        <w:t xml:space="preserve"> </w:t>
      </w:r>
      <w:r>
        <w:t>ensure</w:t>
      </w:r>
      <w:r>
        <w:rPr>
          <w:spacing w:val="1"/>
        </w:rPr>
        <w:t xml:space="preserve"> </w:t>
      </w:r>
      <w:r>
        <w:t>the</w:t>
      </w:r>
      <w:r>
        <w:rPr>
          <w:spacing w:val="1"/>
        </w:rPr>
        <w:t xml:space="preserve"> </w:t>
      </w:r>
      <w:r>
        <w:t>employment</w:t>
      </w:r>
      <w:r>
        <w:rPr>
          <w:spacing w:val="1"/>
        </w:rPr>
        <w:t xml:space="preserve"> </w:t>
      </w:r>
      <w:r>
        <w:t>and</w:t>
      </w:r>
      <w:r>
        <w:rPr>
          <w:spacing w:val="1"/>
        </w:rPr>
        <w:t xml:space="preserve"> </w:t>
      </w:r>
      <w:r>
        <w:t>retention</w:t>
      </w:r>
      <w:r>
        <w:rPr>
          <w:spacing w:val="1"/>
        </w:rPr>
        <w:t xml:space="preserve"> </w:t>
      </w:r>
      <w:r>
        <w:t>of</w:t>
      </w:r>
      <w:r>
        <w:rPr>
          <w:spacing w:val="1"/>
        </w:rPr>
        <w:t xml:space="preserve"> </w:t>
      </w:r>
      <w:r>
        <w:t>highly</w:t>
      </w:r>
      <w:r>
        <w:rPr>
          <w:spacing w:val="1"/>
        </w:rPr>
        <w:t xml:space="preserve"> </w:t>
      </w:r>
      <w:r>
        <w:t>qualified</w:t>
      </w:r>
      <w:r>
        <w:rPr>
          <w:spacing w:val="1"/>
        </w:rPr>
        <w:t xml:space="preserve"> </w:t>
      </w:r>
      <w:r>
        <w:t>employees. In 2022, an analysis of the workload of employees at key institutions within the</w:t>
      </w:r>
      <w:r>
        <w:rPr>
          <w:spacing w:val="1"/>
        </w:rPr>
        <w:t xml:space="preserve"> </w:t>
      </w:r>
      <w:r>
        <w:t>public procurement system will be performed along with an action plan for implementing</w:t>
      </w:r>
      <w:r>
        <w:rPr>
          <w:spacing w:val="1"/>
        </w:rPr>
        <w:t xml:space="preserve"> </w:t>
      </w:r>
      <w:r>
        <w:t>recommendations</w:t>
      </w:r>
      <w:r>
        <w:rPr>
          <w:spacing w:val="-1"/>
        </w:rPr>
        <w:t xml:space="preserve"> </w:t>
      </w:r>
      <w:r>
        <w:t>and measures on human resources.</w:t>
      </w:r>
    </w:p>
    <w:p w:rsidR="00A56FE9" w:rsidRDefault="00A56FE9">
      <w:pPr>
        <w:pStyle w:val="Tijeloteksta"/>
        <w:ind w:left="0"/>
        <w:jc w:val="left"/>
        <w:rPr>
          <w:sz w:val="32"/>
        </w:rPr>
      </w:pPr>
    </w:p>
    <w:p w:rsidR="00A56FE9" w:rsidRDefault="00CC1B9B">
      <w:pPr>
        <w:pStyle w:val="Naslov4"/>
      </w:pPr>
      <w:r>
        <w:rPr>
          <w:noProof/>
        </w:rPr>
        <mc:AlternateContent>
          <mc:Choice Requires="wps">
            <w:drawing>
              <wp:anchor distT="0" distB="0" distL="114300" distR="114300" simplePos="0" relativeHeight="15779328" behindDoc="0" locked="0" layoutInCell="1" allowOverlap="1">
                <wp:simplePos x="0" y="0"/>
                <wp:positionH relativeFrom="page">
                  <wp:posOffset>814070</wp:posOffset>
                </wp:positionH>
                <wp:positionV relativeFrom="paragraph">
                  <wp:posOffset>-1270</wp:posOffset>
                </wp:positionV>
                <wp:extent cx="18415" cy="265430"/>
                <wp:effectExtent l="0" t="0" r="0" b="0"/>
                <wp:wrapNone/>
                <wp:docPr id="11769455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2654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AEFCDF" id="Rectangle 193" o:spid="_x0000_s1026" style="position:absolute;margin-left:64.1pt;margin-top:-.1pt;width:1.45pt;height:20.9pt;z-index:1577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" fillcolor="#da1f2c" stroked="f">
                <w10:wrap anchorx="page"/>
              </v:rect>
            </w:pict>
          </mc:Fallback>
        </mc:AlternateContent>
      </w:r>
      <w:r w:rsidR="00000000">
        <w:rPr>
          <w:color w:val="2C398A"/>
        </w:rPr>
        <w:t>Strengthening</w:t>
      </w:r>
      <w:r w:rsidR="00000000">
        <w:rPr>
          <w:color w:val="2C398A"/>
          <w:spacing w:val="-3"/>
        </w:rPr>
        <w:t xml:space="preserve"> </w:t>
      </w:r>
      <w:r w:rsidR="00000000">
        <w:rPr>
          <w:color w:val="2C398A"/>
        </w:rPr>
        <w:t>the</w:t>
      </w:r>
      <w:r w:rsidR="00000000">
        <w:rPr>
          <w:color w:val="2C398A"/>
          <w:spacing w:val="-3"/>
        </w:rPr>
        <w:t xml:space="preserve"> </w:t>
      </w:r>
      <w:r w:rsidR="00000000">
        <w:rPr>
          <w:color w:val="2C398A"/>
        </w:rPr>
        <w:t>review</w:t>
      </w:r>
      <w:r w:rsidR="00000000">
        <w:rPr>
          <w:color w:val="2C398A"/>
          <w:spacing w:val="2"/>
        </w:rPr>
        <w:t xml:space="preserve"> </w:t>
      </w:r>
      <w:r w:rsidR="00000000">
        <w:rPr>
          <w:color w:val="2C398A"/>
        </w:rPr>
        <w:t>system</w:t>
      </w:r>
      <w:r w:rsidR="00000000">
        <w:rPr>
          <w:color w:val="2C398A"/>
          <w:spacing w:val="-5"/>
        </w:rPr>
        <w:t xml:space="preserve"> </w:t>
      </w:r>
      <w:r w:rsidR="00000000">
        <w:rPr>
          <w:color w:val="2C398A"/>
        </w:rPr>
        <w:t>in</w:t>
      </w:r>
      <w:r w:rsidR="00000000">
        <w:rPr>
          <w:color w:val="2C398A"/>
          <w:spacing w:val="-3"/>
        </w:rPr>
        <w:t xml:space="preserve"> </w:t>
      </w:r>
      <w:r w:rsidR="00000000">
        <w:rPr>
          <w:color w:val="2C398A"/>
        </w:rPr>
        <w:t>public</w:t>
      </w:r>
      <w:r w:rsidR="00000000">
        <w:rPr>
          <w:color w:val="2C398A"/>
          <w:spacing w:val="-2"/>
        </w:rPr>
        <w:t xml:space="preserve"> </w:t>
      </w:r>
      <w:r w:rsidR="00000000">
        <w:rPr>
          <w:color w:val="2C398A"/>
        </w:rPr>
        <w:t>procurement</w:t>
      </w:r>
    </w:p>
    <w:p w:rsidR="00A56FE9" w:rsidRDefault="00000000">
      <w:pPr>
        <w:spacing w:before="232"/>
        <w:ind w:left="138" w:right="275"/>
        <w:jc w:val="both"/>
        <w:rPr>
          <w:i/>
          <w:sz w:val="24"/>
        </w:rPr>
      </w:pPr>
      <w:r>
        <w:rPr>
          <w:i/>
          <w:color w:val="2C398A"/>
          <w:sz w:val="24"/>
        </w:rPr>
        <w:t>2019.CSR4.2.</w:t>
      </w:r>
      <w:r>
        <w:rPr>
          <w:i/>
          <w:color w:val="2C398A"/>
          <w:spacing w:val="-2"/>
          <w:sz w:val="24"/>
        </w:rPr>
        <w:t xml:space="preserve"> </w:t>
      </w:r>
      <w:r>
        <w:rPr>
          <w:i/>
          <w:color w:val="2C398A"/>
          <w:sz w:val="24"/>
        </w:rPr>
        <w:t>Enhance</w:t>
      </w:r>
      <w:r>
        <w:rPr>
          <w:i/>
          <w:color w:val="2C398A"/>
          <w:spacing w:val="-2"/>
          <w:sz w:val="24"/>
        </w:rPr>
        <w:t xml:space="preserve"> </w:t>
      </w:r>
      <w:r>
        <w:rPr>
          <w:i/>
          <w:color w:val="2C398A"/>
          <w:sz w:val="24"/>
        </w:rPr>
        <w:t>the</w:t>
      </w:r>
      <w:r>
        <w:rPr>
          <w:i/>
          <w:color w:val="2C398A"/>
          <w:spacing w:val="-1"/>
          <w:sz w:val="24"/>
        </w:rPr>
        <w:t xml:space="preserve"> </w:t>
      </w:r>
      <w:r>
        <w:rPr>
          <w:i/>
          <w:color w:val="2C398A"/>
          <w:sz w:val="24"/>
        </w:rPr>
        <w:t>prevention</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sanctioning</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corruption,</w:t>
      </w:r>
      <w:r>
        <w:rPr>
          <w:i/>
          <w:color w:val="2C398A"/>
          <w:spacing w:val="-3"/>
          <w:sz w:val="24"/>
        </w:rPr>
        <w:t xml:space="preserve"> </w:t>
      </w:r>
      <w:r>
        <w:rPr>
          <w:i/>
          <w:color w:val="2C398A"/>
          <w:sz w:val="24"/>
        </w:rPr>
        <w:t>in</w:t>
      </w:r>
      <w:r>
        <w:rPr>
          <w:i/>
          <w:color w:val="2C398A"/>
          <w:spacing w:val="-1"/>
          <w:sz w:val="24"/>
        </w:rPr>
        <w:t xml:space="preserve"> </w:t>
      </w:r>
      <w:r>
        <w:rPr>
          <w:i/>
          <w:color w:val="2C398A"/>
          <w:sz w:val="24"/>
        </w:rPr>
        <w:t>particular</w:t>
      </w:r>
      <w:r>
        <w:rPr>
          <w:i/>
          <w:color w:val="2C398A"/>
          <w:spacing w:val="-1"/>
          <w:sz w:val="24"/>
        </w:rPr>
        <w:t xml:space="preserve"> </w:t>
      </w:r>
      <w:r>
        <w:rPr>
          <w:i/>
          <w:color w:val="2C398A"/>
          <w:sz w:val="24"/>
        </w:rPr>
        <w:t>at</w:t>
      </w:r>
      <w:r>
        <w:rPr>
          <w:i/>
          <w:color w:val="2C398A"/>
          <w:spacing w:val="-1"/>
          <w:sz w:val="24"/>
        </w:rPr>
        <w:t xml:space="preserve"> </w:t>
      </w:r>
      <w:r>
        <w:rPr>
          <w:i/>
          <w:color w:val="2C398A"/>
          <w:sz w:val="24"/>
        </w:rPr>
        <w:t>the</w:t>
      </w:r>
      <w:r>
        <w:rPr>
          <w:i/>
          <w:color w:val="2C398A"/>
          <w:spacing w:val="-4"/>
          <w:sz w:val="24"/>
        </w:rPr>
        <w:t xml:space="preserve"> </w:t>
      </w:r>
      <w:r>
        <w:rPr>
          <w:i/>
          <w:color w:val="2C398A"/>
          <w:sz w:val="24"/>
        </w:rPr>
        <w:t>local</w:t>
      </w:r>
      <w:r>
        <w:rPr>
          <w:i/>
          <w:color w:val="2C398A"/>
          <w:spacing w:val="-58"/>
          <w:sz w:val="24"/>
        </w:rPr>
        <w:t xml:space="preserve"> </w:t>
      </w:r>
      <w:r>
        <w:rPr>
          <w:i/>
          <w:color w:val="2C398A"/>
          <w:sz w:val="24"/>
        </w:rPr>
        <w:t>level.</w:t>
      </w:r>
    </w:p>
    <w:p w:rsidR="00A56FE9" w:rsidRDefault="00A56FE9">
      <w:pPr>
        <w:pStyle w:val="Tijeloteksta"/>
        <w:spacing w:before="3"/>
        <w:ind w:left="0"/>
        <w:jc w:val="left"/>
        <w:rPr>
          <w:i/>
          <w:sz w:val="21"/>
        </w:rPr>
      </w:pPr>
    </w:p>
    <w:p w:rsidR="00A56FE9" w:rsidRDefault="00CC1B9B">
      <w:pPr>
        <w:pStyle w:val="Naslov5"/>
      </w:pPr>
      <w:r>
        <w:rPr>
          <w:noProof/>
        </w:rPr>
        <mc:AlternateContent>
          <mc:Choice Requires="wps">
            <w:drawing>
              <wp:anchor distT="0" distB="0" distL="0" distR="0" simplePos="0" relativeHeight="487637504" behindDoc="1" locked="0" layoutInCell="1" allowOverlap="1">
                <wp:simplePos x="0" y="0"/>
                <wp:positionH relativeFrom="page">
                  <wp:posOffset>882650</wp:posOffset>
                </wp:positionH>
                <wp:positionV relativeFrom="paragraph">
                  <wp:posOffset>189230</wp:posOffset>
                </wp:positionV>
                <wp:extent cx="3277235" cy="12065"/>
                <wp:effectExtent l="0" t="0" r="0" b="0"/>
                <wp:wrapTopAndBottom/>
                <wp:docPr id="1545121227"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7235"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93EBB" id="Rectangle 192" o:spid="_x0000_s1026" style="position:absolute;margin-left:69.5pt;margin-top:14.9pt;width:258.05pt;height:.95pt;z-index:-15678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" fillcolor="#2c398a" stroked="f">
                <w10:wrap type="topAndBottom" anchorx="page"/>
              </v:rect>
            </w:pict>
          </mc:Fallback>
        </mc:AlternateContent>
      </w:r>
      <w:r w:rsidR="00000000">
        <w:t>Progress</w:t>
      </w:r>
      <w:r w:rsidR="00000000">
        <w:rPr>
          <w:spacing w:val="-2"/>
        </w:rPr>
        <w:t xml:space="preserve"> </w:t>
      </w:r>
      <w:r w:rsidR="00000000">
        <w:t>in</w:t>
      </w:r>
      <w:r w:rsidR="00000000">
        <w:rPr>
          <w:spacing w:val="-2"/>
        </w:rPr>
        <w:t xml:space="preserve"> </w:t>
      </w:r>
      <w:r w:rsidR="00000000">
        <w:t>implementing</w:t>
      </w:r>
      <w:r w:rsidR="00000000">
        <w:rPr>
          <w:spacing w:val="-2"/>
        </w:rPr>
        <w:t xml:space="preserve"> </w:t>
      </w:r>
      <w:r w:rsidR="00000000">
        <w:t>the</w:t>
      </w:r>
      <w:r w:rsidR="00000000">
        <w:rPr>
          <w:spacing w:val="-2"/>
        </w:rPr>
        <w:t xml:space="preserve"> </w:t>
      </w:r>
      <w:r w:rsidR="00000000">
        <w:t>recommendations</w:t>
      </w:r>
    </w:p>
    <w:p w:rsidR="00A56FE9" w:rsidRDefault="00000000">
      <w:pPr>
        <w:spacing w:before="126"/>
        <w:ind w:left="138" w:right="273"/>
        <w:jc w:val="both"/>
        <w:rPr>
          <w:b/>
          <w:sz w:val="24"/>
        </w:rPr>
      </w:pPr>
      <w:r>
        <w:rPr>
          <w:sz w:val="24"/>
        </w:rPr>
        <w:t>Practice has shown that filing a complaint in public procurement procedures by electronic</w:t>
      </w:r>
      <w:r>
        <w:rPr>
          <w:spacing w:val="1"/>
          <w:sz w:val="24"/>
        </w:rPr>
        <w:t xml:space="preserve"> </w:t>
      </w:r>
      <w:r>
        <w:rPr>
          <w:sz w:val="24"/>
        </w:rPr>
        <w:t>means of communication, using the systems provided by the Electronic Public Procurement</w:t>
      </w:r>
      <w:r>
        <w:rPr>
          <w:spacing w:val="1"/>
          <w:sz w:val="24"/>
        </w:rPr>
        <w:t xml:space="preserve"> </w:t>
      </w:r>
      <w:r>
        <w:rPr>
          <w:sz w:val="24"/>
        </w:rPr>
        <w:t>Classifieds of the Republic of Croatia and the State Commission for Supervision of Public</w:t>
      </w:r>
      <w:r>
        <w:rPr>
          <w:spacing w:val="1"/>
          <w:sz w:val="24"/>
        </w:rPr>
        <w:t xml:space="preserve"> </w:t>
      </w:r>
      <w:r>
        <w:rPr>
          <w:sz w:val="24"/>
        </w:rPr>
        <w:t>Procurement Procedures, increases the effectiveness of the complaint procedure. The current</w:t>
      </w:r>
      <w:r>
        <w:rPr>
          <w:spacing w:val="1"/>
          <w:sz w:val="24"/>
        </w:rPr>
        <w:t xml:space="preserve"> </w:t>
      </w:r>
      <w:r>
        <w:rPr>
          <w:sz w:val="24"/>
        </w:rPr>
        <w:t>legal solution implies e-complaint (e-žalba) as a possibility, not an obligation. For this reason,</w:t>
      </w:r>
      <w:r>
        <w:rPr>
          <w:spacing w:val="-57"/>
          <w:sz w:val="24"/>
        </w:rPr>
        <w:t xml:space="preserve"> </w:t>
      </w:r>
      <w:r>
        <w:rPr>
          <w:b/>
          <w:sz w:val="24"/>
        </w:rPr>
        <w:t>the plan is to change the legislative framework of public procurement to introduce e-</w:t>
      </w:r>
      <w:r>
        <w:rPr>
          <w:b/>
          <w:spacing w:val="1"/>
          <w:sz w:val="24"/>
        </w:rPr>
        <w:t xml:space="preserve"> </w:t>
      </w:r>
      <w:r>
        <w:rPr>
          <w:b/>
          <w:sz w:val="24"/>
        </w:rPr>
        <w:t>complaint (e-žalba) as a mandatory way of exercising legal protection in the public</w:t>
      </w:r>
      <w:r>
        <w:rPr>
          <w:b/>
          <w:spacing w:val="1"/>
          <w:sz w:val="24"/>
        </w:rPr>
        <w:t xml:space="preserve"> </w:t>
      </w:r>
      <w:r>
        <w:rPr>
          <w:b/>
          <w:sz w:val="24"/>
        </w:rPr>
        <w:t>procurement</w:t>
      </w:r>
      <w:r>
        <w:rPr>
          <w:b/>
          <w:spacing w:val="-1"/>
          <w:sz w:val="24"/>
        </w:rPr>
        <w:t xml:space="preserve"> </w:t>
      </w:r>
      <w:r>
        <w:rPr>
          <w:b/>
          <w:sz w:val="24"/>
        </w:rPr>
        <w:t>system.</w:t>
      </w:r>
    </w:p>
    <w:p w:rsidR="00A56FE9" w:rsidRDefault="00A56FE9">
      <w:pPr>
        <w:pStyle w:val="Tijeloteksta"/>
        <w:spacing w:before="4"/>
        <w:ind w:left="0"/>
        <w:jc w:val="left"/>
        <w:rPr>
          <w:b/>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70277297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268536968" name="Rectangle 191"/>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12876FC" id="Group 190"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J6jJCVQAgAADwUAAA4AAAAAAAAAAAAAAAAALgIAAGRycy9lMm9Eb2MueG1sUEsBAi0AFAAGAAgA&#10;AAAhAOjoSp3cAAAAAwEAAA8AAAAAAAAAAAAAAAAAqgQAAGRycy9kb3ducmV2LnhtbFBLBQYAAAAA&#10;BAAEAPMAAACzBQAAAAA=&#10;">
                <v:rect id="Rectangle 191"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" fillcolor="#2c398a" stroked="f"/>
                <w10:anchorlock/>
              </v:group>
            </w:pict>
          </mc:Fallback>
        </mc:AlternateContent>
      </w:r>
    </w:p>
    <w:p w:rsidR="00A56FE9" w:rsidRDefault="00000000">
      <w:pPr>
        <w:pStyle w:val="Tijeloteksta"/>
        <w:spacing w:before="154"/>
        <w:ind w:right="272"/>
      </w:pPr>
      <w:r>
        <w:t>The planned legislative changes will facilitate the optimization of the public procurement</w:t>
      </w:r>
      <w:r>
        <w:rPr>
          <w:spacing w:val="1"/>
        </w:rPr>
        <w:t xml:space="preserve"> </w:t>
      </w:r>
      <w:r>
        <w:t>system in the area of legal protection within public procurement procedures. The plan is to</w:t>
      </w:r>
      <w:r>
        <w:rPr>
          <w:spacing w:val="1"/>
        </w:rPr>
        <w:t xml:space="preserve"> </w:t>
      </w:r>
      <w:r>
        <w:t>introduce</w:t>
      </w:r>
      <w:r>
        <w:rPr>
          <w:spacing w:val="-2"/>
        </w:rPr>
        <w:t xml:space="preserve"> </w:t>
      </w:r>
      <w:r>
        <w:t>mandatory</w:t>
      </w:r>
      <w:r>
        <w:rPr>
          <w:spacing w:val="-3"/>
        </w:rPr>
        <w:t xml:space="preserve"> </w:t>
      </w:r>
      <w:r>
        <w:t>e-Complaints, to speed</w:t>
      </w:r>
      <w:r>
        <w:rPr>
          <w:spacing w:val="-1"/>
        </w:rPr>
        <w:t xml:space="preserve"> </w:t>
      </w:r>
      <w:r>
        <w:t>up and digitise</w:t>
      </w:r>
      <w:r>
        <w:rPr>
          <w:spacing w:val="-1"/>
        </w:rPr>
        <w:t xml:space="preserve"> </w:t>
      </w:r>
      <w:r>
        <w:t>the</w:t>
      </w:r>
      <w:r>
        <w:rPr>
          <w:spacing w:val="-1"/>
        </w:rPr>
        <w:t xml:space="preserve"> </w:t>
      </w:r>
      <w:r>
        <w:t>complaint process.</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2"/>
        <w:numPr>
          <w:ilvl w:val="0"/>
          <w:numId w:val="7"/>
        </w:numPr>
        <w:tabs>
          <w:tab w:val="left" w:pos="423"/>
        </w:tabs>
        <w:ind w:hanging="285"/>
      </w:pPr>
      <w:bookmarkStart w:id="20" w:name="_bookmark20"/>
      <w:bookmarkEnd w:id="20"/>
      <w:r>
        <w:t>–</w:t>
      </w:r>
      <w:r>
        <w:rPr>
          <w:spacing w:val="-4"/>
        </w:rPr>
        <w:t xml:space="preserve"> </w:t>
      </w:r>
      <w:r>
        <w:t>EDUCATION,</w:t>
      </w:r>
      <w:r>
        <w:rPr>
          <w:spacing w:val="-4"/>
        </w:rPr>
        <w:t xml:space="preserve"> </w:t>
      </w:r>
      <w:r>
        <w:t>SCIENCE</w:t>
      </w:r>
      <w:r>
        <w:rPr>
          <w:spacing w:val="-4"/>
        </w:rPr>
        <w:t xml:space="preserve"> </w:t>
      </w:r>
      <w:r>
        <w:t>AND</w:t>
      </w:r>
      <w:r>
        <w:rPr>
          <w:spacing w:val="-4"/>
        </w:rPr>
        <w:t xml:space="preserve"> </w:t>
      </w:r>
      <w:r>
        <w:t>RESEARCH</w:t>
      </w:r>
    </w:p>
    <w:p w:rsidR="00A56FE9" w:rsidRDefault="00A56FE9">
      <w:pPr>
        <w:pStyle w:val="Tijeloteksta"/>
        <w:spacing w:before="7"/>
        <w:ind w:left="0"/>
        <w:jc w:val="left"/>
        <w:rPr>
          <w:b/>
          <w:sz w:val="39"/>
        </w:rPr>
      </w:pPr>
    </w:p>
    <w:p w:rsidR="00A56FE9" w:rsidRDefault="00000000">
      <w:pPr>
        <w:pStyle w:val="Naslov3"/>
        <w:spacing w:before="0"/>
        <w:jc w:val="left"/>
      </w:pPr>
      <w:bookmarkStart w:id="21" w:name="_bookmark21"/>
      <w:bookmarkEnd w:id="21"/>
      <w:r>
        <w:rPr>
          <w:rFonts w:ascii="Times New Roman"/>
          <w:b/>
          <w:color w:val="2C398A"/>
        </w:rPr>
        <w:t>C3.1.</w:t>
      </w:r>
      <w:r>
        <w:rPr>
          <w:rFonts w:ascii="Times New Roman"/>
          <w:b/>
          <w:color w:val="2C398A"/>
          <w:spacing w:val="-2"/>
        </w:rPr>
        <w:t xml:space="preserve"> </w:t>
      </w:r>
      <w:r>
        <w:rPr>
          <w:color w:val="003399"/>
        </w:rPr>
        <w:t>Reform</w:t>
      </w:r>
      <w:r>
        <w:rPr>
          <w:color w:val="003399"/>
          <w:spacing w:val="-15"/>
        </w:rPr>
        <w:t xml:space="preserve"> </w:t>
      </w:r>
      <w:r>
        <w:rPr>
          <w:color w:val="003399"/>
        </w:rPr>
        <w:t>of</w:t>
      </w:r>
      <w:r>
        <w:rPr>
          <w:color w:val="003399"/>
          <w:spacing w:val="-15"/>
        </w:rPr>
        <w:t xml:space="preserve"> </w:t>
      </w:r>
      <w:r>
        <w:rPr>
          <w:color w:val="003399"/>
        </w:rPr>
        <w:t>the</w:t>
      </w:r>
      <w:r>
        <w:rPr>
          <w:color w:val="003399"/>
          <w:spacing w:val="-13"/>
        </w:rPr>
        <w:t xml:space="preserve"> </w:t>
      </w:r>
      <w:r>
        <w:rPr>
          <w:color w:val="003399"/>
        </w:rPr>
        <w:t>Education</w:t>
      </w:r>
      <w:r>
        <w:rPr>
          <w:color w:val="003399"/>
          <w:spacing w:val="-14"/>
        </w:rPr>
        <w:t xml:space="preserve"> </w:t>
      </w:r>
      <w:r>
        <w:rPr>
          <w:color w:val="003399"/>
        </w:rPr>
        <w:t>System</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80352"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57645776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9E2A8" id="Rectangle 189" o:spid="_x0000_s1026" style="position:absolute;margin-left:64.1pt;margin-top:-6.1pt;width:1.45pt;height:27pt;z-index:1578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Improving</w:t>
      </w:r>
      <w:r w:rsidR="00000000">
        <w:rPr>
          <w:color w:val="2C398A"/>
          <w:spacing w:val="-4"/>
        </w:rPr>
        <w:t xml:space="preserve"> </w:t>
      </w:r>
      <w:r w:rsidR="00000000">
        <w:rPr>
          <w:color w:val="2C398A"/>
        </w:rPr>
        <w:t>early</w:t>
      </w:r>
      <w:r w:rsidR="00000000">
        <w:rPr>
          <w:color w:val="2C398A"/>
          <w:spacing w:val="-1"/>
        </w:rPr>
        <w:t xml:space="preserve"> </w:t>
      </w:r>
      <w:r w:rsidR="00000000">
        <w:rPr>
          <w:color w:val="2C398A"/>
        </w:rPr>
        <w:t>and</w:t>
      </w:r>
      <w:r w:rsidR="00000000">
        <w:rPr>
          <w:color w:val="2C398A"/>
          <w:spacing w:val="-2"/>
        </w:rPr>
        <w:t xml:space="preserve"> </w:t>
      </w:r>
      <w:r w:rsidR="00000000">
        <w:rPr>
          <w:color w:val="2C398A"/>
        </w:rPr>
        <w:t>preschool as</w:t>
      </w:r>
      <w:r w:rsidR="00000000">
        <w:rPr>
          <w:color w:val="2C398A"/>
          <w:spacing w:val="-4"/>
        </w:rPr>
        <w:t xml:space="preserve"> </w:t>
      </w:r>
      <w:r w:rsidR="00000000">
        <w:rPr>
          <w:color w:val="2C398A"/>
        </w:rPr>
        <w:t>well</w:t>
      </w:r>
      <w:r w:rsidR="00000000">
        <w:rPr>
          <w:color w:val="2C398A"/>
          <w:spacing w:val="-4"/>
        </w:rPr>
        <w:t xml:space="preserve"> </w:t>
      </w:r>
      <w:r w:rsidR="00000000">
        <w:rPr>
          <w:color w:val="2C398A"/>
        </w:rPr>
        <w:t>as</w:t>
      </w:r>
      <w:r w:rsidR="00000000">
        <w:rPr>
          <w:color w:val="2C398A"/>
          <w:spacing w:val="-1"/>
        </w:rPr>
        <w:t xml:space="preserve"> </w:t>
      </w:r>
      <w:r w:rsidR="00000000">
        <w:rPr>
          <w:color w:val="2C398A"/>
        </w:rPr>
        <w:t>general</w:t>
      </w:r>
      <w:r w:rsidR="00000000">
        <w:rPr>
          <w:color w:val="2C398A"/>
          <w:spacing w:val="-4"/>
        </w:rPr>
        <w:t xml:space="preserve"> </w:t>
      </w:r>
      <w:r w:rsidR="00000000">
        <w:rPr>
          <w:color w:val="2C398A"/>
        </w:rPr>
        <w:t>and</w:t>
      </w:r>
      <w:r w:rsidR="00000000">
        <w:rPr>
          <w:color w:val="2C398A"/>
          <w:spacing w:val="-4"/>
        </w:rPr>
        <w:t xml:space="preserve"> </w:t>
      </w:r>
      <w:r w:rsidR="00000000">
        <w:rPr>
          <w:color w:val="2C398A"/>
        </w:rPr>
        <w:t>vocation</w:t>
      </w:r>
      <w:r w:rsidR="00000000">
        <w:rPr>
          <w:color w:val="2C398A"/>
          <w:spacing w:val="-3"/>
        </w:rPr>
        <w:t xml:space="preserve"> </w:t>
      </w:r>
      <w:r w:rsidR="00000000">
        <w:rPr>
          <w:color w:val="2C398A"/>
        </w:rPr>
        <w:t>education</w:t>
      </w:r>
    </w:p>
    <w:p w:rsidR="00A56FE9" w:rsidRDefault="00000000">
      <w:pPr>
        <w:spacing w:before="233"/>
        <w:ind w:left="138" w:right="271"/>
        <w:jc w:val="both"/>
        <w:rPr>
          <w:i/>
          <w:sz w:val="24"/>
        </w:rPr>
      </w:pPr>
      <w:r>
        <w:rPr>
          <w:i/>
          <w:color w:val="2C398A"/>
          <w:sz w:val="24"/>
        </w:rPr>
        <w:t>2019.CSR2.1. Deliver on the education reform and improve both access to education and</w:t>
      </w:r>
      <w:r>
        <w:rPr>
          <w:i/>
          <w:color w:val="2C398A"/>
          <w:spacing w:val="1"/>
          <w:sz w:val="24"/>
        </w:rPr>
        <w:t xml:space="preserve"> </w:t>
      </w:r>
      <w:r>
        <w:rPr>
          <w:i/>
          <w:color w:val="2C398A"/>
          <w:sz w:val="24"/>
        </w:rPr>
        <w:t>training</w:t>
      </w:r>
      <w:r>
        <w:rPr>
          <w:i/>
          <w:color w:val="2C398A"/>
          <w:spacing w:val="-6"/>
          <w:sz w:val="24"/>
        </w:rPr>
        <w:t xml:space="preserve"> </w:t>
      </w:r>
      <w:r>
        <w:rPr>
          <w:i/>
          <w:color w:val="2C398A"/>
          <w:sz w:val="24"/>
        </w:rPr>
        <w:t>at</w:t>
      </w:r>
      <w:r>
        <w:rPr>
          <w:i/>
          <w:color w:val="2C398A"/>
          <w:spacing w:val="-7"/>
          <w:sz w:val="24"/>
        </w:rPr>
        <w:t xml:space="preserve"> </w:t>
      </w:r>
      <w:r>
        <w:rPr>
          <w:i/>
          <w:color w:val="2C398A"/>
          <w:sz w:val="24"/>
        </w:rPr>
        <w:t>all</w:t>
      </w:r>
      <w:r>
        <w:rPr>
          <w:i/>
          <w:color w:val="2C398A"/>
          <w:spacing w:val="-8"/>
          <w:sz w:val="24"/>
        </w:rPr>
        <w:t xml:space="preserve"> </w:t>
      </w:r>
      <w:r>
        <w:rPr>
          <w:i/>
          <w:color w:val="2C398A"/>
          <w:sz w:val="24"/>
        </w:rPr>
        <w:t>levels</w:t>
      </w:r>
      <w:r>
        <w:rPr>
          <w:i/>
          <w:color w:val="2C398A"/>
          <w:spacing w:val="-5"/>
          <w:sz w:val="24"/>
        </w:rPr>
        <w:t xml:space="preserve"> </w:t>
      </w:r>
      <w:r>
        <w:rPr>
          <w:i/>
          <w:color w:val="2C398A"/>
          <w:sz w:val="24"/>
        </w:rPr>
        <w:t>and</w:t>
      </w:r>
      <w:r>
        <w:rPr>
          <w:i/>
          <w:color w:val="2C398A"/>
          <w:spacing w:val="-8"/>
          <w:sz w:val="24"/>
        </w:rPr>
        <w:t xml:space="preserve"> </w:t>
      </w:r>
      <w:r>
        <w:rPr>
          <w:i/>
          <w:color w:val="2C398A"/>
          <w:sz w:val="24"/>
        </w:rPr>
        <w:t>their</w:t>
      </w:r>
      <w:r>
        <w:rPr>
          <w:i/>
          <w:color w:val="2C398A"/>
          <w:spacing w:val="-6"/>
          <w:sz w:val="24"/>
        </w:rPr>
        <w:t xml:space="preserve"> </w:t>
      </w:r>
      <w:r>
        <w:rPr>
          <w:i/>
          <w:color w:val="2C398A"/>
          <w:sz w:val="24"/>
        </w:rPr>
        <w:t>quality</w:t>
      </w:r>
      <w:r>
        <w:rPr>
          <w:i/>
          <w:color w:val="2C398A"/>
          <w:spacing w:val="-6"/>
          <w:sz w:val="24"/>
        </w:rPr>
        <w:t xml:space="preserve"> </w:t>
      </w:r>
      <w:r>
        <w:rPr>
          <w:i/>
          <w:color w:val="2C398A"/>
          <w:sz w:val="24"/>
        </w:rPr>
        <w:t>and</w:t>
      </w:r>
      <w:r>
        <w:rPr>
          <w:i/>
          <w:color w:val="2C398A"/>
          <w:spacing w:val="-9"/>
          <w:sz w:val="24"/>
        </w:rPr>
        <w:t xml:space="preserve"> </w:t>
      </w:r>
      <w:r>
        <w:rPr>
          <w:i/>
          <w:color w:val="2C398A"/>
          <w:sz w:val="24"/>
        </w:rPr>
        <w:t>labour</w:t>
      </w:r>
      <w:r>
        <w:rPr>
          <w:i/>
          <w:color w:val="2C398A"/>
          <w:spacing w:val="-7"/>
          <w:sz w:val="24"/>
        </w:rPr>
        <w:t xml:space="preserve"> </w:t>
      </w:r>
      <w:r>
        <w:rPr>
          <w:i/>
          <w:color w:val="2C398A"/>
          <w:sz w:val="24"/>
        </w:rPr>
        <w:t>market</w:t>
      </w:r>
      <w:r>
        <w:rPr>
          <w:i/>
          <w:color w:val="2C398A"/>
          <w:spacing w:val="-5"/>
          <w:sz w:val="24"/>
        </w:rPr>
        <w:t xml:space="preserve"> </w:t>
      </w:r>
      <w:r>
        <w:rPr>
          <w:i/>
          <w:color w:val="2C398A"/>
          <w:sz w:val="24"/>
        </w:rPr>
        <w:t>relevance;</w:t>
      </w:r>
      <w:r>
        <w:rPr>
          <w:i/>
          <w:color w:val="2C398A"/>
          <w:spacing w:val="-7"/>
          <w:sz w:val="24"/>
        </w:rPr>
        <w:t xml:space="preserve"> </w:t>
      </w:r>
      <w:r>
        <w:rPr>
          <w:i/>
          <w:color w:val="2C398A"/>
          <w:sz w:val="24"/>
        </w:rPr>
        <w:t>2020.CSR2.3.</w:t>
      </w:r>
      <w:r>
        <w:rPr>
          <w:i/>
          <w:color w:val="2C398A"/>
          <w:spacing w:val="-4"/>
          <w:sz w:val="24"/>
        </w:rPr>
        <w:t xml:space="preserve"> </w:t>
      </w:r>
      <w:r>
        <w:rPr>
          <w:i/>
          <w:color w:val="2C398A"/>
          <w:sz w:val="24"/>
        </w:rPr>
        <w:t>Promote</w:t>
      </w:r>
      <w:r>
        <w:rPr>
          <w:i/>
          <w:color w:val="2C398A"/>
          <w:spacing w:val="-7"/>
          <w:sz w:val="24"/>
        </w:rPr>
        <w:t xml:space="preserve"> </w:t>
      </w:r>
      <w:r>
        <w:rPr>
          <w:i/>
          <w:color w:val="2C398A"/>
          <w:sz w:val="24"/>
        </w:rPr>
        <w:t>the</w:t>
      </w:r>
      <w:r>
        <w:rPr>
          <w:i/>
          <w:color w:val="2C398A"/>
          <w:spacing w:val="-57"/>
          <w:sz w:val="24"/>
        </w:rPr>
        <w:t xml:space="preserve"> </w:t>
      </w:r>
      <w:r>
        <w:rPr>
          <w:i/>
          <w:color w:val="2C398A"/>
          <w:sz w:val="24"/>
        </w:rPr>
        <w:t>acquisition</w:t>
      </w:r>
      <w:r>
        <w:rPr>
          <w:i/>
          <w:color w:val="2C398A"/>
          <w:spacing w:val="-1"/>
          <w:sz w:val="24"/>
        </w:rPr>
        <w:t xml:space="preserve"> </w:t>
      </w:r>
      <w:r>
        <w:rPr>
          <w:i/>
          <w:color w:val="2C398A"/>
          <w:sz w:val="24"/>
        </w:rPr>
        <w:t>of skills</w:t>
      </w:r>
    </w:p>
    <w:p w:rsidR="00A56FE9" w:rsidRDefault="00A56FE9">
      <w:pPr>
        <w:pStyle w:val="Tijeloteksta"/>
        <w:spacing w:before="4"/>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842968433"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1669068364" name="Rectangle 188"/>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9426949" id="Group 187"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">
                <v:rect id="Rectangle 188"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" fillcolor="#2c398a" stroked="f"/>
                <w10:anchorlock/>
              </v:group>
            </w:pict>
          </mc:Fallback>
        </mc:AlternateContent>
      </w:r>
    </w:p>
    <w:p w:rsidR="00A56FE9" w:rsidRDefault="00000000">
      <w:pPr>
        <w:pStyle w:val="Tijeloteksta"/>
        <w:spacing w:before="154"/>
        <w:ind w:right="274"/>
      </w:pPr>
      <w:r>
        <w:t>During the last</w:t>
      </w:r>
      <w:r>
        <w:rPr>
          <w:spacing w:val="1"/>
        </w:rPr>
        <w:t xml:space="preserve"> </w:t>
      </w:r>
      <w:r>
        <w:t>year, several kindergartens have been built, extended, and reconstructed,</w:t>
      </w:r>
      <w:r>
        <w:rPr>
          <w:spacing w:val="1"/>
        </w:rPr>
        <w:t xml:space="preserve"> </w:t>
      </w:r>
      <w:r>
        <w:t>increasing accommodation capacities and the inclusion of children in pre-school education</w:t>
      </w:r>
      <w:r>
        <w:rPr>
          <w:spacing w:val="1"/>
        </w:rPr>
        <w:t xml:space="preserve"> </w:t>
      </w:r>
      <w:r>
        <w:t>programs. Nevertheless, the participation rate in early childhood and pre-school education</w:t>
      </w:r>
      <w:r>
        <w:rPr>
          <w:spacing w:val="1"/>
        </w:rPr>
        <w:t xml:space="preserve"> </w:t>
      </w:r>
      <w:r>
        <w:t>(ECPSE) in Croatia is still among the lowest in the EU. Therefore, it is necessary to make the</w:t>
      </w:r>
      <w:r>
        <w:rPr>
          <w:spacing w:val="1"/>
        </w:rPr>
        <w:t xml:space="preserve"> </w:t>
      </w:r>
      <w:r>
        <w:t>system</w:t>
      </w:r>
      <w:r>
        <w:rPr>
          <w:spacing w:val="-4"/>
        </w:rPr>
        <w:t xml:space="preserve"> </w:t>
      </w:r>
      <w:r>
        <w:t>of</w:t>
      </w:r>
      <w:r>
        <w:rPr>
          <w:spacing w:val="-4"/>
        </w:rPr>
        <w:t xml:space="preserve"> </w:t>
      </w:r>
      <w:r>
        <w:t>early</w:t>
      </w:r>
      <w:r>
        <w:rPr>
          <w:spacing w:val="-9"/>
        </w:rPr>
        <w:t xml:space="preserve"> </w:t>
      </w:r>
      <w:r>
        <w:t>and</w:t>
      </w:r>
      <w:r>
        <w:rPr>
          <w:spacing w:val="-3"/>
        </w:rPr>
        <w:t xml:space="preserve"> </w:t>
      </w:r>
      <w:r>
        <w:t>preschool</w:t>
      </w:r>
      <w:r>
        <w:rPr>
          <w:spacing w:val="-3"/>
        </w:rPr>
        <w:t xml:space="preserve"> </w:t>
      </w:r>
      <w:r>
        <w:t>education</w:t>
      </w:r>
      <w:r>
        <w:rPr>
          <w:spacing w:val="-3"/>
        </w:rPr>
        <w:t xml:space="preserve"> </w:t>
      </w:r>
      <w:r>
        <w:t>accessible</w:t>
      </w:r>
      <w:r>
        <w:rPr>
          <w:spacing w:val="-1"/>
        </w:rPr>
        <w:t xml:space="preserve"> </w:t>
      </w:r>
      <w:r>
        <w:t>to</w:t>
      </w:r>
      <w:r>
        <w:rPr>
          <w:spacing w:val="-3"/>
        </w:rPr>
        <w:t xml:space="preserve"> </w:t>
      </w:r>
      <w:r>
        <w:t>every</w:t>
      </w:r>
      <w:r>
        <w:rPr>
          <w:spacing w:val="-4"/>
        </w:rPr>
        <w:t xml:space="preserve"> </w:t>
      </w:r>
      <w:r>
        <w:t>child</w:t>
      </w:r>
      <w:r>
        <w:rPr>
          <w:spacing w:val="-4"/>
        </w:rPr>
        <w:t xml:space="preserve"> </w:t>
      </w:r>
      <w:r>
        <w:t>with</w:t>
      </w:r>
      <w:r>
        <w:rPr>
          <w:spacing w:val="-2"/>
        </w:rPr>
        <w:t xml:space="preserve"> </w:t>
      </w:r>
      <w:r>
        <w:t>measures</w:t>
      </w:r>
      <w:r>
        <w:rPr>
          <w:spacing w:val="-4"/>
        </w:rPr>
        <w:t xml:space="preserve"> </w:t>
      </w:r>
      <w:r>
        <w:t>to</w:t>
      </w:r>
      <w:r>
        <w:rPr>
          <w:spacing w:val="-2"/>
        </w:rPr>
        <w:t xml:space="preserve"> </w:t>
      </w:r>
      <w:r>
        <w:t>provide</w:t>
      </w:r>
      <w:r>
        <w:rPr>
          <w:spacing w:val="-5"/>
        </w:rPr>
        <w:t xml:space="preserve"> </w:t>
      </w:r>
      <w:r>
        <w:t>the</w:t>
      </w:r>
      <w:r>
        <w:rPr>
          <w:spacing w:val="-57"/>
        </w:rPr>
        <w:t xml:space="preserve"> </w:t>
      </w:r>
      <w:r>
        <w:t>necessary infrastructure and ensure the appropriate number and quality of educators</w:t>
      </w:r>
      <w:r>
        <w:rPr>
          <w:spacing w:val="1"/>
        </w:rPr>
        <w:t xml:space="preserve"> </w:t>
      </w:r>
      <w:r>
        <w:t>and</w:t>
      </w:r>
      <w:r>
        <w:rPr>
          <w:spacing w:val="1"/>
        </w:rPr>
        <w:t xml:space="preserve"> </w:t>
      </w:r>
      <w:r>
        <w:t>professional associates and managers. Amendments to the Preschool Education Act will open</w:t>
      </w:r>
      <w:r>
        <w:rPr>
          <w:spacing w:val="1"/>
        </w:rPr>
        <w:t xml:space="preserve"> </w:t>
      </w:r>
      <w:r>
        <w:t>opportunities for prolonging the preschool program. A call has been sent to cities, towns and</w:t>
      </w:r>
      <w:r>
        <w:rPr>
          <w:spacing w:val="1"/>
        </w:rPr>
        <w:t xml:space="preserve"> </w:t>
      </w:r>
      <w:r>
        <w:t>municipalities to participate in infrastructural projects involving the construction, extension,</w:t>
      </w:r>
      <w:r>
        <w:rPr>
          <w:spacing w:val="1"/>
        </w:rPr>
        <w:t xml:space="preserve"> </w:t>
      </w:r>
      <w:r>
        <w:t>reconstruction</w:t>
      </w:r>
      <w:r>
        <w:rPr>
          <w:spacing w:val="-1"/>
        </w:rPr>
        <w:t xml:space="preserve"> </w:t>
      </w:r>
      <w:r>
        <w:t>and</w:t>
      </w:r>
      <w:r>
        <w:rPr>
          <w:spacing w:val="2"/>
        </w:rPr>
        <w:t xml:space="preserve"> </w:t>
      </w:r>
      <w:r>
        <w:t>furbishing</w:t>
      </w:r>
      <w:r>
        <w:rPr>
          <w:spacing w:val="-3"/>
        </w:rPr>
        <w:t xml:space="preserve"> </w:t>
      </w:r>
      <w:r>
        <w:t>of preschool</w:t>
      </w:r>
      <w:r>
        <w:rPr>
          <w:spacing w:val="-1"/>
        </w:rPr>
        <w:t xml:space="preserve"> </w:t>
      </w:r>
      <w:r>
        <w:t>institutions in</w:t>
      </w:r>
      <w:r>
        <w:rPr>
          <w:spacing w:val="-1"/>
        </w:rPr>
        <w:t xml:space="preserve"> </w:t>
      </w:r>
      <w:r>
        <w:t>their</w:t>
      </w:r>
      <w:r>
        <w:rPr>
          <w:spacing w:val="-1"/>
        </w:rPr>
        <w:t xml:space="preserve"> </w:t>
      </w:r>
      <w:r>
        <w:t>respective</w:t>
      </w:r>
      <w:r>
        <w:rPr>
          <w:spacing w:val="-2"/>
        </w:rPr>
        <w:t xml:space="preserve"> </w:t>
      </w:r>
      <w:r>
        <w:t>localities.</w:t>
      </w:r>
    </w:p>
    <w:p w:rsidR="00A56FE9" w:rsidRDefault="00000000">
      <w:pPr>
        <w:pStyle w:val="Tijeloteksta"/>
        <w:spacing w:before="121"/>
        <w:ind w:right="279"/>
      </w:pPr>
      <w:r>
        <w:t>International assessments such as TIMSS, PIRLS and PISA show that students who have</w:t>
      </w:r>
      <w:r>
        <w:rPr>
          <w:spacing w:val="1"/>
        </w:rPr>
        <w:t xml:space="preserve"> </w:t>
      </w:r>
      <w:r>
        <w:t>attended preschool for a long time (three or more years) achieve better average results than</w:t>
      </w:r>
      <w:r>
        <w:rPr>
          <w:spacing w:val="1"/>
        </w:rPr>
        <w:t xml:space="preserve"> </w:t>
      </w:r>
      <w:r>
        <w:t>peers</w:t>
      </w:r>
      <w:r>
        <w:rPr>
          <w:spacing w:val="-1"/>
        </w:rPr>
        <w:t xml:space="preserve"> </w:t>
      </w:r>
      <w:r>
        <w:t>who</w:t>
      </w:r>
      <w:r>
        <w:rPr>
          <w:spacing w:val="2"/>
        </w:rPr>
        <w:t xml:space="preserve"> </w:t>
      </w:r>
      <w:r>
        <w:t>attended preschool for</w:t>
      </w:r>
      <w:r>
        <w:rPr>
          <w:spacing w:val="-1"/>
        </w:rPr>
        <w:t xml:space="preserve"> </w:t>
      </w:r>
      <w:r>
        <w:t>one</w:t>
      </w:r>
      <w:r>
        <w:rPr>
          <w:spacing w:val="3"/>
        </w:rPr>
        <w:t xml:space="preserve"> </w:t>
      </w:r>
      <w:r>
        <w:t>year or</w:t>
      </w:r>
      <w:r>
        <w:rPr>
          <w:spacing w:val="-3"/>
        </w:rPr>
        <w:t xml:space="preserve"> </w:t>
      </w:r>
      <w:r>
        <w:t>less.</w:t>
      </w:r>
    </w:p>
    <w:p w:rsidR="00A56FE9" w:rsidRDefault="00000000">
      <w:pPr>
        <w:pStyle w:val="Tijeloteksta"/>
        <w:spacing w:before="120"/>
        <w:ind w:right="274"/>
      </w:pPr>
      <w:r>
        <w:t>Regarding primary schools, Croatia is one of the countries with the shortest school days in the</w:t>
      </w:r>
      <w:r>
        <w:rPr>
          <w:spacing w:val="-57"/>
        </w:rPr>
        <w:t xml:space="preserve"> </w:t>
      </w:r>
      <w:r>
        <w:t>EU,</w:t>
      </w:r>
      <w:r>
        <w:rPr>
          <w:spacing w:val="1"/>
        </w:rPr>
        <w:t xml:space="preserve"> </w:t>
      </w:r>
      <w:r>
        <w:t>mainly</w:t>
      </w:r>
      <w:r>
        <w:rPr>
          <w:spacing w:val="1"/>
        </w:rPr>
        <w:t xml:space="preserve"> </w:t>
      </w:r>
      <w:r>
        <w:t>due</w:t>
      </w:r>
      <w:r>
        <w:rPr>
          <w:spacing w:val="1"/>
        </w:rPr>
        <w:t xml:space="preserve"> </w:t>
      </w:r>
      <w:r>
        <w:t>to</w:t>
      </w:r>
      <w:r>
        <w:rPr>
          <w:spacing w:val="1"/>
        </w:rPr>
        <w:t xml:space="preserve"> </w:t>
      </w:r>
      <w:r>
        <w:t>the</w:t>
      </w:r>
      <w:r>
        <w:rPr>
          <w:spacing w:val="1"/>
        </w:rPr>
        <w:t xml:space="preserve"> </w:t>
      </w:r>
      <w:r>
        <w:t>prevailing</w:t>
      </w:r>
      <w:r>
        <w:rPr>
          <w:spacing w:val="1"/>
        </w:rPr>
        <w:t xml:space="preserve"> </w:t>
      </w:r>
      <w:r>
        <w:t>two-shift</w:t>
      </w:r>
      <w:r>
        <w:rPr>
          <w:spacing w:val="1"/>
        </w:rPr>
        <w:t xml:space="preserve"> </w:t>
      </w:r>
      <w:r>
        <w:t>teaching</w:t>
      </w:r>
      <w:r>
        <w:rPr>
          <w:spacing w:val="1"/>
        </w:rPr>
        <w:t xml:space="preserve"> </w:t>
      </w:r>
      <w:r>
        <w:t>model,</w:t>
      </w:r>
      <w:r>
        <w:rPr>
          <w:spacing w:val="1"/>
        </w:rPr>
        <w:t xml:space="preserve"> </w:t>
      </w:r>
      <w:r>
        <w:t>resulting</w:t>
      </w:r>
      <w:r>
        <w:rPr>
          <w:spacing w:val="1"/>
        </w:rPr>
        <w:t xml:space="preserve"> </w:t>
      </w:r>
      <w:r>
        <w:t>in</w:t>
      </w:r>
      <w:r>
        <w:rPr>
          <w:spacing w:val="1"/>
        </w:rPr>
        <w:t xml:space="preserve"> </w:t>
      </w:r>
      <w:r>
        <w:t>fewer</w:t>
      </w:r>
      <w:r>
        <w:rPr>
          <w:spacing w:val="1"/>
        </w:rPr>
        <w:t xml:space="preserve"> </w:t>
      </w:r>
      <w:r>
        <w:t>learning</w:t>
      </w:r>
      <w:r>
        <w:rPr>
          <w:spacing w:val="1"/>
        </w:rPr>
        <w:t xml:space="preserve"> </w:t>
      </w:r>
      <w:r>
        <w:t>opportunities for all, especially the most vulnerable students. Infrastructural investments are</w:t>
      </w:r>
      <w:r>
        <w:rPr>
          <w:spacing w:val="1"/>
        </w:rPr>
        <w:t xml:space="preserve"> </w:t>
      </w:r>
      <w:r>
        <w:t>necessary</w:t>
      </w:r>
      <w:r>
        <w:rPr>
          <w:spacing w:val="1"/>
        </w:rPr>
        <w:t xml:space="preserve"> </w:t>
      </w:r>
      <w:r>
        <w:t>to</w:t>
      </w:r>
      <w:r>
        <w:rPr>
          <w:spacing w:val="1"/>
        </w:rPr>
        <w:t xml:space="preserve"> </w:t>
      </w:r>
      <w:r>
        <w:t>transition</w:t>
      </w:r>
      <w:r>
        <w:rPr>
          <w:spacing w:val="1"/>
        </w:rPr>
        <w:t xml:space="preserve"> </w:t>
      </w:r>
      <w:r>
        <w:t>the</w:t>
      </w:r>
      <w:r>
        <w:rPr>
          <w:spacing w:val="1"/>
        </w:rPr>
        <w:t xml:space="preserve"> </w:t>
      </w:r>
      <w:r>
        <w:t>education</w:t>
      </w:r>
      <w:r>
        <w:rPr>
          <w:spacing w:val="1"/>
        </w:rPr>
        <w:t xml:space="preserve"> </w:t>
      </w:r>
      <w:r>
        <w:t>system</w:t>
      </w:r>
      <w:r>
        <w:rPr>
          <w:spacing w:val="1"/>
        </w:rPr>
        <w:t xml:space="preserve"> </w:t>
      </w:r>
      <w:r>
        <w:t>to</w:t>
      </w:r>
      <w:r>
        <w:rPr>
          <w:spacing w:val="1"/>
        </w:rPr>
        <w:t xml:space="preserve"> </w:t>
      </w:r>
      <w:r>
        <w:t>a</w:t>
      </w:r>
      <w:r>
        <w:rPr>
          <w:spacing w:val="1"/>
        </w:rPr>
        <w:t xml:space="preserve"> </w:t>
      </w:r>
      <w:r>
        <w:t>single</w:t>
      </w:r>
      <w:r>
        <w:rPr>
          <w:spacing w:val="1"/>
        </w:rPr>
        <w:t xml:space="preserve"> </w:t>
      </w:r>
      <w:r>
        <w:t>school</w:t>
      </w:r>
      <w:r>
        <w:rPr>
          <w:spacing w:val="1"/>
        </w:rPr>
        <w:t xml:space="preserve"> </w:t>
      </w:r>
      <w:r>
        <w:t>shift,</w:t>
      </w:r>
      <w:r>
        <w:rPr>
          <w:spacing w:val="1"/>
        </w:rPr>
        <w:t xml:space="preserve"> </w:t>
      </w:r>
      <w:r>
        <w:t>the</w:t>
      </w:r>
      <w:r>
        <w:rPr>
          <w:spacing w:val="1"/>
        </w:rPr>
        <w:t xml:space="preserve"> </w:t>
      </w:r>
      <w:r>
        <w:t>contemporary</w:t>
      </w:r>
      <w:r>
        <w:rPr>
          <w:spacing w:val="1"/>
        </w:rPr>
        <w:t xml:space="preserve"> </w:t>
      </w:r>
      <w:r>
        <w:t>educational</w:t>
      </w:r>
      <w:r>
        <w:rPr>
          <w:spacing w:val="1"/>
        </w:rPr>
        <w:t xml:space="preserve"> </w:t>
      </w:r>
      <w:r>
        <w:t>model,</w:t>
      </w:r>
      <w:r>
        <w:rPr>
          <w:spacing w:val="1"/>
        </w:rPr>
        <w:t xml:space="preserve"> </w:t>
      </w:r>
      <w:r>
        <w:t>the</w:t>
      </w:r>
      <w:r>
        <w:rPr>
          <w:spacing w:val="1"/>
        </w:rPr>
        <w:t xml:space="preserve"> </w:t>
      </w:r>
      <w:r>
        <w:t>only precondition</w:t>
      </w:r>
      <w:r>
        <w:rPr>
          <w:spacing w:val="1"/>
        </w:rPr>
        <w:t xml:space="preserve"> </w:t>
      </w:r>
      <w:r>
        <w:t>for</w:t>
      </w:r>
      <w:r>
        <w:rPr>
          <w:spacing w:val="1"/>
        </w:rPr>
        <w:t xml:space="preserve"> </w:t>
      </w:r>
      <w:r>
        <w:t>all-day schools.</w:t>
      </w:r>
      <w:r>
        <w:rPr>
          <w:spacing w:val="1"/>
        </w:rPr>
        <w:t xml:space="preserve"> </w:t>
      </w:r>
      <w:r>
        <w:t>The</w:t>
      </w:r>
      <w:r>
        <w:rPr>
          <w:spacing w:val="1"/>
        </w:rPr>
        <w:t xml:space="preserve"> </w:t>
      </w:r>
      <w:r>
        <w:t>all-day school</w:t>
      </w:r>
      <w:r>
        <w:rPr>
          <w:spacing w:val="1"/>
        </w:rPr>
        <w:t xml:space="preserve"> </w:t>
      </w:r>
      <w:r>
        <w:t>model,</w:t>
      </w:r>
      <w:r>
        <w:rPr>
          <w:spacing w:val="1"/>
        </w:rPr>
        <w:t xml:space="preserve"> </w:t>
      </w:r>
      <w:r>
        <w:t>comprising an integral part of the curriculum reform in education, aims to increase the quality</w:t>
      </w:r>
      <w:r>
        <w:rPr>
          <w:spacing w:val="1"/>
        </w:rPr>
        <w:t xml:space="preserve"> </w:t>
      </w:r>
      <w:r>
        <w:t>of teaching and acquisition of learning outcomes for pupils, especial pupils from a lower</w:t>
      </w:r>
      <w:r>
        <w:rPr>
          <w:spacing w:val="1"/>
        </w:rPr>
        <w:t xml:space="preserve"> </w:t>
      </w:r>
      <w:r>
        <w:t>socioeconomic background, by increasing the number of compulsory school hours, organising</w:t>
      </w:r>
      <w:r>
        <w:rPr>
          <w:spacing w:val="-57"/>
        </w:rPr>
        <w:t xml:space="preserve"> </w:t>
      </w:r>
      <w:r>
        <w:t>and</w:t>
      </w:r>
      <w:r>
        <w:rPr>
          <w:spacing w:val="56"/>
        </w:rPr>
        <w:t xml:space="preserve"> </w:t>
      </w:r>
      <w:r>
        <w:t>implementing</w:t>
      </w:r>
      <w:r>
        <w:rPr>
          <w:spacing w:val="57"/>
        </w:rPr>
        <w:t xml:space="preserve"> </w:t>
      </w:r>
      <w:r>
        <w:t>additional</w:t>
      </w:r>
      <w:r>
        <w:rPr>
          <w:spacing w:val="56"/>
        </w:rPr>
        <w:t xml:space="preserve"> </w:t>
      </w:r>
      <w:r>
        <w:t>content</w:t>
      </w:r>
      <w:r>
        <w:rPr>
          <w:spacing w:val="57"/>
        </w:rPr>
        <w:t xml:space="preserve"> </w:t>
      </w:r>
      <w:r>
        <w:t>in</w:t>
      </w:r>
      <w:r>
        <w:rPr>
          <w:spacing w:val="57"/>
        </w:rPr>
        <w:t xml:space="preserve"> </w:t>
      </w:r>
      <w:r>
        <w:t>addition</w:t>
      </w:r>
      <w:r>
        <w:rPr>
          <w:spacing w:val="56"/>
        </w:rPr>
        <w:t xml:space="preserve"> </w:t>
      </w:r>
      <w:r>
        <w:t>to</w:t>
      </w:r>
      <w:r>
        <w:rPr>
          <w:spacing w:val="57"/>
        </w:rPr>
        <w:t xml:space="preserve"> </w:t>
      </w:r>
      <w:r>
        <w:t>continual</w:t>
      </w:r>
      <w:r>
        <w:rPr>
          <w:spacing w:val="56"/>
        </w:rPr>
        <w:t xml:space="preserve"> </w:t>
      </w:r>
      <w:r>
        <w:t>improvements</w:t>
      </w:r>
      <w:r>
        <w:rPr>
          <w:spacing w:val="57"/>
        </w:rPr>
        <w:t xml:space="preserve"> </w:t>
      </w:r>
      <w:r>
        <w:t>in</w:t>
      </w:r>
      <w:r>
        <w:rPr>
          <w:spacing w:val="57"/>
        </w:rPr>
        <w:t xml:space="preserve"> </w:t>
      </w:r>
      <w:r>
        <w:t>education</w:t>
      </w:r>
      <w:r>
        <w:rPr>
          <w:spacing w:val="-58"/>
        </w:rPr>
        <w:t xml:space="preserve"> </w:t>
      </w:r>
      <w:r>
        <w:t>personnel.</w:t>
      </w:r>
    </w:p>
    <w:p w:rsidR="00A56FE9" w:rsidRDefault="00000000">
      <w:pPr>
        <w:pStyle w:val="Tijeloteksta"/>
        <w:spacing w:before="121"/>
        <w:ind w:right="273"/>
      </w:pPr>
      <w:r>
        <w:t>Currently being implemented by the</w:t>
      </w:r>
      <w:r>
        <w:rPr>
          <w:spacing w:val="1"/>
        </w:rPr>
        <w:t xml:space="preserve"> </w:t>
      </w:r>
      <w:r>
        <w:t>year</w:t>
      </w:r>
      <w:r>
        <w:rPr>
          <w:spacing w:val="1"/>
        </w:rPr>
        <w:t xml:space="preserve"> </w:t>
      </w:r>
      <w:r>
        <w:t>2023</w:t>
      </w:r>
      <w:r>
        <w:rPr>
          <w:spacing w:val="1"/>
        </w:rPr>
        <w:t xml:space="preserve"> </w:t>
      </w:r>
      <w:r>
        <w:t>is the ESF project Modernisation of</w:t>
      </w:r>
      <w:r>
        <w:rPr>
          <w:spacing w:val="1"/>
        </w:rPr>
        <w:t xml:space="preserve"> </w:t>
      </w:r>
      <w:r>
        <w:t>the</w:t>
      </w:r>
      <w:r>
        <w:rPr>
          <w:spacing w:val="1"/>
        </w:rPr>
        <w:t xml:space="preserve"> </w:t>
      </w:r>
      <w:r>
        <w:t>Vocational Education and Training System (VET) which includes an entire series of activities</w:t>
      </w:r>
      <w:r>
        <w:rPr>
          <w:spacing w:val="-57"/>
        </w:rPr>
        <w:t xml:space="preserve"> </w:t>
      </w:r>
      <w:r>
        <w:t>directed to strengthening links between education and the labour market. The emphasis is on</w:t>
      </w:r>
      <w:r>
        <w:rPr>
          <w:spacing w:val="1"/>
        </w:rPr>
        <w:t xml:space="preserve"> </w:t>
      </w:r>
      <w:r>
        <w:rPr>
          <w:b/>
        </w:rPr>
        <w:t>developing</w:t>
      </w:r>
      <w:r>
        <w:rPr>
          <w:b/>
          <w:spacing w:val="1"/>
        </w:rPr>
        <w:t xml:space="preserve"> </w:t>
      </w:r>
      <w:r>
        <w:rPr>
          <w:b/>
        </w:rPr>
        <w:t>vocational</w:t>
      </w:r>
      <w:r>
        <w:rPr>
          <w:b/>
          <w:spacing w:val="1"/>
        </w:rPr>
        <w:t xml:space="preserve"> </w:t>
      </w:r>
      <w:r>
        <w:rPr>
          <w:b/>
        </w:rPr>
        <w:t>curricula</w:t>
      </w:r>
      <w:r>
        <w:rPr>
          <w:b/>
          <w:spacing w:val="1"/>
        </w:rPr>
        <w:t xml:space="preserve"> </w:t>
      </w:r>
      <w:r>
        <w:rPr>
          <w:b/>
        </w:rPr>
        <w:t>in</w:t>
      </w:r>
      <w:r>
        <w:rPr>
          <w:b/>
          <w:spacing w:val="1"/>
        </w:rPr>
        <w:t xml:space="preserve"> </w:t>
      </w:r>
      <w:r>
        <w:rPr>
          <w:b/>
        </w:rPr>
        <w:t>line</w:t>
      </w:r>
      <w:r>
        <w:rPr>
          <w:b/>
          <w:spacing w:val="1"/>
        </w:rPr>
        <w:t xml:space="preserve"> </w:t>
      </w:r>
      <w:r>
        <w:rPr>
          <w:b/>
        </w:rPr>
        <w:t>with</w:t>
      </w:r>
      <w:r>
        <w:rPr>
          <w:b/>
          <w:spacing w:val="1"/>
        </w:rPr>
        <w:t xml:space="preserve"> </w:t>
      </w:r>
      <w:r>
        <w:rPr>
          <w:b/>
        </w:rPr>
        <w:t>devised</w:t>
      </w:r>
      <w:r>
        <w:rPr>
          <w:b/>
          <w:spacing w:val="1"/>
        </w:rPr>
        <w:t xml:space="preserve"> </w:t>
      </w:r>
      <w:r>
        <w:rPr>
          <w:b/>
        </w:rPr>
        <w:t>vocational</w:t>
      </w:r>
      <w:r>
        <w:rPr>
          <w:b/>
          <w:spacing w:val="1"/>
        </w:rPr>
        <w:t xml:space="preserve"> </w:t>
      </w:r>
      <w:r>
        <w:rPr>
          <w:b/>
        </w:rPr>
        <w:t>standards</w:t>
      </w:r>
      <w:r>
        <w:rPr>
          <w:b/>
          <w:spacing w:val="1"/>
        </w:rPr>
        <w:t xml:space="preserve"> </w:t>
      </w:r>
      <w:r>
        <w:rPr>
          <w:b/>
        </w:rPr>
        <w:t>and</w:t>
      </w:r>
      <w:r>
        <w:rPr>
          <w:b/>
          <w:spacing w:val="1"/>
        </w:rPr>
        <w:t xml:space="preserve"> </w:t>
      </w:r>
      <w:r>
        <w:rPr>
          <w:b/>
        </w:rPr>
        <w:t>qualification standards</w:t>
      </w:r>
      <w:r>
        <w:t>, based on a curriculum approach and learning outcomes as well as</w:t>
      </w:r>
      <w:r>
        <w:rPr>
          <w:spacing w:val="1"/>
        </w:rPr>
        <w:t xml:space="preserve"> </w:t>
      </w:r>
      <w:r>
        <w:t>flexibility within the learning and teaching process and school autonomy. The development of</w:t>
      </w:r>
      <w:r>
        <w:rPr>
          <w:spacing w:val="-57"/>
        </w:rPr>
        <w:t xml:space="preserve"> </w:t>
      </w:r>
      <w:r>
        <w:t>sectorial curricula is currently in progress in rationalising the number of curricula, enabling</w:t>
      </w:r>
      <w:r>
        <w:rPr>
          <w:spacing w:val="1"/>
        </w:rPr>
        <w:t xml:space="preserve"> </w:t>
      </w:r>
      <w:r>
        <w:t>pupils better horizontal permeability and easier entry onto the labour market. This leads to</w:t>
      </w:r>
      <w:r>
        <w:rPr>
          <w:spacing w:val="1"/>
        </w:rPr>
        <w:t xml:space="preserve"> </w:t>
      </w:r>
      <w:r>
        <w:t>rationalising the number of curricula and reducing the significant fragmentation of vocational</w:t>
      </w:r>
      <w:r>
        <w:rPr>
          <w:spacing w:val="1"/>
        </w:rPr>
        <w:t xml:space="preserve"> </w:t>
      </w:r>
      <w:r>
        <w:t>curricula and educational</w:t>
      </w:r>
      <w:r>
        <w:rPr>
          <w:spacing w:val="2"/>
        </w:rPr>
        <w:t xml:space="preserve"> </w:t>
      </w:r>
      <w:r>
        <w:t>programs.</w:t>
      </w:r>
    </w:p>
    <w:p w:rsidR="00A56FE9" w:rsidRDefault="00A56FE9">
      <w:pPr>
        <w:sectPr w:rsidR="00A56FE9" w:rsidSect="00AB1E70">
          <w:pgSz w:w="11910" w:h="16840"/>
          <w:pgMar w:top="1340" w:right="1140" w:bottom="960" w:left="1280" w:header="0" w:footer="779" w:gutter="0"/>
          <w:cols w:space="720"/>
        </w:sectPr>
      </w:pPr>
    </w:p>
    <w:p w:rsidR="00A56FE9" w:rsidRDefault="00000000">
      <w:pPr>
        <w:pStyle w:val="Naslov5"/>
        <w:spacing w:before="79"/>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355333600"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331030586" name="Rectangle 186"/>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0D34035" id="Group 185"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HB4Ay9QAgAAEAUAAA4AAAAAAAAAAAAAAAAALgIAAGRycy9lMm9Eb2MueG1sUEsBAi0AFAAGAAgA&#10;AAAhAOjoSp3cAAAAAwEAAA8AAAAAAAAAAAAAAAAAqgQAAGRycy9kb3ducmV2LnhtbFBLBQYAAAAA&#10;BAAEAPMAAACzBQAAAAA=&#10;">
                <v:rect id="Rectangle 186"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" fillcolor="#2c398a" stroked="f"/>
                <w10:anchorlock/>
              </v:group>
            </w:pict>
          </mc:Fallback>
        </mc:AlternateContent>
      </w:r>
    </w:p>
    <w:p w:rsidR="00A56FE9" w:rsidRDefault="00000000">
      <w:pPr>
        <w:pStyle w:val="Tijeloteksta"/>
        <w:spacing w:before="154"/>
        <w:ind w:right="272"/>
      </w:pPr>
      <w:r>
        <w:t>The NRRP ensures funds for the construction, extension, reconstruction and equipping of</w:t>
      </w:r>
      <w:r>
        <w:rPr>
          <w:spacing w:val="1"/>
        </w:rPr>
        <w:t xml:space="preserve"> </w:t>
      </w:r>
      <w:r>
        <w:t>preschool institutions amounting to HRK 1.62 billion as a grant from the tender announced in</w:t>
      </w:r>
      <w:r>
        <w:rPr>
          <w:spacing w:val="1"/>
        </w:rPr>
        <w:t xml:space="preserve"> </w:t>
      </w:r>
      <w:r>
        <w:t>April 2022. As part of reform C3.1. R1. Structural Reform of the Education System, the</w:t>
      </w:r>
      <w:r>
        <w:rPr>
          <w:spacing w:val="1"/>
        </w:rPr>
        <w:t xml:space="preserve"> </w:t>
      </w:r>
      <w:r>
        <w:t>Government will adopt a model for financing the operating costs of</w:t>
      </w:r>
      <w:r>
        <w:rPr>
          <w:spacing w:val="1"/>
        </w:rPr>
        <w:t xml:space="preserve"> </w:t>
      </w:r>
      <w:r>
        <w:t>ECEC facilities for</w:t>
      </w:r>
      <w:r>
        <w:rPr>
          <w:spacing w:val="1"/>
        </w:rPr>
        <w:t xml:space="preserve"> </w:t>
      </w:r>
      <w:r>
        <w:t>municipalities/local</w:t>
      </w:r>
      <w:r>
        <w:rPr>
          <w:spacing w:val="1"/>
        </w:rPr>
        <w:t xml:space="preserve"> </w:t>
      </w:r>
      <w:r>
        <w:t>government</w:t>
      </w:r>
      <w:r>
        <w:rPr>
          <w:spacing w:val="1"/>
        </w:rPr>
        <w:t xml:space="preserve"> </w:t>
      </w:r>
      <w:r>
        <w:t>units</w:t>
      </w:r>
      <w:r>
        <w:rPr>
          <w:spacing w:val="1"/>
        </w:rPr>
        <w:t xml:space="preserve"> </w:t>
      </w:r>
      <w:r>
        <w:t>with</w:t>
      </w:r>
      <w:r>
        <w:rPr>
          <w:spacing w:val="1"/>
        </w:rPr>
        <w:t xml:space="preserve"> </w:t>
      </w:r>
      <w:r>
        <w:t>reduced</w:t>
      </w:r>
      <w:r>
        <w:rPr>
          <w:spacing w:val="1"/>
        </w:rPr>
        <w:t xml:space="preserve"> </w:t>
      </w:r>
      <w:r>
        <w:t>financial</w:t>
      </w:r>
      <w:r>
        <w:rPr>
          <w:spacing w:val="1"/>
        </w:rPr>
        <w:t xml:space="preserve"> </w:t>
      </w:r>
      <w:r>
        <w:t>capacity,</w:t>
      </w:r>
      <w:r>
        <w:rPr>
          <w:spacing w:val="1"/>
        </w:rPr>
        <w:t xml:space="preserve"> </w:t>
      </w:r>
      <w:r>
        <w:t>ensuring</w:t>
      </w:r>
      <w:r>
        <w:rPr>
          <w:spacing w:val="1"/>
        </w:rPr>
        <w:t xml:space="preserve"> </w:t>
      </w:r>
      <w:r>
        <w:t>the</w:t>
      </w:r>
      <w:r>
        <w:rPr>
          <w:spacing w:val="1"/>
        </w:rPr>
        <w:t xml:space="preserve"> </w:t>
      </w:r>
      <w:r>
        <w:t>sustainability</w:t>
      </w:r>
      <w:r>
        <w:rPr>
          <w:spacing w:val="-11"/>
        </w:rPr>
        <w:t xml:space="preserve"> </w:t>
      </w:r>
      <w:r>
        <w:t>of</w:t>
      </w:r>
      <w:r>
        <w:rPr>
          <w:spacing w:val="-5"/>
        </w:rPr>
        <w:t xml:space="preserve"> </w:t>
      </w:r>
      <w:r>
        <w:t>investments</w:t>
      </w:r>
      <w:r>
        <w:rPr>
          <w:spacing w:val="-3"/>
        </w:rPr>
        <w:t xml:space="preserve"> </w:t>
      </w:r>
      <w:r>
        <w:t>after</w:t>
      </w:r>
      <w:r>
        <w:rPr>
          <w:spacing w:val="-4"/>
        </w:rPr>
        <w:t xml:space="preserve"> </w:t>
      </w:r>
      <w:r>
        <w:t>the</w:t>
      </w:r>
      <w:r>
        <w:rPr>
          <w:spacing w:val="-4"/>
        </w:rPr>
        <w:t xml:space="preserve"> </w:t>
      </w:r>
      <w:r>
        <w:t>renovation</w:t>
      </w:r>
      <w:r>
        <w:rPr>
          <w:spacing w:val="-4"/>
        </w:rPr>
        <w:t xml:space="preserve"> </w:t>
      </w:r>
      <w:r>
        <w:t>of</w:t>
      </w:r>
      <w:r>
        <w:rPr>
          <w:spacing w:val="-4"/>
        </w:rPr>
        <w:t xml:space="preserve"> </w:t>
      </w:r>
      <w:r>
        <w:t>an</w:t>
      </w:r>
      <w:r>
        <w:rPr>
          <w:spacing w:val="-4"/>
        </w:rPr>
        <w:t xml:space="preserve"> </w:t>
      </w:r>
      <w:r>
        <w:t>existing</w:t>
      </w:r>
      <w:r>
        <w:rPr>
          <w:spacing w:val="-6"/>
        </w:rPr>
        <w:t xml:space="preserve"> </w:t>
      </w:r>
      <w:r>
        <w:t>or</w:t>
      </w:r>
      <w:r>
        <w:rPr>
          <w:spacing w:val="-4"/>
        </w:rPr>
        <w:t xml:space="preserve"> </w:t>
      </w:r>
      <w:r>
        <w:t>construction</w:t>
      </w:r>
      <w:r>
        <w:rPr>
          <w:spacing w:val="-4"/>
        </w:rPr>
        <w:t xml:space="preserve"> </w:t>
      </w:r>
      <w:r>
        <w:t>of</w:t>
      </w:r>
      <w:r>
        <w:rPr>
          <w:spacing w:val="-5"/>
        </w:rPr>
        <w:t xml:space="preserve"> </w:t>
      </w:r>
      <w:r>
        <w:t>a</w:t>
      </w:r>
      <w:r>
        <w:rPr>
          <w:spacing w:val="-5"/>
        </w:rPr>
        <w:t xml:space="preserve"> </w:t>
      </w:r>
      <w:r>
        <w:t>new</w:t>
      </w:r>
      <w:r>
        <w:rPr>
          <w:spacing w:val="1"/>
        </w:rPr>
        <w:t xml:space="preserve"> </w:t>
      </w:r>
      <w:r>
        <w:t>ECEC</w:t>
      </w:r>
      <w:r>
        <w:rPr>
          <w:spacing w:val="-58"/>
        </w:rPr>
        <w:t xml:space="preserve"> </w:t>
      </w:r>
      <w:r>
        <w:t>facility. This is also envisaged in the amendments to the Early Childhood Education and Care</w:t>
      </w:r>
      <w:r>
        <w:rPr>
          <w:spacing w:val="1"/>
        </w:rPr>
        <w:t xml:space="preserve"> </w:t>
      </w:r>
      <w:r>
        <w:t>Act</w:t>
      </w:r>
      <w:r>
        <w:rPr>
          <w:spacing w:val="-1"/>
        </w:rPr>
        <w:t xml:space="preserve"> </w:t>
      </w:r>
      <w:r>
        <w:t>(ECEC).</w:t>
      </w:r>
    </w:p>
    <w:p w:rsidR="00A56FE9" w:rsidRDefault="00000000">
      <w:pPr>
        <w:pStyle w:val="Tijeloteksta"/>
        <w:spacing w:before="120"/>
        <w:ind w:right="275"/>
      </w:pPr>
      <w:r>
        <w:t>To</w:t>
      </w:r>
      <w:r>
        <w:rPr>
          <w:spacing w:val="-7"/>
        </w:rPr>
        <w:t xml:space="preserve"> </w:t>
      </w:r>
      <w:r>
        <w:t>plan</w:t>
      </w:r>
      <w:r>
        <w:rPr>
          <w:spacing w:val="-7"/>
        </w:rPr>
        <w:t xml:space="preserve"> </w:t>
      </w:r>
      <w:r>
        <w:t>the</w:t>
      </w:r>
      <w:r>
        <w:rPr>
          <w:spacing w:val="-7"/>
        </w:rPr>
        <w:t xml:space="preserve"> </w:t>
      </w:r>
      <w:r>
        <w:t>provision</w:t>
      </w:r>
      <w:r>
        <w:rPr>
          <w:spacing w:val="-5"/>
        </w:rPr>
        <w:t xml:space="preserve"> </w:t>
      </w:r>
      <w:r>
        <w:t>of</w:t>
      </w:r>
      <w:r>
        <w:rPr>
          <w:spacing w:val="-5"/>
        </w:rPr>
        <w:t xml:space="preserve"> </w:t>
      </w:r>
      <w:r>
        <w:t>human</w:t>
      </w:r>
      <w:r>
        <w:rPr>
          <w:spacing w:val="-7"/>
        </w:rPr>
        <w:t xml:space="preserve"> </w:t>
      </w:r>
      <w:r>
        <w:t>resources,</w:t>
      </w:r>
      <w:r>
        <w:rPr>
          <w:spacing w:val="-5"/>
        </w:rPr>
        <w:t xml:space="preserve"> </w:t>
      </w:r>
      <w:r>
        <w:t>an</w:t>
      </w:r>
      <w:r>
        <w:rPr>
          <w:spacing w:val="-4"/>
        </w:rPr>
        <w:t xml:space="preserve"> </w:t>
      </w:r>
      <w:r>
        <w:t>assessment</w:t>
      </w:r>
      <w:r>
        <w:rPr>
          <w:spacing w:val="-6"/>
        </w:rPr>
        <w:t xml:space="preserve"> </w:t>
      </w:r>
      <w:r>
        <w:t>of</w:t>
      </w:r>
      <w:r>
        <w:rPr>
          <w:spacing w:val="-7"/>
        </w:rPr>
        <w:t xml:space="preserve"> </w:t>
      </w:r>
      <w:r>
        <w:t>the</w:t>
      </w:r>
      <w:r>
        <w:rPr>
          <w:spacing w:val="-4"/>
        </w:rPr>
        <w:t xml:space="preserve"> </w:t>
      </w:r>
      <w:r>
        <w:t>requirements</w:t>
      </w:r>
      <w:r>
        <w:rPr>
          <w:spacing w:val="-5"/>
        </w:rPr>
        <w:t xml:space="preserve"> </w:t>
      </w:r>
      <w:r>
        <w:t>for</w:t>
      </w:r>
      <w:r>
        <w:rPr>
          <w:spacing w:val="-8"/>
        </w:rPr>
        <w:t xml:space="preserve"> </w:t>
      </w:r>
      <w:r>
        <w:t>education</w:t>
      </w:r>
      <w:r>
        <w:rPr>
          <w:spacing w:val="-5"/>
        </w:rPr>
        <w:t xml:space="preserve"> </w:t>
      </w:r>
      <w:r>
        <w:t>and</w:t>
      </w:r>
      <w:r>
        <w:rPr>
          <w:spacing w:val="-58"/>
        </w:rPr>
        <w:t xml:space="preserve"> </w:t>
      </w:r>
      <w:r>
        <w:t>employment</w:t>
      </w:r>
      <w:r>
        <w:rPr>
          <w:spacing w:val="-1"/>
        </w:rPr>
        <w:t xml:space="preserve"> </w:t>
      </w:r>
      <w:r>
        <w:t>of</w:t>
      </w:r>
      <w:r>
        <w:rPr>
          <w:spacing w:val="1"/>
        </w:rPr>
        <w:t xml:space="preserve"> </w:t>
      </w:r>
      <w:r>
        <w:t>educators</w:t>
      </w:r>
      <w:r>
        <w:rPr>
          <w:spacing w:val="-1"/>
        </w:rPr>
        <w:t xml:space="preserve"> </w:t>
      </w:r>
      <w:r>
        <w:t>has been</w:t>
      </w:r>
      <w:r>
        <w:rPr>
          <w:spacing w:val="1"/>
        </w:rPr>
        <w:t xml:space="preserve"> </w:t>
      </w:r>
      <w:r>
        <w:t>done,</w:t>
      </w:r>
      <w:r>
        <w:rPr>
          <w:spacing w:val="-1"/>
        </w:rPr>
        <w:t xml:space="preserve"> </w:t>
      </w:r>
      <w:r>
        <w:t>enabling amendments to</w:t>
      </w:r>
      <w:r>
        <w:rPr>
          <w:spacing w:val="-1"/>
        </w:rPr>
        <w:t xml:space="preserve"> </w:t>
      </w:r>
      <w:r>
        <w:t>the ECEC Act.</w:t>
      </w:r>
    </w:p>
    <w:p w:rsidR="00A56FE9" w:rsidRDefault="00000000">
      <w:pPr>
        <w:spacing w:before="121"/>
        <w:ind w:left="138" w:right="272"/>
        <w:jc w:val="both"/>
        <w:rPr>
          <w:b/>
          <w:sz w:val="24"/>
        </w:rPr>
      </w:pPr>
      <w:r>
        <w:rPr>
          <w:sz w:val="24"/>
        </w:rPr>
        <w:t xml:space="preserve">The </w:t>
      </w:r>
      <w:r>
        <w:rPr>
          <w:b/>
          <w:sz w:val="24"/>
        </w:rPr>
        <w:t xml:space="preserve">all-day school model will be prepared </w:t>
      </w:r>
      <w:r>
        <w:rPr>
          <w:sz w:val="24"/>
        </w:rPr>
        <w:t>based on available analyses from European</w:t>
      </w:r>
      <w:r>
        <w:rPr>
          <w:spacing w:val="1"/>
          <w:sz w:val="24"/>
        </w:rPr>
        <w:t xml:space="preserve"> </w:t>
      </w:r>
      <w:r>
        <w:rPr>
          <w:sz w:val="24"/>
        </w:rPr>
        <w:t>comparative</w:t>
      </w:r>
      <w:r>
        <w:rPr>
          <w:spacing w:val="-3"/>
          <w:sz w:val="24"/>
        </w:rPr>
        <w:t xml:space="preserve"> </w:t>
      </w:r>
      <w:r>
        <w:rPr>
          <w:sz w:val="24"/>
        </w:rPr>
        <w:t>reports</w:t>
      </w:r>
      <w:r>
        <w:rPr>
          <w:spacing w:val="-2"/>
          <w:sz w:val="24"/>
        </w:rPr>
        <w:t xml:space="preserve"> </w:t>
      </w:r>
      <w:r>
        <w:rPr>
          <w:sz w:val="24"/>
        </w:rPr>
        <w:t>and</w:t>
      </w:r>
      <w:r>
        <w:rPr>
          <w:spacing w:val="-1"/>
          <w:sz w:val="24"/>
        </w:rPr>
        <w:t xml:space="preserve"> </w:t>
      </w:r>
      <w:r>
        <w:rPr>
          <w:sz w:val="24"/>
        </w:rPr>
        <w:t>detailed</w:t>
      </w:r>
      <w:r>
        <w:rPr>
          <w:spacing w:val="-2"/>
          <w:sz w:val="24"/>
        </w:rPr>
        <w:t xml:space="preserve"> </w:t>
      </w:r>
      <w:r>
        <w:rPr>
          <w:sz w:val="24"/>
        </w:rPr>
        <w:t>analysis</w:t>
      </w:r>
      <w:r>
        <w:rPr>
          <w:spacing w:val="-1"/>
          <w:sz w:val="24"/>
        </w:rPr>
        <w:t xml:space="preserve"> </w:t>
      </w:r>
      <w:r>
        <w:rPr>
          <w:sz w:val="24"/>
        </w:rPr>
        <w:t>of</w:t>
      </w:r>
      <w:r>
        <w:rPr>
          <w:spacing w:val="-2"/>
          <w:sz w:val="24"/>
        </w:rPr>
        <w:t xml:space="preserve"> </w:t>
      </w:r>
      <w:r>
        <w:rPr>
          <w:sz w:val="24"/>
        </w:rPr>
        <w:t>standards</w:t>
      </w:r>
      <w:r>
        <w:rPr>
          <w:spacing w:val="-1"/>
          <w:sz w:val="24"/>
        </w:rPr>
        <w:t xml:space="preserve"> </w:t>
      </w:r>
      <w:r>
        <w:rPr>
          <w:sz w:val="24"/>
        </w:rPr>
        <w:t>and</w:t>
      </w:r>
      <w:r>
        <w:rPr>
          <w:spacing w:val="-2"/>
          <w:sz w:val="24"/>
        </w:rPr>
        <w:t xml:space="preserve"> </w:t>
      </w:r>
      <w:r>
        <w:rPr>
          <w:sz w:val="24"/>
        </w:rPr>
        <w:t>norms</w:t>
      </w:r>
      <w:r>
        <w:rPr>
          <w:spacing w:val="-1"/>
          <w:sz w:val="24"/>
        </w:rPr>
        <w:t xml:space="preserve"> </w:t>
      </w:r>
      <w:r>
        <w:rPr>
          <w:sz w:val="24"/>
        </w:rPr>
        <w:t>related</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construction</w:t>
      </w:r>
      <w:r>
        <w:rPr>
          <w:spacing w:val="-1"/>
          <w:sz w:val="24"/>
        </w:rPr>
        <w:t xml:space="preserve"> </w:t>
      </w:r>
      <w:r>
        <w:rPr>
          <w:sz w:val="24"/>
        </w:rPr>
        <w:t>of</w:t>
      </w:r>
      <w:r>
        <w:rPr>
          <w:spacing w:val="-58"/>
          <w:sz w:val="24"/>
        </w:rPr>
        <w:t xml:space="preserve"> </w:t>
      </w:r>
      <w:r>
        <w:rPr>
          <w:sz w:val="24"/>
        </w:rPr>
        <w:t>schools, the formation of classrooms, teacher norms and the like, along with close cooperation</w:t>
      </w:r>
      <w:r>
        <w:rPr>
          <w:spacing w:val="-57"/>
          <w:sz w:val="24"/>
        </w:rPr>
        <w:t xml:space="preserve"> </w:t>
      </w:r>
      <w:r>
        <w:rPr>
          <w:sz w:val="24"/>
        </w:rPr>
        <w:t>from</w:t>
      </w:r>
      <w:r>
        <w:rPr>
          <w:spacing w:val="-8"/>
          <w:sz w:val="24"/>
        </w:rPr>
        <w:t xml:space="preserve"> </w:t>
      </w:r>
      <w:r>
        <w:rPr>
          <w:sz w:val="24"/>
        </w:rPr>
        <w:t>stakeholders</w:t>
      </w:r>
      <w:r>
        <w:rPr>
          <w:spacing w:val="-9"/>
          <w:sz w:val="24"/>
        </w:rPr>
        <w:t xml:space="preserve"> </w:t>
      </w:r>
      <w:r>
        <w:rPr>
          <w:sz w:val="24"/>
        </w:rPr>
        <w:t>through</w:t>
      </w:r>
      <w:r>
        <w:rPr>
          <w:spacing w:val="-8"/>
          <w:sz w:val="24"/>
        </w:rPr>
        <w:t xml:space="preserve"> </w:t>
      </w:r>
      <w:r>
        <w:rPr>
          <w:sz w:val="24"/>
        </w:rPr>
        <w:t>established</w:t>
      </w:r>
      <w:r>
        <w:rPr>
          <w:spacing w:val="-6"/>
          <w:sz w:val="24"/>
        </w:rPr>
        <w:t xml:space="preserve"> </w:t>
      </w:r>
      <w:r>
        <w:rPr>
          <w:sz w:val="24"/>
        </w:rPr>
        <w:t>consultative</w:t>
      </w:r>
      <w:r>
        <w:rPr>
          <w:spacing w:val="-9"/>
          <w:sz w:val="24"/>
        </w:rPr>
        <w:t xml:space="preserve"> </w:t>
      </w:r>
      <w:r>
        <w:rPr>
          <w:sz w:val="24"/>
        </w:rPr>
        <w:t>procedures.</w:t>
      </w:r>
      <w:r>
        <w:rPr>
          <w:spacing w:val="-6"/>
          <w:sz w:val="24"/>
        </w:rPr>
        <w:t xml:space="preserve"> </w:t>
      </w:r>
      <w:r>
        <w:rPr>
          <w:sz w:val="24"/>
        </w:rPr>
        <w:t>At</w:t>
      </w:r>
      <w:r>
        <w:rPr>
          <w:spacing w:val="-9"/>
          <w:sz w:val="24"/>
        </w:rPr>
        <w:t xml:space="preserve"> </w:t>
      </w:r>
      <w:r>
        <w:rPr>
          <w:sz w:val="24"/>
        </w:rPr>
        <w:t>the</w:t>
      </w:r>
      <w:r>
        <w:rPr>
          <w:spacing w:val="-6"/>
          <w:sz w:val="24"/>
        </w:rPr>
        <w:t xml:space="preserve"> </w:t>
      </w:r>
      <w:r>
        <w:rPr>
          <w:sz w:val="24"/>
        </w:rPr>
        <w:t>same</w:t>
      </w:r>
      <w:r>
        <w:rPr>
          <w:spacing w:val="-7"/>
          <w:sz w:val="24"/>
        </w:rPr>
        <w:t xml:space="preserve"> </w:t>
      </w:r>
      <w:r>
        <w:rPr>
          <w:sz w:val="24"/>
        </w:rPr>
        <w:t>time,</w:t>
      </w:r>
      <w:r>
        <w:rPr>
          <w:spacing w:val="-8"/>
          <w:sz w:val="24"/>
        </w:rPr>
        <w:t xml:space="preserve"> </w:t>
      </w:r>
      <w:r>
        <w:rPr>
          <w:sz w:val="24"/>
        </w:rPr>
        <w:t>the</w:t>
      </w:r>
      <w:r>
        <w:rPr>
          <w:spacing w:val="-7"/>
          <w:sz w:val="24"/>
        </w:rPr>
        <w:t xml:space="preserve"> </w:t>
      </w:r>
      <w:r>
        <w:rPr>
          <w:sz w:val="24"/>
        </w:rPr>
        <w:t>MSE</w:t>
      </w:r>
      <w:r>
        <w:rPr>
          <w:spacing w:val="-9"/>
          <w:sz w:val="24"/>
        </w:rPr>
        <w:t xml:space="preserve"> </w:t>
      </w:r>
      <w:r>
        <w:rPr>
          <w:sz w:val="24"/>
        </w:rPr>
        <w:t>will</w:t>
      </w:r>
      <w:r>
        <w:rPr>
          <w:spacing w:val="-57"/>
          <w:sz w:val="24"/>
        </w:rPr>
        <w:t xml:space="preserve"> </w:t>
      </w:r>
      <w:r>
        <w:rPr>
          <w:b/>
          <w:sz w:val="24"/>
        </w:rPr>
        <w:t>develop</w:t>
      </w:r>
      <w:r>
        <w:rPr>
          <w:b/>
          <w:spacing w:val="1"/>
          <w:sz w:val="24"/>
        </w:rPr>
        <w:t xml:space="preserve"> </w:t>
      </w:r>
      <w:r>
        <w:rPr>
          <w:b/>
          <w:sz w:val="24"/>
        </w:rPr>
        <w:t>criteria</w:t>
      </w:r>
      <w:r>
        <w:rPr>
          <w:b/>
          <w:spacing w:val="1"/>
          <w:sz w:val="24"/>
        </w:rPr>
        <w:t xml:space="preserve"> </w:t>
      </w:r>
      <w:r>
        <w:rPr>
          <w:b/>
          <w:sz w:val="24"/>
        </w:rPr>
        <w:t>and</w:t>
      </w:r>
      <w:r>
        <w:rPr>
          <w:b/>
          <w:spacing w:val="1"/>
          <w:sz w:val="24"/>
        </w:rPr>
        <w:t xml:space="preserve"> </w:t>
      </w:r>
      <w:r>
        <w:rPr>
          <w:b/>
          <w:sz w:val="24"/>
        </w:rPr>
        <w:t>publish</w:t>
      </w:r>
      <w:r>
        <w:rPr>
          <w:b/>
          <w:spacing w:val="1"/>
          <w:sz w:val="24"/>
        </w:rPr>
        <w:t xml:space="preserve"> </w:t>
      </w:r>
      <w:r>
        <w:rPr>
          <w:b/>
          <w:sz w:val="24"/>
        </w:rPr>
        <w:t>an</w:t>
      </w:r>
      <w:r>
        <w:rPr>
          <w:b/>
          <w:spacing w:val="1"/>
          <w:sz w:val="24"/>
        </w:rPr>
        <w:t xml:space="preserve"> </w:t>
      </w:r>
      <w:r>
        <w:rPr>
          <w:b/>
          <w:sz w:val="24"/>
        </w:rPr>
        <w:t>invitation</w:t>
      </w:r>
      <w:r>
        <w:rPr>
          <w:b/>
          <w:spacing w:val="1"/>
          <w:sz w:val="24"/>
        </w:rPr>
        <w:t xml:space="preserve"> </w:t>
      </w:r>
      <w:r>
        <w:rPr>
          <w:b/>
          <w:sz w:val="24"/>
        </w:rPr>
        <w:t>to</w:t>
      </w:r>
      <w:r>
        <w:rPr>
          <w:b/>
          <w:spacing w:val="1"/>
          <w:sz w:val="24"/>
        </w:rPr>
        <w:t xml:space="preserve"> </w:t>
      </w:r>
      <w:r>
        <w:rPr>
          <w:b/>
          <w:sz w:val="24"/>
        </w:rPr>
        <w:t>the</w:t>
      </w:r>
      <w:r>
        <w:rPr>
          <w:b/>
          <w:spacing w:val="1"/>
          <w:sz w:val="24"/>
        </w:rPr>
        <w:t xml:space="preserve"> </w:t>
      </w:r>
      <w:r>
        <w:rPr>
          <w:b/>
          <w:sz w:val="24"/>
        </w:rPr>
        <w:t>school</w:t>
      </w:r>
      <w:r>
        <w:rPr>
          <w:b/>
          <w:spacing w:val="1"/>
          <w:sz w:val="24"/>
        </w:rPr>
        <w:t xml:space="preserve"> </w:t>
      </w:r>
      <w:r>
        <w:rPr>
          <w:b/>
          <w:sz w:val="24"/>
        </w:rPr>
        <w:t>founders</w:t>
      </w:r>
      <w:r>
        <w:rPr>
          <w:b/>
          <w:spacing w:val="1"/>
          <w:sz w:val="24"/>
        </w:rPr>
        <w:t xml:space="preserve"> </w:t>
      </w:r>
      <w:r>
        <w:rPr>
          <w:b/>
          <w:sz w:val="24"/>
        </w:rPr>
        <w:t>to</w:t>
      </w:r>
      <w:r>
        <w:rPr>
          <w:b/>
          <w:spacing w:val="1"/>
          <w:sz w:val="24"/>
        </w:rPr>
        <w:t xml:space="preserve"> </w:t>
      </w:r>
      <w:r>
        <w:rPr>
          <w:b/>
          <w:sz w:val="24"/>
        </w:rPr>
        <w:t>upgrade</w:t>
      </w:r>
      <w:r>
        <w:rPr>
          <w:b/>
          <w:spacing w:val="1"/>
          <w:sz w:val="24"/>
        </w:rPr>
        <w:t xml:space="preserve"> </w:t>
      </w:r>
      <w:r>
        <w:rPr>
          <w:b/>
          <w:sz w:val="24"/>
        </w:rPr>
        <w:t>and</w:t>
      </w:r>
      <w:r>
        <w:rPr>
          <w:b/>
          <w:spacing w:val="1"/>
          <w:sz w:val="24"/>
        </w:rPr>
        <w:t xml:space="preserve"> </w:t>
      </w:r>
      <w:r>
        <w:rPr>
          <w:b/>
          <w:sz w:val="24"/>
        </w:rPr>
        <w:t>construction schools.</w:t>
      </w:r>
    </w:p>
    <w:p w:rsidR="00A56FE9" w:rsidRDefault="00000000">
      <w:pPr>
        <w:pStyle w:val="Tijeloteksta"/>
        <w:spacing w:before="120"/>
        <w:ind w:right="276"/>
      </w:pPr>
      <w:r>
        <w:t>To improve general secondary education and modernise vocational education and training, the</w:t>
      </w:r>
      <w:r>
        <w:rPr>
          <w:spacing w:val="-57"/>
        </w:rPr>
        <w:t xml:space="preserve"> </w:t>
      </w:r>
      <w:r>
        <w:t>plan</w:t>
      </w:r>
      <w:r>
        <w:rPr>
          <w:spacing w:val="1"/>
        </w:rPr>
        <w:t xml:space="preserve"> </w:t>
      </w:r>
      <w:r>
        <w:t>includes</w:t>
      </w:r>
      <w:r>
        <w:rPr>
          <w:spacing w:val="1"/>
        </w:rPr>
        <w:t xml:space="preserve"> </w:t>
      </w:r>
      <w:r>
        <w:t>reform</w:t>
      </w:r>
      <w:r>
        <w:rPr>
          <w:spacing w:val="1"/>
        </w:rPr>
        <w:t xml:space="preserve"> </w:t>
      </w:r>
      <w:r>
        <w:t>interventions</w:t>
      </w:r>
      <w:r>
        <w:rPr>
          <w:spacing w:val="1"/>
        </w:rPr>
        <w:t xml:space="preserve"> </w:t>
      </w:r>
      <w:r>
        <w:t>such</w:t>
      </w:r>
      <w:r>
        <w:rPr>
          <w:spacing w:val="1"/>
        </w:rPr>
        <w:t xml:space="preserve"> </w:t>
      </w:r>
      <w:r>
        <w:t>as</w:t>
      </w:r>
      <w:r>
        <w:rPr>
          <w:spacing w:val="1"/>
        </w:rPr>
        <w:t xml:space="preserve"> </w:t>
      </w:r>
      <w:r>
        <w:t>higher</w:t>
      </w:r>
      <w:r>
        <w:rPr>
          <w:spacing w:val="1"/>
        </w:rPr>
        <w:t xml:space="preserve"> </w:t>
      </w:r>
      <w:r>
        <w:t>participation</w:t>
      </w:r>
      <w:r>
        <w:rPr>
          <w:spacing w:val="1"/>
        </w:rPr>
        <w:t xml:space="preserve"> </w:t>
      </w:r>
      <w:r>
        <w:t>rates</w:t>
      </w:r>
      <w:r>
        <w:rPr>
          <w:spacing w:val="1"/>
        </w:rPr>
        <w:t xml:space="preserve"> </w:t>
      </w:r>
      <w:r>
        <w:t>in</w:t>
      </w:r>
      <w:r>
        <w:rPr>
          <w:spacing w:val="1"/>
        </w:rPr>
        <w:t xml:space="preserve"> </w:t>
      </w:r>
      <w:r>
        <w:t>grammar</w:t>
      </w:r>
      <w:r>
        <w:rPr>
          <w:spacing w:val="1"/>
        </w:rPr>
        <w:t xml:space="preserve"> </w:t>
      </w:r>
      <w:r>
        <w:t>school</w:t>
      </w:r>
      <w:r>
        <w:rPr>
          <w:spacing w:val="-57"/>
        </w:rPr>
        <w:t xml:space="preserve"> </w:t>
      </w:r>
      <w:r>
        <w:t>(gymnasium)</w:t>
      </w:r>
      <w:r>
        <w:rPr>
          <w:spacing w:val="1"/>
        </w:rPr>
        <w:t xml:space="preserve"> </w:t>
      </w:r>
      <w:r>
        <w:t>programs</w:t>
      </w:r>
      <w:r>
        <w:rPr>
          <w:spacing w:val="1"/>
        </w:rPr>
        <w:t xml:space="preserve"> </w:t>
      </w:r>
      <w:r>
        <w:t>and</w:t>
      </w:r>
      <w:r>
        <w:rPr>
          <w:spacing w:val="1"/>
        </w:rPr>
        <w:t xml:space="preserve"> </w:t>
      </w:r>
      <w:r>
        <w:t>the optimisation, rationalisation and adaptation of vocational</w:t>
      </w:r>
      <w:r>
        <w:rPr>
          <w:spacing w:val="1"/>
        </w:rPr>
        <w:t xml:space="preserve"> </w:t>
      </w:r>
      <w:r>
        <w:t>education</w:t>
      </w:r>
      <w:r>
        <w:rPr>
          <w:spacing w:val="-1"/>
        </w:rPr>
        <w:t xml:space="preserve"> </w:t>
      </w:r>
      <w:r>
        <w:t>programs to the</w:t>
      </w:r>
      <w:r>
        <w:rPr>
          <w:spacing w:val="-1"/>
        </w:rPr>
        <w:t xml:space="preserve"> </w:t>
      </w:r>
      <w:r>
        <w:t>development</w:t>
      </w:r>
      <w:r>
        <w:rPr>
          <w:spacing w:val="2"/>
        </w:rPr>
        <w:t xml:space="preserve"> </w:t>
      </w:r>
      <w:r>
        <w:t>requirements</w:t>
      </w:r>
      <w:r>
        <w:rPr>
          <w:spacing w:val="1"/>
        </w:rPr>
        <w:t xml:space="preserve"> </w:t>
      </w:r>
      <w:r>
        <w:t>of the</w:t>
      </w:r>
      <w:r>
        <w:rPr>
          <w:spacing w:val="-3"/>
        </w:rPr>
        <w:t xml:space="preserve"> </w:t>
      </w:r>
      <w:r>
        <w:t>economy.</w:t>
      </w:r>
    </w:p>
    <w:p w:rsidR="00A56FE9" w:rsidRDefault="00000000">
      <w:pPr>
        <w:pStyle w:val="Tijeloteksta"/>
        <w:spacing w:before="120"/>
        <w:ind w:right="274"/>
      </w:pPr>
      <w:r>
        <w:t>To implement these reform interventions, an analysis of secondary education will be prepared,</w:t>
      </w:r>
      <w:r>
        <w:rPr>
          <w:spacing w:val="-58"/>
        </w:rPr>
        <w:t xml:space="preserve"> </w:t>
      </w:r>
      <w:r>
        <w:t>and a report presented at the national, regional and county level (NUTS 1,2,3) showing the</w:t>
      </w:r>
      <w:r>
        <w:rPr>
          <w:spacing w:val="1"/>
        </w:rPr>
        <w:t xml:space="preserve"> </w:t>
      </w:r>
      <w:r>
        <w:rPr>
          <w:spacing w:val="-1"/>
        </w:rPr>
        <w:t>structure</w:t>
      </w:r>
      <w:r>
        <w:rPr>
          <w:spacing w:val="-14"/>
        </w:rPr>
        <w:t xml:space="preserve"> </w:t>
      </w:r>
      <w:r>
        <w:t>of</w:t>
      </w:r>
      <w:r>
        <w:rPr>
          <w:spacing w:val="-11"/>
        </w:rPr>
        <w:t xml:space="preserve"> </w:t>
      </w:r>
      <w:r>
        <w:t>supply</w:t>
      </w:r>
      <w:r>
        <w:rPr>
          <w:spacing w:val="-15"/>
        </w:rPr>
        <w:t xml:space="preserve"> </w:t>
      </w:r>
      <w:r>
        <w:t>and</w:t>
      </w:r>
      <w:r>
        <w:rPr>
          <w:spacing w:val="-12"/>
        </w:rPr>
        <w:t xml:space="preserve"> </w:t>
      </w:r>
      <w:r>
        <w:t>enrolments</w:t>
      </w:r>
      <w:r>
        <w:rPr>
          <w:spacing w:val="-10"/>
        </w:rPr>
        <w:t xml:space="preserve"> </w:t>
      </w:r>
      <w:r>
        <w:t>in</w:t>
      </w:r>
      <w:r>
        <w:rPr>
          <w:spacing w:val="-12"/>
        </w:rPr>
        <w:t xml:space="preserve"> </w:t>
      </w:r>
      <w:r>
        <w:t>secondary</w:t>
      </w:r>
      <w:r>
        <w:rPr>
          <w:spacing w:val="-15"/>
        </w:rPr>
        <w:t xml:space="preserve"> </w:t>
      </w:r>
      <w:r>
        <w:t>school</w:t>
      </w:r>
      <w:r>
        <w:rPr>
          <w:spacing w:val="-12"/>
        </w:rPr>
        <w:t xml:space="preserve"> </w:t>
      </w:r>
      <w:r>
        <w:t>programs,</w:t>
      </w:r>
      <w:r>
        <w:rPr>
          <w:spacing w:val="-10"/>
        </w:rPr>
        <w:t xml:space="preserve"> </w:t>
      </w:r>
      <w:r>
        <w:t>while</w:t>
      </w:r>
      <w:r>
        <w:rPr>
          <w:spacing w:val="-13"/>
        </w:rPr>
        <w:t xml:space="preserve"> </w:t>
      </w:r>
      <w:r>
        <w:t>identifying</w:t>
      </w:r>
      <w:r>
        <w:rPr>
          <w:spacing w:val="-15"/>
        </w:rPr>
        <w:t xml:space="preserve"> </w:t>
      </w:r>
      <w:r>
        <w:t>inequalities</w:t>
      </w:r>
      <w:r>
        <w:rPr>
          <w:spacing w:val="-57"/>
        </w:rPr>
        <w:t xml:space="preserve"> </w:t>
      </w:r>
      <w:r>
        <w:t>and discrepancies between counties. Modalities will be proposed to increase and equalise the</w:t>
      </w:r>
      <w:r>
        <w:rPr>
          <w:spacing w:val="1"/>
        </w:rPr>
        <w:t xml:space="preserve"> </w:t>
      </w:r>
      <w:r>
        <w:t>availability of grammar school (gymnasium) programs from the existing capacities and reduce</w:t>
      </w:r>
      <w:r>
        <w:rPr>
          <w:spacing w:val="-57"/>
        </w:rPr>
        <w:t xml:space="preserve"> </w:t>
      </w:r>
      <w:r>
        <w:t>the</w:t>
      </w:r>
      <w:r>
        <w:rPr>
          <w:spacing w:val="-1"/>
        </w:rPr>
        <w:t xml:space="preserve"> </w:t>
      </w:r>
      <w:r>
        <w:t>number of</w:t>
      </w:r>
      <w:r>
        <w:rPr>
          <w:spacing w:val="-2"/>
        </w:rPr>
        <w:t xml:space="preserve"> </w:t>
      </w:r>
      <w:r>
        <w:t>excess vocational programs.</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 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50711833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1739817547" name="Rectangle 184"/>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5837039" id="Group 183"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">
                <v:rect id="Rectangle 184"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" fillcolor="#2c398a" stroked="f"/>
                <w10:anchorlock/>
              </v:group>
            </w:pict>
          </mc:Fallback>
        </mc:AlternateContent>
      </w:r>
    </w:p>
    <w:p w:rsidR="00A56FE9" w:rsidRDefault="00000000">
      <w:pPr>
        <w:pStyle w:val="Tijeloteksta"/>
        <w:spacing w:before="154"/>
        <w:ind w:right="273"/>
      </w:pPr>
      <w:r>
        <w:t>Digital technologies are at the very core of introducing innovations into the learning and</w:t>
      </w:r>
      <w:r>
        <w:rPr>
          <w:spacing w:val="1"/>
        </w:rPr>
        <w:t xml:space="preserve"> </w:t>
      </w:r>
      <w:r>
        <w:t>teaching</w:t>
      </w:r>
      <w:r>
        <w:rPr>
          <w:spacing w:val="1"/>
        </w:rPr>
        <w:t xml:space="preserve"> </w:t>
      </w:r>
      <w:r>
        <w:t>system</w:t>
      </w:r>
      <w:r>
        <w:rPr>
          <w:spacing w:val="1"/>
        </w:rPr>
        <w:t xml:space="preserve"> </w:t>
      </w:r>
      <w:r>
        <w:t>which,</w:t>
      </w:r>
      <w:r>
        <w:rPr>
          <w:spacing w:val="1"/>
        </w:rPr>
        <w:t xml:space="preserve"> </w:t>
      </w:r>
      <w:r>
        <w:t>due</w:t>
      </w:r>
      <w:r>
        <w:rPr>
          <w:spacing w:val="1"/>
        </w:rPr>
        <w:t xml:space="preserve"> </w:t>
      </w:r>
      <w:r>
        <w:t>to</w:t>
      </w:r>
      <w:r>
        <w:rPr>
          <w:spacing w:val="1"/>
        </w:rPr>
        <w:t xml:space="preserve"> </w:t>
      </w:r>
      <w:r>
        <w:t>intensive</w:t>
      </w:r>
      <w:r>
        <w:rPr>
          <w:spacing w:val="1"/>
        </w:rPr>
        <w:t xml:space="preserve"> </w:t>
      </w:r>
      <w:r>
        <w:t>development,</w:t>
      </w:r>
      <w:r>
        <w:rPr>
          <w:spacing w:val="1"/>
        </w:rPr>
        <w:t xml:space="preserve"> </w:t>
      </w:r>
      <w:r>
        <w:t>require</w:t>
      </w:r>
      <w:r>
        <w:rPr>
          <w:spacing w:val="1"/>
        </w:rPr>
        <w:t xml:space="preserve"> </w:t>
      </w:r>
      <w:r>
        <w:t>continuous</w:t>
      </w:r>
      <w:r>
        <w:rPr>
          <w:spacing w:val="1"/>
        </w:rPr>
        <w:t xml:space="preserve"> </w:t>
      </w:r>
      <w:r>
        <w:t>investment</w:t>
      </w:r>
      <w:r>
        <w:rPr>
          <w:spacing w:val="1"/>
        </w:rPr>
        <w:t xml:space="preserve"> </w:t>
      </w:r>
      <w:r>
        <w:t>in</w:t>
      </w:r>
      <w:r>
        <w:rPr>
          <w:spacing w:val="1"/>
        </w:rPr>
        <w:t xml:space="preserve"> </w:t>
      </w:r>
      <w:r>
        <w:rPr>
          <w:spacing w:val="-1"/>
        </w:rPr>
        <w:t>equipment</w:t>
      </w:r>
      <w:r>
        <w:rPr>
          <w:spacing w:val="-14"/>
        </w:rPr>
        <w:t xml:space="preserve"> </w:t>
      </w:r>
      <w:r>
        <w:t>and</w:t>
      </w:r>
      <w:r>
        <w:rPr>
          <w:spacing w:val="-15"/>
        </w:rPr>
        <w:t xml:space="preserve"> </w:t>
      </w:r>
      <w:r>
        <w:t>people</w:t>
      </w:r>
      <w:r>
        <w:rPr>
          <w:spacing w:val="-15"/>
        </w:rPr>
        <w:t xml:space="preserve"> </w:t>
      </w:r>
      <w:r>
        <w:t>to</w:t>
      </w:r>
      <w:r>
        <w:rPr>
          <w:spacing w:val="-12"/>
        </w:rPr>
        <w:t xml:space="preserve"> </w:t>
      </w:r>
      <w:r>
        <w:t>maintain</w:t>
      </w:r>
      <w:r>
        <w:rPr>
          <w:spacing w:val="-15"/>
        </w:rPr>
        <w:t xml:space="preserve"> </w:t>
      </w:r>
      <w:r>
        <w:t>the</w:t>
      </w:r>
      <w:r>
        <w:rPr>
          <w:spacing w:val="-15"/>
        </w:rPr>
        <w:t xml:space="preserve"> </w:t>
      </w:r>
      <w:r>
        <w:t>required</w:t>
      </w:r>
      <w:r>
        <w:rPr>
          <w:spacing w:val="-15"/>
        </w:rPr>
        <w:t xml:space="preserve"> </w:t>
      </w:r>
      <w:r>
        <w:t>level.</w:t>
      </w:r>
      <w:r>
        <w:rPr>
          <w:spacing w:val="-13"/>
        </w:rPr>
        <w:t xml:space="preserve"> </w:t>
      </w:r>
      <w:r>
        <w:t>The</w:t>
      </w:r>
      <w:r>
        <w:rPr>
          <w:spacing w:val="-16"/>
        </w:rPr>
        <w:t xml:space="preserve"> </w:t>
      </w:r>
      <w:r>
        <w:t>digital</w:t>
      </w:r>
      <w:r>
        <w:rPr>
          <w:spacing w:val="-12"/>
        </w:rPr>
        <w:t xml:space="preserve"> </w:t>
      </w:r>
      <w:r>
        <w:t>maturity</w:t>
      </w:r>
      <w:r>
        <w:rPr>
          <w:spacing w:val="-20"/>
        </w:rPr>
        <w:t xml:space="preserve"> </w:t>
      </w:r>
      <w:r>
        <w:t>of</w:t>
      </w:r>
      <w:r>
        <w:rPr>
          <w:spacing w:val="-13"/>
        </w:rPr>
        <w:t xml:space="preserve"> </w:t>
      </w:r>
      <w:r>
        <w:t>schools</w:t>
      </w:r>
      <w:r>
        <w:rPr>
          <w:spacing w:val="-14"/>
        </w:rPr>
        <w:t xml:space="preserve"> </w:t>
      </w:r>
      <w:r>
        <w:t>is</w:t>
      </w:r>
      <w:r>
        <w:rPr>
          <w:spacing w:val="-14"/>
        </w:rPr>
        <w:t xml:space="preserve"> </w:t>
      </w:r>
      <w:r>
        <w:t>gradually</w:t>
      </w:r>
      <w:r>
        <w:rPr>
          <w:spacing w:val="-57"/>
        </w:rPr>
        <w:t xml:space="preserve"> </w:t>
      </w:r>
      <w:r>
        <w:t xml:space="preserve">improving thanks to the e-School project. The </w:t>
      </w:r>
      <w:r>
        <w:rPr>
          <w:b/>
        </w:rPr>
        <w:t>current implementation of the e-School</w:t>
      </w:r>
      <w:r>
        <w:rPr>
          <w:b/>
          <w:spacing w:val="1"/>
        </w:rPr>
        <w:t xml:space="preserve"> </w:t>
      </w:r>
      <w:r>
        <w:rPr>
          <w:b/>
        </w:rPr>
        <w:t>project</w:t>
      </w:r>
      <w:r>
        <w:rPr>
          <w:b/>
          <w:spacing w:val="1"/>
        </w:rPr>
        <w:t xml:space="preserve"> </w:t>
      </w:r>
      <w:r>
        <w:rPr>
          <w:b/>
        </w:rPr>
        <w:t>includes</w:t>
      </w:r>
      <w:r>
        <w:t>:</w:t>
      </w:r>
      <w:r>
        <w:rPr>
          <w:spacing w:val="1"/>
        </w:rPr>
        <w:t xml:space="preserve"> </w:t>
      </w:r>
      <w:r>
        <w:rPr>
          <w:b/>
        </w:rPr>
        <w:t>development</w:t>
      </w:r>
      <w:r>
        <w:rPr>
          <w:b/>
          <w:spacing w:val="1"/>
        </w:rPr>
        <w:t xml:space="preserve"> </w:t>
      </w:r>
      <w:r>
        <w:rPr>
          <w:b/>
        </w:rPr>
        <w:t>of</w:t>
      </w:r>
      <w:r>
        <w:rPr>
          <w:b/>
          <w:spacing w:val="1"/>
        </w:rPr>
        <w:t xml:space="preserve"> </w:t>
      </w:r>
      <w:r>
        <w:rPr>
          <w:b/>
        </w:rPr>
        <w:t>the</w:t>
      </w:r>
      <w:r>
        <w:rPr>
          <w:b/>
          <w:spacing w:val="1"/>
        </w:rPr>
        <w:t xml:space="preserve"> </w:t>
      </w:r>
      <w:r>
        <w:rPr>
          <w:b/>
        </w:rPr>
        <w:t>digitally</w:t>
      </w:r>
      <w:r>
        <w:rPr>
          <w:b/>
          <w:spacing w:val="1"/>
        </w:rPr>
        <w:t xml:space="preserve"> </w:t>
      </w:r>
      <w:r>
        <w:rPr>
          <w:b/>
        </w:rPr>
        <w:t>mature</w:t>
      </w:r>
      <w:r>
        <w:rPr>
          <w:b/>
          <w:spacing w:val="1"/>
        </w:rPr>
        <w:t xml:space="preserve"> </w:t>
      </w:r>
      <w:r>
        <w:rPr>
          <w:b/>
        </w:rPr>
        <w:t>school</w:t>
      </w:r>
      <w:r>
        <w:rPr>
          <w:b/>
          <w:spacing w:val="1"/>
        </w:rPr>
        <w:t xml:space="preserve"> </w:t>
      </w:r>
      <w:r>
        <w:rPr>
          <w:b/>
        </w:rPr>
        <w:t>system</w:t>
      </w:r>
      <w:r>
        <w:rPr>
          <w:b/>
          <w:spacing w:val="1"/>
        </w:rPr>
        <w:t xml:space="preserve"> </w:t>
      </w:r>
      <w:r>
        <w:rPr>
          <w:b/>
        </w:rPr>
        <w:t>(Phase</w:t>
      </w:r>
      <w:r>
        <w:rPr>
          <w:b/>
          <w:spacing w:val="1"/>
        </w:rPr>
        <w:t xml:space="preserve"> </w:t>
      </w:r>
      <w:r>
        <w:rPr>
          <w:b/>
        </w:rPr>
        <w:t>II)</w:t>
      </w:r>
      <w:r>
        <w:t>,</w:t>
      </w:r>
      <w:r>
        <w:rPr>
          <w:spacing w:val="1"/>
        </w:rPr>
        <w:t xml:space="preserve"> </w:t>
      </w:r>
      <w:r>
        <w:t>implemented in a complementary manner through the ESF and ERDF until Q4/2023, while</w:t>
      </w:r>
      <w:r>
        <w:rPr>
          <w:spacing w:val="1"/>
        </w:rPr>
        <w:t xml:space="preserve"> </w:t>
      </w:r>
      <w:r>
        <w:t>further</w:t>
      </w:r>
      <w:r>
        <w:rPr>
          <w:spacing w:val="-3"/>
        </w:rPr>
        <w:t xml:space="preserve"> </w:t>
      </w:r>
      <w:r>
        <w:t>investments are</w:t>
      </w:r>
      <w:r>
        <w:rPr>
          <w:spacing w:val="-2"/>
        </w:rPr>
        <w:t xml:space="preserve"> </w:t>
      </w:r>
      <w:r>
        <w:t>needed for the</w:t>
      </w:r>
      <w:r>
        <w:rPr>
          <w:spacing w:val="-2"/>
        </w:rPr>
        <w:t xml:space="preserve"> </w:t>
      </w:r>
      <w:r>
        <w:t>long-term transformation</w:t>
      </w:r>
      <w:r>
        <w:rPr>
          <w:spacing w:val="-1"/>
        </w:rPr>
        <w:t xml:space="preserve"> </w:t>
      </w:r>
      <w:r>
        <w:t>of the</w:t>
      </w:r>
      <w:r>
        <w:rPr>
          <w:spacing w:val="-1"/>
        </w:rPr>
        <w:t xml:space="preserve"> </w:t>
      </w:r>
      <w:r>
        <w:t>system.</w:t>
      </w:r>
    </w:p>
    <w:p w:rsidR="00A56FE9" w:rsidRDefault="00000000">
      <w:pPr>
        <w:pStyle w:val="Tijeloteksta"/>
        <w:spacing w:before="121"/>
        <w:ind w:right="272"/>
      </w:pPr>
      <w:r>
        <w:t>The</w:t>
      </w:r>
      <w:r>
        <w:rPr>
          <w:spacing w:val="1"/>
        </w:rPr>
        <w:t xml:space="preserve"> </w:t>
      </w:r>
      <w:r>
        <w:t>plan</w:t>
      </w:r>
      <w:r>
        <w:rPr>
          <w:spacing w:val="1"/>
        </w:rPr>
        <w:t xml:space="preserve"> </w:t>
      </w:r>
      <w:r>
        <w:t>incorporates</w:t>
      </w:r>
      <w:r>
        <w:rPr>
          <w:spacing w:val="1"/>
        </w:rPr>
        <w:t xml:space="preserve"> </w:t>
      </w:r>
      <w:r>
        <w:t>an</w:t>
      </w:r>
      <w:r>
        <w:rPr>
          <w:spacing w:val="1"/>
        </w:rPr>
        <w:t xml:space="preserve"> </w:t>
      </w:r>
      <w:r>
        <w:t>activity</w:t>
      </w:r>
      <w:r>
        <w:rPr>
          <w:spacing w:val="1"/>
        </w:rPr>
        <w:t xml:space="preserve"> </w:t>
      </w:r>
      <w:r>
        <w:t>to</w:t>
      </w:r>
      <w:r>
        <w:rPr>
          <w:spacing w:val="1"/>
        </w:rPr>
        <w:t xml:space="preserve"> </w:t>
      </w:r>
      <w:r>
        <w:t>introduce</w:t>
      </w:r>
      <w:r>
        <w:rPr>
          <w:spacing w:val="1"/>
        </w:rPr>
        <w:t xml:space="preserve"> </w:t>
      </w:r>
      <w:r>
        <w:t>national</w:t>
      </w:r>
      <w:r>
        <w:rPr>
          <w:spacing w:val="1"/>
        </w:rPr>
        <w:t xml:space="preserve"> </w:t>
      </w:r>
      <w:r>
        <w:t>exams</w:t>
      </w:r>
      <w:r>
        <w:rPr>
          <w:spacing w:val="1"/>
        </w:rPr>
        <w:t xml:space="preserve"> </w:t>
      </w:r>
      <w:r>
        <w:t>in</w:t>
      </w:r>
      <w:r>
        <w:rPr>
          <w:spacing w:val="1"/>
        </w:rPr>
        <w:t xml:space="preserve"> </w:t>
      </w:r>
      <w:r>
        <w:t>primary</w:t>
      </w:r>
      <w:r>
        <w:rPr>
          <w:spacing w:val="1"/>
        </w:rPr>
        <w:t xml:space="preserve"> </w:t>
      </w:r>
      <w:r>
        <w:t>schools</w:t>
      </w:r>
      <w:r>
        <w:rPr>
          <w:spacing w:val="1"/>
        </w:rPr>
        <w:t xml:space="preserve"> </w:t>
      </w:r>
      <w:r>
        <w:t>(pilot</w:t>
      </w:r>
      <w:r>
        <w:rPr>
          <w:spacing w:val="-57"/>
        </w:rPr>
        <w:t xml:space="preserve"> </w:t>
      </w:r>
      <w:r>
        <w:rPr>
          <w:spacing w:val="-1"/>
        </w:rPr>
        <w:t>implementation),</w:t>
      </w:r>
      <w:r>
        <w:rPr>
          <w:spacing w:val="-12"/>
        </w:rPr>
        <w:t xml:space="preserve"> </w:t>
      </w:r>
      <w:r>
        <w:t>serving</w:t>
      </w:r>
      <w:r>
        <w:rPr>
          <w:spacing w:val="-11"/>
        </w:rPr>
        <w:t xml:space="preserve"> </w:t>
      </w:r>
      <w:r>
        <w:t>to</w:t>
      </w:r>
      <w:r>
        <w:rPr>
          <w:spacing w:val="-11"/>
        </w:rPr>
        <w:t xml:space="preserve"> </w:t>
      </w:r>
      <w:r>
        <w:t>monitor</w:t>
      </w:r>
      <w:r>
        <w:rPr>
          <w:spacing w:val="-12"/>
        </w:rPr>
        <w:t xml:space="preserve"> </w:t>
      </w:r>
      <w:r>
        <w:t>and</w:t>
      </w:r>
      <w:r>
        <w:rPr>
          <w:spacing w:val="-11"/>
        </w:rPr>
        <w:t xml:space="preserve"> </w:t>
      </w:r>
      <w:r>
        <w:t>improve</w:t>
      </w:r>
      <w:r>
        <w:rPr>
          <w:spacing w:val="-13"/>
        </w:rPr>
        <w:t xml:space="preserve"> </w:t>
      </w:r>
      <w:r>
        <w:t>the</w:t>
      </w:r>
      <w:r>
        <w:rPr>
          <w:spacing w:val="-12"/>
        </w:rPr>
        <w:t xml:space="preserve"> </w:t>
      </w:r>
      <w:r>
        <w:t>quality</w:t>
      </w:r>
      <w:r>
        <w:rPr>
          <w:spacing w:val="-16"/>
        </w:rPr>
        <w:t xml:space="preserve"> </w:t>
      </w:r>
      <w:r>
        <w:t>of</w:t>
      </w:r>
      <w:r>
        <w:rPr>
          <w:spacing w:val="-11"/>
        </w:rPr>
        <w:t xml:space="preserve"> </w:t>
      </w:r>
      <w:r>
        <w:t>the</w:t>
      </w:r>
      <w:r>
        <w:rPr>
          <w:spacing w:val="-12"/>
        </w:rPr>
        <w:t xml:space="preserve"> </w:t>
      </w:r>
      <w:r>
        <w:t>educational</w:t>
      </w:r>
      <w:r>
        <w:rPr>
          <w:spacing w:val="-10"/>
        </w:rPr>
        <w:t xml:space="preserve"> </w:t>
      </w:r>
      <w:r>
        <w:t>process.</w:t>
      </w:r>
      <w:r>
        <w:rPr>
          <w:spacing w:val="-11"/>
        </w:rPr>
        <w:t xml:space="preserve"> </w:t>
      </w:r>
      <w:r>
        <w:t>Croatia</w:t>
      </w:r>
      <w:r>
        <w:rPr>
          <w:spacing w:val="-58"/>
        </w:rPr>
        <w:t xml:space="preserve"> </w:t>
      </w:r>
      <w:r>
        <w:t>currently conducts standardised assessments of student knowledge only at the end of higher</w:t>
      </w:r>
      <w:r>
        <w:rPr>
          <w:spacing w:val="1"/>
        </w:rPr>
        <w:t xml:space="preserve"> </w:t>
      </w:r>
      <w:r>
        <w:t>secondary education (state matura). Accordingly, policymakers and teachers cannot undertake</w:t>
      </w:r>
      <w:r>
        <w:rPr>
          <w:spacing w:val="-57"/>
        </w:rPr>
        <w:t xml:space="preserve"> </w:t>
      </w:r>
      <w:r>
        <w:t>timely measures to ensure the quality of the system. The system of monitoring and using</w:t>
      </w:r>
      <w:r>
        <w:rPr>
          <w:spacing w:val="1"/>
        </w:rPr>
        <w:t xml:space="preserve"> </w:t>
      </w:r>
      <w:r>
        <w:t>available data in formulating educational policies and the implementation of reforms needs to</w:t>
      </w:r>
      <w:r>
        <w:rPr>
          <w:spacing w:val="1"/>
        </w:rPr>
        <w:t xml:space="preserve"> </w:t>
      </w:r>
      <w:r>
        <w:t>be improved. In this regard, the model of monitoring the educational outcomes of individual</w:t>
      </w:r>
      <w:r>
        <w:rPr>
          <w:spacing w:val="1"/>
        </w:rPr>
        <w:t xml:space="preserve"> </w:t>
      </w:r>
      <w:r>
        <w:t>students and groups of students throughout the entire vertical perspective of the pre-tertiary</w:t>
      </w:r>
      <w:r>
        <w:rPr>
          <w:spacing w:val="1"/>
        </w:rPr>
        <w:t xml:space="preserve"> </w:t>
      </w:r>
      <w:r>
        <w:t>educational system will be improved. Models for using differently collected and presented</w:t>
      </w:r>
      <w:r>
        <w:rPr>
          <w:spacing w:val="1"/>
        </w:rPr>
        <w:t xml:space="preserve"> </w:t>
      </w:r>
      <w:r>
        <w:t>information</w:t>
      </w:r>
      <w:r>
        <w:rPr>
          <w:spacing w:val="35"/>
        </w:rPr>
        <w:t xml:space="preserve"> </w:t>
      </w:r>
      <w:r>
        <w:t>will</w:t>
      </w:r>
      <w:r>
        <w:rPr>
          <w:spacing w:val="36"/>
        </w:rPr>
        <w:t xml:space="preserve"> </w:t>
      </w:r>
      <w:r>
        <w:t>also</w:t>
      </w:r>
      <w:r>
        <w:rPr>
          <w:spacing w:val="36"/>
        </w:rPr>
        <w:t xml:space="preserve"> </w:t>
      </w:r>
      <w:r>
        <w:t>be</w:t>
      </w:r>
      <w:r>
        <w:rPr>
          <w:spacing w:val="37"/>
        </w:rPr>
        <w:t xml:space="preserve"> </w:t>
      </w:r>
      <w:r>
        <w:t>enhanced.</w:t>
      </w:r>
      <w:r>
        <w:rPr>
          <w:spacing w:val="35"/>
        </w:rPr>
        <w:t xml:space="preserve"> </w:t>
      </w:r>
      <w:r>
        <w:t>These</w:t>
      </w:r>
      <w:r>
        <w:rPr>
          <w:spacing w:val="34"/>
        </w:rPr>
        <w:t xml:space="preserve"> </w:t>
      </w:r>
      <w:r>
        <w:t>includes</w:t>
      </w:r>
      <w:r>
        <w:rPr>
          <w:spacing w:val="35"/>
        </w:rPr>
        <w:t xml:space="preserve"> </w:t>
      </w:r>
      <w:r>
        <w:t>training</w:t>
      </w:r>
      <w:r>
        <w:rPr>
          <w:spacing w:val="33"/>
        </w:rPr>
        <w:t xml:space="preserve"> </w:t>
      </w:r>
      <w:r>
        <w:t>teachers</w:t>
      </w:r>
      <w:r>
        <w:rPr>
          <w:spacing w:val="35"/>
        </w:rPr>
        <w:t xml:space="preserve"> </w:t>
      </w:r>
      <w:r>
        <w:t>in</w:t>
      </w:r>
      <w:r>
        <w:rPr>
          <w:spacing w:val="35"/>
        </w:rPr>
        <w:t xml:space="preserve"> </w:t>
      </w:r>
      <w:r>
        <w:t>the</w:t>
      </w:r>
      <w:r>
        <w:rPr>
          <w:spacing w:val="34"/>
        </w:rPr>
        <w:t xml:space="preserve"> </w:t>
      </w:r>
      <w:r>
        <w:t>use</w:t>
      </w:r>
      <w:r>
        <w:rPr>
          <w:spacing w:val="35"/>
        </w:rPr>
        <w:t xml:space="preserve"> </w:t>
      </w:r>
      <w:r>
        <w:t>of</w:t>
      </w:r>
      <w:r>
        <w:rPr>
          <w:spacing w:val="36"/>
        </w:rPr>
        <w:t xml:space="preserve"> </w:t>
      </w:r>
      <w:r>
        <w:t>different</w:t>
      </w:r>
    </w:p>
    <w:p w:rsidR="00A56FE9" w:rsidRDefault="00A56FE9">
      <w:pPr>
        <w:sectPr w:rsidR="00A56FE9" w:rsidSect="00AB1E70">
          <w:pgSz w:w="11910" w:h="16840"/>
          <w:pgMar w:top="1320" w:right="1140" w:bottom="960" w:left="1280" w:header="0" w:footer="779" w:gutter="0"/>
          <w:cols w:space="720"/>
        </w:sectPr>
      </w:pPr>
    </w:p>
    <w:p w:rsidR="00A56FE9" w:rsidRDefault="00CC1B9B">
      <w:pPr>
        <w:pStyle w:val="Tijeloteksta"/>
        <w:spacing w:before="74"/>
        <w:ind w:right="271"/>
      </w:pPr>
      <w:r>
        <w:rPr>
          <w:noProof/>
        </w:rPr>
        <mc:AlternateContent>
          <mc:Choice Requires="wps">
            <w:drawing>
              <wp:anchor distT="0" distB="0" distL="114300" distR="114300" simplePos="0" relativeHeight="15783936" behindDoc="0" locked="0" layoutInCell="1" allowOverlap="1">
                <wp:simplePos x="0" y="0"/>
                <wp:positionH relativeFrom="page">
                  <wp:posOffset>814070</wp:posOffset>
                </wp:positionH>
                <wp:positionV relativeFrom="paragraph">
                  <wp:posOffset>477520</wp:posOffset>
                </wp:positionV>
                <wp:extent cx="18415" cy="417830"/>
                <wp:effectExtent l="0" t="0" r="0" b="0"/>
                <wp:wrapNone/>
                <wp:docPr id="1642484189"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0B6C0" id="Rectangle 182" o:spid="_x0000_s1026" style="position:absolute;margin-left:64.1pt;margin-top:37.6pt;width:1.45pt;height:32.9pt;z-index:1578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" fillcolor="#da1f2c" stroked="f">
                <w10:wrap anchorx="page"/>
              </v:rect>
            </w:pict>
          </mc:Fallback>
        </mc:AlternateContent>
      </w:r>
      <w:r w:rsidR="00000000">
        <w:t>evaluation</w:t>
      </w:r>
      <w:r w:rsidR="00000000">
        <w:rPr>
          <w:spacing w:val="-6"/>
        </w:rPr>
        <w:t xml:space="preserve"> </w:t>
      </w:r>
      <w:r w:rsidR="00000000">
        <w:t>indicators</w:t>
      </w:r>
      <w:r w:rsidR="00000000">
        <w:rPr>
          <w:spacing w:val="-6"/>
        </w:rPr>
        <w:t xml:space="preserve"> </w:t>
      </w:r>
      <w:r w:rsidR="00000000">
        <w:t>to</w:t>
      </w:r>
      <w:r w:rsidR="00000000">
        <w:rPr>
          <w:spacing w:val="-6"/>
        </w:rPr>
        <w:t xml:space="preserve"> </w:t>
      </w:r>
      <w:r w:rsidR="00000000">
        <w:t>improve</w:t>
      </w:r>
      <w:r w:rsidR="00000000">
        <w:rPr>
          <w:spacing w:val="-7"/>
        </w:rPr>
        <w:t xml:space="preserve"> </w:t>
      </w:r>
      <w:r w:rsidR="00000000">
        <w:t>their</w:t>
      </w:r>
      <w:r w:rsidR="00000000">
        <w:rPr>
          <w:spacing w:val="-7"/>
        </w:rPr>
        <w:t xml:space="preserve"> </w:t>
      </w:r>
      <w:r w:rsidR="00000000">
        <w:t>own</w:t>
      </w:r>
      <w:r w:rsidR="00000000">
        <w:rPr>
          <w:spacing w:val="-7"/>
        </w:rPr>
        <w:t xml:space="preserve"> </w:t>
      </w:r>
      <w:r w:rsidR="00000000">
        <w:t>educational</w:t>
      </w:r>
      <w:r w:rsidR="00000000">
        <w:rPr>
          <w:spacing w:val="-6"/>
        </w:rPr>
        <w:t xml:space="preserve"> </w:t>
      </w:r>
      <w:r w:rsidR="00000000">
        <w:t>work,</w:t>
      </w:r>
      <w:r w:rsidR="00000000">
        <w:rPr>
          <w:spacing w:val="-5"/>
        </w:rPr>
        <w:t xml:space="preserve"> </w:t>
      </w:r>
      <w:r w:rsidR="00000000">
        <w:t>as</w:t>
      </w:r>
      <w:r w:rsidR="00000000">
        <w:rPr>
          <w:spacing w:val="-6"/>
        </w:rPr>
        <w:t xml:space="preserve"> </w:t>
      </w:r>
      <w:r w:rsidR="00000000">
        <w:t>well</w:t>
      </w:r>
      <w:r w:rsidR="00000000">
        <w:rPr>
          <w:spacing w:val="-6"/>
        </w:rPr>
        <w:t xml:space="preserve"> </w:t>
      </w:r>
      <w:r w:rsidR="00000000">
        <w:t>as</w:t>
      </w:r>
      <w:r w:rsidR="00000000">
        <w:rPr>
          <w:spacing w:val="-3"/>
        </w:rPr>
        <w:t xml:space="preserve"> </w:t>
      </w:r>
      <w:r w:rsidR="00000000">
        <w:t>a</w:t>
      </w:r>
      <w:r w:rsidR="00000000">
        <w:rPr>
          <w:spacing w:val="-7"/>
        </w:rPr>
        <w:t xml:space="preserve"> </w:t>
      </w:r>
      <w:r w:rsidR="00000000">
        <w:t>program</w:t>
      </w:r>
      <w:r w:rsidR="00000000">
        <w:rPr>
          <w:spacing w:val="-6"/>
        </w:rPr>
        <w:t xml:space="preserve"> </w:t>
      </w:r>
      <w:r w:rsidR="00000000">
        <w:t>to</w:t>
      </w:r>
      <w:r w:rsidR="00000000">
        <w:rPr>
          <w:spacing w:val="-2"/>
        </w:rPr>
        <w:t xml:space="preserve"> </w:t>
      </w:r>
      <w:r w:rsidR="00000000">
        <w:t>utilise</w:t>
      </w:r>
      <w:r w:rsidR="00000000">
        <w:rPr>
          <w:spacing w:val="-5"/>
        </w:rPr>
        <w:t xml:space="preserve"> </w:t>
      </w:r>
      <w:r w:rsidR="00000000">
        <w:t>the</w:t>
      </w:r>
      <w:r w:rsidR="00000000">
        <w:rPr>
          <w:spacing w:val="-58"/>
        </w:rPr>
        <w:t xml:space="preserve"> </w:t>
      </w:r>
      <w:r w:rsidR="00000000">
        <w:t>various</w:t>
      </w:r>
      <w:r w:rsidR="00000000">
        <w:rPr>
          <w:spacing w:val="-11"/>
        </w:rPr>
        <w:t xml:space="preserve"> </w:t>
      </w:r>
      <w:r w:rsidR="00000000">
        <w:t>available</w:t>
      </w:r>
      <w:r w:rsidR="00000000">
        <w:rPr>
          <w:spacing w:val="-11"/>
        </w:rPr>
        <w:t xml:space="preserve"> </w:t>
      </w:r>
      <w:r w:rsidR="00000000">
        <w:t>information</w:t>
      </w:r>
      <w:r w:rsidR="00000000">
        <w:rPr>
          <w:spacing w:val="-10"/>
        </w:rPr>
        <w:t xml:space="preserve"> </w:t>
      </w:r>
      <w:r w:rsidR="00000000">
        <w:t>on</w:t>
      </w:r>
      <w:r w:rsidR="00000000">
        <w:rPr>
          <w:spacing w:val="-10"/>
        </w:rPr>
        <w:t xml:space="preserve"> </w:t>
      </w:r>
      <w:r w:rsidR="00000000">
        <w:t>the</w:t>
      </w:r>
      <w:r w:rsidR="00000000">
        <w:rPr>
          <w:spacing w:val="-11"/>
        </w:rPr>
        <w:t xml:space="preserve"> </w:t>
      </w:r>
      <w:r w:rsidR="00000000">
        <w:t>quality</w:t>
      </w:r>
      <w:r w:rsidR="00000000">
        <w:rPr>
          <w:spacing w:val="-12"/>
        </w:rPr>
        <w:t xml:space="preserve"> </w:t>
      </w:r>
      <w:r w:rsidR="00000000">
        <w:t>of</w:t>
      </w:r>
      <w:r w:rsidR="00000000">
        <w:rPr>
          <w:spacing w:val="-12"/>
        </w:rPr>
        <w:t xml:space="preserve"> </w:t>
      </w:r>
      <w:r w:rsidR="00000000">
        <w:t>school</w:t>
      </w:r>
      <w:r w:rsidR="00000000">
        <w:rPr>
          <w:spacing w:val="-10"/>
        </w:rPr>
        <w:t xml:space="preserve"> </w:t>
      </w:r>
      <w:r w:rsidR="00000000">
        <w:t>work</w:t>
      </w:r>
      <w:r w:rsidR="00000000">
        <w:rPr>
          <w:spacing w:val="-10"/>
        </w:rPr>
        <w:t xml:space="preserve"> </w:t>
      </w:r>
      <w:r w:rsidR="00000000">
        <w:t>for</w:t>
      </w:r>
      <w:r w:rsidR="00000000">
        <w:rPr>
          <w:spacing w:val="-6"/>
        </w:rPr>
        <w:t xml:space="preserve"> </w:t>
      </w:r>
      <w:r w:rsidR="00000000">
        <w:t>advancement</w:t>
      </w:r>
      <w:r w:rsidR="00000000">
        <w:rPr>
          <w:spacing w:val="-9"/>
        </w:rPr>
        <w:t xml:space="preserve"> </w:t>
      </w:r>
      <w:r w:rsidR="00000000">
        <w:t>and</w:t>
      </w:r>
      <w:r w:rsidR="00000000">
        <w:rPr>
          <w:spacing w:val="-10"/>
        </w:rPr>
        <w:t xml:space="preserve"> </w:t>
      </w:r>
      <w:r w:rsidR="00000000">
        <w:t>improvement.</w:t>
      </w:r>
    </w:p>
    <w:p w:rsidR="00A56FE9" w:rsidRDefault="00A56FE9">
      <w:pPr>
        <w:pStyle w:val="Tijeloteksta"/>
        <w:ind w:left="0"/>
        <w:jc w:val="left"/>
        <w:rPr>
          <w:sz w:val="32"/>
        </w:rPr>
      </w:pPr>
    </w:p>
    <w:p w:rsidR="00A56FE9" w:rsidRDefault="00000000">
      <w:pPr>
        <w:pStyle w:val="Naslov4"/>
      </w:pPr>
      <w:r>
        <w:rPr>
          <w:color w:val="2C398A"/>
        </w:rPr>
        <w:t>Lifelong</w:t>
      </w:r>
      <w:r>
        <w:rPr>
          <w:color w:val="2C398A"/>
          <w:spacing w:val="-2"/>
        </w:rPr>
        <w:t xml:space="preserve"> </w:t>
      </w:r>
      <w:r>
        <w:rPr>
          <w:color w:val="2C398A"/>
        </w:rPr>
        <w:t>learning</w:t>
      </w:r>
    </w:p>
    <w:p w:rsidR="00A56FE9" w:rsidRDefault="00000000">
      <w:pPr>
        <w:spacing w:before="231"/>
        <w:ind w:left="138"/>
        <w:jc w:val="both"/>
        <w:rPr>
          <w:i/>
          <w:sz w:val="24"/>
        </w:rPr>
      </w:pPr>
      <w:r>
        <w:rPr>
          <w:i/>
          <w:color w:val="2C398A"/>
          <w:sz w:val="24"/>
        </w:rPr>
        <w:t>2020.CSR2.3.</w:t>
      </w:r>
      <w:r>
        <w:rPr>
          <w:i/>
          <w:color w:val="2C398A"/>
          <w:spacing w:val="-2"/>
          <w:sz w:val="24"/>
        </w:rPr>
        <w:t xml:space="preserve"> </w:t>
      </w:r>
      <w:r>
        <w:rPr>
          <w:i/>
          <w:color w:val="2C398A"/>
          <w:sz w:val="24"/>
        </w:rPr>
        <w:t>Promote</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acquisition of</w:t>
      </w:r>
      <w:r>
        <w:rPr>
          <w:i/>
          <w:color w:val="2C398A"/>
          <w:spacing w:val="-1"/>
          <w:sz w:val="24"/>
        </w:rPr>
        <w:t xml:space="preserve"> </w:t>
      </w:r>
      <w:r>
        <w:rPr>
          <w:i/>
          <w:color w:val="2C398A"/>
          <w:sz w:val="24"/>
        </w:rPr>
        <w:t>skills</w:t>
      </w:r>
    </w:p>
    <w:p w:rsidR="00A56FE9" w:rsidRDefault="00A56FE9">
      <w:pPr>
        <w:pStyle w:val="Tijeloteksta"/>
        <w:spacing w:before="3"/>
        <w:ind w:left="0"/>
        <w:jc w:val="left"/>
        <w:rPr>
          <w:i/>
          <w:sz w:val="21"/>
        </w:rPr>
      </w:pPr>
    </w:p>
    <w:p w:rsidR="00A56FE9" w:rsidRDefault="00CC1B9B">
      <w:pPr>
        <w:pStyle w:val="Naslov5"/>
      </w:pPr>
      <w:r>
        <w:rPr>
          <w:noProof/>
        </w:rPr>
        <mc:AlternateContent>
          <mc:Choice Requires="wps">
            <w:drawing>
              <wp:anchor distT="0" distB="0" distL="0" distR="0" simplePos="0" relativeHeight="487641088" behindDoc="1" locked="0" layoutInCell="1" allowOverlap="1">
                <wp:simplePos x="0" y="0"/>
                <wp:positionH relativeFrom="page">
                  <wp:posOffset>882650</wp:posOffset>
                </wp:positionH>
                <wp:positionV relativeFrom="paragraph">
                  <wp:posOffset>189230</wp:posOffset>
                </wp:positionV>
                <wp:extent cx="3277235" cy="12065"/>
                <wp:effectExtent l="0" t="0" r="0" b="0"/>
                <wp:wrapTopAndBottom/>
                <wp:docPr id="1846411332"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7235"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9B220" id="Rectangle 181" o:spid="_x0000_s1026" style="position:absolute;margin-left:69.5pt;margin-top:14.9pt;width:258.05pt;height:.95pt;z-index:-15675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" fillcolor="#2c398a" stroked="f">
                <w10:wrap type="topAndBottom" anchorx="page"/>
              </v:rect>
            </w:pict>
          </mc:Fallback>
        </mc:AlternateContent>
      </w:r>
      <w:r w:rsidR="00000000">
        <w:t>Progress</w:t>
      </w:r>
      <w:r w:rsidR="00000000">
        <w:rPr>
          <w:spacing w:val="-2"/>
        </w:rPr>
        <w:t xml:space="preserve"> </w:t>
      </w:r>
      <w:r w:rsidR="00000000">
        <w:t>in</w:t>
      </w:r>
      <w:r w:rsidR="00000000">
        <w:rPr>
          <w:spacing w:val="-2"/>
        </w:rPr>
        <w:t xml:space="preserve"> </w:t>
      </w:r>
      <w:r w:rsidR="00000000">
        <w:t>implementing</w:t>
      </w:r>
      <w:r w:rsidR="00000000">
        <w:rPr>
          <w:spacing w:val="-2"/>
        </w:rPr>
        <w:t xml:space="preserve"> </w:t>
      </w:r>
      <w:r w:rsidR="00000000">
        <w:t>the</w:t>
      </w:r>
      <w:r w:rsidR="00000000">
        <w:rPr>
          <w:spacing w:val="-2"/>
        </w:rPr>
        <w:t xml:space="preserve"> </w:t>
      </w:r>
      <w:r w:rsidR="00000000">
        <w:t>recommendations</w:t>
      </w:r>
    </w:p>
    <w:p w:rsidR="00A56FE9" w:rsidRDefault="00000000">
      <w:pPr>
        <w:pStyle w:val="Tijeloteksta"/>
        <w:spacing w:before="126"/>
        <w:ind w:right="276"/>
      </w:pPr>
      <w:r>
        <w:t>The Adult Education Act</w:t>
      </w:r>
      <w:r>
        <w:rPr>
          <w:vertAlign w:val="superscript"/>
        </w:rPr>
        <w:t>36</w:t>
      </w:r>
      <w:r>
        <w:t xml:space="preserve"> was passed in December 2021 to introduce changes to raise the</w:t>
      </w:r>
      <w:r>
        <w:rPr>
          <w:spacing w:val="1"/>
        </w:rPr>
        <w:t xml:space="preserve"> </w:t>
      </w:r>
      <w:r>
        <w:t>quality of implemented education programs and, at the same time, enable recognition of</w:t>
      </w:r>
      <w:r>
        <w:rPr>
          <w:spacing w:val="1"/>
        </w:rPr>
        <w:t xml:space="preserve"> </w:t>
      </w:r>
      <w:r>
        <w:t>previous</w:t>
      </w:r>
      <w:r>
        <w:rPr>
          <w:spacing w:val="-1"/>
        </w:rPr>
        <w:t xml:space="preserve"> </w:t>
      </w:r>
      <w:r>
        <w:t>non-formally</w:t>
      </w:r>
      <w:r>
        <w:rPr>
          <w:spacing w:val="-5"/>
        </w:rPr>
        <w:t xml:space="preserve"> </w:t>
      </w:r>
      <w:r>
        <w:t>and informally</w:t>
      </w:r>
      <w:r>
        <w:rPr>
          <w:spacing w:val="-1"/>
        </w:rPr>
        <w:t xml:space="preserve"> </w:t>
      </w:r>
      <w:r>
        <w:t>acquired knowledge</w:t>
      </w:r>
      <w:r>
        <w:rPr>
          <w:spacing w:val="-1"/>
        </w:rPr>
        <w:t xml:space="preserve"> </w:t>
      </w:r>
      <w:r>
        <w:t>and skills.</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507037108"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431087805" name="Rectangle 180"/>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58C2E55" id="Group 179"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FP2sKNQAgAAEAUAAA4AAAAAAAAAAAAAAAAALgIAAGRycy9lMm9Eb2MueG1sUEsBAi0AFAAGAAgA&#10;AAAhAOjoSp3cAAAAAwEAAA8AAAAAAAAAAAAAAAAAqgQAAGRycy9kb3ducmV2LnhtbFBLBQYAAAAA&#10;BAAEAPMAAACzBQAAAAA=&#10;">
                <v:rect id="Rectangle 180"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3"/>
      </w:pPr>
      <w:r>
        <w:t>The reform processes will set the preconditions for accessible adult education and increase the</w:t>
      </w:r>
      <w:r>
        <w:rPr>
          <w:spacing w:val="-57"/>
        </w:rPr>
        <w:t xml:space="preserve"> </w:t>
      </w:r>
      <w:r>
        <w:t>coverage</w:t>
      </w:r>
      <w:r>
        <w:rPr>
          <w:spacing w:val="-7"/>
        </w:rPr>
        <w:t xml:space="preserve"> </w:t>
      </w:r>
      <w:r>
        <w:t>of</w:t>
      </w:r>
      <w:r>
        <w:rPr>
          <w:spacing w:val="-4"/>
        </w:rPr>
        <w:t xml:space="preserve"> </w:t>
      </w:r>
      <w:r>
        <w:t>adults</w:t>
      </w:r>
      <w:r>
        <w:rPr>
          <w:spacing w:val="-5"/>
        </w:rPr>
        <w:t xml:space="preserve"> </w:t>
      </w:r>
      <w:r>
        <w:t>involved</w:t>
      </w:r>
      <w:r>
        <w:rPr>
          <w:spacing w:val="-6"/>
        </w:rPr>
        <w:t xml:space="preserve"> </w:t>
      </w:r>
      <w:r>
        <w:t>in</w:t>
      </w:r>
      <w:r>
        <w:rPr>
          <w:spacing w:val="-5"/>
        </w:rPr>
        <w:t xml:space="preserve"> </w:t>
      </w:r>
      <w:r>
        <w:t>lifelong</w:t>
      </w:r>
      <w:r>
        <w:rPr>
          <w:spacing w:val="-7"/>
        </w:rPr>
        <w:t xml:space="preserve"> </w:t>
      </w:r>
      <w:r>
        <w:t>learning</w:t>
      </w:r>
      <w:r>
        <w:rPr>
          <w:spacing w:val="-9"/>
        </w:rPr>
        <w:t xml:space="preserve"> </w:t>
      </w:r>
      <w:r>
        <w:t>to</w:t>
      </w:r>
      <w:r>
        <w:rPr>
          <w:spacing w:val="-2"/>
        </w:rPr>
        <w:t xml:space="preserve"> </w:t>
      </w:r>
      <w:r>
        <w:t>reach</w:t>
      </w:r>
      <w:r>
        <w:rPr>
          <w:spacing w:val="-3"/>
        </w:rPr>
        <w:t xml:space="preserve"> </w:t>
      </w:r>
      <w:r>
        <w:t>their</w:t>
      </w:r>
      <w:r>
        <w:rPr>
          <w:spacing w:val="-7"/>
        </w:rPr>
        <w:t xml:space="preserve"> </w:t>
      </w:r>
      <w:r>
        <w:t>full</w:t>
      </w:r>
      <w:r>
        <w:rPr>
          <w:spacing w:val="-5"/>
        </w:rPr>
        <w:t xml:space="preserve"> </w:t>
      </w:r>
      <w:r>
        <w:t>potential,</w:t>
      </w:r>
      <w:r>
        <w:rPr>
          <w:spacing w:val="-3"/>
        </w:rPr>
        <w:t xml:space="preserve"> </w:t>
      </w:r>
      <w:r>
        <w:t>actively</w:t>
      </w:r>
      <w:r>
        <w:rPr>
          <w:spacing w:val="-10"/>
        </w:rPr>
        <w:t xml:space="preserve"> </w:t>
      </w:r>
      <w:r>
        <w:t>participate</w:t>
      </w:r>
      <w:r>
        <w:rPr>
          <w:spacing w:val="-58"/>
        </w:rPr>
        <w:t xml:space="preserve"> </w:t>
      </w:r>
      <w:r>
        <w:t>in society and assume their social and civic responsibilities. Moreover, raising the level of key</w:t>
      </w:r>
      <w:r>
        <w:rPr>
          <w:spacing w:val="-57"/>
        </w:rPr>
        <w:t xml:space="preserve"> </w:t>
      </w:r>
      <w:r>
        <w:t>competencies and developing new knowledge and skills while recognising non-formally and</w:t>
      </w:r>
      <w:r>
        <w:rPr>
          <w:spacing w:val="1"/>
        </w:rPr>
        <w:t xml:space="preserve"> </w:t>
      </w:r>
      <w:r>
        <w:t>informally</w:t>
      </w:r>
      <w:r>
        <w:rPr>
          <w:spacing w:val="-6"/>
        </w:rPr>
        <w:t xml:space="preserve"> </w:t>
      </w:r>
      <w:r>
        <w:t>acquired</w:t>
      </w:r>
      <w:r>
        <w:rPr>
          <w:spacing w:val="-4"/>
        </w:rPr>
        <w:t xml:space="preserve"> </w:t>
      </w:r>
      <w:r>
        <w:t>knowledge</w:t>
      </w:r>
      <w:r>
        <w:rPr>
          <w:spacing w:val="-4"/>
        </w:rPr>
        <w:t xml:space="preserve"> </w:t>
      </w:r>
      <w:r>
        <w:t>and</w:t>
      </w:r>
      <w:r>
        <w:rPr>
          <w:spacing w:val="-4"/>
        </w:rPr>
        <w:t xml:space="preserve"> </w:t>
      </w:r>
      <w:r>
        <w:t>skills provides</w:t>
      </w:r>
      <w:r>
        <w:rPr>
          <w:spacing w:val="-3"/>
        </w:rPr>
        <w:t xml:space="preserve"> </w:t>
      </w:r>
      <w:r>
        <w:t>citizens</w:t>
      </w:r>
      <w:r>
        <w:rPr>
          <w:spacing w:val="-3"/>
        </w:rPr>
        <w:t xml:space="preserve"> </w:t>
      </w:r>
      <w:r>
        <w:t>access</w:t>
      </w:r>
      <w:r>
        <w:rPr>
          <w:spacing w:val="-3"/>
        </w:rPr>
        <w:t xml:space="preserve"> </w:t>
      </w:r>
      <w:r>
        <w:t>to</w:t>
      </w:r>
      <w:r>
        <w:rPr>
          <w:spacing w:val="-2"/>
        </w:rPr>
        <w:t xml:space="preserve"> </w:t>
      </w:r>
      <w:r>
        <w:t>the</w:t>
      </w:r>
      <w:r>
        <w:rPr>
          <w:spacing w:val="-4"/>
        </w:rPr>
        <w:t xml:space="preserve"> </w:t>
      </w:r>
      <w:r>
        <w:t>labour</w:t>
      </w:r>
      <w:r>
        <w:rPr>
          <w:spacing w:val="-2"/>
        </w:rPr>
        <w:t xml:space="preserve"> </w:t>
      </w:r>
      <w:r>
        <w:t>market</w:t>
      </w:r>
      <w:r>
        <w:rPr>
          <w:spacing w:val="-1"/>
        </w:rPr>
        <w:t xml:space="preserve"> </w:t>
      </w:r>
      <w:r>
        <w:t>and</w:t>
      </w:r>
      <w:r>
        <w:rPr>
          <w:spacing w:val="-4"/>
        </w:rPr>
        <w:t xml:space="preserve"> </w:t>
      </w:r>
      <w:r>
        <w:t>the</w:t>
      </w:r>
      <w:r>
        <w:rPr>
          <w:spacing w:val="-57"/>
        </w:rPr>
        <w:t xml:space="preserve"> </w:t>
      </w:r>
      <w:r>
        <w:t>opportunity</w:t>
      </w:r>
      <w:r>
        <w:rPr>
          <w:spacing w:val="-13"/>
        </w:rPr>
        <w:t xml:space="preserve"> </w:t>
      </w:r>
      <w:r>
        <w:t>to</w:t>
      </w:r>
      <w:r>
        <w:rPr>
          <w:spacing w:val="-8"/>
        </w:rPr>
        <w:t xml:space="preserve"> </w:t>
      </w:r>
      <w:r>
        <w:t>progress</w:t>
      </w:r>
      <w:r>
        <w:rPr>
          <w:spacing w:val="-8"/>
        </w:rPr>
        <w:t xml:space="preserve"> </w:t>
      </w:r>
      <w:r>
        <w:t>on</w:t>
      </w:r>
      <w:r>
        <w:rPr>
          <w:spacing w:val="-9"/>
        </w:rPr>
        <w:t xml:space="preserve"> </w:t>
      </w:r>
      <w:r>
        <w:t>the</w:t>
      </w:r>
      <w:r>
        <w:rPr>
          <w:spacing w:val="-9"/>
        </w:rPr>
        <w:t xml:space="preserve"> </w:t>
      </w:r>
      <w:r>
        <w:t>market,</w:t>
      </w:r>
      <w:r>
        <w:rPr>
          <w:spacing w:val="-8"/>
        </w:rPr>
        <w:t xml:space="preserve"> </w:t>
      </w:r>
      <w:r>
        <w:t>as</w:t>
      </w:r>
      <w:r>
        <w:rPr>
          <w:spacing w:val="-8"/>
        </w:rPr>
        <w:t xml:space="preserve"> </w:t>
      </w:r>
      <w:r>
        <w:t>well</w:t>
      </w:r>
      <w:r>
        <w:rPr>
          <w:spacing w:val="-8"/>
        </w:rPr>
        <w:t xml:space="preserve"> </w:t>
      </w:r>
      <w:r>
        <w:t>as</w:t>
      </w:r>
      <w:r>
        <w:rPr>
          <w:spacing w:val="-8"/>
        </w:rPr>
        <w:t xml:space="preserve"> </w:t>
      </w:r>
      <w:r>
        <w:t>inclusion</w:t>
      </w:r>
      <w:r>
        <w:rPr>
          <w:spacing w:val="-9"/>
        </w:rPr>
        <w:t xml:space="preserve"> </w:t>
      </w:r>
      <w:r>
        <w:t>in</w:t>
      </w:r>
      <w:r>
        <w:rPr>
          <w:spacing w:val="-7"/>
        </w:rPr>
        <w:t xml:space="preserve"> </w:t>
      </w:r>
      <w:r>
        <w:t>ongoing</w:t>
      </w:r>
      <w:r>
        <w:rPr>
          <w:spacing w:val="-8"/>
        </w:rPr>
        <w:t xml:space="preserve"> </w:t>
      </w:r>
      <w:r>
        <w:t>education.</w:t>
      </w:r>
      <w:r>
        <w:rPr>
          <w:spacing w:val="-4"/>
        </w:rPr>
        <w:t xml:space="preserve"> </w:t>
      </w:r>
      <w:r>
        <w:t>Increasing</w:t>
      </w:r>
      <w:r>
        <w:rPr>
          <w:spacing w:val="-10"/>
        </w:rPr>
        <w:t xml:space="preserve"> </w:t>
      </w:r>
      <w:r>
        <w:t>the</w:t>
      </w:r>
      <w:r>
        <w:rPr>
          <w:spacing w:val="-58"/>
        </w:rPr>
        <w:t xml:space="preserve"> </w:t>
      </w:r>
      <w:r>
        <w:t>level of key competencies and acquiring new skills to help citizens access and progress in the</w:t>
      </w:r>
      <w:r>
        <w:rPr>
          <w:spacing w:val="1"/>
        </w:rPr>
        <w:t xml:space="preserve"> </w:t>
      </w:r>
      <w:r>
        <w:t>labour market, will be supported by the establishment and implementation of a system of</w:t>
      </w:r>
      <w:r>
        <w:rPr>
          <w:spacing w:val="1"/>
        </w:rPr>
        <w:t xml:space="preserve"> </w:t>
      </w:r>
      <w:r>
        <w:t>financial</w:t>
      </w:r>
      <w:r>
        <w:rPr>
          <w:spacing w:val="-1"/>
        </w:rPr>
        <w:t xml:space="preserve"> </w:t>
      </w:r>
      <w:r>
        <w:t>incentives</w:t>
      </w:r>
      <w:r>
        <w:rPr>
          <w:spacing w:val="2"/>
        </w:rPr>
        <w:t xml:space="preserve"> </w:t>
      </w:r>
      <w:r>
        <w:t>for</w:t>
      </w:r>
      <w:r>
        <w:rPr>
          <w:spacing w:val="-2"/>
        </w:rPr>
        <w:t xml:space="preserve"> </w:t>
      </w:r>
      <w:r>
        <w:t>beneficiaries</w:t>
      </w:r>
      <w:r>
        <w:rPr>
          <w:spacing w:val="-1"/>
        </w:rPr>
        <w:t xml:space="preserve"> </w:t>
      </w:r>
      <w:r>
        <w:t>to participate</w:t>
      </w:r>
      <w:r>
        <w:rPr>
          <w:spacing w:val="1"/>
        </w:rPr>
        <w:t xml:space="preserve"> </w:t>
      </w:r>
      <w:r>
        <w:t>in priority</w:t>
      </w:r>
      <w:r>
        <w:rPr>
          <w:spacing w:val="-6"/>
        </w:rPr>
        <w:t xml:space="preserve"> </w:t>
      </w:r>
      <w:r>
        <w:t>training</w:t>
      </w:r>
      <w:r>
        <w:rPr>
          <w:spacing w:val="-3"/>
        </w:rPr>
        <w:t xml:space="preserve"> </w:t>
      </w:r>
      <w:r>
        <w:t>programs.</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60390313"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539344692" name="Rectangle 178"/>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F0A3E53" id="Group 177"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">
                <v:rect id="Rectangle 178"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1"/>
      </w:pPr>
      <w:r>
        <w:t>The ongoing project Development of a Quality Assurance System in Adult Education is</w:t>
      </w:r>
      <w:r>
        <w:rPr>
          <w:spacing w:val="1"/>
        </w:rPr>
        <w:t xml:space="preserve"> </w:t>
      </w:r>
      <w:r>
        <w:t>currently</w:t>
      </w:r>
      <w:r>
        <w:rPr>
          <w:spacing w:val="-10"/>
        </w:rPr>
        <w:t xml:space="preserve"> </w:t>
      </w:r>
      <w:r>
        <w:t>developing</w:t>
      </w:r>
      <w:r>
        <w:rPr>
          <w:spacing w:val="-6"/>
        </w:rPr>
        <w:t xml:space="preserve"> </w:t>
      </w:r>
      <w:r>
        <w:t>a</w:t>
      </w:r>
      <w:r>
        <w:rPr>
          <w:spacing w:val="-6"/>
        </w:rPr>
        <w:t xml:space="preserve"> </w:t>
      </w:r>
      <w:r>
        <w:t>quality</w:t>
      </w:r>
      <w:r>
        <w:rPr>
          <w:spacing w:val="-8"/>
        </w:rPr>
        <w:t xml:space="preserve"> </w:t>
      </w:r>
      <w:r>
        <w:t>assurance</w:t>
      </w:r>
      <w:r>
        <w:rPr>
          <w:spacing w:val="-4"/>
        </w:rPr>
        <w:t xml:space="preserve"> </w:t>
      </w:r>
      <w:r>
        <w:t>system</w:t>
      </w:r>
      <w:r>
        <w:rPr>
          <w:spacing w:val="-2"/>
        </w:rPr>
        <w:t xml:space="preserve"> </w:t>
      </w:r>
      <w:r>
        <w:t>in</w:t>
      </w:r>
      <w:r>
        <w:rPr>
          <w:spacing w:val="-2"/>
        </w:rPr>
        <w:t xml:space="preserve"> </w:t>
      </w:r>
      <w:r>
        <w:t>adult</w:t>
      </w:r>
      <w:r>
        <w:rPr>
          <w:spacing w:val="-5"/>
        </w:rPr>
        <w:t xml:space="preserve"> </w:t>
      </w:r>
      <w:r>
        <w:t>education</w:t>
      </w:r>
      <w:r>
        <w:rPr>
          <w:spacing w:val="-5"/>
        </w:rPr>
        <w:t xml:space="preserve"> </w:t>
      </w:r>
      <w:r>
        <w:t>through</w:t>
      </w:r>
      <w:r>
        <w:rPr>
          <w:spacing w:val="-5"/>
        </w:rPr>
        <w:t xml:space="preserve"> </w:t>
      </w:r>
      <w:r>
        <w:t>the</w:t>
      </w:r>
      <w:r>
        <w:rPr>
          <w:spacing w:val="-6"/>
        </w:rPr>
        <w:t xml:space="preserve"> </w:t>
      </w:r>
      <w:r>
        <w:t>implementation</w:t>
      </w:r>
      <w:r>
        <w:rPr>
          <w:spacing w:val="-57"/>
        </w:rPr>
        <w:t xml:space="preserve"> </w:t>
      </w:r>
      <w:r>
        <w:t>of</w:t>
      </w:r>
      <w:r>
        <w:rPr>
          <w:spacing w:val="1"/>
        </w:rPr>
        <w:t xml:space="preserve"> </w:t>
      </w:r>
      <w:r>
        <w:t>the</w:t>
      </w:r>
      <w:r>
        <w:rPr>
          <w:spacing w:val="1"/>
        </w:rPr>
        <w:t xml:space="preserve"> </w:t>
      </w:r>
      <w:r>
        <w:t>Programme</w:t>
      </w:r>
      <w:r>
        <w:rPr>
          <w:spacing w:val="1"/>
        </w:rPr>
        <w:t xml:space="preserve"> </w:t>
      </w:r>
      <w:r>
        <w:t>for</w:t>
      </w:r>
      <w:r>
        <w:rPr>
          <w:spacing w:val="1"/>
        </w:rPr>
        <w:t xml:space="preserve"> </w:t>
      </w:r>
      <w:r>
        <w:t>the</w:t>
      </w:r>
      <w:r>
        <w:rPr>
          <w:spacing w:val="1"/>
        </w:rPr>
        <w:t xml:space="preserve"> </w:t>
      </w:r>
      <w:r>
        <w:t>International</w:t>
      </w:r>
      <w:r>
        <w:rPr>
          <w:spacing w:val="1"/>
        </w:rPr>
        <w:t xml:space="preserve"> </w:t>
      </w:r>
      <w:r>
        <w:t>Assessment</w:t>
      </w:r>
      <w:r>
        <w:rPr>
          <w:spacing w:val="1"/>
        </w:rPr>
        <w:t xml:space="preserve"> </w:t>
      </w:r>
      <w:r>
        <w:t>of</w:t>
      </w:r>
      <w:r>
        <w:rPr>
          <w:spacing w:val="1"/>
        </w:rPr>
        <w:t xml:space="preserve"> </w:t>
      </w:r>
      <w:r>
        <w:t>Adult</w:t>
      </w:r>
      <w:r>
        <w:rPr>
          <w:spacing w:val="1"/>
        </w:rPr>
        <w:t xml:space="preserve"> </w:t>
      </w:r>
      <w:r>
        <w:t>Competencies</w:t>
      </w:r>
      <w:r>
        <w:rPr>
          <w:spacing w:val="1"/>
        </w:rPr>
        <w:t xml:space="preserve"> </w:t>
      </w:r>
      <w:r>
        <w:t>(PIAAC),</w:t>
      </w:r>
      <w:r>
        <w:rPr>
          <w:spacing w:val="1"/>
        </w:rPr>
        <w:t xml:space="preserve"> </w:t>
      </w:r>
      <w:r>
        <w:t>development</w:t>
      </w:r>
      <w:r>
        <w:rPr>
          <w:spacing w:val="1"/>
        </w:rPr>
        <w:t xml:space="preserve"> </w:t>
      </w:r>
      <w:r>
        <w:t>of</w:t>
      </w:r>
      <w:r>
        <w:rPr>
          <w:spacing w:val="1"/>
        </w:rPr>
        <w:t xml:space="preserve"> </w:t>
      </w:r>
      <w:r>
        <w:t>quality</w:t>
      </w:r>
      <w:r>
        <w:rPr>
          <w:spacing w:val="1"/>
        </w:rPr>
        <w:t xml:space="preserve"> </w:t>
      </w:r>
      <w:r>
        <w:t>assurance</w:t>
      </w:r>
      <w:r>
        <w:rPr>
          <w:spacing w:val="1"/>
        </w:rPr>
        <w:t xml:space="preserve"> </w:t>
      </w:r>
      <w:r>
        <w:t>models,</w:t>
      </w:r>
      <w:r>
        <w:rPr>
          <w:spacing w:val="1"/>
        </w:rPr>
        <w:t xml:space="preserve"> </w:t>
      </w:r>
      <w:r>
        <w:t>introduction</w:t>
      </w:r>
      <w:r>
        <w:rPr>
          <w:spacing w:val="1"/>
        </w:rPr>
        <w:t xml:space="preserve"> </w:t>
      </w:r>
      <w:r>
        <w:t>of</w:t>
      </w:r>
      <w:r>
        <w:rPr>
          <w:spacing w:val="1"/>
        </w:rPr>
        <w:t xml:space="preserve"> </w:t>
      </w:r>
      <w:r>
        <w:t>self-evaluation</w:t>
      </w:r>
      <w:r>
        <w:rPr>
          <w:spacing w:val="1"/>
        </w:rPr>
        <w:t xml:space="preserve"> </w:t>
      </w:r>
      <w:r>
        <w:t>and</w:t>
      </w:r>
      <w:r>
        <w:rPr>
          <w:spacing w:val="1"/>
        </w:rPr>
        <w:t xml:space="preserve"> </w:t>
      </w:r>
      <w:r>
        <w:t>external</w:t>
      </w:r>
      <w:r>
        <w:rPr>
          <w:spacing w:val="1"/>
        </w:rPr>
        <w:t xml:space="preserve"> </w:t>
      </w:r>
      <w:r>
        <w:t>evaluation of adult education institutions. As a target group, education experts will be able to</w:t>
      </w:r>
      <w:r>
        <w:rPr>
          <w:spacing w:val="1"/>
        </w:rPr>
        <w:t xml:space="preserve"> </w:t>
      </w:r>
      <w:r>
        <w:t>strengthen their capacities to implement quality assurance and monitoring and develop and</w:t>
      </w:r>
      <w:r>
        <w:rPr>
          <w:spacing w:val="1"/>
        </w:rPr>
        <w:t xml:space="preserve"> </w:t>
      </w:r>
      <w:r>
        <w:t>implement</w:t>
      </w:r>
      <w:r>
        <w:rPr>
          <w:spacing w:val="1"/>
        </w:rPr>
        <w:t xml:space="preserve"> </w:t>
      </w:r>
      <w:r>
        <w:t>education</w:t>
      </w:r>
      <w:r>
        <w:rPr>
          <w:spacing w:val="1"/>
        </w:rPr>
        <w:t xml:space="preserve"> </w:t>
      </w:r>
      <w:r>
        <w:t>policies</w:t>
      </w:r>
      <w:r>
        <w:rPr>
          <w:spacing w:val="1"/>
        </w:rPr>
        <w:t xml:space="preserve"> </w:t>
      </w:r>
      <w:r>
        <w:t>based</w:t>
      </w:r>
      <w:r>
        <w:rPr>
          <w:spacing w:val="1"/>
        </w:rPr>
        <w:t xml:space="preserve"> </w:t>
      </w:r>
      <w:r>
        <w:t>on</w:t>
      </w:r>
      <w:r>
        <w:rPr>
          <w:spacing w:val="1"/>
        </w:rPr>
        <w:t xml:space="preserve"> </w:t>
      </w:r>
      <w:r>
        <w:t>relevant</w:t>
      </w:r>
      <w:r>
        <w:rPr>
          <w:spacing w:val="1"/>
        </w:rPr>
        <w:t xml:space="preserve"> </w:t>
      </w:r>
      <w:r>
        <w:t>research</w:t>
      </w:r>
      <w:r>
        <w:rPr>
          <w:spacing w:val="1"/>
        </w:rPr>
        <w:t xml:space="preserve"> </w:t>
      </w:r>
      <w:r>
        <w:t>data</w:t>
      </w:r>
      <w:r>
        <w:rPr>
          <w:spacing w:val="1"/>
        </w:rPr>
        <w:t xml:space="preserve"> </w:t>
      </w:r>
      <w:r>
        <w:t>and</w:t>
      </w:r>
      <w:r>
        <w:rPr>
          <w:spacing w:val="1"/>
        </w:rPr>
        <w:t xml:space="preserve"> </w:t>
      </w:r>
      <w:r>
        <w:t>indicators.</w:t>
      </w:r>
      <w:r>
        <w:rPr>
          <w:spacing w:val="1"/>
        </w:rPr>
        <w:t xml:space="preserve"> </w:t>
      </w:r>
      <w:r>
        <w:rPr>
          <w:b/>
        </w:rPr>
        <w:t>Quality</w:t>
      </w:r>
      <w:r>
        <w:rPr>
          <w:b/>
          <w:spacing w:val="1"/>
        </w:rPr>
        <w:t xml:space="preserve"> </w:t>
      </w:r>
      <w:r>
        <w:rPr>
          <w:b/>
        </w:rPr>
        <w:t>assurance</w:t>
      </w:r>
      <w:r>
        <w:rPr>
          <w:b/>
          <w:spacing w:val="-11"/>
        </w:rPr>
        <w:t xml:space="preserve"> </w:t>
      </w:r>
      <w:r>
        <w:rPr>
          <w:b/>
        </w:rPr>
        <w:t>will</w:t>
      </w:r>
      <w:r>
        <w:rPr>
          <w:b/>
          <w:spacing w:val="-9"/>
        </w:rPr>
        <w:t xml:space="preserve"> </w:t>
      </w:r>
      <w:r>
        <w:rPr>
          <w:b/>
        </w:rPr>
        <w:t>also</w:t>
      </w:r>
      <w:r>
        <w:rPr>
          <w:b/>
          <w:spacing w:val="-8"/>
        </w:rPr>
        <w:t xml:space="preserve"> </w:t>
      </w:r>
      <w:r>
        <w:rPr>
          <w:b/>
        </w:rPr>
        <w:t>be</w:t>
      </w:r>
      <w:r>
        <w:rPr>
          <w:b/>
          <w:spacing w:val="-11"/>
        </w:rPr>
        <w:t xml:space="preserve"> </w:t>
      </w:r>
      <w:r>
        <w:rPr>
          <w:b/>
        </w:rPr>
        <w:t>implemented</w:t>
      </w:r>
      <w:r>
        <w:rPr>
          <w:b/>
          <w:spacing w:val="-9"/>
        </w:rPr>
        <w:t xml:space="preserve"> </w:t>
      </w:r>
      <w:r>
        <w:rPr>
          <w:b/>
        </w:rPr>
        <w:t>by</w:t>
      </w:r>
      <w:r>
        <w:rPr>
          <w:b/>
          <w:spacing w:val="-6"/>
        </w:rPr>
        <w:t xml:space="preserve"> </w:t>
      </w:r>
      <w:r>
        <w:rPr>
          <w:b/>
        </w:rPr>
        <w:t>aligning</w:t>
      </w:r>
      <w:r>
        <w:rPr>
          <w:b/>
          <w:spacing w:val="-11"/>
        </w:rPr>
        <w:t xml:space="preserve"> </w:t>
      </w:r>
      <w:r>
        <w:rPr>
          <w:b/>
        </w:rPr>
        <w:t>formal</w:t>
      </w:r>
      <w:r>
        <w:rPr>
          <w:b/>
          <w:spacing w:val="-9"/>
        </w:rPr>
        <w:t xml:space="preserve"> </w:t>
      </w:r>
      <w:r>
        <w:rPr>
          <w:b/>
        </w:rPr>
        <w:t>adult</w:t>
      </w:r>
      <w:r>
        <w:rPr>
          <w:b/>
          <w:spacing w:val="-9"/>
        </w:rPr>
        <w:t xml:space="preserve"> </w:t>
      </w:r>
      <w:r>
        <w:rPr>
          <w:b/>
        </w:rPr>
        <w:t>education</w:t>
      </w:r>
      <w:r>
        <w:rPr>
          <w:b/>
          <w:spacing w:val="-12"/>
        </w:rPr>
        <w:t xml:space="preserve"> </w:t>
      </w:r>
      <w:r>
        <w:rPr>
          <w:b/>
        </w:rPr>
        <w:t>programs</w:t>
      </w:r>
      <w:r>
        <w:rPr>
          <w:b/>
          <w:spacing w:val="-9"/>
        </w:rPr>
        <w:t xml:space="preserve"> </w:t>
      </w:r>
      <w:r>
        <w:rPr>
          <w:b/>
        </w:rPr>
        <w:t>with</w:t>
      </w:r>
      <w:r>
        <w:rPr>
          <w:b/>
          <w:spacing w:val="-8"/>
        </w:rPr>
        <w:t xml:space="preserve"> </w:t>
      </w:r>
      <w:r>
        <w:rPr>
          <w:b/>
        </w:rPr>
        <w:t>the</w:t>
      </w:r>
      <w:r>
        <w:rPr>
          <w:b/>
          <w:spacing w:val="-58"/>
        </w:rPr>
        <w:t xml:space="preserve"> </w:t>
      </w:r>
      <w:r>
        <w:rPr>
          <w:b/>
        </w:rPr>
        <w:t xml:space="preserve">Croatian Qualifications Framework (CROQF) </w:t>
      </w:r>
      <w:r>
        <w:t>to fully meet the needs of the labour market</w:t>
      </w:r>
      <w:r>
        <w:rPr>
          <w:spacing w:val="-57"/>
        </w:rPr>
        <w:t xml:space="preserve"> </w:t>
      </w:r>
      <w:r>
        <w:t>and</w:t>
      </w:r>
      <w:r>
        <w:rPr>
          <w:spacing w:val="-1"/>
        </w:rPr>
        <w:t xml:space="preserve"> </w:t>
      </w:r>
      <w:r>
        <w:t>provide a</w:t>
      </w:r>
      <w:r>
        <w:rPr>
          <w:spacing w:val="-2"/>
        </w:rPr>
        <w:t xml:space="preserve"> </w:t>
      </w:r>
      <w:r>
        <w:t>skilled workforce.</w:t>
      </w:r>
    </w:p>
    <w:p w:rsidR="00A56FE9" w:rsidRDefault="00000000">
      <w:pPr>
        <w:pStyle w:val="Naslov5"/>
        <w:spacing w:before="126"/>
        <w:ind w:right="273"/>
      </w:pPr>
      <w:r>
        <w:t>A series of promotional activities aimed at the general population will be organized to</w:t>
      </w:r>
      <w:r>
        <w:rPr>
          <w:spacing w:val="1"/>
        </w:rPr>
        <w:t xml:space="preserve"> </w:t>
      </w:r>
      <w:r>
        <w:t>inform</w:t>
      </w:r>
      <w:r>
        <w:rPr>
          <w:spacing w:val="-5"/>
        </w:rPr>
        <w:t xml:space="preserve"> </w:t>
      </w:r>
      <w:r>
        <w:t>citizens about the</w:t>
      </w:r>
      <w:r>
        <w:rPr>
          <w:spacing w:val="-1"/>
        </w:rPr>
        <w:t xml:space="preserve"> </w:t>
      </w:r>
      <w:r>
        <w:t>importance</w:t>
      </w:r>
      <w:r>
        <w:rPr>
          <w:spacing w:val="-2"/>
        </w:rPr>
        <w:t xml:space="preserve"> </w:t>
      </w:r>
      <w:r>
        <w:t>of</w:t>
      </w:r>
      <w:r>
        <w:rPr>
          <w:spacing w:val="1"/>
        </w:rPr>
        <w:t xml:space="preserve"> </w:t>
      </w:r>
      <w:r>
        <w:t>inclusion in</w:t>
      </w:r>
      <w:r>
        <w:rPr>
          <w:spacing w:val="1"/>
        </w:rPr>
        <w:t xml:space="preserve"> </w:t>
      </w:r>
      <w:r>
        <w:t>lifelong</w:t>
      </w:r>
      <w:r>
        <w:rPr>
          <w:spacing w:val="-3"/>
        </w:rPr>
        <w:t xml:space="preserve"> </w:t>
      </w:r>
      <w:r>
        <w:t>learning.</w:t>
      </w:r>
    </w:p>
    <w:p w:rsidR="00A56FE9" w:rsidRDefault="00000000">
      <w:pPr>
        <w:pStyle w:val="Tijeloteksta"/>
        <w:spacing w:before="115"/>
        <w:ind w:right="272"/>
      </w:pPr>
      <w:r>
        <w:t>These mentioned NRRP reform processes, investments and other measures outside the NRRP</w:t>
      </w:r>
      <w:r>
        <w:rPr>
          <w:spacing w:val="1"/>
        </w:rPr>
        <w:t xml:space="preserve"> </w:t>
      </w:r>
      <w:r>
        <w:t>framework,</w:t>
      </w:r>
      <w:r>
        <w:rPr>
          <w:spacing w:val="-7"/>
        </w:rPr>
        <w:t xml:space="preserve"> </w:t>
      </w:r>
      <w:r>
        <w:t>financially</w:t>
      </w:r>
      <w:r>
        <w:rPr>
          <w:spacing w:val="-10"/>
        </w:rPr>
        <w:t xml:space="preserve"> </w:t>
      </w:r>
      <w:r>
        <w:t>supported</w:t>
      </w:r>
      <w:r>
        <w:rPr>
          <w:spacing w:val="-6"/>
        </w:rPr>
        <w:t xml:space="preserve"> </w:t>
      </w:r>
      <w:r>
        <w:t>by</w:t>
      </w:r>
      <w:r>
        <w:rPr>
          <w:spacing w:val="-10"/>
        </w:rPr>
        <w:t xml:space="preserve"> </w:t>
      </w:r>
      <w:r>
        <w:t>EU</w:t>
      </w:r>
      <w:r>
        <w:rPr>
          <w:spacing w:val="-7"/>
        </w:rPr>
        <w:t xml:space="preserve"> </w:t>
      </w:r>
      <w:r>
        <w:t>structural</w:t>
      </w:r>
      <w:r>
        <w:rPr>
          <w:spacing w:val="-5"/>
        </w:rPr>
        <w:t xml:space="preserve"> </w:t>
      </w:r>
      <w:r>
        <w:t>funds,</w:t>
      </w:r>
      <w:r>
        <w:rPr>
          <w:spacing w:val="-6"/>
        </w:rPr>
        <w:t xml:space="preserve"> </w:t>
      </w:r>
      <w:r>
        <w:t>will</w:t>
      </w:r>
      <w:r>
        <w:rPr>
          <w:spacing w:val="-6"/>
        </w:rPr>
        <w:t xml:space="preserve"> </w:t>
      </w:r>
      <w:r>
        <w:t>contribute</w:t>
      </w:r>
      <w:r>
        <w:rPr>
          <w:spacing w:val="-6"/>
        </w:rPr>
        <w:t xml:space="preserve"> </w:t>
      </w:r>
      <w:r>
        <w:t>to</w:t>
      </w:r>
      <w:r>
        <w:rPr>
          <w:spacing w:val="-4"/>
        </w:rPr>
        <w:t xml:space="preserve"> </w:t>
      </w:r>
      <w:r>
        <w:t>achieving</w:t>
      </w:r>
      <w:r>
        <w:rPr>
          <w:spacing w:val="-7"/>
        </w:rPr>
        <w:t xml:space="preserve"> </w:t>
      </w:r>
      <w:r>
        <w:t>the</w:t>
      </w:r>
      <w:r>
        <w:rPr>
          <w:spacing w:val="-4"/>
        </w:rPr>
        <w:t xml:space="preserve"> </w:t>
      </w:r>
      <w:r>
        <w:t>goals</w:t>
      </w:r>
      <w:r>
        <w:rPr>
          <w:spacing w:val="-57"/>
        </w:rPr>
        <w:t xml:space="preserve"> </w:t>
      </w:r>
      <w:r>
        <w:t>defined in the European Pillar of Social Rights Action Plan. The expectation is that the</w:t>
      </w:r>
      <w:r>
        <w:rPr>
          <w:spacing w:val="1"/>
        </w:rPr>
        <w:t xml:space="preserve"> </w:t>
      </w:r>
      <w:r>
        <w:t>implementation</w:t>
      </w:r>
      <w:r>
        <w:rPr>
          <w:spacing w:val="-14"/>
        </w:rPr>
        <w:t xml:space="preserve"> </w:t>
      </w:r>
      <w:r>
        <w:t>of</w:t>
      </w:r>
      <w:r>
        <w:rPr>
          <w:spacing w:val="-14"/>
        </w:rPr>
        <w:t xml:space="preserve"> </w:t>
      </w:r>
      <w:r>
        <w:t>measures</w:t>
      </w:r>
      <w:r>
        <w:rPr>
          <w:spacing w:val="-13"/>
        </w:rPr>
        <w:t xml:space="preserve"> </w:t>
      </w:r>
      <w:r>
        <w:t>will</w:t>
      </w:r>
      <w:r>
        <w:rPr>
          <w:spacing w:val="-11"/>
        </w:rPr>
        <w:t xml:space="preserve"> </w:t>
      </w:r>
      <w:r>
        <w:t>facilitate</w:t>
      </w:r>
      <w:r>
        <w:rPr>
          <w:spacing w:val="-14"/>
        </w:rPr>
        <w:t xml:space="preserve"> </w:t>
      </w:r>
      <w:r>
        <w:t>the</w:t>
      </w:r>
      <w:r>
        <w:rPr>
          <w:spacing w:val="-14"/>
        </w:rPr>
        <w:t xml:space="preserve"> </w:t>
      </w:r>
      <w:r>
        <w:t>realisation</w:t>
      </w:r>
      <w:r>
        <w:rPr>
          <w:spacing w:val="-13"/>
        </w:rPr>
        <w:t xml:space="preserve"> </w:t>
      </w:r>
      <w:r>
        <w:t>of</w:t>
      </w:r>
      <w:r>
        <w:rPr>
          <w:spacing w:val="-14"/>
        </w:rPr>
        <w:t xml:space="preserve"> </w:t>
      </w:r>
      <w:r>
        <w:t>the</w:t>
      </w:r>
      <w:r>
        <w:rPr>
          <w:spacing w:val="-14"/>
        </w:rPr>
        <w:t xml:space="preserve"> </w:t>
      </w:r>
      <w:r>
        <w:t>following</w:t>
      </w:r>
      <w:r>
        <w:rPr>
          <w:spacing w:val="-14"/>
        </w:rPr>
        <w:t xml:space="preserve"> </w:t>
      </w:r>
      <w:r>
        <w:t>goals</w:t>
      </w:r>
      <w:r>
        <w:rPr>
          <w:spacing w:val="-13"/>
        </w:rPr>
        <w:t xml:space="preserve"> </w:t>
      </w:r>
      <w:r>
        <w:t>from</w:t>
      </w:r>
      <w:r>
        <w:rPr>
          <w:spacing w:val="-13"/>
        </w:rPr>
        <w:t xml:space="preserve"> </w:t>
      </w:r>
      <w:r>
        <w:t>the</w:t>
      </w:r>
      <w:r>
        <w:rPr>
          <w:spacing w:val="-14"/>
        </w:rPr>
        <w:t xml:space="preserve"> </w:t>
      </w:r>
      <w:r>
        <w:t>Action</w:t>
      </w:r>
      <w:r>
        <w:rPr>
          <w:spacing w:val="-58"/>
        </w:rPr>
        <w:t xml:space="preserve"> </w:t>
      </w:r>
      <w:r>
        <w:t>Plan until 2030, i.e., every year at least 55% of all adults should participate in training (age</w:t>
      </w:r>
      <w:r>
        <w:rPr>
          <w:spacing w:val="1"/>
        </w:rPr>
        <w:t xml:space="preserve"> </w:t>
      </w:r>
      <w:r>
        <w:t>group</w:t>
      </w:r>
      <w:r>
        <w:rPr>
          <w:spacing w:val="-2"/>
        </w:rPr>
        <w:t xml:space="preserve"> </w:t>
      </w:r>
      <w:r>
        <w:t>25-64) and</w:t>
      </w:r>
      <w:r>
        <w:rPr>
          <w:spacing w:val="1"/>
        </w:rPr>
        <w:t xml:space="preserve"> </w:t>
      </w:r>
      <w:r>
        <w:t>at least</w:t>
      </w:r>
      <w:r>
        <w:rPr>
          <w:spacing w:val="1"/>
        </w:rPr>
        <w:t xml:space="preserve"> </w:t>
      </w:r>
      <w:r>
        <w:t>80%</w:t>
      </w:r>
      <w:r>
        <w:rPr>
          <w:spacing w:val="-1"/>
        </w:rPr>
        <w:t xml:space="preserve"> </w:t>
      </w:r>
      <w:r>
        <w:t>of adults</w:t>
      </w:r>
      <w:r>
        <w:rPr>
          <w:spacing w:val="-1"/>
        </w:rPr>
        <w:t xml:space="preserve"> </w:t>
      </w:r>
      <w:r>
        <w:t>should</w:t>
      </w:r>
      <w:r>
        <w:rPr>
          <w:spacing w:val="2"/>
        </w:rPr>
        <w:t xml:space="preserve"> </w:t>
      </w:r>
      <w:r>
        <w:t>possess</w:t>
      </w:r>
      <w:r>
        <w:rPr>
          <w:spacing w:val="-1"/>
        </w:rPr>
        <w:t xml:space="preserve"> </w:t>
      </w:r>
      <w:r>
        <w:t>basic digital</w:t>
      </w:r>
      <w:r>
        <w:rPr>
          <w:spacing w:val="-1"/>
        </w:rPr>
        <w:t xml:space="preserve"> </w:t>
      </w:r>
      <w:r>
        <w:t>skills 16-74).</w:t>
      </w: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CC1B9B">
      <w:pPr>
        <w:pStyle w:val="Tijeloteksta"/>
        <w:spacing w:before="6"/>
        <w:ind w:left="0"/>
        <w:jc w:val="left"/>
        <w:rPr>
          <w:sz w:val="26"/>
        </w:rPr>
      </w:pPr>
      <w:r>
        <w:rPr>
          <w:noProof/>
        </w:rPr>
        <mc:AlternateContent>
          <mc:Choice Requires="wps">
            <w:drawing>
              <wp:anchor distT="0" distB="0" distL="0" distR="0" simplePos="0" relativeHeight="487642624" behindDoc="1" locked="0" layoutInCell="1" allowOverlap="1">
                <wp:simplePos x="0" y="0"/>
                <wp:positionH relativeFrom="page">
                  <wp:posOffset>901065</wp:posOffset>
                </wp:positionH>
                <wp:positionV relativeFrom="paragraph">
                  <wp:posOffset>218440</wp:posOffset>
                </wp:positionV>
                <wp:extent cx="1828800" cy="7620"/>
                <wp:effectExtent l="0" t="0" r="0" b="0"/>
                <wp:wrapTopAndBottom/>
                <wp:docPr id="1137658794"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90CBC" id="Rectangle 176" o:spid="_x0000_s1026" style="position:absolute;margin-left:70.95pt;margin-top:17.2pt;width:2in;height:.6pt;z-index:-15673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" fillcolor="black" stroked="f">
                <w10:wrap type="topAndBottom" anchorx="page"/>
              </v:rect>
            </w:pict>
          </mc:Fallback>
        </mc:AlternateContent>
      </w:r>
    </w:p>
    <w:p w:rsidR="00A56FE9" w:rsidRDefault="00000000">
      <w:pPr>
        <w:spacing w:before="74"/>
        <w:ind w:left="138"/>
        <w:rPr>
          <w:sz w:val="20"/>
        </w:rPr>
      </w:pPr>
      <w:r>
        <w:rPr>
          <w:sz w:val="20"/>
          <w:vertAlign w:val="superscript"/>
        </w:rPr>
        <w:t>36</w:t>
      </w:r>
      <w:r>
        <w:rPr>
          <w:spacing w:val="-1"/>
          <w:sz w:val="20"/>
        </w:rPr>
        <w:t xml:space="preserve"> </w:t>
      </w:r>
      <w:r>
        <w:rPr>
          <w:sz w:val="20"/>
        </w:rPr>
        <w:t>OG 144/21</w:t>
      </w:r>
    </w:p>
    <w:p w:rsidR="00A56FE9" w:rsidRDefault="00A56FE9">
      <w:pPr>
        <w:rPr>
          <w:sz w:val="20"/>
        </w:rPr>
        <w:sectPr w:rsidR="00A56FE9" w:rsidSect="00AB1E70">
          <w:pgSz w:w="11910" w:h="16840"/>
          <w:pgMar w:top="1320" w:right="1140" w:bottom="960" w:left="1280" w:header="0" w:footer="779" w:gutter="0"/>
          <w:cols w:space="720"/>
        </w:sectPr>
      </w:pPr>
    </w:p>
    <w:p w:rsidR="00A56FE9" w:rsidRDefault="00A56FE9">
      <w:pPr>
        <w:pStyle w:val="Tijeloteksta"/>
        <w:spacing w:before="4"/>
        <w:ind w:left="0"/>
        <w:jc w:val="left"/>
        <w:rPr>
          <w:sz w:val="13"/>
        </w:rPr>
      </w:pPr>
    </w:p>
    <w:p w:rsidR="00A56FE9" w:rsidRDefault="00CC1B9B">
      <w:pPr>
        <w:pStyle w:val="Naslov4"/>
        <w:spacing w:before="89"/>
      </w:pPr>
      <w:r>
        <w:rPr>
          <w:noProof/>
        </w:rPr>
        <mc:AlternateContent>
          <mc:Choice Requires="wps">
            <w:drawing>
              <wp:anchor distT="0" distB="0" distL="114300" distR="114300" simplePos="0" relativeHeight="15785984" behindDoc="0" locked="0" layoutInCell="1" allowOverlap="1">
                <wp:simplePos x="0" y="0"/>
                <wp:positionH relativeFrom="page">
                  <wp:posOffset>814070</wp:posOffset>
                </wp:positionH>
                <wp:positionV relativeFrom="paragraph">
                  <wp:posOffset>-97790</wp:posOffset>
                </wp:positionV>
                <wp:extent cx="18415" cy="417830"/>
                <wp:effectExtent l="0" t="0" r="0" b="0"/>
                <wp:wrapNone/>
                <wp:docPr id="1226442528"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96FA2" id="Rectangle 175" o:spid="_x0000_s1026" style="position:absolute;margin-left:64.1pt;margin-top:-7.7pt;width:1.45pt;height:32.9pt;z-index:1578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" fillcolor="#da1f2c" stroked="f">
                <w10:wrap anchorx="page"/>
              </v:rect>
            </w:pict>
          </mc:Fallback>
        </mc:AlternateContent>
      </w:r>
      <w:r w:rsidR="00000000">
        <w:rPr>
          <w:color w:val="2C398A"/>
        </w:rPr>
        <w:t>Effective</w:t>
      </w:r>
      <w:r w:rsidR="00000000">
        <w:rPr>
          <w:color w:val="2C398A"/>
          <w:spacing w:val="-2"/>
        </w:rPr>
        <w:t xml:space="preserve"> </w:t>
      </w:r>
      <w:r w:rsidR="00000000">
        <w:rPr>
          <w:color w:val="2C398A"/>
        </w:rPr>
        <w:t>and</w:t>
      </w:r>
      <w:r w:rsidR="00000000">
        <w:rPr>
          <w:color w:val="2C398A"/>
          <w:spacing w:val="-1"/>
        </w:rPr>
        <w:t xml:space="preserve"> </w:t>
      </w:r>
      <w:r w:rsidR="00000000">
        <w:rPr>
          <w:color w:val="2C398A"/>
        </w:rPr>
        <w:t>relevant</w:t>
      </w:r>
      <w:r w:rsidR="00000000">
        <w:rPr>
          <w:color w:val="2C398A"/>
          <w:spacing w:val="1"/>
        </w:rPr>
        <w:t xml:space="preserve"> </w:t>
      </w:r>
      <w:r w:rsidR="00000000">
        <w:rPr>
          <w:color w:val="2C398A"/>
        </w:rPr>
        <w:t>higher</w:t>
      </w:r>
      <w:r w:rsidR="00000000">
        <w:rPr>
          <w:color w:val="2C398A"/>
          <w:spacing w:val="-1"/>
        </w:rPr>
        <w:t xml:space="preserve"> </w:t>
      </w:r>
      <w:r w:rsidR="00000000">
        <w:rPr>
          <w:color w:val="2C398A"/>
        </w:rPr>
        <w:t>education</w:t>
      </w:r>
    </w:p>
    <w:p w:rsidR="00A56FE9" w:rsidRDefault="00000000">
      <w:pPr>
        <w:spacing w:before="231"/>
        <w:ind w:left="138" w:right="273"/>
        <w:jc w:val="both"/>
        <w:rPr>
          <w:i/>
          <w:sz w:val="24"/>
        </w:rPr>
      </w:pPr>
      <w:r>
        <w:rPr>
          <w:i/>
          <w:color w:val="2C398A"/>
          <w:sz w:val="24"/>
        </w:rPr>
        <w:t>2019.CSR2.1. Deliver on the education reform and improve both access to education and</w:t>
      </w:r>
      <w:r>
        <w:rPr>
          <w:i/>
          <w:color w:val="2C398A"/>
          <w:spacing w:val="1"/>
          <w:sz w:val="24"/>
        </w:rPr>
        <w:t xml:space="preserve"> </w:t>
      </w:r>
      <w:r>
        <w:rPr>
          <w:i/>
          <w:color w:val="2C398A"/>
          <w:sz w:val="24"/>
        </w:rPr>
        <w:t>training at all levels and their quality and labour market relevance; 2020.CSR2.2. Increase</w:t>
      </w:r>
      <w:r>
        <w:rPr>
          <w:i/>
          <w:color w:val="2C398A"/>
          <w:spacing w:val="1"/>
          <w:sz w:val="24"/>
        </w:rPr>
        <w:t xml:space="preserve"> </w:t>
      </w:r>
      <w:r>
        <w:rPr>
          <w:i/>
          <w:color w:val="2C398A"/>
          <w:sz w:val="24"/>
        </w:rPr>
        <w:t>access</w:t>
      </w:r>
      <w:r>
        <w:rPr>
          <w:i/>
          <w:color w:val="2C398A"/>
          <w:spacing w:val="-1"/>
          <w:sz w:val="24"/>
        </w:rPr>
        <w:t xml:space="preserve"> </w:t>
      </w:r>
      <w:r>
        <w:rPr>
          <w:i/>
          <w:color w:val="2C398A"/>
          <w:sz w:val="24"/>
        </w:rPr>
        <w:t>to</w:t>
      </w:r>
      <w:r>
        <w:rPr>
          <w:i/>
          <w:color w:val="2C398A"/>
          <w:spacing w:val="-1"/>
          <w:sz w:val="24"/>
        </w:rPr>
        <w:t xml:space="preserve"> </w:t>
      </w:r>
      <w:r>
        <w:rPr>
          <w:i/>
          <w:color w:val="2C398A"/>
          <w:sz w:val="24"/>
        </w:rPr>
        <w:t>digital infrastructure</w:t>
      </w:r>
      <w:r>
        <w:rPr>
          <w:i/>
          <w:color w:val="2C398A"/>
          <w:spacing w:val="-1"/>
          <w:sz w:val="24"/>
        </w:rPr>
        <w:t xml:space="preserve"> </w:t>
      </w:r>
      <w:r>
        <w:rPr>
          <w:i/>
          <w:color w:val="2C398A"/>
          <w:sz w:val="24"/>
        </w:rPr>
        <w:t>and services;</w:t>
      </w:r>
      <w:r>
        <w:rPr>
          <w:i/>
          <w:color w:val="2C398A"/>
          <w:spacing w:val="-1"/>
          <w:sz w:val="24"/>
        </w:rPr>
        <w:t xml:space="preserve"> </w:t>
      </w:r>
      <w:r>
        <w:rPr>
          <w:i/>
          <w:color w:val="2C398A"/>
          <w:sz w:val="24"/>
        </w:rPr>
        <w:t>2020.CSR2.3. Promote</w:t>
      </w:r>
      <w:r>
        <w:rPr>
          <w:i/>
          <w:color w:val="2C398A"/>
          <w:spacing w:val="-2"/>
          <w:sz w:val="24"/>
        </w:rPr>
        <w:t xml:space="preserve"> </w:t>
      </w:r>
      <w:r>
        <w:rPr>
          <w:i/>
          <w:color w:val="2C398A"/>
          <w:sz w:val="24"/>
        </w:rPr>
        <w:t>the</w:t>
      </w:r>
      <w:r>
        <w:rPr>
          <w:i/>
          <w:color w:val="2C398A"/>
          <w:spacing w:val="-2"/>
          <w:sz w:val="24"/>
        </w:rPr>
        <w:t xml:space="preserve"> </w:t>
      </w:r>
      <w:r>
        <w:rPr>
          <w:i/>
          <w:color w:val="2C398A"/>
          <w:sz w:val="24"/>
        </w:rPr>
        <w:t>acquisition of</w:t>
      </w:r>
      <w:r>
        <w:rPr>
          <w:i/>
          <w:color w:val="2C398A"/>
          <w:spacing w:val="-1"/>
          <w:sz w:val="24"/>
        </w:rPr>
        <w:t xml:space="preserve"> </w:t>
      </w:r>
      <w:r>
        <w:rPr>
          <w:i/>
          <w:color w:val="2C398A"/>
          <w:sz w:val="24"/>
        </w:rPr>
        <w:t>skills</w:t>
      </w:r>
    </w:p>
    <w:p w:rsidR="00A56FE9" w:rsidRDefault="00A56FE9">
      <w:pPr>
        <w:pStyle w:val="Tijeloteksta"/>
        <w:spacing w:before="3"/>
        <w:ind w:left="0"/>
        <w:jc w:val="left"/>
        <w:rPr>
          <w:i/>
          <w:sz w:val="21"/>
        </w:rPr>
      </w:pPr>
    </w:p>
    <w:p w:rsidR="00A56FE9" w:rsidRDefault="00000000">
      <w:pPr>
        <w:pStyle w:val="Naslov5"/>
        <w:spacing w:after="23"/>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214217359"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771825426" name="Rectangle 174"/>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7D6A47B" id="Group 173"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">
                <v:rect id="Rectangle 174"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" fillcolor="#2c398a" stroked="f"/>
                <w10:anchorlock/>
              </v:group>
            </w:pict>
          </mc:Fallback>
        </mc:AlternateContent>
      </w:r>
    </w:p>
    <w:p w:rsidR="00A56FE9" w:rsidRDefault="00000000">
      <w:pPr>
        <w:pStyle w:val="Tijeloteksta"/>
        <w:spacing w:before="154"/>
        <w:ind w:right="273"/>
      </w:pPr>
      <w:r>
        <w:t>The increasing percentage of those acquiring a tertiary education can be attributed to state</w:t>
      </w:r>
      <w:r>
        <w:rPr>
          <w:spacing w:val="1"/>
        </w:rPr>
        <w:t xml:space="preserve"> </w:t>
      </w:r>
      <w:r>
        <w:t>scholarships</w:t>
      </w:r>
      <w:r>
        <w:rPr>
          <w:spacing w:val="-4"/>
        </w:rPr>
        <w:t xml:space="preserve"> </w:t>
      </w:r>
      <w:r>
        <w:t>for</w:t>
      </w:r>
      <w:r>
        <w:rPr>
          <w:spacing w:val="-5"/>
        </w:rPr>
        <w:t xml:space="preserve"> </w:t>
      </w:r>
      <w:r>
        <w:t>students</w:t>
      </w:r>
      <w:r>
        <w:rPr>
          <w:spacing w:val="-3"/>
        </w:rPr>
        <w:t xml:space="preserve"> </w:t>
      </w:r>
      <w:r>
        <w:t>from</w:t>
      </w:r>
      <w:r>
        <w:rPr>
          <w:spacing w:val="-3"/>
        </w:rPr>
        <w:t xml:space="preserve"> </w:t>
      </w:r>
      <w:r>
        <w:t>lower</w:t>
      </w:r>
      <w:r>
        <w:rPr>
          <w:spacing w:val="-5"/>
        </w:rPr>
        <w:t xml:space="preserve"> </w:t>
      </w:r>
      <w:r>
        <w:t>socioeconomic</w:t>
      </w:r>
      <w:r>
        <w:rPr>
          <w:spacing w:val="-5"/>
        </w:rPr>
        <w:t xml:space="preserve"> </w:t>
      </w:r>
      <w:r>
        <w:t>backgrounds,</w:t>
      </w:r>
      <w:r>
        <w:rPr>
          <w:spacing w:val="-4"/>
        </w:rPr>
        <w:t xml:space="preserve"> </w:t>
      </w:r>
      <w:r>
        <w:t>providing</w:t>
      </w:r>
      <w:r>
        <w:rPr>
          <w:spacing w:val="-6"/>
        </w:rPr>
        <w:t xml:space="preserve"> </w:t>
      </w:r>
      <w:r>
        <w:t>them</w:t>
      </w:r>
      <w:r>
        <w:rPr>
          <w:spacing w:val="-4"/>
        </w:rPr>
        <w:t xml:space="preserve"> </w:t>
      </w:r>
      <w:r>
        <w:t>with</w:t>
      </w:r>
      <w:r>
        <w:rPr>
          <w:spacing w:val="-3"/>
        </w:rPr>
        <w:t xml:space="preserve"> </w:t>
      </w:r>
      <w:r>
        <w:t>greater</w:t>
      </w:r>
      <w:r>
        <w:rPr>
          <w:spacing w:val="-58"/>
        </w:rPr>
        <w:t xml:space="preserve"> </w:t>
      </w:r>
      <w:r>
        <w:t>access,</w:t>
      </w:r>
      <w:r>
        <w:rPr>
          <w:spacing w:val="-8"/>
        </w:rPr>
        <w:t xml:space="preserve"> </w:t>
      </w:r>
      <w:r>
        <w:t>equality</w:t>
      </w:r>
      <w:r>
        <w:rPr>
          <w:spacing w:val="-13"/>
        </w:rPr>
        <w:t xml:space="preserve"> </w:t>
      </w:r>
      <w:r>
        <w:t>and</w:t>
      </w:r>
      <w:r>
        <w:rPr>
          <w:spacing w:val="-9"/>
        </w:rPr>
        <w:t xml:space="preserve"> </w:t>
      </w:r>
      <w:r>
        <w:t>completion</w:t>
      </w:r>
      <w:r>
        <w:rPr>
          <w:spacing w:val="-8"/>
        </w:rPr>
        <w:t xml:space="preserve"> </w:t>
      </w:r>
      <w:r>
        <w:t>rates</w:t>
      </w:r>
      <w:r>
        <w:rPr>
          <w:spacing w:val="-9"/>
        </w:rPr>
        <w:t xml:space="preserve"> </w:t>
      </w:r>
      <w:r>
        <w:t>in</w:t>
      </w:r>
      <w:r>
        <w:rPr>
          <w:spacing w:val="-8"/>
        </w:rPr>
        <w:t xml:space="preserve"> </w:t>
      </w:r>
      <w:r>
        <w:t>higher</w:t>
      </w:r>
      <w:r>
        <w:rPr>
          <w:spacing w:val="-9"/>
        </w:rPr>
        <w:t xml:space="preserve"> </w:t>
      </w:r>
      <w:r>
        <w:t>education.</w:t>
      </w:r>
      <w:r>
        <w:rPr>
          <w:spacing w:val="-6"/>
        </w:rPr>
        <w:t xml:space="preserve"> </w:t>
      </w:r>
      <w:r>
        <w:t>Increasing</w:t>
      </w:r>
      <w:r>
        <w:rPr>
          <w:spacing w:val="-10"/>
        </w:rPr>
        <w:t xml:space="preserve"> </w:t>
      </w:r>
      <w:r>
        <w:t>the</w:t>
      </w:r>
      <w:r>
        <w:rPr>
          <w:spacing w:val="-9"/>
        </w:rPr>
        <w:t xml:space="preserve"> </w:t>
      </w:r>
      <w:r>
        <w:t>number</w:t>
      </w:r>
      <w:r>
        <w:rPr>
          <w:spacing w:val="-10"/>
        </w:rPr>
        <w:t xml:space="preserve"> </w:t>
      </w:r>
      <w:r>
        <w:t>of</w:t>
      </w:r>
      <w:r>
        <w:rPr>
          <w:spacing w:val="-9"/>
        </w:rPr>
        <w:t xml:space="preserve"> </w:t>
      </w:r>
      <w:r>
        <w:t>people</w:t>
      </w:r>
      <w:r>
        <w:rPr>
          <w:spacing w:val="-9"/>
        </w:rPr>
        <w:t xml:space="preserve"> </w:t>
      </w:r>
      <w:r>
        <w:t>who</w:t>
      </w:r>
      <w:r>
        <w:rPr>
          <w:spacing w:val="-58"/>
        </w:rPr>
        <w:t xml:space="preserve"> </w:t>
      </w:r>
      <w:r>
        <w:t>acquire qualifications in higher education in Croatia requires ensuring access and completion</w:t>
      </w:r>
      <w:r>
        <w:rPr>
          <w:spacing w:val="1"/>
        </w:rPr>
        <w:t xml:space="preserve"> </w:t>
      </w:r>
      <w:r>
        <w:t xml:space="preserve">rates in higher education. The project </w:t>
      </w:r>
      <w:r>
        <w:rPr>
          <w:b/>
        </w:rPr>
        <w:t>Awarding Scholarships to Students of Lower Socio-</w:t>
      </w:r>
      <w:r>
        <w:rPr>
          <w:b/>
          <w:spacing w:val="1"/>
        </w:rPr>
        <w:t xml:space="preserve"> </w:t>
      </w:r>
      <w:r>
        <w:rPr>
          <w:b/>
        </w:rPr>
        <w:t xml:space="preserve">Economic Status </w:t>
      </w:r>
      <w:r>
        <w:t>is implemented to increase access to higher education, improve the social</w:t>
      </w:r>
      <w:r>
        <w:rPr>
          <w:spacing w:val="1"/>
        </w:rPr>
        <w:t xml:space="preserve"> </w:t>
      </w:r>
      <w:r>
        <w:t>dimension of higher education, and increase graduation rates in higher education by ensuring</w:t>
      </w:r>
      <w:r>
        <w:rPr>
          <w:spacing w:val="1"/>
        </w:rPr>
        <w:t xml:space="preserve"> </w:t>
      </w:r>
      <w:r>
        <w:t>state scholarships for students from lower socioeconomic status backgrounds. The project has</w:t>
      </w:r>
      <w:r>
        <w:rPr>
          <w:spacing w:val="1"/>
        </w:rPr>
        <w:t xml:space="preserve"> </w:t>
      </w:r>
      <w:r>
        <w:t>led to an annual increase in students from lower socioeconomic backgrounds receiving direct</w:t>
      </w:r>
      <w:r>
        <w:rPr>
          <w:spacing w:val="1"/>
        </w:rPr>
        <w:t xml:space="preserve"> </w:t>
      </w:r>
      <w:r>
        <w:rPr>
          <w:spacing w:val="-1"/>
        </w:rPr>
        <w:t>assistance,</w:t>
      </w:r>
      <w:r>
        <w:rPr>
          <w:spacing w:val="-15"/>
        </w:rPr>
        <w:t xml:space="preserve"> </w:t>
      </w:r>
      <w:r>
        <w:rPr>
          <w:spacing w:val="-1"/>
        </w:rPr>
        <w:t>increasing</w:t>
      </w:r>
      <w:r>
        <w:rPr>
          <w:spacing w:val="-17"/>
        </w:rPr>
        <w:t xml:space="preserve"> </w:t>
      </w:r>
      <w:r>
        <w:t>from</w:t>
      </w:r>
      <w:r>
        <w:rPr>
          <w:spacing w:val="-14"/>
        </w:rPr>
        <w:t xml:space="preserve"> </w:t>
      </w:r>
      <w:r>
        <w:t>5,400</w:t>
      </w:r>
      <w:r>
        <w:rPr>
          <w:spacing w:val="-14"/>
        </w:rPr>
        <w:t xml:space="preserve"> </w:t>
      </w:r>
      <w:r>
        <w:t>to</w:t>
      </w:r>
      <w:r>
        <w:rPr>
          <w:spacing w:val="-14"/>
        </w:rPr>
        <w:t xml:space="preserve"> </w:t>
      </w:r>
      <w:r>
        <w:t>10,000</w:t>
      </w:r>
      <w:r>
        <w:rPr>
          <w:spacing w:val="-15"/>
        </w:rPr>
        <w:t xml:space="preserve"> </w:t>
      </w:r>
      <w:r>
        <w:t>scholarships.</w:t>
      </w:r>
      <w:r>
        <w:rPr>
          <w:spacing w:val="-11"/>
        </w:rPr>
        <w:t xml:space="preserve"> </w:t>
      </w:r>
      <w:r>
        <w:t>In</w:t>
      </w:r>
      <w:r>
        <w:rPr>
          <w:spacing w:val="-15"/>
        </w:rPr>
        <w:t xml:space="preserve"> </w:t>
      </w:r>
      <w:r>
        <w:t>2021,</w:t>
      </w:r>
      <w:r>
        <w:rPr>
          <w:spacing w:val="-15"/>
        </w:rPr>
        <w:t xml:space="preserve"> </w:t>
      </w:r>
      <w:r>
        <w:t>a</w:t>
      </w:r>
      <w:r>
        <w:rPr>
          <w:spacing w:val="-15"/>
        </w:rPr>
        <w:t xml:space="preserve"> </w:t>
      </w:r>
      <w:r>
        <w:t>total</w:t>
      </w:r>
      <w:r>
        <w:rPr>
          <w:spacing w:val="-14"/>
        </w:rPr>
        <w:t xml:space="preserve"> </w:t>
      </w:r>
      <w:r>
        <w:t>of</w:t>
      </w:r>
      <w:r>
        <w:rPr>
          <w:spacing w:val="-16"/>
        </w:rPr>
        <w:t xml:space="preserve"> </w:t>
      </w:r>
      <w:r>
        <w:t>HRK</w:t>
      </w:r>
      <w:r>
        <w:rPr>
          <w:spacing w:val="-15"/>
        </w:rPr>
        <w:t xml:space="preserve"> </w:t>
      </w:r>
      <w:r>
        <w:t>109.88</w:t>
      </w:r>
      <w:r>
        <w:rPr>
          <w:spacing w:val="-14"/>
        </w:rPr>
        <w:t xml:space="preserve"> </w:t>
      </w:r>
      <w:r>
        <w:t>million</w:t>
      </w:r>
      <w:r>
        <w:rPr>
          <w:spacing w:val="-58"/>
        </w:rPr>
        <w:t xml:space="preserve"> </w:t>
      </w:r>
      <w:r>
        <w:t>was paid out. The procedure for awarding state scholarships in the STEM scientific fields is</w:t>
      </w:r>
      <w:r>
        <w:rPr>
          <w:spacing w:val="1"/>
        </w:rPr>
        <w:t xml:space="preserve"> </w:t>
      </w:r>
      <w:r>
        <w:t xml:space="preserve">conducted within the scope of the project </w:t>
      </w:r>
      <w:r>
        <w:rPr>
          <w:b/>
        </w:rPr>
        <w:t>Awarding Scholarships to Students in Priority</w:t>
      </w:r>
      <w:r>
        <w:rPr>
          <w:b/>
          <w:spacing w:val="1"/>
        </w:rPr>
        <w:t xml:space="preserve"> </w:t>
      </w:r>
      <w:r>
        <w:rPr>
          <w:b/>
        </w:rPr>
        <w:t>STEM Fields</w:t>
      </w:r>
      <w:r>
        <w:t>, and the project at the yearly level awarded 3,400 scholarships, with a total of</w:t>
      </w:r>
      <w:r>
        <w:rPr>
          <w:spacing w:val="1"/>
        </w:rPr>
        <w:t xml:space="preserve"> </w:t>
      </w:r>
      <w:r>
        <w:t>HRK 37.11 million paid</w:t>
      </w:r>
      <w:r>
        <w:rPr>
          <w:spacing w:val="-3"/>
        </w:rPr>
        <w:t xml:space="preserve"> </w:t>
      </w:r>
      <w:r>
        <w:t>out.</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984153528"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629864562" name="Rectangle 172"/>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0D8E708" id="Group 171"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JNIZgpQAgAAEAUAAA4AAAAAAAAAAAAAAAAALgIAAGRycy9lMm9Eb2MueG1sUEsBAi0AFAAGAAgA&#10;AAAhAOjoSp3cAAAAAwEAAA8AAAAAAAAAAAAAAAAAqgQAAGRycy9kb3ducmV2LnhtbFBLBQYAAAAA&#10;BAAEAPMAAACzBQAAAAA=&#10;">
                <v:rect id="Rectangle 172"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" fillcolor="#2c398a" stroked="f"/>
                <w10:anchorlock/>
              </v:group>
            </w:pict>
          </mc:Fallback>
        </mc:AlternateContent>
      </w:r>
    </w:p>
    <w:p w:rsidR="00A56FE9" w:rsidRDefault="00000000">
      <w:pPr>
        <w:pStyle w:val="Tijeloteksta"/>
        <w:spacing w:before="154"/>
        <w:ind w:right="274"/>
      </w:pPr>
      <w:r>
        <w:t>The NRRP envisages the complete modernisation of the higher education system, which</w:t>
      </w:r>
      <w:r>
        <w:rPr>
          <w:spacing w:val="1"/>
        </w:rPr>
        <w:t xml:space="preserve"> </w:t>
      </w:r>
      <w:r>
        <w:t>includes raising the quality of higher education, and digitalisation of higher education. The</w:t>
      </w:r>
      <w:r>
        <w:rPr>
          <w:spacing w:val="1"/>
        </w:rPr>
        <w:t xml:space="preserve"> </w:t>
      </w:r>
      <w:r>
        <w:t>digital transformation of higher education requires effective investment in the comprehensive</w:t>
      </w:r>
      <w:r>
        <w:rPr>
          <w:spacing w:val="1"/>
        </w:rPr>
        <w:t xml:space="preserve"> </w:t>
      </w:r>
      <w:r>
        <w:t>digitalisation of higher education institutions, for which digital teaching infrastructure and</w:t>
      </w:r>
      <w:r>
        <w:rPr>
          <w:spacing w:val="1"/>
        </w:rPr>
        <w:t xml:space="preserve"> </w:t>
      </w:r>
      <w:r>
        <w:t>digital</w:t>
      </w:r>
      <w:r>
        <w:rPr>
          <w:spacing w:val="-6"/>
        </w:rPr>
        <w:t xml:space="preserve"> </w:t>
      </w:r>
      <w:r>
        <w:t>teaching</w:t>
      </w:r>
      <w:r>
        <w:rPr>
          <w:spacing w:val="-8"/>
        </w:rPr>
        <w:t xml:space="preserve"> </w:t>
      </w:r>
      <w:r>
        <w:t>tools</w:t>
      </w:r>
      <w:r>
        <w:rPr>
          <w:spacing w:val="-6"/>
        </w:rPr>
        <w:t xml:space="preserve"> </w:t>
      </w:r>
      <w:r>
        <w:t>are</w:t>
      </w:r>
      <w:r>
        <w:rPr>
          <w:spacing w:val="-6"/>
        </w:rPr>
        <w:t xml:space="preserve"> </w:t>
      </w:r>
      <w:r>
        <w:t>prerequisites.</w:t>
      </w:r>
      <w:r>
        <w:rPr>
          <w:spacing w:val="-6"/>
        </w:rPr>
        <w:t xml:space="preserve"> </w:t>
      </w:r>
      <w:r>
        <w:t>The</w:t>
      </w:r>
      <w:r>
        <w:rPr>
          <w:spacing w:val="-5"/>
        </w:rPr>
        <w:t xml:space="preserve"> </w:t>
      </w:r>
      <w:r>
        <w:t>plan</w:t>
      </w:r>
      <w:r>
        <w:rPr>
          <w:spacing w:val="-7"/>
        </w:rPr>
        <w:t xml:space="preserve"> </w:t>
      </w:r>
      <w:r>
        <w:t>is</w:t>
      </w:r>
      <w:r>
        <w:rPr>
          <w:spacing w:val="-4"/>
        </w:rPr>
        <w:t xml:space="preserve"> </w:t>
      </w:r>
      <w:r>
        <w:t>to</w:t>
      </w:r>
      <w:r>
        <w:rPr>
          <w:spacing w:val="-6"/>
        </w:rPr>
        <w:t xml:space="preserve"> </w:t>
      </w:r>
      <w:r>
        <w:t>equip</w:t>
      </w:r>
      <w:r>
        <w:rPr>
          <w:spacing w:val="-6"/>
        </w:rPr>
        <w:t xml:space="preserve"> </w:t>
      </w:r>
      <w:r>
        <w:t>public</w:t>
      </w:r>
      <w:r>
        <w:rPr>
          <w:spacing w:val="-6"/>
        </w:rPr>
        <w:t xml:space="preserve"> </w:t>
      </w:r>
      <w:r>
        <w:t>higher</w:t>
      </w:r>
      <w:r>
        <w:rPr>
          <w:spacing w:val="-7"/>
        </w:rPr>
        <w:t xml:space="preserve"> </w:t>
      </w:r>
      <w:r>
        <w:t>education</w:t>
      </w:r>
      <w:r>
        <w:rPr>
          <w:spacing w:val="-6"/>
        </w:rPr>
        <w:t xml:space="preserve"> </w:t>
      </w:r>
      <w:r>
        <w:t>institutions</w:t>
      </w:r>
      <w:r>
        <w:rPr>
          <w:spacing w:val="-58"/>
        </w:rPr>
        <w:t xml:space="preserve"> </w:t>
      </w:r>
      <w:r>
        <w:t>in line with the recommendations of experts engaged through the EC Technical</w:t>
      </w:r>
      <w:r>
        <w:rPr>
          <w:spacing w:val="1"/>
        </w:rPr>
        <w:t xml:space="preserve"> </w:t>
      </w:r>
      <w:r>
        <w:t>Support</w:t>
      </w:r>
      <w:r>
        <w:rPr>
          <w:spacing w:val="1"/>
        </w:rPr>
        <w:t xml:space="preserve"> </w:t>
      </w:r>
      <w:r>
        <w:t>Instrument.</w:t>
      </w:r>
      <w:r>
        <w:rPr>
          <w:spacing w:val="1"/>
        </w:rPr>
        <w:t xml:space="preserve"> </w:t>
      </w:r>
      <w:r>
        <w:t>Technical</w:t>
      </w:r>
      <w:r>
        <w:rPr>
          <w:spacing w:val="1"/>
        </w:rPr>
        <w:t xml:space="preserve"> </w:t>
      </w:r>
      <w:r>
        <w:t>support</w:t>
      </w:r>
      <w:r>
        <w:rPr>
          <w:spacing w:val="1"/>
        </w:rPr>
        <w:t xml:space="preserve"> </w:t>
      </w:r>
      <w:r>
        <w:t>includes</w:t>
      </w:r>
      <w:r>
        <w:rPr>
          <w:spacing w:val="1"/>
        </w:rPr>
        <w:t xml:space="preserve"> </w:t>
      </w:r>
      <w:r>
        <w:t>the</w:t>
      </w:r>
      <w:r>
        <w:rPr>
          <w:spacing w:val="1"/>
        </w:rPr>
        <w:t xml:space="preserve"> </w:t>
      </w:r>
      <w:r>
        <w:t>development</w:t>
      </w:r>
      <w:r>
        <w:rPr>
          <w:spacing w:val="1"/>
        </w:rPr>
        <w:t xml:space="preserve"> </w:t>
      </w:r>
      <w:r>
        <w:t>of</w:t>
      </w:r>
      <w:r>
        <w:rPr>
          <w:spacing w:val="1"/>
        </w:rPr>
        <w:t xml:space="preserve"> </w:t>
      </w:r>
      <w:r>
        <w:t>a</w:t>
      </w:r>
      <w:r>
        <w:rPr>
          <w:spacing w:val="1"/>
        </w:rPr>
        <w:t xml:space="preserve"> </w:t>
      </w:r>
      <w:r>
        <w:t>methodology</w:t>
      </w:r>
      <w:r>
        <w:rPr>
          <w:spacing w:val="1"/>
        </w:rPr>
        <w:t xml:space="preserve"> </w:t>
      </w:r>
      <w:r>
        <w:t>for</w:t>
      </w:r>
      <w:r>
        <w:rPr>
          <w:spacing w:val="1"/>
        </w:rPr>
        <w:t xml:space="preserve"> </w:t>
      </w:r>
      <w:r>
        <w:t>effective</w:t>
      </w:r>
      <w:r>
        <w:rPr>
          <w:spacing w:val="1"/>
        </w:rPr>
        <w:t xml:space="preserve"> </w:t>
      </w:r>
      <w:r>
        <w:t>investments in the digital infrastructure of higher education institutions in Croatia and an</w:t>
      </w:r>
      <w:r>
        <w:rPr>
          <w:spacing w:val="1"/>
        </w:rPr>
        <w:t xml:space="preserve"> </w:t>
      </w:r>
      <w:r>
        <w:t>analysis of teaching and learning practices in the digital environment in Croatia and making</w:t>
      </w:r>
      <w:r>
        <w:rPr>
          <w:spacing w:val="1"/>
        </w:rPr>
        <w:t xml:space="preserve"> </w:t>
      </w:r>
      <w:r>
        <w:t>comparisons</w:t>
      </w:r>
      <w:r>
        <w:rPr>
          <w:spacing w:val="-8"/>
        </w:rPr>
        <w:t xml:space="preserve"> </w:t>
      </w:r>
      <w:r>
        <w:t>with</w:t>
      </w:r>
      <w:r>
        <w:rPr>
          <w:spacing w:val="-5"/>
        </w:rPr>
        <w:t xml:space="preserve"> </w:t>
      </w:r>
      <w:r>
        <w:t>examples</w:t>
      </w:r>
      <w:r>
        <w:rPr>
          <w:spacing w:val="-8"/>
        </w:rPr>
        <w:t xml:space="preserve"> </w:t>
      </w:r>
      <w:r>
        <w:t>of</w:t>
      </w:r>
      <w:r>
        <w:rPr>
          <w:spacing w:val="-6"/>
        </w:rPr>
        <w:t xml:space="preserve"> </w:t>
      </w:r>
      <w:r>
        <w:t>good</w:t>
      </w:r>
      <w:r>
        <w:rPr>
          <w:spacing w:val="-7"/>
        </w:rPr>
        <w:t xml:space="preserve"> </w:t>
      </w:r>
      <w:r>
        <w:t>practice</w:t>
      </w:r>
      <w:r>
        <w:rPr>
          <w:spacing w:val="-6"/>
        </w:rPr>
        <w:t xml:space="preserve"> </w:t>
      </w:r>
      <w:r>
        <w:t>abroad</w:t>
      </w:r>
      <w:r>
        <w:rPr>
          <w:spacing w:val="-8"/>
        </w:rPr>
        <w:t xml:space="preserve"> </w:t>
      </w:r>
      <w:r>
        <w:t>to</w:t>
      </w:r>
      <w:r>
        <w:rPr>
          <w:spacing w:val="-8"/>
        </w:rPr>
        <w:t xml:space="preserve"> </w:t>
      </w:r>
      <w:r>
        <w:t>ultimately</w:t>
      </w:r>
      <w:r>
        <w:rPr>
          <w:spacing w:val="-10"/>
        </w:rPr>
        <w:t xml:space="preserve"> </w:t>
      </w:r>
      <w:r>
        <w:t>establish</w:t>
      </w:r>
      <w:r>
        <w:rPr>
          <w:spacing w:val="-9"/>
        </w:rPr>
        <w:t xml:space="preserve"> </w:t>
      </w:r>
      <w:r>
        <w:t>a</w:t>
      </w:r>
      <w:r>
        <w:rPr>
          <w:spacing w:val="-6"/>
        </w:rPr>
        <w:t xml:space="preserve"> </w:t>
      </w:r>
      <w:r>
        <w:t>sustainable</w:t>
      </w:r>
      <w:r>
        <w:rPr>
          <w:spacing w:val="-10"/>
        </w:rPr>
        <w:t xml:space="preserve"> </w:t>
      </w:r>
      <w:r>
        <w:t>digital</w:t>
      </w:r>
      <w:r>
        <w:rPr>
          <w:spacing w:val="-57"/>
        </w:rPr>
        <w:t xml:space="preserve"> </w:t>
      </w:r>
      <w:r>
        <w:t>environment.</w:t>
      </w:r>
      <w:r>
        <w:rPr>
          <w:spacing w:val="-1"/>
        </w:rPr>
        <w:t xml:space="preserve"> </w:t>
      </w:r>
      <w:r>
        <w:t>system modernization.</w:t>
      </w:r>
    </w:p>
    <w:p w:rsidR="00A56FE9" w:rsidRDefault="00000000">
      <w:pPr>
        <w:pStyle w:val="Tijeloteksta"/>
        <w:spacing w:before="121"/>
        <w:ind w:right="271"/>
      </w:pPr>
      <w:r>
        <w:t>The basis for infrastructure investments within the NRRP is research into the digital maturity</w:t>
      </w:r>
      <w:r>
        <w:rPr>
          <w:spacing w:val="1"/>
        </w:rPr>
        <w:t xml:space="preserve"> </w:t>
      </w:r>
      <w:r>
        <w:t>of higher education institutions and systems, conducted within the EC Technical Support</w:t>
      </w:r>
      <w:r>
        <w:rPr>
          <w:spacing w:val="1"/>
        </w:rPr>
        <w:t xml:space="preserve"> </w:t>
      </w:r>
      <w:r>
        <w:t>Instrument. It will indirectly contribute to establishing the Central Higher Education Records</w:t>
      </w:r>
      <w:r>
        <w:rPr>
          <w:spacing w:val="1"/>
        </w:rPr>
        <w:t xml:space="preserve"> </w:t>
      </w:r>
      <w:r>
        <w:t>as a central information system enabling better integration of individual records as well as</w:t>
      </w:r>
      <w:r>
        <w:rPr>
          <w:spacing w:val="1"/>
        </w:rPr>
        <w:t xml:space="preserve"> </w:t>
      </w:r>
      <w:r>
        <w:t>monitoring</w:t>
      </w:r>
      <w:r>
        <w:rPr>
          <w:spacing w:val="-4"/>
        </w:rPr>
        <w:t xml:space="preserve"> </w:t>
      </w:r>
      <w:r>
        <w:t>and processing</w:t>
      </w:r>
      <w:r>
        <w:rPr>
          <w:spacing w:val="-3"/>
        </w:rPr>
        <w:t xml:space="preserve"> </w:t>
      </w:r>
      <w:r>
        <w:t>data</w:t>
      </w:r>
      <w:r>
        <w:rPr>
          <w:spacing w:val="-1"/>
        </w:rPr>
        <w:t xml:space="preserve"> </w:t>
      </w:r>
      <w:r>
        <w:t>from the</w:t>
      </w:r>
      <w:r>
        <w:rPr>
          <w:spacing w:val="-2"/>
        </w:rPr>
        <w:t xml:space="preserve"> </w:t>
      </w:r>
      <w:r>
        <w:t>higher education system in Croatia.</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 the</w:t>
      </w:r>
      <w:r>
        <w:rPr>
          <w:spacing w:val="-2"/>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734234078"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883014402" name="Rectangle 170"/>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2C11CE1" id="Group 169"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">
                <v:rect id="Rectangle 170"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5"/>
      </w:pPr>
      <w:r>
        <w:t>The procedure for awarding state scholarships in STEM areas of science is carried out within</w:t>
      </w:r>
      <w:r>
        <w:rPr>
          <w:spacing w:val="1"/>
        </w:rPr>
        <w:t xml:space="preserve"> </w:t>
      </w:r>
      <w:r>
        <w:t>the project Awarding Scholarships to Students STEM Priority Areas. The goal of the annual</w:t>
      </w:r>
      <w:r>
        <w:rPr>
          <w:spacing w:val="1"/>
        </w:rPr>
        <w:t xml:space="preserve"> </w:t>
      </w:r>
      <w:r>
        <w:t>awardng of 3,400 scholarships is to focus on university study programs with the greatest</w:t>
      </w:r>
      <w:r>
        <w:rPr>
          <w:spacing w:val="1"/>
        </w:rPr>
        <w:t xml:space="preserve"> </w:t>
      </w:r>
      <w:r>
        <w:t>prospects</w:t>
      </w:r>
      <w:r>
        <w:rPr>
          <w:spacing w:val="1"/>
        </w:rPr>
        <w:t xml:space="preserve"> </w:t>
      </w:r>
      <w:r>
        <w:t>of</w:t>
      </w:r>
      <w:r>
        <w:rPr>
          <w:spacing w:val="1"/>
        </w:rPr>
        <w:t xml:space="preserve"> </w:t>
      </w:r>
      <w:r>
        <w:t>generating</w:t>
      </w:r>
      <w:r>
        <w:rPr>
          <w:spacing w:val="1"/>
        </w:rPr>
        <w:t xml:space="preserve"> </w:t>
      </w:r>
      <w:r>
        <w:t>economic</w:t>
      </w:r>
      <w:r>
        <w:rPr>
          <w:spacing w:val="1"/>
        </w:rPr>
        <w:t xml:space="preserve"> </w:t>
      </w:r>
      <w:r>
        <w:t>growth</w:t>
      </w:r>
      <w:r>
        <w:rPr>
          <w:spacing w:val="1"/>
        </w:rPr>
        <w:t xml:space="preserve"> </w:t>
      </w:r>
      <w:r>
        <w:t>in</w:t>
      </w:r>
      <w:r>
        <w:rPr>
          <w:spacing w:val="1"/>
        </w:rPr>
        <w:t xml:space="preserve"> </w:t>
      </w:r>
      <w:r>
        <w:t>Croatia</w:t>
      </w:r>
      <w:r>
        <w:rPr>
          <w:spacing w:val="1"/>
        </w:rPr>
        <w:t xml:space="preserve"> </w:t>
      </w:r>
      <w:r>
        <w:t>while</w:t>
      </w:r>
      <w:r>
        <w:rPr>
          <w:spacing w:val="1"/>
        </w:rPr>
        <w:t xml:space="preserve"> </w:t>
      </w:r>
      <w:r>
        <w:t>encouraging</w:t>
      </w:r>
      <w:r>
        <w:rPr>
          <w:spacing w:val="1"/>
        </w:rPr>
        <w:t xml:space="preserve"> </w:t>
      </w:r>
      <w:r>
        <w:t>structural</w:t>
      </w:r>
      <w:r>
        <w:rPr>
          <w:spacing w:val="1"/>
        </w:rPr>
        <w:t xml:space="preserve"> </w:t>
      </w:r>
      <w:r>
        <w:t>harmonisation of education and qualifications with labour market needs and employment of</w:t>
      </w:r>
      <w:r>
        <w:rPr>
          <w:spacing w:val="1"/>
        </w:rPr>
        <w:t xml:space="preserve"> </w:t>
      </w:r>
      <w:r>
        <w:t>graduates,</w:t>
      </w:r>
      <w:r>
        <w:rPr>
          <w:spacing w:val="-4"/>
        </w:rPr>
        <w:t xml:space="preserve"> </w:t>
      </w:r>
      <w:r>
        <w:t>in</w:t>
      </w:r>
      <w:r>
        <w:rPr>
          <w:spacing w:val="-5"/>
        </w:rPr>
        <w:t xml:space="preserve"> </w:t>
      </w:r>
      <w:r>
        <w:t>continuation</w:t>
      </w:r>
      <w:r>
        <w:rPr>
          <w:spacing w:val="-5"/>
        </w:rPr>
        <w:t xml:space="preserve"> </w:t>
      </w:r>
      <w:r>
        <w:t>of</w:t>
      </w:r>
      <w:r>
        <w:rPr>
          <w:spacing w:val="-6"/>
        </w:rPr>
        <w:t xml:space="preserve"> </w:t>
      </w:r>
      <w:r>
        <w:t>the</w:t>
      </w:r>
      <w:r>
        <w:rPr>
          <w:spacing w:val="-3"/>
        </w:rPr>
        <w:t xml:space="preserve"> </w:t>
      </w:r>
      <w:r>
        <w:t>dominance</w:t>
      </w:r>
      <w:r>
        <w:rPr>
          <w:spacing w:val="-6"/>
        </w:rPr>
        <w:t xml:space="preserve"> </w:t>
      </w:r>
      <w:r>
        <w:t>of</w:t>
      </w:r>
      <w:r>
        <w:rPr>
          <w:spacing w:val="-3"/>
        </w:rPr>
        <w:t xml:space="preserve"> </w:t>
      </w:r>
      <w:r>
        <w:t>university</w:t>
      </w:r>
      <w:r>
        <w:rPr>
          <w:spacing w:val="-7"/>
        </w:rPr>
        <w:t xml:space="preserve"> </w:t>
      </w:r>
      <w:r>
        <w:t>study</w:t>
      </w:r>
      <w:r>
        <w:rPr>
          <w:spacing w:val="-9"/>
        </w:rPr>
        <w:t xml:space="preserve"> </w:t>
      </w:r>
      <w:r>
        <w:t>programs</w:t>
      </w:r>
      <w:r>
        <w:rPr>
          <w:spacing w:val="-5"/>
        </w:rPr>
        <w:t xml:space="preserve"> </w:t>
      </w:r>
      <w:r>
        <w:t>in</w:t>
      </w:r>
      <w:r>
        <w:rPr>
          <w:spacing w:val="-2"/>
        </w:rPr>
        <w:t xml:space="preserve"> </w:t>
      </w:r>
      <w:r>
        <w:t>the</w:t>
      </w:r>
      <w:r>
        <w:rPr>
          <w:spacing w:val="-5"/>
        </w:rPr>
        <w:t xml:space="preserve"> </w:t>
      </w:r>
      <w:r>
        <w:t>social</w:t>
      </w:r>
      <w:r>
        <w:rPr>
          <w:spacing w:val="-6"/>
        </w:rPr>
        <w:t xml:space="preserve"> </w:t>
      </w:r>
      <w:r>
        <w:t>sciences</w:t>
      </w:r>
      <w:r>
        <w:rPr>
          <w:spacing w:val="-57"/>
        </w:rPr>
        <w:t xml:space="preserve"> </w:t>
      </w:r>
      <w:r>
        <w:t>and</w:t>
      </w:r>
      <w:r>
        <w:rPr>
          <w:spacing w:val="39"/>
        </w:rPr>
        <w:t xml:space="preserve"> </w:t>
      </w:r>
      <w:r>
        <w:t>humanities</w:t>
      </w:r>
      <w:r>
        <w:rPr>
          <w:spacing w:val="40"/>
        </w:rPr>
        <w:t xml:space="preserve"> </w:t>
      </w:r>
      <w:r>
        <w:t>at</w:t>
      </w:r>
      <w:r>
        <w:rPr>
          <w:spacing w:val="40"/>
        </w:rPr>
        <w:t xml:space="preserve"> </w:t>
      </w:r>
      <w:r>
        <w:t>a</w:t>
      </w:r>
      <w:r>
        <w:rPr>
          <w:spacing w:val="38"/>
        </w:rPr>
        <w:t xml:space="preserve"> </w:t>
      </w:r>
      <w:r>
        <w:t>ratio</w:t>
      </w:r>
      <w:r>
        <w:rPr>
          <w:spacing w:val="39"/>
        </w:rPr>
        <w:t xml:space="preserve"> </w:t>
      </w:r>
      <w:r>
        <w:t>of</w:t>
      </w:r>
      <w:r>
        <w:rPr>
          <w:spacing w:val="38"/>
        </w:rPr>
        <w:t xml:space="preserve"> </w:t>
      </w:r>
      <w:r>
        <w:t>60:40.</w:t>
      </w:r>
      <w:r>
        <w:rPr>
          <w:spacing w:val="40"/>
        </w:rPr>
        <w:t xml:space="preserve"> </w:t>
      </w:r>
      <w:r>
        <w:t>The</w:t>
      </w:r>
      <w:r>
        <w:rPr>
          <w:spacing w:val="38"/>
        </w:rPr>
        <w:t xml:space="preserve"> </w:t>
      </w:r>
      <w:r>
        <w:t>awarding</w:t>
      </w:r>
      <w:r>
        <w:rPr>
          <w:spacing w:val="36"/>
        </w:rPr>
        <w:t xml:space="preserve"> </w:t>
      </w:r>
      <w:r>
        <w:t>of</w:t>
      </w:r>
      <w:r>
        <w:rPr>
          <w:spacing w:val="38"/>
        </w:rPr>
        <w:t xml:space="preserve"> </w:t>
      </w:r>
      <w:r>
        <w:t>annual</w:t>
      </w:r>
      <w:r>
        <w:rPr>
          <w:spacing w:val="40"/>
        </w:rPr>
        <w:t xml:space="preserve"> </w:t>
      </w:r>
      <w:r>
        <w:t>state</w:t>
      </w:r>
      <w:r>
        <w:rPr>
          <w:spacing w:val="38"/>
        </w:rPr>
        <w:t xml:space="preserve"> </w:t>
      </w:r>
      <w:r>
        <w:t>STEM</w:t>
      </w:r>
      <w:r>
        <w:rPr>
          <w:spacing w:val="39"/>
        </w:rPr>
        <w:t xml:space="preserve"> </w:t>
      </w:r>
      <w:r>
        <w:t>scholarships</w:t>
      </w:r>
      <w:r>
        <w:rPr>
          <w:spacing w:val="40"/>
        </w:rPr>
        <w:t xml:space="preserve"> </w:t>
      </w:r>
      <w:r>
        <w:t>will</w:t>
      </w:r>
    </w:p>
    <w:p w:rsidR="00A56FE9" w:rsidRDefault="00A56FE9">
      <w:pPr>
        <w:sectPr w:rsidR="00A56FE9" w:rsidSect="00AB1E70">
          <w:pgSz w:w="11910" w:h="16840"/>
          <w:pgMar w:top="1160" w:right="1140" w:bottom="960" w:left="1280" w:header="0" w:footer="779" w:gutter="0"/>
          <w:cols w:space="720"/>
        </w:sectPr>
      </w:pPr>
    </w:p>
    <w:p w:rsidR="00A56FE9" w:rsidRDefault="00CC1B9B">
      <w:pPr>
        <w:pStyle w:val="Tijeloteksta"/>
        <w:spacing w:before="74"/>
        <w:ind w:right="277"/>
      </w:pPr>
      <w:r>
        <w:rPr>
          <w:noProof/>
        </w:rPr>
        <mc:AlternateContent>
          <mc:Choice Requires="wps">
            <w:drawing>
              <wp:anchor distT="0" distB="0" distL="114300" distR="114300" simplePos="0" relativeHeight="15788032" behindDoc="0" locked="0" layoutInCell="1" allowOverlap="1">
                <wp:simplePos x="0" y="0"/>
                <wp:positionH relativeFrom="page">
                  <wp:posOffset>814070</wp:posOffset>
                </wp:positionH>
                <wp:positionV relativeFrom="paragraph">
                  <wp:posOffset>477520</wp:posOffset>
                </wp:positionV>
                <wp:extent cx="18415" cy="417830"/>
                <wp:effectExtent l="0" t="0" r="0" b="0"/>
                <wp:wrapNone/>
                <wp:docPr id="1094401295"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469DB" id="Rectangle 168" o:spid="_x0000_s1026" style="position:absolute;margin-left:64.1pt;margin-top:37.6pt;width:1.45pt;height:32.9pt;z-index:15788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" fillcolor="#da1f2c" stroked="f">
                <w10:wrap anchorx="page"/>
              </v:rect>
            </w:pict>
          </mc:Fallback>
        </mc:AlternateContent>
      </w:r>
      <w:r w:rsidR="00000000">
        <w:t>increase the retention rate of students in university study programs in STEM fields of science,</w:t>
      </w:r>
      <w:r w:rsidR="00000000">
        <w:rPr>
          <w:spacing w:val="-57"/>
        </w:rPr>
        <w:t xml:space="preserve"> </w:t>
      </w:r>
      <w:r w:rsidR="00000000">
        <w:t>i.e.,</w:t>
      </w:r>
      <w:r w:rsidR="00000000">
        <w:rPr>
          <w:spacing w:val="-1"/>
        </w:rPr>
        <w:t xml:space="preserve"> </w:t>
      </w:r>
      <w:r w:rsidR="00000000">
        <w:t>the</w:t>
      </w:r>
      <w:r w:rsidR="00000000">
        <w:rPr>
          <w:spacing w:val="-1"/>
        </w:rPr>
        <w:t xml:space="preserve"> </w:t>
      </w:r>
      <w:r w:rsidR="00000000">
        <w:t>increase</w:t>
      </w:r>
      <w:r w:rsidR="00000000">
        <w:rPr>
          <w:spacing w:val="-1"/>
        </w:rPr>
        <w:t xml:space="preserve"> </w:t>
      </w:r>
      <w:r w:rsidR="00000000">
        <w:t>completion rate of</w:t>
      </w:r>
      <w:r w:rsidR="00000000">
        <w:rPr>
          <w:spacing w:val="-2"/>
        </w:rPr>
        <w:t xml:space="preserve"> </w:t>
      </w:r>
      <w:r w:rsidR="00000000">
        <w:t>studies in STEM fields</w:t>
      </w:r>
      <w:r w:rsidR="00000000">
        <w:rPr>
          <w:spacing w:val="-1"/>
        </w:rPr>
        <w:t xml:space="preserve"> </w:t>
      </w:r>
      <w:r w:rsidR="00000000">
        <w:t>of science.</w:t>
      </w:r>
    </w:p>
    <w:p w:rsidR="00A56FE9" w:rsidRDefault="00A56FE9">
      <w:pPr>
        <w:pStyle w:val="Tijeloteksta"/>
        <w:ind w:left="0"/>
        <w:jc w:val="left"/>
        <w:rPr>
          <w:sz w:val="32"/>
        </w:rPr>
      </w:pPr>
    </w:p>
    <w:p w:rsidR="00A56FE9" w:rsidRDefault="00000000">
      <w:pPr>
        <w:pStyle w:val="Naslov4"/>
      </w:pPr>
      <w:r>
        <w:rPr>
          <w:color w:val="2C398A"/>
        </w:rPr>
        <w:t>Encouraging</w:t>
      </w:r>
      <w:r>
        <w:rPr>
          <w:color w:val="2C398A"/>
          <w:spacing w:val="-3"/>
        </w:rPr>
        <w:t xml:space="preserve"> </w:t>
      </w:r>
      <w:r>
        <w:rPr>
          <w:color w:val="2C398A"/>
        </w:rPr>
        <w:t>the</w:t>
      </w:r>
      <w:r>
        <w:rPr>
          <w:color w:val="2C398A"/>
          <w:spacing w:val="-1"/>
        </w:rPr>
        <w:t xml:space="preserve"> </w:t>
      </w:r>
      <w:r>
        <w:rPr>
          <w:color w:val="2C398A"/>
        </w:rPr>
        <w:t>acquisition</w:t>
      </w:r>
      <w:r>
        <w:rPr>
          <w:color w:val="2C398A"/>
          <w:spacing w:val="-2"/>
        </w:rPr>
        <w:t xml:space="preserve"> </w:t>
      </w:r>
      <w:r>
        <w:rPr>
          <w:color w:val="2C398A"/>
        </w:rPr>
        <w:t>of</w:t>
      </w:r>
      <w:r>
        <w:rPr>
          <w:color w:val="2C398A"/>
          <w:spacing w:val="-1"/>
        </w:rPr>
        <w:t xml:space="preserve"> </w:t>
      </w:r>
      <w:r>
        <w:rPr>
          <w:color w:val="2C398A"/>
        </w:rPr>
        <w:t>skills</w:t>
      </w:r>
    </w:p>
    <w:p w:rsidR="00A56FE9" w:rsidRDefault="00000000">
      <w:pPr>
        <w:spacing w:before="231"/>
        <w:ind w:left="138" w:right="271"/>
        <w:jc w:val="both"/>
        <w:rPr>
          <w:i/>
          <w:sz w:val="24"/>
        </w:rPr>
      </w:pPr>
      <w:r>
        <w:rPr>
          <w:i/>
          <w:color w:val="2C398A"/>
          <w:sz w:val="24"/>
        </w:rPr>
        <w:t>2019.CSR3.1.</w:t>
      </w:r>
      <w:r>
        <w:rPr>
          <w:i/>
          <w:color w:val="2C398A"/>
          <w:spacing w:val="1"/>
          <w:sz w:val="24"/>
        </w:rPr>
        <w:t xml:space="preserve"> </w:t>
      </w:r>
      <w:r>
        <w:rPr>
          <w:i/>
          <w:color w:val="2C398A"/>
          <w:sz w:val="24"/>
        </w:rPr>
        <w:t>Focus</w:t>
      </w:r>
      <w:r>
        <w:rPr>
          <w:i/>
          <w:color w:val="2C398A"/>
          <w:spacing w:val="1"/>
          <w:sz w:val="24"/>
        </w:rPr>
        <w:t xml:space="preserve"> </w:t>
      </w:r>
      <w:r>
        <w:rPr>
          <w:i/>
          <w:color w:val="2C398A"/>
          <w:sz w:val="24"/>
        </w:rPr>
        <w:t>investment-related</w:t>
      </w:r>
      <w:r>
        <w:rPr>
          <w:i/>
          <w:color w:val="2C398A"/>
          <w:spacing w:val="1"/>
          <w:sz w:val="24"/>
        </w:rPr>
        <w:t xml:space="preserve"> </w:t>
      </w:r>
      <w:r>
        <w:rPr>
          <w:i/>
          <w:color w:val="2C398A"/>
          <w:sz w:val="24"/>
        </w:rPr>
        <w:t>economic</w:t>
      </w:r>
      <w:r>
        <w:rPr>
          <w:i/>
          <w:color w:val="2C398A"/>
          <w:spacing w:val="1"/>
          <w:sz w:val="24"/>
        </w:rPr>
        <w:t xml:space="preserve"> </w:t>
      </w:r>
      <w:r>
        <w:rPr>
          <w:i/>
          <w:color w:val="2C398A"/>
          <w:sz w:val="24"/>
        </w:rPr>
        <w:t>policy</w:t>
      </w:r>
      <w:r>
        <w:rPr>
          <w:i/>
          <w:color w:val="2C398A"/>
          <w:spacing w:val="1"/>
          <w:sz w:val="24"/>
        </w:rPr>
        <w:t xml:space="preserve"> </w:t>
      </w:r>
      <w:r>
        <w:rPr>
          <w:i/>
          <w:color w:val="2C398A"/>
          <w:sz w:val="24"/>
        </w:rPr>
        <w:t>on</w:t>
      </w:r>
      <w:r>
        <w:rPr>
          <w:i/>
          <w:color w:val="2C398A"/>
          <w:spacing w:val="1"/>
          <w:sz w:val="24"/>
        </w:rPr>
        <w:t xml:space="preserve"> </w:t>
      </w:r>
      <w:r>
        <w:rPr>
          <w:i/>
          <w:color w:val="2C398A"/>
          <w:sz w:val="24"/>
        </w:rPr>
        <w:t>research</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innovation;</w:t>
      </w:r>
      <w:r>
        <w:rPr>
          <w:i/>
          <w:color w:val="2C398A"/>
          <w:spacing w:val="1"/>
          <w:sz w:val="24"/>
        </w:rPr>
        <w:t xml:space="preserve"> </w:t>
      </w:r>
      <w:r>
        <w:rPr>
          <w:i/>
          <w:color w:val="2C398A"/>
          <w:sz w:val="24"/>
        </w:rPr>
        <w:t>2020.CSR2.3.</w:t>
      </w:r>
      <w:r>
        <w:rPr>
          <w:i/>
          <w:color w:val="2C398A"/>
          <w:spacing w:val="-2"/>
          <w:sz w:val="24"/>
        </w:rPr>
        <w:t xml:space="preserve"> </w:t>
      </w:r>
      <w:r>
        <w:rPr>
          <w:i/>
          <w:color w:val="2C398A"/>
          <w:sz w:val="24"/>
        </w:rPr>
        <w:t>Promote</w:t>
      </w:r>
      <w:r>
        <w:rPr>
          <w:i/>
          <w:color w:val="2C398A"/>
          <w:spacing w:val="-1"/>
          <w:sz w:val="24"/>
        </w:rPr>
        <w:t xml:space="preserve"> </w:t>
      </w:r>
      <w:r>
        <w:rPr>
          <w:i/>
          <w:color w:val="2C398A"/>
          <w:sz w:val="24"/>
        </w:rPr>
        <w:t>the acquisition of skills</w:t>
      </w:r>
    </w:p>
    <w:p w:rsidR="00A56FE9" w:rsidRDefault="00A56FE9">
      <w:pPr>
        <w:pStyle w:val="Tijeloteksta"/>
        <w:spacing w:before="3"/>
        <w:ind w:left="0"/>
        <w:jc w:val="left"/>
        <w:rPr>
          <w:i/>
          <w:sz w:val="21"/>
        </w:rPr>
      </w:pPr>
    </w:p>
    <w:p w:rsidR="00A56FE9" w:rsidRDefault="00000000">
      <w:pPr>
        <w:pStyle w:val="Naslov5"/>
        <w:spacing w:before="1" w:after="22"/>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235041289"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517987320" name="Rectangle 167"/>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E3160D" id="Group 166"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">
                <v:rect id="Rectangle 167"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" fillcolor="#2c398a" stroked="f"/>
                <w10:anchorlock/>
              </v:group>
            </w:pict>
          </mc:Fallback>
        </mc:AlternateContent>
      </w:r>
    </w:p>
    <w:p w:rsidR="00A56FE9" w:rsidRDefault="00000000">
      <w:pPr>
        <w:pStyle w:val="Tijeloteksta"/>
        <w:spacing w:before="154"/>
        <w:ind w:right="277"/>
      </w:pPr>
      <w:r>
        <w:t>Analyses have shown that Croatia’s research and innovation policy has not given enough</w:t>
      </w:r>
      <w:r>
        <w:rPr>
          <w:spacing w:val="1"/>
        </w:rPr>
        <w:t xml:space="preserve"> </w:t>
      </w:r>
      <w:r>
        <w:rPr>
          <w:spacing w:val="-1"/>
        </w:rPr>
        <w:t>importance</w:t>
      </w:r>
      <w:r>
        <w:rPr>
          <w:spacing w:val="-13"/>
        </w:rPr>
        <w:t xml:space="preserve"> </w:t>
      </w:r>
      <w:r>
        <w:rPr>
          <w:spacing w:val="-1"/>
        </w:rPr>
        <w:t>to</w:t>
      </w:r>
      <w:r>
        <w:rPr>
          <w:spacing w:val="-12"/>
        </w:rPr>
        <w:t xml:space="preserve"> </w:t>
      </w:r>
      <w:r>
        <w:rPr>
          <w:spacing w:val="-1"/>
        </w:rPr>
        <w:t>skills</w:t>
      </w:r>
      <w:r>
        <w:rPr>
          <w:spacing w:val="-12"/>
        </w:rPr>
        <w:t xml:space="preserve"> </w:t>
      </w:r>
      <w:r>
        <w:t>development,</w:t>
      </w:r>
      <w:r>
        <w:rPr>
          <w:spacing w:val="-12"/>
        </w:rPr>
        <w:t xml:space="preserve"> </w:t>
      </w:r>
      <w:r>
        <w:t>a</w:t>
      </w:r>
      <w:r>
        <w:rPr>
          <w:spacing w:val="-13"/>
        </w:rPr>
        <w:t xml:space="preserve"> </w:t>
      </w:r>
      <w:r>
        <w:t>very</w:t>
      </w:r>
      <w:r>
        <w:rPr>
          <w:spacing w:val="-17"/>
        </w:rPr>
        <w:t xml:space="preserve"> </w:t>
      </w:r>
      <w:r>
        <w:t>prominent</w:t>
      </w:r>
      <w:r>
        <w:rPr>
          <w:spacing w:val="-11"/>
        </w:rPr>
        <w:t xml:space="preserve"> </w:t>
      </w:r>
      <w:r>
        <w:t>area</w:t>
      </w:r>
      <w:r>
        <w:rPr>
          <w:spacing w:val="-13"/>
        </w:rPr>
        <w:t xml:space="preserve"> </w:t>
      </w:r>
      <w:r>
        <w:t>in</w:t>
      </w:r>
      <w:r>
        <w:rPr>
          <w:spacing w:val="-12"/>
        </w:rPr>
        <w:t xml:space="preserve"> </w:t>
      </w:r>
      <w:r>
        <w:t>the</w:t>
      </w:r>
      <w:r>
        <w:rPr>
          <w:spacing w:val="-13"/>
        </w:rPr>
        <w:t xml:space="preserve"> </w:t>
      </w:r>
      <w:r>
        <w:t>EU</w:t>
      </w:r>
      <w:r>
        <w:rPr>
          <w:spacing w:val="-13"/>
        </w:rPr>
        <w:t xml:space="preserve"> </w:t>
      </w:r>
      <w:r>
        <w:t>agenda.</w:t>
      </w:r>
      <w:r>
        <w:rPr>
          <w:spacing w:val="-12"/>
        </w:rPr>
        <w:t xml:space="preserve"> </w:t>
      </w:r>
      <w:r>
        <w:t>Accordingly,</w:t>
      </w:r>
      <w:r>
        <w:rPr>
          <w:spacing w:val="-12"/>
        </w:rPr>
        <w:t xml:space="preserve"> </w:t>
      </w:r>
      <w:r>
        <w:t>studies</w:t>
      </w:r>
      <w:r>
        <w:rPr>
          <w:spacing w:val="-57"/>
        </w:rPr>
        <w:t xml:space="preserve"> </w:t>
      </w:r>
      <w:r>
        <w:t>are currently being developed to provide Smart Skills Analysis, an assessment of needs and</w:t>
      </w:r>
      <w:r>
        <w:rPr>
          <w:spacing w:val="1"/>
        </w:rPr>
        <w:t xml:space="preserve"> </w:t>
      </w:r>
      <w:r>
        <w:t>areas for improvement, and proposed solutions tailored to smart specialisation, based on</w:t>
      </w:r>
      <w:r>
        <w:rPr>
          <w:spacing w:val="1"/>
        </w:rPr>
        <w:t xml:space="preserve"> </w:t>
      </w:r>
      <w:r>
        <w:t>international good practice. The programs within NRRP investment C3.2 R2-I1 will provide a</w:t>
      </w:r>
      <w:r>
        <w:rPr>
          <w:spacing w:val="-57"/>
        </w:rPr>
        <w:t xml:space="preserve"> </w:t>
      </w:r>
      <w:r>
        <w:t>special incentive for training young researchers to work in areas of smart specialisations and</w:t>
      </w:r>
      <w:r>
        <w:rPr>
          <w:spacing w:val="1"/>
        </w:rPr>
        <w:t xml:space="preserve"> </w:t>
      </w:r>
      <w:r>
        <w:t>acquire</w:t>
      </w:r>
      <w:r>
        <w:rPr>
          <w:spacing w:val="-3"/>
        </w:rPr>
        <w:t xml:space="preserve"> </w:t>
      </w:r>
      <w:r>
        <w:t>skills that correspond to the</w:t>
      </w:r>
      <w:r>
        <w:rPr>
          <w:spacing w:val="-1"/>
        </w:rPr>
        <w:t xml:space="preserve"> </w:t>
      </w:r>
      <w:r>
        <w:t>needs of the</w:t>
      </w:r>
      <w:r>
        <w:rPr>
          <w:spacing w:val="-1"/>
        </w:rPr>
        <w:t xml:space="preserve"> </w:t>
      </w:r>
      <w:r>
        <w:t>labour</w:t>
      </w:r>
      <w:r>
        <w:rPr>
          <w:spacing w:val="-1"/>
        </w:rPr>
        <w:t xml:space="preserve"> </w:t>
      </w:r>
      <w:r>
        <w:t>market.</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264214286"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411405471" name="Rectangle 165"/>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76C1553" id="Group 164"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K8t2+1QAgAAEAUAAA4AAAAAAAAAAAAAAAAALgIAAGRycy9lMm9Eb2MueG1sUEsBAi0AFAAGAAgA&#10;AAAhAOjoSp3cAAAAAwEAAA8AAAAAAAAAAAAAAAAAqgQAAGRycy9kb3ducmV2LnhtbFBLBQYAAAAA&#10;BAAEAPMAAACzBQAAAAA=&#10;">
                <v:rect id="Rectangle 165"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7"/>
      </w:pPr>
      <w:r>
        <w:rPr>
          <w:spacing w:val="-1"/>
        </w:rPr>
        <w:t>The</w:t>
      </w:r>
      <w:r>
        <w:rPr>
          <w:spacing w:val="-13"/>
        </w:rPr>
        <w:t xml:space="preserve"> </w:t>
      </w:r>
      <w:r>
        <w:rPr>
          <w:spacing w:val="-1"/>
        </w:rPr>
        <w:t>NRRP</w:t>
      </w:r>
      <w:r>
        <w:rPr>
          <w:spacing w:val="-11"/>
        </w:rPr>
        <w:t xml:space="preserve"> </w:t>
      </w:r>
      <w:r>
        <w:t>reform</w:t>
      </w:r>
      <w:r>
        <w:rPr>
          <w:spacing w:val="-12"/>
        </w:rPr>
        <w:t xml:space="preserve"> </w:t>
      </w:r>
      <w:r>
        <w:t>C3.2.</w:t>
      </w:r>
      <w:r>
        <w:rPr>
          <w:spacing w:val="-10"/>
        </w:rPr>
        <w:t xml:space="preserve"> </w:t>
      </w:r>
      <w:r>
        <w:t>R2</w:t>
      </w:r>
      <w:r>
        <w:rPr>
          <w:spacing w:val="-12"/>
        </w:rPr>
        <w:t xml:space="preserve"> </w:t>
      </w:r>
      <w:r>
        <w:t>will</w:t>
      </w:r>
      <w:r>
        <w:rPr>
          <w:spacing w:val="-12"/>
        </w:rPr>
        <w:t xml:space="preserve"> </w:t>
      </w:r>
      <w:r>
        <w:t>create</w:t>
      </w:r>
      <w:r>
        <w:rPr>
          <w:spacing w:val="-13"/>
        </w:rPr>
        <w:t xml:space="preserve"> </w:t>
      </w:r>
      <w:r>
        <w:t>a</w:t>
      </w:r>
      <w:r>
        <w:rPr>
          <w:spacing w:val="-10"/>
        </w:rPr>
        <w:t xml:space="preserve"> </w:t>
      </w:r>
      <w:r>
        <w:t>framework</w:t>
      </w:r>
      <w:r>
        <w:rPr>
          <w:spacing w:val="-13"/>
        </w:rPr>
        <w:t xml:space="preserve"> </w:t>
      </w:r>
      <w:r>
        <w:t>for</w:t>
      </w:r>
      <w:r>
        <w:rPr>
          <w:spacing w:val="-14"/>
        </w:rPr>
        <w:t xml:space="preserve"> </w:t>
      </w:r>
      <w:r>
        <w:t>attracting</w:t>
      </w:r>
      <w:r>
        <w:rPr>
          <w:spacing w:val="-15"/>
        </w:rPr>
        <w:t xml:space="preserve"> </w:t>
      </w:r>
      <w:r>
        <w:t>and</w:t>
      </w:r>
      <w:r>
        <w:rPr>
          <w:spacing w:val="-12"/>
        </w:rPr>
        <w:t xml:space="preserve"> </w:t>
      </w:r>
      <w:r>
        <w:t>retaining</w:t>
      </w:r>
      <w:r>
        <w:rPr>
          <w:spacing w:val="-14"/>
        </w:rPr>
        <w:t xml:space="preserve"> </w:t>
      </w:r>
      <w:r>
        <w:t>quality</w:t>
      </w:r>
      <w:r>
        <w:rPr>
          <w:spacing w:val="-17"/>
        </w:rPr>
        <w:t xml:space="preserve"> </w:t>
      </w:r>
      <w:r>
        <w:t>students</w:t>
      </w:r>
      <w:r>
        <w:rPr>
          <w:spacing w:val="-57"/>
        </w:rPr>
        <w:t xml:space="preserve"> </w:t>
      </w:r>
      <w:r>
        <w:t>and researchers in the STEM and ICT fields, a prerequisite for increasing society's readiness</w:t>
      </w:r>
      <w:r>
        <w:rPr>
          <w:spacing w:val="1"/>
        </w:rPr>
        <w:t xml:space="preserve"> </w:t>
      </w:r>
      <w:r>
        <w:t>for</w:t>
      </w:r>
      <w:r>
        <w:rPr>
          <w:spacing w:val="2"/>
        </w:rPr>
        <w:t xml:space="preserve"> </w:t>
      </w:r>
      <w:r>
        <w:t>the</w:t>
      </w:r>
      <w:r>
        <w:rPr>
          <w:spacing w:val="4"/>
        </w:rPr>
        <w:t xml:space="preserve"> </w:t>
      </w:r>
      <w:r>
        <w:t>digital</w:t>
      </w:r>
      <w:r>
        <w:rPr>
          <w:spacing w:val="4"/>
        </w:rPr>
        <w:t xml:space="preserve"> </w:t>
      </w:r>
      <w:r>
        <w:t>transition.</w:t>
      </w:r>
      <w:r>
        <w:rPr>
          <w:spacing w:val="7"/>
        </w:rPr>
        <w:t xml:space="preserve"> </w:t>
      </w:r>
      <w:r>
        <w:t>The</w:t>
      </w:r>
      <w:r>
        <w:rPr>
          <w:spacing w:val="2"/>
        </w:rPr>
        <w:t xml:space="preserve"> </w:t>
      </w:r>
      <w:r>
        <w:t>NRRP</w:t>
      </w:r>
      <w:r>
        <w:rPr>
          <w:spacing w:val="5"/>
        </w:rPr>
        <w:t xml:space="preserve"> </w:t>
      </w:r>
      <w:r>
        <w:t>investment</w:t>
      </w:r>
      <w:r>
        <w:rPr>
          <w:spacing w:val="5"/>
        </w:rPr>
        <w:t xml:space="preserve"> </w:t>
      </w:r>
      <w:r>
        <w:t>C3.2.</w:t>
      </w:r>
      <w:r>
        <w:rPr>
          <w:spacing w:val="3"/>
        </w:rPr>
        <w:t xml:space="preserve"> </w:t>
      </w:r>
      <w:r>
        <w:t>R2-I1</w:t>
      </w:r>
      <w:r>
        <w:rPr>
          <w:spacing w:val="4"/>
        </w:rPr>
        <w:t xml:space="preserve"> </w:t>
      </w:r>
      <w:r>
        <w:t>includes</w:t>
      </w:r>
      <w:r>
        <w:rPr>
          <w:spacing w:val="3"/>
        </w:rPr>
        <w:t xml:space="preserve"> </w:t>
      </w:r>
      <w:r>
        <w:t>the</w:t>
      </w:r>
      <w:r>
        <w:rPr>
          <w:spacing w:val="3"/>
        </w:rPr>
        <w:t xml:space="preserve"> </w:t>
      </w:r>
      <w:r>
        <w:t>following</w:t>
      </w:r>
      <w:r>
        <w:rPr>
          <w:spacing w:val="1"/>
        </w:rPr>
        <w:t xml:space="preserve"> </w:t>
      </w:r>
      <w:r>
        <w:t>programs:</w:t>
      </w:r>
    </w:p>
    <w:p w:rsidR="00A56FE9" w:rsidRDefault="00000000">
      <w:pPr>
        <w:pStyle w:val="Tijeloteksta"/>
        <w:ind w:right="274"/>
      </w:pPr>
      <w:r>
        <w:t>(i) STEM and ICT scholarships; (ii) a Young Researchers Programme; (iii) a Tenure track</w:t>
      </w:r>
      <w:r>
        <w:rPr>
          <w:spacing w:val="1"/>
        </w:rPr>
        <w:t xml:space="preserve"> </w:t>
      </w:r>
      <w:r>
        <w:t>programme; (iv) a Mobility scheme; (v) Starts up/spin off of young researchers’ companies;</w:t>
      </w:r>
      <w:r>
        <w:rPr>
          <w:spacing w:val="1"/>
        </w:rPr>
        <w:t xml:space="preserve"> </w:t>
      </w:r>
      <w:r>
        <w:t>and (vi) an Entrepreneurship Traineeships Programme. The open calls to implement the new</w:t>
      </w:r>
      <w:r>
        <w:rPr>
          <w:spacing w:val="1"/>
        </w:rPr>
        <w:t xml:space="preserve"> </w:t>
      </w:r>
      <w:r>
        <w:t>programs</w:t>
      </w:r>
      <w:r>
        <w:rPr>
          <w:spacing w:val="-1"/>
        </w:rPr>
        <w:t xml:space="preserve"> </w:t>
      </w:r>
      <w:r>
        <w:t>will be</w:t>
      </w:r>
      <w:r>
        <w:rPr>
          <w:spacing w:val="-1"/>
        </w:rPr>
        <w:t xml:space="preserve"> </w:t>
      </w:r>
      <w:r>
        <w:t>published by</w:t>
      </w:r>
      <w:r>
        <w:rPr>
          <w:spacing w:val="-5"/>
        </w:rPr>
        <w:t xml:space="preserve"> </w:t>
      </w:r>
      <w:r>
        <w:t>the</w:t>
      </w:r>
      <w:r>
        <w:rPr>
          <w:spacing w:val="-1"/>
        </w:rPr>
        <w:t xml:space="preserve"> </w:t>
      </w:r>
      <w:r>
        <w:t>end of</w:t>
      </w:r>
      <w:r>
        <w:rPr>
          <w:spacing w:val="-1"/>
        </w:rPr>
        <w:t xml:space="preserve"> </w:t>
      </w:r>
      <w:r>
        <w:t>2022.</w:t>
      </w:r>
    </w:p>
    <w:p w:rsidR="00A56FE9" w:rsidRDefault="00000000">
      <w:pPr>
        <w:pStyle w:val="Tijeloteksta"/>
        <w:spacing w:before="121"/>
        <w:ind w:right="274"/>
      </w:pPr>
      <w:r>
        <w:t>This</w:t>
      </w:r>
      <w:r>
        <w:rPr>
          <w:spacing w:val="1"/>
        </w:rPr>
        <w:t xml:space="preserve"> </w:t>
      </w:r>
      <w:r>
        <w:t>offers</w:t>
      </w:r>
      <w:r>
        <w:rPr>
          <w:spacing w:val="1"/>
        </w:rPr>
        <w:t xml:space="preserve"> </w:t>
      </w:r>
      <w:r>
        <w:t>support</w:t>
      </w:r>
      <w:r>
        <w:rPr>
          <w:spacing w:val="1"/>
        </w:rPr>
        <w:t xml:space="preserve"> </w:t>
      </w:r>
      <w:r>
        <w:t>for</w:t>
      </w:r>
      <w:r>
        <w:rPr>
          <w:spacing w:val="1"/>
        </w:rPr>
        <w:t xml:space="preserve"> </w:t>
      </w:r>
      <w:r>
        <w:t>the</w:t>
      </w:r>
      <w:r>
        <w:rPr>
          <w:spacing w:val="1"/>
        </w:rPr>
        <w:t xml:space="preserve"> </w:t>
      </w:r>
      <w:r>
        <w:t>development</w:t>
      </w:r>
      <w:r>
        <w:rPr>
          <w:spacing w:val="1"/>
        </w:rPr>
        <w:t xml:space="preserve"> </w:t>
      </w:r>
      <w:r>
        <w:t>of</w:t>
      </w:r>
      <w:r>
        <w:rPr>
          <w:spacing w:val="1"/>
        </w:rPr>
        <w:t xml:space="preserve"> </w:t>
      </w:r>
      <w:r>
        <w:t>digital</w:t>
      </w:r>
      <w:r>
        <w:rPr>
          <w:spacing w:val="1"/>
        </w:rPr>
        <w:t xml:space="preserve"> </w:t>
      </w:r>
      <w:r>
        <w:t>skills,</w:t>
      </w:r>
      <w:r>
        <w:rPr>
          <w:spacing w:val="1"/>
        </w:rPr>
        <w:t xml:space="preserve"> </w:t>
      </w:r>
      <w:r>
        <w:t>specifically</w:t>
      </w:r>
      <w:r>
        <w:rPr>
          <w:spacing w:val="1"/>
        </w:rPr>
        <w:t xml:space="preserve"> </w:t>
      </w:r>
      <w:r>
        <w:t>highly</w:t>
      </w:r>
      <w:r>
        <w:rPr>
          <w:spacing w:val="1"/>
        </w:rPr>
        <w:t xml:space="preserve"> </w:t>
      </w:r>
      <w:r>
        <w:t>specialised</w:t>
      </w:r>
      <w:r>
        <w:rPr>
          <w:spacing w:val="1"/>
        </w:rPr>
        <w:t xml:space="preserve"> </w:t>
      </w:r>
      <w:r>
        <w:t>educational programs for training of digital professionals, as well as investments in research</w:t>
      </w:r>
      <w:r>
        <w:rPr>
          <w:spacing w:val="1"/>
        </w:rPr>
        <w:t xml:space="preserve"> </w:t>
      </w:r>
      <w:r>
        <w:t>and</w:t>
      </w:r>
      <w:r>
        <w:rPr>
          <w:spacing w:val="-1"/>
        </w:rPr>
        <w:t xml:space="preserve"> </w:t>
      </w:r>
      <w:r>
        <w:t>innovation activities for</w:t>
      </w:r>
      <w:r>
        <w:rPr>
          <w:spacing w:val="-2"/>
        </w:rPr>
        <w:t xml:space="preserve"> </w:t>
      </w:r>
      <w:r>
        <w:t>developing</w:t>
      </w:r>
      <w:r>
        <w:rPr>
          <w:spacing w:val="-3"/>
        </w:rPr>
        <w:t xml:space="preserve"> </w:t>
      </w:r>
      <w:r>
        <w:t>the digital</w:t>
      </w:r>
      <w:r>
        <w:rPr>
          <w:spacing w:val="2"/>
        </w:rPr>
        <w:t xml:space="preserve"> </w:t>
      </w:r>
      <w:r>
        <w:t>field.</w:t>
      </w:r>
    </w:p>
    <w:p w:rsidR="00A56FE9" w:rsidRDefault="00000000">
      <w:pPr>
        <w:pStyle w:val="Tijeloteksta"/>
        <w:spacing w:before="120"/>
        <w:ind w:right="274"/>
      </w:pPr>
      <w:r>
        <w:rPr>
          <w:spacing w:val="-1"/>
        </w:rPr>
        <w:t>The</w:t>
      </w:r>
      <w:r>
        <w:rPr>
          <w:spacing w:val="-14"/>
        </w:rPr>
        <w:t xml:space="preserve"> </w:t>
      </w:r>
      <w:r>
        <w:rPr>
          <w:spacing w:val="-1"/>
        </w:rPr>
        <w:t>new</w:t>
      </w:r>
      <w:r>
        <w:rPr>
          <w:spacing w:val="-10"/>
        </w:rPr>
        <w:t xml:space="preserve"> </w:t>
      </w:r>
      <w:r>
        <w:rPr>
          <w:spacing w:val="-1"/>
        </w:rPr>
        <w:t>legislative</w:t>
      </w:r>
      <w:r>
        <w:rPr>
          <w:spacing w:val="-13"/>
        </w:rPr>
        <w:t xml:space="preserve"> </w:t>
      </w:r>
      <w:r>
        <w:t>framework</w:t>
      </w:r>
      <w:r>
        <w:rPr>
          <w:spacing w:val="-9"/>
        </w:rPr>
        <w:t xml:space="preserve"> </w:t>
      </w:r>
      <w:r>
        <w:t>enabling</w:t>
      </w:r>
      <w:r>
        <w:rPr>
          <w:spacing w:val="-15"/>
        </w:rPr>
        <w:t xml:space="preserve"> </w:t>
      </w:r>
      <w:r>
        <w:t>these</w:t>
      </w:r>
      <w:r>
        <w:rPr>
          <w:spacing w:val="-10"/>
        </w:rPr>
        <w:t xml:space="preserve"> </w:t>
      </w:r>
      <w:r>
        <w:t>investments</w:t>
      </w:r>
      <w:r>
        <w:rPr>
          <w:spacing w:val="-12"/>
        </w:rPr>
        <w:t xml:space="preserve"> </w:t>
      </w:r>
      <w:r>
        <w:t>is</w:t>
      </w:r>
      <w:r>
        <w:rPr>
          <w:spacing w:val="-11"/>
        </w:rPr>
        <w:t xml:space="preserve"> </w:t>
      </w:r>
      <w:r>
        <w:t>the</w:t>
      </w:r>
      <w:r>
        <w:rPr>
          <w:spacing w:val="-13"/>
        </w:rPr>
        <w:t xml:space="preserve"> </w:t>
      </w:r>
      <w:r>
        <w:t>new</w:t>
      </w:r>
      <w:r>
        <w:rPr>
          <w:spacing w:val="-9"/>
        </w:rPr>
        <w:t xml:space="preserve"> </w:t>
      </w:r>
      <w:r>
        <w:t>Act</w:t>
      </w:r>
      <w:r>
        <w:rPr>
          <w:spacing w:val="-11"/>
        </w:rPr>
        <w:t xml:space="preserve"> </w:t>
      </w:r>
      <w:r>
        <w:t>on</w:t>
      </w:r>
      <w:r>
        <w:rPr>
          <w:spacing w:val="-12"/>
        </w:rPr>
        <w:t xml:space="preserve"> </w:t>
      </w:r>
      <w:r>
        <w:t>Quality</w:t>
      </w:r>
      <w:r>
        <w:rPr>
          <w:spacing w:val="-14"/>
        </w:rPr>
        <w:t xml:space="preserve"> </w:t>
      </w:r>
      <w:r>
        <w:t>Assurance</w:t>
      </w:r>
      <w:r>
        <w:rPr>
          <w:spacing w:val="-58"/>
        </w:rPr>
        <w:t xml:space="preserve"> </w:t>
      </w:r>
      <w:r>
        <w:rPr>
          <w:spacing w:val="-1"/>
        </w:rPr>
        <w:t>in</w:t>
      </w:r>
      <w:r>
        <w:rPr>
          <w:spacing w:val="-14"/>
        </w:rPr>
        <w:t xml:space="preserve"> </w:t>
      </w:r>
      <w:r>
        <w:rPr>
          <w:spacing w:val="-1"/>
        </w:rPr>
        <w:t>Science</w:t>
      </w:r>
      <w:r>
        <w:rPr>
          <w:spacing w:val="-16"/>
        </w:rPr>
        <w:t xml:space="preserve"> </w:t>
      </w:r>
      <w:r>
        <w:rPr>
          <w:spacing w:val="-1"/>
        </w:rPr>
        <w:t>and</w:t>
      </w:r>
      <w:r>
        <w:rPr>
          <w:spacing w:val="-12"/>
        </w:rPr>
        <w:t xml:space="preserve"> </w:t>
      </w:r>
      <w:r>
        <w:t>Higher</w:t>
      </w:r>
      <w:r>
        <w:rPr>
          <w:spacing w:val="-16"/>
        </w:rPr>
        <w:t xml:space="preserve"> </w:t>
      </w:r>
      <w:r>
        <w:t>Education,</w:t>
      </w:r>
      <w:r>
        <w:rPr>
          <w:spacing w:val="-13"/>
        </w:rPr>
        <w:t xml:space="preserve"> </w:t>
      </w:r>
      <w:r>
        <w:t>and</w:t>
      </w:r>
      <w:r>
        <w:rPr>
          <w:spacing w:val="-15"/>
        </w:rPr>
        <w:t xml:space="preserve"> </w:t>
      </w:r>
      <w:r>
        <w:t>is</w:t>
      </w:r>
      <w:r>
        <w:rPr>
          <w:spacing w:val="-13"/>
        </w:rPr>
        <w:t xml:space="preserve"> </w:t>
      </w:r>
      <w:r>
        <w:t>in</w:t>
      </w:r>
      <w:r>
        <w:rPr>
          <w:spacing w:val="-14"/>
        </w:rPr>
        <w:t xml:space="preserve"> </w:t>
      </w:r>
      <w:r>
        <w:t>the</w:t>
      </w:r>
      <w:r>
        <w:rPr>
          <w:spacing w:val="-15"/>
        </w:rPr>
        <w:t xml:space="preserve"> </w:t>
      </w:r>
      <w:r>
        <w:t>process</w:t>
      </w:r>
      <w:r>
        <w:rPr>
          <w:spacing w:val="-14"/>
        </w:rPr>
        <w:t xml:space="preserve"> </w:t>
      </w:r>
      <w:r>
        <w:t>of</w:t>
      </w:r>
      <w:r>
        <w:rPr>
          <w:spacing w:val="-16"/>
        </w:rPr>
        <w:t xml:space="preserve"> </w:t>
      </w:r>
      <w:r>
        <w:t>being</w:t>
      </w:r>
      <w:r>
        <w:rPr>
          <w:spacing w:val="-17"/>
        </w:rPr>
        <w:t xml:space="preserve"> </w:t>
      </w:r>
      <w:r>
        <w:t>drafted.</w:t>
      </w:r>
      <w:r>
        <w:rPr>
          <w:spacing w:val="-15"/>
        </w:rPr>
        <w:t xml:space="preserve"> </w:t>
      </w:r>
      <w:r>
        <w:t>The</w:t>
      </w:r>
      <w:r>
        <w:rPr>
          <w:spacing w:val="-12"/>
        </w:rPr>
        <w:t xml:space="preserve"> </w:t>
      </w:r>
      <w:r>
        <w:t>new</w:t>
      </w:r>
      <w:r>
        <w:rPr>
          <w:spacing w:val="-15"/>
        </w:rPr>
        <w:t xml:space="preserve"> </w:t>
      </w:r>
      <w:r>
        <w:t>law</w:t>
      </w:r>
      <w:r>
        <w:rPr>
          <w:spacing w:val="-16"/>
        </w:rPr>
        <w:t xml:space="preserve"> </w:t>
      </w:r>
      <w:r>
        <w:t>is</w:t>
      </w:r>
      <w:r>
        <w:rPr>
          <w:spacing w:val="-14"/>
        </w:rPr>
        <w:t xml:space="preserve"> </w:t>
      </w:r>
      <w:r>
        <w:t>expected</w:t>
      </w:r>
      <w:r>
        <w:rPr>
          <w:spacing w:val="-57"/>
        </w:rPr>
        <w:t xml:space="preserve"> </w:t>
      </w:r>
      <w:r>
        <w:t>to</w:t>
      </w:r>
      <w:r>
        <w:rPr>
          <w:spacing w:val="1"/>
        </w:rPr>
        <w:t xml:space="preserve"> </w:t>
      </w:r>
      <w:r>
        <w:t>enter</w:t>
      </w:r>
      <w:r>
        <w:rPr>
          <w:spacing w:val="1"/>
        </w:rPr>
        <w:t xml:space="preserve"> </w:t>
      </w:r>
      <w:r>
        <w:t>into</w:t>
      </w:r>
      <w:r>
        <w:rPr>
          <w:spacing w:val="1"/>
        </w:rPr>
        <w:t xml:space="preserve"> </w:t>
      </w:r>
      <w:r>
        <w:t>force</w:t>
      </w:r>
      <w:r>
        <w:rPr>
          <w:spacing w:val="1"/>
        </w:rPr>
        <w:t xml:space="preserve"> </w:t>
      </w:r>
      <w:r>
        <w:t>by</w:t>
      </w:r>
      <w:r>
        <w:rPr>
          <w:spacing w:val="1"/>
        </w:rPr>
        <w:t xml:space="preserve"> </w:t>
      </w:r>
      <w:r>
        <w:t>the</w:t>
      </w:r>
      <w:r>
        <w:rPr>
          <w:spacing w:val="1"/>
        </w:rPr>
        <w:t xml:space="preserve"> </w:t>
      </w:r>
      <w:r>
        <w:t>end</w:t>
      </w:r>
      <w:r>
        <w:rPr>
          <w:spacing w:val="1"/>
        </w:rPr>
        <w:t xml:space="preserve"> </w:t>
      </w:r>
      <w:r>
        <w:t>of</w:t>
      </w:r>
      <w:r>
        <w:rPr>
          <w:spacing w:val="1"/>
        </w:rPr>
        <w:t xml:space="preserve"> </w:t>
      </w:r>
      <w:r>
        <w:t>Q3/2022.</w:t>
      </w:r>
      <w:r>
        <w:rPr>
          <w:spacing w:val="1"/>
        </w:rPr>
        <w:t xml:space="preserve"> </w:t>
      </w:r>
      <w:r>
        <w:t>In</w:t>
      </w:r>
      <w:r>
        <w:rPr>
          <w:spacing w:val="1"/>
        </w:rPr>
        <w:t xml:space="preserve"> </w:t>
      </w:r>
      <w:r>
        <w:t>the</w:t>
      </w:r>
      <w:r>
        <w:rPr>
          <w:spacing w:val="1"/>
        </w:rPr>
        <w:t xml:space="preserve"> </w:t>
      </w:r>
      <w:r>
        <w:t>meantime,</w:t>
      </w:r>
      <w:r>
        <w:rPr>
          <w:spacing w:val="1"/>
        </w:rPr>
        <w:t xml:space="preserve"> </w:t>
      </w:r>
      <w:r>
        <w:t>by</w:t>
      </w:r>
      <w:r>
        <w:rPr>
          <w:spacing w:val="1"/>
        </w:rPr>
        <w:t xml:space="preserve"> </w:t>
      </w:r>
      <w:r>
        <w:t>2026,</w:t>
      </w:r>
      <w:r>
        <w:rPr>
          <w:spacing w:val="1"/>
        </w:rPr>
        <w:t xml:space="preserve"> </w:t>
      </w:r>
      <w:r>
        <w:t>investments</w:t>
      </w:r>
      <w:r>
        <w:rPr>
          <w:spacing w:val="1"/>
        </w:rPr>
        <w:t xml:space="preserve"> </w:t>
      </w:r>
      <w:r>
        <w:t>in</w:t>
      </w:r>
      <w:r>
        <w:rPr>
          <w:spacing w:val="1"/>
        </w:rPr>
        <w:t xml:space="preserve"> </w:t>
      </w:r>
      <w:r>
        <w:t>technological infrastructure in STEM and ICT areas are planned to take place through the</w:t>
      </w:r>
      <w:r>
        <w:rPr>
          <w:spacing w:val="1"/>
        </w:rPr>
        <w:t xml:space="preserve"> </w:t>
      </w:r>
      <w:r>
        <w:t>NRRP, where approximately 21% of investments are related to advanced technologies such as</w:t>
      </w:r>
      <w:r>
        <w:rPr>
          <w:spacing w:val="-57"/>
        </w:rPr>
        <w:t xml:space="preserve"> </w:t>
      </w:r>
      <w:r>
        <w:t>high-performance computing</w:t>
      </w:r>
      <w:r>
        <w:rPr>
          <w:spacing w:val="-3"/>
        </w:rPr>
        <w:t xml:space="preserve"> </w:t>
      </w:r>
      <w:r>
        <w:t>and quantum computing.</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1501963737"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836189924" name="Rectangle 163"/>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4882A2E" id="Group 162"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">
                <v:rect id="Rectangle 163"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" fillcolor="#2c398a" stroked="f"/>
                <w10:anchorlock/>
              </v:group>
            </w:pict>
          </mc:Fallback>
        </mc:AlternateContent>
      </w:r>
    </w:p>
    <w:p w:rsidR="00A56FE9" w:rsidRDefault="00000000">
      <w:pPr>
        <w:pStyle w:val="Tijeloteksta"/>
        <w:spacing w:before="154"/>
        <w:ind w:right="275"/>
      </w:pPr>
      <w:r>
        <w:rPr>
          <w:spacing w:val="-1"/>
        </w:rPr>
        <w:t>The</w:t>
      </w:r>
      <w:r>
        <w:rPr>
          <w:spacing w:val="-14"/>
        </w:rPr>
        <w:t xml:space="preserve"> </w:t>
      </w:r>
      <w:r>
        <w:rPr>
          <w:spacing w:val="-1"/>
        </w:rPr>
        <w:t>Rural</w:t>
      </w:r>
      <w:r>
        <w:rPr>
          <w:spacing w:val="-12"/>
        </w:rPr>
        <w:t xml:space="preserve"> </w:t>
      </w:r>
      <w:r>
        <w:rPr>
          <w:spacing w:val="-1"/>
        </w:rPr>
        <w:t>Development</w:t>
      </w:r>
      <w:r>
        <w:rPr>
          <w:spacing w:val="-12"/>
        </w:rPr>
        <w:t xml:space="preserve"> </w:t>
      </w:r>
      <w:r>
        <w:rPr>
          <w:spacing w:val="-1"/>
        </w:rPr>
        <w:t>Program</w:t>
      </w:r>
      <w:r>
        <w:rPr>
          <w:spacing w:val="-12"/>
        </w:rPr>
        <w:t xml:space="preserve"> </w:t>
      </w:r>
      <w:r>
        <w:t>finances</w:t>
      </w:r>
      <w:r>
        <w:rPr>
          <w:spacing w:val="-12"/>
        </w:rPr>
        <w:t xml:space="preserve"> </w:t>
      </w:r>
      <w:r>
        <w:t>the</w:t>
      </w:r>
      <w:r>
        <w:rPr>
          <w:spacing w:val="-13"/>
        </w:rPr>
        <w:t xml:space="preserve"> </w:t>
      </w:r>
      <w:r>
        <w:t>transfer</w:t>
      </w:r>
      <w:r>
        <w:rPr>
          <w:spacing w:val="-13"/>
        </w:rPr>
        <w:t xml:space="preserve"> </w:t>
      </w:r>
      <w:r>
        <w:t>of</w:t>
      </w:r>
      <w:r>
        <w:rPr>
          <w:spacing w:val="-12"/>
        </w:rPr>
        <w:t xml:space="preserve"> </w:t>
      </w:r>
      <w:r>
        <w:t>knowledge</w:t>
      </w:r>
      <w:r>
        <w:rPr>
          <w:spacing w:val="-13"/>
        </w:rPr>
        <w:t xml:space="preserve"> </w:t>
      </w:r>
      <w:r>
        <w:t>and</w:t>
      </w:r>
      <w:r>
        <w:rPr>
          <w:spacing w:val="-12"/>
        </w:rPr>
        <w:t xml:space="preserve"> </w:t>
      </w:r>
      <w:r>
        <w:t>information</w:t>
      </w:r>
      <w:r>
        <w:rPr>
          <w:spacing w:val="-12"/>
        </w:rPr>
        <w:t xml:space="preserve"> </w:t>
      </w:r>
      <w:r>
        <w:t>to</w:t>
      </w:r>
      <w:r>
        <w:rPr>
          <w:spacing w:val="-12"/>
        </w:rPr>
        <w:t xml:space="preserve"> </w:t>
      </w:r>
      <w:r>
        <w:t>farmers</w:t>
      </w:r>
      <w:r>
        <w:rPr>
          <w:spacing w:val="-57"/>
        </w:rPr>
        <w:t xml:space="preserve"> </w:t>
      </w:r>
      <w:r>
        <w:t>through grants for vocational training and skills acquisition, including demonstration and</w:t>
      </w:r>
      <w:r>
        <w:rPr>
          <w:spacing w:val="1"/>
        </w:rPr>
        <w:t xml:space="preserve"> </w:t>
      </w:r>
      <w:r>
        <w:t>information</w:t>
      </w:r>
      <w:r>
        <w:rPr>
          <w:spacing w:val="-1"/>
        </w:rPr>
        <w:t xml:space="preserve"> </w:t>
      </w:r>
      <w:r>
        <w:t>activities.</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3"/>
        <w:spacing w:before="60"/>
      </w:pPr>
      <w:bookmarkStart w:id="22" w:name="_bookmark22"/>
      <w:bookmarkEnd w:id="22"/>
      <w:r>
        <w:rPr>
          <w:rFonts w:ascii="Times New Roman"/>
          <w:b/>
          <w:color w:val="2C398A"/>
          <w:spacing w:val="-1"/>
        </w:rPr>
        <w:t>C3.2.</w:t>
      </w:r>
      <w:r>
        <w:rPr>
          <w:rFonts w:ascii="Times New Roman"/>
          <w:b/>
          <w:color w:val="2C398A"/>
        </w:rPr>
        <w:t xml:space="preserve"> </w:t>
      </w:r>
      <w:r>
        <w:rPr>
          <w:color w:val="003399"/>
          <w:spacing w:val="-1"/>
        </w:rPr>
        <w:t>Boosting</w:t>
      </w:r>
      <w:r>
        <w:rPr>
          <w:color w:val="003399"/>
          <w:spacing w:val="-13"/>
        </w:rPr>
        <w:t xml:space="preserve"> </w:t>
      </w:r>
      <w:r>
        <w:rPr>
          <w:color w:val="003399"/>
          <w:spacing w:val="-1"/>
        </w:rPr>
        <w:t>Research</w:t>
      </w:r>
      <w:r>
        <w:rPr>
          <w:color w:val="003399"/>
          <w:spacing w:val="-14"/>
        </w:rPr>
        <w:t xml:space="preserve"> </w:t>
      </w:r>
      <w:r>
        <w:rPr>
          <w:color w:val="003399"/>
          <w:spacing w:val="-1"/>
        </w:rPr>
        <w:t>and</w:t>
      </w:r>
      <w:r>
        <w:rPr>
          <w:color w:val="003399"/>
          <w:spacing w:val="-13"/>
        </w:rPr>
        <w:t xml:space="preserve"> </w:t>
      </w:r>
      <w:r>
        <w:rPr>
          <w:color w:val="003399"/>
          <w:spacing w:val="-1"/>
        </w:rPr>
        <w:t>Innovation</w:t>
      </w:r>
      <w:r>
        <w:rPr>
          <w:color w:val="003399"/>
          <w:spacing w:val="-13"/>
        </w:rPr>
        <w:t xml:space="preserve"> </w:t>
      </w:r>
      <w:r>
        <w:rPr>
          <w:color w:val="003399"/>
        </w:rPr>
        <w:t>Capacity</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89568"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1647244261"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CC1BD" id="Rectangle 161" o:spid="_x0000_s1026" style="position:absolute;margin-left:64.1pt;margin-top:-6.1pt;width:1.45pt;height:27pt;z-index:1578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Stimulating</w:t>
      </w:r>
      <w:r w:rsidR="00000000">
        <w:rPr>
          <w:color w:val="2C398A"/>
          <w:spacing w:val="-3"/>
        </w:rPr>
        <w:t xml:space="preserve"> </w:t>
      </w:r>
      <w:r w:rsidR="00000000">
        <w:rPr>
          <w:color w:val="2C398A"/>
        </w:rPr>
        <w:t>research and</w:t>
      </w:r>
      <w:r w:rsidR="00000000">
        <w:rPr>
          <w:color w:val="2C398A"/>
          <w:spacing w:val="-3"/>
        </w:rPr>
        <w:t xml:space="preserve"> </w:t>
      </w:r>
      <w:r w:rsidR="00000000">
        <w:rPr>
          <w:color w:val="2C398A"/>
        </w:rPr>
        <w:t>innovation</w:t>
      </w:r>
    </w:p>
    <w:p w:rsidR="00A56FE9" w:rsidRDefault="00000000">
      <w:pPr>
        <w:spacing w:before="233"/>
        <w:ind w:left="138" w:right="274"/>
        <w:jc w:val="both"/>
        <w:rPr>
          <w:i/>
          <w:sz w:val="24"/>
        </w:rPr>
      </w:pPr>
      <w:r>
        <w:rPr>
          <w:i/>
          <w:color w:val="2C398A"/>
          <w:sz w:val="24"/>
        </w:rPr>
        <w:t>2019.CSR2.1. Deliver on the education reform and improve both access to education and</w:t>
      </w:r>
      <w:r>
        <w:rPr>
          <w:i/>
          <w:color w:val="2C398A"/>
          <w:spacing w:val="1"/>
          <w:sz w:val="24"/>
        </w:rPr>
        <w:t xml:space="preserve"> </w:t>
      </w:r>
      <w:r>
        <w:rPr>
          <w:i/>
          <w:color w:val="2C398A"/>
          <w:sz w:val="24"/>
        </w:rPr>
        <w:t>training at all levels and their quality and labour market relevance; 2019.CSR3.1. Focus</w:t>
      </w:r>
      <w:r>
        <w:rPr>
          <w:i/>
          <w:color w:val="2C398A"/>
          <w:spacing w:val="1"/>
          <w:sz w:val="24"/>
        </w:rPr>
        <w:t xml:space="preserve"> </w:t>
      </w:r>
      <w:r>
        <w:rPr>
          <w:i/>
          <w:color w:val="2C398A"/>
          <w:sz w:val="24"/>
        </w:rPr>
        <w:t>investment-related economic policy on research and innovation; 2019.CSR3.2. Increase the</w:t>
      </w:r>
      <w:r>
        <w:rPr>
          <w:i/>
          <w:color w:val="2C398A"/>
          <w:spacing w:val="1"/>
          <w:sz w:val="24"/>
        </w:rPr>
        <w:t xml:space="preserve"> </w:t>
      </w:r>
      <w:r>
        <w:rPr>
          <w:i/>
          <w:color w:val="2C398A"/>
          <w:sz w:val="24"/>
        </w:rPr>
        <w:t>administration’s</w:t>
      </w:r>
      <w:r>
        <w:rPr>
          <w:i/>
          <w:color w:val="2C398A"/>
          <w:spacing w:val="-1"/>
          <w:sz w:val="24"/>
        </w:rPr>
        <w:t xml:space="preserve"> </w:t>
      </w:r>
      <w:r>
        <w:rPr>
          <w:i/>
          <w:color w:val="2C398A"/>
          <w:sz w:val="24"/>
        </w:rPr>
        <w:t>capacity</w:t>
      </w:r>
      <w:r>
        <w:rPr>
          <w:i/>
          <w:color w:val="2C398A"/>
          <w:spacing w:val="-1"/>
          <w:sz w:val="24"/>
        </w:rPr>
        <w:t xml:space="preserve"> </w:t>
      </w:r>
      <w:r>
        <w:rPr>
          <w:i/>
          <w:color w:val="2C398A"/>
          <w:sz w:val="24"/>
        </w:rPr>
        <w:t>to design</w:t>
      </w:r>
      <w:r>
        <w:rPr>
          <w:i/>
          <w:color w:val="2C398A"/>
          <w:spacing w:val="-1"/>
          <w:sz w:val="24"/>
        </w:rPr>
        <w:t xml:space="preserve"> </w:t>
      </w:r>
      <w:r>
        <w:rPr>
          <w:i/>
          <w:color w:val="2C398A"/>
          <w:sz w:val="24"/>
        </w:rPr>
        <w:t>and implement public projects</w:t>
      </w:r>
      <w:r>
        <w:rPr>
          <w:i/>
          <w:color w:val="2C398A"/>
          <w:spacing w:val="-1"/>
          <w:sz w:val="24"/>
        </w:rPr>
        <w:t xml:space="preserve"> </w:t>
      </w:r>
      <w:r>
        <w:rPr>
          <w:i/>
          <w:color w:val="2C398A"/>
          <w:sz w:val="24"/>
        </w:rPr>
        <w:t>and policies</w:t>
      </w:r>
    </w:p>
    <w:p w:rsidR="00A56FE9" w:rsidRDefault="00A56FE9">
      <w:pPr>
        <w:pStyle w:val="Tijeloteksta"/>
        <w:spacing w:before="4"/>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188970" cy="12700"/>
                <wp:effectExtent l="0" t="0" r="1905" b="0"/>
                <wp:docPr id="340938077"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8970" cy="12700"/>
                          <a:chOff x="0" y="0"/>
                          <a:chExt cx="5022" cy="20"/>
                        </a:xfrm>
                      </wpg:grpSpPr>
                      <wps:wsp>
                        <wps:cNvPr id="104350777" name="Rectangle 160"/>
                        <wps:cNvSpPr>
                          <a:spLocks noChangeArrowheads="1"/>
                        </wps:cNvSpPr>
                        <wps:spPr bwMode="auto">
                          <a:xfrm>
                            <a:off x="0" y="0"/>
                            <a:ext cx="502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9AEFD09" id="Group 159" o:spid="_x0000_s1026" style="width:251.1pt;height:1pt;mso-position-horizontal-relative:char;mso-position-vertical-relative:line" coordsize="502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">
                <v:rect id="Rectangle 160" o:spid="_x0000_s1027" style="position:absolute;width:502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" fillcolor="#2c398a" stroked="f"/>
                <w10:anchorlock/>
              </v:group>
            </w:pict>
          </mc:Fallback>
        </mc:AlternateContent>
      </w:r>
    </w:p>
    <w:p w:rsidR="00A56FE9" w:rsidRDefault="00000000">
      <w:pPr>
        <w:pStyle w:val="Tijeloteksta"/>
        <w:spacing w:before="154"/>
        <w:ind w:right="276"/>
      </w:pPr>
      <w:r>
        <w:t>According to Eurostat data, the share of total allocations for research and development in the</w:t>
      </w:r>
      <w:r>
        <w:rPr>
          <w:spacing w:val="1"/>
        </w:rPr>
        <w:t xml:space="preserve"> </w:t>
      </w:r>
      <w:r>
        <w:t>GDP of the Republic of Croatia in 2020 was 1.25%, while Croatia's goal is to reach 2.5% by</w:t>
      </w:r>
      <w:r>
        <w:rPr>
          <w:spacing w:val="1"/>
        </w:rPr>
        <w:t xml:space="preserve"> </w:t>
      </w:r>
      <w:r>
        <w:rPr>
          <w:spacing w:val="-1"/>
        </w:rPr>
        <w:t>2025</w:t>
      </w:r>
      <w:r>
        <w:rPr>
          <w:spacing w:val="-15"/>
        </w:rPr>
        <w:t xml:space="preserve"> </w:t>
      </w:r>
      <w:r>
        <w:rPr>
          <w:spacing w:val="-1"/>
        </w:rPr>
        <w:t>(Government</w:t>
      </w:r>
      <w:r>
        <w:rPr>
          <w:spacing w:val="-14"/>
        </w:rPr>
        <w:t xml:space="preserve"> </w:t>
      </w:r>
      <w:r>
        <w:t>Program</w:t>
      </w:r>
      <w:r>
        <w:rPr>
          <w:spacing w:val="-14"/>
        </w:rPr>
        <w:t xml:space="preserve"> </w:t>
      </w:r>
      <w:r>
        <w:t>of</w:t>
      </w:r>
      <w:r>
        <w:rPr>
          <w:spacing w:val="-16"/>
        </w:rPr>
        <w:t xml:space="preserve"> </w:t>
      </w:r>
      <w:r>
        <w:t>the</w:t>
      </w:r>
      <w:r>
        <w:rPr>
          <w:spacing w:val="-15"/>
        </w:rPr>
        <w:t xml:space="preserve"> </w:t>
      </w:r>
      <w:r>
        <w:t>Republic</w:t>
      </w:r>
      <w:r>
        <w:rPr>
          <w:spacing w:val="-16"/>
        </w:rPr>
        <w:t xml:space="preserve"> </w:t>
      </w:r>
      <w:r>
        <w:t>of</w:t>
      </w:r>
      <w:r>
        <w:rPr>
          <w:spacing w:val="-16"/>
        </w:rPr>
        <w:t xml:space="preserve"> </w:t>
      </w:r>
      <w:r>
        <w:t>Croatia</w:t>
      </w:r>
      <w:r>
        <w:rPr>
          <w:spacing w:val="-16"/>
        </w:rPr>
        <w:t xml:space="preserve"> </w:t>
      </w:r>
      <w:r>
        <w:t>2020-2024).</w:t>
      </w:r>
      <w:r>
        <w:rPr>
          <w:spacing w:val="-15"/>
        </w:rPr>
        <w:t xml:space="preserve"> </w:t>
      </w:r>
      <w:r>
        <w:t>The</w:t>
      </w:r>
      <w:r>
        <w:rPr>
          <w:spacing w:val="-16"/>
        </w:rPr>
        <w:t xml:space="preserve"> </w:t>
      </w:r>
      <w:r>
        <w:t>share</w:t>
      </w:r>
      <w:r>
        <w:rPr>
          <w:spacing w:val="-16"/>
        </w:rPr>
        <w:t xml:space="preserve"> </w:t>
      </w:r>
      <w:r>
        <w:t>of</w:t>
      </w:r>
      <w:r>
        <w:rPr>
          <w:spacing w:val="-16"/>
        </w:rPr>
        <w:t xml:space="preserve"> </w:t>
      </w:r>
      <w:r>
        <w:t>total</w:t>
      </w:r>
      <w:r>
        <w:rPr>
          <w:spacing w:val="-14"/>
        </w:rPr>
        <w:t xml:space="preserve"> </w:t>
      </w:r>
      <w:r>
        <w:t>allocation</w:t>
      </w:r>
      <w:r>
        <w:rPr>
          <w:spacing w:val="-57"/>
        </w:rPr>
        <w:t xml:space="preserve"> </w:t>
      </w:r>
      <w:r>
        <w:t>on research and development with respect to GDP indicates a positive trend of continuous</w:t>
      </w:r>
      <w:r>
        <w:rPr>
          <w:spacing w:val="1"/>
        </w:rPr>
        <w:t xml:space="preserve"> </w:t>
      </w:r>
      <w:r>
        <w:t>growth since 2017 (0.85% in 2017, 0.95% in 2018, 1.08% in 2019), which should be in the</w:t>
      </w:r>
      <w:r>
        <w:rPr>
          <w:spacing w:val="1"/>
        </w:rPr>
        <w:t xml:space="preserve"> </w:t>
      </w:r>
      <w:r>
        <w:t>medium and long term</w:t>
      </w:r>
      <w:r>
        <w:rPr>
          <w:spacing w:val="1"/>
        </w:rPr>
        <w:t xml:space="preserve"> </w:t>
      </w:r>
      <w:r>
        <w:t>have a positive effect on the growth and competitiveness of the</w:t>
      </w:r>
      <w:r>
        <w:rPr>
          <w:spacing w:val="1"/>
        </w:rPr>
        <w:t xml:space="preserve"> </w:t>
      </w:r>
      <w:r>
        <w:t>economy.</w:t>
      </w:r>
    </w:p>
    <w:p w:rsidR="00A56FE9" w:rsidRDefault="00000000">
      <w:pPr>
        <w:pStyle w:val="Tijeloteksta"/>
        <w:spacing w:before="121"/>
        <w:ind w:right="276"/>
      </w:pPr>
      <w:r>
        <w:t>According</w:t>
      </w:r>
      <w:r>
        <w:rPr>
          <w:spacing w:val="-7"/>
        </w:rPr>
        <w:t xml:space="preserve"> </w:t>
      </w:r>
      <w:r>
        <w:t>to</w:t>
      </w:r>
      <w:r>
        <w:rPr>
          <w:spacing w:val="-3"/>
        </w:rPr>
        <w:t xml:space="preserve"> </w:t>
      </w:r>
      <w:r>
        <w:t>the</w:t>
      </w:r>
      <w:r>
        <w:rPr>
          <w:spacing w:val="-4"/>
        </w:rPr>
        <w:t xml:space="preserve"> </w:t>
      </w:r>
      <w:r>
        <w:t>European</w:t>
      </w:r>
      <w:r>
        <w:rPr>
          <w:spacing w:val="-2"/>
        </w:rPr>
        <w:t xml:space="preserve"> </w:t>
      </w:r>
      <w:r>
        <w:t>Innovation</w:t>
      </w:r>
      <w:r>
        <w:rPr>
          <w:spacing w:val="-4"/>
        </w:rPr>
        <w:t xml:space="preserve"> </w:t>
      </w:r>
      <w:r>
        <w:t>Scoreboard</w:t>
      </w:r>
      <w:r>
        <w:rPr>
          <w:spacing w:val="-4"/>
        </w:rPr>
        <w:t xml:space="preserve"> </w:t>
      </w:r>
      <w:r>
        <w:t>2021</w:t>
      </w:r>
      <w:r>
        <w:rPr>
          <w:spacing w:val="-4"/>
        </w:rPr>
        <w:t xml:space="preserve"> </w:t>
      </w:r>
      <w:r>
        <w:t>(EIS),</w:t>
      </w:r>
      <w:r>
        <w:rPr>
          <w:spacing w:val="-6"/>
        </w:rPr>
        <w:t xml:space="preserve"> </w:t>
      </w:r>
      <w:r>
        <w:t>Croatia</w:t>
      </w:r>
      <w:r>
        <w:rPr>
          <w:spacing w:val="-5"/>
        </w:rPr>
        <w:t xml:space="preserve"> </w:t>
      </w:r>
      <w:r>
        <w:t>is</w:t>
      </w:r>
      <w:r>
        <w:rPr>
          <w:spacing w:val="-3"/>
        </w:rPr>
        <w:t xml:space="preserve"> </w:t>
      </w:r>
      <w:r>
        <w:t>found</w:t>
      </w:r>
      <w:r>
        <w:rPr>
          <w:spacing w:val="-4"/>
        </w:rPr>
        <w:t xml:space="preserve"> </w:t>
      </w:r>
      <w:r>
        <w:t>in</w:t>
      </w:r>
      <w:r>
        <w:rPr>
          <w:spacing w:val="-4"/>
        </w:rPr>
        <w:t xml:space="preserve"> </w:t>
      </w:r>
      <w:r>
        <w:t>the</w:t>
      </w:r>
      <w:r>
        <w:rPr>
          <w:spacing w:val="-4"/>
        </w:rPr>
        <w:t xml:space="preserve"> </w:t>
      </w:r>
      <w:r>
        <w:t>group</w:t>
      </w:r>
      <w:r>
        <w:rPr>
          <w:spacing w:val="-5"/>
        </w:rPr>
        <w:t xml:space="preserve"> </w:t>
      </w:r>
      <w:r>
        <w:t>of</w:t>
      </w:r>
      <w:r>
        <w:rPr>
          <w:spacing w:val="-58"/>
        </w:rPr>
        <w:t xml:space="preserve"> </w:t>
      </w:r>
      <w:r>
        <w:rPr>
          <w:spacing w:val="-1"/>
        </w:rPr>
        <w:t>emerging</w:t>
      </w:r>
      <w:r>
        <w:rPr>
          <w:spacing w:val="-15"/>
        </w:rPr>
        <w:t xml:space="preserve"> </w:t>
      </w:r>
      <w:r>
        <w:rPr>
          <w:spacing w:val="-1"/>
        </w:rPr>
        <w:t>innovators</w:t>
      </w:r>
      <w:r>
        <w:rPr>
          <w:spacing w:val="-11"/>
        </w:rPr>
        <w:t xml:space="preserve"> </w:t>
      </w:r>
      <w:r>
        <w:t>lagging</w:t>
      </w:r>
      <w:r>
        <w:rPr>
          <w:spacing w:val="-13"/>
        </w:rPr>
        <w:t xml:space="preserve"> </w:t>
      </w:r>
      <w:r>
        <w:t>behind</w:t>
      </w:r>
      <w:r>
        <w:rPr>
          <w:spacing w:val="-11"/>
        </w:rPr>
        <w:t xml:space="preserve"> </w:t>
      </w:r>
      <w:r>
        <w:t>the</w:t>
      </w:r>
      <w:r>
        <w:rPr>
          <w:spacing w:val="-13"/>
        </w:rPr>
        <w:t xml:space="preserve"> </w:t>
      </w:r>
      <w:r>
        <w:t>EU</w:t>
      </w:r>
      <w:r>
        <w:rPr>
          <w:spacing w:val="-12"/>
        </w:rPr>
        <w:t xml:space="preserve"> </w:t>
      </w:r>
      <w:r>
        <w:t>average.</w:t>
      </w:r>
      <w:r>
        <w:rPr>
          <w:spacing w:val="-11"/>
        </w:rPr>
        <w:t xml:space="preserve"> </w:t>
      </w:r>
      <w:r>
        <w:t>However,</w:t>
      </w:r>
      <w:r>
        <w:rPr>
          <w:spacing w:val="-13"/>
        </w:rPr>
        <w:t xml:space="preserve"> </w:t>
      </w:r>
      <w:r>
        <w:t>Croatia</w:t>
      </w:r>
      <w:r>
        <w:rPr>
          <w:spacing w:val="-12"/>
        </w:rPr>
        <w:t xml:space="preserve"> </w:t>
      </w:r>
      <w:r>
        <w:t>has</w:t>
      </w:r>
      <w:r>
        <w:rPr>
          <w:spacing w:val="-10"/>
        </w:rPr>
        <w:t xml:space="preserve"> </w:t>
      </w:r>
      <w:r>
        <w:t>made</w:t>
      </w:r>
      <w:r>
        <w:rPr>
          <w:spacing w:val="-13"/>
        </w:rPr>
        <w:t xml:space="preserve"> </w:t>
      </w:r>
      <w:r>
        <w:t>a</w:t>
      </w:r>
      <w:r>
        <w:rPr>
          <w:spacing w:val="-13"/>
        </w:rPr>
        <w:t xml:space="preserve"> </w:t>
      </w:r>
      <w:r>
        <w:t>step</w:t>
      </w:r>
      <w:r>
        <w:rPr>
          <w:spacing w:val="-12"/>
        </w:rPr>
        <w:t xml:space="preserve"> </w:t>
      </w:r>
      <w:r>
        <w:t>forward</w:t>
      </w:r>
      <w:r>
        <w:rPr>
          <w:spacing w:val="-58"/>
        </w:rPr>
        <w:t xml:space="preserve"> </w:t>
      </w:r>
      <w:r>
        <w:t>in the rankings, taking 21st place in the 2021 rankings while it was in 25th place in the 2020</w:t>
      </w:r>
      <w:r>
        <w:rPr>
          <w:spacing w:val="1"/>
        </w:rPr>
        <w:t xml:space="preserve"> </w:t>
      </w:r>
      <w:r>
        <w:t>rankings.</w:t>
      </w:r>
    </w:p>
    <w:p w:rsidR="00A56FE9" w:rsidRDefault="00000000">
      <w:pPr>
        <w:spacing w:before="120"/>
        <w:ind w:left="138" w:right="275"/>
        <w:jc w:val="both"/>
        <w:rPr>
          <w:sz w:val="24"/>
        </w:rPr>
      </w:pPr>
      <w:r>
        <w:rPr>
          <w:sz w:val="24"/>
        </w:rPr>
        <w:t>According to the EIS, Croatia's strength lies in the area of innovators, the use of information</w:t>
      </w:r>
      <w:r>
        <w:rPr>
          <w:spacing w:val="1"/>
          <w:sz w:val="24"/>
        </w:rPr>
        <w:t xml:space="preserve"> </w:t>
      </w:r>
      <w:r>
        <w:rPr>
          <w:sz w:val="24"/>
        </w:rPr>
        <w:t xml:space="preserve">technology and connectivity. The three best indicators include </w:t>
      </w:r>
      <w:r>
        <w:rPr>
          <w:i/>
          <w:sz w:val="24"/>
        </w:rPr>
        <w:t>product innovators</w:t>
      </w:r>
      <w:r>
        <w:rPr>
          <w:sz w:val="24"/>
        </w:rPr>
        <w:t xml:space="preserve">, </w:t>
      </w:r>
      <w:r>
        <w:rPr>
          <w:i/>
          <w:sz w:val="24"/>
        </w:rPr>
        <w:t>business</w:t>
      </w:r>
      <w:r>
        <w:rPr>
          <w:i/>
          <w:spacing w:val="1"/>
          <w:sz w:val="24"/>
        </w:rPr>
        <w:t xml:space="preserve"> </w:t>
      </w:r>
      <w:r>
        <w:rPr>
          <w:i/>
          <w:sz w:val="24"/>
        </w:rPr>
        <w:t xml:space="preserve">process innovators </w:t>
      </w:r>
      <w:r>
        <w:rPr>
          <w:sz w:val="24"/>
        </w:rPr>
        <w:t xml:space="preserve">and </w:t>
      </w:r>
      <w:r>
        <w:rPr>
          <w:i/>
          <w:sz w:val="24"/>
        </w:rPr>
        <w:t>enterprises providing ICT training</w:t>
      </w:r>
      <w:r>
        <w:rPr>
          <w:sz w:val="24"/>
        </w:rPr>
        <w:t>. Croatia has below-average results</w:t>
      </w:r>
      <w:r>
        <w:rPr>
          <w:spacing w:val="1"/>
          <w:sz w:val="24"/>
        </w:rPr>
        <w:t xml:space="preserve"> </w:t>
      </w:r>
      <w:r>
        <w:rPr>
          <w:sz w:val="24"/>
        </w:rPr>
        <w:t>for</w:t>
      </w:r>
      <w:r>
        <w:rPr>
          <w:spacing w:val="1"/>
          <w:sz w:val="24"/>
        </w:rPr>
        <w:t xml:space="preserve"> </w:t>
      </w:r>
      <w:r>
        <w:rPr>
          <w:sz w:val="24"/>
        </w:rPr>
        <w:t>the</w:t>
      </w:r>
      <w:r>
        <w:rPr>
          <w:spacing w:val="1"/>
          <w:sz w:val="24"/>
        </w:rPr>
        <w:t xml:space="preserve"> </w:t>
      </w:r>
      <w:r>
        <w:rPr>
          <w:sz w:val="24"/>
        </w:rPr>
        <w:t>indicators</w:t>
      </w:r>
      <w:r>
        <w:rPr>
          <w:spacing w:val="1"/>
          <w:sz w:val="24"/>
        </w:rPr>
        <w:t xml:space="preserve"> </w:t>
      </w:r>
      <w:r>
        <w:rPr>
          <w:i/>
          <w:sz w:val="24"/>
        </w:rPr>
        <w:t>in-house</w:t>
      </w:r>
      <w:r>
        <w:rPr>
          <w:i/>
          <w:spacing w:val="1"/>
          <w:sz w:val="24"/>
        </w:rPr>
        <w:t xml:space="preserve"> </w:t>
      </w:r>
      <w:r>
        <w:rPr>
          <w:i/>
          <w:sz w:val="24"/>
        </w:rPr>
        <w:t>business</w:t>
      </w:r>
      <w:r>
        <w:rPr>
          <w:i/>
          <w:spacing w:val="1"/>
          <w:sz w:val="24"/>
        </w:rPr>
        <w:t xml:space="preserve"> </w:t>
      </w:r>
      <w:r>
        <w:rPr>
          <w:i/>
          <w:sz w:val="24"/>
        </w:rPr>
        <w:t>process</w:t>
      </w:r>
      <w:r>
        <w:rPr>
          <w:i/>
          <w:spacing w:val="1"/>
          <w:sz w:val="24"/>
        </w:rPr>
        <w:t xml:space="preserve"> </w:t>
      </w:r>
      <w:r>
        <w:rPr>
          <w:i/>
          <w:sz w:val="24"/>
        </w:rPr>
        <w:t>innovators</w:t>
      </w:r>
      <w:r>
        <w:rPr>
          <w:sz w:val="24"/>
        </w:rPr>
        <w:t>,</w:t>
      </w:r>
      <w:r>
        <w:rPr>
          <w:spacing w:val="1"/>
          <w:sz w:val="24"/>
        </w:rPr>
        <w:t xml:space="preserve"> </w:t>
      </w:r>
      <w:r>
        <w:rPr>
          <w:i/>
          <w:sz w:val="24"/>
        </w:rPr>
        <w:t>innovators</w:t>
      </w:r>
      <w:r>
        <w:rPr>
          <w:i/>
          <w:spacing w:val="1"/>
          <w:sz w:val="24"/>
        </w:rPr>
        <w:t xml:space="preserve"> </w:t>
      </w:r>
      <w:r>
        <w:rPr>
          <w:i/>
          <w:sz w:val="24"/>
        </w:rPr>
        <w:t>that</w:t>
      </w:r>
      <w:r>
        <w:rPr>
          <w:i/>
          <w:spacing w:val="1"/>
          <w:sz w:val="24"/>
        </w:rPr>
        <w:t xml:space="preserve"> </w:t>
      </w:r>
      <w:r>
        <w:rPr>
          <w:i/>
          <w:sz w:val="24"/>
        </w:rPr>
        <w:t>do</w:t>
      </w:r>
      <w:r>
        <w:rPr>
          <w:i/>
          <w:spacing w:val="1"/>
          <w:sz w:val="24"/>
        </w:rPr>
        <w:t xml:space="preserve"> </w:t>
      </w:r>
      <w:r>
        <w:rPr>
          <w:i/>
          <w:sz w:val="24"/>
        </w:rPr>
        <w:t>not</w:t>
      </w:r>
      <w:r>
        <w:rPr>
          <w:i/>
          <w:spacing w:val="1"/>
          <w:sz w:val="24"/>
        </w:rPr>
        <w:t xml:space="preserve"> </w:t>
      </w:r>
      <w:r>
        <w:rPr>
          <w:i/>
          <w:sz w:val="24"/>
        </w:rPr>
        <w:t>develop</w:t>
      </w:r>
      <w:r>
        <w:rPr>
          <w:i/>
          <w:spacing w:val="1"/>
          <w:sz w:val="24"/>
        </w:rPr>
        <w:t xml:space="preserve"> </w:t>
      </w:r>
      <w:r>
        <w:rPr>
          <w:i/>
          <w:sz w:val="24"/>
        </w:rPr>
        <w:t>innovations</w:t>
      </w:r>
      <w:r>
        <w:rPr>
          <w:i/>
          <w:spacing w:val="-1"/>
          <w:sz w:val="24"/>
        </w:rPr>
        <w:t xml:space="preserve"> </w:t>
      </w:r>
      <w:r>
        <w:rPr>
          <w:i/>
          <w:sz w:val="24"/>
        </w:rPr>
        <w:t xml:space="preserve">themselves </w:t>
      </w:r>
      <w:r>
        <w:rPr>
          <w:sz w:val="24"/>
        </w:rPr>
        <w:t xml:space="preserve">and </w:t>
      </w:r>
      <w:r>
        <w:rPr>
          <w:i/>
          <w:sz w:val="24"/>
        </w:rPr>
        <w:t>climate</w:t>
      </w:r>
      <w:r>
        <w:rPr>
          <w:i/>
          <w:spacing w:val="-1"/>
          <w:sz w:val="24"/>
        </w:rPr>
        <w:t xml:space="preserve"> </w:t>
      </w:r>
      <w:r>
        <w:rPr>
          <w:i/>
          <w:sz w:val="24"/>
        </w:rPr>
        <w:t>change</w:t>
      </w:r>
      <w:r>
        <w:rPr>
          <w:i/>
          <w:spacing w:val="-1"/>
          <w:sz w:val="24"/>
        </w:rPr>
        <w:t xml:space="preserve"> </w:t>
      </w:r>
      <w:r>
        <w:rPr>
          <w:i/>
          <w:sz w:val="24"/>
        </w:rPr>
        <w:t>indicators</w:t>
      </w:r>
      <w:r>
        <w:rPr>
          <w:sz w:val="24"/>
        </w:rPr>
        <w:t>.</w:t>
      </w:r>
    </w:p>
    <w:p w:rsidR="00A56FE9" w:rsidRDefault="00000000">
      <w:pPr>
        <w:pStyle w:val="Tijeloteksta"/>
        <w:spacing w:before="120"/>
        <w:ind w:right="277"/>
      </w:pPr>
      <w:r>
        <w:t>To</w:t>
      </w:r>
      <w:r>
        <w:rPr>
          <w:spacing w:val="-9"/>
        </w:rPr>
        <w:t xml:space="preserve"> </w:t>
      </w:r>
      <w:r>
        <w:t>strengthen</w:t>
      </w:r>
      <w:r>
        <w:rPr>
          <w:spacing w:val="-9"/>
        </w:rPr>
        <w:t xml:space="preserve"> </w:t>
      </w:r>
      <w:r>
        <w:t>the</w:t>
      </w:r>
      <w:r>
        <w:rPr>
          <w:spacing w:val="-9"/>
        </w:rPr>
        <w:t xml:space="preserve"> </w:t>
      </w:r>
      <w:r>
        <w:t>institutional</w:t>
      </w:r>
      <w:r>
        <w:rPr>
          <w:spacing w:val="-8"/>
        </w:rPr>
        <w:t xml:space="preserve"> </w:t>
      </w:r>
      <w:r>
        <w:t>framework,</w:t>
      </w:r>
      <w:r>
        <w:rPr>
          <w:spacing w:val="-6"/>
        </w:rPr>
        <w:t xml:space="preserve"> </w:t>
      </w:r>
      <w:r>
        <w:t>and</w:t>
      </w:r>
      <w:r>
        <w:rPr>
          <w:spacing w:val="-8"/>
        </w:rPr>
        <w:t xml:space="preserve"> </w:t>
      </w:r>
      <w:r>
        <w:t>based</w:t>
      </w:r>
      <w:r>
        <w:rPr>
          <w:spacing w:val="-9"/>
        </w:rPr>
        <w:t xml:space="preserve"> </w:t>
      </w:r>
      <w:r>
        <w:t>on</w:t>
      </w:r>
      <w:r>
        <w:rPr>
          <w:spacing w:val="-9"/>
        </w:rPr>
        <w:t xml:space="preserve"> </w:t>
      </w:r>
      <w:r>
        <w:t>the</w:t>
      </w:r>
      <w:r>
        <w:rPr>
          <w:spacing w:val="-10"/>
        </w:rPr>
        <w:t xml:space="preserve"> </w:t>
      </w:r>
      <w:r>
        <w:t>Council</w:t>
      </w:r>
      <w:r>
        <w:rPr>
          <w:spacing w:val="-7"/>
        </w:rPr>
        <w:t xml:space="preserve"> </w:t>
      </w:r>
      <w:r>
        <w:t>Recommendation</w:t>
      </w:r>
      <w:r>
        <w:rPr>
          <w:spacing w:val="-9"/>
        </w:rPr>
        <w:t xml:space="preserve"> </w:t>
      </w:r>
      <w:r>
        <w:t>(2016/C</w:t>
      </w:r>
      <w:r>
        <w:rPr>
          <w:spacing w:val="-58"/>
        </w:rPr>
        <w:t xml:space="preserve"> </w:t>
      </w:r>
      <w:r>
        <w:t>349/01) and the Government Conclusion of 30 April 2020, the Croatian Productivity and</w:t>
      </w:r>
      <w:r>
        <w:rPr>
          <w:spacing w:val="1"/>
        </w:rPr>
        <w:t xml:space="preserve"> </w:t>
      </w:r>
      <w:r>
        <w:t>Competitiveness</w:t>
      </w:r>
      <w:r>
        <w:rPr>
          <w:spacing w:val="-1"/>
        </w:rPr>
        <w:t xml:space="preserve"> </w:t>
      </w:r>
      <w:r>
        <w:t>Committee</w:t>
      </w:r>
      <w:r>
        <w:rPr>
          <w:spacing w:val="-2"/>
        </w:rPr>
        <w:t xml:space="preserve"> </w:t>
      </w:r>
      <w:r>
        <w:t>was established on 1</w:t>
      </w:r>
      <w:r>
        <w:rPr>
          <w:spacing w:val="-1"/>
        </w:rPr>
        <w:t xml:space="preserve"> </w:t>
      </w:r>
      <w:r>
        <w:t>March 2021.</w:t>
      </w:r>
    </w:p>
    <w:p w:rsidR="00A56FE9" w:rsidRDefault="00000000">
      <w:pPr>
        <w:pStyle w:val="Tijeloteksta"/>
        <w:spacing w:before="120"/>
        <w:ind w:right="275"/>
      </w:pPr>
      <w:r>
        <w:t>To</w:t>
      </w:r>
      <w:r>
        <w:rPr>
          <w:spacing w:val="-11"/>
        </w:rPr>
        <w:t xml:space="preserve"> </w:t>
      </w:r>
      <w:r>
        <w:t>promote</w:t>
      </w:r>
      <w:r>
        <w:rPr>
          <w:spacing w:val="-12"/>
        </w:rPr>
        <w:t xml:space="preserve"> </w:t>
      </w:r>
      <w:r>
        <w:t>investment</w:t>
      </w:r>
      <w:r>
        <w:rPr>
          <w:spacing w:val="-10"/>
        </w:rPr>
        <w:t xml:space="preserve"> </w:t>
      </w:r>
      <w:r>
        <w:t>in</w:t>
      </w:r>
      <w:r>
        <w:rPr>
          <w:spacing w:val="-11"/>
        </w:rPr>
        <w:t xml:space="preserve"> </w:t>
      </w:r>
      <w:r>
        <w:t>research</w:t>
      </w:r>
      <w:r>
        <w:rPr>
          <w:spacing w:val="-8"/>
        </w:rPr>
        <w:t xml:space="preserve"> </w:t>
      </w:r>
      <w:r>
        <w:t>and</w:t>
      </w:r>
      <w:r>
        <w:rPr>
          <w:spacing w:val="-11"/>
        </w:rPr>
        <w:t xml:space="preserve"> </w:t>
      </w:r>
      <w:r>
        <w:t>innovation,</w:t>
      </w:r>
      <w:r>
        <w:rPr>
          <w:spacing w:val="-10"/>
        </w:rPr>
        <w:t xml:space="preserve"> </w:t>
      </w:r>
      <w:r>
        <w:t>under</w:t>
      </w:r>
      <w:r>
        <w:rPr>
          <w:spacing w:val="-12"/>
        </w:rPr>
        <w:t xml:space="preserve"> </w:t>
      </w:r>
      <w:r>
        <w:t>the</w:t>
      </w:r>
      <w:r>
        <w:rPr>
          <w:spacing w:val="-11"/>
        </w:rPr>
        <w:t xml:space="preserve"> </w:t>
      </w:r>
      <w:r>
        <w:t>Act</w:t>
      </w:r>
      <w:r>
        <w:rPr>
          <w:spacing w:val="-11"/>
        </w:rPr>
        <w:t xml:space="preserve"> </w:t>
      </w:r>
      <w:r>
        <w:t>on</w:t>
      </w:r>
      <w:r>
        <w:rPr>
          <w:spacing w:val="-10"/>
        </w:rPr>
        <w:t xml:space="preserve"> </w:t>
      </w:r>
      <w:r>
        <w:t>State</w:t>
      </w:r>
      <w:r>
        <w:rPr>
          <w:spacing w:val="-12"/>
        </w:rPr>
        <w:t xml:space="preserve"> </w:t>
      </w:r>
      <w:r>
        <w:t>Aid</w:t>
      </w:r>
      <w:r>
        <w:rPr>
          <w:spacing w:val="-6"/>
        </w:rPr>
        <w:t xml:space="preserve"> </w:t>
      </w:r>
      <w:r>
        <w:t>for</w:t>
      </w:r>
      <w:r>
        <w:rPr>
          <w:spacing w:val="-13"/>
        </w:rPr>
        <w:t xml:space="preserve"> </w:t>
      </w:r>
      <w:r>
        <w:t>Research</w:t>
      </w:r>
      <w:r>
        <w:rPr>
          <w:spacing w:val="-8"/>
        </w:rPr>
        <w:t xml:space="preserve"> </w:t>
      </w:r>
      <w:r>
        <w:t>and</w:t>
      </w:r>
      <w:r>
        <w:rPr>
          <w:spacing w:val="-58"/>
        </w:rPr>
        <w:t xml:space="preserve"> </w:t>
      </w:r>
      <w:r>
        <w:t>Development Projects implemented since February 2019, the aid is granted as a tax relief. So</w:t>
      </w:r>
      <w:r>
        <w:rPr>
          <w:spacing w:val="1"/>
        </w:rPr>
        <w:t xml:space="preserve"> </w:t>
      </w:r>
      <w:r>
        <w:t>far, 28 Grant Beneficiary Status Certificates have been issued for 2019. The value of the</w:t>
      </w:r>
      <w:r>
        <w:rPr>
          <w:spacing w:val="1"/>
        </w:rPr>
        <w:t xml:space="preserve"> </w:t>
      </w:r>
      <w:r>
        <w:t>approved planned support is HRK 96.7 million (total project value HRK 478.1 million). In</w:t>
      </w:r>
      <w:r>
        <w:rPr>
          <w:spacing w:val="1"/>
        </w:rPr>
        <w:t xml:space="preserve"> </w:t>
      </w:r>
      <w:r>
        <w:t>2020,</w:t>
      </w:r>
      <w:r>
        <w:rPr>
          <w:spacing w:val="-2"/>
        </w:rPr>
        <w:t xml:space="preserve"> </w:t>
      </w:r>
      <w:r>
        <w:t>27</w:t>
      </w:r>
      <w:r>
        <w:rPr>
          <w:spacing w:val="-1"/>
        </w:rPr>
        <w:t xml:space="preserve"> </w:t>
      </w:r>
      <w:r>
        <w:t>Grant</w:t>
      </w:r>
      <w:r>
        <w:rPr>
          <w:spacing w:val="-1"/>
        </w:rPr>
        <w:t xml:space="preserve"> </w:t>
      </w:r>
      <w:r>
        <w:t>Beneficiary</w:t>
      </w:r>
      <w:r>
        <w:rPr>
          <w:spacing w:val="-7"/>
        </w:rPr>
        <w:t xml:space="preserve"> </w:t>
      </w:r>
      <w:r>
        <w:t>Status</w:t>
      </w:r>
      <w:r>
        <w:rPr>
          <w:spacing w:val="-1"/>
        </w:rPr>
        <w:t xml:space="preserve"> </w:t>
      </w:r>
      <w:r>
        <w:t>Certificates</w:t>
      </w:r>
      <w:r>
        <w:rPr>
          <w:spacing w:val="-1"/>
        </w:rPr>
        <w:t xml:space="preserve"> </w:t>
      </w:r>
      <w:r>
        <w:t>were</w:t>
      </w:r>
      <w:r>
        <w:rPr>
          <w:spacing w:val="-3"/>
        </w:rPr>
        <w:t xml:space="preserve"> </w:t>
      </w:r>
      <w:r>
        <w:t>issued.</w:t>
      </w:r>
      <w:r>
        <w:rPr>
          <w:spacing w:val="-1"/>
        </w:rPr>
        <w:t xml:space="preserve"> </w:t>
      </w:r>
      <w:r>
        <w:t>The</w:t>
      </w:r>
      <w:r>
        <w:rPr>
          <w:spacing w:val="-3"/>
        </w:rPr>
        <w:t xml:space="preserve"> </w:t>
      </w:r>
      <w:r>
        <w:t>value</w:t>
      </w:r>
      <w:r>
        <w:rPr>
          <w:spacing w:val="-1"/>
        </w:rPr>
        <w:t xml:space="preserve"> </w:t>
      </w:r>
      <w:r>
        <w:t>of</w:t>
      </w:r>
      <w:r>
        <w:rPr>
          <w:spacing w:val="-4"/>
        </w:rPr>
        <w:t xml:space="preserve"> </w:t>
      </w:r>
      <w:r>
        <w:t>the</w:t>
      </w:r>
      <w:r>
        <w:rPr>
          <w:spacing w:val="-1"/>
        </w:rPr>
        <w:t xml:space="preserve"> </w:t>
      </w:r>
      <w:r>
        <w:t>approved</w:t>
      </w:r>
      <w:r>
        <w:rPr>
          <w:spacing w:val="-1"/>
        </w:rPr>
        <w:t xml:space="preserve"> </w:t>
      </w:r>
      <w:r>
        <w:t>planned</w:t>
      </w:r>
      <w:r>
        <w:rPr>
          <w:spacing w:val="-58"/>
        </w:rPr>
        <w:t xml:space="preserve"> </w:t>
      </w:r>
      <w:r>
        <w:t>support</w:t>
      </w:r>
      <w:r>
        <w:rPr>
          <w:spacing w:val="-1"/>
        </w:rPr>
        <w:t xml:space="preserve"> </w:t>
      </w:r>
      <w:r>
        <w:t>is HRK 19.2 million (total project value</w:t>
      </w:r>
      <w:r>
        <w:rPr>
          <w:spacing w:val="-1"/>
        </w:rPr>
        <w:t xml:space="preserve"> </w:t>
      </w:r>
      <w:r>
        <w:t>HRK 95.15 million).</w:t>
      </w:r>
    </w:p>
    <w:p w:rsidR="00A56FE9" w:rsidRDefault="00000000">
      <w:pPr>
        <w:pStyle w:val="Tijeloteksta"/>
        <w:spacing w:before="121"/>
        <w:ind w:right="273"/>
      </w:pPr>
      <w:r>
        <w:t>Furthermore,</w:t>
      </w:r>
      <w:r>
        <w:rPr>
          <w:spacing w:val="1"/>
        </w:rPr>
        <w:t xml:space="preserve"> </w:t>
      </w:r>
      <w:r>
        <w:t>to</w:t>
      </w:r>
      <w:r>
        <w:rPr>
          <w:spacing w:val="1"/>
        </w:rPr>
        <w:t xml:space="preserve"> </w:t>
      </w:r>
      <w:r>
        <w:t>promote</w:t>
      </w:r>
      <w:r>
        <w:rPr>
          <w:spacing w:val="1"/>
        </w:rPr>
        <w:t xml:space="preserve"> </w:t>
      </w:r>
      <w:r>
        <w:t>investment</w:t>
      </w:r>
      <w:r>
        <w:rPr>
          <w:spacing w:val="1"/>
        </w:rPr>
        <w:t xml:space="preserve"> </w:t>
      </w:r>
      <w:r>
        <w:t>in</w:t>
      </w:r>
      <w:r>
        <w:rPr>
          <w:spacing w:val="1"/>
        </w:rPr>
        <w:t xml:space="preserve"> </w:t>
      </w:r>
      <w:r>
        <w:t>research</w:t>
      </w:r>
      <w:r>
        <w:rPr>
          <w:spacing w:val="1"/>
        </w:rPr>
        <w:t xml:space="preserve"> </w:t>
      </w:r>
      <w:r>
        <w:t>and</w:t>
      </w:r>
      <w:r>
        <w:rPr>
          <w:spacing w:val="1"/>
        </w:rPr>
        <w:t xml:space="preserve"> </w:t>
      </w:r>
      <w:r>
        <w:t>innovation,</w:t>
      </w:r>
      <w:r>
        <w:rPr>
          <w:spacing w:val="1"/>
        </w:rPr>
        <w:t xml:space="preserve"> </w:t>
      </w:r>
      <w:r>
        <w:t>the National</w:t>
      </w:r>
      <w:r>
        <w:rPr>
          <w:spacing w:val="1"/>
        </w:rPr>
        <w:t xml:space="preserve"> </w:t>
      </w:r>
      <w:r>
        <w:t>Innovation</w:t>
      </w:r>
      <w:r>
        <w:rPr>
          <w:spacing w:val="1"/>
        </w:rPr>
        <w:t xml:space="preserve"> </w:t>
      </w:r>
      <w:r>
        <w:t>System (NIS) has been strengthened and preconditions have been created for bridging the gap</w:t>
      </w:r>
      <w:r>
        <w:rPr>
          <w:spacing w:val="1"/>
        </w:rPr>
        <w:t xml:space="preserve"> </w:t>
      </w:r>
      <w:r>
        <w:t>between the research and business sectors, for the efficient functioning of the system and its</w:t>
      </w:r>
      <w:r>
        <w:rPr>
          <w:spacing w:val="1"/>
        </w:rPr>
        <w:t xml:space="preserve"> </w:t>
      </w:r>
      <w:r>
        <w:t>long-term sustainability. The mid-term evaluation of the S3 strategy is complete, while the ex-</w:t>
      </w:r>
      <w:r>
        <w:rPr>
          <w:spacing w:val="-57"/>
        </w:rPr>
        <w:t xml:space="preserve"> </w:t>
      </w:r>
      <w:r>
        <w:t>post evaluation of the S3 strategy and the development of the S3 for the current period (2021</w:t>
      </w:r>
      <w:r>
        <w:rPr>
          <w:spacing w:val="1"/>
        </w:rPr>
        <w:t xml:space="preserve"> </w:t>
      </w:r>
      <w:r>
        <w:t>to 2029) are currently underway, which will provide further development and guidelines for</w:t>
      </w:r>
      <w:r>
        <w:rPr>
          <w:spacing w:val="1"/>
        </w:rPr>
        <w:t xml:space="preserve"> </w:t>
      </w:r>
      <w:r>
        <w:t>investment</w:t>
      </w:r>
      <w:r>
        <w:rPr>
          <w:spacing w:val="-1"/>
        </w:rPr>
        <w:t xml:space="preserve"> </w:t>
      </w:r>
      <w:r>
        <w:t>in R&amp;D in Croatia.</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624667501"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986430242" name="Rectangle 158"/>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648B40D" id="Group 157"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LGWIzRQAgAAEAUAAA4AAAAAAAAAAAAAAAAALgIAAGRycy9lMm9Eb2MueG1sUEsBAi0AFAAGAAgA&#10;AAAhAOjoSp3cAAAAAwEAAA8AAAAAAAAAAAAAAAAAqgQAAGRycy9kb3ducmV2LnhtbFBLBQYAAAAA&#10;BAAEAPMAAACzBQAAAAA=&#10;">
                <v:rect id="Rectangle 158"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6"/>
      </w:pPr>
      <w:r>
        <w:t>The NRRP component C3.2 plans to reform the public research sector by establishing an</w:t>
      </w:r>
      <w:r>
        <w:rPr>
          <w:spacing w:val="1"/>
        </w:rPr>
        <w:t xml:space="preserve"> </w:t>
      </w:r>
      <w:r>
        <w:t>adequate</w:t>
      </w:r>
      <w:r>
        <w:rPr>
          <w:spacing w:val="5"/>
        </w:rPr>
        <w:t xml:space="preserve"> </w:t>
      </w:r>
      <w:r>
        <w:t>model</w:t>
      </w:r>
      <w:r>
        <w:rPr>
          <w:spacing w:val="6"/>
        </w:rPr>
        <w:t xml:space="preserve"> </w:t>
      </w:r>
      <w:r>
        <w:t>of</w:t>
      </w:r>
      <w:r>
        <w:rPr>
          <w:spacing w:val="5"/>
        </w:rPr>
        <w:t xml:space="preserve"> </w:t>
      </w:r>
      <w:r>
        <w:t>funding</w:t>
      </w:r>
      <w:r>
        <w:rPr>
          <w:spacing w:val="3"/>
        </w:rPr>
        <w:t xml:space="preserve"> </w:t>
      </w:r>
      <w:r>
        <w:t>and</w:t>
      </w:r>
      <w:r>
        <w:rPr>
          <w:spacing w:val="5"/>
        </w:rPr>
        <w:t xml:space="preserve"> </w:t>
      </w:r>
      <w:r>
        <w:t>organisation</w:t>
      </w:r>
      <w:r>
        <w:rPr>
          <w:spacing w:val="5"/>
        </w:rPr>
        <w:t xml:space="preserve"> </w:t>
      </w:r>
      <w:r>
        <w:t>of</w:t>
      </w:r>
      <w:r>
        <w:rPr>
          <w:spacing w:val="5"/>
        </w:rPr>
        <w:t xml:space="preserve"> </w:t>
      </w:r>
      <w:r>
        <w:t>universities</w:t>
      </w:r>
      <w:r>
        <w:rPr>
          <w:spacing w:val="5"/>
        </w:rPr>
        <w:t xml:space="preserve"> </w:t>
      </w:r>
      <w:r>
        <w:t>and</w:t>
      </w:r>
      <w:r>
        <w:rPr>
          <w:spacing w:val="5"/>
        </w:rPr>
        <w:t xml:space="preserve"> </w:t>
      </w:r>
      <w:r>
        <w:t>research</w:t>
      </w:r>
      <w:r>
        <w:rPr>
          <w:spacing w:val="5"/>
        </w:rPr>
        <w:t xml:space="preserve"> </w:t>
      </w:r>
      <w:r>
        <w:t>institutes</w:t>
      </w:r>
      <w:r>
        <w:rPr>
          <w:spacing w:val="6"/>
        </w:rPr>
        <w:t xml:space="preserve"> </w:t>
      </w:r>
      <w:r>
        <w:t>(C3.2.</w:t>
      </w:r>
      <w:r>
        <w:rPr>
          <w:spacing w:val="5"/>
        </w:rPr>
        <w:t xml:space="preserve"> </w:t>
      </w:r>
      <w:r>
        <w:t>R1),</w:t>
      </w:r>
    </w:p>
    <w:p w:rsidR="00A56FE9" w:rsidRDefault="00A56FE9">
      <w:pPr>
        <w:sectPr w:rsidR="00A56FE9" w:rsidSect="00AB1E70">
          <w:pgSz w:w="11910" w:h="16840"/>
          <w:pgMar w:top="1340" w:right="1140" w:bottom="960" w:left="1280" w:header="0" w:footer="779" w:gutter="0"/>
          <w:cols w:space="720"/>
        </w:sectPr>
      </w:pPr>
    </w:p>
    <w:p w:rsidR="00A56FE9" w:rsidRDefault="00000000">
      <w:pPr>
        <w:pStyle w:val="Tijeloteksta"/>
        <w:spacing w:before="74"/>
        <w:ind w:right="275"/>
      </w:pPr>
      <w:r>
        <w:rPr>
          <w:spacing w:val="-1"/>
        </w:rPr>
        <w:t>setting</w:t>
      </w:r>
      <w:r>
        <w:rPr>
          <w:spacing w:val="-14"/>
        </w:rPr>
        <w:t xml:space="preserve"> </w:t>
      </w:r>
      <w:r>
        <w:t>the</w:t>
      </w:r>
      <w:r>
        <w:rPr>
          <w:spacing w:val="-13"/>
        </w:rPr>
        <w:t xml:space="preserve"> </w:t>
      </w:r>
      <w:r>
        <w:t>conditions</w:t>
      </w:r>
      <w:r>
        <w:rPr>
          <w:spacing w:val="-12"/>
        </w:rPr>
        <w:t xml:space="preserve"> </w:t>
      </w:r>
      <w:r>
        <w:t>for</w:t>
      </w:r>
      <w:r>
        <w:rPr>
          <w:spacing w:val="-11"/>
        </w:rPr>
        <w:t xml:space="preserve"> </w:t>
      </w:r>
      <w:r>
        <w:t>human</w:t>
      </w:r>
      <w:r>
        <w:rPr>
          <w:spacing w:val="-13"/>
        </w:rPr>
        <w:t xml:space="preserve"> </w:t>
      </w:r>
      <w:r>
        <w:t>resources</w:t>
      </w:r>
      <w:r>
        <w:rPr>
          <w:spacing w:val="-12"/>
        </w:rPr>
        <w:t xml:space="preserve"> </w:t>
      </w:r>
      <w:r>
        <w:t>development</w:t>
      </w:r>
      <w:r>
        <w:rPr>
          <w:spacing w:val="-12"/>
        </w:rPr>
        <w:t xml:space="preserve"> </w:t>
      </w:r>
      <w:r>
        <w:t>and</w:t>
      </w:r>
      <w:r>
        <w:rPr>
          <w:spacing w:val="-12"/>
        </w:rPr>
        <w:t xml:space="preserve"> </w:t>
      </w:r>
      <w:r>
        <w:t>a</w:t>
      </w:r>
      <w:r>
        <w:rPr>
          <w:spacing w:val="-13"/>
        </w:rPr>
        <w:t xml:space="preserve"> </w:t>
      </w:r>
      <w:r>
        <w:t>framework</w:t>
      </w:r>
      <w:r>
        <w:rPr>
          <w:spacing w:val="-12"/>
        </w:rPr>
        <w:t xml:space="preserve"> </w:t>
      </w:r>
      <w:r>
        <w:t>for</w:t>
      </w:r>
      <w:r>
        <w:rPr>
          <w:spacing w:val="-13"/>
        </w:rPr>
        <w:t xml:space="preserve"> </w:t>
      </w:r>
      <w:r>
        <w:t>attracting</w:t>
      </w:r>
      <w:r>
        <w:rPr>
          <w:spacing w:val="-15"/>
        </w:rPr>
        <w:t xml:space="preserve"> </w:t>
      </w:r>
      <w:r>
        <w:t>students</w:t>
      </w:r>
      <w:r>
        <w:rPr>
          <w:spacing w:val="-57"/>
        </w:rPr>
        <w:t xml:space="preserve"> </w:t>
      </w:r>
      <w:r>
        <w:t>and</w:t>
      </w:r>
      <w:r>
        <w:rPr>
          <w:spacing w:val="-4"/>
        </w:rPr>
        <w:t xml:space="preserve"> </w:t>
      </w:r>
      <w:r>
        <w:t>researchers</w:t>
      </w:r>
      <w:r>
        <w:rPr>
          <w:spacing w:val="-4"/>
        </w:rPr>
        <w:t xml:space="preserve"> </w:t>
      </w:r>
      <w:r>
        <w:t>into</w:t>
      </w:r>
      <w:r>
        <w:rPr>
          <w:spacing w:val="-3"/>
        </w:rPr>
        <w:t xml:space="preserve"> </w:t>
      </w:r>
      <w:r>
        <w:t>STEM</w:t>
      </w:r>
      <w:r>
        <w:rPr>
          <w:spacing w:val="-4"/>
        </w:rPr>
        <w:t xml:space="preserve"> </w:t>
      </w:r>
      <w:r>
        <w:t>and</w:t>
      </w:r>
      <w:r>
        <w:rPr>
          <w:spacing w:val="-1"/>
        </w:rPr>
        <w:t xml:space="preserve"> </w:t>
      </w:r>
      <w:r>
        <w:t>ICT</w:t>
      </w:r>
      <w:r>
        <w:rPr>
          <w:spacing w:val="-3"/>
        </w:rPr>
        <w:t xml:space="preserve"> </w:t>
      </w:r>
      <w:r>
        <w:t>areas</w:t>
      </w:r>
      <w:r>
        <w:rPr>
          <w:spacing w:val="-4"/>
        </w:rPr>
        <w:t xml:space="preserve"> </w:t>
      </w:r>
      <w:r>
        <w:t>(C3.2.</w:t>
      </w:r>
      <w:r>
        <w:rPr>
          <w:spacing w:val="-3"/>
        </w:rPr>
        <w:t xml:space="preserve"> </w:t>
      </w:r>
      <w:r>
        <w:t>R2</w:t>
      </w:r>
      <w:r>
        <w:rPr>
          <w:spacing w:val="-4"/>
        </w:rPr>
        <w:t xml:space="preserve"> </w:t>
      </w:r>
      <w:r>
        <w:t>)</w:t>
      </w:r>
      <w:r>
        <w:rPr>
          <w:spacing w:val="-2"/>
        </w:rPr>
        <w:t xml:space="preserve"> </w:t>
      </w:r>
      <w:r>
        <w:t>while</w:t>
      </w:r>
      <w:r>
        <w:rPr>
          <w:spacing w:val="-3"/>
        </w:rPr>
        <w:t xml:space="preserve"> </w:t>
      </w:r>
      <w:r>
        <w:t>improving</w:t>
      </w:r>
      <w:r>
        <w:rPr>
          <w:spacing w:val="-6"/>
        </w:rPr>
        <w:t xml:space="preserve"> </w:t>
      </w:r>
      <w:r>
        <w:t>the</w:t>
      </w:r>
      <w:r>
        <w:rPr>
          <w:spacing w:val="-1"/>
        </w:rPr>
        <w:t xml:space="preserve"> </w:t>
      </w:r>
      <w:r>
        <w:t>efficiency</w:t>
      </w:r>
      <w:r>
        <w:rPr>
          <w:spacing w:val="-11"/>
        </w:rPr>
        <w:t xml:space="preserve"> </w:t>
      </w:r>
      <w:r>
        <w:t>of</w:t>
      </w:r>
      <w:r>
        <w:rPr>
          <w:spacing w:val="-5"/>
        </w:rPr>
        <w:t xml:space="preserve"> </w:t>
      </w:r>
      <w:r>
        <w:t>public</w:t>
      </w:r>
      <w:r>
        <w:rPr>
          <w:spacing w:val="-57"/>
        </w:rPr>
        <w:t xml:space="preserve"> </w:t>
      </w:r>
      <w:r>
        <w:t>investment</w:t>
      </w:r>
      <w:r>
        <w:rPr>
          <w:spacing w:val="1"/>
        </w:rPr>
        <w:t xml:space="preserve"> </w:t>
      </w:r>
      <w:r>
        <w:t>in</w:t>
      </w:r>
      <w:r>
        <w:rPr>
          <w:spacing w:val="1"/>
        </w:rPr>
        <w:t xml:space="preserve"> </w:t>
      </w:r>
      <w:r>
        <w:t>research,</w:t>
      </w:r>
      <w:r>
        <w:rPr>
          <w:spacing w:val="1"/>
        </w:rPr>
        <w:t xml:space="preserve"> </w:t>
      </w:r>
      <w:r>
        <w:t>development</w:t>
      </w:r>
      <w:r>
        <w:rPr>
          <w:spacing w:val="1"/>
        </w:rPr>
        <w:t xml:space="preserve"> </w:t>
      </w:r>
      <w:r>
        <w:t>and</w:t>
      </w:r>
      <w:r>
        <w:rPr>
          <w:spacing w:val="1"/>
        </w:rPr>
        <w:t xml:space="preserve"> </w:t>
      </w:r>
      <w:r>
        <w:t>innovation</w:t>
      </w:r>
      <w:r>
        <w:rPr>
          <w:spacing w:val="1"/>
        </w:rPr>
        <w:t xml:space="preserve"> </w:t>
      </w:r>
      <w:r>
        <w:t>(C3.2.</w:t>
      </w:r>
      <w:r>
        <w:rPr>
          <w:spacing w:val="1"/>
        </w:rPr>
        <w:t xml:space="preserve"> </w:t>
      </w:r>
      <w:r>
        <w:t>R3).</w:t>
      </w:r>
      <w:r>
        <w:rPr>
          <w:spacing w:val="1"/>
        </w:rPr>
        <w:t xml:space="preserve"> </w:t>
      </w:r>
      <w:r>
        <w:t>Reform</w:t>
      </w:r>
      <w:r>
        <w:rPr>
          <w:spacing w:val="1"/>
        </w:rPr>
        <w:t xml:space="preserve"> </w:t>
      </w:r>
      <w:r>
        <w:t>and</w:t>
      </w:r>
      <w:r>
        <w:rPr>
          <w:spacing w:val="1"/>
        </w:rPr>
        <w:t xml:space="preserve"> </w:t>
      </w:r>
      <w:r>
        <w:t>investment</w:t>
      </w:r>
      <w:r>
        <w:rPr>
          <w:spacing w:val="-57"/>
        </w:rPr>
        <w:t xml:space="preserve"> </w:t>
      </w:r>
      <w:r>
        <w:t>measures stemming from component C3.2. will ensure more intensive and efficient public</w:t>
      </w:r>
      <w:r>
        <w:rPr>
          <w:spacing w:val="1"/>
        </w:rPr>
        <w:t xml:space="preserve"> </w:t>
      </w:r>
      <w:r>
        <w:t>investment</w:t>
      </w:r>
      <w:r>
        <w:rPr>
          <w:spacing w:val="-1"/>
        </w:rPr>
        <w:t xml:space="preserve"> </w:t>
      </w:r>
      <w:r>
        <w:t>in research, development and innovation.</w:t>
      </w:r>
    </w:p>
    <w:p w:rsidR="00A56FE9" w:rsidRDefault="00000000">
      <w:pPr>
        <w:pStyle w:val="Tijeloteksta"/>
        <w:spacing w:before="121"/>
        <w:ind w:right="274"/>
      </w:pPr>
      <w:r>
        <w:t>The</w:t>
      </w:r>
      <w:r>
        <w:rPr>
          <w:spacing w:val="-10"/>
        </w:rPr>
        <w:t xml:space="preserve"> </w:t>
      </w:r>
      <w:r>
        <w:rPr>
          <w:b/>
        </w:rPr>
        <w:t>new</w:t>
      </w:r>
      <w:r>
        <w:rPr>
          <w:b/>
          <w:spacing w:val="-7"/>
        </w:rPr>
        <w:t xml:space="preserve"> </w:t>
      </w:r>
      <w:r>
        <w:rPr>
          <w:b/>
        </w:rPr>
        <w:t>Act</w:t>
      </w:r>
      <w:r>
        <w:rPr>
          <w:b/>
          <w:spacing w:val="-6"/>
        </w:rPr>
        <w:t xml:space="preserve"> </w:t>
      </w:r>
      <w:r>
        <w:rPr>
          <w:b/>
        </w:rPr>
        <w:t>on</w:t>
      </w:r>
      <w:r>
        <w:rPr>
          <w:b/>
          <w:spacing w:val="-8"/>
        </w:rPr>
        <w:t xml:space="preserve"> </w:t>
      </w:r>
      <w:r>
        <w:rPr>
          <w:b/>
        </w:rPr>
        <w:t>Scientific</w:t>
      </w:r>
      <w:r>
        <w:rPr>
          <w:b/>
          <w:spacing w:val="-9"/>
        </w:rPr>
        <w:t xml:space="preserve"> </w:t>
      </w:r>
      <w:r>
        <w:rPr>
          <w:b/>
        </w:rPr>
        <w:t>Activity</w:t>
      </w:r>
      <w:r>
        <w:rPr>
          <w:b/>
          <w:spacing w:val="-8"/>
        </w:rPr>
        <w:t xml:space="preserve"> </w:t>
      </w:r>
      <w:r>
        <w:rPr>
          <w:b/>
        </w:rPr>
        <w:t>and</w:t>
      </w:r>
      <w:r>
        <w:rPr>
          <w:b/>
          <w:spacing w:val="-8"/>
        </w:rPr>
        <w:t xml:space="preserve"> </w:t>
      </w:r>
      <w:r>
        <w:rPr>
          <w:b/>
        </w:rPr>
        <w:t>Higher</w:t>
      </w:r>
      <w:r>
        <w:rPr>
          <w:b/>
          <w:spacing w:val="-10"/>
        </w:rPr>
        <w:t xml:space="preserve"> </w:t>
      </w:r>
      <w:r>
        <w:rPr>
          <w:b/>
        </w:rPr>
        <w:t>Education</w:t>
      </w:r>
      <w:r>
        <w:rPr>
          <w:b/>
          <w:spacing w:val="-7"/>
        </w:rPr>
        <w:t xml:space="preserve"> </w:t>
      </w:r>
      <w:r>
        <w:rPr>
          <w:b/>
        </w:rPr>
        <w:t>is</w:t>
      </w:r>
      <w:r>
        <w:rPr>
          <w:b/>
          <w:spacing w:val="-4"/>
        </w:rPr>
        <w:t xml:space="preserve"> </w:t>
      </w:r>
      <w:r>
        <w:rPr>
          <w:b/>
        </w:rPr>
        <w:t>currently</w:t>
      </w:r>
      <w:r>
        <w:rPr>
          <w:b/>
          <w:spacing w:val="-8"/>
        </w:rPr>
        <w:t xml:space="preserve"> </w:t>
      </w:r>
      <w:r>
        <w:rPr>
          <w:b/>
        </w:rPr>
        <w:t>in</w:t>
      </w:r>
      <w:r>
        <w:rPr>
          <w:b/>
          <w:spacing w:val="-5"/>
        </w:rPr>
        <w:t xml:space="preserve"> </w:t>
      </w:r>
      <w:r>
        <w:rPr>
          <w:b/>
        </w:rPr>
        <w:t>the</w:t>
      </w:r>
      <w:r>
        <w:rPr>
          <w:b/>
          <w:spacing w:val="-8"/>
        </w:rPr>
        <w:t xml:space="preserve"> </w:t>
      </w:r>
      <w:r>
        <w:rPr>
          <w:b/>
        </w:rPr>
        <w:t>drafting</w:t>
      </w:r>
      <w:r>
        <w:rPr>
          <w:b/>
          <w:spacing w:val="-9"/>
        </w:rPr>
        <w:t xml:space="preserve"> </w:t>
      </w:r>
      <w:r>
        <w:rPr>
          <w:b/>
        </w:rPr>
        <w:t>stage</w:t>
      </w:r>
      <w:r>
        <w:rPr>
          <w:b/>
          <w:spacing w:val="-57"/>
        </w:rPr>
        <w:t xml:space="preserve"> </w:t>
      </w:r>
      <w:r>
        <w:t>and</w:t>
      </w:r>
      <w:r>
        <w:rPr>
          <w:spacing w:val="-6"/>
        </w:rPr>
        <w:t xml:space="preserve"> </w:t>
      </w:r>
      <w:r>
        <w:t>is</w:t>
      </w:r>
      <w:r>
        <w:rPr>
          <w:spacing w:val="-5"/>
        </w:rPr>
        <w:t xml:space="preserve"> </w:t>
      </w:r>
      <w:r>
        <w:t>expected</w:t>
      </w:r>
      <w:r>
        <w:rPr>
          <w:spacing w:val="-7"/>
        </w:rPr>
        <w:t xml:space="preserve"> </w:t>
      </w:r>
      <w:r>
        <w:t>to</w:t>
      </w:r>
      <w:r>
        <w:rPr>
          <w:spacing w:val="-5"/>
        </w:rPr>
        <w:t xml:space="preserve"> </w:t>
      </w:r>
      <w:r>
        <w:t>come</w:t>
      </w:r>
      <w:r>
        <w:rPr>
          <w:spacing w:val="-6"/>
        </w:rPr>
        <w:t xml:space="preserve"> </w:t>
      </w:r>
      <w:r>
        <w:t>into</w:t>
      </w:r>
      <w:r>
        <w:rPr>
          <w:spacing w:val="-6"/>
        </w:rPr>
        <w:t xml:space="preserve"> </w:t>
      </w:r>
      <w:r>
        <w:t>force</w:t>
      </w:r>
      <w:r>
        <w:rPr>
          <w:spacing w:val="-6"/>
        </w:rPr>
        <w:t xml:space="preserve"> </w:t>
      </w:r>
      <w:r>
        <w:t>by</w:t>
      </w:r>
      <w:r>
        <w:rPr>
          <w:spacing w:val="-10"/>
        </w:rPr>
        <w:t xml:space="preserve"> </w:t>
      </w:r>
      <w:r>
        <w:t>the</w:t>
      </w:r>
      <w:r>
        <w:rPr>
          <w:spacing w:val="-7"/>
        </w:rPr>
        <w:t xml:space="preserve"> </w:t>
      </w:r>
      <w:r>
        <w:t>end</w:t>
      </w:r>
      <w:r>
        <w:rPr>
          <w:spacing w:val="-5"/>
        </w:rPr>
        <w:t xml:space="preserve"> </w:t>
      </w:r>
      <w:r>
        <w:t>of</w:t>
      </w:r>
      <w:r>
        <w:rPr>
          <w:spacing w:val="-7"/>
        </w:rPr>
        <w:t xml:space="preserve"> </w:t>
      </w:r>
      <w:r>
        <w:t>Q3/2022.</w:t>
      </w:r>
      <w:r>
        <w:rPr>
          <w:spacing w:val="-3"/>
        </w:rPr>
        <w:t xml:space="preserve"> </w:t>
      </w:r>
      <w:r>
        <w:t>The</w:t>
      </w:r>
      <w:r>
        <w:rPr>
          <w:spacing w:val="-6"/>
        </w:rPr>
        <w:t xml:space="preserve"> </w:t>
      </w:r>
      <w:r>
        <w:t>new</w:t>
      </w:r>
      <w:r>
        <w:rPr>
          <w:spacing w:val="-7"/>
        </w:rPr>
        <w:t xml:space="preserve"> </w:t>
      </w:r>
      <w:r>
        <w:rPr>
          <w:b/>
        </w:rPr>
        <w:t>Act</w:t>
      </w:r>
      <w:r>
        <w:rPr>
          <w:b/>
          <w:spacing w:val="-6"/>
        </w:rPr>
        <w:t xml:space="preserve"> </w:t>
      </w:r>
      <w:r>
        <w:rPr>
          <w:b/>
        </w:rPr>
        <w:t>on</w:t>
      </w:r>
      <w:r>
        <w:rPr>
          <w:b/>
          <w:spacing w:val="-2"/>
        </w:rPr>
        <w:t xml:space="preserve"> </w:t>
      </w:r>
      <w:r>
        <w:rPr>
          <w:b/>
        </w:rPr>
        <w:t>Quality</w:t>
      </w:r>
      <w:r>
        <w:rPr>
          <w:b/>
          <w:spacing w:val="-7"/>
        </w:rPr>
        <w:t xml:space="preserve"> </w:t>
      </w:r>
      <w:r>
        <w:rPr>
          <w:b/>
        </w:rPr>
        <w:t>Assurance</w:t>
      </w:r>
      <w:r>
        <w:rPr>
          <w:b/>
          <w:spacing w:val="-57"/>
        </w:rPr>
        <w:t xml:space="preserve"> </w:t>
      </w:r>
      <w:r>
        <w:rPr>
          <w:b/>
        </w:rPr>
        <w:t xml:space="preserve">in Science and Higher Education </w:t>
      </w:r>
      <w:r>
        <w:t>is also in preparation, and is a precondition for reforming</w:t>
      </w:r>
      <w:r>
        <w:rPr>
          <w:spacing w:val="1"/>
        </w:rPr>
        <w:t xml:space="preserve"> </w:t>
      </w:r>
      <w:r>
        <w:t>human resources development in science. The new legislative framework will enable a more</w:t>
      </w:r>
      <w:r>
        <w:rPr>
          <w:spacing w:val="1"/>
        </w:rPr>
        <w:t xml:space="preserve"> </w:t>
      </w:r>
      <w:r>
        <w:t>modern, accessible and flexible promotion system for researchers, encouraging internal and</w:t>
      </w:r>
      <w:r>
        <w:rPr>
          <w:spacing w:val="1"/>
        </w:rPr>
        <w:t xml:space="preserve"> </w:t>
      </w:r>
      <w:r>
        <w:t>external mobility of researchers, career development in entrepreneurship and new funding</w:t>
      </w:r>
      <w:r>
        <w:rPr>
          <w:spacing w:val="1"/>
        </w:rPr>
        <w:t xml:space="preserve"> </w:t>
      </w:r>
      <w:r>
        <w:t>programs through NRRP. By the end of Q3/2022, the new Act on the Croatian Science</w:t>
      </w:r>
      <w:r>
        <w:rPr>
          <w:spacing w:val="1"/>
        </w:rPr>
        <w:t xml:space="preserve"> </w:t>
      </w:r>
      <w:r>
        <w:t>Foundation</w:t>
      </w:r>
      <w:r>
        <w:rPr>
          <w:spacing w:val="-5"/>
        </w:rPr>
        <w:t xml:space="preserve"> </w:t>
      </w:r>
      <w:r>
        <w:t>is</w:t>
      </w:r>
      <w:r>
        <w:rPr>
          <w:spacing w:val="-3"/>
        </w:rPr>
        <w:t xml:space="preserve"> </w:t>
      </w:r>
      <w:r>
        <w:t>expected</w:t>
      </w:r>
      <w:r>
        <w:rPr>
          <w:spacing w:val="-5"/>
        </w:rPr>
        <w:t xml:space="preserve"> </w:t>
      </w:r>
      <w:r>
        <w:t>to</w:t>
      </w:r>
      <w:r>
        <w:rPr>
          <w:spacing w:val="-4"/>
        </w:rPr>
        <w:t xml:space="preserve"> </w:t>
      </w:r>
      <w:r>
        <w:t>enter</w:t>
      </w:r>
      <w:r>
        <w:rPr>
          <w:spacing w:val="-6"/>
        </w:rPr>
        <w:t xml:space="preserve"> </w:t>
      </w:r>
      <w:r>
        <w:t>into</w:t>
      </w:r>
      <w:r>
        <w:rPr>
          <w:spacing w:val="-4"/>
        </w:rPr>
        <w:t xml:space="preserve"> </w:t>
      </w:r>
      <w:r>
        <w:t>force,</w:t>
      </w:r>
      <w:r>
        <w:rPr>
          <w:spacing w:val="-3"/>
        </w:rPr>
        <w:t xml:space="preserve"> </w:t>
      </w:r>
      <w:r>
        <w:t>facilitating</w:t>
      </w:r>
      <w:r>
        <w:rPr>
          <w:spacing w:val="-5"/>
        </w:rPr>
        <w:t xml:space="preserve"> </w:t>
      </w:r>
      <w:r>
        <w:t>the</w:t>
      </w:r>
      <w:r>
        <w:rPr>
          <w:spacing w:val="-5"/>
        </w:rPr>
        <w:t xml:space="preserve"> </w:t>
      </w:r>
      <w:r>
        <w:t>transformation</w:t>
      </w:r>
      <w:r>
        <w:rPr>
          <w:spacing w:val="-3"/>
        </w:rPr>
        <w:t xml:space="preserve"> </w:t>
      </w:r>
      <w:r>
        <w:t>and</w:t>
      </w:r>
      <w:r>
        <w:rPr>
          <w:spacing w:val="-5"/>
        </w:rPr>
        <w:t xml:space="preserve"> </w:t>
      </w:r>
      <w:r>
        <w:t>strengthening</w:t>
      </w:r>
      <w:r>
        <w:rPr>
          <w:spacing w:val="-6"/>
        </w:rPr>
        <w:t xml:space="preserve"> </w:t>
      </w:r>
      <w:r>
        <w:t>the</w:t>
      </w:r>
      <w:r>
        <w:rPr>
          <w:spacing w:val="-58"/>
        </w:rPr>
        <w:t xml:space="preserve"> </w:t>
      </w:r>
      <w:r>
        <w:t>Foundation's</w:t>
      </w:r>
      <w:r>
        <w:rPr>
          <w:spacing w:val="-4"/>
        </w:rPr>
        <w:t xml:space="preserve"> </w:t>
      </w:r>
      <w:r>
        <w:t>capacity</w:t>
      </w:r>
      <w:r>
        <w:rPr>
          <w:spacing w:val="-4"/>
        </w:rPr>
        <w:t xml:space="preserve"> </w:t>
      </w:r>
      <w:r>
        <w:t>as a</w:t>
      </w:r>
      <w:r>
        <w:rPr>
          <w:spacing w:val="-4"/>
        </w:rPr>
        <w:t xml:space="preserve"> </w:t>
      </w:r>
      <w:r>
        <w:t>body</w:t>
      </w:r>
      <w:r>
        <w:rPr>
          <w:spacing w:val="-8"/>
        </w:rPr>
        <w:t xml:space="preserve"> </w:t>
      </w:r>
      <w:r>
        <w:t>that</w:t>
      </w:r>
      <w:r>
        <w:rPr>
          <w:spacing w:val="-3"/>
        </w:rPr>
        <w:t xml:space="preserve"> </w:t>
      </w:r>
      <w:r>
        <w:t>will,</w:t>
      </w:r>
      <w:r>
        <w:rPr>
          <w:spacing w:val="-4"/>
        </w:rPr>
        <w:t xml:space="preserve"> </w:t>
      </w:r>
      <w:r>
        <w:t>with</w:t>
      </w:r>
      <w:r>
        <w:rPr>
          <w:spacing w:val="-2"/>
        </w:rPr>
        <w:t xml:space="preserve"> </w:t>
      </w:r>
      <w:r>
        <w:t>clearly</w:t>
      </w:r>
      <w:r>
        <w:rPr>
          <w:spacing w:val="-5"/>
        </w:rPr>
        <w:t xml:space="preserve"> </w:t>
      </w:r>
      <w:r>
        <w:t>agreed and</w:t>
      </w:r>
      <w:r>
        <w:rPr>
          <w:spacing w:val="-3"/>
        </w:rPr>
        <w:t xml:space="preserve"> </w:t>
      </w:r>
      <w:r>
        <w:t>defined competencies</w:t>
      </w:r>
      <w:r>
        <w:rPr>
          <w:spacing w:val="-4"/>
        </w:rPr>
        <w:t xml:space="preserve"> </w:t>
      </w:r>
      <w:r>
        <w:t>within</w:t>
      </w:r>
      <w:r>
        <w:rPr>
          <w:spacing w:val="-57"/>
        </w:rPr>
        <w:t xml:space="preserve"> </w:t>
      </w:r>
      <w:r>
        <w:t>inter-institutional</w:t>
      </w:r>
      <w:r>
        <w:rPr>
          <w:spacing w:val="-9"/>
        </w:rPr>
        <w:t xml:space="preserve"> </w:t>
      </w:r>
      <w:r>
        <w:t>coordination</w:t>
      </w:r>
      <w:r>
        <w:rPr>
          <w:spacing w:val="-8"/>
        </w:rPr>
        <w:t xml:space="preserve"> </w:t>
      </w:r>
      <w:r>
        <w:t>under</w:t>
      </w:r>
      <w:r>
        <w:rPr>
          <w:spacing w:val="-10"/>
        </w:rPr>
        <w:t xml:space="preserve"> </w:t>
      </w:r>
      <w:r>
        <w:t>the</w:t>
      </w:r>
      <w:r>
        <w:rPr>
          <w:spacing w:val="-10"/>
        </w:rPr>
        <w:t xml:space="preserve"> </w:t>
      </w:r>
      <w:r>
        <w:t>auspice</w:t>
      </w:r>
      <w:r>
        <w:rPr>
          <w:spacing w:val="-11"/>
        </w:rPr>
        <w:t xml:space="preserve"> </w:t>
      </w:r>
      <w:r>
        <w:t>of</w:t>
      </w:r>
      <w:r>
        <w:rPr>
          <w:spacing w:val="-10"/>
        </w:rPr>
        <w:t xml:space="preserve"> </w:t>
      </w:r>
      <w:r>
        <w:t>the</w:t>
      </w:r>
      <w:r>
        <w:rPr>
          <w:spacing w:val="-10"/>
        </w:rPr>
        <w:t xml:space="preserve"> </w:t>
      </w:r>
      <w:r>
        <w:t>National</w:t>
      </w:r>
      <w:r>
        <w:rPr>
          <w:spacing w:val="-7"/>
        </w:rPr>
        <w:t xml:space="preserve"> </w:t>
      </w:r>
      <w:r>
        <w:t>Innovation</w:t>
      </w:r>
      <w:r>
        <w:rPr>
          <w:spacing w:val="-10"/>
        </w:rPr>
        <w:t xml:space="preserve"> </w:t>
      </w:r>
      <w:r>
        <w:t>Council,</w:t>
      </w:r>
      <w:r>
        <w:rPr>
          <w:spacing w:val="-10"/>
        </w:rPr>
        <w:t xml:space="preserve"> </w:t>
      </w:r>
      <w:r>
        <w:t>providing</w:t>
      </w:r>
      <w:r>
        <w:rPr>
          <w:spacing w:val="-57"/>
        </w:rPr>
        <w:t xml:space="preserve"> </w:t>
      </w:r>
      <w:r>
        <w:t>a systematic approach to the policy of managing project financing Industrial Research and</w:t>
      </w:r>
      <w:r>
        <w:rPr>
          <w:spacing w:val="1"/>
        </w:rPr>
        <w:t xml:space="preserve"> </w:t>
      </w:r>
      <w:r>
        <w:t>Innovation</w:t>
      </w:r>
      <w:r>
        <w:rPr>
          <w:spacing w:val="-1"/>
        </w:rPr>
        <w:t xml:space="preserve"> </w:t>
      </w:r>
      <w:r>
        <w:t>(IRI)</w:t>
      </w:r>
    </w:p>
    <w:p w:rsidR="00A56FE9" w:rsidRDefault="00000000">
      <w:pPr>
        <w:pStyle w:val="Tijeloteksta"/>
        <w:spacing w:before="120"/>
        <w:ind w:right="281"/>
      </w:pPr>
      <w:r>
        <w:t>These changes and adjustments to the existing legal framework in the field of research and</w:t>
      </w:r>
      <w:r>
        <w:rPr>
          <w:spacing w:val="1"/>
        </w:rPr>
        <w:t xml:space="preserve"> </w:t>
      </w:r>
      <w:r>
        <w:t>innovation will be accompanied by</w:t>
      </w:r>
      <w:r>
        <w:rPr>
          <w:spacing w:val="-5"/>
        </w:rPr>
        <w:t xml:space="preserve"> </w:t>
      </w:r>
      <w:r>
        <w:t>investments within the</w:t>
      </w:r>
      <w:r>
        <w:rPr>
          <w:spacing w:val="2"/>
        </w:rPr>
        <w:t xml:space="preserve"> </w:t>
      </w:r>
      <w:r>
        <w:t>NRRP.</w:t>
      </w:r>
    </w:p>
    <w:p w:rsidR="00A56FE9" w:rsidRDefault="00000000">
      <w:pPr>
        <w:pStyle w:val="Tijeloteksta"/>
        <w:spacing w:before="120"/>
        <w:ind w:right="274"/>
      </w:pPr>
      <w:r>
        <w:t>As part of reforming the funding model and the organisation of universities and research</w:t>
      </w:r>
      <w:r>
        <w:rPr>
          <w:spacing w:val="1"/>
        </w:rPr>
        <w:t xml:space="preserve"> </w:t>
      </w:r>
      <w:r>
        <w:t>institutes (C3.2. R1), new program agreements will be introduced, with financing for the</w:t>
      </w:r>
      <w:r>
        <w:rPr>
          <w:spacing w:val="1"/>
        </w:rPr>
        <w:t xml:space="preserve"> </w:t>
      </w:r>
      <w:r>
        <w:t>implementation</w:t>
      </w:r>
      <w:r>
        <w:rPr>
          <w:spacing w:val="-3"/>
        </w:rPr>
        <w:t xml:space="preserve"> </w:t>
      </w:r>
      <w:r>
        <w:t>of</w:t>
      </w:r>
      <w:r>
        <w:rPr>
          <w:spacing w:val="-5"/>
        </w:rPr>
        <w:t xml:space="preserve"> </w:t>
      </w:r>
      <w:r>
        <w:t>research</w:t>
      </w:r>
      <w:r>
        <w:rPr>
          <w:spacing w:val="-4"/>
        </w:rPr>
        <w:t xml:space="preserve"> </w:t>
      </w:r>
      <w:r>
        <w:t>projects</w:t>
      </w:r>
      <w:r>
        <w:rPr>
          <w:spacing w:val="-3"/>
        </w:rPr>
        <w:t xml:space="preserve"> </w:t>
      </w:r>
      <w:r>
        <w:t>based</w:t>
      </w:r>
      <w:r>
        <w:rPr>
          <w:spacing w:val="-4"/>
        </w:rPr>
        <w:t xml:space="preserve"> </w:t>
      </w:r>
      <w:r>
        <w:t>on</w:t>
      </w:r>
      <w:r>
        <w:rPr>
          <w:spacing w:val="-2"/>
        </w:rPr>
        <w:t xml:space="preserve"> </w:t>
      </w:r>
      <w:r>
        <w:t>internal</w:t>
      </w:r>
      <w:r>
        <w:rPr>
          <w:spacing w:val="-3"/>
        </w:rPr>
        <w:t xml:space="preserve"> </w:t>
      </w:r>
      <w:r>
        <w:t>calls from</w:t>
      </w:r>
      <w:r>
        <w:rPr>
          <w:spacing w:val="-4"/>
        </w:rPr>
        <w:t xml:space="preserve"> </w:t>
      </w:r>
      <w:r>
        <w:t>research</w:t>
      </w:r>
      <w:r>
        <w:rPr>
          <w:spacing w:val="-4"/>
        </w:rPr>
        <w:t xml:space="preserve"> </w:t>
      </w:r>
      <w:r>
        <w:t>organizations,</w:t>
      </w:r>
      <w:r>
        <w:rPr>
          <w:spacing w:val="-4"/>
        </w:rPr>
        <w:t xml:space="preserve"> </w:t>
      </w:r>
      <w:r>
        <w:t>where</w:t>
      </w:r>
      <w:r>
        <w:rPr>
          <w:spacing w:val="-58"/>
        </w:rPr>
        <w:t xml:space="preserve"> </w:t>
      </w:r>
      <w:r>
        <w:t>the envisaged investments exceed EUR 17 million by Q1/2023, and is the first in a series of</w:t>
      </w:r>
      <w:r>
        <w:rPr>
          <w:spacing w:val="1"/>
        </w:rPr>
        <w:t xml:space="preserve"> </w:t>
      </w:r>
      <w:r>
        <w:t>measures</w:t>
      </w:r>
      <w:r>
        <w:rPr>
          <w:spacing w:val="-1"/>
        </w:rPr>
        <w:t xml:space="preserve"> </w:t>
      </w:r>
      <w:r>
        <w:t>and investments to support</w:t>
      </w:r>
      <w:r>
        <w:rPr>
          <w:spacing w:val="-1"/>
        </w:rPr>
        <w:t xml:space="preserve"> </w:t>
      </w:r>
      <w:r>
        <w:t>implementation of</w:t>
      </w:r>
      <w:r>
        <w:rPr>
          <w:spacing w:val="-2"/>
        </w:rPr>
        <w:t xml:space="preserve"> </w:t>
      </w:r>
      <w:r>
        <w:t>the three</w:t>
      </w:r>
      <w:r>
        <w:rPr>
          <w:spacing w:val="-2"/>
        </w:rPr>
        <w:t xml:space="preserve"> </w:t>
      </w:r>
      <w:r>
        <w:t>described</w:t>
      </w:r>
      <w:r>
        <w:rPr>
          <w:spacing w:val="2"/>
        </w:rPr>
        <w:t xml:space="preserve"> </w:t>
      </w:r>
      <w:r>
        <w:t>reforms.</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1014357774"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1592462903" name="Rectangle 156"/>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E5077B9" id="Group 155"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">
                <v:rect id="Rectangle 156"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2"/>
      </w:pPr>
      <w:r>
        <w:t>The</w:t>
      </w:r>
      <w:r>
        <w:rPr>
          <w:spacing w:val="-6"/>
        </w:rPr>
        <w:t xml:space="preserve"> </w:t>
      </w:r>
      <w:r>
        <w:t>Act</w:t>
      </w:r>
      <w:r>
        <w:rPr>
          <w:spacing w:val="-4"/>
        </w:rPr>
        <w:t xml:space="preserve"> </w:t>
      </w:r>
      <w:r>
        <w:t>on</w:t>
      </w:r>
      <w:r>
        <w:rPr>
          <w:spacing w:val="-4"/>
        </w:rPr>
        <w:t xml:space="preserve"> </w:t>
      </w:r>
      <w:r>
        <w:t>State</w:t>
      </w:r>
      <w:r>
        <w:rPr>
          <w:spacing w:val="-6"/>
        </w:rPr>
        <w:t xml:space="preserve"> </w:t>
      </w:r>
      <w:r>
        <w:t>Aid</w:t>
      </w:r>
      <w:r>
        <w:rPr>
          <w:spacing w:val="-4"/>
        </w:rPr>
        <w:t xml:space="preserve"> </w:t>
      </w:r>
      <w:r>
        <w:t>for</w:t>
      </w:r>
      <w:r>
        <w:rPr>
          <w:spacing w:val="-9"/>
        </w:rPr>
        <w:t xml:space="preserve"> </w:t>
      </w:r>
      <w:r>
        <w:t>Research</w:t>
      </w:r>
      <w:r>
        <w:rPr>
          <w:spacing w:val="-4"/>
        </w:rPr>
        <w:t xml:space="preserve"> </w:t>
      </w:r>
      <w:r>
        <w:t>and</w:t>
      </w:r>
      <w:r>
        <w:rPr>
          <w:spacing w:val="-5"/>
        </w:rPr>
        <w:t xml:space="preserve"> </w:t>
      </w:r>
      <w:r>
        <w:t>Development</w:t>
      </w:r>
      <w:r>
        <w:rPr>
          <w:spacing w:val="-3"/>
        </w:rPr>
        <w:t xml:space="preserve"> </w:t>
      </w:r>
      <w:r>
        <w:t>Projects</w:t>
      </w:r>
      <w:r>
        <w:rPr>
          <w:spacing w:val="-4"/>
        </w:rPr>
        <w:t xml:space="preserve"> </w:t>
      </w:r>
      <w:r>
        <w:t>provides</w:t>
      </w:r>
      <w:r>
        <w:rPr>
          <w:spacing w:val="-4"/>
        </w:rPr>
        <w:t xml:space="preserve"> </w:t>
      </w:r>
      <w:r>
        <w:t>an</w:t>
      </w:r>
      <w:r>
        <w:rPr>
          <w:spacing w:val="-5"/>
        </w:rPr>
        <w:t xml:space="preserve"> </w:t>
      </w:r>
      <w:r>
        <w:t>incentive</w:t>
      </w:r>
      <w:r>
        <w:rPr>
          <w:spacing w:val="-5"/>
        </w:rPr>
        <w:t xml:space="preserve"> </w:t>
      </w:r>
      <w:r>
        <w:t>to</w:t>
      </w:r>
      <w:r>
        <w:rPr>
          <w:spacing w:val="-4"/>
        </w:rPr>
        <w:t xml:space="preserve"> </w:t>
      </w:r>
      <w:r>
        <w:t>increase</w:t>
      </w:r>
      <w:r>
        <w:rPr>
          <w:spacing w:val="-58"/>
        </w:rPr>
        <w:t xml:space="preserve"> </w:t>
      </w:r>
      <w:r>
        <w:t>private</w:t>
      </w:r>
      <w:r>
        <w:rPr>
          <w:spacing w:val="-4"/>
        </w:rPr>
        <w:t xml:space="preserve"> </w:t>
      </w:r>
      <w:r>
        <w:t>sector</w:t>
      </w:r>
      <w:r>
        <w:rPr>
          <w:spacing w:val="-4"/>
        </w:rPr>
        <w:t xml:space="preserve"> </w:t>
      </w:r>
      <w:r>
        <w:t>investment in</w:t>
      </w:r>
      <w:r>
        <w:rPr>
          <w:spacing w:val="-2"/>
        </w:rPr>
        <w:t xml:space="preserve"> </w:t>
      </w:r>
      <w:r>
        <w:t>R&amp;D,</w:t>
      </w:r>
      <w:r>
        <w:rPr>
          <w:spacing w:val="-1"/>
        </w:rPr>
        <w:t xml:space="preserve"> </w:t>
      </w:r>
      <w:r>
        <w:t>increase</w:t>
      </w:r>
      <w:r>
        <w:rPr>
          <w:spacing w:val="-5"/>
        </w:rPr>
        <w:t xml:space="preserve"> </w:t>
      </w:r>
      <w:r>
        <w:t>the</w:t>
      </w:r>
      <w:r>
        <w:rPr>
          <w:spacing w:val="-4"/>
        </w:rPr>
        <w:t xml:space="preserve"> </w:t>
      </w:r>
      <w:r>
        <w:t>number</w:t>
      </w:r>
      <w:r>
        <w:rPr>
          <w:spacing w:val="-5"/>
        </w:rPr>
        <w:t xml:space="preserve"> </w:t>
      </w:r>
      <w:r>
        <w:t>of entrepreneurs</w:t>
      </w:r>
      <w:r>
        <w:rPr>
          <w:spacing w:val="-4"/>
        </w:rPr>
        <w:t xml:space="preserve"> </w:t>
      </w:r>
      <w:r>
        <w:t>investing</w:t>
      </w:r>
      <w:r>
        <w:rPr>
          <w:spacing w:val="-5"/>
        </w:rPr>
        <w:t xml:space="preserve"> </w:t>
      </w:r>
      <w:r>
        <w:t>in R&amp;D</w:t>
      </w:r>
      <w:r>
        <w:rPr>
          <w:spacing w:val="-1"/>
        </w:rPr>
        <w:t xml:space="preserve"> </w:t>
      </w:r>
      <w:r>
        <w:t>and</w:t>
      </w:r>
      <w:r>
        <w:rPr>
          <w:spacing w:val="-58"/>
        </w:rPr>
        <w:t xml:space="preserve"> </w:t>
      </w:r>
      <w:r>
        <w:t>encourage entrepreneurship with research and dissemination organizations on R&amp;D projects.</w:t>
      </w:r>
      <w:r>
        <w:rPr>
          <w:spacing w:val="1"/>
        </w:rPr>
        <w:t xml:space="preserve"> </w:t>
      </w:r>
      <w:r>
        <w:t>The type of support provided by the Act is a tax relief for R&amp;D projects that fall into the</w:t>
      </w:r>
      <w:r>
        <w:rPr>
          <w:spacing w:val="1"/>
        </w:rPr>
        <w:t xml:space="preserve"> </w:t>
      </w:r>
      <w:r>
        <w:rPr>
          <w:spacing w:val="-1"/>
        </w:rPr>
        <w:t>categories</w:t>
      </w:r>
      <w:r>
        <w:rPr>
          <w:spacing w:val="-12"/>
        </w:rPr>
        <w:t xml:space="preserve"> </w:t>
      </w:r>
      <w:r>
        <w:t>of</w:t>
      </w:r>
      <w:r>
        <w:rPr>
          <w:spacing w:val="-16"/>
        </w:rPr>
        <w:t xml:space="preserve"> </w:t>
      </w:r>
      <w:r>
        <w:t>basic</w:t>
      </w:r>
      <w:r>
        <w:rPr>
          <w:spacing w:val="-16"/>
        </w:rPr>
        <w:t xml:space="preserve"> </w:t>
      </w:r>
      <w:r>
        <w:t>research,</w:t>
      </w:r>
      <w:r>
        <w:rPr>
          <w:spacing w:val="-14"/>
        </w:rPr>
        <w:t xml:space="preserve"> </w:t>
      </w:r>
      <w:r>
        <w:t>industrial</w:t>
      </w:r>
      <w:r>
        <w:rPr>
          <w:spacing w:val="-14"/>
        </w:rPr>
        <w:t xml:space="preserve"> </w:t>
      </w:r>
      <w:r>
        <w:t>research,</w:t>
      </w:r>
      <w:r>
        <w:rPr>
          <w:spacing w:val="-15"/>
        </w:rPr>
        <w:t xml:space="preserve"> </w:t>
      </w:r>
      <w:r>
        <w:t>experimental</w:t>
      </w:r>
      <w:r>
        <w:rPr>
          <w:spacing w:val="-15"/>
        </w:rPr>
        <w:t xml:space="preserve"> </w:t>
      </w:r>
      <w:r>
        <w:t>development</w:t>
      </w:r>
      <w:r>
        <w:rPr>
          <w:spacing w:val="-11"/>
        </w:rPr>
        <w:t xml:space="preserve"> </w:t>
      </w:r>
      <w:r>
        <w:t>or</w:t>
      </w:r>
      <w:r>
        <w:rPr>
          <w:spacing w:val="-16"/>
        </w:rPr>
        <w:t xml:space="preserve"> </w:t>
      </w:r>
      <w:r>
        <w:t>feasibility</w:t>
      </w:r>
      <w:r>
        <w:rPr>
          <w:spacing w:val="-20"/>
        </w:rPr>
        <w:t xml:space="preserve"> </w:t>
      </w:r>
      <w:r>
        <w:t>studies</w:t>
      </w:r>
      <w:r>
        <w:rPr>
          <w:spacing w:val="-57"/>
        </w:rPr>
        <w:t xml:space="preserve"> </w:t>
      </w:r>
      <w:r>
        <w:t>for</w:t>
      </w:r>
      <w:r>
        <w:rPr>
          <w:spacing w:val="-9"/>
        </w:rPr>
        <w:t xml:space="preserve"> </w:t>
      </w:r>
      <w:r>
        <w:t>R&amp;D</w:t>
      </w:r>
      <w:r>
        <w:rPr>
          <w:spacing w:val="-7"/>
        </w:rPr>
        <w:t xml:space="preserve"> </w:t>
      </w:r>
      <w:r>
        <w:t>projects.</w:t>
      </w:r>
      <w:r>
        <w:rPr>
          <w:spacing w:val="-5"/>
        </w:rPr>
        <w:t xml:space="preserve"> </w:t>
      </w:r>
      <w:r>
        <w:t>The</w:t>
      </w:r>
      <w:r>
        <w:rPr>
          <w:spacing w:val="-7"/>
        </w:rPr>
        <w:t xml:space="preserve"> </w:t>
      </w:r>
      <w:r>
        <w:t>support</w:t>
      </w:r>
      <w:r>
        <w:rPr>
          <w:spacing w:val="-8"/>
        </w:rPr>
        <w:t xml:space="preserve"> </w:t>
      </w:r>
      <w:r>
        <w:t>is</w:t>
      </w:r>
      <w:r>
        <w:rPr>
          <w:spacing w:val="-5"/>
        </w:rPr>
        <w:t xml:space="preserve"> </w:t>
      </w:r>
      <w:r>
        <w:t>exercised</w:t>
      </w:r>
      <w:r>
        <w:rPr>
          <w:spacing w:val="-6"/>
        </w:rPr>
        <w:t xml:space="preserve"> </w:t>
      </w:r>
      <w:r>
        <w:t>as</w:t>
      </w:r>
      <w:r>
        <w:rPr>
          <w:spacing w:val="-6"/>
        </w:rPr>
        <w:t xml:space="preserve"> </w:t>
      </w:r>
      <w:r>
        <w:t>the</w:t>
      </w:r>
      <w:r>
        <w:rPr>
          <w:spacing w:val="-8"/>
        </w:rPr>
        <w:t xml:space="preserve"> </w:t>
      </w:r>
      <w:r>
        <w:t>right</w:t>
      </w:r>
      <w:r>
        <w:rPr>
          <w:spacing w:val="-6"/>
        </w:rPr>
        <w:t xml:space="preserve"> </w:t>
      </w:r>
      <w:r>
        <w:t>to</w:t>
      </w:r>
      <w:r>
        <w:rPr>
          <w:spacing w:val="-6"/>
        </w:rPr>
        <w:t xml:space="preserve"> </w:t>
      </w:r>
      <w:r>
        <w:t>an</w:t>
      </w:r>
      <w:r>
        <w:rPr>
          <w:spacing w:val="-6"/>
        </w:rPr>
        <w:t xml:space="preserve"> </w:t>
      </w:r>
      <w:r>
        <w:t>additional</w:t>
      </w:r>
      <w:r>
        <w:rPr>
          <w:spacing w:val="-7"/>
        </w:rPr>
        <w:t xml:space="preserve"> </w:t>
      </w:r>
      <w:r>
        <w:t>reduction</w:t>
      </w:r>
      <w:r>
        <w:rPr>
          <w:spacing w:val="-6"/>
        </w:rPr>
        <w:t xml:space="preserve"> </w:t>
      </w:r>
      <w:r>
        <w:t>of</w:t>
      </w:r>
      <w:r>
        <w:rPr>
          <w:spacing w:val="-7"/>
        </w:rPr>
        <w:t xml:space="preserve"> </w:t>
      </w:r>
      <w:r>
        <w:t>the</w:t>
      </w:r>
      <w:r>
        <w:rPr>
          <w:spacing w:val="-7"/>
        </w:rPr>
        <w:t xml:space="preserve"> </w:t>
      </w:r>
      <w:r>
        <w:t>income</w:t>
      </w:r>
      <w:r>
        <w:rPr>
          <w:spacing w:val="-58"/>
        </w:rPr>
        <w:t xml:space="preserve"> </w:t>
      </w:r>
      <w:r>
        <w:t>tax base, i.e., income tax for eligible costs. Tax relief amounts range from EUR 50,000 in the</w:t>
      </w:r>
      <w:r>
        <w:rPr>
          <w:spacing w:val="1"/>
        </w:rPr>
        <w:t xml:space="preserve"> </w:t>
      </w:r>
      <w:r>
        <w:t>equivalent kuna value for feasibility studies to EUR 300,000 in the equivalent kuna value for</w:t>
      </w:r>
      <w:r>
        <w:rPr>
          <w:spacing w:val="1"/>
        </w:rPr>
        <w:t xml:space="preserve"> </w:t>
      </w:r>
      <w:r>
        <w:t>basic research. Tax breaks can be increased when more than 50% of the cost of contract-based</w:t>
      </w:r>
      <w:r>
        <w:rPr>
          <w:spacing w:val="-57"/>
        </w:rPr>
        <w:t xml:space="preserve"> </w:t>
      </w:r>
      <w:r>
        <w:t>research, knowledge and patents the entrepreneur contracts with scientific organizations. The</w:t>
      </w:r>
      <w:r>
        <w:rPr>
          <w:spacing w:val="1"/>
        </w:rPr>
        <w:t xml:space="preserve"> </w:t>
      </w:r>
      <w:r>
        <w:t>value is then EUR 7.5 million for feasibility studies up to EUR 40 million for basic research.</w:t>
      </w:r>
      <w:r>
        <w:rPr>
          <w:spacing w:val="1"/>
        </w:rPr>
        <w:t xml:space="preserve"> </w:t>
      </w:r>
      <w:r>
        <w:t>This measure supports the implementation of risky R&amp;D projects, as well as strengthening the</w:t>
      </w:r>
      <w:r>
        <w:rPr>
          <w:spacing w:val="-57"/>
        </w:rPr>
        <w:t xml:space="preserve"> </w:t>
      </w:r>
      <w:r>
        <w:t>cooperation of the economic sector with scientific research institutions. Incentive measures</w:t>
      </w:r>
      <w:r>
        <w:rPr>
          <w:spacing w:val="1"/>
        </w:rPr>
        <w:t xml:space="preserve"> </w:t>
      </w:r>
      <w:r>
        <w:t>from the Act are currently in the implementation phase. A total of 93 applications have been</w:t>
      </w:r>
      <w:r>
        <w:rPr>
          <w:spacing w:val="1"/>
        </w:rPr>
        <w:t xml:space="preserve"> </w:t>
      </w:r>
      <w:r>
        <w:t>received (total project value HRK 872.5 million), of which 68 Certificates on the Beneficiary</w:t>
      </w:r>
      <w:r>
        <w:rPr>
          <w:spacing w:val="1"/>
        </w:rPr>
        <w:t xml:space="preserve"> </w:t>
      </w:r>
      <w:r>
        <w:t>Status</w:t>
      </w:r>
      <w:r>
        <w:rPr>
          <w:spacing w:val="-1"/>
        </w:rPr>
        <w:t xml:space="preserve"> </w:t>
      </w:r>
      <w:r>
        <w:t>have</w:t>
      </w:r>
      <w:r>
        <w:rPr>
          <w:spacing w:val="-1"/>
        </w:rPr>
        <w:t xml:space="preserve"> </w:t>
      </w:r>
      <w:r>
        <w:t>been issued.</w:t>
      </w:r>
      <w:r>
        <w:rPr>
          <w:spacing w:val="2"/>
        </w:rPr>
        <w:t xml:space="preserve"> </w:t>
      </w:r>
      <w:r>
        <w:t>The</w:t>
      </w:r>
      <w:r>
        <w:rPr>
          <w:spacing w:val="-3"/>
        </w:rPr>
        <w:t xml:space="preserve"> </w:t>
      </w:r>
      <w:r>
        <w:t>value of</w:t>
      </w:r>
      <w:r>
        <w:rPr>
          <w:spacing w:val="-2"/>
        </w:rPr>
        <w:t xml:space="preserve"> </w:t>
      </w:r>
      <w:r>
        <w:t>the</w:t>
      </w:r>
      <w:r>
        <w:rPr>
          <w:spacing w:val="-1"/>
        </w:rPr>
        <w:t xml:space="preserve"> </w:t>
      </w:r>
      <w:r>
        <w:t>approved planned</w:t>
      </w:r>
      <w:r>
        <w:rPr>
          <w:spacing w:val="-1"/>
        </w:rPr>
        <w:t xml:space="preserve"> </w:t>
      </w:r>
      <w:r>
        <w:t>support</w:t>
      </w:r>
      <w:r>
        <w:rPr>
          <w:spacing w:val="2"/>
        </w:rPr>
        <w:t xml:space="preserve"> </w:t>
      </w:r>
      <w:r>
        <w:t>is HRK 129.9</w:t>
      </w:r>
      <w:r>
        <w:rPr>
          <w:spacing w:val="-1"/>
        </w:rPr>
        <w:t xml:space="preserve"> </w:t>
      </w:r>
      <w:r>
        <w:t>million.</w:t>
      </w:r>
    </w:p>
    <w:p w:rsidR="00A56FE9" w:rsidRDefault="00A56FE9">
      <w:pPr>
        <w:sectPr w:rsidR="00A56FE9" w:rsidSect="00AB1E70">
          <w:pgSz w:w="11910" w:h="16840"/>
          <w:pgMar w:top="1320" w:right="1140" w:bottom="960" w:left="1280" w:header="0" w:footer="779" w:gutter="0"/>
          <w:cols w:space="720"/>
        </w:sectPr>
      </w:pPr>
    </w:p>
    <w:p w:rsidR="00A56FE9" w:rsidRDefault="00CC1B9B">
      <w:pPr>
        <w:pStyle w:val="Naslov4"/>
        <w:spacing w:before="62"/>
      </w:pPr>
      <w:r>
        <w:rPr>
          <w:noProof/>
        </w:rPr>
        <mc:AlternateContent>
          <mc:Choice Requires="wps">
            <w:drawing>
              <wp:anchor distT="0" distB="0" distL="114300" distR="114300" simplePos="0" relativeHeight="15792128" behindDoc="0" locked="0" layoutInCell="1" allowOverlap="1">
                <wp:simplePos x="0" y="0"/>
                <wp:positionH relativeFrom="page">
                  <wp:posOffset>814070</wp:posOffset>
                </wp:positionH>
                <wp:positionV relativeFrom="paragraph">
                  <wp:posOffset>37465</wp:posOffset>
                </wp:positionV>
                <wp:extent cx="18415" cy="265430"/>
                <wp:effectExtent l="0" t="0" r="0" b="0"/>
                <wp:wrapNone/>
                <wp:docPr id="1886961782"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2654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855E5" id="Rectangle 154" o:spid="_x0000_s1026" style="position:absolute;margin-left:64.1pt;margin-top:2.95pt;width:1.45pt;height:20.9pt;z-index:15792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" fillcolor="#da1f2c" stroked="f">
                <w10:wrap anchorx="page"/>
              </v:rect>
            </w:pict>
          </mc:Fallback>
        </mc:AlternateContent>
      </w:r>
      <w:r w:rsidR="00000000">
        <w:rPr>
          <w:color w:val="2C398A"/>
        </w:rPr>
        <w:t>Strengthening</w:t>
      </w:r>
      <w:r w:rsidR="00000000">
        <w:rPr>
          <w:color w:val="2C398A"/>
          <w:spacing w:val="-2"/>
        </w:rPr>
        <w:t xml:space="preserve"> </w:t>
      </w:r>
      <w:r w:rsidR="00000000">
        <w:rPr>
          <w:color w:val="2C398A"/>
        </w:rPr>
        <w:t>the</w:t>
      </w:r>
      <w:r w:rsidR="00000000">
        <w:rPr>
          <w:color w:val="2C398A"/>
          <w:spacing w:val="-2"/>
        </w:rPr>
        <w:t xml:space="preserve"> </w:t>
      </w:r>
      <w:r w:rsidR="00000000">
        <w:rPr>
          <w:color w:val="2C398A"/>
        </w:rPr>
        <w:t>national</w:t>
      </w:r>
      <w:r w:rsidR="00000000">
        <w:rPr>
          <w:color w:val="2C398A"/>
          <w:spacing w:val="-2"/>
        </w:rPr>
        <w:t xml:space="preserve"> </w:t>
      </w:r>
      <w:r w:rsidR="00000000">
        <w:rPr>
          <w:color w:val="2C398A"/>
        </w:rPr>
        <w:t>innovation</w:t>
      </w:r>
      <w:r w:rsidR="00000000">
        <w:rPr>
          <w:color w:val="2C398A"/>
          <w:spacing w:val="-2"/>
        </w:rPr>
        <w:t xml:space="preserve"> </w:t>
      </w:r>
      <w:r w:rsidR="00000000">
        <w:rPr>
          <w:color w:val="2C398A"/>
        </w:rPr>
        <w:t>system</w:t>
      </w:r>
    </w:p>
    <w:p w:rsidR="00A56FE9" w:rsidRDefault="00000000">
      <w:pPr>
        <w:spacing w:before="231"/>
        <w:ind w:left="138" w:right="271"/>
        <w:jc w:val="both"/>
        <w:rPr>
          <w:i/>
          <w:sz w:val="24"/>
        </w:rPr>
      </w:pPr>
      <w:r>
        <w:rPr>
          <w:i/>
          <w:color w:val="2C398A"/>
          <w:sz w:val="24"/>
        </w:rPr>
        <w:t>2019.CSR3.1.</w:t>
      </w:r>
      <w:r>
        <w:rPr>
          <w:i/>
          <w:color w:val="2C398A"/>
          <w:spacing w:val="1"/>
          <w:sz w:val="24"/>
        </w:rPr>
        <w:t xml:space="preserve"> </w:t>
      </w:r>
      <w:r>
        <w:rPr>
          <w:i/>
          <w:color w:val="2C398A"/>
          <w:sz w:val="24"/>
        </w:rPr>
        <w:t>Focus</w:t>
      </w:r>
      <w:r>
        <w:rPr>
          <w:i/>
          <w:color w:val="2C398A"/>
          <w:spacing w:val="1"/>
          <w:sz w:val="24"/>
        </w:rPr>
        <w:t xml:space="preserve"> </w:t>
      </w:r>
      <w:r>
        <w:rPr>
          <w:i/>
          <w:color w:val="2C398A"/>
          <w:sz w:val="24"/>
        </w:rPr>
        <w:t>investment-related</w:t>
      </w:r>
      <w:r>
        <w:rPr>
          <w:i/>
          <w:color w:val="2C398A"/>
          <w:spacing w:val="1"/>
          <w:sz w:val="24"/>
        </w:rPr>
        <w:t xml:space="preserve"> </w:t>
      </w:r>
      <w:r>
        <w:rPr>
          <w:i/>
          <w:color w:val="2C398A"/>
          <w:sz w:val="24"/>
        </w:rPr>
        <w:t>economic</w:t>
      </w:r>
      <w:r>
        <w:rPr>
          <w:i/>
          <w:color w:val="2C398A"/>
          <w:spacing w:val="1"/>
          <w:sz w:val="24"/>
        </w:rPr>
        <w:t xml:space="preserve"> </w:t>
      </w:r>
      <w:r>
        <w:rPr>
          <w:i/>
          <w:color w:val="2C398A"/>
          <w:sz w:val="24"/>
        </w:rPr>
        <w:t>policy</w:t>
      </w:r>
      <w:r>
        <w:rPr>
          <w:i/>
          <w:color w:val="2C398A"/>
          <w:spacing w:val="1"/>
          <w:sz w:val="24"/>
        </w:rPr>
        <w:t xml:space="preserve"> </w:t>
      </w:r>
      <w:r>
        <w:rPr>
          <w:i/>
          <w:color w:val="2C398A"/>
          <w:sz w:val="24"/>
        </w:rPr>
        <w:t>on</w:t>
      </w:r>
      <w:r>
        <w:rPr>
          <w:i/>
          <w:color w:val="2C398A"/>
          <w:spacing w:val="1"/>
          <w:sz w:val="24"/>
        </w:rPr>
        <w:t xml:space="preserve"> </w:t>
      </w:r>
      <w:r>
        <w:rPr>
          <w:i/>
          <w:color w:val="2C398A"/>
          <w:sz w:val="24"/>
        </w:rPr>
        <w:t>research</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innovation;</w:t>
      </w:r>
      <w:r>
        <w:rPr>
          <w:i/>
          <w:color w:val="2C398A"/>
          <w:spacing w:val="1"/>
          <w:sz w:val="24"/>
        </w:rPr>
        <w:t xml:space="preserve"> </w:t>
      </w:r>
      <w:r>
        <w:rPr>
          <w:i/>
          <w:color w:val="2C398A"/>
          <w:sz w:val="24"/>
        </w:rPr>
        <w:t>2019.CSR3.2. Increase the administration’s capacity to design and implement public projects</w:t>
      </w:r>
      <w:r>
        <w:rPr>
          <w:i/>
          <w:color w:val="2C398A"/>
          <w:spacing w:val="1"/>
          <w:sz w:val="24"/>
        </w:rPr>
        <w:t xml:space="preserve"> </w:t>
      </w:r>
      <w:r>
        <w:rPr>
          <w:i/>
          <w:color w:val="2C398A"/>
          <w:sz w:val="24"/>
        </w:rPr>
        <w:t>and policies</w:t>
      </w:r>
    </w:p>
    <w:p w:rsidR="00A56FE9" w:rsidRDefault="00A56FE9">
      <w:pPr>
        <w:pStyle w:val="Tijeloteksta"/>
        <w:spacing w:before="3"/>
        <w:ind w:left="0"/>
        <w:jc w:val="left"/>
        <w:rPr>
          <w:i/>
          <w:sz w:val="21"/>
        </w:rPr>
      </w:pPr>
    </w:p>
    <w:p w:rsidR="00A56FE9" w:rsidRDefault="00CC1B9B">
      <w:pPr>
        <w:pStyle w:val="Naslov5"/>
      </w:pPr>
      <w:r>
        <w:rPr>
          <w:noProof/>
        </w:rPr>
        <mc:AlternateContent>
          <mc:Choice Requires="wps">
            <w:drawing>
              <wp:anchor distT="0" distB="0" distL="0" distR="0" simplePos="0" relativeHeight="487649792" behindDoc="1" locked="0" layoutInCell="1" allowOverlap="1">
                <wp:simplePos x="0" y="0"/>
                <wp:positionH relativeFrom="page">
                  <wp:posOffset>882650</wp:posOffset>
                </wp:positionH>
                <wp:positionV relativeFrom="paragraph">
                  <wp:posOffset>189230</wp:posOffset>
                </wp:positionV>
                <wp:extent cx="3277235" cy="12065"/>
                <wp:effectExtent l="0" t="0" r="0" b="0"/>
                <wp:wrapTopAndBottom/>
                <wp:docPr id="1077938333"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7235"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658A2" id="Rectangle 153" o:spid="_x0000_s1026" style="position:absolute;margin-left:69.5pt;margin-top:14.9pt;width:258.05pt;height:.95pt;z-index:-1566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" fillcolor="#2c398a" stroked="f">
                <w10:wrap type="topAndBottom" anchorx="page"/>
              </v:rect>
            </w:pict>
          </mc:Fallback>
        </mc:AlternateContent>
      </w:r>
      <w:r w:rsidR="00000000">
        <w:t>Progress</w:t>
      </w:r>
      <w:r w:rsidR="00000000">
        <w:rPr>
          <w:spacing w:val="-2"/>
        </w:rPr>
        <w:t xml:space="preserve"> </w:t>
      </w:r>
      <w:r w:rsidR="00000000">
        <w:t>in</w:t>
      </w:r>
      <w:r w:rsidR="00000000">
        <w:rPr>
          <w:spacing w:val="-2"/>
        </w:rPr>
        <w:t xml:space="preserve"> </w:t>
      </w:r>
      <w:r w:rsidR="00000000">
        <w:t>implementing</w:t>
      </w:r>
      <w:r w:rsidR="00000000">
        <w:rPr>
          <w:spacing w:val="-2"/>
        </w:rPr>
        <w:t xml:space="preserve"> </w:t>
      </w:r>
      <w:r w:rsidR="00000000">
        <w:t>the</w:t>
      </w:r>
      <w:r w:rsidR="00000000">
        <w:rPr>
          <w:spacing w:val="-2"/>
        </w:rPr>
        <w:t xml:space="preserve"> </w:t>
      </w:r>
      <w:r w:rsidR="00000000">
        <w:t>recommendations</w:t>
      </w:r>
    </w:p>
    <w:p w:rsidR="00A56FE9" w:rsidRDefault="00000000">
      <w:pPr>
        <w:pStyle w:val="Tijeloteksta"/>
        <w:spacing w:before="126"/>
        <w:ind w:right="272"/>
      </w:pPr>
      <w:r>
        <w:t>The Croatian National Innovation System is currently relatively unconnected, limiting the</w:t>
      </w:r>
      <w:r>
        <w:rPr>
          <w:spacing w:val="1"/>
        </w:rPr>
        <w:t xml:space="preserve"> </w:t>
      </w:r>
      <w:r>
        <w:t>impact of R&amp;D investment on export growth and economic growth. The incentive system for</w:t>
      </w:r>
      <w:r>
        <w:rPr>
          <w:spacing w:val="1"/>
        </w:rPr>
        <w:t xml:space="preserve"> </w:t>
      </w:r>
      <w:r>
        <w:t>research,</w:t>
      </w:r>
      <w:r>
        <w:rPr>
          <w:spacing w:val="-9"/>
        </w:rPr>
        <w:t xml:space="preserve"> </w:t>
      </w:r>
      <w:r>
        <w:t>development</w:t>
      </w:r>
      <w:r>
        <w:rPr>
          <w:spacing w:val="-8"/>
        </w:rPr>
        <w:t xml:space="preserve"> </w:t>
      </w:r>
      <w:r>
        <w:t>and</w:t>
      </w:r>
      <w:r>
        <w:rPr>
          <w:spacing w:val="-8"/>
        </w:rPr>
        <w:t xml:space="preserve"> </w:t>
      </w:r>
      <w:r>
        <w:t>innovation</w:t>
      </w:r>
      <w:r>
        <w:rPr>
          <w:spacing w:val="-8"/>
        </w:rPr>
        <w:t xml:space="preserve"> </w:t>
      </w:r>
      <w:r>
        <w:t>throughout</w:t>
      </w:r>
      <w:r>
        <w:rPr>
          <w:spacing w:val="-8"/>
        </w:rPr>
        <w:t xml:space="preserve"> </w:t>
      </w:r>
      <w:r>
        <w:t>the</w:t>
      </w:r>
      <w:r>
        <w:rPr>
          <w:spacing w:val="-9"/>
        </w:rPr>
        <w:t xml:space="preserve"> </w:t>
      </w:r>
      <w:r>
        <w:t>innovation</w:t>
      </w:r>
      <w:r>
        <w:rPr>
          <w:spacing w:val="-8"/>
        </w:rPr>
        <w:t xml:space="preserve"> </w:t>
      </w:r>
      <w:r>
        <w:t>cycle</w:t>
      </w:r>
      <w:r>
        <w:rPr>
          <w:spacing w:val="-9"/>
        </w:rPr>
        <w:t xml:space="preserve"> </w:t>
      </w:r>
      <w:r>
        <w:t>should</w:t>
      </w:r>
      <w:r>
        <w:rPr>
          <w:spacing w:val="-9"/>
        </w:rPr>
        <w:t xml:space="preserve"> </w:t>
      </w:r>
      <w:r>
        <w:t>be</w:t>
      </w:r>
      <w:r>
        <w:rPr>
          <w:spacing w:val="-6"/>
        </w:rPr>
        <w:t xml:space="preserve"> </w:t>
      </w:r>
      <w:r>
        <w:t>changed</w:t>
      </w:r>
      <w:r>
        <w:rPr>
          <w:spacing w:val="-8"/>
        </w:rPr>
        <w:t xml:space="preserve"> </w:t>
      </w:r>
      <w:r>
        <w:t>from</w:t>
      </w:r>
      <w:r>
        <w:rPr>
          <w:spacing w:val="-58"/>
        </w:rPr>
        <w:t xml:space="preserve"> </w:t>
      </w:r>
      <w:r>
        <w:t>the funding of basic research to applied and industrial research and experimental development</w:t>
      </w:r>
      <w:r>
        <w:rPr>
          <w:spacing w:val="-57"/>
        </w:rPr>
        <w:t xml:space="preserve"> </w:t>
      </w:r>
      <w:r>
        <w:t>and commercialisation of innovation. Policies need to be coordinated to better design, monitor</w:t>
      </w:r>
      <w:r>
        <w:rPr>
          <w:spacing w:val="-57"/>
        </w:rPr>
        <w:t xml:space="preserve"> </w:t>
      </w:r>
      <w:r>
        <w:t>and evaluate Croatia's national innovation system. A new institutional framework is currently</w:t>
      </w:r>
      <w:r>
        <w:rPr>
          <w:spacing w:val="1"/>
        </w:rPr>
        <w:t xml:space="preserve"> </w:t>
      </w:r>
      <w:r>
        <w:t>in preparation to facilitate the targeting of public investment, research and innovation policies,</w:t>
      </w:r>
      <w:r>
        <w:rPr>
          <w:spacing w:val="-57"/>
        </w:rPr>
        <w:t xml:space="preserve"> </w:t>
      </w:r>
      <w:r>
        <w:t>and</w:t>
      </w:r>
      <w:r>
        <w:rPr>
          <w:spacing w:val="1"/>
        </w:rPr>
        <w:t xml:space="preserve"> </w:t>
      </w:r>
      <w:r>
        <w:t>consistent</w:t>
      </w:r>
      <w:r>
        <w:rPr>
          <w:spacing w:val="1"/>
        </w:rPr>
        <w:t xml:space="preserve"> </w:t>
      </w:r>
      <w:r>
        <w:t>and</w:t>
      </w:r>
      <w:r>
        <w:rPr>
          <w:spacing w:val="1"/>
        </w:rPr>
        <w:t xml:space="preserve"> </w:t>
      </w:r>
      <w:r>
        <w:t>competitive</w:t>
      </w:r>
      <w:r>
        <w:rPr>
          <w:spacing w:val="1"/>
        </w:rPr>
        <w:t xml:space="preserve"> </w:t>
      </w:r>
      <w:r>
        <w:t>support</w:t>
      </w:r>
      <w:r>
        <w:rPr>
          <w:spacing w:val="1"/>
        </w:rPr>
        <w:t xml:space="preserve"> </w:t>
      </w:r>
      <w:r>
        <w:t>programs</w:t>
      </w:r>
      <w:r>
        <w:rPr>
          <w:spacing w:val="1"/>
        </w:rPr>
        <w:t xml:space="preserve"> </w:t>
      </w:r>
      <w:r>
        <w:t>to</w:t>
      </w:r>
      <w:r>
        <w:rPr>
          <w:spacing w:val="1"/>
        </w:rPr>
        <w:t xml:space="preserve"> </w:t>
      </w:r>
      <w:r>
        <w:t>have</w:t>
      </w:r>
      <w:r>
        <w:rPr>
          <w:spacing w:val="1"/>
        </w:rPr>
        <w:t xml:space="preserve"> </w:t>
      </w:r>
      <w:r>
        <w:t>fast</w:t>
      </w:r>
      <w:r>
        <w:rPr>
          <w:spacing w:val="1"/>
        </w:rPr>
        <w:t xml:space="preserve"> </w:t>
      </w:r>
      <w:r>
        <w:t>and</w:t>
      </w:r>
      <w:r>
        <w:rPr>
          <w:spacing w:val="1"/>
        </w:rPr>
        <w:t xml:space="preserve"> </w:t>
      </w:r>
      <w:r>
        <w:t>connected</w:t>
      </w:r>
      <w:r>
        <w:rPr>
          <w:spacing w:val="1"/>
        </w:rPr>
        <w:t xml:space="preserve"> </w:t>
      </w:r>
      <w:r>
        <w:t>innovation</w:t>
      </w:r>
      <w:r>
        <w:rPr>
          <w:spacing w:val="-57"/>
        </w:rPr>
        <w:t xml:space="preserve"> </w:t>
      </w:r>
      <w:r>
        <w:t>processes</w:t>
      </w:r>
      <w:r>
        <w:rPr>
          <w:spacing w:val="-1"/>
        </w:rPr>
        <w:t xml:space="preserve"> </w:t>
      </w:r>
      <w:r>
        <w:t>tailored</w:t>
      </w:r>
      <w:r>
        <w:rPr>
          <w:spacing w:val="-1"/>
        </w:rPr>
        <w:t xml:space="preserve"> </w:t>
      </w:r>
      <w:r>
        <w:t>to user needs (researchers,</w:t>
      </w:r>
      <w:r>
        <w:rPr>
          <w:spacing w:val="-1"/>
        </w:rPr>
        <w:t xml:space="preserve"> </w:t>
      </w:r>
      <w:r>
        <w:t>research institutions</w:t>
      </w:r>
      <w:r>
        <w:rPr>
          <w:spacing w:val="-1"/>
        </w:rPr>
        <w:t xml:space="preserve"> </w:t>
      </w:r>
      <w:r>
        <w:t>and companies).</w:t>
      </w:r>
    </w:p>
    <w:p w:rsidR="00A56FE9" w:rsidRDefault="00000000">
      <w:pPr>
        <w:pStyle w:val="Tijeloteksta"/>
        <w:spacing w:before="121"/>
        <w:ind w:right="279"/>
      </w:pPr>
      <w:r>
        <w:t>Although</w:t>
      </w:r>
      <w:r>
        <w:rPr>
          <w:spacing w:val="-4"/>
        </w:rPr>
        <w:t xml:space="preserve"> </w:t>
      </w:r>
      <w:r>
        <w:t>the</w:t>
      </w:r>
      <w:r>
        <w:rPr>
          <w:spacing w:val="-4"/>
        </w:rPr>
        <w:t xml:space="preserve"> </w:t>
      </w:r>
      <w:r>
        <w:t>Republic</w:t>
      </w:r>
      <w:r>
        <w:rPr>
          <w:spacing w:val="-5"/>
        </w:rPr>
        <w:t xml:space="preserve"> </w:t>
      </w:r>
      <w:r>
        <w:t>of</w:t>
      </w:r>
      <w:r>
        <w:rPr>
          <w:spacing w:val="-3"/>
        </w:rPr>
        <w:t xml:space="preserve"> </w:t>
      </w:r>
      <w:r>
        <w:t>Croatia</w:t>
      </w:r>
      <w:r>
        <w:rPr>
          <w:spacing w:val="-4"/>
        </w:rPr>
        <w:t xml:space="preserve"> </w:t>
      </w:r>
      <w:r>
        <w:t>has</w:t>
      </w:r>
      <w:r>
        <w:rPr>
          <w:spacing w:val="-4"/>
        </w:rPr>
        <w:t xml:space="preserve"> </w:t>
      </w:r>
      <w:r>
        <w:t>recorded</w:t>
      </w:r>
      <w:r>
        <w:rPr>
          <w:spacing w:val="-4"/>
        </w:rPr>
        <w:t xml:space="preserve"> </w:t>
      </w:r>
      <w:r>
        <w:t>a</w:t>
      </w:r>
      <w:r>
        <w:rPr>
          <w:spacing w:val="-5"/>
        </w:rPr>
        <w:t xml:space="preserve"> </w:t>
      </w:r>
      <w:r>
        <w:t>slight</w:t>
      </w:r>
      <w:r>
        <w:rPr>
          <w:spacing w:val="-3"/>
        </w:rPr>
        <w:t xml:space="preserve"> </w:t>
      </w:r>
      <w:r>
        <w:t>increase</w:t>
      </w:r>
      <w:r>
        <w:rPr>
          <w:spacing w:val="-5"/>
        </w:rPr>
        <w:t xml:space="preserve"> </w:t>
      </w:r>
      <w:r>
        <w:t>in</w:t>
      </w:r>
      <w:r>
        <w:rPr>
          <w:spacing w:val="-3"/>
        </w:rPr>
        <w:t xml:space="preserve"> </w:t>
      </w:r>
      <w:r>
        <w:t>the</w:t>
      </w:r>
      <w:r>
        <w:rPr>
          <w:spacing w:val="-4"/>
        </w:rPr>
        <w:t xml:space="preserve"> </w:t>
      </w:r>
      <w:r>
        <w:t>share</w:t>
      </w:r>
      <w:r>
        <w:rPr>
          <w:spacing w:val="-5"/>
        </w:rPr>
        <w:t xml:space="preserve"> </w:t>
      </w:r>
      <w:r>
        <w:t>of</w:t>
      </w:r>
      <w:r>
        <w:rPr>
          <w:spacing w:val="-5"/>
        </w:rPr>
        <w:t xml:space="preserve"> </w:t>
      </w:r>
      <w:r>
        <w:t>total</w:t>
      </w:r>
      <w:r>
        <w:rPr>
          <w:spacing w:val="-3"/>
        </w:rPr>
        <w:t xml:space="preserve"> </w:t>
      </w:r>
      <w:r>
        <w:t>allocations</w:t>
      </w:r>
      <w:r>
        <w:rPr>
          <w:spacing w:val="-58"/>
        </w:rPr>
        <w:t xml:space="preserve"> </w:t>
      </w:r>
      <w:r>
        <w:t>from GDP for research and development, the national innovation system continues to undergo</w:t>
      </w:r>
      <w:r>
        <w:rPr>
          <w:spacing w:val="-57"/>
        </w:rPr>
        <w:t xml:space="preserve"> </w:t>
      </w:r>
      <w:r>
        <w:t>further</w:t>
      </w:r>
      <w:r>
        <w:rPr>
          <w:spacing w:val="-3"/>
        </w:rPr>
        <w:t xml:space="preserve"> </w:t>
      </w:r>
      <w:r>
        <w:t>development to reach the target of 2.5%</w:t>
      </w:r>
      <w:r>
        <w:rPr>
          <w:spacing w:val="-1"/>
        </w:rPr>
        <w:t xml:space="preserve"> </w:t>
      </w:r>
      <w:r>
        <w:t>by</w:t>
      </w:r>
      <w:r>
        <w:rPr>
          <w:spacing w:val="-3"/>
        </w:rPr>
        <w:t xml:space="preserve"> </w:t>
      </w:r>
      <w:r>
        <w:t>2025.</w:t>
      </w:r>
    </w:p>
    <w:p w:rsidR="00A56FE9" w:rsidRDefault="00A56FE9">
      <w:pPr>
        <w:pStyle w:val="Tijeloteksta"/>
        <w:spacing w:before="3"/>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20834864"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2033952689" name="Rectangle 152"/>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C80A2BE" id="Group 151"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">
                <v:rect id="Rectangle 152"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" fillcolor="#2c398a" stroked="f"/>
                <w10:anchorlock/>
              </v:group>
            </w:pict>
          </mc:Fallback>
        </mc:AlternateContent>
      </w:r>
    </w:p>
    <w:p w:rsidR="00A56FE9" w:rsidRDefault="00000000">
      <w:pPr>
        <w:pStyle w:val="Tijeloteksta"/>
        <w:spacing w:before="154"/>
        <w:ind w:right="274"/>
      </w:pPr>
      <w:r>
        <w:t>The implementation of reform C3.2. R3 Improving the Efficiency of Public Investment in</w:t>
      </w:r>
      <w:r>
        <w:rPr>
          <w:spacing w:val="1"/>
        </w:rPr>
        <w:t xml:space="preserve"> </w:t>
      </w:r>
      <w:r>
        <w:t>Research, Development and</w:t>
      </w:r>
      <w:r>
        <w:rPr>
          <w:spacing w:val="1"/>
        </w:rPr>
        <w:t xml:space="preserve"> </w:t>
      </w:r>
      <w:r>
        <w:t>Innovation plans to revise the existing R&amp;D funding policy</w:t>
      </w:r>
      <w:r>
        <w:rPr>
          <w:spacing w:val="1"/>
        </w:rPr>
        <w:t xml:space="preserve"> </w:t>
      </w:r>
      <w:r>
        <w:t>framework aimed at excellence in research and innovation and increases their focus on green</w:t>
      </w:r>
      <w:r>
        <w:rPr>
          <w:spacing w:val="1"/>
        </w:rPr>
        <w:t xml:space="preserve"> </w:t>
      </w:r>
      <w:r>
        <w:t>and</w:t>
      </w:r>
      <w:r>
        <w:rPr>
          <w:spacing w:val="1"/>
        </w:rPr>
        <w:t xml:space="preserve"> </w:t>
      </w:r>
      <w:r>
        <w:t>digital</w:t>
      </w:r>
      <w:r>
        <w:rPr>
          <w:spacing w:val="1"/>
        </w:rPr>
        <w:t xml:space="preserve"> </w:t>
      </w:r>
      <w:r>
        <w:t>transition,</w:t>
      </w:r>
      <w:r>
        <w:rPr>
          <w:spacing w:val="1"/>
        </w:rPr>
        <w:t xml:space="preserve"> </w:t>
      </w:r>
      <w:r>
        <w:t>implementing</w:t>
      </w:r>
      <w:r>
        <w:rPr>
          <w:spacing w:val="1"/>
        </w:rPr>
        <w:t xml:space="preserve"> </w:t>
      </w:r>
      <w:r>
        <w:t>a</w:t>
      </w:r>
      <w:r>
        <w:rPr>
          <w:spacing w:val="1"/>
        </w:rPr>
        <w:t xml:space="preserve"> </w:t>
      </w:r>
      <w:r>
        <w:t>new</w:t>
      </w:r>
      <w:r>
        <w:rPr>
          <w:spacing w:val="1"/>
        </w:rPr>
        <w:t xml:space="preserve"> </w:t>
      </w:r>
      <w:r>
        <w:t>more</w:t>
      </w:r>
      <w:r>
        <w:rPr>
          <w:spacing w:val="1"/>
        </w:rPr>
        <w:t xml:space="preserve"> </w:t>
      </w:r>
      <w:r>
        <w:t>functional</w:t>
      </w:r>
      <w:r>
        <w:rPr>
          <w:spacing w:val="1"/>
        </w:rPr>
        <w:t xml:space="preserve"> </w:t>
      </w:r>
      <w:r>
        <w:t>and</w:t>
      </w:r>
      <w:r>
        <w:rPr>
          <w:spacing w:val="1"/>
        </w:rPr>
        <w:t xml:space="preserve"> </w:t>
      </w:r>
      <w:r>
        <w:t>efficient</w:t>
      </w:r>
      <w:r>
        <w:rPr>
          <w:spacing w:val="1"/>
        </w:rPr>
        <w:t xml:space="preserve"> </w:t>
      </w:r>
      <w:r>
        <w:t>research</w:t>
      </w:r>
      <w:r>
        <w:rPr>
          <w:spacing w:val="1"/>
        </w:rPr>
        <w:t xml:space="preserve"> </w:t>
      </w:r>
      <w:r>
        <w:t>and</w:t>
      </w:r>
      <w:r>
        <w:rPr>
          <w:spacing w:val="1"/>
        </w:rPr>
        <w:t xml:space="preserve"> </w:t>
      </w:r>
      <w:r>
        <w:t>innovation project funding model and strengthening human capacity to implement the new</w:t>
      </w:r>
      <w:r>
        <w:rPr>
          <w:spacing w:val="1"/>
        </w:rPr>
        <w:t xml:space="preserve"> </w:t>
      </w:r>
      <w:r>
        <w:t>program</w:t>
      </w:r>
      <w:r>
        <w:rPr>
          <w:spacing w:val="-1"/>
        </w:rPr>
        <w:t xml:space="preserve"> </w:t>
      </w:r>
      <w:r>
        <w:t>framework.</w:t>
      </w:r>
    </w:p>
    <w:p w:rsidR="00A56FE9" w:rsidRDefault="00000000">
      <w:pPr>
        <w:pStyle w:val="Tijeloteksta"/>
        <w:spacing w:before="121"/>
        <w:ind w:right="272"/>
      </w:pPr>
      <w:r>
        <w:t>A more efficient and functional governance model will be put in place making the selection</w:t>
      </w:r>
      <w:r>
        <w:rPr>
          <w:spacing w:val="1"/>
        </w:rPr>
        <w:t xml:space="preserve"> </w:t>
      </w:r>
      <w:r>
        <w:rPr>
          <w:spacing w:val="-1"/>
        </w:rPr>
        <w:t>process</w:t>
      </w:r>
      <w:r>
        <w:rPr>
          <w:spacing w:val="-14"/>
        </w:rPr>
        <w:t xml:space="preserve"> </w:t>
      </w:r>
      <w:r>
        <w:rPr>
          <w:spacing w:val="-1"/>
        </w:rPr>
        <w:t>faster</w:t>
      </w:r>
      <w:r>
        <w:rPr>
          <w:spacing w:val="-13"/>
        </w:rPr>
        <w:t xml:space="preserve"> </w:t>
      </w:r>
      <w:r>
        <w:t>and</w:t>
      </w:r>
      <w:r>
        <w:rPr>
          <w:spacing w:val="-15"/>
        </w:rPr>
        <w:t xml:space="preserve"> </w:t>
      </w:r>
      <w:r>
        <w:t>more</w:t>
      </w:r>
      <w:r>
        <w:rPr>
          <w:spacing w:val="-13"/>
        </w:rPr>
        <w:t xml:space="preserve"> </w:t>
      </w:r>
      <w:r>
        <w:t>merit-based,</w:t>
      </w:r>
      <w:r>
        <w:rPr>
          <w:spacing w:val="-15"/>
        </w:rPr>
        <w:t xml:space="preserve"> </w:t>
      </w:r>
      <w:r>
        <w:t>where</w:t>
      </w:r>
      <w:r>
        <w:rPr>
          <w:spacing w:val="-14"/>
        </w:rPr>
        <w:t xml:space="preserve"> </w:t>
      </w:r>
      <w:r>
        <w:t>a</w:t>
      </w:r>
      <w:r>
        <w:rPr>
          <w:spacing w:val="-16"/>
        </w:rPr>
        <w:t xml:space="preserve"> </w:t>
      </w:r>
      <w:r>
        <w:t>key</w:t>
      </w:r>
      <w:r>
        <w:rPr>
          <w:spacing w:val="-14"/>
        </w:rPr>
        <w:t xml:space="preserve"> </w:t>
      </w:r>
      <w:r>
        <w:t>element</w:t>
      </w:r>
      <w:r>
        <w:rPr>
          <w:spacing w:val="-14"/>
        </w:rPr>
        <w:t xml:space="preserve"> </w:t>
      </w:r>
      <w:r>
        <w:t>of</w:t>
      </w:r>
      <w:r>
        <w:rPr>
          <w:spacing w:val="-16"/>
        </w:rPr>
        <w:t xml:space="preserve"> </w:t>
      </w:r>
      <w:r>
        <w:t>the</w:t>
      </w:r>
      <w:r>
        <w:rPr>
          <w:spacing w:val="-14"/>
        </w:rPr>
        <w:t xml:space="preserve"> </w:t>
      </w:r>
      <w:r>
        <w:t>new</w:t>
      </w:r>
      <w:r>
        <w:rPr>
          <w:spacing w:val="-15"/>
        </w:rPr>
        <w:t xml:space="preserve"> </w:t>
      </w:r>
      <w:r>
        <w:t>framework</w:t>
      </w:r>
      <w:r>
        <w:rPr>
          <w:spacing w:val="-15"/>
        </w:rPr>
        <w:t xml:space="preserve"> </w:t>
      </w:r>
      <w:r>
        <w:t>will</w:t>
      </w:r>
      <w:r>
        <w:rPr>
          <w:spacing w:val="-14"/>
        </w:rPr>
        <w:t xml:space="preserve"> </w:t>
      </w:r>
      <w:r>
        <w:t>be</w:t>
      </w:r>
      <w:r>
        <w:rPr>
          <w:spacing w:val="-15"/>
        </w:rPr>
        <w:t xml:space="preserve"> </w:t>
      </w:r>
      <w:r>
        <w:t>a</w:t>
      </w:r>
      <w:r>
        <w:rPr>
          <w:spacing w:val="-13"/>
        </w:rPr>
        <w:t xml:space="preserve"> </w:t>
      </w:r>
      <w:r>
        <w:t>robust</w:t>
      </w:r>
      <w:r>
        <w:rPr>
          <w:spacing w:val="-58"/>
        </w:rPr>
        <w:t xml:space="preserve"> </w:t>
      </w:r>
      <w:r>
        <w:t>monitoring and evaluation system, fully in line with objectives and indicators set out in the</w:t>
      </w:r>
      <w:r>
        <w:rPr>
          <w:spacing w:val="1"/>
        </w:rPr>
        <w:t xml:space="preserve"> </w:t>
      </w:r>
      <w:r>
        <w:t>Smart Specialization Strategy. New programs must be mutually aligned and adapted to the</w:t>
      </w:r>
      <w:r>
        <w:rPr>
          <w:spacing w:val="1"/>
        </w:rPr>
        <w:t xml:space="preserve"> </w:t>
      </w:r>
      <w:r>
        <w:t>needs of the scientific and business community,</w:t>
      </w:r>
      <w:r>
        <w:rPr>
          <w:spacing w:val="1"/>
        </w:rPr>
        <w:t xml:space="preserve"> </w:t>
      </w:r>
      <w:r>
        <w:t>taking into account the specifics of the</w:t>
      </w:r>
      <w:r>
        <w:rPr>
          <w:spacing w:val="1"/>
        </w:rPr>
        <w:t xml:space="preserve"> </w:t>
      </w:r>
      <w:r>
        <w:t>innovation cycle for different levels of technological readiness. The governance model will</w:t>
      </w:r>
      <w:r>
        <w:rPr>
          <w:spacing w:val="1"/>
        </w:rPr>
        <w:t xml:space="preserve"> </w:t>
      </w:r>
      <w:r>
        <w:t>include</w:t>
      </w:r>
      <w:r>
        <w:rPr>
          <w:spacing w:val="-5"/>
        </w:rPr>
        <w:t xml:space="preserve"> </w:t>
      </w:r>
      <w:r>
        <w:t>strengthening</w:t>
      </w:r>
      <w:r>
        <w:rPr>
          <w:spacing w:val="-6"/>
        </w:rPr>
        <w:t xml:space="preserve"> </w:t>
      </w:r>
      <w:r>
        <w:t>the</w:t>
      </w:r>
      <w:r>
        <w:rPr>
          <w:spacing w:val="-1"/>
        </w:rPr>
        <w:t xml:space="preserve"> </w:t>
      </w:r>
      <w:r>
        <w:t>capacity</w:t>
      </w:r>
      <w:r>
        <w:rPr>
          <w:spacing w:val="-11"/>
        </w:rPr>
        <w:t xml:space="preserve"> </w:t>
      </w:r>
      <w:r>
        <w:t>of</w:t>
      </w:r>
      <w:r>
        <w:rPr>
          <w:spacing w:val="-4"/>
        </w:rPr>
        <w:t xml:space="preserve"> </w:t>
      </w:r>
      <w:r>
        <w:t>the</w:t>
      </w:r>
      <w:r>
        <w:rPr>
          <w:spacing w:val="-4"/>
        </w:rPr>
        <w:t xml:space="preserve"> </w:t>
      </w:r>
      <w:r>
        <w:t>Croatian</w:t>
      </w:r>
      <w:r>
        <w:rPr>
          <w:spacing w:val="-3"/>
        </w:rPr>
        <w:t xml:space="preserve"> </w:t>
      </w:r>
      <w:r>
        <w:t>Science</w:t>
      </w:r>
      <w:r>
        <w:rPr>
          <w:spacing w:val="-5"/>
        </w:rPr>
        <w:t xml:space="preserve"> </w:t>
      </w:r>
      <w:r>
        <w:t>Foundation,</w:t>
      </w:r>
      <w:r>
        <w:rPr>
          <w:spacing w:val="-4"/>
        </w:rPr>
        <w:t xml:space="preserve"> </w:t>
      </w:r>
      <w:r>
        <w:t>reducing</w:t>
      </w:r>
      <w:r>
        <w:rPr>
          <w:spacing w:val="-4"/>
        </w:rPr>
        <w:t xml:space="preserve"> </w:t>
      </w:r>
      <w:r>
        <w:t>the</w:t>
      </w:r>
      <w:r>
        <w:rPr>
          <w:spacing w:val="-4"/>
        </w:rPr>
        <w:t xml:space="preserve"> </w:t>
      </w:r>
      <w:r>
        <w:t>number</w:t>
      </w:r>
      <w:r>
        <w:rPr>
          <w:spacing w:val="-4"/>
        </w:rPr>
        <w:t xml:space="preserve"> </w:t>
      </w:r>
      <w:r>
        <w:t>of</w:t>
      </w:r>
      <w:r>
        <w:rPr>
          <w:spacing w:val="-58"/>
        </w:rPr>
        <w:t xml:space="preserve"> </w:t>
      </w:r>
      <w:r>
        <w:t>institutions</w:t>
      </w:r>
      <w:r>
        <w:rPr>
          <w:spacing w:val="-6"/>
        </w:rPr>
        <w:t xml:space="preserve"> </w:t>
      </w:r>
      <w:r>
        <w:t>currently</w:t>
      </w:r>
      <w:r>
        <w:rPr>
          <w:spacing w:val="-9"/>
        </w:rPr>
        <w:t xml:space="preserve"> </w:t>
      </w:r>
      <w:r>
        <w:t>involved</w:t>
      </w:r>
      <w:r>
        <w:rPr>
          <w:spacing w:val="-4"/>
        </w:rPr>
        <w:t xml:space="preserve"> </w:t>
      </w:r>
      <w:r>
        <w:t>in</w:t>
      </w:r>
      <w:r>
        <w:rPr>
          <w:spacing w:val="-3"/>
        </w:rPr>
        <w:t xml:space="preserve"> </w:t>
      </w:r>
      <w:r>
        <w:t>managing</w:t>
      </w:r>
      <w:r>
        <w:rPr>
          <w:spacing w:val="-5"/>
        </w:rPr>
        <w:t xml:space="preserve"> </w:t>
      </w:r>
      <w:r>
        <w:t>and</w:t>
      </w:r>
      <w:r>
        <w:rPr>
          <w:spacing w:val="-4"/>
        </w:rPr>
        <w:t xml:space="preserve"> </w:t>
      </w:r>
      <w:r>
        <w:t>implementing</w:t>
      </w:r>
      <w:r>
        <w:rPr>
          <w:spacing w:val="-6"/>
        </w:rPr>
        <w:t xml:space="preserve"> </w:t>
      </w:r>
      <w:r>
        <w:t>research</w:t>
      </w:r>
      <w:r>
        <w:rPr>
          <w:spacing w:val="-4"/>
        </w:rPr>
        <w:t xml:space="preserve"> </w:t>
      </w:r>
      <w:r>
        <w:t>and</w:t>
      </w:r>
      <w:r>
        <w:rPr>
          <w:spacing w:val="-3"/>
        </w:rPr>
        <w:t xml:space="preserve"> </w:t>
      </w:r>
      <w:r>
        <w:t>innovation</w:t>
      </w:r>
      <w:r>
        <w:rPr>
          <w:spacing w:val="-3"/>
        </w:rPr>
        <w:t xml:space="preserve"> </w:t>
      </w:r>
      <w:r>
        <w:t>funding</w:t>
      </w:r>
      <w:r>
        <w:rPr>
          <w:spacing w:val="-58"/>
        </w:rPr>
        <w:t xml:space="preserve"> </w:t>
      </w:r>
      <w:r>
        <w:t>programs.</w:t>
      </w:r>
    </w:p>
    <w:p w:rsidR="00A56FE9" w:rsidRDefault="00000000">
      <w:pPr>
        <w:pStyle w:val="Tijeloteksta"/>
        <w:spacing w:before="120"/>
        <w:ind w:right="275"/>
      </w:pPr>
      <w:r>
        <w:t>Implementation includes the adoption of a new Act on the Croatian Science Foundation,</w:t>
      </w:r>
      <w:r>
        <w:rPr>
          <w:spacing w:val="1"/>
        </w:rPr>
        <w:t xml:space="preserve"> </w:t>
      </w:r>
      <w:r>
        <w:t>facilitating</w:t>
      </w:r>
      <w:r>
        <w:rPr>
          <w:spacing w:val="-9"/>
        </w:rPr>
        <w:t xml:space="preserve"> </w:t>
      </w:r>
      <w:r>
        <w:t>implementation</w:t>
      </w:r>
      <w:r>
        <w:rPr>
          <w:spacing w:val="-6"/>
        </w:rPr>
        <w:t xml:space="preserve"> </w:t>
      </w:r>
      <w:r>
        <w:t>of</w:t>
      </w:r>
      <w:r>
        <w:rPr>
          <w:spacing w:val="-8"/>
        </w:rPr>
        <w:t xml:space="preserve"> </w:t>
      </w:r>
      <w:r>
        <w:t>the</w:t>
      </w:r>
      <w:r>
        <w:rPr>
          <w:spacing w:val="-7"/>
        </w:rPr>
        <w:t xml:space="preserve"> </w:t>
      </w:r>
      <w:r>
        <w:t>program</w:t>
      </w:r>
      <w:r>
        <w:rPr>
          <w:spacing w:val="-6"/>
        </w:rPr>
        <w:t xml:space="preserve"> </w:t>
      </w:r>
      <w:r>
        <w:t>in</w:t>
      </w:r>
      <w:r>
        <w:rPr>
          <w:spacing w:val="-7"/>
        </w:rPr>
        <w:t xml:space="preserve"> </w:t>
      </w:r>
      <w:r>
        <w:t>accordance</w:t>
      </w:r>
      <w:r>
        <w:rPr>
          <w:spacing w:val="-7"/>
        </w:rPr>
        <w:t xml:space="preserve"> </w:t>
      </w:r>
      <w:r>
        <w:t>with</w:t>
      </w:r>
      <w:r>
        <w:rPr>
          <w:spacing w:val="-6"/>
        </w:rPr>
        <w:t xml:space="preserve"> </w:t>
      </w:r>
      <w:r>
        <w:t>the</w:t>
      </w:r>
      <w:r>
        <w:rPr>
          <w:spacing w:val="-8"/>
        </w:rPr>
        <w:t xml:space="preserve"> </w:t>
      </w:r>
      <w:r>
        <w:t>new</w:t>
      </w:r>
      <w:r>
        <w:rPr>
          <w:spacing w:val="-4"/>
        </w:rPr>
        <w:t xml:space="preserve"> </w:t>
      </w:r>
      <w:r>
        <w:t>IRI</w:t>
      </w:r>
      <w:r>
        <w:rPr>
          <w:spacing w:val="-10"/>
        </w:rPr>
        <w:t xml:space="preserve"> </w:t>
      </w:r>
      <w:r>
        <w:t>funding</w:t>
      </w:r>
      <w:r>
        <w:rPr>
          <w:spacing w:val="-8"/>
        </w:rPr>
        <w:t xml:space="preserve"> </w:t>
      </w:r>
      <w:r>
        <w:t>framework.</w:t>
      </w:r>
      <w:r>
        <w:rPr>
          <w:spacing w:val="-58"/>
        </w:rPr>
        <w:t xml:space="preserve"> </w:t>
      </w:r>
      <w:r>
        <w:t>The draft law is in the process of being debated in the Croatian Parliament, and the law is</w:t>
      </w:r>
      <w:r>
        <w:rPr>
          <w:spacing w:val="1"/>
        </w:rPr>
        <w:t xml:space="preserve"> </w:t>
      </w:r>
      <w:r>
        <w:t>planned</w:t>
      </w:r>
      <w:r>
        <w:rPr>
          <w:spacing w:val="-5"/>
        </w:rPr>
        <w:t xml:space="preserve"> </w:t>
      </w:r>
      <w:r>
        <w:t>to</w:t>
      </w:r>
      <w:r>
        <w:rPr>
          <w:spacing w:val="-5"/>
        </w:rPr>
        <w:t xml:space="preserve"> </w:t>
      </w:r>
      <w:r>
        <w:t>be</w:t>
      </w:r>
      <w:r>
        <w:rPr>
          <w:spacing w:val="-6"/>
        </w:rPr>
        <w:t xml:space="preserve"> </w:t>
      </w:r>
      <w:r>
        <w:t>adopted</w:t>
      </w:r>
      <w:r>
        <w:rPr>
          <w:spacing w:val="-6"/>
        </w:rPr>
        <w:t xml:space="preserve"> </w:t>
      </w:r>
      <w:r>
        <w:t>by</w:t>
      </w:r>
      <w:r>
        <w:rPr>
          <w:spacing w:val="-8"/>
        </w:rPr>
        <w:t xml:space="preserve"> </w:t>
      </w:r>
      <w:r>
        <w:t>the</w:t>
      </w:r>
      <w:r>
        <w:rPr>
          <w:spacing w:val="-6"/>
        </w:rPr>
        <w:t xml:space="preserve"> </w:t>
      </w:r>
      <w:r>
        <w:t>end</w:t>
      </w:r>
      <w:r>
        <w:rPr>
          <w:spacing w:val="-5"/>
        </w:rPr>
        <w:t xml:space="preserve"> </w:t>
      </w:r>
      <w:r>
        <w:t>of</w:t>
      </w:r>
      <w:r>
        <w:rPr>
          <w:spacing w:val="-6"/>
        </w:rPr>
        <w:t xml:space="preserve"> </w:t>
      </w:r>
      <w:r>
        <w:t>Q3/2022,</w:t>
      </w:r>
      <w:r>
        <w:rPr>
          <w:spacing w:val="-5"/>
        </w:rPr>
        <w:t xml:space="preserve"> </w:t>
      </w:r>
      <w:r>
        <w:t>enabling</w:t>
      </w:r>
      <w:r>
        <w:rPr>
          <w:spacing w:val="-7"/>
        </w:rPr>
        <w:t xml:space="preserve"> </w:t>
      </w:r>
      <w:r>
        <w:t>the</w:t>
      </w:r>
      <w:r>
        <w:rPr>
          <w:spacing w:val="-6"/>
        </w:rPr>
        <w:t xml:space="preserve"> </w:t>
      </w:r>
      <w:r>
        <w:t>transformation</w:t>
      </w:r>
      <w:r>
        <w:rPr>
          <w:spacing w:val="-5"/>
        </w:rPr>
        <w:t xml:space="preserve"> </w:t>
      </w:r>
      <w:r>
        <w:t>and</w:t>
      </w:r>
      <w:r>
        <w:rPr>
          <w:spacing w:val="-5"/>
        </w:rPr>
        <w:t xml:space="preserve"> </w:t>
      </w:r>
      <w:r>
        <w:t>strengthening</w:t>
      </w:r>
      <w:r>
        <w:rPr>
          <w:spacing w:val="-7"/>
        </w:rPr>
        <w:t xml:space="preserve"> </w:t>
      </w:r>
      <w:r>
        <w:t>of</w:t>
      </w:r>
      <w:r>
        <w:rPr>
          <w:spacing w:val="-57"/>
        </w:rPr>
        <w:t xml:space="preserve"> </w:t>
      </w:r>
      <w:r>
        <w:t>the</w:t>
      </w:r>
      <w:r>
        <w:rPr>
          <w:spacing w:val="-1"/>
        </w:rPr>
        <w:t xml:space="preserve"> </w:t>
      </w:r>
      <w:r>
        <w:t>Foundation's capacity.</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1746415286"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1018870110" name="Rectangle 150"/>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8336812" id="Group 149"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">
                <v:rect id="Rectangle 150"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" fillcolor="#2c398a" stroked="f"/>
                <w10:anchorlock/>
              </v:group>
            </w:pict>
          </mc:Fallback>
        </mc:AlternateContent>
      </w:r>
    </w:p>
    <w:p w:rsidR="00A56FE9" w:rsidRDefault="00000000">
      <w:pPr>
        <w:pStyle w:val="Tijeloteksta"/>
        <w:spacing w:before="154"/>
        <w:ind w:right="274"/>
      </w:pPr>
      <w:r>
        <w:t>The National Innovation Council (NIC), the umbrella body of the national innovation system,</w:t>
      </w:r>
      <w:r>
        <w:rPr>
          <w:spacing w:val="1"/>
        </w:rPr>
        <w:t xml:space="preserve"> </w:t>
      </w:r>
      <w:r>
        <w:t>continues</w:t>
      </w:r>
      <w:r>
        <w:rPr>
          <w:spacing w:val="-7"/>
        </w:rPr>
        <w:t xml:space="preserve"> </w:t>
      </w:r>
      <w:r>
        <w:t>to</w:t>
      </w:r>
      <w:r>
        <w:rPr>
          <w:spacing w:val="-6"/>
        </w:rPr>
        <w:t xml:space="preserve"> </w:t>
      </w:r>
      <w:r>
        <w:t>work</w:t>
      </w:r>
      <w:r>
        <w:rPr>
          <w:spacing w:val="-7"/>
        </w:rPr>
        <w:t xml:space="preserve"> </w:t>
      </w:r>
      <w:r>
        <w:t>and</w:t>
      </w:r>
      <w:r>
        <w:rPr>
          <w:spacing w:val="-6"/>
        </w:rPr>
        <w:t xml:space="preserve"> </w:t>
      </w:r>
      <w:r>
        <w:t>holds</w:t>
      </w:r>
      <w:r>
        <w:rPr>
          <w:spacing w:val="-6"/>
        </w:rPr>
        <w:t xml:space="preserve"> </w:t>
      </w:r>
      <w:r>
        <w:t>regular</w:t>
      </w:r>
      <w:r>
        <w:rPr>
          <w:spacing w:val="-7"/>
        </w:rPr>
        <w:t xml:space="preserve"> </w:t>
      </w:r>
      <w:r>
        <w:t>sessions.</w:t>
      </w:r>
      <w:r>
        <w:rPr>
          <w:spacing w:val="-3"/>
        </w:rPr>
        <w:t xml:space="preserve"> </w:t>
      </w:r>
      <w:r>
        <w:t>In</w:t>
      </w:r>
      <w:r>
        <w:rPr>
          <w:spacing w:val="-6"/>
        </w:rPr>
        <w:t xml:space="preserve"> </w:t>
      </w:r>
      <w:r>
        <w:t>2020</w:t>
      </w:r>
      <w:r>
        <w:rPr>
          <w:spacing w:val="-7"/>
        </w:rPr>
        <w:t xml:space="preserve"> </w:t>
      </w:r>
      <w:r>
        <w:t>and</w:t>
      </w:r>
      <w:r>
        <w:rPr>
          <w:spacing w:val="-6"/>
        </w:rPr>
        <w:t xml:space="preserve"> </w:t>
      </w:r>
      <w:r>
        <w:t>2021,</w:t>
      </w:r>
      <w:r>
        <w:rPr>
          <w:spacing w:val="-6"/>
        </w:rPr>
        <w:t xml:space="preserve"> </w:t>
      </w:r>
      <w:r>
        <w:t>work</w:t>
      </w:r>
      <w:r>
        <w:rPr>
          <w:spacing w:val="-7"/>
        </w:rPr>
        <w:t xml:space="preserve"> </w:t>
      </w:r>
      <w:r>
        <w:t>continued</w:t>
      </w:r>
      <w:r>
        <w:rPr>
          <w:spacing w:val="-6"/>
        </w:rPr>
        <w:t xml:space="preserve"> </w:t>
      </w:r>
      <w:r>
        <w:t>on</w:t>
      </w:r>
      <w:r>
        <w:rPr>
          <w:spacing w:val="-6"/>
        </w:rPr>
        <w:t xml:space="preserve"> </w:t>
      </w:r>
      <w:r>
        <w:t>monitoring</w:t>
      </w:r>
      <w:r>
        <w:rPr>
          <w:spacing w:val="-58"/>
        </w:rPr>
        <w:t xml:space="preserve"> </w:t>
      </w:r>
      <w:r>
        <w:t>the</w:t>
      </w:r>
      <w:r>
        <w:rPr>
          <w:spacing w:val="-13"/>
        </w:rPr>
        <w:t xml:space="preserve"> </w:t>
      </w:r>
      <w:r>
        <w:t>implementation</w:t>
      </w:r>
      <w:r>
        <w:rPr>
          <w:spacing w:val="-12"/>
        </w:rPr>
        <w:t xml:space="preserve"> </w:t>
      </w:r>
      <w:r>
        <w:t>of</w:t>
      </w:r>
      <w:r>
        <w:rPr>
          <w:spacing w:val="-13"/>
        </w:rPr>
        <w:t xml:space="preserve"> </w:t>
      </w:r>
      <w:r>
        <w:t>the</w:t>
      </w:r>
      <w:r>
        <w:rPr>
          <w:spacing w:val="-11"/>
        </w:rPr>
        <w:t xml:space="preserve"> </w:t>
      </w:r>
      <w:r>
        <w:t>Smart</w:t>
      </w:r>
      <w:r>
        <w:rPr>
          <w:spacing w:val="-12"/>
        </w:rPr>
        <w:t xml:space="preserve"> </w:t>
      </w:r>
      <w:r>
        <w:t>Specialisation</w:t>
      </w:r>
      <w:r>
        <w:rPr>
          <w:spacing w:val="-11"/>
        </w:rPr>
        <w:t xml:space="preserve"> </w:t>
      </w:r>
      <w:r>
        <w:t>Strategy</w:t>
      </w:r>
      <w:r>
        <w:rPr>
          <w:spacing w:val="-15"/>
        </w:rPr>
        <w:t xml:space="preserve"> </w:t>
      </w:r>
      <w:r>
        <w:t>for</w:t>
      </w:r>
      <w:r>
        <w:rPr>
          <w:spacing w:val="-12"/>
        </w:rPr>
        <w:t xml:space="preserve"> </w:t>
      </w:r>
      <w:r>
        <w:t>the</w:t>
      </w:r>
      <w:r>
        <w:rPr>
          <w:spacing w:val="-13"/>
        </w:rPr>
        <w:t xml:space="preserve"> </w:t>
      </w:r>
      <w:r>
        <w:t>period</w:t>
      </w:r>
      <w:r>
        <w:rPr>
          <w:spacing w:val="-13"/>
        </w:rPr>
        <w:t xml:space="preserve"> </w:t>
      </w:r>
      <w:r>
        <w:t>from</w:t>
      </w:r>
      <w:r>
        <w:rPr>
          <w:spacing w:val="-12"/>
        </w:rPr>
        <w:t xml:space="preserve"> </w:t>
      </w:r>
      <w:r>
        <w:t>2016</w:t>
      </w:r>
      <w:r>
        <w:rPr>
          <w:spacing w:val="-12"/>
        </w:rPr>
        <w:t xml:space="preserve"> </w:t>
      </w:r>
      <w:r>
        <w:t>to</w:t>
      </w:r>
      <w:r>
        <w:rPr>
          <w:spacing w:val="-12"/>
        </w:rPr>
        <w:t xml:space="preserve"> </w:t>
      </w:r>
      <w:r>
        <w:t>2020.</w:t>
      </w:r>
      <w:r>
        <w:rPr>
          <w:spacing w:val="-12"/>
        </w:rPr>
        <w:t xml:space="preserve"> </w:t>
      </w:r>
      <w:r>
        <w:t>Also,</w:t>
      </w:r>
      <w:r>
        <w:rPr>
          <w:spacing w:val="-57"/>
        </w:rPr>
        <w:t xml:space="preserve"> </w:t>
      </w:r>
      <w:r>
        <w:t>a</w:t>
      </w:r>
      <w:r>
        <w:rPr>
          <w:spacing w:val="21"/>
        </w:rPr>
        <w:t xml:space="preserve"> </w:t>
      </w:r>
      <w:r>
        <w:t>medium-term</w:t>
      </w:r>
      <w:r>
        <w:rPr>
          <w:spacing w:val="23"/>
        </w:rPr>
        <w:t xml:space="preserve"> </w:t>
      </w:r>
      <w:r>
        <w:t>evaluation</w:t>
      </w:r>
      <w:r>
        <w:rPr>
          <w:spacing w:val="23"/>
        </w:rPr>
        <w:t xml:space="preserve"> </w:t>
      </w:r>
      <w:r>
        <w:t>of</w:t>
      </w:r>
      <w:r>
        <w:rPr>
          <w:spacing w:val="22"/>
        </w:rPr>
        <w:t xml:space="preserve"> </w:t>
      </w:r>
      <w:r>
        <w:t>the</w:t>
      </w:r>
      <w:r>
        <w:rPr>
          <w:spacing w:val="22"/>
        </w:rPr>
        <w:t xml:space="preserve"> </w:t>
      </w:r>
      <w:r>
        <w:t>Strategy</w:t>
      </w:r>
      <w:r>
        <w:rPr>
          <w:spacing w:val="18"/>
        </w:rPr>
        <w:t xml:space="preserve"> </w:t>
      </w:r>
      <w:r>
        <w:t>in</w:t>
      </w:r>
      <w:r>
        <w:rPr>
          <w:spacing w:val="23"/>
        </w:rPr>
        <w:t xml:space="preserve"> </w:t>
      </w:r>
      <w:r>
        <w:t>the</w:t>
      </w:r>
      <w:r>
        <w:rPr>
          <w:spacing w:val="22"/>
        </w:rPr>
        <w:t xml:space="preserve"> </w:t>
      </w:r>
      <w:r>
        <w:t>form</w:t>
      </w:r>
      <w:r>
        <w:rPr>
          <w:spacing w:val="23"/>
        </w:rPr>
        <w:t xml:space="preserve"> </w:t>
      </w:r>
      <w:r>
        <w:t>of</w:t>
      </w:r>
      <w:r>
        <w:rPr>
          <w:spacing w:val="23"/>
        </w:rPr>
        <w:t xml:space="preserve"> </w:t>
      </w:r>
      <w:r>
        <w:t>an</w:t>
      </w:r>
      <w:r>
        <w:rPr>
          <w:spacing w:val="22"/>
        </w:rPr>
        <w:t xml:space="preserve"> </w:t>
      </w:r>
      <w:r>
        <w:t>in-depth</w:t>
      </w:r>
      <w:r>
        <w:rPr>
          <w:spacing w:val="22"/>
        </w:rPr>
        <w:t xml:space="preserve"> </w:t>
      </w:r>
      <w:r>
        <w:t>analysis</w:t>
      </w:r>
      <w:r>
        <w:rPr>
          <w:spacing w:val="23"/>
        </w:rPr>
        <w:t xml:space="preserve"> </w:t>
      </w:r>
      <w:r>
        <w:t>of</w:t>
      </w:r>
      <w:r>
        <w:rPr>
          <w:spacing w:val="22"/>
        </w:rPr>
        <w:t xml:space="preserve"> </w:t>
      </w:r>
      <w:r>
        <w:t>S3</w:t>
      </w:r>
      <w:r>
        <w:rPr>
          <w:spacing w:val="22"/>
        </w:rPr>
        <w:t xml:space="preserve"> </w:t>
      </w:r>
      <w:r>
        <w:t>and</w:t>
      </w:r>
      <w:r>
        <w:rPr>
          <w:spacing w:val="22"/>
        </w:rPr>
        <w:t xml:space="preserve"> </w:t>
      </w:r>
      <w:r>
        <w:t>the</w:t>
      </w:r>
    </w:p>
    <w:p w:rsidR="00A56FE9" w:rsidRDefault="00A56FE9">
      <w:pPr>
        <w:sectPr w:rsidR="00A56FE9" w:rsidSect="00AB1E70">
          <w:pgSz w:w="11910" w:h="16840"/>
          <w:pgMar w:top="1340" w:right="1140" w:bottom="960" w:left="1280" w:header="0" w:footer="779" w:gutter="0"/>
          <w:cols w:space="720"/>
        </w:sectPr>
      </w:pPr>
    </w:p>
    <w:p w:rsidR="00A56FE9" w:rsidRDefault="00000000">
      <w:pPr>
        <w:pStyle w:val="Tijeloteksta"/>
        <w:spacing w:before="74"/>
        <w:ind w:right="275"/>
      </w:pPr>
      <w:r>
        <w:t>contribution of instruments to the overall Strategy objectives with the information collected</w:t>
      </w:r>
      <w:r>
        <w:rPr>
          <w:spacing w:val="1"/>
        </w:rPr>
        <w:t xml:space="preserve"> </w:t>
      </w:r>
      <w:r>
        <w:t>used</w:t>
      </w:r>
      <w:r>
        <w:rPr>
          <w:spacing w:val="-1"/>
        </w:rPr>
        <w:t xml:space="preserve"> </w:t>
      </w:r>
      <w:r>
        <w:t>in developing</w:t>
      </w:r>
      <w:r>
        <w:rPr>
          <w:spacing w:val="-2"/>
        </w:rPr>
        <w:t xml:space="preserve"> </w:t>
      </w:r>
      <w:r>
        <w:t>the</w:t>
      </w:r>
      <w:r>
        <w:rPr>
          <w:spacing w:val="-1"/>
        </w:rPr>
        <w:t xml:space="preserve"> </w:t>
      </w:r>
      <w:r>
        <w:t>new Strategy</w:t>
      </w:r>
      <w:r>
        <w:rPr>
          <w:spacing w:val="-3"/>
        </w:rPr>
        <w:t xml:space="preserve"> </w:t>
      </w:r>
      <w:r>
        <w:t>(2021-2029).</w:t>
      </w:r>
    </w:p>
    <w:p w:rsidR="00A56FE9" w:rsidRDefault="00CC1B9B">
      <w:pPr>
        <w:pStyle w:val="Tijeloteksta"/>
        <w:spacing w:before="120"/>
        <w:ind w:right="272"/>
      </w:pPr>
      <w:r>
        <w:rPr>
          <w:noProof/>
        </w:rPr>
        <mc:AlternateContent>
          <mc:Choice Requires="wps">
            <w:drawing>
              <wp:anchor distT="0" distB="0" distL="114300" distR="114300" simplePos="0" relativeHeight="15793664" behindDoc="0" locked="0" layoutInCell="1" allowOverlap="1">
                <wp:simplePos x="0" y="0"/>
                <wp:positionH relativeFrom="page">
                  <wp:posOffset>814070</wp:posOffset>
                </wp:positionH>
                <wp:positionV relativeFrom="paragraph">
                  <wp:posOffset>857250</wp:posOffset>
                </wp:positionV>
                <wp:extent cx="18415" cy="417830"/>
                <wp:effectExtent l="0" t="0" r="0" b="0"/>
                <wp:wrapNone/>
                <wp:docPr id="1769149810"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BF950" id="Rectangle 148" o:spid="_x0000_s1026" style="position:absolute;margin-left:64.1pt;margin-top:67.5pt;width:1.45pt;height:32.9pt;z-index:1579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" fillcolor="#da1f2c" stroked="f">
                <w10:wrap anchorx="page"/>
              </v:rect>
            </w:pict>
          </mc:Fallback>
        </mc:AlternateContent>
      </w:r>
      <w:r w:rsidR="00000000">
        <w:t>In 2022, activities on the ex-post evaluation of the Strategy began, where the success of</w:t>
      </w:r>
      <w:r w:rsidR="00000000">
        <w:rPr>
          <w:spacing w:val="1"/>
        </w:rPr>
        <w:t xml:space="preserve"> </w:t>
      </w:r>
      <w:r w:rsidR="00000000">
        <w:t>achieving the expected goals and indicators will be analysed, including a qualitative and</w:t>
      </w:r>
      <w:r w:rsidR="00000000">
        <w:rPr>
          <w:spacing w:val="1"/>
        </w:rPr>
        <w:t xml:space="preserve"> </w:t>
      </w:r>
      <w:r w:rsidR="00000000">
        <w:t>contextual</w:t>
      </w:r>
      <w:r w:rsidR="00000000">
        <w:rPr>
          <w:spacing w:val="-6"/>
        </w:rPr>
        <w:t xml:space="preserve"> </w:t>
      </w:r>
      <w:r w:rsidR="00000000">
        <w:t>analysis</w:t>
      </w:r>
      <w:r w:rsidR="00000000">
        <w:rPr>
          <w:spacing w:val="-6"/>
        </w:rPr>
        <w:t xml:space="preserve"> </w:t>
      </w:r>
      <w:r w:rsidR="00000000">
        <w:t>of</w:t>
      </w:r>
      <w:r w:rsidR="00000000">
        <w:rPr>
          <w:spacing w:val="-7"/>
        </w:rPr>
        <w:t xml:space="preserve"> </w:t>
      </w:r>
      <w:r w:rsidR="00000000">
        <w:t>the</w:t>
      </w:r>
      <w:r w:rsidR="00000000">
        <w:rPr>
          <w:spacing w:val="-4"/>
        </w:rPr>
        <w:t xml:space="preserve"> </w:t>
      </w:r>
      <w:r w:rsidR="00000000">
        <w:t>results</w:t>
      </w:r>
      <w:r w:rsidR="00000000">
        <w:rPr>
          <w:spacing w:val="-6"/>
        </w:rPr>
        <w:t xml:space="preserve"> </w:t>
      </w:r>
      <w:r w:rsidR="00000000">
        <w:t>of</w:t>
      </w:r>
      <w:r w:rsidR="00000000">
        <w:rPr>
          <w:spacing w:val="-7"/>
        </w:rPr>
        <w:t xml:space="preserve"> </w:t>
      </w:r>
      <w:r w:rsidR="00000000">
        <w:t>the</w:t>
      </w:r>
      <w:r w:rsidR="00000000">
        <w:rPr>
          <w:spacing w:val="-7"/>
        </w:rPr>
        <w:t xml:space="preserve"> </w:t>
      </w:r>
      <w:r w:rsidR="00000000">
        <w:t>Strategy.</w:t>
      </w:r>
      <w:r w:rsidR="00000000">
        <w:rPr>
          <w:spacing w:val="-5"/>
        </w:rPr>
        <w:t xml:space="preserve"> </w:t>
      </w:r>
      <w:r w:rsidR="00000000">
        <w:t>This</w:t>
      </w:r>
      <w:r w:rsidR="00000000">
        <w:rPr>
          <w:spacing w:val="-2"/>
        </w:rPr>
        <w:t xml:space="preserve"> </w:t>
      </w:r>
      <w:r w:rsidR="00000000">
        <w:t>is</w:t>
      </w:r>
      <w:r w:rsidR="00000000">
        <w:rPr>
          <w:spacing w:val="-6"/>
        </w:rPr>
        <w:t xml:space="preserve"> </w:t>
      </w:r>
      <w:r w:rsidR="00000000">
        <w:t>done</w:t>
      </w:r>
      <w:r w:rsidR="00000000">
        <w:rPr>
          <w:spacing w:val="-7"/>
        </w:rPr>
        <w:t xml:space="preserve"> </w:t>
      </w:r>
      <w:r w:rsidR="00000000">
        <w:t>by</w:t>
      </w:r>
      <w:r w:rsidR="00000000">
        <w:rPr>
          <w:spacing w:val="-10"/>
        </w:rPr>
        <w:t xml:space="preserve"> </w:t>
      </w:r>
      <w:r w:rsidR="00000000">
        <w:t>evaluating</w:t>
      </w:r>
      <w:r w:rsidR="00000000">
        <w:rPr>
          <w:spacing w:val="-6"/>
        </w:rPr>
        <w:t xml:space="preserve"> </w:t>
      </w:r>
      <w:r w:rsidR="00000000">
        <w:t>the</w:t>
      </w:r>
      <w:r w:rsidR="00000000">
        <w:rPr>
          <w:spacing w:val="-7"/>
        </w:rPr>
        <w:t xml:space="preserve"> </w:t>
      </w:r>
      <w:r w:rsidR="00000000">
        <w:t>performance</w:t>
      </w:r>
      <w:r w:rsidR="00000000">
        <w:rPr>
          <w:spacing w:val="-6"/>
        </w:rPr>
        <w:t xml:space="preserve"> </w:t>
      </w:r>
      <w:r w:rsidR="00000000">
        <w:t>of</w:t>
      </w:r>
      <w:r w:rsidR="00000000">
        <w:rPr>
          <w:spacing w:val="-58"/>
        </w:rPr>
        <w:t xml:space="preserve"> </w:t>
      </w:r>
      <w:r w:rsidR="00000000">
        <w:t>S3</w:t>
      </w:r>
      <w:r w:rsidR="00000000">
        <w:rPr>
          <w:spacing w:val="-1"/>
        </w:rPr>
        <w:t xml:space="preserve"> </w:t>
      </w:r>
      <w:r w:rsidR="00000000">
        <w:t>instruments and the</w:t>
      </w:r>
      <w:r w:rsidR="00000000">
        <w:rPr>
          <w:spacing w:val="-1"/>
        </w:rPr>
        <w:t xml:space="preserve"> </w:t>
      </w:r>
      <w:r w:rsidR="00000000">
        <w:t>effectiveness of the</w:t>
      </w:r>
      <w:r w:rsidR="00000000">
        <w:rPr>
          <w:spacing w:val="-3"/>
        </w:rPr>
        <w:t xml:space="preserve"> </w:t>
      </w:r>
      <w:r w:rsidR="00000000">
        <w:t>management system.</w:t>
      </w:r>
    </w:p>
    <w:p w:rsidR="00A56FE9" w:rsidRDefault="00A56FE9">
      <w:pPr>
        <w:pStyle w:val="Tijeloteksta"/>
        <w:ind w:left="0"/>
        <w:jc w:val="left"/>
        <w:rPr>
          <w:sz w:val="32"/>
        </w:rPr>
      </w:pPr>
    </w:p>
    <w:p w:rsidR="00A56FE9" w:rsidRDefault="00000000">
      <w:pPr>
        <w:pStyle w:val="Naslov4"/>
      </w:pPr>
      <w:r>
        <w:rPr>
          <w:color w:val="2C398A"/>
        </w:rPr>
        <w:t>Strengthening</w:t>
      </w:r>
      <w:r>
        <w:rPr>
          <w:color w:val="2C398A"/>
          <w:spacing w:val="-3"/>
        </w:rPr>
        <w:t xml:space="preserve"> </w:t>
      </w:r>
      <w:r>
        <w:rPr>
          <w:color w:val="2C398A"/>
        </w:rPr>
        <w:t>human</w:t>
      </w:r>
      <w:r>
        <w:rPr>
          <w:color w:val="2C398A"/>
          <w:spacing w:val="-1"/>
        </w:rPr>
        <w:t xml:space="preserve"> </w:t>
      </w:r>
      <w:r>
        <w:rPr>
          <w:color w:val="2C398A"/>
        </w:rPr>
        <w:t>potential</w:t>
      </w:r>
      <w:r>
        <w:rPr>
          <w:color w:val="2C398A"/>
          <w:spacing w:val="-1"/>
        </w:rPr>
        <w:t xml:space="preserve"> </w:t>
      </w:r>
      <w:r>
        <w:rPr>
          <w:color w:val="2C398A"/>
        </w:rPr>
        <w:t>in</w:t>
      </w:r>
      <w:r>
        <w:rPr>
          <w:color w:val="2C398A"/>
          <w:spacing w:val="-3"/>
        </w:rPr>
        <w:t xml:space="preserve"> </w:t>
      </w:r>
      <w:r>
        <w:rPr>
          <w:color w:val="2C398A"/>
        </w:rPr>
        <w:t>science</w:t>
      </w:r>
    </w:p>
    <w:p w:rsidR="00A56FE9" w:rsidRDefault="00000000">
      <w:pPr>
        <w:spacing w:before="231"/>
        <w:ind w:left="138" w:right="271"/>
        <w:jc w:val="both"/>
        <w:rPr>
          <w:i/>
          <w:sz w:val="24"/>
        </w:rPr>
      </w:pPr>
      <w:r>
        <w:rPr>
          <w:i/>
          <w:color w:val="2C398A"/>
          <w:sz w:val="24"/>
        </w:rPr>
        <w:t>2019. CSR2.1. Deliver on the education reform and improve both access to education and</w:t>
      </w:r>
      <w:r>
        <w:rPr>
          <w:i/>
          <w:color w:val="2C398A"/>
          <w:spacing w:val="1"/>
          <w:sz w:val="24"/>
        </w:rPr>
        <w:t xml:space="preserve"> </w:t>
      </w:r>
      <w:r>
        <w:rPr>
          <w:i/>
          <w:color w:val="2C398A"/>
          <w:sz w:val="24"/>
        </w:rPr>
        <w:t>training</w:t>
      </w:r>
      <w:r>
        <w:rPr>
          <w:i/>
          <w:color w:val="2C398A"/>
          <w:spacing w:val="-6"/>
          <w:sz w:val="24"/>
        </w:rPr>
        <w:t xml:space="preserve"> </w:t>
      </w:r>
      <w:r>
        <w:rPr>
          <w:i/>
          <w:color w:val="2C398A"/>
          <w:sz w:val="24"/>
        </w:rPr>
        <w:t>at</w:t>
      </w:r>
      <w:r>
        <w:rPr>
          <w:i/>
          <w:color w:val="2C398A"/>
          <w:spacing w:val="-8"/>
          <w:sz w:val="24"/>
        </w:rPr>
        <w:t xml:space="preserve"> </w:t>
      </w:r>
      <w:r>
        <w:rPr>
          <w:i/>
          <w:color w:val="2C398A"/>
          <w:sz w:val="24"/>
        </w:rPr>
        <w:t>all</w:t>
      </w:r>
      <w:r>
        <w:rPr>
          <w:i/>
          <w:color w:val="2C398A"/>
          <w:spacing w:val="-7"/>
          <w:sz w:val="24"/>
        </w:rPr>
        <w:t xml:space="preserve"> </w:t>
      </w:r>
      <w:r>
        <w:rPr>
          <w:i/>
          <w:color w:val="2C398A"/>
          <w:sz w:val="24"/>
        </w:rPr>
        <w:t>levels</w:t>
      </w:r>
      <w:r>
        <w:rPr>
          <w:i/>
          <w:color w:val="2C398A"/>
          <w:spacing w:val="-6"/>
          <w:sz w:val="24"/>
        </w:rPr>
        <w:t xml:space="preserve"> </w:t>
      </w:r>
      <w:r>
        <w:rPr>
          <w:i/>
          <w:color w:val="2C398A"/>
          <w:sz w:val="24"/>
        </w:rPr>
        <w:t>and</w:t>
      </w:r>
      <w:r>
        <w:rPr>
          <w:i/>
          <w:color w:val="2C398A"/>
          <w:spacing w:val="-8"/>
          <w:sz w:val="24"/>
        </w:rPr>
        <w:t xml:space="preserve"> </w:t>
      </w:r>
      <w:r>
        <w:rPr>
          <w:i/>
          <w:color w:val="2C398A"/>
          <w:sz w:val="24"/>
        </w:rPr>
        <w:t>their</w:t>
      </w:r>
      <w:r>
        <w:rPr>
          <w:i/>
          <w:color w:val="2C398A"/>
          <w:spacing w:val="-6"/>
          <w:sz w:val="24"/>
        </w:rPr>
        <w:t xml:space="preserve"> </w:t>
      </w:r>
      <w:r>
        <w:rPr>
          <w:i/>
          <w:color w:val="2C398A"/>
          <w:sz w:val="24"/>
        </w:rPr>
        <w:t>quality</w:t>
      </w:r>
      <w:r>
        <w:rPr>
          <w:i/>
          <w:color w:val="2C398A"/>
          <w:spacing w:val="-6"/>
          <w:sz w:val="24"/>
        </w:rPr>
        <w:t xml:space="preserve"> </w:t>
      </w:r>
      <w:r>
        <w:rPr>
          <w:i/>
          <w:color w:val="2C398A"/>
          <w:sz w:val="24"/>
        </w:rPr>
        <w:t>and</w:t>
      </w:r>
      <w:r>
        <w:rPr>
          <w:i/>
          <w:color w:val="2C398A"/>
          <w:spacing w:val="-9"/>
          <w:sz w:val="24"/>
        </w:rPr>
        <w:t xml:space="preserve"> </w:t>
      </w:r>
      <w:r>
        <w:rPr>
          <w:i/>
          <w:color w:val="2C398A"/>
          <w:sz w:val="24"/>
        </w:rPr>
        <w:t>labour</w:t>
      </w:r>
      <w:r>
        <w:rPr>
          <w:i/>
          <w:color w:val="2C398A"/>
          <w:spacing w:val="-7"/>
          <w:sz w:val="24"/>
        </w:rPr>
        <w:t xml:space="preserve"> </w:t>
      </w:r>
      <w:r>
        <w:rPr>
          <w:i/>
          <w:color w:val="2C398A"/>
          <w:sz w:val="24"/>
        </w:rPr>
        <w:t>market</w:t>
      </w:r>
      <w:r>
        <w:rPr>
          <w:i/>
          <w:color w:val="2C398A"/>
          <w:spacing w:val="-4"/>
          <w:sz w:val="24"/>
        </w:rPr>
        <w:t xml:space="preserve"> </w:t>
      </w:r>
      <w:r>
        <w:rPr>
          <w:i/>
          <w:color w:val="2C398A"/>
          <w:sz w:val="24"/>
        </w:rPr>
        <w:t>relevance;</w:t>
      </w:r>
      <w:r>
        <w:rPr>
          <w:i/>
          <w:color w:val="2C398A"/>
          <w:spacing w:val="-6"/>
          <w:sz w:val="24"/>
        </w:rPr>
        <w:t xml:space="preserve"> </w:t>
      </w:r>
      <w:r>
        <w:rPr>
          <w:i/>
          <w:color w:val="2C398A"/>
          <w:sz w:val="24"/>
        </w:rPr>
        <w:t>2020.CSR2.3.</w:t>
      </w:r>
      <w:r>
        <w:rPr>
          <w:i/>
          <w:color w:val="2C398A"/>
          <w:spacing w:val="-5"/>
          <w:sz w:val="24"/>
        </w:rPr>
        <w:t xml:space="preserve"> </w:t>
      </w:r>
      <w:r>
        <w:rPr>
          <w:i/>
          <w:color w:val="2C398A"/>
          <w:sz w:val="24"/>
        </w:rPr>
        <w:t>Promote</w:t>
      </w:r>
      <w:r>
        <w:rPr>
          <w:i/>
          <w:color w:val="2C398A"/>
          <w:spacing w:val="-6"/>
          <w:sz w:val="24"/>
        </w:rPr>
        <w:t xml:space="preserve"> </w:t>
      </w:r>
      <w:r>
        <w:rPr>
          <w:i/>
          <w:color w:val="2C398A"/>
          <w:sz w:val="24"/>
        </w:rPr>
        <w:t>the</w:t>
      </w:r>
      <w:r>
        <w:rPr>
          <w:i/>
          <w:color w:val="2C398A"/>
          <w:spacing w:val="-58"/>
          <w:sz w:val="24"/>
        </w:rPr>
        <w:t xml:space="preserve"> </w:t>
      </w:r>
      <w:r>
        <w:rPr>
          <w:i/>
          <w:color w:val="2C398A"/>
          <w:sz w:val="24"/>
        </w:rPr>
        <w:t>acquisition</w:t>
      </w:r>
      <w:r>
        <w:rPr>
          <w:i/>
          <w:color w:val="2C398A"/>
          <w:spacing w:val="-1"/>
          <w:sz w:val="24"/>
        </w:rPr>
        <w:t xml:space="preserve"> </w:t>
      </w:r>
      <w:r>
        <w:rPr>
          <w:i/>
          <w:color w:val="2C398A"/>
          <w:sz w:val="24"/>
        </w:rPr>
        <w:t>of skills</w:t>
      </w:r>
    </w:p>
    <w:p w:rsidR="00A56FE9" w:rsidRDefault="00A56FE9">
      <w:pPr>
        <w:pStyle w:val="Tijeloteksta"/>
        <w:spacing w:before="4"/>
        <w:ind w:left="0"/>
        <w:jc w:val="left"/>
        <w:rPr>
          <w:i/>
          <w:sz w:val="21"/>
        </w:rPr>
      </w:pPr>
    </w:p>
    <w:p w:rsidR="00A56FE9" w:rsidRDefault="00CC1B9B">
      <w:pPr>
        <w:pStyle w:val="Naslov5"/>
      </w:pPr>
      <w:r>
        <w:rPr>
          <w:noProof/>
        </w:rPr>
        <mc:AlternateContent>
          <mc:Choice Requires="wps">
            <w:drawing>
              <wp:anchor distT="0" distB="0" distL="0" distR="0" simplePos="0" relativeHeight="487651840" behindDoc="1" locked="0" layoutInCell="1" allowOverlap="1">
                <wp:simplePos x="0" y="0"/>
                <wp:positionH relativeFrom="page">
                  <wp:posOffset>882650</wp:posOffset>
                </wp:positionH>
                <wp:positionV relativeFrom="paragraph">
                  <wp:posOffset>189230</wp:posOffset>
                </wp:positionV>
                <wp:extent cx="3277235" cy="12065"/>
                <wp:effectExtent l="0" t="0" r="0" b="0"/>
                <wp:wrapTopAndBottom/>
                <wp:docPr id="1962210909"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7235"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03B57" id="Rectangle 147" o:spid="_x0000_s1026" style="position:absolute;margin-left:69.5pt;margin-top:14.9pt;width:258.05pt;height:.95pt;z-index:-15664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" fillcolor="#2c398a" stroked="f">
                <w10:wrap type="topAndBottom" anchorx="page"/>
              </v:rect>
            </w:pict>
          </mc:Fallback>
        </mc:AlternateContent>
      </w:r>
      <w:r w:rsidR="00000000">
        <w:t>Progress</w:t>
      </w:r>
      <w:r w:rsidR="00000000">
        <w:rPr>
          <w:spacing w:val="-2"/>
        </w:rPr>
        <w:t xml:space="preserve"> </w:t>
      </w:r>
      <w:r w:rsidR="00000000">
        <w:t>in</w:t>
      </w:r>
      <w:r w:rsidR="00000000">
        <w:rPr>
          <w:spacing w:val="-2"/>
        </w:rPr>
        <w:t xml:space="preserve"> </w:t>
      </w:r>
      <w:r w:rsidR="00000000">
        <w:t>implementing</w:t>
      </w:r>
      <w:r w:rsidR="00000000">
        <w:rPr>
          <w:spacing w:val="-2"/>
        </w:rPr>
        <w:t xml:space="preserve"> </w:t>
      </w:r>
      <w:r w:rsidR="00000000">
        <w:t>the</w:t>
      </w:r>
      <w:r w:rsidR="00000000">
        <w:rPr>
          <w:spacing w:val="-2"/>
        </w:rPr>
        <w:t xml:space="preserve"> </w:t>
      </w:r>
      <w:r w:rsidR="00000000">
        <w:t>recommendations</w:t>
      </w:r>
    </w:p>
    <w:p w:rsidR="00A56FE9" w:rsidRDefault="00000000">
      <w:pPr>
        <w:pStyle w:val="Tijeloteksta"/>
        <w:spacing w:before="126"/>
        <w:ind w:right="276"/>
      </w:pPr>
      <w:r>
        <w:t>Croatia</w:t>
      </w:r>
      <w:r>
        <w:rPr>
          <w:spacing w:val="-10"/>
        </w:rPr>
        <w:t xml:space="preserve"> </w:t>
      </w:r>
      <w:r>
        <w:t>lags</w:t>
      </w:r>
      <w:r>
        <w:rPr>
          <w:spacing w:val="-8"/>
        </w:rPr>
        <w:t xml:space="preserve"> </w:t>
      </w:r>
      <w:r>
        <w:t>behind</w:t>
      </w:r>
      <w:r>
        <w:rPr>
          <w:spacing w:val="-8"/>
        </w:rPr>
        <w:t xml:space="preserve"> </w:t>
      </w:r>
      <w:r>
        <w:t>in</w:t>
      </w:r>
      <w:r>
        <w:rPr>
          <w:spacing w:val="-8"/>
        </w:rPr>
        <w:t xml:space="preserve"> </w:t>
      </w:r>
      <w:r>
        <w:t>the</w:t>
      </w:r>
      <w:r>
        <w:rPr>
          <w:spacing w:val="-6"/>
        </w:rPr>
        <w:t xml:space="preserve"> </w:t>
      </w:r>
      <w:r>
        <w:t>number</w:t>
      </w:r>
      <w:r>
        <w:rPr>
          <w:spacing w:val="-10"/>
        </w:rPr>
        <w:t xml:space="preserve"> </w:t>
      </w:r>
      <w:r>
        <w:t>of</w:t>
      </w:r>
      <w:r>
        <w:rPr>
          <w:spacing w:val="-7"/>
        </w:rPr>
        <w:t xml:space="preserve"> </w:t>
      </w:r>
      <w:r>
        <w:t>researchers,</w:t>
      </w:r>
      <w:r>
        <w:rPr>
          <w:spacing w:val="-7"/>
        </w:rPr>
        <w:t xml:space="preserve"> </w:t>
      </w:r>
      <w:r>
        <w:t>whose</w:t>
      </w:r>
      <w:r>
        <w:rPr>
          <w:spacing w:val="-10"/>
        </w:rPr>
        <w:t xml:space="preserve"> </w:t>
      </w:r>
      <w:r>
        <w:t>share</w:t>
      </w:r>
      <w:r>
        <w:rPr>
          <w:spacing w:val="-9"/>
        </w:rPr>
        <w:t xml:space="preserve"> </w:t>
      </w:r>
      <w:r>
        <w:t>in</w:t>
      </w:r>
      <w:r>
        <w:rPr>
          <w:spacing w:val="-8"/>
        </w:rPr>
        <w:t xml:space="preserve"> </w:t>
      </w:r>
      <w:r>
        <w:t>total</w:t>
      </w:r>
      <w:r>
        <w:rPr>
          <w:spacing w:val="-8"/>
        </w:rPr>
        <w:t xml:space="preserve"> </w:t>
      </w:r>
      <w:r>
        <w:t>employment</w:t>
      </w:r>
      <w:r>
        <w:rPr>
          <w:spacing w:val="-9"/>
        </w:rPr>
        <w:t xml:space="preserve"> </w:t>
      </w:r>
      <w:r>
        <w:t>in</w:t>
      </w:r>
      <w:r>
        <w:rPr>
          <w:spacing w:val="-8"/>
        </w:rPr>
        <w:t xml:space="preserve"> </w:t>
      </w:r>
      <w:r>
        <w:t>2019</w:t>
      </w:r>
      <w:r>
        <w:rPr>
          <w:spacing w:val="-5"/>
        </w:rPr>
        <w:t xml:space="preserve"> </w:t>
      </w:r>
      <w:r>
        <w:t>was</w:t>
      </w:r>
      <w:r>
        <w:rPr>
          <w:spacing w:val="-58"/>
        </w:rPr>
        <w:t xml:space="preserve"> </w:t>
      </w:r>
      <w:r>
        <w:t>0.95%, compared to the EU-27 average of 1.45%. Due to insufficient investment in young</w:t>
      </w:r>
      <w:r>
        <w:rPr>
          <w:spacing w:val="1"/>
        </w:rPr>
        <w:t xml:space="preserve"> </w:t>
      </w:r>
      <w:r>
        <w:t>researchers</w:t>
      </w:r>
      <w:r>
        <w:rPr>
          <w:spacing w:val="-15"/>
        </w:rPr>
        <w:t xml:space="preserve"> </w:t>
      </w:r>
      <w:r>
        <w:t>over</w:t>
      </w:r>
      <w:r>
        <w:rPr>
          <w:spacing w:val="-16"/>
        </w:rPr>
        <w:t xml:space="preserve"> </w:t>
      </w:r>
      <w:r>
        <w:t>the</w:t>
      </w:r>
      <w:r>
        <w:rPr>
          <w:spacing w:val="-13"/>
        </w:rPr>
        <w:t xml:space="preserve"> </w:t>
      </w:r>
      <w:r>
        <w:t>last</w:t>
      </w:r>
      <w:r>
        <w:rPr>
          <w:spacing w:val="-15"/>
        </w:rPr>
        <w:t xml:space="preserve"> </w:t>
      </w:r>
      <w:r>
        <w:t>decade,</w:t>
      </w:r>
      <w:r>
        <w:rPr>
          <w:spacing w:val="-15"/>
        </w:rPr>
        <w:t xml:space="preserve"> </w:t>
      </w:r>
      <w:r>
        <w:t>they</w:t>
      </w:r>
      <w:r>
        <w:rPr>
          <w:spacing w:val="-17"/>
        </w:rPr>
        <w:t xml:space="preserve"> </w:t>
      </w:r>
      <w:r>
        <w:t>have</w:t>
      </w:r>
      <w:r>
        <w:rPr>
          <w:spacing w:val="-14"/>
        </w:rPr>
        <w:t xml:space="preserve"> </w:t>
      </w:r>
      <w:r>
        <w:t>not</w:t>
      </w:r>
      <w:r>
        <w:rPr>
          <w:spacing w:val="-14"/>
        </w:rPr>
        <w:t xml:space="preserve"> </w:t>
      </w:r>
      <w:r>
        <w:t>been</w:t>
      </w:r>
      <w:r>
        <w:rPr>
          <w:spacing w:val="-13"/>
        </w:rPr>
        <w:t xml:space="preserve"> </w:t>
      </w:r>
      <w:r>
        <w:t>sufficiently</w:t>
      </w:r>
      <w:r>
        <w:rPr>
          <w:spacing w:val="-17"/>
        </w:rPr>
        <w:t xml:space="preserve"> </w:t>
      </w:r>
      <w:r>
        <w:t>encouraged</w:t>
      </w:r>
      <w:r>
        <w:rPr>
          <w:spacing w:val="-13"/>
        </w:rPr>
        <w:t xml:space="preserve"> </w:t>
      </w:r>
      <w:r>
        <w:t>to</w:t>
      </w:r>
      <w:r>
        <w:rPr>
          <w:spacing w:val="-15"/>
        </w:rPr>
        <w:t xml:space="preserve"> </w:t>
      </w:r>
      <w:r>
        <w:t>join</w:t>
      </w:r>
      <w:r>
        <w:rPr>
          <w:spacing w:val="-15"/>
        </w:rPr>
        <w:t xml:space="preserve"> </w:t>
      </w:r>
      <w:r>
        <w:t>the</w:t>
      </w:r>
      <w:r>
        <w:rPr>
          <w:spacing w:val="-15"/>
        </w:rPr>
        <w:t xml:space="preserve"> </w:t>
      </w:r>
      <w:r>
        <w:t>scientific</w:t>
      </w:r>
      <w:r>
        <w:rPr>
          <w:spacing w:val="-57"/>
        </w:rPr>
        <w:t xml:space="preserve"> </w:t>
      </w:r>
      <w:r>
        <w:t>community. Although the annual number of graduates in natural and technical sciences in</w:t>
      </w:r>
      <w:r>
        <w:rPr>
          <w:spacing w:val="1"/>
        </w:rPr>
        <w:t xml:space="preserve"> </w:t>
      </w:r>
      <w:r>
        <w:t>Croatia in 2019 (19.8 per 1000 inhabitants) grew close to the EU-27 level (20.8 per 1000</w:t>
      </w:r>
      <w:r>
        <w:rPr>
          <w:spacing w:val="1"/>
        </w:rPr>
        <w:t xml:space="preserve"> </w:t>
      </w:r>
      <w:r>
        <w:t>inhabitants), the current number of researchers and experts is not enough to increase the share</w:t>
      </w:r>
      <w:r>
        <w:rPr>
          <w:spacing w:val="1"/>
        </w:rPr>
        <w:t xml:space="preserve"> </w:t>
      </w:r>
      <w:r>
        <w:t>of</w:t>
      </w:r>
      <w:r>
        <w:rPr>
          <w:spacing w:val="-1"/>
        </w:rPr>
        <w:t xml:space="preserve"> </w:t>
      </w:r>
      <w:r>
        <w:t>knowledge-based services and products</w:t>
      </w:r>
      <w:r>
        <w:rPr>
          <w:spacing w:val="-1"/>
        </w:rPr>
        <w:t xml:space="preserve"> </w:t>
      </w:r>
      <w:r>
        <w:t>in the Croatian economy.</w:t>
      </w:r>
    </w:p>
    <w:p w:rsidR="00A56FE9" w:rsidRDefault="00A56FE9">
      <w:pPr>
        <w:pStyle w:val="Tijeloteksta"/>
        <w:spacing w:before="3"/>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216100153"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622430941" name="Rectangle 146"/>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9EFD528" id="Group 145"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LZPYCZQAgAAEAUAAA4AAAAAAAAAAAAAAAAALgIAAGRycy9lMm9Eb2MueG1sUEsBAi0AFAAGAAgA&#10;AAAhAOjoSp3cAAAAAwEAAA8AAAAAAAAAAAAAAAAAqgQAAGRycy9kb3ducmV2LnhtbFBLBQYAAAAA&#10;BAAEAPMAAACzBQAAAAA=&#10;">
                <v:rect id="Rectangle 146"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5"/>
      </w:pPr>
      <w:r>
        <w:t>To strengthen human resources in science, the plan requires introducing a new incentive</w:t>
      </w:r>
      <w:r>
        <w:rPr>
          <w:spacing w:val="1"/>
        </w:rPr>
        <w:t xml:space="preserve"> </w:t>
      </w:r>
      <w:r>
        <w:t>framework for researcher career advancement and development in STEM and ICT areas. The</w:t>
      </w:r>
      <w:r>
        <w:rPr>
          <w:spacing w:val="1"/>
        </w:rPr>
        <w:t xml:space="preserve"> </w:t>
      </w:r>
      <w:r>
        <w:t>goal of the new framework for developing researcher careers is to increase the number and</w:t>
      </w:r>
      <w:r>
        <w:rPr>
          <w:spacing w:val="1"/>
        </w:rPr>
        <w:t xml:space="preserve"> </w:t>
      </w:r>
      <w:r>
        <w:t>quality of researchers and experts in the scientific and, consequently, business sector, and</w:t>
      </w:r>
      <w:r>
        <w:rPr>
          <w:spacing w:val="1"/>
        </w:rPr>
        <w:t xml:space="preserve"> </w:t>
      </w:r>
      <w:r>
        <w:t>provide conditions for attracting and retaining quality researchers. The new framework for</w:t>
      </w:r>
      <w:r>
        <w:rPr>
          <w:spacing w:val="1"/>
        </w:rPr>
        <w:t xml:space="preserve"> </w:t>
      </w:r>
      <w:r>
        <w:t>developing scientist careers includes new stimulating conditions for work in science and more</w:t>
      </w:r>
      <w:r>
        <w:rPr>
          <w:spacing w:val="-57"/>
        </w:rPr>
        <w:t xml:space="preserve"> </w:t>
      </w:r>
      <w:r>
        <w:t>open</w:t>
      </w:r>
      <w:r>
        <w:rPr>
          <w:spacing w:val="-10"/>
        </w:rPr>
        <w:t xml:space="preserve"> </w:t>
      </w:r>
      <w:r>
        <w:t>access</w:t>
      </w:r>
      <w:r>
        <w:rPr>
          <w:spacing w:val="-8"/>
        </w:rPr>
        <w:t xml:space="preserve"> </w:t>
      </w:r>
      <w:r>
        <w:t>to</w:t>
      </w:r>
      <w:r>
        <w:rPr>
          <w:spacing w:val="-9"/>
        </w:rPr>
        <w:t xml:space="preserve"> </w:t>
      </w:r>
      <w:r>
        <w:t>technological</w:t>
      </w:r>
      <w:r>
        <w:rPr>
          <w:spacing w:val="-8"/>
        </w:rPr>
        <w:t xml:space="preserve"> </w:t>
      </w:r>
      <w:r>
        <w:t>infrastructures</w:t>
      </w:r>
      <w:r>
        <w:rPr>
          <w:spacing w:val="-9"/>
        </w:rPr>
        <w:t xml:space="preserve"> </w:t>
      </w:r>
      <w:r>
        <w:t>for</w:t>
      </w:r>
      <w:r>
        <w:rPr>
          <w:spacing w:val="-9"/>
        </w:rPr>
        <w:t xml:space="preserve"> </w:t>
      </w:r>
      <w:r>
        <w:t>linking</w:t>
      </w:r>
      <w:r>
        <w:rPr>
          <w:spacing w:val="-11"/>
        </w:rPr>
        <w:t xml:space="preserve"> </w:t>
      </w:r>
      <w:r>
        <w:t>science</w:t>
      </w:r>
      <w:r>
        <w:rPr>
          <w:spacing w:val="-10"/>
        </w:rPr>
        <w:t xml:space="preserve"> </w:t>
      </w:r>
      <w:r>
        <w:t>and</w:t>
      </w:r>
      <w:r>
        <w:rPr>
          <w:spacing w:val="-10"/>
        </w:rPr>
        <w:t xml:space="preserve"> </w:t>
      </w:r>
      <w:r>
        <w:t>entrepreneurship.</w:t>
      </w:r>
      <w:r>
        <w:rPr>
          <w:spacing w:val="-9"/>
        </w:rPr>
        <w:t xml:space="preserve"> </w:t>
      </w:r>
      <w:r>
        <w:t>Scientific</w:t>
      </w:r>
      <w:r>
        <w:rPr>
          <w:spacing w:val="-58"/>
        </w:rPr>
        <w:t xml:space="preserve"> </w:t>
      </w:r>
      <w:r>
        <w:t>careers will become more attractive through a clear, transparent and merit-based employment</w:t>
      </w:r>
      <w:r>
        <w:rPr>
          <w:spacing w:val="1"/>
        </w:rPr>
        <w:t xml:space="preserve"> </w:t>
      </w:r>
      <w:r>
        <w:rPr>
          <w:spacing w:val="-1"/>
        </w:rPr>
        <w:t>policy</w:t>
      </w:r>
      <w:r>
        <w:rPr>
          <w:spacing w:val="-20"/>
        </w:rPr>
        <w:t xml:space="preserve"> </w:t>
      </w:r>
      <w:r>
        <w:t>and</w:t>
      </w:r>
      <w:r>
        <w:rPr>
          <w:spacing w:val="-14"/>
        </w:rPr>
        <w:t xml:space="preserve"> </w:t>
      </w:r>
      <w:r>
        <w:t>undertaking</w:t>
      </w:r>
      <w:r>
        <w:rPr>
          <w:spacing w:val="-17"/>
        </w:rPr>
        <w:t xml:space="preserve"> </w:t>
      </w:r>
      <w:r>
        <w:t>work</w:t>
      </w:r>
      <w:r>
        <w:rPr>
          <w:spacing w:val="-15"/>
        </w:rPr>
        <w:t xml:space="preserve"> </w:t>
      </w:r>
      <w:r>
        <w:t>on</w:t>
      </w:r>
      <w:r>
        <w:rPr>
          <w:spacing w:val="-15"/>
        </w:rPr>
        <w:t xml:space="preserve"> </w:t>
      </w:r>
      <w:r>
        <w:t>cutting-edge</w:t>
      </w:r>
      <w:r>
        <w:rPr>
          <w:spacing w:val="-16"/>
        </w:rPr>
        <w:t xml:space="preserve"> </w:t>
      </w:r>
      <w:r>
        <w:t>scientific</w:t>
      </w:r>
      <w:r>
        <w:rPr>
          <w:spacing w:val="-15"/>
        </w:rPr>
        <w:t xml:space="preserve"> </w:t>
      </w:r>
      <w:r>
        <w:t>topics.</w:t>
      </w:r>
      <w:r>
        <w:rPr>
          <w:spacing w:val="-15"/>
        </w:rPr>
        <w:t xml:space="preserve"> </w:t>
      </w:r>
      <w:r>
        <w:t>Young</w:t>
      </w:r>
      <w:r>
        <w:rPr>
          <w:spacing w:val="-18"/>
        </w:rPr>
        <w:t xml:space="preserve"> </w:t>
      </w:r>
      <w:r>
        <w:t>scientists</w:t>
      </w:r>
      <w:r>
        <w:rPr>
          <w:spacing w:val="-14"/>
        </w:rPr>
        <w:t xml:space="preserve"> </w:t>
      </w:r>
      <w:r>
        <w:t>will</w:t>
      </w:r>
      <w:r>
        <w:rPr>
          <w:spacing w:val="-13"/>
        </w:rPr>
        <w:t xml:space="preserve"> </w:t>
      </w:r>
      <w:r>
        <w:t>be</w:t>
      </w:r>
      <w:r>
        <w:rPr>
          <w:spacing w:val="-16"/>
        </w:rPr>
        <w:t xml:space="preserve"> </w:t>
      </w:r>
      <w:r>
        <w:t>provided</w:t>
      </w:r>
      <w:r>
        <w:rPr>
          <w:spacing w:val="-58"/>
        </w:rPr>
        <w:t xml:space="preserve"> </w:t>
      </w:r>
      <w:r>
        <w:t>with</w:t>
      </w:r>
      <w:r>
        <w:rPr>
          <w:spacing w:val="-8"/>
        </w:rPr>
        <w:t xml:space="preserve"> </w:t>
      </w:r>
      <w:r>
        <w:t>training</w:t>
      </w:r>
      <w:r>
        <w:rPr>
          <w:spacing w:val="-10"/>
        </w:rPr>
        <w:t xml:space="preserve"> </w:t>
      </w:r>
      <w:r>
        <w:t>in</w:t>
      </w:r>
      <w:r>
        <w:rPr>
          <w:spacing w:val="-8"/>
        </w:rPr>
        <w:t xml:space="preserve"> </w:t>
      </w:r>
      <w:r>
        <w:t>skills</w:t>
      </w:r>
      <w:r>
        <w:rPr>
          <w:spacing w:val="-7"/>
        </w:rPr>
        <w:t xml:space="preserve"> </w:t>
      </w:r>
      <w:r>
        <w:t>that</w:t>
      </w:r>
      <w:r>
        <w:rPr>
          <w:spacing w:val="-9"/>
        </w:rPr>
        <w:t xml:space="preserve"> </w:t>
      </w:r>
      <w:r>
        <w:t>are</w:t>
      </w:r>
      <w:r>
        <w:rPr>
          <w:spacing w:val="-7"/>
        </w:rPr>
        <w:t xml:space="preserve"> </w:t>
      </w:r>
      <w:r>
        <w:t>also</w:t>
      </w:r>
      <w:r>
        <w:rPr>
          <w:spacing w:val="-8"/>
        </w:rPr>
        <w:t xml:space="preserve"> </w:t>
      </w:r>
      <w:r>
        <w:t>needed</w:t>
      </w:r>
      <w:r>
        <w:rPr>
          <w:spacing w:val="-8"/>
        </w:rPr>
        <w:t xml:space="preserve"> </w:t>
      </w:r>
      <w:r>
        <w:t>in</w:t>
      </w:r>
      <w:r>
        <w:rPr>
          <w:spacing w:val="-7"/>
        </w:rPr>
        <w:t xml:space="preserve"> </w:t>
      </w:r>
      <w:r>
        <w:t>the</w:t>
      </w:r>
      <w:r>
        <w:rPr>
          <w:spacing w:val="-9"/>
        </w:rPr>
        <w:t xml:space="preserve"> </w:t>
      </w:r>
      <w:r>
        <w:t>business</w:t>
      </w:r>
      <w:r>
        <w:rPr>
          <w:spacing w:val="-7"/>
        </w:rPr>
        <w:t xml:space="preserve"> </w:t>
      </w:r>
      <w:r>
        <w:t>sector</w:t>
      </w:r>
      <w:r>
        <w:rPr>
          <w:spacing w:val="-9"/>
        </w:rPr>
        <w:t xml:space="preserve"> </w:t>
      </w:r>
      <w:r>
        <w:t>to</w:t>
      </w:r>
      <w:r>
        <w:rPr>
          <w:spacing w:val="-7"/>
        </w:rPr>
        <w:t xml:space="preserve"> </w:t>
      </w:r>
      <w:r>
        <w:t>enable</w:t>
      </w:r>
      <w:r>
        <w:rPr>
          <w:spacing w:val="-10"/>
        </w:rPr>
        <w:t xml:space="preserve"> </w:t>
      </w:r>
      <w:r>
        <w:t>them</w:t>
      </w:r>
      <w:r>
        <w:rPr>
          <w:spacing w:val="-8"/>
        </w:rPr>
        <w:t xml:space="preserve"> </w:t>
      </w:r>
      <w:r>
        <w:t>greater</w:t>
      </w:r>
      <w:r>
        <w:rPr>
          <w:spacing w:val="-9"/>
        </w:rPr>
        <w:t xml:space="preserve"> </w:t>
      </w:r>
      <w:r>
        <w:t>mobility</w:t>
      </w:r>
      <w:r>
        <w:rPr>
          <w:spacing w:val="-57"/>
        </w:rPr>
        <w:t xml:space="preserve"> </w:t>
      </w:r>
      <w:r>
        <w:t>in their careers. The regulatory framework consists of the new Act on Quality Assurance in</w:t>
      </w:r>
      <w:r>
        <w:rPr>
          <w:spacing w:val="1"/>
        </w:rPr>
        <w:t xml:space="preserve"> </w:t>
      </w:r>
      <w:r>
        <w:t>Science and Higher Education and the Ordinance on the Conditions for Election to Scientific</w:t>
      </w:r>
      <w:r>
        <w:rPr>
          <w:spacing w:val="1"/>
        </w:rPr>
        <w:t xml:space="preserve"> </w:t>
      </w:r>
      <w:r>
        <w:t>Titles, to be</w:t>
      </w:r>
      <w:r>
        <w:rPr>
          <w:spacing w:val="-1"/>
        </w:rPr>
        <w:t xml:space="preserve"> </w:t>
      </w:r>
      <w:r>
        <w:t>adopted by</w:t>
      </w:r>
      <w:r>
        <w:rPr>
          <w:spacing w:val="-5"/>
        </w:rPr>
        <w:t xml:space="preserve"> </w:t>
      </w:r>
      <w:r>
        <w:t>the end of</w:t>
      </w:r>
      <w:r>
        <w:rPr>
          <w:spacing w:val="-1"/>
        </w:rPr>
        <w:t xml:space="preserve"> </w:t>
      </w:r>
      <w:r>
        <w:t>Q3/2022.</w:t>
      </w:r>
    </w:p>
    <w:p w:rsidR="00A56FE9" w:rsidRDefault="00A56FE9">
      <w:pPr>
        <w:pStyle w:val="Tijeloteksta"/>
        <w:spacing w:before="10"/>
        <w:ind w:left="0"/>
        <w:jc w:val="left"/>
        <w:rPr>
          <w:sz w:val="31"/>
        </w:rPr>
      </w:pPr>
    </w:p>
    <w:p w:rsidR="00A56FE9" w:rsidRDefault="00CC1B9B">
      <w:pPr>
        <w:pStyle w:val="Naslov4"/>
        <w:ind w:right="282"/>
      </w:pPr>
      <w:r>
        <w:rPr>
          <w:noProof/>
        </w:rPr>
        <mc:AlternateContent>
          <mc:Choice Requires="wps">
            <w:drawing>
              <wp:anchor distT="0" distB="0" distL="114300" distR="114300" simplePos="0" relativeHeight="15794176" behindDoc="0" locked="0" layoutInCell="1" allowOverlap="1">
                <wp:simplePos x="0" y="0"/>
                <wp:positionH relativeFrom="page">
                  <wp:posOffset>814070</wp:posOffset>
                </wp:positionH>
                <wp:positionV relativeFrom="paragraph">
                  <wp:posOffset>0</wp:posOffset>
                </wp:positionV>
                <wp:extent cx="18415" cy="455930"/>
                <wp:effectExtent l="0" t="0" r="0" b="0"/>
                <wp:wrapNone/>
                <wp:docPr id="2004764929" name="Freeform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455930"/>
                        </a:xfrm>
                        <a:custGeom>
                          <a:avLst/>
                          <a:gdLst>
                            <a:gd name="T0" fmla="+- 0 1311 1282"/>
                            <a:gd name="T1" fmla="*/ T0 w 29"/>
                            <a:gd name="T2" fmla="*/ 0 h 718"/>
                            <a:gd name="T3" fmla="+- 0 1282 1282"/>
                            <a:gd name="T4" fmla="*/ T3 w 29"/>
                            <a:gd name="T5" fmla="*/ 0 h 718"/>
                            <a:gd name="T6" fmla="+- 0 1282 1282"/>
                            <a:gd name="T7" fmla="*/ T6 w 29"/>
                            <a:gd name="T8" fmla="*/ 298 h 718"/>
                            <a:gd name="T9" fmla="+- 0 1282 1282"/>
                            <a:gd name="T10" fmla="*/ T9 w 29"/>
                            <a:gd name="T11" fmla="*/ 718 h 718"/>
                            <a:gd name="T12" fmla="+- 0 1311 1282"/>
                            <a:gd name="T13" fmla="*/ T12 w 29"/>
                            <a:gd name="T14" fmla="*/ 718 h 718"/>
                            <a:gd name="T15" fmla="+- 0 1311 1282"/>
                            <a:gd name="T16" fmla="*/ T15 w 29"/>
                            <a:gd name="T17" fmla="*/ 298 h 718"/>
                            <a:gd name="T18" fmla="+- 0 1311 1282"/>
                            <a:gd name="T19" fmla="*/ T18 w 29"/>
                            <a:gd name="T20" fmla="*/ 0 h 718"/>
                          </a:gdLst>
                          <a:ahLst/>
                          <a:cxnLst>
                            <a:cxn ang="0">
                              <a:pos x="T1" y="T2"/>
                            </a:cxn>
                            <a:cxn ang="0">
                              <a:pos x="T4" y="T5"/>
                            </a:cxn>
                            <a:cxn ang="0">
                              <a:pos x="T7" y="T8"/>
                            </a:cxn>
                            <a:cxn ang="0">
                              <a:pos x="T10" y="T11"/>
                            </a:cxn>
                            <a:cxn ang="0">
                              <a:pos x="T13" y="T14"/>
                            </a:cxn>
                            <a:cxn ang="0">
                              <a:pos x="T16" y="T17"/>
                            </a:cxn>
                            <a:cxn ang="0">
                              <a:pos x="T19" y="T20"/>
                            </a:cxn>
                          </a:cxnLst>
                          <a:rect l="0" t="0" r="r" b="b"/>
                          <a:pathLst>
                            <a:path w="29" h="718">
                              <a:moveTo>
                                <a:pt x="29" y="0"/>
                              </a:moveTo>
                              <a:lnTo>
                                <a:pt x="0" y="0"/>
                              </a:lnTo>
                              <a:lnTo>
                                <a:pt x="0" y="298"/>
                              </a:lnTo>
                              <a:lnTo>
                                <a:pt x="0" y="718"/>
                              </a:lnTo>
                              <a:lnTo>
                                <a:pt x="29" y="718"/>
                              </a:lnTo>
                              <a:lnTo>
                                <a:pt x="29" y="29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91C06" id="Freeform 144" o:spid="_x0000_s1026" style="position:absolute;margin-left:64.1pt;margin-top:0;width:1.45pt;height:35.9pt;z-index:1579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" path="m29,l,,,298,,718r29,l29,298,29,xe" fillcolor="#da1f2c" stroked="f">
                <v:path arrowok="t" o:connecttype="custom" o:connectlocs="18415,0;0,0;0,189230;0,455930;18415,455930;18415,189230;18415,0" o:connectangles="0,0,0,0,0,0,0"/>
                <w10:wrap anchorx="page"/>
              </v:shape>
            </w:pict>
          </mc:Fallback>
        </mc:AlternateContent>
      </w:r>
      <w:r w:rsidR="00000000">
        <w:rPr>
          <w:color w:val="2C398A"/>
        </w:rPr>
        <w:t>Strengthening the national research infrastructure and science and technology</w:t>
      </w:r>
      <w:r w:rsidR="00000000">
        <w:rPr>
          <w:color w:val="2C398A"/>
          <w:spacing w:val="1"/>
        </w:rPr>
        <w:t xml:space="preserve"> </w:t>
      </w:r>
      <w:r w:rsidR="00000000">
        <w:rPr>
          <w:color w:val="2C398A"/>
        </w:rPr>
        <w:t>systems</w:t>
      </w:r>
      <w:r w:rsidR="00000000">
        <w:rPr>
          <w:color w:val="2C398A"/>
          <w:spacing w:val="-2"/>
        </w:rPr>
        <w:t xml:space="preserve"> </w:t>
      </w:r>
      <w:r w:rsidR="00000000">
        <w:rPr>
          <w:color w:val="2C398A"/>
        </w:rPr>
        <w:t>through</w:t>
      </w:r>
      <w:r w:rsidR="00000000">
        <w:rPr>
          <w:color w:val="2C398A"/>
          <w:spacing w:val="1"/>
        </w:rPr>
        <w:t xml:space="preserve"> </w:t>
      </w:r>
      <w:r w:rsidR="00000000">
        <w:rPr>
          <w:color w:val="2C398A"/>
        </w:rPr>
        <w:t>links</w:t>
      </w:r>
      <w:r w:rsidR="00000000">
        <w:rPr>
          <w:color w:val="2C398A"/>
          <w:spacing w:val="-1"/>
        </w:rPr>
        <w:t xml:space="preserve"> </w:t>
      </w:r>
      <w:r w:rsidR="00000000">
        <w:rPr>
          <w:color w:val="2C398A"/>
        </w:rPr>
        <w:t>with</w:t>
      </w:r>
      <w:r w:rsidR="00000000">
        <w:rPr>
          <w:color w:val="2C398A"/>
          <w:spacing w:val="-1"/>
        </w:rPr>
        <w:t xml:space="preserve"> </w:t>
      </w:r>
      <w:r w:rsidR="00000000">
        <w:rPr>
          <w:color w:val="2C398A"/>
        </w:rPr>
        <w:t>the</w:t>
      </w:r>
      <w:r w:rsidR="00000000">
        <w:rPr>
          <w:color w:val="2C398A"/>
          <w:spacing w:val="-1"/>
        </w:rPr>
        <w:t xml:space="preserve"> </w:t>
      </w:r>
      <w:r w:rsidR="00000000">
        <w:rPr>
          <w:color w:val="2C398A"/>
        </w:rPr>
        <w:t>economy</w:t>
      </w:r>
    </w:p>
    <w:p w:rsidR="00A56FE9" w:rsidRDefault="00000000">
      <w:pPr>
        <w:spacing w:before="235"/>
        <w:ind w:left="138" w:right="273"/>
        <w:jc w:val="both"/>
        <w:rPr>
          <w:i/>
          <w:sz w:val="24"/>
        </w:rPr>
      </w:pPr>
      <w:r>
        <w:rPr>
          <w:i/>
          <w:color w:val="2C398A"/>
          <w:sz w:val="24"/>
        </w:rPr>
        <w:t>2019. CSR2.1. Deliver on the education reform and improve both access to education and</w:t>
      </w:r>
      <w:r>
        <w:rPr>
          <w:i/>
          <w:color w:val="2C398A"/>
          <w:spacing w:val="1"/>
          <w:sz w:val="24"/>
        </w:rPr>
        <w:t xml:space="preserve"> </w:t>
      </w:r>
      <w:r>
        <w:rPr>
          <w:i/>
          <w:color w:val="2C398A"/>
          <w:sz w:val="24"/>
        </w:rPr>
        <w:t>training at all levels and their quality and labour market relevance; 2019.CSR3.1. Focus</w:t>
      </w:r>
      <w:r>
        <w:rPr>
          <w:i/>
          <w:color w:val="2C398A"/>
          <w:spacing w:val="1"/>
          <w:sz w:val="24"/>
        </w:rPr>
        <w:t xml:space="preserve"> </w:t>
      </w:r>
      <w:r>
        <w:rPr>
          <w:i/>
          <w:color w:val="2C398A"/>
          <w:sz w:val="24"/>
        </w:rPr>
        <w:t>investment-related economic policy on research and innovation; 2019.CSR3.2. Increase the</w:t>
      </w:r>
      <w:r>
        <w:rPr>
          <w:i/>
          <w:color w:val="2C398A"/>
          <w:spacing w:val="1"/>
          <w:sz w:val="24"/>
        </w:rPr>
        <w:t xml:space="preserve"> </w:t>
      </w:r>
      <w:r>
        <w:rPr>
          <w:i/>
          <w:color w:val="2C398A"/>
          <w:sz w:val="24"/>
        </w:rPr>
        <w:t>administration’s capacity to design and implement public projects and policies; 2020.CSR2.2.</w:t>
      </w:r>
      <w:r>
        <w:rPr>
          <w:i/>
          <w:color w:val="2C398A"/>
          <w:spacing w:val="-57"/>
          <w:sz w:val="24"/>
        </w:rPr>
        <w:t xml:space="preserve"> </w:t>
      </w:r>
      <w:r>
        <w:rPr>
          <w:i/>
          <w:color w:val="2C398A"/>
          <w:sz w:val="24"/>
        </w:rPr>
        <w:t>Increase access to digital infrastructure and services; 2020.CSR2.3. Promote the acquisition</w:t>
      </w:r>
      <w:r>
        <w:rPr>
          <w:i/>
          <w:color w:val="2C398A"/>
          <w:spacing w:val="1"/>
          <w:sz w:val="24"/>
        </w:rPr>
        <w:t xml:space="preserve"> </w:t>
      </w:r>
      <w:r>
        <w:rPr>
          <w:i/>
          <w:color w:val="2C398A"/>
          <w:sz w:val="24"/>
        </w:rPr>
        <w:t>of skills</w:t>
      </w:r>
    </w:p>
    <w:p w:rsidR="00A56FE9" w:rsidRDefault="00A56FE9">
      <w:pPr>
        <w:jc w:val="both"/>
        <w:rPr>
          <w:sz w:val="24"/>
        </w:rPr>
        <w:sectPr w:rsidR="00A56FE9" w:rsidSect="00AB1E70">
          <w:pgSz w:w="11910" w:h="16840"/>
          <w:pgMar w:top="1320" w:right="1140" w:bottom="960" w:left="1280" w:header="0" w:footer="779" w:gutter="0"/>
          <w:cols w:space="720"/>
        </w:sectPr>
      </w:pPr>
    </w:p>
    <w:p w:rsidR="00A56FE9" w:rsidRDefault="00000000">
      <w:pPr>
        <w:pStyle w:val="Naslov5"/>
        <w:spacing w:before="79"/>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1999497737"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1413603007" name="Rectangle 143"/>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026CBC5" id="Group 142"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">
                <v:rect id="Rectangle 143"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" fillcolor="#2c398a" stroked="f"/>
                <w10:anchorlock/>
              </v:group>
            </w:pict>
          </mc:Fallback>
        </mc:AlternateContent>
      </w:r>
    </w:p>
    <w:p w:rsidR="00A56FE9" w:rsidRDefault="00000000">
      <w:pPr>
        <w:pStyle w:val="Tijeloteksta"/>
        <w:spacing w:before="154"/>
        <w:ind w:right="273"/>
      </w:pPr>
      <w:r>
        <w:t>Total</w:t>
      </w:r>
      <w:r>
        <w:rPr>
          <w:spacing w:val="-4"/>
        </w:rPr>
        <w:t xml:space="preserve"> </w:t>
      </w:r>
      <w:r>
        <w:t>investment</w:t>
      </w:r>
      <w:r>
        <w:rPr>
          <w:spacing w:val="-3"/>
        </w:rPr>
        <w:t xml:space="preserve"> </w:t>
      </w:r>
      <w:r>
        <w:t>in</w:t>
      </w:r>
      <w:r>
        <w:rPr>
          <w:spacing w:val="-6"/>
        </w:rPr>
        <w:t xml:space="preserve"> </w:t>
      </w:r>
      <w:r>
        <w:t>research</w:t>
      </w:r>
      <w:r>
        <w:rPr>
          <w:spacing w:val="-4"/>
        </w:rPr>
        <w:t xml:space="preserve"> </w:t>
      </w:r>
      <w:r>
        <w:t>and</w:t>
      </w:r>
      <w:r>
        <w:rPr>
          <w:spacing w:val="-4"/>
        </w:rPr>
        <w:t xml:space="preserve"> </w:t>
      </w:r>
      <w:r>
        <w:t>development</w:t>
      </w:r>
      <w:r>
        <w:rPr>
          <w:spacing w:val="-4"/>
        </w:rPr>
        <w:t xml:space="preserve"> </w:t>
      </w:r>
      <w:r>
        <w:t>increased</w:t>
      </w:r>
      <w:r>
        <w:rPr>
          <w:spacing w:val="-4"/>
        </w:rPr>
        <w:t xml:space="preserve"> </w:t>
      </w:r>
      <w:r>
        <w:t>from</w:t>
      </w:r>
      <w:r>
        <w:rPr>
          <w:spacing w:val="-3"/>
        </w:rPr>
        <w:t xml:space="preserve"> </w:t>
      </w:r>
      <w:r>
        <w:t>0.85%</w:t>
      </w:r>
      <w:r>
        <w:rPr>
          <w:spacing w:val="-5"/>
        </w:rPr>
        <w:t xml:space="preserve"> </w:t>
      </w:r>
      <w:r>
        <w:t>of</w:t>
      </w:r>
      <w:r>
        <w:rPr>
          <w:spacing w:val="-5"/>
        </w:rPr>
        <w:t xml:space="preserve"> </w:t>
      </w:r>
      <w:r>
        <w:t>GDP</w:t>
      </w:r>
      <w:r>
        <w:rPr>
          <w:spacing w:val="-4"/>
        </w:rPr>
        <w:t xml:space="preserve"> </w:t>
      </w:r>
      <w:r>
        <w:t>in</w:t>
      </w:r>
      <w:r>
        <w:rPr>
          <w:spacing w:val="-3"/>
        </w:rPr>
        <w:t xml:space="preserve"> </w:t>
      </w:r>
      <w:r>
        <w:t>2017</w:t>
      </w:r>
      <w:r>
        <w:rPr>
          <w:spacing w:val="-6"/>
        </w:rPr>
        <w:t xml:space="preserve"> </w:t>
      </w:r>
      <w:r>
        <w:t>to</w:t>
      </w:r>
      <w:r>
        <w:rPr>
          <w:spacing w:val="-3"/>
        </w:rPr>
        <w:t xml:space="preserve"> </w:t>
      </w:r>
      <w:r>
        <w:t>1.08%</w:t>
      </w:r>
      <w:r>
        <w:rPr>
          <w:spacing w:val="-58"/>
        </w:rPr>
        <w:t xml:space="preserve"> </w:t>
      </w:r>
      <w:r>
        <w:t>in</w:t>
      </w:r>
      <w:r>
        <w:rPr>
          <w:spacing w:val="-1"/>
        </w:rPr>
        <w:t xml:space="preserve"> </w:t>
      </w:r>
      <w:r>
        <w:t>2019.</w:t>
      </w:r>
      <w:r>
        <w:rPr>
          <w:spacing w:val="-1"/>
        </w:rPr>
        <w:t xml:space="preserve"> </w:t>
      </w:r>
      <w:r>
        <w:t>Croatia</w:t>
      </w:r>
      <w:r>
        <w:rPr>
          <w:spacing w:val="-2"/>
        </w:rPr>
        <w:t xml:space="preserve"> </w:t>
      </w:r>
      <w:r>
        <w:t>still</w:t>
      </w:r>
      <w:r>
        <w:rPr>
          <w:spacing w:val="-1"/>
        </w:rPr>
        <w:t xml:space="preserve"> </w:t>
      </w:r>
      <w:r>
        <w:t>has</w:t>
      </w:r>
      <w:r>
        <w:rPr>
          <w:spacing w:val="-3"/>
        </w:rPr>
        <w:t xml:space="preserve"> </w:t>
      </w:r>
      <w:r>
        <w:t>room</w:t>
      </w:r>
      <w:r>
        <w:rPr>
          <w:spacing w:val="-1"/>
        </w:rPr>
        <w:t xml:space="preserve"> </w:t>
      </w:r>
      <w:r>
        <w:t>for</w:t>
      </w:r>
      <w:r>
        <w:rPr>
          <w:spacing w:val="-1"/>
        </w:rPr>
        <w:t xml:space="preserve"> </w:t>
      </w:r>
      <w:r>
        <w:t>improvement in</w:t>
      </w:r>
      <w:r>
        <w:rPr>
          <w:spacing w:val="-1"/>
        </w:rPr>
        <w:t xml:space="preserve"> </w:t>
      </w:r>
      <w:r>
        <w:t>the</w:t>
      </w:r>
      <w:r>
        <w:rPr>
          <w:spacing w:val="-2"/>
        </w:rPr>
        <w:t xml:space="preserve"> </w:t>
      </w:r>
      <w:r>
        <w:t>quality</w:t>
      </w:r>
      <w:r>
        <w:rPr>
          <w:spacing w:val="-9"/>
        </w:rPr>
        <w:t xml:space="preserve"> </w:t>
      </w:r>
      <w:r>
        <w:t>of scientific</w:t>
      </w:r>
      <w:r>
        <w:rPr>
          <w:spacing w:val="-2"/>
        </w:rPr>
        <w:t xml:space="preserve"> </w:t>
      </w:r>
      <w:r>
        <w:t>research</w:t>
      </w:r>
      <w:r>
        <w:rPr>
          <w:spacing w:val="-1"/>
        </w:rPr>
        <w:t xml:space="preserve"> </w:t>
      </w:r>
      <w:r>
        <w:t>in</w:t>
      </w:r>
      <w:r>
        <w:rPr>
          <w:spacing w:val="-1"/>
        </w:rPr>
        <w:t xml:space="preserve"> </w:t>
      </w:r>
      <w:r>
        <w:t>terms of</w:t>
      </w:r>
      <w:r>
        <w:rPr>
          <w:spacing w:val="-58"/>
        </w:rPr>
        <w:t xml:space="preserve"> </w:t>
      </w:r>
      <w:r>
        <w:t>the</w:t>
      </w:r>
      <w:r>
        <w:rPr>
          <w:spacing w:val="-12"/>
        </w:rPr>
        <w:t xml:space="preserve"> </w:t>
      </w:r>
      <w:r>
        <w:t>number</w:t>
      </w:r>
      <w:r>
        <w:rPr>
          <w:spacing w:val="-12"/>
        </w:rPr>
        <w:t xml:space="preserve"> </w:t>
      </w:r>
      <w:r>
        <w:t>of</w:t>
      </w:r>
      <w:r>
        <w:rPr>
          <w:spacing w:val="-12"/>
        </w:rPr>
        <w:t xml:space="preserve"> </w:t>
      </w:r>
      <w:r>
        <w:t>influential</w:t>
      </w:r>
      <w:r>
        <w:rPr>
          <w:spacing w:val="-10"/>
        </w:rPr>
        <w:t xml:space="preserve"> </w:t>
      </w:r>
      <w:r>
        <w:t>scientific</w:t>
      </w:r>
      <w:r>
        <w:rPr>
          <w:spacing w:val="-12"/>
        </w:rPr>
        <w:t xml:space="preserve"> </w:t>
      </w:r>
      <w:r>
        <w:t>publications</w:t>
      </w:r>
      <w:r>
        <w:rPr>
          <w:spacing w:val="-11"/>
        </w:rPr>
        <w:t xml:space="preserve"> </w:t>
      </w:r>
      <w:r>
        <w:t>(according</w:t>
      </w:r>
      <w:r>
        <w:rPr>
          <w:spacing w:val="-14"/>
        </w:rPr>
        <w:t xml:space="preserve"> </w:t>
      </w:r>
      <w:r>
        <w:t>to</w:t>
      </w:r>
      <w:r>
        <w:rPr>
          <w:spacing w:val="-10"/>
        </w:rPr>
        <w:t xml:space="preserve"> </w:t>
      </w:r>
      <w:r>
        <w:t>the</w:t>
      </w:r>
      <w:r>
        <w:rPr>
          <w:spacing w:val="-12"/>
        </w:rPr>
        <w:t xml:space="preserve"> </w:t>
      </w:r>
      <w:r>
        <w:t>criteria</w:t>
      </w:r>
      <w:r>
        <w:rPr>
          <w:spacing w:val="-12"/>
        </w:rPr>
        <w:t xml:space="preserve"> </w:t>
      </w:r>
      <w:r>
        <w:t>and</w:t>
      </w:r>
      <w:r>
        <w:rPr>
          <w:spacing w:val="-9"/>
        </w:rPr>
        <w:t xml:space="preserve"> </w:t>
      </w:r>
      <w:r>
        <w:t>standards</w:t>
      </w:r>
      <w:r>
        <w:rPr>
          <w:spacing w:val="-11"/>
        </w:rPr>
        <w:t xml:space="preserve"> </w:t>
      </w:r>
      <w:r>
        <w:t>for</w:t>
      </w:r>
      <w:r>
        <w:rPr>
          <w:spacing w:val="-13"/>
        </w:rPr>
        <w:t xml:space="preserve"> </w:t>
      </w:r>
      <w:r>
        <w:t>each</w:t>
      </w:r>
      <w:r>
        <w:rPr>
          <w:spacing w:val="-58"/>
        </w:rPr>
        <w:t xml:space="preserve"> </w:t>
      </w:r>
      <w:r>
        <w:t>scientific field or individual discipline), cooperation between research institutions and the</w:t>
      </w:r>
      <w:r>
        <w:rPr>
          <w:spacing w:val="1"/>
        </w:rPr>
        <w:t xml:space="preserve"> </w:t>
      </w:r>
      <w:r>
        <w:t>business sector, the number of patents and efficient technology transfers, and is third-worst in</w:t>
      </w:r>
      <w:r>
        <w:rPr>
          <w:spacing w:val="1"/>
        </w:rPr>
        <w:t xml:space="preserve"> </w:t>
      </w:r>
      <w:r>
        <w:t>the EU on the European Innovation Scoreboard for 2020. In 2021, extensive investments in</w:t>
      </w:r>
      <w:r>
        <w:rPr>
          <w:spacing w:val="1"/>
        </w:rPr>
        <w:t xml:space="preserve"> </w:t>
      </w:r>
      <w:r>
        <w:t>scientific research infrastructure within the Multiyear Financial Framework (MFF) 2014-2020</w:t>
      </w:r>
      <w:r>
        <w:rPr>
          <w:spacing w:val="-57"/>
        </w:rPr>
        <w:t xml:space="preserve"> </w:t>
      </w:r>
      <w:r>
        <w:t>continued, aimed at providing basic conditions for modern scientific research and conditions</w:t>
      </w:r>
      <w:r>
        <w:rPr>
          <w:spacing w:val="1"/>
        </w:rPr>
        <w:t xml:space="preserve"> </w:t>
      </w:r>
      <w:r>
        <w:t>for cooperation with the economy. They include investments in construction or reconstruction</w:t>
      </w:r>
      <w:r>
        <w:rPr>
          <w:spacing w:val="-57"/>
        </w:rPr>
        <w:t xml:space="preserve"> </w:t>
      </w:r>
      <w:r>
        <w:t>and preparing project documentation for future projects to construct or reconstruct research-</w:t>
      </w:r>
      <w:r>
        <w:rPr>
          <w:spacing w:val="1"/>
        </w:rPr>
        <w:t xml:space="preserve"> </w:t>
      </w:r>
      <w:r>
        <w:t>development-innovation</w:t>
      </w:r>
      <w:r>
        <w:rPr>
          <w:spacing w:val="-12"/>
        </w:rPr>
        <w:t xml:space="preserve"> </w:t>
      </w:r>
      <w:r>
        <w:t>(RDI)</w:t>
      </w:r>
      <w:r>
        <w:rPr>
          <w:spacing w:val="-13"/>
        </w:rPr>
        <w:t xml:space="preserve"> </w:t>
      </w:r>
      <w:r>
        <w:t>infrastructure.</w:t>
      </w:r>
      <w:r>
        <w:rPr>
          <w:spacing w:val="-10"/>
        </w:rPr>
        <w:t xml:space="preserve"> </w:t>
      </w:r>
      <w:r>
        <w:t>In</w:t>
      </w:r>
      <w:r>
        <w:rPr>
          <w:spacing w:val="-12"/>
        </w:rPr>
        <w:t xml:space="preserve"> </w:t>
      </w:r>
      <w:r>
        <w:t>2021,</w:t>
      </w:r>
      <w:r>
        <w:rPr>
          <w:spacing w:val="-12"/>
        </w:rPr>
        <w:t xml:space="preserve"> </w:t>
      </w:r>
      <w:r>
        <w:t>62</w:t>
      </w:r>
      <w:r>
        <w:rPr>
          <w:spacing w:val="-12"/>
        </w:rPr>
        <w:t xml:space="preserve"> </w:t>
      </w:r>
      <w:r>
        <w:t>projects</w:t>
      </w:r>
      <w:r>
        <w:rPr>
          <w:spacing w:val="-10"/>
        </w:rPr>
        <w:t xml:space="preserve"> </w:t>
      </w:r>
      <w:r>
        <w:t>were</w:t>
      </w:r>
      <w:r>
        <w:rPr>
          <w:spacing w:val="-14"/>
        </w:rPr>
        <w:t xml:space="preserve"> </w:t>
      </w:r>
      <w:r>
        <w:t>implemented,</w:t>
      </w:r>
      <w:r>
        <w:rPr>
          <w:spacing w:val="-13"/>
        </w:rPr>
        <w:t xml:space="preserve"> </w:t>
      </w:r>
      <w:r>
        <w:t>of</w:t>
      </w:r>
      <w:r>
        <w:rPr>
          <w:spacing w:val="-13"/>
        </w:rPr>
        <w:t xml:space="preserve"> </w:t>
      </w:r>
      <w:r>
        <w:t>which</w:t>
      </w:r>
      <w:r>
        <w:rPr>
          <w:spacing w:val="-57"/>
        </w:rPr>
        <w:t xml:space="preserve"> </w:t>
      </w:r>
      <w:r>
        <w:t>14</w:t>
      </w:r>
      <w:r>
        <w:rPr>
          <w:spacing w:val="-1"/>
        </w:rPr>
        <w:t xml:space="preserve"> </w:t>
      </w:r>
      <w:r>
        <w:t>projects</w:t>
      </w:r>
      <w:r>
        <w:rPr>
          <w:spacing w:val="-1"/>
        </w:rPr>
        <w:t xml:space="preserve"> </w:t>
      </w:r>
      <w:r>
        <w:t>were</w:t>
      </w:r>
      <w:r>
        <w:rPr>
          <w:spacing w:val="-3"/>
        </w:rPr>
        <w:t xml:space="preserve"> </w:t>
      </w:r>
      <w:r>
        <w:t>completed.</w:t>
      </w:r>
      <w:r>
        <w:rPr>
          <w:spacing w:val="-1"/>
        </w:rPr>
        <w:t xml:space="preserve"> </w:t>
      </w:r>
      <w:r>
        <w:t>The</w:t>
      </w:r>
      <w:r>
        <w:rPr>
          <w:spacing w:val="-3"/>
        </w:rPr>
        <w:t xml:space="preserve"> </w:t>
      </w:r>
      <w:r>
        <w:t>total</w:t>
      </w:r>
      <w:r>
        <w:rPr>
          <w:spacing w:val="-1"/>
        </w:rPr>
        <w:t xml:space="preserve"> </w:t>
      </w:r>
      <w:r>
        <w:t>value</w:t>
      </w:r>
      <w:r>
        <w:rPr>
          <w:spacing w:val="-2"/>
        </w:rPr>
        <w:t xml:space="preserve"> </w:t>
      </w:r>
      <w:r>
        <w:t>of</w:t>
      </w:r>
      <w:r>
        <w:rPr>
          <w:spacing w:val="-1"/>
        </w:rPr>
        <w:t xml:space="preserve"> </w:t>
      </w:r>
      <w:r>
        <w:t>the</w:t>
      </w:r>
      <w:r>
        <w:rPr>
          <w:spacing w:val="-5"/>
        </w:rPr>
        <w:t xml:space="preserve"> </w:t>
      </w:r>
      <w:r>
        <w:t>seven</w:t>
      </w:r>
      <w:r>
        <w:rPr>
          <w:spacing w:val="-1"/>
        </w:rPr>
        <w:t xml:space="preserve"> </w:t>
      </w:r>
      <w:r>
        <w:t>Calls</w:t>
      </w:r>
      <w:r>
        <w:rPr>
          <w:spacing w:val="-1"/>
        </w:rPr>
        <w:t xml:space="preserve"> </w:t>
      </w:r>
      <w:r>
        <w:t>for</w:t>
      </w:r>
      <w:r>
        <w:rPr>
          <w:spacing w:val="-3"/>
        </w:rPr>
        <w:t xml:space="preserve"> </w:t>
      </w:r>
      <w:r>
        <w:t>implementing</w:t>
      </w:r>
      <w:r>
        <w:rPr>
          <w:spacing w:val="-3"/>
        </w:rPr>
        <w:t xml:space="preserve"> </w:t>
      </w:r>
      <w:r>
        <w:t>these</w:t>
      </w:r>
      <w:r>
        <w:rPr>
          <w:spacing w:val="-3"/>
        </w:rPr>
        <w:t xml:space="preserve"> </w:t>
      </w:r>
      <w:r>
        <w:t>projects</w:t>
      </w:r>
      <w:r>
        <w:rPr>
          <w:spacing w:val="-58"/>
        </w:rPr>
        <w:t xml:space="preserve"> </w:t>
      </w:r>
      <w:r>
        <w:t>is HRK 2.4 billion, of which HRK 365.81 million was disbursed in 2021. In addition, since</w:t>
      </w:r>
      <w:r>
        <w:rPr>
          <w:spacing w:val="1"/>
        </w:rPr>
        <w:t xml:space="preserve"> </w:t>
      </w:r>
      <w:r>
        <w:t>2021, there is a continuation of numerous projects for the reconstruction of scientific and</w:t>
      </w:r>
      <w:r>
        <w:rPr>
          <w:spacing w:val="1"/>
        </w:rPr>
        <w:t xml:space="preserve"> </w:t>
      </w:r>
      <w:r>
        <w:t>educational infrastructure damaged by the earthquake, and financed from the EU Solidarity</w:t>
      </w:r>
      <w:r>
        <w:rPr>
          <w:spacing w:val="1"/>
        </w:rPr>
        <w:t xml:space="preserve"> </w:t>
      </w:r>
      <w:r>
        <w:t>Fund, are currently being implemented. Also, investments in collaborative projects within the</w:t>
      </w:r>
      <w:r>
        <w:rPr>
          <w:spacing w:val="1"/>
        </w:rPr>
        <w:t xml:space="preserve"> </w:t>
      </w:r>
      <w:r>
        <w:t>scientific community and by entrepreneurs, research focused on the needs of the economy,</w:t>
      </w:r>
      <w:r>
        <w:rPr>
          <w:spacing w:val="1"/>
        </w:rPr>
        <w:t xml:space="preserve"> </w:t>
      </w:r>
      <w:r>
        <w:t>proof-of-concept</w:t>
      </w:r>
      <w:r>
        <w:rPr>
          <w:spacing w:val="1"/>
        </w:rPr>
        <w:t xml:space="preserve"> </w:t>
      </w:r>
      <w:r>
        <w:t>programs</w:t>
      </w:r>
      <w:r>
        <w:rPr>
          <w:spacing w:val="1"/>
        </w:rPr>
        <w:t xml:space="preserve"> </w:t>
      </w:r>
      <w:r>
        <w:t>for</w:t>
      </w:r>
      <w:r>
        <w:rPr>
          <w:spacing w:val="1"/>
        </w:rPr>
        <w:t xml:space="preserve"> </w:t>
      </w:r>
      <w:r>
        <w:t>entrepreneurs,</w:t>
      </w:r>
      <w:r>
        <w:rPr>
          <w:spacing w:val="1"/>
        </w:rPr>
        <w:t xml:space="preserve"> </w:t>
      </w:r>
      <w:r>
        <w:t>as</w:t>
      </w:r>
      <w:r>
        <w:rPr>
          <w:spacing w:val="1"/>
        </w:rPr>
        <w:t xml:space="preserve"> </w:t>
      </w:r>
      <w:r>
        <w:t>well</w:t>
      </w:r>
      <w:r>
        <w:rPr>
          <w:spacing w:val="1"/>
        </w:rPr>
        <w:t xml:space="preserve"> </w:t>
      </w:r>
      <w:r>
        <w:t>as</w:t>
      </w:r>
      <w:r>
        <w:rPr>
          <w:spacing w:val="1"/>
        </w:rPr>
        <w:t xml:space="preserve"> </w:t>
      </w:r>
      <w:r>
        <w:t>other</w:t>
      </w:r>
      <w:r>
        <w:rPr>
          <w:spacing w:val="1"/>
        </w:rPr>
        <w:t xml:space="preserve"> </w:t>
      </w:r>
      <w:r>
        <w:t>programs</w:t>
      </w:r>
      <w:r>
        <w:rPr>
          <w:spacing w:val="1"/>
        </w:rPr>
        <w:t xml:space="preserve"> </w:t>
      </w:r>
      <w:r>
        <w:t>to</w:t>
      </w:r>
      <w:r>
        <w:rPr>
          <w:spacing w:val="1"/>
        </w:rPr>
        <w:t xml:space="preserve"> </w:t>
      </w:r>
      <w:r>
        <w:t>strengthen</w:t>
      </w:r>
      <w:r>
        <w:rPr>
          <w:spacing w:val="1"/>
        </w:rPr>
        <w:t xml:space="preserve"> </w:t>
      </w:r>
      <w:r>
        <w:t>innovative</w:t>
      </w:r>
      <w:r>
        <w:rPr>
          <w:spacing w:val="-1"/>
        </w:rPr>
        <w:t xml:space="preserve"> </w:t>
      </w:r>
      <w:r>
        <w:t>activities in entrepreneurship.</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842333333"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636754302" name="Rectangle 141"/>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646638C" id="Group 140"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">
                <v:rect id="Rectangle 141"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" fillcolor="#2c398a" stroked="f"/>
                <w10:anchorlock/>
              </v:group>
            </w:pict>
          </mc:Fallback>
        </mc:AlternateContent>
      </w:r>
    </w:p>
    <w:p w:rsidR="00A56FE9" w:rsidRDefault="00000000">
      <w:pPr>
        <w:pStyle w:val="Tijeloteksta"/>
        <w:spacing w:before="154"/>
        <w:ind w:right="275"/>
      </w:pPr>
      <w:r>
        <w:t>The</w:t>
      </w:r>
      <w:r>
        <w:rPr>
          <w:spacing w:val="-8"/>
        </w:rPr>
        <w:t xml:space="preserve"> </w:t>
      </w:r>
      <w:r>
        <w:t>NRRP</w:t>
      </w:r>
      <w:r>
        <w:rPr>
          <w:spacing w:val="-5"/>
        </w:rPr>
        <w:t xml:space="preserve"> </w:t>
      </w:r>
      <w:r>
        <w:t>reform</w:t>
      </w:r>
      <w:r>
        <w:rPr>
          <w:spacing w:val="-7"/>
        </w:rPr>
        <w:t xml:space="preserve"> </w:t>
      </w:r>
      <w:r>
        <w:t>C3.2.</w:t>
      </w:r>
      <w:r>
        <w:rPr>
          <w:spacing w:val="-6"/>
        </w:rPr>
        <w:t xml:space="preserve"> </w:t>
      </w:r>
      <w:r>
        <w:t>R1</w:t>
      </w:r>
      <w:r>
        <w:rPr>
          <w:spacing w:val="-6"/>
        </w:rPr>
        <w:t xml:space="preserve"> </w:t>
      </w:r>
      <w:r>
        <w:t>plans</w:t>
      </w:r>
      <w:r>
        <w:rPr>
          <w:spacing w:val="-8"/>
        </w:rPr>
        <w:t xml:space="preserve"> </w:t>
      </w:r>
      <w:r>
        <w:t>to</w:t>
      </w:r>
      <w:r>
        <w:rPr>
          <w:spacing w:val="-6"/>
        </w:rPr>
        <w:t xml:space="preserve"> </w:t>
      </w:r>
      <w:r>
        <w:t>strengthen</w:t>
      </w:r>
      <w:r>
        <w:rPr>
          <w:spacing w:val="-7"/>
        </w:rPr>
        <w:t xml:space="preserve"> </w:t>
      </w:r>
      <w:r>
        <w:t>the</w:t>
      </w:r>
      <w:r>
        <w:rPr>
          <w:spacing w:val="-8"/>
        </w:rPr>
        <w:t xml:space="preserve"> </w:t>
      </w:r>
      <w:r>
        <w:t>national</w:t>
      </w:r>
      <w:r>
        <w:rPr>
          <w:spacing w:val="-6"/>
        </w:rPr>
        <w:t xml:space="preserve"> </w:t>
      </w:r>
      <w:r>
        <w:t>research</w:t>
      </w:r>
      <w:r>
        <w:rPr>
          <w:spacing w:val="-6"/>
        </w:rPr>
        <w:t xml:space="preserve"> </w:t>
      </w:r>
      <w:r>
        <w:t>infrastructure</w:t>
      </w:r>
      <w:r>
        <w:rPr>
          <w:spacing w:val="-8"/>
        </w:rPr>
        <w:t xml:space="preserve"> </w:t>
      </w:r>
      <w:r>
        <w:t>and</w:t>
      </w:r>
      <w:r>
        <w:rPr>
          <w:spacing w:val="-6"/>
        </w:rPr>
        <w:t xml:space="preserve"> </w:t>
      </w:r>
      <w:r>
        <w:t>science</w:t>
      </w:r>
      <w:r>
        <w:rPr>
          <w:spacing w:val="-58"/>
        </w:rPr>
        <w:t xml:space="preserve"> </w:t>
      </w:r>
      <w:r>
        <w:t>system. The reform consists of two components: I. adopting a new model of programme</w:t>
      </w:r>
      <w:r>
        <w:rPr>
          <w:spacing w:val="1"/>
        </w:rPr>
        <w:t xml:space="preserve"> </w:t>
      </w:r>
      <w:r>
        <w:t>agreements for funding the public scientific research system (performance-based funding),</w:t>
      </w:r>
      <w:r>
        <w:rPr>
          <w:spacing w:val="1"/>
        </w:rPr>
        <w:t xml:space="preserve"> </w:t>
      </w:r>
      <w:r>
        <w:t>which introduces and determines development goals and criteria for allocating the entire</w:t>
      </w:r>
      <w:r>
        <w:rPr>
          <w:spacing w:val="1"/>
        </w:rPr>
        <w:t xml:space="preserve"> </w:t>
      </w:r>
      <w:r>
        <w:t>budget; II. Strengthening the institutional, infrastructural and organisational capacities of the</w:t>
      </w:r>
      <w:r>
        <w:rPr>
          <w:spacing w:val="1"/>
        </w:rPr>
        <w:t xml:space="preserve"> </w:t>
      </w:r>
      <w:r>
        <w:t>scientific research sector through the integration of universities/scientific institutes to increase</w:t>
      </w:r>
      <w:r>
        <w:rPr>
          <w:spacing w:val="-57"/>
        </w:rPr>
        <w:t xml:space="preserve"> </w:t>
      </w:r>
      <w:r>
        <w:t>the quality and excellence of scientific research and create a stronger link between research</w:t>
      </w:r>
      <w:r>
        <w:rPr>
          <w:spacing w:val="1"/>
        </w:rPr>
        <w:t xml:space="preserve"> </w:t>
      </w:r>
      <w:r>
        <w:t>results and the needs of the economy. The implementation of both components of the reform</w:t>
      </w:r>
      <w:r>
        <w:rPr>
          <w:spacing w:val="1"/>
        </w:rPr>
        <w:t xml:space="preserve"> </w:t>
      </w:r>
      <w:r>
        <w:t>will enable the adoption of the new Act on Scientific Activity and Higher Education and</w:t>
      </w:r>
      <w:r>
        <w:rPr>
          <w:spacing w:val="1"/>
        </w:rPr>
        <w:t xml:space="preserve"> </w:t>
      </w:r>
      <w:r>
        <w:t>planned for adoption by the end of Q3/2022. Based on the new Act and the signed program</w:t>
      </w:r>
      <w:r>
        <w:rPr>
          <w:spacing w:val="1"/>
        </w:rPr>
        <w:t xml:space="preserve"> </w:t>
      </w:r>
      <w:r>
        <w:t>agreements, organisational reform of higher education institutions and scientific institutes will</w:t>
      </w:r>
      <w:r>
        <w:rPr>
          <w:spacing w:val="-57"/>
        </w:rPr>
        <w:t xml:space="preserve"> </w:t>
      </w:r>
      <w:r>
        <w:t>be</w:t>
      </w:r>
      <w:r>
        <w:rPr>
          <w:spacing w:val="-6"/>
        </w:rPr>
        <w:t xml:space="preserve"> </w:t>
      </w:r>
      <w:r>
        <w:t>carried</w:t>
      </w:r>
      <w:r>
        <w:rPr>
          <w:spacing w:val="-4"/>
        </w:rPr>
        <w:t xml:space="preserve"> </w:t>
      </w:r>
      <w:r>
        <w:t>out,</w:t>
      </w:r>
      <w:r>
        <w:rPr>
          <w:spacing w:val="-4"/>
        </w:rPr>
        <w:t xml:space="preserve"> </w:t>
      </w:r>
      <w:r>
        <w:t>reducing</w:t>
      </w:r>
      <w:r>
        <w:rPr>
          <w:spacing w:val="-6"/>
        </w:rPr>
        <w:t xml:space="preserve"> </w:t>
      </w:r>
      <w:r>
        <w:t>fragmentation</w:t>
      </w:r>
      <w:r>
        <w:rPr>
          <w:spacing w:val="-5"/>
        </w:rPr>
        <w:t xml:space="preserve"> </w:t>
      </w:r>
      <w:r>
        <w:t>of</w:t>
      </w:r>
      <w:r>
        <w:rPr>
          <w:spacing w:val="-5"/>
        </w:rPr>
        <w:t xml:space="preserve"> </w:t>
      </w:r>
      <w:r>
        <w:t>the</w:t>
      </w:r>
      <w:r>
        <w:rPr>
          <w:spacing w:val="-4"/>
        </w:rPr>
        <w:t xml:space="preserve"> </w:t>
      </w:r>
      <w:r>
        <w:t>scientific</w:t>
      </w:r>
      <w:r>
        <w:rPr>
          <w:spacing w:val="-5"/>
        </w:rPr>
        <w:t xml:space="preserve"> </w:t>
      </w:r>
      <w:r>
        <w:t>system</w:t>
      </w:r>
      <w:r>
        <w:rPr>
          <w:spacing w:val="-2"/>
        </w:rPr>
        <w:t xml:space="preserve"> </w:t>
      </w:r>
      <w:r>
        <w:t>by</w:t>
      </w:r>
      <w:r>
        <w:rPr>
          <w:spacing w:val="-8"/>
        </w:rPr>
        <w:t xml:space="preserve"> </w:t>
      </w:r>
      <w:r>
        <w:t>constructing</w:t>
      </w:r>
      <w:r>
        <w:rPr>
          <w:spacing w:val="-5"/>
        </w:rPr>
        <w:t xml:space="preserve"> </w:t>
      </w:r>
      <w:r>
        <w:t>infrastructure</w:t>
      </w:r>
      <w:r>
        <w:rPr>
          <w:spacing w:val="-5"/>
        </w:rPr>
        <w:t xml:space="preserve"> </w:t>
      </w:r>
      <w:r>
        <w:t>to</w:t>
      </w:r>
      <w:r>
        <w:rPr>
          <w:spacing w:val="-58"/>
        </w:rPr>
        <w:t xml:space="preserve"> </w:t>
      </w:r>
      <w:r>
        <w:t>facilitate</w:t>
      </w:r>
      <w:r>
        <w:rPr>
          <w:spacing w:val="-1"/>
        </w:rPr>
        <w:t xml:space="preserve"> </w:t>
      </w:r>
      <w:r>
        <w:t>integration/consolidation of</w:t>
      </w:r>
      <w:r>
        <w:rPr>
          <w:spacing w:val="-1"/>
        </w:rPr>
        <w:t xml:space="preserve"> </w:t>
      </w:r>
      <w:r>
        <w:t>university</w:t>
      </w:r>
      <w:r>
        <w:rPr>
          <w:spacing w:val="-5"/>
        </w:rPr>
        <w:t xml:space="preserve"> </w:t>
      </w:r>
      <w:r>
        <w:t>and scientific</w:t>
      </w:r>
      <w:r>
        <w:rPr>
          <w:spacing w:val="-1"/>
        </w:rPr>
        <w:t xml:space="preserve"> </w:t>
      </w:r>
      <w:r>
        <w:t>institutes.</w:t>
      </w:r>
    </w:p>
    <w:p w:rsidR="00A56FE9" w:rsidRDefault="00000000">
      <w:pPr>
        <w:spacing w:before="121"/>
        <w:ind w:left="138" w:right="272"/>
        <w:jc w:val="both"/>
        <w:rPr>
          <w:sz w:val="24"/>
        </w:rPr>
      </w:pPr>
      <w:r>
        <w:rPr>
          <w:sz w:val="24"/>
        </w:rPr>
        <w:t>Furthermore,</w:t>
      </w:r>
      <w:r>
        <w:rPr>
          <w:spacing w:val="-7"/>
          <w:sz w:val="24"/>
        </w:rPr>
        <w:t xml:space="preserve"> </w:t>
      </w:r>
      <w:r>
        <w:rPr>
          <w:sz w:val="24"/>
        </w:rPr>
        <w:t>the</w:t>
      </w:r>
      <w:r>
        <w:rPr>
          <w:spacing w:val="-8"/>
          <w:sz w:val="24"/>
        </w:rPr>
        <w:t xml:space="preserve"> </w:t>
      </w:r>
      <w:r>
        <w:rPr>
          <w:sz w:val="24"/>
        </w:rPr>
        <w:t>NRRP</w:t>
      </w:r>
      <w:r>
        <w:rPr>
          <w:spacing w:val="-6"/>
          <w:sz w:val="24"/>
        </w:rPr>
        <w:t xml:space="preserve"> </w:t>
      </w:r>
      <w:r>
        <w:rPr>
          <w:sz w:val="24"/>
        </w:rPr>
        <w:t>investment</w:t>
      </w:r>
      <w:r>
        <w:rPr>
          <w:spacing w:val="-7"/>
          <w:sz w:val="24"/>
        </w:rPr>
        <w:t xml:space="preserve"> </w:t>
      </w:r>
      <w:r>
        <w:rPr>
          <w:sz w:val="24"/>
        </w:rPr>
        <w:t>C3.2.</w:t>
      </w:r>
      <w:r>
        <w:rPr>
          <w:spacing w:val="-7"/>
          <w:sz w:val="24"/>
        </w:rPr>
        <w:t xml:space="preserve"> </w:t>
      </w:r>
      <w:r>
        <w:rPr>
          <w:sz w:val="24"/>
        </w:rPr>
        <w:t>R2-I2</w:t>
      </w:r>
      <w:r>
        <w:rPr>
          <w:spacing w:val="-7"/>
          <w:sz w:val="24"/>
        </w:rPr>
        <w:t xml:space="preserve"> </w:t>
      </w:r>
      <w:r>
        <w:rPr>
          <w:b/>
          <w:sz w:val="24"/>
        </w:rPr>
        <w:t>plans</w:t>
      </w:r>
      <w:r>
        <w:rPr>
          <w:b/>
          <w:spacing w:val="-7"/>
          <w:sz w:val="24"/>
        </w:rPr>
        <w:t xml:space="preserve"> </w:t>
      </w:r>
      <w:r>
        <w:rPr>
          <w:b/>
          <w:sz w:val="24"/>
        </w:rPr>
        <w:t>to</w:t>
      </w:r>
      <w:r>
        <w:rPr>
          <w:b/>
          <w:spacing w:val="-10"/>
          <w:sz w:val="24"/>
        </w:rPr>
        <w:t xml:space="preserve"> </w:t>
      </w:r>
      <w:r>
        <w:rPr>
          <w:b/>
          <w:sz w:val="24"/>
        </w:rPr>
        <w:t>finance</w:t>
      </w:r>
      <w:r>
        <w:rPr>
          <w:b/>
          <w:spacing w:val="-8"/>
          <w:sz w:val="24"/>
        </w:rPr>
        <w:t xml:space="preserve"> </w:t>
      </w:r>
      <w:r>
        <w:rPr>
          <w:b/>
          <w:sz w:val="24"/>
        </w:rPr>
        <w:t>scientific-technological</w:t>
      </w:r>
      <w:r>
        <w:rPr>
          <w:b/>
          <w:spacing w:val="-7"/>
          <w:sz w:val="24"/>
        </w:rPr>
        <w:t xml:space="preserve"> </w:t>
      </w:r>
      <w:r>
        <w:rPr>
          <w:b/>
          <w:sz w:val="24"/>
        </w:rPr>
        <w:t>and</w:t>
      </w:r>
      <w:r>
        <w:rPr>
          <w:b/>
          <w:spacing w:val="-58"/>
          <w:sz w:val="24"/>
        </w:rPr>
        <w:t xml:space="preserve"> </w:t>
      </w:r>
      <w:r>
        <w:rPr>
          <w:b/>
          <w:sz w:val="24"/>
        </w:rPr>
        <w:t>innovation infrastructure of strategic importance and important research potential for</w:t>
      </w:r>
      <w:r>
        <w:rPr>
          <w:b/>
          <w:spacing w:val="1"/>
          <w:sz w:val="24"/>
        </w:rPr>
        <w:t xml:space="preserve"> </w:t>
      </w:r>
      <w:r>
        <w:rPr>
          <w:b/>
          <w:sz w:val="24"/>
        </w:rPr>
        <w:t>STEM</w:t>
      </w:r>
      <w:r>
        <w:rPr>
          <w:b/>
          <w:spacing w:val="-13"/>
          <w:sz w:val="24"/>
        </w:rPr>
        <w:t xml:space="preserve"> </w:t>
      </w:r>
      <w:r>
        <w:rPr>
          <w:b/>
          <w:sz w:val="24"/>
        </w:rPr>
        <w:t>and</w:t>
      </w:r>
      <w:r>
        <w:rPr>
          <w:b/>
          <w:spacing w:val="-11"/>
          <w:sz w:val="24"/>
        </w:rPr>
        <w:t xml:space="preserve"> </w:t>
      </w:r>
      <w:r>
        <w:rPr>
          <w:b/>
          <w:sz w:val="24"/>
        </w:rPr>
        <w:t>ICT</w:t>
      </w:r>
      <w:r>
        <w:rPr>
          <w:b/>
          <w:spacing w:val="-14"/>
          <w:sz w:val="24"/>
        </w:rPr>
        <w:t xml:space="preserve"> </w:t>
      </w:r>
      <w:r>
        <w:rPr>
          <w:b/>
          <w:sz w:val="24"/>
        </w:rPr>
        <w:t>areas</w:t>
      </w:r>
      <w:r>
        <w:rPr>
          <w:sz w:val="24"/>
        </w:rPr>
        <w:t>.</w:t>
      </w:r>
      <w:r>
        <w:rPr>
          <w:spacing w:val="-10"/>
          <w:sz w:val="24"/>
        </w:rPr>
        <w:t xml:space="preserve"> </w:t>
      </w:r>
      <w:r>
        <w:rPr>
          <w:sz w:val="24"/>
        </w:rPr>
        <w:t>Investments</w:t>
      </w:r>
      <w:r>
        <w:rPr>
          <w:spacing w:val="-11"/>
          <w:sz w:val="24"/>
        </w:rPr>
        <w:t xml:space="preserve"> </w:t>
      </w:r>
      <w:r>
        <w:rPr>
          <w:sz w:val="24"/>
        </w:rPr>
        <w:t>in</w:t>
      </w:r>
      <w:r>
        <w:rPr>
          <w:spacing w:val="-12"/>
          <w:sz w:val="24"/>
        </w:rPr>
        <w:t xml:space="preserve"> </w:t>
      </w:r>
      <w:r>
        <w:rPr>
          <w:sz w:val="24"/>
        </w:rPr>
        <w:t>strategic</w:t>
      </w:r>
      <w:r>
        <w:rPr>
          <w:spacing w:val="-12"/>
          <w:sz w:val="24"/>
        </w:rPr>
        <w:t xml:space="preserve"> </w:t>
      </w:r>
      <w:r>
        <w:rPr>
          <w:sz w:val="24"/>
        </w:rPr>
        <w:t>projects</w:t>
      </w:r>
      <w:r>
        <w:rPr>
          <w:spacing w:val="-10"/>
          <w:sz w:val="24"/>
        </w:rPr>
        <w:t xml:space="preserve"> </w:t>
      </w:r>
      <w:r>
        <w:rPr>
          <w:sz w:val="24"/>
        </w:rPr>
        <w:t>relating</w:t>
      </w:r>
      <w:r>
        <w:rPr>
          <w:spacing w:val="-14"/>
          <w:sz w:val="24"/>
        </w:rPr>
        <w:t xml:space="preserve"> </w:t>
      </w:r>
      <w:r>
        <w:rPr>
          <w:sz w:val="24"/>
        </w:rPr>
        <w:t>to</w:t>
      </w:r>
      <w:r>
        <w:rPr>
          <w:spacing w:val="-12"/>
          <w:sz w:val="24"/>
        </w:rPr>
        <w:t xml:space="preserve"> </w:t>
      </w:r>
      <w:r>
        <w:rPr>
          <w:sz w:val="24"/>
        </w:rPr>
        <w:t>technological</w:t>
      </w:r>
      <w:r>
        <w:rPr>
          <w:spacing w:val="-12"/>
          <w:sz w:val="24"/>
        </w:rPr>
        <w:t xml:space="preserve"> </w:t>
      </w:r>
      <w:r>
        <w:rPr>
          <w:sz w:val="24"/>
        </w:rPr>
        <w:t>infrastructure</w:t>
      </w:r>
      <w:r>
        <w:rPr>
          <w:spacing w:val="-57"/>
          <w:sz w:val="24"/>
        </w:rPr>
        <w:t xml:space="preserve"> </w:t>
      </w:r>
      <w:r>
        <w:rPr>
          <w:sz w:val="24"/>
        </w:rPr>
        <w:t>in</w:t>
      </w:r>
      <w:r>
        <w:rPr>
          <w:spacing w:val="-8"/>
          <w:sz w:val="24"/>
        </w:rPr>
        <w:t xml:space="preserve"> </w:t>
      </w:r>
      <w:r>
        <w:rPr>
          <w:sz w:val="24"/>
        </w:rPr>
        <w:t>applied</w:t>
      </w:r>
      <w:r>
        <w:rPr>
          <w:spacing w:val="-9"/>
          <w:sz w:val="24"/>
        </w:rPr>
        <w:t xml:space="preserve"> </w:t>
      </w:r>
      <w:r>
        <w:rPr>
          <w:sz w:val="24"/>
        </w:rPr>
        <w:t>and</w:t>
      </w:r>
      <w:r>
        <w:rPr>
          <w:spacing w:val="-9"/>
          <w:sz w:val="24"/>
        </w:rPr>
        <w:t xml:space="preserve"> </w:t>
      </w:r>
      <w:r>
        <w:rPr>
          <w:sz w:val="24"/>
        </w:rPr>
        <w:t>targeted</w:t>
      </w:r>
      <w:r>
        <w:rPr>
          <w:spacing w:val="-9"/>
          <w:sz w:val="24"/>
        </w:rPr>
        <w:t xml:space="preserve"> </w:t>
      </w:r>
      <w:r>
        <w:rPr>
          <w:sz w:val="24"/>
        </w:rPr>
        <w:t>research,</w:t>
      </w:r>
      <w:r>
        <w:rPr>
          <w:spacing w:val="-7"/>
          <w:sz w:val="24"/>
        </w:rPr>
        <w:t xml:space="preserve"> </w:t>
      </w:r>
      <w:r>
        <w:rPr>
          <w:sz w:val="24"/>
        </w:rPr>
        <w:t>will</w:t>
      </w:r>
      <w:r>
        <w:rPr>
          <w:spacing w:val="-8"/>
          <w:sz w:val="24"/>
        </w:rPr>
        <w:t xml:space="preserve"> </w:t>
      </w:r>
      <w:r>
        <w:rPr>
          <w:sz w:val="24"/>
        </w:rPr>
        <w:t>enable</w:t>
      </w:r>
      <w:r>
        <w:rPr>
          <w:spacing w:val="-9"/>
          <w:sz w:val="24"/>
        </w:rPr>
        <w:t xml:space="preserve"> </w:t>
      </w:r>
      <w:r>
        <w:rPr>
          <w:sz w:val="24"/>
        </w:rPr>
        <w:t>researchers</w:t>
      </w:r>
      <w:r>
        <w:rPr>
          <w:spacing w:val="-9"/>
          <w:sz w:val="24"/>
        </w:rPr>
        <w:t xml:space="preserve"> </w:t>
      </w:r>
      <w:r>
        <w:rPr>
          <w:sz w:val="24"/>
        </w:rPr>
        <w:t>in</w:t>
      </w:r>
      <w:r>
        <w:rPr>
          <w:spacing w:val="-8"/>
          <w:sz w:val="24"/>
        </w:rPr>
        <w:t xml:space="preserve"> </w:t>
      </w:r>
      <w:r>
        <w:rPr>
          <w:sz w:val="24"/>
        </w:rPr>
        <w:t>the</w:t>
      </w:r>
      <w:r>
        <w:rPr>
          <w:spacing w:val="-9"/>
          <w:sz w:val="24"/>
        </w:rPr>
        <w:t xml:space="preserve"> </w:t>
      </w:r>
      <w:r>
        <w:rPr>
          <w:sz w:val="24"/>
        </w:rPr>
        <w:t>STEM</w:t>
      </w:r>
      <w:r>
        <w:rPr>
          <w:spacing w:val="-9"/>
          <w:sz w:val="24"/>
        </w:rPr>
        <w:t xml:space="preserve"> </w:t>
      </w:r>
      <w:r>
        <w:rPr>
          <w:sz w:val="24"/>
        </w:rPr>
        <w:t>and</w:t>
      </w:r>
      <w:r>
        <w:rPr>
          <w:spacing w:val="-6"/>
          <w:sz w:val="24"/>
        </w:rPr>
        <w:t xml:space="preserve"> </w:t>
      </w:r>
      <w:r>
        <w:rPr>
          <w:sz w:val="24"/>
        </w:rPr>
        <w:t>ICT</w:t>
      </w:r>
      <w:r>
        <w:rPr>
          <w:spacing w:val="-9"/>
          <w:sz w:val="24"/>
        </w:rPr>
        <w:t xml:space="preserve"> </w:t>
      </w:r>
      <w:r>
        <w:rPr>
          <w:sz w:val="24"/>
        </w:rPr>
        <w:t>fields</w:t>
      </w:r>
      <w:r>
        <w:rPr>
          <w:spacing w:val="-8"/>
          <w:sz w:val="24"/>
        </w:rPr>
        <w:t xml:space="preserve"> </w:t>
      </w:r>
      <w:r>
        <w:rPr>
          <w:sz w:val="24"/>
        </w:rPr>
        <w:t>to</w:t>
      </w:r>
      <w:r>
        <w:rPr>
          <w:spacing w:val="-8"/>
          <w:sz w:val="24"/>
        </w:rPr>
        <w:t xml:space="preserve"> </w:t>
      </w:r>
      <w:r>
        <w:rPr>
          <w:sz w:val="24"/>
        </w:rPr>
        <w:t>develop</w:t>
      </w:r>
      <w:r>
        <w:rPr>
          <w:spacing w:val="-58"/>
          <w:sz w:val="24"/>
        </w:rPr>
        <w:t xml:space="preserve"> </w:t>
      </w:r>
      <w:r>
        <w:rPr>
          <w:sz w:val="24"/>
        </w:rPr>
        <w:t>their careers in collaboration with the business sector and cooperate in innovation activities.</w:t>
      </w:r>
      <w:r>
        <w:rPr>
          <w:spacing w:val="1"/>
          <w:sz w:val="24"/>
        </w:rPr>
        <w:t xml:space="preserve"> </w:t>
      </w:r>
      <w:r>
        <w:rPr>
          <w:sz w:val="24"/>
        </w:rPr>
        <w:t>This infrastructure will directly contribute to strengthening human capacity for cutting-edge</w:t>
      </w:r>
      <w:r>
        <w:rPr>
          <w:spacing w:val="1"/>
          <w:sz w:val="24"/>
        </w:rPr>
        <w:t xml:space="preserve"> </w:t>
      </w:r>
      <w:r>
        <w:rPr>
          <w:sz w:val="24"/>
        </w:rPr>
        <w:t>scientific research and cooperation with the business sector. The investment is planned for</w:t>
      </w:r>
      <w:r>
        <w:rPr>
          <w:spacing w:val="1"/>
          <w:sz w:val="24"/>
        </w:rPr>
        <w:t xml:space="preserve"> </w:t>
      </w:r>
      <w:r>
        <w:rPr>
          <w:sz w:val="24"/>
        </w:rPr>
        <w:t>completion by</w:t>
      </w:r>
      <w:r>
        <w:rPr>
          <w:spacing w:val="-6"/>
          <w:sz w:val="24"/>
        </w:rPr>
        <w:t xml:space="preserve"> </w:t>
      </w:r>
      <w:r>
        <w:rPr>
          <w:sz w:val="24"/>
        </w:rPr>
        <w:t>mid-2026.</w:t>
      </w:r>
    </w:p>
    <w:p w:rsidR="00A56FE9" w:rsidRDefault="00000000">
      <w:pPr>
        <w:pStyle w:val="Tijeloteksta"/>
        <w:spacing w:before="121"/>
        <w:ind w:right="274"/>
      </w:pPr>
      <w:r>
        <w:t>Investments</w:t>
      </w:r>
      <w:r>
        <w:rPr>
          <w:spacing w:val="1"/>
        </w:rPr>
        <w:t xml:space="preserve"> </w:t>
      </w:r>
      <w:r>
        <w:t>in</w:t>
      </w:r>
      <w:r>
        <w:rPr>
          <w:spacing w:val="1"/>
        </w:rPr>
        <w:t xml:space="preserve"> </w:t>
      </w:r>
      <w:r>
        <w:t>the</w:t>
      </w:r>
      <w:r>
        <w:rPr>
          <w:spacing w:val="1"/>
        </w:rPr>
        <w:t xml:space="preserve"> </w:t>
      </w:r>
      <w:r>
        <w:t>national</w:t>
      </w:r>
      <w:r>
        <w:rPr>
          <w:spacing w:val="1"/>
        </w:rPr>
        <w:t xml:space="preserve"> </w:t>
      </w:r>
      <w:r>
        <w:t>science</w:t>
      </w:r>
      <w:r>
        <w:rPr>
          <w:spacing w:val="1"/>
        </w:rPr>
        <w:t xml:space="preserve"> </w:t>
      </w:r>
      <w:r>
        <w:t>and</w:t>
      </w:r>
      <w:r>
        <w:rPr>
          <w:spacing w:val="1"/>
        </w:rPr>
        <w:t xml:space="preserve"> </w:t>
      </w:r>
      <w:r>
        <w:t>technology</w:t>
      </w:r>
      <w:r>
        <w:rPr>
          <w:spacing w:val="1"/>
        </w:rPr>
        <w:t xml:space="preserve"> </w:t>
      </w:r>
      <w:r>
        <w:t>infrastructure</w:t>
      </w:r>
      <w:r>
        <w:rPr>
          <w:spacing w:val="1"/>
        </w:rPr>
        <w:t xml:space="preserve"> </w:t>
      </w:r>
      <w:r>
        <w:t>will</w:t>
      </w:r>
      <w:r>
        <w:rPr>
          <w:spacing w:val="1"/>
        </w:rPr>
        <w:t xml:space="preserve"> </w:t>
      </w:r>
      <w:r>
        <w:t>be</w:t>
      </w:r>
      <w:r>
        <w:rPr>
          <w:spacing w:val="1"/>
        </w:rPr>
        <w:t xml:space="preserve"> </w:t>
      </w:r>
      <w:r>
        <w:t>carried</w:t>
      </w:r>
      <w:r>
        <w:rPr>
          <w:spacing w:val="1"/>
        </w:rPr>
        <w:t xml:space="preserve"> </w:t>
      </w:r>
      <w:r>
        <w:t>out</w:t>
      </w:r>
      <w:r>
        <w:rPr>
          <w:spacing w:val="1"/>
        </w:rPr>
        <w:t xml:space="preserve"> </w:t>
      </w:r>
      <w:r>
        <w:t>in</w:t>
      </w:r>
      <w:r>
        <w:rPr>
          <w:spacing w:val="-57"/>
        </w:rPr>
        <w:t xml:space="preserve"> </w:t>
      </w:r>
      <w:r>
        <w:t>accordance with the criteria developed in the National Plan for the Development of Research</w:t>
      </w:r>
      <w:r>
        <w:rPr>
          <w:spacing w:val="1"/>
        </w:rPr>
        <w:t xml:space="preserve"> </w:t>
      </w:r>
      <w:r>
        <w:t>Infrastructure</w:t>
      </w:r>
      <w:r>
        <w:rPr>
          <w:spacing w:val="-10"/>
        </w:rPr>
        <w:t xml:space="preserve"> </w:t>
      </w:r>
      <w:r>
        <w:t>of</w:t>
      </w:r>
      <w:r>
        <w:rPr>
          <w:spacing w:val="-8"/>
        </w:rPr>
        <w:t xml:space="preserve"> </w:t>
      </w:r>
      <w:r>
        <w:t>the</w:t>
      </w:r>
      <w:r>
        <w:rPr>
          <w:spacing w:val="-9"/>
        </w:rPr>
        <w:t xml:space="preserve"> </w:t>
      </w:r>
      <w:r>
        <w:t>Republic</w:t>
      </w:r>
      <w:r>
        <w:rPr>
          <w:spacing w:val="-10"/>
        </w:rPr>
        <w:t xml:space="preserve"> </w:t>
      </w:r>
      <w:r>
        <w:t>of</w:t>
      </w:r>
      <w:r>
        <w:rPr>
          <w:spacing w:val="-8"/>
        </w:rPr>
        <w:t xml:space="preserve"> </w:t>
      </w:r>
      <w:r>
        <w:t>Croatia</w:t>
      </w:r>
      <w:r>
        <w:rPr>
          <w:spacing w:val="-9"/>
        </w:rPr>
        <w:t xml:space="preserve"> </w:t>
      </w:r>
      <w:r>
        <w:t>2021-2027,</w:t>
      </w:r>
      <w:r>
        <w:rPr>
          <w:spacing w:val="-8"/>
        </w:rPr>
        <w:t xml:space="preserve"> </w:t>
      </w:r>
      <w:r>
        <w:t>which</w:t>
      </w:r>
      <w:r>
        <w:rPr>
          <w:spacing w:val="-9"/>
        </w:rPr>
        <w:t xml:space="preserve"> </w:t>
      </w:r>
      <w:r>
        <w:t>is</w:t>
      </w:r>
      <w:r>
        <w:rPr>
          <w:spacing w:val="-7"/>
        </w:rPr>
        <w:t xml:space="preserve"> </w:t>
      </w:r>
      <w:r>
        <w:t>in</w:t>
      </w:r>
      <w:r>
        <w:rPr>
          <w:spacing w:val="-7"/>
        </w:rPr>
        <w:t xml:space="preserve"> </w:t>
      </w:r>
      <w:r>
        <w:t>the</w:t>
      </w:r>
      <w:r>
        <w:rPr>
          <w:spacing w:val="-9"/>
        </w:rPr>
        <w:t xml:space="preserve"> </w:t>
      </w:r>
      <w:r>
        <w:t>final</w:t>
      </w:r>
      <w:r>
        <w:rPr>
          <w:spacing w:val="-7"/>
        </w:rPr>
        <w:t xml:space="preserve"> </w:t>
      </w:r>
      <w:r>
        <w:t>stage</w:t>
      </w:r>
      <w:r>
        <w:rPr>
          <w:spacing w:val="-9"/>
        </w:rPr>
        <w:t xml:space="preserve"> </w:t>
      </w:r>
      <w:r>
        <w:t>of</w:t>
      </w:r>
      <w:r>
        <w:rPr>
          <w:spacing w:val="-8"/>
        </w:rPr>
        <w:t xml:space="preserve"> </w:t>
      </w:r>
      <w:r>
        <w:t>development.</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2"/>
        <w:numPr>
          <w:ilvl w:val="0"/>
          <w:numId w:val="7"/>
        </w:numPr>
        <w:tabs>
          <w:tab w:val="left" w:pos="423"/>
        </w:tabs>
        <w:ind w:hanging="285"/>
        <w:jc w:val="both"/>
      </w:pPr>
      <w:bookmarkStart w:id="23" w:name="_bookmark23"/>
      <w:bookmarkEnd w:id="23"/>
      <w:r>
        <w:rPr>
          <w:color w:val="003399"/>
        </w:rPr>
        <w:t>–</w:t>
      </w:r>
      <w:r>
        <w:rPr>
          <w:color w:val="003399"/>
          <w:spacing w:val="-1"/>
        </w:rPr>
        <w:t xml:space="preserve"> </w:t>
      </w:r>
      <w:r>
        <w:t>LABOUR</w:t>
      </w:r>
      <w:r>
        <w:rPr>
          <w:spacing w:val="-3"/>
        </w:rPr>
        <w:t xml:space="preserve"> </w:t>
      </w:r>
      <w:r>
        <w:t>MARKET</w:t>
      </w:r>
      <w:r>
        <w:rPr>
          <w:spacing w:val="-1"/>
        </w:rPr>
        <w:t xml:space="preserve"> </w:t>
      </w:r>
      <w:r>
        <w:t>AND</w:t>
      </w:r>
      <w:r>
        <w:rPr>
          <w:spacing w:val="-2"/>
        </w:rPr>
        <w:t xml:space="preserve"> </w:t>
      </w:r>
      <w:r>
        <w:t>SOCIAL</w:t>
      </w:r>
      <w:r>
        <w:rPr>
          <w:spacing w:val="-1"/>
        </w:rPr>
        <w:t xml:space="preserve"> </w:t>
      </w:r>
      <w:r>
        <w:t>PROTECTION</w:t>
      </w:r>
    </w:p>
    <w:p w:rsidR="00A56FE9" w:rsidRDefault="00A56FE9">
      <w:pPr>
        <w:pStyle w:val="Tijeloteksta"/>
        <w:spacing w:before="7"/>
        <w:ind w:left="0"/>
        <w:jc w:val="left"/>
        <w:rPr>
          <w:b/>
          <w:sz w:val="39"/>
        </w:rPr>
      </w:pPr>
    </w:p>
    <w:p w:rsidR="00A56FE9" w:rsidRDefault="00000000">
      <w:pPr>
        <w:pStyle w:val="Naslov3"/>
        <w:spacing w:before="0"/>
        <w:ind w:left="846" w:hanging="708"/>
        <w:jc w:val="left"/>
      </w:pPr>
      <w:bookmarkStart w:id="24" w:name="_bookmark24"/>
      <w:bookmarkEnd w:id="24"/>
      <w:r>
        <w:rPr>
          <w:rFonts w:ascii="Times New Roman"/>
          <w:b/>
          <w:color w:val="2C398A"/>
        </w:rPr>
        <w:t>C4.1.</w:t>
      </w:r>
      <w:r>
        <w:rPr>
          <w:rFonts w:ascii="Times New Roman"/>
          <w:b/>
          <w:color w:val="2C398A"/>
          <w:spacing w:val="1"/>
        </w:rPr>
        <w:t xml:space="preserve"> </w:t>
      </w:r>
      <w:r>
        <w:rPr>
          <w:color w:val="2C398A"/>
        </w:rPr>
        <w:t>Improving</w:t>
      </w:r>
      <w:r>
        <w:rPr>
          <w:color w:val="2C398A"/>
          <w:spacing w:val="11"/>
        </w:rPr>
        <w:t xml:space="preserve"> </w:t>
      </w:r>
      <w:r>
        <w:rPr>
          <w:color w:val="2C398A"/>
        </w:rPr>
        <w:t>Employment</w:t>
      </w:r>
      <w:r>
        <w:rPr>
          <w:color w:val="2C398A"/>
          <w:spacing w:val="11"/>
        </w:rPr>
        <w:t xml:space="preserve"> </w:t>
      </w:r>
      <w:r>
        <w:rPr>
          <w:color w:val="2C398A"/>
        </w:rPr>
        <w:t>Measures</w:t>
      </w:r>
      <w:r>
        <w:rPr>
          <w:color w:val="2C398A"/>
          <w:spacing w:val="9"/>
        </w:rPr>
        <w:t xml:space="preserve"> </w:t>
      </w:r>
      <w:r>
        <w:rPr>
          <w:color w:val="2C398A"/>
        </w:rPr>
        <w:t>and</w:t>
      </w:r>
      <w:r>
        <w:rPr>
          <w:color w:val="2C398A"/>
          <w:spacing w:val="11"/>
        </w:rPr>
        <w:t xml:space="preserve"> </w:t>
      </w:r>
      <w:r>
        <w:rPr>
          <w:color w:val="2C398A"/>
        </w:rPr>
        <w:t>the</w:t>
      </w:r>
      <w:r>
        <w:rPr>
          <w:color w:val="2C398A"/>
          <w:spacing w:val="7"/>
        </w:rPr>
        <w:t xml:space="preserve"> </w:t>
      </w:r>
      <w:r>
        <w:rPr>
          <w:color w:val="2C398A"/>
        </w:rPr>
        <w:t>Legal</w:t>
      </w:r>
      <w:r>
        <w:rPr>
          <w:color w:val="2C398A"/>
          <w:spacing w:val="11"/>
        </w:rPr>
        <w:t xml:space="preserve"> </w:t>
      </w:r>
      <w:r>
        <w:rPr>
          <w:color w:val="2C398A"/>
        </w:rPr>
        <w:t>Framework</w:t>
      </w:r>
      <w:r>
        <w:rPr>
          <w:color w:val="2C398A"/>
          <w:spacing w:val="10"/>
        </w:rPr>
        <w:t xml:space="preserve"> </w:t>
      </w:r>
      <w:r>
        <w:rPr>
          <w:color w:val="2C398A"/>
        </w:rPr>
        <w:t>for</w:t>
      </w:r>
      <w:r>
        <w:rPr>
          <w:color w:val="2C398A"/>
          <w:spacing w:val="9"/>
        </w:rPr>
        <w:t xml:space="preserve"> </w:t>
      </w:r>
      <w:r>
        <w:rPr>
          <w:color w:val="2C398A"/>
        </w:rPr>
        <w:t>a</w:t>
      </w:r>
      <w:r>
        <w:rPr>
          <w:color w:val="2C398A"/>
          <w:spacing w:val="9"/>
        </w:rPr>
        <w:t xml:space="preserve"> </w:t>
      </w:r>
      <w:r>
        <w:rPr>
          <w:color w:val="2C398A"/>
        </w:rPr>
        <w:t>Modern</w:t>
      </w:r>
      <w:r>
        <w:rPr>
          <w:color w:val="2C398A"/>
          <w:spacing w:val="-60"/>
        </w:rPr>
        <w:t xml:space="preserve"> </w:t>
      </w:r>
      <w:r>
        <w:rPr>
          <w:color w:val="2C398A"/>
        </w:rPr>
        <w:t>Labour</w:t>
      </w:r>
      <w:r>
        <w:rPr>
          <w:color w:val="2C398A"/>
          <w:spacing w:val="-4"/>
        </w:rPr>
        <w:t xml:space="preserve"> </w:t>
      </w:r>
      <w:r>
        <w:rPr>
          <w:color w:val="2C398A"/>
        </w:rPr>
        <w:t>Market</w:t>
      </w:r>
      <w:r>
        <w:rPr>
          <w:color w:val="2C398A"/>
          <w:spacing w:val="-3"/>
        </w:rPr>
        <w:t xml:space="preserve"> </w:t>
      </w:r>
      <w:r>
        <w:rPr>
          <w:color w:val="2C398A"/>
        </w:rPr>
        <w:t>and</w:t>
      </w:r>
      <w:r>
        <w:rPr>
          <w:color w:val="2C398A"/>
          <w:spacing w:val="-5"/>
        </w:rPr>
        <w:t xml:space="preserve"> </w:t>
      </w:r>
      <w:r>
        <w:rPr>
          <w:color w:val="2C398A"/>
        </w:rPr>
        <w:t>the</w:t>
      </w:r>
      <w:r>
        <w:rPr>
          <w:color w:val="2C398A"/>
          <w:spacing w:val="-4"/>
        </w:rPr>
        <w:t xml:space="preserve"> </w:t>
      </w:r>
      <w:r>
        <w:rPr>
          <w:color w:val="2C398A"/>
        </w:rPr>
        <w:t>Economy</w:t>
      </w:r>
      <w:r>
        <w:rPr>
          <w:color w:val="2C398A"/>
          <w:spacing w:val="-4"/>
        </w:rPr>
        <w:t xml:space="preserve"> </w:t>
      </w:r>
      <w:r>
        <w:rPr>
          <w:color w:val="2C398A"/>
        </w:rPr>
        <w:t>of</w:t>
      </w:r>
      <w:r>
        <w:rPr>
          <w:color w:val="2C398A"/>
          <w:spacing w:val="-7"/>
        </w:rPr>
        <w:t xml:space="preserve"> </w:t>
      </w:r>
      <w:r>
        <w:rPr>
          <w:color w:val="2C398A"/>
        </w:rPr>
        <w:t>the</w:t>
      </w:r>
      <w:r>
        <w:rPr>
          <w:color w:val="2C398A"/>
          <w:spacing w:val="-8"/>
        </w:rPr>
        <w:t xml:space="preserve"> </w:t>
      </w:r>
      <w:r>
        <w:rPr>
          <w:color w:val="2C398A"/>
        </w:rPr>
        <w:t>Future</w:t>
      </w:r>
    </w:p>
    <w:p w:rsidR="00A56FE9" w:rsidRDefault="00A56FE9">
      <w:pPr>
        <w:pStyle w:val="Tijeloteksta"/>
        <w:spacing w:before="6"/>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796736"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1910846197"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4F271" id="Rectangle 139" o:spid="_x0000_s1026" style="position:absolute;margin-left:64.1pt;margin-top:-6.1pt;width:1.45pt;height:27pt;z-index:1579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Implementation</w:t>
      </w:r>
      <w:r w:rsidR="00000000">
        <w:rPr>
          <w:color w:val="2C398A"/>
          <w:spacing w:val="-2"/>
        </w:rPr>
        <w:t xml:space="preserve"> </w:t>
      </w:r>
      <w:r w:rsidR="00000000">
        <w:rPr>
          <w:color w:val="2C398A"/>
        </w:rPr>
        <w:t>of</w:t>
      </w:r>
      <w:r w:rsidR="00000000">
        <w:rPr>
          <w:color w:val="2C398A"/>
          <w:spacing w:val="-3"/>
        </w:rPr>
        <w:t xml:space="preserve"> </w:t>
      </w:r>
      <w:r w:rsidR="00000000">
        <w:rPr>
          <w:color w:val="2C398A"/>
        </w:rPr>
        <w:t>active</w:t>
      </w:r>
      <w:r w:rsidR="00000000">
        <w:rPr>
          <w:color w:val="2C398A"/>
          <w:spacing w:val="-4"/>
        </w:rPr>
        <w:t xml:space="preserve"> </w:t>
      </w:r>
      <w:r w:rsidR="00000000">
        <w:rPr>
          <w:color w:val="2C398A"/>
        </w:rPr>
        <w:t>labour</w:t>
      </w:r>
      <w:r w:rsidR="00000000">
        <w:rPr>
          <w:color w:val="2C398A"/>
          <w:spacing w:val="1"/>
        </w:rPr>
        <w:t xml:space="preserve"> </w:t>
      </w:r>
      <w:r w:rsidR="00000000">
        <w:rPr>
          <w:color w:val="2C398A"/>
        </w:rPr>
        <w:t>market policy</w:t>
      </w:r>
      <w:r w:rsidR="00000000">
        <w:rPr>
          <w:color w:val="2C398A"/>
          <w:spacing w:val="-2"/>
        </w:rPr>
        <w:t xml:space="preserve"> </w:t>
      </w:r>
      <w:r w:rsidR="00000000">
        <w:rPr>
          <w:color w:val="2C398A"/>
        </w:rPr>
        <w:t>measures</w:t>
      </w:r>
    </w:p>
    <w:p w:rsidR="00A56FE9" w:rsidRDefault="00000000">
      <w:pPr>
        <w:spacing w:before="233"/>
        <w:ind w:left="138" w:right="271"/>
        <w:jc w:val="both"/>
        <w:rPr>
          <w:i/>
          <w:sz w:val="24"/>
        </w:rPr>
      </w:pPr>
      <w:r>
        <w:rPr>
          <w:i/>
          <w:color w:val="2C398A"/>
          <w:sz w:val="24"/>
        </w:rPr>
        <w:t>2019.CSR2.1. Deliver on the education reform and improve both access to education and</w:t>
      </w:r>
      <w:r>
        <w:rPr>
          <w:i/>
          <w:color w:val="2C398A"/>
          <w:spacing w:val="1"/>
          <w:sz w:val="24"/>
        </w:rPr>
        <w:t xml:space="preserve"> </w:t>
      </w:r>
      <w:r>
        <w:rPr>
          <w:i/>
          <w:color w:val="2C398A"/>
          <w:sz w:val="24"/>
        </w:rPr>
        <w:t>training</w:t>
      </w:r>
      <w:r>
        <w:rPr>
          <w:i/>
          <w:color w:val="2C398A"/>
          <w:spacing w:val="-6"/>
          <w:sz w:val="24"/>
        </w:rPr>
        <w:t xml:space="preserve"> </w:t>
      </w:r>
      <w:r>
        <w:rPr>
          <w:i/>
          <w:color w:val="2C398A"/>
          <w:sz w:val="24"/>
        </w:rPr>
        <w:t>at</w:t>
      </w:r>
      <w:r>
        <w:rPr>
          <w:i/>
          <w:color w:val="2C398A"/>
          <w:spacing w:val="-7"/>
          <w:sz w:val="24"/>
        </w:rPr>
        <w:t xml:space="preserve"> </w:t>
      </w:r>
      <w:r>
        <w:rPr>
          <w:i/>
          <w:color w:val="2C398A"/>
          <w:sz w:val="24"/>
        </w:rPr>
        <w:t>all</w:t>
      </w:r>
      <w:r>
        <w:rPr>
          <w:i/>
          <w:color w:val="2C398A"/>
          <w:spacing w:val="-8"/>
          <w:sz w:val="24"/>
        </w:rPr>
        <w:t xml:space="preserve"> </w:t>
      </w:r>
      <w:r>
        <w:rPr>
          <w:i/>
          <w:color w:val="2C398A"/>
          <w:sz w:val="24"/>
        </w:rPr>
        <w:t>levels</w:t>
      </w:r>
      <w:r>
        <w:rPr>
          <w:i/>
          <w:color w:val="2C398A"/>
          <w:spacing w:val="-5"/>
          <w:sz w:val="24"/>
        </w:rPr>
        <w:t xml:space="preserve"> </w:t>
      </w:r>
      <w:r>
        <w:rPr>
          <w:i/>
          <w:color w:val="2C398A"/>
          <w:sz w:val="24"/>
        </w:rPr>
        <w:t>and</w:t>
      </w:r>
      <w:r>
        <w:rPr>
          <w:i/>
          <w:color w:val="2C398A"/>
          <w:spacing w:val="-8"/>
          <w:sz w:val="24"/>
        </w:rPr>
        <w:t xml:space="preserve"> </w:t>
      </w:r>
      <w:r>
        <w:rPr>
          <w:i/>
          <w:color w:val="2C398A"/>
          <w:sz w:val="24"/>
        </w:rPr>
        <w:t>their</w:t>
      </w:r>
      <w:r>
        <w:rPr>
          <w:i/>
          <w:color w:val="2C398A"/>
          <w:spacing w:val="-6"/>
          <w:sz w:val="24"/>
        </w:rPr>
        <w:t xml:space="preserve"> </w:t>
      </w:r>
      <w:r>
        <w:rPr>
          <w:i/>
          <w:color w:val="2C398A"/>
          <w:sz w:val="24"/>
        </w:rPr>
        <w:t>quality</w:t>
      </w:r>
      <w:r>
        <w:rPr>
          <w:i/>
          <w:color w:val="2C398A"/>
          <w:spacing w:val="-6"/>
          <w:sz w:val="24"/>
        </w:rPr>
        <w:t xml:space="preserve"> </w:t>
      </w:r>
      <w:r>
        <w:rPr>
          <w:i/>
          <w:color w:val="2C398A"/>
          <w:sz w:val="24"/>
        </w:rPr>
        <w:t>and</w:t>
      </w:r>
      <w:r>
        <w:rPr>
          <w:i/>
          <w:color w:val="2C398A"/>
          <w:spacing w:val="-9"/>
          <w:sz w:val="24"/>
        </w:rPr>
        <w:t xml:space="preserve"> </w:t>
      </w:r>
      <w:r>
        <w:rPr>
          <w:i/>
          <w:color w:val="2C398A"/>
          <w:sz w:val="24"/>
        </w:rPr>
        <w:t>labour</w:t>
      </w:r>
      <w:r>
        <w:rPr>
          <w:i/>
          <w:color w:val="2C398A"/>
          <w:spacing w:val="-7"/>
          <w:sz w:val="24"/>
        </w:rPr>
        <w:t xml:space="preserve"> </w:t>
      </w:r>
      <w:r>
        <w:rPr>
          <w:i/>
          <w:color w:val="2C398A"/>
          <w:sz w:val="24"/>
        </w:rPr>
        <w:t>market</w:t>
      </w:r>
      <w:r>
        <w:rPr>
          <w:i/>
          <w:color w:val="2C398A"/>
          <w:spacing w:val="-5"/>
          <w:sz w:val="24"/>
        </w:rPr>
        <w:t xml:space="preserve"> </w:t>
      </w:r>
      <w:r>
        <w:rPr>
          <w:i/>
          <w:color w:val="2C398A"/>
          <w:sz w:val="24"/>
        </w:rPr>
        <w:t>relevance;</w:t>
      </w:r>
      <w:r>
        <w:rPr>
          <w:i/>
          <w:color w:val="2C398A"/>
          <w:spacing w:val="-7"/>
          <w:sz w:val="24"/>
        </w:rPr>
        <w:t xml:space="preserve"> </w:t>
      </w:r>
      <w:r>
        <w:rPr>
          <w:i/>
          <w:color w:val="2C398A"/>
          <w:sz w:val="24"/>
        </w:rPr>
        <w:t>2020.CSR2.3.</w:t>
      </w:r>
      <w:r>
        <w:rPr>
          <w:i/>
          <w:color w:val="2C398A"/>
          <w:spacing w:val="-4"/>
          <w:sz w:val="24"/>
        </w:rPr>
        <w:t xml:space="preserve"> </w:t>
      </w:r>
      <w:r>
        <w:rPr>
          <w:i/>
          <w:color w:val="2C398A"/>
          <w:sz w:val="24"/>
        </w:rPr>
        <w:t>Promote</w:t>
      </w:r>
      <w:r>
        <w:rPr>
          <w:i/>
          <w:color w:val="2C398A"/>
          <w:spacing w:val="-7"/>
          <w:sz w:val="24"/>
        </w:rPr>
        <w:t xml:space="preserve"> </w:t>
      </w:r>
      <w:r>
        <w:rPr>
          <w:i/>
          <w:color w:val="2C398A"/>
          <w:sz w:val="24"/>
        </w:rPr>
        <w:t>the</w:t>
      </w:r>
      <w:r>
        <w:rPr>
          <w:i/>
          <w:color w:val="2C398A"/>
          <w:spacing w:val="-57"/>
          <w:sz w:val="24"/>
        </w:rPr>
        <w:t xml:space="preserve"> </w:t>
      </w:r>
      <w:r>
        <w:rPr>
          <w:i/>
          <w:color w:val="2C398A"/>
          <w:sz w:val="24"/>
        </w:rPr>
        <w:t>acquisition</w:t>
      </w:r>
      <w:r>
        <w:rPr>
          <w:i/>
          <w:color w:val="2C398A"/>
          <w:spacing w:val="-1"/>
          <w:sz w:val="24"/>
        </w:rPr>
        <w:t xml:space="preserve"> </w:t>
      </w:r>
      <w:r>
        <w:rPr>
          <w:i/>
          <w:color w:val="2C398A"/>
          <w:sz w:val="24"/>
        </w:rPr>
        <w:t>of skills; 2020.CSR3.3.</w:t>
      </w:r>
      <w:r>
        <w:rPr>
          <w:i/>
          <w:color w:val="2C398A"/>
          <w:spacing w:val="-2"/>
          <w:sz w:val="24"/>
        </w:rPr>
        <w:t xml:space="preserve"> </w:t>
      </w:r>
      <w:r>
        <w:rPr>
          <w:i/>
          <w:color w:val="2C398A"/>
          <w:sz w:val="24"/>
        </w:rPr>
        <w:t>Focus investment on</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green and digital</w:t>
      </w:r>
      <w:r>
        <w:rPr>
          <w:i/>
          <w:color w:val="2C398A"/>
          <w:spacing w:val="-1"/>
          <w:sz w:val="24"/>
        </w:rPr>
        <w:t xml:space="preserve"> </w:t>
      </w:r>
      <w:r>
        <w:rPr>
          <w:i/>
          <w:color w:val="2C398A"/>
          <w:sz w:val="24"/>
        </w:rPr>
        <w:t>transition</w:t>
      </w:r>
    </w:p>
    <w:p w:rsidR="00A56FE9" w:rsidRDefault="00A56FE9">
      <w:pPr>
        <w:pStyle w:val="Tijeloteksta"/>
        <w:spacing w:before="4"/>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995790491"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588838440" name="Rectangle 138"/>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19AAA56" id="Group 137"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">
                <v:rect id="Rectangle 138"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" fillcolor="#2c398a" stroked="f"/>
                <w10:anchorlock/>
              </v:group>
            </w:pict>
          </mc:Fallback>
        </mc:AlternateContent>
      </w:r>
    </w:p>
    <w:p w:rsidR="00A56FE9" w:rsidRDefault="00000000">
      <w:pPr>
        <w:pStyle w:val="Tijeloteksta"/>
        <w:spacing w:before="154"/>
        <w:ind w:right="274"/>
      </w:pPr>
      <w:r>
        <w:rPr>
          <w:spacing w:val="-1"/>
        </w:rPr>
        <w:t>Despite</w:t>
      </w:r>
      <w:r>
        <w:rPr>
          <w:spacing w:val="-16"/>
        </w:rPr>
        <w:t xml:space="preserve"> </w:t>
      </w:r>
      <w:r>
        <w:rPr>
          <w:spacing w:val="-1"/>
        </w:rPr>
        <w:t>the</w:t>
      </w:r>
      <w:r>
        <w:rPr>
          <w:spacing w:val="-15"/>
        </w:rPr>
        <w:t xml:space="preserve"> </w:t>
      </w:r>
      <w:r>
        <w:t>extraordinary</w:t>
      </w:r>
      <w:r>
        <w:rPr>
          <w:spacing w:val="-17"/>
        </w:rPr>
        <w:t xml:space="preserve"> </w:t>
      </w:r>
      <w:r>
        <w:t>circumstances</w:t>
      </w:r>
      <w:r>
        <w:rPr>
          <w:spacing w:val="-15"/>
        </w:rPr>
        <w:t xml:space="preserve"> </w:t>
      </w:r>
      <w:r>
        <w:t>in</w:t>
      </w:r>
      <w:r>
        <w:rPr>
          <w:spacing w:val="-14"/>
        </w:rPr>
        <w:t xml:space="preserve"> </w:t>
      </w:r>
      <w:r>
        <w:t>Croatia</w:t>
      </w:r>
      <w:r>
        <w:rPr>
          <w:spacing w:val="-13"/>
        </w:rPr>
        <w:t xml:space="preserve"> </w:t>
      </w:r>
      <w:r>
        <w:t>resulting</w:t>
      </w:r>
      <w:r>
        <w:rPr>
          <w:spacing w:val="-17"/>
        </w:rPr>
        <w:t xml:space="preserve"> </w:t>
      </w:r>
      <w:r>
        <w:t>from</w:t>
      </w:r>
      <w:r>
        <w:rPr>
          <w:spacing w:val="-15"/>
        </w:rPr>
        <w:t xml:space="preserve"> </w:t>
      </w:r>
      <w:r>
        <w:t>the</w:t>
      </w:r>
      <w:r>
        <w:rPr>
          <w:spacing w:val="-15"/>
        </w:rPr>
        <w:t xml:space="preserve"> </w:t>
      </w:r>
      <w:r>
        <w:t>pandemic</w:t>
      </w:r>
      <w:r>
        <w:rPr>
          <w:spacing w:val="-16"/>
        </w:rPr>
        <w:t xml:space="preserve"> </w:t>
      </w:r>
      <w:r>
        <w:t>and</w:t>
      </w:r>
      <w:r>
        <w:rPr>
          <w:spacing w:val="-15"/>
        </w:rPr>
        <w:t xml:space="preserve"> </w:t>
      </w:r>
      <w:r>
        <w:t>earthquake,</w:t>
      </w:r>
      <w:r>
        <w:rPr>
          <w:spacing w:val="-57"/>
        </w:rPr>
        <w:t xml:space="preserve"> </w:t>
      </w:r>
      <w:r>
        <w:t>the situation on the labour market is showing positive indicators. In the period from 2020 to</w:t>
      </w:r>
      <w:r>
        <w:rPr>
          <w:spacing w:val="1"/>
        </w:rPr>
        <w:t xml:space="preserve"> </w:t>
      </w:r>
      <w:r>
        <w:t>2021, the average number of unemployed (source: Croatian Employment Service - CES)</w:t>
      </w:r>
      <w:r>
        <w:rPr>
          <w:spacing w:val="1"/>
        </w:rPr>
        <w:t xml:space="preserve"> </w:t>
      </w:r>
      <w:r>
        <w:t>decreased by 14,008 persons, i.e., from 150,824 in 2020 to 136,816 in 2021. Also, the average</w:t>
      </w:r>
      <w:r>
        <w:rPr>
          <w:spacing w:val="-57"/>
        </w:rPr>
        <w:t xml:space="preserve"> </w:t>
      </w:r>
      <w:r>
        <w:t>number</w:t>
      </w:r>
      <w:r>
        <w:rPr>
          <w:spacing w:val="-8"/>
        </w:rPr>
        <w:t xml:space="preserve"> </w:t>
      </w:r>
      <w:r>
        <w:t>of</w:t>
      </w:r>
      <w:r>
        <w:rPr>
          <w:spacing w:val="-7"/>
        </w:rPr>
        <w:t xml:space="preserve"> </w:t>
      </w:r>
      <w:r>
        <w:t>insured</w:t>
      </w:r>
      <w:r>
        <w:rPr>
          <w:spacing w:val="-7"/>
        </w:rPr>
        <w:t xml:space="preserve"> </w:t>
      </w:r>
      <w:r>
        <w:t>persons</w:t>
      </w:r>
      <w:r>
        <w:rPr>
          <w:spacing w:val="-7"/>
        </w:rPr>
        <w:t xml:space="preserve"> </w:t>
      </w:r>
      <w:r>
        <w:t>(source:</w:t>
      </w:r>
      <w:r>
        <w:rPr>
          <w:spacing w:val="-6"/>
        </w:rPr>
        <w:t xml:space="preserve"> </w:t>
      </w:r>
      <w:r>
        <w:t>Croatian</w:t>
      </w:r>
      <w:r>
        <w:rPr>
          <w:spacing w:val="-8"/>
        </w:rPr>
        <w:t xml:space="preserve"> </w:t>
      </w:r>
      <w:r>
        <w:t>Pension</w:t>
      </w:r>
      <w:r>
        <w:rPr>
          <w:spacing w:val="-4"/>
        </w:rPr>
        <w:t xml:space="preserve"> </w:t>
      </w:r>
      <w:r>
        <w:t>Insurance</w:t>
      </w:r>
      <w:r>
        <w:rPr>
          <w:spacing w:val="-6"/>
        </w:rPr>
        <w:t xml:space="preserve"> </w:t>
      </w:r>
      <w:r>
        <w:t>Institute</w:t>
      </w:r>
      <w:r>
        <w:rPr>
          <w:spacing w:val="-5"/>
        </w:rPr>
        <w:t xml:space="preserve"> </w:t>
      </w:r>
      <w:r>
        <w:t>-</w:t>
      </w:r>
      <w:r>
        <w:rPr>
          <w:spacing w:val="-7"/>
        </w:rPr>
        <w:t xml:space="preserve"> </w:t>
      </w:r>
      <w:r>
        <w:t>HZMO)</w:t>
      </w:r>
      <w:r>
        <w:rPr>
          <w:spacing w:val="-8"/>
        </w:rPr>
        <w:t xml:space="preserve"> </w:t>
      </w:r>
      <w:r>
        <w:t>increased</w:t>
      </w:r>
      <w:r>
        <w:rPr>
          <w:spacing w:val="-6"/>
        </w:rPr>
        <w:t xml:space="preserve"> </w:t>
      </w:r>
      <w:r>
        <w:t>in</w:t>
      </w:r>
      <w:r>
        <w:rPr>
          <w:spacing w:val="-58"/>
        </w:rPr>
        <w:t xml:space="preserve"> </w:t>
      </w:r>
      <w:r>
        <w:t>the same period by</w:t>
      </w:r>
      <w:r>
        <w:rPr>
          <w:spacing w:val="-5"/>
        </w:rPr>
        <w:t xml:space="preserve"> </w:t>
      </w:r>
      <w:r>
        <w:t>34,534, i.e., from 1,540,020 in 2020 to</w:t>
      </w:r>
      <w:r>
        <w:rPr>
          <w:spacing w:val="-1"/>
        </w:rPr>
        <w:t xml:space="preserve"> </w:t>
      </w:r>
      <w:r>
        <w:t>1,574,554 in 2021.</w:t>
      </w:r>
    </w:p>
    <w:p w:rsidR="00A56FE9" w:rsidRDefault="00000000">
      <w:pPr>
        <w:pStyle w:val="Tijeloteksta"/>
        <w:spacing w:before="120"/>
        <w:ind w:right="276"/>
      </w:pPr>
      <w:r>
        <w:t>In 2021, a total of 31,401 people were included in the measures, mostly self-employment</w:t>
      </w:r>
      <w:r>
        <w:rPr>
          <w:spacing w:val="1"/>
        </w:rPr>
        <w:t xml:space="preserve"> </w:t>
      </w:r>
      <w:r>
        <w:t>measures</w:t>
      </w:r>
      <w:r>
        <w:rPr>
          <w:spacing w:val="1"/>
        </w:rPr>
        <w:t xml:space="preserve"> </w:t>
      </w:r>
      <w:r>
        <w:t>and</w:t>
      </w:r>
      <w:r>
        <w:rPr>
          <w:spacing w:val="1"/>
        </w:rPr>
        <w:t xml:space="preserve"> </w:t>
      </w:r>
      <w:r>
        <w:t>employment</w:t>
      </w:r>
      <w:r>
        <w:rPr>
          <w:spacing w:val="1"/>
        </w:rPr>
        <w:t xml:space="preserve"> </w:t>
      </w:r>
      <w:r>
        <w:t>support.</w:t>
      </w:r>
      <w:r>
        <w:rPr>
          <w:spacing w:val="1"/>
        </w:rPr>
        <w:t xml:space="preserve"> </w:t>
      </w:r>
      <w:r>
        <w:t>Active</w:t>
      </w:r>
      <w:r>
        <w:rPr>
          <w:spacing w:val="1"/>
        </w:rPr>
        <w:t xml:space="preserve"> </w:t>
      </w:r>
      <w:r>
        <w:t>employment</w:t>
      </w:r>
      <w:r>
        <w:rPr>
          <w:spacing w:val="1"/>
        </w:rPr>
        <w:t xml:space="preserve"> </w:t>
      </w:r>
      <w:r>
        <w:t>policy</w:t>
      </w:r>
      <w:r>
        <w:rPr>
          <w:spacing w:val="1"/>
        </w:rPr>
        <w:t xml:space="preserve"> </w:t>
      </w:r>
      <w:r>
        <w:t>measures</w:t>
      </w:r>
      <w:r>
        <w:rPr>
          <w:spacing w:val="1"/>
        </w:rPr>
        <w:t xml:space="preserve"> </w:t>
      </w:r>
      <w:r>
        <w:t>continuously</w:t>
      </w:r>
      <w:r>
        <w:rPr>
          <w:spacing w:val="1"/>
        </w:rPr>
        <w:t xml:space="preserve"> </w:t>
      </w:r>
      <w:r>
        <w:t>encourage</w:t>
      </w:r>
      <w:r>
        <w:rPr>
          <w:spacing w:val="-2"/>
        </w:rPr>
        <w:t xml:space="preserve"> </w:t>
      </w:r>
      <w:r>
        <w:t>economic</w:t>
      </w:r>
      <w:r>
        <w:rPr>
          <w:spacing w:val="-1"/>
        </w:rPr>
        <w:t xml:space="preserve"> </w:t>
      </w:r>
      <w:r>
        <w:t>development and job growth.</w:t>
      </w:r>
    </w:p>
    <w:p w:rsidR="00A56FE9" w:rsidRDefault="00A56FE9">
      <w:pPr>
        <w:pStyle w:val="Tijeloteksta"/>
        <w:spacing w:before="4"/>
        <w:ind w:left="0"/>
        <w:jc w:val="left"/>
        <w:rPr>
          <w:sz w:val="21"/>
        </w:rPr>
      </w:pPr>
    </w:p>
    <w:p w:rsidR="00A56FE9" w:rsidRDefault="00000000">
      <w:pPr>
        <w:pStyle w:val="Naslov5"/>
        <w:spacing w:after="23"/>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740680139"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248261762" name="Rectangle 136"/>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91A2B23" id="Group 135"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">
                <v:rect id="Rectangle 136"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" fillcolor="#2c398a" stroked="f"/>
                <w10:anchorlock/>
              </v:group>
            </w:pict>
          </mc:Fallback>
        </mc:AlternateContent>
      </w:r>
    </w:p>
    <w:p w:rsidR="00A56FE9" w:rsidRDefault="00000000">
      <w:pPr>
        <w:spacing w:before="163" w:line="235" w:lineRule="auto"/>
        <w:ind w:left="138" w:right="273"/>
        <w:jc w:val="both"/>
        <w:rPr>
          <w:sz w:val="24"/>
        </w:rPr>
      </w:pPr>
      <w:r>
        <w:rPr>
          <w:b/>
          <w:sz w:val="24"/>
        </w:rPr>
        <w:t>Active</w:t>
      </w:r>
      <w:r>
        <w:rPr>
          <w:b/>
          <w:spacing w:val="-8"/>
          <w:sz w:val="24"/>
        </w:rPr>
        <w:t xml:space="preserve"> </w:t>
      </w:r>
      <w:r>
        <w:rPr>
          <w:b/>
          <w:sz w:val="24"/>
        </w:rPr>
        <w:t>labour</w:t>
      </w:r>
      <w:r>
        <w:rPr>
          <w:b/>
          <w:spacing w:val="-5"/>
          <w:sz w:val="24"/>
        </w:rPr>
        <w:t xml:space="preserve"> </w:t>
      </w:r>
      <w:r>
        <w:rPr>
          <w:b/>
          <w:sz w:val="24"/>
        </w:rPr>
        <w:t>market</w:t>
      </w:r>
      <w:r>
        <w:rPr>
          <w:b/>
          <w:spacing w:val="-7"/>
          <w:sz w:val="24"/>
        </w:rPr>
        <w:t xml:space="preserve"> </w:t>
      </w:r>
      <w:r>
        <w:rPr>
          <w:b/>
          <w:sz w:val="24"/>
        </w:rPr>
        <w:t>policy</w:t>
      </w:r>
      <w:r>
        <w:rPr>
          <w:b/>
          <w:spacing w:val="-6"/>
          <w:sz w:val="24"/>
        </w:rPr>
        <w:t xml:space="preserve"> </w:t>
      </w:r>
      <w:r>
        <w:rPr>
          <w:b/>
          <w:sz w:val="24"/>
        </w:rPr>
        <w:t>measures</w:t>
      </w:r>
      <w:r>
        <w:rPr>
          <w:b/>
          <w:spacing w:val="-7"/>
          <w:sz w:val="24"/>
        </w:rPr>
        <w:t xml:space="preserve"> </w:t>
      </w:r>
      <w:r>
        <w:rPr>
          <w:b/>
          <w:sz w:val="24"/>
        </w:rPr>
        <w:t>in</w:t>
      </w:r>
      <w:r>
        <w:rPr>
          <w:b/>
          <w:spacing w:val="-5"/>
          <w:sz w:val="24"/>
        </w:rPr>
        <w:t xml:space="preserve"> </w:t>
      </w:r>
      <w:r>
        <w:rPr>
          <w:b/>
          <w:sz w:val="24"/>
        </w:rPr>
        <w:t>2022</w:t>
      </w:r>
      <w:r>
        <w:rPr>
          <w:b/>
          <w:spacing w:val="-3"/>
          <w:sz w:val="24"/>
        </w:rPr>
        <w:t xml:space="preserve"> </w:t>
      </w:r>
      <w:r>
        <w:rPr>
          <w:b/>
          <w:sz w:val="24"/>
        </w:rPr>
        <w:t>are</w:t>
      </w:r>
      <w:r>
        <w:rPr>
          <w:b/>
          <w:spacing w:val="-7"/>
          <w:sz w:val="24"/>
        </w:rPr>
        <w:t xml:space="preserve"> </w:t>
      </w:r>
      <w:r>
        <w:rPr>
          <w:b/>
          <w:sz w:val="24"/>
        </w:rPr>
        <w:t>aimed</w:t>
      </w:r>
      <w:r>
        <w:rPr>
          <w:b/>
          <w:spacing w:val="-7"/>
          <w:sz w:val="24"/>
        </w:rPr>
        <w:t xml:space="preserve"> </w:t>
      </w:r>
      <w:r>
        <w:rPr>
          <w:b/>
          <w:sz w:val="24"/>
        </w:rPr>
        <w:t>at</w:t>
      </w:r>
      <w:r>
        <w:rPr>
          <w:b/>
          <w:spacing w:val="-6"/>
          <w:sz w:val="24"/>
        </w:rPr>
        <w:t xml:space="preserve"> </w:t>
      </w:r>
      <w:r>
        <w:rPr>
          <w:b/>
          <w:sz w:val="24"/>
        </w:rPr>
        <w:t>stimulating</w:t>
      </w:r>
      <w:r>
        <w:rPr>
          <w:b/>
          <w:spacing w:val="-6"/>
          <w:sz w:val="24"/>
        </w:rPr>
        <w:t xml:space="preserve"> </w:t>
      </w:r>
      <w:r>
        <w:rPr>
          <w:b/>
          <w:sz w:val="24"/>
        </w:rPr>
        <w:t>employment,</w:t>
      </w:r>
      <w:r>
        <w:rPr>
          <w:b/>
          <w:spacing w:val="-7"/>
          <w:sz w:val="24"/>
        </w:rPr>
        <w:t xml:space="preserve"> </w:t>
      </w:r>
      <w:r>
        <w:rPr>
          <w:b/>
          <w:sz w:val="24"/>
        </w:rPr>
        <w:t>self-</w:t>
      </w:r>
      <w:r>
        <w:rPr>
          <w:b/>
          <w:spacing w:val="-58"/>
          <w:sz w:val="24"/>
        </w:rPr>
        <w:t xml:space="preserve"> </w:t>
      </w:r>
      <w:r>
        <w:rPr>
          <w:b/>
          <w:sz w:val="24"/>
        </w:rPr>
        <w:t>employment,</w:t>
      </w:r>
      <w:r>
        <w:rPr>
          <w:b/>
          <w:spacing w:val="-1"/>
          <w:sz w:val="24"/>
        </w:rPr>
        <w:t xml:space="preserve"> </w:t>
      </w:r>
      <w:r>
        <w:rPr>
          <w:b/>
          <w:sz w:val="24"/>
        </w:rPr>
        <w:t>training</w:t>
      </w:r>
      <w:r>
        <w:rPr>
          <w:b/>
          <w:spacing w:val="-1"/>
          <w:sz w:val="24"/>
        </w:rPr>
        <w:t xml:space="preserve"> </w:t>
      </w:r>
      <w:r>
        <w:rPr>
          <w:b/>
          <w:sz w:val="24"/>
        </w:rPr>
        <w:t>and</w:t>
      </w:r>
      <w:r>
        <w:rPr>
          <w:b/>
          <w:spacing w:val="-1"/>
          <w:sz w:val="24"/>
        </w:rPr>
        <w:t xml:space="preserve"> </w:t>
      </w:r>
      <w:r>
        <w:rPr>
          <w:b/>
          <w:sz w:val="24"/>
        </w:rPr>
        <w:t>education</w:t>
      </w:r>
      <w:r>
        <w:rPr>
          <w:b/>
          <w:spacing w:val="2"/>
          <w:sz w:val="24"/>
        </w:rPr>
        <w:t xml:space="preserve"> </w:t>
      </w:r>
      <w:r>
        <w:rPr>
          <w:sz w:val="24"/>
        </w:rPr>
        <w:t>to</w:t>
      </w:r>
      <w:r>
        <w:rPr>
          <w:spacing w:val="-1"/>
          <w:sz w:val="24"/>
        </w:rPr>
        <w:t xml:space="preserve"> </w:t>
      </w:r>
      <w:r>
        <w:rPr>
          <w:sz w:val="24"/>
        </w:rPr>
        <w:t>increase</w:t>
      </w:r>
      <w:r>
        <w:rPr>
          <w:spacing w:val="-2"/>
          <w:sz w:val="24"/>
        </w:rPr>
        <w:t xml:space="preserve"> </w:t>
      </w:r>
      <w:r>
        <w:rPr>
          <w:sz w:val="24"/>
        </w:rPr>
        <w:t>employability</w:t>
      </w:r>
      <w:r>
        <w:rPr>
          <w:spacing w:val="-6"/>
          <w:sz w:val="24"/>
        </w:rPr>
        <w:t xml:space="preserve"> </w:t>
      </w:r>
      <w:r>
        <w:rPr>
          <w:sz w:val="24"/>
        </w:rPr>
        <w:t>and</w:t>
      </w:r>
      <w:r>
        <w:rPr>
          <w:spacing w:val="-1"/>
          <w:sz w:val="24"/>
        </w:rPr>
        <w:t xml:space="preserve"> </w:t>
      </w:r>
      <w:r>
        <w:rPr>
          <w:sz w:val="24"/>
        </w:rPr>
        <w:t>retain</w:t>
      </w:r>
      <w:r>
        <w:rPr>
          <w:spacing w:val="1"/>
          <w:sz w:val="24"/>
        </w:rPr>
        <w:t xml:space="preserve"> </w:t>
      </w:r>
      <w:r>
        <w:rPr>
          <w:sz w:val="24"/>
        </w:rPr>
        <w:t>employment.</w:t>
      </w:r>
    </w:p>
    <w:p w:rsidR="00A56FE9" w:rsidRDefault="00000000">
      <w:pPr>
        <w:pStyle w:val="Tijeloteksta"/>
        <w:spacing w:before="122"/>
        <w:ind w:right="273"/>
      </w:pPr>
      <w:r>
        <w:t>One of the most important new measures for the transition to a digital/green economy lies</w:t>
      </w:r>
      <w:r>
        <w:rPr>
          <w:spacing w:val="1"/>
        </w:rPr>
        <w:t xml:space="preserve"> </w:t>
      </w:r>
      <w:r>
        <w:t xml:space="preserve">within the NRRP, i.e., </w:t>
      </w:r>
      <w:r>
        <w:rPr>
          <w:b/>
        </w:rPr>
        <w:t xml:space="preserve">education through a voucher system </w:t>
      </w:r>
      <w:r>
        <w:t>undertaken in the period from</w:t>
      </w:r>
      <w:r>
        <w:rPr>
          <w:spacing w:val="1"/>
        </w:rPr>
        <w:t xml:space="preserve"> </w:t>
      </w:r>
      <w:r>
        <w:t>April</w:t>
      </w:r>
      <w:r>
        <w:rPr>
          <w:spacing w:val="-3"/>
        </w:rPr>
        <w:t xml:space="preserve"> </w:t>
      </w:r>
      <w:r>
        <w:t>2022</w:t>
      </w:r>
      <w:r>
        <w:rPr>
          <w:spacing w:val="-4"/>
        </w:rPr>
        <w:t xml:space="preserve"> </w:t>
      </w:r>
      <w:r>
        <w:t>to</w:t>
      </w:r>
      <w:r>
        <w:rPr>
          <w:spacing w:val="-2"/>
        </w:rPr>
        <w:t xml:space="preserve"> </w:t>
      </w:r>
      <w:r>
        <w:t>June</w:t>
      </w:r>
      <w:r>
        <w:rPr>
          <w:spacing w:val="-5"/>
        </w:rPr>
        <w:t xml:space="preserve"> </w:t>
      </w:r>
      <w:r>
        <w:t>2026.</w:t>
      </w:r>
      <w:r>
        <w:rPr>
          <w:spacing w:val="-2"/>
        </w:rPr>
        <w:t xml:space="preserve"> </w:t>
      </w:r>
      <w:r>
        <w:t>These</w:t>
      </w:r>
      <w:r>
        <w:rPr>
          <w:spacing w:val="-5"/>
        </w:rPr>
        <w:t xml:space="preserve"> </w:t>
      </w:r>
      <w:r>
        <w:t>vouchers</w:t>
      </w:r>
      <w:r>
        <w:rPr>
          <w:spacing w:val="-3"/>
        </w:rPr>
        <w:t xml:space="preserve"> </w:t>
      </w:r>
      <w:r>
        <w:t>finance</w:t>
      </w:r>
      <w:r>
        <w:rPr>
          <w:spacing w:val="-5"/>
        </w:rPr>
        <w:t xml:space="preserve"> </w:t>
      </w:r>
      <w:r>
        <w:t>the</w:t>
      </w:r>
      <w:r>
        <w:rPr>
          <w:spacing w:val="-4"/>
        </w:rPr>
        <w:t xml:space="preserve"> </w:t>
      </w:r>
      <w:r>
        <w:t>acquisition</w:t>
      </w:r>
      <w:r>
        <w:rPr>
          <w:spacing w:val="-4"/>
        </w:rPr>
        <w:t xml:space="preserve"> </w:t>
      </w:r>
      <w:r>
        <w:t>of</w:t>
      </w:r>
      <w:r>
        <w:rPr>
          <w:spacing w:val="-2"/>
        </w:rPr>
        <w:t xml:space="preserve"> </w:t>
      </w:r>
      <w:r>
        <w:t>work-related</w:t>
      </w:r>
      <w:r>
        <w:rPr>
          <w:spacing w:val="-3"/>
        </w:rPr>
        <w:t xml:space="preserve"> </w:t>
      </w:r>
      <w:r>
        <w:t>competencies</w:t>
      </w:r>
      <w:r>
        <w:rPr>
          <w:spacing w:val="-57"/>
        </w:rPr>
        <w:t xml:space="preserve"> </w:t>
      </w:r>
      <w:r>
        <w:t>and</w:t>
      </w:r>
      <w:r>
        <w:rPr>
          <w:spacing w:val="1"/>
        </w:rPr>
        <w:t xml:space="preserve"> </w:t>
      </w:r>
      <w:r>
        <w:t>act</w:t>
      </w:r>
      <w:r>
        <w:rPr>
          <w:spacing w:val="1"/>
        </w:rPr>
        <w:t xml:space="preserve"> </w:t>
      </w:r>
      <w:r>
        <w:t>as</w:t>
      </w:r>
      <w:r>
        <w:rPr>
          <w:spacing w:val="1"/>
        </w:rPr>
        <w:t xml:space="preserve"> </w:t>
      </w:r>
      <w:r>
        <w:t>a</w:t>
      </w:r>
      <w:r>
        <w:rPr>
          <w:spacing w:val="1"/>
        </w:rPr>
        <w:t xml:space="preserve"> </w:t>
      </w:r>
      <w:r>
        <w:t>mechanism</w:t>
      </w:r>
      <w:r>
        <w:rPr>
          <w:spacing w:val="1"/>
        </w:rPr>
        <w:t xml:space="preserve"> </w:t>
      </w:r>
      <w:r>
        <w:t>for</w:t>
      </w:r>
      <w:r>
        <w:rPr>
          <w:spacing w:val="1"/>
        </w:rPr>
        <w:t xml:space="preserve"> </w:t>
      </w:r>
      <w:r>
        <w:t>providing</w:t>
      </w:r>
      <w:r>
        <w:rPr>
          <w:spacing w:val="1"/>
        </w:rPr>
        <w:t xml:space="preserve"> </w:t>
      </w:r>
      <w:r>
        <w:t>fast</w:t>
      </w:r>
      <w:r>
        <w:rPr>
          <w:spacing w:val="1"/>
        </w:rPr>
        <w:t xml:space="preserve"> </w:t>
      </w:r>
      <w:r>
        <w:t>and</w:t>
      </w:r>
      <w:r>
        <w:rPr>
          <w:spacing w:val="1"/>
        </w:rPr>
        <w:t xml:space="preserve"> </w:t>
      </w:r>
      <w:r>
        <w:t>accessible</w:t>
      </w:r>
      <w:r>
        <w:rPr>
          <w:spacing w:val="1"/>
        </w:rPr>
        <w:t xml:space="preserve"> </w:t>
      </w:r>
      <w:r>
        <w:t>education</w:t>
      </w:r>
      <w:r>
        <w:rPr>
          <w:spacing w:val="1"/>
        </w:rPr>
        <w:t xml:space="preserve"> </w:t>
      </w:r>
      <w:r>
        <w:t>to</w:t>
      </w:r>
      <w:r>
        <w:rPr>
          <w:spacing w:val="1"/>
        </w:rPr>
        <w:t xml:space="preserve"> </w:t>
      </w:r>
      <w:r>
        <w:t>employed</w:t>
      </w:r>
      <w:r>
        <w:rPr>
          <w:spacing w:val="1"/>
        </w:rPr>
        <w:t xml:space="preserve"> </w:t>
      </w:r>
      <w:r>
        <w:t>and</w:t>
      </w:r>
      <w:r>
        <w:rPr>
          <w:spacing w:val="1"/>
        </w:rPr>
        <w:t xml:space="preserve"> </w:t>
      </w:r>
      <w:r>
        <w:t>unemployed people. Rapid technological changes, especially the digital and green transition,</w:t>
      </w:r>
      <w:r>
        <w:rPr>
          <w:spacing w:val="1"/>
        </w:rPr>
        <w:t xml:space="preserve"> </w:t>
      </w:r>
      <w:r>
        <w:t>demand</w:t>
      </w:r>
      <w:r>
        <w:rPr>
          <w:spacing w:val="-14"/>
        </w:rPr>
        <w:t xml:space="preserve"> </w:t>
      </w:r>
      <w:r>
        <w:t>new</w:t>
      </w:r>
      <w:r>
        <w:rPr>
          <w:spacing w:val="-11"/>
        </w:rPr>
        <w:t xml:space="preserve"> </w:t>
      </w:r>
      <w:r>
        <w:t>skills</w:t>
      </w:r>
      <w:r>
        <w:rPr>
          <w:spacing w:val="-13"/>
        </w:rPr>
        <w:t xml:space="preserve"> </w:t>
      </w:r>
      <w:r>
        <w:t>to</w:t>
      </w:r>
      <w:r>
        <w:rPr>
          <w:spacing w:val="-12"/>
        </w:rPr>
        <w:t xml:space="preserve"> </w:t>
      </w:r>
      <w:r>
        <w:t>respond</w:t>
      </w:r>
      <w:r>
        <w:rPr>
          <w:spacing w:val="-13"/>
        </w:rPr>
        <w:t xml:space="preserve"> </w:t>
      </w:r>
      <w:r>
        <w:t>to</w:t>
      </w:r>
      <w:r>
        <w:rPr>
          <w:spacing w:val="-12"/>
        </w:rPr>
        <w:t xml:space="preserve"> </w:t>
      </w:r>
      <w:r>
        <w:t>these</w:t>
      </w:r>
      <w:r>
        <w:rPr>
          <w:spacing w:val="-14"/>
        </w:rPr>
        <w:t xml:space="preserve"> </w:t>
      </w:r>
      <w:r>
        <w:t>changes.</w:t>
      </w:r>
      <w:r>
        <w:rPr>
          <w:spacing w:val="-12"/>
        </w:rPr>
        <w:t xml:space="preserve"> </w:t>
      </w:r>
      <w:r>
        <w:t>Of</w:t>
      </w:r>
      <w:r>
        <w:rPr>
          <w:spacing w:val="-13"/>
        </w:rPr>
        <w:t xml:space="preserve"> </w:t>
      </w:r>
      <w:r>
        <w:t>the</w:t>
      </w:r>
      <w:r>
        <w:rPr>
          <w:spacing w:val="-14"/>
        </w:rPr>
        <w:t xml:space="preserve"> </w:t>
      </w:r>
      <w:r>
        <w:t>estimated</w:t>
      </w:r>
      <w:r>
        <w:rPr>
          <w:spacing w:val="-12"/>
        </w:rPr>
        <w:t xml:space="preserve"> </w:t>
      </w:r>
      <w:r>
        <w:t>30,000</w:t>
      </w:r>
      <w:r>
        <w:rPr>
          <w:spacing w:val="-12"/>
        </w:rPr>
        <w:t xml:space="preserve"> </w:t>
      </w:r>
      <w:r>
        <w:t>vouchers</w:t>
      </w:r>
      <w:r>
        <w:rPr>
          <w:spacing w:val="-14"/>
        </w:rPr>
        <w:t xml:space="preserve"> </w:t>
      </w:r>
      <w:r>
        <w:t>to</w:t>
      </w:r>
      <w:r>
        <w:rPr>
          <w:spacing w:val="-12"/>
        </w:rPr>
        <w:t xml:space="preserve"> </w:t>
      </w:r>
      <w:r>
        <w:t>be</w:t>
      </w:r>
      <w:r>
        <w:rPr>
          <w:spacing w:val="-12"/>
        </w:rPr>
        <w:t xml:space="preserve"> </w:t>
      </w:r>
      <w:r>
        <w:t>awarded</w:t>
      </w:r>
      <w:r>
        <w:rPr>
          <w:spacing w:val="-57"/>
        </w:rPr>
        <w:t xml:space="preserve"> </w:t>
      </w:r>
      <w:r>
        <w:t>to</w:t>
      </w:r>
      <w:r>
        <w:rPr>
          <w:spacing w:val="-6"/>
        </w:rPr>
        <w:t xml:space="preserve"> </w:t>
      </w:r>
      <w:r>
        <w:t>employed</w:t>
      </w:r>
      <w:r>
        <w:rPr>
          <w:spacing w:val="-4"/>
        </w:rPr>
        <w:t xml:space="preserve"> </w:t>
      </w:r>
      <w:r>
        <w:t>and</w:t>
      </w:r>
      <w:r>
        <w:rPr>
          <w:spacing w:val="-6"/>
        </w:rPr>
        <w:t xml:space="preserve"> </w:t>
      </w:r>
      <w:r>
        <w:t>unemployed</w:t>
      </w:r>
      <w:r>
        <w:rPr>
          <w:spacing w:val="-4"/>
        </w:rPr>
        <w:t xml:space="preserve"> </w:t>
      </w:r>
      <w:r>
        <w:t>people,</w:t>
      </w:r>
      <w:r>
        <w:rPr>
          <w:spacing w:val="-4"/>
        </w:rPr>
        <w:t xml:space="preserve"> </w:t>
      </w:r>
      <w:r>
        <w:t>at</w:t>
      </w:r>
      <w:r>
        <w:rPr>
          <w:spacing w:val="-5"/>
        </w:rPr>
        <w:t xml:space="preserve"> </w:t>
      </w:r>
      <w:r>
        <w:t>least</w:t>
      </w:r>
      <w:r>
        <w:rPr>
          <w:spacing w:val="-6"/>
        </w:rPr>
        <w:t xml:space="preserve"> </w:t>
      </w:r>
      <w:r>
        <w:t>40%</w:t>
      </w:r>
      <w:r>
        <w:rPr>
          <w:spacing w:val="-5"/>
        </w:rPr>
        <w:t xml:space="preserve"> </w:t>
      </w:r>
      <w:r>
        <w:t>of</w:t>
      </w:r>
      <w:r>
        <w:rPr>
          <w:spacing w:val="-4"/>
        </w:rPr>
        <w:t xml:space="preserve"> </w:t>
      </w:r>
      <w:r>
        <w:t>the</w:t>
      </w:r>
      <w:r>
        <w:rPr>
          <w:spacing w:val="-7"/>
        </w:rPr>
        <w:t xml:space="preserve"> </w:t>
      </w:r>
      <w:r>
        <w:t>vouchers</w:t>
      </w:r>
      <w:r>
        <w:rPr>
          <w:spacing w:val="-3"/>
        </w:rPr>
        <w:t xml:space="preserve"> </w:t>
      </w:r>
      <w:r>
        <w:t>will</w:t>
      </w:r>
      <w:r>
        <w:rPr>
          <w:spacing w:val="-6"/>
        </w:rPr>
        <w:t xml:space="preserve"> </w:t>
      </w:r>
      <w:r>
        <w:t>be</w:t>
      </w:r>
      <w:r>
        <w:rPr>
          <w:spacing w:val="-7"/>
        </w:rPr>
        <w:t xml:space="preserve"> </w:t>
      </w:r>
      <w:r>
        <w:t>awarded</w:t>
      </w:r>
      <w:r>
        <w:rPr>
          <w:spacing w:val="-4"/>
        </w:rPr>
        <w:t xml:space="preserve"> </w:t>
      </w:r>
      <w:r>
        <w:t>to</w:t>
      </w:r>
      <w:r>
        <w:rPr>
          <w:spacing w:val="-6"/>
        </w:rPr>
        <w:t xml:space="preserve"> </w:t>
      </w:r>
      <w:r>
        <w:t>the</w:t>
      </w:r>
      <w:r>
        <w:rPr>
          <w:spacing w:val="-6"/>
        </w:rPr>
        <w:t xml:space="preserve"> </w:t>
      </w:r>
      <w:r>
        <w:t>long-</w:t>
      </w:r>
      <w:r>
        <w:rPr>
          <w:spacing w:val="-58"/>
        </w:rPr>
        <w:t xml:space="preserve"> </w:t>
      </w:r>
      <w:r>
        <w:t>term</w:t>
      </w:r>
      <w:r>
        <w:rPr>
          <w:spacing w:val="-11"/>
        </w:rPr>
        <w:t xml:space="preserve"> </w:t>
      </w:r>
      <w:r>
        <w:t>unemployed,</w:t>
      </w:r>
      <w:r>
        <w:rPr>
          <w:spacing w:val="-11"/>
        </w:rPr>
        <w:t xml:space="preserve"> </w:t>
      </w:r>
      <w:r>
        <w:t>inactive</w:t>
      </w:r>
      <w:r>
        <w:rPr>
          <w:spacing w:val="-12"/>
        </w:rPr>
        <w:t xml:space="preserve"> </w:t>
      </w:r>
      <w:r>
        <w:t>and</w:t>
      </w:r>
      <w:r>
        <w:rPr>
          <w:spacing w:val="-5"/>
        </w:rPr>
        <w:t xml:space="preserve"> </w:t>
      </w:r>
      <w:r>
        <w:t>young</w:t>
      </w:r>
      <w:r>
        <w:rPr>
          <w:spacing w:val="-11"/>
        </w:rPr>
        <w:t xml:space="preserve"> </w:t>
      </w:r>
      <w:r>
        <w:t>people,</w:t>
      </w:r>
      <w:r>
        <w:rPr>
          <w:spacing w:val="-9"/>
        </w:rPr>
        <w:t xml:space="preserve"> </w:t>
      </w:r>
      <w:r>
        <w:t>which</w:t>
      </w:r>
      <w:r>
        <w:rPr>
          <w:spacing w:val="-11"/>
        </w:rPr>
        <w:t xml:space="preserve"> </w:t>
      </w:r>
      <w:r>
        <w:t>often</w:t>
      </w:r>
      <w:r>
        <w:rPr>
          <w:spacing w:val="-10"/>
        </w:rPr>
        <w:t xml:space="preserve"> </w:t>
      </w:r>
      <w:r>
        <w:t>covered</w:t>
      </w:r>
      <w:r>
        <w:rPr>
          <w:spacing w:val="-11"/>
        </w:rPr>
        <w:t xml:space="preserve"> </w:t>
      </w:r>
      <w:r>
        <w:t>the</w:t>
      </w:r>
      <w:r>
        <w:rPr>
          <w:spacing w:val="-12"/>
        </w:rPr>
        <w:t xml:space="preserve"> </w:t>
      </w:r>
      <w:r>
        <w:t>previous</w:t>
      </w:r>
      <w:r>
        <w:rPr>
          <w:spacing w:val="-11"/>
        </w:rPr>
        <w:t xml:space="preserve"> </w:t>
      </w:r>
      <w:r>
        <w:t>categories.</w:t>
      </w:r>
      <w:r>
        <w:rPr>
          <w:spacing w:val="-10"/>
        </w:rPr>
        <w:t xml:space="preserve"> </w:t>
      </w:r>
      <w:r>
        <w:t>The</w:t>
      </w:r>
      <w:r>
        <w:rPr>
          <w:spacing w:val="-58"/>
        </w:rPr>
        <w:t xml:space="preserve"> </w:t>
      </w:r>
      <w:r>
        <w:t>average</w:t>
      </w:r>
      <w:r>
        <w:rPr>
          <w:spacing w:val="-7"/>
        </w:rPr>
        <w:t xml:space="preserve"> </w:t>
      </w:r>
      <w:r>
        <w:t>monetary</w:t>
      </w:r>
      <w:r>
        <w:rPr>
          <w:spacing w:val="-11"/>
        </w:rPr>
        <w:t xml:space="preserve"> </w:t>
      </w:r>
      <w:r>
        <w:t>value</w:t>
      </w:r>
      <w:r>
        <w:rPr>
          <w:spacing w:val="-6"/>
        </w:rPr>
        <w:t xml:space="preserve"> </w:t>
      </w:r>
      <w:r>
        <w:t>of</w:t>
      </w:r>
      <w:r>
        <w:rPr>
          <w:spacing w:val="-6"/>
        </w:rPr>
        <w:t xml:space="preserve"> </w:t>
      </w:r>
      <w:r>
        <w:t>the</w:t>
      </w:r>
      <w:r>
        <w:rPr>
          <w:spacing w:val="-6"/>
        </w:rPr>
        <w:t xml:space="preserve"> </w:t>
      </w:r>
      <w:r>
        <w:t>vouchers</w:t>
      </w:r>
      <w:r>
        <w:rPr>
          <w:spacing w:val="-7"/>
        </w:rPr>
        <w:t xml:space="preserve"> </w:t>
      </w:r>
      <w:r>
        <w:t>is</w:t>
      </w:r>
      <w:r>
        <w:rPr>
          <w:spacing w:val="-4"/>
        </w:rPr>
        <w:t xml:space="preserve"> </w:t>
      </w:r>
      <w:r>
        <w:t>HRK</w:t>
      </w:r>
      <w:r>
        <w:rPr>
          <w:spacing w:val="-7"/>
        </w:rPr>
        <w:t xml:space="preserve"> </w:t>
      </w:r>
      <w:r>
        <w:t>10,000,</w:t>
      </w:r>
      <w:r>
        <w:rPr>
          <w:spacing w:val="-5"/>
        </w:rPr>
        <w:t xml:space="preserve"> </w:t>
      </w:r>
      <w:r>
        <w:t>and</w:t>
      </w:r>
      <w:r>
        <w:rPr>
          <w:spacing w:val="-6"/>
        </w:rPr>
        <w:t xml:space="preserve"> </w:t>
      </w:r>
      <w:r>
        <w:t>it</w:t>
      </w:r>
      <w:r>
        <w:rPr>
          <w:spacing w:val="-5"/>
        </w:rPr>
        <w:t xml:space="preserve"> </w:t>
      </w:r>
      <w:r>
        <w:t>will</w:t>
      </w:r>
      <w:r>
        <w:rPr>
          <w:spacing w:val="-5"/>
        </w:rPr>
        <w:t xml:space="preserve"> </w:t>
      </w:r>
      <w:r>
        <w:t>facilitate</w:t>
      </w:r>
      <w:r>
        <w:rPr>
          <w:spacing w:val="-8"/>
        </w:rPr>
        <w:t xml:space="preserve"> </w:t>
      </w:r>
      <w:r>
        <w:t>the</w:t>
      </w:r>
      <w:r>
        <w:rPr>
          <w:spacing w:val="-6"/>
        </w:rPr>
        <w:t xml:space="preserve"> </w:t>
      </w:r>
      <w:r>
        <w:t>acquisition</w:t>
      </w:r>
      <w:r>
        <w:rPr>
          <w:spacing w:val="-5"/>
        </w:rPr>
        <w:t xml:space="preserve"> </w:t>
      </w:r>
      <w:r>
        <w:t>the</w:t>
      </w:r>
      <w:r>
        <w:rPr>
          <w:spacing w:val="-57"/>
        </w:rPr>
        <w:t xml:space="preserve"> </w:t>
      </w:r>
      <w:r>
        <w:t>knowledge and skills needed in the labour market. In all, HRK 300 million is planned for</w:t>
      </w:r>
      <w:r>
        <w:rPr>
          <w:spacing w:val="1"/>
        </w:rPr>
        <w:t xml:space="preserve"> </w:t>
      </w:r>
      <w:r>
        <w:t>vouchers</w:t>
      </w:r>
      <w:r>
        <w:rPr>
          <w:spacing w:val="-1"/>
        </w:rPr>
        <w:t xml:space="preserve"> </w:t>
      </w:r>
      <w:r>
        <w:t>within the</w:t>
      </w:r>
      <w:r>
        <w:rPr>
          <w:spacing w:val="-1"/>
        </w:rPr>
        <w:t xml:space="preserve"> </w:t>
      </w:r>
      <w:r>
        <w:t>NRRP.</w:t>
      </w:r>
    </w:p>
    <w:p w:rsidR="00A56FE9" w:rsidRDefault="00000000">
      <w:pPr>
        <w:pStyle w:val="Tijeloteksta"/>
        <w:spacing w:before="119"/>
        <w:ind w:right="274"/>
      </w:pPr>
      <w:r>
        <w:t>New active labour market policy measures also stimulate employment and self-employment,</w:t>
      </w:r>
      <w:r>
        <w:rPr>
          <w:spacing w:val="1"/>
        </w:rPr>
        <w:t xml:space="preserve"> </w:t>
      </w:r>
      <w:r>
        <w:t>which</w:t>
      </w:r>
      <w:r>
        <w:rPr>
          <w:spacing w:val="-4"/>
        </w:rPr>
        <w:t xml:space="preserve"> </w:t>
      </w:r>
      <w:r>
        <w:t>is</w:t>
      </w:r>
      <w:r>
        <w:rPr>
          <w:spacing w:val="-2"/>
        </w:rPr>
        <w:t xml:space="preserve"> </w:t>
      </w:r>
      <w:r>
        <w:t>linked</w:t>
      </w:r>
      <w:r>
        <w:rPr>
          <w:spacing w:val="-3"/>
        </w:rPr>
        <w:t xml:space="preserve"> </w:t>
      </w:r>
      <w:r>
        <w:t>to</w:t>
      </w:r>
      <w:r>
        <w:rPr>
          <w:spacing w:val="-3"/>
        </w:rPr>
        <w:t xml:space="preserve"> </w:t>
      </w:r>
      <w:r>
        <w:t>the green</w:t>
      </w:r>
      <w:r>
        <w:rPr>
          <w:spacing w:val="-3"/>
        </w:rPr>
        <w:t xml:space="preserve"> </w:t>
      </w:r>
      <w:r>
        <w:t>and</w:t>
      </w:r>
      <w:r>
        <w:rPr>
          <w:spacing w:val="-3"/>
        </w:rPr>
        <w:t xml:space="preserve"> </w:t>
      </w:r>
      <w:r>
        <w:t>digital</w:t>
      </w:r>
      <w:r>
        <w:rPr>
          <w:spacing w:val="-3"/>
        </w:rPr>
        <w:t xml:space="preserve"> </w:t>
      </w:r>
      <w:r>
        <w:t>transition</w:t>
      </w:r>
      <w:r>
        <w:rPr>
          <w:spacing w:val="-2"/>
        </w:rPr>
        <w:t xml:space="preserve"> </w:t>
      </w:r>
      <w:r>
        <w:t>of</w:t>
      </w:r>
      <w:r>
        <w:rPr>
          <w:spacing w:val="-4"/>
        </w:rPr>
        <w:t xml:space="preserve"> </w:t>
      </w:r>
      <w:r>
        <w:t>the</w:t>
      </w:r>
      <w:r>
        <w:rPr>
          <w:spacing w:val="-4"/>
        </w:rPr>
        <w:t xml:space="preserve"> </w:t>
      </w:r>
      <w:r>
        <w:t>economy.</w:t>
      </w:r>
      <w:r>
        <w:rPr>
          <w:spacing w:val="-1"/>
        </w:rPr>
        <w:t xml:space="preserve"> </w:t>
      </w:r>
      <w:r>
        <w:t>By</w:t>
      </w:r>
      <w:r>
        <w:rPr>
          <w:spacing w:val="-8"/>
        </w:rPr>
        <w:t xml:space="preserve"> </w:t>
      </w:r>
      <w:r>
        <w:t>the</w:t>
      </w:r>
      <w:r>
        <w:rPr>
          <w:spacing w:val="-4"/>
        </w:rPr>
        <w:t xml:space="preserve"> </w:t>
      </w:r>
      <w:r>
        <w:t>end</w:t>
      </w:r>
      <w:r>
        <w:rPr>
          <w:spacing w:val="-4"/>
        </w:rPr>
        <w:t xml:space="preserve"> </w:t>
      </w:r>
      <w:r>
        <w:t>of</w:t>
      </w:r>
      <w:r>
        <w:rPr>
          <w:spacing w:val="-4"/>
        </w:rPr>
        <w:t xml:space="preserve"> </w:t>
      </w:r>
      <w:r>
        <w:t>2025,</w:t>
      </w:r>
      <w:r>
        <w:rPr>
          <w:spacing w:val="2"/>
        </w:rPr>
        <w:t xml:space="preserve"> </w:t>
      </w:r>
      <w:r>
        <w:t>the</w:t>
      </w:r>
      <w:r>
        <w:rPr>
          <w:spacing w:val="-3"/>
        </w:rPr>
        <w:t xml:space="preserve"> </w:t>
      </w:r>
      <w:r>
        <w:t>plan</w:t>
      </w:r>
      <w:r>
        <w:rPr>
          <w:spacing w:val="-58"/>
        </w:rPr>
        <w:t xml:space="preserve"> </w:t>
      </w:r>
      <w:r>
        <w:t>is to include a total of 26,400 people in the measures, with special attention given to long-term</w:t>
      </w:r>
      <w:r>
        <w:rPr>
          <w:spacing w:val="-58"/>
        </w:rPr>
        <w:t xml:space="preserve"> </w:t>
      </w:r>
      <w:r>
        <w:t>unemployed</w:t>
      </w:r>
      <w:r>
        <w:rPr>
          <w:spacing w:val="1"/>
        </w:rPr>
        <w:t xml:space="preserve"> </w:t>
      </w:r>
      <w:r>
        <w:t>and</w:t>
      </w:r>
      <w:r>
        <w:rPr>
          <w:spacing w:val="4"/>
        </w:rPr>
        <w:t xml:space="preserve"> </w:t>
      </w:r>
      <w:r>
        <w:t>young</w:t>
      </w:r>
      <w:r>
        <w:rPr>
          <w:spacing w:val="-3"/>
        </w:rPr>
        <w:t xml:space="preserve"> </w:t>
      </w:r>
      <w:r>
        <w:t>people.</w:t>
      </w:r>
    </w:p>
    <w:p w:rsidR="00A56FE9" w:rsidRDefault="00000000">
      <w:pPr>
        <w:pStyle w:val="Tijeloteksta"/>
        <w:spacing w:before="120"/>
        <w:ind w:right="271"/>
      </w:pPr>
      <w:r>
        <w:t xml:space="preserve">Furthermore, a new measure called </w:t>
      </w:r>
      <w:r>
        <w:rPr>
          <w:i/>
        </w:rPr>
        <w:t xml:space="preserve">I choose Croatia </w:t>
      </w:r>
      <w:r>
        <w:t>supplements existing support for self-</w:t>
      </w:r>
      <w:r>
        <w:rPr>
          <w:spacing w:val="1"/>
        </w:rPr>
        <w:t xml:space="preserve"> </w:t>
      </w:r>
      <w:r>
        <w:t>employment. The measure has two goals: 1) offer people who have acquired knowledge and</w:t>
      </w:r>
      <w:r>
        <w:rPr>
          <w:spacing w:val="1"/>
        </w:rPr>
        <w:t xml:space="preserve"> </w:t>
      </w:r>
      <w:r>
        <w:t>skills in the EEA countries (and Switzerland) additional incentives to return to Croatia, and 2)</w:t>
      </w:r>
      <w:r>
        <w:rPr>
          <w:spacing w:val="1"/>
        </w:rPr>
        <w:t xml:space="preserve"> </w:t>
      </w:r>
      <w:r>
        <w:t>development</w:t>
      </w:r>
      <w:r>
        <w:rPr>
          <w:spacing w:val="-1"/>
        </w:rPr>
        <w:t xml:space="preserve"> </w:t>
      </w:r>
      <w:r>
        <w:t>of economically</w:t>
      </w:r>
      <w:r>
        <w:rPr>
          <w:spacing w:val="-5"/>
        </w:rPr>
        <w:t xml:space="preserve"> </w:t>
      </w:r>
      <w:r>
        <w:t>less developed</w:t>
      </w:r>
      <w:r>
        <w:rPr>
          <w:spacing w:val="1"/>
        </w:rPr>
        <w:t xml:space="preserve"> </w:t>
      </w:r>
      <w:r>
        <w:t>areas.</w:t>
      </w:r>
    </w:p>
    <w:p w:rsidR="00A56FE9" w:rsidRDefault="00A56FE9">
      <w:pPr>
        <w:sectPr w:rsidR="00A56FE9" w:rsidSect="00AB1E70">
          <w:pgSz w:w="11910" w:h="16840"/>
          <w:pgMar w:top="1340" w:right="1140" w:bottom="960" w:left="1280" w:header="0" w:footer="779" w:gutter="0"/>
          <w:cols w:space="720"/>
        </w:sectPr>
      </w:pPr>
    </w:p>
    <w:p w:rsidR="00A56FE9" w:rsidRDefault="00000000">
      <w:pPr>
        <w:pStyle w:val="Tijeloteksta"/>
        <w:spacing w:before="74"/>
        <w:ind w:right="273"/>
      </w:pPr>
      <w:r>
        <w:t>Planned measures within the NRRP will facilitate the transition to a digital/green economy.</w:t>
      </w:r>
      <w:r>
        <w:rPr>
          <w:spacing w:val="1"/>
        </w:rPr>
        <w:t xml:space="preserve"> </w:t>
      </w:r>
      <w:r>
        <w:t>One of the most important measures to be financed from the NRRP is education based on the</w:t>
      </w:r>
      <w:r>
        <w:rPr>
          <w:spacing w:val="1"/>
        </w:rPr>
        <w:t xml:space="preserve"> </w:t>
      </w:r>
      <w:r>
        <w:t>voucher</w:t>
      </w:r>
      <w:r>
        <w:rPr>
          <w:spacing w:val="1"/>
        </w:rPr>
        <w:t xml:space="preserve"> </w:t>
      </w:r>
      <w:r>
        <w:t>system</w:t>
      </w:r>
      <w:r>
        <w:rPr>
          <w:spacing w:val="1"/>
        </w:rPr>
        <w:t xml:space="preserve"> </w:t>
      </w:r>
      <w:r>
        <w:t>and,</w:t>
      </w:r>
      <w:r>
        <w:rPr>
          <w:spacing w:val="1"/>
        </w:rPr>
        <w:t xml:space="preserve"> </w:t>
      </w:r>
      <w:r>
        <w:t>at</w:t>
      </w:r>
      <w:r>
        <w:rPr>
          <w:spacing w:val="1"/>
        </w:rPr>
        <w:t xml:space="preserve"> </w:t>
      </w:r>
      <w:r>
        <w:t>the</w:t>
      </w:r>
      <w:r>
        <w:rPr>
          <w:spacing w:val="1"/>
        </w:rPr>
        <w:t xml:space="preserve"> </w:t>
      </w:r>
      <w:r>
        <w:t>same</w:t>
      </w:r>
      <w:r>
        <w:rPr>
          <w:spacing w:val="1"/>
        </w:rPr>
        <w:t xml:space="preserve"> </w:t>
      </w:r>
      <w:r>
        <w:t>time,</w:t>
      </w:r>
      <w:r>
        <w:rPr>
          <w:spacing w:val="1"/>
        </w:rPr>
        <w:t xml:space="preserve"> </w:t>
      </w:r>
      <w:r>
        <w:t>financially</w:t>
      </w:r>
      <w:r>
        <w:rPr>
          <w:spacing w:val="1"/>
        </w:rPr>
        <w:t xml:space="preserve"> </w:t>
      </w:r>
      <w:r>
        <w:t>strengthening</w:t>
      </w:r>
      <w:r>
        <w:rPr>
          <w:spacing w:val="1"/>
        </w:rPr>
        <w:t xml:space="preserve"> </w:t>
      </w:r>
      <w:r>
        <w:t>measures</w:t>
      </w:r>
      <w:r>
        <w:rPr>
          <w:spacing w:val="1"/>
        </w:rPr>
        <w:t xml:space="preserve"> </w:t>
      </w:r>
      <w:r>
        <w:t>to</w:t>
      </w:r>
      <w:r>
        <w:rPr>
          <w:spacing w:val="1"/>
        </w:rPr>
        <w:t xml:space="preserve"> </w:t>
      </w:r>
      <w:r>
        <w:t>support</w:t>
      </w:r>
      <w:r>
        <w:rPr>
          <w:spacing w:val="1"/>
        </w:rPr>
        <w:t xml:space="preserve"> </w:t>
      </w:r>
      <w:r>
        <w:t>employment,</w:t>
      </w:r>
      <w:r>
        <w:rPr>
          <w:spacing w:val="-11"/>
        </w:rPr>
        <w:t xml:space="preserve"> </w:t>
      </w:r>
      <w:r>
        <w:t>traineeships</w:t>
      </w:r>
      <w:r>
        <w:rPr>
          <w:spacing w:val="-9"/>
        </w:rPr>
        <w:t xml:space="preserve"> </w:t>
      </w:r>
      <w:r>
        <w:t>and</w:t>
      </w:r>
      <w:r>
        <w:rPr>
          <w:spacing w:val="-10"/>
        </w:rPr>
        <w:t xml:space="preserve"> </w:t>
      </w:r>
      <w:r>
        <w:t>self-employment</w:t>
      </w:r>
      <w:r>
        <w:rPr>
          <w:spacing w:val="-9"/>
        </w:rPr>
        <w:t xml:space="preserve"> </w:t>
      </w:r>
      <w:r>
        <w:t>in</w:t>
      </w:r>
      <w:r>
        <w:rPr>
          <w:spacing w:val="-9"/>
        </w:rPr>
        <w:t xml:space="preserve"> </w:t>
      </w:r>
      <w:r>
        <w:t>activities</w:t>
      </w:r>
      <w:r>
        <w:rPr>
          <w:spacing w:val="-9"/>
        </w:rPr>
        <w:t xml:space="preserve"> </w:t>
      </w:r>
      <w:r>
        <w:t>facilitating</w:t>
      </w:r>
      <w:r>
        <w:rPr>
          <w:spacing w:val="-11"/>
        </w:rPr>
        <w:t xml:space="preserve"> </w:t>
      </w:r>
      <w:r>
        <w:t>the</w:t>
      </w:r>
      <w:r>
        <w:rPr>
          <w:spacing w:val="-10"/>
        </w:rPr>
        <w:t xml:space="preserve"> </w:t>
      </w:r>
      <w:r>
        <w:t>transition</w:t>
      </w:r>
      <w:r>
        <w:rPr>
          <w:spacing w:val="-9"/>
        </w:rPr>
        <w:t xml:space="preserve"> </w:t>
      </w:r>
      <w:r>
        <w:t>to</w:t>
      </w:r>
      <w:r>
        <w:rPr>
          <w:spacing w:val="-9"/>
        </w:rPr>
        <w:t xml:space="preserve"> </w:t>
      </w:r>
      <w:r>
        <w:t>a</w:t>
      </w:r>
      <w:r>
        <w:rPr>
          <w:spacing w:val="-11"/>
        </w:rPr>
        <w:t xml:space="preserve"> </w:t>
      </w:r>
      <w:r>
        <w:t>green</w:t>
      </w:r>
      <w:r>
        <w:rPr>
          <w:spacing w:val="-58"/>
        </w:rPr>
        <w:t xml:space="preserve"> </w:t>
      </w:r>
      <w:r>
        <w:t>and</w:t>
      </w:r>
      <w:r>
        <w:rPr>
          <w:spacing w:val="-1"/>
        </w:rPr>
        <w:t xml:space="preserve"> </w:t>
      </w:r>
      <w:r>
        <w:t>digital economy.</w:t>
      </w:r>
    </w:p>
    <w:p w:rsidR="00A56FE9" w:rsidRDefault="00000000">
      <w:pPr>
        <w:pStyle w:val="Tijeloteksta"/>
        <w:spacing w:before="121"/>
        <w:ind w:right="278"/>
      </w:pPr>
      <w:r>
        <w:t>All the mentioned activities comply with SDG 8. Promote sustained, inclusive and sustainable</w:t>
      </w:r>
      <w:r>
        <w:rPr>
          <w:spacing w:val="-57"/>
        </w:rPr>
        <w:t xml:space="preserve"> </w:t>
      </w:r>
      <w:r>
        <w:t>economic growth, full</w:t>
      </w:r>
      <w:r>
        <w:rPr>
          <w:spacing w:val="-1"/>
        </w:rPr>
        <w:t xml:space="preserve"> </w:t>
      </w:r>
      <w:r>
        <w:t>and productive</w:t>
      </w:r>
      <w:r>
        <w:rPr>
          <w:spacing w:val="-1"/>
        </w:rPr>
        <w:t xml:space="preserve"> </w:t>
      </w:r>
      <w:r>
        <w:t>employment</w:t>
      </w:r>
      <w:r>
        <w:rPr>
          <w:spacing w:val="-1"/>
        </w:rPr>
        <w:t xml:space="preserve"> </w:t>
      </w:r>
      <w:r>
        <w:t>and decent work</w:t>
      </w:r>
      <w:r>
        <w:rPr>
          <w:spacing w:val="-1"/>
        </w:rPr>
        <w:t xml:space="preserve"> </w:t>
      </w:r>
      <w:r>
        <w:t>for</w:t>
      </w:r>
      <w:r>
        <w:rPr>
          <w:spacing w:val="1"/>
        </w:rPr>
        <w:t xml:space="preserve"> </w:t>
      </w:r>
      <w:r>
        <w:t>all.</w:t>
      </w:r>
    </w:p>
    <w:p w:rsidR="00A56FE9" w:rsidRDefault="00000000">
      <w:pPr>
        <w:pStyle w:val="Tijeloteksta"/>
        <w:spacing w:before="120"/>
        <w:ind w:right="283"/>
      </w:pPr>
      <w:r>
        <w:t>Also, the stated measures facilitate the implementation of the European Pillar of Social Rights</w:t>
      </w:r>
      <w:r>
        <w:rPr>
          <w:spacing w:val="-57"/>
        </w:rPr>
        <w:t xml:space="preserve"> </w:t>
      </w:r>
      <w:r>
        <w:t>in</w:t>
      </w:r>
      <w:r>
        <w:rPr>
          <w:spacing w:val="-1"/>
        </w:rPr>
        <w:t xml:space="preserve"> </w:t>
      </w:r>
      <w:r>
        <w:t>the</w:t>
      </w:r>
      <w:r>
        <w:rPr>
          <w:spacing w:val="-1"/>
        </w:rPr>
        <w:t xml:space="preserve"> </w:t>
      </w:r>
      <w:r>
        <w:t>section regarding</w:t>
      </w:r>
      <w:r>
        <w:rPr>
          <w:spacing w:val="-1"/>
        </w:rPr>
        <w:t xml:space="preserve"> </w:t>
      </w:r>
      <w:r>
        <w:t>Active</w:t>
      </w:r>
      <w:r>
        <w:rPr>
          <w:spacing w:val="1"/>
        </w:rPr>
        <w:t xml:space="preserve"> </w:t>
      </w:r>
      <w:r>
        <w:t>Labour</w:t>
      </w:r>
      <w:r>
        <w:rPr>
          <w:spacing w:val="-1"/>
        </w:rPr>
        <w:t xml:space="preserve"> </w:t>
      </w:r>
      <w:r>
        <w:t>Market Support</w:t>
      </w:r>
    </w:p>
    <w:p w:rsidR="00A56FE9" w:rsidRDefault="00A56FE9">
      <w:pPr>
        <w:pStyle w:val="Tijeloteksta"/>
        <w:spacing w:before="11"/>
        <w:ind w:left="0"/>
        <w:jc w:val="left"/>
        <w:rPr>
          <w:sz w:val="31"/>
        </w:rPr>
      </w:pPr>
    </w:p>
    <w:p w:rsidR="00A56FE9" w:rsidRDefault="00CC1B9B">
      <w:pPr>
        <w:pStyle w:val="Naslov4"/>
      </w:pPr>
      <w:r>
        <w:rPr>
          <w:noProof/>
        </w:rPr>
        <mc:AlternateContent>
          <mc:Choice Requires="wps">
            <w:drawing>
              <wp:anchor distT="0" distB="0" distL="114300" distR="114300" simplePos="0" relativeHeight="15798272" behindDoc="0" locked="0" layoutInCell="1" allowOverlap="1">
                <wp:simplePos x="0" y="0"/>
                <wp:positionH relativeFrom="page">
                  <wp:posOffset>814070</wp:posOffset>
                </wp:positionH>
                <wp:positionV relativeFrom="paragraph">
                  <wp:posOffset>-1270</wp:posOffset>
                </wp:positionV>
                <wp:extent cx="18415" cy="265430"/>
                <wp:effectExtent l="0" t="0" r="0" b="0"/>
                <wp:wrapNone/>
                <wp:docPr id="1666755962"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2654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DEBEE" id="Rectangle 134" o:spid="_x0000_s1026" style="position:absolute;margin-left:64.1pt;margin-top:-.1pt;width:1.45pt;height:20.9pt;z-index:1579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" fillcolor="#da1f2c" stroked="f">
                <w10:wrap anchorx="page"/>
              </v:rect>
            </w:pict>
          </mc:Fallback>
        </mc:AlternateContent>
      </w:r>
      <w:r w:rsidR="00000000">
        <w:rPr>
          <w:color w:val="2C398A"/>
        </w:rPr>
        <w:t>Enhancing</w:t>
      </w:r>
      <w:r w:rsidR="00000000">
        <w:rPr>
          <w:color w:val="2C398A"/>
          <w:spacing w:val="-3"/>
        </w:rPr>
        <w:t xml:space="preserve"> </w:t>
      </w:r>
      <w:r w:rsidR="00000000">
        <w:rPr>
          <w:color w:val="2C398A"/>
        </w:rPr>
        <w:t>the legislative</w:t>
      </w:r>
      <w:r w:rsidR="00000000">
        <w:rPr>
          <w:color w:val="2C398A"/>
          <w:spacing w:val="-2"/>
        </w:rPr>
        <w:t xml:space="preserve"> </w:t>
      </w:r>
      <w:r w:rsidR="00000000">
        <w:rPr>
          <w:color w:val="2C398A"/>
        </w:rPr>
        <w:t>framework</w:t>
      </w:r>
      <w:r w:rsidR="00000000">
        <w:rPr>
          <w:color w:val="2C398A"/>
          <w:spacing w:val="-2"/>
        </w:rPr>
        <w:t xml:space="preserve"> </w:t>
      </w:r>
      <w:r w:rsidR="00000000">
        <w:rPr>
          <w:color w:val="2C398A"/>
        </w:rPr>
        <w:t>in</w:t>
      </w:r>
      <w:r w:rsidR="00000000">
        <w:rPr>
          <w:color w:val="2C398A"/>
          <w:spacing w:val="-2"/>
        </w:rPr>
        <w:t xml:space="preserve"> </w:t>
      </w:r>
      <w:r w:rsidR="00000000">
        <w:rPr>
          <w:color w:val="2C398A"/>
        </w:rPr>
        <w:t>the area</w:t>
      </w:r>
      <w:r w:rsidR="00000000">
        <w:rPr>
          <w:color w:val="2C398A"/>
          <w:spacing w:val="-2"/>
        </w:rPr>
        <w:t xml:space="preserve"> </w:t>
      </w:r>
      <w:r w:rsidR="00000000">
        <w:rPr>
          <w:color w:val="2C398A"/>
        </w:rPr>
        <w:t>of</w:t>
      </w:r>
      <w:r w:rsidR="00000000">
        <w:rPr>
          <w:color w:val="2C398A"/>
          <w:spacing w:val="-3"/>
        </w:rPr>
        <w:t xml:space="preserve"> </w:t>
      </w:r>
      <w:r w:rsidR="00000000">
        <w:rPr>
          <w:color w:val="2C398A"/>
        </w:rPr>
        <w:t>labour</w:t>
      </w:r>
    </w:p>
    <w:p w:rsidR="00A56FE9" w:rsidRDefault="00000000">
      <w:pPr>
        <w:spacing w:before="231"/>
        <w:ind w:left="138" w:right="276"/>
        <w:jc w:val="both"/>
        <w:rPr>
          <w:i/>
          <w:sz w:val="24"/>
        </w:rPr>
      </w:pPr>
      <w:r>
        <w:rPr>
          <w:i/>
          <w:color w:val="2C398A"/>
          <w:sz w:val="24"/>
        </w:rPr>
        <w:t>2019.CSR2.3. Strengthen labour market measures and institutions and their coordination with</w:t>
      </w:r>
      <w:r>
        <w:rPr>
          <w:i/>
          <w:color w:val="2C398A"/>
          <w:spacing w:val="-58"/>
          <w:sz w:val="24"/>
        </w:rPr>
        <w:t xml:space="preserve"> </w:t>
      </w:r>
      <w:r>
        <w:rPr>
          <w:i/>
          <w:color w:val="2C398A"/>
          <w:sz w:val="24"/>
        </w:rPr>
        <w:t>social</w:t>
      </w:r>
      <w:r>
        <w:rPr>
          <w:i/>
          <w:color w:val="2C398A"/>
          <w:spacing w:val="-13"/>
          <w:sz w:val="24"/>
        </w:rPr>
        <w:t xml:space="preserve"> </w:t>
      </w:r>
      <w:r>
        <w:rPr>
          <w:i/>
          <w:color w:val="2C398A"/>
          <w:sz w:val="24"/>
        </w:rPr>
        <w:t>services;</w:t>
      </w:r>
      <w:r>
        <w:rPr>
          <w:i/>
          <w:color w:val="2C398A"/>
          <w:spacing w:val="-14"/>
          <w:sz w:val="24"/>
        </w:rPr>
        <w:t xml:space="preserve"> </w:t>
      </w:r>
      <w:r>
        <w:rPr>
          <w:i/>
          <w:color w:val="2C398A"/>
          <w:sz w:val="24"/>
        </w:rPr>
        <w:t>2020.CSR2.1.</w:t>
      </w:r>
      <w:r>
        <w:rPr>
          <w:i/>
          <w:color w:val="2C398A"/>
          <w:spacing w:val="-12"/>
          <w:sz w:val="24"/>
        </w:rPr>
        <w:t xml:space="preserve"> </w:t>
      </w:r>
      <w:r>
        <w:rPr>
          <w:i/>
          <w:color w:val="2C398A"/>
          <w:sz w:val="24"/>
        </w:rPr>
        <w:t>Strengthen</w:t>
      </w:r>
      <w:r>
        <w:rPr>
          <w:i/>
          <w:color w:val="2C398A"/>
          <w:spacing w:val="-13"/>
          <w:sz w:val="24"/>
        </w:rPr>
        <w:t xml:space="preserve"> </w:t>
      </w:r>
      <w:r>
        <w:rPr>
          <w:i/>
          <w:color w:val="2C398A"/>
          <w:sz w:val="24"/>
        </w:rPr>
        <w:t>labour</w:t>
      </w:r>
      <w:r>
        <w:rPr>
          <w:i/>
          <w:color w:val="2C398A"/>
          <w:spacing w:val="-11"/>
          <w:sz w:val="24"/>
        </w:rPr>
        <w:t xml:space="preserve"> </w:t>
      </w:r>
      <w:r>
        <w:rPr>
          <w:i/>
          <w:color w:val="2C398A"/>
          <w:sz w:val="24"/>
        </w:rPr>
        <w:t>market</w:t>
      </w:r>
      <w:r>
        <w:rPr>
          <w:i/>
          <w:color w:val="2C398A"/>
          <w:spacing w:val="-12"/>
          <w:sz w:val="24"/>
        </w:rPr>
        <w:t xml:space="preserve"> </w:t>
      </w:r>
      <w:r>
        <w:rPr>
          <w:i/>
          <w:color w:val="2C398A"/>
          <w:sz w:val="24"/>
        </w:rPr>
        <w:t>measures</w:t>
      </w:r>
      <w:r>
        <w:rPr>
          <w:i/>
          <w:color w:val="2C398A"/>
          <w:spacing w:val="-13"/>
          <w:sz w:val="24"/>
        </w:rPr>
        <w:t xml:space="preserve"> </w:t>
      </w:r>
      <w:r>
        <w:rPr>
          <w:i/>
          <w:color w:val="2C398A"/>
          <w:sz w:val="24"/>
        </w:rPr>
        <w:t>and</w:t>
      </w:r>
      <w:r>
        <w:rPr>
          <w:i/>
          <w:color w:val="2C398A"/>
          <w:spacing w:val="-11"/>
          <w:sz w:val="24"/>
        </w:rPr>
        <w:t xml:space="preserve"> </w:t>
      </w:r>
      <w:r>
        <w:rPr>
          <w:i/>
          <w:color w:val="2C398A"/>
          <w:sz w:val="24"/>
        </w:rPr>
        <w:t>institutions</w:t>
      </w:r>
      <w:r>
        <w:rPr>
          <w:i/>
          <w:color w:val="2C398A"/>
          <w:spacing w:val="-12"/>
          <w:sz w:val="24"/>
        </w:rPr>
        <w:t xml:space="preserve"> </w:t>
      </w:r>
      <w:r>
        <w:rPr>
          <w:i/>
          <w:color w:val="2C398A"/>
          <w:sz w:val="24"/>
        </w:rPr>
        <w:t>and</w:t>
      </w:r>
      <w:r>
        <w:rPr>
          <w:i/>
          <w:color w:val="2C398A"/>
          <w:spacing w:val="-13"/>
          <w:sz w:val="24"/>
        </w:rPr>
        <w:t xml:space="preserve"> </w:t>
      </w:r>
      <w:r>
        <w:rPr>
          <w:i/>
          <w:color w:val="2C398A"/>
          <w:sz w:val="24"/>
        </w:rPr>
        <w:t>improve</w:t>
      </w:r>
      <w:r>
        <w:rPr>
          <w:i/>
          <w:color w:val="2C398A"/>
          <w:spacing w:val="-57"/>
          <w:sz w:val="24"/>
        </w:rPr>
        <w:t xml:space="preserve"> </w:t>
      </w:r>
      <w:r>
        <w:rPr>
          <w:i/>
          <w:color w:val="2C398A"/>
          <w:sz w:val="24"/>
        </w:rPr>
        <w:t>the</w:t>
      </w:r>
      <w:r>
        <w:rPr>
          <w:i/>
          <w:color w:val="2C398A"/>
          <w:spacing w:val="-1"/>
          <w:sz w:val="24"/>
        </w:rPr>
        <w:t xml:space="preserve"> </w:t>
      </w:r>
      <w:r>
        <w:rPr>
          <w:i/>
          <w:color w:val="2C398A"/>
          <w:sz w:val="24"/>
        </w:rPr>
        <w:t>adequacy</w:t>
      </w:r>
      <w:r>
        <w:rPr>
          <w:i/>
          <w:color w:val="2C398A"/>
          <w:spacing w:val="-1"/>
          <w:sz w:val="24"/>
        </w:rPr>
        <w:t xml:space="preserve"> </w:t>
      </w:r>
      <w:r>
        <w:rPr>
          <w:i/>
          <w:color w:val="2C398A"/>
          <w:sz w:val="24"/>
        </w:rPr>
        <w:t>of unemployment benefits and minimum income</w:t>
      </w:r>
      <w:r>
        <w:rPr>
          <w:i/>
          <w:color w:val="2C398A"/>
          <w:spacing w:val="-2"/>
          <w:sz w:val="24"/>
        </w:rPr>
        <w:t xml:space="preserve"> </w:t>
      </w:r>
      <w:r>
        <w:rPr>
          <w:i/>
          <w:color w:val="2C398A"/>
          <w:sz w:val="24"/>
        </w:rPr>
        <w:t>schemes</w:t>
      </w:r>
    </w:p>
    <w:p w:rsidR="00A56FE9" w:rsidRDefault="00A56FE9">
      <w:pPr>
        <w:pStyle w:val="Tijeloteksta"/>
        <w:spacing w:before="4"/>
        <w:ind w:left="0"/>
        <w:jc w:val="left"/>
        <w:rPr>
          <w:i/>
          <w:sz w:val="21"/>
        </w:rPr>
      </w:pPr>
    </w:p>
    <w:p w:rsidR="00A56FE9" w:rsidRDefault="00000000">
      <w:pPr>
        <w:pStyle w:val="Naslov5"/>
        <w:spacing w:after="23"/>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744950444"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029695256" name="Rectangle 133"/>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C1E60C2" id="Group 132"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">
                <v:rect id="Rectangle 133"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4"/>
      </w:pPr>
      <w:r>
        <w:t>At</w:t>
      </w:r>
      <w:r>
        <w:rPr>
          <w:spacing w:val="1"/>
        </w:rPr>
        <w:t xml:space="preserve"> </w:t>
      </w:r>
      <w:r>
        <w:t>the</w:t>
      </w:r>
      <w:r>
        <w:rPr>
          <w:spacing w:val="1"/>
        </w:rPr>
        <w:t xml:space="preserve"> </w:t>
      </w:r>
      <w:r>
        <w:t>start</w:t>
      </w:r>
      <w:r>
        <w:rPr>
          <w:spacing w:val="1"/>
        </w:rPr>
        <w:t xml:space="preserve"> </w:t>
      </w:r>
      <w:r>
        <w:t>of</w:t>
      </w:r>
      <w:r>
        <w:rPr>
          <w:spacing w:val="1"/>
        </w:rPr>
        <w:t xml:space="preserve"> </w:t>
      </w:r>
      <w:r>
        <w:t>2021,</w:t>
      </w:r>
      <w:r>
        <w:rPr>
          <w:spacing w:val="1"/>
        </w:rPr>
        <w:t xml:space="preserve"> </w:t>
      </w:r>
      <w:r>
        <w:t>the</w:t>
      </w:r>
      <w:r>
        <w:rPr>
          <w:spacing w:val="1"/>
        </w:rPr>
        <w:t xml:space="preserve"> </w:t>
      </w:r>
      <w:r>
        <w:t>Croatian</w:t>
      </w:r>
      <w:r>
        <w:rPr>
          <w:spacing w:val="1"/>
        </w:rPr>
        <w:t xml:space="preserve"> </w:t>
      </w:r>
      <w:r>
        <w:t>Government</w:t>
      </w:r>
      <w:r>
        <w:rPr>
          <w:spacing w:val="1"/>
        </w:rPr>
        <w:t xml:space="preserve"> </w:t>
      </w:r>
      <w:r>
        <w:t>adopted</w:t>
      </w:r>
      <w:r>
        <w:rPr>
          <w:spacing w:val="1"/>
        </w:rPr>
        <w:t xml:space="preserve"> </w:t>
      </w:r>
      <w:r>
        <w:t>the</w:t>
      </w:r>
      <w:r>
        <w:rPr>
          <w:spacing w:val="1"/>
        </w:rPr>
        <w:t xml:space="preserve"> </w:t>
      </w:r>
      <w:r>
        <w:t>National</w:t>
      </w:r>
      <w:r>
        <w:rPr>
          <w:spacing w:val="1"/>
        </w:rPr>
        <w:t xml:space="preserve"> </w:t>
      </w:r>
      <w:r>
        <w:t>Program</w:t>
      </w:r>
      <w:r>
        <w:rPr>
          <w:spacing w:val="1"/>
        </w:rPr>
        <w:t xml:space="preserve"> </w:t>
      </w:r>
      <w:r>
        <w:t>for</w:t>
      </w:r>
      <w:r>
        <w:rPr>
          <w:spacing w:val="1"/>
        </w:rPr>
        <w:t xml:space="preserve"> </w:t>
      </w:r>
      <w:r>
        <w:t>the</w:t>
      </w:r>
      <w:r>
        <w:rPr>
          <w:spacing w:val="1"/>
        </w:rPr>
        <w:t xml:space="preserve"> </w:t>
      </w:r>
      <w:r>
        <w:t>Suppression</w:t>
      </w:r>
      <w:r>
        <w:rPr>
          <w:spacing w:val="-9"/>
        </w:rPr>
        <w:t xml:space="preserve"> </w:t>
      </w:r>
      <w:r>
        <w:t>of</w:t>
      </w:r>
      <w:r>
        <w:rPr>
          <w:spacing w:val="-8"/>
        </w:rPr>
        <w:t xml:space="preserve"> </w:t>
      </w:r>
      <w:r>
        <w:t>Undeclared</w:t>
      </w:r>
      <w:r>
        <w:rPr>
          <w:spacing w:val="-8"/>
        </w:rPr>
        <w:t xml:space="preserve"> </w:t>
      </w:r>
      <w:r>
        <w:t>Work</w:t>
      </w:r>
      <w:r>
        <w:rPr>
          <w:spacing w:val="-8"/>
        </w:rPr>
        <w:t xml:space="preserve"> </w:t>
      </w:r>
      <w:r>
        <w:t>in</w:t>
      </w:r>
      <w:r>
        <w:rPr>
          <w:spacing w:val="-5"/>
        </w:rPr>
        <w:t xml:space="preserve"> </w:t>
      </w:r>
      <w:r>
        <w:t>the</w:t>
      </w:r>
      <w:r>
        <w:rPr>
          <w:spacing w:val="-6"/>
        </w:rPr>
        <w:t xml:space="preserve"> </w:t>
      </w:r>
      <w:r>
        <w:t>Republic</w:t>
      </w:r>
      <w:r>
        <w:rPr>
          <w:spacing w:val="-7"/>
        </w:rPr>
        <w:t xml:space="preserve"> </w:t>
      </w:r>
      <w:r>
        <w:t>of</w:t>
      </w:r>
      <w:r>
        <w:rPr>
          <w:spacing w:val="-8"/>
        </w:rPr>
        <w:t xml:space="preserve"> </w:t>
      </w:r>
      <w:r>
        <w:t>Croatia</w:t>
      </w:r>
      <w:r>
        <w:rPr>
          <w:spacing w:val="-9"/>
        </w:rPr>
        <w:t xml:space="preserve"> </w:t>
      </w:r>
      <w:r>
        <w:t>2021-2024</w:t>
      </w:r>
      <w:r>
        <w:rPr>
          <w:spacing w:val="-5"/>
        </w:rPr>
        <w:t xml:space="preserve"> </w:t>
      </w:r>
      <w:r>
        <w:t>and</w:t>
      </w:r>
      <w:r>
        <w:rPr>
          <w:spacing w:val="-6"/>
        </w:rPr>
        <w:t xml:space="preserve"> </w:t>
      </w:r>
      <w:r>
        <w:t>the</w:t>
      </w:r>
      <w:r>
        <w:rPr>
          <w:spacing w:val="-8"/>
        </w:rPr>
        <w:t xml:space="preserve"> </w:t>
      </w:r>
      <w:r>
        <w:t>Action</w:t>
      </w:r>
      <w:r>
        <w:rPr>
          <w:spacing w:val="-8"/>
        </w:rPr>
        <w:t xml:space="preserve"> </w:t>
      </w:r>
      <w:r>
        <w:t>Plan</w:t>
      </w:r>
      <w:r>
        <w:rPr>
          <w:spacing w:val="-9"/>
        </w:rPr>
        <w:t xml:space="preserve"> </w:t>
      </w:r>
      <w:r>
        <w:t>for</w:t>
      </w:r>
      <w:r>
        <w:rPr>
          <w:spacing w:val="-57"/>
        </w:rPr>
        <w:t xml:space="preserve"> </w:t>
      </w:r>
      <w:r>
        <w:t>Implementing the</w:t>
      </w:r>
      <w:r>
        <w:rPr>
          <w:spacing w:val="1"/>
        </w:rPr>
        <w:t xml:space="preserve"> </w:t>
      </w:r>
      <w:r>
        <w:t>National</w:t>
      </w:r>
      <w:r>
        <w:rPr>
          <w:spacing w:val="1"/>
        </w:rPr>
        <w:t xml:space="preserve"> </w:t>
      </w:r>
      <w:r>
        <w:t>Program</w:t>
      </w:r>
      <w:r>
        <w:rPr>
          <w:spacing w:val="1"/>
        </w:rPr>
        <w:t xml:space="preserve"> </w:t>
      </w:r>
      <w:r>
        <w:t>as</w:t>
      </w:r>
      <w:r>
        <w:rPr>
          <w:spacing w:val="1"/>
        </w:rPr>
        <w:t xml:space="preserve"> </w:t>
      </w:r>
      <w:r>
        <w:t>the</w:t>
      </w:r>
      <w:r>
        <w:rPr>
          <w:spacing w:val="1"/>
        </w:rPr>
        <w:t xml:space="preserve"> </w:t>
      </w:r>
      <w:r>
        <w:t>first</w:t>
      </w:r>
      <w:r>
        <w:rPr>
          <w:spacing w:val="1"/>
        </w:rPr>
        <w:t xml:space="preserve"> </w:t>
      </w:r>
      <w:r>
        <w:t>step</w:t>
      </w:r>
      <w:r>
        <w:rPr>
          <w:spacing w:val="1"/>
        </w:rPr>
        <w:t xml:space="preserve"> </w:t>
      </w:r>
      <w:r>
        <w:t>in</w:t>
      </w:r>
      <w:r>
        <w:rPr>
          <w:spacing w:val="1"/>
        </w:rPr>
        <w:t xml:space="preserve"> </w:t>
      </w:r>
      <w:r>
        <w:t>suppressing undeclared</w:t>
      </w:r>
      <w:r>
        <w:rPr>
          <w:spacing w:val="1"/>
        </w:rPr>
        <w:t xml:space="preserve"> </w:t>
      </w:r>
      <w:r>
        <w:t>work.</w:t>
      </w:r>
      <w:r>
        <w:rPr>
          <w:spacing w:val="1"/>
        </w:rPr>
        <w:t xml:space="preserve"> </w:t>
      </w:r>
      <w:r>
        <w:t>It</w:t>
      </w:r>
      <w:r>
        <w:rPr>
          <w:spacing w:val="1"/>
        </w:rPr>
        <w:t xml:space="preserve"> </w:t>
      </w:r>
      <w:r>
        <w:t>envisages a series of activities to reduce this phenomenon, which will be implemented by the</w:t>
      </w:r>
      <w:r>
        <w:rPr>
          <w:spacing w:val="1"/>
        </w:rPr>
        <w:t xml:space="preserve"> </w:t>
      </w:r>
      <w:r>
        <w:t>end of 2024. Hence, in September 2021, an interdepartmental Coordination Body for the</w:t>
      </w:r>
      <w:r>
        <w:rPr>
          <w:spacing w:val="1"/>
        </w:rPr>
        <w:t xml:space="preserve"> </w:t>
      </w:r>
      <w:r>
        <w:t>Suppression of Undeclared Work was established, and an inspection unit was established</w:t>
      </w:r>
      <w:r>
        <w:rPr>
          <w:spacing w:val="1"/>
        </w:rPr>
        <w:t xml:space="preserve"> </w:t>
      </w:r>
      <w:r>
        <w:t>overlooking the payment of minimum wages as agreed in collective agreements and the</w:t>
      </w:r>
      <w:r>
        <w:rPr>
          <w:spacing w:val="1"/>
        </w:rPr>
        <w:t xml:space="preserve"> </w:t>
      </w:r>
      <w:r>
        <w:t>application of which was extended in line with the general labour regulations. Regarding the</w:t>
      </w:r>
      <w:r>
        <w:rPr>
          <w:spacing w:val="1"/>
        </w:rPr>
        <w:t xml:space="preserve"> </w:t>
      </w:r>
      <w:r>
        <w:t>issue of particular labour relations, since 2020 and during 2020, consultations were held</w:t>
      </w:r>
      <w:r>
        <w:rPr>
          <w:spacing w:val="1"/>
        </w:rPr>
        <w:t xml:space="preserve"> </w:t>
      </w:r>
      <w:r>
        <w:t>systematically</w:t>
      </w:r>
      <w:r>
        <w:rPr>
          <w:spacing w:val="-17"/>
        </w:rPr>
        <w:t xml:space="preserve"> </w:t>
      </w:r>
      <w:r>
        <w:t>with</w:t>
      </w:r>
      <w:r>
        <w:rPr>
          <w:spacing w:val="-14"/>
        </w:rPr>
        <w:t xml:space="preserve"> </w:t>
      </w:r>
      <w:r>
        <w:t>social</w:t>
      </w:r>
      <w:r>
        <w:rPr>
          <w:spacing w:val="-13"/>
        </w:rPr>
        <w:t xml:space="preserve"> </w:t>
      </w:r>
      <w:r>
        <w:t>partners</w:t>
      </w:r>
      <w:r>
        <w:rPr>
          <w:spacing w:val="-15"/>
        </w:rPr>
        <w:t xml:space="preserve"> </w:t>
      </w:r>
      <w:r>
        <w:t>concerning</w:t>
      </w:r>
      <w:r>
        <w:rPr>
          <w:spacing w:val="-15"/>
        </w:rPr>
        <w:t xml:space="preserve"> </w:t>
      </w:r>
      <w:r>
        <w:t>possible</w:t>
      </w:r>
      <w:r>
        <w:rPr>
          <w:spacing w:val="-15"/>
        </w:rPr>
        <w:t xml:space="preserve"> </w:t>
      </w:r>
      <w:r>
        <w:t>changes</w:t>
      </w:r>
      <w:r>
        <w:rPr>
          <w:spacing w:val="-15"/>
        </w:rPr>
        <w:t xml:space="preserve"> </w:t>
      </w:r>
      <w:r>
        <w:t>in</w:t>
      </w:r>
      <w:r>
        <w:rPr>
          <w:spacing w:val="-14"/>
        </w:rPr>
        <w:t xml:space="preserve"> </w:t>
      </w:r>
      <w:r>
        <w:t>the</w:t>
      </w:r>
      <w:r>
        <w:rPr>
          <w:spacing w:val="-13"/>
        </w:rPr>
        <w:t xml:space="preserve"> </w:t>
      </w:r>
      <w:r>
        <w:t>area</w:t>
      </w:r>
      <w:r>
        <w:rPr>
          <w:spacing w:val="-14"/>
        </w:rPr>
        <w:t xml:space="preserve"> </w:t>
      </w:r>
      <w:r>
        <w:t>of</w:t>
      </w:r>
      <w:r>
        <w:rPr>
          <w:spacing w:val="-13"/>
        </w:rPr>
        <w:t xml:space="preserve"> </w:t>
      </w:r>
      <w:r>
        <w:t>labour</w:t>
      </w:r>
      <w:r>
        <w:rPr>
          <w:spacing w:val="-16"/>
        </w:rPr>
        <w:t xml:space="preserve"> </w:t>
      </w:r>
      <w:r>
        <w:t>legislation.</w:t>
      </w:r>
      <w:r>
        <w:rPr>
          <w:spacing w:val="-57"/>
        </w:rPr>
        <w:t xml:space="preserve"> </w:t>
      </w:r>
      <w:r>
        <w:t>The</w:t>
      </w:r>
      <w:r>
        <w:rPr>
          <w:spacing w:val="-15"/>
        </w:rPr>
        <w:t xml:space="preserve"> </w:t>
      </w:r>
      <w:r>
        <w:t>Act</w:t>
      </w:r>
      <w:r>
        <w:rPr>
          <w:spacing w:val="-13"/>
        </w:rPr>
        <w:t xml:space="preserve"> </w:t>
      </w:r>
      <w:r>
        <w:t>on</w:t>
      </w:r>
      <w:r>
        <w:rPr>
          <w:spacing w:val="-10"/>
        </w:rPr>
        <w:t xml:space="preserve"> </w:t>
      </w:r>
      <w:r>
        <w:t>Amendments</w:t>
      </w:r>
      <w:r>
        <w:rPr>
          <w:spacing w:val="-11"/>
        </w:rPr>
        <w:t xml:space="preserve"> </w:t>
      </w:r>
      <w:r>
        <w:t>to</w:t>
      </w:r>
      <w:r>
        <w:rPr>
          <w:spacing w:val="-13"/>
        </w:rPr>
        <w:t xml:space="preserve"> </w:t>
      </w:r>
      <w:r>
        <w:t>the</w:t>
      </w:r>
      <w:r>
        <w:rPr>
          <w:spacing w:val="-13"/>
        </w:rPr>
        <w:t xml:space="preserve"> </w:t>
      </w:r>
      <w:r>
        <w:t>Minimum</w:t>
      </w:r>
      <w:r>
        <w:rPr>
          <w:spacing w:val="-13"/>
        </w:rPr>
        <w:t xml:space="preserve"> </w:t>
      </w:r>
      <w:r>
        <w:t>Wage</w:t>
      </w:r>
      <w:r>
        <w:rPr>
          <w:spacing w:val="-14"/>
        </w:rPr>
        <w:t xml:space="preserve"> </w:t>
      </w:r>
      <w:r>
        <w:t>Act</w:t>
      </w:r>
      <w:r>
        <w:rPr>
          <w:spacing w:val="-12"/>
        </w:rPr>
        <w:t xml:space="preserve"> </w:t>
      </w:r>
      <w:r>
        <w:t>was</w:t>
      </w:r>
      <w:r>
        <w:rPr>
          <w:spacing w:val="-13"/>
        </w:rPr>
        <w:t xml:space="preserve"> </w:t>
      </w:r>
      <w:r>
        <w:t>also</w:t>
      </w:r>
      <w:r>
        <w:rPr>
          <w:spacing w:val="-10"/>
        </w:rPr>
        <w:t xml:space="preserve"> </w:t>
      </w:r>
      <w:r>
        <w:t>adopted,</w:t>
      </w:r>
      <w:r>
        <w:rPr>
          <w:spacing w:val="-13"/>
        </w:rPr>
        <w:t xml:space="preserve"> </w:t>
      </w:r>
      <w:r>
        <w:t>improving</w:t>
      </w:r>
      <w:r>
        <w:rPr>
          <w:spacing w:val="-15"/>
        </w:rPr>
        <w:t xml:space="preserve"> </w:t>
      </w:r>
      <w:r>
        <w:t>the</w:t>
      </w:r>
      <w:r>
        <w:rPr>
          <w:spacing w:val="-13"/>
        </w:rPr>
        <w:t xml:space="preserve"> </w:t>
      </w:r>
      <w:r>
        <w:t>minimum</w:t>
      </w:r>
      <w:r>
        <w:rPr>
          <w:spacing w:val="-58"/>
        </w:rPr>
        <w:t xml:space="preserve"> </w:t>
      </w:r>
      <w:r>
        <w:t>wage</w:t>
      </w:r>
      <w:r>
        <w:rPr>
          <w:spacing w:val="-2"/>
        </w:rPr>
        <w:t xml:space="preserve"> </w:t>
      </w:r>
      <w:r>
        <w:t>system in the Republic</w:t>
      </w:r>
      <w:r>
        <w:rPr>
          <w:spacing w:val="-1"/>
        </w:rPr>
        <w:t xml:space="preserve"> </w:t>
      </w:r>
      <w:r>
        <w:t>of Croatia.</w:t>
      </w:r>
    </w:p>
    <w:p w:rsidR="00A56FE9" w:rsidRDefault="00A56FE9">
      <w:pPr>
        <w:pStyle w:val="Tijeloteksta"/>
        <w:spacing w:before="1"/>
        <w:ind w:left="0"/>
        <w:jc w:val="left"/>
        <w:rPr>
          <w:sz w:val="21"/>
        </w:rPr>
      </w:pPr>
    </w:p>
    <w:p w:rsidR="00A56FE9" w:rsidRDefault="00000000">
      <w:pPr>
        <w:pStyle w:val="Naslov5"/>
        <w:spacing w:before="1" w:after="22"/>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981467784"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218433342" name="Rectangle 131"/>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6E1C012" id="Group 130"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F5ImBlQAgAADwUAAA4AAAAAAAAAAAAAAAAALgIAAGRycy9lMm9Eb2MueG1sUEsBAi0AFAAGAAgA&#10;AAAhAOjoSp3cAAAAAwEAAA8AAAAAAAAAAAAAAAAAqgQAAGRycy9kb3ducmV2LnhtbFBLBQYAAAAA&#10;BAAEAPMAAACzBQAAAAA=&#10;">
                <v:rect id="Rectangle 131"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" fillcolor="#2c398a" stroked="f"/>
                <w10:anchorlock/>
              </v:group>
            </w:pict>
          </mc:Fallback>
        </mc:AlternateContent>
      </w:r>
    </w:p>
    <w:p w:rsidR="00A56FE9" w:rsidRDefault="00000000">
      <w:pPr>
        <w:pStyle w:val="Tijeloteksta"/>
        <w:spacing w:before="154"/>
        <w:ind w:right="274"/>
      </w:pPr>
      <w:r>
        <w:t>To further address the respective challenges, the NRRP envisages the measure Improvements</w:t>
      </w:r>
      <w:r>
        <w:rPr>
          <w:spacing w:val="1"/>
        </w:rPr>
        <w:t xml:space="preserve"> </w:t>
      </w:r>
      <w:r>
        <w:t>to</w:t>
      </w:r>
      <w:r>
        <w:rPr>
          <w:spacing w:val="-8"/>
        </w:rPr>
        <w:t xml:space="preserve"> </w:t>
      </w:r>
      <w:r>
        <w:t>the</w:t>
      </w:r>
      <w:r>
        <w:rPr>
          <w:spacing w:val="-7"/>
        </w:rPr>
        <w:t xml:space="preserve"> </w:t>
      </w:r>
      <w:r>
        <w:t>Labour</w:t>
      </w:r>
      <w:r>
        <w:rPr>
          <w:spacing w:val="-6"/>
        </w:rPr>
        <w:t xml:space="preserve"> </w:t>
      </w:r>
      <w:r>
        <w:t>Legislation.</w:t>
      </w:r>
      <w:r>
        <w:rPr>
          <w:spacing w:val="-9"/>
        </w:rPr>
        <w:t xml:space="preserve"> </w:t>
      </w:r>
      <w:r>
        <w:t>This</w:t>
      </w:r>
      <w:r>
        <w:rPr>
          <w:spacing w:val="-7"/>
        </w:rPr>
        <w:t xml:space="preserve"> </w:t>
      </w:r>
      <w:r>
        <w:t>measure</w:t>
      </w:r>
      <w:r>
        <w:rPr>
          <w:spacing w:val="-8"/>
        </w:rPr>
        <w:t xml:space="preserve"> </w:t>
      </w:r>
      <w:r>
        <w:t>is</w:t>
      </w:r>
      <w:r>
        <w:rPr>
          <w:spacing w:val="-7"/>
        </w:rPr>
        <w:t xml:space="preserve"> </w:t>
      </w:r>
      <w:r>
        <w:t>of</w:t>
      </w:r>
      <w:r>
        <w:rPr>
          <w:spacing w:val="-9"/>
        </w:rPr>
        <w:t xml:space="preserve"> </w:t>
      </w:r>
      <w:r>
        <w:t>a</w:t>
      </w:r>
      <w:r>
        <w:rPr>
          <w:spacing w:val="-7"/>
        </w:rPr>
        <w:t xml:space="preserve"> </w:t>
      </w:r>
      <w:r>
        <w:t>reform</w:t>
      </w:r>
      <w:r>
        <w:rPr>
          <w:spacing w:val="-8"/>
        </w:rPr>
        <w:t xml:space="preserve"> </w:t>
      </w:r>
      <w:r>
        <w:t>nature</w:t>
      </w:r>
      <w:r>
        <w:rPr>
          <w:spacing w:val="-7"/>
        </w:rPr>
        <w:t xml:space="preserve"> </w:t>
      </w:r>
      <w:r>
        <w:t>and</w:t>
      </w:r>
      <w:r>
        <w:rPr>
          <w:spacing w:val="-8"/>
        </w:rPr>
        <w:t xml:space="preserve"> </w:t>
      </w:r>
      <w:r>
        <w:t>includes</w:t>
      </w:r>
      <w:r>
        <w:rPr>
          <w:spacing w:val="-8"/>
        </w:rPr>
        <w:t xml:space="preserve"> </w:t>
      </w:r>
      <w:r>
        <w:t>the</w:t>
      </w:r>
      <w:r>
        <w:rPr>
          <w:spacing w:val="-9"/>
        </w:rPr>
        <w:t xml:space="preserve"> </w:t>
      </w:r>
      <w:r>
        <w:t>adoption</w:t>
      </w:r>
      <w:r>
        <w:rPr>
          <w:spacing w:val="-9"/>
        </w:rPr>
        <w:t xml:space="preserve"> </w:t>
      </w:r>
      <w:r>
        <w:t>of</w:t>
      </w:r>
      <w:r>
        <w:rPr>
          <w:spacing w:val="-8"/>
        </w:rPr>
        <w:t xml:space="preserve"> </w:t>
      </w:r>
      <w:r>
        <w:t>three</w:t>
      </w:r>
      <w:r>
        <w:rPr>
          <w:spacing w:val="-58"/>
        </w:rPr>
        <w:t xml:space="preserve"> </w:t>
      </w:r>
      <w:r>
        <w:t>regulations</w:t>
      </w:r>
      <w:r>
        <w:rPr>
          <w:spacing w:val="-7"/>
        </w:rPr>
        <w:t xml:space="preserve"> </w:t>
      </w:r>
      <w:r>
        <w:t>in</w:t>
      </w:r>
      <w:r>
        <w:rPr>
          <w:spacing w:val="-6"/>
        </w:rPr>
        <w:t xml:space="preserve"> </w:t>
      </w:r>
      <w:r>
        <w:t>the</w:t>
      </w:r>
      <w:r>
        <w:rPr>
          <w:spacing w:val="-7"/>
        </w:rPr>
        <w:t xml:space="preserve"> </w:t>
      </w:r>
      <w:r>
        <w:t>field</w:t>
      </w:r>
      <w:r>
        <w:rPr>
          <w:spacing w:val="-6"/>
        </w:rPr>
        <w:t xml:space="preserve"> </w:t>
      </w:r>
      <w:r>
        <w:t>of</w:t>
      </w:r>
      <w:r>
        <w:rPr>
          <w:spacing w:val="-6"/>
        </w:rPr>
        <w:t xml:space="preserve"> </w:t>
      </w:r>
      <w:r>
        <w:t>labour</w:t>
      </w:r>
      <w:r>
        <w:rPr>
          <w:spacing w:val="-8"/>
        </w:rPr>
        <w:t xml:space="preserve"> </w:t>
      </w:r>
      <w:r>
        <w:t>legislation.</w:t>
      </w:r>
      <w:r>
        <w:rPr>
          <w:spacing w:val="-6"/>
        </w:rPr>
        <w:t xml:space="preserve"> </w:t>
      </w:r>
      <w:r>
        <w:t>Execution</w:t>
      </w:r>
      <w:r>
        <w:rPr>
          <w:spacing w:val="-6"/>
        </w:rPr>
        <w:t xml:space="preserve"> </w:t>
      </w:r>
      <w:r>
        <w:t>of</w:t>
      </w:r>
      <w:r>
        <w:rPr>
          <w:spacing w:val="-7"/>
        </w:rPr>
        <w:t xml:space="preserve"> </w:t>
      </w:r>
      <w:r>
        <w:t>the</w:t>
      </w:r>
      <w:r>
        <w:rPr>
          <w:spacing w:val="-7"/>
        </w:rPr>
        <w:t xml:space="preserve"> </w:t>
      </w:r>
      <w:r>
        <w:t>measure</w:t>
      </w:r>
      <w:r>
        <w:rPr>
          <w:spacing w:val="-8"/>
        </w:rPr>
        <w:t xml:space="preserve"> </w:t>
      </w:r>
      <w:r>
        <w:t>is</w:t>
      </w:r>
      <w:r>
        <w:rPr>
          <w:spacing w:val="-6"/>
        </w:rPr>
        <w:t xml:space="preserve"> </w:t>
      </w:r>
      <w:r>
        <w:t>planned</w:t>
      </w:r>
      <w:r>
        <w:rPr>
          <w:spacing w:val="-6"/>
        </w:rPr>
        <w:t xml:space="preserve"> </w:t>
      </w:r>
      <w:r>
        <w:t>in</w:t>
      </w:r>
      <w:r>
        <w:rPr>
          <w:spacing w:val="-6"/>
        </w:rPr>
        <w:t xml:space="preserve"> </w:t>
      </w:r>
      <w:r>
        <w:t>three</w:t>
      </w:r>
      <w:r>
        <w:rPr>
          <w:spacing w:val="-7"/>
        </w:rPr>
        <w:t xml:space="preserve"> </w:t>
      </w:r>
      <w:r>
        <w:t>steps.</w:t>
      </w:r>
      <w:r>
        <w:rPr>
          <w:spacing w:val="-58"/>
        </w:rPr>
        <w:t xml:space="preserve"> </w:t>
      </w:r>
      <w:r>
        <w:t>The first step is to amend the Minimum Wage Act. This measure was implemented once the</w:t>
      </w:r>
      <w:r>
        <w:rPr>
          <w:spacing w:val="1"/>
        </w:rPr>
        <w:t xml:space="preserve"> </w:t>
      </w:r>
      <w:r>
        <w:t>act</w:t>
      </w:r>
      <w:r>
        <w:rPr>
          <w:spacing w:val="-13"/>
        </w:rPr>
        <w:t xml:space="preserve"> </w:t>
      </w:r>
      <w:r>
        <w:t>came</w:t>
      </w:r>
      <w:r>
        <w:rPr>
          <w:spacing w:val="-13"/>
        </w:rPr>
        <w:t xml:space="preserve"> </w:t>
      </w:r>
      <w:r>
        <w:t>into</w:t>
      </w:r>
      <w:r>
        <w:rPr>
          <w:spacing w:val="-12"/>
        </w:rPr>
        <w:t xml:space="preserve"> </w:t>
      </w:r>
      <w:r>
        <w:t>force</w:t>
      </w:r>
      <w:r>
        <w:rPr>
          <w:spacing w:val="-10"/>
        </w:rPr>
        <w:t xml:space="preserve"> </w:t>
      </w:r>
      <w:r>
        <w:t>December</w:t>
      </w:r>
      <w:r>
        <w:rPr>
          <w:spacing w:val="-14"/>
        </w:rPr>
        <w:t xml:space="preserve"> </w:t>
      </w:r>
      <w:r>
        <w:t>2021.</w:t>
      </w:r>
      <w:r>
        <w:rPr>
          <w:spacing w:val="-12"/>
        </w:rPr>
        <w:t xml:space="preserve"> </w:t>
      </w:r>
      <w:r>
        <w:t>The</w:t>
      </w:r>
      <w:r>
        <w:rPr>
          <w:spacing w:val="-14"/>
        </w:rPr>
        <w:t xml:space="preserve"> </w:t>
      </w:r>
      <w:r>
        <w:t>next</w:t>
      </w:r>
      <w:r>
        <w:rPr>
          <w:spacing w:val="-12"/>
        </w:rPr>
        <w:t xml:space="preserve"> </w:t>
      </w:r>
      <w:r>
        <w:t>steps</w:t>
      </w:r>
      <w:r>
        <w:rPr>
          <w:spacing w:val="-11"/>
        </w:rPr>
        <w:t xml:space="preserve"> </w:t>
      </w:r>
      <w:r>
        <w:t>is</w:t>
      </w:r>
      <w:r>
        <w:rPr>
          <w:spacing w:val="-11"/>
        </w:rPr>
        <w:t xml:space="preserve"> </w:t>
      </w:r>
      <w:r>
        <w:t>the</w:t>
      </w:r>
      <w:r>
        <w:rPr>
          <w:spacing w:val="-13"/>
        </w:rPr>
        <w:t xml:space="preserve"> </w:t>
      </w:r>
      <w:r>
        <w:rPr>
          <w:b/>
        </w:rPr>
        <w:t>adoption</w:t>
      </w:r>
      <w:r>
        <w:rPr>
          <w:b/>
          <w:spacing w:val="-11"/>
        </w:rPr>
        <w:t xml:space="preserve"> </w:t>
      </w:r>
      <w:r>
        <w:t>of</w:t>
      </w:r>
      <w:r>
        <w:rPr>
          <w:spacing w:val="-13"/>
        </w:rPr>
        <w:t xml:space="preserve"> </w:t>
      </w:r>
      <w:r>
        <w:t>two</w:t>
      </w:r>
      <w:r>
        <w:rPr>
          <w:spacing w:val="-13"/>
        </w:rPr>
        <w:t xml:space="preserve"> </w:t>
      </w:r>
      <w:r>
        <w:t>other</w:t>
      </w:r>
      <w:r>
        <w:rPr>
          <w:spacing w:val="-14"/>
        </w:rPr>
        <w:t xml:space="preserve"> </w:t>
      </w:r>
      <w:r>
        <w:t>important</w:t>
      </w:r>
      <w:r>
        <w:rPr>
          <w:spacing w:val="-12"/>
        </w:rPr>
        <w:t xml:space="preserve"> </w:t>
      </w:r>
      <w:r>
        <w:t>laws,</w:t>
      </w:r>
      <w:r>
        <w:rPr>
          <w:spacing w:val="-57"/>
        </w:rPr>
        <w:t xml:space="preserve"> </w:t>
      </w:r>
      <w:r>
        <w:rPr>
          <w:spacing w:val="-1"/>
        </w:rPr>
        <w:t>namely</w:t>
      </w:r>
      <w:r>
        <w:rPr>
          <w:spacing w:val="-17"/>
        </w:rPr>
        <w:t xml:space="preserve"> </w:t>
      </w:r>
      <w:r>
        <w:rPr>
          <w:spacing w:val="-1"/>
        </w:rPr>
        <w:t>the</w:t>
      </w:r>
      <w:r>
        <w:rPr>
          <w:spacing w:val="-12"/>
        </w:rPr>
        <w:t xml:space="preserve"> </w:t>
      </w:r>
      <w:r>
        <w:rPr>
          <w:b/>
          <w:spacing w:val="-1"/>
        </w:rPr>
        <w:t>Act</w:t>
      </w:r>
      <w:r>
        <w:rPr>
          <w:b/>
          <w:spacing w:val="-13"/>
        </w:rPr>
        <w:t xml:space="preserve"> </w:t>
      </w:r>
      <w:r>
        <w:rPr>
          <w:b/>
          <w:spacing w:val="-1"/>
        </w:rPr>
        <w:t>on</w:t>
      </w:r>
      <w:r>
        <w:rPr>
          <w:b/>
          <w:spacing w:val="-11"/>
        </w:rPr>
        <w:t xml:space="preserve"> </w:t>
      </w:r>
      <w:r>
        <w:rPr>
          <w:b/>
          <w:spacing w:val="-1"/>
        </w:rPr>
        <w:t>Amendments</w:t>
      </w:r>
      <w:r>
        <w:rPr>
          <w:b/>
          <w:spacing w:val="-13"/>
        </w:rPr>
        <w:t xml:space="preserve"> </w:t>
      </w:r>
      <w:r>
        <w:rPr>
          <w:b/>
        </w:rPr>
        <w:t>to</w:t>
      </w:r>
      <w:r>
        <w:rPr>
          <w:b/>
          <w:spacing w:val="-10"/>
        </w:rPr>
        <w:t xml:space="preserve"> </w:t>
      </w:r>
      <w:r>
        <w:rPr>
          <w:b/>
        </w:rPr>
        <w:t>the</w:t>
      </w:r>
      <w:r>
        <w:rPr>
          <w:b/>
          <w:spacing w:val="-11"/>
        </w:rPr>
        <w:t xml:space="preserve"> </w:t>
      </w:r>
      <w:r>
        <w:rPr>
          <w:b/>
        </w:rPr>
        <w:t>Labour</w:t>
      </w:r>
      <w:r>
        <w:rPr>
          <w:b/>
          <w:spacing w:val="-12"/>
        </w:rPr>
        <w:t xml:space="preserve"> </w:t>
      </w:r>
      <w:r>
        <w:rPr>
          <w:b/>
        </w:rPr>
        <w:t>Act</w:t>
      </w:r>
      <w:r>
        <w:t>,</w:t>
      </w:r>
      <w:r>
        <w:rPr>
          <w:spacing w:val="-12"/>
        </w:rPr>
        <w:t xml:space="preserve"> </w:t>
      </w:r>
      <w:r>
        <w:t>as</w:t>
      </w:r>
      <w:r>
        <w:rPr>
          <w:spacing w:val="-11"/>
        </w:rPr>
        <w:t xml:space="preserve"> </w:t>
      </w:r>
      <w:r>
        <w:t>a</w:t>
      </w:r>
      <w:r>
        <w:rPr>
          <w:spacing w:val="-10"/>
        </w:rPr>
        <w:t xml:space="preserve"> </w:t>
      </w:r>
      <w:r>
        <w:t>general</w:t>
      </w:r>
      <w:r>
        <w:rPr>
          <w:spacing w:val="-12"/>
        </w:rPr>
        <w:t xml:space="preserve"> </w:t>
      </w:r>
      <w:r>
        <w:t>regulation</w:t>
      </w:r>
      <w:r>
        <w:rPr>
          <w:spacing w:val="-9"/>
        </w:rPr>
        <w:t xml:space="preserve"> </w:t>
      </w:r>
      <w:r>
        <w:t>on</w:t>
      </w:r>
      <w:r>
        <w:rPr>
          <w:spacing w:val="-12"/>
        </w:rPr>
        <w:t xml:space="preserve"> </w:t>
      </w:r>
      <w:r>
        <w:t>labour</w:t>
      </w:r>
      <w:r>
        <w:rPr>
          <w:spacing w:val="-12"/>
        </w:rPr>
        <w:t xml:space="preserve"> </w:t>
      </w:r>
      <w:r>
        <w:t>relations</w:t>
      </w:r>
      <w:r>
        <w:rPr>
          <w:spacing w:val="-58"/>
        </w:rPr>
        <w:t xml:space="preserve"> </w:t>
      </w:r>
      <w:r>
        <w:t xml:space="preserve">and a completely new </w:t>
      </w:r>
      <w:r>
        <w:rPr>
          <w:b/>
        </w:rPr>
        <w:t>Act on Suppression of Undeclared Work</w:t>
      </w:r>
      <w:r>
        <w:t>. will be adopted by the end</w:t>
      </w:r>
      <w:r>
        <w:rPr>
          <w:spacing w:val="1"/>
        </w:rPr>
        <w:t xml:space="preserve"> </w:t>
      </w:r>
      <w:r>
        <w:t>of 2022.</w:t>
      </w:r>
    </w:p>
    <w:p w:rsidR="00A56FE9" w:rsidRDefault="00000000">
      <w:pPr>
        <w:pStyle w:val="Tijeloteksta"/>
        <w:spacing w:before="121"/>
        <w:ind w:right="279"/>
      </w:pPr>
      <w:r>
        <w:t>All the mentioned activities comply with SDG 8. Promote sustained, inclusive and sustainable</w:t>
      </w:r>
      <w:r>
        <w:rPr>
          <w:spacing w:val="-57"/>
        </w:rPr>
        <w:t xml:space="preserve"> </w:t>
      </w:r>
      <w:r>
        <w:t>economic growth, full</w:t>
      </w:r>
      <w:r>
        <w:rPr>
          <w:spacing w:val="-1"/>
        </w:rPr>
        <w:t xml:space="preserve"> </w:t>
      </w:r>
      <w:r>
        <w:t>and productive</w:t>
      </w:r>
      <w:r>
        <w:rPr>
          <w:spacing w:val="-1"/>
        </w:rPr>
        <w:t xml:space="preserve"> </w:t>
      </w:r>
      <w:r>
        <w:t>employment</w:t>
      </w:r>
      <w:r>
        <w:rPr>
          <w:spacing w:val="-1"/>
        </w:rPr>
        <w:t xml:space="preserve"> </w:t>
      </w:r>
      <w:r>
        <w:t>and decent work</w:t>
      </w:r>
      <w:r>
        <w:rPr>
          <w:spacing w:val="-1"/>
        </w:rPr>
        <w:t xml:space="preserve"> </w:t>
      </w:r>
      <w:r>
        <w:t>for</w:t>
      </w:r>
      <w:r>
        <w:rPr>
          <w:spacing w:val="1"/>
        </w:rPr>
        <w:t xml:space="preserve"> </w:t>
      </w:r>
      <w:r>
        <w:t>all.</w:t>
      </w:r>
    </w:p>
    <w:p w:rsidR="00A56FE9" w:rsidRDefault="00000000">
      <w:pPr>
        <w:pStyle w:val="Tijeloteksta"/>
        <w:spacing w:before="120"/>
        <w:ind w:right="278"/>
      </w:pPr>
      <w:r>
        <w:t>All</w:t>
      </w:r>
      <w:r>
        <w:rPr>
          <w:spacing w:val="-4"/>
        </w:rPr>
        <w:t xml:space="preserve"> </w:t>
      </w:r>
      <w:r>
        <w:t>three</w:t>
      </w:r>
      <w:r>
        <w:rPr>
          <w:spacing w:val="-5"/>
        </w:rPr>
        <w:t xml:space="preserve"> </w:t>
      </w:r>
      <w:r>
        <w:t>laws,</w:t>
      </w:r>
      <w:r>
        <w:rPr>
          <w:spacing w:val="-4"/>
        </w:rPr>
        <w:t xml:space="preserve"> </w:t>
      </w:r>
      <w:r>
        <w:t>in</w:t>
      </w:r>
      <w:r>
        <w:rPr>
          <w:spacing w:val="-3"/>
        </w:rPr>
        <w:t xml:space="preserve"> </w:t>
      </w:r>
      <w:r>
        <w:t>particular</w:t>
      </w:r>
      <w:r>
        <w:rPr>
          <w:spacing w:val="-5"/>
        </w:rPr>
        <w:t xml:space="preserve"> </w:t>
      </w:r>
      <w:r>
        <w:t>the</w:t>
      </w:r>
      <w:r>
        <w:rPr>
          <w:spacing w:val="-1"/>
        </w:rPr>
        <w:t xml:space="preserve"> </w:t>
      </w:r>
      <w:r>
        <w:t>Labour</w:t>
      </w:r>
      <w:r>
        <w:rPr>
          <w:spacing w:val="-4"/>
        </w:rPr>
        <w:t xml:space="preserve"> </w:t>
      </w:r>
      <w:r>
        <w:t>Act,</w:t>
      </w:r>
      <w:r>
        <w:rPr>
          <w:spacing w:val="-4"/>
        </w:rPr>
        <w:t xml:space="preserve"> </w:t>
      </w:r>
      <w:r>
        <w:t>facilitate</w:t>
      </w:r>
      <w:r>
        <w:rPr>
          <w:spacing w:val="-3"/>
        </w:rPr>
        <w:t xml:space="preserve"> </w:t>
      </w:r>
      <w:r>
        <w:t>implementation</w:t>
      </w:r>
      <w:r>
        <w:rPr>
          <w:spacing w:val="-3"/>
        </w:rPr>
        <w:t xml:space="preserve"> </w:t>
      </w:r>
      <w:r>
        <w:t>of</w:t>
      </w:r>
      <w:r>
        <w:rPr>
          <w:spacing w:val="-5"/>
        </w:rPr>
        <w:t xml:space="preserve"> </w:t>
      </w:r>
      <w:r>
        <w:t>the</w:t>
      </w:r>
      <w:r>
        <w:rPr>
          <w:spacing w:val="-2"/>
        </w:rPr>
        <w:t xml:space="preserve"> </w:t>
      </w:r>
      <w:r>
        <w:t>European</w:t>
      </w:r>
      <w:r>
        <w:rPr>
          <w:spacing w:val="-4"/>
        </w:rPr>
        <w:t xml:space="preserve"> </w:t>
      </w:r>
      <w:r>
        <w:t>Pillar</w:t>
      </w:r>
      <w:r>
        <w:rPr>
          <w:spacing w:val="-5"/>
        </w:rPr>
        <w:t xml:space="preserve"> </w:t>
      </w:r>
      <w:r>
        <w:t>of</w:t>
      </w:r>
      <w:r>
        <w:rPr>
          <w:spacing w:val="-58"/>
        </w:rPr>
        <w:t xml:space="preserve"> </w:t>
      </w:r>
      <w:r>
        <w:t>social rights, namely gender equality, secure and adaptable employment, wages, information</w:t>
      </w:r>
      <w:r>
        <w:rPr>
          <w:spacing w:val="1"/>
        </w:rPr>
        <w:t xml:space="preserve"> </w:t>
      </w:r>
      <w:r>
        <w:t>about</w:t>
      </w:r>
      <w:r>
        <w:rPr>
          <w:spacing w:val="-1"/>
        </w:rPr>
        <w:t xml:space="preserve"> </w:t>
      </w:r>
      <w:r>
        <w:t>employment</w:t>
      </w:r>
      <w:r>
        <w:rPr>
          <w:spacing w:val="2"/>
        </w:rPr>
        <w:t xml:space="preserve"> </w:t>
      </w:r>
      <w:r>
        <w:t>conditions</w:t>
      </w:r>
      <w:r>
        <w:rPr>
          <w:spacing w:val="-1"/>
        </w:rPr>
        <w:t xml:space="preserve"> </w:t>
      </w:r>
      <w:r>
        <w:t>and protection</w:t>
      </w:r>
      <w:r>
        <w:rPr>
          <w:spacing w:val="-1"/>
        </w:rPr>
        <w:t xml:space="preserve"> </w:t>
      </w:r>
      <w:r>
        <w:t>in case</w:t>
      </w:r>
      <w:r>
        <w:rPr>
          <w:spacing w:val="-2"/>
        </w:rPr>
        <w:t xml:space="preserve"> </w:t>
      </w:r>
      <w:r>
        <w:t>of dismissal, and</w:t>
      </w:r>
      <w:r>
        <w:rPr>
          <w:spacing w:val="-1"/>
        </w:rPr>
        <w:t xml:space="preserve"> </w:t>
      </w:r>
      <w:r>
        <w:t>work-life</w:t>
      </w:r>
      <w:r>
        <w:rPr>
          <w:spacing w:val="-2"/>
        </w:rPr>
        <w:t xml:space="preserve"> </w:t>
      </w:r>
      <w:r>
        <w:t>balance.</w:t>
      </w:r>
    </w:p>
    <w:p w:rsidR="00A56FE9" w:rsidRDefault="00A56FE9">
      <w:pPr>
        <w:sectPr w:rsidR="00A56FE9" w:rsidSect="00AB1E70">
          <w:pgSz w:w="11910" w:h="16840"/>
          <w:pgMar w:top="1320" w:right="1140" w:bottom="960" w:left="1280" w:header="0" w:footer="779" w:gutter="0"/>
          <w:cols w:space="720"/>
        </w:sectPr>
      </w:pPr>
    </w:p>
    <w:p w:rsidR="00A56FE9" w:rsidRDefault="00A56FE9">
      <w:pPr>
        <w:pStyle w:val="Tijeloteksta"/>
        <w:spacing w:before="4"/>
        <w:ind w:left="0"/>
        <w:jc w:val="left"/>
        <w:rPr>
          <w:sz w:val="13"/>
        </w:rPr>
      </w:pPr>
    </w:p>
    <w:p w:rsidR="00A56FE9" w:rsidRDefault="00CC1B9B">
      <w:pPr>
        <w:pStyle w:val="Naslov4"/>
        <w:spacing w:before="89"/>
      </w:pPr>
      <w:r>
        <w:rPr>
          <w:noProof/>
        </w:rPr>
        <mc:AlternateContent>
          <mc:Choice Requires="wps">
            <w:drawing>
              <wp:anchor distT="0" distB="0" distL="114300" distR="114300" simplePos="0" relativeHeight="15799808" behindDoc="0" locked="0" layoutInCell="1" allowOverlap="1">
                <wp:simplePos x="0" y="0"/>
                <wp:positionH relativeFrom="page">
                  <wp:posOffset>814070</wp:posOffset>
                </wp:positionH>
                <wp:positionV relativeFrom="paragraph">
                  <wp:posOffset>-97790</wp:posOffset>
                </wp:positionV>
                <wp:extent cx="18415" cy="417830"/>
                <wp:effectExtent l="0" t="0" r="0" b="0"/>
                <wp:wrapNone/>
                <wp:docPr id="1741139966"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F551C" id="Rectangle 129" o:spid="_x0000_s1026" style="position:absolute;margin-left:64.1pt;margin-top:-7.7pt;width:1.45pt;height:32.9pt;z-index:1579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" fillcolor="#da1f2c" stroked="f">
                <w10:wrap anchorx="page"/>
              </v:rect>
            </w:pict>
          </mc:Fallback>
        </mc:AlternateContent>
      </w:r>
      <w:r w:rsidR="00000000">
        <w:rPr>
          <w:color w:val="2C398A"/>
        </w:rPr>
        <w:t>Material</w:t>
      </w:r>
      <w:r w:rsidR="00000000">
        <w:rPr>
          <w:color w:val="2C398A"/>
          <w:spacing w:val="-2"/>
        </w:rPr>
        <w:t xml:space="preserve"> </w:t>
      </w:r>
      <w:r w:rsidR="00000000">
        <w:rPr>
          <w:color w:val="2C398A"/>
        </w:rPr>
        <w:t>and</w:t>
      </w:r>
      <w:r w:rsidR="00000000">
        <w:rPr>
          <w:color w:val="2C398A"/>
          <w:spacing w:val="-2"/>
        </w:rPr>
        <w:t xml:space="preserve"> </w:t>
      </w:r>
      <w:r w:rsidR="00000000">
        <w:rPr>
          <w:color w:val="2C398A"/>
        </w:rPr>
        <w:t>legal</w:t>
      </w:r>
      <w:r w:rsidR="00000000">
        <w:rPr>
          <w:color w:val="2C398A"/>
          <w:spacing w:val="-1"/>
        </w:rPr>
        <w:t xml:space="preserve"> </w:t>
      </w:r>
      <w:r w:rsidR="00000000">
        <w:rPr>
          <w:color w:val="2C398A"/>
        </w:rPr>
        <w:t>protection</w:t>
      </w:r>
      <w:r w:rsidR="00000000">
        <w:rPr>
          <w:color w:val="2C398A"/>
          <w:spacing w:val="-2"/>
        </w:rPr>
        <w:t xml:space="preserve"> </w:t>
      </w:r>
      <w:r w:rsidR="00000000">
        <w:rPr>
          <w:color w:val="2C398A"/>
        </w:rPr>
        <w:t>of</w:t>
      </w:r>
      <w:r w:rsidR="00000000">
        <w:rPr>
          <w:color w:val="2C398A"/>
          <w:spacing w:val="1"/>
        </w:rPr>
        <w:t xml:space="preserve"> </w:t>
      </w:r>
      <w:r w:rsidR="00000000">
        <w:rPr>
          <w:color w:val="2C398A"/>
        </w:rPr>
        <w:t>the</w:t>
      </w:r>
      <w:r w:rsidR="00000000">
        <w:rPr>
          <w:color w:val="2C398A"/>
          <w:spacing w:val="-1"/>
        </w:rPr>
        <w:t xml:space="preserve"> </w:t>
      </w:r>
      <w:r w:rsidR="00000000">
        <w:rPr>
          <w:color w:val="2C398A"/>
        </w:rPr>
        <w:t>unemployed</w:t>
      </w:r>
    </w:p>
    <w:p w:rsidR="00A56FE9" w:rsidRDefault="00000000">
      <w:pPr>
        <w:spacing w:before="231"/>
        <w:ind w:left="138" w:right="273"/>
        <w:jc w:val="both"/>
        <w:rPr>
          <w:i/>
          <w:sz w:val="24"/>
        </w:rPr>
      </w:pPr>
      <w:r>
        <w:rPr>
          <w:i/>
          <w:color w:val="2C398A"/>
          <w:sz w:val="24"/>
        </w:rPr>
        <w:t>2019.CSR2.2.</w:t>
      </w:r>
      <w:r>
        <w:rPr>
          <w:i/>
          <w:color w:val="2C398A"/>
          <w:spacing w:val="1"/>
          <w:sz w:val="24"/>
        </w:rPr>
        <w:t xml:space="preserve"> </w:t>
      </w:r>
      <w:r>
        <w:rPr>
          <w:i/>
          <w:color w:val="2C398A"/>
          <w:sz w:val="24"/>
        </w:rPr>
        <w:t>Consolidate</w:t>
      </w:r>
      <w:r>
        <w:rPr>
          <w:i/>
          <w:color w:val="2C398A"/>
          <w:spacing w:val="1"/>
          <w:sz w:val="24"/>
        </w:rPr>
        <w:t xml:space="preserve"> </w:t>
      </w:r>
      <w:r>
        <w:rPr>
          <w:i/>
          <w:color w:val="2C398A"/>
          <w:sz w:val="24"/>
        </w:rPr>
        <w:t>social</w:t>
      </w:r>
      <w:r>
        <w:rPr>
          <w:i/>
          <w:color w:val="2C398A"/>
          <w:spacing w:val="1"/>
          <w:sz w:val="24"/>
        </w:rPr>
        <w:t xml:space="preserve"> </w:t>
      </w:r>
      <w:r>
        <w:rPr>
          <w:i/>
          <w:color w:val="2C398A"/>
          <w:sz w:val="24"/>
        </w:rPr>
        <w:t>benefits</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improve</w:t>
      </w:r>
      <w:r>
        <w:rPr>
          <w:i/>
          <w:color w:val="2C398A"/>
          <w:spacing w:val="1"/>
          <w:sz w:val="24"/>
        </w:rPr>
        <w:t xml:space="preserve"> </w:t>
      </w:r>
      <w:r>
        <w:rPr>
          <w:i/>
          <w:color w:val="2C398A"/>
          <w:sz w:val="24"/>
        </w:rPr>
        <w:t>their</w:t>
      </w:r>
      <w:r>
        <w:rPr>
          <w:i/>
          <w:color w:val="2C398A"/>
          <w:spacing w:val="1"/>
          <w:sz w:val="24"/>
        </w:rPr>
        <w:t xml:space="preserve"> </w:t>
      </w:r>
      <w:r>
        <w:rPr>
          <w:i/>
          <w:color w:val="2C398A"/>
          <w:sz w:val="24"/>
        </w:rPr>
        <w:t>capacity</w:t>
      </w:r>
      <w:r>
        <w:rPr>
          <w:i/>
          <w:color w:val="2C398A"/>
          <w:spacing w:val="1"/>
          <w:sz w:val="24"/>
        </w:rPr>
        <w:t xml:space="preserve"> </w:t>
      </w:r>
      <w:r>
        <w:rPr>
          <w:i/>
          <w:color w:val="2C398A"/>
          <w:sz w:val="24"/>
        </w:rPr>
        <w:t>to</w:t>
      </w:r>
      <w:r>
        <w:rPr>
          <w:i/>
          <w:color w:val="2C398A"/>
          <w:spacing w:val="1"/>
          <w:sz w:val="24"/>
        </w:rPr>
        <w:t xml:space="preserve"> </w:t>
      </w:r>
      <w:r>
        <w:rPr>
          <w:i/>
          <w:color w:val="2C398A"/>
          <w:sz w:val="24"/>
        </w:rPr>
        <w:t>reduce</w:t>
      </w:r>
      <w:r>
        <w:rPr>
          <w:i/>
          <w:color w:val="2C398A"/>
          <w:spacing w:val="1"/>
          <w:sz w:val="24"/>
        </w:rPr>
        <w:t xml:space="preserve"> </w:t>
      </w:r>
      <w:r>
        <w:rPr>
          <w:i/>
          <w:color w:val="2C398A"/>
          <w:sz w:val="24"/>
        </w:rPr>
        <w:t>poverty;</w:t>
      </w:r>
      <w:r>
        <w:rPr>
          <w:i/>
          <w:color w:val="2C398A"/>
          <w:spacing w:val="-57"/>
          <w:sz w:val="24"/>
        </w:rPr>
        <w:t xml:space="preserve"> </w:t>
      </w:r>
      <w:r>
        <w:rPr>
          <w:i/>
          <w:color w:val="2C398A"/>
          <w:sz w:val="24"/>
        </w:rPr>
        <w:t>2020.CSR2.1. Strengthen labour market measures and institutions and improve the adequacy</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unemployment benefits and minimum</w:t>
      </w:r>
      <w:r>
        <w:rPr>
          <w:i/>
          <w:color w:val="2C398A"/>
          <w:spacing w:val="-1"/>
          <w:sz w:val="24"/>
        </w:rPr>
        <w:t xml:space="preserve"> </w:t>
      </w:r>
      <w:r>
        <w:rPr>
          <w:i/>
          <w:color w:val="2C398A"/>
          <w:sz w:val="24"/>
        </w:rPr>
        <w:t>income</w:t>
      </w:r>
      <w:r>
        <w:rPr>
          <w:i/>
          <w:color w:val="2C398A"/>
          <w:spacing w:val="-1"/>
          <w:sz w:val="24"/>
        </w:rPr>
        <w:t xml:space="preserve"> </w:t>
      </w:r>
      <w:r>
        <w:rPr>
          <w:i/>
          <w:color w:val="2C398A"/>
          <w:sz w:val="24"/>
        </w:rPr>
        <w:t>schemes</w:t>
      </w:r>
    </w:p>
    <w:p w:rsidR="00A56FE9" w:rsidRDefault="00A56FE9">
      <w:pPr>
        <w:pStyle w:val="Tijeloteksta"/>
        <w:spacing w:before="3"/>
        <w:ind w:left="0"/>
        <w:jc w:val="left"/>
        <w:rPr>
          <w:i/>
          <w:sz w:val="21"/>
        </w:rPr>
      </w:pPr>
    </w:p>
    <w:p w:rsidR="00A56FE9" w:rsidRDefault="00000000">
      <w:pPr>
        <w:pStyle w:val="Naslov5"/>
        <w:spacing w:after="23"/>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250670433"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497137925" name="Rectangle 128"/>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D8707A9" id="Group 127"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">
                <v:rect id="Rectangle 128"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" fillcolor="#2c398a" stroked="f"/>
                <w10:anchorlock/>
              </v:group>
            </w:pict>
          </mc:Fallback>
        </mc:AlternateContent>
      </w:r>
    </w:p>
    <w:p w:rsidR="00A56FE9" w:rsidRDefault="00000000">
      <w:pPr>
        <w:pStyle w:val="Tijeloteksta"/>
        <w:spacing w:before="154"/>
        <w:ind w:right="279"/>
      </w:pPr>
      <w:r>
        <w:t>The</w:t>
      </w:r>
      <w:r>
        <w:rPr>
          <w:spacing w:val="-12"/>
        </w:rPr>
        <w:t xml:space="preserve"> </w:t>
      </w:r>
      <w:r>
        <w:t>fundamental</w:t>
      </w:r>
      <w:r>
        <w:rPr>
          <w:spacing w:val="-11"/>
        </w:rPr>
        <w:t xml:space="preserve"> </w:t>
      </w:r>
      <w:r>
        <w:t>right</w:t>
      </w:r>
      <w:r>
        <w:rPr>
          <w:spacing w:val="-10"/>
        </w:rPr>
        <w:t xml:space="preserve"> </w:t>
      </w:r>
      <w:r>
        <w:t>exercised</w:t>
      </w:r>
      <w:r>
        <w:rPr>
          <w:spacing w:val="-11"/>
        </w:rPr>
        <w:t xml:space="preserve"> </w:t>
      </w:r>
      <w:r>
        <w:t>by</w:t>
      </w:r>
      <w:r>
        <w:rPr>
          <w:spacing w:val="-12"/>
        </w:rPr>
        <w:t xml:space="preserve"> </w:t>
      </w:r>
      <w:r>
        <w:t>an</w:t>
      </w:r>
      <w:r>
        <w:rPr>
          <w:spacing w:val="-11"/>
        </w:rPr>
        <w:t xml:space="preserve"> </w:t>
      </w:r>
      <w:r>
        <w:t>unemployed</w:t>
      </w:r>
      <w:r>
        <w:rPr>
          <w:spacing w:val="-10"/>
        </w:rPr>
        <w:t xml:space="preserve"> </w:t>
      </w:r>
      <w:r>
        <w:t>person</w:t>
      </w:r>
      <w:r>
        <w:rPr>
          <w:spacing w:val="-12"/>
        </w:rPr>
        <w:t xml:space="preserve"> </w:t>
      </w:r>
      <w:r>
        <w:t>after</w:t>
      </w:r>
      <w:r>
        <w:rPr>
          <w:spacing w:val="-12"/>
        </w:rPr>
        <w:t xml:space="preserve"> </w:t>
      </w:r>
      <w:r>
        <w:t>the</w:t>
      </w:r>
      <w:r>
        <w:rPr>
          <w:spacing w:val="-11"/>
        </w:rPr>
        <w:t xml:space="preserve"> </w:t>
      </w:r>
      <w:r>
        <w:t>termination</w:t>
      </w:r>
      <w:r>
        <w:rPr>
          <w:spacing w:val="-11"/>
        </w:rPr>
        <w:t xml:space="preserve"> </w:t>
      </w:r>
      <w:r>
        <w:t>of</w:t>
      </w:r>
      <w:r>
        <w:rPr>
          <w:spacing w:val="-11"/>
        </w:rPr>
        <w:t xml:space="preserve"> </w:t>
      </w:r>
      <w:r>
        <w:t>employment</w:t>
      </w:r>
      <w:r>
        <w:rPr>
          <w:spacing w:val="-58"/>
        </w:rPr>
        <w:t xml:space="preserve"> </w:t>
      </w:r>
      <w:r>
        <w:t>or self-employment is the right to receive financial compensation during unemployment. The</w:t>
      </w:r>
      <w:r>
        <w:rPr>
          <w:spacing w:val="1"/>
        </w:rPr>
        <w:t xml:space="preserve"> </w:t>
      </w:r>
      <w:r>
        <w:t>cash</w:t>
      </w:r>
      <w:r>
        <w:rPr>
          <w:spacing w:val="1"/>
        </w:rPr>
        <w:t xml:space="preserve"> </w:t>
      </w:r>
      <w:r>
        <w:t>benefit</w:t>
      </w:r>
      <w:r>
        <w:rPr>
          <w:spacing w:val="1"/>
        </w:rPr>
        <w:t xml:space="preserve"> </w:t>
      </w:r>
      <w:r>
        <w:t>provides</w:t>
      </w:r>
      <w:r>
        <w:rPr>
          <w:spacing w:val="1"/>
        </w:rPr>
        <w:t xml:space="preserve"> </w:t>
      </w:r>
      <w:r>
        <w:t>tangible</w:t>
      </w:r>
      <w:r>
        <w:rPr>
          <w:spacing w:val="1"/>
        </w:rPr>
        <w:t xml:space="preserve"> </w:t>
      </w:r>
      <w:r>
        <w:t>legal</w:t>
      </w:r>
      <w:r>
        <w:rPr>
          <w:spacing w:val="1"/>
        </w:rPr>
        <w:t xml:space="preserve"> </w:t>
      </w:r>
      <w:r>
        <w:t>protection</w:t>
      </w:r>
      <w:r>
        <w:rPr>
          <w:spacing w:val="1"/>
        </w:rPr>
        <w:t xml:space="preserve"> </w:t>
      </w:r>
      <w:r>
        <w:t>to</w:t>
      </w:r>
      <w:r>
        <w:rPr>
          <w:spacing w:val="1"/>
        </w:rPr>
        <w:t xml:space="preserve"> </w:t>
      </w:r>
      <w:r>
        <w:t>those</w:t>
      </w:r>
      <w:r>
        <w:rPr>
          <w:spacing w:val="1"/>
        </w:rPr>
        <w:t xml:space="preserve"> </w:t>
      </w:r>
      <w:r>
        <w:t>who</w:t>
      </w:r>
      <w:r>
        <w:rPr>
          <w:spacing w:val="1"/>
        </w:rPr>
        <w:t xml:space="preserve"> </w:t>
      </w:r>
      <w:r>
        <w:t>have</w:t>
      </w:r>
      <w:r>
        <w:rPr>
          <w:spacing w:val="1"/>
        </w:rPr>
        <w:t xml:space="preserve"> </w:t>
      </w:r>
      <w:r>
        <w:t>become</w:t>
      </w:r>
      <w:r>
        <w:rPr>
          <w:spacing w:val="1"/>
        </w:rPr>
        <w:t xml:space="preserve"> </w:t>
      </w:r>
      <w:r>
        <w:t>unemployed</w:t>
      </w:r>
      <w:r>
        <w:rPr>
          <w:spacing w:val="1"/>
        </w:rPr>
        <w:t xml:space="preserve"> </w:t>
      </w:r>
      <w:r>
        <w:t>involuntarily</w:t>
      </w:r>
      <w:r>
        <w:rPr>
          <w:spacing w:val="-6"/>
        </w:rPr>
        <w:t xml:space="preserve"> </w:t>
      </w:r>
      <w:r>
        <w:t>or through</w:t>
      </w:r>
      <w:r>
        <w:rPr>
          <w:spacing w:val="2"/>
        </w:rPr>
        <w:t xml:space="preserve"> </w:t>
      </w:r>
      <w:r>
        <w:t>no fault of their own.</w:t>
      </w:r>
    </w:p>
    <w:p w:rsidR="00A56FE9" w:rsidRDefault="00000000">
      <w:pPr>
        <w:pStyle w:val="Tijeloteksta"/>
        <w:spacing w:before="121"/>
        <w:ind w:right="273"/>
      </w:pPr>
      <w:r>
        <w:t>The</w:t>
      </w:r>
      <w:r>
        <w:rPr>
          <w:spacing w:val="1"/>
        </w:rPr>
        <w:t xml:space="preserve"> </w:t>
      </w:r>
      <w:r>
        <w:t>duration</w:t>
      </w:r>
      <w:r>
        <w:rPr>
          <w:spacing w:val="1"/>
        </w:rPr>
        <w:t xml:space="preserve"> </w:t>
      </w:r>
      <w:r>
        <w:t>of</w:t>
      </w:r>
      <w:r>
        <w:rPr>
          <w:spacing w:val="1"/>
        </w:rPr>
        <w:t xml:space="preserve"> </w:t>
      </w:r>
      <w:r>
        <w:t>the</w:t>
      </w:r>
      <w:r>
        <w:rPr>
          <w:spacing w:val="1"/>
        </w:rPr>
        <w:t xml:space="preserve"> </w:t>
      </w:r>
      <w:r>
        <w:t>cash</w:t>
      </w:r>
      <w:r>
        <w:rPr>
          <w:spacing w:val="1"/>
        </w:rPr>
        <w:t xml:space="preserve"> </w:t>
      </w:r>
      <w:r>
        <w:t>benefit</w:t>
      </w:r>
      <w:r>
        <w:rPr>
          <w:spacing w:val="1"/>
        </w:rPr>
        <w:t xml:space="preserve"> </w:t>
      </w:r>
      <w:r>
        <w:t>depends</w:t>
      </w:r>
      <w:r>
        <w:rPr>
          <w:spacing w:val="1"/>
        </w:rPr>
        <w:t xml:space="preserve"> </w:t>
      </w:r>
      <w:r>
        <w:t>on</w:t>
      </w:r>
      <w:r>
        <w:rPr>
          <w:spacing w:val="1"/>
        </w:rPr>
        <w:t xml:space="preserve"> </w:t>
      </w:r>
      <w:r>
        <w:t>the</w:t>
      </w:r>
      <w:r>
        <w:rPr>
          <w:spacing w:val="1"/>
        </w:rPr>
        <w:t xml:space="preserve"> </w:t>
      </w:r>
      <w:r>
        <w:t>duration</w:t>
      </w:r>
      <w:r>
        <w:rPr>
          <w:spacing w:val="1"/>
        </w:rPr>
        <w:t xml:space="preserve"> </w:t>
      </w:r>
      <w:r>
        <w:t>of</w:t>
      </w:r>
      <w:r>
        <w:rPr>
          <w:spacing w:val="1"/>
        </w:rPr>
        <w:t xml:space="preserve"> </w:t>
      </w:r>
      <w:r>
        <w:t>previous</w:t>
      </w:r>
      <w:r>
        <w:rPr>
          <w:spacing w:val="1"/>
        </w:rPr>
        <w:t xml:space="preserve"> </w:t>
      </w:r>
      <w:r>
        <w:t>employment/self-</w:t>
      </w:r>
      <w:r>
        <w:rPr>
          <w:spacing w:val="-57"/>
        </w:rPr>
        <w:t xml:space="preserve"> </w:t>
      </w:r>
      <w:r>
        <w:t>employment and covers from 90 to 450 days. The basic condition for acquiring the right to</w:t>
      </w:r>
      <w:r>
        <w:rPr>
          <w:spacing w:val="1"/>
        </w:rPr>
        <w:t xml:space="preserve"> </w:t>
      </w:r>
      <w:r>
        <w:t>financial</w:t>
      </w:r>
      <w:r>
        <w:rPr>
          <w:spacing w:val="-9"/>
        </w:rPr>
        <w:t xml:space="preserve"> </w:t>
      </w:r>
      <w:r>
        <w:t>compensation</w:t>
      </w:r>
      <w:r>
        <w:rPr>
          <w:spacing w:val="-9"/>
        </w:rPr>
        <w:t xml:space="preserve"> </w:t>
      </w:r>
      <w:r>
        <w:t>is</w:t>
      </w:r>
      <w:r>
        <w:rPr>
          <w:spacing w:val="-8"/>
        </w:rPr>
        <w:t xml:space="preserve"> </w:t>
      </w:r>
      <w:r>
        <w:t>9</w:t>
      </w:r>
      <w:r>
        <w:rPr>
          <w:spacing w:val="-9"/>
        </w:rPr>
        <w:t xml:space="preserve"> </w:t>
      </w:r>
      <w:r>
        <w:t>months</w:t>
      </w:r>
      <w:r>
        <w:rPr>
          <w:spacing w:val="-8"/>
        </w:rPr>
        <w:t xml:space="preserve"> </w:t>
      </w:r>
      <w:r>
        <w:t>of</w:t>
      </w:r>
      <w:r>
        <w:rPr>
          <w:spacing w:val="-9"/>
        </w:rPr>
        <w:t xml:space="preserve"> </w:t>
      </w:r>
      <w:r>
        <w:t>employment</w:t>
      </w:r>
      <w:r>
        <w:rPr>
          <w:spacing w:val="-7"/>
        </w:rPr>
        <w:t xml:space="preserve"> </w:t>
      </w:r>
      <w:r>
        <w:t>in</w:t>
      </w:r>
      <w:r>
        <w:rPr>
          <w:spacing w:val="-8"/>
        </w:rPr>
        <w:t xml:space="preserve"> </w:t>
      </w:r>
      <w:r>
        <w:t>the</w:t>
      </w:r>
      <w:r>
        <w:rPr>
          <w:spacing w:val="-9"/>
        </w:rPr>
        <w:t xml:space="preserve"> </w:t>
      </w:r>
      <w:r>
        <w:t>last</w:t>
      </w:r>
      <w:r>
        <w:rPr>
          <w:spacing w:val="-8"/>
        </w:rPr>
        <w:t xml:space="preserve"> </w:t>
      </w:r>
      <w:r>
        <w:t>24</w:t>
      </w:r>
      <w:r>
        <w:rPr>
          <w:spacing w:val="-9"/>
        </w:rPr>
        <w:t xml:space="preserve"> </w:t>
      </w:r>
      <w:r>
        <w:t>months</w:t>
      </w:r>
      <w:r>
        <w:rPr>
          <w:spacing w:val="-8"/>
        </w:rPr>
        <w:t xml:space="preserve"> </w:t>
      </w:r>
      <w:r>
        <w:t>before</w:t>
      </w:r>
      <w:r>
        <w:rPr>
          <w:spacing w:val="-10"/>
        </w:rPr>
        <w:t xml:space="preserve"> </w:t>
      </w:r>
      <w:r>
        <w:t>the</w:t>
      </w:r>
      <w:r>
        <w:rPr>
          <w:spacing w:val="-9"/>
        </w:rPr>
        <w:t xml:space="preserve"> </w:t>
      </w:r>
      <w:r>
        <w:t>termination</w:t>
      </w:r>
      <w:r>
        <w:rPr>
          <w:spacing w:val="-58"/>
        </w:rPr>
        <w:t xml:space="preserve"> </w:t>
      </w:r>
      <w:r>
        <w:t>of</w:t>
      </w:r>
      <w:r>
        <w:rPr>
          <w:spacing w:val="-1"/>
        </w:rPr>
        <w:t xml:space="preserve"> </w:t>
      </w:r>
      <w:r>
        <w:t>employment or self-employment.</w:t>
      </w:r>
    </w:p>
    <w:p w:rsidR="00A56FE9" w:rsidRDefault="00000000">
      <w:pPr>
        <w:pStyle w:val="Tijeloteksta"/>
        <w:spacing w:before="120"/>
        <w:ind w:right="274"/>
      </w:pPr>
      <w:r>
        <w:t>The amount of the monetary compensation for the first 90 days of use is 60% and 30% of the</w:t>
      </w:r>
      <w:r>
        <w:rPr>
          <w:spacing w:val="1"/>
        </w:rPr>
        <w:t xml:space="preserve"> </w:t>
      </w:r>
      <w:r>
        <w:t>base wage for the remaining time. The maximum amount of monetary compensation does not</w:t>
      </w:r>
      <w:r>
        <w:rPr>
          <w:spacing w:val="1"/>
        </w:rPr>
        <w:t xml:space="preserve"> </w:t>
      </w:r>
      <w:r>
        <w:t>exceed 70% for the first 90 days of use, and for the remaining time higher than 35% of the</w:t>
      </w:r>
      <w:r>
        <w:rPr>
          <w:spacing w:val="1"/>
        </w:rPr>
        <w:t xml:space="preserve"> </w:t>
      </w:r>
      <w:r>
        <w:t>average net salary paid per employee in legal entities of the Republic of Croatia measured in</w:t>
      </w:r>
      <w:r>
        <w:rPr>
          <w:spacing w:val="1"/>
        </w:rPr>
        <w:t xml:space="preserve"> </w:t>
      </w:r>
      <w:r>
        <w:t>the previous year based on the latest officially published data. The minimum amount of</w:t>
      </w:r>
      <w:r>
        <w:rPr>
          <w:spacing w:val="1"/>
        </w:rPr>
        <w:t xml:space="preserve"> </w:t>
      </w:r>
      <w:r>
        <w:t>monetary compensation cannot be less than 50% of the minimum wage, less for contributions</w:t>
      </w:r>
      <w:r>
        <w:rPr>
          <w:spacing w:val="1"/>
        </w:rPr>
        <w:t xml:space="preserve"> </w:t>
      </w:r>
      <w:r>
        <w:t>for</w:t>
      </w:r>
      <w:r>
        <w:rPr>
          <w:spacing w:val="-2"/>
        </w:rPr>
        <w:t xml:space="preserve"> </w:t>
      </w:r>
      <w:r>
        <w:t>compulsory</w:t>
      </w:r>
      <w:r>
        <w:rPr>
          <w:spacing w:val="-5"/>
        </w:rPr>
        <w:t xml:space="preserve"> </w:t>
      </w:r>
      <w:r>
        <w:t>insurance</w:t>
      </w:r>
      <w:r>
        <w:rPr>
          <w:spacing w:val="1"/>
        </w:rPr>
        <w:t xml:space="preserve"> </w:t>
      </w:r>
      <w:r>
        <w:t>(in 2021, HRK</w:t>
      </w:r>
      <w:r>
        <w:rPr>
          <w:spacing w:val="-1"/>
        </w:rPr>
        <w:t xml:space="preserve"> </w:t>
      </w:r>
      <w:r>
        <w:t>2,482.55).</w:t>
      </w:r>
    </w:p>
    <w:p w:rsidR="00A56FE9" w:rsidRDefault="00000000">
      <w:pPr>
        <w:pStyle w:val="Tijeloteksta"/>
        <w:spacing w:before="120"/>
        <w:ind w:right="274"/>
      </w:pPr>
      <w:r>
        <w:t>The base amount for determining financial compensation for a person whose employment has</w:t>
      </w:r>
      <w:r>
        <w:rPr>
          <w:spacing w:val="1"/>
        </w:rPr>
        <w:t xml:space="preserve"> </w:t>
      </w:r>
      <w:r>
        <w:t>been terminated is the average gross salary earned in the three-month period preceding the</w:t>
      </w:r>
      <w:r>
        <w:rPr>
          <w:spacing w:val="1"/>
        </w:rPr>
        <w:t xml:space="preserve"> </w:t>
      </w:r>
      <w:r>
        <w:t>termination</w:t>
      </w:r>
      <w:r>
        <w:rPr>
          <w:spacing w:val="1"/>
        </w:rPr>
        <w:t xml:space="preserve"> </w:t>
      </w:r>
      <w:r>
        <w:t>of</w:t>
      </w:r>
      <w:r>
        <w:rPr>
          <w:spacing w:val="1"/>
        </w:rPr>
        <w:t xml:space="preserve"> </w:t>
      </w:r>
      <w:r>
        <w:t>employment</w:t>
      </w:r>
      <w:r>
        <w:rPr>
          <w:spacing w:val="1"/>
        </w:rPr>
        <w:t xml:space="preserve"> </w:t>
      </w:r>
      <w:r>
        <w:t>or</w:t>
      </w:r>
      <w:r>
        <w:rPr>
          <w:spacing w:val="1"/>
        </w:rPr>
        <w:t xml:space="preserve"> </w:t>
      </w:r>
      <w:r>
        <w:t>service.</w:t>
      </w:r>
      <w:r>
        <w:rPr>
          <w:spacing w:val="1"/>
        </w:rPr>
        <w:t xml:space="preserve"> </w:t>
      </w:r>
      <w:r>
        <w:t>The</w:t>
      </w:r>
      <w:r>
        <w:rPr>
          <w:spacing w:val="1"/>
        </w:rPr>
        <w:t xml:space="preserve"> </w:t>
      </w:r>
      <w:r>
        <w:t>base</w:t>
      </w:r>
      <w:r>
        <w:rPr>
          <w:spacing w:val="1"/>
        </w:rPr>
        <w:t xml:space="preserve"> </w:t>
      </w:r>
      <w:r>
        <w:t>amount</w:t>
      </w:r>
      <w:r>
        <w:rPr>
          <w:spacing w:val="1"/>
        </w:rPr>
        <w:t xml:space="preserve"> </w:t>
      </w:r>
      <w:r>
        <w:t>for</w:t>
      </w:r>
      <w:r>
        <w:rPr>
          <w:spacing w:val="1"/>
        </w:rPr>
        <w:t xml:space="preserve"> </w:t>
      </w:r>
      <w:r>
        <w:t>determining</w:t>
      </w:r>
      <w:r>
        <w:rPr>
          <w:spacing w:val="1"/>
        </w:rPr>
        <w:t xml:space="preserve"> </w:t>
      </w:r>
      <w:r>
        <w:t>financial</w:t>
      </w:r>
      <w:r>
        <w:rPr>
          <w:spacing w:val="-57"/>
        </w:rPr>
        <w:t xml:space="preserve"> </w:t>
      </w:r>
      <w:r>
        <w:t>compensation</w:t>
      </w:r>
      <w:r>
        <w:rPr>
          <w:spacing w:val="1"/>
        </w:rPr>
        <w:t xml:space="preserve"> </w:t>
      </w:r>
      <w:r>
        <w:t>for</w:t>
      </w:r>
      <w:r>
        <w:rPr>
          <w:spacing w:val="1"/>
        </w:rPr>
        <w:t xml:space="preserve"> </w:t>
      </w:r>
      <w:r>
        <w:t>a</w:t>
      </w:r>
      <w:r>
        <w:rPr>
          <w:spacing w:val="1"/>
        </w:rPr>
        <w:t xml:space="preserve"> </w:t>
      </w:r>
      <w:r>
        <w:t>self-employed</w:t>
      </w:r>
      <w:r>
        <w:rPr>
          <w:spacing w:val="1"/>
        </w:rPr>
        <w:t xml:space="preserve"> </w:t>
      </w:r>
      <w:r>
        <w:t>person</w:t>
      </w:r>
      <w:r>
        <w:rPr>
          <w:spacing w:val="1"/>
        </w:rPr>
        <w:t xml:space="preserve"> </w:t>
      </w:r>
      <w:r>
        <w:t>is</w:t>
      </w:r>
      <w:r>
        <w:rPr>
          <w:spacing w:val="1"/>
        </w:rPr>
        <w:t xml:space="preserve"> </w:t>
      </w:r>
      <w:r>
        <w:t>the</w:t>
      </w:r>
      <w:r>
        <w:rPr>
          <w:spacing w:val="1"/>
        </w:rPr>
        <w:t xml:space="preserve"> </w:t>
      </w:r>
      <w:r>
        <w:t>average</w:t>
      </w:r>
      <w:r>
        <w:rPr>
          <w:spacing w:val="1"/>
        </w:rPr>
        <w:t xml:space="preserve"> </w:t>
      </w:r>
      <w:r>
        <w:t>of</w:t>
      </w:r>
      <w:r>
        <w:rPr>
          <w:spacing w:val="1"/>
        </w:rPr>
        <w:t xml:space="preserve"> </w:t>
      </w:r>
      <w:r>
        <w:t>the</w:t>
      </w:r>
      <w:r>
        <w:rPr>
          <w:spacing w:val="1"/>
        </w:rPr>
        <w:t xml:space="preserve"> </w:t>
      </w:r>
      <w:r>
        <w:t>base</w:t>
      </w:r>
      <w:r>
        <w:rPr>
          <w:spacing w:val="1"/>
        </w:rPr>
        <w:t xml:space="preserve"> </w:t>
      </w:r>
      <w:r>
        <w:t>amount</w:t>
      </w:r>
      <w:r>
        <w:rPr>
          <w:spacing w:val="1"/>
        </w:rPr>
        <w:t xml:space="preserve"> </w:t>
      </w:r>
      <w:r>
        <w:t>for</w:t>
      </w:r>
      <w:r>
        <w:rPr>
          <w:spacing w:val="1"/>
        </w:rPr>
        <w:t xml:space="preserve"> </w:t>
      </w:r>
      <w:r>
        <w:t>which</w:t>
      </w:r>
      <w:r>
        <w:rPr>
          <w:spacing w:val="1"/>
        </w:rPr>
        <w:t xml:space="preserve"> </w:t>
      </w:r>
      <w:r>
        <w:t>contributions for compulsory insurance were calculated and paid, in the three-month period</w:t>
      </w:r>
      <w:r>
        <w:rPr>
          <w:spacing w:val="1"/>
        </w:rPr>
        <w:t xml:space="preserve"> </w:t>
      </w:r>
      <w:r>
        <w:t>preceding the termination of self-employment. If the base amount cannot be determined in the</w:t>
      </w:r>
      <w:r>
        <w:rPr>
          <w:spacing w:val="-57"/>
        </w:rPr>
        <w:t xml:space="preserve"> </w:t>
      </w:r>
      <w:r>
        <w:t>manner</w:t>
      </w:r>
      <w:r>
        <w:rPr>
          <w:spacing w:val="-1"/>
        </w:rPr>
        <w:t xml:space="preserve"> </w:t>
      </w:r>
      <w:r>
        <w:t>described, it is</w:t>
      </w:r>
      <w:r>
        <w:rPr>
          <w:spacing w:val="-1"/>
        </w:rPr>
        <w:t xml:space="preserve"> </w:t>
      </w:r>
      <w:r>
        <w:t>determined in line with</w:t>
      </w:r>
      <w:r>
        <w:rPr>
          <w:spacing w:val="-1"/>
        </w:rPr>
        <w:t xml:space="preserve"> </w:t>
      </w:r>
      <w:r>
        <w:t>the minimum wage.</w:t>
      </w:r>
    </w:p>
    <w:p w:rsidR="00A56FE9" w:rsidRDefault="00000000">
      <w:pPr>
        <w:pStyle w:val="Tijeloteksta"/>
        <w:spacing w:before="118"/>
        <w:ind w:right="282"/>
      </w:pPr>
      <w:r>
        <w:t>The highest cash compensation in 2021 was HRK 4,734.10, and the average cash benefit paid</w:t>
      </w:r>
      <w:r>
        <w:rPr>
          <w:spacing w:val="1"/>
        </w:rPr>
        <w:t xml:space="preserve"> </w:t>
      </w:r>
      <w:r>
        <w:t>was</w:t>
      </w:r>
      <w:r>
        <w:rPr>
          <w:spacing w:val="-1"/>
        </w:rPr>
        <w:t xml:space="preserve"> </w:t>
      </w:r>
      <w:r>
        <w:t>HRK 2,560.22.</w:t>
      </w:r>
    </w:p>
    <w:p w:rsidR="00A56FE9" w:rsidRDefault="00000000">
      <w:pPr>
        <w:pStyle w:val="Tijeloteksta"/>
        <w:spacing w:before="120"/>
        <w:ind w:right="273"/>
      </w:pPr>
      <w:r>
        <w:t>The average number of beneficiaries of unemployment benefits in 2021 was 27,044. The cash</w:t>
      </w:r>
      <w:r>
        <w:rPr>
          <w:spacing w:val="1"/>
        </w:rPr>
        <w:t xml:space="preserve"> </w:t>
      </w:r>
      <w:r>
        <w:t>beneficiaries</w:t>
      </w:r>
      <w:r>
        <w:rPr>
          <w:spacing w:val="-5"/>
        </w:rPr>
        <w:t xml:space="preserve"> </w:t>
      </w:r>
      <w:r>
        <w:t>are</w:t>
      </w:r>
      <w:r>
        <w:rPr>
          <w:spacing w:val="-7"/>
        </w:rPr>
        <w:t xml:space="preserve"> </w:t>
      </w:r>
      <w:r>
        <w:t>dominated</w:t>
      </w:r>
      <w:r>
        <w:rPr>
          <w:spacing w:val="-7"/>
        </w:rPr>
        <w:t xml:space="preserve"> </w:t>
      </w:r>
      <w:r>
        <w:t>by</w:t>
      </w:r>
      <w:r>
        <w:rPr>
          <w:spacing w:val="-12"/>
        </w:rPr>
        <w:t xml:space="preserve"> </w:t>
      </w:r>
      <w:r>
        <w:t>women</w:t>
      </w:r>
      <w:r>
        <w:rPr>
          <w:spacing w:val="-8"/>
        </w:rPr>
        <w:t xml:space="preserve"> </w:t>
      </w:r>
      <w:r>
        <w:t>(58.1%),</w:t>
      </w:r>
      <w:r>
        <w:rPr>
          <w:spacing w:val="-5"/>
        </w:rPr>
        <w:t xml:space="preserve"> </w:t>
      </w:r>
      <w:r>
        <w:t>followed</w:t>
      </w:r>
      <w:r>
        <w:rPr>
          <w:spacing w:val="-8"/>
        </w:rPr>
        <w:t xml:space="preserve"> </w:t>
      </w:r>
      <w:r>
        <w:t>by</w:t>
      </w:r>
      <w:r>
        <w:rPr>
          <w:spacing w:val="-12"/>
        </w:rPr>
        <w:t xml:space="preserve"> </w:t>
      </w:r>
      <w:r>
        <w:t>middle-aged</w:t>
      </w:r>
      <w:r>
        <w:rPr>
          <w:spacing w:val="-7"/>
        </w:rPr>
        <w:t xml:space="preserve"> </w:t>
      </w:r>
      <w:r>
        <w:t>people</w:t>
      </w:r>
      <w:r>
        <w:rPr>
          <w:spacing w:val="-8"/>
        </w:rPr>
        <w:t xml:space="preserve"> </w:t>
      </w:r>
      <w:r>
        <w:t>aged</w:t>
      </w:r>
      <w:r>
        <w:rPr>
          <w:spacing w:val="-8"/>
        </w:rPr>
        <w:t xml:space="preserve"> </w:t>
      </w:r>
      <w:r>
        <w:t>25</w:t>
      </w:r>
      <w:r>
        <w:rPr>
          <w:spacing w:val="-5"/>
        </w:rPr>
        <w:t xml:space="preserve"> </w:t>
      </w:r>
      <w:r>
        <w:t>to</w:t>
      </w:r>
      <w:r>
        <w:rPr>
          <w:spacing w:val="-7"/>
        </w:rPr>
        <w:t xml:space="preserve"> </w:t>
      </w:r>
      <w:r>
        <w:t>54</w:t>
      </w:r>
      <w:r>
        <w:rPr>
          <w:spacing w:val="-57"/>
        </w:rPr>
        <w:t xml:space="preserve"> </w:t>
      </w:r>
      <w:r>
        <w:t>(68.3%), people with secondary education (64.5%) and the short-term unemployed. (93.9%).</w:t>
      </w:r>
      <w:r>
        <w:rPr>
          <w:spacing w:val="1"/>
        </w:rPr>
        <w:t xml:space="preserve"> </w:t>
      </w:r>
      <w:r>
        <w:t>On average, 19.8% of unemployed persons were covered by monetary benefits. Coverage is</w:t>
      </w:r>
      <w:r>
        <w:rPr>
          <w:spacing w:val="1"/>
        </w:rPr>
        <w:t xml:space="preserve"> </w:t>
      </w:r>
      <w:r>
        <w:t>relatively higher for women (20.7%) compared to men (18.6%), and in terms of the age of</w:t>
      </w:r>
      <w:r>
        <w:rPr>
          <w:spacing w:val="1"/>
        </w:rPr>
        <w:t xml:space="preserve"> </w:t>
      </w:r>
      <w:r>
        <w:t>beneficiaries, coverage is significantly higher for people aged 25 to 54 (21.4%) and the older</w:t>
      </w:r>
      <w:r>
        <w:rPr>
          <w:spacing w:val="1"/>
        </w:rPr>
        <w:t xml:space="preserve"> </w:t>
      </w:r>
      <w:r>
        <w:t>working</w:t>
      </w:r>
      <w:r>
        <w:rPr>
          <w:spacing w:val="-8"/>
        </w:rPr>
        <w:t xml:space="preserve"> </w:t>
      </w:r>
      <w:r>
        <w:t>people</w:t>
      </w:r>
      <w:r>
        <w:rPr>
          <w:spacing w:val="-7"/>
        </w:rPr>
        <w:t xml:space="preserve"> </w:t>
      </w:r>
      <w:r>
        <w:t>aged</w:t>
      </w:r>
      <w:r>
        <w:rPr>
          <w:spacing w:val="-6"/>
        </w:rPr>
        <w:t xml:space="preserve"> </w:t>
      </w:r>
      <w:r>
        <w:t>55+</w:t>
      </w:r>
      <w:r>
        <w:rPr>
          <w:spacing w:val="-5"/>
        </w:rPr>
        <w:t xml:space="preserve"> </w:t>
      </w:r>
      <w:r>
        <w:t>(22%)</w:t>
      </w:r>
      <w:r>
        <w:rPr>
          <w:spacing w:val="-7"/>
        </w:rPr>
        <w:t xml:space="preserve"> </w:t>
      </w:r>
      <w:r>
        <w:t>compared</w:t>
      </w:r>
      <w:r>
        <w:rPr>
          <w:spacing w:val="-6"/>
        </w:rPr>
        <w:t xml:space="preserve"> </w:t>
      </w:r>
      <w:r>
        <w:t>to</w:t>
      </w:r>
      <w:r>
        <w:rPr>
          <w:spacing w:val="-3"/>
        </w:rPr>
        <w:t xml:space="preserve"> </w:t>
      </w:r>
      <w:r>
        <w:t>young</w:t>
      </w:r>
      <w:r>
        <w:rPr>
          <w:spacing w:val="-9"/>
        </w:rPr>
        <w:t xml:space="preserve"> </w:t>
      </w:r>
      <w:r>
        <w:t>people</w:t>
      </w:r>
      <w:r>
        <w:rPr>
          <w:spacing w:val="-7"/>
        </w:rPr>
        <w:t xml:space="preserve"> </w:t>
      </w:r>
      <w:r>
        <w:t>aged</w:t>
      </w:r>
      <w:r>
        <w:rPr>
          <w:spacing w:val="-6"/>
        </w:rPr>
        <w:t xml:space="preserve"> </w:t>
      </w:r>
      <w:r>
        <w:t>15</w:t>
      </w:r>
      <w:r>
        <w:rPr>
          <w:spacing w:val="-6"/>
        </w:rPr>
        <w:t xml:space="preserve"> </w:t>
      </w:r>
      <w:r>
        <w:t>to</w:t>
      </w:r>
      <w:r>
        <w:rPr>
          <w:spacing w:val="-6"/>
        </w:rPr>
        <w:t xml:space="preserve"> </w:t>
      </w:r>
      <w:r>
        <w:t>24</w:t>
      </w:r>
      <w:r>
        <w:rPr>
          <w:spacing w:val="-5"/>
        </w:rPr>
        <w:t xml:space="preserve"> </w:t>
      </w:r>
      <w:r>
        <w:t>(9.4%).</w:t>
      </w:r>
      <w:r>
        <w:rPr>
          <w:spacing w:val="-7"/>
        </w:rPr>
        <w:t xml:space="preserve"> </w:t>
      </w:r>
      <w:r>
        <w:t>Persons</w:t>
      </w:r>
      <w:r>
        <w:rPr>
          <w:spacing w:val="-7"/>
        </w:rPr>
        <w:t xml:space="preserve"> </w:t>
      </w:r>
      <w:r>
        <w:t>with</w:t>
      </w:r>
      <w:r>
        <w:rPr>
          <w:spacing w:val="-58"/>
        </w:rPr>
        <w:t xml:space="preserve"> </w:t>
      </w:r>
      <w:r>
        <w:t>secondary and higher education are more often covered by monetary benefits (21.1% and</w:t>
      </w:r>
      <w:r>
        <w:rPr>
          <w:spacing w:val="1"/>
        </w:rPr>
        <w:t xml:space="preserve"> </w:t>
      </w:r>
      <w:r>
        <w:t>22.4%,</w:t>
      </w:r>
      <w:r>
        <w:rPr>
          <w:spacing w:val="-5"/>
        </w:rPr>
        <w:t xml:space="preserve"> </w:t>
      </w:r>
      <w:r>
        <w:t>respectively)</w:t>
      </w:r>
      <w:r>
        <w:rPr>
          <w:spacing w:val="-6"/>
        </w:rPr>
        <w:t xml:space="preserve"> </w:t>
      </w:r>
      <w:r>
        <w:t>than</w:t>
      </w:r>
      <w:r>
        <w:rPr>
          <w:spacing w:val="-3"/>
        </w:rPr>
        <w:t xml:space="preserve"> </w:t>
      </w:r>
      <w:r>
        <w:t>persons</w:t>
      </w:r>
      <w:r>
        <w:rPr>
          <w:spacing w:val="-6"/>
        </w:rPr>
        <w:t xml:space="preserve"> </w:t>
      </w:r>
      <w:r>
        <w:t>with</w:t>
      </w:r>
      <w:r>
        <w:rPr>
          <w:spacing w:val="-5"/>
        </w:rPr>
        <w:t xml:space="preserve"> </w:t>
      </w:r>
      <w:r>
        <w:t>lower</w:t>
      </w:r>
      <w:r>
        <w:rPr>
          <w:spacing w:val="-6"/>
        </w:rPr>
        <w:t xml:space="preserve"> </w:t>
      </w:r>
      <w:r>
        <w:t>levels</w:t>
      </w:r>
      <w:r>
        <w:rPr>
          <w:spacing w:val="-4"/>
        </w:rPr>
        <w:t xml:space="preserve"> </w:t>
      </w:r>
      <w:r>
        <w:t>of</w:t>
      </w:r>
      <w:r>
        <w:rPr>
          <w:spacing w:val="-6"/>
        </w:rPr>
        <w:t xml:space="preserve"> </w:t>
      </w:r>
      <w:r>
        <w:t>education</w:t>
      </w:r>
      <w:r>
        <w:rPr>
          <w:spacing w:val="-5"/>
        </w:rPr>
        <w:t xml:space="preserve"> </w:t>
      </w:r>
      <w:r>
        <w:t>(14.2%),</w:t>
      </w:r>
      <w:r>
        <w:rPr>
          <w:spacing w:val="-4"/>
        </w:rPr>
        <w:t xml:space="preserve"> </w:t>
      </w:r>
      <w:r>
        <w:t>while</w:t>
      </w:r>
      <w:r>
        <w:rPr>
          <w:spacing w:val="-6"/>
        </w:rPr>
        <w:t xml:space="preserve"> </w:t>
      </w:r>
      <w:r>
        <w:t>the</w:t>
      </w:r>
      <w:r>
        <w:rPr>
          <w:spacing w:val="-6"/>
        </w:rPr>
        <w:t xml:space="preserve"> </w:t>
      </w:r>
      <w:r>
        <w:t>short-term</w:t>
      </w:r>
      <w:r>
        <w:rPr>
          <w:spacing w:val="-57"/>
        </w:rPr>
        <w:t xml:space="preserve"> </w:t>
      </w:r>
      <w:r>
        <w:t>unemployed</w:t>
      </w:r>
      <w:r>
        <w:rPr>
          <w:spacing w:val="-6"/>
        </w:rPr>
        <w:t xml:space="preserve"> </w:t>
      </w:r>
      <w:r>
        <w:t>are</w:t>
      </w:r>
      <w:r>
        <w:rPr>
          <w:spacing w:val="-9"/>
        </w:rPr>
        <w:t xml:space="preserve"> </w:t>
      </w:r>
      <w:r>
        <w:t>many</w:t>
      </w:r>
      <w:r>
        <w:rPr>
          <w:spacing w:val="-12"/>
        </w:rPr>
        <w:t xml:space="preserve"> </w:t>
      </w:r>
      <w:r>
        <w:t>times</w:t>
      </w:r>
      <w:r>
        <w:rPr>
          <w:spacing w:val="-9"/>
        </w:rPr>
        <w:t xml:space="preserve"> </w:t>
      </w:r>
      <w:r>
        <w:t>more</w:t>
      </w:r>
      <w:r>
        <w:rPr>
          <w:spacing w:val="-7"/>
        </w:rPr>
        <w:t xml:space="preserve"> </w:t>
      </w:r>
      <w:r>
        <w:t>likely</w:t>
      </w:r>
      <w:r>
        <w:rPr>
          <w:spacing w:val="-10"/>
        </w:rPr>
        <w:t xml:space="preserve"> </w:t>
      </w:r>
      <w:r>
        <w:t>(33.5%)</w:t>
      </w:r>
      <w:r>
        <w:rPr>
          <w:spacing w:val="-7"/>
        </w:rPr>
        <w:t xml:space="preserve"> </w:t>
      </w:r>
      <w:r>
        <w:t>to</w:t>
      </w:r>
      <w:r>
        <w:rPr>
          <w:spacing w:val="-7"/>
        </w:rPr>
        <w:t xml:space="preserve"> </w:t>
      </w:r>
      <w:r>
        <w:t>receive</w:t>
      </w:r>
      <w:r>
        <w:rPr>
          <w:spacing w:val="-8"/>
        </w:rPr>
        <w:t xml:space="preserve"> </w:t>
      </w:r>
      <w:r>
        <w:t>monetary</w:t>
      </w:r>
      <w:r>
        <w:rPr>
          <w:spacing w:val="-12"/>
        </w:rPr>
        <w:t xml:space="preserve"> </w:t>
      </w:r>
      <w:r>
        <w:t>benefits,</w:t>
      </w:r>
      <w:r>
        <w:rPr>
          <w:spacing w:val="-8"/>
        </w:rPr>
        <w:t xml:space="preserve"> </w:t>
      </w:r>
      <w:r>
        <w:t>compared</w:t>
      </w:r>
      <w:r>
        <w:rPr>
          <w:spacing w:val="-8"/>
        </w:rPr>
        <w:t xml:space="preserve"> </w:t>
      </w:r>
      <w:r>
        <w:t>to</w:t>
      </w:r>
      <w:r>
        <w:rPr>
          <w:spacing w:val="-7"/>
        </w:rPr>
        <w:t xml:space="preserve"> </w:t>
      </w:r>
      <w:r>
        <w:t>the</w:t>
      </w:r>
      <w:r>
        <w:rPr>
          <w:spacing w:val="-58"/>
        </w:rPr>
        <w:t xml:space="preserve"> </w:t>
      </w:r>
      <w:r>
        <w:t>long-term</w:t>
      </w:r>
      <w:r>
        <w:rPr>
          <w:spacing w:val="-1"/>
        </w:rPr>
        <w:t xml:space="preserve"> </w:t>
      </w:r>
      <w:r>
        <w:t>unemployed (2.7%).</w:t>
      </w:r>
    </w:p>
    <w:p w:rsidR="00A56FE9" w:rsidRDefault="00A56FE9">
      <w:pPr>
        <w:pStyle w:val="Tijeloteksta"/>
        <w:spacing w:before="4"/>
        <w:ind w:left="0"/>
        <w:jc w:val="left"/>
        <w:rPr>
          <w:sz w:val="21"/>
        </w:rPr>
      </w:pPr>
    </w:p>
    <w:p w:rsidR="00A56FE9" w:rsidRDefault="00CC1B9B">
      <w:pPr>
        <w:pStyle w:val="Naslov5"/>
      </w:pPr>
      <w:r>
        <w:rPr>
          <w:noProof/>
        </w:rPr>
        <mc:AlternateContent>
          <mc:Choice Requires="wps">
            <w:drawing>
              <wp:anchor distT="0" distB="0" distL="0" distR="0" simplePos="0" relativeHeight="487658496" behindDoc="1" locked="0" layoutInCell="1" allowOverlap="1">
                <wp:simplePos x="0" y="0"/>
                <wp:positionH relativeFrom="page">
                  <wp:posOffset>882650</wp:posOffset>
                </wp:positionH>
                <wp:positionV relativeFrom="paragraph">
                  <wp:posOffset>189230</wp:posOffset>
                </wp:positionV>
                <wp:extent cx="3277235" cy="12065"/>
                <wp:effectExtent l="0" t="0" r="0" b="0"/>
                <wp:wrapTopAndBottom/>
                <wp:docPr id="119648235"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7235"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55E6B" id="Rectangle 126" o:spid="_x0000_s1026" style="position:absolute;margin-left:69.5pt;margin-top:14.9pt;width:258.05pt;height:.95pt;z-index:-15657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" fillcolor="#2c398a" stroked="f">
                <w10:wrap type="topAndBottom" anchorx="page"/>
              </v:rect>
            </w:pict>
          </mc:Fallback>
        </mc:AlternateContent>
      </w:r>
      <w:r w:rsidR="00000000">
        <w:t>Planned</w:t>
      </w:r>
      <w:r w:rsidR="00000000">
        <w:rPr>
          <w:spacing w:val="-2"/>
        </w:rPr>
        <w:t xml:space="preserve"> </w:t>
      </w:r>
      <w:r w:rsidR="00000000">
        <w:t>measures</w:t>
      </w:r>
      <w:r w:rsidR="00000000">
        <w:rPr>
          <w:spacing w:val="-1"/>
        </w:rPr>
        <w:t xml:space="preserve"> </w:t>
      </w:r>
      <w:r w:rsidR="00000000">
        <w:t>outside</w:t>
      </w:r>
      <w:r w:rsidR="00000000">
        <w:rPr>
          <w:spacing w:val="-2"/>
        </w:rPr>
        <w:t xml:space="preserve"> </w:t>
      </w:r>
      <w:r w:rsidR="00000000">
        <w:t>the</w:t>
      </w:r>
      <w:r w:rsidR="00000000">
        <w:rPr>
          <w:spacing w:val="-1"/>
        </w:rPr>
        <w:t xml:space="preserve"> </w:t>
      </w:r>
      <w:r w:rsidR="00000000">
        <w:t>NRRP</w:t>
      </w:r>
      <w:r w:rsidR="00000000">
        <w:rPr>
          <w:spacing w:val="-4"/>
        </w:rPr>
        <w:t xml:space="preserve"> </w:t>
      </w:r>
      <w:r w:rsidR="00000000">
        <w:t>framework</w:t>
      </w:r>
    </w:p>
    <w:p w:rsidR="00A56FE9" w:rsidRDefault="00000000">
      <w:pPr>
        <w:pStyle w:val="Tijeloteksta"/>
        <w:spacing w:before="126"/>
        <w:ind w:right="273"/>
      </w:pPr>
      <w:r>
        <w:rPr>
          <w:b/>
        </w:rPr>
        <w:t xml:space="preserve">An analysis of unemployment benefits </w:t>
      </w:r>
      <w:r>
        <w:t>is required to provide adequate material and legal</w:t>
      </w:r>
      <w:r>
        <w:rPr>
          <w:spacing w:val="1"/>
        </w:rPr>
        <w:t xml:space="preserve"> </w:t>
      </w:r>
      <w:r>
        <w:t>protection to the unemployed. The analysis includes the amount, duration and conditions for</w:t>
      </w:r>
      <w:r>
        <w:rPr>
          <w:spacing w:val="1"/>
        </w:rPr>
        <w:t xml:space="preserve"> </w:t>
      </w:r>
      <w:r>
        <w:t>exercising</w:t>
      </w:r>
      <w:r>
        <w:rPr>
          <w:spacing w:val="29"/>
        </w:rPr>
        <w:t xml:space="preserve"> </w:t>
      </w:r>
      <w:r>
        <w:t>the</w:t>
      </w:r>
      <w:r>
        <w:rPr>
          <w:spacing w:val="31"/>
        </w:rPr>
        <w:t xml:space="preserve"> </w:t>
      </w:r>
      <w:r>
        <w:t>right</w:t>
      </w:r>
      <w:r>
        <w:rPr>
          <w:spacing w:val="33"/>
        </w:rPr>
        <w:t xml:space="preserve"> </w:t>
      </w:r>
      <w:r>
        <w:t>to</w:t>
      </w:r>
      <w:r>
        <w:rPr>
          <w:spacing w:val="34"/>
        </w:rPr>
        <w:t xml:space="preserve"> </w:t>
      </w:r>
      <w:r>
        <w:t>monetary</w:t>
      </w:r>
      <w:r>
        <w:rPr>
          <w:spacing w:val="26"/>
        </w:rPr>
        <w:t xml:space="preserve"> </w:t>
      </w:r>
      <w:r>
        <w:t>benefits</w:t>
      </w:r>
      <w:r>
        <w:rPr>
          <w:spacing w:val="33"/>
        </w:rPr>
        <w:t xml:space="preserve"> </w:t>
      </w:r>
      <w:r>
        <w:t>at</w:t>
      </w:r>
      <w:r>
        <w:rPr>
          <w:spacing w:val="32"/>
        </w:rPr>
        <w:t xml:space="preserve"> </w:t>
      </w:r>
      <w:r>
        <w:t>the</w:t>
      </w:r>
      <w:r>
        <w:rPr>
          <w:spacing w:val="34"/>
        </w:rPr>
        <w:t xml:space="preserve"> </w:t>
      </w:r>
      <w:r>
        <w:t>levels</w:t>
      </w:r>
      <w:r>
        <w:rPr>
          <w:spacing w:val="33"/>
        </w:rPr>
        <w:t xml:space="preserve"> </w:t>
      </w:r>
      <w:r>
        <w:t>of</w:t>
      </w:r>
      <w:r>
        <w:rPr>
          <w:spacing w:val="31"/>
        </w:rPr>
        <w:t xml:space="preserve"> </w:t>
      </w:r>
      <w:r>
        <w:t>comparable</w:t>
      </w:r>
      <w:r>
        <w:rPr>
          <w:spacing w:val="31"/>
        </w:rPr>
        <w:t xml:space="preserve"> </w:t>
      </w:r>
      <w:r>
        <w:t>EU</w:t>
      </w:r>
      <w:r>
        <w:rPr>
          <w:spacing w:val="32"/>
        </w:rPr>
        <w:t xml:space="preserve"> </w:t>
      </w:r>
      <w:r>
        <w:t>countries</w:t>
      </w:r>
      <w:r>
        <w:rPr>
          <w:spacing w:val="32"/>
        </w:rPr>
        <w:t xml:space="preserve"> </w:t>
      </w:r>
      <w:r>
        <w:t>and</w:t>
      </w:r>
      <w:r>
        <w:rPr>
          <w:spacing w:val="32"/>
        </w:rPr>
        <w:t xml:space="preserve"> </w:t>
      </w:r>
      <w:r>
        <w:t>the</w:t>
      </w:r>
    </w:p>
    <w:p w:rsidR="00A56FE9" w:rsidRDefault="00A56FE9">
      <w:pPr>
        <w:sectPr w:rsidR="00A56FE9" w:rsidSect="00AB1E70">
          <w:pgSz w:w="11910" w:h="16840"/>
          <w:pgMar w:top="1160" w:right="1140" w:bottom="960" w:left="1280" w:header="0" w:footer="779" w:gutter="0"/>
          <w:cols w:space="720"/>
        </w:sectPr>
      </w:pPr>
    </w:p>
    <w:p w:rsidR="00A56FE9" w:rsidRDefault="00000000">
      <w:pPr>
        <w:pStyle w:val="Tijeloteksta"/>
        <w:spacing w:before="74"/>
        <w:ind w:right="277"/>
      </w:pPr>
      <w:r>
        <w:t>structure of beneficiaries of monetary benefits. Based on the analysis results, appropriate</w:t>
      </w:r>
      <w:r>
        <w:rPr>
          <w:spacing w:val="1"/>
        </w:rPr>
        <w:t xml:space="preserve"> </w:t>
      </w:r>
      <w:r>
        <w:t>legislative</w:t>
      </w:r>
      <w:r>
        <w:rPr>
          <w:spacing w:val="-2"/>
        </w:rPr>
        <w:t xml:space="preserve"> </w:t>
      </w:r>
      <w:r>
        <w:t>changes will be passed.</w:t>
      </w:r>
    </w:p>
    <w:p w:rsidR="00A56FE9" w:rsidRDefault="00000000">
      <w:pPr>
        <w:pStyle w:val="Tijeloteksta"/>
        <w:spacing w:before="120"/>
        <w:ind w:right="276"/>
      </w:pPr>
      <w:r>
        <w:t>At</w:t>
      </w:r>
      <w:r>
        <w:rPr>
          <w:spacing w:val="-13"/>
        </w:rPr>
        <w:t xml:space="preserve"> </w:t>
      </w:r>
      <w:r>
        <w:t>the</w:t>
      </w:r>
      <w:r>
        <w:rPr>
          <w:spacing w:val="-13"/>
        </w:rPr>
        <w:t xml:space="preserve"> </w:t>
      </w:r>
      <w:r>
        <w:t>same</w:t>
      </w:r>
      <w:r>
        <w:rPr>
          <w:spacing w:val="-14"/>
        </w:rPr>
        <w:t xml:space="preserve"> </w:t>
      </w:r>
      <w:r>
        <w:t>time,</w:t>
      </w:r>
      <w:r>
        <w:rPr>
          <w:spacing w:val="-13"/>
        </w:rPr>
        <w:t xml:space="preserve"> </w:t>
      </w:r>
      <w:r>
        <w:t>these</w:t>
      </w:r>
      <w:r>
        <w:rPr>
          <w:spacing w:val="-14"/>
        </w:rPr>
        <w:t xml:space="preserve"> </w:t>
      </w:r>
      <w:r>
        <w:t>measures</w:t>
      </w:r>
      <w:r>
        <w:rPr>
          <w:spacing w:val="-8"/>
        </w:rPr>
        <w:t xml:space="preserve"> </w:t>
      </w:r>
      <w:r>
        <w:t>facilitate</w:t>
      </w:r>
      <w:r>
        <w:rPr>
          <w:spacing w:val="-14"/>
        </w:rPr>
        <w:t xml:space="preserve"> </w:t>
      </w:r>
      <w:r>
        <w:t>the</w:t>
      </w:r>
      <w:r>
        <w:rPr>
          <w:spacing w:val="-12"/>
        </w:rPr>
        <w:t xml:space="preserve"> </w:t>
      </w:r>
      <w:r>
        <w:t>implementation</w:t>
      </w:r>
      <w:r>
        <w:rPr>
          <w:spacing w:val="-12"/>
        </w:rPr>
        <w:t xml:space="preserve"> </w:t>
      </w:r>
      <w:r>
        <w:t>of</w:t>
      </w:r>
      <w:r>
        <w:rPr>
          <w:spacing w:val="-14"/>
        </w:rPr>
        <w:t xml:space="preserve"> </w:t>
      </w:r>
      <w:r>
        <w:t>the</w:t>
      </w:r>
      <w:r>
        <w:rPr>
          <w:spacing w:val="-11"/>
        </w:rPr>
        <w:t xml:space="preserve"> </w:t>
      </w:r>
      <w:r>
        <w:t>principles</w:t>
      </w:r>
      <w:r>
        <w:rPr>
          <w:spacing w:val="-13"/>
        </w:rPr>
        <w:t xml:space="preserve"> </w:t>
      </w:r>
      <w:r>
        <w:t>of</w:t>
      </w:r>
      <w:r>
        <w:rPr>
          <w:spacing w:val="-13"/>
        </w:rPr>
        <w:t xml:space="preserve"> </w:t>
      </w:r>
      <w:r>
        <w:t>the</w:t>
      </w:r>
      <w:r>
        <w:rPr>
          <w:spacing w:val="-12"/>
        </w:rPr>
        <w:t xml:space="preserve"> </w:t>
      </w:r>
      <w:r>
        <w:t>European</w:t>
      </w:r>
      <w:r>
        <w:rPr>
          <w:spacing w:val="-57"/>
        </w:rPr>
        <w:t xml:space="preserve"> </w:t>
      </w:r>
      <w:r>
        <w:t>Pillar</w:t>
      </w:r>
      <w:r>
        <w:rPr>
          <w:spacing w:val="-3"/>
        </w:rPr>
        <w:t xml:space="preserve"> </w:t>
      </w:r>
      <w:r>
        <w:t>of Social Rights in the</w:t>
      </w:r>
      <w:r>
        <w:rPr>
          <w:spacing w:val="-1"/>
        </w:rPr>
        <w:t xml:space="preserve"> </w:t>
      </w:r>
      <w:r>
        <w:t>section Unemployment</w:t>
      </w:r>
      <w:r>
        <w:rPr>
          <w:spacing w:val="3"/>
        </w:rPr>
        <w:t xml:space="preserve"> </w:t>
      </w:r>
      <w:r>
        <w:t>Benefits.</w:t>
      </w:r>
    </w:p>
    <w:p w:rsidR="00A56FE9" w:rsidRDefault="00A56FE9">
      <w:pPr>
        <w:pStyle w:val="Tijeloteksta"/>
        <w:ind w:left="0"/>
        <w:jc w:val="left"/>
        <w:rPr>
          <w:sz w:val="26"/>
        </w:rPr>
      </w:pPr>
    </w:p>
    <w:p w:rsidR="00A56FE9" w:rsidRDefault="00000000">
      <w:pPr>
        <w:pStyle w:val="Naslov3"/>
      </w:pPr>
      <w:bookmarkStart w:id="25" w:name="_bookmark25"/>
      <w:bookmarkEnd w:id="25"/>
      <w:r>
        <w:rPr>
          <w:rFonts w:ascii="Times New Roman"/>
          <w:b/>
          <w:color w:val="2C398A"/>
          <w:spacing w:val="-2"/>
        </w:rPr>
        <w:t>C4.2.</w:t>
      </w:r>
      <w:r>
        <w:rPr>
          <w:rFonts w:ascii="Times New Roman"/>
          <w:b/>
          <w:color w:val="2C398A"/>
          <w:spacing w:val="2"/>
        </w:rPr>
        <w:t xml:space="preserve"> </w:t>
      </w:r>
      <w:r>
        <w:rPr>
          <w:color w:val="003399"/>
          <w:spacing w:val="-1"/>
        </w:rPr>
        <w:t>Improving</w:t>
      </w:r>
      <w:r>
        <w:rPr>
          <w:color w:val="003399"/>
          <w:spacing w:val="-11"/>
        </w:rPr>
        <w:t xml:space="preserve"> </w:t>
      </w:r>
      <w:r>
        <w:rPr>
          <w:color w:val="003399"/>
          <w:spacing w:val="-1"/>
        </w:rPr>
        <w:t>the</w:t>
      </w:r>
      <w:r>
        <w:rPr>
          <w:color w:val="003399"/>
          <w:spacing w:val="-11"/>
        </w:rPr>
        <w:t xml:space="preserve"> </w:t>
      </w:r>
      <w:r>
        <w:rPr>
          <w:color w:val="003399"/>
          <w:spacing w:val="-1"/>
        </w:rPr>
        <w:t>Pension</w:t>
      </w:r>
      <w:r>
        <w:rPr>
          <w:color w:val="003399"/>
          <w:spacing w:val="-11"/>
        </w:rPr>
        <w:t xml:space="preserve"> </w:t>
      </w:r>
      <w:r>
        <w:rPr>
          <w:color w:val="003399"/>
          <w:spacing w:val="-1"/>
        </w:rPr>
        <w:t>System</w:t>
      </w:r>
      <w:r>
        <w:rPr>
          <w:color w:val="003399"/>
          <w:spacing w:val="-14"/>
        </w:rPr>
        <w:t xml:space="preserve"> </w:t>
      </w:r>
      <w:r>
        <w:rPr>
          <w:color w:val="003399"/>
          <w:spacing w:val="-1"/>
        </w:rPr>
        <w:t>Through</w:t>
      </w:r>
      <w:r>
        <w:rPr>
          <w:color w:val="003399"/>
          <w:spacing w:val="-11"/>
        </w:rPr>
        <w:t xml:space="preserve"> </w:t>
      </w:r>
      <w:r>
        <w:rPr>
          <w:color w:val="003399"/>
          <w:spacing w:val="-1"/>
        </w:rPr>
        <w:t>Increased</w:t>
      </w:r>
      <w:r>
        <w:rPr>
          <w:color w:val="003399"/>
          <w:spacing w:val="-11"/>
        </w:rPr>
        <w:t xml:space="preserve"> </w:t>
      </w:r>
      <w:r>
        <w:rPr>
          <w:color w:val="003399"/>
          <w:spacing w:val="-1"/>
        </w:rPr>
        <w:t>Pension</w:t>
      </w:r>
      <w:r>
        <w:rPr>
          <w:color w:val="003399"/>
          <w:spacing w:val="-11"/>
        </w:rPr>
        <w:t xml:space="preserve"> </w:t>
      </w:r>
      <w:r>
        <w:rPr>
          <w:color w:val="003399"/>
          <w:spacing w:val="-1"/>
        </w:rPr>
        <w:t>Adequacy</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800832"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118345196"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F804E" id="Rectangle 125" o:spid="_x0000_s1026" style="position:absolute;margin-left:64.1pt;margin-top:-6.1pt;width:1.45pt;height:27pt;z-index:1580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Improving</w:t>
      </w:r>
      <w:r w:rsidR="00000000">
        <w:rPr>
          <w:color w:val="2C398A"/>
          <w:spacing w:val="-4"/>
        </w:rPr>
        <w:t xml:space="preserve"> </w:t>
      </w:r>
      <w:r w:rsidR="00000000">
        <w:rPr>
          <w:color w:val="2C398A"/>
        </w:rPr>
        <w:t>the</w:t>
      </w:r>
      <w:r w:rsidR="00000000">
        <w:rPr>
          <w:color w:val="2C398A"/>
          <w:spacing w:val="-3"/>
        </w:rPr>
        <w:t xml:space="preserve"> </w:t>
      </w:r>
      <w:r w:rsidR="00000000">
        <w:rPr>
          <w:color w:val="2C398A"/>
        </w:rPr>
        <w:t>Pension</w:t>
      </w:r>
      <w:r w:rsidR="00000000">
        <w:rPr>
          <w:color w:val="2C398A"/>
          <w:spacing w:val="-3"/>
        </w:rPr>
        <w:t xml:space="preserve"> </w:t>
      </w:r>
      <w:r w:rsidR="00000000">
        <w:rPr>
          <w:color w:val="2C398A"/>
        </w:rPr>
        <w:t>System</w:t>
      </w:r>
      <w:r w:rsidR="00000000">
        <w:rPr>
          <w:color w:val="2C398A"/>
          <w:spacing w:val="-3"/>
        </w:rPr>
        <w:t xml:space="preserve"> </w:t>
      </w:r>
      <w:r w:rsidR="00000000">
        <w:rPr>
          <w:color w:val="2C398A"/>
        </w:rPr>
        <w:t>Through</w:t>
      </w:r>
      <w:r w:rsidR="00000000">
        <w:rPr>
          <w:color w:val="2C398A"/>
          <w:spacing w:val="-3"/>
        </w:rPr>
        <w:t xml:space="preserve"> </w:t>
      </w:r>
      <w:r w:rsidR="00000000">
        <w:rPr>
          <w:color w:val="2C398A"/>
        </w:rPr>
        <w:t>Increased</w:t>
      </w:r>
      <w:r w:rsidR="00000000">
        <w:rPr>
          <w:color w:val="2C398A"/>
          <w:spacing w:val="-4"/>
        </w:rPr>
        <w:t xml:space="preserve"> </w:t>
      </w:r>
      <w:r w:rsidR="00000000">
        <w:rPr>
          <w:color w:val="2C398A"/>
        </w:rPr>
        <w:t>Pension</w:t>
      </w:r>
      <w:r w:rsidR="00000000">
        <w:rPr>
          <w:color w:val="2C398A"/>
          <w:spacing w:val="-1"/>
        </w:rPr>
        <w:t xml:space="preserve"> </w:t>
      </w:r>
      <w:r w:rsidR="00000000">
        <w:rPr>
          <w:color w:val="2C398A"/>
        </w:rPr>
        <w:t>Adequacy</w:t>
      </w:r>
    </w:p>
    <w:p w:rsidR="00A56FE9" w:rsidRDefault="00000000">
      <w:pPr>
        <w:spacing w:before="234"/>
        <w:ind w:left="138" w:right="273"/>
        <w:jc w:val="both"/>
        <w:rPr>
          <w:i/>
          <w:sz w:val="24"/>
        </w:rPr>
      </w:pPr>
      <w:r>
        <w:rPr>
          <w:i/>
          <w:color w:val="2C398A"/>
          <w:sz w:val="24"/>
        </w:rPr>
        <w:t>2019.CSR2.2.</w:t>
      </w:r>
      <w:r>
        <w:rPr>
          <w:i/>
          <w:color w:val="2C398A"/>
          <w:spacing w:val="1"/>
          <w:sz w:val="24"/>
        </w:rPr>
        <w:t xml:space="preserve"> </w:t>
      </w:r>
      <w:r>
        <w:rPr>
          <w:i/>
          <w:color w:val="2C398A"/>
          <w:sz w:val="24"/>
        </w:rPr>
        <w:t>Consolidate</w:t>
      </w:r>
      <w:r>
        <w:rPr>
          <w:i/>
          <w:color w:val="2C398A"/>
          <w:spacing w:val="1"/>
          <w:sz w:val="24"/>
        </w:rPr>
        <w:t xml:space="preserve"> </w:t>
      </w:r>
      <w:r>
        <w:rPr>
          <w:i/>
          <w:color w:val="2C398A"/>
          <w:sz w:val="24"/>
        </w:rPr>
        <w:t>social</w:t>
      </w:r>
      <w:r>
        <w:rPr>
          <w:i/>
          <w:color w:val="2C398A"/>
          <w:spacing w:val="1"/>
          <w:sz w:val="24"/>
        </w:rPr>
        <w:t xml:space="preserve"> </w:t>
      </w:r>
      <w:r>
        <w:rPr>
          <w:i/>
          <w:color w:val="2C398A"/>
          <w:sz w:val="24"/>
        </w:rPr>
        <w:t>benefits</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improve</w:t>
      </w:r>
      <w:r>
        <w:rPr>
          <w:i/>
          <w:color w:val="2C398A"/>
          <w:spacing w:val="1"/>
          <w:sz w:val="24"/>
        </w:rPr>
        <w:t xml:space="preserve"> </w:t>
      </w:r>
      <w:r>
        <w:rPr>
          <w:i/>
          <w:color w:val="2C398A"/>
          <w:sz w:val="24"/>
        </w:rPr>
        <w:t>their</w:t>
      </w:r>
      <w:r>
        <w:rPr>
          <w:i/>
          <w:color w:val="2C398A"/>
          <w:spacing w:val="1"/>
          <w:sz w:val="24"/>
        </w:rPr>
        <w:t xml:space="preserve"> </w:t>
      </w:r>
      <w:r>
        <w:rPr>
          <w:i/>
          <w:color w:val="2C398A"/>
          <w:sz w:val="24"/>
        </w:rPr>
        <w:t>capacity</w:t>
      </w:r>
      <w:r>
        <w:rPr>
          <w:i/>
          <w:color w:val="2C398A"/>
          <w:spacing w:val="1"/>
          <w:sz w:val="24"/>
        </w:rPr>
        <w:t xml:space="preserve"> </w:t>
      </w:r>
      <w:r>
        <w:rPr>
          <w:i/>
          <w:color w:val="2C398A"/>
          <w:sz w:val="24"/>
        </w:rPr>
        <w:t>to</w:t>
      </w:r>
      <w:r>
        <w:rPr>
          <w:i/>
          <w:color w:val="2C398A"/>
          <w:spacing w:val="1"/>
          <w:sz w:val="24"/>
        </w:rPr>
        <w:t xml:space="preserve"> </w:t>
      </w:r>
      <w:r>
        <w:rPr>
          <w:i/>
          <w:color w:val="2C398A"/>
          <w:sz w:val="24"/>
        </w:rPr>
        <w:t>reduce</w:t>
      </w:r>
      <w:r>
        <w:rPr>
          <w:i/>
          <w:color w:val="2C398A"/>
          <w:spacing w:val="1"/>
          <w:sz w:val="24"/>
        </w:rPr>
        <w:t xml:space="preserve"> </w:t>
      </w:r>
      <w:r>
        <w:rPr>
          <w:i/>
          <w:color w:val="2C398A"/>
          <w:sz w:val="24"/>
        </w:rPr>
        <w:t>poverty;</w:t>
      </w:r>
      <w:r>
        <w:rPr>
          <w:i/>
          <w:color w:val="2C398A"/>
          <w:spacing w:val="-57"/>
          <w:sz w:val="24"/>
        </w:rPr>
        <w:t xml:space="preserve"> </w:t>
      </w:r>
      <w:r>
        <w:rPr>
          <w:i/>
          <w:color w:val="2C398A"/>
          <w:sz w:val="24"/>
        </w:rPr>
        <w:t>2020.CSR2.1. Strengthen labour market measures and institutions and improve the adequacy</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unemployment benefits</w:t>
      </w:r>
      <w:r>
        <w:rPr>
          <w:i/>
          <w:color w:val="2C398A"/>
          <w:spacing w:val="2"/>
          <w:sz w:val="24"/>
        </w:rPr>
        <w:t xml:space="preserve"> </w:t>
      </w:r>
      <w:r>
        <w:rPr>
          <w:i/>
          <w:color w:val="2C398A"/>
          <w:sz w:val="24"/>
        </w:rPr>
        <w:t>and minimum income</w:t>
      </w:r>
      <w:r>
        <w:rPr>
          <w:i/>
          <w:color w:val="2C398A"/>
          <w:spacing w:val="-2"/>
          <w:sz w:val="24"/>
        </w:rPr>
        <w:t xml:space="preserve"> </w:t>
      </w:r>
      <w:r>
        <w:rPr>
          <w:i/>
          <w:color w:val="2C398A"/>
          <w:sz w:val="24"/>
        </w:rPr>
        <w:t>schemes</w:t>
      </w:r>
    </w:p>
    <w:p w:rsidR="00A56FE9" w:rsidRDefault="00A56FE9">
      <w:pPr>
        <w:pStyle w:val="Tijeloteksta"/>
        <w:spacing w:before="3"/>
        <w:ind w:left="0"/>
        <w:jc w:val="left"/>
        <w:rPr>
          <w:i/>
          <w:sz w:val="21"/>
        </w:rPr>
      </w:pPr>
    </w:p>
    <w:p w:rsidR="00A56FE9" w:rsidRDefault="00000000">
      <w:pPr>
        <w:pStyle w:val="Naslov5"/>
        <w:spacing w:before="1"/>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357471455"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974796570" name="Rectangle 124"/>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A42B647" id="Group 123"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">
                <v:rect id="Rectangle 124"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" fillcolor="#2c398a" stroked="f"/>
                <w10:anchorlock/>
              </v:group>
            </w:pict>
          </mc:Fallback>
        </mc:AlternateContent>
      </w:r>
    </w:p>
    <w:p w:rsidR="00A56FE9" w:rsidRDefault="00000000">
      <w:pPr>
        <w:pStyle w:val="Tijeloteksta"/>
        <w:spacing w:before="154"/>
        <w:ind w:right="275"/>
      </w:pPr>
      <w:r>
        <w:t>The</w:t>
      </w:r>
      <w:r>
        <w:rPr>
          <w:spacing w:val="1"/>
        </w:rPr>
        <w:t xml:space="preserve"> </w:t>
      </w:r>
      <w:r>
        <w:t>Government</w:t>
      </w:r>
      <w:r>
        <w:rPr>
          <w:spacing w:val="1"/>
        </w:rPr>
        <w:t xml:space="preserve"> </w:t>
      </w:r>
      <w:r>
        <w:t>Program</w:t>
      </w:r>
      <w:r>
        <w:rPr>
          <w:spacing w:val="1"/>
        </w:rPr>
        <w:t xml:space="preserve"> </w:t>
      </w:r>
      <w:r>
        <w:t>defined</w:t>
      </w:r>
      <w:r>
        <w:rPr>
          <w:spacing w:val="1"/>
        </w:rPr>
        <w:t xml:space="preserve"> </w:t>
      </w:r>
      <w:r>
        <w:t>the</w:t>
      </w:r>
      <w:r>
        <w:rPr>
          <w:spacing w:val="1"/>
        </w:rPr>
        <w:t xml:space="preserve"> </w:t>
      </w:r>
      <w:r>
        <w:t>goal</w:t>
      </w:r>
      <w:r>
        <w:rPr>
          <w:spacing w:val="1"/>
        </w:rPr>
        <w:t xml:space="preserve"> </w:t>
      </w:r>
      <w:r>
        <w:t>of</w:t>
      </w:r>
      <w:r>
        <w:rPr>
          <w:spacing w:val="1"/>
        </w:rPr>
        <w:t xml:space="preserve"> </w:t>
      </w:r>
      <w:r>
        <w:t>having</w:t>
      </w:r>
      <w:r>
        <w:rPr>
          <w:spacing w:val="1"/>
        </w:rPr>
        <w:t xml:space="preserve"> </w:t>
      </w:r>
      <w:r>
        <w:t>a</w:t>
      </w:r>
      <w:r>
        <w:rPr>
          <w:spacing w:val="1"/>
        </w:rPr>
        <w:t xml:space="preserve"> </w:t>
      </w:r>
      <w:r>
        <w:t>sustainable</w:t>
      </w:r>
      <w:r>
        <w:rPr>
          <w:spacing w:val="1"/>
        </w:rPr>
        <w:t xml:space="preserve"> </w:t>
      </w:r>
      <w:r>
        <w:t>pension</w:t>
      </w:r>
      <w:r>
        <w:rPr>
          <w:spacing w:val="1"/>
        </w:rPr>
        <w:t xml:space="preserve"> </w:t>
      </w:r>
      <w:r>
        <w:t>system</w:t>
      </w:r>
      <w:r>
        <w:rPr>
          <w:spacing w:val="1"/>
        </w:rPr>
        <w:t xml:space="preserve"> </w:t>
      </w:r>
      <w:r>
        <w:t>that</w:t>
      </w:r>
      <w:r>
        <w:rPr>
          <w:spacing w:val="-57"/>
        </w:rPr>
        <w:t xml:space="preserve"> </w:t>
      </w:r>
      <w:r>
        <w:t>envisages the continuation of the pension reform directed to increasing the adequacy of the</w:t>
      </w:r>
      <w:r>
        <w:rPr>
          <w:spacing w:val="1"/>
        </w:rPr>
        <w:t xml:space="preserve"> </w:t>
      </w:r>
      <w:r>
        <w:t>pension. Accordingly, further improvement in the legislative framework is essential, as is</w:t>
      </w:r>
      <w:r>
        <w:rPr>
          <w:spacing w:val="1"/>
        </w:rPr>
        <w:t xml:space="preserve"> </w:t>
      </w:r>
      <w:r>
        <w:t>strengthening all three levels of the pension system to ensure larger pensions for current and</w:t>
      </w:r>
      <w:r>
        <w:rPr>
          <w:spacing w:val="1"/>
        </w:rPr>
        <w:t xml:space="preserve"> </w:t>
      </w:r>
      <w:r>
        <w:t>future pensioners. The mandatory pension insurance based on generational solidarity (Pension</w:t>
      </w:r>
      <w:r>
        <w:rPr>
          <w:spacing w:val="-57"/>
        </w:rPr>
        <w:t xml:space="preserve"> </w:t>
      </w:r>
      <w:r>
        <w:t>Pillar 1) has to cover users of pensions with below-average pension earnings. Therefore, there</w:t>
      </w:r>
      <w:r>
        <w:rPr>
          <w:spacing w:val="1"/>
        </w:rPr>
        <w:t xml:space="preserve"> </w:t>
      </w:r>
      <w:r>
        <w:t>are</w:t>
      </w:r>
      <w:r>
        <w:rPr>
          <w:spacing w:val="-8"/>
        </w:rPr>
        <w:t xml:space="preserve"> </w:t>
      </w:r>
      <w:r>
        <w:t>plans</w:t>
      </w:r>
      <w:r>
        <w:rPr>
          <w:spacing w:val="-6"/>
        </w:rPr>
        <w:t xml:space="preserve"> </w:t>
      </w:r>
      <w:r>
        <w:t>for</w:t>
      </w:r>
      <w:r>
        <w:rPr>
          <w:spacing w:val="-6"/>
        </w:rPr>
        <w:t xml:space="preserve"> </w:t>
      </w:r>
      <w:r>
        <w:t>increasing</w:t>
      </w:r>
      <w:r>
        <w:rPr>
          <w:spacing w:val="-8"/>
        </w:rPr>
        <w:t xml:space="preserve"> </w:t>
      </w:r>
      <w:r>
        <w:t>the</w:t>
      </w:r>
      <w:r>
        <w:rPr>
          <w:spacing w:val="-6"/>
        </w:rPr>
        <w:t xml:space="preserve"> </w:t>
      </w:r>
      <w:r>
        <w:t>family</w:t>
      </w:r>
      <w:r>
        <w:rPr>
          <w:spacing w:val="-11"/>
        </w:rPr>
        <w:t xml:space="preserve"> </w:t>
      </w:r>
      <w:r>
        <w:t>pension</w:t>
      </w:r>
      <w:r>
        <w:rPr>
          <w:spacing w:val="-5"/>
        </w:rPr>
        <w:t xml:space="preserve"> </w:t>
      </w:r>
      <w:r>
        <w:t>and</w:t>
      </w:r>
      <w:r>
        <w:rPr>
          <w:spacing w:val="-5"/>
        </w:rPr>
        <w:t xml:space="preserve"> </w:t>
      </w:r>
      <w:r>
        <w:t>smallest</w:t>
      </w:r>
      <w:r>
        <w:rPr>
          <w:spacing w:val="-5"/>
        </w:rPr>
        <w:t xml:space="preserve"> </w:t>
      </w:r>
      <w:r>
        <w:t>pensions</w:t>
      </w:r>
      <w:r>
        <w:rPr>
          <w:spacing w:val="-5"/>
        </w:rPr>
        <w:t xml:space="preserve"> </w:t>
      </w:r>
      <w:r>
        <w:t>so</w:t>
      </w:r>
      <w:r>
        <w:rPr>
          <w:spacing w:val="-6"/>
        </w:rPr>
        <w:t xml:space="preserve"> </w:t>
      </w:r>
      <w:r>
        <w:t>that,</w:t>
      </w:r>
      <w:r>
        <w:rPr>
          <w:spacing w:val="-5"/>
        </w:rPr>
        <w:t xml:space="preserve"> </w:t>
      </w:r>
      <w:r>
        <w:t>in</w:t>
      </w:r>
      <w:r>
        <w:rPr>
          <w:spacing w:val="-7"/>
        </w:rPr>
        <w:t xml:space="preserve"> </w:t>
      </w:r>
      <w:r>
        <w:t>line</w:t>
      </w:r>
      <w:r>
        <w:rPr>
          <w:spacing w:val="-6"/>
        </w:rPr>
        <w:t xml:space="preserve"> </w:t>
      </w:r>
      <w:r>
        <w:t>with</w:t>
      </w:r>
      <w:r>
        <w:rPr>
          <w:spacing w:val="-6"/>
        </w:rPr>
        <w:t xml:space="preserve"> </w:t>
      </w:r>
      <w:r>
        <w:t>economic</w:t>
      </w:r>
      <w:r>
        <w:rPr>
          <w:spacing w:val="-57"/>
        </w:rPr>
        <w:t xml:space="preserve"> </w:t>
      </w:r>
      <w:r>
        <w:t>opportunities, a greater adequacy of pensions for these vulnerable categories of retirees is</w:t>
      </w:r>
      <w:r>
        <w:rPr>
          <w:spacing w:val="1"/>
        </w:rPr>
        <w:t xml:space="preserve"> </w:t>
      </w:r>
      <w:r>
        <w:t>ensured. This is planned to take place through amendments to the Pension Insurance Act.</w:t>
      </w:r>
      <w:r>
        <w:rPr>
          <w:spacing w:val="1"/>
        </w:rPr>
        <w:t xml:space="preserve"> </w:t>
      </w:r>
      <w:r>
        <w:t>Importantly,</w:t>
      </w:r>
      <w:r>
        <w:rPr>
          <w:spacing w:val="-1"/>
        </w:rPr>
        <w:t xml:space="preserve"> </w:t>
      </w:r>
      <w:r>
        <w:t>ensuring</w:t>
      </w:r>
      <w:r>
        <w:rPr>
          <w:spacing w:val="-6"/>
        </w:rPr>
        <w:t xml:space="preserve"> </w:t>
      </w:r>
      <w:r>
        <w:t>sustainability</w:t>
      </w:r>
      <w:r>
        <w:rPr>
          <w:spacing w:val="-9"/>
        </w:rPr>
        <w:t xml:space="preserve"> </w:t>
      </w:r>
      <w:r>
        <w:t>and relevance of</w:t>
      </w:r>
      <w:r>
        <w:rPr>
          <w:spacing w:val="-5"/>
        </w:rPr>
        <w:t xml:space="preserve"> </w:t>
      </w:r>
      <w:r>
        <w:t>the</w:t>
      </w:r>
      <w:r>
        <w:rPr>
          <w:spacing w:val="-4"/>
        </w:rPr>
        <w:t xml:space="preserve"> </w:t>
      </w:r>
      <w:r>
        <w:t>pension</w:t>
      </w:r>
      <w:r>
        <w:rPr>
          <w:spacing w:val="-2"/>
        </w:rPr>
        <w:t xml:space="preserve"> </w:t>
      </w:r>
      <w:r>
        <w:t>system</w:t>
      </w:r>
      <w:r>
        <w:rPr>
          <w:spacing w:val="-4"/>
        </w:rPr>
        <w:t xml:space="preserve"> </w:t>
      </w:r>
      <w:r>
        <w:t>follows</w:t>
      </w:r>
      <w:r>
        <w:rPr>
          <w:spacing w:val="-4"/>
        </w:rPr>
        <w:t xml:space="preserve"> </w:t>
      </w:r>
      <w:r>
        <w:t>the</w:t>
      </w:r>
      <w:r>
        <w:rPr>
          <w:spacing w:val="-3"/>
        </w:rPr>
        <w:t xml:space="preserve"> </w:t>
      </w:r>
      <w:r>
        <w:t>principles</w:t>
      </w:r>
      <w:r>
        <w:rPr>
          <w:spacing w:val="-58"/>
        </w:rPr>
        <w:t xml:space="preserve"> </w:t>
      </w:r>
      <w:r>
        <w:t>of the European Pillar of Social Rights related to the Income in Old Age and the Pension and</w:t>
      </w:r>
      <w:r>
        <w:rPr>
          <w:spacing w:val="1"/>
        </w:rPr>
        <w:t xml:space="preserve"> </w:t>
      </w:r>
      <w:r>
        <w:t>Social</w:t>
      </w:r>
      <w:r>
        <w:rPr>
          <w:spacing w:val="-1"/>
        </w:rPr>
        <w:t xml:space="preserve"> </w:t>
      </w:r>
      <w:r>
        <w:t>Protection.</w:t>
      </w:r>
    </w:p>
    <w:p w:rsidR="00A56FE9" w:rsidRDefault="00000000">
      <w:pPr>
        <w:pStyle w:val="Tijeloteksta"/>
        <w:spacing w:before="121"/>
        <w:ind w:right="273"/>
      </w:pPr>
      <w:r>
        <w:t>In May 2020, the National Elderly Allowance Act was adopted, which starting from 1 January</w:t>
      </w:r>
      <w:r>
        <w:rPr>
          <w:spacing w:val="-57"/>
        </w:rPr>
        <w:t xml:space="preserve"> </w:t>
      </w:r>
      <w:r>
        <w:rPr>
          <w:spacing w:val="-1"/>
        </w:rPr>
        <w:t>2021,</w:t>
      </w:r>
      <w:r>
        <w:rPr>
          <w:spacing w:val="-15"/>
        </w:rPr>
        <w:t xml:space="preserve"> </w:t>
      </w:r>
      <w:r>
        <w:t>introduces</w:t>
      </w:r>
      <w:r>
        <w:rPr>
          <w:spacing w:val="-15"/>
        </w:rPr>
        <w:t xml:space="preserve"> </w:t>
      </w:r>
      <w:r>
        <w:t>within</w:t>
      </w:r>
      <w:r>
        <w:rPr>
          <w:spacing w:val="-15"/>
        </w:rPr>
        <w:t xml:space="preserve"> </w:t>
      </w:r>
      <w:r>
        <w:t>the</w:t>
      </w:r>
      <w:r>
        <w:rPr>
          <w:spacing w:val="-16"/>
        </w:rPr>
        <w:t xml:space="preserve"> </w:t>
      </w:r>
      <w:r>
        <w:t>legal</w:t>
      </w:r>
      <w:r>
        <w:rPr>
          <w:spacing w:val="-14"/>
        </w:rPr>
        <w:t xml:space="preserve"> </w:t>
      </w:r>
      <w:r>
        <w:t>system</w:t>
      </w:r>
      <w:r>
        <w:rPr>
          <w:spacing w:val="-12"/>
        </w:rPr>
        <w:t xml:space="preserve"> </w:t>
      </w:r>
      <w:r>
        <w:t>a</w:t>
      </w:r>
      <w:r>
        <w:rPr>
          <w:spacing w:val="-16"/>
        </w:rPr>
        <w:t xml:space="preserve"> </w:t>
      </w:r>
      <w:r>
        <w:t>new</w:t>
      </w:r>
      <w:r>
        <w:rPr>
          <w:spacing w:val="-15"/>
        </w:rPr>
        <w:t xml:space="preserve"> </w:t>
      </w:r>
      <w:r>
        <w:t>national</w:t>
      </w:r>
      <w:r>
        <w:rPr>
          <w:spacing w:val="-15"/>
        </w:rPr>
        <w:t xml:space="preserve"> </w:t>
      </w:r>
      <w:r>
        <w:t>allowance</w:t>
      </w:r>
      <w:r>
        <w:rPr>
          <w:spacing w:val="-16"/>
        </w:rPr>
        <w:t xml:space="preserve"> </w:t>
      </w:r>
      <w:r>
        <w:t>for</w:t>
      </w:r>
      <w:r>
        <w:rPr>
          <w:spacing w:val="-14"/>
        </w:rPr>
        <w:t xml:space="preserve"> </w:t>
      </w:r>
      <w:r>
        <w:t>the</w:t>
      </w:r>
      <w:r>
        <w:rPr>
          <w:spacing w:val="-15"/>
        </w:rPr>
        <w:t xml:space="preserve"> </w:t>
      </w:r>
      <w:r>
        <w:t>elderly</w:t>
      </w:r>
      <w:r>
        <w:rPr>
          <w:spacing w:val="-12"/>
        </w:rPr>
        <w:t xml:space="preserve"> </w:t>
      </w:r>
      <w:r>
        <w:t>–</w:t>
      </w:r>
      <w:r>
        <w:rPr>
          <w:spacing w:val="-15"/>
        </w:rPr>
        <w:t xml:space="preserve"> </w:t>
      </w:r>
      <w:r>
        <w:t>cash</w:t>
      </w:r>
      <w:r>
        <w:rPr>
          <w:spacing w:val="-15"/>
        </w:rPr>
        <w:t xml:space="preserve"> </w:t>
      </w:r>
      <w:r>
        <w:t>benefits</w:t>
      </w:r>
      <w:r>
        <w:rPr>
          <w:spacing w:val="-57"/>
        </w:rPr>
        <w:t xml:space="preserve"> </w:t>
      </w:r>
      <w:r>
        <w:t>for Croatian citizens older than 65 years of age, with permanent residence in the Republic of</w:t>
      </w:r>
      <w:r>
        <w:rPr>
          <w:spacing w:val="1"/>
        </w:rPr>
        <w:t xml:space="preserve"> </w:t>
      </w:r>
      <w:r>
        <w:t>Croatia 20 years prior to submitting the application, and who are not pension beneficiaries nor</w:t>
      </w:r>
      <w:r>
        <w:rPr>
          <w:spacing w:val="-57"/>
        </w:rPr>
        <w:t xml:space="preserve"> </w:t>
      </w:r>
      <w:r>
        <w:t>beneficiaries of rights within the social welfare system. This allowance within the scope of</w:t>
      </w:r>
      <w:r>
        <w:rPr>
          <w:spacing w:val="1"/>
        </w:rPr>
        <w:t xml:space="preserve"> </w:t>
      </w:r>
      <w:r>
        <w:t>economic</w:t>
      </w:r>
      <w:r>
        <w:rPr>
          <w:spacing w:val="-12"/>
        </w:rPr>
        <w:t xml:space="preserve"> </w:t>
      </w:r>
      <w:r>
        <w:t>possibilities</w:t>
      </w:r>
      <w:r>
        <w:rPr>
          <w:spacing w:val="-11"/>
        </w:rPr>
        <w:t xml:space="preserve"> </w:t>
      </w:r>
      <w:r>
        <w:t>ensures</w:t>
      </w:r>
      <w:r>
        <w:rPr>
          <w:spacing w:val="-11"/>
        </w:rPr>
        <w:t xml:space="preserve"> </w:t>
      </w:r>
      <w:r>
        <w:t>an</w:t>
      </w:r>
      <w:r>
        <w:rPr>
          <w:spacing w:val="-11"/>
        </w:rPr>
        <w:t xml:space="preserve"> </w:t>
      </w:r>
      <w:r>
        <w:t>income</w:t>
      </w:r>
      <w:r>
        <w:rPr>
          <w:spacing w:val="-12"/>
        </w:rPr>
        <w:t xml:space="preserve"> </w:t>
      </w:r>
      <w:r>
        <w:t>for</w:t>
      </w:r>
      <w:r>
        <w:rPr>
          <w:spacing w:val="-13"/>
        </w:rPr>
        <w:t xml:space="preserve"> </w:t>
      </w:r>
      <w:r>
        <w:t>persons</w:t>
      </w:r>
      <w:r>
        <w:rPr>
          <w:spacing w:val="-11"/>
        </w:rPr>
        <w:t xml:space="preserve"> </w:t>
      </w:r>
      <w:r>
        <w:t>who</w:t>
      </w:r>
      <w:r>
        <w:rPr>
          <w:spacing w:val="-11"/>
        </w:rPr>
        <w:t xml:space="preserve"> </w:t>
      </w:r>
      <w:r>
        <w:t>have</w:t>
      </w:r>
      <w:r>
        <w:rPr>
          <w:spacing w:val="-12"/>
        </w:rPr>
        <w:t xml:space="preserve"> </w:t>
      </w:r>
      <w:r>
        <w:t>not</w:t>
      </w:r>
      <w:r>
        <w:rPr>
          <w:spacing w:val="-11"/>
        </w:rPr>
        <w:t xml:space="preserve"> </w:t>
      </w:r>
      <w:r>
        <w:t>set</w:t>
      </w:r>
      <w:r>
        <w:rPr>
          <w:spacing w:val="-13"/>
        </w:rPr>
        <w:t xml:space="preserve"> </w:t>
      </w:r>
      <w:r>
        <w:t>aside</w:t>
      </w:r>
      <w:r>
        <w:rPr>
          <w:spacing w:val="-11"/>
        </w:rPr>
        <w:t xml:space="preserve"> </w:t>
      </w:r>
      <w:r>
        <w:t>an</w:t>
      </w:r>
      <w:r>
        <w:rPr>
          <w:spacing w:val="-11"/>
        </w:rPr>
        <w:t xml:space="preserve"> </w:t>
      </w:r>
      <w:r>
        <w:t>income</w:t>
      </w:r>
      <w:r>
        <w:rPr>
          <w:spacing w:val="-12"/>
        </w:rPr>
        <w:t xml:space="preserve"> </w:t>
      </w:r>
      <w:r>
        <w:t>for</w:t>
      </w:r>
      <w:r>
        <w:rPr>
          <w:spacing w:val="-12"/>
        </w:rPr>
        <w:t xml:space="preserve"> </w:t>
      </w:r>
      <w:r>
        <w:t>their</w:t>
      </w:r>
      <w:r>
        <w:rPr>
          <w:spacing w:val="-58"/>
        </w:rPr>
        <w:t xml:space="preserve"> </w:t>
      </w:r>
      <w:r>
        <w:t>old</w:t>
      </w:r>
      <w:r>
        <w:rPr>
          <w:spacing w:val="-3"/>
        </w:rPr>
        <w:t xml:space="preserve"> </w:t>
      </w:r>
      <w:r>
        <w:t>age</w:t>
      </w:r>
      <w:r>
        <w:rPr>
          <w:spacing w:val="-1"/>
        </w:rPr>
        <w:t xml:space="preserve"> </w:t>
      </w:r>
      <w:r>
        <w:t>and</w:t>
      </w:r>
      <w:r>
        <w:rPr>
          <w:spacing w:val="-3"/>
        </w:rPr>
        <w:t xml:space="preserve"> </w:t>
      </w:r>
      <w:r>
        <w:t>are</w:t>
      </w:r>
      <w:r>
        <w:rPr>
          <w:spacing w:val="-6"/>
        </w:rPr>
        <w:t xml:space="preserve"> </w:t>
      </w:r>
      <w:r>
        <w:t>not</w:t>
      </w:r>
      <w:r>
        <w:rPr>
          <w:spacing w:val="-2"/>
        </w:rPr>
        <w:t xml:space="preserve"> </w:t>
      </w:r>
      <w:r>
        <w:t>in</w:t>
      </w:r>
      <w:r>
        <w:rPr>
          <w:spacing w:val="-2"/>
        </w:rPr>
        <w:t xml:space="preserve"> </w:t>
      </w:r>
      <w:r>
        <w:t>the</w:t>
      </w:r>
      <w:r>
        <w:rPr>
          <w:spacing w:val="-2"/>
        </w:rPr>
        <w:t xml:space="preserve"> </w:t>
      </w:r>
      <w:r>
        <w:t>position</w:t>
      </w:r>
      <w:r>
        <w:rPr>
          <w:spacing w:val="-3"/>
        </w:rPr>
        <w:t xml:space="preserve"> </w:t>
      </w:r>
      <w:r>
        <w:t>to</w:t>
      </w:r>
      <w:r>
        <w:rPr>
          <w:spacing w:val="-2"/>
        </w:rPr>
        <w:t xml:space="preserve"> </w:t>
      </w:r>
      <w:r>
        <w:t>do</w:t>
      </w:r>
      <w:r>
        <w:rPr>
          <w:spacing w:val="-6"/>
        </w:rPr>
        <w:t xml:space="preserve"> </w:t>
      </w:r>
      <w:r>
        <w:t>so</w:t>
      </w:r>
      <w:r>
        <w:rPr>
          <w:spacing w:val="-3"/>
        </w:rPr>
        <w:t xml:space="preserve"> </w:t>
      </w:r>
      <w:r>
        <w:t>in</w:t>
      </w:r>
      <w:r>
        <w:rPr>
          <w:spacing w:val="-2"/>
        </w:rPr>
        <w:t xml:space="preserve"> </w:t>
      </w:r>
      <w:r>
        <w:t>any</w:t>
      </w:r>
      <w:r>
        <w:rPr>
          <w:spacing w:val="-9"/>
        </w:rPr>
        <w:t xml:space="preserve"> </w:t>
      </w:r>
      <w:r>
        <w:t>other</w:t>
      </w:r>
      <w:r>
        <w:rPr>
          <w:spacing w:val="-4"/>
        </w:rPr>
        <w:t xml:space="preserve"> </w:t>
      </w:r>
      <w:r>
        <w:t>way,</w:t>
      </w:r>
      <w:r>
        <w:rPr>
          <w:spacing w:val="-3"/>
        </w:rPr>
        <w:t xml:space="preserve"> </w:t>
      </w:r>
      <w:r>
        <w:t>i.e.,</w:t>
      </w:r>
      <w:r>
        <w:rPr>
          <w:spacing w:val="-4"/>
        </w:rPr>
        <w:t xml:space="preserve"> </w:t>
      </w:r>
      <w:r>
        <w:t>they</w:t>
      </w:r>
      <w:r>
        <w:rPr>
          <w:spacing w:val="-8"/>
        </w:rPr>
        <w:t xml:space="preserve"> </w:t>
      </w:r>
      <w:r>
        <w:t>have</w:t>
      </w:r>
      <w:r>
        <w:rPr>
          <w:spacing w:val="-2"/>
        </w:rPr>
        <w:t xml:space="preserve"> </w:t>
      </w:r>
      <w:r>
        <w:t>insufficient</w:t>
      </w:r>
      <w:r>
        <w:rPr>
          <w:spacing w:val="-2"/>
        </w:rPr>
        <w:t xml:space="preserve"> </w:t>
      </w:r>
      <w:r>
        <w:t>income</w:t>
      </w:r>
      <w:r>
        <w:rPr>
          <w:spacing w:val="-58"/>
        </w:rPr>
        <w:t xml:space="preserve"> </w:t>
      </w:r>
      <w:r>
        <w:t>in their old age, as a form of social protection of this exceptionally vulnerable category of</w:t>
      </w:r>
      <w:r>
        <w:rPr>
          <w:spacing w:val="1"/>
        </w:rPr>
        <w:t xml:space="preserve"> </w:t>
      </w:r>
      <w:r>
        <w:t>citizens.</w:t>
      </w:r>
      <w:r>
        <w:rPr>
          <w:spacing w:val="1"/>
        </w:rPr>
        <w:t xml:space="preserve"> </w:t>
      </w:r>
      <w:r>
        <w:t>The</w:t>
      </w:r>
      <w:r>
        <w:rPr>
          <w:spacing w:val="1"/>
        </w:rPr>
        <w:t xml:space="preserve"> </w:t>
      </w:r>
      <w:r>
        <w:t>amount</w:t>
      </w:r>
      <w:r>
        <w:rPr>
          <w:spacing w:val="1"/>
        </w:rPr>
        <w:t xml:space="preserve"> </w:t>
      </w:r>
      <w:r>
        <w:t>of</w:t>
      </w:r>
      <w:r>
        <w:rPr>
          <w:spacing w:val="1"/>
        </w:rPr>
        <w:t xml:space="preserve"> </w:t>
      </w:r>
      <w:r>
        <w:t>the</w:t>
      </w:r>
      <w:r>
        <w:rPr>
          <w:spacing w:val="1"/>
        </w:rPr>
        <w:t xml:space="preserve"> </w:t>
      </w:r>
      <w:r>
        <w:t>national</w:t>
      </w:r>
      <w:r>
        <w:rPr>
          <w:spacing w:val="1"/>
        </w:rPr>
        <w:t xml:space="preserve"> </w:t>
      </w:r>
      <w:r>
        <w:t>elderly</w:t>
      </w:r>
      <w:r>
        <w:rPr>
          <w:spacing w:val="1"/>
        </w:rPr>
        <w:t xml:space="preserve"> </w:t>
      </w:r>
      <w:r>
        <w:t>allowance</w:t>
      </w:r>
      <w:r>
        <w:rPr>
          <w:spacing w:val="1"/>
        </w:rPr>
        <w:t xml:space="preserve"> </w:t>
      </w:r>
      <w:r>
        <w:t>from</w:t>
      </w:r>
      <w:r>
        <w:rPr>
          <w:spacing w:val="1"/>
        </w:rPr>
        <w:t xml:space="preserve"> </w:t>
      </w:r>
      <w:r>
        <w:t>1</w:t>
      </w:r>
      <w:r>
        <w:rPr>
          <w:spacing w:val="1"/>
        </w:rPr>
        <w:t xml:space="preserve"> </w:t>
      </w:r>
      <w:r>
        <w:t>January</w:t>
      </w:r>
      <w:r>
        <w:rPr>
          <w:spacing w:val="1"/>
        </w:rPr>
        <w:t xml:space="preserve"> </w:t>
      </w:r>
      <w:r>
        <w:t>2021</w:t>
      </w:r>
      <w:r>
        <w:rPr>
          <w:spacing w:val="1"/>
        </w:rPr>
        <w:t xml:space="preserve"> </w:t>
      </w:r>
      <w:r>
        <w:t>has</w:t>
      </w:r>
      <w:r>
        <w:rPr>
          <w:spacing w:val="1"/>
        </w:rPr>
        <w:t xml:space="preserve"> </w:t>
      </w:r>
      <w:r>
        <w:t>been</w:t>
      </w:r>
      <w:r>
        <w:rPr>
          <w:spacing w:val="1"/>
        </w:rPr>
        <w:t xml:space="preserve"> </w:t>
      </w:r>
      <w:r>
        <w:t>determined to amount to HRK 800.00, which is also the census for achieving rights for one or</w:t>
      </w:r>
      <w:r>
        <w:rPr>
          <w:spacing w:val="1"/>
        </w:rPr>
        <w:t xml:space="preserve"> </w:t>
      </w:r>
      <w:r>
        <w:t>more</w:t>
      </w:r>
      <w:r>
        <w:rPr>
          <w:spacing w:val="-14"/>
        </w:rPr>
        <w:t xml:space="preserve"> </w:t>
      </w:r>
      <w:r>
        <w:t>beneficiaries</w:t>
      </w:r>
      <w:r>
        <w:rPr>
          <w:spacing w:val="-12"/>
        </w:rPr>
        <w:t xml:space="preserve"> </w:t>
      </w:r>
      <w:r>
        <w:t>in</w:t>
      </w:r>
      <w:r>
        <w:rPr>
          <w:spacing w:val="-11"/>
        </w:rPr>
        <w:t xml:space="preserve"> </w:t>
      </w:r>
      <w:r>
        <w:t>the</w:t>
      </w:r>
      <w:r>
        <w:rPr>
          <w:spacing w:val="-15"/>
        </w:rPr>
        <w:t xml:space="preserve"> </w:t>
      </w:r>
      <w:r>
        <w:t>household.</w:t>
      </w:r>
      <w:r>
        <w:rPr>
          <w:spacing w:val="-12"/>
        </w:rPr>
        <w:t xml:space="preserve"> </w:t>
      </w:r>
      <w:r>
        <w:t>The</w:t>
      </w:r>
      <w:r>
        <w:rPr>
          <w:spacing w:val="-12"/>
        </w:rPr>
        <w:t xml:space="preserve"> </w:t>
      </w:r>
      <w:r>
        <w:t>national</w:t>
      </w:r>
      <w:r>
        <w:rPr>
          <w:spacing w:val="-12"/>
        </w:rPr>
        <w:t xml:space="preserve"> </w:t>
      </w:r>
      <w:r>
        <w:t>allowance</w:t>
      </w:r>
      <w:r>
        <w:rPr>
          <w:spacing w:val="-12"/>
        </w:rPr>
        <w:t xml:space="preserve"> </w:t>
      </w:r>
      <w:r>
        <w:t>will</w:t>
      </w:r>
      <w:r>
        <w:rPr>
          <w:spacing w:val="-11"/>
        </w:rPr>
        <w:t xml:space="preserve"> </w:t>
      </w:r>
      <w:r>
        <w:t>be</w:t>
      </w:r>
      <w:r>
        <w:rPr>
          <w:spacing w:val="-13"/>
        </w:rPr>
        <w:t xml:space="preserve"> </w:t>
      </w:r>
      <w:r>
        <w:t>adjusted</w:t>
      </w:r>
      <w:r>
        <w:rPr>
          <w:spacing w:val="-11"/>
        </w:rPr>
        <w:t xml:space="preserve"> </w:t>
      </w:r>
      <w:r>
        <w:t>each</w:t>
      </w:r>
      <w:r>
        <w:rPr>
          <w:spacing w:val="-12"/>
        </w:rPr>
        <w:t xml:space="preserve"> </w:t>
      </w:r>
      <w:r>
        <w:t>calendar</w:t>
      </w:r>
      <w:r>
        <w:rPr>
          <w:spacing w:val="-10"/>
        </w:rPr>
        <w:t xml:space="preserve"> </w:t>
      </w:r>
      <w:r>
        <w:t>year</w:t>
      </w:r>
      <w:r>
        <w:rPr>
          <w:spacing w:val="-57"/>
        </w:rPr>
        <w:t xml:space="preserve"> </w:t>
      </w:r>
      <w:r>
        <w:t>according to the rate of change in the consumer price index starting from 1 January 2022, and</w:t>
      </w:r>
      <w:r>
        <w:rPr>
          <w:spacing w:val="1"/>
        </w:rPr>
        <w:t xml:space="preserve"> </w:t>
      </w:r>
      <w:r>
        <w:rPr>
          <w:spacing w:val="-1"/>
        </w:rPr>
        <w:t>the</w:t>
      </w:r>
      <w:r>
        <w:rPr>
          <w:spacing w:val="-13"/>
        </w:rPr>
        <w:t xml:space="preserve"> </w:t>
      </w:r>
      <w:r>
        <w:rPr>
          <w:spacing w:val="-1"/>
        </w:rPr>
        <w:t>decision</w:t>
      </w:r>
      <w:r>
        <w:rPr>
          <w:spacing w:val="-12"/>
        </w:rPr>
        <w:t xml:space="preserve"> </w:t>
      </w:r>
      <w:r>
        <w:t>will</w:t>
      </w:r>
      <w:r>
        <w:rPr>
          <w:spacing w:val="-12"/>
        </w:rPr>
        <w:t xml:space="preserve"> </w:t>
      </w:r>
      <w:r>
        <w:t>be</w:t>
      </w:r>
      <w:r>
        <w:rPr>
          <w:spacing w:val="-13"/>
        </w:rPr>
        <w:t xml:space="preserve"> </w:t>
      </w:r>
      <w:r>
        <w:t>made</w:t>
      </w:r>
      <w:r>
        <w:rPr>
          <w:spacing w:val="-11"/>
        </w:rPr>
        <w:t xml:space="preserve"> </w:t>
      </w:r>
      <w:r>
        <w:t>by</w:t>
      </w:r>
      <w:r>
        <w:rPr>
          <w:spacing w:val="-16"/>
        </w:rPr>
        <w:t xml:space="preserve"> </w:t>
      </w:r>
      <w:r>
        <w:t>the</w:t>
      </w:r>
      <w:r>
        <w:rPr>
          <w:spacing w:val="-11"/>
        </w:rPr>
        <w:t xml:space="preserve"> </w:t>
      </w:r>
      <w:r>
        <w:t>Governing</w:t>
      </w:r>
      <w:r>
        <w:rPr>
          <w:spacing w:val="-13"/>
        </w:rPr>
        <w:t xml:space="preserve"> </w:t>
      </w:r>
      <w:r>
        <w:t>Council</w:t>
      </w:r>
      <w:r>
        <w:rPr>
          <w:spacing w:val="-12"/>
        </w:rPr>
        <w:t xml:space="preserve"> </w:t>
      </w:r>
      <w:r>
        <w:t>of</w:t>
      </w:r>
      <w:r>
        <w:rPr>
          <w:spacing w:val="-13"/>
        </w:rPr>
        <w:t xml:space="preserve"> </w:t>
      </w:r>
      <w:r>
        <w:t>the</w:t>
      </w:r>
      <w:r>
        <w:rPr>
          <w:spacing w:val="-12"/>
        </w:rPr>
        <w:t xml:space="preserve"> </w:t>
      </w:r>
      <w:r>
        <w:t>Croatian</w:t>
      </w:r>
      <w:r>
        <w:rPr>
          <w:spacing w:val="-12"/>
        </w:rPr>
        <w:t xml:space="preserve"> </w:t>
      </w:r>
      <w:r>
        <w:t>Pension</w:t>
      </w:r>
      <w:r>
        <w:rPr>
          <w:spacing w:val="-10"/>
        </w:rPr>
        <w:t xml:space="preserve"> </w:t>
      </w:r>
      <w:r>
        <w:t>Insurance</w:t>
      </w:r>
      <w:r>
        <w:rPr>
          <w:spacing w:val="-11"/>
        </w:rPr>
        <w:t xml:space="preserve"> </w:t>
      </w:r>
      <w:r>
        <w:t>Institute.</w:t>
      </w:r>
      <w:r>
        <w:rPr>
          <w:spacing w:val="-57"/>
        </w:rPr>
        <w:t xml:space="preserve"> </w:t>
      </w:r>
      <w:r>
        <w:t>In 2021, the national elderly allowance was received by 5,696 beneficiaries, for which a total</w:t>
      </w:r>
      <w:r>
        <w:rPr>
          <w:spacing w:val="1"/>
        </w:rPr>
        <w:t xml:space="preserve"> </w:t>
      </w:r>
      <w:r>
        <w:t>of HRK 4.5 million was secured from the state budget. The average age of beneficiaries of the</w:t>
      </w:r>
      <w:r>
        <w:rPr>
          <w:spacing w:val="-57"/>
        </w:rPr>
        <w:t xml:space="preserve"> </w:t>
      </w:r>
      <w:r>
        <w:t>national elderly allowance is 73 years. According to a breakdown of the share of males and</w:t>
      </w:r>
      <w:r>
        <w:rPr>
          <w:spacing w:val="1"/>
        </w:rPr>
        <w:t xml:space="preserve"> </w:t>
      </w:r>
      <w:r>
        <w:t>females, of the total number of beneficiaries, 64.94% are women and 35.06% are men. Also, a</w:t>
      </w:r>
      <w:r>
        <w:rPr>
          <w:spacing w:val="-57"/>
        </w:rPr>
        <w:t xml:space="preserve"> </w:t>
      </w:r>
      <w:r>
        <w:t>large share of the beneficiaries are persons living in single-person households, in all 2,752 of</w:t>
      </w:r>
      <w:r>
        <w:rPr>
          <w:spacing w:val="1"/>
        </w:rPr>
        <w:t xml:space="preserve"> </w:t>
      </w:r>
      <w:r>
        <w:t>them.</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5"/>
        <w:spacing w:before="79"/>
      </w:pPr>
      <w:r>
        <w:t>Planned</w:t>
      </w:r>
      <w:r>
        <w:rPr>
          <w:spacing w:val="-1"/>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982086222"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575190726" name="Rectangle 122"/>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27E7151" id="Group 121"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P8tYYxQAgAADwUAAA4AAAAAAAAAAAAAAAAALgIAAGRycy9lMm9Eb2MueG1sUEsBAi0AFAAGAAgA&#10;AAAhAOjoSp3cAAAAAwEAAA8AAAAAAAAAAAAAAAAAqgQAAGRycy9kb3ducmV2LnhtbFBLBQYAAAAA&#10;BAAEAPMAAACzBQAAAAA=&#10;">
                <v:rect id="Rectangle 122"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" fillcolor="#2c398a" stroked="f"/>
                <w10:anchorlock/>
              </v:group>
            </w:pict>
          </mc:Fallback>
        </mc:AlternateContent>
      </w:r>
    </w:p>
    <w:p w:rsidR="00A56FE9" w:rsidRDefault="00000000">
      <w:pPr>
        <w:pStyle w:val="Tijeloteksta"/>
        <w:spacing w:before="154"/>
        <w:ind w:right="270"/>
      </w:pPr>
      <w:r>
        <w:t>Implementation of the</w:t>
      </w:r>
      <w:r>
        <w:rPr>
          <w:spacing w:val="1"/>
        </w:rPr>
        <w:t xml:space="preserve"> </w:t>
      </w:r>
      <w:r>
        <w:t xml:space="preserve">NRRP reform </w:t>
      </w:r>
      <w:r>
        <w:rPr>
          <w:b/>
        </w:rPr>
        <w:t>C4.2. R1 Increasing Pension Adequacy Through</w:t>
      </w:r>
      <w:r>
        <w:rPr>
          <w:b/>
          <w:spacing w:val="1"/>
        </w:rPr>
        <w:t xml:space="preserve"> </w:t>
      </w:r>
      <w:r>
        <w:rPr>
          <w:b/>
        </w:rPr>
        <w:t>Continued</w:t>
      </w:r>
      <w:r>
        <w:rPr>
          <w:b/>
          <w:spacing w:val="1"/>
        </w:rPr>
        <w:t xml:space="preserve"> </w:t>
      </w:r>
      <w:r>
        <w:rPr>
          <w:b/>
        </w:rPr>
        <w:t>Pension</w:t>
      </w:r>
      <w:r>
        <w:rPr>
          <w:b/>
          <w:spacing w:val="1"/>
        </w:rPr>
        <w:t xml:space="preserve"> </w:t>
      </w:r>
      <w:r>
        <w:rPr>
          <w:b/>
        </w:rPr>
        <w:t>Reform</w:t>
      </w:r>
      <w:r>
        <w:rPr>
          <w:b/>
          <w:spacing w:val="1"/>
        </w:rPr>
        <w:t xml:space="preserve"> </w:t>
      </w:r>
      <w:r>
        <w:t>seeks</w:t>
      </w:r>
      <w:r>
        <w:rPr>
          <w:spacing w:val="1"/>
        </w:rPr>
        <w:t xml:space="preserve"> </w:t>
      </w:r>
      <w:r>
        <w:t>to</w:t>
      </w:r>
      <w:r>
        <w:rPr>
          <w:spacing w:val="1"/>
        </w:rPr>
        <w:t xml:space="preserve"> </w:t>
      </w:r>
      <w:r>
        <w:t>overcome</w:t>
      </w:r>
      <w:r>
        <w:rPr>
          <w:spacing w:val="1"/>
        </w:rPr>
        <w:t xml:space="preserve"> </w:t>
      </w:r>
      <w:r>
        <w:t>these</w:t>
      </w:r>
      <w:r>
        <w:rPr>
          <w:spacing w:val="1"/>
        </w:rPr>
        <w:t xml:space="preserve"> </w:t>
      </w:r>
      <w:r>
        <w:t>challenges</w:t>
      </w:r>
      <w:r>
        <w:rPr>
          <w:spacing w:val="1"/>
        </w:rPr>
        <w:t xml:space="preserve"> </w:t>
      </w:r>
      <w:r>
        <w:t>in</w:t>
      </w:r>
      <w:r>
        <w:rPr>
          <w:spacing w:val="1"/>
        </w:rPr>
        <w:t xml:space="preserve"> </w:t>
      </w:r>
      <w:r>
        <w:t>the</w:t>
      </w:r>
      <w:r>
        <w:rPr>
          <w:spacing w:val="1"/>
        </w:rPr>
        <w:t xml:space="preserve"> </w:t>
      </w:r>
      <w:r>
        <w:t>medium</w:t>
      </w:r>
      <w:r>
        <w:rPr>
          <w:spacing w:val="1"/>
        </w:rPr>
        <w:t xml:space="preserve"> </w:t>
      </w:r>
      <w:r>
        <w:t>term.</w:t>
      </w:r>
      <w:r>
        <w:rPr>
          <w:spacing w:val="1"/>
        </w:rPr>
        <w:t xml:space="preserve"> </w:t>
      </w:r>
      <w:r>
        <w:t>Accordingly, the reform will be implemented using several key milestones measures, and in</w:t>
      </w:r>
      <w:r>
        <w:rPr>
          <w:spacing w:val="1"/>
        </w:rPr>
        <w:t xml:space="preserve"> </w:t>
      </w:r>
      <w:r>
        <w:t xml:space="preserve">2022 the plan is to achieve the key point of </w:t>
      </w:r>
      <w:r>
        <w:rPr>
          <w:b/>
        </w:rPr>
        <w:t>Adoption of Amendments to the Pension</w:t>
      </w:r>
      <w:r>
        <w:rPr>
          <w:b/>
          <w:spacing w:val="1"/>
        </w:rPr>
        <w:t xml:space="preserve"> </w:t>
      </w:r>
      <w:r>
        <w:rPr>
          <w:b/>
        </w:rPr>
        <w:t>Insurance Act</w:t>
      </w:r>
      <w:r>
        <w:t>, with an implementation deadline is Q1/2023. Modifying the legal framework</w:t>
      </w:r>
      <w:r>
        <w:rPr>
          <w:spacing w:val="1"/>
        </w:rPr>
        <w:t xml:space="preserve"> </w:t>
      </w:r>
      <w:r>
        <w:t>includes plans to increase the pension factor, which will increase the pension for all family</w:t>
      </w:r>
      <w:r>
        <w:rPr>
          <w:spacing w:val="1"/>
        </w:rPr>
        <w:t xml:space="preserve"> </w:t>
      </w:r>
      <w:r>
        <w:t>pension beneficiaries and enable using part of the pension of the deceased spouse/extramarital</w:t>
      </w:r>
      <w:r>
        <w:rPr>
          <w:spacing w:val="-57"/>
        </w:rPr>
        <w:t xml:space="preserve"> </w:t>
      </w:r>
      <w:r>
        <w:t>partner in addition to the personal pension (old age, early old age, disability). Furthermore, the</w:t>
      </w:r>
      <w:r>
        <w:rPr>
          <w:spacing w:val="-57"/>
        </w:rPr>
        <w:t xml:space="preserve"> </w:t>
      </w:r>
      <w:r>
        <w:t>plan is to further raise the lower level of pension insurance rights by increasing the minimum</w:t>
      </w:r>
      <w:r>
        <w:rPr>
          <w:spacing w:val="1"/>
        </w:rPr>
        <w:t xml:space="preserve"> </w:t>
      </w:r>
      <w:r>
        <w:t>pension. Regular adjustments of pensions twice a year will gradually increase the amount of</w:t>
      </w:r>
      <w:r>
        <w:rPr>
          <w:spacing w:val="1"/>
        </w:rPr>
        <w:t xml:space="preserve"> </w:t>
      </w:r>
      <w:r>
        <w:t>the</w:t>
      </w:r>
      <w:r>
        <w:rPr>
          <w:spacing w:val="-6"/>
        </w:rPr>
        <w:t xml:space="preserve"> </w:t>
      </w:r>
      <w:r>
        <w:t>lowest</w:t>
      </w:r>
      <w:r>
        <w:rPr>
          <w:spacing w:val="-4"/>
        </w:rPr>
        <w:t xml:space="preserve"> </w:t>
      </w:r>
      <w:r>
        <w:t>pension</w:t>
      </w:r>
      <w:r>
        <w:rPr>
          <w:spacing w:val="-5"/>
        </w:rPr>
        <w:t xml:space="preserve"> </w:t>
      </w:r>
      <w:r>
        <w:t>by</w:t>
      </w:r>
      <w:r>
        <w:rPr>
          <w:spacing w:val="-7"/>
        </w:rPr>
        <w:t xml:space="preserve"> </w:t>
      </w:r>
      <w:r>
        <w:t>a</w:t>
      </w:r>
      <w:r>
        <w:rPr>
          <w:spacing w:val="-5"/>
        </w:rPr>
        <w:t xml:space="preserve"> </w:t>
      </w:r>
      <w:r>
        <w:t>total</w:t>
      </w:r>
      <w:r>
        <w:rPr>
          <w:spacing w:val="-5"/>
        </w:rPr>
        <w:t xml:space="preserve"> </w:t>
      </w:r>
      <w:r>
        <w:t>of</w:t>
      </w:r>
      <w:r>
        <w:rPr>
          <w:spacing w:val="-5"/>
        </w:rPr>
        <w:t xml:space="preserve"> </w:t>
      </w:r>
      <w:r>
        <w:t>3%</w:t>
      </w:r>
      <w:r>
        <w:rPr>
          <w:spacing w:val="-4"/>
        </w:rPr>
        <w:t xml:space="preserve"> </w:t>
      </w:r>
      <w:r>
        <w:t>(by</w:t>
      </w:r>
      <w:r>
        <w:rPr>
          <w:spacing w:val="-9"/>
        </w:rPr>
        <w:t xml:space="preserve"> </w:t>
      </w:r>
      <w:r>
        <w:t>1.5%</w:t>
      </w:r>
      <w:r>
        <w:rPr>
          <w:spacing w:val="-3"/>
        </w:rPr>
        <w:t xml:space="preserve"> </w:t>
      </w:r>
      <w:r>
        <w:t>from</w:t>
      </w:r>
      <w:r>
        <w:rPr>
          <w:spacing w:val="-3"/>
        </w:rPr>
        <w:t xml:space="preserve"> </w:t>
      </w:r>
      <w:r>
        <w:t>1</w:t>
      </w:r>
      <w:r>
        <w:rPr>
          <w:spacing w:val="-2"/>
        </w:rPr>
        <w:t xml:space="preserve"> </w:t>
      </w:r>
      <w:r>
        <w:t>January</w:t>
      </w:r>
      <w:r>
        <w:rPr>
          <w:spacing w:val="-7"/>
        </w:rPr>
        <w:t xml:space="preserve"> </w:t>
      </w:r>
      <w:r>
        <w:t>2023</w:t>
      </w:r>
      <w:r>
        <w:rPr>
          <w:spacing w:val="-4"/>
        </w:rPr>
        <w:t xml:space="preserve"> </w:t>
      </w:r>
      <w:r>
        <w:t>and</w:t>
      </w:r>
      <w:r>
        <w:rPr>
          <w:spacing w:val="-2"/>
        </w:rPr>
        <w:t xml:space="preserve"> </w:t>
      </w:r>
      <w:r>
        <w:t>by</w:t>
      </w:r>
      <w:r>
        <w:rPr>
          <w:spacing w:val="-10"/>
        </w:rPr>
        <w:t xml:space="preserve"> </w:t>
      </w:r>
      <w:r>
        <w:t>1.5%</w:t>
      </w:r>
      <w:r>
        <w:rPr>
          <w:spacing w:val="-5"/>
        </w:rPr>
        <w:t xml:space="preserve"> </w:t>
      </w:r>
      <w:r>
        <w:t>from</w:t>
      </w:r>
      <w:r>
        <w:rPr>
          <w:spacing w:val="-4"/>
        </w:rPr>
        <w:t xml:space="preserve"> </w:t>
      </w:r>
      <w:r>
        <w:t>1</w:t>
      </w:r>
      <w:r>
        <w:rPr>
          <w:spacing w:val="-4"/>
        </w:rPr>
        <w:t xml:space="preserve"> </w:t>
      </w:r>
      <w:r>
        <w:t>January</w:t>
      </w:r>
      <w:r>
        <w:rPr>
          <w:spacing w:val="-57"/>
        </w:rPr>
        <w:t xml:space="preserve"> </w:t>
      </w:r>
      <w:r>
        <w:t>2025).</w:t>
      </w:r>
    </w:p>
    <w:p w:rsidR="00A56FE9" w:rsidRDefault="00A56FE9">
      <w:pPr>
        <w:pStyle w:val="Tijeloteksta"/>
        <w:ind w:left="0"/>
        <w:jc w:val="left"/>
        <w:rPr>
          <w:sz w:val="26"/>
        </w:rPr>
      </w:pPr>
    </w:p>
    <w:p w:rsidR="00A56FE9" w:rsidRDefault="00000000">
      <w:pPr>
        <w:pStyle w:val="Naslov3"/>
      </w:pPr>
      <w:bookmarkStart w:id="26" w:name="_bookmark26"/>
      <w:bookmarkEnd w:id="26"/>
      <w:r>
        <w:rPr>
          <w:rFonts w:ascii="Times New Roman"/>
          <w:b/>
          <w:color w:val="2C398A"/>
        </w:rPr>
        <w:t>C4.3.</w:t>
      </w:r>
      <w:r>
        <w:rPr>
          <w:rFonts w:ascii="Times New Roman"/>
          <w:b/>
          <w:color w:val="2C398A"/>
          <w:spacing w:val="-3"/>
        </w:rPr>
        <w:t xml:space="preserve"> </w:t>
      </w:r>
      <w:r>
        <w:rPr>
          <w:color w:val="003399"/>
        </w:rPr>
        <w:t>Improving</w:t>
      </w:r>
      <w:r>
        <w:rPr>
          <w:color w:val="003399"/>
          <w:spacing w:val="-15"/>
        </w:rPr>
        <w:t xml:space="preserve"> </w:t>
      </w:r>
      <w:r>
        <w:rPr>
          <w:color w:val="003399"/>
        </w:rPr>
        <w:t>the</w:t>
      </w:r>
      <w:r>
        <w:rPr>
          <w:color w:val="003399"/>
          <w:spacing w:val="-15"/>
        </w:rPr>
        <w:t xml:space="preserve"> </w:t>
      </w:r>
      <w:r>
        <w:rPr>
          <w:color w:val="003399"/>
        </w:rPr>
        <w:t>social</w:t>
      </w:r>
      <w:r>
        <w:rPr>
          <w:color w:val="003399"/>
          <w:spacing w:val="-15"/>
        </w:rPr>
        <w:t xml:space="preserve"> </w:t>
      </w:r>
      <w:r>
        <w:rPr>
          <w:color w:val="003399"/>
        </w:rPr>
        <w:t>welfare</w:t>
      </w:r>
      <w:r>
        <w:rPr>
          <w:color w:val="003399"/>
          <w:spacing w:val="-15"/>
        </w:rPr>
        <w:t xml:space="preserve"> </w:t>
      </w:r>
      <w:r>
        <w:rPr>
          <w:color w:val="003399"/>
        </w:rPr>
        <w:t>system</w:t>
      </w:r>
    </w:p>
    <w:p w:rsidR="00A56FE9" w:rsidRDefault="00A56FE9">
      <w:pPr>
        <w:pStyle w:val="Tijeloteksta"/>
        <w:spacing w:before="7"/>
        <w:ind w:left="0"/>
        <w:jc w:val="left"/>
        <w:rPr>
          <w:rFonts w:ascii="Calibri Light"/>
          <w:sz w:val="29"/>
        </w:rPr>
      </w:pPr>
    </w:p>
    <w:p w:rsidR="00A56FE9" w:rsidRDefault="00CC1B9B">
      <w:pPr>
        <w:pStyle w:val="Naslov4"/>
        <w:spacing w:before="1"/>
      </w:pPr>
      <w:r>
        <w:rPr>
          <w:noProof/>
        </w:rPr>
        <mc:AlternateContent>
          <mc:Choice Requires="wps">
            <w:drawing>
              <wp:anchor distT="0" distB="0" distL="114300" distR="114300" simplePos="0" relativeHeight="15802880" behindDoc="0" locked="0" layoutInCell="1" allowOverlap="1">
                <wp:simplePos x="0" y="0"/>
                <wp:positionH relativeFrom="page">
                  <wp:posOffset>814070</wp:posOffset>
                </wp:positionH>
                <wp:positionV relativeFrom="paragraph">
                  <wp:posOffset>-76835</wp:posOffset>
                </wp:positionV>
                <wp:extent cx="18415" cy="342900"/>
                <wp:effectExtent l="0" t="0" r="0" b="0"/>
                <wp:wrapNone/>
                <wp:docPr id="1536290352"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35181" id="Rectangle 120" o:spid="_x0000_s1026" style="position:absolute;margin-left:64.1pt;margin-top:-6.05pt;width:1.45pt;height:27pt;z-index:1580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" fillcolor="#da1f2c" stroked="f">
                <w10:wrap anchorx="page"/>
              </v:rect>
            </w:pict>
          </mc:Fallback>
        </mc:AlternateContent>
      </w:r>
      <w:r w:rsidR="00000000">
        <w:rPr>
          <w:color w:val="2C398A"/>
        </w:rPr>
        <w:t>Integrating</w:t>
      </w:r>
      <w:r w:rsidR="00000000">
        <w:rPr>
          <w:color w:val="2C398A"/>
          <w:spacing w:val="-6"/>
        </w:rPr>
        <w:t xml:space="preserve"> </w:t>
      </w:r>
      <w:r w:rsidR="00000000">
        <w:rPr>
          <w:color w:val="2C398A"/>
        </w:rPr>
        <w:t>welfare</w:t>
      </w:r>
      <w:r w:rsidR="00000000">
        <w:rPr>
          <w:color w:val="2C398A"/>
          <w:spacing w:val="-6"/>
        </w:rPr>
        <w:t xml:space="preserve"> </w:t>
      </w:r>
      <w:r w:rsidR="00000000">
        <w:rPr>
          <w:color w:val="2C398A"/>
        </w:rPr>
        <w:t>benefits</w:t>
      </w:r>
    </w:p>
    <w:p w:rsidR="00A56FE9" w:rsidRDefault="00000000">
      <w:pPr>
        <w:spacing w:before="233"/>
        <w:ind w:left="138" w:right="273"/>
        <w:jc w:val="both"/>
        <w:rPr>
          <w:i/>
          <w:sz w:val="24"/>
        </w:rPr>
      </w:pPr>
      <w:r>
        <w:rPr>
          <w:i/>
          <w:color w:val="2C398A"/>
          <w:sz w:val="24"/>
        </w:rPr>
        <w:t>2019.CSR2.2.</w:t>
      </w:r>
      <w:r>
        <w:rPr>
          <w:i/>
          <w:color w:val="2C398A"/>
          <w:spacing w:val="1"/>
          <w:sz w:val="24"/>
        </w:rPr>
        <w:t xml:space="preserve"> </w:t>
      </w:r>
      <w:r>
        <w:rPr>
          <w:i/>
          <w:color w:val="2C398A"/>
          <w:sz w:val="24"/>
        </w:rPr>
        <w:t>Consolidate</w:t>
      </w:r>
      <w:r>
        <w:rPr>
          <w:i/>
          <w:color w:val="2C398A"/>
          <w:spacing w:val="1"/>
          <w:sz w:val="24"/>
        </w:rPr>
        <w:t xml:space="preserve"> </w:t>
      </w:r>
      <w:r>
        <w:rPr>
          <w:i/>
          <w:color w:val="2C398A"/>
          <w:sz w:val="24"/>
        </w:rPr>
        <w:t>social</w:t>
      </w:r>
      <w:r>
        <w:rPr>
          <w:i/>
          <w:color w:val="2C398A"/>
          <w:spacing w:val="1"/>
          <w:sz w:val="24"/>
        </w:rPr>
        <w:t xml:space="preserve"> </w:t>
      </w:r>
      <w:r>
        <w:rPr>
          <w:i/>
          <w:color w:val="2C398A"/>
          <w:sz w:val="24"/>
        </w:rPr>
        <w:t>benefits</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improve</w:t>
      </w:r>
      <w:r>
        <w:rPr>
          <w:i/>
          <w:color w:val="2C398A"/>
          <w:spacing w:val="1"/>
          <w:sz w:val="24"/>
        </w:rPr>
        <w:t xml:space="preserve"> </w:t>
      </w:r>
      <w:r>
        <w:rPr>
          <w:i/>
          <w:color w:val="2C398A"/>
          <w:sz w:val="24"/>
        </w:rPr>
        <w:t>their</w:t>
      </w:r>
      <w:r>
        <w:rPr>
          <w:i/>
          <w:color w:val="2C398A"/>
          <w:spacing w:val="1"/>
          <w:sz w:val="24"/>
        </w:rPr>
        <w:t xml:space="preserve"> </w:t>
      </w:r>
      <w:r>
        <w:rPr>
          <w:i/>
          <w:color w:val="2C398A"/>
          <w:sz w:val="24"/>
        </w:rPr>
        <w:t>capacity</w:t>
      </w:r>
      <w:r>
        <w:rPr>
          <w:i/>
          <w:color w:val="2C398A"/>
          <w:spacing w:val="1"/>
          <w:sz w:val="24"/>
        </w:rPr>
        <w:t xml:space="preserve"> </w:t>
      </w:r>
      <w:r>
        <w:rPr>
          <w:i/>
          <w:color w:val="2C398A"/>
          <w:sz w:val="24"/>
        </w:rPr>
        <w:t>to</w:t>
      </w:r>
      <w:r>
        <w:rPr>
          <w:i/>
          <w:color w:val="2C398A"/>
          <w:spacing w:val="1"/>
          <w:sz w:val="24"/>
        </w:rPr>
        <w:t xml:space="preserve"> </w:t>
      </w:r>
      <w:r>
        <w:rPr>
          <w:i/>
          <w:color w:val="2C398A"/>
          <w:sz w:val="24"/>
        </w:rPr>
        <w:t>reduce</w:t>
      </w:r>
      <w:r>
        <w:rPr>
          <w:i/>
          <w:color w:val="2C398A"/>
          <w:spacing w:val="1"/>
          <w:sz w:val="24"/>
        </w:rPr>
        <w:t xml:space="preserve"> </w:t>
      </w:r>
      <w:r>
        <w:rPr>
          <w:i/>
          <w:color w:val="2C398A"/>
          <w:sz w:val="24"/>
        </w:rPr>
        <w:t>poverty;</w:t>
      </w:r>
      <w:r>
        <w:rPr>
          <w:i/>
          <w:color w:val="2C398A"/>
          <w:spacing w:val="-57"/>
          <w:sz w:val="24"/>
        </w:rPr>
        <w:t xml:space="preserve"> </w:t>
      </w:r>
      <w:r>
        <w:rPr>
          <w:i/>
          <w:color w:val="2C398A"/>
          <w:sz w:val="24"/>
        </w:rPr>
        <w:t>2020.CSR2.1. Strengthen labour market measures and institutions and improve the adequacy</w:t>
      </w:r>
      <w:r>
        <w:rPr>
          <w:i/>
          <w:color w:val="2C398A"/>
          <w:spacing w:val="1"/>
          <w:sz w:val="24"/>
        </w:rPr>
        <w:t xml:space="preserve"> </w:t>
      </w:r>
      <w:r>
        <w:rPr>
          <w:i/>
          <w:color w:val="2C398A"/>
          <w:sz w:val="24"/>
        </w:rPr>
        <w:t>of unemployment benefits and minimum income schemes; 2020.CSR2.2. Increase access to</w:t>
      </w:r>
      <w:r>
        <w:rPr>
          <w:i/>
          <w:color w:val="2C398A"/>
          <w:spacing w:val="1"/>
          <w:sz w:val="24"/>
        </w:rPr>
        <w:t xml:space="preserve"> </w:t>
      </w:r>
      <w:r>
        <w:rPr>
          <w:i/>
          <w:color w:val="2C398A"/>
          <w:sz w:val="24"/>
        </w:rPr>
        <w:t>digital</w:t>
      </w:r>
      <w:r>
        <w:rPr>
          <w:i/>
          <w:color w:val="2C398A"/>
          <w:spacing w:val="-1"/>
          <w:sz w:val="24"/>
        </w:rPr>
        <w:t xml:space="preserve"> </w:t>
      </w:r>
      <w:r>
        <w:rPr>
          <w:i/>
          <w:color w:val="2C398A"/>
          <w:sz w:val="24"/>
        </w:rPr>
        <w:t>infrastructure and services</w:t>
      </w:r>
    </w:p>
    <w:p w:rsidR="00A56FE9" w:rsidRDefault="00A56FE9">
      <w:pPr>
        <w:pStyle w:val="Tijeloteksta"/>
        <w:spacing w:before="9"/>
        <w:ind w:left="0"/>
        <w:jc w:val="left"/>
        <w:rPr>
          <w:i/>
          <w:sz w:val="3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8" w:lineRule="exact"/>
        <w:ind w:left="110"/>
        <w:jc w:val="left"/>
        <w:rPr>
          <w:sz w:val="2"/>
        </w:rPr>
      </w:pPr>
      <w:r>
        <w:rPr>
          <w:noProof/>
          <w:sz w:val="2"/>
        </w:rPr>
        <mc:AlternateContent>
          <mc:Choice Requires="wpg">
            <w:drawing>
              <wp:inline distT="0" distB="0" distL="0" distR="0">
                <wp:extent cx="3277235" cy="18415"/>
                <wp:effectExtent l="0" t="0" r="0" b="635"/>
                <wp:docPr id="838334132"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8415"/>
                          <a:chOff x="0" y="0"/>
                          <a:chExt cx="5161" cy="29"/>
                        </a:xfrm>
                      </wpg:grpSpPr>
                      <wps:wsp>
                        <wps:cNvPr id="1730839823" name="Rectangle 119"/>
                        <wps:cNvSpPr>
                          <a:spLocks noChangeArrowheads="1"/>
                        </wps:cNvSpPr>
                        <wps:spPr bwMode="auto">
                          <a:xfrm>
                            <a:off x="0" y="0"/>
                            <a:ext cx="5161" cy="29"/>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C259990" id="Group 118" o:spid="_x0000_s1026" style="width:258.05pt;height:1.45pt;mso-position-horizontal-relative:char;mso-position-vertical-relative:line" coordsize="516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">
                <v:rect id="Rectangle 119" o:spid="_x0000_s1027" style="position:absolute;width:516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" fillcolor="#2c398a" stroked="f"/>
                <w10:anchorlock/>
              </v:group>
            </w:pict>
          </mc:Fallback>
        </mc:AlternateContent>
      </w:r>
    </w:p>
    <w:p w:rsidR="00A56FE9" w:rsidRDefault="00000000">
      <w:pPr>
        <w:pStyle w:val="Tijeloteksta"/>
        <w:spacing w:before="156"/>
        <w:ind w:right="274"/>
      </w:pPr>
      <w:r>
        <w:t>Analysis</w:t>
      </w:r>
      <w:r>
        <w:rPr>
          <w:spacing w:val="1"/>
        </w:rPr>
        <w:t xml:space="preserve"> </w:t>
      </w:r>
      <w:r>
        <w:t>of</w:t>
      </w:r>
      <w:r>
        <w:rPr>
          <w:spacing w:val="1"/>
        </w:rPr>
        <w:t xml:space="preserve"> </w:t>
      </w:r>
      <w:r>
        <w:t>the</w:t>
      </w:r>
      <w:r>
        <w:rPr>
          <w:spacing w:val="1"/>
        </w:rPr>
        <w:t xml:space="preserve"> </w:t>
      </w:r>
      <w:r>
        <w:t>social</w:t>
      </w:r>
      <w:r>
        <w:rPr>
          <w:spacing w:val="1"/>
        </w:rPr>
        <w:t xml:space="preserve"> </w:t>
      </w:r>
      <w:r>
        <w:t>welfare</w:t>
      </w:r>
      <w:r>
        <w:rPr>
          <w:spacing w:val="1"/>
        </w:rPr>
        <w:t xml:space="preserve"> </w:t>
      </w:r>
      <w:r>
        <w:t>benefits</w:t>
      </w:r>
      <w:r>
        <w:rPr>
          <w:spacing w:val="1"/>
        </w:rPr>
        <w:t xml:space="preserve"> </w:t>
      </w:r>
      <w:r>
        <w:t>conducted</w:t>
      </w:r>
      <w:r>
        <w:rPr>
          <w:spacing w:val="1"/>
        </w:rPr>
        <w:t xml:space="preserve"> </w:t>
      </w:r>
      <w:r>
        <w:t>within</w:t>
      </w:r>
      <w:r>
        <w:rPr>
          <w:spacing w:val="1"/>
        </w:rPr>
        <w:t xml:space="preserve"> </w:t>
      </w:r>
      <w:r>
        <w:t>the</w:t>
      </w:r>
      <w:r>
        <w:rPr>
          <w:spacing w:val="1"/>
        </w:rPr>
        <w:t xml:space="preserve"> </w:t>
      </w:r>
      <w:r>
        <w:t>framework</w:t>
      </w:r>
      <w:r>
        <w:rPr>
          <w:spacing w:val="1"/>
        </w:rPr>
        <w:t xml:space="preserve"> </w:t>
      </w:r>
      <w:r>
        <w:t>of</w:t>
      </w:r>
      <w:r>
        <w:rPr>
          <w:spacing w:val="1"/>
        </w:rPr>
        <w:t xml:space="preserve"> </w:t>
      </w:r>
      <w:r>
        <w:t>the</w:t>
      </w:r>
      <w:r>
        <w:rPr>
          <w:spacing w:val="1"/>
        </w:rPr>
        <w:t xml:space="preserve"> </w:t>
      </w:r>
      <w:r>
        <w:t>project</w:t>
      </w:r>
      <w:r>
        <w:rPr>
          <w:spacing w:val="1"/>
        </w:rPr>
        <w:t xml:space="preserve"> </w:t>
      </w:r>
      <w:r>
        <w:rPr>
          <w:spacing w:val="-1"/>
        </w:rPr>
        <w:t>Synergetic</w:t>
      </w:r>
      <w:r>
        <w:rPr>
          <w:spacing w:val="-16"/>
        </w:rPr>
        <w:t xml:space="preserve"> </w:t>
      </w:r>
      <w:r>
        <w:rPr>
          <w:spacing w:val="-1"/>
        </w:rPr>
        <w:t>Social</w:t>
      </w:r>
      <w:r>
        <w:rPr>
          <w:spacing w:val="-15"/>
        </w:rPr>
        <w:t xml:space="preserve"> </w:t>
      </w:r>
      <w:r>
        <w:t>Welfare</w:t>
      </w:r>
      <w:r>
        <w:rPr>
          <w:spacing w:val="-15"/>
        </w:rPr>
        <w:t xml:space="preserve"> </w:t>
      </w:r>
      <w:r>
        <w:t>System,</w:t>
      </w:r>
      <w:r>
        <w:rPr>
          <w:spacing w:val="-15"/>
        </w:rPr>
        <w:t xml:space="preserve"> </w:t>
      </w:r>
      <w:r>
        <w:t>has</w:t>
      </w:r>
      <w:r>
        <w:rPr>
          <w:spacing w:val="-14"/>
        </w:rPr>
        <w:t xml:space="preserve"> </w:t>
      </w:r>
      <w:r>
        <w:t>determined</w:t>
      </w:r>
      <w:r>
        <w:rPr>
          <w:spacing w:val="-13"/>
        </w:rPr>
        <w:t xml:space="preserve"> </w:t>
      </w:r>
      <w:r>
        <w:t>that</w:t>
      </w:r>
      <w:r>
        <w:rPr>
          <w:spacing w:val="-15"/>
        </w:rPr>
        <w:t xml:space="preserve"> </w:t>
      </w:r>
      <w:r>
        <w:t>there</w:t>
      </w:r>
      <w:r>
        <w:rPr>
          <w:spacing w:val="-13"/>
        </w:rPr>
        <w:t xml:space="preserve"> </w:t>
      </w:r>
      <w:r>
        <w:t>are</w:t>
      </w:r>
      <w:r>
        <w:rPr>
          <w:spacing w:val="-16"/>
        </w:rPr>
        <w:t xml:space="preserve"> </w:t>
      </w:r>
      <w:r>
        <w:t>no</w:t>
      </w:r>
      <w:r>
        <w:rPr>
          <w:spacing w:val="-14"/>
        </w:rPr>
        <w:t xml:space="preserve"> </w:t>
      </w:r>
      <w:r>
        <w:t>uniform</w:t>
      </w:r>
      <w:r>
        <w:rPr>
          <w:spacing w:val="-13"/>
        </w:rPr>
        <w:t xml:space="preserve"> </w:t>
      </w:r>
      <w:r>
        <w:t>criteria</w:t>
      </w:r>
      <w:r>
        <w:rPr>
          <w:spacing w:val="-13"/>
        </w:rPr>
        <w:t xml:space="preserve"> </w:t>
      </w:r>
      <w:r>
        <w:t>for</w:t>
      </w:r>
      <w:r>
        <w:rPr>
          <w:spacing w:val="-14"/>
        </w:rPr>
        <w:t xml:space="preserve"> </w:t>
      </w:r>
      <w:r>
        <w:t>granting</w:t>
      </w:r>
      <w:r>
        <w:rPr>
          <w:spacing w:val="-58"/>
        </w:rPr>
        <w:t xml:space="preserve"> </w:t>
      </w:r>
      <w:r>
        <w:t>the</w:t>
      </w:r>
      <w:r>
        <w:rPr>
          <w:spacing w:val="-5"/>
        </w:rPr>
        <w:t xml:space="preserve"> </w:t>
      </w:r>
      <w:r>
        <w:t>benefits.</w:t>
      </w:r>
      <w:r>
        <w:rPr>
          <w:spacing w:val="-3"/>
        </w:rPr>
        <w:t xml:space="preserve"> </w:t>
      </w:r>
      <w:r>
        <w:t>Namely,</w:t>
      </w:r>
      <w:r>
        <w:rPr>
          <w:spacing w:val="-4"/>
        </w:rPr>
        <w:t xml:space="preserve"> </w:t>
      </w:r>
      <w:r>
        <w:t>income</w:t>
      </w:r>
      <w:r>
        <w:rPr>
          <w:spacing w:val="-4"/>
        </w:rPr>
        <w:t xml:space="preserve"> </w:t>
      </w:r>
      <w:r>
        <w:t>and</w:t>
      </w:r>
      <w:r>
        <w:rPr>
          <w:spacing w:val="-5"/>
        </w:rPr>
        <w:t xml:space="preserve"> </w:t>
      </w:r>
      <w:r>
        <w:t>assets</w:t>
      </w:r>
      <w:r>
        <w:rPr>
          <w:spacing w:val="-4"/>
        </w:rPr>
        <w:t xml:space="preserve"> </w:t>
      </w:r>
      <w:r>
        <w:t>tests</w:t>
      </w:r>
      <w:r>
        <w:rPr>
          <w:spacing w:val="-3"/>
        </w:rPr>
        <w:t xml:space="preserve"> </w:t>
      </w:r>
      <w:r>
        <w:t>are</w:t>
      </w:r>
      <w:r>
        <w:rPr>
          <w:spacing w:val="-6"/>
        </w:rPr>
        <w:t xml:space="preserve"> </w:t>
      </w:r>
      <w:r>
        <w:t>conducted</w:t>
      </w:r>
      <w:r>
        <w:rPr>
          <w:spacing w:val="-5"/>
        </w:rPr>
        <w:t xml:space="preserve"> </w:t>
      </w:r>
      <w:r>
        <w:t>for</w:t>
      </w:r>
      <w:r>
        <w:rPr>
          <w:spacing w:val="-5"/>
        </w:rPr>
        <w:t xml:space="preserve"> </w:t>
      </w:r>
      <w:r>
        <w:t>particular</w:t>
      </w:r>
      <w:r>
        <w:rPr>
          <w:spacing w:val="-5"/>
        </w:rPr>
        <w:t xml:space="preserve"> </w:t>
      </w:r>
      <w:r>
        <w:t>benefits,</w:t>
      </w:r>
      <w:r>
        <w:rPr>
          <w:spacing w:val="-3"/>
        </w:rPr>
        <w:t xml:space="preserve"> </w:t>
      </w:r>
      <w:r>
        <w:t>whereas</w:t>
      </w:r>
      <w:r>
        <w:rPr>
          <w:spacing w:val="-5"/>
        </w:rPr>
        <w:t xml:space="preserve"> </w:t>
      </w:r>
      <w:r>
        <w:t>for</w:t>
      </w:r>
      <w:r>
        <w:rPr>
          <w:spacing w:val="-57"/>
        </w:rPr>
        <w:t xml:space="preserve"> </w:t>
      </w:r>
      <w:r>
        <w:t>others,</w:t>
      </w:r>
      <w:r>
        <w:rPr>
          <w:spacing w:val="-4"/>
        </w:rPr>
        <w:t xml:space="preserve"> </w:t>
      </w:r>
      <w:r>
        <w:t>only</w:t>
      </w:r>
      <w:r>
        <w:rPr>
          <w:spacing w:val="-8"/>
        </w:rPr>
        <w:t xml:space="preserve"> </w:t>
      </w:r>
      <w:r>
        <w:t>an</w:t>
      </w:r>
      <w:r>
        <w:rPr>
          <w:spacing w:val="-1"/>
        </w:rPr>
        <w:t xml:space="preserve"> </w:t>
      </w:r>
      <w:r>
        <w:t>income</w:t>
      </w:r>
      <w:r>
        <w:rPr>
          <w:spacing w:val="-2"/>
        </w:rPr>
        <w:t xml:space="preserve"> </w:t>
      </w:r>
      <w:r>
        <w:t>test</w:t>
      </w:r>
      <w:r>
        <w:rPr>
          <w:spacing w:val="-2"/>
        </w:rPr>
        <w:t xml:space="preserve"> </w:t>
      </w:r>
      <w:r>
        <w:t>but</w:t>
      </w:r>
      <w:r>
        <w:rPr>
          <w:spacing w:val="-3"/>
        </w:rPr>
        <w:t xml:space="preserve"> </w:t>
      </w:r>
      <w:r>
        <w:t>no</w:t>
      </w:r>
      <w:r>
        <w:rPr>
          <w:spacing w:val="-3"/>
        </w:rPr>
        <w:t xml:space="preserve"> </w:t>
      </w:r>
      <w:r>
        <w:t>asset</w:t>
      </w:r>
      <w:r>
        <w:rPr>
          <w:spacing w:val="-3"/>
        </w:rPr>
        <w:t xml:space="preserve"> </w:t>
      </w:r>
      <w:r>
        <w:t>test,</w:t>
      </w:r>
      <w:r>
        <w:rPr>
          <w:spacing w:val="-2"/>
        </w:rPr>
        <w:t xml:space="preserve"> </w:t>
      </w:r>
      <w:r>
        <w:t>and</w:t>
      </w:r>
      <w:r>
        <w:rPr>
          <w:spacing w:val="-1"/>
        </w:rPr>
        <w:t xml:space="preserve"> </w:t>
      </w:r>
      <w:r>
        <w:t>for</w:t>
      </w:r>
      <w:r>
        <w:rPr>
          <w:spacing w:val="-4"/>
        </w:rPr>
        <w:t xml:space="preserve"> </w:t>
      </w:r>
      <w:r>
        <w:t>others,</w:t>
      </w:r>
      <w:r>
        <w:rPr>
          <w:spacing w:val="-4"/>
        </w:rPr>
        <w:t xml:space="preserve"> </w:t>
      </w:r>
      <w:r>
        <w:t>there</w:t>
      </w:r>
      <w:r>
        <w:rPr>
          <w:spacing w:val="1"/>
        </w:rPr>
        <w:t xml:space="preserve"> </w:t>
      </w:r>
      <w:r>
        <w:t>is</w:t>
      </w:r>
      <w:r>
        <w:rPr>
          <w:spacing w:val="-2"/>
        </w:rPr>
        <w:t xml:space="preserve"> </w:t>
      </w:r>
      <w:r>
        <w:t>no</w:t>
      </w:r>
      <w:r>
        <w:rPr>
          <w:spacing w:val="-3"/>
        </w:rPr>
        <w:t xml:space="preserve"> </w:t>
      </w:r>
      <w:r>
        <w:t>income</w:t>
      </w:r>
      <w:r>
        <w:rPr>
          <w:spacing w:val="-3"/>
        </w:rPr>
        <w:t xml:space="preserve"> </w:t>
      </w:r>
      <w:r>
        <w:t>or assets</w:t>
      </w:r>
      <w:r>
        <w:rPr>
          <w:spacing w:val="-4"/>
        </w:rPr>
        <w:t xml:space="preserve"> </w:t>
      </w:r>
      <w:r>
        <w:t>test.</w:t>
      </w:r>
      <w:r>
        <w:rPr>
          <w:spacing w:val="3"/>
        </w:rPr>
        <w:t xml:space="preserve"> </w:t>
      </w:r>
      <w:r>
        <w:t>In</w:t>
      </w:r>
      <w:r>
        <w:rPr>
          <w:spacing w:val="-57"/>
        </w:rPr>
        <w:t xml:space="preserve"> </w:t>
      </w:r>
      <w:r>
        <w:t>addition, fragmentation of the system, where inconsistency and non-transparency create a</w:t>
      </w:r>
      <w:r>
        <w:rPr>
          <w:spacing w:val="1"/>
        </w:rPr>
        <w:t xml:space="preserve"> </w:t>
      </w:r>
      <w:r>
        <w:t>challenge,</w:t>
      </w:r>
      <w:r>
        <w:rPr>
          <w:spacing w:val="-10"/>
        </w:rPr>
        <w:t xml:space="preserve"> </w:t>
      </w:r>
      <w:r>
        <w:t>and</w:t>
      </w:r>
      <w:r>
        <w:rPr>
          <w:spacing w:val="-11"/>
        </w:rPr>
        <w:t xml:space="preserve"> </w:t>
      </w:r>
      <w:r>
        <w:t>the</w:t>
      </w:r>
      <w:r>
        <w:rPr>
          <w:spacing w:val="-10"/>
        </w:rPr>
        <w:t xml:space="preserve"> </w:t>
      </w:r>
      <w:r>
        <w:t>administration</w:t>
      </w:r>
      <w:r>
        <w:rPr>
          <w:spacing w:val="-11"/>
        </w:rPr>
        <w:t xml:space="preserve"> </w:t>
      </w:r>
      <w:r>
        <w:t>of</w:t>
      </w:r>
      <w:r>
        <w:rPr>
          <w:spacing w:val="-13"/>
        </w:rPr>
        <w:t xml:space="preserve"> </w:t>
      </w:r>
      <w:r>
        <w:t>social</w:t>
      </w:r>
      <w:r>
        <w:rPr>
          <w:spacing w:val="-11"/>
        </w:rPr>
        <w:t xml:space="preserve"> </w:t>
      </w:r>
      <w:r>
        <w:t>benefits</w:t>
      </w:r>
      <w:r>
        <w:rPr>
          <w:spacing w:val="-8"/>
        </w:rPr>
        <w:t xml:space="preserve"> </w:t>
      </w:r>
      <w:r>
        <w:t>itself</w:t>
      </w:r>
      <w:r>
        <w:rPr>
          <w:spacing w:val="-12"/>
        </w:rPr>
        <w:t xml:space="preserve"> </w:t>
      </w:r>
      <w:r>
        <w:t>is</w:t>
      </w:r>
      <w:r>
        <w:rPr>
          <w:spacing w:val="-10"/>
        </w:rPr>
        <w:t xml:space="preserve"> </w:t>
      </w:r>
      <w:r>
        <w:t>fragmented,</w:t>
      </w:r>
      <w:r>
        <w:rPr>
          <w:spacing w:val="-12"/>
        </w:rPr>
        <w:t xml:space="preserve"> </w:t>
      </w:r>
      <w:r>
        <w:t>scattered</w:t>
      </w:r>
      <w:r>
        <w:rPr>
          <w:spacing w:val="-9"/>
        </w:rPr>
        <w:t xml:space="preserve"> </w:t>
      </w:r>
      <w:r>
        <w:t>at</w:t>
      </w:r>
      <w:r>
        <w:rPr>
          <w:spacing w:val="-12"/>
        </w:rPr>
        <w:t xml:space="preserve"> </w:t>
      </w:r>
      <w:r>
        <w:t>the</w:t>
      </w:r>
      <w:r>
        <w:rPr>
          <w:spacing w:val="-12"/>
        </w:rPr>
        <w:t xml:space="preserve"> </w:t>
      </w:r>
      <w:r>
        <w:t>national</w:t>
      </w:r>
      <w:r>
        <w:rPr>
          <w:spacing w:val="-58"/>
        </w:rPr>
        <w:t xml:space="preserve"> </w:t>
      </w:r>
      <w:r>
        <w:t>and local levels. Local authorities make their own decisions on the fee amounts (housing and</w:t>
      </w:r>
      <w:r>
        <w:rPr>
          <w:spacing w:val="1"/>
        </w:rPr>
        <w:t xml:space="preserve"> </w:t>
      </w:r>
      <w:r>
        <w:t>heating fees) and other rights for their specific area, leading to inconsistencies and inequalities</w:t>
      </w:r>
      <w:r>
        <w:rPr>
          <w:spacing w:val="-57"/>
        </w:rPr>
        <w:t xml:space="preserve"> </w:t>
      </w:r>
      <w:r>
        <w:t>and</w:t>
      </w:r>
      <w:r>
        <w:rPr>
          <w:spacing w:val="-1"/>
        </w:rPr>
        <w:t xml:space="preserve"> </w:t>
      </w:r>
      <w:r>
        <w:t>not guaranteeing</w:t>
      </w:r>
      <w:r>
        <w:rPr>
          <w:spacing w:val="-3"/>
        </w:rPr>
        <w:t xml:space="preserve"> </w:t>
      </w:r>
      <w:r>
        <w:t>the</w:t>
      </w:r>
      <w:r>
        <w:rPr>
          <w:spacing w:val="1"/>
        </w:rPr>
        <w:t xml:space="preserve"> </w:t>
      </w:r>
      <w:r>
        <w:t>same minimum</w:t>
      </w:r>
      <w:r>
        <w:rPr>
          <w:spacing w:val="-1"/>
        </w:rPr>
        <w:t xml:space="preserve"> </w:t>
      </w:r>
      <w:r>
        <w:t>standard for all citizens.</w:t>
      </w:r>
    </w:p>
    <w:p w:rsidR="00A56FE9" w:rsidRDefault="00000000">
      <w:pPr>
        <w:pStyle w:val="Tijeloteksta"/>
        <w:spacing w:before="120"/>
        <w:ind w:right="277"/>
      </w:pPr>
      <w:r>
        <w:t>The new Social Welfare Act</w:t>
      </w:r>
      <w:r>
        <w:rPr>
          <w:vertAlign w:val="superscript"/>
        </w:rPr>
        <w:t>37</w:t>
      </w:r>
      <w:r>
        <w:t xml:space="preserve"> passed in January 2022 will combine housing and heating costs</w:t>
      </w:r>
      <w:r>
        <w:rPr>
          <w:spacing w:val="-57"/>
        </w:rPr>
        <w:t xml:space="preserve"> </w:t>
      </w:r>
      <w:r>
        <w:t>to</w:t>
      </w:r>
      <w:r>
        <w:rPr>
          <w:spacing w:val="-12"/>
        </w:rPr>
        <w:t xml:space="preserve"> </w:t>
      </w:r>
      <w:r>
        <w:t>better</w:t>
      </w:r>
      <w:r>
        <w:rPr>
          <w:spacing w:val="-13"/>
        </w:rPr>
        <w:t xml:space="preserve"> </w:t>
      </w:r>
      <w:r>
        <w:t>address</w:t>
      </w:r>
      <w:r>
        <w:rPr>
          <w:spacing w:val="-11"/>
        </w:rPr>
        <w:t xml:space="preserve"> </w:t>
      </w:r>
      <w:r>
        <w:t>the</w:t>
      </w:r>
      <w:r>
        <w:rPr>
          <w:spacing w:val="-13"/>
        </w:rPr>
        <w:t xml:space="preserve"> </w:t>
      </w:r>
      <w:r>
        <w:t>guaranteed</w:t>
      </w:r>
      <w:r>
        <w:rPr>
          <w:spacing w:val="-11"/>
        </w:rPr>
        <w:t xml:space="preserve"> </w:t>
      </w:r>
      <w:r>
        <w:t>minimum</w:t>
      </w:r>
      <w:r>
        <w:rPr>
          <w:spacing w:val="-12"/>
        </w:rPr>
        <w:t xml:space="preserve"> </w:t>
      </w:r>
      <w:r>
        <w:t>benefit</w:t>
      </w:r>
      <w:r>
        <w:rPr>
          <w:spacing w:val="-11"/>
        </w:rPr>
        <w:t xml:space="preserve"> </w:t>
      </w:r>
      <w:r>
        <w:t>for</w:t>
      </w:r>
      <w:r>
        <w:rPr>
          <w:spacing w:val="-14"/>
        </w:rPr>
        <w:t xml:space="preserve"> </w:t>
      </w:r>
      <w:r>
        <w:t>families</w:t>
      </w:r>
      <w:r>
        <w:rPr>
          <w:spacing w:val="-12"/>
        </w:rPr>
        <w:t xml:space="preserve"> </w:t>
      </w:r>
      <w:r>
        <w:t>with</w:t>
      </w:r>
      <w:r>
        <w:rPr>
          <w:spacing w:val="-11"/>
        </w:rPr>
        <w:t xml:space="preserve"> </w:t>
      </w:r>
      <w:r>
        <w:t>children</w:t>
      </w:r>
      <w:r>
        <w:rPr>
          <w:spacing w:val="-12"/>
        </w:rPr>
        <w:t xml:space="preserve"> </w:t>
      </w:r>
      <w:r>
        <w:t>and</w:t>
      </w:r>
      <w:r>
        <w:rPr>
          <w:spacing w:val="-11"/>
        </w:rPr>
        <w:t xml:space="preserve"> </w:t>
      </w:r>
      <w:r>
        <w:t>work</w:t>
      </w:r>
      <w:r>
        <w:rPr>
          <w:spacing w:val="-12"/>
        </w:rPr>
        <w:t xml:space="preserve"> </w:t>
      </w:r>
      <w:r>
        <w:t>incapable</w:t>
      </w:r>
      <w:r>
        <w:rPr>
          <w:spacing w:val="-57"/>
        </w:rPr>
        <w:t xml:space="preserve"> </w:t>
      </w:r>
      <w:r>
        <w:t>singles,</w:t>
      </w:r>
      <w:r>
        <w:rPr>
          <w:spacing w:val="-1"/>
        </w:rPr>
        <w:t xml:space="preserve"> </w:t>
      </w:r>
      <w:r>
        <w:t>which</w:t>
      </w:r>
      <w:r>
        <w:rPr>
          <w:spacing w:val="1"/>
        </w:rPr>
        <w:t xml:space="preserve"> </w:t>
      </w:r>
      <w:r>
        <w:t>represents</w:t>
      </w:r>
      <w:r>
        <w:rPr>
          <w:spacing w:val="2"/>
        </w:rPr>
        <w:t xml:space="preserve"> </w:t>
      </w:r>
      <w:r>
        <w:t>the initial phase</w:t>
      </w:r>
      <w:r>
        <w:rPr>
          <w:spacing w:val="-2"/>
        </w:rPr>
        <w:t xml:space="preserve"> </w:t>
      </w:r>
      <w:r>
        <w:t>of implementing</w:t>
      </w:r>
      <w:r>
        <w:rPr>
          <w:spacing w:val="-2"/>
        </w:rPr>
        <w:t xml:space="preserve"> </w:t>
      </w:r>
      <w:r>
        <w:t>this reform.</w:t>
      </w:r>
    </w:p>
    <w:p w:rsidR="00A56FE9" w:rsidRDefault="00000000">
      <w:pPr>
        <w:pStyle w:val="Tijeloteksta"/>
        <w:spacing w:before="121"/>
        <w:ind w:right="272"/>
      </w:pPr>
      <w:r>
        <w:t>In</w:t>
      </w:r>
      <w:r>
        <w:rPr>
          <w:spacing w:val="-2"/>
        </w:rPr>
        <w:t xml:space="preserve"> </w:t>
      </w:r>
      <w:r>
        <w:t>the</w:t>
      </w:r>
      <w:r>
        <w:rPr>
          <w:spacing w:val="-2"/>
        </w:rPr>
        <w:t xml:space="preserve"> </w:t>
      </w:r>
      <w:r>
        <w:t>NRP</w:t>
      </w:r>
      <w:r>
        <w:rPr>
          <w:spacing w:val="-2"/>
        </w:rPr>
        <w:t xml:space="preserve"> </w:t>
      </w:r>
      <w:r>
        <w:t>2020,</w:t>
      </w:r>
      <w:r>
        <w:rPr>
          <w:spacing w:val="-2"/>
        </w:rPr>
        <w:t xml:space="preserve"> </w:t>
      </w:r>
      <w:r>
        <w:t>the</w:t>
      </w:r>
      <w:r>
        <w:rPr>
          <w:spacing w:val="-1"/>
        </w:rPr>
        <w:t xml:space="preserve"> </w:t>
      </w:r>
      <w:r>
        <w:t>reform</w:t>
      </w:r>
      <w:r>
        <w:rPr>
          <w:spacing w:val="-2"/>
        </w:rPr>
        <w:t xml:space="preserve"> </w:t>
      </w:r>
      <w:r>
        <w:t>measure</w:t>
      </w:r>
      <w:r>
        <w:rPr>
          <w:spacing w:val="-2"/>
        </w:rPr>
        <w:t xml:space="preserve"> </w:t>
      </w:r>
      <w:r>
        <w:t>Integration</w:t>
      </w:r>
      <w:r>
        <w:rPr>
          <w:spacing w:val="-2"/>
        </w:rPr>
        <w:t xml:space="preserve"> </w:t>
      </w:r>
      <w:r>
        <w:t>of</w:t>
      </w:r>
      <w:r>
        <w:rPr>
          <w:spacing w:val="-2"/>
        </w:rPr>
        <w:t xml:space="preserve"> </w:t>
      </w:r>
      <w:r>
        <w:t>Social</w:t>
      </w:r>
      <w:r>
        <w:rPr>
          <w:spacing w:val="-2"/>
        </w:rPr>
        <w:t xml:space="preserve"> </w:t>
      </w:r>
      <w:r>
        <w:t>Benefits</w:t>
      </w:r>
      <w:r>
        <w:rPr>
          <w:spacing w:val="-2"/>
        </w:rPr>
        <w:t xml:space="preserve"> </w:t>
      </w:r>
      <w:r>
        <w:t>was</w:t>
      </w:r>
      <w:r>
        <w:rPr>
          <w:spacing w:val="-2"/>
        </w:rPr>
        <w:t xml:space="preserve"> </w:t>
      </w:r>
      <w:r>
        <w:t>implemented</w:t>
      </w:r>
      <w:r>
        <w:rPr>
          <w:spacing w:val="-1"/>
        </w:rPr>
        <w:t xml:space="preserve"> </w:t>
      </w:r>
      <w:r>
        <w:t>with</w:t>
      </w:r>
      <w:r>
        <w:rPr>
          <w:spacing w:val="-2"/>
        </w:rPr>
        <w:t xml:space="preserve"> </w:t>
      </w:r>
      <w:r>
        <w:t>the</w:t>
      </w:r>
      <w:r>
        <w:rPr>
          <w:spacing w:val="-58"/>
        </w:rPr>
        <w:t xml:space="preserve"> </w:t>
      </w:r>
      <w:r>
        <w:t>aim of providing a transparent and coordinated system of social benefits and available data on</w:t>
      </w:r>
      <w:r>
        <w:rPr>
          <w:spacing w:val="-57"/>
        </w:rPr>
        <w:t xml:space="preserve"> </w:t>
      </w:r>
      <w:r>
        <w:t>the</w:t>
      </w:r>
      <w:r>
        <w:rPr>
          <w:spacing w:val="-4"/>
        </w:rPr>
        <w:t xml:space="preserve"> </w:t>
      </w:r>
      <w:r>
        <w:t>type</w:t>
      </w:r>
      <w:r>
        <w:rPr>
          <w:spacing w:val="-5"/>
        </w:rPr>
        <w:t xml:space="preserve"> </w:t>
      </w:r>
      <w:r>
        <w:t>and</w:t>
      </w:r>
      <w:r>
        <w:rPr>
          <w:spacing w:val="-1"/>
        </w:rPr>
        <w:t xml:space="preserve"> </w:t>
      </w:r>
      <w:r>
        <w:t>amount</w:t>
      </w:r>
      <w:r>
        <w:rPr>
          <w:spacing w:val="-3"/>
        </w:rPr>
        <w:t xml:space="preserve"> </w:t>
      </w:r>
      <w:r>
        <w:t>of</w:t>
      </w:r>
      <w:r>
        <w:rPr>
          <w:spacing w:val="-5"/>
        </w:rPr>
        <w:t xml:space="preserve"> </w:t>
      </w:r>
      <w:r>
        <w:t>benefits</w:t>
      </w:r>
      <w:r>
        <w:rPr>
          <w:spacing w:val="-3"/>
        </w:rPr>
        <w:t xml:space="preserve"> </w:t>
      </w:r>
      <w:r>
        <w:t>for</w:t>
      </w:r>
      <w:r>
        <w:rPr>
          <w:spacing w:val="-4"/>
        </w:rPr>
        <w:t xml:space="preserve"> </w:t>
      </w:r>
      <w:r>
        <w:t>persons</w:t>
      </w:r>
      <w:r>
        <w:rPr>
          <w:spacing w:val="-4"/>
        </w:rPr>
        <w:t xml:space="preserve"> </w:t>
      </w:r>
      <w:r>
        <w:t>and</w:t>
      </w:r>
      <w:r>
        <w:rPr>
          <w:spacing w:val="-4"/>
        </w:rPr>
        <w:t xml:space="preserve"> </w:t>
      </w:r>
      <w:r>
        <w:t>beneficiaries</w:t>
      </w:r>
      <w:r>
        <w:rPr>
          <w:spacing w:val="-4"/>
        </w:rPr>
        <w:t xml:space="preserve"> </w:t>
      </w:r>
      <w:r>
        <w:t>within</w:t>
      </w:r>
      <w:r>
        <w:rPr>
          <w:spacing w:val="-4"/>
        </w:rPr>
        <w:t xml:space="preserve"> </w:t>
      </w:r>
      <w:r>
        <w:t>the</w:t>
      </w:r>
      <w:r>
        <w:rPr>
          <w:spacing w:val="-4"/>
        </w:rPr>
        <w:t xml:space="preserve"> </w:t>
      </w:r>
      <w:r>
        <w:t>social</w:t>
      </w:r>
      <w:r>
        <w:rPr>
          <w:spacing w:val="-4"/>
        </w:rPr>
        <w:t xml:space="preserve"> </w:t>
      </w:r>
      <w:r>
        <w:t>security</w:t>
      </w:r>
      <w:r>
        <w:rPr>
          <w:spacing w:val="-8"/>
        </w:rPr>
        <w:t xml:space="preserve"> </w:t>
      </w:r>
      <w:r>
        <w:t>system,</w:t>
      </w:r>
      <w:r>
        <w:rPr>
          <w:spacing w:val="-58"/>
        </w:rPr>
        <w:t xml:space="preserve"> </w:t>
      </w:r>
      <w:r>
        <w:t>including continual monitoring of social benefits provided at the local and national level and</w:t>
      </w:r>
      <w:r>
        <w:rPr>
          <w:spacing w:val="1"/>
        </w:rPr>
        <w:t xml:space="preserve"> </w:t>
      </w:r>
      <w:r>
        <w:t>transparent</w:t>
      </w:r>
      <w:r>
        <w:rPr>
          <w:spacing w:val="1"/>
        </w:rPr>
        <w:t xml:space="preserve"> </w:t>
      </w:r>
      <w:r>
        <w:t>monitoring</w:t>
      </w:r>
      <w:r>
        <w:rPr>
          <w:spacing w:val="1"/>
        </w:rPr>
        <w:t xml:space="preserve"> </w:t>
      </w:r>
      <w:r>
        <w:t>to</w:t>
      </w:r>
      <w:r>
        <w:rPr>
          <w:spacing w:val="1"/>
        </w:rPr>
        <w:t xml:space="preserve"> </w:t>
      </w:r>
      <w:r>
        <w:t>distribute</w:t>
      </w:r>
      <w:r>
        <w:rPr>
          <w:spacing w:val="1"/>
        </w:rPr>
        <w:t xml:space="preserve"> </w:t>
      </w:r>
      <w:r>
        <w:t>resources</w:t>
      </w:r>
      <w:r>
        <w:rPr>
          <w:spacing w:val="1"/>
        </w:rPr>
        <w:t xml:space="preserve"> </w:t>
      </w:r>
      <w:r>
        <w:t>more</w:t>
      </w:r>
      <w:r>
        <w:rPr>
          <w:spacing w:val="1"/>
        </w:rPr>
        <w:t xml:space="preserve"> </w:t>
      </w:r>
      <w:r>
        <w:t>equitably</w:t>
      </w:r>
      <w:r>
        <w:rPr>
          <w:spacing w:val="1"/>
        </w:rPr>
        <w:t xml:space="preserve"> </w:t>
      </w:r>
      <w:r>
        <w:t>and</w:t>
      </w:r>
      <w:r>
        <w:rPr>
          <w:spacing w:val="1"/>
        </w:rPr>
        <w:t xml:space="preserve"> </w:t>
      </w:r>
      <w:r>
        <w:t>reduce</w:t>
      </w:r>
      <w:r>
        <w:rPr>
          <w:spacing w:val="1"/>
        </w:rPr>
        <w:t xml:space="preserve"> </w:t>
      </w:r>
      <w:r>
        <w:t>poverty.</w:t>
      </w:r>
      <w:r>
        <w:rPr>
          <w:spacing w:val="1"/>
        </w:rPr>
        <w:t xml:space="preserve"> </w:t>
      </w:r>
      <w:r>
        <w:t>The</w:t>
      </w:r>
      <w:r>
        <w:rPr>
          <w:spacing w:val="1"/>
        </w:rPr>
        <w:t xml:space="preserve"> </w:t>
      </w:r>
      <w:r>
        <w:t>implementation of this reform measure provided insight into data on each user in the social</w:t>
      </w:r>
      <w:r>
        <w:rPr>
          <w:spacing w:val="1"/>
        </w:rPr>
        <w:t xml:space="preserve"> </w:t>
      </w:r>
      <w:r>
        <w:t>welfare system, whether they receive social benefits at the national and/or local level, as is</w:t>
      </w:r>
      <w:r>
        <w:rPr>
          <w:spacing w:val="1"/>
        </w:rPr>
        <w:t xml:space="preserve"> </w:t>
      </w:r>
      <w:r>
        <w:t>evident in the IT system for social welfare. The IT system for social welfare exchanges data</w:t>
      </w:r>
      <w:r>
        <w:rPr>
          <w:spacing w:val="1"/>
        </w:rPr>
        <w:t xml:space="preserve"> </w:t>
      </w:r>
      <w:r>
        <w:t>with</w:t>
      </w:r>
      <w:r>
        <w:rPr>
          <w:spacing w:val="38"/>
        </w:rPr>
        <w:t xml:space="preserve"> </w:t>
      </w:r>
      <w:r>
        <w:t>various</w:t>
      </w:r>
      <w:r>
        <w:rPr>
          <w:spacing w:val="38"/>
        </w:rPr>
        <w:t xml:space="preserve"> </w:t>
      </w:r>
      <w:r>
        <w:t>bodies</w:t>
      </w:r>
      <w:r>
        <w:rPr>
          <w:spacing w:val="37"/>
        </w:rPr>
        <w:t xml:space="preserve"> </w:t>
      </w:r>
      <w:r>
        <w:t>in</w:t>
      </w:r>
      <w:r>
        <w:rPr>
          <w:spacing w:val="40"/>
        </w:rPr>
        <w:t xml:space="preserve"> </w:t>
      </w:r>
      <w:r>
        <w:t>line</w:t>
      </w:r>
      <w:r>
        <w:rPr>
          <w:spacing w:val="37"/>
        </w:rPr>
        <w:t xml:space="preserve"> </w:t>
      </w:r>
      <w:r>
        <w:t>with</w:t>
      </w:r>
      <w:r>
        <w:rPr>
          <w:spacing w:val="38"/>
        </w:rPr>
        <w:t xml:space="preserve"> </w:t>
      </w:r>
      <w:r>
        <w:t>applicable</w:t>
      </w:r>
      <w:r>
        <w:rPr>
          <w:spacing w:val="40"/>
        </w:rPr>
        <w:t xml:space="preserve"> </w:t>
      </w:r>
      <w:r>
        <w:t>legally-stipulated</w:t>
      </w:r>
      <w:r>
        <w:rPr>
          <w:spacing w:val="40"/>
        </w:rPr>
        <w:t xml:space="preserve"> </w:t>
      </w:r>
      <w:r>
        <w:t>regulations</w:t>
      </w:r>
      <w:r>
        <w:rPr>
          <w:spacing w:val="38"/>
        </w:rPr>
        <w:t xml:space="preserve"> </w:t>
      </w:r>
      <w:r>
        <w:t>to</w:t>
      </w:r>
      <w:r>
        <w:rPr>
          <w:spacing w:val="38"/>
        </w:rPr>
        <w:t xml:space="preserve"> </w:t>
      </w:r>
      <w:r>
        <w:t>facilitate</w:t>
      </w:r>
    </w:p>
    <w:p w:rsidR="00A56FE9" w:rsidRDefault="00CC1B9B">
      <w:pPr>
        <w:pStyle w:val="Tijeloteksta"/>
        <w:spacing w:before="10"/>
        <w:ind w:left="0"/>
        <w:jc w:val="left"/>
        <w:rPr>
          <w:sz w:val="14"/>
        </w:rPr>
      </w:pPr>
      <w:r>
        <w:rPr>
          <w:noProof/>
        </w:rPr>
        <mc:AlternateContent>
          <mc:Choice Requires="wps">
            <w:drawing>
              <wp:anchor distT="0" distB="0" distL="0" distR="0" simplePos="0" relativeHeight="487661568" behindDoc="1" locked="0" layoutInCell="1" allowOverlap="1">
                <wp:simplePos x="0" y="0"/>
                <wp:positionH relativeFrom="page">
                  <wp:posOffset>901065</wp:posOffset>
                </wp:positionH>
                <wp:positionV relativeFrom="paragraph">
                  <wp:posOffset>133350</wp:posOffset>
                </wp:positionV>
                <wp:extent cx="1828800" cy="7620"/>
                <wp:effectExtent l="0" t="0" r="0" b="0"/>
                <wp:wrapTopAndBottom/>
                <wp:docPr id="945325107"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578AA" id="Rectangle 117" o:spid="_x0000_s1026" style="position:absolute;margin-left:70.95pt;margin-top:10.5pt;width:2in;height:.6pt;z-index:-15654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" fillcolor="black" stroked="f">
                <w10:wrap type="topAndBottom" anchorx="page"/>
              </v:rect>
            </w:pict>
          </mc:Fallback>
        </mc:AlternateContent>
      </w:r>
    </w:p>
    <w:p w:rsidR="00A56FE9" w:rsidRDefault="00000000">
      <w:pPr>
        <w:spacing w:before="76"/>
        <w:ind w:left="138"/>
        <w:rPr>
          <w:sz w:val="16"/>
        </w:rPr>
      </w:pPr>
      <w:r>
        <w:rPr>
          <w:sz w:val="16"/>
          <w:vertAlign w:val="superscript"/>
        </w:rPr>
        <w:t>37</w:t>
      </w:r>
      <w:r>
        <w:rPr>
          <w:spacing w:val="-1"/>
          <w:sz w:val="16"/>
        </w:rPr>
        <w:t xml:space="preserve"> </w:t>
      </w:r>
      <w:r>
        <w:rPr>
          <w:sz w:val="16"/>
        </w:rPr>
        <w:t>OG</w:t>
      </w:r>
      <w:r>
        <w:rPr>
          <w:spacing w:val="-3"/>
          <w:sz w:val="16"/>
        </w:rPr>
        <w:t xml:space="preserve"> </w:t>
      </w:r>
      <w:r>
        <w:rPr>
          <w:sz w:val="16"/>
        </w:rPr>
        <w:t>18/22</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ind w:right="281"/>
      </w:pPr>
      <w:r>
        <w:t>administrative relief for users and employees of the social welfare system and provide a more</w:t>
      </w:r>
      <w:r>
        <w:rPr>
          <w:spacing w:val="1"/>
        </w:rPr>
        <w:t xml:space="preserve"> </w:t>
      </w:r>
      <w:r>
        <w:t>efficient</w:t>
      </w:r>
      <w:r>
        <w:rPr>
          <w:spacing w:val="1"/>
        </w:rPr>
        <w:t xml:space="preserve"> </w:t>
      </w:r>
      <w:r>
        <w:t>and transparent</w:t>
      </w:r>
      <w:r>
        <w:rPr>
          <w:spacing w:val="2"/>
        </w:rPr>
        <w:t xml:space="preserve"> </w:t>
      </w:r>
      <w:r>
        <w:t>social welfare</w:t>
      </w:r>
      <w:r>
        <w:rPr>
          <w:spacing w:val="-2"/>
        </w:rPr>
        <w:t xml:space="preserve"> </w:t>
      </w:r>
      <w:r>
        <w:t>system.</w:t>
      </w:r>
    </w:p>
    <w:p w:rsidR="00A56FE9" w:rsidRDefault="00000000">
      <w:pPr>
        <w:pStyle w:val="Tijeloteksta"/>
        <w:spacing w:before="120"/>
        <w:ind w:right="274"/>
      </w:pPr>
      <w:r>
        <w:t>Also, personnel within local and regional self-government units have received training in</w:t>
      </w:r>
      <w:r>
        <w:rPr>
          <w:spacing w:val="1"/>
        </w:rPr>
        <w:t xml:space="preserve"> </w:t>
      </w:r>
      <w:r>
        <w:t>entering group data on social welfare benefits from the social welfare system within the</w:t>
      </w:r>
      <w:r>
        <w:rPr>
          <w:spacing w:val="1"/>
        </w:rPr>
        <w:t xml:space="preserve"> </w:t>
      </w:r>
      <w:r>
        <w:t>ESSPROS methodology using the SoNal web application, with the aim of ensuring continuity</w:t>
      </w:r>
      <w:r>
        <w:rPr>
          <w:spacing w:val="-57"/>
        </w:rPr>
        <w:t xml:space="preserve"> </w:t>
      </w:r>
      <w:r>
        <w:t>in monitoring social welfare benefits secured at the local level and transparency in monitoring</w:t>
      </w:r>
      <w:r>
        <w:rPr>
          <w:spacing w:val="-57"/>
        </w:rPr>
        <w:t xml:space="preserve"> </w:t>
      </w:r>
      <w:r>
        <w:t>for</w:t>
      </w:r>
      <w:r>
        <w:rPr>
          <w:spacing w:val="-3"/>
        </w:rPr>
        <w:t xml:space="preserve"> </w:t>
      </w:r>
      <w:r>
        <w:t>the purpose</w:t>
      </w:r>
      <w:r>
        <w:rPr>
          <w:spacing w:val="-1"/>
        </w:rPr>
        <w:t xml:space="preserve"> </w:t>
      </w:r>
      <w:r>
        <w:t>of a</w:t>
      </w:r>
      <w:r>
        <w:rPr>
          <w:spacing w:val="-2"/>
        </w:rPr>
        <w:t xml:space="preserve"> </w:t>
      </w:r>
      <w:r>
        <w:t>more just allocation of</w:t>
      </w:r>
      <w:r>
        <w:rPr>
          <w:spacing w:val="-1"/>
        </w:rPr>
        <w:t xml:space="preserve"> </w:t>
      </w:r>
      <w:r>
        <w:t>funds and</w:t>
      </w:r>
      <w:r>
        <w:rPr>
          <w:spacing w:val="-1"/>
        </w:rPr>
        <w:t xml:space="preserve"> </w:t>
      </w:r>
      <w:r>
        <w:t>mitigation of</w:t>
      </w:r>
      <w:r>
        <w:rPr>
          <w:spacing w:val="-1"/>
        </w:rPr>
        <w:t xml:space="preserve"> </w:t>
      </w:r>
      <w:r>
        <w:t>poverty.</w:t>
      </w:r>
    </w:p>
    <w:p w:rsidR="00A56FE9" w:rsidRDefault="00000000">
      <w:pPr>
        <w:pStyle w:val="Tijeloteksta"/>
        <w:spacing w:before="121"/>
        <w:ind w:right="277"/>
      </w:pPr>
      <w:r>
        <w:t>However, implementation of the mentioned reform has not provided comprehensive insight</w:t>
      </w:r>
      <w:r>
        <w:rPr>
          <w:spacing w:val="1"/>
        </w:rPr>
        <w:t xml:space="preserve"> </w:t>
      </w:r>
      <w:r>
        <w:t>into data on social welfare benefits in the social welfare system at the national and local level</w:t>
      </w:r>
      <w:r>
        <w:rPr>
          <w:spacing w:val="1"/>
        </w:rPr>
        <w:t xml:space="preserve"> </w:t>
      </w:r>
      <w:r>
        <w:rPr>
          <w:spacing w:val="-1"/>
        </w:rPr>
        <w:t>for</w:t>
      </w:r>
      <w:r>
        <w:rPr>
          <w:spacing w:val="-14"/>
        </w:rPr>
        <w:t xml:space="preserve"> </w:t>
      </w:r>
      <w:r>
        <w:rPr>
          <w:spacing w:val="-1"/>
        </w:rPr>
        <w:t>each</w:t>
      </w:r>
      <w:r>
        <w:rPr>
          <w:spacing w:val="-11"/>
        </w:rPr>
        <w:t xml:space="preserve"> </w:t>
      </w:r>
      <w:r>
        <w:rPr>
          <w:spacing w:val="-1"/>
        </w:rPr>
        <w:t>beneficiary,</w:t>
      </w:r>
      <w:r>
        <w:rPr>
          <w:spacing w:val="-11"/>
        </w:rPr>
        <w:t xml:space="preserve"> </w:t>
      </w:r>
      <w:r>
        <w:t>but</w:t>
      </w:r>
      <w:r>
        <w:rPr>
          <w:spacing w:val="-12"/>
        </w:rPr>
        <w:t xml:space="preserve"> </w:t>
      </w:r>
      <w:r>
        <w:t>solely</w:t>
      </w:r>
      <w:r>
        <w:rPr>
          <w:spacing w:val="-16"/>
        </w:rPr>
        <w:t xml:space="preserve"> </w:t>
      </w:r>
      <w:r>
        <w:t>for</w:t>
      </w:r>
      <w:r>
        <w:rPr>
          <w:spacing w:val="-14"/>
        </w:rPr>
        <w:t xml:space="preserve"> </w:t>
      </w:r>
      <w:r>
        <w:t>beneficiaries</w:t>
      </w:r>
      <w:r>
        <w:rPr>
          <w:spacing w:val="-12"/>
        </w:rPr>
        <w:t xml:space="preserve"> </w:t>
      </w:r>
      <w:r>
        <w:t>of</w:t>
      </w:r>
      <w:r>
        <w:rPr>
          <w:spacing w:val="-12"/>
        </w:rPr>
        <w:t xml:space="preserve"> </w:t>
      </w:r>
      <w:r>
        <w:t>the</w:t>
      </w:r>
      <w:r>
        <w:rPr>
          <w:spacing w:val="-12"/>
        </w:rPr>
        <w:t xml:space="preserve"> </w:t>
      </w:r>
      <w:r>
        <w:t>social</w:t>
      </w:r>
      <w:r>
        <w:rPr>
          <w:spacing w:val="-12"/>
        </w:rPr>
        <w:t xml:space="preserve"> </w:t>
      </w:r>
      <w:r>
        <w:t>welfare</w:t>
      </w:r>
      <w:r>
        <w:rPr>
          <w:spacing w:val="-13"/>
        </w:rPr>
        <w:t xml:space="preserve"> </w:t>
      </w:r>
      <w:r>
        <w:t>system</w:t>
      </w:r>
      <w:r>
        <w:rPr>
          <w:spacing w:val="-9"/>
        </w:rPr>
        <w:t xml:space="preserve"> </w:t>
      </w:r>
      <w:r>
        <w:t>with</w:t>
      </w:r>
      <w:r>
        <w:rPr>
          <w:spacing w:val="-12"/>
        </w:rPr>
        <w:t xml:space="preserve"> </w:t>
      </w:r>
      <w:r>
        <w:t>limited</w:t>
      </w:r>
      <w:r>
        <w:rPr>
          <w:spacing w:val="-12"/>
        </w:rPr>
        <w:t xml:space="preserve"> </w:t>
      </w:r>
      <w:r>
        <w:t>access</w:t>
      </w:r>
      <w:r>
        <w:rPr>
          <w:spacing w:val="-58"/>
        </w:rPr>
        <w:t xml:space="preserve"> </w:t>
      </w:r>
      <w:r>
        <w:t>to data on social welfare benefits given that the information system at the Tax Administration</w:t>
      </w:r>
      <w:r>
        <w:rPr>
          <w:spacing w:val="1"/>
        </w:rPr>
        <w:t xml:space="preserve"> </w:t>
      </w:r>
      <w:r>
        <w:t>in the</w:t>
      </w:r>
      <w:r>
        <w:rPr>
          <w:spacing w:val="-1"/>
        </w:rPr>
        <w:t xml:space="preserve"> </w:t>
      </w:r>
      <w:r>
        <w:t>Ministry</w:t>
      </w:r>
      <w:r>
        <w:rPr>
          <w:spacing w:val="-8"/>
        </w:rPr>
        <w:t xml:space="preserve"> </w:t>
      </w:r>
      <w:r>
        <w:t>of Finance (using</w:t>
      </w:r>
      <w:r>
        <w:rPr>
          <w:spacing w:val="-3"/>
        </w:rPr>
        <w:t xml:space="preserve"> </w:t>
      </w:r>
      <w:r>
        <w:t>the</w:t>
      </w:r>
      <w:r>
        <w:rPr>
          <w:spacing w:val="-1"/>
        </w:rPr>
        <w:t xml:space="preserve"> </w:t>
      </w:r>
      <w:r>
        <w:t>JOPPD form) is not shown individually</w:t>
      </w:r>
      <w:r>
        <w:rPr>
          <w:spacing w:val="-2"/>
        </w:rPr>
        <w:t xml:space="preserve"> </w:t>
      </w:r>
      <w:r>
        <w:t>by</w:t>
      </w:r>
      <w:r>
        <w:rPr>
          <w:spacing w:val="-5"/>
        </w:rPr>
        <w:t xml:space="preserve"> </w:t>
      </w:r>
      <w:r>
        <w:t>item.</w:t>
      </w:r>
    </w:p>
    <w:p w:rsidR="00A56FE9" w:rsidRDefault="00A56FE9">
      <w:pPr>
        <w:pStyle w:val="Tijeloteksta"/>
        <w:spacing w:before="3"/>
        <w:ind w:left="0"/>
        <w:jc w:val="left"/>
        <w:rPr>
          <w:sz w:val="21"/>
        </w:rPr>
      </w:pPr>
    </w:p>
    <w:p w:rsidR="00A56FE9" w:rsidRDefault="00000000">
      <w:pPr>
        <w:pStyle w:val="Naslov5"/>
        <w:spacing w:before="1"/>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707678483"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687459712" name="Rectangle 116"/>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8D581DD" id="Group 115"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">
                <v:rect id="Rectangle 116"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" fillcolor="#2c398a" stroked="f"/>
                <w10:anchorlock/>
              </v:group>
            </w:pict>
          </mc:Fallback>
        </mc:AlternateContent>
      </w:r>
    </w:p>
    <w:p w:rsidR="00A56FE9" w:rsidRDefault="00000000">
      <w:pPr>
        <w:pStyle w:val="Tijeloteksta"/>
        <w:spacing w:before="154"/>
        <w:ind w:right="271"/>
      </w:pPr>
      <w:r>
        <w:t>The</w:t>
      </w:r>
      <w:r>
        <w:rPr>
          <w:spacing w:val="-13"/>
        </w:rPr>
        <w:t xml:space="preserve"> </w:t>
      </w:r>
      <w:r>
        <w:t>integration</w:t>
      </w:r>
      <w:r>
        <w:rPr>
          <w:spacing w:val="-12"/>
        </w:rPr>
        <w:t xml:space="preserve"> </w:t>
      </w:r>
      <w:r>
        <w:t>of</w:t>
      </w:r>
      <w:r>
        <w:rPr>
          <w:spacing w:val="-12"/>
        </w:rPr>
        <w:t xml:space="preserve"> </w:t>
      </w:r>
      <w:r>
        <w:t>social</w:t>
      </w:r>
      <w:r>
        <w:rPr>
          <w:spacing w:val="-12"/>
        </w:rPr>
        <w:t xml:space="preserve"> </w:t>
      </w:r>
      <w:r>
        <w:t>benefits</w:t>
      </w:r>
      <w:r>
        <w:rPr>
          <w:spacing w:val="-10"/>
        </w:rPr>
        <w:t xml:space="preserve"> </w:t>
      </w:r>
      <w:r>
        <w:t>is</w:t>
      </w:r>
      <w:r>
        <w:rPr>
          <w:spacing w:val="-11"/>
        </w:rPr>
        <w:t xml:space="preserve"> </w:t>
      </w:r>
      <w:r>
        <w:t>based</w:t>
      </w:r>
      <w:r>
        <w:rPr>
          <w:spacing w:val="-12"/>
        </w:rPr>
        <w:t xml:space="preserve"> </w:t>
      </w:r>
      <w:r>
        <w:t>on</w:t>
      </w:r>
      <w:r>
        <w:rPr>
          <w:spacing w:val="-11"/>
        </w:rPr>
        <w:t xml:space="preserve"> </w:t>
      </w:r>
      <w:r>
        <w:t>the</w:t>
      </w:r>
      <w:r>
        <w:rPr>
          <w:spacing w:val="-13"/>
        </w:rPr>
        <w:t xml:space="preserve"> </w:t>
      </w:r>
      <w:r>
        <w:t>proposed</w:t>
      </w:r>
      <w:r>
        <w:rPr>
          <w:spacing w:val="-11"/>
        </w:rPr>
        <w:t xml:space="preserve"> </w:t>
      </w:r>
      <w:r>
        <w:t>NRRP</w:t>
      </w:r>
      <w:r>
        <w:rPr>
          <w:spacing w:val="-10"/>
        </w:rPr>
        <w:t xml:space="preserve"> </w:t>
      </w:r>
      <w:r>
        <w:t>reform</w:t>
      </w:r>
      <w:r>
        <w:rPr>
          <w:spacing w:val="-12"/>
        </w:rPr>
        <w:t xml:space="preserve"> </w:t>
      </w:r>
      <w:r>
        <w:t>C4.3</w:t>
      </w:r>
      <w:r>
        <w:rPr>
          <w:spacing w:val="-11"/>
        </w:rPr>
        <w:t xml:space="preserve"> </w:t>
      </w:r>
      <w:r>
        <w:t>R1</w:t>
      </w:r>
      <w:r>
        <w:rPr>
          <w:spacing w:val="-12"/>
        </w:rPr>
        <w:t xml:space="preserve"> </w:t>
      </w:r>
      <w:r>
        <w:t>Transparency</w:t>
      </w:r>
      <w:r>
        <w:rPr>
          <w:spacing w:val="-57"/>
        </w:rPr>
        <w:t xml:space="preserve"> </w:t>
      </w:r>
      <w:r>
        <w:t>and Adequacy of Social Benefits in the Social Protection System. This measure will combine</w:t>
      </w:r>
      <w:r>
        <w:rPr>
          <w:spacing w:val="1"/>
        </w:rPr>
        <w:t xml:space="preserve"> </w:t>
      </w:r>
      <w:r>
        <w:t>benefits</w:t>
      </w:r>
      <w:r>
        <w:rPr>
          <w:spacing w:val="1"/>
        </w:rPr>
        <w:t xml:space="preserve"> </w:t>
      </w:r>
      <w:r>
        <w:t>from</w:t>
      </w:r>
      <w:r>
        <w:rPr>
          <w:spacing w:val="1"/>
        </w:rPr>
        <w:t xml:space="preserve"> </w:t>
      </w:r>
      <w:r>
        <w:t>different</w:t>
      </w:r>
      <w:r>
        <w:rPr>
          <w:spacing w:val="1"/>
        </w:rPr>
        <w:t xml:space="preserve"> </w:t>
      </w:r>
      <w:r>
        <w:t>sources</w:t>
      </w:r>
      <w:r>
        <w:rPr>
          <w:spacing w:val="1"/>
        </w:rPr>
        <w:t xml:space="preserve"> </w:t>
      </w:r>
      <w:r>
        <w:t>for the same or</w:t>
      </w:r>
      <w:r>
        <w:rPr>
          <w:spacing w:val="1"/>
        </w:rPr>
        <w:t xml:space="preserve"> </w:t>
      </w:r>
      <w:r>
        <w:t>similar purpose,</w:t>
      </w:r>
      <w:r>
        <w:rPr>
          <w:spacing w:val="1"/>
        </w:rPr>
        <w:t xml:space="preserve"> </w:t>
      </w:r>
      <w:r>
        <w:t>achieving uniformity in</w:t>
      </w:r>
      <w:r>
        <w:rPr>
          <w:spacing w:val="1"/>
        </w:rPr>
        <w:t xml:space="preserve"> </w:t>
      </w:r>
      <w:r>
        <w:t>exercising the respective rights. Accordingly, the plan is to commence the process in 2022,</w:t>
      </w:r>
      <w:r>
        <w:rPr>
          <w:spacing w:val="1"/>
        </w:rPr>
        <w:t xml:space="preserve"> </w:t>
      </w:r>
      <w:r>
        <w:t>developing expert-analytical baselines on which the recommendation is based, and includes a</w:t>
      </w:r>
      <w:r>
        <w:rPr>
          <w:spacing w:val="1"/>
        </w:rPr>
        <w:t xml:space="preserve"> </w:t>
      </w:r>
      <w:r>
        <w:t>proposal for the normative regulation of functionally consolidating benefits for persons at risk</w:t>
      </w:r>
      <w:r>
        <w:rPr>
          <w:spacing w:val="-57"/>
        </w:rPr>
        <w:t xml:space="preserve"> </w:t>
      </w:r>
      <w:r>
        <w:t>of poverty and persons with disabilities. The analysis should focus on proposing benefits for</w:t>
      </w:r>
      <w:r>
        <w:rPr>
          <w:spacing w:val="1"/>
        </w:rPr>
        <w:t xml:space="preserve"> </w:t>
      </w:r>
      <w:r>
        <w:t>functional integration, and eligibility conditions (censuses) while also simplifying the process,</w:t>
      </w:r>
      <w:r>
        <w:rPr>
          <w:spacing w:val="-57"/>
        </w:rPr>
        <w:t xml:space="preserve"> </w:t>
      </w:r>
      <w:r>
        <w:t>aligning the legislative framework and standardising the criteria. Furthermore, measure C4.3.</w:t>
      </w:r>
      <w:r>
        <w:rPr>
          <w:spacing w:val="1"/>
        </w:rPr>
        <w:t xml:space="preserve"> </w:t>
      </w:r>
      <w:r>
        <w:t>R1</w:t>
      </w:r>
      <w:r>
        <w:rPr>
          <w:spacing w:val="-6"/>
        </w:rPr>
        <w:t xml:space="preserve"> </w:t>
      </w:r>
      <w:r>
        <w:t>Transparency</w:t>
      </w:r>
      <w:r>
        <w:rPr>
          <w:spacing w:val="-11"/>
        </w:rPr>
        <w:t xml:space="preserve"> </w:t>
      </w:r>
      <w:r>
        <w:t>and</w:t>
      </w:r>
      <w:r>
        <w:rPr>
          <w:spacing w:val="-5"/>
        </w:rPr>
        <w:t xml:space="preserve"> </w:t>
      </w:r>
      <w:r>
        <w:t>adequacy</w:t>
      </w:r>
      <w:r>
        <w:rPr>
          <w:spacing w:val="-11"/>
        </w:rPr>
        <w:t xml:space="preserve"> </w:t>
      </w:r>
      <w:r>
        <w:t>of</w:t>
      </w:r>
      <w:r>
        <w:rPr>
          <w:spacing w:val="-6"/>
        </w:rPr>
        <w:t xml:space="preserve"> </w:t>
      </w:r>
      <w:r>
        <w:t>social</w:t>
      </w:r>
      <w:r>
        <w:rPr>
          <w:spacing w:val="-6"/>
        </w:rPr>
        <w:t xml:space="preserve"> </w:t>
      </w:r>
      <w:r>
        <w:t>benefits</w:t>
      </w:r>
      <w:r>
        <w:rPr>
          <w:spacing w:val="-5"/>
        </w:rPr>
        <w:t xml:space="preserve"> </w:t>
      </w:r>
      <w:r>
        <w:t>in</w:t>
      </w:r>
      <w:r>
        <w:rPr>
          <w:spacing w:val="-6"/>
        </w:rPr>
        <w:t xml:space="preserve"> </w:t>
      </w:r>
      <w:r>
        <w:t>the</w:t>
      </w:r>
      <w:r>
        <w:rPr>
          <w:spacing w:val="-6"/>
        </w:rPr>
        <w:t xml:space="preserve"> </w:t>
      </w:r>
      <w:r>
        <w:t>social</w:t>
      </w:r>
      <w:r>
        <w:rPr>
          <w:spacing w:val="-6"/>
        </w:rPr>
        <w:t xml:space="preserve"> </w:t>
      </w:r>
      <w:r>
        <w:t>protection</w:t>
      </w:r>
      <w:r>
        <w:rPr>
          <w:spacing w:val="-5"/>
        </w:rPr>
        <w:t xml:space="preserve"> </w:t>
      </w:r>
      <w:r>
        <w:t>system</w:t>
      </w:r>
      <w:r>
        <w:rPr>
          <w:spacing w:val="-2"/>
        </w:rPr>
        <w:t xml:space="preserve"> </w:t>
      </w:r>
      <w:r>
        <w:t>also</w:t>
      </w:r>
      <w:r>
        <w:rPr>
          <w:spacing w:val="-5"/>
        </w:rPr>
        <w:t xml:space="preserve"> </w:t>
      </w:r>
      <w:r>
        <w:t>envisages</w:t>
      </w:r>
      <w:r>
        <w:rPr>
          <w:spacing w:val="-58"/>
        </w:rPr>
        <w:t xml:space="preserve"> </w:t>
      </w:r>
      <w:r>
        <w:t>the</w:t>
      </w:r>
      <w:r>
        <w:rPr>
          <w:spacing w:val="-6"/>
        </w:rPr>
        <w:t xml:space="preserve"> </w:t>
      </w:r>
      <w:r>
        <w:t>possibility</w:t>
      </w:r>
      <w:r>
        <w:rPr>
          <w:spacing w:val="-12"/>
        </w:rPr>
        <w:t xml:space="preserve"> </w:t>
      </w:r>
      <w:r>
        <w:t>of</w:t>
      </w:r>
      <w:r>
        <w:rPr>
          <w:spacing w:val="-6"/>
        </w:rPr>
        <w:t xml:space="preserve"> </w:t>
      </w:r>
      <w:r>
        <w:t>adopting</w:t>
      </w:r>
      <w:r>
        <w:rPr>
          <w:spacing w:val="-5"/>
        </w:rPr>
        <w:t xml:space="preserve"> </w:t>
      </w:r>
      <w:r>
        <w:t>a</w:t>
      </w:r>
      <w:r>
        <w:rPr>
          <w:spacing w:val="-6"/>
        </w:rPr>
        <w:t xml:space="preserve"> </w:t>
      </w:r>
      <w:r>
        <w:t>law</w:t>
      </w:r>
      <w:r>
        <w:rPr>
          <w:spacing w:val="-6"/>
        </w:rPr>
        <w:t xml:space="preserve"> </w:t>
      </w:r>
      <w:r>
        <w:t>on</w:t>
      </w:r>
      <w:r>
        <w:rPr>
          <w:spacing w:val="-2"/>
        </w:rPr>
        <w:t xml:space="preserve"> </w:t>
      </w:r>
      <w:r>
        <w:t>an</w:t>
      </w:r>
      <w:r>
        <w:rPr>
          <w:spacing w:val="-5"/>
        </w:rPr>
        <w:t xml:space="preserve"> </w:t>
      </w:r>
      <w:r>
        <w:t>inclusive</w:t>
      </w:r>
      <w:r>
        <w:rPr>
          <w:spacing w:val="-6"/>
        </w:rPr>
        <w:t xml:space="preserve"> </w:t>
      </w:r>
      <w:r>
        <w:t>allowance.</w:t>
      </w:r>
      <w:r>
        <w:rPr>
          <w:spacing w:val="-3"/>
        </w:rPr>
        <w:t xml:space="preserve"> </w:t>
      </w:r>
      <w:r>
        <w:t>The</w:t>
      </w:r>
      <w:r>
        <w:rPr>
          <w:spacing w:val="-4"/>
        </w:rPr>
        <w:t xml:space="preserve"> </w:t>
      </w:r>
      <w:r>
        <w:t>adoption</w:t>
      </w:r>
      <w:r>
        <w:rPr>
          <w:spacing w:val="-5"/>
        </w:rPr>
        <w:t xml:space="preserve"> </w:t>
      </w:r>
      <w:r>
        <w:t>of</w:t>
      </w:r>
      <w:r>
        <w:rPr>
          <w:spacing w:val="-3"/>
        </w:rPr>
        <w:t xml:space="preserve"> </w:t>
      </w:r>
      <w:r>
        <w:t>this</w:t>
      </w:r>
      <w:r>
        <w:rPr>
          <w:spacing w:val="-2"/>
        </w:rPr>
        <w:t xml:space="preserve"> </w:t>
      </w:r>
      <w:r>
        <w:t>law</w:t>
      </w:r>
      <w:r>
        <w:rPr>
          <w:spacing w:val="-6"/>
        </w:rPr>
        <w:t xml:space="preserve"> </w:t>
      </w:r>
      <w:r>
        <w:t>is</w:t>
      </w:r>
      <w:r>
        <w:rPr>
          <w:spacing w:val="-5"/>
        </w:rPr>
        <w:t xml:space="preserve"> </w:t>
      </w:r>
      <w:r>
        <w:t>covered</w:t>
      </w:r>
      <w:r>
        <w:rPr>
          <w:spacing w:val="-57"/>
        </w:rPr>
        <w:t xml:space="preserve"> </w:t>
      </w:r>
      <w:r>
        <w:t>in the National Plan for Equalization of Opportunities for Persons with Disabilities for the</w:t>
      </w:r>
      <w:r>
        <w:rPr>
          <w:spacing w:val="1"/>
        </w:rPr>
        <w:t xml:space="preserve"> </w:t>
      </w:r>
      <w:r>
        <w:t>period</w:t>
      </w:r>
      <w:r>
        <w:rPr>
          <w:spacing w:val="-4"/>
        </w:rPr>
        <w:t xml:space="preserve"> </w:t>
      </w:r>
      <w:r>
        <w:t>from</w:t>
      </w:r>
      <w:r>
        <w:rPr>
          <w:spacing w:val="-2"/>
        </w:rPr>
        <w:t xml:space="preserve"> </w:t>
      </w:r>
      <w:r>
        <w:t>2021</w:t>
      </w:r>
      <w:r>
        <w:rPr>
          <w:spacing w:val="-3"/>
        </w:rPr>
        <w:t xml:space="preserve"> </w:t>
      </w:r>
      <w:r>
        <w:t>to</w:t>
      </w:r>
      <w:r>
        <w:rPr>
          <w:spacing w:val="-2"/>
        </w:rPr>
        <w:t xml:space="preserve"> </w:t>
      </w:r>
      <w:r>
        <w:t>2027</w:t>
      </w:r>
      <w:r>
        <w:rPr>
          <w:spacing w:val="-3"/>
        </w:rPr>
        <w:t xml:space="preserve"> </w:t>
      </w:r>
      <w:r>
        <w:t>and</w:t>
      </w:r>
      <w:r>
        <w:rPr>
          <w:spacing w:val="-3"/>
        </w:rPr>
        <w:t xml:space="preserve"> </w:t>
      </w:r>
      <w:r>
        <w:t>the</w:t>
      </w:r>
      <w:r>
        <w:rPr>
          <w:spacing w:val="-4"/>
        </w:rPr>
        <w:t xml:space="preserve"> </w:t>
      </w:r>
      <w:r>
        <w:t>corresponding</w:t>
      </w:r>
      <w:r>
        <w:rPr>
          <w:spacing w:val="-3"/>
        </w:rPr>
        <w:t xml:space="preserve"> </w:t>
      </w:r>
      <w:r>
        <w:t>Action</w:t>
      </w:r>
      <w:r>
        <w:rPr>
          <w:spacing w:val="-3"/>
        </w:rPr>
        <w:t xml:space="preserve"> </w:t>
      </w:r>
      <w:r>
        <w:t>Plan</w:t>
      </w:r>
      <w:r>
        <w:rPr>
          <w:spacing w:val="-3"/>
        </w:rPr>
        <w:t xml:space="preserve"> </w:t>
      </w:r>
      <w:r>
        <w:t>for</w:t>
      </w:r>
      <w:r>
        <w:rPr>
          <w:spacing w:val="-4"/>
        </w:rPr>
        <w:t xml:space="preserve"> </w:t>
      </w:r>
      <w:r>
        <w:t>Equalisation</w:t>
      </w:r>
      <w:r>
        <w:rPr>
          <w:spacing w:val="-2"/>
        </w:rPr>
        <w:t xml:space="preserve"> </w:t>
      </w:r>
      <w:r>
        <w:t>of</w:t>
      </w:r>
      <w:r>
        <w:rPr>
          <w:spacing w:val="-4"/>
        </w:rPr>
        <w:t xml:space="preserve"> </w:t>
      </w:r>
      <w:r>
        <w:t>Opportunities</w:t>
      </w:r>
      <w:r>
        <w:rPr>
          <w:spacing w:val="-57"/>
        </w:rPr>
        <w:t xml:space="preserve"> </w:t>
      </w:r>
      <w:r>
        <w:t>for Persons with Disabilities for the period from 2021 to 2024. A working group has been</w:t>
      </w:r>
      <w:r>
        <w:rPr>
          <w:spacing w:val="1"/>
        </w:rPr>
        <w:t xml:space="preserve"> </w:t>
      </w:r>
      <w:r>
        <w:t>established</w:t>
      </w:r>
      <w:r>
        <w:rPr>
          <w:spacing w:val="-7"/>
        </w:rPr>
        <w:t xml:space="preserve"> </w:t>
      </w:r>
      <w:r>
        <w:t>to</w:t>
      </w:r>
      <w:r>
        <w:rPr>
          <w:spacing w:val="-6"/>
        </w:rPr>
        <w:t xml:space="preserve"> </w:t>
      </w:r>
      <w:r>
        <w:t>draft</w:t>
      </w:r>
      <w:r>
        <w:rPr>
          <w:spacing w:val="-6"/>
        </w:rPr>
        <w:t xml:space="preserve"> </w:t>
      </w:r>
      <w:r>
        <w:t>the</w:t>
      </w:r>
      <w:r>
        <w:rPr>
          <w:spacing w:val="-8"/>
        </w:rPr>
        <w:t xml:space="preserve"> </w:t>
      </w:r>
      <w:r>
        <w:t>inclusive</w:t>
      </w:r>
      <w:r>
        <w:rPr>
          <w:spacing w:val="-7"/>
        </w:rPr>
        <w:t xml:space="preserve"> </w:t>
      </w:r>
      <w:r>
        <w:t>allowance</w:t>
      </w:r>
      <w:r>
        <w:rPr>
          <w:spacing w:val="-6"/>
        </w:rPr>
        <w:t xml:space="preserve"> </w:t>
      </w:r>
      <w:r>
        <w:t>act,</w:t>
      </w:r>
      <w:r>
        <w:rPr>
          <w:spacing w:val="-7"/>
        </w:rPr>
        <w:t xml:space="preserve"> </w:t>
      </w:r>
      <w:r>
        <w:t>conduct</w:t>
      </w:r>
      <w:r>
        <w:rPr>
          <w:spacing w:val="-5"/>
        </w:rPr>
        <w:t xml:space="preserve"> </w:t>
      </w:r>
      <w:r>
        <w:t>an</w:t>
      </w:r>
      <w:r>
        <w:rPr>
          <w:spacing w:val="-6"/>
        </w:rPr>
        <w:t xml:space="preserve"> </w:t>
      </w:r>
      <w:r>
        <w:t>analysis</w:t>
      </w:r>
      <w:r>
        <w:rPr>
          <w:spacing w:val="-6"/>
        </w:rPr>
        <w:t xml:space="preserve"> </w:t>
      </w:r>
      <w:r>
        <w:t>of</w:t>
      </w:r>
      <w:r>
        <w:rPr>
          <w:spacing w:val="-8"/>
        </w:rPr>
        <w:t xml:space="preserve"> </w:t>
      </w:r>
      <w:r>
        <w:t>the</w:t>
      </w:r>
      <w:r>
        <w:rPr>
          <w:spacing w:val="-6"/>
        </w:rPr>
        <w:t xml:space="preserve"> </w:t>
      </w:r>
      <w:r>
        <w:t>expressions</w:t>
      </w:r>
      <w:r>
        <w:rPr>
          <w:spacing w:val="-5"/>
        </w:rPr>
        <w:t xml:space="preserve"> </w:t>
      </w:r>
      <w:r>
        <w:t>received</w:t>
      </w:r>
      <w:r>
        <w:rPr>
          <w:spacing w:val="-58"/>
        </w:rPr>
        <w:t xml:space="preserve"> </w:t>
      </w:r>
      <w:r>
        <w:t>from</w:t>
      </w:r>
      <w:r>
        <w:rPr>
          <w:spacing w:val="-1"/>
        </w:rPr>
        <w:t xml:space="preserve"> </w:t>
      </w:r>
      <w:r>
        <w:t>members of</w:t>
      </w:r>
      <w:r>
        <w:rPr>
          <w:spacing w:val="-3"/>
        </w:rPr>
        <w:t xml:space="preserve"> </w:t>
      </w:r>
      <w:r>
        <w:t>the</w:t>
      </w:r>
      <w:r>
        <w:rPr>
          <w:spacing w:val="1"/>
        </w:rPr>
        <w:t xml:space="preserve"> </w:t>
      </w:r>
      <w:r>
        <w:t>working</w:t>
      </w:r>
      <w:r>
        <w:rPr>
          <w:spacing w:val="-1"/>
        </w:rPr>
        <w:t xml:space="preserve"> </w:t>
      </w:r>
      <w:r>
        <w:t>group,</w:t>
      </w:r>
      <w:r>
        <w:rPr>
          <w:spacing w:val="2"/>
        </w:rPr>
        <w:t xml:space="preserve"> </w:t>
      </w:r>
      <w:r>
        <w:t>and</w:t>
      </w:r>
      <w:r>
        <w:rPr>
          <w:spacing w:val="-1"/>
        </w:rPr>
        <w:t xml:space="preserve"> </w:t>
      </w:r>
      <w:r>
        <w:t>a</w:t>
      </w:r>
      <w:r>
        <w:rPr>
          <w:spacing w:val="-1"/>
        </w:rPr>
        <w:t xml:space="preserve"> </w:t>
      </w:r>
      <w:r>
        <w:t>draft</w:t>
      </w:r>
      <w:r>
        <w:rPr>
          <w:spacing w:val="-1"/>
        </w:rPr>
        <w:t xml:space="preserve"> </w:t>
      </w:r>
      <w:r>
        <w:t>of</w:t>
      </w:r>
      <w:r>
        <w:rPr>
          <w:spacing w:val="1"/>
        </w:rPr>
        <w:t xml:space="preserve"> </w:t>
      </w:r>
      <w:r>
        <w:t>the</w:t>
      </w:r>
      <w:r>
        <w:rPr>
          <w:spacing w:val="-1"/>
        </w:rPr>
        <w:t xml:space="preserve"> </w:t>
      </w:r>
      <w:r>
        <w:t>proposed act</w:t>
      </w:r>
      <w:r>
        <w:rPr>
          <w:spacing w:val="-1"/>
        </w:rPr>
        <w:t xml:space="preserve"> </w:t>
      </w:r>
      <w:r>
        <w:t>is</w:t>
      </w:r>
      <w:r>
        <w:rPr>
          <w:spacing w:val="1"/>
        </w:rPr>
        <w:t xml:space="preserve"> </w:t>
      </w:r>
      <w:r>
        <w:t>being</w:t>
      </w:r>
      <w:r>
        <w:rPr>
          <w:spacing w:val="-1"/>
        </w:rPr>
        <w:t xml:space="preserve"> </w:t>
      </w:r>
      <w:r>
        <w:t>drafted.</w:t>
      </w:r>
    </w:p>
    <w:p w:rsidR="00A56FE9" w:rsidRDefault="00000000">
      <w:pPr>
        <w:pStyle w:val="Tijeloteksta"/>
        <w:spacing w:before="121"/>
        <w:ind w:right="272"/>
      </w:pPr>
      <w:r>
        <w:t>Certain</w:t>
      </w:r>
      <w:r>
        <w:rPr>
          <w:spacing w:val="-6"/>
        </w:rPr>
        <w:t xml:space="preserve"> </w:t>
      </w:r>
      <w:r>
        <w:t>NRRP</w:t>
      </w:r>
      <w:r>
        <w:rPr>
          <w:spacing w:val="-6"/>
        </w:rPr>
        <w:t xml:space="preserve"> </w:t>
      </w:r>
      <w:r>
        <w:t>investments</w:t>
      </w:r>
      <w:r>
        <w:rPr>
          <w:spacing w:val="-6"/>
        </w:rPr>
        <w:t xml:space="preserve"> </w:t>
      </w:r>
      <w:r>
        <w:t>are</w:t>
      </w:r>
      <w:r>
        <w:rPr>
          <w:spacing w:val="-8"/>
        </w:rPr>
        <w:t xml:space="preserve"> </w:t>
      </w:r>
      <w:r>
        <w:t>also</w:t>
      </w:r>
      <w:r>
        <w:rPr>
          <w:spacing w:val="-6"/>
        </w:rPr>
        <w:t xml:space="preserve"> </w:t>
      </w:r>
      <w:r>
        <w:t>envisaged</w:t>
      </w:r>
      <w:r>
        <w:rPr>
          <w:spacing w:val="-5"/>
        </w:rPr>
        <w:t xml:space="preserve"> </w:t>
      </w:r>
      <w:r>
        <w:t>to</w:t>
      </w:r>
      <w:r>
        <w:rPr>
          <w:spacing w:val="-6"/>
        </w:rPr>
        <w:t xml:space="preserve"> </w:t>
      </w:r>
      <w:r>
        <w:t>achieve</w:t>
      </w:r>
      <w:r>
        <w:rPr>
          <w:spacing w:val="-8"/>
        </w:rPr>
        <w:t xml:space="preserve"> </w:t>
      </w:r>
      <w:r>
        <w:t>full</w:t>
      </w:r>
      <w:r>
        <w:rPr>
          <w:spacing w:val="-6"/>
        </w:rPr>
        <w:t xml:space="preserve"> </w:t>
      </w:r>
      <w:r>
        <w:t>transparency</w:t>
      </w:r>
      <w:r>
        <w:rPr>
          <w:spacing w:val="-11"/>
        </w:rPr>
        <w:t xml:space="preserve"> </w:t>
      </w:r>
      <w:r>
        <w:t>in</w:t>
      </w:r>
      <w:r>
        <w:rPr>
          <w:spacing w:val="-5"/>
        </w:rPr>
        <w:t xml:space="preserve"> </w:t>
      </w:r>
      <w:r>
        <w:t>monitoring</w:t>
      </w:r>
      <w:r>
        <w:rPr>
          <w:spacing w:val="-8"/>
        </w:rPr>
        <w:t xml:space="preserve"> </w:t>
      </w:r>
      <w:r>
        <w:t>social</w:t>
      </w:r>
      <w:r>
        <w:rPr>
          <w:spacing w:val="-58"/>
        </w:rPr>
        <w:t xml:space="preserve"> </w:t>
      </w:r>
      <w:r>
        <w:t>benefits</w:t>
      </w:r>
      <w:r>
        <w:rPr>
          <w:spacing w:val="1"/>
        </w:rPr>
        <w:t xml:space="preserve"> </w:t>
      </w:r>
      <w:r>
        <w:t>within</w:t>
      </w:r>
      <w:r>
        <w:rPr>
          <w:spacing w:val="1"/>
        </w:rPr>
        <w:t xml:space="preserve"> </w:t>
      </w:r>
      <w:r>
        <w:t>the</w:t>
      </w:r>
      <w:r>
        <w:rPr>
          <w:spacing w:val="1"/>
        </w:rPr>
        <w:t xml:space="preserve"> </w:t>
      </w:r>
      <w:r>
        <w:t>social</w:t>
      </w:r>
      <w:r>
        <w:rPr>
          <w:spacing w:val="1"/>
        </w:rPr>
        <w:t xml:space="preserve"> </w:t>
      </w:r>
      <w:r>
        <w:t>protection</w:t>
      </w:r>
      <w:r>
        <w:rPr>
          <w:spacing w:val="1"/>
        </w:rPr>
        <w:t xml:space="preserve"> </w:t>
      </w:r>
      <w:r>
        <w:t>system</w:t>
      </w:r>
      <w:r>
        <w:rPr>
          <w:spacing w:val="1"/>
        </w:rPr>
        <w:t xml:space="preserve"> </w:t>
      </w:r>
      <w:r>
        <w:t>by</w:t>
      </w:r>
      <w:r>
        <w:rPr>
          <w:spacing w:val="1"/>
        </w:rPr>
        <w:t xml:space="preserve"> </w:t>
      </w:r>
      <w:r>
        <w:t>exchanging</w:t>
      </w:r>
      <w:r>
        <w:rPr>
          <w:spacing w:val="1"/>
        </w:rPr>
        <w:t xml:space="preserve"> </w:t>
      </w:r>
      <w:r>
        <w:t>data</w:t>
      </w:r>
      <w:r>
        <w:rPr>
          <w:spacing w:val="1"/>
        </w:rPr>
        <w:t xml:space="preserve"> </w:t>
      </w:r>
      <w:r>
        <w:t>across</w:t>
      </w:r>
      <w:r>
        <w:rPr>
          <w:spacing w:val="1"/>
        </w:rPr>
        <w:t xml:space="preserve"> </w:t>
      </w:r>
      <w:r>
        <w:t>all</w:t>
      </w:r>
      <w:r>
        <w:rPr>
          <w:spacing w:val="1"/>
        </w:rPr>
        <w:t xml:space="preserve"> </w:t>
      </w:r>
      <w:r>
        <w:t>levels.</w:t>
      </w:r>
      <w:r>
        <w:rPr>
          <w:spacing w:val="1"/>
        </w:rPr>
        <w:t xml:space="preserve"> </w:t>
      </w:r>
      <w:r>
        <w:t>Implementation of the investment Improving the Digitalisation of the Social Benefits System</w:t>
      </w:r>
      <w:r>
        <w:rPr>
          <w:spacing w:val="1"/>
        </w:rPr>
        <w:t xml:space="preserve"> </w:t>
      </w:r>
      <w:r>
        <w:t>between the National and Local Levels will provide each LRSGU insight into the type and</w:t>
      </w:r>
      <w:r>
        <w:rPr>
          <w:spacing w:val="1"/>
        </w:rPr>
        <w:t xml:space="preserve"> </w:t>
      </w:r>
      <w:r>
        <w:t>amount of welfare benefits from the social protection system at the national level for each</w:t>
      </w:r>
      <w:r>
        <w:rPr>
          <w:spacing w:val="1"/>
        </w:rPr>
        <w:t xml:space="preserve"> </w:t>
      </w:r>
      <w:r>
        <w:t>individual</w:t>
      </w:r>
      <w:r>
        <w:rPr>
          <w:spacing w:val="1"/>
        </w:rPr>
        <w:t xml:space="preserve"> </w:t>
      </w:r>
      <w:r>
        <w:t>beneficiary</w:t>
      </w:r>
      <w:r>
        <w:rPr>
          <w:spacing w:val="1"/>
        </w:rPr>
        <w:t xml:space="preserve"> </w:t>
      </w:r>
      <w:r>
        <w:t>and</w:t>
      </w:r>
      <w:r>
        <w:rPr>
          <w:spacing w:val="1"/>
        </w:rPr>
        <w:t xml:space="preserve"> </w:t>
      </w:r>
      <w:r>
        <w:t>vice</w:t>
      </w:r>
      <w:r>
        <w:rPr>
          <w:spacing w:val="1"/>
        </w:rPr>
        <w:t xml:space="preserve"> </w:t>
      </w:r>
      <w:r>
        <w:t>versa,</w:t>
      </w:r>
      <w:r>
        <w:rPr>
          <w:spacing w:val="1"/>
        </w:rPr>
        <w:t xml:space="preserve"> </w:t>
      </w:r>
      <w:r>
        <w:t>in</w:t>
      </w:r>
      <w:r>
        <w:rPr>
          <w:spacing w:val="1"/>
        </w:rPr>
        <w:t xml:space="preserve"> </w:t>
      </w:r>
      <w:r>
        <w:t>accordance</w:t>
      </w:r>
      <w:r>
        <w:rPr>
          <w:spacing w:val="1"/>
        </w:rPr>
        <w:t xml:space="preserve"> </w:t>
      </w:r>
      <w:r>
        <w:t>with</w:t>
      </w:r>
      <w:r>
        <w:rPr>
          <w:spacing w:val="1"/>
        </w:rPr>
        <w:t xml:space="preserve"> </w:t>
      </w:r>
      <w:r>
        <w:t>applicable</w:t>
      </w:r>
      <w:r>
        <w:rPr>
          <w:spacing w:val="1"/>
        </w:rPr>
        <w:t xml:space="preserve"> </w:t>
      </w:r>
      <w:r>
        <w:t>legislation.</w:t>
      </w:r>
      <w:r>
        <w:rPr>
          <w:spacing w:val="1"/>
        </w:rPr>
        <w:t xml:space="preserve"> </w:t>
      </w:r>
      <w:r>
        <w:t>The</w:t>
      </w:r>
      <w:r>
        <w:rPr>
          <w:spacing w:val="1"/>
        </w:rPr>
        <w:t xml:space="preserve"> </w:t>
      </w:r>
      <w:r>
        <w:t>establishment</w:t>
      </w:r>
      <w:r>
        <w:rPr>
          <w:spacing w:val="-4"/>
        </w:rPr>
        <w:t xml:space="preserve"> </w:t>
      </w:r>
      <w:r>
        <w:t>of</w:t>
      </w:r>
      <w:r>
        <w:rPr>
          <w:spacing w:val="-4"/>
        </w:rPr>
        <w:t xml:space="preserve"> </w:t>
      </w:r>
      <w:r>
        <w:t>a</w:t>
      </w:r>
      <w:r>
        <w:rPr>
          <w:spacing w:val="-5"/>
        </w:rPr>
        <w:t xml:space="preserve"> </w:t>
      </w:r>
      <w:r>
        <w:t>central interoperability</w:t>
      </w:r>
      <w:r>
        <w:rPr>
          <w:spacing w:val="-9"/>
        </w:rPr>
        <w:t xml:space="preserve"> </w:t>
      </w:r>
      <w:r>
        <w:t>system</w:t>
      </w:r>
      <w:r>
        <w:rPr>
          <w:spacing w:val="-2"/>
        </w:rPr>
        <w:t xml:space="preserve"> </w:t>
      </w:r>
      <w:r>
        <w:t>will</w:t>
      </w:r>
      <w:r>
        <w:rPr>
          <w:spacing w:val="-2"/>
        </w:rPr>
        <w:t xml:space="preserve"> </w:t>
      </w:r>
      <w:r>
        <w:t>ensure</w:t>
      </w:r>
      <w:r>
        <w:rPr>
          <w:spacing w:val="-5"/>
        </w:rPr>
        <w:t xml:space="preserve"> </w:t>
      </w:r>
      <w:r>
        <w:t>the</w:t>
      </w:r>
      <w:r>
        <w:rPr>
          <w:spacing w:val="1"/>
        </w:rPr>
        <w:t xml:space="preserve"> </w:t>
      </w:r>
      <w:r>
        <w:t>ability</w:t>
      </w:r>
      <w:r>
        <w:rPr>
          <w:spacing w:val="-9"/>
        </w:rPr>
        <w:t xml:space="preserve"> </w:t>
      </w:r>
      <w:r>
        <w:t>to</w:t>
      </w:r>
      <w:r>
        <w:rPr>
          <w:spacing w:val="1"/>
        </w:rPr>
        <w:t xml:space="preserve"> </w:t>
      </w:r>
      <w:r>
        <w:t>exchange</w:t>
      </w:r>
      <w:r>
        <w:rPr>
          <w:spacing w:val="-5"/>
        </w:rPr>
        <w:t xml:space="preserve"> </w:t>
      </w:r>
      <w:r>
        <w:t>of</w:t>
      </w:r>
      <w:r>
        <w:rPr>
          <w:spacing w:val="-4"/>
        </w:rPr>
        <w:t xml:space="preserve"> </w:t>
      </w:r>
      <w:r>
        <w:t>data</w:t>
      </w:r>
      <w:r>
        <w:rPr>
          <w:spacing w:val="-2"/>
        </w:rPr>
        <w:t xml:space="preserve"> </w:t>
      </w:r>
      <w:r>
        <w:t>on</w:t>
      </w:r>
      <w:r>
        <w:rPr>
          <w:spacing w:val="-58"/>
        </w:rPr>
        <w:t xml:space="preserve"> </w:t>
      </w:r>
      <w:r>
        <w:t>each individual beneficiary of welfare benefits in the social protection system between bodies</w:t>
      </w:r>
      <w:r>
        <w:rPr>
          <w:spacing w:val="1"/>
        </w:rPr>
        <w:t xml:space="preserve"> </w:t>
      </w:r>
      <w:r>
        <w:t>that recognise benefits at the national level and in accordance with applicable legislation.</w:t>
      </w:r>
      <w:r>
        <w:rPr>
          <w:spacing w:val="1"/>
        </w:rPr>
        <w:t xml:space="preserve"> </w:t>
      </w:r>
      <w:r>
        <w:t>Moreover, a social protection system that is more transparent and accessible to all citizens</w:t>
      </w:r>
      <w:r>
        <w:rPr>
          <w:spacing w:val="1"/>
        </w:rPr>
        <w:t xml:space="preserve"> </w:t>
      </w:r>
      <w:r>
        <w:t>requires</w:t>
      </w:r>
      <w:r>
        <w:rPr>
          <w:spacing w:val="-6"/>
        </w:rPr>
        <w:t xml:space="preserve"> </w:t>
      </w:r>
      <w:r>
        <w:t>implementation</w:t>
      </w:r>
      <w:r>
        <w:rPr>
          <w:spacing w:val="-6"/>
        </w:rPr>
        <w:t xml:space="preserve"> </w:t>
      </w:r>
      <w:r>
        <w:t>of</w:t>
      </w:r>
      <w:r>
        <w:rPr>
          <w:spacing w:val="-8"/>
        </w:rPr>
        <w:t xml:space="preserve"> </w:t>
      </w:r>
      <w:r>
        <w:t>the</w:t>
      </w:r>
      <w:r>
        <w:rPr>
          <w:spacing w:val="-8"/>
        </w:rPr>
        <w:t xml:space="preserve"> </w:t>
      </w:r>
      <w:r>
        <w:t>investment</w:t>
      </w:r>
      <w:r>
        <w:rPr>
          <w:spacing w:val="-5"/>
        </w:rPr>
        <w:t xml:space="preserve"> </w:t>
      </w:r>
      <w:r>
        <w:t>Development</w:t>
      </w:r>
      <w:r>
        <w:rPr>
          <w:spacing w:val="-8"/>
        </w:rPr>
        <w:t xml:space="preserve"> </w:t>
      </w:r>
      <w:r>
        <w:t>of</w:t>
      </w:r>
      <w:r>
        <w:rPr>
          <w:spacing w:val="-8"/>
        </w:rPr>
        <w:t xml:space="preserve"> </w:t>
      </w:r>
      <w:r>
        <w:t>a</w:t>
      </w:r>
      <w:r>
        <w:rPr>
          <w:spacing w:val="-7"/>
        </w:rPr>
        <w:t xml:space="preserve"> </w:t>
      </w:r>
      <w:r>
        <w:t>web</w:t>
      </w:r>
      <w:r>
        <w:rPr>
          <w:spacing w:val="-8"/>
        </w:rPr>
        <w:t xml:space="preserve"> </w:t>
      </w:r>
      <w:r>
        <w:t>application</w:t>
      </w:r>
      <w:r>
        <w:rPr>
          <w:spacing w:val="-8"/>
        </w:rPr>
        <w:t xml:space="preserve"> </w:t>
      </w:r>
      <w:r>
        <w:t>on</w:t>
      </w:r>
      <w:r>
        <w:rPr>
          <w:spacing w:val="-9"/>
        </w:rPr>
        <w:t xml:space="preserve"> </w:t>
      </w:r>
      <w:r>
        <w:t>the</w:t>
      </w:r>
      <w:r>
        <w:rPr>
          <w:spacing w:val="-8"/>
        </w:rPr>
        <w:t xml:space="preserve"> </w:t>
      </w:r>
      <w:r>
        <w:t>possibility</w:t>
      </w:r>
      <w:r>
        <w:rPr>
          <w:spacing w:val="-58"/>
        </w:rPr>
        <w:t xml:space="preserve"> </w:t>
      </w:r>
      <w:r>
        <w:t>of receiving social benefits at the national level, offering information to all citizens based on</w:t>
      </w:r>
      <w:r>
        <w:rPr>
          <w:spacing w:val="1"/>
        </w:rPr>
        <w:t xml:space="preserve"> </w:t>
      </w:r>
      <w:r>
        <w:t>the</w:t>
      </w:r>
      <w:r>
        <w:rPr>
          <w:spacing w:val="-6"/>
        </w:rPr>
        <w:t xml:space="preserve"> </w:t>
      </w:r>
      <w:r>
        <w:t>entry</w:t>
      </w:r>
      <w:r>
        <w:rPr>
          <w:spacing w:val="-10"/>
        </w:rPr>
        <w:t xml:space="preserve"> </w:t>
      </w:r>
      <w:r>
        <w:t>of</w:t>
      </w:r>
      <w:r>
        <w:rPr>
          <w:spacing w:val="-6"/>
        </w:rPr>
        <w:t xml:space="preserve"> </w:t>
      </w:r>
      <w:r>
        <w:t>certain</w:t>
      </w:r>
      <w:r>
        <w:rPr>
          <w:spacing w:val="-5"/>
        </w:rPr>
        <w:t xml:space="preserve"> </w:t>
      </w:r>
      <w:r>
        <w:t>conditions,</w:t>
      </w:r>
      <w:r>
        <w:rPr>
          <w:spacing w:val="-5"/>
        </w:rPr>
        <w:t xml:space="preserve"> </w:t>
      </w:r>
      <w:r>
        <w:t>and</w:t>
      </w:r>
      <w:r>
        <w:rPr>
          <w:spacing w:val="-4"/>
        </w:rPr>
        <w:t xml:space="preserve"> </w:t>
      </w:r>
      <w:r>
        <w:t>the</w:t>
      </w:r>
      <w:r>
        <w:rPr>
          <w:spacing w:val="-6"/>
        </w:rPr>
        <w:t xml:space="preserve"> </w:t>
      </w:r>
      <w:r>
        <w:t>ability</w:t>
      </w:r>
      <w:r>
        <w:rPr>
          <w:spacing w:val="-10"/>
        </w:rPr>
        <w:t xml:space="preserve"> </w:t>
      </w:r>
      <w:r>
        <w:t>to</w:t>
      </w:r>
      <w:r>
        <w:rPr>
          <w:spacing w:val="-5"/>
        </w:rPr>
        <w:t xml:space="preserve"> </w:t>
      </w:r>
      <w:r>
        <w:t>achieve</w:t>
      </w:r>
      <w:r>
        <w:rPr>
          <w:spacing w:val="-7"/>
        </w:rPr>
        <w:t xml:space="preserve"> </w:t>
      </w:r>
      <w:r>
        <w:t>certain</w:t>
      </w:r>
      <w:r>
        <w:rPr>
          <w:spacing w:val="-4"/>
        </w:rPr>
        <w:t xml:space="preserve"> </w:t>
      </w:r>
      <w:r>
        <w:t>welfare</w:t>
      </w:r>
      <w:r>
        <w:rPr>
          <w:spacing w:val="-7"/>
        </w:rPr>
        <w:t xml:space="preserve"> </w:t>
      </w:r>
      <w:r>
        <w:t>benefits</w:t>
      </w:r>
      <w:r>
        <w:rPr>
          <w:spacing w:val="-5"/>
        </w:rPr>
        <w:t xml:space="preserve"> </w:t>
      </w:r>
      <w:r>
        <w:t>at</w:t>
      </w:r>
      <w:r>
        <w:rPr>
          <w:spacing w:val="-5"/>
        </w:rPr>
        <w:t xml:space="preserve"> </w:t>
      </w:r>
      <w:r>
        <w:t>the</w:t>
      </w:r>
      <w:r>
        <w:rPr>
          <w:spacing w:val="-6"/>
        </w:rPr>
        <w:t xml:space="preserve"> </w:t>
      </w:r>
      <w:r>
        <w:t>national</w:t>
      </w:r>
      <w:r>
        <w:rPr>
          <w:spacing w:val="-57"/>
        </w:rPr>
        <w:t xml:space="preserve"> </w:t>
      </w:r>
      <w:r>
        <w:t>level.</w:t>
      </w:r>
      <w:r>
        <w:rPr>
          <w:spacing w:val="-1"/>
        </w:rPr>
        <w:t xml:space="preserve"> </w:t>
      </w:r>
      <w:r>
        <w:t>The</w:t>
      </w:r>
      <w:r>
        <w:rPr>
          <w:spacing w:val="-1"/>
        </w:rPr>
        <w:t xml:space="preserve"> </w:t>
      </w:r>
      <w:r>
        <w:t>implementation</w:t>
      </w:r>
      <w:r>
        <w:rPr>
          <w:spacing w:val="1"/>
        </w:rPr>
        <w:t xml:space="preserve"> </w:t>
      </w:r>
      <w:r>
        <w:t>deadline</w:t>
      </w:r>
      <w:r>
        <w:rPr>
          <w:spacing w:val="-1"/>
        </w:rPr>
        <w:t xml:space="preserve"> </w:t>
      </w:r>
      <w:r>
        <w:t>for</w:t>
      </w:r>
      <w:r>
        <w:rPr>
          <w:spacing w:val="-2"/>
        </w:rPr>
        <w:t xml:space="preserve"> </w:t>
      </w:r>
      <w:r>
        <w:t>these</w:t>
      </w:r>
      <w:r>
        <w:rPr>
          <w:spacing w:val="-1"/>
        </w:rPr>
        <w:t xml:space="preserve"> </w:t>
      </w:r>
      <w:r>
        <w:t>investments is December</w:t>
      </w:r>
      <w:r>
        <w:rPr>
          <w:spacing w:val="-2"/>
        </w:rPr>
        <w:t xml:space="preserve"> </w:t>
      </w:r>
      <w:r>
        <w:t>2025.</w:t>
      </w:r>
    </w:p>
    <w:p w:rsidR="00A56FE9" w:rsidRDefault="00A56FE9">
      <w:pPr>
        <w:sectPr w:rsidR="00A56FE9" w:rsidSect="00AB1E70">
          <w:pgSz w:w="11910" w:h="16840"/>
          <w:pgMar w:top="1320" w:right="1140" w:bottom="960" w:left="1280" w:header="0" w:footer="779" w:gutter="0"/>
          <w:cols w:space="720"/>
        </w:sectPr>
      </w:pPr>
    </w:p>
    <w:p w:rsidR="00A56FE9" w:rsidRDefault="00A56FE9">
      <w:pPr>
        <w:pStyle w:val="Tijeloteksta"/>
        <w:spacing w:before="4"/>
        <w:ind w:left="0"/>
        <w:jc w:val="left"/>
        <w:rPr>
          <w:sz w:val="13"/>
        </w:rPr>
      </w:pPr>
    </w:p>
    <w:p w:rsidR="00A56FE9" w:rsidRDefault="00CC1B9B">
      <w:pPr>
        <w:pStyle w:val="Naslov4"/>
        <w:spacing w:before="89"/>
      </w:pPr>
      <w:r>
        <w:rPr>
          <w:noProof/>
        </w:rPr>
        <mc:AlternateContent>
          <mc:Choice Requires="wps">
            <w:drawing>
              <wp:anchor distT="0" distB="0" distL="114300" distR="114300" simplePos="0" relativeHeight="15805440" behindDoc="0" locked="0" layoutInCell="1" allowOverlap="1">
                <wp:simplePos x="0" y="0"/>
                <wp:positionH relativeFrom="page">
                  <wp:posOffset>814070</wp:posOffset>
                </wp:positionH>
                <wp:positionV relativeFrom="paragraph">
                  <wp:posOffset>-97790</wp:posOffset>
                </wp:positionV>
                <wp:extent cx="18415" cy="417830"/>
                <wp:effectExtent l="0" t="0" r="0" b="0"/>
                <wp:wrapNone/>
                <wp:docPr id="1712689513"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D9E3F" id="Rectangle 114" o:spid="_x0000_s1026" style="position:absolute;margin-left:64.1pt;margin-top:-7.7pt;width:1.45pt;height:32.9pt;z-index:1580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" fillcolor="#da1f2c" stroked="f">
                <w10:wrap anchorx="page"/>
              </v:rect>
            </w:pict>
          </mc:Fallback>
        </mc:AlternateContent>
      </w:r>
      <w:r w:rsidR="00000000">
        <w:rPr>
          <w:color w:val="2C398A"/>
        </w:rPr>
        <w:t>Improving</w:t>
      </w:r>
      <w:r w:rsidR="00000000">
        <w:rPr>
          <w:color w:val="2C398A"/>
          <w:spacing w:val="-6"/>
        </w:rPr>
        <w:t xml:space="preserve"> </w:t>
      </w:r>
      <w:r w:rsidR="00000000">
        <w:rPr>
          <w:color w:val="2C398A"/>
        </w:rPr>
        <w:t>social</w:t>
      </w:r>
      <w:r w:rsidR="00000000">
        <w:rPr>
          <w:color w:val="2C398A"/>
          <w:spacing w:val="-6"/>
        </w:rPr>
        <w:t xml:space="preserve"> </w:t>
      </w:r>
      <w:r w:rsidR="00000000">
        <w:rPr>
          <w:color w:val="2C398A"/>
        </w:rPr>
        <w:t>services</w:t>
      </w:r>
    </w:p>
    <w:p w:rsidR="00A56FE9" w:rsidRDefault="00000000">
      <w:pPr>
        <w:spacing w:before="231"/>
        <w:ind w:left="138" w:right="276"/>
        <w:jc w:val="both"/>
        <w:rPr>
          <w:i/>
          <w:sz w:val="24"/>
        </w:rPr>
      </w:pPr>
      <w:r>
        <w:rPr>
          <w:i/>
          <w:color w:val="2C398A"/>
          <w:sz w:val="24"/>
        </w:rPr>
        <w:t>2019.CSR2.3. Strengthen labour market measures and institutions and their coordination with</w:t>
      </w:r>
      <w:r>
        <w:rPr>
          <w:i/>
          <w:color w:val="2C398A"/>
          <w:spacing w:val="-58"/>
          <w:sz w:val="24"/>
        </w:rPr>
        <w:t xml:space="preserve"> </w:t>
      </w:r>
      <w:r>
        <w:rPr>
          <w:i/>
          <w:color w:val="2C398A"/>
          <w:sz w:val="24"/>
        </w:rPr>
        <w:t>social</w:t>
      </w:r>
      <w:r>
        <w:rPr>
          <w:i/>
          <w:color w:val="2C398A"/>
          <w:spacing w:val="-1"/>
          <w:sz w:val="24"/>
        </w:rPr>
        <w:t xml:space="preserve"> </w:t>
      </w:r>
      <w:r>
        <w:rPr>
          <w:i/>
          <w:color w:val="2C398A"/>
          <w:sz w:val="24"/>
        </w:rPr>
        <w:t>services;</w:t>
      </w:r>
      <w:r>
        <w:rPr>
          <w:i/>
          <w:color w:val="2C398A"/>
          <w:spacing w:val="-1"/>
          <w:sz w:val="24"/>
        </w:rPr>
        <w:t xml:space="preserve"> </w:t>
      </w:r>
      <w:r>
        <w:rPr>
          <w:i/>
          <w:color w:val="2C398A"/>
          <w:sz w:val="24"/>
        </w:rPr>
        <w:t>2020.CSR2.3. Promote</w:t>
      </w:r>
      <w:r>
        <w:rPr>
          <w:i/>
          <w:color w:val="2C398A"/>
          <w:spacing w:val="-1"/>
          <w:sz w:val="24"/>
        </w:rPr>
        <w:t xml:space="preserve"> </w:t>
      </w:r>
      <w:r>
        <w:rPr>
          <w:i/>
          <w:color w:val="2C398A"/>
          <w:sz w:val="24"/>
        </w:rPr>
        <w:t>the acquisition of skills</w:t>
      </w:r>
    </w:p>
    <w:p w:rsidR="00A56FE9" w:rsidRDefault="00A56FE9">
      <w:pPr>
        <w:pStyle w:val="Tijeloteksta"/>
        <w:spacing w:before="3"/>
        <w:ind w:left="0"/>
        <w:jc w:val="left"/>
        <w:rPr>
          <w:i/>
          <w:sz w:val="21"/>
        </w:rPr>
      </w:pPr>
    </w:p>
    <w:p w:rsidR="00A56FE9" w:rsidRDefault="00000000">
      <w:pPr>
        <w:pStyle w:val="Naslov5"/>
        <w:spacing w:after="23"/>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077782601"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934357620" name="Rectangle 113"/>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117C4DA" id="Group 112"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">
                <v:rect id="Rectangle 113"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" fillcolor="#2c398a" stroked="f"/>
                <w10:anchorlock/>
              </v:group>
            </w:pict>
          </mc:Fallback>
        </mc:AlternateContent>
      </w:r>
    </w:p>
    <w:p w:rsidR="00A56FE9" w:rsidRDefault="00000000">
      <w:pPr>
        <w:pStyle w:val="Tijeloteksta"/>
        <w:spacing w:before="154"/>
        <w:ind w:right="276"/>
      </w:pPr>
      <w:r>
        <w:t>The new Social Welfare Act facilitates the strengthening of the social welfare system, better</w:t>
      </w:r>
      <w:r>
        <w:rPr>
          <w:spacing w:val="1"/>
        </w:rPr>
        <w:t xml:space="preserve"> </w:t>
      </w:r>
      <w:r>
        <w:t>organisation, more comprehensive protection of beneficiaries, as well as better quality and</w:t>
      </w:r>
      <w:r>
        <w:rPr>
          <w:spacing w:val="1"/>
        </w:rPr>
        <w:t xml:space="preserve"> </w:t>
      </w:r>
      <w:r>
        <w:rPr>
          <w:spacing w:val="-1"/>
        </w:rPr>
        <w:t>availability</w:t>
      </w:r>
      <w:r>
        <w:rPr>
          <w:spacing w:val="-15"/>
        </w:rPr>
        <w:t xml:space="preserve"> </w:t>
      </w:r>
      <w:r>
        <w:t>of</w:t>
      </w:r>
      <w:r>
        <w:rPr>
          <w:spacing w:val="-10"/>
        </w:rPr>
        <w:t xml:space="preserve"> </w:t>
      </w:r>
      <w:r>
        <w:t>services.</w:t>
      </w:r>
      <w:r>
        <w:rPr>
          <w:spacing w:val="-10"/>
        </w:rPr>
        <w:t xml:space="preserve"> </w:t>
      </w:r>
      <w:r>
        <w:t>At</w:t>
      </w:r>
      <w:r>
        <w:rPr>
          <w:spacing w:val="-9"/>
        </w:rPr>
        <w:t xml:space="preserve"> </w:t>
      </w:r>
      <w:r>
        <w:t>the</w:t>
      </w:r>
      <w:r>
        <w:rPr>
          <w:spacing w:val="-10"/>
        </w:rPr>
        <w:t xml:space="preserve"> </w:t>
      </w:r>
      <w:r>
        <w:t>same</w:t>
      </w:r>
      <w:r>
        <w:rPr>
          <w:spacing w:val="-11"/>
        </w:rPr>
        <w:t xml:space="preserve"> </w:t>
      </w:r>
      <w:r>
        <w:t>time,</w:t>
      </w:r>
      <w:r>
        <w:rPr>
          <w:spacing w:val="-10"/>
        </w:rPr>
        <w:t xml:space="preserve"> </w:t>
      </w:r>
      <w:r>
        <w:t>the</w:t>
      </w:r>
      <w:r>
        <w:rPr>
          <w:spacing w:val="-10"/>
        </w:rPr>
        <w:t xml:space="preserve"> </w:t>
      </w:r>
      <w:r>
        <w:t>role</w:t>
      </w:r>
      <w:r>
        <w:rPr>
          <w:spacing w:val="-11"/>
        </w:rPr>
        <w:t xml:space="preserve"> </w:t>
      </w:r>
      <w:r>
        <w:t>of</w:t>
      </w:r>
      <w:r>
        <w:rPr>
          <w:spacing w:val="-10"/>
        </w:rPr>
        <w:t xml:space="preserve"> </w:t>
      </w:r>
      <w:r>
        <w:t>the</w:t>
      </w:r>
      <w:r>
        <w:rPr>
          <w:spacing w:val="-10"/>
        </w:rPr>
        <w:t xml:space="preserve"> </w:t>
      </w:r>
      <w:r>
        <w:t>local</w:t>
      </w:r>
      <w:r>
        <w:rPr>
          <w:spacing w:val="-10"/>
        </w:rPr>
        <w:t xml:space="preserve"> </w:t>
      </w:r>
      <w:r>
        <w:t>community</w:t>
      </w:r>
      <w:r>
        <w:rPr>
          <w:spacing w:val="-14"/>
        </w:rPr>
        <w:t xml:space="preserve"> </w:t>
      </w:r>
      <w:r>
        <w:t>in</w:t>
      </w:r>
      <w:r>
        <w:rPr>
          <w:spacing w:val="-7"/>
        </w:rPr>
        <w:t xml:space="preserve"> </w:t>
      </w:r>
      <w:r>
        <w:t>assessing</w:t>
      </w:r>
      <w:r>
        <w:rPr>
          <w:spacing w:val="-11"/>
        </w:rPr>
        <w:t xml:space="preserve"> </w:t>
      </w:r>
      <w:r>
        <w:t>the</w:t>
      </w:r>
      <w:r>
        <w:rPr>
          <w:spacing w:val="-10"/>
        </w:rPr>
        <w:t xml:space="preserve"> </w:t>
      </w:r>
      <w:r>
        <w:t>needs</w:t>
      </w:r>
      <w:r>
        <w:rPr>
          <w:spacing w:val="-58"/>
        </w:rPr>
        <w:t xml:space="preserve"> </w:t>
      </w:r>
      <w:r>
        <w:t>in developing social services and adopting welfare plans is strengthened. The Act prescribes</w:t>
      </w:r>
      <w:r>
        <w:rPr>
          <w:spacing w:val="1"/>
        </w:rPr>
        <w:t xml:space="preserve"> </w:t>
      </w:r>
      <w:r>
        <w:t>new services such as social mentoring, comprehensive assessment and planning, professional</w:t>
      </w:r>
      <w:r>
        <w:rPr>
          <w:spacing w:val="1"/>
        </w:rPr>
        <w:t xml:space="preserve"> </w:t>
      </w:r>
      <w:r>
        <w:t>assessment and psychosocial treatments to prevent violent behaviour, and more precisely,</w:t>
      </w:r>
      <w:r>
        <w:rPr>
          <w:spacing w:val="1"/>
        </w:rPr>
        <w:t xml:space="preserve"> </w:t>
      </w:r>
      <w:r>
        <w:t>stipulates</w:t>
      </w:r>
      <w:r>
        <w:rPr>
          <w:spacing w:val="-1"/>
        </w:rPr>
        <w:t xml:space="preserve"> </w:t>
      </w:r>
      <w:r>
        <w:t>the content and</w:t>
      </w:r>
      <w:r>
        <w:rPr>
          <w:spacing w:val="2"/>
        </w:rPr>
        <w:t xml:space="preserve"> </w:t>
      </w:r>
      <w:r>
        <w:t>duration of</w:t>
      </w:r>
      <w:r>
        <w:rPr>
          <w:spacing w:val="-1"/>
        </w:rPr>
        <w:t xml:space="preserve"> </w:t>
      </w:r>
      <w:r>
        <w:t>services.</w:t>
      </w:r>
    </w:p>
    <w:p w:rsidR="00A56FE9" w:rsidRDefault="00000000">
      <w:pPr>
        <w:pStyle w:val="Tijeloteksta"/>
        <w:spacing w:before="121"/>
        <w:ind w:right="274"/>
      </w:pPr>
      <w:r>
        <w:t>The intention of improving social services at the end of 2021 led to adopting the 2021-2027</w:t>
      </w:r>
      <w:r>
        <w:rPr>
          <w:spacing w:val="1"/>
        </w:rPr>
        <w:t xml:space="preserve"> </w:t>
      </w:r>
      <w:r>
        <w:t>National Plan for the Development of Social Services. The plan ensures regional equity and</w:t>
      </w:r>
      <w:r>
        <w:rPr>
          <w:spacing w:val="1"/>
        </w:rPr>
        <w:t xml:space="preserve"> </w:t>
      </w:r>
      <w:r>
        <w:t>accessibility of social services for all groups within the social welfare system throughout</w:t>
      </w:r>
      <w:r>
        <w:rPr>
          <w:spacing w:val="1"/>
        </w:rPr>
        <w:t xml:space="preserve"> </w:t>
      </w:r>
      <w:r>
        <w:t>Croatia. The plan identifies priorities in developing welfare services and the needs of all user</w:t>
      </w:r>
      <w:r>
        <w:rPr>
          <w:spacing w:val="1"/>
        </w:rPr>
        <w:t xml:space="preserve"> </w:t>
      </w:r>
      <w:r>
        <w:rPr>
          <w:spacing w:val="-1"/>
        </w:rPr>
        <w:t>groups</w:t>
      </w:r>
      <w:r>
        <w:rPr>
          <w:spacing w:val="-13"/>
        </w:rPr>
        <w:t xml:space="preserve"> </w:t>
      </w:r>
      <w:r>
        <w:rPr>
          <w:spacing w:val="-1"/>
        </w:rPr>
        <w:t>for</w:t>
      </w:r>
      <w:r>
        <w:rPr>
          <w:spacing w:val="-14"/>
        </w:rPr>
        <w:t xml:space="preserve"> </w:t>
      </w:r>
      <w:r>
        <w:rPr>
          <w:spacing w:val="-1"/>
        </w:rPr>
        <w:t>various</w:t>
      </w:r>
      <w:r>
        <w:rPr>
          <w:spacing w:val="-12"/>
        </w:rPr>
        <w:t xml:space="preserve"> </w:t>
      </w:r>
      <w:r>
        <w:t>forms</w:t>
      </w:r>
      <w:r>
        <w:rPr>
          <w:spacing w:val="-11"/>
        </w:rPr>
        <w:t xml:space="preserve"> </w:t>
      </w:r>
      <w:r>
        <w:t>of</w:t>
      </w:r>
      <w:r>
        <w:rPr>
          <w:spacing w:val="-16"/>
        </w:rPr>
        <w:t xml:space="preserve"> </w:t>
      </w:r>
      <w:r>
        <w:t>care,</w:t>
      </w:r>
      <w:r>
        <w:rPr>
          <w:spacing w:val="-13"/>
        </w:rPr>
        <w:t xml:space="preserve"> </w:t>
      </w:r>
      <w:r>
        <w:t>both</w:t>
      </w:r>
      <w:r>
        <w:rPr>
          <w:spacing w:val="-13"/>
        </w:rPr>
        <w:t xml:space="preserve"> </w:t>
      </w:r>
      <w:r>
        <w:t>institutional</w:t>
      </w:r>
      <w:r>
        <w:rPr>
          <w:spacing w:val="-14"/>
        </w:rPr>
        <w:t xml:space="preserve"> </w:t>
      </w:r>
      <w:r>
        <w:t>and</w:t>
      </w:r>
      <w:r>
        <w:rPr>
          <w:spacing w:val="-15"/>
        </w:rPr>
        <w:t xml:space="preserve"> </w:t>
      </w:r>
      <w:r>
        <w:t>non-institutional,</w:t>
      </w:r>
      <w:r>
        <w:rPr>
          <w:spacing w:val="-14"/>
        </w:rPr>
        <w:t xml:space="preserve"> </w:t>
      </w:r>
      <w:r>
        <w:t>to</w:t>
      </w:r>
      <w:r>
        <w:rPr>
          <w:spacing w:val="-13"/>
        </w:rPr>
        <w:t xml:space="preserve"> </w:t>
      </w:r>
      <w:r>
        <w:t>achieve</w:t>
      </w:r>
      <w:r>
        <w:rPr>
          <w:spacing w:val="-14"/>
        </w:rPr>
        <w:t xml:space="preserve"> </w:t>
      </w:r>
      <w:r>
        <w:t>a</w:t>
      </w:r>
      <w:r>
        <w:rPr>
          <w:spacing w:val="-16"/>
        </w:rPr>
        <w:t xml:space="preserve"> </w:t>
      </w:r>
      <w:r>
        <w:t>systematic</w:t>
      </w:r>
      <w:r>
        <w:rPr>
          <w:spacing w:val="-57"/>
        </w:rPr>
        <w:t xml:space="preserve"> </w:t>
      </w:r>
      <w:r>
        <w:t>and comprehensive care plan tailored to user needs. This includes increasing quality and</w:t>
      </w:r>
      <w:r>
        <w:rPr>
          <w:spacing w:val="1"/>
        </w:rPr>
        <w:t xml:space="preserve"> </w:t>
      </w:r>
      <w:r>
        <w:t>improving control over the provision of welfare services. The 2021-2027 National Plan for</w:t>
      </w:r>
      <w:r>
        <w:rPr>
          <w:spacing w:val="1"/>
        </w:rPr>
        <w:t xml:space="preserve"> </w:t>
      </w:r>
      <w:r>
        <w:t>Equal Opportunities for Persons with Disabilities, adopted at the end of 2021, covers all</w:t>
      </w:r>
      <w:r>
        <w:rPr>
          <w:spacing w:val="1"/>
        </w:rPr>
        <w:t xml:space="preserve"> </w:t>
      </w:r>
      <w:r>
        <w:t>important areas for improving the quality of life for persons with disabilities while improving</w:t>
      </w:r>
      <w:r>
        <w:rPr>
          <w:spacing w:val="1"/>
        </w:rPr>
        <w:t xml:space="preserve"> </w:t>
      </w:r>
      <w:r>
        <w:t>existing</w:t>
      </w:r>
      <w:r>
        <w:rPr>
          <w:spacing w:val="-11"/>
        </w:rPr>
        <w:t xml:space="preserve"> </w:t>
      </w:r>
      <w:r>
        <w:t>and</w:t>
      </w:r>
      <w:r>
        <w:rPr>
          <w:spacing w:val="-8"/>
        </w:rPr>
        <w:t xml:space="preserve"> </w:t>
      </w:r>
      <w:r>
        <w:t>introducing</w:t>
      </w:r>
      <w:r>
        <w:rPr>
          <w:spacing w:val="-6"/>
        </w:rPr>
        <w:t xml:space="preserve"> </w:t>
      </w:r>
      <w:r>
        <w:t>new</w:t>
      </w:r>
      <w:r>
        <w:rPr>
          <w:spacing w:val="-8"/>
        </w:rPr>
        <w:t xml:space="preserve"> </w:t>
      </w:r>
      <w:r>
        <w:t>services</w:t>
      </w:r>
      <w:r>
        <w:rPr>
          <w:spacing w:val="-8"/>
        </w:rPr>
        <w:t xml:space="preserve"> </w:t>
      </w:r>
      <w:r>
        <w:t>for</w:t>
      </w:r>
      <w:r>
        <w:rPr>
          <w:spacing w:val="-8"/>
        </w:rPr>
        <w:t xml:space="preserve"> </w:t>
      </w:r>
      <w:r>
        <w:t>children</w:t>
      </w:r>
      <w:r>
        <w:rPr>
          <w:spacing w:val="-6"/>
        </w:rPr>
        <w:t xml:space="preserve"> </w:t>
      </w:r>
      <w:r>
        <w:t>with</w:t>
      </w:r>
      <w:r>
        <w:rPr>
          <w:spacing w:val="-8"/>
        </w:rPr>
        <w:t xml:space="preserve"> </w:t>
      </w:r>
      <w:r>
        <w:t>disabilities</w:t>
      </w:r>
      <w:r>
        <w:rPr>
          <w:spacing w:val="-8"/>
        </w:rPr>
        <w:t xml:space="preserve"> </w:t>
      </w:r>
      <w:r>
        <w:t>and</w:t>
      </w:r>
      <w:r>
        <w:rPr>
          <w:spacing w:val="-9"/>
        </w:rPr>
        <w:t xml:space="preserve"> </w:t>
      </w:r>
      <w:r>
        <w:t>people</w:t>
      </w:r>
      <w:r>
        <w:rPr>
          <w:spacing w:val="-8"/>
        </w:rPr>
        <w:t xml:space="preserve"> </w:t>
      </w:r>
      <w:r>
        <w:t>with</w:t>
      </w:r>
      <w:r>
        <w:rPr>
          <w:spacing w:val="-8"/>
        </w:rPr>
        <w:t xml:space="preserve"> </w:t>
      </w:r>
      <w:r>
        <w:t>disabilities.</w:t>
      </w:r>
    </w:p>
    <w:p w:rsidR="00A56FE9" w:rsidRDefault="00000000">
      <w:pPr>
        <w:pStyle w:val="Tijeloteksta"/>
        <w:spacing w:before="120"/>
        <w:ind w:right="271"/>
      </w:pPr>
      <w:r>
        <w:t>To develop a unique methodology for pricing welfare services, the project Developing a</w:t>
      </w:r>
      <w:r>
        <w:rPr>
          <w:spacing w:val="1"/>
        </w:rPr>
        <w:t xml:space="preserve"> </w:t>
      </w:r>
      <w:r>
        <w:rPr>
          <w:spacing w:val="-1"/>
        </w:rPr>
        <w:t>Welfare</w:t>
      </w:r>
      <w:r>
        <w:rPr>
          <w:spacing w:val="-12"/>
        </w:rPr>
        <w:t xml:space="preserve"> </w:t>
      </w:r>
      <w:r>
        <w:rPr>
          <w:spacing w:val="-1"/>
        </w:rPr>
        <w:t>Services</w:t>
      </w:r>
      <w:r>
        <w:rPr>
          <w:spacing w:val="-10"/>
        </w:rPr>
        <w:t xml:space="preserve"> </w:t>
      </w:r>
      <w:r>
        <w:t>Pricing</w:t>
      </w:r>
      <w:r>
        <w:rPr>
          <w:spacing w:val="-9"/>
        </w:rPr>
        <w:t xml:space="preserve"> </w:t>
      </w:r>
      <w:r>
        <w:t>Methodology</w:t>
      </w:r>
      <w:r>
        <w:rPr>
          <w:spacing w:val="-15"/>
        </w:rPr>
        <w:t xml:space="preserve"> </w:t>
      </w:r>
      <w:r>
        <w:t>was</w:t>
      </w:r>
      <w:r>
        <w:rPr>
          <w:spacing w:val="-10"/>
        </w:rPr>
        <w:t xml:space="preserve"> </w:t>
      </w:r>
      <w:r>
        <w:t>implemented</w:t>
      </w:r>
      <w:r>
        <w:rPr>
          <w:spacing w:val="-10"/>
        </w:rPr>
        <w:t xml:space="preserve"> </w:t>
      </w:r>
      <w:r>
        <w:t>and</w:t>
      </w:r>
      <w:r>
        <w:rPr>
          <w:spacing w:val="-10"/>
        </w:rPr>
        <w:t xml:space="preserve"> </w:t>
      </w:r>
      <w:r>
        <w:t>applies</w:t>
      </w:r>
      <w:r>
        <w:rPr>
          <w:spacing w:val="-10"/>
        </w:rPr>
        <w:t xml:space="preserve"> </w:t>
      </w:r>
      <w:r>
        <w:t>to</w:t>
      </w:r>
      <w:r>
        <w:rPr>
          <w:spacing w:val="-9"/>
        </w:rPr>
        <w:t xml:space="preserve"> </w:t>
      </w:r>
      <w:r>
        <w:t>all</w:t>
      </w:r>
      <w:r>
        <w:rPr>
          <w:spacing w:val="-7"/>
        </w:rPr>
        <w:t xml:space="preserve"> </w:t>
      </w:r>
      <w:r>
        <w:t>providers</w:t>
      </w:r>
      <w:r>
        <w:rPr>
          <w:spacing w:val="-10"/>
        </w:rPr>
        <w:t xml:space="preserve"> </w:t>
      </w:r>
      <w:r>
        <w:t>within</w:t>
      </w:r>
      <w:r>
        <w:rPr>
          <w:spacing w:val="-10"/>
        </w:rPr>
        <w:t xml:space="preserve"> </w:t>
      </w:r>
      <w:r>
        <w:t>the</w:t>
      </w:r>
      <w:r>
        <w:rPr>
          <w:spacing w:val="-58"/>
        </w:rPr>
        <w:t xml:space="preserve"> </w:t>
      </w:r>
      <w:r>
        <w:t>welfare system, regardless of their legal status and/or founder. The project aims to contribute</w:t>
      </w:r>
      <w:r>
        <w:rPr>
          <w:spacing w:val="1"/>
        </w:rPr>
        <w:t xml:space="preserve"> </w:t>
      </w:r>
      <w:r>
        <w:t>to the development of a transparent welfare system based on available information on the type</w:t>
      </w:r>
      <w:r>
        <w:rPr>
          <w:spacing w:val="-57"/>
        </w:rPr>
        <w:t xml:space="preserve"> </w:t>
      </w:r>
      <w:r>
        <w:t>and</w:t>
      </w:r>
      <w:r>
        <w:rPr>
          <w:spacing w:val="1"/>
        </w:rPr>
        <w:t xml:space="preserve"> </w:t>
      </w:r>
      <w:r>
        <w:t>amount</w:t>
      </w:r>
      <w:r>
        <w:rPr>
          <w:spacing w:val="1"/>
        </w:rPr>
        <w:t xml:space="preserve"> </w:t>
      </w:r>
      <w:r>
        <w:t>of</w:t>
      </w:r>
      <w:r>
        <w:rPr>
          <w:spacing w:val="1"/>
        </w:rPr>
        <w:t xml:space="preserve"> </w:t>
      </w:r>
      <w:r>
        <w:t>benefits</w:t>
      </w:r>
      <w:r>
        <w:rPr>
          <w:spacing w:val="1"/>
        </w:rPr>
        <w:t xml:space="preserve"> </w:t>
      </w:r>
      <w:r>
        <w:t>received</w:t>
      </w:r>
      <w:r>
        <w:rPr>
          <w:spacing w:val="1"/>
        </w:rPr>
        <w:t xml:space="preserve"> </w:t>
      </w:r>
      <w:r>
        <w:t>by</w:t>
      </w:r>
      <w:r>
        <w:rPr>
          <w:spacing w:val="1"/>
        </w:rPr>
        <w:t xml:space="preserve"> </w:t>
      </w:r>
      <w:r>
        <w:t>each</w:t>
      </w:r>
      <w:r>
        <w:rPr>
          <w:spacing w:val="1"/>
        </w:rPr>
        <w:t xml:space="preserve"> </w:t>
      </w:r>
      <w:r>
        <w:t>beneficiary,</w:t>
      </w:r>
      <w:r>
        <w:rPr>
          <w:spacing w:val="1"/>
        </w:rPr>
        <w:t xml:space="preserve"> </w:t>
      </w:r>
      <w:r>
        <w:t>establishing</w:t>
      </w:r>
      <w:r>
        <w:rPr>
          <w:spacing w:val="1"/>
        </w:rPr>
        <w:t xml:space="preserve"> </w:t>
      </w:r>
      <w:r>
        <w:t>an</w:t>
      </w:r>
      <w:r>
        <w:rPr>
          <w:spacing w:val="1"/>
        </w:rPr>
        <w:t xml:space="preserve"> </w:t>
      </w:r>
      <w:r>
        <w:t>equal</w:t>
      </w:r>
      <w:r>
        <w:rPr>
          <w:spacing w:val="1"/>
        </w:rPr>
        <w:t xml:space="preserve"> </w:t>
      </w:r>
      <w:r>
        <w:t>status</w:t>
      </w:r>
      <w:r>
        <w:rPr>
          <w:spacing w:val="1"/>
        </w:rPr>
        <w:t xml:space="preserve"> </w:t>
      </w:r>
      <w:r>
        <w:t>of</w:t>
      </w:r>
      <w:r>
        <w:rPr>
          <w:spacing w:val="1"/>
        </w:rPr>
        <w:t xml:space="preserve"> </w:t>
      </w:r>
      <w:r>
        <w:t>beneficiaries regardless of type and status of service providers while ensuring equal access to</w:t>
      </w:r>
      <w:r>
        <w:rPr>
          <w:spacing w:val="1"/>
        </w:rPr>
        <w:t xml:space="preserve"> </w:t>
      </w:r>
      <w:r>
        <w:rPr>
          <w:spacing w:val="-1"/>
        </w:rPr>
        <w:t>all</w:t>
      </w:r>
      <w:r>
        <w:rPr>
          <w:spacing w:val="-9"/>
        </w:rPr>
        <w:t xml:space="preserve"> </w:t>
      </w:r>
      <w:r>
        <w:rPr>
          <w:spacing w:val="-1"/>
        </w:rPr>
        <w:t>welfare</w:t>
      </w:r>
      <w:r>
        <w:rPr>
          <w:spacing w:val="-11"/>
        </w:rPr>
        <w:t xml:space="preserve"> </w:t>
      </w:r>
      <w:r>
        <w:rPr>
          <w:spacing w:val="-1"/>
        </w:rPr>
        <w:t>service</w:t>
      </w:r>
      <w:r>
        <w:rPr>
          <w:spacing w:val="-10"/>
        </w:rPr>
        <w:t xml:space="preserve"> </w:t>
      </w:r>
      <w:r>
        <w:t>providers,</w:t>
      </w:r>
      <w:r>
        <w:rPr>
          <w:spacing w:val="-11"/>
        </w:rPr>
        <w:t xml:space="preserve"> </w:t>
      </w:r>
      <w:r>
        <w:t>as</w:t>
      </w:r>
      <w:r>
        <w:rPr>
          <w:spacing w:val="-10"/>
        </w:rPr>
        <w:t xml:space="preserve"> </w:t>
      </w:r>
      <w:r>
        <w:t>well</w:t>
      </w:r>
      <w:r>
        <w:rPr>
          <w:spacing w:val="-8"/>
        </w:rPr>
        <w:t xml:space="preserve"> </w:t>
      </w:r>
      <w:r>
        <w:t>as</w:t>
      </w:r>
      <w:r>
        <w:rPr>
          <w:spacing w:val="-10"/>
        </w:rPr>
        <w:t xml:space="preserve"> </w:t>
      </w:r>
      <w:r>
        <w:t>monitoring</w:t>
      </w:r>
      <w:r>
        <w:rPr>
          <w:spacing w:val="-9"/>
        </w:rPr>
        <w:t xml:space="preserve"> </w:t>
      </w:r>
      <w:r>
        <w:t>the</w:t>
      </w:r>
      <w:r>
        <w:rPr>
          <w:spacing w:val="-11"/>
        </w:rPr>
        <w:t xml:space="preserve"> </w:t>
      </w:r>
      <w:r>
        <w:t>quality</w:t>
      </w:r>
      <w:r>
        <w:rPr>
          <w:spacing w:val="-17"/>
        </w:rPr>
        <w:t xml:space="preserve"> </w:t>
      </w:r>
      <w:r>
        <w:t>of</w:t>
      </w:r>
      <w:r>
        <w:rPr>
          <w:spacing w:val="-10"/>
        </w:rPr>
        <w:t xml:space="preserve"> </w:t>
      </w:r>
      <w:r>
        <w:t>provided</w:t>
      </w:r>
      <w:r>
        <w:rPr>
          <w:spacing w:val="-10"/>
        </w:rPr>
        <w:t xml:space="preserve"> </w:t>
      </w:r>
      <w:r>
        <w:t>services.</w:t>
      </w:r>
      <w:r>
        <w:rPr>
          <w:spacing w:val="-4"/>
        </w:rPr>
        <w:t xml:space="preserve"> </w:t>
      </w:r>
      <w:r>
        <w:t>The</w:t>
      </w:r>
      <w:r>
        <w:rPr>
          <w:spacing w:val="-11"/>
        </w:rPr>
        <w:t xml:space="preserve"> </w:t>
      </w:r>
      <w:r>
        <w:t>project</w:t>
      </w:r>
      <w:r>
        <w:rPr>
          <w:spacing w:val="-58"/>
        </w:rPr>
        <w:t xml:space="preserve"> </w:t>
      </w:r>
      <w:r>
        <w:t>was</w:t>
      </w:r>
      <w:r>
        <w:rPr>
          <w:spacing w:val="-8"/>
        </w:rPr>
        <w:t xml:space="preserve"> </w:t>
      </w:r>
      <w:r>
        <w:t>implemented</w:t>
      </w:r>
      <w:r>
        <w:rPr>
          <w:spacing w:val="-9"/>
        </w:rPr>
        <w:t xml:space="preserve"> </w:t>
      </w:r>
      <w:r>
        <w:t>under</w:t>
      </w:r>
      <w:r>
        <w:rPr>
          <w:spacing w:val="-9"/>
        </w:rPr>
        <w:t xml:space="preserve"> </w:t>
      </w:r>
      <w:r>
        <w:t>the</w:t>
      </w:r>
      <w:r>
        <w:rPr>
          <w:spacing w:val="-9"/>
        </w:rPr>
        <w:t xml:space="preserve"> </w:t>
      </w:r>
      <w:r>
        <w:t>2019</w:t>
      </w:r>
      <w:r>
        <w:rPr>
          <w:spacing w:val="-9"/>
        </w:rPr>
        <w:t xml:space="preserve"> </w:t>
      </w:r>
      <w:r>
        <w:t>Structural</w:t>
      </w:r>
      <w:r>
        <w:rPr>
          <w:spacing w:val="-6"/>
        </w:rPr>
        <w:t xml:space="preserve"> </w:t>
      </w:r>
      <w:r>
        <w:t>Reform</w:t>
      </w:r>
      <w:r>
        <w:rPr>
          <w:spacing w:val="-7"/>
        </w:rPr>
        <w:t xml:space="preserve"> </w:t>
      </w:r>
      <w:r>
        <w:t>Support</w:t>
      </w:r>
      <w:r>
        <w:rPr>
          <w:spacing w:val="-8"/>
        </w:rPr>
        <w:t xml:space="preserve"> </w:t>
      </w:r>
      <w:r>
        <w:t>Program</w:t>
      </w:r>
      <w:r>
        <w:rPr>
          <w:spacing w:val="-6"/>
        </w:rPr>
        <w:t xml:space="preserve"> </w:t>
      </w:r>
      <w:r>
        <w:t>(SRSP).</w:t>
      </w:r>
      <w:r>
        <w:rPr>
          <w:spacing w:val="-8"/>
        </w:rPr>
        <w:t xml:space="preserve"> </w:t>
      </w:r>
      <w:r>
        <w:t>The</w:t>
      </w:r>
      <w:r>
        <w:rPr>
          <w:spacing w:val="-10"/>
        </w:rPr>
        <w:t xml:space="preserve"> </w:t>
      </w:r>
      <w:r>
        <w:t>value</w:t>
      </w:r>
      <w:r>
        <w:rPr>
          <w:spacing w:val="-9"/>
        </w:rPr>
        <w:t xml:space="preserve"> </w:t>
      </w:r>
      <w:r>
        <w:t>of</w:t>
      </w:r>
      <w:r>
        <w:rPr>
          <w:spacing w:val="-8"/>
        </w:rPr>
        <w:t xml:space="preserve"> </w:t>
      </w:r>
      <w:r>
        <w:t>the</w:t>
      </w:r>
      <w:r>
        <w:rPr>
          <w:spacing w:val="-58"/>
        </w:rPr>
        <w:t xml:space="preserve"> </w:t>
      </w:r>
      <w:r>
        <w:t>project was EUR 300,000 and implemented in cooperation with the Directorate-General for</w:t>
      </w:r>
      <w:r>
        <w:rPr>
          <w:spacing w:val="1"/>
        </w:rPr>
        <w:t xml:space="preserve"> </w:t>
      </w:r>
      <w:r>
        <w:t>Structural</w:t>
      </w:r>
      <w:r>
        <w:rPr>
          <w:spacing w:val="-8"/>
        </w:rPr>
        <w:t xml:space="preserve"> </w:t>
      </w:r>
      <w:r>
        <w:t>Reform</w:t>
      </w:r>
      <w:r>
        <w:rPr>
          <w:spacing w:val="-8"/>
        </w:rPr>
        <w:t xml:space="preserve"> </w:t>
      </w:r>
      <w:r>
        <w:t>Support</w:t>
      </w:r>
      <w:r>
        <w:rPr>
          <w:spacing w:val="-8"/>
        </w:rPr>
        <w:t xml:space="preserve"> </w:t>
      </w:r>
      <w:r>
        <w:t>(DG</w:t>
      </w:r>
      <w:r>
        <w:rPr>
          <w:spacing w:val="-9"/>
        </w:rPr>
        <w:t xml:space="preserve"> </w:t>
      </w:r>
      <w:r>
        <w:t>REFORM),</w:t>
      </w:r>
      <w:r>
        <w:rPr>
          <w:spacing w:val="-9"/>
        </w:rPr>
        <w:t xml:space="preserve"> </w:t>
      </w:r>
      <w:r>
        <w:t>along</w:t>
      </w:r>
      <w:r>
        <w:rPr>
          <w:spacing w:val="-8"/>
        </w:rPr>
        <w:t xml:space="preserve"> </w:t>
      </w:r>
      <w:r>
        <w:t>with</w:t>
      </w:r>
      <w:r>
        <w:rPr>
          <w:spacing w:val="-8"/>
        </w:rPr>
        <w:t xml:space="preserve"> </w:t>
      </w:r>
      <w:r>
        <w:t>the</w:t>
      </w:r>
      <w:r>
        <w:rPr>
          <w:spacing w:val="-8"/>
        </w:rPr>
        <w:t xml:space="preserve"> </w:t>
      </w:r>
      <w:r>
        <w:t>technical</w:t>
      </w:r>
      <w:r>
        <w:rPr>
          <w:spacing w:val="-8"/>
        </w:rPr>
        <w:t xml:space="preserve"> </w:t>
      </w:r>
      <w:r>
        <w:t>support</w:t>
      </w:r>
      <w:r>
        <w:rPr>
          <w:spacing w:val="-8"/>
        </w:rPr>
        <w:t xml:space="preserve"> </w:t>
      </w:r>
      <w:r>
        <w:t>of</w:t>
      </w:r>
      <w:r>
        <w:rPr>
          <w:spacing w:val="-8"/>
        </w:rPr>
        <w:t xml:space="preserve"> </w:t>
      </w:r>
      <w:r>
        <w:t>Ernst</w:t>
      </w:r>
      <w:r>
        <w:rPr>
          <w:spacing w:val="-8"/>
        </w:rPr>
        <w:t xml:space="preserve"> </w:t>
      </w:r>
      <w:r>
        <w:t>&amp;</w:t>
      </w:r>
      <w:r>
        <w:rPr>
          <w:spacing w:val="-7"/>
        </w:rPr>
        <w:t xml:space="preserve"> </w:t>
      </w:r>
      <w:r>
        <w:t>Young</w:t>
      </w:r>
      <w:r>
        <w:rPr>
          <w:spacing w:val="-58"/>
        </w:rPr>
        <w:t xml:space="preserve"> </w:t>
      </w:r>
      <w:r>
        <w:t>Savjetovanje</w:t>
      </w:r>
      <w:r>
        <w:rPr>
          <w:spacing w:val="-8"/>
        </w:rPr>
        <w:t xml:space="preserve"> </w:t>
      </w:r>
      <w:r>
        <w:t>d.o.o.</w:t>
      </w:r>
      <w:r>
        <w:rPr>
          <w:spacing w:val="-4"/>
        </w:rPr>
        <w:t xml:space="preserve"> </w:t>
      </w:r>
      <w:r>
        <w:t>Implementation</w:t>
      </w:r>
      <w:r>
        <w:rPr>
          <w:spacing w:val="-6"/>
        </w:rPr>
        <w:t xml:space="preserve"> </w:t>
      </w:r>
      <w:r>
        <w:t>of</w:t>
      </w:r>
      <w:r>
        <w:rPr>
          <w:spacing w:val="-7"/>
        </w:rPr>
        <w:t xml:space="preserve"> </w:t>
      </w:r>
      <w:r>
        <w:t>the</w:t>
      </w:r>
      <w:r>
        <w:rPr>
          <w:spacing w:val="-7"/>
        </w:rPr>
        <w:t xml:space="preserve"> </w:t>
      </w:r>
      <w:r>
        <w:t>project</w:t>
      </w:r>
      <w:r>
        <w:rPr>
          <w:spacing w:val="-3"/>
        </w:rPr>
        <w:t xml:space="preserve"> </w:t>
      </w:r>
      <w:r>
        <w:t>began</w:t>
      </w:r>
      <w:r>
        <w:rPr>
          <w:spacing w:val="-6"/>
        </w:rPr>
        <w:t xml:space="preserve"> </w:t>
      </w:r>
      <w:r>
        <w:t>in</w:t>
      </w:r>
      <w:r>
        <w:rPr>
          <w:spacing w:val="-7"/>
        </w:rPr>
        <w:t xml:space="preserve"> </w:t>
      </w:r>
      <w:r>
        <w:t>December</w:t>
      </w:r>
      <w:r>
        <w:rPr>
          <w:spacing w:val="-7"/>
        </w:rPr>
        <w:t xml:space="preserve"> </w:t>
      </w:r>
      <w:r>
        <w:t>2019</w:t>
      </w:r>
      <w:r>
        <w:rPr>
          <w:spacing w:val="-4"/>
        </w:rPr>
        <w:t xml:space="preserve"> </w:t>
      </w:r>
      <w:r>
        <w:t>and</w:t>
      </w:r>
      <w:r>
        <w:rPr>
          <w:spacing w:val="-6"/>
        </w:rPr>
        <w:t xml:space="preserve"> </w:t>
      </w:r>
      <w:r>
        <w:t>was</w:t>
      </w:r>
      <w:r>
        <w:rPr>
          <w:spacing w:val="-4"/>
        </w:rPr>
        <w:t xml:space="preserve"> </w:t>
      </w:r>
      <w:r>
        <w:t>completed</w:t>
      </w:r>
      <w:r>
        <w:rPr>
          <w:spacing w:val="-58"/>
        </w:rPr>
        <w:t xml:space="preserve"> </w:t>
      </w:r>
      <w:r>
        <w:t>in April 2021. The result of the project is the Ordinance on Pricing Social Services,</w:t>
      </w:r>
      <w:r>
        <w:rPr>
          <w:vertAlign w:val="superscript"/>
        </w:rPr>
        <w:t>38</w:t>
      </w:r>
      <w:r>
        <w:t xml:space="preserve"> in force</w:t>
      </w:r>
      <w:r>
        <w:rPr>
          <w:spacing w:val="1"/>
        </w:rPr>
        <w:t xml:space="preserve"> </w:t>
      </w:r>
      <w:r>
        <w:t>since</w:t>
      </w:r>
      <w:r>
        <w:rPr>
          <w:spacing w:val="-2"/>
        </w:rPr>
        <w:t xml:space="preserve"> </w:t>
      </w:r>
      <w:r>
        <w:t>1 January</w:t>
      </w:r>
      <w:r>
        <w:rPr>
          <w:spacing w:val="-5"/>
        </w:rPr>
        <w:t xml:space="preserve"> </w:t>
      </w:r>
      <w:r>
        <w:t>2022.</w:t>
      </w:r>
    </w:p>
    <w:p w:rsidR="00A56FE9" w:rsidRDefault="00A56FE9">
      <w:pPr>
        <w:pStyle w:val="Tijeloteksta"/>
        <w:spacing w:before="2"/>
        <w:ind w:left="0"/>
        <w:jc w:val="left"/>
        <w:rPr>
          <w:sz w:val="21"/>
        </w:rPr>
      </w:pPr>
    </w:p>
    <w:p w:rsidR="00A56FE9" w:rsidRDefault="00CC1B9B">
      <w:pPr>
        <w:pStyle w:val="Naslov5"/>
      </w:pPr>
      <w:r>
        <w:rPr>
          <w:noProof/>
        </w:rPr>
        <mc:AlternateContent>
          <mc:Choice Requires="wps">
            <w:drawing>
              <wp:anchor distT="0" distB="0" distL="0" distR="0" simplePos="0" relativeHeight="487663616" behindDoc="1" locked="0" layoutInCell="1" allowOverlap="1">
                <wp:simplePos x="0" y="0"/>
                <wp:positionH relativeFrom="page">
                  <wp:posOffset>882650</wp:posOffset>
                </wp:positionH>
                <wp:positionV relativeFrom="paragraph">
                  <wp:posOffset>189230</wp:posOffset>
                </wp:positionV>
                <wp:extent cx="2915920" cy="12065"/>
                <wp:effectExtent l="0" t="0" r="0" b="0"/>
                <wp:wrapTopAndBottom/>
                <wp:docPr id="481209546"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44C48" id="Rectangle 111" o:spid="_x0000_s1026" style="position:absolute;margin-left:69.5pt;margin-top:14.9pt;width:229.6pt;height:.95pt;z-index:-15652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" fillcolor="#2c398a" stroked="f">
                <w10:wrap type="topAndBottom" anchorx="page"/>
              </v:rect>
            </w:pict>
          </mc:Fallback>
        </mc:AlternateContent>
      </w:r>
      <w:r w:rsidR="00000000">
        <w:t>Planned</w:t>
      </w:r>
      <w:r w:rsidR="00000000">
        <w:rPr>
          <w:spacing w:val="-2"/>
        </w:rPr>
        <w:t xml:space="preserve"> </w:t>
      </w:r>
      <w:r w:rsidR="00000000">
        <w:t>NRRP</w:t>
      </w:r>
      <w:r w:rsidR="00000000">
        <w:rPr>
          <w:spacing w:val="-5"/>
        </w:rPr>
        <w:t xml:space="preserve"> </w:t>
      </w:r>
      <w:r w:rsidR="00000000">
        <w:t>reforms and</w:t>
      </w:r>
      <w:r w:rsidR="00000000">
        <w:rPr>
          <w:spacing w:val="-2"/>
        </w:rPr>
        <w:t xml:space="preserve"> </w:t>
      </w:r>
      <w:r w:rsidR="00000000">
        <w:t>investments</w:t>
      </w:r>
    </w:p>
    <w:p w:rsidR="00A56FE9" w:rsidRDefault="00000000">
      <w:pPr>
        <w:pStyle w:val="Tijeloteksta"/>
        <w:spacing w:before="126"/>
        <w:ind w:right="275"/>
      </w:pPr>
      <w:r>
        <w:t>The</w:t>
      </w:r>
      <w:r>
        <w:rPr>
          <w:spacing w:val="1"/>
        </w:rPr>
        <w:t xml:space="preserve"> </w:t>
      </w:r>
      <w:r>
        <w:t>NRRP</w:t>
      </w:r>
      <w:r>
        <w:rPr>
          <w:spacing w:val="1"/>
        </w:rPr>
        <w:t xml:space="preserve"> </w:t>
      </w:r>
      <w:r>
        <w:t>reform</w:t>
      </w:r>
      <w:r>
        <w:rPr>
          <w:spacing w:val="1"/>
        </w:rPr>
        <w:t xml:space="preserve"> </w:t>
      </w:r>
      <w:r>
        <w:t>C4.3.</w:t>
      </w:r>
      <w:r>
        <w:rPr>
          <w:spacing w:val="1"/>
        </w:rPr>
        <w:t xml:space="preserve"> </w:t>
      </w:r>
      <w:r>
        <w:t>R3</w:t>
      </w:r>
      <w:r>
        <w:rPr>
          <w:spacing w:val="1"/>
        </w:rPr>
        <w:t xml:space="preserve"> </w:t>
      </w:r>
      <w:r>
        <w:t>Developing</w:t>
      </w:r>
      <w:r>
        <w:rPr>
          <w:spacing w:val="1"/>
        </w:rPr>
        <w:t xml:space="preserve"> </w:t>
      </w:r>
      <w:r>
        <w:t>community-based</w:t>
      </w:r>
      <w:r>
        <w:rPr>
          <w:spacing w:val="1"/>
        </w:rPr>
        <w:t xml:space="preserve"> </w:t>
      </w:r>
      <w:r>
        <w:t>services</w:t>
      </w:r>
      <w:r>
        <w:rPr>
          <w:spacing w:val="1"/>
        </w:rPr>
        <w:t xml:space="preserve"> </w:t>
      </w:r>
      <w:r>
        <w:t>to</w:t>
      </w:r>
      <w:r>
        <w:rPr>
          <w:spacing w:val="1"/>
        </w:rPr>
        <w:t xml:space="preserve"> </w:t>
      </w:r>
      <w:r>
        <w:t>prevent</w:t>
      </w:r>
      <w:r>
        <w:rPr>
          <w:spacing w:val="1"/>
        </w:rPr>
        <w:t xml:space="preserve"> </w:t>
      </w:r>
      <w:r>
        <w:t>institutionalisation has been defined. Given the regional inequality and uneven availability of</w:t>
      </w:r>
      <w:r>
        <w:rPr>
          <w:spacing w:val="1"/>
        </w:rPr>
        <w:t xml:space="preserve"> </w:t>
      </w:r>
      <w:r>
        <w:t>social services in the community, the aim of the reform is to facilitate access to services for all</w:t>
      </w:r>
      <w:r>
        <w:rPr>
          <w:spacing w:val="-57"/>
        </w:rPr>
        <w:t xml:space="preserve"> </w:t>
      </w:r>
      <w:r>
        <w:t>user groups. To continue the deinstitutionalisation process, additional efforts will focus on</w:t>
      </w:r>
      <w:r>
        <w:rPr>
          <w:spacing w:val="1"/>
        </w:rPr>
        <w:t xml:space="preserve"> </w:t>
      </w:r>
      <w:r>
        <w:t>increasing the scope support services to children, youth and families at risk and persons with</w:t>
      </w:r>
      <w:r>
        <w:rPr>
          <w:spacing w:val="1"/>
        </w:rPr>
        <w:t xml:space="preserve"> </w:t>
      </w:r>
      <w:r>
        <w:t>disabilities. In addition to existing services, there is a need to develop new social services to</w:t>
      </w:r>
      <w:r>
        <w:rPr>
          <w:spacing w:val="1"/>
        </w:rPr>
        <w:t xml:space="preserve"> </w:t>
      </w:r>
      <w:r>
        <w:t>prevent</w:t>
      </w:r>
      <w:r>
        <w:rPr>
          <w:spacing w:val="1"/>
        </w:rPr>
        <w:t xml:space="preserve"> </w:t>
      </w:r>
      <w:r>
        <w:t>the</w:t>
      </w:r>
      <w:r>
        <w:rPr>
          <w:spacing w:val="1"/>
        </w:rPr>
        <w:t xml:space="preserve"> </w:t>
      </w:r>
      <w:r>
        <w:t>institutionalisation</w:t>
      </w:r>
      <w:r>
        <w:rPr>
          <w:spacing w:val="1"/>
        </w:rPr>
        <w:t xml:space="preserve"> </w:t>
      </w:r>
      <w:r>
        <w:t>of</w:t>
      </w:r>
      <w:r>
        <w:rPr>
          <w:spacing w:val="1"/>
        </w:rPr>
        <w:t xml:space="preserve"> </w:t>
      </w:r>
      <w:r>
        <w:t>children,</w:t>
      </w:r>
      <w:r>
        <w:rPr>
          <w:spacing w:val="1"/>
        </w:rPr>
        <w:t xml:space="preserve"> </w:t>
      </w:r>
      <w:r>
        <w:t>youth</w:t>
      </w:r>
      <w:r>
        <w:rPr>
          <w:spacing w:val="1"/>
        </w:rPr>
        <w:t xml:space="preserve"> </w:t>
      </w:r>
      <w:r>
        <w:t>and</w:t>
      </w:r>
      <w:r>
        <w:rPr>
          <w:spacing w:val="1"/>
        </w:rPr>
        <w:t xml:space="preserve"> </w:t>
      </w:r>
      <w:r>
        <w:t>persons</w:t>
      </w:r>
      <w:r>
        <w:rPr>
          <w:spacing w:val="1"/>
        </w:rPr>
        <w:t xml:space="preserve"> </w:t>
      </w:r>
      <w:r>
        <w:t>with</w:t>
      </w:r>
      <w:r>
        <w:rPr>
          <w:spacing w:val="1"/>
        </w:rPr>
        <w:t xml:space="preserve"> </w:t>
      </w:r>
      <w:r>
        <w:t>disabilities,</w:t>
      </w:r>
      <w:r>
        <w:rPr>
          <w:spacing w:val="1"/>
        </w:rPr>
        <w:t xml:space="preserve"> </w:t>
      </w:r>
      <w:r>
        <w:t>and</w:t>
      </w:r>
      <w:r>
        <w:rPr>
          <w:spacing w:val="1"/>
        </w:rPr>
        <w:t xml:space="preserve"> </w:t>
      </w:r>
      <w:r>
        <w:t>the</w:t>
      </w:r>
      <w:r>
        <w:rPr>
          <w:spacing w:val="1"/>
        </w:rPr>
        <w:t xml:space="preserve"> </w:t>
      </w:r>
      <w:r>
        <w:t>development of other new services to overcome adverse life situations and crises, stop and</w:t>
      </w:r>
      <w:r>
        <w:rPr>
          <w:spacing w:val="1"/>
        </w:rPr>
        <w:t xml:space="preserve"> </w:t>
      </w:r>
      <w:r>
        <w:t>prevent</w:t>
      </w:r>
      <w:r>
        <w:rPr>
          <w:spacing w:val="3"/>
        </w:rPr>
        <w:t xml:space="preserve"> </w:t>
      </w:r>
      <w:r>
        <w:t>domestic</w:t>
      </w:r>
      <w:r>
        <w:rPr>
          <w:spacing w:val="1"/>
        </w:rPr>
        <w:t xml:space="preserve"> </w:t>
      </w:r>
      <w:r>
        <w:t>violence</w:t>
      </w:r>
      <w:r>
        <w:rPr>
          <w:spacing w:val="3"/>
        </w:rPr>
        <w:t xml:space="preserve"> </w:t>
      </w:r>
      <w:r>
        <w:t>and</w:t>
      </w:r>
      <w:r>
        <w:rPr>
          <w:spacing w:val="5"/>
        </w:rPr>
        <w:t xml:space="preserve"> </w:t>
      </w:r>
      <w:r>
        <w:t>facilitate</w:t>
      </w:r>
      <w:r>
        <w:rPr>
          <w:spacing w:val="2"/>
        </w:rPr>
        <w:t xml:space="preserve"> </w:t>
      </w:r>
      <w:r>
        <w:t>better</w:t>
      </w:r>
      <w:r>
        <w:rPr>
          <w:spacing w:val="6"/>
        </w:rPr>
        <w:t xml:space="preserve"> </w:t>
      </w:r>
      <w:r>
        <w:t>integration</w:t>
      </w:r>
      <w:r>
        <w:rPr>
          <w:spacing w:val="2"/>
        </w:rPr>
        <w:t xml:space="preserve"> </w:t>
      </w:r>
      <w:r>
        <w:t>of</w:t>
      </w:r>
      <w:r>
        <w:rPr>
          <w:spacing w:val="3"/>
        </w:rPr>
        <w:t xml:space="preserve"> </w:t>
      </w:r>
      <w:r>
        <w:t>users</w:t>
      </w:r>
      <w:r>
        <w:rPr>
          <w:spacing w:val="3"/>
        </w:rPr>
        <w:t xml:space="preserve"> </w:t>
      </w:r>
      <w:r>
        <w:t>into</w:t>
      </w:r>
      <w:r>
        <w:rPr>
          <w:spacing w:val="2"/>
        </w:rPr>
        <w:t xml:space="preserve"> </w:t>
      </w:r>
      <w:r>
        <w:t>community</w:t>
      </w:r>
      <w:r>
        <w:rPr>
          <w:spacing w:val="56"/>
        </w:rPr>
        <w:t xml:space="preserve"> </w:t>
      </w:r>
      <w:r>
        <w:t>life.</w:t>
      </w:r>
    </w:p>
    <w:p w:rsidR="00A56FE9" w:rsidRDefault="00CC1B9B">
      <w:pPr>
        <w:pStyle w:val="Tijeloteksta"/>
        <w:spacing w:before="11"/>
        <w:ind w:left="0"/>
        <w:jc w:val="left"/>
        <w:rPr>
          <w:sz w:val="11"/>
        </w:rPr>
      </w:pPr>
      <w:r>
        <w:rPr>
          <w:noProof/>
        </w:rPr>
        <mc:AlternateContent>
          <mc:Choice Requires="wps">
            <w:drawing>
              <wp:anchor distT="0" distB="0" distL="0" distR="0" simplePos="0" relativeHeight="487664128" behindDoc="1" locked="0" layoutInCell="1" allowOverlap="1">
                <wp:simplePos x="0" y="0"/>
                <wp:positionH relativeFrom="page">
                  <wp:posOffset>901065</wp:posOffset>
                </wp:positionH>
                <wp:positionV relativeFrom="paragraph">
                  <wp:posOffset>112395</wp:posOffset>
                </wp:positionV>
                <wp:extent cx="1828800" cy="7620"/>
                <wp:effectExtent l="0" t="0" r="0" b="0"/>
                <wp:wrapTopAndBottom/>
                <wp:docPr id="534002313"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228E2" id="Rectangle 110" o:spid="_x0000_s1026" style="position:absolute;margin-left:70.95pt;margin-top:8.85pt;width:2in;height:.6pt;z-index:-15652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38</w:t>
      </w:r>
      <w:r>
        <w:rPr>
          <w:spacing w:val="-1"/>
          <w:sz w:val="16"/>
        </w:rPr>
        <w:t xml:space="preserve"> </w:t>
      </w:r>
      <w:r>
        <w:rPr>
          <w:sz w:val="16"/>
        </w:rPr>
        <w:t>OG</w:t>
      </w:r>
      <w:r>
        <w:rPr>
          <w:spacing w:val="-3"/>
          <w:sz w:val="16"/>
        </w:rPr>
        <w:t xml:space="preserve"> </w:t>
      </w:r>
      <w:r>
        <w:rPr>
          <w:sz w:val="16"/>
        </w:rPr>
        <w:t>136/21</w:t>
      </w:r>
    </w:p>
    <w:p w:rsidR="00A56FE9" w:rsidRDefault="00A56FE9">
      <w:pPr>
        <w:rPr>
          <w:sz w:val="16"/>
        </w:rPr>
        <w:sectPr w:rsidR="00A56FE9" w:rsidSect="00AB1E70">
          <w:pgSz w:w="11910" w:h="16840"/>
          <w:pgMar w:top="1160" w:right="1140" w:bottom="960" w:left="1280" w:header="0" w:footer="779" w:gutter="0"/>
          <w:cols w:space="720"/>
        </w:sectPr>
      </w:pPr>
    </w:p>
    <w:p w:rsidR="00A56FE9" w:rsidRDefault="00000000">
      <w:pPr>
        <w:pStyle w:val="Tijeloteksta"/>
        <w:spacing w:before="74"/>
        <w:ind w:right="276"/>
      </w:pPr>
      <w:r>
        <w:t>Accordingly,</w:t>
      </w:r>
      <w:r>
        <w:rPr>
          <w:spacing w:val="-11"/>
        </w:rPr>
        <w:t xml:space="preserve"> </w:t>
      </w:r>
      <w:r>
        <w:t>the</w:t>
      </w:r>
      <w:r>
        <w:rPr>
          <w:spacing w:val="-9"/>
        </w:rPr>
        <w:t xml:space="preserve"> </w:t>
      </w:r>
      <w:r>
        <w:t>plan</w:t>
      </w:r>
      <w:r>
        <w:rPr>
          <w:spacing w:val="-10"/>
        </w:rPr>
        <w:t xml:space="preserve"> </w:t>
      </w:r>
      <w:r>
        <w:t>is</w:t>
      </w:r>
      <w:r>
        <w:rPr>
          <w:spacing w:val="-11"/>
        </w:rPr>
        <w:t xml:space="preserve"> </w:t>
      </w:r>
      <w:r>
        <w:t>to</w:t>
      </w:r>
      <w:r>
        <w:rPr>
          <w:spacing w:val="-10"/>
        </w:rPr>
        <w:t xml:space="preserve"> </w:t>
      </w:r>
      <w:r>
        <w:t>introduce</w:t>
      </w:r>
      <w:r>
        <w:rPr>
          <w:spacing w:val="-12"/>
        </w:rPr>
        <w:t xml:space="preserve"> </w:t>
      </w:r>
      <w:r>
        <w:t>services</w:t>
      </w:r>
      <w:r>
        <w:rPr>
          <w:spacing w:val="-11"/>
        </w:rPr>
        <w:t xml:space="preserve"> </w:t>
      </w:r>
      <w:r>
        <w:t>involving</w:t>
      </w:r>
      <w:r>
        <w:rPr>
          <w:spacing w:val="-11"/>
        </w:rPr>
        <w:t xml:space="preserve"> </w:t>
      </w:r>
      <w:r>
        <w:t>psychosocial</w:t>
      </w:r>
      <w:r>
        <w:rPr>
          <w:spacing w:val="-11"/>
        </w:rPr>
        <w:t xml:space="preserve"> </w:t>
      </w:r>
      <w:r>
        <w:t>counselling,</w:t>
      </w:r>
      <w:r>
        <w:rPr>
          <w:spacing w:val="-10"/>
        </w:rPr>
        <w:t xml:space="preserve"> </w:t>
      </w:r>
      <w:r>
        <w:t>psychosocial</w:t>
      </w:r>
      <w:r>
        <w:rPr>
          <w:spacing w:val="-58"/>
        </w:rPr>
        <w:t xml:space="preserve"> </w:t>
      </w:r>
      <w:r>
        <w:t>treatment</w:t>
      </w:r>
      <w:r>
        <w:rPr>
          <w:spacing w:val="-1"/>
        </w:rPr>
        <w:t xml:space="preserve"> </w:t>
      </w:r>
      <w:r>
        <w:t>to</w:t>
      </w:r>
      <w:r>
        <w:rPr>
          <w:spacing w:val="-1"/>
        </w:rPr>
        <w:t xml:space="preserve"> </w:t>
      </w:r>
      <w:r>
        <w:t>prevent violent</w:t>
      </w:r>
      <w:r>
        <w:rPr>
          <w:spacing w:val="-1"/>
        </w:rPr>
        <w:t xml:space="preserve"> </w:t>
      </w:r>
      <w:r>
        <w:t>behaviour,</w:t>
      </w:r>
      <w:r>
        <w:rPr>
          <w:spacing w:val="-1"/>
        </w:rPr>
        <w:t xml:space="preserve"> </w:t>
      </w:r>
      <w:r>
        <w:t>social</w:t>
      </w:r>
      <w:r>
        <w:rPr>
          <w:spacing w:val="-1"/>
        </w:rPr>
        <w:t xml:space="preserve"> </w:t>
      </w:r>
      <w:r>
        <w:t>mentoring, rest</w:t>
      </w:r>
      <w:r>
        <w:rPr>
          <w:spacing w:val="-1"/>
        </w:rPr>
        <w:t xml:space="preserve"> </w:t>
      </w:r>
      <w:r>
        <w:t>from</w:t>
      </w:r>
      <w:r>
        <w:rPr>
          <w:spacing w:val="-1"/>
        </w:rPr>
        <w:t xml:space="preserve"> </w:t>
      </w:r>
      <w:r>
        <w:t>care and</w:t>
      </w:r>
      <w:r>
        <w:rPr>
          <w:spacing w:val="-1"/>
        </w:rPr>
        <w:t xml:space="preserve"> </w:t>
      </w:r>
      <w:r>
        <w:t>family</w:t>
      </w:r>
      <w:r>
        <w:rPr>
          <w:spacing w:val="-2"/>
        </w:rPr>
        <w:t xml:space="preserve"> </w:t>
      </w:r>
      <w:r>
        <w:t>assistants.</w:t>
      </w:r>
    </w:p>
    <w:p w:rsidR="00A56FE9" w:rsidRDefault="00000000">
      <w:pPr>
        <w:pStyle w:val="Tijeloteksta"/>
        <w:spacing w:before="120"/>
        <w:ind w:right="274"/>
      </w:pPr>
      <w:r>
        <w:t>The improvement of social services includes the plan to strengthen the capacity of employees</w:t>
      </w:r>
      <w:r>
        <w:rPr>
          <w:spacing w:val="1"/>
        </w:rPr>
        <w:t xml:space="preserve"> </w:t>
      </w:r>
      <w:r>
        <w:t>and</w:t>
      </w:r>
      <w:r>
        <w:rPr>
          <w:spacing w:val="1"/>
        </w:rPr>
        <w:t xml:space="preserve"> </w:t>
      </w:r>
      <w:r>
        <w:t>investment</w:t>
      </w:r>
      <w:r>
        <w:rPr>
          <w:spacing w:val="1"/>
        </w:rPr>
        <w:t xml:space="preserve"> </w:t>
      </w:r>
      <w:r>
        <w:t>measure</w:t>
      </w:r>
      <w:r>
        <w:rPr>
          <w:spacing w:val="1"/>
        </w:rPr>
        <w:t xml:space="preserve"> </w:t>
      </w:r>
      <w:r>
        <w:t>C4.3</w:t>
      </w:r>
      <w:r>
        <w:rPr>
          <w:spacing w:val="1"/>
        </w:rPr>
        <w:t xml:space="preserve"> </w:t>
      </w:r>
      <w:r>
        <w:t>R1-I1</w:t>
      </w:r>
      <w:r>
        <w:rPr>
          <w:spacing w:val="1"/>
        </w:rPr>
        <w:t xml:space="preserve"> </w:t>
      </w:r>
      <w:r>
        <w:t>which</w:t>
      </w:r>
      <w:r>
        <w:rPr>
          <w:spacing w:val="1"/>
        </w:rPr>
        <w:t xml:space="preserve"> </w:t>
      </w:r>
      <w:r>
        <w:t>includes</w:t>
      </w:r>
      <w:r>
        <w:rPr>
          <w:spacing w:val="1"/>
        </w:rPr>
        <w:t xml:space="preserve"> </w:t>
      </w:r>
      <w:r>
        <w:t>targeted</w:t>
      </w:r>
      <w:r>
        <w:rPr>
          <w:spacing w:val="1"/>
        </w:rPr>
        <w:t xml:space="preserve"> </w:t>
      </w:r>
      <w:r>
        <w:t>education</w:t>
      </w:r>
      <w:r>
        <w:rPr>
          <w:spacing w:val="1"/>
        </w:rPr>
        <w:t xml:space="preserve"> </w:t>
      </w:r>
      <w:r>
        <w:t>and</w:t>
      </w:r>
      <w:r>
        <w:rPr>
          <w:spacing w:val="1"/>
        </w:rPr>
        <w:t xml:space="preserve"> </w:t>
      </w:r>
      <w:r>
        <w:t>licensing</w:t>
      </w:r>
      <w:r>
        <w:rPr>
          <w:spacing w:val="1"/>
        </w:rPr>
        <w:t xml:space="preserve"> </w:t>
      </w:r>
      <w:r>
        <w:t>of</w:t>
      </w:r>
      <w:r>
        <w:rPr>
          <w:spacing w:val="-57"/>
        </w:rPr>
        <w:t xml:space="preserve"> </w:t>
      </w:r>
      <w:r>
        <w:t>professional workers in social welfare centres for implementing legal protection measures for</w:t>
      </w:r>
      <w:r>
        <w:rPr>
          <w:spacing w:val="1"/>
        </w:rPr>
        <w:t xml:space="preserve"> </w:t>
      </w:r>
      <w:r>
        <w:t>children, as well as standardisation of family assistants. The measure includes training and</w:t>
      </w:r>
      <w:r>
        <w:rPr>
          <w:spacing w:val="1"/>
        </w:rPr>
        <w:t xml:space="preserve"> </w:t>
      </w:r>
      <w:r>
        <w:t>licensing for a total of 750 professional worker leaders in the field of family law protection</w:t>
      </w:r>
      <w:r>
        <w:rPr>
          <w:spacing w:val="1"/>
        </w:rPr>
        <w:t xml:space="preserve"> </w:t>
      </w:r>
      <w:r>
        <w:t>measures and training of 30 workers for the family assistant service until 2024, while in 2022,</w:t>
      </w:r>
      <w:r>
        <w:rPr>
          <w:spacing w:val="-57"/>
        </w:rPr>
        <w:t xml:space="preserve"> </w:t>
      </w:r>
      <w:r>
        <w:t>the plan is to train 150 leaders for the intensive professional assistance and support measure.</w:t>
      </w:r>
      <w:r>
        <w:rPr>
          <w:spacing w:val="1"/>
        </w:rPr>
        <w:t xml:space="preserve"> </w:t>
      </w:r>
      <w:r>
        <w:t>The standardisation of professional practices and the introduction of guidelines for activities</w:t>
      </w:r>
      <w:r>
        <w:rPr>
          <w:spacing w:val="1"/>
        </w:rPr>
        <w:t xml:space="preserve"> </w:t>
      </w:r>
      <w:r>
        <w:t>will</w:t>
      </w:r>
      <w:r>
        <w:rPr>
          <w:spacing w:val="-1"/>
        </w:rPr>
        <w:t xml:space="preserve"> </w:t>
      </w:r>
      <w:r>
        <w:t>improve</w:t>
      </w:r>
      <w:r>
        <w:rPr>
          <w:spacing w:val="-1"/>
        </w:rPr>
        <w:t xml:space="preserve"> </w:t>
      </w:r>
      <w:r>
        <w:t>work processes, reliability</w:t>
      </w:r>
      <w:r>
        <w:rPr>
          <w:spacing w:val="-5"/>
        </w:rPr>
        <w:t xml:space="preserve"> </w:t>
      </w:r>
      <w:r>
        <w:t>and uniformity</w:t>
      </w:r>
      <w:r>
        <w:rPr>
          <w:spacing w:val="-5"/>
        </w:rPr>
        <w:t xml:space="preserve"> </w:t>
      </w:r>
      <w:r>
        <w:t>of quality.</w:t>
      </w:r>
    </w:p>
    <w:p w:rsidR="00A56FE9" w:rsidRDefault="00000000">
      <w:pPr>
        <w:pStyle w:val="Tijeloteksta"/>
        <w:spacing w:before="121"/>
        <w:ind w:right="274"/>
      </w:pPr>
      <w:r>
        <w:t xml:space="preserve">The NRRP reform </w:t>
      </w:r>
      <w:r>
        <w:rPr>
          <w:b/>
        </w:rPr>
        <w:t xml:space="preserve">C4.3.R2 Development of Social Mentoring Service </w:t>
      </w:r>
      <w:r>
        <w:t>intends to develop a</w:t>
      </w:r>
      <w:r>
        <w:rPr>
          <w:spacing w:val="1"/>
        </w:rPr>
        <w:t xml:space="preserve"> </w:t>
      </w:r>
      <w:r>
        <w:t>service</w:t>
      </w:r>
      <w:r>
        <w:rPr>
          <w:spacing w:val="1"/>
        </w:rPr>
        <w:t xml:space="preserve"> </w:t>
      </w:r>
      <w:r>
        <w:t>for</w:t>
      </w:r>
      <w:r>
        <w:rPr>
          <w:spacing w:val="1"/>
        </w:rPr>
        <w:t xml:space="preserve"> </w:t>
      </w:r>
      <w:r>
        <w:t>beneficiaries</w:t>
      </w:r>
      <w:r>
        <w:rPr>
          <w:spacing w:val="1"/>
        </w:rPr>
        <w:t xml:space="preserve"> </w:t>
      </w:r>
      <w:r>
        <w:t>of</w:t>
      </w:r>
      <w:r>
        <w:rPr>
          <w:spacing w:val="1"/>
        </w:rPr>
        <w:t xml:space="preserve"> </w:t>
      </w:r>
      <w:r>
        <w:t>guaranteed</w:t>
      </w:r>
      <w:r>
        <w:rPr>
          <w:spacing w:val="1"/>
        </w:rPr>
        <w:t xml:space="preserve"> </w:t>
      </w:r>
      <w:r>
        <w:t>minimum</w:t>
      </w:r>
      <w:r>
        <w:rPr>
          <w:spacing w:val="1"/>
        </w:rPr>
        <w:t xml:space="preserve"> </w:t>
      </w:r>
      <w:r>
        <w:t>benefits</w:t>
      </w:r>
      <w:r>
        <w:rPr>
          <w:spacing w:val="1"/>
        </w:rPr>
        <w:t xml:space="preserve"> </w:t>
      </w:r>
      <w:r>
        <w:t>and</w:t>
      </w:r>
      <w:r>
        <w:rPr>
          <w:spacing w:val="1"/>
        </w:rPr>
        <w:t xml:space="preserve"> </w:t>
      </w:r>
      <w:r>
        <w:t>hard-to-employ</w:t>
      </w:r>
      <w:r>
        <w:rPr>
          <w:spacing w:val="1"/>
        </w:rPr>
        <w:t xml:space="preserve"> </w:t>
      </w:r>
      <w:r>
        <w:t>groups</w:t>
      </w:r>
      <w:r>
        <w:rPr>
          <w:spacing w:val="1"/>
        </w:rPr>
        <w:t xml:space="preserve"> </w:t>
      </w:r>
      <w:r>
        <w:t>of</w:t>
      </w:r>
      <w:r>
        <w:rPr>
          <w:spacing w:val="-57"/>
        </w:rPr>
        <w:t xml:space="preserve"> </w:t>
      </w:r>
      <w:r>
        <w:t>beneficiaries such as people with disabilities, Roma, migrants, victims of violence, homeless</w:t>
      </w:r>
      <w:r>
        <w:rPr>
          <w:spacing w:val="1"/>
        </w:rPr>
        <w:t xml:space="preserve"> </w:t>
      </w:r>
      <w:r>
        <w:t>and young people leaving the social security system. persons returning from serving a prison</w:t>
      </w:r>
      <w:r>
        <w:rPr>
          <w:spacing w:val="1"/>
        </w:rPr>
        <w:t xml:space="preserve"> </w:t>
      </w:r>
      <w:r>
        <w:t>sentence and intending to return to or enter the labour market, or strengthening social and life</w:t>
      </w:r>
      <w:r>
        <w:rPr>
          <w:spacing w:val="1"/>
        </w:rPr>
        <w:t xml:space="preserve"> </w:t>
      </w:r>
      <w:r>
        <w:t>skills and social integration and activation of the inactive proportion of hard-to-employ groups</w:t>
      </w:r>
      <w:r>
        <w:rPr>
          <w:spacing w:val="-58"/>
        </w:rPr>
        <w:t xml:space="preserve"> </w:t>
      </w:r>
      <w:r>
        <w:t>in</w:t>
      </w:r>
      <w:r>
        <w:rPr>
          <w:spacing w:val="-11"/>
        </w:rPr>
        <w:t xml:space="preserve"> </w:t>
      </w:r>
      <w:r>
        <w:t>the</w:t>
      </w:r>
      <w:r>
        <w:rPr>
          <w:spacing w:val="-11"/>
        </w:rPr>
        <w:t xml:space="preserve"> </w:t>
      </w:r>
      <w:r>
        <w:t>labour</w:t>
      </w:r>
      <w:r>
        <w:rPr>
          <w:spacing w:val="-9"/>
        </w:rPr>
        <w:t xml:space="preserve"> </w:t>
      </w:r>
      <w:r>
        <w:t>market.</w:t>
      </w:r>
      <w:r>
        <w:rPr>
          <w:spacing w:val="-8"/>
        </w:rPr>
        <w:t xml:space="preserve"> </w:t>
      </w:r>
      <w:r>
        <w:t>In</w:t>
      </w:r>
      <w:r>
        <w:rPr>
          <w:spacing w:val="-8"/>
        </w:rPr>
        <w:t xml:space="preserve"> </w:t>
      </w:r>
      <w:r>
        <w:t>terms</w:t>
      </w:r>
      <w:r>
        <w:rPr>
          <w:spacing w:val="-10"/>
        </w:rPr>
        <w:t xml:space="preserve"> </w:t>
      </w:r>
      <w:r>
        <w:t>of</w:t>
      </w:r>
      <w:r>
        <w:rPr>
          <w:spacing w:val="-11"/>
        </w:rPr>
        <w:t xml:space="preserve"> </w:t>
      </w:r>
      <w:r>
        <w:t>this</w:t>
      </w:r>
      <w:r>
        <w:rPr>
          <w:spacing w:val="-8"/>
        </w:rPr>
        <w:t xml:space="preserve"> </w:t>
      </w:r>
      <w:r>
        <w:t>reform</w:t>
      </w:r>
      <w:r>
        <w:rPr>
          <w:spacing w:val="-10"/>
        </w:rPr>
        <w:t xml:space="preserve"> </w:t>
      </w:r>
      <w:r>
        <w:t>measure,</w:t>
      </w:r>
      <w:r>
        <w:rPr>
          <w:spacing w:val="-10"/>
        </w:rPr>
        <w:t xml:space="preserve"> </w:t>
      </w:r>
      <w:r>
        <w:t>training</w:t>
      </w:r>
      <w:r>
        <w:rPr>
          <w:spacing w:val="-10"/>
        </w:rPr>
        <w:t xml:space="preserve"> </w:t>
      </w:r>
      <w:r>
        <w:t>is</w:t>
      </w:r>
      <w:r>
        <w:rPr>
          <w:spacing w:val="-9"/>
        </w:rPr>
        <w:t xml:space="preserve"> </w:t>
      </w:r>
      <w:r>
        <w:t>to</w:t>
      </w:r>
      <w:r>
        <w:rPr>
          <w:spacing w:val="-10"/>
        </w:rPr>
        <w:t xml:space="preserve"> </w:t>
      </w:r>
      <w:r>
        <w:t>take</w:t>
      </w:r>
      <w:r>
        <w:rPr>
          <w:spacing w:val="-11"/>
        </w:rPr>
        <w:t xml:space="preserve"> </w:t>
      </w:r>
      <w:r>
        <w:t>place</w:t>
      </w:r>
      <w:r>
        <w:rPr>
          <w:spacing w:val="-11"/>
        </w:rPr>
        <w:t xml:space="preserve"> </w:t>
      </w:r>
      <w:r>
        <w:t>in</w:t>
      </w:r>
      <w:r>
        <w:rPr>
          <w:spacing w:val="-9"/>
        </w:rPr>
        <w:t xml:space="preserve"> </w:t>
      </w:r>
      <w:r>
        <w:t>2022</w:t>
      </w:r>
      <w:r>
        <w:rPr>
          <w:spacing w:val="-8"/>
        </w:rPr>
        <w:t xml:space="preserve"> </w:t>
      </w:r>
      <w:r>
        <w:t>for</w:t>
      </w:r>
      <w:r>
        <w:rPr>
          <w:spacing w:val="-9"/>
        </w:rPr>
        <w:t xml:space="preserve"> </w:t>
      </w:r>
      <w:r>
        <w:t>a</w:t>
      </w:r>
      <w:r>
        <w:rPr>
          <w:spacing w:val="-10"/>
        </w:rPr>
        <w:t xml:space="preserve"> </w:t>
      </w:r>
      <w:r>
        <w:t>total</w:t>
      </w:r>
      <w:r>
        <w:rPr>
          <w:spacing w:val="-57"/>
        </w:rPr>
        <w:t xml:space="preserve"> </w:t>
      </w:r>
      <w:r>
        <w:t>of 220 employees of social welfare centres and employment services. Achieving this goal</w:t>
      </w:r>
      <w:r>
        <w:rPr>
          <w:spacing w:val="1"/>
        </w:rPr>
        <w:t xml:space="preserve"> </w:t>
      </w:r>
      <w:r>
        <w:t>requires strengthening cooperation between the regional offices of the Croatian Employment</w:t>
      </w:r>
      <w:r>
        <w:rPr>
          <w:spacing w:val="1"/>
        </w:rPr>
        <w:t xml:space="preserve"> </w:t>
      </w:r>
      <w:r>
        <w:t>Service</w:t>
      </w:r>
      <w:r>
        <w:rPr>
          <w:spacing w:val="-2"/>
        </w:rPr>
        <w:t xml:space="preserve"> </w:t>
      </w:r>
      <w:r>
        <w:t>(CES/HZZ)</w:t>
      </w:r>
      <w:r>
        <w:rPr>
          <w:spacing w:val="-1"/>
        </w:rPr>
        <w:t xml:space="preserve"> </w:t>
      </w:r>
      <w:r>
        <w:t>and the</w:t>
      </w:r>
      <w:r>
        <w:rPr>
          <w:spacing w:val="-1"/>
        </w:rPr>
        <w:t xml:space="preserve"> </w:t>
      </w:r>
      <w:r>
        <w:t>Social Welfare</w:t>
      </w:r>
      <w:r>
        <w:rPr>
          <w:spacing w:val="-1"/>
        </w:rPr>
        <w:t xml:space="preserve"> </w:t>
      </w:r>
      <w:r>
        <w:t>Centres.</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549015" cy="12700"/>
                <wp:effectExtent l="0" t="0" r="3810" b="0"/>
                <wp:docPr id="983713255"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9015" cy="12700"/>
                          <a:chOff x="0" y="0"/>
                          <a:chExt cx="5589" cy="20"/>
                        </a:xfrm>
                      </wpg:grpSpPr>
                      <wps:wsp>
                        <wps:cNvPr id="214443260" name="Rectangle 109"/>
                        <wps:cNvSpPr>
                          <a:spLocks noChangeArrowheads="1"/>
                        </wps:cNvSpPr>
                        <wps:spPr bwMode="auto">
                          <a:xfrm>
                            <a:off x="0" y="0"/>
                            <a:ext cx="5589"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416F3A0" id="Group 108" o:spid="_x0000_s1026" style="width:279.45pt;height:1pt;mso-position-horizontal-relative:char;mso-position-vertical-relative:line" coordsize="558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">
                <v:rect id="Rectangle 109" o:spid="_x0000_s1027" style="position:absolute;width:5589;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" fillcolor="#2c398a" stroked="f"/>
                <w10:anchorlock/>
              </v:group>
            </w:pict>
          </mc:Fallback>
        </mc:AlternateContent>
      </w:r>
    </w:p>
    <w:p w:rsidR="00A56FE9" w:rsidRDefault="00000000">
      <w:pPr>
        <w:pStyle w:val="Tijeloteksta"/>
        <w:spacing w:before="154"/>
        <w:ind w:right="274"/>
      </w:pPr>
      <w:r>
        <w:t>Improving social services means expanding the range of quality, regionally available and</w:t>
      </w:r>
      <w:r>
        <w:rPr>
          <w:spacing w:val="1"/>
        </w:rPr>
        <w:t xml:space="preserve"> </w:t>
      </w:r>
      <w:r>
        <w:t>affordable extra-institutional services.</w:t>
      </w:r>
      <w:r>
        <w:rPr>
          <w:spacing w:val="1"/>
        </w:rPr>
        <w:t xml:space="preserve"> </w:t>
      </w:r>
      <w:r>
        <w:t>In addition to the services</w:t>
      </w:r>
      <w:r>
        <w:rPr>
          <w:spacing w:val="1"/>
        </w:rPr>
        <w:t xml:space="preserve"> </w:t>
      </w:r>
      <w:r>
        <w:t>stipulated in the Social</w:t>
      </w:r>
      <w:r>
        <w:rPr>
          <w:spacing w:val="1"/>
        </w:rPr>
        <w:t xml:space="preserve"> </w:t>
      </w:r>
      <w:r>
        <w:t>Welfare</w:t>
      </w:r>
      <w:r>
        <w:rPr>
          <w:spacing w:val="-13"/>
        </w:rPr>
        <w:t xml:space="preserve"> </w:t>
      </w:r>
      <w:r>
        <w:t>Act,</w:t>
      </w:r>
      <w:r>
        <w:rPr>
          <w:spacing w:val="-11"/>
        </w:rPr>
        <w:t xml:space="preserve"> </w:t>
      </w:r>
      <w:r>
        <w:t>other</w:t>
      </w:r>
      <w:r>
        <w:rPr>
          <w:spacing w:val="-12"/>
        </w:rPr>
        <w:t xml:space="preserve"> </w:t>
      </w:r>
      <w:r>
        <w:t>services</w:t>
      </w:r>
      <w:r>
        <w:rPr>
          <w:spacing w:val="-8"/>
        </w:rPr>
        <w:t xml:space="preserve"> </w:t>
      </w:r>
      <w:r>
        <w:t>also</w:t>
      </w:r>
      <w:r>
        <w:rPr>
          <w:spacing w:val="-10"/>
        </w:rPr>
        <w:t xml:space="preserve"> </w:t>
      </w:r>
      <w:r>
        <w:t>need</w:t>
      </w:r>
      <w:r>
        <w:rPr>
          <w:spacing w:val="-11"/>
        </w:rPr>
        <w:t xml:space="preserve"> </w:t>
      </w:r>
      <w:r>
        <w:t>to</w:t>
      </w:r>
      <w:r>
        <w:rPr>
          <w:spacing w:val="-11"/>
        </w:rPr>
        <w:t xml:space="preserve"> </w:t>
      </w:r>
      <w:r>
        <w:t>be</w:t>
      </w:r>
      <w:r>
        <w:rPr>
          <w:spacing w:val="-9"/>
        </w:rPr>
        <w:t xml:space="preserve"> </w:t>
      </w:r>
      <w:r>
        <w:t>improved,</w:t>
      </w:r>
      <w:r>
        <w:rPr>
          <w:spacing w:val="-11"/>
        </w:rPr>
        <w:t xml:space="preserve"> </w:t>
      </w:r>
      <w:r>
        <w:t>such</w:t>
      </w:r>
      <w:r>
        <w:rPr>
          <w:spacing w:val="-11"/>
        </w:rPr>
        <w:t xml:space="preserve"> </w:t>
      </w:r>
      <w:r>
        <w:t>as</w:t>
      </w:r>
      <w:r>
        <w:rPr>
          <w:spacing w:val="-10"/>
        </w:rPr>
        <w:t xml:space="preserve"> </w:t>
      </w:r>
      <w:r>
        <w:t>personal</w:t>
      </w:r>
      <w:r>
        <w:rPr>
          <w:spacing w:val="-11"/>
        </w:rPr>
        <w:t xml:space="preserve"> </w:t>
      </w:r>
      <w:r>
        <w:t>assistant</w:t>
      </w:r>
      <w:r>
        <w:rPr>
          <w:spacing w:val="-11"/>
        </w:rPr>
        <w:t xml:space="preserve"> </w:t>
      </w:r>
      <w:r>
        <w:t>services,</w:t>
      </w:r>
      <w:r>
        <w:rPr>
          <w:spacing w:val="-11"/>
        </w:rPr>
        <w:t xml:space="preserve"> </w:t>
      </w:r>
      <w:r>
        <w:t>which</w:t>
      </w:r>
      <w:r>
        <w:rPr>
          <w:spacing w:val="-57"/>
        </w:rPr>
        <w:t xml:space="preserve"> </w:t>
      </w:r>
      <w:r>
        <w:t>include personal assistants, interpreters/translators and Croatian sign language translators and</w:t>
      </w:r>
      <w:r>
        <w:rPr>
          <w:spacing w:val="1"/>
        </w:rPr>
        <w:t xml:space="preserve"> </w:t>
      </w:r>
      <w:r>
        <w:t>sighted companions, and innovative social services in a broader sense, for instance, services</w:t>
      </w:r>
      <w:r>
        <w:rPr>
          <w:spacing w:val="1"/>
        </w:rPr>
        <w:t xml:space="preserve"> </w:t>
      </w:r>
      <w:r>
        <w:t>involving rest from care which will make it easier for family members to care for a family</w:t>
      </w:r>
      <w:r>
        <w:rPr>
          <w:spacing w:val="1"/>
        </w:rPr>
        <w:t xml:space="preserve"> </w:t>
      </w:r>
      <w:r>
        <w:t>member who requires daily care and attention, and facilitating balance between private and</w:t>
      </w:r>
      <w:r>
        <w:rPr>
          <w:spacing w:val="1"/>
        </w:rPr>
        <w:t xml:space="preserve"> </w:t>
      </w:r>
      <w:r>
        <w:t>work</w:t>
      </w:r>
      <w:r>
        <w:rPr>
          <w:spacing w:val="-12"/>
        </w:rPr>
        <w:t xml:space="preserve"> </w:t>
      </w:r>
      <w:r>
        <w:t>life.</w:t>
      </w:r>
      <w:r>
        <w:rPr>
          <w:spacing w:val="-12"/>
        </w:rPr>
        <w:t xml:space="preserve"> </w:t>
      </w:r>
      <w:r>
        <w:t>To</w:t>
      </w:r>
      <w:r>
        <w:rPr>
          <w:spacing w:val="-11"/>
        </w:rPr>
        <w:t xml:space="preserve"> </w:t>
      </w:r>
      <w:r>
        <w:t>standardise</w:t>
      </w:r>
      <w:r>
        <w:rPr>
          <w:spacing w:val="-11"/>
        </w:rPr>
        <w:t xml:space="preserve"> </w:t>
      </w:r>
      <w:r>
        <w:t>the</w:t>
      </w:r>
      <w:r>
        <w:rPr>
          <w:spacing w:val="-12"/>
        </w:rPr>
        <w:t xml:space="preserve"> </w:t>
      </w:r>
      <w:r>
        <w:t>personal</w:t>
      </w:r>
      <w:r>
        <w:rPr>
          <w:spacing w:val="-12"/>
        </w:rPr>
        <w:t xml:space="preserve"> </w:t>
      </w:r>
      <w:r>
        <w:t>assistance</w:t>
      </w:r>
      <w:r>
        <w:rPr>
          <w:spacing w:val="-13"/>
        </w:rPr>
        <w:t xml:space="preserve"> </w:t>
      </w:r>
      <w:r>
        <w:t>service,</w:t>
      </w:r>
      <w:r>
        <w:rPr>
          <w:spacing w:val="-11"/>
        </w:rPr>
        <w:t xml:space="preserve"> </w:t>
      </w:r>
      <w:r>
        <w:t>the</w:t>
      </w:r>
      <w:r>
        <w:rPr>
          <w:spacing w:val="-13"/>
        </w:rPr>
        <w:t xml:space="preserve"> </w:t>
      </w:r>
      <w:r>
        <w:t>drafting</w:t>
      </w:r>
      <w:r>
        <w:rPr>
          <w:spacing w:val="-13"/>
        </w:rPr>
        <w:t xml:space="preserve"> </w:t>
      </w:r>
      <w:r>
        <w:t>of</w:t>
      </w:r>
      <w:r>
        <w:rPr>
          <w:spacing w:val="-13"/>
        </w:rPr>
        <w:t xml:space="preserve"> </w:t>
      </w:r>
      <w:r>
        <w:t>the</w:t>
      </w:r>
      <w:r>
        <w:rPr>
          <w:spacing w:val="-9"/>
        </w:rPr>
        <w:t xml:space="preserve"> </w:t>
      </w:r>
      <w:r>
        <w:t>Personal</w:t>
      </w:r>
      <w:r>
        <w:rPr>
          <w:spacing w:val="-12"/>
        </w:rPr>
        <w:t xml:space="preserve"> </w:t>
      </w:r>
      <w:r>
        <w:t>Assistance</w:t>
      </w:r>
      <w:r>
        <w:rPr>
          <w:spacing w:val="-58"/>
        </w:rPr>
        <w:t xml:space="preserve"> </w:t>
      </w:r>
      <w:r>
        <w:t>Act</w:t>
      </w:r>
      <w:r>
        <w:rPr>
          <w:spacing w:val="-1"/>
        </w:rPr>
        <w:t xml:space="preserve"> </w:t>
      </w:r>
      <w:r>
        <w:t>is underway.</w:t>
      </w:r>
    </w:p>
    <w:p w:rsidR="00A56FE9" w:rsidRDefault="00000000">
      <w:pPr>
        <w:pStyle w:val="Tijeloteksta"/>
        <w:spacing w:before="121"/>
        <w:ind w:right="270"/>
      </w:pPr>
      <w:r>
        <w:t>The implementation of the project Support for Improvement of Social Services in Croatia is</w:t>
      </w:r>
      <w:r>
        <w:rPr>
          <w:spacing w:val="1"/>
        </w:rPr>
        <w:t xml:space="preserve"> </w:t>
      </w:r>
      <w:r>
        <w:t>funded by the TSI (EUR 400,000). The project is currently implemented in cooperation with</w:t>
      </w:r>
      <w:r>
        <w:rPr>
          <w:spacing w:val="1"/>
        </w:rPr>
        <w:t xml:space="preserve"> </w:t>
      </w:r>
      <w:r>
        <w:t>the Directorate-General for Structural Reform Support (DG REFORM) and with the technical</w:t>
      </w:r>
      <w:r>
        <w:rPr>
          <w:spacing w:val="1"/>
        </w:rPr>
        <w:t xml:space="preserve"> </w:t>
      </w:r>
      <w:r>
        <w:t>support of the Northern Ireland Co-operation Overseas (NI-CO) from Northern Ireland. The</w:t>
      </w:r>
      <w:r>
        <w:rPr>
          <w:spacing w:val="1"/>
        </w:rPr>
        <w:t xml:space="preserve"> </w:t>
      </w:r>
      <w:r>
        <w:t>main</w:t>
      </w:r>
      <w:r>
        <w:rPr>
          <w:spacing w:val="-4"/>
        </w:rPr>
        <w:t xml:space="preserve"> </w:t>
      </w:r>
      <w:r>
        <w:t>goal</w:t>
      </w:r>
      <w:r>
        <w:rPr>
          <w:spacing w:val="-3"/>
        </w:rPr>
        <w:t xml:space="preserve"> </w:t>
      </w:r>
      <w:r>
        <w:t>of</w:t>
      </w:r>
      <w:r>
        <w:rPr>
          <w:spacing w:val="-4"/>
        </w:rPr>
        <w:t xml:space="preserve"> </w:t>
      </w:r>
      <w:r>
        <w:t>the</w:t>
      </w:r>
      <w:r>
        <w:rPr>
          <w:spacing w:val="-4"/>
        </w:rPr>
        <w:t xml:space="preserve"> </w:t>
      </w:r>
      <w:r>
        <w:t>project</w:t>
      </w:r>
      <w:r>
        <w:rPr>
          <w:spacing w:val="-2"/>
        </w:rPr>
        <w:t xml:space="preserve"> </w:t>
      </w:r>
      <w:r>
        <w:t>is</w:t>
      </w:r>
      <w:r>
        <w:rPr>
          <w:spacing w:val="-4"/>
        </w:rPr>
        <w:t xml:space="preserve"> </w:t>
      </w:r>
      <w:r>
        <w:t>to</w:t>
      </w:r>
      <w:r>
        <w:rPr>
          <w:spacing w:val="-1"/>
        </w:rPr>
        <w:t xml:space="preserve"> </w:t>
      </w:r>
      <w:r>
        <w:t>help</w:t>
      </w:r>
      <w:r>
        <w:rPr>
          <w:spacing w:val="-3"/>
        </w:rPr>
        <w:t xml:space="preserve"> </w:t>
      </w:r>
      <w:r>
        <w:t>reduce</w:t>
      </w:r>
      <w:r>
        <w:rPr>
          <w:spacing w:val="-5"/>
        </w:rPr>
        <w:t xml:space="preserve"> </w:t>
      </w:r>
      <w:r>
        <w:t>regional disparities</w:t>
      </w:r>
      <w:r>
        <w:rPr>
          <w:spacing w:val="-4"/>
        </w:rPr>
        <w:t xml:space="preserve"> </w:t>
      </w:r>
      <w:r>
        <w:t>in</w:t>
      </w:r>
      <w:r>
        <w:rPr>
          <w:spacing w:val="-2"/>
        </w:rPr>
        <w:t xml:space="preserve"> </w:t>
      </w:r>
      <w:r>
        <w:t>the</w:t>
      </w:r>
      <w:r>
        <w:rPr>
          <w:spacing w:val="-4"/>
        </w:rPr>
        <w:t xml:space="preserve"> </w:t>
      </w:r>
      <w:r>
        <w:t>provision</w:t>
      </w:r>
      <w:r>
        <w:rPr>
          <w:spacing w:val="-2"/>
        </w:rPr>
        <w:t xml:space="preserve"> </w:t>
      </w:r>
      <w:r>
        <w:t>of</w:t>
      </w:r>
      <w:r>
        <w:rPr>
          <w:spacing w:val="-5"/>
        </w:rPr>
        <w:t xml:space="preserve"> </w:t>
      </w:r>
      <w:r>
        <w:t>social</w:t>
      </w:r>
      <w:r>
        <w:rPr>
          <w:spacing w:val="-3"/>
        </w:rPr>
        <w:t xml:space="preserve"> </w:t>
      </w:r>
      <w:r>
        <w:t>services</w:t>
      </w:r>
      <w:r>
        <w:rPr>
          <w:spacing w:val="-58"/>
        </w:rPr>
        <w:t xml:space="preserve"> </w:t>
      </w:r>
      <w:r>
        <w:t>in the Republic of Croatia and improve the quality of services, along with the development of</w:t>
      </w:r>
      <w:r>
        <w:rPr>
          <w:spacing w:val="1"/>
        </w:rPr>
        <w:t xml:space="preserve"> </w:t>
      </w:r>
      <w:r>
        <w:t>a new methodology for assessing needs in the area of social services and developing quality</w:t>
      </w:r>
      <w:r>
        <w:rPr>
          <w:spacing w:val="1"/>
        </w:rPr>
        <w:t xml:space="preserve"> </w:t>
      </w:r>
      <w:r>
        <w:t>standards.</w:t>
      </w:r>
    </w:p>
    <w:p w:rsidR="00A56FE9" w:rsidRDefault="00000000">
      <w:pPr>
        <w:pStyle w:val="Tijeloteksta"/>
        <w:spacing w:before="120"/>
        <w:ind w:right="274"/>
      </w:pPr>
      <w:r>
        <w:t>The</w:t>
      </w:r>
      <w:r>
        <w:rPr>
          <w:spacing w:val="-5"/>
        </w:rPr>
        <w:t xml:space="preserve"> </w:t>
      </w:r>
      <w:r>
        <w:t>expected</w:t>
      </w:r>
      <w:r>
        <w:rPr>
          <w:spacing w:val="-4"/>
        </w:rPr>
        <w:t xml:space="preserve"> </w:t>
      </w:r>
      <w:r>
        <w:t>results</w:t>
      </w:r>
      <w:r>
        <w:rPr>
          <w:spacing w:val="-2"/>
        </w:rPr>
        <w:t xml:space="preserve"> </w:t>
      </w:r>
      <w:r>
        <w:t>of</w:t>
      </w:r>
      <w:r>
        <w:rPr>
          <w:spacing w:val="-5"/>
        </w:rPr>
        <w:t xml:space="preserve"> </w:t>
      </w:r>
      <w:r>
        <w:t>the</w:t>
      </w:r>
      <w:r>
        <w:rPr>
          <w:spacing w:val="-4"/>
        </w:rPr>
        <w:t xml:space="preserve"> </w:t>
      </w:r>
      <w:r>
        <w:t>Project</w:t>
      </w:r>
      <w:r>
        <w:rPr>
          <w:spacing w:val="-2"/>
        </w:rPr>
        <w:t xml:space="preserve"> </w:t>
      </w:r>
      <w:r>
        <w:t>include</w:t>
      </w:r>
      <w:r>
        <w:rPr>
          <w:spacing w:val="-5"/>
        </w:rPr>
        <w:t xml:space="preserve"> </w:t>
      </w:r>
      <w:r>
        <w:t>improved</w:t>
      </w:r>
      <w:r>
        <w:rPr>
          <w:spacing w:val="-3"/>
        </w:rPr>
        <w:t xml:space="preserve"> </w:t>
      </w:r>
      <w:r>
        <w:t>planning</w:t>
      </w:r>
      <w:r>
        <w:rPr>
          <w:spacing w:val="-6"/>
        </w:rPr>
        <w:t xml:space="preserve"> </w:t>
      </w:r>
      <w:r>
        <w:t>of</w:t>
      </w:r>
      <w:r>
        <w:rPr>
          <w:spacing w:val="-5"/>
        </w:rPr>
        <w:t xml:space="preserve"> </w:t>
      </w:r>
      <w:r>
        <w:t>social</w:t>
      </w:r>
      <w:r>
        <w:rPr>
          <w:spacing w:val="-3"/>
        </w:rPr>
        <w:t xml:space="preserve"> </w:t>
      </w:r>
      <w:r>
        <w:t>services</w:t>
      </w:r>
      <w:r>
        <w:rPr>
          <w:spacing w:val="-2"/>
        </w:rPr>
        <w:t xml:space="preserve"> </w:t>
      </w:r>
      <w:r>
        <w:t>by</w:t>
      </w:r>
      <w:r>
        <w:rPr>
          <w:spacing w:val="-8"/>
        </w:rPr>
        <w:t xml:space="preserve"> </w:t>
      </w:r>
      <w:r>
        <w:t>developing</w:t>
      </w:r>
      <w:r>
        <w:rPr>
          <w:spacing w:val="-57"/>
        </w:rPr>
        <w:t xml:space="preserve"> </w:t>
      </w:r>
      <w:r>
        <w:t>a new methodology for assessing needs and will be piloted in the Osijek-Baranja County. The</w:t>
      </w:r>
      <w:r>
        <w:rPr>
          <w:spacing w:val="-57"/>
        </w:rPr>
        <w:t xml:space="preserve"> </w:t>
      </w:r>
      <w:r>
        <w:t>estimated</w:t>
      </w:r>
      <w:r>
        <w:rPr>
          <w:spacing w:val="-1"/>
        </w:rPr>
        <w:t xml:space="preserve"> </w:t>
      </w:r>
      <w:r>
        <w:t>duration of</w:t>
      </w:r>
      <w:r>
        <w:rPr>
          <w:spacing w:val="-1"/>
        </w:rPr>
        <w:t xml:space="preserve"> </w:t>
      </w:r>
      <w:r>
        <w:t>the</w:t>
      </w:r>
      <w:r>
        <w:rPr>
          <w:spacing w:val="1"/>
        </w:rPr>
        <w:t xml:space="preserve"> </w:t>
      </w:r>
      <w:r>
        <w:t>project is until March 2023.</w:t>
      </w:r>
    </w:p>
    <w:p w:rsidR="00A56FE9" w:rsidRDefault="00A56FE9">
      <w:pPr>
        <w:sectPr w:rsidR="00A56FE9" w:rsidSect="00AB1E70">
          <w:pgSz w:w="11910" w:h="16840"/>
          <w:pgMar w:top="1320" w:right="1140" w:bottom="960" w:left="1280" w:header="0" w:footer="779" w:gutter="0"/>
          <w:cols w:space="720"/>
        </w:sectPr>
      </w:pPr>
    </w:p>
    <w:p w:rsidR="00A56FE9" w:rsidRDefault="00A56FE9">
      <w:pPr>
        <w:pStyle w:val="Tijeloteksta"/>
        <w:spacing w:before="4"/>
        <w:ind w:left="0"/>
        <w:jc w:val="left"/>
        <w:rPr>
          <w:sz w:val="13"/>
        </w:rPr>
      </w:pPr>
    </w:p>
    <w:p w:rsidR="00A56FE9" w:rsidRDefault="00CC1B9B">
      <w:pPr>
        <w:pStyle w:val="Naslov4"/>
        <w:spacing w:before="89"/>
        <w:jc w:val="left"/>
      </w:pPr>
      <w:r>
        <w:rPr>
          <w:noProof/>
        </w:rPr>
        <mc:AlternateContent>
          <mc:Choice Requires="wps">
            <w:drawing>
              <wp:anchor distT="0" distB="0" distL="114300" distR="114300" simplePos="0" relativeHeight="15807488" behindDoc="0" locked="0" layoutInCell="1" allowOverlap="1">
                <wp:simplePos x="0" y="0"/>
                <wp:positionH relativeFrom="page">
                  <wp:posOffset>814070</wp:posOffset>
                </wp:positionH>
                <wp:positionV relativeFrom="paragraph">
                  <wp:posOffset>-97790</wp:posOffset>
                </wp:positionV>
                <wp:extent cx="18415" cy="417830"/>
                <wp:effectExtent l="0" t="0" r="0" b="0"/>
                <wp:wrapNone/>
                <wp:docPr id="987343027"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3F0F9" id="Rectangle 107" o:spid="_x0000_s1026" style="position:absolute;margin-left:64.1pt;margin-top:-7.7pt;width:1.45pt;height:32.9pt;z-index:1580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" fillcolor="#da1f2c" stroked="f">
                <w10:wrap anchorx="page"/>
              </v:rect>
            </w:pict>
          </mc:Fallback>
        </mc:AlternateContent>
      </w:r>
      <w:r w:rsidR="00000000">
        <w:rPr>
          <w:color w:val="2C398A"/>
        </w:rPr>
        <w:t>Deinstitutionalisation</w:t>
      </w:r>
      <w:r w:rsidR="00000000">
        <w:rPr>
          <w:color w:val="2C398A"/>
          <w:spacing w:val="-1"/>
        </w:rPr>
        <w:t xml:space="preserve"> </w:t>
      </w:r>
      <w:r w:rsidR="00000000">
        <w:rPr>
          <w:color w:val="2C398A"/>
        </w:rPr>
        <w:t>and</w:t>
      </w:r>
      <w:r w:rsidR="00000000">
        <w:rPr>
          <w:color w:val="2C398A"/>
          <w:spacing w:val="-3"/>
        </w:rPr>
        <w:t xml:space="preserve"> </w:t>
      </w:r>
      <w:r w:rsidR="00000000">
        <w:rPr>
          <w:color w:val="2C398A"/>
        </w:rPr>
        <w:t>transformation</w:t>
      </w:r>
      <w:r w:rsidR="00000000">
        <w:rPr>
          <w:color w:val="2C398A"/>
          <w:spacing w:val="-3"/>
        </w:rPr>
        <w:t xml:space="preserve"> </w:t>
      </w:r>
      <w:r w:rsidR="00000000">
        <w:rPr>
          <w:color w:val="2C398A"/>
        </w:rPr>
        <w:t>of social</w:t>
      </w:r>
      <w:r w:rsidR="00000000">
        <w:rPr>
          <w:color w:val="2C398A"/>
          <w:spacing w:val="-3"/>
        </w:rPr>
        <w:t xml:space="preserve"> </w:t>
      </w:r>
      <w:r w:rsidR="00000000">
        <w:rPr>
          <w:color w:val="2C398A"/>
        </w:rPr>
        <w:t>welfare</w:t>
      </w:r>
      <w:r w:rsidR="00000000">
        <w:rPr>
          <w:color w:val="2C398A"/>
          <w:spacing w:val="-3"/>
        </w:rPr>
        <w:t xml:space="preserve"> </w:t>
      </w:r>
      <w:r w:rsidR="00000000">
        <w:rPr>
          <w:color w:val="2C398A"/>
        </w:rPr>
        <w:t>institutions</w:t>
      </w:r>
    </w:p>
    <w:p w:rsidR="00A56FE9" w:rsidRDefault="00CC1B9B">
      <w:pPr>
        <w:pStyle w:val="Naslov5"/>
        <w:spacing w:before="235"/>
        <w:jc w:val="left"/>
      </w:pPr>
      <w:r>
        <w:rPr>
          <w:noProof/>
        </w:rPr>
        <mc:AlternateContent>
          <mc:Choice Requires="wps">
            <w:drawing>
              <wp:anchor distT="0" distB="0" distL="0" distR="0" simplePos="0" relativeHeight="487665664" behindDoc="1" locked="0" layoutInCell="1" allowOverlap="1">
                <wp:simplePos x="0" y="0"/>
                <wp:positionH relativeFrom="page">
                  <wp:posOffset>882650</wp:posOffset>
                </wp:positionH>
                <wp:positionV relativeFrom="paragraph">
                  <wp:posOffset>338455</wp:posOffset>
                </wp:positionV>
                <wp:extent cx="3277235" cy="12065"/>
                <wp:effectExtent l="0" t="0" r="0" b="0"/>
                <wp:wrapTopAndBottom/>
                <wp:docPr id="1765521232"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7235"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D4F5E" id="Rectangle 106" o:spid="_x0000_s1026" style="position:absolute;margin-left:69.5pt;margin-top:26.65pt;width:258.05pt;height:.95pt;z-index:-15650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" fillcolor="#2c398a" stroked="f">
                <w10:wrap type="topAndBottom" anchorx="page"/>
              </v:rect>
            </w:pict>
          </mc:Fallback>
        </mc:AlternateContent>
      </w:r>
      <w:r w:rsidR="00000000">
        <w:t>Progress</w:t>
      </w:r>
      <w:r w:rsidR="00000000">
        <w:rPr>
          <w:spacing w:val="-2"/>
        </w:rPr>
        <w:t xml:space="preserve"> </w:t>
      </w:r>
      <w:r w:rsidR="00000000">
        <w:t>in</w:t>
      </w:r>
      <w:r w:rsidR="00000000">
        <w:rPr>
          <w:spacing w:val="-2"/>
        </w:rPr>
        <w:t xml:space="preserve"> </w:t>
      </w:r>
      <w:r w:rsidR="00000000">
        <w:t>implementing</w:t>
      </w:r>
      <w:r w:rsidR="00000000">
        <w:rPr>
          <w:spacing w:val="-2"/>
        </w:rPr>
        <w:t xml:space="preserve"> </w:t>
      </w:r>
      <w:r w:rsidR="00000000">
        <w:t>the</w:t>
      </w:r>
      <w:r w:rsidR="00000000">
        <w:rPr>
          <w:spacing w:val="-2"/>
        </w:rPr>
        <w:t xml:space="preserve"> </w:t>
      </w:r>
      <w:r w:rsidR="00000000">
        <w:t>recommendations</w:t>
      </w:r>
    </w:p>
    <w:p w:rsidR="00A56FE9" w:rsidRDefault="00000000">
      <w:pPr>
        <w:pStyle w:val="Tijeloteksta"/>
        <w:spacing w:before="126"/>
        <w:ind w:right="276"/>
      </w:pPr>
      <w:r>
        <w:t>In the previous period in the deinstitutionalisation process, some positive steps were made and</w:t>
      </w:r>
      <w:r>
        <w:rPr>
          <w:spacing w:val="-57"/>
        </w:rPr>
        <w:t xml:space="preserve"> </w:t>
      </w:r>
      <w:r>
        <w:rPr>
          <w:spacing w:val="-1"/>
        </w:rPr>
        <w:t>a</w:t>
      </w:r>
      <w:r>
        <w:rPr>
          <w:spacing w:val="-16"/>
        </w:rPr>
        <w:t xml:space="preserve"> </w:t>
      </w:r>
      <w:r>
        <w:rPr>
          <w:spacing w:val="-1"/>
        </w:rPr>
        <w:t>series</w:t>
      </w:r>
      <w:r>
        <w:rPr>
          <w:spacing w:val="-12"/>
        </w:rPr>
        <w:t xml:space="preserve"> </w:t>
      </w:r>
      <w:r>
        <w:t>of</w:t>
      </w:r>
      <w:r>
        <w:rPr>
          <w:spacing w:val="-16"/>
        </w:rPr>
        <w:t xml:space="preserve"> </w:t>
      </w:r>
      <w:r>
        <w:t>social</w:t>
      </w:r>
      <w:r>
        <w:rPr>
          <w:spacing w:val="-13"/>
        </w:rPr>
        <w:t xml:space="preserve"> </w:t>
      </w:r>
      <w:r>
        <w:t>services</w:t>
      </w:r>
      <w:r>
        <w:rPr>
          <w:spacing w:val="-12"/>
        </w:rPr>
        <w:t xml:space="preserve"> </w:t>
      </w:r>
      <w:r>
        <w:t>in</w:t>
      </w:r>
      <w:r>
        <w:rPr>
          <w:spacing w:val="-14"/>
        </w:rPr>
        <w:t xml:space="preserve"> </w:t>
      </w:r>
      <w:r>
        <w:t>the</w:t>
      </w:r>
      <w:r>
        <w:rPr>
          <w:spacing w:val="-14"/>
        </w:rPr>
        <w:t xml:space="preserve"> </w:t>
      </w:r>
      <w:r>
        <w:t>community</w:t>
      </w:r>
      <w:r>
        <w:rPr>
          <w:spacing w:val="-17"/>
        </w:rPr>
        <w:t xml:space="preserve"> </w:t>
      </w:r>
      <w:r>
        <w:t>were</w:t>
      </w:r>
      <w:r>
        <w:rPr>
          <w:spacing w:val="-16"/>
        </w:rPr>
        <w:t xml:space="preserve"> </w:t>
      </w:r>
      <w:r>
        <w:t>developed,</w:t>
      </w:r>
      <w:r>
        <w:rPr>
          <w:spacing w:val="-15"/>
        </w:rPr>
        <w:t xml:space="preserve"> </w:t>
      </w:r>
      <w:r>
        <w:t>which</w:t>
      </w:r>
      <w:r>
        <w:rPr>
          <w:spacing w:val="-11"/>
        </w:rPr>
        <w:t xml:space="preserve"> </w:t>
      </w:r>
      <w:r>
        <w:t>are</w:t>
      </w:r>
      <w:r>
        <w:rPr>
          <w:spacing w:val="-16"/>
        </w:rPr>
        <w:t xml:space="preserve"> </w:t>
      </w:r>
      <w:r>
        <w:t>important</w:t>
      </w:r>
      <w:r>
        <w:rPr>
          <w:spacing w:val="-15"/>
        </w:rPr>
        <w:t xml:space="preserve"> </w:t>
      </w:r>
      <w:r>
        <w:t>for</w:t>
      </w:r>
      <w:r>
        <w:rPr>
          <w:spacing w:val="-15"/>
        </w:rPr>
        <w:t xml:space="preserve"> </w:t>
      </w:r>
      <w:r>
        <w:t>the</w:t>
      </w:r>
      <w:r>
        <w:rPr>
          <w:spacing w:val="-13"/>
        </w:rPr>
        <w:t xml:space="preserve"> </w:t>
      </w:r>
      <w:r>
        <w:t>process</w:t>
      </w:r>
      <w:r>
        <w:rPr>
          <w:spacing w:val="-58"/>
        </w:rPr>
        <w:t xml:space="preserve"> </w:t>
      </w:r>
      <w:r>
        <w:t>of deinstitutionalisation and prevention of institutionalisation. Six providers of social services</w:t>
      </w:r>
      <w:r>
        <w:rPr>
          <w:spacing w:val="1"/>
        </w:rPr>
        <w:t xml:space="preserve"> </w:t>
      </w:r>
      <w:r>
        <w:t>of</w:t>
      </w:r>
      <w:r>
        <w:rPr>
          <w:spacing w:val="-7"/>
        </w:rPr>
        <w:t xml:space="preserve"> </w:t>
      </w:r>
      <w:r>
        <w:t>which</w:t>
      </w:r>
      <w:r>
        <w:rPr>
          <w:spacing w:val="-5"/>
        </w:rPr>
        <w:t xml:space="preserve"> </w:t>
      </w:r>
      <w:r>
        <w:t>the</w:t>
      </w:r>
      <w:r>
        <w:rPr>
          <w:spacing w:val="-7"/>
        </w:rPr>
        <w:t xml:space="preserve"> </w:t>
      </w:r>
      <w:r>
        <w:t>Republic</w:t>
      </w:r>
      <w:r>
        <w:rPr>
          <w:spacing w:val="-6"/>
        </w:rPr>
        <w:t xml:space="preserve"> </w:t>
      </w:r>
      <w:r>
        <w:t>of</w:t>
      </w:r>
      <w:r>
        <w:rPr>
          <w:spacing w:val="-5"/>
        </w:rPr>
        <w:t xml:space="preserve"> </w:t>
      </w:r>
      <w:r>
        <w:t>Croatia</w:t>
      </w:r>
      <w:r>
        <w:rPr>
          <w:spacing w:val="-6"/>
        </w:rPr>
        <w:t xml:space="preserve"> </w:t>
      </w:r>
      <w:r>
        <w:t>is</w:t>
      </w:r>
      <w:r>
        <w:rPr>
          <w:spacing w:val="-6"/>
        </w:rPr>
        <w:t xml:space="preserve"> </w:t>
      </w:r>
      <w:r>
        <w:t>the</w:t>
      </w:r>
      <w:r>
        <w:rPr>
          <w:spacing w:val="-6"/>
        </w:rPr>
        <w:t xml:space="preserve"> </w:t>
      </w:r>
      <w:r>
        <w:t>founder</w:t>
      </w:r>
      <w:r>
        <w:rPr>
          <w:spacing w:val="-5"/>
        </w:rPr>
        <w:t xml:space="preserve"> </w:t>
      </w:r>
      <w:r>
        <w:t>(five</w:t>
      </w:r>
      <w:r>
        <w:rPr>
          <w:spacing w:val="-6"/>
        </w:rPr>
        <w:t xml:space="preserve"> </w:t>
      </w:r>
      <w:r>
        <w:t>providers</w:t>
      </w:r>
      <w:r>
        <w:rPr>
          <w:spacing w:val="-4"/>
        </w:rPr>
        <w:t xml:space="preserve"> </w:t>
      </w:r>
      <w:r>
        <w:t>for</w:t>
      </w:r>
      <w:r>
        <w:rPr>
          <w:spacing w:val="-7"/>
        </w:rPr>
        <w:t xml:space="preserve"> </w:t>
      </w:r>
      <w:r>
        <w:t>children</w:t>
      </w:r>
      <w:r>
        <w:rPr>
          <w:spacing w:val="-4"/>
        </w:rPr>
        <w:t xml:space="preserve"> </w:t>
      </w:r>
      <w:r>
        <w:t>and</w:t>
      </w:r>
      <w:r>
        <w:rPr>
          <w:spacing w:val="-5"/>
        </w:rPr>
        <w:t xml:space="preserve"> </w:t>
      </w:r>
      <w:r>
        <w:t>one</w:t>
      </w:r>
      <w:r>
        <w:rPr>
          <w:spacing w:val="-7"/>
        </w:rPr>
        <w:t xml:space="preserve"> </w:t>
      </w:r>
      <w:r>
        <w:t>for</w:t>
      </w:r>
      <w:r>
        <w:rPr>
          <w:spacing w:val="-6"/>
        </w:rPr>
        <w:t xml:space="preserve"> </w:t>
      </w:r>
      <w:r>
        <w:t>persons</w:t>
      </w:r>
      <w:r>
        <w:rPr>
          <w:spacing w:val="-58"/>
        </w:rPr>
        <w:t xml:space="preserve"> </w:t>
      </w:r>
      <w:r>
        <w:t>with disabilities) have left the institutional form of care and terminated the provision of</w:t>
      </w:r>
      <w:r>
        <w:rPr>
          <w:spacing w:val="1"/>
        </w:rPr>
        <w:t xml:space="preserve"> </w:t>
      </w:r>
      <w:r>
        <w:t>accommodation services, and subsequently provide only extra-institutional social services.</w:t>
      </w:r>
      <w:r>
        <w:rPr>
          <w:spacing w:val="1"/>
        </w:rPr>
        <w:t xml:space="preserve"> </w:t>
      </w:r>
      <w:r>
        <w:t>According</w:t>
      </w:r>
      <w:r>
        <w:rPr>
          <w:spacing w:val="-13"/>
        </w:rPr>
        <w:t xml:space="preserve"> </w:t>
      </w:r>
      <w:r>
        <w:t>to</w:t>
      </w:r>
      <w:r>
        <w:rPr>
          <w:spacing w:val="-11"/>
        </w:rPr>
        <w:t xml:space="preserve"> </w:t>
      </w:r>
      <w:r>
        <w:t>the</w:t>
      </w:r>
      <w:r>
        <w:rPr>
          <w:spacing w:val="-12"/>
        </w:rPr>
        <w:t xml:space="preserve"> </w:t>
      </w:r>
      <w:r>
        <w:t>most</w:t>
      </w:r>
      <w:r>
        <w:rPr>
          <w:spacing w:val="-10"/>
        </w:rPr>
        <w:t xml:space="preserve"> </w:t>
      </w:r>
      <w:r>
        <w:t>recent</w:t>
      </w:r>
      <w:r>
        <w:rPr>
          <w:spacing w:val="-10"/>
        </w:rPr>
        <w:t xml:space="preserve"> </w:t>
      </w:r>
      <w:r>
        <w:t>available</w:t>
      </w:r>
      <w:r>
        <w:rPr>
          <w:spacing w:val="-12"/>
        </w:rPr>
        <w:t xml:space="preserve"> </w:t>
      </w:r>
      <w:r>
        <w:t>data,</w:t>
      </w:r>
      <w:r>
        <w:rPr>
          <w:spacing w:val="-11"/>
        </w:rPr>
        <w:t xml:space="preserve"> </w:t>
      </w:r>
      <w:r>
        <w:t>the</w:t>
      </w:r>
      <w:r>
        <w:rPr>
          <w:spacing w:val="-12"/>
        </w:rPr>
        <w:t xml:space="preserve"> </w:t>
      </w:r>
      <w:r>
        <w:t>program</w:t>
      </w:r>
      <w:r>
        <w:rPr>
          <w:spacing w:val="-10"/>
        </w:rPr>
        <w:t xml:space="preserve"> </w:t>
      </w:r>
      <w:r>
        <w:t>for</w:t>
      </w:r>
      <w:r>
        <w:rPr>
          <w:spacing w:val="-13"/>
        </w:rPr>
        <w:t xml:space="preserve"> </w:t>
      </w:r>
      <w:r>
        <w:t>organising</w:t>
      </w:r>
      <w:r>
        <w:rPr>
          <w:spacing w:val="-13"/>
        </w:rPr>
        <w:t xml:space="preserve"> </w:t>
      </w:r>
      <w:r>
        <w:t>housing</w:t>
      </w:r>
      <w:r>
        <w:rPr>
          <w:spacing w:val="-12"/>
        </w:rPr>
        <w:t xml:space="preserve"> </w:t>
      </w:r>
      <w:r>
        <w:t>with</w:t>
      </w:r>
      <w:r>
        <w:rPr>
          <w:spacing w:val="-11"/>
        </w:rPr>
        <w:t xml:space="preserve"> </w:t>
      </w:r>
      <w:r>
        <w:t>assistance</w:t>
      </w:r>
      <w:r>
        <w:rPr>
          <w:spacing w:val="-58"/>
        </w:rPr>
        <w:t xml:space="preserve"> </w:t>
      </w:r>
      <w:r>
        <w:t>covers 1,128 persons with disabilities and 312 children and youth (source: Annual Statistical</w:t>
      </w:r>
      <w:r>
        <w:rPr>
          <w:spacing w:val="1"/>
        </w:rPr>
        <w:t xml:space="preserve"> </w:t>
      </w:r>
      <w:r>
        <w:t>Report on Other Legal Persons Undertaking Social Welfare Care and on Social Welfare Users</w:t>
      </w:r>
      <w:r>
        <w:rPr>
          <w:spacing w:val="-57"/>
        </w:rPr>
        <w:t xml:space="preserve"> </w:t>
      </w:r>
      <w:r>
        <w:t>in</w:t>
      </w:r>
      <w:r>
        <w:rPr>
          <w:spacing w:val="-6"/>
        </w:rPr>
        <w:t xml:space="preserve"> </w:t>
      </w:r>
      <w:r>
        <w:t>the</w:t>
      </w:r>
      <w:r>
        <w:rPr>
          <w:spacing w:val="-7"/>
        </w:rPr>
        <w:t xml:space="preserve"> </w:t>
      </w:r>
      <w:r>
        <w:t>Republic</w:t>
      </w:r>
      <w:r>
        <w:rPr>
          <w:spacing w:val="-7"/>
        </w:rPr>
        <w:t xml:space="preserve"> </w:t>
      </w:r>
      <w:r>
        <w:t>of</w:t>
      </w:r>
      <w:r>
        <w:rPr>
          <w:spacing w:val="-7"/>
        </w:rPr>
        <w:t xml:space="preserve"> </w:t>
      </w:r>
      <w:r>
        <w:t>Croatia</w:t>
      </w:r>
      <w:r>
        <w:rPr>
          <w:spacing w:val="-7"/>
        </w:rPr>
        <w:t xml:space="preserve"> </w:t>
      </w:r>
      <w:r>
        <w:t>for</w:t>
      </w:r>
      <w:r>
        <w:rPr>
          <w:spacing w:val="-8"/>
        </w:rPr>
        <w:t xml:space="preserve"> </w:t>
      </w:r>
      <w:r>
        <w:t>2020</w:t>
      </w:r>
      <w:r>
        <w:rPr>
          <w:spacing w:val="-6"/>
        </w:rPr>
        <w:t xml:space="preserve"> </w:t>
      </w:r>
      <w:r>
        <w:t>and</w:t>
      </w:r>
      <w:r>
        <w:rPr>
          <w:spacing w:val="-6"/>
        </w:rPr>
        <w:t xml:space="preserve"> </w:t>
      </w:r>
      <w:r>
        <w:t>the</w:t>
      </w:r>
      <w:r>
        <w:rPr>
          <w:spacing w:val="-7"/>
        </w:rPr>
        <w:t xml:space="preserve"> </w:t>
      </w:r>
      <w:r>
        <w:t>Annual</w:t>
      </w:r>
      <w:r>
        <w:rPr>
          <w:spacing w:val="-6"/>
        </w:rPr>
        <w:t xml:space="preserve"> </w:t>
      </w:r>
      <w:r>
        <w:t>Statistical</w:t>
      </w:r>
      <w:r>
        <w:rPr>
          <w:spacing w:val="-6"/>
        </w:rPr>
        <w:t xml:space="preserve"> </w:t>
      </w:r>
      <w:r>
        <w:t>Report</w:t>
      </w:r>
      <w:r>
        <w:rPr>
          <w:spacing w:val="-7"/>
        </w:rPr>
        <w:t xml:space="preserve"> </w:t>
      </w:r>
      <w:r>
        <w:t>on</w:t>
      </w:r>
      <w:r>
        <w:rPr>
          <w:spacing w:val="-6"/>
        </w:rPr>
        <w:t xml:space="preserve"> </w:t>
      </w:r>
      <w:r>
        <w:t>Social</w:t>
      </w:r>
      <w:r>
        <w:rPr>
          <w:spacing w:val="-6"/>
        </w:rPr>
        <w:t xml:space="preserve"> </w:t>
      </w:r>
      <w:r>
        <w:t>Welfare</w:t>
      </w:r>
      <w:r>
        <w:rPr>
          <w:spacing w:val="-7"/>
        </w:rPr>
        <w:t xml:space="preserve"> </w:t>
      </w:r>
      <w:r>
        <w:t>Homes</w:t>
      </w:r>
      <w:r>
        <w:rPr>
          <w:spacing w:val="-58"/>
        </w:rPr>
        <w:t xml:space="preserve"> </w:t>
      </w:r>
      <w:r>
        <w:t>and</w:t>
      </w:r>
      <w:r>
        <w:rPr>
          <w:spacing w:val="-1"/>
        </w:rPr>
        <w:t xml:space="preserve"> </w:t>
      </w:r>
      <w:r>
        <w:t>Social Welfare Users</w:t>
      </w:r>
      <w:r>
        <w:rPr>
          <w:spacing w:val="1"/>
        </w:rPr>
        <w:t xml:space="preserve"> </w:t>
      </w:r>
      <w:r>
        <w:t>for</w:t>
      </w:r>
      <w:r>
        <w:rPr>
          <w:spacing w:val="-2"/>
        </w:rPr>
        <w:t xml:space="preserve"> </w:t>
      </w:r>
      <w:r>
        <w:t>2020).</w:t>
      </w:r>
    </w:p>
    <w:p w:rsidR="00A56FE9" w:rsidRDefault="00000000">
      <w:pPr>
        <w:pStyle w:val="Tijeloteksta"/>
        <w:spacing w:before="121"/>
        <w:ind w:right="281"/>
      </w:pPr>
      <w:r>
        <w:t>Particular social services providers have expanded their activities to other groups, established</w:t>
      </w:r>
      <w:r>
        <w:rPr>
          <w:spacing w:val="1"/>
        </w:rPr>
        <w:t xml:space="preserve"> </w:t>
      </w:r>
      <w:r>
        <w:t>extra-institutional services which they have not provided in the past and have increased the</w:t>
      </w:r>
      <w:r>
        <w:rPr>
          <w:spacing w:val="1"/>
        </w:rPr>
        <w:t xml:space="preserve"> </w:t>
      </w:r>
      <w:r>
        <w:t>coverage of users of already existing services, given that the capacities were inadequate. The</w:t>
      </w:r>
      <w:r>
        <w:rPr>
          <w:spacing w:val="1"/>
        </w:rPr>
        <w:t xml:space="preserve"> </w:t>
      </w:r>
      <w:r>
        <w:t>achieved results is a change in the ratio of institutional and extra-institutional forms of care in</w:t>
      </w:r>
      <w:r>
        <w:rPr>
          <w:spacing w:val="1"/>
        </w:rPr>
        <w:t xml:space="preserve"> </w:t>
      </w:r>
      <w:r>
        <w:t>favour</w:t>
      </w:r>
      <w:r>
        <w:rPr>
          <w:spacing w:val="-2"/>
        </w:rPr>
        <w:t xml:space="preserve"> </w:t>
      </w:r>
      <w:r>
        <w:t>of the</w:t>
      </w:r>
      <w:r>
        <w:rPr>
          <w:spacing w:val="-2"/>
        </w:rPr>
        <w:t xml:space="preserve"> </w:t>
      </w:r>
      <w:r>
        <w:t>latter,</w:t>
      </w:r>
      <w:r>
        <w:rPr>
          <w:spacing w:val="-1"/>
        </w:rPr>
        <w:t xml:space="preserve"> </w:t>
      </w:r>
      <w:r>
        <w:t>except in relation</w:t>
      </w:r>
      <w:r>
        <w:rPr>
          <w:spacing w:val="-1"/>
        </w:rPr>
        <w:t xml:space="preserve"> </w:t>
      </w:r>
      <w:r>
        <w:t>to persons with psychological</w:t>
      </w:r>
      <w:r>
        <w:rPr>
          <w:spacing w:val="-1"/>
        </w:rPr>
        <w:t xml:space="preserve"> </w:t>
      </w:r>
      <w:r>
        <w:t>trauma.</w:t>
      </w:r>
    </w:p>
    <w:p w:rsidR="00A56FE9" w:rsidRDefault="00000000">
      <w:pPr>
        <w:pStyle w:val="Tijeloteksta"/>
        <w:spacing w:before="120"/>
        <w:ind w:right="273"/>
      </w:pPr>
      <w:r>
        <w:t>As support for the deinstitutionalisation process, EU funds were utilised. Within the scope of</w:t>
      </w:r>
      <w:r>
        <w:rPr>
          <w:spacing w:val="1"/>
        </w:rPr>
        <w:t xml:space="preserve"> </w:t>
      </w:r>
      <w:r>
        <w:t>the</w:t>
      </w:r>
      <w:r>
        <w:rPr>
          <w:spacing w:val="1"/>
        </w:rPr>
        <w:t xml:space="preserve"> </w:t>
      </w:r>
      <w:r>
        <w:t>Public</w:t>
      </w:r>
      <w:r>
        <w:rPr>
          <w:spacing w:val="1"/>
        </w:rPr>
        <w:t xml:space="preserve"> </w:t>
      </w:r>
      <w:r>
        <w:t>Call</w:t>
      </w:r>
      <w:r>
        <w:rPr>
          <w:spacing w:val="1"/>
        </w:rPr>
        <w:t xml:space="preserve"> </w:t>
      </w:r>
      <w:r>
        <w:t>for</w:t>
      </w:r>
      <w:r>
        <w:rPr>
          <w:spacing w:val="1"/>
        </w:rPr>
        <w:t xml:space="preserve"> </w:t>
      </w:r>
      <w:r>
        <w:t>Development,</w:t>
      </w:r>
      <w:r>
        <w:rPr>
          <w:spacing w:val="1"/>
        </w:rPr>
        <w:t xml:space="preserve"> </w:t>
      </w:r>
      <w:r>
        <w:t>Expansion</w:t>
      </w:r>
      <w:r>
        <w:rPr>
          <w:spacing w:val="1"/>
        </w:rPr>
        <w:t xml:space="preserve"> </w:t>
      </w:r>
      <w:r>
        <w:t>and</w:t>
      </w:r>
      <w:r>
        <w:rPr>
          <w:spacing w:val="1"/>
        </w:rPr>
        <w:t xml:space="preserve"> </w:t>
      </w:r>
      <w:r>
        <w:t>Improvement</w:t>
      </w:r>
      <w:r>
        <w:rPr>
          <w:spacing w:val="1"/>
        </w:rPr>
        <w:t xml:space="preserve"> </w:t>
      </w:r>
      <w:r>
        <w:t>of</w:t>
      </w:r>
      <w:r>
        <w:rPr>
          <w:spacing w:val="1"/>
        </w:rPr>
        <w:t xml:space="preserve"> </w:t>
      </w:r>
      <w:r>
        <w:t>the</w:t>
      </w:r>
      <w:r>
        <w:rPr>
          <w:spacing w:val="1"/>
        </w:rPr>
        <w:t xml:space="preserve"> </w:t>
      </w:r>
      <w:r>
        <w:t>Quality</w:t>
      </w:r>
      <w:r>
        <w:rPr>
          <w:spacing w:val="1"/>
        </w:rPr>
        <w:t xml:space="preserve"> </w:t>
      </w:r>
      <w:r>
        <w:t>of</w:t>
      </w:r>
      <w:r>
        <w:rPr>
          <w:spacing w:val="1"/>
        </w:rPr>
        <w:t xml:space="preserve"> </w:t>
      </w:r>
      <w:r>
        <w:t>Extra-</w:t>
      </w:r>
      <w:r>
        <w:rPr>
          <w:spacing w:val="-57"/>
        </w:rPr>
        <w:t xml:space="preserve"> </w:t>
      </w:r>
      <w:r>
        <w:t>Institutional</w:t>
      </w:r>
      <w:r>
        <w:rPr>
          <w:spacing w:val="-9"/>
        </w:rPr>
        <w:t xml:space="preserve"> </w:t>
      </w:r>
      <w:r>
        <w:t>Social</w:t>
      </w:r>
      <w:r>
        <w:rPr>
          <w:spacing w:val="-9"/>
        </w:rPr>
        <w:t xml:space="preserve"> </w:t>
      </w:r>
      <w:r>
        <w:t>Services</w:t>
      </w:r>
      <w:r>
        <w:rPr>
          <w:spacing w:val="-7"/>
        </w:rPr>
        <w:t xml:space="preserve"> </w:t>
      </w:r>
      <w:r>
        <w:t>as</w:t>
      </w:r>
      <w:r>
        <w:rPr>
          <w:spacing w:val="-8"/>
        </w:rPr>
        <w:t xml:space="preserve"> </w:t>
      </w:r>
      <w:r>
        <w:t>Support</w:t>
      </w:r>
      <w:r>
        <w:rPr>
          <w:spacing w:val="-7"/>
        </w:rPr>
        <w:t xml:space="preserve"> </w:t>
      </w:r>
      <w:r>
        <w:t>for</w:t>
      </w:r>
      <w:r>
        <w:rPr>
          <w:spacing w:val="-9"/>
        </w:rPr>
        <w:t xml:space="preserve"> </w:t>
      </w:r>
      <w:r>
        <w:t>the</w:t>
      </w:r>
      <w:r>
        <w:rPr>
          <w:spacing w:val="-8"/>
        </w:rPr>
        <w:t xml:space="preserve"> </w:t>
      </w:r>
      <w:r>
        <w:t>Deinstitutionalisation</w:t>
      </w:r>
      <w:r>
        <w:rPr>
          <w:spacing w:val="-11"/>
        </w:rPr>
        <w:t xml:space="preserve"> </w:t>
      </w:r>
      <w:r>
        <w:t>Process</w:t>
      </w:r>
      <w:r>
        <w:rPr>
          <w:spacing w:val="-8"/>
        </w:rPr>
        <w:t xml:space="preserve"> </w:t>
      </w:r>
      <w:r>
        <w:t>(HRK</w:t>
      </w:r>
      <w:r>
        <w:rPr>
          <w:spacing w:val="-8"/>
        </w:rPr>
        <w:t xml:space="preserve"> </w:t>
      </w:r>
      <w:r>
        <w:t>90</w:t>
      </w:r>
      <w:r>
        <w:rPr>
          <w:spacing w:val="-9"/>
        </w:rPr>
        <w:t xml:space="preserve"> </w:t>
      </w:r>
      <w:r>
        <w:t>million,</w:t>
      </w:r>
      <w:r>
        <w:rPr>
          <w:spacing w:val="-57"/>
        </w:rPr>
        <w:t xml:space="preserve"> </w:t>
      </w:r>
      <w:r>
        <w:t>85% ESF) in 2021, a total of 22 projects were implemented at a total value of HRK 88.84</w:t>
      </w:r>
      <w:r>
        <w:rPr>
          <w:spacing w:val="1"/>
        </w:rPr>
        <w:t xml:space="preserve"> </w:t>
      </w:r>
      <w:r>
        <w:t>million</w:t>
      </w:r>
      <w:r>
        <w:rPr>
          <w:spacing w:val="-2"/>
        </w:rPr>
        <w:t xml:space="preserve"> </w:t>
      </w:r>
      <w:r>
        <w:t>and</w:t>
      </w:r>
      <w:r>
        <w:rPr>
          <w:spacing w:val="-4"/>
        </w:rPr>
        <w:t xml:space="preserve"> </w:t>
      </w:r>
      <w:r>
        <w:t>directed</w:t>
      </w:r>
      <w:r>
        <w:rPr>
          <w:spacing w:val="-1"/>
        </w:rPr>
        <w:t xml:space="preserve"> </w:t>
      </w:r>
      <w:r>
        <w:t>to</w:t>
      </w:r>
      <w:r>
        <w:rPr>
          <w:spacing w:val="-1"/>
        </w:rPr>
        <w:t xml:space="preserve"> </w:t>
      </w:r>
      <w:r>
        <w:t>the</w:t>
      </w:r>
      <w:r>
        <w:rPr>
          <w:spacing w:val="-2"/>
        </w:rPr>
        <w:t xml:space="preserve"> </w:t>
      </w:r>
      <w:r>
        <w:t>process</w:t>
      </w:r>
      <w:r>
        <w:rPr>
          <w:spacing w:val="-2"/>
        </w:rPr>
        <w:t xml:space="preserve"> </w:t>
      </w:r>
      <w:r>
        <w:t>of</w:t>
      </w:r>
      <w:r>
        <w:rPr>
          <w:spacing w:val="-1"/>
        </w:rPr>
        <w:t xml:space="preserve"> </w:t>
      </w:r>
      <w:r>
        <w:t>the</w:t>
      </w:r>
      <w:r>
        <w:rPr>
          <w:spacing w:val="-1"/>
        </w:rPr>
        <w:t xml:space="preserve"> </w:t>
      </w:r>
      <w:r>
        <w:t>deinstitutionalisation</w:t>
      </w:r>
      <w:r>
        <w:rPr>
          <w:spacing w:val="-1"/>
        </w:rPr>
        <w:t xml:space="preserve"> </w:t>
      </w:r>
      <w:r>
        <w:t>of</w:t>
      </w:r>
      <w:r>
        <w:rPr>
          <w:spacing w:val="-2"/>
        </w:rPr>
        <w:t xml:space="preserve"> </w:t>
      </w:r>
      <w:r>
        <w:t>vulnerable</w:t>
      </w:r>
      <w:r>
        <w:rPr>
          <w:spacing w:val="-2"/>
        </w:rPr>
        <w:t xml:space="preserve"> </w:t>
      </w:r>
      <w:r>
        <w:t>groups.</w:t>
      </w:r>
      <w:r>
        <w:rPr>
          <w:spacing w:val="-1"/>
        </w:rPr>
        <w:t xml:space="preserve"> </w:t>
      </w:r>
      <w:r>
        <w:t>A</w:t>
      </w:r>
      <w:r>
        <w:rPr>
          <w:spacing w:val="-1"/>
        </w:rPr>
        <w:t xml:space="preserve"> </w:t>
      </w:r>
      <w:r>
        <w:t>total</w:t>
      </w:r>
      <w:r>
        <w:rPr>
          <w:spacing w:val="-1"/>
        </w:rPr>
        <w:t xml:space="preserve"> </w:t>
      </w:r>
      <w:r>
        <w:t>of</w:t>
      </w:r>
      <w:r>
        <w:rPr>
          <w:spacing w:val="-58"/>
        </w:rPr>
        <w:t xml:space="preserve"> </w:t>
      </w:r>
      <w:r>
        <w:t>21 projects involving social welfare institutes with a total value of HRK 180.47 million based</w:t>
      </w:r>
      <w:r>
        <w:rPr>
          <w:spacing w:val="1"/>
        </w:rPr>
        <w:t xml:space="preserve"> </w:t>
      </w:r>
      <w:r>
        <w:t>on</w:t>
      </w:r>
      <w:r>
        <w:rPr>
          <w:spacing w:val="1"/>
        </w:rPr>
        <w:t xml:space="preserve"> </w:t>
      </w:r>
      <w:r>
        <w:t>the</w:t>
      </w:r>
      <w:r>
        <w:rPr>
          <w:spacing w:val="1"/>
        </w:rPr>
        <w:t xml:space="preserve"> </w:t>
      </w:r>
      <w:r>
        <w:t>ESF</w:t>
      </w:r>
      <w:r>
        <w:rPr>
          <w:spacing w:val="1"/>
        </w:rPr>
        <w:t xml:space="preserve"> </w:t>
      </w:r>
      <w:r>
        <w:t>tender</w:t>
      </w:r>
      <w:r>
        <w:rPr>
          <w:spacing w:val="1"/>
        </w:rPr>
        <w:t xml:space="preserve"> </w:t>
      </w:r>
      <w:r>
        <w:t>Support</w:t>
      </w:r>
      <w:r>
        <w:rPr>
          <w:spacing w:val="1"/>
        </w:rPr>
        <w:t xml:space="preserve"> </w:t>
      </w:r>
      <w:r>
        <w:t>for</w:t>
      </w:r>
      <w:r>
        <w:rPr>
          <w:spacing w:val="1"/>
        </w:rPr>
        <w:t xml:space="preserve"> </w:t>
      </w:r>
      <w:r>
        <w:t>the</w:t>
      </w:r>
      <w:r>
        <w:rPr>
          <w:spacing w:val="1"/>
        </w:rPr>
        <w:t xml:space="preserve"> </w:t>
      </w:r>
      <w:r>
        <w:t>Process</w:t>
      </w:r>
      <w:r>
        <w:rPr>
          <w:spacing w:val="1"/>
        </w:rPr>
        <w:t xml:space="preserve"> </w:t>
      </w:r>
      <w:r>
        <w:t>of</w:t>
      </w:r>
      <w:r>
        <w:rPr>
          <w:spacing w:val="1"/>
        </w:rPr>
        <w:t xml:space="preserve"> </w:t>
      </w:r>
      <w:r>
        <w:t>Deinstitutionalisation</w:t>
      </w:r>
      <w:r>
        <w:rPr>
          <w:spacing w:val="1"/>
        </w:rPr>
        <w:t xml:space="preserve"> </w:t>
      </w:r>
      <w:r>
        <w:t>and</w:t>
      </w:r>
      <w:r>
        <w:rPr>
          <w:spacing w:val="1"/>
        </w:rPr>
        <w:t xml:space="preserve"> </w:t>
      </w:r>
      <w:r>
        <w:t>Preventing</w:t>
      </w:r>
      <w:r>
        <w:rPr>
          <w:spacing w:val="1"/>
        </w:rPr>
        <w:t xml:space="preserve"> </w:t>
      </w:r>
      <w:r>
        <w:t>Deinstitutionalisation of Children and the Youth (HRK 63 million, 85% ESF) and Support for</w:t>
      </w:r>
      <w:r>
        <w:rPr>
          <w:spacing w:val="-57"/>
        </w:rPr>
        <w:t xml:space="preserve"> </w:t>
      </w:r>
      <w:r>
        <w:t>the</w:t>
      </w:r>
      <w:r>
        <w:rPr>
          <w:spacing w:val="-12"/>
        </w:rPr>
        <w:t xml:space="preserve"> </w:t>
      </w:r>
      <w:r>
        <w:t>Ongoing</w:t>
      </w:r>
      <w:r>
        <w:rPr>
          <w:spacing w:val="-13"/>
        </w:rPr>
        <w:t xml:space="preserve"> </w:t>
      </w:r>
      <w:r>
        <w:t>Process</w:t>
      </w:r>
      <w:r>
        <w:rPr>
          <w:spacing w:val="-11"/>
        </w:rPr>
        <w:t xml:space="preserve"> </w:t>
      </w:r>
      <w:r>
        <w:t>of</w:t>
      </w:r>
      <w:r>
        <w:rPr>
          <w:spacing w:val="-12"/>
        </w:rPr>
        <w:t xml:space="preserve"> </w:t>
      </w:r>
      <w:r>
        <w:t>the</w:t>
      </w:r>
      <w:r>
        <w:rPr>
          <w:spacing w:val="-11"/>
        </w:rPr>
        <w:t xml:space="preserve"> </w:t>
      </w:r>
      <w:r>
        <w:t>Deinstitutionalisation</w:t>
      </w:r>
      <w:r>
        <w:rPr>
          <w:spacing w:val="-11"/>
        </w:rPr>
        <w:t xml:space="preserve"> </w:t>
      </w:r>
      <w:r>
        <w:t>and</w:t>
      </w:r>
      <w:r>
        <w:rPr>
          <w:spacing w:val="-11"/>
        </w:rPr>
        <w:t xml:space="preserve"> </w:t>
      </w:r>
      <w:r>
        <w:t>Transformation</w:t>
      </w:r>
      <w:r>
        <w:rPr>
          <w:spacing w:val="-11"/>
        </w:rPr>
        <w:t xml:space="preserve"> </w:t>
      </w:r>
      <w:r>
        <w:t>of</w:t>
      </w:r>
      <w:r>
        <w:rPr>
          <w:spacing w:val="-12"/>
        </w:rPr>
        <w:t xml:space="preserve"> </w:t>
      </w:r>
      <w:r>
        <w:t>Social</w:t>
      </w:r>
      <w:r>
        <w:rPr>
          <w:spacing w:val="-11"/>
        </w:rPr>
        <w:t xml:space="preserve"> </w:t>
      </w:r>
      <w:r>
        <w:t>Welfare</w:t>
      </w:r>
      <w:r>
        <w:rPr>
          <w:spacing w:val="-12"/>
        </w:rPr>
        <w:t xml:space="preserve"> </w:t>
      </w:r>
      <w:r>
        <w:t>Homes</w:t>
      </w:r>
      <w:r>
        <w:rPr>
          <w:spacing w:val="-58"/>
        </w:rPr>
        <w:t xml:space="preserve"> </w:t>
      </w:r>
      <w:r>
        <w:t>for Persons with Disabilities (HRK 135 million, 85% ESF). The project has provided services</w:t>
      </w:r>
      <w:r>
        <w:rPr>
          <w:spacing w:val="1"/>
        </w:rPr>
        <w:t xml:space="preserve"> </w:t>
      </w:r>
      <w:r>
        <w:rPr>
          <w:spacing w:val="-1"/>
        </w:rPr>
        <w:t>within</w:t>
      </w:r>
      <w:r>
        <w:rPr>
          <w:spacing w:val="-10"/>
        </w:rPr>
        <w:t xml:space="preserve"> </w:t>
      </w:r>
      <w:r>
        <w:t>the</w:t>
      </w:r>
      <w:r>
        <w:rPr>
          <w:spacing w:val="-11"/>
        </w:rPr>
        <w:t xml:space="preserve"> </w:t>
      </w:r>
      <w:r>
        <w:t>community</w:t>
      </w:r>
      <w:r>
        <w:rPr>
          <w:spacing w:val="-17"/>
        </w:rPr>
        <w:t xml:space="preserve"> </w:t>
      </w:r>
      <w:r>
        <w:t>until</w:t>
      </w:r>
      <w:r>
        <w:rPr>
          <w:spacing w:val="-10"/>
        </w:rPr>
        <w:t xml:space="preserve"> </w:t>
      </w:r>
      <w:r>
        <w:t>the</w:t>
      </w:r>
      <w:r>
        <w:rPr>
          <w:spacing w:val="-11"/>
        </w:rPr>
        <w:t xml:space="preserve"> </w:t>
      </w:r>
      <w:r>
        <w:t>end</w:t>
      </w:r>
      <w:r>
        <w:rPr>
          <w:spacing w:val="-10"/>
        </w:rPr>
        <w:t xml:space="preserve"> </w:t>
      </w:r>
      <w:r>
        <w:t>of</w:t>
      </w:r>
      <w:r>
        <w:rPr>
          <w:spacing w:val="-11"/>
        </w:rPr>
        <w:t xml:space="preserve"> </w:t>
      </w:r>
      <w:r>
        <w:t>2021</w:t>
      </w:r>
      <w:r>
        <w:rPr>
          <w:spacing w:val="-10"/>
        </w:rPr>
        <w:t xml:space="preserve"> </w:t>
      </w:r>
      <w:r>
        <w:t>for</w:t>
      </w:r>
      <w:r>
        <w:rPr>
          <w:spacing w:val="-12"/>
        </w:rPr>
        <w:t xml:space="preserve"> </w:t>
      </w:r>
      <w:r>
        <w:t>700</w:t>
      </w:r>
      <w:r>
        <w:rPr>
          <w:spacing w:val="-10"/>
        </w:rPr>
        <w:t xml:space="preserve"> </w:t>
      </w:r>
      <w:r>
        <w:t>children</w:t>
      </w:r>
      <w:r>
        <w:rPr>
          <w:spacing w:val="-10"/>
        </w:rPr>
        <w:t xml:space="preserve"> </w:t>
      </w:r>
      <w:r>
        <w:t>and</w:t>
      </w:r>
      <w:r>
        <w:rPr>
          <w:spacing w:val="-5"/>
        </w:rPr>
        <w:t xml:space="preserve"> </w:t>
      </w:r>
      <w:r>
        <w:t>young,</w:t>
      </w:r>
      <w:r>
        <w:rPr>
          <w:spacing w:val="-9"/>
        </w:rPr>
        <w:t xml:space="preserve"> </w:t>
      </w:r>
      <w:r>
        <w:t>including</w:t>
      </w:r>
      <w:r>
        <w:rPr>
          <w:spacing w:val="-12"/>
        </w:rPr>
        <w:t xml:space="preserve"> </w:t>
      </w:r>
      <w:r>
        <w:t>1113</w:t>
      </w:r>
      <w:r>
        <w:rPr>
          <w:spacing w:val="-10"/>
        </w:rPr>
        <w:t xml:space="preserve"> </w:t>
      </w:r>
      <w:r>
        <w:t>persons</w:t>
      </w:r>
      <w:r>
        <w:rPr>
          <w:spacing w:val="-58"/>
        </w:rPr>
        <w:t xml:space="preserve"> </w:t>
      </w:r>
      <w:r>
        <w:t>with disabilities. Funds from the EFRR have secured infrastructural conditions and equipment</w:t>
      </w:r>
      <w:r>
        <w:rPr>
          <w:spacing w:val="-57"/>
        </w:rPr>
        <w:t xml:space="preserve"> </w:t>
      </w:r>
      <w:r>
        <w:t>for the deinstitutionalisation</w:t>
      </w:r>
      <w:r>
        <w:rPr>
          <w:spacing w:val="1"/>
        </w:rPr>
        <w:t xml:space="preserve"> </w:t>
      </w:r>
      <w:r>
        <w:t>process.</w:t>
      </w:r>
      <w:r>
        <w:rPr>
          <w:spacing w:val="1"/>
        </w:rPr>
        <w:t xml:space="preserve"> </w:t>
      </w:r>
      <w:r>
        <w:t>Hence,</w:t>
      </w:r>
      <w:r>
        <w:rPr>
          <w:spacing w:val="1"/>
        </w:rPr>
        <w:t xml:space="preserve"> </w:t>
      </w:r>
      <w:r>
        <w:t>in</w:t>
      </w:r>
      <w:r>
        <w:rPr>
          <w:spacing w:val="1"/>
        </w:rPr>
        <w:t xml:space="preserve"> </w:t>
      </w:r>
      <w:r>
        <w:t>2021</w:t>
      </w:r>
      <w:r>
        <w:rPr>
          <w:spacing w:val="1"/>
        </w:rPr>
        <w:t xml:space="preserve"> </w:t>
      </w:r>
      <w:r>
        <w:t>and</w:t>
      </w:r>
      <w:r>
        <w:rPr>
          <w:spacing w:val="1"/>
        </w:rPr>
        <w:t xml:space="preserve"> </w:t>
      </w:r>
      <w:r>
        <w:t>2022,</w:t>
      </w:r>
      <w:r>
        <w:rPr>
          <w:spacing w:val="1"/>
        </w:rPr>
        <w:t xml:space="preserve"> </w:t>
      </w:r>
      <w:r>
        <w:t>in</w:t>
      </w:r>
      <w:r>
        <w:rPr>
          <w:spacing w:val="1"/>
        </w:rPr>
        <w:t xml:space="preserve"> </w:t>
      </w:r>
      <w:r>
        <w:t>all,</w:t>
      </w:r>
      <w:r>
        <w:rPr>
          <w:spacing w:val="1"/>
        </w:rPr>
        <w:t xml:space="preserve"> </w:t>
      </w:r>
      <w:r>
        <w:t>59</w:t>
      </w:r>
      <w:r>
        <w:rPr>
          <w:spacing w:val="1"/>
        </w:rPr>
        <w:t xml:space="preserve"> </w:t>
      </w:r>
      <w:r>
        <w:t>projects</w:t>
      </w:r>
      <w:r>
        <w:rPr>
          <w:spacing w:val="1"/>
        </w:rPr>
        <w:t xml:space="preserve"> </w:t>
      </w:r>
      <w:r>
        <w:t>were</w:t>
      </w:r>
      <w:r>
        <w:rPr>
          <w:spacing w:val="1"/>
        </w:rPr>
        <w:t xml:space="preserve"> </w:t>
      </w:r>
      <w:r>
        <w:t>contracted at a total value of HRK 634.38 million within the scope of the Public Call for</w:t>
      </w:r>
      <w:r>
        <w:rPr>
          <w:spacing w:val="1"/>
        </w:rPr>
        <w:t xml:space="preserve"> </w:t>
      </w:r>
      <w:r>
        <w:t>Improving Infrastructure for Providing Social Services in the Community as Support for the</w:t>
      </w:r>
      <w:r>
        <w:rPr>
          <w:spacing w:val="1"/>
        </w:rPr>
        <w:t xml:space="preserve"> </w:t>
      </w:r>
      <w:r>
        <w:t>Deinstitutionalisation</w:t>
      </w:r>
      <w:r>
        <w:rPr>
          <w:spacing w:val="-1"/>
        </w:rPr>
        <w:t xml:space="preserve"> </w:t>
      </w:r>
      <w:r>
        <w:t>Process</w:t>
      </w:r>
      <w:r>
        <w:rPr>
          <w:spacing w:val="1"/>
        </w:rPr>
        <w:t xml:space="preserve"> </w:t>
      </w:r>
      <w:r>
        <w:t>– Phase</w:t>
      </w:r>
      <w:r>
        <w:rPr>
          <w:spacing w:val="-2"/>
        </w:rPr>
        <w:t xml:space="preserve"> </w:t>
      </w:r>
      <w:r>
        <w:t>Two</w:t>
      </w:r>
      <w:r>
        <w:rPr>
          <w:spacing w:val="2"/>
        </w:rPr>
        <w:t xml:space="preserve"> </w:t>
      </w:r>
      <w:r>
        <w:t>(HRK</w:t>
      </w:r>
      <w:r>
        <w:rPr>
          <w:spacing w:val="-1"/>
        </w:rPr>
        <w:t xml:space="preserve"> </w:t>
      </w:r>
      <w:r>
        <w:t>616.2 million</w:t>
      </w:r>
      <w:r>
        <w:rPr>
          <w:spacing w:val="-1"/>
        </w:rPr>
        <w:t xml:space="preserve"> </w:t>
      </w:r>
      <w:r>
        <w:t>from EFRR).</w:t>
      </w:r>
    </w:p>
    <w:p w:rsidR="00A56FE9" w:rsidRDefault="00000000">
      <w:pPr>
        <w:pStyle w:val="Tijeloteksta"/>
        <w:spacing w:before="119"/>
        <w:ind w:right="272"/>
      </w:pPr>
      <w:r>
        <w:t>Also,</w:t>
      </w:r>
      <w:r>
        <w:rPr>
          <w:spacing w:val="-6"/>
        </w:rPr>
        <w:t xml:space="preserve"> </w:t>
      </w:r>
      <w:r>
        <w:t>in</w:t>
      </w:r>
      <w:r>
        <w:rPr>
          <w:spacing w:val="-5"/>
        </w:rPr>
        <w:t xml:space="preserve"> </w:t>
      </w:r>
      <w:r>
        <w:t>2021</w:t>
      </w:r>
      <w:r>
        <w:rPr>
          <w:spacing w:val="-5"/>
        </w:rPr>
        <w:t xml:space="preserve"> </w:t>
      </w:r>
      <w:r>
        <w:t>and</w:t>
      </w:r>
      <w:r>
        <w:rPr>
          <w:spacing w:val="-5"/>
        </w:rPr>
        <w:t xml:space="preserve"> </w:t>
      </w:r>
      <w:r>
        <w:t>2022,</w:t>
      </w:r>
      <w:r>
        <w:rPr>
          <w:spacing w:val="-1"/>
        </w:rPr>
        <w:t xml:space="preserve"> </w:t>
      </w:r>
      <w:r>
        <w:t>projects</w:t>
      </w:r>
      <w:r>
        <w:rPr>
          <w:spacing w:val="-5"/>
        </w:rPr>
        <w:t xml:space="preserve"> </w:t>
      </w:r>
      <w:r>
        <w:t>contracted</w:t>
      </w:r>
      <w:r>
        <w:rPr>
          <w:spacing w:val="-4"/>
        </w:rPr>
        <w:t xml:space="preserve"> </w:t>
      </w:r>
      <w:r>
        <w:t>through</w:t>
      </w:r>
      <w:r>
        <w:rPr>
          <w:spacing w:val="-5"/>
        </w:rPr>
        <w:t xml:space="preserve"> </w:t>
      </w:r>
      <w:r>
        <w:t>the</w:t>
      </w:r>
      <w:r>
        <w:rPr>
          <w:spacing w:val="-6"/>
        </w:rPr>
        <w:t xml:space="preserve"> </w:t>
      </w:r>
      <w:r>
        <w:t>previously</w:t>
      </w:r>
      <w:r>
        <w:rPr>
          <w:spacing w:val="-10"/>
        </w:rPr>
        <w:t xml:space="preserve"> </w:t>
      </w:r>
      <w:r>
        <w:t>published</w:t>
      </w:r>
      <w:r>
        <w:rPr>
          <w:spacing w:val="-5"/>
        </w:rPr>
        <w:t xml:space="preserve"> </w:t>
      </w:r>
      <w:r>
        <w:t>Calls</w:t>
      </w:r>
      <w:r>
        <w:rPr>
          <w:spacing w:val="-5"/>
        </w:rPr>
        <w:t xml:space="preserve"> </w:t>
      </w:r>
      <w:r>
        <w:t>(Improving</w:t>
      </w:r>
      <w:r>
        <w:rPr>
          <w:spacing w:val="-57"/>
        </w:rPr>
        <w:t xml:space="preserve"> </w:t>
      </w:r>
      <w:r>
        <w:t>Infrastructure for Providing Social Services in the Community for Persons with Disabilities as</w:t>
      </w:r>
      <w:r>
        <w:rPr>
          <w:spacing w:val="-57"/>
        </w:rPr>
        <w:t xml:space="preserve"> </w:t>
      </w:r>
      <w:r>
        <w:t>Support for the Deinstitutionalization Process - Phase I, Improving Infrastructure for the</w:t>
      </w:r>
      <w:r>
        <w:rPr>
          <w:spacing w:val="1"/>
        </w:rPr>
        <w:t xml:space="preserve"> </w:t>
      </w:r>
      <w:r>
        <w:t>Purpose</w:t>
      </w:r>
      <w:r>
        <w:rPr>
          <w:spacing w:val="1"/>
        </w:rPr>
        <w:t xml:space="preserve"> </w:t>
      </w:r>
      <w:r>
        <w:t>of</w:t>
      </w:r>
      <w:r>
        <w:rPr>
          <w:spacing w:val="1"/>
        </w:rPr>
        <w:t xml:space="preserve"> </w:t>
      </w:r>
      <w:r>
        <w:t>Providing</w:t>
      </w:r>
      <w:r>
        <w:rPr>
          <w:spacing w:val="1"/>
        </w:rPr>
        <w:t xml:space="preserve"> </w:t>
      </w:r>
      <w:r>
        <w:t>Social</w:t>
      </w:r>
      <w:r>
        <w:rPr>
          <w:spacing w:val="1"/>
        </w:rPr>
        <w:t xml:space="preserve"> </w:t>
      </w:r>
      <w:r>
        <w:t>Services</w:t>
      </w:r>
      <w:r>
        <w:rPr>
          <w:spacing w:val="1"/>
        </w:rPr>
        <w:t xml:space="preserve"> </w:t>
      </w:r>
      <w:r>
        <w:t>for</w:t>
      </w:r>
      <w:r>
        <w:rPr>
          <w:spacing w:val="1"/>
        </w:rPr>
        <w:t xml:space="preserve"> </w:t>
      </w:r>
      <w:r>
        <w:t>Children</w:t>
      </w:r>
      <w:r>
        <w:rPr>
          <w:spacing w:val="1"/>
        </w:rPr>
        <w:t xml:space="preserve"> </w:t>
      </w:r>
      <w:r>
        <w:t>and</w:t>
      </w:r>
      <w:r>
        <w:rPr>
          <w:spacing w:val="1"/>
        </w:rPr>
        <w:t xml:space="preserve"> </w:t>
      </w:r>
      <w:r>
        <w:t>Youth</w:t>
      </w:r>
      <w:r>
        <w:rPr>
          <w:spacing w:val="1"/>
        </w:rPr>
        <w:t xml:space="preserve"> </w:t>
      </w:r>
      <w:r>
        <w:t>as</w:t>
      </w:r>
      <w:r>
        <w:rPr>
          <w:spacing w:val="1"/>
        </w:rPr>
        <w:t xml:space="preserve"> </w:t>
      </w:r>
      <w:r>
        <w:t>Support</w:t>
      </w:r>
      <w:r>
        <w:rPr>
          <w:spacing w:val="1"/>
        </w:rPr>
        <w:t xml:space="preserve"> </w:t>
      </w:r>
      <w:r>
        <w:t>for</w:t>
      </w:r>
      <w:r>
        <w:rPr>
          <w:spacing w:val="1"/>
        </w:rPr>
        <w:t xml:space="preserve"> </w:t>
      </w:r>
      <w:r>
        <w:t>the</w:t>
      </w:r>
      <w:r>
        <w:rPr>
          <w:spacing w:val="1"/>
        </w:rPr>
        <w:t xml:space="preserve"> </w:t>
      </w:r>
      <w:r>
        <w:t>Deinstitutionalization Process - Phase I, Improving Infrastructure of Social Welfare Centres as</w:t>
      </w:r>
      <w:r>
        <w:rPr>
          <w:spacing w:val="-58"/>
        </w:rPr>
        <w:t xml:space="preserve"> </w:t>
      </w:r>
      <w:r>
        <w:t>Support</w:t>
      </w:r>
      <w:r>
        <w:rPr>
          <w:spacing w:val="1"/>
        </w:rPr>
        <w:t xml:space="preserve"> </w:t>
      </w:r>
      <w:r>
        <w:t>for</w:t>
      </w:r>
      <w:r>
        <w:rPr>
          <w:spacing w:val="-1"/>
        </w:rPr>
        <w:t xml:space="preserve"> </w:t>
      </w:r>
      <w:r>
        <w:t>the</w:t>
      </w:r>
      <w:r>
        <w:rPr>
          <w:spacing w:val="3"/>
        </w:rPr>
        <w:t xml:space="preserve"> </w:t>
      </w:r>
      <w:r>
        <w:t>Deinstitutionalization</w:t>
      </w:r>
      <w:r>
        <w:rPr>
          <w:spacing w:val="2"/>
        </w:rPr>
        <w:t xml:space="preserve"> </w:t>
      </w:r>
      <w:r>
        <w:t>Process</w:t>
      </w:r>
      <w:r>
        <w:rPr>
          <w:spacing w:val="5"/>
        </w:rPr>
        <w:t xml:space="preserve"> </w:t>
      </w:r>
      <w:r>
        <w:t>- Phase</w:t>
      </w:r>
      <w:r>
        <w:rPr>
          <w:spacing w:val="2"/>
        </w:rPr>
        <w:t xml:space="preserve"> </w:t>
      </w:r>
      <w:r>
        <w:t>I).</w:t>
      </w:r>
      <w:r>
        <w:rPr>
          <w:spacing w:val="2"/>
        </w:rPr>
        <w:t xml:space="preserve"> </w:t>
      </w:r>
      <w:r>
        <w:t>A total</w:t>
      </w:r>
      <w:r>
        <w:rPr>
          <w:spacing w:val="1"/>
        </w:rPr>
        <w:t xml:space="preserve"> </w:t>
      </w:r>
      <w:r>
        <w:t>of 19</w:t>
      </w:r>
      <w:r>
        <w:rPr>
          <w:spacing w:val="2"/>
        </w:rPr>
        <w:t xml:space="preserve"> </w:t>
      </w:r>
      <w:r>
        <w:t>projects</w:t>
      </w:r>
      <w:r>
        <w:rPr>
          <w:spacing w:val="1"/>
        </w:rPr>
        <w:t xml:space="preserve"> </w:t>
      </w:r>
      <w:r>
        <w:t>valued</w:t>
      </w:r>
      <w:r>
        <w:rPr>
          <w:spacing w:val="3"/>
        </w:rPr>
        <w:t xml:space="preserve"> </w:t>
      </w:r>
      <w:r>
        <w:t>at</w:t>
      </w:r>
      <w:r>
        <w:rPr>
          <w:spacing w:val="1"/>
        </w:rPr>
        <w:t xml:space="preserve"> </w:t>
      </w:r>
      <w:r>
        <w:t>HRK</w:t>
      </w:r>
    </w:p>
    <w:p w:rsidR="00A56FE9" w:rsidRDefault="00000000">
      <w:pPr>
        <w:pStyle w:val="Tijeloteksta"/>
      </w:pPr>
      <w:r>
        <w:t>112.16</w:t>
      </w:r>
      <w:r>
        <w:rPr>
          <w:spacing w:val="-1"/>
        </w:rPr>
        <w:t xml:space="preserve"> </w:t>
      </w:r>
      <w:r>
        <w:t>million</w:t>
      </w:r>
      <w:r>
        <w:rPr>
          <w:spacing w:val="-1"/>
        </w:rPr>
        <w:t xml:space="preserve"> </w:t>
      </w:r>
      <w:r>
        <w:t>were</w:t>
      </w:r>
      <w:r>
        <w:rPr>
          <w:spacing w:val="-3"/>
        </w:rPr>
        <w:t xml:space="preserve"> </w:t>
      </w:r>
      <w:r>
        <w:t>contracted</w:t>
      </w:r>
      <w:r>
        <w:rPr>
          <w:spacing w:val="-1"/>
        </w:rPr>
        <w:t xml:space="preserve"> </w:t>
      </w:r>
      <w:r>
        <w:t>through</w:t>
      </w:r>
      <w:r>
        <w:rPr>
          <w:spacing w:val="-1"/>
        </w:rPr>
        <w:t xml:space="preserve"> </w:t>
      </w:r>
      <w:r>
        <w:t>these</w:t>
      </w:r>
      <w:r>
        <w:rPr>
          <w:spacing w:val="-2"/>
        </w:rPr>
        <w:t xml:space="preserve"> </w:t>
      </w:r>
      <w:r>
        <w:t>calls.</w:t>
      </w:r>
    </w:p>
    <w:p w:rsidR="00A56FE9" w:rsidRDefault="00A56FE9">
      <w:pPr>
        <w:pStyle w:val="Tijeloteksta"/>
        <w:spacing w:before="3"/>
        <w:ind w:left="0"/>
        <w:jc w:val="left"/>
        <w:rPr>
          <w:sz w:val="21"/>
        </w:rPr>
      </w:pPr>
    </w:p>
    <w:p w:rsidR="00A56FE9" w:rsidRDefault="00CC1B9B">
      <w:pPr>
        <w:pStyle w:val="Naslov5"/>
      </w:pPr>
      <w:r>
        <w:rPr>
          <w:noProof/>
        </w:rPr>
        <mc:AlternateContent>
          <mc:Choice Requires="wps">
            <w:drawing>
              <wp:anchor distT="0" distB="0" distL="0" distR="0" simplePos="0" relativeHeight="487666176" behindDoc="1" locked="0" layoutInCell="1" allowOverlap="1">
                <wp:simplePos x="0" y="0"/>
                <wp:positionH relativeFrom="page">
                  <wp:posOffset>882650</wp:posOffset>
                </wp:positionH>
                <wp:positionV relativeFrom="paragraph">
                  <wp:posOffset>189230</wp:posOffset>
                </wp:positionV>
                <wp:extent cx="2915920" cy="12065"/>
                <wp:effectExtent l="0" t="0" r="0" b="0"/>
                <wp:wrapTopAndBottom/>
                <wp:docPr id="1098507674"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17CB4" id="Rectangle 105" o:spid="_x0000_s1026" style="position:absolute;margin-left:69.5pt;margin-top:14.9pt;width:229.6pt;height:.95pt;z-index:-15650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" fillcolor="#2c398a" stroked="f">
                <w10:wrap type="topAndBottom" anchorx="page"/>
              </v:rect>
            </w:pict>
          </mc:Fallback>
        </mc:AlternateContent>
      </w:r>
      <w:r w:rsidR="00000000">
        <w:t>Planned</w:t>
      </w:r>
      <w:r w:rsidR="00000000">
        <w:rPr>
          <w:spacing w:val="-2"/>
        </w:rPr>
        <w:t xml:space="preserve"> </w:t>
      </w:r>
      <w:r w:rsidR="00000000">
        <w:t>NRRP</w:t>
      </w:r>
      <w:r w:rsidR="00000000">
        <w:rPr>
          <w:spacing w:val="-5"/>
        </w:rPr>
        <w:t xml:space="preserve"> </w:t>
      </w:r>
      <w:r w:rsidR="00000000">
        <w:t>reforms and</w:t>
      </w:r>
      <w:r w:rsidR="00000000">
        <w:rPr>
          <w:spacing w:val="-2"/>
        </w:rPr>
        <w:t xml:space="preserve"> </w:t>
      </w:r>
      <w:r w:rsidR="00000000">
        <w:t>investments</w:t>
      </w:r>
    </w:p>
    <w:p w:rsidR="00A56FE9" w:rsidRDefault="00000000">
      <w:pPr>
        <w:spacing w:before="126"/>
        <w:ind w:left="138" w:right="275"/>
        <w:jc w:val="both"/>
        <w:rPr>
          <w:sz w:val="24"/>
        </w:rPr>
      </w:pPr>
      <w:r>
        <w:rPr>
          <w:sz w:val="24"/>
        </w:rPr>
        <w:t>The</w:t>
      </w:r>
      <w:r>
        <w:rPr>
          <w:spacing w:val="1"/>
          <w:sz w:val="24"/>
        </w:rPr>
        <w:t xml:space="preserve"> </w:t>
      </w:r>
      <w:r>
        <w:rPr>
          <w:sz w:val="24"/>
        </w:rPr>
        <w:t>NRRP</w:t>
      </w:r>
      <w:r>
        <w:rPr>
          <w:spacing w:val="1"/>
          <w:sz w:val="24"/>
        </w:rPr>
        <w:t xml:space="preserve"> </w:t>
      </w:r>
      <w:r>
        <w:rPr>
          <w:sz w:val="24"/>
        </w:rPr>
        <w:t>reform</w:t>
      </w:r>
      <w:r>
        <w:rPr>
          <w:spacing w:val="1"/>
          <w:sz w:val="24"/>
        </w:rPr>
        <w:t xml:space="preserve"> </w:t>
      </w:r>
      <w:r>
        <w:rPr>
          <w:b/>
          <w:sz w:val="24"/>
        </w:rPr>
        <w:t>C4.3.</w:t>
      </w:r>
      <w:r>
        <w:rPr>
          <w:b/>
          <w:spacing w:val="1"/>
          <w:sz w:val="24"/>
        </w:rPr>
        <w:t xml:space="preserve"> </w:t>
      </w:r>
      <w:r>
        <w:rPr>
          <w:b/>
          <w:sz w:val="24"/>
        </w:rPr>
        <w:t>R3</w:t>
      </w:r>
      <w:r>
        <w:rPr>
          <w:b/>
          <w:spacing w:val="1"/>
          <w:sz w:val="24"/>
        </w:rPr>
        <w:t xml:space="preserve"> </w:t>
      </w:r>
      <w:r>
        <w:rPr>
          <w:b/>
          <w:sz w:val="24"/>
        </w:rPr>
        <w:t>Developing</w:t>
      </w:r>
      <w:r>
        <w:rPr>
          <w:b/>
          <w:spacing w:val="1"/>
          <w:sz w:val="24"/>
        </w:rPr>
        <w:t xml:space="preserve"> </w:t>
      </w:r>
      <w:r>
        <w:rPr>
          <w:b/>
          <w:sz w:val="24"/>
        </w:rPr>
        <w:t>community-based</w:t>
      </w:r>
      <w:r>
        <w:rPr>
          <w:b/>
          <w:spacing w:val="1"/>
          <w:sz w:val="24"/>
        </w:rPr>
        <w:t xml:space="preserve"> </w:t>
      </w:r>
      <w:r>
        <w:rPr>
          <w:b/>
          <w:sz w:val="24"/>
        </w:rPr>
        <w:t>services</w:t>
      </w:r>
      <w:r>
        <w:rPr>
          <w:b/>
          <w:spacing w:val="1"/>
          <w:sz w:val="24"/>
        </w:rPr>
        <w:t xml:space="preserve"> </w:t>
      </w:r>
      <w:r>
        <w:rPr>
          <w:b/>
          <w:sz w:val="24"/>
        </w:rPr>
        <w:t>to</w:t>
      </w:r>
      <w:r>
        <w:rPr>
          <w:b/>
          <w:spacing w:val="1"/>
          <w:sz w:val="24"/>
        </w:rPr>
        <w:t xml:space="preserve"> </w:t>
      </w:r>
      <w:r>
        <w:rPr>
          <w:b/>
          <w:sz w:val="24"/>
        </w:rPr>
        <w:t>prevent</w:t>
      </w:r>
      <w:r>
        <w:rPr>
          <w:b/>
          <w:spacing w:val="1"/>
          <w:sz w:val="24"/>
        </w:rPr>
        <w:t xml:space="preserve"> </w:t>
      </w:r>
      <w:r>
        <w:rPr>
          <w:b/>
          <w:sz w:val="24"/>
        </w:rPr>
        <w:t xml:space="preserve">institutionalisation </w:t>
      </w:r>
      <w:r>
        <w:rPr>
          <w:sz w:val="24"/>
        </w:rPr>
        <w:t>has led to the passing of the National Plan for the Development of Social</w:t>
      </w:r>
      <w:r>
        <w:rPr>
          <w:spacing w:val="1"/>
          <w:sz w:val="24"/>
        </w:rPr>
        <w:t xml:space="preserve"> </w:t>
      </w:r>
      <w:r>
        <w:rPr>
          <w:sz w:val="24"/>
        </w:rPr>
        <w:t>Services for the period from 2021 to 2027 in December 2021 and the corresponding Action</w:t>
      </w:r>
      <w:r>
        <w:rPr>
          <w:spacing w:val="1"/>
          <w:sz w:val="24"/>
        </w:rPr>
        <w:t xml:space="preserve"> </w:t>
      </w:r>
      <w:r>
        <w:rPr>
          <w:spacing w:val="-1"/>
          <w:sz w:val="24"/>
        </w:rPr>
        <w:t>Plan</w:t>
      </w:r>
      <w:r>
        <w:rPr>
          <w:spacing w:val="-15"/>
          <w:sz w:val="24"/>
        </w:rPr>
        <w:t xml:space="preserve"> </w:t>
      </w:r>
      <w:r>
        <w:rPr>
          <w:sz w:val="24"/>
        </w:rPr>
        <w:t>for</w:t>
      </w:r>
      <w:r>
        <w:rPr>
          <w:spacing w:val="-16"/>
          <w:sz w:val="24"/>
        </w:rPr>
        <w:t xml:space="preserve"> </w:t>
      </w:r>
      <w:r>
        <w:rPr>
          <w:sz w:val="24"/>
        </w:rPr>
        <w:t>the</w:t>
      </w:r>
      <w:r>
        <w:rPr>
          <w:spacing w:val="-13"/>
          <w:sz w:val="24"/>
        </w:rPr>
        <w:t xml:space="preserve"> </w:t>
      </w:r>
      <w:r>
        <w:rPr>
          <w:sz w:val="24"/>
        </w:rPr>
        <w:t>Development</w:t>
      </w:r>
      <w:r>
        <w:rPr>
          <w:spacing w:val="-12"/>
          <w:sz w:val="24"/>
        </w:rPr>
        <w:t xml:space="preserve"> </w:t>
      </w:r>
      <w:r>
        <w:rPr>
          <w:sz w:val="24"/>
        </w:rPr>
        <w:t>of</w:t>
      </w:r>
      <w:r>
        <w:rPr>
          <w:spacing w:val="-14"/>
          <w:sz w:val="24"/>
        </w:rPr>
        <w:t xml:space="preserve"> </w:t>
      </w:r>
      <w:r>
        <w:rPr>
          <w:sz w:val="24"/>
        </w:rPr>
        <w:t>Social</w:t>
      </w:r>
      <w:r>
        <w:rPr>
          <w:spacing w:val="-15"/>
          <w:sz w:val="24"/>
        </w:rPr>
        <w:t xml:space="preserve"> </w:t>
      </w:r>
      <w:r>
        <w:rPr>
          <w:sz w:val="24"/>
        </w:rPr>
        <w:t>Services</w:t>
      </w:r>
      <w:r>
        <w:rPr>
          <w:spacing w:val="-15"/>
          <w:sz w:val="24"/>
        </w:rPr>
        <w:t xml:space="preserve"> </w:t>
      </w:r>
      <w:r>
        <w:rPr>
          <w:sz w:val="24"/>
        </w:rPr>
        <w:t>for</w:t>
      </w:r>
      <w:r>
        <w:rPr>
          <w:spacing w:val="-16"/>
          <w:sz w:val="24"/>
        </w:rPr>
        <w:t xml:space="preserve"> </w:t>
      </w:r>
      <w:r>
        <w:rPr>
          <w:sz w:val="24"/>
        </w:rPr>
        <w:t>the</w:t>
      </w:r>
      <w:r>
        <w:rPr>
          <w:spacing w:val="-12"/>
          <w:sz w:val="24"/>
        </w:rPr>
        <w:t xml:space="preserve"> </w:t>
      </w:r>
      <w:r>
        <w:rPr>
          <w:sz w:val="24"/>
        </w:rPr>
        <w:t>period</w:t>
      </w:r>
      <w:r>
        <w:rPr>
          <w:spacing w:val="-15"/>
          <w:sz w:val="24"/>
        </w:rPr>
        <w:t xml:space="preserve"> </w:t>
      </w:r>
      <w:r>
        <w:rPr>
          <w:sz w:val="24"/>
        </w:rPr>
        <w:t>from</w:t>
      </w:r>
      <w:r>
        <w:rPr>
          <w:spacing w:val="-15"/>
          <w:sz w:val="24"/>
        </w:rPr>
        <w:t xml:space="preserve"> </w:t>
      </w:r>
      <w:r>
        <w:rPr>
          <w:sz w:val="24"/>
        </w:rPr>
        <w:t>2021</w:t>
      </w:r>
      <w:r>
        <w:rPr>
          <w:spacing w:val="-15"/>
          <w:sz w:val="24"/>
        </w:rPr>
        <w:t xml:space="preserve"> </w:t>
      </w:r>
      <w:r>
        <w:rPr>
          <w:sz w:val="24"/>
        </w:rPr>
        <w:t>to</w:t>
      </w:r>
      <w:r>
        <w:rPr>
          <w:spacing w:val="-14"/>
          <w:sz w:val="24"/>
        </w:rPr>
        <w:t xml:space="preserve"> </w:t>
      </w:r>
      <w:r>
        <w:rPr>
          <w:sz w:val="24"/>
        </w:rPr>
        <w:t>2024.</w:t>
      </w:r>
      <w:r>
        <w:rPr>
          <w:spacing w:val="-15"/>
          <w:sz w:val="24"/>
        </w:rPr>
        <w:t xml:space="preserve"> </w:t>
      </w:r>
      <w:r>
        <w:rPr>
          <w:sz w:val="24"/>
        </w:rPr>
        <w:t>These</w:t>
      </w:r>
      <w:r>
        <w:rPr>
          <w:spacing w:val="-16"/>
          <w:sz w:val="24"/>
        </w:rPr>
        <w:t xml:space="preserve"> </w:t>
      </w:r>
      <w:r>
        <w:rPr>
          <w:sz w:val="24"/>
        </w:rPr>
        <w:t>documents</w:t>
      </w:r>
    </w:p>
    <w:p w:rsidR="00A56FE9" w:rsidRDefault="00A56FE9">
      <w:pPr>
        <w:jc w:val="both"/>
        <w:rPr>
          <w:sz w:val="24"/>
        </w:rPr>
        <w:sectPr w:rsidR="00A56FE9" w:rsidSect="00AB1E70">
          <w:pgSz w:w="11910" w:h="16840"/>
          <w:pgMar w:top="1160" w:right="1140" w:bottom="960" w:left="1280" w:header="0" w:footer="779" w:gutter="0"/>
          <w:cols w:space="720"/>
        </w:sectPr>
      </w:pPr>
    </w:p>
    <w:p w:rsidR="00A56FE9" w:rsidRDefault="00000000">
      <w:pPr>
        <w:pStyle w:val="Tijeloteksta"/>
        <w:spacing w:before="74"/>
        <w:ind w:right="271"/>
      </w:pPr>
      <w:r>
        <w:t>envisage measures and activities for continued deinstitutionalization of beneficiaries and the</w:t>
      </w:r>
      <w:r>
        <w:rPr>
          <w:spacing w:val="1"/>
        </w:rPr>
        <w:t xml:space="preserve"> </w:t>
      </w:r>
      <w:r>
        <w:t>transformation of social service providers, focused primarily on children and youth without</w:t>
      </w:r>
      <w:r>
        <w:rPr>
          <w:spacing w:val="1"/>
        </w:rPr>
        <w:t xml:space="preserve"> </w:t>
      </w:r>
      <w:r>
        <w:t>adequate</w:t>
      </w:r>
      <w:r>
        <w:rPr>
          <w:spacing w:val="-13"/>
        </w:rPr>
        <w:t xml:space="preserve"> </w:t>
      </w:r>
      <w:r>
        <w:t>parental</w:t>
      </w:r>
      <w:r>
        <w:rPr>
          <w:spacing w:val="-11"/>
        </w:rPr>
        <w:t xml:space="preserve"> </w:t>
      </w:r>
      <w:r>
        <w:t>care,</w:t>
      </w:r>
      <w:r>
        <w:rPr>
          <w:spacing w:val="-11"/>
        </w:rPr>
        <w:t xml:space="preserve"> </w:t>
      </w:r>
      <w:r>
        <w:t>children</w:t>
      </w:r>
      <w:r>
        <w:rPr>
          <w:spacing w:val="-14"/>
        </w:rPr>
        <w:t xml:space="preserve"> </w:t>
      </w:r>
      <w:r>
        <w:t>and</w:t>
      </w:r>
      <w:r>
        <w:rPr>
          <w:spacing w:val="-7"/>
        </w:rPr>
        <w:t xml:space="preserve"> </w:t>
      </w:r>
      <w:r>
        <w:t>youth</w:t>
      </w:r>
      <w:r>
        <w:rPr>
          <w:spacing w:val="-13"/>
        </w:rPr>
        <w:t xml:space="preserve"> </w:t>
      </w:r>
      <w:r>
        <w:t>with</w:t>
      </w:r>
      <w:r>
        <w:rPr>
          <w:spacing w:val="-11"/>
        </w:rPr>
        <w:t xml:space="preserve"> </w:t>
      </w:r>
      <w:r>
        <w:rPr>
          <w:u w:val="single"/>
        </w:rPr>
        <w:t>behavioural</w:t>
      </w:r>
      <w:r>
        <w:rPr>
          <w:spacing w:val="-13"/>
        </w:rPr>
        <w:t xml:space="preserve"> </w:t>
      </w:r>
      <w:r>
        <w:t>problems,</w:t>
      </w:r>
      <w:r>
        <w:rPr>
          <w:spacing w:val="-13"/>
        </w:rPr>
        <w:t xml:space="preserve"> </w:t>
      </w:r>
      <w:r>
        <w:t>children</w:t>
      </w:r>
      <w:r>
        <w:rPr>
          <w:spacing w:val="-14"/>
        </w:rPr>
        <w:t xml:space="preserve"> </w:t>
      </w:r>
      <w:r>
        <w:t>with</w:t>
      </w:r>
      <w:r>
        <w:rPr>
          <w:spacing w:val="-13"/>
        </w:rPr>
        <w:t xml:space="preserve"> </w:t>
      </w:r>
      <w:r>
        <w:t>disabilities</w:t>
      </w:r>
      <w:r>
        <w:rPr>
          <w:spacing w:val="-58"/>
        </w:rPr>
        <w:t xml:space="preserve"> </w:t>
      </w:r>
      <w:r>
        <w:t>and</w:t>
      </w:r>
      <w:r>
        <w:rPr>
          <w:spacing w:val="-1"/>
        </w:rPr>
        <w:t xml:space="preserve"> </w:t>
      </w:r>
      <w:r>
        <w:t>adults with disabilities.</w:t>
      </w:r>
    </w:p>
    <w:p w:rsidR="00A56FE9" w:rsidRDefault="00000000">
      <w:pPr>
        <w:spacing w:before="121"/>
        <w:ind w:left="138" w:right="273"/>
        <w:jc w:val="both"/>
        <w:rPr>
          <w:sz w:val="24"/>
        </w:rPr>
      </w:pPr>
      <w:r>
        <w:rPr>
          <w:sz w:val="24"/>
        </w:rPr>
        <w:t>To</w:t>
      </w:r>
      <w:r>
        <w:rPr>
          <w:spacing w:val="-10"/>
          <w:sz w:val="24"/>
        </w:rPr>
        <w:t xml:space="preserve"> </w:t>
      </w:r>
      <w:r>
        <w:rPr>
          <w:b/>
          <w:sz w:val="24"/>
        </w:rPr>
        <w:t>further</w:t>
      </w:r>
      <w:r>
        <w:rPr>
          <w:b/>
          <w:spacing w:val="-10"/>
          <w:sz w:val="24"/>
        </w:rPr>
        <w:t xml:space="preserve"> </w:t>
      </w:r>
      <w:r>
        <w:rPr>
          <w:b/>
          <w:sz w:val="24"/>
        </w:rPr>
        <w:t>implement</w:t>
      </w:r>
      <w:r>
        <w:rPr>
          <w:b/>
          <w:spacing w:val="-9"/>
          <w:sz w:val="24"/>
        </w:rPr>
        <w:t xml:space="preserve"> </w:t>
      </w:r>
      <w:r>
        <w:rPr>
          <w:b/>
          <w:sz w:val="24"/>
        </w:rPr>
        <w:t>deinstitutionalization</w:t>
      </w:r>
      <w:r>
        <w:rPr>
          <w:b/>
          <w:spacing w:val="-8"/>
          <w:sz w:val="24"/>
        </w:rPr>
        <w:t xml:space="preserve"> </w:t>
      </w:r>
      <w:r>
        <w:rPr>
          <w:b/>
          <w:sz w:val="24"/>
        </w:rPr>
        <w:t>and</w:t>
      </w:r>
      <w:r>
        <w:rPr>
          <w:b/>
          <w:spacing w:val="-8"/>
          <w:sz w:val="24"/>
        </w:rPr>
        <w:t xml:space="preserve"> </w:t>
      </w:r>
      <w:r>
        <w:rPr>
          <w:b/>
          <w:sz w:val="24"/>
        </w:rPr>
        <w:t>prevent</w:t>
      </w:r>
      <w:r>
        <w:rPr>
          <w:b/>
          <w:spacing w:val="-9"/>
          <w:sz w:val="24"/>
        </w:rPr>
        <w:t xml:space="preserve"> </w:t>
      </w:r>
      <w:r>
        <w:rPr>
          <w:b/>
          <w:sz w:val="24"/>
        </w:rPr>
        <w:t>institutionalization</w:t>
      </w:r>
      <w:r>
        <w:rPr>
          <w:sz w:val="24"/>
        </w:rPr>
        <w:t>,</w:t>
      </w:r>
      <w:r>
        <w:rPr>
          <w:spacing w:val="-10"/>
          <w:sz w:val="24"/>
        </w:rPr>
        <w:t xml:space="preserve"> </w:t>
      </w:r>
      <w:r>
        <w:rPr>
          <w:sz w:val="24"/>
        </w:rPr>
        <w:t>the</w:t>
      </w:r>
      <w:r>
        <w:rPr>
          <w:spacing w:val="-9"/>
          <w:sz w:val="24"/>
        </w:rPr>
        <w:t xml:space="preserve"> </w:t>
      </w:r>
      <w:r>
        <w:rPr>
          <w:sz w:val="24"/>
        </w:rPr>
        <w:t>provision</w:t>
      </w:r>
      <w:r>
        <w:rPr>
          <w:spacing w:val="-57"/>
          <w:sz w:val="24"/>
        </w:rPr>
        <w:t xml:space="preserve"> </w:t>
      </w:r>
      <w:r>
        <w:rPr>
          <w:sz w:val="24"/>
        </w:rPr>
        <w:t>of</w:t>
      </w:r>
      <w:r>
        <w:rPr>
          <w:spacing w:val="-7"/>
          <w:sz w:val="24"/>
        </w:rPr>
        <w:t xml:space="preserve"> </w:t>
      </w:r>
      <w:r>
        <w:rPr>
          <w:sz w:val="24"/>
        </w:rPr>
        <w:t>non-institutional</w:t>
      </w:r>
      <w:r>
        <w:rPr>
          <w:spacing w:val="-5"/>
          <w:sz w:val="24"/>
        </w:rPr>
        <w:t xml:space="preserve"> </w:t>
      </w:r>
      <w:r>
        <w:rPr>
          <w:sz w:val="24"/>
        </w:rPr>
        <w:t>services</w:t>
      </w:r>
      <w:r>
        <w:rPr>
          <w:spacing w:val="-4"/>
          <w:sz w:val="24"/>
        </w:rPr>
        <w:t xml:space="preserve"> </w:t>
      </w:r>
      <w:r>
        <w:rPr>
          <w:sz w:val="24"/>
        </w:rPr>
        <w:t>requires</w:t>
      </w:r>
      <w:r>
        <w:rPr>
          <w:spacing w:val="-2"/>
          <w:sz w:val="24"/>
        </w:rPr>
        <w:t xml:space="preserve"> </w:t>
      </w:r>
      <w:r>
        <w:rPr>
          <w:sz w:val="24"/>
        </w:rPr>
        <w:t>employing</w:t>
      </w:r>
      <w:r>
        <w:rPr>
          <w:spacing w:val="-5"/>
          <w:sz w:val="24"/>
        </w:rPr>
        <w:t xml:space="preserve"> </w:t>
      </w:r>
      <w:r>
        <w:rPr>
          <w:sz w:val="24"/>
        </w:rPr>
        <w:t>159</w:t>
      </w:r>
      <w:r>
        <w:rPr>
          <w:spacing w:val="-6"/>
          <w:sz w:val="24"/>
        </w:rPr>
        <w:t xml:space="preserve"> </w:t>
      </w:r>
      <w:r>
        <w:rPr>
          <w:sz w:val="24"/>
        </w:rPr>
        <w:t>workers</w:t>
      </w:r>
      <w:r>
        <w:rPr>
          <w:spacing w:val="-6"/>
          <w:sz w:val="24"/>
        </w:rPr>
        <w:t xml:space="preserve"> </w:t>
      </w:r>
      <w:r>
        <w:rPr>
          <w:sz w:val="24"/>
        </w:rPr>
        <w:t>in</w:t>
      </w:r>
      <w:r>
        <w:rPr>
          <w:spacing w:val="-5"/>
          <w:sz w:val="24"/>
        </w:rPr>
        <w:t xml:space="preserve"> </w:t>
      </w:r>
      <w:r>
        <w:rPr>
          <w:sz w:val="24"/>
        </w:rPr>
        <w:t>2022,</w:t>
      </w:r>
      <w:r>
        <w:rPr>
          <w:spacing w:val="-6"/>
          <w:sz w:val="24"/>
        </w:rPr>
        <w:t xml:space="preserve"> </w:t>
      </w:r>
      <w:r>
        <w:rPr>
          <w:sz w:val="24"/>
        </w:rPr>
        <w:t>of</w:t>
      </w:r>
      <w:r>
        <w:rPr>
          <w:spacing w:val="-4"/>
          <w:sz w:val="24"/>
        </w:rPr>
        <w:t xml:space="preserve"> </w:t>
      </w:r>
      <w:r>
        <w:rPr>
          <w:sz w:val="24"/>
        </w:rPr>
        <w:t>a</w:t>
      </w:r>
      <w:r>
        <w:rPr>
          <w:spacing w:val="-7"/>
          <w:sz w:val="24"/>
        </w:rPr>
        <w:t xml:space="preserve"> </w:t>
      </w:r>
      <w:r>
        <w:rPr>
          <w:sz w:val="24"/>
        </w:rPr>
        <w:t>total</w:t>
      </w:r>
      <w:r>
        <w:rPr>
          <w:spacing w:val="-5"/>
          <w:sz w:val="24"/>
        </w:rPr>
        <w:t xml:space="preserve"> </w:t>
      </w:r>
      <w:r>
        <w:rPr>
          <w:sz w:val="24"/>
        </w:rPr>
        <w:t>of</w:t>
      </w:r>
      <w:r>
        <w:rPr>
          <w:spacing w:val="-6"/>
          <w:sz w:val="24"/>
        </w:rPr>
        <w:t xml:space="preserve"> </w:t>
      </w:r>
      <w:r>
        <w:rPr>
          <w:sz w:val="24"/>
        </w:rPr>
        <w:t>220</w:t>
      </w:r>
      <w:r>
        <w:rPr>
          <w:spacing w:val="-4"/>
          <w:sz w:val="24"/>
        </w:rPr>
        <w:t xml:space="preserve"> </w:t>
      </w:r>
      <w:r>
        <w:rPr>
          <w:sz w:val="24"/>
        </w:rPr>
        <w:t>workers</w:t>
      </w:r>
      <w:r>
        <w:rPr>
          <w:spacing w:val="-57"/>
          <w:sz w:val="24"/>
        </w:rPr>
        <w:t xml:space="preserve"> </w:t>
      </w:r>
      <w:r>
        <w:rPr>
          <w:sz w:val="24"/>
        </w:rPr>
        <w:t>planned</w:t>
      </w:r>
      <w:r>
        <w:rPr>
          <w:spacing w:val="-1"/>
          <w:sz w:val="24"/>
        </w:rPr>
        <w:t xml:space="preserve"> </w:t>
      </w:r>
      <w:r>
        <w:rPr>
          <w:sz w:val="24"/>
        </w:rPr>
        <w:t>to be employed</w:t>
      </w:r>
      <w:r>
        <w:rPr>
          <w:spacing w:val="2"/>
          <w:sz w:val="24"/>
        </w:rPr>
        <w:t xml:space="preserve"> </w:t>
      </w:r>
      <w:r>
        <w:rPr>
          <w:sz w:val="24"/>
        </w:rPr>
        <w:t>by</w:t>
      </w:r>
      <w:r>
        <w:rPr>
          <w:spacing w:val="-5"/>
          <w:sz w:val="24"/>
        </w:rPr>
        <w:t xml:space="preserve"> </w:t>
      </w:r>
      <w:r>
        <w:rPr>
          <w:sz w:val="24"/>
        </w:rPr>
        <w:t>2024 in state</w:t>
      </w:r>
      <w:r>
        <w:rPr>
          <w:spacing w:val="-1"/>
          <w:sz w:val="24"/>
        </w:rPr>
        <w:t xml:space="preserve"> </w:t>
      </w:r>
      <w:r>
        <w:rPr>
          <w:sz w:val="24"/>
        </w:rPr>
        <w:t>social care</w:t>
      </w:r>
      <w:r>
        <w:rPr>
          <w:spacing w:val="-2"/>
          <w:sz w:val="24"/>
        </w:rPr>
        <w:t xml:space="preserve"> </w:t>
      </w:r>
      <w:r>
        <w:rPr>
          <w:sz w:val="24"/>
        </w:rPr>
        <w:t>homes.</w:t>
      </w:r>
    </w:p>
    <w:p w:rsidR="00A56FE9" w:rsidRDefault="00000000">
      <w:pPr>
        <w:spacing w:before="120"/>
        <w:ind w:left="138" w:right="274"/>
        <w:jc w:val="both"/>
        <w:rPr>
          <w:sz w:val="24"/>
        </w:rPr>
      </w:pPr>
      <w:r>
        <w:rPr>
          <w:sz w:val="24"/>
        </w:rPr>
        <w:t xml:space="preserve">Also, </w:t>
      </w:r>
      <w:r>
        <w:rPr>
          <w:b/>
          <w:sz w:val="24"/>
        </w:rPr>
        <w:t>new social services will be further developed to support parenting and families and</w:t>
      </w:r>
      <w:r>
        <w:rPr>
          <w:b/>
          <w:spacing w:val="-57"/>
          <w:sz w:val="24"/>
        </w:rPr>
        <w:t xml:space="preserve"> </w:t>
      </w:r>
      <w:r>
        <w:rPr>
          <w:b/>
          <w:sz w:val="24"/>
        </w:rPr>
        <w:t>prevent</w:t>
      </w:r>
      <w:r>
        <w:rPr>
          <w:b/>
          <w:spacing w:val="-6"/>
          <w:sz w:val="24"/>
        </w:rPr>
        <w:t xml:space="preserve"> </w:t>
      </w:r>
      <w:r>
        <w:rPr>
          <w:b/>
          <w:sz w:val="24"/>
        </w:rPr>
        <w:t>the</w:t>
      </w:r>
      <w:r>
        <w:rPr>
          <w:b/>
          <w:spacing w:val="-5"/>
          <w:sz w:val="24"/>
        </w:rPr>
        <w:t xml:space="preserve"> </w:t>
      </w:r>
      <w:r>
        <w:rPr>
          <w:b/>
          <w:sz w:val="24"/>
        </w:rPr>
        <w:t>institutionalisation</w:t>
      </w:r>
      <w:r>
        <w:rPr>
          <w:b/>
          <w:spacing w:val="-3"/>
          <w:sz w:val="24"/>
        </w:rPr>
        <w:t xml:space="preserve"> </w:t>
      </w:r>
      <w:r>
        <w:rPr>
          <w:b/>
          <w:sz w:val="24"/>
        </w:rPr>
        <w:t>of</w:t>
      </w:r>
      <w:r>
        <w:rPr>
          <w:b/>
          <w:spacing w:val="-2"/>
          <w:sz w:val="24"/>
        </w:rPr>
        <w:t xml:space="preserve"> </w:t>
      </w:r>
      <w:r>
        <w:rPr>
          <w:b/>
          <w:sz w:val="24"/>
        </w:rPr>
        <w:t>children</w:t>
      </w:r>
      <w:r>
        <w:rPr>
          <w:b/>
          <w:spacing w:val="-3"/>
          <w:sz w:val="24"/>
        </w:rPr>
        <w:t xml:space="preserve"> </w:t>
      </w:r>
      <w:r>
        <w:rPr>
          <w:b/>
          <w:sz w:val="24"/>
        </w:rPr>
        <w:t>and</w:t>
      </w:r>
      <w:r>
        <w:rPr>
          <w:b/>
          <w:spacing w:val="-7"/>
          <w:sz w:val="24"/>
        </w:rPr>
        <w:t xml:space="preserve"> </w:t>
      </w:r>
      <w:r>
        <w:rPr>
          <w:b/>
          <w:sz w:val="24"/>
        </w:rPr>
        <w:t>youth</w:t>
      </w:r>
      <w:r>
        <w:rPr>
          <w:sz w:val="24"/>
        </w:rPr>
        <w:t>,</w:t>
      </w:r>
      <w:r>
        <w:rPr>
          <w:spacing w:val="-4"/>
          <w:sz w:val="24"/>
        </w:rPr>
        <w:t xml:space="preserve"> </w:t>
      </w:r>
      <w:r>
        <w:rPr>
          <w:sz w:val="24"/>
        </w:rPr>
        <w:t>as</w:t>
      </w:r>
      <w:r>
        <w:rPr>
          <w:spacing w:val="-4"/>
          <w:sz w:val="24"/>
        </w:rPr>
        <w:t xml:space="preserve"> </w:t>
      </w:r>
      <w:r>
        <w:rPr>
          <w:sz w:val="24"/>
        </w:rPr>
        <w:t>well</w:t>
      </w:r>
      <w:r>
        <w:rPr>
          <w:spacing w:val="-3"/>
          <w:sz w:val="24"/>
        </w:rPr>
        <w:t xml:space="preserve"> </w:t>
      </w:r>
      <w:r>
        <w:rPr>
          <w:sz w:val="24"/>
        </w:rPr>
        <w:t>as</w:t>
      </w:r>
      <w:r>
        <w:rPr>
          <w:spacing w:val="-4"/>
          <w:sz w:val="24"/>
        </w:rPr>
        <w:t xml:space="preserve"> </w:t>
      </w:r>
      <w:r>
        <w:rPr>
          <w:sz w:val="24"/>
        </w:rPr>
        <w:t>other</w:t>
      </w:r>
      <w:r>
        <w:rPr>
          <w:spacing w:val="-5"/>
          <w:sz w:val="24"/>
        </w:rPr>
        <w:t xml:space="preserve"> </w:t>
      </w:r>
      <w:r>
        <w:rPr>
          <w:sz w:val="24"/>
        </w:rPr>
        <w:t>services</w:t>
      </w:r>
      <w:r>
        <w:rPr>
          <w:spacing w:val="-5"/>
          <w:sz w:val="24"/>
        </w:rPr>
        <w:t xml:space="preserve"> </w:t>
      </w:r>
      <w:r>
        <w:rPr>
          <w:sz w:val="24"/>
        </w:rPr>
        <w:t>to</w:t>
      </w:r>
      <w:r>
        <w:rPr>
          <w:spacing w:val="-3"/>
          <w:sz w:val="24"/>
        </w:rPr>
        <w:t xml:space="preserve"> </w:t>
      </w:r>
      <w:r>
        <w:rPr>
          <w:sz w:val="24"/>
        </w:rPr>
        <w:t>overcome</w:t>
      </w:r>
      <w:r>
        <w:rPr>
          <w:spacing w:val="-57"/>
          <w:sz w:val="24"/>
        </w:rPr>
        <w:t xml:space="preserve"> </w:t>
      </w:r>
      <w:r>
        <w:rPr>
          <w:sz w:val="24"/>
        </w:rPr>
        <w:t>adverse life circumstances, crises, stop and prevent domestic violence and better integration of</w:t>
      </w:r>
      <w:r>
        <w:rPr>
          <w:spacing w:val="-58"/>
          <w:sz w:val="24"/>
        </w:rPr>
        <w:t xml:space="preserve"> </w:t>
      </w:r>
      <w:r>
        <w:rPr>
          <w:sz w:val="24"/>
        </w:rPr>
        <w:t>users into community</w:t>
      </w:r>
      <w:r>
        <w:rPr>
          <w:spacing w:val="-5"/>
          <w:sz w:val="24"/>
        </w:rPr>
        <w:t xml:space="preserve"> </w:t>
      </w:r>
      <w:r>
        <w:rPr>
          <w:sz w:val="24"/>
        </w:rPr>
        <w:t>life.</w:t>
      </w:r>
    </w:p>
    <w:p w:rsidR="00A56FE9" w:rsidRDefault="00A56FE9">
      <w:pPr>
        <w:pStyle w:val="Tijeloteksta"/>
        <w:spacing w:before="3"/>
        <w:ind w:left="0"/>
        <w:jc w:val="left"/>
        <w:rPr>
          <w:sz w:val="21"/>
        </w:rPr>
      </w:pPr>
    </w:p>
    <w:p w:rsidR="00A56FE9" w:rsidRDefault="00000000">
      <w:pPr>
        <w:pStyle w:val="Naslov5"/>
        <w:spacing w:before="1"/>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582857702"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829816800" name="Rectangle 104"/>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E1E38EE" id="Group 103"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">
                <v:rect id="Rectangle 104"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" fillcolor="#2c398a" stroked="f"/>
                <w10:anchorlock/>
              </v:group>
            </w:pict>
          </mc:Fallback>
        </mc:AlternateContent>
      </w:r>
    </w:p>
    <w:p w:rsidR="00A56FE9" w:rsidRDefault="00000000">
      <w:pPr>
        <w:pStyle w:val="Tijeloteksta"/>
        <w:spacing w:before="154"/>
        <w:ind w:right="274"/>
      </w:pPr>
      <w:r>
        <w:t>The</w:t>
      </w:r>
      <w:r>
        <w:rPr>
          <w:spacing w:val="-7"/>
        </w:rPr>
        <w:t xml:space="preserve"> </w:t>
      </w:r>
      <w:r>
        <w:t>National</w:t>
      </w:r>
      <w:r>
        <w:rPr>
          <w:spacing w:val="-6"/>
        </w:rPr>
        <w:t xml:space="preserve"> </w:t>
      </w:r>
      <w:r>
        <w:t>Plan</w:t>
      </w:r>
      <w:r>
        <w:rPr>
          <w:spacing w:val="-7"/>
        </w:rPr>
        <w:t xml:space="preserve"> </w:t>
      </w:r>
      <w:r>
        <w:t>for</w:t>
      </w:r>
      <w:r>
        <w:rPr>
          <w:spacing w:val="-8"/>
        </w:rPr>
        <w:t xml:space="preserve"> </w:t>
      </w:r>
      <w:r>
        <w:t>Equalisation</w:t>
      </w:r>
      <w:r>
        <w:rPr>
          <w:spacing w:val="-5"/>
        </w:rPr>
        <w:t xml:space="preserve"> </w:t>
      </w:r>
      <w:r>
        <w:t>of</w:t>
      </w:r>
      <w:r>
        <w:rPr>
          <w:spacing w:val="-7"/>
        </w:rPr>
        <w:t xml:space="preserve"> </w:t>
      </w:r>
      <w:r>
        <w:t>Opportunities</w:t>
      </w:r>
      <w:r>
        <w:rPr>
          <w:spacing w:val="-6"/>
        </w:rPr>
        <w:t xml:space="preserve"> </w:t>
      </w:r>
      <w:r>
        <w:t>for</w:t>
      </w:r>
      <w:r>
        <w:rPr>
          <w:spacing w:val="-8"/>
        </w:rPr>
        <w:t xml:space="preserve"> </w:t>
      </w:r>
      <w:r>
        <w:t>Persons</w:t>
      </w:r>
      <w:r>
        <w:rPr>
          <w:spacing w:val="-6"/>
        </w:rPr>
        <w:t xml:space="preserve"> </w:t>
      </w:r>
      <w:r>
        <w:t>with</w:t>
      </w:r>
      <w:r>
        <w:rPr>
          <w:spacing w:val="-6"/>
        </w:rPr>
        <w:t xml:space="preserve"> </w:t>
      </w:r>
      <w:r>
        <w:t>Disabilities</w:t>
      </w:r>
      <w:r>
        <w:rPr>
          <w:spacing w:val="-6"/>
        </w:rPr>
        <w:t xml:space="preserve"> </w:t>
      </w:r>
      <w:r>
        <w:t>for</w:t>
      </w:r>
      <w:r>
        <w:rPr>
          <w:spacing w:val="-8"/>
        </w:rPr>
        <w:t xml:space="preserve"> </w:t>
      </w:r>
      <w:r>
        <w:t>the</w:t>
      </w:r>
      <w:r>
        <w:rPr>
          <w:spacing w:val="-7"/>
        </w:rPr>
        <w:t xml:space="preserve"> </w:t>
      </w:r>
      <w:r>
        <w:t>period</w:t>
      </w:r>
      <w:r>
        <w:rPr>
          <w:spacing w:val="-57"/>
        </w:rPr>
        <w:t xml:space="preserve"> </w:t>
      </w:r>
      <w:r>
        <w:t>from 2021 to 2027 and the Action Plan for Equalization of Opportunities for Persons with</w:t>
      </w:r>
      <w:r>
        <w:rPr>
          <w:spacing w:val="1"/>
        </w:rPr>
        <w:t xml:space="preserve"> </w:t>
      </w:r>
      <w:r>
        <w:t>Disabilities for the period from 2021 to 2024, adopted in December 2021, define the specific</w:t>
      </w:r>
      <w:r>
        <w:rPr>
          <w:spacing w:val="1"/>
        </w:rPr>
        <w:t xml:space="preserve"> </w:t>
      </w:r>
      <w:r>
        <w:t>goal</w:t>
      </w:r>
      <w:r>
        <w:rPr>
          <w:spacing w:val="1"/>
        </w:rPr>
        <w:t xml:space="preserve"> </w:t>
      </w:r>
      <w:r>
        <w:t>Deinstitutionalisation</w:t>
      </w:r>
      <w:r>
        <w:rPr>
          <w:spacing w:val="1"/>
        </w:rPr>
        <w:t xml:space="preserve"> </w:t>
      </w:r>
      <w:r>
        <w:t>and</w:t>
      </w:r>
      <w:r>
        <w:rPr>
          <w:spacing w:val="1"/>
        </w:rPr>
        <w:t xml:space="preserve"> </w:t>
      </w:r>
      <w:r>
        <w:t>Prevention</w:t>
      </w:r>
      <w:r>
        <w:rPr>
          <w:spacing w:val="1"/>
        </w:rPr>
        <w:t xml:space="preserve"> </w:t>
      </w:r>
      <w:r>
        <w:t>of</w:t>
      </w:r>
      <w:r>
        <w:rPr>
          <w:spacing w:val="1"/>
        </w:rPr>
        <w:t xml:space="preserve"> </w:t>
      </w:r>
      <w:r>
        <w:t>the</w:t>
      </w:r>
      <w:r>
        <w:rPr>
          <w:spacing w:val="1"/>
        </w:rPr>
        <w:t xml:space="preserve"> </w:t>
      </w:r>
      <w:r>
        <w:t>Institutionalisation</w:t>
      </w:r>
      <w:r>
        <w:rPr>
          <w:spacing w:val="1"/>
        </w:rPr>
        <w:t xml:space="preserve"> </w:t>
      </w:r>
      <w:r>
        <w:t>of</w:t>
      </w:r>
      <w:r>
        <w:rPr>
          <w:spacing w:val="1"/>
        </w:rPr>
        <w:t xml:space="preserve"> </w:t>
      </w:r>
      <w:r>
        <w:t>Persons</w:t>
      </w:r>
      <w:r>
        <w:rPr>
          <w:spacing w:val="1"/>
        </w:rPr>
        <w:t xml:space="preserve"> </w:t>
      </w:r>
      <w:r>
        <w:t>with</w:t>
      </w:r>
      <w:r>
        <w:rPr>
          <w:spacing w:val="1"/>
        </w:rPr>
        <w:t xml:space="preserve"> </w:t>
      </w:r>
      <w:r>
        <w:t>Disabilities” setting the measures and activities aimed at reducing the number of persons with</w:t>
      </w:r>
      <w:r>
        <w:rPr>
          <w:spacing w:val="1"/>
        </w:rPr>
        <w:t xml:space="preserve"> </w:t>
      </w:r>
      <w:r>
        <w:rPr>
          <w:spacing w:val="-1"/>
        </w:rPr>
        <w:t>disabilities</w:t>
      </w:r>
      <w:r>
        <w:rPr>
          <w:spacing w:val="-12"/>
        </w:rPr>
        <w:t xml:space="preserve"> </w:t>
      </w:r>
      <w:r>
        <w:t>using</w:t>
      </w:r>
      <w:r>
        <w:rPr>
          <w:spacing w:val="-14"/>
        </w:rPr>
        <w:t xml:space="preserve"> </w:t>
      </w:r>
      <w:r>
        <w:t>long-term</w:t>
      </w:r>
      <w:r>
        <w:rPr>
          <w:spacing w:val="-11"/>
        </w:rPr>
        <w:t xml:space="preserve"> </w:t>
      </w:r>
      <w:r>
        <w:t>accommodation</w:t>
      </w:r>
      <w:r>
        <w:rPr>
          <w:spacing w:val="-12"/>
        </w:rPr>
        <w:t xml:space="preserve"> </w:t>
      </w:r>
      <w:r>
        <w:t>services</w:t>
      </w:r>
      <w:r>
        <w:rPr>
          <w:spacing w:val="-11"/>
        </w:rPr>
        <w:t xml:space="preserve"> </w:t>
      </w:r>
      <w:r>
        <w:t>and</w:t>
      </w:r>
      <w:r>
        <w:rPr>
          <w:spacing w:val="-9"/>
        </w:rPr>
        <w:t xml:space="preserve"> </w:t>
      </w:r>
      <w:r>
        <w:t>increasing</w:t>
      </w:r>
      <w:r>
        <w:rPr>
          <w:spacing w:val="-15"/>
        </w:rPr>
        <w:t xml:space="preserve"> </w:t>
      </w:r>
      <w:r>
        <w:t>the</w:t>
      </w:r>
      <w:r>
        <w:rPr>
          <w:spacing w:val="-11"/>
        </w:rPr>
        <w:t xml:space="preserve"> </w:t>
      </w:r>
      <w:r>
        <w:t>number</w:t>
      </w:r>
      <w:r>
        <w:rPr>
          <w:spacing w:val="-13"/>
        </w:rPr>
        <w:t xml:space="preserve"> </w:t>
      </w:r>
      <w:r>
        <w:t>of</w:t>
      </w:r>
      <w:r>
        <w:rPr>
          <w:spacing w:val="-11"/>
        </w:rPr>
        <w:t xml:space="preserve"> </w:t>
      </w:r>
      <w:r>
        <w:t>persons</w:t>
      </w:r>
      <w:r>
        <w:rPr>
          <w:spacing w:val="-12"/>
        </w:rPr>
        <w:t xml:space="preserve"> </w:t>
      </w:r>
      <w:r>
        <w:t>with</w:t>
      </w:r>
      <w:r>
        <w:rPr>
          <w:spacing w:val="-58"/>
        </w:rPr>
        <w:t xml:space="preserve"> </w:t>
      </w:r>
      <w:r>
        <w:t>disabilities</w:t>
      </w:r>
      <w:r>
        <w:rPr>
          <w:spacing w:val="-1"/>
        </w:rPr>
        <w:t xml:space="preserve"> </w:t>
      </w:r>
      <w:r>
        <w:t>using</w:t>
      </w:r>
      <w:r>
        <w:rPr>
          <w:spacing w:val="-2"/>
        </w:rPr>
        <w:t xml:space="preserve"> </w:t>
      </w:r>
      <w:r>
        <w:t>non-institutional services.</w:t>
      </w:r>
    </w:p>
    <w:p w:rsidR="00A56FE9" w:rsidRDefault="00CC1B9B">
      <w:pPr>
        <w:pStyle w:val="Tijeloteksta"/>
        <w:spacing w:before="120"/>
        <w:ind w:right="273"/>
      </w:pPr>
      <w:r>
        <w:rPr>
          <w:noProof/>
        </w:rPr>
        <mc:AlternateContent>
          <mc:Choice Requires="wps">
            <w:drawing>
              <wp:anchor distT="0" distB="0" distL="114300" distR="114300" simplePos="0" relativeHeight="15809024" behindDoc="0" locked="0" layoutInCell="1" allowOverlap="1">
                <wp:simplePos x="0" y="0"/>
                <wp:positionH relativeFrom="page">
                  <wp:posOffset>814070</wp:posOffset>
                </wp:positionH>
                <wp:positionV relativeFrom="paragraph">
                  <wp:posOffset>2434590</wp:posOffset>
                </wp:positionV>
                <wp:extent cx="18415" cy="417830"/>
                <wp:effectExtent l="0" t="0" r="0" b="0"/>
                <wp:wrapNone/>
                <wp:docPr id="1071839874"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94404" id="Rectangle 102" o:spid="_x0000_s1026" style="position:absolute;margin-left:64.1pt;margin-top:191.7pt;width:1.45pt;height:32.9pt;z-index:1580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" fillcolor="#da1f2c" stroked="f">
                <w10:wrap anchorx="page"/>
              </v:rect>
            </w:pict>
          </mc:Fallback>
        </mc:AlternateContent>
      </w:r>
      <w:r w:rsidR="00000000">
        <w:t>Although the number of users of non-institutional social services has increased significantly</w:t>
      </w:r>
      <w:r w:rsidR="00000000">
        <w:rPr>
          <w:spacing w:val="1"/>
        </w:rPr>
        <w:t xml:space="preserve"> </w:t>
      </w:r>
      <w:r w:rsidR="00000000">
        <w:t>due</w:t>
      </w:r>
      <w:r w:rsidR="00000000">
        <w:rPr>
          <w:spacing w:val="-5"/>
        </w:rPr>
        <w:t xml:space="preserve"> </w:t>
      </w:r>
      <w:r w:rsidR="00000000">
        <w:t>to</w:t>
      </w:r>
      <w:r w:rsidR="00000000">
        <w:rPr>
          <w:spacing w:val="-3"/>
        </w:rPr>
        <w:t xml:space="preserve"> </w:t>
      </w:r>
      <w:r w:rsidR="00000000">
        <w:t>the</w:t>
      </w:r>
      <w:r w:rsidR="00000000">
        <w:rPr>
          <w:spacing w:val="-4"/>
        </w:rPr>
        <w:t xml:space="preserve"> </w:t>
      </w:r>
      <w:r w:rsidR="00000000">
        <w:t>development</w:t>
      </w:r>
      <w:r w:rsidR="00000000">
        <w:rPr>
          <w:spacing w:val="-3"/>
        </w:rPr>
        <w:t xml:space="preserve"> </w:t>
      </w:r>
      <w:r w:rsidR="00000000">
        <w:t>of</w:t>
      </w:r>
      <w:r w:rsidR="00000000">
        <w:rPr>
          <w:spacing w:val="-5"/>
        </w:rPr>
        <w:t xml:space="preserve"> </w:t>
      </w:r>
      <w:r w:rsidR="00000000">
        <w:t>community</w:t>
      </w:r>
      <w:r w:rsidR="00000000">
        <w:rPr>
          <w:spacing w:val="-10"/>
        </w:rPr>
        <w:t xml:space="preserve"> </w:t>
      </w:r>
      <w:r w:rsidR="00000000">
        <w:t>services</w:t>
      </w:r>
      <w:r w:rsidR="00000000">
        <w:rPr>
          <w:spacing w:val="-4"/>
        </w:rPr>
        <w:t xml:space="preserve"> </w:t>
      </w:r>
      <w:r w:rsidR="00000000">
        <w:t>and</w:t>
      </w:r>
      <w:r w:rsidR="00000000">
        <w:rPr>
          <w:spacing w:val="-2"/>
        </w:rPr>
        <w:t xml:space="preserve"> </w:t>
      </w:r>
      <w:r w:rsidR="00000000">
        <w:t>a</w:t>
      </w:r>
      <w:r w:rsidR="00000000">
        <w:rPr>
          <w:spacing w:val="-5"/>
        </w:rPr>
        <w:t xml:space="preserve"> </w:t>
      </w:r>
      <w:r w:rsidR="00000000">
        <w:t>greater</w:t>
      </w:r>
      <w:r w:rsidR="00000000">
        <w:rPr>
          <w:spacing w:val="-4"/>
        </w:rPr>
        <w:t xml:space="preserve"> </w:t>
      </w:r>
      <w:r w:rsidR="00000000">
        <w:t>supply</w:t>
      </w:r>
      <w:r w:rsidR="00000000">
        <w:rPr>
          <w:spacing w:val="-9"/>
        </w:rPr>
        <w:t xml:space="preserve"> </w:t>
      </w:r>
      <w:r w:rsidR="00000000">
        <w:t>of</w:t>
      </w:r>
      <w:r w:rsidR="00000000">
        <w:rPr>
          <w:spacing w:val="-5"/>
        </w:rPr>
        <w:t xml:space="preserve"> </w:t>
      </w:r>
      <w:r w:rsidR="00000000">
        <w:t>such</w:t>
      </w:r>
      <w:r w:rsidR="00000000">
        <w:rPr>
          <w:spacing w:val="-2"/>
        </w:rPr>
        <w:t xml:space="preserve"> </w:t>
      </w:r>
      <w:r w:rsidR="00000000">
        <w:t>services</w:t>
      </w:r>
      <w:r w:rsidR="00000000">
        <w:rPr>
          <w:spacing w:val="-4"/>
        </w:rPr>
        <w:t xml:space="preserve"> </w:t>
      </w:r>
      <w:r w:rsidR="00000000">
        <w:t>by</w:t>
      </w:r>
      <w:r w:rsidR="00000000">
        <w:rPr>
          <w:spacing w:val="-8"/>
        </w:rPr>
        <w:t xml:space="preserve"> </w:t>
      </w:r>
      <w:r w:rsidR="00000000">
        <w:t>service</w:t>
      </w:r>
      <w:r w:rsidR="00000000">
        <w:rPr>
          <w:spacing w:val="-58"/>
        </w:rPr>
        <w:t xml:space="preserve"> </w:t>
      </w:r>
      <w:r w:rsidR="00000000">
        <w:t>providers, the number of users entering the institutions has not been sufficiently reduced,</w:t>
      </w:r>
      <w:r w:rsidR="00000000">
        <w:rPr>
          <w:spacing w:val="1"/>
        </w:rPr>
        <w:t xml:space="preserve"> </w:t>
      </w:r>
      <w:r w:rsidR="00000000">
        <w:t>especially children. In line with the commitment to deinstitutionalisation and transformation,</w:t>
      </w:r>
      <w:r w:rsidR="00000000">
        <w:rPr>
          <w:spacing w:val="1"/>
        </w:rPr>
        <w:t xml:space="preserve"> </w:t>
      </w:r>
      <w:r w:rsidR="00000000">
        <w:t>further</w:t>
      </w:r>
      <w:r w:rsidR="00000000">
        <w:rPr>
          <w:spacing w:val="1"/>
        </w:rPr>
        <w:t xml:space="preserve"> </w:t>
      </w:r>
      <w:r w:rsidR="00000000">
        <w:t>improving</w:t>
      </w:r>
      <w:r w:rsidR="00000000">
        <w:rPr>
          <w:spacing w:val="1"/>
        </w:rPr>
        <w:t xml:space="preserve"> </w:t>
      </w:r>
      <w:r w:rsidR="00000000">
        <w:t>the</w:t>
      </w:r>
      <w:r w:rsidR="00000000">
        <w:rPr>
          <w:spacing w:val="1"/>
        </w:rPr>
        <w:t xml:space="preserve"> </w:t>
      </w:r>
      <w:r w:rsidR="00000000">
        <w:t>quality</w:t>
      </w:r>
      <w:r w:rsidR="00000000">
        <w:rPr>
          <w:spacing w:val="1"/>
        </w:rPr>
        <w:t xml:space="preserve"> </w:t>
      </w:r>
      <w:r w:rsidR="00000000">
        <w:t>of</w:t>
      </w:r>
      <w:r w:rsidR="00000000">
        <w:rPr>
          <w:spacing w:val="1"/>
        </w:rPr>
        <w:t xml:space="preserve"> </w:t>
      </w:r>
      <w:r w:rsidR="00000000">
        <w:t>life</w:t>
      </w:r>
      <w:r w:rsidR="00000000">
        <w:rPr>
          <w:spacing w:val="1"/>
        </w:rPr>
        <w:t xml:space="preserve"> </w:t>
      </w:r>
      <w:r w:rsidR="00000000">
        <w:t>of</w:t>
      </w:r>
      <w:r w:rsidR="00000000">
        <w:rPr>
          <w:spacing w:val="1"/>
        </w:rPr>
        <w:t xml:space="preserve"> </w:t>
      </w:r>
      <w:r w:rsidR="00000000">
        <w:t>beneficiaries,</w:t>
      </w:r>
      <w:r w:rsidR="00000000">
        <w:rPr>
          <w:spacing w:val="1"/>
        </w:rPr>
        <w:t xml:space="preserve"> </w:t>
      </w:r>
      <w:r w:rsidR="00000000">
        <w:t>a</w:t>
      </w:r>
      <w:r w:rsidR="00000000">
        <w:rPr>
          <w:spacing w:val="1"/>
        </w:rPr>
        <w:t xml:space="preserve"> </w:t>
      </w:r>
      <w:r w:rsidR="00000000">
        <w:t>new</w:t>
      </w:r>
      <w:r w:rsidR="00000000">
        <w:rPr>
          <w:spacing w:val="1"/>
        </w:rPr>
        <w:t xml:space="preserve"> </w:t>
      </w:r>
      <w:r w:rsidR="00000000">
        <w:t>operational</w:t>
      </w:r>
      <w:r w:rsidR="00000000">
        <w:rPr>
          <w:spacing w:val="1"/>
        </w:rPr>
        <w:t xml:space="preserve"> </w:t>
      </w:r>
      <w:r w:rsidR="00000000">
        <w:t>plan</w:t>
      </w:r>
      <w:r w:rsidR="00000000">
        <w:rPr>
          <w:spacing w:val="1"/>
        </w:rPr>
        <w:t xml:space="preserve"> </w:t>
      </w:r>
      <w:r w:rsidR="00000000">
        <w:t>is</w:t>
      </w:r>
      <w:r w:rsidR="00000000">
        <w:rPr>
          <w:spacing w:val="1"/>
        </w:rPr>
        <w:t xml:space="preserve"> </w:t>
      </w:r>
      <w:r w:rsidR="00000000">
        <w:t>under</w:t>
      </w:r>
      <w:r w:rsidR="00000000">
        <w:rPr>
          <w:spacing w:val="1"/>
        </w:rPr>
        <w:t xml:space="preserve"> </w:t>
      </w:r>
      <w:r w:rsidR="00000000">
        <w:t>development and aimed at continuing the process of deinstitutionalisation, transformation and</w:t>
      </w:r>
      <w:r w:rsidR="00000000">
        <w:rPr>
          <w:spacing w:val="1"/>
        </w:rPr>
        <w:t xml:space="preserve"> </w:t>
      </w:r>
      <w:r w:rsidR="00000000">
        <w:t>preventing institutionalisation, which is a prerequisite for the announcing the public calls for</w:t>
      </w:r>
      <w:r w:rsidR="00000000">
        <w:rPr>
          <w:spacing w:val="1"/>
        </w:rPr>
        <w:t xml:space="preserve"> </w:t>
      </w:r>
      <w:r w:rsidR="00000000">
        <w:t>further implementation of the process of deinstitutionalisation (improving infrastructure and</w:t>
      </w:r>
      <w:r w:rsidR="00000000">
        <w:rPr>
          <w:spacing w:val="1"/>
        </w:rPr>
        <w:t xml:space="preserve"> </w:t>
      </w:r>
      <w:r w:rsidR="00000000">
        <w:t>strengthening professional capacities for providing non-institutional services) for the period</w:t>
      </w:r>
      <w:r w:rsidR="00000000">
        <w:rPr>
          <w:spacing w:val="1"/>
        </w:rPr>
        <w:t xml:space="preserve"> </w:t>
      </w:r>
      <w:r w:rsidR="00000000">
        <w:t>from</w:t>
      </w:r>
      <w:r w:rsidR="00000000">
        <w:rPr>
          <w:spacing w:val="-3"/>
        </w:rPr>
        <w:t xml:space="preserve"> </w:t>
      </w:r>
      <w:r w:rsidR="00000000">
        <w:t>2021</w:t>
      </w:r>
      <w:r w:rsidR="00000000">
        <w:rPr>
          <w:spacing w:val="-4"/>
        </w:rPr>
        <w:t xml:space="preserve"> </w:t>
      </w:r>
      <w:r w:rsidR="00000000">
        <w:t>to</w:t>
      </w:r>
      <w:r w:rsidR="00000000">
        <w:rPr>
          <w:spacing w:val="-3"/>
        </w:rPr>
        <w:t xml:space="preserve"> </w:t>
      </w:r>
      <w:r w:rsidR="00000000">
        <w:t>2024.</w:t>
      </w:r>
      <w:r w:rsidR="00000000">
        <w:rPr>
          <w:spacing w:val="-4"/>
        </w:rPr>
        <w:t xml:space="preserve"> </w:t>
      </w:r>
      <w:r w:rsidR="00000000">
        <w:t>The</w:t>
      </w:r>
      <w:r w:rsidR="00000000">
        <w:rPr>
          <w:spacing w:val="-5"/>
        </w:rPr>
        <w:t xml:space="preserve"> </w:t>
      </w:r>
      <w:r w:rsidR="00000000">
        <w:t>plan</w:t>
      </w:r>
      <w:r w:rsidR="00000000">
        <w:rPr>
          <w:spacing w:val="-3"/>
        </w:rPr>
        <w:t xml:space="preserve"> </w:t>
      </w:r>
      <w:r w:rsidR="00000000">
        <w:t>defines</w:t>
      </w:r>
      <w:r w:rsidR="00000000">
        <w:rPr>
          <w:spacing w:val="-1"/>
        </w:rPr>
        <w:t xml:space="preserve"> </w:t>
      </w:r>
      <w:r w:rsidR="00000000">
        <w:t>goals,</w:t>
      </w:r>
      <w:r w:rsidR="00000000">
        <w:rPr>
          <w:spacing w:val="-3"/>
        </w:rPr>
        <w:t xml:space="preserve"> </w:t>
      </w:r>
      <w:r w:rsidR="00000000">
        <w:t>as</w:t>
      </w:r>
      <w:r w:rsidR="00000000">
        <w:rPr>
          <w:spacing w:val="-4"/>
        </w:rPr>
        <w:t xml:space="preserve"> </w:t>
      </w:r>
      <w:r w:rsidR="00000000">
        <w:t>well</w:t>
      </w:r>
      <w:r w:rsidR="00000000">
        <w:rPr>
          <w:spacing w:val="-1"/>
        </w:rPr>
        <w:t xml:space="preserve"> </w:t>
      </w:r>
      <w:r w:rsidR="00000000">
        <w:t>as</w:t>
      </w:r>
      <w:r w:rsidR="00000000">
        <w:rPr>
          <w:spacing w:val="-3"/>
        </w:rPr>
        <w:t xml:space="preserve"> </w:t>
      </w:r>
      <w:r w:rsidR="00000000">
        <w:t>further</w:t>
      </w:r>
      <w:r w:rsidR="00000000">
        <w:rPr>
          <w:spacing w:val="-5"/>
        </w:rPr>
        <w:t xml:space="preserve"> </w:t>
      </w:r>
      <w:r w:rsidR="00000000">
        <w:t>activities</w:t>
      </w:r>
      <w:r w:rsidR="00000000">
        <w:rPr>
          <w:spacing w:val="-4"/>
        </w:rPr>
        <w:t xml:space="preserve"> </w:t>
      </w:r>
      <w:r w:rsidR="00000000">
        <w:t>aimed</w:t>
      </w:r>
      <w:r w:rsidR="00000000">
        <w:rPr>
          <w:spacing w:val="-4"/>
        </w:rPr>
        <w:t xml:space="preserve"> </w:t>
      </w:r>
      <w:r w:rsidR="00000000">
        <w:t>at</w:t>
      </w:r>
      <w:r w:rsidR="00000000">
        <w:rPr>
          <w:spacing w:val="-3"/>
        </w:rPr>
        <w:t xml:space="preserve"> </w:t>
      </w:r>
      <w:r w:rsidR="00000000">
        <w:t>reducing</w:t>
      </w:r>
      <w:r w:rsidR="00000000">
        <w:rPr>
          <w:spacing w:val="-2"/>
        </w:rPr>
        <w:t xml:space="preserve"> </w:t>
      </w:r>
      <w:r w:rsidR="00000000">
        <w:t>users</w:t>
      </w:r>
      <w:r w:rsidR="00000000">
        <w:rPr>
          <w:spacing w:val="-58"/>
        </w:rPr>
        <w:t xml:space="preserve"> </w:t>
      </w:r>
      <w:r w:rsidR="00000000">
        <w:t>entering institutions and increasing the exiting from institutions to new forms of care for the</w:t>
      </w:r>
      <w:r w:rsidR="00000000">
        <w:rPr>
          <w:spacing w:val="1"/>
        </w:rPr>
        <w:t xml:space="preserve"> </w:t>
      </w:r>
      <w:r w:rsidR="00000000">
        <w:t>following</w:t>
      </w:r>
      <w:r w:rsidR="00000000">
        <w:rPr>
          <w:spacing w:val="-7"/>
        </w:rPr>
        <w:t xml:space="preserve"> </w:t>
      </w:r>
      <w:r w:rsidR="00000000">
        <w:t>user</w:t>
      </w:r>
      <w:r w:rsidR="00000000">
        <w:rPr>
          <w:spacing w:val="-1"/>
        </w:rPr>
        <w:t xml:space="preserve"> </w:t>
      </w:r>
      <w:r w:rsidR="00000000">
        <w:t>groups:</w:t>
      </w:r>
      <w:r w:rsidR="00000000">
        <w:rPr>
          <w:spacing w:val="-4"/>
        </w:rPr>
        <w:t xml:space="preserve"> </w:t>
      </w:r>
      <w:r w:rsidR="00000000">
        <w:t>children</w:t>
      </w:r>
      <w:r w:rsidR="00000000">
        <w:rPr>
          <w:spacing w:val="-4"/>
        </w:rPr>
        <w:t xml:space="preserve"> </w:t>
      </w:r>
      <w:r w:rsidR="00000000">
        <w:t>and</w:t>
      </w:r>
      <w:r w:rsidR="00000000">
        <w:rPr>
          <w:spacing w:val="1"/>
        </w:rPr>
        <w:t xml:space="preserve"> </w:t>
      </w:r>
      <w:r w:rsidR="00000000">
        <w:t>young</w:t>
      </w:r>
      <w:r w:rsidR="00000000">
        <w:rPr>
          <w:spacing w:val="-6"/>
        </w:rPr>
        <w:t xml:space="preserve"> </w:t>
      </w:r>
      <w:r w:rsidR="00000000">
        <w:t>people without</w:t>
      </w:r>
      <w:r w:rsidR="00000000">
        <w:rPr>
          <w:spacing w:val="-4"/>
        </w:rPr>
        <w:t xml:space="preserve"> </w:t>
      </w:r>
      <w:r w:rsidR="00000000">
        <w:t>adequate</w:t>
      </w:r>
      <w:r w:rsidR="00000000">
        <w:rPr>
          <w:spacing w:val="-4"/>
        </w:rPr>
        <w:t xml:space="preserve"> </w:t>
      </w:r>
      <w:r w:rsidR="00000000">
        <w:t>parental</w:t>
      </w:r>
      <w:r w:rsidR="00000000">
        <w:rPr>
          <w:spacing w:val="-3"/>
        </w:rPr>
        <w:t xml:space="preserve"> </w:t>
      </w:r>
      <w:r w:rsidR="00000000">
        <w:t>care,</w:t>
      </w:r>
      <w:r w:rsidR="00000000">
        <w:rPr>
          <w:spacing w:val="-1"/>
        </w:rPr>
        <w:t xml:space="preserve"> </w:t>
      </w:r>
      <w:r w:rsidR="00000000">
        <w:t>children</w:t>
      </w:r>
      <w:r w:rsidR="00000000">
        <w:rPr>
          <w:spacing w:val="-4"/>
        </w:rPr>
        <w:t xml:space="preserve"> </w:t>
      </w:r>
      <w:r w:rsidR="00000000">
        <w:t>and</w:t>
      </w:r>
      <w:r w:rsidR="00000000">
        <w:rPr>
          <w:spacing w:val="-58"/>
        </w:rPr>
        <w:t xml:space="preserve"> </w:t>
      </w:r>
      <w:r w:rsidR="00000000">
        <w:t>young</w:t>
      </w:r>
      <w:r w:rsidR="00000000">
        <w:rPr>
          <w:spacing w:val="-9"/>
        </w:rPr>
        <w:t xml:space="preserve"> </w:t>
      </w:r>
      <w:r w:rsidR="00000000">
        <w:t>people</w:t>
      </w:r>
      <w:r w:rsidR="00000000">
        <w:rPr>
          <w:spacing w:val="-4"/>
        </w:rPr>
        <w:t xml:space="preserve"> </w:t>
      </w:r>
      <w:r w:rsidR="00000000">
        <w:t>with</w:t>
      </w:r>
      <w:r w:rsidR="00000000">
        <w:rPr>
          <w:spacing w:val="-5"/>
        </w:rPr>
        <w:t xml:space="preserve"> </w:t>
      </w:r>
      <w:r w:rsidR="00000000">
        <w:t>behavioural</w:t>
      </w:r>
      <w:r w:rsidR="00000000">
        <w:rPr>
          <w:spacing w:val="-6"/>
        </w:rPr>
        <w:t xml:space="preserve"> </w:t>
      </w:r>
      <w:r w:rsidR="00000000">
        <w:t>problems,</w:t>
      </w:r>
      <w:r w:rsidR="00000000">
        <w:rPr>
          <w:spacing w:val="-3"/>
        </w:rPr>
        <w:t xml:space="preserve"> </w:t>
      </w:r>
      <w:r w:rsidR="00000000">
        <w:t>children</w:t>
      </w:r>
      <w:r w:rsidR="00000000">
        <w:rPr>
          <w:spacing w:val="-3"/>
        </w:rPr>
        <w:t xml:space="preserve"> </w:t>
      </w:r>
      <w:r w:rsidR="00000000">
        <w:t>with</w:t>
      </w:r>
      <w:r w:rsidR="00000000">
        <w:rPr>
          <w:spacing w:val="-6"/>
        </w:rPr>
        <w:t xml:space="preserve"> </w:t>
      </w:r>
      <w:r w:rsidR="00000000">
        <w:t>disabilities</w:t>
      </w:r>
      <w:r w:rsidR="00000000">
        <w:rPr>
          <w:spacing w:val="-5"/>
        </w:rPr>
        <w:t xml:space="preserve"> </w:t>
      </w:r>
      <w:r w:rsidR="00000000">
        <w:t>and</w:t>
      </w:r>
      <w:r w:rsidR="00000000">
        <w:rPr>
          <w:spacing w:val="-4"/>
        </w:rPr>
        <w:t xml:space="preserve"> </w:t>
      </w:r>
      <w:r w:rsidR="00000000">
        <w:t>adults</w:t>
      </w:r>
      <w:r w:rsidR="00000000">
        <w:rPr>
          <w:spacing w:val="-6"/>
        </w:rPr>
        <w:t xml:space="preserve"> </w:t>
      </w:r>
      <w:r w:rsidR="00000000">
        <w:t>with</w:t>
      </w:r>
      <w:r w:rsidR="00000000">
        <w:rPr>
          <w:spacing w:val="-5"/>
        </w:rPr>
        <w:t xml:space="preserve"> </w:t>
      </w:r>
      <w:r w:rsidR="00000000">
        <w:t>disabilities.</w:t>
      </w:r>
    </w:p>
    <w:p w:rsidR="00A56FE9" w:rsidRDefault="00A56FE9">
      <w:pPr>
        <w:pStyle w:val="Tijeloteksta"/>
        <w:spacing w:before="1"/>
        <w:ind w:left="0"/>
        <w:jc w:val="left"/>
        <w:rPr>
          <w:sz w:val="32"/>
        </w:rPr>
      </w:pPr>
    </w:p>
    <w:p w:rsidR="00A56FE9" w:rsidRDefault="00000000">
      <w:pPr>
        <w:pStyle w:val="Naslov4"/>
      </w:pPr>
      <w:r>
        <w:rPr>
          <w:color w:val="2C398A"/>
        </w:rPr>
        <w:t>Developing</w:t>
      </w:r>
      <w:r>
        <w:rPr>
          <w:color w:val="2C398A"/>
          <w:spacing w:val="-3"/>
        </w:rPr>
        <w:t xml:space="preserve"> </w:t>
      </w:r>
      <w:r>
        <w:rPr>
          <w:color w:val="2C398A"/>
        </w:rPr>
        <w:t>and expanding</w:t>
      </w:r>
      <w:r>
        <w:rPr>
          <w:color w:val="2C398A"/>
          <w:spacing w:val="-3"/>
        </w:rPr>
        <w:t xml:space="preserve"> </w:t>
      </w:r>
      <w:r>
        <w:rPr>
          <w:color w:val="2C398A"/>
        </w:rPr>
        <w:t>the network</w:t>
      </w:r>
      <w:r>
        <w:rPr>
          <w:color w:val="2C398A"/>
          <w:spacing w:val="-2"/>
        </w:rPr>
        <w:t xml:space="preserve"> </w:t>
      </w:r>
      <w:r>
        <w:rPr>
          <w:color w:val="2C398A"/>
        </w:rPr>
        <w:t>of</w:t>
      </w:r>
      <w:r>
        <w:rPr>
          <w:color w:val="2C398A"/>
          <w:spacing w:val="-3"/>
        </w:rPr>
        <w:t xml:space="preserve"> </w:t>
      </w:r>
      <w:r>
        <w:rPr>
          <w:color w:val="2C398A"/>
        </w:rPr>
        <w:t>social</w:t>
      </w:r>
      <w:r>
        <w:rPr>
          <w:color w:val="2C398A"/>
          <w:spacing w:val="-2"/>
        </w:rPr>
        <w:t xml:space="preserve"> </w:t>
      </w:r>
      <w:r>
        <w:rPr>
          <w:color w:val="2C398A"/>
        </w:rPr>
        <w:t>services</w:t>
      </w:r>
    </w:p>
    <w:p w:rsidR="00A56FE9" w:rsidRDefault="00000000">
      <w:pPr>
        <w:spacing w:before="231"/>
        <w:ind w:left="138" w:right="274"/>
        <w:jc w:val="both"/>
        <w:rPr>
          <w:i/>
          <w:sz w:val="24"/>
        </w:rPr>
      </w:pPr>
      <w:r>
        <w:rPr>
          <w:i/>
          <w:color w:val="2C398A"/>
          <w:sz w:val="24"/>
        </w:rPr>
        <w:t>2020.CSR2.1. Strengthen labour market measures and institutions and improve the adequacy</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unemployment</w:t>
      </w:r>
      <w:r>
        <w:rPr>
          <w:i/>
          <w:color w:val="2C398A"/>
          <w:spacing w:val="1"/>
          <w:sz w:val="24"/>
        </w:rPr>
        <w:t xml:space="preserve"> </w:t>
      </w:r>
      <w:r>
        <w:rPr>
          <w:i/>
          <w:color w:val="2C398A"/>
          <w:sz w:val="24"/>
        </w:rPr>
        <w:t>benefits</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minimum</w:t>
      </w:r>
      <w:r>
        <w:rPr>
          <w:i/>
          <w:color w:val="2C398A"/>
          <w:spacing w:val="1"/>
          <w:sz w:val="24"/>
        </w:rPr>
        <w:t xml:space="preserve"> </w:t>
      </w:r>
      <w:r>
        <w:rPr>
          <w:i/>
          <w:color w:val="2C398A"/>
          <w:sz w:val="24"/>
        </w:rPr>
        <w:t>income</w:t>
      </w:r>
      <w:r>
        <w:rPr>
          <w:i/>
          <w:color w:val="2C398A"/>
          <w:spacing w:val="1"/>
          <w:sz w:val="24"/>
        </w:rPr>
        <w:t xml:space="preserve"> </w:t>
      </w:r>
      <w:r>
        <w:rPr>
          <w:i/>
          <w:color w:val="2C398A"/>
          <w:sz w:val="24"/>
        </w:rPr>
        <w:t>schemes;</w:t>
      </w:r>
      <w:r>
        <w:rPr>
          <w:i/>
          <w:color w:val="2C398A"/>
          <w:spacing w:val="1"/>
          <w:sz w:val="24"/>
        </w:rPr>
        <w:t xml:space="preserve"> </w:t>
      </w:r>
      <w:r>
        <w:rPr>
          <w:i/>
          <w:color w:val="2C398A"/>
          <w:sz w:val="24"/>
        </w:rPr>
        <w:t>2020.CSR</w:t>
      </w:r>
      <w:r>
        <w:rPr>
          <w:i/>
          <w:color w:val="2C398A"/>
          <w:spacing w:val="1"/>
          <w:sz w:val="24"/>
        </w:rPr>
        <w:t xml:space="preserve"> </w:t>
      </w:r>
      <w:r>
        <w:rPr>
          <w:i/>
          <w:color w:val="2C398A"/>
          <w:sz w:val="24"/>
        </w:rPr>
        <w:t>2.3.</w:t>
      </w:r>
      <w:r>
        <w:rPr>
          <w:i/>
          <w:color w:val="2C398A"/>
          <w:spacing w:val="1"/>
          <w:sz w:val="24"/>
        </w:rPr>
        <w:t xml:space="preserve"> </w:t>
      </w:r>
      <w:r>
        <w:rPr>
          <w:i/>
          <w:color w:val="2C398A"/>
          <w:sz w:val="24"/>
        </w:rPr>
        <w:t>Promote</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acquisition</w:t>
      </w:r>
      <w:r>
        <w:rPr>
          <w:i/>
          <w:color w:val="2C398A"/>
          <w:spacing w:val="-1"/>
          <w:sz w:val="24"/>
        </w:rPr>
        <w:t xml:space="preserve"> </w:t>
      </w:r>
      <w:r>
        <w:rPr>
          <w:i/>
          <w:color w:val="2C398A"/>
          <w:sz w:val="24"/>
        </w:rPr>
        <w:t>of skills</w:t>
      </w:r>
    </w:p>
    <w:p w:rsidR="00A56FE9" w:rsidRDefault="00A56FE9">
      <w:pPr>
        <w:pStyle w:val="Tijeloteksta"/>
        <w:spacing w:before="3"/>
        <w:ind w:left="0"/>
        <w:jc w:val="left"/>
        <w:rPr>
          <w:i/>
          <w:sz w:val="21"/>
        </w:rPr>
      </w:pPr>
    </w:p>
    <w:p w:rsidR="00A56FE9" w:rsidRDefault="00000000">
      <w:pPr>
        <w:pStyle w:val="Naslov5"/>
        <w:spacing w:before="1" w:after="22"/>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593392898"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1370166295" name="Rectangle 101"/>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B7D3CF4" id="Group 100"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">
                <v:rect id="Rectangle 101"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4"/>
      </w:pPr>
      <w:r>
        <w:t>The provision of social services is financed from ESF, and in 2021, a total of 103 projects</w:t>
      </w:r>
      <w:r>
        <w:rPr>
          <w:spacing w:val="1"/>
        </w:rPr>
        <w:t xml:space="preserve"> </w:t>
      </w:r>
      <w:r>
        <w:t>valued</w:t>
      </w:r>
      <w:r>
        <w:rPr>
          <w:spacing w:val="-12"/>
        </w:rPr>
        <w:t xml:space="preserve"> </w:t>
      </w:r>
      <w:r>
        <w:t>at</w:t>
      </w:r>
      <w:r>
        <w:rPr>
          <w:spacing w:val="-7"/>
        </w:rPr>
        <w:t xml:space="preserve"> </w:t>
      </w:r>
      <w:r>
        <w:t>HRK</w:t>
      </w:r>
      <w:r>
        <w:rPr>
          <w:spacing w:val="-10"/>
        </w:rPr>
        <w:t xml:space="preserve"> </w:t>
      </w:r>
      <w:r>
        <w:t>143.7</w:t>
      </w:r>
      <w:r>
        <w:rPr>
          <w:spacing w:val="-8"/>
        </w:rPr>
        <w:t xml:space="preserve"> </w:t>
      </w:r>
      <w:r>
        <w:t>million</w:t>
      </w:r>
      <w:r>
        <w:rPr>
          <w:spacing w:val="-9"/>
        </w:rPr>
        <w:t xml:space="preserve"> </w:t>
      </w:r>
      <w:r>
        <w:t>were</w:t>
      </w:r>
      <w:r>
        <w:rPr>
          <w:spacing w:val="-11"/>
        </w:rPr>
        <w:t xml:space="preserve"> </w:t>
      </w:r>
      <w:r>
        <w:t>contracted</w:t>
      </w:r>
      <w:r>
        <w:rPr>
          <w:spacing w:val="-8"/>
        </w:rPr>
        <w:t xml:space="preserve"> </w:t>
      </w:r>
      <w:r>
        <w:t>within</w:t>
      </w:r>
      <w:r>
        <w:rPr>
          <w:spacing w:val="-10"/>
        </w:rPr>
        <w:t xml:space="preserve"> </w:t>
      </w:r>
      <w:r>
        <w:t>the</w:t>
      </w:r>
      <w:r>
        <w:rPr>
          <w:spacing w:val="-11"/>
        </w:rPr>
        <w:t xml:space="preserve"> </w:t>
      </w:r>
      <w:r>
        <w:t>scope</w:t>
      </w:r>
      <w:r>
        <w:rPr>
          <w:spacing w:val="-12"/>
        </w:rPr>
        <w:t xml:space="preserve"> </w:t>
      </w:r>
      <w:r>
        <w:t>of</w:t>
      </w:r>
      <w:r>
        <w:rPr>
          <w:spacing w:val="-11"/>
        </w:rPr>
        <w:t xml:space="preserve"> </w:t>
      </w:r>
      <w:r>
        <w:t>the</w:t>
      </w:r>
      <w:r>
        <w:rPr>
          <w:spacing w:val="-8"/>
        </w:rPr>
        <w:t xml:space="preserve"> </w:t>
      </w:r>
      <w:r>
        <w:t>Public</w:t>
      </w:r>
      <w:r>
        <w:rPr>
          <w:spacing w:val="-9"/>
        </w:rPr>
        <w:t xml:space="preserve"> </w:t>
      </w:r>
      <w:r>
        <w:t>Call</w:t>
      </w:r>
      <w:r>
        <w:rPr>
          <w:spacing w:val="-9"/>
        </w:rPr>
        <w:t xml:space="preserve"> </w:t>
      </w:r>
      <w:r>
        <w:t>for</w:t>
      </w:r>
      <w:r>
        <w:rPr>
          <w:spacing w:val="-13"/>
        </w:rPr>
        <w:t xml:space="preserve"> </w:t>
      </w:r>
      <w:r>
        <w:t>Expanding</w:t>
      </w:r>
      <w:r>
        <w:rPr>
          <w:spacing w:val="-57"/>
        </w:rPr>
        <w:t xml:space="preserve"> </w:t>
      </w:r>
      <w:r>
        <w:t>the Network of Social Services in the Community – Phase 1 (HRK 152.15 million, 85% ESF)</w:t>
      </w:r>
      <w:r>
        <w:rPr>
          <w:spacing w:val="1"/>
        </w:rPr>
        <w:t xml:space="preserve"> </w:t>
      </w:r>
      <w:r>
        <w:t>which finances employing the necessary workers for providing services and improving the</w:t>
      </w:r>
      <w:r>
        <w:rPr>
          <w:spacing w:val="1"/>
        </w:rPr>
        <w:t xml:space="preserve"> </w:t>
      </w:r>
      <w:r>
        <w:t>quality of services by educating experts who work with vulnerable groups as well as smaller</w:t>
      </w:r>
      <w:r>
        <w:rPr>
          <w:spacing w:val="1"/>
        </w:rPr>
        <w:t xml:space="preserve"> </w:t>
      </w:r>
      <w:r>
        <w:rPr>
          <w:spacing w:val="-1"/>
        </w:rPr>
        <w:t>investments</w:t>
      </w:r>
      <w:r>
        <w:rPr>
          <w:spacing w:val="-9"/>
        </w:rPr>
        <w:t xml:space="preserve"> </w:t>
      </w:r>
      <w:r>
        <w:rPr>
          <w:spacing w:val="-1"/>
        </w:rPr>
        <w:t>in</w:t>
      </w:r>
      <w:r>
        <w:rPr>
          <w:spacing w:val="-10"/>
        </w:rPr>
        <w:t xml:space="preserve"> </w:t>
      </w:r>
      <w:r>
        <w:rPr>
          <w:spacing w:val="-1"/>
        </w:rPr>
        <w:t>premises</w:t>
      </w:r>
      <w:r>
        <w:rPr>
          <w:spacing w:val="-10"/>
        </w:rPr>
        <w:t xml:space="preserve"> </w:t>
      </w:r>
      <w:r>
        <w:t>and</w:t>
      </w:r>
      <w:r>
        <w:rPr>
          <w:spacing w:val="-9"/>
        </w:rPr>
        <w:t xml:space="preserve"> </w:t>
      </w:r>
      <w:r>
        <w:t>equipment.</w:t>
      </w:r>
      <w:r>
        <w:rPr>
          <w:spacing w:val="-8"/>
        </w:rPr>
        <w:t xml:space="preserve"> </w:t>
      </w:r>
      <w:r>
        <w:t>By</w:t>
      </w:r>
      <w:r>
        <w:rPr>
          <w:spacing w:val="-15"/>
        </w:rPr>
        <w:t xml:space="preserve"> </w:t>
      </w:r>
      <w:r>
        <w:t>the</w:t>
      </w:r>
      <w:r>
        <w:rPr>
          <w:spacing w:val="-7"/>
        </w:rPr>
        <w:t xml:space="preserve"> </w:t>
      </w:r>
      <w:r>
        <w:t>end</w:t>
      </w:r>
      <w:r>
        <w:rPr>
          <w:spacing w:val="-8"/>
        </w:rPr>
        <w:t xml:space="preserve"> </w:t>
      </w:r>
      <w:r>
        <w:t>of</w:t>
      </w:r>
      <w:r>
        <w:rPr>
          <w:spacing w:val="-11"/>
        </w:rPr>
        <w:t xml:space="preserve"> </w:t>
      </w:r>
      <w:r>
        <w:t>2021,</w:t>
      </w:r>
      <w:r>
        <w:rPr>
          <w:spacing w:val="-10"/>
        </w:rPr>
        <w:t xml:space="preserve"> </w:t>
      </w:r>
      <w:r>
        <w:t>a</w:t>
      </w:r>
      <w:r>
        <w:rPr>
          <w:spacing w:val="-10"/>
        </w:rPr>
        <w:t xml:space="preserve"> </w:t>
      </w:r>
      <w:r>
        <w:t>total</w:t>
      </w:r>
      <w:r>
        <w:rPr>
          <w:spacing w:val="-10"/>
        </w:rPr>
        <w:t xml:space="preserve"> </w:t>
      </w:r>
      <w:r>
        <w:t>of</w:t>
      </w:r>
      <w:r>
        <w:rPr>
          <w:spacing w:val="-11"/>
        </w:rPr>
        <w:t xml:space="preserve"> </w:t>
      </w:r>
      <w:r>
        <w:t>1,074</w:t>
      </w:r>
      <w:r>
        <w:rPr>
          <w:spacing w:val="-11"/>
        </w:rPr>
        <w:t xml:space="preserve"> </w:t>
      </w:r>
      <w:r>
        <w:t>children</w:t>
      </w:r>
      <w:r>
        <w:rPr>
          <w:spacing w:val="-10"/>
        </w:rPr>
        <w:t xml:space="preserve"> </w:t>
      </w:r>
      <w:r>
        <w:t>and</w:t>
      </w:r>
      <w:r>
        <w:rPr>
          <w:spacing w:val="-5"/>
        </w:rPr>
        <w:t xml:space="preserve"> </w:t>
      </w:r>
      <w:r>
        <w:t>young</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rPr>
          <w:spacing w:val="-1"/>
        </w:rPr>
        <w:t>people,</w:t>
      </w:r>
      <w:r>
        <w:rPr>
          <w:spacing w:val="-15"/>
        </w:rPr>
        <w:t xml:space="preserve"> </w:t>
      </w:r>
      <w:r>
        <w:t>1,190</w:t>
      </w:r>
      <w:r>
        <w:rPr>
          <w:spacing w:val="-15"/>
        </w:rPr>
        <w:t xml:space="preserve"> </w:t>
      </w:r>
      <w:r>
        <w:t>people</w:t>
      </w:r>
      <w:r>
        <w:rPr>
          <w:spacing w:val="-15"/>
        </w:rPr>
        <w:t xml:space="preserve"> </w:t>
      </w:r>
      <w:r>
        <w:t>with</w:t>
      </w:r>
      <w:r>
        <w:rPr>
          <w:spacing w:val="-12"/>
        </w:rPr>
        <w:t xml:space="preserve"> </w:t>
      </w:r>
      <w:r>
        <w:t>disabilities,</w:t>
      </w:r>
      <w:r>
        <w:rPr>
          <w:spacing w:val="-15"/>
        </w:rPr>
        <w:t xml:space="preserve"> </w:t>
      </w:r>
      <w:r>
        <w:t>3,266</w:t>
      </w:r>
      <w:r>
        <w:rPr>
          <w:spacing w:val="-15"/>
        </w:rPr>
        <w:t xml:space="preserve"> </w:t>
      </w:r>
      <w:r>
        <w:t>elderly</w:t>
      </w:r>
      <w:r>
        <w:rPr>
          <w:spacing w:val="-17"/>
        </w:rPr>
        <w:t xml:space="preserve"> </w:t>
      </w:r>
      <w:r>
        <w:t>people</w:t>
      </w:r>
      <w:r>
        <w:rPr>
          <w:spacing w:val="-15"/>
        </w:rPr>
        <w:t xml:space="preserve"> </w:t>
      </w:r>
      <w:r>
        <w:t>and</w:t>
      </w:r>
      <w:r>
        <w:rPr>
          <w:spacing w:val="-15"/>
        </w:rPr>
        <w:t xml:space="preserve"> </w:t>
      </w:r>
      <w:r>
        <w:t>992</w:t>
      </w:r>
      <w:r>
        <w:rPr>
          <w:spacing w:val="-15"/>
        </w:rPr>
        <w:t xml:space="preserve"> </w:t>
      </w:r>
      <w:r>
        <w:t>other</w:t>
      </w:r>
      <w:r>
        <w:rPr>
          <w:spacing w:val="-16"/>
        </w:rPr>
        <w:t xml:space="preserve"> </w:t>
      </w:r>
      <w:r>
        <w:t>disadvantaged</w:t>
      </w:r>
      <w:r>
        <w:rPr>
          <w:spacing w:val="-15"/>
        </w:rPr>
        <w:t xml:space="preserve"> </w:t>
      </w:r>
      <w:r>
        <w:t>people,</w:t>
      </w:r>
      <w:r>
        <w:rPr>
          <w:spacing w:val="-57"/>
        </w:rPr>
        <w:t xml:space="preserve"> </w:t>
      </w:r>
      <w:r>
        <w:t>such as people with addictions and the homeless, received social services in the community</w:t>
      </w:r>
      <w:r>
        <w:rPr>
          <w:spacing w:val="1"/>
        </w:rPr>
        <w:t xml:space="preserve"> </w:t>
      </w:r>
      <w:r>
        <w:t>through</w:t>
      </w:r>
      <w:r>
        <w:rPr>
          <w:spacing w:val="-10"/>
        </w:rPr>
        <w:t xml:space="preserve"> </w:t>
      </w:r>
      <w:r>
        <w:t>implemented</w:t>
      </w:r>
      <w:r>
        <w:rPr>
          <w:spacing w:val="-9"/>
        </w:rPr>
        <w:t xml:space="preserve"> </w:t>
      </w:r>
      <w:r>
        <w:t>projects.</w:t>
      </w:r>
      <w:r>
        <w:rPr>
          <w:spacing w:val="-7"/>
        </w:rPr>
        <w:t xml:space="preserve"> </w:t>
      </w:r>
      <w:r>
        <w:t>Also,</w:t>
      </w:r>
      <w:r>
        <w:rPr>
          <w:spacing w:val="-8"/>
        </w:rPr>
        <w:t xml:space="preserve"> </w:t>
      </w:r>
      <w:r>
        <w:t>the</w:t>
      </w:r>
      <w:r>
        <w:rPr>
          <w:spacing w:val="-9"/>
        </w:rPr>
        <w:t xml:space="preserve"> </w:t>
      </w:r>
      <w:r>
        <w:t>Public</w:t>
      </w:r>
      <w:r>
        <w:rPr>
          <w:spacing w:val="-10"/>
        </w:rPr>
        <w:t xml:space="preserve"> </w:t>
      </w:r>
      <w:r>
        <w:t>Call</w:t>
      </w:r>
      <w:r>
        <w:rPr>
          <w:spacing w:val="-9"/>
        </w:rPr>
        <w:t xml:space="preserve"> </w:t>
      </w:r>
      <w:r>
        <w:t>for</w:t>
      </w:r>
      <w:r>
        <w:rPr>
          <w:spacing w:val="-10"/>
        </w:rPr>
        <w:t xml:space="preserve"> </w:t>
      </w:r>
      <w:r>
        <w:t>Ensuring</w:t>
      </w:r>
      <w:r>
        <w:rPr>
          <w:spacing w:val="-11"/>
        </w:rPr>
        <w:t xml:space="preserve"> </w:t>
      </w:r>
      <w:r>
        <w:t>a</w:t>
      </w:r>
      <w:r>
        <w:rPr>
          <w:spacing w:val="-10"/>
        </w:rPr>
        <w:t xml:space="preserve"> </w:t>
      </w:r>
      <w:r>
        <w:t>Support</w:t>
      </w:r>
      <w:r>
        <w:rPr>
          <w:spacing w:val="-11"/>
        </w:rPr>
        <w:t xml:space="preserve"> </w:t>
      </w:r>
      <w:r>
        <w:t>System</w:t>
      </w:r>
      <w:r>
        <w:rPr>
          <w:spacing w:val="-8"/>
        </w:rPr>
        <w:t xml:space="preserve"> </w:t>
      </w:r>
      <w:r>
        <w:t>for</w:t>
      </w:r>
      <w:r>
        <w:rPr>
          <w:spacing w:val="-10"/>
        </w:rPr>
        <w:t xml:space="preserve"> </w:t>
      </w:r>
      <w:r>
        <w:t>Women</w:t>
      </w:r>
      <w:r>
        <w:rPr>
          <w:spacing w:val="-58"/>
        </w:rPr>
        <w:t xml:space="preserve"> </w:t>
      </w:r>
      <w:r>
        <w:t>as</w:t>
      </w:r>
      <w:r>
        <w:rPr>
          <w:spacing w:val="-11"/>
        </w:rPr>
        <w:t xml:space="preserve"> </w:t>
      </w:r>
      <w:r>
        <w:t>Victims</w:t>
      </w:r>
      <w:r>
        <w:rPr>
          <w:spacing w:val="-9"/>
        </w:rPr>
        <w:t xml:space="preserve"> </w:t>
      </w:r>
      <w:r>
        <w:t>of</w:t>
      </w:r>
      <w:r>
        <w:rPr>
          <w:spacing w:val="-9"/>
        </w:rPr>
        <w:t xml:space="preserve"> </w:t>
      </w:r>
      <w:r>
        <w:t>Violence</w:t>
      </w:r>
      <w:r>
        <w:rPr>
          <w:spacing w:val="-12"/>
        </w:rPr>
        <w:t xml:space="preserve"> </w:t>
      </w:r>
      <w:r>
        <w:t>and</w:t>
      </w:r>
      <w:r>
        <w:rPr>
          <w:spacing w:val="-10"/>
        </w:rPr>
        <w:t xml:space="preserve"> </w:t>
      </w:r>
      <w:r>
        <w:t>Victims</w:t>
      </w:r>
      <w:r>
        <w:rPr>
          <w:spacing w:val="-9"/>
        </w:rPr>
        <w:t xml:space="preserve"> </w:t>
      </w:r>
      <w:r>
        <w:t>of</w:t>
      </w:r>
      <w:r>
        <w:rPr>
          <w:spacing w:val="-12"/>
        </w:rPr>
        <w:t xml:space="preserve"> </w:t>
      </w:r>
      <w:r>
        <w:t>Domestic</w:t>
      </w:r>
      <w:r>
        <w:rPr>
          <w:spacing w:val="-9"/>
        </w:rPr>
        <w:t xml:space="preserve"> </w:t>
      </w:r>
      <w:r>
        <w:t>Violence</w:t>
      </w:r>
      <w:r>
        <w:rPr>
          <w:spacing w:val="-5"/>
        </w:rPr>
        <w:t xml:space="preserve"> </w:t>
      </w:r>
      <w:r>
        <w:t>(HRK</w:t>
      </w:r>
      <w:r>
        <w:rPr>
          <w:spacing w:val="-11"/>
        </w:rPr>
        <w:t xml:space="preserve"> </w:t>
      </w:r>
      <w:r>
        <w:t>70</w:t>
      </w:r>
      <w:r>
        <w:rPr>
          <w:spacing w:val="-9"/>
        </w:rPr>
        <w:t xml:space="preserve"> </w:t>
      </w:r>
      <w:r>
        <w:t>million,</w:t>
      </w:r>
      <w:r>
        <w:rPr>
          <w:spacing w:val="-10"/>
        </w:rPr>
        <w:t xml:space="preserve"> </w:t>
      </w:r>
      <w:r>
        <w:t>ESF</w:t>
      </w:r>
      <w:r>
        <w:rPr>
          <w:spacing w:val="-12"/>
        </w:rPr>
        <w:t xml:space="preserve"> </w:t>
      </w:r>
      <w:r>
        <w:t>85%)</w:t>
      </w:r>
      <w:r>
        <w:rPr>
          <w:spacing w:val="-12"/>
        </w:rPr>
        <w:t xml:space="preserve"> </w:t>
      </w:r>
      <w:r>
        <w:t>in</w:t>
      </w:r>
      <w:r>
        <w:rPr>
          <w:spacing w:val="-10"/>
        </w:rPr>
        <w:t xml:space="preserve"> </w:t>
      </w:r>
      <w:r>
        <w:t>2021</w:t>
      </w:r>
      <w:r>
        <w:rPr>
          <w:spacing w:val="-57"/>
        </w:rPr>
        <w:t xml:space="preserve"> </w:t>
      </w:r>
      <w:r>
        <w:t>led</w:t>
      </w:r>
      <w:r>
        <w:rPr>
          <w:spacing w:val="-7"/>
        </w:rPr>
        <w:t xml:space="preserve"> </w:t>
      </w:r>
      <w:r>
        <w:t>to</w:t>
      </w:r>
      <w:r>
        <w:rPr>
          <w:spacing w:val="-5"/>
        </w:rPr>
        <w:t xml:space="preserve"> </w:t>
      </w:r>
      <w:r>
        <w:t>the</w:t>
      </w:r>
      <w:r>
        <w:rPr>
          <w:spacing w:val="-3"/>
        </w:rPr>
        <w:t xml:space="preserve"> </w:t>
      </w:r>
      <w:r>
        <w:t>contracting</w:t>
      </w:r>
      <w:r>
        <w:rPr>
          <w:spacing w:val="-8"/>
        </w:rPr>
        <w:t xml:space="preserve"> </w:t>
      </w:r>
      <w:r>
        <w:t>of</w:t>
      </w:r>
      <w:r>
        <w:rPr>
          <w:spacing w:val="-7"/>
        </w:rPr>
        <w:t xml:space="preserve"> </w:t>
      </w:r>
      <w:r>
        <w:t>six</w:t>
      </w:r>
      <w:r>
        <w:rPr>
          <w:spacing w:val="-3"/>
        </w:rPr>
        <w:t xml:space="preserve"> </w:t>
      </w:r>
      <w:r>
        <w:t>projects</w:t>
      </w:r>
      <w:r>
        <w:rPr>
          <w:spacing w:val="-5"/>
        </w:rPr>
        <w:t xml:space="preserve"> </w:t>
      </w:r>
      <w:r>
        <w:t>to</w:t>
      </w:r>
      <w:r>
        <w:rPr>
          <w:spacing w:val="-5"/>
        </w:rPr>
        <w:t xml:space="preserve"> </w:t>
      </w:r>
      <w:r>
        <w:t>improve</w:t>
      </w:r>
      <w:r>
        <w:rPr>
          <w:spacing w:val="-8"/>
        </w:rPr>
        <w:t xml:space="preserve"> </w:t>
      </w:r>
      <w:r>
        <w:t>the</w:t>
      </w:r>
      <w:r>
        <w:rPr>
          <w:spacing w:val="-4"/>
        </w:rPr>
        <w:t xml:space="preserve"> </w:t>
      </w:r>
      <w:r>
        <w:t>system</w:t>
      </w:r>
      <w:r>
        <w:rPr>
          <w:spacing w:val="-5"/>
        </w:rPr>
        <w:t xml:space="preserve"> </w:t>
      </w:r>
      <w:r>
        <w:t>of</w:t>
      </w:r>
      <w:r>
        <w:rPr>
          <w:spacing w:val="-6"/>
        </w:rPr>
        <w:t xml:space="preserve"> </w:t>
      </w:r>
      <w:r>
        <w:t>support</w:t>
      </w:r>
      <w:r>
        <w:rPr>
          <w:spacing w:val="-4"/>
        </w:rPr>
        <w:t xml:space="preserve"> </w:t>
      </w:r>
      <w:r>
        <w:t>across</w:t>
      </w:r>
      <w:r>
        <w:rPr>
          <w:spacing w:val="-6"/>
        </w:rPr>
        <w:t xml:space="preserve"> </w:t>
      </w:r>
      <w:r>
        <w:t>six</w:t>
      </w:r>
      <w:r>
        <w:rPr>
          <w:spacing w:val="-2"/>
        </w:rPr>
        <w:t xml:space="preserve"> </w:t>
      </w:r>
      <w:r>
        <w:t>counties</w:t>
      </w:r>
      <w:r>
        <w:rPr>
          <w:spacing w:val="-5"/>
        </w:rPr>
        <w:t xml:space="preserve"> </w:t>
      </w:r>
      <w:r>
        <w:t>in</w:t>
      </w:r>
      <w:r>
        <w:rPr>
          <w:spacing w:val="-6"/>
        </w:rPr>
        <w:t xml:space="preserve"> </w:t>
      </w:r>
      <w:r>
        <w:t>the</w:t>
      </w:r>
      <w:r>
        <w:rPr>
          <w:spacing w:val="-57"/>
        </w:rPr>
        <w:t xml:space="preserve"> </w:t>
      </w:r>
      <w:r>
        <w:t>Republic of Croatia, including prevention and protection from violence against women and</w:t>
      </w:r>
      <w:r>
        <w:rPr>
          <w:spacing w:val="1"/>
        </w:rPr>
        <w:t xml:space="preserve"> </w:t>
      </w:r>
      <w:r>
        <w:t>violence</w:t>
      </w:r>
      <w:r>
        <w:rPr>
          <w:spacing w:val="-1"/>
        </w:rPr>
        <w:t xml:space="preserve"> </w:t>
      </w:r>
      <w:r>
        <w:t>in the</w:t>
      </w:r>
      <w:r>
        <w:rPr>
          <w:spacing w:val="-1"/>
        </w:rPr>
        <w:t xml:space="preserve"> </w:t>
      </w:r>
      <w:r>
        <w:t>family</w:t>
      </w:r>
      <w:r>
        <w:rPr>
          <w:spacing w:val="-5"/>
        </w:rPr>
        <w:t xml:space="preserve"> </w:t>
      </w:r>
      <w:r>
        <w:t>(domestic</w:t>
      </w:r>
      <w:r>
        <w:rPr>
          <w:spacing w:val="-1"/>
        </w:rPr>
        <w:t xml:space="preserve"> </w:t>
      </w:r>
      <w:r>
        <w:t>violence).</w:t>
      </w:r>
    </w:p>
    <w:p w:rsidR="00A56FE9" w:rsidRDefault="00A56FE9">
      <w:pPr>
        <w:pStyle w:val="Tijeloteksta"/>
        <w:spacing w:before="4"/>
        <w:ind w:left="0"/>
        <w:jc w:val="left"/>
        <w:rPr>
          <w:sz w:val="21"/>
        </w:rPr>
      </w:pPr>
    </w:p>
    <w:p w:rsidR="00A56FE9" w:rsidRDefault="00000000">
      <w:pPr>
        <w:pStyle w:val="Naslov5"/>
      </w:pPr>
      <w:r>
        <w:t>Planned</w:t>
      </w:r>
      <w:r>
        <w:rPr>
          <w:spacing w:val="-3"/>
        </w:rPr>
        <w:t xml:space="preserve"> </w:t>
      </w:r>
      <w:r>
        <w:t>NRRP</w:t>
      </w:r>
      <w:r>
        <w:rPr>
          <w:spacing w:val="-6"/>
        </w:rPr>
        <w:t xml:space="preserve"> </w:t>
      </w:r>
      <w:r>
        <w:t>reforms and</w:t>
      </w:r>
      <w:r>
        <w:rPr>
          <w:spacing w:val="-3"/>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2087749942"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100345939" name="Rectangle 99"/>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4B3EA25" id="Group 98"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">
                <v:rect id="Rectangle 99"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3"/>
      </w:pPr>
      <w:r>
        <w:t>In terms of reform C4.3.R3 Developing community-based services, the NRRP also envisages</w:t>
      </w:r>
      <w:r>
        <w:rPr>
          <w:spacing w:val="1"/>
        </w:rPr>
        <w:t xml:space="preserve"> </w:t>
      </w:r>
      <w:r>
        <w:t>investment C4.3. R3-I4 Construction and equipping of centres for the elderly care (home and</w:t>
      </w:r>
      <w:r>
        <w:rPr>
          <w:spacing w:val="1"/>
        </w:rPr>
        <w:t xml:space="preserve"> </w:t>
      </w:r>
      <w:r>
        <w:t>community-based</w:t>
      </w:r>
      <w:r>
        <w:rPr>
          <w:spacing w:val="1"/>
        </w:rPr>
        <w:t xml:space="preserve"> </w:t>
      </w:r>
      <w:r>
        <w:t>services</w:t>
      </w:r>
      <w:r>
        <w:rPr>
          <w:spacing w:val="1"/>
        </w:rPr>
        <w:t xml:space="preserve"> </w:t>
      </w:r>
      <w:r>
        <w:t>and</w:t>
      </w:r>
      <w:r>
        <w:rPr>
          <w:spacing w:val="1"/>
        </w:rPr>
        <w:t xml:space="preserve"> </w:t>
      </w:r>
      <w:r>
        <w:t>institutional</w:t>
      </w:r>
      <w:r>
        <w:rPr>
          <w:spacing w:val="1"/>
        </w:rPr>
        <w:t xml:space="preserve"> </w:t>
      </w:r>
      <w:r>
        <w:t>services).</w:t>
      </w:r>
      <w:r>
        <w:rPr>
          <w:spacing w:val="1"/>
        </w:rPr>
        <w:t xml:space="preserve"> </w:t>
      </w:r>
      <w:r>
        <w:t>The</w:t>
      </w:r>
      <w:r>
        <w:rPr>
          <w:spacing w:val="1"/>
        </w:rPr>
        <w:t xml:space="preserve"> </w:t>
      </w:r>
      <w:r>
        <w:t>measure</w:t>
      </w:r>
      <w:r>
        <w:rPr>
          <w:spacing w:val="1"/>
        </w:rPr>
        <w:t xml:space="preserve"> </w:t>
      </w:r>
      <w:r>
        <w:t>aims</w:t>
      </w:r>
      <w:r>
        <w:rPr>
          <w:spacing w:val="1"/>
        </w:rPr>
        <w:t xml:space="preserve"> </w:t>
      </w:r>
      <w:r>
        <w:t>to</w:t>
      </w:r>
      <w:r>
        <w:rPr>
          <w:spacing w:val="1"/>
        </w:rPr>
        <w:t xml:space="preserve"> </w:t>
      </w:r>
      <w:r>
        <w:t>facilitate</w:t>
      </w:r>
      <w:r>
        <w:rPr>
          <w:spacing w:val="1"/>
        </w:rPr>
        <w:t xml:space="preserve"> </w:t>
      </w:r>
      <w:r>
        <w:t>availability of integrated comprehensive care for the elderly by improving infrastructure,</w:t>
      </w:r>
      <w:r>
        <w:rPr>
          <w:spacing w:val="1"/>
        </w:rPr>
        <w:t xml:space="preserve"> </w:t>
      </w:r>
      <w:r>
        <w:t>requires the building and equipping of eight centres for the elderly by 2026. The new centres</w:t>
      </w:r>
      <w:r>
        <w:rPr>
          <w:spacing w:val="1"/>
        </w:rPr>
        <w:t xml:space="preserve"> </w:t>
      </w:r>
      <w:r>
        <w:t>will create preconditions for providing comprehensive care for the elderly, primarily extra-</w:t>
      </w:r>
      <w:r>
        <w:rPr>
          <w:spacing w:val="1"/>
        </w:rPr>
        <w:t xml:space="preserve"> </w:t>
      </w:r>
      <w:r>
        <w:t>institutional services to people living at home, and exceptionally accommodation services for</w:t>
      </w:r>
      <w:r>
        <w:rPr>
          <w:spacing w:val="1"/>
        </w:rPr>
        <w:t xml:space="preserve"> </w:t>
      </w:r>
      <w:r>
        <w:t>800</w:t>
      </w:r>
      <w:r>
        <w:rPr>
          <w:spacing w:val="-9"/>
        </w:rPr>
        <w:t xml:space="preserve"> </w:t>
      </w:r>
      <w:r>
        <w:t>people</w:t>
      </w:r>
      <w:r>
        <w:rPr>
          <w:spacing w:val="-9"/>
        </w:rPr>
        <w:t xml:space="preserve"> </w:t>
      </w:r>
      <w:r>
        <w:t>who</w:t>
      </w:r>
      <w:r>
        <w:rPr>
          <w:spacing w:val="-8"/>
        </w:rPr>
        <w:t xml:space="preserve"> </w:t>
      </w:r>
      <w:r>
        <w:t>need</w:t>
      </w:r>
      <w:r>
        <w:rPr>
          <w:spacing w:val="-9"/>
        </w:rPr>
        <w:t xml:space="preserve"> </w:t>
      </w:r>
      <w:r>
        <w:t>help</w:t>
      </w:r>
      <w:r>
        <w:rPr>
          <w:spacing w:val="-8"/>
        </w:rPr>
        <w:t xml:space="preserve"> </w:t>
      </w:r>
      <w:r>
        <w:t>and</w:t>
      </w:r>
      <w:r>
        <w:rPr>
          <w:spacing w:val="-9"/>
        </w:rPr>
        <w:t xml:space="preserve"> </w:t>
      </w:r>
      <w:r>
        <w:t>supervision</w:t>
      </w:r>
      <w:r>
        <w:rPr>
          <w:spacing w:val="-8"/>
        </w:rPr>
        <w:t xml:space="preserve"> </w:t>
      </w:r>
      <w:r>
        <w:t>due</w:t>
      </w:r>
      <w:r>
        <w:rPr>
          <w:spacing w:val="-6"/>
        </w:rPr>
        <w:t xml:space="preserve"> </w:t>
      </w:r>
      <w:r>
        <w:t>to</w:t>
      </w:r>
      <w:r>
        <w:rPr>
          <w:spacing w:val="-8"/>
        </w:rPr>
        <w:t xml:space="preserve"> </w:t>
      </w:r>
      <w:r>
        <w:t>impaired</w:t>
      </w:r>
      <w:r>
        <w:rPr>
          <w:spacing w:val="-5"/>
        </w:rPr>
        <w:t xml:space="preserve"> </w:t>
      </w:r>
      <w:r>
        <w:t>functioning</w:t>
      </w:r>
      <w:r>
        <w:rPr>
          <w:spacing w:val="-8"/>
        </w:rPr>
        <w:t xml:space="preserve"> </w:t>
      </w:r>
      <w:r>
        <w:t>and</w:t>
      </w:r>
      <w:r>
        <w:rPr>
          <w:spacing w:val="-6"/>
        </w:rPr>
        <w:t xml:space="preserve"> </w:t>
      </w:r>
      <w:r>
        <w:t>poor</w:t>
      </w:r>
      <w:r>
        <w:rPr>
          <w:spacing w:val="-8"/>
        </w:rPr>
        <w:t xml:space="preserve"> </w:t>
      </w:r>
      <w:r>
        <w:t>health,</w:t>
      </w:r>
      <w:r>
        <w:rPr>
          <w:spacing w:val="-9"/>
        </w:rPr>
        <w:t xml:space="preserve"> </w:t>
      </w:r>
      <w:r>
        <w:t>as</w:t>
      </w:r>
      <w:r>
        <w:rPr>
          <w:spacing w:val="-5"/>
        </w:rPr>
        <w:t xml:space="preserve"> </w:t>
      </w:r>
      <w:r>
        <w:t>well</w:t>
      </w:r>
      <w:r>
        <w:rPr>
          <w:spacing w:val="-58"/>
        </w:rPr>
        <w:t xml:space="preserve"> </w:t>
      </w:r>
      <w:r>
        <w:rPr>
          <w:spacing w:val="-1"/>
        </w:rPr>
        <w:t>as</w:t>
      </w:r>
      <w:r>
        <w:rPr>
          <w:spacing w:val="-15"/>
        </w:rPr>
        <w:t xml:space="preserve"> </w:t>
      </w:r>
      <w:r>
        <w:t>supervision</w:t>
      </w:r>
      <w:r>
        <w:rPr>
          <w:spacing w:val="-14"/>
        </w:rPr>
        <w:t xml:space="preserve"> </w:t>
      </w:r>
      <w:r>
        <w:t>of</w:t>
      </w:r>
      <w:r>
        <w:rPr>
          <w:spacing w:val="-16"/>
        </w:rPr>
        <w:t xml:space="preserve"> </w:t>
      </w:r>
      <w:r>
        <w:t>persons</w:t>
      </w:r>
      <w:r>
        <w:rPr>
          <w:spacing w:val="-13"/>
        </w:rPr>
        <w:t xml:space="preserve"> </w:t>
      </w:r>
      <w:r>
        <w:t>in</w:t>
      </w:r>
      <w:r>
        <w:rPr>
          <w:spacing w:val="-14"/>
        </w:rPr>
        <w:t xml:space="preserve"> </w:t>
      </w:r>
      <w:r>
        <w:t>satisfying</w:t>
      </w:r>
      <w:r>
        <w:rPr>
          <w:spacing w:val="-15"/>
        </w:rPr>
        <w:t xml:space="preserve"> </w:t>
      </w:r>
      <w:r>
        <w:t>such</w:t>
      </w:r>
      <w:r>
        <w:rPr>
          <w:spacing w:val="-15"/>
        </w:rPr>
        <w:t xml:space="preserve"> </w:t>
      </w:r>
      <w:r>
        <w:t>needs</w:t>
      </w:r>
      <w:r>
        <w:rPr>
          <w:spacing w:val="-15"/>
        </w:rPr>
        <w:t xml:space="preserve"> </w:t>
      </w:r>
      <w:r>
        <w:t>in</w:t>
      </w:r>
      <w:r>
        <w:rPr>
          <w:spacing w:val="-15"/>
        </w:rPr>
        <w:t xml:space="preserve"> </w:t>
      </w:r>
      <w:r>
        <w:t>full.</w:t>
      </w:r>
      <w:r>
        <w:rPr>
          <w:spacing w:val="-12"/>
        </w:rPr>
        <w:t xml:space="preserve"> </w:t>
      </w:r>
      <w:r>
        <w:t>The</w:t>
      </w:r>
      <w:r>
        <w:rPr>
          <w:spacing w:val="-14"/>
        </w:rPr>
        <w:t xml:space="preserve"> </w:t>
      </w:r>
      <w:r>
        <w:t>centres</w:t>
      </w:r>
      <w:r>
        <w:rPr>
          <w:spacing w:val="-12"/>
        </w:rPr>
        <w:t xml:space="preserve"> </w:t>
      </w:r>
      <w:r>
        <w:t>for</w:t>
      </w:r>
      <w:r>
        <w:rPr>
          <w:spacing w:val="-16"/>
        </w:rPr>
        <w:t xml:space="preserve"> </w:t>
      </w:r>
      <w:r>
        <w:t>the</w:t>
      </w:r>
      <w:r>
        <w:rPr>
          <w:spacing w:val="-11"/>
        </w:rPr>
        <w:t xml:space="preserve"> </w:t>
      </w:r>
      <w:r>
        <w:t>elderly</w:t>
      </w:r>
      <w:r>
        <w:rPr>
          <w:spacing w:val="-19"/>
        </w:rPr>
        <w:t xml:space="preserve"> </w:t>
      </w:r>
      <w:r>
        <w:t>will</w:t>
      </w:r>
      <w:r>
        <w:rPr>
          <w:spacing w:val="-14"/>
        </w:rPr>
        <w:t xml:space="preserve"> </w:t>
      </w:r>
      <w:r>
        <w:t>provide</w:t>
      </w:r>
      <w:r>
        <w:rPr>
          <w:spacing w:val="-57"/>
        </w:rPr>
        <w:t xml:space="preserve"> </w:t>
      </w:r>
      <w:r>
        <w:t>the</w:t>
      </w:r>
      <w:r>
        <w:rPr>
          <w:spacing w:val="1"/>
        </w:rPr>
        <w:t xml:space="preserve"> </w:t>
      </w:r>
      <w:r>
        <w:t>local</w:t>
      </w:r>
      <w:r>
        <w:rPr>
          <w:spacing w:val="1"/>
        </w:rPr>
        <w:t xml:space="preserve"> </w:t>
      </w:r>
      <w:r>
        <w:t>elderly</w:t>
      </w:r>
      <w:r>
        <w:rPr>
          <w:spacing w:val="1"/>
        </w:rPr>
        <w:t xml:space="preserve"> </w:t>
      </w:r>
      <w:r>
        <w:t>population</w:t>
      </w:r>
      <w:r>
        <w:rPr>
          <w:spacing w:val="1"/>
        </w:rPr>
        <w:t xml:space="preserve"> </w:t>
      </w:r>
      <w:r>
        <w:t>meal</w:t>
      </w:r>
      <w:r>
        <w:rPr>
          <w:spacing w:val="1"/>
        </w:rPr>
        <w:t xml:space="preserve"> </w:t>
      </w:r>
      <w:r>
        <w:t>delivery,</w:t>
      </w:r>
      <w:r>
        <w:rPr>
          <w:spacing w:val="1"/>
        </w:rPr>
        <w:t xml:space="preserve"> </w:t>
      </w:r>
      <w:r>
        <w:t>home</w:t>
      </w:r>
      <w:r>
        <w:rPr>
          <w:spacing w:val="1"/>
        </w:rPr>
        <w:t xml:space="preserve"> </w:t>
      </w:r>
      <w:r>
        <w:t>help,</w:t>
      </w:r>
      <w:r>
        <w:rPr>
          <w:spacing w:val="1"/>
        </w:rPr>
        <w:t xml:space="preserve"> </w:t>
      </w:r>
      <w:r>
        <w:t>organised</w:t>
      </w:r>
      <w:r>
        <w:rPr>
          <w:spacing w:val="1"/>
        </w:rPr>
        <w:t xml:space="preserve"> </w:t>
      </w:r>
      <w:r>
        <w:t>daily</w:t>
      </w:r>
      <w:r>
        <w:rPr>
          <w:spacing w:val="1"/>
        </w:rPr>
        <w:t xml:space="preserve"> </w:t>
      </w:r>
      <w:r>
        <w:t>activities,</w:t>
      </w:r>
      <w:r>
        <w:rPr>
          <w:spacing w:val="1"/>
        </w:rPr>
        <w:t xml:space="preserve"> </w:t>
      </w:r>
      <w:r>
        <w:t>accompaniment</w:t>
      </w:r>
      <w:r>
        <w:rPr>
          <w:spacing w:val="-2"/>
        </w:rPr>
        <w:t xml:space="preserve"> </w:t>
      </w:r>
      <w:r>
        <w:t>to</w:t>
      </w:r>
      <w:r>
        <w:rPr>
          <w:spacing w:val="-2"/>
        </w:rPr>
        <w:t xml:space="preserve"> </w:t>
      </w:r>
      <w:r>
        <w:t>medical</w:t>
      </w:r>
      <w:r>
        <w:rPr>
          <w:spacing w:val="-2"/>
        </w:rPr>
        <w:t xml:space="preserve"> </w:t>
      </w:r>
      <w:r>
        <w:t>examinations,</w:t>
      </w:r>
      <w:r>
        <w:rPr>
          <w:spacing w:val="-3"/>
        </w:rPr>
        <w:t xml:space="preserve"> </w:t>
      </w:r>
      <w:r>
        <w:t>delivery</w:t>
      </w:r>
      <w:r>
        <w:rPr>
          <w:spacing w:val="-6"/>
        </w:rPr>
        <w:t xml:space="preserve"> </w:t>
      </w:r>
      <w:r>
        <w:t>of</w:t>
      </w:r>
      <w:r>
        <w:rPr>
          <w:spacing w:val="-4"/>
        </w:rPr>
        <w:t xml:space="preserve"> </w:t>
      </w:r>
      <w:r>
        <w:t>medicines,</w:t>
      </w:r>
      <w:r>
        <w:rPr>
          <w:spacing w:val="-3"/>
        </w:rPr>
        <w:t xml:space="preserve"> </w:t>
      </w:r>
      <w:r>
        <w:t>improvement</w:t>
      </w:r>
      <w:r>
        <w:rPr>
          <w:spacing w:val="-2"/>
        </w:rPr>
        <w:t xml:space="preserve"> </w:t>
      </w:r>
      <w:r>
        <w:t>of</w:t>
      </w:r>
      <w:r>
        <w:rPr>
          <w:spacing w:val="-4"/>
        </w:rPr>
        <w:t xml:space="preserve"> </w:t>
      </w:r>
      <w:r>
        <w:t>digital</w:t>
      </w:r>
      <w:r>
        <w:rPr>
          <w:spacing w:val="-3"/>
        </w:rPr>
        <w:t xml:space="preserve"> </w:t>
      </w:r>
      <w:r>
        <w:t>skills,</w:t>
      </w:r>
      <w:r>
        <w:rPr>
          <w:spacing w:val="-57"/>
        </w:rPr>
        <w:t xml:space="preserve"> </w:t>
      </w:r>
      <w:r>
        <w:t>recreational</w:t>
      </w:r>
      <w:r>
        <w:rPr>
          <w:spacing w:val="1"/>
        </w:rPr>
        <w:t xml:space="preserve"> </w:t>
      </w:r>
      <w:r>
        <w:t>activities,</w:t>
      </w:r>
      <w:r>
        <w:rPr>
          <w:spacing w:val="1"/>
        </w:rPr>
        <w:t xml:space="preserve"> </w:t>
      </w:r>
      <w:r>
        <w:t>organising</w:t>
      </w:r>
      <w:r>
        <w:rPr>
          <w:spacing w:val="1"/>
        </w:rPr>
        <w:t xml:space="preserve"> </w:t>
      </w:r>
      <w:r>
        <w:t>tribunes</w:t>
      </w:r>
      <w:r>
        <w:rPr>
          <w:spacing w:val="1"/>
        </w:rPr>
        <w:t xml:space="preserve"> </w:t>
      </w:r>
      <w:r>
        <w:t>and</w:t>
      </w:r>
      <w:r>
        <w:rPr>
          <w:spacing w:val="1"/>
        </w:rPr>
        <w:t xml:space="preserve"> </w:t>
      </w:r>
      <w:r>
        <w:t>education</w:t>
      </w:r>
      <w:r>
        <w:rPr>
          <w:spacing w:val="1"/>
        </w:rPr>
        <w:t xml:space="preserve"> </w:t>
      </w:r>
      <w:r>
        <w:t>for</w:t>
      </w:r>
      <w:r>
        <w:rPr>
          <w:spacing w:val="1"/>
        </w:rPr>
        <w:t xml:space="preserve"> </w:t>
      </w:r>
      <w:r>
        <w:t>formal</w:t>
      </w:r>
      <w:r>
        <w:rPr>
          <w:spacing w:val="1"/>
        </w:rPr>
        <w:t xml:space="preserve"> </w:t>
      </w:r>
      <w:r>
        <w:t>and</w:t>
      </w:r>
      <w:r>
        <w:rPr>
          <w:spacing w:val="1"/>
        </w:rPr>
        <w:t xml:space="preserve"> </w:t>
      </w:r>
      <w:r>
        <w:t>informal</w:t>
      </w:r>
      <w:r>
        <w:rPr>
          <w:spacing w:val="1"/>
        </w:rPr>
        <w:t xml:space="preserve"> </w:t>
      </w:r>
      <w:r>
        <w:t>carers,</w:t>
      </w:r>
      <w:r>
        <w:rPr>
          <w:spacing w:val="-57"/>
        </w:rPr>
        <w:t xml:space="preserve"> </w:t>
      </w:r>
      <w:r>
        <w:t>devising campaigns, etc. In 2021, steps along with implementation deadlines were devised (a</w:t>
      </w:r>
      <w:r>
        <w:rPr>
          <w:spacing w:val="1"/>
        </w:rPr>
        <w:t xml:space="preserve"> </w:t>
      </w:r>
      <w:r>
        <w:t>selection</w:t>
      </w:r>
      <w:r>
        <w:rPr>
          <w:spacing w:val="-6"/>
        </w:rPr>
        <w:t xml:space="preserve"> </w:t>
      </w:r>
      <w:r>
        <w:t>of</w:t>
      </w:r>
      <w:r>
        <w:rPr>
          <w:spacing w:val="-7"/>
        </w:rPr>
        <w:t xml:space="preserve"> </w:t>
      </w:r>
      <w:r>
        <w:t>locations,</w:t>
      </w:r>
      <w:r>
        <w:rPr>
          <w:spacing w:val="-6"/>
        </w:rPr>
        <w:t xml:space="preserve"> </w:t>
      </w:r>
      <w:r>
        <w:t>preparation</w:t>
      </w:r>
      <w:r>
        <w:rPr>
          <w:spacing w:val="-6"/>
        </w:rPr>
        <w:t xml:space="preserve"> </w:t>
      </w:r>
      <w:r>
        <w:t>of</w:t>
      </w:r>
      <w:r>
        <w:rPr>
          <w:spacing w:val="-7"/>
        </w:rPr>
        <w:t xml:space="preserve"> </w:t>
      </w:r>
      <w:r>
        <w:t>project-technical</w:t>
      </w:r>
      <w:r>
        <w:rPr>
          <w:spacing w:val="-6"/>
        </w:rPr>
        <w:t xml:space="preserve"> </w:t>
      </w:r>
      <w:r>
        <w:t>documentation,</w:t>
      </w:r>
      <w:r>
        <w:rPr>
          <w:spacing w:val="-2"/>
        </w:rPr>
        <w:t xml:space="preserve"> </w:t>
      </w:r>
      <w:r>
        <w:t>announcement</w:t>
      </w:r>
      <w:r>
        <w:rPr>
          <w:spacing w:val="-4"/>
        </w:rPr>
        <w:t xml:space="preserve"> </w:t>
      </w:r>
      <w:r>
        <w:t>of</w:t>
      </w:r>
      <w:r>
        <w:rPr>
          <w:spacing w:val="-7"/>
        </w:rPr>
        <w:t xml:space="preserve"> </w:t>
      </w:r>
      <w:r>
        <w:t>public</w:t>
      </w:r>
      <w:r>
        <w:rPr>
          <w:spacing w:val="-58"/>
        </w:rPr>
        <w:t xml:space="preserve"> </w:t>
      </w:r>
      <w:r>
        <w:t>calls,</w:t>
      </w:r>
      <w:r>
        <w:rPr>
          <w:spacing w:val="-1"/>
        </w:rPr>
        <w:t xml:space="preserve"> </w:t>
      </w:r>
      <w:r>
        <w:t>implementation of infrastructure</w:t>
      </w:r>
      <w:r>
        <w:rPr>
          <w:spacing w:val="-1"/>
        </w:rPr>
        <w:t xml:space="preserve"> </w:t>
      </w:r>
      <w:r>
        <w:t>works</w:t>
      </w:r>
      <w:r>
        <w:rPr>
          <w:spacing w:val="2"/>
        </w:rPr>
        <w:t xml:space="preserve"> </w:t>
      </w:r>
      <w:r>
        <w:t>and equipment).</w:t>
      </w:r>
    </w:p>
    <w:p w:rsidR="00A56FE9" w:rsidRDefault="00000000">
      <w:pPr>
        <w:pStyle w:val="Tijeloteksta"/>
        <w:spacing w:before="121"/>
        <w:ind w:right="271"/>
      </w:pPr>
      <w:r>
        <w:rPr>
          <w:spacing w:val="-1"/>
        </w:rPr>
        <w:t>Reform</w:t>
      </w:r>
      <w:r>
        <w:rPr>
          <w:spacing w:val="-13"/>
        </w:rPr>
        <w:t xml:space="preserve"> </w:t>
      </w:r>
      <w:r>
        <w:rPr>
          <w:spacing w:val="-1"/>
        </w:rPr>
        <w:t>C4.3.R3</w:t>
      </w:r>
      <w:r>
        <w:rPr>
          <w:spacing w:val="-13"/>
        </w:rPr>
        <w:t xml:space="preserve"> </w:t>
      </w:r>
      <w:r>
        <w:t>Developing</w:t>
      </w:r>
      <w:r>
        <w:rPr>
          <w:spacing w:val="-14"/>
        </w:rPr>
        <w:t xml:space="preserve"> </w:t>
      </w:r>
      <w:r>
        <w:t>Community-Based</w:t>
      </w:r>
      <w:r>
        <w:rPr>
          <w:spacing w:val="-13"/>
        </w:rPr>
        <w:t xml:space="preserve"> </w:t>
      </w:r>
      <w:r>
        <w:t>Services</w:t>
      </w:r>
      <w:r>
        <w:rPr>
          <w:spacing w:val="-13"/>
        </w:rPr>
        <w:t xml:space="preserve"> </w:t>
      </w:r>
      <w:r>
        <w:t>to</w:t>
      </w:r>
      <w:r>
        <w:rPr>
          <w:spacing w:val="-12"/>
        </w:rPr>
        <w:t xml:space="preserve"> </w:t>
      </w:r>
      <w:r>
        <w:t>Prevent</w:t>
      </w:r>
      <w:r>
        <w:rPr>
          <w:spacing w:val="-11"/>
        </w:rPr>
        <w:t xml:space="preserve"> </w:t>
      </w:r>
      <w:r>
        <w:t>Institutionalisation</w:t>
      </w:r>
      <w:r>
        <w:rPr>
          <w:spacing w:val="-10"/>
        </w:rPr>
        <w:t xml:space="preserve"> </w:t>
      </w:r>
      <w:r>
        <w:t>and</w:t>
      </w:r>
      <w:r>
        <w:rPr>
          <w:spacing w:val="-12"/>
        </w:rPr>
        <w:t xml:space="preserve"> </w:t>
      </w:r>
      <w:r>
        <w:t>the</w:t>
      </w:r>
      <w:r>
        <w:rPr>
          <w:spacing w:val="-58"/>
        </w:rPr>
        <w:t xml:space="preserve"> </w:t>
      </w:r>
      <w:r>
        <w:t>associated</w:t>
      </w:r>
      <w:r>
        <w:rPr>
          <w:spacing w:val="1"/>
        </w:rPr>
        <w:t xml:space="preserve"> </w:t>
      </w:r>
      <w:r>
        <w:t>investment</w:t>
      </w:r>
      <w:r>
        <w:rPr>
          <w:spacing w:val="1"/>
        </w:rPr>
        <w:t xml:space="preserve"> </w:t>
      </w:r>
      <w:r>
        <w:t>C4.3.R3-I1</w:t>
      </w:r>
      <w:r>
        <w:rPr>
          <w:spacing w:val="1"/>
        </w:rPr>
        <w:t xml:space="preserve"> </w:t>
      </w:r>
      <w:r>
        <w:t>Strengthening</w:t>
      </w:r>
      <w:r>
        <w:rPr>
          <w:spacing w:val="1"/>
        </w:rPr>
        <w:t xml:space="preserve"> </w:t>
      </w:r>
      <w:r>
        <w:t>the</w:t>
      </w:r>
      <w:r>
        <w:rPr>
          <w:spacing w:val="1"/>
        </w:rPr>
        <w:t xml:space="preserve"> </w:t>
      </w:r>
      <w:r>
        <w:t>Capacity</w:t>
      </w:r>
      <w:r>
        <w:rPr>
          <w:spacing w:val="1"/>
        </w:rPr>
        <w:t xml:space="preserve"> </w:t>
      </w:r>
      <w:r>
        <w:t>of</w:t>
      </w:r>
      <w:r>
        <w:rPr>
          <w:spacing w:val="1"/>
        </w:rPr>
        <w:t xml:space="preserve"> </w:t>
      </w:r>
      <w:r>
        <w:t>Community</w:t>
      </w:r>
      <w:r>
        <w:rPr>
          <w:spacing w:val="1"/>
        </w:rPr>
        <w:t xml:space="preserve"> </w:t>
      </w:r>
      <w:r>
        <w:t>Service</w:t>
      </w:r>
      <w:r>
        <w:rPr>
          <w:spacing w:val="1"/>
        </w:rPr>
        <w:t xml:space="preserve"> </w:t>
      </w:r>
      <w:r>
        <w:t>Professionals</w:t>
      </w:r>
      <w:r>
        <w:rPr>
          <w:spacing w:val="1"/>
        </w:rPr>
        <w:t xml:space="preserve"> </w:t>
      </w:r>
      <w:r>
        <w:t>is</w:t>
      </w:r>
      <w:r>
        <w:rPr>
          <w:spacing w:val="1"/>
        </w:rPr>
        <w:t xml:space="preserve"> </w:t>
      </w:r>
      <w:r>
        <w:t>aimed</w:t>
      </w:r>
      <w:r>
        <w:rPr>
          <w:spacing w:val="1"/>
        </w:rPr>
        <w:t xml:space="preserve"> </w:t>
      </w:r>
      <w:r>
        <w:t>at</w:t>
      </w:r>
      <w:r>
        <w:rPr>
          <w:spacing w:val="1"/>
        </w:rPr>
        <w:t xml:space="preserve"> </w:t>
      </w:r>
      <w:r>
        <w:t>providing</w:t>
      </w:r>
      <w:r>
        <w:rPr>
          <w:spacing w:val="1"/>
        </w:rPr>
        <w:t xml:space="preserve"> </w:t>
      </w:r>
      <w:r>
        <w:t>support</w:t>
      </w:r>
      <w:r>
        <w:rPr>
          <w:spacing w:val="1"/>
        </w:rPr>
        <w:t xml:space="preserve"> </w:t>
      </w:r>
      <w:r>
        <w:t>to</w:t>
      </w:r>
      <w:r>
        <w:rPr>
          <w:spacing w:val="1"/>
        </w:rPr>
        <w:t xml:space="preserve"> </w:t>
      </w:r>
      <w:r>
        <w:t>the</w:t>
      </w:r>
      <w:r>
        <w:rPr>
          <w:spacing w:val="1"/>
        </w:rPr>
        <w:t xml:space="preserve"> </w:t>
      </w:r>
      <w:r>
        <w:t>process</w:t>
      </w:r>
      <w:r>
        <w:rPr>
          <w:spacing w:val="1"/>
        </w:rPr>
        <w:t xml:space="preserve"> </w:t>
      </w:r>
      <w:r>
        <w:t>of</w:t>
      </w:r>
      <w:r>
        <w:rPr>
          <w:spacing w:val="1"/>
        </w:rPr>
        <w:t xml:space="preserve"> </w:t>
      </w:r>
      <w:r>
        <w:t>deinstitutionalisation</w:t>
      </w:r>
      <w:r>
        <w:rPr>
          <w:spacing w:val="1"/>
        </w:rPr>
        <w:t xml:space="preserve"> </w:t>
      </w:r>
      <w:r>
        <w:t>and</w:t>
      </w:r>
      <w:r>
        <w:rPr>
          <w:spacing w:val="1"/>
        </w:rPr>
        <w:t xml:space="preserve"> </w:t>
      </w:r>
      <w:r>
        <w:t>preventing institutionalisation for young people and children with disabilities, and also adults</w:t>
      </w:r>
      <w:r>
        <w:rPr>
          <w:spacing w:val="1"/>
        </w:rPr>
        <w:t xml:space="preserve"> </w:t>
      </w:r>
      <w:r>
        <w:t>with</w:t>
      </w:r>
      <w:r>
        <w:rPr>
          <w:spacing w:val="-1"/>
        </w:rPr>
        <w:t xml:space="preserve"> </w:t>
      </w:r>
      <w:r>
        <w:t>disabilities at social service</w:t>
      </w:r>
      <w:r>
        <w:rPr>
          <w:spacing w:val="-2"/>
        </w:rPr>
        <w:t xml:space="preserve"> </w:t>
      </w:r>
      <w:r>
        <w:t>providers founded by</w:t>
      </w:r>
      <w:r>
        <w:rPr>
          <w:spacing w:val="-5"/>
        </w:rPr>
        <w:t xml:space="preserve"> </w:t>
      </w:r>
      <w:r>
        <w:t>the Republic</w:t>
      </w:r>
      <w:r>
        <w:rPr>
          <w:spacing w:val="-1"/>
        </w:rPr>
        <w:t xml:space="preserve"> </w:t>
      </w:r>
      <w:r>
        <w:t>of Croatia.</w:t>
      </w:r>
    </w:p>
    <w:p w:rsidR="00A56FE9" w:rsidRDefault="00000000">
      <w:pPr>
        <w:pStyle w:val="Tijeloteksta"/>
        <w:spacing w:before="121"/>
        <w:ind w:right="273"/>
      </w:pPr>
      <w:r>
        <w:t>Development</w:t>
      </w:r>
      <w:r>
        <w:rPr>
          <w:spacing w:val="-7"/>
        </w:rPr>
        <w:t xml:space="preserve"> </w:t>
      </w:r>
      <w:r>
        <w:t>of</w:t>
      </w:r>
      <w:r>
        <w:rPr>
          <w:spacing w:val="-7"/>
        </w:rPr>
        <w:t xml:space="preserve"> </w:t>
      </w:r>
      <w:r>
        <w:t>sufficient,</w:t>
      </w:r>
      <w:r>
        <w:rPr>
          <w:spacing w:val="-6"/>
        </w:rPr>
        <w:t xml:space="preserve"> </w:t>
      </w:r>
      <w:r>
        <w:t>accessible</w:t>
      </w:r>
      <w:r>
        <w:rPr>
          <w:spacing w:val="-7"/>
        </w:rPr>
        <w:t xml:space="preserve"> </w:t>
      </w:r>
      <w:r>
        <w:t>and</w:t>
      </w:r>
      <w:r>
        <w:rPr>
          <w:spacing w:val="-6"/>
        </w:rPr>
        <w:t xml:space="preserve"> </w:t>
      </w:r>
      <w:r>
        <w:t>appropriate</w:t>
      </w:r>
      <w:r>
        <w:rPr>
          <w:spacing w:val="-7"/>
        </w:rPr>
        <w:t xml:space="preserve"> </w:t>
      </w:r>
      <w:r>
        <w:t>community</w:t>
      </w:r>
      <w:r>
        <w:rPr>
          <w:spacing w:val="-11"/>
        </w:rPr>
        <w:t xml:space="preserve"> </w:t>
      </w:r>
      <w:r>
        <w:t>services</w:t>
      </w:r>
      <w:r>
        <w:rPr>
          <w:spacing w:val="-6"/>
        </w:rPr>
        <w:t xml:space="preserve"> </w:t>
      </w:r>
      <w:r>
        <w:t>aimed</w:t>
      </w:r>
      <w:r>
        <w:rPr>
          <w:spacing w:val="-6"/>
        </w:rPr>
        <w:t xml:space="preserve"> </w:t>
      </w:r>
      <w:r>
        <w:t>at</w:t>
      </w:r>
      <w:r>
        <w:rPr>
          <w:spacing w:val="-6"/>
        </w:rPr>
        <w:t xml:space="preserve"> </w:t>
      </w:r>
      <w:r>
        <w:t>supporting</w:t>
      </w:r>
      <w:r>
        <w:rPr>
          <w:spacing w:val="-58"/>
        </w:rPr>
        <w:t xml:space="preserve"> </w:t>
      </w:r>
      <w:r>
        <w:t>individuals and families (counselling and assistance, psychosocial support, early intervention,</w:t>
      </w:r>
      <w:r>
        <w:rPr>
          <w:spacing w:val="1"/>
        </w:rPr>
        <w:t xml:space="preserve"> </w:t>
      </w:r>
      <w:r>
        <w:t>assistance in inclusion prevent in education programs, home help, daily stays and organised</w:t>
      </w:r>
      <w:r>
        <w:rPr>
          <w:spacing w:val="1"/>
        </w:rPr>
        <w:t xml:space="preserve"> </w:t>
      </w:r>
      <w:r>
        <w:t>housing),</w:t>
      </w:r>
      <w:r>
        <w:rPr>
          <w:spacing w:val="1"/>
        </w:rPr>
        <w:t xml:space="preserve"> </w:t>
      </w:r>
      <w:r>
        <w:t>standardisation,</w:t>
      </w:r>
      <w:r>
        <w:rPr>
          <w:spacing w:val="1"/>
        </w:rPr>
        <w:t xml:space="preserve"> </w:t>
      </w:r>
      <w:r>
        <w:t>improvement</w:t>
      </w:r>
      <w:r>
        <w:rPr>
          <w:spacing w:val="1"/>
        </w:rPr>
        <w:t xml:space="preserve"> </w:t>
      </w:r>
      <w:r>
        <w:t>and</w:t>
      </w:r>
      <w:r>
        <w:rPr>
          <w:spacing w:val="1"/>
        </w:rPr>
        <w:t xml:space="preserve"> </w:t>
      </w:r>
      <w:r>
        <w:t>the</w:t>
      </w:r>
      <w:r>
        <w:rPr>
          <w:spacing w:val="1"/>
        </w:rPr>
        <w:t xml:space="preserve"> </w:t>
      </w:r>
      <w:r>
        <w:t>implementation</w:t>
      </w:r>
      <w:r>
        <w:rPr>
          <w:spacing w:val="1"/>
        </w:rPr>
        <w:t xml:space="preserve"> </w:t>
      </w:r>
      <w:r>
        <w:t>of</w:t>
      </w:r>
      <w:r>
        <w:rPr>
          <w:spacing w:val="1"/>
        </w:rPr>
        <w:t xml:space="preserve"> </w:t>
      </w:r>
      <w:r>
        <w:t>family law</w:t>
      </w:r>
      <w:r>
        <w:rPr>
          <w:spacing w:val="1"/>
        </w:rPr>
        <w:t xml:space="preserve"> </w:t>
      </w:r>
      <w:r>
        <w:t>protection</w:t>
      </w:r>
      <w:r>
        <w:rPr>
          <w:spacing w:val="1"/>
        </w:rPr>
        <w:t xml:space="preserve"> </w:t>
      </w:r>
      <w:r>
        <w:t>measures and ensuring the sustainability of the provision of non-institutional services and</w:t>
      </w:r>
      <w:r>
        <w:rPr>
          <w:spacing w:val="1"/>
        </w:rPr>
        <w:t xml:space="preserve"> </w:t>
      </w:r>
      <w:r>
        <w:t>family law protection measures prevent the entry of new beneficiaries into the institution and</w:t>
      </w:r>
      <w:r>
        <w:rPr>
          <w:spacing w:val="1"/>
        </w:rPr>
        <w:t xml:space="preserve"> </w:t>
      </w:r>
      <w:r>
        <w:t>facilitates</w:t>
      </w:r>
      <w:r>
        <w:rPr>
          <w:spacing w:val="-1"/>
        </w:rPr>
        <w:t xml:space="preserve"> </w:t>
      </w:r>
      <w:r>
        <w:t>further deinstitutionalisation.</w:t>
      </w:r>
    </w:p>
    <w:p w:rsidR="00A56FE9" w:rsidRDefault="00000000">
      <w:pPr>
        <w:pStyle w:val="Tijeloteksta"/>
        <w:spacing w:before="120"/>
        <w:ind w:right="272"/>
      </w:pPr>
      <w:r>
        <w:t>The</w:t>
      </w:r>
      <w:r>
        <w:rPr>
          <w:spacing w:val="-7"/>
        </w:rPr>
        <w:t xml:space="preserve"> </w:t>
      </w:r>
      <w:r>
        <w:t>insufficient</w:t>
      </w:r>
      <w:r>
        <w:rPr>
          <w:spacing w:val="-6"/>
        </w:rPr>
        <w:t xml:space="preserve"> </w:t>
      </w:r>
      <w:r>
        <w:t>number</w:t>
      </w:r>
      <w:r>
        <w:rPr>
          <w:spacing w:val="-4"/>
        </w:rPr>
        <w:t xml:space="preserve"> </w:t>
      </w:r>
      <w:r>
        <w:t>of</w:t>
      </w:r>
      <w:r>
        <w:rPr>
          <w:spacing w:val="-7"/>
        </w:rPr>
        <w:t xml:space="preserve"> </w:t>
      </w:r>
      <w:r>
        <w:t>professionals</w:t>
      </w:r>
      <w:r>
        <w:rPr>
          <w:spacing w:val="-5"/>
        </w:rPr>
        <w:t xml:space="preserve"> </w:t>
      </w:r>
      <w:r>
        <w:t>involved</w:t>
      </w:r>
      <w:r>
        <w:rPr>
          <w:spacing w:val="-4"/>
        </w:rPr>
        <w:t xml:space="preserve"> </w:t>
      </w:r>
      <w:r>
        <w:t>in</w:t>
      </w:r>
      <w:r>
        <w:rPr>
          <w:spacing w:val="-6"/>
        </w:rPr>
        <w:t xml:space="preserve"> </w:t>
      </w:r>
      <w:r>
        <w:t>the</w:t>
      </w:r>
      <w:r>
        <w:rPr>
          <w:spacing w:val="-6"/>
        </w:rPr>
        <w:t xml:space="preserve"> </w:t>
      </w:r>
      <w:r>
        <w:t>provision</w:t>
      </w:r>
      <w:r>
        <w:rPr>
          <w:spacing w:val="-6"/>
        </w:rPr>
        <w:t xml:space="preserve"> </w:t>
      </w:r>
      <w:r>
        <w:t>of</w:t>
      </w:r>
      <w:r>
        <w:rPr>
          <w:spacing w:val="-6"/>
        </w:rPr>
        <w:t xml:space="preserve"> </w:t>
      </w:r>
      <w:r>
        <w:t>social</w:t>
      </w:r>
      <w:r>
        <w:rPr>
          <w:spacing w:val="-4"/>
        </w:rPr>
        <w:t xml:space="preserve"> </w:t>
      </w:r>
      <w:r>
        <w:t>services,</w:t>
      </w:r>
      <w:r>
        <w:rPr>
          <w:spacing w:val="-5"/>
        </w:rPr>
        <w:t xml:space="preserve"> </w:t>
      </w:r>
      <w:r>
        <w:t>hindering</w:t>
      </w:r>
      <w:r>
        <w:rPr>
          <w:spacing w:val="-58"/>
        </w:rPr>
        <w:t xml:space="preserve"> </w:t>
      </w:r>
      <w:r>
        <w:t>the development of social services in the community, requires hiring additional professionals</w:t>
      </w:r>
      <w:r>
        <w:rPr>
          <w:spacing w:val="1"/>
        </w:rPr>
        <w:t xml:space="preserve"> </w:t>
      </w:r>
      <w:r>
        <w:t>and the introduction of new profiles of workers providing new social services and conducting</w:t>
      </w:r>
      <w:r>
        <w:rPr>
          <w:spacing w:val="1"/>
        </w:rPr>
        <w:t xml:space="preserve"> </w:t>
      </w:r>
      <w:r>
        <w:t>continuous</w:t>
      </w:r>
      <w:r>
        <w:rPr>
          <w:spacing w:val="-1"/>
        </w:rPr>
        <w:t xml:space="preserve"> </w:t>
      </w:r>
      <w:r>
        <w:t>and targeted training</w:t>
      </w:r>
      <w:r>
        <w:rPr>
          <w:spacing w:val="-1"/>
        </w:rPr>
        <w:t xml:space="preserve"> </w:t>
      </w:r>
      <w:r>
        <w:t>in</w:t>
      </w:r>
      <w:r>
        <w:rPr>
          <w:spacing w:val="-1"/>
        </w:rPr>
        <w:t xml:space="preserve"> </w:t>
      </w:r>
      <w:r>
        <w:t>improving</w:t>
      </w:r>
      <w:r>
        <w:rPr>
          <w:spacing w:val="-3"/>
        </w:rPr>
        <w:t xml:space="preserve"> </w:t>
      </w:r>
      <w:r>
        <w:t>professional competencies.</w:t>
      </w:r>
    </w:p>
    <w:p w:rsidR="00A56FE9" w:rsidRDefault="00000000">
      <w:pPr>
        <w:pStyle w:val="Tijeloteksta"/>
        <w:spacing w:before="120"/>
        <w:ind w:right="273"/>
      </w:pPr>
      <w:r>
        <w:t>The</w:t>
      </w:r>
      <w:r>
        <w:rPr>
          <w:spacing w:val="-10"/>
        </w:rPr>
        <w:t xml:space="preserve"> </w:t>
      </w:r>
      <w:r>
        <w:t>NRRP</w:t>
      </w:r>
      <w:r>
        <w:rPr>
          <w:spacing w:val="-8"/>
        </w:rPr>
        <w:t xml:space="preserve"> </w:t>
      </w:r>
      <w:r>
        <w:t>measure</w:t>
      </w:r>
      <w:r>
        <w:rPr>
          <w:spacing w:val="-7"/>
        </w:rPr>
        <w:t xml:space="preserve"> </w:t>
      </w:r>
      <w:r>
        <w:t>envisages</w:t>
      </w:r>
      <w:r>
        <w:rPr>
          <w:spacing w:val="-6"/>
        </w:rPr>
        <w:t xml:space="preserve"> </w:t>
      </w:r>
      <w:r>
        <w:t>employing</w:t>
      </w:r>
      <w:r>
        <w:rPr>
          <w:spacing w:val="-11"/>
        </w:rPr>
        <w:t xml:space="preserve"> </w:t>
      </w:r>
      <w:r>
        <w:t>400</w:t>
      </w:r>
      <w:r>
        <w:rPr>
          <w:spacing w:val="-7"/>
        </w:rPr>
        <w:t xml:space="preserve"> </w:t>
      </w:r>
      <w:r>
        <w:t>workers:</w:t>
      </w:r>
      <w:r>
        <w:rPr>
          <w:spacing w:val="-9"/>
        </w:rPr>
        <w:t xml:space="preserve"> </w:t>
      </w:r>
      <w:r>
        <w:t>110</w:t>
      </w:r>
      <w:r>
        <w:rPr>
          <w:spacing w:val="-8"/>
        </w:rPr>
        <w:t xml:space="preserve"> </w:t>
      </w:r>
      <w:r>
        <w:t>managers</w:t>
      </w:r>
      <w:r>
        <w:rPr>
          <w:spacing w:val="-9"/>
        </w:rPr>
        <w:t xml:space="preserve"> </w:t>
      </w:r>
      <w:r>
        <w:t>of</w:t>
      </w:r>
      <w:r>
        <w:rPr>
          <w:spacing w:val="-7"/>
        </w:rPr>
        <w:t xml:space="preserve"> </w:t>
      </w:r>
      <w:r>
        <w:t>intensive</w:t>
      </w:r>
      <w:r>
        <w:rPr>
          <w:spacing w:val="-8"/>
        </w:rPr>
        <w:t xml:space="preserve"> </w:t>
      </w:r>
      <w:r>
        <w:t>professional</w:t>
      </w:r>
      <w:r>
        <w:rPr>
          <w:spacing w:val="-58"/>
        </w:rPr>
        <w:t xml:space="preserve"> </w:t>
      </w:r>
      <w:r>
        <w:t>support and assistance measures, 30 family assistants, 220 workers for the provision of other</w:t>
      </w:r>
      <w:r>
        <w:rPr>
          <w:spacing w:val="1"/>
        </w:rPr>
        <w:t xml:space="preserve"> </w:t>
      </w:r>
      <w:r>
        <w:t>non-institutional services in the community and 40 professional workers in family centres</w:t>
      </w:r>
      <w:r>
        <w:rPr>
          <w:spacing w:val="1"/>
        </w:rPr>
        <w:t xml:space="preserve"> </w:t>
      </w:r>
      <w:r>
        <w:t>providing</w:t>
      </w:r>
      <w:r>
        <w:rPr>
          <w:spacing w:val="-4"/>
        </w:rPr>
        <w:t xml:space="preserve"> </w:t>
      </w:r>
      <w:r>
        <w:t>extra-institutional services.</w:t>
      </w:r>
    </w:p>
    <w:p w:rsidR="00A56FE9" w:rsidRDefault="00000000">
      <w:pPr>
        <w:pStyle w:val="Tijeloteksta"/>
        <w:spacing w:before="120"/>
        <w:ind w:right="275"/>
      </w:pPr>
      <w:r>
        <w:t>The measuring entailing investment C4.3. R2-I1 Introduction of Social Mentoring Services is</w:t>
      </w:r>
      <w:r>
        <w:rPr>
          <w:spacing w:val="1"/>
        </w:rPr>
        <w:t xml:space="preserve"> </w:t>
      </w:r>
      <w:r>
        <w:t>planned</w:t>
      </w:r>
      <w:r>
        <w:rPr>
          <w:spacing w:val="-9"/>
        </w:rPr>
        <w:t xml:space="preserve"> </w:t>
      </w:r>
      <w:r>
        <w:t>for</w:t>
      </w:r>
      <w:r>
        <w:rPr>
          <w:spacing w:val="-9"/>
        </w:rPr>
        <w:t xml:space="preserve"> </w:t>
      </w:r>
      <w:r>
        <w:t>implementation</w:t>
      </w:r>
      <w:r>
        <w:rPr>
          <w:spacing w:val="-7"/>
        </w:rPr>
        <w:t xml:space="preserve"> </w:t>
      </w:r>
      <w:r>
        <w:t>after</w:t>
      </w:r>
      <w:r>
        <w:rPr>
          <w:spacing w:val="-9"/>
        </w:rPr>
        <w:t xml:space="preserve"> </w:t>
      </w:r>
      <w:r>
        <w:t>the</w:t>
      </w:r>
      <w:r>
        <w:rPr>
          <w:spacing w:val="-6"/>
        </w:rPr>
        <w:t xml:space="preserve"> </w:t>
      </w:r>
      <w:r>
        <w:t>completion</w:t>
      </w:r>
      <w:r>
        <w:rPr>
          <w:spacing w:val="-9"/>
        </w:rPr>
        <w:t xml:space="preserve"> </w:t>
      </w:r>
      <w:r>
        <w:t>of</w:t>
      </w:r>
      <w:r>
        <w:rPr>
          <w:spacing w:val="-9"/>
        </w:rPr>
        <w:t xml:space="preserve"> </w:t>
      </w:r>
      <w:r>
        <w:t>education</w:t>
      </w:r>
      <w:r>
        <w:rPr>
          <w:spacing w:val="-9"/>
        </w:rPr>
        <w:t xml:space="preserve"> </w:t>
      </w:r>
      <w:r>
        <w:t>in</w:t>
      </w:r>
      <w:r>
        <w:rPr>
          <w:spacing w:val="-8"/>
        </w:rPr>
        <w:t xml:space="preserve"> </w:t>
      </w:r>
      <w:r>
        <w:t>2022</w:t>
      </w:r>
      <w:r>
        <w:rPr>
          <w:spacing w:val="-3"/>
        </w:rPr>
        <w:t xml:space="preserve"> </w:t>
      </w:r>
      <w:r>
        <w:t>and</w:t>
      </w:r>
      <w:r>
        <w:rPr>
          <w:spacing w:val="-6"/>
        </w:rPr>
        <w:t xml:space="preserve"> </w:t>
      </w:r>
      <w:r>
        <w:t>gradual</w:t>
      </w:r>
      <w:r>
        <w:rPr>
          <w:spacing w:val="-6"/>
        </w:rPr>
        <w:t xml:space="preserve"> </w:t>
      </w:r>
      <w:r>
        <w:t>employment</w:t>
      </w:r>
      <w:r>
        <w:rPr>
          <w:spacing w:val="-58"/>
        </w:rPr>
        <w:t xml:space="preserve"> </w:t>
      </w:r>
      <w:r>
        <w:t>to</w:t>
      </w:r>
      <w:r>
        <w:rPr>
          <w:spacing w:val="20"/>
        </w:rPr>
        <w:t xml:space="preserve"> </w:t>
      </w:r>
      <w:r>
        <w:t>enable</w:t>
      </w:r>
      <w:r>
        <w:rPr>
          <w:spacing w:val="19"/>
        </w:rPr>
        <w:t xml:space="preserve"> </w:t>
      </w:r>
      <w:r>
        <w:t>the</w:t>
      </w:r>
      <w:r>
        <w:rPr>
          <w:spacing w:val="19"/>
        </w:rPr>
        <w:t xml:space="preserve"> </w:t>
      </w:r>
      <w:r>
        <w:t>provision</w:t>
      </w:r>
      <w:r>
        <w:rPr>
          <w:spacing w:val="18"/>
        </w:rPr>
        <w:t xml:space="preserve"> </w:t>
      </w:r>
      <w:r>
        <w:t>of</w:t>
      </w:r>
      <w:r>
        <w:rPr>
          <w:spacing w:val="19"/>
        </w:rPr>
        <w:t xml:space="preserve"> </w:t>
      </w:r>
      <w:r>
        <w:t>social</w:t>
      </w:r>
      <w:r>
        <w:rPr>
          <w:spacing w:val="20"/>
        </w:rPr>
        <w:t xml:space="preserve"> </w:t>
      </w:r>
      <w:r>
        <w:t>mentoring</w:t>
      </w:r>
      <w:r>
        <w:rPr>
          <w:spacing w:val="17"/>
        </w:rPr>
        <w:t xml:space="preserve"> </w:t>
      </w:r>
      <w:r>
        <w:t>services.</w:t>
      </w:r>
      <w:r>
        <w:rPr>
          <w:spacing w:val="21"/>
        </w:rPr>
        <w:t xml:space="preserve"> </w:t>
      </w:r>
      <w:r>
        <w:t>Commencing</w:t>
      </w:r>
      <w:r>
        <w:rPr>
          <w:spacing w:val="19"/>
        </w:rPr>
        <w:t xml:space="preserve"> </w:t>
      </w:r>
      <w:r>
        <w:t>employment</w:t>
      </w:r>
      <w:r>
        <w:rPr>
          <w:spacing w:val="20"/>
        </w:rPr>
        <w:t xml:space="preserve"> </w:t>
      </w:r>
      <w:r>
        <w:t>of</w:t>
      </w:r>
      <w:r>
        <w:rPr>
          <w:spacing w:val="19"/>
        </w:rPr>
        <w:t xml:space="preserve"> </w:t>
      </w:r>
      <w:r>
        <w:t>95</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3"/>
      </w:pPr>
      <w:r>
        <w:t>professional workers for the provision of social mentoring services is planned to take place in</w:t>
      </w:r>
      <w:r>
        <w:rPr>
          <w:spacing w:val="1"/>
        </w:rPr>
        <w:t xml:space="preserve"> </w:t>
      </w:r>
      <w:r>
        <w:rPr>
          <w:spacing w:val="-1"/>
        </w:rPr>
        <w:t>the</w:t>
      </w:r>
      <w:r>
        <w:rPr>
          <w:spacing w:val="-13"/>
        </w:rPr>
        <w:t xml:space="preserve"> </w:t>
      </w:r>
      <w:r>
        <w:rPr>
          <w:spacing w:val="-1"/>
        </w:rPr>
        <w:t>last</w:t>
      </w:r>
      <w:r>
        <w:rPr>
          <w:spacing w:val="-12"/>
        </w:rPr>
        <w:t xml:space="preserve"> </w:t>
      </w:r>
      <w:r>
        <w:t>quarter</w:t>
      </w:r>
      <w:r>
        <w:rPr>
          <w:spacing w:val="-13"/>
        </w:rPr>
        <w:t xml:space="preserve"> </w:t>
      </w:r>
      <w:r>
        <w:t>of</w:t>
      </w:r>
      <w:r>
        <w:rPr>
          <w:spacing w:val="-13"/>
        </w:rPr>
        <w:t xml:space="preserve"> </w:t>
      </w:r>
      <w:r>
        <w:t>2022.</w:t>
      </w:r>
      <w:r>
        <w:rPr>
          <w:spacing w:val="-12"/>
        </w:rPr>
        <w:t xml:space="preserve"> </w:t>
      </w:r>
      <w:r>
        <w:t>By</w:t>
      </w:r>
      <w:r>
        <w:rPr>
          <w:spacing w:val="-17"/>
        </w:rPr>
        <w:t xml:space="preserve"> </w:t>
      </w:r>
      <w:r>
        <w:t>the</w:t>
      </w:r>
      <w:r>
        <w:rPr>
          <w:spacing w:val="-13"/>
        </w:rPr>
        <w:t xml:space="preserve"> </w:t>
      </w:r>
      <w:r>
        <w:t>end</w:t>
      </w:r>
      <w:r>
        <w:rPr>
          <w:spacing w:val="-12"/>
        </w:rPr>
        <w:t xml:space="preserve"> </w:t>
      </w:r>
      <w:r>
        <w:t>of</w:t>
      </w:r>
      <w:r>
        <w:rPr>
          <w:spacing w:val="-13"/>
        </w:rPr>
        <w:t xml:space="preserve"> </w:t>
      </w:r>
      <w:r>
        <w:t>2025,</w:t>
      </w:r>
      <w:r>
        <w:rPr>
          <w:spacing w:val="-12"/>
        </w:rPr>
        <w:t xml:space="preserve"> </w:t>
      </w:r>
      <w:r>
        <w:t>the</w:t>
      </w:r>
      <w:r>
        <w:rPr>
          <w:spacing w:val="-13"/>
        </w:rPr>
        <w:t xml:space="preserve"> </w:t>
      </w:r>
      <w:r>
        <w:t>plan</w:t>
      </w:r>
      <w:r>
        <w:rPr>
          <w:spacing w:val="-13"/>
        </w:rPr>
        <w:t xml:space="preserve"> </w:t>
      </w:r>
      <w:r>
        <w:t>is</w:t>
      </w:r>
      <w:r>
        <w:rPr>
          <w:spacing w:val="-11"/>
        </w:rPr>
        <w:t xml:space="preserve"> </w:t>
      </w:r>
      <w:r>
        <w:t>to</w:t>
      </w:r>
      <w:r>
        <w:rPr>
          <w:spacing w:val="-14"/>
        </w:rPr>
        <w:t xml:space="preserve"> </w:t>
      </w:r>
      <w:r>
        <w:t>employ</w:t>
      </w:r>
      <w:r>
        <w:rPr>
          <w:spacing w:val="-20"/>
        </w:rPr>
        <w:t xml:space="preserve"> </w:t>
      </w:r>
      <w:r>
        <w:t>220</w:t>
      </w:r>
      <w:r>
        <w:rPr>
          <w:spacing w:val="-12"/>
        </w:rPr>
        <w:t xml:space="preserve"> </w:t>
      </w:r>
      <w:r>
        <w:t>new</w:t>
      </w:r>
      <w:r>
        <w:rPr>
          <w:spacing w:val="-13"/>
        </w:rPr>
        <w:t xml:space="preserve"> </w:t>
      </w:r>
      <w:r>
        <w:t>professionals</w:t>
      </w:r>
      <w:r>
        <w:rPr>
          <w:spacing w:val="-10"/>
        </w:rPr>
        <w:t xml:space="preserve"> </w:t>
      </w:r>
      <w:r>
        <w:t>making</w:t>
      </w:r>
      <w:r>
        <w:rPr>
          <w:spacing w:val="-57"/>
        </w:rPr>
        <w:t xml:space="preserve"> </w:t>
      </w:r>
      <w:r>
        <w:t>the social mentoring service available to 30,000 people with lower employability, and which</w:t>
      </w:r>
      <w:r>
        <w:rPr>
          <w:spacing w:val="1"/>
        </w:rPr>
        <w:t xml:space="preserve"> </w:t>
      </w:r>
      <w:r>
        <w:t>educated</w:t>
      </w:r>
      <w:r>
        <w:rPr>
          <w:spacing w:val="-4"/>
        </w:rPr>
        <w:t xml:space="preserve"> </w:t>
      </w:r>
      <w:r>
        <w:t>professionals</w:t>
      </w:r>
      <w:r>
        <w:rPr>
          <w:spacing w:val="-2"/>
        </w:rPr>
        <w:t xml:space="preserve"> </w:t>
      </w:r>
      <w:r>
        <w:t>employed</w:t>
      </w:r>
      <w:r>
        <w:rPr>
          <w:spacing w:val="-3"/>
        </w:rPr>
        <w:t xml:space="preserve"> </w:t>
      </w:r>
      <w:r>
        <w:t>in</w:t>
      </w:r>
      <w:r>
        <w:rPr>
          <w:spacing w:val="-3"/>
        </w:rPr>
        <w:t xml:space="preserve"> </w:t>
      </w:r>
      <w:r>
        <w:t>118</w:t>
      </w:r>
      <w:r>
        <w:rPr>
          <w:spacing w:val="-4"/>
        </w:rPr>
        <w:t xml:space="preserve"> </w:t>
      </w:r>
      <w:r>
        <w:t>social</w:t>
      </w:r>
      <w:r>
        <w:rPr>
          <w:spacing w:val="-2"/>
        </w:rPr>
        <w:t xml:space="preserve"> </w:t>
      </w:r>
      <w:r>
        <w:t>welfare</w:t>
      </w:r>
      <w:r>
        <w:rPr>
          <w:spacing w:val="-4"/>
        </w:rPr>
        <w:t xml:space="preserve"> </w:t>
      </w:r>
      <w:r>
        <w:t>centres</w:t>
      </w:r>
      <w:r>
        <w:rPr>
          <w:spacing w:val="-4"/>
        </w:rPr>
        <w:t xml:space="preserve"> </w:t>
      </w:r>
      <w:r>
        <w:t>and</w:t>
      </w:r>
      <w:r>
        <w:rPr>
          <w:spacing w:val="-4"/>
        </w:rPr>
        <w:t xml:space="preserve"> </w:t>
      </w:r>
      <w:r>
        <w:t>their</w:t>
      </w:r>
      <w:r>
        <w:rPr>
          <w:spacing w:val="-4"/>
        </w:rPr>
        <w:t xml:space="preserve"> </w:t>
      </w:r>
      <w:r>
        <w:t>branches</w:t>
      </w:r>
      <w:r>
        <w:rPr>
          <w:spacing w:val="-2"/>
        </w:rPr>
        <w:t xml:space="preserve"> </w:t>
      </w:r>
      <w:r>
        <w:t>will</w:t>
      </w:r>
      <w:r>
        <w:rPr>
          <w:spacing w:val="-3"/>
        </w:rPr>
        <w:t xml:space="preserve"> </w:t>
      </w:r>
      <w:r>
        <w:t>provide.</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640740847"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983104127" name="Rectangle 97"/>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F9A0BC1" id="Group 96"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">
                <v:rect id="Rectangle 97"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" fillcolor="#2c398a" stroked="f"/>
                <w10:anchorlock/>
              </v:group>
            </w:pict>
          </mc:Fallback>
        </mc:AlternateContent>
      </w:r>
    </w:p>
    <w:p w:rsidR="00A56FE9" w:rsidRDefault="00000000">
      <w:pPr>
        <w:pStyle w:val="Tijeloteksta"/>
        <w:spacing w:before="154"/>
        <w:ind w:right="273"/>
      </w:pPr>
      <w:r>
        <w:t>In further developing social services, priority is given to the development of lacking services,</w:t>
      </w:r>
      <w:r>
        <w:rPr>
          <w:spacing w:val="1"/>
        </w:rPr>
        <w:t xml:space="preserve"> </w:t>
      </w:r>
      <w:r>
        <w:t>which</w:t>
      </w:r>
      <w:r>
        <w:rPr>
          <w:spacing w:val="-6"/>
        </w:rPr>
        <w:t xml:space="preserve"> </w:t>
      </w:r>
      <w:r>
        <w:t>aims</w:t>
      </w:r>
      <w:r>
        <w:rPr>
          <w:spacing w:val="-5"/>
        </w:rPr>
        <w:t xml:space="preserve"> </w:t>
      </w:r>
      <w:r>
        <w:t>to</w:t>
      </w:r>
      <w:r>
        <w:rPr>
          <w:spacing w:val="-3"/>
        </w:rPr>
        <w:t xml:space="preserve"> </w:t>
      </w:r>
      <w:r>
        <w:t>ensure</w:t>
      </w:r>
      <w:r>
        <w:rPr>
          <w:spacing w:val="-5"/>
        </w:rPr>
        <w:t xml:space="preserve"> </w:t>
      </w:r>
      <w:r>
        <w:t>that</w:t>
      </w:r>
      <w:r>
        <w:rPr>
          <w:spacing w:val="-4"/>
        </w:rPr>
        <w:t xml:space="preserve"> </w:t>
      </w:r>
      <w:r>
        <w:t>users</w:t>
      </w:r>
      <w:r>
        <w:rPr>
          <w:spacing w:val="-6"/>
        </w:rPr>
        <w:t xml:space="preserve"> </w:t>
      </w:r>
      <w:r>
        <w:t>primarily</w:t>
      </w:r>
      <w:r>
        <w:rPr>
          <w:spacing w:val="-9"/>
        </w:rPr>
        <w:t xml:space="preserve"> </w:t>
      </w:r>
      <w:r>
        <w:t>receive</w:t>
      </w:r>
      <w:r>
        <w:rPr>
          <w:spacing w:val="-6"/>
        </w:rPr>
        <w:t xml:space="preserve"> </w:t>
      </w:r>
      <w:r>
        <w:t>services</w:t>
      </w:r>
      <w:r>
        <w:rPr>
          <w:spacing w:val="-3"/>
        </w:rPr>
        <w:t xml:space="preserve"> </w:t>
      </w:r>
      <w:r>
        <w:t>in</w:t>
      </w:r>
      <w:r>
        <w:rPr>
          <w:spacing w:val="-6"/>
        </w:rPr>
        <w:t xml:space="preserve"> </w:t>
      </w:r>
      <w:r>
        <w:t>their</w:t>
      </w:r>
      <w:r>
        <w:rPr>
          <w:spacing w:val="-6"/>
        </w:rPr>
        <w:t xml:space="preserve"> </w:t>
      </w:r>
      <w:r>
        <w:t>homes</w:t>
      </w:r>
      <w:r>
        <w:rPr>
          <w:spacing w:val="-6"/>
        </w:rPr>
        <w:t xml:space="preserve"> </w:t>
      </w:r>
      <w:r>
        <w:t>and</w:t>
      </w:r>
      <w:r>
        <w:rPr>
          <w:spacing w:val="-5"/>
        </w:rPr>
        <w:t xml:space="preserve"> </w:t>
      </w:r>
      <w:r>
        <w:t>local</w:t>
      </w:r>
      <w:r>
        <w:rPr>
          <w:spacing w:val="-3"/>
        </w:rPr>
        <w:t xml:space="preserve"> </w:t>
      </w:r>
      <w:r>
        <w:t>community,</w:t>
      </w:r>
      <w:r>
        <w:rPr>
          <w:spacing w:val="-57"/>
        </w:rPr>
        <w:t xml:space="preserve"> </w:t>
      </w:r>
      <w:r>
        <w:t>and only when this is not possible are they provided with alternative forms of foster care or</w:t>
      </w:r>
      <w:r>
        <w:rPr>
          <w:spacing w:val="1"/>
        </w:rPr>
        <w:t xml:space="preserve"> </w:t>
      </w:r>
      <w:r>
        <w:t>adoption. Special attention will be paid to increasing the number of foster families for the</w:t>
      </w:r>
      <w:r>
        <w:rPr>
          <w:spacing w:val="1"/>
        </w:rPr>
        <w:t xml:space="preserve"> </w:t>
      </w:r>
      <w:r>
        <w:t>youngest</w:t>
      </w:r>
      <w:r>
        <w:rPr>
          <w:spacing w:val="1"/>
        </w:rPr>
        <w:t xml:space="preserve"> </w:t>
      </w:r>
      <w:r>
        <w:t>children while</w:t>
      </w:r>
      <w:r>
        <w:rPr>
          <w:spacing w:val="1"/>
        </w:rPr>
        <w:t xml:space="preserve"> </w:t>
      </w:r>
      <w:r>
        <w:t>providing</w:t>
      </w:r>
      <w:r>
        <w:rPr>
          <w:spacing w:val="-3"/>
        </w:rPr>
        <w:t xml:space="preserve"> </w:t>
      </w:r>
      <w:r>
        <w:t>continuous</w:t>
      </w:r>
      <w:r>
        <w:rPr>
          <w:spacing w:val="-1"/>
        </w:rPr>
        <w:t xml:space="preserve"> </w:t>
      </w:r>
      <w:r>
        <w:t>professional support.</w:t>
      </w:r>
    </w:p>
    <w:p w:rsidR="00A56FE9" w:rsidRDefault="00000000">
      <w:pPr>
        <w:pStyle w:val="Tijeloteksta"/>
        <w:spacing w:before="121"/>
        <w:ind w:right="272"/>
      </w:pPr>
      <w:r>
        <w:t>Adjustments to changes and needs in the provision of social services is achieved by improving</w:t>
      </w:r>
      <w:r>
        <w:rPr>
          <w:spacing w:val="-58"/>
        </w:rPr>
        <w:t xml:space="preserve"> </w:t>
      </w:r>
      <w:r>
        <w:t>the</w:t>
      </w:r>
      <w:r>
        <w:rPr>
          <w:spacing w:val="-1"/>
        </w:rPr>
        <w:t xml:space="preserve"> </w:t>
      </w:r>
      <w:r>
        <w:t>professional competencies of</w:t>
      </w:r>
      <w:r>
        <w:rPr>
          <w:spacing w:val="-1"/>
        </w:rPr>
        <w:t xml:space="preserve"> </w:t>
      </w:r>
      <w:r>
        <w:t>social service</w:t>
      </w:r>
      <w:r>
        <w:rPr>
          <w:spacing w:val="-1"/>
        </w:rPr>
        <w:t xml:space="preserve"> </w:t>
      </w:r>
      <w:r>
        <w:t>providers.</w:t>
      </w:r>
    </w:p>
    <w:p w:rsidR="00A56FE9" w:rsidRDefault="00000000">
      <w:pPr>
        <w:pStyle w:val="Tijeloteksta"/>
        <w:spacing w:before="120"/>
        <w:ind w:right="277"/>
      </w:pPr>
      <w:r>
        <w:t>Further</w:t>
      </w:r>
      <w:r>
        <w:rPr>
          <w:spacing w:val="-5"/>
        </w:rPr>
        <w:t xml:space="preserve"> </w:t>
      </w:r>
      <w:r>
        <w:t>improving</w:t>
      </w:r>
      <w:r>
        <w:rPr>
          <w:spacing w:val="-6"/>
        </w:rPr>
        <w:t xml:space="preserve"> </w:t>
      </w:r>
      <w:r>
        <w:t>the</w:t>
      </w:r>
      <w:r>
        <w:rPr>
          <w:spacing w:val="-3"/>
        </w:rPr>
        <w:t xml:space="preserve"> </w:t>
      </w:r>
      <w:r>
        <w:t>quality</w:t>
      </w:r>
      <w:r>
        <w:rPr>
          <w:spacing w:val="-9"/>
        </w:rPr>
        <w:t xml:space="preserve"> </w:t>
      </w:r>
      <w:r>
        <w:t>of</w:t>
      </w:r>
      <w:r>
        <w:rPr>
          <w:spacing w:val="-5"/>
        </w:rPr>
        <w:t xml:space="preserve"> </w:t>
      </w:r>
      <w:r>
        <w:t>social</w:t>
      </w:r>
      <w:r>
        <w:rPr>
          <w:spacing w:val="-2"/>
        </w:rPr>
        <w:t xml:space="preserve"> </w:t>
      </w:r>
      <w:r>
        <w:t>services</w:t>
      </w:r>
      <w:r>
        <w:rPr>
          <w:spacing w:val="1"/>
        </w:rPr>
        <w:t xml:space="preserve"> </w:t>
      </w:r>
      <w:r>
        <w:t>requires</w:t>
      </w:r>
      <w:r>
        <w:rPr>
          <w:spacing w:val="-3"/>
        </w:rPr>
        <w:t xml:space="preserve"> </w:t>
      </w:r>
      <w:r>
        <w:t>the</w:t>
      </w:r>
      <w:r>
        <w:rPr>
          <w:spacing w:val="-3"/>
        </w:rPr>
        <w:t xml:space="preserve"> </w:t>
      </w:r>
      <w:r>
        <w:t>involvement</w:t>
      </w:r>
      <w:r>
        <w:rPr>
          <w:spacing w:val="-4"/>
        </w:rPr>
        <w:t xml:space="preserve"> </w:t>
      </w:r>
      <w:r>
        <w:t>of</w:t>
      </w:r>
      <w:r>
        <w:rPr>
          <w:spacing w:val="-2"/>
        </w:rPr>
        <w:t xml:space="preserve"> </w:t>
      </w:r>
      <w:r>
        <w:t>a</w:t>
      </w:r>
      <w:r>
        <w:rPr>
          <w:spacing w:val="-4"/>
        </w:rPr>
        <w:t xml:space="preserve"> </w:t>
      </w:r>
      <w:r>
        <w:t>larger</w:t>
      </w:r>
      <w:r>
        <w:rPr>
          <w:spacing w:val="-5"/>
        </w:rPr>
        <w:t xml:space="preserve"> </w:t>
      </w:r>
      <w:r>
        <w:t>number</w:t>
      </w:r>
      <w:r>
        <w:rPr>
          <w:spacing w:val="-4"/>
        </w:rPr>
        <w:t xml:space="preserve"> </w:t>
      </w:r>
      <w:r>
        <w:t>of</w:t>
      </w:r>
      <w:r>
        <w:rPr>
          <w:spacing w:val="-58"/>
        </w:rPr>
        <w:t xml:space="preserve"> </w:t>
      </w:r>
      <w:r>
        <w:t>volunteers leading to a greater range of activities and additional content in the provision of</w:t>
      </w:r>
      <w:r>
        <w:rPr>
          <w:spacing w:val="1"/>
        </w:rPr>
        <w:t xml:space="preserve"> </w:t>
      </w:r>
      <w:r>
        <w:t>social</w:t>
      </w:r>
      <w:r>
        <w:rPr>
          <w:spacing w:val="-1"/>
        </w:rPr>
        <w:t xml:space="preserve"> </w:t>
      </w:r>
      <w:r>
        <w:t>services.</w:t>
      </w:r>
    </w:p>
    <w:p w:rsidR="00A56FE9" w:rsidRDefault="00000000">
      <w:pPr>
        <w:pStyle w:val="Tijeloteksta"/>
        <w:spacing w:before="120"/>
        <w:ind w:right="272"/>
      </w:pPr>
      <w:r>
        <w:t>Due to the inadequate infrastructure of social service providers, posing an additional obstacle</w:t>
      </w:r>
      <w:r>
        <w:rPr>
          <w:spacing w:val="1"/>
        </w:rPr>
        <w:t xml:space="preserve"> </w:t>
      </w:r>
      <w:r>
        <w:t>to</w:t>
      </w:r>
      <w:r>
        <w:rPr>
          <w:spacing w:val="-7"/>
        </w:rPr>
        <w:t xml:space="preserve"> </w:t>
      </w:r>
      <w:r>
        <w:t>providing</w:t>
      </w:r>
      <w:r>
        <w:rPr>
          <w:spacing w:val="-8"/>
        </w:rPr>
        <w:t xml:space="preserve"> </w:t>
      </w:r>
      <w:r>
        <w:t>sufficient</w:t>
      </w:r>
      <w:r>
        <w:rPr>
          <w:spacing w:val="-6"/>
        </w:rPr>
        <w:t xml:space="preserve"> </w:t>
      </w:r>
      <w:r>
        <w:t>and</w:t>
      </w:r>
      <w:r>
        <w:rPr>
          <w:spacing w:val="-6"/>
        </w:rPr>
        <w:t xml:space="preserve"> </w:t>
      </w:r>
      <w:r>
        <w:t>diverse</w:t>
      </w:r>
      <w:r>
        <w:rPr>
          <w:spacing w:val="-7"/>
        </w:rPr>
        <w:t xml:space="preserve"> </w:t>
      </w:r>
      <w:r>
        <w:t>social</w:t>
      </w:r>
      <w:r>
        <w:rPr>
          <w:spacing w:val="-6"/>
        </w:rPr>
        <w:t xml:space="preserve"> </w:t>
      </w:r>
      <w:r>
        <w:t>services</w:t>
      </w:r>
      <w:r>
        <w:rPr>
          <w:spacing w:val="-7"/>
        </w:rPr>
        <w:t xml:space="preserve"> </w:t>
      </w:r>
      <w:r>
        <w:t>in</w:t>
      </w:r>
      <w:r>
        <w:rPr>
          <w:spacing w:val="-6"/>
        </w:rPr>
        <w:t xml:space="preserve"> </w:t>
      </w:r>
      <w:r>
        <w:t>the</w:t>
      </w:r>
      <w:r>
        <w:rPr>
          <w:spacing w:val="-7"/>
        </w:rPr>
        <w:t xml:space="preserve"> </w:t>
      </w:r>
      <w:r>
        <w:t>community,</w:t>
      </w:r>
      <w:r>
        <w:rPr>
          <w:spacing w:val="-6"/>
        </w:rPr>
        <w:t xml:space="preserve"> </w:t>
      </w:r>
      <w:r>
        <w:t>infrastructure</w:t>
      </w:r>
      <w:r>
        <w:rPr>
          <w:spacing w:val="-7"/>
        </w:rPr>
        <w:t xml:space="preserve"> </w:t>
      </w:r>
      <w:r>
        <w:t>investments</w:t>
      </w:r>
      <w:r>
        <w:rPr>
          <w:spacing w:val="-58"/>
        </w:rPr>
        <w:t xml:space="preserve"> </w:t>
      </w:r>
      <w:r>
        <w:t>will create adequate conditions for the development of services (insuring property owned by</w:t>
      </w:r>
      <w:r>
        <w:rPr>
          <w:spacing w:val="1"/>
        </w:rPr>
        <w:t xml:space="preserve"> </w:t>
      </w:r>
      <w:r>
        <w:t>the Republic of Croatia or LRSGU/construction/reconstruction/rent and equipping for the</w:t>
      </w:r>
      <w:r>
        <w:rPr>
          <w:spacing w:val="1"/>
        </w:rPr>
        <w:t xml:space="preserve"> </w:t>
      </w:r>
      <w:r>
        <w:t>provision of non-institutional services). Improving on-premises conditions will ensure safe</w:t>
      </w:r>
      <w:r>
        <w:rPr>
          <w:spacing w:val="1"/>
        </w:rPr>
        <w:t xml:space="preserve"> </w:t>
      </w:r>
      <w:r>
        <w:t>working</w:t>
      </w:r>
      <w:r>
        <w:rPr>
          <w:spacing w:val="1"/>
        </w:rPr>
        <w:t xml:space="preserve"> </w:t>
      </w:r>
      <w:r>
        <w:t>conditions,</w:t>
      </w:r>
      <w:r>
        <w:rPr>
          <w:spacing w:val="1"/>
        </w:rPr>
        <w:t xml:space="preserve"> </w:t>
      </w:r>
      <w:r>
        <w:t>thus</w:t>
      </w:r>
      <w:r>
        <w:rPr>
          <w:spacing w:val="1"/>
        </w:rPr>
        <w:t xml:space="preserve"> </w:t>
      </w:r>
      <w:r>
        <w:t>facilitating</w:t>
      </w:r>
      <w:r>
        <w:rPr>
          <w:spacing w:val="1"/>
        </w:rPr>
        <w:t xml:space="preserve"> </w:t>
      </w:r>
      <w:r>
        <w:t>the</w:t>
      </w:r>
      <w:r>
        <w:rPr>
          <w:spacing w:val="1"/>
        </w:rPr>
        <w:t xml:space="preserve"> </w:t>
      </w:r>
      <w:r>
        <w:t>smooth</w:t>
      </w:r>
      <w:r>
        <w:rPr>
          <w:spacing w:val="1"/>
        </w:rPr>
        <w:t xml:space="preserve"> </w:t>
      </w:r>
      <w:r>
        <w:t>running</w:t>
      </w:r>
      <w:r>
        <w:rPr>
          <w:spacing w:val="1"/>
        </w:rPr>
        <w:t xml:space="preserve"> </w:t>
      </w:r>
      <w:r>
        <w:t>of</w:t>
      </w:r>
      <w:r>
        <w:rPr>
          <w:spacing w:val="1"/>
        </w:rPr>
        <w:t xml:space="preserve"> </w:t>
      </w:r>
      <w:r>
        <w:t>operations,</w:t>
      </w:r>
      <w:r>
        <w:rPr>
          <w:spacing w:val="1"/>
        </w:rPr>
        <w:t xml:space="preserve"> </w:t>
      </w:r>
      <w:r>
        <w:t>comprehensive</w:t>
      </w:r>
      <w:r>
        <w:rPr>
          <w:spacing w:val="1"/>
        </w:rPr>
        <w:t xml:space="preserve"> </w:t>
      </w:r>
      <w:r>
        <w:t>protection</w:t>
      </w:r>
      <w:r>
        <w:rPr>
          <w:spacing w:val="1"/>
        </w:rPr>
        <w:t xml:space="preserve"> </w:t>
      </w:r>
      <w:r>
        <w:t>of</w:t>
      </w:r>
      <w:r>
        <w:rPr>
          <w:spacing w:val="1"/>
        </w:rPr>
        <w:t xml:space="preserve"> </w:t>
      </w:r>
      <w:r>
        <w:t>users</w:t>
      </w:r>
      <w:r>
        <w:rPr>
          <w:spacing w:val="1"/>
        </w:rPr>
        <w:t xml:space="preserve"> </w:t>
      </w:r>
      <w:r>
        <w:t>and</w:t>
      </w:r>
      <w:r>
        <w:rPr>
          <w:spacing w:val="1"/>
        </w:rPr>
        <w:t xml:space="preserve"> </w:t>
      </w:r>
      <w:r>
        <w:t>improvements</w:t>
      </w:r>
      <w:r>
        <w:rPr>
          <w:spacing w:val="1"/>
        </w:rPr>
        <w:t xml:space="preserve"> </w:t>
      </w:r>
      <w:r>
        <w:t>to</w:t>
      </w:r>
      <w:r>
        <w:rPr>
          <w:spacing w:val="1"/>
        </w:rPr>
        <w:t xml:space="preserve"> </w:t>
      </w:r>
      <w:r>
        <w:t>the</w:t>
      </w:r>
      <w:r>
        <w:rPr>
          <w:spacing w:val="1"/>
        </w:rPr>
        <w:t xml:space="preserve"> </w:t>
      </w:r>
      <w:r>
        <w:t>quality</w:t>
      </w:r>
      <w:r>
        <w:rPr>
          <w:spacing w:val="1"/>
        </w:rPr>
        <w:t xml:space="preserve"> </w:t>
      </w:r>
      <w:r>
        <w:t>of</w:t>
      </w:r>
      <w:r>
        <w:rPr>
          <w:spacing w:val="1"/>
        </w:rPr>
        <w:t xml:space="preserve"> </w:t>
      </w:r>
      <w:r>
        <w:t>customer</w:t>
      </w:r>
      <w:r>
        <w:rPr>
          <w:spacing w:val="1"/>
        </w:rPr>
        <w:t xml:space="preserve"> </w:t>
      </w:r>
      <w:r>
        <w:t>service.</w:t>
      </w:r>
      <w:r>
        <w:rPr>
          <w:spacing w:val="1"/>
        </w:rPr>
        <w:t xml:space="preserve"> </w:t>
      </w:r>
      <w:r>
        <w:t>Ensuring</w:t>
      </w:r>
      <w:r>
        <w:rPr>
          <w:spacing w:val="1"/>
        </w:rPr>
        <w:t xml:space="preserve"> </w:t>
      </w:r>
      <w:r>
        <w:t>the</w:t>
      </w:r>
      <w:r>
        <w:rPr>
          <w:spacing w:val="1"/>
        </w:rPr>
        <w:t xml:space="preserve"> </w:t>
      </w:r>
      <w:r>
        <w:t>availability</w:t>
      </w:r>
      <w:r>
        <w:rPr>
          <w:spacing w:val="-12"/>
        </w:rPr>
        <w:t xml:space="preserve"> </w:t>
      </w:r>
      <w:r>
        <w:t>of</w:t>
      </w:r>
      <w:r>
        <w:rPr>
          <w:spacing w:val="-8"/>
        </w:rPr>
        <w:t xml:space="preserve"> </w:t>
      </w:r>
      <w:r>
        <w:t>social</w:t>
      </w:r>
      <w:r>
        <w:rPr>
          <w:spacing w:val="-6"/>
        </w:rPr>
        <w:t xml:space="preserve"> </w:t>
      </w:r>
      <w:r>
        <w:t>services</w:t>
      </w:r>
      <w:r>
        <w:rPr>
          <w:spacing w:val="-7"/>
        </w:rPr>
        <w:t xml:space="preserve"> </w:t>
      </w:r>
      <w:r>
        <w:t>in</w:t>
      </w:r>
      <w:r>
        <w:rPr>
          <w:spacing w:val="-6"/>
        </w:rPr>
        <w:t xml:space="preserve"> </w:t>
      </w:r>
      <w:r>
        <w:t>the</w:t>
      </w:r>
      <w:r>
        <w:rPr>
          <w:spacing w:val="-6"/>
        </w:rPr>
        <w:t xml:space="preserve"> </w:t>
      </w:r>
      <w:r>
        <w:t>community</w:t>
      </w:r>
      <w:r>
        <w:rPr>
          <w:spacing w:val="-10"/>
        </w:rPr>
        <w:t xml:space="preserve"> </w:t>
      </w:r>
      <w:r>
        <w:t>and</w:t>
      </w:r>
      <w:r>
        <w:rPr>
          <w:spacing w:val="-7"/>
        </w:rPr>
        <w:t xml:space="preserve"> </w:t>
      </w:r>
      <w:r>
        <w:t>strengthening</w:t>
      </w:r>
      <w:r>
        <w:rPr>
          <w:spacing w:val="-10"/>
        </w:rPr>
        <w:t xml:space="preserve"> </w:t>
      </w:r>
      <w:r>
        <w:t>the</w:t>
      </w:r>
      <w:r>
        <w:rPr>
          <w:spacing w:val="-5"/>
        </w:rPr>
        <w:t xml:space="preserve"> </w:t>
      </w:r>
      <w:r>
        <w:t>capacity</w:t>
      </w:r>
      <w:r>
        <w:rPr>
          <w:spacing w:val="-12"/>
        </w:rPr>
        <w:t xml:space="preserve"> </w:t>
      </w:r>
      <w:r>
        <w:t>of</w:t>
      </w:r>
      <w:r>
        <w:rPr>
          <w:spacing w:val="-5"/>
        </w:rPr>
        <w:t xml:space="preserve"> </w:t>
      </w:r>
      <w:r>
        <w:t>social</w:t>
      </w:r>
      <w:r>
        <w:rPr>
          <w:spacing w:val="-8"/>
        </w:rPr>
        <w:t xml:space="preserve"> </w:t>
      </w:r>
      <w:r>
        <w:t>service</w:t>
      </w:r>
      <w:r>
        <w:rPr>
          <w:spacing w:val="-58"/>
        </w:rPr>
        <w:t xml:space="preserve"> </w:t>
      </w:r>
      <w:r>
        <w:t>providers</w:t>
      </w:r>
      <w:r>
        <w:rPr>
          <w:spacing w:val="-12"/>
        </w:rPr>
        <w:t xml:space="preserve"> </w:t>
      </w:r>
      <w:r>
        <w:t>will</w:t>
      </w:r>
      <w:r>
        <w:rPr>
          <w:spacing w:val="-11"/>
        </w:rPr>
        <w:t xml:space="preserve"> </w:t>
      </w:r>
      <w:r>
        <w:t>be</w:t>
      </w:r>
      <w:r>
        <w:rPr>
          <w:spacing w:val="-10"/>
        </w:rPr>
        <w:t xml:space="preserve"> </w:t>
      </w:r>
      <w:r>
        <w:t>encouraged</w:t>
      </w:r>
      <w:r>
        <w:rPr>
          <w:spacing w:val="-9"/>
        </w:rPr>
        <w:t xml:space="preserve"> </w:t>
      </w:r>
      <w:r>
        <w:t>through</w:t>
      </w:r>
      <w:r>
        <w:rPr>
          <w:spacing w:val="-11"/>
        </w:rPr>
        <w:t xml:space="preserve"> </w:t>
      </w:r>
      <w:r>
        <w:t>program</w:t>
      </w:r>
      <w:r>
        <w:rPr>
          <w:spacing w:val="-8"/>
        </w:rPr>
        <w:t xml:space="preserve"> </w:t>
      </w:r>
      <w:r>
        <w:t>and</w:t>
      </w:r>
      <w:r>
        <w:rPr>
          <w:spacing w:val="-9"/>
        </w:rPr>
        <w:t xml:space="preserve"> </w:t>
      </w:r>
      <w:r>
        <w:t>project</w:t>
      </w:r>
      <w:r>
        <w:rPr>
          <w:spacing w:val="-8"/>
        </w:rPr>
        <w:t xml:space="preserve"> </w:t>
      </w:r>
      <w:r>
        <w:t>funds</w:t>
      </w:r>
      <w:r>
        <w:rPr>
          <w:spacing w:val="-12"/>
        </w:rPr>
        <w:t xml:space="preserve"> </w:t>
      </w:r>
      <w:r>
        <w:t>from</w:t>
      </w:r>
      <w:r>
        <w:rPr>
          <w:spacing w:val="-11"/>
        </w:rPr>
        <w:t xml:space="preserve"> </w:t>
      </w:r>
      <w:r>
        <w:t>national</w:t>
      </w:r>
      <w:r>
        <w:rPr>
          <w:spacing w:val="-11"/>
        </w:rPr>
        <w:t xml:space="preserve"> </w:t>
      </w:r>
      <w:r>
        <w:t>and</w:t>
      </w:r>
      <w:r>
        <w:rPr>
          <w:spacing w:val="-11"/>
        </w:rPr>
        <w:t xml:space="preserve"> </w:t>
      </w:r>
      <w:r>
        <w:t>EU</w:t>
      </w:r>
      <w:r>
        <w:rPr>
          <w:spacing w:val="-12"/>
        </w:rPr>
        <w:t xml:space="preserve"> </w:t>
      </w:r>
      <w:r>
        <w:t>sources,</w:t>
      </w:r>
      <w:r>
        <w:rPr>
          <w:spacing w:val="-58"/>
        </w:rPr>
        <w:t xml:space="preserve"> </w:t>
      </w:r>
      <w:r>
        <w:t>adding</w:t>
      </w:r>
      <w:r>
        <w:rPr>
          <w:spacing w:val="-3"/>
        </w:rPr>
        <w:t xml:space="preserve"> </w:t>
      </w:r>
      <w:r>
        <w:t>value to programs financed</w:t>
      </w:r>
      <w:r>
        <w:rPr>
          <w:spacing w:val="2"/>
        </w:rPr>
        <w:t xml:space="preserve"> </w:t>
      </w:r>
      <w:r>
        <w:t>from the</w:t>
      </w:r>
      <w:r>
        <w:rPr>
          <w:spacing w:val="-1"/>
        </w:rPr>
        <w:t xml:space="preserve"> </w:t>
      </w:r>
      <w:r>
        <w:t>state</w:t>
      </w:r>
      <w:r>
        <w:rPr>
          <w:spacing w:val="-2"/>
        </w:rPr>
        <w:t xml:space="preserve"> </w:t>
      </w:r>
      <w:r>
        <w:t>budget.</w:t>
      </w:r>
    </w:p>
    <w:p w:rsidR="00A56FE9" w:rsidRDefault="00CC1B9B">
      <w:pPr>
        <w:pStyle w:val="Tijeloteksta"/>
        <w:spacing w:before="121"/>
        <w:ind w:right="275"/>
      </w:pPr>
      <w:r>
        <w:rPr>
          <w:noProof/>
        </w:rPr>
        <mc:AlternateContent>
          <mc:Choice Requires="wps">
            <w:drawing>
              <wp:anchor distT="0" distB="0" distL="114300" distR="114300" simplePos="0" relativeHeight="15811072" behindDoc="0" locked="0" layoutInCell="1" allowOverlap="1">
                <wp:simplePos x="0" y="0"/>
                <wp:positionH relativeFrom="page">
                  <wp:posOffset>814070</wp:posOffset>
                </wp:positionH>
                <wp:positionV relativeFrom="paragraph">
                  <wp:posOffset>1033145</wp:posOffset>
                </wp:positionV>
                <wp:extent cx="18415" cy="417830"/>
                <wp:effectExtent l="0" t="0" r="0" b="0"/>
                <wp:wrapNone/>
                <wp:docPr id="1460679062"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6C9CE" id="Rectangle 95" o:spid="_x0000_s1026" style="position:absolute;margin-left:64.1pt;margin-top:81.35pt;width:1.45pt;height:32.9pt;z-index:1581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" fillcolor="#da1f2c" stroked="f">
                <w10:wrap anchorx="page"/>
              </v:rect>
            </w:pict>
          </mc:Fallback>
        </mc:AlternateContent>
      </w:r>
      <w:r w:rsidR="00000000">
        <w:t>In 2022, the financing of projects aimed at expanding social services in the community from</w:t>
      </w:r>
      <w:r w:rsidR="00000000">
        <w:rPr>
          <w:spacing w:val="1"/>
        </w:rPr>
        <w:t xml:space="preserve"> </w:t>
      </w:r>
      <w:r w:rsidR="00000000">
        <w:t>various</w:t>
      </w:r>
      <w:r w:rsidR="00000000">
        <w:rPr>
          <w:spacing w:val="-11"/>
        </w:rPr>
        <w:t xml:space="preserve"> </w:t>
      </w:r>
      <w:r w:rsidR="00000000">
        <w:t>providers</w:t>
      </w:r>
      <w:r w:rsidR="00000000">
        <w:rPr>
          <w:spacing w:val="-10"/>
        </w:rPr>
        <w:t xml:space="preserve"> </w:t>
      </w:r>
      <w:r w:rsidR="00000000">
        <w:t>(social</w:t>
      </w:r>
      <w:r w:rsidR="00000000">
        <w:rPr>
          <w:spacing w:val="-7"/>
        </w:rPr>
        <w:t xml:space="preserve"> </w:t>
      </w:r>
      <w:r w:rsidR="00000000">
        <w:t>welfare</w:t>
      </w:r>
      <w:r w:rsidR="00000000">
        <w:rPr>
          <w:spacing w:val="-10"/>
        </w:rPr>
        <w:t xml:space="preserve"> </w:t>
      </w:r>
      <w:r w:rsidR="00000000">
        <w:t>institutions,</w:t>
      </w:r>
      <w:r w:rsidR="00000000">
        <w:rPr>
          <w:spacing w:val="-9"/>
        </w:rPr>
        <w:t xml:space="preserve"> </w:t>
      </w:r>
      <w:r w:rsidR="00000000">
        <w:t>associations,</w:t>
      </w:r>
      <w:r w:rsidR="00000000">
        <w:rPr>
          <w:spacing w:val="-10"/>
        </w:rPr>
        <w:t xml:space="preserve"> </w:t>
      </w:r>
      <w:r w:rsidR="00000000">
        <w:t>religious</w:t>
      </w:r>
      <w:r w:rsidR="00000000">
        <w:rPr>
          <w:spacing w:val="-9"/>
        </w:rPr>
        <w:t xml:space="preserve"> </w:t>
      </w:r>
      <w:r w:rsidR="00000000">
        <w:t>communities,</w:t>
      </w:r>
      <w:r w:rsidR="00000000">
        <w:rPr>
          <w:spacing w:val="-10"/>
        </w:rPr>
        <w:t xml:space="preserve"> </w:t>
      </w:r>
      <w:r w:rsidR="00000000">
        <w:t>foundations,</w:t>
      </w:r>
      <w:r w:rsidR="00000000">
        <w:rPr>
          <w:spacing w:val="-58"/>
        </w:rPr>
        <w:t xml:space="preserve"> </w:t>
      </w:r>
      <w:r w:rsidR="00000000">
        <w:t>LRSGU, international organisations and national minorities councils) will continue. Funding</w:t>
      </w:r>
      <w:r w:rsidR="00000000">
        <w:rPr>
          <w:spacing w:val="1"/>
        </w:rPr>
        <w:t xml:space="preserve"> </w:t>
      </w:r>
      <w:r w:rsidR="00000000">
        <w:t>for the development of social services that associations provide in the field of social welfare</w:t>
      </w:r>
      <w:r w:rsidR="00000000">
        <w:rPr>
          <w:spacing w:val="1"/>
        </w:rPr>
        <w:t xml:space="preserve"> </w:t>
      </w:r>
      <w:r w:rsidR="00000000">
        <w:t>will</w:t>
      </w:r>
      <w:r w:rsidR="00000000">
        <w:rPr>
          <w:spacing w:val="-1"/>
        </w:rPr>
        <w:t xml:space="preserve"> </w:t>
      </w:r>
      <w:r w:rsidR="00000000">
        <w:t>continue.</w:t>
      </w:r>
    </w:p>
    <w:p w:rsidR="00A56FE9" w:rsidRDefault="00A56FE9">
      <w:pPr>
        <w:pStyle w:val="Tijeloteksta"/>
        <w:spacing w:before="11"/>
        <w:ind w:left="0"/>
        <w:jc w:val="left"/>
        <w:rPr>
          <w:sz w:val="31"/>
        </w:rPr>
      </w:pPr>
    </w:p>
    <w:p w:rsidR="00A56FE9" w:rsidRDefault="00000000">
      <w:pPr>
        <w:pStyle w:val="Naslov4"/>
      </w:pPr>
      <w:r>
        <w:rPr>
          <w:color w:val="2C398A"/>
        </w:rPr>
        <w:t>Assistance</w:t>
      </w:r>
      <w:r>
        <w:rPr>
          <w:color w:val="2C398A"/>
          <w:spacing w:val="-3"/>
        </w:rPr>
        <w:t xml:space="preserve"> </w:t>
      </w:r>
      <w:r>
        <w:rPr>
          <w:color w:val="2C398A"/>
        </w:rPr>
        <w:t>programs</w:t>
      </w:r>
      <w:r>
        <w:rPr>
          <w:color w:val="2C398A"/>
          <w:spacing w:val="-3"/>
        </w:rPr>
        <w:t xml:space="preserve"> </w:t>
      </w:r>
      <w:r>
        <w:rPr>
          <w:color w:val="2C398A"/>
        </w:rPr>
        <w:t>for</w:t>
      </w:r>
      <w:r>
        <w:rPr>
          <w:color w:val="2C398A"/>
          <w:spacing w:val="-2"/>
        </w:rPr>
        <w:t xml:space="preserve"> </w:t>
      </w:r>
      <w:r>
        <w:rPr>
          <w:color w:val="2C398A"/>
        </w:rPr>
        <w:t>the</w:t>
      </w:r>
      <w:r>
        <w:rPr>
          <w:color w:val="2C398A"/>
          <w:spacing w:val="-1"/>
        </w:rPr>
        <w:t xml:space="preserve"> </w:t>
      </w:r>
      <w:r>
        <w:rPr>
          <w:color w:val="2C398A"/>
        </w:rPr>
        <w:t>most</w:t>
      </w:r>
      <w:r>
        <w:rPr>
          <w:color w:val="2C398A"/>
          <w:spacing w:val="-3"/>
        </w:rPr>
        <w:t xml:space="preserve"> </w:t>
      </w:r>
      <w:r>
        <w:rPr>
          <w:color w:val="2C398A"/>
        </w:rPr>
        <w:t>deprived</w:t>
      </w:r>
    </w:p>
    <w:p w:rsidR="00A56FE9" w:rsidRDefault="00000000">
      <w:pPr>
        <w:pStyle w:val="Naslov5"/>
        <w:spacing w:before="236" w:after="23"/>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346126818"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925853256" name="Rectangle 94"/>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523FAE7" id="Group 93"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">
                <v:rect id="Rectangle 94"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6"/>
      </w:pPr>
      <w:r>
        <w:rPr>
          <w:spacing w:val="-1"/>
        </w:rPr>
        <w:t>Croatia</w:t>
      </w:r>
      <w:r>
        <w:rPr>
          <w:spacing w:val="-16"/>
        </w:rPr>
        <w:t xml:space="preserve"> </w:t>
      </w:r>
      <w:r>
        <w:rPr>
          <w:spacing w:val="-1"/>
        </w:rPr>
        <w:t>has</w:t>
      </w:r>
      <w:r>
        <w:rPr>
          <w:spacing w:val="-15"/>
        </w:rPr>
        <w:t xml:space="preserve"> </w:t>
      </w:r>
      <w:r>
        <w:t>been</w:t>
      </w:r>
      <w:r>
        <w:rPr>
          <w:spacing w:val="-12"/>
        </w:rPr>
        <w:t xml:space="preserve"> </w:t>
      </w:r>
      <w:r>
        <w:t>continually</w:t>
      </w:r>
      <w:r>
        <w:rPr>
          <w:spacing w:val="-20"/>
        </w:rPr>
        <w:t xml:space="preserve"> </w:t>
      </w:r>
      <w:r>
        <w:t>implementing</w:t>
      </w:r>
      <w:r>
        <w:rPr>
          <w:spacing w:val="-17"/>
        </w:rPr>
        <w:t xml:space="preserve"> </w:t>
      </w:r>
      <w:r>
        <w:t>measures</w:t>
      </w:r>
      <w:r>
        <w:rPr>
          <w:spacing w:val="-15"/>
        </w:rPr>
        <w:t xml:space="preserve"> </w:t>
      </w:r>
      <w:r>
        <w:t>to</w:t>
      </w:r>
      <w:r>
        <w:rPr>
          <w:spacing w:val="-13"/>
        </w:rPr>
        <w:t xml:space="preserve"> </w:t>
      </w:r>
      <w:r>
        <w:t>reduce</w:t>
      </w:r>
      <w:r>
        <w:rPr>
          <w:spacing w:val="-16"/>
        </w:rPr>
        <w:t xml:space="preserve"> </w:t>
      </w:r>
      <w:r>
        <w:t>poverty</w:t>
      </w:r>
      <w:r>
        <w:rPr>
          <w:spacing w:val="-20"/>
        </w:rPr>
        <w:t xml:space="preserve"> </w:t>
      </w:r>
      <w:r>
        <w:t>and</w:t>
      </w:r>
      <w:r>
        <w:rPr>
          <w:spacing w:val="-12"/>
        </w:rPr>
        <w:t xml:space="preserve"> </w:t>
      </w:r>
      <w:r>
        <w:t>material</w:t>
      </w:r>
      <w:r>
        <w:rPr>
          <w:spacing w:val="-14"/>
        </w:rPr>
        <w:t xml:space="preserve"> </w:t>
      </w:r>
      <w:r>
        <w:t>deprivation</w:t>
      </w:r>
      <w:r>
        <w:rPr>
          <w:spacing w:val="-57"/>
        </w:rPr>
        <w:t xml:space="preserve"> </w:t>
      </w:r>
      <w:r>
        <w:t>and</w:t>
      </w:r>
      <w:r>
        <w:rPr>
          <w:spacing w:val="1"/>
        </w:rPr>
        <w:t xml:space="preserve"> </w:t>
      </w:r>
      <w:r>
        <w:t>provide assistance</w:t>
      </w:r>
      <w:r>
        <w:rPr>
          <w:spacing w:val="1"/>
        </w:rPr>
        <w:t xml:space="preserve"> </w:t>
      </w:r>
      <w:r>
        <w:t>in</w:t>
      </w:r>
      <w:r>
        <w:rPr>
          <w:spacing w:val="1"/>
        </w:rPr>
        <w:t xml:space="preserve"> </w:t>
      </w:r>
      <w:r>
        <w:t>eliminating food shortages.</w:t>
      </w:r>
      <w:r>
        <w:rPr>
          <w:spacing w:val="1"/>
        </w:rPr>
        <w:t xml:space="preserve"> </w:t>
      </w:r>
      <w:r>
        <w:t>The measures</w:t>
      </w:r>
      <w:r>
        <w:rPr>
          <w:spacing w:val="1"/>
        </w:rPr>
        <w:t xml:space="preserve"> </w:t>
      </w:r>
      <w:r>
        <w:t>are implemented by</w:t>
      </w:r>
      <w:r>
        <w:rPr>
          <w:spacing w:val="1"/>
        </w:rPr>
        <w:t xml:space="preserve"> </w:t>
      </w:r>
      <w:r>
        <w:t>financing project and programs. Due to the recorded high level or risk of poverty and material</w:t>
      </w:r>
      <w:r>
        <w:rPr>
          <w:spacing w:val="-57"/>
        </w:rPr>
        <w:t xml:space="preserve"> </w:t>
      </w:r>
      <w:r>
        <w:rPr>
          <w:spacing w:val="-1"/>
        </w:rPr>
        <w:t>deprivation</w:t>
      </w:r>
      <w:r>
        <w:rPr>
          <w:spacing w:val="-15"/>
        </w:rPr>
        <w:t xml:space="preserve"> </w:t>
      </w:r>
      <w:r>
        <w:rPr>
          <w:spacing w:val="-1"/>
        </w:rPr>
        <w:t>in</w:t>
      </w:r>
      <w:r>
        <w:rPr>
          <w:spacing w:val="-14"/>
        </w:rPr>
        <w:t xml:space="preserve"> </w:t>
      </w:r>
      <w:r>
        <w:rPr>
          <w:spacing w:val="-1"/>
        </w:rPr>
        <w:t>Croatia,</w:t>
      </w:r>
      <w:r>
        <w:rPr>
          <w:spacing w:val="-15"/>
        </w:rPr>
        <w:t xml:space="preserve"> </w:t>
      </w:r>
      <w:r>
        <w:t>which</w:t>
      </w:r>
      <w:r>
        <w:rPr>
          <w:spacing w:val="-15"/>
        </w:rPr>
        <w:t xml:space="preserve"> </w:t>
      </w:r>
      <w:r>
        <w:t>requires</w:t>
      </w:r>
      <w:r>
        <w:rPr>
          <w:spacing w:val="-14"/>
        </w:rPr>
        <w:t xml:space="preserve"> </w:t>
      </w:r>
      <w:r>
        <w:t>additional</w:t>
      </w:r>
      <w:r>
        <w:rPr>
          <w:spacing w:val="-12"/>
        </w:rPr>
        <w:t xml:space="preserve"> </w:t>
      </w:r>
      <w:r>
        <w:t>measures</w:t>
      </w:r>
      <w:r>
        <w:rPr>
          <w:spacing w:val="-12"/>
        </w:rPr>
        <w:t xml:space="preserve"> </w:t>
      </w:r>
      <w:r>
        <w:t>for</w:t>
      </w:r>
      <w:r>
        <w:rPr>
          <w:spacing w:val="-16"/>
        </w:rPr>
        <w:t xml:space="preserve"> </w:t>
      </w:r>
      <w:r>
        <w:t>helping</w:t>
      </w:r>
      <w:r>
        <w:rPr>
          <w:spacing w:val="-17"/>
        </w:rPr>
        <w:t xml:space="preserve"> </w:t>
      </w:r>
      <w:r>
        <w:t>the</w:t>
      </w:r>
      <w:r>
        <w:rPr>
          <w:spacing w:val="-10"/>
        </w:rPr>
        <w:t xml:space="preserve"> </w:t>
      </w:r>
      <w:r>
        <w:t>most</w:t>
      </w:r>
      <w:r>
        <w:rPr>
          <w:spacing w:val="-14"/>
        </w:rPr>
        <w:t xml:space="preserve"> </w:t>
      </w:r>
      <w:r>
        <w:t>needy,</w:t>
      </w:r>
      <w:r>
        <w:rPr>
          <w:spacing w:val="-13"/>
        </w:rPr>
        <w:t xml:space="preserve"> </w:t>
      </w:r>
      <w:r>
        <w:t>activities</w:t>
      </w:r>
      <w:r>
        <w:rPr>
          <w:spacing w:val="-57"/>
        </w:rPr>
        <w:t xml:space="preserve"> </w:t>
      </w:r>
      <w:r>
        <w:t>based on the Fund for European Aid to the Most Deprived (FEAD) are carried out to provide</w:t>
      </w:r>
      <w:r>
        <w:rPr>
          <w:spacing w:val="1"/>
        </w:rPr>
        <w:t xml:space="preserve"> </w:t>
      </w:r>
      <w:r>
        <w:rPr>
          <w:spacing w:val="-1"/>
        </w:rPr>
        <w:t>aid</w:t>
      </w:r>
      <w:r>
        <w:rPr>
          <w:spacing w:val="-14"/>
        </w:rPr>
        <w:t xml:space="preserve"> </w:t>
      </w:r>
      <w:r>
        <w:t>in</w:t>
      </w:r>
      <w:r>
        <w:rPr>
          <w:spacing w:val="-14"/>
        </w:rPr>
        <w:t xml:space="preserve"> </w:t>
      </w:r>
      <w:r>
        <w:t>the</w:t>
      </w:r>
      <w:r>
        <w:rPr>
          <w:spacing w:val="-15"/>
        </w:rPr>
        <w:t xml:space="preserve"> </w:t>
      </w:r>
      <w:r>
        <w:t>form</w:t>
      </w:r>
      <w:r>
        <w:rPr>
          <w:spacing w:val="-15"/>
        </w:rPr>
        <w:t xml:space="preserve"> </w:t>
      </w:r>
      <w:r>
        <w:t>of</w:t>
      </w:r>
      <w:r>
        <w:rPr>
          <w:spacing w:val="-16"/>
        </w:rPr>
        <w:t xml:space="preserve"> </w:t>
      </w:r>
      <w:r>
        <w:t>food</w:t>
      </w:r>
      <w:r>
        <w:rPr>
          <w:spacing w:val="-13"/>
        </w:rPr>
        <w:t xml:space="preserve"> </w:t>
      </w:r>
      <w:r>
        <w:t>and/or</w:t>
      </w:r>
      <w:r>
        <w:rPr>
          <w:spacing w:val="-15"/>
        </w:rPr>
        <w:t xml:space="preserve"> </w:t>
      </w:r>
      <w:r>
        <w:t>basic</w:t>
      </w:r>
      <w:r>
        <w:rPr>
          <w:spacing w:val="-15"/>
        </w:rPr>
        <w:t xml:space="preserve"> </w:t>
      </w:r>
      <w:r>
        <w:t>material</w:t>
      </w:r>
      <w:r>
        <w:rPr>
          <w:spacing w:val="-14"/>
        </w:rPr>
        <w:t xml:space="preserve"> </w:t>
      </w:r>
      <w:r>
        <w:t>needs,</w:t>
      </w:r>
      <w:r>
        <w:rPr>
          <w:spacing w:val="-12"/>
        </w:rPr>
        <w:t xml:space="preserve"> </w:t>
      </w:r>
      <w:r>
        <w:t>representing</w:t>
      </w:r>
      <w:r>
        <w:rPr>
          <w:spacing w:val="-17"/>
        </w:rPr>
        <w:t xml:space="preserve"> </w:t>
      </w:r>
      <w:r>
        <w:t>added</w:t>
      </w:r>
      <w:r>
        <w:rPr>
          <w:spacing w:val="-15"/>
        </w:rPr>
        <w:t xml:space="preserve"> </w:t>
      </w:r>
      <w:r>
        <w:t>value</w:t>
      </w:r>
      <w:r>
        <w:rPr>
          <w:spacing w:val="-13"/>
        </w:rPr>
        <w:t xml:space="preserve"> </w:t>
      </w:r>
      <w:r>
        <w:t>to</w:t>
      </w:r>
      <w:r>
        <w:rPr>
          <w:spacing w:val="-14"/>
        </w:rPr>
        <w:t xml:space="preserve"> </w:t>
      </w:r>
      <w:r>
        <w:t>existing</w:t>
      </w:r>
      <w:r>
        <w:rPr>
          <w:spacing w:val="-17"/>
        </w:rPr>
        <w:t xml:space="preserve"> </w:t>
      </w:r>
      <w:r>
        <w:t>national</w:t>
      </w:r>
      <w:r>
        <w:rPr>
          <w:spacing w:val="-57"/>
        </w:rPr>
        <w:t xml:space="preserve"> </w:t>
      </w:r>
      <w:r>
        <w:t>programs. In 2021, three tenders were implemented within the FEAD, and aid was given to</w:t>
      </w:r>
      <w:r>
        <w:rPr>
          <w:spacing w:val="1"/>
        </w:rPr>
        <w:t xml:space="preserve"> </w:t>
      </w:r>
      <w:r>
        <w:t>71,000 persons at risk of poverty. Projects ensuring school meals (HRK 51.81 million, 85%</w:t>
      </w:r>
      <w:r>
        <w:rPr>
          <w:spacing w:val="1"/>
        </w:rPr>
        <w:t xml:space="preserve"> </w:t>
      </w:r>
      <w:r>
        <w:t>FEAD) in about 380 primary schools received financing, resulting in school meals for about</w:t>
      </w:r>
      <w:r>
        <w:rPr>
          <w:spacing w:val="1"/>
        </w:rPr>
        <w:t xml:space="preserve"> </w:t>
      </w:r>
      <w:r>
        <w:t>27,000</w:t>
      </w:r>
      <w:r>
        <w:rPr>
          <w:spacing w:val="1"/>
        </w:rPr>
        <w:t xml:space="preserve"> </w:t>
      </w:r>
      <w:r>
        <w:t>children</w:t>
      </w:r>
      <w:r>
        <w:rPr>
          <w:spacing w:val="1"/>
        </w:rPr>
        <w:t xml:space="preserve"> </w:t>
      </w:r>
      <w:r>
        <w:t>over</w:t>
      </w:r>
      <w:r>
        <w:rPr>
          <w:spacing w:val="1"/>
        </w:rPr>
        <w:t xml:space="preserve"> </w:t>
      </w:r>
      <w:r>
        <w:t>a</w:t>
      </w:r>
      <w:r>
        <w:rPr>
          <w:spacing w:val="1"/>
        </w:rPr>
        <w:t xml:space="preserve"> </w:t>
      </w:r>
      <w:r>
        <w:t>period</w:t>
      </w:r>
      <w:r>
        <w:rPr>
          <w:spacing w:val="1"/>
        </w:rPr>
        <w:t xml:space="preserve"> </w:t>
      </w:r>
      <w:r>
        <w:t>of</w:t>
      </w:r>
      <w:r>
        <w:rPr>
          <w:spacing w:val="1"/>
        </w:rPr>
        <w:t xml:space="preserve"> </w:t>
      </w:r>
      <w:r>
        <w:t>two</w:t>
      </w:r>
      <w:r>
        <w:rPr>
          <w:spacing w:val="1"/>
        </w:rPr>
        <w:t xml:space="preserve"> </w:t>
      </w:r>
      <w:r>
        <w:t>school</w:t>
      </w:r>
      <w:r>
        <w:rPr>
          <w:spacing w:val="1"/>
        </w:rPr>
        <w:t xml:space="preserve"> </w:t>
      </w:r>
      <w:r>
        <w:t>years.</w:t>
      </w:r>
      <w:r>
        <w:rPr>
          <w:spacing w:val="1"/>
        </w:rPr>
        <w:t xml:space="preserve"> </w:t>
      </w:r>
      <w:r>
        <w:t>Projects</w:t>
      </w:r>
      <w:r>
        <w:rPr>
          <w:spacing w:val="1"/>
        </w:rPr>
        <w:t xml:space="preserve"> </w:t>
      </w:r>
      <w:r>
        <w:t>were</w:t>
      </w:r>
      <w:r>
        <w:rPr>
          <w:spacing w:val="1"/>
        </w:rPr>
        <w:t xml:space="preserve"> </w:t>
      </w:r>
      <w:r>
        <w:t>also</w:t>
      </w:r>
      <w:r>
        <w:rPr>
          <w:spacing w:val="1"/>
        </w:rPr>
        <w:t xml:space="preserve"> </w:t>
      </w:r>
      <w:r>
        <w:t>implemented</w:t>
      </w:r>
      <w:r>
        <w:rPr>
          <w:spacing w:val="1"/>
        </w:rPr>
        <w:t xml:space="preserve"> </w:t>
      </w:r>
      <w:r>
        <w:t>by</w:t>
      </w:r>
      <w:r>
        <w:rPr>
          <w:spacing w:val="-57"/>
        </w:rPr>
        <w:t xml:space="preserve"> </w:t>
      </w:r>
      <w:r>
        <w:t>humanitarian</w:t>
      </w:r>
      <w:r>
        <w:rPr>
          <w:spacing w:val="-1"/>
        </w:rPr>
        <w:t xml:space="preserve"> </w:t>
      </w:r>
      <w:r>
        <w:t>organisations</w:t>
      </w:r>
      <w:r>
        <w:rPr>
          <w:spacing w:val="-1"/>
        </w:rPr>
        <w:t xml:space="preserve"> </w:t>
      </w:r>
      <w:r>
        <w:t>with a</w:t>
      </w:r>
      <w:r>
        <w:rPr>
          <w:spacing w:val="-2"/>
        </w:rPr>
        <w:t xml:space="preserve"> </w:t>
      </w:r>
      <w:r>
        <w:t>total</w:t>
      </w:r>
      <w:r>
        <w:rPr>
          <w:spacing w:val="-1"/>
        </w:rPr>
        <w:t xml:space="preserve"> </w:t>
      </w:r>
      <w:r>
        <w:t>value</w:t>
      </w:r>
      <w:r>
        <w:rPr>
          <w:spacing w:val="-1"/>
        </w:rPr>
        <w:t xml:space="preserve"> </w:t>
      </w:r>
      <w:r>
        <w:t>of</w:t>
      </w:r>
      <w:r>
        <w:rPr>
          <w:spacing w:val="-1"/>
        </w:rPr>
        <w:t xml:space="preserve"> </w:t>
      </w:r>
      <w:r>
        <w:t>the</w:t>
      </w:r>
      <w:r>
        <w:rPr>
          <w:spacing w:val="-2"/>
        </w:rPr>
        <w:t xml:space="preserve"> </w:t>
      </w:r>
      <w:r>
        <w:t>Public</w:t>
      </w:r>
      <w:r>
        <w:rPr>
          <w:spacing w:val="-2"/>
        </w:rPr>
        <w:t xml:space="preserve"> </w:t>
      </w:r>
      <w:r>
        <w:t>Call at</w:t>
      </w:r>
      <w:r>
        <w:rPr>
          <w:spacing w:val="-1"/>
        </w:rPr>
        <w:t xml:space="preserve"> </w:t>
      </w:r>
      <w:r>
        <w:t>HRK</w:t>
      </w:r>
      <w:r>
        <w:rPr>
          <w:spacing w:val="-1"/>
        </w:rPr>
        <w:t xml:space="preserve"> </w:t>
      </w:r>
      <w:r>
        <w:t>76.15 million</w:t>
      </w:r>
      <w:r>
        <w:rPr>
          <w:spacing w:val="-1"/>
        </w:rPr>
        <w:t xml:space="preserve"> </w:t>
      </w:r>
      <w:r>
        <w:t>in</w:t>
      </w:r>
      <w:r>
        <w:rPr>
          <w:spacing w:val="-1"/>
        </w:rPr>
        <w:t xml:space="preserve"> </w:t>
      </w:r>
      <w:r>
        <w:t>2021,</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82"/>
      </w:pPr>
      <w:r>
        <w:t>ensuring aid for approx. 44,000 of the neediest in the form of meals and basic material</w:t>
      </w:r>
      <w:r>
        <w:rPr>
          <w:spacing w:val="1"/>
        </w:rPr>
        <w:t xml:space="preserve"> </w:t>
      </w:r>
      <w:r>
        <w:t>assistance.</w:t>
      </w:r>
    </w:p>
    <w:p w:rsidR="00A56FE9" w:rsidRDefault="00000000">
      <w:pPr>
        <w:pStyle w:val="Tijeloteksta"/>
        <w:spacing w:before="120"/>
        <w:ind w:right="276"/>
      </w:pPr>
      <w:r>
        <w:t>The</w:t>
      </w:r>
      <w:r>
        <w:rPr>
          <w:spacing w:val="1"/>
        </w:rPr>
        <w:t xml:space="preserve"> </w:t>
      </w:r>
      <w:r>
        <w:t>implementation</w:t>
      </w:r>
      <w:r>
        <w:rPr>
          <w:spacing w:val="1"/>
        </w:rPr>
        <w:t xml:space="preserve"> </w:t>
      </w:r>
      <w:r>
        <w:t>of</w:t>
      </w:r>
      <w:r>
        <w:rPr>
          <w:spacing w:val="1"/>
        </w:rPr>
        <w:t xml:space="preserve"> </w:t>
      </w:r>
      <w:r>
        <w:t>these</w:t>
      </w:r>
      <w:r>
        <w:rPr>
          <w:spacing w:val="1"/>
        </w:rPr>
        <w:t xml:space="preserve"> </w:t>
      </w:r>
      <w:r>
        <w:t>activities</w:t>
      </w:r>
      <w:r>
        <w:rPr>
          <w:spacing w:val="1"/>
        </w:rPr>
        <w:t xml:space="preserve"> </w:t>
      </w:r>
      <w:r>
        <w:t>also</w:t>
      </w:r>
      <w:r>
        <w:rPr>
          <w:spacing w:val="1"/>
        </w:rPr>
        <w:t xml:space="preserve"> </w:t>
      </w:r>
      <w:r>
        <w:t>contributes</w:t>
      </w:r>
      <w:r>
        <w:rPr>
          <w:spacing w:val="1"/>
        </w:rPr>
        <w:t xml:space="preserve"> </w:t>
      </w:r>
      <w:r>
        <w:t>to</w:t>
      </w:r>
      <w:r>
        <w:rPr>
          <w:spacing w:val="1"/>
        </w:rPr>
        <w:t xml:space="preserve"> </w:t>
      </w:r>
      <w:r>
        <w:t>achieving</w:t>
      </w:r>
      <w:r>
        <w:rPr>
          <w:spacing w:val="1"/>
        </w:rPr>
        <w:t xml:space="preserve"> </w:t>
      </w:r>
      <w:r>
        <w:t>SDG:</w:t>
      </w:r>
      <w:r>
        <w:rPr>
          <w:spacing w:val="1"/>
        </w:rPr>
        <w:t xml:space="preserve"> </w:t>
      </w:r>
      <w:r>
        <w:t>Objective</w:t>
      </w:r>
      <w:r>
        <w:rPr>
          <w:spacing w:val="1"/>
        </w:rPr>
        <w:t xml:space="preserve"> </w:t>
      </w:r>
      <w:r>
        <w:t>1.</w:t>
      </w:r>
      <w:r>
        <w:rPr>
          <w:spacing w:val="1"/>
        </w:rPr>
        <w:t xml:space="preserve"> </w:t>
      </w:r>
      <w:r>
        <w:t>Eradicate all forms of poverty everywhere in the world and Objective 2. Eradicate hunger,</w:t>
      </w:r>
      <w:r>
        <w:rPr>
          <w:spacing w:val="1"/>
        </w:rPr>
        <w:t xml:space="preserve"> </w:t>
      </w:r>
      <w:r>
        <w:t>achieve</w:t>
      </w:r>
      <w:r>
        <w:rPr>
          <w:spacing w:val="-1"/>
        </w:rPr>
        <w:t xml:space="preserve"> </w:t>
      </w:r>
      <w:r>
        <w:t>food</w:t>
      </w:r>
      <w:r>
        <w:rPr>
          <w:spacing w:val="-1"/>
        </w:rPr>
        <w:t xml:space="preserve"> </w:t>
      </w:r>
      <w:r>
        <w:t>security</w:t>
      </w:r>
      <w:r>
        <w:rPr>
          <w:spacing w:val="-3"/>
        </w:rPr>
        <w:t xml:space="preserve"> </w:t>
      </w:r>
      <w:r>
        <w:t>and</w:t>
      </w:r>
      <w:r>
        <w:rPr>
          <w:spacing w:val="-1"/>
        </w:rPr>
        <w:t xml:space="preserve"> </w:t>
      </w:r>
      <w:r>
        <w:t>improved nutrition and promote</w:t>
      </w:r>
      <w:r>
        <w:rPr>
          <w:spacing w:val="-2"/>
        </w:rPr>
        <w:t xml:space="preserve"> </w:t>
      </w:r>
      <w:r>
        <w:t>sustainable</w:t>
      </w:r>
      <w:r>
        <w:rPr>
          <w:spacing w:val="-1"/>
        </w:rPr>
        <w:t xml:space="preserve"> </w:t>
      </w:r>
      <w:r>
        <w:t>agriculture.</w:t>
      </w:r>
    </w:p>
    <w:p w:rsidR="00A56FE9" w:rsidRDefault="00000000">
      <w:pPr>
        <w:pStyle w:val="Tijeloteksta"/>
        <w:spacing w:before="121"/>
        <w:ind w:right="274"/>
      </w:pPr>
      <w:r>
        <w:t>At EU level, relying on the European Pillar of Social Rights and the recommendation in the</w:t>
      </w:r>
      <w:r>
        <w:rPr>
          <w:spacing w:val="1"/>
        </w:rPr>
        <w:t xml:space="preserve"> </w:t>
      </w:r>
      <w:r>
        <w:t>field of child poverty titled Investing in children – Breaking the Cylce of Disadvantage on 14</w:t>
      </w:r>
      <w:r>
        <w:rPr>
          <w:spacing w:val="1"/>
        </w:rPr>
        <w:t xml:space="preserve"> </w:t>
      </w:r>
      <w:r>
        <w:t>June 2021, the EU Council adopted a recommendation on the establishment of the European</w:t>
      </w:r>
      <w:r>
        <w:rPr>
          <w:spacing w:val="1"/>
        </w:rPr>
        <w:t xml:space="preserve"> </w:t>
      </w:r>
      <w:r>
        <w:t>Child</w:t>
      </w:r>
      <w:r>
        <w:rPr>
          <w:spacing w:val="-7"/>
        </w:rPr>
        <w:t xml:space="preserve"> </w:t>
      </w:r>
      <w:r>
        <w:t>Guarantee.</w:t>
      </w:r>
      <w:r>
        <w:rPr>
          <w:spacing w:val="-6"/>
        </w:rPr>
        <w:t xml:space="preserve"> </w:t>
      </w:r>
      <w:r>
        <w:t>The</w:t>
      </w:r>
      <w:r>
        <w:rPr>
          <w:spacing w:val="-7"/>
        </w:rPr>
        <w:t xml:space="preserve"> </w:t>
      </w:r>
      <w:r>
        <w:t>recommendation</w:t>
      </w:r>
      <w:r>
        <w:rPr>
          <w:spacing w:val="-6"/>
        </w:rPr>
        <w:t xml:space="preserve"> </w:t>
      </w:r>
      <w:r>
        <w:t>supplements</w:t>
      </w:r>
      <w:r>
        <w:rPr>
          <w:spacing w:val="-6"/>
        </w:rPr>
        <w:t xml:space="preserve"> </w:t>
      </w:r>
      <w:r>
        <w:t>the</w:t>
      </w:r>
      <w:r>
        <w:rPr>
          <w:spacing w:val="-7"/>
        </w:rPr>
        <w:t xml:space="preserve"> </w:t>
      </w:r>
      <w:r>
        <w:t>EU</w:t>
      </w:r>
      <w:r>
        <w:rPr>
          <w:spacing w:val="-7"/>
        </w:rPr>
        <w:t xml:space="preserve"> </w:t>
      </w:r>
      <w:r>
        <w:t>Strategy</w:t>
      </w:r>
      <w:r>
        <w:rPr>
          <w:spacing w:val="-11"/>
        </w:rPr>
        <w:t xml:space="preserve"> </w:t>
      </w:r>
      <w:r>
        <w:t>on</w:t>
      </w:r>
      <w:r>
        <w:rPr>
          <w:spacing w:val="-6"/>
        </w:rPr>
        <w:t xml:space="preserve"> </w:t>
      </w:r>
      <w:r>
        <w:t>the</w:t>
      </w:r>
      <w:r>
        <w:rPr>
          <w:spacing w:val="-7"/>
        </w:rPr>
        <w:t xml:space="preserve"> </w:t>
      </w:r>
      <w:r>
        <w:t>Rights</w:t>
      </w:r>
      <w:r>
        <w:rPr>
          <w:spacing w:val="-6"/>
        </w:rPr>
        <w:t xml:space="preserve"> </w:t>
      </w:r>
      <w:r>
        <w:t>of</w:t>
      </w:r>
      <w:r>
        <w:rPr>
          <w:spacing w:val="-7"/>
        </w:rPr>
        <w:t xml:space="preserve"> </w:t>
      </w:r>
      <w:r>
        <w:t>the</w:t>
      </w:r>
      <w:r>
        <w:rPr>
          <w:spacing w:val="-7"/>
        </w:rPr>
        <w:t xml:space="preserve"> </w:t>
      </w:r>
      <w:r>
        <w:t>Child</w:t>
      </w:r>
      <w:r>
        <w:rPr>
          <w:spacing w:val="-58"/>
        </w:rPr>
        <w:t xml:space="preserve"> </w:t>
      </w:r>
      <w:r>
        <w:t>2021-2024 and gravitates toward giving each child access to fundamental rights and services.</w:t>
      </w:r>
      <w:r>
        <w:rPr>
          <w:spacing w:val="1"/>
        </w:rPr>
        <w:t xml:space="preserve"> </w:t>
      </w:r>
      <w:r>
        <w:rPr>
          <w:spacing w:val="-1"/>
        </w:rPr>
        <w:t>The</w:t>
      </w:r>
      <w:r>
        <w:rPr>
          <w:spacing w:val="-16"/>
        </w:rPr>
        <w:t xml:space="preserve"> </w:t>
      </w:r>
      <w:r>
        <w:rPr>
          <w:spacing w:val="-1"/>
        </w:rPr>
        <w:t>emphasis</w:t>
      </w:r>
      <w:r>
        <w:rPr>
          <w:spacing w:val="-14"/>
        </w:rPr>
        <w:t xml:space="preserve"> </w:t>
      </w:r>
      <w:r>
        <w:t>is</w:t>
      </w:r>
      <w:r>
        <w:rPr>
          <w:spacing w:val="-14"/>
        </w:rPr>
        <w:t xml:space="preserve"> </w:t>
      </w:r>
      <w:r>
        <w:t>on</w:t>
      </w:r>
      <w:r>
        <w:rPr>
          <w:spacing w:val="-15"/>
        </w:rPr>
        <w:t xml:space="preserve"> </w:t>
      </w:r>
      <w:r>
        <w:t>effective</w:t>
      </w:r>
      <w:r>
        <w:rPr>
          <w:spacing w:val="-15"/>
        </w:rPr>
        <w:t xml:space="preserve"> </w:t>
      </w:r>
      <w:r>
        <w:t>and</w:t>
      </w:r>
      <w:r>
        <w:rPr>
          <w:spacing w:val="-15"/>
        </w:rPr>
        <w:t xml:space="preserve"> </w:t>
      </w:r>
      <w:r>
        <w:t>free</w:t>
      </w:r>
      <w:r>
        <w:rPr>
          <w:spacing w:val="-16"/>
        </w:rPr>
        <w:t xml:space="preserve"> </w:t>
      </w:r>
      <w:r>
        <w:t>access</w:t>
      </w:r>
      <w:r>
        <w:rPr>
          <w:spacing w:val="-14"/>
        </w:rPr>
        <w:t xml:space="preserve"> </w:t>
      </w:r>
      <w:r>
        <w:t>to</w:t>
      </w:r>
      <w:r>
        <w:rPr>
          <w:spacing w:val="-14"/>
        </w:rPr>
        <w:t xml:space="preserve"> </w:t>
      </w:r>
      <w:r>
        <w:t>quality</w:t>
      </w:r>
      <w:r>
        <w:rPr>
          <w:spacing w:val="-22"/>
        </w:rPr>
        <w:t xml:space="preserve"> </w:t>
      </w:r>
      <w:r>
        <w:t>services</w:t>
      </w:r>
      <w:r>
        <w:rPr>
          <w:spacing w:val="-15"/>
        </w:rPr>
        <w:t xml:space="preserve"> </w:t>
      </w:r>
      <w:r>
        <w:t>in</w:t>
      </w:r>
      <w:r>
        <w:rPr>
          <w:spacing w:val="-14"/>
        </w:rPr>
        <w:t xml:space="preserve"> </w:t>
      </w:r>
      <w:r>
        <w:t>the</w:t>
      </w:r>
      <w:r>
        <w:rPr>
          <w:spacing w:val="-15"/>
        </w:rPr>
        <w:t xml:space="preserve"> </w:t>
      </w:r>
      <w:r>
        <w:t>area</w:t>
      </w:r>
      <w:r>
        <w:rPr>
          <w:spacing w:val="-16"/>
        </w:rPr>
        <w:t xml:space="preserve"> </w:t>
      </w:r>
      <w:r>
        <w:t>of</w:t>
      </w:r>
      <w:r>
        <w:rPr>
          <w:spacing w:val="-13"/>
        </w:rPr>
        <w:t xml:space="preserve"> </w:t>
      </w:r>
      <w:r>
        <w:t>early</w:t>
      </w:r>
      <w:r>
        <w:rPr>
          <w:spacing w:val="-20"/>
        </w:rPr>
        <w:t xml:space="preserve"> </w:t>
      </w:r>
      <w:r>
        <w:t>and</w:t>
      </w:r>
      <w:r>
        <w:rPr>
          <w:spacing w:val="-15"/>
        </w:rPr>
        <w:t xml:space="preserve"> </w:t>
      </w:r>
      <w:r>
        <w:t>preschool</w:t>
      </w:r>
      <w:r>
        <w:rPr>
          <w:spacing w:val="-57"/>
        </w:rPr>
        <w:t xml:space="preserve"> </w:t>
      </w:r>
      <w:r>
        <w:t>education, education (including extra-institutional activities) and healthcare, as well as healthy</w:t>
      </w:r>
      <w:r>
        <w:rPr>
          <w:spacing w:val="-58"/>
        </w:rPr>
        <w:t xml:space="preserve"> </w:t>
      </w:r>
      <w:r>
        <w:t>(school) meals and appropriate housing. The European Child Guarantee firstly focuses on</w:t>
      </w:r>
      <w:r>
        <w:rPr>
          <w:spacing w:val="1"/>
        </w:rPr>
        <w:t xml:space="preserve"> </w:t>
      </w:r>
      <w:r>
        <w:t>children</w:t>
      </w:r>
      <w:r>
        <w:rPr>
          <w:spacing w:val="1"/>
        </w:rPr>
        <w:t xml:space="preserve"> </w:t>
      </w:r>
      <w:r>
        <w:t>at</w:t>
      </w:r>
      <w:r>
        <w:rPr>
          <w:spacing w:val="1"/>
        </w:rPr>
        <w:t xml:space="preserve"> </w:t>
      </w:r>
      <w:r>
        <w:t>risk,</w:t>
      </w:r>
      <w:r>
        <w:rPr>
          <w:spacing w:val="1"/>
        </w:rPr>
        <w:t xml:space="preserve"> </w:t>
      </w:r>
      <w:r>
        <w:t>primarily children</w:t>
      </w:r>
      <w:r>
        <w:rPr>
          <w:spacing w:val="1"/>
        </w:rPr>
        <w:t xml:space="preserve"> </w:t>
      </w:r>
      <w:r>
        <w:t>at</w:t>
      </w:r>
      <w:r>
        <w:rPr>
          <w:spacing w:val="1"/>
        </w:rPr>
        <w:t xml:space="preserve"> </w:t>
      </w:r>
      <w:r>
        <w:t>risk</w:t>
      </w:r>
      <w:r>
        <w:rPr>
          <w:spacing w:val="1"/>
        </w:rPr>
        <w:t xml:space="preserve"> </w:t>
      </w:r>
      <w:r>
        <w:t>of</w:t>
      </w:r>
      <w:r>
        <w:rPr>
          <w:spacing w:val="1"/>
        </w:rPr>
        <w:t xml:space="preserve"> </w:t>
      </w:r>
      <w:r>
        <w:t>poverty and</w:t>
      </w:r>
      <w:r>
        <w:rPr>
          <w:spacing w:val="1"/>
        </w:rPr>
        <w:t xml:space="preserve"> </w:t>
      </w:r>
      <w:r>
        <w:t>social</w:t>
      </w:r>
      <w:r>
        <w:rPr>
          <w:spacing w:val="1"/>
        </w:rPr>
        <w:t xml:space="preserve"> </w:t>
      </w:r>
      <w:r>
        <w:t>exclusion.</w:t>
      </w:r>
      <w:r>
        <w:rPr>
          <w:spacing w:val="1"/>
        </w:rPr>
        <w:t xml:space="preserve"> </w:t>
      </w:r>
      <w:r>
        <w:t>It</w:t>
      </w:r>
      <w:r>
        <w:rPr>
          <w:spacing w:val="1"/>
        </w:rPr>
        <w:t xml:space="preserve"> </w:t>
      </w:r>
      <w:r>
        <w:t>envisages</w:t>
      </w:r>
      <w:r>
        <w:rPr>
          <w:spacing w:val="1"/>
        </w:rPr>
        <w:t xml:space="preserve"> </w:t>
      </w:r>
      <w:r>
        <w:t>additional</w:t>
      </w:r>
      <w:r>
        <w:rPr>
          <w:spacing w:val="-4"/>
        </w:rPr>
        <w:t xml:space="preserve"> </w:t>
      </w:r>
      <w:r>
        <w:t>investments</w:t>
      </w:r>
      <w:r>
        <w:rPr>
          <w:spacing w:val="-3"/>
        </w:rPr>
        <w:t xml:space="preserve"> </w:t>
      </w:r>
      <w:r>
        <w:t>by</w:t>
      </w:r>
      <w:r>
        <w:rPr>
          <w:spacing w:val="-6"/>
        </w:rPr>
        <w:t xml:space="preserve"> </w:t>
      </w:r>
      <w:r>
        <w:t>EU</w:t>
      </w:r>
      <w:r>
        <w:rPr>
          <w:spacing w:val="-5"/>
        </w:rPr>
        <w:t xml:space="preserve"> </w:t>
      </w:r>
      <w:r>
        <w:t>member</w:t>
      </w:r>
      <w:r>
        <w:rPr>
          <w:spacing w:val="-5"/>
        </w:rPr>
        <w:t xml:space="preserve"> </w:t>
      </w:r>
      <w:r>
        <w:t>states</w:t>
      </w:r>
      <w:r>
        <w:rPr>
          <w:spacing w:val="-4"/>
        </w:rPr>
        <w:t xml:space="preserve"> </w:t>
      </w:r>
      <w:r>
        <w:t>in</w:t>
      </w:r>
      <w:r>
        <w:rPr>
          <w:spacing w:val="-3"/>
        </w:rPr>
        <w:t xml:space="preserve"> </w:t>
      </w:r>
      <w:r>
        <w:t>developing</w:t>
      </w:r>
      <w:r>
        <w:rPr>
          <w:spacing w:val="-6"/>
        </w:rPr>
        <w:t xml:space="preserve"> </w:t>
      </w:r>
      <w:r>
        <w:t>services</w:t>
      </w:r>
      <w:r>
        <w:rPr>
          <w:spacing w:val="-4"/>
        </w:rPr>
        <w:t xml:space="preserve"> </w:t>
      </w:r>
      <w:r>
        <w:t>for</w:t>
      </w:r>
      <w:r>
        <w:rPr>
          <w:spacing w:val="-4"/>
        </w:rPr>
        <w:t xml:space="preserve"> </w:t>
      </w:r>
      <w:r>
        <w:t>children</w:t>
      </w:r>
      <w:r>
        <w:rPr>
          <w:spacing w:val="-4"/>
        </w:rPr>
        <w:t xml:space="preserve"> </w:t>
      </w:r>
      <w:r>
        <w:t>and</w:t>
      </w:r>
      <w:r>
        <w:rPr>
          <w:spacing w:val="-4"/>
        </w:rPr>
        <w:t xml:space="preserve"> </w:t>
      </w:r>
      <w:r>
        <w:t>additional</w:t>
      </w:r>
      <w:r>
        <w:rPr>
          <w:spacing w:val="-58"/>
        </w:rPr>
        <w:t xml:space="preserve"> </w:t>
      </w:r>
      <w:r>
        <w:t>mechanisms of support directed to children at</w:t>
      </w:r>
      <w:r>
        <w:rPr>
          <w:spacing w:val="1"/>
        </w:rPr>
        <w:t xml:space="preserve"> </w:t>
      </w:r>
      <w:r>
        <w:t>risk of poverty and social exclusion. The</w:t>
      </w:r>
      <w:r>
        <w:rPr>
          <w:spacing w:val="1"/>
        </w:rPr>
        <w:t xml:space="preserve"> </w:t>
      </w:r>
      <w:r>
        <w:t>Republic of Croatia is one of the countries where the program Child Guarantee is being tested,</w:t>
      </w:r>
      <w:r>
        <w:rPr>
          <w:spacing w:val="-58"/>
        </w:rPr>
        <w:t xml:space="preserve"> </w:t>
      </w:r>
      <w:r>
        <w:t>and the pilot program Testing the Child Guarantee in the EU Member States implemented. In</w:t>
      </w:r>
      <w:r>
        <w:rPr>
          <w:spacing w:val="1"/>
        </w:rPr>
        <w:t xml:space="preserve"> </w:t>
      </w:r>
      <w:r>
        <w:t>cooperation</w:t>
      </w:r>
      <w:r>
        <w:rPr>
          <w:spacing w:val="1"/>
        </w:rPr>
        <w:t xml:space="preserve"> </w:t>
      </w:r>
      <w:r>
        <w:t>with</w:t>
      </w:r>
      <w:r>
        <w:rPr>
          <w:spacing w:val="1"/>
        </w:rPr>
        <w:t xml:space="preserve"> </w:t>
      </w:r>
      <w:r>
        <w:t>the</w:t>
      </w:r>
      <w:r>
        <w:rPr>
          <w:spacing w:val="1"/>
        </w:rPr>
        <w:t xml:space="preserve"> </w:t>
      </w:r>
      <w:r>
        <w:t>UNICEF</w:t>
      </w:r>
      <w:r>
        <w:rPr>
          <w:spacing w:val="1"/>
        </w:rPr>
        <w:t xml:space="preserve"> </w:t>
      </w:r>
      <w:r>
        <w:t>Croatian</w:t>
      </w:r>
      <w:r>
        <w:rPr>
          <w:spacing w:val="1"/>
        </w:rPr>
        <w:t xml:space="preserve"> </w:t>
      </w:r>
      <w:r>
        <w:t>Office,</w:t>
      </w:r>
      <w:r>
        <w:rPr>
          <w:spacing w:val="1"/>
        </w:rPr>
        <w:t xml:space="preserve"> </w:t>
      </w:r>
      <w:r>
        <w:t>on</w:t>
      </w:r>
      <w:r>
        <w:rPr>
          <w:spacing w:val="1"/>
        </w:rPr>
        <w:t xml:space="preserve"> </w:t>
      </w:r>
      <w:r>
        <w:t>29</w:t>
      </w:r>
      <w:r>
        <w:rPr>
          <w:spacing w:val="1"/>
        </w:rPr>
        <w:t xml:space="preserve"> </w:t>
      </w:r>
      <w:r>
        <w:t>July</w:t>
      </w:r>
      <w:r>
        <w:rPr>
          <w:spacing w:val="1"/>
        </w:rPr>
        <w:t xml:space="preserve"> </w:t>
      </w:r>
      <w:r>
        <w:t>2020,</w:t>
      </w:r>
      <w:r>
        <w:rPr>
          <w:spacing w:val="1"/>
        </w:rPr>
        <w:t xml:space="preserve"> </w:t>
      </w:r>
      <w:r>
        <w:t>the</w:t>
      </w:r>
      <w:r>
        <w:rPr>
          <w:spacing w:val="1"/>
        </w:rPr>
        <w:t xml:space="preserve"> </w:t>
      </w:r>
      <w:r>
        <w:rPr>
          <w:b/>
        </w:rPr>
        <w:t>two-year</w:t>
      </w:r>
      <w:r>
        <w:rPr>
          <w:b/>
          <w:spacing w:val="1"/>
        </w:rPr>
        <w:t xml:space="preserve"> </w:t>
      </w:r>
      <w:r>
        <w:rPr>
          <w:b/>
        </w:rPr>
        <w:t>Child</w:t>
      </w:r>
      <w:r>
        <w:rPr>
          <w:b/>
          <w:spacing w:val="1"/>
        </w:rPr>
        <w:t xml:space="preserve"> </w:t>
      </w:r>
      <w:r>
        <w:rPr>
          <w:b/>
        </w:rPr>
        <w:t xml:space="preserve">Guarantee Program </w:t>
      </w:r>
      <w:r>
        <w:t>was initiated and co-financed by the European Commission where the</w:t>
      </w:r>
      <w:r>
        <w:rPr>
          <w:spacing w:val="1"/>
        </w:rPr>
        <w:t xml:space="preserve"> </w:t>
      </w:r>
      <w:r>
        <w:rPr>
          <w:spacing w:val="-1"/>
        </w:rPr>
        <w:t>related</w:t>
      </w:r>
      <w:r>
        <w:rPr>
          <w:spacing w:val="-10"/>
        </w:rPr>
        <w:t xml:space="preserve"> </w:t>
      </w:r>
      <w:r>
        <w:t>activities</w:t>
      </w:r>
      <w:r>
        <w:rPr>
          <w:spacing w:val="-13"/>
        </w:rPr>
        <w:t xml:space="preserve"> </w:t>
      </w:r>
      <w:r>
        <w:t>were</w:t>
      </w:r>
      <w:r>
        <w:rPr>
          <w:spacing w:val="-13"/>
        </w:rPr>
        <w:t xml:space="preserve"> </w:t>
      </w:r>
      <w:r>
        <w:t>undertaken</w:t>
      </w:r>
      <w:r>
        <w:rPr>
          <w:spacing w:val="-12"/>
        </w:rPr>
        <w:t xml:space="preserve"> </w:t>
      </w:r>
      <w:r>
        <w:t>in</w:t>
      </w:r>
      <w:r>
        <w:rPr>
          <w:spacing w:val="-12"/>
        </w:rPr>
        <w:t xml:space="preserve"> </w:t>
      </w:r>
      <w:r>
        <w:t>the</w:t>
      </w:r>
      <w:r>
        <w:rPr>
          <w:spacing w:val="-13"/>
        </w:rPr>
        <w:t xml:space="preserve"> </w:t>
      </w:r>
      <w:r>
        <w:t>County</w:t>
      </w:r>
      <w:r>
        <w:rPr>
          <w:spacing w:val="-17"/>
        </w:rPr>
        <w:t xml:space="preserve"> </w:t>
      </w:r>
      <w:r>
        <w:t>of</w:t>
      </w:r>
      <w:r>
        <w:rPr>
          <w:spacing w:val="-11"/>
        </w:rPr>
        <w:t xml:space="preserve"> </w:t>
      </w:r>
      <w:r>
        <w:t>Međimurje</w:t>
      </w:r>
      <w:r>
        <w:rPr>
          <w:spacing w:val="-14"/>
        </w:rPr>
        <w:t xml:space="preserve"> </w:t>
      </w:r>
      <w:r>
        <w:t>due</w:t>
      </w:r>
      <w:r>
        <w:rPr>
          <w:spacing w:val="-13"/>
        </w:rPr>
        <w:t xml:space="preserve"> </w:t>
      </w:r>
      <w:r>
        <w:t>to</w:t>
      </w:r>
      <w:r>
        <w:rPr>
          <w:spacing w:val="-12"/>
        </w:rPr>
        <w:t xml:space="preserve"> </w:t>
      </w:r>
      <w:r>
        <w:t>a</w:t>
      </w:r>
      <w:r>
        <w:rPr>
          <w:spacing w:val="-11"/>
        </w:rPr>
        <w:t xml:space="preserve"> </w:t>
      </w:r>
      <w:r>
        <w:t>large</w:t>
      </w:r>
      <w:r>
        <w:rPr>
          <w:spacing w:val="-7"/>
        </w:rPr>
        <w:t xml:space="preserve"> </w:t>
      </w:r>
      <w:r>
        <w:t>number</w:t>
      </w:r>
      <w:r>
        <w:rPr>
          <w:spacing w:val="-14"/>
        </w:rPr>
        <w:t xml:space="preserve"> </w:t>
      </w:r>
      <w:r>
        <w:t>of</w:t>
      </w:r>
      <w:r>
        <w:rPr>
          <w:spacing w:val="-11"/>
        </w:rPr>
        <w:t xml:space="preserve"> </w:t>
      </w:r>
      <w:r>
        <w:t>children</w:t>
      </w:r>
      <w:r>
        <w:rPr>
          <w:spacing w:val="-58"/>
        </w:rPr>
        <w:t xml:space="preserve"> </w:t>
      </w:r>
      <w:r>
        <w:t>of</w:t>
      </w:r>
      <w:r>
        <w:rPr>
          <w:spacing w:val="-5"/>
        </w:rPr>
        <w:t xml:space="preserve"> </w:t>
      </w:r>
      <w:r>
        <w:t>the</w:t>
      </w:r>
      <w:r>
        <w:rPr>
          <w:spacing w:val="-3"/>
        </w:rPr>
        <w:t xml:space="preserve"> </w:t>
      </w:r>
      <w:r>
        <w:t>Roma</w:t>
      </w:r>
      <w:r>
        <w:rPr>
          <w:spacing w:val="-3"/>
        </w:rPr>
        <w:t xml:space="preserve"> </w:t>
      </w:r>
      <w:r>
        <w:t>national</w:t>
      </w:r>
      <w:r>
        <w:rPr>
          <w:spacing w:val="-2"/>
        </w:rPr>
        <w:t xml:space="preserve"> </w:t>
      </w:r>
      <w:r>
        <w:t>minority</w:t>
      </w:r>
      <w:r>
        <w:rPr>
          <w:spacing w:val="-9"/>
        </w:rPr>
        <w:t xml:space="preserve"> </w:t>
      </w:r>
      <w:r>
        <w:t>at</w:t>
      </w:r>
      <w:r>
        <w:rPr>
          <w:spacing w:val="-2"/>
        </w:rPr>
        <w:t xml:space="preserve"> </w:t>
      </w:r>
      <w:r>
        <w:t>risk</w:t>
      </w:r>
      <w:r>
        <w:rPr>
          <w:spacing w:val="-3"/>
        </w:rPr>
        <w:t xml:space="preserve"> </w:t>
      </w:r>
      <w:r>
        <w:t>of</w:t>
      </w:r>
      <w:r>
        <w:rPr>
          <w:spacing w:val="-4"/>
        </w:rPr>
        <w:t xml:space="preserve"> </w:t>
      </w:r>
      <w:r>
        <w:t>poverty</w:t>
      </w:r>
      <w:r>
        <w:rPr>
          <w:spacing w:val="-9"/>
        </w:rPr>
        <w:t xml:space="preserve"> </w:t>
      </w:r>
      <w:r>
        <w:t>and</w:t>
      </w:r>
      <w:r>
        <w:rPr>
          <w:spacing w:val="-3"/>
        </w:rPr>
        <w:t xml:space="preserve"> </w:t>
      </w:r>
      <w:r>
        <w:t>social</w:t>
      </w:r>
      <w:r>
        <w:rPr>
          <w:spacing w:val="-3"/>
        </w:rPr>
        <w:t xml:space="preserve"> </w:t>
      </w:r>
      <w:r>
        <w:t>exclusion,</w:t>
      </w:r>
      <w:r>
        <w:rPr>
          <w:spacing w:val="-3"/>
        </w:rPr>
        <w:t xml:space="preserve"> </w:t>
      </w:r>
      <w:r>
        <w:t>and</w:t>
      </w:r>
      <w:r>
        <w:rPr>
          <w:spacing w:val="-4"/>
        </w:rPr>
        <w:t xml:space="preserve"> </w:t>
      </w:r>
      <w:r>
        <w:t>at</w:t>
      </w:r>
      <w:r>
        <w:rPr>
          <w:spacing w:val="-5"/>
        </w:rPr>
        <w:t xml:space="preserve"> </w:t>
      </w:r>
      <w:r>
        <w:t>the</w:t>
      </w:r>
      <w:r>
        <w:rPr>
          <w:spacing w:val="-3"/>
        </w:rPr>
        <w:t xml:space="preserve"> </w:t>
      </w:r>
      <w:r>
        <w:t>same</w:t>
      </w:r>
      <w:r>
        <w:rPr>
          <w:spacing w:val="-3"/>
        </w:rPr>
        <w:t xml:space="preserve"> </w:t>
      </w:r>
      <w:r>
        <w:t>time</w:t>
      </w:r>
      <w:r>
        <w:rPr>
          <w:spacing w:val="-4"/>
        </w:rPr>
        <w:t xml:space="preserve"> </w:t>
      </w:r>
      <w:r>
        <w:t>due</w:t>
      </w:r>
      <w:r>
        <w:rPr>
          <w:spacing w:val="-57"/>
        </w:rPr>
        <w:t xml:space="preserve"> </w:t>
      </w:r>
      <w:r>
        <w:t>to the lack of services related to the protection of children and support to families as well as</w:t>
      </w:r>
      <w:r>
        <w:rPr>
          <w:spacing w:val="1"/>
        </w:rPr>
        <w:t xml:space="preserve"> </w:t>
      </w:r>
      <w:r>
        <w:t>early</w:t>
      </w:r>
      <w:r>
        <w:rPr>
          <w:spacing w:val="-5"/>
        </w:rPr>
        <w:t xml:space="preserve"> </w:t>
      </w:r>
      <w:r>
        <w:t>intervention</w:t>
      </w:r>
      <w:r>
        <w:rPr>
          <w:spacing w:val="-1"/>
        </w:rPr>
        <w:t xml:space="preserve"> </w:t>
      </w:r>
      <w:r>
        <w:t>services.</w:t>
      </w:r>
    </w:p>
    <w:p w:rsidR="00A56FE9" w:rsidRDefault="00000000">
      <w:pPr>
        <w:pStyle w:val="Tijeloteksta"/>
        <w:spacing w:before="121"/>
        <w:ind w:right="277"/>
      </w:pPr>
      <w:r>
        <w:t>The general goal of the Program for children from the County of Međimurje is that they have</w:t>
      </w:r>
      <w:r>
        <w:rPr>
          <w:spacing w:val="1"/>
        </w:rPr>
        <w:t xml:space="preserve"> </w:t>
      </w:r>
      <w:r>
        <w:t>access</w:t>
      </w:r>
      <w:r>
        <w:rPr>
          <w:spacing w:val="1"/>
        </w:rPr>
        <w:t xml:space="preserve"> </w:t>
      </w:r>
      <w:r>
        <w:t>to</w:t>
      </w:r>
      <w:r>
        <w:rPr>
          <w:spacing w:val="1"/>
        </w:rPr>
        <w:t xml:space="preserve"> </w:t>
      </w:r>
      <w:r>
        <w:t>integrated</w:t>
      </w:r>
      <w:r>
        <w:rPr>
          <w:spacing w:val="1"/>
        </w:rPr>
        <w:t xml:space="preserve"> </w:t>
      </w:r>
      <w:r>
        <w:t>multidisciplinary,</w:t>
      </w:r>
      <w:r>
        <w:rPr>
          <w:spacing w:val="1"/>
        </w:rPr>
        <w:t xml:space="preserve"> </w:t>
      </w:r>
      <w:r>
        <w:t>adequately</w:t>
      </w:r>
      <w:r>
        <w:rPr>
          <w:spacing w:val="1"/>
        </w:rPr>
        <w:t xml:space="preserve"> </w:t>
      </w:r>
      <w:r>
        <w:t>financed</w:t>
      </w:r>
      <w:r>
        <w:rPr>
          <w:spacing w:val="1"/>
        </w:rPr>
        <w:t xml:space="preserve"> </w:t>
      </w:r>
      <w:r>
        <w:t>services</w:t>
      </w:r>
      <w:r>
        <w:rPr>
          <w:spacing w:val="1"/>
        </w:rPr>
        <w:t xml:space="preserve"> </w:t>
      </w:r>
      <w:r>
        <w:t>for</w:t>
      </w:r>
      <w:r>
        <w:rPr>
          <w:spacing w:val="1"/>
        </w:rPr>
        <w:t xml:space="preserve"> </w:t>
      </w:r>
      <w:r>
        <w:t>support</w:t>
      </w:r>
      <w:r>
        <w:rPr>
          <w:spacing w:val="1"/>
        </w:rPr>
        <w:t xml:space="preserve"> </w:t>
      </w:r>
      <w:r>
        <w:t>in</w:t>
      </w:r>
      <w:r>
        <w:rPr>
          <w:spacing w:val="1"/>
        </w:rPr>
        <w:t xml:space="preserve"> </w:t>
      </w:r>
      <w:r>
        <w:t>the</w:t>
      </w:r>
      <w:r>
        <w:rPr>
          <w:spacing w:val="1"/>
        </w:rPr>
        <w:t xml:space="preserve"> </w:t>
      </w:r>
      <w:r>
        <w:t>community</w:t>
      </w:r>
      <w:r>
        <w:rPr>
          <w:spacing w:val="1"/>
        </w:rPr>
        <w:t xml:space="preserve"> </w:t>
      </w:r>
      <w:r>
        <w:t>and</w:t>
      </w:r>
      <w:r>
        <w:rPr>
          <w:spacing w:val="1"/>
        </w:rPr>
        <w:t xml:space="preserve"> </w:t>
      </w:r>
      <w:r>
        <w:t>family,</w:t>
      </w:r>
      <w:r>
        <w:rPr>
          <w:spacing w:val="1"/>
        </w:rPr>
        <w:t xml:space="preserve"> </w:t>
      </w:r>
      <w:r>
        <w:t>in</w:t>
      </w:r>
      <w:r>
        <w:rPr>
          <w:spacing w:val="1"/>
        </w:rPr>
        <w:t xml:space="preserve"> </w:t>
      </w:r>
      <w:r>
        <w:t>preschools</w:t>
      </w:r>
      <w:r>
        <w:rPr>
          <w:spacing w:val="1"/>
        </w:rPr>
        <w:t xml:space="preserve"> </w:t>
      </w:r>
      <w:r>
        <w:t>and</w:t>
      </w:r>
      <w:r>
        <w:rPr>
          <w:spacing w:val="1"/>
        </w:rPr>
        <w:t xml:space="preserve"> </w:t>
      </w:r>
      <w:r>
        <w:t>early</w:t>
      </w:r>
      <w:r>
        <w:rPr>
          <w:spacing w:val="1"/>
        </w:rPr>
        <w:t xml:space="preserve"> </w:t>
      </w:r>
      <w:r>
        <w:t>intervention</w:t>
      </w:r>
      <w:r>
        <w:rPr>
          <w:spacing w:val="1"/>
        </w:rPr>
        <w:t xml:space="preserve"> </w:t>
      </w:r>
      <w:r>
        <w:t>in</w:t>
      </w:r>
      <w:r>
        <w:rPr>
          <w:spacing w:val="1"/>
        </w:rPr>
        <w:t xml:space="preserve"> </w:t>
      </w:r>
      <w:r>
        <w:t>childhood.</w:t>
      </w:r>
      <w:r>
        <w:rPr>
          <w:spacing w:val="1"/>
        </w:rPr>
        <w:t xml:space="preserve"> </w:t>
      </w:r>
      <w:r>
        <w:t>The</w:t>
      </w:r>
      <w:r>
        <w:rPr>
          <w:spacing w:val="1"/>
        </w:rPr>
        <w:t xml:space="preserve"> </w:t>
      </w:r>
      <w:r>
        <w:t>quality,</w:t>
      </w:r>
      <w:r>
        <w:rPr>
          <w:spacing w:val="1"/>
        </w:rPr>
        <w:t xml:space="preserve"> </w:t>
      </w:r>
      <w:r>
        <w:t>accessibility and accessibility of childcare are crucial to ensuring children's rights, and efforts</w:t>
      </w:r>
      <w:r>
        <w:rPr>
          <w:spacing w:val="1"/>
        </w:rPr>
        <w:t xml:space="preserve"> </w:t>
      </w:r>
      <w:r>
        <w:t>are needed to provide vulnerable children, such as children living in poverty and ethnic</w:t>
      </w:r>
      <w:r>
        <w:rPr>
          <w:spacing w:val="1"/>
        </w:rPr>
        <w:t xml:space="preserve"> </w:t>
      </w:r>
      <w:r>
        <w:t>minorities,</w:t>
      </w:r>
      <w:r>
        <w:rPr>
          <w:spacing w:val="-1"/>
        </w:rPr>
        <w:t xml:space="preserve"> </w:t>
      </w:r>
      <w:r>
        <w:t>with services for</w:t>
      </w:r>
      <w:r>
        <w:rPr>
          <w:spacing w:val="-2"/>
        </w:rPr>
        <w:t xml:space="preserve"> </w:t>
      </w:r>
      <w:r>
        <w:t>their</w:t>
      </w:r>
      <w:r>
        <w:rPr>
          <w:spacing w:val="-1"/>
        </w:rPr>
        <w:t xml:space="preserve"> </w:t>
      </w:r>
      <w:r>
        <w:t>care and entertainment.</w:t>
      </w:r>
    </w:p>
    <w:p w:rsidR="00A56FE9" w:rsidRDefault="00000000">
      <w:pPr>
        <w:pStyle w:val="Tijeloteksta"/>
        <w:spacing w:before="120"/>
        <w:ind w:right="277"/>
      </w:pPr>
      <w:r>
        <w:t>For the purpose of setting up the Child Guarantee in Croatia, currently in preparation is the</w:t>
      </w:r>
      <w:r>
        <w:rPr>
          <w:spacing w:val="1"/>
        </w:rPr>
        <w:t xml:space="preserve"> </w:t>
      </w:r>
      <w:r>
        <w:t>proposed National Implementation Plan based on in-depth analysis of policies, programs,</w:t>
      </w:r>
      <w:r>
        <w:rPr>
          <w:spacing w:val="1"/>
        </w:rPr>
        <w:t xml:space="preserve"> </w:t>
      </w:r>
      <w:r>
        <w:t>services, budgets and mechanisms directed to child poverty, social exclusion and access to</w:t>
      </w:r>
      <w:r>
        <w:rPr>
          <w:spacing w:val="1"/>
        </w:rPr>
        <w:t xml:space="preserve"> </w:t>
      </w:r>
      <w:r>
        <w:t>services</w:t>
      </w:r>
      <w:r>
        <w:rPr>
          <w:spacing w:val="-9"/>
        </w:rPr>
        <w:t xml:space="preserve"> </w:t>
      </w:r>
      <w:r>
        <w:t>in</w:t>
      </w:r>
      <w:r>
        <w:rPr>
          <w:spacing w:val="-9"/>
        </w:rPr>
        <w:t xml:space="preserve"> </w:t>
      </w:r>
      <w:r>
        <w:t>Croatia,</w:t>
      </w:r>
      <w:r>
        <w:rPr>
          <w:spacing w:val="-9"/>
        </w:rPr>
        <w:t xml:space="preserve"> </w:t>
      </w:r>
      <w:r>
        <w:t>which</w:t>
      </w:r>
      <w:r>
        <w:rPr>
          <w:spacing w:val="-10"/>
        </w:rPr>
        <w:t xml:space="preserve"> </w:t>
      </w:r>
      <w:r>
        <w:t>will</w:t>
      </w:r>
      <w:r>
        <w:rPr>
          <w:spacing w:val="-8"/>
        </w:rPr>
        <w:t xml:space="preserve"> </w:t>
      </w:r>
      <w:r>
        <w:t>result</w:t>
      </w:r>
      <w:r>
        <w:rPr>
          <w:spacing w:val="-9"/>
        </w:rPr>
        <w:t xml:space="preserve"> </w:t>
      </w:r>
      <w:r>
        <w:t>in</w:t>
      </w:r>
      <w:r>
        <w:rPr>
          <w:spacing w:val="-12"/>
        </w:rPr>
        <w:t xml:space="preserve"> </w:t>
      </w:r>
      <w:r>
        <w:t>improvements</w:t>
      </w:r>
      <w:r>
        <w:rPr>
          <w:spacing w:val="-8"/>
        </w:rPr>
        <w:t xml:space="preserve"> </w:t>
      </w:r>
      <w:r>
        <w:t>to</w:t>
      </w:r>
      <w:r>
        <w:rPr>
          <w:spacing w:val="-9"/>
        </w:rPr>
        <w:t xml:space="preserve"> </w:t>
      </w:r>
      <w:r>
        <w:t>national</w:t>
      </w:r>
      <w:r>
        <w:rPr>
          <w:spacing w:val="-8"/>
        </w:rPr>
        <w:t xml:space="preserve"> </w:t>
      </w:r>
      <w:r>
        <w:t>policies</w:t>
      </w:r>
      <w:r>
        <w:rPr>
          <w:spacing w:val="-10"/>
        </w:rPr>
        <w:t xml:space="preserve"> </w:t>
      </w:r>
      <w:r>
        <w:t>and</w:t>
      </w:r>
      <w:r>
        <w:rPr>
          <w:spacing w:val="-9"/>
        </w:rPr>
        <w:t xml:space="preserve"> </w:t>
      </w:r>
      <w:r>
        <w:t>programs</w:t>
      </w:r>
      <w:r>
        <w:rPr>
          <w:spacing w:val="-9"/>
        </w:rPr>
        <w:t xml:space="preserve"> </w:t>
      </w:r>
      <w:r>
        <w:t>related</w:t>
      </w:r>
      <w:r>
        <w:rPr>
          <w:spacing w:val="-58"/>
        </w:rPr>
        <w:t xml:space="preserve"> </w:t>
      </w:r>
      <w:r>
        <w:rPr>
          <w:spacing w:val="-1"/>
        </w:rPr>
        <w:t>to</w:t>
      </w:r>
      <w:r>
        <w:rPr>
          <w:spacing w:val="-12"/>
        </w:rPr>
        <w:t xml:space="preserve"> </w:t>
      </w:r>
      <w:r>
        <w:t>child</w:t>
      </w:r>
      <w:r>
        <w:rPr>
          <w:spacing w:val="-12"/>
        </w:rPr>
        <w:t xml:space="preserve"> </w:t>
      </w:r>
      <w:r>
        <w:t>poverty</w:t>
      </w:r>
      <w:r>
        <w:rPr>
          <w:spacing w:val="-15"/>
        </w:rPr>
        <w:t xml:space="preserve"> </w:t>
      </w:r>
      <w:r>
        <w:t>and</w:t>
      </w:r>
      <w:r>
        <w:rPr>
          <w:spacing w:val="-12"/>
        </w:rPr>
        <w:t xml:space="preserve"> </w:t>
      </w:r>
      <w:r>
        <w:t>issues</w:t>
      </w:r>
      <w:r>
        <w:rPr>
          <w:spacing w:val="-12"/>
        </w:rPr>
        <w:t xml:space="preserve"> </w:t>
      </w:r>
      <w:r>
        <w:t>involving</w:t>
      </w:r>
      <w:r>
        <w:rPr>
          <w:spacing w:val="-14"/>
        </w:rPr>
        <w:t xml:space="preserve"> </w:t>
      </w:r>
      <w:r>
        <w:t>social</w:t>
      </w:r>
      <w:r>
        <w:rPr>
          <w:spacing w:val="-12"/>
        </w:rPr>
        <w:t xml:space="preserve"> </w:t>
      </w:r>
      <w:r>
        <w:t>exclusion</w:t>
      </w:r>
      <w:r>
        <w:rPr>
          <w:spacing w:val="-12"/>
        </w:rPr>
        <w:t xml:space="preserve"> </w:t>
      </w:r>
      <w:r>
        <w:t>as</w:t>
      </w:r>
      <w:r>
        <w:rPr>
          <w:spacing w:val="-11"/>
        </w:rPr>
        <w:t xml:space="preserve"> </w:t>
      </w:r>
      <w:r>
        <w:t>well</w:t>
      </w:r>
      <w:r>
        <w:rPr>
          <w:spacing w:val="-12"/>
        </w:rPr>
        <w:t xml:space="preserve"> </w:t>
      </w:r>
      <w:r>
        <w:t>as</w:t>
      </w:r>
      <w:r>
        <w:rPr>
          <w:spacing w:val="-12"/>
        </w:rPr>
        <w:t xml:space="preserve"> </w:t>
      </w:r>
      <w:r>
        <w:t>monitoring</w:t>
      </w:r>
      <w:r>
        <w:rPr>
          <w:spacing w:val="-12"/>
        </w:rPr>
        <w:t xml:space="preserve"> </w:t>
      </w:r>
      <w:r>
        <w:t>and</w:t>
      </w:r>
      <w:r>
        <w:rPr>
          <w:spacing w:val="-12"/>
        </w:rPr>
        <w:t xml:space="preserve"> </w:t>
      </w:r>
      <w:r>
        <w:t>evaluating</w:t>
      </w:r>
      <w:r>
        <w:rPr>
          <w:spacing w:val="-12"/>
        </w:rPr>
        <w:t xml:space="preserve"> </w:t>
      </w:r>
      <w:r>
        <w:t>such</w:t>
      </w:r>
      <w:r>
        <w:rPr>
          <w:spacing w:val="-57"/>
        </w:rPr>
        <w:t xml:space="preserve"> </w:t>
      </w:r>
      <w:r>
        <w:t>activities.</w:t>
      </w:r>
    </w:p>
    <w:p w:rsidR="00A56FE9" w:rsidRDefault="00000000">
      <w:pPr>
        <w:pStyle w:val="Tijeloteksta"/>
        <w:spacing w:before="118"/>
        <w:ind w:right="274"/>
      </w:pPr>
      <w:r>
        <w:t>The draft of the national implementation document for the Child Guarantee in Croatia places</w:t>
      </w:r>
      <w:r>
        <w:rPr>
          <w:spacing w:val="1"/>
        </w:rPr>
        <w:t xml:space="preserve"> </w:t>
      </w:r>
      <w:r>
        <w:rPr>
          <w:spacing w:val="-1"/>
        </w:rPr>
        <w:t>emphasis</w:t>
      </w:r>
      <w:r>
        <w:rPr>
          <w:spacing w:val="-14"/>
        </w:rPr>
        <w:t xml:space="preserve"> </w:t>
      </w:r>
      <w:r>
        <w:rPr>
          <w:spacing w:val="-1"/>
        </w:rPr>
        <w:t>on</w:t>
      </w:r>
      <w:r>
        <w:rPr>
          <w:spacing w:val="-15"/>
        </w:rPr>
        <w:t xml:space="preserve"> </w:t>
      </w:r>
      <w:r>
        <w:rPr>
          <w:spacing w:val="-1"/>
        </w:rPr>
        <w:t>an</w:t>
      </w:r>
      <w:r>
        <w:rPr>
          <w:spacing w:val="-13"/>
        </w:rPr>
        <w:t xml:space="preserve"> </w:t>
      </w:r>
      <w:r>
        <w:t>integrated</w:t>
      </w:r>
      <w:r>
        <w:rPr>
          <w:spacing w:val="-15"/>
        </w:rPr>
        <w:t xml:space="preserve"> </w:t>
      </w:r>
      <w:r>
        <w:t>approach</w:t>
      </w:r>
      <w:r>
        <w:rPr>
          <w:spacing w:val="-12"/>
        </w:rPr>
        <w:t xml:space="preserve"> </w:t>
      </w:r>
      <w:r>
        <w:t>for</w:t>
      </w:r>
      <w:r>
        <w:rPr>
          <w:spacing w:val="-16"/>
        </w:rPr>
        <w:t xml:space="preserve"> </w:t>
      </w:r>
      <w:r>
        <w:t>three</w:t>
      </w:r>
      <w:r>
        <w:rPr>
          <w:spacing w:val="-14"/>
        </w:rPr>
        <w:t xml:space="preserve"> </w:t>
      </w:r>
      <w:r>
        <w:t>of</w:t>
      </w:r>
      <w:r>
        <w:rPr>
          <w:spacing w:val="-16"/>
        </w:rPr>
        <w:t xml:space="preserve"> </w:t>
      </w:r>
      <w:r>
        <w:t>the</w:t>
      </w:r>
      <w:r>
        <w:rPr>
          <w:spacing w:val="-15"/>
        </w:rPr>
        <w:t xml:space="preserve"> </w:t>
      </w:r>
      <w:r>
        <w:t>most</w:t>
      </w:r>
      <w:r>
        <w:rPr>
          <w:spacing w:val="-14"/>
        </w:rPr>
        <w:t xml:space="preserve"> </w:t>
      </w:r>
      <w:r>
        <w:t>involved</w:t>
      </w:r>
      <w:r>
        <w:rPr>
          <w:spacing w:val="-12"/>
        </w:rPr>
        <w:t xml:space="preserve"> </w:t>
      </w:r>
      <w:r>
        <w:t>childcare</w:t>
      </w:r>
      <w:r>
        <w:rPr>
          <w:spacing w:val="-14"/>
        </w:rPr>
        <w:t xml:space="preserve"> </w:t>
      </w:r>
      <w:r>
        <w:t>systems</w:t>
      </w:r>
      <w:r>
        <w:rPr>
          <w:spacing w:val="-7"/>
        </w:rPr>
        <w:t xml:space="preserve"> </w:t>
      </w:r>
      <w:r>
        <w:t>–</w:t>
      </w:r>
      <w:r>
        <w:rPr>
          <w:spacing w:val="-15"/>
        </w:rPr>
        <w:t xml:space="preserve"> </w:t>
      </w:r>
      <w:r>
        <w:t>the</w:t>
      </w:r>
      <w:r>
        <w:rPr>
          <w:spacing w:val="-13"/>
        </w:rPr>
        <w:t xml:space="preserve"> </w:t>
      </w:r>
      <w:r>
        <w:t>social</w:t>
      </w:r>
      <w:r>
        <w:rPr>
          <w:spacing w:val="-57"/>
        </w:rPr>
        <w:t xml:space="preserve"> </w:t>
      </w:r>
      <w:r>
        <w:t>welfare system (especially relating to developing centres for providing services for children,</w:t>
      </w:r>
      <w:r>
        <w:rPr>
          <w:spacing w:val="1"/>
        </w:rPr>
        <w:t xml:space="preserve"> </w:t>
      </w:r>
      <w:r>
        <w:t>youth</w:t>
      </w:r>
      <w:r>
        <w:rPr>
          <w:spacing w:val="-3"/>
        </w:rPr>
        <w:t xml:space="preserve"> </w:t>
      </w:r>
      <w:r>
        <w:t>and</w:t>
      </w:r>
      <w:r>
        <w:rPr>
          <w:spacing w:val="-2"/>
        </w:rPr>
        <w:t xml:space="preserve"> </w:t>
      </w:r>
      <w:r>
        <w:t>families at</w:t>
      </w:r>
      <w:r>
        <w:rPr>
          <w:spacing w:val="-3"/>
        </w:rPr>
        <w:t xml:space="preserve"> </w:t>
      </w:r>
      <w:r>
        <w:t>risk</w:t>
      </w:r>
      <w:r>
        <w:rPr>
          <w:spacing w:val="-2"/>
        </w:rPr>
        <w:t xml:space="preserve"> </w:t>
      </w:r>
      <w:r>
        <w:t>where</w:t>
      </w:r>
      <w:r>
        <w:rPr>
          <w:spacing w:val="-4"/>
        </w:rPr>
        <w:t xml:space="preserve"> </w:t>
      </w:r>
      <w:r>
        <w:t>such</w:t>
      </w:r>
      <w:r>
        <w:rPr>
          <w:spacing w:val="-4"/>
        </w:rPr>
        <w:t xml:space="preserve"> </w:t>
      </w:r>
      <w:r>
        <w:t>services</w:t>
      </w:r>
      <w:r>
        <w:rPr>
          <w:spacing w:val="-3"/>
        </w:rPr>
        <w:t xml:space="preserve"> </w:t>
      </w:r>
      <w:r>
        <w:t>are</w:t>
      </w:r>
      <w:r>
        <w:rPr>
          <w:spacing w:val="-2"/>
        </w:rPr>
        <w:t xml:space="preserve"> </w:t>
      </w:r>
      <w:r>
        <w:t>not</w:t>
      </w:r>
      <w:r>
        <w:rPr>
          <w:spacing w:val="-3"/>
        </w:rPr>
        <w:t xml:space="preserve"> </w:t>
      </w:r>
      <w:r>
        <w:t>adequately</w:t>
      </w:r>
      <w:r>
        <w:rPr>
          <w:spacing w:val="-8"/>
        </w:rPr>
        <w:t xml:space="preserve"> </w:t>
      </w:r>
      <w:r>
        <w:t>developed</w:t>
      </w:r>
      <w:r>
        <w:rPr>
          <w:spacing w:val="-2"/>
        </w:rPr>
        <w:t xml:space="preserve"> </w:t>
      </w:r>
      <w:r>
        <w:t>and</w:t>
      </w:r>
      <w:r>
        <w:rPr>
          <w:spacing w:val="-3"/>
        </w:rPr>
        <w:t xml:space="preserve"> </w:t>
      </w:r>
      <w:r>
        <w:t>where</w:t>
      </w:r>
      <w:r>
        <w:rPr>
          <w:spacing w:val="-6"/>
        </w:rPr>
        <w:t xml:space="preserve"> </w:t>
      </w:r>
      <w:r>
        <w:t>there</w:t>
      </w:r>
      <w:r>
        <w:rPr>
          <w:spacing w:val="-3"/>
        </w:rPr>
        <w:t xml:space="preserve"> </w:t>
      </w:r>
      <w:r>
        <w:t>is</w:t>
      </w:r>
      <w:r>
        <w:rPr>
          <w:spacing w:val="-57"/>
        </w:rPr>
        <w:t xml:space="preserve"> </w:t>
      </w:r>
      <w:r>
        <w:t>no</w:t>
      </w:r>
      <w:r>
        <w:rPr>
          <w:spacing w:val="1"/>
        </w:rPr>
        <w:t xml:space="preserve"> </w:t>
      </w:r>
      <w:r>
        <w:t>provider</w:t>
      </w:r>
      <w:r>
        <w:rPr>
          <w:spacing w:val="1"/>
        </w:rPr>
        <w:t xml:space="preserve"> </w:t>
      </w:r>
      <w:r>
        <w:t>of</w:t>
      </w:r>
      <w:r>
        <w:rPr>
          <w:spacing w:val="1"/>
        </w:rPr>
        <w:t xml:space="preserve"> </w:t>
      </w:r>
      <w:r>
        <w:t>such</w:t>
      </w:r>
      <w:r>
        <w:rPr>
          <w:spacing w:val="1"/>
        </w:rPr>
        <w:t xml:space="preserve"> </w:t>
      </w:r>
      <w:r>
        <w:t>services),</w:t>
      </w:r>
      <w:r>
        <w:rPr>
          <w:spacing w:val="1"/>
        </w:rPr>
        <w:t xml:space="preserve"> </w:t>
      </w:r>
      <w:r>
        <w:t>followed</w:t>
      </w:r>
      <w:r>
        <w:rPr>
          <w:spacing w:val="1"/>
        </w:rPr>
        <w:t xml:space="preserve"> </w:t>
      </w:r>
      <w:r>
        <w:t>by</w:t>
      </w:r>
      <w:r>
        <w:rPr>
          <w:spacing w:val="1"/>
        </w:rPr>
        <w:t xml:space="preserve"> </w:t>
      </w:r>
      <w:r>
        <w:t>the</w:t>
      </w:r>
      <w:r>
        <w:rPr>
          <w:spacing w:val="1"/>
        </w:rPr>
        <w:t xml:space="preserve"> </w:t>
      </w:r>
      <w:r>
        <w:t>education</w:t>
      </w:r>
      <w:r>
        <w:rPr>
          <w:spacing w:val="1"/>
        </w:rPr>
        <w:t xml:space="preserve"> </w:t>
      </w:r>
      <w:r>
        <w:t>system</w:t>
      </w:r>
      <w:r>
        <w:rPr>
          <w:spacing w:val="1"/>
        </w:rPr>
        <w:t xml:space="preserve"> </w:t>
      </w:r>
      <w:r>
        <w:t>(especially</w:t>
      </w:r>
      <w:r>
        <w:rPr>
          <w:spacing w:val="1"/>
        </w:rPr>
        <w:t xml:space="preserve"> </w:t>
      </w:r>
      <w:r>
        <w:t>relating</w:t>
      </w:r>
      <w:r>
        <w:rPr>
          <w:spacing w:val="1"/>
        </w:rPr>
        <w:t xml:space="preserve"> </w:t>
      </w:r>
      <w:r>
        <w:t>to</w:t>
      </w:r>
      <w:r>
        <w:rPr>
          <w:spacing w:val="1"/>
        </w:rPr>
        <w:t xml:space="preserve"> </w:t>
      </w:r>
      <w:r>
        <w:rPr>
          <w:spacing w:val="-1"/>
        </w:rPr>
        <w:t>improving</w:t>
      </w:r>
      <w:r>
        <w:rPr>
          <w:spacing w:val="-13"/>
        </w:rPr>
        <w:t xml:space="preserve"> </w:t>
      </w:r>
      <w:r>
        <w:t>early</w:t>
      </w:r>
      <w:r>
        <w:rPr>
          <w:spacing w:val="-12"/>
        </w:rPr>
        <w:t xml:space="preserve"> </w:t>
      </w:r>
      <w:r>
        <w:t>education,</w:t>
      </w:r>
      <w:r>
        <w:rPr>
          <w:spacing w:val="-9"/>
        </w:rPr>
        <w:t xml:space="preserve"> </w:t>
      </w:r>
      <w:r>
        <w:t>school</w:t>
      </w:r>
      <w:r>
        <w:rPr>
          <w:spacing w:val="-9"/>
        </w:rPr>
        <w:t xml:space="preserve"> </w:t>
      </w:r>
      <w:r>
        <w:t>meals,</w:t>
      </w:r>
      <w:r>
        <w:rPr>
          <w:spacing w:val="-9"/>
        </w:rPr>
        <w:t xml:space="preserve"> </w:t>
      </w:r>
      <w:r>
        <w:t>extra-curriculum</w:t>
      </w:r>
      <w:r>
        <w:rPr>
          <w:spacing w:val="-8"/>
        </w:rPr>
        <w:t xml:space="preserve"> </w:t>
      </w:r>
      <w:r>
        <w:t>and</w:t>
      </w:r>
      <w:r>
        <w:rPr>
          <w:spacing w:val="-10"/>
        </w:rPr>
        <w:t xml:space="preserve"> </w:t>
      </w:r>
      <w:r>
        <w:t>school</w:t>
      </w:r>
      <w:r>
        <w:rPr>
          <w:spacing w:val="-9"/>
        </w:rPr>
        <w:t xml:space="preserve"> </w:t>
      </w:r>
      <w:r>
        <w:t>activities)</w:t>
      </w:r>
      <w:r>
        <w:rPr>
          <w:spacing w:val="-11"/>
        </w:rPr>
        <w:t xml:space="preserve"> </w:t>
      </w:r>
      <w:r>
        <w:t>and</w:t>
      </w:r>
      <w:r>
        <w:rPr>
          <w:spacing w:val="-9"/>
        </w:rPr>
        <w:t xml:space="preserve"> </w:t>
      </w:r>
      <w:r>
        <w:t>finally</w:t>
      </w:r>
      <w:r>
        <w:rPr>
          <w:spacing w:val="-17"/>
        </w:rPr>
        <w:t xml:space="preserve"> </w:t>
      </w:r>
      <w:r>
        <w:t>the</w:t>
      </w:r>
      <w:r>
        <w:rPr>
          <w:spacing w:val="-58"/>
        </w:rPr>
        <w:t xml:space="preserve"> </w:t>
      </w:r>
      <w:r>
        <w:t>healthcare system (especially in terms of equal</w:t>
      </w:r>
      <w:r>
        <w:rPr>
          <w:spacing w:val="1"/>
        </w:rPr>
        <w:t xml:space="preserve"> </w:t>
      </w:r>
      <w:r>
        <w:t>availability of the network of paediatric,</w:t>
      </w:r>
      <w:r>
        <w:rPr>
          <w:spacing w:val="1"/>
        </w:rPr>
        <w:t xml:space="preserve"> </w:t>
      </w:r>
      <w:r>
        <w:t>stomatological</w:t>
      </w:r>
      <w:r>
        <w:rPr>
          <w:spacing w:val="-1"/>
        </w:rPr>
        <w:t xml:space="preserve"> </w:t>
      </w:r>
      <w:r>
        <w:t>and other</w:t>
      </w:r>
      <w:r>
        <w:rPr>
          <w:spacing w:val="1"/>
        </w:rPr>
        <w:t xml:space="preserve"> </w:t>
      </w:r>
      <w:r>
        <w:t>healthcare</w:t>
      </w:r>
      <w:r>
        <w:rPr>
          <w:spacing w:val="-1"/>
        </w:rPr>
        <w:t xml:space="preserve"> </w:t>
      </w:r>
      <w:r>
        <w:t>services for</w:t>
      </w:r>
      <w:r>
        <w:rPr>
          <w:spacing w:val="-1"/>
        </w:rPr>
        <w:t xml:space="preserve"> </w:t>
      </w:r>
      <w:r>
        <w:t>children).</w:t>
      </w:r>
    </w:p>
    <w:p w:rsidR="00A56FE9" w:rsidRDefault="00000000">
      <w:pPr>
        <w:pStyle w:val="Tijeloteksta"/>
        <w:spacing w:before="121"/>
      </w:pPr>
      <w:r>
        <w:t>The</w:t>
      </w:r>
      <w:r>
        <w:rPr>
          <w:spacing w:val="-3"/>
        </w:rPr>
        <w:t xml:space="preserve"> </w:t>
      </w:r>
      <w:r>
        <w:t>groups</w:t>
      </w:r>
      <w:r>
        <w:rPr>
          <w:spacing w:val="-1"/>
        </w:rPr>
        <w:t xml:space="preserve"> </w:t>
      </w:r>
      <w:r>
        <w:t>of children</w:t>
      </w:r>
      <w:r>
        <w:rPr>
          <w:spacing w:val="-1"/>
        </w:rPr>
        <w:t xml:space="preserve"> </w:t>
      </w:r>
      <w:r>
        <w:t>covered in</w:t>
      </w:r>
      <w:r>
        <w:rPr>
          <w:spacing w:val="-1"/>
        </w:rPr>
        <w:t xml:space="preserve"> </w:t>
      </w:r>
      <w:r>
        <w:t>the</w:t>
      </w:r>
      <w:r>
        <w:rPr>
          <w:spacing w:val="-2"/>
        </w:rPr>
        <w:t xml:space="preserve"> </w:t>
      </w:r>
      <w:r>
        <w:t>Republic</w:t>
      </w:r>
      <w:r>
        <w:rPr>
          <w:spacing w:val="-1"/>
        </w:rPr>
        <w:t xml:space="preserve"> </w:t>
      </w:r>
      <w:r>
        <w:t>of Croatia:</w:t>
      </w:r>
    </w:p>
    <w:p w:rsidR="00A56FE9" w:rsidRDefault="00000000">
      <w:pPr>
        <w:pStyle w:val="Odlomakpopisa"/>
        <w:numPr>
          <w:ilvl w:val="0"/>
          <w:numId w:val="5"/>
        </w:numPr>
        <w:tabs>
          <w:tab w:val="left" w:pos="499"/>
        </w:tabs>
        <w:spacing w:before="119" w:line="242" w:lineRule="auto"/>
        <w:ind w:right="280"/>
        <w:jc w:val="both"/>
        <w:rPr>
          <w:sz w:val="24"/>
        </w:rPr>
      </w:pPr>
      <w:r>
        <w:rPr>
          <w:sz w:val="24"/>
        </w:rPr>
        <w:t>Children who are growing up in single-parent families or families with three or more</w:t>
      </w:r>
      <w:r>
        <w:rPr>
          <w:spacing w:val="1"/>
          <w:sz w:val="24"/>
        </w:rPr>
        <w:t xml:space="preserve"> </w:t>
      </w:r>
      <w:r>
        <w:rPr>
          <w:sz w:val="24"/>
        </w:rPr>
        <w:t>children,</w:t>
      </w:r>
    </w:p>
    <w:p w:rsidR="00A56FE9" w:rsidRDefault="00A56FE9">
      <w:pPr>
        <w:spacing w:line="242" w:lineRule="auto"/>
        <w:jc w:val="both"/>
        <w:rPr>
          <w:sz w:val="24"/>
        </w:rPr>
        <w:sectPr w:rsidR="00A56FE9" w:rsidSect="00AB1E70">
          <w:pgSz w:w="11910" w:h="16840"/>
          <w:pgMar w:top="1320" w:right="1140" w:bottom="960" w:left="1280" w:header="0" w:footer="779" w:gutter="0"/>
          <w:cols w:space="720"/>
        </w:sectPr>
      </w:pPr>
    </w:p>
    <w:p w:rsidR="00A56FE9" w:rsidRDefault="00000000">
      <w:pPr>
        <w:pStyle w:val="Odlomakpopisa"/>
        <w:numPr>
          <w:ilvl w:val="0"/>
          <w:numId w:val="5"/>
        </w:numPr>
        <w:tabs>
          <w:tab w:val="left" w:pos="498"/>
          <w:tab w:val="left" w:pos="499"/>
        </w:tabs>
        <w:spacing w:before="73" w:line="277" w:lineRule="exact"/>
        <w:ind w:hanging="361"/>
        <w:rPr>
          <w:sz w:val="24"/>
        </w:rPr>
      </w:pPr>
      <w:r>
        <w:rPr>
          <w:sz w:val="24"/>
        </w:rPr>
        <w:t>Children</w:t>
      </w:r>
      <w:r>
        <w:rPr>
          <w:spacing w:val="-1"/>
          <w:sz w:val="24"/>
        </w:rPr>
        <w:t xml:space="preserve"> </w:t>
      </w:r>
      <w:r>
        <w:rPr>
          <w:sz w:val="24"/>
        </w:rPr>
        <w:t>who are</w:t>
      </w:r>
      <w:r>
        <w:rPr>
          <w:spacing w:val="-1"/>
          <w:sz w:val="24"/>
        </w:rPr>
        <w:t xml:space="preserve"> </w:t>
      </w:r>
      <w:r>
        <w:rPr>
          <w:sz w:val="24"/>
        </w:rPr>
        <w:t>growing</w:t>
      </w:r>
      <w:r>
        <w:rPr>
          <w:spacing w:val="-3"/>
          <w:sz w:val="24"/>
        </w:rPr>
        <w:t xml:space="preserve"> </w:t>
      </w:r>
      <w:r>
        <w:rPr>
          <w:sz w:val="24"/>
        </w:rPr>
        <w:t>up in</w:t>
      </w:r>
      <w:r>
        <w:rPr>
          <w:spacing w:val="-1"/>
          <w:sz w:val="24"/>
        </w:rPr>
        <w:t xml:space="preserve"> </w:t>
      </w:r>
      <w:r>
        <w:rPr>
          <w:sz w:val="24"/>
        </w:rPr>
        <w:t>households with</w:t>
      </w:r>
      <w:r>
        <w:rPr>
          <w:spacing w:val="2"/>
          <w:sz w:val="24"/>
        </w:rPr>
        <w:t xml:space="preserve"> </w:t>
      </w:r>
      <w:r>
        <w:rPr>
          <w:sz w:val="24"/>
        </w:rPr>
        <w:t>a</w:t>
      </w:r>
      <w:r>
        <w:rPr>
          <w:spacing w:val="-2"/>
          <w:sz w:val="24"/>
        </w:rPr>
        <w:t xml:space="preserve"> </w:t>
      </w:r>
      <w:r>
        <w:rPr>
          <w:sz w:val="24"/>
        </w:rPr>
        <w:t>low work intensity</w:t>
      </w:r>
    </w:p>
    <w:p w:rsidR="00A56FE9" w:rsidRDefault="00000000">
      <w:pPr>
        <w:pStyle w:val="Odlomakpopisa"/>
        <w:numPr>
          <w:ilvl w:val="0"/>
          <w:numId w:val="5"/>
        </w:numPr>
        <w:tabs>
          <w:tab w:val="left" w:pos="498"/>
          <w:tab w:val="left" w:pos="499"/>
        </w:tabs>
        <w:spacing w:line="277" w:lineRule="exact"/>
        <w:ind w:hanging="361"/>
        <w:rPr>
          <w:sz w:val="24"/>
        </w:rPr>
      </w:pPr>
      <w:r>
        <w:rPr>
          <w:sz w:val="24"/>
        </w:rPr>
        <w:t>Older</w:t>
      </w:r>
      <w:r>
        <w:rPr>
          <w:spacing w:val="-2"/>
          <w:sz w:val="24"/>
        </w:rPr>
        <w:t xml:space="preserve"> </w:t>
      </w:r>
      <w:r>
        <w:rPr>
          <w:sz w:val="24"/>
        </w:rPr>
        <w:t>children (12-17</w:t>
      </w:r>
      <w:r>
        <w:rPr>
          <w:spacing w:val="2"/>
          <w:sz w:val="24"/>
        </w:rPr>
        <w:t xml:space="preserve"> </w:t>
      </w:r>
      <w:r>
        <w:rPr>
          <w:sz w:val="24"/>
        </w:rPr>
        <w:t>years</w:t>
      </w:r>
      <w:r>
        <w:rPr>
          <w:spacing w:val="-2"/>
          <w:sz w:val="24"/>
        </w:rPr>
        <w:t xml:space="preserve"> </w:t>
      </w:r>
      <w:r>
        <w:rPr>
          <w:sz w:val="24"/>
        </w:rPr>
        <w:t>of</w:t>
      </w:r>
      <w:r>
        <w:rPr>
          <w:spacing w:val="-4"/>
          <w:sz w:val="24"/>
        </w:rPr>
        <w:t xml:space="preserve"> </w:t>
      </w:r>
      <w:r>
        <w:rPr>
          <w:sz w:val="24"/>
        </w:rPr>
        <w:t>age)</w:t>
      </w:r>
    </w:p>
    <w:p w:rsidR="00A56FE9" w:rsidRDefault="00000000">
      <w:pPr>
        <w:pStyle w:val="Odlomakpopisa"/>
        <w:numPr>
          <w:ilvl w:val="0"/>
          <w:numId w:val="5"/>
        </w:numPr>
        <w:tabs>
          <w:tab w:val="left" w:pos="498"/>
          <w:tab w:val="left" w:pos="499"/>
        </w:tabs>
        <w:spacing w:before="2" w:line="277" w:lineRule="exact"/>
        <w:ind w:hanging="361"/>
        <w:rPr>
          <w:sz w:val="24"/>
        </w:rPr>
      </w:pPr>
      <w:r>
        <w:rPr>
          <w:sz w:val="24"/>
        </w:rPr>
        <w:t>Children</w:t>
      </w:r>
      <w:r>
        <w:rPr>
          <w:spacing w:val="-1"/>
          <w:sz w:val="24"/>
        </w:rPr>
        <w:t xml:space="preserve"> </w:t>
      </w:r>
      <w:r>
        <w:rPr>
          <w:sz w:val="24"/>
        </w:rPr>
        <w:t>belonging</w:t>
      </w:r>
      <w:r>
        <w:rPr>
          <w:spacing w:val="-4"/>
          <w:sz w:val="24"/>
        </w:rPr>
        <w:t xml:space="preserve"> </w:t>
      </w:r>
      <w:r>
        <w:rPr>
          <w:sz w:val="24"/>
        </w:rPr>
        <w:t>to the</w:t>
      </w:r>
      <w:r>
        <w:rPr>
          <w:spacing w:val="-2"/>
          <w:sz w:val="24"/>
        </w:rPr>
        <w:t xml:space="preserve"> </w:t>
      </w:r>
      <w:r>
        <w:rPr>
          <w:sz w:val="24"/>
        </w:rPr>
        <w:t>Roma national</w:t>
      </w:r>
      <w:r>
        <w:rPr>
          <w:spacing w:val="-1"/>
          <w:sz w:val="24"/>
        </w:rPr>
        <w:t xml:space="preserve"> </w:t>
      </w:r>
      <w:r>
        <w:rPr>
          <w:sz w:val="24"/>
        </w:rPr>
        <w:t>minority</w:t>
      </w:r>
    </w:p>
    <w:p w:rsidR="00A56FE9" w:rsidRDefault="00000000">
      <w:pPr>
        <w:pStyle w:val="Odlomakpopisa"/>
        <w:numPr>
          <w:ilvl w:val="0"/>
          <w:numId w:val="5"/>
        </w:numPr>
        <w:tabs>
          <w:tab w:val="left" w:pos="498"/>
          <w:tab w:val="left" w:pos="499"/>
        </w:tabs>
        <w:spacing w:line="242" w:lineRule="auto"/>
        <w:ind w:right="277"/>
        <w:rPr>
          <w:sz w:val="24"/>
        </w:rPr>
      </w:pPr>
      <w:r>
        <w:rPr>
          <w:sz w:val="24"/>
        </w:rPr>
        <w:t>Children</w:t>
      </w:r>
      <w:r>
        <w:rPr>
          <w:spacing w:val="-7"/>
          <w:sz w:val="24"/>
        </w:rPr>
        <w:t xml:space="preserve"> </w:t>
      </w:r>
      <w:r>
        <w:rPr>
          <w:sz w:val="24"/>
        </w:rPr>
        <w:t>beneficiaries</w:t>
      </w:r>
      <w:r>
        <w:rPr>
          <w:spacing w:val="-7"/>
          <w:sz w:val="24"/>
        </w:rPr>
        <w:t xml:space="preserve"> </w:t>
      </w:r>
      <w:r>
        <w:rPr>
          <w:sz w:val="24"/>
        </w:rPr>
        <w:t>of</w:t>
      </w:r>
      <w:r>
        <w:rPr>
          <w:spacing w:val="-5"/>
          <w:sz w:val="24"/>
        </w:rPr>
        <w:t xml:space="preserve"> </w:t>
      </w:r>
      <w:r>
        <w:rPr>
          <w:sz w:val="24"/>
        </w:rPr>
        <w:t>the</w:t>
      </w:r>
      <w:r>
        <w:rPr>
          <w:spacing w:val="-8"/>
          <w:sz w:val="24"/>
        </w:rPr>
        <w:t xml:space="preserve"> </w:t>
      </w:r>
      <w:r>
        <w:rPr>
          <w:sz w:val="24"/>
        </w:rPr>
        <w:t>guaranteed</w:t>
      </w:r>
      <w:r>
        <w:rPr>
          <w:spacing w:val="-6"/>
          <w:sz w:val="24"/>
        </w:rPr>
        <w:t xml:space="preserve"> </w:t>
      </w:r>
      <w:r>
        <w:rPr>
          <w:sz w:val="24"/>
        </w:rPr>
        <w:t>minimum</w:t>
      </w:r>
      <w:r>
        <w:rPr>
          <w:spacing w:val="-7"/>
          <w:sz w:val="24"/>
        </w:rPr>
        <w:t xml:space="preserve"> </w:t>
      </w:r>
      <w:r>
        <w:rPr>
          <w:sz w:val="24"/>
        </w:rPr>
        <w:t>benefit</w:t>
      </w:r>
      <w:r>
        <w:rPr>
          <w:spacing w:val="-7"/>
          <w:sz w:val="24"/>
        </w:rPr>
        <w:t xml:space="preserve"> </w:t>
      </w:r>
      <w:r>
        <w:rPr>
          <w:sz w:val="24"/>
        </w:rPr>
        <w:t>(GMB)</w:t>
      </w:r>
      <w:r>
        <w:rPr>
          <w:spacing w:val="-7"/>
          <w:sz w:val="24"/>
        </w:rPr>
        <w:t xml:space="preserve"> </w:t>
      </w:r>
      <w:r>
        <w:rPr>
          <w:sz w:val="24"/>
        </w:rPr>
        <w:t>within</w:t>
      </w:r>
      <w:r>
        <w:rPr>
          <w:spacing w:val="-7"/>
          <w:sz w:val="24"/>
        </w:rPr>
        <w:t xml:space="preserve"> </w:t>
      </w:r>
      <w:r>
        <w:rPr>
          <w:sz w:val="24"/>
        </w:rPr>
        <w:t>the</w:t>
      </w:r>
      <w:r>
        <w:rPr>
          <w:spacing w:val="-5"/>
          <w:sz w:val="24"/>
        </w:rPr>
        <w:t xml:space="preserve"> </w:t>
      </w:r>
      <w:r>
        <w:rPr>
          <w:sz w:val="24"/>
        </w:rPr>
        <w:t>social</w:t>
      </w:r>
      <w:r>
        <w:rPr>
          <w:spacing w:val="-7"/>
          <w:sz w:val="24"/>
        </w:rPr>
        <w:t xml:space="preserve"> </w:t>
      </w:r>
      <w:r>
        <w:rPr>
          <w:sz w:val="24"/>
        </w:rPr>
        <w:t>welfare</w:t>
      </w:r>
      <w:r>
        <w:rPr>
          <w:spacing w:val="-57"/>
          <w:sz w:val="24"/>
        </w:rPr>
        <w:t xml:space="preserve"> </w:t>
      </w:r>
      <w:r>
        <w:rPr>
          <w:sz w:val="24"/>
        </w:rPr>
        <w:t>system</w:t>
      </w:r>
    </w:p>
    <w:p w:rsidR="00A56FE9" w:rsidRDefault="00000000">
      <w:pPr>
        <w:pStyle w:val="Odlomakpopisa"/>
        <w:numPr>
          <w:ilvl w:val="0"/>
          <w:numId w:val="5"/>
        </w:numPr>
        <w:tabs>
          <w:tab w:val="left" w:pos="498"/>
          <w:tab w:val="left" w:pos="499"/>
        </w:tabs>
        <w:spacing w:line="272" w:lineRule="exact"/>
        <w:ind w:hanging="361"/>
        <w:rPr>
          <w:sz w:val="24"/>
        </w:rPr>
      </w:pPr>
      <w:r>
        <w:rPr>
          <w:sz w:val="24"/>
        </w:rPr>
        <w:t>Children</w:t>
      </w:r>
      <w:r>
        <w:rPr>
          <w:spacing w:val="-2"/>
          <w:sz w:val="24"/>
        </w:rPr>
        <w:t xml:space="preserve"> </w:t>
      </w:r>
      <w:r>
        <w:rPr>
          <w:sz w:val="24"/>
        </w:rPr>
        <w:t>in</w:t>
      </w:r>
      <w:r>
        <w:rPr>
          <w:spacing w:val="-1"/>
          <w:sz w:val="24"/>
        </w:rPr>
        <w:t xml:space="preserve"> </w:t>
      </w:r>
      <w:r>
        <w:rPr>
          <w:sz w:val="24"/>
        </w:rPr>
        <w:t>less</w:t>
      </w:r>
      <w:r>
        <w:rPr>
          <w:spacing w:val="-2"/>
          <w:sz w:val="24"/>
        </w:rPr>
        <w:t xml:space="preserve"> </w:t>
      </w:r>
      <w:r>
        <w:rPr>
          <w:sz w:val="24"/>
        </w:rPr>
        <w:t>developed</w:t>
      </w:r>
      <w:r>
        <w:rPr>
          <w:spacing w:val="-1"/>
          <w:sz w:val="24"/>
        </w:rPr>
        <w:t xml:space="preserve"> </w:t>
      </w:r>
      <w:r>
        <w:rPr>
          <w:sz w:val="24"/>
        </w:rPr>
        <w:t>areas, especially</w:t>
      </w:r>
      <w:r>
        <w:rPr>
          <w:spacing w:val="-4"/>
          <w:sz w:val="24"/>
        </w:rPr>
        <w:t xml:space="preserve"> </w:t>
      </w:r>
      <w:r>
        <w:rPr>
          <w:sz w:val="24"/>
        </w:rPr>
        <w:t>rural</w:t>
      </w:r>
      <w:r>
        <w:rPr>
          <w:spacing w:val="-2"/>
          <w:sz w:val="24"/>
        </w:rPr>
        <w:t xml:space="preserve"> </w:t>
      </w:r>
      <w:r>
        <w:rPr>
          <w:sz w:val="24"/>
        </w:rPr>
        <w:t>areas</w:t>
      </w:r>
    </w:p>
    <w:p w:rsidR="00A56FE9" w:rsidRDefault="00000000">
      <w:pPr>
        <w:pStyle w:val="Odlomakpopisa"/>
        <w:numPr>
          <w:ilvl w:val="0"/>
          <w:numId w:val="5"/>
        </w:numPr>
        <w:tabs>
          <w:tab w:val="left" w:pos="498"/>
          <w:tab w:val="left" w:pos="499"/>
        </w:tabs>
        <w:spacing w:line="276" w:lineRule="exact"/>
        <w:ind w:hanging="361"/>
        <w:rPr>
          <w:sz w:val="24"/>
        </w:rPr>
      </w:pPr>
      <w:r>
        <w:rPr>
          <w:sz w:val="24"/>
        </w:rPr>
        <w:t>Children</w:t>
      </w:r>
      <w:r>
        <w:rPr>
          <w:spacing w:val="-2"/>
          <w:sz w:val="24"/>
        </w:rPr>
        <w:t xml:space="preserve"> </w:t>
      </w:r>
      <w:r>
        <w:rPr>
          <w:sz w:val="24"/>
        </w:rPr>
        <w:t>with</w:t>
      </w:r>
      <w:r>
        <w:rPr>
          <w:spacing w:val="-1"/>
          <w:sz w:val="24"/>
        </w:rPr>
        <w:t xml:space="preserve"> </w:t>
      </w:r>
      <w:r>
        <w:rPr>
          <w:sz w:val="24"/>
        </w:rPr>
        <w:t>developmental</w:t>
      </w:r>
      <w:r>
        <w:rPr>
          <w:spacing w:val="-1"/>
          <w:sz w:val="24"/>
        </w:rPr>
        <w:t xml:space="preserve"> </w:t>
      </w:r>
      <w:r>
        <w:rPr>
          <w:sz w:val="24"/>
        </w:rPr>
        <w:t>difficulties</w:t>
      </w:r>
    </w:p>
    <w:p w:rsidR="00A56FE9" w:rsidRDefault="00000000">
      <w:pPr>
        <w:pStyle w:val="Odlomakpopisa"/>
        <w:numPr>
          <w:ilvl w:val="0"/>
          <w:numId w:val="5"/>
        </w:numPr>
        <w:tabs>
          <w:tab w:val="left" w:pos="498"/>
          <w:tab w:val="left" w:pos="499"/>
        </w:tabs>
        <w:spacing w:line="242" w:lineRule="auto"/>
        <w:ind w:right="279"/>
        <w:rPr>
          <w:sz w:val="24"/>
        </w:rPr>
      </w:pPr>
      <w:r>
        <w:rPr>
          <w:sz w:val="24"/>
        </w:rPr>
        <w:t>Children</w:t>
      </w:r>
      <w:r>
        <w:rPr>
          <w:spacing w:val="16"/>
          <w:sz w:val="24"/>
        </w:rPr>
        <w:t xml:space="preserve"> </w:t>
      </w:r>
      <w:r>
        <w:rPr>
          <w:sz w:val="24"/>
        </w:rPr>
        <w:t>migrants</w:t>
      </w:r>
      <w:r>
        <w:rPr>
          <w:spacing w:val="17"/>
          <w:sz w:val="24"/>
        </w:rPr>
        <w:t xml:space="preserve"> </w:t>
      </w:r>
      <w:r>
        <w:rPr>
          <w:sz w:val="24"/>
        </w:rPr>
        <w:t>(asylum</w:t>
      </w:r>
      <w:r>
        <w:rPr>
          <w:spacing w:val="17"/>
          <w:sz w:val="24"/>
        </w:rPr>
        <w:t xml:space="preserve"> </w:t>
      </w:r>
      <w:r>
        <w:rPr>
          <w:sz w:val="24"/>
        </w:rPr>
        <w:t>seekers,</w:t>
      </w:r>
      <w:r>
        <w:rPr>
          <w:spacing w:val="17"/>
          <w:sz w:val="24"/>
        </w:rPr>
        <w:t xml:space="preserve"> </w:t>
      </w:r>
      <w:r>
        <w:rPr>
          <w:sz w:val="24"/>
        </w:rPr>
        <w:t>children</w:t>
      </w:r>
      <w:r>
        <w:rPr>
          <w:spacing w:val="16"/>
          <w:sz w:val="24"/>
        </w:rPr>
        <w:t xml:space="preserve"> </w:t>
      </w:r>
      <w:r>
        <w:rPr>
          <w:sz w:val="24"/>
        </w:rPr>
        <w:t>without</w:t>
      </w:r>
      <w:r>
        <w:rPr>
          <w:spacing w:val="17"/>
          <w:sz w:val="24"/>
        </w:rPr>
        <w:t xml:space="preserve"> </w:t>
      </w:r>
      <w:r>
        <w:rPr>
          <w:sz w:val="24"/>
        </w:rPr>
        <w:t>accompaniment,</w:t>
      </w:r>
      <w:r>
        <w:rPr>
          <w:spacing w:val="17"/>
          <w:sz w:val="24"/>
        </w:rPr>
        <w:t xml:space="preserve"> </w:t>
      </w:r>
      <w:r>
        <w:rPr>
          <w:sz w:val="24"/>
        </w:rPr>
        <w:t>under</w:t>
      </w:r>
      <w:r>
        <w:rPr>
          <w:spacing w:val="17"/>
          <w:sz w:val="24"/>
        </w:rPr>
        <w:t xml:space="preserve"> </w:t>
      </w:r>
      <w:r>
        <w:rPr>
          <w:sz w:val="24"/>
        </w:rPr>
        <w:t>international</w:t>
      </w:r>
      <w:r>
        <w:rPr>
          <w:spacing w:val="-57"/>
          <w:sz w:val="24"/>
        </w:rPr>
        <w:t xml:space="preserve"> </w:t>
      </w:r>
      <w:r>
        <w:rPr>
          <w:sz w:val="24"/>
        </w:rPr>
        <w:t>protection)</w:t>
      </w:r>
    </w:p>
    <w:p w:rsidR="00A56FE9" w:rsidRDefault="00000000">
      <w:pPr>
        <w:pStyle w:val="Odlomakpopisa"/>
        <w:numPr>
          <w:ilvl w:val="0"/>
          <w:numId w:val="5"/>
        </w:numPr>
        <w:tabs>
          <w:tab w:val="left" w:pos="498"/>
          <w:tab w:val="left" w:pos="499"/>
        </w:tabs>
        <w:spacing w:line="273" w:lineRule="exact"/>
        <w:ind w:hanging="361"/>
        <w:rPr>
          <w:sz w:val="24"/>
        </w:rPr>
      </w:pPr>
      <w:r>
        <w:rPr>
          <w:sz w:val="24"/>
        </w:rPr>
        <w:t>Children</w:t>
      </w:r>
      <w:r>
        <w:rPr>
          <w:spacing w:val="-1"/>
          <w:sz w:val="24"/>
        </w:rPr>
        <w:t xml:space="preserve"> </w:t>
      </w:r>
      <w:r>
        <w:rPr>
          <w:sz w:val="24"/>
        </w:rPr>
        <w:t>in</w:t>
      </w:r>
      <w:r>
        <w:rPr>
          <w:spacing w:val="-1"/>
          <w:sz w:val="24"/>
        </w:rPr>
        <w:t xml:space="preserve"> </w:t>
      </w:r>
      <w:r>
        <w:rPr>
          <w:sz w:val="24"/>
        </w:rPr>
        <w:t>alternative</w:t>
      </w:r>
      <w:r>
        <w:rPr>
          <w:spacing w:val="-2"/>
          <w:sz w:val="24"/>
        </w:rPr>
        <w:t xml:space="preserve"> </w:t>
      </w:r>
      <w:r>
        <w:rPr>
          <w:sz w:val="24"/>
        </w:rPr>
        <w:t>forms</w:t>
      </w:r>
      <w:r>
        <w:rPr>
          <w:spacing w:val="-1"/>
          <w:sz w:val="24"/>
        </w:rPr>
        <w:t xml:space="preserve"> </w:t>
      </w:r>
      <w:r>
        <w:rPr>
          <w:sz w:val="24"/>
        </w:rPr>
        <w:t>of</w:t>
      </w:r>
      <w:r>
        <w:rPr>
          <w:spacing w:val="-1"/>
          <w:sz w:val="24"/>
        </w:rPr>
        <w:t xml:space="preserve"> </w:t>
      </w:r>
      <w:r>
        <w:rPr>
          <w:sz w:val="24"/>
        </w:rPr>
        <w:t>care</w:t>
      </w:r>
    </w:p>
    <w:p w:rsidR="00A56FE9" w:rsidRDefault="00A56FE9">
      <w:pPr>
        <w:pStyle w:val="Tijeloteksta"/>
        <w:spacing w:before="2"/>
        <w:ind w:left="0"/>
        <w:jc w:val="left"/>
        <w:rPr>
          <w:sz w:val="21"/>
        </w:rPr>
      </w:pPr>
    </w:p>
    <w:p w:rsidR="00A56FE9" w:rsidRDefault="00000000">
      <w:pPr>
        <w:pStyle w:val="Naslov5"/>
        <w:spacing w:after="23"/>
      </w:pPr>
      <w:r>
        <w:t>Planned</w:t>
      </w:r>
      <w:r>
        <w:rPr>
          <w:spacing w:val="-2"/>
        </w:rPr>
        <w:t xml:space="preserve"> </w:t>
      </w:r>
      <w:r>
        <w:t>measures</w:t>
      </w:r>
      <w:r>
        <w:rPr>
          <w:spacing w:val="-1"/>
        </w:rPr>
        <w:t xml:space="preserve"> </w:t>
      </w:r>
      <w:r>
        <w:t>outside</w:t>
      </w:r>
      <w:r>
        <w:rPr>
          <w:spacing w:val="-2"/>
        </w:rPr>
        <w:t xml:space="preserve"> </w:t>
      </w:r>
      <w:r>
        <w:t>the</w:t>
      </w:r>
      <w:r>
        <w:rPr>
          <w:spacing w:val="-1"/>
        </w:rPr>
        <w:t xml:space="preserve"> </w:t>
      </w:r>
      <w:r>
        <w:t>NRRP</w:t>
      </w:r>
      <w:r>
        <w:rPr>
          <w:spacing w:val="-4"/>
        </w:rPr>
        <w:t xml:space="preserve"> </w:t>
      </w:r>
      <w:r>
        <w:t>framework</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549015" cy="12700"/>
                <wp:effectExtent l="0" t="0" r="3810" b="0"/>
                <wp:docPr id="854305163"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9015" cy="12700"/>
                          <a:chOff x="0" y="0"/>
                          <a:chExt cx="5589" cy="20"/>
                        </a:xfrm>
                      </wpg:grpSpPr>
                      <wps:wsp>
                        <wps:cNvPr id="46395266" name="Rectangle 92"/>
                        <wps:cNvSpPr>
                          <a:spLocks noChangeArrowheads="1"/>
                        </wps:cNvSpPr>
                        <wps:spPr bwMode="auto">
                          <a:xfrm>
                            <a:off x="0" y="0"/>
                            <a:ext cx="5589"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93FEE43" id="Group 91" o:spid="_x0000_s1026" style="width:279.45pt;height:1pt;mso-position-horizontal-relative:char;mso-position-vertical-relative:line" coordsize="558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">
                <v:rect id="Rectangle 92" o:spid="_x0000_s1027" style="position:absolute;width:5589;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" fillcolor="#2c398a" stroked="f"/>
                <w10:anchorlock/>
              </v:group>
            </w:pict>
          </mc:Fallback>
        </mc:AlternateContent>
      </w:r>
    </w:p>
    <w:p w:rsidR="00A56FE9" w:rsidRDefault="00000000">
      <w:pPr>
        <w:pStyle w:val="Tijeloteksta"/>
        <w:spacing w:before="155"/>
        <w:ind w:right="275"/>
      </w:pPr>
      <w:r>
        <w:t>As</w:t>
      </w:r>
      <w:r>
        <w:rPr>
          <w:spacing w:val="-14"/>
        </w:rPr>
        <w:t xml:space="preserve"> </w:t>
      </w:r>
      <w:r>
        <w:t>part</w:t>
      </w:r>
      <w:r>
        <w:rPr>
          <w:spacing w:val="-14"/>
        </w:rPr>
        <w:t xml:space="preserve"> </w:t>
      </w:r>
      <w:r>
        <w:t>of</w:t>
      </w:r>
      <w:r>
        <w:rPr>
          <w:spacing w:val="-14"/>
        </w:rPr>
        <w:t xml:space="preserve"> </w:t>
      </w:r>
      <w:r>
        <w:t>the</w:t>
      </w:r>
      <w:r>
        <w:rPr>
          <w:spacing w:val="-14"/>
        </w:rPr>
        <w:t xml:space="preserve"> </w:t>
      </w:r>
      <w:r>
        <w:t>allocation</w:t>
      </w:r>
      <w:r>
        <w:rPr>
          <w:spacing w:val="-13"/>
        </w:rPr>
        <w:t xml:space="preserve"> </w:t>
      </w:r>
      <w:r>
        <w:t>for</w:t>
      </w:r>
      <w:r>
        <w:rPr>
          <w:spacing w:val="-14"/>
        </w:rPr>
        <w:t xml:space="preserve"> </w:t>
      </w:r>
      <w:r>
        <w:t>Croatia</w:t>
      </w:r>
      <w:r>
        <w:rPr>
          <w:spacing w:val="-14"/>
        </w:rPr>
        <w:t xml:space="preserve"> </w:t>
      </w:r>
      <w:r>
        <w:t>under</w:t>
      </w:r>
      <w:r>
        <w:rPr>
          <w:spacing w:val="-14"/>
        </w:rPr>
        <w:t xml:space="preserve"> </w:t>
      </w:r>
      <w:r>
        <w:t>REACT-EU</w:t>
      </w:r>
      <w:r>
        <w:rPr>
          <w:spacing w:val="-14"/>
        </w:rPr>
        <w:t xml:space="preserve"> </w:t>
      </w:r>
      <w:r>
        <w:t>funds</w:t>
      </w:r>
      <w:r>
        <w:rPr>
          <w:spacing w:val="-14"/>
        </w:rPr>
        <w:t xml:space="preserve"> </w:t>
      </w:r>
      <w:r>
        <w:t>for</w:t>
      </w:r>
      <w:r>
        <w:rPr>
          <w:spacing w:val="-14"/>
        </w:rPr>
        <w:t xml:space="preserve"> </w:t>
      </w:r>
      <w:r>
        <w:t>2021,</w:t>
      </w:r>
      <w:r>
        <w:rPr>
          <w:spacing w:val="-13"/>
        </w:rPr>
        <w:t xml:space="preserve"> </w:t>
      </w:r>
      <w:r>
        <w:t>the</w:t>
      </w:r>
      <w:r>
        <w:rPr>
          <w:spacing w:val="-12"/>
        </w:rPr>
        <w:t xml:space="preserve"> </w:t>
      </w:r>
      <w:r>
        <w:t>Operational</w:t>
      </w:r>
      <w:r>
        <w:rPr>
          <w:spacing w:val="-13"/>
        </w:rPr>
        <w:t xml:space="preserve"> </w:t>
      </w:r>
      <w:r>
        <w:t>Program</w:t>
      </w:r>
      <w:r>
        <w:rPr>
          <w:spacing w:val="-58"/>
        </w:rPr>
        <w:t xml:space="preserve"> </w:t>
      </w:r>
      <w:r>
        <w:t>for</w:t>
      </w:r>
      <w:r>
        <w:rPr>
          <w:spacing w:val="-10"/>
        </w:rPr>
        <w:t xml:space="preserve"> </w:t>
      </w:r>
      <w:r>
        <w:t>the</w:t>
      </w:r>
      <w:r>
        <w:rPr>
          <w:spacing w:val="-8"/>
        </w:rPr>
        <w:t xml:space="preserve"> </w:t>
      </w:r>
      <w:r>
        <w:t>use</w:t>
      </w:r>
      <w:r>
        <w:rPr>
          <w:spacing w:val="-7"/>
        </w:rPr>
        <w:t xml:space="preserve"> </w:t>
      </w:r>
      <w:r>
        <w:t>of</w:t>
      </w:r>
      <w:r>
        <w:rPr>
          <w:spacing w:val="-6"/>
        </w:rPr>
        <w:t xml:space="preserve"> </w:t>
      </w:r>
      <w:r>
        <w:t>FEAD</w:t>
      </w:r>
      <w:r>
        <w:rPr>
          <w:spacing w:val="-6"/>
        </w:rPr>
        <w:t xml:space="preserve"> </w:t>
      </w:r>
      <w:r>
        <w:t>has</w:t>
      </w:r>
      <w:r>
        <w:rPr>
          <w:spacing w:val="-6"/>
        </w:rPr>
        <w:t xml:space="preserve"> </w:t>
      </w:r>
      <w:r>
        <w:t>been</w:t>
      </w:r>
      <w:r>
        <w:rPr>
          <w:spacing w:val="-8"/>
        </w:rPr>
        <w:t xml:space="preserve"> </w:t>
      </w:r>
      <w:r>
        <w:t>increased</w:t>
      </w:r>
      <w:r>
        <w:rPr>
          <w:spacing w:val="-8"/>
        </w:rPr>
        <w:t xml:space="preserve"> </w:t>
      </w:r>
      <w:r>
        <w:t>by</w:t>
      </w:r>
      <w:r>
        <w:rPr>
          <w:spacing w:val="-12"/>
        </w:rPr>
        <w:t xml:space="preserve"> </w:t>
      </w:r>
      <w:r>
        <w:t>EUR</w:t>
      </w:r>
      <w:r>
        <w:rPr>
          <w:spacing w:val="-7"/>
        </w:rPr>
        <w:t xml:space="preserve"> </w:t>
      </w:r>
      <w:r>
        <w:t>10</w:t>
      </w:r>
      <w:r>
        <w:rPr>
          <w:spacing w:val="-8"/>
        </w:rPr>
        <w:t xml:space="preserve"> </w:t>
      </w:r>
      <w:r>
        <w:t>million.</w:t>
      </w:r>
      <w:r>
        <w:rPr>
          <w:spacing w:val="-9"/>
        </w:rPr>
        <w:t xml:space="preserve"> </w:t>
      </w:r>
      <w:r>
        <w:t>These</w:t>
      </w:r>
      <w:r>
        <w:rPr>
          <w:spacing w:val="-8"/>
        </w:rPr>
        <w:t xml:space="preserve"> </w:t>
      </w:r>
      <w:r>
        <w:t>funds</w:t>
      </w:r>
      <w:r>
        <w:rPr>
          <w:spacing w:val="-9"/>
        </w:rPr>
        <w:t xml:space="preserve"> </w:t>
      </w:r>
      <w:r>
        <w:t>are</w:t>
      </w:r>
      <w:r>
        <w:rPr>
          <w:spacing w:val="-9"/>
        </w:rPr>
        <w:t xml:space="preserve"> </w:t>
      </w:r>
      <w:r>
        <w:t>used</w:t>
      </w:r>
      <w:r>
        <w:rPr>
          <w:spacing w:val="-8"/>
        </w:rPr>
        <w:t xml:space="preserve"> </w:t>
      </w:r>
      <w:r>
        <w:t>to</w:t>
      </w:r>
      <w:r>
        <w:rPr>
          <w:spacing w:val="-8"/>
        </w:rPr>
        <w:t xml:space="preserve"> </w:t>
      </w:r>
      <w:r>
        <w:t>implement</w:t>
      </w:r>
      <w:r>
        <w:rPr>
          <w:spacing w:val="-57"/>
        </w:rPr>
        <w:t xml:space="preserve"> </w:t>
      </w:r>
      <w:r>
        <w:t>an</w:t>
      </w:r>
      <w:r>
        <w:rPr>
          <w:spacing w:val="-9"/>
        </w:rPr>
        <w:t xml:space="preserve"> </w:t>
      </w:r>
      <w:r>
        <w:t>additional</w:t>
      </w:r>
      <w:r>
        <w:rPr>
          <w:spacing w:val="-8"/>
        </w:rPr>
        <w:t xml:space="preserve"> </w:t>
      </w:r>
      <w:r>
        <w:t>fourth</w:t>
      </w:r>
      <w:r>
        <w:rPr>
          <w:spacing w:val="-8"/>
        </w:rPr>
        <w:t xml:space="preserve"> </w:t>
      </w:r>
      <w:r>
        <w:t>phase</w:t>
      </w:r>
      <w:r>
        <w:rPr>
          <w:spacing w:val="-9"/>
        </w:rPr>
        <w:t xml:space="preserve"> </w:t>
      </w:r>
      <w:r>
        <w:t>of</w:t>
      </w:r>
      <w:r>
        <w:rPr>
          <w:spacing w:val="-8"/>
        </w:rPr>
        <w:t xml:space="preserve"> </w:t>
      </w:r>
      <w:r>
        <w:t>the</w:t>
      </w:r>
      <w:r>
        <w:rPr>
          <w:spacing w:val="-9"/>
        </w:rPr>
        <w:t xml:space="preserve"> </w:t>
      </w:r>
      <w:r>
        <w:t>call</w:t>
      </w:r>
      <w:r>
        <w:rPr>
          <w:spacing w:val="-7"/>
        </w:rPr>
        <w:t xml:space="preserve"> </w:t>
      </w:r>
      <w:r>
        <w:t>to</w:t>
      </w:r>
      <w:r>
        <w:rPr>
          <w:spacing w:val="-5"/>
        </w:rPr>
        <w:t xml:space="preserve"> </w:t>
      </w:r>
      <w:r>
        <w:rPr>
          <w:b/>
        </w:rPr>
        <w:t>alleviate</w:t>
      </w:r>
      <w:r>
        <w:rPr>
          <w:b/>
          <w:spacing w:val="-7"/>
        </w:rPr>
        <w:t xml:space="preserve"> </w:t>
      </w:r>
      <w:r>
        <w:rPr>
          <w:b/>
        </w:rPr>
        <w:t>poverty</w:t>
      </w:r>
      <w:r>
        <w:rPr>
          <w:b/>
          <w:spacing w:val="-8"/>
        </w:rPr>
        <w:t xml:space="preserve"> </w:t>
      </w:r>
      <w:r>
        <w:rPr>
          <w:b/>
        </w:rPr>
        <w:t>by</w:t>
      </w:r>
      <w:r>
        <w:rPr>
          <w:b/>
          <w:spacing w:val="-9"/>
        </w:rPr>
        <w:t xml:space="preserve"> </w:t>
      </w:r>
      <w:r>
        <w:rPr>
          <w:b/>
        </w:rPr>
        <w:t>providing</w:t>
      </w:r>
      <w:r>
        <w:rPr>
          <w:b/>
          <w:spacing w:val="-8"/>
        </w:rPr>
        <w:t xml:space="preserve"> </w:t>
      </w:r>
      <w:r>
        <w:rPr>
          <w:b/>
        </w:rPr>
        <w:t>assistance</w:t>
      </w:r>
      <w:r>
        <w:rPr>
          <w:b/>
          <w:spacing w:val="-9"/>
        </w:rPr>
        <w:t xml:space="preserve"> </w:t>
      </w:r>
      <w:r>
        <w:rPr>
          <w:b/>
        </w:rPr>
        <w:t>to</w:t>
      </w:r>
      <w:r>
        <w:rPr>
          <w:b/>
          <w:spacing w:val="-6"/>
        </w:rPr>
        <w:t xml:space="preserve"> </w:t>
      </w:r>
      <w:r>
        <w:rPr>
          <w:b/>
        </w:rPr>
        <w:t>the</w:t>
      </w:r>
      <w:r>
        <w:rPr>
          <w:b/>
          <w:spacing w:val="-6"/>
        </w:rPr>
        <w:t xml:space="preserve"> </w:t>
      </w:r>
      <w:r>
        <w:rPr>
          <w:b/>
        </w:rPr>
        <w:t>most</w:t>
      </w:r>
      <w:r>
        <w:rPr>
          <w:b/>
          <w:spacing w:val="-58"/>
        </w:rPr>
        <w:t xml:space="preserve"> </w:t>
      </w:r>
      <w:r>
        <w:rPr>
          <w:b/>
        </w:rPr>
        <w:t xml:space="preserve">deprived or basic material assistance </w:t>
      </w:r>
      <w:r>
        <w:t>with the aim of further resolving the consequences of</w:t>
      </w:r>
      <w:r>
        <w:rPr>
          <w:spacing w:val="1"/>
        </w:rPr>
        <w:t xml:space="preserve"> </w:t>
      </w:r>
      <w:r>
        <w:rPr>
          <w:spacing w:val="-1"/>
        </w:rPr>
        <w:t>the</w:t>
      </w:r>
      <w:r>
        <w:rPr>
          <w:spacing w:val="-11"/>
        </w:rPr>
        <w:t xml:space="preserve"> </w:t>
      </w:r>
      <w:r>
        <w:rPr>
          <w:spacing w:val="-1"/>
        </w:rPr>
        <w:t>COVID-19</w:t>
      </w:r>
      <w:r>
        <w:rPr>
          <w:spacing w:val="-10"/>
        </w:rPr>
        <w:t xml:space="preserve"> </w:t>
      </w:r>
      <w:r>
        <w:rPr>
          <w:spacing w:val="-1"/>
        </w:rPr>
        <w:t>pandemic</w:t>
      </w:r>
      <w:r>
        <w:rPr>
          <w:spacing w:val="-11"/>
        </w:rPr>
        <w:t xml:space="preserve"> </w:t>
      </w:r>
      <w:r>
        <w:rPr>
          <w:spacing w:val="-1"/>
        </w:rPr>
        <w:t>and</w:t>
      </w:r>
      <w:r>
        <w:rPr>
          <w:spacing w:val="-10"/>
        </w:rPr>
        <w:t xml:space="preserve"> </w:t>
      </w:r>
      <w:r>
        <w:t>earthquakes</w:t>
      </w:r>
      <w:r>
        <w:rPr>
          <w:spacing w:val="-9"/>
        </w:rPr>
        <w:t xml:space="preserve"> </w:t>
      </w:r>
      <w:r>
        <w:t>for</w:t>
      </w:r>
      <w:r>
        <w:rPr>
          <w:spacing w:val="-12"/>
        </w:rPr>
        <w:t xml:space="preserve"> </w:t>
      </w:r>
      <w:r>
        <w:t>the</w:t>
      </w:r>
      <w:r>
        <w:rPr>
          <w:spacing w:val="-11"/>
        </w:rPr>
        <w:t xml:space="preserve"> </w:t>
      </w:r>
      <w:r>
        <w:t>most</w:t>
      </w:r>
      <w:r>
        <w:rPr>
          <w:spacing w:val="-8"/>
        </w:rPr>
        <w:t xml:space="preserve"> </w:t>
      </w:r>
      <w:r>
        <w:t>needy</w:t>
      </w:r>
      <w:r>
        <w:rPr>
          <w:spacing w:val="-15"/>
        </w:rPr>
        <w:t xml:space="preserve"> </w:t>
      </w:r>
      <w:r>
        <w:t>in</w:t>
      </w:r>
      <w:r>
        <w:rPr>
          <w:spacing w:val="-10"/>
        </w:rPr>
        <w:t xml:space="preserve"> </w:t>
      </w:r>
      <w:r>
        <w:t>Croatia.</w:t>
      </w:r>
      <w:r>
        <w:rPr>
          <w:spacing w:val="-10"/>
        </w:rPr>
        <w:t xml:space="preserve"> </w:t>
      </w:r>
      <w:r>
        <w:t>Projects</w:t>
      </w:r>
      <w:r>
        <w:rPr>
          <w:spacing w:val="-9"/>
        </w:rPr>
        <w:t xml:space="preserve"> </w:t>
      </w:r>
      <w:r>
        <w:t>are</w:t>
      </w:r>
      <w:r>
        <w:rPr>
          <w:spacing w:val="-12"/>
        </w:rPr>
        <w:t xml:space="preserve"> </w:t>
      </w:r>
      <w:r>
        <w:t>contracted</w:t>
      </w:r>
      <w:r>
        <w:rPr>
          <w:spacing w:val="-57"/>
        </w:rPr>
        <w:t xml:space="preserve"> </w:t>
      </w:r>
      <w:r>
        <w:rPr>
          <w:spacing w:val="-1"/>
        </w:rPr>
        <w:t>for</w:t>
      </w:r>
      <w:r>
        <w:rPr>
          <w:spacing w:val="-14"/>
        </w:rPr>
        <w:t xml:space="preserve"> </w:t>
      </w:r>
      <w:r>
        <w:rPr>
          <w:spacing w:val="-1"/>
        </w:rPr>
        <w:t>the</w:t>
      </w:r>
      <w:r>
        <w:rPr>
          <w:spacing w:val="-13"/>
        </w:rPr>
        <w:t xml:space="preserve"> </w:t>
      </w:r>
      <w:r>
        <w:rPr>
          <w:spacing w:val="-1"/>
        </w:rPr>
        <w:t>period</w:t>
      </w:r>
      <w:r>
        <w:rPr>
          <w:spacing w:val="-13"/>
        </w:rPr>
        <w:t xml:space="preserve"> </w:t>
      </w:r>
      <w:r>
        <w:t>2022/2023,</w:t>
      </w:r>
      <w:r>
        <w:rPr>
          <w:spacing w:val="-10"/>
        </w:rPr>
        <w:t xml:space="preserve"> </w:t>
      </w:r>
      <w:r>
        <w:t>and</w:t>
      </w:r>
      <w:r>
        <w:rPr>
          <w:spacing w:val="-12"/>
        </w:rPr>
        <w:t xml:space="preserve"> </w:t>
      </w:r>
      <w:r>
        <w:t>approx.</w:t>
      </w:r>
      <w:r>
        <w:rPr>
          <w:spacing w:val="-11"/>
        </w:rPr>
        <w:t xml:space="preserve"> </w:t>
      </w:r>
      <w:r>
        <w:t>35,000</w:t>
      </w:r>
      <w:r>
        <w:rPr>
          <w:spacing w:val="-12"/>
        </w:rPr>
        <w:t xml:space="preserve"> </w:t>
      </w:r>
      <w:r>
        <w:t>people</w:t>
      </w:r>
      <w:r>
        <w:rPr>
          <w:spacing w:val="-13"/>
        </w:rPr>
        <w:t xml:space="preserve"> </w:t>
      </w:r>
      <w:r>
        <w:t>at</w:t>
      </w:r>
      <w:r>
        <w:rPr>
          <w:spacing w:val="-12"/>
        </w:rPr>
        <w:t xml:space="preserve"> </w:t>
      </w:r>
      <w:r>
        <w:t>risk</w:t>
      </w:r>
      <w:r>
        <w:rPr>
          <w:spacing w:val="-12"/>
        </w:rPr>
        <w:t xml:space="preserve"> </w:t>
      </w:r>
      <w:r>
        <w:t>of</w:t>
      </w:r>
      <w:r>
        <w:rPr>
          <w:spacing w:val="-12"/>
        </w:rPr>
        <w:t xml:space="preserve"> </w:t>
      </w:r>
      <w:r>
        <w:t>poverty</w:t>
      </w:r>
      <w:r>
        <w:rPr>
          <w:spacing w:val="-17"/>
        </w:rPr>
        <w:t xml:space="preserve"> </w:t>
      </w:r>
      <w:r>
        <w:t>should</w:t>
      </w:r>
      <w:r>
        <w:rPr>
          <w:spacing w:val="-12"/>
        </w:rPr>
        <w:t xml:space="preserve"> </w:t>
      </w:r>
      <w:r>
        <w:t>receive</w:t>
      </w:r>
      <w:r>
        <w:rPr>
          <w:spacing w:val="-11"/>
        </w:rPr>
        <w:t xml:space="preserve"> </w:t>
      </w:r>
      <w:r>
        <w:t>assistance</w:t>
      </w:r>
      <w:r>
        <w:rPr>
          <w:spacing w:val="-57"/>
        </w:rPr>
        <w:t xml:space="preserve"> </w:t>
      </w:r>
      <w:r>
        <w:t>in 2022.</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Naslov2"/>
        <w:numPr>
          <w:ilvl w:val="0"/>
          <w:numId w:val="7"/>
        </w:numPr>
        <w:tabs>
          <w:tab w:val="left" w:pos="423"/>
        </w:tabs>
        <w:ind w:hanging="285"/>
        <w:jc w:val="both"/>
      </w:pPr>
      <w:bookmarkStart w:id="27" w:name="_bookmark27"/>
      <w:bookmarkEnd w:id="27"/>
      <w:r>
        <w:t>–</w:t>
      </w:r>
      <w:r>
        <w:rPr>
          <w:spacing w:val="-2"/>
        </w:rPr>
        <w:t xml:space="preserve"> </w:t>
      </w:r>
      <w:r>
        <w:t>HEALTH</w:t>
      </w:r>
      <w:r>
        <w:rPr>
          <w:spacing w:val="-2"/>
        </w:rPr>
        <w:t xml:space="preserve"> </w:t>
      </w:r>
      <w:r>
        <w:t>CARE</w:t>
      </w:r>
    </w:p>
    <w:p w:rsidR="00A56FE9" w:rsidRDefault="00A56FE9">
      <w:pPr>
        <w:pStyle w:val="Tijeloteksta"/>
        <w:spacing w:before="7"/>
        <w:ind w:left="0"/>
        <w:jc w:val="left"/>
        <w:rPr>
          <w:b/>
          <w:sz w:val="39"/>
        </w:rPr>
      </w:pPr>
    </w:p>
    <w:p w:rsidR="00A56FE9" w:rsidRDefault="00000000">
      <w:pPr>
        <w:pStyle w:val="Naslov3"/>
        <w:spacing w:before="0"/>
      </w:pPr>
      <w:bookmarkStart w:id="28" w:name="_bookmark28"/>
      <w:bookmarkEnd w:id="28"/>
      <w:r>
        <w:rPr>
          <w:rFonts w:ascii="Times New Roman"/>
          <w:b/>
          <w:color w:val="2C398A"/>
          <w:spacing w:val="-1"/>
        </w:rPr>
        <w:t>C5.1.</w:t>
      </w:r>
      <w:r>
        <w:rPr>
          <w:rFonts w:ascii="Times New Roman"/>
          <w:b/>
          <w:color w:val="2C398A"/>
          <w:spacing w:val="-2"/>
        </w:rPr>
        <w:t xml:space="preserve"> </w:t>
      </w:r>
      <w:r>
        <w:rPr>
          <w:color w:val="003399"/>
        </w:rPr>
        <w:t>Strengthening</w:t>
      </w:r>
      <w:r>
        <w:rPr>
          <w:color w:val="003399"/>
          <w:spacing w:val="-15"/>
        </w:rPr>
        <w:t xml:space="preserve"> </w:t>
      </w:r>
      <w:r>
        <w:rPr>
          <w:color w:val="003399"/>
        </w:rPr>
        <w:t>the</w:t>
      </w:r>
      <w:r>
        <w:rPr>
          <w:color w:val="003399"/>
          <w:spacing w:val="-14"/>
        </w:rPr>
        <w:t xml:space="preserve"> </w:t>
      </w:r>
      <w:r>
        <w:rPr>
          <w:color w:val="003399"/>
        </w:rPr>
        <w:t>Resilience</w:t>
      </w:r>
      <w:r>
        <w:rPr>
          <w:color w:val="003399"/>
          <w:spacing w:val="-15"/>
        </w:rPr>
        <w:t xml:space="preserve"> </w:t>
      </w:r>
      <w:r>
        <w:rPr>
          <w:color w:val="003399"/>
        </w:rPr>
        <w:t>of</w:t>
      </w:r>
      <w:r>
        <w:rPr>
          <w:color w:val="003399"/>
          <w:spacing w:val="-15"/>
        </w:rPr>
        <w:t xml:space="preserve"> </w:t>
      </w:r>
      <w:r>
        <w:rPr>
          <w:color w:val="003399"/>
        </w:rPr>
        <w:t>the</w:t>
      </w:r>
      <w:r>
        <w:rPr>
          <w:color w:val="003399"/>
          <w:spacing w:val="-14"/>
        </w:rPr>
        <w:t xml:space="preserve"> </w:t>
      </w:r>
      <w:r>
        <w:rPr>
          <w:color w:val="003399"/>
        </w:rPr>
        <w:t>Health</w:t>
      </w:r>
      <w:r>
        <w:rPr>
          <w:color w:val="003399"/>
          <w:spacing w:val="-15"/>
        </w:rPr>
        <w:t xml:space="preserve"> </w:t>
      </w:r>
      <w:r>
        <w:rPr>
          <w:color w:val="003399"/>
        </w:rPr>
        <w:t>Care</w:t>
      </w:r>
      <w:r>
        <w:rPr>
          <w:color w:val="003399"/>
          <w:spacing w:val="-14"/>
        </w:rPr>
        <w:t xml:space="preserve"> </w:t>
      </w:r>
      <w:r>
        <w:rPr>
          <w:color w:val="003399"/>
        </w:rPr>
        <w:t>System</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812608"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1682247019"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E74B2" id="Rectangle 90" o:spid="_x0000_s1026" style="position:absolute;margin-left:64.1pt;margin-top:-6.1pt;width:1.45pt;height:27pt;z-index:1581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Ensuring</w:t>
      </w:r>
      <w:r w:rsidR="00000000">
        <w:rPr>
          <w:color w:val="2C398A"/>
          <w:spacing w:val="-2"/>
        </w:rPr>
        <w:t xml:space="preserve"> </w:t>
      </w:r>
      <w:r w:rsidR="00000000">
        <w:rPr>
          <w:color w:val="2C398A"/>
        </w:rPr>
        <w:t>financial</w:t>
      </w:r>
      <w:r w:rsidR="00000000">
        <w:rPr>
          <w:color w:val="2C398A"/>
          <w:spacing w:val="-2"/>
        </w:rPr>
        <w:t xml:space="preserve"> </w:t>
      </w:r>
      <w:r w:rsidR="00000000">
        <w:rPr>
          <w:color w:val="2C398A"/>
        </w:rPr>
        <w:t>sustainability</w:t>
      </w:r>
      <w:r w:rsidR="00000000">
        <w:rPr>
          <w:color w:val="2C398A"/>
          <w:spacing w:val="1"/>
        </w:rPr>
        <w:t xml:space="preserve"> </w:t>
      </w:r>
      <w:r w:rsidR="00000000">
        <w:rPr>
          <w:color w:val="2C398A"/>
        </w:rPr>
        <w:t>of</w:t>
      </w:r>
      <w:r w:rsidR="00000000">
        <w:rPr>
          <w:color w:val="2C398A"/>
          <w:spacing w:val="-2"/>
        </w:rPr>
        <w:t xml:space="preserve"> </w:t>
      </w:r>
      <w:r w:rsidR="00000000">
        <w:rPr>
          <w:color w:val="2C398A"/>
        </w:rPr>
        <w:t>the</w:t>
      </w:r>
      <w:r w:rsidR="00000000">
        <w:rPr>
          <w:color w:val="2C398A"/>
          <w:spacing w:val="-2"/>
        </w:rPr>
        <w:t xml:space="preserve"> </w:t>
      </w:r>
      <w:r w:rsidR="00000000">
        <w:rPr>
          <w:color w:val="2C398A"/>
        </w:rPr>
        <w:t>health</w:t>
      </w:r>
      <w:r w:rsidR="00000000">
        <w:rPr>
          <w:color w:val="2C398A"/>
          <w:spacing w:val="-2"/>
        </w:rPr>
        <w:t xml:space="preserve"> </w:t>
      </w:r>
      <w:r w:rsidR="00000000">
        <w:rPr>
          <w:color w:val="2C398A"/>
        </w:rPr>
        <w:t>care</w:t>
      </w:r>
      <w:r w:rsidR="00000000">
        <w:rPr>
          <w:color w:val="2C398A"/>
          <w:spacing w:val="-2"/>
        </w:rPr>
        <w:t xml:space="preserve"> </w:t>
      </w:r>
      <w:r w:rsidR="00000000">
        <w:rPr>
          <w:color w:val="2C398A"/>
        </w:rPr>
        <w:t>system</w:t>
      </w:r>
    </w:p>
    <w:p w:rsidR="00A56FE9" w:rsidRDefault="00000000">
      <w:pPr>
        <w:spacing w:before="233"/>
        <w:ind w:left="138" w:right="274"/>
        <w:jc w:val="both"/>
        <w:rPr>
          <w:i/>
          <w:sz w:val="24"/>
        </w:rPr>
      </w:pPr>
      <w:r>
        <w:rPr>
          <w:i/>
          <w:color w:val="2C398A"/>
          <w:sz w:val="24"/>
        </w:rPr>
        <w:t>2019.CSR1.1. Reinforce the budgetary framework and monitoring of contingent liabilities at</w:t>
      </w:r>
      <w:r>
        <w:rPr>
          <w:i/>
          <w:color w:val="2C398A"/>
          <w:spacing w:val="1"/>
          <w:sz w:val="24"/>
        </w:rPr>
        <w:t xml:space="preserve"> </w:t>
      </w:r>
      <w:r>
        <w:rPr>
          <w:i/>
          <w:color w:val="2C398A"/>
          <w:sz w:val="24"/>
        </w:rPr>
        <w:t>central</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local</w:t>
      </w:r>
      <w:r>
        <w:rPr>
          <w:i/>
          <w:color w:val="2C398A"/>
          <w:spacing w:val="1"/>
          <w:sz w:val="24"/>
        </w:rPr>
        <w:t xml:space="preserve"> </w:t>
      </w:r>
      <w:r>
        <w:rPr>
          <w:i/>
          <w:color w:val="2C398A"/>
          <w:sz w:val="24"/>
        </w:rPr>
        <w:t>level;</w:t>
      </w:r>
      <w:r>
        <w:rPr>
          <w:i/>
          <w:color w:val="2C398A"/>
          <w:spacing w:val="1"/>
          <w:sz w:val="24"/>
        </w:rPr>
        <w:t xml:space="preserve"> </w:t>
      </w:r>
      <w:r>
        <w:rPr>
          <w:i/>
          <w:color w:val="2C398A"/>
          <w:sz w:val="24"/>
        </w:rPr>
        <w:t>2019.CSR1.2.</w:t>
      </w:r>
      <w:r>
        <w:rPr>
          <w:i/>
          <w:color w:val="2C398A"/>
          <w:spacing w:val="1"/>
          <w:sz w:val="24"/>
        </w:rPr>
        <w:t xml:space="preserve"> </w:t>
      </w:r>
      <w:r>
        <w:rPr>
          <w:i/>
          <w:color w:val="2C398A"/>
          <w:sz w:val="24"/>
        </w:rPr>
        <w:t>Reduce the territorial</w:t>
      </w:r>
      <w:r>
        <w:rPr>
          <w:i/>
          <w:color w:val="2C398A"/>
          <w:spacing w:val="1"/>
          <w:sz w:val="24"/>
        </w:rPr>
        <w:t xml:space="preserve"> </w:t>
      </w:r>
      <w:r>
        <w:rPr>
          <w:i/>
          <w:color w:val="2C398A"/>
          <w:sz w:val="24"/>
        </w:rPr>
        <w:t>fragmentation</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the public</w:t>
      </w:r>
      <w:r>
        <w:rPr>
          <w:i/>
          <w:color w:val="2C398A"/>
          <w:spacing w:val="1"/>
          <w:sz w:val="24"/>
        </w:rPr>
        <w:t xml:space="preserve"> </w:t>
      </w:r>
      <w:r>
        <w:rPr>
          <w:i/>
          <w:color w:val="2C398A"/>
          <w:sz w:val="24"/>
        </w:rPr>
        <w:t>administration</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streamline</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functional</w:t>
      </w:r>
      <w:r>
        <w:rPr>
          <w:i/>
          <w:color w:val="2C398A"/>
          <w:spacing w:val="1"/>
          <w:sz w:val="24"/>
        </w:rPr>
        <w:t xml:space="preserve"> </w:t>
      </w:r>
      <w:r>
        <w:rPr>
          <w:i/>
          <w:color w:val="2C398A"/>
          <w:sz w:val="24"/>
        </w:rPr>
        <w:t>distribution</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competencies;</w:t>
      </w:r>
      <w:r>
        <w:rPr>
          <w:i/>
          <w:color w:val="2C398A"/>
          <w:spacing w:val="1"/>
          <w:sz w:val="24"/>
        </w:rPr>
        <w:t xml:space="preserve"> </w:t>
      </w:r>
      <w:r>
        <w:rPr>
          <w:i/>
          <w:color w:val="2C398A"/>
          <w:sz w:val="24"/>
        </w:rPr>
        <w:t>2020.CSR1.3.</w:t>
      </w:r>
      <w:r>
        <w:rPr>
          <w:i/>
          <w:color w:val="2C398A"/>
          <w:spacing w:val="-57"/>
          <w:sz w:val="24"/>
        </w:rPr>
        <w:t xml:space="preserve"> </w:t>
      </w:r>
      <w:r>
        <w:rPr>
          <w:i/>
          <w:color w:val="2C398A"/>
          <w:sz w:val="24"/>
        </w:rPr>
        <w:t>Enhance the resilience of the health system; 2020.CSR1.4. Promote balanced geographical</w:t>
      </w:r>
      <w:r>
        <w:rPr>
          <w:i/>
          <w:color w:val="2C398A"/>
          <w:spacing w:val="1"/>
          <w:sz w:val="24"/>
        </w:rPr>
        <w:t xml:space="preserve"> </w:t>
      </w:r>
      <w:r>
        <w:rPr>
          <w:i/>
          <w:color w:val="2C398A"/>
          <w:sz w:val="24"/>
        </w:rPr>
        <w:t>distribution</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health</w:t>
      </w:r>
      <w:r>
        <w:rPr>
          <w:i/>
          <w:color w:val="2C398A"/>
          <w:spacing w:val="1"/>
          <w:sz w:val="24"/>
        </w:rPr>
        <w:t xml:space="preserve"> </w:t>
      </w:r>
      <w:r>
        <w:rPr>
          <w:i/>
          <w:color w:val="2C398A"/>
          <w:sz w:val="24"/>
        </w:rPr>
        <w:t>workers</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facilities,</w:t>
      </w:r>
      <w:r>
        <w:rPr>
          <w:i/>
          <w:color w:val="2C398A"/>
          <w:spacing w:val="1"/>
          <w:sz w:val="24"/>
        </w:rPr>
        <w:t xml:space="preserve"> </w:t>
      </w:r>
      <w:r>
        <w:rPr>
          <w:i/>
          <w:color w:val="2C398A"/>
          <w:sz w:val="24"/>
        </w:rPr>
        <w:t>closer</w:t>
      </w:r>
      <w:r>
        <w:rPr>
          <w:i/>
          <w:color w:val="2C398A"/>
          <w:spacing w:val="1"/>
          <w:sz w:val="24"/>
        </w:rPr>
        <w:t xml:space="preserve"> </w:t>
      </w:r>
      <w:r>
        <w:rPr>
          <w:i/>
          <w:color w:val="2C398A"/>
          <w:sz w:val="24"/>
        </w:rPr>
        <w:t>cooperation</w:t>
      </w:r>
      <w:r>
        <w:rPr>
          <w:i/>
          <w:color w:val="2C398A"/>
          <w:spacing w:val="1"/>
          <w:sz w:val="24"/>
        </w:rPr>
        <w:t xml:space="preserve"> </w:t>
      </w:r>
      <w:r>
        <w:rPr>
          <w:i/>
          <w:color w:val="2C398A"/>
          <w:sz w:val="24"/>
        </w:rPr>
        <w:t>between</w:t>
      </w:r>
      <w:r>
        <w:rPr>
          <w:i/>
          <w:color w:val="2C398A"/>
          <w:spacing w:val="1"/>
          <w:sz w:val="24"/>
        </w:rPr>
        <w:t xml:space="preserve"> </w:t>
      </w:r>
      <w:r>
        <w:rPr>
          <w:i/>
          <w:color w:val="2C398A"/>
          <w:sz w:val="24"/>
        </w:rPr>
        <w:t>all</w:t>
      </w:r>
      <w:r>
        <w:rPr>
          <w:i/>
          <w:color w:val="2C398A"/>
          <w:spacing w:val="1"/>
          <w:sz w:val="24"/>
        </w:rPr>
        <w:t xml:space="preserve"> </w:t>
      </w:r>
      <w:r>
        <w:rPr>
          <w:i/>
          <w:color w:val="2C398A"/>
          <w:sz w:val="24"/>
        </w:rPr>
        <w:t>levels</w:t>
      </w:r>
      <w:r>
        <w:rPr>
          <w:i/>
          <w:color w:val="2C398A"/>
          <w:spacing w:val="1"/>
          <w:sz w:val="24"/>
        </w:rPr>
        <w:t xml:space="preserve"> </w:t>
      </w:r>
      <w:r>
        <w:rPr>
          <w:i/>
          <w:color w:val="2C398A"/>
          <w:sz w:val="24"/>
        </w:rPr>
        <w:t>of</w:t>
      </w:r>
      <w:r>
        <w:rPr>
          <w:i/>
          <w:color w:val="2C398A"/>
          <w:spacing w:val="1"/>
          <w:sz w:val="24"/>
        </w:rPr>
        <w:t xml:space="preserve"> </w:t>
      </w:r>
      <w:r>
        <w:rPr>
          <w:i/>
          <w:color w:val="2C398A"/>
          <w:sz w:val="24"/>
        </w:rPr>
        <w:t>administration</w:t>
      </w:r>
      <w:r>
        <w:rPr>
          <w:i/>
          <w:color w:val="2C398A"/>
          <w:spacing w:val="-1"/>
          <w:sz w:val="24"/>
        </w:rPr>
        <w:t xml:space="preserve"> </w:t>
      </w:r>
      <w:r>
        <w:rPr>
          <w:i/>
          <w:color w:val="2C398A"/>
          <w:sz w:val="24"/>
        </w:rPr>
        <w:t>and investments in e-health</w:t>
      </w:r>
    </w:p>
    <w:p w:rsidR="00A56FE9" w:rsidRDefault="00A56FE9">
      <w:pPr>
        <w:pStyle w:val="Tijeloteksta"/>
        <w:spacing w:before="4"/>
        <w:ind w:left="0"/>
        <w:jc w:val="left"/>
        <w:rPr>
          <w:i/>
          <w:sz w:val="21"/>
        </w:rPr>
      </w:pPr>
    </w:p>
    <w:p w:rsidR="00A56FE9" w:rsidRDefault="00000000">
      <w:pPr>
        <w:pStyle w:val="Naslov5"/>
        <w:spacing w:before="1"/>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367405" cy="12700"/>
                <wp:effectExtent l="0" t="0" r="4445" b="0"/>
                <wp:docPr id="513002614"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7405" cy="12700"/>
                          <a:chOff x="0" y="0"/>
                          <a:chExt cx="5303" cy="20"/>
                        </a:xfrm>
                      </wpg:grpSpPr>
                      <wps:wsp>
                        <wps:cNvPr id="757588312" name="Rectangle 89"/>
                        <wps:cNvSpPr>
                          <a:spLocks noChangeArrowheads="1"/>
                        </wps:cNvSpPr>
                        <wps:spPr bwMode="auto">
                          <a:xfrm>
                            <a:off x="0" y="0"/>
                            <a:ext cx="5303"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D2767F0" id="Group 88" o:spid="_x0000_s1026" style="width:265.15pt;height:1pt;mso-position-horizontal-relative:char;mso-position-vertical-relative:line" coordsize="53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">
                <v:rect id="Rectangle 89" o:spid="_x0000_s1027" style="position:absolute;width:530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" fillcolor="#2c398a" stroked="f"/>
                <w10:anchorlock/>
              </v:group>
            </w:pict>
          </mc:Fallback>
        </mc:AlternateContent>
      </w:r>
    </w:p>
    <w:p w:rsidR="00A56FE9" w:rsidRDefault="00000000">
      <w:pPr>
        <w:pStyle w:val="Tijeloteksta"/>
        <w:spacing w:before="154"/>
        <w:ind w:right="270"/>
      </w:pPr>
      <w:r>
        <w:t>The Croatian health care system and the health care systems of other countries have faced the</w:t>
      </w:r>
      <w:r>
        <w:rPr>
          <w:spacing w:val="1"/>
        </w:rPr>
        <w:t xml:space="preserve"> </w:t>
      </w:r>
      <w:r>
        <w:t>coronavirus outbreak, i.e., the epidemic of the infectious COVID-19 disease caused by the</w:t>
      </w:r>
      <w:r>
        <w:rPr>
          <w:spacing w:val="1"/>
        </w:rPr>
        <w:t xml:space="preserve"> </w:t>
      </w:r>
      <w:r>
        <w:rPr>
          <w:spacing w:val="-1"/>
        </w:rPr>
        <w:t>SARS-CoV-2</w:t>
      </w:r>
      <w:r>
        <w:rPr>
          <w:spacing w:val="-12"/>
        </w:rPr>
        <w:t xml:space="preserve"> </w:t>
      </w:r>
      <w:r>
        <w:rPr>
          <w:spacing w:val="-1"/>
        </w:rPr>
        <w:t>virus.</w:t>
      </w:r>
      <w:r>
        <w:rPr>
          <w:spacing w:val="-15"/>
        </w:rPr>
        <w:t xml:space="preserve"> </w:t>
      </w:r>
      <w:r>
        <w:t>With</w:t>
      </w:r>
      <w:r>
        <w:rPr>
          <w:spacing w:val="-14"/>
        </w:rPr>
        <w:t xml:space="preserve"> </w:t>
      </w:r>
      <w:r>
        <w:t>the</w:t>
      </w:r>
      <w:r>
        <w:rPr>
          <w:spacing w:val="-13"/>
        </w:rPr>
        <w:t xml:space="preserve"> </w:t>
      </w:r>
      <w:r>
        <w:t>outbreak</w:t>
      </w:r>
      <w:r>
        <w:rPr>
          <w:spacing w:val="-12"/>
        </w:rPr>
        <w:t xml:space="preserve"> </w:t>
      </w:r>
      <w:r>
        <w:t>of</w:t>
      </w:r>
      <w:r>
        <w:rPr>
          <w:spacing w:val="-13"/>
        </w:rPr>
        <w:t xml:space="preserve"> </w:t>
      </w:r>
      <w:r>
        <w:t>SARS-CoV-2</w:t>
      </w:r>
      <w:r>
        <w:rPr>
          <w:spacing w:val="-12"/>
        </w:rPr>
        <w:t xml:space="preserve"> </w:t>
      </w:r>
      <w:r>
        <w:t>and</w:t>
      </w:r>
      <w:r>
        <w:rPr>
          <w:spacing w:val="-12"/>
        </w:rPr>
        <w:t xml:space="preserve"> </w:t>
      </w:r>
      <w:r>
        <w:t>COVID-19</w:t>
      </w:r>
      <w:r>
        <w:rPr>
          <w:spacing w:val="-12"/>
        </w:rPr>
        <w:t xml:space="preserve"> </w:t>
      </w:r>
      <w:r>
        <w:t>in</w:t>
      </w:r>
      <w:r>
        <w:rPr>
          <w:spacing w:val="-12"/>
        </w:rPr>
        <w:t xml:space="preserve"> </w:t>
      </w:r>
      <w:r>
        <w:t>late</w:t>
      </w:r>
      <w:r>
        <w:rPr>
          <w:spacing w:val="-13"/>
        </w:rPr>
        <w:t xml:space="preserve"> </w:t>
      </w:r>
      <w:r>
        <w:t>December</w:t>
      </w:r>
      <w:r>
        <w:rPr>
          <w:spacing w:val="-14"/>
        </w:rPr>
        <w:t xml:space="preserve"> </w:t>
      </w:r>
      <w:r>
        <w:t>2019,</w:t>
      </w:r>
      <w:r>
        <w:rPr>
          <w:spacing w:val="-58"/>
        </w:rPr>
        <w:t xml:space="preserve"> </w:t>
      </w:r>
      <w:r>
        <w:t>and its rapid spread in January 2020, the World Health Organization declared on 30 January</w:t>
      </w:r>
      <w:r>
        <w:rPr>
          <w:spacing w:val="1"/>
        </w:rPr>
        <w:t xml:space="preserve"> </w:t>
      </w:r>
      <w:r>
        <w:t>2020 the COVID-19 epidemic a public health threat of international importance. On 11 March</w:t>
      </w:r>
      <w:r>
        <w:rPr>
          <w:spacing w:val="-57"/>
        </w:rPr>
        <w:t xml:space="preserve"> </w:t>
      </w:r>
      <w:r>
        <w:t>2020, it was declared a pandemic. The outbreak of SARS-CoV-2 and the COVID-19 disease</w:t>
      </w:r>
      <w:r>
        <w:rPr>
          <w:spacing w:val="1"/>
        </w:rPr>
        <w:t xml:space="preserve"> </w:t>
      </w:r>
      <w:r>
        <w:t>has</w:t>
      </w:r>
      <w:r>
        <w:rPr>
          <w:spacing w:val="-1"/>
        </w:rPr>
        <w:t xml:space="preserve"> </w:t>
      </w:r>
      <w:r>
        <w:t>significantly</w:t>
      </w:r>
      <w:r>
        <w:rPr>
          <w:spacing w:val="-3"/>
        </w:rPr>
        <w:t xml:space="preserve"> </w:t>
      </w:r>
      <w:r>
        <w:t>affected</w:t>
      </w:r>
      <w:r>
        <w:rPr>
          <w:spacing w:val="1"/>
        </w:rPr>
        <w:t xml:space="preserve"> </w:t>
      </w:r>
      <w:r>
        <w:t>the</w:t>
      </w:r>
      <w:r>
        <w:rPr>
          <w:spacing w:val="1"/>
        </w:rPr>
        <w:t xml:space="preserve"> </w:t>
      </w:r>
      <w:r>
        <w:t>entire</w:t>
      </w:r>
      <w:r>
        <w:rPr>
          <w:spacing w:val="-3"/>
        </w:rPr>
        <w:t xml:space="preserve"> </w:t>
      </w:r>
      <w:r>
        <w:t>health system</w:t>
      </w:r>
      <w:r>
        <w:rPr>
          <w:spacing w:val="3"/>
        </w:rPr>
        <w:t xml:space="preserve"> </w:t>
      </w:r>
      <w:r>
        <w:t>and the</w:t>
      </w:r>
      <w:r>
        <w:rPr>
          <w:spacing w:val="-1"/>
        </w:rPr>
        <w:t xml:space="preserve"> </w:t>
      </w:r>
      <w:r>
        <w:t>economy.</w:t>
      </w:r>
    </w:p>
    <w:p w:rsidR="00A56FE9" w:rsidRDefault="00000000">
      <w:pPr>
        <w:pStyle w:val="Tijeloteksta"/>
        <w:spacing w:before="121"/>
        <w:ind w:right="274"/>
      </w:pPr>
      <w:r>
        <w:rPr>
          <w:spacing w:val="-1"/>
        </w:rPr>
        <w:t>The</w:t>
      </w:r>
      <w:r>
        <w:rPr>
          <w:spacing w:val="-16"/>
        </w:rPr>
        <w:t xml:space="preserve"> </w:t>
      </w:r>
      <w:r>
        <w:rPr>
          <w:spacing w:val="-1"/>
        </w:rPr>
        <w:t>Government</w:t>
      </w:r>
      <w:r>
        <w:rPr>
          <w:spacing w:val="-14"/>
        </w:rPr>
        <w:t xml:space="preserve"> </w:t>
      </w:r>
      <w:r>
        <w:rPr>
          <w:spacing w:val="-1"/>
        </w:rPr>
        <w:t>began</w:t>
      </w:r>
      <w:r>
        <w:rPr>
          <w:spacing w:val="-13"/>
        </w:rPr>
        <w:t xml:space="preserve"> </w:t>
      </w:r>
      <w:r>
        <w:t>preparing</w:t>
      </w:r>
      <w:r>
        <w:rPr>
          <w:spacing w:val="-14"/>
        </w:rPr>
        <w:t xml:space="preserve"> </w:t>
      </w:r>
      <w:r>
        <w:t>and</w:t>
      </w:r>
      <w:r>
        <w:rPr>
          <w:spacing w:val="-15"/>
        </w:rPr>
        <w:t xml:space="preserve"> </w:t>
      </w:r>
      <w:r>
        <w:t>implementing</w:t>
      </w:r>
      <w:r>
        <w:rPr>
          <w:spacing w:val="-15"/>
        </w:rPr>
        <w:t xml:space="preserve"> </w:t>
      </w:r>
      <w:r>
        <w:t>epidemiological</w:t>
      </w:r>
      <w:r>
        <w:rPr>
          <w:spacing w:val="-14"/>
        </w:rPr>
        <w:t xml:space="preserve"> </w:t>
      </w:r>
      <w:r>
        <w:t>and</w:t>
      </w:r>
      <w:r>
        <w:rPr>
          <w:spacing w:val="-14"/>
        </w:rPr>
        <w:t xml:space="preserve"> </w:t>
      </w:r>
      <w:r>
        <w:t>other</w:t>
      </w:r>
      <w:r>
        <w:rPr>
          <w:spacing w:val="-16"/>
        </w:rPr>
        <w:t xml:space="preserve"> </w:t>
      </w:r>
      <w:r>
        <w:t>measures</w:t>
      </w:r>
      <w:r>
        <w:rPr>
          <w:spacing w:val="-15"/>
        </w:rPr>
        <w:t xml:space="preserve"> </w:t>
      </w:r>
      <w:r>
        <w:t>aimed</w:t>
      </w:r>
      <w:r>
        <w:rPr>
          <w:spacing w:val="-57"/>
        </w:rPr>
        <w:t xml:space="preserve"> </w:t>
      </w:r>
      <w:r>
        <w:t>at curbing the spread of the COVID-19 epidemic immediately after the first recorded case in</w:t>
      </w:r>
      <w:r>
        <w:rPr>
          <w:spacing w:val="1"/>
        </w:rPr>
        <w:t xml:space="preserve"> </w:t>
      </w:r>
      <w:r>
        <w:t>Croatia (25 February 2020). On 4 March 2020, the Minister of Health issued a Decision</w:t>
      </w:r>
      <w:r>
        <w:rPr>
          <w:spacing w:val="1"/>
        </w:rPr>
        <w:t xml:space="preserve"> </w:t>
      </w:r>
      <w:r>
        <w:t>Declaring an Epidemic Threat, while on 11 March 2020, he promulgated the Decision on</w:t>
      </w:r>
      <w:r>
        <w:rPr>
          <w:spacing w:val="1"/>
        </w:rPr>
        <w:t xml:space="preserve"> </w:t>
      </w:r>
      <w:r>
        <w:t>Declaring the COVID-19 Disease an Epidemic Caused by the SARS-CoV-2 Virus in the</w:t>
      </w:r>
      <w:r>
        <w:rPr>
          <w:spacing w:val="1"/>
        </w:rPr>
        <w:t xml:space="preserve"> </w:t>
      </w:r>
      <w:r>
        <w:t>Republic</w:t>
      </w:r>
      <w:r>
        <w:rPr>
          <w:spacing w:val="-2"/>
        </w:rPr>
        <w:t xml:space="preserve"> </w:t>
      </w:r>
      <w:r>
        <w:t>of Croatia.</w:t>
      </w:r>
    </w:p>
    <w:p w:rsidR="00A56FE9" w:rsidRDefault="00000000">
      <w:pPr>
        <w:pStyle w:val="Tijeloteksta"/>
        <w:spacing w:before="120"/>
        <w:ind w:right="271"/>
      </w:pPr>
      <w:r>
        <w:t>Due to the COVID-19 epidemic in April 2020, the current legal framework was amended, i.e.,</w:t>
      </w:r>
      <w:r>
        <w:rPr>
          <w:spacing w:val="-57"/>
        </w:rPr>
        <w:t xml:space="preserve"> </w:t>
      </w:r>
      <w:r>
        <w:t>amendments to the Act on Protection of the Population Against Infectious Diseases, while the</w:t>
      </w:r>
      <w:r>
        <w:rPr>
          <w:spacing w:val="1"/>
        </w:rPr>
        <w:t xml:space="preserve"> </w:t>
      </w:r>
      <w:r>
        <w:t>amendments to the Act of December 2020 and December 2021 aimed to further strengthen the</w:t>
      </w:r>
      <w:r>
        <w:rPr>
          <w:spacing w:val="-57"/>
        </w:rPr>
        <w:t xml:space="preserve"> </w:t>
      </w:r>
      <w:r>
        <w:t>general</w:t>
      </w:r>
      <w:r>
        <w:rPr>
          <w:spacing w:val="1"/>
        </w:rPr>
        <w:t xml:space="preserve"> </w:t>
      </w:r>
      <w:r>
        <w:t>legislated</w:t>
      </w:r>
      <w:r>
        <w:rPr>
          <w:spacing w:val="1"/>
        </w:rPr>
        <w:t xml:space="preserve"> </w:t>
      </w:r>
      <w:r>
        <w:t>crisis</w:t>
      </w:r>
      <w:r>
        <w:rPr>
          <w:spacing w:val="1"/>
        </w:rPr>
        <w:t xml:space="preserve"> </w:t>
      </w:r>
      <w:r>
        <w:t>management</w:t>
      </w:r>
      <w:r>
        <w:rPr>
          <w:spacing w:val="1"/>
        </w:rPr>
        <w:t xml:space="preserve"> </w:t>
      </w:r>
      <w:r>
        <w:t>model,</w:t>
      </w:r>
      <w:r>
        <w:rPr>
          <w:spacing w:val="1"/>
        </w:rPr>
        <w:t xml:space="preserve"> </w:t>
      </w:r>
      <w:r>
        <w:t>adapted</w:t>
      </w:r>
      <w:r>
        <w:rPr>
          <w:spacing w:val="1"/>
        </w:rPr>
        <w:t xml:space="preserve"> </w:t>
      </w:r>
      <w:r>
        <w:t>to</w:t>
      </w:r>
      <w:r>
        <w:rPr>
          <w:spacing w:val="1"/>
        </w:rPr>
        <w:t xml:space="preserve"> </w:t>
      </w:r>
      <w:r>
        <w:t>the</w:t>
      </w:r>
      <w:r>
        <w:rPr>
          <w:spacing w:val="1"/>
        </w:rPr>
        <w:t xml:space="preserve"> </w:t>
      </w:r>
      <w:r>
        <w:t>severity</w:t>
      </w:r>
      <w:r>
        <w:rPr>
          <w:spacing w:val="1"/>
        </w:rPr>
        <w:t xml:space="preserve"> </w:t>
      </w:r>
      <w:r>
        <w:t>and</w:t>
      </w:r>
      <w:r>
        <w:rPr>
          <w:spacing w:val="1"/>
        </w:rPr>
        <w:t xml:space="preserve"> </w:t>
      </w:r>
      <w:r>
        <w:t>urgency of</w:t>
      </w:r>
      <w:r>
        <w:rPr>
          <w:spacing w:val="1"/>
        </w:rPr>
        <w:t xml:space="preserve"> </w:t>
      </w:r>
      <w:r>
        <w:t>the</w:t>
      </w:r>
      <w:r>
        <w:rPr>
          <w:spacing w:val="1"/>
        </w:rPr>
        <w:t xml:space="preserve"> </w:t>
      </w:r>
      <w:r>
        <w:rPr>
          <w:spacing w:val="-1"/>
        </w:rPr>
        <w:t>pandemic</w:t>
      </w:r>
      <w:r>
        <w:rPr>
          <w:spacing w:val="-13"/>
        </w:rPr>
        <w:t xml:space="preserve"> </w:t>
      </w:r>
      <w:r>
        <w:rPr>
          <w:spacing w:val="-1"/>
        </w:rPr>
        <w:t>and/or</w:t>
      </w:r>
      <w:r>
        <w:rPr>
          <w:spacing w:val="-13"/>
        </w:rPr>
        <w:t xml:space="preserve"> </w:t>
      </w:r>
      <w:r>
        <w:t>epidemic</w:t>
      </w:r>
      <w:r>
        <w:rPr>
          <w:spacing w:val="-12"/>
        </w:rPr>
        <w:t xml:space="preserve"> </w:t>
      </w:r>
      <w:r>
        <w:t>as</w:t>
      </w:r>
      <w:r>
        <w:rPr>
          <w:spacing w:val="-12"/>
        </w:rPr>
        <w:t xml:space="preserve"> </w:t>
      </w:r>
      <w:r>
        <w:t>characterized</w:t>
      </w:r>
      <w:r>
        <w:rPr>
          <w:spacing w:val="-12"/>
        </w:rPr>
        <w:t xml:space="preserve"> </w:t>
      </w:r>
      <w:r>
        <w:t>by</w:t>
      </w:r>
      <w:r>
        <w:rPr>
          <w:spacing w:val="-17"/>
        </w:rPr>
        <w:t xml:space="preserve"> </w:t>
      </w:r>
      <w:r>
        <w:t>rapid</w:t>
      </w:r>
      <w:r>
        <w:rPr>
          <w:spacing w:val="-11"/>
        </w:rPr>
        <w:t xml:space="preserve"> </w:t>
      </w:r>
      <w:r>
        <w:t>and</w:t>
      </w:r>
      <w:r>
        <w:rPr>
          <w:spacing w:val="-12"/>
        </w:rPr>
        <w:t xml:space="preserve"> </w:t>
      </w:r>
      <w:r>
        <w:t>unpredictable</w:t>
      </w:r>
      <w:r>
        <w:rPr>
          <w:spacing w:val="-13"/>
        </w:rPr>
        <w:t xml:space="preserve"> </w:t>
      </w:r>
      <w:r>
        <w:t>changes</w:t>
      </w:r>
      <w:r>
        <w:rPr>
          <w:spacing w:val="-12"/>
        </w:rPr>
        <w:t xml:space="preserve"> </w:t>
      </w:r>
      <w:r>
        <w:t>and</w:t>
      </w:r>
      <w:r>
        <w:rPr>
          <w:spacing w:val="-12"/>
        </w:rPr>
        <w:t xml:space="preserve"> </w:t>
      </w:r>
      <w:r>
        <w:t>the</w:t>
      </w:r>
      <w:r>
        <w:rPr>
          <w:spacing w:val="-13"/>
        </w:rPr>
        <w:t xml:space="preserve"> </w:t>
      </w:r>
      <w:r>
        <w:t>constant</w:t>
      </w:r>
      <w:r>
        <w:rPr>
          <w:spacing w:val="-57"/>
        </w:rPr>
        <w:t xml:space="preserve"> </w:t>
      </w:r>
      <w:r>
        <w:t>danger</w:t>
      </w:r>
      <w:r>
        <w:rPr>
          <w:spacing w:val="-7"/>
        </w:rPr>
        <w:t xml:space="preserve"> </w:t>
      </w:r>
      <w:r>
        <w:t>of</w:t>
      </w:r>
      <w:r>
        <w:rPr>
          <w:spacing w:val="-5"/>
        </w:rPr>
        <w:t xml:space="preserve"> </w:t>
      </w:r>
      <w:r>
        <w:t>an</w:t>
      </w:r>
      <w:r>
        <w:rPr>
          <w:spacing w:val="-5"/>
        </w:rPr>
        <w:t xml:space="preserve"> </w:t>
      </w:r>
      <w:r>
        <w:t>exponential</w:t>
      </w:r>
      <w:r>
        <w:rPr>
          <w:spacing w:val="-5"/>
        </w:rPr>
        <w:t xml:space="preserve"> </w:t>
      </w:r>
      <w:r>
        <w:t>increase</w:t>
      </w:r>
      <w:r>
        <w:rPr>
          <w:spacing w:val="-7"/>
        </w:rPr>
        <w:t xml:space="preserve"> </w:t>
      </w:r>
      <w:r>
        <w:t>in</w:t>
      </w:r>
      <w:r>
        <w:rPr>
          <w:spacing w:val="-5"/>
        </w:rPr>
        <w:t xml:space="preserve"> </w:t>
      </w:r>
      <w:r>
        <w:t>the</w:t>
      </w:r>
      <w:r>
        <w:rPr>
          <w:spacing w:val="-7"/>
        </w:rPr>
        <w:t xml:space="preserve"> </w:t>
      </w:r>
      <w:r>
        <w:t>number</w:t>
      </w:r>
      <w:r>
        <w:rPr>
          <w:spacing w:val="-7"/>
        </w:rPr>
        <w:t xml:space="preserve"> </w:t>
      </w:r>
      <w:r>
        <w:t>of</w:t>
      </w:r>
      <w:r>
        <w:rPr>
          <w:spacing w:val="-4"/>
        </w:rPr>
        <w:t xml:space="preserve"> </w:t>
      </w:r>
      <w:r>
        <w:t>patients,</w:t>
      </w:r>
      <w:r>
        <w:rPr>
          <w:spacing w:val="-5"/>
        </w:rPr>
        <w:t xml:space="preserve"> </w:t>
      </w:r>
      <w:r>
        <w:t>such</w:t>
      </w:r>
      <w:r>
        <w:rPr>
          <w:spacing w:val="-6"/>
        </w:rPr>
        <w:t xml:space="preserve"> </w:t>
      </w:r>
      <w:r>
        <w:t>that</w:t>
      </w:r>
      <w:r>
        <w:rPr>
          <w:spacing w:val="-5"/>
        </w:rPr>
        <w:t xml:space="preserve"> </w:t>
      </w:r>
      <w:r>
        <w:t>the</w:t>
      </w:r>
      <w:r>
        <w:rPr>
          <w:spacing w:val="-7"/>
        </w:rPr>
        <w:t xml:space="preserve"> </w:t>
      </w:r>
      <w:r>
        <w:t>institutional</w:t>
      </w:r>
      <w:r>
        <w:rPr>
          <w:spacing w:val="-6"/>
        </w:rPr>
        <w:t xml:space="preserve"> </w:t>
      </w:r>
      <w:r>
        <w:t>model</w:t>
      </w:r>
      <w:r>
        <w:rPr>
          <w:spacing w:val="-4"/>
        </w:rPr>
        <w:t xml:space="preserve"> </w:t>
      </w:r>
      <w:r>
        <w:t>or</w:t>
      </w:r>
      <w:r>
        <w:rPr>
          <w:spacing w:val="-58"/>
        </w:rPr>
        <w:t xml:space="preserve"> </w:t>
      </w:r>
      <w:r>
        <w:t>organised to enable rapid implementation and realisation of two basic principles of action and</w:t>
      </w:r>
      <w:r>
        <w:rPr>
          <w:spacing w:val="1"/>
        </w:rPr>
        <w:t xml:space="preserve"> </w:t>
      </w:r>
      <w:r>
        <w:rPr>
          <w:spacing w:val="-1"/>
        </w:rPr>
        <w:t>decision-making</w:t>
      </w:r>
      <w:r>
        <w:rPr>
          <w:spacing w:val="-15"/>
        </w:rPr>
        <w:t xml:space="preserve"> </w:t>
      </w:r>
      <w:r>
        <w:t>during</w:t>
      </w:r>
      <w:r>
        <w:rPr>
          <w:spacing w:val="-13"/>
        </w:rPr>
        <w:t xml:space="preserve"> </w:t>
      </w:r>
      <w:r>
        <w:t>the</w:t>
      </w:r>
      <w:r>
        <w:rPr>
          <w:spacing w:val="-8"/>
        </w:rPr>
        <w:t xml:space="preserve"> </w:t>
      </w:r>
      <w:r>
        <w:t>global</w:t>
      </w:r>
      <w:r>
        <w:rPr>
          <w:spacing w:val="-11"/>
        </w:rPr>
        <w:t xml:space="preserve"> </w:t>
      </w:r>
      <w:r>
        <w:t>pandemic</w:t>
      </w:r>
      <w:r>
        <w:rPr>
          <w:spacing w:val="-12"/>
        </w:rPr>
        <w:t xml:space="preserve"> </w:t>
      </w:r>
      <w:r>
        <w:t>and</w:t>
      </w:r>
      <w:r>
        <w:rPr>
          <w:spacing w:val="-11"/>
        </w:rPr>
        <w:t xml:space="preserve"> </w:t>
      </w:r>
      <w:r>
        <w:t>national</w:t>
      </w:r>
      <w:r>
        <w:rPr>
          <w:spacing w:val="-10"/>
        </w:rPr>
        <w:t xml:space="preserve"> </w:t>
      </w:r>
      <w:r>
        <w:t>epidemic.</w:t>
      </w:r>
      <w:r>
        <w:rPr>
          <w:spacing w:val="-12"/>
        </w:rPr>
        <w:t xml:space="preserve"> </w:t>
      </w:r>
      <w:r>
        <w:t>These</w:t>
      </w:r>
      <w:r>
        <w:rPr>
          <w:spacing w:val="-12"/>
        </w:rPr>
        <w:t xml:space="preserve"> </w:t>
      </w:r>
      <w:r>
        <w:t>include</w:t>
      </w:r>
      <w:r>
        <w:rPr>
          <w:spacing w:val="-11"/>
        </w:rPr>
        <w:t xml:space="preserve"> </w:t>
      </w:r>
      <w:r>
        <w:t>the</w:t>
      </w:r>
      <w:r>
        <w:rPr>
          <w:spacing w:val="-12"/>
        </w:rPr>
        <w:t xml:space="preserve"> </w:t>
      </w:r>
      <w:r>
        <w:t>principle</w:t>
      </w:r>
      <w:r>
        <w:rPr>
          <w:spacing w:val="-58"/>
        </w:rPr>
        <w:t xml:space="preserve"> </w:t>
      </w:r>
      <w:r>
        <w:t>of</w:t>
      </w:r>
      <w:r>
        <w:rPr>
          <w:spacing w:val="-1"/>
        </w:rPr>
        <w:t xml:space="preserve"> </w:t>
      </w:r>
      <w:r>
        <w:t>effectiveness</w:t>
      </w:r>
      <w:r>
        <w:rPr>
          <w:spacing w:val="2"/>
        </w:rPr>
        <w:t xml:space="preserve"> </w:t>
      </w:r>
      <w:r>
        <w:t>and the principle</w:t>
      </w:r>
      <w:r>
        <w:rPr>
          <w:spacing w:val="-1"/>
        </w:rPr>
        <w:t xml:space="preserve"> </w:t>
      </w:r>
      <w:r>
        <w:t>of</w:t>
      </w:r>
      <w:r>
        <w:rPr>
          <w:spacing w:val="-1"/>
        </w:rPr>
        <w:t xml:space="preserve"> </w:t>
      </w:r>
      <w:r>
        <w:t>proportionality.</w:t>
      </w:r>
    </w:p>
    <w:p w:rsidR="00A56FE9" w:rsidRDefault="00000000">
      <w:pPr>
        <w:pStyle w:val="Tijeloteksta"/>
        <w:spacing w:before="121"/>
        <w:ind w:right="271"/>
      </w:pPr>
      <w:r>
        <w:rPr>
          <w:spacing w:val="-1"/>
        </w:rPr>
        <w:t>Throughout</w:t>
      </w:r>
      <w:r>
        <w:rPr>
          <w:spacing w:val="-14"/>
        </w:rPr>
        <w:t xml:space="preserve"> </w:t>
      </w:r>
      <w:r>
        <w:t>the</w:t>
      </w:r>
      <w:r>
        <w:rPr>
          <w:spacing w:val="-15"/>
        </w:rPr>
        <w:t xml:space="preserve"> </w:t>
      </w:r>
      <w:r>
        <w:t>epidemic,</w:t>
      </w:r>
      <w:r>
        <w:rPr>
          <w:spacing w:val="-14"/>
        </w:rPr>
        <w:t xml:space="preserve"> </w:t>
      </w:r>
      <w:r>
        <w:t>the</w:t>
      </w:r>
      <w:r>
        <w:rPr>
          <w:spacing w:val="-15"/>
        </w:rPr>
        <w:t xml:space="preserve"> </w:t>
      </w:r>
      <w:r>
        <w:t>health</w:t>
      </w:r>
      <w:r>
        <w:rPr>
          <w:spacing w:val="-15"/>
        </w:rPr>
        <w:t xml:space="preserve"> </w:t>
      </w:r>
      <w:r>
        <w:t>system</w:t>
      </w:r>
      <w:r>
        <w:rPr>
          <w:spacing w:val="-14"/>
        </w:rPr>
        <w:t xml:space="preserve"> </w:t>
      </w:r>
      <w:r>
        <w:t>responded</w:t>
      </w:r>
      <w:r>
        <w:rPr>
          <w:spacing w:val="-15"/>
        </w:rPr>
        <w:t xml:space="preserve"> </w:t>
      </w:r>
      <w:r>
        <w:t>adequately</w:t>
      </w:r>
      <w:r>
        <w:rPr>
          <w:spacing w:val="-19"/>
        </w:rPr>
        <w:t xml:space="preserve"> </w:t>
      </w:r>
      <w:r>
        <w:t>to</w:t>
      </w:r>
      <w:r>
        <w:rPr>
          <w:spacing w:val="-14"/>
        </w:rPr>
        <w:t xml:space="preserve"> </w:t>
      </w:r>
      <w:r>
        <w:t>all</w:t>
      </w:r>
      <w:r>
        <w:rPr>
          <w:spacing w:val="-13"/>
        </w:rPr>
        <w:t xml:space="preserve"> </w:t>
      </w:r>
      <w:r>
        <w:t>challenges.</w:t>
      </w:r>
      <w:r>
        <w:rPr>
          <w:spacing w:val="-15"/>
        </w:rPr>
        <w:t xml:space="preserve"> </w:t>
      </w:r>
      <w:r>
        <w:t>A</w:t>
      </w:r>
      <w:r>
        <w:rPr>
          <w:spacing w:val="-14"/>
        </w:rPr>
        <w:t xml:space="preserve"> </w:t>
      </w:r>
      <w:r>
        <w:t>sufficient</w:t>
      </w:r>
      <w:r>
        <w:rPr>
          <w:spacing w:val="-58"/>
        </w:rPr>
        <w:t xml:space="preserve"> </w:t>
      </w:r>
      <w:r>
        <w:t>number</w:t>
      </w:r>
      <w:r>
        <w:rPr>
          <w:spacing w:val="1"/>
        </w:rPr>
        <w:t xml:space="preserve"> </w:t>
      </w:r>
      <w:r>
        <w:t>of</w:t>
      </w:r>
      <w:r>
        <w:rPr>
          <w:spacing w:val="1"/>
        </w:rPr>
        <w:t xml:space="preserve"> </w:t>
      </w:r>
      <w:r>
        <w:t>qualified</w:t>
      </w:r>
      <w:r>
        <w:rPr>
          <w:spacing w:val="1"/>
        </w:rPr>
        <w:t xml:space="preserve"> </w:t>
      </w:r>
      <w:r>
        <w:t>health</w:t>
      </w:r>
      <w:r>
        <w:rPr>
          <w:spacing w:val="1"/>
        </w:rPr>
        <w:t xml:space="preserve"> </w:t>
      </w:r>
      <w:r>
        <w:t>workers,</w:t>
      </w:r>
      <w:r>
        <w:rPr>
          <w:spacing w:val="1"/>
        </w:rPr>
        <w:t xml:space="preserve"> </w:t>
      </w:r>
      <w:r>
        <w:t>hospital</w:t>
      </w:r>
      <w:r>
        <w:rPr>
          <w:spacing w:val="1"/>
        </w:rPr>
        <w:t xml:space="preserve"> </w:t>
      </w:r>
      <w:r>
        <w:t>bed</w:t>
      </w:r>
      <w:r>
        <w:rPr>
          <w:spacing w:val="1"/>
        </w:rPr>
        <w:t xml:space="preserve"> </w:t>
      </w:r>
      <w:r>
        <w:t>capacities</w:t>
      </w:r>
      <w:r>
        <w:rPr>
          <w:spacing w:val="1"/>
        </w:rPr>
        <w:t xml:space="preserve"> </w:t>
      </w:r>
      <w:r>
        <w:t>and</w:t>
      </w:r>
      <w:r>
        <w:rPr>
          <w:spacing w:val="1"/>
        </w:rPr>
        <w:t xml:space="preserve"> </w:t>
      </w:r>
      <w:r>
        <w:t>medical-technological</w:t>
      </w:r>
      <w:r>
        <w:rPr>
          <w:spacing w:val="1"/>
        </w:rPr>
        <w:t xml:space="preserve"> </w:t>
      </w:r>
      <w:r>
        <w:t>equipment have been provided. The Ministry of Health has continuously issued instructions</w:t>
      </w:r>
      <w:r>
        <w:rPr>
          <w:spacing w:val="1"/>
        </w:rPr>
        <w:t xml:space="preserve"> </w:t>
      </w:r>
      <w:r>
        <w:t>related to organising continual health care, especially in the care of emergency, priority and</w:t>
      </w:r>
      <w:r>
        <w:rPr>
          <w:spacing w:val="1"/>
        </w:rPr>
        <w:t xml:space="preserve"> </w:t>
      </w:r>
      <w:r>
        <w:t>oncological</w:t>
      </w:r>
      <w:r>
        <w:rPr>
          <w:spacing w:val="-13"/>
        </w:rPr>
        <w:t xml:space="preserve"> </w:t>
      </w:r>
      <w:r>
        <w:t>patients.</w:t>
      </w:r>
      <w:r>
        <w:rPr>
          <w:spacing w:val="-13"/>
        </w:rPr>
        <w:t xml:space="preserve"> </w:t>
      </w:r>
      <w:r>
        <w:t>The</w:t>
      </w:r>
      <w:r>
        <w:rPr>
          <w:spacing w:val="-12"/>
        </w:rPr>
        <w:t xml:space="preserve"> </w:t>
      </w:r>
      <w:r>
        <w:t>organising</w:t>
      </w:r>
      <w:r>
        <w:rPr>
          <w:spacing w:val="-14"/>
        </w:rPr>
        <w:t xml:space="preserve"> </w:t>
      </w:r>
      <w:r>
        <w:t>of</w:t>
      </w:r>
      <w:r>
        <w:rPr>
          <w:spacing w:val="-14"/>
        </w:rPr>
        <w:t xml:space="preserve"> </w:t>
      </w:r>
      <w:r>
        <w:t>health</w:t>
      </w:r>
      <w:r>
        <w:rPr>
          <w:spacing w:val="-13"/>
        </w:rPr>
        <w:t xml:space="preserve"> </w:t>
      </w:r>
      <w:r>
        <w:t>workers</w:t>
      </w:r>
      <w:r>
        <w:rPr>
          <w:spacing w:val="-13"/>
        </w:rPr>
        <w:t xml:space="preserve"> </w:t>
      </w:r>
      <w:r>
        <w:t>is</w:t>
      </w:r>
      <w:r>
        <w:rPr>
          <w:spacing w:val="-12"/>
        </w:rPr>
        <w:t xml:space="preserve"> </w:t>
      </w:r>
      <w:r>
        <w:t>done</w:t>
      </w:r>
      <w:r>
        <w:rPr>
          <w:spacing w:val="-14"/>
        </w:rPr>
        <w:t xml:space="preserve"> </w:t>
      </w:r>
      <w:r>
        <w:t>so</w:t>
      </w:r>
      <w:r>
        <w:rPr>
          <w:spacing w:val="-13"/>
        </w:rPr>
        <w:t xml:space="preserve"> </w:t>
      </w:r>
      <w:r>
        <w:t>as</w:t>
      </w:r>
      <w:r>
        <w:rPr>
          <w:spacing w:val="-12"/>
        </w:rPr>
        <w:t xml:space="preserve"> </w:t>
      </w:r>
      <w:r>
        <w:t>to</w:t>
      </w:r>
      <w:r>
        <w:rPr>
          <w:spacing w:val="-13"/>
        </w:rPr>
        <w:t xml:space="preserve"> </w:t>
      </w:r>
      <w:r>
        <w:t>increase</w:t>
      </w:r>
      <w:r>
        <w:rPr>
          <w:spacing w:val="-14"/>
        </w:rPr>
        <w:t xml:space="preserve"> </w:t>
      </w:r>
      <w:r>
        <w:t>their</w:t>
      </w:r>
      <w:r>
        <w:rPr>
          <w:spacing w:val="-13"/>
        </w:rPr>
        <w:t xml:space="preserve"> </w:t>
      </w:r>
      <w:r>
        <w:t>availability</w:t>
      </w:r>
      <w:r>
        <w:rPr>
          <w:spacing w:val="-58"/>
        </w:rPr>
        <w:t xml:space="preserve"> </w:t>
      </w:r>
      <w:r>
        <w:t>and</w:t>
      </w:r>
      <w:r>
        <w:rPr>
          <w:spacing w:val="-1"/>
        </w:rPr>
        <w:t xml:space="preserve"> </w:t>
      </w:r>
      <w:r>
        <w:t>ensure</w:t>
      </w:r>
      <w:r>
        <w:rPr>
          <w:spacing w:val="-2"/>
        </w:rPr>
        <w:t xml:space="preserve"> </w:t>
      </w:r>
      <w:r>
        <w:t>the</w:t>
      </w:r>
      <w:r>
        <w:rPr>
          <w:spacing w:val="-1"/>
        </w:rPr>
        <w:t xml:space="preserve"> </w:t>
      </w:r>
      <w:r>
        <w:t>resilience</w:t>
      </w:r>
      <w:r>
        <w:rPr>
          <w:spacing w:val="1"/>
        </w:rPr>
        <w:t xml:space="preserve"> </w:t>
      </w:r>
      <w:r>
        <w:t>of the</w:t>
      </w:r>
      <w:r>
        <w:rPr>
          <w:spacing w:val="-2"/>
        </w:rPr>
        <w:t xml:space="preserve"> </w:t>
      </w:r>
      <w:r>
        <w:t>entire</w:t>
      </w:r>
      <w:r>
        <w:rPr>
          <w:spacing w:val="-2"/>
        </w:rPr>
        <w:t xml:space="preserve"> </w:t>
      </w:r>
      <w:r>
        <w:t>health system.</w:t>
      </w:r>
    </w:p>
    <w:p w:rsidR="00A56FE9" w:rsidRDefault="00000000">
      <w:pPr>
        <w:pStyle w:val="Tijeloteksta"/>
        <w:spacing w:before="120"/>
        <w:ind w:right="272"/>
      </w:pPr>
      <w:r>
        <w:t>The epidemic has also shown a direct link between public health and the health of the national</w:t>
      </w:r>
      <w:r>
        <w:rPr>
          <w:spacing w:val="-57"/>
        </w:rPr>
        <w:t xml:space="preserve"> </w:t>
      </w:r>
      <w:r>
        <w:t>economy.</w:t>
      </w:r>
      <w:r>
        <w:rPr>
          <w:spacing w:val="-3"/>
        </w:rPr>
        <w:t xml:space="preserve"> </w:t>
      </w:r>
      <w:r>
        <w:t>The</w:t>
      </w:r>
      <w:r>
        <w:rPr>
          <w:spacing w:val="-2"/>
        </w:rPr>
        <w:t xml:space="preserve"> </w:t>
      </w:r>
      <w:r>
        <w:t>new</w:t>
      </w:r>
      <w:r>
        <w:rPr>
          <w:spacing w:val="-3"/>
        </w:rPr>
        <w:t xml:space="preserve"> </w:t>
      </w:r>
      <w:r>
        <w:t>situation has</w:t>
      </w:r>
      <w:r>
        <w:rPr>
          <w:spacing w:val="-3"/>
        </w:rPr>
        <w:t xml:space="preserve"> </w:t>
      </w:r>
      <w:r>
        <w:t>additionally</w:t>
      </w:r>
      <w:r>
        <w:rPr>
          <w:spacing w:val="-7"/>
        </w:rPr>
        <w:t xml:space="preserve"> </w:t>
      </w:r>
      <w:r>
        <w:t>pointed</w:t>
      </w:r>
      <w:r>
        <w:rPr>
          <w:spacing w:val="-3"/>
        </w:rPr>
        <w:t xml:space="preserve"> </w:t>
      </w:r>
      <w:r>
        <w:t>out</w:t>
      </w:r>
      <w:r>
        <w:rPr>
          <w:spacing w:val="-2"/>
        </w:rPr>
        <w:t xml:space="preserve"> </w:t>
      </w:r>
      <w:r>
        <w:t>the</w:t>
      </w:r>
      <w:r>
        <w:rPr>
          <w:spacing w:val="-1"/>
        </w:rPr>
        <w:t xml:space="preserve"> </w:t>
      </w:r>
      <w:r>
        <w:t>need</w:t>
      </w:r>
      <w:r>
        <w:rPr>
          <w:spacing w:val="-1"/>
        </w:rPr>
        <w:t xml:space="preserve"> </w:t>
      </w:r>
      <w:r>
        <w:t>for</w:t>
      </w:r>
      <w:r>
        <w:rPr>
          <w:spacing w:val="-1"/>
        </w:rPr>
        <w:t xml:space="preserve"> </w:t>
      </w:r>
      <w:r>
        <w:t>the</w:t>
      </w:r>
      <w:r>
        <w:rPr>
          <w:spacing w:val="-3"/>
        </w:rPr>
        <w:t xml:space="preserve"> </w:t>
      </w:r>
      <w:r>
        <w:t>health</w:t>
      </w:r>
      <w:r>
        <w:rPr>
          <w:spacing w:val="-3"/>
        </w:rPr>
        <w:t xml:space="preserve"> </w:t>
      </w:r>
      <w:r>
        <w:t>care</w:t>
      </w:r>
      <w:r>
        <w:rPr>
          <w:spacing w:val="-4"/>
        </w:rPr>
        <w:t xml:space="preserve"> </w:t>
      </w:r>
      <w:r>
        <w:t>system</w:t>
      </w:r>
      <w:r>
        <w:rPr>
          <w:spacing w:val="4"/>
        </w:rPr>
        <w:t xml:space="preserve"> </w:t>
      </w:r>
      <w:r>
        <w:t>to</w:t>
      </w:r>
      <w:r>
        <w:rPr>
          <w:spacing w:val="-57"/>
        </w:rPr>
        <w:t xml:space="preserve"> </w:t>
      </w:r>
      <w:r>
        <w:t>be</w:t>
      </w:r>
      <w:r>
        <w:rPr>
          <w:spacing w:val="-7"/>
        </w:rPr>
        <w:t xml:space="preserve"> </w:t>
      </w:r>
      <w:r>
        <w:t>sustainable.</w:t>
      </w:r>
      <w:r>
        <w:rPr>
          <w:spacing w:val="-4"/>
        </w:rPr>
        <w:t xml:space="preserve"> </w:t>
      </w:r>
      <w:r>
        <w:t>Hence,</w:t>
      </w:r>
      <w:r>
        <w:rPr>
          <w:spacing w:val="-3"/>
        </w:rPr>
        <w:t xml:space="preserve"> </w:t>
      </w:r>
      <w:r>
        <w:t>a</w:t>
      </w:r>
      <w:r>
        <w:rPr>
          <w:spacing w:val="-4"/>
        </w:rPr>
        <w:t xml:space="preserve"> </w:t>
      </w:r>
      <w:r>
        <w:t>proposal</w:t>
      </w:r>
      <w:r>
        <w:rPr>
          <w:spacing w:val="-6"/>
        </w:rPr>
        <w:t xml:space="preserve"> </w:t>
      </w:r>
      <w:r>
        <w:t>for</w:t>
      </w:r>
      <w:r>
        <w:rPr>
          <w:spacing w:val="-6"/>
        </w:rPr>
        <w:t xml:space="preserve"> </w:t>
      </w:r>
      <w:r>
        <w:t>health</w:t>
      </w:r>
      <w:r>
        <w:rPr>
          <w:spacing w:val="-5"/>
        </w:rPr>
        <w:t xml:space="preserve"> </w:t>
      </w:r>
      <w:r>
        <w:t>care</w:t>
      </w:r>
      <w:r>
        <w:rPr>
          <w:spacing w:val="-6"/>
        </w:rPr>
        <w:t xml:space="preserve"> </w:t>
      </w:r>
      <w:r>
        <w:t>reform</w:t>
      </w:r>
      <w:r>
        <w:rPr>
          <w:spacing w:val="-6"/>
        </w:rPr>
        <w:t xml:space="preserve"> </w:t>
      </w:r>
      <w:r>
        <w:t>was</w:t>
      </w:r>
      <w:r>
        <w:rPr>
          <w:spacing w:val="-6"/>
        </w:rPr>
        <w:t xml:space="preserve"> </w:t>
      </w:r>
      <w:r>
        <w:t>drafted,</w:t>
      </w:r>
      <w:r>
        <w:rPr>
          <w:spacing w:val="-3"/>
        </w:rPr>
        <w:t xml:space="preserve"> </w:t>
      </w:r>
      <w:r>
        <w:t>defining</w:t>
      </w:r>
      <w:r>
        <w:rPr>
          <w:spacing w:val="-5"/>
        </w:rPr>
        <w:t xml:space="preserve"> </w:t>
      </w:r>
      <w:r>
        <w:t>reform</w:t>
      </w:r>
      <w:r>
        <w:rPr>
          <w:spacing w:val="-7"/>
        </w:rPr>
        <w:t xml:space="preserve"> </w:t>
      </w:r>
      <w:r>
        <w:t>areas</w:t>
      </w:r>
      <w:r>
        <w:rPr>
          <w:spacing w:val="-3"/>
        </w:rPr>
        <w:t xml:space="preserve"> </w:t>
      </w:r>
      <w:r>
        <w:t>and</w:t>
      </w:r>
      <w:r>
        <w:rPr>
          <w:spacing w:val="-58"/>
        </w:rPr>
        <w:t xml:space="preserve"> </w:t>
      </w:r>
      <w:r>
        <w:t>reform</w:t>
      </w:r>
      <w:r>
        <w:rPr>
          <w:spacing w:val="-1"/>
        </w:rPr>
        <w:t xml:space="preserve"> </w:t>
      </w:r>
      <w:r>
        <w:t>measures.</w:t>
      </w:r>
    </w:p>
    <w:p w:rsidR="00A56FE9" w:rsidRDefault="00A56FE9">
      <w:pPr>
        <w:sectPr w:rsidR="00A56FE9" w:rsidSect="00AB1E70">
          <w:pgSz w:w="11910" w:h="16840"/>
          <w:pgMar w:top="1340" w:right="1140" w:bottom="960" w:left="1280" w:header="0" w:footer="779" w:gutter="0"/>
          <w:cols w:space="720"/>
        </w:sectPr>
      </w:pPr>
    </w:p>
    <w:p w:rsidR="00A56FE9" w:rsidRDefault="00000000">
      <w:pPr>
        <w:pStyle w:val="Tijeloteksta"/>
        <w:spacing w:before="74"/>
        <w:ind w:right="275"/>
      </w:pPr>
      <w:r>
        <w:t>In 2021, an umbrella sectoral strategic document was adopted called the 2021-2027 National</w:t>
      </w:r>
      <w:r>
        <w:rPr>
          <w:spacing w:val="1"/>
        </w:rPr>
        <w:t xml:space="preserve"> </w:t>
      </w:r>
      <w:r>
        <w:t>Healthcare Development Plan, setting specific objectives, measures, projects and activities to</w:t>
      </w:r>
      <w:r>
        <w:rPr>
          <w:spacing w:val="1"/>
        </w:rPr>
        <w:t xml:space="preserve"> </w:t>
      </w:r>
      <w:r>
        <w:t>be</w:t>
      </w:r>
      <w:r>
        <w:rPr>
          <w:spacing w:val="-10"/>
        </w:rPr>
        <w:t xml:space="preserve"> </w:t>
      </w:r>
      <w:r>
        <w:t>implemented</w:t>
      </w:r>
      <w:r>
        <w:rPr>
          <w:spacing w:val="-8"/>
        </w:rPr>
        <w:t xml:space="preserve"> </w:t>
      </w:r>
      <w:r>
        <w:t>under</w:t>
      </w:r>
      <w:r>
        <w:rPr>
          <w:spacing w:val="-8"/>
        </w:rPr>
        <w:t xml:space="preserve"> </w:t>
      </w:r>
      <w:r>
        <w:t>the</w:t>
      </w:r>
      <w:r>
        <w:rPr>
          <w:spacing w:val="-10"/>
        </w:rPr>
        <w:t xml:space="preserve"> </w:t>
      </w:r>
      <w:r>
        <w:t>auspices</w:t>
      </w:r>
      <w:r>
        <w:rPr>
          <w:spacing w:val="-7"/>
        </w:rPr>
        <w:t xml:space="preserve"> </w:t>
      </w:r>
      <w:r>
        <w:t>of</w:t>
      </w:r>
      <w:r>
        <w:rPr>
          <w:spacing w:val="-8"/>
        </w:rPr>
        <w:t xml:space="preserve"> </w:t>
      </w:r>
      <w:r>
        <w:t>the</w:t>
      </w:r>
      <w:r>
        <w:rPr>
          <w:spacing w:val="-6"/>
        </w:rPr>
        <w:t xml:space="preserve"> </w:t>
      </w:r>
      <w:r>
        <w:t>Ministry</w:t>
      </w:r>
      <w:r>
        <w:rPr>
          <w:spacing w:val="-10"/>
        </w:rPr>
        <w:t xml:space="preserve"> </w:t>
      </w:r>
      <w:r>
        <w:t>of</w:t>
      </w:r>
      <w:r>
        <w:rPr>
          <w:spacing w:val="-8"/>
        </w:rPr>
        <w:t xml:space="preserve"> </w:t>
      </w:r>
      <w:r>
        <w:t>Health</w:t>
      </w:r>
      <w:r>
        <w:rPr>
          <w:spacing w:val="-8"/>
        </w:rPr>
        <w:t xml:space="preserve"> </w:t>
      </w:r>
      <w:r>
        <w:t>and</w:t>
      </w:r>
      <w:r>
        <w:rPr>
          <w:spacing w:val="-5"/>
        </w:rPr>
        <w:t xml:space="preserve"> </w:t>
      </w:r>
      <w:r>
        <w:t>aimed</w:t>
      </w:r>
      <w:r>
        <w:rPr>
          <w:spacing w:val="-9"/>
        </w:rPr>
        <w:t xml:space="preserve"> </w:t>
      </w:r>
      <w:r>
        <w:t>at</w:t>
      </w:r>
      <w:r>
        <w:rPr>
          <w:spacing w:val="-6"/>
        </w:rPr>
        <w:t xml:space="preserve"> </w:t>
      </w:r>
      <w:r>
        <w:t>improving</w:t>
      </w:r>
      <w:r>
        <w:rPr>
          <w:spacing w:val="-10"/>
        </w:rPr>
        <w:t xml:space="preserve"> </w:t>
      </w:r>
      <w:r>
        <w:t>the</w:t>
      </w:r>
      <w:r>
        <w:rPr>
          <w:spacing w:val="-9"/>
        </w:rPr>
        <w:t xml:space="preserve"> </w:t>
      </w:r>
      <w:r>
        <w:t>health</w:t>
      </w:r>
      <w:r>
        <w:rPr>
          <w:spacing w:val="-57"/>
        </w:rPr>
        <w:t xml:space="preserve"> </w:t>
      </w:r>
      <w:r>
        <w:t>system</w:t>
      </w:r>
      <w:r>
        <w:rPr>
          <w:spacing w:val="-1"/>
        </w:rPr>
        <w:t xml:space="preserve"> </w:t>
      </w:r>
      <w:r>
        <w:t>and health outcomes of</w:t>
      </w:r>
      <w:r>
        <w:rPr>
          <w:spacing w:val="-1"/>
        </w:rPr>
        <w:t xml:space="preserve"> </w:t>
      </w:r>
      <w:r>
        <w:t>the population.</w:t>
      </w:r>
    </w:p>
    <w:p w:rsidR="00A56FE9" w:rsidRDefault="00000000">
      <w:pPr>
        <w:pStyle w:val="Tijeloteksta"/>
        <w:spacing w:before="121"/>
        <w:ind w:right="272"/>
      </w:pPr>
      <w:r>
        <w:t>To achieve financial sustainability of the system, on 5 November 2021, the Decision on Joint</w:t>
      </w:r>
      <w:r>
        <w:rPr>
          <w:spacing w:val="1"/>
        </w:rPr>
        <w:t xml:space="preserve"> </w:t>
      </w:r>
      <w:r>
        <w:t>Implementation of Procurement Procedures was adopted, and on 15 March 2022, the Decision</w:t>
      </w:r>
      <w:r>
        <w:rPr>
          <w:spacing w:val="-57"/>
        </w:rPr>
        <w:t xml:space="preserve"> </w:t>
      </w:r>
      <w:r>
        <w:t>on amendments to the Decision on Joint Implementation of Specific Procurement Procedures,</w:t>
      </w:r>
      <w:r>
        <w:rPr>
          <w:spacing w:val="1"/>
        </w:rPr>
        <w:t xml:space="preserve"> </w:t>
      </w:r>
      <w:r>
        <w:t>with</w:t>
      </w:r>
      <w:r>
        <w:rPr>
          <w:spacing w:val="1"/>
        </w:rPr>
        <w:t xml:space="preserve"> </w:t>
      </w:r>
      <w:r>
        <w:t>the</w:t>
      </w:r>
      <w:r>
        <w:rPr>
          <w:spacing w:val="1"/>
        </w:rPr>
        <w:t xml:space="preserve"> </w:t>
      </w:r>
      <w:r>
        <w:t>Decision</w:t>
      </w:r>
      <w:r>
        <w:rPr>
          <w:spacing w:val="1"/>
        </w:rPr>
        <w:t xml:space="preserve"> </w:t>
      </w:r>
      <w:r>
        <w:t>covering</w:t>
      </w:r>
      <w:r>
        <w:rPr>
          <w:spacing w:val="1"/>
        </w:rPr>
        <w:t xml:space="preserve"> </w:t>
      </w:r>
      <w:r>
        <w:t>procurement</w:t>
      </w:r>
      <w:r>
        <w:rPr>
          <w:spacing w:val="1"/>
        </w:rPr>
        <w:t xml:space="preserve"> </w:t>
      </w:r>
      <w:r>
        <w:t>categories</w:t>
      </w:r>
      <w:r>
        <w:rPr>
          <w:spacing w:val="1"/>
        </w:rPr>
        <w:t xml:space="preserve"> </w:t>
      </w:r>
      <w:r>
        <w:t>representing</w:t>
      </w:r>
      <w:r>
        <w:rPr>
          <w:spacing w:val="1"/>
        </w:rPr>
        <w:t xml:space="preserve"> </w:t>
      </w:r>
      <w:r>
        <w:t>80%</w:t>
      </w:r>
      <w:r>
        <w:rPr>
          <w:spacing w:val="1"/>
        </w:rPr>
        <w:t xml:space="preserve"> </w:t>
      </w:r>
      <w:r>
        <w:t>of</w:t>
      </w:r>
      <w:r>
        <w:rPr>
          <w:spacing w:val="1"/>
        </w:rPr>
        <w:t xml:space="preserve"> </w:t>
      </w:r>
      <w:r>
        <w:t>total</w:t>
      </w:r>
      <w:r>
        <w:rPr>
          <w:spacing w:val="1"/>
        </w:rPr>
        <w:t xml:space="preserve"> </w:t>
      </w:r>
      <w:r>
        <w:t>hospital</w:t>
      </w:r>
      <w:r>
        <w:rPr>
          <w:spacing w:val="1"/>
        </w:rPr>
        <w:t xml:space="preserve"> </w:t>
      </w:r>
      <w:r>
        <w:t>consumption.</w:t>
      </w:r>
    </w:p>
    <w:p w:rsidR="00A56FE9" w:rsidRDefault="00A56FE9">
      <w:pPr>
        <w:pStyle w:val="Tijeloteksta"/>
        <w:spacing w:before="3"/>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815462008"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210678731" name="Rectangle 87"/>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9CBA5EC" id="Group 86"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">
                <v:rect id="Rectangle 87"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" fillcolor="#2c398a" stroked="f"/>
                <w10:anchorlock/>
              </v:group>
            </w:pict>
          </mc:Fallback>
        </mc:AlternateContent>
      </w:r>
    </w:p>
    <w:p w:rsidR="00A56FE9" w:rsidRDefault="00000000">
      <w:pPr>
        <w:pStyle w:val="Tijeloteksta"/>
        <w:spacing w:before="155"/>
        <w:ind w:right="276"/>
      </w:pPr>
      <w:r>
        <w:t>Reform measures from the NRRP will be implemented to increase the strength, resilience and</w:t>
      </w:r>
      <w:r>
        <w:rPr>
          <w:spacing w:val="1"/>
        </w:rPr>
        <w:t xml:space="preserve"> </w:t>
      </w:r>
      <w:r>
        <w:t>sustainability of the patient-centred health care system and protect the nation's health. The</w:t>
      </w:r>
      <w:r>
        <w:rPr>
          <w:spacing w:val="1"/>
        </w:rPr>
        <w:t xml:space="preserve"> </w:t>
      </w:r>
      <w:r>
        <w:t>reform</w:t>
      </w:r>
      <w:r>
        <w:rPr>
          <w:spacing w:val="1"/>
        </w:rPr>
        <w:t xml:space="preserve"> </w:t>
      </w:r>
      <w:r>
        <w:t>ensures</w:t>
      </w:r>
      <w:r>
        <w:rPr>
          <w:spacing w:val="1"/>
        </w:rPr>
        <w:t xml:space="preserve"> </w:t>
      </w:r>
      <w:r>
        <w:t>a</w:t>
      </w:r>
      <w:r>
        <w:rPr>
          <w:spacing w:val="1"/>
        </w:rPr>
        <w:t xml:space="preserve"> </w:t>
      </w:r>
      <w:r>
        <w:t>health</w:t>
      </w:r>
      <w:r>
        <w:rPr>
          <w:spacing w:val="1"/>
        </w:rPr>
        <w:t xml:space="preserve"> </w:t>
      </w:r>
      <w:r>
        <w:t>care</w:t>
      </w:r>
      <w:r>
        <w:rPr>
          <w:spacing w:val="1"/>
        </w:rPr>
        <w:t xml:space="preserve"> </w:t>
      </w:r>
      <w:r>
        <w:t>system</w:t>
      </w:r>
      <w:r>
        <w:rPr>
          <w:spacing w:val="1"/>
        </w:rPr>
        <w:t xml:space="preserve"> </w:t>
      </w:r>
      <w:r>
        <w:t>in</w:t>
      </w:r>
      <w:r>
        <w:rPr>
          <w:spacing w:val="1"/>
        </w:rPr>
        <w:t xml:space="preserve"> </w:t>
      </w:r>
      <w:r>
        <w:t>line</w:t>
      </w:r>
      <w:r>
        <w:rPr>
          <w:spacing w:val="1"/>
        </w:rPr>
        <w:t xml:space="preserve"> </w:t>
      </w:r>
      <w:r>
        <w:t>with</w:t>
      </w:r>
      <w:r>
        <w:rPr>
          <w:spacing w:val="1"/>
        </w:rPr>
        <w:t xml:space="preserve"> </w:t>
      </w:r>
      <w:r>
        <w:t>the</w:t>
      </w:r>
      <w:r>
        <w:rPr>
          <w:spacing w:val="1"/>
        </w:rPr>
        <w:t xml:space="preserve"> </w:t>
      </w:r>
      <w:r>
        <w:t>principles</w:t>
      </w:r>
      <w:r>
        <w:rPr>
          <w:spacing w:val="1"/>
        </w:rPr>
        <w:t xml:space="preserve"> </w:t>
      </w:r>
      <w:r>
        <w:t>of</w:t>
      </w:r>
      <w:r>
        <w:rPr>
          <w:spacing w:val="1"/>
        </w:rPr>
        <w:t xml:space="preserve"> </w:t>
      </w:r>
      <w:r>
        <w:t>comprehensiveness,</w:t>
      </w:r>
      <w:r>
        <w:rPr>
          <w:spacing w:val="1"/>
        </w:rPr>
        <w:t xml:space="preserve"> </w:t>
      </w:r>
      <w:r>
        <w:t>accessibility</w:t>
      </w:r>
      <w:r>
        <w:rPr>
          <w:spacing w:val="-7"/>
        </w:rPr>
        <w:t xml:space="preserve"> </w:t>
      </w:r>
      <w:r>
        <w:t>and solidarity,</w:t>
      </w:r>
      <w:r>
        <w:rPr>
          <w:spacing w:val="4"/>
        </w:rPr>
        <w:t xml:space="preserve"> </w:t>
      </w:r>
      <w:r>
        <w:t>where</w:t>
      </w:r>
      <w:r>
        <w:rPr>
          <w:spacing w:val="-2"/>
        </w:rPr>
        <w:t xml:space="preserve"> </w:t>
      </w:r>
      <w:r>
        <w:t>quality</w:t>
      </w:r>
      <w:r>
        <w:rPr>
          <w:spacing w:val="-5"/>
        </w:rPr>
        <w:t xml:space="preserve"> </w:t>
      </w:r>
      <w:r>
        <w:t>health care</w:t>
      </w:r>
      <w:r>
        <w:rPr>
          <w:spacing w:val="-2"/>
        </w:rPr>
        <w:t xml:space="preserve"> </w:t>
      </w:r>
      <w:r>
        <w:t>is</w:t>
      </w:r>
      <w:r>
        <w:rPr>
          <w:spacing w:val="-1"/>
        </w:rPr>
        <w:t xml:space="preserve"> </w:t>
      </w:r>
      <w:r>
        <w:t>available to all.</w:t>
      </w:r>
    </w:p>
    <w:p w:rsidR="00A56FE9" w:rsidRDefault="00000000">
      <w:pPr>
        <w:spacing w:before="120"/>
        <w:ind w:left="138" w:right="276"/>
        <w:jc w:val="both"/>
        <w:rPr>
          <w:sz w:val="24"/>
        </w:rPr>
      </w:pPr>
      <w:r>
        <w:rPr>
          <w:sz w:val="24"/>
        </w:rPr>
        <w:t>In</w:t>
      </w:r>
      <w:r>
        <w:rPr>
          <w:spacing w:val="-4"/>
          <w:sz w:val="24"/>
        </w:rPr>
        <w:t xml:space="preserve"> </w:t>
      </w:r>
      <w:r>
        <w:rPr>
          <w:sz w:val="24"/>
        </w:rPr>
        <w:t>terms</w:t>
      </w:r>
      <w:r>
        <w:rPr>
          <w:spacing w:val="-5"/>
          <w:sz w:val="24"/>
        </w:rPr>
        <w:t xml:space="preserve"> </w:t>
      </w:r>
      <w:r>
        <w:rPr>
          <w:sz w:val="24"/>
        </w:rPr>
        <w:t>of</w:t>
      </w:r>
      <w:r>
        <w:rPr>
          <w:spacing w:val="-5"/>
          <w:sz w:val="24"/>
        </w:rPr>
        <w:t xml:space="preserve"> </w:t>
      </w:r>
      <w:r>
        <w:rPr>
          <w:sz w:val="24"/>
        </w:rPr>
        <w:t>NRRP</w:t>
      </w:r>
      <w:r>
        <w:rPr>
          <w:spacing w:val="-4"/>
          <w:sz w:val="24"/>
        </w:rPr>
        <w:t xml:space="preserve"> </w:t>
      </w:r>
      <w:r>
        <w:rPr>
          <w:sz w:val="24"/>
        </w:rPr>
        <w:t>reform</w:t>
      </w:r>
      <w:r>
        <w:rPr>
          <w:spacing w:val="-3"/>
          <w:sz w:val="24"/>
        </w:rPr>
        <w:t xml:space="preserve"> </w:t>
      </w:r>
      <w:r>
        <w:rPr>
          <w:sz w:val="24"/>
        </w:rPr>
        <w:t>C5.1.</w:t>
      </w:r>
      <w:r>
        <w:rPr>
          <w:spacing w:val="-6"/>
          <w:sz w:val="24"/>
        </w:rPr>
        <w:t xml:space="preserve"> </w:t>
      </w:r>
      <w:r>
        <w:rPr>
          <w:sz w:val="24"/>
        </w:rPr>
        <w:t>R4</w:t>
      </w:r>
      <w:r>
        <w:rPr>
          <w:spacing w:val="-4"/>
          <w:sz w:val="24"/>
        </w:rPr>
        <w:t xml:space="preserve"> </w:t>
      </w:r>
      <w:r>
        <w:rPr>
          <w:sz w:val="24"/>
        </w:rPr>
        <w:t>Ensuring</w:t>
      </w:r>
      <w:r>
        <w:rPr>
          <w:spacing w:val="-8"/>
          <w:sz w:val="24"/>
        </w:rPr>
        <w:t xml:space="preserve"> </w:t>
      </w:r>
      <w:r>
        <w:rPr>
          <w:sz w:val="24"/>
        </w:rPr>
        <w:t>the</w:t>
      </w:r>
      <w:r>
        <w:rPr>
          <w:spacing w:val="-4"/>
          <w:sz w:val="24"/>
        </w:rPr>
        <w:t xml:space="preserve"> </w:t>
      </w:r>
      <w:r>
        <w:rPr>
          <w:sz w:val="24"/>
        </w:rPr>
        <w:t>Financial</w:t>
      </w:r>
      <w:r>
        <w:rPr>
          <w:spacing w:val="-5"/>
          <w:sz w:val="24"/>
        </w:rPr>
        <w:t xml:space="preserve"> </w:t>
      </w:r>
      <w:r>
        <w:rPr>
          <w:sz w:val="24"/>
        </w:rPr>
        <w:t>Sustainability</w:t>
      </w:r>
      <w:r>
        <w:rPr>
          <w:spacing w:val="-11"/>
          <w:sz w:val="24"/>
        </w:rPr>
        <w:t xml:space="preserve"> </w:t>
      </w:r>
      <w:r>
        <w:rPr>
          <w:sz w:val="24"/>
        </w:rPr>
        <w:t>of</w:t>
      </w:r>
      <w:r>
        <w:rPr>
          <w:spacing w:val="-6"/>
          <w:sz w:val="24"/>
        </w:rPr>
        <w:t xml:space="preserve"> </w:t>
      </w:r>
      <w:r>
        <w:rPr>
          <w:sz w:val="24"/>
        </w:rPr>
        <w:t>the</w:t>
      </w:r>
      <w:r>
        <w:rPr>
          <w:spacing w:val="-6"/>
          <w:sz w:val="24"/>
        </w:rPr>
        <w:t xml:space="preserve"> </w:t>
      </w:r>
      <w:r>
        <w:rPr>
          <w:sz w:val="24"/>
        </w:rPr>
        <w:t>Health</w:t>
      </w:r>
      <w:r>
        <w:rPr>
          <w:spacing w:val="-6"/>
          <w:sz w:val="24"/>
        </w:rPr>
        <w:t xml:space="preserve"> </w:t>
      </w:r>
      <w:r>
        <w:rPr>
          <w:sz w:val="24"/>
        </w:rPr>
        <w:t>System,</w:t>
      </w:r>
      <w:r>
        <w:rPr>
          <w:spacing w:val="-57"/>
          <w:sz w:val="24"/>
        </w:rPr>
        <w:t xml:space="preserve"> </w:t>
      </w:r>
      <w:r>
        <w:rPr>
          <w:b/>
          <w:sz w:val="24"/>
        </w:rPr>
        <w:t>the Act on Amendments to the Health Care Act and the Act on Amendments to the</w:t>
      </w:r>
      <w:r>
        <w:rPr>
          <w:b/>
          <w:spacing w:val="1"/>
          <w:sz w:val="24"/>
        </w:rPr>
        <w:t xml:space="preserve"> </w:t>
      </w:r>
      <w:r>
        <w:rPr>
          <w:b/>
          <w:sz w:val="24"/>
        </w:rPr>
        <w:t>Compulsory</w:t>
      </w:r>
      <w:r>
        <w:rPr>
          <w:b/>
          <w:spacing w:val="-7"/>
          <w:sz w:val="24"/>
        </w:rPr>
        <w:t xml:space="preserve"> </w:t>
      </w:r>
      <w:r>
        <w:rPr>
          <w:b/>
          <w:sz w:val="24"/>
        </w:rPr>
        <w:t>Health</w:t>
      </w:r>
      <w:r>
        <w:rPr>
          <w:b/>
          <w:spacing w:val="-6"/>
          <w:sz w:val="24"/>
        </w:rPr>
        <w:t xml:space="preserve"> </w:t>
      </w:r>
      <w:r>
        <w:rPr>
          <w:b/>
          <w:sz w:val="24"/>
        </w:rPr>
        <w:t>Insurance</w:t>
      </w:r>
      <w:r>
        <w:rPr>
          <w:b/>
          <w:spacing w:val="-8"/>
          <w:sz w:val="24"/>
        </w:rPr>
        <w:t xml:space="preserve"> </w:t>
      </w:r>
      <w:r>
        <w:rPr>
          <w:b/>
          <w:sz w:val="24"/>
        </w:rPr>
        <w:t>Act</w:t>
      </w:r>
      <w:r>
        <w:rPr>
          <w:b/>
          <w:spacing w:val="-7"/>
          <w:sz w:val="24"/>
        </w:rPr>
        <w:t xml:space="preserve"> </w:t>
      </w:r>
      <w:r>
        <w:rPr>
          <w:b/>
          <w:sz w:val="24"/>
        </w:rPr>
        <w:t>will</w:t>
      </w:r>
      <w:r>
        <w:rPr>
          <w:b/>
          <w:spacing w:val="-7"/>
          <w:sz w:val="24"/>
        </w:rPr>
        <w:t xml:space="preserve"> </w:t>
      </w:r>
      <w:r>
        <w:rPr>
          <w:b/>
          <w:sz w:val="24"/>
        </w:rPr>
        <w:t>be</w:t>
      </w:r>
      <w:r>
        <w:rPr>
          <w:b/>
          <w:spacing w:val="-7"/>
          <w:sz w:val="24"/>
        </w:rPr>
        <w:t xml:space="preserve"> </w:t>
      </w:r>
      <w:r>
        <w:rPr>
          <w:b/>
          <w:sz w:val="24"/>
        </w:rPr>
        <w:t>adopted</w:t>
      </w:r>
      <w:r>
        <w:rPr>
          <w:b/>
          <w:spacing w:val="-3"/>
          <w:sz w:val="24"/>
        </w:rPr>
        <w:t xml:space="preserve"> </w:t>
      </w:r>
      <w:r>
        <w:rPr>
          <w:b/>
          <w:sz w:val="24"/>
        </w:rPr>
        <w:t>in</w:t>
      </w:r>
      <w:r>
        <w:rPr>
          <w:b/>
          <w:spacing w:val="-5"/>
          <w:sz w:val="24"/>
        </w:rPr>
        <w:t xml:space="preserve"> </w:t>
      </w:r>
      <w:r>
        <w:rPr>
          <w:b/>
          <w:sz w:val="24"/>
        </w:rPr>
        <w:t>2022</w:t>
      </w:r>
      <w:r>
        <w:rPr>
          <w:sz w:val="24"/>
        </w:rPr>
        <w:t>.</w:t>
      </w:r>
      <w:r>
        <w:rPr>
          <w:spacing w:val="-7"/>
          <w:sz w:val="24"/>
        </w:rPr>
        <w:t xml:space="preserve"> </w:t>
      </w:r>
      <w:r>
        <w:rPr>
          <w:sz w:val="24"/>
        </w:rPr>
        <w:t>These</w:t>
      </w:r>
      <w:r>
        <w:rPr>
          <w:spacing w:val="-7"/>
          <w:sz w:val="24"/>
        </w:rPr>
        <w:t xml:space="preserve"> </w:t>
      </w:r>
      <w:r>
        <w:rPr>
          <w:sz w:val="24"/>
        </w:rPr>
        <w:t>are</w:t>
      </w:r>
      <w:r>
        <w:rPr>
          <w:spacing w:val="-8"/>
          <w:sz w:val="24"/>
        </w:rPr>
        <w:t xml:space="preserve"> </w:t>
      </w:r>
      <w:r>
        <w:rPr>
          <w:sz w:val="24"/>
        </w:rPr>
        <w:t>key</w:t>
      </w:r>
      <w:r>
        <w:rPr>
          <w:spacing w:val="-9"/>
          <w:sz w:val="24"/>
        </w:rPr>
        <w:t xml:space="preserve"> </w:t>
      </w:r>
      <w:r>
        <w:rPr>
          <w:sz w:val="24"/>
        </w:rPr>
        <w:t>legal</w:t>
      </w:r>
      <w:r>
        <w:rPr>
          <w:spacing w:val="-6"/>
          <w:sz w:val="24"/>
        </w:rPr>
        <w:t xml:space="preserve"> </w:t>
      </w:r>
      <w:r>
        <w:rPr>
          <w:sz w:val="24"/>
        </w:rPr>
        <w:t>frameworks</w:t>
      </w:r>
      <w:r>
        <w:rPr>
          <w:spacing w:val="-58"/>
          <w:sz w:val="24"/>
        </w:rPr>
        <w:t xml:space="preserve"> </w:t>
      </w:r>
      <w:r>
        <w:rPr>
          <w:sz w:val="24"/>
        </w:rPr>
        <w:t>related</w:t>
      </w:r>
      <w:r>
        <w:rPr>
          <w:spacing w:val="-1"/>
          <w:sz w:val="24"/>
        </w:rPr>
        <w:t xml:space="preserve"> </w:t>
      </w:r>
      <w:r>
        <w:rPr>
          <w:sz w:val="24"/>
        </w:rPr>
        <w:t>to the</w:t>
      </w:r>
      <w:r>
        <w:rPr>
          <w:spacing w:val="-1"/>
          <w:sz w:val="24"/>
        </w:rPr>
        <w:t xml:space="preserve"> </w:t>
      </w:r>
      <w:r>
        <w:rPr>
          <w:sz w:val="24"/>
        </w:rPr>
        <w:t>health care</w:t>
      </w:r>
      <w:r>
        <w:rPr>
          <w:spacing w:val="1"/>
          <w:sz w:val="24"/>
        </w:rPr>
        <w:t xml:space="preserve"> </w:t>
      </w:r>
      <w:r>
        <w:rPr>
          <w:sz w:val="24"/>
        </w:rPr>
        <w:t>system.</w:t>
      </w:r>
    </w:p>
    <w:p w:rsidR="00A56FE9" w:rsidRDefault="00000000">
      <w:pPr>
        <w:pStyle w:val="Tijeloteksta"/>
        <w:spacing w:before="120"/>
        <w:ind w:right="274"/>
      </w:pPr>
      <w:r>
        <w:t>Amendments to the Health Care Act and the Compulsory Health Insurance Act will ensure</w:t>
      </w:r>
      <w:r>
        <w:rPr>
          <w:spacing w:val="1"/>
        </w:rPr>
        <w:t xml:space="preserve"> </w:t>
      </w:r>
      <w:r>
        <w:t>stronger cooperation among all stakeholders</w:t>
      </w:r>
      <w:r>
        <w:rPr>
          <w:spacing w:val="1"/>
        </w:rPr>
        <w:t xml:space="preserve"> </w:t>
      </w:r>
      <w:r>
        <w:t>within the system, improving the functional</w:t>
      </w:r>
      <w:r>
        <w:rPr>
          <w:spacing w:val="1"/>
        </w:rPr>
        <w:t xml:space="preserve"> </w:t>
      </w:r>
      <w:r>
        <w:t>connection</w:t>
      </w:r>
      <w:r>
        <w:rPr>
          <w:spacing w:val="1"/>
        </w:rPr>
        <w:t xml:space="preserve"> </w:t>
      </w:r>
      <w:r>
        <w:t>and</w:t>
      </w:r>
      <w:r>
        <w:rPr>
          <w:spacing w:val="1"/>
        </w:rPr>
        <w:t xml:space="preserve"> </w:t>
      </w:r>
      <w:r>
        <w:t>coordination</w:t>
      </w:r>
      <w:r>
        <w:rPr>
          <w:spacing w:val="1"/>
        </w:rPr>
        <w:t xml:space="preserve"> </w:t>
      </w:r>
      <w:r>
        <w:t>among</w:t>
      </w:r>
      <w:r>
        <w:rPr>
          <w:spacing w:val="1"/>
        </w:rPr>
        <w:t xml:space="preserve"> </w:t>
      </w:r>
      <w:r>
        <w:t>health</w:t>
      </w:r>
      <w:r>
        <w:rPr>
          <w:spacing w:val="1"/>
        </w:rPr>
        <w:t xml:space="preserve"> </w:t>
      </w:r>
      <w:r>
        <w:t>institutions,</w:t>
      </w:r>
      <w:r>
        <w:rPr>
          <w:spacing w:val="1"/>
        </w:rPr>
        <w:t xml:space="preserve"> </w:t>
      </w:r>
      <w:r>
        <w:t>including</w:t>
      </w:r>
      <w:r>
        <w:rPr>
          <w:spacing w:val="1"/>
        </w:rPr>
        <w:t xml:space="preserve"> </w:t>
      </w:r>
      <w:r>
        <w:t>premises</w:t>
      </w:r>
      <w:r>
        <w:rPr>
          <w:spacing w:val="1"/>
        </w:rPr>
        <w:t xml:space="preserve"> </w:t>
      </w:r>
      <w:r>
        <w:t>resources,</w:t>
      </w:r>
      <w:r>
        <w:rPr>
          <w:spacing w:val="1"/>
        </w:rPr>
        <w:t xml:space="preserve"> </w:t>
      </w:r>
      <w:r>
        <w:t>equipment, human resources and business processes (including joint procurement that will</w:t>
      </w:r>
      <w:r>
        <w:rPr>
          <w:spacing w:val="1"/>
        </w:rPr>
        <w:t xml:space="preserve"> </w:t>
      </w:r>
      <w:r>
        <w:t>contribute to savings and better quality) at all levels of care such as prevention, primary,</w:t>
      </w:r>
      <w:r>
        <w:rPr>
          <w:spacing w:val="1"/>
        </w:rPr>
        <w:t xml:space="preserve"> </w:t>
      </w:r>
      <w:r>
        <w:t>secondary</w:t>
      </w:r>
      <w:r>
        <w:rPr>
          <w:spacing w:val="-9"/>
        </w:rPr>
        <w:t xml:space="preserve"> </w:t>
      </w:r>
      <w:r>
        <w:t>and</w:t>
      </w:r>
      <w:r>
        <w:rPr>
          <w:spacing w:val="-5"/>
        </w:rPr>
        <w:t xml:space="preserve"> </w:t>
      </w:r>
      <w:r>
        <w:t>tertiary</w:t>
      </w:r>
      <w:r>
        <w:rPr>
          <w:spacing w:val="-9"/>
        </w:rPr>
        <w:t xml:space="preserve"> </w:t>
      </w:r>
      <w:r>
        <w:t>levels</w:t>
      </w:r>
      <w:r>
        <w:rPr>
          <w:spacing w:val="-5"/>
        </w:rPr>
        <w:t xml:space="preserve"> </w:t>
      </w:r>
      <w:r>
        <w:t>of</w:t>
      </w:r>
      <w:r>
        <w:rPr>
          <w:spacing w:val="-6"/>
        </w:rPr>
        <w:t xml:space="preserve"> </w:t>
      </w:r>
      <w:r>
        <w:t>health</w:t>
      </w:r>
      <w:r>
        <w:rPr>
          <w:spacing w:val="-4"/>
        </w:rPr>
        <w:t xml:space="preserve"> </w:t>
      </w:r>
      <w:r>
        <w:t>care</w:t>
      </w:r>
      <w:r>
        <w:rPr>
          <w:spacing w:val="-5"/>
        </w:rPr>
        <w:t xml:space="preserve"> </w:t>
      </w:r>
      <w:r>
        <w:t>and</w:t>
      </w:r>
      <w:r>
        <w:rPr>
          <w:spacing w:val="-5"/>
        </w:rPr>
        <w:t xml:space="preserve"> </w:t>
      </w:r>
      <w:r>
        <w:t>coordinating</w:t>
      </w:r>
      <w:r>
        <w:rPr>
          <w:spacing w:val="-4"/>
        </w:rPr>
        <w:t xml:space="preserve"> </w:t>
      </w:r>
      <w:r>
        <w:t>with</w:t>
      </w:r>
      <w:r>
        <w:rPr>
          <w:spacing w:val="-5"/>
        </w:rPr>
        <w:t xml:space="preserve"> </w:t>
      </w:r>
      <w:r>
        <w:t>long-term</w:t>
      </w:r>
      <w:r>
        <w:rPr>
          <w:spacing w:val="-5"/>
        </w:rPr>
        <w:t xml:space="preserve"> </w:t>
      </w:r>
      <w:r>
        <w:t>care</w:t>
      </w:r>
      <w:r>
        <w:rPr>
          <w:spacing w:val="-6"/>
        </w:rPr>
        <w:t xml:space="preserve"> </w:t>
      </w:r>
      <w:r>
        <w:t>institutions</w:t>
      </w:r>
      <w:r>
        <w:rPr>
          <w:spacing w:val="-5"/>
        </w:rPr>
        <w:t xml:space="preserve"> </w:t>
      </w:r>
      <w:r>
        <w:t>to</w:t>
      </w:r>
      <w:r>
        <w:rPr>
          <w:spacing w:val="-57"/>
        </w:rPr>
        <w:t xml:space="preserve"> </w:t>
      </w:r>
      <w:r>
        <w:t>reduce</w:t>
      </w:r>
      <w:r>
        <w:rPr>
          <w:spacing w:val="-3"/>
        </w:rPr>
        <w:t xml:space="preserve"> </w:t>
      </w:r>
      <w:r>
        <w:t>system</w:t>
      </w:r>
      <w:r>
        <w:rPr>
          <w:spacing w:val="-4"/>
        </w:rPr>
        <w:t xml:space="preserve"> </w:t>
      </w:r>
      <w:r>
        <w:t>fragmentation,</w:t>
      </w:r>
      <w:r>
        <w:rPr>
          <w:spacing w:val="-2"/>
        </w:rPr>
        <w:t xml:space="preserve"> </w:t>
      </w:r>
      <w:r>
        <w:t>increase</w:t>
      </w:r>
      <w:r>
        <w:rPr>
          <w:spacing w:val="-5"/>
        </w:rPr>
        <w:t xml:space="preserve"> </w:t>
      </w:r>
      <w:r>
        <w:t>system</w:t>
      </w:r>
      <w:r>
        <w:rPr>
          <w:spacing w:val="-4"/>
        </w:rPr>
        <w:t xml:space="preserve"> </w:t>
      </w:r>
      <w:r>
        <w:t>functionality,</w:t>
      </w:r>
      <w:r>
        <w:rPr>
          <w:spacing w:val="-2"/>
        </w:rPr>
        <w:t xml:space="preserve"> </w:t>
      </w:r>
      <w:r>
        <w:t>increase</w:t>
      </w:r>
      <w:r>
        <w:rPr>
          <w:spacing w:val="-5"/>
        </w:rPr>
        <w:t xml:space="preserve"> </w:t>
      </w:r>
      <w:r>
        <w:t>efficiency</w:t>
      </w:r>
      <w:r>
        <w:rPr>
          <w:spacing w:val="-6"/>
        </w:rPr>
        <w:t xml:space="preserve"> </w:t>
      </w:r>
      <w:r>
        <w:t>and</w:t>
      </w:r>
      <w:r>
        <w:rPr>
          <w:spacing w:val="-4"/>
        </w:rPr>
        <w:t xml:space="preserve"> </w:t>
      </w:r>
      <w:r>
        <w:t>streamline</w:t>
      </w:r>
      <w:r>
        <w:rPr>
          <w:spacing w:val="-58"/>
        </w:rPr>
        <w:t xml:space="preserve"> </w:t>
      </w:r>
      <w:r>
        <w:t>systems, ultimately increasing accessibility and strengthening the quality of health services. A</w:t>
      </w:r>
      <w:r>
        <w:rPr>
          <w:spacing w:val="-57"/>
        </w:rPr>
        <w:t xml:space="preserve"> </w:t>
      </w:r>
      <w:r>
        <w:t>special focus is placed on strengthening primary health care. The plan is to strengthen the</w:t>
      </w:r>
      <w:r>
        <w:rPr>
          <w:spacing w:val="1"/>
        </w:rPr>
        <w:t xml:space="preserve"> </w:t>
      </w:r>
      <w:r>
        <w:t>organisational, human and financial health centres so that such centres provide the most</w:t>
      </w:r>
      <w:r>
        <w:rPr>
          <w:spacing w:val="1"/>
        </w:rPr>
        <w:t xml:space="preserve"> </w:t>
      </w:r>
      <w:r>
        <w:t>efficient</w:t>
      </w:r>
      <w:r>
        <w:rPr>
          <w:spacing w:val="1"/>
        </w:rPr>
        <w:t xml:space="preserve"> </w:t>
      </w:r>
      <w:r>
        <w:t>and</w:t>
      </w:r>
      <w:r>
        <w:rPr>
          <w:spacing w:val="-1"/>
        </w:rPr>
        <w:t xml:space="preserve"> </w:t>
      </w:r>
      <w:r>
        <w:t>comprehensive health</w:t>
      </w:r>
      <w:r>
        <w:rPr>
          <w:spacing w:val="-1"/>
        </w:rPr>
        <w:t xml:space="preserve"> </w:t>
      </w:r>
      <w:r>
        <w:t>services</w:t>
      </w:r>
      <w:r>
        <w:rPr>
          <w:spacing w:val="1"/>
        </w:rPr>
        <w:t xml:space="preserve"> </w:t>
      </w:r>
      <w:r>
        <w:t>to patients</w:t>
      </w:r>
      <w:r>
        <w:rPr>
          <w:spacing w:val="-1"/>
        </w:rPr>
        <w:t xml:space="preserve"> </w:t>
      </w:r>
      <w:r>
        <w:t>and</w:t>
      </w:r>
      <w:r>
        <w:rPr>
          <w:spacing w:val="-1"/>
        </w:rPr>
        <w:t xml:space="preserve"> </w:t>
      </w:r>
      <w:r>
        <w:t>relieve</w:t>
      </w:r>
      <w:r>
        <w:rPr>
          <w:spacing w:val="-1"/>
        </w:rPr>
        <w:t xml:space="preserve"> </w:t>
      </w:r>
      <w:r>
        <w:t>the</w:t>
      </w:r>
      <w:r>
        <w:rPr>
          <w:spacing w:val="-1"/>
        </w:rPr>
        <w:t xml:space="preserve"> </w:t>
      </w:r>
      <w:r>
        <w:t>hospital</w:t>
      </w:r>
      <w:r>
        <w:rPr>
          <w:spacing w:val="-1"/>
        </w:rPr>
        <w:t xml:space="preserve"> </w:t>
      </w:r>
      <w:r>
        <w:t>system.</w:t>
      </w:r>
    </w:p>
    <w:p w:rsidR="00A56FE9" w:rsidRDefault="00000000">
      <w:pPr>
        <w:pStyle w:val="Tijeloteksta"/>
        <w:spacing w:before="120"/>
        <w:ind w:right="273"/>
      </w:pPr>
      <w:r>
        <w:t>The plan is to continue the functional integration of hospital health institutions. Functional</w:t>
      </w:r>
      <w:r>
        <w:rPr>
          <w:spacing w:val="1"/>
        </w:rPr>
        <w:t xml:space="preserve"> </w:t>
      </w:r>
      <w:r>
        <w:rPr>
          <w:spacing w:val="-1"/>
        </w:rPr>
        <w:t>integration</w:t>
      </w:r>
      <w:r>
        <w:rPr>
          <w:spacing w:val="-15"/>
        </w:rPr>
        <w:t xml:space="preserve"> </w:t>
      </w:r>
      <w:r>
        <w:t>has</w:t>
      </w:r>
      <w:r>
        <w:rPr>
          <w:spacing w:val="-15"/>
        </w:rPr>
        <w:t xml:space="preserve"> </w:t>
      </w:r>
      <w:r>
        <w:t>been</w:t>
      </w:r>
      <w:r>
        <w:rPr>
          <w:spacing w:val="-15"/>
        </w:rPr>
        <w:t xml:space="preserve"> </w:t>
      </w:r>
      <w:r>
        <w:t>carried</w:t>
      </w:r>
      <w:r>
        <w:rPr>
          <w:spacing w:val="-15"/>
        </w:rPr>
        <w:t xml:space="preserve"> </w:t>
      </w:r>
      <w:r>
        <w:t>out</w:t>
      </w:r>
      <w:r>
        <w:rPr>
          <w:spacing w:val="-12"/>
        </w:rPr>
        <w:t xml:space="preserve"> </w:t>
      </w:r>
      <w:r>
        <w:t>between</w:t>
      </w:r>
      <w:r>
        <w:rPr>
          <w:spacing w:val="-14"/>
        </w:rPr>
        <w:t xml:space="preserve"> </w:t>
      </w:r>
      <w:r>
        <w:t>hospitals</w:t>
      </w:r>
      <w:r>
        <w:rPr>
          <w:spacing w:val="-12"/>
        </w:rPr>
        <w:t xml:space="preserve"> </w:t>
      </w:r>
      <w:r>
        <w:t>within</w:t>
      </w:r>
      <w:r>
        <w:rPr>
          <w:spacing w:val="-15"/>
        </w:rPr>
        <w:t xml:space="preserve"> </w:t>
      </w:r>
      <w:r>
        <w:t>the</w:t>
      </w:r>
      <w:r>
        <w:rPr>
          <w:spacing w:val="-15"/>
        </w:rPr>
        <w:t xml:space="preserve"> </w:t>
      </w:r>
      <w:r>
        <w:t>same</w:t>
      </w:r>
      <w:r>
        <w:rPr>
          <w:spacing w:val="-15"/>
        </w:rPr>
        <w:t xml:space="preserve"> </w:t>
      </w:r>
      <w:r>
        <w:t>county,</w:t>
      </w:r>
      <w:r>
        <w:rPr>
          <w:spacing w:val="-15"/>
        </w:rPr>
        <w:t xml:space="preserve"> </w:t>
      </w:r>
      <w:r>
        <w:t>but</w:t>
      </w:r>
      <w:r>
        <w:rPr>
          <w:spacing w:val="-12"/>
        </w:rPr>
        <w:t xml:space="preserve"> </w:t>
      </w:r>
      <w:r>
        <w:t>this</w:t>
      </w:r>
      <w:r>
        <w:rPr>
          <w:spacing w:val="-15"/>
        </w:rPr>
        <w:t xml:space="preserve"> </w:t>
      </w:r>
      <w:r>
        <w:t>is</w:t>
      </w:r>
      <w:r>
        <w:rPr>
          <w:spacing w:val="-14"/>
        </w:rPr>
        <w:t xml:space="preserve"> </w:t>
      </w:r>
      <w:r>
        <w:t>to</w:t>
      </w:r>
      <w:r>
        <w:rPr>
          <w:spacing w:val="-14"/>
        </w:rPr>
        <w:t xml:space="preserve"> </w:t>
      </w:r>
      <w:r>
        <w:t>continue</w:t>
      </w:r>
      <w:r>
        <w:rPr>
          <w:spacing w:val="-57"/>
        </w:rPr>
        <w:t xml:space="preserve"> </w:t>
      </w:r>
      <w:r>
        <w:t>in relation to hospitals between different counties, taking into account existing specifics,</w:t>
      </w:r>
      <w:r>
        <w:rPr>
          <w:spacing w:val="1"/>
        </w:rPr>
        <w:t xml:space="preserve"> </w:t>
      </w:r>
      <w:r>
        <w:t>depending on the needs of the gravitating population and available hospital capacity, all with</w:t>
      </w:r>
      <w:r>
        <w:rPr>
          <w:spacing w:val="1"/>
        </w:rPr>
        <w:t xml:space="preserve"> </w:t>
      </w:r>
      <w:r>
        <w:t>the</w:t>
      </w:r>
      <w:r>
        <w:rPr>
          <w:spacing w:val="-2"/>
        </w:rPr>
        <w:t xml:space="preserve"> </w:t>
      </w:r>
      <w:r>
        <w:t>aim of improving</w:t>
      </w:r>
      <w:r>
        <w:rPr>
          <w:spacing w:val="-3"/>
        </w:rPr>
        <w:t xml:space="preserve"> </w:t>
      </w:r>
      <w:r>
        <w:t>health care.</w:t>
      </w:r>
    </w:p>
    <w:p w:rsidR="00A56FE9" w:rsidRDefault="00000000">
      <w:pPr>
        <w:pStyle w:val="Tijeloteksta"/>
        <w:spacing w:before="121"/>
        <w:ind w:right="272"/>
      </w:pPr>
      <w:r>
        <w:t>Furthermore, the modernisation of the hospital system will continue in line with modern</w:t>
      </w:r>
      <w:r>
        <w:rPr>
          <w:spacing w:val="1"/>
        </w:rPr>
        <w:t xml:space="preserve"> </w:t>
      </w:r>
      <w:r>
        <w:t>medical doctrine and strategic documents, human resources development planning, procuring</w:t>
      </w:r>
      <w:r>
        <w:rPr>
          <w:spacing w:val="1"/>
        </w:rPr>
        <w:t xml:space="preserve"> </w:t>
      </w:r>
      <w:r>
        <w:t>new</w:t>
      </w:r>
      <w:r>
        <w:rPr>
          <w:spacing w:val="1"/>
        </w:rPr>
        <w:t xml:space="preserve"> </w:t>
      </w:r>
      <w:r>
        <w:t>medical-technological</w:t>
      </w:r>
      <w:r>
        <w:rPr>
          <w:spacing w:val="1"/>
        </w:rPr>
        <w:t xml:space="preserve"> </w:t>
      </w:r>
      <w:r>
        <w:t>equipment,</w:t>
      </w:r>
      <w:r>
        <w:rPr>
          <w:spacing w:val="1"/>
        </w:rPr>
        <w:t xml:space="preserve"> </w:t>
      </w:r>
      <w:r>
        <w:t>and</w:t>
      </w:r>
      <w:r>
        <w:rPr>
          <w:spacing w:val="1"/>
        </w:rPr>
        <w:t xml:space="preserve"> </w:t>
      </w:r>
      <w:r>
        <w:t>a</w:t>
      </w:r>
      <w:r>
        <w:rPr>
          <w:spacing w:val="1"/>
        </w:rPr>
        <w:t xml:space="preserve"> </w:t>
      </w:r>
      <w:r>
        <w:t>new</w:t>
      </w:r>
      <w:r>
        <w:rPr>
          <w:spacing w:val="1"/>
        </w:rPr>
        <w:t xml:space="preserve"> </w:t>
      </w:r>
      <w:r>
        <w:t>categorisation</w:t>
      </w:r>
      <w:r>
        <w:rPr>
          <w:spacing w:val="1"/>
        </w:rPr>
        <w:t xml:space="preserve"> </w:t>
      </w:r>
      <w:r>
        <w:t>of</w:t>
      </w:r>
      <w:r>
        <w:rPr>
          <w:spacing w:val="1"/>
        </w:rPr>
        <w:t xml:space="preserve"> </w:t>
      </w:r>
      <w:r>
        <w:t>hospitals</w:t>
      </w:r>
      <w:r>
        <w:rPr>
          <w:spacing w:val="1"/>
        </w:rPr>
        <w:t xml:space="preserve"> </w:t>
      </w:r>
      <w:r>
        <w:t>will</w:t>
      </w:r>
      <w:r>
        <w:rPr>
          <w:spacing w:val="1"/>
        </w:rPr>
        <w:t xml:space="preserve"> </w:t>
      </w:r>
      <w:r>
        <w:t>set</w:t>
      </w:r>
      <w:r>
        <w:rPr>
          <w:spacing w:val="1"/>
        </w:rPr>
        <w:t xml:space="preserve"> </w:t>
      </w:r>
      <w:r>
        <w:t>a</w:t>
      </w:r>
      <w:r>
        <w:rPr>
          <w:spacing w:val="1"/>
        </w:rPr>
        <w:t xml:space="preserve"> </w:t>
      </w:r>
      <w:r>
        <w:t>transparent scale of health system excellence, better utilisation of contracted capacities and</w:t>
      </w:r>
      <w:r>
        <w:rPr>
          <w:spacing w:val="1"/>
        </w:rPr>
        <w:t xml:space="preserve"> </w:t>
      </w:r>
      <w:r>
        <w:t>eliminate</w:t>
      </w:r>
      <w:r>
        <w:rPr>
          <w:spacing w:val="-1"/>
        </w:rPr>
        <w:t xml:space="preserve"> </w:t>
      </w:r>
      <w:r>
        <w:t>unnecessary</w:t>
      </w:r>
      <w:r>
        <w:rPr>
          <w:spacing w:val="-5"/>
        </w:rPr>
        <w:t xml:space="preserve"> </w:t>
      </w:r>
      <w:r>
        <w:t>multiplication</w:t>
      </w:r>
      <w:r>
        <w:rPr>
          <w:spacing w:val="-1"/>
        </w:rPr>
        <w:t xml:space="preserve"> </w:t>
      </w:r>
      <w:r>
        <w:t>of</w:t>
      </w:r>
      <w:r>
        <w:rPr>
          <w:spacing w:val="-1"/>
        </w:rPr>
        <w:t xml:space="preserve"> </w:t>
      </w:r>
      <w:r>
        <w:t>procedures</w:t>
      </w:r>
      <w:r>
        <w:rPr>
          <w:spacing w:val="2"/>
        </w:rPr>
        <w:t xml:space="preserve"> </w:t>
      </w:r>
      <w:r>
        <w:t>at short</w:t>
      </w:r>
      <w:r>
        <w:rPr>
          <w:spacing w:val="-1"/>
        </w:rPr>
        <w:t xml:space="preserve"> </w:t>
      </w:r>
      <w:r>
        <w:t>geographical distances.</w:t>
      </w:r>
    </w:p>
    <w:p w:rsidR="00A56FE9" w:rsidRDefault="00000000">
      <w:pPr>
        <w:pStyle w:val="Tijeloteksta"/>
        <w:spacing w:before="120"/>
        <w:ind w:right="277"/>
      </w:pPr>
      <w:r>
        <w:t>The modernisation of the health infrastructure will continue by building new or renovating</w:t>
      </w:r>
      <w:r>
        <w:rPr>
          <w:spacing w:val="1"/>
        </w:rPr>
        <w:t xml:space="preserve"> </w:t>
      </w:r>
      <w:r>
        <w:t>existing</w:t>
      </w:r>
      <w:r>
        <w:rPr>
          <w:spacing w:val="-3"/>
        </w:rPr>
        <w:t xml:space="preserve"> </w:t>
      </w:r>
      <w:r>
        <w:t>capacities.</w:t>
      </w:r>
    </w:p>
    <w:p w:rsidR="00A56FE9" w:rsidRDefault="00A56FE9">
      <w:pPr>
        <w:sectPr w:rsidR="00A56FE9" w:rsidSect="00AB1E70">
          <w:pgSz w:w="11910" w:h="16840"/>
          <w:pgMar w:top="1320" w:right="1140" w:bottom="960" w:left="1280" w:header="0" w:footer="779" w:gutter="0"/>
          <w:cols w:space="720"/>
        </w:sectPr>
      </w:pPr>
    </w:p>
    <w:p w:rsidR="00A56FE9" w:rsidRDefault="00A56FE9">
      <w:pPr>
        <w:pStyle w:val="Tijeloteksta"/>
        <w:spacing w:before="2"/>
        <w:ind w:left="0"/>
        <w:jc w:val="left"/>
        <w:rPr>
          <w:sz w:val="13"/>
        </w:rPr>
      </w:pPr>
    </w:p>
    <w:p w:rsidR="00A56FE9" w:rsidRDefault="00CC1B9B">
      <w:pPr>
        <w:pStyle w:val="Naslov4"/>
        <w:spacing w:before="88"/>
        <w:ind w:right="281"/>
      </w:pPr>
      <w:r>
        <w:rPr>
          <w:noProof/>
        </w:rPr>
        <mc:AlternateContent>
          <mc:Choice Requires="wps">
            <w:drawing>
              <wp:anchor distT="0" distB="0" distL="114300" distR="114300" simplePos="0" relativeHeight="15814144" behindDoc="0" locked="0" layoutInCell="1" allowOverlap="1">
                <wp:simplePos x="0" y="0"/>
                <wp:positionH relativeFrom="page">
                  <wp:posOffset>814070</wp:posOffset>
                </wp:positionH>
                <wp:positionV relativeFrom="paragraph">
                  <wp:posOffset>-96520</wp:posOffset>
                </wp:positionV>
                <wp:extent cx="18415" cy="608965"/>
                <wp:effectExtent l="0" t="0" r="0" b="0"/>
                <wp:wrapNone/>
                <wp:docPr id="51391765" name="Freeform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965"/>
                        </a:xfrm>
                        <a:custGeom>
                          <a:avLst/>
                          <a:gdLst>
                            <a:gd name="T0" fmla="+- 0 1311 1282"/>
                            <a:gd name="T1" fmla="*/ T0 w 29"/>
                            <a:gd name="T2" fmla="+- 0 -152 -152"/>
                            <a:gd name="T3" fmla="*/ -152 h 959"/>
                            <a:gd name="T4" fmla="+- 0 1282 1282"/>
                            <a:gd name="T5" fmla="*/ T4 w 29"/>
                            <a:gd name="T6" fmla="+- 0 -152 -152"/>
                            <a:gd name="T7" fmla="*/ -152 h 959"/>
                            <a:gd name="T8" fmla="+- 0 1282 1282"/>
                            <a:gd name="T9" fmla="*/ T8 w 29"/>
                            <a:gd name="T10" fmla="+- 0 386 -152"/>
                            <a:gd name="T11" fmla="*/ 386 h 959"/>
                            <a:gd name="T12" fmla="+- 0 1282 1282"/>
                            <a:gd name="T13" fmla="*/ T12 w 29"/>
                            <a:gd name="T14" fmla="+- 0 806 -152"/>
                            <a:gd name="T15" fmla="*/ 806 h 959"/>
                            <a:gd name="T16" fmla="+- 0 1311 1282"/>
                            <a:gd name="T17" fmla="*/ T16 w 29"/>
                            <a:gd name="T18" fmla="+- 0 806 -152"/>
                            <a:gd name="T19" fmla="*/ 806 h 959"/>
                            <a:gd name="T20" fmla="+- 0 1311 1282"/>
                            <a:gd name="T21" fmla="*/ T20 w 29"/>
                            <a:gd name="T22" fmla="+- 0 386 -152"/>
                            <a:gd name="T23" fmla="*/ 386 h 959"/>
                            <a:gd name="T24" fmla="+- 0 1311 1282"/>
                            <a:gd name="T25" fmla="*/ T24 w 29"/>
                            <a:gd name="T26" fmla="+- 0 -152 -152"/>
                            <a:gd name="T27" fmla="*/ -152 h 959"/>
                          </a:gdLst>
                          <a:ahLst/>
                          <a:cxnLst>
                            <a:cxn ang="0">
                              <a:pos x="T1" y="T3"/>
                            </a:cxn>
                            <a:cxn ang="0">
                              <a:pos x="T5" y="T7"/>
                            </a:cxn>
                            <a:cxn ang="0">
                              <a:pos x="T9" y="T11"/>
                            </a:cxn>
                            <a:cxn ang="0">
                              <a:pos x="T13" y="T15"/>
                            </a:cxn>
                            <a:cxn ang="0">
                              <a:pos x="T17" y="T19"/>
                            </a:cxn>
                            <a:cxn ang="0">
                              <a:pos x="T21" y="T23"/>
                            </a:cxn>
                            <a:cxn ang="0">
                              <a:pos x="T25" y="T27"/>
                            </a:cxn>
                          </a:cxnLst>
                          <a:rect l="0" t="0" r="r" b="b"/>
                          <a:pathLst>
                            <a:path w="29" h="959">
                              <a:moveTo>
                                <a:pt x="29" y="0"/>
                              </a:moveTo>
                              <a:lnTo>
                                <a:pt x="0" y="0"/>
                              </a:lnTo>
                              <a:lnTo>
                                <a:pt x="0" y="538"/>
                              </a:lnTo>
                              <a:lnTo>
                                <a:pt x="0" y="958"/>
                              </a:lnTo>
                              <a:lnTo>
                                <a:pt x="29" y="958"/>
                              </a:lnTo>
                              <a:lnTo>
                                <a:pt x="29" y="53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C36FB" id="Freeform 85" o:spid="_x0000_s1026" style="position:absolute;margin-left:64.1pt;margin-top:-7.6pt;width:1.45pt;height:47.95pt;z-index:1581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" path="m29,l,,,538,,958r29,l29,538,29,xe" fillcolor="#da1f2c" stroked="f">
                <v:path arrowok="t" o:connecttype="custom" o:connectlocs="18415,-96520;0,-96520;0,245110;0,511810;18415,511810;18415,245110;18415,-96520" o:connectangles="0,0,0,0,0,0,0"/>
                <w10:wrap anchorx="page"/>
              </v:shape>
            </w:pict>
          </mc:Fallback>
        </mc:AlternateContent>
      </w:r>
      <w:r w:rsidR="00000000">
        <w:rPr>
          <w:color w:val="2C398A"/>
        </w:rPr>
        <w:t>Improving</w:t>
      </w:r>
      <w:r w:rsidR="00000000">
        <w:rPr>
          <w:color w:val="2C398A"/>
          <w:spacing w:val="1"/>
        </w:rPr>
        <w:t xml:space="preserve"> </w:t>
      </w:r>
      <w:r w:rsidR="00000000">
        <w:rPr>
          <w:color w:val="2C398A"/>
        </w:rPr>
        <w:t>the</w:t>
      </w:r>
      <w:r w:rsidR="00000000">
        <w:rPr>
          <w:color w:val="2C398A"/>
          <w:spacing w:val="1"/>
        </w:rPr>
        <w:t xml:space="preserve"> </w:t>
      </w:r>
      <w:r w:rsidR="00000000">
        <w:rPr>
          <w:color w:val="2C398A"/>
        </w:rPr>
        <w:t>efficiency,</w:t>
      </w:r>
      <w:r w:rsidR="00000000">
        <w:rPr>
          <w:color w:val="2C398A"/>
          <w:spacing w:val="1"/>
        </w:rPr>
        <w:t xml:space="preserve"> </w:t>
      </w:r>
      <w:r w:rsidR="00000000">
        <w:rPr>
          <w:color w:val="2C398A"/>
        </w:rPr>
        <w:t>quality</w:t>
      </w:r>
      <w:r w:rsidR="00000000">
        <w:rPr>
          <w:color w:val="2C398A"/>
          <w:spacing w:val="1"/>
        </w:rPr>
        <w:t xml:space="preserve"> </w:t>
      </w:r>
      <w:r w:rsidR="00000000">
        <w:rPr>
          <w:color w:val="2C398A"/>
        </w:rPr>
        <w:t>and</w:t>
      </w:r>
      <w:r w:rsidR="00000000">
        <w:rPr>
          <w:color w:val="2C398A"/>
          <w:spacing w:val="1"/>
        </w:rPr>
        <w:t xml:space="preserve"> </w:t>
      </w:r>
      <w:r w:rsidR="00000000">
        <w:rPr>
          <w:color w:val="2C398A"/>
        </w:rPr>
        <w:t>accessibility</w:t>
      </w:r>
      <w:r w:rsidR="00000000">
        <w:rPr>
          <w:color w:val="2C398A"/>
          <w:spacing w:val="1"/>
        </w:rPr>
        <w:t xml:space="preserve"> </w:t>
      </w:r>
      <w:r w:rsidR="00000000">
        <w:rPr>
          <w:color w:val="2C398A"/>
        </w:rPr>
        <w:t>of</w:t>
      </w:r>
      <w:r w:rsidR="00000000">
        <w:rPr>
          <w:color w:val="2C398A"/>
          <w:spacing w:val="1"/>
        </w:rPr>
        <w:t xml:space="preserve"> </w:t>
      </w:r>
      <w:r w:rsidR="00000000">
        <w:rPr>
          <w:color w:val="2C398A"/>
        </w:rPr>
        <w:t>the</w:t>
      </w:r>
      <w:r w:rsidR="00000000">
        <w:rPr>
          <w:color w:val="2C398A"/>
          <w:spacing w:val="1"/>
        </w:rPr>
        <w:t xml:space="preserve"> </w:t>
      </w:r>
      <w:r w:rsidR="00000000">
        <w:rPr>
          <w:color w:val="2C398A"/>
        </w:rPr>
        <w:t>health</w:t>
      </w:r>
      <w:r w:rsidR="00000000">
        <w:rPr>
          <w:color w:val="2C398A"/>
          <w:spacing w:val="1"/>
        </w:rPr>
        <w:t xml:space="preserve"> </w:t>
      </w:r>
      <w:r w:rsidR="00000000">
        <w:rPr>
          <w:color w:val="2C398A"/>
        </w:rPr>
        <w:t>system</w:t>
      </w:r>
      <w:r w:rsidR="00000000">
        <w:rPr>
          <w:color w:val="2C398A"/>
          <w:spacing w:val="1"/>
        </w:rPr>
        <w:t xml:space="preserve"> </w:t>
      </w:r>
      <w:r w:rsidR="00000000">
        <w:rPr>
          <w:color w:val="2C398A"/>
        </w:rPr>
        <w:t>and</w:t>
      </w:r>
      <w:r w:rsidR="00000000">
        <w:rPr>
          <w:color w:val="2C398A"/>
          <w:spacing w:val="1"/>
        </w:rPr>
        <w:t xml:space="preserve"> </w:t>
      </w:r>
      <w:r w:rsidR="00000000">
        <w:rPr>
          <w:color w:val="2C398A"/>
        </w:rPr>
        <w:t>investing</w:t>
      </w:r>
      <w:r w:rsidR="00000000">
        <w:rPr>
          <w:color w:val="2C398A"/>
          <w:spacing w:val="1"/>
        </w:rPr>
        <w:t xml:space="preserve"> </w:t>
      </w:r>
      <w:r w:rsidR="00000000">
        <w:rPr>
          <w:color w:val="2C398A"/>
        </w:rPr>
        <w:t>in</w:t>
      </w:r>
      <w:r w:rsidR="00000000">
        <w:rPr>
          <w:color w:val="2C398A"/>
          <w:spacing w:val="-1"/>
        </w:rPr>
        <w:t xml:space="preserve"> </w:t>
      </w:r>
      <w:r w:rsidR="00000000">
        <w:rPr>
          <w:color w:val="2C398A"/>
        </w:rPr>
        <w:t>eHealth</w:t>
      </w:r>
    </w:p>
    <w:p w:rsidR="00A56FE9" w:rsidRDefault="00000000">
      <w:pPr>
        <w:spacing w:before="235"/>
        <w:ind w:left="138" w:right="272"/>
        <w:jc w:val="both"/>
        <w:rPr>
          <w:i/>
          <w:sz w:val="24"/>
        </w:rPr>
      </w:pPr>
      <w:r>
        <w:rPr>
          <w:i/>
          <w:color w:val="2C398A"/>
          <w:sz w:val="24"/>
        </w:rPr>
        <w:t>2019.CSR2.1. Deliver on the education reform and improve both access to education and</w:t>
      </w:r>
      <w:r>
        <w:rPr>
          <w:i/>
          <w:color w:val="2C398A"/>
          <w:spacing w:val="1"/>
          <w:sz w:val="24"/>
        </w:rPr>
        <w:t xml:space="preserve"> </w:t>
      </w:r>
      <w:r>
        <w:rPr>
          <w:i/>
          <w:color w:val="2C398A"/>
          <w:sz w:val="24"/>
        </w:rPr>
        <w:t>training</w:t>
      </w:r>
      <w:r>
        <w:rPr>
          <w:i/>
          <w:color w:val="2C398A"/>
          <w:spacing w:val="-8"/>
          <w:sz w:val="24"/>
        </w:rPr>
        <w:t xml:space="preserve"> </w:t>
      </w:r>
      <w:r>
        <w:rPr>
          <w:i/>
          <w:color w:val="2C398A"/>
          <w:sz w:val="24"/>
        </w:rPr>
        <w:t>at</w:t>
      </w:r>
      <w:r>
        <w:rPr>
          <w:i/>
          <w:color w:val="2C398A"/>
          <w:spacing w:val="-7"/>
          <w:sz w:val="24"/>
        </w:rPr>
        <w:t xml:space="preserve"> </w:t>
      </w:r>
      <w:r>
        <w:rPr>
          <w:i/>
          <w:color w:val="2C398A"/>
          <w:sz w:val="24"/>
        </w:rPr>
        <w:t>all</w:t>
      </w:r>
      <w:r>
        <w:rPr>
          <w:i/>
          <w:color w:val="2C398A"/>
          <w:spacing w:val="-7"/>
          <w:sz w:val="24"/>
        </w:rPr>
        <w:t xml:space="preserve"> </w:t>
      </w:r>
      <w:r>
        <w:rPr>
          <w:i/>
          <w:color w:val="2C398A"/>
          <w:sz w:val="24"/>
        </w:rPr>
        <w:t>levels</w:t>
      </w:r>
      <w:r>
        <w:rPr>
          <w:i/>
          <w:color w:val="2C398A"/>
          <w:spacing w:val="-7"/>
          <w:sz w:val="24"/>
        </w:rPr>
        <w:t xml:space="preserve"> </w:t>
      </w:r>
      <w:r>
        <w:rPr>
          <w:i/>
          <w:color w:val="2C398A"/>
          <w:sz w:val="24"/>
        </w:rPr>
        <w:t>and</w:t>
      </w:r>
      <w:r>
        <w:rPr>
          <w:i/>
          <w:color w:val="2C398A"/>
          <w:spacing w:val="-9"/>
          <w:sz w:val="24"/>
        </w:rPr>
        <w:t xml:space="preserve"> </w:t>
      </w:r>
      <w:r>
        <w:rPr>
          <w:i/>
          <w:color w:val="2C398A"/>
          <w:sz w:val="24"/>
        </w:rPr>
        <w:t>their</w:t>
      </w:r>
      <w:r>
        <w:rPr>
          <w:i/>
          <w:color w:val="2C398A"/>
          <w:spacing w:val="-7"/>
          <w:sz w:val="24"/>
        </w:rPr>
        <w:t xml:space="preserve"> </w:t>
      </w:r>
      <w:r>
        <w:rPr>
          <w:i/>
          <w:color w:val="2C398A"/>
          <w:sz w:val="24"/>
        </w:rPr>
        <w:t>quality</w:t>
      </w:r>
      <w:r>
        <w:rPr>
          <w:i/>
          <w:color w:val="2C398A"/>
          <w:spacing w:val="-8"/>
          <w:sz w:val="24"/>
        </w:rPr>
        <w:t xml:space="preserve"> </w:t>
      </w:r>
      <w:r>
        <w:rPr>
          <w:i/>
          <w:color w:val="2C398A"/>
          <w:sz w:val="24"/>
        </w:rPr>
        <w:t>and</w:t>
      </w:r>
      <w:r>
        <w:rPr>
          <w:i/>
          <w:color w:val="2C398A"/>
          <w:spacing w:val="-8"/>
          <w:sz w:val="24"/>
        </w:rPr>
        <w:t xml:space="preserve"> </w:t>
      </w:r>
      <w:r>
        <w:rPr>
          <w:i/>
          <w:color w:val="2C398A"/>
          <w:sz w:val="24"/>
        </w:rPr>
        <w:t>labour</w:t>
      </w:r>
      <w:r>
        <w:rPr>
          <w:i/>
          <w:color w:val="2C398A"/>
          <w:spacing w:val="-8"/>
          <w:sz w:val="24"/>
        </w:rPr>
        <w:t xml:space="preserve"> </w:t>
      </w:r>
      <w:r>
        <w:rPr>
          <w:i/>
          <w:color w:val="2C398A"/>
          <w:sz w:val="24"/>
        </w:rPr>
        <w:t>market</w:t>
      </w:r>
      <w:r>
        <w:rPr>
          <w:i/>
          <w:color w:val="2C398A"/>
          <w:spacing w:val="-7"/>
          <w:sz w:val="24"/>
        </w:rPr>
        <w:t xml:space="preserve"> </w:t>
      </w:r>
      <w:r>
        <w:rPr>
          <w:i/>
          <w:color w:val="2C398A"/>
          <w:sz w:val="24"/>
        </w:rPr>
        <w:t>relevance;</w:t>
      </w:r>
      <w:r>
        <w:rPr>
          <w:i/>
          <w:color w:val="2C398A"/>
          <w:spacing w:val="-8"/>
          <w:sz w:val="24"/>
        </w:rPr>
        <w:t xml:space="preserve"> </w:t>
      </w:r>
      <w:r>
        <w:rPr>
          <w:i/>
          <w:color w:val="2C398A"/>
          <w:sz w:val="24"/>
        </w:rPr>
        <w:t>2020.CSR1.3.</w:t>
      </w:r>
      <w:r>
        <w:rPr>
          <w:i/>
          <w:color w:val="2C398A"/>
          <w:spacing w:val="-7"/>
          <w:sz w:val="24"/>
        </w:rPr>
        <w:t xml:space="preserve"> </w:t>
      </w:r>
      <w:r>
        <w:rPr>
          <w:i/>
          <w:color w:val="2C398A"/>
          <w:sz w:val="24"/>
        </w:rPr>
        <w:t>Enhance</w:t>
      </w:r>
      <w:r>
        <w:rPr>
          <w:i/>
          <w:color w:val="2C398A"/>
          <w:spacing w:val="-10"/>
          <w:sz w:val="24"/>
        </w:rPr>
        <w:t xml:space="preserve"> </w:t>
      </w:r>
      <w:r>
        <w:rPr>
          <w:i/>
          <w:color w:val="2C398A"/>
          <w:sz w:val="24"/>
        </w:rPr>
        <w:t>the</w:t>
      </w:r>
      <w:r>
        <w:rPr>
          <w:i/>
          <w:color w:val="2C398A"/>
          <w:spacing w:val="-57"/>
          <w:sz w:val="24"/>
        </w:rPr>
        <w:t xml:space="preserve"> </w:t>
      </w:r>
      <w:r>
        <w:rPr>
          <w:i/>
          <w:color w:val="2C398A"/>
          <w:sz w:val="24"/>
        </w:rPr>
        <w:t>resilience of the health system; 2020.CSR2.2. Increase access to digital infrastructure and</w:t>
      </w:r>
      <w:r>
        <w:rPr>
          <w:i/>
          <w:color w:val="2C398A"/>
          <w:spacing w:val="1"/>
          <w:sz w:val="24"/>
        </w:rPr>
        <w:t xml:space="preserve"> </w:t>
      </w:r>
      <w:r>
        <w:rPr>
          <w:i/>
          <w:color w:val="2C398A"/>
          <w:sz w:val="24"/>
        </w:rPr>
        <w:t>services;</w:t>
      </w:r>
      <w:r>
        <w:rPr>
          <w:i/>
          <w:color w:val="2C398A"/>
          <w:spacing w:val="-2"/>
          <w:sz w:val="24"/>
        </w:rPr>
        <w:t xml:space="preserve"> </w:t>
      </w:r>
      <w:r>
        <w:rPr>
          <w:i/>
          <w:color w:val="2C398A"/>
          <w:sz w:val="24"/>
        </w:rPr>
        <w:t>2020.CSR2.3. Promote</w:t>
      </w:r>
      <w:r>
        <w:rPr>
          <w:i/>
          <w:color w:val="2C398A"/>
          <w:spacing w:val="-1"/>
          <w:sz w:val="24"/>
        </w:rPr>
        <w:t xml:space="preserve"> </w:t>
      </w:r>
      <w:r>
        <w:rPr>
          <w:i/>
          <w:color w:val="2C398A"/>
          <w:sz w:val="24"/>
        </w:rPr>
        <w:t>the acquisition of skills</w:t>
      </w:r>
    </w:p>
    <w:p w:rsidR="00A56FE9" w:rsidRDefault="00A56FE9">
      <w:pPr>
        <w:pStyle w:val="Tijeloteksta"/>
        <w:spacing w:before="3"/>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277235" cy="12700"/>
                <wp:effectExtent l="0" t="0" r="0" b="0"/>
                <wp:docPr id="1931042399"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235" cy="12700"/>
                          <a:chOff x="0" y="0"/>
                          <a:chExt cx="5161" cy="20"/>
                        </a:xfrm>
                      </wpg:grpSpPr>
                      <wps:wsp>
                        <wps:cNvPr id="1946245343" name="Rectangle 84"/>
                        <wps:cNvSpPr>
                          <a:spLocks noChangeArrowheads="1"/>
                        </wps:cNvSpPr>
                        <wps:spPr bwMode="auto">
                          <a:xfrm>
                            <a:off x="0" y="0"/>
                            <a:ext cx="5161"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1B3C595" id="Group 83" o:spid="_x0000_s1026" style="width:258.05pt;height:1pt;mso-position-horizontal-relative:char;mso-position-vertical-relative:line" coordsize="51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">
                <v:rect id="Rectangle 84" o:spid="_x0000_s1027" style="position:absolute;width:5161;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4"/>
      </w:pPr>
      <w:r>
        <w:t>Certain activities have been undertaken to promote a balanced geographical distribution of</w:t>
      </w:r>
      <w:r>
        <w:rPr>
          <w:spacing w:val="1"/>
        </w:rPr>
        <w:t xml:space="preserve"> </w:t>
      </w:r>
      <w:r>
        <w:t>healthcare</w:t>
      </w:r>
      <w:r>
        <w:rPr>
          <w:spacing w:val="1"/>
        </w:rPr>
        <w:t xml:space="preserve"> </w:t>
      </w:r>
      <w:r>
        <w:t>workers</w:t>
      </w:r>
      <w:r>
        <w:rPr>
          <w:spacing w:val="1"/>
        </w:rPr>
        <w:t xml:space="preserve"> </w:t>
      </w:r>
      <w:r>
        <w:t>and</w:t>
      </w:r>
      <w:r>
        <w:rPr>
          <w:spacing w:val="1"/>
        </w:rPr>
        <w:t xml:space="preserve"> </w:t>
      </w:r>
      <w:r>
        <w:t>healthcare</w:t>
      </w:r>
      <w:r>
        <w:rPr>
          <w:spacing w:val="1"/>
        </w:rPr>
        <w:t xml:space="preserve"> </w:t>
      </w:r>
      <w:r>
        <w:t>institutions</w:t>
      </w:r>
      <w:r>
        <w:rPr>
          <w:spacing w:val="1"/>
        </w:rPr>
        <w:t xml:space="preserve"> </w:t>
      </w:r>
      <w:r>
        <w:t>and</w:t>
      </w:r>
      <w:r>
        <w:rPr>
          <w:spacing w:val="1"/>
        </w:rPr>
        <w:t xml:space="preserve"> </w:t>
      </w:r>
      <w:r>
        <w:t>establish</w:t>
      </w:r>
      <w:r>
        <w:rPr>
          <w:spacing w:val="1"/>
        </w:rPr>
        <w:t xml:space="preserve"> </w:t>
      </w:r>
      <w:r>
        <w:t>closer</w:t>
      </w:r>
      <w:r>
        <w:rPr>
          <w:spacing w:val="1"/>
        </w:rPr>
        <w:t xml:space="preserve"> </w:t>
      </w:r>
      <w:r>
        <w:t>cooperation</w:t>
      </w:r>
      <w:r>
        <w:rPr>
          <w:spacing w:val="1"/>
        </w:rPr>
        <w:t xml:space="preserve"> </w:t>
      </w:r>
      <w:r>
        <w:t>between</w:t>
      </w:r>
      <w:r>
        <w:rPr>
          <w:spacing w:val="1"/>
        </w:rPr>
        <w:t xml:space="preserve"> </w:t>
      </w:r>
      <w:r>
        <w:t>administrative bodies at all levels. They also include investments in e-Healthcare. At the time</w:t>
      </w:r>
      <w:r>
        <w:rPr>
          <w:spacing w:val="1"/>
        </w:rPr>
        <w:t xml:space="preserve"> </w:t>
      </w:r>
      <w:r>
        <w:t>of the epidemic, many activities were reduced in scope and adapted to the new situation,</w:t>
      </w:r>
      <w:r>
        <w:rPr>
          <w:spacing w:val="1"/>
        </w:rPr>
        <w:t xml:space="preserve"> </w:t>
      </w:r>
      <w:r>
        <w:t>especially</w:t>
      </w:r>
      <w:r>
        <w:rPr>
          <w:spacing w:val="-6"/>
        </w:rPr>
        <w:t xml:space="preserve"> </w:t>
      </w:r>
      <w:r>
        <w:t>in terms of</w:t>
      </w:r>
      <w:r>
        <w:rPr>
          <w:spacing w:val="-1"/>
        </w:rPr>
        <w:t xml:space="preserve"> </w:t>
      </w:r>
      <w:r>
        <w:t>time frames, but</w:t>
      </w:r>
      <w:r>
        <w:rPr>
          <w:spacing w:val="1"/>
        </w:rPr>
        <w:t xml:space="preserve"> </w:t>
      </w:r>
      <w:r>
        <w:t>the activities</w:t>
      </w:r>
      <w:r>
        <w:rPr>
          <w:spacing w:val="1"/>
        </w:rPr>
        <w:t xml:space="preserve"> </w:t>
      </w:r>
      <w:r>
        <w:t>were</w:t>
      </w:r>
      <w:r>
        <w:rPr>
          <w:spacing w:val="-2"/>
        </w:rPr>
        <w:t xml:space="preserve"> </w:t>
      </w:r>
      <w:r>
        <w:t>not halted.</w:t>
      </w:r>
    </w:p>
    <w:p w:rsidR="00A56FE9" w:rsidRDefault="00000000">
      <w:pPr>
        <w:pStyle w:val="Tijeloteksta"/>
        <w:spacing w:before="121"/>
        <w:ind w:right="273"/>
      </w:pPr>
      <w:r>
        <w:t>In 2021, information systems (for vaccination, making appointments, expressing interest in</w:t>
      </w:r>
      <w:r>
        <w:rPr>
          <w:spacing w:val="1"/>
        </w:rPr>
        <w:t xml:space="preserve"> </w:t>
      </w:r>
      <w:r>
        <w:t>being vaccinated) were continuously adjusted for vaccination records and the introduction of</w:t>
      </w:r>
      <w:r>
        <w:rPr>
          <w:spacing w:val="1"/>
        </w:rPr>
        <w:t xml:space="preserve"> </w:t>
      </w:r>
      <w:r>
        <w:t>the</w:t>
      </w:r>
      <w:r>
        <w:rPr>
          <w:spacing w:val="-7"/>
        </w:rPr>
        <w:t xml:space="preserve"> </w:t>
      </w:r>
      <w:r>
        <w:t>third</w:t>
      </w:r>
      <w:r>
        <w:rPr>
          <w:spacing w:val="-6"/>
        </w:rPr>
        <w:t xml:space="preserve"> </w:t>
      </w:r>
      <w:r>
        <w:t>vaccination</w:t>
      </w:r>
      <w:r>
        <w:rPr>
          <w:spacing w:val="-5"/>
        </w:rPr>
        <w:t xml:space="preserve"> </w:t>
      </w:r>
      <w:r>
        <w:t>dose,</w:t>
      </w:r>
      <w:r>
        <w:rPr>
          <w:spacing w:val="-6"/>
        </w:rPr>
        <w:t xml:space="preserve"> </w:t>
      </w:r>
      <w:r>
        <w:t>in</w:t>
      </w:r>
      <w:r>
        <w:rPr>
          <w:spacing w:val="-4"/>
        </w:rPr>
        <w:t xml:space="preserve"> </w:t>
      </w:r>
      <w:r>
        <w:t>line</w:t>
      </w:r>
      <w:r>
        <w:rPr>
          <w:spacing w:val="-6"/>
        </w:rPr>
        <w:t xml:space="preserve"> </w:t>
      </w:r>
      <w:r>
        <w:t>with</w:t>
      </w:r>
      <w:r>
        <w:rPr>
          <w:spacing w:val="-6"/>
        </w:rPr>
        <w:t xml:space="preserve"> </w:t>
      </w:r>
      <w:r>
        <w:t>the</w:t>
      </w:r>
      <w:r>
        <w:rPr>
          <w:spacing w:val="-6"/>
        </w:rPr>
        <w:t xml:space="preserve"> </w:t>
      </w:r>
      <w:r>
        <w:t>opinions</w:t>
      </w:r>
      <w:r>
        <w:rPr>
          <w:spacing w:val="-5"/>
        </w:rPr>
        <w:t xml:space="preserve"> </w:t>
      </w:r>
      <w:r>
        <w:t>of</w:t>
      </w:r>
      <w:r>
        <w:rPr>
          <w:spacing w:val="-6"/>
        </w:rPr>
        <w:t xml:space="preserve"> </w:t>
      </w:r>
      <w:r>
        <w:t>the</w:t>
      </w:r>
      <w:r>
        <w:rPr>
          <w:spacing w:val="-7"/>
        </w:rPr>
        <w:t xml:space="preserve"> </w:t>
      </w:r>
      <w:r>
        <w:t>European</w:t>
      </w:r>
      <w:r>
        <w:rPr>
          <w:spacing w:val="-5"/>
        </w:rPr>
        <w:t xml:space="preserve"> </w:t>
      </w:r>
      <w:r>
        <w:t>Medicines</w:t>
      </w:r>
      <w:r>
        <w:rPr>
          <w:spacing w:val="-5"/>
        </w:rPr>
        <w:t xml:space="preserve"> </w:t>
      </w:r>
      <w:r>
        <w:t>Agency</w:t>
      </w:r>
      <w:r>
        <w:rPr>
          <w:spacing w:val="-6"/>
        </w:rPr>
        <w:t xml:space="preserve"> </w:t>
      </w:r>
      <w:r>
        <w:t>(EMA)</w:t>
      </w:r>
      <w:r>
        <w:rPr>
          <w:spacing w:val="-57"/>
        </w:rPr>
        <w:t xml:space="preserve"> </w:t>
      </w:r>
      <w:r>
        <w:t>and</w:t>
      </w:r>
      <w:r>
        <w:rPr>
          <w:spacing w:val="-1"/>
        </w:rPr>
        <w:t xml:space="preserve"> </w:t>
      </w:r>
      <w:r>
        <w:t>the European Centre</w:t>
      </w:r>
      <w:r>
        <w:rPr>
          <w:spacing w:val="2"/>
        </w:rPr>
        <w:t xml:space="preserve"> </w:t>
      </w:r>
      <w:r>
        <w:t>for</w:t>
      </w:r>
      <w:r>
        <w:rPr>
          <w:spacing w:val="-2"/>
        </w:rPr>
        <w:t xml:space="preserve"> </w:t>
      </w:r>
      <w:r>
        <w:t>Disease</w:t>
      </w:r>
      <w:r>
        <w:rPr>
          <w:spacing w:val="-2"/>
        </w:rPr>
        <w:t xml:space="preserve"> </w:t>
      </w:r>
      <w:r>
        <w:t>Prevention and Control</w:t>
      </w:r>
      <w:r>
        <w:rPr>
          <w:spacing w:val="2"/>
        </w:rPr>
        <w:t xml:space="preserve"> </w:t>
      </w:r>
      <w:r>
        <w:t>(ECDC).</w:t>
      </w:r>
    </w:p>
    <w:p w:rsidR="00A56FE9" w:rsidRDefault="00000000">
      <w:pPr>
        <w:pStyle w:val="Tijeloteksta"/>
        <w:spacing w:before="120"/>
        <w:ind w:right="273"/>
      </w:pPr>
      <w:r>
        <w:t>On 8 April 2021, the Government adopted the Decision on the Establishment of a Working</w:t>
      </w:r>
      <w:r>
        <w:rPr>
          <w:spacing w:val="1"/>
        </w:rPr>
        <w:t xml:space="preserve"> </w:t>
      </w:r>
      <w:r>
        <w:t>Group</w:t>
      </w:r>
      <w:r>
        <w:rPr>
          <w:spacing w:val="1"/>
        </w:rPr>
        <w:t xml:space="preserve"> </w:t>
      </w:r>
      <w:r>
        <w:t>to</w:t>
      </w:r>
      <w:r>
        <w:rPr>
          <w:spacing w:val="1"/>
        </w:rPr>
        <w:t xml:space="preserve"> </w:t>
      </w:r>
      <w:r>
        <w:t>Develop</w:t>
      </w:r>
      <w:r>
        <w:rPr>
          <w:spacing w:val="1"/>
        </w:rPr>
        <w:t xml:space="preserve"> </w:t>
      </w:r>
      <w:r>
        <w:t>a</w:t>
      </w:r>
      <w:r>
        <w:rPr>
          <w:spacing w:val="1"/>
        </w:rPr>
        <w:t xml:space="preserve"> </w:t>
      </w:r>
      <w:r>
        <w:t>Technical</w:t>
      </w:r>
      <w:r>
        <w:rPr>
          <w:spacing w:val="1"/>
        </w:rPr>
        <w:t xml:space="preserve"> </w:t>
      </w:r>
      <w:r>
        <w:t>Solution</w:t>
      </w:r>
      <w:r>
        <w:rPr>
          <w:spacing w:val="1"/>
        </w:rPr>
        <w:t xml:space="preserve"> </w:t>
      </w:r>
      <w:r>
        <w:t>for</w:t>
      </w:r>
      <w:r>
        <w:rPr>
          <w:spacing w:val="1"/>
        </w:rPr>
        <w:t xml:space="preserve"> </w:t>
      </w:r>
      <w:r>
        <w:t>Cross-Border</w:t>
      </w:r>
      <w:r>
        <w:rPr>
          <w:spacing w:val="1"/>
        </w:rPr>
        <w:t xml:space="preserve"> </w:t>
      </w:r>
      <w:r>
        <w:t>Interoperable</w:t>
      </w:r>
      <w:r>
        <w:rPr>
          <w:spacing w:val="1"/>
        </w:rPr>
        <w:t xml:space="preserve"> </w:t>
      </w:r>
      <w:r>
        <w:t>Digital</w:t>
      </w:r>
      <w:r>
        <w:rPr>
          <w:spacing w:val="1"/>
        </w:rPr>
        <w:t xml:space="preserve"> </w:t>
      </w:r>
      <w:r>
        <w:t>Green</w:t>
      </w:r>
      <w:r>
        <w:rPr>
          <w:spacing w:val="1"/>
        </w:rPr>
        <w:t xml:space="preserve"> </w:t>
      </w:r>
      <w:r>
        <w:t>Certificates</w:t>
      </w:r>
      <w:r>
        <w:rPr>
          <w:spacing w:val="-9"/>
        </w:rPr>
        <w:t xml:space="preserve"> </w:t>
      </w:r>
      <w:r>
        <w:t>for</w:t>
      </w:r>
      <w:r>
        <w:rPr>
          <w:spacing w:val="-12"/>
        </w:rPr>
        <w:t xml:space="preserve"> </w:t>
      </w:r>
      <w:r>
        <w:t>a</w:t>
      </w:r>
      <w:r>
        <w:rPr>
          <w:spacing w:val="-10"/>
        </w:rPr>
        <w:t xml:space="preserve"> </w:t>
      </w:r>
      <w:r>
        <w:t>national</w:t>
      </w:r>
      <w:r>
        <w:rPr>
          <w:spacing w:val="-7"/>
        </w:rPr>
        <w:t xml:space="preserve"> </w:t>
      </w:r>
      <w:r>
        <w:t>system</w:t>
      </w:r>
      <w:r>
        <w:rPr>
          <w:spacing w:val="-11"/>
        </w:rPr>
        <w:t xml:space="preserve"> </w:t>
      </w:r>
      <w:r>
        <w:t>of</w:t>
      </w:r>
      <w:r>
        <w:rPr>
          <w:spacing w:val="-11"/>
        </w:rPr>
        <w:t xml:space="preserve"> </w:t>
      </w:r>
      <w:r>
        <w:t>EU</w:t>
      </w:r>
      <w:r>
        <w:rPr>
          <w:spacing w:val="-10"/>
        </w:rPr>
        <w:t xml:space="preserve"> </w:t>
      </w:r>
      <w:r>
        <w:t>Digital</w:t>
      </w:r>
      <w:r>
        <w:rPr>
          <w:spacing w:val="-10"/>
        </w:rPr>
        <w:t xml:space="preserve"> </w:t>
      </w:r>
      <w:r>
        <w:t>COVID</w:t>
      </w:r>
      <w:r>
        <w:rPr>
          <w:spacing w:val="-11"/>
        </w:rPr>
        <w:t xml:space="preserve"> </w:t>
      </w:r>
      <w:r>
        <w:t>certificates,</w:t>
      </w:r>
      <w:r>
        <w:rPr>
          <w:spacing w:val="-8"/>
        </w:rPr>
        <w:t xml:space="preserve"> </w:t>
      </w:r>
      <w:r>
        <w:t>ensuring</w:t>
      </w:r>
      <w:r>
        <w:rPr>
          <w:spacing w:val="-13"/>
        </w:rPr>
        <w:t xml:space="preserve"> </w:t>
      </w:r>
      <w:r>
        <w:t>their</w:t>
      </w:r>
      <w:r>
        <w:rPr>
          <w:spacing w:val="-12"/>
        </w:rPr>
        <w:t xml:space="preserve"> </w:t>
      </w:r>
      <w:r>
        <w:t>cross-border</w:t>
      </w:r>
      <w:r>
        <w:rPr>
          <w:spacing w:val="-57"/>
        </w:rPr>
        <w:t xml:space="preserve"> </w:t>
      </w:r>
      <w:r>
        <w:t>interoperability.</w:t>
      </w:r>
      <w:r>
        <w:rPr>
          <w:spacing w:val="-4"/>
        </w:rPr>
        <w:t xml:space="preserve"> </w:t>
      </w:r>
      <w:r>
        <w:t>As</w:t>
      </w:r>
      <w:r>
        <w:rPr>
          <w:spacing w:val="-1"/>
        </w:rPr>
        <w:t xml:space="preserve"> </w:t>
      </w:r>
      <w:r>
        <w:t>an</w:t>
      </w:r>
      <w:r>
        <w:rPr>
          <w:spacing w:val="-4"/>
        </w:rPr>
        <w:t xml:space="preserve"> </w:t>
      </w:r>
      <w:r>
        <w:t>EU</w:t>
      </w:r>
      <w:r>
        <w:rPr>
          <w:spacing w:val="-4"/>
        </w:rPr>
        <w:t xml:space="preserve"> </w:t>
      </w:r>
      <w:r>
        <w:t>member</w:t>
      </w:r>
      <w:r>
        <w:rPr>
          <w:spacing w:val="-2"/>
        </w:rPr>
        <w:t xml:space="preserve"> </w:t>
      </w:r>
      <w:r>
        <w:t>state,</w:t>
      </w:r>
      <w:r>
        <w:rPr>
          <w:spacing w:val="-4"/>
        </w:rPr>
        <w:t xml:space="preserve"> </w:t>
      </w:r>
      <w:r>
        <w:t>Croatia had</w:t>
      </w:r>
      <w:r>
        <w:rPr>
          <w:spacing w:val="-4"/>
        </w:rPr>
        <w:t xml:space="preserve"> </w:t>
      </w:r>
      <w:r>
        <w:t>the</w:t>
      </w:r>
      <w:r>
        <w:rPr>
          <w:spacing w:val="-1"/>
        </w:rPr>
        <w:t xml:space="preserve"> </w:t>
      </w:r>
      <w:r>
        <w:t>earliest</w:t>
      </w:r>
      <w:r>
        <w:rPr>
          <w:spacing w:val="-1"/>
        </w:rPr>
        <w:t xml:space="preserve"> </w:t>
      </w:r>
      <w:r>
        <w:t>and</w:t>
      </w:r>
      <w:r>
        <w:rPr>
          <w:spacing w:val="-4"/>
        </w:rPr>
        <w:t xml:space="preserve"> </w:t>
      </w:r>
      <w:r>
        <w:t>most</w:t>
      </w:r>
      <w:r>
        <w:rPr>
          <w:spacing w:val="-1"/>
        </w:rPr>
        <w:t xml:space="preserve"> </w:t>
      </w:r>
      <w:r>
        <w:t>successful</w:t>
      </w:r>
      <w:r>
        <w:rPr>
          <w:spacing w:val="-4"/>
        </w:rPr>
        <w:t xml:space="preserve"> </w:t>
      </w:r>
      <w:r>
        <w:t>pilot</w:t>
      </w:r>
      <w:r>
        <w:rPr>
          <w:spacing w:val="-3"/>
        </w:rPr>
        <w:t xml:space="preserve"> </w:t>
      </w:r>
      <w:r>
        <w:t>test</w:t>
      </w:r>
      <w:r>
        <w:rPr>
          <w:spacing w:val="-58"/>
        </w:rPr>
        <w:t xml:space="preserve"> </w:t>
      </w:r>
      <w:r>
        <w:t>of</w:t>
      </w:r>
      <w:r>
        <w:rPr>
          <w:spacing w:val="-1"/>
        </w:rPr>
        <w:t xml:space="preserve"> </w:t>
      </w:r>
      <w:r>
        <w:t>EU</w:t>
      </w:r>
      <w:r>
        <w:rPr>
          <w:spacing w:val="-1"/>
        </w:rPr>
        <w:t xml:space="preserve"> </w:t>
      </w:r>
      <w:r>
        <w:t>Digital COVID Certificates.</w:t>
      </w:r>
    </w:p>
    <w:p w:rsidR="00A56FE9" w:rsidRDefault="00000000">
      <w:pPr>
        <w:pStyle w:val="Tijeloteksta"/>
        <w:spacing w:before="120"/>
        <w:ind w:right="272"/>
      </w:pPr>
      <w:r>
        <w:t>Also on 31 May 2021, the Government adopted a Decision on the Establishment of a National</w:t>
      </w:r>
      <w:r>
        <w:rPr>
          <w:spacing w:val="-57"/>
        </w:rPr>
        <w:t xml:space="preserve"> </w:t>
      </w:r>
      <w:r>
        <w:t>System</w:t>
      </w:r>
      <w:r>
        <w:rPr>
          <w:spacing w:val="-5"/>
        </w:rPr>
        <w:t xml:space="preserve"> </w:t>
      </w:r>
      <w:r>
        <w:t>for</w:t>
      </w:r>
      <w:r>
        <w:rPr>
          <w:spacing w:val="-4"/>
        </w:rPr>
        <w:t xml:space="preserve"> </w:t>
      </w:r>
      <w:r>
        <w:t>Issuing</w:t>
      </w:r>
      <w:r>
        <w:rPr>
          <w:spacing w:val="-6"/>
        </w:rPr>
        <w:t xml:space="preserve"> </w:t>
      </w:r>
      <w:r>
        <w:t>EU</w:t>
      </w:r>
      <w:r>
        <w:rPr>
          <w:spacing w:val="-5"/>
        </w:rPr>
        <w:t xml:space="preserve"> </w:t>
      </w:r>
      <w:r>
        <w:t>Digital</w:t>
      </w:r>
      <w:r>
        <w:rPr>
          <w:spacing w:val="-4"/>
        </w:rPr>
        <w:t xml:space="preserve"> </w:t>
      </w:r>
      <w:r>
        <w:t>COVID</w:t>
      </w:r>
      <w:r>
        <w:rPr>
          <w:spacing w:val="-4"/>
        </w:rPr>
        <w:t xml:space="preserve"> </w:t>
      </w:r>
      <w:r>
        <w:t>Certificates,</w:t>
      </w:r>
      <w:r>
        <w:rPr>
          <w:spacing w:val="-5"/>
        </w:rPr>
        <w:t xml:space="preserve"> </w:t>
      </w:r>
      <w:r>
        <w:t>formally</w:t>
      </w:r>
      <w:r>
        <w:rPr>
          <w:spacing w:val="-10"/>
        </w:rPr>
        <w:t xml:space="preserve"> </w:t>
      </w:r>
      <w:r>
        <w:t>establishing</w:t>
      </w:r>
      <w:r>
        <w:rPr>
          <w:spacing w:val="-6"/>
        </w:rPr>
        <w:t xml:space="preserve"> </w:t>
      </w:r>
      <w:r>
        <w:t>a</w:t>
      </w:r>
      <w:r>
        <w:rPr>
          <w:spacing w:val="-4"/>
        </w:rPr>
        <w:t xml:space="preserve"> </w:t>
      </w:r>
      <w:r>
        <w:t>national</w:t>
      </w:r>
      <w:r>
        <w:rPr>
          <w:spacing w:val="-3"/>
        </w:rPr>
        <w:t xml:space="preserve"> </w:t>
      </w:r>
      <w:r>
        <w:t>system</w:t>
      </w:r>
      <w:r>
        <w:rPr>
          <w:spacing w:val="-5"/>
        </w:rPr>
        <w:t xml:space="preserve"> </w:t>
      </w:r>
      <w:r>
        <w:t>for</w:t>
      </w:r>
      <w:r>
        <w:rPr>
          <w:spacing w:val="-58"/>
        </w:rPr>
        <w:t xml:space="preserve"> </w:t>
      </w:r>
      <w:r>
        <w:t>issuing EU Digital COVID Certificates to facilitate the free movement of citizens during the</w:t>
      </w:r>
      <w:r>
        <w:rPr>
          <w:spacing w:val="1"/>
        </w:rPr>
        <w:t xml:space="preserve"> </w:t>
      </w:r>
      <w:r>
        <w:t>epidemic and more effectively contributing to the gradual abolition of restrictions, while</w:t>
      </w:r>
      <w:r>
        <w:rPr>
          <w:spacing w:val="1"/>
        </w:rPr>
        <w:t xml:space="preserve"> </w:t>
      </w:r>
      <w:r>
        <w:t>achieving</w:t>
      </w:r>
      <w:r>
        <w:rPr>
          <w:spacing w:val="-4"/>
        </w:rPr>
        <w:t xml:space="preserve"> </w:t>
      </w:r>
      <w:r>
        <w:t>a</w:t>
      </w:r>
      <w:r>
        <w:rPr>
          <w:spacing w:val="-1"/>
        </w:rPr>
        <w:t xml:space="preserve"> </w:t>
      </w:r>
      <w:r>
        <w:t>high level of</w:t>
      </w:r>
      <w:r>
        <w:rPr>
          <w:spacing w:val="1"/>
        </w:rPr>
        <w:t xml:space="preserve"> </w:t>
      </w:r>
      <w:r>
        <w:t>public</w:t>
      </w:r>
      <w:r>
        <w:rPr>
          <w:spacing w:val="-1"/>
        </w:rPr>
        <w:t xml:space="preserve"> </w:t>
      </w:r>
      <w:r>
        <w:t>health protection.</w:t>
      </w:r>
    </w:p>
    <w:p w:rsidR="00A56FE9" w:rsidRDefault="00000000">
      <w:pPr>
        <w:pStyle w:val="Tijeloteksta"/>
        <w:spacing w:before="120"/>
        <w:ind w:right="271"/>
      </w:pPr>
      <w:r>
        <w:t>As of 1 June 2021, the national system for issuing EU Digital COVID Certificates started</w:t>
      </w:r>
      <w:r>
        <w:rPr>
          <w:spacing w:val="1"/>
        </w:rPr>
        <w:t xml:space="preserve"> </w:t>
      </w:r>
      <w:r>
        <w:t>operating</w:t>
      </w:r>
      <w:r>
        <w:rPr>
          <w:spacing w:val="1"/>
        </w:rPr>
        <w:t xml:space="preserve"> </w:t>
      </w:r>
      <w:r>
        <w:t>in</w:t>
      </w:r>
      <w:r>
        <w:rPr>
          <w:spacing w:val="1"/>
        </w:rPr>
        <w:t xml:space="preserve"> </w:t>
      </w:r>
      <w:r>
        <w:t>Croatia.</w:t>
      </w:r>
      <w:r>
        <w:rPr>
          <w:spacing w:val="1"/>
        </w:rPr>
        <w:t xml:space="preserve"> </w:t>
      </w:r>
      <w:r>
        <w:t>The</w:t>
      </w:r>
      <w:r>
        <w:rPr>
          <w:spacing w:val="1"/>
        </w:rPr>
        <w:t xml:space="preserve"> </w:t>
      </w:r>
      <w:r>
        <w:t>rules</w:t>
      </w:r>
      <w:r>
        <w:rPr>
          <w:spacing w:val="1"/>
        </w:rPr>
        <w:t xml:space="preserve"> </w:t>
      </w:r>
      <w:r>
        <w:t>for</w:t>
      </w:r>
      <w:r>
        <w:rPr>
          <w:spacing w:val="1"/>
        </w:rPr>
        <w:t xml:space="preserve"> </w:t>
      </w:r>
      <w:r>
        <w:t>issuing</w:t>
      </w:r>
      <w:r>
        <w:rPr>
          <w:spacing w:val="1"/>
        </w:rPr>
        <w:t xml:space="preserve"> </w:t>
      </w:r>
      <w:r>
        <w:t>EU</w:t>
      </w:r>
      <w:r>
        <w:rPr>
          <w:spacing w:val="1"/>
        </w:rPr>
        <w:t xml:space="preserve"> </w:t>
      </w:r>
      <w:r>
        <w:t>Digital</w:t>
      </w:r>
      <w:r>
        <w:rPr>
          <w:spacing w:val="1"/>
        </w:rPr>
        <w:t xml:space="preserve"> </w:t>
      </w:r>
      <w:r>
        <w:t>COVID</w:t>
      </w:r>
      <w:r>
        <w:rPr>
          <w:spacing w:val="1"/>
        </w:rPr>
        <w:t xml:space="preserve"> </w:t>
      </w:r>
      <w:r>
        <w:t>Certificates</w:t>
      </w:r>
      <w:r>
        <w:rPr>
          <w:spacing w:val="1"/>
        </w:rPr>
        <w:t xml:space="preserve"> </w:t>
      </w:r>
      <w:r>
        <w:t>have</w:t>
      </w:r>
      <w:r>
        <w:rPr>
          <w:spacing w:val="1"/>
        </w:rPr>
        <w:t xml:space="preserve"> </w:t>
      </w:r>
      <w:r>
        <w:t>been</w:t>
      </w:r>
      <w:r>
        <w:rPr>
          <w:spacing w:val="1"/>
        </w:rPr>
        <w:t xml:space="preserve"> </w:t>
      </w:r>
      <w:r>
        <w:t>harmonised at the EU level and further harmonised with the recommendations of the Croatian</w:t>
      </w:r>
      <w:r>
        <w:rPr>
          <w:spacing w:val="1"/>
        </w:rPr>
        <w:t xml:space="preserve"> </w:t>
      </w:r>
      <w:r>
        <w:t>Institute of Public Health (HZJZ). These rules have been changed in line with scientific</w:t>
      </w:r>
      <w:r>
        <w:rPr>
          <w:spacing w:val="1"/>
        </w:rPr>
        <w:t xml:space="preserve"> </w:t>
      </w:r>
      <w:r>
        <w:t>achievements, the epidemiological situation and recommendations of institutions such as the</w:t>
      </w:r>
      <w:r>
        <w:rPr>
          <w:spacing w:val="1"/>
        </w:rPr>
        <w:t xml:space="preserve"> </w:t>
      </w:r>
      <w:r>
        <w:t>ECDC</w:t>
      </w:r>
      <w:r>
        <w:rPr>
          <w:spacing w:val="-1"/>
        </w:rPr>
        <w:t xml:space="preserve"> </w:t>
      </w:r>
      <w:r>
        <w:t>and WHO. Therefore, the</w:t>
      </w:r>
      <w:r>
        <w:rPr>
          <w:spacing w:val="-2"/>
        </w:rPr>
        <w:t xml:space="preserve"> </w:t>
      </w:r>
      <w:r>
        <w:t>entire</w:t>
      </w:r>
      <w:r>
        <w:rPr>
          <w:spacing w:val="-1"/>
        </w:rPr>
        <w:t xml:space="preserve"> </w:t>
      </w:r>
      <w:r>
        <w:t>system is</w:t>
      </w:r>
      <w:r>
        <w:rPr>
          <w:spacing w:val="1"/>
        </w:rPr>
        <w:t xml:space="preserve"> </w:t>
      </w:r>
      <w:r>
        <w:t>being continuously</w:t>
      </w:r>
      <w:r>
        <w:rPr>
          <w:spacing w:val="-6"/>
        </w:rPr>
        <w:t xml:space="preserve"> </w:t>
      </w:r>
      <w:r>
        <w:t>upgraded.</w:t>
      </w:r>
    </w:p>
    <w:p w:rsidR="00A56FE9" w:rsidRDefault="00000000">
      <w:pPr>
        <w:pStyle w:val="Tijeloteksta"/>
        <w:spacing w:before="121"/>
        <w:ind w:right="274"/>
      </w:pPr>
      <w:r>
        <w:rPr>
          <w:spacing w:val="-1"/>
        </w:rPr>
        <w:t>The</w:t>
      </w:r>
      <w:r>
        <w:rPr>
          <w:spacing w:val="-16"/>
        </w:rPr>
        <w:t xml:space="preserve"> </w:t>
      </w:r>
      <w:r>
        <w:rPr>
          <w:spacing w:val="-1"/>
        </w:rPr>
        <w:t>Central</w:t>
      </w:r>
      <w:r>
        <w:rPr>
          <w:spacing w:val="-12"/>
        </w:rPr>
        <w:t xml:space="preserve"> </w:t>
      </w:r>
      <w:r>
        <w:rPr>
          <w:spacing w:val="-1"/>
        </w:rPr>
        <w:t>Health</w:t>
      </w:r>
      <w:r>
        <w:rPr>
          <w:spacing w:val="-11"/>
        </w:rPr>
        <w:t xml:space="preserve"> </w:t>
      </w:r>
      <w:r>
        <w:t>Information</w:t>
      </w:r>
      <w:r>
        <w:rPr>
          <w:spacing w:val="-14"/>
        </w:rPr>
        <w:t xml:space="preserve"> </w:t>
      </w:r>
      <w:r>
        <w:t>System</w:t>
      </w:r>
      <w:r>
        <w:rPr>
          <w:spacing w:val="-15"/>
        </w:rPr>
        <w:t xml:space="preserve"> </w:t>
      </w:r>
      <w:r>
        <w:t>(CEZIH)</w:t>
      </w:r>
      <w:r>
        <w:rPr>
          <w:spacing w:val="-7"/>
        </w:rPr>
        <w:t xml:space="preserve"> </w:t>
      </w:r>
      <w:r>
        <w:t>can</w:t>
      </w:r>
      <w:r>
        <w:rPr>
          <w:spacing w:val="-15"/>
        </w:rPr>
        <w:t xml:space="preserve"> </w:t>
      </w:r>
      <w:r>
        <w:t>help</w:t>
      </w:r>
      <w:r>
        <w:rPr>
          <w:spacing w:val="-13"/>
        </w:rPr>
        <w:t xml:space="preserve"> </w:t>
      </w:r>
      <w:r>
        <w:t>all</w:t>
      </w:r>
      <w:r>
        <w:rPr>
          <w:spacing w:val="-14"/>
        </w:rPr>
        <w:t xml:space="preserve"> </w:t>
      </w:r>
      <w:r>
        <w:t>Croatian</w:t>
      </w:r>
      <w:r>
        <w:rPr>
          <w:spacing w:val="-15"/>
        </w:rPr>
        <w:t xml:space="preserve"> </w:t>
      </w:r>
      <w:r>
        <w:t>citizens,</w:t>
      </w:r>
      <w:r>
        <w:rPr>
          <w:spacing w:val="-14"/>
        </w:rPr>
        <w:t xml:space="preserve"> </w:t>
      </w:r>
      <w:r>
        <w:t>especially</w:t>
      </w:r>
      <w:r>
        <w:rPr>
          <w:spacing w:val="-20"/>
        </w:rPr>
        <w:t xml:space="preserve"> </w:t>
      </w:r>
      <w:r>
        <w:t>those</w:t>
      </w:r>
      <w:r>
        <w:rPr>
          <w:spacing w:val="-58"/>
        </w:rPr>
        <w:t xml:space="preserve"> </w:t>
      </w:r>
      <w:r>
        <w:t>belonging to one of the vulnerable groups (chronic patients, cancer patients, the elderly, the</w:t>
      </w:r>
      <w:r>
        <w:rPr>
          <w:spacing w:val="1"/>
        </w:rPr>
        <w:t xml:space="preserve"> </w:t>
      </w:r>
      <w:r>
        <w:t>disabled, children, people with special needs, people in self-isolation and the like) to meet</w:t>
      </w:r>
      <w:r>
        <w:rPr>
          <w:spacing w:val="1"/>
        </w:rPr>
        <w:t xml:space="preserve"> </w:t>
      </w:r>
      <w:r>
        <w:t>certain health needs without coming into the doctor’s surgery or waiting room, meaning</w:t>
      </w:r>
      <w:r>
        <w:rPr>
          <w:spacing w:val="1"/>
        </w:rPr>
        <w:t xml:space="preserve"> </w:t>
      </w:r>
      <w:r>
        <w:t>remotely whenever possible. The ultimate goal is to protect the entire population, protect the</w:t>
      </w:r>
      <w:r>
        <w:rPr>
          <w:spacing w:val="1"/>
        </w:rPr>
        <w:t xml:space="preserve"> </w:t>
      </w:r>
      <w:r>
        <w:t>mentioned vulnerable groups on account of their extreme vulnerability, protect healthcare</w:t>
      </w:r>
      <w:r>
        <w:rPr>
          <w:spacing w:val="1"/>
        </w:rPr>
        <w:t xml:space="preserve"> </w:t>
      </w:r>
      <w:r>
        <w:t>workers, and prevent the</w:t>
      </w:r>
      <w:r>
        <w:rPr>
          <w:spacing w:val="1"/>
        </w:rPr>
        <w:t xml:space="preserve"> </w:t>
      </w:r>
      <w:r>
        <w:t>further</w:t>
      </w:r>
      <w:r>
        <w:rPr>
          <w:spacing w:val="-2"/>
        </w:rPr>
        <w:t xml:space="preserve"> </w:t>
      </w:r>
      <w:r>
        <w:t>spread</w:t>
      </w:r>
      <w:r>
        <w:rPr>
          <w:spacing w:val="-1"/>
        </w:rPr>
        <w:t xml:space="preserve"> </w:t>
      </w:r>
      <w:r>
        <w:t>of COVID-19 disease.</w:t>
      </w:r>
    </w:p>
    <w:p w:rsidR="00A56FE9" w:rsidRDefault="00000000">
      <w:pPr>
        <w:pStyle w:val="Tijeloteksta"/>
        <w:spacing w:before="120"/>
        <w:ind w:right="275"/>
      </w:pPr>
      <w:r>
        <w:t>The</w:t>
      </w:r>
      <w:r>
        <w:rPr>
          <w:spacing w:val="-4"/>
        </w:rPr>
        <w:t xml:space="preserve"> </w:t>
      </w:r>
      <w:r>
        <w:t>epidemic</w:t>
      </w:r>
      <w:r>
        <w:rPr>
          <w:spacing w:val="-1"/>
        </w:rPr>
        <w:t xml:space="preserve"> </w:t>
      </w:r>
      <w:r>
        <w:t>and</w:t>
      </w:r>
      <w:r>
        <w:rPr>
          <w:spacing w:val="-1"/>
        </w:rPr>
        <w:t xml:space="preserve"> </w:t>
      </w:r>
      <w:r>
        <w:t>objective</w:t>
      </w:r>
      <w:r>
        <w:rPr>
          <w:spacing w:val="-2"/>
        </w:rPr>
        <w:t xml:space="preserve"> </w:t>
      </w:r>
      <w:r>
        <w:t>reasons</w:t>
      </w:r>
      <w:r>
        <w:rPr>
          <w:spacing w:val="-1"/>
        </w:rPr>
        <w:t xml:space="preserve"> </w:t>
      </w:r>
      <w:r>
        <w:t>for</w:t>
      </w:r>
      <w:r>
        <w:rPr>
          <w:spacing w:val="-1"/>
        </w:rPr>
        <w:t xml:space="preserve"> </w:t>
      </w:r>
      <w:r>
        <w:t>reducing</w:t>
      </w:r>
      <w:r>
        <w:rPr>
          <w:spacing w:val="-4"/>
        </w:rPr>
        <w:t xml:space="preserve"> </w:t>
      </w:r>
      <w:r>
        <w:t>the</w:t>
      </w:r>
      <w:r>
        <w:rPr>
          <w:spacing w:val="-1"/>
        </w:rPr>
        <w:t xml:space="preserve"> </w:t>
      </w:r>
      <w:r>
        <w:t>scope</w:t>
      </w:r>
      <w:r>
        <w:rPr>
          <w:spacing w:val="-3"/>
        </w:rPr>
        <w:t xml:space="preserve"> </w:t>
      </w:r>
      <w:r>
        <w:t>of</w:t>
      </w:r>
      <w:r>
        <w:rPr>
          <w:spacing w:val="-1"/>
        </w:rPr>
        <w:t xml:space="preserve"> </w:t>
      </w:r>
      <w:r>
        <w:t>hospital</w:t>
      </w:r>
      <w:r>
        <w:rPr>
          <w:spacing w:val="-1"/>
        </w:rPr>
        <w:t xml:space="preserve"> </w:t>
      </w:r>
      <w:r>
        <w:t>work</w:t>
      </w:r>
      <w:r>
        <w:rPr>
          <w:spacing w:val="-1"/>
        </w:rPr>
        <w:t xml:space="preserve"> </w:t>
      </w:r>
      <w:r>
        <w:t>have</w:t>
      </w:r>
      <w:r>
        <w:rPr>
          <w:spacing w:val="-1"/>
        </w:rPr>
        <w:t xml:space="preserve"> </w:t>
      </w:r>
      <w:r>
        <w:t>had</w:t>
      </w:r>
      <w:r>
        <w:rPr>
          <w:spacing w:val="-1"/>
        </w:rPr>
        <w:t xml:space="preserve"> </w:t>
      </w:r>
      <w:r>
        <w:t>an</w:t>
      </w:r>
      <w:r>
        <w:rPr>
          <w:spacing w:val="-1"/>
        </w:rPr>
        <w:t xml:space="preserve"> </w:t>
      </w:r>
      <w:r>
        <w:t>effect</w:t>
      </w:r>
      <w:r>
        <w:rPr>
          <w:spacing w:val="-58"/>
        </w:rPr>
        <w:t xml:space="preserve"> </w:t>
      </w:r>
      <w:r>
        <w:t>on waiting lists. As soon as the epidemiological situation provided some relief, the hospital</w:t>
      </w:r>
      <w:r>
        <w:rPr>
          <w:spacing w:val="1"/>
        </w:rPr>
        <w:t xml:space="preserve"> </w:t>
      </w:r>
      <w:r>
        <w:t>system was reactivated, and regular work in hospitals was reinstated, which included the</w:t>
      </w:r>
      <w:r>
        <w:rPr>
          <w:spacing w:val="1"/>
        </w:rPr>
        <w:t xml:space="preserve"> </w:t>
      </w:r>
      <w:r>
        <w:t>evaluation of waiting lists and making up for missed appointments for schedule medical</w:t>
      </w:r>
      <w:r>
        <w:rPr>
          <w:spacing w:val="1"/>
        </w:rPr>
        <w:t xml:space="preserve"> </w:t>
      </w:r>
      <w:r>
        <w:t>examinations</w:t>
      </w:r>
      <w:r>
        <w:rPr>
          <w:spacing w:val="-1"/>
        </w:rPr>
        <w:t xml:space="preserve"> </w:t>
      </w:r>
      <w:r>
        <w:t>and procedures.</w:t>
      </w:r>
    </w:p>
    <w:p w:rsidR="00A56FE9" w:rsidRDefault="00A56FE9">
      <w:pPr>
        <w:sectPr w:rsidR="00A56FE9" w:rsidSect="00AB1E70">
          <w:pgSz w:w="11910" w:h="16840"/>
          <w:pgMar w:top="1160" w:right="1140" w:bottom="960" w:left="1280" w:header="0" w:footer="779" w:gutter="0"/>
          <w:cols w:space="720"/>
        </w:sectPr>
      </w:pPr>
    </w:p>
    <w:p w:rsidR="00A56FE9" w:rsidRDefault="00000000">
      <w:pPr>
        <w:pStyle w:val="Tijeloteksta"/>
        <w:spacing w:before="74"/>
        <w:ind w:right="272"/>
      </w:pPr>
      <w:r>
        <w:t>Based</w:t>
      </w:r>
      <w:r>
        <w:rPr>
          <w:spacing w:val="1"/>
        </w:rPr>
        <w:t xml:space="preserve"> </w:t>
      </w:r>
      <w:r>
        <w:t>on</w:t>
      </w:r>
      <w:r>
        <w:rPr>
          <w:spacing w:val="1"/>
        </w:rPr>
        <w:t xml:space="preserve"> </w:t>
      </w:r>
      <w:r>
        <w:t>data</w:t>
      </w:r>
      <w:r>
        <w:rPr>
          <w:spacing w:val="1"/>
        </w:rPr>
        <w:t xml:space="preserve"> </w:t>
      </w:r>
      <w:r>
        <w:t>from</w:t>
      </w:r>
      <w:r>
        <w:rPr>
          <w:spacing w:val="1"/>
        </w:rPr>
        <w:t xml:space="preserve"> </w:t>
      </w:r>
      <w:r>
        <w:t>the</w:t>
      </w:r>
      <w:r>
        <w:rPr>
          <w:spacing w:val="1"/>
        </w:rPr>
        <w:t xml:space="preserve"> </w:t>
      </w:r>
      <w:r>
        <w:t>eWaitinglists</w:t>
      </w:r>
      <w:r>
        <w:rPr>
          <w:spacing w:val="1"/>
        </w:rPr>
        <w:t xml:space="preserve"> </w:t>
      </w:r>
      <w:r>
        <w:t>(eListi</w:t>
      </w:r>
      <w:r>
        <w:rPr>
          <w:spacing w:val="1"/>
        </w:rPr>
        <w:t xml:space="preserve"> </w:t>
      </w:r>
      <w:r>
        <w:t>čekanja)</w:t>
      </w:r>
      <w:r>
        <w:rPr>
          <w:spacing w:val="1"/>
        </w:rPr>
        <w:t xml:space="preserve"> </w:t>
      </w:r>
      <w:r>
        <w:t>and</w:t>
      </w:r>
      <w:r>
        <w:rPr>
          <w:spacing w:val="1"/>
        </w:rPr>
        <w:t xml:space="preserve"> </w:t>
      </w:r>
      <w:r>
        <w:t>eAppointment</w:t>
      </w:r>
      <w:r>
        <w:rPr>
          <w:spacing w:val="1"/>
        </w:rPr>
        <w:t xml:space="preserve"> </w:t>
      </w:r>
      <w:r>
        <w:t>(eNaručivanja)</w:t>
      </w:r>
      <w:r>
        <w:rPr>
          <w:spacing w:val="-57"/>
        </w:rPr>
        <w:t xml:space="preserve"> </w:t>
      </w:r>
      <w:r>
        <w:t>system,</w:t>
      </w:r>
      <w:r>
        <w:rPr>
          <w:spacing w:val="-8"/>
        </w:rPr>
        <w:t xml:space="preserve"> </w:t>
      </w:r>
      <w:r>
        <w:t>the</w:t>
      </w:r>
      <w:r>
        <w:rPr>
          <w:spacing w:val="-8"/>
        </w:rPr>
        <w:t xml:space="preserve"> </w:t>
      </w:r>
      <w:r>
        <w:t>number</w:t>
      </w:r>
      <w:r>
        <w:rPr>
          <w:spacing w:val="-9"/>
        </w:rPr>
        <w:t xml:space="preserve"> </w:t>
      </w:r>
      <w:r>
        <w:t>of</w:t>
      </w:r>
      <w:r>
        <w:rPr>
          <w:spacing w:val="-8"/>
        </w:rPr>
        <w:t xml:space="preserve"> </w:t>
      </w:r>
      <w:r>
        <w:t>appointments</w:t>
      </w:r>
      <w:r>
        <w:rPr>
          <w:spacing w:val="-8"/>
        </w:rPr>
        <w:t xml:space="preserve"> </w:t>
      </w:r>
      <w:r>
        <w:t>totalling</w:t>
      </w:r>
      <w:r>
        <w:rPr>
          <w:spacing w:val="-8"/>
        </w:rPr>
        <w:t xml:space="preserve"> </w:t>
      </w:r>
      <w:r>
        <w:t>1,488,705</w:t>
      </w:r>
      <w:r>
        <w:rPr>
          <w:spacing w:val="-7"/>
        </w:rPr>
        <w:t xml:space="preserve"> </w:t>
      </w:r>
      <w:r>
        <w:t>at</w:t>
      </w:r>
      <w:r>
        <w:rPr>
          <w:spacing w:val="-7"/>
        </w:rPr>
        <w:t xml:space="preserve"> </w:t>
      </w:r>
      <w:r>
        <w:t>the</w:t>
      </w:r>
      <w:r>
        <w:rPr>
          <w:spacing w:val="-8"/>
        </w:rPr>
        <w:t xml:space="preserve"> </w:t>
      </w:r>
      <w:r>
        <w:t>end</w:t>
      </w:r>
      <w:r>
        <w:rPr>
          <w:spacing w:val="-9"/>
        </w:rPr>
        <w:t xml:space="preserve"> </w:t>
      </w:r>
      <w:r>
        <w:t>of</w:t>
      </w:r>
      <w:r>
        <w:rPr>
          <w:spacing w:val="-6"/>
        </w:rPr>
        <w:t xml:space="preserve"> </w:t>
      </w:r>
      <w:r>
        <w:t>February</w:t>
      </w:r>
      <w:r>
        <w:rPr>
          <w:spacing w:val="-12"/>
        </w:rPr>
        <w:t xml:space="preserve"> </w:t>
      </w:r>
      <w:r>
        <w:t>2020,</w:t>
      </w:r>
      <w:r>
        <w:rPr>
          <w:spacing w:val="-8"/>
        </w:rPr>
        <w:t xml:space="preserve"> </w:t>
      </w:r>
      <w:r>
        <w:t>before</w:t>
      </w:r>
      <w:r>
        <w:rPr>
          <w:spacing w:val="-9"/>
        </w:rPr>
        <w:t xml:space="preserve"> </w:t>
      </w:r>
      <w:r>
        <w:t>the</w:t>
      </w:r>
      <w:r>
        <w:rPr>
          <w:spacing w:val="-58"/>
        </w:rPr>
        <w:t xml:space="preserve"> </w:t>
      </w:r>
      <w:r>
        <w:rPr>
          <w:spacing w:val="-1"/>
        </w:rPr>
        <w:t>onset</w:t>
      </w:r>
      <w:r>
        <w:rPr>
          <w:spacing w:val="-12"/>
        </w:rPr>
        <w:t xml:space="preserve"> </w:t>
      </w:r>
      <w:r>
        <w:rPr>
          <w:spacing w:val="-1"/>
        </w:rPr>
        <w:t>of</w:t>
      </w:r>
      <w:r>
        <w:rPr>
          <w:spacing w:val="-12"/>
        </w:rPr>
        <w:t xml:space="preserve"> </w:t>
      </w:r>
      <w:r>
        <w:rPr>
          <w:spacing w:val="-1"/>
        </w:rPr>
        <w:t>the</w:t>
      </w:r>
      <w:r>
        <w:rPr>
          <w:spacing w:val="-13"/>
        </w:rPr>
        <w:t xml:space="preserve"> </w:t>
      </w:r>
      <w:r>
        <w:rPr>
          <w:spacing w:val="-1"/>
        </w:rPr>
        <w:t>COVID-19</w:t>
      </w:r>
      <w:r>
        <w:rPr>
          <w:spacing w:val="-11"/>
        </w:rPr>
        <w:t xml:space="preserve"> </w:t>
      </w:r>
      <w:r>
        <w:t>disease</w:t>
      </w:r>
      <w:r>
        <w:rPr>
          <w:spacing w:val="-13"/>
        </w:rPr>
        <w:t xml:space="preserve"> </w:t>
      </w:r>
      <w:r>
        <w:t>epidemic,</w:t>
      </w:r>
      <w:r>
        <w:rPr>
          <w:spacing w:val="-12"/>
        </w:rPr>
        <w:t xml:space="preserve"> </w:t>
      </w:r>
      <w:r>
        <w:t>was</w:t>
      </w:r>
      <w:r>
        <w:rPr>
          <w:spacing w:val="-12"/>
        </w:rPr>
        <w:t xml:space="preserve"> </w:t>
      </w:r>
      <w:r>
        <w:t>halved</w:t>
      </w:r>
      <w:r>
        <w:rPr>
          <w:spacing w:val="-11"/>
        </w:rPr>
        <w:t xml:space="preserve"> </w:t>
      </w:r>
      <w:r>
        <w:t>in</w:t>
      </w:r>
      <w:r>
        <w:rPr>
          <w:spacing w:val="-14"/>
        </w:rPr>
        <w:t xml:space="preserve"> </w:t>
      </w:r>
      <w:r>
        <w:t>January</w:t>
      </w:r>
      <w:r>
        <w:rPr>
          <w:spacing w:val="-17"/>
        </w:rPr>
        <w:t xml:space="preserve"> </w:t>
      </w:r>
      <w:r>
        <w:t>2021</w:t>
      </w:r>
      <w:r>
        <w:rPr>
          <w:spacing w:val="-9"/>
        </w:rPr>
        <w:t xml:space="preserve"> </w:t>
      </w:r>
      <w:r>
        <w:t>to</w:t>
      </w:r>
      <w:r>
        <w:rPr>
          <w:spacing w:val="-12"/>
        </w:rPr>
        <w:t xml:space="preserve"> </w:t>
      </w:r>
      <w:r>
        <w:t>757,216</w:t>
      </w:r>
      <w:r>
        <w:rPr>
          <w:spacing w:val="-11"/>
        </w:rPr>
        <w:t xml:space="preserve"> </w:t>
      </w:r>
      <w:r>
        <w:t>appointments.</w:t>
      </w:r>
      <w:r>
        <w:rPr>
          <w:spacing w:val="-58"/>
        </w:rPr>
        <w:t xml:space="preserve"> </w:t>
      </w:r>
      <w:r>
        <w:t>In line with the reduction of the waiting list, partly due to missed scheduled appointments, the</w:t>
      </w:r>
      <w:r>
        <w:rPr>
          <w:spacing w:val="1"/>
        </w:rPr>
        <w:t xml:space="preserve"> </w:t>
      </w:r>
      <w:r>
        <w:t>waiting times were shortened. With the relaxation of epidemic measures, the system returned</w:t>
      </w:r>
      <w:r>
        <w:rPr>
          <w:spacing w:val="1"/>
        </w:rPr>
        <w:t xml:space="preserve"> </w:t>
      </w:r>
      <w:r>
        <w:t>to</w:t>
      </w:r>
      <w:r>
        <w:rPr>
          <w:spacing w:val="-6"/>
        </w:rPr>
        <w:t xml:space="preserve"> </w:t>
      </w:r>
      <w:r>
        <w:t>its</w:t>
      </w:r>
      <w:r>
        <w:rPr>
          <w:spacing w:val="-5"/>
        </w:rPr>
        <w:t xml:space="preserve"> </w:t>
      </w:r>
      <w:r>
        <w:t>nominal</w:t>
      </w:r>
      <w:r>
        <w:rPr>
          <w:spacing w:val="-5"/>
        </w:rPr>
        <w:t xml:space="preserve"> </w:t>
      </w:r>
      <w:r>
        <w:t>capacity.</w:t>
      </w:r>
      <w:r>
        <w:rPr>
          <w:spacing w:val="-4"/>
        </w:rPr>
        <w:t xml:space="preserve"> </w:t>
      </w:r>
      <w:r>
        <w:t>As</w:t>
      </w:r>
      <w:r>
        <w:rPr>
          <w:spacing w:val="-6"/>
        </w:rPr>
        <w:t xml:space="preserve"> </w:t>
      </w:r>
      <w:r>
        <w:t>of</w:t>
      </w:r>
      <w:r>
        <w:rPr>
          <w:spacing w:val="-5"/>
        </w:rPr>
        <w:t xml:space="preserve"> </w:t>
      </w:r>
      <w:r>
        <w:t>31</w:t>
      </w:r>
      <w:r>
        <w:rPr>
          <w:spacing w:val="-3"/>
        </w:rPr>
        <w:t xml:space="preserve"> </w:t>
      </w:r>
      <w:r>
        <w:t>December</w:t>
      </w:r>
      <w:r>
        <w:rPr>
          <w:spacing w:val="-7"/>
        </w:rPr>
        <w:t xml:space="preserve"> </w:t>
      </w:r>
      <w:r>
        <w:t>2021,</w:t>
      </w:r>
      <w:r>
        <w:rPr>
          <w:spacing w:val="-5"/>
        </w:rPr>
        <w:t xml:space="preserve"> </w:t>
      </w:r>
      <w:r>
        <w:t>there</w:t>
      </w:r>
      <w:r>
        <w:rPr>
          <w:spacing w:val="-4"/>
        </w:rPr>
        <w:t xml:space="preserve"> </w:t>
      </w:r>
      <w:r>
        <w:t>were</w:t>
      </w:r>
      <w:r>
        <w:rPr>
          <w:spacing w:val="-5"/>
        </w:rPr>
        <w:t xml:space="preserve"> </w:t>
      </w:r>
      <w:r>
        <w:t>a</w:t>
      </w:r>
      <w:r>
        <w:rPr>
          <w:spacing w:val="-5"/>
        </w:rPr>
        <w:t xml:space="preserve"> </w:t>
      </w:r>
      <w:r>
        <w:t>total</w:t>
      </w:r>
      <w:r>
        <w:rPr>
          <w:spacing w:val="-5"/>
        </w:rPr>
        <w:t xml:space="preserve"> </w:t>
      </w:r>
      <w:r>
        <w:t>of</w:t>
      </w:r>
      <w:r>
        <w:rPr>
          <w:spacing w:val="-4"/>
        </w:rPr>
        <w:t xml:space="preserve"> </w:t>
      </w:r>
      <w:r>
        <w:t>1,094,287</w:t>
      </w:r>
      <w:r>
        <w:rPr>
          <w:spacing w:val="-3"/>
        </w:rPr>
        <w:t xml:space="preserve"> </w:t>
      </w:r>
      <w:r>
        <w:t>appointments</w:t>
      </w:r>
      <w:r>
        <w:rPr>
          <w:spacing w:val="-57"/>
        </w:rPr>
        <w:t xml:space="preserve"> </w:t>
      </w:r>
      <w:r>
        <w:t>scheduled, 30.80% less than before the outbreak of the epidemic. Analyses of data from the</w:t>
      </w:r>
      <w:r>
        <w:rPr>
          <w:spacing w:val="1"/>
        </w:rPr>
        <w:t xml:space="preserve"> </w:t>
      </w:r>
      <w:r>
        <w:t>eWaitinglists (eListi) and eAppointments (eNaručivanje) as well as the Central Management</w:t>
      </w:r>
      <w:r>
        <w:rPr>
          <w:spacing w:val="1"/>
        </w:rPr>
        <w:t xml:space="preserve"> </w:t>
      </w:r>
      <w:r>
        <w:t>System (CMS/CUS), i.e., control of the work of organizational units and health professionals</w:t>
      </w:r>
      <w:r>
        <w:rPr>
          <w:spacing w:val="1"/>
        </w:rPr>
        <w:t xml:space="preserve"> </w:t>
      </w:r>
      <w:r>
        <w:t>in relation to contractual obligations with health institutions and issued invoices for healthcare</w:t>
      </w:r>
      <w:r>
        <w:rPr>
          <w:spacing w:val="-57"/>
        </w:rPr>
        <w:t xml:space="preserve"> </w:t>
      </w:r>
      <w:r>
        <w:t>service created the prerequisites for monitoring the efficiency of available resources and</w:t>
      </w:r>
      <w:r>
        <w:rPr>
          <w:spacing w:val="1"/>
        </w:rPr>
        <w:t xml:space="preserve"> </w:t>
      </w:r>
      <w:r>
        <w:t>organisational structure as well as better management of waiting lists. The Ministry of Health</w:t>
      </w:r>
      <w:r>
        <w:rPr>
          <w:spacing w:val="1"/>
        </w:rPr>
        <w:t xml:space="preserve"> </w:t>
      </w:r>
      <w:r>
        <w:t>and the Croatian Health Insurance Fund (CHIF/HZZO) monitor the increase of appointments</w:t>
      </w:r>
      <w:r>
        <w:rPr>
          <w:spacing w:val="1"/>
        </w:rPr>
        <w:t xml:space="preserve"> </w:t>
      </w:r>
      <w:r>
        <w:t>and examine the effectiveness of available resources to ensure that the healthcare system</w:t>
      </w:r>
      <w:r>
        <w:rPr>
          <w:spacing w:val="1"/>
        </w:rPr>
        <w:t xml:space="preserve"> </w:t>
      </w:r>
      <w:r>
        <w:t>adequately</w:t>
      </w:r>
      <w:r>
        <w:rPr>
          <w:spacing w:val="-6"/>
        </w:rPr>
        <w:t xml:space="preserve"> </w:t>
      </w:r>
      <w:r>
        <w:t>responds to the demand for health services.</w:t>
      </w:r>
    </w:p>
    <w:p w:rsidR="00A56FE9" w:rsidRDefault="00000000">
      <w:pPr>
        <w:pStyle w:val="Tijeloteksta"/>
        <w:spacing w:before="121"/>
        <w:ind w:right="274"/>
      </w:pPr>
      <w:r>
        <w:t>Also, the Ministry of Health has instructed hospitals to increase the capacity of the Central</w:t>
      </w:r>
      <w:r>
        <w:rPr>
          <w:spacing w:val="1"/>
        </w:rPr>
        <w:t xml:space="preserve"> </w:t>
      </w:r>
      <w:r>
        <w:t>Appointment Units and provide additional times for making appointments with outpatients for</w:t>
      </w:r>
      <w:r>
        <w:rPr>
          <w:spacing w:val="-57"/>
        </w:rPr>
        <w:t xml:space="preserve"> </w:t>
      </w:r>
      <w:r>
        <w:t>specialist-consultative</w:t>
      </w:r>
      <w:r>
        <w:rPr>
          <w:spacing w:val="-4"/>
        </w:rPr>
        <w:t xml:space="preserve"> </w:t>
      </w:r>
      <w:r>
        <w:t>examinations</w:t>
      </w:r>
      <w:r>
        <w:rPr>
          <w:spacing w:val="-2"/>
        </w:rPr>
        <w:t xml:space="preserve"> </w:t>
      </w:r>
      <w:r>
        <w:t>and</w:t>
      </w:r>
      <w:r>
        <w:rPr>
          <w:spacing w:val="-4"/>
        </w:rPr>
        <w:t xml:space="preserve"> </w:t>
      </w:r>
      <w:r>
        <w:t>diagnostic</w:t>
      </w:r>
      <w:r>
        <w:rPr>
          <w:spacing w:val="-5"/>
        </w:rPr>
        <w:t xml:space="preserve"> </w:t>
      </w:r>
      <w:r>
        <w:t>and</w:t>
      </w:r>
      <w:r>
        <w:rPr>
          <w:spacing w:val="-2"/>
        </w:rPr>
        <w:t xml:space="preserve"> </w:t>
      </w:r>
      <w:r>
        <w:t>therapeutic</w:t>
      </w:r>
      <w:r>
        <w:rPr>
          <w:spacing w:val="-5"/>
        </w:rPr>
        <w:t xml:space="preserve"> </w:t>
      </w:r>
      <w:r>
        <w:t>procedures to</w:t>
      </w:r>
      <w:r>
        <w:rPr>
          <w:spacing w:val="-2"/>
        </w:rPr>
        <w:t xml:space="preserve"> </w:t>
      </w:r>
      <w:r>
        <w:t>prevent</w:t>
      </w:r>
      <w:r>
        <w:rPr>
          <w:spacing w:val="-3"/>
        </w:rPr>
        <w:t xml:space="preserve"> </w:t>
      </w:r>
      <w:r>
        <w:t>long</w:t>
      </w:r>
      <w:r>
        <w:rPr>
          <w:spacing w:val="-58"/>
        </w:rPr>
        <w:t xml:space="preserve"> </w:t>
      </w:r>
      <w:r>
        <w:t>waiting</w:t>
      </w:r>
      <w:r>
        <w:rPr>
          <w:spacing w:val="-3"/>
        </w:rPr>
        <w:t xml:space="preserve"> </w:t>
      </w:r>
      <w:r>
        <w:t>lists.</w:t>
      </w:r>
    </w:p>
    <w:p w:rsidR="00A56FE9" w:rsidRDefault="00A56FE9">
      <w:pPr>
        <w:pStyle w:val="Tijeloteksta"/>
        <w:spacing w:before="4"/>
        <w:ind w:left="0"/>
        <w:jc w:val="left"/>
        <w:rPr>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92474344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378004594" name="Rectangle 82"/>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590F2C6" id="Group 81"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">
                <v:rect id="Rectangle 82"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" fillcolor="#2c398a" stroked="f"/>
                <w10:anchorlock/>
              </v:group>
            </w:pict>
          </mc:Fallback>
        </mc:AlternateContent>
      </w:r>
    </w:p>
    <w:p w:rsidR="00A56FE9" w:rsidRDefault="00000000">
      <w:pPr>
        <w:pStyle w:val="Tijeloteksta"/>
        <w:spacing w:before="154"/>
        <w:ind w:right="276"/>
      </w:pPr>
      <w:r>
        <w:t>To improve the efficiency, quality and accessibility of the health care system across the entire</w:t>
      </w:r>
      <w:r>
        <w:rPr>
          <w:spacing w:val="1"/>
        </w:rPr>
        <w:t xml:space="preserve"> </w:t>
      </w:r>
      <w:r>
        <w:rPr>
          <w:spacing w:val="-1"/>
        </w:rPr>
        <w:t>territory</w:t>
      </w:r>
      <w:r>
        <w:rPr>
          <w:spacing w:val="-17"/>
        </w:rPr>
        <w:t xml:space="preserve"> </w:t>
      </w:r>
      <w:r>
        <w:rPr>
          <w:spacing w:val="-1"/>
        </w:rPr>
        <w:t>of</w:t>
      </w:r>
      <w:r>
        <w:rPr>
          <w:spacing w:val="-11"/>
        </w:rPr>
        <w:t xml:space="preserve"> </w:t>
      </w:r>
      <w:r>
        <w:t>Croatia</w:t>
      </w:r>
      <w:r>
        <w:rPr>
          <w:spacing w:val="-11"/>
        </w:rPr>
        <w:t xml:space="preserve"> </w:t>
      </w:r>
      <w:r>
        <w:t>and</w:t>
      </w:r>
      <w:r>
        <w:rPr>
          <w:spacing w:val="-11"/>
        </w:rPr>
        <w:t xml:space="preserve"> </w:t>
      </w:r>
      <w:r>
        <w:t>in</w:t>
      </w:r>
      <w:r>
        <w:rPr>
          <w:spacing w:val="-10"/>
        </w:rPr>
        <w:t xml:space="preserve"> </w:t>
      </w:r>
      <w:r>
        <w:t>terms</w:t>
      </w:r>
      <w:r>
        <w:rPr>
          <w:spacing w:val="-12"/>
        </w:rPr>
        <w:t xml:space="preserve"> </w:t>
      </w:r>
      <w:r>
        <w:t>of</w:t>
      </w:r>
      <w:r>
        <w:rPr>
          <w:spacing w:val="-10"/>
        </w:rPr>
        <w:t xml:space="preserve"> </w:t>
      </w:r>
      <w:r>
        <w:t>the</w:t>
      </w:r>
      <w:r>
        <w:rPr>
          <w:spacing w:val="-11"/>
        </w:rPr>
        <w:t xml:space="preserve"> </w:t>
      </w:r>
      <w:r>
        <w:t>NRRP,</w:t>
      </w:r>
      <w:r>
        <w:rPr>
          <w:spacing w:val="-12"/>
        </w:rPr>
        <w:t xml:space="preserve"> </w:t>
      </w:r>
      <w:r>
        <w:t>appropriate</w:t>
      </w:r>
      <w:r>
        <w:rPr>
          <w:spacing w:val="-13"/>
        </w:rPr>
        <w:t xml:space="preserve"> </w:t>
      </w:r>
      <w:r>
        <w:t>reforms</w:t>
      </w:r>
      <w:r>
        <w:rPr>
          <w:spacing w:val="-10"/>
        </w:rPr>
        <w:t xml:space="preserve"> </w:t>
      </w:r>
      <w:r>
        <w:t>and</w:t>
      </w:r>
      <w:r>
        <w:rPr>
          <w:spacing w:val="-12"/>
        </w:rPr>
        <w:t xml:space="preserve"> </w:t>
      </w:r>
      <w:r>
        <w:t>investments</w:t>
      </w:r>
      <w:r>
        <w:rPr>
          <w:spacing w:val="-12"/>
        </w:rPr>
        <w:t xml:space="preserve"> </w:t>
      </w:r>
      <w:r>
        <w:t>are</w:t>
      </w:r>
      <w:r>
        <w:rPr>
          <w:spacing w:val="-12"/>
        </w:rPr>
        <w:t xml:space="preserve"> </w:t>
      </w:r>
      <w:r>
        <w:t>planned.</w:t>
      </w:r>
    </w:p>
    <w:p w:rsidR="00A56FE9" w:rsidRDefault="00000000">
      <w:pPr>
        <w:pStyle w:val="Tijeloteksta"/>
        <w:spacing w:before="120"/>
        <w:ind w:right="274"/>
      </w:pPr>
      <w:r>
        <w:t>A big contribution to achieving the goal of a balanced allocation of healthcare workers and</w:t>
      </w:r>
      <w:r>
        <w:rPr>
          <w:spacing w:val="1"/>
        </w:rPr>
        <w:t xml:space="preserve"> </w:t>
      </w:r>
      <w:r>
        <w:t>healthcare institutions comes from planned activities over the entire duration of the NRRP,</w:t>
      </w:r>
      <w:r>
        <w:rPr>
          <w:spacing w:val="1"/>
        </w:rPr>
        <w:t xml:space="preserve"> </w:t>
      </w:r>
      <w:r>
        <w:t>aimed at introducing a mobile pharmacy service in primary health care and mobile clinics, as</w:t>
      </w:r>
      <w:r>
        <w:rPr>
          <w:spacing w:val="1"/>
        </w:rPr>
        <w:t xml:space="preserve"> </w:t>
      </w:r>
      <w:r>
        <w:t>well</w:t>
      </w:r>
      <w:r>
        <w:rPr>
          <w:spacing w:val="-6"/>
        </w:rPr>
        <w:t xml:space="preserve"> </w:t>
      </w:r>
      <w:r>
        <w:t>as</w:t>
      </w:r>
      <w:r>
        <w:rPr>
          <w:spacing w:val="-6"/>
        </w:rPr>
        <w:t xml:space="preserve"> </w:t>
      </w:r>
      <w:r>
        <w:t>centralised</w:t>
      </w:r>
      <w:r>
        <w:rPr>
          <w:spacing w:val="-7"/>
        </w:rPr>
        <w:t xml:space="preserve"> </w:t>
      </w:r>
      <w:r>
        <w:t>financing</w:t>
      </w:r>
      <w:r>
        <w:rPr>
          <w:spacing w:val="-8"/>
        </w:rPr>
        <w:t xml:space="preserve"> </w:t>
      </w:r>
      <w:r>
        <w:t>of</w:t>
      </w:r>
      <w:r>
        <w:rPr>
          <w:spacing w:val="-6"/>
        </w:rPr>
        <w:t xml:space="preserve"> </w:t>
      </w:r>
      <w:r>
        <w:t>physician</w:t>
      </w:r>
      <w:r>
        <w:rPr>
          <w:spacing w:val="-6"/>
        </w:rPr>
        <w:t xml:space="preserve"> </w:t>
      </w:r>
      <w:r>
        <w:t>specialisations</w:t>
      </w:r>
      <w:r>
        <w:rPr>
          <w:spacing w:val="-6"/>
        </w:rPr>
        <w:t xml:space="preserve"> </w:t>
      </w:r>
      <w:r>
        <w:t>at</w:t>
      </w:r>
      <w:r>
        <w:rPr>
          <w:spacing w:val="-6"/>
        </w:rPr>
        <w:t xml:space="preserve"> </w:t>
      </w:r>
      <w:r>
        <w:t>the</w:t>
      </w:r>
      <w:r>
        <w:rPr>
          <w:spacing w:val="-7"/>
        </w:rPr>
        <w:t xml:space="preserve"> </w:t>
      </w:r>
      <w:r>
        <w:t>primary</w:t>
      </w:r>
      <w:r>
        <w:rPr>
          <w:spacing w:val="-11"/>
        </w:rPr>
        <w:t xml:space="preserve"> </w:t>
      </w:r>
      <w:r>
        <w:t>level</w:t>
      </w:r>
      <w:r>
        <w:rPr>
          <w:spacing w:val="-5"/>
        </w:rPr>
        <w:t xml:space="preserve"> </w:t>
      </w:r>
      <w:r>
        <w:t>of</w:t>
      </w:r>
      <w:r>
        <w:rPr>
          <w:spacing w:val="-7"/>
        </w:rPr>
        <w:t xml:space="preserve"> </w:t>
      </w:r>
      <w:r>
        <w:t>health</w:t>
      </w:r>
      <w:r>
        <w:rPr>
          <w:spacing w:val="-6"/>
        </w:rPr>
        <w:t xml:space="preserve"> </w:t>
      </w:r>
      <w:r>
        <w:t>care</w:t>
      </w:r>
      <w:r>
        <w:rPr>
          <w:spacing w:val="-6"/>
        </w:rPr>
        <w:t xml:space="preserve"> </w:t>
      </w:r>
      <w:r>
        <w:t>and</w:t>
      </w:r>
      <w:r>
        <w:rPr>
          <w:spacing w:val="-58"/>
        </w:rPr>
        <w:t xml:space="preserve"> </w:t>
      </w:r>
      <w:r>
        <w:t>public health, as well as specialist training of nurses and technicians in the field of emergency</w:t>
      </w:r>
      <w:r>
        <w:rPr>
          <w:spacing w:val="1"/>
        </w:rPr>
        <w:t xml:space="preserve"> </w:t>
      </w:r>
      <w:r>
        <w:t>medicine.</w:t>
      </w:r>
    </w:p>
    <w:p w:rsidR="00A56FE9" w:rsidRDefault="00000000">
      <w:pPr>
        <w:pStyle w:val="Tijeloteksta"/>
        <w:spacing w:before="121"/>
        <w:ind w:right="272"/>
      </w:pPr>
      <w:r>
        <w:rPr>
          <w:spacing w:val="-1"/>
        </w:rPr>
        <w:t>In</w:t>
      </w:r>
      <w:r>
        <w:rPr>
          <w:spacing w:val="-13"/>
        </w:rPr>
        <w:t xml:space="preserve"> </w:t>
      </w:r>
      <w:r>
        <w:rPr>
          <w:spacing w:val="-1"/>
        </w:rPr>
        <w:t>terms</w:t>
      </w:r>
      <w:r>
        <w:rPr>
          <w:spacing w:val="-14"/>
        </w:rPr>
        <w:t xml:space="preserve"> </w:t>
      </w:r>
      <w:r>
        <w:rPr>
          <w:spacing w:val="-1"/>
        </w:rPr>
        <w:t>of</w:t>
      </w:r>
      <w:r>
        <w:rPr>
          <w:spacing w:val="-16"/>
        </w:rPr>
        <w:t xml:space="preserve"> </w:t>
      </w:r>
      <w:r>
        <w:t>the</w:t>
      </w:r>
      <w:r>
        <w:rPr>
          <w:spacing w:val="-13"/>
        </w:rPr>
        <w:t xml:space="preserve"> </w:t>
      </w:r>
      <w:r>
        <w:t>NRRP</w:t>
      </w:r>
      <w:r>
        <w:rPr>
          <w:spacing w:val="-14"/>
        </w:rPr>
        <w:t xml:space="preserve"> </w:t>
      </w:r>
      <w:r>
        <w:t>investment</w:t>
      </w:r>
      <w:r>
        <w:rPr>
          <w:spacing w:val="-14"/>
        </w:rPr>
        <w:t xml:space="preserve"> </w:t>
      </w:r>
      <w:r>
        <w:t>C5.1</w:t>
      </w:r>
      <w:r>
        <w:rPr>
          <w:spacing w:val="-15"/>
        </w:rPr>
        <w:t xml:space="preserve"> </w:t>
      </w:r>
      <w:r>
        <w:t>R3-I2</w:t>
      </w:r>
      <w:r>
        <w:rPr>
          <w:spacing w:val="-15"/>
        </w:rPr>
        <w:t xml:space="preserve"> </w:t>
      </w:r>
      <w:r>
        <w:t>Specialist</w:t>
      </w:r>
      <w:r>
        <w:rPr>
          <w:spacing w:val="-14"/>
        </w:rPr>
        <w:t xml:space="preserve"> </w:t>
      </w:r>
      <w:r>
        <w:t>training</w:t>
      </w:r>
      <w:r>
        <w:rPr>
          <w:spacing w:val="-15"/>
        </w:rPr>
        <w:t xml:space="preserve"> </w:t>
      </w:r>
      <w:r>
        <w:t>of</w:t>
      </w:r>
      <w:r>
        <w:rPr>
          <w:spacing w:val="-14"/>
        </w:rPr>
        <w:t xml:space="preserve"> </w:t>
      </w:r>
      <w:r>
        <w:t>medical</w:t>
      </w:r>
      <w:r>
        <w:rPr>
          <w:spacing w:val="-14"/>
        </w:rPr>
        <w:t xml:space="preserve"> </w:t>
      </w:r>
      <w:r>
        <w:t>nurses</w:t>
      </w:r>
      <w:r>
        <w:rPr>
          <w:spacing w:val="-15"/>
        </w:rPr>
        <w:t xml:space="preserve"> </w:t>
      </w:r>
      <w:r>
        <w:t>in</w:t>
      </w:r>
      <w:r>
        <w:rPr>
          <w:spacing w:val="-12"/>
        </w:rPr>
        <w:t xml:space="preserve"> </w:t>
      </w:r>
      <w:r>
        <w:t>emergency</w:t>
      </w:r>
      <w:r>
        <w:rPr>
          <w:spacing w:val="-57"/>
        </w:rPr>
        <w:t xml:space="preserve"> </w:t>
      </w:r>
      <w:r>
        <w:t>medicine, the plan is to make a decision on specialist training of medical nurses in the field of</w:t>
      </w:r>
      <w:r>
        <w:rPr>
          <w:spacing w:val="1"/>
        </w:rPr>
        <w:t xml:space="preserve"> </w:t>
      </w:r>
      <w:r>
        <w:t>emergency medicine. Such specialist training ensures knowledge and skills, i.e., competencies</w:t>
      </w:r>
      <w:r>
        <w:rPr>
          <w:spacing w:val="-57"/>
        </w:rPr>
        <w:t xml:space="preserve"> </w:t>
      </w:r>
      <w:r>
        <w:t>for</w:t>
      </w:r>
      <w:r>
        <w:rPr>
          <w:spacing w:val="-2"/>
        </w:rPr>
        <w:t xml:space="preserve"> </w:t>
      </w:r>
      <w:r>
        <w:t>medical nurses to work autonomously</w:t>
      </w:r>
      <w:r>
        <w:rPr>
          <w:spacing w:val="-4"/>
        </w:rPr>
        <w:t xml:space="preserve"> </w:t>
      </w:r>
      <w:r>
        <w:t>in emergency</w:t>
      </w:r>
      <w:r>
        <w:rPr>
          <w:spacing w:val="-5"/>
        </w:rPr>
        <w:t xml:space="preserve"> </w:t>
      </w:r>
      <w:r>
        <w:t>medicine.</w:t>
      </w:r>
    </w:p>
    <w:p w:rsidR="00A56FE9" w:rsidRDefault="00000000">
      <w:pPr>
        <w:pStyle w:val="Tijeloteksta"/>
        <w:spacing w:before="120"/>
        <w:ind w:right="277"/>
      </w:pPr>
      <w:r>
        <w:t>In terms of NRRP investment C5.1. R3-I1 Central funding for specializations, the plan is to</w:t>
      </w:r>
      <w:r>
        <w:rPr>
          <w:spacing w:val="1"/>
        </w:rPr>
        <w:t xml:space="preserve"> </w:t>
      </w:r>
      <w:r>
        <w:t>make a decision on funding 467 specialisations for medical doctors. It facilitates the balanced</w:t>
      </w:r>
      <w:r>
        <w:rPr>
          <w:spacing w:val="1"/>
        </w:rPr>
        <w:t xml:space="preserve"> </w:t>
      </w:r>
      <w:r>
        <w:t>and sufficient occupancy of the public health service network and improve the availability of</w:t>
      </w:r>
      <w:r>
        <w:rPr>
          <w:spacing w:val="1"/>
        </w:rPr>
        <w:t xml:space="preserve"> </w:t>
      </w:r>
      <w:r>
        <w:t>health</w:t>
      </w:r>
      <w:r>
        <w:rPr>
          <w:spacing w:val="-1"/>
        </w:rPr>
        <w:t xml:space="preserve"> </w:t>
      </w:r>
      <w:r>
        <w:t>care</w:t>
      </w:r>
      <w:r>
        <w:rPr>
          <w:spacing w:val="-1"/>
        </w:rPr>
        <w:t xml:space="preserve"> </w:t>
      </w:r>
      <w:r>
        <w:t>to all citizens.</w:t>
      </w:r>
    </w:p>
    <w:p w:rsidR="00A56FE9" w:rsidRDefault="00000000">
      <w:pPr>
        <w:pStyle w:val="Tijeloteksta"/>
        <w:spacing w:before="120"/>
        <w:ind w:right="281"/>
      </w:pPr>
      <w:r>
        <w:t>These activities will increase the availability and quality of health care for residents in remote</w:t>
      </w:r>
      <w:r>
        <w:rPr>
          <w:spacing w:val="1"/>
        </w:rPr>
        <w:t xml:space="preserve"> </w:t>
      </w:r>
      <w:r>
        <w:t>and rural areas, especially at the level of public health and the basic primary level of health</w:t>
      </w:r>
      <w:r>
        <w:rPr>
          <w:spacing w:val="1"/>
        </w:rPr>
        <w:t xml:space="preserve"> </w:t>
      </w:r>
      <w:r>
        <w:t>care.</w:t>
      </w:r>
    </w:p>
    <w:p w:rsidR="00A56FE9" w:rsidRDefault="00000000">
      <w:pPr>
        <w:pStyle w:val="Tijeloteksta"/>
        <w:spacing w:before="120"/>
        <w:ind w:right="273"/>
      </w:pPr>
      <w:r>
        <w:t>In terms of NRRP reform C5.1. R1 Improving the efficiency, quality and accessibility of the</w:t>
      </w:r>
      <w:r>
        <w:rPr>
          <w:spacing w:val="1"/>
        </w:rPr>
        <w:t xml:space="preserve"> </w:t>
      </w:r>
      <w:r>
        <w:t>health</w:t>
      </w:r>
      <w:r>
        <w:rPr>
          <w:spacing w:val="-6"/>
        </w:rPr>
        <w:t xml:space="preserve"> </w:t>
      </w:r>
      <w:r>
        <w:t>system,</w:t>
      </w:r>
      <w:r>
        <w:rPr>
          <w:spacing w:val="-4"/>
        </w:rPr>
        <w:t xml:space="preserve"> </w:t>
      </w:r>
      <w:r>
        <w:t>a</w:t>
      </w:r>
      <w:r>
        <w:rPr>
          <w:spacing w:val="-7"/>
        </w:rPr>
        <w:t xml:space="preserve"> </w:t>
      </w:r>
      <w:r>
        <w:rPr>
          <w:b/>
        </w:rPr>
        <w:t>framework</w:t>
      </w:r>
      <w:r>
        <w:rPr>
          <w:b/>
          <w:spacing w:val="-6"/>
        </w:rPr>
        <w:t xml:space="preserve"> </w:t>
      </w:r>
      <w:r>
        <w:rPr>
          <w:b/>
        </w:rPr>
        <w:t>for</w:t>
      </w:r>
      <w:r>
        <w:rPr>
          <w:b/>
          <w:spacing w:val="-7"/>
        </w:rPr>
        <w:t xml:space="preserve"> </w:t>
      </w:r>
      <w:r>
        <w:rPr>
          <w:b/>
        </w:rPr>
        <w:t>assessing</w:t>
      </w:r>
      <w:r>
        <w:rPr>
          <w:b/>
          <w:spacing w:val="-6"/>
        </w:rPr>
        <w:t xml:space="preserve"> </w:t>
      </w:r>
      <w:r>
        <w:rPr>
          <w:b/>
        </w:rPr>
        <w:t>the</w:t>
      </w:r>
      <w:r>
        <w:rPr>
          <w:b/>
          <w:spacing w:val="-7"/>
        </w:rPr>
        <w:t xml:space="preserve"> </w:t>
      </w:r>
      <w:r>
        <w:rPr>
          <w:b/>
        </w:rPr>
        <w:t>efficiency</w:t>
      </w:r>
      <w:r>
        <w:rPr>
          <w:b/>
          <w:spacing w:val="-6"/>
        </w:rPr>
        <w:t xml:space="preserve"> </w:t>
      </w:r>
      <w:r>
        <w:rPr>
          <w:b/>
        </w:rPr>
        <w:t>of</w:t>
      </w:r>
      <w:r>
        <w:rPr>
          <w:b/>
          <w:spacing w:val="-5"/>
        </w:rPr>
        <w:t xml:space="preserve"> </w:t>
      </w:r>
      <w:r>
        <w:rPr>
          <w:b/>
        </w:rPr>
        <w:t>the</w:t>
      </w:r>
      <w:r>
        <w:rPr>
          <w:b/>
          <w:spacing w:val="-7"/>
        </w:rPr>
        <w:t xml:space="preserve"> </w:t>
      </w:r>
      <w:r>
        <w:rPr>
          <w:b/>
        </w:rPr>
        <w:t>health</w:t>
      </w:r>
      <w:r>
        <w:rPr>
          <w:b/>
          <w:spacing w:val="-6"/>
        </w:rPr>
        <w:t xml:space="preserve"> </w:t>
      </w:r>
      <w:r>
        <w:rPr>
          <w:b/>
        </w:rPr>
        <w:t>system</w:t>
      </w:r>
      <w:r>
        <w:rPr>
          <w:b/>
          <w:spacing w:val="-5"/>
        </w:rPr>
        <w:t xml:space="preserve"> </w:t>
      </w:r>
      <w:r>
        <w:t>will</w:t>
      </w:r>
      <w:r>
        <w:rPr>
          <w:spacing w:val="-6"/>
        </w:rPr>
        <w:t xml:space="preserve"> </w:t>
      </w:r>
      <w:r>
        <w:t>be</w:t>
      </w:r>
      <w:r>
        <w:rPr>
          <w:spacing w:val="-7"/>
        </w:rPr>
        <w:t xml:space="preserve"> </w:t>
      </w:r>
      <w:r>
        <w:t>adopted</w:t>
      </w:r>
      <w:r>
        <w:rPr>
          <w:spacing w:val="-57"/>
        </w:rPr>
        <w:t xml:space="preserve"> </w:t>
      </w:r>
      <w:r>
        <w:t>in 2022. The framework for assessing health system efficiency facilities measuring health</w:t>
      </w:r>
      <w:r>
        <w:rPr>
          <w:spacing w:val="1"/>
        </w:rPr>
        <w:t xml:space="preserve"> </w:t>
      </w:r>
      <w:r>
        <w:t>system</w:t>
      </w:r>
      <w:r>
        <w:rPr>
          <w:spacing w:val="1"/>
        </w:rPr>
        <w:t xml:space="preserve"> </w:t>
      </w:r>
      <w:r>
        <w:t>efficiency,</w:t>
      </w:r>
      <w:r>
        <w:rPr>
          <w:spacing w:val="1"/>
        </w:rPr>
        <w:t xml:space="preserve"> </w:t>
      </w:r>
      <w:r>
        <w:t>identification</w:t>
      </w:r>
      <w:r>
        <w:rPr>
          <w:spacing w:val="1"/>
        </w:rPr>
        <w:t xml:space="preserve"> </w:t>
      </w:r>
      <w:r>
        <w:t>of</w:t>
      </w:r>
      <w:r>
        <w:rPr>
          <w:spacing w:val="1"/>
        </w:rPr>
        <w:t xml:space="preserve"> </w:t>
      </w:r>
      <w:r>
        <w:t>key</w:t>
      </w:r>
      <w:r>
        <w:rPr>
          <w:spacing w:val="1"/>
        </w:rPr>
        <w:t xml:space="preserve"> </w:t>
      </w:r>
      <w:r>
        <w:t>performance</w:t>
      </w:r>
      <w:r>
        <w:rPr>
          <w:spacing w:val="1"/>
        </w:rPr>
        <w:t xml:space="preserve"> </w:t>
      </w:r>
      <w:r>
        <w:t>indicators</w:t>
      </w:r>
      <w:r>
        <w:rPr>
          <w:spacing w:val="1"/>
        </w:rPr>
        <w:t xml:space="preserve"> </w:t>
      </w:r>
      <w:r>
        <w:t>in</w:t>
      </w:r>
      <w:r>
        <w:rPr>
          <w:spacing w:val="1"/>
        </w:rPr>
        <w:t xml:space="preserve"> </w:t>
      </w:r>
      <w:r>
        <w:t>line</w:t>
      </w:r>
      <w:r>
        <w:rPr>
          <w:spacing w:val="1"/>
        </w:rPr>
        <w:t xml:space="preserve"> </w:t>
      </w:r>
      <w:r>
        <w:t>with</w:t>
      </w:r>
      <w:r>
        <w:rPr>
          <w:spacing w:val="1"/>
        </w:rPr>
        <w:t xml:space="preserve"> </w:t>
      </w:r>
      <w:r>
        <w:t>the</w:t>
      </w:r>
      <w:r>
        <w:rPr>
          <w:spacing w:val="1"/>
        </w:rPr>
        <w:t xml:space="preserve"> </w:t>
      </w:r>
      <w:r>
        <w:t>defined</w:t>
      </w:r>
      <w:r>
        <w:rPr>
          <w:spacing w:val="1"/>
        </w:rPr>
        <w:t xml:space="preserve"> </w:t>
      </w:r>
      <w:r>
        <w:t>assessment methodology and facilitates linking measures with objectives as set in national</w:t>
      </w:r>
      <w:r>
        <w:rPr>
          <w:spacing w:val="1"/>
        </w:rPr>
        <w:t xml:space="preserve"> </w:t>
      </w:r>
      <w:r>
        <w:t>strategic</w:t>
      </w:r>
      <w:r>
        <w:rPr>
          <w:spacing w:val="1"/>
        </w:rPr>
        <w:t xml:space="preserve"> </w:t>
      </w:r>
      <w:r>
        <w:t>documents</w:t>
      </w:r>
      <w:r>
        <w:rPr>
          <w:spacing w:val="1"/>
        </w:rPr>
        <w:t xml:space="preserve"> </w:t>
      </w:r>
      <w:r>
        <w:t>and</w:t>
      </w:r>
      <w:r>
        <w:rPr>
          <w:spacing w:val="1"/>
        </w:rPr>
        <w:t xml:space="preserve"> </w:t>
      </w:r>
      <w:r>
        <w:t>reforms,</w:t>
      </w:r>
      <w:r>
        <w:rPr>
          <w:spacing w:val="1"/>
        </w:rPr>
        <w:t xml:space="preserve"> </w:t>
      </w:r>
      <w:r>
        <w:t>the</w:t>
      </w:r>
      <w:r>
        <w:rPr>
          <w:spacing w:val="1"/>
        </w:rPr>
        <w:t xml:space="preserve"> </w:t>
      </w:r>
      <w:r>
        <w:t>timeliness</w:t>
      </w:r>
      <w:r>
        <w:rPr>
          <w:spacing w:val="1"/>
        </w:rPr>
        <w:t xml:space="preserve"> </w:t>
      </w:r>
      <w:r>
        <w:t>of</w:t>
      </w:r>
      <w:r>
        <w:rPr>
          <w:spacing w:val="1"/>
        </w:rPr>
        <w:t xml:space="preserve"> </w:t>
      </w:r>
      <w:r>
        <w:t>data</w:t>
      </w:r>
      <w:r>
        <w:rPr>
          <w:spacing w:val="1"/>
        </w:rPr>
        <w:t xml:space="preserve"> </w:t>
      </w:r>
      <w:r>
        <w:t>and</w:t>
      </w:r>
      <w:r>
        <w:rPr>
          <w:spacing w:val="1"/>
        </w:rPr>
        <w:t xml:space="preserve"> </w:t>
      </w:r>
      <w:r>
        <w:t>better</w:t>
      </w:r>
      <w:r>
        <w:rPr>
          <w:spacing w:val="1"/>
        </w:rPr>
        <w:t xml:space="preserve"> </w:t>
      </w:r>
      <w:r>
        <w:t>monitoring</w:t>
      </w:r>
      <w:r>
        <w:rPr>
          <w:spacing w:val="1"/>
        </w:rPr>
        <w:t xml:space="preserve"> </w:t>
      </w:r>
      <w:r>
        <w:t>of</w:t>
      </w:r>
      <w:r>
        <w:rPr>
          <w:spacing w:val="1"/>
        </w:rPr>
        <w:t xml:space="preserve"> </w:t>
      </w:r>
      <w:r>
        <w:t>health</w:t>
      </w:r>
      <w:r>
        <w:rPr>
          <w:spacing w:val="-57"/>
        </w:rPr>
        <w:t xml:space="preserve"> </w:t>
      </w:r>
      <w:r>
        <w:t>outcomes.</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6"/>
      </w:pPr>
      <w:r>
        <w:t>The NRRP also includes investments in the health system enabling new modern medical</w:t>
      </w:r>
      <w:r>
        <w:rPr>
          <w:spacing w:val="1"/>
        </w:rPr>
        <w:t xml:space="preserve"> </w:t>
      </w:r>
      <w:r>
        <w:t>technologies</w:t>
      </w:r>
      <w:r>
        <w:rPr>
          <w:spacing w:val="-4"/>
        </w:rPr>
        <w:t xml:space="preserve"> </w:t>
      </w:r>
      <w:r>
        <w:t>for</w:t>
      </w:r>
      <w:r>
        <w:rPr>
          <w:spacing w:val="-3"/>
        </w:rPr>
        <w:t xml:space="preserve"> </w:t>
      </w:r>
      <w:r>
        <w:t>the</w:t>
      </w:r>
      <w:r>
        <w:rPr>
          <w:spacing w:val="-3"/>
        </w:rPr>
        <w:t xml:space="preserve"> </w:t>
      </w:r>
      <w:r>
        <w:t>prevention,</w:t>
      </w:r>
      <w:r>
        <w:rPr>
          <w:spacing w:val="-4"/>
        </w:rPr>
        <w:t xml:space="preserve"> </w:t>
      </w:r>
      <w:r>
        <w:t>diagnosis</w:t>
      </w:r>
      <w:r>
        <w:rPr>
          <w:spacing w:val="-1"/>
        </w:rPr>
        <w:t xml:space="preserve"> </w:t>
      </w:r>
      <w:r>
        <w:t>and</w:t>
      </w:r>
      <w:r>
        <w:rPr>
          <w:spacing w:val="-3"/>
        </w:rPr>
        <w:t xml:space="preserve"> </w:t>
      </w:r>
      <w:r>
        <w:t>treatment</w:t>
      </w:r>
      <w:r>
        <w:rPr>
          <w:spacing w:val="-3"/>
        </w:rPr>
        <w:t xml:space="preserve"> </w:t>
      </w:r>
      <w:r>
        <w:t>of</w:t>
      </w:r>
      <w:r>
        <w:rPr>
          <w:spacing w:val="-5"/>
        </w:rPr>
        <w:t xml:space="preserve"> </w:t>
      </w:r>
      <w:r>
        <w:t>patients,</w:t>
      </w:r>
      <w:r>
        <w:rPr>
          <w:spacing w:val="-2"/>
        </w:rPr>
        <w:t xml:space="preserve"> </w:t>
      </w:r>
      <w:r>
        <w:t>especially</w:t>
      </w:r>
      <w:r>
        <w:rPr>
          <w:spacing w:val="-9"/>
        </w:rPr>
        <w:t xml:space="preserve"> </w:t>
      </w:r>
      <w:r>
        <w:t>cancer</w:t>
      </w:r>
      <w:r>
        <w:rPr>
          <w:spacing w:val="-4"/>
        </w:rPr>
        <w:t xml:space="preserve"> </w:t>
      </w:r>
      <w:r>
        <w:t>patients.</w:t>
      </w:r>
      <w:r>
        <w:rPr>
          <w:spacing w:val="-58"/>
        </w:rPr>
        <w:t xml:space="preserve"> </w:t>
      </w:r>
      <w:r>
        <w:t>This will contribute to the quality of treatment of oncology patients and increase the resilience</w:t>
      </w:r>
      <w:r>
        <w:rPr>
          <w:spacing w:val="-57"/>
        </w:rPr>
        <w:t xml:space="preserve"> </w:t>
      </w:r>
      <w:r>
        <w:rPr>
          <w:spacing w:val="-1"/>
        </w:rPr>
        <w:t>of</w:t>
      </w:r>
      <w:r>
        <w:rPr>
          <w:spacing w:val="-8"/>
        </w:rPr>
        <w:t xml:space="preserve"> </w:t>
      </w:r>
      <w:r>
        <w:rPr>
          <w:spacing w:val="-1"/>
        </w:rPr>
        <w:t>the</w:t>
      </w:r>
      <w:r>
        <w:rPr>
          <w:spacing w:val="-8"/>
        </w:rPr>
        <w:t xml:space="preserve"> </w:t>
      </w:r>
      <w:r>
        <w:rPr>
          <w:spacing w:val="-1"/>
        </w:rPr>
        <w:t>health</w:t>
      </w:r>
      <w:r>
        <w:rPr>
          <w:spacing w:val="-8"/>
        </w:rPr>
        <w:t xml:space="preserve"> </w:t>
      </w:r>
      <w:r>
        <w:t>system</w:t>
      </w:r>
      <w:r>
        <w:rPr>
          <w:spacing w:val="-7"/>
        </w:rPr>
        <w:t xml:space="preserve"> </w:t>
      </w:r>
      <w:r>
        <w:t>to</w:t>
      </w:r>
      <w:r>
        <w:rPr>
          <w:spacing w:val="-7"/>
        </w:rPr>
        <w:t xml:space="preserve"> </w:t>
      </w:r>
      <w:r>
        <w:t>respond</w:t>
      </w:r>
      <w:r>
        <w:rPr>
          <w:spacing w:val="-7"/>
        </w:rPr>
        <w:t xml:space="preserve"> </w:t>
      </w:r>
      <w:r>
        <w:t>to</w:t>
      </w:r>
      <w:r>
        <w:rPr>
          <w:spacing w:val="-7"/>
        </w:rPr>
        <w:t xml:space="preserve"> </w:t>
      </w:r>
      <w:r>
        <w:t>key</w:t>
      </w:r>
      <w:r>
        <w:rPr>
          <w:spacing w:val="-15"/>
        </w:rPr>
        <w:t xml:space="preserve"> </w:t>
      </w:r>
      <w:r>
        <w:t>health</w:t>
      </w:r>
      <w:r>
        <w:rPr>
          <w:spacing w:val="-8"/>
        </w:rPr>
        <w:t xml:space="preserve"> </w:t>
      </w:r>
      <w:r>
        <w:t>challenges</w:t>
      </w:r>
      <w:r>
        <w:rPr>
          <w:spacing w:val="-7"/>
        </w:rPr>
        <w:t xml:space="preserve"> </w:t>
      </w:r>
      <w:r>
        <w:t>and</w:t>
      </w:r>
      <w:r>
        <w:rPr>
          <w:spacing w:val="-8"/>
        </w:rPr>
        <w:t xml:space="preserve"> </w:t>
      </w:r>
      <w:r>
        <w:t>diseases</w:t>
      </w:r>
      <w:r>
        <w:rPr>
          <w:spacing w:val="-7"/>
        </w:rPr>
        <w:t xml:space="preserve"> </w:t>
      </w:r>
      <w:r>
        <w:t>that</w:t>
      </w:r>
      <w:r>
        <w:rPr>
          <w:spacing w:val="-8"/>
        </w:rPr>
        <w:t xml:space="preserve"> </w:t>
      </w:r>
      <w:r>
        <w:t>are</w:t>
      </w:r>
      <w:r>
        <w:rPr>
          <w:spacing w:val="-9"/>
        </w:rPr>
        <w:t xml:space="preserve"> </w:t>
      </w:r>
      <w:r>
        <w:t>the</w:t>
      </w:r>
      <w:r>
        <w:rPr>
          <w:spacing w:val="-8"/>
        </w:rPr>
        <w:t xml:space="preserve"> </w:t>
      </w:r>
      <w:r>
        <w:t>leading</w:t>
      </w:r>
      <w:r>
        <w:rPr>
          <w:spacing w:val="-10"/>
        </w:rPr>
        <w:t xml:space="preserve"> </w:t>
      </w:r>
      <w:r>
        <w:t>causes</w:t>
      </w:r>
      <w:r>
        <w:rPr>
          <w:spacing w:val="-57"/>
        </w:rPr>
        <w:t xml:space="preserve"> </w:t>
      </w:r>
      <w:r>
        <w:t>of</w:t>
      </w:r>
      <w:r>
        <w:rPr>
          <w:spacing w:val="-1"/>
        </w:rPr>
        <w:t xml:space="preserve"> </w:t>
      </w:r>
      <w:r>
        <w:t>death in Croatia.</w:t>
      </w:r>
    </w:p>
    <w:p w:rsidR="00A56FE9" w:rsidRDefault="00000000">
      <w:pPr>
        <w:pStyle w:val="Tijeloteksta"/>
        <w:spacing w:before="121"/>
        <w:ind w:right="274"/>
      </w:pPr>
      <w:r>
        <w:t>To</w:t>
      </w:r>
      <w:r>
        <w:rPr>
          <w:spacing w:val="-13"/>
        </w:rPr>
        <w:t xml:space="preserve"> </w:t>
      </w:r>
      <w:r>
        <w:t>ensure</w:t>
      </w:r>
      <w:r>
        <w:rPr>
          <w:spacing w:val="-13"/>
        </w:rPr>
        <w:t xml:space="preserve"> </w:t>
      </w:r>
      <w:r>
        <w:t>effective</w:t>
      </w:r>
      <w:r>
        <w:rPr>
          <w:spacing w:val="-14"/>
        </w:rPr>
        <w:t xml:space="preserve"> </w:t>
      </w:r>
      <w:r>
        <w:t>cooperation</w:t>
      </w:r>
      <w:r>
        <w:rPr>
          <w:spacing w:val="-13"/>
        </w:rPr>
        <w:t xml:space="preserve"> </w:t>
      </w:r>
      <w:r>
        <w:t>between</w:t>
      </w:r>
      <w:r>
        <w:rPr>
          <w:spacing w:val="-12"/>
        </w:rPr>
        <w:t xml:space="preserve"> </w:t>
      </w:r>
      <w:r>
        <w:t>health</w:t>
      </w:r>
      <w:r>
        <w:rPr>
          <w:spacing w:val="-13"/>
        </w:rPr>
        <w:t xml:space="preserve"> </w:t>
      </w:r>
      <w:r>
        <w:t>professionals,</w:t>
      </w:r>
      <w:r>
        <w:rPr>
          <w:spacing w:val="-13"/>
        </w:rPr>
        <w:t xml:space="preserve"> </w:t>
      </w:r>
      <w:r>
        <w:t>institutions</w:t>
      </w:r>
      <w:r>
        <w:rPr>
          <w:spacing w:val="-13"/>
        </w:rPr>
        <w:t xml:space="preserve"> </w:t>
      </w:r>
      <w:r>
        <w:t>and</w:t>
      </w:r>
      <w:r>
        <w:rPr>
          <w:spacing w:val="-12"/>
        </w:rPr>
        <w:t xml:space="preserve"> </w:t>
      </w:r>
      <w:r>
        <w:t>multidisciplinary</w:t>
      </w:r>
      <w:r>
        <w:rPr>
          <w:spacing w:val="-58"/>
        </w:rPr>
        <w:t xml:space="preserve"> </w:t>
      </w:r>
      <w:r>
        <w:t>teams and complete the electronic health record with all diagnostic results, special attention</w:t>
      </w:r>
      <w:r>
        <w:rPr>
          <w:spacing w:val="1"/>
        </w:rPr>
        <w:t xml:space="preserve"> </w:t>
      </w:r>
      <w:r>
        <w:t>will be paid to the role of effective digital technology that provides support, and will be one of</w:t>
      </w:r>
      <w:r>
        <w:rPr>
          <w:spacing w:val="-57"/>
        </w:rPr>
        <w:t xml:space="preserve"> </w:t>
      </w:r>
      <w:r>
        <w:rPr>
          <w:spacing w:val="-1"/>
        </w:rPr>
        <w:t>the</w:t>
      </w:r>
      <w:r>
        <w:rPr>
          <w:spacing w:val="-15"/>
        </w:rPr>
        <w:t xml:space="preserve"> </w:t>
      </w:r>
      <w:r>
        <w:t>key</w:t>
      </w:r>
      <w:r>
        <w:rPr>
          <w:spacing w:val="-20"/>
        </w:rPr>
        <w:t xml:space="preserve"> </w:t>
      </w:r>
      <w:r>
        <w:t>tools</w:t>
      </w:r>
      <w:r>
        <w:rPr>
          <w:spacing w:val="-15"/>
        </w:rPr>
        <w:t xml:space="preserve"> </w:t>
      </w:r>
      <w:r>
        <w:t>for</w:t>
      </w:r>
      <w:r>
        <w:rPr>
          <w:spacing w:val="-14"/>
        </w:rPr>
        <w:t xml:space="preserve"> </w:t>
      </w:r>
      <w:r>
        <w:t>sharing</w:t>
      </w:r>
      <w:r>
        <w:rPr>
          <w:spacing w:val="-15"/>
        </w:rPr>
        <w:t xml:space="preserve"> </w:t>
      </w:r>
      <w:r>
        <w:t>and</w:t>
      </w:r>
      <w:r>
        <w:rPr>
          <w:spacing w:val="-14"/>
        </w:rPr>
        <w:t xml:space="preserve"> </w:t>
      </w:r>
      <w:r>
        <w:t>connecting</w:t>
      </w:r>
      <w:r>
        <w:rPr>
          <w:spacing w:val="-17"/>
        </w:rPr>
        <w:t xml:space="preserve"> </w:t>
      </w:r>
      <w:r>
        <w:t>health</w:t>
      </w:r>
      <w:r>
        <w:rPr>
          <w:spacing w:val="-15"/>
        </w:rPr>
        <w:t xml:space="preserve"> </w:t>
      </w:r>
      <w:r>
        <w:t>data</w:t>
      </w:r>
      <w:r>
        <w:rPr>
          <w:spacing w:val="-10"/>
        </w:rPr>
        <w:t xml:space="preserve"> </w:t>
      </w:r>
      <w:r>
        <w:t>among</w:t>
      </w:r>
      <w:r>
        <w:rPr>
          <w:spacing w:val="-14"/>
        </w:rPr>
        <w:t xml:space="preserve"> </w:t>
      </w:r>
      <w:r>
        <w:t>stakeholders</w:t>
      </w:r>
      <w:r>
        <w:rPr>
          <w:spacing w:val="-14"/>
        </w:rPr>
        <w:t xml:space="preserve"> </w:t>
      </w:r>
      <w:r>
        <w:t>within</w:t>
      </w:r>
      <w:r>
        <w:rPr>
          <w:spacing w:val="-13"/>
        </w:rPr>
        <w:t xml:space="preserve"> </w:t>
      </w:r>
      <w:r>
        <w:t>the</w:t>
      </w:r>
      <w:r>
        <w:rPr>
          <w:spacing w:val="-15"/>
        </w:rPr>
        <w:t xml:space="preserve"> </w:t>
      </w:r>
      <w:r>
        <w:t>public</w:t>
      </w:r>
      <w:r>
        <w:rPr>
          <w:spacing w:val="-16"/>
        </w:rPr>
        <w:t xml:space="preserve"> </w:t>
      </w:r>
      <w:r>
        <w:t>health</w:t>
      </w:r>
      <w:r>
        <w:rPr>
          <w:spacing w:val="-57"/>
        </w:rPr>
        <w:t xml:space="preserve"> </w:t>
      </w:r>
      <w:r>
        <w:t>service.</w:t>
      </w:r>
    </w:p>
    <w:p w:rsidR="00A56FE9" w:rsidRDefault="00000000">
      <w:pPr>
        <w:pStyle w:val="Tijeloteksta"/>
        <w:spacing w:before="120"/>
        <w:ind w:right="271"/>
      </w:pPr>
      <w:r>
        <w:t>In</w:t>
      </w:r>
      <w:r>
        <w:rPr>
          <w:spacing w:val="-2"/>
        </w:rPr>
        <w:t xml:space="preserve"> </w:t>
      </w:r>
      <w:r>
        <w:t>terms</w:t>
      </w:r>
      <w:r>
        <w:rPr>
          <w:spacing w:val="-1"/>
        </w:rPr>
        <w:t xml:space="preserve"> </w:t>
      </w:r>
      <w:r>
        <w:t>of</w:t>
      </w:r>
      <w:r>
        <w:rPr>
          <w:spacing w:val="-2"/>
        </w:rPr>
        <w:t xml:space="preserve"> </w:t>
      </w:r>
      <w:r>
        <w:t>the</w:t>
      </w:r>
      <w:r>
        <w:rPr>
          <w:spacing w:val="-2"/>
        </w:rPr>
        <w:t xml:space="preserve"> </w:t>
      </w:r>
      <w:r>
        <w:t>NRRP,</w:t>
      </w:r>
      <w:r>
        <w:rPr>
          <w:spacing w:val="-2"/>
        </w:rPr>
        <w:t xml:space="preserve"> </w:t>
      </w:r>
      <w:r>
        <w:t>in</w:t>
      </w:r>
      <w:r>
        <w:rPr>
          <w:spacing w:val="-6"/>
        </w:rPr>
        <w:t xml:space="preserve"> </w:t>
      </w:r>
      <w:r>
        <w:t>the</w:t>
      </w:r>
      <w:r>
        <w:rPr>
          <w:spacing w:val="-1"/>
        </w:rPr>
        <w:t xml:space="preserve"> </w:t>
      </w:r>
      <w:r>
        <w:t>section</w:t>
      </w:r>
      <w:r>
        <w:rPr>
          <w:spacing w:val="-1"/>
        </w:rPr>
        <w:t xml:space="preserve"> </w:t>
      </w:r>
      <w:r>
        <w:t>on</w:t>
      </w:r>
      <w:r>
        <w:rPr>
          <w:spacing w:val="-1"/>
        </w:rPr>
        <w:t xml:space="preserve"> </w:t>
      </w:r>
      <w:r>
        <w:t>e-Health</w:t>
      </w:r>
      <w:r>
        <w:rPr>
          <w:spacing w:val="-2"/>
        </w:rPr>
        <w:t xml:space="preserve"> </w:t>
      </w:r>
      <w:r>
        <w:t>(C5.1.</w:t>
      </w:r>
      <w:r>
        <w:rPr>
          <w:spacing w:val="-1"/>
        </w:rPr>
        <w:t xml:space="preserve"> </w:t>
      </w:r>
      <w:r>
        <w:t>R5),</w:t>
      </w:r>
      <w:r>
        <w:rPr>
          <w:spacing w:val="-1"/>
        </w:rPr>
        <w:t xml:space="preserve"> </w:t>
      </w:r>
      <w:r>
        <w:t>the</w:t>
      </w:r>
      <w:r>
        <w:rPr>
          <w:spacing w:val="-5"/>
        </w:rPr>
        <w:t xml:space="preserve"> </w:t>
      </w:r>
      <w:r>
        <w:t>goal</w:t>
      </w:r>
      <w:r>
        <w:rPr>
          <w:spacing w:val="-1"/>
        </w:rPr>
        <w:t xml:space="preserve"> </w:t>
      </w:r>
      <w:r>
        <w:t>of</w:t>
      </w:r>
      <w:r>
        <w:rPr>
          <w:spacing w:val="-2"/>
        </w:rPr>
        <w:t xml:space="preserve"> </w:t>
      </w:r>
      <w:r>
        <w:t>Croatian</w:t>
      </w:r>
      <w:r>
        <w:rPr>
          <w:spacing w:val="-1"/>
        </w:rPr>
        <w:t xml:space="preserve"> </w:t>
      </w:r>
      <w:r>
        <w:t>e-health</w:t>
      </w:r>
      <w:r>
        <w:rPr>
          <w:spacing w:val="-1"/>
        </w:rPr>
        <w:t xml:space="preserve"> </w:t>
      </w:r>
      <w:r>
        <w:t>is</w:t>
      </w:r>
      <w:r>
        <w:rPr>
          <w:spacing w:val="-1"/>
        </w:rPr>
        <w:t xml:space="preserve"> </w:t>
      </w:r>
      <w:r>
        <w:t>to</w:t>
      </w:r>
      <w:r>
        <w:rPr>
          <w:spacing w:val="-58"/>
        </w:rPr>
        <w:t xml:space="preserve"> </w:t>
      </w:r>
      <w:r>
        <w:t>improve management capacity through more efficient use of data, encouraging innovative</w:t>
      </w:r>
      <w:r>
        <w:rPr>
          <w:spacing w:val="1"/>
        </w:rPr>
        <w:t xml:space="preserve"> </w:t>
      </w:r>
      <w:r>
        <w:rPr>
          <w:spacing w:val="-1"/>
        </w:rPr>
        <w:t>solutions</w:t>
      </w:r>
      <w:r>
        <w:rPr>
          <w:spacing w:val="-14"/>
        </w:rPr>
        <w:t xml:space="preserve"> </w:t>
      </w:r>
      <w:r>
        <w:rPr>
          <w:spacing w:val="-1"/>
        </w:rPr>
        <w:t>in</w:t>
      </w:r>
      <w:r>
        <w:rPr>
          <w:spacing w:val="-14"/>
        </w:rPr>
        <w:t xml:space="preserve"> </w:t>
      </w:r>
      <w:r>
        <w:rPr>
          <w:spacing w:val="-1"/>
        </w:rPr>
        <w:t>health</w:t>
      </w:r>
      <w:r>
        <w:rPr>
          <w:spacing w:val="-14"/>
        </w:rPr>
        <w:t xml:space="preserve"> </w:t>
      </w:r>
      <w:r>
        <w:rPr>
          <w:spacing w:val="-1"/>
        </w:rPr>
        <w:t>care</w:t>
      </w:r>
      <w:r>
        <w:rPr>
          <w:spacing w:val="-15"/>
        </w:rPr>
        <w:t xml:space="preserve"> </w:t>
      </w:r>
      <w:r>
        <w:t>to</w:t>
      </w:r>
      <w:r>
        <w:rPr>
          <w:spacing w:val="-12"/>
        </w:rPr>
        <w:t xml:space="preserve"> </w:t>
      </w:r>
      <w:r>
        <w:t>better</w:t>
      </w:r>
      <w:r>
        <w:rPr>
          <w:spacing w:val="-16"/>
        </w:rPr>
        <w:t xml:space="preserve"> </w:t>
      </w:r>
      <w:r>
        <w:t>manage</w:t>
      </w:r>
      <w:r>
        <w:rPr>
          <w:spacing w:val="-16"/>
        </w:rPr>
        <w:t xml:space="preserve"> </w:t>
      </w:r>
      <w:r>
        <w:t>the</w:t>
      </w:r>
      <w:r>
        <w:rPr>
          <w:spacing w:val="-14"/>
        </w:rPr>
        <w:t xml:space="preserve"> </w:t>
      </w:r>
      <w:r>
        <w:t>health</w:t>
      </w:r>
      <w:r>
        <w:rPr>
          <w:spacing w:val="-15"/>
        </w:rPr>
        <w:t xml:space="preserve"> </w:t>
      </w:r>
      <w:r>
        <w:t>system.</w:t>
      </w:r>
      <w:r>
        <w:rPr>
          <w:spacing w:val="-15"/>
        </w:rPr>
        <w:t xml:space="preserve"> </w:t>
      </w:r>
      <w:r>
        <w:t>Structures,</w:t>
      </w:r>
      <w:r>
        <w:rPr>
          <w:spacing w:val="-15"/>
        </w:rPr>
        <w:t xml:space="preserve"> </w:t>
      </w:r>
      <w:r>
        <w:t>processes</w:t>
      </w:r>
      <w:r>
        <w:rPr>
          <w:spacing w:val="-14"/>
        </w:rPr>
        <w:t xml:space="preserve"> </w:t>
      </w:r>
      <w:r>
        <w:t>and</w:t>
      </w:r>
      <w:r>
        <w:rPr>
          <w:spacing w:val="-15"/>
        </w:rPr>
        <w:t xml:space="preserve"> </w:t>
      </w:r>
      <w:r>
        <w:t>procedures</w:t>
      </w:r>
      <w:r>
        <w:rPr>
          <w:spacing w:val="-58"/>
        </w:rPr>
        <w:t xml:space="preserve"> </w:t>
      </w:r>
      <w:r>
        <w:t>will be established to introduce data analysis and reporting into existing decision-making and</w:t>
      </w:r>
      <w:r>
        <w:rPr>
          <w:spacing w:val="1"/>
        </w:rPr>
        <w:t xml:space="preserve"> </w:t>
      </w:r>
      <w:r>
        <w:t>policy-making practices at the level of health care providers, monitors and policymakers. The</w:t>
      </w:r>
      <w:r>
        <w:rPr>
          <w:spacing w:val="1"/>
        </w:rPr>
        <w:t xml:space="preserve"> </w:t>
      </w:r>
      <w:r>
        <w:rPr>
          <w:spacing w:val="-1"/>
        </w:rPr>
        <w:t>system</w:t>
      </w:r>
      <w:r>
        <w:rPr>
          <w:spacing w:val="-10"/>
        </w:rPr>
        <w:t xml:space="preserve"> </w:t>
      </w:r>
      <w:r>
        <w:rPr>
          <w:spacing w:val="-1"/>
        </w:rPr>
        <w:t>will</w:t>
      </w:r>
      <w:r>
        <w:rPr>
          <w:spacing w:val="-9"/>
        </w:rPr>
        <w:t xml:space="preserve"> </w:t>
      </w:r>
      <w:r>
        <w:t>incorporate</w:t>
      </w:r>
      <w:r>
        <w:rPr>
          <w:spacing w:val="-11"/>
        </w:rPr>
        <w:t xml:space="preserve"> </w:t>
      </w:r>
      <w:r>
        <w:t>algorithms</w:t>
      </w:r>
      <w:r>
        <w:rPr>
          <w:spacing w:val="-8"/>
        </w:rPr>
        <w:t xml:space="preserve"> </w:t>
      </w:r>
      <w:r>
        <w:t>to</w:t>
      </w:r>
      <w:r>
        <w:rPr>
          <w:spacing w:val="-10"/>
        </w:rPr>
        <w:t xml:space="preserve"> </w:t>
      </w:r>
      <w:r>
        <w:t>automatically</w:t>
      </w:r>
      <w:r>
        <w:rPr>
          <w:spacing w:val="-12"/>
        </w:rPr>
        <w:t xml:space="preserve"> </w:t>
      </w:r>
      <w:r>
        <w:t>convert</w:t>
      </w:r>
      <w:r>
        <w:rPr>
          <w:spacing w:val="-10"/>
        </w:rPr>
        <w:t xml:space="preserve"> </w:t>
      </w:r>
      <w:r>
        <w:t>previously</w:t>
      </w:r>
      <w:r>
        <w:rPr>
          <w:spacing w:val="-15"/>
        </w:rPr>
        <w:t xml:space="preserve"> </w:t>
      </w:r>
      <w:r>
        <w:t>selected</w:t>
      </w:r>
      <w:r>
        <w:rPr>
          <w:spacing w:val="-10"/>
        </w:rPr>
        <w:t xml:space="preserve"> </w:t>
      </w:r>
      <w:r>
        <w:t>health</w:t>
      </w:r>
      <w:r>
        <w:rPr>
          <w:spacing w:val="-10"/>
        </w:rPr>
        <w:t xml:space="preserve"> </w:t>
      </w:r>
      <w:r>
        <w:t>data</w:t>
      </w:r>
      <w:r>
        <w:rPr>
          <w:spacing w:val="-11"/>
        </w:rPr>
        <w:t xml:space="preserve"> </w:t>
      </w:r>
      <w:r>
        <w:t>into</w:t>
      </w:r>
      <w:r>
        <w:rPr>
          <w:spacing w:val="-57"/>
        </w:rPr>
        <w:t xml:space="preserve"> </w:t>
      </w:r>
      <w:r>
        <w:t>health</w:t>
      </w:r>
      <w:r>
        <w:rPr>
          <w:spacing w:val="-1"/>
        </w:rPr>
        <w:t xml:space="preserve"> </w:t>
      </w:r>
      <w:r>
        <w:t>information</w:t>
      </w:r>
      <w:r>
        <w:rPr>
          <w:spacing w:val="-1"/>
        </w:rPr>
        <w:t xml:space="preserve"> </w:t>
      </w:r>
      <w:r>
        <w:t>on</w:t>
      </w:r>
      <w:r>
        <w:rPr>
          <w:spacing w:val="-1"/>
        </w:rPr>
        <w:t xml:space="preserve"> </w:t>
      </w:r>
      <w:r>
        <w:t>the</w:t>
      </w:r>
      <w:r>
        <w:rPr>
          <w:spacing w:val="-1"/>
        </w:rPr>
        <w:t xml:space="preserve"> </w:t>
      </w:r>
      <w:r>
        <w:t>basis</w:t>
      </w:r>
      <w:r>
        <w:rPr>
          <w:spacing w:val="-1"/>
        </w:rPr>
        <w:t xml:space="preserve"> </w:t>
      </w:r>
      <w:r>
        <w:t>of</w:t>
      </w:r>
      <w:r>
        <w:rPr>
          <w:spacing w:val="-1"/>
        </w:rPr>
        <w:t xml:space="preserve"> </w:t>
      </w:r>
      <w:r>
        <w:t>which key</w:t>
      </w:r>
      <w:r>
        <w:rPr>
          <w:spacing w:val="-9"/>
        </w:rPr>
        <w:t xml:space="preserve"> </w:t>
      </w:r>
      <w:r>
        <w:t>decisions</w:t>
      </w:r>
      <w:r>
        <w:rPr>
          <w:spacing w:val="-1"/>
        </w:rPr>
        <w:t xml:space="preserve"> </w:t>
      </w:r>
      <w:r>
        <w:t>will be</w:t>
      </w:r>
      <w:r>
        <w:rPr>
          <w:spacing w:val="-5"/>
        </w:rPr>
        <w:t xml:space="preserve"> </w:t>
      </w:r>
      <w:r>
        <w:t>made.</w:t>
      </w:r>
      <w:r>
        <w:rPr>
          <w:spacing w:val="2"/>
        </w:rPr>
        <w:t xml:space="preserve"> </w:t>
      </w:r>
      <w:r>
        <w:t>The</w:t>
      </w:r>
      <w:r>
        <w:rPr>
          <w:spacing w:val="-2"/>
        </w:rPr>
        <w:t xml:space="preserve"> </w:t>
      </w:r>
      <w:r>
        <w:t>need</w:t>
      </w:r>
      <w:r>
        <w:rPr>
          <w:spacing w:val="-1"/>
        </w:rPr>
        <w:t xml:space="preserve"> </w:t>
      </w:r>
      <w:r>
        <w:t>to</w:t>
      </w:r>
      <w:r>
        <w:rPr>
          <w:spacing w:val="-1"/>
        </w:rPr>
        <w:t xml:space="preserve"> </w:t>
      </w:r>
      <w:r>
        <w:t>upgrade</w:t>
      </w:r>
      <w:r>
        <w:rPr>
          <w:spacing w:val="-1"/>
        </w:rPr>
        <w:t xml:space="preserve"> </w:t>
      </w:r>
      <w:r>
        <w:t>data</w:t>
      </w:r>
      <w:r>
        <w:rPr>
          <w:spacing w:val="-58"/>
        </w:rPr>
        <w:t xml:space="preserve"> </w:t>
      </w:r>
      <w:r>
        <w:t>structures to more comprehensive clinical concepts and exchange formats has been recognised</w:t>
      </w:r>
      <w:r>
        <w:rPr>
          <w:spacing w:val="-57"/>
        </w:rPr>
        <w:t xml:space="preserve"> </w:t>
      </w:r>
      <w:r>
        <w:t>in order to support not only administrative and payment processes but also structured clinical</w:t>
      </w:r>
      <w:r>
        <w:rPr>
          <w:spacing w:val="1"/>
        </w:rPr>
        <w:t xml:space="preserve"> </w:t>
      </w:r>
      <w:r>
        <w:t>data adhering to a set of international interoperability standards that serve not only to provide</w:t>
      </w:r>
      <w:r>
        <w:rPr>
          <w:spacing w:val="1"/>
        </w:rPr>
        <w:t xml:space="preserve"> </w:t>
      </w:r>
      <w:r>
        <w:t>health care to individuals but also manage the entire system based on data and evidence, using</w:t>
      </w:r>
      <w:r>
        <w:rPr>
          <w:spacing w:val="-57"/>
        </w:rPr>
        <w:t xml:space="preserve"> </w:t>
      </w:r>
      <w:r>
        <w:t>a</w:t>
      </w:r>
      <w:r>
        <w:rPr>
          <w:spacing w:val="-7"/>
        </w:rPr>
        <w:t xml:space="preserve"> </w:t>
      </w:r>
      <w:r>
        <w:t>wider</w:t>
      </w:r>
      <w:r>
        <w:rPr>
          <w:spacing w:val="-4"/>
        </w:rPr>
        <w:t xml:space="preserve"> </w:t>
      </w:r>
      <w:r>
        <w:t>range</w:t>
      </w:r>
      <w:r>
        <w:rPr>
          <w:spacing w:val="-7"/>
        </w:rPr>
        <w:t xml:space="preserve"> </w:t>
      </w:r>
      <w:r>
        <w:t>of</w:t>
      </w:r>
      <w:r>
        <w:rPr>
          <w:spacing w:val="-4"/>
        </w:rPr>
        <w:t xml:space="preserve"> </w:t>
      </w:r>
      <w:r>
        <w:t>analytics</w:t>
      </w:r>
      <w:r>
        <w:rPr>
          <w:spacing w:val="-5"/>
        </w:rPr>
        <w:t xml:space="preserve"> </w:t>
      </w:r>
      <w:r>
        <w:t>as</w:t>
      </w:r>
      <w:r>
        <w:rPr>
          <w:spacing w:val="-6"/>
        </w:rPr>
        <w:t xml:space="preserve"> </w:t>
      </w:r>
      <w:r>
        <w:t>well</w:t>
      </w:r>
      <w:r>
        <w:rPr>
          <w:spacing w:val="-2"/>
        </w:rPr>
        <w:t xml:space="preserve"> </w:t>
      </w:r>
      <w:r>
        <w:t>as</w:t>
      </w:r>
      <w:r>
        <w:rPr>
          <w:spacing w:val="-6"/>
        </w:rPr>
        <w:t xml:space="preserve"> </w:t>
      </w:r>
      <w:r>
        <w:t>the</w:t>
      </w:r>
      <w:r>
        <w:rPr>
          <w:spacing w:val="-6"/>
        </w:rPr>
        <w:t xml:space="preserve"> </w:t>
      </w:r>
      <w:r>
        <w:t>use</w:t>
      </w:r>
      <w:r>
        <w:rPr>
          <w:spacing w:val="-6"/>
        </w:rPr>
        <w:t xml:space="preserve"> </w:t>
      </w:r>
      <w:r>
        <w:t>of</w:t>
      </w:r>
      <w:r>
        <w:rPr>
          <w:spacing w:val="-7"/>
        </w:rPr>
        <w:t xml:space="preserve"> </w:t>
      </w:r>
      <w:r>
        <w:t>secondary</w:t>
      </w:r>
      <w:r>
        <w:rPr>
          <w:spacing w:val="-10"/>
        </w:rPr>
        <w:t xml:space="preserve"> </w:t>
      </w:r>
      <w:r>
        <w:t>data</w:t>
      </w:r>
      <w:r>
        <w:rPr>
          <w:spacing w:val="-6"/>
        </w:rPr>
        <w:t xml:space="preserve"> </w:t>
      </w:r>
      <w:r>
        <w:t>in</w:t>
      </w:r>
      <w:r>
        <w:rPr>
          <w:spacing w:val="-6"/>
        </w:rPr>
        <w:t xml:space="preserve"> </w:t>
      </w:r>
      <w:r>
        <w:t>healthcare.</w:t>
      </w:r>
      <w:r>
        <w:rPr>
          <w:spacing w:val="-5"/>
        </w:rPr>
        <w:t xml:space="preserve"> </w:t>
      </w:r>
      <w:r>
        <w:t>Structured</w:t>
      </w:r>
      <w:r>
        <w:rPr>
          <w:spacing w:val="-4"/>
        </w:rPr>
        <w:t xml:space="preserve"> </w:t>
      </w:r>
      <w:r>
        <w:t>clinical</w:t>
      </w:r>
      <w:r>
        <w:rPr>
          <w:spacing w:val="-57"/>
        </w:rPr>
        <w:t xml:space="preserve"> </w:t>
      </w:r>
      <w:r>
        <w:t>information,</w:t>
      </w:r>
      <w:r>
        <w:rPr>
          <w:spacing w:val="-11"/>
        </w:rPr>
        <w:t xml:space="preserve"> </w:t>
      </w:r>
      <w:r>
        <w:t>coding</w:t>
      </w:r>
      <w:r>
        <w:rPr>
          <w:spacing w:val="-12"/>
        </w:rPr>
        <w:t xml:space="preserve"> </w:t>
      </w:r>
      <w:r>
        <w:t>systems</w:t>
      </w:r>
      <w:r>
        <w:rPr>
          <w:spacing w:val="-9"/>
        </w:rPr>
        <w:t xml:space="preserve"> </w:t>
      </w:r>
      <w:r>
        <w:t>and</w:t>
      </w:r>
      <w:r>
        <w:rPr>
          <w:spacing w:val="-11"/>
        </w:rPr>
        <w:t xml:space="preserve"> </w:t>
      </w:r>
      <w:r>
        <w:t>unified</w:t>
      </w:r>
      <w:r>
        <w:rPr>
          <w:spacing w:val="-10"/>
        </w:rPr>
        <w:t xml:space="preserve"> </w:t>
      </w:r>
      <w:r>
        <w:t>forms</w:t>
      </w:r>
      <w:r>
        <w:rPr>
          <w:spacing w:val="-10"/>
        </w:rPr>
        <w:t xml:space="preserve"> </w:t>
      </w:r>
      <w:r>
        <w:t>ensure</w:t>
      </w:r>
      <w:r>
        <w:rPr>
          <w:spacing w:val="-12"/>
        </w:rPr>
        <w:t xml:space="preserve"> </w:t>
      </w:r>
      <w:r>
        <w:t>data</w:t>
      </w:r>
      <w:r>
        <w:rPr>
          <w:spacing w:val="-9"/>
        </w:rPr>
        <w:t xml:space="preserve"> </w:t>
      </w:r>
      <w:r>
        <w:t>exchange</w:t>
      </w:r>
      <w:r>
        <w:rPr>
          <w:spacing w:val="-9"/>
        </w:rPr>
        <w:t xml:space="preserve"> </w:t>
      </w:r>
      <w:r>
        <w:t>and</w:t>
      </w:r>
      <w:r>
        <w:rPr>
          <w:spacing w:val="-10"/>
        </w:rPr>
        <w:t xml:space="preserve"> </w:t>
      </w:r>
      <w:r>
        <w:t>machining</w:t>
      </w:r>
      <w:r>
        <w:rPr>
          <w:spacing w:val="-9"/>
        </w:rPr>
        <w:t xml:space="preserve"> </w:t>
      </w:r>
      <w:r>
        <w:t>processing</w:t>
      </w:r>
      <w:r>
        <w:rPr>
          <w:spacing w:val="-57"/>
        </w:rPr>
        <w:t xml:space="preserve"> </w:t>
      </w:r>
      <w:r>
        <w:t>of</w:t>
      </w:r>
      <w:r>
        <w:rPr>
          <w:spacing w:val="-13"/>
        </w:rPr>
        <w:t xml:space="preserve"> </w:t>
      </w:r>
      <w:r>
        <w:t>data.</w:t>
      </w:r>
      <w:r>
        <w:rPr>
          <w:spacing w:val="-11"/>
        </w:rPr>
        <w:t xml:space="preserve"> </w:t>
      </w:r>
      <w:r>
        <w:t>The</w:t>
      </w:r>
      <w:r>
        <w:rPr>
          <w:spacing w:val="-13"/>
        </w:rPr>
        <w:t xml:space="preserve"> </w:t>
      </w:r>
      <w:r>
        <w:t>management</w:t>
      </w:r>
      <w:r>
        <w:rPr>
          <w:spacing w:val="-10"/>
        </w:rPr>
        <w:t xml:space="preserve"> </w:t>
      </w:r>
      <w:r>
        <w:t>of</w:t>
      </w:r>
      <w:r>
        <w:rPr>
          <w:spacing w:val="-12"/>
        </w:rPr>
        <w:t xml:space="preserve"> </w:t>
      </w:r>
      <w:r>
        <w:t>health</w:t>
      </w:r>
      <w:r>
        <w:rPr>
          <w:spacing w:val="-12"/>
        </w:rPr>
        <w:t xml:space="preserve"> </w:t>
      </w:r>
      <w:r>
        <w:t>information</w:t>
      </w:r>
      <w:r>
        <w:rPr>
          <w:spacing w:val="-11"/>
        </w:rPr>
        <w:t xml:space="preserve"> </w:t>
      </w:r>
      <w:r>
        <w:t>and</w:t>
      </w:r>
      <w:r>
        <w:rPr>
          <w:spacing w:val="-12"/>
        </w:rPr>
        <w:t xml:space="preserve"> </w:t>
      </w:r>
      <w:r>
        <w:t>knowledge</w:t>
      </w:r>
      <w:r>
        <w:rPr>
          <w:spacing w:val="-12"/>
        </w:rPr>
        <w:t xml:space="preserve"> </w:t>
      </w:r>
      <w:r>
        <w:t>through</w:t>
      </w:r>
      <w:r>
        <w:rPr>
          <w:spacing w:val="-10"/>
        </w:rPr>
        <w:t xml:space="preserve"> </w:t>
      </w:r>
      <w:r>
        <w:t>the</w:t>
      </w:r>
      <w:r>
        <w:rPr>
          <w:spacing w:val="-12"/>
        </w:rPr>
        <w:t xml:space="preserve"> </w:t>
      </w:r>
      <w:r>
        <w:t>Central</w:t>
      </w:r>
      <w:r>
        <w:rPr>
          <w:spacing w:val="-9"/>
        </w:rPr>
        <w:t xml:space="preserve"> </w:t>
      </w:r>
      <w:r>
        <w:t>Information</w:t>
      </w:r>
      <w:r>
        <w:rPr>
          <w:spacing w:val="-57"/>
        </w:rPr>
        <w:t xml:space="preserve"> </w:t>
      </w:r>
      <w:r>
        <w:t>Health System of the Republic of Croatia (CEZIH), the National Public Health Information</w:t>
      </w:r>
      <w:r>
        <w:rPr>
          <w:spacing w:val="1"/>
        </w:rPr>
        <w:t xml:space="preserve"> </w:t>
      </w:r>
      <w:r>
        <w:t>System (</w:t>
      </w:r>
      <w:r>
        <w:rPr>
          <w:i/>
        </w:rPr>
        <w:t xml:space="preserve">Nacionalni arhivski informacijski sustav </w:t>
      </w:r>
      <w:r>
        <w:t>- NAIS) and other IT systems in health have</w:t>
      </w:r>
      <w:r>
        <w:rPr>
          <w:spacing w:val="-57"/>
        </w:rPr>
        <w:t xml:space="preserve"> </w:t>
      </w:r>
      <w:r>
        <w:t>still</w:t>
      </w:r>
      <w:r>
        <w:rPr>
          <w:spacing w:val="-3"/>
        </w:rPr>
        <w:t xml:space="preserve"> </w:t>
      </w:r>
      <w:r>
        <w:t>not</w:t>
      </w:r>
      <w:r>
        <w:rPr>
          <w:spacing w:val="-3"/>
        </w:rPr>
        <w:t xml:space="preserve"> </w:t>
      </w:r>
      <w:r>
        <w:t>been</w:t>
      </w:r>
      <w:r>
        <w:rPr>
          <w:spacing w:val="-3"/>
        </w:rPr>
        <w:t xml:space="preserve"> </w:t>
      </w:r>
      <w:r>
        <w:t>fully</w:t>
      </w:r>
      <w:r>
        <w:rPr>
          <w:spacing w:val="-9"/>
        </w:rPr>
        <w:t xml:space="preserve"> </w:t>
      </w:r>
      <w:r>
        <w:t>utilised.</w:t>
      </w:r>
      <w:r>
        <w:rPr>
          <w:spacing w:val="-2"/>
        </w:rPr>
        <w:t xml:space="preserve"> </w:t>
      </w:r>
      <w:r>
        <w:t>Central</w:t>
      </w:r>
      <w:r>
        <w:rPr>
          <w:spacing w:val="-3"/>
        </w:rPr>
        <w:t xml:space="preserve"> </w:t>
      </w:r>
      <w:r>
        <w:t>data</w:t>
      </w:r>
      <w:r>
        <w:rPr>
          <w:spacing w:val="-4"/>
        </w:rPr>
        <w:t xml:space="preserve"> </w:t>
      </w:r>
      <w:r>
        <w:t>warehousing</w:t>
      </w:r>
      <w:r>
        <w:rPr>
          <w:spacing w:val="-4"/>
        </w:rPr>
        <w:t xml:space="preserve"> </w:t>
      </w:r>
      <w:r>
        <w:t>and</w:t>
      </w:r>
      <w:r>
        <w:rPr>
          <w:spacing w:val="-3"/>
        </w:rPr>
        <w:t xml:space="preserve"> </w:t>
      </w:r>
      <w:r>
        <w:t>health</w:t>
      </w:r>
      <w:r>
        <w:rPr>
          <w:spacing w:val="-4"/>
        </w:rPr>
        <w:t xml:space="preserve"> </w:t>
      </w:r>
      <w:r>
        <w:t>analytics technologies</w:t>
      </w:r>
      <w:r>
        <w:rPr>
          <w:spacing w:val="-2"/>
        </w:rPr>
        <w:t xml:space="preserve"> </w:t>
      </w:r>
      <w:r>
        <w:t>used</w:t>
      </w:r>
      <w:r>
        <w:rPr>
          <w:spacing w:val="-1"/>
        </w:rPr>
        <w:t xml:space="preserve"> </w:t>
      </w:r>
      <w:r>
        <w:t>as</w:t>
      </w:r>
      <w:r>
        <w:rPr>
          <w:spacing w:val="-57"/>
        </w:rPr>
        <w:t xml:space="preserve"> </w:t>
      </w:r>
      <w:r>
        <w:t>a</w:t>
      </w:r>
      <w:r>
        <w:rPr>
          <w:spacing w:val="-10"/>
        </w:rPr>
        <w:t xml:space="preserve"> </w:t>
      </w:r>
      <w:r>
        <w:t>platform</w:t>
      </w:r>
      <w:r>
        <w:rPr>
          <w:spacing w:val="-6"/>
        </w:rPr>
        <w:t xml:space="preserve"> </w:t>
      </w:r>
      <w:r>
        <w:t>for</w:t>
      </w:r>
      <w:r>
        <w:rPr>
          <w:spacing w:val="-7"/>
        </w:rPr>
        <w:t xml:space="preserve"> </w:t>
      </w:r>
      <w:r>
        <w:t>population</w:t>
      </w:r>
      <w:r>
        <w:rPr>
          <w:spacing w:val="-4"/>
        </w:rPr>
        <w:t xml:space="preserve"> </w:t>
      </w:r>
      <w:r>
        <w:t>health</w:t>
      </w:r>
      <w:r>
        <w:rPr>
          <w:spacing w:val="-9"/>
        </w:rPr>
        <w:t xml:space="preserve"> </w:t>
      </w:r>
      <w:r>
        <w:t>activities</w:t>
      </w:r>
      <w:r>
        <w:rPr>
          <w:spacing w:val="-8"/>
        </w:rPr>
        <w:t xml:space="preserve"> </w:t>
      </w:r>
      <w:r>
        <w:t>are</w:t>
      </w:r>
      <w:r>
        <w:rPr>
          <w:spacing w:val="-7"/>
        </w:rPr>
        <w:t xml:space="preserve"> </w:t>
      </w:r>
      <w:r>
        <w:t>limited</w:t>
      </w:r>
      <w:r>
        <w:rPr>
          <w:spacing w:val="-9"/>
        </w:rPr>
        <w:t xml:space="preserve"> </w:t>
      </w:r>
      <w:r>
        <w:t>to</w:t>
      </w:r>
      <w:r>
        <w:rPr>
          <w:spacing w:val="-7"/>
        </w:rPr>
        <w:t xml:space="preserve"> </w:t>
      </w:r>
      <w:r>
        <w:t>basic</w:t>
      </w:r>
      <w:r>
        <w:rPr>
          <w:spacing w:val="-7"/>
        </w:rPr>
        <w:t xml:space="preserve"> </w:t>
      </w:r>
      <w:r>
        <w:t>reporting</w:t>
      </w:r>
      <w:r>
        <w:rPr>
          <w:spacing w:val="-7"/>
        </w:rPr>
        <w:t xml:space="preserve"> </w:t>
      </w:r>
      <w:r>
        <w:t>services</w:t>
      </w:r>
      <w:r>
        <w:rPr>
          <w:spacing w:val="-8"/>
        </w:rPr>
        <w:t xml:space="preserve"> </w:t>
      </w:r>
      <w:r>
        <w:t>of</w:t>
      </w:r>
      <w:r>
        <w:rPr>
          <w:spacing w:val="-6"/>
        </w:rPr>
        <w:t xml:space="preserve"> </w:t>
      </w:r>
      <w:r>
        <w:t>the</w:t>
      </w:r>
      <w:r>
        <w:rPr>
          <w:spacing w:val="-4"/>
        </w:rPr>
        <w:t xml:space="preserve"> </w:t>
      </w:r>
      <w:r>
        <w:t>Croatian</w:t>
      </w:r>
      <w:r>
        <w:rPr>
          <w:spacing w:val="-58"/>
        </w:rPr>
        <w:t xml:space="preserve"> </w:t>
      </w:r>
      <w:r>
        <w:t>Health</w:t>
      </w:r>
      <w:r>
        <w:rPr>
          <w:spacing w:val="1"/>
        </w:rPr>
        <w:t xml:space="preserve"> </w:t>
      </w:r>
      <w:r>
        <w:t>Insurance</w:t>
      </w:r>
      <w:r>
        <w:rPr>
          <w:spacing w:val="1"/>
        </w:rPr>
        <w:t xml:space="preserve"> </w:t>
      </w:r>
      <w:r>
        <w:t>Fund</w:t>
      </w:r>
      <w:r>
        <w:rPr>
          <w:spacing w:val="1"/>
        </w:rPr>
        <w:t xml:space="preserve"> </w:t>
      </w:r>
      <w:r>
        <w:t>(CHIF/HZZO)</w:t>
      </w:r>
      <w:r>
        <w:rPr>
          <w:spacing w:val="1"/>
        </w:rPr>
        <w:t xml:space="preserve"> </w:t>
      </w:r>
      <w:r>
        <w:t>and</w:t>
      </w:r>
      <w:r>
        <w:rPr>
          <w:spacing w:val="1"/>
        </w:rPr>
        <w:t xml:space="preserve"> </w:t>
      </w:r>
      <w:r>
        <w:t>the</w:t>
      </w:r>
      <w:r>
        <w:rPr>
          <w:spacing w:val="1"/>
        </w:rPr>
        <w:t xml:space="preserve"> </w:t>
      </w:r>
      <w:r>
        <w:t>Croatian</w:t>
      </w:r>
      <w:r>
        <w:rPr>
          <w:spacing w:val="1"/>
        </w:rPr>
        <w:t xml:space="preserve"> </w:t>
      </w:r>
      <w:r>
        <w:t>Institute</w:t>
      </w:r>
      <w:r>
        <w:rPr>
          <w:spacing w:val="1"/>
        </w:rPr>
        <w:t xml:space="preserve"> </w:t>
      </w:r>
      <w:r>
        <w:t>of</w:t>
      </w:r>
      <w:r>
        <w:rPr>
          <w:spacing w:val="1"/>
        </w:rPr>
        <w:t xml:space="preserve"> </w:t>
      </w:r>
      <w:r>
        <w:t>Public</w:t>
      </w:r>
      <w:r>
        <w:rPr>
          <w:spacing w:val="1"/>
        </w:rPr>
        <w:t xml:space="preserve"> </w:t>
      </w:r>
      <w:r>
        <w:t>Health</w:t>
      </w:r>
      <w:r>
        <w:rPr>
          <w:spacing w:val="1"/>
        </w:rPr>
        <w:t xml:space="preserve"> </w:t>
      </w:r>
      <w:r>
        <w:t>(CIPH/HZJZ), which is a safe area for improvement. Clinical data collected in the central</w:t>
      </w:r>
      <w:r>
        <w:rPr>
          <w:spacing w:val="1"/>
        </w:rPr>
        <w:t xml:space="preserve"> </w:t>
      </w:r>
      <w:r>
        <w:t>system</w:t>
      </w:r>
      <w:r>
        <w:rPr>
          <w:spacing w:val="-5"/>
        </w:rPr>
        <w:t xml:space="preserve"> </w:t>
      </w:r>
      <w:r>
        <w:t>require</w:t>
      </w:r>
      <w:r>
        <w:rPr>
          <w:spacing w:val="-6"/>
        </w:rPr>
        <w:t xml:space="preserve"> </w:t>
      </w:r>
      <w:r>
        <w:t>quality</w:t>
      </w:r>
      <w:r>
        <w:rPr>
          <w:spacing w:val="-10"/>
        </w:rPr>
        <w:t xml:space="preserve"> </w:t>
      </w:r>
      <w:r>
        <w:t>upgrades</w:t>
      </w:r>
      <w:r>
        <w:rPr>
          <w:spacing w:val="-5"/>
        </w:rPr>
        <w:t xml:space="preserve"> </w:t>
      </w:r>
      <w:r>
        <w:t>before</w:t>
      </w:r>
      <w:r>
        <w:rPr>
          <w:spacing w:val="-3"/>
        </w:rPr>
        <w:t xml:space="preserve"> </w:t>
      </w:r>
      <w:r>
        <w:t>its</w:t>
      </w:r>
      <w:r>
        <w:rPr>
          <w:spacing w:val="-5"/>
        </w:rPr>
        <w:t xml:space="preserve"> </w:t>
      </w:r>
      <w:r>
        <w:t>use</w:t>
      </w:r>
      <w:r>
        <w:rPr>
          <w:spacing w:val="-5"/>
        </w:rPr>
        <w:t xml:space="preserve"> </w:t>
      </w:r>
      <w:r>
        <w:t>for</w:t>
      </w:r>
      <w:r>
        <w:rPr>
          <w:spacing w:val="-4"/>
        </w:rPr>
        <w:t xml:space="preserve"> </w:t>
      </w:r>
      <w:r>
        <w:t>advisory</w:t>
      </w:r>
      <w:r>
        <w:rPr>
          <w:spacing w:val="-8"/>
        </w:rPr>
        <w:t xml:space="preserve"> </w:t>
      </w:r>
      <w:r>
        <w:t>and</w:t>
      </w:r>
      <w:r>
        <w:rPr>
          <w:spacing w:val="-5"/>
        </w:rPr>
        <w:t xml:space="preserve"> </w:t>
      </w:r>
      <w:r>
        <w:t>secondary</w:t>
      </w:r>
      <w:r>
        <w:rPr>
          <w:spacing w:val="-10"/>
        </w:rPr>
        <w:t xml:space="preserve"> </w:t>
      </w:r>
      <w:r>
        <w:t>purposes,</w:t>
      </w:r>
      <w:r>
        <w:rPr>
          <w:spacing w:val="-5"/>
        </w:rPr>
        <w:t xml:space="preserve"> </w:t>
      </w:r>
      <w:r>
        <w:t>population</w:t>
      </w:r>
      <w:r>
        <w:rPr>
          <w:spacing w:val="-57"/>
        </w:rPr>
        <w:t xml:space="preserve"> </w:t>
      </w:r>
      <w:r>
        <w:t>health</w:t>
      </w:r>
      <w:r>
        <w:rPr>
          <w:spacing w:val="-1"/>
        </w:rPr>
        <w:t xml:space="preserve"> </w:t>
      </w:r>
      <w:r>
        <w:t>care, and</w:t>
      </w:r>
      <w:r>
        <w:rPr>
          <w:spacing w:val="2"/>
        </w:rPr>
        <w:t xml:space="preserve"> </w:t>
      </w:r>
      <w:r>
        <w:t>clinical</w:t>
      </w:r>
      <w:r>
        <w:rPr>
          <w:spacing w:val="2"/>
        </w:rPr>
        <w:t xml:space="preserve"> </w:t>
      </w:r>
      <w:r>
        <w:t>management.</w:t>
      </w:r>
    </w:p>
    <w:p w:rsidR="00A56FE9" w:rsidRDefault="00000000">
      <w:pPr>
        <w:spacing w:before="121"/>
        <w:ind w:left="138" w:right="271"/>
        <w:jc w:val="both"/>
        <w:rPr>
          <w:sz w:val="24"/>
        </w:rPr>
      </w:pPr>
      <w:r>
        <w:rPr>
          <w:sz w:val="24"/>
        </w:rPr>
        <w:t>In</w:t>
      </w:r>
      <w:r>
        <w:rPr>
          <w:spacing w:val="-12"/>
          <w:sz w:val="24"/>
        </w:rPr>
        <w:t xml:space="preserve"> </w:t>
      </w:r>
      <w:r>
        <w:rPr>
          <w:sz w:val="24"/>
        </w:rPr>
        <w:t>terms</w:t>
      </w:r>
      <w:r>
        <w:rPr>
          <w:spacing w:val="-10"/>
          <w:sz w:val="24"/>
        </w:rPr>
        <w:t xml:space="preserve"> </w:t>
      </w:r>
      <w:r>
        <w:rPr>
          <w:sz w:val="24"/>
        </w:rPr>
        <w:t>of</w:t>
      </w:r>
      <w:r>
        <w:rPr>
          <w:spacing w:val="-12"/>
          <w:sz w:val="24"/>
        </w:rPr>
        <w:t xml:space="preserve"> </w:t>
      </w:r>
      <w:r>
        <w:rPr>
          <w:sz w:val="24"/>
        </w:rPr>
        <w:t>the</w:t>
      </w:r>
      <w:r>
        <w:rPr>
          <w:spacing w:val="-12"/>
          <w:sz w:val="24"/>
        </w:rPr>
        <w:t xml:space="preserve"> </w:t>
      </w:r>
      <w:r>
        <w:rPr>
          <w:sz w:val="24"/>
        </w:rPr>
        <w:t>NRRP,</w:t>
      </w:r>
      <w:r>
        <w:rPr>
          <w:spacing w:val="-11"/>
          <w:sz w:val="24"/>
        </w:rPr>
        <w:t xml:space="preserve"> </w:t>
      </w:r>
      <w:r>
        <w:rPr>
          <w:sz w:val="24"/>
        </w:rPr>
        <w:t>investments</w:t>
      </w:r>
      <w:r>
        <w:rPr>
          <w:spacing w:val="-10"/>
          <w:sz w:val="24"/>
        </w:rPr>
        <w:t xml:space="preserve"> </w:t>
      </w:r>
      <w:r>
        <w:rPr>
          <w:sz w:val="24"/>
        </w:rPr>
        <w:t>in</w:t>
      </w:r>
      <w:r>
        <w:rPr>
          <w:spacing w:val="-11"/>
          <w:sz w:val="24"/>
        </w:rPr>
        <w:t xml:space="preserve"> </w:t>
      </w:r>
      <w:r>
        <w:rPr>
          <w:sz w:val="24"/>
        </w:rPr>
        <w:t>hospital</w:t>
      </w:r>
      <w:r>
        <w:rPr>
          <w:spacing w:val="-13"/>
          <w:sz w:val="24"/>
        </w:rPr>
        <w:t xml:space="preserve"> </w:t>
      </w:r>
      <w:r>
        <w:rPr>
          <w:sz w:val="24"/>
        </w:rPr>
        <w:t>health</w:t>
      </w:r>
      <w:r>
        <w:rPr>
          <w:spacing w:val="-11"/>
          <w:sz w:val="24"/>
        </w:rPr>
        <w:t xml:space="preserve"> </w:t>
      </w:r>
      <w:r>
        <w:rPr>
          <w:sz w:val="24"/>
        </w:rPr>
        <w:t>institutions</w:t>
      </w:r>
      <w:r>
        <w:rPr>
          <w:spacing w:val="-12"/>
          <w:sz w:val="24"/>
        </w:rPr>
        <w:t xml:space="preserve"> </w:t>
      </w:r>
      <w:r>
        <w:rPr>
          <w:sz w:val="24"/>
        </w:rPr>
        <w:t>are</w:t>
      </w:r>
      <w:r>
        <w:rPr>
          <w:spacing w:val="-13"/>
          <w:sz w:val="24"/>
        </w:rPr>
        <w:t xml:space="preserve"> </w:t>
      </w:r>
      <w:r>
        <w:rPr>
          <w:sz w:val="24"/>
        </w:rPr>
        <w:t>planned</w:t>
      </w:r>
      <w:r>
        <w:rPr>
          <w:spacing w:val="-8"/>
          <w:sz w:val="24"/>
        </w:rPr>
        <w:t xml:space="preserve"> </w:t>
      </w:r>
      <w:r>
        <w:rPr>
          <w:sz w:val="24"/>
        </w:rPr>
        <w:t>in</w:t>
      </w:r>
      <w:r>
        <w:rPr>
          <w:spacing w:val="-11"/>
          <w:sz w:val="24"/>
        </w:rPr>
        <w:t xml:space="preserve"> </w:t>
      </w:r>
      <w:r>
        <w:rPr>
          <w:sz w:val="24"/>
        </w:rPr>
        <w:t>2022,</w:t>
      </w:r>
      <w:r>
        <w:rPr>
          <w:spacing w:val="-11"/>
          <w:sz w:val="24"/>
        </w:rPr>
        <w:t xml:space="preserve"> </w:t>
      </w:r>
      <w:r>
        <w:rPr>
          <w:sz w:val="24"/>
        </w:rPr>
        <w:t>i.e.,</w:t>
      </w:r>
      <w:r>
        <w:rPr>
          <w:spacing w:val="-11"/>
          <w:sz w:val="24"/>
        </w:rPr>
        <w:t xml:space="preserve"> </w:t>
      </w:r>
      <w:r>
        <w:rPr>
          <w:b/>
          <w:sz w:val="24"/>
        </w:rPr>
        <w:t>C5.1.</w:t>
      </w:r>
      <w:r>
        <w:rPr>
          <w:b/>
          <w:spacing w:val="-58"/>
          <w:sz w:val="24"/>
        </w:rPr>
        <w:t xml:space="preserve"> </w:t>
      </w:r>
      <w:r>
        <w:rPr>
          <w:b/>
          <w:sz w:val="24"/>
        </w:rPr>
        <w:t>R1-I4 Modernization of Health Services in the Clinical Hospital Center Split and C5.1.</w:t>
      </w:r>
      <w:r>
        <w:rPr>
          <w:b/>
          <w:spacing w:val="1"/>
          <w:sz w:val="24"/>
        </w:rPr>
        <w:t xml:space="preserve"> </w:t>
      </w:r>
      <w:r>
        <w:rPr>
          <w:b/>
          <w:sz w:val="24"/>
        </w:rPr>
        <w:t>R5-I5</w:t>
      </w:r>
      <w:r>
        <w:rPr>
          <w:b/>
          <w:spacing w:val="-13"/>
          <w:sz w:val="24"/>
        </w:rPr>
        <w:t xml:space="preserve"> </w:t>
      </w:r>
      <w:r>
        <w:rPr>
          <w:b/>
          <w:sz w:val="24"/>
        </w:rPr>
        <w:t>Digitalisation</w:t>
      </w:r>
      <w:r>
        <w:rPr>
          <w:b/>
          <w:spacing w:val="-11"/>
          <w:sz w:val="24"/>
        </w:rPr>
        <w:t xml:space="preserve"> </w:t>
      </w:r>
      <w:r>
        <w:rPr>
          <w:b/>
          <w:sz w:val="24"/>
        </w:rPr>
        <w:t>and</w:t>
      </w:r>
      <w:r>
        <w:rPr>
          <w:b/>
          <w:spacing w:val="-15"/>
          <w:sz w:val="24"/>
        </w:rPr>
        <w:t xml:space="preserve"> </w:t>
      </w:r>
      <w:r>
        <w:rPr>
          <w:b/>
          <w:sz w:val="24"/>
        </w:rPr>
        <w:t>equipping</w:t>
      </w:r>
      <w:r>
        <w:rPr>
          <w:b/>
          <w:spacing w:val="-12"/>
          <w:sz w:val="24"/>
        </w:rPr>
        <w:t xml:space="preserve"> </w:t>
      </w:r>
      <w:r>
        <w:rPr>
          <w:b/>
          <w:sz w:val="24"/>
        </w:rPr>
        <w:t>of</w:t>
      </w:r>
      <w:r>
        <w:rPr>
          <w:b/>
          <w:spacing w:val="-11"/>
          <w:sz w:val="24"/>
        </w:rPr>
        <w:t xml:space="preserve"> </w:t>
      </w:r>
      <w:r>
        <w:rPr>
          <w:b/>
          <w:sz w:val="24"/>
        </w:rPr>
        <w:t>Clinical</w:t>
      </w:r>
      <w:r>
        <w:rPr>
          <w:b/>
          <w:spacing w:val="-13"/>
          <w:sz w:val="24"/>
        </w:rPr>
        <w:t xml:space="preserve"> </w:t>
      </w:r>
      <w:r>
        <w:rPr>
          <w:b/>
          <w:sz w:val="24"/>
        </w:rPr>
        <w:t>Hospital</w:t>
      </w:r>
      <w:r>
        <w:rPr>
          <w:b/>
          <w:spacing w:val="-12"/>
          <w:sz w:val="24"/>
        </w:rPr>
        <w:t xml:space="preserve"> </w:t>
      </w:r>
      <w:r>
        <w:rPr>
          <w:b/>
          <w:sz w:val="24"/>
        </w:rPr>
        <w:t>‘KB</w:t>
      </w:r>
      <w:r>
        <w:rPr>
          <w:b/>
          <w:spacing w:val="-13"/>
          <w:sz w:val="24"/>
        </w:rPr>
        <w:t xml:space="preserve"> </w:t>
      </w:r>
      <w:r>
        <w:rPr>
          <w:b/>
          <w:sz w:val="24"/>
        </w:rPr>
        <w:t>Merkur’</w:t>
      </w:r>
      <w:r>
        <w:rPr>
          <w:b/>
          <w:spacing w:val="-13"/>
          <w:sz w:val="24"/>
        </w:rPr>
        <w:t xml:space="preserve"> </w:t>
      </w:r>
      <w:r>
        <w:rPr>
          <w:b/>
          <w:sz w:val="24"/>
        </w:rPr>
        <w:t>diagnostic</w:t>
      </w:r>
      <w:r>
        <w:rPr>
          <w:b/>
          <w:spacing w:val="-13"/>
          <w:sz w:val="24"/>
        </w:rPr>
        <w:t xml:space="preserve"> </w:t>
      </w:r>
      <w:r>
        <w:rPr>
          <w:b/>
          <w:sz w:val="24"/>
        </w:rPr>
        <w:t>units</w:t>
      </w:r>
      <w:r>
        <w:rPr>
          <w:sz w:val="24"/>
        </w:rPr>
        <w:t>,</w:t>
      </w:r>
      <w:r>
        <w:rPr>
          <w:spacing w:val="-13"/>
          <w:sz w:val="24"/>
        </w:rPr>
        <w:t xml:space="preserve"> </w:t>
      </w:r>
      <w:r>
        <w:rPr>
          <w:sz w:val="24"/>
        </w:rPr>
        <w:t>i.e.,</w:t>
      </w:r>
      <w:r>
        <w:rPr>
          <w:spacing w:val="-57"/>
          <w:sz w:val="24"/>
        </w:rPr>
        <w:t xml:space="preserve"> </w:t>
      </w:r>
      <w:r>
        <w:rPr>
          <w:sz w:val="24"/>
        </w:rPr>
        <w:t>the</w:t>
      </w:r>
      <w:r>
        <w:rPr>
          <w:spacing w:val="-2"/>
          <w:sz w:val="24"/>
        </w:rPr>
        <w:t xml:space="preserve"> </w:t>
      </w:r>
      <w:r>
        <w:rPr>
          <w:sz w:val="24"/>
        </w:rPr>
        <w:t>diagnostic units</w:t>
      </w:r>
      <w:r>
        <w:rPr>
          <w:spacing w:val="1"/>
          <w:sz w:val="24"/>
        </w:rPr>
        <w:t xml:space="preserve"> </w:t>
      </w:r>
      <w:r>
        <w:rPr>
          <w:sz w:val="24"/>
        </w:rPr>
        <w:t>at the</w:t>
      </w:r>
      <w:r>
        <w:rPr>
          <w:spacing w:val="1"/>
          <w:sz w:val="24"/>
        </w:rPr>
        <w:t xml:space="preserve"> </w:t>
      </w:r>
      <w:r>
        <w:rPr>
          <w:sz w:val="24"/>
        </w:rPr>
        <w:t>Clinical Hospital Merkur.</w:t>
      </w:r>
    </w:p>
    <w:p w:rsidR="00A56FE9" w:rsidRDefault="00000000">
      <w:pPr>
        <w:spacing w:before="118"/>
        <w:ind w:left="138" w:right="274"/>
        <w:jc w:val="both"/>
        <w:rPr>
          <w:sz w:val="24"/>
        </w:rPr>
      </w:pPr>
      <w:r>
        <w:rPr>
          <w:sz w:val="24"/>
        </w:rPr>
        <w:t>Furthermore,</w:t>
      </w:r>
      <w:r>
        <w:rPr>
          <w:spacing w:val="-2"/>
          <w:sz w:val="24"/>
        </w:rPr>
        <w:t xml:space="preserve"> </w:t>
      </w:r>
      <w:r>
        <w:rPr>
          <w:sz w:val="24"/>
        </w:rPr>
        <w:t>in</w:t>
      </w:r>
      <w:r>
        <w:rPr>
          <w:spacing w:val="-2"/>
          <w:sz w:val="24"/>
        </w:rPr>
        <w:t xml:space="preserve"> </w:t>
      </w:r>
      <w:r>
        <w:rPr>
          <w:sz w:val="24"/>
        </w:rPr>
        <w:t>terms</w:t>
      </w:r>
      <w:r>
        <w:rPr>
          <w:spacing w:val="-2"/>
          <w:sz w:val="24"/>
        </w:rPr>
        <w:t xml:space="preserve"> </w:t>
      </w:r>
      <w:r>
        <w:rPr>
          <w:sz w:val="24"/>
        </w:rPr>
        <w:t>of</w:t>
      </w:r>
      <w:r>
        <w:rPr>
          <w:spacing w:val="-5"/>
          <w:sz w:val="24"/>
        </w:rPr>
        <w:t xml:space="preserve"> </w:t>
      </w:r>
      <w:r>
        <w:rPr>
          <w:sz w:val="24"/>
        </w:rPr>
        <w:t>the</w:t>
      </w:r>
      <w:r>
        <w:rPr>
          <w:spacing w:val="-3"/>
          <w:sz w:val="24"/>
        </w:rPr>
        <w:t xml:space="preserve"> </w:t>
      </w:r>
      <w:r>
        <w:rPr>
          <w:sz w:val="24"/>
        </w:rPr>
        <w:t>NRRP,</w:t>
      </w:r>
      <w:r>
        <w:rPr>
          <w:spacing w:val="-5"/>
          <w:sz w:val="24"/>
        </w:rPr>
        <w:t xml:space="preserve"> </w:t>
      </w:r>
      <w:r>
        <w:rPr>
          <w:sz w:val="24"/>
        </w:rPr>
        <w:t>the</w:t>
      </w:r>
      <w:r>
        <w:rPr>
          <w:spacing w:val="-3"/>
          <w:sz w:val="24"/>
        </w:rPr>
        <w:t xml:space="preserve"> </w:t>
      </w:r>
      <w:r>
        <w:rPr>
          <w:b/>
          <w:sz w:val="24"/>
        </w:rPr>
        <w:t>implementation</w:t>
      </w:r>
      <w:r>
        <w:rPr>
          <w:b/>
          <w:spacing w:val="-1"/>
          <w:sz w:val="24"/>
        </w:rPr>
        <w:t xml:space="preserve"> </w:t>
      </w:r>
      <w:r>
        <w:rPr>
          <w:b/>
          <w:sz w:val="24"/>
        </w:rPr>
        <w:t>of</w:t>
      </w:r>
      <w:r>
        <w:rPr>
          <w:b/>
          <w:spacing w:val="-1"/>
          <w:sz w:val="24"/>
        </w:rPr>
        <w:t xml:space="preserve"> </w:t>
      </w:r>
      <w:r>
        <w:rPr>
          <w:b/>
          <w:sz w:val="24"/>
        </w:rPr>
        <w:t>the</w:t>
      </w:r>
      <w:r>
        <w:rPr>
          <w:b/>
          <w:spacing w:val="-2"/>
          <w:sz w:val="24"/>
        </w:rPr>
        <w:t xml:space="preserve"> </w:t>
      </w:r>
      <w:r>
        <w:rPr>
          <w:b/>
          <w:sz w:val="24"/>
        </w:rPr>
        <w:t>Telecordis</w:t>
      </w:r>
      <w:r>
        <w:rPr>
          <w:b/>
          <w:spacing w:val="-2"/>
          <w:sz w:val="24"/>
        </w:rPr>
        <w:t xml:space="preserve"> </w:t>
      </w:r>
      <w:r>
        <w:rPr>
          <w:b/>
          <w:sz w:val="24"/>
        </w:rPr>
        <w:t xml:space="preserve">project </w:t>
      </w:r>
      <w:r>
        <w:rPr>
          <w:sz w:val="24"/>
        </w:rPr>
        <w:t>is</w:t>
      </w:r>
      <w:r>
        <w:rPr>
          <w:spacing w:val="-2"/>
          <w:sz w:val="24"/>
        </w:rPr>
        <w:t xml:space="preserve"> </w:t>
      </w:r>
      <w:r>
        <w:rPr>
          <w:sz w:val="24"/>
        </w:rPr>
        <w:t>planned</w:t>
      </w:r>
      <w:r>
        <w:rPr>
          <w:spacing w:val="-58"/>
          <w:sz w:val="24"/>
        </w:rPr>
        <w:t xml:space="preserve"> </w:t>
      </w:r>
      <w:r>
        <w:rPr>
          <w:sz w:val="24"/>
        </w:rPr>
        <w:t xml:space="preserve">by the end of 2022, and the </w:t>
      </w:r>
      <w:r>
        <w:rPr>
          <w:b/>
          <w:sz w:val="24"/>
        </w:rPr>
        <w:t xml:space="preserve">implementation of the Teletransfusion project </w:t>
      </w:r>
      <w:r>
        <w:rPr>
          <w:sz w:val="24"/>
        </w:rPr>
        <w:t>by the end of</w:t>
      </w:r>
      <w:r>
        <w:rPr>
          <w:spacing w:val="1"/>
          <w:sz w:val="24"/>
        </w:rPr>
        <w:t xml:space="preserve"> </w:t>
      </w:r>
      <w:r>
        <w:rPr>
          <w:sz w:val="24"/>
        </w:rPr>
        <w:t>Q1/2023, providing accessible and continuous health services to patients in remote and rural</w:t>
      </w:r>
      <w:r>
        <w:rPr>
          <w:spacing w:val="1"/>
          <w:sz w:val="24"/>
        </w:rPr>
        <w:t xml:space="preserve"> </w:t>
      </w:r>
      <w:r>
        <w:rPr>
          <w:sz w:val="24"/>
        </w:rPr>
        <w:t>areas,</w:t>
      </w:r>
      <w:r>
        <w:rPr>
          <w:spacing w:val="1"/>
          <w:sz w:val="24"/>
        </w:rPr>
        <w:t xml:space="preserve"> </w:t>
      </w:r>
      <w:r>
        <w:rPr>
          <w:sz w:val="24"/>
        </w:rPr>
        <w:t>whereby</w:t>
      </w:r>
      <w:r>
        <w:rPr>
          <w:spacing w:val="-5"/>
          <w:sz w:val="24"/>
        </w:rPr>
        <w:t xml:space="preserve"> </w:t>
      </w:r>
      <w:r>
        <w:rPr>
          <w:sz w:val="24"/>
        </w:rPr>
        <w:t>accessibility</w:t>
      </w:r>
      <w:r>
        <w:rPr>
          <w:spacing w:val="-5"/>
          <w:sz w:val="24"/>
        </w:rPr>
        <w:t xml:space="preserve"> </w:t>
      </w:r>
      <w:r>
        <w:rPr>
          <w:sz w:val="24"/>
        </w:rPr>
        <w:t>to specialist health services is significantly</w:t>
      </w:r>
      <w:r>
        <w:rPr>
          <w:spacing w:val="-5"/>
          <w:sz w:val="24"/>
        </w:rPr>
        <w:t xml:space="preserve"> </w:t>
      </w:r>
      <w:r>
        <w:rPr>
          <w:sz w:val="24"/>
        </w:rPr>
        <w:t>increased.</w:t>
      </w:r>
    </w:p>
    <w:p w:rsidR="00A56FE9" w:rsidRDefault="00000000">
      <w:pPr>
        <w:pStyle w:val="Tijeloteksta"/>
        <w:spacing w:before="121"/>
        <w:ind w:right="273"/>
      </w:pPr>
      <w:r>
        <w:t>The goal of the TeleCordis project is to install medical and computer equipment to perform</w:t>
      </w:r>
      <w:r>
        <w:rPr>
          <w:spacing w:val="1"/>
        </w:rPr>
        <w:t xml:space="preserve"> </w:t>
      </w:r>
      <w:r>
        <w:t>ECG holter, pressure holter and 12-channel ECG services in remote and rural areas that are</w:t>
      </w:r>
      <w:r>
        <w:rPr>
          <w:spacing w:val="1"/>
        </w:rPr>
        <w:t xml:space="preserve"> </w:t>
      </w:r>
      <w:r>
        <w:t>insufficiently</w:t>
      </w:r>
      <w:r>
        <w:rPr>
          <w:spacing w:val="-3"/>
        </w:rPr>
        <w:t xml:space="preserve"> </w:t>
      </w:r>
      <w:r>
        <w:t>covered by</w:t>
      </w:r>
      <w:r>
        <w:rPr>
          <w:spacing w:val="-3"/>
        </w:rPr>
        <w:t xml:space="preserve"> </w:t>
      </w:r>
      <w:r>
        <w:t>these</w:t>
      </w:r>
      <w:r>
        <w:rPr>
          <w:spacing w:val="-2"/>
        </w:rPr>
        <w:t xml:space="preserve"> </w:t>
      </w:r>
      <w:r>
        <w:t>services, i.e..</w:t>
      </w:r>
      <w:r>
        <w:rPr>
          <w:spacing w:val="1"/>
        </w:rPr>
        <w:t xml:space="preserve"> </w:t>
      </w:r>
      <w:r>
        <w:t>do not have</w:t>
      </w:r>
      <w:r>
        <w:rPr>
          <w:spacing w:val="-2"/>
        </w:rPr>
        <w:t xml:space="preserve"> </w:t>
      </w:r>
      <w:r>
        <w:t>cardiology</w:t>
      </w:r>
      <w:r>
        <w:rPr>
          <w:spacing w:val="-5"/>
        </w:rPr>
        <w:t xml:space="preserve"> </w:t>
      </w:r>
      <w:r>
        <w:t>specialists</w:t>
      </w:r>
      <w:r>
        <w:rPr>
          <w:spacing w:val="1"/>
        </w:rPr>
        <w:t xml:space="preserve"> </w:t>
      </w:r>
      <w:r>
        <w:t>available.</w:t>
      </w:r>
    </w:p>
    <w:p w:rsidR="00A56FE9" w:rsidRDefault="00000000">
      <w:pPr>
        <w:pStyle w:val="Tijeloteksta"/>
        <w:spacing w:before="120"/>
        <w:ind w:right="273"/>
      </w:pPr>
      <w:r>
        <w:t>The Teletransfusion project will support the existing digital infrastructure in the treatment</w:t>
      </w:r>
      <w:r>
        <w:rPr>
          <w:spacing w:val="1"/>
        </w:rPr>
        <w:t xml:space="preserve"> </w:t>
      </w:r>
      <w:r>
        <w:t>process by using patient data obtained from the ePrescription and eDossier necessary for</w:t>
      </w:r>
      <w:r>
        <w:rPr>
          <w:spacing w:val="1"/>
        </w:rPr>
        <w:t xml:space="preserve"> </w:t>
      </w:r>
      <w:r>
        <w:rPr>
          <w:spacing w:val="-1"/>
        </w:rPr>
        <w:t>commencing</w:t>
      </w:r>
      <w:r>
        <w:rPr>
          <w:spacing w:val="-17"/>
        </w:rPr>
        <w:t xml:space="preserve"> </w:t>
      </w:r>
      <w:r>
        <w:t>treatment</w:t>
      </w:r>
      <w:r>
        <w:rPr>
          <w:spacing w:val="-14"/>
        </w:rPr>
        <w:t xml:space="preserve"> </w:t>
      </w:r>
      <w:r>
        <w:t>at</w:t>
      </w:r>
      <w:r>
        <w:rPr>
          <w:spacing w:val="-10"/>
        </w:rPr>
        <w:t xml:space="preserve"> </w:t>
      </w:r>
      <w:r>
        <w:t>a</w:t>
      </w:r>
      <w:r>
        <w:rPr>
          <w:spacing w:val="-16"/>
        </w:rPr>
        <w:t xml:space="preserve"> </w:t>
      </w:r>
      <w:r>
        <w:t>secondary</w:t>
      </w:r>
      <w:r>
        <w:rPr>
          <w:spacing w:val="-16"/>
        </w:rPr>
        <w:t xml:space="preserve"> </w:t>
      </w:r>
      <w:r>
        <w:t>or</w:t>
      </w:r>
      <w:r>
        <w:rPr>
          <w:spacing w:val="-16"/>
        </w:rPr>
        <w:t xml:space="preserve"> </w:t>
      </w:r>
      <w:r>
        <w:t>tertiary</w:t>
      </w:r>
      <w:r>
        <w:rPr>
          <w:spacing w:val="-20"/>
        </w:rPr>
        <w:t xml:space="preserve"> </w:t>
      </w:r>
      <w:r>
        <w:t>health</w:t>
      </w:r>
      <w:r>
        <w:rPr>
          <w:spacing w:val="-14"/>
        </w:rPr>
        <w:t xml:space="preserve"> </w:t>
      </w:r>
      <w:r>
        <w:t>care</w:t>
      </w:r>
      <w:r>
        <w:rPr>
          <w:spacing w:val="-16"/>
        </w:rPr>
        <w:t xml:space="preserve"> </w:t>
      </w:r>
      <w:r>
        <w:t>institution.</w:t>
      </w:r>
      <w:r>
        <w:rPr>
          <w:spacing w:val="-14"/>
        </w:rPr>
        <w:t xml:space="preserve"> </w:t>
      </w:r>
      <w:r>
        <w:t>The</w:t>
      </w:r>
      <w:r>
        <w:rPr>
          <w:spacing w:val="-14"/>
        </w:rPr>
        <w:t xml:space="preserve"> </w:t>
      </w:r>
      <w:r>
        <w:t>project</w:t>
      </w:r>
      <w:r>
        <w:rPr>
          <w:spacing w:val="-13"/>
        </w:rPr>
        <w:t xml:space="preserve"> </w:t>
      </w:r>
      <w:r>
        <w:t>will</w:t>
      </w:r>
      <w:r>
        <w:rPr>
          <w:spacing w:val="-14"/>
        </w:rPr>
        <w:t xml:space="preserve"> </w:t>
      </w:r>
      <w:r>
        <w:t>connect</w:t>
      </w:r>
      <w:r>
        <w:rPr>
          <w:spacing w:val="-58"/>
        </w:rPr>
        <w:t xml:space="preserve"> </w:t>
      </w:r>
      <w:r>
        <w:t>hospital transfusion centres in Croatia and the service will be available 24 hours a day, 7 days</w:t>
      </w:r>
      <w:r>
        <w:rPr>
          <w:spacing w:val="1"/>
        </w:rPr>
        <w:t xml:space="preserve"> </w:t>
      </w:r>
      <w:r>
        <w:t>a</w:t>
      </w:r>
      <w:r>
        <w:rPr>
          <w:spacing w:val="-2"/>
        </w:rPr>
        <w:t xml:space="preserve"> </w:t>
      </w:r>
      <w:r>
        <w:t>week.</w:t>
      </w:r>
    </w:p>
    <w:p w:rsidR="00A56FE9" w:rsidRDefault="00A56FE9">
      <w:pPr>
        <w:sectPr w:rsidR="00A56FE9" w:rsidSect="00AB1E70">
          <w:pgSz w:w="11910" w:h="16840"/>
          <w:pgMar w:top="1320" w:right="1140" w:bottom="960" w:left="1280" w:header="0" w:footer="779" w:gutter="0"/>
          <w:cols w:space="720"/>
        </w:sectPr>
      </w:pPr>
    </w:p>
    <w:p w:rsidR="00A56FE9" w:rsidRDefault="00A56FE9">
      <w:pPr>
        <w:pStyle w:val="Tijeloteksta"/>
        <w:spacing w:before="4"/>
        <w:ind w:left="0"/>
        <w:jc w:val="left"/>
        <w:rPr>
          <w:sz w:val="13"/>
        </w:rPr>
      </w:pPr>
    </w:p>
    <w:p w:rsidR="00A56FE9" w:rsidRDefault="00CC1B9B">
      <w:pPr>
        <w:pStyle w:val="Naslov4"/>
        <w:spacing w:before="89"/>
        <w:jc w:val="left"/>
      </w:pPr>
      <w:r>
        <w:rPr>
          <w:noProof/>
        </w:rPr>
        <mc:AlternateContent>
          <mc:Choice Requires="wps">
            <w:drawing>
              <wp:anchor distT="0" distB="0" distL="114300" distR="114300" simplePos="0" relativeHeight="15815680" behindDoc="0" locked="0" layoutInCell="1" allowOverlap="1">
                <wp:simplePos x="0" y="0"/>
                <wp:positionH relativeFrom="page">
                  <wp:posOffset>814070</wp:posOffset>
                </wp:positionH>
                <wp:positionV relativeFrom="paragraph">
                  <wp:posOffset>-97790</wp:posOffset>
                </wp:positionV>
                <wp:extent cx="18415" cy="417830"/>
                <wp:effectExtent l="0" t="0" r="0" b="0"/>
                <wp:wrapNone/>
                <wp:docPr id="659965418"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BCC494" id="Rectangle 80" o:spid="_x0000_s1026" style="position:absolute;margin-left:64.1pt;margin-top:-7.7pt;width:1.45pt;height:32.9pt;z-index:1581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" fillcolor="#da1f2c" stroked="f">
                <w10:wrap anchorx="page"/>
              </v:rect>
            </w:pict>
          </mc:Fallback>
        </mc:AlternateContent>
      </w:r>
      <w:r w:rsidR="00000000">
        <w:rPr>
          <w:color w:val="2C398A"/>
        </w:rPr>
        <w:t>Promoting</w:t>
      </w:r>
      <w:r w:rsidR="00000000">
        <w:rPr>
          <w:color w:val="2C398A"/>
          <w:spacing w:val="-1"/>
        </w:rPr>
        <w:t xml:space="preserve"> </w:t>
      </w:r>
      <w:r w:rsidR="00000000">
        <w:rPr>
          <w:color w:val="2C398A"/>
        </w:rPr>
        <w:t>healthy</w:t>
      </w:r>
      <w:r w:rsidR="00000000">
        <w:rPr>
          <w:color w:val="2C398A"/>
          <w:spacing w:val="-1"/>
        </w:rPr>
        <w:t xml:space="preserve"> </w:t>
      </w:r>
      <w:r w:rsidR="00000000">
        <w:rPr>
          <w:color w:val="2C398A"/>
        </w:rPr>
        <w:t>lifestyles</w:t>
      </w:r>
      <w:r w:rsidR="00000000">
        <w:rPr>
          <w:color w:val="2C398A"/>
          <w:spacing w:val="-3"/>
        </w:rPr>
        <w:t xml:space="preserve"> </w:t>
      </w:r>
      <w:r w:rsidR="00000000">
        <w:rPr>
          <w:color w:val="2C398A"/>
        </w:rPr>
        <w:t>and</w:t>
      </w:r>
      <w:r w:rsidR="00000000">
        <w:rPr>
          <w:color w:val="2C398A"/>
          <w:spacing w:val="-2"/>
        </w:rPr>
        <w:t xml:space="preserve"> </w:t>
      </w:r>
      <w:r w:rsidR="00000000">
        <w:rPr>
          <w:color w:val="2C398A"/>
        </w:rPr>
        <w:t>disease</w:t>
      </w:r>
      <w:r w:rsidR="00000000">
        <w:rPr>
          <w:color w:val="2C398A"/>
          <w:spacing w:val="-3"/>
        </w:rPr>
        <w:t xml:space="preserve"> </w:t>
      </w:r>
      <w:r w:rsidR="00000000">
        <w:rPr>
          <w:color w:val="2C398A"/>
        </w:rPr>
        <w:t>prevention</w:t>
      </w:r>
    </w:p>
    <w:p w:rsidR="00A56FE9" w:rsidRDefault="00CC1B9B">
      <w:pPr>
        <w:pStyle w:val="Naslov5"/>
        <w:spacing w:before="235"/>
        <w:jc w:val="left"/>
      </w:pPr>
      <w:r>
        <w:rPr>
          <w:noProof/>
        </w:rPr>
        <mc:AlternateContent>
          <mc:Choice Requires="wps">
            <w:drawing>
              <wp:anchor distT="0" distB="0" distL="0" distR="0" simplePos="0" relativeHeight="487674368" behindDoc="1" locked="0" layoutInCell="1" allowOverlap="1">
                <wp:simplePos x="0" y="0"/>
                <wp:positionH relativeFrom="page">
                  <wp:posOffset>882650</wp:posOffset>
                </wp:positionH>
                <wp:positionV relativeFrom="paragraph">
                  <wp:posOffset>338455</wp:posOffset>
                </wp:positionV>
                <wp:extent cx="3638550" cy="12065"/>
                <wp:effectExtent l="0" t="0" r="0" b="0"/>
                <wp:wrapTopAndBottom/>
                <wp:docPr id="124368937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8550" cy="1206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A63F4" id="Rectangle 79" o:spid="_x0000_s1026" style="position:absolute;margin-left:69.5pt;margin-top:26.65pt;width:286.5pt;height:.95pt;z-index:-15642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" fillcolor="#2c398a" stroked="f">
                <w10:wrap type="topAndBottom" anchorx="page"/>
              </v:rect>
            </w:pict>
          </mc:Fallback>
        </mc:AlternateContent>
      </w:r>
      <w:r w:rsidR="00000000">
        <w:t>Planned</w:t>
      </w:r>
      <w:r w:rsidR="00000000">
        <w:rPr>
          <w:spacing w:val="-2"/>
        </w:rPr>
        <w:t xml:space="preserve"> </w:t>
      </w:r>
      <w:r w:rsidR="00000000">
        <w:t>measures</w:t>
      </w:r>
      <w:r w:rsidR="00000000">
        <w:rPr>
          <w:spacing w:val="-1"/>
        </w:rPr>
        <w:t xml:space="preserve"> </w:t>
      </w:r>
      <w:r w:rsidR="00000000">
        <w:t>outside</w:t>
      </w:r>
      <w:r w:rsidR="00000000">
        <w:rPr>
          <w:spacing w:val="-2"/>
        </w:rPr>
        <w:t xml:space="preserve"> </w:t>
      </w:r>
      <w:r w:rsidR="00000000">
        <w:t>the</w:t>
      </w:r>
      <w:r w:rsidR="00000000">
        <w:rPr>
          <w:spacing w:val="-1"/>
        </w:rPr>
        <w:t xml:space="preserve"> </w:t>
      </w:r>
      <w:r w:rsidR="00000000">
        <w:t>NRRP</w:t>
      </w:r>
      <w:r w:rsidR="00000000">
        <w:rPr>
          <w:spacing w:val="-4"/>
        </w:rPr>
        <w:t xml:space="preserve"> </w:t>
      </w:r>
      <w:r w:rsidR="00000000">
        <w:t>framework</w:t>
      </w:r>
    </w:p>
    <w:p w:rsidR="00A56FE9" w:rsidRDefault="00000000">
      <w:pPr>
        <w:pStyle w:val="Tijeloteksta"/>
        <w:spacing w:before="126"/>
        <w:ind w:right="273"/>
      </w:pPr>
      <w:r>
        <w:rPr>
          <w:spacing w:val="-1"/>
        </w:rPr>
        <w:t>Based</w:t>
      </w:r>
      <w:r>
        <w:rPr>
          <w:spacing w:val="-13"/>
        </w:rPr>
        <w:t xml:space="preserve"> </w:t>
      </w:r>
      <w:r>
        <w:rPr>
          <w:spacing w:val="-1"/>
        </w:rPr>
        <w:t>on</w:t>
      </w:r>
      <w:r>
        <w:rPr>
          <w:spacing w:val="-15"/>
        </w:rPr>
        <w:t xml:space="preserve"> </w:t>
      </w:r>
      <w:r>
        <w:rPr>
          <w:spacing w:val="-1"/>
        </w:rPr>
        <w:t>the</w:t>
      </w:r>
      <w:r>
        <w:rPr>
          <w:spacing w:val="-15"/>
        </w:rPr>
        <w:t xml:space="preserve"> </w:t>
      </w:r>
      <w:r>
        <w:t>identified</w:t>
      </w:r>
      <w:r>
        <w:rPr>
          <w:spacing w:val="-15"/>
        </w:rPr>
        <w:t xml:space="preserve"> </w:t>
      </w:r>
      <w:r>
        <w:t>problems</w:t>
      </w:r>
      <w:r>
        <w:rPr>
          <w:spacing w:val="-15"/>
        </w:rPr>
        <w:t xml:space="preserve"> </w:t>
      </w:r>
      <w:r>
        <w:t>in</w:t>
      </w:r>
      <w:r>
        <w:rPr>
          <w:spacing w:val="-14"/>
        </w:rPr>
        <w:t xml:space="preserve"> </w:t>
      </w:r>
      <w:r>
        <w:t>the</w:t>
      </w:r>
      <w:r>
        <w:rPr>
          <w:spacing w:val="-15"/>
        </w:rPr>
        <w:t xml:space="preserve"> </w:t>
      </w:r>
      <w:r>
        <w:t>health</w:t>
      </w:r>
      <w:r>
        <w:rPr>
          <w:spacing w:val="-12"/>
        </w:rPr>
        <w:t xml:space="preserve"> </w:t>
      </w:r>
      <w:r>
        <w:t>care</w:t>
      </w:r>
      <w:r>
        <w:rPr>
          <w:spacing w:val="-12"/>
        </w:rPr>
        <w:t xml:space="preserve"> </w:t>
      </w:r>
      <w:r>
        <w:t>system,</w:t>
      </w:r>
      <w:r>
        <w:rPr>
          <w:spacing w:val="-15"/>
        </w:rPr>
        <w:t xml:space="preserve"> </w:t>
      </w:r>
      <w:r>
        <w:t>investments</w:t>
      </w:r>
      <w:r>
        <w:rPr>
          <w:spacing w:val="-14"/>
        </w:rPr>
        <w:t xml:space="preserve"> </w:t>
      </w:r>
      <w:r>
        <w:t>will</w:t>
      </w:r>
      <w:r>
        <w:rPr>
          <w:spacing w:val="-12"/>
        </w:rPr>
        <w:t xml:space="preserve"> </w:t>
      </w:r>
      <w:r>
        <w:t>be</w:t>
      </w:r>
      <w:r>
        <w:rPr>
          <w:spacing w:val="-16"/>
        </w:rPr>
        <w:t xml:space="preserve"> </w:t>
      </w:r>
      <w:r>
        <w:t>made</w:t>
      </w:r>
      <w:r>
        <w:rPr>
          <w:spacing w:val="-12"/>
        </w:rPr>
        <w:t xml:space="preserve"> </w:t>
      </w:r>
      <w:r>
        <w:t>to</w:t>
      </w:r>
      <w:r>
        <w:rPr>
          <w:spacing w:val="-14"/>
        </w:rPr>
        <w:t xml:space="preserve"> </w:t>
      </w:r>
      <w:r>
        <w:t>improve</w:t>
      </w:r>
      <w:r>
        <w:rPr>
          <w:spacing w:val="-57"/>
        </w:rPr>
        <w:t xml:space="preserve"> </w:t>
      </w:r>
      <w:r>
        <w:rPr>
          <w:spacing w:val="-1"/>
        </w:rPr>
        <w:t>the</w:t>
      </w:r>
      <w:r>
        <w:rPr>
          <w:spacing w:val="-15"/>
        </w:rPr>
        <w:t xml:space="preserve"> </w:t>
      </w:r>
      <w:r>
        <w:rPr>
          <w:spacing w:val="-1"/>
        </w:rPr>
        <w:t>health</w:t>
      </w:r>
      <w:r>
        <w:rPr>
          <w:spacing w:val="-15"/>
        </w:rPr>
        <w:t xml:space="preserve"> </w:t>
      </w:r>
      <w:r>
        <w:rPr>
          <w:spacing w:val="-1"/>
        </w:rPr>
        <w:t>of</w:t>
      </w:r>
      <w:r>
        <w:rPr>
          <w:spacing w:val="-16"/>
        </w:rPr>
        <w:t xml:space="preserve"> </w:t>
      </w:r>
      <w:r>
        <w:t>citizens</w:t>
      </w:r>
      <w:r>
        <w:rPr>
          <w:spacing w:val="-15"/>
        </w:rPr>
        <w:t xml:space="preserve"> </w:t>
      </w:r>
      <w:r>
        <w:t>throughout</w:t>
      </w:r>
      <w:r>
        <w:rPr>
          <w:spacing w:val="-14"/>
        </w:rPr>
        <w:t xml:space="preserve"> </w:t>
      </w:r>
      <w:r>
        <w:t>their</w:t>
      </w:r>
      <w:r>
        <w:rPr>
          <w:spacing w:val="-13"/>
        </w:rPr>
        <w:t xml:space="preserve"> </w:t>
      </w:r>
      <w:r>
        <w:t>lives.</w:t>
      </w:r>
      <w:r>
        <w:rPr>
          <w:spacing w:val="-10"/>
        </w:rPr>
        <w:t xml:space="preserve"> </w:t>
      </w:r>
      <w:r>
        <w:t>For</w:t>
      </w:r>
      <w:r>
        <w:rPr>
          <w:spacing w:val="-13"/>
        </w:rPr>
        <w:t xml:space="preserve"> </w:t>
      </w:r>
      <w:r>
        <w:t>this</w:t>
      </w:r>
      <w:r>
        <w:rPr>
          <w:spacing w:val="-14"/>
        </w:rPr>
        <w:t xml:space="preserve"> </w:t>
      </w:r>
      <w:r>
        <w:t>purpose,</w:t>
      </w:r>
      <w:r>
        <w:rPr>
          <w:spacing w:val="-15"/>
        </w:rPr>
        <w:t xml:space="preserve"> </w:t>
      </w:r>
      <w:r>
        <w:t>the</w:t>
      </w:r>
      <w:r>
        <w:rPr>
          <w:spacing w:val="-16"/>
        </w:rPr>
        <w:t xml:space="preserve"> </w:t>
      </w:r>
      <w:r>
        <w:t>challenges</w:t>
      </w:r>
      <w:r>
        <w:rPr>
          <w:spacing w:val="-12"/>
        </w:rPr>
        <w:t xml:space="preserve"> </w:t>
      </w:r>
      <w:r>
        <w:t>of</w:t>
      </w:r>
      <w:r>
        <w:rPr>
          <w:spacing w:val="-16"/>
        </w:rPr>
        <w:t xml:space="preserve"> </w:t>
      </w:r>
      <w:r>
        <w:t>the</w:t>
      </w:r>
      <w:r>
        <w:rPr>
          <w:spacing w:val="-15"/>
        </w:rPr>
        <w:t xml:space="preserve"> </w:t>
      </w:r>
      <w:r>
        <w:t>health</w:t>
      </w:r>
      <w:r>
        <w:rPr>
          <w:spacing w:val="-15"/>
        </w:rPr>
        <w:t xml:space="preserve"> </w:t>
      </w:r>
      <w:r>
        <w:t>system</w:t>
      </w:r>
      <w:r>
        <w:rPr>
          <w:spacing w:val="-57"/>
        </w:rPr>
        <w:t xml:space="preserve"> </w:t>
      </w:r>
      <w:r>
        <w:rPr>
          <w:spacing w:val="-1"/>
        </w:rPr>
        <w:t>will</w:t>
      </w:r>
      <w:r>
        <w:rPr>
          <w:spacing w:val="-14"/>
        </w:rPr>
        <w:t xml:space="preserve"> </w:t>
      </w:r>
      <w:r>
        <w:rPr>
          <w:spacing w:val="-1"/>
        </w:rPr>
        <w:t>be</w:t>
      </w:r>
      <w:r>
        <w:rPr>
          <w:spacing w:val="-16"/>
        </w:rPr>
        <w:t xml:space="preserve"> </w:t>
      </w:r>
      <w:r>
        <w:t>addressed</w:t>
      </w:r>
      <w:r>
        <w:rPr>
          <w:spacing w:val="-15"/>
        </w:rPr>
        <w:t xml:space="preserve"> </w:t>
      </w:r>
      <w:r>
        <w:t>by</w:t>
      </w:r>
      <w:r>
        <w:rPr>
          <w:spacing w:val="-20"/>
        </w:rPr>
        <w:t xml:space="preserve"> </w:t>
      </w:r>
      <w:r>
        <w:t>supporting</w:t>
      </w:r>
      <w:r>
        <w:rPr>
          <w:spacing w:val="-17"/>
        </w:rPr>
        <w:t xml:space="preserve"> </w:t>
      </w:r>
      <w:r>
        <w:t>activities</w:t>
      </w:r>
      <w:r>
        <w:rPr>
          <w:spacing w:val="-15"/>
        </w:rPr>
        <w:t xml:space="preserve"> </w:t>
      </w:r>
      <w:r>
        <w:t>aimed</w:t>
      </w:r>
      <w:r>
        <w:rPr>
          <w:spacing w:val="-15"/>
        </w:rPr>
        <w:t xml:space="preserve"> </w:t>
      </w:r>
      <w:r>
        <w:t>at</w:t>
      </w:r>
      <w:r>
        <w:rPr>
          <w:spacing w:val="-14"/>
        </w:rPr>
        <w:t xml:space="preserve"> </w:t>
      </w:r>
      <w:r>
        <w:t>the</w:t>
      </w:r>
      <w:r>
        <w:rPr>
          <w:spacing w:val="-14"/>
        </w:rPr>
        <w:t xml:space="preserve"> </w:t>
      </w:r>
      <w:r>
        <w:t>general</w:t>
      </w:r>
      <w:r>
        <w:rPr>
          <w:spacing w:val="-14"/>
        </w:rPr>
        <w:t xml:space="preserve"> </w:t>
      </w:r>
      <w:r>
        <w:t>public</w:t>
      </w:r>
      <w:r>
        <w:rPr>
          <w:spacing w:val="-16"/>
        </w:rPr>
        <w:t xml:space="preserve"> </w:t>
      </w:r>
      <w:r>
        <w:t>or</w:t>
      </w:r>
      <w:r>
        <w:rPr>
          <w:spacing w:val="-13"/>
        </w:rPr>
        <w:t xml:space="preserve"> </w:t>
      </w:r>
      <w:r>
        <w:t>certain</w:t>
      </w:r>
      <w:r>
        <w:rPr>
          <w:spacing w:val="-15"/>
        </w:rPr>
        <w:t xml:space="preserve"> </w:t>
      </w:r>
      <w:r>
        <w:t>groups</w:t>
      </w:r>
      <w:r>
        <w:rPr>
          <w:spacing w:val="-15"/>
        </w:rPr>
        <w:t xml:space="preserve"> </w:t>
      </w:r>
      <w:r>
        <w:t>of</w:t>
      </w:r>
      <w:r>
        <w:rPr>
          <w:spacing w:val="-16"/>
        </w:rPr>
        <w:t xml:space="preserve"> </w:t>
      </w:r>
      <w:r>
        <w:t>people</w:t>
      </w:r>
      <w:r>
        <w:rPr>
          <w:spacing w:val="-57"/>
        </w:rPr>
        <w:t xml:space="preserve"> </w:t>
      </w:r>
      <w:r>
        <w:t>or professionals to promote disease prevention and a healthy lifestyle, combat</w:t>
      </w:r>
      <w:r>
        <w:rPr>
          <w:spacing w:val="1"/>
        </w:rPr>
        <w:t xml:space="preserve"> </w:t>
      </w:r>
      <w:r>
        <w:t>erroneous</w:t>
      </w:r>
      <w:r>
        <w:rPr>
          <w:spacing w:val="1"/>
        </w:rPr>
        <w:t xml:space="preserve"> </w:t>
      </w:r>
      <w:r>
        <w:t>information</w:t>
      </w:r>
      <w:r>
        <w:rPr>
          <w:spacing w:val="1"/>
        </w:rPr>
        <w:t xml:space="preserve"> </w:t>
      </w:r>
      <w:r>
        <w:t>and</w:t>
      </w:r>
      <w:r>
        <w:rPr>
          <w:spacing w:val="1"/>
        </w:rPr>
        <w:t xml:space="preserve"> </w:t>
      </w:r>
      <w:r>
        <w:t>misinformation</w:t>
      </w:r>
      <w:r>
        <w:rPr>
          <w:spacing w:val="1"/>
        </w:rPr>
        <w:t xml:space="preserve"> </w:t>
      </w:r>
      <w:r>
        <w:t>on</w:t>
      </w:r>
      <w:r>
        <w:rPr>
          <w:spacing w:val="1"/>
        </w:rPr>
        <w:t xml:space="preserve"> </w:t>
      </w:r>
      <w:r>
        <w:t>disease</w:t>
      </w:r>
      <w:r>
        <w:rPr>
          <w:spacing w:val="1"/>
        </w:rPr>
        <w:t xml:space="preserve"> </w:t>
      </w:r>
      <w:r>
        <w:t>prevention,</w:t>
      </w:r>
      <w:r>
        <w:rPr>
          <w:spacing w:val="1"/>
        </w:rPr>
        <w:t xml:space="preserve"> </w:t>
      </w:r>
      <w:r>
        <w:t>cause</w:t>
      </w:r>
      <w:r>
        <w:rPr>
          <w:spacing w:val="1"/>
        </w:rPr>
        <w:t xml:space="preserve"> </w:t>
      </w:r>
      <w:r>
        <w:t>and</w:t>
      </w:r>
      <w:r>
        <w:rPr>
          <w:spacing w:val="1"/>
        </w:rPr>
        <w:t xml:space="preserve"> </w:t>
      </w:r>
      <w:r>
        <w:t>treatment</w:t>
      </w:r>
      <w:r>
        <w:rPr>
          <w:spacing w:val="1"/>
        </w:rPr>
        <w:t xml:space="preserve"> </w:t>
      </w:r>
      <w:r>
        <w:t>of</w:t>
      </w:r>
      <w:r>
        <w:rPr>
          <w:spacing w:val="1"/>
        </w:rPr>
        <w:t xml:space="preserve"> </w:t>
      </w:r>
      <w:r>
        <w:t>diseases,</w:t>
      </w:r>
      <w:r>
        <w:rPr>
          <w:spacing w:val="1"/>
        </w:rPr>
        <w:t xml:space="preserve"> </w:t>
      </w:r>
      <w:r>
        <w:t>addressing</w:t>
      </w:r>
      <w:r>
        <w:rPr>
          <w:spacing w:val="-6"/>
        </w:rPr>
        <w:t xml:space="preserve"> </w:t>
      </w:r>
      <w:r>
        <w:t>vaccination</w:t>
      </w:r>
      <w:r>
        <w:rPr>
          <w:spacing w:val="-2"/>
        </w:rPr>
        <w:t xml:space="preserve"> </w:t>
      </w:r>
      <w:r>
        <w:t>hesitancy</w:t>
      </w:r>
      <w:r>
        <w:rPr>
          <w:spacing w:val="-6"/>
        </w:rPr>
        <w:t xml:space="preserve"> </w:t>
      </w:r>
      <w:r>
        <w:t>and</w:t>
      </w:r>
      <w:r>
        <w:rPr>
          <w:spacing w:val="-1"/>
        </w:rPr>
        <w:t xml:space="preserve"> </w:t>
      </w:r>
      <w:r>
        <w:t>supporting</w:t>
      </w:r>
      <w:r>
        <w:rPr>
          <w:spacing w:val="-4"/>
        </w:rPr>
        <w:t xml:space="preserve"> </w:t>
      </w:r>
      <w:r>
        <w:t>efforts</w:t>
      </w:r>
      <w:r>
        <w:rPr>
          <w:spacing w:val="-3"/>
        </w:rPr>
        <w:t xml:space="preserve"> </w:t>
      </w:r>
      <w:r>
        <w:t>to reinforce</w:t>
      </w:r>
      <w:r>
        <w:rPr>
          <w:spacing w:val="-2"/>
        </w:rPr>
        <w:t xml:space="preserve"> </w:t>
      </w:r>
      <w:r>
        <w:t>altruistic</w:t>
      </w:r>
      <w:r>
        <w:rPr>
          <w:spacing w:val="-4"/>
        </w:rPr>
        <w:t xml:space="preserve"> </w:t>
      </w:r>
      <w:r>
        <w:t>behaviours,</w:t>
      </w:r>
      <w:r>
        <w:rPr>
          <w:spacing w:val="-2"/>
        </w:rPr>
        <w:t xml:space="preserve"> </w:t>
      </w:r>
      <w:r>
        <w:t>such</w:t>
      </w:r>
      <w:r>
        <w:rPr>
          <w:spacing w:val="-57"/>
        </w:rPr>
        <w:t xml:space="preserve"> </w:t>
      </w:r>
      <w:r>
        <w:t>as organ and blood donations. To improve health outcomes, the health status of the population</w:t>
      </w:r>
      <w:r>
        <w:rPr>
          <w:spacing w:val="-57"/>
        </w:rPr>
        <w:t xml:space="preserve"> </w:t>
      </w:r>
      <w:r>
        <w:t>and reduce the morbidity rates of chronic non-communicable diseases, the National Health</w:t>
      </w:r>
      <w:r>
        <w:rPr>
          <w:spacing w:val="1"/>
        </w:rPr>
        <w:t xml:space="preserve"> </w:t>
      </w:r>
      <w:r>
        <w:t>Development</w:t>
      </w:r>
      <w:r>
        <w:rPr>
          <w:spacing w:val="1"/>
        </w:rPr>
        <w:t xml:space="preserve"> </w:t>
      </w:r>
      <w:r>
        <w:t>Plan</w:t>
      </w:r>
      <w:r>
        <w:rPr>
          <w:spacing w:val="1"/>
        </w:rPr>
        <w:t xml:space="preserve"> </w:t>
      </w:r>
      <w:r>
        <w:t>2021-2027</w:t>
      </w:r>
      <w:r>
        <w:rPr>
          <w:spacing w:val="1"/>
        </w:rPr>
        <w:t xml:space="preserve"> </w:t>
      </w:r>
      <w:r>
        <w:t>defines</w:t>
      </w:r>
      <w:r>
        <w:rPr>
          <w:spacing w:val="1"/>
        </w:rPr>
        <w:t xml:space="preserve"> </w:t>
      </w:r>
      <w:r>
        <w:t>several</w:t>
      </w:r>
      <w:r>
        <w:rPr>
          <w:spacing w:val="1"/>
        </w:rPr>
        <w:t xml:space="preserve"> </w:t>
      </w:r>
      <w:r>
        <w:t>measures</w:t>
      </w:r>
      <w:r>
        <w:rPr>
          <w:spacing w:val="1"/>
        </w:rPr>
        <w:t xml:space="preserve"> </w:t>
      </w:r>
      <w:r>
        <w:t>aimed</w:t>
      </w:r>
      <w:r>
        <w:rPr>
          <w:spacing w:val="1"/>
        </w:rPr>
        <w:t xml:space="preserve"> </w:t>
      </w:r>
      <w:r>
        <w:t>at</w:t>
      </w:r>
      <w:r>
        <w:rPr>
          <w:spacing w:val="1"/>
        </w:rPr>
        <w:t xml:space="preserve"> </w:t>
      </w:r>
      <w:r>
        <w:t>promoting</w:t>
      </w:r>
      <w:r>
        <w:rPr>
          <w:spacing w:val="1"/>
        </w:rPr>
        <w:t xml:space="preserve"> </w:t>
      </w:r>
      <w:r>
        <w:t>health,</w:t>
      </w:r>
      <w:r>
        <w:rPr>
          <w:spacing w:val="-57"/>
        </w:rPr>
        <w:t xml:space="preserve"> </w:t>
      </w:r>
      <w:r>
        <w:t>strengthening healthy living habits, as well as raising public awareness of the importance of</w:t>
      </w:r>
      <w:r>
        <w:rPr>
          <w:spacing w:val="1"/>
        </w:rPr>
        <w:t xml:space="preserve"> </w:t>
      </w:r>
      <w:r>
        <w:t>primary and secondary prevention, i.e., early detection of disease and</w:t>
      </w:r>
      <w:r>
        <w:rPr>
          <w:spacing w:val="1"/>
        </w:rPr>
        <w:t xml:space="preserve"> </w:t>
      </w:r>
      <w:r>
        <w:t>early intervention.</w:t>
      </w:r>
      <w:r>
        <w:rPr>
          <w:spacing w:val="1"/>
        </w:rPr>
        <w:t xml:space="preserve"> </w:t>
      </w:r>
      <w:r>
        <w:t>Promoting healthy living habits and measures to prevent the leading causes of morbidity and</w:t>
      </w:r>
      <w:r>
        <w:rPr>
          <w:spacing w:val="1"/>
        </w:rPr>
        <w:t xml:space="preserve"> </w:t>
      </w:r>
      <w:r>
        <w:t>mortality</w:t>
      </w:r>
      <w:r>
        <w:rPr>
          <w:spacing w:val="-9"/>
        </w:rPr>
        <w:t xml:space="preserve"> </w:t>
      </w:r>
      <w:r>
        <w:t>(chronic</w:t>
      </w:r>
      <w:r>
        <w:rPr>
          <w:spacing w:val="-3"/>
        </w:rPr>
        <w:t xml:space="preserve"> </w:t>
      </w:r>
      <w:r>
        <w:t>non-communicable</w:t>
      </w:r>
      <w:r>
        <w:rPr>
          <w:spacing w:val="-4"/>
        </w:rPr>
        <w:t xml:space="preserve"> </w:t>
      </w:r>
      <w:r>
        <w:t>diseases,</w:t>
      </w:r>
      <w:r>
        <w:rPr>
          <w:spacing w:val="-1"/>
        </w:rPr>
        <w:t xml:space="preserve"> </w:t>
      </w:r>
      <w:r>
        <w:t>mental</w:t>
      </w:r>
      <w:r>
        <w:rPr>
          <w:spacing w:val="-2"/>
        </w:rPr>
        <w:t xml:space="preserve"> </w:t>
      </w:r>
      <w:r>
        <w:t>disorders</w:t>
      </w:r>
      <w:r>
        <w:rPr>
          <w:spacing w:val="-2"/>
        </w:rPr>
        <w:t xml:space="preserve"> </w:t>
      </w:r>
      <w:r>
        <w:t>and</w:t>
      </w:r>
      <w:r>
        <w:rPr>
          <w:spacing w:val="-4"/>
        </w:rPr>
        <w:t xml:space="preserve"> </w:t>
      </w:r>
      <w:r>
        <w:t>injuries)</w:t>
      </w:r>
      <w:r>
        <w:rPr>
          <w:spacing w:val="-1"/>
        </w:rPr>
        <w:t xml:space="preserve"> </w:t>
      </w:r>
      <w:r>
        <w:t>aims</w:t>
      </w:r>
      <w:r>
        <w:rPr>
          <w:spacing w:val="-4"/>
        </w:rPr>
        <w:t xml:space="preserve"> </w:t>
      </w:r>
      <w:r>
        <w:t>to</w:t>
      </w:r>
      <w:r>
        <w:rPr>
          <w:spacing w:val="-2"/>
        </w:rPr>
        <w:t xml:space="preserve"> </w:t>
      </w:r>
      <w:r>
        <w:t>increase</w:t>
      </w:r>
      <w:r>
        <w:rPr>
          <w:spacing w:val="-58"/>
        </w:rPr>
        <w:t xml:space="preserve"> </w:t>
      </w:r>
      <w:r>
        <w:t>life expectancy and quality of life by increasing the number of years of healthy life or years</w:t>
      </w:r>
      <w:r>
        <w:rPr>
          <w:spacing w:val="1"/>
        </w:rPr>
        <w:t xml:space="preserve"> </w:t>
      </w:r>
      <w:r>
        <w:t>without disease and/or disability. Accordingly, action will be taken at various levels, from</w:t>
      </w:r>
      <w:r>
        <w:rPr>
          <w:spacing w:val="1"/>
        </w:rPr>
        <w:t xml:space="preserve"> </w:t>
      </w:r>
      <w:r>
        <w:t>measures at the individual level, across at-risk population groups, to the whole community.</w:t>
      </w:r>
      <w:r>
        <w:rPr>
          <w:spacing w:val="1"/>
        </w:rPr>
        <w:t xml:space="preserve"> </w:t>
      </w:r>
      <w:r>
        <w:t>National programs for early detection of colon, breast, cervical and lung cancers will be</w:t>
      </w:r>
      <w:r>
        <w:rPr>
          <w:spacing w:val="1"/>
        </w:rPr>
        <w:t xml:space="preserve"> </w:t>
      </w:r>
      <w:r>
        <w:t>intensively</w:t>
      </w:r>
      <w:r>
        <w:rPr>
          <w:spacing w:val="-5"/>
        </w:rPr>
        <w:t xml:space="preserve"> </w:t>
      </w:r>
      <w:r>
        <w:t>promoted</w:t>
      </w:r>
      <w:r>
        <w:rPr>
          <w:spacing w:val="1"/>
        </w:rPr>
        <w:t xml:space="preserve"> </w:t>
      </w:r>
      <w:r>
        <w:t>and</w:t>
      </w:r>
      <w:r>
        <w:rPr>
          <w:spacing w:val="2"/>
        </w:rPr>
        <w:t xml:space="preserve"> </w:t>
      </w:r>
      <w:r>
        <w:t>fundamentally</w:t>
      </w:r>
      <w:r>
        <w:rPr>
          <w:spacing w:val="-5"/>
        </w:rPr>
        <w:t xml:space="preserve"> </w:t>
      </w:r>
      <w:r>
        <w:t>reformed</w:t>
      </w:r>
      <w:r>
        <w:rPr>
          <w:spacing w:val="1"/>
        </w:rPr>
        <w:t xml:space="preserve"> </w:t>
      </w:r>
      <w:r>
        <w:t>to achieve</w:t>
      </w:r>
      <w:r>
        <w:rPr>
          <w:spacing w:val="-2"/>
        </w:rPr>
        <w:t xml:space="preserve"> </w:t>
      </w:r>
      <w:r>
        <w:t>satisfactory</w:t>
      </w:r>
      <w:r>
        <w:rPr>
          <w:spacing w:val="-5"/>
        </w:rPr>
        <w:t xml:space="preserve"> </w:t>
      </w:r>
      <w:r>
        <w:t>response rates.</w:t>
      </w:r>
    </w:p>
    <w:p w:rsidR="00A56FE9" w:rsidRDefault="00000000">
      <w:pPr>
        <w:pStyle w:val="Tijeloteksta"/>
        <w:spacing w:before="121"/>
        <w:ind w:right="272"/>
      </w:pPr>
      <w:r>
        <w:t>The</w:t>
      </w:r>
      <w:r>
        <w:rPr>
          <w:spacing w:val="-7"/>
        </w:rPr>
        <w:t xml:space="preserve"> </w:t>
      </w:r>
      <w:r>
        <w:rPr>
          <w:b/>
        </w:rPr>
        <w:t>National</w:t>
      </w:r>
      <w:r>
        <w:rPr>
          <w:b/>
          <w:spacing w:val="-6"/>
        </w:rPr>
        <w:t xml:space="preserve"> </w:t>
      </w:r>
      <w:r>
        <w:rPr>
          <w:b/>
        </w:rPr>
        <w:t>Strategy</w:t>
      </w:r>
      <w:r>
        <w:rPr>
          <w:b/>
          <w:spacing w:val="-6"/>
        </w:rPr>
        <w:t xml:space="preserve"> </w:t>
      </w:r>
      <w:r>
        <w:rPr>
          <w:b/>
        </w:rPr>
        <w:t>for</w:t>
      </w:r>
      <w:r>
        <w:rPr>
          <w:b/>
          <w:spacing w:val="-7"/>
        </w:rPr>
        <w:t xml:space="preserve"> </w:t>
      </w:r>
      <w:r>
        <w:rPr>
          <w:b/>
        </w:rPr>
        <w:t>the</w:t>
      </w:r>
      <w:r>
        <w:rPr>
          <w:b/>
          <w:spacing w:val="-6"/>
        </w:rPr>
        <w:t xml:space="preserve"> </w:t>
      </w:r>
      <w:r>
        <w:rPr>
          <w:b/>
        </w:rPr>
        <w:t>Development</w:t>
      </w:r>
      <w:r>
        <w:rPr>
          <w:b/>
          <w:spacing w:val="-7"/>
        </w:rPr>
        <w:t xml:space="preserve"> </w:t>
      </w:r>
      <w:r>
        <w:rPr>
          <w:b/>
        </w:rPr>
        <w:t>of</w:t>
      </w:r>
      <w:r>
        <w:rPr>
          <w:b/>
          <w:spacing w:val="-5"/>
        </w:rPr>
        <w:t xml:space="preserve"> </w:t>
      </w:r>
      <w:r>
        <w:rPr>
          <w:b/>
        </w:rPr>
        <w:t>Mental</w:t>
      </w:r>
      <w:r>
        <w:rPr>
          <w:b/>
          <w:spacing w:val="-7"/>
        </w:rPr>
        <w:t xml:space="preserve"> </w:t>
      </w:r>
      <w:r>
        <w:rPr>
          <w:b/>
        </w:rPr>
        <w:t>Health</w:t>
      </w:r>
      <w:r>
        <w:rPr>
          <w:b/>
          <w:spacing w:val="-5"/>
        </w:rPr>
        <w:t xml:space="preserve"> </w:t>
      </w:r>
      <w:r>
        <w:rPr>
          <w:b/>
        </w:rPr>
        <w:t>2022-2030</w:t>
      </w:r>
      <w:r>
        <w:rPr>
          <w:b/>
          <w:spacing w:val="-6"/>
        </w:rPr>
        <w:t xml:space="preserve"> </w:t>
      </w:r>
      <w:r>
        <w:t>will</w:t>
      </w:r>
      <w:r>
        <w:rPr>
          <w:spacing w:val="-6"/>
        </w:rPr>
        <w:t xml:space="preserve"> </w:t>
      </w:r>
      <w:r>
        <w:t>be</w:t>
      </w:r>
      <w:r>
        <w:rPr>
          <w:spacing w:val="-7"/>
        </w:rPr>
        <w:t xml:space="preserve"> </w:t>
      </w:r>
      <w:r>
        <w:t>adopted</w:t>
      </w:r>
      <w:r>
        <w:rPr>
          <w:spacing w:val="-6"/>
        </w:rPr>
        <w:t xml:space="preserve"> </w:t>
      </w:r>
      <w:r>
        <w:t>by</w:t>
      </w:r>
      <w:r>
        <w:rPr>
          <w:spacing w:val="-57"/>
        </w:rPr>
        <w:t xml:space="preserve"> </w:t>
      </w:r>
      <w:r>
        <w:t>the</w:t>
      </w:r>
      <w:r>
        <w:rPr>
          <w:spacing w:val="-12"/>
        </w:rPr>
        <w:t xml:space="preserve"> </w:t>
      </w:r>
      <w:r>
        <w:t>end</w:t>
      </w:r>
      <w:r>
        <w:rPr>
          <w:spacing w:val="-11"/>
        </w:rPr>
        <w:t xml:space="preserve"> </w:t>
      </w:r>
      <w:r>
        <w:t>of</w:t>
      </w:r>
      <w:r>
        <w:rPr>
          <w:spacing w:val="-12"/>
        </w:rPr>
        <w:t xml:space="preserve"> </w:t>
      </w:r>
      <w:r>
        <w:t>2022,</w:t>
      </w:r>
      <w:r>
        <w:rPr>
          <w:spacing w:val="-10"/>
        </w:rPr>
        <w:t xml:space="preserve"> </w:t>
      </w:r>
      <w:r>
        <w:t>where</w:t>
      </w:r>
      <w:r>
        <w:rPr>
          <w:spacing w:val="-12"/>
        </w:rPr>
        <w:t xml:space="preserve"> </w:t>
      </w:r>
      <w:r>
        <w:t>its</w:t>
      </w:r>
      <w:r>
        <w:rPr>
          <w:spacing w:val="-10"/>
        </w:rPr>
        <w:t xml:space="preserve"> </w:t>
      </w:r>
      <w:r>
        <w:t>goals</w:t>
      </w:r>
      <w:r>
        <w:rPr>
          <w:spacing w:val="-9"/>
        </w:rPr>
        <w:t xml:space="preserve"> </w:t>
      </w:r>
      <w:r>
        <w:t>aim</w:t>
      </w:r>
      <w:r>
        <w:rPr>
          <w:spacing w:val="-10"/>
        </w:rPr>
        <w:t xml:space="preserve"> </w:t>
      </w:r>
      <w:r>
        <w:t>to</w:t>
      </w:r>
      <w:r>
        <w:rPr>
          <w:spacing w:val="-11"/>
        </w:rPr>
        <w:t xml:space="preserve"> </w:t>
      </w:r>
      <w:r>
        <w:t>improve</w:t>
      </w:r>
      <w:r>
        <w:rPr>
          <w:spacing w:val="-11"/>
        </w:rPr>
        <w:t xml:space="preserve"> </w:t>
      </w:r>
      <w:r>
        <w:t>the</w:t>
      </w:r>
      <w:r>
        <w:rPr>
          <w:spacing w:val="-9"/>
        </w:rPr>
        <w:t xml:space="preserve"> </w:t>
      </w:r>
      <w:r>
        <w:t>health</w:t>
      </w:r>
      <w:r>
        <w:rPr>
          <w:spacing w:val="-11"/>
        </w:rPr>
        <w:t xml:space="preserve"> </w:t>
      </w:r>
      <w:r>
        <w:t>of</w:t>
      </w:r>
      <w:r>
        <w:rPr>
          <w:spacing w:val="-12"/>
        </w:rPr>
        <w:t xml:space="preserve"> </w:t>
      </w:r>
      <w:r>
        <w:t>citizens</w:t>
      </w:r>
      <w:r>
        <w:rPr>
          <w:spacing w:val="-10"/>
        </w:rPr>
        <w:t xml:space="preserve"> </w:t>
      </w:r>
      <w:r>
        <w:t>throughout</w:t>
      </w:r>
      <w:r>
        <w:rPr>
          <w:spacing w:val="-11"/>
        </w:rPr>
        <w:t xml:space="preserve"> </w:t>
      </w:r>
      <w:r>
        <w:t>life</w:t>
      </w:r>
      <w:r>
        <w:rPr>
          <w:spacing w:val="-13"/>
        </w:rPr>
        <w:t xml:space="preserve"> </w:t>
      </w:r>
      <w:r>
        <w:t>and</w:t>
      </w:r>
      <w:r>
        <w:rPr>
          <w:spacing w:val="-10"/>
        </w:rPr>
        <w:t xml:space="preserve"> </w:t>
      </w:r>
      <w:r>
        <w:t>reduce</w:t>
      </w:r>
      <w:r>
        <w:rPr>
          <w:spacing w:val="-58"/>
        </w:rPr>
        <w:t xml:space="preserve"> </w:t>
      </w:r>
      <w:r>
        <w:t>the incidence of mental disorders. Specific objectives in implementing the National Strategy</w:t>
      </w:r>
      <w:r>
        <w:rPr>
          <w:spacing w:val="1"/>
        </w:rPr>
        <w:t xml:space="preserve"> </w:t>
      </w:r>
      <w:r>
        <w:t>include mental health promotion, prevention and early detection of mental health problems,</w:t>
      </w:r>
      <w:r>
        <w:rPr>
          <w:spacing w:val="1"/>
        </w:rPr>
        <w:t xml:space="preserve"> </w:t>
      </w:r>
      <w:r>
        <w:t>improved treatment and rehabilitation as well as contributing to the protection of human rights</w:t>
      </w:r>
      <w:r>
        <w:rPr>
          <w:spacing w:val="-57"/>
        </w:rPr>
        <w:t xml:space="preserve"> </w:t>
      </w:r>
      <w:r>
        <w:t>of</w:t>
      </w:r>
      <w:r>
        <w:rPr>
          <w:spacing w:val="-1"/>
        </w:rPr>
        <w:t xml:space="preserve"> </w:t>
      </w:r>
      <w:r>
        <w:t>persons</w:t>
      </w:r>
      <w:r>
        <w:rPr>
          <w:spacing w:val="-1"/>
        </w:rPr>
        <w:t xml:space="preserve"> </w:t>
      </w:r>
      <w:r>
        <w:t>with mental health problems and community</w:t>
      </w:r>
      <w:r>
        <w:rPr>
          <w:spacing w:val="-8"/>
        </w:rPr>
        <w:t xml:space="preserve"> </w:t>
      </w:r>
      <w:r>
        <w:t>mental health activities.</w:t>
      </w:r>
    </w:p>
    <w:p w:rsidR="00A56FE9" w:rsidRDefault="00000000">
      <w:pPr>
        <w:pStyle w:val="Tijeloteksta"/>
        <w:spacing w:before="118"/>
        <w:ind w:right="271"/>
      </w:pPr>
      <w:r>
        <w:t xml:space="preserve">Also, the adoption of the </w:t>
      </w:r>
      <w:r>
        <w:rPr>
          <w:b/>
        </w:rPr>
        <w:t>National Strategy for Action in the Area of Addiction for the</w:t>
      </w:r>
      <w:r>
        <w:rPr>
          <w:b/>
          <w:spacing w:val="1"/>
        </w:rPr>
        <w:t xml:space="preserve"> </w:t>
      </w:r>
      <w:r>
        <w:rPr>
          <w:b/>
        </w:rPr>
        <w:t xml:space="preserve">period 2022-2030 </w:t>
      </w:r>
      <w:r>
        <w:t>is incorporated in the plan, which contains strategic goals, priorities and</w:t>
      </w:r>
      <w:r>
        <w:rPr>
          <w:spacing w:val="1"/>
        </w:rPr>
        <w:t xml:space="preserve"> </w:t>
      </w:r>
      <w:r>
        <w:t>measures to ensure responsibility for the implementation of the overall national policy on</w:t>
      </w:r>
      <w:r>
        <w:rPr>
          <w:spacing w:val="1"/>
        </w:rPr>
        <w:t xml:space="preserve"> </w:t>
      </w:r>
      <w:r>
        <w:t>addictions and behavioural addictions as well as the establishment of a multidisciplinary and</w:t>
      </w:r>
      <w:r>
        <w:rPr>
          <w:spacing w:val="1"/>
        </w:rPr>
        <w:t xml:space="preserve"> </w:t>
      </w:r>
      <w:r>
        <w:t>integrated approach at the national, local and international levels. The National Strategy also</w:t>
      </w:r>
      <w:r>
        <w:rPr>
          <w:spacing w:val="1"/>
        </w:rPr>
        <w:t xml:space="preserve"> </w:t>
      </w:r>
      <w:r>
        <w:t>provides guidelines to identify the most effective response from society to the modalities and</w:t>
      </w:r>
      <w:r>
        <w:rPr>
          <w:spacing w:val="1"/>
        </w:rPr>
        <w:t xml:space="preserve"> </w:t>
      </w:r>
      <w:r>
        <w:t>trends</w:t>
      </w:r>
      <w:r>
        <w:rPr>
          <w:spacing w:val="-1"/>
        </w:rPr>
        <w:t xml:space="preserve"> </w:t>
      </w:r>
      <w:r>
        <w:t>of consumption and abuse</w:t>
      </w:r>
      <w:r>
        <w:rPr>
          <w:spacing w:val="-1"/>
        </w:rPr>
        <w:t xml:space="preserve"> </w:t>
      </w:r>
      <w:r>
        <w:t>of</w:t>
      </w:r>
      <w:r>
        <w:rPr>
          <w:spacing w:val="-1"/>
        </w:rPr>
        <w:t xml:space="preserve"> </w:t>
      </w:r>
      <w:r>
        <w:t>addictive</w:t>
      </w:r>
      <w:r>
        <w:rPr>
          <w:spacing w:val="-1"/>
        </w:rPr>
        <w:t xml:space="preserve"> </w:t>
      </w:r>
      <w:r>
        <w:t>substances in society.</w:t>
      </w:r>
    </w:p>
    <w:p w:rsidR="00A56FE9" w:rsidRDefault="00A56FE9">
      <w:pPr>
        <w:sectPr w:rsidR="00A56FE9" w:rsidSect="00AB1E70">
          <w:pgSz w:w="11910" w:h="16840"/>
          <w:pgMar w:top="1160" w:right="1140" w:bottom="960" w:left="1280" w:header="0" w:footer="779" w:gutter="0"/>
          <w:cols w:space="720"/>
        </w:sectPr>
      </w:pPr>
    </w:p>
    <w:p w:rsidR="00A56FE9" w:rsidRDefault="00000000">
      <w:pPr>
        <w:pStyle w:val="Naslov2"/>
        <w:numPr>
          <w:ilvl w:val="0"/>
          <w:numId w:val="7"/>
        </w:numPr>
        <w:tabs>
          <w:tab w:val="left" w:pos="423"/>
        </w:tabs>
        <w:ind w:hanging="285"/>
        <w:jc w:val="both"/>
      </w:pPr>
      <w:bookmarkStart w:id="29" w:name="_bookmark29"/>
      <w:bookmarkEnd w:id="29"/>
      <w:r>
        <w:rPr>
          <w:color w:val="003399"/>
        </w:rPr>
        <w:t>–</w:t>
      </w:r>
      <w:r>
        <w:rPr>
          <w:color w:val="003399"/>
          <w:spacing w:val="-3"/>
        </w:rPr>
        <w:t xml:space="preserve"> </w:t>
      </w:r>
      <w:r>
        <w:t>RENOVATION</w:t>
      </w:r>
      <w:r>
        <w:rPr>
          <w:spacing w:val="-3"/>
        </w:rPr>
        <w:t xml:space="preserve"> </w:t>
      </w:r>
      <w:r>
        <w:t>OF</w:t>
      </w:r>
      <w:r>
        <w:rPr>
          <w:spacing w:val="-4"/>
        </w:rPr>
        <w:t xml:space="preserve"> </w:t>
      </w:r>
      <w:r>
        <w:t>BUILDINGS</w:t>
      </w:r>
    </w:p>
    <w:p w:rsidR="00A56FE9" w:rsidRDefault="00A56FE9">
      <w:pPr>
        <w:pStyle w:val="Tijeloteksta"/>
        <w:spacing w:before="7"/>
        <w:ind w:left="0"/>
        <w:jc w:val="left"/>
        <w:rPr>
          <w:b/>
          <w:sz w:val="39"/>
        </w:rPr>
      </w:pPr>
    </w:p>
    <w:p w:rsidR="00A56FE9" w:rsidRDefault="00000000">
      <w:pPr>
        <w:ind w:left="138"/>
        <w:jc w:val="both"/>
        <w:rPr>
          <w:rFonts w:ascii="Calibri Light"/>
          <w:sz w:val="28"/>
        </w:rPr>
      </w:pPr>
      <w:bookmarkStart w:id="30" w:name="_bookmark30"/>
      <w:bookmarkEnd w:id="30"/>
      <w:r>
        <w:rPr>
          <w:b/>
          <w:color w:val="2C398A"/>
          <w:spacing w:val="-1"/>
          <w:sz w:val="28"/>
        </w:rPr>
        <w:t>C6.1.</w:t>
      </w:r>
      <w:r>
        <w:rPr>
          <w:b/>
          <w:color w:val="2C398A"/>
          <w:spacing w:val="2"/>
          <w:sz w:val="28"/>
        </w:rPr>
        <w:t xml:space="preserve"> </w:t>
      </w:r>
      <w:r>
        <w:rPr>
          <w:rFonts w:ascii="Calibri Light"/>
          <w:color w:val="2C398A"/>
          <w:spacing w:val="-1"/>
          <w:sz w:val="28"/>
        </w:rPr>
        <w:t>Renovation</w:t>
      </w:r>
      <w:r>
        <w:rPr>
          <w:rFonts w:ascii="Calibri Light"/>
          <w:color w:val="2C398A"/>
          <w:spacing w:val="-11"/>
          <w:sz w:val="28"/>
        </w:rPr>
        <w:t xml:space="preserve"> </w:t>
      </w:r>
      <w:r>
        <w:rPr>
          <w:rFonts w:ascii="Calibri Light"/>
          <w:color w:val="2C398A"/>
          <w:sz w:val="28"/>
        </w:rPr>
        <w:t>of</w:t>
      </w:r>
      <w:r>
        <w:rPr>
          <w:rFonts w:ascii="Calibri Light"/>
          <w:color w:val="2C398A"/>
          <w:spacing w:val="-14"/>
          <w:sz w:val="28"/>
        </w:rPr>
        <w:t xml:space="preserve"> </w:t>
      </w:r>
      <w:r>
        <w:rPr>
          <w:rFonts w:ascii="Calibri Light"/>
          <w:color w:val="2C398A"/>
          <w:sz w:val="28"/>
        </w:rPr>
        <w:t>buildings</w:t>
      </w:r>
    </w:p>
    <w:p w:rsidR="00A56FE9" w:rsidRDefault="00A56FE9">
      <w:pPr>
        <w:pStyle w:val="Tijeloteksta"/>
        <w:spacing w:before="7"/>
        <w:ind w:left="0"/>
        <w:jc w:val="left"/>
        <w:rPr>
          <w:rFonts w:ascii="Calibri Light"/>
          <w:sz w:val="29"/>
        </w:rPr>
      </w:pPr>
    </w:p>
    <w:p w:rsidR="00A56FE9" w:rsidRDefault="00CC1B9B">
      <w:pPr>
        <w:pStyle w:val="Naslov4"/>
      </w:pPr>
      <w:r>
        <w:rPr>
          <w:noProof/>
        </w:rPr>
        <mc:AlternateContent>
          <mc:Choice Requires="wps">
            <w:drawing>
              <wp:anchor distT="0" distB="0" distL="114300" distR="114300" simplePos="0" relativeHeight="15817216" behindDoc="0" locked="0" layoutInCell="1" allowOverlap="1">
                <wp:simplePos x="0" y="0"/>
                <wp:positionH relativeFrom="page">
                  <wp:posOffset>814070</wp:posOffset>
                </wp:positionH>
                <wp:positionV relativeFrom="paragraph">
                  <wp:posOffset>-77470</wp:posOffset>
                </wp:positionV>
                <wp:extent cx="18415" cy="342900"/>
                <wp:effectExtent l="0" t="0" r="0" b="0"/>
                <wp:wrapNone/>
                <wp:docPr id="1244216362"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29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CF023" id="Rectangle 78" o:spid="_x0000_s1026" style="position:absolute;margin-left:64.1pt;margin-top:-6.1pt;width:1.45pt;height:27pt;z-index:1581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" fillcolor="#da1f2c" stroked="f">
                <w10:wrap anchorx="page"/>
              </v:rect>
            </w:pict>
          </mc:Fallback>
        </mc:AlternateContent>
      </w:r>
      <w:r w:rsidR="00000000">
        <w:rPr>
          <w:color w:val="2C398A"/>
        </w:rPr>
        <w:t>Energy</w:t>
      </w:r>
      <w:r w:rsidR="00000000">
        <w:rPr>
          <w:color w:val="2C398A"/>
          <w:spacing w:val="-3"/>
        </w:rPr>
        <w:t xml:space="preserve"> </w:t>
      </w:r>
      <w:r w:rsidR="00000000">
        <w:rPr>
          <w:color w:val="2C398A"/>
        </w:rPr>
        <w:t>renovation</w:t>
      </w:r>
      <w:r w:rsidR="00000000">
        <w:rPr>
          <w:color w:val="2C398A"/>
          <w:spacing w:val="-4"/>
        </w:rPr>
        <w:t xml:space="preserve"> </w:t>
      </w:r>
      <w:r w:rsidR="00000000">
        <w:rPr>
          <w:color w:val="2C398A"/>
        </w:rPr>
        <w:t>of buildings</w:t>
      </w:r>
    </w:p>
    <w:p w:rsidR="00A56FE9" w:rsidRDefault="00000000">
      <w:pPr>
        <w:spacing w:before="233"/>
        <w:ind w:left="138" w:right="275"/>
        <w:jc w:val="both"/>
        <w:rPr>
          <w:i/>
          <w:sz w:val="24"/>
        </w:rPr>
      </w:pPr>
      <w:r>
        <w:rPr>
          <w:i/>
          <w:color w:val="2C398A"/>
          <w:sz w:val="24"/>
        </w:rPr>
        <w:t>2019.CSR3.1. Focus investment-related economic policy on energy efficiency, renewables</w:t>
      </w:r>
      <w:r>
        <w:rPr>
          <w:i/>
          <w:color w:val="2C398A"/>
          <w:spacing w:val="1"/>
          <w:sz w:val="24"/>
        </w:rPr>
        <w:t xml:space="preserve"> </w:t>
      </w:r>
      <w:r>
        <w:rPr>
          <w:i/>
          <w:color w:val="2C398A"/>
          <w:sz w:val="24"/>
        </w:rPr>
        <w:t>2020.CSR3.3.</w:t>
      </w:r>
      <w:r>
        <w:rPr>
          <w:i/>
          <w:color w:val="2C398A"/>
          <w:spacing w:val="1"/>
          <w:sz w:val="24"/>
        </w:rPr>
        <w:t xml:space="preserve"> </w:t>
      </w:r>
      <w:r>
        <w:rPr>
          <w:i/>
          <w:color w:val="2C398A"/>
          <w:sz w:val="24"/>
        </w:rPr>
        <w:t>Focus</w:t>
      </w:r>
      <w:r>
        <w:rPr>
          <w:i/>
          <w:color w:val="2C398A"/>
          <w:spacing w:val="1"/>
          <w:sz w:val="24"/>
        </w:rPr>
        <w:t xml:space="preserve"> </w:t>
      </w:r>
      <w:r>
        <w:rPr>
          <w:i/>
          <w:color w:val="2C398A"/>
          <w:sz w:val="24"/>
        </w:rPr>
        <w:t>investment</w:t>
      </w:r>
      <w:r>
        <w:rPr>
          <w:i/>
          <w:color w:val="2C398A"/>
          <w:spacing w:val="1"/>
          <w:sz w:val="24"/>
        </w:rPr>
        <w:t xml:space="preserve"> </w:t>
      </w:r>
      <w:r>
        <w:rPr>
          <w:i/>
          <w:color w:val="2C398A"/>
          <w:sz w:val="24"/>
        </w:rPr>
        <w:t>on</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green</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digital</w:t>
      </w:r>
      <w:r>
        <w:rPr>
          <w:i/>
          <w:color w:val="2C398A"/>
          <w:spacing w:val="1"/>
          <w:sz w:val="24"/>
        </w:rPr>
        <w:t xml:space="preserve"> </w:t>
      </w:r>
      <w:r>
        <w:rPr>
          <w:i/>
          <w:color w:val="2C398A"/>
          <w:sz w:val="24"/>
        </w:rPr>
        <w:t>transition,</w:t>
      </w:r>
      <w:r>
        <w:rPr>
          <w:i/>
          <w:color w:val="2C398A"/>
          <w:spacing w:val="1"/>
          <w:sz w:val="24"/>
        </w:rPr>
        <w:t xml:space="preserve"> </w:t>
      </w:r>
      <w:r>
        <w:rPr>
          <w:i/>
          <w:color w:val="2C398A"/>
          <w:sz w:val="24"/>
        </w:rPr>
        <w:t>in</w:t>
      </w:r>
      <w:r>
        <w:rPr>
          <w:i/>
          <w:color w:val="2C398A"/>
          <w:spacing w:val="1"/>
          <w:sz w:val="24"/>
        </w:rPr>
        <w:t xml:space="preserve"> </w:t>
      </w:r>
      <w:r>
        <w:rPr>
          <w:i/>
          <w:color w:val="2C398A"/>
          <w:sz w:val="24"/>
        </w:rPr>
        <w:t>particular</w:t>
      </w:r>
      <w:r>
        <w:rPr>
          <w:i/>
          <w:color w:val="2C398A"/>
          <w:spacing w:val="1"/>
          <w:sz w:val="24"/>
        </w:rPr>
        <w:t xml:space="preserve"> </w:t>
      </w:r>
      <w:r>
        <w:rPr>
          <w:i/>
          <w:color w:val="2C398A"/>
          <w:sz w:val="24"/>
        </w:rPr>
        <w:t>on</w:t>
      </w:r>
      <w:r>
        <w:rPr>
          <w:i/>
          <w:color w:val="2C398A"/>
          <w:spacing w:val="1"/>
          <w:sz w:val="24"/>
        </w:rPr>
        <w:t xml:space="preserve"> </w:t>
      </w:r>
      <w:r>
        <w:rPr>
          <w:i/>
          <w:color w:val="2C398A"/>
          <w:sz w:val="24"/>
        </w:rPr>
        <w:t>environmental</w:t>
      </w:r>
      <w:r>
        <w:rPr>
          <w:i/>
          <w:color w:val="2C398A"/>
          <w:spacing w:val="1"/>
          <w:sz w:val="24"/>
        </w:rPr>
        <w:t xml:space="preserve"> </w:t>
      </w:r>
      <w:r>
        <w:rPr>
          <w:i/>
          <w:color w:val="2C398A"/>
          <w:sz w:val="24"/>
        </w:rPr>
        <w:t>infrastructure,</w:t>
      </w:r>
      <w:r>
        <w:rPr>
          <w:i/>
          <w:color w:val="2C398A"/>
          <w:spacing w:val="1"/>
          <w:sz w:val="24"/>
        </w:rPr>
        <w:t xml:space="preserve"> </w:t>
      </w:r>
      <w:r>
        <w:rPr>
          <w:i/>
          <w:color w:val="2C398A"/>
          <w:sz w:val="24"/>
        </w:rPr>
        <w:t>sustainable</w:t>
      </w:r>
      <w:r>
        <w:rPr>
          <w:i/>
          <w:color w:val="2C398A"/>
          <w:spacing w:val="1"/>
          <w:sz w:val="24"/>
        </w:rPr>
        <w:t xml:space="preserve"> </w:t>
      </w:r>
      <w:r>
        <w:rPr>
          <w:i/>
          <w:color w:val="2C398A"/>
          <w:sz w:val="24"/>
        </w:rPr>
        <w:t>urban</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rail</w:t>
      </w:r>
      <w:r>
        <w:rPr>
          <w:i/>
          <w:color w:val="2C398A"/>
          <w:spacing w:val="1"/>
          <w:sz w:val="24"/>
        </w:rPr>
        <w:t xml:space="preserve"> </w:t>
      </w:r>
      <w:r>
        <w:rPr>
          <w:i/>
          <w:color w:val="2C398A"/>
          <w:sz w:val="24"/>
        </w:rPr>
        <w:t>transport,</w:t>
      </w:r>
      <w:r>
        <w:rPr>
          <w:i/>
          <w:color w:val="2C398A"/>
          <w:spacing w:val="1"/>
          <w:sz w:val="24"/>
        </w:rPr>
        <w:t xml:space="preserve"> </w:t>
      </w:r>
      <w:r>
        <w:rPr>
          <w:i/>
          <w:color w:val="2C398A"/>
          <w:sz w:val="24"/>
        </w:rPr>
        <w:t>clean</w:t>
      </w:r>
      <w:r>
        <w:rPr>
          <w:i/>
          <w:color w:val="2C398A"/>
          <w:spacing w:val="1"/>
          <w:sz w:val="24"/>
        </w:rPr>
        <w:t xml:space="preserve"> </w:t>
      </w:r>
      <w:r>
        <w:rPr>
          <w:i/>
          <w:color w:val="2C398A"/>
          <w:sz w:val="24"/>
        </w:rPr>
        <w:t>and</w:t>
      </w:r>
      <w:r>
        <w:rPr>
          <w:i/>
          <w:color w:val="2C398A"/>
          <w:spacing w:val="1"/>
          <w:sz w:val="24"/>
        </w:rPr>
        <w:t xml:space="preserve"> </w:t>
      </w:r>
      <w:r>
        <w:rPr>
          <w:i/>
          <w:color w:val="2C398A"/>
          <w:sz w:val="24"/>
        </w:rPr>
        <w:t>efficient</w:t>
      </w:r>
      <w:r>
        <w:rPr>
          <w:i/>
          <w:color w:val="2C398A"/>
          <w:spacing w:val="1"/>
          <w:sz w:val="24"/>
        </w:rPr>
        <w:t xml:space="preserve"> </w:t>
      </w:r>
      <w:r>
        <w:rPr>
          <w:i/>
          <w:color w:val="2C398A"/>
          <w:sz w:val="24"/>
        </w:rPr>
        <w:t>production</w:t>
      </w:r>
      <w:r>
        <w:rPr>
          <w:i/>
          <w:color w:val="2C398A"/>
          <w:spacing w:val="-1"/>
          <w:sz w:val="24"/>
        </w:rPr>
        <w:t xml:space="preserve"> </w:t>
      </w:r>
      <w:r>
        <w:rPr>
          <w:i/>
          <w:color w:val="2C398A"/>
          <w:sz w:val="24"/>
        </w:rPr>
        <w:t>and use</w:t>
      </w:r>
      <w:r>
        <w:rPr>
          <w:i/>
          <w:color w:val="2C398A"/>
          <w:spacing w:val="-1"/>
          <w:sz w:val="24"/>
        </w:rPr>
        <w:t xml:space="preserve"> </w:t>
      </w:r>
      <w:r>
        <w:rPr>
          <w:i/>
          <w:color w:val="2C398A"/>
          <w:sz w:val="24"/>
        </w:rPr>
        <w:t>of energy</w:t>
      </w:r>
    </w:p>
    <w:p w:rsidR="00A56FE9" w:rsidRDefault="00A56FE9">
      <w:pPr>
        <w:pStyle w:val="Tijeloteksta"/>
        <w:spacing w:before="4"/>
        <w:ind w:left="0"/>
        <w:jc w:val="left"/>
        <w:rPr>
          <w:i/>
          <w:sz w:val="21"/>
        </w:rPr>
      </w:pPr>
    </w:p>
    <w:p w:rsidR="00A56FE9" w:rsidRDefault="00000000">
      <w:pPr>
        <w:pStyle w:val="Naslov5"/>
      </w:pPr>
      <w:r>
        <w:t>Progress</w:t>
      </w:r>
      <w:r>
        <w:rPr>
          <w:spacing w:val="-2"/>
        </w:rPr>
        <w:t xml:space="preserve"> </w:t>
      </w:r>
      <w:r>
        <w:t>in</w:t>
      </w:r>
      <w:r>
        <w:rPr>
          <w:spacing w:val="-2"/>
        </w:rPr>
        <w:t xml:space="preserve"> </w:t>
      </w:r>
      <w:r>
        <w:t>implementing</w:t>
      </w:r>
      <w:r>
        <w:rPr>
          <w:spacing w:val="-2"/>
        </w:rPr>
        <w:t xml:space="preserve"> </w:t>
      </w:r>
      <w:r>
        <w:t>the</w:t>
      </w:r>
      <w:r>
        <w:rPr>
          <w:spacing w:val="-2"/>
        </w:rPr>
        <w:t xml:space="preserve"> </w:t>
      </w:r>
      <w:r>
        <w:t>recommendations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3458845" cy="12700"/>
                <wp:effectExtent l="0" t="0" r="0" b="0"/>
                <wp:docPr id="881596987"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58845" cy="12700"/>
                          <a:chOff x="0" y="0"/>
                          <a:chExt cx="5447" cy="20"/>
                        </a:xfrm>
                      </wpg:grpSpPr>
                      <wps:wsp>
                        <wps:cNvPr id="1177089969" name="Rectangle 77"/>
                        <wps:cNvSpPr>
                          <a:spLocks noChangeArrowheads="1"/>
                        </wps:cNvSpPr>
                        <wps:spPr bwMode="auto">
                          <a:xfrm>
                            <a:off x="0" y="0"/>
                            <a:ext cx="5447"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EC41973" id="Group 76" o:spid="_x0000_s1026" style="width:272.35pt;height:1pt;mso-position-horizontal-relative:char;mso-position-vertical-relative:line" coordsize="544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">
                <v:rect id="Rectangle 77" o:spid="_x0000_s1027" style="position:absolute;width:5447;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" fillcolor="#2c398a" stroked="f"/>
                <w10:anchorlock/>
              </v:group>
            </w:pict>
          </mc:Fallback>
        </mc:AlternateContent>
      </w:r>
    </w:p>
    <w:p w:rsidR="00A56FE9" w:rsidRDefault="00000000">
      <w:pPr>
        <w:pStyle w:val="Tijeloteksta"/>
        <w:spacing w:before="154"/>
        <w:ind w:right="273"/>
      </w:pPr>
      <w:r>
        <w:t>In December 2021, the Government adopted the Program for Energy Renovation of Multi-</w:t>
      </w:r>
      <w:r>
        <w:rPr>
          <w:spacing w:val="1"/>
        </w:rPr>
        <w:t xml:space="preserve"> </w:t>
      </w:r>
      <w:r>
        <w:rPr>
          <w:spacing w:val="-1"/>
        </w:rPr>
        <w:t>Apartment</w:t>
      </w:r>
      <w:r>
        <w:rPr>
          <w:spacing w:val="-12"/>
        </w:rPr>
        <w:t xml:space="preserve"> </w:t>
      </w:r>
      <w:r>
        <w:rPr>
          <w:spacing w:val="-1"/>
        </w:rPr>
        <w:t>Buildings</w:t>
      </w:r>
      <w:r>
        <w:rPr>
          <w:spacing w:val="-12"/>
        </w:rPr>
        <w:t xml:space="preserve"> </w:t>
      </w:r>
      <w:r>
        <w:t>for</w:t>
      </w:r>
      <w:r>
        <w:rPr>
          <w:spacing w:val="-13"/>
        </w:rPr>
        <w:t xml:space="preserve"> </w:t>
      </w:r>
      <w:r>
        <w:t>the</w:t>
      </w:r>
      <w:r>
        <w:rPr>
          <w:spacing w:val="-12"/>
        </w:rPr>
        <w:t xml:space="preserve"> </w:t>
      </w:r>
      <w:r>
        <w:t>period</w:t>
      </w:r>
      <w:r>
        <w:rPr>
          <w:spacing w:val="-13"/>
        </w:rPr>
        <w:t xml:space="preserve"> </w:t>
      </w:r>
      <w:r>
        <w:t>until</w:t>
      </w:r>
      <w:r>
        <w:rPr>
          <w:spacing w:val="-11"/>
        </w:rPr>
        <w:t xml:space="preserve"> </w:t>
      </w:r>
      <w:r>
        <w:t>2030,</w:t>
      </w:r>
      <w:r>
        <w:rPr>
          <w:spacing w:val="-15"/>
        </w:rPr>
        <w:t xml:space="preserve"> </w:t>
      </w:r>
      <w:r>
        <w:t>the</w:t>
      </w:r>
      <w:r>
        <w:rPr>
          <w:spacing w:val="-15"/>
        </w:rPr>
        <w:t xml:space="preserve"> </w:t>
      </w:r>
      <w:r>
        <w:t>Program</w:t>
      </w:r>
      <w:r>
        <w:rPr>
          <w:spacing w:val="-11"/>
        </w:rPr>
        <w:t xml:space="preserve"> </w:t>
      </w:r>
      <w:r>
        <w:t>for</w:t>
      </w:r>
      <w:r>
        <w:rPr>
          <w:spacing w:val="-14"/>
        </w:rPr>
        <w:t xml:space="preserve"> </w:t>
      </w:r>
      <w:r>
        <w:t>Energy</w:t>
      </w:r>
      <w:r>
        <w:rPr>
          <w:spacing w:val="-17"/>
        </w:rPr>
        <w:t xml:space="preserve"> </w:t>
      </w:r>
      <w:r>
        <w:t>Renovation</w:t>
      </w:r>
      <w:r>
        <w:rPr>
          <w:spacing w:val="-11"/>
        </w:rPr>
        <w:t xml:space="preserve"> </w:t>
      </w:r>
      <w:r>
        <w:t>of</w:t>
      </w:r>
      <w:r>
        <w:rPr>
          <w:spacing w:val="-13"/>
        </w:rPr>
        <w:t xml:space="preserve"> </w:t>
      </w:r>
      <w:r>
        <w:t>Buildings</w:t>
      </w:r>
      <w:r>
        <w:rPr>
          <w:spacing w:val="-57"/>
        </w:rPr>
        <w:t xml:space="preserve"> </w:t>
      </w:r>
      <w:r>
        <w:t>with a Cultural Heritage Status for the period until 2030, the Program for Combating Energy</w:t>
      </w:r>
      <w:r>
        <w:rPr>
          <w:spacing w:val="1"/>
        </w:rPr>
        <w:t xml:space="preserve"> </w:t>
      </w:r>
      <w:r>
        <w:t>Poverty Which Includes the Use of Renewable Energy Sources in Residential Buildings in</w:t>
      </w:r>
      <w:r>
        <w:rPr>
          <w:spacing w:val="1"/>
        </w:rPr>
        <w:t xml:space="preserve"> </w:t>
      </w:r>
      <w:r>
        <w:t>Assisted Areas and Areas of Special State Concern for the period until 2025, the Program for</w:t>
      </w:r>
      <w:r>
        <w:rPr>
          <w:spacing w:val="1"/>
        </w:rPr>
        <w:t xml:space="preserve"> </w:t>
      </w:r>
      <w:r>
        <w:t>the Development of Green Infrastructure in Urban Areas for the period 2021-2030 and the</w:t>
      </w:r>
      <w:r>
        <w:rPr>
          <w:spacing w:val="1"/>
        </w:rPr>
        <w:t xml:space="preserve"> </w:t>
      </w:r>
      <w:r>
        <w:t>Program for the Development of Circular Management of Space and Buildings for the period</w:t>
      </w:r>
      <w:r>
        <w:rPr>
          <w:spacing w:val="1"/>
        </w:rPr>
        <w:t xml:space="preserve"> </w:t>
      </w:r>
      <w:r>
        <w:t>2021-2030.</w:t>
      </w:r>
    </w:p>
    <w:p w:rsidR="00A56FE9" w:rsidRDefault="00A56FE9">
      <w:pPr>
        <w:pStyle w:val="Tijeloteksta"/>
        <w:spacing w:before="4"/>
        <w:ind w:left="0"/>
        <w:jc w:val="left"/>
        <w:rPr>
          <w:sz w:val="31"/>
        </w:rPr>
      </w:pPr>
    </w:p>
    <w:p w:rsidR="00A56FE9" w:rsidRDefault="00000000">
      <w:pPr>
        <w:pStyle w:val="Tijeloteksta"/>
        <w:ind w:right="274"/>
      </w:pPr>
      <w:r>
        <w:t>Additional programs were also prepared such as the Program for Energy Renovation of Public</w:t>
      </w:r>
      <w:r>
        <w:rPr>
          <w:spacing w:val="-57"/>
        </w:rPr>
        <w:t xml:space="preserve"> </w:t>
      </w:r>
      <w:r>
        <w:t>Sector Buildings for the period until 2030, adopted by the Government at its session on 31</w:t>
      </w:r>
      <w:r>
        <w:rPr>
          <w:spacing w:val="1"/>
        </w:rPr>
        <w:t xml:space="preserve"> </w:t>
      </w:r>
      <w:r>
        <w:t>March 2022, and the Draft Program for Energy Renovation of Family Houses for the period</w:t>
      </w:r>
      <w:r>
        <w:rPr>
          <w:spacing w:val="1"/>
        </w:rPr>
        <w:t xml:space="preserve"> </w:t>
      </w:r>
      <w:r>
        <w:t>until</w:t>
      </w:r>
      <w:r>
        <w:rPr>
          <w:spacing w:val="-1"/>
        </w:rPr>
        <w:t xml:space="preserve"> </w:t>
      </w:r>
      <w:r>
        <w:t>2030, which will be proposed to the</w:t>
      </w:r>
      <w:r>
        <w:rPr>
          <w:spacing w:val="-2"/>
        </w:rPr>
        <w:t xml:space="preserve"> </w:t>
      </w:r>
      <w:r>
        <w:t>Government for adoption</w:t>
      </w:r>
      <w:r>
        <w:rPr>
          <w:spacing w:val="2"/>
        </w:rPr>
        <w:t xml:space="preserve"> </w:t>
      </w:r>
      <w:r>
        <w:t>in 2022.</w:t>
      </w:r>
    </w:p>
    <w:p w:rsidR="00A56FE9" w:rsidRDefault="00A56FE9">
      <w:pPr>
        <w:pStyle w:val="Tijeloteksta"/>
        <w:spacing w:before="4"/>
        <w:ind w:left="0"/>
        <w:jc w:val="left"/>
        <w:rPr>
          <w:sz w:val="31"/>
        </w:rPr>
      </w:pPr>
    </w:p>
    <w:p w:rsidR="00A56FE9" w:rsidRDefault="00000000">
      <w:pPr>
        <w:pStyle w:val="Tijeloteksta"/>
        <w:ind w:right="275"/>
      </w:pPr>
      <w:r>
        <w:t>Energy renovation programs for buildings encourage deep and comprehensive renovation of</w:t>
      </w:r>
      <w:r>
        <w:rPr>
          <w:spacing w:val="1"/>
        </w:rPr>
        <w:t xml:space="preserve"> </w:t>
      </w:r>
      <w:r>
        <w:t>buildings, highly efficient alternative systems, special attention to ensuring healthy indoor</w:t>
      </w:r>
      <w:r>
        <w:rPr>
          <w:spacing w:val="1"/>
        </w:rPr>
        <w:t xml:space="preserve"> </w:t>
      </w:r>
      <w:r>
        <w:t>climatic</w:t>
      </w:r>
      <w:r>
        <w:rPr>
          <w:spacing w:val="1"/>
        </w:rPr>
        <w:t xml:space="preserve"> </w:t>
      </w:r>
      <w:r>
        <w:t>conditions,</w:t>
      </w:r>
      <w:r>
        <w:rPr>
          <w:spacing w:val="1"/>
        </w:rPr>
        <w:t xml:space="preserve"> </w:t>
      </w:r>
      <w:r>
        <w:t>fire</w:t>
      </w:r>
      <w:r>
        <w:rPr>
          <w:spacing w:val="1"/>
        </w:rPr>
        <w:t xml:space="preserve"> </w:t>
      </w:r>
      <w:r>
        <w:t>protection,</w:t>
      </w:r>
      <w:r>
        <w:rPr>
          <w:spacing w:val="1"/>
        </w:rPr>
        <w:t xml:space="preserve"> </w:t>
      </w:r>
      <w:r>
        <w:t>and</w:t>
      </w:r>
      <w:r>
        <w:rPr>
          <w:spacing w:val="1"/>
        </w:rPr>
        <w:t xml:space="preserve"> </w:t>
      </w:r>
      <w:r>
        <w:t>eliminating</w:t>
      </w:r>
      <w:r>
        <w:rPr>
          <w:spacing w:val="1"/>
        </w:rPr>
        <w:t xml:space="preserve"> </w:t>
      </w:r>
      <w:r>
        <w:t>risks</w:t>
      </w:r>
      <w:r>
        <w:rPr>
          <w:spacing w:val="1"/>
        </w:rPr>
        <w:t xml:space="preserve"> </w:t>
      </w:r>
      <w:r>
        <w:t>associated</w:t>
      </w:r>
      <w:r>
        <w:rPr>
          <w:spacing w:val="1"/>
        </w:rPr>
        <w:t xml:space="preserve"> </w:t>
      </w:r>
      <w:r>
        <w:t>with</w:t>
      </w:r>
      <w:r>
        <w:rPr>
          <w:spacing w:val="1"/>
        </w:rPr>
        <w:t xml:space="preserve"> </w:t>
      </w:r>
      <w:r>
        <w:t>increased</w:t>
      </w:r>
      <w:r>
        <w:rPr>
          <w:spacing w:val="-57"/>
        </w:rPr>
        <w:t xml:space="preserve"> </w:t>
      </w:r>
      <w:r>
        <w:t>seismological</w:t>
      </w:r>
      <w:r>
        <w:rPr>
          <w:spacing w:val="-1"/>
        </w:rPr>
        <w:t xml:space="preserve"> </w:t>
      </w:r>
      <w:r>
        <w:t>activity.</w:t>
      </w:r>
    </w:p>
    <w:p w:rsidR="00A56FE9" w:rsidRDefault="00A56FE9">
      <w:pPr>
        <w:pStyle w:val="Tijeloteksta"/>
        <w:spacing w:before="8"/>
        <w:ind w:left="0"/>
        <w:jc w:val="left"/>
        <w:rPr>
          <w:sz w:val="31"/>
        </w:rPr>
      </w:pPr>
    </w:p>
    <w:p w:rsidR="00A56FE9" w:rsidRDefault="00000000">
      <w:pPr>
        <w:pStyle w:val="Naslov5"/>
      </w:pPr>
      <w:r>
        <w:t>Planned</w:t>
      </w:r>
      <w:r>
        <w:rPr>
          <w:spacing w:val="-2"/>
        </w:rPr>
        <w:t xml:space="preserve"> </w:t>
      </w:r>
      <w:r>
        <w:t>NRRP</w:t>
      </w:r>
      <w:r>
        <w:rPr>
          <w:spacing w:val="-5"/>
        </w:rPr>
        <w:t xml:space="preserve"> </w:t>
      </w:r>
      <w:r>
        <w:t>reforms</w:t>
      </w:r>
      <w:r>
        <w:rPr>
          <w:spacing w:val="1"/>
        </w:rPr>
        <w:t xml:space="preserve"> </w:t>
      </w:r>
      <w:r>
        <w:t>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2008757029"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172275474" name="Rectangle 75"/>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81BEB36" id="Group 74"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">
                <v:rect id="Rectangle 75"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" fillcolor="#2c398a" stroked="f"/>
                <w10:anchorlock/>
              </v:group>
            </w:pict>
          </mc:Fallback>
        </mc:AlternateContent>
      </w:r>
    </w:p>
    <w:p w:rsidR="00A56FE9" w:rsidRDefault="00000000">
      <w:pPr>
        <w:pStyle w:val="Tijeloteksta"/>
        <w:spacing w:before="155"/>
        <w:ind w:right="270"/>
      </w:pPr>
      <w:r>
        <w:t>The</w:t>
      </w:r>
      <w:r>
        <w:rPr>
          <w:spacing w:val="-10"/>
        </w:rPr>
        <w:t xml:space="preserve"> </w:t>
      </w:r>
      <w:r>
        <w:t>Program</w:t>
      </w:r>
      <w:r>
        <w:rPr>
          <w:spacing w:val="-8"/>
        </w:rPr>
        <w:t xml:space="preserve"> </w:t>
      </w:r>
      <w:r>
        <w:t>for</w:t>
      </w:r>
      <w:r>
        <w:rPr>
          <w:spacing w:val="-10"/>
        </w:rPr>
        <w:t xml:space="preserve"> </w:t>
      </w:r>
      <w:r>
        <w:t>Granting</w:t>
      </w:r>
      <w:r>
        <w:rPr>
          <w:spacing w:val="-10"/>
        </w:rPr>
        <w:t xml:space="preserve"> </w:t>
      </w:r>
      <w:r>
        <w:t>Small</w:t>
      </w:r>
      <w:r>
        <w:rPr>
          <w:spacing w:val="-8"/>
        </w:rPr>
        <w:t xml:space="preserve"> </w:t>
      </w:r>
      <w:r>
        <w:t>Value</w:t>
      </w:r>
      <w:r>
        <w:rPr>
          <w:spacing w:val="-9"/>
        </w:rPr>
        <w:t xml:space="preserve"> </w:t>
      </w:r>
      <w:r>
        <w:t>(de</w:t>
      </w:r>
      <w:r>
        <w:rPr>
          <w:spacing w:val="-9"/>
        </w:rPr>
        <w:t xml:space="preserve"> </w:t>
      </w:r>
      <w:r>
        <w:t>minis)</w:t>
      </w:r>
      <w:r>
        <w:rPr>
          <w:spacing w:val="-11"/>
        </w:rPr>
        <w:t xml:space="preserve"> </w:t>
      </w:r>
      <w:r>
        <w:t>Aid</w:t>
      </w:r>
      <w:r>
        <w:rPr>
          <w:spacing w:val="-8"/>
        </w:rPr>
        <w:t xml:space="preserve"> </w:t>
      </w:r>
      <w:r>
        <w:t>for</w:t>
      </w:r>
      <w:r>
        <w:rPr>
          <w:spacing w:val="-10"/>
        </w:rPr>
        <w:t xml:space="preserve"> </w:t>
      </w:r>
      <w:r>
        <w:t>the</w:t>
      </w:r>
      <w:r>
        <w:rPr>
          <w:spacing w:val="-9"/>
        </w:rPr>
        <w:t xml:space="preserve"> </w:t>
      </w:r>
      <w:r>
        <w:t>Energy</w:t>
      </w:r>
      <w:r>
        <w:rPr>
          <w:spacing w:val="-13"/>
        </w:rPr>
        <w:t xml:space="preserve"> </w:t>
      </w:r>
      <w:r>
        <w:t>Renovation</w:t>
      </w:r>
      <w:r>
        <w:rPr>
          <w:spacing w:val="-8"/>
        </w:rPr>
        <w:t xml:space="preserve"> </w:t>
      </w:r>
      <w:r>
        <w:t>of</w:t>
      </w:r>
      <w:r>
        <w:rPr>
          <w:spacing w:val="-8"/>
        </w:rPr>
        <w:t xml:space="preserve"> </w:t>
      </w:r>
      <w:r>
        <w:t>Apartment</w:t>
      </w:r>
      <w:r>
        <w:rPr>
          <w:spacing w:val="-58"/>
        </w:rPr>
        <w:t xml:space="preserve"> </w:t>
      </w:r>
      <w:r>
        <w:t>Buildings</w:t>
      </w:r>
      <w:r>
        <w:rPr>
          <w:spacing w:val="-4"/>
        </w:rPr>
        <w:t xml:space="preserve"> </w:t>
      </w:r>
      <w:r>
        <w:t>was</w:t>
      </w:r>
      <w:r>
        <w:rPr>
          <w:spacing w:val="-1"/>
        </w:rPr>
        <w:t xml:space="preserve"> </w:t>
      </w:r>
      <w:r>
        <w:t>adopted</w:t>
      </w:r>
      <w:r>
        <w:rPr>
          <w:spacing w:val="-4"/>
        </w:rPr>
        <w:t xml:space="preserve"> </w:t>
      </w:r>
      <w:r>
        <w:t>and</w:t>
      </w:r>
      <w:r>
        <w:rPr>
          <w:spacing w:val="-3"/>
        </w:rPr>
        <w:t xml:space="preserve"> </w:t>
      </w:r>
      <w:r>
        <w:t>published</w:t>
      </w:r>
      <w:r>
        <w:rPr>
          <w:spacing w:val="-4"/>
        </w:rPr>
        <w:t xml:space="preserve"> </w:t>
      </w:r>
      <w:r>
        <w:t>on</w:t>
      </w:r>
      <w:r>
        <w:rPr>
          <w:spacing w:val="-2"/>
        </w:rPr>
        <w:t xml:space="preserve"> </w:t>
      </w:r>
      <w:r>
        <w:t>23</w:t>
      </w:r>
      <w:r>
        <w:rPr>
          <w:spacing w:val="-4"/>
        </w:rPr>
        <w:t xml:space="preserve"> </w:t>
      </w:r>
      <w:r>
        <w:t>March</w:t>
      </w:r>
      <w:r>
        <w:rPr>
          <w:spacing w:val="-3"/>
        </w:rPr>
        <w:t xml:space="preserve"> </w:t>
      </w:r>
      <w:r>
        <w:t>2022</w:t>
      </w:r>
      <w:r>
        <w:rPr>
          <w:spacing w:val="-4"/>
        </w:rPr>
        <w:t xml:space="preserve"> </w:t>
      </w:r>
      <w:r>
        <w:t>on</w:t>
      </w:r>
      <w:r>
        <w:rPr>
          <w:spacing w:val="-4"/>
        </w:rPr>
        <w:t xml:space="preserve"> </w:t>
      </w:r>
      <w:r>
        <w:t>the</w:t>
      </w:r>
      <w:r>
        <w:rPr>
          <w:spacing w:val="-4"/>
        </w:rPr>
        <w:t xml:space="preserve"> </w:t>
      </w:r>
      <w:r>
        <w:t>official</w:t>
      </w:r>
      <w:r>
        <w:rPr>
          <w:spacing w:val="-2"/>
        </w:rPr>
        <w:t xml:space="preserve"> </w:t>
      </w:r>
      <w:r>
        <w:t>website</w:t>
      </w:r>
      <w:r>
        <w:rPr>
          <w:spacing w:val="-5"/>
        </w:rPr>
        <w:t xml:space="preserve"> </w:t>
      </w:r>
      <w:r>
        <w:t>of</w:t>
      </w:r>
      <w:r>
        <w:rPr>
          <w:spacing w:val="-3"/>
        </w:rPr>
        <w:t xml:space="preserve"> </w:t>
      </w:r>
      <w:r>
        <w:t>the</w:t>
      </w:r>
      <w:r>
        <w:rPr>
          <w:spacing w:val="-4"/>
        </w:rPr>
        <w:t xml:space="preserve"> </w:t>
      </w:r>
      <w:r>
        <w:t>Ministry</w:t>
      </w:r>
      <w:r>
        <w:rPr>
          <w:spacing w:val="-57"/>
        </w:rPr>
        <w:t xml:space="preserve"> </w:t>
      </w:r>
      <w:r>
        <w:t>of Physical Planning, Construction and State Assets (MPPCDA). As part of NRRP investment</w:t>
      </w:r>
      <w:r>
        <w:rPr>
          <w:spacing w:val="-57"/>
        </w:rPr>
        <w:t xml:space="preserve"> </w:t>
      </w:r>
      <w:r>
        <w:t>C6.1.</w:t>
      </w:r>
      <w:r>
        <w:rPr>
          <w:spacing w:val="-6"/>
        </w:rPr>
        <w:t xml:space="preserve"> </w:t>
      </w:r>
      <w:r>
        <w:t>R1-I1,</w:t>
      </w:r>
      <w:r>
        <w:rPr>
          <w:spacing w:val="-6"/>
        </w:rPr>
        <w:t xml:space="preserve"> </w:t>
      </w:r>
      <w:r>
        <w:t>a</w:t>
      </w:r>
      <w:r>
        <w:rPr>
          <w:spacing w:val="-5"/>
        </w:rPr>
        <w:t xml:space="preserve"> </w:t>
      </w:r>
      <w:r>
        <w:t>public</w:t>
      </w:r>
      <w:r>
        <w:rPr>
          <w:spacing w:val="-4"/>
        </w:rPr>
        <w:t xml:space="preserve"> </w:t>
      </w:r>
      <w:r>
        <w:t>call</w:t>
      </w:r>
      <w:r>
        <w:rPr>
          <w:spacing w:val="-3"/>
        </w:rPr>
        <w:t xml:space="preserve"> </w:t>
      </w:r>
      <w:r>
        <w:t>for</w:t>
      </w:r>
      <w:r>
        <w:rPr>
          <w:spacing w:val="-4"/>
        </w:rPr>
        <w:t xml:space="preserve"> </w:t>
      </w:r>
      <w:r>
        <w:t>the</w:t>
      </w:r>
      <w:r>
        <w:rPr>
          <w:spacing w:val="-4"/>
        </w:rPr>
        <w:t xml:space="preserve"> </w:t>
      </w:r>
      <w:r>
        <w:t>energy</w:t>
      </w:r>
      <w:r>
        <w:rPr>
          <w:spacing w:val="-8"/>
        </w:rPr>
        <w:t xml:space="preserve"> </w:t>
      </w:r>
      <w:r>
        <w:t>renovation</w:t>
      </w:r>
      <w:r>
        <w:rPr>
          <w:spacing w:val="-6"/>
        </w:rPr>
        <w:t xml:space="preserve"> </w:t>
      </w:r>
      <w:r>
        <w:t>of</w:t>
      </w:r>
      <w:r>
        <w:rPr>
          <w:spacing w:val="-5"/>
        </w:rPr>
        <w:t xml:space="preserve"> </w:t>
      </w:r>
      <w:r>
        <w:t>apartment</w:t>
      </w:r>
      <w:r>
        <w:rPr>
          <w:spacing w:val="-3"/>
        </w:rPr>
        <w:t xml:space="preserve"> </w:t>
      </w:r>
      <w:r>
        <w:t>buildings,</w:t>
      </w:r>
      <w:r>
        <w:rPr>
          <w:spacing w:val="-4"/>
        </w:rPr>
        <w:t xml:space="preserve"> </w:t>
      </w:r>
      <w:r>
        <w:t>was</w:t>
      </w:r>
      <w:r>
        <w:rPr>
          <w:spacing w:val="-4"/>
        </w:rPr>
        <w:t xml:space="preserve"> </w:t>
      </w:r>
      <w:r>
        <w:t>published</w:t>
      </w:r>
      <w:r>
        <w:rPr>
          <w:spacing w:val="-5"/>
        </w:rPr>
        <w:t xml:space="preserve"> </w:t>
      </w:r>
      <w:r>
        <w:t>on</w:t>
      </w:r>
      <w:r>
        <w:rPr>
          <w:spacing w:val="-5"/>
        </w:rPr>
        <w:t xml:space="preserve"> </w:t>
      </w:r>
      <w:r>
        <w:t>1</w:t>
      </w:r>
      <w:r>
        <w:rPr>
          <w:spacing w:val="-58"/>
        </w:rPr>
        <w:t xml:space="preserve"> </w:t>
      </w:r>
      <w:r>
        <w:t>April</w:t>
      </w:r>
      <w:r>
        <w:rPr>
          <w:spacing w:val="-1"/>
        </w:rPr>
        <w:t xml:space="preserve"> </w:t>
      </w:r>
      <w:r>
        <w:t>2022.</w:t>
      </w:r>
    </w:p>
    <w:p w:rsidR="00A56FE9" w:rsidRDefault="00000000">
      <w:pPr>
        <w:pStyle w:val="Tijeloteksta"/>
        <w:spacing w:before="120"/>
        <w:ind w:right="271"/>
      </w:pPr>
      <w:r>
        <w:t>The goal is to renovate at least 180,000 m</w:t>
      </w:r>
      <w:r>
        <w:rPr>
          <w:vertAlign w:val="superscript"/>
        </w:rPr>
        <w:t>2</w:t>
      </w:r>
      <w:r>
        <w:t xml:space="preserve"> of apartment buildings undamaged by earthquakes</w:t>
      </w:r>
      <w:r>
        <w:rPr>
          <w:spacing w:val="1"/>
        </w:rPr>
        <w:t xml:space="preserve"> </w:t>
      </w:r>
      <w:r>
        <w:t>by the end of 2026. Furthermore, the goal is also to constructively and energetically renovate</w:t>
      </w:r>
      <w:r>
        <w:rPr>
          <w:spacing w:val="1"/>
        </w:rPr>
        <w:t xml:space="preserve"> </w:t>
      </w:r>
      <w:r>
        <w:t>45,000</w:t>
      </w:r>
      <w:r>
        <w:rPr>
          <w:spacing w:val="-3"/>
        </w:rPr>
        <w:t xml:space="preserve"> </w:t>
      </w:r>
      <w:r>
        <w:t>m</w:t>
      </w:r>
      <w:r>
        <w:rPr>
          <w:vertAlign w:val="superscript"/>
        </w:rPr>
        <w:t>2</w:t>
      </w:r>
      <w:r>
        <w:rPr>
          <w:spacing w:val="-2"/>
        </w:rPr>
        <w:t xml:space="preserve"> </w:t>
      </w:r>
      <w:r>
        <w:t>of</w:t>
      </w:r>
      <w:r>
        <w:rPr>
          <w:spacing w:val="-4"/>
        </w:rPr>
        <w:t xml:space="preserve"> </w:t>
      </w:r>
      <w:r>
        <w:t>apartment</w:t>
      </w:r>
      <w:r>
        <w:rPr>
          <w:spacing w:val="-2"/>
        </w:rPr>
        <w:t xml:space="preserve"> </w:t>
      </w:r>
      <w:r>
        <w:t>buildings</w:t>
      </w:r>
      <w:r>
        <w:rPr>
          <w:spacing w:val="-3"/>
        </w:rPr>
        <w:t xml:space="preserve"> </w:t>
      </w:r>
      <w:r>
        <w:t>damaged</w:t>
      </w:r>
      <w:r>
        <w:rPr>
          <w:spacing w:val="-3"/>
        </w:rPr>
        <w:t xml:space="preserve"> </w:t>
      </w:r>
      <w:r>
        <w:t>by</w:t>
      </w:r>
      <w:r>
        <w:rPr>
          <w:spacing w:val="-8"/>
        </w:rPr>
        <w:t xml:space="preserve"> </w:t>
      </w:r>
      <w:r>
        <w:t>the</w:t>
      </w:r>
      <w:r>
        <w:rPr>
          <w:spacing w:val="1"/>
        </w:rPr>
        <w:t xml:space="preserve"> </w:t>
      </w:r>
      <w:r>
        <w:t>earthquake</w:t>
      </w:r>
      <w:r>
        <w:rPr>
          <w:spacing w:val="-1"/>
        </w:rPr>
        <w:t xml:space="preserve"> </w:t>
      </w:r>
      <w:r>
        <w:t>by</w:t>
      </w:r>
      <w:r>
        <w:rPr>
          <w:spacing w:val="-8"/>
        </w:rPr>
        <w:t xml:space="preserve"> </w:t>
      </w:r>
      <w:r>
        <w:t>mid-2026. The</w:t>
      </w:r>
      <w:r>
        <w:rPr>
          <w:spacing w:val="-4"/>
        </w:rPr>
        <w:t xml:space="preserve"> </w:t>
      </w:r>
      <w:r>
        <w:t>implementing</w:t>
      </w:r>
      <w:r>
        <w:rPr>
          <w:spacing w:val="-57"/>
        </w:rPr>
        <w:t xml:space="preserve"> </w:t>
      </w:r>
      <w:r>
        <w:t>body for the renovation of these buildings is the Reconstruction Fund. At the end of March</w:t>
      </w:r>
      <w:r>
        <w:rPr>
          <w:spacing w:val="1"/>
        </w:rPr>
        <w:t xml:space="preserve"> </w:t>
      </w:r>
      <w:r>
        <w:t>2022, the 2030 Program for Energy Renovation of Public Sector Buildings was adopted,</w:t>
      </w:r>
      <w:r>
        <w:rPr>
          <w:spacing w:val="1"/>
        </w:rPr>
        <w:t xml:space="preserve"> </w:t>
      </w:r>
      <w:r>
        <w:t>covering</w:t>
      </w:r>
      <w:r>
        <w:rPr>
          <w:spacing w:val="1"/>
        </w:rPr>
        <w:t xml:space="preserve"> </w:t>
      </w:r>
      <w:r>
        <w:t>comprehensive</w:t>
      </w:r>
      <w:r>
        <w:rPr>
          <w:spacing w:val="1"/>
        </w:rPr>
        <w:t xml:space="preserve"> </w:t>
      </w:r>
      <w:r>
        <w:t>renovation</w:t>
      </w:r>
      <w:r>
        <w:rPr>
          <w:spacing w:val="1"/>
        </w:rPr>
        <w:t xml:space="preserve"> </w:t>
      </w:r>
      <w:r>
        <w:t>of</w:t>
      </w:r>
      <w:r>
        <w:rPr>
          <w:spacing w:val="1"/>
        </w:rPr>
        <w:t xml:space="preserve"> </w:t>
      </w:r>
      <w:r>
        <w:t>public</w:t>
      </w:r>
      <w:r>
        <w:rPr>
          <w:spacing w:val="1"/>
        </w:rPr>
        <w:t xml:space="preserve"> </w:t>
      </w:r>
      <w:r>
        <w:t>sector</w:t>
      </w:r>
      <w:r>
        <w:rPr>
          <w:spacing w:val="1"/>
        </w:rPr>
        <w:t xml:space="preserve"> </w:t>
      </w:r>
      <w:r>
        <w:t>buildings</w:t>
      </w:r>
      <w:r>
        <w:rPr>
          <w:spacing w:val="1"/>
        </w:rPr>
        <w:t xml:space="preserve"> </w:t>
      </w:r>
      <w:r>
        <w:t>and</w:t>
      </w:r>
      <w:r>
        <w:rPr>
          <w:spacing w:val="1"/>
        </w:rPr>
        <w:t xml:space="preserve"> </w:t>
      </w:r>
      <w:r>
        <w:t>incorporating</w:t>
      </w:r>
      <w:r>
        <w:rPr>
          <w:spacing w:val="1"/>
        </w:rPr>
        <w:t xml:space="preserve"> </w:t>
      </w:r>
      <w:r>
        <w:t>energy</w:t>
      </w:r>
      <w:r>
        <w:rPr>
          <w:spacing w:val="1"/>
        </w:rPr>
        <w:t xml:space="preserve"> </w:t>
      </w:r>
      <w:r>
        <w:rPr>
          <w:spacing w:val="-1"/>
        </w:rPr>
        <w:t>efficiency</w:t>
      </w:r>
      <w:r>
        <w:rPr>
          <w:spacing w:val="-20"/>
        </w:rPr>
        <w:t xml:space="preserve"> </w:t>
      </w:r>
      <w:r>
        <w:t>measures,</w:t>
      </w:r>
      <w:r>
        <w:rPr>
          <w:spacing w:val="-14"/>
        </w:rPr>
        <w:t xml:space="preserve"> </w:t>
      </w:r>
      <w:r>
        <w:t>as</w:t>
      </w:r>
      <w:r>
        <w:rPr>
          <w:spacing w:val="-15"/>
        </w:rPr>
        <w:t xml:space="preserve"> </w:t>
      </w:r>
      <w:r>
        <w:t>well</w:t>
      </w:r>
      <w:r>
        <w:rPr>
          <w:spacing w:val="-14"/>
        </w:rPr>
        <w:t xml:space="preserve"> </w:t>
      </w:r>
      <w:r>
        <w:t>as</w:t>
      </w:r>
      <w:r>
        <w:rPr>
          <w:spacing w:val="-12"/>
        </w:rPr>
        <w:t xml:space="preserve"> </w:t>
      </w:r>
      <w:r>
        <w:t>heat</w:t>
      </w:r>
      <w:r>
        <w:rPr>
          <w:spacing w:val="-14"/>
        </w:rPr>
        <w:t xml:space="preserve"> </w:t>
      </w:r>
      <w:r>
        <w:t>demand</w:t>
      </w:r>
      <w:r>
        <w:rPr>
          <w:spacing w:val="-15"/>
        </w:rPr>
        <w:t xml:space="preserve"> </w:t>
      </w:r>
      <w:r>
        <w:t>and</w:t>
      </w:r>
      <w:r>
        <w:rPr>
          <w:spacing w:val="-15"/>
        </w:rPr>
        <w:t xml:space="preserve"> </w:t>
      </w:r>
      <w:r>
        <w:t>energy</w:t>
      </w:r>
      <w:r>
        <w:rPr>
          <w:spacing w:val="-20"/>
        </w:rPr>
        <w:t xml:space="preserve"> </w:t>
      </w:r>
      <w:r>
        <w:t>consumption</w:t>
      </w:r>
      <w:r>
        <w:rPr>
          <w:spacing w:val="-12"/>
        </w:rPr>
        <w:t xml:space="preserve"> </w:t>
      </w:r>
      <w:r>
        <w:t>reductions</w:t>
      </w:r>
      <w:r>
        <w:rPr>
          <w:spacing w:val="-14"/>
        </w:rPr>
        <w:t xml:space="preserve"> </w:t>
      </w:r>
      <w:r>
        <w:t>in</w:t>
      </w:r>
      <w:r>
        <w:rPr>
          <w:spacing w:val="-14"/>
        </w:rPr>
        <w:t xml:space="preserve"> </w:t>
      </w:r>
      <w:r>
        <w:t>public</w:t>
      </w:r>
      <w:r>
        <w:rPr>
          <w:spacing w:val="-16"/>
        </w:rPr>
        <w:t xml:space="preserve"> </w:t>
      </w:r>
      <w:r>
        <w:t>sector</w:t>
      </w:r>
      <w:r>
        <w:rPr>
          <w:spacing w:val="-57"/>
        </w:rPr>
        <w:t xml:space="preserve"> </w:t>
      </w:r>
      <w:r>
        <w:rPr>
          <w:spacing w:val="-1"/>
          <w:position w:val="2"/>
        </w:rPr>
        <w:t>buildings</w:t>
      </w:r>
      <w:r>
        <w:rPr>
          <w:spacing w:val="-15"/>
          <w:position w:val="2"/>
        </w:rPr>
        <w:t xml:space="preserve"> </w:t>
      </w:r>
      <w:r>
        <w:rPr>
          <w:position w:val="2"/>
        </w:rPr>
        <w:t>and</w:t>
      </w:r>
      <w:r>
        <w:rPr>
          <w:spacing w:val="-15"/>
          <w:position w:val="2"/>
        </w:rPr>
        <w:t xml:space="preserve"> </w:t>
      </w:r>
      <w:r>
        <w:rPr>
          <w:position w:val="2"/>
        </w:rPr>
        <w:t>increasing</w:t>
      </w:r>
      <w:r>
        <w:rPr>
          <w:spacing w:val="-16"/>
          <w:position w:val="2"/>
        </w:rPr>
        <w:t xml:space="preserve"> </w:t>
      </w:r>
      <w:r>
        <w:rPr>
          <w:position w:val="2"/>
        </w:rPr>
        <w:t>the</w:t>
      </w:r>
      <w:r>
        <w:rPr>
          <w:spacing w:val="-16"/>
          <w:position w:val="2"/>
        </w:rPr>
        <w:t xml:space="preserve"> </w:t>
      </w:r>
      <w:r>
        <w:rPr>
          <w:position w:val="2"/>
        </w:rPr>
        <w:t>use</w:t>
      </w:r>
      <w:r>
        <w:rPr>
          <w:spacing w:val="-15"/>
          <w:position w:val="2"/>
        </w:rPr>
        <w:t xml:space="preserve"> </w:t>
      </w:r>
      <w:r>
        <w:rPr>
          <w:position w:val="2"/>
        </w:rPr>
        <w:t>of</w:t>
      </w:r>
      <w:r>
        <w:rPr>
          <w:spacing w:val="-13"/>
          <w:position w:val="2"/>
        </w:rPr>
        <w:t xml:space="preserve"> </w:t>
      </w:r>
      <w:r>
        <w:rPr>
          <w:position w:val="2"/>
        </w:rPr>
        <w:t>energy</w:t>
      </w:r>
      <w:r>
        <w:rPr>
          <w:spacing w:val="-19"/>
          <w:position w:val="2"/>
        </w:rPr>
        <w:t xml:space="preserve"> </w:t>
      </w:r>
      <w:r>
        <w:rPr>
          <w:position w:val="2"/>
        </w:rPr>
        <w:t>from</w:t>
      </w:r>
      <w:r>
        <w:rPr>
          <w:spacing w:val="-15"/>
          <w:position w:val="2"/>
        </w:rPr>
        <w:t xml:space="preserve"> </w:t>
      </w:r>
      <w:r>
        <w:rPr>
          <w:position w:val="2"/>
        </w:rPr>
        <w:t>renewable</w:t>
      </w:r>
      <w:r>
        <w:rPr>
          <w:spacing w:val="-15"/>
          <w:position w:val="2"/>
        </w:rPr>
        <w:t xml:space="preserve"> </w:t>
      </w:r>
      <w:r>
        <w:rPr>
          <w:position w:val="2"/>
        </w:rPr>
        <w:t>sources</w:t>
      </w:r>
      <w:r>
        <w:rPr>
          <w:spacing w:val="-11"/>
          <w:position w:val="2"/>
        </w:rPr>
        <w:t xml:space="preserve"> </w:t>
      </w:r>
      <w:r>
        <w:rPr>
          <w:position w:val="2"/>
        </w:rPr>
        <w:t>and</w:t>
      </w:r>
      <w:r>
        <w:rPr>
          <w:spacing w:val="-15"/>
          <w:position w:val="2"/>
        </w:rPr>
        <w:t xml:space="preserve"> </w:t>
      </w:r>
      <w:r>
        <w:rPr>
          <w:position w:val="2"/>
        </w:rPr>
        <w:t>reducing</w:t>
      </w:r>
      <w:r>
        <w:rPr>
          <w:spacing w:val="-10"/>
          <w:position w:val="2"/>
        </w:rPr>
        <w:t xml:space="preserve"> </w:t>
      </w:r>
      <w:r>
        <w:rPr>
          <w:position w:val="2"/>
        </w:rPr>
        <w:t>CO</w:t>
      </w:r>
      <w:r>
        <w:rPr>
          <w:sz w:val="16"/>
        </w:rPr>
        <w:t>2</w:t>
      </w:r>
      <w:r>
        <w:rPr>
          <w:spacing w:val="6"/>
          <w:sz w:val="16"/>
        </w:rPr>
        <w:t xml:space="preserve"> </w:t>
      </w:r>
      <w:r>
        <w:rPr>
          <w:position w:val="2"/>
        </w:rPr>
        <w:t>emissions.</w:t>
      </w:r>
    </w:p>
    <w:p w:rsidR="00A56FE9" w:rsidRDefault="00A56FE9">
      <w:pPr>
        <w:sectPr w:rsidR="00A56FE9" w:rsidSect="00AB1E70">
          <w:pgSz w:w="11910" w:h="16840"/>
          <w:pgMar w:top="1340" w:right="1140" w:bottom="960" w:left="1280" w:header="0" w:footer="779" w:gutter="0"/>
          <w:cols w:space="720"/>
        </w:sectPr>
      </w:pPr>
    </w:p>
    <w:p w:rsidR="00A56FE9" w:rsidRDefault="00000000">
      <w:pPr>
        <w:pStyle w:val="Tijeloteksta"/>
        <w:spacing w:before="74"/>
        <w:ind w:right="269"/>
      </w:pPr>
      <w:r>
        <w:t>The goal is to implement the signed contracts valued at EUR 66.36 million for the energy</w:t>
      </w:r>
      <w:r>
        <w:rPr>
          <w:spacing w:val="1"/>
        </w:rPr>
        <w:t xml:space="preserve"> </w:t>
      </w:r>
      <w:r>
        <w:t>renovation of public buildings and multi-residential buildings by the end of 2022. This entails</w:t>
      </w:r>
      <w:r>
        <w:rPr>
          <w:spacing w:val="1"/>
        </w:rPr>
        <w:t xml:space="preserve"> </w:t>
      </w:r>
      <w:r>
        <w:t>announcing a public call for energy renovation of multi-residential buildings with an allocated</w:t>
      </w:r>
      <w:r>
        <w:rPr>
          <w:spacing w:val="-57"/>
        </w:rPr>
        <w:t xml:space="preserve"> </w:t>
      </w:r>
      <w:r>
        <w:t>HRK</w:t>
      </w:r>
      <w:r>
        <w:rPr>
          <w:spacing w:val="-9"/>
        </w:rPr>
        <w:t xml:space="preserve"> </w:t>
      </w:r>
      <w:r>
        <w:t>300</w:t>
      </w:r>
      <w:r>
        <w:rPr>
          <w:spacing w:val="-9"/>
        </w:rPr>
        <w:t xml:space="preserve"> </w:t>
      </w:r>
      <w:r>
        <w:t>million</w:t>
      </w:r>
      <w:r>
        <w:rPr>
          <w:spacing w:val="-7"/>
        </w:rPr>
        <w:t xml:space="preserve"> </w:t>
      </w:r>
      <w:r>
        <w:t>and</w:t>
      </w:r>
      <w:r>
        <w:rPr>
          <w:spacing w:val="-9"/>
        </w:rPr>
        <w:t xml:space="preserve"> </w:t>
      </w:r>
      <w:r>
        <w:t>a</w:t>
      </w:r>
      <w:r>
        <w:rPr>
          <w:spacing w:val="-9"/>
        </w:rPr>
        <w:t xml:space="preserve"> </w:t>
      </w:r>
      <w:r>
        <w:t>direct</w:t>
      </w:r>
      <w:r>
        <w:rPr>
          <w:spacing w:val="-8"/>
        </w:rPr>
        <w:t xml:space="preserve"> </w:t>
      </w:r>
      <w:r>
        <w:t>allocation</w:t>
      </w:r>
      <w:r>
        <w:rPr>
          <w:spacing w:val="-8"/>
        </w:rPr>
        <w:t xml:space="preserve"> </w:t>
      </w:r>
      <w:r>
        <w:t>of</w:t>
      </w:r>
      <w:r>
        <w:rPr>
          <w:spacing w:val="-7"/>
        </w:rPr>
        <w:t xml:space="preserve"> </w:t>
      </w:r>
      <w:r>
        <w:t>HRK</w:t>
      </w:r>
      <w:r>
        <w:rPr>
          <w:spacing w:val="-8"/>
        </w:rPr>
        <w:t xml:space="preserve"> </w:t>
      </w:r>
      <w:r>
        <w:t>250</w:t>
      </w:r>
      <w:r>
        <w:rPr>
          <w:spacing w:val="-9"/>
        </w:rPr>
        <w:t xml:space="preserve"> </w:t>
      </w:r>
      <w:r>
        <w:t>million</w:t>
      </w:r>
      <w:r>
        <w:rPr>
          <w:spacing w:val="-6"/>
        </w:rPr>
        <w:t xml:space="preserve"> </w:t>
      </w:r>
      <w:r>
        <w:t>to</w:t>
      </w:r>
      <w:r>
        <w:rPr>
          <w:spacing w:val="-7"/>
        </w:rPr>
        <w:t xml:space="preserve"> </w:t>
      </w:r>
      <w:r>
        <w:t>the</w:t>
      </w:r>
      <w:r>
        <w:rPr>
          <w:spacing w:val="-9"/>
        </w:rPr>
        <w:t xml:space="preserve"> </w:t>
      </w:r>
      <w:r>
        <w:t>Croatia</w:t>
      </w:r>
      <w:r>
        <w:rPr>
          <w:spacing w:val="-11"/>
        </w:rPr>
        <w:t xml:space="preserve"> </w:t>
      </w:r>
      <w:r>
        <w:t>Real</w:t>
      </w:r>
      <w:r>
        <w:rPr>
          <w:spacing w:val="-8"/>
        </w:rPr>
        <w:t xml:space="preserve"> </w:t>
      </w:r>
      <w:r>
        <w:t>Estate</w:t>
      </w:r>
      <w:r>
        <w:rPr>
          <w:spacing w:val="-9"/>
        </w:rPr>
        <w:t xml:space="preserve"> </w:t>
      </w:r>
      <w:r>
        <w:t>Agency</w:t>
      </w:r>
      <w:r>
        <w:rPr>
          <w:spacing w:val="-58"/>
        </w:rPr>
        <w:t xml:space="preserve"> </w:t>
      </w:r>
      <w:r>
        <w:t>(APN) and HRK 150 million to the Central State Office for Reconstruction and Housing Care</w:t>
      </w:r>
      <w:r>
        <w:rPr>
          <w:spacing w:val="1"/>
        </w:rPr>
        <w:t xml:space="preserve"> </w:t>
      </w:r>
      <w:r>
        <w:t>(SCORHC).</w:t>
      </w:r>
      <w:r>
        <w:rPr>
          <w:spacing w:val="-9"/>
        </w:rPr>
        <w:t xml:space="preserve"> </w:t>
      </w:r>
      <w:r>
        <w:t>The</w:t>
      </w:r>
      <w:r>
        <w:rPr>
          <w:spacing w:val="-9"/>
        </w:rPr>
        <w:t xml:space="preserve"> </w:t>
      </w:r>
      <w:r>
        <w:t>contracts</w:t>
      </w:r>
      <w:r>
        <w:rPr>
          <w:spacing w:val="-6"/>
        </w:rPr>
        <w:t xml:space="preserve"> </w:t>
      </w:r>
      <w:r>
        <w:t>set</w:t>
      </w:r>
      <w:r>
        <w:rPr>
          <w:spacing w:val="-8"/>
        </w:rPr>
        <w:t xml:space="preserve"> </w:t>
      </w:r>
      <w:r>
        <w:t>out</w:t>
      </w:r>
      <w:r>
        <w:rPr>
          <w:spacing w:val="-7"/>
        </w:rPr>
        <w:t xml:space="preserve"> </w:t>
      </w:r>
      <w:r>
        <w:t>the</w:t>
      </w:r>
      <w:r>
        <w:rPr>
          <w:spacing w:val="-8"/>
        </w:rPr>
        <w:t xml:space="preserve"> </w:t>
      </w:r>
      <w:r>
        <w:t>energy</w:t>
      </w:r>
      <w:r>
        <w:rPr>
          <w:spacing w:val="-13"/>
        </w:rPr>
        <w:t xml:space="preserve"> </w:t>
      </w:r>
      <w:r>
        <w:t>efficiency</w:t>
      </w:r>
      <w:r>
        <w:rPr>
          <w:spacing w:val="-12"/>
        </w:rPr>
        <w:t xml:space="preserve"> </w:t>
      </w:r>
      <w:r>
        <w:t>requirements</w:t>
      </w:r>
      <w:r>
        <w:rPr>
          <w:spacing w:val="-7"/>
        </w:rPr>
        <w:t xml:space="preserve"> </w:t>
      </w:r>
      <w:r>
        <w:t>for</w:t>
      </w:r>
      <w:r>
        <w:rPr>
          <w:spacing w:val="-10"/>
        </w:rPr>
        <w:t xml:space="preserve"> </w:t>
      </w:r>
      <w:r>
        <w:t>each</w:t>
      </w:r>
      <w:r>
        <w:rPr>
          <w:spacing w:val="-8"/>
        </w:rPr>
        <w:t xml:space="preserve"> </w:t>
      </w:r>
      <w:r>
        <w:t>building</w:t>
      </w:r>
      <w:r>
        <w:rPr>
          <w:spacing w:val="-10"/>
        </w:rPr>
        <w:t xml:space="preserve"> </w:t>
      </w:r>
      <w:r>
        <w:t>in</w:t>
      </w:r>
      <w:r>
        <w:rPr>
          <w:spacing w:val="-8"/>
        </w:rPr>
        <w:t xml:space="preserve"> </w:t>
      </w:r>
      <w:r>
        <w:t>terms</w:t>
      </w:r>
      <w:r>
        <w:rPr>
          <w:spacing w:val="-57"/>
        </w:rPr>
        <w:t xml:space="preserve"> </w:t>
      </w:r>
      <w:r>
        <w:t>of reducing energy consumption for heating by at least 50% compared to annual energy</w:t>
      </w:r>
      <w:r>
        <w:rPr>
          <w:spacing w:val="1"/>
        </w:rPr>
        <w:t xml:space="preserve"> </w:t>
      </w:r>
      <w:r>
        <w:t>consumption for heating before undertaking renovation and achieving a 30% increase in</w:t>
      </w:r>
      <w:r>
        <w:rPr>
          <w:spacing w:val="1"/>
        </w:rPr>
        <w:t xml:space="preserve"> </w:t>
      </w:r>
      <w:r>
        <w:t>primary energy savings across the entire component again prior to renovation while respecting</w:t>
      </w:r>
      <w:r>
        <w:rPr>
          <w:spacing w:val="-57"/>
        </w:rPr>
        <w:t xml:space="preserve"> </w:t>
      </w:r>
      <w:r>
        <w:t>the principle of non-significant harm as set out in Article 17 of Regulation (EU) 2020/852 on</w:t>
      </w:r>
      <w:r>
        <w:rPr>
          <w:spacing w:val="1"/>
        </w:rPr>
        <w:t xml:space="preserve"> </w:t>
      </w:r>
      <w:r>
        <w:t>the</w:t>
      </w:r>
      <w:r>
        <w:rPr>
          <w:spacing w:val="-2"/>
        </w:rPr>
        <w:t xml:space="preserve"> </w:t>
      </w:r>
      <w:r>
        <w:t>establishment of</w:t>
      </w:r>
      <w:r>
        <w:rPr>
          <w:spacing w:val="-1"/>
        </w:rPr>
        <w:t xml:space="preserve"> </w:t>
      </w:r>
      <w:r>
        <w:t>a</w:t>
      </w:r>
      <w:r>
        <w:rPr>
          <w:spacing w:val="-1"/>
        </w:rPr>
        <w:t xml:space="preserve"> </w:t>
      </w:r>
      <w:r>
        <w:t>framework to facilitate sustainable investment.</w:t>
      </w:r>
    </w:p>
    <w:p w:rsidR="00A56FE9" w:rsidRDefault="00A56FE9">
      <w:pPr>
        <w:pStyle w:val="Tijeloteksta"/>
        <w:spacing w:before="10"/>
        <w:ind w:left="0"/>
        <w:jc w:val="left"/>
        <w:rPr>
          <w:sz w:val="31"/>
        </w:rPr>
      </w:pPr>
    </w:p>
    <w:p w:rsidR="00A56FE9" w:rsidRDefault="00CC1B9B">
      <w:pPr>
        <w:pStyle w:val="Naslov4"/>
        <w:ind w:right="277"/>
      </w:pPr>
      <w:r>
        <w:rPr>
          <w:noProof/>
        </w:rPr>
        <mc:AlternateContent>
          <mc:Choice Requires="wps">
            <w:drawing>
              <wp:anchor distT="0" distB="0" distL="114300" distR="114300" simplePos="0" relativeHeight="15818752" behindDoc="0" locked="0" layoutInCell="1" allowOverlap="1">
                <wp:simplePos x="0" y="0"/>
                <wp:positionH relativeFrom="page">
                  <wp:posOffset>814070</wp:posOffset>
                </wp:positionH>
                <wp:positionV relativeFrom="paragraph">
                  <wp:posOffset>0</wp:posOffset>
                </wp:positionV>
                <wp:extent cx="18415" cy="532765"/>
                <wp:effectExtent l="0" t="0" r="0" b="0"/>
                <wp:wrapNone/>
                <wp:docPr id="1548198712" name="Freeform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532765"/>
                        </a:xfrm>
                        <a:custGeom>
                          <a:avLst/>
                          <a:gdLst>
                            <a:gd name="T0" fmla="+- 0 1311 1282"/>
                            <a:gd name="T1" fmla="*/ T0 w 29"/>
                            <a:gd name="T2" fmla="*/ 0 h 839"/>
                            <a:gd name="T3" fmla="+- 0 1282 1282"/>
                            <a:gd name="T4" fmla="*/ T3 w 29"/>
                            <a:gd name="T5" fmla="*/ 0 h 839"/>
                            <a:gd name="T6" fmla="+- 0 1282 1282"/>
                            <a:gd name="T7" fmla="*/ T6 w 29"/>
                            <a:gd name="T8" fmla="*/ 298 h 839"/>
                            <a:gd name="T9" fmla="+- 0 1282 1282"/>
                            <a:gd name="T10" fmla="*/ T9 w 29"/>
                            <a:gd name="T11" fmla="*/ 838 h 839"/>
                            <a:gd name="T12" fmla="+- 0 1311 1282"/>
                            <a:gd name="T13" fmla="*/ T12 w 29"/>
                            <a:gd name="T14" fmla="*/ 838 h 839"/>
                            <a:gd name="T15" fmla="+- 0 1311 1282"/>
                            <a:gd name="T16" fmla="*/ T15 w 29"/>
                            <a:gd name="T17" fmla="*/ 298 h 839"/>
                            <a:gd name="T18" fmla="+- 0 1311 1282"/>
                            <a:gd name="T19" fmla="*/ T18 w 29"/>
                            <a:gd name="T20" fmla="*/ 0 h 839"/>
                          </a:gdLst>
                          <a:ahLst/>
                          <a:cxnLst>
                            <a:cxn ang="0">
                              <a:pos x="T1" y="T2"/>
                            </a:cxn>
                            <a:cxn ang="0">
                              <a:pos x="T4" y="T5"/>
                            </a:cxn>
                            <a:cxn ang="0">
                              <a:pos x="T7" y="T8"/>
                            </a:cxn>
                            <a:cxn ang="0">
                              <a:pos x="T10" y="T11"/>
                            </a:cxn>
                            <a:cxn ang="0">
                              <a:pos x="T13" y="T14"/>
                            </a:cxn>
                            <a:cxn ang="0">
                              <a:pos x="T16" y="T17"/>
                            </a:cxn>
                            <a:cxn ang="0">
                              <a:pos x="T19" y="T20"/>
                            </a:cxn>
                          </a:cxnLst>
                          <a:rect l="0" t="0" r="r" b="b"/>
                          <a:pathLst>
                            <a:path w="29" h="839">
                              <a:moveTo>
                                <a:pt x="29" y="0"/>
                              </a:moveTo>
                              <a:lnTo>
                                <a:pt x="0" y="0"/>
                              </a:lnTo>
                              <a:lnTo>
                                <a:pt x="0" y="298"/>
                              </a:lnTo>
                              <a:lnTo>
                                <a:pt x="0" y="838"/>
                              </a:lnTo>
                              <a:lnTo>
                                <a:pt x="29" y="838"/>
                              </a:lnTo>
                              <a:lnTo>
                                <a:pt x="29" y="29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F26A04" id="Freeform 73" o:spid="_x0000_s1026" style="position:absolute;margin-left:64.1pt;margin-top:0;width:1.45pt;height:41.95pt;z-index:1581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" path="m29,l,,,298,,838r29,l29,298,29,xe" fillcolor="#da1f2c" stroked="f">
                <v:path arrowok="t" o:connecttype="custom" o:connectlocs="18415,0;0,0;0,189230;0,532130;18415,532130;18415,189230;18415,0" o:connectangles="0,0,0,0,0,0,0"/>
                <w10:wrap anchorx="page"/>
              </v:shape>
            </w:pict>
          </mc:Fallback>
        </mc:AlternateContent>
      </w:r>
      <w:r w:rsidR="00000000">
        <w:rPr>
          <w:color w:val="2C398A"/>
        </w:rPr>
        <w:t>Developing a framework for ensuring adequate skills in the context of green jobs</w:t>
      </w:r>
      <w:r w:rsidR="00000000">
        <w:rPr>
          <w:color w:val="2C398A"/>
          <w:spacing w:val="1"/>
        </w:rPr>
        <w:t xml:space="preserve"> </w:t>
      </w:r>
      <w:r w:rsidR="00000000">
        <w:rPr>
          <w:color w:val="2C398A"/>
        </w:rPr>
        <w:t>needed</w:t>
      </w:r>
      <w:r w:rsidR="00000000">
        <w:rPr>
          <w:color w:val="2C398A"/>
          <w:spacing w:val="-2"/>
        </w:rPr>
        <w:t xml:space="preserve"> </w:t>
      </w:r>
      <w:r w:rsidR="00000000">
        <w:rPr>
          <w:color w:val="2C398A"/>
        </w:rPr>
        <w:t>for</w:t>
      </w:r>
      <w:r w:rsidR="00000000">
        <w:rPr>
          <w:color w:val="2C398A"/>
          <w:spacing w:val="2"/>
        </w:rPr>
        <w:t xml:space="preserve"> </w:t>
      </w:r>
      <w:r w:rsidR="00000000">
        <w:rPr>
          <w:color w:val="2C398A"/>
        </w:rPr>
        <w:t>post-earthquake</w:t>
      </w:r>
      <w:r w:rsidR="00000000">
        <w:rPr>
          <w:color w:val="2C398A"/>
          <w:spacing w:val="-1"/>
        </w:rPr>
        <w:t xml:space="preserve"> </w:t>
      </w:r>
      <w:r w:rsidR="00000000">
        <w:rPr>
          <w:color w:val="2C398A"/>
        </w:rPr>
        <w:t>reconstruction</w:t>
      </w:r>
    </w:p>
    <w:p w:rsidR="00A56FE9" w:rsidRDefault="00000000">
      <w:pPr>
        <w:spacing w:before="234"/>
        <w:ind w:left="138"/>
        <w:jc w:val="both"/>
        <w:rPr>
          <w:i/>
          <w:sz w:val="24"/>
        </w:rPr>
      </w:pPr>
      <w:r>
        <w:rPr>
          <w:i/>
          <w:color w:val="2C398A"/>
          <w:sz w:val="24"/>
        </w:rPr>
        <w:t>2020.CSR2.3.</w:t>
      </w:r>
      <w:r>
        <w:rPr>
          <w:i/>
          <w:color w:val="2C398A"/>
          <w:spacing w:val="-2"/>
          <w:sz w:val="24"/>
        </w:rPr>
        <w:t xml:space="preserve"> </w:t>
      </w:r>
      <w:r>
        <w:rPr>
          <w:i/>
          <w:color w:val="2C398A"/>
          <w:sz w:val="24"/>
        </w:rPr>
        <w:t>Promote</w:t>
      </w:r>
      <w:r>
        <w:rPr>
          <w:i/>
          <w:color w:val="2C398A"/>
          <w:spacing w:val="-1"/>
          <w:sz w:val="24"/>
        </w:rPr>
        <w:t xml:space="preserve"> </w:t>
      </w:r>
      <w:r>
        <w:rPr>
          <w:i/>
          <w:color w:val="2C398A"/>
          <w:sz w:val="24"/>
        </w:rPr>
        <w:t>the</w:t>
      </w:r>
      <w:r>
        <w:rPr>
          <w:i/>
          <w:color w:val="2C398A"/>
          <w:spacing w:val="-1"/>
          <w:sz w:val="24"/>
        </w:rPr>
        <w:t xml:space="preserve"> </w:t>
      </w:r>
      <w:r>
        <w:rPr>
          <w:i/>
          <w:color w:val="2C398A"/>
          <w:sz w:val="24"/>
        </w:rPr>
        <w:t>acquisition of</w:t>
      </w:r>
      <w:r>
        <w:rPr>
          <w:i/>
          <w:color w:val="2C398A"/>
          <w:spacing w:val="-1"/>
          <w:sz w:val="24"/>
        </w:rPr>
        <w:t xml:space="preserve"> </w:t>
      </w:r>
      <w:r>
        <w:rPr>
          <w:i/>
          <w:color w:val="2C398A"/>
          <w:sz w:val="24"/>
        </w:rPr>
        <w:t>skills</w:t>
      </w:r>
    </w:p>
    <w:p w:rsidR="00A56FE9" w:rsidRDefault="00A56FE9">
      <w:pPr>
        <w:pStyle w:val="Tijeloteksta"/>
        <w:spacing w:before="4"/>
        <w:ind w:left="0"/>
        <w:jc w:val="left"/>
        <w:rPr>
          <w:i/>
          <w:sz w:val="21"/>
        </w:rPr>
      </w:pPr>
    </w:p>
    <w:p w:rsidR="00A56FE9" w:rsidRDefault="00000000">
      <w:pPr>
        <w:pStyle w:val="Naslov5"/>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338262562"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1183505301" name="Rectangle 72"/>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0A4B40C" id="Group 71"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">
                <v:rect id="Rectangle 72"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" fillcolor="#2c398a" stroked="f"/>
                <w10:anchorlock/>
              </v:group>
            </w:pict>
          </mc:Fallback>
        </mc:AlternateContent>
      </w:r>
    </w:p>
    <w:p w:rsidR="00A56FE9" w:rsidRDefault="00000000">
      <w:pPr>
        <w:spacing w:before="154" w:line="242" w:lineRule="auto"/>
        <w:ind w:left="138" w:right="273"/>
        <w:jc w:val="both"/>
        <w:rPr>
          <w:b/>
          <w:sz w:val="24"/>
        </w:rPr>
      </w:pPr>
      <w:r>
        <w:rPr>
          <w:spacing w:val="-1"/>
          <w:sz w:val="24"/>
        </w:rPr>
        <w:t>As</w:t>
      </w:r>
      <w:r>
        <w:rPr>
          <w:spacing w:val="-10"/>
          <w:sz w:val="24"/>
        </w:rPr>
        <w:t xml:space="preserve"> </w:t>
      </w:r>
      <w:r>
        <w:rPr>
          <w:spacing w:val="-1"/>
          <w:sz w:val="24"/>
        </w:rPr>
        <w:t>part</w:t>
      </w:r>
      <w:r>
        <w:rPr>
          <w:spacing w:val="-10"/>
          <w:sz w:val="24"/>
        </w:rPr>
        <w:t xml:space="preserve"> </w:t>
      </w:r>
      <w:r>
        <w:rPr>
          <w:spacing w:val="-1"/>
          <w:sz w:val="24"/>
        </w:rPr>
        <w:t>of</w:t>
      </w:r>
      <w:r>
        <w:rPr>
          <w:spacing w:val="-11"/>
          <w:sz w:val="24"/>
        </w:rPr>
        <w:t xml:space="preserve"> </w:t>
      </w:r>
      <w:r>
        <w:rPr>
          <w:spacing w:val="-1"/>
          <w:sz w:val="24"/>
        </w:rPr>
        <w:t>NRRP</w:t>
      </w:r>
      <w:r>
        <w:rPr>
          <w:spacing w:val="-9"/>
          <w:sz w:val="24"/>
        </w:rPr>
        <w:t xml:space="preserve"> </w:t>
      </w:r>
      <w:r>
        <w:rPr>
          <w:sz w:val="24"/>
        </w:rPr>
        <w:t>reform</w:t>
      </w:r>
      <w:r>
        <w:rPr>
          <w:spacing w:val="-7"/>
          <w:sz w:val="24"/>
        </w:rPr>
        <w:t xml:space="preserve"> </w:t>
      </w:r>
      <w:r>
        <w:rPr>
          <w:sz w:val="24"/>
        </w:rPr>
        <w:t>C6.1.</w:t>
      </w:r>
      <w:r>
        <w:rPr>
          <w:spacing w:val="-9"/>
          <w:sz w:val="24"/>
        </w:rPr>
        <w:t xml:space="preserve"> </w:t>
      </w:r>
      <w:r>
        <w:rPr>
          <w:sz w:val="24"/>
        </w:rPr>
        <w:t>R2,</w:t>
      </w:r>
      <w:r>
        <w:rPr>
          <w:spacing w:val="-10"/>
          <w:sz w:val="24"/>
        </w:rPr>
        <w:t xml:space="preserve"> </w:t>
      </w:r>
      <w:r>
        <w:rPr>
          <w:sz w:val="24"/>
        </w:rPr>
        <w:t>the</w:t>
      </w:r>
      <w:r>
        <w:rPr>
          <w:spacing w:val="-11"/>
          <w:sz w:val="24"/>
        </w:rPr>
        <w:t xml:space="preserve"> </w:t>
      </w:r>
      <w:r>
        <w:rPr>
          <w:sz w:val="24"/>
        </w:rPr>
        <w:t>plan</w:t>
      </w:r>
      <w:r>
        <w:rPr>
          <w:spacing w:val="-11"/>
          <w:sz w:val="24"/>
        </w:rPr>
        <w:t xml:space="preserve"> </w:t>
      </w:r>
      <w:r>
        <w:rPr>
          <w:sz w:val="24"/>
        </w:rPr>
        <w:t>by</w:t>
      </w:r>
      <w:r>
        <w:rPr>
          <w:spacing w:val="-15"/>
          <w:sz w:val="24"/>
        </w:rPr>
        <w:t xml:space="preserve"> </w:t>
      </w:r>
      <w:r>
        <w:rPr>
          <w:sz w:val="24"/>
        </w:rPr>
        <w:t>the</w:t>
      </w:r>
      <w:r>
        <w:rPr>
          <w:spacing w:val="-8"/>
          <w:sz w:val="24"/>
        </w:rPr>
        <w:t xml:space="preserve"> </w:t>
      </w:r>
      <w:r>
        <w:rPr>
          <w:sz w:val="24"/>
        </w:rPr>
        <w:t>end</w:t>
      </w:r>
      <w:r>
        <w:rPr>
          <w:spacing w:val="-9"/>
          <w:sz w:val="24"/>
        </w:rPr>
        <w:t xml:space="preserve"> </w:t>
      </w:r>
      <w:r>
        <w:rPr>
          <w:sz w:val="24"/>
        </w:rPr>
        <w:t>of</w:t>
      </w:r>
      <w:r>
        <w:rPr>
          <w:spacing w:val="-10"/>
          <w:sz w:val="24"/>
        </w:rPr>
        <w:t xml:space="preserve"> </w:t>
      </w:r>
      <w:r>
        <w:rPr>
          <w:sz w:val="24"/>
        </w:rPr>
        <w:t>2022</w:t>
      </w:r>
      <w:r>
        <w:rPr>
          <w:spacing w:val="-10"/>
          <w:sz w:val="24"/>
        </w:rPr>
        <w:t xml:space="preserve"> </w:t>
      </w:r>
      <w:r>
        <w:rPr>
          <w:sz w:val="24"/>
        </w:rPr>
        <w:t>is</w:t>
      </w:r>
      <w:r>
        <w:rPr>
          <w:spacing w:val="-9"/>
          <w:sz w:val="24"/>
        </w:rPr>
        <w:t xml:space="preserve"> </w:t>
      </w:r>
      <w:r>
        <w:rPr>
          <w:sz w:val="24"/>
        </w:rPr>
        <w:t>to</w:t>
      </w:r>
      <w:r>
        <w:rPr>
          <w:spacing w:val="-10"/>
          <w:sz w:val="24"/>
        </w:rPr>
        <w:t xml:space="preserve"> </w:t>
      </w:r>
      <w:r>
        <w:rPr>
          <w:b/>
          <w:sz w:val="24"/>
        </w:rPr>
        <w:t>publish</w:t>
      </w:r>
      <w:r>
        <w:rPr>
          <w:b/>
          <w:spacing w:val="-10"/>
          <w:sz w:val="24"/>
        </w:rPr>
        <w:t xml:space="preserve"> </w:t>
      </w:r>
      <w:r>
        <w:rPr>
          <w:b/>
          <w:sz w:val="24"/>
        </w:rPr>
        <w:t>the</w:t>
      </w:r>
      <w:r>
        <w:rPr>
          <w:b/>
          <w:spacing w:val="-11"/>
          <w:sz w:val="24"/>
        </w:rPr>
        <w:t xml:space="preserve"> </w:t>
      </w:r>
      <w:r>
        <w:rPr>
          <w:b/>
          <w:sz w:val="24"/>
        </w:rPr>
        <w:t>National</w:t>
      </w:r>
      <w:r>
        <w:rPr>
          <w:b/>
          <w:spacing w:val="-10"/>
          <w:sz w:val="24"/>
        </w:rPr>
        <w:t xml:space="preserve"> </w:t>
      </w:r>
      <w:r>
        <w:rPr>
          <w:b/>
          <w:sz w:val="24"/>
        </w:rPr>
        <w:t>Skills</w:t>
      </w:r>
      <w:r>
        <w:rPr>
          <w:b/>
          <w:spacing w:val="-58"/>
          <w:sz w:val="24"/>
        </w:rPr>
        <w:t xml:space="preserve"> </w:t>
      </w:r>
      <w:r>
        <w:rPr>
          <w:b/>
          <w:sz w:val="24"/>
        </w:rPr>
        <w:t>Development</w:t>
      </w:r>
      <w:r>
        <w:rPr>
          <w:b/>
          <w:spacing w:val="1"/>
          <w:sz w:val="24"/>
        </w:rPr>
        <w:t xml:space="preserve"> </w:t>
      </w:r>
      <w:r>
        <w:rPr>
          <w:b/>
          <w:sz w:val="24"/>
        </w:rPr>
        <w:t>Plan</w:t>
      </w:r>
      <w:r>
        <w:rPr>
          <w:b/>
          <w:spacing w:val="1"/>
          <w:sz w:val="24"/>
        </w:rPr>
        <w:t xml:space="preserve"> </w:t>
      </w:r>
      <w:r>
        <w:rPr>
          <w:b/>
          <w:sz w:val="24"/>
        </w:rPr>
        <w:t>for</w:t>
      </w:r>
      <w:r>
        <w:rPr>
          <w:b/>
          <w:spacing w:val="1"/>
          <w:sz w:val="24"/>
        </w:rPr>
        <w:t xml:space="preserve"> </w:t>
      </w:r>
      <w:r>
        <w:rPr>
          <w:b/>
          <w:sz w:val="24"/>
        </w:rPr>
        <w:t>green</w:t>
      </w:r>
      <w:r>
        <w:rPr>
          <w:b/>
          <w:spacing w:val="1"/>
          <w:sz w:val="24"/>
        </w:rPr>
        <w:t xml:space="preserve"> </w:t>
      </w:r>
      <w:r>
        <w:rPr>
          <w:b/>
          <w:sz w:val="24"/>
        </w:rPr>
        <w:t>jobs</w:t>
      </w:r>
      <w:r>
        <w:rPr>
          <w:b/>
          <w:spacing w:val="1"/>
          <w:sz w:val="24"/>
        </w:rPr>
        <w:t xml:space="preserve"> </w:t>
      </w:r>
      <w:r>
        <w:rPr>
          <w:b/>
          <w:sz w:val="24"/>
        </w:rPr>
        <w:t>related</w:t>
      </w:r>
      <w:r>
        <w:rPr>
          <w:b/>
          <w:spacing w:val="1"/>
          <w:sz w:val="24"/>
        </w:rPr>
        <w:t xml:space="preserve"> </w:t>
      </w:r>
      <w:r>
        <w:rPr>
          <w:b/>
          <w:sz w:val="24"/>
        </w:rPr>
        <w:t>to</w:t>
      </w:r>
      <w:r>
        <w:rPr>
          <w:b/>
          <w:spacing w:val="1"/>
          <w:sz w:val="24"/>
        </w:rPr>
        <w:t xml:space="preserve"> </w:t>
      </w:r>
      <w:r>
        <w:rPr>
          <w:b/>
          <w:sz w:val="24"/>
        </w:rPr>
        <w:t>energy</w:t>
      </w:r>
      <w:r>
        <w:rPr>
          <w:b/>
          <w:spacing w:val="1"/>
          <w:sz w:val="24"/>
        </w:rPr>
        <w:t xml:space="preserve"> </w:t>
      </w:r>
      <w:r>
        <w:rPr>
          <w:b/>
          <w:sz w:val="24"/>
        </w:rPr>
        <w:t>efficiency</w:t>
      </w:r>
      <w:r>
        <w:rPr>
          <w:b/>
          <w:spacing w:val="1"/>
          <w:sz w:val="24"/>
        </w:rPr>
        <w:t xml:space="preserve"> </w:t>
      </w:r>
      <w:r>
        <w:rPr>
          <w:b/>
          <w:sz w:val="24"/>
        </w:rPr>
        <w:t>and</w:t>
      </w:r>
      <w:r>
        <w:rPr>
          <w:b/>
          <w:spacing w:val="1"/>
          <w:sz w:val="24"/>
        </w:rPr>
        <w:t xml:space="preserve"> </w:t>
      </w:r>
      <w:r>
        <w:rPr>
          <w:b/>
          <w:sz w:val="24"/>
        </w:rPr>
        <w:t>post-earthquake</w:t>
      </w:r>
      <w:r>
        <w:rPr>
          <w:b/>
          <w:spacing w:val="1"/>
          <w:sz w:val="24"/>
        </w:rPr>
        <w:t xml:space="preserve"> </w:t>
      </w:r>
      <w:r>
        <w:rPr>
          <w:b/>
          <w:sz w:val="24"/>
        </w:rPr>
        <w:t>reconstruction.</w:t>
      </w:r>
    </w:p>
    <w:p w:rsidR="00A56FE9" w:rsidRDefault="00000000">
      <w:pPr>
        <w:pStyle w:val="Tijeloteksta"/>
        <w:spacing w:before="112"/>
        <w:ind w:right="272"/>
      </w:pPr>
      <w:r>
        <w:t>The aim is to improve green skills in terms of energy recovery, earthquake recovery, green</w:t>
      </w:r>
      <w:r>
        <w:rPr>
          <w:spacing w:val="1"/>
        </w:rPr>
        <w:t xml:space="preserve"> </w:t>
      </w:r>
      <w:r>
        <w:t>infrastructure,</w:t>
      </w:r>
      <w:r>
        <w:rPr>
          <w:spacing w:val="-9"/>
        </w:rPr>
        <w:t xml:space="preserve"> </w:t>
      </w:r>
      <w:r>
        <w:t>implementation</w:t>
      </w:r>
      <w:r>
        <w:rPr>
          <w:spacing w:val="-9"/>
        </w:rPr>
        <w:t xml:space="preserve"> </w:t>
      </w:r>
      <w:r>
        <w:t>of</w:t>
      </w:r>
      <w:r>
        <w:rPr>
          <w:spacing w:val="-9"/>
        </w:rPr>
        <w:t xml:space="preserve"> </w:t>
      </w:r>
      <w:r>
        <w:t>nature-based</w:t>
      </w:r>
      <w:r>
        <w:rPr>
          <w:spacing w:val="-9"/>
        </w:rPr>
        <w:t xml:space="preserve"> </w:t>
      </w:r>
      <w:r>
        <w:t>solutions</w:t>
      </w:r>
      <w:r>
        <w:rPr>
          <w:spacing w:val="-7"/>
        </w:rPr>
        <w:t xml:space="preserve"> </w:t>
      </w:r>
      <w:r>
        <w:t>and</w:t>
      </w:r>
      <w:r>
        <w:rPr>
          <w:spacing w:val="-9"/>
        </w:rPr>
        <w:t xml:space="preserve"> </w:t>
      </w:r>
      <w:r>
        <w:t>circular</w:t>
      </w:r>
      <w:r>
        <w:rPr>
          <w:spacing w:val="-9"/>
        </w:rPr>
        <w:t xml:space="preserve"> </w:t>
      </w:r>
      <w:r>
        <w:t>management</w:t>
      </w:r>
      <w:r>
        <w:rPr>
          <w:spacing w:val="-8"/>
        </w:rPr>
        <w:t xml:space="preserve"> </w:t>
      </w:r>
      <w:r>
        <w:t>of</w:t>
      </w:r>
      <w:r>
        <w:rPr>
          <w:spacing w:val="-8"/>
        </w:rPr>
        <w:t xml:space="preserve"> </w:t>
      </w:r>
      <w:r>
        <w:t>space</w:t>
      </w:r>
      <w:r>
        <w:rPr>
          <w:spacing w:val="-7"/>
        </w:rPr>
        <w:t xml:space="preserve"> </w:t>
      </w:r>
      <w:r>
        <w:t>and</w:t>
      </w:r>
      <w:r>
        <w:rPr>
          <w:spacing w:val="-58"/>
        </w:rPr>
        <w:t xml:space="preserve"> </w:t>
      </w:r>
      <w:r>
        <w:t>buildings,</w:t>
      </w:r>
      <w:r>
        <w:rPr>
          <w:spacing w:val="-7"/>
        </w:rPr>
        <w:t xml:space="preserve"> </w:t>
      </w:r>
      <w:r>
        <w:t>based</w:t>
      </w:r>
      <w:r>
        <w:rPr>
          <w:spacing w:val="-6"/>
        </w:rPr>
        <w:t xml:space="preserve"> </w:t>
      </w:r>
      <w:r>
        <w:t>on</w:t>
      </w:r>
      <w:r>
        <w:rPr>
          <w:spacing w:val="-7"/>
        </w:rPr>
        <w:t xml:space="preserve"> </w:t>
      </w:r>
      <w:r>
        <w:t>a</w:t>
      </w:r>
      <w:r>
        <w:rPr>
          <w:spacing w:val="-7"/>
        </w:rPr>
        <w:t xml:space="preserve"> </w:t>
      </w:r>
      <w:r>
        <w:t>review</w:t>
      </w:r>
      <w:r>
        <w:rPr>
          <w:spacing w:val="-7"/>
        </w:rPr>
        <w:t xml:space="preserve"> </w:t>
      </w:r>
      <w:r>
        <w:t>of</w:t>
      </w:r>
      <w:r>
        <w:rPr>
          <w:spacing w:val="-8"/>
        </w:rPr>
        <w:t xml:space="preserve"> </w:t>
      </w:r>
      <w:r>
        <w:t>existing</w:t>
      </w:r>
      <w:r>
        <w:rPr>
          <w:spacing w:val="-8"/>
        </w:rPr>
        <w:t xml:space="preserve"> </w:t>
      </w:r>
      <w:r>
        <w:t>programs</w:t>
      </w:r>
      <w:r>
        <w:rPr>
          <w:spacing w:val="-3"/>
        </w:rPr>
        <w:t xml:space="preserve"> </w:t>
      </w:r>
      <w:r>
        <w:t>as</w:t>
      </w:r>
      <w:r>
        <w:rPr>
          <w:spacing w:val="-6"/>
        </w:rPr>
        <w:t xml:space="preserve"> </w:t>
      </w:r>
      <w:r>
        <w:t>well</w:t>
      </w:r>
      <w:r>
        <w:rPr>
          <w:spacing w:val="-6"/>
        </w:rPr>
        <w:t xml:space="preserve"> </w:t>
      </w:r>
      <w:r>
        <w:t>as</w:t>
      </w:r>
      <w:r>
        <w:rPr>
          <w:spacing w:val="-7"/>
        </w:rPr>
        <w:t xml:space="preserve"> </w:t>
      </w:r>
      <w:r>
        <w:t>the</w:t>
      </w:r>
      <w:r>
        <w:rPr>
          <w:spacing w:val="-6"/>
        </w:rPr>
        <w:t xml:space="preserve"> </w:t>
      </w:r>
      <w:r>
        <w:t>development</w:t>
      </w:r>
      <w:r>
        <w:rPr>
          <w:spacing w:val="-6"/>
        </w:rPr>
        <w:t xml:space="preserve"> </w:t>
      </w:r>
      <w:r>
        <w:t>and</w:t>
      </w:r>
      <w:r>
        <w:rPr>
          <w:spacing w:val="-7"/>
        </w:rPr>
        <w:t xml:space="preserve"> </w:t>
      </w:r>
      <w:r>
        <w:t>adaptation</w:t>
      </w:r>
      <w:r>
        <w:rPr>
          <w:spacing w:val="-6"/>
        </w:rPr>
        <w:t xml:space="preserve"> </w:t>
      </w:r>
      <w:r>
        <w:t>of</w:t>
      </w:r>
      <w:r>
        <w:rPr>
          <w:spacing w:val="-58"/>
        </w:rPr>
        <w:t xml:space="preserve"> </w:t>
      </w:r>
      <w:r>
        <w:t>educational</w:t>
      </w:r>
      <w:r>
        <w:rPr>
          <w:spacing w:val="-1"/>
        </w:rPr>
        <w:t xml:space="preserve"> </w:t>
      </w:r>
      <w:r>
        <w:t>programs identified under the</w:t>
      </w:r>
      <w:r>
        <w:rPr>
          <w:spacing w:val="-2"/>
        </w:rPr>
        <w:t xml:space="preserve"> </w:t>
      </w:r>
      <w:r>
        <w:t>reform.</w:t>
      </w:r>
    </w:p>
    <w:p w:rsidR="00A56FE9" w:rsidRDefault="00000000">
      <w:pPr>
        <w:pStyle w:val="Tijeloteksta"/>
        <w:spacing w:before="120"/>
        <w:ind w:right="275"/>
      </w:pPr>
      <w:r>
        <w:t>Preparations</w:t>
      </w:r>
      <w:r>
        <w:rPr>
          <w:spacing w:val="-8"/>
        </w:rPr>
        <w:t xml:space="preserve"> </w:t>
      </w:r>
      <w:r>
        <w:t>are</w:t>
      </w:r>
      <w:r>
        <w:rPr>
          <w:spacing w:val="-9"/>
        </w:rPr>
        <w:t xml:space="preserve"> </w:t>
      </w:r>
      <w:r>
        <w:t>underway</w:t>
      </w:r>
      <w:r>
        <w:rPr>
          <w:spacing w:val="-10"/>
        </w:rPr>
        <w:t xml:space="preserve"> </w:t>
      </w:r>
      <w:r>
        <w:t>to</w:t>
      </w:r>
      <w:r>
        <w:rPr>
          <w:spacing w:val="-7"/>
        </w:rPr>
        <w:t xml:space="preserve"> </w:t>
      </w:r>
      <w:r>
        <w:t>launch</w:t>
      </w:r>
      <w:r>
        <w:rPr>
          <w:spacing w:val="-6"/>
        </w:rPr>
        <w:t xml:space="preserve"> </w:t>
      </w:r>
      <w:r>
        <w:t>a</w:t>
      </w:r>
      <w:r>
        <w:rPr>
          <w:spacing w:val="-10"/>
        </w:rPr>
        <w:t xml:space="preserve"> </w:t>
      </w:r>
      <w:r>
        <w:t>public</w:t>
      </w:r>
      <w:r>
        <w:rPr>
          <w:spacing w:val="-6"/>
        </w:rPr>
        <w:t xml:space="preserve"> </w:t>
      </w:r>
      <w:r>
        <w:t>tender</w:t>
      </w:r>
      <w:r>
        <w:rPr>
          <w:spacing w:val="-8"/>
        </w:rPr>
        <w:t xml:space="preserve"> </w:t>
      </w:r>
      <w:r>
        <w:t>for</w:t>
      </w:r>
      <w:r>
        <w:rPr>
          <w:spacing w:val="-9"/>
        </w:rPr>
        <w:t xml:space="preserve"> </w:t>
      </w:r>
      <w:r>
        <w:t>the</w:t>
      </w:r>
      <w:r>
        <w:rPr>
          <w:spacing w:val="-7"/>
        </w:rPr>
        <w:t xml:space="preserve"> </w:t>
      </w:r>
      <w:r>
        <w:t>drafting</w:t>
      </w:r>
      <w:r>
        <w:rPr>
          <w:spacing w:val="-11"/>
        </w:rPr>
        <w:t xml:space="preserve"> </w:t>
      </w:r>
      <w:r>
        <w:t>of</w:t>
      </w:r>
      <w:r>
        <w:rPr>
          <w:spacing w:val="-8"/>
        </w:rPr>
        <w:t xml:space="preserve"> </w:t>
      </w:r>
      <w:r>
        <w:t>the</w:t>
      </w:r>
      <w:r>
        <w:rPr>
          <w:spacing w:val="-6"/>
        </w:rPr>
        <w:t xml:space="preserve"> </w:t>
      </w:r>
      <w:r>
        <w:t>National</w:t>
      </w:r>
      <w:r>
        <w:rPr>
          <w:spacing w:val="-7"/>
        </w:rPr>
        <w:t xml:space="preserve"> </w:t>
      </w:r>
      <w:r>
        <w:t>Plan</w:t>
      </w:r>
      <w:r>
        <w:rPr>
          <w:spacing w:val="-8"/>
        </w:rPr>
        <w:t xml:space="preserve"> </w:t>
      </w:r>
      <w:r>
        <w:t>for</w:t>
      </w:r>
      <w:r>
        <w:rPr>
          <w:spacing w:val="-10"/>
        </w:rPr>
        <w:t xml:space="preserve"> </w:t>
      </w:r>
      <w:r>
        <w:t>the</w:t>
      </w:r>
      <w:r>
        <w:rPr>
          <w:spacing w:val="-57"/>
        </w:rPr>
        <w:t xml:space="preserve"> </w:t>
      </w:r>
      <w:r>
        <w:t>Development</w:t>
      </w:r>
      <w:r>
        <w:rPr>
          <w:spacing w:val="-1"/>
        </w:rPr>
        <w:t xml:space="preserve"> </w:t>
      </w:r>
      <w:r>
        <w:t>of Skills</w:t>
      </w:r>
      <w:r>
        <w:rPr>
          <w:spacing w:val="1"/>
        </w:rPr>
        <w:t xml:space="preserve"> </w:t>
      </w:r>
      <w:r>
        <w:t>for</w:t>
      </w:r>
      <w:r>
        <w:rPr>
          <w:spacing w:val="-1"/>
        </w:rPr>
        <w:t xml:space="preserve"> </w:t>
      </w:r>
      <w:r>
        <w:t>green</w:t>
      </w:r>
      <w:r>
        <w:rPr>
          <w:spacing w:val="-1"/>
        </w:rPr>
        <w:t xml:space="preserve"> </w:t>
      </w:r>
      <w:r>
        <w:t>jobs related to energy</w:t>
      </w:r>
      <w:r>
        <w:rPr>
          <w:spacing w:val="-6"/>
        </w:rPr>
        <w:t xml:space="preserve"> </w:t>
      </w:r>
      <w:r>
        <w:t>and earthquake</w:t>
      </w:r>
      <w:r>
        <w:rPr>
          <w:spacing w:val="-1"/>
        </w:rPr>
        <w:t xml:space="preserve"> </w:t>
      </w:r>
      <w:r>
        <w:t>reconstruction.</w:t>
      </w:r>
    </w:p>
    <w:p w:rsidR="00A56FE9" w:rsidRDefault="00A56FE9">
      <w:pPr>
        <w:pStyle w:val="Tijeloteksta"/>
        <w:spacing w:before="6"/>
        <w:ind w:left="0"/>
        <w:jc w:val="left"/>
        <w:rPr>
          <w:sz w:val="21"/>
        </w:rPr>
      </w:pPr>
    </w:p>
    <w:p w:rsidR="00A56FE9" w:rsidRDefault="00CC1B9B">
      <w:pPr>
        <w:pStyle w:val="Naslov4"/>
        <w:spacing w:before="1"/>
        <w:ind w:right="280"/>
      </w:pPr>
      <w:r>
        <w:rPr>
          <w:noProof/>
        </w:rPr>
        <mc:AlternateContent>
          <mc:Choice Requires="wps">
            <w:drawing>
              <wp:anchor distT="0" distB="0" distL="114300" distR="114300" simplePos="0" relativeHeight="15819264" behindDoc="0" locked="0" layoutInCell="1" allowOverlap="1">
                <wp:simplePos x="0" y="0"/>
                <wp:positionH relativeFrom="page">
                  <wp:posOffset>814070</wp:posOffset>
                </wp:positionH>
                <wp:positionV relativeFrom="paragraph">
                  <wp:posOffset>-76835</wp:posOffset>
                </wp:positionV>
                <wp:extent cx="18415" cy="608330"/>
                <wp:effectExtent l="0" t="0" r="0" b="0"/>
                <wp:wrapNone/>
                <wp:docPr id="758678807"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330"/>
                        </a:xfrm>
                        <a:custGeom>
                          <a:avLst/>
                          <a:gdLst>
                            <a:gd name="T0" fmla="+- 0 1311 1282"/>
                            <a:gd name="T1" fmla="*/ T0 w 29"/>
                            <a:gd name="T2" fmla="+- 0 -121 -121"/>
                            <a:gd name="T3" fmla="*/ -121 h 958"/>
                            <a:gd name="T4" fmla="+- 0 1282 1282"/>
                            <a:gd name="T5" fmla="*/ T4 w 29"/>
                            <a:gd name="T6" fmla="+- 0 -121 -121"/>
                            <a:gd name="T7" fmla="*/ -121 h 958"/>
                            <a:gd name="T8" fmla="+- 0 1282 1282"/>
                            <a:gd name="T9" fmla="*/ T8 w 29"/>
                            <a:gd name="T10" fmla="+- 0 299 -121"/>
                            <a:gd name="T11" fmla="*/ 299 h 958"/>
                            <a:gd name="T12" fmla="+- 0 1282 1282"/>
                            <a:gd name="T13" fmla="*/ T12 w 29"/>
                            <a:gd name="T14" fmla="+- 0 837 -121"/>
                            <a:gd name="T15" fmla="*/ 837 h 958"/>
                            <a:gd name="T16" fmla="+- 0 1311 1282"/>
                            <a:gd name="T17" fmla="*/ T16 w 29"/>
                            <a:gd name="T18" fmla="+- 0 837 -121"/>
                            <a:gd name="T19" fmla="*/ 837 h 958"/>
                            <a:gd name="T20" fmla="+- 0 1311 1282"/>
                            <a:gd name="T21" fmla="*/ T20 w 29"/>
                            <a:gd name="T22" fmla="+- 0 299 -121"/>
                            <a:gd name="T23" fmla="*/ 299 h 958"/>
                            <a:gd name="T24" fmla="+- 0 1311 1282"/>
                            <a:gd name="T25" fmla="*/ T24 w 29"/>
                            <a:gd name="T26" fmla="+- 0 -121 -121"/>
                            <a:gd name="T27" fmla="*/ -121 h 958"/>
                          </a:gdLst>
                          <a:ahLst/>
                          <a:cxnLst>
                            <a:cxn ang="0">
                              <a:pos x="T1" y="T3"/>
                            </a:cxn>
                            <a:cxn ang="0">
                              <a:pos x="T5" y="T7"/>
                            </a:cxn>
                            <a:cxn ang="0">
                              <a:pos x="T9" y="T11"/>
                            </a:cxn>
                            <a:cxn ang="0">
                              <a:pos x="T13" y="T15"/>
                            </a:cxn>
                            <a:cxn ang="0">
                              <a:pos x="T17" y="T19"/>
                            </a:cxn>
                            <a:cxn ang="0">
                              <a:pos x="T21" y="T23"/>
                            </a:cxn>
                            <a:cxn ang="0">
                              <a:pos x="T25" y="T27"/>
                            </a:cxn>
                          </a:cxnLst>
                          <a:rect l="0" t="0" r="r" b="b"/>
                          <a:pathLst>
                            <a:path w="29" h="958">
                              <a:moveTo>
                                <a:pt x="29" y="0"/>
                              </a:moveTo>
                              <a:lnTo>
                                <a:pt x="0" y="0"/>
                              </a:lnTo>
                              <a:lnTo>
                                <a:pt x="0" y="420"/>
                              </a:lnTo>
                              <a:lnTo>
                                <a:pt x="0" y="958"/>
                              </a:lnTo>
                              <a:lnTo>
                                <a:pt x="29" y="958"/>
                              </a:lnTo>
                              <a:lnTo>
                                <a:pt x="29" y="420"/>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4782D" id="Freeform 70" o:spid="_x0000_s1026" style="position:absolute;margin-left:64.1pt;margin-top:-6.05pt;width:1.45pt;height:47.9pt;z-index:1581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" path="m29,l,,,420,,958r29,l29,420,29,xe" fillcolor="#da1f2c" stroked="f">
                <v:path arrowok="t" o:connecttype="custom" o:connectlocs="18415,-76835;0,-76835;0,189865;0,531495;18415,531495;18415,189865;18415,-76835" o:connectangles="0,0,0,0,0,0,0"/>
                <w10:wrap anchorx="page"/>
              </v:shape>
            </w:pict>
          </mc:Fallback>
        </mc:AlternateContent>
      </w:r>
      <w:r w:rsidR="00000000">
        <w:rPr>
          <w:color w:val="2C398A"/>
        </w:rPr>
        <w:t>Increasing effectiveness, reducing the administrative burden and digitalisation of</w:t>
      </w:r>
      <w:r w:rsidR="00000000">
        <w:rPr>
          <w:color w:val="2C398A"/>
          <w:spacing w:val="1"/>
        </w:rPr>
        <w:t xml:space="preserve"> </w:t>
      </w:r>
      <w:r w:rsidR="00000000">
        <w:rPr>
          <w:color w:val="2C398A"/>
        </w:rPr>
        <w:t>the</w:t>
      </w:r>
      <w:r w:rsidR="00000000">
        <w:rPr>
          <w:color w:val="2C398A"/>
          <w:spacing w:val="-2"/>
        </w:rPr>
        <w:t xml:space="preserve"> </w:t>
      </w:r>
      <w:r w:rsidR="00000000">
        <w:rPr>
          <w:color w:val="2C398A"/>
        </w:rPr>
        <w:t>renovation</w:t>
      </w:r>
      <w:r w:rsidR="00000000">
        <w:rPr>
          <w:color w:val="2C398A"/>
          <w:spacing w:val="-1"/>
        </w:rPr>
        <w:t xml:space="preserve"> </w:t>
      </w:r>
      <w:r w:rsidR="00000000">
        <w:rPr>
          <w:color w:val="2C398A"/>
        </w:rPr>
        <w:t>process</w:t>
      </w:r>
    </w:p>
    <w:p w:rsidR="00A56FE9" w:rsidRDefault="00000000">
      <w:pPr>
        <w:spacing w:before="232"/>
        <w:ind w:left="138"/>
        <w:jc w:val="both"/>
        <w:rPr>
          <w:i/>
          <w:sz w:val="24"/>
        </w:rPr>
      </w:pPr>
      <w:r>
        <w:rPr>
          <w:i/>
          <w:sz w:val="24"/>
        </w:rPr>
        <w:t>2020.CSR2.2.</w:t>
      </w:r>
      <w:r>
        <w:rPr>
          <w:i/>
          <w:spacing w:val="-3"/>
          <w:sz w:val="24"/>
        </w:rPr>
        <w:t xml:space="preserve"> </w:t>
      </w:r>
      <w:r>
        <w:rPr>
          <w:i/>
          <w:sz w:val="24"/>
        </w:rPr>
        <w:t>Increase</w:t>
      </w:r>
      <w:r>
        <w:rPr>
          <w:i/>
          <w:spacing w:val="-2"/>
          <w:sz w:val="24"/>
        </w:rPr>
        <w:t xml:space="preserve"> </w:t>
      </w:r>
      <w:r>
        <w:rPr>
          <w:i/>
          <w:sz w:val="24"/>
        </w:rPr>
        <w:t>access</w:t>
      </w:r>
      <w:r>
        <w:rPr>
          <w:i/>
          <w:spacing w:val="-2"/>
          <w:sz w:val="24"/>
        </w:rPr>
        <w:t xml:space="preserve"> </w:t>
      </w:r>
      <w:r>
        <w:rPr>
          <w:i/>
          <w:sz w:val="24"/>
        </w:rPr>
        <w:t>to digital</w:t>
      </w:r>
      <w:r>
        <w:rPr>
          <w:i/>
          <w:spacing w:val="-2"/>
          <w:sz w:val="24"/>
        </w:rPr>
        <w:t xml:space="preserve"> </w:t>
      </w:r>
      <w:r>
        <w:rPr>
          <w:i/>
          <w:sz w:val="24"/>
        </w:rPr>
        <w:t>infrastructure</w:t>
      </w:r>
      <w:r>
        <w:rPr>
          <w:i/>
          <w:spacing w:val="-1"/>
          <w:sz w:val="24"/>
        </w:rPr>
        <w:t xml:space="preserve"> </w:t>
      </w:r>
      <w:r>
        <w:rPr>
          <w:i/>
          <w:sz w:val="24"/>
        </w:rPr>
        <w:t>and</w:t>
      </w:r>
      <w:r>
        <w:rPr>
          <w:i/>
          <w:spacing w:val="-2"/>
          <w:sz w:val="24"/>
        </w:rPr>
        <w:t xml:space="preserve"> </w:t>
      </w:r>
      <w:r>
        <w:rPr>
          <w:i/>
          <w:sz w:val="24"/>
        </w:rPr>
        <w:t>services</w:t>
      </w:r>
    </w:p>
    <w:p w:rsidR="00A56FE9" w:rsidRDefault="00A56FE9">
      <w:pPr>
        <w:pStyle w:val="Tijeloteksta"/>
        <w:spacing w:before="3"/>
        <w:ind w:left="0"/>
        <w:jc w:val="left"/>
        <w:rPr>
          <w:i/>
          <w:sz w:val="21"/>
        </w:rPr>
      </w:pPr>
    </w:p>
    <w:p w:rsidR="00A56FE9" w:rsidRDefault="00000000">
      <w:pPr>
        <w:pStyle w:val="Naslov5"/>
        <w:spacing w:after="23"/>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950845957"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872587649" name="Rectangle 69"/>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3C74BD7" id="Group 68"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">
                <v:rect id="Rectangle 69"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" fillcolor="#2c398a" stroked="f"/>
                <w10:anchorlock/>
              </v:group>
            </w:pict>
          </mc:Fallback>
        </mc:AlternateContent>
      </w:r>
    </w:p>
    <w:p w:rsidR="00A56FE9" w:rsidRDefault="00000000">
      <w:pPr>
        <w:pStyle w:val="Tijeloteksta"/>
        <w:spacing w:before="155"/>
        <w:ind w:right="270"/>
      </w:pPr>
      <w:r>
        <w:t>The</w:t>
      </w:r>
      <w:r>
        <w:rPr>
          <w:spacing w:val="1"/>
        </w:rPr>
        <w:t xml:space="preserve"> </w:t>
      </w:r>
      <w:r>
        <w:t>plan</w:t>
      </w:r>
      <w:r>
        <w:rPr>
          <w:spacing w:val="1"/>
        </w:rPr>
        <w:t xml:space="preserve"> </w:t>
      </w:r>
      <w:r>
        <w:t>is</w:t>
      </w:r>
      <w:r>
        <w:rPr>
          <w:spacing w:val="1"/>
        </w:rPr>
        <w:t xml:space="preserve"> </w:t>
      </w:r>
      <w:r>
        <w:t>to</w:t>
      </w:r>
      <w:r>
        <w:rPr>
          <w:spacing w:val="1"/>
        </w:rPr>
        <w:t xml:space="preserve"> </w:t>
      </w:r>
      <w:r>
        <w:t>increase</w:t>
      </w:r>
      <w:r>
        <w:rPr>
          <w:spacing w:val="1"/>
        </w:rPr>
        <w:t xml:space="preserve"> </w:t>
      </w:r>
      <w:r>
        <w:t>efficiency,</w:t>
      </w:r>
      <w:r>
        <w:rPr>
          <w:spacing w:val="1"/>
        </w:rPr>
        <w:t xml:space="preserve"> </w:t>
      </w:r>
      <w:r>
        <w:t>reduce</w:t>
      </w:r>
      <w:r>
        <w:rPr>
          <w:spacing w:val="1"/>
        </w:rPr>
        <w:t xml:space="preserve"> </w:t>
      </w:r>
      <w:r>
        <w:t>the</w:t>
      </w:r>
      <w:r>
        <w:rPr>
          <w:spacing w:val="1"/>
        </w:rPr>
        <w:t xml:space="preserve"> </w:t>
      </w:r>
      <w:r>
        <w:t>administrative</w:t>
      </w:r>
      <w:r>
        <w:rPr>
          <w:spacing w:val="1"/>
        </w:rPr>
        <w:t xml:space="preserve"> </w:t>
      </w:r>
      <w:r>
        <w:t>burden</w:t>
      </w:r>
      <w:r>
        <w:rPr>
          <w:spacing w:val="1"/>
        </w:rPr>
        <w:t xml:space="preserve"> </w:t>
      </w:r>
      <w:r>
        <w:t>and</w:t>
      </w:r>
      <w:r>
        <w:rPr>
          <w:spacing w:val="1"/>
        </w:rPr>
        <w:t xml:space="preserve"> </w:t>
      </w:r>
      <w:r>
        <w:t>digitise</w:t>
      </w:r>
      <w:r>
        <w:rPr>
          <w:spacing w:val="1"/>
        </w:rPr>
        <w:t xml:space="preserve"> </w:t>
      </w:r>
      <w:r>
        <w:t>the</w:t>
      </w:r>
      <w:r>
        <w:rPr>
          <w:spacing w:val="1"/>
        </w:rPr>
        <w:t xml:space="preserve"> </w:t>
      </w:r>
      <w:r>
        <w:t>reconstruction process, including the launching of a Central Internet Contact System in which</w:t>
      </w:r>
      <w:r>
        <w:rPr>
          <w:spacing w:val="1"/>
        </w:rPr>
        <w:t xml:space="preserve"> </w:t>
      </w:r>
      <w:r>
        <w:t>all the necessary information for energy and post-earthquake reconstruction is collected. The</w:t>
      </w:r>
      <w:r>
        <w:rPr>
          <w:spacing w:val="1"/>
        </w:rPr>
        <w:t xml:space="preserve"> </w:t>
      </w:r>
      <w:r>
        <w:t>Single</w:t>
      </w:r>
      <w:r>
        <w:rPr>
          <w:spacing w:val="-7"/>
        </w:rPr>
        <w:t xml:space="preserve"> </w:t>
      </w:r>
      <w:r>
        <w:t>Contact</w:t>
      </w:r>
      <w:r>
        <w:rPr>
          <w:spacing w:val="-5"/>
        </w:rPr>
        <w:t xml:space="preserve"> </w:t>
      </w:r>
      <w:r>
        <w:t>Centre</w:t>
      </w:r>
      <w:r>
        <w:rPr>
          <w:spacing w:val="-6"/>
        </w:rPr>
        <w:t xml:space="preserve"> </w:t>
      </w:r>
      <w:r>
        <w:t>will</w:t>
      </w:r>
      <w:r>
        <w:rPr>
          <w:spacing w:val="-5"/>
        </w:rPr>
        <w:t xml:space="preserve"> </w:t>
      </w:r>
      <w:r>
        <w:t>be</w:t>
      </w:r>
      <w:r>
        <w:rPr>
          <w:spacing w:val="-6"/>
        </w:rPr>
        <w:t xml:space="preserve"> </w:t>
      </w:r>
      <w:r>
        <w:t>implemented</w:t>
      </w:r>
      <w:r>
        <w:rPr>
          <w:spacing w:val="-7"/>
        </w:rPr>
        <w:t xml:space="preserve"> </w:t>
      </w:r>
      <w:r>
        <w:t>in</w:t>
      </w:r>
      <w:r>
        <w:rPr>
          <w:spacing w:val="-5"/>
        </w:rPr>
        <w:t xml:space="preserve"> </w:t>
      </w:r>
      <w:r>
        <w:t>two</w:t>
      </w:r>
      <w:r>
        <w:rPr>
          <w:spacing w:val="-3"/>
        </w:rPr>
        <w:t xml:space="preserve"> </w:t>
      </w:r>
      <w:r>
        <w:t>phases:</w:t>
      </w:r>
      <w:r>
        <w:rPr>
          <w:spacing w:val="-2"/>
        </w:rPr>
        <w:t xml:space="preserve"> </w:t>
      </w:r>
      <w:r>
        <w:t>1)</w:t>
      </w:r>
      <w:r>
        <w:rPr>
          <w:spacing w:val="-4"/>
        </w:rPr>
        <w:t xml:space="preserve"> </w:t>
      </w:r>
      <w:r>
        <w:t>emergency</w:t>
      </w:r>
      <w:r>
        <w:rPr>
          <w:spacing w:val="-10"/>
        </w:rPr>
        <w:t xml:space="preserve"> </w:t>
      </w:r>
      <w:r>
        <w:t>services</w:t>
      </w:r>
      <w:r>
        <w:rPr>
          <w:spacing w:val="-4"/>
        </w:rPr>
        <w:t xml:space="preserve"> </w:t>
      </w:r>
      <w:r>
        <w:t>necessary</w:t>
      </w:r>
      <w:r>
        <w:rPr>
          <w:spacing w:val="-7"/>
        </w:rPr>
        <w:t xml:space="preserve"> </w:t>
      </w:r>
      <w:r>
        <w:t>for</w:t>
      </w:r>
      <w:r>
        <w:rPr>
          <w:spacing w:val="-57"/>
        </w:rPr>
        <w:t xml:space="preserve"> </w:t>
      </w:r>
      <w:r>
        <w:t>urgent structural reconstruction and necessary repair of damage to guarantee a level of safety</w:t>
      </w:r>
      <w:r>
        <w:rPr>
          <w:spacing w:val="1"/>
        </w:rPr>
        <w:t xml:space="preserve"> </w:t>
      </w:r>
      <w:r>
        <w:t>for citizens and facilities, and 2) integrating all other services and information necessary for</w:t>
      </w:r>
      <w:r>
        <w:rPr>
          <w:spacing w:val="1"/>
        </w:rPr>
        <w:t xml:space="preserve"> </w:t>
      </w:r>
      <w:r>
        <w:t>comprehensive</w:t>
      </w:r>
      <w:r>
        <w:rPr>
          <w:spacing w:val="-4"/>
        </w:rPr>
        <w:t xml:space="preserve"> </w:t>
      </w:r>
      <w:r>
        <w:t>and</w:t>
      </w:r>
      <w:r>
        <w:rPr>
          <w:spacing w:val="-5"/>
        </w:rPr>
        <w:t xml:space="preserve"> </w:t>
      </w:r>
      <w:r>
        <w:t>energy</w:t>
      </w:r>
      <w:r>
        <w:rPr>
          <w:spacing w:val="-8"/>
        </w:rPr>
        <w:t xml:space="preserve"> </w:t>
      </w:r>
      <w:r>
        <w:t>recovery</w:t>
      </w:r>
      <w:r>
        <w:rPr>
          <w:spacing w:val="-8"/>
        </w:rPr>
        <w:t xml:space="preserve"> </w:t>
      </w:r>
      <w:r>
        <w:t>along</w:t>
      </w:r>
      <w:r>
        <w:rPr>
          <w:spacing w:val="-8"/>
        </w:rPr>
        <w:t xml:space="preserve"> </w:t>
      </w:r>
      <w:r>
        <w:t>with</w:t>
      </w:r>
      <w:r>
        <w:rPr>
          <w:spacing w:val="-5"/>
        </w:rPr>
        <w:t xml:space="preserve"> </w:t>
      </w:r>
      <w:r>
        <w:t>included</w:t>
      </w:r>
      <w:r>
        <w:rPr>
          <w:spacing w:val="-6"/>
        </w:rPr>
        <w:t xml:space="preserve"> </w:t>
      </w:r>
      <w:r>
        <w:t>services</w:t>
      </w:r>
      <w:r>
        <w:rPr>
          <w:spacing w:val="-5"/>
        </w:rPr>
        <w:t xml:space="preserve"> </w:t>
      </w:r>
      <w:r>
        <w:t>and</w:t>
      </w:r>
      <w:r>
        <w:rPr>
          <w:spacing w:val="-6"/>
        </w:rPr>
        <w:t xml:space="preserve"> </w:t>
      </w:r>
      <w:r>
        <w:t>information</w:t>
      </w:r>
      <w:r>
        <w:rPr>
          <w:spacing w:val="-3"/>
        </w:rPr>
        <w:t xml:space="preserve"> </w:t>
      </w:r>
      <w:r>
        <w:t>based</w:t>
      </w:r>
      <w:r>
        <w:rPr>
          <w:spacing w:val="-5"/>
        </w:rPr>
        <w:t xml:space="preserve"> </w:t>
      </w:r>
      <w:r>
        <w:t>on</w:t>
      </w:r>
      <w:r>
        <w:rPr>
          <w:spacing w:val="-6"/>
        </w:rPr>
        <w:t xml:space="preserve"> </w:t>
      </w:r>
      <w:r>
        <w:t>the</w:t>
      </w:r>
      <w:r>
        <w:rPr>
          <w:spacing w:val="-57"/>
        </w:rPr>
        <w:t xml:space="preserve"> </w:t>
      </w:r>
      <w:r>
        <w:t>principle</w:t>
      </w:r>
      <w:r>
        <w:rPr>
          <w:spacing w:val="-2"/>
        </w:rPr>
        <w:t xml:space="preserve"> </w:t>
      </w:r>
      <w:r>
        <w:t>of better</w:t>
      </w:r>
      <w:r>
        <w:rPr>
          <w:spacing w:val="1"/>
        </w:rPr>
        <w:t xml:space="preserve"> </w:t>
      </w:r>
      <w:r>
        <w:t>reconstruction.</w:t>
      </w:r>
    </w:p>
    <w:p w:rsidR="00A56FE9" w:rsidRDefault="00000000">
      <w:pPr>
        <w:pStyle w:val="Tijeloteksta"/>
        <w:spacing w:before="117"/>
        <w:ind w:right="271"/>
      </w:pPr>
      <w:r>
        <w:t>In terms of NRRP reform C6.1. R3, the plan by mid-2022, is to achieve the first phase of</w:t>
      </w:r>
      <w:r>
        <w:rPr>
          <w:spacing w:val="1"/>
        </w:rPr>
        <w:t xml:space="preserve"> </w:t>
      </w:r>
      <w:r>
        <w:t>establishing</w:t>
      </w:r>
      <w:r>
        <w:rPr>
          <w:spacing w:val="-3"/>
        </w:rPr>
        <w:t xml:space="preserve"> </w:t>
      </w:r>
      <w:r>
        <w:t>an</w:t>
      </w:r>
      <w:r>
        <w:rPr>
          <w:spacing w:val="-1"/>
        </w:rPr>
        <w:t xml:space="preserve"> </w:t>
      </w:r>
      <w:r>
        <w:t>online</w:t>
      </w:r>
      <w:r>
        <w:rPr>
          <w:spacing w:val="-1"/>
        </w:rPr>
        <w:t xml:space="preserve"> </w:t>
      </w:r>
      <w:r>
        <w:t>one-stop</w:t>
      </w:r>
      <w:r>
        <w:rPr>
          <w:spacing w:val="-1"/>
        </w:rPr>
        <w:t xml:space="preserve"> </w:t>
      </w:r>
      <w:r>
        <w:t>shop</w:t>
      </w:r>
      <w:r>
        <w:rPr>
          <w:spacing w:val="-1"/>
        </w:rPr>
        <w:t xml:space="preserve"> </w:t>
      </w:r>
      <w:r>
        <w:t>and the</w:t>
      </w:r>
      <w:r>
        <w:rPr>
          <w:spacing w:val="-1"/>
        </w:rPr>
        <w:t xml:space="preserve"> </w:t>
      </w:r>
      <w:r>
        <w:t>first</w:t>
      </w:r>
      <w:r>
        <w:rPr>
          <w:spacing w:val="-3"/>
        </w:rPr>
        <w:t xml:space="preserve"> </w:t>
      </w:r>
      <w:r>
        <w:t>version of</w:t>
      </w:r>
      <w:r>
        <w:rPr>
          <w:spacing w:val="-2"/>
        </w:rPr>
        <w:t xml:space="preserve"> </w:t>
      </w:r>
      <w:r>
        <w:t>an</w:t>
      </w:r>
      <w:r>
        <w:rPr>
          <w:spacing w:val="-1"/>
        </w:rPr>
        <w:t xml:space="preserve"> </w:t>
      </w:r>
      <w:r>
        <w:t>online</w:t>
      </w:r>
      <w:r>
        <w:rPr>
          <w:spacing w:val="-1"/>
        </w:rPr>
        <w:t xml:space="preserve"> </w:t>
      </w:r>
      <w:r>
        <w:t>one-stop shop</w:t>
      </w:r>
      <w:r>
        <w:rPr>
          <w:spacing w:val="-1"/>
        </w:rPr>
        <w:t xml:space="preserve"> </w:t>
      </w:r>
      <w:r>
        <w:t>to</w:t>
      </w:r>
      <w:r>
        <w:rPr>
          <w:spacing w:val="-2"/>
        </w:rPr>
        <w:t xml:space="preserve"> </w:t>
      </w:r>
      <w:r>
        <w:t>include</w:t>
      </w:r>
      <w:r>
        <w:rPr>
          <w:spacing w:val="-58"/>
        </w:rPr>
        <w:t xml:space="preserve"> </w:t>
      </w:r>
      <w:r>
        <w:t>emergency recovery activities after the earthquake, which will later be upgraded with detailed</w:t>
      </w:r>
      <w:r>
        <w:rPr>
          <w:spacing w:val="1"/>
        </w:rPr>
        <w:t xml:space="preserve"> </w:t>
      </w:r>
      <w:r>
        <w:t>elements to build back better and energy efficiency. Currently, the first part of the application</w:t>
      </w:r>
      <w:r>
        <w:rPr>
          <w:spacing w:val="1"/>
        </w:rPr>
        <w:t xml:space="preserve"> </w:t>
      </w:r>
      <w:r>
        <w:t>has</w:t>
      </w:r>
      <w:r>
        <w:rPr>
          <w:spacing w:val="42"/>
        </w:rPr>
        <w:t xml:space="preserve"> </w:t>
      </w:r>
      <w:r>
        <w:t>been</w:t>
      </w:r>
      <w:r>
        <w:rPr>
          <w:spacing w:val="42"/>
        </w:rPr>
        <w:t xml:space="preserve"> </w:t>
      </w:r>
      <w:r>
        <w:t>devised</w:t>
      </w:r>
      <w:r>
        <w:rPr>
          <w:spacing w:val="44"/>
        </w:rPr>
        <w:t xml:space="preserve"> </w:t>
      </w:r>
      <w:r>
        <w:t>to</w:t>
      </w:r>
      <w:r>
        <w:rPr>
          <w:spacing w:val="42"/>
        </w:rPr>
        <w:t xml:space="preserve"> </w:t>
      </w:r>
      <w:r>
        <w:t>provide</w:t>
      </w:r>
      <w:r>
        <w:rPr>
          <w:spacing w:val="42"/>
        </w:rPr>
        <w:t xml:space="preserve"> </w:t>
      </w:r>
      <w:r>
        <w:t>information</w:t>
      </w:r>
      <w:r>
        <w:rPr>
          <w:spacing w:val="43"/>
        </w:rPr>
        <w:t xml:space="preserve"> </w:t>
      </w:r>
      <w:r>
        <w:t>to</w:t>
      </w:r>
      <w:r>
        <w:rPr>
          <w:spacing w:val="44"/>
        </w:rPr>
        <w:t xml:space="preserve"> </w:t>
      </w:r>
      <w:r>
        <w:t>citizens</w:t>
      </w:r>
      <w:r>
        <w:rPr>
          <w:spacing w:val="42"/>
        </w:rPr>
        <w:t xml:space="preserve"> </w:t>
      </w:r>
      <w:r>
        <w:t>about</w:t>
      </w:r>
      <w:r>
        <w:rPr>
          <w:spacing w:val="42"/>
        </w:rPr>
        <w:t xml:space="preserve"> </w:t>
      </w:r>
      <w:r>
        <w:t>earthquake</w:t>
      </w:r>
      <w:r>
        <w:rPr>
          <w:spacing w:val="43"/>
        </w:rPr>
        <w:t xml:space="preserve"> </w:t>
      </w:r>
      <w:r>
        <w:t>reconstruction.</w:t>
      </w:r>
      <w:r>
        <w:rPr>
          <w:spacing w:val="42"/>
        </w:rPr>
        <w:t xml:space="preserve"> </w:t>
      </w:r>
      <w:r>
        <w:t>This</w:t>
      </w:r>
    </w:p>
    <w:p w:rsidR="00A56FE9" w:rsidRDefault="00A56FE9">
      <w:pPr>
        <w:sectPr w:rsidR="00A56FE9" w:rsidSect="00AB1E70">
          <w:pgSz w:w="11910" w:h="16840"/>
          <w:pgMar w:top="1320" w:right="1140" w:bottom="960" w:left="1280" w:header="0" w:footer="779" w:gutter="0"/>
          <w:cols w:space="720"/>
        </w:sectPr>
      </w:pPr>
    </w:p>
    <w:p w:rsidR="00A56FE9" w:rsidRDefault="00CC1B9B">
      <w:pPr>
        <w:pStyle w:val="Tijeloteksta"/>
        <w:spacing w:before="74"/>
        <w:ind w:right="274"/>
      </w:pPr>
      <w:r>
        <w:rPr>
          <w:noProof/>
        </w:rPr>
        <mc:AlternateContent>
          <mc:Choice Requires="wps">
            <w:drawing>
              <wp:anchor distT="0" distB="0" distL="114300" distR="114300" simplePos="0" relativeHeight="15820288" behindDoc="0" locked="0" layoutInCell="1" allowOverlap="1">
                <wp:simplePos x="0" y="0"/>
                <wp:positionH relativeFrom="page">
                  <wp:posOffset>814070</wp:posOffset>
                </wp:positionH>
                <wp:positionV relativeFrom="paragraph">
                  <wp:posOffset>1003300</wp:posOffset>
                </wp:positionV>
                <wp:extent cx="18415" cy="417830"/>
                <wp:effectExtent l="0" t="0" r="0" b="0"/>
                <wp:wrapNone/>
                <wp:docPr id="4230016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626149" id="Rectangle 67" o:spid="_x0000_s1026" style="position:absolute;margin-left:64.1pt;margin-top:79pt;width:1.45pt;height:32.9pt;z-index:1582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" fillcolor="#da1f2c" stroked="f">
                <w10:wrap anchorx="page"/>
              </v:rect>
            </w:pict>
          </mc:Fallback>
        </mc:AlternateContent>
      </w:r>
      <w:r w:rsidR="00000000">
        <w:t>means</w:t>
      </w:r>
      <w:r w:rsidR="00000000">
        <w:rPr>
          <w:spacing w:val="-5"/>
        </w:rPr>
        <w:t xml:space="preserve"> </w:t>
      </w:r>
      <w:r w:rsidR="00000000">
        <w:t>that</w:t>
      </w:r>
      <w:r w:rsidR="00000000">
        <w:rPr>
          <w:spacing w:val="-4"/>
        </w:rPr>
        <w:t xml:space="preserve"> </w:t>
      </w:r>
      <w:r w:rsidR="00000000">
        <w:t>the</w:t>
      </w:r>
      <w:r w:rsidR="00000000">
        <w:rPr>
          <w:spacing w:val="-5"/>
        </w:rPr>
        <w:t xml:space="preserve"> </w:t>
      </w:r>
      <w:r w:rsidR="00000000">
        <w:t>online</w:t>
      </w:r>
      <w:r w:rsidR="00000000">
        <w:rPr>
          <w:spacing w:val="-5"/>
        </w:rPr>
        <w:t xml:space="preserve"> </w:t>
      </w:r>
      <w:r w:rsidR="00000000">
        <w:t>one-stop</w:t>
      </w:r>
      <w:r w:rsidR="00000000">
        <w:rPr>
          <w:spacing w:val="-3"/>
        </w:rPr>
        <w:t xml:space="preserve"> </w:t>
      </w:r>
      <w:r w:rsidR="00000000">
        <w:t>shop</w:t>
      </w:r>
      <w:r w:rsidR="00000000">
        <w:rPr>
          <w:spacing w:val="-5"/>
        </w:rPr>
        <w:t xml:space="preserve"> </w:t>
      </w:r>
      <w:r w:rsidR="00000000">
        <w:t>for</w:t>
      </w:r>
      <w:r w:rsidR="00000000">
        <w:rPr>
          <w:spacing w:val="-5"/>
        </w:rPr>
        <w:t xml:space="preserve"> </w:t>
      </w:r>
      <w:r w:rsidR="00000000">
        <w:t>emergency</w:t>
      </w:r>
      <w:r w:rsidR="00000000">
        <w:rPr>
          <w:spacing w:val="-6"/>
        </w:rPr>
        <w:t xml:space="preserve"> </w:t>
      </w:r>
      <w:r w:rsidR="00000000">
        <w:t>services</w:t>
      </w:r>
      <w:r w:rsidR="00000000">
        <w:rPr>
          <w:spacing w:val="-4"/>
        </w:rPr>
        <w:t xml:space="preserve"> </w:t>
      </w:r>
      <w:r w:rsidR="00000000">
        <w:t>in</w:t>
      </w:r>
      <w:r w:rsidR="00000000">
        <w:rPr>
          <w:spacing w:val="-3"/>
        </w:rPr>
        <w:t xml:space="preserve"> </w:t>
      </w:r>
      <w:r w:rsidR="00000000">
        <w:t>urgent</w:t>
      </w:r>
      <w:r w:rsidR="00000000">
        <w:rPr>
          <w:spacing w:val="-3"/>
        </w:rPr>
        <w:t xml:space="preserve"> </w:t>
      </w:r>
      <w:r w:rsidR="00000000">
        <w:t>structural</w:t>
      </w:r>
      <w:r w:rsidR="00000000">
        <w:rPr>
          <w:spacing w:val="-4"/>
        </w:rPr>
        <w:t xml:space="preserve"> </w:t>
      </w:r>
      <w:r w:rsidR="00000000">
        <w:t>renovation</w:t>
      </w:r>
      <w:r w:rsidR="00000000">
        <w:rPr>
          <w:spacing w:val="-4"/>
        </w:rPr>
        <w:t xml:space="preserve"> </w:t>
      </w:r>
      <w:r w:rsidR="00000000">
        <w:t>and</w:t>
      </w:r>
      <w:r w:rsidR="00000000">
        <w:rPr>
          <w:spacing w:val="-58"/>
        </w:rPr>
        <w:t xml:space="preserve"> </w:t>
      </w:r>
      <w:r w:rsidR="00000000">
        <w:t>necessary repairs</w:t>
      </w:r>
      <w:r w:rsidR="00000000">
        <w:rPr>
          <w:spacing w:val="1"/>
        </w:rPr>
        <w:t xml:space="preserve"> </w:t>
      </w:r>
      <w:r w:rsidR="00000000">
        <w:t>has</w:t>
      </w:r>
      <w:r w:rsidR="00000000">
        <w:rPr>
          <w:spacing w:val="1"/>
        </w:rPr>
        <w:t xml:space="preserve"> </w:t>
      </w:r>
      <w:r w:rsidR="00000000">
        <w:t>been</w:t>
      </w:r>
      <w:r w:rsidR="00000000">
        <w:rPr>
          <w:spacing w:val="1"/>
        </w:rPr>
        <w:t xml:space="preserve"> </w:t>
      </w:r>
      <w:r w:rsidR="00000000">
        <w:t>established</w:t>
      </w:r>
      <w:r w:rsidR="00000000">
        <w:rPr>
          <w:spacing w:val="1"/>
        </w:rPr>
        <w:t xml:space="preserve"> </w:t>
      </w:r>
      <w:r w:rsidR="00000000">
        <w:t>and</w:t>
      </w:r>
      <w:r w:rsidR="00000000">
        <w:rPr>
          <w:spacing w:val="1"/>
        </w:rPr>
        <w:t xml:space="preserve"> </w:t>
      </w:r>
      <w:r w:rsidR="00000000">
        <w:t>enabled through</w:t>
      </w:r>
      <w:r w:rsidR="00000000">
        <w:rPr>
          <w:spacing w:val="1"/>
        </w:rPr>
        <w:t xml:space="preserve"> </w:t>
      </w:r>
      <w:r w:rsidR="00000000">
        <w:t>the</w:t>
      </w:r>
      <w:r w:rsidR="00000000">
        <w:rPr>
          <w:spacing w:val="1"/>
        </w:rPr>
        <w:t xml:space="preserve"> </w:t>
      </w:r>
      <w:r w:rsidR="00000000">
        <w:t>e-renovation</w:t>
      </w:r>
      <w:r w:rsidR="00000000">
        <w:rPr>
          <w:spacing w:val="1"/>
        </w:rPr>
        <w:t xml:space="preserve"> </w:t>
      </w:r>
      <w:r w:rsidR="00000000">
        <w:t>application.</w:t>
      </w:r>
      <w:r w:rsidR="00000000">
        <w:rPr>
          <w:spacing w:val="1"/>
        </w:rPr>
        <w:t xml:space="preserve"> </w:t>
      </w:r>
      <w:r w:rsidR="00000000">
        <w:t>Upgrading the system by integrating other information services on comprehensive and energy</w:t>
      </w:r>
      <w:r w:rsidR="00000000">
        <w:rPr>
          <w:spacing w:val="1"/>
        </w:rPr>
        <w:t xml:space="preserve"> </w:t>
      </w:r>
      <w:r w:rsidR="00000000">
        <w:t>recovery is in preparation. The second phase of the system is planned to be completed by the</w:t>
      </w:r>
      <w:r w:rsidR="00000000">
        <w:rPr>
          <w:spacing w:val="1"/>
        </w:rPr>
        <w:t xml:space="preserve"> </w:t>
      </w:r>
      <w:r w:rsidR="00000000">
        <w:t>end of</w:t>
      </w:r>
      <w:r w:rsidR="00000000">
        <w:rPr>
          <w:spacing w:val="-2"/>
        </w:rPr>
        <w:t xml:space="preserve"> </w:t>
      </w:r>
      <w:r w:rsidR="00000000">
        <w:t>2022.</w:t>
      </w:r>
    </w:p>
    <w:p w:rsidR="00A56FE9" w:rsidRDefault="00A56FE9">
      <w:pPr>
        <w:pStyle w:val="Tijeloteksta"/>
        <w:ind w:left="0"/>
        <w:jc w:val="left"/>
        <w:rPr>
          <w:sz w:val="32"/>
        </w:rPr>
      </w:pPr>
    </w:p>
    <w:p w:rsidR="00A56FE9" w:rsidRDefault="00000000">
      <w:pPr>
        <w:pStyle w:val="Naslov4"/>
      </w:pPr>
      <w:r>
        <w:rPr>
          <w:color w:val="2C398A"/>
        </w:rPr>
        <w:t>Seismological</w:t>
      </w:r>
      <w:r>
        <w:rPr>
          <w:color w:val="2C398A"/>
          <w:spacing w:val="-3"/>
        </w:rPr>
        <w:t xml:space="preserve"> </w:t>
      </w:r>
      <w:r>
        <w:rPr>
          <w:color w:val="2C398A"/>
        </w:rPr>
        <w:t>data</w:t>
      </w:r>
      <w:r>
        <w:rPr>
          <w:color w:val="2C398A"/>
          <w:spacing w:val="-3"/>
        </w:rPr>
        <w:t xml:space="preserve"> </w:t>
      </w:r>
      <w:r>
        <w:rPr>
          <w:color w:val="2C398A"/>
        </w:rPr>
        <w:t>network</w:t>
      </w:r>
      <w:r>
        <w:rPr>
          <w:color w:val="2C398A"/>
          <w:spacing w:val="-2"/>
        </w:rPr>
        <w:t xml:space="preserve"> </w:t>
      </w:r>
      <w:r>
        <w:rPr>
          <w:color w:val="2C398A"/>
        </w:rPr>
        <w:t>development</w:t>
      </w:r>
    </w:p>
    <w:p w:rsidR="00A56FE9" w:rsidRDefault="00000000">
      <w:pPr>
        <w:pStyle w:val="Naslov5"/>
        <w:spacing w:before="236" w:after="23"/>
      </w:pPr>
      <w:r>
        <w:t>Planned</w:t>
      </w:r>
      <w:r>
        <w:rPr>
          <w:spacing w:val="-2"/>
        </w:rPr>
        <w:t xml:space="preserve"> </w:t>
      </w:r>
      <w:r>
        <w:t>NRRP</w:t>
      </w:r>
      <w:r>
        <w:rPr>
          <w:spacing w:val="-5"/>
        </w:rPr>
        <w:t xml:space="preserve"> </w:t>
      </w:r>
      <w:r>
        <w:t>reforms and</w:t>
      </w:r>
      <w:r>
        <w:rPr>
          <w:spacing w:val="-2"/>
        </w:rPr>
        <w:t xml:space="preserve"> </w:t>
      </w:r>
      <w:r>
        <w:t>investments</w:t>
      </w:r>
    </w:p>
    <w:p w:rsidR="00A56FE9" w:rsidRDefault="00CC1B9B">
      <w:pPr>
        <w:pStyle w:val="Tijeloteksta"/>
        <w:spacing w:line="20" w:lineRule="exact"/>
        <w:ind w:left="110"/>
        <w:jc w:val="left"/>
        <w:rPr>
          <w:sz w:val="2"/>
        </w:rPr>
      </w:pPr>
      <w:r>
        <w:rPr>
          <w:noProof/>
          <w:sz w:val="2"/>
        </w:rPr>
        <mc:AlternateContent>
          <mc:Choice Requires="wpg">
            <w:drawing>
              <wp:inline distT="0" distB="0" distL="0" distR="0">
                <wp:extent cx="2915920" cy="12700"/>
                <wp:effectExtent l="0" t="0" r="0" b="0"/>
                <wp:docPr id="1265029367"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5920" cy="12700"/>
                          <a:chOff x="0" y="0"/>
                          <a:chExt cx="4592" cy="20"/>
                        </a:xfrm>
                      </wpg:grpSpPr>
                      <wps:wsp>
                        <wps:cNvPr id="2064061420" name="Rectangle 66"/>
                        <wps:cNvSpPr>
                          <a:spLocks noChangeArrowheads="1"/>
                        </wps:cNvSpPr>
                        <wps:spPr bwMode="auto">
                          <a:xfrm>
                            <a:off x="0" y="0"/>
                            <a:ext cx="4592" cy="20"/>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4670C52" id="Group 65" o:spid="_x0000_s1026" style="width:229.6pt;height:1pt;mso-position-horizontal-relative:char;mso-position-vertical-relative:line" coordsize="4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">
                <v:rect id="Rectangle 66" o:spid="_x0000_s1027" style="position:absolute;width:4592;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" fillcolor="#2c398a" stroked="f"/>
                <w10:anchorlock/>
              </v:group>
            </w:pict>
          </mc:Fallback>
        </mc:AlternateContent>
      </w:r>
    </w:p>
    <w:p w:rsidR="00A56FE9" w:rsidRDefault="00000000">
      <w:pPr>
        <w:pStyle w:val="Tijeloteksta"/>
        <w:spacing w:before="154"/>
        <w:ind w:right="273"/>
      </w:pPr>
      <w:r>
        <w:t>In</w:t>
      </w:r>
      <w:r>
        <w:rPr>
          <w:spacing w:val="-10"/>
        </w:rPr>
        <w:t xml:space="preserve"> </w:t>
      </w:r>
      <w:r>
        <w:t>terms</w:t>
      </w:r>
      <w:r>
        <w:rPr>
          <w:spacing w:val="-8"/>
        </w:rPr>
        <w:t xml:space="preserve"> </w:t>
      </w:r>
      <w:r>
        <w:t>of</w:t>
      </w:r>
      <w:r>
        <w:rPr>
          <w:spacing w:val="-11"/>
        </w:rPr>
        <w:t xml:space="preserve"> </w:t>
      </w:r>
      <w:r>
        <w:t>NRRP</w:t>
      </w:r>
      <w:r>
        <w:rPr>
          <w:spacing w:val="-7"/>
        </w:rPr>
        <w:t xml:space="preserve"> </w:t>
      </w:r>
      <w:r>
        <w:t>investment</w:t>
      </w:r>
      <w:r>
        <w:rPr>
          <w:spacing w:val="-8"/>
        </w:rPr>
        <w:t xml:space="preserve"> </w:t>
      </w:r>
      <w:r>
        <w:rPr>
          <w:b/>
        </w:rPr>
        <w:t>C6.1.</w:t>
      </w:r>
      <w:r>
        <w:rPr>
          <w:b/>
          <w:spacing w:val="-9"/>
        </w:rPr>
        <w:t xml:space="preserve"> </w:t>
      </w:r>
      <w:r>
        <w:rPr>
          <w:b/>
        </w:rPr>
        <w:t>R4-I1</w:t>
      </w:r>
      <w:r>
        <w:rPr>
          <w:b/>
          <w:spacing w:val="-8"/>
        </w:rPr>
        <w:t xml:space="preserve"> </w:t>
      </w:r>
      <w:r>
        <w:rPr>
          <w:b/>
        </w:rPr>
        <w:t>Seismological</w:t>
      </w:r>
      <w:r>
        <w:rPr>
          <w:b/>
          <w:spacing w:val="-9"/>
        </w:rPr>
        <w:t xml:space="preserve"> </w:t>
      </w:r>
      <w:r>
        <w:rPr>
          <w:b/>
        </w:rPr>
        <w:t>data</w:t>
      </w:r>
      <w:r>
        <w:rPr>
          <w:b/>
          <w:spacing w:val="-9"/>
        </w:rPr>
        <w:t xml:space="preserve"> </w:t>
      </w:r>
      <w:r>
        <w:rPr>
          <w:b/>
        </w:rPr>
        <w:t>network</w:t>
      </w:r>
      <w:r>
        <w:rPr>
          <w:b/>
          <w:spacing w:val="-11"/>
        </w:rPr>
        <w:t xml:space="preserve"> </w:t>
      </w:r>
      <w:r>
        <w:rPr>
          <w:b/>
        </w:rPr>
        <w:t>development,</w:t>
      </w:r>
      <w:r>
        <w:rPr>
          <w:b/>
          <w:spacing w:val="-9"/>
        </w:rPr>
        <w:t xml:space="preserve"> </w:t>
      </w:r>
      <w:r>
        <w:t>the</w:t>
      </w:r>
      <w:r>
        <w:rPr>
          <w:spacing w:val="-9"/>
        </w:rPr>
        <w:t xml:space="preserve"> </w:t>
      </w:r>
      <w:r>
        <w:t>aim</w:t>
      </w:r>
      <w:r>
        <w:rPr>
          <w:spacing w:val="-58"/>
        </w:rPr>
        <w:t xml:space="preserve"> </w:t>
      </w:r>
      <w:r>
        <w:t>is</w:t>
      </w:r>
      <w:r>
        <w:rPr>
          <w:spacing w:val="-4"/>
        </w:rPr>
        <w:t xml:space="preserve"> </w:t>
      </w:r>
      <w:r>
        <w:t>to</w:t>
      </w:r>
      <w:r>
        <w:rPr>
          <w:spacing w:val="-3"/>
        </w:rPr>
        <w:t xml:space="preserve"> </w:t>
      </w:r>
      <w:r>
        <w:t>strengthen</w:t>
      </w:r>
      <w:r>
        <w:rPr>
          <w:spacing w:val="-4"/>
        </w:rPr>
        <w:t xml:space="preserve"> </w:t>
      </w:r>
      <w:r>
        <w:t>the</w:t>
      </w:r>
      <w:r>
        <w:rPr>
          <w:spacing w:val="-4"/>
        </w:rPr>
        <w:t xml:space="preserve"> </w:t>
      </w:r>
      <w:r>
        <w:t>organisational</w:t>
      </w:r>
      <w:r>
        <w:rPr>
          <w:spacing w:val="-4"/>
        </w:rPr>
        <w:t xml:space="preserve"> </w:t>
      </w:r>
      <w:r>
        <w:t>and</w:t>
      </w:r>
      <w:r>
        <w:rPr>
          <w:spacing w:val="-4"/>
        </w:rPr>
        <w:t xml:space="preserve"> </w:t>
      </w:r>
      <w:r>
        <w:t>infrastructural</w:t>
      </w:r>
      <w:r>
        <w:rPr>
          <w:spacing w:val="-3"/>
        </w:rPr>
        <w:t xml:space="preserve"> </w:t>
      </w:r>
      <w:r>
        <w:t>capacities</w:t>
      </w:r>
      <w:r>
        <w:rPr>
          <w:spacing w:val="-4"/>
        </w:rPr>
        <w:t xml:space="preserve"> </w:t>
      </w:r>
      <w:r>
        <w:t>of</w:t>
      </w:r>
      <w:r>
        <w:rPr>
          <w:spacing w:val="-6"/>
        </w:rPr>
        <w:t xml:space="preserve"> </w:t>
      </w:r>
      <w:r>
        <w:t>the</w:t>
      </w:r>
      <w:r>
        <w:rPr>
          <w:spacing w:val="-4"/>
        </w:rPr>
        <w:t xml:space="preserve"> </w:t>
      </w:r>
      <w:r>
        <w:t>Seismological</w:t>
      </w:r>
      <w:r>
        <w:rPr>
          <w:spacing w:val="-1"/>
        </w:rPr>
        <w:t xml:space="preserve"> </w:t>
      </w:r>
      <w:r>
        <w:t>Survey</w:t>
      </w:r>
      <w:r>
        <w:rPr>
          <w:spacing w:val="-8"/>
        </w:rPr>
        <w:t xml:space="preserve"> </w:t>
      </w:r>
      <w:r>
        <w:t>of</w:t>
      </w:r>
      <w:r>
        <w:rPr>
          <w:spacing w:val="-58"/>
        </w:rPr>
        <w:t xml:space="preserve"> </w:t>
      </w:r>
      <w:r>
        <w:t>the Republic of Croatia, requiring the purchasing of at least 300 devices by the end of 2022.</w:t>
      </w:r>
      <w:r>
        <w:rPr>
          <w:spacing w:val="1"/>
        </w:rPr>
        <w:t xml:space="preserve"> </w:t>
      </w:r>
      <w:r>
        <w:t>This will increase the quality of collection, processing and application of seismological data</w:t>
      </w:r>
      <w:r>
        <w:rPr>
          <w:spacing w:val="1"/>
        </w:rPr>
        <w:t xml:space="preserve"> </w:t>
      </w:r>
      <w:r>
        <w:t>required</w:t>
      </w:r>
      <w:r>
        <w:rPr>
          <w:spacing w:val="-11"/>
        </w:rPr>
        <w:t xml:space="preserve"> </w:t>
      </w:r>
      <w:r>
        <w:t>for</w:t>
      </w:r>
      <w:r>
        <w:rPr>
          <w:spacing w:val="-11"/>
        </w:rPr>
        <w:t xml:space="preserve"> </w:t>
      </w:r>
      <w:r>
        <w:t>the</w:t>
      </w:r>
      <w:r>
        <w:rPr>
          <w:spacing w:val="-12"/>
        </w:rPr>
        <w:t xml:space="preserve"> </w:t>
      </w:r>
      <w:r>
        <w:t>process</w:t>
      </w:r>
      <w:r>
        <w:rPr>
          <w:spacing w:val="-10"/>
        </w:rPr>
        <w:t xml:space="preserve"> </w:t>
      </w:r>
      <w:r>
        <w:t>of</w:t>
      </w:r>
      <w:r>
        <w:rPr>
          <w:spacing w:val="-12"/>
        </w:rPr>
        <w:t xml:space="preserve"> </w:t>
      </w:r>
      <w:r>
        <w:t>renovating</w:t>
      </w:r>
      <w:r>
        <w:rPr>
          <w:spacing w:val="-12"/>
        </w:rPr>
        <w:t xml:space="preserve"> </w:t>
      </w:r>
      <w:r>
        <w:t>buildings,</w:t>
      </w:r>
      <w:r>
        <w:rPr>
          <w:spacing w:val="-11"/>
        </w:rPr>
        <w:t xml:space="preserve"> </w:t>
      </w:r>
      <w:r>
        <w:t>planning</w:t>
      </w:r>
      <w:r>
        <w:rPr>
          <w:spacing w:val="-12"/>
        </w:rPr>
        <w:t xml:space="preserve"> </w:t>
      </w:r>
      <w:r>
        <w:t>the</w:t>
      </w:r>
      <w:r>
        <w:rPr>
          <w:spacing w:val="-12"/>
        </w:rPr>
        <w:t xml:space="preserve"> </w:t>
      </w:r>
      <w:r>
        <w:t>development</w:t>
      </w:r>
      <w:r>
        <w:rPr>
          <w:spacing w:val="-7"/>
        </w:rPr>
        <w:t xml:space="preserve"> </w:t>
      </w:r>
      <w:r>
        <w:t>of</w:t>
      </w:r>
      <w:r>
        <w:rPr>
          <w:spacing w:val="-12"/>
        </w:rPr>
        <w:t xml:space="preserve"> </w:t>
      </w:r>
      <w:r>
        <w:t>new</w:t>
      </w:r>
      <w:r>
        <w:rPr>
          <w:spacing w:val="-11"/>
        </w:rPr>
        <w:t xml:space="preserve"> </w:t>
      </w:r>
      <w:r>
        <w:t>facilities</w:t>
      </w:r>
      <w:r>
        <w:rPr>
          <w:spacing w:val="-10"/>
        </w:rPr>
        <w:t xml:space="preserve"> </w:t>
      </w:r>
      <w:r>
        <w:t>and</w:t>
      </w:r>
      <w:r>
        <w:rPr>
          <w:spacing w:val="-58"/>
        </w:rPr>
        <w:t xml:space="preserve"> </w:t>
      </w:r>
      <w:r>
        <w:t>monitoring public infrastructure, as well as strengthening Croatia's resilience to earthquakes</w:t>
      </w:r>
      <w:r>
        <w:rPr>
          <w:spacing w:val="1"/>
        </w:rPr>
        <w:t xml:space="preserve"> </w:t>
      </w:r>
      <w:r>
        <w:t>and associated risks. The public procurement procedure for the procurement of seismological</w:t>
      </w:r>
      <w:r>
        <w:rPr>
          <w:spacing w:val="1"/>
        </w:rPr>
        <w:t xml:space="preserve"> </w:t>
      </w:r>
      <w:r>
        <w:t>equipment and the procurement of external services for preparing and implementing public</w:t>
      </w:r>
      <w:r>
        <w:rPr>
          <w:spacing w:val="1"/>
        </w:rPr>
        <w:t xml:space="preserve"> </w:t>
      </w:r>
      <w:r>
        <w:t>procurement</w:t>
      </w:r>
      <w:r>
        <w:rPr>
          <w:spacing w:val="-11"/>
        </w:rPr>
        <w:t xml:space="preserve"> </w:t>
      </w:r>
      <w:r>
        <w:t>procedures</w:t>
      </w:r>
      <w:r>
        <w:rPr>
          <w:spacing w:val="-6"/>
        </w:rPr>
        <w:t xml:space="preserve"> </w:t>
      </w:r>
      <w:r>
        <w:t>are</w:t>
      </w:r>
      <w:r>
        <w:rPr>
          <w:spacing w:val="-13"/>
        </w:rPr>
        <w:t xml:space="preserve"> </w:t>
      </w:r>
      <w:r>
        <w:t>underway,</w:t>
      </w:r>
      <w:r>
        <w:rPr>
          <w:spacing w:val="-10"/>
        </w:rPr>
        <w:t xml:space="preserve"> </w:t>
      </w:r>
      <w:r>
        <w:t>while</w:t>
      </w:r>
      <w:r>
        <w:rPr>
          <w:spacing w:val="-12"/>
        </w:rPr>
        <w:t xml:space="preserve"> </w:t>
      </w:r>
      <w:r>
        <w:t>the</w:t>
      </w:r>
      <w:r>
        <w:rPr>
          <w:spacing w:val="-9"/>
        </w:rPr>
        <w:t xml:space="preserve"> </w:t>
      </w:r>
      <w:r>
        <w:t>public</w:t>
      </w:r>
      <w:r>
        <w:rPr>
          <w:spacing w:val="-11"/>
        </w:rPr>
        <w:t xml:space="preserve"> </w:t>
      </w:r>
      <w:r>
        <w:t>procurement</w:t>
      </w:r>
      <w:r>
        <w:rPr>
          <w:spacing w:val="-11"/>
        </w:rPr>
        <w:t xml:space="preserve"> </w:t>
      </w:r>
      <w:r>
        <w:t>procedure</w:t>
      </w:r>
      <w:r>
        <w:rPr>
          <w:spacing w:val="-13"/>
        </w:rPr>
        <w:t xml:space="preserve"> </w:t>
      </w:r>
      <w:r>
        <w:t>for</w:t>
      </w:r>
      <w:r>
        <w:rPr>
          <w:spacing w:val="-11"/>
        </w:rPr>
        <w:t xml:space="preserve"> </w:t>
      </w:r>
      <w:r>
        <w:t>the</w:t>
      </w:r>
      <w:r>
        <w:rPr>
          <w:spacing w:val="-9"/>
        </w:rPr>
        <w:t xml:space="preserve"> </w:t>
      </w:r>
      <w:r>
        <w:t>external</w:t>
      </w:r>
      <w:r>
        <w:rPr>
          <w:spacing w:val="-58"/>
        </w:rPr>
        <w:t xml:space="preserve"> </w:t>
      </w:r>
      <w:r>
        <w:t>project</w:t>
      </w:r>
      <w:r>
        <w:rPr>
          <w:spacing w:val="-1"/>
        </w:rPr>
        <w:t xml:space="preserve"> </w:t>
      </w:r>
      <w:r>
        <w:t>management service</w:t>
      </w:r>
      <w:r>
        <w:rPr>
          <w:spacing w:val="-3"/>
        </w:rPr>
        <w:t xml:space="preserve"> </w:t>
      </w:r>
      <w:r>
        <w:t>is in the</w:t>
      </w:r>
      <w:r>
        <w:rPr>
          <w:spacing w:val="-1"/>
        </w:rPr>
        <w:t xml:space="preserve"> </w:t>
      </w:r>
      <w:r>
        <w:t>phase</w:t>
      </w:r>
      <w:r>
        <w:rPr>
          <w:spacing w:val="-1"/>
        </w:rPr>
        <w:t xml:space="preserve"> </w:t>
      </w:r>
      <w:r>
        <w:t>of</w:t>
      </w:r>
      <w:r>
        <w:rPr>
          <w:spacing w:val="1"/>
        </w:rPr>
        <w:t xml:space="preserve"> </w:t>
      </w:r>
      <w:r>
        <w:t>reviewing</w:t>
      </w:r>
      <w:r>
        <w:rPr>
          <w:spacing w:val="-1"/>
        </w:rPr>
        <w:t xml:space="preserve"> </w:t>
      </w:r>
      <w:r>
        <w:t>and evaluating received</w:t>
      </w:r>
      <w:r>
        <w:rPr>
          <w:spacing w:val="-1"/>
        </w:rPr>
        <w:t xml:space="preserve"> </w:t>
      </w:r>
      <w:r>
        <w:t>bids.</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Odlomakpopisa"/>
        <w:numPr>
          <w:ilvl w:val="0"/>
          <w:numId w:val="8"/>
        </w:numPr>
        <w:tabs>
          <w:tab w:val="left" w:pos="847"/>
        </w:tabs>
        <w:spacing w:line="568" w:lineRule="exact"/>
        <w:ind w:left="846" w:hanging="709"/>
        <w:rPr>
          <w:rFonts w:ascii="Calibri Light"/>
          <w:sz w:val="32"/>
        </w:rPr>
      </w:pPr>
      <w:bookmarkStart w:id="31" w:name="_bookmark31"/>
      <w:bookmarkEnd w:id="31"/>
      <w:r>
        <w:rPr>
          <w:rFonts w:ascii="Calibri Light"/>
          <w:color w:val="003399"/>
          <w:spacing w:val="-2"/>
          <w:sz w:val="32"/>
        </w:rPr>
        <w:t>Progress</w:t>
      </w:r>
      <w:r>
        <w:rPr>
          <w:rFonts w:ascii="Calibri Light"/>
          <w:color w:val="003399"/>
          <w:spacing w:val="-13"/>
          <w:sz w:val="32"/>
        </w:rPr>
        <w:t xml:space="preserve"> </w:t>
      </w:r>
      <w:r>
        <w:rPr>
          <w:rFonts w:ascii="Calibri Light"/>
          <w:color w:val="003399"/>
          <w:spacing w:val="-2"/>
          <w:sz w:val="32"/>
        </w:rPr>
        <w:t>in</w:t>
      </w:r>
      <w:r>
        <w:rPr>
          <w:rFonts w:ascii="Calibri Light"/>
          <w:color w:val="003399"/>
          <w:spacing w:val="-16"/>
          <w:sz w:val="32"/>
        </w:rPr>
        <w:t xml:space="preserve"> </w:t>
      </w:r>
      <w:r>
        <w:rPr>
          <w:rFonts w:ascii="Calibri Light"/>
          <w:color w:val="003399"/>
          <w:spacing w:val="-2"/>
          <w:sz w:val="32"/>
        </w:rPr>
        <w:t>implementing</w:t>
      </w:r>
      <w:r>
        <w:rPr>
          <w:rFonts w:ascii="Calibri Light"/>
          <w:color w:val="003399"/>
          <w:spacing w:val="-14"/>
          <w:sz w:val="32"/>
        </w:rPr>
        <w:t xml:space="preserve"> </w:t>
      </w:r>
      <w:r>
        <w:rPr>
          <w:rFonts w:ascii="Calibri Light"/>
          <w:color w:val="003399"/>
          <w:spacing w:val="-2"/>
          <w:sz w:val="32"/>
        </w:rPr>
        <w:t>the</w:t>
      </w:r>
      <w:r>
        <w:rPr>
          <w:rFonts w:ascii="Calibri Light"/>
          <w:color w:val="003399"/>
          <w:spacing w:val="-13"/>
          <w:sz w:val="32"/>
        </w:rPr>
        <w:t xml:space="preserve"> </w:t>
      </w:r>
      <w:r>
        <w:rPr>
          <w:rFonts w:ascii="Calibri Light"/>
          <w:color w:val="003399"/>
          <w:spacing w:val="-1"/>
          <w:sz w:val="32"/>
        </w:rPr>
        <w:t>UN</w:t>
      </w:r>
      <w:r>
        <w:rPr>
          <w:rFonts w:ascii="Calibri Light"/>
          <w:color w:val="003399"/>
          <w:spacing w:val="-13"/>
          <w:sz w:val="32"/>
        </w:rPr>
        <w:t xml:space="preserve"> </w:t>
      </w:r>
      <w:r>
        <w:rPr>
          <w:rFonts w:ascii="Calibri Light"/>
          <w:color w:val="003399"/>
          <w:spacing w:val="-1"/>
          <w:sz w:val="32"/>
        </w:rPr>
        <w:t>Sustainable</w:t>
      </w:r>
      <w:r>
        <w:rPr>
          <w:rFonts w:ascii="Calibri Light"/>
          <w:color w:val="003399"/>
          <w:spacing w:val="-16"/>
          <w:sz w:val="32"/>
        </w:rPr>
        <w:t xml:space="preserve"> </w:t>
      </w:r>
      <w:r>
        <w:rPr>
          <w:rFonts w:ascii="Calibri Light"/>
          <w:color w:val="003399"/>
          <w:spacing w:val="-1"/>
          <w:sz w:val="32"/>
        </w:rPr>
        <w:t>Development</w:t>
      </w:r>
      <w:r>
        <w:rPr>
          <w:rFonts w:ascii="Calibri Light"/>
          <w:color w:val="003399"/>
          <w:spacing w:val="-12"/>
          <w:sz w:val="32"/>
        </w:rPr>
        <w:t xml:space="preserve"> </w:t>
      </w:r>
      <w:r>
        <w:rPr>
          <w:rFonts w:ascii="Calibri Light"/>
          <w:color w:val="003399"/>
          <w:spacing w:val="-1"/>
          <w:sz w:val="32"/>
        </w:rPr>
        <w:t>Goals</w:t>
      </w:r>
    </w:p>
    <w:p w:rsidR="00A56FE9" w:rsidRDefault="00000000">
      <w:pPr>
        <w:spacing w:before="13"/>
        <w:ind w:left="592"/>
        <w:rPr>
          <w:rFonts w:ascii="Calibri Light"/>
          <w:sz w:val="32"/>
        </w:rPr>
      </w:pPr>
      <w:r>
        <w:rPr>
          <w:rFonts w:ascii="Calibri Light"/>
          <w:color w:val="003399"/>
          <w:sz w:val="32"/>
        </w:rPr>
        <w:t>(SDGs)</w:t>
      </w:r>
    </w:p>
    <w:p w:rsidR="00A56FE9" w:rsidRDefault="00A56FE9">
      <w:pPr>
        <w:pStyle w:val="Tijeloteksta"/>
        <w:spacing w:before="9"/>
        <w:ind w:left="0"/>
        <w:jc w:val="left"/>
        <w:rPr>
          <w:rFonts w:ascii="Calibri Light"/>
        </w:rPr>
      </w:pPr>
    </w:p>
    <w:p w:rsidR="00A56FE9" w:rsidRDefault="00CC1B9B">
      <w:pPr>
        <w:pStyle w:val="Naslov4"/>
      </w:pPr>
      <w:r>
        <w:rPr>
          <w:noProof/>
        </w:rPr>
        <mc:AlternateContent>
          <mc:Choice Requires="wps">
            <w:drawing>
              <wp:anchor distT="0" distB="0" distL="114300" distR="114300" simplePos="0" relativeHeight="15821824" behindDoc="0" locked="0" layoutInCell="1" allowOverlap="1">
                <wp:simplePos x="0" y="0"/>
                <wp:positionH relativeFrom="page">
                  <wp:posOffset>814070</wp:posOffset>
                </wp:positionH>
                <wp:positionV relativeFrom="paragraph">
                  <wp:posOffset>-1270</wp:posOffset>
                </wp:positionV>
                <wp:extent cx="18415" cy="341630"/>
                <wp:effectExtent l="0" t="0" r="0" b="0"/>
                <wp:wrapNone/>
                <wp:docPr id="17962294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3416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092B0" id="Rectangle 64" o:spid="_x0000_s1026" style="position:absolute;margin-left:64.1pt;margin-top:-.1pt;width:1.45pt;height:26.9pt;z-index:1582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" fillcolor="#da1f2c" stroked="f">
                <w10:wrap anchorx="page"/>
              </v:rect>
            </w:pict>
          </mc:Fallback>
        </mc:AlternateContent>
      </w:r>
      <w:r w:rsidR="00000000">
        <w:rPr>
          <w:color w:val="2C398A"/>
        </w:rPr>
        <w:t>Goal</w:t>
      </w:r>
      <w:r w:rsidR="00000000">
        <w:rPr>
          <w:color w:val="2C398A"/>
          <w:spacing w:val="-5"/>
        </w:rPr>
        <w:t xml:space="preserve"> </w:t>
      </w:r>
      <w:r w:rsidR="00000000">
        <w:rPr>
          <w:color w:val="2C398A"/>
        </w:rPr>
        <w:t>1.</w:t>
      </w:r>
      <w:r w:rsidR="00000000">
        <w:rPr>
          <w:color w:val="2C398A"/>
          <w:spacing w:val="-4"/>
        </w:rPr>
        <w:t xml:space="preserve"> </w:t>
      </w:r>
      <w:r w:rsidR="00000000">
        <w:rPr>
          <w:color w:val="2C398A"/>
        </w:rPr>
        <w:t>End</w:t>
      </w:r>
      <w:r w:rsidR="00000000">
        <w:rPr>
          <w:color w:val="2C398A"/>
          <w:spacing w:val="-4"/>
        </w:rPr>
        <w:t xml:space="preserve"> </w:t>
      </w:r>
      <w:r w:rsidR="00000000">
        <w:rPr>
          <w:color w:val="2C398A"/>
        </w:rPr>
        <w:t>poverty</w:t>
      </w:r>
      <w:r w:rsidR="00000000">
        <w:rPr>
          <w:color w:val="2C398A"/>
          <w:spacing w:val="-1"/>
        </w:rPr>
        <w:t xml:space="preserve"> </w:t>
      </w:r>
      <w:r w:rsidR="00000000">
        <w:rPr>
          <w:color w:val="2C398A"/>
        </w:rPr>
        <w:t>in</w:t>
      </w:r>
      <w:r w:rsidR="00000000">
        <w:rPr>
          <w:color w:val="2C398A"/>
          <w:spacing w:val="-5"/>
        </w:rPr>
        <w:t xml:space="preserve"> </w:t>
      </w:r>
      <w:r w:rsidR="00000000">
        <w:rPr>
          <w:color w:val="2C398A"/>
        </w:rPr>
        <w:t>all</w:t>
      </w:r>
      <w:r w:rsidR="00000000">
        <w:rPr>
          <w:color w:val="2C398A"/>
          <w:spacing w:val="-4"/>
        </w:rPr>
        <w:t xml:space="preserve"> </w:t>
      </w:r>
      <w:r w:rsidR="00000000">
        <w:rPr>
          <w:color w:val="2C398A"/>
        </w:rPr>
        <w:t>its</w:t>
      </w:r>
      <w:r w:rsidR="00000000">
        <w:rPr>
          <w:color w:val="2C398A"/>
          <w:spacing w:val="-4"/>
        </w:rPr>
        <w:t xml:space="preserve"> </w:t>
      </w:r>
      <w:r w:rsidR="00000000">
        <w:rPr>
          <w:color w:val="2C398A"/>
        </w:rPr>
        <w:t>forms</w:t>
      </w:r>
      <w:r w:rsidR="00000000">
        <w:rPr>
          <w:color w:val="2C398A"/>
          <w:spacing w:val="-4"/>
        </w:rPr>
        <w:t xml:space="preserve"> </w:t>
      </w:r>
      <w:r w:rsidR="00000000">
        <w:rPr>
          <w:color w:val="2C398A"/>
        </w:rPr>
        <w:t>everywhere</w:t>
      </w:r>
    </w:p>
    <w:p w:rsidR="00A56FE9" w:rsidRDefault="00000000">
      <w:pPr>
        <w:pStyle w:val="Tijeloteksta"/>
        <w:spacing w:before="231"/>
        <w:ind w:right="274"/>
      </w:pPr>
      <w:r>
        <w:t>In 2021, three national plans were adopted along with the accompanying action plans: the</w:t>
      </w:r>
      <w:r>
        <w:rPr>
          <w:spacing w:val="1"/>
        </w:rPr>
        <w:t xml:space="preserve"> </w:t>
      </w:r>
      <w:r>
        <w:rPr>
          <w:spacing w:val="-1"/>
        </w:rPr>
        <w:t>National</w:t>
      </w:r>
      <w:r>
        <w:rPr>
          <w:spacing w:val="-12"/>
        </w:rPr>
        <w:t xml:space="preserve"> </w:t>
      </w:r>
      <w:r>
        <w:rPr>
          <w:spacing w:val="-1"/>
        </w:rPr>
        <w:t>Plan</w:t>
      </w:r>
      <w:r>
        <w:rPr>
          <w:spacing w:val="-13"/>
        </w:rPr>
        <w:t xml:space="preserve"> </w:t>
      </w:r>
      <w:r>
        <w:rPr>
          <w:spacing w:val="-1"/>
        </w:rPr>
        <w:t>for</w:t>
      </w:r>
      <w:r>
        <w:rPr>
          <w:spacing w:val="-14"/>
        </w:rPr>
        <w:t xml:space="preserve"> </w:t>
      </w:r>
      <w:r>
        <w:t>Equalisation</w:t>
      </w:r>
      <w:r>
        <w:rPr>
          <w:spacing w:val="-12"/>
        </w:rPr>
        <w:t xml:space="preserve"> </w:t>
      </w:r>
      <w:r>
        <w:t>of</w:t>
      </w:r>
      <w:r>
        <w:rPr>
          <w:spacing w:val="-13"/>
        </w:rPr>
        <w:t xml:space="preserve"> </w:t>
      </w:r>
      <w:r>
        <w:t>Opportunities</w:t>
      </w:r>
      <w:r>
        <w:rPr>
          <w:spacing w:val="-12"/>
        </w:rPr>
        <w:t xml:space="preserve"> </w:t>
      </w:r>
      <w:r>
        <w:t>for</w:t>
      </w:r>
      <w:r>
        <w:rPr>
          <w:spacing w:val="-14"/>
        </w:rPr>
        <w:t xml:space="preserve"> </w:t>
      </w:r>
      <w:r>
        <w:t>Persons</w:t>
      </w:r>
      <w:r>
        <w:rPr>
          <w:spacing w:val="-13"/>
        </w:rPr>
        <w:t xml:space="preserve"> </w:t>
      </w:r>
      <w:r>
        <w:t>with</w:t>
      </w:r>
      <w:r>
        <w:rPr>
          <w:spacing w:val="-11"/>
        </w:rPr>
        <w:t xml:space="preserve"> </w:t>
      </w:r>
      <w:r>
        <w:t>Disabilities</w:t>
      </w:r>
      <w:r>
        <w:rPr>
          <w:spacing w:val="-15"/>
        </w:rPr>
        <w:t xml:space="preserve"> </w:t>
      </w:r>
      <w:r>
        <w:t>for</w:t>
      </w:r>
      <w:r>
        <w:rPr>
          <w:spacing w:val="-14"/>
        </w:rPr>
        <w:t xml:space="preserve"> </w:t>
      </w:r>
      <w:r>
        <w:t>the</w:t>
      </w:r>
      <w:r>
        <w:rPr>
          <w:spacing w:val="-13"/>
        </w:rPr>
        <w:t xml:space="preserve"> </w:t>
      </w:r>
      <w:r>
        <w:t>period</w:t>
      </w:r>
      <w:r>
        <w:rPr>
          <w:spacing w:val="-13"/>
        </w:rPr>
        <w:t xml:space="preserve"> </w:t>
      </w:r>
      <w:r>
        <w:t>from</w:t>
      </w:r>
      <w:r>
        <w:rPr>
          <w:spacing w:val="-58"/>
        </w:rPr>
        <w:t xml:space="preserve"> </w:t>
      </w:r>
      <w:r>
        <w:rPr>
          <w:spacing w:val="-1"/>
        </w:rPr>
        <w:t>2021</w:t>
      </w:r>
      <w:r>
        <w:rPr>
          <w:spacing w:val="-12"/>
        </w:rPr>
        <w:t xml:space="preserve"> </w:t>
      </w:r>
      <w:r>
        <w:rPr>
          <w:spacing w:val="-1"/>
        </w:rPr>
        <w:t>to</w:t>
      </w:r>
      <w:r>
        <w:rPr>
          <w:spacing w:val="-12"/>
        </w:rPr>
        <w:t xml:space="preserve"> </w:t>
      </w:r>
      <w:r>
        <w:rPr>
          <w:spacing w:val="-1"/>
        </w:rPr>
        <w:t>2027</w:t>
      </w:r>
      <w:r>
        <w:rPr>
          <w:spacing w:val="-12"/>
        </w:rPr>
        <w:t xml:space="preserve"> </w:t>
      </w:r>
      <w:r>
        <w:rPr>
          <w:spacing w:val="-1"/>
        </w:rPr>
        <w:t>and</w:t>
      </w:r>
      <w:r>
        <w:rPr>
          <w:spacing w:val="-14"/>
        </w:rPr>
        <w:t xml:space="preserve"> </w:t>
      </w:r>
      <w:r>
        <w:rPr>
          <w:spacing w:val="-1"/>
        </w:rPr>
        <w:t>the</w:t>
      </w:r>
      <w:r>
        <w:rPr>
          <w:spacing w:val="-13"/>
        </w:rPr>
        <w:t xml:space="preserve"> </w:t>
      </w:r>
      <w:r>
        <w:rPr>
          <w:spacing w:val="-1"/>
        </w:rPr>
        <w:t>Action</w:t>
      </w:r>
      <w:r>
        <w:rPr>
          <w:spacing w:val="-12"/>
        </w:rPr>
        <w:t xml:space="preserve"> </w:t>
      </w:r>
      <w:r>
        <w:t>Plan</w:t>
      </w:r>
      <w:r>
        <w:rPr>
          <w:spacing w:val="-13"/>
        </w:rPr>
        <w:t xml:space="preserve"> </w:t>
      </w:r>
      <w:r>
        <w:t>for</w:t>
      </w:r>
      <w:r>
        <w:rPr>
          <w:spacing w:val="-13"/>
        </w:rPr>
        <w:t xml:space="preserve"> </w:t>
      </w:r>
      <w:r>
        <w:t>Equalisation</w:t>
      </w:r>
      <w:r>
        <w:rPr>
          <w:spacing w:val="-12"/>
        </w:rPr>
        <w:t xml:space="preserve"> </w:t>
      </w:r>
      <w:r>
        <w:t>of</w:t>
      </w:r>
      <w:r>
        <w:rPr>
          <w:spacing w:val="-13"/>
        </w:rPr>
        <w:t xml:space="preserve"> </w:t>
      </w:r>
      <w:r>
        <w:t>Opportunities</w:t>
      </w:r>
      <w:r>
        <w:rPr>
          <w:spacing w:val="-12"/>
        </w:rPr>
        <w:t xml:space="preserve"> </w:t>
      </w:r>
      <w:r>
        <w:t>for</w:t>
      </w:r>
      <w:r>
        <w:rPr>
          <w:spacing w:val="-14"/>
        </w:rPr>
        <w:t xml:space="preserve"> </w:t>
      </w:r>
      <w:r>
        <w:t>Persons</w:t>
      </w:r>
      <w:r>
        <w:rPr>
          <w:spacing w:val="-12"/>
        </w:rPr>
        <w:t xml:space="preserve"> </w:t>
      </w:r>
      <w:r>
        <w:t>with</w:t>
      </w:r>
      <w:r>
        <w:rPr>
          <w:spacing w:val="-12"/>
        </w:rPr>
        <w:t xml:space="preserve"> </w:t>
      </w:r>
      <w:r>
        <w:t>Disabilities</w:t>
      </w:r>
      <w:r>
        <w:rPr>
          <w:spacing w:val="-58"/>
        </w:rPr>
        <w:t xml:space="preserve"> </w:t>
      </w:r>
      <w:r>
        <w:t>for</w:t>
      </w:r>
      <w:r>
        <w:rPr>
          <w:spacing w:val="-8"/>
        </w:rPr>
        <w:t xml:space="preserve"> </w:t>
      </w:r>
      <w:r>
        <w:t>the</w:t>
      </w:r>
      <w:r>
        <w:rPr>
          <w:spacing w:val="-5"/>
        </w:rPr>
        <w:t xml:space="preserve"> </w:t>
      </w:r>
      <w:r>
        <w:t>period</w:t>
      </w:r>
      <w:r>
        <w:rPr>
          <w:spacing w:val="-3"/>
        </w:rPr>
        <w:t xml:space="preserve"> </w:t>
      </w:r>
      <w:r>
        <w:t>from</w:t>
      </w:r>
      <w:r>
        <w:rPr>
          <w:spacing w:val="-6"/>
        </w:rPr>
        <w:t xml:space="preserve"> </w:t>
      </w:r>
      <w:r>
        <w:t>2021</w:t>
      </w:r>
      <w:r>
        <w:rPr>
          <w:spacing w:val="-1"/>
        </w:rPr>
        <w:t xml:space="preserve"> </w:t>
      </w:r>
      <w:r>
        <w:t>to</w:t>
      </w:r>
      <w:r>
        <w:rPr>
          <w:spacing w:val="-6"/>
        </w:rPr>
        <w:t xml:space="preserve"> </w:t>
      </w:r>
      <w:r>
        <w:t>2024;</w:t>
      </w:r>
      <w:r>
        <w:rPr>
          <w:spacing w:val="-5"/>
        </w:rPr>
        <w:t xml:space="preserve"> </w:t>
      </w:r>
      <w:r>
        <w:t>National</w:t>
      </w:r>
      <w:r>
        <w:rPr>
          <w:spacing w:val="-6"/>
        </w:rPr>
        <w:t xml:space="preserve"> </w:t>
      </w:r>
      <w:r>
        <w:t>Plan</w:t>
      </w:r>
      <w:r>
        <w:rPr>
          <w:spacing w:val="-4"/>
        </w:rPr>
        <w:t xml:space="preserve"> </w:t>
      </w:r>
      <w:r>
        <w:t>for</w:t>
      </w:r>
      <w:r>
        <w:rPr>
          <w:spacing w:val="-6"/>
        </w:rPr>
        <w:t xml:space="preserve"> </w:t>
      </w:r>
      <w:r>
        <w:t>the</w:t>
      </w:r>
      <w:r>
        <w:rPr>
          <w:spacing w:val="-4"/>
        </w:rPr>
        <w:t xml:space="preserve"> </w:t>
      </w:r>
      <w:r>
        <w:t>Development</w:t>
      </w:r>
      <w:r>
        <w:rPr>
          <w:spacing w:val="-5"/>
        </w:rPr>
        <w:t xml:space="preserve"> </w:t>
      </w:r>
      <w:r>
        <w:t>of</w:t>
      </w:r>
      <w:r>
        <w:rPr>
          <w:spacing w:val="-7"/>
        </w:rPr>
        <w:t xml:space="preserve"> </w:t>
      </w:r>
      <w:r>
        <w:t>Social</w:t>
      </w:r>
      <w:r>
        <w:rPr>
          <w:spacing w:val="-5"/>
        </w:rPr>
        <w:t xml:space="preserve"> </w:t>
      </w:r>
      <w:r>
        <w:t>Services</w:t>
      </w:r>
      <w:r>
        <w:rPr>
          <w:spacing w:val="-4"/>
        </w:rPr>
        <w:t xml:space="preserve"> </w:t>
      </w:r>
      <w:r>
        <w:t>for</w:t>
      </w:r>
      <w:r>
        <w:rPr>
          <w:spacing w:val="-5"/>
        </w:rPr>
        <w:t xml:space="preserve"> </w:t>
      </w:r>
      <w:r>
        <w:t>the</w:t>
      </w:r>
      <w:r>
        <w:rPr>
          <w:spacing w:val="-58"/>
        </w:rPr>
        <w:t xml:space="preserve"> </w:t>
      </w:r>
      <w:r>
        <w:t>Period 2021 to 2027 and Action Plan for the Development of Social Services for the Period</w:t>
      </w:r>
      <w:r>
        <w:rPr>
          <w:spacing w:val="1"/>
        </w:rPr>
        <w:t xml:space="preserve"> </w:t>
      </w:r>
      <w:r>
        <w:t>2021 to 2024; National Plan for Combating Poverty and Social Exclusion for the period from</w:t>
      </w:r>
      <w:r>
        <w:rPr>
          <w:spacing w:val="1"/>
        </w:rPr>
        <w:t xml:space="preserve"> </w:t>
      </w:r>
      <w:r>
        <w:t>2021 to 2027 and the Action Plan for Combating Poverty and Social Exclusion for the period</w:t>
      </w:r>
      <w:r>
        <w:rPr>
          <w:spacing w:val="1"/>
        </w:rPr>
        <w:t xml:space="preserve"> </w:t>
      </w:r>
      <w:r>
        <w:t>from 2021 to 2024. In January 2022, the new Social Welfare Act was adopted. Also coming</w:t>
      </w:r>
      <w:r>
        <w:rPr>
          <w:spacing w:val="1"/>
        </w:rPr>
        <w:t xml:space="preserve"> </w:t>
      </w:r>
      <w:r>
        <w:t>into force in January 2021 is the National Elderly Allowance Act, which introduced a national</w:t>
      </w:r>
      <w:r>
        <w:rPr>
          <w:spacing w:val="-57"/>
        </w:rPr>
        <w:t xml:space="preserve"> </w:t>
      </w:r>
      <w:r>
        <w:t>allowance for the elderly, providing income for the most vulnerable categories of the elderly</w:t>
      </w:r>
      <w:r>
        <w:rPr>
          <w:spacing w:val="1"/>
        </w:rPr>
        <w:t xml:space="preserve"> </w:t>
      </w:r>
      <w:r>
        <w:t>population, mostly women, who were not able to secure an income for their old age through</w:t>
      </w:r>
      <w:r>
        <w:rPr>
          <w:spacing w:val="1"/>
        </w:rPr>
        <w:t xml:space="preserve"> </w:t>
      </w:r>
      <w:r>
        <w:t>employment and they were not able to do so in any other way. The amount of the national</w:t>
      </w:r>
      <w:r>
        <w:rPr>
          <w:spacing w:val="1"/>
        </w:rPr>
        <w:t xml:space="preserve"> </w:t>
      </w:r>
      <w:r>
        <w:t>benefit</w:t>
      </w:r>
      <w:r>
        <w:rPr>
          <w:spacing w:val="-6"/>
        </w:rPr>
        <w:t xml:space="preserve"> </w:t>
      </w:r>
      <w:r>
        <w:t>for</w:t>
      </w:r>
      <w:r>
        <w:rPr>
          <w:spacing w:val="-7"/>
        </w:rPr>
        <w:t xml:space="preserve"> </w:t>
      </w:r>
      <w:r>
        <w:t>the</w:t>
      </w:r>
      <w:r>
        <w:rPr>
          <w:spacing w:val="-6"/>
        </w:rPr>
        <w:t xml:space="preserve"> </w:t>
      </w:r>
      <w:r>
        <w:t>elderly</w:t>
      </w:r>
      <w:r>
        <w:rPr>
          <w:spacing w:val="-10"/>
        </w:rPr>
        <w:t xml:space="preserve"> </w:t>
      </w:r>
      <w:r>
        <w:t>is</w:t>
      </w:r>
      <w:r>
        <w:rPr>
          <w:spacing w:val="-5"/>
        </w:rPr>
        <w:t xml:space="preserve"> </w:t>
      </w:r>
      <w:r>
        <w:t>set</w:t>
      </w:r>
      <w:r>
        <w:rPr>
          <w:spacing w:val="-6"/>
        </w:rPr>
        <w:t xml:space="preserve"> </w:t>
      </w:r>
      <w:r>
        <w:t>at</w:t>
      </w:r>
      <w:r>
        <w:rPr>
          <w:spacing w:val="-5"/>
        </w:rPr>
        <w:t xml:space="preserve"> </w:t>
      </w:r>
      <w:r>
        <w:t>HRK</w:t>
      </w:r>
      <w:r>
        <w:rPr>
          <w:spacing w:val="-6"/>
        </w:rPr>
        <w:t xml:space="preserve"> </w:t>
      </w:r>
      <w:r>
        <w:t>800.</w:t>
      </w:r>
      <w:r>
        <w:rPr>
          <w:spacing w:val="-5"/>
        </w:rPr>
        <w:t xml:space="preserve"> </w:t>
      </w:r>
      <w:r>
        <w:t>The</w:t>
      </w:r>
      <w:r>
        <w:rPr>
          <w:spacing w:val="-6"/>
        </w:rPr>
        <w:t xml:space="preserve"> </w:t>
      </w:r>
      <w:r>
        <w:t>adoption</w:t>
      </w:r>
      <w:r>
        <w:rPr>
          <w:spacing w:val="-6"/>
        </w:rPr>
        <w:t xml:space="preserve"> </w:t>
      </w:r>
      <w:r>
        <w:t>of</w:t>
      </w:r>
      <w:r>
        <w:rPr>
          <w:spacing w:val="-6"/>
        </w:rPr>
        <w:t xml:space="preserve"> </w:t>
      </w:r>
      <w:r>
        <w:t>these</w:t>
      </w:r>
      <w:r>
        <w:rPr>
          <w:spacing w:val="-6"/>
        </w:rPr>
        <w:t xml:space="preserve"> </w:t>
      </w:r>
      <w:r>
        <w:t>acts</w:t>
      </w:r>
      <w:r>
        <w:rPr>
          <w:spacing w:val="-5"/>
        </w:rPr>
        <w:t xml:space="preserve"> </w:t>
      </w:r>
      <w:r>
        <w:t>creates</w:t>
      </w:r>
      <w:r>
        <w:rPr>
          <w:spacing w:val="-5"/>
        </w:rPr>
        <w:t xml:space="preserve"> </w:t>
      </w:r>
      <w:r>
        <w:t>a</w:t>
      </w:r>
      <w:r>
        <w:rPr>
          <w:spacing w:val="-4"/>
        </w:rPr>
        <w:t xml:space="preserve"> </w:t>
      </w:r>
      <w:r>
        <w:t>policy</w:t>
      </w:r>
      <w:r>
        <w:rPr>
          <w:spacing w:val="-11"/>
        </w:rPr>
        <w:t xml:space="preserve"> </w:t>
      </w:r>
      <w:r>
        <w:t>framework</w:t>
      </w:r>
      <w:r>
        <w:rPr>
          <w:spacing w:val="-57"/>
        </w:rPr>
        <w:t xml:space="preserve"> </w:t>
      </w:r>
      <w:r>
        <w:t>at the national level to support poverty eradication. For the purpose of setting up the Child</w:t>
      </w:r>
      <w:r>
        <w:rPr>
          <w:spacing w:val="1"/>
        </w:rPr>
        <w:t xml:space="preserve"> </w:t>
      </w:r>
      <w:r>
        <w:t>Guarantee in Croatia, currently in preparation is the proposed National Implementation Plan</w:t>
      </w:r>
      <w:r>
        <w:rPr>
          <w:spacing w:val="1"/>
        </w:rPr>
        <w:t xml:space="preserve"> </w:t>
      </w:r>
      <w:r>
        <w:t>based</w:t>
      </w:r>
      <w:r>
        <w:rPr>
          <w:spacing w:val="-7"/>
        </w:rPr>
        <w:t xml:space="preserve"> </w:t>
      </w:r>
      <w:r>
        <w:t>on</w:t>
      </w:r>
      <w:r>
        <w:rPr>
          <w:spacing w:val="-6"/>
        </w:rPr>
        <w:t xml:space="preserve"> </w:t>
      </w:r>
      <w:r>
        <w:t>in-depth</w:t>
      </w:r>
      <w:r>
        <w:rPr>
          <w:spacing w:val="-3"/>
        </w:rPr>
        <w:t xml:space="preserve"> </w:t>
      </w:r>
      <w:r>
        <w:t>analysis</w:t>
      </w:r>
      <w:r>
        <w:rPr>
          <w:spacing w:val="-6"/>
        </w:rPr>
        <w:t xml:space="preserve"> </w:t>
      </w:r>
      <w:r>
        <w:t>of</w:t>
      </w:r>
      <w:r>
        <w:rPr>
          <w:spacing w:val="-7"/>
        </w:rPr>
        <w:t xml:space="preserve"> </w:t>
      </w:r>
      <w:r>
        <w:t>policies,</w:t>
      </w:r>
      <w:r>
        <w:rPr>
          <w:spacing w:val="-6"/>
        </w:rPr>
        <w:t xml:space="preserve"> </w:t>
      </w:r>
      <w:r>
        <w:t>programs,</w:t>
      </w:r>
      <w:r>
        <w:rPr>
          <w:spacing w:val="-6"/>
        </w:rPr>
        <w:t xml:space="preserve"> </w:t>
      </w:r>
      <w:r>
        <w:t>services,</w:t>
      </w:r>
      <w:r>
        <w:rPr>
          <w:spacing w:val="-6"/>
        </w:rPr>
        <w:t xml:space="preserve"> </w:t>
      </w:r>
      <w:r>
        <w:t>budgets</w:t>
      </w:r>
      <w:r>
        <w:rPr>
          <w:spacing w:val="-6"/>
        </w:rPr>
        <w:t xml:space="preserve"> </w:t>
      </w:r>
      <w:r>
        <w:t>and</w:t>
      </w:r>
      <w:r>
        <w:rPr>
          <w:spacing w:val="-6"/>
        </w:rPr>
        <w:t xml:space="preserve"> </w:t>
      </w:r>
      <w:r>
        <w:t>mechanisms</w:t>
      </w:r>
      <w:r>
        <w:rPr>
          <w:spacing w:val="-6"/>
        </w:rPr>
        <w:t xml:space="preserve"> </w:t>
      </w:r>
      <w:r>
        <w:t>directed</w:t>
      </w:r>
      <w:r>
        <w:rPr>
          <w:spacing w:val="-7"/>
        </w:rPr>
        <w:t xml:space="preserve"> </w:t>
      </w:r>
      <w:r>
        <w:t>to</w:t>
      </w:r>
      <w:r>
        <w:rPr>
          <w:spacing w:val="-58"/>
        </w:rPr>
        <w:t xml:space="preserve"> </w:t>
      </w:r>
      <w:r>
        <w:t>child</w:t>
      </w:r>
      <w:r>
        <w:rPr>
          <w:spacing w:val="1"/>
        </w:rPr>
        <w:t xml:space="preserve"> </w:t>
      </w:r>
      <w:r>
        <w:t>poverty,</w:t>
      </w:r>
      <w:r>
        <w:rPr>
          <w:spacing w:val="1"/>
        </w:rPr>
        <w:t xml:space="preserve"> </w:t>
      </w:r>
      <w:r>
        <w:t>social</w:t>
      </w:r>
      <w:r>
        <w:rPr>
          <w:spacing w:val="1"/>
        </w:rPr>
        <w:t xml:space="preserve"> </w:t>
      </w:r>
      <w:r>
        <w:t>exclusion</w:t>
      </w:r>
      <w:r>
        <w:rPr>
          <w:spacing w:val="1"/>
        </w:rPr>
        <w:t xml:space="preserve"> </w:t>
      </w:r>
      <w:r>
        <w:t>and</w:t>
      </w:r>
      <w:r>
        <w:rPr>
          <w:spacing w:val="1"/>
        </w:rPr>
        <w:t xml:space="preserve"> </w:t>
      </w:r>
      <w:r>
        <w:t>access</w:t>
      </w:r>
      <w:r>
        <w:rPr>
          <w:spacing w:val="1"/>
        </w:rPr>
        <w:t xml:space="preserve"> </w:t>
      </w:r>
      <w:r>
        <w:t>to</w:t>
      </w:r>
      <w:r>
        <w:rPr>
          <w:spacing w:val="1"/>
        </w:rPr>
        <w:t xml:space="preserve"> </w:t>
      </w:r>
      <w:r>
        <w:t>services</w:t>
      </w:r>
      <w:r>
        <w:rPr>
          <w:spacing w:val="1"/>
        </w:rPr>
        <w:t xml:space="preserve"> </w:t>
      </w:r>
      <w:r>
        <w:t>in</w:t>
      </w:r>
      <w:r>
        <w:rPr>
          <w:spacing w:val="1"/>
        </w:rPr>
        <w:t xml:space="preserve"> </w:t>
      </w:r>
      <w:r>
        <w:t>Croatia,</w:t>
      </w:r>
      <w:r>
        <w:rPr>
          <w:spacing w:val="1"/>
        </w:rPr>
        <w:t xml:space="preserve"> </w:t>
      </w:r>
      <w:r>
        <w:t>which</w:t>
      </w:r>
      <w:r>
        <w:rPr>
          <w:spacing w:val="1"/>
        </w:rPr>
        <w:t xml:space="preserve"> </w:t>
      </w:r>
      <w:r>
        <w:t>will</w:t>
      </w:r>
      <w:r>
        <w:rPr>
          <w:spacing w:val="1"/>
        </w:rPr>
        <w:t xml:space="preserve"> </w:t>
      </w:r>
      <w:r>
        <w:t>result</w:t>
      </w:r>
      <w:r>
        <w:rPr>
          <w:spacing w:val="1"/>
        </w:rPr>
        <w:t xml:space="preserve"> </w:t>
      </w:r>
      <w:r>
        <w:t>in</w:t>
      </w:r>
      <w:r>
        <w:rPr>
          <w:spacing w:val="1"/>
        </w:rPr>
        <w:t xml:space="preserve"> </w:t>
      </w:r>
      <w:r>
        <w:t>improvements to national policies and programs related to child poverty and issues involving</w:t>
      </w:r>
      <w:r>
        <w:rPr>
          <w:spacing w:val="1"/>
        </w:rPr>
        <w:t xml:space="preserve"> </w:t>
      </w:r>
      <w:r>
        <w:t>social</w:t>
      </w:r>
      <w:r>
        <w:rPr>
          <w:spacing w:val="-1"/>
        </w:rPr>
        <w:t xml:space="preserve"> </w:t>
      </w:r>
      <w:r>
        <w:t>exclusion as well as monitoring</w:t>
      </w:r>
      <w:r>
        <w:rPr>
          <w:spacing w:val="-4"/>
        </w:rPr>
        <w:t xml:space="preserve"> </w:t>
      </w:r>
      <w:r>
        <w:t>and evaluating</w:t>
      </w:r>
      <w:r>
        <w:rPr>
          <w:spacing w:val="-2"/>
        </w:rPr>
        <w:t xml:space="preserve"> </w:t>
      </w:r>
      <w:r>
        <w:t>such</w:t>
      </w:r>
      <w:r>
        <w:rPr>
          <w:spacing w:val="2"/>
        </w:rPr>
        <w:t xml:space="preserve"> </w:t>
      </w:r>
      <w:r>
        <w:t>activities.</w:t>
      </w:r>
    </w:p>
    <w:p w:rsidR="00A56FE9" w:rsidRDefault="00CC1B9B">
      <w:pPr>
        <w:pStyle w:val="Tijeloteksta"/>
        <w:spacing w:before="10"/>
        <w:ind w:left="0"/>
        <w:jc w:val="left"/>
        <w:rPr>
          <w:sz w:val="13"/>
        </w:rPr>
      </w:pPr>
      <w:r>
        <w:rPr>
          <w:noProof/>
        </w:rPr>
        <mc:AlternateContent>
          <mc:Choice Requires="wps">
            <w:drawing>
              <wp:anchor distT="0" distB="0" distL="0" distR="0" simplePos="0" relativeHeight="487680000" behindDoc="1" locked="0" layoutInCell="1" allowOverlap="1">
                <wp:simplePos x="0" y="0"/>
                <wp:positionH relativeFrom="page">
                  <wp:posOffset>882650</wp:posOffset>
                </wp:positionH>
                <wp:positionV relativeFrom="paragraph">
                  <wp:posOffset>126365</wp:posOffset>
                </wp:positionV>
                <wp:extent cx="574675" cy="18415"/>
                <wp:effectExtent l="0" t="0" r="0" b="0"/>
                <wp:wrapTopAndBottom/>
                <wp:docPr id="128036548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E8B9F" id="Rectangle 63" o:spid="_x0000_s1026" style="position:absolute;margin-left:69.5pt;margin-top:9.95pt;width:45.25pt;height:1.45pt;z-index:-15636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6"/>
      </w:pPr>
      <w:r>
        <w:t>Regulations</w:t>
      </w:r>
      <w:r>
        <w:rPr>
          <w:spacing w:val="1"/>
        </w:rPr>
        <w:t xml:space="preserve"> </w:t>
      </w:r>
      <w:r>
        <w:t>in</w:t>
      </w:r>
      <w:r>
        <w:rPr>
          <w:spacing w:val="1"/>
        </w:rPr>
        <w:t xml:space="preserve"> </w:t>
      </w:r>
      <w:r>
        <w:t>the</w:t>
      </w:r>
      <w:r>
        <w:rPr>
          <w:spacing w:val="1"/>
        </w:rPr>
        <w:t xml:space="preserve"> </w:t>
      </w:r>
      <w:r>
        <w:t>field</w:t>
      </w:r>
      <w:r>
        <w:rPr>
          <w:spacing w:val="1"/>
        </w:rPr>
        <w:t xml:space="preserve"> </w:t>
      </w:r>
      <w:r>
        <w:t>of</w:t>
      </w:r>
      <w:r>
        <w:rPr>
          <w:spacing w:val="1"/>
        </w:rPr>
        <w:t xml:space="preserve"> </w:t>
      </w:r>
      <w:r>
        <w:t>agriculture</w:t>
      </w:r>
      <w:r>
        <w:rPr>
          <w:spacing w:val="1"/>
        </w:rPr>
        <w:t xml:space="preserve"> </w:t>
      </w:r>
      <w:r>
        <w:t>ensure</w:t>
      </w:r>
      <w:r>
        <w:rPr>
          <w:spacing w:val="1"/>
        </w:rPr>
        <w:t xml:space="preserve"> </w:t>
      </w:r>
      <w:r>
        <w:t>equal</w:t>
      </w:r>
      <w:r>
        <w:rPr>
          <w:spacing w:val="1"/>
        </w:rPr>
        <w:t xml:space="preserve"> </w:t>
      </w:r>
      <w:r>
        <w:t>rights</w:t>
      </w:r>
      <w:r>
        <w:rPr>
          <w:spacing w:val="1"/>
        </w:rPr>
        <w:t xml:space="preserve"> </w:t>
      </w:r>
      <w:r>
        <w:t>for</w:t>
      </w:r>
      <w:r>
        <w:rPr>
          <w:spacing w:val="1"/>
        </w:rPr>
        <w:t xml:space="preserve"> </w:t>
      </w:r>
      <w:r>
        <w:t>the</w:t>
      </w:r>
      <w:r>
        <w:rPr>
          <w:spacing w:val="1"/>
        </w:rPr>
        <w:t xml:space="preserve"> </w:t>
      </w:r>
      <w:r>
        <w:t>possibility</w:t>
      </w:r>
      <w:r>
        <w:rPr>
          <w:spacing w:val="1"/>
        </w:rPr>
        <w:t xml:space="preserve"> </w:t>
      </w:r>
      <w:r>
        <w:t>of</w:t>
      </w:r>
      <w:r>
        <w:rPr>
          <w:spacing w:val="1"/>
        </w:rPr>
        <w:t xml:space="preserve"> </w:t>
      </w:r>
      <w:r>
        <w:t>farm</w:t>
      </w:r>
      <w:r>
        <w:rPr>
          <w:spacing w:val="1"/>
        </w:rPr>
        <w:t xml:space="preserve"> </w:t>
      </w:r>
      <w:r>
        <w:t>management, use of agricultural resources and the use of agricultural support funds, including</w:t>
      </w:r>
      <w:r>
        <w:rPr>
          <w:spacing w:val="-57"/>
        </w:rPr>
        <w:t xml:space="preserve"> </w:t>
      </w:r>
      <w:r>
        <w:t>funds</w:t>
      </w:r>
      <w:r>
        <w:rPr>
          <w:spacing w:val="-1"/>
        </w:rPr>
        <w:t xml:space="preserve"> </w:t>
      </w:r>
      <w:r>
        <w:t>from agricultural funds</w:t>
      </w:r>
      <w:r>
        <w:rPr>
          <w:spacing w:val="-1"/>
        </w:rPr>
        <w:t xml:space="preserve"> </w:t>
      </w:r>
      <w:r>
        <w:t>for</w:t>
      </w:r>
      <w:r>
        <w:rPr>
          <w:spacing w:val="-2"/>
        </w:rPr>
        <w:t xml:space="preserve"> </w:t>
      </w:r>
      <w:r>
        <w:t>investments in</w:t>
      </w:r>
      <w:r>
        <w:rPr>
          <w:spacing w:val="-1"/>
        </w:rPr>
        <w:t xml:space="preserve"> </w:t>
      </w:r>
      <w:r>
        <w:t>agricultural holdings.</w:t>
      </w:r>
    </w:p>
    <w:p w:rsidR="00A56FE9" w:rsidRDefault="00A56FE9">
      <w:pPr>
        <w:pStyle w:val="Tijeloteksta"/>
        <w:spacing w:before="9"/>
        <w:ind w:left="0"/>
        <w:jc w:val="left"/>
        <w:rPr>
          <w:sz w:val="31"/>
        </w:rPr>
      </w:pPr>
    </w:p>
    <w:p w:rsidR="00A56FE9" w:rsidRDefault="00CC1B9B">
      <w:pPr>
        <w:pStyle w:val="Naslov4"/>
        <w:ind w:right="282"/>
      </w:pPr>
      <w:r>
        <w:rPr>
          <w:noProof/>
        </w:rPr>
        <mc:AlternateContent>
          <mc:Choice Requires="wps">
            <w:drawing>
              <wp:anchor distT="0" distB="0" distL="114300" distR="114300" simplePos="0" relativeHeight="15822336" behindDoc="0" locked="0" layoutInCell="1" allowOverlap="1">
                <wp:simplePos x="0" y="0"/>
                <wp:positionH relativeFrom="page">
                  <wp:posOffset>814070</wp:posOffset>
                </wp:positionH>
                <wp:positionV relativeFrom="paragraph">
                  <wp:posOffset>-152400</wp:posOffset>
                </wp:positionV>
                <wp:extent cx="18415" cy="608330"/>
                <wp:effectExtent l="0" t="0" r="0" b="0"/>
                <wp:wrapNone/>
                <wp:docPr id="334607480"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330"/>
                        </a:xfrm>
                        <a:custGeom>
                          <a:avLst/>
                          <a:gdLst>
                            <a:gd name="T0" fmla="+- 0 1311 1282"/>
                            <a:gd name="T1" fmla="*/ T0 w 29"/>
                            <a:gd name="T2" fmla="+- 0 -240 -240"/>
                            <a:gd name="T3" fmla="*/ -240 h 958"/>
                            <a:gd name="T4" fmla="+- 0 1282 1282"/>
                            <a:gd name="T5" fmla="*/ T4 w 29"/>
                            <a:gd name="T6" fmla="+- 0 -240 -240"/>
                            <a:gd name="T7" fmla="*/ -240 h 958"/>
                            <a:gd name="T8" fmla="+- 0 1282 1282"/>
                            <a:gd name="T9" fmla="*/ T8 w 29"/>
                            <a:gd name="T10" fmla="+- 0 298 -240"/>
                            <a:gd name="T11" fmla="*/ 298 h 958"/>
                            <a:gd name="T12" fmla="+- 0 1282 1282"/>
                            <a:gd name="T13" fmla="*/ T12 w 29"/>
                            <a:gd name="T14" fmla="+- 0 718 -240"/>
                            <a:gd name="T15" fmla="*/ 718 h 958"/>
                            <a:gd name="T16" fmla="+- 0 1311 1282"/>
                            <a:gd name="T17" fmla="*/ T16 w 29"/>
                            <a:gd name="T18" fmla="+- 0 718 -240"/>
                            <a:gd name="T19" fmla="*/ 718 h 958"/>
                            <a:gd name="T20" fmla="+- 0 1311 1282"/>
                            <a:gd name="T21" fmla="*/ T20 w 29"/>
                            <a:gd name="T22" fmla="+- 0 298 -240"/>
                            <a:gd name="T23" fmla="*/ 298 h 958"/>
                            <a:gd name="T24" fmla="+- 0 1311 1282"/>
                            <a:gd name="T25" fmla="*/ T24 w 29"/>
                            <a:gd name="T26" fmla="+- 0 -240 -240"/>
                            <a:gd name="T27" fmla="*/ -240 h 958"/>
                          </a:gdLst>
                          <a:ahLst/>
                          <a:cxnLst>
                            <a:cxn ang="0">
                              <a:pos x="T1" y="T3"/>
                            </a:cxn>
                            <a:cxn ang="0">
                              <a:pos x="T5" y="T7"/>
                            </a:cxn>
                            <a:cxn ang="0">
                              <a:pos x="T9" y="T11"/>
                            </a:cxn>
                            <a:cxn ang="0">
                              <a:pos x="T13" y="T15"/>
                            </a:cxn>
                            <a:cxn ang="0">
                              <a:pos x="T17" y="T19"/>
                            </a:cxn>
                            <a:cxn ang="0">
                              <a:pos x="T21" y="T23"/>
                            </a:cxn>
                            <a:cxn ang="0">
                              <a:pos x="T25" y="T27"/>
                            </a:cxn>
                          </a:cxnLst>
                          <a:rect l="0" t="0" r="r" b="b"/>
                          <a:pathLst>
                            <a:path w="29" h="958">
                              <a:moveTo>
                                <a:pt x="29" y="0"/>
                              </a:moveTo>
                              <a:lnTo>
                                <a:pt x="0" y="0"/>
                              </a:lnTo>
                              <a:lnTo>
                                <a:pt x="0" y="538"/>
                              </a:lnTo>
                              <a:lnTo>
                                <a:pt x="0" y="958"/>
                              </a:lnTo>
                              <a:lnTo>
                                <a:pt x="29" y="958"/>
                              </a:lnTo>
                              <a:lnTo>
                                <a:pt x="29" y="53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E399F" id="Freeform 62" o:spid="_x0000_s1026" style="position:absolute;margin-left:64.1pt;margin-top:-12pt;width:1.45pt;height:47.9pt;z-index:1582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" path="m29,l,,,538,,958r29,l29,538,29,xe" fillcolor="#da1f2c" stroked="f">
                <v:path arrowok="t" o:connecttype="custom" o:connectlocs="18415,-152400;0,-152400;0,189230;0,455930;18415,455930;18415,189230;18415,-152400" o:connectangles="0,0,0,0,0,0,0"/>
                <w10:wrap anchorx="page"/>
              </v:shape>
            </w:pict>
          </mc:Fallback>
        </mc:AlternateContent>
      </w:r>
      <w:r w:rsidR="00000000">
        <w:rPr>
          <w:color w:val="2C398A"/>
        </w:rPr>
        <w:t>Goal 2. End hunger, achieve food security and improved nutrition and promote</w:t>
      </w:r>
      <w:r w:rsidR="00000000">
        <w:rPr>
          <w:color w:val="2C398A"/>
          <w:spacing w:val="1"/>
        </w:rPr>
        <w:t xml:space="preserve"> </w:t>
      </w:r>
      <w:r w:rsidR="00000000">
        <w:rPr>
          <w:color w:val="2C398A"/>
        </w:rPr>
        <w:t>sustainable</w:t>
      </w:r>
      <w:r w:rsidR="00000000">
        <w:rPr>
          <w:color w:val="2C398A"/>
          <w:spacing w:val="-2"/>
        </w:rPr>
        <w:t xml:space="preserve"> </w:t>
      </w:r>
      <w:r w:rsidR="00000000">
        <w:rPr>
          <w:color w:val="2C398A"/>
        </w:rPr>
        <w:t>agriculture</w:t>
      </w:r>
    </w:p>
    <w:p w:rsidR="00A56FE9" w:rsidRDefault="00000000">
      <w:pPr>
        <w:pStyle w:val="Tijeloteksta"/>
        <w:spacing w:before="114"/>
        <w:ind w:right="277"/>
      </w:pPr>
      <w:r>
        <w:t>The Agriculture Act</w:t>
      </w:r>
      <w:r>
        <w:rPr>
          <w:vertAlign w:val="superscript"/>
        </w:rPr>
        <w:t>39</w:t>
      </w:r>
      <w:r>
        <w:t xml:space="preserve"> defines the goals of Croatian agricultural policy in connection with the</w:t>
      </w:r>
      <w:r>
        <w:rPr>
          <w:spacing w:val="1"/>
        </w:rPr>
        <w:t xml:space="preserve"> </w:t>
      </w:r>
      <w:r>
        <w:t>objective of sustainable development and is in line with the reformed common agricultural</w:t>
      </w:r>
      <w:r>
        <w:rPr>
          <w:spacing w:val="1"/>
        </w:rPr>
        <w:t xml:space="preserve"> </w:t>
      </w:r>
      <w:r>
        <w:t>policy</w:t>
      </w:r>
      <w:r>
        <w:rPr>
          <w:spacing w:val="-5"/>
        </w:rPr>
        <w:t xml:space="preserve"> </w:t>
      </w:r>
      <w:r>
        <w:t>of the EU</w:t>
      </w:r>
      <w:r>
        <w:rPr>
          <w:spacing w:val="-1"/>
        </w:rPr>
        <w:t xml:space="preserve"> </w:t>
      </w:r>
      <w:r>
        <w:t>for</w:t>
      </w:r>
      <w:r>
        <w:rPr>
          <w:spacing w:val="-2"/>
        </w:rPr>
        <w:t xml:space="preserve"> </w:t>
      </w:r>
      <w:r>
        <w:t>the</w:t>
      </w:r>
      <w:r>
        <w:rPr>
          <w:spacing w:val="1"/>
        </w:rPr>
        <w:t xml:space="preserve"> </w:t>
      </w:r>
      <w:r>
        <w:t>period until 2027 (adopted in 2021).</w:t>
      </w:r>
    </w:p>
    <w:p w:rsidR="00A56FE9" w:rsidRDefault="00000000">
      <w:pPr>
        <w:pStyle w:val="Tijeloteksta"/>
        <w:spacing w:before="121"/>
        <w:ind w:right="273"/>
      </w:pPr>
      <w:r>
        <w:rPr>
          <w:spacing w:val="-1"/>
        </w:rPr>
        <w:t>Starting</w:t>
      </w:r>
      <w:r>
        <w:rPr>
          <w:spacing w:val="-12"/>
        </w:rPr>
        <w:t xml:space="preserve"> </w:t>
      </w:r>
      <w:r>
        <w:rPr>
          <w:spacing w:val="-1"/>
        </w:rPr>
        <w:t>from</w:t>
      </w:r>
      <w:r>
        <w:rPr>
          <w:spacing w:val="-9"/>
        </w:rPr>
        <w:t xml:space="preserve"> </w:t>
      </w:r>
      <w:r>
        <w:rPr>
          <w:spacing w:val="-1"/>
        </w:rPr>
        <w:t>the</w:t>
      </w:r>
      <w:r>
        <w:rPr>
          <w:spacing w:val="-10"/>
        </w:rPr>
        <w:t xml:space="preserve"> </w:t>
      </w:r>
      <w:r>
        <w:rPr>
          <w:spacing w:val="-1"/>
        </w:rPr>
        <w:t>NRS,</w:t>
      </w:r>
      <w:r>
        <w:rPr>
          <w:spacing w:val="-9"/>
        </w:rPr>
        <w:t xml:space="preserve"> </w:t>
      </w:r>
      <w:r>
        <w:rPr>
          <w:spacing w:val="-1"/>
        </w:rPr>
        <w:t>establishing</w:t>
      </w:r>
      <w:r>
        <w:rPr>
          <w:spacing w:val="-11"/>
        </w:rPr>
        <w:t xml:space="preserve"> </w:t>
      </w:r>
      <w:r>
        <w:t>self-sufficiency</w:t>
      </w:r>
      <w:r>
        <w:rPr>
          <w:spacing w:val="-15"/>
        </w:rPr>
        <w:t xml:space="preserve"> </w:t>
      </w:r>
      <w:r>
        <w:t>in</w:t>
      </w:r>
      <w:r>
        <w:rPr>
          <w:spacing w:val="-9"/>
        </w:rPr>
        <w:t xml:space="preserve"> </w:t>
      </w:r>
      <w:r>
        <w:t>food</w:t>
      </w:r>
      <w:r>
        <w:rPr>
          <w:spacing w:val="-10"/>
        </w:rPr>
        <w:t xml:space="preserve"> </w:t>
      </w:r>
      <w:r>
        <w:t>as</w:t>
      </w:r>
      <w:r>
        <w:rPr>
          <w:spacing w:val="-9"/>
        </w:rPr>
        <w:t xml:space="preserve"> </w:t>
      </w:r>
      <w:r>
        <w:t>one</w:t>
      </w:r>
      <w:r>
        <w:rPr>
          <w:spacing w:val="-11"/>
        </w:rPr>
        <w:t xml:space="preserve"> </w:t>
      </w:r>
      <w:r>
        <w:t>of</w:t>
      </w:r>
      <w:r>
        <w:rPr>
          <w:spacing w:val="-10"/>
        </w:rPr>
        <w:t xml:space="preserve"> </w:t>
      </w:r>
      <w:r>
        <w:t>its</w:t>
      </w:r>
      <w:r>
        <w:rPr>
          <w:spacing w:val="-9"/>
        </w:rPr>
        <w:t xml:space="preserve"> </w:t>
      </w:r>
      <w:r>
        <w:t>strategic</w:t>
      </w:r>
      <w:r>
        <w:rPr>
          <w:spacing w:val="-8"/>
        </w:rPr>
        <w:t xml:space="preserve"> </w:t>
      </w:r>
      <w:r>
        <w:t>goals,</w:t>
      </w:r>
      <w:r>
        <w:rPr>
          <w:spacing w:val="-8"/>
        </w:rPr>
        <w:t xml:space="preserve"> </w:t>
      </w:r>
      <w:r>
        <w:t>in</w:t>
      </w:r>
      <w:r>
        <w:rPr>
          <w:spacing w:val="-9"/>
        </w:rPr>
        <w:t xml:space="preserve"> </w:t>
      </w:r>
      <w:r>
        <w:t>2021</w:t>
      </w:r>
      <w:r>
        <w:rPr>
          <w:spacing w:val="-58"/>
        </w:rPr>
        <w:t xml:space="preserve"> </w:t>
      </w:r>
      <w:r>
        <w:t>the proposal of the Agriculture Strategy of the Republic of Croatia for the period 2030 was</w:t>
      </w:r>
      <w:r>
        <w:rPr>
          <w:spacing w:val="1"/>
        </w:rPr>
        <w:t xml:space="preserve"> </w:t>
      </w:r>
      <w:r>
        <w:t>finalised and is in the process of adoption. The main goal of the Agriculture Strategy is to</w:t>
      </w:r>
      <w:r>
        <w:rPr>
          <w:spacing w:val="1"/>
        </w:rPr>
        <w:t xml:space="preserve"> </w:t>
      </w:r>
      <w:r>
        <w:t>increase</w:t>
      </w:r>
      <w:r>
        <w:rPr>
          <w:spacing w:val="-2"/>
        </w:rPr>
        <w:t xml:space="preserve"> </w:t>
      </w:r>
      <w:r>
        <w:t>the value of agricultural production in</w:t>
      </w:r>
      <w:r>
        <w:rPr>
          <w:spacing w:val="-1"/>
        </w:rPr>
        <w:t xml:space="preserve"> </w:t>
      </w:r>
      <w:r>
        <w:t>Croatia.</w:t>
      </w:r>
    </w:p>
    <w:p w:rsidR="00A56FE9" w:rsidRDefault="00000000">
      <w:pPr>
        <w:pStyle w:val="Tijeloteksta"/>
        <w:spacing w:before="120"/>
        <w:ind w:right="271"/>
      </w:pPr>
      <w:r>
        <w:t>In</w:t>
      </w:r>
      <w:r>
        <w:rPr>
          <w:spacing w:val="-4"/>
        </w:rPr>
        <w:t xml:space="preserve"> </w:t>
      </w:r>
      <w:r>
        <w:t>2021,</w:t>
      </w:r>
      <w:r>
        <w:rPr>
          <w:spacing w:val="-4"/>
        </w:rPr>
        <w:t xml:space="preserve"> </w:t>
      </w:r>
      <w:r>
        <w:t>HRK</w:t>
      </w:r>
      <w:r>
        <w:rPr>
          <w:spacing w:val="-7"/>
        </w:rPr>
        <w:t xml:space="preserve"> </w:t>
      </w:r>
      <w:r>
        <w:t>2.94</w:t>
      </w:r>
      <w:r>
        <w:rPr>
          <w:spacing w:val="-6"/>
        </w:rPr>
        <w:t xml:space="preserve"> </w:t>
      </w:r>
      <w:r>
        <w:t>billion</w:t>
      </w:r>
      <w:r>
        <w:rPr>
          <w:spacing w:val="-5"/>
        </w:rPr>
        <w:t xml:space="preserve"> </w:t>
      </w:r>
      <w:r>
        <w:t>was</w:t>
      </w:r>
      <w:r>
        <w:rPr>
          <w:spacing w:val="-4"/>
        </w:rPr>
        <w:t xml:space="preserve"> </w:t>
      </w:r>
      <w:r>
        <w:t>provided</w:t>
      </w:r>
      <w:r>
        <w:rPr>
          <w:spacing w:val="-6"/>
        </w:rPr>
        <w:t xml:space="preserve"> </w:t>
      </w:r>
      <w:r>
        <w:t>to</w:t>
      </w:r>
      <w:r>
        <w:rPr>
          <w:spacing w:val="-4"/>
        </w:rPr>
        <w:t xml:space="preserve"> </w:t>
      </w:r>
      <w:r>
        <w:t>farmers</w:t>
      </w:r>
      <w:r>
        <w:rPr>
          <w:spacing w:val="-6"/>
        </w:rPr>
        <w:t xml:space="preserve"> </w:t>
      </w:r>
      <w:r>
        <w:t>for</w:t>
      </w:r>
      <w:r>
        <w:rPr>
          <w:spacing w:val="-6"/>
        </w:rPr>
        <w:t xml:space="preserve"> </w:t>
      </w:r>
      <w:r>
        <w:t>direct</w:t>
      </w:r>
      <w:r>
        <w:rPr>
          <w:spacing w:val="-4"/>
        </w:rPr>
        <w:t xml:space="preserve"> </w:t>
      </w:r>
      <w:r>
        <w:t>payments.</w:t>
      </w:r>
      <w:r>
        <w:rPr>
          <w:spacing w:val="-4"/>
        </w:rPr>
        <w:t xml:space="preserve"> </w:t>
      </w:r>
      <w:r>
        <w:t>Moreover,</w:t>
      </w:r>
      <w:r>
        <w:rPr>
          <w:spacing w:val="-3"/>
        </w:rPr>
        <w:t xml:space="preserve"> </w:t>
      </w:r>
      <w:r>
        <w:t>in</w:t>
      </w:r>
      <w:r>
        <w:rPr>
          <w:spacing w:val="-6"/>
        </w:rPr>
        <w:t xml:space="preserve"> </w:t>
      </w:r>
      <w:r>
        <w:t>the</w:t>
      </w:r>
      <w:r>
        <w:rPr>
          <w:spacing w:val="-5"/>
        </w:rPr>
        <w:t xml:space="preserve"> </w:t>
      </w:r>
      <w:r>
        <w:t>same</w:t>
      </w:r>
      <w:r>
        <w:rPr>
          <w:spacing w:val="-58"/>
        </w:rPr>
        <w:t xml:space="preserve"> </w:t>
      </w:r>
      <w:r>
        <w:t>year, 24 tenders were announced for the allocation of funds from the Rural Development</w:t>
      </w:r>
      <w:r>
        <w:rPr>
          <w:spacing w:val="1"/>
        </w:rPr>
        <w:t xml:space="preserve"> </w:t>
      </w:r>
      <w:r>
        <w:t>Program, making an additional HRK 2.38 billion in grants available. Examples of activities</w:t>
      </w:r>
      <w:r>
        <w:rPr>
          <w:spacing w:val="1"/>
        </w:rPr>
        <w:t xml:space="preserve"> </w:t>
      </w:r>
      <w:r>
        <w:t>covered by these tenders are restructuring, modernisation and increasing the competitiveness</w:t>
      </w:r>
      <w:r>
        <w:rPr>
          <w:spacing w:val="1"/>
        </w:rPr>
        <w:t xml:space="preserve"> </w:t>
      </w:r>
      <w:r>
        <w:t>of</w:t>
      </w:r>
      <w:r>
        <w:rPr>
          <w:spacing w:val="13"/>
        </w:rPr>
        <w:t xml:space="preserve"> </w:t>
      </w:r>
      <w:r>
        <w:t>agricultural</w:t>
      </w:r>
      <w:r>
        <w:rPr>
          <w:spacing w:val="16"/>
        </w:rPr>
        <w:t xml:space="preserve"> </w:t>
      </w:r>
      <w:r>
        <w:t>holdings;</w:t>
      </w:r>
      <w:r>
        <w:rPr>
          <w:spacing w:val="15"/>
        </w:rPr>
        <w:t xml:space="preserve"> </w:t>
      </w:r>
      <w:r>
        <w:t>restoration</w:t>
      </w:r>
      <w:r>
        <w:rPr>
          <w:spacing w:val="15"/>
        </w:rPr>
        <w:t xml:space="preserve"> </w:t>
      </w:r>
      <w:r>
        <w:t>of</w:t>
      </w:r>
      <w:r>
        <w:rPr>
          <w:spacing w:val="14"/>
        </w:rPr>
        <w:t xml:space="preserve"> </w:t>
      </w:r>
      <w:r>
        <w:t>agricultural</w:t>
      </w:r>
      <w:r>
        <w:rPr>
          <w:spacing w:val="15"/>
        </w:rPr>
        <w:t xml:space="preserve"> </w:t>
      </w:r>
      <w:r>
        <w:t>land</w:t>
      </w:r>
      <w:r>
        <w:rPr>
          <w:spacing w:val="15"/>
        </w:rPr>
        <w:t xml:space="preserve"> </w:t>
      </w:r>
      <w:r>
        <w:t>and</w:t>
      </w:r>
      <w:r>
        <w:rPr>
          <w:spacing w:val="15"/>
        </w:rPr>
        <w:t xml:space="preserve"> </w:t>
      </w:r>
      <w:r>
        <w:t>production</w:t>
      </w:r>
      <w:r>
        <w:rPr>
          <w:spacing w:val="14"/>
        </w:rPr>
        <w:t xml:space="preserve"> </w:t>
      </w:r>
      <w:r>
        <w:t>potential;</w:t>
      </w:r>
      <w:r>
        <w:rPr>
          <w:spacing w:val="16"/>
        </w:rPr>
        <w:t xml:space="preserve"> </w:t>
      </w:r>
      <w:r>
        <w:t>support</w:t>
      </w:r>
      <w:r>
        <w:rPr>
          <w:spacing w:val="15"/>
        </w:rPr>
        <w:t xml:space="preserve"> </w:t>
      </w:r>
      <w:r>
        <w:t>for</w:t>
      </w: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CC1B9B">
      <w:pPr>
        <w:pStyle w:val="Tijeloteksta"/>
        <w:spacing w:before="11"/>
        <w:ind w:left="0"/>
        <w:jc w:val="left"/>
        <w:rPr>
          <w:sz w:val="28"/>
        </w:rPr>
      </w:pPr>
      <w:r>
        <w:rPr>
          <w:noProof/>
        </w:rPr>
        <mc:AlternateContent>
          <mc:Choice Requires="wps">
            <w:drawing>
              <wp:anchor distT="0" distB="0" distL="0" distR="0" simplePos="0" relativeHeight="487680512" behindDoc="1" locked="0" layoutInCell="1" allowOverlap="1">
                <wp:simplePos x="0" y="0"/>
                <wp:positionH relativeFrom="page">
                  <wp:posOffset>901065</wp:posOffset>
                </wp:positionH>
                <wp:positionV relativeFrom="paragraph">
                  <wp:posOffset>236220</wp:posOffset>
                </wp:positionV>
                <wp:extent cx="1828800" cy="7620"/>
                <wp:effectExtent l="0" t="0" r="0" b="0"/>
                <wp:wrapTopAndBottom/>
                <wp:docPr id="1854866663"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3304F" id="Rectangle 61" o:spid="_x0000_s1026" style="position:absolute;margin-left:70.95pt;margin-top:18.6pt;width:2in;height:.6pt;z-index:-15635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39</w:t>
      </w:r>
      <w:r>
        <w:rPr>
          <w:spacing w:val="-2"/>
          <w:sz w:val="16"/>
        </w:rPr>
        <w:t xml:space="preserve"> </w:t>
      </w:r>
      <w:r>
        <w:rPr>
          <w:sz w:val="16"/>
        </w:rPr>
        <w:t>OG</w:t>
      </w:r>
      <w:r>
        <w:rPr>
          <w:spacing w:val="-5"/>
          <w:sz w:val="16"/>
        </w:rPr>
        <w:t xml:space="preserve"> </w:t>
      </w:r>
      <w:r>
        <w:rPr>
          <w:sz w:val="16"/>
        </w:rPr>
        <w:t>118/18,</w:t>
      </w:r>
      <w:r>
        <w:rPr>
          <w:spacing w:val="-4"/>
          <w:sz w:val="16"/>
        </w:rPr>
        <w:t xml:space="preserve"> </w:t>
      </w:r>
      <w:r>
        <w:rPr>
          <w:sz w:val="16"/>
        </w:rPr>
        <w:t>42/20,</w:t>
      </w:r>
      <w:r>
        <w:rPr>
          <w:spacing w:val="-4"/>
          <w:sz w:val="16"/>
        </w:rPr>
        <w:t xml:space="preserve"> </w:t>
      </w:r>
      <w:r>
        <w:rPr>
          <w:sz w:val="16"/>
        </w:rPr>
        <w:t>127/20,</w:t>
      </w:r>
      <w:r>
        <w:rPr>
          <w:spacing w:val="-4"/>
          <w:sz w:val="16"/>
        </w:rPr>
        <w:t xml:space="preserve"> </w:t>
      </w:r>
      <w:r>
        <w:rPr>
          <w:sz w:val="16"/>
        </w:rPr>
        <w:t>52/21</w:t>
      </w:r>
    </w:p>
    <w:p w:rsidR="00A56FE9" w:rsidRDefault="00A56FE9">
      <w:pPr>
        <w:rPr>
          <w:sz w:val="16"/>
        </w:rPr>
        <w:sectPr w:rsidR="00A56FE9" w:rsidSect="00AB1E70">
          <w:pgSz w:w="11910" w:h="16840"/>
          <w:pgMar w:top="1420" w:right="1140" w:bottom="960" w:left="1280" w:header="0" w:footer="779" w:gutter="0"/>
          <w:cols w:space="720"/>
        </w:sectPr>
      </w:pPr>
    </w:p>
    <w:p w:rsidR="00A56FE9" w:rsidRDefault="00000000">
      <w:pPr>
        <w:pStyle w:val="Tijeloteksta"/>
        <w:spacing w:before="74"/>
        <w:ind w:right="278"/>
      </w:pPr>
      <w:r>
        <w:t>the</w:t>
      </w:r>
      <w:r>
        <w:rPr>
          <w:spacing w:val="-12"/>
        </w:rPr>
        <w:t xml:space="preserve"> </w:t>
      </w:r>
      <w:r>
        <w:t>development</w:t>
      </w:r>
      <w:r>
        <w:rPr>
          <w:spacing w:val="-11"/>
        </w:rPr>
        <w:t xml:space="preserve"> </w:t>
      </w:r>
      <w:r>
        <w:t>of</w:t>
      </w:r>
      <w:r>
        <w:rPr>
          <w:spacing w:val="-12"/>
        </w:rPr>
        <w:t xml:space="preserve"> </w:t>
      </w:r>
      <w:r>
        <w:t>small</w:t>
      </w:r>
      <w:r>
        <w:rPr>
          <w:spacing w:val="-9"/>
        </w:rPr>
        <w:t xml:space="preserve"> </w:t>
      </w:r>
      <w:r>
        <w:t>farms;</w:t>
      </w:r>
      <w:r>
        <w:rPr>
          <w:spacing w:val="-11"/>
        </w:rPr>
        <w:t xml:space="preserve"> </w:t>
      </w:r>
      <w:r>
        <w:t>support</w:t>
      </w:r>
      <w:r>
        <w:rPr>
          <w:spacing w:val="-11"/>
        </w:rPr>
        <w:t xml:space="preserve"> </w:t>
      </w:r>
      <w:r>
        <w:t>for</w:t>
      </w:r>
      <w:r>
        <w:rPr>
          <w:spacing w:val="-6"/>
        </w:rPr>
        <w:t xml:space="preserve"> </w:t>
      </w:r>
      <w:r>
        <w:t>young</w:t>
      </w:r>
      <w:r>
        <w:rPr>
          <w:spacing w:val="-11"/>
        </w:rPr>
        <w:t xml:space="preserve"> </w:t>
      </w:r>
      <w:r>
        <w:t>farmers;</w:t>
      </w:r>
      <w:r>
        <w:rPr>
          <w:spacing w:val="-10"/>
        </w:rPr>
        <w:t xml:space="preserve"> </w:t>
      </w:r>
      <w:r>
        <w:t>vocational</w:t>
      </w:r>
      <w:r>
        <w:rPr>
          <w:spacing w:val="-11"/>
        </w:rPr>
        <w:t xml:space="preserve"> </w:t>
      </w:r>
      <w:r>
        <w:t>training</w:t>
      </w:r>
      <w:r>
        <w:rPr>
          <w:spacing w:val="-13"/>
        </w:rPr>
        <w:t xml:space="preserve"> </w:t>
      </w:r>
      <w:r>
        <w:t>for</w:t>
      </w:r>
      <w:r>
        <w:rPr>
          <w:spacing w:val="-12"/>
        </w:rPr>
        <w:t xml:space="preserve"> </w:t>
      </w:r>
      <w:r>
        <w:t>farmers;</w:t>
      </w:r>
      <w:r>
        <w:rPr>
          <w:spacing w:val="-10"/>
        </w:rPr>
        <w:t xml:space="preserve"> </w:t>
      </w:r>
      <w:r>
        <w:t>use</w:t>
      </w:r>
      <w:r>
        <w:rPr>
          <w:spacing w:val="-58"/>
        </w:rPr>
        <w:t xml:space="preserve"> </w:t>
      </w:r>
      <w:r>
        <w:t>of</w:t>
      </w:r>
      <w:r>
        <w:rPr>
          <w:spacing w:val="-1"/>
        </w:rPr>
        <w:t xml:space="preserve"> </w:t>
      </w:r>
      <w:r>
        <w:t>renewable</w:t>
      </w:r>
      <w:r>
        <w:rPr>
          <w:spacing w:val="1"/>
        </w:rPr>
        <w:t xml:space="preserve"> </w:t>
      </w:r>
      <w:r>
        <w:t>energy</w:t>
      </w:r>
      <w:r>
        <w:rPr>
          <w:spacing w:val="-5"/>
        </w:rPr>
        <w:t xml:space="preserve"> </w:t>
      </w:r>
      <w:r>
        <w:t>sources.</w:t>
      </w:r>
    </w:p>
    <w:p w:rsidR="00A56FE9" w:rsidRDefault="00000000">
      <w:pPr>
        <w:pStyle w:val="Tijeloteksta"/>
        <w:spacing w:before="120"/>
        <w:ind w:right="273"/>
      </w:pPr>
      <w:r>
        <w:t>In</w:t>
      </w:r>
      <w:r>
        <w:rPr>
          <w:spacing w:val="-10"/>
        </w:rPr>
        <w:t xml:space="preserve"> </w:t>
      </w:r>
      <w:r>
        <w:t>addition,</w:t>
      </w:r>
      <w:r>
        <w:rPr>
          <w:spacing w:val="-11"/>
        </w:rPr>
        <w:t xml:space="preserve"> </w:t>
      </w:r>
      <w:r>
        <w:t>funding</w:t>
      </w:r>
      <w:r>
        <w:rPr>
          <w:spacing w:val="-11"/>
        </w:rPr>
        <w:t xml:space="preserve"> </w:t>
      </w:r>
      <w:r>
        <w:t>was</w:t>
      </w:r>
      <w:r>
        <w:rPr>
          <w:spacing w:val="-9"/>
        </w:rPr>
        <w:t xml:space="preserve"> </w:t>
      </w:r>
      <w:r>
        <w:t>provided</w:t>
      </w:r>
      <w:r>
        <w:rPr>
          <w:spacing w:val="-11"/>
        </w:rPr>
        <w:t xml:space="preserve"> </w:t>
      </w:r>
      <w:r>
        <w:t>from</w:t>
      </w:r>
      <w:r>
        <w:rPr>
          <w:spacing w:val="-11"/>
        </w:rPr>
        <w:t xml:space="preserve"> </w:t>
      </w:r>
      <w:r>
        <w:t>the</w:t>
      </w:r>
      <w:r>
        <w:rPr>
          <w:spacing w:val="-12"/>
        </w:rPr>
        <w:t xml:space="preserve"> </w:t>
      </w:r>
      <w:r>
        <w:t>State</w:t>
      </w:r>
      <w:r>
        <w:rPr>
          <w:spacing w:val="-10"/>
        </w:rPr>
        <w:t xml:space="preserve"> </w:t>
      </w:r>
      <w:r>
        <w:t>Budget</w:t>
      </w:r>
      <w:r>
        <w:rPr>
          <w:spacing w:val="-9"/>
        </w:rPr>
        <w:t xml:space="preserve"> </w:t>
      </w:r>
      <w:r>
        <w:t>and</w:t>
      </w:r>
      <w:r>
        <w:rPr>
          <w:spacing w:val="-11"/>
        </w:rPr>
        <w:t xml:space="preserve"> </w:t>
      </w:r>
      <w:r>
        <w:t>EU</w:t>
      </w:r>
      <w:r>
        <w:rPr>
          <w:spacing w:val="-12"/>
        </w:rPr>
        <w:t xml:space="preserve"> </w:t>
      </w:r>
      <w:r>
        <w:t>funds</w:t>
      </w:r>
      <w:r>
        <w:rPr>
          <w:spacing w:val="-9"/>
        </w:rPr>
        <w:t xml:space="preserve"> </w:t>
      </w:r>
      <w:r>
        <w:t>for</w:t>
      </w:r>
      <w:r>
        <w:rPr>
          <w:spacing w:val="-14"/>
        </w:rPr>
        <w:t xml:space="preserve"> </w:t>
      </w:r>
      <w:r>
        <w:t>producers</w:t>
      </w:r>
      <w:r>
        <w:rPr>
          <w:spacing w:val="-9"/>
        </w:rPr>
        <w:t xml:space="preserve"> </w:t>
      </w:r>
      <w:r>
        <w:t>who</w:t>
      </w:r>
      <w:r>
        <w:rPr>
          <w:spacing w:val="-9"/>
        </w:rPr>
        <w:t xml:space="preserve"> </w:t>
      </w:r>
      <w:r>
        <w:t>faced</w:t>
      </w:r>
      <w:r>
        <w:rPr>
          <w:spacing w:val="-58"/>
        </w:rPr>
        <w:t xml:space="preserve"> </w:t>
      </w:r>
      <w:r>
        <w:t>difficulties</w:t>
      </w:r>
      <w:r>
        <w:rPr>
          <w:spacing w:val="-14"/>
        </w:rPr>
        <w:t xml:space="preserve"> </w:t>
      </w:r>
      <w:r>
        <w:t>due</w:t>
      </w:r>
      <w:r>
        <w:rPr>
          <w:spacing w:val="-14"/>
        </w:rPr>
        <w:t xml:space="preserve"> </w:t>
      </w:r>
      <w:r>
        <w:t>to</w:t>
      </w:r>
      <w:r>
        <w:rPr>
          <w:spacing w:val="-13"/>
        </w:rPr>
        <w:t xml:space="preserve"> </w:t>
      </w:r>
      <w:r>
        <w:t>the</w:t>
      </w:r>
      <w:r>
        <w:rPr>
          <w:spacing w:val="-13"/>
        </w:rPr>
        <w:t xml:space="preserve"> </w:t>
      </w:r>
      <w:r>
        <w:t>consequences</w:t>
      </w:r>
      <w:r>
        <w:rPr>
          <w:spacing w:val="-11"/>
        </w:rPr>
        <w:t xml:space="preserve"> </w:t>
      </w:r>
      <w:r>
        <w:t>of</w:t>
      </w:r>
      <w:r>
        <w:rPr>
          <w:spacing w:val="-14"/>
        </w:rPr>
        <w:t xml:space="preserve"> </w:t>
      </w:r>
      <w:r>
        <w:t>COVID-19</w:t>
      </w:r>
      <w:r>
        <w:rPr>
          <w:spacing w:val="-9"/>
        </w:rPr>
        <w:t xml:space="preserve"> </w:t>
      </w:r>
      <w:r>
        <w:t>measures.</w:t>
      </w:r>
      <w:r>
        <w:rPr>
          <w:spacing w:val="-10"/>
        </w:rPr>
        <w:t xml:space="preserve"> </w:t>
      </w:r>
      <w:r>
        <w:t>The</w:t>
      </w:r>
      <w:r>
        <w:rPr>
          <w:spacing w:val="-12"/>
        </w:rPr>
        <w:t xml:space="preserve"> </w:t>
      </w:r>
      <w:r>
        <w:t>aim</w:t>
      </w:r>
      <w:r>
        <w:rPr>
          <w:spacing w:val="-13"/>
        </w:rPr>
        <w:t xml:space="preserve"> </w:t>
      </w:r>
      <w:r>
        <w:t>of</w:t>
      </w:r>
      <w:r>
        <w:rPr>
          <w:spacing w:val="-14"/>
        </w:rPr>
        <w:t xml:space="preserve"> </w:t>
      </w:r>
      <w:r>
        <w:t>this</w:t>
      </w:r>
      <w:r>
        <w:rPr>
          <w:spacing w:val="-9"/>
        </w:rPr>
        <w:t xml:space="preserve"> </w:t>
      </w:r>
      <w:r>
        <w:t>aid</w:t>
      </w:r>
      <w:r>
        <w:rPr>
          <w:spacing w:val="-12"/>
        </w:rPr>
        <w:t xml:space="preserve"> </w:t>
      </w:r>
      <w:r>
        <w:t>was</w:t>
      </w:r>
      <w:r>
        <w:rPr>
          <w:spacing w:val="-11"/>
        </w:rPr>
        <w:t xml:space="preserve"> </w:t>
      </w:r>
      <w:r>
        <w:t>to</w:t>
      </w:r>
      <w:r>
        <w:rPr>
          <w:spacing w:val="-13"/>
        </w:rPr>
        <w:t xml:space="preserve"> </w:t>
      </w:r>
      <w:r>
        <w:t>stabilise</w:t>
      </w:r>
      <w:r>
        <w:rPr>
          <w:spacing w:val="-57"/>
        </w:rPr>
        <w:t xml:space="preserve"> </w:t>
      </w:r>
      <w:r>
        <w:t>the</w:t>
      </w:r>
      <w:r>
        <w:rPr>
          <w:spacing w:val="-1"/>
        </w:rPr>
        <w:t xml:space="preserve"> </w:t>
      </w:r>
      <w:r>
        <w:t>market for</w:t>
      </w:r>
      <w:r>
        <w:rPr>
          <w:spacing w:val="1"/>
        </w:rPr>
        <w:t xml:space="preserve"> </w:t>
      </w:r>
      <w:r>
        <w:t>agricultural products.</w:t>
      </w:r>
    </w:p>
    <w:p w:rsidR="00A56FE9" w:rsidRDefault="00000000">
      <w:pPr>
        <w:pStyle w:val="Tijeloteksta"/>
        <w:spacing w:before="121"/>
        <w:ind w:right="281"/>
      </w:pPr>
      <w:r>
        <w:t>In</w:t>
      </w:r>
      <w:r>
        <w:rPr>
          <w:spacing w:val="-4"/>
        </w:rPr>
        <w:t xml:space="preserve"> </w:t>
      </w:r>
      <w:r>
        <w:t>2021,</w:t>
      </w:r>
      <w:r>
        <w:rPr>
          <w:spacing w:val="-6"/>
        </w:rPr>
        <w:t xml:space="preserve"> </w:t>
      </w:r>
      <w:r>
        <w:t>a</w:t>
      </w:r>
      <w:r>
        <w:rPr>
          <w:spacing w:val="-7"/>
        </w:rPr>
        <w:t xml:space="preserve"> </w:t>
      </w:r>
      <w:r>
        <w:t>number</w:t>
      </w:r>
      <w:r>
        <w:rPr>
          <w:spacing w:val="-7"/>
        </w:rPr>
        <w:t xml:space="preserve"> </w:t>
      </w:r>
      <w:r>
        <w:t>of</w:t>
      </w:r>
      <w:r>
        <w:rPr>
          <w:spacing w:val="-5"/>
        </w:rPr>
        <w:t xml:space="preserve"> </w:t>
      </w:r>
      <w:r>
        <w:t>national</w:t>
      </w:r>
      <w:r>
        <w:rPr>
          <w:spacing w:val="-6"/>
        </w:rPr>
        <w:t xml:space="preserve"> </w:t>
      </w:r>
      <w:r>
        <w:t>support</w:t>
      </w:r>
      <w:r>
        <w:rPr>
          <w:spacing w:val="-6"/>
        </w:rPr>
        <w:t xml:space="preserve"> </w:t>
      </w:r>
      <w:r>
        <w:t>programs</w:t>
      </w:r>
      <w:r>
        <w:rPr>
          <w:spacing w:val="-6"/>
        </w:rPr>
        <w:t xml:space="preserve"> </w:t>
      </w:r>
      <w:r>
        <w:t>for</w:t>
      </w:r>
      <w:r>
        <w:rPr>
          <w:spacing w:val="-7"/>
        </w:rPr>
        <w:t xml:space="preserve"> </w:t>
      </w:r>
      <w:r>
        <w:t>the</w:t>
      </w:r>
      <w:r>
        <w:rPr>
          <w:spacing w:val="-7"/>
        </w:rPr>
        <w:t xml:space="preserve"> </w:t>
      </w:r>
      <w:r>
        <w:t>agricultural</w:t>
      </w:r>
      <w:r>
        <w:rPr>
          <w:spacing w:val="-6"/>
        </w:rPr>
        <w:t xml:space="preserve"> </w:t>
      </w:r>
      <w:r>
        <w:t>sector</w:t>
      </w:r>
      <w:r>
        <w:rPr>
          <w:spacing w:val="-5"/>
        </w:rPr>
        <w:t xml:space="preserve"> </w:t>
      </w:r>
      <w:r>
        <w:t>were</w:t>
      </w:r>
      <w:r>
        <w:rPr>
          <w:spacing w:val="-6"/>
        </w:rPr>
        <w:t xml:space="preserve"> </w:t>
      </w:r>
      <w:r>
        <w:t>approved,</w:t>
      </w:r>
      <w:r>
        <w:rPr>
          <w:spacing w:val="-4"/>
        </w:rPr>
        <w:t xml:space="preserve"> </w:t>
      </w:r>
      <w:r>
        <w:t>such</w:t>
      </w:r>
      <w:r>
        <w:rPr>
          <w:spacing w:val="-58"/>
        </w:rPr>
        <w:t xml:space="preserve"> </w:t>
      </w:r>
      <w:r>
        <w:t>as</w:t>
      </w:r>
      <w:r>
        <w:rPr>
          <w:spacing w:val="-1"/>
        </w:rPr>
        <w:t xml:space="preserve"> </w:t>
      </w:r>
      <w:r>
        <w:t>the</w:t>
      </w:r>
      <w:r>
        <w:rPr>
          <w:spacing w:val="-1"/>
        </w:rPr>
        <w:t xml:space="preserve"> </w:t>
      </w:r>
      <w:r>
        <w:t>program</w:t>
      </w:r>
      <w:r>
        <w:rPr>
          <w:spacing w:val="1"/>
        </w:rPr>
        <w:t xml:space="preserve"> </w:t>
      </w:r>
      <w:r>
        <w:t>for</w:t>
      </w:r>
      <w:r>
        <w:rPr>
          <w:spacing w:val="-3"/>
        </w:rPr>
        <w:t xml:space="preserve"> </w:t>
      </w:r>
      <w:r>
        <w:t>the</w:t>
      </w:r>
      <w:r>
        <w:rPr>
          <w:spacing w:val="-1"/>
        </w:rPr>
        <w:t xml:space="preserve"> </w:t>
      </w:r>
      <w:r>
        <w:t>conservation of</w:t>
      </w:r>
      <w:r>
        <w:rPr>
          <w:spacing w:val="-2"/>
        </w:rPr>
        <w:t xml:space="preserve"> </w:t>
      </w:r>
      <w:r>
        <w:t>native and</w:t>
      </w:r>
      <w:r>
        <w:rPr>
          <w:spacing w:val="3"/>
        </w:rPr>
        <w:t xml:space="preserve"> </w:t>
      </w:r>
      <w:r>
        <w:t>endangered</w:t>
      </w:r>
      <w:r>
        <w:rPr>
          <w:spacing w:val="-1"/>
        </w:rPr>
        <w:t xml:space="preserve"> </w:t>
      </w:r>
      <w:r>
        <w:t>breeds</w:t>
      </w:r>
      <w:r>
        <w:rPr>
          <w:spacing w:val="-1"/>
        </w:rPr>
        <w:t xml:space="preserve"> </w:t>
      </w:r>
      <w:r>
        <w:t>of domestic</w:t>
      </w:r>
      <w:r>
        <w:rPr>
          <w:spacing w:val="-1"/>
        </w:rPr>
        <w:t xml:space="preserve"> </w:t>
      </w:r>
      <w:r>
        <w:t>animals.</w:t>
      </w:r>
    </w:p>
    <w:p w:rsidR="00A56FE9" w:rsidRDefault="00000000">
      <w:pPr>
        <w:pStyle w:val="Tijeloteksta"/>
        <w:spacing w:before="120"/>
        <w:ind w:right="275"/>
      </w:pPr>
      <w:r>
        <w:t>Moreover, the preparation of the national strategic plan for the implementation of the common</w:t>
      </w:r>
      <w:r>
        <w:rPr>
          <w:spacing w:val="-58"/>
        </w:rPr>
        <w:t xml:space="preserve"> </w:t>
      </w:r>
      <w:r>
        <w:t>agricultural policy in the period 2023-2027 was completed in 2021, identifying agricultural</w:t>
      </w:r>
      <w:r>
        <w:rPr>
          <w:spacing w:val="1"/>
        </w:rPr>
        <w:t xml:space="preserve"> </w:t>
      </w:r>
      <w:r>
        <w:t>policy measures in the next programming period. The strategic plan was submitted to the EC</w:t>
      </w:r>
      <w:r>
        <w:rPr>
          <w:spacing w:val="1"/>
        </w:rPr>
        <w:t xml:space="preserve"> </w:t>
      </w:r>
      <w:r>
        <w:t>for</w:t>
      </w:r>
      <w:r>
        <w:rPr>
          <w:spacing w:val="-2"/>
        </w:rPr>
        <w:t xml:space="preserve"> </w:t>
      </w:r>
      <w:r>
        <w:t>approval.</w:t>
      </w:r>
    </w:p>
    <w:p w:rsidR="00A56FE9" w:rsidRDefault="00CC1B9B">
      <w:pPr>
        <w:pStyle w:val="Tijeloteksta"/>
        <w:spacing w:before="120"/>
        <w:ind w:right="276"/>
      </w:pPr>
      <w:r>
        <w:rPr>
          <w:noProof/>
        </w:rPr>
        <mc:AlternateContent>
          <mc:Choice Requires="wps">
            <w:drawing>
              <wp:anchor distT="0" distB="0" distL="114300" distR="114300" simplePos="0" relativeHeight="15823360" behindDoc="0" locked="0" layoutInCell="1" allowOverlap="1">
                <wp:simplePos x="0" y="0"/>
                <wp:positionH relativeFrom="page">
                  <wp:posOffset>814070</wp:posOffset>
                </wp:positionH>
                <wp:positionV relativeFrom="paragraph">
                  <wp:posOffset>857250</wp:posOffset>
                </wp:positionV>
                <wp:extent cx="18415" cy="417830"/>
                <wp:effectExtent l="0" t="0" r="0" b="0"/>
                <wp:wrapNone/>
                <wp:docPr id="132318030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57B0B" id="Rectangle 60" o:spid="_x0000_s1026" style="position:absolute;margin-left:64.1pt;margin-top:67.5pt;width:1.45pt;height:32.9pt;z-index:1582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" fillcolor="#da1f2c" stroked="f">
                <w10:wrap anchorx="page"/>
              </v:rect>
            </w:pict>
          </mc:Fallback>
        </mc:AlternateContent>
      </w:r>
      <w:r w:rsidR="00000000">
        <w:t>Most of the activities from NPOO reform C1.5 Improving the Use of Natural Resources and</w:t>
      </w:r>
      <w:r w:rsidR="00000000">
        <w:rPr>
          <w:spacing w:val="1"/>
        </w:rPr>
        <w:t xml:space="preserve"> </w:t>
      </w:r>
      <w:r w:rsidR="00000000">
        <w:t>Strengthening the Food</w:t>
      </w:r>
      <w:r w:rsidR="00000000">
        <w:rPr>
          <w:spacing w:val="1"/>
        </w:rPr>
        <w:t xml:space="preserve"> </w:t>
      </w:r>
      <w:r w:rsidR="00000000">
        <w:t>Supply Chain</w:t>
      </w:r>
      <w:r w:rsidR="00000000">
        <w:rPr>
          <w:spacing w:val="1"/>
        </w:rPr>
        <w:t xml:space="preserve"> </w:t>
      </w:r>
      <w:r w:rsidR="00000000">
        <w:t>contribute to</w:t>
      </w:r>
      <w:r w:rsidR="00000000">
        <w:rPr>
          <w:spacing w:val="1"/>
        </w:rPr>
        <w:t xml:space="preserve"> </w:t>
      </w:r>
      <w:r w:rsidR="00000000">
        <w:t>this goal,</w:t>
      </w:r>
      <w:r w:rsidR="00000000">
        <w:rPr>
          <w:spacing w:val="1"/>
        </w:rPr>
        <w:t xml:space="preserve"> </w:t>
      </w:r>
      <w:r w:rsidR="00000000">
        <w:t>specifically,</w:t>
      </w:r>
      <w:r w:rsidR="00000000">
        <w:rPr>
          <w:spacing w:val="1"/>
        </w:rPr>
        <w:t xml:space="preserve"> </w:t>
      </w:r>
      <w:r w:rsidR="00000000">
        <w:t>establishing a</w:t>
      </w:r>
      <w:r w:rsidR="00000000">
        <w:rPr>
          <w:spacing w:val="1"/>
        </w:rPr>
        <w:t xml:space="preserve"> </w:t>
      </w:r>
      <w:r w:rsidR="00000000">
        <w:t>network of logistics infrastructure to strengthen the production-market chain in the fruit and</w:t>
      </w:r>
      <w:r w:rsidR="00000000">
        <w:rPr>
          <w:spacing w:val="1"/>
        </w:rPr>
        <w:t xml:space="preserve"> </w:t>
      </w:r>
      <w:r w:rsidR="00000000">
        <w:t>vegetable</w:t>
      </w:r>
      <w:r w:rsidR="00000000">
        <w:rPr>
          <w:spacing w:val="-2"/>
        </w:rPr>
        <w:t xml:space="preserve"> </w:t>
      </w:r>
      <w:r w:rsidR="00000000">
        <w:t>sector,</w:t>
      </w:r>
      <w:r w:rsidR="00000000">
        <w:rPr>
          <w:spacing w:val="-1"/>
        </w:rPr>
        <w:t xml:space="preserve"> </w:t>
      </w:r>
      <w:r w:rsidR="00000000">
        <w:t>digital</w:t>
      </w:r>
      <w:r w:rsidR="00000000">
        <w:rPr>
          <w:spacing w:val="-1"/>
        </w:rPr>
        <w:t xml:space="preserve"> </w:t>
      </w:r>
      <w:r w:rsidR="00000000">
        <w:t>transformation</w:t>
      </w:r>
      <w:r w:rsidR="00000000">
        <w:rPr>
          <w:spacing w:val="-1"/>
        </w:rPr>
        <w:t xml:space="preserve"> </w:t>
      </w:r>
      <w:r w:rsidR="00000000">
        <w:t>of agriculture</w:t>
      </w:r>
      <w:r w:rsidR="00000000">
        <w:rPr>
          <w:spacing w:val="-2"/>
        </w:rPr>
        <w:t xml:space="preserve"> </w:t>
      </w:r>
      <w:r w:rsidR="00000000">
        <w:t>and</w:t>
      </w:r>
      <w:r w:rsidR="00000000">
        <w:rPr>
          <w:spacing w:val="-1"/>
        </w:rPr>
        <w:t xml:space="preserve"> </w:t>
      </w:r>
      <w:r w:rsidR="00000000">
        <w:t>improving</w:t>
      </w:r>
      <w:r w:rsidR="00000000">
        <w:rPr>
          <w:spacing w:val="-4"/>
        </w:rPr>
        <w:t xml:space="preserve"> </w:t>
      </w:r>
      <w:r w:rsidR="00000000">
        <w:t>food</w:t>
      </w:r>
      <w:r w:rsidR="00000000">
        <w:rPr>
          <w:spacing w:val="-2"/>
        </w:rPr>
        <w:t xml:space="preserve"> </w:t>
      </w:r>
      <w:r w:rsidR="00000000">
        <w:t>donation</w:t>
      </w:r>
      <w:r w:rsidR="00000000">
        <w:rPr>
          <w:spacing w:val="-1"/>
        </w:rPr>
        <w:t xml:space="preserve"> </w:t>
      </w:r>
      <w:r w:rsidR="00000000">
        <w:t>systems.</w:t>
      </w:r>
    </w:p>
    <w:p w:rsidR="00A56FE9" w:rsidRDefault="00A56FE9">
      <w:pPr>
        <w:pStyle w:val="Tijeloteksta"/>
        <w:ind w:left="0"/>
        <w:jc w:val="left"/>
        <w:rPr>
          <w:sz w:val="32"/>
        </w:rPr>
      </w:pPr>
    </w:p>
    <w:p w:rsidR="00A56FE9" w:rsidRDefault="00000000">
      <w:pPr>
        <w:pStyle w:val="Naslov4"/>
      </w:pPr>
      <w:r>
        <w:rPr>
          <w:color w:val="2C398A"/>
        </w:rPr>
        <w:t>Goal</w:t>
      </w:r>
      <w:r>
        <w:rPr>
          <w:color w:val="2C398A"/>
          <w:spacing w:val="-4"/>
        </w:rPr>
        <w:t xml:space="preserve"> </w:t>
      </w:r>
      <w:r>
        <w:rPr>
          <w:color w:val="2C398A"/>
        </w:rPr>
        <w:t>3.</w:t>
      </w:r>
      <w:r>
        <w:rPr>
          <w:color w:val="2C398A"/>
          <w:spacing w:val="-4"/>
        </w:rPr>
        <w:t xml:space="preserve"> </w:t>
      </w:r>
      <w:r>
        <w:rPr>
          <w:color w:val="2C398A"/>
        </w:rPr>
        <w:t>Ensure healthy</w:t>
      </w:r>
      <w:r>
        <w:rPr>
          <w:color w:val="2C398A"/>
          <w:spacing w:val="-2"/>
        </w:rPr>
        <w:t xml:space="preserve"> </w:t>
      </w:r>
      <w:r>
        <w:rPr>
          <w:color w:val="2C398A"/>
        </w:rPr>
        <w:t>lives</w:t>
      </w:r>
      <w:r>
        <w:rPr>
          <w:color w:val="2C398A"/>
          <w:spacing w:val="-4"/>
        </w:rPr>
        <w:t xml:space="preserve"> </w:t>
      </w:r>
      <w:r>
        <w:rPr>
          <w:color w:val="2C398A"/>
        </w:rPr>
        <w:t>and</w:t>
      </w:r>
      <w:r>
        <w:rPr>
          <w:color w:val="2C398A"/>
          <w:spacing w:val="-3"/>
        </w:rPr>
        <w:t xml:space="preserve"> </w:t>
      </w:r>
      <w:r>
        <w:rPr>
          <w:color w:val="2C398A"/>
        </w:rPr>
        <w:t>promote</w:t>
      </w:r>
      <w:r>
        <w:rPr>
          <w:color w:val="2C398A"/>
          <w:spacing w:val="-4"/>
        </w:rPr>
        <w:t xml:space="preserve"> </w:t>
      </w:r>
      <w:r>
        <w:rPr>
          <w:color w:val="2C398A"/>
        </w:rPr>
        <w:t>well-being</w:t>
      </w:r>
      <w:r>
        <w:rPr>
          <w:color w:val="2C398A"/>
          <w:spacing w:val="-3"/>
        </w:rPr>
        <w:t xml:space="preserve"> </w:t>
      </w:r>
      <w:r>
        <w:rPr>
          <w:color w:val="2C398A"/>
        </w:rPr>
        <w:t>for</w:t>
      </w:r>
      <w:r>
        <w:rPr>
          <w:color w:val="2C398A"/>
          <w:spacing w:val="-4"/>
        </w:rPr>
        <w:t xml:space="preserve"> </w:t>
      </w:r>
      <w:r>
        <w:rPr>
          <w:color w:val="2C398A"/>
        </w:rPr>
        <w:t>all</w:t>
      </w:r>
      <w:r>
        <w:rPr>
          <w:color w:val="2C398A"/>
          <w:spacing w:val="-3"/>
        </w:rPr>
        <w:t xml:space="preserve"> </w:t>
      </w:r>
      <w:r>
        <w:rPr>
          <w:color w:val="2C398A"/>
        </w:rPr>
        <w:t>at</w:t>
      </w:r>
      <w:r>
        <w:rPr>
          <w:color w:val="2C398A"/>
          <w:spacing w:val="-1"/>
        </w:rPr>
        <w:t xml:space="preserve"> </w:t>
      </w:r>
      <w:r>
        <w:rPr>
          <w:color w:val="2C398A"/>
        </w:rPr>
        <w:t>all</w:t>
      </w:r>
      <w:r>
        <w:rPr>
          <w:color w:val="2C398A"/>
          <w:spacing w:val="-2"/>
        </w:rPr>
        <w:t xml:space="preserve"> </w:t>
      </w:r>
      <w:r>
        <w:rPr>
          <w:color w:val="2C398A"/>
        </w:rPr>
        <w:t>ages</w:t>
      </w:r>
    </w:p>
    <w:p w:rsidR="00A56FE9" w:rsidRDefault="00000000">
      <w:pPr>
        <w:pStyle w:val="Tijeloteksta"/>
        <w:spacing w:before="111"/>
        <w:ind w:right="272"/>
      </w:pPr>
      <w:r>
        <w:t>The adoption of the National Health Development Plan for 2021-2027 and the Action Plan for</w:t>
      </w:r>
      <w:r>
        <w:rPr>
          <w:spacing w:val="-57"/>
        </w:rPr>
        <w:t xml:space="preserve"> </w:t>
      </w:r>
      <w:r>
        <w:t>Health Development for the period from 2021 to 2025</w:t>
      </w:r>
      <w:r>
        <w:rPr>
          <w:vertAlign w:val="superscript"/>
        </w:rPr>
        <w:t>40</w:t>
      </w:r>
      <w:r>
        <w:t xml:space="preserve"> support the implementation of this</w:t>
      </w:r>
      <w:r>
        <w:rPr>
          <w:spacing w:val="1"/>
        </w:rPr>
        <w:t xml:space="preserve"> </w:t>
      </w:r>
      <w:r>
        <w:t>SDG. As part of the National Health Development Plan and its special goal, i.e., better healthy</w:t>
      </w:r>
      <w:r>
        <w:rPr>
          <w:spacing w:val="-58"/>
        </w:rPr>
        <w:t xml:space="preserve"> </w:t>
      </w:r>
      <w:r>
        <w:t>living habits</w:t>
      </w:r>
      <w:r>
        <w:rPr>
          <w:spacing w:val="1"/>
        </w:rPr>
        <w:t xml:space="preserve"> </w:t>
      </w:r>
      <w:r>
        <w:t>and more</w:t>
      </w:r>
      <w:r>
        <w:rPr>
          <w:spacing w:val="1"/>
        </w:rPr>
        <w:t xml:space="preserve"> </w:t>
      </w:r>
      <w:r>
        <w:t>effective disease prevention,</w:t>
      </w:r>
      <w:r>
        <w:rPr>
          <w:spacing w:val="1"/>
        </w:rPr>
        <w:t xml:space="preserve"> </w:t>
      </w:r>
      <w:r>
        <w:t>the following measures are defined:</w:t>
      </w:r>
      <w:r>
        <w:rPr>
          <w:spacing w:val="1"/>
        </w:rPr>
        <w:t xml:space="preserve"> </w:t>
      </w:r>
      <w:r>
        <w:t>promotion</w:t>
      </w:r>
      <w:r>
        <w:rPr>
          <w:spacing w:val="1"/>
        </w:rPr>
        <w:t xml:space="preserve"> </w:t>
      </w:r>
      <w:r>
        <w:t>of</w:t>
      </w:r>
      <w:r>
        <w:rPr>
          <w:spacing w:val="1"/>
        </w:rPr>
        <w:t xml:space="preserve"> </w:t>
      </w:r>
      <w:r>
        <w:t>healthy</w:t>
      </w:r>
      <w:r>
        <w:rPr>
          <w:spacing w:val="1"/>
        </w:rPr>
        <w:t xml:space="preserve"> </w:t>
      </w:r>
      <w:r>
        <w:t>living</w:t>
      </w:r>
      <w:r>
        <w:rPr>
          <w:spacing w:val="1"/>
        </w:rPr>
        <w:t xml:space="preserve"> </w:t>
      </w:r>
      <w:r>
        <w:t>habits;</w:t>
      </w:r>
      <w:r>
        <w:rPr>
          <w:spacing w:val="1"/>
        </w:rPr>
        <w:t xml:space="preserve"> </w:t>
      </w:r>
      <w:r>
        <w:t>prevention</w:t>
      </w:r>
      <w:r>
        <w:rPr>
          <w:spacing w:val="1"/>
        </w:rPr>
        <w:t xml:space="preserve"> </w:t>
      </w:r>
      <w:r>
        <w:t>of</w:t>
      </w:r>
      <w:r>
        <w:rPr>
          <w:spacing w:val="1"/>
        </w:rPr>
        <w:t xml:space="preserve"> </w:t>
      </w:r>
      <w:r>
        <w:t>leading</w:t>
      </w:r>
      <w:r>
        <w:rPr>
          <w:spacing w:val="1"/>
        </w:rPr>
        <w:t xml:space="preserve"> </w:t>
      </w:r>
      <w:r>
        <w:t>non-communicable</w:t>
      </w:r>
      <w:r>
        <w:rPr>
          <w:spacing w:val="1"/>
        </w:rPr>
        <w:t xml:space="preserve"> </w:t>
      </w:r>
      <w:r>
        <w:t>diseases,</w:t>
      </w:r>
      <w:r>
        <w:rPr>
          <w:spacing w:val="1"/>
        </w:rPr>
        <w:t xml:space="preserve"> </w:t>
      </w:r>
      <w:r>
        <w:t>prevention of priority communicable diseases; prevention of disability caused by the most</w:t>
      </w:r>
      <w:r>
        <w:rPr>
          <w:spacing w:val="1"/>
        </w:rPr>
        <w:t xml:space="preserve"> </w:t>
      </w:r>
      <w:r>
        <w:t>common</w:t>
      </w:r>
      <w:r>
        <w:rPr>
          <w:spacing w:val="-14"/>
        </w:rPr>
        <w:t xml:space="preserve"> </w:t>
      </w:r>
      <w:r>
        <w:t>risk</w:t>
      </w:r>
      <w:r>
        <w:rPr>
          <w:spacing w:val="-13"/>
        </w:rPr>
        <w:t xml:space="preserve"> </w:t>
      </w:r>
      <w:r>
        <w:t>factors;</w:t>
      </w:r>
      <w:r>
        <w:rPr>
          <w:spacing w:val="-14"/>
        </w:rPr>
        <w:t xml:space="preserve"> </w:t>
      </w:r>
      <w:r>
        <w:t>prevention</w:t>
      </w:r>
      <w:r>
        <w:rPr>
          <w:spacing w:val="-13"/>
        </w:rPr>
        <w:t xml:space="preserve"> </w:t>
      </w:r>
      <w:r>
        <w:t>of</w:t>
      </w:r>
      <w:r>
        <w:rPr>
          <w:spacing w:val="-15"/>
        </w:rPr>
        <w:t xml:space="preserve"> </w:t>
      </w:r>
      <w:r>
        <w:t>diseases</w:t>
      </w:r>
      <w:r>
        <w:rPr>
          <w:spacing w:val="-13"/>
        </w:rPr>
        <w:t xml:space="preserve"> </w:t>
      </w:r>
      <w:r>
        <w:t>due</w:t>
      </w:r>
      <w:r>
        <w:rPr>
          <w:spacing w:val="-14"/>
        </w:rPr>
        <w:t xml:space="preserve"> </w:t>
      </w:r>
      <w:r>
        <w:t>to</w:t>
      </w:r>
      <w:r>
        <w:rPr>
          <w:spacing w:val="-14"/>
        </w:rPr>
        <w:t xml:space="preserve"> </w:t>
      </w:r>
      <w:r>
        <w:t>the</w:t>
      </w:r>
      <w:r>
        <w:rPr>
          <w:spacing w:val="-14"/>
        </w:rPr>
        <w:t xml:space="preserve"> </w:t>
      </w:r>
      <w:r>
        <w:t>harmful</w:t>
      </w:r>
      <w:r>
        <w:rPr>
          <w:spacing w:val="-14"/>
        </w:rPr>
        <w:t xml:space="preserve"> </w:t>
      </w:r>
      <w:r>
        <w:t>effects</w:t>
      </w:r>
      <w:r>
        <w:rPr>
          <w:spacing w:val="-13"/>
        </w:rPr>
        <w:t xml:space="preserve"> </w:t>
      </w:r>
      <w:r>
        <w:t>of</w:t>
      </w:r>
      <w:r>
        <w:rPr>
          <w:spacing w:val="-15"/>
        </w:rPr>
        <w:t xml:space="preserve"> </w:t>
      </w:r>
      <w:r>
        <w:t>environmental</w:t>
      </w:r>
      <w:r>
        <w:rPr>
          <w:spacing w:val="-13"/>
        </w:rPr>
        <w:t xml:space="preserve"> </w:t>
      </w:r>
      <w:r>
        <w:t>factors.</w:t>
      </w:r>
      <w:r>
        <w:rPr>
          <w:spacing w:val="-58"/>
        </w:rPr>
        <w:t xml:space="preserve"> </w:t>
      </w:r>
      <w:r>
        <w:t>Furthermore,</w:t>
      </w:r>
      <w:r>
        <w:rPr>
          <w:spacing w:val="1"/>
        </w:rPr>
        <w:t xml:space="preserve"> </w:t>
      </w:r>
      <w:r>
        <w:t>measures</w:t>
      </w:r>
      <w:r>
        <w:rPr>
          <w:spacing w:val="1"/>
        </w:rPr>
        <w:t xml:space="preserve"> </w:t>
      </w:r>
      <w:r>
        <w:t>have</w:t>
      </w:r>
      <w:r>
        <w:rPr>
          <w:spacing w:val="1"/>
        </w:rPr>
        <w:t xml:space="preserve"> </w:t>
      </w:r>
      <w:r>
        <w:t>been</w:t>
      </w:r>
      <w:r>
        <w:rPr>
          <w:spacing w:val="1"/>
        </w:rPr>
        <w:t xml:space="preserve"> </w:t>
      </w:r>
      <w:r>
        <w:t>identified</w:t>
      </w:r>
      <w:r>
        <w:rPr>
          <w:spacing w:val="1"/>
        </w:rPr>
        <w:t xml:space="preserve"> </w:t>
      </w:r>
      <w:r>
        <w:t>for</w:t>
      </w:r>
      <w:r>
        <w:rPr>
          <w:spacing w:val="1"/>
        </w:rPr>
        <w:t xml:space="preserve"> </w:t>
      </w:r>
      <w:r>
        <w:t>implementing</w:t>
      </w:r>
      <w:r>
        <w:rPr>
          <w:spacing w:val="1"/>
        </w:rPr>
        <w:t xml:space="preserve"> </w:t>
      </w:r>
      <w:r>
        <w:t>the</w:t>
      </w:r>
      <w:r>
        <w:rPr>
          <w:spacing w:val="1"/>
        </w:rPr>
        <w:t xml:space="preserve"> </w:t>
      </w:r>
      <w:r>
        <w:t>specific</w:t>
      </w:r>
      <w:r>
        <w:rPr>
          <w:spacing w:val="1"/>
        </w:rPr>
        <w:t xml:space="preserve"> </w:t>
      </w:r>
      <w:r>
        <w:t>objective</w:t>
      </w:r>
      <w:r>
        <w:rPr>
          <w:spacing w:val="1"/>
        </w:rPr>
        <w:t xml:space="preserve"> </w:t>
      </w:r>
      <w:r>
        <w:t>of</w:t>
      </w:r>
      <w:r>
        <w:rPr>
          <w:spacing w:val="1"/>
        </w:rPr>
        <w:t xml:space="preserve"> </w:t>
      </w:r>
      <w:r>
        <w:t>improving the model of care for key health challenges, namely: the development of improved</w:t>
      </w:r>
      <w:r>
        <w:rPr>
          <w:spacing w:val="1"/>
        </w:rPr>
        <w:t xml:space="preserve"> </w:t>
      </w:r>
      <w:r>
        <w:rPr>
          <w:spacing w:val="-1"/>
        </w:rPr>
        <w:t>clinical</w:t>
      </w:r>
      <w:r>
        <w:rPr>
          <w:spacing w:val="-12"/>
        </w:rPr>
        <w:t xml:space="preserve"> </w:t>
      </w:r>
      <w:r>
        <w:rPr>
          <w:spacing w:val="-1"/>
        </w:rPr>
        <w:t>guidelines;</w:t>
      </w:r>
      <w:r>
        <w:rPr>
          <w:spacing w:val="-12"/>
        </w:rPr>
        <w:t xml:space="preserve"> </w:t>
      </w:r>
      <w:r>
        <w:t>improving</w:t>
      </w:r>
      <w:r>
        <w:rPr>
          <w:spacing w:val="-15"/>
        </w:rPr>
        <w:t xml:space="preserve"> </w:t>
      </w:r>
      <w:r>
        <w:t>the</w:t>
      </w:r>
      <w:r>
        <w:rPr>
          <w:spacing w:val="-13"/>
        </w:rPr>
        <w:t xml:space="preserve"> </w:t>
      </w:r>
      <w:r>
        <w:t>treatment</w:t>
      </w:r>
      <w:r>
        <w:rPr>
          <w:spacing w:val="-12"/>
        </w:rPr>
        <w:t xml:space="preserve"> </w:t>
      </w:r>
      <w:r>
        <w:t>of</w:t>
      </w:r>
      <w:r>
        <w:rPr>
          <w:spacing w:val="-13"/>
        </w:rPr>
        <w:t xml:space="preserve"> </w:t>
      </w:r>
      <w:r>
        <w:t>patients</w:t>
      </w:r>
      <w:r>
        <w:rPr>
          <w:spacing w:val="-12"/>
        </w:rPr>
        <w:t xml:space="preserve"> </w:t>
      </w:r>
      <w:r>
        <w:t>with</w:t>
      </w:r>
      <w:r>
        <w:rPr>
          <w:spacing w:val="-12"/>
        </w:rPr>
        <w:t xml:space="preserve"> </w:t>
      </w:r>
      <w:r>
        <w:t>cardiovascular</w:t>
      </w:r>
      <w:r>
        <w:rPr>
          <w:spacing w:val="-11"/>
        </w:rPr>
        <w:t xml:space="preserve"> </w:t>
      </w:r>
      <w:r>
        <w:t>and</w:t>
      </w:r>
      <w:r>
        <w:rPr>
          <w:spacing w:val="-12"/>
        </w:rPr>
        <w:t xml:space="preserve"> </w:t>
      </w:r>
      <w:r>
        <w:t>cerebrovascular</w:t>
      </w:r>
      <w:r>
        <w:rPr>
          <w:spacing w:val="-57"/>
        </w:rPr>
        <w:t xml:space="preserve"> </w:t>
      </w:r>
      <w:r>
        <w:t>diseases;</w:t>
      </w:r>
      <w:r>
        <w:rPr>
          <w:spacing w:val="1"/>
        </w:rPr>
        <w:t xml:space="preserve"> </w:t>
      </w:r>
      <w:r>
        <w:t>improving</w:t>
      </w:r>
      <w:r>
        <w:rPr>
          <w:spacing w:val="1"/>
        </w:rPr>
        <w:t xml:space="preserve"> </w:t>
      </w:r>
      <w:r>
        <w:t>the</w:t>
      </w:r>
      <w:r>
        <w:rPr>
          <w:spacing w:val="1"/>
        </w:rPr>
        <w:t xml:space="preserve"> </w:t>
      </w:r>
      <w:r>
        <w:t>treatment</w:t>
      </w:r>
      <w:r>
        <w:rPr>
          <w:spacing w:val="1"/>
        </w:rPr>
        <w:t xml:space="preserve"> </w:t>
      </w:r>
      <w:r>
        <w:t>of</w:t>
      </w:r>
      <w:r>
        <w:rPr>
          <w:spacing w:val="1"/>
        </w:rPr>
        <w:t xml:space="preserve"> </w:t>
      </w:r>
      <w:r>
        <w:t>patients</w:t>
      </w:r>
      <w:r>
        <w:rPr>
          <w:spacing w:val="1"/>
        </w:rPr>
        <w:t xml:space="preserve"> </w:t>
      </w:r>
      <w:r>
        <w:t>with</w:t>
      </w:r>
      <w:r>
        <w:rPr>
          <w:spacing w:val="1"/>
        </w:rPr>
        <w:t xml:space="preserve"> </w:t>
      </w:r>
      <w:r>
        <w:t>oncological</w:t>
      </w:r>
      <w:r>
        <w:rPr>
          <w:spacing w:val="1"/>
        </w:rPr>
        <w:t xml:space="preserve"> </w:t>
      </w:r>
      <w:r>
        <w:t>diseases;</w:t>
      </w:r>
      <w:r>
        <w:rPr>
          <w:spacing w:val="1"/>
        </w:rPr>
        <w:t xml:space="preserve"> </w:t>
      </w:r>
      <w:r>
        <w:t>improving</w:t>
      </w:r>
      <w:r>
        <w:rPr>
          <w:spacing w:val="1"/>
        </w:rPr>
        <w:t xml:space="preserve"> </w:t>
      </w:r>
      <w:r>
        <w:t>the</w:t>
      </w:r>
      <w:r>
        <w:rPr>
          <w:spacing w:val="1"/>
        </w:rPr>
        <w:t xml:space="preserve"> </w:t>
      </w:r>
      <w:r>
        <w:t>treatment of patients with dementia and disorders of consciousness; improving the availability</w:t>
      </w:r>
      <w:r>
        <w:rPr>
          <w:spacing w:val="-57"/>
        </w:rPr>
        <w:t xml:space="preserve"> </w:t>
      </w:r>
      <w:r>
        <w:t>and quality of health care for patients with rare diseases; capacity building in the field of</w:t>
      </w:r>
      <w:r>
        <w:rPr>
          <w:spacing w:val="1"/>
        </w:rPr>
        <w:t xml:space="preserve"> </w:t>
      </w:r>
      <w:r>
        <w:t>diabetes</w:t>
      </w:r>
      <w:r>
        <w:rPr>
          <w:spacing w:val="-1"/>
        </w:rPr>
        <w:t xml:space="preserve"> </w:t>
      </w:r>
      <w:r>
        <w:t>care.</w:t>
      </w:r>
    </w:p>
    <w:p w:rsidR="00A56FE9" w:rsidRDefault="00000000">
      <w:pPr>
        <w:pStyle w:val="Tijeloteksta"/>
        <w:spacing w:before="121"/>
        <w:ind w:right="274"/>
      </w:pPr>
      <w:r>
        <w:t>In</w:t>
      </w:r>
      <w:r>
        <w:rPr>
          <w:spacing w:val="-9"/>
        </w:rPr>
        <w:t xml:space="preserve"> </w:t>
      </w:r>
      <w:r>
        <w:t>line</w:t>
      </w:r>
      <w:r>
        <w:rPr>
          <w:spacing w:val="-10"/>
        </w:rPr>
        <w:t xml:space="preserve"> </w:t>
      </w:r>
      <w:r>
        <w:t>with</w:t>
      </w:r>
      <w:r>
        <w:rPr>
          <w:spacing w:val="-8"/>
        </w:rPr>
        <w:t xml:space="preserve"> </w:t>
      </w:r>
      <w:r>
        <w:t>the</w:t>
      </w:r>
      <w:r>
        <w:rPr>
          <w:spacing w:val="-8"/>
        </w:rPr>
        <w:t xml:space="preserve"> </w:t>
      </w:r>
      <w:r>
        <w:t>Health</w:t>
      </w:r>
      <w:r>
        <w:rPr>
          <w:spacing w:val="-9"/>
        </w:rPr>
        <w:t xml:space="preserve"> </w:t>
      </w:r>
      <w:r>
        <w:t>Care</w:t>
      </w:r>
      <w:r>
        <w:rPr>
          <w:spacing w:val="-10"/>
        </w:rPr>
        <w:t xml:space="preserve"> </w:t>
      </w:r>
      <w:r>
        <w:t>Act</w:t>
      </w:r>
      <w:r>
        <w:rPr>
          <w:spacing w:val="-8"/>
        </w:rPr>
        <w:t xml:space="preserve"> </w:t>
      </w:r>
      <w:r>
        <w:t>and</w:t>
      </w:r>
      <w:r>
        <w:rPr>
          <w:spacing w:val="-8"/>
        </w:rPr>
        <w:t xml:space="preserve"> </w:t>
      </w:r>
      <w:r>
        <w:t>the</w:t>
      </w:r>
      <w:r>
        <w:rPr>
          <w:spacing w:val="-9"/>
        </w:rPr>
        <w:t xml:space="preserve"> </w:t>
      </w:r>
      <w:r>
        <w:t>Public</w:t>
      </w:r>
      <w:r>
        <w:rPr>
          <w:spacing w:val="-10"/>
        </w:rPr>
        <w:t xml:space="preserve"> </w:t>
      </w:r>
      <w:r>
        <w:t>Health</w:t>
      </w:r>
      <w:r>
        <w:rPr>
          <w:spacing w:val="-9"/>
        </w:rPr>
        <w:t xml:space="preserve"> </w:t>
      </w:r>
      <w:r>
        <w:t>Service</w:t>
      </w:r>
      <w:r>
        <w:rPr>
          <w:spacing w:val="-9"/>
        </w:rPr>
        <w:t xml:space="preserve"> </w:t>
      </w:r>
      <w:r>
        <w:t>Network,</w:t>
      </w:r>
      <w:r>
        <w:rPr>
          <w:spacing w:val="-9"/>
        </w:rPr>
        <w:t xml:space="preserve"> </w:t>
      </w:r>
      <w:r>
        <w:t>health</w:t>
      </w:r>
      <w:r>
        <w:rPr>
          <w:spacing w:val="-9"/>
        </w:rPr>
        <w:t xml:space="preserve"> </w:t>
      </w:r>
      <w:r>
        <w:t>care</w:t>
      </w:r>
      <w:r>
        <w:rPr>
          <w:spacing w:val="-10"/>
        </w:rPr>
        <w:t xml:space="preserve"> </w:t>
      </w:r>
      <w:r>
        <w:t>is</w:t>
      </w:r>
      <w:r>
        <w:rPr>
          <w:spacing w:val="-6"/>
        </w:rPr>
        <w:t xml:space="preserve"> </w:t>
      </w:r>
      <w:r>
        <w:t>provided</w:t>
      </w:r>
      <w:r>
        <w:rPr>
          <w:spacing w:val="-58"/>
        </w:rPr>
        <w:t xml:space="preserve"> </w:t>
      </w:r>
      <w:r>
        <w:t>at</w:t>
      </w:r>
      <w:r>
        <w:rPr>
          <w:spacing w:val="-8"/>
        </w:rPr>
        <w:t xml:space="preserve"> </w:t>
      </w:r>
      <w:r>
        <w:t>three</w:t>
      </w:r>
      <w:r>
        <w:rPr>
          <w:spacing w:val="-9"/>
        </w:rPr>
        <w:t xml:space="preserve"> </w:t>
      </w:r>
      <w:r>
        <w:t>levels:</w:t>
      </w:r>
      <w:r>
        <w:rPr>
          <w:spacing w:val="-7"/>
        </w:rPr>
        <w:t xml:space="preserve"> </w:t>
      </w:r>
      <w:r>
        <w:t>primary,</w:t>
      </w:r>
      <w:r>
        <w:rPr>
          <w:spacing w:val="-8"/>
        </w:rPr>
        <w:t xml:space="preserve"> </w:t>
      </w:r>
      <w:r>
        <w:t>secondary</w:t>
      </w:r>
      <w:r>
        <w:rPr>
          <w:spacing w:val="-10"/>
        </w:rPr>
        <w:t xml:space="preserve"> </w:t>
      </w:r>
      <w:r>
        <w:t>and</w:t>
      </w:r>
      <w:r>
        <w:rPr>
          <w:spacing w:val="-8"/>
        </w:rPr>
        <w:t xml:space="preserve"> </w:t>
      </w:r>
      <w:r>
        <w:t>tertiary</w:t>
      </w:r>
      <w:r>
        <w:rPr>
          <w:spacing w:val="-13"/>
        </w:rPr>
        <w:t xml:space="preserve"> </w:t>
      </w:r>
      <w:r>
        <w:t>levels</w:t>
      </w:r>
      <w:r>
        <w:rPr>
          <w:spacing w:val="-7"/>
        </w:rPr>
        <w:t xml:space="preserve"> </w:t>
      </w:r>
      <w:r>
        <w:t>of</w:t>
      </w:r>
      <w:r>
        <w:rPr>
          <w:spacing w:val="-8"/>
        </w:rPr>
        <w:t xml:space="preserve"> </w:t>
      </w:r>
      <w:r>
        <w:t>health</w:t>
      </w:r>
      <w:r>
        <w:rPr>
          <w:spacing w:val="-8"/>
        </w:rPr>
        <w:t xml:space="preserve"> </w:t>
      </w:r>
      <w:r>
        <w:t>care.</w:t>
      </w:r>
      <w:r>
        <w:rPr>
          <w:spacing w:val="-8"/>
        </w:rPr>
        <w:t xml:space="preserve"> </w:t>
      </w:r>
      <w:r>
        <w:t>The</w:t>
      </w:r>
      <w:r>
        <w:rPr>
          <w:spacing w:val="-9"/>
        </w:rPr>
        <w:t xml:space="preserve"> </w:t>
      </w:r>
      <w:r>
        <w:t>availability</w:t>
      </w:r>
      <w:r>
        <w:rPr>
          <w:spacing w:val="-12"/>
        </w:rPr>
        <w:t xml:space="preserve"> </w:t>
      </w:r>
      <w:r>
        <w:t>of</w:t>
      </w:r>
      <w:r>
        <w:rPr>
          <w:spacing w:val="-9"/>
        </w:rPr>
        <w:t xml:space="preserve"> </w:t>
      </w:r>
      <w:r>
        <w:t>primary</w:t>
      </w:r>
      <w:r>
        <w:rPr>
          <w:spacing w:val="-57"/>
        </w:rPr>
        <w:t xml:space="preserve"> </w:t>
      </w:r>
      <w:r>
        <w:t>health care is ensured throughout Croatia in health centres and medical teams. Primary health</w:t>
      </w:r>
      <w:r>
        <w:rPr>
          <w:spacing w:val="1"/>
        </w:rPr>
        <w:t xml:space="preserve"> </w:t>
      </w:r>
      <w:r>
        <w:t>care includes four basic activities available across the entire territory of Croatia based on the</w:t>
      </w:r>
      <w:r>
        <w:rPr>
          <w:spacing w:val="1"/>
        </w:rPr>
        <w:t xml:space="preserve"> </w:t>
      </w:r>
      <w:r>
        <w:t>health needs of the population, namely general/family medicine, health care for preschool</w:t>
      </w:r>
      <w:r>
        <w:rPr>
          <w:spacing w:val="1"/>
        </w:rPr>
        <w:t xml:space="preserve"> </w:t>
      </w:r>
      <w:r>
        <w:t>children,</w:t>
      </w:r>
      <w:r>
        <w:rPr>
          <w:spacing w:val="-1"/>
        </w:rPr>
        <w:t xml:space="preserve"> </w:t>
      </w:r>
      <w:r>
        <w:t>women's health care,</w:t>
      </w:r>
      <w:r>
        <w:rPr>
          <w:spacing w:val="4"/>
        </w:rPr>
        <w:t xml:space="preserve"> </w:t>
      </w:r>
      <w:r>
        <w:t>and dental</w:t>
      </w:r>
      <w:r>
        <w:rPr>
          <w:spacing w:val="-1"/>
        </w:rPr>
        <w:t xml:space="preserve"> </w:t>
      </w:r>
      <w:r>
        <w:t>health care.</w:t>
      </w:r>
    </w:p>
    <w:p w:rsidR="00A56FE9" w:rsidRDefault="00000000">
      <w:pPr>
        <w:pStyle w:val="Tijeloteksta"/>
        <w:spacing w:before="121"/>
        <w:ind w:right="275"/>
      </w:pPr>
      <w:r>
        <w:t>In</w:t>
      </w:r>
      <w:r>
        <w:rPr>
          <w:spacing w:val="-5"/>
        </w:rPr>
        <w:t xml:space="preserve"> </w:t>
      </w:r>
      <w:r>
        <w:t>addition</w:t>
      </w:r>
      <w:r>
        <w:rPr>
          <w:spacing w:val="-3"/>
        </w:rPr>
        <w:t xml:space="preserve"> </w:t>
      </w:r>
      <w:r>
        <w:t>to</w:t>
      </w:r>
      <w:r>
        <w:rPr>
          <w:spacing w:val="-4"/>
        </w:rPr>
        <w:t xml:space="preserve"> </w:t>
      </w:r>
      <w:r>
        <w:t>the</w:t>
      </w:r>
      <w:r>
        <w:rPr>
          <w:spacing w:val="-4"/>
        </w:rPr>
        <w:t xml:space="preserve"> </w:t>
      </w:r>
      <w:r>
        <w:t>National</w:t>
      </w:r>
      <w:r>
        <w:rPr>
          <w:spacing w:val="-4"/>
        </w:rPr>
        <w:t xml:space="preserve"> </w:t>
      </w:r>
      <w:r>
        <w:t>Health</w:t>
      </w:r>
      <w:r>
        <w:rPr>
          <w:spacing w:val="-4"/>
        </w:rPr>
        <w:t xml:space="preserve"> </w:t>
      </w:r>
      <w:r>
        <w:t>Development</w:t>
      </w:r>
      <w:r>
        <w:rPr>
          <w:spacing w:val="-4"/>
        </w:rPr>
        <w:t xml:space="preserve"> </w:t>
      </w:r>
      <w:r>
        <w:t>Plan,</w:t>
      </w:r>
      <w:r>
        <w:rPr>
          <w:spacing w:val="-4"/>
        </w:rPr>
        <w:t xml:space="preserve"> </w:t>
      </w:r>
      <w:r>
        <w:t>we</w:t>
      </w:r>
      <w:r>
        <w:rPr>
          <w:spacing w:val="-4"/>
        </w:rPr>
        <w:t xml:space="preserve"> </w:t>
      </w:r>
      <w:r>
        <w:t>also</w:t>
      </w:r>
      <w:r>
        <w:rPr>
          <w:spacing w:val="-3"/>
        </w:rPr>
        <w:t xml:space="preserve"> </w:t>
      </w:r>
      <w:r>
        <w:t>single</w:t>
      </w:r>
      <w:r>
        <w:rPr>
          <w:spacing w:val="-5"/>
        </w:rPr>
        <w:t xml:space="preserve"> </w:t>
      </w:r>
      <w:r>
        <w:t>out</w:t>
      </w:r>
      <w:r>
        <w:rPr>
          <w:spacing w:val="-3"/>
        </w:rPr>
        <w:t xml:space="preserve"> </w:t>
      </w:r>
      <w:r>
        <w:t>certain</w:t>
      </w:r>
      <w:r>
        <w:rPr>
          <w:spacing w:val="-4"/>
        </w:rPr>
        <w:t xml:space="preserve"> </w:t>
      </w:r>
      <w:r>
        <w:t>legislative</w:t>
      </w:r>
      <w:r>
        <w:rPr>
          <w:spacing w:val="-4"/>
        </w:rPr>
        <w:t xml:space="preserve"> </w:t>
      </w:r>
      <w:r>
        <w:t>acts</w:t>
      </w:r>
      <w:r>
        <w:rPr>
          <w:spacing w:val="-58"/>
        </w:rPr>
        <w:t xml:space="preserve"> </w:t>
      </w:r>
      <w:r>
        <w:t>that</w:t>
      </w:r>
      <w:r>
        <w:rPr>
          <w:spacing w:val="-1"/>
        </w:rPr>
        <w:t xml:space="preserve"> </w:t>
      </w:r>
      <w:r>
        <w:t>are</w:t>
      </w:r>
      <w:r>
        <w:rPr>
          <w:spacing w:val="-2"/>
        </w:rPr>
        <w:t xml:space="preserve"> </w:t>
      </w:r>
      <w:r>
        <w:t>in force</w:t>
      </w:r>
      <w:r>
        <w:rPr>
          <w:spacing w:val="-1"/>
        </w:rPr>
        <w:t xml:space="preserve"> </w:t>
      </w:r>
      <w:r>
        <w:t>or in</w:t>
      </w:r>
      <w:r>
        <w:rPr>
          <w:spacing w:val="-1"/>
        </w:rPr>
        <w:t xml:space="preserve"> </w:t>
      </w:r>
      <w:r>
        <w:t>the</w:t>
      </w:r>
      <w:r>
        <w:rPr>
          <w:spacing w:val="1"/>
        </w:rPr>
        <w:t xml:space="preserve"> </w:t>
      </w:r>
      <w:r>
        <w:t>process of</w:t>
      </w:r>
      <w:r>
        <w:rPr>
          <w:spacing w:val="1"/>
        </w:rPr>
        <w:t xml:space="preserve"> </w:t>
      </w:r>
      <w:r>
        <w:t>adoption, and</w:t>
      </w:r>
      <w:r>
        <w:rPr>
          <w:spacing w:val="1"/>
        </w:rPr>
        <w:t xml:space="preserve"> </w:t>
      </w:r>
      <w:r>
        <w:t>relate</w:t>
      </w:r>
      <w:r>
        <w:rPr>
          <w:spacing w:val="-1"/>
        </w:rPr>
        <w:t xml:space="preserve"> </w:t>
      </w:r>
      <w:r>
        <w:t>to the</w:t>
      </w:r>
      <w:r>
        <w:rPr>
          <w:spacing w:val="-1"/>
        </w:rPr>
        <w:t xml:space="preserve"> </w:t>
      </w:r>
      <w:r>
        <w:t>objective</w:t>
      </w:r>
      <w:r>
        <w:rPr>
          <w:spacing w:val="-1"/>
        </w:rPr>
        <w:t xml:space="preserve"> </w:t>
      </w:r>
      <w:r>
        <w:t>in question:</w:t>
      </w:r>
    </w:p>
    <w:p w:rsidR="00A56FE9" w:rsidRDefault="00000000">
      <w:pPr>
        <w:pStyle w:val="Odlomakpopisa"/>
        <w:numPr>
          <w:ilvl w:val="0"/>
          <w:numId w:val="5"/>
        </w:numPr>
        <w:tabs>
          <w:tab w:val="left" w:pos="499"/>
        </w:tabs>
        <w:spacing w:before="119" w:line="277" w:lineRule="exact"/>
        <w:ind w:hanging="361"/>
        <w:jc w:val="both"/>
        <w:rPr>
          <w:sz w:val="24"/>
        </w:rPr>
      </w:pPr>
      <w:r>
        <w:rPr>
          <w:sz w:val="24"/>
        </w:rPr>
        <w:t>The</w:t>
      </w:r>
      <w:r>
        <w:rPr>
          <w:spacing w:val="-4"/>
          <w:sz w:val="24"/>
        </w:rPr>
        <w:t xml:space="preserve"> </w:t>
      </w:r>
      <w:r>
        <w:rPr>
          <w:sz w:val="24"/>
        </w:rPr>
        <w:t>National</w:t>
      </w:r>
      <w:r>
        <w:rPr>
          <w:spacing w:val="-1"/>
          <w:sz w:val="24"/>
        </w:rPr>
        <w:t xml:space="preserve"> </w:t>
      </w:r>
      <w:r>
        <w:rPr>
          <w:sz w:val="24"/>
        </w:rPr>
        <w:t>Strategic Framework</w:t>
      </w:r>
      <w:r>
        <w:rPr>
          <w:spacing w:val="-1"/>
          <w:sz w:val="24"/>
        </w:rPr>
        <w:t xml:space="preserve"> </w:t>
      </w:r>
      <w:r>
        <w:rPr>
          <w:sz w:val="24"/>
        </w:rPr>
        <w:t>against</w:t>
      </w:r>
      <w:r>
        <w:rPr>
          <w:spacing w:val="-2"/>
          <w:sz w:val="24"/>
        </w:rPr>
        <w:t xml:space="preserve"> </w:t>
      </w:r>
      <w:r>
        <w:rPr>
          <w:sz w:val="24"/>
        </w:rPr>
        <w:t>Cancer</w:t>
      </w:r>
      <w:r>
        <w:rPr>
          <w:spacing w:val="4"/>
          <w:sz w:val="24"/>
        </w:rPr>
        <w:t xml:space="preserve"> </w:t>
      </w:r>
      <w:r>
        <w:rPr>
          <w:sz w:val="24"/>
        </w:rPr>
        <w:t>to</w:t>
      </w:r>
      <w:r>
        <w:rPr>
          <w:spacing w:val="-1"/>
          <w:sz w:val="24"/>
        </w:rPr>
        <w:t xml:space="preserve"> </w:t>
      </w:r>
      <w:r>
        <w:rPr>
          <w:sz w:val="24"/>
        </w:rPr>
        <w:t>2030</w:t>
      </w:r>
      <w:r>
        <w:rPr>
          <w:spacing w:val="-2"/>
          <w:sz w:val="24"/>
        </w:rPr>
        <w:t xml:space="preserve"> </w:t>
      </w:r>
      <w:r>
        <w:rPr>
          <w:sz w:val="24"/>
        </w:rPr>
        <w:t>has</w:t>
      </w:r>
      <w:r>
        <w:rPr>
          <w:spacing w:val="-1"/>
          <w:sz w:val="24"/>
        </w:rPr>
        <w:t xml:space="preserve"> </w:t>
      </w:r>
      <w:r>
        <w:rPr>
          <w:sz w:val="24"/>
        </w:rPr>
        <w:t>been</w:t>
      </w:r>
      <w:r>
        <w:rPr>
          <w:spacing w:val="-1"/>
          <w:sz w:val="24"/>
        </w:rPr>
        <w:t xml:space="preserve"> </w:t>
      </w:r>
      <w:r>
        <w:rPr>
          <w:sz w:val="24"/>
        </w:rPr>
        <w:t>adopted.</w:t>
      </w:r>
    </w:p>
    <w:p w:rsidR="00A56FE9" w:rsidRDefault="00000000">
      <w:pPr>
        <w:pStyle w:val="Odlomakpopisa"/>
        <w:numPr>
          <w:ilvl w:val="0"/>
          <w:numId w:val="5"/>
        </w:numPr>
        <w:tabs>
          <w:tab w:val="left" w:pos="499"/>
        </w:tabs>
        <w:ind w:right="276"/>
        <w:jc w:val="both"/>
        <w:rPr>
          <w:sz w:val="24"/>
        </w:rPr>
      </w:pPr>
      <w:r>
        <w:rPr>
          <w:sz w:val="24"/>
        </w:rPr>
        <w:t>The Government has adopted the National Road Safety Plan adopted for the period 2021-</w:t>
      </w:r>
      <w:r>
        <w:rPr>
          <w:spacing w:val="1"/>
          <w:sz w:val="24"/>
        </w:rPr>
        <w:t xml:space="preserve"> </w:t>
      </w:r>
      <w:r>
        <w:rPr>
          <w:sz w:val="24"/>
        </w:rPr>
        <w:t>2030. years. This plan is in line with global and European guidelines in the field of road</w:t>
      </w:r>
      <w:r>
        <w:rPr>
          <w:spacing w:val="1"/>
          <w:sz w:val="24"/>
        </w:rPr>
        <w:t xml:space="preserve"> </w:t>
      </w:r>
      <w:r>
        <w:rPr>
          <w:sz w:val="24"/>
        </w:rPr>
        <w:t>safety</w:t>
      </w:r>
      <w:r>
        <w:rPr>
          <w:spacing w:val="-5"/>
          <w:sz w:val="24"/>
        </w:rPr>
        <w:t xml:space="preserve"> </w:t>
      </w:r>
      <w:r>
        <w:rPr>
          <w:sz w:val="24"/>
        </w:rPr>
        <w:t>legislation.</w:t>
      </w:r>
    </w:p>
    <w:p w:rsidR="00A56FE9" w:rsidRDefault="00000000">
      <w:pPr>
        <w:pStyle w:val="Odlomakpopisa"/>
        <w:numPr>
          <w:ilvl w:val="0"/>
          <w:numId w:val="5"/>
        </w:numPr>
        <w:tabs>
          <w:tab w:val="left" w:pos="499"/>
        </w:tabs>
        <w:ind w:right="273"/>
        <w:jc w:val="both"/>
        <w:rPr>
          <w:sz w:val="24"/>
        </w:rPr>
      </w:pPr>
      <w:r>
        <w:rPr>
          <w:sz w:val="24"/>
        </w:rPr>
        <w:t>At the proposal of the CNIPH, the Minister of Health adopted the following vaccination</w:t>
      </w:r>
      <w:r>
        <w:rPr>
          <w:spacing w:val="1"/>
          <w:sz w:val="24"/>
        </w:rPr>
        <w:t xml:space="preserve"> </w:t>
      </w:r>
      <w:r>
        <w:rPr>
          <w:sz w:val="24"/>
        </w:rPr>
        <w:t>programs:</w:t>
      </w:r>
      <w:r>
        <w:rPr>
          <w:spacing w:val="6"/>
          <w:sz w:val="24"/>
        </w:rPr>
        <w:t xml:space="preserve"> </w:t>
      </w:r>
      <w:r>
        <w:rPr>
          <w:sz w:val="24"/>
        </w:rPr>
        <w:t>three-year</w:t>
      </w:r>
      <w:r>
        <w:rPr>
          <w:spacing w:val="5"/>
          <w:sz w:val="24"/>
        </w:rPr>
        <w:t xml:space="preserve"> </w:t>
      </w:r>
      <w:r>
        <w:rPr>
          <w:sz w:val="24"/>
        </w:rPr>
        <w:t>mandatory</w:t>
      </w:r>
      <w:r>
        <w:rPr>
          <w:spacing w:val="1"/>
          <w:sz w:val="24"/>
        </w:rPr>
        <w:t xml:space="preserve"> </w:t>
      </w:r>
      <w:r>
        <w:rPr>
          <w:sz w:val="24"/>
        </w:rPr>
        <w:t>vaccination</w:t>
      </w:r>
      <w:r>
        <w:rPr>
          <w:spacing w:val="6"/>
          <w:sz w:val="24"/>
        </w:rPr>
        <w:t xml:space="preserve"> </w:t>
      </w:r>
      <w:r>
        <w:rPr>
          <w:sz w:val="24"/>
        </w:rPr>
        <w:t>program</w:t>
      </w:r>
      <w:r>
        <w:rPr>
          <w:spacing w:val="6"/>
          <w:sz w:val="24"/>
        </w:rPr>
        <w:t xml:space="preserve"> </w:t>
      </w:r>
      <w:r>
        <w:rPr>
          <w:sz w:val="24"/>
        </w:rPr>
        <w:t>in</w:t>
      </w:r>
      <w:r>
        <w:rPr>
          <w:spacing w:val="6"/>
          <w:sz w:val="24"/>
        </w:rPr>
        <w:t xml:space="preserve"> </w:t>
      </w:r>
      <w:r>
        <w:rPr>
          <w:sz w:val="24"/>
        </w:rPr>
        <w:t>the</w:t>
      </w:r>
      <w:r>
        <w:rPr>
          <w:spacing w:val="5"/>
          <w:sz w:val="24"/>
        </w:rPr>
        <w:t xml:space="preserve"> </w:t>
      </w:r>
      <w:r>
        <w:rPr>
          <w:sz w:val="24"/>
        </w:rPr>
        <w:t>Republic</w:t>
      </w:r>
      <w:r>
        <w:rPr>
          <w:spacing w:val="5"/>
          <w:sz w:val="24"/>
        </w:rPr>
        <w:t xml:space="preserve"> </w:t>
      </w:r>
      <w:r>
        <w:rPr>
          <w:sz w:val="24"/>
        </w:rPr>
        <w:t>of</w:t>
      </w:r>
      <w:r>
        <w:rPr>
          <w:spacing w:val="2"/>
          <w:sz w:val="24"/>
        </w:rPr>
        <w:t xml:space="preserve"> </w:t>
      </w:r>
      <w:r>
        <w:rPr>
          <w:sz w:val="24"/>
        </w:rPr>
        <w:t>Croatia</w:t>
      </w:r>
      <w:r>
        <w:rPr>
          <w:spacing w:val="9"/>
          <w:sz w:val="24"/>
        </w:rPr>
        <w:t xml:space="preserve"> </w:t>
      </w:r>
      <w:r>
        <w:rPr>
          <w:sz w:val="24"/>
        </w:rPr>
        <w:t>for</w:t>
      </w:r>
      <w:r>
        <w:rPr>
          <w:spacing w:val="4"/>
          <w:sz w:val="24"/>
        </w:rPr>
        <w:t xml:space="preserve"> </w:t>
      </w:r>
      <w:r>
        <w:rPr>
          <w:sz w:val="24"/>
        </w:rPr>
        <w:t>2022-</w:t>
      </w:r>
    </w:p>
    <w:p w:rsidR="00A56FE9" w:rsidRDefault="00CC1B9B">
      <w:pPr>
        <w:pStyle w:val="Tijeloteksta"/>
        <w:spacing w:before="4"/>
        <w:ind w:left="0"/>
        <w:jc w:val="left"/>
        <w:rPr>
          <w:sz w:val="11"/>
        </w:rPr>
      </w:pPr>
      <w:r>
        <w:rPr>
          <w:noProof/>
        </w:rPr>
        <mc:AlternateContent>
          <mc:Choice Requires="wps">
            <w:drawing>
              <wp:anchor distT="0" distB="0" distL="0" distR="0" simplePos="0" relativeHeight="487682048" behindDoc="1" locked="0" layoutInCell="1" allowOverlap="1">
                <wp:simplePos x="0" y="0"/>
                <wp:positionH relativeFrom="page">
                  <wp:posOffset>901065</wp:posOffset>
                </wp:positionH>
                <wp:positionV relativeFrom="paragraph">
                  <wp:posOffset>107950</wp:posOffset>
                </wp:positionV>
                <wp:extent cx="1828800" cy="7620"/>
                <wp:effectExtent l="0" t="0" r="0" b="0"/>
                <wp:wrapTopAndBottom/>
                <wp:docPr id="30873238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19779" id="Rectangle 59" o:spid="_x0000_s1026" style="position:absolute;margin-left:70.95pt;margin-top:8.5pt;width:2in;height:.6pt;z-index:-15634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" fillcolor="black" stroked="f">
                <w10:wrap type="topAndBottom" anchorx="page"/>
              </v:rect>
            </w:pict>
          </mc:Fallback>
        </mc:AlternateContent>
      </w:r>
    </w:p>
    <w:p w:rsidR="00A56FE9" w:rsidRDefault="00000000">
      <w:pPr>
        <w:spacing w:before="74"/>
        <w:ind w:left="138"/>
        <w:rPr>
          <w:sz w:val="20"/>
        </w:rPr>
      </w:pPr>
      <w:r>
        <w:rPr>
          <w:sz w:val="20"/>
          <w:vertAlign w:val="superscript"/>
        </w:rPr>
        <w:t>40</w:t>
      </w:r>
      <w:r>
        <w:rPr>
          <w:spacing w:val="-1"/>
          <w:sz w:val="20"/>
        </w:rPr>
        <w:t xml:space="preserve"> </w:t>
      </w:r>
      <w:r>
        <w:rPr>
          <w:sz w:val="20"/>
        </w:rPr>
        <w:t>OG 147/21</w:t>
      </w:r>
    </w:p>
    <w:p w:rsidR="00A56FE9" w:rsidRDefault="00A56FE9">
      <w:pPr>
        <w:rPr>
          <w:sz w:val="20"/>
        </w:rPr>
        <w:sectPr w:rsidR="00A56FE9" w:rsidSect="00AB1E70">
          <w:footerReference w:type="default" r:id="rId11"/>
          <w:pgSz w:w="11910" w:h="16840"/>
          <w:pgMar w:top="1320" w:right="1140" w:bottom="960" w:left="1280" w:header="0" w:footer="779" w:gutter="0"/>
          <w:cols w:space="720"/>
        </w:sectPr>
      </w:pPr>
    </w:p>
    <w:p w:rsidR="00A56FE9" w:rsidRDefault="00000000">
      <w:pPr>
        <w:pStyle w:val="Tijeloteksta"/>
        <w:spacing w:before="74"/>
        <w:ind w:left="498" w:right="278"/>
      </w:pPr>
      <w:r>
        <w:t>2024 against diphtheria, tetanus, pertussis, polio, measles, mumps, rubella, tuberculosis,</w:t>
      </w:r>
      <w:r>
        <w:rPr>
          <w:spacing w:val="1"/>
        </w:rPr>
        <w:t xml:space="preserve"> </w:t>
      </w:r>
      <w:r>
        <w:t>hepatitis</w:t>
      </w:r>
      <w:r>
        <w:rPr>
          <w:spacing w:val="-6"/>
        </w:rPr>
        <w:t xml:space="preserve"> </w:t>
      </w:r>
      <w:r>
        <w:t>B,</w:t>
      </w:r>
      <w:r>
        <w:rPr>
          <w:spacing w:val="-5"/>
        </w:rPr>
        <w:t xml:space="preserve"> </w:t>
      </w:r>
      <w:r>
        <w:t>diseases</w:t>
      </w:r>
      <w:r>
        <w:rPr>
          <w:spacing w:val="-4"/>
        </w:rPr>
        <w:t xml:space="preserve"> </w:t>
      </w:r>
      <w:r>
        <w:t>caused</w:t>
      </w:r>
      <w:r>
        <w:rPr>
          <w:spacing w:val="-5"/>
        </w:rPr>
        <w:t xml:space="preserve"> </w:t>
      </w:r>
      <w:r>
        <w:t>by</w:t>
      </w:r>
      <w:r>
        <w:rPr>
          <w:spacing w:val="-11"/>
        </w:rPr>
        <w:t xml:space="preserve"> </w:t>
      </w:r>
      <w:r>
        <w:t>haemophilus</w:t>
      </w:r>
      <w:r>
        <w:rPr>
          <w:spacing w:val="-5"/>
        </w:rPr>
        <w:t xml:space="preserve"> </w:t>
      </w:r>
      <w:r>
        <w:t>influenzae</w:t>
      </w:r>
      <w:r>
        <w:rPr>
          <w:spacing w:val="-7"/>
        </w:rPr>
        <w:t xml:space="preserve"> </w:t>
      </w:r>
      <w:r>
        <w:t>type</w:t>
      </w:r>
      <w:r>
        <w:rPr>
          <w:spacing w:val="-4"/>
        </w:rPr>
        <w:t xml:space="preserve"> </w:t>
      </w:r>
      <w:r>
        <w:t>B</w:t>
      </w:r>
      <w:r>
        <w:rPr>
          <w:spacing w:val="-6"/>
        </w:rPr>
        <w:t xml:space="preserve"> </w:t>
      </w:r>
      <w:r>
        <w:t>and</w:t>
      </w:r>
      <w:r>
        <w:rPr>
          <w:spacing w:val="-5"/>
        </w:rPr>
        <w:t xml:space="preserve"> </w:t>
      </w:r>
      <w:r>
        <w:t>pneumococcal</w:t>
      </w:r>
      <w:r>
        <w:rPr>
          <w:spacing w:val="-6"/>
        </w:rPr>
        <w:t xml:space="preserve"> </w:t>
      </w:r>
      <w:r>
        <w:t>diseases.</w:t>
      </w:r>
    </w:p>
    <w:p w:rsidR="00A56FE9" w:rsidRDefault="00000000">
      <w:pPr>
        <w:pStyle w:val="Odlomakpopisa"/>
        <w:numPr>
          <w:ilvl w:val="0"/>
          <w:numId w:val="5"/>
        </w:numPr>
        <w:tabs>
          <w:tab w:val="left" w:pos="499"/>
        </w:tabs>
        <w:ind w:right="274"/>
        <w:jc w:val="both"/>
        <w:rPr>
          <w:sz w:val="24"/>
        </w:rPr>
      </w:pPr>
      <w:r>
        <w:rPr>
          <w:sz w:val="24"/>
        </w:rPr>
        <w:t>Three-year program of immunisation, seroprophylaxis and chemoprophylaxis for special</w:t>
      </w:r>
      <w:r>
        <w:rPr>
          <w:spacing w:val="1"/>
          <w:sz w:val="24"/>
        </w:rPr>
        <w:t xml:space="preserve"> </w:t>
      </w:r>
      <w:r>
        <w:rPr>
          <w:sz w:val="24"/>
        </w:rPr>
        <w:t>groups of the population and individuals at increased risk of tuberculosis, hepatitis A and</w:t>
      </w:r>
      <w:r>
        <w:rPr>
          <w:spacing w:val="1"/>
          <w:sz w:val="24"/>
        </w:rPr>
        <w:t xml:space="preserve"> </w:t>
      </w:r>
      <w:r>
        <w:rPr>
          <w:sz w:val="24"/>
        </w:rPr>
        <w:t>B, rabies, yellow fever, cholera, typhoid fever, tetanus, measles, severe lower respiratory</w:t>
      </w:r>
      <w:r>
        <w:rPr>
          <w:spacing w:val="1"/>
          <w:sz w:val="24"/>
        </w:rPr>
        <w:t xml:space="preserve"> </w:t>
      </w:r>
      <w:r>
        <w:rPr>
          <w:sz w:val="24"/>
        </w:rPr>
        <w:t>tract diseases caused by respiratory viral infection, tick-borne encephalitis, chickenpox,</w:t>
      </w:r>
      <w:r>
        <w:rPr>
          <w:spacing w:val="1"/>
          <w:sz w:val="24"/>
        </w:rPr>
        <w:t xml:space="preserve"> </w:t>
      </w:r>
      <w:r>
        <w:rPr>
          <w:sz w:val="24"/>
        </w:rPr>
        <w:t>rotavirus</w:t>
      </w:r>
      <w:r>
        <w:rPr>
          <w:spacing w:val="1"/>
          <w:sz w:val="24"/>
        </w:rPr>
        <w:t xml:space="preserve"> </w:t>
      </w:r>
      <w:r>
        <w:rPr>
          <w:sz w:val="24"/>
        </w:rPr>
        <w:t>gastroenterocolitis,</w:t>
      </w:r>
      <w:r>
        <w:rPr>
          <w:spacing w:val="1"/>
          <w:sz w:val="24"/>
        </w:rPr>
        <w:t xml:space="preserve"> </w:t>
      </w:r>
      <w:r>
        <w:rPr>
          <w:sz w:val="24"/>
        </w:rPr>
        <w:t>malaria,</w:t>
      </w:r>
      <w:r>
        <w:rPr>
          <w:spacing w:val="1"/>
          <w:sz w:val="24"/>
        </w:rPr>
        <w:t xml:space="preserve"> </w:t>
      </w:r>
      <w:r>
        <w:rPr>
          <w:sz w:val="24"/>
        </w:rPr>
        <w:t>streptococcal</w:t>
      </w:r>
      <w:r>
        <w:rPr>
          <w:spacing w:val="1"/>
          <w:sz w:val="24"/>
        </w:rPr>
        <w:t xml:space="preserve"> </w:t>
      </w:r>
      <w:r>
        <w:rPr>
          <w:sz w:val="24"/>
        </w:rPr>
        <w:t>diseases</w:t>
      </w:r>
      <w:r>
        <w:rPr>
          <w:spacing w:val="1"/>
          <w:sz w:val="24"/>
        </w:rPr>
        <w:t xml:space="preserve"> </w:t>
      </w:r>
      <w:r>
        <w:rPr>
          <w:sz w:val="24"/>
        </w:rPr>
        <w:t>(including</w:t>
      </w:r>
      <w:r>
        <w:rPr>
          <w:spacing w:val="1"/>
          <w:sz w:val="24"/>
        </w:rPr>
        <w:t xml:space="preserve"> </w:t>
      </w:r>
      <w:r>
        <w:rPr>
          <w:sz w:val="24"/>
        </w:rPr>
        <w:t>invasive</w:t>
      </w:r>
      <w:r>
        <w:rPr>
          <w:spacing w:val="1"/>
          <w:sz w:val="24"/>
        </w:rPr>
        <w:t xml:space="preserve"> </w:t>
      </w:r>
      <w:r>
        <w:rPr>
          <w:spacing w:val="-1"/>
          <w:sz w:val="24"/>
        </w:rPr>
        <w:t>pneumococcal</w:t>
      </w:r>
      <w:r>
        <w:rPr>
          <w:spacing w:val="-14"/>
          <w:sz w:val="24"/>
        </w:rPr>
        <w:t xml:space="preserve"> </w:t>
      </w:r>
      <w:r>
        <w:rPr>
          <w:sz w:val="24"/>
        </w:rPr>
        <w:t>disease,</w:t>
      </w:r>
      <w:r>
        <w:rPr>
          <w:spacing w:val="-13"/>
          <w:sz w:val="24"/>
        </w:rPr>
        <w:t xml:space="preserve"> </w:t>
      </w:r>
      <w:r>
        <w:rPr>
          <w:sz w:val="24"/>
        </w:rPr>
        <w:t>haemophilus</w:t>
      </w:r>
      <w:r>
        <w:rPr>
          <w:spacing w:val="-14"/>
          <w:sz w:val="24"/>
        </w:rPr>
        <w:t xml:space="preserve"> </w:t>
      </w:r>
      <w:r>
        <w:rPr>
          <w:sz w:val="24"/>
        </w:rPr>
        <w:t>influenzae</w:t>
      </w:r>
      <w:r>
        <w:rPr>
          <w:spacing w:val="-14"/>
          <w:sz w:val="24"/>
        </w:rPr>
        <w:t xml:space="preserve"> </w:t>
      </w:r>
      <w:r>
        <w:rPr>
          <w:sz w:val="24"/>
        </w:rPr>
        <w:t>-</w:t>
      </w:r>
      <w:r>
        <w:rPr>
          <w:spacing w:val="-14"/>
          <w:sz w:val="24"/>
        </w:rPr>
        <w:t xml:space="preserve"> </w:t>
      </w:r>
      <w:r>
        <w:rPr>
          <w:sz w:val="24"/>
        </w:rPr>
        <w:t>invasive</w:t>
      </w:r>
      <w:r>
        <w:rPr>
          <w:spacing w:val="-15"/>
          <w:sz w:val="24"/>
        </w:rPr>
        <w:t xml:space="preserve"> </w:t>
      </w:r>
      <w:r>
        <w:rPr>
          <w:sz w:val="24"/>
        </w:rPr>
        <w:t>diseases,</w:t>
      </w:r>
      <w:r>
        <w:rPr>
          <w:spacing w:val="-15"/>
          <w:sz w:val="24"/>
        </w:rPr>
        <w:t xml:space="preserve"> </w:t>
      </w:r>
      <w:r>
        <w:rPr>
          <w:sz w:val="24"/>
        </w:rPr>
        <w:t>invasive</w:t>
      </w:r>
      <w:r>
        <w:rPr>
          <w:spacing w:val="-15"/>
          <w:sz w:val="24"/>
        </w:rPr>
        <w:t xml:space="preserve"> </w:t>
      </w:r>
      <w:r>
        <w:rPr>
          <w:sz w:val="24"/>
        </w:rPr>
        <w:t>meningococcal</w:t>
      </w:r>
      <w:r>
        <w:rPr>
          <w:spacing w:val="-57"/>
          <w:sz w:val="24"/>
        </w:rPr>
        <w:t xml:space="preserve"> </w:t>
      </w:r>
      <w:r>
        <w:rPr>
          <w:sz w:val="24"/>
        </w:rPr>
        <w:t>diseases,</w:t>
      </w:r>
      <w:r>
        <w:rPr>
          <w:spacing w:val="-1"/>
          <w:sz w:val="24"/>
        </w:rPr>
        <w:t xml:space="preserve"> </w:t>
      </w:r>
      <w:r>
        <w:rPr>
          <w:sz w:val="24"/>
        </w:rPr>
        <w:t>HPV infections and</w:t>
      </w:r>
      <w:r>
        <w:rPr>
          <w:spacing w:val="1"/>
          <w:sz w:val="24"/>
        </w:rPr>
        <w:t xml:space="preserve"> </w:t>
      </w:r>
      <w:r>
        <w:rPr>
          <w:sz w:val="24"/>
        </w:rPr>
        <w:t>the</w:t>
      </w:r>
      <w:r>
        <w:rPr>
          <w:spacing w:val="-1"/>
          <w:sz w:val="24"/>
        </w:rPr>
        <w:t xml:space="preserve"> </w:t>
      </w:r>
      <w:r>
        <w:rPr>
          <w:sz w:val="24"/>
        </w:rPr>
        <w:t>COVID-19</w:t>
      </w:r>
      <w:r>
        <w:rPr>
          <w:spacing w:val="-1"/>
          <w:sz w:val="24"/>
        </w:rPr>
        <w:t xml:space="preserve"> </w:t>
      </w:r>
      <w:r>
        <w:rPr>
          <w:sz w:val="24"/>
        </w:rPr>
        <w:t>disease</w:t>
      </w:r>
      <w:r>
        <w:rPr>
          <w:spacing w:val="-1"/>
          <w:sz w:val="24"/>
        </w:rPr>
        <w:t xml:space="preserve"> </w:t>
      </w:r>
      <w:r>
        <w:rPr>
          <w:sz w:val="24"/>
        </w:rPr>
        <w:t>in 2022-2024).</w:t>
      </w:r>
    </w:p>
    <w:p w:rsidR="00A56FE9" w:rsidRDefault="00000000">
      <w:pPr>
        <w:pStyle w:val="Odlomakpopisa"/>
        <w:numPr>
          <w:ilvl w:val="0"/>
          <w:numId w:val="5"/>
        </w:numPr>
        <w:tabs>
          <w:tab w:val="left" w:pos="499"/>
        </w:tabs>
        <w:ind w:right="277"/>
        <w:jc w:val="both"/>
        <w:rPr>
          <w:sz w:val="24"/>
        </w:rPr>
      </w:pPr>
      <w:r>
        <w:rPr>
          <w:sz w:val="24"/>
        </w:rPr>
        <w:t>Implementation of the mandatory vaccination program in the Republic of Croatia in 2022</w:t>
      </w:r>
      <w:r>
        <w:rPr>
          <w:spacing w:val="1"/>
          <w:sz w:val="24"/>
        </w:rPr>
        <w:t xml:space="preserve"> </w:t>
      </w:r>
      <w:r>
        <w:rPr>
          <w:sz w:val="24"/>
        </w:rPr>
        <w:t>against</w:t>
      </w:r>
      <w:r>
        <w:rPr>
          <w:spacing w:val="-11"/>
          <w:sz w:val="24"/>
        </w:rPr>
        <w:t xml:space="preserve"> </w:t>
      </w:r>
      <w:r>
        <w:rPr>
          <w:sz w:val="24"/>
        </w:rPr>
        <w:t>diphtheria,</w:t>
      </w:r>
      <w:r>
        <w:rPr>
          <w:spacing w:val="-11"/>
          <w:sz w:val="24"/>
        </w:rPr>
        <w:t xml:space="preserve"> </w:t>
      </w:r>
      <w:r>
        <w:rPr>
          <w:sz w:val="24"/>
        </w:rPr>
        <w:t>tetanus,</w:t>
      </w:r>
      <w:r>
        <w:rPr>
          <w:spacing w:val="-11"/>
          <w:sz w:val="24"/>
        </w:rPr>
        <w:t xml:space="preserve"> </w:t>
      </w:r>
      <w:r>
        <w:rPr>
          <w:sz w:val="24"/>
        </w:rPr>
        <w:t>pertussis,</w:t>
      </w:r>
      <w:r>
        <w:rPr>
          <w:spacing w:val="-11"/>
          <w:sz w:val="24"/>
        </w:rPr>
        <w:t xml:space="preserve"> </w:t>
      </w:r>
      <w:r>
        <w:rPr>
          <w:sz w:val="24"/>
        </w:rPr>
        <w:t>polio,</w:t>
      </w:r>
      <w:r>
        <w:rPr>
          <w:spacing w:val="-11"/>
          <w:sz w:val="24"/>
        </w:rPr>
        <w:t xml:space="preserve"> </w:t>
      </w:r>
      <w:r>
        <w:rPr>
          <w:sz w:val="24"/>
        </w:rPr>
        <w:t>measles,</w:t>
      </w:r>
      <w:r>
        <w:rPr>
          <w:spacing w:val="-11"/>
          <w:sz w:val="24"/>
        </w:rPr>
        <w:t xml:space="preserve"> </w:t>
      </w:r>
      <w:r>
        <w:rPr>
          <w:sz w:val="24"/>
        </w:rPr>
        <w:t>mumps,</w:t>
      </w:r>
      <w:r>
        <w:rPr>
          <w:spacing w:val="-11"/>
          <w:sz w:val="24"/>
        </w:rPr>
        <w:t xml:space="preserve"> </w:t>
      </w:r>
      <w:r>
        <w:rPr>
          <w:sz w:val="24"/>
        </w:rPr>
        <w:t>rubella,</w:t>
      </w:r>
      <w:r>
        <w:rPr>
          <w:spacing w:val="-11"/>
          <w:sz w:val="24"/>
        </w:rPr>
        <w:t xml:space="preserve"> </w:t>
      </w:r>
      <w:r>
        <w:rPr>
          <w:sz w:val="24"/>
        </w:rPr>
        <w:t>tuberculosis,</w:t>
      </w:r>
      <w:r>
        <w:rPr>
          <w:spacing w:val="-11"/>
          <w:sz w:val="24"/>
        </w:rPr>
        <w:t xml:space="preserve"> </w:t>
      </w:r>
      <w:r>
        <w:rPr>
          <w:sz w:val="24"/>
        </w:rPr>
        <w:t>hepatitis</w:t>
      </w:r>
      <w:r>
        <w:rPr>
          <w:spacing w:val="-58"/>
          <w:sz w:val="24"/>
        </w:rPr>
        <w:t xml:space="preserve"> </w:t>
      </w:r>
      <w:r>
        <w:rPr>
          <w:sz w:val="24"/>
        </w:rPr>
        <w:t>B,</w:t>
      </w:r>
      <w:r>
        <w:rPr>
          <w:spacing w:val="-1"/>
          <w:sz w:val="24"/>
        </w:rPr>
        <w:t xml:space="preserve"> </w:t>
      </w:r>
      <w:r>
        <w:rPr>
          <w:sz w:val="24"/>
        </w:rPr>
        <w:t>diseases caused by</w:t>
      </w:r>
      <w:r>
        <w:rPr>
          <w:spacing w:val="-5"/>
          <w:sz w:val="24"/>
        </w:rPr>
        <w:t xml:space="preserve"> </w:t>
      </w:r>
      <w:r>
        <w:rPr>
          <w:sz w:val="24"/>
        </w:rPr>
        <w:t>haemophilus</w:t>
      </w:r>
      <w:r>
        <w:rPr>
          <w:spacing w:val="-1"/>
          <w:sz w:val="24"/>
        </w:rPr>
        <w:t xml:space="preserve"> </w:t>
      </w:r>
      <w:r>
        <w:rPr>
          <w:sz w:val="24"/>
        </w:rPr>
        <w:t>influenzae</w:t>
      </w:r>
      <w:r>
        <w:rPr>
          <w:spacing w:val="-1"/>
          <w:sz w:val="24"/>
        </w:rPr>
        <w:t xml:space="preserve"> </w:t>
      </w:r>
      <w:r>
        <w:rPr>
          <w:sz w:val="24"/>
        </w:rPr>
        <w:t>type</w:t>
      </w:r>
      <w:r>
        <w:rPr>
          <w:spacing w:val="-1"/>
          <w:sz w:val="24"/>
        </w:rPr>
        <w:t xml:space="preserve"> </w:t>
      </w:r>
      <w:r>
        <w:rPr>
          <w:sz w:val="24"/>
        </w:rPr>
        <w:t>B</w:t>
      </w:r>
      <w:r>
        <w:rPr>
          <w:spacing w:val="-2"/>
          <w:sz w:val="24"/>
        </w:rPr>
        <w:t xml:space="preserve"> </w:t>
      </w:r>
      <w:r>
        <w:rPr>
          <w:sz w:val="24"/>
        </w:rPr>
        <w:t>and pneumococcal</w:t>
      </w:r>
      <w:r>
        <w:rPr>
          <w:spacing w:val="-1"/>
          <w:sz w:val="24"/>
        </w:rPr>
        <w:t xml:space="preserve"> </w:t>
      </w:r>
      <w:r>
        <w:rPr>
          <w:sz w:val="24"/>
        </w:rPr>
        <w:t>diseases.</w:t>
      </w:r>
    </w:p>
    <w:p w:rsidR="00A56FE9" w:rsidRDefault="00000000">
      <w:pPr>
        <w:pStyle w:val="Odlomakpopisa"/>
        <w:numPr>
          <w:ilvl w:val="0"/>
          <w:numId w:val="5"/>
        </w:numPr>
        <w:tabs>
          <w:tab w:val="left" w:pos="499"/>
        </w:tabs>
        <w:spacing w:before="1"/>
        <w:ind w:right="274"/>
        <w:jc w:val="both"/>
        <w:rPr>
          <w:sz w:val="24"/>
        </w:rPr>
      </w:pPr>
      <w:r>
        <w:rPr>
          <w:sz w:val="24"/>
        </w:rPr>
        <w:t>Implementation program for immunization, seroprophylaxis and chemoprophylaxis for</w:t>
      </w:r>
      <w:r>
        <w:rPr>
          <w:spacing w:val="1"/>
          <w:sz w:val="24"/>
        </w:rPr>
        <w:t xml:space="preserve"> </w:t>
      </w:r>
      <w:r>
        <w:rPr>
          <w:sz w:val="24"/>
        </w:rPr>
        <w:t>special groups of the population and individuals at increased risk of: tuberculosis, hepatitis</w:t>
      </w:r>
      <w:r>
        <w:rPr>
          <w:spacing w:val="-57"/>
          <w:sz w:val="24"/>
        </w:rPr>
        <w:t xml:space="preserve"> </w:t>
      </w:r>
      <w:r>
        <w:rPr>
          <w:sz w:val="24"/>
        </w:rPr>
        <w:t>A and B, rabies, yellow fever, cholera, typhoid fever, tetanus, measles, severe lower</w:t>
      </w:r>
      <w:r>
        <w:rPr>
          <w:spacing w:val="1"/>
          <w:sz w:val="24"/>
        </w:rPr>
        <w:t xml:space="preserve"> </w:t>
      </w:r>
      <w:r>
        <w:rPr>
          <w:sz w:val="24"/>
        </w:rPr>
        <w:t>respiratory tract disease causing respiratory infection, tick-borne encephalitis, chickenpox,</w:t>
      </w:r>
      <w:r>
        <w:rPr>
          <w:spacing w:val="-57"/>
          <w:sz w:val="24"/>
        </w:rPr>
        <w:t xml:space="preserve"> </w:t>
      </w:r>
      <w:r>
        <w:rPr>
          <w:sz w:val="24"/>
        </w:rPr>
        <w:t>rotavirus</w:t>
      </w:r>
      <w:r>
        <w:rPr>
          <w:spacing w:val="1"/>
          <w:sz w:val="24"/>
        </w:rPr>
        <w:t xml:space="preserve"> </w:t>
      </w:r>
      <w:r>
        <w:rPr>
          <w:sz w:val="24"/>
        </w:rPr>
        <w:t>gastroenterocolitis,</w:t>
      </w:r>
      <w:r>
        <w:rPr>
          <w:spacing w:val="1"/>
          <w:sz w:val="24"/>
        </w:rPr>
        <w:t xml:space="preserve"> </w:t>
      </w:r>
      <w:r>
        <w:rPr>
          <w:sz w:val="24"/>
        </w:rPr>
        <w:t>malaria,</w:t>
      </w:r>
      <w:r>
        <w:rPr>
          <w:spacing w:val="1"/>
          <w:sz w:val="24"/>
        </w:rPr>
        <w:t xml:space="preserve"> </w:t>
      </w:r>
      <w:r>
        <w:rPr>
          <w:sz w:val="24"/>
        </w:rPr>
        <w:t>streptococcal</w:t>
      </w:r>
      <w:r>
        <w:rPr>
          <w:spacing w:val="1"/>
          <w:sz w:val="24"/>
        </w:rPr>
        <w:t xml:space="preserve"> </w:t>
      </w:r>
      <w:r>
        <w:rPr>
          <w:sz w:val="24"/>
        </w:rPr>
        <w:t>diseases</w:t>
      </w:r>
      <w:r>
        <w:rPr>
          <w:spacing w:val="1"/>
          <w:sz w:val="24"/>
        </w:rPr>
        <w:t xml:space="preserve"> </w:t>
      </w:r>
      <w:r>
        <w:rPr>
          <w:sz w:val="24"/>
        </w:rPr>
        <w:t>(including</w:t>
      </w:r>
      <w:r>
        <w:rPr>
          <w:spacing w:val="1"/>
          <w:sz w:val="24"/>
        </w:rPr>
        <w:t xml:space="preserve"> </w:t>
      </w:r>
      <w:r>
        <w:rPr>
          <w:sz w:val="24"/>
        </w:rPr>
        <w:t>invasive</w:t>
      </w:r>
      <w:r>
        <w:rPr>
          <w:spacing w:val="1"/>
          <w:sz w:val="24"/>
        </w:rPr>
        <w:t xml:space="preserve"> </w:t>
      </w:r>
      <w:r>
        <w:rPr>
          <w:sz w:val="24"/>
        </w:rPr>
        <w:t>pneumococcal</w:t>
      </w:r>
      <w:r>
        <w:rPr>
          <w:spacing w:val="1"/>
          <w:sz w:val="24"/>
        </w:rPr>
        <w:t xml:space="preserve"> </w:t>
      </w:r>
      <w:r>
        <w:rPr>
          <w:sz w:val="24"/>
        </w:rPr>
        <w:t>disease),</w:t>
      </w:r>
      <w:r>
        <w:rPr>
          <w:spacing w:val="1"/>
          <w:sz w:val="24"/>
        </w:rPr>
        <w:t xml:space="preserve"> </w:t>
      </w:r>
      <w:r>
        <w:rPr>
          <w:sz w:val="24"/>
        </w:rPr>
        <w:t>haemophilus</w:t>
      </w:r>
      <w:r>
        <w:rPr>
          <w:spacing w:val="1"/>
          <w:sz w:val="24"/>
        </w:rPr>
        <w:t xml:space="preserve"> </w:t>
      </w:r>
      <w:r>
        <w:rPr>
          <w:sz w:val="24"/>
        </w:rPr>
        <w:t>influenzae</w:t>
      </w:r>
      <w:r>
        <w:rPr>
          <w:spacing w:val="1"/>
          <w:sz w:val="24"/>
        </w:rPr>
        <w:t xml:space="preserve"> </w:t>
      </w:r>
      <w:r>
        <w:rPr>
          <w:sz w:val="24"/>
        </w:rPr>
        <w:t>-</w:t>
      </w:r>
      <w:r>
        <w:rPr>
          <w:spacing w:val="1"/>
          <w:sz w:val="24"/>
        </w:rPr>
        <w:t xml:space="preserve"> </w:t>
      </w:r>
      <w:r>
        <w:rPr>
          <w:sz w:val="24"/>
        </w:rPr>
        <w:t>invasive</w:t>
      </w:r>
      <w:r>
        <w:rPr>
          <w:spacing w:val="1"/>
          <w:sz w:val="24"/>
        </w:rPr>
        <w:t xml:space="preserve"> </w:t>
      </w:r>
      <w:r>
        <w:rPr>
          <w:sz w:val="24"/>
        </w:rPr>
        <w:t>diseases,</w:t>
      </w:r>
      <w:r>
        <w:rPr>
          <w:spacing w:val="1"/>
          <w:sz w:val="24"/>
        </w:rPr>
        <w:t xml:space="preserve"> </w:t>
      </w:r>
      <w:r>
        <w:rPr>
          <w:sz w:val="24"/>
        </w:rPr>
        <w:t>invasive</w:t>
      </w:r>
      <w:r>
        <w:rPr>
          <w:spacing w:val="1"/>
          <w:sz w:val="24"/>
        </w:rPr>
        <w:t xml:space="preserve"> </w:t>
      </w:r>
      <w:r>
        <w:rPr>
          <w:sz w:val="24"/>
        </w:rPr>
        <w:t>meningococcal</w:t>
      </w:r>
      <w:r>
        <w:rPr>
          <w:spacing w:val="-1"/>
          <w:sz w:val="24"/>
        </w:rPr>
        <w:t xml:space="preserve"> </w:t>
      </w:r>
      <w:r>
        <w:rPr>
          <w:sz w:val="24"/>
        </w:rPr>
        <w:t>diseases,</w:t>
      </w:r>
      <w:r>
        <w:rPr>
          <w:spacing w:val="2"/>
          <w:sz w:val="24"/>
        </w:rPr>
        <w:t xml:space="preserve"> </w:t>
      </w:r>
      <w:r>
        <w:rPr>
          <w:sz w:val="24"/>
        </w:rPr>
        <w:t>HPV</w:t>
      </w:r>
      <w:r>
        <w:rPr>
          <w:spacing w:val="-1"/>
          <w:sz w:val="24"/>
        </w:rPr>
        <w:t xml:space="preserve"> </w:t>
      </w:r>
      <w:r>
        <w:rPr>
          <w:sz w:val="24"/>
        </w:rPr>
        <w:t>infections and COVID-19</w:t>
      </w:r>
      <w:r>
        <w:rPr>
          <w:spacing w:val="-1"/>
          <w:sz w:val="24"/>
        </w:rPr>
        <w:t xml:space="preserve"> </w:t>
      </w:r>
      <w:r>
        <w:rPr>
          <w:sz w:val="24"/>
        </w:rPr>
        <w:t>diseases in 2022.</w:t>
      </w:r>
    </w:p>
    <w:p w:rsidR="00A56FE9" w:rsidRDefault="00000000">
      <w:pPr>
        <w:pStyle w:val="Odlomakpopisa"/>
        <w:numPr>
          <w:ilvl w:val="0"/>
          <w:numId w:val="5"/>
        </w:numPr>
        <w:tabs>
          <w:tab w:val="left" w:pos="499"/>
        </w:tabs>
        <w:ind w:right="277"/>
        <w:jc w:val="both"/>
        <w:rPr>
          <w:sz w:val="24"/>
        </w:rPr>
      </w:pPr>
      <w:r>
        <w:rPr>
          <w:sz w:val="24"/>
        </w:rPr>
        <w:t>The</w:t>
      </w:r>
      <w:r>
        <w:rPr>
          <w:spacing w:val="-10"/>
          <w:sz w:val="24"/>
        </w:rPr>
        <w:t xml:space="preserve"> </w:t>
      </w:r>
      <w:r>
        <w:rPr>
          <w:sz w:val="24"/>
        </w:rPr>
        <w:t>adoption</w:t>
      </w:r>
      <w:r>
        <w:rPr>
          <w:spacing w:val="-9"/>
          <w:sz w:val="24"/>
        </w:rPr>
        <w:t xml:space="preserve"> </w:t>
      </w:r>
      <w:r>
        <w:rPr>
          <w:sz w:val="24"/>
        </w:rPr>
        <w:t>of</w:t>
      </w:r>
      <w:r>
        <w:rPr>
          <w:spacing w:val="-8"/>
          <w:sz w:val="24"/>
        </w:rPr>
        <w:t xml:space="preserve"> </w:t>
      </w:r>
      <w:r>
        <w:rPr>
          <w:sz w:val="24"/>
        </w:rPr>
        <w:t>a</w:t>
      </w:r>
      <w:r>
        <w:rPr>
          <w:spacing w:val="-10"/>
          <w:sz w:val="24"/>
        </w:rPr>
        <w:t xml:space="preserve"> </w:t>
      </w:r>
      <w:r>
        <w:rPr>
          <w:sz w:val="24"/>
        </w:rPr>
        <w:t>new</w:t>
      </w:r>
      <w:r>
        <w:rPr>
          <w:spacing w:val="-8"/>
          <w:sz w:val="24"/>
        </w:rPr>
        <w:t xml:space="preserve"> </w:t>
      </w:r>
      <w:r>
        <w:rPr>
          <w:sz w:val="24"/>
        </w:rPr>
        <w:t>National</w:t>
      </w:r>
      <w:r>
        <w:rPr>
          <w:spacing w:val="-8"/>
          <w:sz w:val="24"/>
        </w:rPr>
        <w:t xml:space="preserve"> </w:t>
      </w:r>
      <w:r>
        <w:rPr>
          <w:sz w:val="24"/>
        </w:rPr>
        <w:t>Program</w:t>
      </w:r>
      <w:r>
        <w:rPr>
          <w:spacing w:val="-7"/>
          <w:sz w:val="24"/>
        </w:rPr>
        <w:t xml:space="preserve"> </w:t>
      </w:r>
      <w:r>
        <w:rPr>
          <w:sz w:val="24"/>
        </w:rPr>
        <w:t>for</w:t>
      </w:r>
      <w:r>
        <w:rPr>
          <w:spacing w:val="-10"/>
          <w:sz w:val="24"/>
        </w:rPr>
        <w:t xml:space="preserve"> </w:t>
      </w:r>
      <w:r>
        <w:rPr>
          <w:sz w:val="24"/>
        </w:rPr>
        <w:t>the</w:t>
      </w:r>
      <w:r>
        <w:rPr>
          <w:spacing w:val="-8"/>
          <w:sz w:val="24"/>
        </w:rPr>
        <w:t xml:space="preserve"> </w:t>
      </w:r>
      <w:r>
        <w:rPr>
          <w:sz w:val="24"/>
        </w:rPr>
        <w:t>Protection</w:t>
      </w:r>
      <w:r>
        <w:rPr>
          <w:spacing w:val="-9"/>
          <w:sz w:val="24"/>
        </w:rPr>
        <w:t xml:space="preserve"> </w:t>
      </w:r>
      <w:r>
        <w:rPr>
          <w:sz w:val="24"/>
        </w:rPr>
        <w:t>and</w:t>
      </w:r>
      <w:r>
        <w:rPr>
          <w:spacing w:val="-8"/>
          <w:sz w:val="24"/>
        </w:rPr>
        <w:t xml:space="preserve"> </w:t>
      </w:r>
      <w:r>
        <w:rPr>
          <w:sz w:val="24"/>
        </w:rPr>
        <w:t>Promotion</w:t>
      </w:r>
      <w:r>
        <w:rPr>
          <w:spacing w:val="-9"/>
          <w:sz w:val="24"/>
        </w:rPr>
        <w:t xml:space="preserve"> </w:t>
      </w:r>
      <w:r>
        <w:rPr>
          <w:sz w:val="24"/>
        </w:rPr>
        <w:t>of</w:t>
      </w:r>
      <w:r>
        <w:rPr>
          <w:spacing w:val="-9"/>
          <w:sz w:val="24"/>
        </w:rPr>
        <w:t xml:space="preserve"> </w:t>
      </w:r>
      <w:r>
        <w:rPr>
          <w:sz w:val="24"/>
        </w:rPr>
        <w:t>Breastfeeding</w:t>
      </w:r>
      <w:r>
        <w:rPr>
          <w:spacing w:val="-57"/>
          <w:sz w:val="24"/>
        </w:rPr>
        <w:t xml:space="preserve"> </w:t>
      </w:r>
      <w:r>
        <w:rPr>
          <w:sz w:val="24"/>
        </w:rPr>
        <w:t>for the period from 2022 to 2025 is being prepared. The drafting of the National Plan for</w:t>
      </w:r>
      <w:r>
        <w:rPr>
          <w:spacing w:val="1"/>
          <w:sz w:val="24"/>
        </w:rPr>
        <w:t xml:space="preserve"> </w:t>
      </w:r>
      <w:r>
        <w:rPr>
          <w:sz w:val="24"/>
        </w:rPr>
        <w:t>the</w:t>
      </w:r>
      <w:r>
        <w:rPr>
          <w:spacing w:val="-1"/>
          <w:sz w:val="24"/>
        </w:rPr>
        <w:t xml:space="preserve"> </w:t>
      </w:r>
      <w:r>
        <w:rPr>
          <w:sz w:val="24"/>
        </w:rPr>
        <w:t>Fight against Dementia is in progress</w:t>
      </w:r>
    </w:p>
    <w:p w:rsidR="00A56FE9" w:rsidRDefault="00CC1B9B">
      <w:pPr>
        <w:pStyle w:val="Tijeloteksta"/>
        <w:spacing w:before="119"/>
        <w:ind w:right="276"/>
      </w:pPr>
      <w:r>
        <w:rPr>
          <w:noProof/>
        </w:rPr>
        <mc:AlternateContent>
          <mc:Choice Requires="wps">
            <w:drawing>
              <wp:anchor distT="0" distB="0" distL="114300" distR="114300" simplePos="0" relativeHeight="15823872" behindDoc="0" locked="0" layoutInCell="1" allowOverlap="1">
                <wp:simplePos x="0" y="0"/>
                <wp:positionH relativeFrom="page">
                  <wp:posOffset>814070</wp:posOffset>
                </wp:positionH>
                <wp:positionV relativeFrom="paragraph">
                  <wp:posOffset>681355</wp:posOffset>
                </wp:positionV>
                <wp:extent cx="18415" cy="608330"/>
                <wp:effectExtent l="0" t="0" r="0" b="0"/>
                <wp:wrapNone/>
                <wp:docPr id="2014061880"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330"/>
                        </a:xfrm>
                        <a:custGeom>
                          <a:avLst/>
                          <a:gdLst>
                            <a:gd name="T0" fmla="+- 0 1311 1282"/>
                            <a:gd name="T1" fmla="*/ T0 w 29"/>
                            <a:gd name="T2" fmla="+- 0 1073 1073"/>
                            <a:gd name="T3" fmla="*/ 1073 h 958"/>
                            <a:gd name="T4" fmla="+- 0 1282 1282"/>
                            <a:gd name="T5" fmla="*/ T4 w 29"/>
                            <a:gd name="T6" fmla="+- 0 1073 1073"/>
                            <a:gd name="T7" fmla="*/ 1073 h 958"/>
                            <a:gd name="T8" fmla="+- 0 1282 1282"/>
                            <a:gd name="T9" fmla="*/ T8 w 29"/>
                            <a:gd name="T10" fmla="+- 0 1613 1073"/>
                            <a:gd name="T11" fmla="*/ 1613 h 958"/>
                            <a:gd name="T12" fmla="+- 0 1282 1282"/>
                            <a:gd name="T13" fmla="*/ T12 w 29"/>
                            <a:gd name="T14" fmla="+- 0 2031 1073"/>
                            <a:gd name="T15" fmla="*/ 2031 h 958"/>
                            <a:gd name="T16" fmla="+- 0 1311 1282"/>
                            <a:gd name="T17" fmla="*/ T16 w 29"/>
                            <a:gd name="T18" fmla="+- 0 2031 1073"/>
                            <a:gd name="T19" fmla="*/ 2031 h 958"/>
                            <a:gd name="T20" fmla="+- 0 1311 1282"/>
                            <a:gd name="T21" fmla="*/ T20 w 29"/>
                            <a:gd name="T22" fmla="+- 0 1613 1073"/>
                            <a:gd name="T23" fmla="*/ 1613 h 958"/>
                            <a:gd name="T24" fmla="+- 0 1311 1282"/>
                            <a:gd name="T25" fmla="*/ T24 w 29"/>
                            <a:gd name="T26" fmla="+- 0 1073 1073"/>
                            <a:gd name="T27" fmla="*/ 1073 h 958"/>
                          </a:gdLst>
                          <a:ahLst/>
                          <a:cxnLst>
                            <a:cxn ang="0">
                              <a:pos x="T1" y="T3"/>
                            </a:cxn>
                            <a:cxn ang="0">
                              <a:pos x="T5" y="T7"/>
                            </a:cxn>
                            <a:cxn ang="0">
                              <a:pos x="T9" y="T11"/>
                            </a:cxn>
                            <a:cxn ang="0">
                              <a:pos x="T13" y="T15"/>
                            </a:cxn>
                            <a:cxn ang="0">
                              <a:pos x="T17" y="T19"/>
                            </a:cxn>
                            <a:cxn ang="0">
                              <a:pos x="T21" y="T23"/>
                            </a:cxn>
                            <a:cxn ang="0">
                              <a:pos x="T25" y="T27"/>
                            </a:cxn>
                          </a:cxnLst>
                          <a:rect l="0" t="0" r="r" b="b"/>
                          <a:pathLst>
                            <a:path w="29" h="958">
                              <a:moveTo>
                                <a:pt x="29" y="0"/>
                              </a:moveTo>
                              <a:lnTo>
                                <a:pt x="0" y="0"/>
                              </a:lnTo>
                              <a:lnTo>
                                <a:pt x="0" y="540"/>
                              </a:lnTo>
                              <a:lnTo>
                                <a:pt x="0" y="958"/>
                              </a:lnTo>
                              <a:lnTo>
                                <a:pt x="29" y="958"/>
                              </a:lnTo>
                              <a:lnTo>
                                <a:pt x="29" y="540"/>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D83FE" id="Freeform 58" o:spid="_x0000_s1026" style="position:absolute;margin-left:64.1pt;margin-top:53.65pt;width:1.45pt;height:47.9pt;z-index:1582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" path="m29,l,,,540,,958r29,l29,540,29,xe" fillcolor="#da1f2c" stroked="f">
                <v:path arrowok="t" o:connecttype="custom" o:connectlocs="18415,681355;0,681355;0,1024255;0,1289685;18415,1289685;18415,1024255;18415,681355" o:connectangles="0,0,0,0,0,0,0"/>
                <w10:wrap anchorx="page"/>
              </v:shape>
            </w:pict>
          </mc:Fallback>
        </mc:AlternateContent>
      </w:r>
      <w:r w:rsidR="00000000">
        <w:rPr>
          <w:spacing w:val="-1"/>
        </w:rPr>
        <w:t>In</w:t>
      </w:r>
      <w:r w:rsidR="00000000">
        <w:rPr>
          <w:spacing w:val="-10"/>
        </w:rPr>
        <w:t xml:space="preserve"> </w:t>
      </w:r>
      <w:r w:rsidR="00000000">
        <w:rPr>
          <w:spacing w:val="-1"/>
        </w:rPr>
        <w:t>2022,</w:t>
      </w:r>
      <w:r w:rsidR="00000000">
        <w:rPr>
          <w:spacing w:val="-12"/>
        </w:rPr>
        <w:t xml:space="preserve"> </w:t>
      </w:r>
      <w:r w:rsidR="00000000">
        <w:t>the</w:t>
      </w:r>
      <w:r w:rsidR="00000000">
        <w:rPr>
          <w:spacing w:val="-11"/>
        </w:rPr>
        <w:t xml:space="preserve"> </w:t>
      </w:r>
      <w:r w:rsidR="00000000">
        <w:t>adoption</w:t>
      </w:r>
      <w:r w:rsidR="00000000">
        <w:rPr>
          <w:spacing w:val="-12"/>
        </w:rPr>
        <w:t xml:space="preserve"> </w:t>
      </w:r>
      <w:r w:rsidR="00000000">
        <w:t>of</w:t>
      </w:r>
      <w:r w:rsidR="00000000">
        <w:rPr>
          <w:spacing w:val="-13"/>
        </w:rPr>
        <w:t xml:space="preserve"> </w:t>
      </w:r>
      <w:r w:rsidR="00000000">
        <w:t>the</w:t>
      </w:r>
      <w:r w:rsidR="00000000">
        <w:rPr>
          <w:spacing w:val="-13"/>
        </w:rPr>
        <w:t xml:space="preserve"> </w:t>
      </w:r>
      <w:r w:rsidR="00000000">
        <w:t>National</w:t>
      </w:r>
      <w:r w:rsidR="00000000">
        <w:rPr>
          <w:spacing w:val="-12"/>
        </w:rPr>
        <w:t xml:space="preserve"> </w:t>
      </w:r>
      <w:r w:rsidR="00000000">
        <w:t>Strategy</w:t>
      </w:r>
      <w:r w:rsidR="00000000">
        <w:rPr>
          <w:spacing w:val="-15"/>
        </w:rPr>
        <w:t xml:space="preserve"> </w:t>
      </w:r>
      <w:r w:rsidR="00000000">
        <w:t>for</w:t>
      </w:r>
      <w:r w:rsidR="00000000">
        <w:rPr>
          <w:spacing w:val="-9"/>
        </w:rPr>
        <w:t xml:space="preserve"> </w:t>
      </w:r>
      <w:r w:rsidR="00000000">
        <w:t>Action</w:t>
      </w:r>
      <w:r w:rsidR="00000000">
        <w:rPr>
          <w:spacing w:val="-12"/>
        </w:rPr>
        <w:t xml:space="preserve"> </w:t>
      </w:r>
      <w:r w:rsidR="00000000">
        <w:t>in</w:t>
      </w:r>
      <w:r w:rsidR="00000000">
        <w:rPr>
          <w:spacing w:val="-12"/>
        </w:rPr>
        <w:t xml:space="preserve"> </w:t>
      </w:r>
      <w:r w:rsidR="00000000">
        <w:t>the</w:t>
      </w:r>
      <w:r w:rsidR="00000000">
        <w:rPr>
          <w:spacing w:val="-13"/>
        </w:rPr>
        <w:t xml:space="preserve"> </w:t>
      </w:r>
      <w:r w:rsidR="00000000">
        <w:t>Field</w:t>
      </w:r>
      <w:r w:rsidR="00000000">
        <w:rPr>
          <w:spacing w:val="-12"/>
        </w:rPr>
        <w:t xml:space="preserve"> </w:t>
      </w:r>
      <w:r w:rsidR="00000000">
        <w:t>of</w:t>
      </w:r>
      <w:r w:rsidR="00000000">
        <w:rPr>
          <w:spacing w:val="-13"/>
        </w:rPr>
        <w:t xml:space="preserve"> </w:t>
      </w:r>
      <w:r w:rsidR="00000000">
        <w:t>Addiction</w:t>
      </w:r>
      <w:r w:rsidR="00000000">
        <w:rPr>
          <w:spacing w:val="-12"/>
        </w:rPr>
        <w:t xml:space="preserve"> </w:t>
      </w:r>
      <w:r w:rsidR="00000000">
        <w:t>for</w:t>
      </w:r>
      <w:r w:rsidR="00000000">
        <w:rPr>
          <w:spacing w:val="-14"/>
        </w:rPr>
        <w:t xml:space="preserve"> </w:t>
      </w:r>
      <w:r w:rsidR="00000000">
        <w:t>the</w:t>
      </w:r>
      <w:r w:rsidR="00000000">
        <w:rPr>
          <w:spacing w:val="-13"/>
        </w:rPr>
        <w:t xml:space="preserve"> </w:t>
      </w:r>
      <w:r w:rsidR="00000000">
        <w:t>period</w:t>
      </w:r>
      <w:r w:rsidR="00000000">
        <w:rPr>
          <w:spacing w:val="-57"/>
        </w:rPr>
        <w:t xml:space="preserve"> </w:t>
      </w:r>
      <w:r w:rsidR="00000000">
        <w:t>2022-2030,</w:t>
      </w:r>
      <w:r w:rsidR="00000000">
        <w:rPr>
          <w:spacing w:val="-4"/>
        </w:rPr>
        <w:t xml:space="preserve"> </w:t>
      </w:r>
      <w:r w:rsidR="00000000">
        <w:t>the</w:t>
      </w:r>
      <w:r w:rsidR="00000000">
        <w:rPr>
          <w:spacing w:val="-4"/>
        </w:rPr>
        <w:t xml:space="preserve"> </w:t>
      </w:r>
      <w:r w:rsidR="00000000">
        <w:t>National Strategy</w:t>
      </w:r>
      <w:r w:rsidR="00000000">
        <w:rPr>
          <w:spacing w:val="-6"/>
        </w:rPr>
        <w:t xml:space="preserve"> </w:t>
      </w:r>
      <w:r w:rsidR="00000000">
        <w:t>for</w:t>
      </w:r>
      <w:r w:rsidR="00000000">
        <w:rPr>
          <w:spacing w:val="-5"/>
        </w:rPr>
        <w:t xml:space="preserve"> </w:t>
      </w:r>
      <w:r w:rsidR="00000000">
        <w:t>the Development</w:t>
      </w:r>
      <w:r w:rsidR="00000000">
        <w:rPr>
          <w:spacing w:val="-4"/>
        </w:rPr>
        <w:t xml:space="preserve"> </w:t>
      </w:r>
      <w:r w:rsidR="00000000">
        <w:t>of</w:t>
      </w:r>
      <w:r w:rsidR="00000000">
        <w:rPr>
          <w:spacing w:val="-4"/>
        </w:rPr>
        <w:t xml:space="preserve"> </w:t>
      </w:r>
      <w:r w:rsidR="00000000">
        <w:t>Mental</w:t>
      </w:r>
      <w:r w:rsidR="00000000">
        <w:rPr>
          <w:spacing w:val="-4"/>
        </w:rPr>
        <w:t xml:space="preserve"> </w:t>
      </w:r>
      <w:r w:rsidR="00000000">
        <w:t>Health</w:t>
      </w:r>
      <w:r w:rsidR="00000000">
        <w:rPr>
          <w:spacing w:val="-4"/>
        </w:rPr>
        <w:t xml:space="preserve"> </w:t>
      </w:r>
      <w:r w:rsidR="00000000">
        <w:t>2022-2030,</w:t>
      </w:r>
      <w:r w:rsidR="00000000">
        <w:rPr>
          <w:spacing w:val="-3"/>
        </w:rPr>
        <w:t xml:space="preserve"> </w:t>
      </w:r>
      <w:r w:rsidR="00000000">
        <w:t>as</w:t>
      </w:r>
      <w:r w:rsidR="00000000">
        <w:rPr>
          <w:spacing w:val="-4"/>
        </w:rPr>
        <w:t xml:space="preserve"> </w:t>
      </w:r>
      <w:r w:rsidR="00000000">
        <w:t>well</w:t>
      </w:r>
      <w:r w:rsidR="00000000">
        <w:rPr>
          <w:spacing w:val="-1"/>
        </w:rPr>
        <w:t xml:space="preserve"> </w:t>
      </w:r>
      <w:r w:rsidR="00000000">
        <w:t>as</w:t>
      </w:r>
      <w:r w:rsidR="00000000">
        <w:rPr>
          <w:spacing w:val="-57"/>
        </w:rPr>
        <w:t xml:space="preserve"> </w:t>
      </w:r>
      <w:r w:rsidR="00000000">
        <w:t>the</w:t>
      </w:r>
      <w:r w:rsidR="00000000">
        <w:rPr>
          <w:spacing w:val="-1"/>
        </w:rPr>
        <w:t xml:space="preserve"> </w:t>
      </w:r>
      <w:r w:rsidR="00000000">
        <w:t>Action Plan for the</w:t>
      </w:r>
      <w:r w:rsidR="00000000">
        <w:rPr>
          <w:spacing w:val="-2"/>
        </w:rPr>
        <w:t xml:space="preserve"> </w:t>
      </w:r>
      <w:r w:rsidR="00000000">
        <w:t>Prevention of</w:t>
      </w:r>
      <w:r w:rsidR="00000000">
        <w:rPr>
          <w:spacing w:val="-1"/>
        </w:rPr>
        <w:t xml:space="preserve"> </w:t>
      </w:r>
      <w:r w:rsidR="00000000">
        <w:t>Obesity</w:t>
      </w:r>
      <w:r w:rsidR="00000000">
        <w:rPr>
          <w:spacing w:val="-5"/>
        </w:rPr>
        <w:t xml:space="preserve"> </w:t>
      </w:r>
      <w:r w:rsidR="00000000">
        <w:t>are planned.</w:t>
      </w:r>
    </w:p>
    <w:p w:rsidR="00A56FE9" w:rsidRDefault="00A56FE9">
      <w:pPr>
        <w:pStyle w:val="Tijeloteksta"/>
        <w:ind w:left="0"/>
        <w:jc w:val="left"/>
        <w:rPr>
          <w:sz w:val="32"/>
        </w:rPr>
      </w:pPr>
    </w:p>
    <w:p w:rsidR="00A56FE9" w:rsidRDefault="00000000">
      <w:pPr>
        <w:pStyle w:val="Naslov4"/>
        <w:ind w:right="282"/>
      </w:pPr>
      <w:r>
        <w:rPr>
          <w:color w:val="2C398A"/>
        </w:rPr>
        <w:t>Goal 4. Ensure inclusive and equitable quality education and promote lifelong</w:t>
      </w:r>
      <w:r>
        <w:rPr>
          <w:color w:val="2C398A"/>
          <w:spacing w:val="1"/>
        </w:rPr>
        <w:t xml:space="preserve"> </w:t>
      </w:r>
      <w:r>
        <w:rPr>
          <w:color w:val="2C398A"/>
        </w:rPr>
        <w:t>learning</w:t>
      </w:r>
      <w:r>
        <w:rPr>
          <w:color w:val="2C398A"/>
          <w:spacing w:val="-2"/>
        </w:rPr>
        <w:t xml:space="preserve"> </w:t>
      </w:r>
      <w:r>
        <w:rPr>
          <w:color w:val="2C398A"/>
        </w:rPr>
        <w:t>opportunities</w:t>
      </w:r>
      <w:r>
        <w:rPr>
          <w:color w:val="2C398A"/>
          <w:spacing w:val="-1"/>
        </w:rPr>
        <w:t xml:space="preserve"> </w:t>
      </w:r>
      <w:r>
        <w:rPr>
          <w:color w:val="2C398A"/>
        </w:rPr>
        <w:t>for</w:t>
      </w:r>
      <w:r>
        <w:rPr>
          <w:color w:val="2C398A"/>
          <w:spacing w:val="-1"/>
        </w:rPr>
        <w:t xml:space="preserve"> </w:t>
      </w:r>
      <w:r>
        <w:rPr>
          <w:color w:val="2C398A"/>
        </w:rPr>
        <w:t>all</w:t>
      </w:r>
    </w:p>
    <w:p w:rsidR="00A56FE9" w:rsidRDefault="00000000">
      <w:pPr>
        <w:pStyle w:val="Tijeloteksta"/>
        <w:spacing w:before="112"/>
        <w:ind w:right="275"/>
      </w:pPr>
      <w:r>
        <w:t>The realisation of infrastructural investments in kindergartens covered by NRRP reform C3.2.</w:t>
      </w:r>
      <w:r>
        <w:rPr>
          <w:spacing w:val="-57"/>
        </w:rPr>
        <w:t xml:space="preserve"> </w:t>
      </w:r>
      <w:r>
        <w:t>R1 involved a number of informal meetings have been held, and thematic meetings with</w:t>
      </w:r>
      <w:r>
        <w:rPr>
          <w:spacing w:val="1"/>
        </w:rPr>
        <w:t xml:space="preserve"> </w:t>
      </w:r>
      <w:r>
        <w:t>representatives of municipalities/cities/counties are currently in preparation. The process of</w:t>
      </w:r>
      <w:r>
        <w:rPr>
          <w:spacing w:val="1"/>
        </w:rPr>
        <w:t xml:space="preserve"> </w:t>
      </w:r>
      <w:r>
        <w:t>defining the key elements in the tender documentation for these investments was preceded by</w:t>
      </w:r>
      <w:r>
        <w:rPr>
          <w:spacing w:val="1"/>
        </w:rPr>
        <w:t xml:space="preserve"> </w:t>
      </w:r>
      <w:r>
        <w:t>collecting</w:t>
      </w:r>
      <w:r>
        <w:rPr>
          <w:spacing w:val="-3"/>
        </w:rPr>
        <w:t xml:space="preserve"> </w:t>
      </w:r>
      <w:r>
        <w:t>data on the</w:t>
      </w:r>
      <w:r>
        <w:rPr>
          <w:spacing w:val="-1"/>
        </w:rPr>
        <w:t xml:space="preserve"> </w:t>
      </w:r>
      <w:r>
        <w:t>state</w:t>
      </w:r>
      <w:r>
        <w:rPr>
          <w:spacing w:val="-1"/>
        </w:rPr>
        <w:t xml:space="preserve"> </w:t>
      </w:r>
      <w:r>
        <w:t>of the</w:t>
      </w:r>
      <w:r>
        <w:rPr>
          <w:spacing w:val="-2"/>
        </w:rPr>
        <w:t xml:space="preserve"> </w:t>
      </w:r>
      <w:r>
        <w:t>system</w:t>
      </w:r>
      <w:r>
        <w:rPr>
          <w:spacing w:val="1"/>
        </w:rPr>
        <w:t xml:space="preserve"> </w:t>
      </w:r>
      <w:r>
        <w:t>by</w:t>
      </w:r>
      <w:r>
        <w:rPr>
          <w:spacing w:val="-5"/>
        </w:rPr>
        <w:t xml:space="preserve"> </w:t>
      </w:r>
      <w:r>
        <w:t>the</w:t>
      </w:r>
      <w:r>
        <w:rPr>
          <w:spacing w:val="1"/>
        </w:rPr>
        <w:t xml:space="preserve"> </w:t>
      </w:r>
      <w:r>
        <w:t>LRSGUs.</w:t>
      </w:r>
    </w:p>
    <w:p w:rsidR="00A56FE9" w:rsidRDefault="00000000">
      <w:pPr>
        <w:pStyle w:val="Tijeloteksta"/>
        <w:spacing w:before="120"/>
        <w:ind w:right="275"/>
      </w:pPr>
      <w:r>
        <w:t>Currently underway are preparatory activities for the all-day school model based on available</w:t>
      </w:r>
      <w:r>
        <w:rPr>
          <w:spacing w:val="1"/>
        </w:rPr>
        <w:t xml:space="preserve"> </w:t>
      </w:r>
      <w:r>
        <w:t>analyses from European comparative reports and detailed analyses of standards and norms</w:t>
      </w:r>
      <w:r>
        <w:rPr>
          <w:spacing w:val="1"/>
        </w:rPr>
        <w:t xml:space="preserve"> </w:t>
      </w:r>
      <w:r>
        <w:t>relating</w:t>
      </w:r>
      <w:r>
        <w:rPr>
          <w:spacing w:val="-3"/>
        </w:rPr>
        <w:t xml:space="preserve"> </w:t>
      </w:r>
      <w:r>
        <w:t>to</w:t>
      </w:r>
      <w:r>
        <w:rPr>
          <w:spacing w:val="-3"/>
        </w:rPr>
        <w:t xml:space="preserve"> </w:t>
      </w:r>
      <w:r>
        <w:t>the</w:t>
      </w:r>
      <w:r>
        <w:rPr>
          <w:spacing w:val="-4"/>
        </w:rPr>
        <w:t xml:space="preserve"> </w:t>
      </w:r>
      <w:r>
        <w:t>construction</w:t>
      </w:r>
      <w:r>
        <w:rPr>
          <w:spacing w:val="-4"/>
        </w:rPr>
        <w:t xml:space="preserve"> </w:t>
      </w:r>
      <w:r>
        <w:t>of</w:t>
      </w:r>
      <w:r>
        <w:rPr>
          <w:spacing w:val="-5"/>
        </w:rPr>
        <w:t xml:space="preserve"> </w:t>
      </w:r>
      <w:r>
        <w:t>schools,</w:t>
      </w:r>
      <w:r>
        <w:rPr>
          <w:spacing w:val="-4"/>
        </w:rPr>
        <w:t xml:space="preserve"> </w:t>
      </w:r>
      <w:r>
        <w:t>organisation</w:t>
      </w:r>
      <w:r>
        <w:rPr>
          <w:spacing w:val="-3"/>
        </w:rPr>
        <w:t xml:space="preserve"> </w:t>
      </w:r>
      <w:r>
        <w:t>of year</w:t>
      </w:r>
      <w:r>
        <w:rPr>
          <w:spacing w:val="-5"/>
        </w:rPr>
        <w:t xml:space="preserve"> </w:t>
      </w:r>
      <w:r>
        <w:t>classes,</w:t>
      </w:r>
      <w:r>
        <w:rPr>
          <w:spacing w:val="-4"/>
        </w:rPr>
        <w:t xml:space="preserve"> </w:t>
      </w:r>
      <w:r>
        <w:t>teacher</w:t>
      </w:r>
      <w:r>
        <w:rPr>
          <w:spacing w:val="-1"/>
        </w:rPr>
        <w:t xml:space="preserve"> </w:t>
      </w:r>
      <w:r>
        <w:t>norms</w:t>
      </w:r>
      <w:r>
        <w:rPr>
          <w:spacing w:val="-3"/>
        </w:rPr>
        <w:t xml:space="preserve"> </w:t>
      </w:r>
      <w:r>
        <w:t>and</w:t>
      </w:r>
      <w:r>
        <w:rPr>
          <w:spacing w:val="-4"/>
        </w:rPr>
        <w:t xml:space="preserve"> </w:t>
      </w:r>
      <w:r>
        <w:t>the</w:t>
      </w:r>
      <w:r>
        <w:rPr>
          <w:spacing w:val="-3"/>
        </w:rPr>
        <w:t xml:space="preserve"> </w:t>
      </w:r>
      <w:r>
        <w:t>like.</w:t>
      </w:r>
      <w:r>
        <w:rPr>
          <w:spacing w:val="-58"/>
        </w:rPr>
        <w:t xml:space="preserve"> </w:t>
      </w:r>
      <w:r>
        <w:t>Also in progress is the drafting of the fundamental Act on Primary and Secondary Schools</w:t>
      </w:r>
      <w:r>
        <w:rPr>
          <w:spacing w:val="1"/>
        </w:rPr>
        <w:t xml:space="preserve"> </w:t>
      </w:r>
      <w:r>
        <w:t>Education.</w:t>
      </w:r>
    </w:p>
    <w:p w:rsidR="00A56FE9" w:rsidRDefault="00000000">
      <w:pPr>
        <w:pStyle w:val="Tijeloteksta"/>
        <w:spacing w:before="121"/>
        <w:ind w:right="271"/>
      </w:pPr>
      <w:r>
        <w:t>An analysis of secondary education is also underway to increase the coverage of students in</w:t>
      </w:r>
      <w:r>
        <w:rPr>
          <w:spacing w:val="1"/>
        </w:rPr>
        <w:t xml:space="preserve"> </w:t>
      </w:r>
      <w:r>
        <w:t>grammar</w:t>
      </w:r>
      <w:r>
        <w:rPr>
          <w:spacing w:val="1"/>
        </w:rPr>
        <w:t xml:space="preserve"> </w:t>
      </w:r>
      <w:r>
        <w:t>school</w:t>
      </w:r>
      <w:r>
        <w:rPr>
          <w:spacing w:val="1"/>
        </w:rPr>
        <w:t xml:space="preserve"> </w:t>
      </w:r>
      <w:r>
        <w:t>(gymnasium)</w:t>
      </w:r>
      <w:r>
        <w:rPr>
          <w:spacing w:val="1"/>
        </w:rPr>
        <w:t xml:space="preserve"> </w:t>
      </w:r>
      <w:r>
        <w:t>programs</w:t>
      </w:r>
      <w:r>
        <w:rPr>
          <w:spacing w:val="1"/>
        </w:rPr>
        <w:t xml:space="preserve"> </w:t>
      </w:r>
      <w:r>
        <w:t>and</w:t>
      </w:r>
      <w:r>
        <w:rPr>
          <w:spacing w:val="1"/>
        </w:rPr>
        <w:t xml:space="preserve"> </w:t>
      </w:r>
      <w:r>
        <w:t>reduce</w:t>
      </w:r>
      <w:r>
        <w:rPr>
          <w:spacing w:val="1"/>
        </w:rPr>
        <w:t xml:space="preserve"> </w:t>
      </w:r>
      <w:r>
        <w:t>the</w:t>
      </w:r>
      <w:r>
        <w:rPr>
          <w:spacing w:val="1"/>
        </w:rPr>
        <w:t xml:space="preserve"> </w:t>
      </w:r>
      <w:r>
        <w:t>number</w:t>
      </w:r>
      <w:r>
        <w:rPr>
          <w:spacing w:val="1"/>
        </w:rPr>
        <w:t xml:space="preserve"> </w:t>
      </w:r>
      <w:r>
        <w:t>of</w:t>
      </w:r>
      <w:r>
        <w:rPr>
          <w:spacing w:val="1"/>
        </w:rPr>
        <w:t xml:space="preserve"> </w:t>
      </w:r>
      <w:r>
        <w:t>surplus</w:t>
      </w:r>
      <w:r>
        <w:rPr>
          <w:spacing w:val="1"/>
        </w:rPr>
        <w:t xml:space="preserve"> </w:t>
      </w:r>
      <w:r>
        <w:t>programs</w:t>
      </w:r>
      <w:r>
        <w:rPr>
          <w:spacing w:val="1"/>
        </w:rPr>
        <w:t xml:space="preserve"> </w:t>
      </w:r>
      <w:r>
        <w:t>in</w:t>
      </w:r>
      <w:r>
        <w:rPr>
          <w:spacing w:val="1"/>
        </w:rPr>
        <w:t xml:space="preserve"> </w:t>
      </w:r>
      <w:r>
        <w:t>vocational</w:t>
      </w:r>
      <w:r>
        <w:rPr>
          <w:spacing w:val="-9"/>
        </w:rPr>
        <w:t xml:space="preserve"> </w:t>
      </w:r>
      <w:r>
        <w:t>education.</w:t>
      </w:r>
      <w:r>
        <w:rPr>
          <w:spacing w:val="-9"/>
        </w:rPr>
        <w:t xml:space="preserve"> </w:t>
      </w:r>
      <w:r>
        <w:t>Upon</w:t>
      </w:r>
      <w:r>
        <w:rPr>
          <w:spacing w:val="-9"/>
        </w:rPr>
        <w:t xml:space="preserve"> </w:t>
      </w:r>
      <w:r>
        <w:t>completion</w:t>
      </w:r>
      <w:r>
        <w:rPr>
          <w:spacing w:val="-9"/>
        </w:rPr>
        <w:t xml:space="preserve"> </w:t>
      </w:r>
      <w:r>
        <w:t>of</w:t>
      </w:r>
      <w:r>
        <w:rPr>
          <w:spacing w:val="-9"/>
        </w:rPr>
        <w:t xml:space="preserve"> </w:t>
      </w:r>
      <w:r>
        <w:t>the</w:t>
      </w:r>
      <w:r>
        <w:rPr>
          <w:spacing w:val="-9"/>
        </w:rPr>
        <w:t xml:space="preserve"> </w:t>
      </w:r>
      <w:r>
        <w:t>analysis,</w:t>
      </w:r>
      <w:r>
        <w:rPr>
          <w:spacing w:val="-9"/>
        </w:rPr>
        <w:t xml:space="preserve"> </w:t>
      </w:r>
      <w:r>
        <w:t>modalities</w:t>
      </w:r>
      <w:r>
        <w:rPr>
          <w:spacing w:val="-8"/>
        </w:rPr>
        <w:t xml:space="preserve"> </w:t>
      </w:r>
      <w:r>
        <w:t>will</w:t>
      </w:r>
      <w:r>
        <w:rPr>
          <w:spacing w:val="-8"/>
        </w:rPr>
        <w:t xml:space="preserve"> </w:t>
      </w:r>
      <w:r>
        <w:t>be</w:t>
      </w:r>
      <w:r>
        <w:rPr>
          <w:spacing w:val="-10"/>
        </w:rPr>
        <w:t xml:space="preserve"> </w:t>
      </w:r>
      <w:r>
        <w:t>proposed</w:t>
      </w:r>
      <w:r>
        <w:rPr>
          <w:spacing w:val="-7"/>
        </w:rPr>
        <w:t xml:space="preserve"> </w:t>
      </w:r>
      <w:r>
        <w:t>to</w:t>
      </w:r>
      <w:r>
        <w:rPr>
          <w:spacing w:val="-8"/>
        </w:rPr>
        <w:t xml:space="preserve"> </w:t>
      </w:r>
      <w:r>
        <w:t>facilitate</w:t>
      </w:r>
      <w:r>
        <w:rPr>
          <w:spacing w:val="-58"/>
        </w:rPr>
        <w:t xml:space="preserve"> </w:t>
      </w:r>
      <w:r>
        <w:t>an increase and harmonising the availability of high school programs while reducing the</w:t>
      </w:r>
      <w:r>
        <w:rPr>
          <w:spacing w:val="1"/>
        </w:rPr>
        <w:t xml:space="preserve"> </w:t>
      </w:r>
      <w:r>
        <w:t>number of surplus vocational programs from the existing capacities, as well as performing an</w:t>
      </w:r>
      <w:r>
        <w:rPr>
          <w:spacing w:val="1"/>
        </w:rPr>
        <w:t xml:space="preserve"> </w:t>
      </w:r>
      <w:r>
        <w:t>appropriate</w:t>
      </w:r>
      <w:r>
        <w:rPr>
          <w:spacing w:val="-1"/>
        </w:rPr>
        <w:t xml:space="preserve"> </w:t>
      </w:r>
      <w:r>
        <w:t>simulation.</w:t>
      </w:r>
    </w:p>
    <w:p w:rsidR="00A56FE9" w:rsidRDefault="00A56FE9">
      <w:pPr>
        <w:sectPr w:rsidR="00A56FE9" w:rsidSect="00AB1E70">
          <w:pgSz w:w="11910" w:h="16840"/>
          <w:pgMar w:top="1320" w:right="1140" w:bottom="960" w:left="1280" w:header="0" w:footer="779" w:gutter="0"/>
          <w:cols w:space="720"/>
        </w:sectPr>
      </w:pPr>
    </w:p>
    <w:p w:rsidR="00A56FE9" w:rsidRDefault="00A56FE9">
      <w:pPr>
        <w:pStyle w:val="Tijeloteksta"/>
        <w:spacing w:before="4"/>
        <w:ind w:left="0"/>
        <w:jc w:val="left"/>
        <w:rPr>
          <w:sz w:val="13"/>
        </w:rPr>
      </w:pPr>
    </w:p>
    <w:p w:rsidR="00A56FE9" w:rsidRDefault="00CC1B9B">
      <w:pPr>
        <w:pStyle w:val="Naslov4"/>
        <w:spacing w:before="89"/>
      </w:pPr>
      <w:r>
        <w:rPr>
          <w:noProof/>
        </w:rPr>
        <mc:AlternateContent>
          <mc:Choice Requires="wps">
            <w:drawing>
              <wp:anchor distT="0" distB="0" distL="114300" distR="114300" simplePos="0" relativeHeight="15824896" behindDoc="0" locked="0" layoutInCell="1" allowOverlap="1">
                <wp:simplePos x="0" y="0"/>
                <wp:positionH relativeFrom="page">
                  <wp:posOffset>814070</wp:posOffset>
                </wp:positionH>
                <wp:positionV relativeFrom="paragraph">
                  <wp:posOffset>-97790</wp:posOffset>
                </wp:positionV>
                <wp:extent cx="18415" cy="417830"/>
                <wp:effectExtent l="0" t="0" r="0" b="0"/>
                <wp:wrapNone/>
                <wp:docPr id="58439834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AF64A" id="Rectangle 57" o:spid="_x0000_s1026" style="position:absolute;margin-left:64.1pt;margin-top:-7.7pt;width:1.45pt;height:32.9pt;z-index:1582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" fillcolor="#da1f2c" stroked="f">
                <w10:wrap anchorx="page"/>
              </v:rect>
            </w:pict>
          </mc:Fallback>
        </mc:AlternateContent>
      </w:r>
      <w:r w:rsidR="00000000">
        <w:rPr>
          <w:color w:val="2C398A"/>
        </w:rPr>
        <w:t>Goal</w:t>
      </w:r>
      <w:r w:rsidR="00000000">
        <w:rPr>
          <w:color w:val="2C398A"/>
          <w:spacing w:val="-3"/>
        </w:rPr>
        <w:t xml:space="preserve"> </w:t>
      </w:r>
      <w:r w:rsidR="00000000">
        <w:rPr>
          <w:color w:val="2C398A"/>
        </w:rPr>
        <w:t>5.</w:t>
      </w:r>
      <w:r w:rsidR="00000000">
        <w:rPr>
          <w:color w:val="2C398A"/>
          <w:spacing w:val="-2"/>
        </w:rPr>
        <w:t xml:space="preserve"> </w:t>
      </w:r>
      <w:r w:rsidR="00000000">
        <w:rPr>
          <w:color w:val="2C398A"/>
        </w:rPr>
        <w:t>Achieve</w:t>
      </w:r>
      <w:r w:rsidR="00000000">
        <w:rPr>
          <w:color w:val="2C398A"/>
          <w:spacing w:val="-2"/>
        </w:rPr>
        <w:t xml:space="preserve"> </w:t>
      </w:r>
      <w:r w:rsidR="00000000">
        <w:rPr>
          <w:color w:val="2C398A"/>
        </w:rPr>
        <w:t>gender</w:t>
      </w:r>
      <w:r w:rsidR="00000000">
        <w:rPr>
          <w:color w:val="2C398A"/>
          <w:spacing w:val="-2"/>
        </w:rPr>
        <w:t xml:space="preserve"> </w:t>
      </w:r>
      <w:r w:rsidR="00000000">
        <w:rPr>
          <w:color w:val="2C398A"/>
        </w:rPr>
        <w:t>equality</w:t>
      </w:r>
      <w:r w:rsidR="00000000">
        <w:rPr>
          <w:color w:val="2C398A"/>
          <w:spacing w:val="-1"/>
        </w:rPr>
        <w:t xml:space="preserve"> </w:t>
      </w:r>
      <w:r w:rsidR="00000000">
        <w:rPr>
          <w:color w:val="2C398A"/>
        </w:rPr>
        <w:t>and</w:t>
      </w:r>
      <w:r w:rsidR="00000000">
        <w:rPr>
          <w:color w:val="2C398A"/>
          <w:spacing w:val="-2"/>
        </w:rPr>
        <w:t xml:space="preserve"> </w:t>
      </w:r>
      <w:r w:rsidR="00000000">
        <w:rPr>
          <w:color w:val="2C398A"/>
        </w:rPr>
        <w:t>empower</w:t>
      </w:r>
      <w:r w:rsidR="00000000">
        <w:rPr>
          <w:color w:val="2C398A"/>
          <w:spacing w:val="-2"/>
        </w:rPr>
        <w:t xml:space="preserve"> </w:t>
      </w:r>
      <w:r w:rsidR="00000000">
        <w:rPr>
          <w:color w:val="2C398A"/>
        </w:rPr>
        <w:t>all</w:t>
      </w:r>
      <w:r w:rsidR="00000000">
        <w:rPr>
          <w:color w:val="2C398A"/>
          <w:spacing w:val="-2"/>
        </w:rPr>
        <w:t xml:space="preserve"> </w:t>
      </w:r>
      <w:r w:rsidR="00000000">
        <w:rPr>
          <w:color w:val="2C398A"/>
        </w:rPr>
        <w:t>women</w:t>
      </w:r>
      <w:r w:rsidR="00000000">
        <w:rPr>
          <w:color w:val="2C398A"/>
          <w:spacing w:val="-3"/>
        </w:rPr>
        <w:t xml:space="preserve"> </w:t>
      </w:r>
      <w:r w:rsidR="00000000">
        <w:rPr>
          <w:color w:val="2C398A"/>
        </w:rPr>
        <w:t>and girls</w:t>
      </w:r>
    </w:p>
    <w:p w:rsidR="00A56FE9" w:rsidRDefault="00000000">
      <w:pPr>
        <w:pStyle w:val="Tijeloteksta"/>
        <w:spacing w:before="111"/>
        <w:ind w:right="275"/>
      </w:pPr>
      <w:r>
        <w:t>In May 2019, the Republic of Croatia signed the Declaration on Women in Digital and its</w:t>
      </w:r>
      <w:r>
        <w:rPr>
          <w:spacing w:val="1"/>
        </w:rPr>
        <w:t xml:space="preserve"> </w:t>
      </w:r>
      <w:r>
        <w:t>commitments,</w:t>
      </w:r>
      <w:r>
        <w:rPr>
          <w:spacing w:val="1"/>
        </w:rPr>
        <w:t xml:space="preserve"> </w:t>
      </w:r>
      <w:r>
        <w:t>whereby</w:t>
      </w:r>
      <w:r>
        <w:rPr>
          <w:spacing w:val="1"/>
        </w:rPr>
        <w:t xml:space="preserve"> </w:t>
      </w:r>
      <w:r>
        <w:t>the</w:t>
      </w:r>
      <w:r>
        <w:rPr>
          <w:spacing w:val="1"/>
        </w:rPr>
        <w:t xml:space="preserve"> </w:t>
      </w:r>
      <w:r>
        <w:t>Central</w:t>
      </w:r>
      <w:r>
        <w:rPr>
          <w:spacing w:val="1"/>
        </w:rPr>
        <w:t xml:space="preserve"> </w:t>
      </w:r>
      <w:r>
        <w:t>State</w:t>
      </w:r>
      <w:r>
        <w:rPr>
          <w:spacing w:val="1"/>
        </w:rPr>
        <w:t xml:space="preserve"> </w:t>
      </w:r>
      <w:r>
        <w:t>Office</w:t>
      </w:r>
      <w:r>
        <w:rPr>
          <w:spacing w:val="1"/>
        </w:rPr>
        <w:t xml:space="preserve"> </w:t>
      </w:r>
      <w:r>
        <w:t>for</w:t>
      </w:r>
      <w:r>
        <w:rPr>
          <w:spacing w:val="1"/>
        </w:rPr>
        <w:t xml:space="preserve"> </w:t>
      </w:r>
      <w:r>
        <w:t>Development</w:t>
      </w:r>
      <w:r>
        <w:rPr>
          <w:spacing w:val="1"/>
        </w:rPr>
        <w:t xml:space="preserve"> </w:t>
      </w:r>
      <w:r>
        <w:t>of</w:t>
      </w:r>
      <w:r>
        <w:rPr>
          <w:spacing w:val="1"/>
        </w:rPr>
        <w:t xml:space="preserve"> </w:t>
      </w:r>
      <w:r>
        <w:t>the</w:t>
      </w:r>
      <w:r>
        <w:rPr>
          <w:spacing w:val="1"/>
        </w:rPr>
        <w:t xml:space="preserve"> </w:t>
      </w:r>
      <w:r>
        <w:t>Digital</w:t>
      </w:r>
      <w:r>
        <w:rPr>
          <w:spacing w:val="1"/>
        </w:rPr>
        <w:t xml:space="preserve"> </w:t>
      </w:r>
      <w:r>
        <w:t>Society</w:t>
      </w:r>
      <w:r>
        <w:rPr>
          <w:spacing w:val="-57"/>
        </w:rPr>
        <w:t xml:space="preserve"> </w:t>
      </w:r>
      <w:r>
        <w:t>(CSODDS) and the Office for Gender Equality were assigned the task of coordinating its</w:t>
      </w:r>
      <w:r>
        <w:rPr>
          <w:spacing w:val="1"/>
        </w:rPr>
        <w:t xml:space="preserve"> </w:t>
      </w:r>
      <w:r>
        <w:t>implementation</w:t>
      </w:r>
      <w:r>
        <w:rPr>
          <w:spacing w:val="-6"/>
        </w:rPr>
        <w:t xml:space="preserve"> </w:t>
      </w:r>
      <w:r>
        <w:t>with</w:t>
      </w:r>
      <w:r>
        <w:rPr>
          <w:spacing w:val="-6"/>
        </w:rPr>
        <w:t xml:space="preserve"> </w:t>
      </w:r>
      <w:r>
        <w:t>the</w:t>
      </w:r>
      <w:r>
        <w:rPr>
          <w:spacing w:val="-9"/>
        </w:rPr>
        <w:t xml:space="preserve"> </w:t>
      </w:r>
      <w:r>
        <w:t>goal</w:t>
      </w:r>
      <w:r>
        <w:rPr>
          <w:spacing w:val="-6"/>
        </w:rPr>
        <w:t xml:space="preserve"> </w:t>
      </w:r>
      <w:r>
        <w:t>of</w:t>
      </w:r>
      <w:r>
        <w:rPr>
          <w:spacing w:val="-7"/>
        </w:rPr>
        <w:t xml:space="preserve"> </w:t>
      </w:r>
      <w:r>
        <w:t>introducing</w:t>
      </w:r>
      <w:r>
        <w:rPr>
          <w:spacing w:val="-9"/>
        </w:rPr>
        <w:t xml:space="preserve"> </w:t>
      </w:r>
      <w:r>
        <w:t>the</w:t>
      </w:r>
      <w:r>
        <w:rPr>
          <w:spacing w:val="-7"/>
        </w:rPr>
        <w:t xml:space="preserve"> </w:t>
      </w:r>
      <w:r>
        <w:t>theme</w:t>
      </w:r>
      <w:r>
        <w:rPr>
          <w:spacing w:val="-7"/>
        </w:rPr>
        <w:t xml:space="preserve"> </w:t>
      </w:r>
      <w:r>
        <w:t>of</w:t>
      </w:r>
      <w:r>
        <w:rPr>
          <w:spacing w:val="-7"/>
        </w:rPr>
        <w:t xml:space="preserve"> </w:t>
      </w:r>
      <w:r>
        <w:t>women’s</w:t>
      </w:r>
      <w:r>
        <w:rPr>
          <w:spacing w:val="-7"/>
        </w:rPr>
        <w:t xml:space="preserve"> </w:t>
      </w:r>
      <w:r>
        <w:t>representation</w:t>
      </w:r>
      <w:r>
        <w:rPr>
          <w:spacing w:val="-6"/>
        </w:rPr>
        <w:t xml:space="preserve"> </w:t>
      </w:r>
      <w:r>
        <w:t>in</w:t>
      </w:r>
      <w:r>
        <w:rPr>
          <w:spacing w:val="-6"/>
        </w:rPr>
        <w:t xml:space="preserve"> </w:t>
      </w:r>
      <w:r>
        <w:t>the</w:t>
      </w:r>
      <w:r>
        <w:rPr>
          <w:spacing w:val="-7"/>
        </w:rPr>
        <w:t xml:space="preserve"> </w:t>
      </w:r>
      <w:r>
        <w:t>digital</w:t>
      </w:r>
      <w:r>
        <w:rPr>
          <w:spacing w:val="-58"/>
        </w:rPr>
        <w:t xml:space="preserve"> </w:t>
      </w:r>
      <w:r>
        <w:t>world in public space and encouraging girls to enrol into the relevant faculties. A discussion</w:t>
      </w:r>
      <w:r>
        <w:rPr>
          <w:spacing w:val="1"/>
        </w:rPr>
        <w:t xml:space="preserve"> </w:t>
      </w:r>
      <w:r>
        <w:t>was</w:t>
      </w:r>
      <w:r>
        <w:rPr>
          <w:spacing w:val="1"/>
        </w:rPr>
        <w:t xml:space="preserve"> </w:t>
      </w:r>
      <w:r>
        <w:t>initiated on</w:t>
      </w:r>
      <w:r>
        <w:rPr>
          <w:spacing w:val="1"/>
        </w:rPr>
        <w:t xml:space="preserve"> </w:t>
      </w:r>
      <w:r>
        <w:t>the insufficient</w:t>
      </w:r>
      <w:r>
        <w:rPr>
          <w:spacing w:val="1"/>
        </w:rPr>
        <w:t xml:space="preserve"> </w:t>
      </w:r>
      <w:r>
        <w:t>proportion</w:t>
      </w:r>
      <w:r>
        <w:rPr>
          <w:spacing w:val="1"/>
        </w:rPr>
        <w:t xml:space="preserve"> </w:t>
      </w:r>
      <w:r>
        <w:t>of</w:t>
      </w:r>
      <w:r>
        <w:rPr>
          <w:spacing w:val="1"/>
        </w:rPr>
        <w:t xml:space="preserve"> </w:t>
      </w:r>
      <w:r>
        <w:t>women</w:t>
      </w:r>
      <w:r>
        <w:rPr>
          <w:spacing w:val="1"/>
        </w:rPr>
        <w:t xml:space="preserve"> </w:t>
      </w:r>
      <w:r>
        <w:t>in</w:t>
      </w:r>
      <w:r>
        <w:rPr>
          <w:spacing w:val="1"/>
        </w:rPr>
        <w:t xml:space="preserve"> </w:t>
      </w:r>
      <w:r>
        <w:t>the</w:t>
      </w:r>
      <w:r>
        <w:rPr>
          <w:spacing w:val="1"/>
        </w:rPr>
        <w:t xml:space="preserve"> </w:t>
      </w:r>
      <w:r>
        <w:t>ICT</w:t>
      </w:r>
      <w:r>
        <w:rPr>
          <w:spacing w:val="1"/>
        </w:rPr>
        <w:t xml:space="preserve"> </w:t>
      </w:r>
      <w:r>
        <w:t>sector and</w:t>
      </w:r>
      <w:r>
        <w:rPr>
          <w:spacing w:val="1"/>
        </w:rPr>
        <w:t xml:space="preserve"> </w:t>
      </w:r>
      <w:r>
        <w:t>the annual</w:t>
      </w:r>
      <w:r>
        <w:rPr>
          <w:spacing w:val="1"/>
        </w:rPr>
        <w:t xml:space="preserve"> </w:t>
      </w:r>
      <w:r>
        <w:t>International</w:t>
      </w:r>
      <w:r>
        <w:rPr>
          <w:spacing w:val="-2"/>
        </w:rPr>
        <w:t xml:space="preserve"> </w:t>
      </w:r>
      <w:r>
        <w:t>Girls</w:t>
      </w:r>
      <w:r>
        <w:rPr>
          <w:spacing w:val="-1"/>
        </w:rPr>
        <w:t xml:space="preserve"> </w:t>
      </w:r>
      <w:r>
        <w:t>Day</w:t>
      </w:r>
      <w:r>
        <w:rPr>
          <w:spacing w:val="-9"/>
        </w:rPr>
        <w:t xml:space="preserve"> </w:t>
      </w:r>
      <w:r>
        <w:t>in</w:t>
      </w:r>
      <w:r>
        <w:rPr>
          <w:spacing w:val="1"/>
        </w:rPr>
        <w:t xml:space="preserve"> </w:t>
      </w:r>
      <w:r>
        <w:t>ICT</w:t>
      </w:r>
      <w:r>
        <w:rPr>
          <w:spacing w:val="-1"/>
        </w:rPr>
        <w:t xml:space="preserve"> </w:t>
      </w:r>
      <w:r>
        <w:t>by</w:t>
      </w:r>
      <w:r>
        <w:rPr>
          <w:spacing w:val="-6"/>
        </w:rPr>
        <w:t xml:space="preserve"> </w:t>
      </w:r>
      <w:r>
        <w:t>organising</w:t>
      </w:r>
      <w:r>
        <w:rPr>
          <w:spacing w:val="-4"/>
        </w:rPr>
        <w:t xml:space="preserve"> </w:t>
      </w:r>
      <w:r>
        <w:t>workshops</w:t>
      </w:r>
      <w:r>
        <w:rPr>
          <w:spacing w:val="-1"/>
        </w:rPr>
        <w:t xml:space="preserve"> </w:t>
      </w:r>
      <w:r>
        <w:t>for</w:t>
      </w:r>
      <w:r>
        <w:rPr>
          <w:spacing w:val="-2"/>
        </w:rPr>
        <w:t xml:space="preserve"> </w:t>
      </w:r>
      <w:r>
        <w:t>girls,</w:t>
      </w:r>
      <w:r>
        <w:rPr>
          <w:spacing w:val="-1"/>
        </w:rPr>
        <w:t xml:space="preserve"> </w:t>
      </w:r>
      <w:r>
        <w:t>visits</w:t>
      </w:r>
      <w:r>
        <w:rPr>
          <w:spacing w:val="-4"/>
        </w:rPr>
        <w:t xml:space="preserve"> </w:t>
      </w:r>
      <w:r>
        <w:t>to</w:t>
      </w:r>
      <w:r>
        <w:rPr>
          <w:spacing w:val="-3"/>
        </w:rPr>
        <w:t xml:space="preserve"> </w:t>
      </w:r>
      <w:r>
        <w:t>ICT</w:t>
      </w:r>
      <w:r>
        <w:rPr>
          <w:spacing w:val="-1"/>
        </w:rPr>
        <w:t xml:space="preserve"> </w:t>
      </w:r>
      <w:r>
        <w:t>companies,</w:t>
      </w:r>
      <w:r>
        <w:rPr>
          <w:spacing w:val="-1"/>
        </w:rPr>
        <w:t xml:space="preserve"> </w:t>
      </w:r>
      <w:r>
        <w:t>etc.</w:t>
      </w:r>
      <w:r>
        <w:rPr>
          <w:spacing w:val="-58"/>
        </w:rPr>
        <w:t xml:space="preserve"> </w:t>
      </w:r>
      <w:r>
        <w:t>In</w:t>
      </w:r>
      <w:r>
        <w:rPr>
          <w:spacing w:val="-1"/>
        </w:rPr>
        <w:t xml:space="preserve"> </w:t>
      </w:r>
      <w:r>
        <w:t>terms of</w:t>
      </w:r>
      <w:r>
        <w:rPr>
          <w:spacing w:val="-1"/>
        </w:rPr>
        <w:t xml:space="preserve"> </w:t>
      </w:r>
      <w:r>
        <w:t>promoting</w:t>
      </w:r>
      <w:r>
        <w:rPr>
          <w:spacing w:val="-3"/>
        </w:rPr>
        <w:t xml:space="preserve"> </w:t>
      </w:r>
      <w:r>
        <w:t>this theme, articles were</w:t>
      </w:r>
      <w:r>
        <w:rPr>
          <w:spacing w:val="-2"/>
        </w:rPr>
        <w:t xml:space="preserve"> </w:t>
      </w:r>
      <w:r>
        <w:t>published on</w:t>
      </w:r>
      <w:r>
        <w:rPr>
          <w:spacing w:val="-1"/>
        </w:rPr>
        <w:t xml:space="preserve"> </w:t>
      </w:r>
      <w:r>
        <w:t>websites.</w:t>
      </w:r>
    </w:p>
    <w:p w:rsidR="00A56FE9" w:rsidRDefault="00000000">
      <w:pPr>
        <w:pStyle w:val="Tijeloteksta"/>
        <w:spacing w:before="120"/>
        <w:ind w:right="273"/>
      </w:pPr>
      <w:r>
        <w:t>In 2021, as part of the CALIPER project (Linking Research and</w:t>
      </w:r>
      <w:r>
        <w:rPr>
          <w:spacing w:val="1"/>
        </w:rPr>
        <w:t xml:space="preserve"> </w:t>
      </w:r>
      <w:r>
        <w:t>Innovation for Gender</w:t>
      </w:r>
      <w:r>
        <w:rPr>
          <w:spacing w:val="1"/>
        </w:rPr>
        <w:t xml:space="preserve"> </w:t>
      </w:r>
      <w:r>
        <w:t>Equality)</w:t>
      </w:r>
      <w:r>
        <w:rPr>
          <w:spacing w:val="-4"/>
        </w:rPr>
        <w:t xml:space="preserve"> </w:t>
      </w:r>
      <w:r>
        <w:t>at</w:t>
      </w:r>
      <w:r>
        <w:rPr>
          <w:spacing w:val="-6"/>
        </w:rPr>
        <w:t xml:space="preserve"> </w:t>
      </w:r>
      <w:r>
        <w:t>the</w:t>
      </w:r>
      <w:r>
        <w:rPr>
          <w:spacing w:val="-4"/>
        </w:rPr>
        <w:t xml:space="preserve"> </w:t>
      </w:r>
      <w:r>
        <w:t>Faculty</w:t>
      </w:r>
      <w:r>
        <w:rPr>
          <w:spacing w:val="-11"/>
        </w:rPr>
        <w:t xml:space="preserve"> </w:t>
      </w:r>
      <w:r>
        <w:t>of</w:t>
      </w:r>
      <w:r>
        <w:rPr>
          <w:spacing w:val="-7"/>
        </w:rPr>
        <w:t xml:space="preserve"> </w:t>
      </w:r>
      <w:r>
        <w:t>Electrical</w:t>
      </w:r>
      <w:r>
        <w:rPr>
          <w:spacing w:val="-5"/>
        </w:rPr>
        <w:t xml:space="preserve"> </w:t>
      </w:r>
      <w:r>
        <w:t>Engineering</w:t>
      </w:r>
      <w:r>
        <w:rPr>
          <w:spacing w:val="-6"/>
        </w:rPr>
        <w:t xml:space="preserve"> </w:t>
      </w:r>
      <w:r>
        <w:t>and</w:t>
      </w:r>
      <w:r>
        <w:rPr>
          <w:spacing w:val="-6"/>
        </w:rPr>
        <w:t xml:space="preserve"> </w:t>
      </w:r>
      <w:r>
        <w:t>Computing,</w:t>
      </w:r>
      <w:r>
        <w:rPr>
          <w:spacing w:val="-5"/>
        </w:rPr>
        <w:t xml:space="preserve"> </w:t>
      </w:r>
      <w:r>
        <w:t>University</w:t>
      </w:r>
      <w:r>
        <w:rPr>
          <w:spacing w:val="-8"/>
        </w:rPr>
        <w:t xml:space="preserve"> </w:t>
      </w:r>
      <w:r>
        <w:t>of</w:t>
      </w:r>
      <w:r>
        <w:rPr>
          <w:spacing w:val="-4"/>
        </w:rPr>
        <w:t xml:space="preserve"> </w:t>
      </w:r>
      <w:r>
        <w:t>Zagreb,</w:t>
      </w:r>
      <w:r>
        <w:rPr>
          <w:spacing w:val="-4"/>
        </w:rPr>
        <w:t xml:space="preserve"> </w:t>
      </w:r>
      <w:r>
        <w:t>which</w:t>
      </w:r>
      <w:r>
        <w:rPr>
          <w:spacing w:val="-58"/>
        </w:rPr>
        <w:t xml:space="preserve"> </w:t>
      </w:r>
      <w:r>
        <w:t>aims to increase gender equality in research and research funding institutions, a webinar on</w:t>
      </w:r>
      <w:r>
        <w:rPr>
          <w:spacing w:val="1"/>
        </w:rPr>
        <w:t xml:space="preserve"> </w:t>
      </w:r>
      <w:r>
        <w:t>promoting equality in STEM areas was held. The plan in the coming period is to include the</w:t>
      </w:r>
      <w:r>
        <w:rPr>
          <w:spacing w:val="1"/>
        </w:rPr>
        <w:t xml:space="preserve"> </w:t>
      </w:r>
      <w:r>
        <w:t>topic of women's commitment to the digital world through events organised as part of the</w:t>
      </w:r>
      <w:r>
        <w:rPr>
          <w:spacing w:val="1"/>
        </w:rPr>
        <w:t xml:space="preserve"> </w:t>
      </w:r>
      <w:r>
        <w:t>Conference</w:t>
      </w:r>
      <w:r>
        <w:rPr>
          <w:spacing w:val="-2"/>
        </w:rPr>
        <w:t xml:space="preserve"> </w:t>
      </w:r>
      <w:r>
        <w:t>on the Future of</w:t>
      </w:r>
      <w:r>
        <w:rPr>
          <w:spacing w:val="-1"/>
        </w:rPr>
        <w:t xml:space="preserve"> </w:t>
      </w:r>
      <w:r>
        <w:t>Europe to be</w:t>
      </w:r>
      <w:r>
        <w:rPr>
          <w:spacing w:val="-2"/>
        </w:rPr>
        <w:t xml:space="preserve"> </w:t>
      </w:r>
      <w:r>
        <w:t>organised with</w:t>
      </w:r>
      <w:r>
        <w:rPr>
          <w:spacing w:val="-1"/>
        </w:rPr>
        <w:t xml:space="preserve"> </w:t>
      </w:r>
      <w:r>
        <w:t>Croatian high school students.</w:t>
      </w:r>
    </w:p>
    <w:p w:rsidR="00A56FE9" w:rsidRDefault="00CC1B9B">
      <w:pPr>
        <w:pStyle w:val="Tijeloteksta"/>
        <w:spacing w:before="9"/>
        <w:ind w:left="0"/>
        <w:jc w:val="left"/>
        <w:rPr>
          <w:sz w:val="13"/>
        </w:rPr>
      </w:pPr>
      <w:r>
        <w:rPr>
          <w:noProof/>
        </w:rPr>
        <mc:AlternateContent>
          <mc:Choice Requires="wps">
            <w:drawing>
              <wp:anchor distT="0" distB="0" distL="0" distR="0" simplePos="0" relativeHeight="487683584" behindDoc="1" locked="0" layoutInCell="1" allowOverlap="1">
                <wp:simplePos x="0" y="0"/>
                <wp:positionH relativeFrom="page">
                  <wp:posOffset>882650</wp:posOffset>
                </wp:positionH>
                <wp:positionV relativeFrom="paragraph">
                  <wp:posOffset>125730</wp:posOffset>
                </wp:positionV>
                <wp:extent cx="574675" cy="18415"/>
                <wp:effectExtent l="0" t="0" r="0" b="0"/>
                <wp:wrapTopAndBottom/>
                <wp:docPr id="125691147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3EFDF" id="Rectangle 56" o:spid="_x0000_s1026" style="position:absolute;margin-left:69.5pt;margin-top:9.9pt;width:45.25pt;height:1.45pt;z-index:-15632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0"/>
      </w:pPr>
      <w:r>
        <w:t>Regarding sub-objective 5.1. on the framework for ending all forms of discrimination against</w:t>
      </w:r>
      <w:r>
        <w:rPr>
          <w:spacing w:val="1"/>
        </w:rPr>
        <w:t xml:space="preserve"> </w:t>
      </w:r>
      <w:r>
        <w:t>all</w:t>
      </w:r>
      <w:r>
        <w:rPr>
          <w:spacing w:val="-7"/>
        </w:rPr>
        <w:t xml:space="preserve"> </w:t>
      </w:r>
      <w:r>
        <w:t>women</w:t>
      </w:r>
      <w:r>
        <w:rPr>
          <w:spacing w:val="-5"/>
        </w:rPr>
        <w:t xml:space="preserve"> </w:t>
      </w:r>
      <w:r>
        <w:t>and</w:t>
      </w:r>
      <w:r>
        <w:rPr>
          <w:spacing w:val="-5"/>
        </w:rPr>
        <w:t xml:space="preserve"> </w:t>
      </w:r>
      <w:r>
        <w:t>girls,</w:t>
      </w:r>
      <w:r>
        <w:rPr>
          <w:spacing w:val="-8"/>
        </w:rPr>
        <w:t xml:space="preserve"> </w:t>
      </w:r>
      <w:r>
        <w:t>importantly,</w:t>
      </w:r>
      <w:r>
        <w:rPr>
          <w:spacing w:val="-6"/>
        </w:rPr>
        <w:t xml:space="preserve"> </w:t>
      </w:r>
      <w:r>
        <w:t>the</w:t>
      </w:r>
      <w:r>
        <w:rPr>
          <w:spacing w:val="-9"/>
        </w:rPr>
        <w:t xml:space="preserve"> </w:t>
      </w:r>
      <w:r>
        <w:t>National</w:t>
      </w:r>
      <w:r>
        <w:rPr>
          <w:spacing w:val="-7"/>
        </w:rPr>
        <w:t xml:space="preserve"> </w:t>
      </w:r>
      <w:r>
        <w:t>Plan</w:t>
      </w:r>
      <w:r>
        <w:rPr>
          <w:spacing w:val="-7"/>
        </w:rPr>
        <w:t xml:space="preserve"> </w:t>
      </w:r>
      <w:r>
        <w:t>for</w:t>
      </w:r>
      <w:r>
        <w:rPr>
          <w:spacing w:val="-7"/>
        </w:rPr>
        <w:t xml:space="preserve"> </w:t>
      </w:r>
      <w:r>
        <w:t>Gender</w:t>
      </w:r>
      <w:r>
        <w:rPr>
          <w:spacing w:val="-8"/>
        </w:rPr>
        <w:t xml:space="preserve"> </w:t>
      </w:r>
      <w:r>
        <w:t>Equality</w:t>
      </w:r>
      <w:r>
        <w:rPr>
          <w:spacing w:val="-12"/>
        </w:rPr>
        <w:t xml:space="preserve"> </w:t>
      </w:r>
      <w:r>
        <w:t>2022-2027</w:t>
      </w:r>
      <w:r>
        <w:rPr>
          <w:spacing w:val="-8"/>
        </w:rPr>
        <w:t xml:space="preserve"> </w:t>
      </w:r>
      <w:r>
        <w:t>is</w:t>
      </w:r>
      <w:r>
        <w:rPr>
          <w:spacing w:val="-7"/>
        </w:rPr>
        <w:t xml:space="preserve"> </w:t>
      </w:r>
      <w:r>
        <w:t>currently</w:t>
      </w:r>
      <w:r>
        <w:rPr>
          <w:spacing w:val="-57"/>
        </w:rPr>
        <w:t xml:space="preserve"> </w:t>
      </w:r>
      <w:r>
        <w:t>in</w:t>
      </w:r>
      <w:r>
        <w:rPr>
          <w:spacing w:val="-1"/>
        </w:rPr>
        <w:t xml:space="preserve"> </w:t>
      </w:r>
      <w:r>
        <w:t>the</w:t>
      </w:r>
      <w:r>
        <w:rPr>
          <w:spacing w:val="-1"/>
        </w:rPr>
        <w:t xml:space="preserve"> </w:t>
      </w:r>
      <w:r>
        <w:t>procedure</w:t>
      </w:r>
      <w:r>
        <w:rPr>
          <w:spacing w:val="-1"/>
        </w:rPr>
        <w:t xml:space="preserve"> </w:t>
      </w:r>
      <w:r>
        <w:t>of approval for</w:t>
      </w:r>
      <w:r>
        <w:rPr>
          <w:spacing w:val="-1"/>
        </w:rPr>
        <w:t xml:space="preserve"> </w:t>
      </w:r>
      <w:r>
        <w:t>a</w:t>
      </w:r>
      <w:r>
        <w:rPr>
          <w:spacing w:val="-1"/>
        </w:rPr>
        <w:t xml:space="preserve"> </w:t>
      </w:r>
      <w:r>
        <w:t>public</w:t>
      </w:r>
      <w:r>
        <w:rPr>
          <w:spacing w:val="-1"/>
        </w:rPr>
        <w:t xml:space="preserve"> </w:t>
      </w:r>
      <w:r>
        <w:t>hearing.</w:t>
      </w:r>
    </w:p>
    <w:p w:rsidR="00A56FE9" w:rsidRDefault="00000000">
      <w:pPr>
        <w:pStyle w:val="Tijeloteksta"/>
        <w:spacing w:before="120"/>
        <w:ind w:right="273"/>
      </w:pPr>
      <w:r>
        <w:t>In relation to sub-goal 5.2. regarding violence against women, emphasis is placed on the</w:t>
      </w:r>
      <w:r>
        <w:rPr>
          <w:spacing w:val="1"/>
        </w:rPr>
        <w:t xml:space="preserve"> </w:t>
      </w:r>
      <w:r>
        <w:t>following:</w:t>
      </w:r>
      <w:r>
        <w:rPr>
          <w:spacing w:val="1"/>
        </w:rPr>
        <w:t xml:space="preserve"> </w:t>
      </w:r>
      <w:r>
        <w:t>changes</w:t>
      </w:r>
      <w:r>
        <w:rPr>
          <w:spacing w:val="1"/>
        </w:rPr>
        <w:t xml:space="preserve"> </w:t>
      </w:r>
      <w:r>
        <w:t>in</w:t>
      </w:r>
      <w:r>
        <w:rPr>
          <w:spacing w:val="1"/>
        </w:rPr>
        <w:t xml:space="preserve"> </w:t>
      </w:r>
      <w:r>
        <w:t>the</w:t>
      </w:r>
      <w:r>
        <w:rPr>
          <w:spacing w:val="1"/>
        </w:rPr>
        <w:t xml:space="preserve"> </w:t>
      </w:r>
      <w:r>
        <w:t>national</w:t>
      </w:r>
      <w:r>
        <w:rPr>
          <w:spacing w:val="1"/>
        </w:rPr>
        <w:t xml:space="preserve"> </w:t>
      </w:r>
      <w:r>
        <w:t>legislative</w:t>
      </w:r>
      <w:r>
        <w:rPr>
          <w:spacing w:val="1"/>
        </w:rPr>
        <w:t xml:space="preserve"> </w:t>
      </w:r>
      <w:r>
        <w:t>framework</w:t>
      </w:r>
      <w:r>
        <w:rPr>
          <w:spacing w:val="1"/>
        </w:rPr>
        <w:t xml:space="preserve"> </w:t>
      </w:r>
      <w:r>
        <w:t>in</w:t>
      </w:r>
      <w:r>
        <w:rPr>
          <w:spacing w:val="1"/>
        </w:rPr>
        <w:t xml:space="preserve"> </w:t>
      </w:r>
      <w:r>
        <w:t>recent</w:t>
      </w:r>
      <w:r>
        <w:rPr>
          <w:spacing w:val="1"/>
        </w:rPr>
        <w:t xml:space="preserve"> </w:t>
      </w:r>
      <w:r>
        <w:t>years</w:t>
      </w:r>
      <w:r>
        <w:rPr>
          <w:spacing w:val="1"/>
        </w:rPr>
        <w:t xml:space="preserve"> </w:t>
      </w:r>
      <w:r>
        <w:t>have</w:t>
      </w:r>
      <w:r>
        <w:rPr>
          <w:spacing w:val="1"/>
        </w:rPr>
        <w:t xml:space="preserve"> </w:t>
      </w:r>
      <w:r>
        <w:t>improved</w:t>
      </w:r>
      <w:r>
        <w:rPr>
          <w:spacing w:val="-57"/>
        </w:rPr>
        <w:t xml:space="preserve"> </w:t>
      </w:r>
      <w:r>
        <w:rPr>
          <w:spacing w:val="-1"/>
        </w:rPr>
        <w:t>prevention,</w:t>
      </w:r>
      <w:r>
        <w:rPr>
          <w:spacing w:val="-15"/>
        </w:rPr>
        <w:t xml:space="preserve"> </w:t>
      </w:r>
      <w:r>
        <w:rPr>
          <w:spacing w:val="-1"/>
        </w:rPr>
        <w:t>tightened</w:t>
      </w:r>
      <w:r>
        <w:rPr>
          <w:spacing w:val="-14"/>
        </w:rPr>
        <w:t xml:space="preserve"> </w:t>
      </w:r>
      <w:r>
        <w:t>punishment</w:t>
      </w:r>
      <w:r>
        <w:rPr>
          <w:spacing w:val="-14"/>
        </w:rPr>
        <w:t xml:space="preserve"> </w:t>
      </w:r>
      <w:r>
        <w:t>and</w:t>
      </w:r>
      <w:r>
        <w:rPr>
          <w:spacing w:val="-14"/>
        </w:rPr>
        <w:t xml:space="preserve"> </w:t>
      </w:r>
      <w:r>
        <w:t>further</w:t>
      </w:r>
      <w:r>
        <w:rPr>
          <w:spacing w:val="-16"/>
        </w:rPr>
        <w:t xml:space="preserve"> </w:t>
      </w:r>
      <w:r>
        <w:t>strengthened</w:t>
      </w:r>
      <w:r>
        <w:rPr>
          <w:spacing w:val="-14"/>
        </w:rPr>
        <w:t xml:space="preserve"> </w:t>
      </w:r>
      <w:r>
        <w:t>the</w:t>
      </w:r>
      <w:r>
        <w:rPr>
          <w:spacing w:val="-14"/>
        </w:rPr>
        <w:t xml:space="preserve"> </w:t>
      </w:r>
      <w:r>
        <w:t>protection</w:t>
      </w:r>
      <w:r>
        <w:rPr>
          <w:spacing w:val="-15"/>
        </w:rPr>
        <w:t xml:space="preserve"> </w:t>
      </w:r>
      <w:r>
        <w:t>of</w:t>
      </w:r>
      <w:r>
        <w:rPr>
          <w:spacing w:val="-12"/>
        </w:rPr>
        <w:t xml:space="preserve"> </w:t>
      </w:r>
      <w:r>
        <w:t>victims</w:t>
      </w:r>
      <w:r>
        <w:rPr>
          <w:spacing w:val="-13"/>
        </w:rPr>
        <w:t xml:space="preserve"> </w:t>
      </w:r>
      <w:r>
        <w:t>of</w:t>
      </w:r>
      <w:r>
        <w:rPr>
          <w:spacing w:val="-16"/>
        </w:rPr>
        <w:t xml:space="preserve"> </w:t>
      </w:r>
      <w:r>
        <w:t>violence.</w:t>
      </w:r>
      <w:r>
        <w:rPr>
          <w:spacing w:val="-57"/>
        </w:rPr>
        <w:t xml:space="preserve"> </w:t>
      </w:r>
      <w:r>
        <w:t>In 2020 and 2021, the Act on Protection from Domestic Violence, the Criminal Code and the</w:t>
      </w:r>
      <w:r>
        <w:rPr>
          <w:spacing w:val="1"/>
        </w:rPr>
        <w:t xml:space="preserve"> </w:t>
      </w:r>
      <w:r>
        <w:t>Criminal Procedure Act were amended. Ensuring the conditions for effective work by the</w:t>
      </w:r>
      <w:r>
        <w:rPr>
          <w:spacing w:val="1"/>
        </w:rPr>
        <w:t xml:space="preserve"> </w:t>
      </w:r>
      <w:r>
        <w:t>competent</w:t>
      </w:r>
      <w:r>
        <w:rPr>
          <w:spacing w:val="-8"/>
        </w:rPr>
        <w:t xml:space="preserve"> </w:t>
      </w:r>
      <w:r>
        <w:t>authorities</w:t>
      </w:r>
      <w:r>
        <w:rPr>
          <w:spacing w:val="-9"/>
        </w:rPr>
        <w:t xml:space="preserve"> </w:t>
      </w:r>
      <w:r>
        <w:t>in</w:t>
      </w:r>
      <w:r>
        <w:rPr>
          <w:spacing w:val="-8"/>
        </w:rPr>
        <w:t xml:space="preserve"> </w:t>
      </w:r>
      <w:r>
        <w:t>dealing</w:t>
      </w:r>
      <w:r>
        <w:rPr>
          <w:spacing w:val="-9"/>
        </w:rPr>
        <w:t xml:space="preserve"> </w:t>
      </w:r>
      <w:r>
        <w:t>with</w:t>
      </w:r>
      <w:r>
        <w:rPr>
          <w:spacing w:val="-7"/>
        </w:rPr>
        <w:t xml:space="preserve"> </w:t>
      </w:r>
      <w:r>
        <w:t>domestic</w:t>
      </w:r>
      <w:r>
        <w:rPr>
          <w:spacing w:val="-10"/>
        </w:rPr>
        <w:t xml:space="preserve"> </w:t>
      </w:r>
      <w:r>
        <w:t>violence</w:t>
      </w:r>
      <w:r>
        <w:rPr>
          <w:spacing w:val="-7"/>
        </w:rPr>
        <w:t xml:space="preserve"> </w:t>
      </w:r>
      <w:r>
        <w:t>led</w:t>
      </w:r>
      <w:r>
        <w:rPr>
          <w:spacing w:val="-9"/>
        </w:rPr>
        <w:t xml:space="preserve"> </w:t>
      </w:r>
      <w:r>
        <w:t>to</w:t>
      </w:r>
      <w:r>
        <w:rPr>
          <w:spacing w:val="-8"/>
        </w:rPr>
        <w:t xml:space="preserve"> </w:t>
      </w:r>
      <w:r>
        <w:t>the</w:t>
      </w:r>
      <w:r>
        <w:rPr>
          <w:spacing w:val="-9"/>
        </w:rPr>
        <w:t xml:space="preserve"> </w:t>
      </w:r>
      <w:r>
        <w:t>adoption</w:t>
      </w:r>
      <w:r>
        <w:rPr>
          <w:spacing w:val="-7"/>
        </w:rPr>
        <w:t xml:space="preserve"> </w:t>
      </w:r>
      <w:r>
        <w:t>of</w:t>
      </w:r>
      <w:r>
        <w:rPr>
          <w:spacing w:val="-9"/>
        </w:rPr>
        <w:t xml:space="preserve"> </w:t>
      </w:r>
      <w:r>
        <w:t>the</w:t>
      </w:r>
      <w:r>
        <w:rPr>
          <w:spacing w:val="-7"/>
        </w:rPr>
        <w:t xml:space="preserve"> </w:t>
      </w:r>
      <w:r>
        <w:t>new</w:t>
      </w:r>
      <w:r>
        <w:rPr>
          <w:spacing w:val="-9"/>
        </w:rPr>
        <w:t xml:space="preserve"> </w:t>
      </w:r>
      <w:r>
        <w:t>Protocol</w:t>
      </w:r>
      <w:r>
        <w:rPr>
          <w:spacing w:val="-58"/>
        </w:rPr>
        <w:t xml:space="preserve"> </w:t>
      </w:r>
      <w:r>
        <w:t>on Dealing with Domestic Violence in 2019. To improve and further develop inter-ministerial</w:t>
      </w:r>
      <w:r>
        <w:rPr>
          <w:spacing w:val="-57"/>
        </w:rPr>
        <w:t xml:space="preserve"> </w:t>
      </w:r>
      <w:r>
        <w:t>cooperation in the field of violence, and on the basis of the Agreement on Inter-Ministerial</w:t>
      </w:r>
      <w:r>
        <w:rPr>
          <w:spacing w:val="1"/>
        </w:rPr>
        <w:t xml:space="preserve"> </w:t>
      </w:r>
      <w:r>
        <w:t>Cooperation</w:t>
      </w:r>
      <w:r>
        <w:rPr>
          <w:spacing w:val="-11"/>
        </w:rPr>
        <w:t xml:space="preserve"> </w:t>
      </w:r>
      <w:r>
        <w:t>in</w:t>
      </w:r>
      <w:r>
        <w:rPr>
          <w:spacing w:val="-11"/>
        </w:rPr>
        <w:t xml:space="preserve"> </w:t>
      </w:r>
      <w:r>
        <w:t>the</w:t>
      </w:r>
      <w:r>
        <w:rPr>
          <w:spacing w:val="-9"/>
        </w:rPr>
        <w:t xml:space="preserve"> </w:t>
      </w:r>
      <w:r>
        <w:t>Field</w:t>
      </w:r>
      <w:r>
        <w:rPr>
          <w:spacing w:val="-7"/>
        </w:rPr>
        <w:t xml:space="preserve"> </w:t>
      </w:r>
      <w:r>
        <w:t>of</w:t>
      </w:r>
      <w:r>
        <w:rPr>
          <w:spacing w:val="-11"/>
        </w:rPr>
        <w:t xml:space="preserve"> </w:t>
      </w:r>
      <w:r>
        <w:t>Preventing</w:t>
      </w:r>
      <w:r>
        <w:rPr>
          <w:spacing w:val="-11"/>
        </w:rPr>
        <w:t xml:space="preserve"> </w:t>
      </w:r>
      <w:r>
        <w:t>and</w:t>
      </w:r>
      <w:r>
        <w:rPr>
          <w:spacing w:val="-11"/>
        </w:rPr>
        <w:t xml:space="preserve"> </w:t>
      </w:r>
      <w:r>
        <w:t>Combating</w:t>
      </w:r>
      <w:r>
        <w:rPr>
          <w:spacing w:val="-11"/>
        </w:rPr>
        <w:t xml:space="preserve"> </w:t>
      </w:r>
      <w:r>
        <w:t>Violence</w:t>
      </w:r>
      <w:r>
        <w:rPr>
          <w:spacing w:val="-9"/>
        </w:rPr>
        <w:t xml:space="preserve"> </w:t>
      </w:r>
      <w:r>
        <w:t>Against</w:t>
      </w:r>
      <w:r>
        <w:rPr>
          <w:spacing w:val="-10"/>
        </w:rPr>
        <w:t xml:space="preserve"> </w:t>
      </w:r>
      <w:r>
        <w:t>Women</w:t>
      </w:r>
      <w:r>
        <w:rPr>
          <w:spacing w:val="-12"/>
        </w:rPr>
        <w:t xml:space="preserve"> </w:t>
      </w:r>
      <w:r>
        <w:t>and</w:t>
      </w:r>
      <w:r>
        <w:rPr>
          <w:spacing w:val="-7"/>
        </w:rPr>
        <w:t xml:space="preserve"> </w:t>
      </w:r>
      <w:r>
        <w:t>Domestic</w:t>
      </w:r>
      <w:r>
        <w:rPr>
          <w:spacing w:val="-58"/>
        </w:rPr>
        <w:t xml:space="preserve"> </w:t>
      </w:r>
      <w:r>
        <w:t>Violence, the National Team for Preventing and Combating Violence against Women and</w:t>
      </w:r>
      <w:r>
        <w:rPr>
          <w:spacing w:val="1"/>
        </w:rPr>
        <w:t xml:space="preserve"> </w:t>
      </w:r>
      <w:r>
        <w:t>Domestic Violence and county teams were established. Regarding the helplines for victims of</w:t>
      </w:r>
      <w:r>
        <w:rPr>
          <w:spacing w:val="1"/>
        </w:rPr>
        <w:t xml:space="preserve"> </w:t>
      </w:r>
      <w:r>
        <w:t>violence, there are eight SOS hotlines in Croatia, mostly run by civil society organisations and</w:t>
      </w:r>
      <w:r>
        <w:rPr>
          <w:spacing w:val="-57"/>
        </w:rPr>
        <w:t xml:space="preserve"> </w:t>
      </w:r>
      <w:r>
        <w:t>financially supported by the Ministry of Labour, Pension System, Family and Social Policy</w:t>
      </w:r>
      <w:r>
        <w:rPr>
          <w:spacing w:val="1"/>
        </w:rPr>
        <w:t xml:space="preserve"> </w:t>
      </w:r>
      <w:r>
        <w:t>(MLPSFSP). Since 25 November 2020, the National Call Centre for Victims of Crime and</w:t>
      </w:r>
      <w:r>
        <w:rPr>
          <w:spacing w:val="1"/>
        </w:rPr>
        <w:t xml:space="preserve"> </w:t>
      </w:r>
      <w:r>
        <w:t>Misdemeanours has been operating 24 hours a day. Croatia became the fifth European country</w:t>
      </w:r>
      <w:r>
        <w:rPr>
          <w:spacing w:val="-58"/>
        </w:rPr>
        <w:t xml:space="preserve"> </w:t>
      </w:r>
      <w:r>
        <w:t>to introduce a free standardised number at the EU level to provide support to victims and</w:t>
      </w:r>
      <w:r>
        <w:rPr>
          <w:spacing w:val="1"/>
        </w:rPr>
        <w:t xml:space="preserve"> </w:t>
      </w:r>
      <w:r>
        <w:t>witnesses (116 006). Furthermore, there are now a total of 25 shelters in Croatia, of which 23</w:t>
      </w:r>
      <w:r>
        <w:rPr>
          <w:spacing w:val="1"/>
        </w:rPr>
        <w:t xml:space="preserve"> </w:t>
      </w:r>
      <w:r>
        <w:t>are</w:t>
      </w:r>
      <w:r>
        <w:rPr>
          <w:spacing w:val="-2"/>
        </w:rPr>
        <w:t xml:space="preserve"> </w:t>
      </w:r>
      <w:r>
        <w:t>funded</w:t>
      </w:r>
      <w:r>
        <w:rPr>
          <w:spacing w:val="-1"/>
        </w:rPr>
        <w:t xml:space="preserve"> </w:t>
      </w:r>
      <w:r>
        <w:t>by</w:t>
      </w:r>
      <w:r>
        <w:rPr>
          <w:spacing w:val="-7"/>
        </w:rPr>
        <w:t xml:space="preserve"> </w:t>
      </w:r>
      <w:r>
        <w:t>MLPSFSP.</w:t>
      </w:r>
      <w:r>
        <w:rPr>
          <w:spacing w:val="-2"/>
        </w:rPr>
        <w:t xml:space="preserve"> </w:t>
      </w:r>
      <w:r>
        <w:t>The</w:t>
      </w:r>
      <w:r>
        <w:rPr>
          <w:spacing w:val="-4"/>
        </w:rPr>
        <w:t xml:space="preserve"> </w:t>
      </w:r>
      <w:r>
        <w:t>six new</w:t>
      </w:r>
      <w:r>
        <w:rPr>
          <w:spacing w:val="-2"/>
        </w:rPr>
        <w:t xml:space="preserve"> </w:t>
      </w:r>
      <w:r>
        <w:t>shelters</w:t>
      </w:r>
      <w:r>
        <w:rPr>
          <w:spacing w:val="-3"/>
        </w:rPr>
        <w:t xml:space="preserve"> </w:t>
      </w:r>
      <w:r>
        <w:t>have</w:t>
      </w:r>
      <w:r>
        <w:rPr>
          <w:spacing w:val="-4"/>
        </w:rPr>
        <w:t xml:space="preserve"> </w:t>
      </w:r>
      <w:r>
        <w:t>been</w:t>
      </w:r>
      <w:r>
        <w:rPr>
          <w:spacing w:val="-2"/>
        </w:rPr>
        <w:t xml:space="preserve"> </w:t>
      </w:r>
      <w:r>
        <w:t>funded</w:t>
      </w:r>
      <w:r>
        <w:rPr>
          <w:spacing w:val="-2"/>
        </w:rPr>
        <w:t xml:space="preserve"> </w:t>
      </w:r>
      <w:r>
        <w:t>by</w:t>
      </w:r>
      <w:r>
        <w:rPr>
          <w:spacing w:val="-8"/>
        </w:rPr>
        <w:t xml:space="preserve"> </w:t>
      </w:r>
      <w:r>
        <w:t>the</w:t>
      </w:r>
      <w:r>
        <w:rPr>
          <w:spacing w:val="-4"/>
        </w:rPr>
        <w:t xml:space="preserve"> </w:t>
      </w:r>
      <w:r>
        <w:t>European</w:t>
      </w:r>
      <w:r>
        <w:rPr>
          <w:spacing w:val="-2"/>
        </w:rPr>
        <w:t xml:space="preserve"> </w:t>
      </w:r>
      <w:r>
        <w:t>Social</w:t>
      </w:r>
      <w:r>
        <w:rPr>
          <w:spacing w:val="-3"/>
        </w:rPr>
        <w:t xml:space="preserve"> </w:t>
      </w:r>
      <w:r>
        <w:t>Fund</w:t>
      </w:r>
      <w:r>
        <w:rPr>
          <w:spacing w:val="-58"/>
        </w:rPr>
        <w:t xml:space="preserve"> </w:t>
      </w:r>
      <w:r>
        <w:t>since</w:t>
      </w:r>
      <w:r>
        <w:rPr>
          <w:spacing w:val="-3"/>
        </w:rPr>
        <w:t xml:space="preserve"> </w:t>
      </w:r>
      <w:r>
        <w:t>the end of</w:t>
      </w:r>
      <w:r>
        <w:rPr>
          <w:spacing w:val="-1"/>
        </w:rPr>
        <w:t xml:space="preserve"> </w:t>
      </w:r>
      <w:r>
        <w:t>2020</w:t>
      </w:r>
      <w:r>
        <w:rPr>
          <w:spacing w:val="2"/>
        </w:rPr>
        <w:t xml:space="preserve"> </w:t>
      </w:r>
      <w:r>
        <w:t>and the beginning</w:t>
      </w:r>
      <w:r>
        <w:rPr>
          <w:spacing w:val="-3"/>
        </w:rPr>
        <w:t xml:space="preserve"> </w:t>
      </w:r>
      <w:r>
        <w:t>of 2021.</w:t>
      </w:r>
    </w:p>
    <w:p w:rsidR="00A56FE9" w:rsidRDefault="00000000">
      <w:pPr>
        <w:pStyle w:val="Tijeloteksta"/>
        <w:spacing w:before="122"/>
        <w:ind w:right="279"/>
      </w:pPr>
      <w:r>
        <w:t>Amendments</w:t>
      </w:r>
      <w:r>
        <w:rPr>
          <w:spacing w:val="-4"/>
        </w:rPr>
        <w:t xml:space="preserve"> </w:t>
      </w:r>
      <w:r>
        <w:t>to</w:t>
      </w:r>
      <w:r>
        <w:rPr>
          <w:spacing w:val="-2"/>
        </w:rPr>
        <w:t xml:space="preserve"> </w:t>
      </w:r>
      <w:r>
        <w:t>the</w:t>
      </w:r>
      <w:r>
        <w:rPr>
          <w:spacing w:val="-2"/>
        </w:rPr>
        <w:t xml:space="preserve"> </w:t>
      </w:r>
      <w:r>
        <w:t>Act on</w:t>
      </w:r>
      <w:r>
        <w:rPr>
          <w:spacing w:val="-3"/>
        </w:rPr>
        <w:t xml:space="preserve"> </w:t>
      </w:r>
      <w:r>
        <w:t>Areas</w:t>
      </w:r>
      <w:r>
        <w:rPr>
          <w:spacing w:val="-1"/>
        </w:rPr>
        <w:t xml:space="preserve"> </w:t>
      </w:r>
      <w:r>
        <w:t>and</w:t>
      </w:r>
      <w:r>
        <w:rPr>
          <w:spacing w:val="-3"/>
        </w:rPr>
        <w:t xml:space="preserve"> </w:t>
      </w:r>
      <w:r>
        <w:t>Seats</w:t>
      </w:r>
      <w:r>
        <w:rPr>
          <w:spacing w:val="-2"/>
        </w:rPr>
        <w:t xml:space="preserve"> </w:t>
      </w:r>
      <w:r>
        <w:t>of</w:t>
      </w:r>
      <w:r>
        <w:rPr>
          <w:spacing w:val="-5"/>
        </w:rPr>
        <w:t xml:space="preserve"> </w:t>
      </w:r>
      <w:r>
        <w:t>Courts</w:t>
      </w:r>
      <w:r>
        <w:rPr>
          <w:spacing w:val="-3"/>
        </w:rPr>
        <w:t xml:space="preserve"> </w:t>
      </w:r>
      <w:r>
        <w:t>and</w:t>
      </w:r>
      <w:r>
        <w:rPr>
          <w:spacing w:val="-3"/>
        </w:rPr>
        <w:t xml:space="preserve"> </w:t>
      </w:r>
      <w:r>
        <w:t>the</w:t>
      </w:r>
      <w:r>
        <w:rPr>
          <w:spacing w:val="-2"/>
        </w:rPr>
        <w:t xml:space="preserve"> </w:t>
      </w:r>
      <w:r>
        <w:t>Court</w:t>
      </w:r>
      <w:r>
        <w:rPr>
          <w:spacing w:val="-3"/>
        </w:rPr>
        <w:t xml:space="preserve"> </w:t>
      </w:r>
      <w:r>
        <w:t>Rules of</w:t>
      </w:r>
      <w:r>
        <w:rPr>
          <w:spacing w:val="-5"/>
        </w:rPr>
        <w:t xml:space="preserve"> </w:t>
      </w:r>
      <w:r>
        <w:t>Procedure</w:t>
      </w:r>
      <w:r>
        <w:rPr>
          <w:spacing w:val="-2"/>
        </w:rPr>
        <w:t xml:space="preserve"> </w:t>
      </w:r>
      <w:r>
        <w:t>during</w:t>
      </w:r>
      <w:r>
        <w:rPr>
          <w:spacing w:val="-57"/>
        </w:rPr>
        <w:t xml:space="preserve"> </w:t>
      </w:r>
      <w:r>
        <w:t>2021 envisage the establishment of 15 family departments in municipal courts in the seats of</w:t>
      </w:r>
      <w:r>
        <w:rPr>
          <w:spacing w:val="1"/>
        </w:rPr>
        <w:t xml:space="preserve"> </w:t>
      </w:r>
      <w:r>
        <w:t>county</w:t>
      </w:r>
      <w:r>
        <w:rPr>
          <w:spacing w:val="-3"/>
        </w:rPr>
        <w:t xml:space="preserve"> </w:t>
      </w:r>
      <w:r>
        <w:t>courts.</w:t>
      </w:r>
    </w:p>
    <w:p w:rsidR="00A56FE9" w:rsidRDefault="00000000">
      <w:pPr>
        <w:pStyle w:val="Tijeloteksta"/>
        <w:spacing w:before="120"/>
        <w:ind w:right="273"/>
      </w:pPr>
      <w:r>
        <w:t>Given that sexual violence, in addition to domestic violence, is one of the dominant forms of</w:t>
      </w:r>
      <w:r>
        <w:rPr>
          <w:spacing w:val="1"/>
        </w:rPr>
        <w:t xml:space="preserve"> </w:t>
      </w:r>
      <w:r>
        <w:t>gender-based violence, in 2018, at the suggestion of the Office for Gender Equality, the</w:t>
      </w:r>
      <w:r>
        <w:rPr>
          <w:spacing w:val="1"/>
        </w:rPr>
        <w:t xml:space="preserve"> </w:t>
      </w:r>
      <w:r>
        <w:t>Government adopted a new, updated Protocol on Sexual Violence. The Protocol contains the</w:t>
      </w:r>
      <w:r>
        <w:rPr>
          <w:spacing w:val="1"/>
        </w:rPr>
        <w:t xml:space="preserve"> </w:t>
      </w:r>
      <w:r>
        <w:t>stipulated obligations and the manner of cooperation with competent bodies involved in the</w:t>
      </w:r>
      <w:r>
        <w:rPr>
          <w:spacing w:val="1"/>
        </w:rPr>
        <w:t xml:space="preserve"> </w:t>
      </w:r>
      <w:r>
        <w:t>detection</w:t>
      </w:r>
      <w:r>
        <w:rPr>
          <w:spacing w:val="-12"/>
        </w:rPr>
        <w:t xml:space="preserve"> </w:t>
      </w:r>
      <w:r>
        <w:t>and</w:t>
      </w:r>
      <w:r>
        <w:rPr>
          <w:spacing w:val="-11"/>
        </w:rPr>
        <w:t xml:space="preserve"> </w:t>
      </w:r>
      <w:r>
        <w:t>suppression</w:t>
      </w:r>
      <w:r>
        <w:rPr>
          <w:spacing w:val="-11"/>
        </w:rPr>
        <w:t xml:space="preserve"> </w:t>
      </w:r>
      <w:r>
        <w:t>of</w:t>
      </w:r>
      <w:r>
        <w:rPr>
          <w:spacing w:val="-11"/>
        </w:rPr>
        <w:t xml:space="preserve"> </w:t>
      </w:r>
      <w:r>
        <w:t>sexual</w:t>
      </w:r>
      <w:r>
        <w:rPr>
          <w:spacing w:val="-11"/>
        </w:rPr>
        <w:t xml:space="preserve"> </w:t>
      </w:r>
      <w:r>
        <w:t>violence</w:t>
      </w:r>
      <w:r>
        <w:rPr>
          <w:spacing w:val="-12"/>
        </w:rPr>
        <w:t xml:space="preserve"> </w:t>
      </w:r>
      <w:r>
        <w:t>and</w:t>
      </w:r>
      <w:r>
        <w:rPr>
          <w:spacing w:val="-8"/>
        </w:rPr>
        <w:t xml:space="preserve"> </w:t>
      </w:r>
      <w:r>
        <w:t>providing</w:t>
      </w:r>
      <w:r>
        <w:rPr>
          <w:spacing w:val="-13"/>
        </w:rPr>
        <w:t xml:space="preserve"> </w:t>
      </w:r>
      <w:r>
        <w:t>assistance</w:t>
      </w:r>
      <w:r>
        <w:rPr>
          <w:spacing w:val="-12"/>
        </w:rPr>
        <w:t xml:space="preserve"> </w:t>
      </w:r>
      <w:r>
        <w:t>and</w:t>
      </w:r>
      <w:r>
        <w:rPr>
          <w:spacing w:val="-9"/>
        </w:rPr>
        <w:t xml:space="preserve"> </w:t>
      </w:r>
      <w:r>
        <w:t>protection</w:t>
      </w:r>
      <w:r>
        <w:rPr>
          <w:spacing w:val="-11"/>
        </w:rPr>
        <w:t xml:space="preserve"> </w:t>
      </w:r>
      <w:r>
        <w:t>to</w:t>
      </w:r>
      <w:r>
        <w:rPr>
          <w:spacing w:val="-11"/>
        </w:rPr>
        <w:t xml:space="preserve"> </w:t>
      </w:r>
      <w:r>
        <w:t>persons</w:t>
      </w:r>
      <w:r>
        <w:rPr>
          <w:spacing w:val="-58"/>
        </w:rPr>
        <w:t xml:space="preserve"> </w:t>
      </w:r>
      <w:r>
        <w:t>exposed to sexual violence. Furthermore, the Office for Gender Equality joined the Council of</w:t>
      </w:r>
      <w:r>
        <w:rPr>
          <w:spacing w:val="-57"/>
        </w:rPr>
        <w:t xml:space="preserve"> </w:t>
      </w:r>
      <w:r>
        <w:t>Europe's</w:t>
      </w:r>
      <w:r>
        <w:rPr>
          <w:spacing w:val="23"/>
        </w:rPr>
        <w:t xml:space="preserve"> </w:t>
      </w:r>
      <w:r>
        <w:t>campaign</w:t>
      </w:r>
      <w:r>
        <w:rPr>
          <w:spacing w:val="20"/>
        </w:rPr>
        <w:t xml:space="preserve"> </w:t>
      </w:r>
      <w:r>
        <w:t>to</w:t>
      </w:r>
      <w:r>
        <w:rPr>
          <w:spacing w:val="24"/>
        </w:rPr>
        <w:t xml:space="preserve"> </w:t>
      </w:r>
      <w:r>
        <w:t>prevent</w:t>
      </w:r>
      <w:r>
        <w:rPr>
          <w:spacing w:val="20"/>
        </w:rPr>
        <w:t xml:space="preserve"> </w:t>
      </w:r>
      <w:r>
        <w:t>sexism</w:t>
      </w:r>
      <w:r>
        <w:rPr>
          <w:spacing w:val="21"/>
        </w:rPr>
        <w:t xml:space="preserve"> </w:t>
      </w:r>
      <w:r>
        <w:t>by</w:t>
      </w:r>
      <w:r>
        <w:rPr>
          <w:spacing w:val="18"/>
        </w:rPr>
        <w:t xml:space="preserve"> </w:t>
      </w:r>
      <w:r>
        <w:t>promoting</w:t>
      </w:r>
      <w:r>
        <w:rPr>
          <w:spacing w:val="20"/>
        </w:rPr>
        <w:t xml:space="preserve"> </w:t>
      </w:r>
      <w:r>
        <w:t>and</w:t>
      </w:r>
      <w:r>
        <w:rPr>
          <w:spacing w:val="20"/>
        </w:rPr>
        <w:t xml:space="preserve"> </w:t>
      </w:r>
      <w:r>
        <w:t>translating</w:t>
      </w:r>
      <w:r>
        <w:rPr>
          <w:spacing w:val="22"/>
        </w:rPr>
        <w:t xml:space="preserve"> </w:t>
      </w:r>
      <w:r>
        <w:t>the</w:t>
      </w:r>
      <w:r>
        <w:rPr>
          <w:spacing w:val="19"/>
        </w:rPr>
        <w:t xml:space="preserve"> </w:t>
      </w:r>
      <w:r>
        <w:t>Recommendation</w:t>
      </w:r>
      <w:r>
        <w:rPr>
          <w:spacing w:val="21"/>
        </w:rPr>
        <w:t xml:space="preserve"> </w:t>
      </w:r>
      <w:r>
        <w:t>on</w:t>
      </w:r>
    </w:p>
    <w:p w:rsidR="00A56FE9" w:rsidRDefault="00A56FE9">
      <w:pPr>
        <w:sectPr w:rsidR="00A56FE9" w:rsidSect="00AB1E70">
          <w:pgSz w:w="11910" w:h="16840"/>
          <w:pgMar w:top="1160" w:right="1140" w:bottom="960" w:left="1280" w:header="0" w:footer="779" w:gutter="0"/>
          <w:cols w:space="720"/>
        </w:sectPr>
      </w:pPr>
    </w:p>
    <w:p w:rsidR="00A56FE9" w:rsidRDefault="00000000">
      <w:pPr>
        <w:pStyle w:val="Tijeloteksta"/>
        <w:spacing w:before="74"/>
        <w:ind w:right="279"/>
      </w:pPr>
      <w:r>
        <w:t>Preventing</w:t>
      </w:r>
      <w:r>
        <w:rPr>
          <w:spacing w:val="1"/>
        </w:rPr>
        <w:t xml:space="preserve"> </w:t>
      </w:r>
      <w:r>
        <w:t>and</w:t>
      </w:r>
      <w:r>
        <w:rPr>
          <w:spacing w:val="1"/>
        </w:rPr>
        <w:t xml:space="preserve"> </w:t>
      </w:r>
      <w:r>
        <w:t>Combating</w:t>
      </w:r>
      <w:r>
        <w:rPr>
          <w:spacing w:val="1"/>
        </w:rPr>
        <w:t xml:space="preserve"> </w:t>
      </w:r>
      <w:r>
        <w:t>Sexism</w:t>
      </w:r>
      <w:r>
        <w:rPr>
          <w:spacing w:val="1"/>
        </w:rPr>
        <w:t xml:space="preserve"> </w:t>
      </w:r>
      <w:r>
        <w:t>into</w:t>
      </w:r>
      <w:r>
        <w:rPr>
          <w:spacing w:val="1"/>
        </w:rPr>
        <w:t xml:space="preserve"> </w:t>
      </w:r>
      <w:r>
        <w:t>Croatian</w:t>
      </w:r>
      <w:r>
        <w:rPr>
          <w:spacing w:val="1"/>
        </w:rPr>
        <w:t xml:space="preserve"> </w:t>
      </w:r>
      <w:r>
        <w:t>in</w:t>
      </w:r>
      <w:r>
        <w:rPr>
          <w:spacing w:val="1"/>
        </w:rPr>
        <w:t xml:space="preserve"> </w:t>
      </w:r>
      <w:r>
        <w:t>2019</w:t>
      </w:r>
      <w:r>
        <w:rPr>
          <w:spacing w:val="1"/>
        </w:rPr>
        <w:t xml:space="preserve"> </w:t>
      </w:r>
      <w:r>
        <w:t>and</w:t>
      </w:r>
      <w:r>
        <w:rPr>
          <w:spacing w:val="1"/>
        </w:rPr>
        <w:t xml:space="preserve"> </w:t>
      </w:r>
      <w:r>
        <w:t>the</w:t>
      </w:r>
      <w:r>
        <w:rPr>
          <w:spacing w:val="1"/>
        </w:rPr>
        <w:t xml:space="preserve"> </w:t>
      </w:r>
      <w:r>
        <w:t>Council</w:t>
      </w:r>
      <w:r>
        <w:rPr>
          <w:spacing w:val="1"/>
        </w:rPr>
        <w:t xml:space="preserve"> </w:t>
      </w:r>
      <w:r>
        <w:t>of</w:t>
      </w:r>
      <w:r>
        <w:rPr>
          <w:spacing w:val="1"/>
        </w:rPr>
        <w:t xml:space="preserve"> </w:t>
      </w:r>
      <w:r>
        <w:t>Europe's</w:t>
      </w:r>
      <w:r>
        <w:rPr>
          <w:spacing w:val="1"/>
        </w:rPr>
        <w:t xml:space="preserve"> </w:t>
      </w:r>
      <w:r>
        <w:t>#StopSexism</w:t>
      </w:r>
      <w:r>
        <w:rPr>
          <w:spacing w:val="-1"/>
        </w:rPr>
        <w:t xml:space="preserve"> </w:t>
      </w:r>
      <w:r>
        <w:t>website -</w:t>
      </w:r>
      <w:r>
        <w:rPr>
          <w:spacing w:val="-1"/>
        </w:rPr>
        <w:t xml:space="preserve"> </w:t>
      </w:r>
      <w:r>
        <w:t>under the</w:t>
      </w:r>
      <w:r>
        <w:rPr>
          <w:spacing w:val="-2"/>
        </w:rPr>
        <w:t xml:space="preserve"> </w:t>
      </w:r>
      <w:r>
        <w:t>slogan “See</w:t>
      </w:r>
      <w:r>
        <w:rPr>
          <w:spacing w:val="-2"/>
        </w:rPr>
        <w:t xml:space="preserve"> </w:t>
      </w:r>
      <w:r>
        <w:t>it. Name it. Stop it.”</w:t>
      </w:r>
    </w:p>
    <w:p w:rsidR="00A56FE9" w:rsidRDefault="00000000">
      <w:pPr>
        <w:pStyle w:val="Tijeloteksta"/>
        <w:spacing w:before="120"/>
        <w:ind w:right="276"/>
      </w:pPr>
      <w:r>
        <w:t>Given</w:t>
      </w:r>
      <w:r>
        <w:rPr>
          <w:spacing w:val="-9"/>
        </w:rPr>
        <w:t xml:space="preserve"> </w:t>
      </w:r>
      <w:r>
        <w:t>that</w:t>
      </w:r>
      <w:r>
        <w:rPr>
          <w:spacing w:val="-8"/>
        </w:rPr>
        <w:t xml:space="preserve"> </w:t>
      </w:r>
      <w:r>
        <w:t>special</w:t>
      </w:r>
      <w:r>
        <w:rPr>
          <w:spacing w:val="-8"/>
        </w:rPr>
        <w:t xml:space="preserve"> </w:t>
      </w:r>
      <w:r>
        <w:t>attention</w:t>
      </w:r>
      <w:r>
        <w:rPr>
          <w:spacing w:val="-8"/>
        </w:rPr>
        <w:t xml:space="preserve"> </w:t>
      </w:r>
      <w:r>
        <w:t>should</w:t>
      </w:r>
      <w:r>
        <w:rPr>
          <w:spacing w:val="-8"/>
        </w:rPr>
        <w:t xml:space="preserve"> </w:t>
      </w:r>
      <w:r>
        <w:t>be</w:t>
      </w:r>
      <w:r>
        <w:rPr>
          <w:spacing w:val="-10"/>
        </w:rPr>
        <w:t xml:space="preserve"> </w:t>
      </w:r>
      <w:r>
        <w:t>paid</w:t>
      </w:r>
      <w:r>
        <w:rPr>
          <w:spacing w:val="-7"/>
        </w:rPr>
        <w:t xml:space="preserve"> </w:t>
      </w:r>
      <w:r>
        <w:t>to</w:t>
      </w:r>
      <w:r>
        <w:rPr>
          <w:spacing w:val="-8"/>
        </w:rPr>
        <w:t xml:space="preserve"> </w:t>
      </w:r>
      <w:r>
        <w:t>combating</w:t>
      </w:r>
      <w:r>
        <w:rPr>
          <w:spacing w:val="-10"/>
        </w:rPr>
        <w:t xml:space="preserve"> </w:t>
      </w:r>
      <w:r>
        <w:t>violence</w:t>
      </w:r>
      <w:r>
        <w:rPr>
          <w:spacing w:val="-9"/>
        </w:rPr>
        <w:t xml:space="preserve"> </w:t>
      </w:r>
      <w:r>
        <w:t>among</w:t>
      </w:r>
      <w:r>
        <w:rPr>
          <w:spacing w:val="-11"/>
        </w:rPr>
        <w:t xml:space="preserve"> </w:t>
      </w:r>
      <w:r>
        <w:t>the</w:t>
      </w:r>
      <w:r>
        <w:rPr>
          <w:spacing w:val="-4"/>
        </w:rPr>
        <w:t xml:space="preserve"> </w:t>
      </w:r>
      <w:r>
        <w:t>young</w:t>
      </w:r>
      <w:r>
        <w:rPr>
          <w:spacing w:val="-10"/>
        </w:rPr>
        <w:t xml:space="preserve"> </w:t>
      </w:r>
      <w:r>
        <w:t>population,</w:t>
      </w:r>
      <w:r>
        <w:rPr>
          <w:spacing w:val="-58"/>
        </w:rPr>
        <w:t xml:space="preserve"> </w:t>
      </w:r>
      <w:r>
        <w:t>on 6 February 2020, the Government voted to adopt the Action Plan for the Prevention of</w:t>
      </w:r>
      <w:r>
        <w:rPr>
          <w:spacing w:val="1"/>
        </w:rPr>
        <w:t xml:space="preserve"> </w:t>
      </w:r>
      <w:r>
        <w:t>Violence</w:t>
      </w:r>
      <w:r>
        <w:rPr>
          <w:spacing w:val="-1"/>
        </w:rPr>
        <w:t xml:space="preserve"> </w:t>
      </w:r>
      <w:r>
        <w:t>in Schools for</w:t>
      </w:r>
      <w:r>
        <w:rPr>
          <w:spacing w:val="-2"/>
        </w:rPr>
        <w:t xml:space="preserve"> </w:t>
      </w:r>
      <w:r>
        <w:t>the</w:t>
      </w:r>
      <w:r>
        <w:rPr>
          <w:spacing w:val="-1"/>
        </w:rPr>
        <w:t xml:space="preserve"> </w:t>
      </w:r>
      <w:r>
        <w:t>period from 2020 to 2024.</w:t>
      </w:r>
    </w:p>
    <w:p w:rsidR="00A56FE9" w:rsidRDefault="00000000">
      <w:pPr>
        <w:pStyle w:val="Tijeloteksta"/>
        <w:spacing w:before="121"/>
        <w:ind w:right="273"/>
      </w:pPr>
      <w:r>
        <w:t>Certain measures taken after the ratification of the Istanbul Convention are the result of open</w:t>
      </w:r>
      <w:r>
        <w:rPr>
          <w:spacing w:val="1"/>
        </w:rPr>
        <w:t xml:space="preserve"> </w:t>
      </w:r>
      <w:r>
        <w:t>dialogue</w:t>
      </w:r>
      <w:r>
        <w:rPr>
          <w:spacing w:val="1"/>
        </w:rPr>
        <w:t xml:space="preserve"> </w:t>
      </w:r>
      <w:r>
        <w:t>and</w:t>
      </w:r>
      <w:r>
        <w:rPr>
          <w:spacing w:val="1"/>
        </w:rPr>
        <w:t xml:space="preserve"> </w:t>
      </w:r>
      <w:r>
        <w:t>useful</w:t>
      </w:r>
      <w:r>
        <w:rPr>
          <w:spacing w:val="1"/>
        </w:rPr>
        <w:t xml:space="preserve"> </w:t>
      </w:r>
      <w:r>
        <w:t>discussion</w:t>
      </w:r>
      <w:r>
        <w:rPr>
          <w:spacing w:val="1"/>
        </w:rPr>
        <w:t xml:space="preserve"> </w:t>
      </w:r>
      <w:r>
        <w:t>with</w:t>
      </w:r>
      <w:r>
        <w:rPr>
          <w:spacing w:val="1"/>
        </w:rPr>
        <w:t xml:space="preserve"> </w:t>
      </w:r>
      <w:r>
        <w:t>representatives</w:t>
      </w:r>
      <w:r>
        <w:rPr>
          <w:spacing w:val="1"/>
        </w:rPr>
        <w:t xml:space="preserve"> </w:t>
      </w:r>
      <w:r>
        <w:t>of</w:t>
      </w:r>
      <w:r>
        <w:rPr>
          <w:spacing w:val="1"/>
        </w:rPr>
        <w:t xml:space="preserve"> </w:t>
      </w:r>
      <w:r>
        <w:t>civil</w:t>
      </w:r>
      <w:r>
        <w:rPr>
          <w:spacing w:val="1"/>
        </w:rPr>
        <w:t xml:space="preserve"> </w:t>
      </w:r>
      <w:r>
        <w:t>society</w:t>
      </w:r>
      <w:r>
        <w:rPr>
          <w:spacing w:val="1"/>
        </w:rPr>
        <w:t xml:space="preserve"> </w:t>
      </w:r>
      <w:r>
        <w:t>organisations.</w:t>
      </w:r>
      <w:r>
        <w:rPr>
          <w:spacing w:val="1"/>
        </w:rPr>
        <w:t xml:space="preserve"> </w:t>
      </w:r>
      <w:r>
        <w:t>The</w:t>
      </w:r>
      <w:r>
        <w:rPr>
          <w:spacing w:val="1"/>
        </w:rPr>
        <w:t xml:space="preserve"> </w:t>
      </w:r>
      <w:r>
        <w:t>#ženeujavnomprostoru (womeninpublic) campaign, as well as the #metoo campaign, and the</w:t>
      </w:r>
      <w:r>
        <w:rPr>
          <w:spacing w:val="1"/>
        </w:rPr>
        <w:t xml:space="preserve"> </w:t>
      </w:r>
      <w:r>
        <w:t>latest movement “I didn't</w:t>
      </w:r>
      <w:r>
        <w:rPr>
          <w:spacing w:val="1"/>
        </w:rPr>
        <w:t xml:space="preserve"> </w:t>
      </w:r>
      <w:r>
        <w:t>ask for it”, have also contributed to</w:t>
      </w:r>
      <w:r>
        <w:rPr>
          <w:spacing w:val="1"/>
        </w:rPr>
        <w:t xml:space="preserve"> </w:t>
      </w:r>
      <w:r>
        <w:t>raising public awareness.</w:t>
      </w:r>
      <w:r>
        <w:rPr>
          <w:spacing w:val="1"/>
        </w:rPr>
        <w:t xml:space="preserve"> </w:t>
      </w:r>
      <w:r>
        <w:t>Legislative changes and ongoing campaigns aimed at raising awareness of the unacceptability</w:t>
      </w:r>
      <w:r>
        <w:rPr>
          <w:spacing w:val="1"/>
        </w:rPr>
        <w:t xml:space="preserve"> </w:t>
      </w:r>
      <w:r>
        <w:t>of any form of violence against women show a growing trend of reports of domestic violence,</w:t>
      </w:r>
      <w:r>
        <w:rPr>
          <w:spacing w:val="-57"/>
        </w:rPr>
        <w:t xml:space="preserve"> </w:t>
      </w:r>
      <w:r>
        <w:t>sexual</w:t>
      </w:r>
      <w:r>
        <w:rPr>
          <w:spacing w:val="-1"/>
        </w:rPr>
        <w:t xml:space="preserve"> </w:t>
      </w:r>
      <w:r>
        <w:t>harassment, sexual intercourse</w:t>
      </w:r>
      <w:r>
        <w:rPr>
          <w:spacing w:val="-3"/>
        </w:rPr>
        <w:t xml:space="preserve"> </w:t>
      </w:r>
      <w:r>
        <w:t>without consent, rape and prostitution.</w:t>
      </w:r>
    </w:p>
    <w:p w:rsidR="00A56FE9" w:rsidRDefault="00000000">
      <w:pPr>
        <w:pStyle w:val="Tijeloteksta"/>
        <w:spacing w:before="120"/>
        <w:ind w:right="274"/>
      </w:pPr>
      <w:r>
        <w:t>Given that no survey has been conducted in Croatia so far on the incidence of gender-based</w:t>
      </w:r>
      <w:r>
        <w:rPr>
          <w:spacing w:val="1"/>
        </w:rPr>
        <w:t xml:space="preserve"> </w:t>
      </w:r>
      <w:r>
        <w:t>violence, the Central Bureau of Statistics will conduct a National Safety Survey in 2022 on a</w:t>
      </w:r>
      <w:r>
        <w:rPr>
          <w:spacing w:val="1"/>
        </w:rPr>
        <w:t xml:space="preserve"> </w:t>
      </w:r>
      <w:r>
        <w:t>nationally representative sample. The standard methodology for this survey was developed by</w:t>
      </w:r>
      <w:r>
        <w:rPr>
          <w:spacing w:val="-57"/>
        </w:rPr>
        <w:t xml:space="preserve"> </w:t>
      </w:r>
      <w:r>
        <w:t>Eurostat. The</w:t>
      </w:r>
      <w:r>
        <w:rPr>
          <w:spacing w:val="-1"/>
        </w:rPr>
        <w:t xml:space="preserve"> </w:t>
      </w:r>
      <w:r>
        <w:t>results of the</w:t>
      </w:r>
      <w:r>
        <w:rPr>
          <w:spacing w:val="-1"/>
        </w:rPr>
        <w:t xml:space="preserve"> </w:t>
      </w:r>
      <w:r>
        <w:t>survey</w:t>
      </w:r>
      <w:r>
        <w:rPr>
          <w:spacing w:val="-5"/>
        </w:rPr>
        <w:t xml:space="preserve"> </w:t>
      </w:r>
      <w:r>
        <w:t>are</w:t>
      </w:r>
      <w:r>
        <w:rPr>
          <w:spacing w:val="-2"/>
        </w:rPr>
        <w:t xml:space="preserve"> </w:t>
      </w:r>
      <w:r>
        <w:t>expected in</w:t>
      </w:r>
      <w:r>
        <w:rPr>
          <w:spacing w:val="2"/>
        </w:rPr>
        <w:t xml:space="preserve"> </w:t>
      </w:r>
      <w:r>
        <w:t>2023.</w:t>
      </w:r>
    </w:p>
    <w:p w:rsidR="00A56FE9" w:rsidRDefault="00000000">
      <w:pPr>
        <w:pStyle w:val="Tijeloteksta"/>
        <w:spacing w:before="120"/>
        <w:ind w:right="276"/>
      </w:pPr>
      <w:r>
        <w:t>In relation to sub-goal 5.5. regarding women's participation in decision-making positions, we</w:t>
      </w:r>
      <w:r>
        <w:rPr>
          <w:spacing w:val="1"/>
        </w:rPr>
        <w:t xml:space="preserve"> </w:t>
      </w:r>
      <w:r>
        <w:t>point out that due to public awareness campaigns on the importance of women's participation</w:t>
      </w:r>
      <w:r>
        <w:rPr>
          <w:spacing w:val="1"/>
        </w:rPr>
        <w:t xml:space="preserve"> </w:t>
      </w:r>
      <w:r>
        <w:t>in</w:t>
      </w:r>
      <w:r>
        <w:rPr>
          <w:spacing w:val="-10"/>
        </w:rPr>
        <w:t xml:space="preserve"> </w:t>
      </w:r>
      <w:r>
        <w:t>public</w:t>
      </w:r>
      <w:r>
        <w:rPr>
          <w:spacing w:val="-11"/>
        </w:rPr>
        <w:t xml:space="preserve"> </w:t>
      </w:r>
      <w:r>
        <w:t>and</w:t>
      </w:r>
      <w:r>
        <w:rPr>
          <w:spacing w:val="-10"/>
        </w:rPr>
        <w:t xml:space="preserve"> </w:t>
      </w:r>
      <w:r>
        <w:t>political</w:t>
      </w:r>
      <w:r>
        <w:rPr>
          <w:spacing w:val="-10"/>
        </w:rPr>
        <w:t xml:space="preserve"> </w:t>
      </w:r>
      <w:r>
        <w:t>decision-making,</w:t>
      </w:r>
      <w:r>
        <w:rPr>
          <w:spacing w:val="-9"/>
        </w:rPr>
        <w:t xml:space="preserve"> </w:t>
      </w:r>
      <w:r>
        <w:t>the</w:t>
      </w:r>
      <w:r>
        <w:rPr>
          <w:spacing w:val="-11"/>
        </w:rPr>
        <w:t xml:space="preserve"> </w:t>
      </w:r>
      <w:r>
        <w:t>parliamentary</w:t>
      </w:r>
      <w:r>
        <w:rPr>
          <w:spacing w:val="-15"/>
        </w:rPr>
        <w:t xml:space="preserve"> </w:t>
      </w:r>
      <w:r>
        <w:t>elections</w:t>
      </w:r>
      <w:r>
        <w:rPr>
          <w:spacing w:val="-10"/>
        </w:rPr>
        <w:t xml:space="preserve"> </w:t>
      </w:r>
      <w:r>
        <w:t>held</w:t>
      </w:r>
      <w:r>
        <w:rPr>
          <w:spacing w:val="-9"/>
        </w:rPr>
        <w:t xml:space="preserve"> </w:t>
      </w:r>
      <w:r>
        <w:t>in</w:t>
      </w:r>
      <w:r>
        <w:rPr>
          <w:spacing w:val="-7"/>
        </w:rPr>
        <w:t xml:space="preserve"> </w:t>
      </w:r>
      <w:r>
        <w:t>July</w:t>
      </w:r>
      <w:r>
        <w:rPr>
          <w:spacing w:val="-17"/>
        </w:rPr>
        <w:t xml:space="preserve"> </w:t>
      </w:r>
      <w:r>
        <w:t>2020</w:t>
      </w:r>
      <w:r>
        <w:rPr>
          <w:spacing w:val="-10"/>
        </w:rPr>
        <w:t xml:space="preserve"> </w:t>
      </w:r>
      <w:r>
        <w:t>improved</w:t>
      </w:r>
      <w:r>
        <w:rPr>
          <w:spacing w:val="-57"/>
        </w:rPr>
        <w:t xml:space="preserve"> </w:t>
      </w:r>
      <w:r>
        <w:t>the share of women in the Croatian Parliament. The total number of female representatives at</w:t>
      </w:r>
      <w:r>
        <w:rPr>
          <w:spacing w:val="1"/>
        </w:rPr>
        <w:t xml:space="preserve"> </w:t>
      </w:r>
      <w:r>
        <w:t>the</w:t>
      </w:r>
      <w:r>
        <w:rPr>
          <w:spacing w:val="-4"/>
        </w:rPr>
        <w:t xml:space="preserve"> </w:t>
      </w:r>
      <w:r>
        <w:t>10th</w:t>
      </w:r>
      <w:r>
        <w:rPr>
          <w:spacing w:val="-2"/>
        </w:rPr>
        <w:t xml:space="preserve"> </w:t>
      </w:r>
      <w:r>
        <w:t>convening</w:t>
      </w:r>
      <w:r>
        <w:rPr>
          <w:spacing w:val="-2"/>
        </w:rPr>
        <w:t xml:space="preserve"> </w:t>
      </w:r>
      <w:r>
        <w:t>of</w:t>
      </w:r>
      <w:r>
        <w:rPr>
          <w:spacing w:val="-5"/>
        </w:rPr>
        <w:t xml:space="preserve"> </w:t>
      </w:r>
      <w:r>
        <w:t>the</w:t>
      </w:r>
      <w:r>
        <w:rPr>
          <w:spacing w:val="-2"/>
        </w:rPr>
        <w:t xml:space="preserve"> </w:t>
      </w:r>
      <w:r>
        <w:t>Croatian</w:t>
      </w:r>
      <w:r>
        <w:rPr>
          <w:spacing w:val="-3"/>
        </w:rPr>
        <w:t xml:space="preserve"> </w:t>
      </w:r>
      <w:r>
        <w:t>Parliament</w:t>
      </w:r>
      <w:r>
        <w:rPr>
          <w:spacing w:val="-3"/>
        </w:rPr>
        <w:t xml:space="preserve"> </w:t>
      </w:r>
      <w:r>
        <w:t>is</w:t>
      </w:r>
      <w:r>
        <w:rPr>
          <w:spacing w:val="-2"/>
        </w:rPr>
        <w:t xml:space="preserve"> </w:t>
      </w:r>
      <w:r>
        <w:t>30.4%,</w:t>
      </w:r>
      <w:r>
        <w:rPr>
          <w:spacing w:val="-3"/>
        </w:rPr>
        <w:t xml:space="preserve"> </w:t>
      </w:r>
      <w:r>
        <w:t>a</w:t>
      </w:r>
      <w:r>
        <w:rPr>
          <w:spacing w:val="-4"/>
        </w:rPr>
        <w:t xml:space="preserve"> </w:t>
      </w:r>
      <w:r>
        <w:t>significant</w:t>
      </w:r>
      <w:r>
        <w:rPr>
          <w:spacing w:val="-3"/>
        </w:rPr>
        <w:t xml:space="preserve"> </w:t>
      </w:r>
      <w:r>
        <w:t>increase</w:t>
      </w:r>
      <w:r>
        <w:rPr>
          <w:spacing w:val="-4"/>
        </w:rPr>
        <w:t xml:space="preserve"> </w:t>
      </w:r>
      <w:r>
        <w:t>compared</w:t>
      </w:r>
      <w:r>
        <w:rPr>
          <w:spacing w:val="-3"/>
        </w:rPr>
        <w:t xml:space="preserve"> </w:t>
      </w:r>
      <w:r>
        <w:t>to</w:t>
      </w:r>
      <w:r>
        <w:rPr>
          <w:spacing w:val="-1"/>
        </w:rPr>
        <w:t xml:space="preserve"> </w:t>
      </w:r>
      <w:r>
        <w:t>the</w:t>
      </w:r>
      <w:r>
        <w:rPr>
          <w:spacing w:val="-57"/>
        </w:rPr>
        <w:t xml:space="preserve"> </w:t>
      </w:r>
      <w:r>
        <w:t>end</w:t>
      </w:r>
      <w:r>
        <w:rPr>
          <w:spacing w:val="-1"/>
        </w:rPr>
        <w:t xml:space="preserve"> </w:t>
      </w:r>
      <w:r>
        <w:t>of the</w:t>
      </w:r>
      <w:r>
        <w:rPr>
          <w:spacing w:val="-2"/>
        </w:rPr>
        <w:t xml:space="preserve"> </w:t>
      </w:r>
      <w:r>
        <w:t>9th convening when</w:t>
      </w:r>
      <w:r>
        <w:rPr>
          <w:spacing w:val="-1"/>
        </w:rPr>
        <w:t xml:space="preserve"> </w:t>
      </w:r>
      <w:r>
        <w:t>the share</w:t>
      </w:r>
      <w:r>
        <w:rPr>
          <w:spacing w:val="-1"/>
        </w:rPr>
        <w:t xml:space="preserve"> </w:t>
      </w:r>
      <w:r>
        <w:t>of female</w:t>
      </w:r>
      <w:r>
        <w:rPr>
          <w:spacing w:val="1"/>
        </w:rPr>
        <w:t xml:space="preserve"> </w:t>
      </w:r>
      <w:r>
        <w:t>deputies</w:t>
      </w:r>
      <w:r>
        <w:rPr>
          <w:spacing w:val="-1"/>
        </w:rPr>
        <w:t xml:space="preserve"> </w:t>
      </w:r>
      <w:r>
        <w:t>was 19.2%.</w:t>
      </w:r>
    </w:p>
    <w:p w:rsidR="00A56FE9" w:rsidRDefault="00000000">
      <w:pPr>
        <w:pStyle w:val="Tijeloteksta"/>
        <w:spacing w:before="121"/>
        <w:ind w:right="279"/>
      </w:pPr>
      <w:r>
        <w:t>According to the Central Bureau of Statistics, the share of women among senior civil servants</w:t>
      </w:r>
      <w:r>
        <w:rPr>
          <w:spacing w:val="-57"/>
        </w:rPr>
        <w:t xml:space="preserve"> </w:t>
      </w:r>
      <w:r>
        <w:t>and</w:t>
      </w:r>
      <w:r>
        <w:rPr>
          <w:spacing w:val="-1"/>
        </w:rPr>
        <w:t xml:space="preserve"> </w:t>
      </w:r>
      <w:r>
        <w:t>officials in 2018</w:t>
      </w:r>
      <w:r>
        <w:rPr>
          <w:spacing w:val="-1"/>
        </w:rPr>
        <w:t xml:space="preserve"> </w:t>
      </w:r>
      <w:r>
        <w:t>was</w:t>
      </w:r>
      <w:r>
        <w:rPr>
          <w:spacing w:val="2"/>
        </w:rPr>
        <w:t xml:space="preserve"> </w:t>
      </w:r>
      <w:r>
        <w:t>26.5%, while the</w:t>
      </w:r>
      <w:r>
        <w:rPr>
          <w:spacing w:val="-2"/>
        </w:rPr>
        <w:t xml:space="preserve"> </w:t>
      </w:r>
      <w:r>
        <w:t>share</w:t>
      </w:r>
      <w:r>
        <w:rPr>
          <w:spacing w:val="-1"/>
        </w:rPr>
        <w:t xml:space="preserve"> </w:t>
      </w:r>
      <w:r>
        <w:t>of ambassadors</w:t>
      </w:r>
      <w:r>
        <w:rPr>
          <w:spacing w:val="-1"/>
        </w:rPr>
        <w:t xml:space="preserve"> </w:t>
      </w:r>
      <w:r>
        <w:t>is currently</w:t>
      </w:r>
      <w:r>
        <w:rPr>
          <w:spacing w:val="-3"/>
        </w:rPr>
        <w:t xml:space="preserve"> </w:t>
      </w:r>
      <w:r>
        <w:t>27.9%.</w:t>
      </w:r>
    </w:p>
    <w:p w:rsidR="00A56FE9" w:rsidRDefault="00000000">
      <w:pPr>
        <w:pStyle w:val="Tijeloteksta"/>
        <w:spacing w:before="120"/>
        <w:ind w:right="274"/>
      </w:pPr>
      <w:r>
        <w:t>Women's</w:t>
      </w:r>
      <w:r>
        <w:rPr>
          <w:spacing w:val="1"/>
        </w:rPr>
        <w:t xml:space="preserve"> </w:t>
      </w:r>
      <w:r>
        <w:t>participation</w:t>
      </w:r>
      <w:r>
        <w:rPr>
          <w:spacing w:val="1"/>
        </w:rPr>
        <w:t xml:space="preserve"> </w:t>
      </w:r>
      <w:r>
        <w:t>in</w:t>
      </w:r>
      <w:r>
        <w:rPr>
          <w:spacing w:val="1"/>
        </w:rPr>
        <w:t xml:space="preserve"> </w:t>
      </w:r>
      <w:r>
        <w:t>representative</w:t>
      </w:r>
      <w:r>
        <w:rPr>
          <w:spacing w:val="1"/>
        </w:rPr>
        <w:t xml:space="preserve"> </w:t>
      </w:r>
      <w:r>
        <w:t>and</w:t>
      </w:r>
      <w:r>
        <w:rPr>
          <w:spacing w:val="1"/>
        </w:rPr>
        <w:t xml:space="preserve"> </w:t>
      </w:r>
      <w:r>
        <w:t>executive</w:t>
      </w:r>
      <w:r>
        <w:rPr>
          <w:spacing w:val="1"/>
        </w:rPr>
        <w:t xml:space="preserve"> </w:t>
      </w:r>
      <w:r>
        <w:t>power</w:t>
      </w:r>
      <w:r>
        <w:rPr>
          <w:spacing w:val="1"/>
        </w:rPr>
        <w:t xml:space="preserve"> </w:t>
      </w:r>
      <w:r>
        <w:t>at</w:t>
      </w:r>
      <w:r>
        <w:rPr>
          <w:spacing w:val="1"/>
        </w:rPr>
        <w:t xml:space="preserve"> </w:t>
      </w:r>
      <w:r>
        <w:t>the</w:t>
      </w:r>
      <w:r>
        <w:rPr>
          <w:spacing w:val="1"/>
        </w:rPr>
        <w:t xml:space="preserve"> </w:t>
      </w:r>
      <w:r>
        <w:t>local</w:t>
      </w:r>
      <w:r>
        <w:rPr>
          <w:spacing w:val="1"/>
        </w:rPr>
        <w:t xml:space="preserve"> </w:t>
      </w:r>
      <w:r>
        <w:t>level</w:t>
      </w:r>
      <w:r>
        <w:rPr>
          <w:spacing w:val="1"/>
        </w:rPr>
        <w:t xml:space="preserve"> </w:t>
      </w:r>
      <w:r>
        <w:t>remains</w:t>
      </w:r>
      <w:r>
        <w:rPr>
          <w:spacing w:val="1"/>
        </w:rPr>
        <w:t xml:space="preserve"> </w:t>
      </w:r>
      <w:r>
        <w:t>relatively low, although a shift is visible when compared to previous local elections. For</w:t>
      </w:r>
      <w:r>
        <w:rPr>
          <w:spacing w:val="1"/>
        </w:rPr>
        <w:t xml:space="preserve"> </w:t>
      </w:r>
      <w:r>
        <w:t>example, compared to 2017, the number of city and female municipal councillors increased</w:t>
      </w:r>
      <w:r>
        <w:rPr>
          <w:spacing w:val="1"/>
        </w:rPr>
        <w:t xml:space="preserve"> </w:t>
      </w:r>
      <w:r>
        <w:t>from</w:t>
      </w:r>
      <w:r>
        <w:rPr>
          <w:spacing w:val="-1"/>
        </w:rPr>
        <w:t xml:space="preserve"> </w:t>
      </w:r>
      <w:r>
        <w:t>25.2% to 28.2%, and female</w:t>
      </w:r>
      <w:r>
        <w:rPr>
          <w:spacing w:val="-1"/>
        </w:rPr>
        <w:t xml:space="preserve"> </w:t>
      </w:r>
      <w:r>
        <w:t>county</w:t>
      </w:r>
      <w:r>
        <w:rPr>
          <w:spacing w:val="-3"/>
        </w:rPr>
        <w:t xml:space="preserve"> </w:t>
      </w:r>
      <w:r>
        <w:t>councillors from 26.8%</w:t>
      </w:r>
      <w:r>
        <w:rPr>
          <w:spacing w:val="-1"/>
        </w:rPr>
        <w:t xml:space="preserve"> </w:t>
      </w:r>
      <w:r>
        <w:t>to 30.2%.</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684608"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2100258992"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11543" id="Rectangle 55" o:spid="_x0000_s1026" style="position:absolute;margin-left:69.5pt;margin-top:9.8pt;width:45.25pt;height:1.45pt;z-index:-15631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3"/>
      </w:pPr>
      <w:r>
        <w:t>During the use of parental benefits (parental leave, parental leave and parental care), parents</w:t>
      </w:r>
      <w:r>
        <w:rPr>
          <w:spacing w:val="1"/>
        </w:rPr>
        <w:t xml:space="preserve"> </w:t>
      </w:r>
      <w:r>
        <w:t>should</w:t>
      </w:r>
      <w:r>
        <w:rPr>
          <w:spacing w:val="-6"/>
        </w:rPr>
        <w:t xml:space="preserve"> </w:t>
      </w:r>
      <w:r>
        <w:t>be</w:t>
      </w:r>
      <w:r>
        <w:rPr>
          <w:spacing w:val="-6"/>
        </w:rPr>
        <w:t xml:space="preserve"> </w:t>
      </w:r>
      <w:r>
        <w:t>provided</w:t>
      </w:r>
      <w:r>
        <w:rPr>
          <w:spacing w:val="-5"/>
        </w:rPr>
        <w:t xml:space="preserve"> </w:t>
      </w:r>
      <w:r>
        <w:t>with</w:t>
      </w:r>
      <w:r>
        <w:rPr>
          <w:spacing w:val="-4"/>
        </w:rPr>
        <w:t xml:space="preserve"> </w:t>
      </w:r>
      <w:r>
        <w:t>ensured</w:t>
      </w:r>
      <w:r>
        <w:rPr>
          <w:spacing w:val="-6"/>
        </w:rPr>
        <w:t xml:space="preserve"> </w:t>
      </w:r>
      <w:r>
        <w:t>social</w:t>
      </w:r>
      <w:r>
        <w:rPr>
          <w:spacing w:val="-5"/>
        </w:rPr>
        <w:t xml:space="preserve"> </w:t>
      </w:r>
      <w:r>
        <w:t>security</w:t>
      </w:r>
      <w:r>
        <w:rPr>
          <w:spacing w:val="-12"/>
        </w:rPr>
        <w:t xml:space="preserve"> </w:t>
      </w:r>
      <w:r>
        <w:t>in</w:t>
      </w:r>
      <w:r>
        <w:rPr>
          <w:spacing w:val="-3"/>
        </w:rPr>
        <w:t xml:space="preserve"> </w:t>
      </w:r>
      <w:r>
        <w:t>the</w:t>
      </w:r>
      <w:r>
        <w:rPr>
          <w:spacing w:val="-7"/>
        </w:rPr>
        <w:t xml:space="preserve"> </w:t>
      </w:r>
      <w:r>
        <w:t>form</w:t>
      </w:r>
      <w:r>
        <w:rPr>
          <w:spacing w:val="-5"/>
        </w:rPr>
        <w:t xml:space="preserve"> </w:t>
      </w:r>
      <w:r>
        <w:t>of</w:t>
      </w:r>
      <w:r>
        <w:rPr>
          <w:spacing w:val="-5"/>
        </w:rPr>
        <w:t xml:space="preserve"> </w:t>
      </w:r>
      <w:r>
        <w:t>appropriate</w:t>
      </w:r>
      <w:r>
        <w:rPr>
          <w:spacing w:val="-6"/>
        </w:rPr>
        <w:t xml:space="preserve"> </w:t>
      </w:r>
      <w:r>
        <w:t>salary</w:t>
      </w:r>
      <w:r>
        <w:rPr>
          <w:spacing w:val="-11"/>
        </w:rPr>
        <w:t xml:space="preserve"> </w:t>
      </w:r>
      <w:r>
        <w:t>compensation</w:t>
      </w:r>
      <w:r>
        <w:rPr>
          <w:spacing w:val="-57"/>
        </w:rPr>
        <w:t xml:space="preserve"> </w:t>
      </w:r>
      <w:r>
        <w:t>or monetary benefits, and in addition to generous benefits, importance is also placed on the</w:t>
      </w:r>
      <w:r>
        <w:rPr>
          <w:spacing w:val="1"/>
        </w:rPr>
        <w:t xml:space="preserve"> </w:t>
      </w:r>
      <w:r>
        <w:t>impact</w:t>
      </w:r>
      <w:r>
        <w:rPr>
          <w:spacing w:val="-7"/>
        </w:rPr>
        <w:t xml:space="preserve"> </w:t>
      </w:r>
      <w:r>
        <w:t>of</w:t>
      </w:r>
      <w:r>
        <w:rPr>
          <w:spacing w:val="-7"/>
        </w:rPr>
        <w:t xml:space="preserve"> </w:t>
      </w:r>
      <w:r>
        <w:t>the</w:t>
      </w:r>
      <w:r>
        <w:rPr>
          <w:spacing w:val="-7"/>
        </w:rPr>
        <w:t xml:space="preserve"> </w:t>
      </w:r>
      <w:r>
        <w:t>leave</w:t>
      </w:r>
      <w:r>
        <w:rPr>
          <w:spacing w:val="-7"/>
        </w:rPr>
        <w:t xml:space="preserve"> </w:t>
      </w:r>
      <w:r>
        <w:t>duration</w:t>
      </w:r>
      <w:r>
        <w:rPr>
          <w:spacing w:val="-6"/>
        </w:rPr>
        <w:t xml:space="preserve"> </w:t>
      </w:r>
      <w:r>
        <w:t>and</w:t>
      </w:r>
      <w:r>
        <w:rPr>
          <w:spacing w:val="-6"/>
        </w:rPr>
        <w:t xml:space="preserve"> </w:t>
      </w:r>
      <w:r>
        <w:t>flexible</w:t>
      </w:r>
      <w:r>
        <w:rPr>
          <w:spacing w:val="-7"/>
        </w:rPr>
        <w:t xml:space="preserve"> </w:t>
      </w:r>
      <w:r>
        <w:t>opportunities,</w:t>
      </w:r>
      <w:r>
        <w:rPr>
          <w:spacing w:val="-7"/>
        </w:rPr>
        <w:t xml:space="preserve"> </w:t>
      </w:r>
      <w:r>
        <w:t>giving</w:t>
      </w:r>
      <w:r>
        <w:rPr>
          <w:spacing w:val="-8"/>
        </w:rPr>
        <w:t xml:space="preserve"> </w:t>
      </w:r>
      <w:r>
        <w:t>parents</w:t>
      </w:r>
      <w:r>
        <w:rPr>
          <w:spacing w:val="-6"/>
        </w:rPr>
        <w:t xml:space="preserve"> </w:t>
      </w:r>
      <w:r>
        <w:t>adequate</w:t>
      </w:r>
      <w:r>
        <w:rPr>
          <w:spacing w:val="-7"/>
        </w:rPr>
        <w:t xml:space="preserve"> </w:t>
      </w:r>
      <w:r>
        <w:t>time</w:t>
      </w:r>
      <w:r>
        <w:rPr>
          <w:spacing w:val="-7"/>
        </w:rPr>
        <w:t xml:space="preserve"> </w:t>
      </w:r>
      <w:r>
        <w:t>to</w:t>
      </w:r>
      <w:r>
        <w:rPr>
          <w:spacing w:val="-7"/>
        </w:rPr>
        <w:t xml:space="preserve"> </w:t>
      </w:r>
      <w:r>
        <w:t>care</w:t>
      </w:r>
      <w:r>
        <w:rPr>
          <w:spacing w:val="-8"/>
        </w:rPr>
        <w:t xml:space="preserve"> </w:t>
      </w:r>
      <w:r>
        <w:t>for</w:t>
      </w:r>
      <w:r>
        <w:rPr>
          <w:spacing w:val="-58"/>
        </w:rPr>
        <w:t xml:space="preserve"> </w:t>
      </w:r>
      <w:r>
        <w:t>their</w:t>
      </w:r>
      <w:r>
        <w:rPr>
          <w:spacing w:val="-2"/>
        </w:rPr>
        <w:t xml:space="preserve"> </w:t>
      </w:r>
      <w:r>
        <w:t>child after birth and</w:t>
      </w:r>
      <w:r>
        <w:rPr>
          <w:spacing w:val="2"/>
        </w:rPr>
        <w:t xml:space="preserve"> </w:t>
      </w:r>
      <w:r>
        <w:t>during</w:t>
      </w:r>
      <w:r>
        <w:rPr>
          <w:spacing w:val="-2"/>
        </w:rPr>
        <w:t xml:space="preserve"> </w:t>
      </w:r>
      <w:r>
        <w:t>the</w:t>
      </w:r>
      <w:r>
        <w:rPr>
          <w:spacing w:val="1"/>
        </w:rPr>
        <w:t xml:space="preserve"> </w:t>
      </w:r>
      <w:r>
        <w:t>child’s</w:t>
      </w:r>
      <w:r>
        <w:rPr>
          <w:spacing w:val="-2"/>
        </w:rPr>
        <w:t xml:space="preserve"> </w:t>
      </w:r>
      <w:r>
        <w:t>earliest</w:t>
      </w:r>
      <w:r>
        <w:rPr>
          <w:spacing w:val="1"/>
        </w:rPr>
        <w:t xml:space="preserve"> </w:t>
      </w:r>
      <w:r>
        <w:t>age.</w:t>
      </w:r>
    </w:p>
    <w:p w:rsidR="00A56FE9" w:rsidRDefault="00000000">
      <w:pPr>
        <w:pStyle w:val="Tijeloteksta"/>
        <w:spacing w:before="121"/>
        <w:ind w:right="273"/>
      </w:pPr>
      <w:r>
        <w:t>In the recent times, legislation in this area has been improved, with amendments to the</w:t>
      </w:r>
      <w:r>
        <w:rPr>
          <w:spacing w:val="1"/>
        </w:rPr>
        <w:t xml:space="preserve"> </w:t>
      </w:r>
      <w:r>
        <w:t>Maternity and Parental Benefits Act of 2017 and 2020, leading to an increase in the maximum</w:t>
      </w:r>
      <w:r>
        <w:rPr>
          <w:spacing w:val="-57"/>
        </w:rPr>
        <w:t xml:space="preserve"> </w:t>
      </w:r>
      <w:r>
        <w:t>amount of salary compensation for employed and self-employed parents during parental leave</w:t>
      </w:r>
      <w:r>
        <w:rPr>
          <w:spacing w:val="-57"/>
        </w:rPr>
        <w:t xml:space="preserve"> </w:t>
      </w:r>
      <w:r>
        <w:t>and monetary benefits for certain groups of beneficiaries within the system of maternity and</w:t>
      </w:r>
      <w:r>
        <w:rPr>
          <w:spacing w:val="1"/>
        </w:rPr>
        <w:t xml:space="preserve"> </w:t>
      </w:r>
      <w:r>
        <w:t>parental benefits. Legislative changes concerning the associated benefits have endeavoured to</w:t>
      </w:r>
      <w:r>
        <w:rPr>
          <w:spacing w:val="1"/>
        </w:rPr>
        <w:t xml:space="preserve"> </w:t>
      </w:r>
      <w:r>
        <w:t>have a positive impact on maintaining and strengthening the material standard and quality of</w:t>
      </w:r>
      <w:r>
        <w:rPr>
          <w:spacing w:val="1"/>
        </w:rPr>
        <w:t xml:space="preserve"> </w:t>
      </w:r>
      <w:r>
        <w:t>life</w:t>
      </w:r>
      <w:r>
        <w:rPr>
          <w:spacing w:val="-3"/>
        </w:rPr>
        <w:t xml:space="preserve"> </w:t>
      </w:r>
      <w:r>
        <w:t>for</w:t>
      </w:r>
      <w:r>
        <w:rPr>
          <w:spacing w:val="-2"/>
        </w:rPr>
        <w:t xml:space="preserve"> </w:t>
      </w:r>
      <w:r>
        <w:t>families, making</w:t>
      </w:r>
      <w:r>
        <w:rPr>
          <w:spacing w:val="-2"/>
        </w:rPr>
        <w:t xml:space="preserve"> </w:t>
      </w:r>
      <w:r>
        <w:t>it</w:t>
      </w:r>
      <w:r>
        <w:rPr>
          <w:spacing w:val="1"/>
        </w:rPr>
        <w:t xml:space="preserve"> </w:t>
      </w:r>
      <w:r>
        <w:t>easier</w:t>
      </w:r>
      <w:r>
        <w:rPr>
          <w:spacing w:val="-1"/>
        </w:rPr>
        <w:t xml:space="preserve"> </w:t>
      </w:r>
      <w:r>
        <w:t>to decide on parenthood and expanding</w:t>
      </w:r>
      <w:r>
        <w:rPr>
          <w:spacing w:val="-3"/>
        </w:rPr>
        <w:t xml:space="preserve"> </w:t>
      </w:r>
      <w:r>
        <w:t>the</w:t>
      </w:r>
      <w:r>
        <w:rPr>
          <w:spacing w:val="-1"/>
        </w:rPr>
        <w:t xml:space="preserve"> </w:t>
      </w:r>
      <w:r>
        <w:t>family.</w:t>
      </w:r>
    </w:p>
    <w:p w:rsidR="00A56FE9" w:rsidRDefault="00000000">
      <w:pPr>
        <w:pStyle w:val="Tijeloteksta"/>
        <w:spacing w:before="120"/>
        <w:jc w:val="left"/>
      </w:pPr>
      <w:r>
        <w:t>2017:</w:t>
      </w:r>
    </w:p>
    <w:p w:rsidR="00A56FE9" w:rsidRDefault="00000000">
      <w:pPr>
        <w:pStyle w:val="Odlomakpopisa"/>
        <w:numPr>
          <w:ilvl w:val="1"/>
          <w:numId w:val="5"/>
        </w:numPr>
        <w:tabs>
          <w:tab w:val="left" w:pos="859"/>
        </w:tabs>
        <w:spacing w:before="120"/>
        <w:ind w:right="277"/>
        <w:jc w:val="both"/>
        <w:rPr>
          <w:sz w:val="24"/>
        </w:rPr>
      </w:pPr>
      <w:r>
        <w:rPr>
          <w:sz w:val="24"/>
        </w:rPr>
        <w:t>An increase of the maximum</w:t>
      </w:r>
      <w:r>
        <w:rPr>
          <w:spacing w:val="1"/>
          <w:sz w:val="24"/>
        </w:rPr>
        <w:t xml:space="preserve"> </w:t>
      </w:r>
      <w:r>
        <w:rPr>
          <w:sz w:val="24"/>
        </w:rPr>
        <w:t>salary compensation</w:t>
      </w:r>
      <w:r>
        <w:rPr>
          <w:spacing w:val="1"/>
          <w:sz w:val="24"/>
        </w:rPr>
        <w:t xml:space="preserve"> </w:t>
      </w:r>
      <w:r>
        <w:rPr>
          <w:sz w:val="24"/>
        </w:rPr>
        <w:t>paid</w:t>
      </w:r>
      <w:r>
        <w:rPr>
          <w:spacing w:val="1"/>
          <w:sz w:val="24"/>
        </w:rPr>
        <w:t xml:space="preserve"> </w:t>
      </w:r>
      <w:r>
        <w:rPr>
          <w:sz w:val="24"/>
        </w:rPr>
        <w:t>during</w:t>
      </w:r>
      <w:r>
        <w:rPr>
          <w:spacing w:val="1"/>
          <w:sz w:val="24"/>
        </w:rPr>
        <w:t xml:space="preserve"> </w:t>
      </w:r>
      <w:r>
        <w:rPr>
          <w:sz w:val="24"/>
        </w:rPr>
        <w:t>parental</w:t>
      </w:r>
      <w:r>
        <w:rPr>
          <w:spacing w:val="1"/>
          <w:sz w:val="24"/>
        </w:rPr>
        <w:t xml:space="preserve"> </w:t>
      </w:r>
      <w:r>
        <w:rPr>
          <w:sz w:val="24"/>
        </w:rPr>
        <w:t>leave</w:t>
      </w:r>
      <w:r>
        <w:rPr>
          <w:spacing w:val="1"/>
          <w:sz w:val="24"/>
        </w:rPr>
        <w:t xml:space="preserve"> </w:t>
      </w:r>
      <w:r>
        <w:rPr>
          <w:sz w:val="24"/>
        </w:rPr>
        <w:t>for</w:t>
      </w:r>
      <w:r>
        <w:rPr>
          <w:spacing w:val="1"/>
          <w:sz w:val="24"/>
        </w:rPr>
        <w:t xml:space="preserve"> </w:t>
      </w:r>
      <w:r>
        <w:rPr>
          <w:sz w:val="24"/>
        </w:rPr>
        <w:t>employed</w:t>
      </w:r>
      <w:r>
        <w:rPr>
          <w:spacing w:val="1"/>
          <w:sz w:val="24"/>
        </w:rPr>
        <w:t xml:space="preserve"> </w:t>
      </w:r>
      <w:r>
        <w:rPr>
          <w:sz w:val="24"/>
        </w:rPr>
        <w:t>parents,</w:t>
      </w:r>
      <w:r>
        <w:rPr>
          <w:spacing w:val="1"/>
          <w:sz w:val="24"/>
        </w:rPr>
        <w:t xml:space="preserve"> </w:t>
      </w:r>
      <w:r>
        <w:rPr>
          <w:sz w:val="24"/>
        </w:rPr>
        <w:t>increasing</w:t>
      </w:r>
      <w:r>
        <w:rPr>
          <w:spacing w:val="1"/>
          <w:sz w:val="24"/>
        </w:rPr>
        <w:t xml:space="preserve"> </w:t>
      </w:r>
      <w:r>
        <w:rPr>
          <w:sz w:val="24"/>
        </w:rPr>
        <w:t>from</w:t>
      </w:r>
      <w:r>
        <w:rPr>
          <w:spacing w:val="1"/>
          <w:sz w:val="24"/>
        </w:rPr>
        <w:t xml:space="preserve"> </w:t>
      </w:r>
      <w:r>
        <w:rPr>
          <w:sz w:val="24"/>
        </w:rPr>
        <w:t>the</w:t>
      </w:r>
      <w:r>
        <w:rPr>
          <w:spacing w:val="1"/>
          <w:sz w:val="24"/>
        </w:rPr>
        <w:t xml:space="preserve"> </w:t>
      </w:r>
      <w:r>
        <w:rPr>
          <w:sz w:val="24"/>
        </w:rPr>
        <w:t>previous</w:t>
      </w:r>
      <w:r>
        <w:rPr>
          <w:spacing w:val="1"/>
          <w:sz w:val="24"/>
        </w:rPr>
        <w:t xml:space="preserve"> </w:t>
      </w:r>
      <w:r>
        <w:rPr>
          <w:sz w:val="24"/>
        </w:rPr>
        <w:t>limit</w:t>
      </w:r>
      <w:r>
        <w:rPr>
          <w:spacing w:val="1"/>
          <w:sz w:val="24"/>
        </w:rPr>
        <w:t xml:space="preserve"> </w:t>
      </w:r>
      <w:r>
        <w:rPr>
          <w:sz w:val="24"/>
        </w:rPr>
        <w:t>of</w:t>
      </w:r>
      <w:r>
        <w:rPr>
          <w:spacing w:val="1"/>
          <w:sz w:val="24"/>
        </w:rPr>
        <w:t xml:space="preserve"> </w:t>
      </w:r>
      <w:r>
        <w:rPr>
          <w:sz w:val="24"/>
        </w:rPr>
        <w:t>HRK</w:t>
      </w:r>
      <w:r>
        <w:rPr>
          <w:spacing w:val="1"/>
          <w:sz w:val="24"/>
        </w:rPr>
        <w:t xml:space="preserve"> </w:t>
      </w:r>
      <w:r>
        <w:rPr>
          <w:sz w:val="24"/>
        </w:rPr>
        <w:t>2,660.80</w:t>
      </w:r>
      <w:r>
        <w:rPr>
          <w:spacing w:val="1"/>
          <w:sz w:val="24"/>
        </w:rPr>
        <w:t xml:space="preserve"> </w:t>
      </w:r>
      <w:r>
        <w:rPr>
          <w:sz w:val="24"/>
        </w:rPr>
        <w:t>to</w:t>
      </w:r>
      <w:r>
        <w:rPr>
          <w:spacing w:val="1"/>
          <w:sz w:val="24"/>
        </w:rPr>
        <w:t xml:space="preserve"> </w:t>
      </w:r>
      <w:r>
        <w:rPr>
          <w:sz w:val="24"/>
        </w:rPr>
        <w:t>HRK</w:t>
      </w:r>
      <w:r>
        <w:rPr>
          <w:spacing w:val="1"/>
          <w:sz w:val="24"/>
        </w:rPr>
        <w:t xml:space="preserve"> </w:t>
      </w:r>
      <w:r>
        <w:rPr>
          <w:sz w:val="24"/>
        </w:rPr>
        <w:t>3,991.20,</w:t>
      </w:r>
    </w:p>
    <w:p w:rsidR="00A56FE9" w:rsidRDefault="00A56FE9">
      <w:pPr>
        <w:jc w:val="both"/>
        <w:rPr>
          <w:sz w:val="24"/>
        </w:rPr>
        <w:sectPr w:rsidR="00A56FE9" w:rsidSect="00AB1E70">
          <w:pgSz w:w="11910" w:h="16840"/>
          <w:pgMar w:top="1320" w:right="1140" w:bottom="960" w:left="1280" w:header="0" w:footer="779" w:gutter="0"/>
          <w:cols w:space="720"/>
        </w:sectPr>
      </w:pPr>
    </w:p>
    <w:p w:rsidR="00A56FE9" w:rsidRDefault="00000000">
      <w:pPr>
        <w:pStyle w:val="Odlomakpopisa"/>
        <w:numPr>
          <w:ilvl w:val="1"/>
          <w:numId w:val="5"/>
        </w:numPr>
        <w:tabs>
          <w:tab w:val="left" w:pos="859"/>
        </w:tabs>
        <w:spacing w:before="74"/>
        <w:ind w:right="276"/>
        <w:jc w:val="both"/>
        <w:rPr>
          <w:sz w:val="24"/>
        </w:rPr>
      </w:pPr>
      <w:r>
        <w:rPr>
          <w:sz w:val="24"/>
        </w:rPr>
        <w:t>An</w:t>
      </w:r>
      <w:r>
        <w:rPr>
          <w:spacing w:val="-2"/>
          <w:sz w:val="24"/>
        </w:rPr>
        <w:t xml:space="preserve"> </w:t>
      </w:r>
      <w:r>
        <w:rPr>
          <w:sz w:val="24"/>
        </w:rPr>
        <w:t>increase</w:t>
      </w:r>
      <w:r>
        <w:rPr>
          <w:spacing w:val="-2"/>
          <w:sz w:val="24"/>
        </w:rPr>
        <w:t xml:space="preserve"> </w:t>
      </w:r>
      <w:r>
        <w:rPr>
          <w:sz w:val="24"/>
        </w:rPr>
        <w:t>in salary</w:t>
      </w:r>
      <w:r>
        <w:rPr>
          <w:spacing w:val="-6"/>
          <w:sz w:val="24"/>
        </w:rPr>
        <w:t xml:space="preserve"> </w:t>
      </w:r>
      <w:r>
        <w:rPr>
          <w:sz w:val="24"/>
        </w:rPr>
        <w:t>compensation</w:t>
      </w:r>
      <w:r>
        <w:rPr>
          <w:spacing w:val="1"/>
          <w:sz w:val="24"/>
        </w:rPr>
        <w:t xml:space="preserve"> </w:t>
      </w:r>
      <w:r>
        <w:rPr>
          <w:sz w:val="24"/>
        </w:rPr>
        <w:t>for</w:t>
      </w:r>
      <w:r>
        <w:rPr>
          <w:spacing w:val="-3"/>
          <w:sz w:val="24"/>
        </w:rPr>
        <w:t xml:space="preserve"> </w:t>
      </w:r>
      <w:r>
        <w:rPr>
          <w:sz w:val="24"/>
        </w:rPr>
        <w:t>parents who</w:t>
      </w:r>
      <w:r>
        <w:rPr>
          <w:spacing w:val="-1"/>
          <w:sz w:val="24"/>
        </w:rPr>
        <w:t xml:space="preserve"> </w:t>
      </w:r>
      <w:r>
        <w:rPr>
          <w:sz w:val="24"/>
        </w:rPr>
        <w:t>use</w:t>
      </w:r>
      <w:r>
        <w:rPr>
          <w:spacing w:val="-2"/>
          <w:sz w:val="24"/>
        </w:rPr>
        <w:t xml:space="preserve"> </w:t>
      </w:r>
      <w:r>
        <w:rPr>
          <w:sz w:val="24"/>
        </w:rPr>
        <w:t>their</w:t>
      </w:r>
      <w:r>
        <w:rPr>
          <w:spacing w:val="-1"/>
          <w:sz w:val="24"/>
        </w:rPr>
        <w:t xml:space="preserve"> </w:t>
      </w:r>
      <w:r>
        <w:rPr>
          <w:sz w:val="24"/>
        </w:rPr>
        <w:t>right</w:t>
      </w:r>
      <w:r>
        <w:rPr>
          <w:spacing w:val="-1"/>
          <w:sz w:val="24"/>
        </w:rPr>
        <w:t xml:space="preserve"> </w:t>
      </w:r>
      <w:r>
        <w:rPr>
          <w:sz w:val="24"/>
        </w:rPr>
        <w:t>to parental</w:t>
      </w:r>
      <w:r>
        <w:rPr>
          <w:spacing w:val="-1"/>
          <w:sz w:val="24"/>
        </w:rPr>
        <w:t xml:space="preserve"> </w:t>
      </w:r>
      <w:r>
        <w:rPr>
          <w:sz w:val="24"/>
        </w:rPr>
        <w:t>leave</w:t>
      </w:r>
      <w:r>
        <w:rPr>
          <w:spacing w:val="-2"/>
          <w:sz w:val="24"/>
        </w:rPr>
        <w:t xml:space="preserve"> </w:t>
      </w:r>
      <w:r>
        <w:rPr>
          <w:sz w:val="24"/>
        </w:rPr>
        <w:t>for</w:t>
      </w:r>
      <w:r>
        <w:rPr>
          <w:spacing w:val="-57"/>
          <w:sz w:val="24"/>
        </w:rPr>
        <w:t xml:space="preserve"> </w:t>
      </w:r>
      <w:r>
        <w:rPr>
          <w:sz w:val="24"/>
        </w:rPr>
        <w:t>twins, their third and each subsequent child, up to the third year of the child's life,</w:t>
      </w:r>
      <w:r>
        <w:rPr>
          <w:spacing w:val="1"/>
          <w:sz w:val="24"/>
        </w:rPr>
        <w:t xml:space="preserve"> </w:t>
      </w:r>
      <w:r>
        <w:rPr>
          <w:sz w:val="24"/>
        </w:rPr>
        <w:t>increasing</w:t>
      </w:r>
      <w:r>
        <w:rPr>
          <w:spacing w:val="-4"/>
          <w:sz w:val="24"/>
        </w:rPr>
        <w:t xml:space="preserve"> </w:t>
      </w:r>
      <w:r>
        <w:rPr>
          <w:sz w:val="24"/>
        </w:rPr>
        <w:t>from HRK 1,663.00 to HRK</w:t>
      </w:r>
      <w:r>
        <w:rPr>
          <w:spacing w:val="1"/>
          <w:sz w:val="24"/>
        </w:rPr>
        <w:t xml:space="preserve"> </w:t>
      </w:r>
      <w:r>
        <w:rPr>
          <w:sz w:val="24"/>
        </w:rPr>
        <w:t>2,328.20,</w:t>
      </w:r>
    </w:p>
    <w:p w:rsidR="00A56FE9" w:rsidRDefault="00000000">
      <w:pPr>
        <w:pStyle w:val="Odlomakpopisa"/>
        <w:numPr>
          <w:ilvl w:val="1"/>
          <w:numId w:val="5"/>
        </w:numPr>
        <w:tabs>
          <w:tab w:val="left" w:pos="859"/>
        </w:tabs>
        <w:spacing w:before="1"/>
        <w:ind w:right="273"/>
        <w:jc w:val="both"/>
        <w:rPr>
          <w:sz w:val="24"/>
        </w:rPr>
      </w:pPr>
      <w:r>
        <w:rPr>
          <w:sz w:val="24"/>
        </w:rPr>
        <w:t>An</w:t>
      </w:r>
      <w:r>
        <w:rPr>
          <w:spacing w:val="-9"/>
          <w:sz w:val="24"/>
        </w:rPr>
        <w:t xml:space="preserve"> </w:t>
      </w:r>
      <w:r>
        <w:rPr>
          <w:sz w:val="24"/>
        </w:rPr>
        <w:t>increase</w:t>
      </w:r>
      <w:r>
        <w:rPr>
          <w:spacing w:val="-7"/>
          <w:sz w:val="24"/>
        </w:rPr>
        <w:t xml:space="preserve"> </w:t>
      </w:r>
      <w:r>
        <w:rPr>
          <w:sz w:val="24"/>
        </w:rPr>
        <w:t>in</w:t>
      </w:r>
      <w:r>
        <w:rPr>
          <w:spacing w:val="-8"/>
          <w:sz w:val="24"/>
        </w:rPr>
        <w:t xml:space="preserve"> </w:t>
      </w:r>
      <w:r>
        <w:rPr>
          <w:sz w:val="24"/>
        </w:rPr>
        <w:t>financial</w:t>
      </w:r>
      <w:r>
        <w:rPr>
          <w:spacing w:val="-8"/>
          <w:sz w:val="24"/>
        </w:rPr>
        <w:t xml:space="preserve"> </w:t>
      </w:r>
      <w:r>
        <w:rPr>
          <w:sz w:val="24"/>
        </w:rPr>
        <w:t>support</w:t>
      </w:r>
      <w:r>
        <w:rPr>
          <w:spacing w:val="-8"/>
          <w:sz w:val="24"/>
        </w:rPr>
        <w:t xml:space="preserve"> </w:t>
      </w:r>
      <w:r>
        <w:rPr>
          <w:sz w:val="24"/>
        </w:rPr>
        <w:t>for</w:t>
      </w:r>
      <w:r>
        <w:rPr>
          <w:spacing w:val="-8"/>
          <w:sz w:val="24"/>
        </w:rPr>
        <w:t xml:space="preserve"> </w:t>
      </w:r>
      <w:r>
        <w:rPr>
          <w:sz w:val="24"/>
        </w:rPr>
        <w:t>employed</w:t>
      </w:r>
      <w:r>
        <w:rPr>
          <w:spacing w:val="-6"/>
          <w:sz w:val="24"/>
        </w:rPr>
        <w:t xml:space="preserve"> </w:t>
      </w:r>
      <w:r>
        <w:rPr>
          <w:sz w:val="24"/>
        </w:rPr>
        <w:t>and</w:t>
      </w:r>
      <w:r>
        <w:rPr>
          <w:spacing w:val="-5"/>
          <w:sz w:val="24"/>
        </w:rPr>
        <w:t xml:space="preserve"> </w:t>
      </w:r>
      <w:r>
        <w:rPr>
          <w:sz w:val="24"/>
        </w:rPr>
        <w:t>self-employed</w:t>
      </w:r>
      <w:r>
        <w:rPr>
          <w:spacing w:val="-7"/>
          <w:sz w:val="24"/>
        </w:rPr>
        <w:t xml:space="preserve"> </w:t>
      </w:r>
      <w:r>
        <w:rPr>
          <w:sz w:val="24"/>
        </w:rPr>
        <w:t>parents</w:t>
      </w:r>
      <w:r>
        <w:rPr>
          <w:spacing w:val="-8"/>
          <w:sz w:val="24"/>
        </w:rPr>
        <w:t xml:space="preserve"> </w:t>
      </w:r>
      <w:r>
        <w:rPr>
          <w:sz w:val="24"/>
        </w:rPr>
        <w:t>who</w:t>
      </w:r>
      <w:r>
        <w:rPr>
          <w:spacing w:val="-9"/>
          <w:sz w:val="24"/>
        </w:rPr>
        <w:t xml:space="preserve"> </w:t>
      </w:r>
      <w:r>
        <w:rPr>
          <w:sz w:val="24"/>
        </w:rPr>
        <w:t>use</w:t>
      </w:r>
      <w:r>
        <w:rPr>
          <w:spacing w:val="-8"/>
          <w:sz w:val="24"/>
        </w:rPr>
        <w:t xml:space="preserve"> </w:t>
      </w:r>
      <w:r>
        <w:rPr>
          <w:sz w:val="24"/>
        </w:rPr>
        <w:t>leave</w:t>
      </w:r>
      <w:r>
        <w:rPr>
          <w:spacing w:val="-58"/>
          <w:sz w:val="24"/>
        </w:rPr>
        <w:t xml:space="preserve"> </w:t>
      </w:r>
      <w:r>
        <w:rPr>
          <w:sz w:val="24"/>
        </w:rPr>
        <w:t>to care for a child with severe disabilities, increasing from HRK 2,161.90 to HRK</w:t>
      </w:r>
      <w:r>
        <w:rPr>
          <w:spacing w:val="1"/>
          <w:sz w:val="24"/>
        </w:rPr>
        <w:t xml:space="preserve"> </w:t>
      </w:r>
      <w:r>
        <w:rPr>
          <w:sz w:val="24"/>
        </w:rPr>
        <w:t>2,328.20</w:t>
      </w:r>
      <w:r>
        <w:rPr>
          <w:spacing w:val="-11"/>
          <w:sz w:val="24"/>
        </w:rPr>
        <w:t xml:space="preserve"> </w:t>
      </w:r>
      <w:r>
        <w:rPr>
          <w:sz w:val="24"/>
        </w:rPr>
        <w:t>and</w:t>
      </w:r>
      <w:r>
        <w:rPr>
          <w:spacing w:val="-10"/>
          <w:sz w:val="24"/>
        </w:rPr>
        <w:t xml:space="preserve"> </w:t>
      </w:r>
      <w:r>
        <w:rPr>
          <w:sz w:val="24"/>
        </w:rPr>
        <w:t>for</w:t>
      </w:r>
      <w:r>
        <w:rPr>
          <w:spacing w:val="-13"/>
          <w:sz w:val="24"/>
        </w:rPr>
        <w:t xml:space="preserve"> </w:t>
      </w:r>
      <w:r>
        <w:rPr>
          <w:sz w:val="24"/>
        </w:rPr>
        <w:t>half</w:t>
      </w:r>
      <w:r>
        <w:rPr>
          <w:spacing w:val="-10"/>
          <w:sz w:val="24"/>
        </w:rPr>
        <w:t xml:space="preserve"> </w:t>
      </w:r>
      <w:r>
        <w:rPr>
          <w:sz w:val="24"/>
        </w:rPr>
        <w:t>full-time</w:t>
      </w:r>
      <w:r>
        <w:rPr>
          <w:spacing w:val="-11"/>
          <w:sz w:val="24"/>
        </w:rPr>
        <w:t xml:space="preserve"> </w:t>
      </w:r>
      <w:r>
        <w:rPr>
          <w:sz w:val="24"/>
        </w:rPr>
        <w:t>work</w:t>
      </w:r>
      <w:r>
        <w:rPr>
          <w:spacing w:val="-11"/>
          <w:sz w:val="24"/>
        </w:rPr>
        <w:t xml:space="preserve"> </w:t>
      </w:r>
      <w:r>
        <w:rPr>
          <w:sz w:val="24"/>
        </w:rPr>
        <w:t>for</w:t>
      </w:r>
      <w:r>
        <w:rPr>
          <w:spacing w:val="-9"/>
          <w:sz w:val="24"/>
        </w:rPr>
        <w:t xml:space="preserve"> </w:t>
      </w:r>
      <w:r>
        <w:rPr>
          <w:sz w:val="24"/>
        </w:rPr>
        <w:t>enhanced</w:t>
      </w:r>
      <w:r>
        <w:rPr>
          <w:spacing w:val="-10"/>
          <w:sz w:val="24"/>
        </w:rPr>
        <w:t xml:space="preserve"> </w:t>
      </w:r>
      <w:r>
        <w:rPr>
          <w:sz w:val="24"/>
        </w:rPr>
        <w:t>child</w:t>
      </w:r>
      <w:r>
        <w:rPr>
          <w:spacing w:val="-11"/>
          <w:sz w:val="24"/>
        </w:rPr>
        <w:t xml:space="preserve"> </w:t>
      </w:r>
      <w:r>
        <w:rPr>
          <w:sz w:val="24"/>
        </w:rPr>
        <w:t>care</w:t>
      </w:r>
      <w:r>
        <w:rPr>
          <w:spacing w:val="-9"/>
          <w:sz w:val="24"/>
        </w:rPr>
        <w:t xml:space="preserve"> </w:t>
      </w:r>
      <w:r>
        <w:rPr>
          <w:sz w:val="24"/>
        </w:rPr>
        <w:t>and</w:t>
      </w:r>
      <w:r>
        <w:rPr>
          <w:spacing w:val="-11"/>
          <w:sz w:val="24"/>
        </w:rPr>
        <w:t xml:space="preserve"> </w:t>
      </w:r>
      <w:r>
        <w:rPr>
          <w:sz w:val="24"/>
        </w:rPr>
        <w:t>other</w:t>
      </w:r>
      <w:r>
        <w:rPr>
          <w:spacing w:val="-9"/>
          <w:sz w:val="24"/>
        </w:rPr>
        <w:t xml:space="preserve"> </w:t>
      </w:r>
      <w:r>
        <w:rPr>
          <w:sz w:val="24"/>
        </w:rPr>
        <w:t>rights</w:t>
      </w:r>
      <w:r>
        <w:rPr>
          <w:spacing w:val="-6"/>
          <w:sz w:val="24"/>
        </w:rPr>
        <w:t xml:space="preserve"> </w:t>
      </w:r>
      <w:r>
        <w:rPr>
          <w:sz w:val="24"/>
        </w:rPr>
        <w:t>concerning</w:t>
      </w:r>
      <w:r>
        <w:rPr>
          <w:spacing w:val="-58"/>
          <w:sz w:val="24"/>
        </w:rPr>
        <w:t xml:space="preserve"> </w:t>
      </w:r>
      <w:r>
        <w:rPr>
          <w:sz w:val="24"/>
        </w:rPr>
        <w:t>groups</w:t>
      </w:r>
      <w:r>
        <w:rPr>
          <w:spacing w:val="-1"/>
          <w:sz w:val="24"/>
        </w:rPr>
        <w:t xml:space="preserve"> </w:t>
      </w:r>
      <w:r>
        <w:rPr>
          <w:sz w:val="24"/>
        </w:rPr>
        <w:t>of beneficiaries,</w:t>
      </w:r>
    </w:p>
    <w:p w:rsidR="00A56FE9" w:rsidRDefault="00000000">
      <w:pPr>
        <w:pStyle w:val="Odlomakpopisa"/>
        <w:numPr>
          <w:ilvl w:val="1"/>
          <w:numId w:val="5"/>
        </w:numPr>
        <w:tabs>
          <w:tab w:val="left" w:pos="859"/>
        </w:tabs>
        <w:ind w:right="274"/>
        <w:jc w:val="both"/>
        <w:rPr>
          <w:sz w:val="24"/>
        </w:rPr>
      </w:pPr>
      <w:r>
        <w:rPr>
          <w:sz w:val="24"/>
        </w:rPr>
        <w:t>An increase in the amount of financial compensation for unemployed parents and</w:t>
      </w:r>
      <w:r>
        <w:rPr>
          <w:spacing w:val="1"/>
          <w:sz w:val="24"/>
        </w:rPr>
        <w:t xml:space="preserve"> </w:t>
      </w:r>
      <w:r>
        <w:rPr>
          <w:sz w:val="24"/>
        </w:rPr>
        <w:t>employed parents who do not meet the legally prescribed condition of employment</w:t>
      </w:r>
      <w:r>
        <w:rPr>
          <w:spacing w:val="1"/>
          <w:sz w:val="24"/>
        </w:rPr>
        <w:t xml:space="preserve"> </w:t>
      </w:r>
      <w:r>
        <w:rPr>
          <w:sz w:val="24"/>
        </w:rPr>
        <w:t>insurance period (12 months continuously and 18 months intermittently), increasing</w:t>
      </w:r>
      <w:r>
        <w:rPr>
          <w:spacing w:val="1"/>
          <w:sz w:val="24"/>
        </w:rPr>
        <w:t xml:space="preserve"> </w:t>
      </w:r>
      <w:r>
        <w:rPr>
          <w:sz w:val="24"/>
        </w:rPr>
        <w:t>from</w:t>
      </w:r>
      <w:r>
        <w:rPr>
          <w:spacing w:val="-1"/>
          <w:sz w:val="24"/>
        </w:rPr>
        <w:t xml:space="preserve"> </w:t>
      </w:r>
      <w:r>
        <w:rPr>
          <w:sz w:val="24"/>
        </w:rPr>
        <w:t>HRK 1,663.00 to HRK 2,328.20.</w:t>
      </w:r>
    </w:p>
    <w:p w:rsidR="00A56FE9" w:rsidRDefault="00000000">
      <w:pPr>
        <w:pStyle w:val="Tijeloteksta"/>
        <w:spacing w:before="120"/>
      </w:pPr>
      <w:r>
        <w:t>2020 :</w:t>
      </w:r>
    </w:p>
    <w:p w:rsidR="00A56FE9" w:rsidRDefault="00000000">
      <w:pPr>
        <w:pStyle w:val="Odlomakpopisa"/>
        <w:numPr>
          <w:ilvl w:val="1"/>
          <w:numId w:val="5"/>
        </w:numPr>
        <w:tabs>
          <w:tab w:val="left" w:pos="859"/>
        </w:tabs>
        <w:spacing w:before="120"/>
        <w:ind w:right="274"/>
        <w:jc w:val="both"/>
        <w:rPr>
          <w:sz w:val="24"/>
        </w:rPr>
      </w:pPr>
      <w:r>
        <w:rPr>
          <w:sz w:val="24"/>
        </w:rPr>
        <w:t>The maximum salary compensation paid during the use of parental leave for employed</w:t>
      </w:r>
      <w:r>
        <w:rPr>
          <w:spacing w:val="-57"/>
          <w:sz w:val="24"/>
        </w:rPr>
        <w:t xml:space="preserve"> </w:t>
      </w:r>
      <w:r>
        <w:rPr>
          <w:sz w:val="24"/>
        </w:rPr>
        <w:t>and self-employed parents has been increased from 120% of the budgeted base amount</w:t>
      </w:r>
      <w:r>
        <w:rPr>
          <w:spacing w:val="-58"/>
          <w:sz w:val="24"/>
        </w:rPr>
        <w:t xml:space="preserve"> </w:t>
      </w:r>
      <w:r>
        <w:rPr>
          <w:sz w:val="24"/>
        </w:rPr>
        <w:t>per month (previous limit HRK 3,991.20) to 170% of the budgeted base amount (HRK</w:t>
      </w:r>
      <w:r>
        <w:rPr>
          <w:spacing w:val="-57"/>
          <w:sz w:val="24"/>
        </w:rPr>
        <w:t xml:space="preserve"> </w:t>
      </w:r>
      <w:r>
        <w:rPr>
          <w:sz w:val="24"/>
        </w:rPr>
        <w:t>5,654.20),</w:t>
      </w:r>
    </w:p>
    <w:p w:rsidR="00A56FE9" w:rsidRDefault="00000000">
      <w:pPr>
        <w:pStyle w:val="Odlomakpopisa"/>
        <w:numPr>
          <w:ilvl w:val="1"/>
          <w:numId w:val="5"/>
        </w:numPr>
        <w:tabs>
          <w:tab w:val="left" w:pos="859"/>
        </w:tabs>
        <w:ind w:right="278"/>
        <w:jc w:val="both"/>
        <w:rPr>
          <w:sz w:val="24"/>
        </w:rPr>
      </w:pPr>
      <w:r>
        <w:rPr>
          <w:sz w:val="24"/>
        </w:rPr>
        <w:t>An</w:t>
      </w:r>
      <w:r>
        <w:rPr>
          <w:spacing w:val="-4"/>
          <w:sz w:val="24"/>
        </w:rPr>
        <w:t xml:space="preserve"> </w:t>
      </w:r>
      <w:r>
        <w:rPr>
          <w:sz w:val="24"/>
        </w:rPr>
        <w:t>increase</w:t>
      </w:r>
      <w:r>
        <w:rPr>
          <w:spacing w:val="-3"/>
          <w:sz w:val="24"/>
        </w:rPr>
        <w:t xml:space="preserve"> </w:t>
      </w:r>
      <w:r>
        <w:rPr>
          <w:sz w:val="24"/>
        </w:rPr>
        <w:t>in</w:t>
      </w:r>
      <w:r>
        <w:rPr>
          <w:spacing w:val="-2"/>
          <w:sz w:val="24"/>
        </w:rPr>
        <w:t xml:space="preserve"> </w:t>
      </w:r>
      <w:r>
        <w:rPr>
          <w:sz w:val="24"/>
        </w:rPr>
        <w:t>the</w:t>
      </w:r>
      <w:r>
        <w:rPr>
          <w:spacing w:val="-4"/>
          <w:sz w:val="24"/>
        </w:rPr>
        <w:t xml:space="preserve"> </w:t>
      </w:r>
      <w:r>
        <w:rPr>
          <w:sz w:val="24"/>
        </w:rPr>
        <w:t>maximum</w:t>
      </w:r>
      <w:r>
        <w:rPr>
          <w:spacing w:val="-2"/>
          <w:sz w:val="24"/>
        </w:rPr>
        <w:t xml:space="preserve"> </w:t>
      </w:r>
      <w:r>
        <w:rPr>
          <w:sz w:val="24"/>
        </w:rPr>
        <w:t>salary</w:t>
      </w:r>
      <w:r>
        <w:rPr>
          <w:spacing w:val="-8"/>
          <w:sz w:val="24"/>
        </w:rPr>
        <w:t xml:space="preserve"> </w:t>
      </w:r>
      <w:r>
        <w:rPr>
          <w:sz w:val="24"/>
        </w:rPr>
        <w:t>compensation when exercising</w:t>
      </w:r>
      <w:r>
        <w:rPr>
          <w:spacing w:val="-5"/>
          <w:sz w:val="24"/>
        </w:rPr>
        <w:t xml:space="preserve"> </w:t>
      </w:r>
      <w:r>
        <w:rPr>
          <w:sz w:val="24"/>
        </w:rPr>
        <w:t>the</w:t>
      </w:r>
      <w:r>
        <w:rPr>
          <w:spacing w:val="-4"/>
          <w:sz w:val="24"/>
        </w:rPr>
        <w:t xml:space="preserve"> </w:t>
      </w:r>
      <w:r>
        <w:rPr>
          <w:sz w:val="24"/>
        </w:rPr>
        <w:t>right</w:t>
      </w:r>
      <w:r>
        <w:rPr>
          <w:spacing w:val="-3"/>
          <w:sz w:val="24"/>
        </w:rPr>
        <w:t xml:space="preserve"> </w:t>
      </w:r>
      <w:r>
        <w:rPr>
          <w:sz w:val="24"/>
        </w:rPr>
        <w:t>to</w:t>
      </w:r>
      <w:r>
        <w:rPr>
          <w:spacing w:val="-2"/>
          <w:sz w:val="24"/>
        </w:rPr>
        <w:t xml:space="preserve"> </w:t>
      </w:r>
      <w:r>
        <w:rPr>
          <w:sz w:val="24"/>
        </w:rPr>
        <w:t>parental</w:t>
      </w:r>
      <w:r>
        <w:rPr>
          <w:spacing w:val="-57"/>
          <w:sz w:val="24"/>
        </w:rPr>
        <w:t xml:space="preserve"> </w:t>
      </w:r>
      <w:r>
        <w:rPr>
          <w:sz w:val="24"/>
        </w:rPr>
        <w:t>leave</w:t>
      </w:r>
      <w:r>
        <w:rPr>
          <w:spacing w:val="-2"/>
          <w:sz w:val="24"/>
        </w:rPr>
        <w:t xml:space="preserve"> </w:t>
      </w:r>
      <w:r>
        <w:rPr>
          <w:sz w:val="24"/>
        </w:rPr>
        <w:t>in the</w:t>
      </w:r>
      <w:r>
        <w:rPr>
          <w:spacing w:val="-2"/>
          <w:sz w:val="24"/>
        </w:rPr>
        <w:t xml:space="preserve"> </w:t>
      </w:r>
      <w:r>
        <w:rPr>
          <w:sz w:val="24"/>
        </w:rPr>
        <w:t>event</w:t>
      </w:r>
      <w:r>
        <w:rPr>
          <w:spacing w:val="-1"/>
          <w:sz w:val="24"/>
        </w:rPr>
        <w:t xml:space="preserve"> </w:t>
      </w:r>
      <w:r>
        <w:rPr>
          <w:sz w:val="24"/>
        </w:rPr>
        <w:t>of the death of</w:t>
      </w:r>
      <w:r>
        <w:rPr>
          <w:spacing w:val="-1"/>
          <w:sz w:val="24"/>
        </w:rPr>
        <w:t xml:space="preserve"> </w:t>
      </w:r>
      <w:r>
        <w:rPr>
          <w:sz w:val="24"/>
        </w:rPr>
        <w:t>the child</w:t>
      </w:r>
      <w:r>
        <w:rPr>
          <w:spacing w:val="-1"/>
          <w:sz w:val="24"/>
        </w:rPr>
        <w:t xml:space="preserve"> </w:t>
      </w:r>
      <w:r>
        <w:rPr>
          <w:sz w:val="24"/>
        </w:rPr>
        <w:t>of</w:t>
      </w:r>
      <w:r>
        <w:rPr>
          <w:spacing w:val="1"/>
          <w:sz w:val="24"/>
        </w:rPr>
        <w:t xml:space="preserve"> </w:t>
      </w:r>
      <w:r>
        <w:rPr>
          <w:sz w:val="24"/>
        </w:rPr>
        <w:t>an</w:t>
      </w:r>
      <w:r>
        <w:rPr>
          <w:spacing w:val="-1"/>
          <w:sz w:val="24"/>
        </w:rPr>
        <w:t xml:space="preserve"> </w:t>
      </w:r>
      <w:r>
        <w:rPr>
          <w:sz w:val="24"/>
        </w:rPr>
        <w:t>employed or</w:t>
      </w:r>
      <w:r>
        <w:rPr>
          <w:spacing w:val="-1"/>
          <w:sz w:val="24"/>
        </w:rPr>
        <w:t xml:space="preserve"> </w:t>
      </w:r>
      <w:r>
        <w:rPr>
          <w:sz w:val="24"/>
        </w:rPr>
        <w:t>self-employed mother,</w:t>
      </w:r>
    </w:p>
    <w:p w:rsidR="00A56FE9" w:rsidRDefault="00000000">
      <w:pPr>
        <w:pStyle w:val="Odlomakpopisa"/>
        <w:numPr>
          <w:ilvl w:val="1"/>
          <w:numId w:val="5"/>
        </w:numPr>
        <w:tabs>
          <w:tab w:val="left" w:pos="859"/>
        </w:tabs>
        <w:ind w:right="278"/>
        <w:jc w:val="both"/>
        <w:rPr>
          <w:sz w:val="24"/>
        </w:rPr>
      </w:pPr>
      <w:r>
        <w:rPr>
          <w:sz w:val="24"/>
        </w:rPr>
        <w:t>The duration of the previous insurance of an employed or self-employed parent as a</w:t>
      </w:r>
      <w:r>
        <w:rPr>
          <w:spacing w:val="1"/>
          <w:sz w:val="24"/>
        </w:rPr>
        <w:t xml:space="preserve"> </w:t>
      </w:r>
      <w:r>
        <w:rPr>
          <w:spacing w:val="-1"/>
          <w:sz w:val="24"/>
        </w:rPr>
        <w:t>condition</w:t>
      </w:r>
      <w:r>
        <w:rPr>
          <w:spacing w:val="-14"/>
          <w:sz w:val="24"/>
        </w:rPr>
        <w:t xml:space="preserve"> </w:t>
      </w:r>
      <w:r>
        <w:rPr>
          <w:sz w:val="24"/>
        </w:rPr>
        <w:t>for</w:t>
      </w:r>
      <w:r>
        <w:rPr>
          <w:spacing w:val="-16"/>
          <w:sz w:val="24"/>
        </w:rPr>
        <w:t xml:space="preserve"> </w:t>
      </w:r>
      <w:r>
        <w:rPr>
          <w:sz w:val="24"/>
        </w:rPr>
        <w:t>exercising</w:t>
      </w:r>
      <w:r>
        <w:rPr>
          <w:spacing w:val="-17"/>
          <w:sz w:val="24"/>
        </w:rPr>
        <w:t xml:space="preserve"> </w:t>
      </w:r>
      <w:r>
        <w:rPr>
          <w:sz w:val="24"/>
        </w:rPr>
        <w:t>the</w:t>
      </w:r>
      <w:r>
        <w:rPr>
          <w:spacing w:val="-16"/>
          <w:sz w:val="24"/>
        </w:rPr>
        <w:t xml:space="preserve"> </w:t>
      </w:r>
      <w:r>
        <w:rPr>
          <w:sz w:val="24"/>
        </w:rPr>
        <w:t>right</w:t>
      </w:r>
      <w:r>
        <w:rPr>
          <w:spacing w:val="-14"/>
          <w:sz w:val="24"/>
        </w:rPr>
        <w:t xml:space="preserve"> </w:t>
      </w:r>
      <w:r>
        <w:rPr>
          <w:sz w:val="24"/>
        </w:rPr>
        <w:t>has</w:t>
      </w:r>
      <w:r>
        <w:rPr>
          <w:spacing w:val="-15"/>
          <w:sz w:val="24"/>
        </w:rPr>
        <w:t xml:space="preserve"> </w:t>
      </w:r>
      <w:r>
        <w:rPr>
          <w:sz w:val="24"/>
        </w:rPr>
        <w:t>been</w:t>
      </w:r>
      <w:r>
        <w:rPr>
          <w:spacing w:val="-12"/>
          <w:sz w:val="24"/>
        </w:rPr>
        <w:t xml:space="preserve"> </w:t>
      </w:r>
      <w:r>
        <w:rPr>
          <w:sz w:val="24"/>
        </w:rPr>
        <w:t>changed</w:t>
      </w:r>
      <w:r>
        <w:rPr>
          <w:spacing w:val="-12"/>
          <w:sz w:val="24"/>
        </w:rPr>
        <w:t xml:space="preserve"> </w:t>
      </w:r>
      <w:r>
        <w:rPr>
          <w:sz w:val="24"/>
        </w:rPr>
        <w:t>such</w:t>
      </w:r>
      <w:r>
        <w:rPr>
          <w:spacing w:val="-15"/>
          <w:sz w:val="24"/>
        </w:rPr>
        <w:t xml:space="preserve"> </w:t>
      </w:r>
      <w:r>
        <w:rPr>
          <w:sz w:val="24"/>
        </w:rPr>
        <w:t>that</w:t>
      </w:r>
      <w:r>
        <w:rPr>
          <w:spacing w:val="-15"/>
          <w:sz w:val="24"/>
        </w:rPr>
        <w:t xml:space="preserve"> </w:t>
      </w:r>
      <w:r>
        <w:rPr>
          <w:sz w:val="24"/>
        </w:rPr>
        <w:t>the</w:t>
      </w:r>
      <w:r>
        <w:rPr>
          <w:spacing w:val="-15"/>
          <w:sz w:val="24"/>
        </w:rPr>
        <w:t xml:space="preserve"> </w:t>
      </w:r>
      <w:r>
        <w:rPr>
          <w:sz w:val="24"/>
        </w:rPr>
        <w:t>duration</w:t>
      </w:r>
      <w:r>
        <w:rPr>
          <w:spacing w:val="-15"/>
          <w:sz w:val="24"/>
        </w:rPr>
        <w:t xml:space="preserve"> </w:t>
      </w:r>
      <w:r>
        <w:rPr>
          <w:sz w:val="24"/>
        </w:rPr>
        <w:t>of</w:t>
      </w:r>
      <w:r>
        <w:rPr>
          <w:spacing w:val="-16"/>
          <w:sz w:val="24"/>
        </w:rPr>
        <w:t xml:space="preserve"> </w:t>
      </w:r>
      <w:r>
        <w:rPr>
          <w:sz w:val="24"/>
        </w:rPr>
        <w:t>the</w:t>
      </w:r>
      <w:r>
        <w:rPr>
          <w:spacing w:val="-16"/>
          <w:sz w:val="24"/>
        </w:rPr>
        <w:t xml:space="preserve"> </w:t>
      </w:r>
      <w:r>
        <w:rPr>
          <w:sz w:val="24"/>
        </w:rPr>
        <w:t>previous</w:t>
      </w:r>
      <w:r>
        <w:rPr>
          <w:spacing w:val="-57"/>
          <w:sz w:val="24"/>
        </w:rPr>
        <w:t xml:space="preserve"> </w:t>
      </w:r>
      <w:r>
        <w:rPr>
          <w:sz w:val="24"/>
        </w:rPr>
        <w:t>insurance</w:t>
      </w:r>
      <w:r>
        <w:rPr>
          <w:spacing w:val="-2"/>
          <w:sz w:val="24"/>
        </w:rPr>
        <w:t xml:space="preserve"> </w:t>
      </w:r>
      <w:r>
        <w:rPr>
          <w:sz w:val="24"/>
        </w:rPr>
        <w:t>has been</w:t>
      </w:r>
      <w:r>
        <w:rPr>
          <w:spacing w:val="2"/>
          <w:sz w:val="24"/>
        </w:rPr>
        <w:t xml:space="preserve"> </w:t>
      </w:r>
      <w:r>
        <w:rPr>
          <w:sz w:val="24"/>
        </w:rPr>
        <w:t>reduced</w:t>
      </w:r>
      <w:r>
        <w:rPr>
          <w:spacing w:val="-1"/>
          <w:sz w:val="24"/>
        </w:rPr>
        <w:t xml:space="preserve"> </w:t>
      </w:r>
      <w:r>
        <w:rPr>
          <w:sz w:val="24"/>
        </w:rPr>
        <w:t>be</w:t>
      </w:r>
      <w:r>
        <w:rPr>
          <w:spacing w:val="-1"/>
          <w:sz w:val="24"/>
        </w:rPr>
        <w:t xml:space="preserve"> </w:t>
      </w:r>
      <w:r>
        <w:rPr>
          <w:sz w:val="24"/>
        </w:rPr>
        <w:t>more favourable for</w:t>
      </w:r>
      <w:r>
        <w:rPr>
          <w:spacing w:val="-1"/>
          <w:sz w:val="24"/>
        </w:rPr>
        <w:t xml:space="preserve"> </w:t>
      </w:r>
      <w:r>
        <w:rPr>
          <w:sz w:val="24"/>
        </w:rPr>
        <w:t>the</w:t>
      </w:r>
      <w:r>
        <w:rPr>
          <w:spacing w:val="-2"/>
          <w:sz w:val="24"/>
        </w:rPr>
        <w:t xml:space="preserve"> </w:t>
      </w:r>
      <w:r>
        <w:rPr>
          <w:sz w:val="24"/>
        </w:rPr>
        <w:t>beneficiaries.</w:t>
      </w:r>
    </w:p>
    <w:p w:rsidR="00A56FE9" w:rsidRDefault="00A56FE9">
      <w:pPr>
        <w:pStyle w:val="Tijeloteksta"/>
        <w:spacing w:before="4"/>
        <w:ind w:left="0"/>
        <w:jc w:val="left"/>
        <w:rPr>
          <w:sz w:val="31"/>
        </w:rPr>
      </w:pPr>
    </w:p>
    <w:p w:rsidR="00A56FE9" w:rsidRDefault="00000000">
      <w:pPr>
        <w:ind w:left="138" w:right="271"/>
        <w:jc w:val="both"/>
        <w:rPr>
          <w:b/>
          <w:sz w:val="24"/>
        </w:rPr>
      </w:pPr>
      <w:r>
        <w:rPr>
          <w:sz w:val="24"/>
        </w:rPr>
        <w:t>The proposed normative solution in terms of the new Maternity and Parental Allowances Act</w:t>
      </w:r>
      <w:r>
        <w:rPr>
          <w:spacing w:val="1"/>
          <w:sz w:val="24"/>
        </w:rPr>
        <w:t xml:space="preserve"> </w:t>
      </w:r>
      <w:r>
        <w:rPr>
          <w:spacing w:val="-1"/>
          <w:sz w:val="24"/>
        </w:rPr>
        <w:t>will</w:t>
      </w:r>
      <w:r>
        <w:rPr>
          <w:spacing w:val="-14"/>
          <w:sz w:val="24"/>
        </w:rPr>
        <w:t xml:space="preserve"> </w:t>
      </w:r>
      <w:r>
        <w:rPr>
          <w:sz w:val="24"/>
        </w:rPr>
        <w:t>define</w:t>
      </w:r>
      <w:r>
        <w:rPr>
          <w:spacing w:val="-16"/>
          <w:sz w:val="24"/>
        </w:rPr>
        <w:t xml:space="preserve"> </w:t>
      </w:r>
      <w:r>
        <w:rPr>
          <w:sz w:val="24"/>
        </w:rPr>
        <w:t>the</w:t>
      </w:r>
      <w:r>
        <w:rPr>
          <w:spacing w:val="-15"/>
          <w:sz w:val="24"/>
        </w:rPr>
        <w:t xml:space="preserve"> </w:t>
      </w:r>
      <w:r>
        <w:rPr>
          <w:sz w:val="24"/>
        </w:rPr>
        <w:t>legal</w:t>
      </w:r>
      <w:r>
        <w:rPr>
          <w:spacing w:val="-14"/>
          <w:sz w:val="24"/>
        </w:rPr>
        <w:t xml:space="preserve"> </w:t>
      </w:r>
      <w:r>
        <w:rPr>
          <w:sz w:val="24"/>
        </w:rPr>
        <w:t>preconditions</w:t>
      </w:r>
      <w:r>
        <w:rPr>
          <w:spacing w:val="-13"/>
          <w:sz w:val="24"/>
        </w:rPr>
        <w:t xml:space="preserve"> </w:t>
      </w:r>
      <w:r>
        <w:rPr>
          <w:sz w:val="24"/>
        </w:rPr>
        <w:t>for</w:t>
      </w:r>
      <w:r>
        <w:rPr>
          <w:spacing w:val="-16"/>
          <w:sz w:val="24"/>
        </w:rPr>
        <w:t xml:space="preserve"> </w:t>
      </w:r>
      <w:r>
        <w:rPr>
          <w:sz w:val="24"/>
        </w:rPr>
        <w:t>increasing</w:t>
      </w:r>
      <w:r>
        <w:rPr>
          <w:spacing w:val="-17"/>
          <w:sz w:val="24"/>
        </w:rPr>
        <w:t xml:space="preserve"> </w:t>
      </w:r>
      <w:r>
        <w:rPr>
          <w:sz w:val="24"/>
        </w:rPr>
        <w:t>the</w:t>
      </w:r>
      <w:r>
        <w:rPr>
          <w:spacing w:val="-16"/>
          <w:sz w:val="24"/>
        </w:rPr>
        <w:t xml:space="preserve"> </w:t>
      </w:r>
      <w:r>
        <w:rPr>
          <w:sz w:val="24"/>
        </w:rPr>
        <w:t>maximum</w:t>
      </w:r>
      <w:r>
        <w:rPr>
          <w:spacing w:val="-13"/>
          <w:sz w:val="24"/>
        </w:rPr>
        <w:t xml:space="preserve"> </w:t>
      </w:r>
      <w:r>
        <w:rPr>
          <w:sz w:val="24"/>
        </w:rPr>
        <w:t>salary</w:t>
      </w:r>
      <w:r>
        <w:rPr>
          <w:spacing w:val="-17"/>
          <w:sz w:val="24"/>
        </w:rPr>
        <w:t xml:space="preserve"> </w:t>
      </w:r>
      <w:r>
        <w:rPr>
          <w:sz w:val="24"/>
        </w:rPr>
        <w:t>compensation</w:t>
      </w:r>
      <w:r>
        <w:rPr>
          <w:spacing w:val="-15"/>
          <w:sz w:val="24"/>
        </w:rPr>
        <w:t xml:space="preserve"> </w:t>
      </w:r>
      <w:r>
        <w:rPr>
          <w:sz w:val="24"/>
        </w:rPr>
        <w:t>paid</w:t>
      </w:r>
      <w:r>
        <w:rPr>
          <w:spacing w:val="-14"/>
          <w:sz w:val="24"/>
        </w:rPr>
        <w:t xml:space="preserve"> </w:t>
      </w:r>
      <w:r>
        <w:rPr>
          <w:sz w:val="24"/>
        </w:rPr>
        <w:t>during</w:t>
      </w:r>
      <w:r>
        <w:rPr>
          <w:spacing w:val="-57"/>
          <w:sz w:val="24"/>
        </w:rPr>
        <w:t xml:space="preserve"> </w:t>
      </w:r>
      <w:r>
        <w:rPr>
          <w:sz w:val="24"/>
        </w:rPr>
        <w:t>the</w:t>
      </w:r>
      <w:r>
        <w:rPr>
          <w:spacing w:val="1"/>
          <w:sz w:val="24"/>
        </w:rPr>
        <w:t xml:space="preserve"> </w:t>
      </w:r>
      <w:r>
        <w:rPr>
          <w:sz w:val="24"/>
        </w:rPr>
        <w:t>use</w:t>
      </w:r>
      <w:r>
        <w:rPr>
          <w:spacing w:val="1"/>
          <w:sz w:val="24"/>
        </w:rPr>
        <w:t xml:space="preserve"> </w:t>
      </w:r>
      <w:r>
        <w:rPr>
          <w:sz w:val="24"/>
        </w:rPr>
        <w:t>of</w:t>
      </w:r>
      <w:r>
        <w:rPr>
          <w:spacing w:val="1"/>
          <w:sz w:val="24"/>
        </w:rPr>
        <w:t xml:space="preserve"> </w:t>
      </w:r>
      <w:r>
        <w:rPr>
          <w:sz w:val="24"/>
        </w:rPr>
        <w:t>parental</w:t>
      </w:r>
      <w:r>
        <w:rPr>
          <w:spacing w:val="1"/>
          <w:sz w:val="24"/>
        </w:rPr>
        <w:t xml:space="preserve"> </w:t>
      </w:r>
      <w:r>
        <w:rPr>
          <w:sz w:val="24"/>
        </w:rPr>
        <w:t>leave</w:t>
      </w:r>
      <w:r>
        <w:rPr>
          <w:spacing w:val="1"/>
          <w:sz w:val="24"/>
        </w:rPr>
        <w:t xml:space="preserve"> </w:t>
      </w:r>
      <w:r>
        <w:rPr>
          <w:sz w:val="24"/>
        </w:rPr>
        <w:t>for</w:t>
      </w:r>
      <w:r>
        <w:rPr>
          <w:spacing w:val="1"/>
          <w:sz w:val="24"/>
        </w:rPr>
        <w:t xml:space="preserve"> </w:t>
      </w:r>
      <w:r>
        <w:rPr>
          <w:sz w:val="24"/>
        </w:rPr>
        <w:t>employed</w:t>
      </w:r>
      <w:r>
        <w:rPr>
          <w:spacing w:val="1"/>
          <w:sz w:val="24"/>
        </w:rPr>
        <w:t xml:space="preserve"> </w:t>
      </w:r>
      <w:r>
        <w:rPr>
          <w:sz w:val="24"/>
        </w:rPr>
        <w:t>and</w:t>
      </w:r>
      <w:r>
        <w:rPr>
          <w:spacing w:val="1"/>
          <w:sz w:val="24"/>
        </w:rPr>
        <w:t xml:space="preserve"> </w:t>
      </w:r>
      <w:r>
        <w:rPr>
          <w:sz w:val="24"/>
        </w:rPr>
        <w:t>self-employed</w:t>
      </w:r>
      <w:r>
        <w:rPr>
          <w:spacing w:val="1"/>
          <w:sz w:val="24"/>
        </w:rPr>
        <w:t xml:space="preserve"> </w:t>
      </w:r>
      <w:r>
        <w:rPr>
          <w:sz w:val="24"/>
        </w:rPr>
        <w:t>parents.</w:t>
      </w:r>
      <w:r>
        <w:rPr>
          <w:spacing w:val="1"/>
          <w:sz w:val="24"/>
        </w:rPr>
        <w:t xml:space="preserve"> </w:t>
      </w:r>
      <w:r>
        <w:rPr>
          <w:sz w:val="24"/>
        </w:rPr>
        <w:t>Accordingly,</w:t>
      </w:r>
      <w:r>
        <w:rPr>
          <w:spacing w:val="1"/>
          <w:sz w:val="24"/>
        </w:rPr>
        <w:t xml:space="preserve"> </w:t>
      </w:r>
      <w:r>
        <w:rPr>
          <w:sz w:val="24"/>
        </w:rPr>
        <w:t>the</w:t>
      </w:r>
      <w:r>
        <w:rPr>
          <w:spacing w:val="1"/>
          <w:sz w:val="24"/>
        </w:rPr>
        <w:t xml:space="preserve"> </w:t>
      </w:r>
      <w:r>
        <w:rPr>
          <w:sz w:val="24"/>
        </w:rPr>
        <w:t>recommendation is to increase the maximum salary compensation paid during the use of</w:t>
      </w:r>
      <w:r>
        <w:rPr>
          <w:spacing w:val="1"/>
          <w:sz w:val="24"/>
        </w:rPr>
        <w:t xml:space="preserve"> </w:t>
      </w:r>
      <w:r>
        <w:rPr>
          <w:sz w:val="24"/>
        </w:rPr>
        <w:t xml:space="preserve">parental leave for employed and self-employed parents </w:t>
      </w:r>
      <w:r>
        <w:rPr>
          <w:b/>
          <w:sz w:val="24"/>
        </w:rPr>
        <w:t>from the current HRK 5,654.20</w:t>
      </w:r>
      <w:r>
        <w:rPr>
          <w:b/>
          <w:spacing w:val="1"/>
          <w:sz w:val="24"/>
        </w:rPr>
        <w:t xml:space="preserve"> </w:t>
      </w:r>
      <w:r>
        <w:rPr>
          <w:b/>
          <w:sz w:val="24"/>
        </w:rPr>
        <w:t>(170% of the budgeted base amount) to HRK 7,500.13 (225.5% of the budgeted base</w:t>
      </w:r>
      <w:r>
        <w:rPr>
          <w:b/>
          <w:spacing w:val="1"/>
          <w:sz w:val="24"/>
        </w:rPr>
        <w:t xml:space="preserve"> </w:t>
      </w:r>
      <w:r>
        <w:rPr>
          <w:b/>
          <w:sz w:val="24"/>
        </w:rPr>
        <w:t>amount).</w:t>
      </w:r>
    </w:p>
    <w:p w:rsidR="00A56FE9" w:rsidRDefault="00000000">
      <w:pPr>
        <w:pStyle w:val="Tijeloteksta"/>
        <w:spacing w:before="121"/>
        <w:ind w:right="271"/>
      </w:pPr>
      <w:r>
        <w:t>Despite the above mentioned, the implementation of activities aimed at promoting the active</w:t>
      </w:r>
      <w:r>
        <w:rPr>
          <w:spacing w:val="1"/>
        </w:rPr>
        <w:t xml:space="preserve"> </w:t>
      </w:r>
      <w:r>
        <w:t>role of fathers in the early development of the child and achieving a higher degree of gender</w:t>
      </w:r>
      <w:r>
        <w:rPr>
          <w:spacing w:val="1"/>
        </w:rPr>
        <w:t xml:space="preserve"> </w:t>
      </w:r>
      <w:r>
        <w:t>equality</w:t>
      </w:r>
      <w:r>
        <w:rPr>
          <w:spacing w:val="-12"/>
        </w:rPr>
        <w:t xml:space="preserve"> </w:t>
      </w:r>
      <w:r>
        <w:t>within</w:t>
      </w:r>
      <w:r>
        <w:rPr>
          <w:spacing w:val="-8"/>
        </w:rPr>
        <w:t xml:space="preserve"> </w:t>
      </w:r>
      <w:r>
        <w:t>the</w:t>
      </w:r>
      <w:r>
        <w:rPr>
          <w:spacing w:val="-8"/>
        </w:rPr>
        <w:t xml:space="preserve"> </w:t>
      </w:r>
      <w:r>
        <w:t>family</w:t>
      </w:r>
      <w:r>
        <w:rPr>
          <w:spacing w:val="-8"/>
        </w:rPr>
        <w:t xml:space="preserve"> </w:t>
      </w:r>
      <w:r>
        <w:t>should</w:t>
      </w:r>
      <w:r>
        <w:rPr>
          <w:spacing w:val="-7"/>
        </w:rPr>
        <w:t xml:space="preserve"> </w:t>
      </w:r>
      <w:r>
        <w:t>be</w:t>
      </w:r>
      <w:r>
        <w:rPr>
          <w:spacing w:val="-9"/>
        </w:rPr>
        <w:t xml:space="preserve"> </w:t>
      </w:r>
      <w:r>
        <w:t>continued.</w:t>
      </w:r>
      <w:r>
        <w:rPr>
          <w:spacing w:val="-8"/>
        </w:rPr>
        <w:t xml:space="preserve"> </w:t>
      </w:r>
      <w:r>
        <w:t>There</w:t>
      </w:r>
      <w:r>
        <w:rPr>
          <w:spacing w:val="-9"/>
        </w:rPr>
        <w:t xml:space="preserve"> </w:t>
      </w:r>
      <w:r>
        <w:t>are</w:t>
      </w:r>
      <w:r>
        <w:rPr>
          <w:spacing w:val="-9"/>
        </w:rPr>
        <w:t xml:space="preserve"> </w:t>
      </w:r>
      <w:r>
        <w:t>currently</w:t>
      </w:r>
      <w:r>
        <w:rPr>
          <w:spacing w:val="-11"/>
        </w:rPr>
        <w:t xml:space="preserve"> </w:t>
      </w:r>
      <w:r>
        <w:t>no</w:t>
      </w:r>
      <w:r>
        <w:rPr>
          <w:spacing w:val="-8"/>
        </w:rPr>
        <w:t xml:space="preserve"> </w:t>
      </w:r>
      <w:r>
        <w:t>special</w:t>
      </w:r>
      <w:r>
        <w:rPr>
          <w:spacing w:val="-8"/>
        </w:rPr>
        <w:t xml:space="preserve"> </w:t>
      </w:r>
      <w:r>
        <w:t>provisions</w:t>
      </w:r>
      <w:r>
        <w:rPr>
          <w:spacing w:val="-7"/>
        </w:rPr>
        <w:t xml:space="preserve"> </w:t>
      </w:r>
      <w:r>
        <w:t>on</w:t>
      </w:r>
      <w:r>
        <w:rPr>
          <w:spacing w:val="-8"/>
        </w:rPr>
        <w:t xml:space="preserve"> </w:t>
      </w:r>
      <w:r>
        <w:t>the</w:t>
      </w:r>
      <w:r>
        <w:rPr>
          <w:spacing w:val="-57"/>
        </w:rPr>
        <w:t xml:space="preserve"> </w:t>
      </w:r>
      <w:r>
        <w:t>right to paternity leave in Croatia, and the introduction of such a right will have a positive</w:t>
      </w:r>
      <w:r>
        <w:rPr>
          <w:spacing w:val="1"/>
        </w:rPr>
        <w:t xml:space="preserve"> </w:t>
      </w:r>
      <w:r>
        <w:t>impact on the sharing of responsibilities for care between women and men. The involvement</w:t>
      </w:r>
      <w:r>
        <w:rPr>
          <w:spacing w:val="1"/>
        </w:rPr>
        <w:t xml:space="preserve"> </w:t>
      </w:r>
      <w:r>
        <w:t>of</w:t>
      </w:r>
      <w:r>
        <w:rPr>
          <w:spacing w:val="-9"/>
        </w:rPr>
        <w:t xml:space="preserve"> </w:t>
      </w:r>
      <w:r>
        <w:t>fathers</w:t>
      </w:r>
      <w:r>
        <w:rPr>
          <w:spacing w:val="-9"/>
        </w:rPr>
        <w:t xml:space="preserve"> </w:t>
      </w:r>
      <w:r>
        <w:t>in</w:t>
      </w:r>
      <w:r>
        <w:rPr>
          <w:spacing w:val="-7"/>
        </w:rPr>
        <w:t xml:space="preserve"> </w:t>
      </w:r>
      <w:r>
        <w:t>childcare</w:t>
      </w:r>
      <w:r>
        <w:rPr>
          <w:spacing w:val="-7"/>
        </w:rPr>
        <w:t xml:space="preserve"> </w:t>
      </w:r>
      <w:r>
        <w:t>leads</w:t>
      </w:r>
      <w:r>
        <w:rPr>
          <w:spacing w:val="-8"/>
        </w:rPr>
        <w:t xml:space="preserve"> </w:t>
      </w:r>
      <w:r>
        <w:t>to</w:t>
      </w:r>
      <w:r>
        <w:rPr>
          <w:spacing w:val="-7"/>
        </w:rPr>
        <w:t xml:space="preserve"> </w:t>
      </w:r>
      <w:r>
        <w:t>greater</w:t>
      </w:r>
      <w:r>
        <w:rPr>
          <w:spacing w:val="-9"/>
        </w:rPr>
        <w:t xml:space="preserve"> </w:t>
      </w:r>
      <w:r>
        <w:t>life</w:t>
      </w:r>
      <w:r>
        <w:rPr>
          <w:spacing w:val="-10"/>
        </w:rPr>
        <w:t xml:space="preserve"> </w:t>
      </w:r>
      <w:r>
        <w:t>satisfaction,</w:t>
      </w:r>
      <w:r>
        <w:rPr>
          <w:spacing w:val="-6"/>
        </w:rPr>
        <w:t xml:space="preserve"> </w:t>
      </w:r>
      <w:r>
        <w:t>the</w:t>
      </w:r>
      <w:r>
        <w:rPr>
          <w:spacing w:val="-10"/>
        </w:rPr>
        <w:t xml:space="preserve"> </w:t>
      </w:r>
      <w:r>
        <w:t>physical</w:t>
      </w:r>
      <w:r>
        <w:rPr>
          <w:spacing w:val="-6"/>
        </w:rPr>
        <w:t xml:space="preserve"> </w:t>
      </w:r>
      <w:r>
        <w:t>and</w:t>
      </w:r>
      <w:r>
        <w:rPr>
          <w:spacing w:val="-8"/>
        </w:rPr>
        <w:t xml:space="preserve"> </w:t>
      </w:r>
      <w:r>
        <w:t>mental</w:t>
      </w:r>
      <w:r>
        <w:rPr>
          <w:spacing w:val="-8"/>
        </w:rPr>
        <w:t xml:space="preserve"> </w:t>
      </w:r>
      <w:r>
        <w:t>health</w:t>
      </w:r>
      <w:r>
        <w:rPr>
          <w:spacing w:val="-7"/>
        </w:rPr>
        <w:t xml:space="preserve"> </w:t>
      </w:r>
      <w:r>
        <w:t>of</w:t>
      </w:r>
      <w:r>
        <w:rPr>
          <w:spacing w:val="-6"/>
        </w:rPr>
        <w:t xml:space="preserve"> </w:t>
      </w:r>
      <w:r>
        <w:t>fathers</w:t>
      </w:r>
      <w:r>
        <w:rPr>
          <w:spacing w:val="-58"/>
        </w:rPr>
        <w:t xml:space="preserve"> </w:t>
      </w:r>
      <w:r>
        <w:t>who</w:t>
      </w:r>
      <w:r>
        <w:rPr>
          <w:spacing w:val="-1"/>
        </w:rPr>
        <w:t xml:space="preserve"> </w:t>
      </w:r>
      <w:r>
        <w:t>care</w:t>
      </w:r>
      <w:r>
        <w:rPr>
          <w:spacing w:val="-1"/>
        </w:rPr>
        <w:t xml:space="preserve"> </w:t>
      </w:r>
      <w:r>
        <w:t>for children and</w:t>
      </w:r>
      <w:r>
        <w:rPr>
          <w:spacing w:val="-1"/>
        </w:rPr>
        <w:t xml:space="preserve"> </w:t>
      </w:r>
      <w:r>
        <w:t>better cognitive abilities and behaviour</w:t>
      </w:r>
      <w:r>
        <w:rPr>
          <w:spacing w:val="-2"/>
        </w:rPr>
        <w:t xml:space="preserve"> </w:t>
      </w:r>
      <w:r>
        <w:t>of</w:t>
      </w:r>
      <w:r>
        <w:rPr>
          <w:spacing w:val="-1"/>
        </w:rPr>
        <w:t xml:space="preserve"> </w:t>
      </w:r>
      <w:r>
        <w:t>children.</w:t>
      </w:r>
    </w:p>
    <w:p w:rsidR="00A56FE9" w:rsidRDefault="00000000">
      <w:pPr>
        <w:pStyle w:val="Tijeloteksta"/>
        <w:spacing w:before="118"/>
        <w:ind w:right="274"/>
      </w:pPr>
      <w:r>
        <w:t>The new Maternity and Parental Allowances Act harmonises national legislation in order to</w:t>
      </w:r>
      <w:r>
        <w:rPr>
          <w:spacing w:val="1"/>
        </w:rPr>
        <w:t xml:space="preserve"> </w:t>
      </w:r>
      <w:r>
        <w:t>transpose Directive 2019/1158 of the European Parliament and of the Council of 20 June 2019</w:t>
      </w:r>
      <w:r>
        <w:rPr>
          <w:spacing w:val="-58"/>
        </w:rPr>
        <w:t xml:space="preserve"> </w:t>
      </w:r>
      <w:r>
        <w:t>on work-life balance for parents and carers and repealing Council Directive 2010/18/EU. The</w:t>
      </w:r>
      <w:r>
        <w:rPr>
          <w:spacing w:val="1"/>
        </w:rPr>
        <w:t xml:space="preserve"> </w:t>
      </w:r>
      <w:r>
        <w:t>Directive seeks to ensure the implementation of the principle of equality between women and</w:t>
      </w:r>
      <w:r>
        <w:rPr>
          <w:spacing w:val="1"/>
        </w:rPr>
        <w:t xml:space="preserve"> </w:t>
      </w:r>
      <w:r>
        <w:t>men</w:t>
      </w:r>
      <w:r>
        <w:rPr>
          <w:spacing w:val="-14"/>
        </w:rPr>
        <w:t xml:space="preserve"> </w:t>
      </w:r>
      <w:r>
        <w:t>with</w:t>
      </w:r>
      <w:r>
        <w:rPr>
          <w:spacing w:val="-12"/>
        </w:rPr>
        <w:t xml:space="preserve"> </w:t>
      </w:r>
      <w:r>
        <w:t>regard</w:t>
      </w:r>
      <w:r>
        <w:rPr>
          <w:spacing w:val="-13"/>
        </w:rPr>
        <w:t xml:space="preserve"> </w:t>
      </w:r>
      <w:r>
        <w:t>to</w:t>
      </w:r>
      <w:r>
        <w:rPr>
          <w:spacing w:val="-13"/>
        </w:rPr>
        <w:t xml:space="preserve"> </w:t>
      </w:r>
      <w:r>
        <w:t>their</w:t>
      </w:r>
      <w:r>
        <w:rPr>
          <w:spacing w:val="-13"/>
        </w:rPr>
        <w:t xml:space="preserve"> </w:t>
      </w:r>
      <w:r>
        <w:t>opportunities</w:t>
      </w:r>
      <w:r>
        <w:rPr>
          <w:spacing w:val="-13"/>
        </w:rPr>
        <w:t xml:space="preserve"> </w:t>
      </w:r>
      <w:r>
        <w:t>in</w:t>
      </w:r>
      <w:r>
        <w:rPr>
          <w:spacing w:val="-13"/>
        </w:rPr>
        <w:t xml:space="preserve"> </w:t>
      </w:r>
      <w:r>
        <w:t>the</w:t>
      </w:r>
      <w:r>
        <w:rPr>
          <w:spacing w:val="-13"/>
        </w:rPr>
        <w:t xml:space="preserve"> </w:t>
      </w:r>
      <w:r>
        <w:t>labour</w:t>
      </w:r>
      <w:r>
        <w:rPr>
          <w:spacing w:val="-11"/>
        </w:rPr>
        <w:t xml:space="preserve"> </w:t>
      </w:r>
      <w:r>
        <w:t>market</w:t>
      </w:r>
      <w:r>
        <w:rPr>
          <w:spacing w:val="-13"/>
        </w:rPr>
        <w:t xml:space="preserve"> </w:t>
      </w:r>
      <w:r>
        <w:t>and</w:t>
      </w:r>
      <w:r>
        <w:rPr>
          <w:spacing w:val="-12"/>
        </w:rPr>
        <w:t xml:space="preserve"> </w:t>
      </w:r>
      <w:r>
        <w:t>their</w:t>
      </w:r>
      <w:r>
        <w:rPr>
          <w:spacing w:val="-13"/>
        </w:rPr>
        <w:t xml:space="preserve"> </w:t>
      </w:r>
      <w:r>
        <w:t>treatment</w:t>
      </w:r>
      <w:r>
        <w:rPr>
          <w:spacing w:val="-13"/>
        </w:rPr>
        <w:t xml:space="preserve"> </w:t>
      </w:r>
      <w:r>
        <w:t>in</w:t>
      </w:r>
      <w:r>
        <w:rPr>
          <w:spacing w:val="-12"/>
        </w:rPr>
        <w:t xml:space="preserve"> </w:t>
      </w:r>
      <w:r>
        <w:t>the</w:t>
      </w:r>
      <w:r>
        <w:rPr>
          <w:spacing w:val="-13"/>
        </w:rPr>
        <w:t xml:space="preserve"> </w:t>
      </w:r>
      <w:r>
        <w:t>workplace;</w:t>
      </w:r>
      <w:r>
        <w:rPr>
          <w:spacing w:val="-58"/>
        </w:rPr>
        <w:t xml:space="preserve"> </w:t>
      </w:r>
      <w:r>
        <w:t>enable</w:t>
      </w:r>
      <w:r>
        <w:rPr>
          <w:spacing w:val="1"/>
        </w:rPr>
        <w:t xml:space="preserve"> </w:t>
      </w:r>
      <w:r>
        <w:t>parents</w:t>
      </w:r>
      <w:r>
        <w:rPr>
          <w:spacing w:val="1"/>
        </w:rPr>
        <w:t xml:space="preserve"> </w:t>
      </w:r>
      <w:r>
        <w:t>and</w:t>
      </w:r>
      <w:r>
        <w:rPr>
          <w:spacing w:val="1"/>
        </w:rPr>
        <w:t xml:space="preserve"> </w:t>
      </w:r>
      <w:r>
        <w:t>carers</w:t>
      </w:r>
      <w:r>
        <w:rPr>
          <w:spacing w:val="1"/>
        </w:rPr>
        <w:t xml:space="preserve"> </w:t>
      </w:r>
      <w:r>
        <w:t>to</w:t>
      </w:r>
      <w:r>
        <w:rPr>
          <w:spacing w:val="1"/>
        </w:rPr>
        <w:t xml:space="preserve"> </w:t>
      </w:r>
      <w:r>
        <w:t>better</w:t>
      </w:r>
      <w:r>
        <w:rPr>
          <w:spacing w:val="1"/>
        </w:rPr>
        <w:t xml:space="preserve"> </w:t>
      </w:r>
      <w:r>
        <w:t>reconcile</w:t>
      </w:r>
      <w:r>
        <w:rPr>
          <w:spacing w:val="1"/>
        </w:rPr>
        <w:t xml:space="preserve"> </w:t>
      </w:r>
      <w:r>
        <w:t>business</w:t>
      </w:r>
      <w:r>
        <w:rPr>
          <w:spacing w:val="1"/>
        </w:rPr>
        <w:t xml:space="preserve"> </w:t>
      </w:r>
      <w:r>
        <w:t>and</w:t>
      </w:r>
      <w:r>
        <w:rPr>
          <w:spacing w:val="1"/>
        </w:rPr>
        <w:t xml:space="preserve"> </w:t>
      </w:r>
      <w:r>
        <w:t>guardianship</w:t>
      </w:r>
      <w:r>
        <w:rPr>
          <w:spacing w:val="1"/>
        </w:rPr>
        <w:t xml:space="preserve"> </w:t>
      </w:r>
      <w:r>
        <w:t>obligations</w:t>
      </w:r>
      <w:r>
        <w:rPr>
          <w:spacing w:val="1"/>
        </w:rPr>
        <w:t xml:space="preserve"> </w:t>
      </w:r>
      <w:r>
        <w:t>and</w:t>
      </w:r>
      <w:r>
        <w:rPr>
          <w:spacing w:val="1"/>
        </w:rPr>
        <w:t xml:space="preserve"> </w:t>
      </w:r>
      <w:r>
        <w:rPr>
          <w:spacing w:val="-1"/>
        </w:rPr>
        <w:t>strengthen</w:t>
      </w:r>
      <w:r>
        <w:rPr>
          <w:spacing w:val="-15"/>
        </w:rPr>
        <w:t xml:space="preserve"> </w:t>
      </w:r>
      <w:r>
        <w:t>minimum</w:t>
      </w:r>
      <w:r>
        <w:rPr>
          <w:spacing w:val="-14"/>
        </w:rPr>
        <w:t xml:space="preserve"> </w:t>
      </w:r>
      <w:r>
        <w:t>standards</w:t>
      </w:r>
      <w:r>
        <w:rPr>
          <w:spacing w:val="-15"/>
        </w:rPr>
        <w:t xml:space="preserve"> </w:t>
      </w:r>
      <w:r>
        <w:t>related</w:t>
      </w:r>
      <w:r>
        <w:rPr>
          <w:spacing w:val="-13"/>
        </w:rPr>
        <w:t xml:space="preserve"> </w:t>
      </w:r>
      <w:r>
        <w:t>to</w:t>
      </w:r>
      <w:r>
        <w:rPr>
          <w:spacing w:val="-14"/>
        </w:rPr>
        <w:t xml:space="preserve"> </w:t>
      </w:r>
      <w:r>
        <w:t>parental</w:t>
      </w:r>
      <w:r>
        <w:rPr>
          <w:spacing w:val="-14"/>
        </w:rPr>
        <w:t xml:space="preserve"> </w:t>
      </w:r>
      <w:r>
        <w:t>leave</w:t>
      </w:r>
      <w:r>
        <w:rPr>
          <w:spacing w:val="-13"/>
        </w:rPr>
        <w:t xml:space="preserve"> </w:t>
      </w:r>
      <w:r>
        <w:t>and</w:t>
      </w:r>
      <w:r>
        <w:rPr>
          <w:spacing w:val="-12"/>
        </w:rPr>
        <w:t xml:space="preserve"> </w:t>
      </w:r>
      <w:r>
        <w:t>flexible</w:t>
      </w:r>
      <w:r>
        <w:rPr>
          <w:spacing w:val="-16"/>
        </w:rPr>
        <w:t xml:space="preserve"> </w:t>
      </w:r>
      <w:r>
        <w:t>working</w:t>
      </w:r>
      <w:r>
        <w:rPr>
          <w:spacing w:val="-15"/>
        </w:rPr>
        <w:t xml:space="preserve"> </w:t>
      </w:r>
      <w:r>
        <w:t>conditions,</w:t>
      </w:r>
      <w:r>
        <w:rPr>
          <w:spacing w:val="-14"/>
        </w:rPr>
        <w:t xml:space="preserve"> </w:t>
      </w:r>
      <w:r>
        <w:t>as</w:t>
      </w:r>
      <w:r>
        <w:rPr>
          <w:spacing w:val="-15"/>
        </w:rPr>
        <w:t xml:space="preserve"> </w:t>
      </w:r>
      <w:r>
        <w:t>well</w:t>
      </w:r>
      <w:r>
        <w:rPr>
          <w:spacing w:val="-57"/>
        </w:rPr>
        <w:t xml:space="preserve"> </w:t>
      </w:r>
      <w:r>
        <w:t>as</w:t>
      </w:r>
      <w:r>
        <w:rPr>
          <w:spacing w:val="-1"/>
        </w:rPr>
        <w:t xml:space="preserve"> </w:t>
      </w:r>
      <w:r>
        <w:t>introduce</w:t>
      </w:r>
      <w:r>
        <w:rPr>
          <w:spacing w:val="-1"/>
        </w:rPr>
        <w:t xml:space="preserve"> </w:t>
      </w:r>
      <w:r>
        <w:t>minimum standards related to paternity</w:t>
      </w:r>
      <w:r>
        <w:rPr>
          <w:spacing w:val="-5"/>
        </w:rPr>
        <w:t xml:space="preserve"> </w:t>
      </w:r>
      <w:r>
        <w:t>leave.</w:t>
      </w:r>
    </w:p>
    <w:p w:rsidR="00A56FE9" w:rsidRDefault="00000000">
      <w:pPr>
        <w:pStyle w:val="Tijeloteksta"/>
        <w:spacing w:before="120"/>
        <w:ind w:right="274"/>
      </w:pPr>
      <w:r>
        <w:t>Although the provisions of the new Directive are partly aligned with the national regulation of</w:t>
      </w:r>
      <w:r>
        <w:rPr>
          <w:spacing w:val="-57"/>
        </w:rPr>
        <w:t xml:space="preserve"> </w:t>
      </w:r>
      <w:r>
        <w:t>the subject matter as prescribed by the current Maternity and Parental Allowances Act, the</w:t>
      </w:r>
      <w:r>
        <w:rPr>
          <w:spacing w:val="1"/>
        </w:rPr>
        <w:t xml:space="preserve"> </w:t>
      </w:r>
      <w:r>
        <w:t>provisions of the Directive require normative interventions regarding certain rights from the</w:t>
      </w:r>
      <w:r>
        <w:rPr>
          <w:spacing w:val="1"/>
        </w:rPr>
        <w:t xml:space="preserve"> </w:t>
      </w:r>
      <w:r>
        <w:t>parental</w:t>
      </w:r>
      <w:r>
        <w:rPr>
          <w:spacing w:val="16"/>
        </w:rPr>
        <w:t xml:space="preserve"> </w:t>
      </w:r>
      <w:r>
        <w:t>benefits</w:t>
      </w:r>
      <w:r>
        <w:rPr>
          <w:spacing w:val="18"/>
        </w:rPr>
        <w:t xml:space="preserve"> </w:t>
      </w:r>
      <w:r>
        <w:t>system</w:t>
      </w:r>
      <w:r>
        <w:rPr>
          <w:spacing w:val="19"/>
        </w:rPr>
        <w:t xml:space="preserve"> </w:t>
      </w:r>
      <w:r>
        <w:t>with</w:t>
      </w:r>
      <w:r>
        <w:rPr>
          <w:spacing w:val="18"/>
        </w:rPr>
        <w:t xml:space="preserve"> </w:t>
      </w:r>
      <w:r>
        <w:t>the</w:t>
      </w:r>
      <w:r>
        <w:rPr>
          <w:spacing w:val="17"/>
        </w:rPr>
        <w:t xml:space="preserve"> </w:t>
      </w:r>
      <w:r>
        <w:t>obligation</w:t>
      </w:r>
      <w:r>
        <w:rPr>
          <w:spacing w:val="20"/>
        </w:rPr>
        <w:t xml:space="preserve"> </w:t>
      </w:r>
      <w:r>
        <w:t>of</w:t>
      </w:r>
      <w:r>
        <w:rPr>
          <w:spacing w:val="17"/>
        </w:rPr>
        <w:t xml:space="preserve"> </w:t>
      </w:r>
      <w:r>
        <w:t>introducing</w:t>
      </w:r>
      <w:r>
        <w:rPr>
          <w:spacing w:val="18"/>
        </w:rPr>
        <w:t xml:space="preserve"> </w:t>
      </w:r>
      <w:r>
        <w:t>a</w:t>
      </w:r>
      <w:r>
        <w:rPr>
          <w:spacing w:val="16"/>
        </w:rPr>
        <w:t xml:space="preserve"> </w:t>
      </w:r>
      <w:r>
        <w:t>new</w:t>
      </w:r>
      <w:r>
        <w:rPr>
          <w:spacing w:val="17"/>
        </w:rPr>
        <w:t xml:space="preserve"> </w:t>
      </w:r>
      <w:r>
        <w:t>right</w:t>
      </w:r>
      <w:r>
        <w:rPr>
          <w:spacing w:val="18"/>
        </w:rPr>
        <w:t xml:space="preserve"> </w:t>
      </w:r>
      <w:r>
        <w:t>to</w:t>
      </w:r>
      <w:r>
        <w:rPr>
          <w:spacing w:val="19"/>
        </w:rPr>
        <w:t xml:space="preserve"> </w:t>
      </w:r>
      <w:r>
        <w:t>paternity</w:t>
      </w:r>
      <w:r>
        <w:rPr>
          <w:spacing w:val="13"/>
        </w:rPr>
        <w:t xml:space="preserve"> </w:t>
      </w:r>
      <w:r>
        <w:t>leave.</w:t>
      </w:r>
      <w:r>
        <w:rPr>
          <w:spacing w:val="20"/>
        </w:rPr>
        <w:t xml:space="preserve"> </w:t>
      </w:r>
      <w:r>
        <w:t>In</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t>line with the objectives of the Directive, further preconditions that will allow flexibility in the</w:t>
      </w:r>
      <w:r>
        <w:rPr>
          <w:spacing w:val="1"/>
        </w:rPr>
        <w:t xml:space="preserve"> </w:t>
      </w:r>
      <w:r>
        <w:t>use of existing and introduction of new rights should be provided, with the aim of greater</w:t>
      </w:r>
      <w:r>
        <w:rPr>
          <w:spacing w:val="1"/>
        </w:rPr>
        <w:t xml:space="preserve"> </w:t>
      </w:r>
      <w:r>
        <w:t>involvement</w:t>
      </w:r>
      <w:r>
        <w:rPr>
          <w:spacing w:val="-4"/>
        </w:rPr>
        <w:t xml:space="preserve"> </w:t>
      </w:r>
      <w:r>
        <w:t>of</w:t>
      </w:r>
      <w:r>
        <w:rPr>
          <w:spacing w:val="-5"/>
        </w:rPr>
        <w:t xml:space="preserve"> </w:t>
      </w:r>
      <w:r>
        <w:t>parents</w:t>
      </w:r>
      <w:r>
        <w:rPr>
          <w:spacing w:val="-2"/>
        </w:rPr>
        <w:t xml:space="preserve"> </w:t>
      </w:r>
      <w:r>
        <w:t>in</w:t>
      </w:r>
      <w:r>
        <w:rPr>
          <w:spacing w:val="-1"/>
        </w:rPr>
        <w:t xml:space="preserve"> </w:t>
      </w:r>
      <w:r>
        <w:t>parental</w:t>
      </w:r>
      <w:r>
        <w:rPr>
          <w:spacing w:val="-3"/>
        </w:rPr>
        <w:t xml:space="preserve"> </w:t>
      </w:r>
      <w:r>
        <w:t>leave</w:t>
      </w:r>
      <w:r>
        <w:rPr>
          <w:spacing w:val="-5"/>
        </w:rPr>
        <w:t xml:space="preserve"> </w:t>
      </w:r>
      <w:r>
        <w:t>and</w:t>
      </w:r>
      <w:r>
        <w:rPr>
          <w:spacing w:val="-3"/>
        </w:rPr>
        <w:t xml:space="preserve"> </w:t>
      </w:r>
      <w:r>
        <w:t>more</w:t>
      </w:r>
      <w:r>
        <w:rPr>
          <w:spacing w:val="-3"/>
        </w:rPr>
        <w:t xml:space="preserve"> </w:t>
      </w:r>
      <w:r>
        <w:t>equal</w:t>
      </w:r>
      <w:r>
        <w:rPr>
          <w:spacing w:val="-3"/>
        </w:rPr>
        <w:t xml:space="preserve"> </w:t>
      </w:r>
      <w:r>
        <w:t>distribution</w:t>
      </w:r>
      <w:r>
        <w:rPr>
          <w:spacing w:val="-3"/>
        </w:rPr>
        <w:t xml:space="preserve"> </w:t>
      </w:r>
      <w:r>
        <w:t>of</w:t>
      </w:r>
      <w:r>
        <w:rPr>
          <w:spacing w:val="-5"/>
        </w:rPr>
        <w:t xml:space="preserve"> </w:t>
      </w:r>
      <w:r>
        <w:t>childcare</w:t>
      </w:r>
      <w:r>
        <w:rPr>
          <w:spacing w:val="-2"/>
        </w:rPr>
        <w:t xml:space="preserve"> </w:t>
      </w:r>
      <w:r>
        <w:t>at</w:t>
      </w:r>
      <w:r>
        <w:rPr>
          <w:spacing w:val="-3"/>
        </w:rPr>
        <w:t xml:space="preserve"> </w:t>
      </w:r>
      <w:r>
        <w:t>the</w:t>
      </w:r>
      <w:r>
        <w:rPr>
          <w:spacing w:val="-3"/>
        </w:rPr>
        <w:t xml:space="preserve"> </w:t>
      </w:r>
      <w:r>
        <w:t>earliest</w:t>
      </w:r>
      <w:r>
        <w:rPr>
          <w:spacing w:val="-58"/>
        </w:rPr>
        <w:t xml:space="preserve"> </w:t>
      </w:r>
      <w:r>
        <w:t>age by both parents, with an emphasis on stronger involvement of fathers to participate in the</w:t>
      </w:r>
      <w:r>
        <w:rPr>
          <w:spacing w:val="1"/>
        </w:rPr>
        <w:t xml:space="preserve"> </w:t>
      </w:r>
      <w:r>
        <w:t>early</w:t>
      </w:r>
      <w:r>
        <w:rPr>
          <w:spacing w:val="-5"/>
        </w:rPr>
        <w:t xml:space="preserve"> </w:t>
      </w:r>
      <w:r>
        <w:t>upbringing</w:t>
      </w:r>
      <w:r>
        <w:rPr>
          <w:spacing w:val="-3"/>
        </w:rPr>
        <w:t xml:space="preserve"> </w:t>
      </w:r>
      <w:r>
        <w:t>of children.</w:t>
      </w:r>
    </w:p>
    <w:p w:rsidR="00A56FE9" w:rsidRDefault="00CC1B9B">
      <w:pPr>
        <w:pStyle w:val="Tijeloteksta"/>
        <w:spacing w:before="121"/>
        <w:ind w:right="276"/>
      </w:pPr>
      <w:r>
        <w:rPr>
          <w:noProof/>
        </w:rPr>
        <mc:AlternateContent>
          <mc:Choice Requires="wps">
            <w:drawing>
              <wp:anchor distT="0" distB="0" distL="114300" distR="114300" simplePos="0" relativeHeight="15826944" behindDoc="0" locked="0" layoutInCell="1" allowOverlap="1">
                <wp:simplePos x="0" y="0"/>
                <wp:positionH relativeFrom="page">
                  <wp:posOffset>814070</wp:posOffset>
                </wp:positionH>
                <wp:positionV relativeFrom="paragraph">
                  <wp:posOffset>1208405</wp:posOffset>
                </wp:positionV>
                <wp:extent cx="18415" cy="608965"/>
                <wp:effectExtent l="0" t="0" r="0" b="0"/>
                <wp:wrapNone/>
                <wp:docPr id="857909988"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965"/>
                        </a:xfrm>
                        <a:custGeom>
                          <a:avLst/>
                          <a:gdLst>
                            <a:gd name="T0" fmla="+- 0 1311 1282"/>
                            <a:gd name="T1" fmla="*/ T0 w 29"/>
                            <a:gd name="T2" fmla="+- 0 1903 1903"/>
                            <a:gd name="T3" fmla="*/ 1903 h 959"/>
                            <a:gd name="T4" fmla="+- 0 1282 1282"/>
                            <a:gd name="T5" fmla="*/ T4 w 29"/>
                            <a:gd name="T6" fmla="+- 0 1903 1903"/>
                            <a:gd name="T7" fmla="*/ 1903 h 959"/>
                            <a:gd name="T8" fmla="+- 0 1282 1282"/>
                            <a:gd name="T9" fmla="*/ T8 w 29"/>
                            <a:gd name="T10" fmla="+- 0 2441 1903"/>
                            <a:gd name="T11" fmla="*/ 2441 h 959"/>
                            <a:gd name="T12" fmla="+- 0 1282 1282"/>
                            <a:gd name="T13" fmla="*/ T12 w 29"/>
                            <a:gd name="T14" fmla="+- 0 2861 1903"/>
                            <a:gd name="T15" fmla="*/ 2861 h 959"/>
                            <a:gd name="T16" fmla="+- 0 1311 1282"/>
                            <a:gd name="T17" fmla="*/ T16 w 29"/>
                            <a:gd name="T18" fmla="+- 0 2861 1903"/>
                            <a:gd name="T19" fmla="*/ 2861 h 959"/>
                            <a:gd name="T20" fmla="+- 0 1311 1282"/>
                            <a:gd name="T21" fmla="*/ T20 w 29"/>
                            <a:gd name="T22" fmla="+- 0 2441 1903"/>
                            <a:gd name="T23" fmla="*/ 2441 h 959"/>
                            <a:gd name="T24" fmla="+- 0 1311 1282"/>
                            <a:gd name="T25" fmla="*/ T24 w 29"/>
                            <a:gd name="T26" fmla="+- 0 1903 1903"/>
                            <a:gd name="T27" fmla="*/ 1903 h 959"/>
                          </a:gdLst>
                          <a:ahLst/>
                          <a:cxnLst>
                            <a:cxn ang="0">
                              <a:pos x="T1" y="T3"/>
                            </a:cxn>
                            <a:cxn ang="0">
                              <a:pos x="T5" y="T7"/>
                            </a:cxn>
                            <a:cxn ang="0">
                              <a:pos x="T9" y="T11"/>
                            </a:cxn>
                            <a:cxn ang="0">
                              <a:pos x="T13" y="T15"/>
                            </a:cxn>
                            <a:cxn ang="0">
                              <a:pos x="T17" y="T19"/>
                            </a:cxn>
                            <a:cxn ang="0">
                              <a:pos x="T21" y="T23"/>
                            </a:cxn>
                            <a:cxn ang="0">
                              <a:pos x="T25" y="T27"/>
                            </a:cxn>
                          </a:cxnLst>
                          <a:rect l="0" t="0" r="r" b="b"/>
                          <a:pathLst>
                            <a:path w="29" h="959">
                              <a:moveTo>
                                <a:pt x="29" y="0"/>
                              </a:moveTo>
                              <a:lnTo>
                                <a:pt x="0" y="0"/>
                              </a:lnTo>
                              <a:lnTo>
                                <a:pt x="0" y="538"/>
                              </a:lnTo>
                              <a:lnTo>
                                <a:pt x="0" y="958"/>
                              </a:lnTo>
                              <a:lnTo>
                                <a:pt x="29" y="958"/>
                              </a:lnTo>
                              <a:lnTo>
                                <a:pt x="29" y="53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CCE9FA" id="Freeform 54" o:spid="_x0000_s1026" style="position:absolute;margin-left:64.1pt;margin-top:95.15pt;width:1.45pt;height:47.95pt;z-index:1582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" path="m29,l,,,538,,958r29,l29,538,29,xe" fillcolor="#da1f2c" stroked="f">
                <v:path arrowok="t" o:connecttype="custom" o:connectlocs="18415,1208405;0,1208405;0,1550035;0,1816735;18415,1816735;18415,1550035;18415,1208405" o:connectangles="0,0,0,0,0,0,0"/>
                <w10:wrap anchorx="page"/>
              </v:shape>
            </w:pict>
          </mc:Fallback>
        </mc:AlternateContent>
      </w:r>
      <w:r w:rsidR="00000000">
        <w:t>One of the most important guidelines of the proposed Act is the introduction of a new right,</w:t>
      </w:r>
      <w:r w:rsidR="00000000">
        <w:rPr>
          <w:spacing w:val="1"/>
        </w:rPr>
        <w:t xml:space="preserve"> </w:t>
      </w:r>
      <w:r w:rsidR="00000000">
        <w:t xml:space="preserve">i.e., (paid) paternity leave for </w:t>
      </w:r>
      <w:r w:rsidR="00000000">
        <w:rPr>
          <w:b/>
        </w:rPr>
        <w:t>10 working days for employed and self-employed parents</w:t>
      </w:r>
      <w:r w:rsidR="00000000">
        <w:t>.</w:t>
      </w:r>
      <w:r w:rsidR="00000000">
        <w:rPr>
          <w:spacing w:val="1"/>
        </w:rPr>
        <w:t xml:space="preserve"> </w:t>
      </w:r>
      <w:r w:rsidR="00000000">
        <w:t>Furthermore, the purpose of paternity leave, a new principle introduced into the legal system,</w:t>
      </w:r>
      <w:r w:rsidR="00000000">
        <w:rPr>
          <w:spacing w:val="1"/>
        </w:rPr>
        <w:t xml:space="preserve"> </w:t>
      </w:r>
      <w:r w:rsidR="00000000">
        <w:t>is to enable greater involvement of fathers in childcare and participation at an early age of the</w:t>
      </w:r>
      <w:r w:rsidR="00000000">
        <w:rPr>
          <w:spacing w:val="1"/>
        </w:rPr>
        <w:t xml:space="preserve"> </w:t>
      </w:r>
      <w:r w:rsidR="00000000">
        <w:t>child. The intention is also to increase the number of fathers who use parental leave for the</w:t>
      </w:r>
      <w:r w:rsidR="00000000">
        <w:rPr>
          <w:spacing w:val="1"/>
        </w:rPr>
        <w:t xml:space="preserve"> </w:t>
      </w:r>
      <w:r w:rsidR="00000000">
        <w:t>purpose</w:t>
      </w:r>
      <w:r w:rsidR="00000000">
        <w:rPr>
          <w:spacing w:val="-2"/>
        </w:rPr>
        <w:t xml:space="preserve"> </w:t>
      </w:r>
      <w:r w:rsidR="00000000">
        <w:t>of reconciling</w:t>
      </w:r>
      <w:r w:rsidR="00000000">
        <w:rPr>
          <w:spacing w:val="-3"/>
        </w:rPr>
        <w:t xml:space="preserve"> </w:t>
      </w:r>
      <w:r w:rsidR="00000000">
        <w:t>private</w:t>
      </w:r>
      <w:r w:rsidR="00000000">
        <w:rPr>
          <w:spacing w:val="-1"/>
        </w:rPr>
        <w:t xml:space="preserve"> </w:t>
      </w:r>
      <w:r w:rsidR="00000000">
        <w:t>and business</w:t>
      </w:r>
      <w:r w:rsidR="00000000">
        <w:rPr>
          <w:spacing w:val="-1"/>
        </w:rPr>
        <w:t xml:space="preserve"> </w:t>
      </w:r>
      <w:r w:rsidR="00000000">
        <w:t>life, as</w:t>
      </w:r>
      <w:r w:rsidR="00000000">
        <w:rPr>
          <w:spacing w:val="2"/>
        </w:rPr>
        <w:t xml:space="preserve"> </w:t>
      </w:r>
      <w:r w:rsidR="00000000">
        <w:t>prescribed by</w:t>
      </w:r>
      <w:r w:rsidR="00000000">
        <w:rPr>
          <w:spacing w:val="-5"/>
        </w:rPr>
        <w:t xml:space="preserve"> </w:t>
      </w:r>
      <w:r w:rsidR="00000000">
        <w:t>the</w:t>
      </w:r>
      <w:r w:rsidR="00000000">
        <w:rPr>
          <w:spacing w:val="-2"/>
        </w:rPr>
        <w:t xml:space="preserve"> </w:t>
      </w:r>
      <w:r w:rsidR="00000000">
        <w:t>Directive.</w:t>
      </w:r>
    </w:p>
    <w:p w:rsidR="00A56FE9" w:rsidRDefault="00A56FE9">
      <w:pPr>
        <w:pStyle w:val="Tijeloteksta"/>
        <w:spacing w:before="9"/>
        <w:ind w:left="0"/>
        <w:jc w:val="left"/>
        <w:rPr>
          <w:sz w:val="31"/>
        </w:rPr>
      </w:pPr>
    </w:p>
    <w:p w:rsidR="00A56FE9" w:rsidRDefault="00000000">
      <w:pPr>
        <w:pStyle w:val="Naslov4"/>
        <w:ind w:right="281"/>
      </w:pPr>
      <w:r>
        <w:rPr>
          <w:color w:val="2C398A"/>
        </w:rPr>
        <w:t>Goal 6. Ensure availability and sustainable management of water and sanitation</w:t>
      </w:r>
      <w:r>
        <w:rPr>
          <w:color w:val="2C398A"/>
          <w:spacing w:val="1"/>
        </w:rPr>
        <w:t xml:space="preserve"> </w:t>
      </w:r>
      <w:r>
        <w:rPr>
          <w:color w:val="2C398A"/>
        </w:rPr>
        <w:t>for</w:t>
      </w:r>
      <w:r>
        <w:rPr>
          <w:color w:val="2C398A"/>
          <w:spacing w:val="-2"/>
        </w:rPr>
        <w:t xml:space="preserve"> </w:t>
      </w:r>
      <w:r>
        <w:rPr>
          <w:color w:val="2C398A"/>
        </w:rPr>
        <w:t>all</w:t>
      </w:r>
    </w:p>
    <w:p w:rsidR="00A56FE9" w:rsidRDefault="00000000">
      <w:pPr>
        <w:pStyle w:val="Tijeloteksta"/>
        <w:spacing w:before="114"/>
        <w:ind w:right="271"/>
      </w:pPr>
      <w:r>
        <w:rPr>
          <w:spacing w:val="-1"/>
        </w:rPr>
        <w:t>To</w:t>
      </w:r>
      <w:r>
        <w:rPr>
          <w:spacing w:val="-15"/>
        </w:rPr>
        <w:t xml:space="preserve"> </w:t>
      </w:r>
      <w:r>
        <w:rPr>
          <w:spacing w:val="-1"/>
        </w:rPr>
        <w:t>ensure</w:t>
      </w:r>
      <w:r>
        <w:rPr>
          <w:spacing w:val="-15"/>
        </w:rPr>
        <w:t xml:space="preserve"> </w:t>
      </w:r>
      <w:r>
        <w:rPr>
          <w:spacing w:val="-1"/>
        </w:rPr>
        <w:t>the</w:t>
      </w:r>
      <w:r>
        <w:rPr>
          <w:spacing w:val="-14"/>
        </w:rPr>
        <w:t xml:space="preserve"> </w:t>
      </w:r>
      <w:r>
        <w:rPr>
          <w:spacing w:val="-1"/>
        </w:rPr>
        <w:t>implementation</w:t>
      </w:r>
      <w:r>
        <w:rPr>
          <w:spacing w:val="-15"/>
        </w:rPr>
        <w:t xml:space="preserve"> </w:t>
      </w:r>
      <w:r>
        <w:t>of</w:t>
      </w:r>
      <w:r>
        <w:rPr>
          <w:spacing w:val="-15"/>
        </w:rPr>
        <w:t xml:space="preserve"> </w:t>
      </w:r>
      <w:r>
        <w:t>this</w:t>
      </w:r>
      <w:r>
        <w:rPr>
          <w:spacing w:val="-14"/>
        </w:rPr>
        <w:t xml:space="preserve"> </w:t>
      </w:r>
      <w:r>
        <w:t>goal</w:t>
      </w:r>
      <w:r>
        <w:rPr>
          <w:spacing w:val="-11"/>
        </w:rPr>
        <w:t xml:space="preserve"> </w:t>
      </w:r>
      <w:r>
        <w:t>and</w:t>
      </w:r>
      <w:r>
        <w:rPr>
          <w:spacing w:val="-15"/>
        </w:rPr>
        <w:t xml:space="preserve"> </w:t>
      </w:r>
      <w:r>
        <w:t>synergy</w:t>
      </w:r>
      <w:r>
        <w:rPr>
          <w:spacing w:val="-19"/>
        </w:rPr>
        <w:t xml:space="preserve"> </w:t>
      </w:r>
      <w:r>
        <w:t>in</w:t>
      </w:r>
      <w:r>
        <w:rPr>
          <w:spacing w:val="-13"/>
        </w:rPr>
        <w:t xml:space="preserve"> </w:t>
      </w:r>
      <w:r>
        <w:t>the</w:t>
      </w:r>
      <w:r>
        <w:rPr>
          <w:spacing w:val="-12"/>
        </w:rPr>
        <w:t xml:space="preserve"> </w:t>
      </w:r>
      <w:r>
        <w:t>field</w:t>
      </w:r>
      <w:r>
        <w:rPr>
          <w:spacing w:val="-14"/>
        </w:rPr>
        <w:t xml:space="preserve"> </w:t>
      </w:r>
      <w:r>
        <w:t>of</w:t>
      </w:r>
      <w:r>
        <w:rPr>
          <w:spacing w:val="-15"/>
        </w:rPr>
        <w:t xml:space="preserve"> </w:t>
      </w:r>
      <w:r>
        <w:t>sustainable</w:t>
      </w:r>
      <w:r>
        <w:rPr>
          <w:spacing w:val="-14"/>
        </w:rPr>
        <w:t xml:space="preserve"> </w:t>
      </w:r>
      <w:r>
        <w:t>water</w:t>
      </w:r>
      <w:r>
        <w:rPr>
          <w:spacing w:val="-13"/>
        </w:rPr>
        <w:t xml:space="preserve"> </w:t>
      </w:r>
      <w:r>
        <w:t>resources</w:t>
      </w:r>
      <w:r>
        <w:rPr>
          <w:spacing w:val="-58"/>
        </w:rPr>
        <w:t xml:space="preserve"> </w:t>
      </w:r>
      <w:r>
        <w:t>management and their protection, Croatia has identified key areas of intervention: improving</w:t>
      </w:r>
      <w:r>
        <w:rPr>
          <w:spacing w:val="1"/>
        </w:rPr>
        <w:t xml:space="preserve"> </w:t>
      </w:r>
      <w:r>
        <w:t>the public water supply system, improving public drainage and wastewater treatment systems,</w:t>
      </w:r>
      <w:r>
        <w:rPr>
          <w:spacing w:val="-57"/>
        </w:rPr>
        <w:t xml:space="preserve"> </w:t>
      </w:r>
      <w:r>
        <w:t>and maintaining good water status for the purpose of improving the sustainability of water use</w:t>
      </w:r>
      <w:r>
        <w:rPr>
          <w:spacing w:val="-57"/>
        </w:rPr>
        <w:t xml:space="preserve"> </w:t>
      </w:r>
      <w:r>
        <w:t>and</w:t>
      </w:r>
      <w:r>
        <w:rPr>
          <w:spacing w:val="-4"/>
        </w:rPr>
        <w:t xml:space="preserve"> </w:t>
      </w:r>
      <w:r>
        <w:t>management.</w:t>
      </w:r>
      <w:r>
        <w:rPr>
          <w:spacing w:val="-3"/>
        </w:rPr>
        <w:t xml:space="preserve"> </w:t>
      </w:r>
      <w:r>
        <w:t>A</w:t>
      </w:r>
      <w:r>
        <w:rPr>
          <w:spacing w:val="-4"/>
        </w:rPr>
        <w:t xml:space="preserve"> </w:t>
      </w:r>
      <w:r>
        <w:t>prerequisite</w:t>
      </w:r>
      <w:r>
        <w:rPr>
          <w:spacing w:val="-3"/>
        </w:rPr>
        <w:t xml:space="preserve"> </w:t>
      </w:r>
      <w:r>
        <w:t>for</w:t>
      </w:r>
      <w:r>
        <w:rPr>
          <w:spacing w:val="-4"/>
        </w:rPr>
        <w:t xml:space="preserve"> </w:t>
      </w:r>
      <w:r>
        <w:t>the</w:t>
      </w:r>
      <w:r>
        <w:rPr>
          <w:spacing w:val="-2"/>
        </w:rPr>
        <w:t xml:space="preserve"> </w:t>
      </w:r>
      <w:r>
        <w:t>effective</w:t>
      </w:r>
      <w:r>
        <w:rPr>
          <w:spacing w:val="1"/>
        </w:rPr>
        <w:t xml:space="preserve"> </w:t>
      </w:r>
      <w:r>
        <w:t>implementation</w:t>
      </w:r>
      <w:r>
        <w:rPr>
          <w:spacing w:val="-2"/>
        </w:rPr>
        <w:t xml:space="preserve"> </w:t>
      </w:r>
      <w:r>
        <w:t>of</w:t>
      </w:r>
      <w:r>
        <w:rPr>
          <w:spacing w:val="-5"/>
        </w:rPr>
        <w:t xml:space="preserve"> </w:t>
      </w:r>
      <w:r>
        <w:t>the</w:t>
      </w:r>
      <w:r>
        <w:rPr>
          <w:spacing w:val="-3"/>
        </w:rPr>
        <w:t xml:space="preserve"> </w:t>
      </w:r>
      <w:r>
        <w:t>necessary</w:t>
      </w:r>
      <w:r>
        <w:rPr>
          <w:spacing w:val="-9"/>
        </w:rPr>
        <w:t xml:space="preserve"> </w:t>
      </w:r>
      <w:r>
        <w:t>investments</w:t>
      </w:r>
      <w:r>
        <w:rPr>
          <w:spacing w:val="-57"/>
        </w:rPr>
        <w:t xml:space="preserve"> </w:t>
      </w:r>
      <w:r>
        <w:t>in the field of water management is reforming the water services sector and defining the</w:t>
      </w:r>
      <w:r>
        <w:rPr>
          <w:spacing w:val="1"/>
        </w:rPr>
        <w:t xml:space="preserve"> </w:t>
      </w:r>
      <w:r>
        <w:t>financial</w:t>
      </w:r>
      <w:r>
        <w:rPr>
          <w:spacing w:val="-12"/>
        </w:rPr>
        <w:t xml:space="preserve"> </w:t>
      </w:r>
      <w:r>
        <w:t>framework.</w:t>
      </w:r>
      <w:r>
        <w:rPr>
          <w:spacing w:val="-11"/>
        </w:rPr>
        <w:t xml:space="preserve"> </w:t>
      </w:r>
      <w:r>
        <w:t>Therefore,</w:t>
      </w:r>
      <w:r>
        <w:rPr>
          <w:spacing w:val="-13"/>
        </w:rPr>
        <w:t xml:space="preserve"> </w:t>
      </w:r>
      <w:r>
        <w:t>in</w:t>
      </w:r>
      <w:r>
        <w:rPr>
          <w:spacing w:val="-13"/>
        </w:rPr>
        <w:t xml:space="preserve"> </w:t>
      </w:r>
      <w:r>
        <w:t>terms</w:t>
      </w:r>
      <w:r>
        <w:rPr>
          <w:spacing w:val="-13"/>
        </w:rPr>
        <w:t xml:space="preserve"> </w:t>
      </w:r>
      <w:r>
        <w:t>of</w:t>
      </w:r>
      <w:r>
        <w:rPr>
          <w:spacing w:val="-13"/>
        </w:rPr>
        <w:t xml:space="preserve"> </w:t>
      </w:r>
      <w:r>
        <w:t>NRRP</w:t>
      </w:r>
      <w:r>
        <w:rPr>
          <w:spacing w:val="-12"/>
        </w:rPr>
        <w:t xml:space="preserve"> </w:t>
      </w:r>
      <w:r>
        <w:t>reform</w:t>
      </w:r>
      <w:r>
        <w:rPr>
          <w:spacing w:val="-12"/>
        </w:rPr>
        <w:t xml:space="preserve"> </w:t>
      </w:r>
      <w:r>
        <w:t>C1.3.</w:t>
      </w:r>
      <w:r>
        <w:rPr>
          <w:spacing w:val="-10"/>
        </w:rPr>
        <w:t xml:space="preserve"> </w:t>
      </w:r>
      <w:r>
        <w:t>Improving</w:t>
      </w:r>
      <w:r>
        <w:rPr>
          <w:spacing w:val="-14"/>
        </w:rPr>
        <w:t xml:space="preserve"> </w:t>
      </w:r>
      <w:r>
        <w:t>Water</w:t>
      </w:r>
      <w:r>
        <w:rPr>
          <w:spacing w:val="-14"/>
        </w:rPr>
        <w:t xml:space="preserve"> </w:t>
      </w:r>
      <w:r>
        <w:t>Management</w:t>
      </w:r>
      <w:r>
        <w:rPr>
          <w:spacing w:val="-57"/>
        </w:rPr>
        <w:t xml:space="preserve"> </w:t>
      </w:r>
      <w:r>
        <w:t>and Waste Management, the Regulation on Service Areas</w:t>
      </w:r>
      <w:r>
        <w:rPr>
          <w:vertAlign w:val="superscript"/>
        </w:rPr>
        <w:t>41</w:t>
      </w:r>
      <w:r>
        <w:t xml:space="preserve"> was adopted in December 2021 as</w:t>
      </w:r>
      <w:r>
        <w:rPr>
          <w:spacing w:val="-57"/>
        </w:rPr>
        <w:t xml:space="preserve"> </w:t>
      </w:r>
      <w:r>
        <w:rPr>
          <w:spacing w:val="-1"/>
        </w:rPr>
        <w:t>a</w:t>
      </w:r>
      <w:r>
        <w:rPr>
          <w:spacing w:val="-13"/>
        </w:rPr>
        <w:t xml:space="preserve"> </w:t>
      </w:r>
      <w:r>
        <w:rPr>
          <w:spacing w:val="-1"/>
        </w:rPr>
        <w:t>supplement</w:t>
      </w:r>
      <w:r>
        <w:rPr>
          <w:spacing w:val="-12"/>
        </w:rPr>
        <w:t xml:space="preserve"> </w:t>
      </w:r>
      <w:r>
        <w:rPr>
          <w:spacing w:val="-1"/>
        </w:rPr>
        <w:t>to</w:t>
      </w:r>
      <w:r>
        <w:rPr>
          <w:spacing w:val="-12"/>
        </w:rPr>
        <w:t xml:space="preserve"> </w:t>
      </w:r>
      <w:r>
        <w:t>the</w:t>
      </w:r>
      <w:r>
        <w:rPr>
          <w:spacing w:val="-13"/>
        </w:rPr>
        <w:t xml:space="preserve"> </w:t>
      </w:r>
      <w:r>
        <w:t>legal</w:t>
      </w:r>
      <w:r>
        <w:rPr>
          <w:spacing w:val="-9"/>
        </w:rPr>
        <w:t xml:space="preserve"> </w:t>
      </w:r>
      <w:r>
        <w:t>framework</w:t>
      </w:r>
      <w:r>
        <w:rPr>
          <w:spacing w:val="-13"/>
        </w:rPr>
        <w:t xml:space="preserve"> </w:t>
      </w:r>
      <w:r>
        <w:t>necessary</w:t>
      </w:r>
      <w:r>
        <w:rPr>
          <w:spacing w:val="-16"/>
        </w:rPr>
        <w:t xml:space="preserve"> </w:t>
      </w:r>
      <w:r>
        <w:t>for</w:t>
      </w:r>
      <w:r>
        <w:rPr>
          <w:spacing w:val="-11"/>
        </w:rPr>
        <w:t xml:space="preserve"> </w:t>
      </w:r>
      <w:r>
        <w:t>the</w:t>
      </w:r>
      <w:r>
        <w:rPr>
          <w:spacing w:val="-13"/>
        </w:rPr>
        <w:t xml:space="preserve"> </w:t>
      </w:r>
      <w:r>
        <w:t>operational</w:t>
      </w:r>
      <w:r>
        <w:rPr>
          <w:spacing w:val="-12"/>
        </w:rPr>
        <w:t xml:space="preserve"> </w:t>
      </w:r>
      <w:r>
        <w:t>implementation</w:t>
      </w:r>
      <w:r>
        <w:rPr>
          <w:spacing w:val="-12"/>
        </w:rPr>
        <w:t xml:space="preserve"> </w:t>
      </w:r>
      <w:r>
        <w:t>of</w:t>
      </w:r>
      <w:r>
        <w:rPr>
          <w:spacing w:val="-13"/>
        </w:rPr>
        <w:t xml:space="preserve"> </w:t>
      </w:r>
      <w:r>
        <w:t>the</w:t>
      </w:r>
      <w:r>
        <w:rPr>
          <w:spacing w:val="-13"/>
        </w:rPr>
        <w:t xml:space="preserve"> </w:t>
      </w:r>
      <w:r>
        <w:t>reform</w:t>
      </w:r>
      <w:r>
        <w:rPr>
          <w:spacing w:val="-57"/>
        </w:rPr>
        <w:t xml:space="preserve"> </w:t>
      </w:r>
      <w:r>
        <w:t>in the water services sector and the Multiyear Program for the Construction of Municipal</w:t>
      </w:r>
      <w:r>
        <w:rPr>
          <w:spacing w:val="1"/>
        </w:rPr>
        <w:t xml:space="preserve"> </w:t>
      </w:r>
      <w:r>
        <w:t>Waterworks</w:t>
      </w:r>
      <w:r>
        <w:rPr>
          <w:spacing w:val="1"/>
        </w:rPr>
        <w:t xml:space="preserve"> </w:t>
      </w:r>
      <w:r>
        <w:t>Buildings</w:t>
      </w:r>
      <w:r>
        <w:rPr>
          <w:spacing w:val="1"/>
        </w:rPr>
        <w:t xml:space="preserve"> </w:t>
      </w:r>
      <w:r>
        <w:t>to</w:t>
      </w:r>
      <w:r>
        <w:rPr>
          <w:spacing w:val="1"/>
        </w:rPr>
        <w:t xml:space="preserve"> </w:t>
      </w:r>
      <w:r>
        <w:t>2030,</w:t>
      </w:r>
      <w:r>
        <w:rPr>
          <w:vertAlign w:val="superscript"/>
        </w:rPr>
        <w:t>42</w:t>
      </w:r>
      <w:r>
        <w:rPr>
          <w:spacing w:val="1"/>
        </w:rPr>
        <w:t xml:space="preserve"> </w:t>
      </w:r>
      <w:r>
        <w:t>which</w:t>
      </w:r>
      <w:r>
        <w:rPr>
          <w:spacing w:val="1"/>
        </w:rPr>
        <w:t xml:space="preserve"> </w:t>
      </w:r>
      <w:r>
        <w:t>identifies</w:t>
      </w:r>
      <w:r>
        <w:rPr>
          <w:spacing w:val="1"/>
        </w:rPr>
        <w:t xml:space="preserve"> </w:t>
      </w:r>
      <w:r>
        <w:t>the</w:t>
      </w:r>
      <w:r>
        <w:rPr>
          <w:spacing w:val="1"/>
        </w:rPr>
        <w:t xml:space="preserve"> </w:t>
      </w:r>
      <w:r>
        <w:t>framework</w:t>
      </w:r>
      <w:r>
        <w:rPr>
          <w:spacing w:val="1"/>
        </w:rPr>
        <w:t xml:space="preserve"> </w:t>
      </w:r>
      <w:r>
        <w:t>for</w:t>
      </w:r>
      <w:r>
        <w:rPr>
          <w:spacing w:val="1"/>
        </w:rPr>
        <w:t xml:space="preserve"> </w:t>
      </w:r>
      <w:r>
        <w:t>investing</w:t>
      </w:r>
      <w:r>
        <w:rPr>
          <w:spacing w:val="1"/>
        </w:rPr>
        <w:t xml:space="preserve"> </w:t>
      </w:r>
      <w:r>
        <w:t>in</w:t>
      </w:r>
      <w:r>
        <w:rPr>
          <w:spacing w:val="1"/>
        </w:rPr>
        <w:t xml:space="preserve"> </w:t>
      </w:r>
      <w:r>
        <w:t>the</w:t>
      </w:r>
      <w:r>
        <w:rPr>
          <w:spacing w:val="1"/>
        </w:rPr>
        <w:t xml:space="preserve"> </w:t>
      </w:r>
      <w:r>
        <w:t>development of the public water supply and sewage, as well risk assessment and mitigation</w:t>
      </w:r>
      <w:r>
        <w:rPr>
          <w:spacing w:val="1"/>
        </w:rPr>
        <w:t xml:space="preserve"> </w:t>
      </w:r>
      <w:r>
        <w:t>measures.</w:t>
      </w:r>
    </w:p>
    <w:p w:rsidR="00A56FE9" w:rsidRDefault="00CC1B9B">
      <w:pPr>
        <w:pStyle w:val="Tijeloteksta"/>
        <w:spacing w:before="8"/>
        <w:ind w:left="0"/>
        <w:jc w:val="left"/>
        <w:rPr>
          <w:sz w:val="13"/>
        </w:rPr>
      </w:pPr>
      <w:r>
        <w:rPr>
          <w:noProof/>
        </w:rPr>
        <mc:AlternateContent>
          <mc:Choice Requires="wps">
            <w:drawing>
              <wp:anchor distT="0" distB="0" distL="0" distR="0" simplePos="0" relativeHeight="487685120" behindDoc="1" locked="0" layoutInCell="1" allowOverlap="1">
                <wp:simplePos x="0" y="0"/>
                <wp:positionH relativeFrom="page">
                  <wp:posOffset>882650</wp:posOffset>
                </wp:positionH>
                <wp:positionV relativeFrom="paragraph">
                  <wp:posOffset>125095</wp:posOffset>
                </wp:positionV>
                <wp:extent cx="574675" cy="18415"/>
                <wp:effectExtent l="0" t="0" r="0" b="0"/>
                <wp:wrapTopAndBottom/>
                <wp:docPr id="627258921"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AC66F" id="Rectangle 53" o:spid="_x0000_s1026" style="position:absolute;margin-left:69.5pt;margin-top:9.85pt;width:45.25pt;height:1.45pt;z-index:-15631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tPU7n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t>The proposed Agriculture Strategy of the Republic of Croatia for the period until 2030, and</w:t>
      </w:r>
      <w:r>
        <w:rPr>
          <w:spacing w:val="1"/>
        </w:rPr>
        <w:t xml:space="preserve"> </w:t>
      </w:r>
      <w:r>
        <w:t>which is in the process of adoption, illustrates the need for better access to irrigation water to</w:t>
      </w:r>
      <w:r>
        <w:rPr>
          <w:spacing w:val="1"/>
        </w:rPr>
        <w:t xml:space="preserve"> </w:t>
      </w:r>
      <w:r>
        <w:t>improve agricultural productivity. Accordingly, an intervention entitled Improving Access to</w:t>
      </w:r>
      <w:r>
        <w:rPr>
          <w:spacing w:val="1"/>
        </w:rPr>
        <w:t xml:space="preserve"> </w:t>
      </w:r>
      <w:r>
        <w:t>Water for Irrigation and the Its Efficient Use was developed, which aims to implement the</w:t>
      </w:r>
      <w:r>
        <w:rPr>
          <w:spacing w:val="1"/>
        </w:rPr>
        <w:t xml:space="preserve"> </w:t>
      </w:r>
      <w:r>
        <w:t>National Project for Irrigation and Management of Agricultural Land and Water Use in the</w:t>
      </w:r>
      <w:r>
        <w:rPr>
          <w:spacing w:val="1"/>
        </w:rPr>
        <w:t xml:space="preserve"> </w:t>
      </w:r>
      <w:r>
        <w:t>Republic</w:t>
      </w:r>
      <w:r>
        <w:rPr>
          <w:spacing w:val="-12"/>
        </w:rPr>
        <w:t xml:space="preserve"> </w:t>
      </w:r>
      <w:r>
        <w:t>of</w:t>
      </w:r>
      <w:r>
        <w:rPr>
          <w:spacing w:val="-12"/>
        </w:rPr>
        <w:t xml:space="preserve"> </w:t>
      </w:r>
      <w:r>
        <w:t>Croatia</w:t>
      </w:r>
      <w:r>
        <w:rPr>
          <w:spacing w:val="-10"/>
        </w:rPr>
        <w:t xml:space="preserve"> </w:t>
      </w:r>
      <w:r>
        <w:t>(NAPNAV).</w:t>
      </w:r>
      <w:r>
        <w:rPr>
          <w:spacing w:val="-11"/>
        </w:rPr>
        <w:t xml:space="preserve"> </w:t>
      </w:r>
      <w:r>
        <w:t>The</w:t>
      </w:r>
      <w:r>
        <w:rPr>
          <w:spacing w:val="-12"/>
        </w:rPr>
        <w:t xml:space="preserve"> </w:t>
      </w:r>
      <w:r>
        <w:t>emphasis</w:t>
      </w:r>
      <w:r>
        <w:rPr>
          <w:spacing w:val="-10"/>
        </w:rPr>
        <w:t xml:space="preserve"> </w:t>
      </w:r>
      <w:r>
        <w:t>is</w:t>
      </w:r>
      <w:r>
        <w:rPr>
          <w:spacing w:val="-5"/>
        </w:rPr>
        <w:t xml:space="preserve"> </w:t>
      </w:r>
      <w:r>
        <w:t>placed</w:t>
      </w:r>
      <w:r>
        <w:rPr>
          <w:spacing w:val="-11"/>
        </w:rPr>
        <w:t xml:space="preserve"> </w:t>
      </w:r>
      <w:r>
        <w:t>on</w:t>
      </w:r>
      <w:r>
        <w:rPr>
          <w:spacing w:val="-9"/>
        </w:rPr>
        <w:t xml:space="preserve"> </w:t>
      </w:r>
      <w:r>
        <w:t>the</w:t>
      </w:r>
      <w:r>
        <w:rPr>
          <w:spacing w:val="-9"/>
        </w:rPr>
        <w:t xml:space="preserve"> </w:t>
      </w:r>
      <w:r>
        <w:t>construction,</w:t>
      </w:r>
      <w:r>
        <w:rPr>
          <w:spacing w:val="-10"/>
        </w:rPr>
        <w:t xml:space="preserve"> </w:t>
      </w:r>
      <w:r>
        <w:t>rehabilitation</w:t>
      </w:r>
      <w:r>
        <w:rPr>
          <w:spacing w:val="-11"/>
        </w:rPr>
        <w:t xml:space="preserve"> </w:t>
      </w:r>
      <w:r>
        <w:t>and</w:t>
      </w:r>
      <w:r>
        <w:rPr>
          <w:spacing w:val="-58"/>
        </w:rPr>
        <w:t xml:space="preserve"> </w:t>
      </w:r>
      <w:r>
        <w:t>modernisation of irrigation and drainage infrastructure on existing agricultural land and the</w:t>
      </w:r>
      <w:r>
        <w:rPr>
          <w:spacing w:val="1"/>
        </w:rPr>
        <w:t xml:space="preserve"> </w:t>
      </w:r>
      <w:r>
        <w:t>adoption</w:t>
      </w:r>
      <w:r>
        <w:rPr>
          <w:spacing w:val="-1"/>
        </w:rPr>
        <w:t xml:space="preserve"> </w:t>
      </w:r>
      <w:r>
        <w:t>of</w:t>
      </w:r>
      <w:r>
        <w:rPr>
          <w:spacing w:val="-1"/>
        </w:rPr>
        <w:t xml:space="preserve"> </w:t>
      </w:r>
      <w:r>
        <w:t>new technologies in</w:t>
      </w:r>
      <w:r>
        <w:rPr>
          <w:spacing w:val="1"/>
        </w:rPr>
        <w:t xml:space="preserve"> </w:t>
      </w:r>
      <w:r>
        <w:t>irrigated agriculture.</w:t>
      </w:r>
    </w:p>
    <w:p w:rsidR="00A56FE9" w:rsidRDefault="00000000">
      <w:pPr>
        <w:pStyle w:val="Tijeloteksta"/>
        <w:spacing w:before="121"/>
        <w:ind w:right="281"/>
      </w:pPr>
      <w:r>
        <w:t>In terms of the Rural Development Program of the Republic of Croatia, 17 public irrigation</w:t>
      </w:r>
      <w:r>
        <w:rPr>
          <w:spacing w:val="1"/>
        </w:rPr>
        <w:t xml:space="preserve"> </w:t>
      </w:r>
      <w:r>
        <w:t>projects</w:t>
      </w:r>
      <w:r>
        <w:rPr>
          <w:spacing w:val="-1"/>
        </w:rPr>
        <w:t xml:space="preserve"> </w:t>
      </w:r>
      <w:r>
        <w:t>were</w:t>
      </w:r>
      <w:r>
        <w:rPr>
          <w:spacing w:val="-1"/>
        </w:rPr>
        <w:t xml:space="preserve"> </w:t>
      </w:r>
      <w:r>
        <w:t>approved,</w:t>
      </w:r>
      <w:r>
        <w:rPr>
          <w:spacing w:val="2"/>
        </w:rPr>
        <w:t xml:space="preserve"> </w:t>
      </w:r>
      <w:r>
        <w:t>covering</w:t>
      </w:r>
      <w:r>
        <w:rPr>
          <w:spacing w:val="-3"/>
        </w:rPr>
        <w:t xml:space="preserve"> </w:t>
      </w:r>
      <w:r>
        <w:t>a</w:t>
      </w:r>
      <w:r>
        <w:rPr>
          <w:spacing w:val="-2"/>
        </w:rPr>
        <w:t xml:space="preserve"> </w:t>
      </w:r>
      <w:r>
        <w:t>total of 7,072</w:t>
      </w:r>
      <w:r>
        <w:rPr>
          <w:spacing w:val="1"/>
        </w:rPr>
        <w:t xml:space="preserve"> </w:t>
      </w:r>
      <w:r>
        <w:t>ha</w:t>
      </w:r>
      <w:r>
        <w:rPr>
          <w:spacing w:val="-2"/>
        </w:rPr>
        <w:t xml:space="preserve"> </w:t>
      </w:r>
      <w:r>
        <w:t>of agricultural land.</w:t>
      </w:r>
    </w:p>
    <w:p w:rsidR="00A56FE9" w:rsidRDefault="00000000">
      <w:pPr>
        <w:pStyle w:val="Tijeloteksta"/>
        <w:spacing w:before="120"/>
        <w:ind w:right="272"/>
      </w:pPr>
      <w:r>
        <w:t>The</w:t>
      </w:r>
      <w:r>
        <w:rPr>
          <w:spacing w:val="-15"/>
        </w:rPr>
        <w:t xml:space="preserve"> </w:t>
      </w:r>
      <w:r>
        <w:t>implementation</w:t>
      </w:r>
      <w:r>
        <w:rPr>
          <w:spacing w:val="-13"/>
        </w:rPr>
        <w:t xml:space="preserve"> </w:t>
      </w:r>
      <w:r>
        <w:t>of</w:t>
      </w:r>
      <w:r>
        <w:rPr>
          <w:spacing w:val="-14"/>
        </w:rPr>
        <w:t xml:space="preserve"> </w:t>
      </w:r>
      <w:r>
        <w:t>the</w:t>
      </w:r>
      <w:r>
        <w:rPr>
          <w:spacing w:val="-12"/>
        </w:rPr>
        <w:t xml:space="preserve"> </w:t>
      </w:r>
      <w:r>
        <w:t>measure</w:t>
      </w:r>
      <w:r>
        <w:rPr>
          <w:spacing w:val="-13"/>
        </w:rPr>
        <w:t xml:space="preserve"> </w:t>
      </w:r>
      <w:r>
        <w:t>for</w:t>
      </w:r>
      <w:r>
        <w:rPr>
          <w:spacing w:val="-15"/>
        </w:rPr>
        <w:t xml:space="preserve"> </w:t>
      </w:r>
      <w:r>
        <w:t>agricultural</w:t>
      </w:r>
      <w:r>
        <w:rPr>
          <w:spacing w:val="-11"/>
        </w:rPr>
        <w:t xml:space="preserve"> </w:t>
      </w:r>
      <w:r>
        <w:t>land</w:t>
      </w:r>
      <w:r>
        <w:rPr>
          <w:spacing w:val="-14"/>
        </w:rPr>
        <w:t xml:space="preserve"> </w:t>
      </w:r>
      <w:r>
        <w:t>consolidation,</w:t>
      </w:r>
      <w:r>
        <w:rPr>
          <w:spacing w:val="-12"/>
        </w:rPr>
        <w:t xml:space="preserve"> </w:t>
      </w:r>
      <w:r>
        <w:t>as</w:t>
      </w:r>
      <w:r>
        <w:rPr>
          <w:spacing w:val="-13"/>
        </w:rPr>
        <w:t xml:space="preserve"> </w:t>
      </w:r>
      <w:r>
        <w:t>planned</w:t>
      </w:r>
      <w:r>
        <w:rPr>
          <w:spacing w:val="-13"/>
        </w:rPr>
        <w:t xml:space="preserve"> </w:t>
      </w:r>
      <w:r>
        <w:t>in</w:t>
      </w:r>
      <w:r>
        <w:rPr>
          <w:spacing w:val="-13"/>
        </w:rPr>
        <w:t xml:space="preserve"> </w:t>
      </w:r>
      <w:r>
        <w:t>the</w:t>
      </w:r>
      <w:r>
        <w:rPr>
          <w:spacing w:val="-13"/>
        </w:rPr>
        <w:t xml:space="preserve"> </w:t>
      </w:r>
      <w:r>
        <w:t>NRRP,</w:t>
      </w:r>
      <w:r>
        <w:rPr>
          <w:spacing w:val="-58"/>
        </w:rPr>
        <w:t xml:space="preserve"> </w:t>
      </w:r>
      <w:r>
        <w:t>provides the preconditions for the construction of the necessary infrastructure in rural areas,</w:t>
      </w:r>
      <w:r>
        <w:rPr>
          <w:spacing w:val="1"/>
        </w:rPr>
        <w:t xml:space="preserve"> </w:t>
      </w:r>
      <w:r>
        <w:t>including</w:t>
      </w:r>
      <w:r>
        <w:rPr>
          <w:spacing w:val="-3"/>
        </w:rPr>
        <w:t xml:space="preserve"> </w:t>
      </w:r>
      <w:r>
        <w:t>irrigation systems.</w:t>
      </w: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CC1B9B">
      <w:pPr>
        <w:pStyle w:val="Tijeloteksta"/>
        <w:spacing w:before="10"/>
        <w:ind w:left="0"/>
        <w:jc w:val="left"/>
        <w:rPr>
          <w:sz w:val="29"/>
        </w:rPr>
      </w:pPr>
      <w:r>
        <w:rPr>
          <w:noProof/>
        </w:rPr>
        <mc:AlternateContent>
          <mc:Choice Requires="wps">
            <w:drawing>
              <wp:anchor distT="0" distB="0" distL="0" distR="0" simplePos="0" relativeHeight="487685632" behindDoc="1" locked="0" layoutInCell="1" allowOverlap="1">
                <wp:simplePos x="0" y="0"/>
                <wp:positionH relativeFrom="page">
                  <wp:posOffset>901065</wp:posOffset>
                </wp:positionH>
                <wp:positionV relativeFrom="paragraph">
                  <wp:posOffset>243205</wp:posOffset>
                </wp:positionV>
                <wp:extent cx="1828800" cy="7620"/>
                <wp:effectExtent l="0" t="0" r="0" b="0"/>
                <wp:wrapTopAndBottom/>
                <wp:docPr id="78587743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9F62D" id="Rectangle 52" o:spid="_x0000_s1026" style="position:absolute;margin-left:70.95pt;margin-top:19.15pt;width:2in;height:.6pt;z-index:-15630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" fillcolor="black" stroked="f">
                <w10:wrap type="topAndBottom" anchorx="page"/>
              </v:rect>
            </w:pict>
          </mc:Fallback>
        </mc:AlternateContent>
      </w:r>
    </w:p>
    <w:p w:rsidR="00A56FE9" w:rsidRDefault="00000000">
      <w:pPr>
        <w:spacing w:before="73"/>
        <w:ind w:left="138"/>
        <w:rPr>
          <w:sz w:val="16"/>
        </w:rPr>
      </w:pPr>
      <w:r>
        <w:rPr>
          <w:sz w:val="16"/>
          <w:vertAlign w:val="superscript"/>
        </w:rPr>
        <w:t>41</w:t>
      </w:r>
      <w:r>
        <w:rPr>
          <w:spacing w:val="-1"/>
          <w:sz w:val="16"/>
        </w:rPr>
        <w:t xml:space="preserve"> </w:t>
      </w:r>
      <w:r>
        <w:rPr>
          <w:sz w:val="16"/>
        </w:rPr>
        <w:t>OG</w:t>
      </w:r>
      <w:r>
        <w:rPr>
          <w:spacing w:val="-3"/>
          <w:sz w:val="16"/>
        </w:rPr>
        <w:t xml:space="preserve"> </w:t>
      </w:r>
      <w:r>
        <w:rPr>
          <w:sz w:val="16"/>
        </w:rPr>
        <w:t>147/21</w:t>
      </w:r>
    </w:p>
    <w:p w:rsidR="00A56FE9" w:rsidRDefault="00000000">
      <w:pPr>
        <w:spacing w:before="1"/>
        <w:ind w:left="138"/>
        <w:rPr>
          <w:sz w:val="16"/>
        </w:rPr>
      </w:pPr>
      <w:r>
        <w:rPr>
          <w:sz w:val="16"/>
          <w:vertAlign w:val="superscript"/>
        </w:rPr>
        <w:t>42</w:t>
      </w:r>
      <w:r>
        <w:rPr>
          <w:spacing w:val="-1"/>
          <w:sz w:val="16"/>
        </w:rPr>
        <w:t xml:space="preserve"> </w:t>
      </w:r>
      <w:r>
        <w:rPr>
          <w:sz w:val="16"/>
        </w:rPr>
        <w:t>OG</w:t>
      </w:r>
      <w:r>
        <w:rPr>
          <w:spacing w:val="-3"/>
          <w:sz w:val="16"/>
        </w:rPr>
        <w:t xml:space="preserve"> </w:t>
      </w:r>
      <w:r>
        <w:rPr>
          <w:sz w:val="16"/>
        </w:rPr>
        <w:t>147/21</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A56FE9">
      <w:pPr>
        <w:pStyle w:val="Tijeloteksta"/>
        <w:spacing w:before="2"/>
        <w:ind w:left="0"/>
        <w:jc w:val="left"/>
        <w:rPr>
          <w:sz w:val="13"/>
        </w:rPr>
      </w:pPr>
    </w:p>
    <w:p w:rsidR="00A56FE9" w:rsidRDefault="00CC1B9B">
      <w:pPr>
        <w:pStyle w:val="Naslov4"/>
        <w:spacing w:before="88"/>
        <w:ind w:right="281"/>
      </w:pPr>
      <w:r>
        <w:rPr>
          <w:noProof/>
        </w:rPr>
        <mc:AlternateContent>
          <mc:Choice Requires="wps">
            <w:drawing>
              <wp:anchor distT="0" distB="0" distL="114300" distR="114300" simplePos="0" relativeHeight="15827968" behindDoc="0" locked="0" layoutInCell="1" allowOverlap="1">
                <wp:simplePos x="0" y="0"/>
                <wp:positionH relativeFrom="page">
                  <wp:posOffset>814070</wp:posOffset>
                </wp:positionH>
                <wp:positionV relativeFrom="paragraph">
                  <wp:posOffset>-96520</wp:posOffset>
                </wp:positionV>
                <wp:extent cx="18415" cy="608965"/>
                <wp:effectExtent l="0" t="0" r="0" b="0"/>
                <wp:wrapNone/>
                <wp:docPr id="1152768144"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965"/>
                        </a:xfrm>
                        <a:custGeom>
                          <a:avLst/>
                          <a:gdLst>
                            <a:gd name="T0" fmla="+- 0 1311 1282"/>
                            <a:gd name="T1" fmla="*/ T0 w 29"/>
                            <a:gd name="T2" fmla="+- 0 -152 -152"/>
                            <a:gd name="T3" fmla="*/ -152 h 959"/>
                            <a:gd name="T4" fmla="+- 0 1282 1282"/>
                            <a:gd name="T5" fmla="*/ T4 w 29"/>
                            <a:gd name="T6" fmla="+- 0 -152 -152"/>
                            <a:gd name="T7" fmla="*/ -152 h 959"/>
                            <a:gd name="T8" fmla="+- 0 1282 1282"/>
                            <a:gd name="T9" fmla="*/ T8 w 29"/>
                            <a:gd name="T10" fmla="+- 0 386 -152"/>
                            <a:gd name="T11" fmla="*/ 386 h 959"/>
                            <a:gd name="T12" fmla="+- 0 1282 1282"/>
                            <a:gd name="T13" fmla="*/ T12 w 29"/>
                            <a:gd name="T14" fmla="+- 0 806 -152"/>
                            <a:gd name="T15" fmla="*/ 806 h 959"/>
                            <a:gd name="T16" fmla="+- 0 1311 1282"/>
                            <a:gd name="T17" fmla="*/ T16 w 29"/>
                            <a:gd name="T18" fmla="+- 0 806 -152"/>
                            <a:gd name="T19" fmla="*/ 806 h 959"/>
                            <a:gd name="T20" fmla="+- 0 1311 1282"/>
                            <a:gd name="T21" fmla="*/ T20 w 29"/>
                            <a:gd name="T22" fmla="+- 0 386 -152"/>
                            <a:gd name="T23" fmla="*/ 386 h 959"/>
                            <a:gd name="T24" fmla="+- 0 1311 1282"/>
                            <a:gd name="T25" fmla="*/ T24 w 29"/>
                            <a:gd name="T26" fmla="+- 0 -152 -152"/>
                            <a:gd name="T27" fmla="*/ -152 h 959"/>
                          </a:gdLst>
                          <a:ahLst/>
                          <a:cxnLst>
                            <a:cxn ang="0">
                              <a:pos x="T1" y="T3"/>
                            </a:cxn>
                            <a:cxn ang="0">
                              <a:pos x="T5" y="T7"/>
                            </a:cxn>
                            <a:cxn ang="0">
                              <a:pos x="T9" y="T11"/>
                            </a:cxn>
                            <a:cxn ang="0">
                              <a:pos x="T13" y="T15"/>
                            </a:cxn>
                            <a:cxn ang="0">
                              <a:pos x="T17" y="T19"/>
                            </a:cxn>
                            <a:cxn ang="0">
                              <a:pos x="T21" y="T23"/>
                            </a:cxn>
                            <a:cxn ang="0">
                              <a:pos x="T25" y="T27"/>
                            </a:cxn>
                          </a:cxnLst>
                          <a:rect l="0" t="0" r="r" b="b"/>
                          <a:pathLst>
                            <a:path w="29" h="959">
                              <a:moveTo>
                                <a:pt x="29" y="0"/>
                              </a:moveTo>
                              <a:lnTo>
                                <a:pt x="0" y="0"/>
                              </a:lnTo>
                              <a:lnTo>
                                <a:pt x="0" y="538"/>
                              </a:lnTo>
                              <a:lnTo>
                                <a:pt x="0" y="958"/>
                              </a:lnTo>
                              <a:lnTo>
                                <a:pt x="29" y="958"/>
                              </a:lnTo>
                              <a:lnTo>
                                <a:pt x="29" y="53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A7D61" id="Freeform 51" o:spid="_x0000_s1026" style="position:absolute;margin-left:64.1pt;margin-top:-7.6pt;width:1.45pt;height:47.95pt;z-index:1582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" path="m29,l,,,538,,958r29,l29,538,29,xe" fillcolor="#da1f2c" stroked="f">
                <v:path arrowok="t" o:connecttype="custom" o:connectlocs="18415,-96520;0,-96520;0,245110;0,511810;18415,511810;18415,245110;18415,-96520" o:connectangles="0,0,0,0,0,0,0"/>
                <w10:wrap anchorx="page"/>
              </v:shape>
            </w:pict>
          </mc:Fallback>
        </mc:AlternateContent>
      </w:r>
      <w:r w:rsidR="00000000">
        <w:rPr>
          <w:color w:val="2C398A"/>
        </w:rPr>
        <w:t>Goal 7. Ensure access to affordable, reliable, sustainable and modern energy for</w:t>
      </w:r>
      <w:r w:rsidR="00000000">
        <w:rPr>
          <w:color w:val="2C398A"/>
          <w:spacing w:val="1"/>
        </w:rPr>
        <w:t xml:space="preserve"> </w:t>
      </w:r>
      <w:r w:rsidR="00000000">
        <w:rPr>
          <w:color w:val="2C398A"/>
        </w:rPr>
        <w:t>all</w:t>
      </w:r>
    </w:p>
    <w:p w:rsidR="00A56FE9" w:rsidRDefault="00CC1B9B">
      <w:pPr>
        <w:pStyle w:val="Tijeloteksta"/>
        <w:spacing w:before="115"/>
        <w:ind w:right="272"/>
      </w:pPr>
      <w:r>
        <w:rPr>
          <w:noProof/>
        </w:rPr>
        <mc:AlternateContent>
          <mc:Choice Requires="wps">
            <w:drawing>
              <wp:anchor distT="0" distB="0" distL="114300" distR="114300" simplePos="0" relativeHeight="15828480" behindDoc="0" locked="0" layoutInCell="1" allowOverlap="1">
                <wp:simplePos x="0" y="0"/>
                <wp:positionH relativeFrom="page">
                  <wp:posOffset>814070</wp:posOffset>
                </wp:positionH>
                <wp:positionV relativeFrom="paragraph">
                  <wp:posOffset>2256155</wp:posOffset>
                </wp:positionV>
                <wp:extent cx="18415" cy="608330"/>
                <wp:effectExtent l="0" t="0" r="0" b="0"/>
                <wp:wrapNone/>
                <wp:docPr id="1647039920"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330"/>
                        </a:xfrm>
                        <a:custGeom>
                          <a:avLst/>
                          <a:gdLst>
                            <a:gd name="T0" fmla="+- 0 1311 1282"/>
                            <a:gd name="T1" fmla="*/ T0 w 29"/>
                            <a:gd name="T2" fmla="+- 0 3553 3553"/>
                            <a:gd name="T3" fmla="*/ 3553 h 958"/>
                            <a:gd name="T4" fmla="+- 0 1282 1282"/>
                            <a:gd name="T5" fmla="*/ T4 w 29"/>
                            <a:gd name="T6" fmla="+- 0 3553 3553"/>
                            <a:gd name="T7" fmla="*/ 3553 h 958"/>
                            <a:gd name="T8" fmla="+- 0 1282 1282"/>
                            <a:gd name="T9" fmla="*/ T8 w 29"/>
                            <a:gd name="T10" fmla="+- 0 4091 3553"/>
                            <a:gd name="T11" fmla="*/ 4091 h 958"/>
                            <a:gd name="T12" fmla="+- 0 1282 1282"/>
                            <a:gd name="T13" fmla="*/ T12 w 29"/>
                            <a:gd name="T14" fmla="+- 0 4511 3553"/>
                            <a:gd name="T15" fmla="*/ 4511 h 958"/>
                            <a:gd name="T16" fmla="+- 0 1311 1282"/>
                            <a:gd name="T17" fmla="*/ T16 w 29"/>
                            <a:gd name="T18" fmla="+- 0 4511 3553"/>
                            <a:gd name="T19" fmla="*/ 4511 h 958"/>
                            <a:gd name="T20" fmla="+- 0 1311 1282"/>
                            <a:gd name="T21" fmla="*/ T20 w 29"/>
                            <a:gd name="T22" fmla="+- 0 4091 3553"/>
                            <a:gd name="T23" fmla="*/ 4091 h 958"/>
                            <a:gd name="T24" fmla="+- 0 1311 1282"/>
                            <a:gd name="T25" fmla="*/ T24 w 29"/>
                            <a:gd name="T26" fmla="+- 0 3553 3553"/>
                            <a:gd name="T27" fmla="*/ 3553 h 958"/>
                          </a:gdLst>
                          <a:ahLst/>
                          <a:cxnLst>
                            <a:cxn ang="0">
                              <a:pos x="T1" y="T3"/>
                            </a:cxn>
                            <a:cxn ang="0">
                              <a:pos x="T5" y="T7"/>
                            </a:cxn>
                            <a:cxn ang="0">
                              <a:pos x="T9" y="T11"/>
                            </a:cxn>
                            <a:cxn ang="0">
                              <a:pos x="T13" y="T15"/>
                            </a:cxn>
                            <a:cxn ang="0">
                              <a:pos x="T17" y="T19"/>
                            </a:cxn>
                            <a:cxn ang="0">
                              <a:pos x="T21" y="T23"/>
                            </a:cxn>
                            <a:cxn ang="0">
                              <a:pos x="T25" y="T27"/>
                            </a:cxn>
                          </a:cxnLst>
                          <a:rect l="0" t="0" r="r" b="b"/>
                          <a:pathLst>
                            <a:path w="29" h="958">
                              <a:moveTo>
                                <a:pt x="29" y="0"/>
                              </a:moveTo>
                              <a:lnTo>
                                <a:pt x="0" y="0"/>
                              </a:lnTo>
                              <a:lnTo>
                                <a:pt x="0" y="538"/>
                              </a:lnTo>
                              <a:lnTo>
                                <a:pt x="0" y="958"/>
                              </a:lnTo>
                              <a:lnTo>
                                <a:pt x="29" y="958"/>
                              </a:lnTo>
                              <a:lnTo>
                                <a:pt x="29" y="53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01602" id="Freeform 50" o:spid="_x0000_s1026" style="position:absolute;margin-left:64.1pt;margin-top:177.65pt;width:1.45pt;height:47.9pt;z-index:1582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" path="m29,l,,,538,,958r29,l29,538,29,xe" fillcolor="#da1f2c" stroked="f">
                <v:path arrowok="t" o:connecttype="custom" o:connectlocs="18415,2256155;0,2256155;0,2597785;0,2864485;18415,2864485;18415,2597785;18415,2256155" o:connectangles="0,0,0,0,0,0,0"/>
                <w10:wrap anchorx="page"/>
              </v:shape>
            </w:pict>
          </mc:Fallback>
        </mc:AlternateContent>
      </w:r>
      <w:r w:rsidR="00000000">
        <w:t>To ensure the implementation of this goal, funds have been provided through the NRRP and</w:t>
      </w:r>
      <w:r w:rsidR="00000000">
        <w:rPr>
          <w:spacing w:val="1"/>
        </w:rPr>
        <w:t xml:space="preserve"> </w:t>
      </w:r>
      <w:r w:rsidR="00000000">
        <w:t>the</w:t>
      </w:r>
      <w:r w:rsidR="00000000">
        <w:rPr>
          <w:spacing w:val="-7"/>
        </w:rPr>
        <w:t xml:space="preserve"> </w:t>
      </w:r>
      <w:r w:rsidR="00000000">
        <w:t>OPCC.</w:t>
      </w:r>
      <w:r w:rsidR="00000000">
        <w:rPr>
          <w:spacing w:val="-6"/>
        </w:rPr>
        <w:t xml:space="preserve"> </w:t>
      </w:r>
      <w:r w:rsidR="00000000">
        <w:t>In</w:t>
      </w:r>
      <w:r w:rsidR="00000000">
        <w:rPr>
          <w:spacing w:val="-6"/>
        </w:rPr>
        <w:t xml:space="preserve"> </w:t>
      </w:r>
      <w:r w:rsidR="00000000">
        <w:t>terms</w:t>
      </w:r>
      <w:r w:rsidR="00000000">
        <w:rPr>
          <w:spacing w:val="-6"/>
        </w:rPr>
        <w:t xml:space="preserve"> </w:t>
      </w:r>
      <w:r w:rsidR="00000000">
        <w:t>of</w:t>
      </w:r>
      <w:r w:rsidR="00000000">
        <w:rPr>
          <w:spacing w:val="-7"/>
        </w:rPr>
        <w:t xml:space="preserve"> </w:t>
      </w:r>
      <w:r w:rsidR="00000000">
        <w:t>the</w:t>
      </w:r>
      <w:r w:rsidR="00000000">
        <w:rPr>
          <w:spacing w:val="-6"/>
        </w:rPr>
        <w:t xml:space="preserve"> </w:t>
      </w:r>
      <w:r w:rsidR="00000000">
        <w:t>NRRP,</w:t>
      </w:r>
      <w:r w:rsidR="00000000">
        <w:rPr>
          <w:spacing w:val="-6"/>
        </w:rPr>
        <w:t xml:space="preserve"> </w:t>
      </w:r>
      <w:r w:rsidR="00000000">
        <w:t>investments</w:t>
      </w:r>
      <w:r w:rsidR="00000000">
        <w:rPr>
          <w:spacing w:val="-5"/>
        </w:rPr>
        <w:t xml:space="preserve"> </w:t>
      </w:r>
      <w:r w:rsidR="00000000">
        <w:t>will</w:t>
      </w:r>
      <w:r w:rsidR="00000000">
        <w:rPr>
          <w:spacing w:val="-6"/>
        </w:rPr>
        <w:t xml:space="preserve"> </w:t>
      </w:r>
      <w:r w:rsidR="00000000">
        <w:t>ensure</w:t>
      </w:r>
      <w:r w:rsidR="00000000">
        <w:rPr>
          <w:spacing w:val="-7"/>
        </w:rPr>
        <w:t xml:space="preserve"> </w:t>
      </w:r>
      <w:r w:rsidR="00000000">
        <w:t>the</w:t>
      </w:r>
      <w:r w:rsidR="00000000">
        <w:rPr>
          <w:spacing w:val="-7"/>
        </w:rPr>
        <w:t xml:space="preserve"> </w:t>
      </w:r>
      <w:r w:rsidR="00000000">
        <w:t>modernisation</w:t>
      </w:r>
      <w:r w:rsidR="00000000">
        <w:rPr>
          <w:spacing w:val="-6"/>
        </w:rPr>
        <w:t xml:space="preserve"> </w:t>
      </w:r>
      <w:r w:rsidR="00000000">
        <w:t>and</w:t>
      </w:r>
      <w:r w:rsidR="00000000">
        <w:rPr>
          <w:spacing w:val="-6"/>
        </w:rPr>
        <w:t xml:space="preserve"> </w:t>
      </w:r>
      <w:r w:rsidR="00000000">
        <w:t>strengthening</w:t>
      </w:r>
      <w:r w:rsidR="00000000">
        <w:rPr>
          <w:spacing w:val="-58"/>
        </w:rPr>
        <w:t xml:space="preserve"> </w:t>
      </w:r>
      <w:r w:rsidR="00000000">
        <w:t>of</w:t>
      </w:r>
      <w:r w:rsidR="00000000">
        <w:rPr>
          <w:spacing w:val="-8"/>
        </w:rPr>
        <w:t xml:space="preserve"> </w:t>
      </w:r>
      <w:r w:rsidR="00000000">
        <w:t>the</w:t>
      </w:r>
      <w:r w:rsidR="00000000">
        <w:rPr>
          <w:spacing w:val="-8"/>
        </w:rPr>
        <w:t xml:space="preserve"> </w:t>
      </w:r>
      <w:r w:rsidR="00000000">
        <w:t>electricity</w:t>
      </w:r>
      <w:r w:rsidR="00000000">
        <w:rPr>
          <w:spacing w:val="-12"/>
        </w:rPr>
        <w:t xml:space="preserve"> </w:t>
      </w:r>
      <w:r w:rsidR="00000000">
        <w:t>system,</w:t>
      </w:r>
      <w:r w:rsidR="00000000">
        <w:rPr>
          <w:spacing w:val="-6"/>
        </w:rPr>
        <w:t xml:space="preserve"> </w:t>
      </w:r>
      <w:r w:rsidR="00000000">
        <w:t>enhancing</w:t>
      </w:r>
      <w:r w:rsidR="00000000">
        <w:rPr>
          <w:spacing w:val="-10"/>
        </w:rPr>
        <w:t xml:space="preserve"> </w:t>
      </w:r>
      <w:r w:rsidR="00000000">
        <w:t>energy</w:t>
      </w:r>
      <w:r w:rsidR="00000000">
        <w:rPr>
          <w:spacing w:val="-12"/>
        </w:rPr>
        <w:t xml:space="preserve"> </w:t>
      </w:r>
      <w:r w:rsidR="00000000">
        <w:t>efficiency</w:t>
      </w:r>
      <w:r w:rsidR="00000000">
        <w:rPr>
          <w:spacing w:val="-11"/>
        </w:rPr>
        <w:t xml:space="preserve"> </w:t>
      </w:r>
      <w:r w:rsidR="00000000">
        <w:t>(especially</w:t>
      </w:r>
      <w:r w:rsidR="00000000">
        <w:rPr>
          <w:spacing w:val="-12"/>
        </w:rPr>
        <w:t xml:space="preserve"> </w:t>
      </w:r>
      <w:r w:rsidR="00000000">
        <w:t>in</w:t>
      </w:r>
      <w:r w:rsidR="00000000">
        <w:rPr>
          <w:spacing w:val="-7"/>
        </w:rPr>
        <w:t xml:space="preserve"> </w:t>
      </w:r>
      <w:r w:rsidR="00000000">
        <w:t>industry</w:t>
      </w:r>
      <w:r w:rsidR="00000000">
        <w:rPr>
          <w:spacing w:val="-11"/>
        </w:rPr>
        <w:t xml:space="preserve"> </w:t>
      </w:r>
      <w:r w:rsidR="00000000">
        <w:t>and</w:t>
      </w:r>
      <w:r w:rsidR="00000000">
        <w:rPr>
          <w:spacing w:val="-7"/>
        </w:rPr>
        <w:t xml:space="preserve"> </w:t>
      </w:r>
      <w:r w:rsidR="00000000">
        <w:t>the</w:t>
      </w:r>
      <w:r w:rsidR="00000000">
        <w:rPr>
          <w:spacing w:val="-8"/>
        </w:rPr>
        <w:t xml:space="preserve"> </w:t>
      </w:r>
      <w:r w:rsidR="00000000">
        <w:t>economy),</w:t>
      </w:r>
      <w:r w:rsidR="00000000">
        <w:rPr>
          <w:spacing w:val="-57"/>
        </w:rPr>
        <w:t xml:space="preserve"> </w:t>
      </w:r>
      <w:r w:rsidR="00000000">
        <w:t>strengthening renewable sources in heating and cooling and the preconditions for the more</w:t>
      </w:r>
      <w:r w:rsidR="00000000">
        <w:rPr>
          <w:spacing w:val="1"/>
        </w:rPr>
        <w:t xml:space="preserve"> </w:t>
      </w:r>
      <w:r w:rsidR="00000000">
        <w:t>intensive</w:t>
      </w:r>
      <w:r w:rsidR="00000000">
        <w:rPr>
          <w:spacing w:val="1"/>
        </w:rPr>
        <w:t xml:space="preserve"> </w:t>
      </w:r>
      <w:r w:rsidR="00000000">
        <w:t>implementation</w:t>
      </w:r>
      <w:r w:rsidR="00000000">
        <w:rPr>
          <w:spacing w:val="1"/>
        </w:rPr>
        <w:t xml:space="preserve"> </w:t>
      </w:r>
      <w:r w:rsidR="00000000">
        <w:t>of</w:t>
      </w:r>
      <w:r w:rsidR="00000000">
        <w:rPr>
          <w:spacing w:val="1"/>
        </w:rPr>
        <w:t xml:space="preserve"> </w:t>
      </w:r>
      <w:r w:rsidR="00000000">
        <w:t>clean</w:t>
      </w:r>
      <w:r w:rsidR="00000000">
        <w:rPr>
          <w:spacing w:val="1"/>
        </w:rPr>
        <w:t xml:space="preserve"> </w:t>
      </w:r>
      <w:r w:rsidR="00000000">
        <w:t>transport</w:t>
      </w:r>
      <w:r w:rsidR="00000000">
        <w:rPr>
          <w:spacing w:val="1"/>
        </w:rPr>
        <w:t xml:space="preserve"> </w:t>
      </w:r>
      <w:r w:rsidR="00000000">
        <w:t>measures</w:t>
      </w:r>
      <w:r w:rsidR="00000000">
        <w:rPr>
          <w:spacing w:val="1"/>
        </w:rPr>
        <w:t xml:space="preserve"> </w:t>
      </w:r>
      <w:r w:rsidR="00000000">
        <w:t>(biofuels,</w:t>
      </w:r>
      <w:r w:rsidR="00000000">
        <w:rPr>
          <w:spacing w:val="1"/>
        </w:rPr>
        <w:t xml:space="preserve"> </w:t>
      </w:r>
      <w:r w:rsidR="00000000">
        <w:t>transport</w:t>
      </w:r>
      <w:r w:rsidR="00000000">
        <w:rPr>
          <w:spacing w:val="1"/>
        </w:rPr>
        <w:t xml:space="preserve"> </w:t>
      </w:r>
      <w:r w:rsidR="00000000">
        <w:t>electrification,</w:t>
      </w:r>
      <w:r w:rsidR="00000000">
        <w:rPr>
          <w:spacing w:val="1"/>
        </w:rPr>
        <w:t xml:space="preserve"> </w:t>
      </w:r>
      <w:r w:rsidR="00000000">
        <w:t>hydrogen</w:t>
      </w:r>
      <w:r w:rsidR="00000000">
        <w:rPr>
          <w:spacing w:val="-5"/>
        </w:rPr>
        <w:t xml:space="preserve"> </w:t>
      </w:r>
      <w:r w:rsidR="00000000">
        <w:t>in</w:t>
      </w:r>
      <w:r w:rsidR="00000000">
        <w:rPr>
          <w:spacing w:val="-3"/>
        </w:rPr>
        <w:t xml:space="preserve"> </w:t>
      </w:r>
      <w:r w:rsidR="00000000">
        <w:t>traffic,</w:t>
      </w:r>
      <w:r w:rsidR="00000000">
        <w:rPr>
          <w:spacing w:val="-5"/>
        </w:rPr>
        <w:t xml:space="preserve"> </w:t>
      </w:r>
      <w:r w:rsidR="00000000">
        <w:t>etc.). Furthermore,</w:t>
      </w:r>
      <w:r w:rsidR="00000000">
        <w:rPr>
          <w:spacing w:val="-5"/>
        </w:rPr>
        <w:t xml:space="preserve"> </w:t>
      </w:r>
      <w:r w:rsidR="00000000">
        <w:t>in</w:t>
      </w:r>
      <w:r w:rsidR="00000000">
        <w:rPr>
          <w:spacing w:val="-3"/>
        </w:rPr>
        <w:t xml:space="preserve"> </w:t>
      </w:r>
      <w:r w:rsidR="00000000">
        <w:t>terms</w:t>
      </w:r>
      <w:r w:rsidR="00000000">
        <w:rPr>
          <w:spacing w:val="-4"/>
        </w:rPr>
        <w:t xml:space="preserve"> </w:t>
      </w:r>
      <w:r w:rsidR="00000000">
        <w:t>of</w:t>
      </w:r>
      <w:r w:rsidR="00000000">
        <w:rPr>
          <w:spacing w:val="-1"/>
        </w:rPr>
        <w:t xml:space="preserve"> </w:t>
      </w:r>
      <w:r w:rsidR="00000000">
        <w:t>the</w:t>
      </w:r>
      <w:r w:rsidR="00000000">
        <w:rPr>
          <w:spacing w:val="-5"/>
        </w:rPr>
        <w:t xml:space="preserve"> </w:t>
      </w:r>
      <w:r w:rsidR="00000000">
        <w:t>OPCC,</w:t>
      </w:r>
      <w:r w:rsidR="00000000">
        <w:rPr>
          <w:spacing w:val="-5"/>
        </w:rPr>
        <w:t xml:space="preserve"> </w:t>
      </w:r>
      <w:r w:rsidR="00000000">
        <w:t>additional</w:t>
      </w:r>
      <w:r w:rsidR="00000000">
        <w:rPr>
          <w:spacing w:val="-4"/>
        </w:rPr>
        <w:t xml:space="preserve"> </w:t>
      </w:r>
      <w:r w:rsidR="00000000">
        <w:t>investments</w:t>
      </w:r>
      <w:r w:rsidR="00000000">
        <w:rPr>
          <w:spacing w:val="-4"/>
        </w:rPr>
        <w:t xml:space="preserve"> </w:t>
      </w:r>
      <w:r w:rsidR="00000000">
        <w:t>in</w:t>
      </w:r>
      <w:r w:rsidR="00000000">
        <w:rPr>
          <w:spacing w:val="-3"/>
        </w:rPr>
        <w:t xml:space="preserve"> </w:t>
      </w:r>
      <w:r w:rsidR="00000000">
        <w:t>energy</w:t>
      </w:r>
      <w:r w:rsidR="00000000">
        <w:rPr>
          <w:spacing w:val="-58"/>
        </w:rPr>
        <w:t xml:space="preserve"> </w:t>
      </w:r>
      <w:r w:rsidR="00000000">
        <w:t>efficiency (especially in industry and the economy), encouraging individuals to use renewable</w:t>
      </w:r>
      <w:r w:rsidR="00000000">
        <w:rPr>
          <w:spacing w:val="-57"/>
        </w:rPr>
        <w:t xml:space="preserve"> </w:t>
      </w:r>
      <w:r w:rsidR="00000000">
        <w:t>energy</w:t>
      </w:r>
      <w:r w:rsidR="00000000">
        <w:rPr>
          <w:spacing w:val="1"/>
        </w:rPr>
        <w:t xml:space="preserve"> </w:t>
      </w:r>
      <w:r w:rsidR="00000000">
        <w:t>sources</w:t>
      </w:r>
      <w:r w:rsidR="00000000">
        <w:rPr>
          <w:spacing w:val="1"/>
        </w:rPr>
        <w:t xml:space="preserve"> </w:t>
      </w:r>
      <w:r w:rsidR="00000000">
        <w:t>for</w:t>
      </w:r>
      <w:r w:rsidR="00000000">
        <w:rPr>
          <w:spacing w:val="1"/>
        </w:rPr>
        <w:t xml:space="preserve"> </w:t>
      </w:r>
      <w:r w:rsidR="00000000">
        <w:t>their</w:t>
      </w:r>
      <w:r w:rsidR="00000000">
        <w:rPr>
          <w:spacing w:val="1"/>
        </w:rPr>
        <w:t xml:space="preserve"> </w:t>
      </w:r>
      <w:r w:rsidR="00000000">
        <w:t>own</w:t>
      </w:r>
      <w:r w:rsidR="00000000">
        <w:rPr>
          <w:spacing w:val="1"/>
        </w:rPr>
        <w:t xml:space="preserve"> </w:t>
      </w:r>
      <w:r w:rsidR="00000000">
        <w:t>supply</w:t>
      </w:r>
      <w:r w:rsidR="00000000">
        <w:rPr>
          <w:spacing w:val="1"/>
        </w:rPr>
        <w:t xml:space="preserve"> </w:t>
      </w:r>
      <w:r w:rsidR="00000000">
        <w:t>(micro</w:t>
      </w:r>
      <w:r w:rsidR="00000000">
        <w:rPr>
          <w:spacing w:val="1"/>
        </w:rPr>
        <w:t xml:space="preserve"> </w:t>
      </w:r>
      <w:r w:rsidR="00000000">
        <w:t>solar</w:t>
      </w:r>
      <w:r w:rsidR="00000000">
        <w:rPr>
          <w:spacing w:val="1"/>
        </w:rPr>
        <w:t xml:space="preserve"> </w:t>
      </w:r>
      <w:r w:rsidR="00000000">
        <w:t>systems</w:t>
      </w:r>
      <w:r w:rsidR="00000000">
        <w:rPr>
          <w:spacing w:val="1"/>
        </w:rPr>
        <w:t xml:space="preserve"> </w:t>
      </w:r>
      <w:r w:rsidR="00000000">
        <w:t>and</w:t>
      </w:r>
      <w:r w:rsidR="00000000">
        <w:rPr>
          <w:spacing w:val="1"/>
        </w:rPr>
        <w:t xml:space="preserve"> </w:t>
      </w:r>
      <w:r w:rsidR="00000000">
        <w:t>heat</w:t>
      </w:r>
      <w:r w:rsidR="00000000">
        <w:rPr>
          <w:spacing w:val="1"/>
        </w:rPr>
        <w:t xml:space="preserve"> </w:t>
      </w:r>
      <w:r w:rsidR="00000000">
        <w:t>pumps),</w:t>
      </w:r>
      <w:r w:rsidR="00000000">
        <w:rPr>
          <w:spacing w:val="1"/>
        </w:rPr>
        <w:t xml:space="preserve"> </w:t>
      </w:r>
      <w:r w:rsidR="00000000">
        <w:t>additional</w:t>
      </w:r>
      <w:r w:rsidR="00000000">
        <w:rPr>
          <w:spacing w:val="1"/>
        </w:rPr>
        <w:t xml:space="preserve"> </w:t>
      </w:r>
      <w:r w:rsidR="00000000">
        <w:t>investments</w:t>
      </w:r>
      <w:r w:rsidR="00000000">
        <w:rPr>
          <w:spacing w:val="-6"/>
        </w:rPr>
        <w:t xml:space="preserve"> </w:t>
      </w:r>
      <w:r w:rsidR="00000000">
        <w:t>in</w:t>
      </w:r>
      <w:r w:rsidR="00000000">
        <w:rPr>
          <w:spacing w:val="-6"/>
        </w:rPr>
        <w:t xml:space="preserve"> </w:t>
      </w:r>
      <w:r w:rsidR="00000000">
        <w:t>the</w:t>
      </w:r>
      <w:r w:rsidR="00000000">
        <w:rPr>
          <w:spacing w:val="-9"/>
        </w:rPr>
        <w:t xml:space="preserve"> </w:t>
      </w:r>
      <w:r w:rsidR="00000000">
        <w:t>use</w:t>
      </w:r>
      <w:r w:rsidR="00000000">
        <w:rPr>
          <w:spacing w:val="-7"/>
        </w:rPr>
        <w:t xml:space="preserve"> </w:t>
      </w:r>
      <w:r w:rsidR="00000000">
        <w:t>of</w:t>
      </w:r>
      <w:r w:rsidR="00000000">
        <w:rPr>
          <w:spacing w:val="-9"/>
        </w:rPr>
        <w:t xml:space="preserve"> </w:t>
      </w:r>
      <w:r w:rsidR="00000000">
        <w:t>geothermal</w:t>
      </w:r>
      <w:r w:rsidR="00000000">
        <w:rPr>
          <w:spacing w:val="-6"/>
        </w:rPr>
        <w:t xml:space="preserve"> </w:t>
      </w:r>
      <w:r w:rsidR="00000000">
        <w:t>energy</w:t>
      </w:r>
      <w:r w:rsidR="00000000">
        <w:rPr>
          <w:spacing w:val="-12"/>
        </w:rPr>
        <w:t xml:space="preserve"> </w:t>
      </w:r>
      <w:r w:rsidR="00000000">
        <w:t>in</w:t>
      </w:r>
      <w:r w:rsidR="00000000">
        <w:rPr>
          <w:spacing w:val="-6"/>
        </w:rPr>
        <w:t xml:space="preserve"> </w:t>
      </w:r>
      <w:r w:rsidR="00000000">
        <w:t>district</w:t>
      </w:r>
      <w:r w:rsidR="00000000">
        <w:rPr>
          <w:spacing w:val="-6"/>
        </w:rPr>
        <w:t xml:space="preserve"> </w:t>
      </w:r>
      <w:r w:rsidR="00000000">
        <w:t>heating,</w:t>
      </w:r>
      <w:r w:rsidR="00000000">
        <w:rPr>
          <w:spacing w:val="-6"/>
        </w:rPr>
        <w:t xml:space="preserve"> </w:t>
      </w:r>
      <w:r w:rsidR="00000000">
        <w:t>investments</w:t>
      </w:r>
      <w:r w:rsidR="00000000">
        <w:rPr>
          <w:spacing w:val="-6"/>
        </w:rPr>
        <w:t xml:space="preserve"> </w:t>
      </w:r>
      <w:r w:rsidR="00000000">
        <w:t>in</w:t>
      </w:r>
      <w:r w:rsidR="00000000">
        <w:rPr>
          <w:spacing w:val="-6"/>
        </w:rPr>
        <w:t xml:space="preserve"> </w:t>
      </w:r>
      <w:r w:rsidR="00000000">
        <w:t>pilot</w:t>
      </w:r>
      <w:r w:rsidR="00000000">
        <w:rPr>
          <w:spacing w:val="-7"/>
        </w:rPr>
        <w:t xml:space="preserve"> </w:t>
      </w:r>
      <w:r w:rsidR="00000000">
        <w:t>projects</w:t>
      </w:r>
      <w:r w:rsidR="00000000">
        <w:rPr>
          <w:spacing w:val="-6"/>
        </w:rPr>
        <w:t xml:space="preserve"> </w:t>
      </w:r>
      <w:r w:rsidR="00000000">
        <w:t>for</w:t>
      </w:r>
      <w:r w:rsidR="00000000">
        <w:rPr>
          <w:spacing w:val="-58"/>
        </w:rPr>
        <w:t xml:space="preserve"> </w:t>
      </w:r>
      <w:r w:rsidR="00000000">
        <w:t>the development of new technologies for renewable energy sources (e.g., offshore wind,</w:t>
      </w:r>
      <w:r w:rsidR="00000000">
        <w:rPr>
          <w:spacing w:val="1"/>
        </w:rPr>
        <w:t xml:space="preserve"> </w:t>
      </w:r>
      <w:r w:rsidR="00000000">
        <w:t>recovery</w:t>
      </w:r>
      <w:r w:rsidR="00000000">
        <w:rPr>
          <w:spacing w:val="1"/>
        </w:rPr>
        <w:t xml:space="preserve"> </w:t>
      </w:r>
      <w:r w:rsidR="00000000">
        <w:t>of</w:t>
      </w:r>
      <w:r w:rsidR="00000000">
        <w:rPr>
          <w:spacing w:val="1"/>
        </w:rPr>
        <w:t xml:space="preserve"> </w:t>
      </w:r>
      <w:r w:rsidR="00000000">
        <w:t>waste</w:t>
      </w:r>
      <w:r w:rsidR="00000000">
        <w:rPr>
          <w:spacing w:val="1"/>
        </w:rPr>
        <w:t xml:space="preserve"> </w:t>
      </w:r>
      <w:r w:rsidR="00000000">
        <w:t>sludge,</w:t>
      </w:r>
      <w:r w:rsidR="00000000">
        <w:rPr>
          <w:spacing w:val="1"/>
        </w:rPr>
        <w:t xml:space="preserve"> </w:t>
      </w:r>
      <w:r w:rsidR="00000000">
        <w:t>etc.),</w:t>
      </w:r>
      <w:r w:rsidR="00000000">
        <w:rPr>
          <w:spacing w:val="1"/>
        </w:rPr>
        <w:t xml:space="preserve"> </w:t>
      </w:r>
      <w:r w:rsidR="00000000">
        <w:t>development</w:t>
      </w:r>
      <w:r w:rsidR="00000000">
        <w:rPr>
          <w:spacing w:val="1"/>
        </w:rPr>
        <w:t xml:space="preserve"> </w:t>
      </w:r>
      <w:r w:rsidR="00000000">
        <w:t>of</w:t>
      </w:r>
      <w:r w:rsidR="00000000">
        <w:rPr>
          <w:spacing w:val="1"/>
        </w:rPr>
        <w:t xml:space="preserve"> </w:t>
      </w:r>
      <w:r w:rsidR="00000000">
        <w:t>battery</w:t>
      </w:r>
      <w:r w:rsidR="00000000">
        <w:rPr>
          <w:spacing w:val="1"/>
        </w:rPr>
        <w:t xml:space="preserve"> </w:t>
      </w:r>
      <w:r w:rsidR="00000000">
        <w:t>systems</w:t>
      </w:r>
      <w:r w:rsidR="00000000">
        <w:rPr>
          <w:spacing w:val="1"/>
        </w:rPr>
        <w:t xml:space="preserve"> </w:t>
      </w:r>
      <w:r w:rsidR="00000000">
        <w:t>and</w:t>
      </w:r>
      <w:r w:rsidR="00000000">
        <w:rPr>
          <w:spacing w:val="1"/>
        </w:rPr>
        <w:t xml:space="preserve"> </w:t>
      </w:r>
      <w:r w:rsidR="00000000">
        <w:t>strengthening</w:t>
      </w:r>
      <w:r w:rsidR="00000000">
        <w:rPr>
          <w:spacing w:val="1"/>
        </w:rPr>
        <w:t xml:space="preserve"> </w:t>
      </w:r>
      <w:r w:rsidR="00000000">
        <w:t>the</w:t>
      </w:r>
      <w:r w:rsidR="00000000">
        <w:rPr>
          <w:spacing w:val="1"/>
        </w:rPr>
        <w:t xml:space="preserve"> </w:t>
      </w:r>
      <w:r w:rsidR="00000000">
        <w:t>infrastructure</w:t>
      </w:r>
      <w:r w:rsidR="00000000">
        <w:rPr>
          <w:spacing w:val="-2"/>
        </w:rPr>
        <w:t xml:space="preserve"> </w:t>
      </w:r>
      <w:r w:rsidR="00000000">
        <w:t>for alternative</w:t>
      </w:r>
      <w:r w:rsidR="00000000">
        <w:rPr>
          <w:spacing w:val="-1"/>
        </w:rPr>
        <w:t xml:space="preserve"> </w:t>
      </w:r>
      <w:r w:rsidR="00000000">
        <w:t>fuels in</w:t>
      </w:r>
      <w:r w:rsidR="00000000">
        <w:rPr>
          <w:spacing w:val="-1"/>
        </w:rPr>
        <w:t xml:space="preserve"> </w:t>
      </w:r>
      <w:r w:rsidR="00000000">
        <w:t>transport</w:t>
      </w:r>
      <w:r w:rsidR="00000000">
        <w:rPr>
          <w:spacing w:val="-1"/>
        </w:rPr>
        <w:t xml:space="preserve"> </w:t>
      </w:r>
      <w:r w:rsidR="00000000">
        <w:t>(with</w:t>
      </w:r>
      <w:r w:rsidR="00000000">
        <w:rPr>
          <w:spacing w:val="-1"/>
        </w:rPr>
        <w:t xml:space="preserve"> </w:t>
      </w:r>
      <w:r w:rsidR="00000000">
        <w:t>emphasis on</w:t>
      </w:r>
      <w:r w:rsidR="00000000">
        <w:rPr>
          <w:spacing w:val="-1"/>
        </w:rPr>
        <w:t xml:space="preserve"> </w:t>
      </w:r>
      <w:r w:rsidR="00000000">
        <w:t>electricity</w:t>
      </w:r>
      <w:r w:rsidR="00000000">
        <w:rPr>
          <w:spacing w:val="-4"/>
        </w:rPr>
        <w:t xml:space="preserve"> </w:t>
      </w:r>
      <w:r w:rsidR="00000000">
        <w:t>and hydrogen).</w:t>
      </w:r>
    </w:p>
    <w:p w:rsidR="00A56FE9" w:rsidRDefault="00A56FE9">
      <w:pPr>
        <w:pStyle w:val="Tijeloteksta"/>
        <w:spacing w:before="9"/>
        <w:ind w:left="0"/>
        <w:jc w:val="left"/>
        <w:rPr>
          <w:sz w:val="31"/>
        </w:rPr>
      </w:pPr>
    </w:p>
    <w:p w:rsidR="00A56FE9" w:rsidRDefault="00000000">
      <w:pPr>
        <w:pStyle w:val="Naslov4"/>
        <w:ind w:right="278"/>
      </w:pPr>
      <w:r>
        <w:rPr>
          <w:color w:val="2C398A"/>
        </w:rPr>
        <w:t>Goal 8. Promote sustained, inclusive and sustainable economic growth, full and</w:t>
      </w:r>
      <w:r>
        <w:rPr>
          <w:color w:val="2C398A"/>
          <w:spacing w:val="1"/>
        </w:rPr>
        <w:t xml:space="preserve"> </w:t>
      </w:r>
      <w:r>
        <w:rPr>
          <w:color w:val="2C398A"/>
        </w:rPr>
        <w:t>productive</w:t>
      </w:r>
      <w:r>
        <w:rPr>
          <w:color w:val="2C398A"/>
          <w:spacing w:val="-2"/>
        </w:rPr>
        <w:t xml:space="preserve"> </w:t>
      </w:r>
      <w:r>
        <w:rPr>
          <w:color w:val="2C398A"/>
        </w:rPr>
        <w:t>employment</w:t>
      </w:r>
      <w:r>
        <w:rPr>
          <w:color w:val="2C398A"/>
          <w:spacing w:val="-1"/>
        </w:rPr>
        <w:t xml:space="preserve"> </w:t>
      </w:r>
      <w:r>
        <w:rPr>
          <w:color w:val="2C398A"/>
        </w:rPr>
        <w:t>and</w:t>
      </w:r>
      <w:r>
        <w:rPr>
          <w:color w:val="2C398A"/>
          <w:spacing w:val="-1"/>
        </w:rPr>
        <w:t xml:space="preserve"> </w:t>
      </w:r>
      <w:r>
        <w:rPr>
          <w:color w:val="2C398A"/>
        </w:rPr>
        <w:t>decent</w:t>
      </w:r>
      <w:r>
        <w:rPr>
          <w:color w:val="2C398A"/>
          <w:spacing w:val="-1"/>
        </w:rPr>
        <w:t xml:space="preserve"> </w:t>
      </w:r>
      <w:r>
        <w:rPr>
          <w:color w:val="2C398A"/>
        </w:rPr>
        <w:t>work</w:t>
      </w:r>
      <w:r>
        <w:rPr>
          <w:color w:val="2C398A"/>
          <w:spacing w:val="-1"/>
        </w:rPr>
        <w:t xml:space="preserve"> </w:t>
      </w:r>
      <w:r>
        <w:rPr>
          <w:color w:val="2C398A"/>
        </w:rPr>
        <w:t>for</w:t>
      </w:r>
      <w:r>
        <w:rPr>
          <w:color w:val="2C398A"/>
          <w:spacing w:val="-1"/>
        </w:rPr>
        <w:t xml:space="preserve"> </w:t>
      </w:r>
      <w:r>
        <w:rPr>
          <w:color w:val="2C398A"/>
        </w:rPr>
        <w:t>all</w:t>
      </w:r>
    </w:p>
    <w:p w:rsidR="00A56FE9" w:rsidRDefault="00000000">
      <w:pPr>
        <w:pStyle w:val="Tijeloteksta"/>
        <w:spacing w:before="115"/>
        <w:ind w:right="275"/>
      </w:pPr>
      <w:r>
        <w:t>Investing in equity and quasi-equity financing instruments will facilitate greater availability of</w:t>
      </w:r>
      <w:r>
        <w:rPr>
          <w:spacing w:val="-57"/>
        </w:rPr>
        <w:t xml:space="preserve"> </w:t>
      </w:r>
      <w:r>
        <w:t>alternative sources of financing for domestic entrepreneurs (SDG 8 and 9) for investments in</w:t>
      </w:r>
      <w:r>
        <w:rPr>
          <w:spacing w:val="1"/>
        </w:rPr>
        <w:t xml:space="preserve"> </w:t>
      </w:r>
      <w:r>
        <w:rPr>
          <w:spacing w:val="-1"/>
        </w:rPr>
        <w:t>innovation,</w:t>
      </w:r>
      <w:r>
        <w:rPr>
          <w:spacing w:val="-14"/>
        </w:rPr>
        <w:t xml:space="preserve"> </w:t>
      </w:r>
      <w:r>
        <w:rPr>
          <w:spacing w:val="-1"/>
        </w:rPr>
        <w:t>growth</w:t>
      </w:r>
      <w:r>
        <w:rPr>
          <w:spacing w:val="-14"/>
        </w:rPr>
        <w:t xml:space="preserve"> </w:t>
      </w:r>
      <w:r>
        <w:rPr>
          <w:spacing w:val="-1"/>
        </w:rPr>
        <w:t>and</w:t>
      </w:r>
      <w:r>
        <w:rPr>
          <w:spacing w:val="-15"/>
        </w:rPr>
        <w:t xml:space="preserve"> </w:t>
      </w:r>
      <w:r>
        <w:t>development</w:t>
      </w:r>
      <w:r>
        <w:rPr>
          <w:spacing w:val="-14"/>
        </w:rPr>
        <w:t xml:space="preserve"> </w:t>
      </w:r>
      <w:r>
        <w:t>(SDG</w:t>
      </w:r>
      <w:r>
        <w:rPr>
          <w:spacing w:val="-15"/>
        </w:rPr>
        <w:t xml:space="preserve"> </w:t>
      </w:r>
      <w:r>
        <w:t>9)</w:t>
      </w:r>
      <w:r>
        <w:rPr>
          <w:spacing w:val="-15"/>
        </w:rPr>
        <w:t xml:space="preserve"> </w:t>
      </w:r>
      <w:r>
        <w:t>and</w:t>
      </w:r>
      <w:r>
        <w:rPr>
          <w:spacing w:val="-12"/>
        </w:rPr>
        <w:t xml:space="preserve"> </w:t>
      </w:r>
      <w:r>
        <w:t>while</w:t>
      </w:r>
      <w:r>
        <w:rPr>
          <w:spacing w:val="-15"/>
        </w:rPr>
        <w:t xml:space="preserve"> </w:t>
      </w:r>
      <w:r>
        <w:t>respecting</w:t>
      </w:r>
      <w:r>
        <w:rPr>
          <w:spacing w:val="-17"/>
        </w:rPr>
        <w:t xml:space="preserve"> </w:t>
      </w:r>
      <w:r>
        <w:t>the</w:t>
      </w:r>
      <w:r>
        <w:rPr>
          <w:spacing w:val="-13"/>
        </w:rPr>
        <w:t xml:space="preserve"> </w:t>
      </w:r>
      <w:r>
        <w:t>“green</w:t>
      </w:r>
      <w:r>
        <w:rPr>
          <w:spacing w:val="-15"/>
        </w:rPr>
        <w:t xml:space="preserve"> </w:t>
      </w:r>
      <w:r>
        <w:t>and</w:t>
      </w:r>
      <w:r>
        <w:rPr>
          <w:spacing w:val="-15"/>
        </w:rPr>
        <w:t xml:space="preserve"> </w:t>
      </w:r>
      <w:r>
        <w:t>digital”</w:t>
      </w:r>
      <w:r>
        <w:rPr>
          <w:spacing w:val="-13"/>
        </w:rPr>
        <w:t xml:space="preserve"> </w:t>
      </w:r>
      <w:r>
        <w:t>goals</w:t>
      </w:r>
      <w:r>
        <w:rPr>
          <w:spacing w:val="-57"/>
        </w:rPr>
        <w:t xml:space="preserve"> </w:t>
      </w:r>
      <w:r>
        <w:t>of</w:t>
      </w:r>
      <w:r>
        <w:rPr>
          <w:spacing w:val="-9"/>
        </w:rPr>
        <w:t xml:space="preserve"> </w:t>
      </w:r>
      <w:r>
        <w:t>the</w:t>
      </w:r>
      <w:r>
        <w:rPr>
          <w:spacing w:val="-9"/>
        </w:rPr>
        <w:t xml:space="preserve"> </w:t>
      </w:r>
      <w:r>
        <w:t>RRF</w:t>
      </w:r>
      <w:r>
        <w:rPr>
          <w:spacing w:val="-7"/>
        </w:rPr>
        <w:t xml:space="preserve"> </w:t>
      </w:r>
      <w:r>
        <w:t>it</w:t>
      </w:r>
      <w:r>
        <w:rPr>
          <w:spacing w:val="-7"/>
        </w:rPr>
        <w:t xml:space="preserve"> </w:t>
      </w:r>
      <w:r>
        <w:t>will.</w:t>
      </w:r>
      <w:r>
        <w:rPr>
          <w:spacing w:val="-9"/>
        </w:rPr>
        <w:t xml:space="preserve"> </w:t>
      </w:r>
      <w:r>
        <w:t>Help</w:t>
      </w:r>
      <w:r>
        <w:rPr>
          <w:spacing w:val="-6"/>
        </w:rPr>
        <w:t xml:space="preserve"> </w:t>
      </w:r>
      <w:r>
        <w:t>raise</w:t>
      </w:r>
      <w:r>
        <w:rPr>
          <w:spacing w:val="-9"/>
        </w:rPr>
        <w:t xml:space="preserve"> </w:t>
      </w:r>
      <w:r>
        <w:t>awareness,</w:t>
      </w:r>
      <w:r>
        <w:rPr>
          <w:spacing w:val="-6"/>
        </w:rPr>
        <w:t xml:space="preserve"> </w:t>
      </w:r>
      <w:r>
        <w:t>as</w:t>
      </w:r>
      <w:r>
        <w:rPr>
          <w:spacing w:val="-8"/>
        </w:rPr>
        <w:t xml:space="preserve"> </w:t>
      </w:r>
      <w:r>
        <w:t>well</w:t>
      </w:r>
      <w:r>
        <w:rPr>
          <w:spacing w:val="-5"/>
        </w:rPr>
        <w:t xml:space="preserve"> </w:t>
      </w:r>
      <w:r>
        <w:t>as</w:t>
      </w:r>
      <w:r>
        <w:rPr>
          <w:spacing w:val="-6"/>
        </w:rPr>
        <w:t xml:space="preserve"> </w:t>
      </w:r>
      <w:r>
        <w:t>human</w:t>
      </w:r>
      <w:r>
        <w:rPr>
          <w:spacing w:val="-9"/>
        </w:rPr>
        <w:t xml:space="preserve"> </w:t>
      </w:r>
      <w:r>
        <w:t>and</w:t>
      </w:r>
      <w:r>
        <w:rPr>
          <w:spacing w:val="-7"/>
        </w:rPr>
        <w:t xml:space="preserve"> </w:t>
      </w:r>
      <w:r>
        <w:t>institutional</w:t>
      </w:r>
      <w:r>
        <w:rPr>
          <w:spacing w:val="-7"/>
        </w:rPr>
        <w:t xml:space="preserve"> </w:t>
      </w:r>
      <w:r>
        <w:t>capacities</w:t>
      </w:r>
      <w:r>
        <w:rPr>
          <w:spacing w:val="-9"/>
        </w:rPr>
        <w:t xml:space="preserve"> </w:t>
      </w:r>
      <w:r>
        <w:t>to</w:t>
      </w:r>
      <w:r>
        <w:rPr>
          <w:spacing w:val="-8"/>
        </w:rPr>
        <w:t xml:space="preserve"> </w:t>
      </w:r>
      <w:r>
        <w:t>reduce</w:t>
      </w:r>
      <w:r>
        <w:rPr>
          <w:spacing w:val="-57"/>
        </w:rPr>
        <w:t xml:space="preserve"> </w:t>
      </w:r>
      <w:r>
        <w:t>the impact on climate change (SDG 13), given that investments will, whenever possible, be</w:t>
      </w:r>
      <w:r>
        <w:rPr>
          <w:spacing w:val="1"/>
        </w:rPr>
        <w:t xml:space="preserve"> </w:t>
      </w:r>
      <w:r>
        <w:t>conditional</w:t>
      </w:r>
      <w:r>
        <w:rPr>
          <w:spacing w:val="-1"/>
        </w:rPr>
        <w:t xml:space="preserve"> </w:t>
      </w:r>
      <w:r>
        <w:t>upon adherence</w:t>
      </w:r>
      <w:r>
        <w:rPr>
          <w:spacing w:val="-1"/>
        </w:rPr>
        <w:t xml:space="preserve"> </w:t>
      </w:r>
      <w:r>
        <w:t>to the principle of</w:t>
      </w:r>
      <w:r>
        <w:rPr>
          <w:spacing w:val="-1"/>
        </w:rPr>
        <w:t xml:space="preserve"> </w:t>
      </w:r>
      <w:r>
        <w:t>“do</w:t>
      </w:r>
      <w:r>
        <w:rPr>
          <w:spacing w:val="1"/>
        </w:rPr>
        <w:t xml:space="preserve"> </w:t>
      </w:r>
      <w:r>
        <w:t>no significant harm”</w:t>
      </w:r>
      <w:r>
        <w:rPr>
          <w:spacing w:val="-1"/>
        </w:rPr>
        <w:t xml:space="preserve"> </w:t>
      </w:r>
      <w:r>
        <w:t>(DNSH).</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686656"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497884194"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6BC33" id="Rectangle 49" o:spid="_x0000_s1026" style="position:absolute;margin-left:69.5pt;margin-top:9.8pt;width:45.25pt;height:1.45pt;z-index:-15629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rPr>
          <w:spacing w:val="-1"/>
        </w:rPr>
        <w:t>Activities</w:t>
      </w:r>
      <w:r>
        <w:rPr>
          <w:spacing w:val="-13"/>
        </w:rPr>
        <w:t xml:space="preserve"> </w:t>
      </w:r>
      <w:r>
        <w:rPr>
          <w:spacing w:val="-1"/>
        </w:rPr>
        <w:t>from</w:t>
      </w:r>
      <w:r>
        <w:rPr>
          <w:spacing w:val="-11"/>
        </w:rPr>
        <w:t xml:space="preserve"> </w:t>
      </w:r>
      <w:r>
        <w:rPr>
          <w:spacing w:val="-1"/>
        </w:rPr>
        <w:t>NRRP</w:t>
      </w:r>
      <w:r>
        <w:rPr>
          <w:spacing w:val="-11"/>
        </w:rPr>
        <w:t xml:space="preserve"> </w:t>
      </w:r>
      <w:r>
        <w:rPr>
          <w:spacing w:val="-1"/>
        </w:rPr>
        <w:t>reform</w:t>
      </w:r>
      <w:r>
        <w:rPr>
          <w:spacing w:val="-12"/>
        </w:rPr>
        <w:t xml:space="preserve"> </w:t>
      </w:r>
      <w:r>
        <w:t>C1.5</w:t>
      </w:r>
      <w:r>
        <w:rPr>
          <w:spacing w:val="-11"/>
        </w:rPr>
        <w:t xml:space="preserve"> </w:t>
      </w:r>
      <w:r>
        <w:t>(Improving</w:t>
      </w:r>
      <w:r>
        <w:rPr>
          <w:spacing w:val="-15"/>
        </w:rPr>
        <w:t xml:space="preserve"> </w:t>
      </w:r>
      <w:r>
        <w:t>the</w:t>
      </w:r>
      <w:r>
        <w:rPr>
          <w:spacing w:val="-9"/>
        </w:rPr>
        <w:t xml:space="preserve"> </w:t>
      </w:r>
      <w:r>
        <w:t>Use</w:t>
      </w:r>
      <w:r>
        <w:rPr>
          <w:spacing w:val="-14"/>
        </w:rPr>
        <w:t xml:space="preserve"> </w:t>
      </w:r>
      <w:r>
        <w:t>of</w:t>
      </w:r>
      <w:r>
        <w:rPr>
          <w:spacing w:val="-13"/>
        </w:rPr>
        <w:t xml:space="preserve"> </w:t>
      </w:r>
      <w:r>
        <w:t>Natural</w:t>
      </w:r>
      <w:r>
        <w:rPr>
          <w:spacing w:val="-11"/>
        </w:rPr>
        <w:t xml:space="preserve"> </w:t>
      </w:r>
      <w:r>
        <w:t>Resources</w:t>
      </w:r>
      <w:r>
        <w:rPr>
          <w:spacing w:val="-10"/>
        </w:rPr>
        <w:t xml:space="preserve"> </w:t>
      </w:r>
      <w:r>
        <w:t>and</w:t>
      </w:r>
      <w:r>
        <w:rPr>
          <w:spacing w:val="-12"/>
        </w:rPr>
        <w:t xml:space="preserve"> </w:t>
      </w:r>
      <w:r>
        <w:t>Strengthening</w:t>
      </w:r>
      <w:r>
        <w:rPr>
          <w:spacing w:val="-58"/>
        </w:rPr>
        <w:t xml:space="preserve"> </w:t>
      </w:r>
      <w:r>
        <w:t>the Food Supply Chain) indirectly contribute to overall economic growth, productivity and</w:t>
      </w:r>
      <w:r>
        <w:rPr>
          <w:spacing w:val="1"/>
        </w:rPr>
        <w:t xml:space="preserve"> </w:t>
      </w:r>
      <w:r>
        <w:t>employment. The Strategy for the Development of Wood Processing and Furniture Production</w:t>
      </w:r>
      <w:r>
        <w:rPr>
          <w:spacing w:val="-58"/>
        </w:rPr>
        <w:t xml:space="preserve"> </w:t>
      </w:r>
      <w:r>
        <w:t>in the Republic of Croatia 2017-2020 along with the Action Implementation Plan, defines</w:t>
      </w:r>
      <w:r>
        <w:rPr>
          <w:spacing w:val="1"/>
        </w:rPr>
        <w:t xml:space="preserve"> </w:t>
      </w:r>
      <w:r>
        <w:t>development</w:t>
      </w:r>
      <w:r>
        <w:rPr>
          <w:spacing w:val="1"/>
        </w:rPr>
        <w:t xml:space="preserve"> </w:t>
      </w:r>
      <w:r>
        <w:t>models,</w:t>
      </w:r>
      <w:r>
        <w:rPr>
          <w:spacing w:val="1"/>
        </w:rPr>
        <w:t xml:space="preserve"> </w:t>
      </w:r>
      <w:r>
        <w:t>development</w:t>
      </w:r>
      <w:r>
        <w:rPr>
          <w:spacing w:val="1"/>
        </w:rPr>
        <w:t xml:space="preserve"> </w:t>
      </w:r>
      <w:r>
        <w:t>guidelines</w:t>
      </w:r>
      <w:r>
        <w:rPr>
          <w:spacing w:val="1"/>
        </w:rPr>
        <w:t xml:space="preserve"> </w:t>
      </w:r>
      <w:r>
        <w:t>and</w:t>
      </w:r>
      <w:r>
        <w:rPr>
          <w:spacing w:val="1"/>
        </w:rPr>
        <w:t xml:space="preserve"> </w:t>
      </w:r>
      <w:r>
        <w:t>strategic</w:t>
      </w:r>
      <w:r>
        <w:rPr>
          <w:spacing w:val="1"/>
        </w:rPr>
        <w:t xml:space="preserve"> </w:t>
      </w:r>
      <w:r>
        <w:t>measures,</w:t>
      </w:r>
      <w:r>
        <w:rPr>
          <w:spacing w:val="1"/>
        </w:rPr>
        <w:t xml:space="preserve"> </w:t>
      </w:r>
      <w:r>
        <w:t>contributing</w:t>
      </w:r>
      <w:r>
        <w:rPr>
          <w:spacing w:val="1"/>
        </w:rPr>
        <w:t xml:space="preserve"> </w:t>
      </w:r>
      <w:r>
        <w:t>to</w:t>
      </w:r>
      <w:r>
        <w:rPr>
          <w:spacing w:val="1"/>
        </w:rPr>
        <w:t xml:space="preserve"> </w:t>
      </w:r>
      <w:r>
        <w:rPr>
          <w:spacing w:val="-1"/>
        </w:rPr>
        <w:t>sustainable</w:t>
      </w:r>
      <w:r>
        <w:rPr>
          <w:spacing w:val="-16"/>
        </w:rPr>
        <w:t xml:space="preserve"> </w:t>
      </w:r>
      <w:r>
        <w:rPr>
          <w:spacing w:val="-1"/>
        </w:rPr>
        <w:t>economic</w:t>
      </w:r>
      <w:r>
        <w:rPr>
          <w:spacing w:val="-12"/>
        </w:rPr>
        <w:t xml:space="preserve"> </w:t>
      </w:r>
      <w:r>
        <w:t>growth</w:t>
      </w:r>
      <w:r>
        <w:rPr>
          <w:spacing w:val="-15"/>
        </w:rPr>
        <w:t xml:space="preserve"> </w:t>
      </w:r>
      <w:r>
        <w:t>and</w:t>
      </w:r>
      <w:r>
        <w:rPr>
          <w:spacing w:val="-14"/>
        </w:rPr>
        <w:t xml:space="preserve"> </w:t>
      </w:r>
      <w:r>
        <w:t>competitiveness</w:t>
      </w:r>
      <w:r>
        <w:rPr>
          <w:spacing w:val="-13"/>
        </w:rPr>
        <w:t xml:space="preserve"> </w:t>
      </w:r>
      <w:r>
        <w:t>of</w:t>
      </w:r>
      <w:r>
        <w:rPr>
          <w:spacing w:val="-16"/>
        </w:rPr>
        <w:t xml:space="preserve"> </w:t>
      </w:r>
      <w:r>
        <w:t>wood</w:t>
      </w:r>
      <w:r>
        <w:rPr>
          <w:spacing w:val="-14"/>
        </w:rPr>
        <w:t xml:space="preserve"> </w:t>
      </w:r>
      <w:r>
        <w:t>processing</w:t>
      </w:r>
      <w:r>
        <w:rPr>
          <w:spacing w:val="-16"/>
        </w:rPr>
        <w:t xml:space="preserve"> </w:t>
      </w:r>
      <w:r>
        <w:t>and</w:t>
      </w:r>
      <w:r>
        <w:rPr>
          <w:spacing w:val="-12"/>
        </w:rPr>
        <w:t xml:space="preserve"> </w:t>
      </w:r>
      <w:r>
        <w:t>furniture</w:t>
      </w:r>
      <w:r>
        <w:rPr>
          <w:spacing w:val="-15"/>
        </w:rPr>
        <w:t xml:space="preserve"> </w:t>
      </w:r>
      <w:r>
        <w:t>production.</w:t>
      </w:r>
      <w:r>
        <w:rPr>
          <w:spacing w:val="-58"/>
        </w:rPr>
        <w:t xml:space="preserve"> </w:t>
      </w:r>
      <w:r>
        <w:t>The strategic choice is the circular economy of a large number of small and medium-sized</w:t>
      </w:r>
      <w:r>
        <w:rPr>
          <w:spacing w:val="1"/>
        </w:rPr>
        <w:t xml:space="preserve"> </w:t>
      </w:r>
      <w:r>
        <w:t>businesses distributed mainly in rural areas. The strategy recognises forestry, wood processing</w:t>
      </w:r>
      <w:r>
        <w:rPr>
          <w:spacing w:val="-57"/>
        </w:rPr>
        <w:t xml:space="preserve"> </w:t>
      </w:r>
      <w:r>
        <w:t>and furniture production as economic activities linked in a value-added chain and a true</w:t>
      </w:r>
      <w:r>
        <w:rPr>
          <w:spacing w:val="1"/>
        </w:rPr>
        <w:t xml:space="preserve"> </w:t>
      </w:r>
      <w:r>
        <w:t>example</w:t>
      </w:r>
      <w:r>
        <w:rPr>
          <w:spacing w:val="1"/>
        </w:rPr>
        <w:t xml:space="preserve"> </w:t>
      </w:r>
      <w:r>
        <w:t>of</w:t>
      </w:r>
      <w:r>
        <w:rPr>
          <w:spacing w:val="1"/>
        </w:rPr>
        <w:t xml:space="preserve"> </w:t>
      </w:r>
      <w:r>
        <w:t>the</w:t>
      </w:r>
      <w:r>
        <w:rPr>
          <w:spacing w:val="1"/>
        </w:rPr>
        <w:t xml:space="preserve"> </w:t>
      </w:r>
      <w:r>
        <w:t>circular</w:t>
      </w:r>
      <w:r>
        <w:rPr>
          <w:spacing w:val="1"/>
        </w:rPr>
        <w:t xml:space="preserve"> </w:t>
      </w:r>
      <w:r>
        <w:t>economy</w:t>
      </w:r>
      <w:r>
        <w:rPr>
          <w:spacing w:val="1"/>
        </w:rPr>
        <w:t xml:space="preserve"> </w:t>
      </w:r>
      <w:r>
        <w:t>as</w:t>
      </w:r>
      <w:r>
        <w:rPr>
          <w:spacing w:val="1"/>
        </w:rPr>
        <w:t xml:space="preserve"> </w:t>
      </w:r>
      <w:r>
        <w:t>a</w:t>
      </w:r>
      <w:r>
        <w:rPr>
          <w:spacing w:val="1"/>
        </w:rPr>
        <w:t xml:space="preserve"> </w:t>
      </w:r>
      <w:r>
        <w:t>strategic</w:t>
      </w:r>
      <w:r>
        <w:rPr>
          <w:spacing w:val="1"/>
        </w:rPr>
        <w:t xml:space="preserve"> </w:t>
      </w:r>
      <w:r>
        <w:t>determinant</w:t>
      </w:r>
      <w:r>
        <w:rPr>
          <w:spacing w:val="1"/>
        </w:rPr>
        <w:t xml:space="preserve"> </w:t>
      </w:r>
      <w:r>
        <w:t>of</w:t>
      </w:r>
      <w:r>
        <w:rPr>
          <w:spacing w:val="1"/>
        </w:rPr>
        <w:t xml:space="preserve"> </w:t>
      </w:r>
      <w:r>
        <w:t>EU</w:t>
      </w:r>
      <w:r>
        <w:rPr>
          <w:spacing w:val="1"/>
        </w:rPr>
        <w:t xml:space="preserve"> </w:t>
      </w:r>
      <w:r>
        <w:t>policies.</w:t>
      </w:r>
      <w:r>
        <w:rPr>
          <w:spacing w:val="1"/>
        </w:rPr>
        <w:t xml:space="preserve"> </w:t>
      </w:r>
      <w:r>
        <w:t>Their</w:t>
      </w:r>
      <w:r>
        <w:rPr>
          <w:spacing w:val="1"/>
        </w:rPr>
        <w:t xml:space="preserve"> </w:t>
      </w:r>
      <w:r>
        <w:t>interrelationship in rural development contributes to the goal of ensuring economic, social and</w:t>
      </w:r>
      <w:r>
        <w:rPr>
          <w:spacing w:val="-57"/>
        </w:rPr>
        <w:t xml:space="preserve"> </w:t>
      </w:r>
      <w:r>
        <w:t>spatial</w:t>
      </w:r>
      <w:r>
        <w:rPr>
          <w:spacing w:val="-11"/>
        </w:rPr>
        <w:t xml:space="preserve"> </w:t>
      </w:r>
      <w:r>
        <w:t>cohesion,</w:t>
      </w:r>
      <w:r>
        <w:rPr>
          <w:spacing w:val="-10"/>
        </w:rPr>
        <w:t xml:space="preserve"> </w:t>
      </w:r>
      <w:r>
        <w:t>creating</w:t>
      </w:r>
      <w:r>
        <w:rPr>
          <w:spacing w:val="-11"/>
        </w:rPr>
        <w:t xml:space="preserve"> </w:t>
      </w:r>
      <w:r>
        <w:t>the</w:t>
      </w:r>
      <w:r>
        <w:rPr>
          <w:spacing w:val="-12"/>
        </w:rPr>
        <w:t xml:space="preserve"> </w:t>
      </w:r>
      <w:r>
        <w:t>preconditions</w:t>
      </w:r>
      <w:r>
        <w:rPr>
          <w:spacing w:val="-11"/>
        </w:rPr>
        <w:t xml:space="preserve"> </w:t>
      </w:r>
      <w:r>
        <w:t>for</w:t>
      </w:r>
      <w:r>
        <w:rPr>
          <w:spacing w:val="-10"/>
        </w:rPr>
        <w:t xml:space="preserve"> </w:t>
      </w:r>
      <w:r>
        <w:t>economic</w:t>
      </w:r>
      <w:r>
        <w:rPr>
          <w:spacing w:val="-12"/>
        </w:rPr>
        <w:t xml:space="preserve"> </w:t>
      </w:r>
      <w:r>
        <w:t>growth,</w:t>
      </w:r>
      <w:r>
        <w:rPr>
          <w:spacing w:val="-10"/>
        </w:rPr>
        <w:t xml:space="preserve"> </w:t>
      </w:r>
      <w:r>
        <w:t>development,</w:t>
      </w:r>
      <w:r>
        <w:rPr>
          <w:spacing w:val="-11"/>
        </w:rPr>
        <w:t xml:space="preserve"> </w:t>
      </w:r>
      <w:r>
        <w:t>investment</w:t>
      </w:r>
      <w:r>
        <w:rPr>
          <w:spacing w:val="-11"/>
        </w:rPr>
        <w:t xml:space="preserve"> </w:t>
      </w:r>
      <w:r>
        <w:t>and</w:t>
      </w:r>
      <w:r>
        <w:rPr>
          <w:spacing w:val="-58"/>
        </w:rPr>
        <w:t xml:space="preserve"> </w:t>
      </w:r>
      <w:r>
        <w:rPr>
          <w:spacing w:val="-1"/>
        </w:rPr>
        <w:t>employment,</w:t>
      </w:r>
      <w:r>
        <w:rPr>
          <w:spacing w:val="-12"/>
        </w:rPr>
        <w:t xml:space="preserve"> </w:t>
      </w:r>
      <w:r>
        <w:rPr>
          <w:spacing w:val="-1"/>
        </w:rPr>
        <w:t>and</w:t>
      </w:r>
      <w:r>
        <w:rPr>
          <w:spacing w:val="-12"/>
        </w:rPr>
        <w:t xml:space="preserve"> </w:t>
      </w:r>
      <w:r>
        <w:rPr>
          <w:spacing w:val="-1"/>
        </w:rPr>
        <w:t>the</w:t>
      </w:r>
      <w:r>
        <w:rPr>
          <w:spacing w:val="-13"/>
        </w:rPr>
        <w:t xml:space="preserve"> </w:t>
      </w:r>
      <w:r>
        <w:rPr>
          <w:spacing w:val="-1"/>
        </w:rPr>
        <w:t>retention</w:t>
      </w:r>
      <w:r>
        <w:rPr>
          <w:spacing w:val="-11"/>
        </w:rPr>
        <w:t xml:space="preserve"> </w:t>
      </w:r>
      <w:r>
        <w:t>of</w:t>
      </w:r>
      <w:r>
        <w:rPr>
          <w:spacing w:val="-13"/>
        </w:rPr>
        <w:t xml:space="preserve"> </w:t>
      </w:r>
      <w:r>
        <w:t>the</w:t>
      </w:r>
      <w:r>
        <w:rPr>
          <w:spacing w:val="-13"/>
        </w:rPr>
        <w:t xml:space="preserve"> </w:t>
      </w:r>
      <w:r>
        <w:t>population</w:t>
      </w:r>
      <w:r>
        <w:rPr>
          <w:spacing w:val="-14"/>
        </w:rPr>
        <w:t xml:space="preserve"> </w:t>
      </w:r>
      <w:r>
        <w:t>in</w:t>
      </w:r>
      <w:r>
        <w:rPr>
          <w:spacing w:val="-13"/>
        </w:rPr>
        <w:t xml:space="preserve"> </w:t>
      </w:r>
      <w:r>
        <w:t>rural</w:t>
      </w:r>
      <w:r>
        <w:rPr>
          <w:spacing w:val="-12"/>
        </w:rPr>
        <w:t xml:space="preserve"> </w:t>
      </w:r>
      <w:r>
        <w:t>areas.</w:t>
      </w:r>
      <w:r>
        <w:rPr>
          <w:spacing w:val="-7"/>
        </w:rPr>
        <w:t xml:space="preserve"> </w:t>
      </w:r>
      <w:r>
        <w:t>In</w:t>
      </w:r>
      <w:r>
        <w:rPr>
          <w:spacing w:val="-12"/>
        </w:rPr>
        <w:t xml:space="preserve"> </w:t>
      </w:r>
      <w:r>
        <w:t>adhering</w:t>
      </w:r>
      <w:r>
        <w:rPr>
          <w:spacing w:val="-14"/>
        </w:rPr>
        <w:t xml:space="preserve"> </w:t>
      </w:r>
      <w:r>
        <w:t>to</w:t>
      </w:r>
      <w:r>
        <w:rPr>
          <w:spacing w:val="-9"/>
        </w:rPr>
        <w:t xml:space="preserve"> </w:t>
      </w:r>
      <w:r>
        <w:t>the</w:t>
      </w:r>
      <w:r>
        <w:rPr>
          <w:spacing w:val="-13"/>
        </w:rPr>
        <w:t xml:space="preserve"> </w:t>
      </w:r>
      <w:r>
        <w:t>Strategy,</w:t>
      </w:r>
      <w:r>
        <w:rPr>
          <w:spacing w:val="-11"/>
        </w:rPr>
        <w:t xml:space="preserve"> </w:t>
      </w:r>
      <w:r>
        <w:t>small</w:t>
      </w:r>
      <w:r>
        <w:rPr>
          <w:spacing w:val="-57"/>
        </w:rPr>
        <w:t xml:space="preserve"> </w:t>
      </w:r>
      <w:r>
        <w:t>value grants were awarded to entrepreneurs for investments in the previous period, totalling</w:t>
      </w:r>
      <w:r>
        <w:rPr>
          <w:spacing w:val="1"/>
        </w:rPr>
        <w:t xml:space="preserve"> </w:t>
      </w:r>
      <w:r>
        <w:t>slightly</w:t>
      </w:r>
      <w:r>
        <w:rPr>
          <w:spacing w:val="1"/>
        </w:rPr>
        <w:t xml:space="preserve"> </w:t>
      </w:r>
      <w:r>
        <w:t>more</w:t>
      </w:r>
      <w:r>
        <w:rPr>
          <w:spacing w:val="1"/>
        </w:rPr>
        <w:t xml:space="preserve"> </w:t>
      </w:r>
      <w:r>
        <w:t>than</w:t>
      </w:r>
      <w:r>
        <w:rPr>
          <w:spacing w:val="1"/>
        </w:rPr>
        <w:t xml:space="preserve"> </w:t>
      </w:r>
      <w:r>
        <w:t>HRK</w:t>
      </w:r>
      <w:r>
        <w:rPr>
          <w:spacing w:val="1"/>
        </w:rPr>
        <w:t xml:space="preserve"> </w:t>
      </w:r>
      <w:r>
        <w:t>136</w:t>
      </w:r>
      <w:r>
        <w:rPr>
          <w:spacing w:val="1"/>
        </w:rPr>
        <w:t xml:space="preserve"> </w:t>
      </w:r>
      <w:r>
        <w:t>million</w:t>
      </w:r>
      <w:r>
        <w:rPr>
          <w:spacing w:val="1"/>
        </w:rPr>
        <w:t xml:space="preserve"> </w:t>
      </w:r>
      <w:r>
        <w:t>for</w:t>
      </w:r>
      <w:r>
        <w:rPr>
          <w:spacing w:val="1"/>
        </w:rPr>
        <w:t xml:space="preserve"> </w:t>
      </w:r>
      <w:r>
        <w:t>693</w:t>
      </w:r>
      <w:r>
        <w:rPr>
          <w:spacing w:val="1"/>
        </w:rPr>
        <w:t xml:space="preserve"> </w:t>
      </w:r>
      <w:r>
        <w:t>investments</w:t>
      </w:r>
      <w:r>
        <w:rPr>
          <w:spacing w:val="1"/>
        </w:rPr>
        <w:t xml:space="preserve"> </w:t>
      </w:r>
      <w:r>
        <w:t>of</w:t>
      </w:r>
      <w:r>
        <w:rPr>
          <w:spacing w:val="1"/>
        </w:rPr>
        <w:t xml:space="preserve"> </w:t>
      </w:r>
      <w:r>
        <w:t>455</w:t>
      </w:r>
      <w:r>
        <w:rPr>
          <w:spacing w:val="1"/>
        </w:rPr>
        <w:t xml:space="preserve"> </w:t>
      </w:r>
      <w:r>
        <w:t>entrepreneurs.</w:t>
      </w:r>
      <w:r>
        <w:rPr>
          <w:spacing w:val="1"/>
        </w:rPr>
        <w:t xml:space="preserve"> </w:t>
      </w:r>
      <w:r>
        <w:t>The</w:t>
      </w:r>
      <w:r>
        <w:rPr>
          <w:spacing w:val="1"/>
        </w:rPr>
        <w:t xml:space="preserve"> </w:t>
      </w:r>
      <w:r>
        <w:t>Government's response to future strategic planning in developing these activities and the</w:t>
      </w:r>
      <w:r>
        <w:rPr>
          <w:spacing w:val="1"/>
        </w:rPr>
        <w:t xml:space="preserve"> </w:t>
      </w:r>
      <w:r>
        <w:t>continuity of the policy initiated by the Strategy is in the form of a new act National Plan for</w:t>
      </w:r>
      <w:r>
        <w:rPr>
          <w:spacing w:val="1"/>
        </w:rPr>
        <w:t xml:space="preserve"> </w:t>
      </w:r>
      <w:r>
        <w:t>the Development of Wood Processing and Furniture Production of the Republic of Croatia for</w:t>
      </w:r>
      <w:r>
        <w:rPr>
          <w:spacing w:val="-57"/>
        </w:rPr>
        <w:t xml:space="preserve"> </w:t>
      </w:r>
      <w:r>
        <w:t>the</w:t>
      </w:r>
      <w:r>
        <w:rPr>
          <w:spacing w:val="1"/>
        </w:rPr>
        <w:t xml:space="preserve"> </w:t>
      </w:r>
      <w:r>
        <w:t>period</w:t>
      </w:r>
      <w:r>
        <w:rPr>
          <w:spacing w:val="1"/>
        </w:rPr>
        <w:t xml:space="preserve"> </w:t>
      </w:r>
      <w:r>
        <w:t>2022</w:t>
      </w:r>
      <w:r>
        <w:rPr>
          <w:spacing w:val="1"/>
        </w:rPr>
        <w:t xml:space="preserve"> </w:t>
      </w:r>
      <w:r>
        <w:t>to</w:t>
      </w:r>
      <w:r>
        <w:rPr>
          <w:spacing w:val="1"/>
        </w:rPr>
        <w:t xml:space="preserve"> </w:t>
      </w:r>
      <w:r>
        <w:t>2030,</w:t>
      </w:r>
      <w:r>
        <w:rPr>
          <w:spacing w:val="1"/>
        </w:rPr>
        <w:t xml:space="preserve"> </w:t>
      </w:r>
      <w:r>
        <w:t>which</w:t>
      </w:r>
      <w:r>
        <w:rPr>
          <w:spacing w:val="1"/>
        </w:rPr>
        <w:t xml:space="preserve"> </w:t>
      </w:r>
      <w:r>
        <w:t>aims</w:t>
      </w:r>
      <w:r>
        <w:rPr>
          <w:spacing w:val="1"/>
        </w:rPr>
        <w:t xml:space="preserve"> </w:t>
      </w:r>
      <w:r>
        <w:t>to</w:t>
      </w:r>
      <w:r>
        <w:rPr>
          <w:spacing w:val="1"/>
        </w:rPr>
        <w:t xml:space="preserve"> </w:t>
      </w:r>
      <w:r>
        <w:t>create</w:t>
      </w:r>
      <w:r>
        <w:rPr>
          <w:spacing w:val="1"/>
        </w:rPr>
        <w:t xml:space="preserve"> </w:t>
      </w:r>
      <w:r>
        <w:t>conditions</w:t>
      </w:r>
      <w:r>
        <w:rPr>
          <w:spacing w:val="1"/>
        </w:rPr>
        <w:t xml:space="preserve"> </w:t>
      </w:r>
      <w:r>
        <w:t>for</w:t>
      </w:r>
      <w:r>
        <w:rPr>
          <w:spacing w:val="1"/>
        </w:rPr>
        <w:t xml:space="preserve"> </w:t>
      </w:r>
      <w:r>
        <w:t>sustainable</w:t>
      </w:r>
      <w:r>
        <w:rPr>
          <w:spacing w:val="1"/>
        </w:rPr>
        <w:t xml:space="preserve"> </w:t>
      </w:r>
      <w:r>
        <w:t>growth</w:t>
      </w:r>
      <w:r>
        <w:rPr>
          <w:spacing w:val="1"/>
        </w:rPr>
        <w:t xml:space="preserve"> </w:t>
      </w:r>
      <w:r>
        <w:t>and</w:t>
      </w:r>
      <w:r>
        <w:rPr>
          <w:spacing w:val="1"/>
        </w:rPr>
        <w:t xml:space="preserve"> </w:t>
      </w:r>
      <w:r>
        <w:t>development of the wood processing and furniture production while promoting a resource-</w:t>
      </w:r>
      <w:r>
        <w:rPr>
          <w:spacing w:val="1"/>
        </w:rPr>
        <w:t xml:space="preserve"> </w:t>
      </w:r>
      <w:r>
        <w:t>sustainable</w:t>
      </w:r>
      <w:r>
        <w:rPr>
          <w:spacing w:val="-5"/>
        </w:rPr>
        <w:t xml:space="preserve"> </w:t>
      </w:r>
      <w:r>
        <w:t>and</w:t>
      </w:r>
      <w:r>
        <w:rPr>
          <w:spacing w:val="-4"/>
        </w:rPr>
        <w:t xml:space="preserve"> </w:t>
      </w:r>
      <w:r>
        <w:t>also</w:t>
      </w:r>
      <w:r>
        <w:rPr>
          <w:spacing w:val="-3"/>
        </w:rPr>
        <w:t xml:space="preserve"> </w:t>
      </w:r>
      <w:r>
        <w:t>efficient,</w:t>
      </w:r>
      <w:r>
        <w:rPr>
          <w:spacing w:val="-4"/>
        </w:rPr>
        <w:t xml:space="preserve"> </w:t>
      </w:r>
      <w:r>
        <w:t>circular,</w:t>
      </w:r>
      <w:r>
        <w:rPr>
          <w:spacing w:val="-1"/>
        </w:rPr>
        <w:t xml:space="preserve"> </w:t>
      </w:r>
      <w:r>
        <w:t>green</w:t>
      </w:r>
      <w:r>
        <w:rPr>
          <w:spacing w:val="-1"/>
        </w:rPr>
        <w:t xml:space="preserve"> </w:t>
      </w:r>
      <w:r>
        <w:t>and</w:t>
      </w:r>
      <w:r>
        <w:rPr>
          <w:spacing w:val="-4"/>
        </w:rPr>
        <w:t xml:space="preserve"> </w:t>
      </w:r>
      <w:r>
        <w:t>low-carbon</w:t>
      </w:r>
      <w:r>
        <w:rPr>
          <w:spacing w:val="-5"/>
        </w:rPr>
        <w:t xml:space="preserve"> </w:t>
      </w:r>
      <w:r>
        <w:t>economy</w:t>
      </w:r>
      <w:r>
        <w:rPr>
          <w:spacing w:val="-6"/>
        </w:rPr>
        <w:t xml:space="preserve"> </w:t>
      </w:r>
      <w:r>
        <w:t>and</w:t>
      </w:r>
      <w:r>
        <w:rPr>
          <w:spacing w:val="-1"/>
        </w:rPr>
        <w:t xml:space="preserve"> </w:t>
      </w:r>
      <w:r>
        <w:t>positioning</w:t>
      </w:r>
      <w:r>
        <w:rPr>
          <w:spacing w:val="-5"/>
        </w:rPr>
        <w:t xml:space="preserve"> </w:t>
      </w:r>
      <w:r>
        <w:t>Croatia</w:t>
      </w:r>
      <w:r>
        <w:rPr>
          <w:spacing w:val="-58"/>
        </w:rPr>
        <w:t xml:space="preserve"> </w:t>
      </w:r>
      <w:r>
        <w:t>as an exporter of higher value-added products. The national plan will focus on the specific</w:t>
      </w:r>
      <w:r>
        <w:rPr>
          <w:spacing w:val="1"/>
        </w:rPr>
        <w:t xml:space="preserve"> </w:t>
      </w:r>
      <w:r>
        <w:t>objectives of strengthening competitiveness and innovation, encouraging digital and green</w:t>
      </w:r>
      <w:r>
        <w:rPr>
          <w:spacing w:val="1"/>
        </w:rPr>
        <w:t xml:space="preserve"> </w:t>
      </w:r>
      <w:r>
        <w:t>transition</w:t>
      </w:r>
      <w:r>
        <w:rPr>
          <w:spacing w:val="1"/>
        </w:rPr>
        <w:t xml:space="preserve"> </w:t>
      </w:r>
      <w:r>
        <w:t>and</w:t>
      </w:r>
      <w:r>
        <w:rPr>
          <w:spacing w:val="1"/>
        </w:rPr>
        <w:t xml:space="preserve"> </w:t>
      </w:r>
      <w:r>
        <w:t>increasing</w:t>
      </w:r>
      <w:r>
        <w:rPr>
          <w:spacing w:val="1"/>
        </w:rPr>
        <w:t xml:space="preserve"> </w:t>
      </w:r>
      <w:r>
        <w:t>productivity</w:t>
      </w:r>
      <w:r>
        <w:rPr>
          <w:spacing w:val="-3"/>
        </w:rPr>
        <w:t xml:space="preserve"> </w:t>
      </w:r>
      <w:r>
        <w:t>and</w:t>
      </w:r>
      <w:r>
        <w:rPr>
          <w:spacing w:val="1"/>
        </w:rPr>
        <w:t xml:space="preserve"> </w:t>
      </w:r>
      <w:r>
        <w:t>strengthening</w:t>
      </w:r>
      <w:r>
        <w:rPr>
          <w:spacing w:val="-2"/>
        </w:rPr>
        <w:t xml:space="preserve"> </w:t>
      </w:r>
      <w:r>
        <w:t>the</w:t>
      </w:r>
      <w:r>
        <w:rPr>
          <w:spacing w:val="3"/>
        </w:rPr>
        <w:t xml:space="preserve"> </w:t>
      </w:r>
      <w:r>
        <w:t>resilience</w:t>
      </w:r>
      <w:r>
        <w:rPr>
          <w:spacing w:val="1"/>
        </w:rPr>
        <w:t xml:space="preserve"> </w:t>
      </w:r>
      <w:r>
        <w:t>of wood</w:t>
      </w:r>
      <w:r>
        <w:rPr>
          <w:spacing w:val="1"/>
        </w:rPr>
        <w:t xml:space="preserve"> </w:t>
      </w:r>
      <w:r>
        <w:t>processing</w:t>
      </w:r>
      <w:r>
        <w:rPr>
          <w:spacing w:val="-1"/>
        </w:rPr>
        <w:t xml:space="preserve"> </w:t>
      </w:r>
      <w:r>
        <w:t>and</w:t>
      </w:r>
    </w:p>
    <w:p w:rsidR="00A56FE9" w:rsidRDefault="00A56FE9">
      <w:pPr>
        <w:sectPr w:rsidR="00A56FE9" w:rsidSect="00AB1E70">
          <w:pgSz w:w="11910" w:h="16840"/>
          <w:pgMar w:top="1160" w:right="1140" w:bottom="960" w:left="1280" w:header="0" w:footer="779" w:gutter="0"/>
          <w:cols w:space="720"/>
        </w:sectPr>
      </w:pPr>
    </w:p>
    <w:p w:rsidR="00A56FE9" w:rsidRDefault="00000000">
      <w:pPr>
        <w:pStyle w:val="Tijeloteksta"/>
        <w:spacing w:before="74"/>
        <w:ind w:right="274"/>
        <w:jc w:val="left"/>
      </w:pPr>
      <w:r>
        <w:t>furniture production against climate change, as well as strengthening regional competitiveness</w:t>
      </w:r>
      <w:r>
        <w:rPr>
          <w:spacing w:val="-57"/>
        </w:rPr>
        <w:t xml:space="preserve"> </w:t>
      </w:r>
      <w:r>
        <w:t>and</w:t>
      </w:r>
      <w:r>
        <w:rPr>
          <w:spacing w:val="-1"/>
        </w:rPr>
        <w:t xml:space="preserve"> </w:t>
      </w:r>
      <w:r>
        <w:t>balanced regional development of</w:t>
      </w:r>
      <w:r>
        <w:rPr>
          <w:spacing w:val="1"/>
        </w:rPr>
        <w:t xml:space="preserve"> </w:t>
      </w:r>
      <w:r>
        <w:t>the</w:t>
      </w:r>
      <w:r>
        <w:rPr>
          <w:spacing w:val="-1"/>
        </w:rPr>
        <w:t xml:space="preserve"> </w:t>
      </w:r>
      <w:r>
        <w:t>said activities.</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688192"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175424083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AC1B4" id="Rectangle 48" o:spid="_x0000_s1026" style="position:absolute;margin-left:69.5pt;margin-top:9.8pt;width:45.25pt;height:1.45pt;z-index:-15628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4"/>
      </w:pPr>
      <w:r>
        <w:t>To raise awareness of sustainable development, the Ministry of Tourism and Sport (MTS) has</w:t>
      </w:r>
      <w:r>
        <w:rPr>
          <w:spacing w:val="-57"/>
        </w:rPr>
        <w:t xml:space="preserve"> </w:t>
      </w:r>
      <w:r>
        <w:t>established</w:t>
      </w:r>
      <w:r>
        <w:rPr>
          <w:spacing w:val="-10"/>
        </w:rPr>
        <w:t xml:space="preserve"> </w:t>
      </w:r>
      <w:r>
        <w:t>a</w:t>
      </w:r>
      <w:r>
        <w:rPr>
          <w:spacing w:val="-10"/>
        </w:rPr>
        <w:t xml:space="preserve"> </w:t>
      </w:r>
      <w:r>
        <w:t>portal</w:t>
      </w:r>
      <w:r>
        <w:rPr>
          <w:spacing w:val="-8"/>
        </w:rPr>
        <w:t xml:space="preserve"> </w:t>
      </w:r>
      <w:r>
        <w:t>on</w:t>
      </w:r>
      <w:r>
        <w:rPr>
          <w:spacing w:val="-9"/>
        </w:rPr>
        <w:t xml:space="preserve"> </w:t>
      </w:r>
      <w:r>
        <w:t>sustainable</w:t>
      </w:r>
      <w:r>
        <w:rPr>
          <w:spacing w:val="-11"/>
        </w:rPr>
        <w:t xml:space="preserve"> </w:t>
      </w:r>
      <w:r>
        <w:t>tourism,</w:t>
      </w:r>
      <w:r>
        <w:rPr>
          <w:spacing w:val="-9"/>
        </w:rPr>
        <w:t xml:space="preserve"> </w:t>
      </w:r>
      <w:r>
        <w:t>and</w:t>
      </w:r>
      <w:r>
        <w:rPr>
          <w:spacing w:val="-9"/>
        </w:rPr>
        <w:t xml:space="preserve"> </w:t>
      </w:r>
      <w:r>
        <w:t>in</w:t>
      </w:r>
      <w:r>
        <w:rPr>
          <w:spacing w:val="-11"/>
        </w:rPr>
        <w:t xml:space="preserve"> </w:t>
      </w:r>
      <w:r>
        <w:t>2022</w:t>
      </w:r>
      <w:r>
        <w:rPr>
          <w:spacing w:val="-9"/>
        </w:rPr>
        <w:t xml:space="preserve"> </w:t>
      </w:r>
      <w:r>
        <w:t>additional</w:t>
      </w:r>
      <w:r>
        <w:rPr>
          <w:spacing w:val="-10"/>
        </w:rPr>
        <w:t xml:space="preserve"> </w:t>
      </w:r>
      <w:r>
        <w:t>investment</w:t>
      </w:r>
      <w:r>
        <w:rPr>
          <w:spacing w:val="-8"/>
        </w:rPr>
        <w:t xml:space="preserve"> </w:t>
      </w:r>
      <w:r>
        <w:t>and</w:t>
      </w:r>
      <w:r>
        <w:rPr>
          <w:spacing w:val="-9"/>
        </w:rPr>
        <w:t xml:space="preserve"> </w:t>
      </w:r>
      <w:r>
        <w:t>development</w:t>
      </w:r>
      <w:r>
        <w:rPr>
          <w:spacing w:val="-58"/>
        </w:rPr>
        <w:t xml:space="preserve"> </w:t>
      </w:r>
      <w:r>
        <w:t>will improve the port and ensure transparent monitoring and reporting on the impact of</w:t>
      </w:r>
      <w:r>
        <w:rPr>
          <w:spacing w:val="1"/>
        </w:rPr>
        <w:t xml:space="preserve"> </w:t>
      </w:r>
      <w:r>
        <w:t>sustainable development on tourism. At the same time, it will promote sustainable tourism</w:t>
      </w:r>
      <w:r>
        <w:rPr>
          <w:spacing w:val="1"/>
        </w:rPr>
        <w:t xml:space="preserve"> </w:t>
      </w:r>
      <w:r>
        <w:t>practices, connect stakeholders in tourism and beyond, raise awareness and inform the public.</w:t>
      </w:r>
      <w:r>
        <w:rPr>
          <w:spacing w:val="1"/>
        </w:rPr>
        <w:t xml:space="preserve"> </w:t>
      </w:r>
      <w:r>
        <w:t>In accordance with NRRP reform C1.6., the development of the Strategy for Sustainable</w:t>
      </w:r>
      <w:r>
        <w:rPr>
          <w:spacing w:val="1"/>
        </w:rPr>
        <w:t xml:space="preserve"> </w:t>
      </w:r>
      <w:r>
        <w:t>Tourism</w:t>
      </w:r>
      <w:r>
        <w:rPr>
          <w:spacing w:val="-6"/>
        </w:rPr>
        <w:t xml:space="preserve"> </w:t>
      </w:r>
      <w:r>
        <w:t>Development</w:t>
      </w:r>
      <w:r>
        <w:rPr>
          <w:spacing w:val="-6"/>
        </w:rPr>
        <w:t xml:space="preserve"> </w:t>
      </w:r>
      <w:r>
        <w:t>until</w:t>
      </w:r>
      <w:r>
        <w:rPr>
          <w:spacing w:val="-7"/>
        </w:rPr>
        <w:t xml:space="preserve"> </w:t>
      </w:r>
      <w:r>
        <w:t>2030</w:t>
      </w:r>
      <w:r>
        <w:rPr>
          <w:spacing w:val="-6"/>
        </w:rPr>
        <w:t xml:space="preserve"> </w:t>
      </w:r>
      <w:r>
        <w:t>began</w:t>
      </w:r>
      <w:r>
        <w:rPr>
          <w:spacing w:val="-5"/>
        </w:rPr>
        <w:t xml:space="preserve"> </w:t>
      </w:r>
      <w:r>
        <w:t>in</w:t>
      </w:r>
      <w:r>
        <w:rPr>
          <w:spacing w:val="-7"/>
        </w:rPr>
        <w:t xml:space="preserve"> </w:t>
      </w:r>
      <w:r>
        <w:t>2021</w:t>
      </w:r>
      <w:r>
        <w:rPr>
          <w:spacing w:val="-6"/>
        </w:rPr>
        <w:t xml:space="preserve"> </w:t>
      </w:r>
      <w:r>
        <w:t>with</w:t>
      </w:r>
      <w:r>
        <w:rPr>
          <w:spacing w:val="-6"/>
        </w:rPr>
        <w:t xml:space="preserve"> </w:t>
      </w:r>
      <w:r>
        <w:t>the</w:t>
      </w:r>
      <w:r>
        <w:rPr>
          <w:spacing w:val="-8"/>
        </w:rPr>
        <w:t xml:space="preserve"> </w:t>
      </w:r>
      <w:r>
        <w:t>National</w:t>
      </w:r>
      <w:r>
        <w:rPr>
          <w:spacing w:val="-6"/>
        </w:rPr>
        <w:t xml:space="preserve"> </w:t>
      </w:r>
      <w:r>
        <w:t>Plan</w:t>
      </w:r>
      <w:r>
        <w:rPr>
          <w:spacing w:val="-7"/>
        </w:rPr>
        <w:t xml:space="preserve"> </w:t>
      </w:r>
      <w:r>
        <w:t>for</w:t>
      </w:r>
      <w:r>
        <w:rPr>
          <w:spacing w:val="-9"/>
        </w:rPr>
        <w:t xml:space="preserve"> </w:t>
      </w:r>
      <w:r>
        <w:t>the</w:t>
      </w:r>
      <w:r>
        <w:rPr>
          <w:spacing w:val="-7"/>
        </w:rPr>
        <w:t xml:space="preserve"> </w:t>
      </w:r>
      <w:r>
        <w:t>Development</w:t>
      </w:r>
      <w:r>
        <w:rPr>
          <w:spacing w:val="-6"/>
        </w:rPr>
        <w:t xml:space="preserve"> </w:t>
      </w:r>
      <w:r>
        <w:t>of</w:t>
      </w:r>
      <w:r>
        <w:rPr>
          <w:spacing w:val="-58"/>
        </w:rPr>
        <w:t xml:space="preserve"> </w:t>
      </w:r>
      <w:r>
        <w:t>Sustainable Tourism 2021-2027. The reparation of public calls has begun within the planned</w:t>
      </w:r>
      <w:r>
        <w:rPr>
          <w:spacing w:val="1"/>
        </w:rPr>
        <w:t xml:space="preserve"> </w:t>
      </w:r>
      <w:r>
        <w:t>investments of the NRRP, where the publication in 2022 will be aimed at building and</w:t>
      </w:r>
      <w:r>
        <w:rPr>
          <w:spacing w:val="1"/>
        </w:rPr>
        <w:t xml:space="preserve"> </w:t>
      </w:r>
      <w:r>
        <w:t>establishing sustainable public and private tourism infrastructure outside major tourist and</w:t>
      </w:r>
      <w:r>
        <w:rPr>
          <w:spacing w:val="1"/>
        </w:rPr>
        <w:t xml:space="preserve"> </w:t>
      </w:r>
      <w:r>
        <w:t>coastal</w:t>
      </w:r>
      <w:r>
        <w:rPr>
          <w:spacing w:val="1"/>
        </w:rPr>
        <w:t xml:space="preserve"> </w:t>
      </w:r>
      <w:r>
        <w:t>areas,</w:t>
      </w:r>
      <w:r>
        <w:rPr>
          <w:spacing w:val="1"/>
        </w:rPr>
        <w:t xml:space="preserve"> </w:t>
      </w:r>
      <w:r>
        <w:t>green</w:t>
      </w:r>
      <w:r>
        <w:rPr>
          <w:spacing w:val="1"/>
        </w:rPr>
        <w:t xml:space="preserve"> </w:t>
      </w:r>
      <w:r>
        <w:t>and</w:t>
      </w:r>
      <w:r>
        <w:rPr>
          <w:spacing w:val="1"/>
        </w:rPr>
        <w:t xml:space="preserve"> </w:t>
      </w:r>
      <w:r>
        <w:t>digital</w:t>
      </w:r>
      <w:r>
        <w:rPr>
          <w:spacing w:val="1"/>
        </w:rPr>
        <w:t xml:space="preserve"> </w:t>
      </w:r>
      <w:r>
        <w:t>transition</w:t>
      </w:r>
      <w:r>
        <w:rPr>
          <w:spacing w:val="1"/>
        </w:rPr>
        <w:t xml:space="preserve"> </w:t>
      </w:r>
      <w:r>
        <w:t>of</w:t>
      </w:r>
      <w:r>
        <w:rPr>
          <w:spacing w:val="1"/>
        </w:rPr>
        <w:t xml:space="preserve"> </w:t>
      </w:r>
      <w:r>
        <w:t>existing</w:t>
      </w:r>
      <w:r>
        <w:rPr>
          <w:spacing w:val="1"/>
        </w:rPr>
        <w:t xml:space="preserve"> </w:t>
      </w:r>
      <w:r>
        <w:t>public</w:t>
      </w:r>
      <w:r>
        <w:rPr>
          <w:spacing w:val="1"/>
        </w:rPr>
        <w:t xml:space="preserve"> </w:t>
      </w:r>
      <w:r>
        <w:t>tourism</w:t>
      </w:r>
      <w:r>
        <w:rPr>
          <w:spacing w:val="1"/>
        </w:rPr>
        <w:t xml:space="preserve"> </w:t>
      </w:r>
      <w:r>
        <w:t>infrastructure</w:t>
      </w:r>
      <w:r>
        <w:rPr>
          <w:spacing w:val="1"/>
        </w:rPr>
        <w:t xml:space="preserve"> </w:t>
      </w:r>
      <w:r>
        <w:t>and</w:t>
      </w:r>
      <w:r>
        <w:rPr>
          <w:spacing w:val="1"/>
        </w:rPr>
        <w:t xml:space="preserve"> </w:t>
      </w:r>
      <w:r>
        <w:rPr>
          <w:spacing w:val="-1"/>
        </w:rPr>
        <w:t>sustainable</w:t>
      </w:r>
      <w:r>
        <w:rPr>
          <w:spacing w:val="-14"/>
        </w:rPr>
        <w:t xml:space="preserve"> </w:t>
      </w:r>
      <w:r>
        <w:t>development</w:t>
      </w:r>
      <w:r>
        <w:rPr>
          <w:spacing w:val="-8"/>
        </w:rPr>
        <w:t xml:space="preserve"> </w:t>
      </w:r>
      <w:r>
        <w:t>of</w:t>
      </w:r>
      <w:r>
        <w:rPr>
          <w:spacing w:val="-13"/>
        </w:rPr>
        <w:t xml:space="preserve"> </w:t>
      </w:r>
      <w:r>
        <w:t>high</w:t>
      </w:r>
      <w:r>
        <w:rPr>
          <w:spacing w:val="-10"/>
        </w:rPr>
        <w:t xml:space="preserve"> </w:t>
      </w:r>
      <w:r>
        <w:t>value-added</w:t>
      </w:r>
      <w:r>
        <w:rPr>
          <w:spacing w:val="-12"/>
        </w:rPr>
        <w:t xml:space="preserve"> </w:t>
      </w:r>
      <w:r>
        <w:t>tourism</w:t>
      </w:r>
      <w:r>
        <w:rPr>
          <w:spacing w:val="-12"/>
        </w:rPr>
        <w:t xml:space="preserve"> </w:t>
      </w:r>
      <w:r>
        <w:t>products</w:t>
      </w:r>
      <w:r>
        <w:rPr>
          <w:spacing w:val="-12"/>
        </w:rPr>
        <w:t xml:space="preserve"> </w:t>
      </w:r>
      <w:r>
        <w:t>while</w:t>
      </w:r>
      <w:r>
        <w:rPr>
          <w:spacing w:val="-13"/>
        </w:rPr>
        <w:t xml:space="preserve"> </w:t>
      </w:r>
      <w:r>
        <w:t>preserving</w:t>
      </w:r>
      <w:r>
        <w:rPr>
          <w:spacing w:val="-14"/>
        </w:rPr>
        <w:t xml:space="preserve"> </w:t>
      </w:r>
      <w:r>
        <w:t>local</w:t>
      </w:r>
      <w:r>
        <w:rPr>
          <w:spacing w:val="-12"/>
        </w:rPr>
        <w:t xml:space="preserve"> </w:t>
      </w:r>
      <w:r>
        <w:t>traditions</w:t>
      </w:r>
      <w:r>
        <w:rPr>
          <w:spacing w:val="-57"/>
        </w:rPr>
        <w:t xml:space="preserve"> </w:t>
      </w:r>
      <w:r>
        <w:t>and</w:t>
      </w:r>
      <w:r>
        <w:rPr>
          <w:spacing w:val="-4"/>
        </w:rPr>
        <w:t xml:space="preserve"> </w:t>
      </w:r>
      <w:r>
        <w:t>creating</w:t>
      </w:r>
      <w:r>
        <w:rPr>
          <w:spacing w:val="-6"/>
        </w:rPr>
        <w:t xml:space="preserve"> </w:t>
      </w:r>
      <w:r>
        <w:t>new</w:t>
      </w:r>
      <w:r>
        <w:rPr>
          <w:spacing w:val="-3"/>
        </w:rPr>
        <w:t xml:space="preserve"> </w:t>
      </w:r>
      <w:r>
        <w:t>jobs,</w:t>
      </w:r>
      <w:r>
        <w:rPr>
          <w:spacing w:val="-3"/>
        </w:rPr>
        <w:t xml:space="preserve"> </w:t>
      </w:r>
      <w:r>
        <w:t>in</w:t>
      </w:r>
      <w:r>
        <w:rPr>
          <w:spacing w:val="-1"/>
        </w:rPr>
        <w:t xml:space="preserve"> </w:t>
      </w:r>
      <w:r>
        <w:t>accordance</w:t>
      </w:r>
      <w:r>
        <w:rPr>
          <w:spacing w:val="-2"/>
        </w:rPr>
        <w:t xml:space="preserve"> </w:t>
      </w:r>
      <w:r>
        <w:t>with</w:t>
      </w:r>
      <w:r>
        <w:rPr>
          <w:spacing w:val="-2"/>
        </w:rPr>
        <w:t xml:space="preserve"> </w:t>
      </w:r>
      <w:r>
        <w:t>the</w:t>
      </w:r>
      <w:r>
        <w:rPr>
          <w:spacing w:val="-4"/>
        </w:rPr>
        <w:t xml:space="preserve"> </w:t>
      </w:r>
      <w:r>
        <w:t>legislative</w:t>
      </w:r>
      <w:r>
        <w:rPr>
          <w:spacing w:val="-4"/>
        </w:rPr>
        <w:t xml:space="preserve"> </w:t>
      </w:r>
      <w:r>
        <w:t>framework</w:t>
      </w:r>
      <w:r>
        <w:rPr>
          <w:spacing w:val="-1"/>
        </w:rPr>
        <w:t xml:space="preserve"> </w:t>
      </w:r>
      <w:r>
        <w:t>for</w:t>
      </w:r>
      <w:r>
        <w:rPr>
          <w:spacing w:val="-3"/>
        </w:rPr>
        <w:t xml:space="preserve"> </w:t>
      </w:r>
      <w:r>
        <w:t>climate</w:t>
      </w:r>
      <w:r>
        <w:rPr>
          <w:spacing w:val="-5"/>
        </w:rPr>
        <w:t xml:space="preserve"> </w:t>
      </w:r>
      <w:r>
        <w:t>and</w:t>
      </w:r>
      <w:r>
        <w:rPr>
          <w:spacing w:val="-3"/>
        </w:rPr>
        <w:t xml:space="preserve"> </w:t>
      </w:r>
      <w:r>
        <w:t>protection</w:t>
      </w:r>
      <w:r>
        <w:rPr>
          <w:spacing w:val="-58"/>
        </w:rPr>
        <w:t xml:space="preserve"> </w:t>
      </w:r>
      <w:r>
        <w:t>of the environment and natural resources (especially space and the sea along with coastal</w:t>
      </w:r>
      <w:r>
        <w:rPr>
          <w:spacing w:val="1"/>
        </w:rPr>
        <w:t xml:space="preserve"> </w:t>
      </w:r>
      <w:r>
        <w:t>ecosystems). In 2022, the training of stakeholders in tourism will be conducted to strengthen</w:t>
      </w:r>
      <w:r>
        <w:rPr>
          <w:spacing w:val="1"/>
        </w:rPr>
        <w:t xml:space="preserve"> </w:t>
      </w:r>
      <w:r>
        <w:t>management competencies related to adaptation to climate change, in accordance with the</w:t>
      </w:r>
      <w:r>
        <w:rPr>
          <w:spacing w:val="1"/>
        </w:rPr>
        <w:t xml:space="preserve"> </w:t>
      </w:r>
      <w:r>
        <w:t>Strategy</w:t>
      </w:r>
      <w:r>
        <w:rPr>
          <w:spacing w:val="-6"/>
        </w:rPr>
        <w:t xml:space="preserve"> </w:t>
      </w:r>
      <w:r>
        <w:t>for</w:t>
      </w:r>
      <w:r>
        <w:rPr>
          <w:spacing w:val="-3"/>
        </w:rPr>
        <w:t xml:space="preserve"> </w:t>
      </w:r>
      <w:r>
        <w:t>Adaptation</w:t>
      </w:r>
      <w:r>
        <w:rPr>
          <w:spacing w:val="-1"/>
        </w:rPr>
        <w:t xml:space="preserve"> </w:t>
      </w:r>
      <w:r>
        <w:t>to Climate</w:t>
      </w:r>
      <w:r>
        <w:rPr>
          <w:spacing w:val="-2"/>
        </w:rPr>
        <w:t xml:space="preserve"> </w:t>
      </w:r>
      <w:r>
        <w:t>Change</w:t>
      </w:r>
      <w:r>
        <w:rPr>
          <w:spacing w:val="-2"/>
        </w:rPr>
        <w:t xml:space="preserve"> </w:t>
      </w:r>
      <w:r>
        <w:t>of</w:t>
      </w:r>
      <w:r>
        <w:rPr>
          <w:spacing w:val="-1"/>
        </w:rPr>
        <w:t xml:space="preserve"> </w:t>
      </w:r>
      <w:r>
        <w:t>the</w:t>
      </w:r>
      <w:r>
        <w:rPr>
          <w:spacing w:val="-2"/>
        </w:rPr>
        <w:t xml:space="preserve"> </w:t>
      </w:r>
      <w:r>
        <w:t>Republic</w:t>
      </w:r>
      <w:r>
        <w:rPr>
          <w:spacing w:val="-2"/>
        </w:rPr>
        <w:t xml:space="preserve"> </w:t>
      </w:r>
      <w:r>
        <w:t>of</w:t>
      </w:r>
      <w:r>
        <w:rPr>
          <w:spacing w:val="-1"/>
        </w:rPr>
        <w:t xml:space="preserve"> </w:t>
      </w:r>
      <w:r>
        <w:t>Croatia</w:t>
      </w:r>
      <w:r>
        <w:rPr>
          <w:spacing w:val="-1"/>
        </w:rPr>
        <w:t xml:space="preserve"> </w:t>
      </w:r>
      <w:r>
        <w:t>for</w:t>
      </w:r>
      <w:r>
        <w:rPr>
          <w:spacing w:val="-3"/>
        </w:rPr>
        <w:t xml:space="preserve"> </w:t>
      </w:r>
      <w:r>
        <w:t>the</w:t>
      </w:r>
      <w:r>
        <w:rPr>
          <w:spacing w:val="-1"/>
        </w:rPr>
        <w:t xml:space="preserve"> </w:t>
      </w:r>
      <w:r>
        <w:t>period</w:t>
      </w:r>
      <w:r>
        <w:rPr>
          <w:spacing w:val="-1"/>
        </w:rPr>
        <w:t xml:space="preserve"> </w:t>
      </w:r>
      <w:r>
        <w:t>2040 with</w:t>
      </w:r>
      <w:r>
        <w:rPr>
          <w:spacing w:val="-58"/>
        </w:rPr>
        <w:t xml:space="preserve"> </w:t>
      </w:r>
      <w:r>
        <w:t>a</w:t>
      </w:r>
      <w:r>
        <w:rPr>
          <w:spacing w:val="-1"/>
        </w:rPr>
        <w:t xml:space="preserve"> </w:t>
      </w:r>
      <w:r>
        <w:t>view</w:t>
      </w:r>
      <w:r>
        <w:rPr>
          <w:spacing w:val="-1"/>
        </w:rPr>
        <w:t xml:space="preserve"> </w:t>
      </w:r>
      <w:r>
        <w:t>to 2070.</w:t>
      </w:r>
      <w:r>
        <w:rPr>
          <w:vertAlign w:val="superscript"/>
        </w:rPr>
        <w:t>43</w:t>
      </w:r>
    </w:p>
    <w:p w:rsidR="00A56FE9" w:rsidRDefault="00CC1B9B">
      <w:pPr>
        <w:pStyle w:val="Tijeloteksta"/>
        <w:spacing w:before="10"/>
        <w:ind w:left="0"/>
        <w:jc w:val="left"/>
        <w:rPr>
          <w:sz w:val="13"/>
        </w:rPr>
      </w:pPr>
      <w:r>
        <w:rPr>
          <w:noProof/>
        </w:rPr>
        <mc:AlternateContent>
          <mc:Choice Requires="wps">
            <w:drawing>
              <wp:anchor distT="0" distB="0" distL="0" distR="0" simplePos="0" relativeHeight="487688704" behindDoc="1" locked="0" layoutInCell="1" allowOverlap="1">
                <wp:simplePos x="0" y="0"/>
                <wp:positionH relativeFrom="page">
                  <wp:posOffset>882650</wp:posOffset>
                </wp:positionH>
                <wp:positionV relativeFrom="paragraph">
                  <wp:posOffset>126365</wp:posOffset>
                </wp:positionV>
                <wp:extent cx="574675" cy="18415"/>
                <wp:effectExtent l="0" t="0" r="0" b="0"/>
                <wp:wrapTopAndBottom/>
                <wp:docPr id="92243278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43118" id="Rectangle 47" o:spid="_x0000_s1026" style="position:absolute;margin-left:69.5pt;margin-top:9.95pt;width:45.25pt;height:1.45pt;z-index:-15627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t>Full employment and dignified work for all are at the core of the NRRP reform Improving</w:t>
      </w:r>
      <w:r>
        <w:rPr>
          <w:spacing w:val="1"/>
        </w:rPr>
        <w:t xml:space="preserve"> </w:t>
      </w:r>
      <w:r>
        <w:t>labour legislation. The aim of the new legislation is to promote fair working conditions,</w:t>
      </w:r>
      <w:r>
        <w:rPr>
          <w:spacing w:val="1"/>
        </w:rPr>
        <w:t xml:space="preserve"> </w:t>
      </w:r>
      <w:r>
        <w:t>encourage the transition to forms of employment for an indefinite period and at the same time</w:t>
      </w:r>
      <w:r>
        <w:rPr>
          <w:spacing w:val="1"/>
        </w:rPr>
        <w:t xml:space="preserve"> </w:t>
      </w:r>
      <w:r>
        <w:t>encourage the use of innovative forms of work, enable a better work-life balance and thus</w:t>
      </w:r>
      <w:r>
        <w:rPr>
          <w:spacing w:val="1"/>
        </w:rPr>
        <w:t xml:space="preserve"> </w:t>
      </w:r>
      <w:r>
        <w:t>increase</w:t>
      </w:r>
      <w:r>
        <w:rPr>
          <w:spacing w:val="-12"/>
        </w:rPr>
        <w:t xml:space="preserve"> </w:t>
      </w:r>
      <w:r>
        <w:t>employment</w:t>
      </w:r>
      <w:r>
        <w:rPr>
          <w:spacing w:val="-11"/>
        </w:rPr>
        <w:t xml:space="preserve"> </w:t>
      </w:r>
      <w:r>
        <w:t>and</w:t>
      </w:r>
      <w:r>
        <w:rPr>
          <w:spacing w:val="-9"/>
        </w:rPr>
        <w:t xml:space="preserve"> </w:t>
      </w:r>
      <w:r>
        <w:t>worker</w:t>
      </w:r>
      <w:r>
        <w:rPr>
          <w:spacing w:val="-12"/>
        </w:rPr>
        <w:t xml:space="preserve"> </w:t>
      </w:r>
      <w:r>
        <w:t>satisfaction</w:t>
      </w:r>
      <w:r>
        <w:rPr>
          <w:spacing w:val="-11"/>
        </w:rPr>
        <w:t xml:space="preserve"> </w:t>
      </w:r>
      <w:r>
        <w:t>and</w:t>
      </w:r>
      <w:r>
        <w:rPr>
          <w:spacing w:val="-11"/>
        </w:rPr>
        <w:t xml:space="preserve"> </w:t>
      </w:r>
      <w:r>
        <w:t>their</w:t>
      </w:r>
      <w:r>
        <w:rPr>
          <w:spacing w:val="-11"/>
        </w:rPr>
        <w:t xml:space="preserve"> </w:t>
      </w:r>
      <w:r>
        <w:t>productivity.</w:t>
      </w:r>
      <w:r>
        <w:rPr>
          <w:spacing w:val="-11"/>
        </w:rPr>
        <w:t xml:space="preserve"> </w:t>
      </w:r>
      <w:r>
        <w:t>Also,</w:t>
      </w:r>
      <w:r>
        <w:rPr>
          <w:spacing w:val="-11"/>
        </w:rPr>
        <w:t xml:space="preserve"> </w:t>
      </w:r>
      <w:r>
        <w:t>the</w:t>
      </w:r>
      <w:r>
        <w:rPr>
          <w:spacing w:val="-11"/>
        </w:rPr>
        <w:t xml:space="preserve"> </w:t>
      </w:r>
      <w:r>
        <w:t>labour</w:t>
      </w:r>
      <w:r>
        <w:rPr>
          <w:spacing w:val="-12"/>
        </w:rPr>
        <w:t xml:space="preserve"> </w:t>
      </w:r>
      <w:r>
        <w:t>protection</w:t>
      </w:r>
      <w:r>
        <w:rPr>
          <w:spacing w:val="-58"/>
        </w:rPr>
        <w:t xml:space="preserve"> </w:t>
      </w:r>
      <w:r>
        <w:t>of minors will be further strengthened. Given that the employment rate is directly affected by</w:t>
      </w:r>
      <w:r>
        <w:rPr>
          <w:spacing w:val="1"/>
        </w:rPr>
        <w:t xml:space="preserve"> </w:t>
      </w:r>
      <w:r>
        <w:t>the reduction of undeclared work, the establishment of a legal framework will enable the</w:t>
      </w:r>
      <w:r>
        <w:rPr>
          <w:spacing w:val="1"/>
        </w:rPr>
        <w:t xml:space="preserve"> </w:t>
      </w:r>
      <w:r>
        <w:t>transition from undeclared to registered work, provide such workers with social protection,</w:t>
      </w:r>
      <w:r>
        <w:rPr>
          <w:spacing w:val="1"/>
        </w:rPr>
        <w:t xml:space="preserve"> </w:t>
      </w:r>
      <w:r>
        <w:t>health</w:t>
      </w:r>
      <w:r>
        <w:rPr>
          <w:spacing w:val="-1"/>
        </w:rPr>
        <w:t xml:space="preserve"> </w:t>
      </w:r>
      <w:r>
        <w:t>care</w:t>
      </w:r>
      <w:r>
        <w:rPr>
          <w:spacing w:val="-1"/>
        </w:rPr>
        <w:t xml:space="preserve"> </w:t>
      </w:r>
      <w:r>
        <w:t>and the</w:t>
      </w:r>
      <w:r>
        <w:rPr>
          <w:spacing w:val="1"/>
        </w:rPr>
        <w:t xml:space="preserve"> </w:t>
      </w:r>
      <w:r>
        <w:t>right to a</w:t>
      </w:r>
      <w:r>
        <w:rPr>
          <w:spacing w:val="-1"/>
        </w:rPr>
        <w:t xml:space="preserve"> </w:t>
      </w:r>
      <w:r>
        <w:t>secure</w:t>
      </w:r>
      <w:r>
        <w:rPr>
          <w:spacing w:val="-1"/>
        </w:rPr>
        <w:t xml:space="preserve"> </w:t>
      </w:r>
      <w:r>
        <w:t>old-age</w:t>
      </w:r>
      <w:r>
        <w:rPr>
          <w:spacing w:val="-1"/>
        </w:rPr>
        <w:t xml:space="preserve"> </w:t>
      </w:r>
      <w:r>
        <w:t>income.</w:t>
      </w:r>
    </w:p>
    <w:p w:rsidR="00A56FE9" w:rsidRDefault="00A56FE9">
      <w:pPr>
        <w:pStyle w:val="Tijeloteksta"/>
        <w:spacing w:before="9"/>
        <w:ind w:left="0"/>
        <w:jc w:val="left"/>
        <w:rPr>
          <w:sz w:val="31"/>
        </w:rPr>
      </w:pPr>
    </w:p>
    <w:p w:rsidR="00A56FE9" w:rsidRDefault="00CC1B9B">
      <w:pPr>
        <w:pStyle w:val="Naslov4"/>
        <w:spacing w:before="1"/>
        <w:ind w:right="282"/>
      </w:pPr>
      <w:r>
        <w:rPr>
          <w:noProof/>
        </w:rPr>
        <mc:AlternateContent>
          <mc:Choice Requires="wps">
            <w:drawing>
              <wp:anchor distT="0" distB="0" distL="114300" distR="114300" simplePos="0" relativeHeight="15830528" behindDoc="0" locked="0" layoutInCell="1" allowOverlap="1">
                <wp:simplePos x="0" y="0"/>
                <wp:positionH relativeFrom="page">
                  <wp:posOffset>814070</wp:posOffset>
                </wp:positionH>
                <wp:positionV relativeFrom="paragraph">
                  <wp:posOffset>-151765</wp:posOffset>
                </wp:positionV>
                <wp:extent cx="18415" cy="608330"/>
                <wp:effectExtent l="0" t="0" r="0" b="0"/>
                <wp:wrapNone/>
                <wp:docPr id="188661243"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330"/>
                        </a:xfrm>
                        <a:custGeom>
                          <a:avLst/>
                          <a:gdLst>
                            <a:gd name="T0" fmla="+- 0 1311 1282"/>
                            <a:gd name="T1" fmla="*/ T0 w 29"/>
                            <a:gd name="T2" fmla="+- 0 -239 -239"/>
                            <a:gd name="T3" fmla="*/ -239 h 958"/>
                            <a:gd name="T4" fmla="+- 0 1282 1282"/>
                            <a:gd name="T5" fmla="*/ T4 w 29"/>
                            <a:gd name="T6" fmla="+- 0 -239 -239"/>
                            <a:gd name="T7" fmla="*/ -239 h 958"/>
                            <a:gd name="T8" fmla="+- 0 1282 1282"/>
                            <a:gd name="T9" fmla="*/ T8 w 29"/>
                            <a:gd name="T10" fmla="+- 0 299 -239"/>
                            <a:gd name="T11" fmla="*/ 299 h 958"/>
                            <a:gd name="T12" fmla="+- 0 1282 1282"/>
                            <a:gd name="T13" fmla="*/ T12 w 29"/>
                            <a:gd name="T14" fmla="+- 0 719 -239"/>
                            <a:gd name="T15" fmla="*/ 719 h 958"/>
                            <a:gd name="T16" fmla="+- 0 1311 1282"/>
                            <a:gd name="T17" fmla="*/ T16 w 29"/>
                            <a:gd name="T18" fmla="+- 0 719 -239"/>
                            <a:gd name="T19" fmla="*/ 719 h 958"/>
                            <a:gd name="T20" fmla="+- 0 1311 1282"/>
                            <a:gd name="T21" fmla="*/ T20 w 29"/>
                            <a:gd name="T22" fmla="+- 0 299 -239"/>
                            <a:gd name="T23" fmla="*/ 299 h 958"/>
                            <a:gd name="T24" fmla="+- 0 1311 1282"/>
                            <a:gd name="T25" fmla="*/ T24 w 29"/>
                            <a:gd name="T26" fmla="+- 0 -239 -239"/>
                            <a:gd name="T27" fmla="*/ -239 h 958"/>
                          </a:gdLst>
                          <a:ahLst/>
                          <a:cxnLst>
                            <a:cxn ang="0">
                              <a:pos x="T1" y="T3"/>
                            </a:cxn>
                            <a:cxn ang="0">
                              <a:pos x="T5" y="T7"/>
                            </a:cxn>
                            <a:cxn ang="0">
                              <a:pos x="T9" y="T11"/>
                            </a:cxn>
                            <a:cxn ang="0">
                              <a:pos x="T13" y="T15"/>
                            </a:cxn>
                            <a:cxn ang="0">
                              <a:pos x="T17" y="T19"/>
                            </a:cxn>
                            <a:cxn ang="0">
                              <a:pos x="T21" y="T23"/>
                            </a:cxn>
                            <a:cxn ang="0">
                              <a:pos x="T25" y="T27"/>
                            </a:cxn>
                          </a:cxnLst>
                          <a:rect l="0" t="0" r="r" b="b"/>
                          <a:pathLst>
                            <a:path w="29" h="958">
                              <a:moveTo>
                                <a:pt x="29" y="0"/>
                              </a:moveTo>
                              <a:lnTo>
                                <a:pt x="0" y="0"/>
                              </a:lnTo>
                              <a:lnTo>
                                <a:pt x="0" y="538"/>
                              </a:lnTo>
                              <a:lnTo>
                                <a:pt x="0" y="958"/>
                              </a:lnTo>
                              <a:lnTo>
                                <a:pt x="29" y="958"/>
                              </a:lnTo>
                              <a:lnTo>
                                <a:pt x="29" y="53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5746FF" id="Freeform 46" o:spid="_x0000_s1026" style="position:absolute;margin-left:64.1pt;margin-top:-11.95pt;width:1.45pt;height:47.9pt;z-index:1583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" path="m29,l,,,538,,958r29,l29,538,29,xe" fillcolor="#da1f2c" stroked="f">
                <v:path arrowok="t" o:connecttype="custom" o:connectlocs="18415,-151765;0,-151765;0,189865;0,456565;18415,456565;18415,189865;18415,-151765" o:connectangles="0,0,0,0,0,0,0"/>
                <w10:wrap anchorx="page"/>
              </v:shape>
            </w:pict>
          </mc:Fallback>
        </mc:AlternateContent>
      </w:r>
      <w:r w:rsidR="00000000">
        <w:rPr>
          <w:color w:val="2C398A"/>
        </w:rPr>
        <w:t>Goal</w:t>
      </w:r>
      <w:r w:rsidR="00000000">
        <w:rPr>
          <w:color w:val="2C398A"/>
          <w:spacing w:val="1"/>
        </w:rPr>
        <w:t xml:space="preserve"> </w:t>
      </w:r>
      <w:r w:rsidR="00000000">
        <w:rPr>
          <w:color w:val="2C398A"/>
        </w:rPr>
        <w:t>9.</w:t>
      </w:r>
      <w:r w:rsidR="00000000">
        <w:rPr>
          <w:color w:val="2C398A"/>
          <w:spacing w:val="1"/>
        </w:rPr>
        <w:t xml:space="preserve"> </w:t>
      </w:r>
      <w:r w:rsidR="00000000">
        <w:rPr>
          <w:color w:val="2C398A"/>
        </w:rPr>
        <w:t>Build</w:t>
      </w:r>
      <w:r w:rsidR="00000000">
        <w:rPr>
          <w:color w:val="2C398A"/>
          <w:spacing w:val="1"/>
        </w:rPr>
        <w:t xml:space="preserve"> </w:t>
      </w:r>
      <w:r w:rsidR="00000000">
        <w:rPr>
          <w:color w:val="2C398A"/>
        </w:rPr>
        <w:t>resilient</w:t>
      </w:r>
      <w:r w:rsidR="00000000">
        <w:rPr>
          <w:color w:val="2C398A"/>
          <w:spacing w:val="1"/>
        </w:rPr>
        <w:t xml:space="preserve"> </w:t>
      </w:r>
      <w:r w:rsidR="00000000">
        <w:rPr>
          <w:color w:val="2C398A"/>
        </w:rPr>
        <w:t>infrastructure,</w:t>
      </w:r>
      <w:r w:rsidR="00000000">
        <w:rPr>
          <w:color w:val="2C398A"/>
          <w:spacing w:val="1"/>
        </w:rPr>
        <w:t xml:space="preserve"> </w:t>
      </w:r>
      <w:r w:rsidR="00000000">
        <w:rPr>
          <w:color w:val="2C398A"/>
        </w:rPr>
        <w:t>promote</w:t>
      </w:r>
      <w:r w:rsidR="00000000">
        <w:rPr>
          <w:color w:val="2C398A"/>
          <w:spacing w:val="1"/>
        </w:rPr>
        <w:t xml:space="preserve"> </w:t>
      </w:r>
      <w:r w:rsidR="00000000">
        <w:rPr>
          <w:color w:val="2C398A"/>
        </w:rPr>
        <w:t>inclusive</w:t>
      </w:r>
      <w:r w:rsidR="00000000">
        <w:rPr>
          <w:color w:val="2C398A"/>
          <w:spacing w:val="1"/>
        </w:rPr>
        <w:t xml:space="preserve"> </w:t>
      </w:r>
      <w:r w:rsidR="00000000">
        <w:rPr>
          <w:color w:val="2C398A"/>
        </w:rPr>
        <w:t>and</w:t>
      </w:r>
      <w:r w:rsidR="00000000">
        <w:rPr>
          <w:color w:val="2C398A"/>
          <w:spacing w:val="1"/>
        </w:rPr>
        <w:t xml:space="preserve"> </w:t>
      </w:r>
      <w:r w:rsidR="00000000">
        <w:rPr>
          <w:color w:val="2C398A"/>
        </w:rPr>
        <w:t>sustainable</w:t>
      </w:r>
      <w:r w:rsidR="00000000">
        <w:rPr>
          <w:color w:val="2C398A"/>
          <w:spacing w:val="1"/>
        </w:rPr>
        <w:t xml:space="preserve"> </w:t>
      </w:r>
      <w:r w:rsidR="00000000">
        <w:rPr>
          <w:color w:val="2C398A"/>
        </w:rPr>
        <w:t>industrialization</w:t>
      </w:r>
      <w:r w:rsidR="00000000">
        <w:rPr>
          <w:color w:val="2C398A"/>
          <w:spacing w:val="-2"/>
        </w:rPr>
        <w:t xml:space="preserve"> </w:t>
      </w:r>
      <w:r w:rsidR="00000000">
        <w:rPr>
          <w:color w:val="2C398A"/>
        </w:rPr>
        <w:t>and</w:t>
      </w:r>
      <w:r w:rsidR="00000000">
        <w:rPr>
          <w:color w:val="2C398A"/>
          <w:spacing w:val="1"/>
        </w:rPr>
        <w:t xml:space="preserve"> </w:t>
      </w:r>
      <w:r w:rsidR="00000000">
        <w:rPr>
          <w:color w:val="2C398A"/>
        </w:rPr>
        <w:t>foster</w:t>
      </w:r>
      <w:r w:rsidR="00000000">
        <w:rPr>
          <w:color w:val="2C398A"/>
          <w:spacing w:val="-2"/>
        </w:rPr>
        <w:t xml:space="preserve"> </w:t>
      </w:r>
      <w:r w:rsidR="00000000">
        <w:rPr>
          <w:color w:val="2C398A"/>
        </w:rPr>
        <w:t>innovation</w:t>
      </w:r>
    </w:p>
    <w:p w:rsidR="00A56FE9" w:rsidRDefault="00000000">
      <w:pPr>
        <w:pStyle w:val="Tijeloteksta"/>
        <w:spacing w:before="114"/>
        <w:ind w:right="270"/>
      </w:pPr>
      <w:r>
        <w:t>In terms of the reform of the public research sector (NRRP reform C 3.2. R1), a new Act on</w:t>
      </w:r>
      <w:r>
        <w:rPr>
          <w:spacing w:val="1"/>
        </w:rPr>
        <w:t xml:space="preserve"> </w:t>
      </w:r>
      <w:r>
        <w:t>Scientific Activity and Higher Education is currently in preparation and should be adopted by</w:t>
      </w:r>
      <w:r>
        <w:rPr>
          <w:spacing w:val="1"/>
        </w:rPr>
        <w:t xml:space="preserve"> </w:t>
      </w:r>
      <w:r>
        <w:t>the end of Q3/2022. After the Act enters force and by the end of 2022, the plan is to sign</w:t>
      </w:r>
      <w:r>
        <w:rPr>
          <w:spacing w:val="1"/>
        </w:rPr>
        <w:t xml:space="preserve"> </w:t>
      </w:r>
      <w:r>
        <w:t>program contracts as part of the first two-year implementation cycle (2022-2024). Institutions</w:t>
      </w:r>
      <w:r>
        <w:rPr>
          <w:spacing w:val="1"/>
        </w:rPr>
        <w:t xml:space="preserve"> </w:t>
      </w:r>
      <w:r>
        <w:t>with signed program agreements will announce the first tenders for research projects, and by</w:t>
      </w:r>
      <w:r>
        <w:rPr>
          <w:spacing w:val="1"/>
        </w:rPr>
        <w:t xml:space="preserve"> </w:t>
      </w:r>
      <w:r>
        <w:t>the end of Q1/2023, 30% of the investment value will be allocated in the mentioned tenders</w:t>
      </w:r>
      <w:r>
        <w:rPr>
          <w:spacing w:val="1"/>
        </w:rPr>
        <w:t xml:space="preserve"> </w:t>
      </w:r>
      <w:r>
        <w:t>(C3.2. R1-I1). A new Act on Quality Assurance in Science and Higher Education is currently</w:t>
      </w:r>
      <w:r>
        <w:rPr>
          <w:spacing w:val="1"/>
        </w:rPr>
        <w:t xml:space="preserve"> </w:t>
      </w:r>
      <w:r>
        <w:t>being drafted and is a prerequisite for implementing NRRP C3.2. R2 dealing with human</w:t>
      </w:r>
      <w:r>
        <w:rPr>
          <w:spacing w:val="1"/>
        </w:rPr>
        <w:t xml:space="preserve"> </w:t>
      </w:r>
      <w:r>
        <w:t>resource development in science. The plan is to pass the Act at the end of Q3/2022. A study is</w:t>
      </w:r>
      <w:r>
        <w:rPr>
          <w:spacing w:val="-57"/>
        </w:rPr>
        <w:t xml:space="preserve"> </w:t>
      </w:r>
      <w:r>
        <w:t>also</w:t>
      </w:r>
      <w:r>
        <w:rPr>
          <w:spacing w:val="-6"/>
        </w:rPr>
        <w:t xml:space="preserve"> </w:t>
      </w:r>
      <w:r>
        <w:t>being</w:t>
      </w:r>
      <w:r>
        <w:rPr>
          <w:spacing w:val="-8"/>
        </w:rPr>
        <w:t xml:space="preserve"> </w:t>
      </w:r>
      <w:r>
        <w:t>prepared</w:t>
      </w:r>
      <w:r>
        <w:rPr>
          <w:spacing w:val="-5"/>
        </w:rPr>
        <w:t xml:space="preserve"> </w:t>
      </w:r>
      <w:r>
        <w:t>to</w:t>
      </w:r>
      <w:r>
        <w:rPr>
          <w:spacing w:val="-6"/>
        </w:rPr>
        <w:t xml:space="preserve"> </w:t>
      </w:r>
      <w:r>
        <w:t>provide</w:t>
      </w:r>
      <w:r>
        <w:rPr>
          <w:spacing w:val="-6"/>
        </w:rPr>
        <w:t xml:space="preserve"> </w:t>
      </w:r>
      <w:r>
        <w:t>an</w:t>
      </w:r>
      <w:r>
        <w:rPr>
          <w:spacing w:val="-6"/>
        </w:rPr>
        <w:t xml:space="preserve"> </w:t>
      </w:r>
      <w:r>
        <w:t>in-depth</w:t>
      </w:r>
      <w:r>
        <w:rPr>
          <w:spacing w:val="-5"/>
        </w:rPr>
        <w:t xml:space="preserve"> </w:t>
      </w:r>
      <w:r>
        <w:t>analysis</w:t>
      </w:r>
      <w:r>
        <w:rPr>
          <w:spacing w:val="-6"/>
        </w:rPr>
        <w:t xml:space="preserve"> </w:t>
      </w:r>
      <w:r>
        <w:t>of</w:t>
      </w:r>
      <w:r>
        <w:rPr>
          <w:spacing w:val="-7"/>
        </w:rPr>
        <w:t xml:space="preserve"> </w:t>
      </w:r>
      <w:r>
        <w:t>the</w:t>
      </w:r>
      <w:r>
        <w:rPr>
          <w:spacing w:val="-6"/>
        </w:rPr>
        <w:t xml:space="preserve"> </w:t>
      </w:r>
      <w:r>
        <w:t>state</w:t>
      </w:r>
      <w:r>
        <w:rPr>
          <w:spacing w:val="-7"/>
        </w:rPr>
        <w:t xml:space="preserve"> </w:t>
      </w:r>
      <w:r>
        <w:t>of</w:t>
      </w:r>
      <w:r>
        <w:rPr>
          <w:spacing w:val="-6"/>
        </w:rPr>
        <w:t xml:space="preserve"> </w:t>
      </w:r>
      <w:r>
        <w:t>smart</w:t>
      </w:r>
      <w:r>
        <w:rPr>
          <w:spacing w:val="-6"/>
        </w:rPr>
        <w:t xml:space="preserve"> </w:t>
      </w:r>
      <w:r>
        <w:t>skills,</w:t>
      </w:r>
      <w:r>
        <w:rPr>
          <w:spacing w:val="-5"/>
        </w:rPr>
        <w:t xml:space="preserve"> </w:t>
      </w:r>
      <w:r>
        <w:t>assess</w:t>
      </w:r>
      <w:r>
        <w:rPr>
          <w:spacing w:val="-6"/>
        </w:rPr>
        <w:t xml:space="preserve"> </w:t>
      </w:r>
      <w:r>
        <w:t>needs</w:t>
      </w:r>
      <w:r>
        <w:rPr>
          <w:spacing w:val="-6"/>
        </w:rPr>
        <w:t xml:space="preserve"> </w:t>
      </w:r>
      <w:r>
        <w:t>and</w:t>
      </w:r>
      <w:r>
        <w:rPr>
          <w:spacing w:val="-57"/>
        </w:rPr>
        <w:t xml:space="preserve"> </w:t>
      </w:r>
      <w:r>
        <w:t>areas for improvement and propose solutions adapted to the Croatian Smart Specialisation</w:t>
      </w:r>
      <w:r>
        <w:rPr>
          <w:spacing w:val="1"/>
        </w:rPr>
        <w:t xml:space="preserve"> </w:t>
      </w:r>
      <w:r>
        <w:t>Strategy</w:t>
      </w:r>
      <w:r>
        <w:rPr>
          <w:spacing w:val="-12"/>
        </w:rPr>
        <w:t xml:space="preserve"> </w:t>
      </w:r>
      <w:r>
        <w:t>(S3),</w:t>
      </w:r>
      <w:r>
        <w:rPr>
          <w:spacing w:val="-7"/>
        </w:rPr>
        <w:t xml:space="preserve"> </w:t>
      </w:r>
      <w:r>
        <w:t>based</w:t>
      </w:r>
      <w:r>
        <w:rPr>
          <w:spacing w:val="-6"/>
        </w:rPr>
        <w:t xml:space="preserve"> </w:t>
      </w:r>
      <w:r>
        <w:t>on</w:t>
      </w:r>
      <w:r>
        <w:rPr>
          <w:spacing w:val="-7"/>
        </w:rPr>
        <w:t xml:space="preserve"> </w:t>
      </w:r>
      <w:r>
        <w:t>international</w:t>
      </w:r>
      <w:r>
        <w:rPr>
          <w:spacing w:val="-7"/>
        </w:rPr>
        <w:t xml:space="preserve"> </w:t>
      </w:r>
      <w:r>
        <w:t>good</w:t>
      </w:r>
      <w:r>
        <w:rPr>
          <w:spacing w:val="-6"/>
        </w:rPr>
        <w:t xml:space="preserve"> </w:t>
      </w:r>
      <w:r>
        <w:t>practice.</w:t>
      </w:r>
      <w:r>
        <w:rPr>
          <w:spacing w:val="-7"/>
        </w:rPr>
        <w:t xml:space="preserve"> </w:t>
      </w:r>
      <w:r>
        <w:t>Based</w:t>
      </w:r>
      <w:r>
        <w:rPr>
          <w:spacing w:val="-6"/>
        </w:rPr>
        <w:t xml:space="preserve"> </w:t>
      </w:r>
      <w:r>
        <w:t>on</w:t>
      </w:r>
      <w:r>
        <w:rPr>
          <w:spacing w:val="-7"/>
        </w:rPr>
        <w:t xml:space="preserve"> </w:t>
      </w:r>
      <w:r>
        <w:t>the</w:t>
      </w:r>
      <w:r>
        <w:rPr>
          <w:spacing w:val="-8"/>
        </w:rPr>
        <w:t xml:space="preserve"> </w:t>
      </w:r>
      <w:r>
        <w:t>findings</w:t>
      </w:r>
      <w:r>
        <w:rPr>
          <w:spacing w:val="-4"/>
        </w:rPr>
        <w:t xml:space="preserve"> </w:t>
      </w:r>
      <w:r>
        <w:t>of</w:t>
      </w:r>
      <w:r>
        <w:rPr>
          <w:spacing w:val="-8"/>
        </w:rPr>
        <w:t xml:space="preserve"> </w:t>
      </w:r>
      <w:r>
        <w:t>the</w:t>
      </w:r>
      <w:r>
        <w:rPr>
          <w:spacing w:val="-8"/>
        </w:rPr>
        <w:t xml:space="preserve"> </w:t>
      </w:r>
      <w:r>
        <w:t>analysis,</w:t>
      </w:r>
      <w:r>
        <w:rPr>
          <w:spacing w:val="-6"/>
        </w:rPr>
        <w:t xml:space="preserve"> </w:t>
      </w:r>
      <w:r>
        <w:t>a</w:t>
      </w:r>
      <w:r>
        <w:rPr>
          <w:spacing w:val="-8"/>
        </w:rPr>
        <w:t xml:space="preserve"> </w:t>
      </w:r>
      <w:r>
        <w:t>call</w:t>
      </w:r>
      <w:r>
        <w:rPr>
          <w:spacing w:val="-57"/>
        </w:rPr>
        <w:t xml:space="preserve"> </w:t>
      </w:r>
      <w:r>
        <w:t>for</w:t>
      </w:r>
      <w:r>
        <w:rPr>
          <w:spacing w:val="4"/>
        </w:rPr>
        <w:t xml:space="preserve"> </w:t>
      </w:r>
      <w:r>
        <w:t>scholarships</w:t>
      </w:r>
      <w:r>
        <w:rPr>
          <w:spacing w:val="6"/>
        </w:rPr>
        <w:t xml:space="preserve"> </w:t>
      </w:r>
      <w:r>
        <w:t>in</w:t>
      </w:r>
      <w:r>
        <w:rPr>
          <w:spacing w:val="6"/>
        </w:rPr>
        <w:t xml:space="preserve"> </w:t>
      </w:r>
      <w:r>
        <w:t>the</w:t>
      </w:r>
      <w:r>
        <w:rPr>
          <w:spacing w:val="7"/>
        </w:rPr>
        <w:t xml:space="preserve"> </w:t>
      </w:r>
      <w:r>
        <w:t>fields</w:t>
      </w:r>
      <w:r>
        <w:rPr>
          <w:spacing w:val="6"/>
        </w:rPr>
        <w:t xml:space="preserve"> </w:t>
      </w:r>
      <w:r>
        <w:t>of</w:t>
      </w:r>
      <w:r>
        <w:rPr>
          <w:spacing w:val="6"/>
        </w:rPr>
        <w:t xml:space="preserve"> </w:t>
      </w:r>
      <w:r>
        <w:t>STEM</w:t>
      </w:r>
      <w:r>
        <w:rPr>
          <w:spacing w:val="5"/>
        </w:rPr>
        <w:t xml:space="preserve"> </w:t>
      </w:r>
      <w:r>
        <w:t>and</w:t>
      </w:r>
      <w:r>
        <w:rPr>
          <w:spacing w:val="8"/>
        </w:rPr>
        <w:t xml:space="preserve"> </w:t>
      </w:r>
      <w:r>
        <w:t>ICT</w:t>
      </w:r>
      <w:r>
        <w:rPr>
          <w:spacing w:val="8"/>
        </w:rPr>
        <w:t xml:space="preserve"> </w:t>
      </w:r>
      <w:r>
        <w:t>will</w:t>
      </w:r>
      <w:r>
        <w:rPr>
          <w:spacing w:val="6"/>
        </w:rPr>
        <w:t xml:space="preserve"> </w:t>
      </w:r>
      <w:r>
        <w:t>be</w:t>
      </w:r>
      <w:r>
        <w:rPr>
          <w:spacing w:val="5"/>
        </w:rPr>
        <w:t xml:space="preserve"> </w:t>
      </w:r>
      <w:r>
        <w:t>published</w:t>
      </w:r>
      <w:r>
        <w:rPr>
          <w:spacing w:val="11"/>
        </w:rPr>
        <w:t xml:space="preserve"> </w:t>
      </w:r>
      <w:r>
        <w:t>in</w:t>
      </w:r>
      <w:r>
        <w:rPr>
          <w:spacing w:val="7"/>
        </w:rPr>
        <w:t xml:space="preserve"> </w:t>
      </w:r>
      <w:r>
        <w:t>2022,</w:t>
      </w:r>
      <w:r>
        <w:rPr>
          <w:spacing w:val="6"/>
        </w:rPr>
        <w:t xml:space="preserve"> </w:t>
      </w:r>
      <w:r>
        <w:t>and</w:t>
      </w:r>
      <w:r>
        <w:rPr>
          <w:spacing w:val="5"/>
        </w:rPr>
        <w:t xml:space="preserve"> </w:t>
      </w:r>
      <w:r>
        <w:t>is</w:t>
      </w:r>
      <w:r>
        <w:rPr>
          <w:spacing w:val="7"/>
        </w:rPr>
        <w:t xml:space="preserve"> </w:t>
      </w:r>
      <w:r>
        <w:t>intended</w:t>
      </w:r>
      <w:r>
        <w:rPr>
          <w:spacing w:val="5"/>
        </w:rPr>
        <w:t xml:space="preserve"> </w:t>
      </w:r>
      <w:r>
        <w:t>for</w:t>
      </w:r>
    </w:p>
    <w:p w:rsidR="00A56FE9" w:rsidRDefault="00CC1B9B">
      <w:pPr>
        <w:pStyle w:val="Tijeloteksta"/>
        <w:spacing w:before="5"/>
        <w:ind w:left="0"/>
        <w:jc w:val="left"/>
        <w:rPr>
          <w:sz w:val="27"/>
        </w:rPr>
      </w:pPr>
      <w:r>
        <w:rPr>
          <w:noProof/>
        </w:rPr>
        <mc:AlternateContent>
          <mc:Choice Requires="wps">
            <w:drawing>
              <wp:anchor distT="0" distB="0" distL="0" distR="0" simplePos="0" relativeHeight="487689216" behindDoc="1" locked="0" layoutInCell="1" allowOverlap="1">
                <wp:simplePos x="0" y="0"/>
                <wp:positionH relativeFrom="page">
                  <wp:posOffset>901065</wp:posOffset>
                </wp:positionH>
                <wp:positionV relativeFrom="paragraph">
                  <wp:posOffset>225425</wp:posOffset>
                </wp:positionV>
                <wp:extent cx="1828800" cy="7620"/>
                <wp:effectExtent l="0" t="0" r="0" b="0"/>
                <wp:wrapTopAndBottom/>
                <wp:docPr id="151032787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0FE78F" id="Rectangle 45" o:spid="_x0000_s1026" style="position:absolute;margin-left:70.95pt;margin-top:17.75pt;width:2in;height:.6pt;z-index:-15627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" fillcolor="black" stroked="f">
                <w10:wrap type="topAndBottom" anchorx="page"/>
              </v:rect>
            </w:pict>
          </mc:Fallback>
        </mc:AlternateContent>
      </w:r>
    </w:p>
    <w:p w:rsidR="00A56FE9" w:rsidRDefault="00000000">
      <w:pPr>
        <w:spacing w:before="76"/>
        <w:ind w:left="138"/>
        <w:rPr>
          <w:sz w:val="16"/>
        </w:rPr>
      </w:pPr>
      <w:r>
        <w:rPr>
          <w:sz w:val="16"/>
          <w:vertAlign w:val="superscript"/>
        </w:rPr>
        <w:t>43</w:t>
      </w:r>
      <w:r>
        <w:rPr>
          <w:spacing w:val="-1"/>
          <w:sz w:val="16"/>
        </w:rPr>
        <w:t xml:space="preserve"> </w:t>
      </w:r>
      <w:r>
        <w:rPr>
          <w:sz w:val="16"/>
        </w:rPr>
        <w:t>OG</w:t>
      </w:r>
      <w:r>
        <w:rPr>
          <w:spacing w:val="-3"/>
          <w:sz w:val="16"/>
        </w:rPr>
        <w:t xml:space="preserve"> </w:t>
      </w:r>
      <w:r>
        <w:rPr>
          <w:sz w:val="16"/>
        </w:rPr>
        <w:t>46/20</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000000">
      <w:pPr>
        <w:pStyle w:val="Tijeloteksta"/>
        <w:spacing w:before="74"/>
        <w:ind w:right="272"/>
      </w:pPr>
      <w:r>
        <w:t>undergraduate and graduate students. By implementing NRRP reform C3.2. R3, the plan is to</w:t>
      </w:r>
      <w:r>
        <w:rPr>
          <w:spacing w:val="1"/>
        </w:rPr>
        <w:t xml:space="preserve"> </w:t>
      </w:r>
      <w:r>
        <w:t>revise the existing program framework of R&amp;D&amp;I funding policies aiming at excellence in</w:t>
      </w:r>
      <w:r>
        <w:rPr>
          <w:spacing w:val="1"/>
        </w:rPr>
        <w:t xml:space="preserve"> </w:t>
      </w:r>
      <w:r>
        <w:t>research and innovation. The new programs will be mutually harmonised and adapted to the</w:t>
      </w:r>
      <w:r>
        <w:rPr>
          <w:spacing w:val="1"/>
        </w:rPr>
        <w:t xml:space="preserve"> </w:t>
      </w:r>
      <w:r>
        <w:t>needs</w:t>
      </w:r>
      <w:r>
        <w:rPr>
          <w:spacing w:val="-6"/>
        </w:rPr>
        <w:t xml:space="preserve"> </w:t>
      </w:r>
      <w:r>
        <w:t>of</w:t>
      </w:r>
      <w:r>
        <w:rPr>
          <w:spacing w:val="-6"/>
        </w:rPr>
        <w:t xml:space="preserve"> </w:t>
      </w:r>
      <w:r>
        <w:t>the</w:t>
      </w:r>
      <w:r>
        <w:rPr>
          <w:spacing w:val="-6"/>
        </w:rPr>
        <w:t xml:space="preserve"> </w:t>
      </w:r>
      <w:r>
        <w:t>scientific</w:t>
      </w:r>
      <w:r>
        <w:rPr>
          <w:spacing w:val="-6"/>
        </w:rPr>
        <w:t xml:space="preserve"> </w:t>
      </w:r>
      <w:r>
        <w:t>and</w:t>
      </w:r>
      <w:r>
        <w:rPr>
          <w:spacing w:val="-6"/>
        </w:rPr>
        <w:t xml:space="preserve"> </w:t>
      </w:r>
      <w:r>
        <w:t>business</w:t>
      </w:r>
      <w:r>
        <w:rPr>
          <w:spacing w:val="-5"/>
        </w:rPr>
        <w:t xml:space="preserve"> </w:t>
      </w:r>
      <w:r>
        <w:t>community.</w:t>
      </w:r>
      <w:r>
        <w:rPr>
          <w:spacing w:val="-5"/>
        </w:rPr>
        <w:t xml:space="preserve"> </w:t>
      </w:r>
      <w:r>
        <w:t>The</w:t>
      </w:r>
      <w:r>
        <w:rPr>
          <w:spacing w:val="-6"/>
        </w:rPr>
        <w:t xml:space="preserve"> </w:t>
      </w:r>
      <w:r>
        <w:t>implementation</w:t>
      </w:r>
      <w:r>
        <w:rPr>
          <w:spacing w:val="-6"/>
        </w:rPr>
        <w:t xml:space="preserve"> </w:t>
      </w:r>
      <w:r>
        <w:t>of</w:t>
      </w:r>
      <w:r>
        <w:rPr>
          <w:spacing w:val="-6"/>
        </w:rPr>
        <w:t xml:space="preserve"> </w:t>
      </w:r>
      <w:r>
        <w:t>the</w:t>
      </w:r>
      <w:r>
        <w:rPr>
          <w:spacing w:val="-3"/>
        </w:rPr>
        <w:t xml:space="preserve"> </w:t>
      </w:r>
      <w:r>
        <w:t>reform</w:t>
      </w:r>
      <w:r>
        <w:rPr>
          <w:spacing w:val="-5"/>
        </w:rPr>
        <w:t xml:space="preserve"> </w:t>
      </w:r>
      <w:r>
        <w:t>includes</w:t>
      </w:r>
      <w:r>
        <w:rPr>
          <w:spacing w:val="-6"/>
        </w:rPr>
        <w:t xml:space="preserve"> </w:t>
      </w:r>
      <w:r>
        <w:t>the</w:t>
      </w:r>
      <w:r>
        <w:rPr>
          <w:spacing w:val="-57"/>
        </w:rPr>
        <w:t xml:space="preserve"> </w:t>
      </w:r>
      <w:r>
        <w:rPr>
          <w:b/>
        </w:rPr>
        <w:t>adoption of a new Act on the Croatian Science Foundation</w:t>
      </w:r>
      <w:r>
        <w:t>, which is to be adopted by the</w:t>
      </w:r>
      <w:r>
        <w:rPr>
          <w:spacing w:val="1"/>
        </w:rPr>
        <w:t xml:space="preserve"> </w:t>
      </w:r>
      <w:r>
        <w:t>end of Q3/2022. The proposal for the new Act has been accepted by the Committee on</w:t>
      </w:r>
      <w:r>
        <w:rPr>
          <w:spacing w:val="1"/>
        </w:rPr>
        <w:t xml:space="preserve"> </w:t>
      </w:r>
      <w:r>
        <w:t>Education, Science and Culture before the Croatian Parliament and is currently being debated</w:t>
      </w:r>
      <w:r>
        <w:rPr>
          <w:spacing w:val="1"/>
        </w:rPr>
        <w:t xml:space="preserve"> </w:t>
      </w:r>
      <w:r>
        <w:t>in</w:t>
      </w:r>
      <w:r>
        <w:rPr>
          <w:spacing w:val="-2"/>
        </w:rPr>
        <w:t xml:space="preserve"> </w:t>
      </w:r>
      <w:r>
        <w:t>Croatian</w:t>
      </w:r>
      <w:r>
        <w:rPr>
          <w:spacing w:val="-1"/>
        </w:rPr>
        <w:t xml:space="preserve"> </w:t>
      </w:r>
      <w:r>
        <w:t>Parliament.</w:t>
      </w:r>
      <w:r>
        <w:rPr>
          <w:spacing w:val="-4"/>
        </w:rPr>
        <w:t xml:space="preserve"> </w:t>
      </w:r>
      <w:r>
        <w:t>Also,</w:t>
      </w:r>
      <w:r>
        <w:rPr>
          <w:spacing w:val="-2"/>
        </w:rPr>
        <w:t xml:space="preserve"> </w:t>
      </w:r>
      <w:r>
        <w:t>through the</w:t>
      </w:r>
      <w:r>
        <w:rPr>
          <w:spacing w:val="-2"/>
        </w:rPr>
        <w:t xml:space="preserve"> </w:t>
      </w:r>
      <w:r>
        <w:t>NRRP</w:t>
      </w:r>
      <w:r>
        <w:rPr>
          <w:spacing w:val="-2"/>
        </w:rPr>
        <w:t xml:space="preserve"> </w:t>
      </w:r>
      <w:r>
        <w:t>investment</w:t>
      </w:r>
      <w:r>
        <w:rPr>
          <w:spacing w:val="-1"/>
        </w:rPr>
        <w:t xml:space="preserve"> </w:t>
      </w:r>
      <w:r>
        <w:t>C3.2.</w:t>
      </w:r>
      <w:r>
        <w:rPr>
          <w:spacing w:val="-5"/>
        </w:rPr>
        <w:t xml:space="preserve"> </w:t>
      </w:r>
      <w:r>
        <w:t>R2-I2,</w:t>
      </w:r>
      <w:r>
        <w:rPr>
          <w:spacing w:val="-1"/>
        </w:rPr>
        <w:t xml:space="preserve"> </w:t>
      </w:r>
      <w:r>
        <w:t>the</w:t>
      </w:r>
      <w:r>
        <w:rPr>
          <w:spacing w:val="-1"/>
        </w:rPr>
        <w:t xml:space="preserve"> </w:t>
      </w:r>
      <w:r>
        <w:t>plan</w:t>
      </w:r>
      <w:r>
        <w:rPr>
          <w:spacing w:val="-2"/>
        </w:rPr>
        <w:t xml:space="preserve"> </w:t>
      </w:r>
      <w:r>
        <w:t>is to</w:t>
      </w:r>
      <w:r>
        <w:rPr>
          <w:spacing w:val="-3"/>
        </w:rPr>
        <w:t xml:space="preserve"> </w:t>
      </w:r>
      <w:r>
        <w:t>finance</w:t>
      </w:r>
      <w:r>
        <w:rPr>
          <w:spacing w:val="-58"/>
        </w:rPr>
        <w:t xml:space="preserve"> </w:t>
      </w:r>
      <w:r>
        <w:rPr>
          <w:spacing w:val="-1"/>
        </w:rPr>
        <w:t>scientific-technological</w:t>
      </w:r>
      <w:r>
        <w:rPr>
          <w:spacing w:val="-12"/>
        </w:rPr>
        <w:t xml:space="preserve"> </w:t>
      </w:r>
      <w:r>
        <w:t>and</w:t>
      </w:r>
      <w:r>
        <w:rPr>
          <w:spacing w:val="-11"/>
        </w:rPr>
        <w:t xml:space="preserve"> </w:t>
      </w:r>
      <w:r>
        <w:t>innovation</w:t>
      </w:r>
      <w:r>
        <w:rPr>
          <w:spacing w:val="-11"/>
        </w:rPr>
        <w:t xml:space="preserve"> </w:t>
      </w:r>
      <w:r>
        <w:t>infrastructure</w:t>
      </w:r>
      <w:r>
        <w:rPr>
          <w:spacing w:val="-13"/>
        </w:rPr>
        <w:t xml:space="preserve"> </w:t>
      </w:r>
      <w:r>
        <w:t>of</w:t>
      </w:r>
      <w:r>
        <w:rPr>
          <w:spacing w:val="-12"/>
        </w:rPr>
        <w:t xml:space="preserve"> </w:t>
      </w:r>
      <w:r>
        <w:t>strategic</w:t>
      </w:r>
      <w:r>
        <w:rPr>
          <w:spacing w:val="-12"/>
        </w:rPr>
        <w:t xml:space="preserve"> </w:t>
      </w:r>
      <w:r>
        <w:t>importance</w:t>
      </w:r>
      <w:r>
        <w:rPr>
          <w:spacing w:val="-12"/>
        </w:rPr>
        <w:t xml:space="preserve"> </w:t>
      </w:r>
      <w:r>
        <w:t>and</w:t>
      </w:r>
      <w:r>
        <w:rPr>
          <w:spacing w:val="-9"/>
        </w:rPr>
        <w:t xml:space="preserve"> </w:t>
      </w:r>
      <w:r>
        <w:t>great</w:t>
      </w:r>
      <w:r>
        <w:rPr>
          <w:spacing w:val="-11"/>
        </w:rPr>
        <w:t xml:space="preserve"> </w:t>
      </w:r>
      <w:r>
        <w:t>research</w:t>
      </w:r>
      <w:r>
        <w:rPr>
          <w:spacing w:val="-58"/>
        </w:rPr>
        <w:t xml:space="preserve"> </w:t>
      </w:r>
      <w:r>
        <w:t>potential</w:t>
      </w:r>
      <w:r>
        <w:rPr>
          <w:spacing w:val="1"/>
        </w:rPr>
        <w:t xml:space="preserve"> </w:t>
      </w:r>
      <w:r>
        <w:t>for</w:t>
      </w:r>
      <w:r>
        <w:rPr>
          <w:spacing w:val="1"/>
        </w:rPr>
        <w:t xml:space="preserve"> </w:t>
      </w:r>
      <w:r>
        <w:t>STEM</w:t>
      </w:r>
      <w:r>
        <w:rPr>
          <w:spacing w:val="1"/>
        </w:rPr>
        <w:t xml:space="preserve"> </w:t>
      </w:r>
      <w:r>
        <w:t>and</w:t>
      </w:r>
      <w:r>
        <w:rPr>
          <w:spacing w:val="1"/>
        </w:rPr>
        <w:t xml:space="preserve"> </w:t>
      </w:r>
      <w:r>
        <w:t>ICT</w:t>
      </w:r>
      <w:r>
        <w:rPr>
          <w:spacing w:val="1"/>
        </w:rPr>
        <w:t xml:space="preserve"> </w:t>
      </w:r>
      <w:r>
        <w:t>areas,</w:t>
      </w:r>
      <w:r>
        <w:rPr>
          <w:spacing w:val="1"/>
        </w:rPr>
        <w:t xml:space="preserve"> </w:t>
      </w:r>
      <w:r>
        <w:t>enabling</w:t>
      </w:r>
      <w:r>
        <w:rPr>
          <w:spacing w:val="1"/>
        </w:rPr>
        <w:t xml:space="preserve"> </w:t>
      </w:r>
      <w:r>
        <w:t>the</w:t>
      </w:r>
      <w:r>
        <w:rPr>
          <w:spacing w:val="1"/>
        </w:rPr>
        <w:t xml:space="preserve"> </w:t>
      </w:r>
      <w:r>
        <w:t>development</w:t>
      </w:r>
      <w:r>
        <w:rPr>
          <w:spacing w:val="1"/>
        </w:rPr>
        <w:t xml:space="preserve"> </w:t>
      </w:r>
      <w:r>
        <w:t>of</w:t>
      </w:r>
      <w:r>
        <w:rPr>
          <w:spacing w:val="1"/>
        </w:rPr>
        <w:t xml:space="preserve"> </w:t>
      </w:r>
      <w:r>
        <w:t>researcher</w:t>
      </w:r>
      <w:r>
        <w:rPr>
          <w:spacing w:val="1"/>
        </w:rPr>
        <w:t xml:space="preserve"> </w:t>
      </w:r>
      <w:r>
        <w:t>careers</w:t>
      </w:r>
      <w:r>
        <w:rPr>
          <w:spacing w:val="1"/>
        </w:rPr>
        <w:t xml:space="preserve"> </w:t>
      </w:r>
      <w:r>
        <w:t>in</w:t>
      </w:r>
      <w:r>
        <w:rPr>
          <w:spacing w:val="1"/>
        </w:rPr>
        <w:t xml:space="preserve"> </w:t>
      </w:r>
      <w:r>
        <w:t>cooperation</w:t>
      </w:r>
      <w:r>
        <w:rPr>
          <w:spacing w:val="-1"/>
        </w:rPr>
        <w:t xml:space="preserve"> </w:t>
      </w:r>
      <w:r>
        <w:t>with the</w:t>
      </w:r>
      <w:r>
        <w:rPr>
          <w:spacing w:val="-2"/>
        </w:rPr>
        <w:t xml:space="preserve"> </w:t>
      </w:r>
      <w:r>
        <w:t>business sector and</w:t>
      </w:r>
      <w:r>
        <w:rPr>
          <w:spacing w:val="1"/>
        </w:rPr>
        <w:t xml:space="preserve"> </w:t>
      </w:r>
      <w:r>
        <w:t>cooperation on</w:t>
      </w:r>
      <w:r>
        <w:rPr>
          <w:spacing w:val="-1"/>
        </w:rPr>
        <w:t xml:space="preserve"> </w:t>
      </w:r>
      <w:r>
        <w:t>innovation activities.</w:t>
      </w:r>
    </w:p>
    <w:p w:rsidR="00A56FE9" w:rsidRDefault="00000000">
      <w:pPr>
        <w:pStyle w:val="Tijeloteksta"/>
        <w:spacing w:before="121"/>
        <w:ind w:right="273"/>
      </w:pPr>
      <w:r>
        <w:t>Thus, this infrastructure will directly contribute to strengthening human capacity for cutting-</w:t>
      </w:r>
      <w:r>
        <w:rPr>
          <w:spacing w:val="1"/>
        </w:rPr>
        <w:t xml:space="preserve"> </w:t>
      </w:r>
      <w:r>
        <w:t>edge</w:t>
      </w:r>
      <w:r>
        <w:rPr>
          <w:spacing w:val="-5"/>
        </w:rPr>
        <w:t xml:space="preserve"> </w:t>
      </w:r>
      <w:r>
        <w:t>scientific</w:t>
      </w:r>
      <w:r>
        <w:rPr>
          <w:spacing w:val="-4"/>
        </w:rPr>
        <w:t xml:space="preserve"> </w:t>
      </w:r>
      <w:r>
        <w:t>research and</w:t>
      </w:r>
      <w:r>
        <w:rPr>
          <w:spacing w:val="-4"/>
        </w:rPr>
        <w:t xml:space="preserve"> </w:t>
      </w:r>
      <w:r>
        <w:t>cooperation</w:t>
      </w:r>
      <w:r>
        <w:rPr>
          <w:spacing w:val="-3"/>
        </w:rPr>
        <w:t xml:space="preserve"> </w:t>
      </w:r>
      <w:r>
        <w:t>with the</w:t>
      </w:r>
      <w:r>
        <w:rPr>
          <w:spacing w:val="-4"/>
        </w:rPr>
        <w:t xml:space="preserve"> </w:t>
      </w:r>
      <w:r>
        <w:t>business</w:t>
      </w:r>
      <w:r>
        <w:rPr>
          <w:spacing w:val="-3"/>
        </w:rPr>
        <w:t xml:space="preserve"> </w:t>
      </w:r>
      <w:r>
        <w:t>sector. The</w:t>
      </w:r>
      <w:r>
        <w:rPr>
          <w:spacing w:val="-5"/>
        </w:rPr>
        <w:t xml:space="preserve"> </w:t>
      </w:r>
      <w:r>
        <w:t>investment</w:t>
      </w:r>
      <w:r>
        <w:rPr>
          <w:spacing w:val="-3"/>
        </w:rPr>
        <w:t xml:space="preserve"> </w:t>
      </w:r>
      <w:r>
        <w:t>is</w:t>
      </w:r>
      <w:r>
        <w:rPr>
          <w:spacing w:val="-2"/>
        </w:rPr>
        <w:t xml:space="preserve"> </w:t>
      </w:r>
      <w:r>
        <w:t>planned</w:t>
      </w:r>
      <w:r>
        <w:rPr>
          <w:spacing w:val="-4"/>
        </w:rPr>
        <w:t xml:space="preserve"> </w:t>
      </w:r>
      <w:r>
        <w:t>to</w:t>
      </w:r>
      <w:r>
        <w:rPr>
          <w:spacing w:val="-57"/>
        </w:rPr>
        <w:t xml:space="preserve"> </w:t>
      </w:r>
      <w:r>
        <w:t>be</w:t>
      </w:r>
      <w:r>
        <w:rPr>
          <w:spacing w:val="-1"/>
        </w:rPr>
        <w:t xml:space="preserve"> </w:t>
      </w:r>
      <w:r>
        <w:t>completed by</w:t>
      </w:r>
      <w:r>
        <w:rPr>
          <w:spacing w:val="-5"/>
        </w:rPr>
        <w:t xml:space="preserve"> </w:t>
      </w:r>
      <w:r>
        <w:t>mid-2026.</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690240"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66493636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3CF217" id="Rectangle 44" o:spid="_x0000_s1026" style="position:absolute;margin-left:69.5pt;margin-top:9.8pt;width:45.25pt;height:1.45pt;z-index:-15626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1"/>
      </w:pPr>
      <w:r>
        <w:t>By restructuring the road and rail sector, and in particular drafting strategic planning acts, the</w:t>
      </w:r>
      <w:r>
        <w:rPr>
          <w:spacing w:val="1"/>
        </w:rPr>
        <w:t xml:space="preserve"> </w:t>
      </w:r>
      <w:r>
        <w:t>preconditions</w:t>
      </w:r>
      <w:r>
        <w:rPr>
          <w:spacing w:val="1"/>
        </w:rPr>
        <w:t xml:space="preserve"> </w:t>
      </w:r>
      <w:r>
        <w:t>for</w:t>
      </w:r>
      <w:r>
        <w:rPr>
          <w:spacing w:val="1"/>
        </w:rPr>
        <w:t xml:space="preserve"> </w:t>
      </w:r>
      <w:r>
        <w:t>developing</w:t>
      </w:r>
      <w:r>
        <w:rPr>
          <w:spacing w:val="1"/>
        </w:rPr>
        <w:t xml:space="preserve"> </w:t>
      </w:r>
      <w:r>
        <w:t>quality,</w:t>
      </w:r>
      <w:r>
        <w:rPr>
          <w:spacing w:val="1"/>
        </w:rPr>
        <w:t xml:space="preserve"> </w:t>
      </w:r>
      <w:r>
        <w:t>reliable,</w:t>
      </w:r>
      <w:r>
        <w:rPr>
          <w:spacing w:val="1"/>
        </w:rPr>
        <w:t xml:space="preserve"> </w:t>
      </w:r>
      <w:r>
        <w:t>sustainable</w:t>
      </w:r>
      <w:r>
        <w:rPr>
          <w:spacing w:val="1"/>
        </w:rPr>
        <w:t xml:space="preserve"> </w:t>
      </w:r>
      <w:r>
        <w:t>and</w:t>
      </w:r>
      <w:r>
        <w:rPr>
          <w:spacing w:val="1"/>
        </w:rPr>
        <w:t xml:space="preserve"> </w:t>
      </w:r>
      <w:r>
        <w:t>adaptable</w:t>
      </w:r>
      <w:r>
        <w:rPr>
          <w:spacing w:val="1"/>
        </w:rPr>
        <w:t xml:space="preserve"> </w:t>
      </w:r>
      <w:r>
        <w:t>infrastructure,</w:t>
      </w:r>
      <w:r>
        <w:rPr>
          <w:spacing w:val="1"/>
        </w:rPr>
        <w:t xml:space="preserve"> </w:t>
      </w:r>
      <w:r>
        <w:t>including regional and cross-border infrastructure, with a focus on cheap and equal access for</w:t>
      </w:r>
      <w:r>
        <w:rPr>
          <w:spacing w:val="1"/>
        </w:rPr>
        <w:t xml:space="preserve"> </w:t>
      </w:r>
      <w:r>
        <w:t>all,</w:t>
      </w:r>
      <w:r>
        <w:rPr>
          <w:spacing w:val="-5"/>
        </w:rPr>
        <w:t xml:space="preserve"> </w:t>
      </w:r>
      <w:r>
        <w:t>have</w:t>
      </w:r>
      <w:r>
        <w:rPr>
          <w:spacing w:val="-5"/>
        </w:rPr>
        <w:t xml:space="preserve"> </w:t>
      </w:r>
      <w:r>
        <w:t>been</w:t>
      </w:r>
      <w:r>
        <w:rPr>
          <w:spacing w:val="-4"/>
        </w:rPr>
        <w:t xml:space="preserve"> </w:t>
      </w:r>
      <w:r>
        <w:t>met.</w:t>
      </w:r>
      <w:r>
        <w:rPr>
          <w:spacing w:val="-1"/>
        </w:rPr>
        <w:t xml:space="preserve"> </w:t>
      </w:r>
      <w:r>
        <w:t>In</w:t>
      </w:r>
      <w:r>
        <w:rPr>
          <w:spacing w:val="-4"/>
        </w:rPr>
        <w:t xml:space="preserve"> </w:t>
      </w:r>
      <w:r>
        <w:t>December</w:t>
      </w:r>
      <w:r>
        <w:rPr>
          <w:spacing w:val="-5"/>
        </w:rPr>
        <w:t xml:space="preserve"> </w:t>
      </w:r>
      <w:r>
        <w:t>2021,</w:t>
      </w:r>
      <w:r>
        <w:rPr>
          <w:spacing w:val="-4"/>
        </w:rPr>
        <w:t xml:space="preserve"> </w:t>
      </w:r>
      <w:r>
        <w:t>the</w:t>
      </w:r>
      <w:r>
        <w:rPr>
          <w:spacing w:val="-3"/>
        </w:rPr>
        <w:t xml:space="preserve"> </w:t>
      </w:r>
      <w:r>
        <w:t>Act</w:t>
      </w:r>
      <w:r>
        <w:rPr>
          <w:spacing w:val="-3"/>
        </w:rPr>
        <w:t xml:space="preserve"> </w:t>
      </w:r>
      <w:r>
        <w:t>on</w:t>
      </w:r>
      <w:r>
        <w:rPr>
          <w:spacing w:val="-4"/>
        </w:rPr>
        <w:t xml:space="preserve"> </w:t>
      </w:r>
      <w:r>
        <w:t>Amendments</w:t>
      </w:r>
      <w:r>
        <w:rPr>
          <w:spacing w:val="-4"/>
        </w:rPr>
        <w:t xml:space="preserve"> </w:t>
      </w:r>
      <w:r>
        <w:t>to</w:t>
      </w:r>
      <w:r>
        <w:rPr>
          <w:spacing w:val="-3"/>
        </w:rPr>
        <w:t xml:space="preserve"> </w:t>
      </w:r>
      <w:r>
        <w:t>the</w:t>
      </w:r>
      <w:r>
        <w:rPr>
          <w:spacing w:val="-4"/>
        </w:rPr>
        <w:t xml:space="preserve"> </w:t>
      </w:r>
      <w:r>
        <w:t>Roads</w:t>
      </w:r>
      <w:r>
        <w:rPr>
          <w:spacing w:val="-3"/>
        </w:rPr>
        <w:t xml:space="preserve"> </w:t>
      </w:r>
      <w:r>
        <w:t>Ac</w:t>
      </w:r>
      <w:r>
        <w:rPr>
          <w:spacing w:val="-5"/>
        </w:rPr>
        <w:t xml:space="preserve"> </w:t>
      </w:r>
      <w:r>
        <w:rPr>
          <w:vertAlign w:val="superscript"/>
        </w:rPr>
        <w:t>44</w:t>
      </w:r>
      <w:r>
        <w:rPr>
          <w:spacing w:val="-3"/>
        </w:rPr>
        <w:t xml:space="preserve"> </w:t>
      </w:r>
      <w:r>
        <w:t>was</w:t>
      </w:r>
      <w:r>
        <w:rPr>
          <w:spacing w:val="-4"/>
        </w:rPr>
        <w:t xml:space="preserve"> </w:t>
      </w:r>
      <w:r>
        <w:t>passed.</w:t>
      </w:r>
      <w:r>
        <w:rPr>
          <w:spacing w:val="-57"/>
        </w:rPr>
        <w:t xml:space="preserve"> </w:t>
      </w:r>
      <w:r>
        <w:t>The amendments bring the Roads Act in line with Directive (EU) 2019/520 of the European</w:t>
      </w:r>
      <w:r>
        <w:rPr>
          <w:spacing w:val="1"/>
        </w:rPr>
        <w:t xml:space="preserve"> </w:t>
      </w:r>
      <w:r>
        <w:t>Parliament and of the Council of 19 March 2019 on the interoperability of electronic road toll</w:t>
      </w:r>
      <w:r>
        <w:rPr>
          <w:spacing w:val="1"/>
        </w:rPr>
        <w:t xml:space="preserve"> </w:t>
      </w:r>
      <w:r>
        <w:t>systems</w:t>
      </w:r>
      <w:r>
        <w:rPr>
          <w:spacing w:val="-3"/>
        </w:rPr>
        <w:t xml:space="preserve"> </w:t>
      </w:r>
      <w:r>
        <w:t>and</w:t>
      </w:r>
      <w:r>
        <w:rPr>
          <w:spacing w:val="-4"/>
        </w:rPr>
        <w:t xml:space="preserve"> </w:t>
      </w:r>
      <w:r>
        <w:t>facilitating</w:t>
      </w:r>
      <w:r>
        <w:rPr>
          <w:spacing w:val="-6"/>
        </w:rPr>
        <w:t xml:space="preserve"> </w:t>
      </w:r>
      <w:r>
        <w:t>cross-border</w:t>
      </w:r>
      <w:r>
        <w:rPr>
          <w:spacing w:val="-4"/>
        </w:rPr>
        <w:t xml:space="preserve"> </w:t>
      </w:r>
      <w:r>
        <w:t>exchange</w:t>
      </w:r>
      <w:r>
        <w:rPr>
          <w:spacing w:val="-5"/>
        </w:rPr>
        <w:t xml:space="preserve"> </w:t>
      </w:r>
      <w:r>
        <w:t>of</w:t>
      </w:r>
      <w:r>
        <w:rPr>
          <w:spacing w:val="-5"/>
        </w:rPr>
        <w:t xml:space="preserve"> </w:t>
      </w:r>
      <w:r>
        <w:t>information</w:t>
      </w:r>
      <w:r>
        <w:rPr>
          <w:spacing w:val="-3"/>
        </w:rPr>
        <w:t xml:space="preserve"> </w:t>
      </w:r>
      <w:r>
        <w:t>on</w:t>
      </w:r>
      <w:r>
        <w:rPr>
          <w:spacing w:val="-3"/>
        </w:rPr>
        <w:t xml:space="preserve"> </w:t>
      </w:r>
      <w:r>
        <w:t>the</w:t>
      </w:r>
      <w:r>
        <w:rPr>
          <w:spacing w:val="-4"/>
        </w:rPr>
        <w:t xml:space="preserve"> </w:t>
      </w:r>
      <w:r>
        <w:t>failure</w:t>
      </w:r>
      <w:r>
        <w:rPr>
          <w:spacing w:val="-6"/>
        </w:rPr>
        <w:t xml:space="preserve"> </w:t>
      </w:r>
      <w:r>
        <w:t>to</w:t>
      </w:r>
      <w:r>
        <w:rPr>
          <w:spacing w:val="-2"/>
        </w:rPr>
        <w:t xml:space="preserve"> </w:t>
      </w:r>
      <w:r>
        <w:t>pay</w:t>
      </w:r>
      <w:r>
        <w:rPr>
          <w:spacing w:val="-9"/>
        </w:rPr>
        <w:t xml:space="preserve"> </w:t>
      </w:r>
      <w:r>
        <w:t>road</w:t>
      </w:r>
      <w:r>
        <w:rPr>
          <w:spacing w:val="-4"/>
        </w:rPr>
        <w:t xml:space="preserve"> </w:t>
      </w:r>
      <w:r>
        <w:t>fees</w:t>
      </w:r>
      <w:r>
        <w:rPr>
          <w:spacing w:val="-4"/>
        </w:rPr>
        <w:t xml:space="preserve"> </w:t>
      </w:r>
      <w:r>
        <w:t>in</w:t>
      </w:r>
      <w:r>
        <w:rPr>
          <w:spacing w:val="-57"/>
        </w:rPr>
        <w:t xml:space="preserve"> </w:t>
      </w:r>
      <w:r>
        <w:t>the Union and Directive (EU) 2019/1936 of the European Parliament and of the Council of 23</w:t>
      </w:r>
      <w:r>
        <w:rPr>
          <w:spacing w:val="-57"/>
        </w:rPr>
        <w:t xml:space="preserve"> </w:t>
      </w:r>
      <w:r>
        <w:t>October 2019 amending Directive 2008/96/EC on road infrastructure safety management. The</w:t>
      </w:r>
      <w:r>
        <w:rPr>
          <w:spacing w:val="-57"/>
        </w:rPr>
        <w:t xml:space="preserve"> </w:t>
      </w:r>
      <w:r>
        <w:t>National Road Traffic Safety Plan of the Republic of Croatia for the period from 2021 to 2030</w:t>
      </w:r>
      <w:r>
        <w:rPr>
          <w:spacing w:val="-57"/>
        </w:rPr>
        <w:t xml:space="preserve"> </w:t>
      </w:r>
      <w:r>
        <w:t>was</w:t>
      </w:r>
      <w:r>
        <w:rPr>
          <w:spacing w:val="-1"/>
        </w:rPr>
        <w:t xml:space="preserve"> </w:t>
      </w:r>
      <w:r>
        <w:t>adopted at the</w:t>
      </w:r>
      <w:r>
        <w:rPr>
          <w:spacing w:val="-1"/>
        </w:rPr>
        <w:t xml:space="preserve"> </w:t>
      </w:r>
      <w:r>
        <w:t>session of</w:t>
      </w:r>
      <w:r>
        <w:rPr>
          <w:spacing w:val="-1"/>
        </w:rPr>
        <w:t xml:space="preserve"> </w:t>
      </w:r>
      <w:r>
        <w:t>the Government on 29 July</w:t>
      </w:r>
      <w:r>
        <w:rPr>
          <w:spacing w:val="-8"/>
        </w:rPr>
        <w:t xml:space="preserve"> </w:t>
      </w:r>
      <w:r>
        <w:t>2021.</w:t>
      </w:r>
    </w:p>
    <w:p w:rsidR="00A56FE9" w:rsidRDefault="00000000">
      <w:pPr>
        <w:pStyle w:val="Tijeloteksta"/>
        <w:spacing w:before="121"/>
        <w:ind w:right="272"/>
      </w:pPr>
      <w:r>
        <w:t>It sets expected values of the reduction in the number of people killed in traffic accidents and</w:t>
      </w:r>
      <w:r>
        <w:rPr>
          <w:spacing w:val="1"/>
        </w:rPr>
        <w:t xml:space="preserve"> </w:t>
      </w:r>
      <w:r>
        <w:t>serious traffic accidents by the end of the planning period. At the session of Government on 1</w:t>
      </w:r>
      <w:r>
        <w:rPr>
          <w:spacing w:val="1"/>
        </w:rPr>
        <w:t xml:space="preserve"> </w:t>
      </w:r>
      <w:r>
        <w:t>July</w:t>
      </w:r>
      <w:r>
        <w:rPr>
          <w:spacing w:val="-17"/>
        </w:rPr>
        <w:t xml:space="preserve"> </w:t>
      </w:r>
      <w:r>
        <w:t>2021,</w:t>
      </w:r>
      <w:r>
        <w:rPr>
          <w:spacing w:val="-8"/>
        </w:rPr>
        <w:t xml:space="preserve"> </w:t>
      </w:r>
      <w:r>
        <w:t>the</w:t>
      </w:r>
      <w:r>
        <w:rPr>
          <w:spacing w:val="-10"/>
        </w:rPr>
        <w:t xml:space="preserve"> </w:t>
      </w:r>
      <w:r>
        <w:t>text</w:t>
      </w:r>
      <w:r>
        <w:rPr>
          <w:spacing w:val="-9"/>
        </w:rPr>
        <w:t xml:space="preserve"> </w:t>
      </w:r>
      <w:r>
        <w:t>Modernisation</w:t>
      </w:r>
      <w:r>
        <w:rPr>
          <w:spacing w:val="-9"/>
        </w:rPr>
        <w:t xml:space="preserve"> </w:t>
      </w:r>
      <w:r>
        <w:t>and</w:t>
      </w:r>
      <w:r>
        <w:rPr>
          <w:spacing w:val="-9"/>
        </w:rPr>
        <w:t xml:space="preserve"> </w:t>
      </w:r>
      <w:r>
        <w:t>Restructuring</w:t>
      </w:r>
      <w:r>
        <w:rPr>
          <w:spacing w:val="-11"/>
        </w:rPr>
        <w:t xml:space="preserve"> </w:t>
      </w:r>
      <w:r>
        <w:t>of</w:t>
      </w:r>
      <w:r>
        <w:rPr>
          <w:spacing w:val="-10"/>
        </w:rPr>
        <w:t xml:space="preserve"> </w:t>
      </w:r>
      <w:r>
        <w:t>the</w:t>
      </w:r>
      <w:r>
        <w:rPr>
          <w:spacing w:val="-10"/>
        </w:rPr>
        <w:t xml:space="preserve"> </w:t>
      </w:r>
      <w:r>
        <w:t>Railway</w:t>
      </w:r>
      <w:r>
        <w:rPr>
          <w:spacing w:val="-14"/>
        </w:rPr>
        <w:t xml:space="preserve"> </w:t>
      </w:r>
      <w:r>
        <w:t>Sector</w:t>
      </w:r>
      <w:r>
        <w:rPr>
          <w:spacing w:val="-10"/>
        </w:rPr>
        <w:t xml:space="preserve"> </w:t>
      </w:r>
      <w:r>
        <w:t>(the</w:t>
      </w:r>
      <w:r>
        <w:rPr>
          <w:spacing w:val="-10"/>
        </w:rPr>
        <w:t xml:space="preserve"> </w:t>
      </w:r>
      <w:r>
        <w:t>so-called</w:t>
      </w:r>
      <w:r>
        <w:rPr>
          <w:spacing w:val="-8"/>
        </w:rPr>
        <w:t xml:space="preserve"> </w:t>
      </w:r>
      <w:r>
        <w:t>Sector</w:t>
      </w:r>
      <w:r>
        <w:rPr>
          <w:spacing w:val="-58"/>
        </w:rPr>
        <w:t xml:space="preserve"> </w:t>
      </w:r>
      <w:r>
        <w:rPr>
          <w:spacing w:val="-1"/>
        </w:rPr>
        <w:t>Policy</w:t>
      </w:r>
      <w:r>
        <w:rPr>
          <w:spacing w:val="-17"/>
        </w:rPr>
        <w:t xml:space="preserve"> </w:t>
      </w:r>
      <w:r>
        <w:t>Letter)</w:t>
      </w:r>
      <w:r>
        <w:rPr>
          <w:spacing w:val="-16"/>
        </w:rPr>
        <w:t xml:space="preserve"> </w:t>
      </w:r>
      <w:r>
        <w:t>was</w:t>
      </w:r>
      <w:r>
        <w:rPr>
          <w:spacing w:val="-14"/>
        </w:rPr>
        <w:t xml:space="preserve"> </w:t>
      </w:r>
      <w:r>
        <w:t>adopted.</w:t>
      </w:r>
      <w:r>
        <w:rPr>
          <w:spacing w:val="-15"/>
        </w:rPr>
        <w:t xml:space="preserve"> </w:t>
      </w:r>
      <w:r>
        <w:t>The</w:t>
      </w:r>
      <w:r>
        <w:rPr>
          <w:spacing w:val="-16"/>
        </w:rPr>
        <w:t xml:space="preserve"> </w:t>
      </w:r>
      <w:r>
        <w:t>Sector</w:t>
      </w:r>
      <w:r>
        <w:rPr>
          <w:spacing w:val="-15"/>
        </w:rPr>
        <w:t xml:space="preserve"> </w:t>
      </w:r>
      <w:r>
        <w:t>Policy</w:t>
      </w:r>
      <w:r>
        <w:rPr>
          <w:spacing w:val="-15"/>
        </w:rPr>
        <w:t xml:space="preserve"> </w:t>
      </w:r>
      <w:r>
        <w:t>Letter</w:t>
      </w:r>
      <w:r>
        <w:rPr>
          <w:spacing w:val="-16"/>
        </w:rPr>
        <w:t xml:space="preserve"> </w:t>
      </w:r>
      <w:r>
        <w:t>contains</w:t>
      </w:r>
      <w:r>
        <w:rPr>
          <w:spacing w:val="-13"/>
        </w:rPr>
        <w:t xml:space="preserve"> </w:t>
      </w:r>
      <w:r>
        <w:t>the</w:t>
      </w:r>
      <w:r>
        <w:rPr>
          <w:spacing w:val="-15"/>
        </w:rPr>
        <w:t xml:space="preserve"> </w:t>
      </w:r>
      <w:r>
        <w:t>Government's</w:t>
      </w:r>
      <w:r>
        <w:rPr>
          <w:spacing w:val="-14"/>
        </w:rPr>
        <w:t xml:space="preserve"> </w:t>
      </w:r>
      <w:r>
        <w:t>long-term</w:t>
      </w:r>
      <w:r>
        <w:rPr>
          <w:spacing w:val="-13"/>
        </w:rPr>
        <w:t xml:space="preserve"> </w:t>
      </w:r>
      <w:r>
        <w:t>goals</w:t>
      </w:r>
      <w:r>
        <w:rPr>
          <w:spacing w:val="-58"/>
        </w:rPr>
        <w:t xml:space="preserve"> </w:t>
      </w:r>
      <w:r>
        <w:t>for the development of the railway sector, the main elements of railway sector reform and the</w:t>
      </w:r>
      <w:r>
        <w:rPr>
          <w:spacing w:val="1"/>
        </w:rPr>
        <w:t xml:space="preserve"> </w:t>
      </w:r>
      <w:r>
        <w:t>implementation</w:t>
      </w:r>
      <w:r>
        <w:rPr>
          <w:spacing w:val="-8"/>
        </w:rPr>
        <w:t xml:space="preserve"> </w:t>
      </w:r>
      <w:r>
        <w:t>plan</w:t>
      </w:r>
      <w:r>
        <w:rPr>
          <w:spacing w:val="-9"/>
        </w:rPr>
        <w:t xml:space="preserve"> </w:t>
      </w:r>
      <w:r>
        <w:t>of</w:t>
      </w:r>
      <w:r>
        <w:rPr>
          <w:spacing w:val="-12"/>
        </w:rPr>
        <w:t xml:space="preserve"> </w:t>
      </w:r>
      <w:r>
        <w:t>measures</w:t>
      </w:r>
      <w:r>
        <w:rPr>
          <w:spacing w:val="-8"/>
        </w:rPr>
        <w:t xml:space="preserve"> </w:t>
      </w:r>
      <w:r>
        <w:t>and</w:t>
      </w:r>
      <w:r>
        <w:rPr>
          <w:spacing w:val="-8"/>
        </w:rPr>
        <w:t xml:space="preserve"> </w:t>
      </w:r>
      <w:r>
        <w:t>activities</w:t>
      </w:r>
      <w:r>
        <w:rPr>
          <w:spacing w:val="-9"/>
        </w:rPr>
        <w:t xml:space="preserve"> </w:t>
      </w:r>
      <w:r>
        <w:t>for</w:t>
      </w:r>
      <w:r>
        <w:rPr>
          <w:spacing w:val="-9"/>
        </w:rPr>
        <w:t xml:space="preserve"> </w:t>
      </w:r>
      <w:r>
        <w:t>reforming</w:t>
      </w:r>
      <w:r>
        <w:rPr>
          <w:spacing w:val="-11"/>
        </w:rPr>
        <w:t xml:space="preserve"> </w:t>
      </w:r>
      <w:r>
        <w:t>the</w:t>
      </w:r>
      <w:r>
        <w:rPr>
          <w:spacing w:val="-8"/>
        </w:rPr>
        <w:t xml:space="preserve"> </w:t>
      </w:r>
      <w:r>
        <w:t>railway</w:t>
      </w:r>
      <w:r>
        <w:rPr>
          <w:spacing w:val="-11"/>
        </w:rPr>
        <w:t xml:space="preserve"> </w:t>
      </w:r>
      <w:r>
        <w:t>sector</w:t>
      </w:r>
      <w:r>
        <w:rPr>
          <w:spacing w:val="-9"/>
        </w:rPr>
        <w:t xml:space="preserve"> </w:t>
      </w:r>
      <w:r>
        <w:t>in</w:t>
      </w:r>
      <w:r>
        <w:rPr>
          <w:spacing w:val="-8"/>
        </w:rPr>
        <w:t xml:space="preserve"> </w:t>
      </w:r>
      <w:r>
        <w:t>the</w:t>
      </w:r>
      <w:r>
        <w:rPr>
          <w:spacing w:val="-8"/>
        </w:rPr>
        <w:t xml:space="preserve"> </w:t>
      </w:r>
      <w:r>
        <w:t>Republic</w:t>
      </w:r>
      <w:r>
        <w:rPr>
          <w:spacing w:val="-58"/>
        </w:rPr>
        <w:t xml:space="preserve"> </w:t>
      </w:r>
      <w:r>
        <w:t>of</w:t>
      </w:r>
      <w:r>
        <w:rPr>
          <w:spacing w:val="-1"/>
        </w:rPr>
        <w:t xml:space="preserve"> </w:t>
      </w:r>
      <w:r>
        <w:t>Croatia.</w:t>
      </w:r>
    </w:p>
    <w:p w:rsidR="00A56FE9" w:rsidRDefault="00CC1B9B">
      <w:pPr>
        <w:pStyle w:val="Tijeloteksta"/>
        <w:spacing w:before="9"/>
        <w:ind w:left="0"/>
        <w:jc w:val="left"/>
        <w:rPr>
          <w:sz w:val="13"/>
        </w:rPr>
      </w:pPr>
      <w:r>
        <w:rPr>
          <w:noProof/>
        </w:rPr>
        <mc:AlternateContent>
          <mc:Choice Requires="wps">
            <w:drawing>
              <wp:anchor distT="0" distB="0" distL="0" distR="0" simplePos="0" relativeHeight="487690752" behindDoc="1" locked="0" layoutInCell="1" allowOverlap="1">
                <wp:simplePos x="0" y="0"/>
                <wp:positionH relativeFrom="page">
                  <wp:posOffset>882650</wp:posOffset>
                </wp:positionH>
                <wp:positionV relativeFrom="paragraph">
                  <wp:posOffset>125730</wp:posOffset>
                </wp:positionV>
                <wp:extent cx="574675" cy="18415"/>
                <wp:effectExtent l="0" t="0" r="0" b="0"/>
                <wp:wrapTopAndBottom/>
                <wp:docPr id="145639711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42145F" id="Rectangle 43" o:spid="_x0000_s1026" style="position:absolute;margin-left:69.5pt;margin-top:9.9pt;width:45.25pt;height:1.45pt;z-index:-15625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t>Intensive preparations are currently underway, including the conducting of necessary training</w:t>
      </w:r>
      <w:r>
        <w:rPr>
          <w:spacing w:val="1"/>
        </w:rPr>
        <w:t xml:space="preserve"> </w:t>
      </w:r>
      <w:r>
        <w:t>to strengthen the capacity for tender preparation and preparation of tender documents for the</w:t>
      </w:r>
      <w:r>
        <w:rPr>
          <w:spacing w:val="1"/>
        </w:rPr>
        <w:t xml:space="preserve"> </w:t>
      </w:r>
      <w:r>
        <w:t>publication</w:t>
      </w:r>
      <w:r>
        <w:rPr>
          <w:spacing w:val="-11"/>
        </w:rPr>
        <w:t xml:space="preserve"> </w:t>
      </w:r>
      <w:r>
        <w:t>of</w:t>
      </w:r>
      <w:r>
        <w:rPr>
          <w:spacing w:val="-12"/>
        </w:rPr>
        <w:t xml:space="preserve"> </w:t>
      </w:r>
      <w:r>
        <w:t>calls</w:t>
      </w:r>
      <w:r>
        <w:rPr>
          <w:spacing w:val="-11"/>
        </w:rPr>
        <w:t xml:space="preserve"> </w:t>
      </w:r>
      <w:r>
        <w:t>for</w:t>
      </w:r>
      <w:r>
        <w:rPr>
          <w:spacing w:val="-13"/>
        </w:rPr>
        <w:t xml:space="preserve"> </w:t>
      </w:r>
      <w:r>
        <w:t>strengthening</w:t>
      </w:r>
      <w:r>
        <w:rPr>
          <w:spacing w:val="-13"/>
        </w:rPr>
        <w:t xml:space="preserve"> </w:t>
      </w:r>
      <w:r>
        <w:t>sustainability</w:t>
      </w:r>
      <w:r>
        <w:rPr>
          <w:spacing w:val="-13"/>
        </w:rPr>
        <w:t xml:space="preserve"> </w:t>
      </w:r>
      <w:r>
        <w:t>and</w:t>
      </w:r>
      <w:r>
        <w:rPr>
          <w:spacing w:val="-11"/>
        </w:rPr>
        <w:t xml:space="preserve"> </w:t>
      </w:r>
      <w:r>
        <w:t>encouraging</w:t>
      </w:r>
      <w:r>
        <w:rPr>
          <w:spacing w:val="-11"/>
        </w:rPr>
        <w:t xml:space="preserve"> </w:t>
      </w:r>
      <w:r>
        <w:t>green</w:t>
      </w:r>
      <w:r>
        <w:rPr>
          <w:spacing w:val="-11"/>
        </w:rPr>
        <w:t xml:space="preserve"> </w:t>
      </w:r>
      <w:r>
        <w:t>and</w:t>
      </w:r>
      <w:r>
        <w:rPr>
          <w:spacing w:val="-11"/>
        </w:rPr>
        <w:t xml:space="preserve"> </w:t>
      </w:r>
      <w:r>
        <w:t>digital</w:t>
      </w:r>
      <w:r>
        <w:rPr>
          <w:spacing w:val="-11"/>
        </w:rPr>
        <w:t xml:space="preserve"> </w:t>
      </w:r>
      <w:r>
        <w:t>transition</w:t>
      </w:r>
      <w:r>
        <w:rPr>
          <w:spacing w:val="-58"/>
        </w:rPr>
        <w:t xml:space="preserve"> </w:t>
      </w:r>
      <w:r>
        <w:t>of companies in the tourism sector. The announcement of the tender is planned for Q3/2022.</w:t>
      </w:r>
      <w:r>
        <w:rPr>
          <w:spacing w:val="1"/>
        </w:rPr>
        <w:t xml:space="preserve"> </w:t>
      </w:r>
      <w:r>
        <w:t>Investments will focus on climate change mitigation or adaptation, digitisation, and activities</w:t>
      </w:r>
      <w:r>
        <w:rPr>
          <w:spacing w:val="1"/>
        </w:rPr>
        <w:t xml:space="preserve"> </w:t>
      </w:r>
      <w:r>
        <w:rPr>
          <w:spacing w:val="-1"/>
        </w:rPr>
        <w:t>in</w:t>
      </w:r>
      <w:r>
        <w:rPr>
          <w:spacing w:val="-14"/>
        </w:rPr>
        <w:t xml:space="preserve"> </w:t>
      </w:r>
      <w:r>
        <w:rPr>
          <w:spacing w:val="-1"/>
        </w:rPr>
        <w:t>accordance</w:t>
      </w:r>
      <w:r>
        <w:rPr>
          <w:spacing w:val="-16"/>
        </w:rPr>
        <w:t xml:space="preserve"> </w:t>
      </w:r>
      <w:r>
        <w:t>with</w:t>
      </w:r>
      <w:r>
        <w:rPr>
          <w:spacing w:val="-14"/>
        </w:rPr>
        <w:t xml:space="preserve"> </w:t>
      </w:r>
      <w:r>
        <w:t>the</w:t>
      </w:r>
      <w:r>
        <w:rPr>
          <w:spacing w:val="-14"/>
        </w:rPr>
        <w:t xml:space="preserve"> </w:t>
      </w:r>
      <w:r>
        <w:t>criteria</w:t>
      </w:r>
      <w:r>
        <w:rPr>
          <w:spacing w:val="-15"/>
        </w:rPr>
        <w:t xml:space="preserve"> </w:t>
      </w:r>
      <w:r>
        <w:t>of</w:t>
      </w:r>
      <w:r>
        <w:rPr>
          <w:spacing w:val="-16"/>
        </w:rPr>
        <w:t xml:space="preserve"> </w:t>
      </w:r>
      <w:r>
        <w:t>reducing</w:t>
      </w:r>
      <w:r>
        <w:rPr>
          <w:spacing w:val="-14"/>
        </w:rPr>
        <w:t xml:space="preserve"> </w:t>
      </w:r>
      <w:r>
        <w:t>greenhouse</w:t>
      </w:r>
      <w:r>
        <w:rPr>
          <w:spacing w:val="-15"/>
        </w:rPr>
        <w:t xml:space="preserve"> </w:t>
      </w:r>
      <w:r>
        <w:t>gas</w:t>
      </w:r>
      <w:r>
        <w:rPr>
          <w:spacing w:val="-15"/>
        </w:rPr>
        <w:t xml:space="preserve"> </w:t>
      </w:r>
      <w:r>
        <w:t>emissions,</w:t>
      </w:r>
      <w:r>
        <w:rPr>
          <w:spacing w:val="-15"/>
        </w:rPr>
        <w:t xml:space="preserve"> </w:t>
      </w:r>
      <w:r>
        <w:t>energy</w:t>
      </w:r>
      <w:r>
        <w:rPr>
          <w:spacing w:val="-16"/>
        </w:rPr>
        <w:t xml:space="preserve"> </w:t>
      </w:r>
      <w:r>
        <w:t>efficiency</w:t>
      </w:r>
      <w:r>
        <w:rPr>
          <w:spacing w:val="-22"/>
        </w:rPr>
        <w:t xml:space="preserve"> </w:t>
      </w:r>
      <w:r>
        <w:t>or</w:t>
      </w:r>
      <w:r>
        <w:rPr>
          <w:spacing w:val="-16"/>
        </w:rPr>
        <w:t xml:space="preserve"> </w:t>
      </w:r>
      <w:r>
        <w:t>waste</w:t>
      </w:r>
      <w:r>
        <w:rPr>
          <w:spacing w:val="-58"/>
        </w:rPr>
        <w:t xml:space="preserve"> </w:t>
      </w:r>
      <w:r>
        <w:t>reduction,</w:t>
      </w:r>
      <w:r>
        <w:rPr>
          <w:spacing w:val="-4"/>
        </w:rPr>
        <w:t xml:space="preserve"> </w:t>
      </w:r>
      <w:r>
        <w:t>transition</w:t>
      </w:r>
      <w:r>
        <w:rPr>
          <w:spacing w:val="-3"/>
        </w:rPr>
        <w:t xml:space="preserve"> </w:t>
      </w:r>
      <w:r>
        <w:t>to</w:t>
      </w:r>
      <w:r>
        <w:rPr>
          <w:spacing w:val="-3"/>
        </w:rPr>
        <w:t xml:space="preserve"> </w:t>
      </w:r>
      <w:r>
        <w:t>a</w:t>
      </w:r>
      <w:r>
        <w:rPr>
          <w:spacing w:val="-2"/>
        </w:rPr>
        <w:t xml:space="preserve"> </w:t>
      </w:r>
      <w:r>
        <w:t>circular</w:t>
      </w:r>
      <w:r>
        <w:rPr>
          <w:spacing w:val="-3"/>
        </w:rPr>
        <w:t xml:space="preserve"> </w:t>
      </w:r>
      <w:r>
        <w:t>economy</w:t>
      </w:r>
      <w:r>
        <w:rPr>
          <w:spacing w:val="-8"/>
        </w:rPr>
        <w:t xml:space="preserve"> </w:t>
      </w:r>
      <w:r>
        <w:t>and</w:t>
      </w:r>
      <w:r>
        <w:rPr>
          <w:spacing w:val="-4"/>
        </w:rPr>
        <w:t xml:space="preserve"> </w:t>
      </w:r>
      <w:r>
        <w:t>networking</w:t>
      </w:r>
      <w:r>
        <w:rPr>
          <w:spacing w:val="-3"/>
        </w:rPr>
        <w:t xml:space="preserve"> </w:t>
      </w:r>
      <w:r>
        <w:t>activities</w:t>
      </w:r>
      <w:r>
        <w:rPr>
          <w:spacing w:val="-4"/>
        </w:rPr>
        <w:t xml:space="preserve"> </w:t>
      </w:r>
      <w:r>
        <w:t>in innovation</w:t>
      </w:r>
      <w:r>
        <w:rPr>
          <w:spacing w:val="-3"/>
        </w:rPr>
        <w:t xml:space="preserve"> </w:t>
      </w:r>
      <w:r>
        <w:t>clusters</w:t>
      </w:r>
      <w:r>
        <w:rPr>
          <w:spacing w:val="-3"/>
        </w:rPr>
        <w:t xml:space="preserve"> </w:t>
      </w:r>
      <w:r>
        <w:t>and</w:t>
      </w:r>
      <w:r>
        <w:rPr>
          <w:spacing w:val="-58"/>
        </w:rPr>
        <w:t xml:space="preserve"> </w:t>
      </w:r>
      <w:r>
        <w:t>innovation of products and services in enterprises in tourism activities and related activities</w:t>
      </w:r>
      <w:r>
        <w:rPr>
          <w:spacing w:val="1"/>
        </w:rPr>
        <w:t xml:space="preserve"> </w:t>
      </w:r>
      <w:r>
        <w:t>throughout</w:t>
      </w:r>
      <w:r>
        <w:rPr>
          <w:spacing w:val="-1"/>
        </w:rPr>
        <w:t xml:space="preserve"> </w:t>
      </w:r>
      <w:r>
        <w:t>the</w:t>
      </w:r>
      <w:r>
        <w:rPr>
          <w:spacing w:val="-1"/>
        </w:rPr>
        <w:t xml:space="preserve"> </w:t>
      </w:r>
      <w:r>
        <w:t>tourism value chain.</w:t>
      </w: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CC1B9B">
      <w:pPr>
        <w:pStyle w:val="Tijeloteksta"/>
        <w:spacing w:before="3"/>
        <w:ind w:left="0"/>
        <w:jc w:val="left"/>
      </w:pPr>
      <w:r>
        <w:rPr>
          <w:noProof/>
        </w:rPr>
        <mc:AlternateContent>
          <mc:Choice Requires="wps">
            <w:drawing>
              <wp:anchor distT="0" distB="0" distL="0" distR="0" simplePos="0" relativeHeight="487691264" behindDoc="1" locked="0" layoutInCell="1" allowOverlap="1">
                <wp:simplePos x="0" y="0"/>
                <wp:positionH relativeFrom="page">
                  <wp:posOffset>901065</wp:posOffset>
                </wp:positionH>
                <wp:positionV relativeFrom="paragraph">
                  <wp:posOffset>202565</wp:posOffset>
                </wp:positionV>
                <wp:extent cx="1828800" cy="7620"/>
                <wp:effectExtent l="0" t="0" r="0" b="0"/>
                <wp:wrapTopAndBottom/>
                <wp:docPr id="54340564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BFC02" id="Rectangle 42" o:spid="_x0000_s1026" style="position:absolute;margin-left:70.95pt;margin-top:15.95pt;width:2in;height:.6pt;z-index:-15625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44</w:t>
      </w:r>
      <w:r>
        <w:rPr>
          <w:spacing w:val="-1"/>
          <w:sz w:val="16"/>
        </w:rPr>
        <w:t xml:space="preserve"> </w:t>
      </w:r>
      <w:r>
        <w:rPr>
          <w:sz w:val="16"/>
        </w:rPr>
        <w:t>OG</w:t>
      </w:r>
      <w:r>
        <w:rPr>
          <w:spacing w:val="-3"/>
          <w:sz w:val="16"/>
        </w:rPr>
        <w:t xml:space="preserve"> </w:t>
      </w:r>
      <w:r>
        <w:rPr>
          <w:sz w:val="16"/>
        </w:rPr>
        <w:t>144/21</w:t>
      </w:r>
    </w:p>
    <w:p w:rsidR="00A56FE9" w:rsidRDefault="00A56FE9">
      <w:pPr>
        <w:rPr>
          <w:sz w:val="16"/>
        </w:rPr>
        <w:sectPr w:rsidR="00A56FE9" w:rsidSect="00AB1E70">
          <w:footerReference w:type="default" r:id="rId12"/>
          <w:pgSz w:w="11910" w:h="16840"/>
          <w:pgMar w:top="1320" w:right="1140" w:bottom="960" w:left="1280" w:header="0" w:footer="779" w:gutter="0"/>
          <w:cols w:space="720"/>
        </w:sectPr>
      </w:pPr>
    </w:p>
    <w:p w:rsidR="00A56FE9" w:rsidRDefault="00A56FE9">
      <w:pPr>
        <w:pStyle w:val="Tijeloteksta"/>
        <w:spacing w:before="4"/>
        <w:ind w:left="0"/>
        <w:jc w:val="left"/>
        <w:rPr>
          <w:sz w:val="13"/>
        </w:rPr>
      </w:pPr>
    </w:p>
    <w:p w:rsidR="00A56FE9" w:rsidRDefault="00CC1B9B">
      <w:pPr>
        <w:pStyle w:val="Naslov4"/>
        <w:spacing w:before="89"/>
      </w:pPr>
      <w:r>
        <w:rPr>
          <w:noProof/>
        </w:rPr>
        <mc:AlternateContent>
          <mc:Choice Requires="wps">
            <w:drawing>
              <wp:anchor distT="0" distB="0" distL="114300" distR="114300" simplePos="0" relativeHeight="15834112" behindDoc="0" locked="0" layoutInCell="1" allowOverlap="1">
                <wp:simplePos x="0" y="0"/>
                <wp:positionH relativeFrom="page">
                  <wp:posOffset>814070</wp:posOffset>
                </wp:positionH>
                <wp:positionV relativeFrom="paragraph">
                  <wp:posOffset>-97790</wp:posOffset>
                </wp:positionV>
                <wp:extent cx="18415" cy="417830"/>
                <wp:effectExtent l="0" t="0" r="0" b="0"/>
                <wp:wrapNone/>
                <wp:docPr id="81223260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783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7DA5F" id="Rectangle 41" o:spid="_x0000_s1026" style="position:absolute;margin-left:64.1pt;margin-top:-7.7pt;width:1.45pt;height:32.9pt;z-index:1583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" fillcolor="#da1f2c" stroked="f">
                <w10:wrap anchorx="page"/>
              </v:rect>
            </w:pict>
          </mc:Fallback>
        </mc:AlternateContent>
      </w:r>
      <w:r w:rsidR="00000000">
        <w:rPr>
          <w:color w:val="2C398A"/>
        </w:rPr>
        <w:t>Goal</w:t>
      </w:r>
      <w:r w:rsidR="00000000">
        <w:rPr>
          <w:color w:val="2C398A"/>
          <w:spacing w:val="-6"/>
        </w:rPr>
        <w:t xml:space="preserve"> </w:t>
      </w:r>
      <w:r w:rsidR="00000000">
        <w:rPr>
          <w:color w:val="2C398A"/>
        </w:rPr>
        <w:t>10.</w:t>
      </w:r>
      <w:r w:rsidR="00000000">
        <w:rPr>
          <w:color w:val="2C398A"/>
          <w:spacing w:val="-4"/>
        </w:rPr>
        <w:t xml:space="preserve"> </w:t>
      </w:r>
      <w:r w:rsidR="00000000">
        <w:rPr>
          <w:color w:val="2C398A"/>
        </w:rPr>
        <w:t>Reduce</w:t>
      </w:r>
      <w:r w:rsidR="00000000">
        <w:rPr>
          <w:color w:val="2C398A"/>
          <w:spacing w:val="-3"/>
        </w:rPr>
        <w:t xml:space="preserve"> </w:t>
      </w:r>
      <w:r w:rsidR="00000000">
        <w:rPr>
          <w:color w:val="2C398A"/>
        </w:rPr>
        <w:t>inequality</w:t>
      </w:r>
      <w:r w:rsidR="00000000">
        <w:rPr>
          <w:color w:val="2C398A"/>
          <w:spacing w:val="-6"/>
        </w:rPr>
        <w:t xml:space="preserve"> </w:t>
      </w:r>
      <w:r w:rsidR="00000000">
        <w:rPr>
          <w:color w:val="2C398A"/>
        </w:rPr>
        <w:t>within</w:t>
      </w:r>
      <w:r w:rsidR="00000000">
        <w:rPr>
          <w:color w:val="2C398A"/>
          <w:spacing w:val="-6"/>
        </w:rPr>
        <w:t xml:space="preserve"> </w:t>
      </w:r>
      <w:r w:rsidR="00000000">
        <w:rPr>
          <w:color w:val="2C398A"/>
        </w:rPr>
        <w:t>and</w:t>
      </w:r>
      <w:r w:rsidR="00000000">
        <w:rPr>
          <w:color w:val="2C398A"/>
          <w:spacing w:val="-6"/>
        </w:rPr>
        <w:t xml:space="preserve"> </w:t>
      </w:r>
      <w:r w:rsidR="00000000">
        <w:rPr>
          <w:color w:val="2C398A"/>
        </w:rPr>
        <w:t>among</w:t>
      </w:r>
      <w:r w:rsidR="00000000">
        <w:rPr>
          <w:color w:val="2C398A"/>
          <w:spacing w:val="-6"/>
        </w:rPr>
        <w:t xml:space="preserve"> </w:t>
      </w:r>
      <w:r w:rsidR="00000000">
        <w:rPr>
          <w:color w:val="2C398A"/>
        </w:rPr>
        <w:t>countries</w:t>
      </w:r>
    </w:p>
    <w:p w:rsidR="00A56FE9" w:rsidRDefault="00000000">
      <w:pPr>
        <w:pStyle w:val="Tijeloteksta"/>
        <w:spacing w:before="111"/>
        <w:ind w:right="276"/>
      </w:pPr>
      <w:r>
        <w:t>In</w:t>
      </w:r>
      <w:r>
        <w:rPr>
          <w:spacing w:val="-4"/>
        </w:rPr>
        <w:t xml:space="preserve"> </w:t>
      </w:r>
      <w:r>
        <w:t>2021,</w:t>
      </w:r>
      <w:r>
        <w:rPr>
          <w:spacing w:val="-6"/>
        </w:rPr>
        <w:t xml:space="preserve"> </w:t>
      </w:r>
      <w:r>
        <w:t>the</w:t>
      </w:r>
      <w:r>
        <w:rPr>
          <w:spacing w:val="-6"/>
        </w:rPr>
        <w:t xml:space="preserve"> </w:t>
      </w:r>
      <w:r>
        <w:t>Act</w:t>
      </w:r>
      <w:r>
        <w:rPr>
          <w:spacing w:val="-6"/>
        </w:rPr>
        <w:t xml:space="preserve"> </w:t>
      </w:r>
      <w:r>
        <w:t>on</w:t>
      </w:r>
      <w:r>
        <w:rPr>
          <w:spacing w:val="-6"/>
        </w:rPr>
        <w:t xml:space="preserve"> </w:t>
      </w:r>
      <w:r>
        <w:t>Amendments</w:t>
      </w:r>
      <w:r>
        <w:rPr>
          <w:spacing w:val="-5"/>
        </w:rPr>
        <w:t xml:space="preserve"> </w:t>
      </w:r>
      <w:r>
        <w:t>to</w:t>
      </w:r>
      <w:r>
        <w:rPr>
          <w:spacing w:val="-6"/>
        </w:rPr>
        <w:t xml:space="preserve"> </w:t>
      </w:r>
      <w:r>
        <w:t>the</w:t>
      </w:r>
      <w:r>
        <w:rPr>
          <w:spacing w:val="-6"/>
        </w:rPr>
        <w:t xml:space="preserve"> </w:t>
      </w:r>
      <w:r>
        <w:t>Minimum</w:t>
      </w:r>
      <w:r>
        <w:rPr>
          <w:spacing w:val="-4"/>
        </w:rPr>
        <w:t xml:space="preserve"> </w:t>
      </w:r>
      <w:r>
        <w:t>Wage</w:t>
      </w:r>
      <w:r>
        <w:rPr>
          <w:spacing w:val="-5"/>
        </w:rPr>
        <w:t xml:space="preserve"> </w:t>
      </w:r>
      <w:r>
        <w:t>Act</w:t>
      </w:r>
      <w:r>
        <w:rPr>
          <w:spacing w:val="-2"/>
        </w:rPr>
        <w:t xml:space="preserve"> </w:t>
      </w:r>
      <w:r>
        <w:t>was</w:t>
      </w:r>
      <w:r>
        <w:rPr>
          <w:spacing w:val="-6"/>
        </w:rPr>
        <w:t xml:space="preserve"> </w:t>
      </w:r>
      <w:r>
        <w:t>passed</w:t>
      </w:r>
      <w:r>
        <w:rPr>
          <w:spacing w:val="-6"/>
        </w:rPr>
        <w:t xml:space="preserve"> </w:t>
      </w:r>
      <w:r>
        <w:t>and</w:t>
      </w:r>
      <w:r>
        <w:rPr>
          <w:spacing w:val="-5"/>
        </w:rPr>
        <w:t xml:space="preserve"> </w:t>
      </w:r>
      <w:r>
        <w:t>entered</w:t>
      </w:r>
      <w:r>
        <w:rPr>
          <w:spacing w:val="-6"/>
        </w:rPr>
        <w:t xml:space="preserve"> </w:t>
      </w:r>
      <w:r>
        <w:t>into</w:t>
      </w:r>
      <w:r>
        <w:rPr>
          <w:spacing w:val="-6"/>
        </w:rPr>
        <w:t xml:space="preserve"> </w:t>
      </w:r>
      <w:r>
        <w:t>force</w:t>
      </w:r>
      <w:r>
        <w:rPr>
          <w:spacing w:val="-57"/>
        </w:rPr>
        <w:t xml:space="preserve"> </w:t>
      </w:r>
      <w:r>
        <w:t>in December 2021. The aim of the amendments was to redefine the concept</w:t>
      </w:r>
      <w:r>
        <w:rPr>
          <w:spacing w:val="1"/>
        </w:rPr>
        <w:t xml:space="preserve"> </w:t>
      </w:r>
      <w:r>
        <w:t>behind the</w:t>
      </w:r>
      <w:r>
        <w:rPr>
          <w:spacing w:val="1"/>
        </w:rPr>
        <w:t xml:space="preserve"> </w:t>
      </w:r>
      <w:r>
        <w:t>minimum wage and gradually raise the amount of the minimum wage to ensure fair wages for</w:t>
      </w:r>
      <w:r>
        <w:rPr>
          <w:spacing w:val="-57"/>
        </w:rPr>
        <w:t xml:space="preserve"> </w:t>
      </w:r>
      <w:r>
        <w:t>work</w:t>
      </w:r>
      <w:r>
        <w:rPr>
          <w:spacing w:val="1"/>
        </w:rPr>
        <w:t xml:space="preserve"> </w:t>
      </w:r>
      <w:r>
        <w:t>performed</w:t>
      </w:r>
      <w:r>
        <w:rPr>
          <w:spacing w:val="1"/>
        </w:rPr>
        <w:t xml:space="preserve"> </w:t>
      </w:r>
      <w:r>
        <w:t>according</w:t>
      </w:r>
      <w:r>
        <w:rPr>
          <w:spacing w:val="1"/>
        </w:rPr>
        <w:t xml:space="preserve"> </w:t>
      </w:r>
      <w:r>
        <w:t>to</w:t>
      </w:r>
      <w:r>
        <w:rPr>
          <w:spacing w:val="1"/>
        </w:rPr>
        <w:t xml:space="preserve"> </w:t>
      </w:r>
      <w:r>
        <w:t>internationally</w:t>
      </w:r>
      <w:r>
        <w:rPr>
          <w:spacing w:val="1"/>
        </w:rPr>
        <w:t xml:space="preserve"> </w:t>
      </w:r>
      <w:r>
        <w:t>recognised</w:t>
      </w:r>
      <w:r>
        <w:rPr>
          <w:spacing w:val="1"/>
        </w:rPr>
        <w:t xml:space="preserve"> </w:t>
      </w:r>
      <w:r>
        <w:t>standards</w:t>
      </w:r>
      <w:r>
        <w:rPr>
          <w:spacing w:val="1"/>
        </w:rPr>
        <w:t xml:space="preserve"> </w:t>
      </w:r>
      <w:r>
        <w:t>while</w:t>
      </w:r>
      <w:r>
        <w:rPr>
          <w:spacing w:val="1"/>
        </w:rPr>
        <w:t xml:space="preserve"> </w:t>
      </w:r>
      <w:r>
        <w:t>increasing</w:t>
      </w:r>
      <w:r>
        <w:rPr>
          <w:spacing w:val="1"/>
        </w:rPr>
        <w:t xml:space="preserve"> </w:t>
      </w:r>
      <w:r>
        <w:t>the</w:t>
      </w:r>
      <w:r>
        <w:rPr>
          <w:spacing w:val="1"/>
        </w:rPr>
        <w:t xml:space="preserve"> </w:t>
      </w:r>
      <w:r>
        <w:t>minimum</w:t>
      </w:r>
      <w:r>
        <w:rPr>
          <w:spacing w:val="-1"/>
        </w:rPr>
        <w:t xml:space="preserve"> </w:t>
      </w:r>
      <w:r>
        <w:t>wage</w:t>
      </w:r>
      <w:r>
        <w:rPr>
          <w:spacing w:val="-2"/>
        </w:rPr>
        <w:t xml:space="preserve"> </w:t>
      </w:r>
      <w:r>
        <w:t>also</w:t>
      </w:r>
      <w:r>
        <w:rPr>
          <w:spacing w:val="-1"/>
        </w:rPr>
        <w:t xml:space="preserve"> </w:t>
      </w:r>
      <w:r>
        <w:t>directly</w:t>
      </w:r>
      <w:r>
        <w:rPr>
          <w:spacing w:val="-5"/>
        </w:rPr>
        <w:t xml:space="preserve"> </w:t>
      </w:r>
      <w:r>
        <w:t>affects</w:t>
      </w:r>
      <w:r>
        <w:rPr>
          <w:spacing w:val="-1"/>
        </w:rPr>
        <w:t xml:space="preserve"> </w:t>
      </w:r>
      <w:r>
        <w:t>poverty</w:t>
      </w:r>
      <w:r>
        <w:rPr>
          <w:spacing w:val="-4"/>
        </w:rPr>
        <w:t xml:space="preserve"> </w:t>
      </w:r>
      <w:r>
        <w:t>reduction</w:t>
      </w:r>
      <w:r>
        <w:rPr>
          <w:spacing w:val="-1"/>
        </w:rPr>
        <w:t xml:space="preserve"> </w:t>
      </w:r>
      <w:r>
        <w:t>among</w:t>
      </w:r>
      <w:r>
        <w:rPr>
          <w:spacing w:val="-3"/>
        </w:rPr>
        <w:t xml:space="preserve"> </w:t>
      </w:r>
      <w:r>
        <w:t>employees,</w:t>
      </w:r>
      <w:r>
        <w:rPr>
          <w:spacing w:val="-1"/>
        </w:rPr>
        <w:t xml:space="preserve"> </w:t>
      </w:r>
      <w:r>
        <w:t>i.e.,</w:t>
      </w:r>
      <w:r>
        <w:rPr>
          <w:spacing w:val="-1"/>
        </w:rPr>
        <w:t xml:space="preserve"> </w:t>
      </w:r>
      <w:r>
        <w:t>the</w:t>
      </w:r>
      <w:r>
        <w:rPr>
          <w:spacing w:val="-1"/>
        </w:rPr>
        <w:t xml:space="preserve"> </w:t>
      </w:r>
      <w:r>
        <w:t>so-called</w:t>
      </w:r>
      <w:r>
        <w:rPr>
          <w:spacing w:val="-1"/>
        </w:rPr>
        <w:t xml:space="preserve"> </w:t>
      </w:r>
      <w:r>
        <w:t>in-</w:t>
      </w:r>
      <w:r>
        <w:rPr>
          <w:spacing w:val="-58"/>
        </w:rPr>
        <w:t xml:space="preserve"> </w:t>
      </w:r>
      <w:r>
        <w:t>work</w:t>
      </w:r>
      <w:r>
        <w:rPr>
          <w:spacing w:val="-1"/>
        </w:rPr>
        <w:t xml:space="preserve"> </w:t>
      </w:r>
      <w:r>
        <w:t>poverty.</w:t>
      </w:r>
    </w:p>
    <w:p w:rsidR="00A56FE9" w:rsidRDefault="00CC1B9B">
      <w:pPr>
        <w:pStyle w:val="Tijeloteksta"/>
        <w:spacing w:before="9"/>
        <w:ind w:left="0"/>
        <w:jc w:val="left"/>
        <w:rPr>
          <w:sz w:val="13"/>
        </w:rPr>
      </w:pPr>
      <w:r>
        <w:rPr>
          <w:noProof/>
        </w:rPr>
        <mc:AlternateContent>
          <mc:Choice Requires="wps">
            <w:drawing>
              <wp:anchor distT="0" distB="0" distL="0" distR="0" simplePos="0" relativeHeight="487691776" behindDoc="1" locked="0" layoutInCell="1" allowOverlap="1">
                <wp:simplePos x="0" y="0"/>
                <wp:positionH relativeFrom="page">
                  <wp:posOffset>882650</wp:posOffset>
                </wp:positionH>
                <wp:positionV relativeFrom="paragraph">
                  <wp:posOffset>125730</wp:posOffset>
                </wp:positionV>
                <wp:extent cx="574675" cy="18415"/>
                <wp:effectExtent l="0" t="0" r="0" b="0"/>
                <wp:wrapTopAndBottom/>
                <wp:docPr id="1145076363"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B3F90" id="Rectangle 40" o:spid="_x0000_s1026" style="position:absolute;margin-left:69.5pt;margin-top:9.9pt;width:45.25pt;height:1.45pt;z-index:-15624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t>New</w:t>
      </w:r>
      <w:r>
        <w:rPr>
          <w:spacing w:val="-5"/>
        </w:rPr>
        <w:t xml:space="preserve"> </w:t>
      </w:r>
      <w:r>
        <w:t>technologies</w:t>
      </w:r>
      <w:r>
        <w:rPr>
          <w:spacing w:val="-1"/>
        </w:rPr>
        <w:t xml:space="preserve"> </w:t>
      </w:r>
      <w:r>
        <w:t>are</w:t>
      </w:r>
      <w:r>
        <w:rPr>
          <w:spacing w:val="-6"/>
        </w:rPr>
        <w:t xml:space="preserve"> </w:t>
      </w:r>
      <w:r>
        <w:t>not</w:t>
      </w:r>
      <w:r>
        <w:rPr>
          <w:spacing w:val="-1"/>
        </w:rPr>
        <w:t xml:space="preserve"> </w:t>
      </w:r>
      <w:r>
        <w:t>always</w:t>
      </w:r>
      <w:r>
        <w:rPr>
          <w:spacing w:val="-4"/>
        </w:rPr>
        <w:t xml:space="preserve"> </w:t>
      </w:r>
      <w:r>
        <w:t>adapted</w:t>
      </w:r>
      <w:r>
        <w:rPr>
          <w:spacing w:val="-4"/>
        </w:rPr>
        <w:t xml:space="preserve"> </w:t>
      </w:r>
      <w:r>
        <w:t>and</w:t>
      </w:r>
      <w:r>
        <w:rPr>
          <w:spacing w:val="-5"/>
        </w:rPr>
        <w:t xml:space="preserve"> </w:t>
      </w:r>
      <w:r>
        <w:t>accessible</w:t>
      </w:r>
      <w:r>
        <w:rPr>
          <w:spacing w:val="-4"/>
        </w:rPr>
        <w:t xml:space="preserve"> </w:t>
      </w:r>
      <w:r>
        <w:t>to</w:t>
      </w:r>
      <w:r>
        <w:rPr>
          <w:spacing w:val="-3"/>
        </w:rPr>
        <w:t xml:space="preserve"> </w:t>
      </w:r>
      <w:r>
        <w:t>all</w:t>
      </w:r>
      <w:r>
        <w:rPr>
          <w:spacing w:val="-3"/>
        </w:rPr>
        <w:t xml:space="preserve"> </w:t>
      </w:r>
      <w:r>
        <w:t>citizens;</w:t>
      </w:r>
      <w:r>
        <w:rPr>
          <w:spacing w:val="-3"/>
        </w:rPr>
        <w:t xml:space="preserve"> </w:t>
      </w:r>
      <w:r>
        <w:t>hence,</w:t>
      </w:r>
      <w:r>
        <w:rPr>
          <w:spacing w:val="-3"/>
        </w:rPr>
        <w:t xml:space="preserve"> </w:t>
      </w:r>
      <w:r>
        <w:t>the</w:t>
      </w:r>
      <w:r>
        <w:rPr>
          <w:spacing w:val="-4"/>
        </w:rPr>
        <w:t xml:space="preserve"> </w:t>
      </w:r>
      <w:r>
        <w:t>accessibility</w:t>
      </w:r>
      <w:r>
        <w:rPr>
          <w:spacing w:val="-58"/>
        </w:rPr>
        <w:t xml:space="preserve"> </w:t>
      </w:r>
      <w:r>
        <w:t>of electronic services is a prerequisite for equal participation and active role of all citizens in</w:t>
      </w:r>
      <w:r>
        <w:rPr>
          <w:spacing w:val="1"/>
        </w:rPr>
        <w:t xml:space="preserve"> </w:t>
      </w:r>
      <w:r>
        <w:t>society and contributes to the smart, sustainable and inclusive development of a digital society</w:t>
      </w:r>
      <w:r>
        <w:rPr>
          <w:spacing w:val="-57"/>
        </w:rPr>
        <w:t xml:space="preserve"> </w:t>
      </w:r>
      <w:r>
        <w:t>and society as a whole. People with visual, hearing, motor or cognitive difficulties, the elderly</w:t>
      </w:r>
      <w:r>
        <w:rPr>
          <w:spacing w:val="-57"/>
        </w:rPr>
        <w:t xml:space="preserve"> </w:t>
      </w:r>
      <w:r>
        <w:t>and the injured encounter obstacles on a daily basis, not only in the physical but also in the</w:t>
      </w:r>
      <w:r>
        <w:rPr>
          <w:spacing w:val="1"/>
        </w:rPr>
        <w:t xml:space="preserve"> </w:t>
      </w:r>
      <w:r>
        <w:t>digital world. Digital information and services are accessible when most people can easily</w:t>
      </w:r>
      <w:r>
        <w:rPr>
          <w:spacing w:val="1"/>
        </w:rPr>
        <w:t xml:space="preserve"> </w:t>
      </w:r>
      <w:r>
        <w:t>observe and understand them despite all the difficulties mentioned. In the Republic of Croatia,</w:t>
      </w:r>
      <w:r>
        <w:rPr>
          <w:spacing w:val="-57"/>
        </w:rPr>
        <w:t xml:space="preserve"> </w:t>
      </w:r>
      <w:r>
        <w:t>the Act on Accessibility of Websites and Software Solutions for Mobile Devices of Public</w:t>
      </w:r>
      <w:r>
        <w:rPr>
          <w:spacing w:val="1"/>
        </w:rPr>
        <w:t xml:space="preserve"> </w:t>
      </w:r>
      <w:r>
        <w:t>Sector Bodies</w:t>
      </w:r>
      <w:r>
        <w:rPr>
          <w:vertAlign w:val="superscript"/>
        </w:rPr>
        <w:t>45</w:t>
      </w:r>
      <w:r>
        <w:t xml:space="preserve"> has been in force since 2019. Accordingly, Directive (EU) 2016/2102 of the</w:t>
      </w:r>
      <w:r>
        <w:rPr>
          <w:spacing w:val="1"/>
        </w:rPr>
        <w:t xml:space="preserve"> </w:t>
      </w:r>
      <w:r>
        <w:rPr>
          <w:spacing w:val="-1"/>
        </w:rPr>
        <w:t>European</w:t>
      </w:r>
      <w:r>
        <w:rPr>
          <w:spacing w:val="-12"/>
        </w:rPr>
        <w:t xml:space="preserve"> </w:t>
      </w:r>
      <w:r>
        <w:t>Parliament</w:t>
      </w:r>
      <w:r>
        <w:rPr>
          <w:spacing w:val="-12"/>
        </w:rPr>
        <w:t xml:space="preserve"> </w:t>
      </w:r>
      <w:r>
        <w:t>and</w:t>
      </w:r>
      <w:r>
        <w:rPr>
          <w:spacing w:val="-10"/>
        </w:rPr>
        <w:t xml:space="preserve"> </w:t>
      </w:r>
      <w:r>
        <w:t>of</w:t>
      </w:r>
      <w:r>
        <w:rPr>
          <w:spacing w:val="-13"/>
        </w:rPr>
        <w:t xml:space="preserve"> </w:t>
      </w:r>
      <w:r>
        <w:t>the</w:t>
      </w:r>
      <w:r>
        <w:rPr>
          <w:spacing w:val="-13"/>
        </w:rPr>
        <w:t xml:space="preserve"> </w:t>
      </w:r>
      <w:r>
        <w:t>Council</w:t>
      </w:r>
      <w:r>
        <w:rPr>
          <w:spacing w:val="-11"/>
        </w:rPr>
        <w:t xml:space="preserve"> </w:t>
      </w:r>
      <w:r>
        <w:t>of</w:t>
      </w:r>
      <w:r>
        <w:rPr>
          <w:spacing w:val="-13"/>
        </w:rPr>
        <w:t xml:space="preserve"> </w:t>
      </w:r>
      <w:r>
        <w:t>26</w:t>
      </w:r>
      <w:r>
        <w:rPr>
          <w:spacing w:val="-10"/>
        </w:rPr>
        <w:t xml:space="preserve"> </w:t>
      </w:r>
      <w:r>
        <w:t>October</w:t>
      </w:r>
      <w:r>
        <w:rPr>
          <w:spacing w:val="-13"/>
        </w:rPr>
        <w:t xml:space="preserve"> </w:t>
      </w:r>
      <w:r>
        <w:t>2016</w:t>
      </w:r>
      <w:r>
        <w:rPr>
          <w:spacing w:val="-12"/>
        </w:rPr>
        <w:t xml:space="preserve"> </w:t>
      </w:r>
      <w:r>
        <w:t>on</w:t>
      </w:r>
      <w:r>
        <w:rPr>
          <w:spacing w:val="-11"/>
        </w:rPr>
        <w:t xml:space="preserve"> </w:t>
      </w:r>
      <w:r>
        <w:t>the</w:t>
      </w:r>
      <w:r>
        <w:rPr>
          <w:spacing w:val="-11"/>
        </w:rPr>
        <w:t xml:space="preserve"> </w:t>
      </w:r>
      <w:r>
        <w:t>accessibility</w:t>
      </w:r>
      <w:r>
        <w:rPr>
          <w:spacing w:val="-17"/>
        </w:rPr>
        <w:t xml:space="preserve"> </w:t>
      </w:r>
      <w:r>
        <w:t>of</w:t>
      </w:r>
      <w:r>
        <w:rPr>
          <w:spacing w:val="-9"/>
        </w:rPr>
        <w:t xml:space="preserve"> </w:t>
      </w:r>
      <w:r>
        <w:t>public</w:t>
      </w:r>
      <w:r>
        <w:rPr>
          <w:spacing w:val="-13"/>
        </w:rPr>
        <w:t xml:space="preserve"> </w:t>
      </w:r>
      <w:r>
        <w:t>sector</w:t>
      </w:r>
      <w:r>
        <w:rPr>
          <w:spacing w:val="-57"/>
        </w:rPr>
        <w:t xml:space="preserve"> </w:t>
      </w:r>
      <w:r>
        <w:t>websites and mobile applications was transposed into Croatian legislation. The law provides</w:t>
      </w:r>
      <w:r>
        <w:rPr>
          <w:spacing w:val="1"/>
        </w:rPr>
        <w:t xml:space="preserve"> </w:t>
      </w:r>
      <w:r>
        <w:t>measures to ensure the accessibility of websites and software solutions for mobile devices</w:t>
      </w:r>
      <w:r>
        <w:rPr>
          <w:spacing w:val="1"/>
        </w:rPr>
        <w:t xml:space="preserve"> </w:t>
      </w:r>
      <w:r>
        <w:t>(mobile applications) of public sector bodies to users, especially persons with disabilities and</w:t>
      </w:r>
      <w:r>
        <w:rPr>
          <w:spacing w:val="1"/>
        </w:rPr>
        <w:t xml:space="preserve"> </w:t>
      </w:r>
      <w:r>
        <w:t>the</w:t>
      </w:r>
      <w:r>
        <w:rPr>
          <w:spacing w:val="-1"/>
        </w:rPr>
        <w:t xml:space="preserve"> </w:t>
      </w:r>
      <w:r>
        <w:t>elderly.</w:t>
      </w:r>
    </w:p>
    <w:p w:rsidR="00A56FE9" w:rsidRDefault="00000000">
      <w:pPr>
        <w:pStyle w:val="Tijeloteksta"/>
        <w:spacing w:before="121"/>
        <w:ind w:right="272"/>
      </w:pPr>
      <w:r>
        <w:t>The digitisation of everyday processes of public bodies ensures faster and more transparent</w:t>
      </w:r>
      <w:r>
        <w:rPr>
          <w:spacing w:val="1"/>
        </w:rPr>
        <w:t xml:space="preserve"> </w:t>
      </w:r>
      <w:r>
        <w:t>public</w:t>
      </w:r>
      <w:r>
        <w:rPr>
          <w:spacing w:val="-10"/>
        </w:rPr>
        <w:t xml:space="preserve"> </w:t>
      </w:r>
      <w:r>
        <w:t>administration</w:t>
      </w:r>
      <w:r>
        <w:rPr>
          <w:spacing w:val="-9"/>
        </w:rPr>
        <w:t xml:space="preserve"> </w:t>
      </w:r>
      <w:r>
        <w:t>services,</w:t>
      </w:r>
      <w:r>
        <w:rPr>
          <w:spacing w:val="-6"/>
        </w:rPr>
        <w:t xml:space="preserve"> </w:t>
      </w:r>
      <w:r>
        <w:t>while</w:t>
      </w:r>
      <w:r>
        <w:rPr>
          <w:spacing w:val="-8"/>
        </w:rPr>
        <w:t xml:space="preserve"> </w:t>
      </w:r>
      <w:r>
        <w:t>the</w:t>
      </w:r>
      <w:r>
        <w:rPr>
          <w:spacing w:val="-7"/>
        </w:rPr>
        <w:t xml:space="preserve"> </w:t>
      </w:r>
      <w:r>
        <w:t>accessibility</w:t>
      </w:r>
      <w:r>
        <w:rPr>
          <w:spacing w:val="-13"/>
        </w:rPr>
        <w:t xml:space="preserve"> </w:t>
      </w:r>
      <w:r>
        <w:t>of</w:t>
      </w:r>
      <w:r>
        <w:rPr>
          <w:spacing w:val="-9"/>
        </w:rPr>
        <w:t xml:space="preserve"> </w:t>
      </w:r>
      <w:r>
        <w:t>electronic</w:t>
      </w:r>
      <w:r>
        <w:rPr>
          <w:spacing w:val="-6"/>
        </w:rPr>
        <w:t xml:space="preserve"> </w:t>
      </w:r>
      <w:r>
        <w:t>services</w:t>
      </w:r>
      <w:r>
        <w:rPr>
          <w:spacing w:val="-6"/>
        </w:rPr>
        <w:t xml:space="preserve"> </w:t>
      </w:r>
      <w:r>
        <w:t>is</w:t>
      </w:r>
      <w:r>
        <w:rPr>
          <w:spacing w:val="-8"/>
        </w:rPr>
        <w:t xml:space="preserve"> </w:t>
      </w:r>
      <w:r>
        <w:t>a</w:t>
      </w:r>
      <w:r>
        <w:rPr>
          <w:spacing w:val="-10"/>
        </w:rPr>
        <w:t xml:space="preserve"> </w:t>
      </w:r>
      <w:r>
        <w:t>prerequisite</w:t>
      </w:r>
      <w:r>
        <w:rPr>
          <w:spacing w:val="-8"/>
        </w:rPr>
        <w:t xml:space="preserve"> </w:t>
      </w:r>
      <w:r>
        <w:t>for</w:t>
      </w:r>
      <w:r>
        <w:rPr>
          <w:spacing w:val="-58"/>
        </w:rPr>
        <w:t xml:space="preserve"> </w:t>
      </w:r>
      <w:r>
        <w:t>equal participation of all citizens in an active role in society. Special attention is paid to the</w:t>
      </w:r>
      <w:r>
        <w:rPr>
          <w:spacing w:val="1"/>
        </w:rPr>
        <w:t xml:space="preserve"> </w:t>
      </w:r>
      <w:r>
        <w:t>digital accessibility of websites belonging to public sector bodies and mobile applications, i.e.,</w:t>
      </w:r>
      <w:r>
        <w:rPr>
          <w:spacing w:val="-58"/>
        </w:rPr>
        <w:t xml:space="preserve"> </w:t>
      </w:r>
      <w:r>
        <w:t>digital accessibility is an inclusive practice ensuring that digital content and services are</w:t>
      </w:r>
      <w:r>
        <w:rPr>
          <w:spacing w:val="1"/>
        </w:rPr>
        <w:t xml:space="preserve"> </w:t>
      </w:r>
      <w:r>
        <w:t>acceptable and suitable for people with disabilities or the elderly. To more effectively adapt to</w:t>
      </w:r>
      <w:r>
        <w:rPr>
          <w:spacing w:val="-57"/>
        </w:rPr>
        <w:t xml:space="preserve"> </w:t>
      </w:r>
      <w:r>
        <w:t>the</w:t>
      </w:r>
      <w:r>
        <w:rPr>
          <w:spacing w:val="-13"/>
        </w:rPr>
        <w:t xml:space="preserve"> </w:t>
      </w:r>
      <w:r>
        <w:t>requirements</w:t>
      </w:r>
      <w:r>
        <w:rPr>
          <w:spacing w:val="-12"/>
        </w:rPr>
        <w:t xml:space="preserve"> </w:t>
      </w:r>
      <w:r>
        <w:t>of</w:t>
      </w:r>
      <w:r>
        <w:rPr>
          <w:spacing w:val="-12"/>
        </w:rPr>
        <w:t xml:space="preserve"> </w:t>
      </w:r>
      <w:r>
        <w:t>digital</w:t>
      </w:r>
      <w:r>
        <w:rPr>
          <w:spacing w:val="-12"/>
        </w:rPr>
        <w:t xml:space="preserve"> </w:t>
      </w:r>
      <w:r>
        <w:t>accessibility,</w:t>
      </w:r>
      <w:r>
        <w:rPr>
          <w:spacing w:val="-11"/>
        </w:rPr>
        <w:t xml:space="preserve"> </w:t>
      </w:r>
      <w:r>
        <w:t>the</w:t>
      </w:r>
      <w:r>
        <w:rPr>
          <w:spacing w:val="-13"/>
        </w:rPr>
        <w:t xml:space="preserve"> </w:t>
      </w:r>
      <w:r>
        <w:t>Central</w:t>
      </w:r>
      <w:r>
        <w:rPr>
          <w:spacing w:val="-11"/>
        </w:rPr>
        <w:t xml:space="preserve"> </w:t>
      </w:r>
      <w:r>
        <w:t>State</w:t>
      </w:r>
      <w:r>
        <w:rPr>
          <w:spacing w:val="-13"/>
        </w:rPr>
        <w:t xml:space="preserve"> </w:t>
      </w:r>
      <w:r>
        <w:t>Office</w:t>
      </w:r>
      <w:r>
        <w:rPr>
          <w:spacing w:val="-12"/>
        </w:rPr>
        <w:t xml:space="preserve"> </w:t>
      </w:r>
      <w:r>
        <w:t>for</w:t>
      </w:r>
      <w:r>
        <w:rPr>
          <w:spacing w:val="-13"/>
        </w:rPr>
        <w:t xml:space="preserve"> </w:t>
      </w:r>
      <w:r>
        <w:t>Development</w:t>
      </w:r>
      <w:r>
        <w:rPr>
          <w:spacing w:val="-12"/>
        </w:rPr>
        <w:t xml:space="preserve"> </w:t>
      </w:r>
      <w:r>
        <w:t>of</w:t>
      </w:r>
      <w:r>
        <w:rPr>
          <w:spacing w:val="-12"/>
        </w:rPr>
        <w:t xml:space="preserve"> </w:t>
      </w:r>
      <w:r>
        <w:t>the</w:t>
      </w:r>
      <w:r>
        <w:rPr>
          <w:spacing w:val="-15"/>
        </w:rPr>
        <w:t xml:space="preserve"> </w:t>
      </w:r>
      <w:r>
        <w:t>Digital</w:t>
      </w:r>
      <w:r>
        <w:rPr>
          <w:spacing w:val="-57"/>
        </w:rPr>
        <w:t xml:space="preserve"> </w:t>
      </w:r>
      <w:r>
        <w:t>Society (CSODDS), in cooperation with the Office of the Information Commissioner, national</w:t>
      </w:r>
      <w:r>
        <w:rPr>
          <w:spacing w:val="-57"/>
        </w:rPr>
        <w:t xml:space="preserve"> </w:t>
      </w:r>
      <w:r>
        <w:t>umbrella</w:t>
      </w:r>
      <w:r>
        <w:rPr>
          <w:spacing w:val="1"/>
        </w:rPr>
        <w:t xml:space="preserve"> </w:t>
      </w:r>
      <w:r>
        <w:t>organisations</w:t>
      </w:r>
      <w:r>
        <w:rPr>
          <w:spacing w:val="1"/>
        </w:rPr>
        <w:t xml:space="preserve"> </w:t>
      </w:r>
      <w:r>
        <w:t>for</w:t>
      </w:r>
      <w:r>
        <w:rPr>
          <w:spacing w:val="1"/>
        </w:rPr>
        <w:t xml:space="preserve"> </w:t>
      </w:r>
      <w:r>
        <w:t>persons</w:t>
      </w:r>
      <w:r>
        <w:rPr>
          <w:spacing w:val="1"/>
        </w:rPr>
        <w:t xml:space="preserve"> </w:t>
      </w:r>
      <w:r>
        <w:t>with</w:t>
      </w:r>
      <w:r>
        <w:rPr>
          <w:spacing w:val="1"/>
        </w:rPr>
        <w:t xml:space="preserve"> </w:t>
      </w:r>
      <w:r>
        <w:t>disabilities</w:t>
      </w:r>
      <w:r>
        <w:rPr>
          <w:spacing w:val="1"/>
        </w:rPr>
        <w:t xml:space="preserve"> </w:t>
      </w:r>
      <w:r>
        <w:t>and</w:t>
      </w:r>
      <w:r>
        <w:rPr>
          <w:spacing w:val="1"/>
        </w:rPr>
        <w:t xml:space="preserve"> </w:t>
      </w:r>
      <w:r>
        <w:t>the</w:t>
      </w:r>
      <w:r>
        <w:rPr>
          <w:spacing w:val="1"/>
        </w:rPr>
        <w:t xml:space="preserve"> </w:t>
      </w:r>
      <w:r>
        <w:t>State</w:t>
      </w:r>
      <w:r>
        <w:rPr>
          <w:spacing w:val="1"/>
        </w:rPr>
        <w:t xml:space="preserve"> </w:t>
      </w:r>
      <w:r>
        <w:t>School</w:t>
      </w:r>
      <w:r>
        <w:rPr>
          <w:spacing w:val="1"/>
        </w:rPr>
        <w:t xml:space="preserve"> </w:t>
      </w:r>
      <w:r>
        <w:t>of</w:t>
      </w:r>
      <w:r>
        <w:rPr>
          <w:spacing w:val="1"/>
        </w:rPr>
        <w:t xml:space="preserve"> </w:t>
      </w:r>
      <w:r>
        <w:t>Public</w:t>
      </w:r>
      <w:r>
        <w:rPr>
          <w:spacing w:val="1"/>
        </w:rPr>
        <w:t xml:space="preserve"> </w:t>
      </w:r>
      <w:r>
        <w:t>Administration, implement measures to facilitate accessibility, continuously taking action to</w:t>
      </w:r>
      <w:r>
        <w:rPr>
          <w:spacing w:val="1"/>
        </w:rPr>
        <w:t xml:space="preserve"> </w:t>
      </w:r>
      <w:r>
        <w:t>raise</w:t>
      </w:r>
      <w:r>
        <w:rPr>
          <w:spacing w:val="1"/>
        </w:rPr>
        <w:t xml:space="preserve"> </w:t>
      </w:r>
      <w:r>
        <w:t>awareness</w:t>
      </w:r>
      <w:r>
        <w:rPr>
          <w:spacing w:val="1"/>
        </w:rPr>
        <w:t xml:space="preserve"> </w:t>
      </w:r>
      <w:r>
        <w:t>about</w:t>
      </w:r>
      <w:r>
        <w:rPr>
          <w:spacing w:val="1"/>
        </w:rPr>
        <w:t xml:space="preserve"> </w:t>
      </w:r>
      <w:r>
        <w:t>the</w:t>
      </w:r>
      <w:r>
        <w:rPr>
          <w:spacing w:val="1"/>
        </w:rPr>
        <w:t xml:space="preserve"> </w:t>
      </w:r>
      <w:r>
        <w:t>importance</w:t>
      </w:r>
      <w:r>
        <w:rPr>
          <w:spacing w:val="1"/>
        </w:rPr>
        <w:t xml:space="preserve"> </w:t>
      </w:r>
      <w:r>
        <w:t>of</w:t>
      </w:r>
      <w:r>
        <w:rPr>
          <w:spacing w:val="1"/>
        </w:rPr>
        <w:t xml:space="preserve"> </w:t>
      </w:r>
      <w:r>
        <w:t>publishing</w:t>
      </w:r>
      <w:r>
        <w:rPr>
          <w:spacing w:val="1"/>
        </w:rPr>
        <w:t xml:space="preserve"> </w:t>
      </w:r>
      <w:r>
        <w:t>digitally</w:t>
      </w:r>
      <w:r>
        <w:rPr>
          <w:spacing w:val="1"/>
        </w:rPr>
        <w:t xml:space="preserve"> </w:t>
      </w:r>
      <w:r>
        <w:t>accessible</w:t>
      </w:r>
      <w:r>
        <w:rPr>
          <w:spacing w:val="1"/>
        </w:rPr>
        <w:t xml:space="preserve"> </w:t>
      </w:r>
      <w:r>
        <w:t>content</w:t>
      </w:r>
      <w:r>
        <w:rPr>
          <w:spacing w:val="1"/>
        </w:rPr>
        <w:t xml:space="preserve"> </w:t>
      </w:r>
      <w:r>
        <w:t>and</w:t>
      </w:r>
      <w:r>
        <w:rPr>
          <w:spacing w:val="1"/>
        </w:rPr>
        <w:t xml:space="preserve"> </w:t>
      </w:r>
      <w:r>
        <w:rPr>
          <w:spacing w:val="-1"/>
        </w:rPr>
        <w:t>implementing</w:t>
      </w:r>
      <w:r>
        <w:rPr>
          <w:spacing w:val="-12"/>
        </w:rPr>
        <w:t xml:space="preserve"> </w:t>
      </w:r>
      <w:r>
        <w:t>educational</w:t>
      </w:r>
      <w:r>
        <w:rPr>
          <w:spacing w:val="-10"/>
        </w:rPr>
        <w:t xml:space="preserve"> </w:t>
      </w:r>
      <w:r>
        <w:t>programs</w:t>
      </w:r>
      <w:r>
        <w:rPr>
          <w:spacing w:val="-9"/>
        </w:rPr>
        <w:t xml:space="preserve"> </w:t>
      </w:r>
      <w:r>
        <w:t>for</w:t>
      </w:r>
      <w:r>
        <w:rPr>
          <w:spacing w:val="-12"/>
        </w:rPr>
        <w:t xml:space="preserve"> </w:t>
      </w:r>
      <w:r>
        <w:t>effective</w:t>
      </w:r>
      <w:r>
        <w:rPr>
          <w:spacing w:val="-10"/>
        </w:rPr>
        <w:t xml:space="preserve"> </w:t>
      </w:r>
      <w:r>
        <w:t>implementation</w:t>
      </w:r>
      <w:r>
        <w:rPr>
          <w:spacing w:val="-10"/>
        </w:rPr>
        <w:t xml:space="preserve"> </w:t>
      </w:r>
      <w:r>
        <w:t>of</w:t>
      </w:r>
      <w:r>
        <w:rPr>
          <w:spacing w:val="-11"/>
        </w:rPr>
        <w:t xml:space="preserve"> </w:t>
      </w:r>
      <w:r>
        <w:t>accessibility</w:t>
      </w:r>
      <w:r>
        <w:rPr>
          <w:spacing w:val="-17"/>
        </w:rPr>
        <w:t xml:space="preserve"> </w:t>
      </w:r>
      <w:r>
        <w:t>requirements.</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692288"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622471363"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0E3FC" id="Rectangle 39" o:spid="_x0000_s1026" style="position:absolute;margin-left:69.5pt;margin-top:9.8pt;width:45.25pt;height:1.45pt;z-index:-15624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6"/>
        <w:ind w:right="273"/>
      </w:pPr>
      <w:r>
        <w:t>The</w:t>
      </w:r>
      <w:r>
        <w:rPr>
          <w:spacing w:val="-10"/>
        </w:rPr>
        <w:t xml:space="preserve"> </w:t>
      </w:r>
      <w:r>
        <w:t>employment</w:t>
      </w:r>
      <w:r>
        <w:rPr>
          <w:spacing w:val="-9"/>
        </w:rPr>
        <w:t xml:space="preserve"> </w:t>
      </w:r>
      <w:r>
        <w:t>system</w:t>
      </w:r>
      <w:r>
        <w:rPr>
          <w:spacing w:val="-4"/>
        </w:rPr>
        <w:t xml:space="preserve"> </w:t>
      </w:r>
      <w:r>
        <w:t>for</w:t>
      </w:r>
      <w:r>
        <w:rPr>
          <w:spacing w:val="-10"/>
        </w:rPr>
        <w:t xml:space="preserve"> </w:t>
      </w:r>
      <w:r>
        <w:t>foreign</w:t>
      </w:r>
      <w:r>
        <w:rPr>
          <w:spacing w:val="-6"/>
        </w:rPr>
        <w:t xml:space="preserve"> </w:t>
      </w:r>
      <w:r>
        <w:t>workers</w:t>
      </w:r>
      <w:r>
        <w:rPr>
          <w:spacing w:val="-9"/>
        </w:rPr>
        <w:t xml:space="preserve"> </w:t>
      </w:r>
      <w:r>
        <w:t>has</w:t>
      </w:r>
      <w:r>
        <w:rPr>
          <w:spacing w:val="-6"/>
        </w:rPr>
        <w:t xml:space="preserve"> </w:t>
      </w:r>
      <w:r>
        <w:t>been</w:t>
      </w:r>
      <w:r>
        <w:rPr>
          <w:spacing w:val="-6"/>
        </w:rPr>
        <w:t xml:space="preserve"> </w:t>
      </w:r>
      <w:r>
        <w:t>completely</w:t>
      </w:r>
      <w:r>
        <w:rPr>
          <w:spacing w:val="-12"/>
        </w:rPr>
        <w:t xml:space="preserve"> </w:t>
      </w:r>
      <w:r>
        <w:t>changed</w:t>
      </w:r>
      <w:r>
        <w:rPr>
          <w:spacing w:val="-1"/>
        </w:rPr>
        <w:t xml:space="preserve"> </w:t>
      </w:r>
      <w:r>
        <w:t>o</w:t>
      </w:r>
      <w:r>
        <w:rPr>
          <w:spacing w:val="-9"/>
        </w:rPr>
        <w:t xml:space="preserve"> </w:t>
      </w:r>
      <w:r>
        <w:t>manage</w:t>
      </w:r>
      <w:r>
        <w:rPr>
          <w:spacing w:val="-7"/>
        </w:rPr>
        <w:t xml:space="preserve"> </w:t>
      </w:r>
      <w:r>
        <w:t>migration</w:t>
      </w:r>
      <w:r>
        <w:rPr>
          <w:spacing w:val="-58"/>
        </w:rPr>
        <w:t xml:space="preserve"> </w:t>
      </w:r>
      <w:r>
        <w:t>and respond quickly to labour market developments. At the beginning of 2021, with the entry</w:t>
      </w:r>
      <w:r>
        <w:rPr>
          <w:spacing w:val="1"/>
        </w:rPr>
        <w:t xml:space="preserve"> </w:t>
      </w:r>
      <w:r>
        <w:t>into force of the new Aliens Act, a new model of employing foreign workers was established -</w:t>
      </w:r>
      <w:r>
        <w:rPr>
          <w:spacing w:val="-57"/>
        </w:rPr>
        <w:t xml:space="preserve"> </w:t>
      </w:r>
      <w:r>
        <w:rPr>
          <w:spacing w:val="-1"/>
        </w:rPr>
        <w:t>instead</w:t>
      </w:r>
      <w:r>
        <w:rPr>
          <w:spacing w:val="-15"/>
        </w:rPr>
        <w:t xml:space="preserve"> </w:t>
      </w:r>
      <w:r>
        <w:rPr>
          <w:spacing w:val="-1"/>
        </w:rPr>
        <w:t>of</w:t>
      </w:r>
      <w:r>
        <w:rPr>
          <w:spacing w:val="-16"/>
        </w:rPr>
        <w:t xml:space="preserve"> </w:t>
      </w:r>
      <w:r>
        <w:rPr>
          <w:spacing w:val="-1"/>
        </w:rPr>
        <w:t>the</w:t>
      </w:r>
      <w:r>
        <w:rPr>
          <w:spacing w:val="-16"/>
        </w:rPr>
        <w:t xml:space="preserve"> </w:t>
      </w:r>
      <w:r>
        <w:rPr>
          <w:spacing w:val="-1"/>
        </w:rPr>
        <w:t>current</w:t>
      </w:r>
      <w:r>
        <w:rPr>
          <w:spacing w:val="-14"/>
        </w:rPr>
        <w:t xml:space="preserve"> </w:t>
      </w:r>
      <w:r>
        <w:t>quota</w:t>
      </w:r>
      <w:r>
        <w:rPr>
          <w:spacing w:val="-15"/>
        </w:rPr>
        <w:t xml:space="preserve"> </w:t>
      </w:r>
      <w:r>
        <w:t>system,</w:t>
      </w:r>
      <w:r>
        <w:rPr>
          <w:spacing w:val="-14"/>
        </w:rPr>
        <w:t xml:space="preserve"> </w:t>
      </w:r>
      <w:r>
        <w:t>a</w:t>
      </w:r>
      <w:r>
        <w:rPr>
          <w:spacing w:val="-16"/>
        </w:rPr>
        <w:t xml:space="preserve"> </w:t>
      </w:r>
      <w:r>
        <w:t>labour</w:t>
      </w:r>
      <w:r>
        <w:rPr>
          <w:spacing w:val="-16"/>
        </w:rPr>
        <w:t xml:space="preserve"> </w:t>
      </w:r>
      <w:r>
        <w:t>market</w:t>
      </w:r>
      <w:r>
        <w:rPr>
          <w:spacing w:val="-14"/>
        </w:rPr>
        <w:t xml:space="preserve"> </w:t>
      </w:r>
      <w:r>
        <w:t>test</w:t>
      </w:r>
      <w:r>
        <w:rPr>
          <w:spacing w:val="-15"/>
        </w:rPr>
        <w:t xml:space="preserve"> </w:t>
      </w:r>
      <w:r>
        <w:t>was</w:t>
      </w:r>
      <w:r>
        <w:rPr>
          <w:spacing w:val="-15"/>
        </w:rPr>
        <w:t xml:space="preserve"> </w:t>
      </w:r>
      <w:r>
        <w:t>introduced</w:t>
      </w:r>
      <w:r>
        <w:rPr>
          <w:spacing w:val="-14"/>
        </w:rPr>
        <w:t xml:space="preserve"> </w:t>
      </w:r>
      <w:r>
        <w:t>to</w:t>
      </w:r>
      <w:r>
        <w:rPr>
          <w:spacing w:val="-14"/>
        </w:rPr>
        <w:t xml:space="preserve"> </w:t>
      </w:r>
      <w:r>
        <w:t>check</w:t>
      </w:r>
      <w:r>
        <w:rPr>
          <w:spacing w:val="-15"/>
        </w:rPr>
        <w:t xml:space="preserve"> </w:t>
      </w:r>
      <w:r>
        <w:t>whether</w:t>
      </w:r>
      <w:r>
        <w:rPr>
          <w:spacing w:val="-13"/>
        </w:rPr>
        <w:t xml:space="preserve"> </w:t>
      </w:r>
      <w:r>
        <w:t>sought</w:t>
      </w:r>
      <w:r>
        <w:rPr>
          <w:spacing w:val="-57"/>
        </w:rPr>
        <w:t xml:space="preserve"> </w:t>
      </w:r>
      <w:r>
        <w:t>workers who fulfil the conditions set by the employer can be found on the labour market. For</w:t>
      </w:r>
      <w:r>
        <w:rPr>
          <w:spacing w:val="1"/>
        </w:rPr>
        <w:t xml:space="preserve"> </w:t>
      </w:r>
      <w:r>
        <w:t>the</w:t>
      </w:r>
      <w:r>
        <w:rPr>
          <w:spacing w:val="-7"/>
        </w:rPr>
        <w:t xml:space="preserve"> </w:t>
      </w:r>
      <w:r>
        <w:t>first</w:t>
      </w:r>
      <w:r>
        <w:rPr>
          <w:spacing w:val="-5"/>
        </w:rPr>
        <w:t xml:space="preserve"> </w:t>
      </w:r>
      <w:r>
        <w:t>time,</w:t>
      </w:r>
      <w:r>
        <w:rPr>
          <w:spacing w:val="-6"/>
        </w:rPr>
        <w:t xml:space="preserve"> </w:t>
      </w:r>
      <w:r>
        <w:t>the</w:t>
      </w:r>
      <w:r>
        <w:rPr>
          <w:spacing w:val="-6"/>
        </w:rPr>
        <w:t xml:space="preserve"> </w:t>
      </w:r>
      <w:r>
        <w:t>law</w:t>
      </w:r>
      <w:r>
        <w:rPr>
          <w:spacing w:val="-6"/>
        </w:rPr>
        <w:t xml:space="preserve"> </w:t>
      </w:r>
      <w:r>
        <w:t>prescribes</w:t>
      </w:r>
      <w:r>
        <w:rPr>
          <w:spacing w:val="-5"/>
        </w:rPr>
        <w:t xml:space="preserve"> </w:t>
      </w:r>
      <w:r>
        <w:t>the</w:t>
      </w:r>
      <w:r>
        <w:rPr>
          <w:spacing w:val="-6"/>
        </w:rPr>
        <w:t xml:space="preserve"> </w:t>
      </w:r>
      <w:r>
        <w:t>possibility</w:t>
      </w:r>
      <w:r>
        <w:rPr>
          <w:spacing w:val="-12"/>
        </w:rPr>
        <w:t xml:space="preserve"> </w:t>
      </w:r>
      <w:r>
        <w:t>of</w:t>
      </w:r>
      <w:r>
        <w:rPr>
          <w:spacing w:val="-6"/>
        </w:rPr>
        <w:t xml:space="preserve"> </w:t>
      </w:r>
      <w:r>
        <w:t>regulating</w:t>
      </w:r>
      <w:r>
        <w:rPr>
          <w:spacing w:val="-7"/>
        </w:rPr>
        <w:t xml:space="preserve"> </w:t>
      </w:r>
      <w:r>
        <w:t>temporary</w:t>
      </w:r>
      <w:r>
        <w:rPr>
          <w:spacing w:val="-7"/>
        </w:rPr>
        <w:t xml:space="preserve"> </w:t>
      </w:r>
      <w:r>
        <w:t>residence,</w:t>
      </w:r>
      <w:r>
        <w:rPr>
          <w:spacing w:val="-5"/>
        </w:rPr>
        <w:t xml:space="preserve"> </w:t>
      </w:r>
      <w:r>
        <w:t>the</w:t>
      </w:r>
      <w:r>
        <w:rPr>
          <w:spacing w:val="-6"/>
        </w:rPr>
        <w:t xml:space="preserve"> </w:t>
      </w:r>
      <w:r>
        <w:t>so-called</w:t>
      </w:r>
      <w:r>
        <w:rPr>
          <w:spacing w:val="-57"/>
        </w:rPr>
        <w:t xml:space="preserve"> </w:t>
      </w:r>
      <w:r>
        <w:t>digital</w:t>
      </w:r>
      <w:r>
        <w:rPr>
          <w:spacing w:val="-1"/>
        </w:rPr>
        <w:t xml:space="preserve"> </w:t>
      </w:r>
      <w:r>
        <w:t>nomads, i.e.,</w:t>
      </w:r>
      <w:r>
        <w:rPr>
          <w:spacing w:val="-1"/>
        </w:rPr>
        <w:t xml:space="preserve"> </w:t>
      </w:r>
      <w:r>
        <w:t>third-country</w:t>
      </w:r>
      <w:r>
        <w:rPr>
          <w:spacing w:val="-5"/>
        </w:rPr>
        <w:t xml:space="preserve"> </w:t>
      </w:r>
      <w:r>
        <w:t>nationals</w:t>
      </w:r>
      <w:r>
        <w:rPr>
          <w:spacing w:val="-1"/>
        </w:rPr>
        <w:t xml:space="preserve"> </w:t>
      </w:r>
      <w:r>
        <w:t>doing</w:t>
      </w:r>
      <w:r>
        <w:rPr>
          <w:spacing w:val="-1"/>
        </w:rPr>
        <w:t xml:space="preserve"> </w:t>
      </w:r>
      <w:r>
        <w:t>business</w:t>
      </w:r>
      <w:r>
        <w:rPr>
          <w:spacing w:val="-1"/>
        </w:rPr>
        <w:t xml:space="preserve"> </w:t>
      </w:r>
      <w:r>
        <w:t>digitally</w:t>
      </w:r>
      <w:r>
        <w:rPr>
          <w:spacing w:val="-3"/>
        </w:rPr>
        <w:t xml:space="preserve"> </w:t>
      </w:r>
      <w:r>
        <w:t>for</w:t>
      </w:r>
      <w:r>
        <w:rPr>
          <w:spacing w:val="-3"/>
        </w:rPr>
        <w:t xml:space="preserve"> </w:t>
      </w:r>
      <w:r>
        <w:t>foreign</w:t>
      </w:r>
      <w:r>
        <w:rPr>
          <w:spacing w:val="2"/>
        </w:rPr>
        <w:t xml:space="preserve"> </w:t>
      </w:r>
      <w:r>
        <w:t>employers.</w:t>
      </w:r>
    </w:p>
    <w:p w:rsidR="00A56FE9" w:rsidRDefault="00000000">
      <w:pPr>
        <w:spacing w:before="120"/>
        <w:ind w:left="138" w:right="272"/>
        <w:jc w:val="both"/>
        <w:rPr>
          <w:b/>
          <w:sz w:val="24"/>
        </w:rPr>
      </w:pPr>
      <w:r>
        <w:rPr>
          <w:sz w:val="24"/>
        </w:rPr>
        <w:t>From 1 January 2021, online applications for certain categories of residence and work permits</w:t>
      </w:r>
      <w:r>
        <w:rPr>
          <w:spacing w:val="-57"/>
          <w:sz w:val="24"/>
        </w:rPr>
        <w:t xml:space="preserve"> </w:t>
      </w:r>
      <w:r>
        <w:rPr>
          <w:sz w:val="24"/>
        </w:rPr>
        <w:t>have been introduced, a significant change compared to the current way of doing things. Also,</w:t>
      </w:r>
      <w:r>
        <w:rPr>
          <w:spacing w:val="-57"/>
          <w:sz w:val="24"/>
        </w:rPr>
        <w:t xml:space="preserve"> </w:t>
      </w:r>
      <w:r>
        <w:rPr>
          <w:sz w:val="24"/>
        </w:rPr>
        <w:t>in</w:t>
      </w:r>
      <w:r>
        <w:rPr>
          <w:spacing w:val="18"/>
          <w:sz w:val="24"/>
        </w:rPr>
        <w:t xml:space="preserve"> </w:t>
      </w:r>
      <w:r>
        <w:rPr>
          <w:sz w:val="24"/>
        </w:rPr>
        <w:t>2022,</w:t>
      </w:r>
      <w:r>
        <w:rPr>
          <w:spacing w:val="18"/>
          <w:sz w:val="24"/>
        </w:rPr>
        <w:t xml:space="preserve"> </w:t>
      </w:r>
      <w:r>
        <w:rPr>
          <w:b/>
          <w:sz w:val="24"/>
        </w:rPr>
        <w:t>the</w:t>
      </w:r>
      <w:r>
        <w:rPr>
          <w:b/>
          <w:spacing w:val="18"/>
          <w:sz w:val="24"/>
        </w:rPr>
        <w:t xml:space="preserve"> </w:t>
      </w:r>
      <w:r>
        <w:rPr>
          <w:b/>
          <w:sz w:val="24"/>
        </w:rPr>
        <w:t>plan</w:t>
      </w:r>
      <w:r>
        <w:rPr>
          <w:b/>
          <w:spacing w:val="19"/>
          <w:sz w:val="24"/>
        </w:rPr>
        <w:t xml:space="preserve"> </w:t>
      </w:r>
      <w:r>
        <w:rPr>
          <w:b/>
          <w:sz w:val="24"/>
        </w:rPr>
        <w:t>is</w:t>
      </w:r>
      <w:r>
        <w:rPr>
          <w:b/>
          <w:spacing w:val="20"/>
          <w:sz w:val="24"/>
        </w:rPr>
        <w:t xml:space="preserve"> </w:t>
      </w:r>
      <w:r>
        <w:rPr>
          <w:b/>
          <w:sz w:val="24"/>
        </w:rPr>
        <w:t>to</w:t>
      </w:r>
      <w:r>
        <w:rPr>
          <w:b/>
          <w:spacing w:val="17"/>
          <w:sz w:val="24"/>
        </w:rPr>
        <w:t xml:space="preserve"> </w:t>
      </w:r>
      <w:r>
        <w:rPr>
          <w:b/>
          <w:sz w:val="24"/>
        </w:rPr>
        <w:t>introduce</w:t>
      </w:r>
      <w:r>
        <w:rPr>
          <w:b/>
          <w:spacing w:val="18"/>
          <w:sz w:val="24"/>
        </w:rPr>
        <w:t xml:space="preserve"> </w:t>
      </w:r>
      <w:r>
        <w:rPr>
          <w:b/>
          <w:sz w:val="24"/>
        </w:rPr>
        <w:t>an</w:t>
      </w:r>
      <w:r>
        <w:rPr>
          <w:b/>
          <w:spacing w:val="18"/>
          <w:sz w:val="24"/>
        </w:rPr>
        <w:t xml:space="preserve"> </w:t>
      </w:r>
      <w:r>
        <w:rPr>
          <w:b/>
          <w:sz w:val="24"/>
        </w:rPr>
        <w:t>online</w:t>
      </w:r>
      <w:r>
        <w:rPr>
          <w:b/>
          <w:spacing w:val="18"/>
          <w:sz w:val="24"/>
        </w:rPr>
        <w:t xml:space="preserve"> </w:t>
      </w:r>
      <w:r>
        <w:rPr>
          <w:b/>
          <w:sz w:val="24"/>
        </w:rPr>
        <w:t>application</w:t>
      </w:r>
      <w:r>
        <w:rPr>
          <w:b/>
          <w:spacing w:val="23"/>
          <w:sz w:val="24"/>
        </w:rPr>
        <w:t xml:space="preserve"> </w:t>
      </w:r>
      <w:r>
        <w:rPr>
          <w:b/>
          <w:sz w:val="24"/>
        </w:rPr>
        <w:t>approach</w:t>
      </w:r>
      <w:r>
        <w:rPr>
          <w:b/>
          <w:spacing w:val="20"/>
          <w:sz w:val="24"/>
        </w:rPr>
        <w:t xml:space="preserve"> </w:t>
      </w:r>
      <w:r>
        <w:rPr>
          <w:b/>
          <w:sz w:val="24"/>
        </w:rPr>
        <w:t>for</w:t>
      </w:r>
      <w:r>
        <w:rPr>
          <w:b/>
          <w:spacing w:val="17"/>
          <w:sz w:val="24"/>
        </w:rPr>
        <w:t xml:space="preserve"> </w:t>
      </w:r>
      <w:r>
        <w:rPr>
          <w:b/>
          <w:sz w:val="24"/>
        </w:rPr>
        <w:t>the</w:t>
      </w:r>
      <w:r>
        <w:rPr>
          <w:b/>
          <w:spacing w:val="17"/>
          <w:sz w:val="24"/>
        </w:rPr>
        <w:t xml:space="preserve"> </w:t>
      </w:r>
      <w:r>
        <w:rPr>
          <w:b/>
          <w:sz w:val="24"/>
        </w:rPr>
        <w:t>work</w:t>
      </w:r>
      <w:r>
        <w:rPr>
          <w:b/>
          <w:spacing w:val="21"/>
          <w:sz w:val="24"/>
        </w:rPr>
        <w:t xml:space="preserve"> </w:t>
      </w:r>
      <w:r>
        <w:rPr>
          <w:b/>
          <w:sz w:val="24"/>
        </w:rPr>
        <w:t>involving</w:t>
      </w:r>
    </w:p>
    <w:p w:rsidR="00A56FE9" w:rsidRDefault="00A56FE9">
      <w:pPr>
        <w:pStyle w:val="Tijeloteksta"/>
        <w:ind w:left="0"/>
        <w:jc w:val="left"/>
        <w:rPr>
          <w:b/>
          <w:sz w:val="20"/>
        </w:rPr>
      </w:pPr>
    </w:p>
    <w:p w:rsidR="00A56FE9" w:rsidRDefault="00A56FE9">
      <w:pPr>
        <w:pStyle w:val="Tijeloteksta"/>
        <w:ind w:left="0"/>
        <w:jc w:val="left"/>
        <w:rPr>
          <w:b/>
          <w:sz w:val="20"/>
        </w:rPr>
      </w:pPr>
    </w:p>
    <w:p w:rsidR="00A56FE9" w:rsidRDefault="00CC1B9B">
      <w:pPr>
        <w:pStyle w:val="Tijeloteksta"/>
        <w:spacing w:before="10"/>
        <w:ind w:left="0"/>
        <w:jc w:val="left"/>
        <w:rPr>
          <w:b/>
          <w:sz w:val="23"/>
        </w:rPr>
      </w:pPr>
      <w:r>
        <w:rPr>
          <w:noProof/>
        </w:rPr>
        <mc:AlternateContent>
          <mc:Choice Requires="wps">
            <w:drawing>
              <wp:anchor distT="0" distB="0" distL="0" distR="0" simplePos="0" relativeHeight="487692800" behindDoc="1" locked="0" layoutInCell="1" allowOverlap="1">
                <wp:simplePos x="0" y="0"/>
                <wp:positionH relativeFrom="page">
                  <wp:posOffset>901065</wp:posOffset>
                </wp:positionH>
                <wp:positionV relativeFrom="paragraph">
                  <wp:posOffset>199390</wp:posOffset>
                </wp:positionV>
                <wp:extent cx="1828800" cy="7620"/>
                <wp:effectExtent l="0" t="0" r="0" b="0"/>
                <wp:wrapTopAndBottom/>
                <wp:docPr id="167479501"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58111" id="Rectangle 38" o:spid="_x0000_s1026" style="position:absolute;margin-left:70.95pt;margin-top:15.7pt;width:2in;height:.6pt;z-index:-15623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45</w:t>
      </w:r>
      <w:r>
        <w:rPr>
          <w:spacing w:val="-1"/>
          <w:sz w:val="16"/>
        </w:rPr>
        <w:t xml:space="preserve"> </w:t>
      </w:r>
      <w:r>
        <w:rPr>
          <w:sz w:val="16"/>
        </w:rPr>
        <w:t>OG</w:t>
      </w:r>
      <w:r>
        <w:rPr>
          <w:spacing w:val="-3"/>
          <w:sz w:val="16"/>
        </w:rPr>
        <w:t xml:space="preserve"> </w:t>
      </w:r>
      <w:r>
        <w:rPr>
          <w:sz w:val="16"/>
        </w:rPr>
        <w:t>17/19</w:t>
      </w:r>
    </w:p>
    <w:p w:rsidR="00A56FE9" w:rsidRDefault="00A56FE9">
      <w:pPr>
        <w:rPr>
          <w:sz w:val="16"/>
        </w:rPr>
        <w:sectPr w:rsidR="00A56FE9" w:rsidSect="00AB1E70">
          <w:footerReference w:type="default" r:id="rId13"/>
          <w:pgSz w:w="11910" w:h="16840"/>
          <w:pgMar w:top="1160" w:right="1140" w:bottom="880" w:left="1280" w:header="0" w:footer="699" w:gutter="0"/>
          <w:pgNumType w:start="98"/>
          <w:cols w:space="720"/>
        </w:sectPr>
      </w:pPr>
    </w:p>
    <w:p w:rsidR="00A56FE9" w:rsidRDefault="00000000">
      <w:pPr>
        <w:pStyle w:val="Naslov5"/>
        <w:spacing w:before="79"/>
        <w:ind w:right="283"/>
      </w:pPr>
      <w:r>
        <w:t>additional categories of persons (seasonal work up to 90 days) and the purchase of IT</w:t>
      </w:r>
      <w:r>
        <w:rPr>
          <w:spacing w:val="1"/>
        </w:rPr>
        <w:t xml:space="preserve"> </w:t>
      </w:r>
      <w:r>
        <w:t>equipment</w:t>
      </w:r>
      <w:r>
        <w:rPr>
          <w:spacing w:val="-1"/>
        </w:rPr>
        <w:t xml:space="preserve"> </w:t>
      </w:r>
      <w:r>
        <w:t>through EU funds.</w:t>
      </w:r>
    </w:p>
    <w:p w:rsidR="00A56FE9" w:rsidRDefault="00000000">
      <w:pPr>
        <w:pStyle w:val="Tijeloteksta"/>
        <w:spacing w:before="115"/>
        <w:ind w:right="272"/>
      </w:pPr>
      <w:r>
        <w:t>In the field of international protection, there was a record number of received requests in 2021</w:t>
      </w:r>
      <w:r>
        <w:rPr>
          <w:spacing w:val="-57"/>
        </w:rPr>
        <w:t xml:space="preserve"> </w:t>
      </w:r>
      <w:r>
        <w:t>for international protection and requests to determine the responsibility of member states in</w:t>
      </w:r>
      <w:r>
        <w:rPr>
          <w:spacing w:val="1"/>
        </w:rPr>
        <w:t xml:space="preserve"> </w:t>
      </w:r>
      <w:r>
        <w:t>considering such requests. Given the political and security situation in Afghanistan, a legal</w:t>
      </w:r>
      <w:r>
        <w:rPr>
          <w:spacing w:val="1"/>
        </w:rPr>
        <w:t xml:space="preserve"> </w:t>
      </w:r>
      <w:r>
        <w:t>route</w:t>
      </w:r>
      <w:r>
        <w:rPr>
          <w:spacing w:val="-3"/>
        </w:rPr>
        <w:t xml:space="preserve"> </w:t>
      </w:r>
      <w:r>
        <w:t>has</w:t>
      </w:r>
      <w:r>
        <w:rPr>
          <w:spacing w:val="-1"/>
        </w:rPr>
        <w:t xml:space="preserve"> </w:t>
      </w:r>
      <w:r>
        <w:t>been</w:t>
      </w:r>
      <w:r>
        <w:rPr>
          <w:spacing w:val="-1"/>
        </w:rPr>
        <w:t xml:space="preserve"> </w:t>
      </w:r>
      <w:r>
        <w:t>provided</w:t>
      </w:r>
      <w:r>
        <w:rPr>
          <w:spacing w:val="-1"/>
        </w:rPr>
        <w:t xml:space="preserve"> </w:t>
      </w:r>
      <w:r>
        <w:t>for</w:t>
      </w:r>
      <w:r>
        <w:rPr>
          <w:spacing w:val="-1"/>
        </w:rPr>
        <w:t xml:space="preserve"> </w:t>
      </w:r>
      <w:r>
        <w:t>vulnerable Afghan</w:t>
      </w:r>
      <w:r>
        <w:rPr>
          <w:spacing w:val="1"/>
        </w:rPr>
        <w:t xml:space="preserve"> </w:t>
      </w:r>
      <w:r>
        <w:t>citizens</w:t>
      </w:r>
      <w:r>
        <w:rPr>
          <w:spacing w:val="-1"/>
        </w:rPr>
        <w:t xml:space="preserve"> </w:t>
      </w:r>
      <w:r>
        <w:t>in</w:t>
      </w:r>
      <w:r>
        <w:rPr>
          <w:spacing w:val="-1"/>
        </w:rPr>
        <w:t xml:space="preserve"> </w:t>
      </w:r>
      <w:r>
        <w:t>need of</w:t>
      </w:r>
      <w:r>
        <w:rPr>
          <w:spacing w:val="-1"/>
        </w:rPr>
        <w:t xml:space="preserve"> </w:t>
      </w:r>
      <w:r>
        <w:t>international</w:t>
      </w:r>
      <w:r>
        <w:rPr>
          <w:spacing w:val="-1"/>
        </w:rPr>
        <w:t xml:space="preserve"> </w:t>
      </w:r>
      <w:r>
        <w:t>protection.</w:t>
      </w:r>
    </w:p>
    <w:p w:rsidR="00A56FE9" w:rsidRDefault="00000000">
      <w:pPr>
        <w:pStyle w:val="Tijeloteksta"/>
        <w:spacing w:before="121"/>
        <w:ind w:right="271"/>
      </w:pPr>
      <w:r>
        <w:t>In terms of the project Establishment of the Relocation Mechanism (value: EUR 25,000), the</w:t>
      </w:r>
      <w:r>
        <w:rPr>
          <w:spacing w:val="1"/>
        </w:rPr>
        <w:t xml:space="preserve"> </w:t>
      </w:r>
      <w:r>
        <w:t>mobile application (Re)Settle in Croatia was published in 2021, providing information on the</w:t>
      </w:r>
      <w:r>
        <w:rPr>
          <w:spacing w:val="1"/>
        </w:rPr>
        <w:t xml:space="preserve"> </w:t>
      </w:r>
      <w:r>
        <w:t>resettlement</w:t>
      </w:r>
      <w:r>
        <w:rPr>
          <w:spacing w:val="-7"/>
        </w:rPr>
        <w:t xml:space="preserve"> </w:t>
      </w:r>
      <w:r>
        <w:t>process</w:t>
      </w:r>
      <w:r>
        <w:rPr>
          <w:spacing w:val="-6"/>
        </w:rPr>
        <w:t xml:space="preserve"> </w:t>
      </w:r>
      <w:r>
        <w:t>and</w:t>
      </w:r>
      <w:r>
        <w:rPr>
          <w:spacing w:val="-5"/>
        </w:rPr>
        <w:t xml:space="preserve"> </w:t>
      </w:r>
      <w:r>
        <w:t>life</w:t>
      </w:r>
      <w:r>
        <w:rPr>
          <w:spacing w:val="-8"/>
        </w:rPr>
        <w:t xml:space="preserve"> </w:t>
      </w:r>
      <w:r>
        <w:t>in</w:t>
      </w:r>
      <w:r>
        <w:rPr>
          <w:spacing w:val="-7"/>
        </w:rPr>
        <w:t xml:space="preserve"> </w:t>
      </w:r>
      <w:r>
        <w:t>Croatia;</w:t>
      </w:r>
      <w:r>
        <w:rPr>
          <w:spacing w:val="-6"/>
        </w:rPr>
        <w:t xml:space="preserve"> </w:t>
      </w:r>
      <w:r>
        <w:t>translated</w:t>
      </w:r>
      <w:r>
        <w:rPr>
          <w:spacing w:val="-5"/>
        </w:rPr>
        <w:t xml:space="preserve"> </w:t>
      </w:r>
      <w:r>
        <w:t>into</w:t>
      </w:r>
      <w:r>
        <w:rPr>
          <w:spacing w:val="-6"/>
        </w:rPr>
        <w:t xml:space="preserve"> </w:t>
      </w:r>
      <w:r>
        <w:t>three</w:t>
      </w:r>
      <w:r>
        <w:rPr>
          <w:spacing w:val="-7"/>
        </w:rPr>
        <w:t xml:space="preserve"> </w:t>
      </w:r>
      <w:r>
        <w:t>languages</w:t>
      </w:r>
      <w:r>
        <w:rPr>
          <w:spacing w:val="-4"/>
        </w:rPr>
        <w:t xml:space="preserve"> </w:t>
      </w:r>
      <w:r>
        <w:t>(English,</w:t>
      </w:r>
      <w:r>
        <w:rPr>
          <w:spacing w:val="-6"/>
        </w:rPr>
        <w:t xml:space="preserve"> </w:t>
      </w:r>
      <w:r>
        <w:t>Kurmanji</w:t>
      </w:r>
      <w:r>
        <w:rPr>
          <w:spacing w:val="-7"/>
        </w:rPr>
        <w:t xml:space="preserve"> </w:t>
      </w:r>
      <w:r>
        <w:t>and</w:t>
      </w:r>
      <w:r>
        <w:rPr>
          <w:spacing w:val="-57"/>
        </w:rPr>
        <w:t xml:space="preserve"> </w:t>
      </w:r>
      <w:r>
        <w:t>Arabic). In 2022, the implementation of projects co-financed by the national program for</w:t>
      </w:r>
      <w:r>
        <w:rPr>
          <w:spacing w:val="1"/>
        </w:rPr>
        <w:t xml:space="preserve"> </w:t>
      </w:r>
      <w:r>
        <w:t>Asylum, Migration and Integration Fund (AMIF) will continue and relates to the inclusion of</w:t>
      </w:r>
      <w:r>
        <w:rPr>
          <w:spacing w:val="1"/>
        </w:rPr>
        <w:t xml:space="preserve"> </w:t>
      </w:r>
      <w:r>
        <w:t>persons with approved international protection in Croatian society (implemented by NGOs,</w:t>
      </w:r>
      <w:r>
        <w:rPr>
          <w:spacing w:val="1"/>
        </w:rPr>
        <w:t xml:space="preserve"> </w:t>
      </w:r>
      <w:r>
        <w:t>value: EUR 1.9 million); providing free legal aid in the procedure of granting international</w:t>
      </w:r>
      <w:r>
        <w:rPr>
          <w:spacing w:val="1"/>
        </w:rPr>
        <w:t xml:space="preserve"> </w:t>
      </w:r>
      <w:r>
        <w:t>protection</w:t>
      </w:r>
      <w:r>
        <w:rPr>
          <w:spacing w:val="1"/>
        </w:rPr>
        <w:t xml:space="preserve"> </w:t>
      </w:r>
      <w:r>
        <w:t>(value:</w:t>
      </w:r>
      <w:r>
        <w:rPr>
          <w:spacing w:val="1"/>
        </w:rPr>
        <w:t xml:space="preserve"> </w:t>
      </w:r>
      <w:r>
        <w:t>EUR</w:t>
      </w:r>
      <w:r>
        <w:rPr>
          <w:spacing w:val="1"/>
        </w:rPr>
        <w:t xml:space="preserve"> </w:t>
      </w:r>
      <w:r>
        <w:t>373,000);</w:t>
      </w:r>
      <w:r>
        <w:rPr>
          <w:spacing w:val="1"/>
        </w:rPr>
        <w:t xml:space="preserve"> </w:t>
      </w:r>
      <w:r>
        <w:t>providing</w:t>
      </w:r>
      <w:r>
        <w:rPr>
          <w:spacing w:val="1"/>
        </w:rPr>
        <w:t xml:space="preserve"> </w:t>
      </w:r>
      <w:r>
        <w:t>legal</w:t>
      </w:r>
      <w:r>
        <w:rPr>
          <w:spacing w:val="1"/>
        </w:rPr>
        <w:t xml:space="preserve"> </w:t>
      </w:r>
      <w:r>
        <w:t>advice</w:t>
      </w:r>
      <w:r>
        <w:rPr>
          <w:spacing w:val="1"/>
        </w:rPr>
        <w:t xml:space="preserve"> </w:t>
      </w:r>
      <w:r>
        <w:t>in</w:t>
      </w:r>
      <w:r>
        <w:rPr>
          <w:spacing w:val="1"/>
        </w:rPr>
        <w:t xml:space="preserve"> </w:t>
      </w:r>
      <w:r>
        <w:t>the</w:t>
      </w:r>
      <w:r>
        <w:rPr>
          <w:spacing w:val="1"/>
        </w:rPr>
        <w:t xml:space="preserve"> </w:t>
      </w:r>
      <w:r>
        <w:t>procedure</w:t>
      </w:r>
      <w:r>
        <w:rPr>
          <w:spacing w:val="1"/>
        </w:rPr>
        <w:t xml:space="preserve"> </w:t>
      </w:r>
      <w:r>
        <w:t>of</w:t>
      </w:r>
      <w:r>
        <w:rPr>
          <w:spacing w:val="1"/>
        </w:rPr>
        <w:t xml:space="preserve"> </w:t>
      </w:r>
      <w:r>
        <w:t>granting</w:t>
      </w:r>
      <w:r>
        <w:rPr>
          <w:spacing w:val="1"/>
        </w:rPr>
        <w:t xml:space="preserve"> </w:t>
      </w:r>
      <w:r>
        <w:t>international</w:t>
      </w:r>
      <w:r>
        <w:rPr>
          <w:spacing w:val="1"/>
        </w:rPr>
        <w:t xml:space="preserve"> </w:t>
      </w:r>
      <w:r>
        <w:t>protection</w:t>
      </w:r>
      <w:r>
        <w:rPr>
          <w:spacing w:val="1"/>
        </w:rPr>
        <w:t xml:space="preserve"> </w:t>
      </w:r>
      <w:r>
        <w:t>(value:</w:t>
      </w:r>
      <w:r>
        <w:rPr>
          <w:spacing w:val="1"/>
        </w:rPr>
        <w:t xml:space="preserve"> </w:t>
      </w:r>
      <w:r>
        <w:t>EUR</w:t>
      </w:r>
      <w:r>
        <w:rPr>
          <w:spacing w:val="1"/>
        </w:rPr>
        <w:t xml:space="preserve"> </w:t>
      </w:r>
      <w:r>
        <w:t>98,250);</w:t>
      </w:r>
      <w:r>
        <w:rPr>
          <w:spacing w:val="1"/>
        </w:rPr>
        <w:t xml:space="preserve"> </w:t>
      </w:r>
      <w:r>
        <w:t>provision</w:t>
      </w:r>
      <w:r>
        <w:rPr>
          <w:spacing w:val="1"/>
        </w:rPr>
        <w:t xml:space="preserve"> </w:t>
      </w:r>
      <w:r>
        <w:t>of</w:t>
      </w:r>
      <w:r>
        <w:rPr>
          <w:spacing w:val="1"/>
        </w:rPr>
        <w:t xml:space="preserve"> </w:t>
      </w:r>
      <w:r>
        <w:t>translation</w:t>
      </w:r>
      <w:r>
        <w:rPr>
          <w:spacing w:val="1"/>
        </w:rPr>
        <w:t xml:space="preserve"> </w:t>
      </w:r>
      <w:r>
        <w:t>services</w:t>
      </w:r>
      <w:r>
        <w:rPr>
          <w:spacing w:val="1"/>
        </w:rPr>
        <w:t xml:space="preserve"> </w:t>
      </w:r>
      <w:r>
        <w:t>during</w:t>
      </w:r>
      <w:r>
        <w:rPr>
          <w:spacing w:val="1"/>
        </w:rPr>
        <w:t xml:space="preserve"> </w:t>
      </w:r>
      <w:r>
        <w:t>integration</w:t>
      </w:r>
      <w:r>
        <w:rPr>
          <w:spacing w:val="-1"/>
        </w:rPr>
        <w:t xml:space="preserve"> </w:t>
      </w:r>
      <w:r>
        <w:t>assistance</w:t>
      </w:r>
      <w:r>
        <w:rPr>
          <w:spacing w:val="-1"/>
        </w:rPr>
        <w:t xml:space="preserve"> </w:t>
      </w:r>
      <w:r>
        <w:t>(value: EUR 68,000).</w:t>
      </w:r>
    </w:p>
    <w:p w:rsidR="00A56FE9" w:rsidRDefault="00000000">
      <w:pPr>
        <w:spacing w:before="120"/>
        <w:ind w:left="138" w:right="274"/>
        <w:jc w:val="both"/>
        <w:rPr>
          <w:sz w:val="24"/>
        </w:rPr>
      </w:pPr>
      <w:r>
        <w:rPr>
          <w:sz w:val="24"/>
        </w:rPr>
        <w:t>In</w:t>
      </w:r>
      <w:r>
        <w:rPr>
          <w:spacing w:val="1"/>
          <w:sz w:val="24"/>
        </w:rPr>
        <w:t xml:space="preserve"> </w:t>
      </w:r>
      <w:r>
        <w:rPr>
          <w:sz w:val="24"/>
        </w:rPr>
        <w:t>2022,</w:t>
      </w:r>
      <w:r>
        <w:rPr>
          <w:spacing w:val="1"/>
          <w:sz w:val="24"/>
        </w:rPr>
        <w:t xml:space="preserve"> </w:t>
      </w:r>
      <w:r>
        <w:rPr>
          <w:sz w:val="24"/>
        </w:rPr>
        <w:t>the</w:t>
      </w:r>
      <w:r>
        <w:rPr>
          <w:spacing w:val="1"/>
          <w:sz w:val="24"/>
        </w:rPr>
        <w:t xml:space="preserve"> </w:t>
      </w:r>
      <w:r>
        <w:rPr>
          <w:b/>
          <w:sz w:val="24"/>
        </w:rPr>
        <w:t>RECORD</w:t>
      </w:r>
      <w:r>
        <w:rPr>
          <w:b/>
          <w:spacing w:val="1"/>
          <w:sz w:val="24"/>
        </w:rPr>
        <w:t xml:space="preserve"> </w:t>
      </w:r>
      <w:r>
        <w:rPr>
          <w:b/>
          <w:sz w:val="24"/>
        </w:rPr>
        <w:t>project</w:t>
      </w:r>
      <w:r>
        <w:rPr>
          <w:b/>
          <w:spacing w:val="1"/>
          <w:sz w:val="24"/>
        </w:rPr>
        <w:t xml:space="preserve"> </w:t>
      </w:r>
      <w:r>
        <w:rPr>
          <w:b/>
          <w:sz w:val="24"/>
        </w:rPr>
        <w:t>is</w:t>
      </w:r>
      <w:r>
        <w:rPr>
          <w:b/>
          <w:spacing w:val="1"/>
          <w:sz w:val="24"/>
        </w:rPr>
        <w:t xml:space="preserve"> </w:t>
      </w:r>
      <w:r>
        <w:rPr>
          <w:b/>
          <w:sz w:val="24"/>
        </w:rPr>
        <w:t>expected</w:t>
      </w:r>
      <w:r>
        <w:rPr>
          <w:b/>
          <w:spacing w:val="1"/>
          <w:sz w:val="24"/>
        </w:rPr>
        <w:t xml:space="preserve"> </w:t>
      </w:r>
      <w:r>
        <w:rPr>
          <w:b/>
          <w:sz w:val="24"/>
        </w:rPr>
        <w:t>to</w:t>
      </w:r>
      <w:r>
        <w:rPr>
          <w:b/>
          <w:spacing w:val="1"/>
          <w:sz w:val="24"/>
        </w:rPr>
        <w:t xml:space="preserve"> </w:t>
      </w:r>
      <w:r>
        <w:rPr>
          <w:b/>
          <w:sz w:val="24"/>
        </w:rPr>
        <w:t>be</w:t>
      </w:r>
      <w:r>
        <w:rPr>
          <w:b/>
          <w:spacing w:val="1"/>
          <w:sz w:val="24"/>
        </w:rPr>
        <w:t xml:space="preserve"> </w:t>
      </w:r>
      <w:r>
        <w:rPr>
          <w:b/>
          <w:sz w:val="24"/>
        </w:rPr>
        <w:t>implemented</w:t>
      </w:r>
      <w:r>
        <w:rPr>
          <w:b/>
          <w:spacing w:val="1"/>
          <w:sz w:val="24"/>
        </w:rPr>
        <w:t xml:space="preserve"> </w:t>
      </w:r>
      <w:r>
        <w:rPr>
          <w:b/>
          <w:sz w:val="24"/>
        </w:rPr>
        <w:t>-</w:t>
      </w:r>
      <w:r>
        <w:rPr>
          <w:b/>
          <w:spacing w:val="1"/>
          <w:sz w:val="24"/>
        </w:rPr>
        <w:t xml:space="preserve"> </w:t>
      </w:r>
      <w:r>
        <w:rPr>
          <w:b/>
          <w:sz w:val="24"/>
        </w:rPr>
        <w:t>development,</w:t>
      </w:r>
      <w:r>
        <w:rPr>
          <w:b/>
          <w:spacing w:val="-57"/>
          <w:sz w:val="24"/>
        </w:rPr>
        <w:t xml:space="preserve"> </w:t>
      </w:r>
      <w:r>
        <w:rPr>
          <w:b/>
          <w:sz w:val="24"/>
        </w:rPr>
        <w:t>implementation</w:t>
      </w:r>
      <w:r>
        <w:rPr>
          <w:b/>
          <w:spacing w:val="1"/>
          <w:sz w:val="24"/>
        </w:rPr>
        <w:t xml:space="preserve"> </w:t>
      </w:r>
      <w:r>
        <w:rPr>
          <w:b/>
          <w:sz w:val="24"/>
        </w:rPr>
        <w:t>and</w:t>
      </w:r>
      <w:r>
        <w:rPr>
          <w:b/>
          <w:spacing w:val="1"/>
          <w:sz w:val="24"/>
        </w:rPr>
        <w:t xml:space="preserve"> </w:t>
      </w:r>
      <w:r>
        <w:rPr>
          <w:b/>
          <w:sz w:val="24"/>
        </w:rPr>
        <w:t>maintenance</w:t>
      </w:r>
      <w:r>
        <w:rPr>
          <w:b/>
          <w:spacing w:val="1"/>
          <w:sz w:val="24"/>
        </w:rPr>
        <w:t xml:space="preserve"> </w:t>
      </w:r>
      <w:r>
        <w:rPr>
          <w:b/>
          <w:sz w:val="24"/>
        </w:rPr>
        <w:t>of</w:t>
      </w:r>
      <w:r>
        <w:rPr>
          <w:b/>
          <w:spacing w:val="1"/>
          <w:sz w:val="24"/>
        </w:rPr>
        <w:t xml:space="preserve"> </w:t>
      </w:r>
      <w:r>
        <w:rPr>
          <w:b/>
          <w:sz w:val="24"/>
        </w:rPr>
        <w:t>an</w:t>
      </w:r>
      <w:r>
        <w:rPr>
          <w:b/>
          <w:spacing w:val="1"/>
          <w:sz w:val="24"/>
        </w:rPr>
        <w:t xml:space="preserve"> </w:t>
      </w:r>
      <w:r>
        <w:rPr>
          <w:b/>
          <w:sz w:val="24"/>
        </w:rPr>
        <w:t>application</w:t>
      </w:r>
      <w:r>
        <w:rPr>
          <w:b/>
          <w:spacing w:val="1"/>
          <w:sz w:val="24"/>
        </w:rPr>
        <w:t xml:space="preserve"> </w:t>
      </w:r>
      <w:r>
        <w:rPr>
          <w:b/>
          <w:sz w:val="24"/>
        </w:rPr>
        <w:t>for</w:t>
      </w:r>
      <w:r>
        <w:rPr>
          <w:b/>
          <w:spacing w:val="1"/>
          <w:sz w:val="24"/>
        </w:rPr>
        <w:t xml:space="preserve"> </w:t>
      </w:r>
      <w:r>
        <w:rPr>
          <w:b/>
          <w:sz w:val="24"/>
        </w:rPr>
        <w:t>the</w:t>
      </w:r>
      <w:r>
        <w:rPr>
          <w:b/>
          <w:spacing w:val="1"/>
          <w:sz w:val="24"/>
        </w:rPr>
        <w:t xml:space="preserve"> </w:t>
      </w:r>
      <w:r>
        <w:rPr>
          <w:b/>
          <w:sz w:val="24"/>
        </w:rPr>
        <w:t>needs</w:t>
      </w:r>
      <w:r>
        <w:rPr>
          <w:b/>
          <w:spacing w:val="1"/>
          <w:sz w:val="24"/>
        </w:rPr>
        <w:t xml:space="preserve"> </w:t>
      </w:r>
      <w:r>
        <w:rPr>
          <w:b/>
          <w:sz w:val="24"/>
        </w:rPr>
        <w:t>of</w:t>
      </w:r>
      <w:r>
        <w:rPr>
          <w:b/>
          <w:spacing w:val="1"/>
          <w:sz w:val="24"/>
        </w:rPr>
        <w:t xml:space="preserve"> </w:t>
      </w:r>
      <w:r>
        <w:rPr>
          <w:b/>
          <w:sz w:val="24"/>
        </w:rPr>
        <w:t>international</w:t>
      </w:r>
      <w:r>
        <w:rPr>
          <w:b/>
          <w:spacing w:val="1"/>
          <w:sz w:val="24"/>
        </w:rPr>
        <w:t xml:space="preserve"> </w:t>
      </w:r>
      <w:r>
        <w:rPr>
          <w:b/>
          <w:sz w:val="24"/>
        </w:rPr>
        <w:t xml:space="preserve">protection </w:t>
      </w:r>
      <w:r>
        <w:rPr>
          <w:sz w:val="24"/>
        </w:rPr>
        <w:t>(value: EUR 800,000), which will increase the quality of data collection and</w:t>
      </w:r>
      <w:r>
        <w:rPr>
          <w:spacing w:val="1"/>
          <w:sz w:val="24"/>
        </w:rPr>
        <w:t xml:space="preserve"> </w:t>
      </w:r>
      <w:r>
        <w:rPr>
          <w:sz w:val="24"/>
        </w:rPr>
        <w:t>processing</w:t>
      </w:r>
      <w:r>
        <w:rPr>
          <w:spacing w:val="-4"/>
          <w:sz w:val="24"/>
        </w:rPr>
        <w:t xml:space="preserve"> </w:t>
      </w:r>
      <w:r>
        <w:rPr>
          <w:sz w:val="24"/>
        </w:rPr>
        <w:t>in international protection.</w:t>
      </w:r>
    </w:p>
    <w:p w:rsidR="00A56FE9" w:rsidRDefault="00000000">
      <w:pPr>
        <w:spacing w:before="121"/>
        <w:ind w:left="138" w:right="274"/>
        <w:jc w:val="both"/>
        <w:rPr>
          <w:sz w:val="24"/>
        </w:rPr>
      </w:pPr>
      <w:r>
        <w:rPr>
          <w:sz w:val="24"/>
        </w:rPr>
        <w:t xml:space="preserve">In 2021, the renovation and </w:t>
      </w:r>
      <w:r>
        <w:rPr>
          <w:b/>
          <w:sz w:val="24"/>
        </w:rPr>
        <w:t>reconstruction of the Reception Centre for International</w:t>
      </w:r>
      <w:r>
        <w:rPr>
          <w:b/>
          <w:spacing w:val="1"/>
          <w:sz w:val="24"/>
        </w:rPr>
        <w:t xml:space="preserve"> </w:t>
      </w:r>
      <w:r>
        <w:rPr>
          <w:b/>
          <w:sz w:val="24"/>
        </w:rPr>
        <w:t>Protection</w:t>
      </w:r>
      <w:r>
        <w:rPr>
          <w:b/>
          <w:spacing w:val="-3"/>
          <w:sz w:val="24"/>
        </w:rPr>
        <w:t xml:space="preserve"> </w:t>
      </w:r>
      <w:r>
        <w:rPr>
          <w:b/>
          <w:sz w:val="24"/>
        </w:rPr>
        <w:t>Seekers</w:t>
      </w:r>
      <w:r>
        <w:rPr>
          <w:b/>
          <w:spacing w:val="-4"/>
          <w:sz w:val="24"/>
        </w:rPr>
        <w:t xml:space="preserve"> </w:t>
      </w:r>
      <w:r>
        <w:rPr>
          <w:b/>
          <w:sz w:val="24"/>
        </w:rPr>
        <w:t>in Kutina</w:t>
      </w:r>
      <w:r>
        <w:rPr>
          <w:b/>
          <w:spacing w:val="-1"/>
          <w:sz w:val="24"/>
        </w:rPr>
        <w:t xml:space="preserve"> </w:t>
      </w:r>
      <w:r>
        <w:rPr>
          <w:sz w:val="24"/>
        </w:rPr>
        <w:t>(value:</w:t>
      </w:r>
      <w:r>
        <w:rPr>
          <w:spacing w:val="-4"/>
          <w:sz w:val="24"/>
        </w:rPr>
        <w:t xml:space="preserve"> </w:t>
      </w:r>
      <w:r>
        <w:rPr>
          <w:sz w:val="24"/>
        </w:rPr>
        <w:t>EUR</w:t>
      </w:r>
      <w:r>
        <w:rPr>
          <w:spacing w:val="-3"/>
          <w:sz w:val="24"/>
        </w:rPr>
        <w:t xml:space="preserve"> </w:t>
      </w:r>
      <w:r>
        <w:rPr>
          <w:sz w:val="24"/>
        </w:rPr>
        <w:t>1.25</w:t>
      </w:r>
      <w:r>
        <w:rPr>
          <w:spacing w:val="-1"/>
          <w:sz w:val="24"/>
        </w:rPr>
        <w:t xml:space="preserve"> </w:t>
      </w:r>
      <w:r>
        <w:rPr>
          <w:sz w:val="24"/>
        </w:rPr>
        <w:t>million)</w:t>
      </w:r>
      <w:r>
        <w:rPr>
          <w:spacing w:val="-4"/>
          <w:sz w:val="24"/>
        </w:rPr>
        <w:t xml:space="preserve"> </w:t>
      </w:r>
      <w:r>
        <w:rPr>
          <w:sz w:val="24"/>
        </w:rPr>
        <w:t>began</w:t>
      </w:r>
      <w:r>
        <w:rPr>
          <w:spacing w:val="-1"/>
          <w:sz w:val="24"/>
        </w:rPr>
        <w:t xml:space="preserve"> </w:t>
      </w:r>
      <w:r>
        <w:rPr>
          <w:sz w:val="24"/>
        </w:rPr>
        <w:t>with</w:t>
      </w:r>
      <w:r>
        <w:rPr>
          <w:spacing w:val="-3"/>
          <w:sz w:val="24"/>
        </w:rPr>
        <w:t xml:space="preserve"> </w:t>
      </w:r>
      <w:r>
        <w:rPr>
          <w:sz w:val="24"/>
        </w:rPr>
        <w:t>the</w:t>
      </w:r>
      <w:r>
        <w:rPr>
          <w:spacing w:val="-4"/>
          <w:sz w:val="24"/>
        </w:rPr>
        <w:t xml:space="preserve"> </w:t>
      </w:r>
      <w:r>
        <w:rPr>
          <w:sz w:val="24"/>
        </w:rPr>
        <w:t>aim</w:t>
      </w:r>
      <w:r>
        <w:rPr>
          <w:spacing w:val="-3"/>
          <w:sz w:val="24"/>
        </w:rPr>
        <w:t xml:space="preserve"> </w:t>
      </w:r>
      <w:r>
        <w:rPr>
          <w:sz w:val="24"/>
        </w:rPr>
        <w:t>of</w:t>
      </w:r>
      <w:r>
        <w:rPr>
          <w:spacing w:val="-5"/>
          <w:sz w:val="24"/>
        </w:rPr>
        <w:t xml:space="preserve"> </w:t>
      </w:r>
      <w:r>
        <w:rPr>
          <w:sz w:val="24"/>
        </w:rPr>
        <w:t>improving</w:t>
      </w:r>
      <w:r>
        <w:rPr>
          <w:spacing w:val="-6"/>
          <w:sz w:val="24"/>
        </w:rPr>
        <w:t xml:space="preserve"> </w:t>
      </w:r>
      <w:r>
        <w:rPr>
          <w:sz w:val="24"/>
        </w:rPr>
        <w:t>the</w:t>
      </w:r>
      <w:r>
        <w:rPr>
          <w:spacing w:val="-58"/>
          <w:sz w:val="24"/>
        </w:rPr>
        <w:t xml:space="preserve"> </w:t>
      </w:r>
      <w:r>
        <w:rPr>
          <w:sz w:val="24"/>
        </w:rPr>
        <w:t>accommodation and living conditions of applicants and working conditions of officials with</w:t>
      </w:r>
      <w:r>
        <w:rPr>
          <w:spacing w:val="1"/>
          <w:sz w:val="24"/>
        </w:rPr>
        <w:t xml:space="preserve"> </w:t>
      </w:r>
      <w:r>
        <w:rPr>
          <w:sz w:val="24"/>
        </w:rPr>
        <w:t xml:space="preserve">completion planned for Q2/2022. In 2022, work is expected to </w:t>
      </w:r>
      <w:r>
        <w:rPr>
          <w:b/>
          <w:sz w:val="24"/>
        </w:rPr>
        <w:t>begin on the reconstruction,</w:t>
      </w:r>
      <w:r>
        <w:rPr>
          <w:b/>
          <w:spacing w:val="1"/>
          <w:sz w:val="24"/>
        </w:rPr>
        <w:t xml:space="preserve"> </w:t>
      </w:r>
      <w:r>
        <w:rPr>
          <w:b/>
          <w:spacing w:val="-1"/>
          <w:sz w:val="24"/>
        </w:rPr>
        <w:t>arrangement</w:t>
      </w:r>
      <w:r>
        <w:rPr>
          <w:b/>
          <w:spacing w:val="-14"/>
          <w:sz w:val="24"/>
        </w:rPr>
        <w:t xml:space="preserve"> </w:t>
      </w:r>
      <w:r>
        <w:rPr>
          <w:b/>
          <w:spacing w:val="-1"/>
          <w:sz w:val="24"/>
        </w:rPr>
        <w:t>and</w:t>
      </w:r>
      <w:r>
        <w:rPr>
          <w:b/>
          <w:spacing w:val="-12"/>
          <w:sz w:val="24"/>
        </w:rPr>
        <w:t xml:space="preserve"> </w:t>
      </w:r>
      <w:r>
        <w:rPr>
          <w:b/>
          <w:spacing w:val="-1"/>
          <w:sz w:val="24"/>
        </w:rPr>
        <w:t>renovation</w:t>
      </w:r>
      <w:r>
        <w:rPr>
          <w:b/>
          <w:spacing w:val="-12"/>
          <w:sz w:val="24"/>
        </w:rPr>
        <w:t xml:space="preserve"> </w:t>
      </w:r>
      <w:r>
        <w:rPr>
          <w:b/>
          <w:sz w:val="24"/>
        </w:rPr>
        <w:t>of</w:t>
      </w:r>
      <w:r>
        <w:rPr>
          <w:b/>
          <w:spacing w:val="-13"/>
          <w:sz w:val="24"/>
        </w:rPr>
        <w:t xml:space="preserve"> </w:t>
      </w:r>
      <w:r>
        <w:rPr>
          <w:b/>
          <w:sz w:val="24"/>
        </w:rPr>
        <w:t>the</w:t>
      </w:r>
      <w:r>
        <w:rPr>
          <w:b/>
          <w:spacing w:val="-11"/>
          <w:sz w:val="24"/>
        </w:rPr>
        <w:t xml:space="preserve"> </w:t>
      </w:r>
      <w:r>
        <w:rPr>
          <w:b/>
          <w:sz w:val="24"/>
        </w:rPr>
        <w:t>Reception</w:t>
      </w:r>
      <w:r>
        <w:rPr>
          <w:b/>
          <w:spacing w:val="-13"/>
          <w:sz w:val="24"/>
        </w:rPr>
        <w:t xml:space="preserve"> </w:t>
      </w:r>
      <w:r>
        <w:rPr>
          <w:b/>
          <w:sz w:val="24"/>
        </w:rPr>
        <w:t>Centre</w:t>
      </w:r>
      <w:r>
        <w:rPr>
          <w:b/>
          <w:spacing w:val="-12"/>
          <w:sz w:val="24"/>
        </w:rPr>
        <w:t xml:space="preserve"> </w:t>
      </w:r>
      <w:r>
        <w:rPr>
          <w:b/>
          <w:sz w:val="24"/>
        </w:rPr>
        <w:t>for</w:t>
      </w:r>
      <w:r>
        <w:rPr>
          <w:b/>
          <w:spacing w:val="-13"/>
          <w:sz w:val="24"/>
        </w:rPr>
        <w:t xml:space="preserve"> </w:t>
      </w:r>
      <w:r>
        <w:rPr>
          <w:b/>
          <w:sz w:val="24"/>
        </w:rPr>
        <w:t>International</w:t>
      </w:r>
      <w:r>
        <w:rPr>
          <w:b/>
          <w:spacing w:val="-12"/>
          <w:sz w:val="24"/>
        </w:rPr>
        <w:t xml:space="preserve"> </w:t>
      </w:r>
      <w:r>
        <w:rPr>
          <w:b/>
          <w:sz w:val="24"/>
        </w:rPr>
        <w:t>Protection</w:t>
      </w:r>
      <w:r>
        <w:rPr>
          <w:b/>
          <w:spacing w:val="-12"/>
          <w:sz w:val="24"/>
        </w:rPr>
        <w:t xml:space="preserve"> </w:t>
      </w:r>
      <w:r>
        <w:rPr>
          <w:b/>
          <w:sz w:val="24"/>
        </w:rPr>
        <w:t>Seekers</w:t>
      </w:r>
      <w:r>
        <w:rPr>
          <w:b/>
          <w:spacing w:val="-58"/>
          <w:sz w:val="24"/>
        </w:rPr>
        <w:t xml:space="preserve"> </w:t>
      </w:r>
      <w:r>
        <w:rPr>
          <w:b/>
          <w:sz w:val="24"/>
        </w:rPr>
        <w:t>in Zagreb</w:t>
      </w:r>
      <w:r>
        <w:rPr>
          <w:b/>
          <w:spacing w:val="1"/>
          <w:sz w:val="24"/>
        </w:rPr>
        <w:t xml:space="preserve"> </w:t>
      </w:r>
      <w:r>
        <w:rPr>
          <w:sz w:val="24"/>
        </w:rPr>
        <w:t>(value: EUR 3.45 million).</w:t>
      </w:r>
    </w:p>
    <w:p w:rsidR="00A56FE9" w:rsidRDefault="00CC1B9B">
      <w:pPr>
        <w:pStyle w:val="Tijeloteksta"/>
        <w:spacing w:before="120"/>
        <w:ind w:right="273"/>
      </w:pPr>
      <w:r>
        <w:rPr>
          <w:noProof/>
        </w:rPr>
        <mc:AlternateContent>
          <mc:Choice Requires="wps">
            <w:drawing>
              <wp:anchor distT="0" distB="0" distL="114300" distR="114300" simplePos="0" relativeHeight="15835136" behindDoc="0" locked="0" layoutInCell="1" allowOverlap="1">
                <wp:simplePos x="0" y="0"/>
                <wp:positionH relativeFrom="page">
                  <wp:posOffset>814070</wp:posOffset>
                </wp:positionH>
                <wp:positionV relativeFrom="paragraph">
                  <wp:posOffset>1907540</wp:posOffset>
                </wp:positionV>
                <wp:extent cx="18415" cy="609600"/>
                <wp:effectExtent l="0" t="0" r="0" b="0"/>
                <wp:wrapNone/>
                <wp:docPr id="904402933"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9600"/>
                        </a:xfrm>
                        <a:custGeom>
                          <a:avLst/>
                          <a:gdLst>
                            <a:gd name="T0" fmla="+- 0 1311 1282"/>
                            <a:gd name="T1" fmla="*/ T0 w 29"/>
                            <a:gd name="T2" fmla="+- 0 3004 3004"/>
                            <a:gd name="T3" fmla="*/ 3004 h 960"/>
                            <a:gd name="T4" fmla="+- 0 1282 1282"/>
                            <a:gd name="T5" fmla="*/ T4 w 29"/>
                            <a:gd name="T6" fmla="+- 0 3004 3004"/>
                            <a:gd name="T7" fmla="*/ 3004 h 960"/>
                            <a:gd name="T8" fmla="+- 0 1282 1282"/>
                            <a:gd name="T9" fmla="*/ T8 w 29"/>
                            <a:gd name="T10" fmla="+- 0 3544 3004"/>
                            <a:gd name="T11" fmla="*/ 3544 h 960"/>
                            <a:gd name="T12" fmla="+- 0 1282 1282"/>
                            <a:gd name="T13" fmla="*/ T12 w 29"/>
                            <a:gd name="T14" fmla="+- 0 3964 3004"/>
                            <a:gd name="T15" fmla="*/ 3964 h 960"/>
                            <a:gd name="T16" fmla="+- 0 1311 1282"/>
                            <a:gd name="T17" fmla="*/ T16 w 29"/>
                            <a:gd name="T18" fmla="+- 0 3964 3004"/>
                            <a:gd name="T19" fmla="*/ 3964 h 960"/>
                            <a:gd name="T20" fmla="+- 0 1311 1282"/>
                            <a:gd name="T21" fmla="*/ T20 w 29"/>
                            <a:gd name="T22" fmla="+- 0 3544 3004"/>
                            <a:gd name="T23" fmla="*/ 3544 h 960"/>
                            <a:gd name="T24" fmla="+- 0 1311 1282"/>
                            <a:gd name="T25" fmla="*/ T24 w 29"/>
                            <a:gd name="T26" fmla="+- 0 3004 3004"/>
                            <a:gd name="T27" fmla="*/ 3004 h 960"/>
                          </a:gdLst>
                          <a:ahLst/>
                          <a:cxnLst>
                            <a:cxn ang="0">
                              <a:pos x="T1" y="T3"/>
                            </a:cxn>
                            <a:cxn ang="0">
                              <a:pos x="T5" y="T7"/>
                            </a:cxn>
                            <a:cxn ang="0">
                              <a:pos x="T9" y="T11"/>
                            </a:cxn>
                            <a:cxn ang="0">
                              <a:pos x="T13" y="T15"/>
                            </a:cxn>
                            <a:cxn ang="0">
                              <a:pos x="T17" y="T19"/>
                            </a:cxn>
                            <a:cxn ang="0">
                              <a:pos x="T21" y="T23"/>
                            </a:cxn>
                            <a:cxn ang="0">
                              <a:pos x="T25" y="T27"/>
                            </a:cxn>
                          </a:cxnLst>
                          <a:rect l="0" t="0" r="r" b="b"/>
                          <a:pathLst>
                            <a:path w="29" h="960">
                              <a:moveTo>
                                <a:pt x="29" y="0"/>
                              </a:moveTo>
                              <a:lnTo>
                                <a:pt x="0" y="0"/>
                              </a:lnTo>
                              <a:lnTo>
                                <a:pt x="0" y="540"/>
                              </a:lnTo>
                              <a:lnTo>
                                <a:pt x="0" y="960"/>
                              </a:lnTo>
                              <a:lnTo>
                                <a:pt x="29" y="960"/>
                              </a:lnTo>
                              <a:lnTo>
                                <a:pt x="29" y="540"/>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3E18D" id="Freeform 37" o:spid="_x0000_s1026" style="position:absolute;margin-left:64.1pt;margin-top:150.2pt;width:1.45pt;height:48pt;z-index:1583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" path="m29,l,,,540,,960r29,l29,540,29,xe" fillcolor="#da1f2c" stroked="f">
                <v:path arrowok="t" o:connecttype="custom" o:connectlocs="18415,1907540;0,1907540;0,2250440;0,2517140;18415,2517140;18415,2250440;18415,1907540" o:connectangles="0,0,0,0,0,0,0"/>
                <w10:wrap anchorx="page"/>
              </v:shape>
            </w:pict>
          </mc:Fallback>
        </mc:AlternateContent>
      </w:r>
      <w:r w:rsidR="00000000">
        <w:t>In Q2/2022, the plan is to complete the draft text of the Immigration Policy of the Republic of</w:t>
      </w:r>
      <w:r w:rsidR="00000000">
        <w:rPr>
          <w:spacing w:val="-57"/>
        </w:rPr>
        <w:t xml:space="preserve"> </w:t>
      </w:r>
      <w:r w:rsidR="00000000">
        <w:t>Croatia, setting out the principles for the implementation of a comprehensive immigration</w:t>
      </w:r>
      <w:r w:rsidR="00000000">
        <w:rPr>
          <w:spacing w:val="1"/>
        </w:rPr>
        <w:t xml:space="preserve"> </w:t>
      </w:r>
      <w:r w:rsidR="00000000">
        <w:t>policy covering a period</w:t>
      </w:r>
      <w:r w:rsidR="00000000">
        <w:rPr>
          <w:spacing w:val="1"/>
        </w:rPr>
        <w:t xml:space="preserve"> </w:t>
      </w:r>
      <w:r w:rsidR="00000000">
        <w:t>of at</w:t>
      </w:r>
      <w:r w:rsidR="00000000">
        <w:rPr>
          <w:spacing w:val="1"/>
        </w:rPr>
        <w:t xml:space="preserve"> </w:t>
      </w:r>
      <w:r w:rsidR="00000000">
        <w:t>least</w:t>
      </w:r>
      <w:r w:rsidR="00000000">
        <w:rPr>
          <w:spacing w:val="1"/>
        </w:rPr>
        <w:t xml:space="preserve"> </w:t>
      </w:r>
      <w:r w:rsidR="00000000">
        <w:t>five</w:t>
      </w:r>
      <w:r w:rsidR="00000000">
        <w:rPr>
          <w:spacing w:val="1"/>
        </w:rPr>
        <w:t xml:space="preserve"> </w:t>
      </w:r>
      <w:r w:rsidR="00000000">
        <w:t>years</w:t>
      </w:r>
      <w:r w:rsidR="00000000">
        <w:rPr>
          <w:spacing w:val="1"/>
        </w:rPr>
        <w:t xml:space="preserve"> </w:t>
      </w:r>
      <w:r w:rsidR="00000000">
        <w:t>and</w:t>
      </w:r>
      <w:r w:rsidR="00000000">
        <w:rPr>
          <w:spacing w:val="1"/>
        </w:rPr>
        <w:t xml:space="preserve"> </w:t>
      </w:r>
      <w:r w:rsidR="00000000">
        <w:t>forwarding the document</w:t>
      </w:r>
      <w:r w:rsidR="00000000">
        <w:rPr>
          <w:spacing w:val="1"/>
        </w:rPr>
        <w:t xml:space="preserve"> </w:t>
      </w:r>
      <w:r w:rsidR="00000000">
        <w:t>for further</w:t>
      </w:r>
      <w:r w:rsidR="00000000">
        <w:rPr>
          <w:spacing w:val="1"/>
        </w:rPr>
        <w:t xml:space="preserve"> </w:t>
      </w:r>
      <w:r w:rsidR="00000000">
        <w:t>procedural</w:t>
      </w:r>
      <w:r w:rsidR="00000000">
        <w:rPr>
          <w:spacing w:val="1"/>
        </w:rPr>
        <w:t xml:space="preserve"> </w:t>
      </w:r>
      <w:r w:rsidR="00000000">
        <w:t>processing.</w:t>
      </w:r>
      <w:r w:rsidR="00000000">
        <w:rPr>
          <w:spacing w:val="1"/>
        </w:rPr>
        <w:t xml:space="preserve"> </w:t>
      </w:r>
      <w:r w:rsidR="00000000">
        <w:t>Given</w:t>
      </w:r>
      <w:r w:rsidR="00000000">
        <w:rPr>
          <w:spacing w:val="1"/>
        </w:rPr>
        <w:t xml:space="preserve"> </w:t>
      </w:r>
      <w:r w:rsidR="00000000">
        <w:t>the</w:t>
      </w:r>
      <w:r w:rsidR="00000000">
        <w:rPr>
          <w:spacing w:val="1"/>
        </w:rPr>
        <w:t xml:space="preserve"> </w:t>
      </w:r>
      <w:r w:rsidR="00000000">
        <w:t>current</w:t>
      </w:r>
      <w:r w:rsidR="00000000">
        <w:rPr>
          <w:spacing w:val="1"/>
        </w:rPr>
        <w:t xml:space="preserve"> </w:t>
      </w:r>
      <w:r w:rsidR="00000000">
        <w:t>demographic</w:t>
      </w:r>
      <w:r w:rsidR="00000000">
        <w:rPr>
          <w:spacing w:val="1"/>
        </w:rPr>
        <w:t xml:space="preserve"> </w:t>
      </w:r>
      <w:r w:rsidR="00000000">
        <w:t>trends,</w:t>
      </w:r>
      <w:r w:rsidR="00000000">
        <w:rPr>
          <w:spacing w:val="1"/>
        </w:rPr>
        <w:t xml:space="preserve"> </w:t>
      </w:r>
      <w:r w:rsidR="00000000">
        <w:t>population</w:t>
      </w:r>
      <w:r w:rsidR="00000000">
        <w:rPr>
          <w:spacing w:val="1"/>
        </w:rPr>
        <w:t xml:space="preserve"> </w:t>
      </w:r>
      <w:r w:rsidR="00000000">
        <w:t>decline</w:t>
      </w:r>
      <w:r w:rsidR="00000000">
        <w:rPr>
          <w:spacing w:val="1"/>
        </w:rPr>
        <w:t xml:space="preserve"> </w:t>
      </w:r>
      <w:r w:rsidR="00000000">
        <w:t>and</w:t>
      </w:r>
      <w:r w:rsidR="00000000">
        <w:rPr>
          <w:spacing w:val="1"/>
        </w:rPr>
        <w:t xml:space="preserve"> </w:t>
      </w:r>
      <w:r w:rsidR="00000000">
        <w:t>depopulation of parts of Croatia, the immigration of skilled labour is necessary to maintain the</w:t>
      </w:r>
      <w:r w:rsidR="00000000">
        <w:rPr>
          <w:spacing w:val="-57"/>
        </w:rPr>
        <w:t xml:space="preserve"> </w:t>
      </w:r>
      <w:r w:rsidR="00000000">
        <w:t>total</w:t>
      </w:r>
      <w:r w:rsidR="00000000">
        <w:rPr>
          <w:spacing w:val="-9"/>
        </w:rPr>
        <w:t xml:space="preserve"> </w:t>
      </w:r>
      <w:r w:rsidR="00000000">
        <w:t>population</w:t>
      </w:r>
      <w:r w:rsidR="00000000">
        <w:rPr>
          <w:spacing w:val="-8"/>
        </w:rPr>
        <w:t xml:space="preserve"> </w:t>
      </w:r>
      <w:r w:rsidR="00000000">
        <w:t>and</w:t>
      </w:r>
      <w:r w:rsidR="00000000">
        <w:rPr>
          <w:spacing w:val="-9"/>
        </w:rPr>
        <w:t xml:space="preserve"> </w:t>
      </w:r>
      <w:r w:rsidR="00000000">
        <w:t>working</w:t>
      </w:r>
      <w:r w:rsidR="00000000">
        <w:rPr>
          <w:spacing w:val="-11"/>
        </w:rPr>
        <w:t xml:space="preserve"> </w:t>
      </w:r>
      <w:r w:rsidR="00000000">
        <w:t>population</w:t>
      </w:r>
      <w:r w:rsidR="00000000">
        <w:rPr>
          <w:spacing w:val="-8"/>
        </w:rPr>
        <w:t xml:space="preserve"> </w:t>
      </w:r>
      <w:r w:rsidR="00000000">
        <w:t>at</w:t>
      </w:r>
      <w:r w:rsidR="00000000">
        <w:rPr>
          <w:spacing w:val="-8"/>
        </w:rPr>
        <w:t xml:space="preserve"> </w:t>
      </w:r>
      <w:r w:rsidR="00000000">
        <w:t>a</w:t>
      </w:r>
      <w:r w:rsidR="00000000">
        <w:rPr>
          <w:spacing w:val="-10"/>
        </w:rPr>
        <w:t xml:space="preserve"> </w:t>
      </w:r>
      <w:r w:rsidR="00000000">
        <w:t>level</w:t>
      </w:r>
      <w:r w:rsidR="00000000">
        <w:rPr>
          <w:spacing w:val="-8"/>
        </w:rPr>
        <w:t xml:space="preserve"> </w:t>
      </w:r>
      <w:r w:rsidR="00000000">
        <w:t>that</w:t>
      </w:r>
      <w:r w:rsidR="00000000">
        <w:rPr>
          <w:spacing w:val="-8"/>
        </w:rPr>
        <w:t xml:space="preserve"> </w:t>
      </w:r>
      <w:r w:rsidR="00000000">
        <w:t>will</w:t>
      </w:r>
      <w:r w:rsidR="00000000">
        <w:rPr>
          <w:spacing w:val="-8"/>
        </w:rPr>
        <w:t xml:space="preserve"> </w:t>
      </w:r>
      <w:r w:rsidR="00000000">
        <w:t>not</w:t>
      </w:r>
      <w:r w:rsidR="00000000">
        <w:rPr>
          <w:spacing w:val="-11"/>
        </w:rPr>
        <w:t xml:space="preserve"> </w:t>
      </w:r>
      <w:r w:rsidR="00000000">
        <w:t>jeopardise</w:t>
      </w:r>
      <w:r w:rsidR="00000000">
        <w:rPr>
          <w:spacing w:val="-10"/>
        </w:rPr>
        <w:t xml:space="preserve"> </w:t>
      </w:r>
      <w:r w:rsidR="00000000">
        <w:t>the</w:t>
      </w:r>
      <w:r w:rsidR="00000000">
        <w:rPr>
          <w:spacing w:val="-9"/>
        </w:rPr>
        <w:t xml:space="preserve"> </w:t>
      </w:r>
      <w:r w:rsidR="00000000">
        <w:t>functioning</w:t>
      </w:r>
      <w:r w:rsidR="00000000">
        <w:rPr>
          <w:spacing w:val="-11"/>
        </w:rPr>
        <w:t xml:space="preserve"> </w:t>
      </w:r>
      <w:r w:rsidR="00000000">
        <w:t>of</w:t>
      </w:r>
      <w:r w:rsidR="00000000">
        <w:rPr>
          <w:spacing w:val="-9"/>
        </w:rPr>
        <w:t xml:space="preserve"> </w:t>
      </w:r>
      <w:r w:rsidR="00000000">
        <w:t>the</w:t>
      </w:r>
      <w:r w:rsidR="00000000">
        <w:rPr>
          <w:spacing w:val="-58"/>
        </w:rPr>
        <w:t xml:space="preserve"> </w:t>
      </w:r>
      <w:r w:rsidR="00000000">
        <w:t>state. The immigration policy of the Republic of Croatia will include measures to encourage</w:t>
      </w:r>
      <w:r w:rsidR="00000000">
        <w:rPr>
          <w:spacing w:val="1"/>
        </w:rPr>
        <w:t xml:space="preserve"> </w:t>
      </w:r>
      <w:r w:rsidR="00000000">
        <w:t>the immigration of new residents in accordance with labour market requirements, encourage</w:t>
      </w:r>
      <w:r w:rsidR="00000000">
        <w:rPr>
          <w:spacing w:val="1"/>
        </w:rPr>
        <w:t xml:space="preserve"> </w:t>
      </w:r>
      <w:r w:rsidR="00000000">
        <w:t>the retention of Croatian citizens and facilitate the inclusion of immigrants and returnees in</w:t>
      </w:r>
      <w:r w:rsidR="00000000">
        <w:rPr>
          <w:spacing w:val="1"/>
        </w:rPr>
        <w:t xml:space="preserve"> </w:t>
      </w:r>
      <w:r w:rsidR="00000000">
        <w:t>communities</w:t>
      </w:r>
      <w:r w:rsidR="00000000">
        <w:rPr>
          <w:spacing w:val="-2"/>
        </w:rPr>
        <w:t xml:space="preserve"> </w:t>
      </w:r>
      <w:r w:rsidR="00000000">
        <w:t>while</w:t>
      </w:r>
      <w:r w:rsidR="00000000">
        <w:rPr>
          <w:spacing w:val="-2"/>
        </w:rPr>
        <w:t xml:space="preserve"> </w:t>
      </w:r>
      <w:r w:rsidR="00000000">
        <w:t>respecting</w:t>
      </w:r>
      <w:r w:rsidR="00000000">
        <w:rPr>
          <w:spacing w:val="-4"/>
        </w:rPr>
        <w:t xml:space="preserve"> </w:t>
      </w:r>
      <w:r w:rsidR="00000000">
        <w:t>human</w:t>
      </w:r>
      <w:r w:rsidR="00000000">
        <w:rPr>
          <w:spacing w:val="-2"/>
        </w:rPr>
        <w:t xml:space="preserve"> </w:t>
      </w:r>
      <w:r w:rsidR="00000000">
        <w:t>rights,</w:t>
      </w:r>
      <w:r w:rsidR="00000000">
        <w:rPr>
          <w:spacing w:val="-1"/>
        </w:rPr>
        <w:t xml:space="preserve"> </w:t>
      </w:r>
      <w:r w:rsidR="00000000">
        <w:t>security</w:t>
      </w:r>
      <w:r w:rsidR="00000000">
        <w:rPr>
          <w:spacing w:val="-7"/>
        </w:rPr>
        <w:t xml:space="preserve"> </w:t>
      </w:r>
      <w:r w:rsidR="00000000">
        <w:t>and</w:t>
      </w:r>
      <w:r w:rsidR="00000000">
        <w:rPr>
          <w:spacing w:val="-1"/>
        </w:rPr>
        <w:t xml:space="preserve"> </w:t>
      </w:r>
      <w:r w:rsidR="00000000">
        <w:t>welfare</w:t>
      </w:r>
      <w:r w:rsidR="00000000">
        <w:rPr>
          <w:spacing w:val="-3"/>
        </w:rPr>
        <w:t xml:space="preserve"> </w:t>
      </w:r>
      <w:r w:rsidR="00000000">
        <w:t>of</w:t>
      </w:r>
      <w:r w:rsidR="00000000">
        <w:rPr>
          <w:spacing w:val="-1"/>
        </w:rPr>
        <w:t xml:space="preserve"> </w:t>
      </w:r>
      <w:r w:rsidR="00000000">
        <w:t>all</w:t>
      </w:r>
      <w:r w:rsidR="00000000">
        <w:rPr>
          <w:spacing w:val="4"/>
        </w:rPr>
        <w:t xml:space="preserve"> </w:t>
      </w:r>
      <w:r w:rsidR="00000000">
        <w:t>those</w:t>
      </w:r>
      <w:r w:rsidR="00000000">
        <w:rPr>
          <w:spacing w:val="-3"/>
        </w:rPr>
        <w:t xml:space="preserve"> </w:t>
      </w:r>
      <w:r w:rsidR="00000000">
        <w:t>living</w:t>
      </w:r>
      <w:r w:rsidR="00000000">
        <w:rPr>
          <w:spacing w:val="-3"/>
        </w:rPr>
        <w:t xml:space="preserve"> </w:t>
      </w:r>
      <w:r w:rsidR="00000000">
        <w:t>in</w:t>
      </w:r>
      <w:r w:rsidR="00000000">
        <w:rPr>
          <w:spacing w:val="-1"/>
        </w:rPr>
        <w:t xml:space="preserve"> </w:t>
      </w:r>
      <w:r w:rsidR="00000000">
        <w:t>Croatia.</w:t>
      </w:r>
    </w:p>
    <w:p w:rsidR="00A56FE9" w:rsidRDefault="00A56FE9">
      <w:pPr>
        <w:pStyle w:val="Tijeloteksta"/>
        <w:spacing w:before="10"/>
        <w:ind w:left="0"/>
        <w:jc w:val="left"/>
        <w:rPr>
          <w:sz w:val="31"/>
        </w:rPr>
      </w:pPr>
    </w:p>
    <w:p w:rsidR="00A56FE9" w:rsidRDefault="00000000">
      <w:pPr>
        <w:pStyle w:val="Naslov4"/>
        <w:ind w:right="282"/>
      </w:pPr>
      <w:r>
        <w:rPr>
          <w:color w:val="2C398A"/>
        </w:rPr>
        <w:t>Goal</w:t>
      </w:r>
      <w:r>
        <w:rPr>
          <w:color w:val="2C398A"/>
          <w:spacing w:val="1"/>
        </w:rPr>
        <w:t xml:space="preserve"> </w:t>
      </w:r>
      <w:r>
        <w:rPr>
          <w:color w:val="2C398A"/>
        </w:rPr>
        <w:t>11.</w:t>
      </w:r>
      <w:r>
        <w:rPr>
          <w:color w:val="2C398A"/>
          <w:spacing w:val="1"/>
        </w:rPr>
        <w:t xml:space="preserve"> </w:t>
      </w:r>
      <w:r>
        <w:rPr>
          <w:color w:val="2C398A"/>
        </w:rPr>
        <w:t>Make</w:t>
      </w:r>
      <w:r>
        <w:rPr>
          <w:color w:val="2C398A"/>
          <w:spacing w:val="1"/>
        </w:rPr>
        <w:t xml:space="preserve"> </w:t>
      </w:r>
      <w:r>
        <w:rPr>
          <w:color w:val="2C398A"/>
        </w:rPr>
        <w:t>cities</w:t>
      </w:r>
      <w:r>
        <w:rPr>
          <w:color w:val="2C398A"/>
          <w:spacing w:val="1"/>
        </w:rPr>
        <w:t xml:space="preserve"> </w:t>
      </w:r>
      <w:r>
        <w:rPr>
          <w:color w:val="2C398A"/>
        </w:rPr>
        <w:t>and</w:t>
      </w:r>
      <w:r>
        <w:rPr>
          <w:color w:val="2C398A"/>
          <w:spacing w:val="1"/>
        </w:rPr>
        <w:t xml:space="preserve"> </w:t>
      </w:r>
      <w:r>
        <w:rPr>
          <w:color w:val="2C398A"/>
        </w:rPr>
        <w:t>human</w:t>
      </w:r>
      <w:r>
        <w:rPr>
          <w:color w:val="2C398A"/>
          <w:spacing w:val="1"/>
        </w:rPr>
        <w:t xml:space="preserve"> </w:t>
      </w:r>
      <w:r>
        <w:rPr>
          <w:color w:val="2C398A"/>
        </w:rPr>
        <w:t>settlements</w:t>
      </w:r>
      <w:r>
        <w:rPr>
          <w:color w:val="2C398A"/>
          <w:spacing w:val="1"/>
        </w:rPr>
        <w:t xml:space="preserve"> </w:t>
      </w:r>
      <w:r>
        <w:rPr>
          <w:color w:val="2C398A"/>
        </w:rPr>
        <w:t>inclusive,</w:t>
      </w:r>
      <w:r>
        <w:rPr>
          <w:color w:val="2C398A"/>
          <w:spacing w:val="1"/>
        </w:rPr>
        <w:t xml:space="preserve"> </w:t>
      </w:r>
      <w:r>
        <w:rPr>
          <w:color w:val="2C398A"/>
        </w:rPr>
        <w:t>safe,</w:t>
      </w:r>
      <w:r>
        <w:rPr>
          <w:color w:val="2C398A"/>
          <w:spacing w:val="1"/>
        </w:rPr>
        <w:t xml:space="preserve"> </w:t>
      </w:r>
      <w:r>
        <w:rPr>
          <w:color w:val="2C398A"/>
        </w:rPr>
        <w:t>resilient</w:t>
      </w:r>
      <w:r>
        <w:rPr>
          <w:color w:val="2C398A"/>
          <w:spacing w:val="1"/>
        </w:rPr>
        <w:t xml:space="preserve"> </w:t>
      </w:r>
      <w:r>
        <w:rPr>
          <w:color w:val="2C398A"/>
        </w:rPr>
        <w:t>and</w:t>
      </w:r>
      <w:r>
        <w:rPr>
          <w:color w:val="2C398A"/>
          <w:spacing w:val="1"/>
        </w:rPr>
        <w:t xml:space="preserve"> </w:t>
      </w:r>
      <w:r>
        <w:rPr>
          <w:color w:val="2C398A"/>
        </w:rPr>
        <w:t>sustainable</w:t>
      </w:r>
    </w:p>
    <w:p w:rsidR="00A56FE9" w:rsidRDefault="00000000">
      <w:pPr>
        <w:pStyle w:val="Tijeloteksta"/>
        <w:spacing w:before="114"/>
        <w:ind w:right="274"/>
      </w:pPr>
      <w:r>
        <w:t>Regarding</w:t>
      </w:r>
      <w:r>
        <w:rPr>
          <w:spacing w:val="1"/>
        </w:rPr>
        <w:t xml:space="preserve"> </w:t>
      </w:r>
      <w:r>
        <w:t>waste</w:t>
      </w:r>
      <w:r>
        <w:rPr>
          <w:spacing w:val="1"/>
        </w:rPr>
        <w:t xml:space="preserve"> </w:t>
      </w:r>
      <w:r>
        <w:t>management</w:t>
      </w:r>
      <w:r>
        <w:rPr>
          <w:spacing w:val="1"/>
        </w:rPr>
        <w:t xml:space="preserve"> </w:t>
      </w:r>
      <w:r>
        <w:t>and</w:t>
      </w:r>
      <w:r>
        <w:rPr>
          <w:spacing w:val="1"/>
        </w:rPr>
        <w:t xml:space="preserve"> </w:t>
      </w:r>
      <w:r>
        <w:t>within</w:t>
      </w:r>
      <w:r>
        <w:rPr>
          <w:spacing w:val="1"/>
        </w:rPr>
        <w:t xml:space="preserve"> </w:t>
      </w:r>
      <w:r>
        <w:t>NRRP</w:t>
      </w:r>
      <w:r>
        <w:rPr>
          <w:spacing w:val="1"/>
        </w:rPr>
        <w:t xml:space="preserve"> </w:t>
      </w:r>
      <w:r>
        <w:t>reform</w:t>
      </w:r>
      <w:r>
        <w:rPr>
          <w:spacing w:val="1"/>
        </w:rPr>
        <w:t xml:space="preserve"> </w:t>
      </w:r>
      <w:r>
        <w:t>C1.3.</w:t>
      </w:r>
      <w:r>
        <w:rPr>
          <w:spacing w:val="1"/>
        </w:rPr>
        <w:t xml:space="preserve"> </w:t>
      </w:r>
      <w:r>
        <w:t>R2</w:t>
      </w:r>
      <w:r>
        <w:rPr>
          <w:spacing w:val="1"/>
        </w:rPr>
        <w:t xml:space="preserve"> </w:t>
      </w:r>
      <w:r>
        <w:t>Implementation</w:t>
      </w:r>
      <w:r>
        <w:rPr>
          <w:spacing w:val="1"/>
        </w:rPr>
        <w:t xml:space="preserve"> </w:t>
      </w:r>
      <w:r>
        <w:t>of</w:t>
      </w:r>
      <w:r>
        <w:rPr>
          <w:spacing w:val="1"/>
        </w:rPr>
        <w:t xml:space="preserve"> </w:t>
      </w:r>
      <w:r>
        <w:t>sustainable waste management the plan is to implement two activities C1.3. R2-I1 Waste</w:t>
      </w:r>
      <w:r>
        <w:rPr>
          <w:spacing w:val="1"/>
        </w:rPr>
        <w:t xml:space="preserve"> </w:t>
      </w:r>
      <w:r>
        <w:t>disposal reduction program and C1.3. R2-I2 Remediation programme for closed landfills and</w:t>
      </w:r>
      <w:r>
        <w:rPr>
          <w:spacing w:val="1"/>
        </w:rPr>
        <w:t xml:space="preserve"> </w:t>
      </w:r>
      <w:r>
        <w:t>sites contaminated with hazardous waste by the end of 2022, with final effect occurring upon</w:t>
      </w:r>
      <w:r>
        <w:rPr>
          <w:spacing w:val="1"/>
        </w:rPr>
        <w:t xml:space="preserve"> </w:t>
      </w:r>
      <w:r>
        <w:t>adoption of the Waste Management Plan of the Republic of Croatia for the period 2022-2028.</w:t>
      </w:r>
      <w:r>
        <w:rPr>
          <w:spacing w:val="1"/>
        </w:rPr>
        <w:t xml:space="preserve"> </w:t>
      </w:r>
      <w:r>
        <w:t>These activities reduce the share of municipal waste for disposal to 30% by 2026 and involves</w:t>
      </w:r>
      <w:r>
        <w:rPr>
          <w:spacing w:val="-57"/>
        </w:rPr>
        <w:t xml:space="preserve"> </w:t>
      </w:r>
      <w:r>
        <w:t>the</w:t>
      </w:r>
      <w:r>
        <w:rPr>
          <w:spacing w:val="-1"/>
        </w:rPr>
        <w:t xml:space="preserve"> </w:t>
      </w:r>
      <w:r>
        <w:t>rehabilitation of 10 closed landfills</w:t>
      </w:r>
      <w:r>
        <w:rPr>
          <w:spacing w:val="1"/>
        </w:rPr>
        <w:t xml:space="preserve"> </w:t>
      </w:r>
      <w:r>
        <w:t>and/or</w:t>
      </w:r>
      <w:r>
        <w:rPr>
          <w:spacing w:val="-2"/>
        </w:rPr>
        <w:t xml:space="preserve"> </w:t>
      </w:r>
      <w:r>
        <w:t>contaminated sites by</w:t>
      </w:r>
      <w:r>
        <w:rPr>
          <w:spacing w:val="-5"/>
        </w:rPr>
        <w:t xml:space="preserve"> </w:t>
      </w:r>
      <w:r>
        <w:t>2026.</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693824" behindDoc="1" locked="0" layoutInCell="1" allowOverlap="1">
                <wp:simplePos x="0" y="0"/>
                <wp:positionH relativeFrom="page">
                  <wp:posOffset>882650</wp:posOffset>
                </wp:positionH>
                <wp:positionV relativeFrom="paragraph">
                  <wp:posOffset>123825</wp:posOffset>
                </wp:positionV>
                <wp:extent cx="574675" cy="18415"/>
                <wp:effectExtent l="0" t="0" r="0" b="0"/>
                <wp:wrapTopAndBottom/>
                <wp:docPr id="734452057"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60927" id="Rectangle 36" o:spid="_x0000_s1026" style="position:absolute;margin-left:69.5pt;margin-top:9.75pt;width:45.25pt;height:1.45pt;z-index:-15622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" fillcolor="#2c398a" stroked="f">
                <w10:wrap type="topAndBottom" anchorx="page"/>
              </v:rect>
            </w:pict>
          </mc:Fallback>
        </mc:AlternateContent>
      </w:r>
    </w:p>
    <w:p w:rsidR="00A56FE9" w:rsidRDefault="00A56FE9">
      <w:pPr>
        <w:rPr>
          <w:sz w:val="13"/>
        </w:rPr>
        <w:sectPr w:rsidR="00A56FE9" w:rsidSect="00AB1E70">
          <w:pgSz w:w="11910" w:h="16840"/>
          <w:pgMar w:top="1320" w:right="1140" w:bottom="960" w:left="1280" w:header="0" w:footer="699" w:gutter="0"/>
          <w:cols w:space="720"/>
        </w:sectPr>
      </w:pPr>
    </w:p>
    <w:p w:rsidR="00A56FE9" w:rsidRDefault="00000000">
      <w:pPr>
        <w:pStyle w:val="Tijeloteksta"/>
        <w:spacing w:before="74"/>
        <w:ind w:right="271"/>
      </w:pPr>
      <w:r>
        <w:t>Implementing activities to modernise the public transport system by investing in new rolling</w:t>
      </w:r>
      <w:r>
        <w:rPr>
          <w:spacing w:val="1"/>
        </w:rPr>
        <w:t xml:space="preserve"> </w:t>
      </w:r>
      <w:r>
        <w:t>stock</w:t>
      </w:r>
      <w:r>
        <w:rPr>
          <w:spacing w:val="-10"/>
        </w:rPr>
        <w:t xml:space="preserve"> </w:t>
      </w:r>
      <w:r>
        <w:t>contributes</w:t>
      </w:r>
      <w:r>
        <w:rPr>
          <w:spacing w:val="-9"/>
        </w:rPr>
        <w:t xml:space="preserve"> </w:t>
      </w:r>
      <w:r>
        <w:t>to</w:t>
      </w:r>
      <w:r>
        <w:rPr>
          <w:spacing w:val="-8"/>
        </w:rPr>
        <w:t xml:space="preserve"> </w:t>
      </w:r>
      <w:r>
        <w:t>reducing</w:t>
      </w:r>
      <w:r>
        <w:rPr>
          <w:spacing w:val="-12"/>
        </w:rPr>
        <w:t xml:space="preserve"> </w:t>
      </w:r>
      <w:r>
        <w:t>negative</w:t>
      </w:r>
      <w:r>
        <w:rPr>
          <w:spacing w:val="-10"/>
        </w:rPr>
        <w:t xml:space="preserve"> </w:t>
      </w:r>
      <w:r>
        <w:t>environmental</w:t>
      </w:r>
      <w:r>
        <w:rPr>
          <w:spacing w:val="-10"/>
        </w:rPr>
        <w:t xml:space="preserve"> </w:t>
      </w:r>
      <w:r>
        <w:t>impacts</w:t>
      </w:r>
      <w:r>
        <w:rPr>
          <w:spacing w:val="-8"/>
        </w:rPr>
        <w:t xml:space="preserve"> </w:t>
      </w:r>
      <w:r>
        <w:t>and</w:t>
      </w:r>
      <w:r>
        <w:rPr>
          <w:spacing w:val="-10"/>
        </w:rPr>
        <w:t xml:space="preserve"> </w:t>
      </w:r>
      <w:r>
        <w:t>increasing</w:t>
      </w:r>
      <w:r>
        <w:rPr>
          <w:spacing w:val="-9"/>
        </w:rPr>
        <w:t xml:space="preserve"> </w:t>
      </w:r>
      <w:r>
        <w:t>energy</w:t>
      </w:r>
      <w:r>
        <w:rPr>
          <w:spacing w:val="-14"/>
        </w:rPr>
        <w:t xml:space="preserve"> </w:t>
      </w:r>
      <w:r>
        <w:t>efficiency,</w:t>
      </w:r>
      <w:r>
        <w:rPr>
          <w:spacing w:val="-57"/>
        </w:rPr>
        <w:t xml:space="preserve"> </w:t>
      </w:r>
      <w:r>
        <w:t>improving access to safe, cheap, affordable and sustainable transport systems for all while</w:t>
      </w:r>
      <w:r>
        <w:rPr>
          <w:spacing w:val="1"/>
        </w:rPr>
        <w:t xml:space="preserve"> </w:t>
      </w:r>
      <w:r>
        <w:t>paying special attention to the needs of those in vulnerable situations, i.e., women, children,</w:t>
      </w:r>
      <w:r>
        <w:rPr>
          <w:spacing w:val="1"/>
        </w:rPr>
        <w:t xml:space="preserve"> </w:t>
      </w:r>
      <w:r>
        <w:t>people</w:t>
      </w:r>
      <w:r>
        <w:rPr>
          <w:spacing w:val="-8"/>
        </w:rPr>
        <w:t xml:space="preserve"> </w:t>
      </w:r>
      <w:r>
        <w:t>with</w:t>
      </w:r>
      <w:r>
        <w:rPr>
          <w:spacing w:val="-7"/>
        </w:rPr>
        <w:t xml:space="preserve"> </w:t>
      </w:r>
      <w:r>
        <w:t>disabilities</w:t>
      </w:r>
      <w:r>
        <w:rPr>
          <w:spacing w:val="-9"/>
        </w:rPr>
        <w:t xml:space="preserve"> </w:t>
      </w:r>
      <w:r>
        <w:t>and</w:t>
      </w:r>
      <w:r>
        <w:rPr>
          <w:spacing w:val="-7"/>
        </w:rPr>
        <w:t xml:space="preserve"> </w:t>
      </w:r>
      <w:r>
        <w:t>the</w:t>
      </w:r>
      <w:r>
        <w:rPr>
          <w:spacing w:val="-7"/>
        </w:rPr>
        <w:t xml:space="preserve"> </w:t>
      </w:r>
      <w:r>
        <w:t>elderly.</w:t>
      </w:r>
      <w:r>
        <w:rPr>
          <w:spacing w:val="-6"/>
        </w:rPr>
        <w:t xml:space="preserve"> </w:t>
      </w:r>
      <w:r>
        <w:t>Based</w:t>
      </w:r>
      <w:r>
        <w:rPr>
          <w:spacing w:val="-7"/>
        </w:rPr>
        <w:t xml:space="preserve"> </w:t>
      </w:r>
      <w:r>
        <w:t>on</w:t>
      </w:r>
      <w:r>
        <w:rPr>
          <w:spacing w:val="-6"/>
        </w:rPr>
        <w:t xml:space="preserve"> </w:t>
      </w:r>
      <w:r>
        <w:t>the</w:t>
      </w:r>
      <w:r>
        <w:rPr>
          <w:spacing w:val="-8"/>
        </w:rPr>
        <w:t xml:space="preserve"> </w:t>
      </w:r>
      <w:r>
        <w:t>signed</w:t>
      </w:r>
      <w:r>
        <w:rPr>
          <w:spacing w:val="-4"/>
        </w:rPr>
        <w:t xml:space="preserve"> </w:t>
      </w:r>
      <w:r>
        <w:t>grant</w:t>
      </w:r>
      <w:r>
        <w:rPr>
          <w:spacing w:val="-7"/>
        </w:rPr>
        <w:t xml:space="preserve"> </w:t>
      </w:r>
      <w:r>
        <w:t>agreements</w:t>
      </w:r>
      <w:r>
        <w:rPr>
          <w:spacing w:val="-7"/>
        </w:rPr>
        <w:t xml:space="preserve"> </w:t>
      </w:r>
      <w:r>
        <w:t>with</w:t>
      </w:r>
      <w:r>
        <w:rPr>
          <w:spacing w:val="-4"/>
        </w:rPr>
        <w:t xml:space="preserve"> </w:t>
      </w:r>
      <w:r>
        <w:t>eight</w:t>
      </w:r>
      <w:r>
        <w:rPr>
          <w:spacing w:val="-7"/>
        </w:rPr>
        <w:t xml:space="preserve"> </w:t>
      </w:r>
      <w:r>
        <w:t>public</w:t>
      </w:r>
      <w:r>
        <w:rPr>
          <w:spacing w:val="-58"/>
        </w:rPr>
        <w:t xml:space="preserve"> </w:t>
      </w:r>
      <w:r>
        <w:t>city transport companies, a total of HRK 356.13 million has been provided for the renewal of</w:t>
      </w:r>
      <w:r>
        <w:rPr>
          <w:spacing w:val="1"/>
        </w:rPr>
        <w:t xml:space="preserve"> </w:t>
      </w:r>
      <w:r>
        <w:rPr>
          <w:position w:val="2"/>
        </w:rPr>
        <w:t>vehicle</w:t>
      </w:r>
      <w:r>
        <w:rPr>
          <w:spacing w:val="1"/>
          <w:position w:val="2"/>
        </w:rPr>
        <w:t xml:space="preserve"> </w:t>
      </w:r>
      <w:r>
        <w:rPr>
          <w:position w:val="2"/>
        </w:rPr>
        <w:t>fleets</w:t>
      </w:r>
      <w:r>
        <w:rPr>
          <w:spacing w:val="1"/>
          <w:position w:val="2"/>
        </w:rPr>
        <w:t xml:space="preserve"> </w:t>
      </w:r>
      <w:r>
        <w:rPr>
          <w:position w:val="2"/>
        </w:rPr>
        <w:t>incorporating</w:t>
      </w:r>
      <w:r>
        <w:rPr>
          <w:spacing w:val="1"/>
          <w:position w:val="2"/>
        </w:rPr>
        <w:t xml:space="preserve"> </w:t>
      </w:r>
      <w:r>
        <w:rPr>
          <w:position w:val="2"/>
        </w:rPr>
        <w:t>vehicles</w:t>
      </w:r>
      <w:r>
        <w:rPr>
          <w:spacing w:val="1"/>
          <w:position w:val="2"/>
        </w:rPr>
        <w:t xml:space="preserve"> </w:t>
      </w:r>
      <w:r>
        <w:rPr>
          <w:position w:val="2"/>
        </w:rPr>
        <w:t>with</w:t>
      </w:r>
      <w:r>
        <w:rPr>
          <w:spacing w:val="1"/>
          <w:position w:val="2"/>
        </w:rPr>
        <w:t xml:space="preserve"> </w:t>
      </w:r>
      <w:r>
        <w:rPr>
          <w:position w:val="2"/>
        </w:rPr>
        <w:t>a</w:t>
      </w:r>
      <w:r>
        <w:rPr>
          <w:spacing w:val="1"/>
          <w:position w:val="2"/>
        </w:rPr>
        <w:t xml:space="preserve"> </w:t>
      </w:r>
      <w:r>
        <w:rPr>
          <w:position w:val="2"/>
        </w:rPr>
        <w:t>higher</w:t>
      </w:r>
      <w:r>
        <w:rPr>
          <w:spacing w:val="1"/>
          <w:position w:val="2"/>
        </w:rPr>
        <w:t xml:space="preserve"> </w:t>
      </w:r>
      <w:r>
        <w:rPr>
          <w:position w:val="2"/>
        </w:rPr>
        <w:t>environmental</w:t>
      </w:r>
      <w:r>
        <w:rPr>
          <w:spacing w:val="1"/>
          <w:position w:val="2"/>
        </w:rPr>
        <w:t xml:space="preserve"> </w:t>
      </w:r>
      <w:r>
        <w:rPr>
          <w:position w:val="2"/>
        </w:rPr>
        <w:t>standard</w:t>
      </w:r>
      <w:r>
        <w:rPr>
          <w:spacing w:val="1"/>
          <w:position w:val="2"/>
        </w:rPr>
        <w:t xml:space="preserve"> </w:t>
      </w:r>
      <w:r>
        <w:rPr>
          <w:position w:val="2"/>
        </w:rPr>
        <w:t>and</w:t>
      </w:r>
      <w:r>
        <w:rPr>
          <w:spacing w:val="1"/>
          <w:position w:val="2"/>
        </w:rPr>
        <w:t xml:space="preserve"> </w:t>
      </w:r>
      <w:r>
        <w:rPr>
          <w:position w:val="2"/>
        </w:rPr>
        <w:t>low</w:t>
      </w:r>
      <w:r>
        <w:rPr>
          <w:spacing w:val="1"/>
          <w:position w:val="2"/>
        </w:rPr>
        <w:t xml:space="preserve"> </w:t>
      </w:r>
      <w:r>
        <w:rPr>
          <w:position w:val="2"/>
        </w:rPr>
        <w:t>CO</w:t>
      </w:r>
      <w:r>
        <w:rPr>
          <w:sz w:val="16"/>
        </w:rPr>
        <w:t>2</w:t>
      </w:r>
      <w:r>
        <w:rPr>
          <w:spacing w:val="-37"/>
          <w:sz w:val="16"/>
        </w:rPr>
        <w:t xml:space="preserve"> </w:t>
      </w:r>
      <w:r>
        <w:t>emissions. Grant beneficiaries have concluded secondary procurement contracts for 212 new</w:t>
      </w:r>
      <w:r>
        <w:rPr>
          <w:spacing w:val="1"/>
        </w:rPr>
        <w:t xml:space="preserve"> </w:t>
      </w:r>
      <w:r>
        <w:t>vehicles, with delivery expected in 2022. Modernisation of the fleet in the company HŽ</w:t>
      </w:r>
      <w:r>
        <w:rPr>
          <w:spacing w:val="1"/>
        </w:rPr>
        <w:t xml:space="preserve"> </w:t>
      </w:r>
      <w:r>
        <w:t>Passenger Transport has continued, improving local and regional connectivity and mobility</w:t>
      </w:r>
      <w:r>
        <w:rPr>
          <w:spacing w:val="1"/>
        </w:rPr>
        <w:t xml:space="preserve"> </w:t>
      </w:r>
      <w:r>
        <w:t>through the procurement of 11 new electric trains for urban-suburban and 10 electric trains for</w:t>
      </w:r>
      <w:r>
        <w:rPr>
          <w:spacing w:val="-57"/>
        </w:rPr>
        <w:t xml:space="preserve"> </w:t>
      </w:r>
      <w:r>
        <w:t>regional transport in line with the Agreement signed in November 2020. The production of</w:t>
      </w:r>
      <w:r>
        <w:rPr>
          <w:spacing w:val="1"/>
        </w:rPr>
        <w:t xml:space="preserve"> </w:t>
      </w:r>
      <w:r>
        <w:t>trains,</w:t>
      </w:r>
      <w:r>
        <w:rPr>
          <w:spacing w:val="-1"/>
        </w:rPr>
        <w:t xml:space="preserve"> </w:t>
      </w:r>
      <w:r>
        <w:t>expected to be</w:t>
      </w:r>
      <w:r>
        <w:rPr>
          <w:spacing w:val="-1"/>
        </w:rPr>
        <w:t xml:space="preserve"> </w:t>
      </w:r>
      <w:r>
        <w:t>delivered in</w:t>
      </w:r>
      <w:r>
        <w:rPr>
          <w:spacing w:val="-1"/>
        </w:rPr>
        <w:t xml:space="preserve"> </w:t>
      </w:r>
      <w:r>
        <w:t>2022 and 2023,</w:t>
      </w:r>
      <w:r>
        <w:rPr>
          <w:spacing w:val="1"/>
        </w:rPr>
        <w:t xml:space="preserve"> </w:t>
      </w:r>
      <w:r>
        <w:t>is</w:t>
      </w:r>
      <w:r>
        <w:rPr>
          <w:spacing w:val="2"/>
        </w:rPr>
        <w:t xml:space="preserve"> </w:t>
      </w:r>
      <w:r>
        <w:t>currently</w:t>
      </w:r>
      <w:r>
        <w:rPr>
          <w:spacing w:val="-5"/>
        </w:rPr>
        <w:t xml:space="preserve"> </w:t>
      </w:r>
      <w:r>
        <w:t>in</w:t>
      </w:r>
      <w:r>
        <w:rPr>
          <w:spacing w:val="-1"/>
        </w:rPr>
        <w:t xml:space="preserve"> </w:t>
      </w:r>
      <w:r>
        <w:t>progress.</w:t>
      </w:r>
    </w:p>
    <w:p w:rsidR="00A56FE9" w:rsidRDefault="00CC1B9B">
      <w:pPr>
        <w:pStyle w:val="Tijeloteksta"/>
        <w:spacing w:before="5"/>
        <w:ind w:left="0"/>
        <w:jc w:val="left"/>
        <w:rPr>
          <w:sz w:val="13"/>
        </w:rPr>
      </w:pPr>
      <w:r>
        <w:rPr>
          <w:noProof/>
        </w:rPr>
        <mc:AlternateContent>
          <mc:Choice Requires="wps">
            <w:drawing>
              <wp:anchor distT="0" distB="0" distL="0" distR="0" simplePos="0" relativeHeight="487694848" behindDoc="1" locked="0" layoutInCell="1" allowOverlap="1">
                <wp:simplePos x="0" y="0"/>
                <wp:positionH relativeFrom="page">
                  <wp:posOffset>882650</wp:posOffset>
                </wp:positionH>
                <wp:positionV relativeFrom="paragraph">
                  <wp:posOffset>123190</wp:posOffset>
                </wp:positionV>
                <wp:extent cx="574675" cy="18415"/>
                <wp:effectExtent l="0" t="0" r="0" b="0"/>
                <wp:wrapTopAndBottom/>
                <wp:docPr id="198498315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FF07F" id="Rectangle 35" o:spid="_x0000_s1026" style="position:absolute;margin-left:69.5pt;margin-top:9.7pt;width:45.25pt;height:1.45pt;z-index:-15621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CpyyS9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4"/>
      </w:pPr>
      <w:r>
        <w:t>Intensive preparations are underway in conducting the necessary training to strengthen the</w:t>
      </w:r>
      <w:r>
        <w:rPr>
          <w:spacing w:val="1"/>
        </w:rPr>
        <w:t xml:space="preserve"> </w:t>
      </w:r>
      <w:r>
        <w:t>capacity for</w:t>
      </w:r>
      <w:r>
        <w:rPr>
          <w:spacing w:val="1"/>
        </w:rPr>
        <w:t xml:space="preserve"> </w:t>
      </w:r>
      <w:r>
        <w:t>preparing for</w:t>
      </w:r>
      <w:r>
        <w:rPr>
          <w:spacing w:val="1"/>
        </w:rPr>
        <w:t xml:space="preserve"> </w:t>
      </w:r>
      <w:r>
        <w:t>tenders</w:t>
      </w:r>
      <w:r>
        <w:rPr>
          <w:spacing w:val="1"/>
        </w:rPr>
        <w:t xml:space="preserve"> </w:t>
      </w:r>
      <w:r>
        <w:t>and</w:t>
      </w:r>
      <w:r>
        <w:rPr>
          <w:spacing w:val="1"/>
        </w:rPr>
        <w:t xml:space="preserve"> </w:t>
      </w:r>
      <w:r>
        <w:t>preparation</w:t>
      </w:r>
      <w:r>
        <w:rPr>
          <w:spacing w:val="1"/>
        </w:rPr>
        <w:t xml:space="preserve"> </w:t>
      </w:r>
      <w:r>
        <w:t>of</w:t>
      </w:r>
      <w:r>
        <w:rPr>
          <w:spacing w:val="1"/>
        </w:rPr>
        <w:t xml:space="preserve"> </w:t>
      </w:r>
      <w:r>
        <w:t>tender</w:t>
      </w:r>
      <w:r>
        <w:rPr>
          <w:spacing w:val="1"/>
        </w:rPr>
        <w:t xml:space="preserve"> </w:t>
      </w:r>
      <w:r>
        <w:t>documents</w:t>
      </w:r>
      <w:r>
        <w:rPr>
          <w:spacing w:val="1"/>
        </w:rPr>
        <w:t xml:space="preserve"> </w:t>
      </w:r>
      <w:r>
        <w:t>intended</w:t>
      </w:r>
      <w:r>
        <w:rPr>
          <w:spacing w:val="1"/>
        </w:rPr>
        <w:t xml:space="preserve"> </w:t>
      </w:r>
      <w:r>
        <w:t>for</w:t>
      </w:r>
      <w:r>
        <w:rPr>
          <w:spacing w:val="1"/>
        </w:rPr>
        <w:t xml:space="preserve"> </w:t>
      </w:r>
      <w:r>
        <w:t>the</w:t>
      </w:r>
      <w:r>
        <w:rPr>
          <w:spacing w:val="1"/>
        </w:rPr>
        <w:t xml:space="preserve"> </w:t>
      </w:r>
      <w:r>
        <w:t>publication of calls for financing the green and digital transition of existing public tourism</w:t>
      </w:r>
      <w:r>
        <w:rPr>
          <w:spacing w:val="1"/>
        </w:rPr>
        <w:t xml:space="preserve"> </w:t>
      </w:r>
      <w:r>
        <w:t>infrastructure and the development of public tourism infrastructure outside major tourist and</w:t>
      </w:r>
      <w:r>
        <w:rPr>
          <w:spacing w:val="1"/>
        </w:rPr>
        <w:t xml:space="preserve"> </w:t>
      </w:r>
      <w:r>
        <w:t>coastal areas. The announcement of the tender is planned to take place in Q3/2022. The tender</w:t>
      </w:r>
      <w:r>
        <w:rPr>
          <w:spacing w:val="-57"/>
        </w:rPr>
        <w:t xml:space="preserve"> </w:t>
      </w:r>
      <w:r>
        <w:t>documentation prescribes that investments are to focus on projects that increase the green and</w:t>
      </w:r>
      <w:r>
        <w:rPr>
          <w:spacing w:val="1"/>
        </w:rPr>
        <w:t xml:space="preserve"> </w:t>
      </w:r>
      <w:r>
        <w:t>digital aspect of the quality of tourist infrastructure and reduce the impact on the environment,</w:t>
      </w:r>
      <w:r>
        <w:rPr>
          <w:spacing w:val="-57"/>
        </w:rPr>
        <w:t xml:space="preserve"> </w:t>
      </w:r>
      <w:r>
        <w:t>and, consequently, reduce the concentration of guests during the season. Eligibility criteria</w:t>
      </w:r>
      <w:r>
        <w:rPr>
          <w:spacing w:val="1"/>
        </w:rPr>
        <w:t xml:space="preserve"> </w:t>
      </w:r>
      <w:r>
        <w:t>include compliance with the Technical Guidelines for the Implementation of the</w:t>
      </w:r>
      <w:r>
        <w:rPr>
          <w:spacing w:val="1"/>
        </w:rPr>
        <w:t xml:space="preserve"> </w:t>
      </w:r>
      <w:r>
        <w:t>Do No</w:t>
      </w:r>
      <w:r>
        <w:rPr>
          <w:spacing w:val="1"/>
        </w:rPr>
        <w:t xml:space="preserve"> </w:t>
      </w:r>
      <w:r>
        <w:t>Significant</w:t>
      </w:r>
      <w:r>
        <w:rPr>
          <w:spacing w:val="-1"/>
        </w:rPr>
        <w:t xml:space="preserve"> </w:t>
      </w:r>
      <w:r>
        <w:t>Harm Principle</w:t>
      </w:r>
      <w:r>
        <w:rPr>
          <w:spacing w:val="-1"/>
        </w:rPr>
        <w:t xml:space="preserve"> </w:t>
      </w:r>
      <w:r>
        <w:t>(2021/C58/01).</w:t>
      </w:r>
    </w:p>
    <w:p w:rsidR="00A56FE9" w:rsidRDefault="00A56FE9">
      <w:pPr>
        <w:pStyle w:val="Tijeloteksta"/>
        <w:ind w:left="0"/>
        <w:jc w:val="left"/>
        <w:rPr>
          <w:sz w:val="32"/>
        </w:rPr>
      </w:pPr>
    </w:p>
    <w:p w:rsidR="00A56FE9" w:rsidRDefault="00CC1B9B">
      <w:pPr>
        <w:pStyle w:val="Naslov4"/>
      </w:pPr>
      <w:r>
        <w:rPr>
          <w:noProof/>
        </w:rPr>
        <mc:AlternateContent>
          <mc:Choice Requires="wps">
            <w:drawing>
              <wp:anchor distT="0" distB="0" distL="114300" distR="114300" simplePos="0" relativeHeight="15836160" behindDoc="0" locked="0" layoutInCell="1" allowOverlap="1">
                <wp:simplePos x="0" y="0"/>
                <wp:positionH relativeFrom="page">
                  <wp:posOffset>814070</wp:posOffset>
                </wp:positionH>
                <wp:positionV relativeFrom="paragraph">
                  <wp:posOffset>-153670</wp:posOffset>
                </wp:positionV>
                <wp:extent cx="18415" cy="419100"/>
                <wp:effectExtent l="0" t="0" r="0" b="0"/>
                <wp:wrapNone/>
                <wp:docPr id="97900145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91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0CEE4" id="Rectangle 34" o:spid="_x0000_s1026" style="position:absolute;margin-left:64.1pt;margin-top:-12.1pt;width:1.45pt;height:33pt;z-index:1583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" fillcolor="#da1f2c" stroked="f">
                <w10:wrap anchorx="page"/>
              </v:rect>
            </w:pict>
          </mc:Fallback>
        </mc:AlternateContent>
      </w:r>
      <w:r w:rsidR="00000000">
        <w:rPr>
          <w:color w:val="2C398A"/>
        </w:rPr>
        <w:t>Goal</w:t>
      </w:r>
      <w:r w:rsidR="00000000">
        <w:rPr>
          <w:color w:val="2C398A"/>
          <w:spacing w:val="-4"/>
        </w:rPr>
        <w:t xml:space="preserve"> </w:t>
      </w:r>
      <w:r w:rsidR="00000000">
        <w:rPr>
          <w:color w:val="2C398A"/>
        </w:rPr>
        <w:t>12.</w:t>
      </w:r>
      <w:r w:rsidR="00000000">
        <w:rPr>
          <w:color w:val="2C398A"/>
          <w:spacing w:val="-1"/>
        </w:rPr>
        <w:t xml:space="preserve"> </w:t>
      </w:r>
      <w:r w:rsidR="00000000">
        <w:rPr>
          <w:color w:val="2C398A"/>
        </w:rPr>
        <w:t>Ensure</w:t>
      </w:r>
      <w:r w:rsidR="00000000">
        <w:rPr>
          <w:color w:val="2C398A"/>
          <w:spacing w:val="-1"/>
        </w:rPr>
        <w:t xml:space="preserve"> </w:t>
      </w:r>
      <w:r w:rsidR="00000000">
        <w:rPr>
          <w:color w:val="2C398A"/>
        </w:rPr>
        <w:t>sustainable</w:t>
      </w:r>
      <w:r w:rsidR="00000000">
        <w:rPr>
          <w:color w:val="2C398A"/>
          <w:spacing w:val="-4"/>
        </w:rPr>
        <w:t xml:space="preserve"> </w:t>
      </w:r>
      <w:r w:rsidR="00000000">
        <w:rPr>
          <w:color w:val="2C398A"/>
        </w:rPr>
        <w:t>consumption</w:t>
      </w:r>
      <w:r w:rsidR="00000000">
        <w:rPr>
          <w:color w:val="2C398A"/>
          <w:spacing w:val="-3"/>
        </w:rPr>
        <w:t xml:space="preserve"> </w:t>
      </w:r>
      <w:r w:rsidR="00000000">
        <w:rPr>
          <w:color w:val="2C398A"/>
        </w:rPr>
        <w:t>and</w:t>
      </w:r>
      <w:r w:rsidR="00000000">
        <w:rPr>
          <w:color w:val="2C398A"/>
          <w:spacing w:val="-4"/>
        </w:rPr>
        <w:t xml:space="preserve"> </w:t>
      </w:r>
      <w:r w:rsidR="00000000">
        <w:rPr>
          <w:color w:val="2C398A"/>
        </w:rPr>
        <w:t>production</w:t>
      </w:r>
      <w:r w:rsidR="00000000">
        <w:rPr>
          <w:color w:val="2C398A"/>
          <w:spacing w:val="-2"/>
        </w:rPr>
        <w:t xml:space="preserve"> </w:t>
      </w:r>
      <w:r w:rsidR="00000000">
        <w:rPr>
          <w:color w:val="2C398A"/>
        </w:rPr>
        <w:t>patterns</w:t>
      </w:r>
    </w:p>
    <w:p w:rsidR="00A56FE9" w:rsidRDefault="00000000">
      <w:pPr>
        <w:pStyle w:val="Tijeloteksta"/>
        <w:spacing w:before="114"/>
        <w:ind w:right="274"/>
      </w:pPr>
      <w:r>
        <w:t>Contributing to this goal is the Government’s adoption of the Plan for the Prevention and</w:t>
      </w:r>
      <w:r>
        <w:rPr>
          <w:spacing w:val="1"/>
        </w:rPr>
        <w:t xml:space="preserve"> </w:t>
      </w:r>
      <w:r>
        <w:t>Reduction of Food Waste of the Republic of Croatia 2019-2022. Its implementation identified</w:t>
      </w:r>
      <w:r>
        <w:rPr>
          <w:spacing w:val="-57"/>
        </w:rPr>
        <w:t xml:space="preserve"> </w:t>
      </w:r>
      <w:r>
        <w:t>the need to enhance the food donation system as a measure of priority action due to its social</w:t>
      </w:r>
      <w:r>
        <w:rPr>
          <w:spacing w:val="1"/>
        </w:rPr>
        <w:t xml:space="preserve"> </w:t>
      </w:r>
      <w:r>
        <w:t>and environmental character. Accordingly, from 2015 until today, the legislative framework</w:t>
      </w:r>
      <w:r>
        <w:rPr>
          <w:spacing w:val="1"/>
        </w:rPr>
        <w:t xml:space="preserve"> </w:t>
      </w:r>
      <w:r>
        <w:t>has</w:t>
      </w:r>
      <w:r>
        <w:rPr>
          <w:spacing w:val="-4"/>
        </w:rPr>
        <w:t xml:space="preserve"> </w:t>
      </w:r>
      <w:r>
        <w:t>been</w:t>
      </w:r>
      <w:r>
        <w:rPr>
          <w:spacing w:val="-1"/>
        </w:rPr>
        <w:t xml:space="preserve"> </w:t>
      </w:r>
      <w:r>
        <w:t>improved,</w:t>
      </w:r>
      <w:r>
        <w:rPr>
          <w:spacing w:val="-3"/>
        </w:rPr>
        <w:t xml:space="preserve"> </w:t>
      </w:r>
      <w:r>
        <w:t>meaning</w:t>
      </w:r>
      <w:r>
        <w:rPr>
          <w:spacing w:val="-4"/>
        </w:rPr>
        <w:t xml:space="preserve"> </w:t>
      </w:r>
      <w:r>
        <w:t>that</w:t>
      </w:r>
      <w:r>
        <w:rPr>
          <w:spacing w:val="-1"/>
        </w:rPr>
        <w:t xml:space="preserve"> </w:t>
      </w:r>
      <w:r>
        <w:t>food</w:t>
      </w:r>
      <w:r>
        <w:rPr>
          <w:spacing w:val="-3"/>
        </w:rPr>
        <w:t xml:space="preserve"> </w:t>
      </w:r>
      <w:r>
        <w:t>can</w:t>
      </w:r>
      <w:r>
        <w:rPr>
          <w:spacing w:val="-4"/>
        </w:rPr>
        <w:t xml:space="preserve"> </w:t>
      </w:r>
      <w:r>
        <w:t>be</w:t>
      </w:r>
      <w:r>
        <w:rPr>
          <w:spacing w:val="-2"/>
        </w:rPr>
        <w:t xml:space="preserve"> </w:t>
      </w:r>
      <w:r>
        <w:t>donated</w:t>
      </w:r>
      <w:r>
        <w:rPr>
          <w:spacing w:val="-3"/>
        </w:rPr>
        <w:t xml:space="preserve"> </w:t>
      </w:r>
      <w:r>
        <w:t>even after</w:t>
      </w:r>
      <w:r>
        <w:rPr>
          <w:spacing w:val="-5"/>
        </w:rPr>
        <w:t xml:space="preserve"> </w:t>
      </w:r>
      <w:r>
        <w:t>the</w:t>
      </w:r>
      <w:r>
        <w:rPr>
          <w:spacing w:val="-1"/>
        </w:rPr>
        <w:t xml:space="preserve"> </w:t>
      </w:r>
      <w:r>
        <w:t>expiration</w:t>
      </w:r>
      <w:r>
        <w:rPr>
          <w:spacing w:val="-4"/>
        </w:rPr>
        <w:t xml:space="preserve"> </w:t>
      </w:r>
      <w:r>
        <w:t>of</w:t>
      </w:r>
      <w:r>
        <w:rPr>
          <w:spacing w:val="-2"/>
        </w:rPr>
        <w:t xml:space="preserve"> </w:t>
      </w:r>
      <w:r>
        <w:t>“best</w:t>
      </w:r>
      <w:r>
        <w:rPr>
          <w:spacing w:val="-3"/>
        </w:rPr>
        <w:t xml:space="preserve"> </w:t>
      </w:r>
      <w:r>
        <w:t>if</w:t>
      </w:r>
      <w:r>
        <w:rPr>
          <w:spacing w:val="-3"/>
        </w:rPr>
        <w:t xml:space="preserve"> </w:t>
      </w:r>
      <w:r>
        <w:t>used</w:t>
      </w:r>
      <w:r>
        <w:rPr>
          <w:spacing w:val="-58"/>
        </w:rPr>
        <w:t xml:space="preserve"> </w:t>
      </w:r>
      <w:r>
        <w:t>by”</w:t>
      </w:r>
      <w:r>
        <w:rPr>
          <w:spacing w:val="-6"/>
        </w:rPr>
        <w:t xml:space="preserve"> </w:t>
      </w:r>
      <w:r>
        <w:t>date</w:t>
      </w:r>
      <w:r>
        <w:rPr>
          <w:spacing w:val="-6"/>
        </w:rPr>
        <w:t xml:space="preserve"> </w:t>
      </w:r>
      <w:r>
        <w:t>in</w:t>
      </w:r>
      <w:r>
        <w:rPr>
          <w:spacing w:val="-7"/>
        </w:rPr>
        <w:t xml:space="preserve"> </w:t>
      </w:r>
      <w:r>
        <w:t>line</w:t>
      </w:r>
      <w:r>
        <w:rPr>
          <w:spacing w:val="-8"/>
        </w:rPr>
        <w:t xml:space="preserve"> </w:t>
      </w:r>
      <w:r>
        <w:t>with</w:t>
      </w:r>
      <w:r>
        <w:rPr>
          <w:spacing w:val="-7"/>
        </w:rPr>
        <w:t xml:space="preserve"> </w:t>
      </w:r>
      <w:r>
        <w:t>the</w:t>
      </w:r>
      <w:r>
        <w:rPr>
          <w:spacing w:val="-5"/>
        </w:rPr>
        <w:t xml:space="preserve"> </w:t>
      </w:r>
      <w:r>
        <w:t>guidelines</w:t>
      </w:r>
      <w:r>
        <w:rPr>
          <w:spacing w:val="-8"/>
        </w:rPr>
        <w:t xml:space="preserve"> </w:t>
      </w:r>
      <w:r>
        <w:t>published</w:t>
      </w:r>
      <w:r>
        <w:rPr>
          <w:spacing w:val="-8"/>
        </w:rPr>
        <w:t xml:space="preserve"> </w:t>
      </w:r>
      <w:r>
        <w:t>by</w:t>
      </w:r>
      <w:r>
        <w:rPr>
          <w:spacing w:val="-12"/>
        </w:rPr>
        <w:t xml:space="preserve"> </w:t>
      </w:r>
      <w:r>
        <w:t>the</w:t>
      </w:r>
      <w:r>
        <w:rPr>
          <w:spacing w:val="-9"/>
        </w:rPr>
        <w:t xml:space="preserve"> </w:t>
      </w:r>
      <w:r>
        <w:t>Croatian</w:t>
      </w:r>
      <w:r>
        <w:rPr>
          <w:spacing w:val="-1"/>
        </w:rPr>
        <w:t xml:space="preserve"> </w:t>
      </w:r>
      <w:r>
        <w:t>Agency</w:t>
      </w:r>
      <w:r>
        <w:rPr>
          <w:spacing w:val="-12"/>
        </w:rPr>
        <w:t xml:space="preserve"> </w:t>
      </w:r>
      <w:r>
        <w:t>for</w:t>
      </w:r>
      <w:r>
        <w:rPr>
          <w:spacing w:val="-7"/>
        </w:rPr>
        <w:t xml:space="preserve"> </w:t>
      </w:r>
      <w:r>
        <w:t>Food</w:t>
      </w:r>
      <w:r>
        <w:rPr>
          <w:spacing w:val="-8"/>
        </w:rPr>
        <w:t xml:space="preserve"> </w:t>
      </w:r>
      <w:r>
        <w:t>and</w:t>
      </w:r>
      <w:r>
        <w:rPr>
          <w:spacing w:val="-8"/>
        </w:rPr>
        <w:t xml:space="preserve"> </w:t>
      </w:r>
      <w:r>
        <w:t>Agriculture</w:t>
      </w:r>
      <w:r>
        <w:rPr>
          <w:spacing w:val="-57"/>
        </w:rPr>
        <w:t xml:space="preserve"> </w:t>
      </w:r>
      <w:r>
        <w:t>and</w:t>
      </w:r>
      <w:r>
        <w:rPr>
          <w:spacing w:val="-10"/>
        </w:rPr>
        <w:t xml:space="preserve"> </w:t>
      </w:r>
      <w:r>
        <w:t>tax</w:t>
      </w:r>
      <w:r>
        <w:rPr>
          <w:spacing w:val="-7"/>
        </w:rPr>
        <w:t xml:space="preserve"> </w:t>
      </w:r>
      <w:r>
        <w:t>incentives</w:t>
      </w:r>
      <w:r>
        <w:rPr>
          <w:spacing w:val="-8"/>
        </w:rPr>
        <w:t xml:space="preserve"> </w:t>
      </w:r>
      <w:r>
        <w:t>have</w:t>
      </w:r>
      <w:r>
        <w:rPr>
          <w:spacing w:val="-10"/>
        </w:rPr>
        <w:t xml:space="preserve"> </w:t>
      </w:r>
      <w:r>
        <w:t>been</w:t>
      </w:r>
      <w:r>
        <w:rPr>
          <w:spacing w:val="-9"/>
        </w:rPr>
        <w:t xml:space="preserve"> </w:t>
      </w:r>
      <w:r>
        <w:t>provided</w:t>
      </w:r>
      <w:r>
        <w:rPr>
          <w:spacing w:val="-7"/>
        </w:rPr>
        <w:t xml:space="preserve"> </w:t>
      </w:r>
      <w:r>
        <w:t>for</w:t>
      </w:r>
      <w:r>
        <w:rPr>
          <w:spacing w:val="-10"/>
        </w:rPr>
        <w:t xml:space="preserve"> </w:t>
      </w:r>
      <w:r>
        <w:t>donators,</w:t>
      </w:r>
      <w:r>
        <w:rPr>
          <w:spacing w:val="-9"/>
        </w:rPr>
        <w:t xml:space="preserve"> </w:t>
      </w:r>
      <w:r>
        <w:t>as</w:t>
      </w:r>
      <w:r>
        <w:rPr>
          <w:spacing w:val="-8"/>
        </w:rPr>
        <w:t xml:space="preserve"> </w:t>
      </w:r>
      <w:r>
        <w:t>well</w:t>
      </w:r>
      <w:r>
        <w:rPr>
          <w:spacing w:val="-8"/>
        </w:rPr>
        <w:t xml:space="preserve"> </w:t>
      </w:r>
      <w:r>
        <w:t>as</w:t>
      </w:r>
      <w:r>
        <w:rPr>
          <w:spacing w:val="-8"/>
        </w:rPr>
        <w:t xml:space="preserve"> </w:t>
      </w:r>
      <w:r>
        <w:t>administrative</w:t>
      </w:r>
      <w:r>
        <w:rPr>
          <w:spacing w:val="-11"/>
        </w:rPr>
        <w:t xml:space="preserve"> </w:t>
      </w:r>
      <w:r>
        <w:t>relief. In</w:t>
      </w:r>
      <w:r>
        <w:rPr>
          <w:spacing w:val="-9"/>
        </w:rPr>
        <w:t xml:space="preserve"> </w:t>
      </w:r>
      <w:r>
        <w:t>line</w:t>
      </w:r>
      <w:r>
        <w:rPr>
          <w:spacing w:val="-10"/>
        </w:rPr>
        <w:t xml:space="preserve"> </w:t>
      </w:r>
      <w:r>
        <w:t>with</w:t>
      </w:r>
      <w:r>
        <w:rPr>
          <w:spacing w:val="-58"/>
        </w:rPr>
        <w:t xml:space="preserve"> </w:t>
      </w:r>
      <w:r>
        <w:t>this</w:t>
      </w:r>
      <w:r>
        <w:rPr>
          <w:spacing w:val="-7"/>
        </w:rPr>
        <w:t xml:space="preserve"> </w:t>
      </w:r>
      <w:r>
        <w:t>approach,</w:t>
      </w:r>
      <w:r>
        <w:rPr>
          <w:spacing w:val="-6"/>
        </w:rPr>
        <w:t xml:space="preserve"> </w:t>
      </w:r>
      <w:r>
        <w:t>the</w:t>
      </w:r>
      <w:r>
        <w:rPr>
          <w:spacing w:val="-7"/>
        </w:rPr>
        <w:t xml:space="preserve"> </w:t>
      </w:r>
      <w:r>
        <w:t>Guide</w:t>
      </w:r>
      <w:r>
        <w:rPr>
          <w:spacing w:val="-7"/>
        </w:rPr>
        <w:t xml:space="preserve"> </w:t>
      </w:r>
      <w:r>
        <w:t>to</w:t>
      </w:r>
      <w:r>
        <w:rPr>
          <w:spacing w:val="-6"/>
        </w:rPr>
        <w:t xml:space="preserve"> </w:t>
      </w:r>
      <w:r>
        <w:t>Food</w:t>
      </w:r>
      <w:r>
        <w:rPr>
          <w:spacing w:val="-7"/>
        </w:rPr>
        <w:t xml:space="preserve"> </w:t>
      </w:r>
      <w:r>
        <w:t>Donations</w:t>
      </w:r>
      <w:r>
        <w:rPr>
          <w:spacing w:val="-6"/>
        </w:rPr>
        <w:t xml:space="preserve"> </w:t>
      </w:r>
      <w:r>
        <w:t>has</w:t>
      </w:r>
      <w:r>
        <w:rPr>
          <w:spacing w:val="-6"/>
        </w:rPr>
        <w:t xml:space="preserve"> </w:t>
      </w:r>
      <w:r>
        <w:t>been</w:t>
      </w:r>
      <w:r>
        <w:rPr>
          <w:spacing w:val="-6"/>
        </w:rPr>
        <w:t xml:space="preserve"> </w:t>
      </w:r>
      <w:r>
        <w:t>published,</w:t>
      </w:r>
      <w:r>
        <w:rPr>
          <w:spacing w:val="-6"/>
        </w:rPr>
        <w:t xml:space="preserve"> </w:t>
      </w:r>
      <w:r>
        <w:t>and</w:t>
      </w:r>
      <w:r>
        <w:rPr>
          <w:spacing w:val="-6"/>
        </w:rPr>
        <w:t xml:space="preserve"> </w:t>
      </w:r>
      <w:r>
        <w:t>workshops</w:t>
      </w:r>
      <w:r>
        <w:rPr>
          <w:spacing w:val="-6"/>
        </w:rPr>
        <w:t xml:space="preserve"> </w:t>
      </w:r>
      <w:r>
        <w:t>have</w:t>
      </w:r>
      <w:r>
        <w:rPr>
          <w:spacing w:val="-7"/>
        </w:rPr>
        <w:t xml:space="preserve"> </w:t>
      </w:r>
      <w:r>
        <w:t>been</w:t>
      </w:r>
      <w:r>
        <w:rPr>
          <w:spacing w:val="-6"/>
        </w:rPr>
        <w:t xml:space="preserve"> </w:t>
      </w:r>
      <w:r>
        <w:t>held</w:t>
      </w:r>
      <w:r>
        <w:rPr>
          <w:spacing w:val="-58"/>
        </w:rPr>
        <w:t xml:space="preserve"> </w:t>
      </w:r>
      <w:r>
        <w:t>for donors and intermediaries in the food donation chain. Furthermore, the e-donation project</w:t>
      </w:r>
      <w:r>
        <w:rPr>
          <w:spacing w:val="1"/>
        </w:rPr>
        <w:t xml:space="preserve"> </w:t>
      </w:r>
      <w:r>
        <w:t>has</w:t>
      </w:r>
      <w:r>
        <w:rPr>
          <w:spacing w:val="-1"/>
        </w:rPr>
        <w:t xml:space="preserve"> </w:t>
      </w:r>
      <w:r>
        <w:t>saved over</w:t>
      </w:r>
      <w:r>
        <w:rPr>
          <w:spacing w:val="-1"/>
        </w:rPr>
        <w:t xml:space="preserve"> </w:t>
      </w:r>
      <w:r>
        <w:t>200</w:t>
      </w:r>
      <w:r>
        <w:rPr>
          <w:spacing w:val="-1"/>
        </w:rPr>
        <w:t xml:space="preserve"> </w:t>
      </w:r>
      <w:r>
        <w:t>tons of</w:t>
      </w:r>
      <w:r>
        <w:rPr>
          <w:spacing w:val="-1"/>
        </w:rPr>
        <w:t xml:space="preserve"> </w:t>
      </w:r>
      <w:r>
        <w:t>food</w:t>
      </w:r>
      <w:r>
        <w:rPr>
          <w:spacing w:val="1"/>
        </w:rPr>
        <w:t xml:space="preserve"> </w:t>
      </w:r>
      <w:r>
        <w:t>so far,</w:t>
      </w:r>
      <w:r>
        <w:rPr>
          <w:spacing w:val="-1"/>
        </w:rPr>
        <w:t xml:space="preserve"> </w:t>
      </w:r>
      <w:r>
        <w:t>and includes 95</w:t>
      </w:r>
      <w:r>
        <w:rPr>
          <w:spacing w:val="-1"/>
        </w:rPr>
        <w:t xml:space="preserve"> </w:t>
      </w:r>
      <w:r>
        <w:t>intermediary</w:t>
      </w:r>
      <w:r>
        <w:rPr>
          <w:spacing w:val="-3"/>
        </w:rPr>
        <w:t xml:space="preserve"> </w:t>
      </w:r>
      <w:r>
        <w:t>and</w:t>
      </w:r>
      <w:r>
        <w:rPr>
          <w:spacing w:val="-1"/>
        </w:rPr>
        <w:t xml:space="preserve"> </w:t>
      </w:r>
      <w:r>
        <w:t>132 donor</w:t>
      </w:r>
      <w:r>
        <w:rPr>
          <w:spacing w:val="-1"/>
        </w:rPr>
        <w:t xml:space="preserve"> </w:t>
      </w:r>
      <w:r>
        <w:t>profiles.</w:t>
      </w:r>
    </w:p>
    <w:p w:rsidR="00A56FE9" w:rsidRDefault="00000000">
      <w:pPr>
        <w:pStyle w:val="Tijeloteksta"/>
        <w:spacing w:before="121"/>
        <w:ind w:right="277"/>
      </w:pPr>
      <w:r>
        <w:t>Sectoral guides for the prevention of food waste in retail/wholesale, catering and institutional</w:t>
      </w:r>
      <w:r>
        <w:rPr>
          <w:spacing w:val="1"/>
        </w:rPr>
        <w:t xml:space="preserve"> </w:t>
      </w:r>
      <w:r>
        <w:t>kitchens,</w:t>
      </w:r>
      <w:r>
        <w:rPr>
          <w:spacing w:val="-1"/>
        </w:rPr>
        <w:t xml:space="preserve"> </w:t>
      </w:r>
      <w:r>
        <w:t>in primary</w:t>
      </w:r>
      <w:r>
        <w:rPr>
          <w:spacing w:val="-5"/>
        </w:rPr>
        <w:t xml:space="preserve"> </w:t>
      </w:r>
      <w:r>
        <w:t>production</w:t>
      </w:r>
      <w:r>
        <w:rPr>
          <w:spacing w:val="-1"/>
        </w:rPr>
        <w:t xml:space="preserve"> </w:t>
      </w:r>
      <w:r>
        <w:t>and in food</w:t>
      </w:r>
      <w:r>
        <w:rPr>
          <w:spacing w:val="-1"/>
        </w:rPr>
        <w:t xml:space="preserve"> </w:t>
      </w:r>
      <w:r>
        <w:t>production and processing</w:t>
      </w:r>
      <w:r>
        <w:rPr>
          <w:spacing w:val="-4"/>
        </w:rPr>
        <w:t xml:space="preserve"> </w:t>
      </w:r>
      <w:r>
        <w:t>have</w:t>
      </w:r>
      <w:r>
        <w:rPr>
          <w:spacing w:val="-1"/>
        </w:rPr>
        <w:t xml:space="preserve"> </w:t>
      </w:r>
      <w:r>
        <w:t>been published.</w:t>
      </w:r>
    </w:p>
    <w:p w:rsidR="00A56FE9" w:rsidRDefault="00000000">
      <w:pPr>
        <w:pStyle w:val="Tijeloteksta"/>
        <w:spacing w:before="120"/>
        <w:ind w:right="272"/>
      </w:pPr>
      <w:r>
        <w:t>Special emphasis has been placed on educating and informing consumers, especially the</w:t>
      </w:r>
      <w:r>
        <w:rPr>
          <w:spacing w:val="1"/>
        </w:rPr>
        <w:t xml:space="preserve"> </w:t>
      </w:r>
      <w:r>
        <w:t>youngest ones. As part of the week marking the International Day of Awareness of Food Loss</w:t>
      </w:r>
      <w:r>
        <w:rPr>
          <w:spacing w:val="-57"/>
        </w:rPr>
        <w:t xml:space="preserve"> </w:t>
      </w:r>
      <w:r>
        <w:t>and Waste, the Ministry of Agriculture (MA) organised an exhibition of student projects and</w:t>
      </w:r>
      <w:r>
        <w:rPr>
          <w:spacing w:val="1"/>
        </w:rPr>
        <w:t xml:space="preserve"> </w:t>
      </w:r>
      <w:r>
        <w:rPr>
          <w:spacing w:val="-1"/>
        </w:rPr>
        <w:t>an</w:t>
      </w:r>
      <w:r>
        <w:rPr>
          <w:spacing w:val="-10"/>
        </w:rPr>
        <w:t xml:space="preserve"> </w:t>
      </w:r>
      <w:r>
        <w:t>educational</w:t>
      </w:r>
      <w:r>
        <w:rPr>
          <w:spacing w:val="-10"/>
        </w:rPr>
        <w:t xml:space="preserve"> </w:t>
      </w:r>
      <w:r>
        <w:t>day</w:t>
      </w:r>
      <w:r>
        <w:rPr>
          <w:spacing w:val="-15"/>
        </w:rPr>
        <w:t xml:space="preserve"> </w:t>
      </w:r>
      <w:r>
        <w:t>in</w:t>
      </w:r>
      <w:r>
        <w:rPr>
          <w:spacing w:val="-10"/>
        </w:rPr>
        <w:t xml:space="preserve"> </w:t>
      </w:r>
      <w:r>
        <w:t>schools</w:t>
      </w:r>
      <w:r>
        <w:rPr>
          <w:spacing w:val="-9"/>
        </w:rPr>
        <w:t xml:space="preserve"> </w:t>
      </w:r>
      <w:r>
        <w:t>in</w:t>
      </w:r>
      <w:r>
        <w:rPr>
          <w:spacing w:val="-10"/>
        </w:rPr>
        <w:t xml:space="preserve"> </w:t>
      </w:r>
      <w:r>
        <w:t>2021,</w:t>
      </w:r>
      <w:r>
        <w:rPr>
          <w:spacing w:val="-10"/>
        </w:rPr>
        <w:t xml:space="preserve"> </w:t>
      </w:r>
      <w:r>
        <w:t>during</w:t>
      </w:r>
      <w:r>
        <w:rPr>
          <w:spacing w:val="-13"/>
        </w:rPr>
        <w:t xml:space="preserve"> </w:t>
      </w:r>
      <w:r>
        <w:t>which</w:t>
      </w:r>
      <w:r>
        <w:rPr>
          <w:spacing w:val="-10"/>
        </w:rPr>
        <w:t xml:space="preserve"> </w:t>
      </w:r>
      <w:r>
        <w:t>a</w:t>
      </w:r>
      <w:r>
        <w:rPr>
          <w:spacing w:val="-10"/>
        </w:rPr>
        <w:t xml:space="preserve"> </w:t>
      </w:r>
      <w:r>
        <w:t>picture</w:t>
      </w:r>
      <w:r>
        <w:rPr>
          <w:spacing w:val="-9"/>
        </w:rPr>
        <w:t xml:space="preserve"> </w:t>
      </w:r>
      <w:r>
        <w:t>book</w:t>
      </w:r>
      <w:r>
        <w:rPr>
          <w:spacing w:val="-7"/>
        </w:rPr>
        <w:t xml:space="preserve"> </w:t>
      </w:r>
      <w:r>
        <w:t>titled</w:t>
      </w:r>
      <w:r>
        <w:rPr>
          <w:spacing w:val="-10"/>
        </w:rPr>
        <w:t xml:space="preserve"> </w:t>
      </w:r>
      <w:r>
        <w:t>“How</w:t>
      </w:r>
      <w:r>
        <w:rPr>
          <w:spacing w:val="-11"/>
        </w:rPr>
        <w:t xml:space="preserve"> </w:t>
      </w:r>
      <w:r>
        <w:t>Dora</w:t>
      </w:r>
      <w:r>
        <w:rPr>
          <w:spacing w:val="-9"/>
        </w:rPr>
        <w:t xml:space="preserve"> </w:t>
      </w:r>
      <w:r>
        <w:t>and</w:t>
      </w:r>
      <w:r>
        <w:rPr>
          <w:spacing w:val="-10"/>
        </w:rPr>
        <w:t xml:space="preserve"> </w:t>
      </w:r>
      <w:r>
        <w:t>Mario</w:t>
      </w:r>
      <w:r>
        <w:rPr>
          <w:spacing w:val="-57"/>
        </w:rPr>
        <w:t xml:space="preserve"> </w:t>
      </w:r>
      <w:r>
        <w:t>Saved Food” was distributed to first-grade pupils. Also, an expert meeting titled “Food is Not</w:t>
      </w:r>
      <w:r>
        <w:rPr>
          <w:spacing w:val="1"/>
        </w:rPr>
        <w:t xml:space="preserve"> </w:t>
      </w:r>
      <w:r>
        <w:t>Waste, Together Towards the Goal” was held, bringing together state, local and regional</w:t>
      </w:r>
      <w:r>
        <w:rPr>
          <w:spacing w:val="1"/>
        </w:rPr>
        <w:t xml:space="preserve"> </w:t>
      </w:r>
      <w:r>
        <w:t>government bodies, food businesses, the academic and scientific community as well as civil</w:t>
      </w:r>
      <w:r>
        <w:rPr>
          <w:spacing w:val="1"/>
        </w:rPr>
        <w:t xml:space="preserve"> </w:t>
      </w:r>
      <w:r>
        <w:t>society, with the aim of exchanging knowledge, information and experiences on the topic of</w:t>
      </w:r>
      <w:r>
        <w:rPr>
          <w:spacing w:val="1"/>
        </w:rPr>
        <w:t xml:space="preserve"> </w:t>
      </w:r>
      <w:r>
        <w:t>prevention of food waste. A booklet containing recipes for preparing dishes from surplus food</w:t>
      </w:r>
      <w:r>
        <w:rPr>
          <w:spacing w:val="-57"/>
        </w:rPr>
        <w:t xml:space="preserve"> </w:t>
      </w:r>
      <w:r>
        <w:t>and</w:t>
      </w:r>
      <w:r>
        <w:rPr>
          <w:spacing w:val="-14"/>
        </w:rPr>
        <w:t xml:space="preserve"> </w:t>
      </w:r>
      <w:r>
        <w:t>titled</w:t>
      </w:r>
      <w:r>
        <w:rPr>
          <w:spacing w:val="-13"/>
        </w:rPr>
        <w:t xml:space="preserve"> </w:t>
      </w:r>
      <w:r>
        <w:t>“I’ll</w:t>
      </w:r>
      <w:r>
        <w:rPr>
          <w:spacing w:val="-14"/>
        </w:rPr>
        <w:t xml:space="preserve"> </w:t>
      </w:r>
      <w:r>
        <w:t>Cook</w:t>
      </w:r>
      <w:r>
        <w:rPr>
          <w:spacing w:val="-11"/>
        </w:rPr>
        <w:t xml:space="preserve"> </w:t>
      </w:r>
      <w:r>
        <w:t>It</w:t>
      </w:r>
      <w:r>
        <w:rPr>
          <w:spacing w:val="-13"/>
        </w:rPr>
        <w:t xml:space="preserve"> </w:t>
      </w:r>
      <w:r>
        <w:t>and</w:t>
      </w:r>
      <w:r>
        <w:rPr>
          <w:spacing w:val="-14"/>
        </w:rPr>
        <w:t xml:space="preserve"> </w:t>
      </w:r>
      <w:r>
        <w:t>Not</w:t>
      </w:r>
      <w:r>
        <w:rPr>
          <w:spacing w:val="-14"/>
        </w:rPr>
        <w:t xml:space="preserve"> </w:t>
      </w:r>
      <w:r>
        <w:t>Throw</w:t>
      </w:r>
      <w:r>
        <w:rPr>
          <w:spacing w:val="-12"/>
        </w:rPr>
        <w:t xml:space="preserve"> </w:t>
      </w:r>
      <w:r>
        <w:t>It</w:t>
      </w:r>
      <w:r>
        <w:rPr>
          <w:spacing w:val="-14"/>
        </w:rPr>
        <w:t xml:space="preserve"> </w:t>
      </w:r>
      <w:r>
        <w:t>Away”</w:t>
      </w:r>
      <w:r>
        <w:rPr>
          <w:spacing w:val="-13"/>
        </w:rPr>
        <w:t xml:space="preserve"> </w:t>
      </w:r>
      <w:r>
        <w:t>has</w:t>
      </w:r>
      <w:r>
        <w:rPr>
          <w:spacing w:val="-14"/>
        </w:rPr>
        <w:t xml:space="preserve"> </w:t>
      </w:r>
      <w:r>
        <w:t>also</w:t>
      </w:r>
      <w:r>
        <w:rPr>
          <w:spacing w:val="-13"/>
        </w:rPr>
        <w:t xml:space="preserve"> </w:t>
      </w:r>
      <w:r>
        <w:t>been</w:t>
      </w:r>
      <w:r>
        <w:rPr>
          <w:spacing w:val="-13"/>
        </w:rPr>
        <w:t xml:space="preserve"> </w:t>
      </w:r>
      <w:r>
        <w:t>published.</w:t>
      </w:r>
      <w:r>
        <w:rPr>
          <w:spacing w:val="-12"/>
        </w:rPr>
        <w:t xml:space="preserve"> </w:t>
      </w:r>
      <w:r>
        <w:t>In</w:t>
      </w:r>
      <w:r>
        <w:rPr>
          <w:spacing w:val="-11"/>
        </w:rPr>
        <w:t xml:space="preserve"> </w:t>
      </w:r>
      <w:r>
        <w:t>December,</w:t>
      </w:r>
      <w:r>
        <w:rPr>
          <w:spacing w:val="-14"/>
        </w:rPr>
        <w:t xml:space="preserve"> </w:t>
      </w:r>
      <w:r>
        <w:t>a</w:t>
      </w:r>
      <w:r>
        <w:rPr>
          <w:spacing w:val="-15"/>
        </w:rPr>
        <w:t xml:space="preserve"> </w:t>
      </w:r>
      <w:r>
        <w:t>special</w:t>
      </w:r>
    </w:p>
    <w:p w:rsidR="00A56FE9" w:rsidRDefault="00A56FE9">
      <w:pPr>
        <w:sectPr w:rsidR="00A56FE9" w:rsidSect="00AB1E70">
          <w:pgSz w:w="11910" w:h="16840"/>
          <w:pgMar w:top="1320" w:right="1140" w:bottom="960" w:left="1280" w:header="0" w:footer="699" w:gutter="0"/>
          <w:cols w:space="720"/>
        </w:sectPr>
      </w:pPr>
    </w:p>
    <w:p w:rsidR="00A56FE9" w:rsidRDefault="00000000">
      <w:pPr>
        <w:pStyle w:val="Tijeloteksta"/>
        <w:spacing w:before="74"/>
        <w:ind w:right="277"/>
      </w:pPr>
      <w:r>
        <w:t>TV</w:t>
      </w:r>
      <w:r>
        <w:rPr>
          <w:spacing w:val="1"/>
        </w:rPr>
        <w:t xml:space="preserve"> </w:t>
      </w:r>
      <w:r>
        <w:t>and</w:t>
      </w:r>
      <w:r>
        <w:rPr>
          <w:spacing w:val="1"/>
        </w:rPr>
        <w:t xml:space="preserve"> </w:t>
      </w:r>
      <w:r>
        <w:t>radio</w:t>
      </w:r>
      <w:r>
        <w:rPr>
          <w:spacing w:val="1"/>
        </w:rPr>
        <w:t xml:space="preserve"> </w:t>
      </w:r>
      <w:r>
        <w:t>campaign</w:t>
      </w:r>
      <w:r>
        <w:rPr>
          <w:spacing w:val="1"/>
        </w:rPr>
        <w:t xml:space="preserve"> </w:t>
      </w:r>
      <w:r>
        <w:t>was</w:t>
      </w:r>
      <w:r>
        <w:rPr>
          <w:spacing w:val="1"/>
        </w:rPr>
        <w:t xml:space="preserve"> </w:t>
      </w:r>
      <w:r>
        <w:t>aired</w:t>
      </w:r>
      <w:r>
        <w:rPr>
          <w:spacing w:val="1"/>
        </w:rPr>
        <w:t xml:space="preserve"> </w:t>
      </w:r>
      <w:r>
        <w:t>to</w:t>
      </w:r>
      <w:r>
        <w:rPr>
          <w:spacing w:val="1"/>
        </w:rPr>
        <w:t xml:space="preserve"> </w:t>
      </w:r>
      <w:r>
        <w:t>raise</w:t>
      </w:r>
      <w:r>
        <w:rPr>
          <w:spacing w:val="1"/>
        </w:rPr>
        <w:t xml:space="preserve"> </w:t>
      </w:r>
      <w:r>
        <w:t>consumer</w:t>
      </w:r>
      <w:r>
        <w:rPr>
          <w:spacing w:val="1"/>
        </w:rPr>
        <w:t xml:space="preserve"> </w:t>
      </w:r>
      <w:r>
        <w:t>awareness,</w:t>
      </w:r>
      <w:r>
        <w:rPr>
          <w:spacing w:val="1"/>
        </w:rPr>
        <w:t xml:space="preserve"> </w:t>
      </w:r>
      <w:r>
        <w:t>as</w:t>
      </w:r>
      <w:r>
        <w:rPr>
          <w:spacing w:val="1"/>
        </w:rPr>
        <w:t xml:space="preserve"> </w:t>
      </w:r>
      <w:r>
        <w:t>well</w:t>
      </w:r>
      <w:r>
        <w:rPr>
          <w:spacing w:val="1"/>
        </w:rPr>
        <w:t xml:space="preserve"> </w:t>
      </w:r>
      <w:r>
        <w:t>as</w:t>
      </w:r>
      <w:r>
        <w:rPr>
          <w:spacing w:val="1"/>
        </w:rPr>
        <w:t xml:space="preserve"> </w:t>
      </w:r>
      <w:r>
        <w:t>educate</w:t>
      </w:r>
      <w:r>
        <w:rPr>
          <w:spacing w:val="1"/>
        </w:rPr>
        <w:t xml:space="preserve"> </w:t>
      </w:r>
      <w:r>
        <w:t>in</w:t>
      </w:r>
      <w:r>
        <w:rPr>
          <w:spacing w:val="1"/>
        </w:rPr>
        <w:t xml:space="preserve"> </w:t>
      </w:r>
      <w:r>
        <w:t>differentiating</w:t>
      </w:r>
      <w:r>
        <w:rPr>
          <w:spacing w:val="-4"/>
        </w:rPr>
        <w:t xml:space="preserve"> </w:t>
      </w:r>
      <w:r>
        <w:t>shelf life</w:t>
      </w:r>
      <w:r>
        <w:rPr>
          <w:spacing w:val="-1"/>
        </w:rPr>
        <w:t xml:space="preserve"> </w:t>
      </w:r>
      <w:r>
        <w:t>and reducing</w:t>
      </w:r>
      <w:r>
        <w:rPr>
          <w:spacing w:val="-3"/>
        </w:rPr>
        <w:t xml:space="preserve"> </w:t>
      </w:r>
      <w:r>
        <w:t>food</w:t>
      </w:r>
      <w:r>
        <w:rPr>
          <w:spacing w:val="-1"/>
        </w:rPr>
        <w:t xml:space="preserve"> </w:t>
      </w:r>
      <w:r>
        <w:t>waste.</w:t>
      </w:r>
    </w:p>
    <w:p w:rsidR="00A56FE9" w:rsidRDefault="00000000">
      <w:pPr>
        <w:pStyle w:val="Tijeloteksta"/>
        <w:spacing w:before="120"/>
        <w:ind w:right="271"/>
      </w:pPr>
      <w:r>
        <w:t>The</w:t>
      </w:r>
      <w:r>
        <w:rPr>
          <w:spacing w:val="-5"/>
        </w:rPr>
        <w:t xml:space="preserve"> </w:t>
      </w:r>
      <w:r>
        <w:t>continuation</w:t>
      </w:r>
      <w:r>
        <w:rPr>
          <w:spacing w:val="-3"/>
        </w:rPr>
        <w:t xml:space="preserve"> </w:t>
      </w:r>
      <w:r>
        <w:t>of</w:t>
      </w:r>
      <w:r>
        <w:rPr>
          <w:spacing w:val="-5"/>
        </w:rPr>
        <w:t xml:space="preserve"> </w:t>
      </w:r>
      <w:r>
        <w:t>activities</w:t>
      </w:r>
      <w:r>
        <w:rPr>
          <w:spacing w:val="-1"/>
        </w:rPr>
        <w:t xml:space="preserve"> </w:t>
      </w:r>
      <w:r>
        <w:t>in</w:t>
      </w:r>
      <w:r>
        <w:rPr>
          <w:spacing w:val="-3"/>
        </w:rPr>
        <w:t xml:space="preserve"> </w:t>
      </w:r>
      <w:r>
        <w:t>the</w:t>
      </w:r>
      <w:r>
        <w:rPr>
          <w:spacing w:val="-3"/>
        </w:rPr>
        <w:t xml:space="preserve"> </w:t>
      </w:r>
      <w:r>
        <w:t>prevention</w:t>
      </w:r>
      <w:r>
        <w:rPr>
          <w:spacing w:val="-4"/>
        </w:rPr>
        <w:t xml:space="preserve"> </w:t>
      </w:r>
      <w:r>
        <w:t>of</w:t>
      </w:r>
      <w:r>
        <w:rPr>
          <w:spacing w:val="-4"/>
        </w:rPr>
        <w:t xml:space="preserve"> </w:t>
      </w:r>
      <w:r>
        <w:t>food</w:t>
      </w:r>
      <w:r>
        <w:rPr>
          <w:spacing w:val="-5"/>
        </w:rPr>
        <w:t xml:space="preserve"> </w:t>
      </w:r>
      <w:r>
        <w:t>waste</w:t>
      </w:r>
      <w:r>
        <w:rPr>
          <w:spacing w:val="-3"/>
        </w:rPr>
        <w:t xml:space="preserve"> </w:t>
      </w:r>
      <w:r>
        <w:t>will</w:t>
      </w:r>
      <w:r>
        <w:rPr>
          <w:spacing w:val="-3"/>
        </w:rPr>
        <w:t xml:space="preserve"> </w:t>
      </w:r>
      <w:r>
        <w:t>be</w:t>
      </w:r>
      <w:r>
        <w:rPr>
          <w:spacing w:val="-4"/>
        </w:rPr>
        <w:t xml:space="preserve"> </w:t>
      </w:r>
      <w:r>
        <w:t>financed</w:t>
      </w:r>
      <w:r>
        <w:rPr>
          <w:spacing w:val="-1"/>
        </w:rPr>
        <w:t xml:space="preserve"> </w:t>
      </w:r>
      <w:r>
        <w:t>by</w:t>
      </w:r>
      <w:r>
        <w:rPr>
          <w:spacing w:val="-8"/>
        </w:rPr>
        <w:t xml:space="preserve"> </w:t>
      </w:r>
      <w:r>
        <w:t>the</w:t>
      </w:r>
      <w:r>
        <w:rPr>
          <w:spacing w:val="-4"/>
        </w:rPr>
        <w:t xml:space="preserve"> </w:t>
      </w:r>
      <w:r>
        <w:t>RRF, and</w:t>
      </w:r>
      <w:r>
        <w:rPr>
          <w:spacing w:val="-58"/>
        </w:rPr>
        <w:t xml:space="preserve"> </w:t>
      </w:r>
      <w:r>
        <w:t>with</w:t>
      </w:r>
      <w:r>
        <w:rPr>
          <w:spacing w:val="-9"/>
        </w:rPr>
        <w:t xml:space="preserve"> </w:t>
      </w:r>
      <w:r>
        <w:t>the</w:t>
      </w:r>
      <w:r>
        <w:rPr>
          <w:spacing w:val="-9"/>
        </w:rPr>
        <w:t xml:space="preserve"> </w:t>
      </w:r>
      <w:r>
        <w:t>implementation</w:t>
      </w:r>
      <w:r>
        <w:rPr>
          <w:spacing w:val="-11"/>
        </w:rPr>
        <w:t xml:space="preserve"> </w:t>
      </w:r>
      <w:r>
        <w:t>of</w:t>
      </w:r>
      <w:r>
        <w:rPr>
          <w:spacing w:val="-9"/>
        </w:rPr>
        <w:t xml:space="preserve"> </w:t>
      </w:r>
      <w:r>
        <w:t>the</w:t>
      </w:r>
      <w:r>
        <w:rPr>
          <w:spacing w:val="-9"/>
        </w:rPr>
        <w:t xml:space="preserve"> </w:t>
      </w:r>
      <w:r>
        <w:t>NRRP</w:t>
      </w:r>
      <w:r>
        <w:rPr>
          <w:spacing w:val="-10"/>
        </w:rPr>
        <w:t xml:space="preserve"> </w:t>
      </w:r>
      <w:r>
        <w:t>measure</w:t>
      </w:r>
      <w:r>
        <w:rPr>
          <w:spacing w:val="-10"/>
        </w:rPr>
        <w:t xml:space="preserve"> </w:t>
      </w:r>
      <w:r>
        <w:t>called</w:t>
      </w:r>
      <w:r>
        <w:rPr>
          <w:spacing w:val="-7"/>
        </w:rPr>
        <w:t xml:space="preserve"> </w:t>
      </w:r>
      <w:r>
        <w:t>Improving</w:t>
      </w:r>
      <w:r>
        <w:rPr>
          <w:spacing w:val="-11"/>
        </w:rPr>
        <w:t xml:space="preserve"> </w:t>
      </w:r>
      <w:r>
        <w:t>Food</w:t>
      </w:r>
      <w:r>
        <w:rPr>
          <w:spacing w:val="-9"/>
        </w:rPr>
        <w:t xml:space="preserve"> </w:t>
      </w:r>
      <w:r>
        <w:t>Donation</w:t>
      </w:r>
      <w:r>
        <w:rPr>
          <w:spacing w:val="-10"/>
        </w:rPr>
        <w:t xml:space="preserve"> </w:t>
      </w:r>
      <w:r>
        <w:t>Systems</w:t>
      </w:r>
      <w:r>
        <w:rPr>
          <w:spacing w:val="-7"/>
        </w:rPr>
        <w:t xml:space="preserve"> </w:t>
      </w:r>
      <w:r>
        <w:t>in</w:t>
      </w:r>
      <w:r>
        <w:rPr>
          <w:spacing w:val="-8"/>
        </w:rPr>
        <w:t xml:space="preserve"> </w:t>
      </w:r>
      <w:r>
        <w:t>the</w:t>
      </w:r>
      <w:r>
        <w:rPr>
          <w:spacing w:val="-58"/>
        </w:rPr>
        <w:t xml:space="preserve"> </w:t>
      </w:r>
      <w:r>
        <w:t>Republic</w:t>
      </w:r>
      <w:r>
        <w:rPr>
          <w:spacing w:val="-2"/>
        </w:rPr>
        <w:t xml:space="preserve"> </w:t>
      </w:r>
      <w:r>
        <w:t>of Croatia</w:t>
      </w:r>
      <w:r>
        <w:rPr>
          <w:spacing w:val="-1"/>
        </w:rPr>
        <w:t xml:space="preserve"> </w:t>
      </w:r>
      <w:r>
        <w:t>(HRK 32 million).</w:t>
      </w:r>
    </w:p>
    <w:p w:rsidR="00A56FE9" w:rsidRDefault="00000000">
      <w:pPr>
        <w:pStyle w:val="Tijeloteksta"/>
        <w:spacing w:before="121"/>
        <w:ind w:right="276"/>
      </w:pPr>
      <w:r>
        <w:t>Food donation has been on the rise ever since 2016, when data was first kept. In 2020, about</w:t>
      </w:r>
      <w:r>
        <w:rPr>
          <w:spacing w:val="1"/>
        </w:rPr>
        <w:t xml:space="preserve"> </w:t>
      </w:r>
      <w:r>
        <w:t>1,700 tons of food were donated, an increase of about 13% compared to 2019. The increase in</w:t>
      </w:r>
      <w:r>
        <w:rPr>
          <w:spacing w:val="-57"/>
        </w:rPr>
        <w:t xml:space="preserve"> </w:t>
      </w:r>
      <w:r>
        <w:t>the total purchase value of donated food in 2020 (HRK 19.28 million) increased by 48.4%</w:t>
      </w:r>
      <w:r>
        <w:rPr>
          <w:spacing w:val="1"/>
        </w:rPr>
        <w:t xml:space="preserve"> </w:t>
      </w:r>
      <w:r>
        <w:t>compared</w:t>
      </w:r>
      <w:r>
        <w:rPr>
          <w:spacing w:val="-1"/>
        </w:rPr>
        <w:t xml:space="preserve"> </w:t>
      </w:r>
      <w:r>
        <w:t>to 2019 (HRK</w:t>
      </w:r>
      <w:r>
        <w:rPr>
          <w:spacing w:val="1"/>
        </w:rPr>
        <w:t xml:space="preserve"> </w:t>
      </w:r>
      <w:r>
        <w:t>12.99 million).</w:t>
      </w:r>
    </w:p>
    <w:p w:rsidR="00A56FE9" w:rsidRDefault="00000000">
      <w:pPr>
        <w:pStyle w:val="Tijeloteksta"/>
        <w:spacing w:before="120"/>
        <w:ind w:right="272"/>
      </w:pPr>
      <w:r>
        <w:t>In January 2022, preliminary data from the statistical survey on the amount of food waste was</w:t>
      </w:r>
      <w:r>
        <w:rPr>
          <w:spacing w:val="-57"/>
        </w:rPr>
        <w:t xml:space="preserve"> </w:t>
      </w:r>
      <w:r>
        <w:t>published, indicating that about 296 thousand tons of food are thrown away in Croatia every</w:t>
      </w:r>
      <w:r>
        <w:rPr>
          <w:spacing w:val="1"/>
        </w:rPr>
        <w:t xml:space="preserve"> </w:t>
      </w:r>
      <w:r>
        <w:t>year.</w:t>
      </w:r>
      <w:r>
        <w:rPr>
          <w:spacing w:val="-12"/>
        </w:rPr>
        <w:t xml:space="preserve"> </w:t>
      </w:r>
      <w:r>
        <w:t>This</w:t>
      </w:r>
      <w:r>
        <w:rPr>
          <w:spacing w:val="-11"/>
        </w:rPr>
        <w:t xml:space="preserve"> </w:t>
      </w:r>
      <w:r>
        <w:t>data</w:t>
      </w:r>
      <w:r>
        <w:rPr>
          <w:spacing w:val="-10"/>
        </w:rPr>
        <w:t xml:space="preserve"> </w:t>
      </w:r>
      <w:r>
        <w:t>is</w:t>
      </w:r>
      <w:r>
        <w:rPr>
          <w:spacing w:val="-10"/>
        </w:rPr>
        <w:t xml:space="preserve"> </w:t>
      </w:r>
      <w:r>
        <w:t>of</w:t>
      </w:r>
      <w:r>
        <w:rPr>
          <w:spacing w:val="-8"/>
        </w:rPr>
        <w:t xml:space="preserve"> </w:t>
      </w:r>
      <w:r>
        <w:t>great</w:t>
      </w:r>
      <w:r>
        <w:rPr>
          <w:spacing w:val="-8"/>
        </w:rPr>
        <w:t xml:space="preserve"> </w:t>
      </w:r>
      <w:r>
        <w:t>importance</w:t>
      </w:r>
      <w:r>
        <w:rPr>
          <w:spacing w:val="-10"/>
        </w:rPr>
        <w:t xml:space="preserve"> </w:t>
      </w:r>
      <w:r>
        <w:t>and</w:t>
      </w:r>
      <w:r>
        <w:rPr>
          <w:spacing w:val="-11"/>
        </w:rPr>
        <w:t xml:space="preserve"> </w:t>
      </w:r>
      <w:r>
        <w:t>is</w:t>
      </w:r>
      <w:r>
        <w:rPr>
          <w:spacing w:val="-9"/>
        </w:rPr>
        <w:t xml:space="preserve"> </w:t>
      </w:r>
      <w:r>
        <w:t>the</w:t>
      </w:r>
      <w:r>
        <w:rPr>
          <w:spacing w:val="-9"/>
        </w:rPr>
        <w:t xml:space="preserve"> </w:t>
      </w:r>
      <w:r>
        <w:t>first</w:t>
      </w:r>
      <w:r>
        <w:rPr>
          <w:spacing w:val="-11"/>
        </w:rPr>
        <w:t xml:space="preserve"> </w:t>
      </w:r>
      <w:r>
        <w:t>of</w:t>
      </w:r>
      <w:r>
        <w:rPr>
          <w:spacing w:val="-10"/>
        </w:rPr>
        <w:t xml:space="preserve"> </w:t>
      </w:r>
      <w:r>
        <w:t>its</w:t>
      </w:r>
      <w:r>
        <w:rPr>
          <w:spacing w:val="-11"/>
        </w:rPr>
        <w:t xml:space="preserve"> </w:t>
      </w:r>
      <w:r>
        <w:t>kind</w:t>
      </w:r>
      <w:r>
        <w:rPr>
          <w:spacing w:val="-10"/>
        </w:rPr>
        <w:t xml:space="preserve"> </w:t>
      </w:r>
      <w:r>
        <w:t>in</w:t>
      </w:r>
      <w:r>
        <w:rPr>
          <w:spacing w:val="-11"/>
        </w:rPr>
        <w:t xml:space="preserve"> </w:t>
      </w:r>
      <w:r>
        <w:t>Croatia,</w:t>
      </w:r>
      <w:r>
        <w:rPr>
          <w:spacing w:val="-10"/>
        </w:rPr>
        <w:t xml:space="preserve"> </w:t>
      </w:r>
      <w:r>
        <w:t>providing</w:t>
      </w:r>
      <w:r>
        <w:rPr>
          <w:spacing w:val="-12"/>
        </w:rPr>
        <w:t xml:space="preserve"> </w:t>
      </w:r>
      <w:r>
        <w:t>the</w:t>
      </w:r>
      <w:r>
        <w:rPr>
          <w:spacing w:val="-11"/>
        </w:rPr>
        <w:t xml:space="preserve"> </w:t>
      </w:r>
      <w:r>
        <w:t>starting</w:t>
      </w:r>
      <w:r>
        <w:rPr>
          <w:spacing w:val="-58"/>
        </w:rPr>
        <w:t xml:space="preserve"> </w:t>
      </w:r>
      <w:r>
        <w:t>point for</w:t>
      </w:r>
      <w:r>
        <w:rPr>
          <w:spacing w:val="-3"/>
        </w:rPr>
        <w:t xml:space="preserve"> </w:t>
      </w:r>
      <w:r>
        <w:t>further evaluating</w:t>
      </w:r>
      <w:r>
        <w:rPr>
          <w:spacing w:val="-4"/>
        </w:rPr>
        <w:t xml:space="preserve"> </w:t>
      </w:r>
      <w:r>
        <w:t>and monitoring</w:t>
      </w:r>
      <w:r>
        <w:rPr>
          <w:spacing w:val="-4"/>
        </w:rPr>
        <w:t xml:space="preserve"> </w:t>
      </w:r>
      <w:r>
        <w:t>the progress</w:t>
      </w:r>
      <w:r>
        <w:rPr>
          <w:spacing w:val="1"/>
        </w:rPr>
        <w:t xml:space="preserve"> </w:t>
      </w:r>
      <w:r>
        <w:t>of</w:t>
      </w:r>
      <w:r>
        <w:rPr>
          <w:spacing w:val="-1"/>
        </w:rPr>
        <w:t xml:space="preserve"> </w:t>
      </w:r>
      <w:r>
        <w:t>activities in</w:t>
      </w:r>
      <w:r>
        <w:rPr>
          <w:spacing w:val="-1"/>
        </w:rPr>
        <w:t xml:space="preserve"> </w:t>
      </w:r>
      <w:r>
        <w:t>preventing</w:t>
      </w:r>
      <w:r>
        <w:rPr>
          <w:spacing w:val="-3"/>
        </w:rPr>
        <w:t xml:space="preserve"> </w:t>
      </w:r>
      <w:r>
        <w:t>food</w:t>
      </w:r>
      <w:r>
        <w:rPr>
          <w:spacing w:val="1"/>
        </w:rPr>
        <w:t xml:space="preserve"> </w:t>
      </w:r>
      <w:r>
        <w:t>waste.</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695872"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63787591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61DD2" id="Rectangle 33" o:spid="_x0000_s1026" style="position:absolute;margin-left:69.5pt;margin-top:9.8pt;width:45.25pt;height:1.45pt;z-index:-15620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1"/>
      </w:pPr>
      <w:r>
        <w:t>In 2021, educational courses were prepared and conducted for Ministry of Tourism and Sport</w:t>
      </w:r>
      <w:r>
        <w:rPr>
          <w:spacing w:val="1"/>
        </w:rPr>
        <w:t xml:space="preserve"> </w:t>
      </w:r>
      <w:r>
        <w:t>(MTS) officials and potential beneficiaries of funds allocated within the NRPP (C1.6.) for</w:t>
      </w:r>
      <w:r>
        <w:rPr>
          <w:spacing w:val="1"/>
        </w:rPr>
        <w:t xml:space="preserve"> </w:t>
      </w:r>
      <w:r>
        <w:t>developing sustainable, innovative and resilient tourism. The Croatian Portal on Sustainable</w:t>
      </w:r>
      <w:r>
        <w:rPr>
          <w:spacing w:val="1"/>
        </w:rPr>
        <w:t xml:space="preserve"> </w:t>
      </w:r>
      <w:r>
        <w:t>Tourism will be further improved and developed in 2022 to raise awareness of sustainable</w:t>
      </w:r>
      <w:r>
        <w:rPr>
          <w:spacing w:val="1"/>
        </w:rPr>
        <w:t xml:space="preserve"> </w:t>
      </w:r>
      <w:r>
        <w:t>development,</w:t>
      </w:r>
      <w:r>
        <w:rPr>
          <w:spacing w:val="1"/>
        </w:rPr>
        <w:t xml:space="preserve"> </w:t>
      </w:r>
      <w:r>
        <w:t>provide</w:t>
      </w:r>
      <w:r>
        <w:rPr>
          <w:spacing w:val="1"/>
        </w:rPr>
        <w:t xml:space="preserve"> </w:t>
      </w:r>
      <w:r>
        <w:t>transparent</w:t>
      </w:r>
      <w:r>
        <w:rPr>
          <w:spacing w:val="1"/>
        </w:rPr>
        <w:t xml:space="preserve"> </w:t>
      </w:r>
      <w:r>
        <w:t>monitoring</w:t>
      </w:r>
      <w:r>
        <w:rPr>
          <w:spacing w:val="1"/>
        </w:rPr>
        <w:t xml:space="preserve"> </w:t>
      </w:r>
      <w:r>
        <w:t>and</w:t>
      </w:r>
      <w:r>
        <w:rPr>
          <w:spacing w:val="1"/>
        </w:rPr>
        <w:t xml:space="preserve"> </w:t>
      </w:r>
      <w:r>
        <w:t>reporting</w:t>
      </w:r>
      <w:r>
        <w:rPr>
          <w:spacing w:val="1"/>
        </w:rPr>
        <w:t xml:space="preserve"> </w:t>
      </w:r>
      <w:r>
        <w:t>on</w:t>
      </w:r>
      <w:r>
        <w:rPr>
          <w:spacing w:val="1"/>
        </w:rPr>
        <w:t xml:space="preserve"> </w:t>
      </w:r>
      <w:r>
        <w:t>the</w:t>
      </w:r>
      <w:r>
        <w:rPr>
          <w:spacing w:val="1"/>
        </w:rPr>
        <w:t xml:space="preserve"> </w:t>
      </w:r>
      <w:r>
        <w:t>impact</w:t>
      </w:r>
      <w:r>
        <w:rPr>
          <w:spacing w:val="1"/>
        </w:rPr>
        <w:t xml:space="preserve"> </w:t>
      </w:r>
      <w:r>
        <w:t>of</w:t>
      </w:r>
      <w:r>
        <w:rPr>
          <w:spacing w:val="1"/>
        </w:rPr>
        <w:t xml:space="preserve"> </w:t>
      </w:r>
      <w:r>
        <w:t>sustainable</w:t>
      </w:r>
      <w:r>
        <w:rPr>
          <w:spacing w:val="-57"/>
        </w:rPr>
        <w:t xml:space="preserve"> </w:t>
      </w:r>
      <w:r>
        <w:t>development</w:t>
      </w:r>
      <w:r>
        <w:rPr>
          <w:spacing w:val="1"/>
        </w:rPr>
        <w:t xml:space="preserve"> </w:t>
      </w:r>
      <w:r>
        <w:t>on</w:t>
      </w:r>
      <w:r>
        <w:rPr>
          <w:spacing w:val="1"/>
        </w:rPr>
        <w:t xml:space="preserve"> </w:t>
      </w:r>
      <w:r>
        <w:t>tourism,</w:t>
      </w:r>
      <w:r>
        <w:rPr>
          <w:spacing w:val="1"/>
        </w:rPr>
        <w:t xml:space="preserve"> </w:t>
      </w:r>
      <w:r>
        <w:t>thus</w:t>
      </w:r>
      <w:r>
        <w:rPr>
          <w:spacing w:val="1"/>
        </w:rPr>
        <w:t xml:space="preserve"> </w:t>
      </w:r>
      <w:r>
        <w:t>promoting</w:t>
      </w:r>
      <w:r>
        <w:rPr>
          <w:spacing w:val="1"/>
        </w:rPr>
        <w:t xml:space="preserve"> </w:t>
      </w:r>
      <w:r>
        <w:t>sustainable</w:t>
      </w:r>
      <w:r>
        <w:rPr>
          <w:spacing w:val="1"/>
        </w:rPr>
        <w:t xml:space="preserve"> </w:t>
      </w:r>
      <w:r>
        <w:t>tourism</w:t>
      </w:r>
      <w:r>
        <w:rPr>
          <w:spacing w:val="1"/>
        </w:rPr>
        <w:t xml:space="preserve"> </w:t>
      </w:r>
      <w:r>
        <w:t>practices</w:t>
      </w:r>
      <w:r>
        <w:rPr>
          <w:spacing w:val="1"/>
        </w:rPr>
        <w:t xml:space="preserve"> </w:t>
      </w:r>
      <w:r>
        <w:t>while</w:t>
      </w:r>
      <w:r>
        <w:rPr>
          <w:spacing w:val="1"/>
        </w:rPr>
        <w:t xml:space="preserve"> </w:t>
      </w:r>
      <w:r>
        <w:t>linking</w:t>
      </w:r>
      <w:r>
        <w:rPr>
          <w:spacing w:val="1"/>
        </w:rPr>
        <w:t xml:space="preserve"> </w:t>
      </w:r>
      <w:r>
        <w:t>up</w:t>
      </w:r>
      <w:r>
        <w:rPr>
          <w:spacing w:val="1"/>
        </w:rPr>
        <w:t xml:space="preserve"> </w:t>
      </w:r>
      <w:r>
        <w:t>stakeholders in tourism and beyond, and also raising awareness and informing the public. To</w:t>
      </w:r>
      <w:r>
        <w:rPr>
          <w:spacing w:val="1"/>
        </w:rPr>
        <w:t xml:space="preserve"> </w:t>
      </w:r>
      <w:r>
        <w:t>implement the sustainable development policy and enhance the efficiency and utilisation of</w:t>
      </w:r>
      <w:r>
        <w:rPr>
          <w:spacing w:val="1"/>
        </w:rPr>
        <w:t xml:space="preserve"> </w:t>
      </w:r>
      <w:r>
        <w:t>resources in the production and consumption within the tourism sector, outside the NRRP</w:t>
      </w:r>
      <w:r>
        <w:rPr>
          <w:spacing w:val="1"/>
        </w:rPr>
        <w:t xml:space="preserve"> </w:t>
      </w:r>
      <w:r>
        <w:t>reform, improvements were made in adopting sustainable practices and reporting through the</w:t>
      </w:r>
      <w:r>
        <w:rPr>
          <w:spacing w:val="1"/>
        </w:rPr>
        <w:t xml:space="preserve"> </w:t>
      </w:r>
      <w:r>
        <w:t>EU Ecolabel certification of tourism companies. Moreover, projects such as the project to</w:t>
      </w:r>
      <w:r>
        <w:rPr>
          <w:spacing w:val="1"/>
        </w:rPr>
        <w:t xml:space="preserve"> </w:t>
      </w:r>
      <w:r>
        <w:t>reduce food waste in the hotel industry were implemented and continue to raise the quality of</w:t>
      </w:r>
      <w:r>
        <w:rPr>
          <w:spacing w:val="1"/>
        </w:rPr>
        <w:t xml:space="preserve"> </w:t>
      </w:r>
      <w:r>
        <w:t>sustainable</w:t>
      </w:r>
      <w:r>
        <w:rPr>
          <w:spacing w:val="-7"/>
        </w:rPr>
        <w:t xml:space="preserve"> </w:t>
      </w:r>
      <w:r>
        <w:t>destination</w:t>
      </w:r>
      <w:r>
        <w:rPr>
          <w:spacing w:val="-5"/>
        </w:rPr>
        <w:t xml:space="preserve"> </w:t>
      </w:r>
      <w:r>
        <w:t>management</w:t>
      </w:r>
      <w:r>
        <w:rPr>
          <w:spacing w:val="-3"/>
        </w:rPr>
        <w:t xml:space="preserve"> </w:t>
      </w:r>
      <w:r>
        <w:t>by</w:t>
      </w:r>
      <w:r>
        <w:rPr>
          <w:spacing w:val="-10"/>
        </w:rPr>
        <w:t xml:space="preserve"> </w:t>
      </w:r>
      <w:r>
        <w:t>providing</w:t>
      </w:r>
      <w:r>
        <w:rPr>
          <w:spacing w:val="-5"/>
        </w:rPr>
        <w:t xml:space="preserve"> </w:t>
      </w:r>
      <w:r>
        <w:t>support</w:t>
      </w:r>
      <w:r>
        <w:rPr>
          <w:spacing w:val="-5"/>
        </w:rPr>
        <w:t xml:space="preserve"> </w:t>
      </w:r>
      <w:r>
        <w:t>for</w:t>
      </w:r>
      <w:r>
        <w:rPr>
          <w:spacing w:val="-7"/>
        </w:rPr>
        <w:t xml:space="preserve"> </w:t>
      </w:r>
      <w:r>
        <w:t>monitoring</w:t>
      </w:r>
      <w:r>
        <w:rPr>
          <w:spacing w:val="-7"/>
        </w:rPr>
        <w:t xml:space="preserve"> </w:t>
      </w:r>
      <w:r>
        <w:t>the</w:t>
      </w:r>
      <w:r>
        <w:rPr>
          <w:spacing w:val="-6"/>
        </w:rPr>
        <w:t xml:space="preserve"> </w:t>
      </w:r>
      <w:r>
        <w:t>impact</w:t>
      </w:r>
      <w:r>
        <w:rPr>
          <w:spacing w:val="-5"/>
        </w:rPr>
        <w:t xml:space="preserve"> </w:t>
      </w:r>
      <w:r>
        <w:t>of</w:t>
      </w:r>
      <w:r>
        <w:rPr>
          <w:spacing w:val="-6"/>
        </w:rPr>
        <w:t xml:space="preserve"> </w:t>
      </w:r>
      <w:r>
        <w:t>tourism</w:t>
      </w:r>
      <w:r>
        <w:rPr>
          <w:spacing w:val="-57"/>
        </w:rPr>
        <w:t xml:space="preserve"> </w:t>
      </w:r>
      <w:r>
        <w:t>on the environment and vice versa with the support of the Croatian Sustainable Tourism</w:t>
      </w:r>
      <w:r>
        <w:rPr>
          <w:spacing w:val="1"/>
        </w:rPr>
        <w:t xml:space="preserve"> </w:t>
      </w:r>
      <w:r>
        <w:t>Observatory (CROSTO). All these activities will continue in 2022 upon the launching of new</w:t>
      </w:r>
      <w:r>
        <w:rPr>
          <w:spacing w:val="1"/>
        </w:rPr>
        <w:t xml:space="preserve"> </w:t>
      </w:r>
      <w:r>
        <w:t>projects, such as the project for the reduction of disposable plastic waste within the Global</w:t>
      </w:r>
      <w:r>
        <w:rPr>
          <w:spacing w:val="1"/>
        </w:rPr>
        <w:t xml:space="preserve"> </w:t>
      </w:r>
      <w:r>
        <w:t>Tourism</w:t>
      </w:r>
      <w:r>
        <w:rPr>
          <w:spacing w:val="-1"/>
        </w:rPr>
        <w:t xml:space="preserve"> </w:t>
      </w:r>
      <w:r>
        <w:t>Plastics</w:t>
      </w:r>
      <w:r>
        <w:rPr>
          <w:spacing w:val="2"/>
        </w:rPr>
        <w:t xml:space="preserve"> </w:t>
      </w:r>
      <w:r>
        <w:t>Initiative (UNWTO).</w:t>
      </w:r>
    </w:p>
    <w:p w:rsidR="00A56FE9" w:rsidRDefault="00A56FE9">
      <w:pPr>
        <w:pStyle w:val="Tijeloteksta"/>
        <w:ind w:left="0"/>
        <w:jc w:val="left"/>
        <w:rPr>
          <w:sz w:val="32"/>
        </w:rPr>
      </w:pPr>
    </w:p>
    <w:p w:rsidR="00A56FE9" w:rsidRDefault="00CC1B9B">
      <w:pPr>
        <w:pStyle w:val="Naslov4"/>
        <w:spacing w:before="1"/>
      </w:pPr>
      <w:r>
        <w:rPr>
          <w:noProof/>
        </w:rPr>
        <mc:AlternateContent>
          <mc:Choice Requires="wps">
            <w:drawing>
              <wp:anchor distT="0" distB="0" distL="114300" distR="114300" simplePos="0" relativeHeight="15838208" behindDoc="0" locked="0" layoutInCell="1" allowOverlap="1">
                <wp:simplePos x="0" y="0"/>
                <wp:positionH relativeFrom="page">
                  <wp:posOffset>814070</wp:posOffset>
                </wp:positionH>
                <wp:positionV relativeFrom="paragraph">
                  <wp:posOffset>-153035</wp:posOffset>
                </wp:positionV>
                <wp:extent cx="18415" cy="419100"/>
                <wp:effectExtent l="0" t="0" r="0" b="0"/>
                <wp:wrapNone/>
                <wp:docPr id="182846636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419100"/>
                        </a:xfrm>
                        <a:prstGeom prst="rect">
                          <a:avLst/>
                        </a:prstGeom>
                        <a:solidFill>
                          <a:srgbClr val="DA1F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4477C" id="Rectangle 32" o:spid="_x0000_s1026" style="position:absolute;margin-left:64.1pt;margin-top:-12.05pt;width:1.45pt;height:33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" fillcolor="#da1f2c" stroked="f">
                <w10:wrap anchorx="page"/>
              </v:rect>
            </w:pict>
          </mc:Fallback>
        </mc:AlternateContent>
      </w:r>
      <w:r w:rsidR="00000000">
        <w:rPr>
          <w:color w:val="2C398A"/>
        </w:rPr>
        <w:t>Goal</w:t>
      </w:r>
      <w:r w:rsidR="00000000">
        <w:rPr>
          <w:color w:val="2C398A"/>
          <w:spacing w:val="-5"/>
        </w:rPr>
        <w:t xml:space="preserve"> </w:t>
      </w:r>
      <w:r w:rsidR="00000000">
        <w:rPr>
          <w:color w:val="2C398A"/>
        </w:rPr>
        <w:t>13.</w:t>
      </w:r>
      <w:r w:rsidR="00000000">
        <w:rPr>
          <w:color w:val="2C398A"/>
          <w:spacing w:val="-2"/>
        </w:rPr>
        <w:t xml:space="preserve"> </w:t>
      </w:r>
      <w:r w:rsidR="00000000">
        <w:rPr>
          <w:color w:val="2C398A"/>
        </w:rPr>
        <w:t>Take</w:t>
      </w:r>
      <w:r w:rsidR="00000000">
        <w:rPr>
          <w:color w:val="2C398A"/>
          <w:spacing w:val="-5"/>
        </w:rPr>
        <w:t xml:space="preserve"> </w:t>
      </w:r>
      <w:r w:rsidR="00000000">
        <w:rPr>
          <w:color w:val="2C398A"/>
        </w:rPr>
        <w:t>urgent</w:t>
      </w:r>
      <w:r w:rsidR="00000000">
        <w:rPr>
          <w:color w:val="2C398A"/>
          <w:spacing w:val="-2"/>
        </w:rPr>
        <w:t xml:space="preserve"> </w:t>
      </w:r>
      <w:r w:rsidR="00000000">
        <w:rPr>
          <w:color w:val="2C398A"/>
        </w:rPr>
        <w:t>action</w:t>
      </w:r>
      <w:r w:rsidR="00000000">
        <w:rPr>
          <w:color w:val="2C398A"/>
          <w:spacing w:val="-5"/>
        </w:rPr>
        <w:t xml:space="preserve"> </w:t>
      </w:r>
      <w:r w:rsidR="00000000">
        <w:rPr>
          <w:color w:val="2C398A"/>
        </w:rPr>
        <w:t>to</w:t>
      </w:r>
      <w:r w:rsidR="00000000">
        <w:rPr>
          <w:color w:val="2C398A"/>
          <w:spacing w:val="-5"/>
        </w:rPr>
        <w:t xml:space="preserve"> </w:t>
      </w:r>
      <w:r w:rsidR="00000000">
        <w:rPr>
          <w:color w:val="2C398A"/>
        </w:rPr>
        <w:t>combat</w:t>
      </w:r>
      <w:r w:rsidR="00000000">
        <w:rPr>
          <w:color w:val="2C398A"/>
          <w:spacing w:val="-5"/>
        </w:rPr>
        <w:t xml:space="preserve"> </w:t>
      </w:r>
      <w:r w:rsidR="00000000">
        <w:rPr>
          <w:color w:val="2C398A"/>
        </w:rPr>
        <w:t>climate</w:t>
      </w:r>
      <w:r w:rsidR="00000000">
        <w:rPr>
          <w:color w:val="2C398A"/>
          <w:spacing w:val="-5"/>
        </w:rPr>
        <w:t xml:space="preserve"> </w:t>
      </w:r>
      <w:r w:rsidR="00000000">
        <w:rPr>
          <w:color w:val="2C398A"/>
        </w:rPr>
        <w:t>change</w:t>
      </w:r>
      <w:r w:rsidR="00000000">
        <w:rPr>
          <w:color w:val="2C398A"/>
          <w:spacing w:val="-2"/>
        </w:rPr>
        <w:t xml:space="preserve"> </w:t>
      </w:r>
      <w:r w:rsidR="00000000">
        <w:rPr>
          <w:color w:val="2C398A"/>
        </w:rPr>
        <w:t>and</w:t>
      </w:r>
      <w:r w:rsidR="00000000">
        <w:rPr>
          <w:color w:val="2C398A"/>
          <w:spacing w:val="-5"/>
        </w:rPr>
        <w:t xml:space="preserve"> </w:t>
      </w:r>
      <w:r w:rsidR="00000000">
        <w:rPr>
          <w:color w:val="2C398A"/>
        </w:rPr>
        <w:t>its</w:t>
      </w:r>
      <w:r w:rsidR="00000000">
        <w:rPr>
          <w:color w:val="2C398A"/>
          <w:spacing w:val="-4"/>
        </w:rPr>
        <w:t xml:space="preserve"> </w:t>
      </w:r>
      <w:r w:rsidR="00000000">
        <w:rPr>
          <w:color w:val="2C398A"/>
        </w:rPr>
        <w:t>impacts</w:t>
      </w:r>
    </w:p>
    <w:p w:rsidR="00A56FE9" w:rsidRDefault="00000000">
      <w:pPr>
        <w:pStyle w:val="Tijeloteksta"/>
        <w:spacing w:before="113"/>
        <w:ind w:right="274"/>
      </w:pPr>
      <w:r>
        <w:t>Work is continuing on integrating climate goals into all policies, including the drafting of</w:t>
      </w:r>
      <w:r>
        <w:rPr>
          <w:spacing w:val="1"/>
        </w:rPr>
        <w:t xml:space="preserve"> </w:t>
      </w:r>
      <w:r>
        <w:t>planning documents for low-carbon development and adaptation to climate change, ensuring</w:t>
      </w:r>
      <w:r>
        <w:rPr>
          <w:spacing w:val="1"/>
        </w:rPr>
        <w:t xml:space="preserve"> </w:t>
      </w:r>
      <w:r>
        <w:t>that the respective actions are coherent and supportive. Investment in reducing greenhouse gas</w:t>
      </w:r>
      <w:r>
        <w:rPr>
          <w:spacing w:val="-57"/>
        </w:rPr>
        <w:t xml:space="preserve"> </w:t>
      </w:r>
      <w:r>
        <w:t>emissions</w:t>
      </w:r>
      <w:r>
        <w:rPr>
          <w:spacing w:val="1"/>
        </w:rPr>
        <w:t xml:space="preserve"> </w:t>
      </w:r>
      <w:r>
        <w:t>and</w:t>
      </w:r>
      <w:r>
        <w:rPr>
          <w:spacing w:val="1"/>
        </w:rPr>
        <w:t xml:space="preserve"> </w:t>
      </w:r>
      <w:r>
        <w:t>implementing</w:t>
      </w:r>
      <w:r>
        <w:rPr>
          <w:spacing w:val="1"/>
        </w:rPr>
        <w:t xml:space="preserve"> </w:t>
      </w:r>
      <w:r>
        <w:t>climate</w:t>
      </w:r>
      <w:r>
        <w:rPr>
          <w:spacing w:val="1"/>
        </w:rPr>
        <w:t xml:space="preserve"> </w:t>
      </w:r>
      <w:r>
        <w:t>change</w:t>
      </w:r>
      <w:r>
        <w:rPr>
          <w:spacing w:val="1"/>
        </w:rPr>
        <w:t xml:space="preserve"> </w:t>
      </w:r>
      <w:r>
        <w:t>adaptation</w:t>
      </w:r>
      <w:r>
        <w:rPr>
          <w:spacing w:val="1"/>
        </w:rPr>
        <w:t xml:space="preserve"> </w:t>
      </w:r>
      <w:r>
        <w:t>measures</w:t>
      </w:r>
      <w:r>
        <w:rPr>
          <w:spacing w:val="1"/>
        </w:rPr>
        <w:t xml:space="preserve"> </w:t>
      </w:r>
      <w:r>
        <w:t>will</w:t>
      </w:r>
      <w:r>
        <w:rPr>
          <w:spacing w:val="1"/>
        </w:rPr>
        <w:t xml:space="preserve"> </w:t>
      </w:r>
      <w:r>
        <w:t>increase.</w:t>
      </w:r>
      <w:r>
        <w:rPr>
          <w:spacing w:val="-57"/>
        </w:rPr>
        <w:t xml:space="preserve"> </w:t>
      </w:r>
      <w:r>
        <w:t>Communication</w:t>
      </w:r>
      <w:r>
        <w:rPr>
          <w:spacing w:val="-1"/>
        </w:rPr>
        <w:t xml:space="preserve"> </w:t>
      </w:r>
      <w:r>
        <w:t>regarding</w:t>
      </w:r>
      <w:r>
        <w:rPr>
          <w:spacing w:val="-3"/>
        </w:rPr>
        <w:t xml:space="preserve"> </w:t>
      </w:r>
      <w:r>
        <w:t>climate change</w:t>
      </w:r>
      <w:r>
        <w:rPr>
          <w:spacing w:val="1"/>
        </w:rPr>
        <w:t xml:space="preserve"> </w:t>
      </w:r>
      <w:r>
        <w:t>will</w:t>
      </w:r>
      <w:r>
        <w:rPr>
          <w:spacing w:val="-1"/>
        </w:rPr>
        <w:t xml:space="preserve"> </w:t>
      </w:r>
      <w:r>
        <w:t>also</w:t>
      </w:r>
      <w:r>
        <w:rPr>
          <w:spacing w:val="-1"/>
        </w:rPr>
        <w:t xml:space="preserve"> </w:t>
      </w:r>
      <w:r>
        <w:t>increase,</w:t>
      </w:r>
      <w:r>
        <w:rPr>
          <w:spacing w:val="1"/>
        </w:rPr>
        <w:t xml:space="preserve"> </w:t>
      </w:r>
      <w:r>
        <w:t>and is</w:t>
      </w:r>
      <w:r>
        <w:rPr>
          <w:spacing w:val="-1"/>
        </w:rPr>
        <w:t xml:space="preserve"> </w:t>
      </w:r>
      <w:r>
        <w:t>also</w:t>
      </w:r>
      <w:r>
        <w:rPr>
          <w:spacing w:val="-1"/>
        </w:rPr>
        <w:t xml:space="preserve"> </w:t>
      </w:r>
      <w:r>
        <w:t>part of</w:t>
      </w:r>
      <w:r>
        <w:rPr>
          <w:spacing w:val="-2"/>
        </w:rPr>
        <w:t xml:space="preserve"> </w:t>
      </w:r>
      <w:r>
        <w:t>this</w:t>
      </w:r>
      <w:r>
        <w:rPr>
          <w:spacing w:val="-1"/>
        </w:rPr>
        <w:t xml:space="preserve"> </w:t>
      </w:r>
      <w:r>
        <w:t>goal.</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696384"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161520755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95B3F" id="Rectangle 31" o:spid="_x0000_s1026" style="position:absolute;margin-left:69.5pt;margin-top:9.8pt;width:45.25pt;height:1.45pt;z-index:-15620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1"/>
      </w:pPr>
      <w:r>
        <w:t>The Ministry of the Interior has drafted a Strategy for Disaster Risk Management until 2030,</w:t>
      </w:r>
      <w:r>
        <w:rPr>
          <w:spacing w:val="1"/>
        </w:rPr>
        <w:t xml:space="preserve"> </w:t>
      </w:r>
      <w:r>
        <w:rPr>
          <w:spacing w:val="-1"/>
        </w:rPr>
        <w:t xml:space="preserve">which will be </w:t>
      </w:r>
      <w:r>
        <w:t xml:space="preserve">adopted by the Government in line with the Civil Protection System Act. </w:t>
      </w:r>
      <w:r>
        <w:rPr>
          <w:vertAlign w:val="superscript"/>
        </w:rPr>
        <w:t>46</w:t>
      </w:r>
      <w:r>
        <w:t xml:space="preserve"> The</w:t>
      </w:r>
      <w:r>
        <w:rPr>
          <w:spacing w:val="1"/>
        </w:rPr>
        <w:t xml:space="preserve"> </w:t>
      </w:r>
      <w:r>
        <w:t>draft</w:t>
      </w:r>
      <w:r>
        <w:rPr>
          <w:spacing w:val="1"/>
        </w:rPr>
        <w:t xml:space="preserve"> </w:t>
      </w:r>
      <w:r>
        <w:t>Strategy</w:t>
      </w:r>
      <w:r>
        <w:rPr>
          <w:spacing w:val="1"/>
        </w:rPr>
        <w:t xml:space="preserve"> </w:t>
      </w:r>
      <w:r>
        <w:t>was</w:t>
      </w:r>
      <w:r>
        <w:rPr>
          <w:spacing w:val="1"/>
        </w:rPr>
        <w:t xml:space="preserve"> </w:t>
      </w:r>
      <w:r>
        <w:t>prepared</w:t>
      </w:r>
      <w:r>
        <w:rPr>
          <w:spacing w:val="1"/>
        </w:rPr>
        <w:t xml:space="preserve"> </w:t>
      </w:r>
      <w:r>
        <w:t>based</w:t>
      </w:r>
      <w:r>
        <w:rPr>
          <w:spacing w:val="1"/>
        </w:rPr>
        <w:t xml:space="preserve"> </w:t>
      </w:r>
      <w:r>
        <w:t>on</w:t>
      </w:r>
      <w:r>
        <w:rPr>
          <w:spacing w:val="1"/>
        </w:rPr>
        <w:t xml:space="preserve"> </w:t>
      </w:r>
      <w:r>
        <w:t>the</w:t>
      </w:r>
      <w:r>
        <w:rPr>
          <w:spacing w:val="1"/>
        </w:rPr>
        <w:t xml:space="preserve"> </w:t>
      </w:r>
      <w:r>
        <w:t>activities</w:t>
      </w:r>
      <w:r>
        <w:rPr>
          <w:spacing w:val="1"/>
        </w:rPr>
        <w:t xml:space="preserve"> </w:t>
      </w:r>
      <w:r>
        <w:t>of</w:t>
      </w:r>
      <w:r>
        <w:rPr>
          <w:spacing w:val="1"/>
        </w:rPr>
        <w:t xml:space="preserve"> </w:t>
      </w:r>
      <w:r>
        <w:t>working</w:t>
      </w:r>
      <w:r>
        <w:rPr>
          <w:spacing w:val="1"/>
        </w:rPr>
        <w:t xml:space="preserve"> </w:t>
      </w:r>
      <w:r>
        <w:t>groups</w:t>
      </w:r>
      <w:r>
        <w:rPr>
          <w:spacing w:val="1"/>
        </w:rPr>
        <w:t xml:space="preserve"> </w:t>
      </w:r>
      <w:r>
        <w:t>comprising</w:t>
      </w:r>
      <w:r>
        <w:rPr>
          <w:spacing w:val="1"/>
        </w:rPr>
        <w:t xml:space="preserve"> </w:t>
      </w:r>
      <w:r>
        <w:t>representatives</w:t>
      </w:r>
      <w:r>
        <w:rPr>
          <w:spacing w:val="1"/>
        </w:rPr>
        <w:t xml:space="preserve"> </w:t>
      </w:r>
      <w:r>
        <w:t>of institutions</w:t>
      </w:r>
      <w:r>
        <w:rPr>
          <w:spacing w:val="1"/>
        </w:rPr>
        <w:t xml:space="preserve"> </w:t>
      </w:r>
      <w:r>
        <w:t>responsible for risk</w:t>
      </w:r>
      <w:r>
        <w:rPr>
          <w:spacing w:val="1"/>
        </w:rPr>
        <w:t xml:space="preserve"> </w:t>
      </w:r>
      <w:r>
        <w:t>management</w:t>
      </w:r>
      <w:r>
        <w:rPr>
          <w:spacing w:val="1"/>
        </w:rPr>
        <w:t xml:space="preserve"> </w:t>
      </w:r>
      <w:r>
        <w:t>and</w:t>
      </w:r>
      <w:r>
        <w:rPr>
          <w:spacing w:val="1"/>
        </w:rPr>
        <w:t xml:space="preserve"> </w:t>
      </w:r>
      <w:r>
        <w:t>who</w:t>
      </w:r>
      <w:r>
        <w:rPr>
          <w:spacing w:val="1"/>
        </w:rPr>
        <w:t xml:space="preserve"> </w:t>
      </w:r>
      <w:r>
        <w:t>have</w:t>
      </w:r>
      <w:r>
        <w:rPr>
          <w:spacing w:val="1"/>
        </w:rPr>
        <w:t xml:space="preserve"> </w:t>
      </w:r>
      <w:r>
        <w:t>previously</w:t>
      </w:r>
      <w:r>
        <w:rPr>
          <w:spacing w:val="1"/>
        </w:rPr>
        <w:t xml:space="preserve"> </w:t>
      </w:r>
      <w:r>
        <w:t>actively participated in the work of the Croatian Platform for Disaster Risk Reduction. So far,</w:t>
      </w:r>
      <w:r>
        <w:rPr>
          <w:spacing w:val="1"/>
        </w:rPr>
        <w:t xml:space="preserve"> </w:t>
      </w:r>
      <w:r>
        <w:t>two Disaster Risk Assessments for the Republic of Croatia (2015 and 2019) and the Risk</w:t>
      </w:r>
      <w:r>
        <w:rPr>
          <w:spacing w:val="1"/>
        </w:rPr>
        <w:t xml:space="preserve"> </w:t>
      </w:r>
      <w:r>
        <w:rPr>
          <w:spacing w:val="-1"/>
        </w:rPr>
        <w:t>Management</w:t>
      </w:r>
      <w:r>
        <w:rPr>
          <w:spacing w:val="-12"/>
        </w:rPr>
        <w:t xml:space="preserve"> </w:t>
      </w:r>
      <w:r>
        <w:t>Capacity</w:t>
      </w:r>
      <w:r>
        <w:rPr>
          <w:spacing w:val="-15"/>
        </w:rPr>
        <w:t xml:space="preserve"> </w:t>
      </w:r>
      <w:r>
        <w:t>Assessment</w:t>
      </w:r>
      <w:r>
        <w:rPr>
          <w:spacing w:val="-11"/>
        </w:rPr>
        <w:t xml:space="preserve"> </w:t>
      </w:r>
      <w:r>
        <w:t>have</w:t>
      </w:r>
      <w:r>
        <w:rPr>
          <w:spacing w:val="-11"/>
        </w:rPr>
        <w:t xml:space="preserve"> </w:t>
      </w:r>
      <w:r>
        <w:t>been</w:t>
      </w:r>
      <w:r>
        <w:rPr>
          <w:spacing w:val="-9"/>
        </w:rPr>
        <w:t xml:space="preserve"> </w:t>
      </w:r>
      <w:r>
        <w:t>prepared</w:t>
      </w:r>
      <w:r>
        <w:rPr>
          <w:spacing w:val="-7"/>
        </w:rPr>
        <w:t xml:space="preserve"> </w:t>
      </w:r>
      <w:r>
        <w:t>using</w:t>
      </w:r>
      <w:r>
        <w:rPr>
          <w:spacing w:val="-11"/>
        </w:rPr>
        <w:t xml:space="preserve"> </w:t>
      </w:r>
      <w:r>
        <w:t>the</w:t>
      </w:r>
      <w:r>
        <w:rPr>
          <w:spacing w:val="-13"/>
        </w:rPr>
        <w:t xml:space="preserve"> </w:t>
      </w:r>
      <w:r>
        <w:t>Croatian</w:t>
      </w:r>
      <w:r>
        <w:rPr>
          <w:spacing w:val="-11"/>
        </w:rPr>
        <w:t xml:space="preserve"> </w:t>
      </w:r>
      <w:r>
        <w:t>Platform</w:t>
      </w:r>
      <w:r>
        <w:rPr>
          <w:spacing w:val="-12"/>
        </w:rPr>
        <w:t xml:space="preserve"> </w:t>
      </w:r>
      <w:r>
        <w:t>for</w:t>
      </w:r>
      <w:r>
        <w:rPr>
          <w:spacing w:val="-12"/>
        </w:rPr>
        <w:t xml:space="preserve"> </w:t>
      </w:r>
      <w:r>
        <w:t>Disaster</w:t>
      </w:r>
    </w:p>
    <w:p w:rsidR="00A56FE9" w:rsidRDefault="00CC1B9B">
      <w:pPr>
        <w:pStyle w:val="Tijeloteksta"/>
        <w:spacing w:before="2"/>
        <w:ind w:left="0"/>
        <w:jc w:val="left"/>
        <w:rPr>
          <w:sz w:val="22"/>
        </w:rPr>
      </w:pPr>
      <w:r>
        <w:rPr>
          <w:noProof/>
        </w:rPr>
        <mc:AlternateContent>
          <mc:Choice Requires="wps">
            <w:drawing>
              <wp:anchor distT="0" distB="0" distL="0" distR="0" simplePos="0" relativeHeight="487696896" behindDoc="1" locked="0" layoutInCell="1" allowOverlap="1">
                <wp:simplePos x="0" y="0"/>
                <wp:positionH relativeFrom="page">
                  <wp:posOffset>901065</wp:posOffset>
                </wp:positionH>
                <wp:positionV relativeFrom="paragraph">
                  <wp:posOffset>187325</wp:posOffset>
                </wp:positionV>
                <wp:extent cx="1828800" cy="7620"/>
                <wp:effectExtent l="0" t="0" r="0" b="0"/>
                <wp:wrapTopAndBottom/>
                <wp:docPr id="1676258517"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41C92" id="Rectangle 30" o:spid="_x0000_s1026" style="position:absolute;margin-left:70.95pt;margin-top:14.75pt;width:2in;height:.6pt;z-index:-15619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46</w:t>
      </w:r>
      <w:r>
        <w:rPr>
          <w:spacing w:val="-2"/>
          <w:sz w:val="16"/>
        </w:rPr>
        <w:t xml:space="preserve"> </w:t>
      </w:r>
      <w:r>
        <w:rPr>
          <w:sz w:val="16"/>
        </w:rPr>
        <w:t>OG</w:t>
      </w:r>
      <w:r>
        <w:rPr>
          <w:spacing w:val="-4"/>
          <w:sz w:val="16"/>
        </w:rPr>
        <w:t xml:space="preserve"> </w:t>
      </w:r>
      <w:r>
        <w:rPr>
          <w:sz w:val="16"/>
        </w:rPr>
        <w:t>82/15,</w:t>
      </w:r>
      <w:r>
        <w:rPr>
          <w:spacing w:val="-3"/>
          <w:sz w:val="16"/>
        </w:rPr>
        <w:t xml:space="preserve"> </w:t>
      </w:r>
      <w:r>
        <w:rPr>
          <w:sz w:val="16"/>
        </w:rPr>
        <w:t>118/18</w:t>
      </w:r>
      <w:r>
        <w:rPr>
          <w:spacing w:val="-2"/>
          <w:sz w:val="16"/>
        </w:rPr>
        <w:t xml:space="preserve"> </w:t>
      </w:r>
      <w:r>
        <w:rPr>
          <w:sz w:val="16"/>
        </w:rPr>
        <w:t>and</w:t>
      </w:r>
      <w:r>
        <w:rPr>
          <w:spacing w:val="-2"/>
          <w:sz w:val="16"/>
        </w:rPr>
        <w:t xml:space="preserve"> </w:t>
      </w:r>
      <w:r>
        <w:rPr>
          <w:sz w:val="16"/>
        </w:rPr>
        <w:t>31/20</w:t>
      </w:r>
    </w:p>
    <w:p w:rsidR="00A56FE9" w:rsidRDefault="00A56FE9">
      <w:pPr>
        <w:rPr>
          <w:sz w:val="16"/>
        </w:rPr>
        <w:sectPr w:rsidR="00A56FE9" w:rsidSect="00AB1E70">
          <w:pgSz w:w="11910" w:h="16840"/>
          <w:pgMar w:top="1320" w:right="1140" w:bottom="960" w:left="1280" w:header="0" w:footer="699" w:gutter="0"/>
          <w:cols w:space="720"/>
        </w:sectPr>
      </w:pPr>
    </w:p>
    <w:p w:rsidR="00A56FE9" w:rsidRDefault="00000000">
      <w:pPr>
        <w:pStyle w:val="Tijeloteksta"/>
        <w:spacing w:before="74"/>
        <w:ind w:right="272"/>
      </w:pPr>
      <w:r>
        <w:t>Risk</w:t>
      </w:r>
      <w:r>
        <w:rPr>
          <w:spacing w:val="-7"/>
        </w:rPr>
        <w:t xml:space="preserve"> </w:t>
      </w:r>
      <w:r>
        <w:t>Reduction.</w:t>
      </w:r>
      <w:r>
        <w:rPr>
          <w:spacing w:val="-6"/>
        </w:rPr>
        <w:t xml:space="preserve"> </w:t>
      </w:r>
      <w:r>
        <w:t>The</w:t>
      </w:r>
      <w:r>
        <w:rPr>
          <w:spacing w:val="-7"/>
        </w:rPr>
        <w:t xml:space="preserve"> </w:t>
      </w:r>
      <w:r>
        <w:t>goal</w:t>
      </w:r>
      <w:r>
        <w:rPr>
          <w:spacing w:val="-6"/>
        </w:rPr>
        <w:t xml:space="preserve"> </w:t>
      </w:r>
      <w:r>
        <w:t>of</w:t>
      </w:r>
      <w:r>
        <w:rPr>
          <w:spacing w:val="-7"/>
        </w:rPr>
        <w:t xml:space="preserve"> </w:t>
      </w:r>
      <w:r>
        <w:t>the</w:t>
      </w:r>
      <w:r>
        <w:rPr>
          <w:spacing w:val="-8"/>
        </w:rPr>
        <w:t xml:space="preserve"> </w:t>
      </w:r>
      <w:r>
        <w:t>Strategy</w:t>
      </w:r>
      <w:r>
        <w:rPr>
          <w:spacing w:val="-11"/>
        </w:rPr>
        <w:t xml:space="preserve"> </w:t>
      </w:r>
      <w:r>
        <w:t>is</w:t>
      </w:r>
      <w:r>
        <w:rPr>
          <w:spacing w:val="-6"/>
        </w:rPr>
        <w:t xml:space="preserve"> </w:t>
      </w:r>
      <w:r>
        <w:t>to</w:t>
      </w:r>
      <w:r>
        <w:rPr>
          <w:spacing w:val="-6"/>
        </w:rPr>
        <w:t xml:space="preserve"> </w:t>
      </w:r>
      <w:r>
        <w:t>make</w:t>
      </w:r>
      <w:r>
        <w:rPr>
          <w:spacing w:val="-8"/>
        </w:rPr>
        <w:t xml:space="preserve"> </w:t>
      </w:r>
      <w:r>
        <w:t>Croatia</w:t>
      </w:r>
      <w:r>
        <w:rPr>
          <w:spacing w:val="-7"/>
        </w:rPr>
        <w:t xml:space="preserve"> </w:t>
      </w:r>
      <w:r>
        <w:t>more</w:t>
      </w:r>
      <w:r>
        <w:rPr>
          <w:spacing w:val="-7"/>
        </w:rPr>
        <w:t xml:space="preserve"> </w:t>
      </w:r>
      <w:r>
        <w:t>resilient</w:t>
      </w:r>
      <w:r>
        <w:rPr>
          <w:spacing w:val="-7"/>
        </w:rPr>
        <w:t xml:space="preserve"> </w:t>
      </w:r>
      <w:r>
        <w:t>to</w:t>
      </w:r>
      <w:r>
        <w:rPr>
          <w:spacing w:val="-6"/>
        </w:rPr>
        <w:t xml:space="preserve"> </w:t>
      </w:r>
      <w:r>
        <w:t>disasters</w:t>
      </w:r>
      <w:r>
        <w:rPr>
          <w:spacing w:val="-3"/>
        </w:rPr>
        <w:t xml:space="preserve"> </w:t>
      </w:r>
      <w:r>
        <w:t>based</w:t>
      </w:r>
      <w:r>
        <w:rPr>
          <w:spacing w:val="-6"/>
        </w:rPr>
        <w:t xml:space="preserve"> </w:t>
      </w:r>
      <w:r>
        <w:t>on</w:t>
      </w:r>
      <w:r>
        <w:rPr>
          <w:spacing w:val="-58"/>
        </w:rPr>
        <w:t xml:space="preserve"> </w:t>
      </w:r>
      <w:r>
        <w:t>two strategic goals: 1) reducing the greatest risks of disasters and 2) increasing preparedness</w:t>
      </w:r>
      <w:r>
        <w:rPr>
          <w:spacing w:val="1"/>
        </w:rPr>
        <w:t xml:space="preserve"> </w:t>
      </w:r>
      <w:r>
        <w:t>for disaster management. It is the first such document to present a unique approach to disaster</w:t>
      </w:r>
      <w:r>
        <w:rPr>
          <w:spacing w:val="1"/>
        </w:rPr>
        <w:t xml:space="preserve"> </w:t>
      </w:r>
      <w:r>
        <w:t>risk</w:t>
      </w:r>
      <w:r>
        <w:rPr>
          <w:spacing w:val="-7"/>
        </w:rPr>
        <w:t xml:space="preserve"> </w:t>
      </w:r>
      <w:r>
        <w:t>management,</w:t>
      </w:r>
      <w:r>
        <w:rPr>
          <w:spacing w:val="-4"/>
        </w:rPr>
        <w:t xml:space="preserve"> </w:t>
      </w:r>
      <w:r>
        <w:t>guiding</w:t>
      </w:r>
      <w:r>
        <w:rPr>
          <w:spacing w:val="-8"/>
        </w:rPr>
        <w:t xml:space="preserve"> </w:t>
      </w:r>
      <w:r>
        <w:t>activities</w:t>
      </w:r>
      <w:r>
        <w:rPr>
          <w:spacing w:val="-6"/>
        </w:rPr>
        <w:t xml:space="preserve"> </w:t>
      </w:r>
      <w:r>
        <w:t>and</w:t>
      </w:r>
      <w:r>
        <w:rPr>
          <w:spacing w:val="-6"/>
        </w:rPr>
        <w:t xml:space="preserve"> </w:t>
      </w:r>
      <w:r>
        <w:t>investments</w:t>
      </w:r>
      <w:r>
        <w:rPr>
          <w:spacing w:val="-6"/>
        </w:rPr>
        <w:t xml:space="preserve"> </w:t>
      </w:r>
      <w:r>
        <w:t>in</w:t>
      </w:r>
      <w:r>
        <w:rPr>
          <w:spacing w:val="-6"/>
        </w:rPr>
        <w:t xml:space="preserve"> </w:t>
      </w:r>
      <w:r>
        <w:t>risk</w:t>
      </w:r>
      <w:r>
        <w:rPr>
          <w:spacing w:val="-7"/>
        </w:rPr>
        <w:t xml:space="preserve"> </w:t>
      </w:r>
      <w:r>
        <w:t>management,</w:t>
      </w:r>
      <w:r>
        <w:rPr>
          <w:spacing w:val="-5"/>
        </w:rPr>
        <w:t xml:space="preserve"> </w:t>
      </w:r>
      <w:r>
        <w:t>and</w:t>
      </w:r>
      <w:r>
        <w:rPr>
          <w:spacing w:val="-5"/>
        </w:rPr>
        <w:t xml:space="preserve"> </w:t>
      </w:r>
      <w:r>
        <w:t>aiming</w:t>
      </w:r>
      <w:r>
        <w:rPr>
          <w:spacing w:val="-8"/>
        </w:rPr>
        <w:t xml:space="preserve"> </w:t>
      </w:r>
      <w:r>
        <w:t>to</w:t>
      </w:r>
      <w:r>
        <w:rPr>
          <w:spacing w:val="-6"/>
        </w:rPr>
        <w:t xml:space="preserve"> </w:t>
      </w:r>
      <w:r>
        <w:t>reduce</w:t>
      </w:r>
      <w:r>
        <w:rPr>
          <w:spacing w:val="-58"/>
        </w:rPr>
        <w:t xml:space="preserve"> </w:t>
      </w:r>
      <w:r>
        <w:t>the risk of disasters, the response to them and recovery. The 2030 Disaster Risk Management</w:t>
      </w:r>
      <w:r>
        <w:rPr>
          <w:spacing w:val="1"/>
        </w:rPr>
        <w:t xml:space="preserve"> </w:t>
      </w:r>
      <w:r>
        <w:t>Strategy is important for sustainable economic development, and its adoption is a prerequisite</w:t>
      </w:r>
      <w:r>
        <w:rPr>
          <w:spacing w:val="1"/>
        </w:rPr>
        <w:t xml:space="preserve"> </w:t>
      </w:r>
      <w:r>
        <w:t>for</w:t>
      </w:r>
      <w:r>
        <w:rPr>
          <w:spacing w:val="-8"/>
        </w:rPr>
        <w:t xml:space="preserve"> </w:t>
      </w:r>
      <w:r>
        <w:t>the</w:t>
      </w:r>
      <w:r>
        <w:rPr>
          <w:spacing w:val="-4"/>
        </w:rPr>
        <w:t xml:space="preserve"> </w:t>
      </w:r>
      <w:r>
        <w:t>use</w:t>
      </w:r>
      <w:r>
        <w:rPr>
          <w:spacing w:val="-6"/>
        </w:rPr>
        <w:t xml:space="preserve"> </w:t>
      </w:r>
      <w:r>
        <w:t>of</w:t>
      </w:r>
      <w:r>
        <w:rPr>
          <w:spacing w:val="-6"/>
        </w:rPr>
        <w:t xml:space="preserve"> </w:t>
      </w:r>
      <w:r>
        <w:t>resources</w:t>
      </w:r>
      <w:r>
        <w:rPr>
          <w:spacing w:val="-4"/>
        </w:rPr>
        <w:t xml:space="preserve"> </w:t>
      </w:r>
      <w:r>
        <w:t>from</w:t>
      </w:r>
      <w:r>
        <w:rPr>
          <w:spacing w:val="-5"/>
        </w:rPr>
        <w:t xml:space="preserve"> </w:t>
      </w:r>
      <w:r>
        <w:t>European</w:t>
      </w:r>
      <w:r>
        <w:rPr>
          <w:spacing w:val="-3"/>
        </w:rPr>
        <w:t xml:space="preserve"> </w:t>
      </w:r>
      <w:r>
        <w:t>funds,</w:t>
      </w:r>
      <w:r>
        <w:rPr>
          <w:spacing w:val="-6"/>
        </w:rPr>
        <w:t xml:space="preserve"> </w:t>
      </w:r>
      <w:r>
        <w:t>programs</w:t>
      </w:r>
      <w:r>
        <w:rPr>
          <w:spacing w:val="-5"/>
        </w:rPr>
        <w:t xml:space="preserve"> </w:t>
      </w:r>
      <w:r>
        <w:t>and</w:t>
      </w:r>
      <w:r>
        <w:rPr>
          <w:spacing w:val="-3"/>
        </w:rPr>
        <w:t xml:space="preserve"> </w:t>
      </w:r>
      <w:r>
        <w:t>instruments</w:t>
      </w:r>
      <w:r>
        <w:rPr>
          <w:spacing w:val="-5"/>
        </w:rPr>
        <w:t xml:space="preserve"> </w:t>
      </w:r>
      <w:r>
        <w:t>in</w:t>
      </w:r>
      <w:r>
        <w:rPr>
          <w:spacing w:val="-5"/>
        </w:rPr>
        <w:t xml:space="preserve"> </w:t>
      </w:r>
      <w:r>
        <w:t>the</w:t>
      </w:r>
      <w:r>
        <w:rPr>
          <w:spacing w:val="-6"/>
        </w:rPr>
        <w:t xml:space="preserve"> </w:t>
      </w:r>
      <w:r>
        <w:t>financial</w:t>
      </w:r>
      <w:r>
        <w:rPr>
          <w:spacing w:val="-5"/>
        </w:rPr>
        <w:t xml:space="preserve"> </w:t>
      </w:r>
      <w:r>
        <w:t>period</w:t>
      </w:r>
      <w:r>
        <w:rPr>
          <w:spacing w:val="-57"/>
        </w:rPr>
        <w:t xml:space="preserve"> </w:t>
      </w:r>
      <w:r>
        <w:t>of</w:t>
      </w:r>
      <w:r>
        <w:rPr>
          <w:spacing w:val="-2"/>
        </w:rPr>
        <w:t xml:space="preserve"> </w:t>
      </w:r>
      <w:r>
        <w:t>2021-2027.</w:t>
      </w:r>
    </w:p>
    <w:p w:rsidR="00A56FE9" w:rsidRDefault="00000000">
      <w:pPr>
        <w:pStyle w:val="Tijeloteksta"/>
        <w:spacing w:before="121"/>
        <w:ind w:right="272"/>
      </w:pPr>
      <w:r>
        <w:t>In October 2021, the Ministry of the Interior signed a contract for the purchase of equipment</w:t>
      </w:r>
      <w:r>
        <w:rPr>
          <w:spacing w:val="1"/>
        </w:rPr>
        <w:t xml:space="preserve"> </w:t>
      </w:r>
      <w:r>
        <w:t xml:space="preserve">and </w:t>
      </w:r>
      <w:r>
        <w:rPr>
          <w:b/>
        </w:rPr>
        <w:t>implementation of an early warning and crisis management system (software) with</w:t>
      </w:r>
      <w:r>
        <w:rPr>
          <w:b/>
          <w:spacing w:val="1"/>
        </w:rPr>
        <w:t xml:space="preserve"> </w:t>
      </w:r>
      <w:r>
        <w:rPr>
          <w:b/>
        </w:rPr>
        <w:t xml:space="preserve">licenses. </w:t>
      </w:r>
      <w:r>
        <w:t>Completion of the project will ensure fast and reliable communication for crisis</w:t>
      </w:r>
      <w:r>
        <w:rPr>
          <w:spacing w:val="1"/>
        </w:rPr>
        <w:t xml:space="preserve"> </w:t>
      </w:r>
      <w:r>
        <w:t>management based on modern technologies. It will enable quick and effective notification of</w:t>
      </w:r>
      <w:r>
        <w:rPr>
          <w:spacing w:val="1"/>
        </w:rPr>
        <w:t xml:space="preserve"> </w:t>
      </w:r>
      <w:r>
        <w:t>civil protection participants and citizens via mobile phones and other modern technologies</w:t>
      </w:r>
      <w:r>
        <w:rPr>
          <w:spacing w:val="1"/>
        </w:rPr>
        <w:t xml:space="preserve"> </w:t>
      </w:r>
      <w:r>
        <w:t>concerning dangers that pose a threat and measures needed to reduce human casualties and</w:t>
      </w:r>
      <w:r>
        <w:rPr>
          <w:spacing w:val="1"/>
        </w:rPr>
        <w:t xml:space="preserve"> </w:t>
      </w:r>
      <w:r>
        <w:t>material damage. The project is funded by a grant from the European Regional Development</w:t>
      </w:r>
      <w:r>
        <w:rPr>
          <w:spacing w:val="1"/>
        </w:rPr>
        <w:t xml:space="preserve"> </w:t>
      </w:r>
      <w:r>
        <w:t>Fund (ERDF), i.e., the total estimated value of the project is HRK 63 million, with the ERDF</w:t>
      </w:r>
      <w:r>
        <w:rPr>
          <w:spacing w:val="1"/>
        </w:rPr>
        <w:t xml:space="preserve"> </w:t>
      </w:r>
      <w:r>
        <w:t>grant</w:t>
      </w:r>
      <w:r>
        <w:rPr>
          <w:spacing w:val="-1"/>
        </w:rPr>
        <w:t xml:space="preserve"> </w:t>
      </w:r>
      <w:r>
        <w:t>amounting</w:t>
      </w:r>
      <w:r>
        <w:rPr>
          <w:spacing w:val="-2"/>
        </w:rPr>
        <w:t xml:space="preserve"> </w:t>
      </w:r>
      <w:r>
        <w:t>to</w:t>
      </w:r>
      <w:r>
        <w:rPr>
          <w:spacing w:val="-1"/>
        </w:rPr>
        <w:t xml:space="preserve"> </w:t>
      </w:r>
      <w:r>
        <w:t>a maximum of</w:t>
      </w:r>
      <w:r>
        <w:rPr>
          <w:spacing w:val="-1"/>
        </w:rPr>
        <w:t xml:space="preserve"> </w:t>
      </w:r>
      <w:r>
        <w:t>HRK 53.5 million,</w:t>
      </w:r>
      <w:r>
        <w:rPr>
          <w:spacing w:val="-1"/>
        </w:rPr>
        <w:t xml:space="preserve"> </w:t>
      </w:r>
      <w:r>
        <w:t>or 85%</w:t>
      </w:r>
      <w:r>
        <w:rPr>
          <w:spacing w:val="-1"/>
        </w:rPr>
        <w:t xml:space="preserve"> </w:t>
      </w:r>
      <w:r>
        <w:t>of</w:t>
      </w:r>
      <w:r>
        <w:rPr>
          <w:spacing w:val="-1"/>
        </w:rPr>
        <w:t xml:space="preserve"> </w:t>
      </w:r>
      <w:r>
        <w:t>the</w:t>
      </w:r>
      <w:r>
        <w:rPr>
          <w:spacing w:val="-2"/>
        </w:rPr>
        <w:t xml:space="preserve"> </w:t>
      </w:r>
      <w:r>
        <w:t>eligible</w:t>
      </w:r>
      <w:r>
        <w:rPr>
          <w:spacing w:val="-1"/>
        </w:rPr>
        <w:t xml:space="preserve"> </w:t>
      </w:r>
      <w:r>
        <w:t>project</w:t>
      </w:r>
      <w:r>
        <w:rPr>
          <w:spacing w:val="-1"/>
        </w:rPr>
        <w:t xml:space="preserve"> </w:t>
      </w:r>
      <w:r>
        <w:t>costs.</w:t>
      </w:r>
    </w:p>
    <w:p w:rsidR="00A56FE9" w:rsidRDefault="00CC1B9B">
      <w:pPr>
        <w:pStyle w:val="Tijeloteksta"/>
        <w:spacing w:before="120"/>
        <w:ind w:right="272"/>
      </w:pPr>
      <w:r>
        <w:rPr>
          <w:noProof/>
        </w:rPr>
        <mc:AlternateContent>
          <mc:Choice Requires="wps">
            <w:drawing>
              <wp:anchor distT="0" distB="0" distL="114300" distR="114300" simplePos="0" relativeHeight="15839232" behindDoc="0" locked="0" layoutInCell="1" allowOverlap="1">
                <wp:simplePos x="0" y="0"/>
                <wp:positionH relativeFrom="page">
                  <wp:posOffset>814070</wp:posOffset>
                </wp:positionH>
                <wp:positionV relativeFrom="paragraph">
                  <wp:posOffset>1558290</wp:posOffset>
                </wp:positionV>
                <wp:extent cx="18415" cy="608330"/>
                <wp:effectExtent l="0" t="0" r="0" b="0"/>
                <wp:wrapNone/>
                <wp:docPr id="609562786"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330"/>
                        </a:xfrm>
                        <a:custGeom>
                          <a:avLst/>
                          <a:gdLst>
                            <a:gd name="T0" fmla="+- 0 1311 1282"/>
                            <a:gd name="T1" fmla="*/ T0 w 29"/>
                            <a:gd name="T2" fmla="+- 0 2454 2454"/>
                            <a:gd name="T3" fmla="*/ 2454 h 958"/>
                            <a:gd name="T4" fmla="+- 0 1282 1282"/>
                            <a:gd name="T5" fmla="*/ T4 w 29"/>
                            <a:gd name="T6" fmla="+- 0 2454 2454"/>
                            <a:gd name="T7" fmla="*/ 2454 h 958"/>
                            <a:gd name="T8" fmla="+- 0 1282 1282"/>
                            <a:gd name="T9" fmla="*/ T8 w 29"/>
                            <a:gd name="T10" fmla="+- 0 2992 2454"/>
                            <a:gd name="T11" fmla="*/ 2992 h 958"/>
                            <a:gd name="T12" fmla="+- 0 1282 1282"/>
                            <a:gd name="T13" fmla="*/ T12 w 29"/>
                            <a:gd name="T14" fmla="+- 0 3412 2454"/>
                            <a:gd name="T15" fmla="*/ 3412 h 958"/>
                            <a:gd name="T16" fmla="+- 0 1311 1282"/>
                            <a:gd name="T17" fmla="*/ T16 w 29"/>
                            <a:gd name="T18" fmla="+- 0 3412 2454"/>
                            <a:gd name="T19" fmla="*/ 3412 h 958"/>
                            <a:gd name="T20" fmla="+- 0 1311 1282"/>
                            <a:gd name="T21" fmla="*/ T20 w 29"/>
                            <a:gd name="T22" fmla="+- 0 2992 2454"/>
                            <a:gd name="T23" fmla="*/ 2992 h 958"/>
                            <a:gd name="T24" fmla="+- 0 1311 1282"/>
                            <a:gd name="T25" fmla="*/ T24 w 29"/>
                            <a:gd name="T26" fmla="+- 0 2454 2454"/>
                            <a:gd name="T27" fmla="*/ 2454 h 958"/>
                          </a:gdLst>
                          <a:ahLst/>
                          <a:cxnLst>
                            <a:cxn ang="0">
                              <a:pos x="T1" y="T3"/>
                            </a:cxn>
                            <a:cxn ang="0">
                              <a:pos x="T5" y="T7"/>
                            </a:cxn>
                            <a:cxn ang="0">
                              <a:pos x="T9" y="T11"/>
                            </a:cxn>
                            <a:cxn ang="0">
                              <a:pos x="T13" y="T15"/>
                            </a:cxn>
                            <a:cxn ang="0">
                              <a:pos x="T17" y="T19"/>
                            </a:cxn>
                            <a:cxn ang="0">
                              <a:pos x="T21" y="T23"/>
                            </a:cxn>
                            <a:cxn ang="0">
                              <a:pos x="T25" y="T27"/>
                            </a:cxn>
                          </a:cxnLst>
                          <a:rect l="0" t="0" r="r" b="b"/>
                          <a:pathLst>
                            <a:path w="29" h="958">
                              <a:moveTo>
                                <a:pt x="29" y="0"/>
                              </a:moveTo>
                              <a:lnTo>
                                <a:pt x="0" y="0"/>
                              </a:lnTo>
                              <a:lnTo>
                                <a:pt x="0" y="538"/>
                              </a:lnTo>
                              <a:lnTo>
                                <a:pt x="0" y="958"/>
                              </a:lnTo>
                              <a:lnTo>
                                <a:pt x="29" y="958"/>
                              </a:lnTo>
                              <a:lnTo>
                                <a:pt x="29" y="53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A60CEE" id="Freeform 29" o:spid="_x0000_s1026" style="position:absolute;margin-left:64.1pt;margin-top:122.7pt;width:1.45pt;height:47.9pt;z-index:1583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" path="m29,l,,,538,,958r29,l29,538,29,xe" fillcolor="#da1f2c" stroked="f">
                <v:path arrowok="t" o:connecttype="custom" o:connectlocs="18415,1558290;0,1558290;0,1899920;0,2166620;18415,2166620;18415,1899920;18415,1558290" o:connectangles="0,0,0,0,0,0,0"/>
                <w10:wrap anchorx="page"/>
              </v:shape>
            </w:pict>
          </mc:Fallback>
        </mc:AlternateContent>
      </w:r>
      <w:r w:rsidR="00000000">
        <w:rPr>
          <w:spacing w:val="-1"/>
        </w:rPr>
        <w:t>Furthermore,</w:t>
      </w:r>
      <w:r w:rsidR="00000000">
        <w:rPr>
          <w:spacing w:val="-15"/>
        </w:rPr>
        <w:t xml:space="preserve"> </w:t>
      </w:r>
      <w:r w:rsidR="00000000">
        <w:rPr>
          <w:spacing w:val="-1"/>
        </w:rPr>
        <w:t>the</w:t>
      </w:r>
      <w:r w:rsidR="00000000">
        <w:rPr>
          <w:spacing w:val="-13"/>
        </w:rPr>
        <w:t xml:space="preserve"> </w:t>
      </w:r>
      <w:r w:rsidR="00000000">
        <w:t>aim</w:t>
      </w:r>
      <w:r w:rsidR="00000000">
        <w:rPr>
          <w:spacing w:val="-14"/>
        </w:rPr>
        <w:t xml:space="preserve"> </w:t>
      </w:r>
      <w:r w:rsidR="00000000">
        <w:t>is</w:t>
      </w:r>
      <w:r w:rsidR="00000000">
        <w:rPr>
          <w:spacing w:val="-13"/>
        </w:rPr>
        <w:t xml:space="preserve"> </w:t>
      </w:r>
      <w:r w:rsidR="00000000">
        <w:t>also</w:t>
      </w:r>
      <w:r w:rsidR="00000000">
        <w:rPr>
          <w:spacing w:val="-14"/>
        </w:rPr>
        <w:t xml:space="preserve"> </w:t>
      </w:r>
      <w:r w:rsidR="00000000">
        <w:t>to</w:t>
      </w:r>
      <w:r w:rsidR="00000000">
        <w:rPr>
          <w:spacing w:val="-14"/>
        </w:rPr>
        <w:t xml:space="preserve"> </w:t>
      </w:r>
      <w:r w:rsidR="00000000">
        <w:t>modernise</w:t>
      </w:r>
      <w:r w:rsidR="00000000">
        <w:rPr>
          <w:spacing w:val="-16"/>
        </w:rPr>
        <w:t xml:space="preserve"> </w:t>
      </w:r>
      <w:r w:rsidR="00000000">
        <w:t>and</w:t>
      </w:r>
      <w:r w:rsidR="00000000">
        <w:rPr>
          <w:spacing w:val="-13"/>
        </w:rPr>
        <w:t xml:space="preserve"> </w:t>
      </w:r>
      <w:r w:rsidR="00000000">
        <w:t>upgrade</w:t>
      </w:r>
      <w:r w:rsidR="00000000">
        <w:rPr>
          <w:spacing w:val="-16"/>
        </w:rPr>
        <w:t xml:space="preserve"> </w:t>
      </w:r>
      <w:r w:rsidR="00000000">
        <w:t>the</w:t>
      </w:r>
      <w:r w:rsidR="00000000">
        <w:rPr>
          <w:spacing w:val="-13"/>
        </w:rPr>
        <w:t xml:space="preserve"> </w:t>
      </w:r>
      <w:r w:rsidR="00000000">
        <w:t>alert</w:t>
      </w:r>
      <w:r w:rsidR="00000000">
        <w:rPr>
          <w:spacing w:val="-12"/>
        </w:rPr>
        <w:t xml:space="preserve"> </w:t>
      </w:r>
      <w:r w:rsidR="00000000">
        <w:t>and</w:t>
      </w:r>
      <w:r w:rsidR="00000000">
        <w:rPr>
          <w:spacing w:val="-15"/>
        </w:rPr>
        <w:t xml:space="preserve"> </w:t>
      </w:r>
      <w:r w:rsidR="00000000">
        <w:t>information</w:t>
      </w:r>
      <w:r w:rsidR="00000000">
        <w:rPr>
          <w:spacing w:val="-14"/>
        </w:rPr>
        <w:t xml:space="preserve"> </w:t>
      </w:r>
      <w:r w:rsidR="00000000">
        <w:t>system,</w:t>
      </w:r>
      <w:r w:rsidR="00000000">
        <w:rPr>
          <w:spacing w:val="-15"/>
        </w:rPr>
        <w:t xml:space="preserve"> </w:t>
      </w:r>
      <w:r w:rsidR="00000000">
        <w:t>provide</w:t>
      </w:r>
      <w:r w:rsidR="00000000">
        <w:rPr>
          <w:spacing w:val="-57"/>
        </w:rPr>
        <w:t xml:space="preserve"> </w:t>
      </w:r>
      <w:r w:rsidR="00000000">
        <w:t>capacity for further uniform development of the alert system and which must be flexible for</w:t>
      </w:r>
      <w:r w:rsidR="00000000">
        <w:rPr>
          <w:spacing w:val="1"/>
        </w:rPr>
        <w:t xml:space="preserve"> </w:t>
      </w:r>
      <w:r w:rsidR="00000000">
        <w:t>management</w:t>
      </w:r>
      <w:r w:rsidR="00000000">
        <w:rPr>
          <w:spacing w:val="1"/>
        </w:rPr>
        <w:t xml:space="preserve"> </w:t>
      </w:r>
      <w:r w:rsidR="00000000">
        <w:t>and</w:t>
      </w:r>
      <w:r w:rsidR="00000000">
        <w:rPr>
          <w:spacing w:val="1"/>
        </w:rPr>
        <w:t xml:space="preserve"> </w:t>
      </w:r>
      <w:r w:rsidR="00000000">
        <w:t>supervision</w:t>
      </w:r>
      <w:r w:rsidR="00000000">
        <w:rPr>
          <w:spacing w:val="1"/>
        </w:rPr>
        <w:t xml:space="preserve"> </w:t>
      </w:r>
      <w:r w:rsidR="00000000">
        <w:t>of</w:t>
      </w:r>
      <w:r w:rsidR="00000000">
        <w:rPr>
          <w:spacing w:val="1"/>
        </w:rPr>
        <w:t xml:space="preserve"> </w:t>
      </w:r>
      <w:r w:rsidR="00000000">
        <w:t>the</w:t>
      </w:r>
      <w:r w:rsidR="00000000">
        <w:rPr>
          <w:spacing w:val="1"/>
        </w:rPr>
        <w:t xml:space="preserve"> </w:t>
      </w:r>
      <w:r w:rsidR="00000000">
        <w:t>system,</w:t>
      </w:r>
      <w:r w:rsidR="00000000">
        <w:rPr>
          <w:spacing w:val="1"/>
        </w:rPr>
        <w:t xml:space="preserve"> </w:t>
      </w:r>
      <w:r w:rsidR="00000000">
        <w:t>as</w:t>
      </w:r>
      <w:r w:rsidR="00000000">
        <w:rPr>
          <w:spacing w:val="1"/>
        </w:rPr>
        <w:t xml:space="preserve"> </w:t>
      </w:r>
      <w:r w:rsidR="00000000">
        <w:t>well</w:t>
      </w:r>
      <w:r w:rsidR="00000000">
        <w:rPr>
          <w:spacing w:val="1"/>
        </w:rPr>
        <w:t xml:space="preserve"> </w:t>
      </w:r>
      <w:r w:rsidR="00000000">
        <w:t>as</w:t>
      </w:r>
      <w:r w:rsidR="00000000">
        <w:rPr>
          <w:spacing w:val="1"/>
        </w:rPr>
        <w:t xml:space="preserve"> </w:t>
      </w:r>
      <w:r w:rsidR="00000000">
        <w:t>provide</w:t>
      </w:r>
      <w:r w:rsidR="00000000">
        <w:rPr>
          <w:spacing w:val="1"/>
        </w:rPr>
        <w:t xml:space="preserve"> </w:t>
      </w:r>
      <w:r w:rsidR="00000000">
        <w:t>technical</w:t>
      </w:r>
      <w:r w:rsidR="00000000">
        <w:rPr>
          <w:spacing w:val="1"/>
        </w:rPr>
        <w:t xml:space="preserve"> </w:t>
      </w:r>
      <w:r w:rsidR="00000000">
        <w:t>conditions</w:t>
      </w:r>
      <w:r w:rsidR="00000000">
        <w:rPr>
          <w:spacing w:val="1"/>
        </w:rPr>
        <w:t xml:space="preserve"> </w:t>
      </w:r>
      <w:r w:rsidR="00000000">
        <w:t>for</w:t>
      </w:r>
      <w:r w:rsidR="00000000">
        <w:rPr>
          <w:spacing w:val="-57"/>
        </w:rPr>
        <w:t xml:space="preserve"> </w:t>
      </w:r>
      <w:r w:rsidR="00000000">
        <w:t>connecting alert systems for legal entities that are required by law to set up their own systems</w:t>
      </w:r>
      <w:r w:rsidR="00000000">
        <w:rPr>
          <w:spacing w:val="1"/>
        </w:rPr>
        <w:t xml:space="preserve"> </w:t>
      </w:r>
      <w:r w:rsidR="00000000">
        <w:t>for alerting and integrating them into the Central Alerting System of the Republic of Croatia.</w:t>
      </w:r>
      <w:r w:rsidR="00000000">
        <w:rPr>
          <w:spacing w:val="1"/>
        </w:rPr>
        <w:t xml:space="preserve"> </w:t>
      </w:r>
      <w:r w:rsidR="00000000">
        <w:t>Consequently, a project concept for modernising the alerting system was devised, and is being</w:t>
      </w:r>
      <w:r w:rsidR="00000000">
        <w:rPr>
          <w:spacing w:val="-57"/>
        </w:rPr>
        <w:t xml:space="preserve"> </w:t>
      </w:r>
      <w:r w:rsidR="00000000">
        <w:rPr>
          <w:spacing w:val="-1"/>
        </w:rPr>
        <w:t>currently</w:t>
      </w:r>
      <w:r w:rsidR="00000000">
        <w:rPr>
          <w:spacing w:val="-17"/>
        </w:rPr>
        <w:t xml:space="preserve"> </w:t>
      </w:r>
      <w:r w:rsidR="00000000">
        <w:rPr>
          <w:spacing w:val="-1"/>
        </w:rPr>
        <w:t>developed</w:t>
      </w:r>
      <w:r w:rsidR="00000000">
        <w:rPr>
          <w:spacing w:val="-12"/>
        </w:rPr>
        <w:t xml:space="preserve"> </w:t>
      </w:r>
      <w:r w:rsidR="00000000">
        <w:t>within</w:t>
      </w:r>
      <w:r w:rsidR="00000000">
        <w:rPr>
          <w:spacing w:val="-11"/>
        </w:rPr>
        <w:t xml:space="preserve"> </w:t>
      </w:r>
      <w:r w:rsidR="00000000">
        <w:t>the</w:t>
      </w:r>
      <w:r w:rsidR="00000000">
        <w:rPr>
          <w:spacing w:val="-13"/>
        </w:rPr>
        <w:t xml:space="preserve"> </w:t>
      </w:r>
      <w:r w:rsidR="00000000">
        <w:t>project</w:t>
      </w:r>
      <w:r w:rsidR="00000000">
        <w:rPr>
          <w:spacing w:val="-12"/>
        </w:rPr>
        <w:t xml:space="preserve"> </w:t>
      </w:r>
      <w:r w:rsidR="00000000">
        <w:t>Technical</w:t>
      </w:r>
      <w:r w:rsidR="00000000">
        <w:rPr>
          <w:spacing w:val="-11"/>
        </w:rPr>
        <w:t xml:space="preserve"> </w:t>
      </w:r>
      <w:r w:rsidR="00000000">
        <w:t>Assistance</w:t>
      </w:r>
      <w:r w:rsidR="00000000">
        <w:rPr>
          <w:spacing w:val="-13"/>
        </w:rPr>
        <w:t xml:space="preserve"> </w:t>
      </w:r>
      <w:r w:rsidR="00000000">
        <w:t>for</w:t>
      </w:r>
      <w:r w:rsidR="00000000">
        <w:rPr>
          <w:spacing w:val="-14"/>
        </w:rPr>
        <w:t xml:space="preserve"> </w:t>
      </w:r>
      <w:r w:rsidR="00000000">
        <w:t>the</w:t>
      </w:r>
      <w:r w:rsidR="00000000">
        <w:rPr>
          <w:spacing w:val="-9"/>
        </w:rPr>
        <w:t xml:space="preserve"> </w:t>
      </w:r>
      <w:r w:rsidR="00000000">
        <w:t>Preparation</w:t>
      </w:r>
      <w:r w:rsidR="00000000">
        <w:rPr>
          <w:spacing w:val="-12"/>
        </w:rPr>
        <w:t xml:space="preserve"> </w:t>
      </w:r>
      <w:r w:rsidR="00000000">
        <w:t>of</w:t>
      </w:r>
      <w:r w:rsidR="00000000">
        <w:rPr>
          <w:spacing w:val="-11"/>
        </w:rPr>
        <w:t xml:space="preserve"> </w:t>
      </w:r>
      <w:r w:rsidR="00000000">
        <w:t>Disaster</w:t>
      </w:r>
      <w:r w:rsidR="00000000">
        <w:rPr>
          <w:spacing w:val="-13"/>
        </w:rPr>
        <w:t xml:space="preserve"> </w:t>
      </w:r>
      <w:r w:rsidR="00000000">
        <w:t>Risk</w:t>
      </w:r>
      <w:r w:rsidR="00000000">
        <w:rPr>
          <w:spacing w:val="-58"/>
        </w:rPr>
        <w:t xml:space="preserve"> </w:t>
      </w:r>
      <w:r w:rsidR="00000000">
        <w:t>Management</w:t>
      </w:r>
      <w:r w:rsidR="00000000">
        <w:rPr>
          <w:spacing w:val="-1"/>
        </w:rPr>
        <w:t xml:space="preserve"> </w:t>
      </w:r>
      <w:r w:rsidR="00000000">
        <w:t>Projects and funded by</w:t>
      </w:r>
      <w:r w:rsidR="00000000">
        <w:rPr>
          <w:spacing w:val="-5"/>
        </w:rPr>
        <w:t xml:space="preserve"> </w:t>
      </w:r>
      <w:r w:rsidR="00000000">
        <w:t>the EU</w:t>
      </w:r>
      <w:r w:rsidR="00000000">
        <w:rPr>
          <w:spacing w:val="-2"/>
        </w:rPr>
        <w:t xml:space="preserve"> </w:t>
      </w:r>
      <w:r w:rsidR="00000000">
        <w:t>Civil Protection Mechanism.</w:t>
      </w:r>
    </w:p>
    <w:p w:rsidR="00A56FE9" w:rsidRDefault="00A56FE9">
      <w:pPr>
        <w:pStyle w:val="Tijeloteksta"/>
        <w:spacing w:before="10"/>
        <w:ind w:left="0"/>
        <w:jc w:val="left"/>
        <w:rPr>
          <w:sz w:val="31"/>
        </w:rPr>
      </w:pPr>
    </w:p>
    <w:p w:rsidR="00A56FE9" w:rsidRDefault="00000000">
      <w:pPr>
        <w:pStyle w:val="Naslov4"/>
        <w:ind w:right="275"/>
      </w:pPr>
      <w:r>
        <w:rPr>
          <w:color w:val="2C398A"/>
        </w:rPr>
        <w:t>Goal 14. Conserve and sustainably use the oceans, seas and marine resources for</w:t>
      </w:r>
      <w:r>
        <w:rPr>
          <w:color w:val="2C398A"/>
          <w:spacing w:val="1"/>
        </w:rPr>
        <w:t xml:space="preserve"> </w:t>
      </w:r>
      <w:r>
        <w:rPr>
          <w:color w:val="2C398A"/>
        </w:rPr>
        <w:t>sustainable</w:t>
      </w:r>
      <w:r>
        <w:rPr>
          <w:color w:val="2C398A"/>
          <w:spacing w:val="-2"/>
        </w:rPr>
        <w:t xml:space="preserve"> </w:t>
      </w:r>
      <w:r>
        <w:rPr>
          <w:color w:val="2C398A"/>
        </w:rPr>
        <w:t>development</w:t>
      </w:r>
    </w:p>
    <w:p w:rsidR="00A56FE9" w:rsidRDefault="00000000">
      <w:pPr>
        <w:pStyle w:val="Tijeloteksta"/>
        <w:spacing w:before="114"/>
        <w:ind w:right="268"/>
      </w:pPr>
      <w:r>
        <w:t>Following the obligations and activities arising from the EU Maritime Strategy Framework</w:t>
      </w:r>
      <w:r>
        <w:rPr>
          <w:spacing w:val="1"/>
        </w:rPr>
        <w:t xml:space="preserve"> </w:t>
      </w:r>
      <w:r>
        <w:t>Directive</w:t>
      </w:r>
      <w:r>
        <w:rPr>
          <w:spacing w:val="-7"/>
        </w:rPr>
        <w:t xml:space="preserve"> </w:t>
      </w:r>
      <w:r>
        <w:t>2008/56/EC,</w:t>
      </w:r>
      <w:r>
        <w:rPr>
          <w:spacing w:val="-4"/>
        </w:rPr>
        <w:t xml:space="preserve"> </w:t>
      </w:r>
      <w:r>
        <w:t>Croatia</w:t>
      </w:r>
      <w:r>
        <w:rPr>
          <w:spacing w:val="-4"/>
        </w:rPr>
        <w:t xml:space="preserve"> </w:t>
      </w:r>
      <w:r>
        <w:t>is</w:t>
      </w:r>
      <w:r>
        <w:rPr>
          <w:spacing w:val="-6"/>
        </w:rPr>
        <w:t xml:space="preserve"> </w:t>
      </w:r>
      <w:r>
        <w:t>developing,</w:t>
      </w:r>
      <w:r>
        <w:rPr>
          <w:spacing w:val="-4"/>
        </w:rPr>
        <w:t xml:space="preserve"> </w:t>
      </w:r>
      <w:r>
        <w:t>updating</w:t>
      </w:r>
      <w:r>
        <w:rPr>
          <w:spacing w:val="-6"/>
        </w:rPr>
        <w:t xml:space="preserve"> </w:t>
      </w:r>
      <w:r>
        <w:t>and</w:t>
      </w:r>
      <w:r>
        <w:rPr>
          <w:spacing w:val="-7"/>
        </w:rPr>
        <w:t xml:space="preserve"> </w:t>
      </w:r>
      <w:r>
        <w:t>implementing</w:t>
      </w:r>
      <w:r>
        <w:rPr>
          <w:spacing w:val="-7"/>
        </w:rPr>
        <w:t xml:space="preserve"> </w:t>
      </w:r>
      <w:r>
        <w:t>the</w:t>
      </w:r>
      <w:r>
        <w:rPr>
          <w:spacing w:val="-5"/>
        </w:rPr>
        <w:t xml:space="preserve"> </w:t>
      </w:r>
      <w:r>
        <w:t>documents</w:t>
      </w:r>
      <w:r>
        <w:rPr>
          <w:spacing w:val="-4"/>
        </w:rPr>
        <w:t xml:space="preserve"> </w:t>
      </w:r>
      <w:r>
        <w:t>of</w:t>
      </w:r>
      <w:r>
        <w:rPr>
          <w:spacing w:val="-5"/>
        </w:rPr>
        <w:t xml:space="preserve"> </w:t>
      </w:r>
      <w:r>
        <w:t>the</w:t>
      </w:r>
      <w:r>
        <w:rPr>
          <w:spacing w:val="-58"/>
        </w:rPr>
        <w:t xml:space="preserve"> </w:t>
      </w:r>
      <w:r>
        <w:t>Marine</w:t>
      </w:r>
      <w:r>
        <w:rPr>
          <w:spacing w:val="1"/>
        </w:rPr>
        <w:t xml:space="preserve"> </w:t>
      </w:r>
      <w:r>
        <w:t>Environment</w:t>
      </w:r>
      <w:r>
        <w:rPr>
          <w:spacing w:val="1"/>
        </w:rPr>
        <w:t xml:space="preserve"> </w:t>
      </w:r>
      <w:r>
        <w:t>and</w:t>
      </w:r>
      <w:r>
        <w:rPr>
          <w:spacing w:val="1"/>
        </w:rPr>
        <w:t xml:space="preserve"> </w:t>
      </w:r>
      <w:r>
        <w:t>Coastal</w:t>
      </w:r>
      <w:r>
        <w:rPr>
          <w:spacing w:val="1"/>
        </w:rPr>
        <w:t xml:space="preserve"> </w:t>
      </w:r>
      <w:r>
        <w:t>Zone</w:t>
      </w:r>
      <w:r>
        <w:rPr>
          <w:spacing w:val="1"/>
        </w:rPr>
        <w:t xml:space="preserve"> </w:t>
      </w:r>
      <w:r>
        <w:t>Management</w:t>
      </w:r>
      <w:r>
        <w:rPr>
          <w:spacing w:val="1"/>
        </w:rPr>
        <w:t xml:space="preserve"> </w:t>
      </w:r>
      <w:r>
        <w:t>Strategy.</w:t>
      </w:r>
      <w:r>
        <w:rPr>
          <w:spacing w:val="1"/>
        </w:rPr>
        <w:t xml:space="preserve"> </w:t>
      </w:r>
      <w:r>
        <w:t>In</w:t>
      </w:r>
      <w:r>
        <w:rPr>
          <w:spacing w:val="1"/>
        </w:rPr>
        <w:t xml:space="preserve"> </w:t>
      </w:r>
      <w:r>
        <w:t>the</w:t>
      </w:r>
      <w:r>
        <w:rPr>
          <w:spacing w:val="1"/>
        </w:rPr>
        <w:t xml:space="preserve"> </w:t>
      </w:r>
      <w:r>
        <w:t>second</w:t>
      </w:r>
      <w:r>
        <w:rPr>
          <w:spacing w:val="1"/>
        </w:rPr>
        <w:t xml:space="preserve"> </w:t>
      </w:r>
      <w:r>
        <w:t>cycle</w:t>
      </w:r>
      <w:r>
        <w:rPr>
          <w:spacing w:val="1"/>
        </w:rPr>
        <w:t xml:space="preserve"> </w:t>
      </w:r>
      <w:r>
        <w:t>of</w:t>
      </w:r>
      <w:r>
        <w:rPr>
          <w:spacing w:val="1"/>
        </w:rPr>
        <w:t xml:space="preserve"> </w:t>
      </w:r>
      <w:r>
        <w:t>implementing the Strategy in 2021, the Government adopted the Monitoring and Observation</w:t>
      </w:r>
      <w:r>
        <w:rPr>
          <w:spacing w:val="1"/>
        </w:rPr>
        <w:t xml:space="preserve"> </w:t>
      </w:r>
      <w:r>
        <w:t>System for Continuous Assessment of the State of the Adriatic Sea in 2021-2026,</w:t>
      </w:r>
      <w:r>
        <w:rPr>
          <w:vertAlign w:val="superscript"/>
        </w:rPr>
        <w:t>47</w:t>
      </w:r>
      <w:r>
        <w:t xml:space="preserve"> which has</w:t>
      </w:r>
      <w:r>
        <w:rPr>
          <w:spacing w:val="1"/>
        </w:rPr>
        <w:t xml:space="preserve"> </w:t>
      </w:r>
      <w:r>
        <w:rPr>
          <w:spacing w:val="-2"/>
        </w:rPr>
        <w:t>commenced</w:t>
      </w:r>
      <w:r>
        <w:rPr>
          <w:spacing w:val="-13"/>
        </w:rPr>
        <w:t xml:space="preserve"> </w:t>
      </w:r>
      <w:r>
        <w:rPr>
          <w:spacing w:val="-2"/>
        </w:rPr>
        <w:t>with</w:t>
      </w:r>
      <w:r>
        <w:rPr>
          <w:spacing w:val="-12"/>
        </w:rPr>
        <w:t xml:space="preserve"> </w:t>
      </w:r>
      <w:r>
        <w:rPr>
          <w:spacing w:val="-1"/>
        </w:rPr>
        <w:t>implementation,</w:t>
      </w:r>
      <w:r>
        <w:rPr>
          <w:spacing w:val="-12"/>
        </w:rPr>
        <w:t xml:space="preserve"> </w:t>
      </w:r>
      <w:r>
        <w:rPr>
          <w:spacing w:val="-1"/>
        </w:rPr>
        <w:t>and</w:t>
      </w:r>
      <w:r>
        <w:rPr>
          <w:spacing w:val="-11"/>
        </w:rPr>
        <w:t xml:space="preserve"> </w:t>
      </w:r>
      <w:r>
        <w:rPr>
          <w:spacing w:val="-1"/>
        </w:rPr>
        <w:t>activities</w:t>
      </w:r>
      <w:r>
        <w:rPr>
          <w:spacing w:val="-10"/>
        </w:rPr>
        <w:t xml:space="preserve"> </w:t>
      </w:r>
      <w:r>
        <w:rPr>
          <w:spacing w:val="-1"/>
        </w:rPr>
        <w:t>have</w:t>
      </w:r>
      <w:r>
        <w:rPr>
          <w:spacing w:val="-13"/>
        </w:rPr>
        <w:t xml:space="preserve"> </w:t>
      </w:r>
      <w:r>
        <w:rPr>
          <w:spacing w:val="-1"/>
        </w:rPr>
        <w:t>begun</w:t>
      </w:r>
      <w:r>
        <w:rPr>
          <w:spacing w:val="-12"/>
        </w:rPr>
        <w:t xml:space="preserve"> </w:t>
      </w:r>
      <w:r>
        <w:rPr>
          <w:spacing w:val="-1"/>
        </w:rPr>
        <w:t>on</w:t>
      </w:r>
      <w:r>
        <w:rPr>
          <w:spacing w:val="-12"/>
        </w:rPr>
        <w:t xml:space="preserve"> </w:t>
      </w:r>
      <w:r>
        <w:rPr>
          <w:spacing w:val="-1"/>
        </w:rPr>
        <w:t>updating</w:t>
      </w:r>
      <w:r>
        <w:rPr>
          <w:spacing w:val="-14"/>
        </w:rPr>
        <w:t xml:space="preserve"> </w:t>
      </w:r>
      <w:r>
        <w:rPr>
          <w:spacing w:val="-1"/>
        </w:rPr>
        <w:t>the</w:t>
      </w:r>
      <w:r>
        <w:rPr>
          <w:spacing w:val="-10"/>
        </w:rPr>
        <w:t xml:space="preserve"> </w:t>
      </w:r>
      <w:r>
        <w:rPr>
          <w:spacing w:val="-1"/>
        </w:rPr>
        <w:t>existing</w:t>
      </w:r>
      <w:r>
        <w:rPr>
          <w:spacing w:val="-14"/>
        </w:rPr>
        <w:t xml:space="preserve"> </w:t>
      </w:r>
      <w:r>
        <w:rPr>
          <w:spacing w:val="-1"/>
        </w:rPr>
        <w:t>Program</w:t>
      </w:r>
      <w:r>
        <w:rPr>
          <w:spacing w:val="-11"/>
        </w:rPr>
        <w:t xml:space="preserve"> </w:t>
      </w:r>
      <w:r>
        <w:rPr>
          <w:spacing w:val="-1"/>
        </w:rPr>
        <w:t>of</w:t>
      </w:r>
      <w:r>
        <w:rPr>
          <w:spacing w:val="-58"/>
        </w:rPr>
        <w:t xml:space="preserve"> </w:t>
      </w:r>
      <w:r>
        <w:t>Measures</w:t>
      </w:r>
      <w:r>
        <w:rPr>
          <w:spacing w:val="-8"/>
        </w:rPr>
        <w:t xml:space="preserve"> </w:t>
      </w:r>
      <w:r>
        <w:t>for</w:t>
      </w:r>
      <w:r>
        <w:rPr>
          <w:spacing w:val="-9"/>
        </w:rPr>
        <w:t xml:space="preserve"> </w:t>
      </w:r>
      <w:r>
        <w:t>the</w:t>
      </w:r>
      <w:r>
        <w:rPr>
          <w:spacing w:val="-9"/>
        </w:rPr>
        <w:t xml:space="preserve"> </w:t>
      </w:r>
      <w:r>
        <w:t>Protection</w:t>
      </w:r>
      <w:r>
        <w:rPr>
          <w:spacing w:val="-8"/>
        </w:rPr>
        <w:t xml:space="preserve"> </w:t>
      </w:r>
      <w:r>
        <w:t>and</w:t>
      </w:r>
      <w:r>
        <w:rPr>
          <w:spacing w:val="-7"/>
        </w:rPr>
        <w:t xml:space="preserve"> </w:t>
      </w:r>
      <w:r>
        <w:t>Management</w:t>
      </w:r>
      <w:r>
        <w:rPr>
          <w:spacing w:val="-8"/>
        </w:rPr>
        <w:t xml:space="preserve"> </w:t>
      </w:r>
      <w:r>
        <w:t>of</w:t>
      </w:r>
      <w:r>
        <w:rPr>
          <w:spacing w:val="-7"/>
        </w:rPr>
        <w:t xml:space="preserve"> </w:t>
      </w:r>
      <w:r>
        <w:t>the</w:t>
      </w:r>
      <w:r>
        <w:rPr>
          <w:spacing w:val="-8"/>
        </w:rPr>
        <w:t xml:space="preserve"> </w:t>
      </w:r>
      <w:r>
        <w:t>Marine</w:t>
      </w:r>
      <w:r>
        <w:rPr>
          <w:spacing w:val="-9"/>
        </w:rPr>
        <w:t xml:space="preserve"> </w:t>
      </w:r>
      <w:r>
        <w:t>Environment</w:t>
      </w:r>
      <w:r>
        <w:rPr>
          <w:spacing w:val="-5"/>
        </w:rPr>
        <w:t xml:space="preserve"> </w:t>
      </w:r>
      <w:r>
        <w:t>and</w:t>
      </w:r>
      <w:r>
        <w:rPr>
          <w:spacing w:val="-8"/>
        </w:rPr>
        <w:t xml:space="preserve"> </w:t>
      </w:r>
      <w:r>
        <w:t>the</w:t>
      </w:r>
      <w:r>
        <w:rPr>
          <w:spacing w:val="-8"/>
        </w:rPr>
        <w:t xml:space="preserve"> </w:t>
      </w:r>
      <w:r>
        <w:t>Coastal</w:t>
      </w:r>
      <w:r>
        <w:rPr>
          <w:spacing w:val="-6"/>
        </w:rPr>
        <w:t xml:space="preserve"> </w:t>
      </w:r>
      <w:r>
        <w:t>Zone</w:t>
      </w:r>
      <w:r>
        <w:rPr>
          <w:spacing w:val="-57"/>
        </w:rPr>
        <w:t xml:space="preserve"> </w:t>
      </w:r>
      <w:r>
        <w:rPr>
          <w:spacing w:val="-1"/>
        </w:rPr>
        <w:t xml:space="preserve">of the Republic of Croatia adopted </w:t>
      </w:r>
      <w:r>
        <w:t xml:space="preserve">by the Government in 2017. </w:t>
      </w:r>
      <w:r>
        <w:rPr>
          <w:vertAlign w:val="superscript"/>
        </w:rPr>
        <w:t>48</w:t>
      </w:r>
      <w:r>
        <w:t xml:space="preserve"> In addition to the above, the</w:t>
      </w:r>
      <w:r>
        <w:rPr>
          <w:spacing w:val="1"/>
        </w:rPr>
        <w:t xml:space="preserve"> </w:t>
      </w:r>
      <w:r>
        <w:rPr>
          <w:spacing w:val="-1"/>
        </w:rPr>
        <w:t>plan</w:t>
      </w:r>
      <w:r>
        <w:rPr>
          <w:spacing w:val="-10"/>
        </w:rPr>
        <w:t xml:space="preserve"> </w:t>
      </w:r>
      <w:r>
        <w:rPr>
          <w:spacing w:val="-1"/>
        </w:rPr>
        <w:t>by</w:t>
      </w:r>
      <w:r>
        <w:rPr>
          <w:spacing w:val="-14"/>
        </w:rPr>
        <w:t xml:space="preserve"> </w:t>
      </w:r>
      <w:r>
        <w:rPr>
          <w:spacing w:val="-1"/>
        </w:rPr>
        <w:t>the</w:t>
      </w:r>
      <w:r>
        <w:rPr>
          <w:spacing w:val="-8"/>
        </w:rPr>
        <w:t xml:space="preserve"> </w:t>
      </w:r>
      <w:r>
        <w:rPr>
          <w:spacing w:val="-1"/>
        </w:rPr>
        <w:t>end</w:t>
      </w:r>
      <w:r>
        <w:rPr>
          <w:spacing w:val="-10"/>
        </w:rPr>
        <w:t xml:space="preserve"> </w:t>
      </w:r>
      <w:r>
        <w:rPr>
          <w:spacing w:val="-1"/>
        </w:rPr>
        <w:t>of</w:t>
      </w:r>
      <w:r>
        <w:rPr>
          <w:spacing w:val="-10"/>
        </w:rPr>
        <w:t xml:space="preserve"> </w:t>
      </w:r>
      <w:r>
        <w:rPr>
          <w:spacing w:val="-1"/>
        </w:rPr>
        <w:t>2022</w:t>
      </w:r>
      <w:r>
        <w:rPr>
          <w:spacing w:val="-9"/>
        </w:rPr>
        <w:t xml:space="preserve"> </w:t>
      </w:r>
      <w:r>
        <w:rPr>
          <w:spacing w:val="-1"/>
        </w:rPr>
        <w:t>is</w:t>
      </w:r>
      <w:r>
        <w:rPr>
          <w:spacing w:val="-7"/>
        </w:rPr>
        <w:t xml:space="preserve"> </w:t>
      </w:r>
      <w:r>
        <w:rPr>
          <w:spacing w:val="-1"/>
        </w:rPr>
        <w:t>to</w:t>
      </w:r>
      <w:r>
        <w:rPr>
          <w:spacing w:val="-9"/>
        </w:rPr>
        <w:t xml:space="preserve"> </w:t>
      </w:r>
      <w:r>
        <w:rPr>
          <w:spacing w:val="-1"/>
        </w:rPr>
        <w:t>adopt</w:t>
      </w:r>
      <w:r>
        <w:rPr>
          <w:spacing w:val="-10"/>
        </w:rPr>
        <w:t xml:space="preserve"> </w:t>
      </w:r>
      <w:r>
        <w:rPr>
          <w:spacing w:val="-1"/>
        </w:rPr>
        <w:t>the</w:t>
      </w:r>
      <w:r>
        <w:rPr>
          <w:spacing w:val="-10"/>
        </w:rPr>
        <w:t xml:space="preserve"> </w:t>
      </w:r>
      <w:r>
        <w:rPr>
          <w:spacing w:val="-1"/>
        </w:rPr>
        <w:t>Program</w:t>
      </w:r>
      <w:r>
        <w:rPr>
          <w:spacing w:val="-9"/>
        </w:rPr>
        <w:t xml:space="preserve"> </w:t>
      </w:r>
      <w:r>
        <w:rPr>
          <w:spacing w:val="-1"/>
        </w:rPr>
        <w:t>of</w:t>
      </w:r>
      <w:r>
        <w:rPr>
          <w:spacing w:val="-9"/>
        </w:rPr>
        <w:t xml:space="preserve"> </w:t>
      </w:r>
      <w:r>
        <w:rPr>
          <w:spacing w:val="-1"/>
        </w:rPr>
        <w:t>Measures</w:t>
      </w:r>
      <w:r>
        <w:rPr>
          <w:spacing w:val="-9"/>
        </w:rPr>
        <w:t xml:space="preserve"> </w:t>
      </w:r>
      <w:r>
        <w:rPr>
          <w:spacing w:val="-1"/>
        </w:rPr>
        <w:t>for</w:t>
      </w:r>
      <w:r>
        <w:rPr>
          <w:spacing w:val="-10"/>
        </w:rPr>
        <w:t xml:space="preserve"> </w:t>
      </w:r>
      <w:r>
        <w:rPr>
          <w:spacing w:val="-1"/>
        </w:rPr>
        <w:t>the</w:t>
      </w:r>
      <w:r>
        <w:rPr>
          <w:spacing w:val="-11"/>
        </w:rPr>
        <w:t xml:space="preserve"> </w:t>
      </w:r>
      <w:r>
        <w:rPr>
          <w:spacing w:val="-1"/>
        </w:rPr>
        <w:t>Protection</w:t>
      </w:r>
      <w:r>
        <w:rPr>
          <w:spacing w:val="-9"/>
        </w:rPr>
        <w:t xml:space="preserve"> </w:t>
      </w:r>
      <w:r>
        <w:rPr>
          <w:spacing w:val="-1"/>
        </w:rPr>
        <w:t>and</w:t>
      </w:r>
      <w:r>
        <w:rPr>
          <w:spacing w:val="-9"/>
        </w:rPr>
        <w:t xml:space="preserve"> </w:t>
      </w:r>
      <w:r>
        <w:t>Management</w:t>
      </w:r>
      <w:r>
        <w:rPr>
          <w:spacing w:val="-58"/>
        </w:rPr>
        <w:t xml:space="preserve"> </w:t>
      </w:r>
      <w:r>
        <w:t>of</w:t>
      </w:r>
      <w:r>
        <w:rPr>
          <w:spacing w:val="-11"/>
        </w:rPr>
        <w:t xml:space="preserve"> </w:t>
      </w:r>
      <w:r>
        <w:t>the</w:t>
      </w:r>
      <w:r>
        <w:rPr>
          <w:spacing w:val="-9"/>
        </w:rPr>
        <w:t xml:space="preserve"> </w:t>
      </w:r>
      <w:r>
        <w:t>Marine</w:t>
      </w:r>
      <w:r>
        <w:rPr>
          <w:spacing w:val="-9"/>
        </w:rPr>
        <w:t xml:space="preserve"> </w:t>
      </w:r>
      <w:r>
        <w:t>Environment</w:t>
      </w:r>
      <w:r>
        <w:rPr>
          <w:spacing w:val="-9"/>
        </w:rPr>
        <w:t xml:space="preserve"> </w:t>
      </w:r>
      <w:r>
        <w:t>and</w:t>
      </w:r>
      <w:r>
        <w:rPr>
          <w:spacing w:val="-10"/>
        </w:rPr>
        <w:t xml:space="preserve"> </w:t>
      </w:r>
      <w:r>
        <w:t>the</w:t>
      </w:r>
      <w:r>
        <w:rPr>
          <w:spacing w:val="-11"/>
        </w:rPr>
        <w:t xml:space="preserve"> </w:t>
      </w:r>
      <w:r>
        <w:t>Coastal</w:t>
      </w:r>
      <w:r>
        <w:rPr>
          <w:spacing w:val="-7"/>
        </w:rPr>
        <w:t xml:space="preserve"> </w:t>
      </w:r>
      <w:r>
        <w:t>Zone</w:t>
      </w:r>
      <w:r>
        <w:rPr>
          <w:spacing w:val="-10"/>
        </w:rPr>
        <w:t xml:space="preserve"> </w:t>
      </w:r>
      <w:r>
        <w:t>of</w:t>
      </w:r>
      <w:r>
        <w:rPr>
          <w:spacing w:val="-11"/>
        </w:rPr>
        <w:t xml:space="preserve"> </w:t>
      </w:r>
      <w:r>
        <w:t>the</w:t>
      </w:r>
      <w:r>
        <w:rPr>
          <w:spacing w:val="-10"/>
        </w:rPr>
        <w:t xml:space="preserve"> </w:t>
      </w:r>
      <w:r>
        <w:t>Republic</w:t>
      </w:r>
      <w:r>
        <w:rPr>
          <w:spacing w:val="-11"/>
        </w:rPr>
        <w:t xml:space="preserve"> </w:t>
      </w:r>
      <w:r>
        <w:t>of</w:t>
      </w:r>
      <w:r>
        <w:rPr>
          <w:spacing w:val="-11"/>
        </w:rPr>
        <w:t xml:space="preserve"> </w:t>
      </w:r>
      <w:r>
        <w:t>Croatia</w:t>
      </w:r>
      <w:r>
        <w:rPr>
          <w:spacing w:val="-5"/>
        </w:rPr>
        <w:t xml:space="preserve"> </w:t>
      </w:r>
      <w:r>
        <w:t>2022-2027.</w:t>
      </w:r>
    </w:p>
    <w:p w:rsidR="00A56FE9" w:rsidRDefault="00000000">
      <w:pPr>
        <w:pStyle w:val="Tijeloteksta"/>
        <w:spacing w:before="121"/>
        <w:ind w:right="274"/>
      </w:pPr>
      <w:r>
        <w:t>The</w:t>
      </w:r>
      <w:r>
        <w:rPr>
          <w:spacing w:val="-13"/>
        </w:rPr>
        <w:t xml:space="preserve"> </w:t>
      </w:r>
      <w:r>
        <w:t>contribution</w:t>
      </w:r>
      <w:r>
        <w:rPr>
          <w:spacing w:val="-11"/>
        </w:rPr>
        <w:t xml:space="preserve"> </w:t>
      </w:r>
      <w:r>
        <w:t>to</w:t>
      </w:r>
      <w:r>
        <w:rPr>
          <w:spacing w:val="-12"/>
        </w:rPr>
        <w:t xml:space="preserve"> </w:t>
      </w:r>
      <w:r>
        <w:t>this</w:t>
      </w:r>
      <w:r>
        <w:rPr>
          <w:spacing w:val="-13"/>
        </w:rPr>
        <w:t xml:space="preserve"> </w:t>
      </w:r>
      <w:r>
        <w:t>goal</w:t>
      </w:r>
      <w:r>
        <w:rPr>
          <w:spacing w:val="-12"/>
        </w:rPr>
        <w:t xml:space="preserve"> </w:t>
      </w:r>
      <w:r>
        <w:t>in</w:t>
      </w:r>
      <w:r>
        <w:rPr>
          <w:spacing w:val="-11"/>
        </w:rPr>
        <w:t xml:space="preserve"> </w:t>
      </w:r>
      <w:r>
        <w:t>nature</w:t>
      </w:r>
      <w:r>
        <w:rPr>
          <w:spacing w:val="-12"/>
        </w:rPr>
        <w:t xml:space="preserve"> </w:t>
      </w:r>
      <w:r>
        <w:t>conservation</w:t>
      </w:r>
      <w:r>
        <w:rPr>
          <w:spacing w:val="-10"/>
        </w:rPr>
        <w:t xml:space="preserve"> </w:t>
      </w:r>
      <w:r>
        <w:t>activities</w:t>
      </w:r>
      <w:r>
        <w:rPr>
          <w:spacing w:val="-11"/>
        </w:rPr>
        <w:t xml:space="preserve"> </w:t>
      </w:r>
      <w:r>
        <w:t>is</w:t>
      </w:r>
      <w:r>
        <w:rPr>
          <w:spacing w:val="-11"/>
        </w:rPr>
        <w:t xml:space="preserve"> </w:t>
      </w:r>
      <w:r>
        <w:t>expected</w:t>
      </w:r>
      <w:r>
        <w:rPr>
          <w:spacing w:val="-11"/>
        </w:rPr>
        <w:t xml:space="preserve"> </w:t>
      </w:r>
      <w:r>
        <w:t>from</w:t>
      </w:r>
      <w:r>
        <w:rPr>
          <w:spacing w:val="-11"/>
        </w:rPr>
        <w:t xml:space="preserve"> </w:t>
      </w:r>
      <w:r>
        <w:t>strategic</w:t>
      </w:r>
      <w:r>
        <w:rPr>
          <w:spacing w:val="-12"/>
        </w:rPr>
        <w:t xml:space="preserve"> </w:t>
      </w:r>
      <w:r>
        <w:t>projects</w:t>
      </w:r>
      <w:r>
        <w:rPr>
          <w:spacing w:val="-58"/>
        </w:rPr>
        <w:t xml:space="preserve"> </w:t>
      </w:r>
      <w:r>
        <w:t>implemented by the MESD under the Operational Programme Competitiveness and Cohesion,</w:t>
      </w:r>
      <w:r>
        <w:rPr>
          <w:spacing w:val="-57"/>
        </w:rPr>
        <w:t xml:space="preserve"> </w:t>
      </w:r>
      <w:r>
        <w:t>primarily:</w:t>
      </w:r>
      <w:r>
        <w:rPr>
          <w:spacing w:val="-5"/>
        </w:rPr>
        <w:t xml:space="preserve"> </w:t>
      </w:r>
      <w:r>
        <w:t>Development</w:t>
      </w:r>
      <w:r>
        <w:rPr>
          <w:spacing w:val="-3"/>
        </w:rPr>
        <w:t xml:space="preserve"> </w:t>
      </w:r>
      <w:r>
        <w:t>of</w:t>
      </w:r>
      <w:r>
        <w:rPr>
          <w:spacing w:val="-7"/>
        </w:rPr>
        <w:t xml:space="preserve"> </w:t>
      </w:r>
      <w:r>
        <w:t>the</w:t>
      </w:r>
      <w:r>
        <w:rPr>
          <w:spacing w:val="-3"/>
        </w:rPr>
        <w:t xml:space="preserve"> </w:t>
      </w:r>
      <w:r>
        <w:t>Framework</w:t>
      </w:r>
      <w:r>
        <w:rPr>
          <w:spacing w:val="-6"/>
        </w:rPr>
        <w:t xml:space="preserve"> </w:t>
      </w:r>
      <w:r>
        <w:t>for</w:t>
      </w:r>
      <w:r>
        <w:rPr>
          <w:spacing w:val="-6"/>
        </w:rPr>
        <w:t xml:space="preserve"> </w:t>
      </w:r>
      <w:r>
        <w:t>Managing</w:t>
      </w:r>
      <w:r>
        <w:rPr>
          <w:spacing w:val="-8"/>
        </w:rPr>
        <w:t xml:space="preserve"> </w:t>
      </w:r>
      <w:r>
        <w:t>the</w:t>
      </w:r>
      <w:r>
        <w:rPr>
          <w:spacing w:val="-7"/>
        </w:rPr>
        <w:t xml:space="preserve"> </w:t>
      </w:r>
      <w:r>
        <w:t>Natura</w:t>
      </w:r>
      <w:r>
        <w:rPr>
          <w:spacing w:val="-7"/>
        </w:rPr>
        <w:t xml:space="preserve"> </w:t>
      </w:r>
      <w:r>
        <w:t>2000</w:t>
      </w:r>
      <w:r>
        <w:rPr>
          <w:spacing w:val="-6"/>
        </w:rPr>
        <w:t xml:space="preserve"> </w:t>
      </w:r>
      <w:r>
        <w:t>Ecological</w:t>
      </w:r>
      <w:r>
        <w:rPr>
          <w:spacing w:val="-4"/>
        </w:rPr>
        <w:t xml:space="preserve"> </w:t>
      </w:r>
      <w:r>
        <w:t>Network,</w:t>
      </w:r>
      <w:r>
        <w:rPr>
          <w:spacing w:val="-58"/>
        </w:rPr>
        <w:t xml:space="preserve"> </w:t>
      </w:r>
      <w:r>
        <w:t>Development of Management and Control Systems for</w:t>
      </w:r>
      <w:r>
        <w:rPr>
          <w:spacing w:val="1"/>
        </w:rPr>
        <w:t xml:space="preserve"> </w:t>
      </w:r>
      <w:r>
        <w:t>Invasive Alien Species, Mapping</w:t>
      </w:r>
      <w:r>
        <w:rPr>
          <w:spacing w:val="1"/>
        </w:rPr>
        <w:t xml:space="preserve"> </w:t>
      </w:r>
      <w:r>
        <w:t>Coastal</w:t>
      </w:r>
      <w:r>
        <w:rPr>
          <w:spacing w:val="1"/>
        </w:rPr>
        <w:t xml:space="preserve"> </w:t>
      </w:r>
      <w:r>
        <w:t>and</w:t>
      </w:r>
      <w:r>
        <w:rPr>
          <w:spacing w:val="1"/>
        </w:rPr>
        <w:t xml:space="preserve"> </w:t>
      </w:r>
      <w:r>
        <w:t>Benthic Marine Habitats</w:t>
      </w:r>
      <w:r>
        <w:rPr>
          <w:spacing w:val="1"/>
        </w:rPr>
        <w:t xml:space="preserve"> </w:t>
      </w:r>
      <w:r>
        <w:t>in</w:t>
      </w:r>
      <w:r>
        <w:rPr>
          <w:spacing w:val="1"/>
        </w:rPr>
        <w:t xml:space="preserve"> </w:t>
      </w:r>
      <w:r>
        <w:t>the Region</w:t>
      </w:r>
      <w:r>
        <w:rPr>
          <w:spacing w:val="1"/>
        </w:rPr>
        <w:t xml:space="preserve"> </w:t>
      </w:r>
      <w:r>
        <w:t>of the</w:t>
      </w:r>
      <w:r>
        <w:rPr>
          <w:spacing w:val="1"/>
        </w:rPr>
        <w:t xml:space="preserve"> </w:t>
      </w:r>
      <w:r>
        <w:t>Adriatic</w:t>
      </w:r>
      <w:r>
        <w:rPr>
          <w:spacing w:val="1"/>
        </w:rPr>
        <w:t xml:space="preserve"> </w:t>
      </w:r>
      <w:r>
        <w:t>Sea Under</w:t>
      </w:r>
      <w:r>
        <w:rPr>
          <w:spacing w:val="1"/>
        </w:rPr>
        <w:t xml:space="preserve"> </w:t>
      </w:r>
      <w:r>
        <w:t>National</w:t>
      </w:r>
      <w:r>
        <w:rPr>
          <w:spacing w:val="1"/>
        </w:rPr>
        <w:t xml:space="preserve"> </w:t>
      </w:r>
      <w:r>
        <w:t>Jurisdiction,</w:t>
      </w:r>
      <w:r>
        <w:rPr>
          <w:spacing w:val="-8"/>
        </w:rPr>
        <w:t xml:space="preserve"> </w:t>
      </w:r>
      <w:r>
        <w:t>and</w:t>
      </w:r>
      <w:r>
        <w:rPr>
          <w:spacing w:val="-9"/>
        </w:rPr>
        <w:t xml:space="preserve"> </w:t>
      </w:r>
      <w:r>
        <w:t>Development</w:t>
      </w:r>
      <w:r>
        <w:rPr>
          <w:spacing w:val="-8"/>
        </w:rPr>
        <w:t xml:space="preserve"> </w:t>
      </w:r>
      <w:r>
        <w:t>of</w:t>
      </w:r>
      <w:r>
        <w:rPr>
          <w:spacing w:val="-8"/>
        </w:rPr>
        <w:t xml:space="preserve"> </w:t>
      </w:r>
      <w:r>
        <w:t>the</w:t>
      </w:r>
      <w:r>
        <w:rPr>
          <w:spacing w:val="-9"/>
        </w:rPr>
        <w:t xml:space="preserve"> </w:t>
      </w:r>
      <w:r>
        <w:t>System</w:t>
      </w:r>
      <w:r>
        <w:rPr>
          <w:spacing w:val="-8"/>
        </w:rPr>
        <w:t xml:space="preserve"> </w:t>
      </w:r>
      <w:r>
        <w:t>for</w:t>
      </w:r>
      <w:r>
        <w:rPr>
          <w:spacing w:val="-8"/>
        </w:rPr>
        <w:t xml:space="preserve"> </w:t>
      </w:r>
      <w:r>
        <w:t>Tracking</w:t>
      </w:r>
      <w:r>
        <w:rPr>
          <w:spacing w:val="-10"/>
        </w:rPr>
        <w:t xml:space="preserve"> </w:t>
      </w:r>
      <w:r>
        <w:t>Conservation</w:t>
      </w:r>
      <w:r>
        <w:rPr>
          <w:spacing w:val="-9"/>
        </w:rPr>
        <w:t xml:space="preserve"> </w:t>
      </w:r>
      <w:r>
        <w:t>of</w:t>
      </w:r>
      <w:r>
        <w:rPr>
          <w:spacing w:val="-9"/>
        </w:rPr>
        <w:t xml:space="preserve"> </w:t>
      </w:r>
      <w:r>
        <w:t>Species</w:t>
      </w:r>
      <w:r>
        <w:rPr>
          <w:spacing w:val="-9"/>
        </w:rPr>
        <w:t xml:space="preserve"> </w:t>
      </w:r>
      <w:r>
        <w:t>and</w:t>
      </w:r>
      <w:r>
        <w:rPr>
          <w:spacing w:val="-6"/>
        </w:rPr>
        <w:t xml:space="preserve"> </w:t>
      </w:r>
      <w:r>
        <w:t>Habitat</w:t>
      </w:r>
      <w:r>
        <w:rPr>
          <w:spacing w:val="-58"/>
        </w:rPr>
        <w:t xml:space="preserve"> </w:t>
      </w:r>
      <w:r>
        <w:t>Types.</w:t>
      </w:r>
      <w:r>
        <w:rPr>
          <w:spacing w:val="-17"/>
        </w:rPr>
        <w:t xml:space="preserve"> </w:t>
      </w:r>
      <w:r>
        <w:rPr>
          <w:vertAlign w:val="superscript"/>
        </w:rPr>
        <w:t>49</w:t>
      </w:r>
    </w:p>
    <w:p w:rsidR="00A56FE9" w:rsidRDefault="00CC1B9B">
      <w:pPr>
        <w:pStyle w:val="Tijeloteksta"/>
        <w:spacing w:before="3"/>
        <w:ind w:left="0"/>
        <w:jc w:val="left"/>
        <w:rPr>
          <w:sz w:val="23"/>
        </w:rPr>
      </w:pPr>
      <w:r>
        <w:rPr>
          <w:noProof/>
        </w:rPr>
        <mc:AlternateContent>
          <mc:Choice Requires="wps">
            <w:drawing>
              <wp:anchor distT="0" distB="0" distL="0" distR="0" simplePos="0" relativeHeight="487697920" behindDoc="1" locked="0" layoutInCell="1" allowOverlap="1">
                <wp:simplePos x="0" y="0"/>
                <wp:positionH relativeFrom="page">
                  <wp:posOffset>901065</wp:posOffset>
                </wp:positionH>
                <wp:positionV relativeFrom="paragraph">
                  <wp:posOffset>194945</wp:posOffset>
                </wp:positionV>
                <wp:extent cx="1828800" cy="7620"/>
                <wp:effectExtent l="0" t="0" r="0" b="0"/>
                <wp:wrapTopAndBottom/>
                <wp:docPr id="153271518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3C622" id="Rectangle 28" o:spid="_x0000_s1026" style="position:absolute;margin-left:70.95pt;margin-top:15.35pt;width:2in;height:.6pt;z-index:-15618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" fillcolor="black" stroked="f">
                <w10:wrap type="topAndBottom" anchorx="page"/>
              </v:rect>
            </w:pict>
          </mc:Fallback>
        </mc:AlternateContent>
      </w:r>
    </w:p>
    <w:p w:rsidR="00A56FE9" w:rsidRDefault="00000000">
      <w:pPr>
        <w:spacing w:before="76" w:line="183" w:lineRule="exact"/>
        <w:ind w:left="138"/>
        <w:rPr>
          <w:sz w:val="16"/>
        </w:rPr>
      </w:pPr>
      <w:r>
        <w:rPr>
          <w:sz w:val="16"/>
          <w:vertAlign w:val="superscript"/>
        </w:rPr>
        <w:t>47</w:t>
      </w:r>
      <w:r>
        <w:rPr>
          <w:spacing w:val="-1"/>
          <w:sz w:val="16"/>
        </w:rPr>
        <w:t xml:space="preserve"> </w:t>
      </w:r>
      <w:r>
        <w:rPr>
          <w:sz w:val="16"/>
        </w:rPr>
        <w:t>OG</w:t>
      </w:r>
      <w:r>
        <w:rPr>
          <w:spacing w:val="-3"/>
          <w:sz w:val="16"/>
        </w:rPr>
        <w:t xml:space="preserve"> </w:t>
      </w:r>
      <w:r>
        <w:rPr>
          <w:sz w:val="16"/>
        </w:rPr>
        <w:t>28/21</w:t>
      </w:r>
    </w:p>
    <w:p w:rsidR="00A56FE9" w:rsidRDefault="00000000">
      <w:pPr>
        <w:spacing w:line="183" w:lineRule="exact"/>
        <w:ind w:left="138"/>
        <w:rPr>
          <w:sz w:val="16"/>
        </w:rPr>
      </w:pPr>
      <w:r>
        <w:rPr>
          <w:sz w:val="16"/>
          <w:vertAlign w:val="superscript"/>
        </w:rPr>
        <w:t>48</w:t>
      </w:r>
      <w:r>
        <w:rPr>
          <w:spacing w:val="-1"/>
          <w:sz w:val="16"/>
        </w:rPr>
        <w:t xml:space="preserve"> </w:t>
      </w:r>
      <w:r>
        <w:rPr>
          <w:sz w:val="16"/>
        </w:rPr>
        <w:t>OG</w:t>
      </w:r>
      <w:r>
        <w:rPr>
          <w:spacing w:val="-3"/>
          <w:sz w:val="16"/>
        </w:rPr>
        <w:t xml:space="preserve"> </w:t>
      </w:r>
      <w:r>
        <w:rPr>
          <w:sz w:val="16"/>
        </w:rPr>
        <w:t>97/17</w:t>
      </w:r>
    </w:p>
    <w:p w:rsidR="00A56FE9" w:rsidRDefault="00000000">
      <w:pPr>
        <w:spacing w:before="1"/>
        <w:ind w:left="138"/>
        <w:rPr>
          <w:sz w:val="16"/>
        </w:rPr>
      </w:pPr>
      <w:r>
        <w:rPr>
          <w:spacing w:val="-1"/>
          <w:sz w:val="16"/>
          <w:vertAlign w:val="superscript"/>
        </w:rPr>
        <w:t>49</w:t>
      </w:r>
      <w:r>
        <w:rPr>
          <w:spacing w:val="-14"/>
          <w:sz w:val="16"/>
        </w:rPr>
        <w:t xml:space="preserve"> </w:t>
      </w:r>
      <w:r>
        <w:rPr>
          <w:spacing w:val="-1"/>
          <w:sz w:val="16"/>
        </w:rPr>
        <w:t>Main</w:t>
      </w:r>
      <w:r>
        <w:rPr>
          <w:spacing w:val="2"/>
          <w:sz w:val="16"/>
        </w:rPr>
        <w:t xml:space="preserve"> </w:t>
      </w:r>
      <w:r>
        <w:rPr>
          <w:spacing w:val="-1"/>
          <w:sz w:val="16"/>
        </w:rPr>
        <w:t>outcomes</w:t>
      </w:r>
      <w:r>
        <w:rPr>
          <w:sz w:val="16"/>
        </w:rPr>
        <w:t xml:space="preserve"> </w:t>
      </w:r>
      <w:r>
        <w:rPr>
          <w:spacing w:val="-1"/>
          <w:sz w:val="16"/>
        </w:rPr>
        <w:t>of</w:t>
      </w:r>
      <w:r>
        <w:rPr>
          <w:sz w:val="16"/>
        </w:rPr>
        <w:t xml:space="preserve"> </w:t>
      </w:r>
      <w:r>
        <w:rPr>
          <w:spacing w:val="-1"/>
          <w:sz w:val="16"/>
        </w:rPr>
        <w:t>the</w:t>
      </w:r>
      <w:r>
        <w:rPr>
          <w:spacing w:val="-2"/>
          <w:sz w:val="16"/>
        </w:rPr>
        <w:t xml:space="preserve"> </w:t>
      </w:r>
      <w:r>
        <w:rPr>
          <w:spacing w:val="-1"/>
          <w:sz w:val="16"/>
        </w:rPr>
        <w:t>project</w:t>
      </w:r>
      <w:r>
        <w:rPr>
          <w:spacing w:val="2"/>
          <w:sz w:val="16"/>
        </w:rPr>
        <w:t xml:space="preserve"> </w:t>
      </w:r>
      <w:r>
        <w:rPr>
          <w:sz w:val="16"/>
        </w:rPr>
        <w:t>available</w:t>
      </w:r>
      <w:r>
        <w:rPr>
          <w:spacing w:val="-1"/>
          <w:sz w:val="16"/>
        </w:rPr>
        <w:t xml:space="preserve"> </w:t>
      </w:r>
      <w:r>
        <w:rPr>
          <w:sz w:val="16"/>
        </w:rPr>
        <w:t>on:</w:t>
      </w:r>
    </w:p>
    <w:p w:rsidR="00A56FE9" w:rsidRDefault="00A56FE9">
      <w:pPr>
        <w:rPr>
          <w:sz w:val="16"/>
        </w:rPr>
        <w:sectPr w:rsidR="00A56FE9" w:rsidSect="00AB1E70">
          <w:pgSz w:w="11910" w:h="16840"/>
          <w:pgMar w:top="1320" w:right="1140" w:bottom="960" w:left="1280" w:header="0" w:footer="699" w:gutter="0"/>
          <w:cols w:space="720"/>
        </w:sectPr>
      </w:pPr>
    </w:p>
    <w:p w:rsidR="00A56FE9" w:rsidRDefault="00CC1B9B">
      <w:pPr>
        <w:pStyle w:val="Tijeloteksta"/>
        <w:spacing w:line="28" w:lineRule="exact"/>
        <w:ind w:left="110"/>
        <w:jc w:val="left"/>
        <w:rPr>
          <w:sz w:val="2"/>
        </w:rPr>
      </w:pPr>
      <w:r>
        <w:rPr>
          <w:noProof/>
          <w:sz w:val="2"/>
        </w:rPr>
        <mc:AlternateContent>
          <mc:Choice Requires="wpg">
            <w:drawing>
              <wp:inline distT="0" distB="0" distL="0" distR="0">
                <wp:extent cx="574675" cy="18415"/>
                <wp:effectExtent l="0" t="0" r="0" b="635"/>
                <wp:docPr id="966129810"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 cy="18415"/>
                          <a:chOff x="0" y="0"/>
                          <a:chExt cx="905" cy="29"/>
                        </a:xfrm>
                      </wpg:grpSpPr>
                      <wps:wsp>
                        <wps:cNvPr id="1216305876" name="Rectangle 27"/>
                        <wps:cNvSpPr>
                          <a:spLocks noChangeArrowheads="1"/>
                        </wps:cNvSpPr>
                        <wps:spPr bwMode="auto">
                          <a:xfrm>
                            <a:off x="0" y="0"/>
                            <a:ext cx="905" cy="29"/>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C64BEAF" id="Group 26" o:spid="_x0000_s1026" style="width:45.25pt;height:1.45pt;mso-position-horizontal-relative:char;mso-position-vertical-relative:line" coordsize="90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">
                <v:rect id="Rectangle 27" o:spid="_x0000_s1027" style="position:absolute;width:905;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" fillcolor="#2c398a" stroked="f"/>
                <w10:anchorlock/>
              </v:group>
            </w:pict>
          </mc:Fallback>
        </mc:AlternateContent>
      </w:r>
    </w:p>
    <w:p w:rsidR="00A56FE9" w:rsidRDefault="00000000">
      <w:pPr>
        <w:pStyle w:val="Tijeloteksta"/>
        <w:spacing w:before="125"/>
        <w:ind w:right="272"/>
      </w:pPr>
      <w:r>
        <w:t>Croatia</w:t>
      </w:r>
      <w:r>
        <w:rPr>
          <w:spacing w:val="-6"/>
        </w:rPr>
        <w:t xml:space="preserve"> </w:t>
      </w:r>
      <w:r>
        <w:t>applies</w:t>
      </w:r>
      <w:r>
        <w:rPr>
          <w:spacing w:val="-5"/>
        </w:rPr>
        <w:t xml:space="preserve"> </w:t>
      </w:r>
      <w:r>
        <w:t>rules</w:t>
      </w:r>
      <w:r>
        <w:rPr>
          <w:spacing w:val="-4"/>
        </w:rPr>
        <w:t xml:space="preserve"> </w:t>
      </w:r>
      <w:r>
        <w:t>to</w:t>
      </w:r>
      <w:r>
        <w:rPr>
          <w:spacing w:val="-4"/>
        </w:rPr>
        <w:t xml:space="preserve"> </w:t>
      </w:r>
      <w:r>
        <w:t>prevent,</w:t>
      </w:r>
      <w:r>
        <w:rPr>
          <w:spacing w:val="-3"/>
        </w:rPr>
        <w:t xml:space="preserve"> </w:t>
      </w:r>
      <w:r>
        <w:t>deter</w:t>
      </w:r>
      <w:r>
        <w:rPr>
          <w:spacing w:val="-5"/>
        </w:rPr>
        <w:t xml:space="preserve"> </w:t>
      </w:r>
      <w:r>
        <w:t>and</w:t>
      </w:r>
      <w:r>
        <w:rPr>
          <w:spacing w:val="-4"/>
        </w:rPr>
        <w:t xml:space="preserve"> </w:t>
      </w:r>
      <w:r>
        <w:t>eliminate</w:t>
      </w:r>
      <w:r>
        <w:rPr>
          <w:spacing w:val="-5"/>
        </w:rPr>
        <w:t xml:space="preserve"> </w:t>
      </w:r>
      <w:r>
        <w:t>illegal,</w:t>
      </w:r>
      <w:r>
        <w:rPr>
          <w:spacing w:val="-3"/>
        </w:rPr>
        <w:t xml:space="preserve"> </w:t>
      </w:r>
      <w:r>
        <w:t>unreported</w:t>
      </w:r>
      <w:r>
        <w:rPr>
          <w:spacing w:val="-5"/>
        </w:rPr>
        <w:t xml:space="preserve"> </w:t>
      </w:r>
      <w:r>
        <w:t>and</w:t>
      </w:r>
      <w:r>
        <w:rPr>
          <w:spacing w:val="-1"/>
        </w:rPr>
        <w:t xml:space="preserve"> </w:t>
      </w:r>
      <w:r>
        <w:t>unregulated</w:t>
      </w:r>
      <w:r>
        <w:rPr>
          <w:spacing w:val="-5"/>
        </w:rPr>
        <w:t xml:space="preserve"> </w:t>
      </w:r>
      <w:r>
        <w:t>fishing</w:t>
      </w:r>
      <w:r>
        <w:rPr>
          <w:spacing w:val="-57"/>
        </w:rPr>
        <w:t xml:space="preserve"> </w:t>
      </w:r>
      <w:r>
        <w:t>in accordance with Council Regulation (EC) No 1005/2008, which has been in force since 1</w:t>
      </w:r>
      <w:r>
        <w:rPr>
          <w:spacing w:val="1"/>
        </w:rPr>
        <w:t xml:space="preserve"> </w:t>
      </w:r>
      <w:r>
        <w:t>January</w:t>
      </w:r>
      <w:r>
        <w:rPr>
          <w:spacing w:val="-11"/>
        </w:rPr>
        <w:t xml:space="preserve"> </w:t>
      </w:r>
      <w:r>
        <w:t>2010.</w:t>
      </w:r>
      <w:r>
        <w:rPr>
          <w:spacing w:val="-3"/>
        </w:rPr>
        <w:t xml:space="preserve"> </w:t>
      </w:r>
      <w:r>
        <w:t>Fishing</w:t>
      </w:r>
      <w:r>
        <w:rPr>
          <w:spacing w:val="-8"/>
        </w:rPr>
        <w:t xml:space="preserve"> </w:t>
      </w:r>
      <w:r>
        <w:t>opportunities</w:t>
      </w:r>
      <w:r>
        <w:rPr>
          <w:spacing w:val="-5"/>
        </w:rPr>
        <w:t xml:space="preserve"> </w:t>
      </w:r>
      <w:r>
        <w:t>are</w:t>
      </w:r>
      <w:r>
        <w:rPr>
          <w:spacing w:val="-5"/>
        </w:rPr>
        <w:t xml:space="preserve"> </w:t>
      </w:r>
      <w:r>
        <w:t>determined</w:t>
      </w:r>
      <w:r>
        <w:rPr>
          <w:spacing w:val="-5"/>
        </w:rPr>
        <w:t xml:space="preserve"> </w:t>
      </w:r>
      <w:r>
        <w:t>each</w:t>
      </w:r>
      <w:r>
        <w:rPr>
          <w:spacing w:val="-1"/>
        </w:rPr>
        <w:t xml:space="preserve"> </w:t>
      </w:r>
      <w:r>
        <w:t>year</w:t>
      </w:r>
      <w:r>
        <w:rPr>
          <w:spacing w:val="-4"/>
        </w:rPr>
        <w:t xml:space="preserve"> </w:t>
      </w:r>
      <w:r>
        <w:t>at the</w:t>
      </w:r>
      <w:r>
        <w:rPr>
          <w:spacing w:val="-3"/>
        </w:rPr>
        <w:t xml:space="preserve"> </w:t>
      </w:r>
      <w:r>
        <w:t>EU</w:t>
      </w:r>
      <w:r>
        <w:rPr>
          <w:spacing w:val="-6"/>
        </w:rPr>
        <w:t xml:space="preserve"> </w:t>
      </w:r>
      <w:r>
        <w:t>level</w:t>
      </w:r>
      <w:r>
        <w:rPr>
          <w:spacing w:val="-5"/>
        </w:rPr>
        <w:t xml:space="preserve"> </w:t>
      </w:r>
      <w:r>
        <w:t>for</w:t>
      </w:r>
      <w:r>
        <w:rPr>
          <w:spacing w:val="-6"/>
        </w:rPr>
        <w:t xml:space="preserve"> </w:t>
      </w:r>
      <w:r>
        <w:t>each</w:t>
      </w:r>
      <w:r>
        <w:rPr>
          <w:spacing w:val="-5"/>
        </w:rPr>
        <w:t xml:space="preserve"> </w:t>
      </w:r>
      <w:r>
        <w:t>Member</w:t>
      </w:r>
      <w:r>
        <w:rPr>
          <w:spacing w:val="-57"/>
        </w:rPr>
        <w:t xml:space="preserve"> </w:t>
      </w:r>
      <w:r>
        <w:t>State, including Croatia, relying on the state of stocks on the basis of scientific advice. In line</w:t>
      </w:r>
      <w:r>
        <w:rPr>
          <w:spacing w:val="1"/>
        </w:rPr>
        <w:t xml:space="preserve"> </w:t>
      </w:r>
      <w:r>
        <w:t>with these basic principles of the EU's Common Fisheries Policy (CFP), Croatia does not</w:t>
      </w:r>
      <w:r>
        <w:rPr>
          <w:spacing w:val="1"/>
        </w:rPr>
        <w:t xml:space="preserve"> </w:t>
      </w:r>
      <w:r>
        <w:rPr>
          <w:spacing w:val="-1"/>
        </w:rPr>
        <w:t>provide</w:t>
      </w:r>
      <w:r>
        <w:rPr>
          <w:spacing w:val="-16"/>
        </w:rPr>
        <w:t xml:space="preserve"> </w:t>
      </w:r>
      <w:r>
        <w:rPr>
          <w:spacing w:val="-1"/>
        </w:rPr>
        <w:t>aid</w:t>
      </w:r>
      <w:r>
        <w:rPr>
          <w:spacing w:val="-14"/>
        </w:rPr>
        <w:t xml:space="preserve"> </w:t>
      </w:r>
      <w:r>
        <w:rPr>
          <w:spacing w:val="-1"/>
        </w:rPr>
        <w:t>to</w:t>
      </w:r>
      <w:r>
        <w:rPr>
          <w:spacing w:val="-14"/>
        </w:rPr>
        <w:t xml:space="preserve"> </w:t>
      </w:r>
      <w:r>
        <w:rPr>
          <w:spacing w:val="-1"/>
        </w:rPr>
        <w:t>cause</w:t>
      </w:r>
      <w:r>
        <w:rPr>
          <w:spacing w:val="-15"/>
        </w:rPr>
        <w:t xml:space="preserve"> </w:t>
      </w:r>
      <w:r>
        <w:t>overcapacity</w:t>
      </w:r>
      <w:r>
        <w:rPr>
          <w:spacing w:val="-20"/>
        </w:rPr>
        <w:t xml:space="preserve"> </w:t>
      </w:r>
      <w:r>
        <w:t>for</w:t>
      </w:r>
      <w:r>
        <w:rPr>
          <w:spacing w:val="-16"/>
        </w:rPr>
        <w:t xml:space="preserve"> </w:t>
      </w:r>
      <w:r>
        <w:t>fishing,</w:t>
      </w:r>
      <w:r>
        <w:rPr>
          <w:spacing w:val="-14"/>
        </w:rPr>
        <w:t xml:space="preserve"> </w:t>
      </w:r>
      <w:r>
        <w:t>nor</w:t>
      </w:r>
      <w:r>
        <w:rPr>
          <w:spacing w:val="-16"/>
        </w:rPr>
        <w:t xml:space="preserve"> </w:t>
      </w:r>
      <w:r>
        <w:t>for</w:t>
      </w:r>
      <w:r>
        <w:rPr>
          <w:spacing w:val="-16"/>
        </w:rPr>
        <w:t xml:space="preserve"> </w:t>
      </w:r>
      <w:r>
        <w:t>illegal,</w:t>
      </w:r>
      <w:r>
        <w:rPr>
          <w:spacing w:val="-14"/>
        </w:rPr>
        <w:t xml:space="preserve"> </w:t>
      </w:r>
      <w:r>
        <w:t>unreported</w:t>
      </w:r>
      <w:r>
        <w:rPr>
          <w:spacing w:val="-14"/>
        </w:rPr>
        <w:t xml:space="preserve"> </w:t>
      </w:r>
      <w:r>
        <w:t>and</w:t>
      </w:r>
      <w:r>
        <w:rPr>
          <w:spacing w:val="-12"/>
        </w:rPr>
        <w:t xml:space="preserve"> </w:t>
      </w:r>
      <w:r>
        <w:t>unregulated</w:t>
      </w:r>
      <w:r>
        <w:rPr>
          <w:spacing w:val="-15"/>
        </w:rPr>
        <w:t xml:space="preserve"> </w:t>
      </w:r>
      <w:r>
        <w:t>fishing.</w:t>
      </w:r>
      <w:r>
        <w:rPr>
          <w:spacing w:val="-57"/>
        </w:rPr>
        <w:t xml:space="preserve"> </w:t>
      </w:r>
      <w:r>
        <w:t>Croatia</w:t>
      </w:r>
      <w:r>
        <w:rPr>
          <w:spacing w:val="-6"/>
        </w:rPr>
        <w:t xml:space="preserve"> </w:t>
      </w:r>
      <w:r>
        <w:t>supports</w:t>
      </w:r>
      <w:r>
        <w:rPr>
          <w:spacing w:val="-4"/>
        </w:rPr>
        <w:t xml:space="preserve"> </w:t>
      </w:r>
      <w:r>
        <w:t>efforts</w:t>
      </w:r>
      <w:r>
        <w:rPr>
          <w:spacing w:val="-5"/>
        </w:rPr>
        <w:t xml:space="preserve"> </w:t>
      </w:r>
      <w:r>
        <w:t>to</w:t>
      </w:r>
      <w:r>
        <w:rPr>
          <w:spacing w:val="-3"/>
        </w:rPr>
        <w:t xml:space="preserve"> </w:t>
      </w:r>
      <w:r>
        <w:t>adequately</w:t>
      </w:r>
      <w:r>
        <w:rPr>
          <w:spacing w:val="-9"/>
        </w:rPr>
        <w:t xml:space="preserve"> </w:t>
      </w:r>
      <w:r>
        <w:t>address</w:t>
      </w:r>
      <w:r>
        <w:rPr>
          <w:spacing w:val="-4"/>
        </w:rPr>
        <w:t xml:space="preserve"> </w:t>
      </w:r>
      <w:r>
        <w:t>these</w:t>
      </w:r>
      <w:r>
        <w:rPr>
          <w:spacing w:val="-5"/>
        </w:rPr>
        <w:t xml:space="preserve"> </w:t>
      </w:r>
      <w:r>
        <w:t>issues</w:t>
      </w:r>
      <w:r>
        <w:rPr>
          <w:spacing w:val="-5"/>
        </w:rPr>
        <w:t xml:space="preserve"> </w:t>
      </w:r>
      <w:r>
        <w:t>at</w:t>
      </w:r>
      <w:r>
        <w:rPr>
          <w:spacing w:val="-3"/>
        </w:rPr>
        <w:t xml:space="preserve"> </w:t>
      </w:r>
      <w:r>
        <w:t>the</w:t>
      </w:r>
      <w:r>
        <w:rPr>
          <w:spacing w:val="-4"/>
        </w:rPr>
        <w:t xml:space="preserve"> </w:t>
      </w:r>
      <w:r>
        <w:t>international</w:t>
      </w:r>
      <w:r>
        <w:rPr>
          <w:spacing w:val="-4"/>
        </w:rPr>
        <w:t xml:space="preserve"> </w:t>
      </w:r>
      <w:r>
        <w:t>level in</w:t>
      </w:r>
      <w:r>
        <w:rPr>
          <w:spacing w:val="-4"/>
        </w:rPr>
        <w:t xml:space="preserve"> </w:t>
      </w:r>
      <w:r>
        <w:t>line</w:t>
      </w:r>
      <w:r>
        <w:rPr>
          <w:spacing w:val="-5"/>
        </w:rPr>
        <w:t xml:space="preserve"> </w:t>
      </w:r>
      <w:r>
        <w:t>with</w:t>
      </w:r>
      <w:r>
        <w:rPr>
          <w:spacing w:val="-58"/>
        </w:rPr>
        <w:t xml:space="preserve"> </w:t>
      </w:r>
      <w:r>
        <w:t>the</w:t>
      </w:r>
      <w:r>
        <w:rPr>
          <w:spacing w:val="-1"/>
        </w:rPr>
        <w:t xml:space="preserve"> </w:t>
      </w:r>
      <w:r>
        <w:t>World Trade</w:t>
      </w:r>
      <w:r>
        <w:rPr>
          <w:spacing w:val="-1"/>
        </w:rPr>
        <w:t xml:space="preserve"> </w:t>
      </w:r>
      <w:r>
        <w:t>Organization's</w:t>
      </w:r>
      <w:r>
        <w:rPr>
          <w:spacing w:val="2"/>
        </w:rPr>
        <w:t xml:space="preserve"> </w:t>
      </w:r>
      <w:r>
        <w:t>Fisheries Agreement.</w:t>
      </w:r>
    </w:p>
    <w:p w:rsidR="00A56FE9" w:rsidRDefault="00CC1B9B">
      <w:pPr>
        <w:pStyle w:val="Tijeloteksta"/>
        <w:spacing w:before="120"/>
        <w:ind w:right="274"/>
      </w:pPr>
      <w:r>
        <w:rPr>
          <w:noProof/>
        </w:rPr>
        <mc:AlternateContent>
          <mc:Choice Requires="wps">
            <w:drawing>
              <wp:anchor distT="0" distB="0" distL="114300" distR="114300" simplePos="0" relativeHeight="15841280" behindDoc="0" locked="0" layoutInCell="1" allowOverlap="1">
                <wp:simplePos x="0" y="0"/>
                <wp:positionH relativeFrom="page">
                  <wp:posOffset>814070</wp:posOffset>
                </wp:positionH>
                <wp:positionV relativeFrom="paragraph">
                  <wp:posOffset>681990</wp:posOffset>
                </wp:positionV>
                <wp:extent cx="18415" cy="798830"/>
                <wp:effectExtent l="0" t="0" r="0" b="0"/>
                <wp:wrapNone/>
                <wp:docPr id="1830909289"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798830"/>
                        </a:xfrm>
                        <a:custGeom>
                          <a:avLst/>
                          <a:gdLst>
                            <a:gd name="T0" fmla="+- 0 1311 1282"/>
                            <a:gd name="T1" fmla="*/ T0 w 29"/>
                            <a:gd name="T2" fmla="+- 0 1074 1074"/>
                            <a:gd name="T3" fmla="*/ 1074 h 1258"/>
                            <a:gd name="T4" fmla="+- 0 1282 1282"/>
                            <a:gd name="T5" fmla="*/ T4 w 29"/>
                            <a:gd name="T6" fmla="+- 0 1074 1074"/>
                            <a:gd name="T7" fmla="*/ 1074 h 1258"/>
                            <a:gd name="T8" fmla="+- 0 1282 1282"/>
                            <a:gd name="T9" fmla="*/ T8 w 29"/>
                            <a:gd name="T10" fmla="+- 0 1614 1074"/>
                            <a:gd name="T11" fmla="*/ 1614 h 1258"/>
                            <a:gd name="T12" fmla="+- 0 1282 1282"/>
                            <a:gd name="T13" fmla="*/ T12 w 29"/>
                            <a:gd name="T14" fmla="+- 0 1912 1074"/>
                            <a:gd name="T15" fmla="*/ 1912 h 1258"/>
                            <a:gd name="T16" fmla="+- 0 1282 1282"/>
                            <a:gd name="T17" fmla="*/ T16 w 29"/>
                            <a:gd name="T18" fmla="+- 0 2332 1074"/>
                            <a:gd name="T19" fmla="*/ 2332 h 1258"/>
                            <a:gd name="T20" fmla="+- 0 1311 1282"/>
                            <a:gd name="T21" fmla="*/ T20 w 29"/>
                            <a:gd name="T22" fmla="+- 0 2332 1074"/>
                            <a:gd name="T23" fmla="*/ 2332 h 1258"/>
                            <a:gd name="T24" fmla="+- 0 1311 1282"/>
                            <a:gd name="T25" fmla="*/ T24 w 29"/>
                            <a:gd name="T26" fmla="+- 0 1912 1074"/>
                            <a:gd name="T27" fmla="*/ 1912 h 1258"/>
                            <a:gd name="T28" fmla="+- 0 1311 1282"/>
                            <a:gd name="T29" fmla="*/ T28 w 29"/>
                            <a:gd name="T30" fmla="+- 0 1614 1074"/>
                            <a:gd name="T31" fmla="*/ 1614 h 1258"/>
                            <a:gd name="T32" fmla="+- 0 1311 1282"/>
                            <a:gd name="T33" fmla="*/ T32 w 29"/>
                            <a:gd name="T34" fmla="+- 0 1074 1074"/>
                            <a:gd name="T35" fmla="*/ 1074 h 12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9" h="1258">
                              <a:moveTo>
                                <a:pt x="29" y="0"/>
                              </a:moveTo>
                              <a:lnTo>
                                <a:pt x="0" y="0"/>
                              </a:lnTo>
                              <a:lnTo>
                                <a:pt x="0" y="540"/>
                              </a:lnTo>
                              <a:lnTo>
                                <a:pt x="0" y="838"/>
                              </a:lnTo>
                              <a:lnTo>
                                <a:pt x="0" y="1258"/>
                              </a:lnTo>
                              <a:lnTo>
                                <a:pt x="29" y="1258"/>
                              </a:lnTo>
                              <a:lnTo>
                                <a:pt x="29" y="838"/>
                              </a:lnTo>
                              <a:lnTo>
                                <a:pt x="29" y="540"/>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B1E7F9" id="Freeform 25" o:spid="_x0000_s1026" style="position:absolute;margin-left:64.1pt;margin-top:53.7pt;width:1.45pt;height:62.9pt;z-index:1584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1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" path="m29,l,,,540,,838r,420l29,1258r,-420l29,540,29,xe" fillcolor="#da1f2c" stroked="f">
                <v:path arrowok="t" o:connecttype="custom" o:connectlocs="18415,681990;0,681990;0,1024890;0,1214120;0,1480820;18415,1480820;18415,1214120;18415,1024890;18415,681990" o:connectangles="0,0,0,0,0,0,0,0,0"/>
                <w10:wrap anchorx="page"/>
              </v:shape>
            </w:pict>
          </mc:Fallback>
        </mc:AlternateContent>
      </w:r>
      <w:r w:rsidR="00000000">
        <w:t>The</w:t>
      </w:r>
      <w:r w:rsidR="00000000">
        <w:rPr>
          <w:spacing w:val="-5"/>
        </w:rPr>
        <w:t xml:space="preserve"> </w:t>
      </w:r>
      <w:r w:rsidR="00000000">
        <w:t>Marine</w:t>
      </w:r>
      <w:r w:rsidR="00000000">
        <w:rPr>
          <w:spacing w:val="-3"/>
        </w:rPr>
        <w:t xml:space="preserve"> </w:t>
      </w:r>
      <w:r w:rsidR="00000000">
        <w:t>Fisheries</w:t>
      </w:r>
      <w:r w:rsidR="00000000">
        <w:rPr>
          <w:spacing w:val="-2"/>
        </w:rPr>
        <w:t xml:space="preserve"> </w:t>
      </w:r>
      <w:r w:rsidR="00000000">
        <w:t>Act</w:t>
      </w:r>
      <w:r w:rsidR="00000000">
        <w:rPr>
          <w:vertAlign w:val="superscript"/>
        </w:rPr>
        <w:t>50</w:t>
      </w:r>
      <w:r w:rsidR="00000000">
        <w:rPr>
          <w:spacing w:val="-3"/>
        </w:rPr>
        <w:t xml:space="preserve"> </w:t>
      </w:r>
      <w:r w:rsidR="00000000">
        <w:t>stipulates</w:t>
      </w:r>
      <w:r w:rsidR="00000000">
        <w:rPr>
          <w:spacing w:val="-3"/>
        </w:rPr>
        <w:t xml:space="preserve"> </w:t>
      </w:r>
      <w:r w:rsidR="00000000">
        <w:t>that</w:t>
      </w:r>
      <w:r w:rsidR="00000000">
        <w:rPr>
          <w:spacing w:val="-4"/>
        </w:rPr>
        <w:t xml:space="preserve"> </w:t>
      </w:r>
      <w:r w:rsidR="00000000">
        <w:t>traditional</w:t>
      </w:r>
      <w:r w:rsidR="00000000">
        <w:rPr>
          <w:spacing w:val="-2"/>
        </w:rPr>
        <w:t xml:space="preserve"> </w:t>
      </w:r>
      <w:r w:rsidR="00000000">
        <w:t>fishing</w:t>
      </w:r>
      <w:r w:rsidR="00000000">
        <w:rPr>
          <w:spacing w:val="-6"/>
        </w:rPr>
        <w:t xml:space="preserve"> </w:t>
      </w:r>
      <w:r w:rsidR="00000000">
        <w:t>skills</w:t>
      </w:r>
      <w:r w:rsidR="00000000">
        <w:rPr>
          <w:spacing w:val="-2"/>
        </w:rPr>
        <w:t xml:space="preserve"> </w:t>
      </w:r>
      <w:r w:rsidR="00000000">
        <w:t>in</w:t>
      </w:r>
      <w:r w:rsidR="00000000">
        <w:rPr>
          <w:spacing w:val="-3"/>
        </w:rPr>
        <w:t xml:space="preserve"> </w:t>
      </w:r>
      <w:r w:rsidR="00000000">
        <w:t>the</w:t>
      </w:r>
      <w:r w:rsidR="00000000">
        <w:rPr>
          <w:spacing w:val="-3"/>
        </w:rPr>
        <w:t xml:space="preserve"> </w:t>
      </w:r>
      <w:r w:rsidR="00000000">
        <w:t>Adriatic</w:t>
      </w:r>
      <w:r w:rsidR="00000000">
        <w:rPr>
          <w:spacing w:val="-5"/>
        </w:rPr>
        <w:t xml:space="preserve"> </w:t>
      </w:r>
      <w:r w:rsidR="00000000">
        <w:t>are</w:t>
      </w:r>
      <w:r w:rsidR="00000000">
        <w:rPr>
          <w:spacing w:val="-4"/>
        </w:rPr>
        <w:t xml:space="preserve"> </w:t>
      </w:r>
      <w:r w:rsidR="00000000">
        <w:t>protected</w:t>
      </w:r>
      <w:r w:rsidR="00000000">
        <w:rPr>
          <w:spacing w:val="-58"/>
        </w:rPr>
        <w:t xml:space="preserve"> </w:t>
      </w:r>
      <w:r w:rsidR="00000000">
        <w:rPr>
          <w:spacing w:val="-1"/>
        </w:rPr>
        <w:t>as</w:t>
      </w:r>
      <w:r w:rsidR="00000000">
        <w:rPr>
          <w:spacing w:val="-15"/>
        </w:rPr>
        <w:t xml:space="preserve"> </w:t>
      </w:r>
      <w:r w:rsidR="00000000">
        <w:rPr>
          <w:spacing w:val="-1"/>
        </w:rPr>
        <w:t>an</w:t>
      </w:r>
      <w:r w:rsidR="00000000">
        <w:rPr>
          <w:spacing w:val="-13"/>
        </w:rPr>
        <w:t xml:space="preserve"> </w:t>
      </w:r>
      <w:r w:rsidR="00000000">
        <w:rPr>
          <w:spacing w:val="-1"/>
        </w:rPr>
        <w:t>intangible</w:t>
      </w:r>
      <w:r w:rsidR="00000000">
        <w:rPr>
          <w:spacing w:val="-15"/>
        </w:rPr>
        <w:t xml:space="preserve"> </w:t>
      </w:r>
      <w:r w:rsidR="00000000">
        <w:rPr>
          <w:spacing w:val="-1"/>
        </w:rPr>
        <w:t>cultural</w:t>
      </w:r>
      <w:r w:rsidR="00000000">
        <w:rPr>
          <w:spacing w:val="-13"/>
        </w:rPr>
        <w:t xml:space="preserve"> </w:t>
      </w:r>
      <w:r w:rsidR="00000000">
        <w:t>heritage.</w:t>
      </w:r>
      <w:r w:rsidR="00000000">
        <w:rPr>
          <w:spacing w:val="-11"/>
        </w:rPr>
        <w:t xml:space="preserve"> </w:t>
      </w:r>
      <w:r w:rsidR="00000000">
        <w:t>The</w:t>
      </w:r>
      <w:r w:rsidR="00000000">
        <w:rPr>
          <w:spacing w:val="-14"/>
        </w:rPr>
        <w:t xml:space="preserve"> </w:t>
      </w:r>
      <w:r w:rsidR="00000000">
        <w:t>right</w:t>
      </w:r>
      <w:r w:rsidR="00000000">
        <w:rPr>
          <w:spacing w:val="-11"/>
        </w:rPr>
        <w:t xml:space="preserve"> </w:t>
      </w:r>
      <w:r w:rsidR="00000000">
        <w:t>to</w:t>
      </w:r>
      <w:r w:rsidR="00000000">
        <w:rPr>
          <w:spacing w:val="-14"/>
        </w:rPr>
        <w:t xml:space="preserve"> </w:t>
      </w:r>
      <w:r w:rsidR="00000000">
        <w:t>use</w:t>
      </w:r>
      <w:r w:rsidR="00000000">
        <w:rPr>
          <w:spacing w:val="-12"/>
        </w:rPr>
        <w:t xml:space="preserve"> </w:t>
      </w:r>
      <w:r w:rsidR="00000000">
        <w:t>traditional</w:t>
      </w:r>
      <w:r w:rsidR="00000000">
        <w:rPr>
          <w:spacing w:val="-15"/>
        </w:rPr>
        <w:t xml:space="preserve"> </w:t>
      </w:r>
      <w:r w:rsidR="00000000">
        <w:t>fishing</w:t>
      </w:r>
      <w:r w:rsidR="00000000">
        <w:rPr>
          <w:spacing w:val="-11"/>
        </w:rPr>
        <w:t xml:space="preserve"> </w:t>
      </w:r>
      <w:r w:rsidR="00000000">
        <w:t>gear</w:t>
      </w:r>
      <w:r w:rsidR="00000000">
        <w:rPr>
          <w:spacing w:val="-16"/>
        </w:rPr>
        <w:t xml:space="preserve"> </w:t>
      </w:r>
      <w:r w:rsidR="00000000">
        <w:t>for</w:t>
      </w:r>
      <w:r w:rsidR="00000000">
        <w:rPr>
          <w:spacing w:val="-12"/>
        </w:rPr>
        <w:t xml:space="preserve"> </w:t>
      </w:r>
      <w:r w:rsidR="00000000">
        <w:t>Croatian</w:t>
      </w:r>
      <w:r w:rsidR="00000000">
        <w:rPr>
          <w:spacing w:val="-15"/>
        </w:rPr>
        <w:t xml:space="preserve"> </w:t>
      </w:r>
      <w:r w:rsidR="00000000">
        <w:t>fishermen</w:t>
      </w:r>
      <w:r w:rsidR="00000000">
        <w:rPr>
          <w:spacing w:val="-57"/>
        </w:rPr>
        <w:t xml:space="preserve"> </w:t>
      </w:r>
      <w:r w:rsidR="00000000">
        <w:t>was</w:t>
      </w:r>
      <w:r w:rsidR="00000000">
        <w:rPr>
          <w:spacing w:val="-1"/>
        </w:rPr>
        <w:t xml:space="preserve"> </w:t>
      </w:r>
      <w:r w:rsidR="00000000">
        <w:t>secured during</w:t>
      </w:r>
      <w:r w:rsidR="00000000">
        <w:rPr>
          <w:spacing w:val="-4"/>
        </w:rPr>
        <w:t xml:space="preserve"> </w:t>
      </w:r>
      <w:r w:rsidR="00000000">
        <w:t>the negotiations</w:t>
      </w:r>
      <w:r w:rsidR="00000000">
        <w:rPr>
          <w:spacing w:val="-1"/>
        </w:rPr>
        <w:t xml:space="preserve"> </w:t>
      </w:r>
      <w:r w:rsidR="00000000">
        <w:t>on the</w:t>
      </w:r>
      <w:r w:rsidR="00000000">
        <w:rPr>
          <w:spacing w:val="-1"/>
        </w:rPr>
        <w:t xml:space="preserve"> </w:t>
      </w:r>
      <w:r w:rsidR="00000000">
        <w:t>accession</w:t>
      </w:r>
      <w:r w:rsidR="00000000">
        <w:rPr>
          <w:spacing w:val="-1"/>
        </w:rPr>
        <w:t xml:space="preserve"> </w:t>
      </w:r>
      <w:r w:rsidR="00000000">
        <w:t>of</w:t>
      </w:r>
      <w:r w:rsidR="00000000">
        <w:rPr>
          <w:spacing w:val="-1"/>
        </w:rPr>
        <w:t xml:space="preserve"> </w:t>
      </w:r>
      <w:r w:rsidR="00000000">
        <w:t>the</w:t>
      </w:r>
      <w:r w:rsidR="00000000">
        <w:rPr>
          <w:spacing w:val="-1"/>
        </w:rPr>
        <w:t xml:space="preserve"> </w:t>
      </w:r>
      <w:r w:rsidR="00000000">
        <w:t>Republic</w:t>
      </w:r>
      <w:r w:rsidR="00000000">
        <w:rPr>
          <w:spacing w:val="-1"/>
        </w:rPr>
        <w:t xml:space="preserve"> </w:t>
      </w:r>
      <w:r w:rsidR="00000000">
        <w:t>of</w:t>
      </w:r>
      <w:r w:rsidR="00000000">
        <w:rPr>
          <w:spacing w:val="-1"/>
        </w:rPr>
        <w:t xml:space="preserve"> </w:t>
      </w:r>
      <w:r w:rsidR="00000000">
        <w:t>Croatia</w:t>
      </w:r>
      <w:r w:rsidR="00000000">
        <w:rPr>
          <w:spacing w:val="-1"/>
        </w:rPr>
        <w:t xml:space="preserve"> </w:t>
      </w:r>
      <w:r w:rsidR="00000000">
        <w:t>to the</w:t>
      </w:r>
      <w:r w:rsidR="00000000">
        <w:rPr>
          <w:spacing w:val="-2"/>
        </w:rPr>
        <w:t xml:space="preserve"> </w:t>
      </w:r>
      <w:r w:rsidR="00000000">
        <w:t>EU.</w:t>
      </w:r>
    </w:p>
    <w:p w:rsidR="00A56FE9" w:rsidRDefault="00A56FE9">
      <w:pPr>
        <w:pStyle w:val="Tijeloteksta"/>
        <w:ind w:left="0"/>
        <w:jc w:val="left"/>
        <w:rPr>
          <w:sz w:val="32"/>
        </w:rPr>
      </w:pPr>
    </w:p>
    <w:p w:rsidR="00A56FE9" w:rsidRDefault="00000000">
      <w:pPr>
        <w:pStyle w:val="Naslov4"/>
        <w:ind w:right="280"/>
      </w:pPr>
      <w:r>
        <w:rPr>
          <w:color w:val="2C398A"/>
        </w:rPr>
        <w:t>Goal 15. Protect, restore and promote sustainable use of terrestrial ecosystems,</w:t>
      </w:r>
      <w:r>
        <w:rPr>
          <w:color w:val="2C398A"/>
          <w:spacing w:val="1"/>
        </w:rPr>
        <w:t xml:space="preserve"> </w:t>
      </w:r>
      <w:r>
        <w:rPr>
          <w:color w:val="2C398A"/>
        </w:rPr>
        <w:t>sustainably manage forests, combat desertification, and halt and reverse land</w:t>
      </w:r>
      <w:r>
        <w:rPr>
          <w:color w:val="2C398A"/>
          <w:spacing w:val="1"/>
        </w:rPr>
        <w:t xml:space="preserve"> </w:t>
      </w:r>
      <w:r>
        <w:rPr>
          <w:color w:val="2C398A"/>
        </w:rPr>
        <w:t>degradation</w:t>
      </w:r>
      <w:r>
        <w:rPr>
          <w:color w:val="2C398A"/>
          <w:spacing w:val="-2"/>
        </w:rPr>
        <w:t xml:space="preserve"> </w:t>
      </w:r>
      <w:r>
        <w:rPr>
          <w:color w:val="2C398A"/>
        </w:rPr>
        <w:t>and</w:t>
      </w:r>
      <w:r>
        <w:rPr>
          <w:color w:val="2C398A"/>
          <w:spacing w:val="-1"/>
        </w:rPr>
        <w:t xml:space="preserve"> </w:t>
      </w:r>
      <w:r>
        <w:rPr>
          <w:color w:val="2C398A"/>
        </w:rPr>
        <w:t>halt</w:t>
      </w:r>
      <w:r>
        <w:rPr>
          <w:color w:val="2C398A"/>
          <w:spacing w:val="1"/>
        </w:rPr>
        <w:t xml:space="preserve"> </w:t>
      </w:r>
      <w:r>
        <w:rPr>
          <w:color w:val="2C398A"/>
        </w:rPr>
        <w:t>biodiversity</w:t>
      </w:r>
      <w:r>
        <w:rPr>
          <w:color w:val="2C398A"/>
          <w:spacing w:val="2"/>
        </w:rPr>
        <w:t xml:space="preserve"> </w:t>
      </w:r>
      <w:r>
        <w:rPr>
          <w:color w:val="2C398A"/>
        </w:rPr>
        <w:t>loss</w:t>
      </w:r>
    </w:p>
    <w:p w:rsidR="00A56FE9" w:rsidRDefault="00000000">
      <w:pPr>
        <w:pStyle w:val="Tijeloteksta"/>
        <w:spacing w:before="113"/>
        <w:ind w:right="274"/>
      </w:pPr>
      <w:r>
        <w:t>Strategic</w:t>
      </w:r>
      <w:r>
        <w:rPr>
          <w:spacing w:val="1"/>
        </w:rPr>
        <w:t xml:space="preserve"> </w:t>
      </w:r>
      <w:r>
        <w:t>nature</w:t>
      </w:r>
      <w:r>
        <w:rPr>
          <w:spacing w:val="1"/>
        </w:rPr>
        <w:t xml:space="preserve"> </w:t>
      </w:r>
      <w:r>
        <w:t>protection</w:t>
      </w:r>
      <w:r>
        <w:rPr>
          <w:spacing w:val="1"/>
        </w:rPr>
        <w:t xml:space="preserve"> </w:t>
      </w:r>
      <w:r>
        <w:t>projects</w:t>
      </w:r>
      <w:r>
        <w:rPr>
          <w:spacing w:val="1"/>
        </w:rPr>
        <w:t xml:space="preserve"> </w:t>
      </w:r>
      <w:r>
        <w:t>implemented</w:t>
      </w:r>
      <w:r>
        <w:rPr>
          <w:spacing w:val="1"/>
        </w:rPr>
        <w:t xml:space="preserve"> </w:t>
      </w:r>
      <w:r>
        <w:t>by</w:t>
      </w:r>
      <w:r>
        <w:rPr>
          <w:spacing w:val="1"/>
        </w:rPr>
        <w:t xml:space="preserve"> </w:t>
      </w:r>
      <w:r>
        <w:t>the</w:t>
      </w:r>
      <w:r>
        <w:rPr>
          <w:spacing w:val="1"/>
        </w:rPr>
        <w:t xml:space="preserve"> </w:t>
      </w:r>
      <w:r>
        <w:t>MESD</w:t>
      </w:r>
      <w:r>
        <w:rPr>
          <w:spacing w:val="1"/>
        </w:rPr>
        <w:t xml:space="preserve"> </w:t>
      </w:r>
      <w:r>
        <w:t>in</w:t>
      </w:r>
      <w:r>
        <w:rPr>
          <w:spacing w:val="1"/>
        </w:rPr>
        <w:t xml:space="preserve"> </w:t>
      </w:r>
      <w:r>
        <w:t>terms</w:t>
      </w:r>
      <w:r>
        <w:rPr>
          <w:spacing w:val="1"/>
        </w:rPr>
        <w:t xml:space="preserve"> </w:t>
      </w:r>
      <w:r>
        <w:t>of</w:t>
      </w:r>
      <w:r>
        <w:rPr>
          <w:spacing w:val="1"/>
        </w:rPr>
        <w:t xml:space="preserve"> </w:t>
      </w:r>
      <w:r>
        <w:t>the</w:t>
      </w:r>
      <w:r>
        <w:rPr>
          <w:spacing w:val="1"/>
        </w:rPr>
        <w:t xml:space="preserve"> </w:t>
      </w:r>
      <w:r>
        <w:t>OPCC,</w:t>
      </w:r>
      <w:r>
        <w:rPr>
          <w:spacing w:val="1"/>
        </w:rPr>
        <w:t xml:space="preserve"> </w:t>
      </w:r>
      <w:r>
        <w:t>primarily: Development of the Framework for the Management of the Natura 2000 Ecological</w:t>
      </w:r>
      <w:r>
        <w:rPr>
          <w:spacing w:val="-57"/>
        </w:rPr>
        <w:t xml:space="preserve"> </w:t>
      </w:r>
      <w:r>
        <w:t>Network, Development of Management and Control Systems for Invasive Alien Species and</w:t>
      </w:r>
      <w:r>
        <w:rPr>
          <w:spacing w:val="1"/>
        </w:rPr>
        <w:t xml:space="preserve"> </w:t>
      </w:r>
      <w:r>
        <w:t>Development</w:t>
      </w:r>
      <w:r>
        <w:rPr>
          <w:spacing w:val="-1"/>
        </w:rPr>
        <w:t xml:space="preserve"> </w:t>
      </w:r>
      <w:r>
        <w:t>of</w:t>
      </w:r>
      <w:r>
        <w:rPr>
          <w:spacing w:val="-1"/>
        </w:rPr>
        <w:t xml:space="preserve"> </w:t>
      </w:r>
      <w:r>
        <w:t>Monitoring</w:t>
      </w:r>
      <w:r>
        <w:rPr>
          <w:spacing w:val="-2"/>
        </w:rPr>
        <w:t xml:space="preserve"> </w:t>
      </w:r>
      <w:r>
        <w:t>Systems</w:t>
      </w:r>
      <w:r>
        <w:rPr>
          <w:spacing w:val="-1"/>
        </w:rPr>
        <w:t xml:space="preserve"> </w:t>
      </w:r>
      <w:r>
        <w:t>for</w:t>
      </w:r>
      <w:r>
        <w:rPr>
          <w:spacing w:val="-1"/>
        </w:rPr>
        <w:t xml:space="preserve"> </w:t>
      </w:r>
      <w:r>
        <w:t>Species and</w:t>
      </w:r>
      <w:r>
        <w:rPr>
          <w:spacing w:val="-1"/>
        </w:rPr>
        <w:t xml:space="preserve"> </w:t>
      </w:r>
      <w:r>
        <w:t>Habitat</w:t>
      </w:r>
      <w:r>
        <w:rPr>
          <w:spacing w:val="-1"/>
        </w:rPr>
        <w:t xml:space="preserve"> </w:t>
      </w:r>
      <w:r>
        <w:t>Types</w:t>
      </w:r>
      <w:r>
        <w:rPr>
          <w:spacing w:val="1"/>
        </w:rPr>
        <w:t xml:space="preserve"> </w:t>
      </w:r>
      <w:r>
        <w:t>contribute</w:t>
      </w:r>
      <w:r>
        <w:rPr>
          <w:spacing w:val="-2"/>
        </w:rPr>
        <w:t xml:space="preserve"> </w:t>
      </w:r>
      <w:r>
        <w:t>to this</w:t>
      </w:r>
      <w:r>
        <w:rPr>
          <w:spacing w:val="-1"/>
        </w:rPr>
        <w:t xml:space="preserve"> </w:t>
      </w:r>
      <w:r>
        <w:t>SDG.</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699456"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140179497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981C2" id="Rectangle 24" o:spid="_x0000_s1026" style="position:absolute;margin-left:69.5pt;margin-top:9.8pt;width:45.25pt;height:1.45pt;z-index:-15617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t>The Agricultural Land Act</w:t>
      </w:r>
      <w:r>
        <w:rPr>
          <w:vertAlign w:val="superscript"/>
        </w:rPr>
        <w:t>51</w:t>
      </w:r>
      <w:r>
        <w:t xml:space="preserve"> stipulates that agricultural land is of interest to the Republic of</w:t>
      </w:r>
      <w:r>
        <w:rPr>
          <w:spacing w:val="1"/>
        </w:rPr>
        <w:t xml:space="preserve"> </w:t>
      </w:r>
      <w:r>
        <w:t>Croatia and is specially protected. Furthermore, the Act prescribes the obligation to protect</w:t>
      </w:r>
      <w:r>
        <w:rPr>
          <w:spacing w:val="1"/>
        </w:rPr>
        <w:t xml:space="preserve"> </w:t>
      </w:r>
      <w:r>
        <w:t>agricultural land from degradation due to intensive agricultural production, pollution from</w:t>
      </w:r>
      <w:r>
        <w:rPr>
          <w:spacing w:val="1"/>
        </w:rPr>
        <w:t xml:space="preserve"> </w:t>
      </w:r>
      <w:r>
        <w:t>harmful</w:t>
      </w:r>
      <w:r>
        <w:rPr>
          <w:spacing w:val="-1"/>
        </w:rPr>
        <w:t xml:space="preserve"> </w:t>
      </w:r>
      <w:r>
        <w:t>substances</w:t>
      </w:r>
      <w:r>
        <w:rPr>
          <w:spacing w:val="2"/>
        </w:rPr>
        <w:t xml:space="preserve"> </w:t>
      </w:r>
      <w:r>
        <w:t>and organisms,</w:t>
      </w:r>
      <w:r>
        <w:rPr>
          <w:spacing w:val="2"/>
        </w:rPr>
        <w:t xml:space="preserve"> </w:t>
      </w:r>
      <w:r>
        <w:t>including</w:t>
      </w:r>
      <w:r>
        <w:rPr>
          <w:spacing w:val="-2"/>
        </w:rPr>
        <w:t xml:space="preserve"> </w:t>
      </w:r>
      <w:r>
        <w:t>erosion</w:t>
      </w:r>
      <w:r>
        <w:rPr>
          <w:spacing w:val="-1"/>
        </w:rPr>
        <w:t xml:space="preserve"> </w:t>
      </w:r>
      <w:r>
        <w:t>and conversion.</w:t>
      </w:r>
    </w:p>
    <w:p w:rsidR="00A56FE9" w:rsidRDefault="00000000">
      <w:pPr>
        <w:pStyle w:val="Tijeloteksta"/>
        <w:spacing w:before="121"/>
        <w:ind w:right="272"/>
      </w:pPr>
      <w:r>
        <w:t>Some activities facilitating the protection of agricultural land are the prescribed conditions for</w:t>
      </w:r>
      <w:r>
        <w:rPr>
          <w:spacing w:val="-57"/>
        </w:rPr>
        <w:t xml:space="preserve"> </w:t>
      </w:r>
      <w:r>
        <w:t>good</w:t>
      </w:r>
      <w:r>
        <w:rPr>
          <w:spacing w:val="-5"/>
        </w:rPr>
        <w:t xml:space="preserve"> </w:t>
      </w:r>
      <w:r>
        <w:t>agricultural</w:t>
      </w:r>
      <w:r>
        <w:rPr>
          <w:spacing w:val="-3"/>
        </w:rPr>
        <w:t xml:space="preserve"> </w:t>
      </w:r>
      <w:r>
        <w:t>and</w:t>
      </w:r>
      <w:r>
        <w:rPr>
          <w:spacing w:val="-7"/>
        </w:rPr>
        <w:t xml:space="preserve"> </w:t>
      </w:r>
      <w:r>
        <w:t>environmental</w:t>
      </w:r>
      <w:r>
        <w:rPr>
          <w:spacing w:val="-6"/>
        </w:rPr>
        <w:t xml:space="preserve"> </w:t>
      </w:r>
      <w:r>
        <w:t>practice,</w:t>
      </w:r>
      <w:r>
        <w:rPr>
          <w:spacing w:val="-6"/>
        </w:rPr>
        <w:t xml:space="preserve"> </w:t>
      </w:r>
      <w:r>
        <w:t>in</w:t>
      </w:r>
      <w:r>
        <w:rPr>
          <w:spacing w:val="-5"/>
        </w:rPr>
        <w:t xml:space="preserve"> </w:t>
      </w:r>
      <w:r>
        <w:t>line</w:t>
      </w:r>
      <w:r>
        <w:rPr>
          <w:spacing w:val="-7"/>
        </w:rPr>
        <w:t xml:space="preserve"> </w:t>
      </w:r>
      <w:r>
        <w:t>with</w:t>
      </w:r>
      <w:r>
        <w:rPr>
          <w:spacing w:val="-7"/>
        </w:rPr>
        <w:t xml:space="preserve"> </w:t>
      </w:r>
      <w:r>
        <w:t>the</w:t>
      </w:r>
      <w:r>
        <w:rPr>
          <w:spacing w:val="-7"/>
        </w:rPr>
        <w:t xml:space="preserve"> </w:t>
      </w:r>
      <w:r>
        <w:t>EU</w:t>
      </w:r>
      <w:r>
        <w:rPr>
          <w:spacing w:val="-7"/>
        </w:rPr>
        <w:t xml:space="preserve"> </w:t>
      </w:r>
      <w:r>
        <w:t>Common</w:t>
      </w:r>
      <w:r>
        <w:rPr>
          <w:spacing w:val="-5"/>
        </w:rPr>
        <w:t xml:space="preserve"> </w:t>
      </w:r>
      <w:r>
        <w:t>Agricultural</w:t>
      </w:r>
      <w:r>
        <w:rPr>
          <w:spacing w:val="-5"/>
        </w:rPr>
        <w:t xml:space="preserve"> </w:t>
      </w:r>
      <w:r>
        <w:t>Policy</w:t>
      </w:r>
      <w:r>
        <w:rPr>
          <w:spacing w:val="-58"/>
        </w:rPr>
        <w:t xml:space="preserve"> </w:t>
      </w:r>
      <w:r>
        <w:t>requirements, and are a prerequisite for farmers acquiring the right to state support. Also, the</w:t>
      </w:r>
      <w:r>
        <w:rPr>
          <w:spacing w:val="1"/>
        </w:rPr>
        <w:t xml:space="preserve"> </w:t>
      </w:r>
      <w:r>
        <w:t>Agricultural</w:t>
      </w:r>
      <w:r>
        <w:rPr>
          <w:spacing w:val="1"/>
        </w:rPr>
        <w:t xml:space="preserve"> </w:t>
      </w:r>
      <w:r>
        <w:t>Land</w:t>
      </w:r>
      <w:r>
        <w:rPr>
          <w:spacing w:val="1"/>
        </w:rPr>
        <w:t xml:space="preserve"> </w:t>
      </w:r>
      <w:r>
        <w:t>Act</w:t>
      </w:r>
      <w:r>
        <w:rPr>
          <w:spacing w:val="1"/>
        </w:rPr>
        <w:t xml:space="preserve"> </w:t>
      </w:r>
      <w:r>
        <w:t>provides</w:t>
      </w:r>
      <w:r>
        <w:rPr>
          <w:spacing w:val="1"/>
        </w:rPr>
        <w:t xml:space="preserve"> </w:t>
      </w:r>
      <w:r>
        <w:t>prescribes</w:t>
      </w:r>
      <w:r>
        <w:rPr>
          <w:spacing w:val="1"/>
        </w:rPr>
        <w:t xml:space="preserve"> </w:t>
      </w:r>
      <w:r>
        <w:t>the</w:t>
      </w:r>
      <w:r>
        <w:rPr>
          <w:spacing w:val="1"/>
        </w:rPr>
        <w:t xml:space="preserve"> </w:t>
      </w:r>
      <w:r>
        <w:t>establishment</w:t>
      </w:r>
      <w:r>
        <w:rPr>
          <w:spacing w:val="1"/>
        </w:rPr>
        <w:t xml:space="preserve"> </w:t>
      </w:r>
      <w:r>
        <w:t>of</w:t>
      </w:r>
      <w:r>
        <w:rPr>
          <w:spacing w:val="1"/>
        </w:rPr>
        <w:t xml:space="preserve"> </w:t>
      </w:r>
      <w:r>
        <w:t>a</w:t>
      </w:r>
      <w:r>
        <w:rPr>
          <w:spacing w:val="1"/>
        </w:rPr>
        <w:t xml:space="preserve"> </w:t>
      </w:r>
      <w:r>
        <w:t>permanent</w:t>
      </w:r>
      <w:r>
        <w:rPr>
          <w:spacing w:val="1"/>
        </w:rPr>
        <w:t xml:space="preserve"> </w:t>
      </w:r>
      <w:r>
        <w:t>system</w:t>
      </w:r>
      <w:r>
        <w:rPr>
          <w:spacing w:val="1"/>
        </w:rPr>
        <w:t xml:space="preserve"> </w:t>
      </w:r>
      <w:r>
        <w:t>for</w:t>
      </w:r>
      <w:r>
        <w:rPr>
          <w:spacing w:val="1"/>
        </w:rPr>
        <w:t xml:space="preserve"> </w:t>
      </w:r>
      <w:r>
        <w:t>monitoring the condition of agricultural land. Activities involving the establishment of this</w:t>
      </w:r>
      <w:r>
        <w:rPr>
          <w:spacing w:val="1"/>
        </w:rPr>
        <w:t xml:space="preserve"> </w:t>
      </w:r>
      <w:r>
        <w:t>system are co-financed by the NRRP, and their goal is to provide conditions for effective</w:t>
      </w:r>
      <w:r>
        <w:rPr>
          <w:spacing w:val="1"/>
        </w:rPr>
        <w:t xml:space="preserve"> </w:t>
      </w:r>
      <w:r>
        <w:rPr>
          <w:spacing w:val="-1"/>
        </w:rPr>
        <w:t>protection</w:t>
      </w:r>
      <w:r>
        <w:rPr>
          <w:spacing w:val="-10"/>
        </w:rPr>
        <w:t xml:space="preserve"> </w:t>
      </w:r>
      <w:r>
        <w:t>of</w:t>
      </w:r>
      <w:r>
        <w:rPr>
          <w:spacing w:val="-7"/>
        </w:rPr>
        <w:t xml:space="preserve"> </w:t>
      </w:r>
      <w:r>
        <w:t>agricultural</w:t>
      </w:r>
      <w:r>
        <w:rPr>
          <w:spacing w:val="-5"/>
        </w:rPr>
        <w:t xml:space="preserve"> </w:t>
      </w:r>
      <w:r>
        <w:t>land,</w:t>
      </w:r>
      <w:r>
        <w:rPr>
          <w:spacing w:val="-10"/>
        </w:rPr>
        <w:t xml:space="preserve"> </w:t>
      </w:r>
      <w:r>
        <w:t>continuous</w:t>
      </w:r>
      <w:r>
        <w:rPr>
          <w:spacing w:val="-10"/>
        </w:rPr>
        <w:t xml:space="preserve"> </w:t>
      </w:r>
      <w:r>
        <w:t>availability</w:t>
      </w:r>
      <w:r>
        <w:rPr>
          <w:spacing w:val="-14"/>
        </w:rPr>
        <w:t xml:space="preserve"> </w:t>
      </w:r>
      <w:r>
        <w:t>of</w:t>
      </w:r>
      <w:r>
        <w:rPr>
          <w:spacing w:val="-11"/>
        </w:rPr>
        <w:t xml:space="preserve"> </w:t>
      </w:r>
      <w:r>
        <w:t>data</w:t>
      </w:r>
      <w:r>
        <w:rPr>
          <w:spacing w:val="-10"/>
        </w:rPr>
        <w:t xml:space="preserve"> </w:t>
      </w:r>
      <w:r>
        <w:t>necessary</w:t>
      </w:r>
      <w:r>
        <w:rPr>
          <w:spacing w:val="-12"/>
        </w:rPr>
        <w:t xml:space="preserve"> </w:t>
      </w:r>
      <w:r>
        <w:t>for</w:t>
      </w:r>
      <w:r>
        <w:rPr>
          <w:spacing w:val="-11"/>
        </w:rPr>
        <w:t xml:space="preserve"> </w:t>
      </w:r>
      <w:r>
        <w:t>soil</w:t>
      </w:r>
      <w:r>
        <w:rPr>
          <w:spacing w:val="-9"/>
        </w:rPr>
        <w:t xml:space="preserve"> </w:t>
      </w:r>
      <w:r>
        <w:t>assessment</w:t>
      </w:r>
      <w:r>
        <w:rPr>
          <w:spacing w:val="-9"/>
        </w:rPr>
        <w:t xml:space="preserve"> </w:t>
      </w:r>
      <w:r>
        <w:t>and</w:t>
      </w:r>
      <w:r>
        <w:rPr>
          <w:spacing w:val="-58"/>
        </w:rPr>
        <w:t xml:space="preserve"> </w:t>
      </w:r>
      <w:r>
        <w:t>implementation of sustainable management policy, as well as reporting to Croatia in line with</w:t>
      </w:r>
      <w:r>
        <w:rPr>
          <w:spacing w:val="1"/>
        </w:rPr>
        <w:t xml:space="preserve"> </w:t>
      </w:r>
      <w:r>
        <w:t>international</w:t>
      </w:r>
      <w:r>
        <w:rPr>
          <w:spacing w:val="-1"/>
        </w:rPr>
        <w:t xml:space="preserve"> </w:t>
      </w:r>
      <w:r>
        <w:t>commitments.</w:t>
      </w:r>
    </w:p>
    <w:p w:rsidR="00A56FE9" w:rsidRDefault="00000000">
      <w:pPr>
        <w:pStyle w:val="Tijeloteksta"/>
        <w:spacing w:before="120"/>
        <w:ind w:right="274"/>
      </w:pPr>
      <w:r>
        <w:t>The Rural Development Programme envisages the possibility of co-financing investments in</w:t>
      </w:r>
      <w:r>
        <w:rPr>
          <w:spacing w:val="1"/>
        </w:rPr>
        <w:t xml:space="preserve"> </w:t>
      </w:r>
      <w:r>
        <w:t>developing forest areas and improving forest sustainability. Since the implementation of the</w:t>
      </w:r>
      <w:r>
        <w:rPr>
          <w:spacing w:val="1"/>
        </w:rPr>
        <w:t xml:space="preserve"> </w:t>
      </w:r>
      <w:r>
        <w:t>Program, under measure 8 for investments in developing forest areas and improving forest</w:t>
      </w:r>
      <w:r>
        <w:rPr>
          <w:spacing w:val="1"/>
        </w:rPr>
        <w:t xml:space="preserve"> </w:t>
      </w:r>
      <w:r>
        <w:t>sustainability, a total of 12 tenders have been announced and making HRK 862.35 million</w:t>
      </w:r>
      <w:r>
        <w:rPr>
          <w:spacing w:val="1"/>
        </w:rPr>
        <w:t xml:space="preserve"> </w:t>
      </w:r>
      <w:r>
        <w:t>available</w:t>
      </w:r>
      <w:r>
        <w:rPr>
          <w:spacing w:val="-14"/>
        </w:rPr>
        <w:t xml:space="preserve"> </w:t>
      </w:r>
      <w:r>
        <w:t>to</w:t>
      </w:r>
      <w:r>
        <w:rPr>
          <w:spacing w:val="-13"/>
        </w:rPr>
        <w:t xml:space="preserve"> </w:t>
      </w:r>
      <w:r>
        <w:t>beneficiaries.</w:t>
      </w:r>
      <w:r>
        <w:rPr>
          <w:spacing w:val="-11"/>
        </w:rPr>
        <w:t xml:space="preserve"> </w:t>
      </w:r>
      <w:r>
        <w:t>The</w:t>
      </w:r>
      <w:r>
        <w:rPr>
          <w:spacing w:val="-12"/>
        </w:rPr>
        <w:t xml:space="preserve"> </w:t>
      </w:r>
      <w:r>
        <w:t>first</w:t>
      </w:r>
      <w:r>
        <w:rPr>
          <w:spacing w:val="-12"/>
        </w:rPr>
        <w:t xml:space="preserve"> </w:t>
      </w:r>
      <w:r>
        <w:t>tenders</w:t>
      </w:r>
      <w:r>
        <w:rPr>
          <w:spacing w:val="-14"/>
        </w:rPr>
        <w:t xml:space="preserve"> </w:t>
      </w:r>
      <w:r>
        <w:t>for</w:t>
      </w:r>
      <w:r>
        <w:rPr>
          <w:spacing w:val="-13"/>
        </w:rPr>
        <w:t xml:space="preserve"> </w:t>
      </w:r>
      <w:r>
        <w:t>implementing</w:t>
      </w:r>
      <w:r>
        <w:rPr>
          <w:spacing w:val="-12"/>
        </w:rPr>
        <w:t xml:space="preserve"> </w:t>
      </w:r>
      <w:r>
        <w:t>types</w:t>
      </w:r>
      <w:r>
        <w:rPr>
          <w:spacing w:val="-13"/>
        </w:rPr>
        <w:t xml:space="preserve"> </w:t>
      </w:r>
      <w:r>
        <w:t>of</w:t>
      </w:r>
      <w:r>
        <w:rPr>
          <w:spacing w:val="-11"/>
        </w:rPr>
        <w:t xml:space="preserve"> </w:t>
      </w:r>
      <w:r>
        <w:t>operations</w:t>
      </w:r>
      <w:r>
        <w:rPr>
          <w:spacing w:val="-13"/>
        </w:rPr>
        <w:t xml:space="preserve"> </w:t>
      </w:r>
      <w:r>
        <w:t>under</w:t>
      </w:r>
      <w:r>
        <w:rPr>
          <w:spacing w:val="-11"/>
        </w:rPr>
        <w:t xml:space="preserve"> </w:t>
      </w:r>
      <w:r>
        <w:t>Measure</w:t>
      </w:r>
      <w:r>
        <w:rPr>
          <w:spacing w:val="-58"/>
        </w:rPr>
        <w:t xml:space="preserve"> </w:t>
      </w:r>
      <w:r>
        <w:t>Eight</w:t>
      </w:r>
      <w:r>
        <w:rPr>
          <w:spacing w:val="1"/>
        </w:rPr>
        <w:t xml:space="preserve"> </w:t>
      </w:r>
      <w:r>
        <w:t>were</w:t>
      </w:r>
      <w:r>
        <w:rPr>
          <w:spacing w:val="1"/>
        </w:rPr>
        <w:t xml:space="preserve"> </w:t>
      </w:r>
      <w:r>
        <w:t>announced</w:t>
      </w:r>
      <w:r>
        <w:rPr>
          <w:spacing w:val="1"/>
        </w:rPr>
        <w:t xml:space="preserve"> </w:t>
      </w:r>
      <w:r>
        <w:t>in</w:t>
      </w:r>
      <w:r>
        <w:rPr>
          <w:spacing w:val="1"/>
        </w:rPr>
        <w:t xml:space="preserve"> </w:t>
      </w:r>
      <w:r>
        <w:t>2016,</w:t>
      </w:r>
      <w:r>
        <w:rPr>
          <w:spacing w:val="1"/>
        </w:rPr>
        <w:t xml:space="preserve"> </w:t>
      </w:r>
      <w:r>
        <w:t>while</w:t>
      </w:r>
      <w:r>
        <w:rPr>
          <w:spacing w:val="1"/>
        </w:rPr>
        <w:t xml:space="preserve"> </w:t>
      </w:r>
      <w:r>
        <w:t>the</w:t>
      </w:r>
      <w:r>
        <w:rPr>
          <w:spacing w:val="1"/>
        </w:rPr>
        <w:t xml:space="preserve"> </w:t>
      </w:r>
      <w:r>
        <w:t>last</w:t>
      </w:r>
      <w:r>
        <w:rPr>
          <w:spacing w:val="1"/>
        </w:rPr>
        <w:t xml:space="preserve"> </w:t>
      </w:r>
      <w:r>
        <w:t>tender</w:t>
      </w:r>
      <w:r>
        <w:rPr>
          <w:spacing w:val="1"/>
        </w:rPr>
        <w:t xml:space="preserve"> </w:t>
      </w:r>
      <w:r>
        <w:t>for</w:t>
      </w:r>
      <w:r>
        <w:rPr>
          <w:spacing w:val="1"/>
        </w:rPr>
        <w:t xml:space="preserve"> </w:t>
      </w:r>
      <w:r>
        <w:t>implementing</w:t>
      </w:r>
      <w:r>
        <w:rPr>
          <w:spacing w:val="1"/>
        </w:rPr>
        <w:t xml:space="preserve"> </w:t>
      </w:r>
      <w:r>
        <w:t>Operation</w:t>
      </w:r>
      <w:r>
        <w:rPr>
          <w:spacing w:val="1"/>
        </w:rPr>
        <w:t xml:space="preserve"> </w:t>
      </w:r>
      <w:r>
        <w:t>8.6.2</w:t>
      </w:r>
      <w:r>
        <w:rPr>
          <w:spacing w:val="1"/>
        </w:rPr>
        <w:t xml:space="preserve"> </w:t>
      </w:r>
      <w:r>
        <w:t>Modernisation of Technologies, Machines, Tools and Equipment for Pre-Industrial Wood</w:t>
      </w:r>
      <w:r>
        <w:rPr>
          <w:spacing w:val="1"/>
        </w:rPr>
        <w:t xml:space="preserve"> </w:t>
      </w:r>
      <w:r>
        <w:t>Processing</w:t>
      </w:r>
      <w:r>
        <w:rPr>
          <w:spacing w:val="-2"/>
        </w:rPr>
        <w:t xml:space="preserve"> </w:t>
      </w:r>
      <w:r>
        <w:t>was</w:t>
      </w:r>
      <w:r>
        <w:rPr>
          <w:spacing w:val="1"/>
        </w:rPr>
        <w:t xml:space="preserve"> </w:t>
      </w:r>
      <w:r>
        <w:t>announced</w:t>
      </w:r>
      <w:r>
        <w:rPr>
          <w:spacing w:val="1"/>
        </w:rPr>
        <w:t xml:space="preserve"> </w:t>
      </w:r>
      <w:r>
        <w:t>in</w:t>
      </w:r>
      <w:r>
        <w:rPr>
          <w:spacing w:val="1"/>
        </w:rPr>
        <w:t xml:space="preserve"> </w:t>
      </w:r>
      <w:r>
        <w:t>December</w:t>
      </w:r>
      <w:r>
        <w:rPr>
          <w:spacing w:val="-1"/>
        </w:rPr>
        <w:t xml:space="preserve"> </w:t>
      </w:r>
      <w:r>
        <w:t>2021,</w:t>
      </w:r>
      <w:r>
        <w:rPr>
          <w:spacing w:val="1"/>
        </w:rPr>
        <w:t xml:space="preserve"> </w:t>
      </w:r>
      <w:r>
        <w:t>and</w:t>
      </w:r>
      <w:r>
        <w:rPr>
          <w:spacing w:val="3"/>
        </w:rPr>
        <w:t xml:space="preserve"> </w:t>
      </w:r>
      <w:r>
        <w:t>the deadline for</w:t>
      </w:r>
      <w:r>
        <w:rPr>
          <w:spacing w:val="-1"/>
        </w:rPr>
        <w:t xml:space="preserve"> </w:t>
      </w:r>
      <w:r>
        <w:t>lodging</w:t>
      </w:r>
      <w:r>
        <w:rPr>
          <w:spacing w:val="-2"/>
        </w:rPr>
        <w:t xml:space="preserve"> </w:t>
      </w:r>
      <w:r>
        <w:t>the</w:t>
      </w:r>
      <w:r>
        <w:rPr>
          <w:spacing w:val="1"/>
        </w:rPr>
        <w:t xml:space="preserve"> </w:t>
      </w:r>
      <w:r>
        <w:t>application</w:t>
      </w:r>
      <w:r>
        <w:rPr>
          <w:spacing w:val="1"/>
        </w:rPr>
        <w:t xml:space="preserve"> </w:t>
      </w:r>
      <w:r>
        <w:t>for</w:t>
      </w:r>
    </w:p>
    <w:p w:rsidR="00A56FE9" w:rsidRDefault="00CC1B9B">
      <w:pPr>
        <w:pStyle w:val="Tijeloteksta"/>
        <w:spacing w:before="7"/>
        <w:ind w:left="0"/>
        <w:jc w:val="left"/>
        <w:rPr>
          <w:sz w:val="28"/>
        </w:rPr>
      </w:pPr>
      <w:r>
        <w:rPr>
          <w:noProof/>
        </w:rPr>
        <mc:AlternateContent>
          <mc:Choice Requires="wps">
            <w:drawing>
              <wp:anchor distT="0" distB="0" distL="0" distR="0" simplePos="0" relativeHeight="487699968" behindDoc="1" locked="0" layoutInCell="1" allowOverlap="1">
                <wp:simplePos x="0" y="0"/>
                <wp:positionH relativeFrom="page">
                  <wp:posOffset>901065</wp:posOffset>
                </wp:positionH>
                <wp:positionV relativeFrom="paragraph">
                  <wp:posOffset>234315</wp:posOffset>
                </wp:positionV>
                <wp:extent cx="1828800" cy="7620"/>
                <wp:effectExtent l="0" t="0" r="0" b="0"/>
                <wp:wrapTopAndBottom/>
                <wp:docPr id="641706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1ADEA" id="Rectangle 23" o:spid="_x0000_s1026" style="position:absolute;margin-left:70.95pt;margin-top:18.45pt;width:2in;height:.6pt;z-index:-15616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" fillcolor="black" stroked="f">
                <w10:wrap type="topAndBottom" anchorx="page"/>
              </v:rect>
            </w:pict>
          </mc:Fallback>
        </mc:AlternateContent>
      </w:r>
    </w:p>
    <w:p w:rsidR="00A56FE9" w:rsidRDefault="00000000">
      <w:pPr>
        <w:pStyle w:val="Odlomakpopisa"/>
        <w:numPr>
          <w:ilvl w:val="0"/>
          <w:numId w:val="4"/>
        </w:numPr>
        <w:tabs>
          <w:tab w:val="left" w:pos="499"/>
        </w:tabs>
        <w:spacing w:before="76"/>
        <w:rPr>
          <w:sz w:val="16"/>
        </w:rPr>
      </w:pPr>
      <w:hyperlink r:id="rId14">
        <w:r>
          <w:rPr>
            <w:sz w:val="16"/>
            <w:u w:val="single"/>
          </w:rPr>
          <w:t>http://www.haop.hr/hr/projekti</w:t>
        </w:r>
      </w:hyperlink>
    </w:p>
    <w:p w:rsidR="00A56FE9" w:rsidRDefault="00000000">
      <w:pPr>
        <w:pStyle w:val="Odlomakpopisa"/>
        <w:numPr>
          <w:ilvl w:val="0"/>
          <w:numId w:val="4"/>
        </w:numPr>
        <w:tabs>
          <w:tab w:val="left" w:pos="499"/>
        </w:tabs>
        <w:spacing w:before="1"/>
        <w:ind w:right="684"/>
        <w:rPr>
          <w:sz w:val="16"/>
        </w:rPr>
      </w:pPr>
      <w:hyperlink r:id="rId15">
        <w:r>
          <w:rPr>
            <w:sz w:val="16"/>
            <w:u w:val="single"/>
          </w:rPr>
          <w:t>https://mingor.gov.hr/o-ministarstvu-1065/djelokrug/uprava-za-zastitu-prirode-1180/ekoloska-mreza-natura-2000/projekt-</w:t>
        </w:r>
      </w:hyperlink>
      <w:r>
        <w:rPr>
          <w:spacing w:val="1"/>
          <w:sz w:val="16"/>
        </w:rPr>
        <w:t xml:space="preserve"> </w:t>
      </w:r>
      <w:hyperlink r:id="rId16">
        <w:r>
          <w:rPr>
            <w:sz w:val="16"/>
            <w:u w:val="single"/>
          </w:rPr>
          <w:t>razvoj-okvira-za-upravljanje-ekoloskom-mrezom-natura-2000/5990</w:t>
        </w:r>
      </w:hyperlink>
    </w:p>
    <w:p w:rsidR="00A56FE9" w:rsidRDefault="00000000">
      <w:pPr>
        <w:pStyle w:val="Odlomakpopisa"/>
        <w:numPr>
          <w:ilvl w:val="0"/>
          <w:numId w:val="4"/>
        </w:numPr>
        <w:tabs>
          <w:tab w:val="left" w:pos="499"/>
        </w:tabs>
        <w:ind w:right="549"/>
        <w:rPr>
          <w:sz w:val="16"/>
        </w:rPr>
      </w:pPr>
      <w:hyperlink r:id="rId17">
        <w:r>
          <w:rPr>
            <w:sz w:val="16"/>
            <w:u w:val="single"/>
          </w:rPr>
          <w:t>https://mingor.gov.hr/o-ministarstvu-1065/djelokrug/uprava-za-zastitu-prirode-1180/strane-i-invazivne-strane-vrste/projekt-</w:t>
        </w:r>
      </w:hyperlink>
      <w:r>
        <w:rPr>
          <w:spacing w:val="1"/>
          <w:sz w:val="16"/>
        </w:rPr>
        <w:t xml:space="preserve"> </w:t>
      </w:r>
      <w:hyperlink r:id="rId18">
        <w:r>
          <w:rPr>
            <w:sz w:val="16"/>
            <w:u w:val="single"/>
          </w:rPr>
          <w:t>razvijanje-sustava-upravljanja-i-kontrole-invazivnih-stranih-vrsta/5550</w:t>
        </w:r>
        <w:r>
          <w:rPr>
            <w:sz w:val="16"/>
          </w:rPr>
          <w:t>)</w:t>
        </w:r>
      </w:hyperlink>
    </w:p>
    <w:p w:rsidR="00A56FE9" w:rsidRDefault="00000000">
      <w:pPr>
        <w:spacing w:line="183" w:lineRule="exact"/>
        <w:ind w:left="138"/>
        <w:rPr>
          <w:sz w:val="16"/>
        </w:rPr>
      </w:pPr>
      <w:r>
        <w:rPr>
          <w:sz w:val="16"/>
          <w:vertAlign w:val="superscript"/>
        </w:rPr>
        <w:t>50</w:t>
      </w:r>
      <w:r>
        <w:rPr>
          <w:spacing w:val="-1"/>
          <w:sz w:val="16"/>
        </w:rPr>
        <w:t xml:space="preserve"> </w:t>
      </w:r>
      <w:r>
        <w:rPr>
          <w:sz w:val="16"/>
        </w:rPr>
        <w:t>OG</w:t>
      </w:r>
      <w:r>
        <w:rPr>
          <w:spacing w:val="-4"/>
          <w:sz w:val="16"/>
        </w:rPr>
        <w:t xml:space="preserve"> </w:t>
      </w:r>
      <w:r>
        <w:rPr>
          <w:sz w:val="16"/>
        </w:rPr>
        <w:t>62/17,</w:t>
      </w:r>
      <w:r>
        <w:rPr>
          <w:spacing w:val="-2"/>
          <w:sz w:val="16"/>
        </w:rPr>
        <w:t xml:space="preserve"> </w:t>
      </w:r>
      <w:r>
        <w:rPr>
          <w:sz w:val="16"/>
        </w:rPr>
        <w:t>14/19</w:t>
      </w:r>
    </w:p>
    <w:p w:rsidR="00A56FE9" w:rsidRDefault="00000000">
      <w:pPr>
        <w:ind w:left="138"/>
        <w:rPr>
          <w:sz w:val="16"/>
        </w:rPr>
      </w:pPr>
      <w:r>
        <w:rPr>
          <w:sz w:val="16"/>
          <w:vertAlign w:val="superscript"/>
        </w:rPr>
        <w:t>51</w:t>
      </w:r>
      <w:r>
        <w:rPr>
          <w:spacing w:val="-1"/>
          <w:sz w:val="16"/>
        </w:rPr>
        <w:t xml:space="preserve"> </w:t>
      </w:r>
      <w:r>
        <w:rPr>
          <w:sz w:val="16"/>
        </w:rPr>
        <w:t>OG</w:t>
      </w:r>
      <w:r>
        <w:rPr>
          <w:spacing w:val="-4"/>
          <w:sz w:val="16"/>
        </w:rPr>
        <w:t xml:space="preserve"> </w:t>
      </w:r>
      <w:r>
        <w:rPr>
          <w:sz w:val="16"/>
        </w:rPr>
        <w:t>20/18,</w:t>
      </w:r>
      <w:r>
        <w:rPr>
          <w:spacing w:val="-3"/>
          <w:sz w:val="16"/>
        </w:rPr>
        <w:t xml:space="preserve"> </w:t>
      </w:r>
      <w:r>
        <w:rPr>
          <w:sz w:val="16"/>
        </w:rPr>
        <w:t>115/18</w:t>
      </w:r>
      <w:r>
        <w:rPr>
          <w:spacing w:val="-2"/>
          <w:sz w:val="16"/>
        </w:rPr>
        <w:t xml:space="preserve"> </w:t>
      </w:r>
      <w:r>
        <w:rPr>
          <w:sz w:val="16"/>
        </w:rPr>
        <w:t>i</w:t>
      </w:r>
      <w:r>
        <w:rPr>
          <w:spacing w:val="-2"/>
          <w:sz w:val="16"/>
        </w:rPr>
        <w:t xml:space="preserve"> </w:t>
      </w:r>
      <w:r>
        <w:rPr>
          <w:sz w:val="16"/>
        </w:rPr>
        <w:t>98/19</w:t>
      </w:r>
    </w:p>
    <w:p w:rsidR="00A56FE9" w:rsidRDefault="00A56FE9">
      <w:pPr>
        <w:rPr>
          <w:sz w:val="16"/>
        </w:rPr>
        <w:sectPr w:rsidR="00A56FE9" w:rsidSect="00AB1E70">
          <w:pgSz w:w="11910" w:h="16840"/>
          <w:pgMar w:top="1460" w:right="1140" w:bottom="960" w:left="1280" w:header="0" w:footer="699" w:gutter="0"/>
          <w:cols w:space="720"/>
        </w:sectPr>
      </w:pPr>
    </w:p>
    <w:p w:rsidR="00A56FE9" w:rsidRDefault="00000000">
      <w:pPr>
        <w:pStyle w:val="Tijeloteksta"/>
        <w:spacing w:before="74"/>
        <w:ind w:right="274"/>
      </w:pPr>
      <w:r>
        <w:t>support</w:t>
      </w:r>
      <w:r>
        <w:rPr>
          <w:spacing w:val="-8"/>
        </w:rPr>
        <w:t xml:space="preserve"> </w:t>
      </w:r>
      <w:r>
        <w:t>is</w:t>
      </w:r>
      <w:r>
        <w:rPr>
          <w:spacing w:val="-7"/>
        </w:rPr>
        <w:t xml:space="preserve"> </w:t>
      </w:r>
      <w:r>
        <w:t>in</w:t>
      </w:r>
      <w:r>
        <w:rPr>
          <w:spacing w:val="-6"/>
        </w:rPr>
        <w:t xml:space="preserve"> </w:t>
      </w:r>
      <w:r>
        <w:t>the</w:t>
      </w:r>
      <w:r>
        <w:rPr>
          <w:spacing w:val="-8"/>
        </w:rPr>
        <w:t xml:space="preserve"> </w:t>
      </w:r>
      <w:r>
        <w:t>period</w:t>
      </w:r>
      <w:r>
        <w:rPr>
          <w:spacing w:val="-8"/>
        </w:rPr>
        <w:t xml:space="preserve"> </w:t>
      </w:r>
      <w:r>
        <w:t>from</w:t>
      </w:r>
      <w:r>
        <w:rPr>
          <w:spacing w:val="-7"/>
        </w:rPr>
        <w:t xml:space="preserve"> </w:t>
      </w:r>
      <w:r>
        <w:t>February</w:t>
      </w:r>
      <w:r>
        <w:rPr>
          <w:spacing w:val="-11"/>
        </w:rPr>
        <w:t xml:space="preserve"> </w:t>
      </w:r>
      <w:r>
        <w:t>to</w:t>
      </w:r>
      <w:r>
        <w:rPr>
          <w:spacing w:val="-7"/>
        </w:rPr>
        <w:t xml:space="preserve"> </w:t>
      </w:r>
      <w:r>
        <w:t>May</w:t>
      </w:r>
      <w:r>
        <w:rPr>
          <w:spacing w:val="-10"/>
        </w:rPr>
        <w:t xml:space="preserve"> </w:t>
      </w:r>
      <w:r>
        <w:t>2022.</w:t>
      </w:r>
      <w:r>
        <w:rPr>
          <w:spacing w:val="-4"/>
        </w:rPr>
        <w:t xml:space="preserve"> </w:t>
      </w:r>
      <w:r>
        <w:t>The</w:t>
      </w:r>
      <w:r>
        <w:rPr>
          <w:spacing w:val="-9"/>
        </w:rPr>
        <w:t xml:space="preserve"> </w:t>
      </w:r>
      <w:r>
        <w:t>value</w:t>
      </w:r>
      <w:r>
        <w:rPr>
          <w:spacing w:val="-6"/>
        </w:rPr>
        <w:t xml:space="preserve"> </w:t>
      </w:r>
      <w:r>
        <w:t>of</w:t>
      </w:r>
      <w:r>
        <w:rPr>
          <w:spacing w:val="-7"/>
        </w:rPr>
        <w:t xml:space="preserve"> </w:t>
      </w:r>
      <w:r>
        <w:t>the</w:t>
      </w:r>
      <w:r>
        <w:rPr>
          <w:spacing w:val="-6"/>
        </w:rPr>
        <w:t xml:space="preserve"> </w:t>
      </w:r>
      <w:r>
        <w:t>announced</w:t>
      </w:r>
      <w:r>
        <w:rPr>
          <w:spacing w:val="-8"/>
        </w:rPr>
        <w:t xml:space="preserve"> </w:t>
      </w:r>
      <w:r>
        <w:t>tender</w:t>
      </w:r>
      <w:r>
        <w:rPr>
          <w:spacing w:val="-7"/>
        </w:rPr>
        <w:t xml:space="preserve"> </w:t>
      </w:r>
      <w:r>
        <w:t>is</w:t>
      </w:r>
      <w:r>
        <w:rPr>
          <w:spacing w:val="-7"/>
        </w:rPr>
        <w:t xml:space="preserve"> </w:t>
      </w:r>
      <w:r>
        <w:t>HRK</w:t>
      </w:r>
      <w:r>
        <w:rPr>
          <w:spacing w:val="-57"/>
        </w:rPr>
        <w:t xml:space="preserve"> </w:t>
      </w:r>
      <w:r>
        <w:t>147 million. Tenders under Measure 8 will continue in 2022. Two tenders are planned for the</w:t>
      </w:r>
      <w:r>
        <w:rPr>
          <w:spacing w:val="1"/>
        </w:rPr>
        <w:t xml:space="preserve"> </w:t>
      </w:r>
      <w:r>
        <w:t>first quarter: for operation type 8.5.1 "Conversion of degraded forest stands and forest crops"</w:t>
      </w:r>
      <w:r>
        <w:rPr>
          <w:spacing w:val="1"/>
        </w:rPr>
        <w:t xml:space="preserve"> </w:t>
      </w:r>
      <w:r>
        <w:t>(HRK 75 million) and operation type 8.6.1 "Modernization" technology, machines, tools and</w:t>
      </w:r>
      <w:r>
        <w:rPr>
          <w:spacing w:val="1"/>
        </w:rPr>
        <w:t xml:space="preserve"> </w:t>
      </w:r>
      <w:r>
        <w:t>equipment</w:t>
      </w:r>
      <w:r>
        <w:rPr>
          <w:spacing w:val="-1"/>
        </w:rPr>
        <w:t xml:space="preserve"> </w:t>
      </w:r>
      <w:r>
        <w:t>in wood</w:t>
      </w:r>
      <w:r>
        <w:rPr>
          <w:spacing w:val="-2"/>
        </w:rPr>
        <w:t xml:space="preserve"> </w:t>
      </w:r>
      <w:r>
        <w:t>extraction and</w:t>
      </w:r>
      <w:r>
        <w:rPr>
          <w:spacing w:val="-1"/>
        </w:rPr>
        <w:t xml:space="preserve"> </w:t>
      </w:r>
      <w:r>
        <w:t>silvicultural works</w:t>
      </w:r>
      <w:r>
        <w:rPr>
          <w:spacing w:val="-1"/>
        </w:rPr>
        <w:t xml:space="preserve"> </w:t>
      </w:r>
      <w:r>
        <w:t>”(HRK</w:t>
      </w:r>
      <w:r>
        <w:rPr>
          <w:spacing w:val="-1"/>
        </w:rPr>
        <w:t xml:space="preserve"> </w:t>
      </w:r>
      <w:r>
        <w:t>100</w:t>
      </w:r>
      <w:r>
        <w:rPr>
          <w:spacing w:val="-1"/>
        </w:rPr>
        <w:t xml:space="preserve"> </w:t>
      </w:r>
      <w:r>
        <w:t>million).</w:t>
      </w:r>
    </w:p>
    <w:p w:rsidR="00A56FE9" w:rsidRDefault="00000000">
      <w:pPr>
        <w:pStyle w:val="Tijeloteksta"/>
        <w:spacing w:before="121"/>
        <w:ind w:right="271"/>
      </w:pPr>
      <w:r>
        <w:t>At the Climate Change Conference (COP26, Glasgow, 2021), in terms of contributing to the</w:t>
      </w:r>
      <w:r>
        <w:rPr>
          <w:spacing w:val="1"/>
        </w:rPr>
        <w:t xml:space="preserve"> </w:t>
      </w:r>
      <w:r>
        <w:t>Global Action Plan for Climate Change Mitigation and contribution to the implementation of</w:t>
      </w:r>
      <w:r>
        <w:rPr>
          <w:spacing w:val="1"/>
        </w:rPr>
        <w:t xml:space="preserve"> </w:t>
      </w:r>
      <w:r>
        <w:t>the Glasgow Climate Pact, Croatia has committed itself to the afforestation of more than one</w:t>
      </w:r>
      <w:r>
        <w:rPr>
          <w:spacing w:val="1"/>
        </w:rPr>
        <w:t xml:space="preserve"> </w:t>
      </w:r>
      <w:r>
        <w:t>million seedlings/trees annually by 2030 to annul greenhouse gas emissions from vehicles of</w:t>
      </w:r>
      <w:r>
        <w:rPr>
          <w:spacing w:val="1"/>
        </w:rPr>
        <w:t xml:space="preserve"> </w:t>
      </w:r>
      <w:r>
        <w:t>tourists</w:t>
      </w:r>
      <w:r>
        <w:rPr>
          <w:spacing w:val="-1"/>
        </w:rPr>
        <w:t xml:space="preserve"> </w:t>
      </w:r>
      <w:r>
        <w:t>entering</w:t>
      </w:r>
      <w:r>
        <w:rPr>
          <w:spacing w:val="-2"/>
        </w:rPr>
        <w:t xml:space="preserve"> </w:t>
      </w:r>
      <w:r>
        <w:t>Croatia.</w:t>
      </w:r>
    </w:p>
    <w:p w:rsidR="00A56FE9" w:rsidRDefault="00CC1B9B">
      <w:pPr>
        <w:pStyle w:val="Tijeloteksta"/>
        <w:spacing w:before="120"/>
        <w:ind w:right="272"/>
      </w:pPr>
      <w:r>
        <w:rPr>
          <w:noProof/>
        </w:rPr>
        <mc:AlternateContent>
          <mc:Choice Requires="wps">
            <w:drawing>
              <wp:anchor distT="0" distB="0" distL="114300" distR="114300" simplePos="0" relativeHeight="15841792" behindDoc="0" locked="0" layoutInCell="1" allowOverlap="1">
                <wp:simplePos x="0" y="0"/>
                <wp:positionH relativeFrom="page">
                  <wp:posOffset>814070</wp:posOffset>
                </wp:positionH>
                <wp:positionV relativeFrom="paragraph">
                  <wp:posOffset>1908810</wp:posOffset>
                </wp:positionV>
                <wp:extent cx="18415" cy="797560"/>
                <wp:effectExtent l="0" t="0" r="0" b="0"/>
                <wp:wrapNone/>
                <wp:docPr id="1792624616"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797560"/>
                        </a:xfrm>
                        <a:custGeom>
                          <a:avLst/>
                          <a:gdLst>
                            <a:gd name="T0" fmla="+- 0 1311 1282"/>
                            <a:gd name="T1" fmla="*/ T0 w 29"/>
                            <a:gd name="T2" fmla="+- 0 3006 3006"/>
                            <a:gd name="T3" fmla="*/ 3006 h 1256"/>
                            <a:gd name="T4" fmla="+- 0 1282 1282"/>
                            <a:gd name="T5" fmla="*/ T4 w 29"/>
                            <a:gd name="T6" fmla="+- 0 3006 3006"/>
                            <a:gd name="T7" fmla="*/ 3006 h 1256"/>
                            <a:gd name="T8" fmla="+- 0 1282 1282"/>
                            <a:gd name="T9" fmla="*/ T8 w 29"/>
                            <a:gd name="T10" fmla="+- 0 3544 3006"/>
                            <a:gd name="T11" fmla="*/ 3544 h 1256"/>
                            <a:gd name="T12" fmla="+- 0 1282 1282"/>
                            <a:gd name="T13" fmla="*/ T12 w 29"/>
                            <a:gd name="T14" fmla="+- 0 3844 3006"/>
                            <a:gd name="T15" fmla="*/ 3844 h 1256"/>
                            <a:gd name="T16" fmla="+- 0 1282 1282"/>
                            <a:gd name="T17" fmla="*/ T16 w 29"/>
                            <a:gd name="T18" fmla="+- 0 4262 3006"/>
                            <a:gd name="T19" fmla="*/ 4262 h 1256"/>
                            <a:gd name="T20" fmla="+- 0 1311 1282"/>
                            <a:gd name="T21" fmla="*/ T20 w 29"/>
                            <a:gd name="T22" fmla="+- 0 4262 3006"/>
                            <a:gd name="T23" fmla="*/ 4262 h 1256"/>
                            <a:gd name="T24" fmla="+- 0 1311 1282"/>
                            <a:gd name="T25" fmla="*/ T24 w 29"/>
                            <a:gd name="T26" fmla="+- 0 3844 3006"/>
                            <a:gd name="T27" fmla="*/ 3844 h 1256"/>
                            <a:gd name="T28" fmla="+- 0 1311 1282"/>
                            <a:gd name="T29" fmla="*/ T28 w 29"/>
                            <a:gd name="T30" fmla="+- 0 3544 3006"/>
                            <a:gd name="T31" fmla="*/ 3544 h 1256"/>
                            <a:gd name="T32" fmla="+- 0 1311 1282"/>
                            <a:gd name="T33" fmla="*/ T32 w 29"/>
                            <a:gd name="T34" fmla="+- 0 3006 3006"/>
                            <a:gd name="T35" fmla="*/ 3006 h 1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9" h="1256">
                              <a:moveTo>
                                <a:pt x="29" y="0"/>
                              </a:moveTo>
                              <a:lnTo>
                                <a:pt x="0" y="0"/>
                              </a:lnTo>
                              <a:lnTo>
                                <a:pt x="0" y="538"/>
                              </a:lnTo>
                              <a:lnTo>
                                <a:pt x="0" y="838"/>
                              </a:lnTo>
                              <a:lnTo>
                                <a:pt x="0" y="1256"/>
                              </a:lnTo>
                              <a:lnTo>
                                <a:pt x="29" y="1256"/>
                              </a:lnTo>
                              <a:lnTo>
                                <a:pt x="29" y="838"/>
                              </a:lnTo>
                              <a:lnTo>
                                <a:pt x="29" y="53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5EC10" id="Freeform 22" o:spid="_x0000_s1026" style="position:absolute;margin-left:64.1pt;margin-top:150.3pt;width:1.45pt;height:62.8pt;z-index:1584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" path="m29,l,,,538,,838r,418l29,1256r,-418l29,538,29,xe" fillcolor="#da1f2c" stroked="f">
                <v:path arrowok="t" o:connecttype="custom" o:connectlocs="18415,1908810;0,1908810;0,2250440;0,2440940;0,2706370;18415,2706370;18415,2440940;18415,2250440;18415,1908810" o:connectangles="0,0,0,0,0,0,0,0,0"/>
                <w10:wrap anchorx="page"/>
              </v:shape>
            </w:pict>
          </mc:Fallback>
        </mc:AlternateContent>
      </w:r>
      <w:r w:rsidR="00000000">
        <w:t>The proposed 2023-2027 Common Agricultural Policy Strategic Plan envisages the continued</w:t>
      </w:r>
      <w:r w:rsidR="00000000">
        <w:rPr>
          <w:spacing w:val="-57"/>
        </w:rPr>
        <w:t xml:space="preserve"> </w:t>
      </w:r>
      <w:r w:rsidR="00000000">
        <w:t>implementation of reconstructing (converting) degraded forests and forest crops, transforming</w:t>
      </w:r>
      <w:r w:rsidR="00000000">
        <w:rPr>
          <w:spacing w:val="-57"/>
        </w:rPr>
        <w:t xml:space="preserve"> </w:t>
      </w:r>
      <w:r w:rsidR="00000000">
        <w:t>forests</w:t>
      </w:r>
      <w:r w:rsidR="00000000">
        <w:rPr>
          <w:spacing w:val="-13"/>
        </w:rPr>
        <w:t xml:space="preserve"> </w:t>
      </w:r>
      <w:r w:rsidR="00000000">
        <w:t>of</w:t>
      </w:r>
      <w:r w:rsidR="00000000">
        <w:rPr>
          <w:spacing w:val="-11"/>
        </w:rPr>
        <w:t xml:space="preserve"> </w:t>
      </w:r>
      <w:r w:rsidR="00000000">
        <w:t>lower</w:t>
      </w:r>
      <w:r w:rsidR="00000000">
        <w:rPr>
          <w:spacing w:val="-14"/>
        </w:rPr>
        <w:t xml:space="preserve"> </w:t>
      </w:r>
      <w:r w:rsidR="00000000">
        <w:t>to</w:t>
      </w:r>
      <w:r w:rsidR="00000000">
        <w:rPr>
          <w:spacing w:val="-12"/>
        </w:rPr>
        <w:t xml:space="preserve"> </w:t>
      </w:r>
      <w:r w:rsidR="00000000">
        <w:t>higher</w:t>
      </w:r>
      <w:r w:rsidR="00000000">
        <w:rPr>
          <w:spacing w:val="-12"/>
        </w:rPr>
        <w:t xml:space="preserve"> </w:t>
      </w:r>
      <w:r w:rsidR="00000000">
        <w:t>cultivation</w:t>
      </w:r>
      <w:r w:rsidR="00000000">
        <w:rPr>
          <w:spacing w:val="-12"/>
        </w:rPr>
        <w:t xml:space="preserve"> </w:t>
      </w:r>
      <w:r w:rsidR="00000000">
        <w:t>form</w:t>
      </w:r>
      <w:r w:rsidR="00000000">
        <w:rPr>
          <w:spacing w:val="-13"/>
        </w:rPr>
        <w:t xml:space="preserve"> </w:t>
      </w:r>
      <w:r w:rsidR="00000000">
        <w:t>and</w:t>
      </w:r>
      <w:r w:rsidR="00000000">
        <w:rPr>
          <w:spacing w:val="-8"/>
        </w:rPr>
        <w:t xml:space="preserve"> </w:t>
      </w:r>
      <w:r w:rsidR="00000000">
        <w:t>obtaining</w:t>
      </w:r>
      <w:r w:rsidR="00000000">
        <w:rPr>
          <w:spacing w:val="-15"/>
        </w:rPr>
        <w:t xml:space="preserve"> </w:t>
      </w:r>
      <w:r w:rsidR="00000000">
        <w:t>indigenous</w:t>
      </w:r>
      <w:r w:rsidR="00000000">
        <w:rPr>
          <w:spacing w:val="-12"/>
        </w:rPr>
        <w:t xml:space="preserve"> </w:t>
      </w:r>
      <w:r w:rsidR="00000000">
        <w:t>vegetation.</w:t>
      </w:r>
      <w:r w:rsidR="00000000">
        <w:rPr>
          <w:spacing w:val="-10"/>
        </w:rPr>
        <w:t xml:space="preserve"> </w:t>
      </w:r>
      <w:r w:rsidR="00000000">
        <w:t>In</w:t>
      </w:r>
      <w:r w:rsidR="00000000">
        <w:rPr>
          <w:spacing w:val="-13"/>
        </w:rPr>
        <w:t xml:space="preserve"> </w:t>
      </w:r>
      <w:r w:rsidR="00000000">
        <w:t>synergy</w:t>
      </w:r>
      <w:r w:rsidR="00000000">
        <w:rPr>
          <w:spacing w:val="-12"/>
        </w:rPr>
        <w:t xml:space="preserve"> </w:t>
      </w:r>
      <w:r w:rsidR="00000000">
        <w:t>with</w:t>
      </w:r>
      <w:r w:rsidR="00000000">
        <w:rPr>
          <w:spacing w:val="-58"/>
        </w:rPr>
        <w:t xml:space="preserve"> </w:t>
      </w:r>
      <w:r w:rsidR="00000000">
        <w:t>other forestry support</w:t>
      </w:r>
      <w:r w:rsidR="00000000">
        <w:rPr>
          <w:spacing w:val="1"/>
        </w:rPr>
        <w:t xml:space="preserve"> </w:t>
      </w:r>
      <w:r w:rsidR="00000000">
        <w:t>measures through</w:t>
      </w:r>
      <w:r w:rsidR="00000000">
        <w:rPr>
          <w:spacing w:val="1"/>
        </w:rPr>
        <w:t xml:space="preserve"> </w:t>
      </w:r>
      <w:r w:rsidR="00000000">
        <w:t>EU EAFRD funding, i.e.,</w:t>
      </w:r>
      <w:r w:rsidR="00000000">
        <w:rPr>
          <w:spacing w:val="1"/>
        </w:rPr>
        <w:t xml:space="preserve"> </w:t>
      </w:r>
      <w:r w:rsidR="00000000">
        <w:t>construction of forest</w:t>
      </w:r>
      <w:r w:rsidR="00000000">
        <w:rPr>
          <w:spacing w:val="1"/>
        </w:rPr>
        <w:t xml:space="preserve"> </w:t>
      </w:r>
      <w:r w:rsidR="00000000">
        <w:t>infrastructure and modernisation of technologies in wood extraction, the preconditions for</w:t>
      </w:r>
      <w:r w:rsidR="00000000">
        <w:rPr>
          <w:spacing w:val="1"/>
        </w:rPr>
        <w:t xml:space="preserve"> </w:t>
      </w:r>
      <w:r w:rsidR="00000000">
        <w:t>optimal and sustainable/permanent forest management are met. In addition to the mentioned</w:t>
      </w:r>
      <w:r w:rsidR="00000000">
        <w:rPr>
          <w:spacing w:val="1"/>
        </w:rPr>
        <w:t xml:space="preserve"> </w:t>
      </w:r>
      <w:r w:rsidR="00000000">
        <w:t>financial resources in Croatian forestry, dedicated collected funds are used for public forest</w:t>
      </w:r>
      <w:r w:rsidR="00000000">
        <w:rPr>
          <w:spacing w:val="1"/>
        </w:rPr>
        <w:t xml:space="preserve"> </w:t>
      </w:r>
      <w:r w:rsidR="00000000">
        <w:t>functions</w:t>
      </w:r>
      <w:r w:rsidR="00000000">
        <w:rPr>
          <w:spacing w:val="1"/>
        </w:rPr>
        <w:t xml:space="preserve"> </w:t>
      </w:r>
      <w:r w:rsidR="00000000">
        <w:t>as</w:t>
      </w:r>
      <w:r w:rsidR="00000000">
        <w:rPr>
          <w:spacing w:val="1"/>
        </w:rPr>
        <w:t xml:space="preserve"> </w:t>
      </w:r>
      <w:r w:rsidR="00000000">
        <w:t>financial</w:t>
      </w:r>
      <w:r w:rsidR="00000000">
        <w:rPr>
          <w:spacing w:val="1"/>
        </w:rPr>
        <w:t xml:space="preserve"> </w:t>
      </w:r>
      <w:r w:rsidR="00000000">
        <w:t>support</w:t>
      </w:r>
      <w:r w:rsidR="00000000">
        <w:rPr>
          <w:spacing w:val="1"/>
        </w:rPr>
        <w:t xml:space="preserve"> </w:t>
      </w:r>
      <w:r w:rsidR="00000000">
        <w:t>for</w:t>
      </w:r>
      <w:r w:rsidR="00000000">
        <w:rPr>
          <w:spacing w:val="1"/>
        </w:rPr>
        <w:t xml:space="preserve"> </w:t>
      </w:r>
      <w:r w:rsidR="00000000">
        <w:t>a</w:t>
      </w:r>
      <w:r w:rsidR="00000000">
        <w:rPr>
          <w:spacing w:val="1"/>
        </w:rPr>
        <w:t xml:space="preserve"> </w:t>
      </w:r>
      <w:r w:rsidR="00000000">
        <w:t>wide</w:t>
      </w:r>
      <w:r w:rsidR="00000000">
        <w:rPr>
          <w:spacing w:val="1"/>
        </w:rPr>
        <w:t xml:space="preserve"> </w:t>
      </w:r>
      <w:r w:rsidR="00000000">
        <w:t>range</w:t>
      </w:r>
      <w:r w:rsidR="00000000">
        <w:rPr>
          <w:spacing w:val="1"/>
        </w:rPr>
        <w:t xml:space="preserve"> </w:t>
      </w:r>
      <w:r w:rsidR="00000000">
        <w:t>of</w:t>
      </w:r>
      <w:r w:rsidR="00000000">
        <w:rPr>
          <w:spacing w:val="1"/>
        </w:rPr>
        <w:t xml:space="preserve"> </w:t>
      </w:r>
      <w:r w:rsidR="00000000">
        <w:t>forestry</w:t>
      </w:r>
      <w:r w:rsidR="00000000">
        <w:rPr>
          <w:spacing w:val="1"/>
        </w:rPr>
        <w:t xml:space="preserve"> </w:t>
      </w:r>
      <w:r w:rsidR="00000000">
        <w:t>works/activities</w:t>
      </w:r>
      <w:r w:rsidR="00000000">
        <w:rPr>
          <w:spacing w:val="1"/>
        </w:rPr>
        <w:t xml:space="preserve"> </w:t>
      </w:r>
      <w:r w:rsidR="00000000">
        <w:t>and</w:t>
      </w:r>
      <w:r w:rsidR="00000000">
        <w:rPr>
          <w:spacing w:val="1"/>
        </w:rPr>
        <w:t xml:space="preserve"> </w:t>
      </w:r>
      <w:r w:rsidR="00000000">
        <w:t>sustainable/permanent forest management, which, along with investments in fire prevention</w:t>
      </w:r>
      <w:r w:rsidR="00000000">
        <w:rPr>
          <w:spacing w:val="1"/>
        </w:rPr>
        <w:t xml:space="preserve"> </w:t>
      </w:r>
      <w:r w:rsidR="00000000">
        <w:t>and</w:t>
      </w:r>
      <w:r w:rsidR="00000000">
        <w:rPr>
          <w:spacing w:val="-1"/>
        </w:rPr>
        <w:t xml:space="preserve"> </w:t>
      </w:r>
      <w:r w:rsidR="00000000">
        <w:t>protection, seeks to minimise</w:t>
      </w:r>
      <w:r w:rsidR="00000000">
        <w:rPr>
          <w:spacing w:val="1"/>
        </w:rPr>
        <w:t xml:space="preserve"> </w:t>
      </w:r>
      <w:r w:rsidR="00000000">
        <w:t>natural risks.</w:t>
      </w:r>
    </w:p>
    <w:p w:rsidR="00A56FE9" w:rsidRDefault="00A56FE9">
      <w:pPr>
        <w:pStyle w:val="Tijeloteksta"/>
        <w:spacing w:before="9"/>
        <w:ind w:left="0"/>
        <w:jc w:val="left"/>
        <w:rPr>
          <w:sz w:val="31"/>
        </w:rPr>
      </w:pPr>
    </w:p>
    <w:p w:rsidR="00A56FE9" w:rsidRDefault="00000000">
      <w:pPr>
        <w:pStyle w:val="Naslov4"/>
        <w:ind w:right="283"/>
      </w:pPr>
      <w:r>
        <w:rPr>
          <w:color w:val="2C398A"/>
        </w:rPr>
        <w:t>Goal 16. Promote peaceful and inclusive societies for sustainable development,</w:t>
      </w:r>
      <w:r>
        <w:rPr>
          <w:color w:val="2C398A"/>
          <w:spacing w:val="1"/>
        </w:rPr>
        <w:t xml:space="preserve"> </w:t>
      </w:r>
      <w:r>
        <w:rPr>
          <w:color w:val="2C398A"/>
        </w:rPr>
        <w:t>provide access to justice for all and build effective, accountable and inclusive</w:t>
      </w:r>
      <w:r>
        <w:rPr>
          <w:color w:val="2C398A"/>
          <w:spacing w:val="1"/>
        </w:rPr>
        <w:t xml:space="preserve"> </w:t>
      </w:r>
      <w:r>
        <w:rPr>
          <w:color w:val="2C398A"/>
        </w:rPr>
        <w:t>institutions</w:t>
      </w:r>
      <w:r>
        <w:rPr>
          <w:color w:val="2C398A"/>
          <w:spacing w:val="-2"/>
        </w:rPr>
        <w:t xml:space="preserve"> </w:t>
      </w:r>
      <w:r>
        <w:rPr>
          <w:color w:val="2C398A"/>
        </w:rPr>
        <w:t>at</w:t>
      </w:r>
      <w:r>
        <w:rPr>
          <w:color w:val="2C398A"/>
          <w:spacing w:val="-1"/>
        </w:rPr>
        <w:t xml:space="preserve"> </w:t>
      </w:r>
      <w:r>
        <w:rPr>
          <w:color w:val="2C398A"/>
        </w:rPr>
        <w:t>all levels</w:t>
      </w:r>
    </w:p>
    <w:p w:rsidR="00A56FE9" w:rsidRDefault="00000000">
      <w:pPr>
        <w:pStyle w:val="Tijeloteksta"/>
        <w:spacing w:before="114"/>
        <w:ind w:right="270"/>
      </w:pPr>
      <w:r>
        <w:t>To</w:t>
      </w:r>
      <w:r>
        <w:rPr>
          <w:spacing w:val="-6"/>
        </w:rPr>
        <w:t xml:space="preserve"> </w:t>
      </w:r>
      <w:r>
        <w:t>achieve</w:t>
      </w:r>
      <w:r>
        <w:rPr>
          <w:spacing w:val="-8"/>
        </w:rPr>
        <w:t xml:space="preserve"> </w:t>
      </w:r>
      <w:r>
        <w:t>the</w:t>
      </w:r>
      <w:r>
        <w:rPr>
          <w:spacing w:val="-4"/>
        </w:rPr>
        <w:t xml:space="preserve"> </w:t>
      </w:r>
      <w:r>
        <w:t>goal</w:t>
      </w:r>
      <w:r>
        <w:rPr>
          <w:spacing w:val="-6"/>
        </w:rPr>
        <w:t xml:space="preserve"> </w:t>
      </w:r>
      <w:r>
        <w:t>of</w:t>
      </w:r>
      <w:r>
        <w:rPr>
          <w:spacing w:val="-7"/>
        </w:rPr>
        <w:t xml:space="preserve"> </w:t>
      </w:r>
      <w:r>
        <w:t>“ending</w:t>
      </w:r>
      <w:r>
        <w:rPr>
          <w:spacing w:val="-8"/>
        </w:rPr>
        <w:t xml:space="preserve"> </w:t>
      </w:r>
      <w:r>
        <w:t>the</w:t>
      </w:r>
      <w:r>
        <w:rPr>
          <w:spacing w:val="-7"/>
        </w:rPr>
        <w:t xml:space="preserve"> </w:t>
      </w:r>
      <w:r>
        <w:t>abuse,</w:t>
      </w:r>
      <w:r>
        <w:rPr>
          <w:spacing w:val="-4"/>
        </w:rPr>
        <w:t xml:space="preserve"> </w:t>
      </w:r>
      <w:r>
        <w:t>exploitation</w:t>
      </w:r>
      <w:r>
        <w:rPr>
          <w:spacing w:val="-6"/>
        </w:rPr>
        <w:t xml:space="preserve"> </w:t>
      </w:r>
      <w:r>
        <w:t>and</w:t>
      </w:r>
      <w:r>
        <w:rPr>
          <w:spacing w:val="-5"/>
        </w:rPr>
        <w:t xml:space="preserve"> </w:t>
      </w:r>
      <w:r>
        <w:t>trafficking</w:t>
      </w:r>
      <w:r>
        <w:rPr>
          <w:spacing w:val="-9"/>
        </w:rPr>
        <w:t xml:space="preserve"> </w:t>
      </w:r>
      <w:r>
        <w:t>of</w:t>
      </w:r>
      <w:r>
        <w:rPr>
          <w:spacing w:val="-7"/>
        </w:rPr>
        <w:t xml:space="preserve"> </w:t>
      </w:r>
      <w:r>
        <w:t>children”,</w:t>
      </w:r>
      <w:r>
        <w:rPr>
          <w:spacing w:val="-6"/>
        </w:rPr>
        <w:t xml:space="preserve"> </w:t>
      </w:r>
      <w:r>
        <w:t>cooperation</w:t>
      </w:r>
      <w:r>
        <w:rPr>
          <w:spacing w:val="-58"/>
        </w:rPr>
        <w:t xml:space="preserve"> </w:t>
      </w:r>
      <w:r>
        <w:t>will continue with relevant ministries involved in the anti-trafficking system, civil society</w:t>
      </w:r>
      <w:r>
        <w:rPr>
          <w:spacing w:val="1"/>
        </w:rPr>
        <w:t xml:space="preserve"> </w:t>
      </w:r>
      <w:r>
        <w:t>organisations, the Croatian Red Cross and international organisations. Also, for the purpose of</w:t>
      </w:r>
      <w:r>
        <w:rPr>
          <w:spacing w:val="-57"/>
        </w:rPr>
        <w:t xml:space="preserve"> </w:t>
      </w:r>
      <w:r>
        <w:t>early detection and suppression of human especially child trafficking, and identification of</w:t>
      </w:r>
      <w:r>
        <w:rPr>
          <w:spacing w:val="1"/>
        </w:rPr>
        <w:t xml:space="preserve"> </w:t>
      </w:r>
      <w:r>
        <w:t>victims,</w:t>
      </w:r>
      <w:r>
        <w:rPr>
          <w:spacing w:val="1"/>
        </w:rPr>
        <w:t xml:space="preserve"> </w:t>
      </w:r>
      <w:r>
        <w:t>operational</w:t>
      </w:r>
      <w:r>
        <w:rPr>
          <w:spacing w:val="1"/>
        </w:rPr>
        <w:t xml:space="preserve"> </w:t>
      </w:r>
      <w:r>
        <w:t>police</w:t>
      </w:r>
      <w:r>
        <w:rPr>
          <w:spacing w:val="1"/>
        </w:rPr>
        <w:t xml:space="preserve"> </w:t>
      </w:r>
      <w:r>
        <w:t>cooperation</w:t>
      </w:r>
      <w:r>
        <w:rPr>
          <w:spacing w:val="1"/>
        </w:rPr>
        <w:t xml:space="preserve"> </w:t>
      </w:r>
      <w:r>
        <w:t>will</w:t>
      </w:r>
      <w:r>
        <w:rPr>
          <w:spacing w:val="1"/>
        </w:rPr>
        <w:t xml:space="preserve"> </w:t>
      </w:r>
      <w:r>
        <w:t>continue</w:t>
      </w:r>
      <w:r>
        <w:rPr>
          <w:spacing w:val="1"/>
        </w:rPr>
        <w:t xml:space="preserve"> </w:t>
      </w:r>
      <w:r>
        <w:t>in</w:t>
      </w:r>
      <w:r>
        <w:rPr>
          <w:spacing w:val="1"/>
        </w:rPr>
        <w:t xml:space="preserve"> </w:t>
      </w:r>
      <w:r>
        <w:t>implementing</w:t>
      </w:r>
      <w:r>
        <w:rPr>
          <w:spacing w:val="1"/>
        </w:rPr>
        <w:t xml:space="preserve"> </w:t>
      </w:r>
      <w:r>
        <w:t>international</w:t>
      </w:r>
      <w:r>
        <w:rPr>
          <w:spacing w:val="1"/>
        </w:rPr>
        <w:t xml:space="preserve"> </w:t>
      </w:r>
      <w:r>
        <w:t>and</w:t>
      </w:r>
      <w:r>
        <w:rPr>
          <w:spacing w:val="1"/>
        </w:rPr>
        <w:t xml:space="preserve"> </w:t>
      </w:r>
      <w:r>
        <w:t>regional operational actions and projects aimed at identifying victims and combating crime</w:t>
      </w:r>
      <w:r>
        <w:rPr>
          <w:spacing w:val="1"/>
        </w:rPr>
        <w:t xml:space="preserve"> </w:t>
      </w:r>
      <w:r>
        <w:t>related</w:t>
      </w:r>
      <w:r>
        <w:rPr>
          <w:spacing w:val="-1"/>
        </w:rPr>
        <w:t xml:space="preserve"> </w:t>
      </w:r>
      <w:r>
        <w:t>to human and</w:t>
      </w:r>
      <w:r>
        <w:rPr>
          <w:spacing w:val="2"/>
        </w:rPr>
        <w:t xml:space="preserve"> </w:t>
      </w:r>
      <w:r>
        <w:t>child</w:t>
      </w:r>
      <w:r>
        <w:rPr>
          <w:spacing w:val="1"/>
        </w:rPr>
        <w:t xml:space="preserve"> </w:t>
      </w:r>
      <w:r>
        <w:t>trafficking.</w:t>
      </w:r>
    </w:p>
    <w:p w:rsidR="00A56FE9" w:rsidRDefault="00000000">
      <w:pPr>
        <w:pStyle w:val="Tijeloteksta"/>
        <w:spacing w:before="120"/>
        <w:ind w:right="271"/>
      </w:pPr>
      <w:r>
        <w:t>Reducing illicit money and arms flows is addressed in further improving inter-institutional</w:t>
      </w:r>
      <w:r>
        <w:rPr>
          <w:spacing w:val="1"/>
        </w:rPr>
        <w:t xml:space="preserve"> </w:t>
      </w:r>
      <w:r>
        <w:t>cooperation</w:t>
      </w:r>
      <w:r>
        <w:rPr>
          <w:spacing w:val="-8"/>
        </w:rPr>
        <w:t xml:space="preserve"> </w:t>
      </w:r>
      <w:r>
        <w:t>among</w:t>
      </w:r>
      <w:r>
        <w:rPr>
          <w:spacing w:val="-12"/>
        </w:rPr>
        <w:t xml:space="preserve"> </w:t>
      </w:r>
      <w:r>
        <w:t>the</w:t>
      </w:r>
      <w:r>
        <w:rPr>
          <w:spacing w:val="-8"/>
        </w:rPr>
        <w:t xml:space="preserve"> </w:t>
      </w:r>
      <w:r>
        <w:t>National</w:t>
      </w:r>
      <w:r>
        <w:rPr>
          <w:spacing w:val="-10"/>
        </w:rPr>
        <w:t xml:space="preserve"> </w:t>
      </w:r>
      <w:r>
        <w:t>Police</w:t>
      </w:r>
      <w:r>
        <w:rPr>
          <w:spacing w:val="-11"/>
        </w:rPr>
        <w:t xml:space="preserve"> </w:t>
      </w:r>
      <w:r>
        <w:t>Office</w:t>
      </w:r>
      <w:r>
        <w:rPr>
          <w:spacing w:val="-9"/>
        </w:rPr>
        <w:t xml:space="preserve"> </w:t>
      </w:r>
      <w:r>
        <w:t>for</w:t>
      </w:r>
      <w:r>
        <w:rPr>
          <w:spacing w:val="-11"/>
        </w:rPr>
        <w:t xml:space="preserve"> </w:t>
      </w:r>
      <w:r>
        <w:t>the</w:t>
      </w:r>
      <w:r>
        <w:rPr>
          <w:spacing w:val="-11"/>
        </w:rPr>
        <w:t xml:space="preserve"> </w:t>
      </w:r>
      <w:r>
        <w:t>Suppression</w:t>
      </w:r>
      <w:r>
        <w:rPr>
          <w:spacing w:val="-10"/>
        </w:rPr>
        <w:t xml:space="preserve"> </w:t>
      </w:r>
      <w:r>
        <w:t>of</w:t>
      </w:r>
      <w:r>
        <w:rPr>
          <w:spacing w:val="-12"/>
        </w:rPr>
        <w:t xml:space="preserve"> </w:t>
      </w:r>
      <w:r>
        <w:t>Corruption</w:t>
      </w:r>
      <w:r>
        <w:rPr>
          <w:spacing w:val="-10"/>
        </w:rPr>
        <w:t xml:space="preserve"> </w:t>
      </w:r>
      <w:r>
        <w:t>and</w:t>
      </w:r>
      <w:r>
        <w:rPr>
          <w:spacing w:val="-10"/>
        </w:rPr>
        <w:t xml:space="preserve"> </w:t>
      </w:r>
      <w:r>
        <w:t>Organised</w:t>
      </w:r>
      <w:r>
        <w:rPr>
          <w:spacing w:val="-57"/>
        </w:rPr>
        <w:t xml:space="preserve"> </w:t>
      </w:r>
      <w:r>
        <w:t>Crime</w:t>
      </w:r>
      <w:r>
        <w:rPr>
          <w:spacing w:val="1"/>
        </w:rPr>
        <w:t xml:space="preserve"> </w:t>
      </w:r>
      <w:r>
        <w:t>(PNUSKOK),</w:t>
      </w:r>
      <w:r>
        <w:rPr>
          <w:spacing w:val="1"/>
        </w:rPr>
        <w:t xml:space="preserve"> </w:t>
      </w:r>
      <w:r>
        <w:t>State</w:t>
      </w:r>
      <w:r>
        <w:rPr>
          <w:spacing w:val="1"/>
        </w:rPr>
        <w:t xml:space="preserve"> </w:t>
      </w:r>
      <w:r>
        <w:t>Attorney's</w:t>
      </w:r>
      <w:r>
        <w:rPr>
          <w:spacing w:val="1"/>
        </w:rPr>
        <w:t xml:space="preserve"> </w:t>
      </w:r>
      <w:r>
        <w:t>Office</w:t>
      </w:r>
      <w:r>
        <w:rPr>
          <w:spacing w:val="1"/>
        </w:rPr>
        <w:t xml:space="preserve"> </w:t>
      </w:r>
      <w:r>
        <w:t>of</w:t>
      </w:r>
      <w:r>
        <w:rPr>
          <w:spacing w:val="1"/>
        </w:rPr>
        <w:t xml:space="preserve"> </w:t>
      </w:r>
      <w:r>
        <w:t>the</w:t>
      </w:r>
      <w:r>
        <w:rPr>
          <w:spacing w:val="1"/>
        </w:rPr>
        <w:t xml:space="preserve"> </w:t>
      </w:r>
      <w:r>
        <w:t>Republic</w:t>
      </w:r>
      <w:r>
        <w:rPr>
          <w:spacing w:val="1"/>
        </w:rPr>
        <w:t xml:space="preserve"> </w:t>
      </w:r>
      <w:r>
        <w:t>of</w:t>
      </w:r>
      <w:r>
        <w:rPr>
          <w:spacing w:val="1"/>
        </w:rPr>
        <w:t xml:space="preserve"> </w:t>
      </w:r>
      <w:r>
        <w:t>Croatia</w:t>
      </w:r>
      <w:r>
        <w:rPr>
          <w:spacing w:val="1"/>
        </w:rPr>
        <w:t xml:space="preserve"> </w:t>
      </w:r>
      <w:r>
        <w:t>(DORH),</w:t>
      </w:r>
      <w:r>
        <w:rPr>
          <w:spacing w:val="1"/>
        </w:rPr>
        <w:t xml:space="preserve"> </w:t>
      </w:r>
      <w:r>
        <w:t>Tax</w:t>
      </w:r>
      <w:r>
        <w:rPr>
          <w:spacing w:val="1"/>
        </w:rPr>
        <w:t xml:space="preserve"> </w:t>
      </w:r>
      <w:r>
        <w:t>Administration,</w:t>
      </w:r>
      <w:r>
        <w:rPr>
          <w:spacing w:val="1"/>
        </w:rPr>
        <w:t xml:space="preserve"> </w:t>
      </w:r>
      <w:r>
        <w:t>Customs</w:t>
      </w:r>
      <w:r>
        <w:rPr>
          <w:spacing w:val="1"/>
        </w:rPr>
        <w:t xml:space="preserve"> </w:t>
      </w:r>
      <w:r>
        <w:t>Administration</w:t>
      </w:r>
      <w:r>
        <w:rPr>
          <w:spacing w:val="1"/>
        </w:rPr>
        <w:t xml:space="preserve"> </w:t>
      </w:r>
      <w:r>
        <w:t>and</w:t>
      </w:r>
      <w:r>
        <w:rPr>
          <w:spacing w:val="1"/>
        </w:rPr>
        <w:t xml:space="preserve"> </w:t>
      </w:r>
      <w:r>
        <w:t>other</w:t>
      </w:r>
      <w:r>
        <w:rPr>
          <w:spacing w:val="1"/>
        </w:rPr>
        <w:t xml:space="preserve"> </w:t>
      </w:r>
      <w:r>
        <w:t>state</w:t>
      </w:r>
      <w:r>
        <w:rPr>
          <w:spacing w:val="1"/>
        </w:rPr>
        <w:t xml:space="preserve"> </w:t>
      </w:r>
      <w:r>
        <w:t>bodies</w:t>
      </w:r>
      <w:r>
        <w:rPr>
          <w:spacing w:val="1"/>
        </w:rPr>
        <w:t xml:space="preserve"> </w:t>
      </w:r>
      <w:r>
        <w:t>and</w:t>
      </w:r>
      <w:r>
        <w:rPr>
          <w:spacing w:val="1"/>
        </w:rPr>
        <w:t xml:space="preserve"> </w:t>
      </w:r>
      <w:r>
        <w:t>institutions</w:t>
      </w:r>
      <w:r>
        <w:rPr>
          <w:spacing w:val="1"/>
        </w:rPr>
        <w:t xml:space="preserve"> </w:t>
      </w:r>
      <w:r>
        <w:t>(AFCOS</w:t>
      </w:r>
      <w:r>
        <w:rPr>
          <w:spacing w:val="-57"/>
        </w:rPr>
        <w:t xml:space="preserve"> </w:t>
      </w:r>
      <w:r>
        <w:t>network) and to intensify efforts in identifying channels and models of such action as well as</w:t>
      </w:r>
      <w:r>
        <w:rPr>
          <w:spacing w:val="1"/>
        </w:rPr>
        <w:t xml:space="preserve"> </w:t>
      </w:r>
      <w:r>
        <w:t>suppressing illegal cash flows through international institutional cooperation. The same can be</w:t>
      </w:r>
      <w:r>
        <w:rPr>
          <w:spacing w:val="-57"/>
        </w:rPr>
        <w:t xml:space="preserve"> </w:t>
      </w:r>
      <w:r>
        <w:t>done by strengthening the framework for combating money laundering and intensifying the</w:t>
      </w:r>
      <w:r>
        <w:rPr>
          <w:spacing w:val="1"/>
        </w:rPr>
        <w:t xml:space="preserve"> </w:t>
      </w:r>
      <w:r>
        <w:t>search for illicitly acquired property from all forms of crime, all with the aim of uncovering</w:t>
      </w:r>
      <w:r>
        <w:rPr>
          <w:spacing w:val="1"/>
        </w:rPr>
        <w:t xml:space="preserve"> </w:t>
      </w:r>
      <w:r>
        <w:t>predicate offences and proving the crime of money laundering, given that perpetrators of such</w:t>
      </w:r>
      <w:r>
        <w:rPr>
          <w:spacing w:val="-57"/>
        </w:rPr>
        <w:t xml:space="preserve"> </w:t>
      </w:r>
      <w:r>
        <w:t>offences, tend to invest illegally obtained financial resources in legal businesses to legalise</w:t>
      </w:r>
      <w:r>
        <w:rPr>
          <w:spacing w:val="1"/>
        </w:rPr>
        <w:t xml:space="preserve"> </w:t>
      </w:r>
      <w:r>
        <w:t>acquired</w:t>
      </w:r>
      <w:r>
        <w:rPr>
          <w:spacing w:val="1"/>
        </w:rPr>
        <w:t xml:space="preserve"> </w:t>
      </w:r>
      <w:r>
        <w:t>assets.</w:t>
      </w:r>
    </w:p>
    <w:p w:rsidR="00A56FE9" w:rsidRDefault="00000000">
      <w:pPr>
        <w:pStyle w:val="Tijeloteksta"/>
        <w:spacing w:before="121"/>
        <w:ind w:right="272"/>
      </w:pPr>
      <w:r>
        <w:t>In</w:t>
      </w:r>
      <w:r>
        <w:rPr>
          <w:spacing w:val="-1"/>
        </w:rPr>
        <w:t xml:space="preserve"> </w:t>
      </w:r>
      <w:r>
        <w:t>view</w:t>
      </w:r>
      <w:r>
        <w:rPr>
          <w:spacing w:val="-2"/>
        </w:rPr>
        <w:t xml:space="preserve"> </w:t>
      </w:r>
      <w:r>
        <w:t>of</w:t>
      </w:r>
      <w:r>
        <w:rPr>
          <w:spacing w:val="-2"/>
        </w:rPr>
        <w:t xml:space="preserve"> </w:t>
      </w:r>
      <w:r>
        <w:t>reducing</w:t>
      </w:r>
      <w:r>
        <w:rPr>
          <w:spacing w:val="-4"/>
        </w:rPr>
        <w:t xml:space="preserve"> </w:t>
      </w:r>
      <w:r>
        <w:t>corruption</w:t>
      </w:r>
      <w:r>
        <w:rPr>
          <w:spacing w:val="-1"/>
        </w:rPr>
        <w:t xml:space="preserve"> </w:t>
      </w:r>
      <w:r>
        <w:t>and</w:t>
      </w:r>
      <w:r>
        <w:rPr>
          <w:spacing w:val="-1"/>
        </w:rPr>
        <w:t xml:space="preserve"> </w:t>
      </w:r>
      <w:r>
        <w:t>all</w:t>
      </w:r>
      <w:r>
        <w:rPr>
          <w:spacing w:val="-1"/>
        </w:rPr>
        <w:t xml:space="preserve"> </w:t>
      </w:r>
      <w:r>
        <w:t>forms of</w:t>
      </w:r>
      <w:r>
        <w:rPr>
          <w:spacing w:val="-1"/>
        </w:rPr>
        <w:t xml:space="preserve"> </w:t>
      </w:r>
      <w:r>
        <w:t>bribery,</w:t>
      </w:r>
      <w:r>
        <w:rPr>
          <w:spacing w:val="1"/>
        </w:rPr>
        <w:t xml:space="preserve"> </w:t>
      </w:r>
      <w:r>
        <w:t>an</w:t>
      </w:r>
      <w:r>
        <w:rPr>
          <w:spacing w:val="-1"/>
        </w:rPr>
        <w:t xml:space="preserve"> </w:t>
      </w:r>
      <w:r>
        <w:t>important</w:t>
      </w:r>
      <w:r>
        <w:rPr>
          <w:spacing w:val="-1"/>
        </w:rPr>
        <w:t xml:space="preserve"> </w:t>
      </w:r>
      <w:r>
        <w:t>note</w:t>
      </w:r>
      <w:r>
        <w:rPr>
          <w:spacing w:val="-2"/>
        </w:rPr>
        <w:t xml:space="preserve"> </w:t>
      </w:r>
      <w:r>
        <w:t>is</w:t>
      </w:r>
      <w:r>
        <w:rPr>
          <w:spacing w:val="-3"/>
        </w:rPr>
        <w:t xml:space="preserve"> </w:t>
      </w:r>
      <w:r>
        <w:t>that</w:t>
      </w:r>
      <w:r>
        <w:rPr>
          <w:spacing w:val="-1"/>
        </w:rPr>
        <w:t xml:space="preserve"> </w:t>
      </w:r>
      <w:r>
        <w:t>in</w:t>
      </w:r>
      <w:r>
        <w:rPr>
          <w:spacing w:val="-3"/>
        </w:rPr>
        <w:t xml:space="preserve"> </w:t>
      </w:r>
      <w:r>
        <w:t>June</w:t>
      </w:r>
      <w:r>
        <w:rPr>
          <w:spacing w:val="-1"/>
        </w:rPr>
        <w:t xml:space="preserve"> </w:t>
      </w:r>
      <w:r>
        <w:t>2021,</w:t>
      </w:r>
      <w:r>
        <w:rPr>
          <w:spacing w:val="-58"/>
        </w:rPr>
        <w:t xml:space="preserve"> </w:t>
      </w:r>
      <w:r>
        <w:t>the General Police Directorate adopted the Plan for the Implementation of Anti-Corruption</w:t>
      </w:r>
      <w:r>
        <w:rPr>
          <w:spacing w:val="1"/>
        </w:rPr>
        <w:t xml:space="preserve"> </w:t>
      </w:r>
      <w:r>
        <w:t>Measures, and within the NRRP, the Ministry of the Interior (MI) will implement a project to</w:t>
      </w:r>
      <w:r>
        <w:rPr>
          <w:spacing w:val="1"/>
        </w:rPr>
        <w:t xml:space="preserve"> </w:t>
      </w:r>
      <w:r>
        <w:t>combat corruption and organised crime by strengthening four PNUSKOK centres, which will</w:t>
      </w:r>
      <w:r>
        <w:rPr>
          <w:spacing w:val="1"/>
        </w:rPr>
        <w:t xml:space="preserve"> </w:t>
      </w:r>
      <w:r>
        <w:rPr>
          <w:spacing w:val="-1"/>
        </w:rPr>
        <w:t>be</w:t>
      </w:r>
      <w:r>
        <w:rPr>
          <w:spacing w:val="-16"/>
        </w:rPr>
        <w:t xml:space="preserve"> </w:t>
      </w:r>
      <w:r>
        <w:rPr>
          <w:spacing w:val="-1"/>
        </w:rPr>
        <w:t>additionally</w:t>
      </w:r>
      <w:r>
        <w:rPr>
          <w:spacing w:val="-19"/>
        </w:rPr>
        <w:t xml:space="preserve"> </w:t>
      </w:r>
      <w:r>
        <w:t>capacitated,</w:t>
      </w:r>
      <w:r>
        <w:rPr>
          <w:spacing w:val="-14"/>
        </w:rPr>
        <w:t xml:space="preserve"> </w:t>
      </w:r>
      <w:r>
        <w:t>digitised</w:t>
      </w:r>
      <w:r>
        <w:rPr>
          <w:spacing w:val="-15"/>
        </w:rPr>
        <w:t xml:space="preserve"> </w:t>
      </w:r>
      <w:r>
        <w:t>and</w:t>
      </w:r>
      <w:r>
        <w:rPr>
          <w:spacing w:val="-14"/>
        </w:rPr>
        <w:t xml:space="preserve"> </w:t>
      </w:r>
      <w:r>
        <w:t>equipped</w:t>
      </w:r>
      <w:r>
        <w:rPr>
          <w:spacing w:val="-13"/>
        </w:rPr>
        <w:t xml:space="preserve"> </w:t>
      </w:r>
      <w:r>
        <w:t>with</w:t>
      </w:r>
      <w:r>
        <w:rPr>
          <w:spacing w:val="-14"/>
        </w:rPr>
        <w:t xml:space="preserve"> </w:t>
      </w:r>
      <w:r>
        <w:t>smart</w:t>
      </w:r>
      <w:r>
        <w:rPr>
          <w:spacing w:val="-13"/>
        </w:rPr>
        <w:t xml:space="preserve"> </w:t>
      </w:r>
      <w:r>
        <w:t>technology.</w:t>
      </w:r>
      <w:r>
        <w:rPr>
          <w:spacing w:val="-14"/>
        </w:rPr>
        <w:t xml:space="preserve"> </w:t>
      </w:r>
      <w:r>
        <w:t>To</w:t>
      </w:r>
      <w:r>
        <w:rPr>
          <w:spacing w:val="-14"/>
        </w:rPr>
        <w:t xml:space="preserve"> </w:t>
      </w:r>
      <w:r>
        <w:t>further</w:t>
      </w:r>
      <w:r>
        <w:rPr>
          <w:spacing w:val="-16"/>
        </w:rPr>
        <w:t xml:space="preserve"> </w:t>
      </w:r>
      <w:r>
        <w:t>strengthen</w:t>
      </w:r>
      <w:r>
        <w:rPr>
          <w:spacing w:val="-57"/>
        </w:rPr>
        <w:t xml:space="preserve"> </w:t>
      </w:r>
      <w:r>
        <w:t>cooperation</w:t>
      </w:r>
      <w:r>
        <w:rPr>
          <w:spacing w:val="29"/>
        </w:rPr>
        <w:t xml:space="preserve"> </w:t>
      </w:r>
      <w:r>
        <w:t>with</w:t>
      </w:r>
      <w:r>
        <w:rPr>
          <w:spacing w:val="30"/>
        </w:rPr>
        <w:t xml:space="preserve"> </w:t>
      </w:r>
      <w:r>
        <w:t>the</w:t>
      </w:r>
      <w:r>
        <w:rPr>
          <w:spacing w:val="29"/>
        </w:rPr>
        <w:t xml:space="preserve"> </w:t>
      </w:r>
      <w:r>
        <w:t>European</w:t>
      </w:r>
      <w:r>
        <w:rPr>
          <w:spacing w:val="29"/>
        </w:rPr>
        <w:t xml:space="preserve"> </w:t>
      </w:r>
      <w:r>
        <w:t>Public</w:t>
      </w:r>
      <w:r>
        <w:rPr>
          <w:spacing w:val="29"/>
        </w:rPr>
        <w:t xml:space="preserve"> </w:t>
      </w:r>
      <w:r>
        <w:t>Prosecutor's</w:t>
      </w:r>
      <w:r>
        <w:rPr>
          <w:spacing w:val="30"/>
        </w:rPr>
        <w:t xml:space="preserve"> </w:t>
      </w:r>
      <w:r>
        <w:t>Office</w:t>
      </w:r>
      <w:r>
        <w:rPr>
          <w:spacing w:val="30"/>
        </w:rPr>
        <w:t xml:space="preserve"> </w:t>
      </w:r>
      <w:r>
        <w:t>(EPPO),</w:t>
      </w:r>
      <w:r>
        <w:rPr>
          <w:spacing w:val="29"/>
        </w:rPr>
        <w:t xml:space="preserve"> </w:t>
      </w:r>
      <w:r>
        <w:t>the</w:t>
      </w:r>
      <w:r>
        <w:rPr>
          <w:spacing w:val="29"/>
        </w:rPr>
        <w:t xml:space="preserve"> </w:t>
      </w:r>
      <w:r>
        <w:t>Agreement</w:t>
      </w:r>
      <w:r>
        <w:rPr>
          <w:spacing w:val="30"/>
        </w:rPr>
        <w:t xml:space="preserve"> </w:t>
      </w:r>
      <w:r>
        <w:t>on</w:t>
      </w:r>
    </w:p>
    <w:p w:rsidR="00A56FE9" w:rsidRDefault="00A56FE9">
      <w:pPr>
        <w:sectPr w:rsidR="00A56FE9" w:rsidSect="00AB1E70">
          <w:pgSz w:w="11910" w:h="16840"/>
          <w:pgMar w:top="1320" w:right="1140" w:bottom="960" w:left="1280" w:header="0" w:footer="699" w:gutter="0"/>
          <w:cols w:space="720"/>
        </w:sectPr>
      </w:pPr>
    </w:p>
    <w:p w:rsidR="00A56FE9" w:rsidRDefault="00000000">
      <w:pPr>
        <w:pStyle w:val="Tijeloteksta"/>
        <w:spacing w:before="74"/>
        <w:ind w:right="270"/>
      </w:pPr>
      <w:r>
        <w:t>Cooperation</w:t>
      </w:r>
      <w:r>
        <w:rPr>
          <w:spacing w:val="-10"/>
        </w:rPr>
        <w:t xml:space="preserve"> </w:t>
      </w:r>
      <w:r>
        <w:t>and</w:t>
      </w:r>
      <w:r>
        <w:rPr>
          <w:spacing w:val="-9"/>
        </w:rPr>
        <w:t xml:space="preserve"> </w:t>
      </w:r>
      <w:r>
        <w:t>Access</w:t>
      </w:r>
      <w:r>
        <w:rPr>
          <w:spacing w:val="-9"/>
        </w:rPr>
        <w:t xml:space="preserve"> </w:t>
      </w:r>
      <w:r>
        <w:t>to</w:t>
      </w:r>
      <w:r>
        <w:rPr>
          <w:spacing w:val="-9"/>
        </w:rPr>
        <w:t xml:space="preserve"> </w:t>
      </w:r>
      <w:r>
        <w:t>Data</w:t>
      </w:r>
      <w:r>
        <w:rPr>
          <w:spacing w:val="-9"/>
        </w:rPr>
        <w:t xml:space="preserve"> </w:t>
      </w:r>
      <w:r>
        <w:t>Related</w:t>
      </w:r>
      <w:r>
        <w:rPr>
          <w:spacing w:val="-10"/>
        </w:rPr>
        <w:t xml:space="preserve"> </w:t>
      </w:r>
      <w:r>
        <w:t>to</w:t>
      </w:r>
      <w:r>
        <w:rPr>
          <w:spacing w:val="-8"/>
        </w:rPr>
        <w:t xml:space="preserve"> </w:t>
      </w:r>
      <w:r>
        <w:t>the</w:t>
      </w:r>
      <w:r>
        <w:rPr>
          <w:spacing w:val="-9"/>
        </w:rPr>
        <w:t xml:space="preserve"> </w:t>
      </w:r>
      <w:r>
        <w:t>Detection</w:t>
      </w:r>
      <w:r>
        <w:rPr>
          <w:spacing w:val="-10"/>
        </w:rPr>
        <w:t xml:space="preserve"> </w:t>
      </w:r>
      <w:r>
        <w:t>and</w:t>
      </w:r>
      <w:r>
        <w:rPr>
          <w:spacing w:val="-9"/>
        </w:rPr>
        <w:t xml:space="preserve"> </w:t>
      </w:r>
      <w:r>
        <w:t>Prosecution</w:t>
      </w:r>
      <w:r>
        <w:rPr>
          <w:spacing w:val="-9"/>
        </w:rPr>
        <w:t xml:space="preserve"> </w:t>
      </w:r>
      <w:r>
        <w:t>of</w:t>
      </w:r>
      <w:r>
        <w:rPr>
          <w:spacing w:val="-8"/>
        </w:rPr>
        <w:t xml:space="preserve"> </w:t>
      </w:r>
      <w:r>
        <w:t>Criminal</w:t>
      </w:r>
      <w:r>
        <w:rPr>
          <w:spacing w:val="-8"/>
        </w:rPr>
        <w:t xml:space="preserve"> </w:t>
      </w:r>
      <w:r>
        <w:t>Offenses</w:t>
      </w:r>
      <w:r>
        <w:rPr>
          <w:spacing w:val="-58"/>
        </w:rPr>
        <w:t xml:space="preserve"> </w:t>
      </w:r>
      <w:r>
        <w:t>between the European Public Prosecutor's Office and the Ministry of the Interior is currently</w:t>
      </w:r>
      <w:r>
        <w:rPr>
          <w:spacing w:val="1"/>
        </w:rPr>
        <w:t xml:space="preserve"> </w:t>
      </w:r>
      <w:r>
        <w:t>undergoing</w:t>
      </w:r>
      <w:r>
        <w:rPr>
          <w:spacing w:val="-2"/>
        </w:rPr>
        <w:t xml:space="preserve"> </w:t>
      </w:r>
      <w:r>
        <w:t>harmonisation.</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701504"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5977238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DC728" id="Rectangle 21" o:spid="_x0000_s1026" style="position:absolute;margin-left:69.5pt;margin-top:9.8pt;width:45.25pt;height:1.45pt;z-index:-15614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t>In endeavouring to create a coherent and efficient state information system and provide high</w:t>
      </w:r>
      <w:r>
        <w:rPr>
          <w:spacing w:val="1"/>
        </w:rPr>
        <w:t xml:space="preserve"> </w:t>
      </w:r>
      <w:r>
        <w:t>quality and economical electronic services at the national and European level, a new national</w:t>
      </w:r>
      <w:r>
        <w:rPr>
          <w:spacing w:val="1"/>
        </w:rPr>
        <w:t xml:space="preserve"> </w:t>
      </w:r>
      <w:r>
        <w:t>strategic</w:t>
      </w:r>
      <w:r>
        <w:rPr>
          <w:spacing w:val="-4"/>
        </w:rPr>
        <w:t xml:space="preserve"> </w:t>
      </w:r>
      <w:r>
        <w:t>framework</w:t>
      </w:r>
      <w:r>
        <w:rPr>
          <w:spacing w:val="-4"/>
        </w:rPr>
        <w:t xml:space="preserve"> </w:t>
      </w:r>
      <w:r>
        <w:t>for</w:t>
      </w:r>
      <w:r>
        <w:rPr>
          <w:spacing w:val="-5"/>
        </w:rPr>
        <w:t xml:space="preserve"> </w:t>
      </w:r>
      <w:r>
        <w:t>a</w:t>
      </w:r>
      <w:r>
        <w:rPr>
          <w:spacing w:val="-2"/>
        </w:rPr>
        <w:t xml:space="preserve"> </w:t>
      </w:r>
      <w:r>
        <w:t>priority</w:t>
      </w:r>
      <w:r>
        <w:rPr>
          <w:spacing w:val="-11"/>
        </w:rPr>
        <w:t xml:space="preserve"> </w:t>
      </w:r>
      <w:r>
        <w:t>area</w:t>
      </w:r>
      <w:r>
        <w:rPr>
          <w:spacing w:val="-5"/>
        </w:rPr>
        <w:t xml:space="preserve"> </w:t>
      </w:r>
      <w:r>
        <w:t>of</w:t>
      </w:r>
      <w:r>
        <w:rPr>
          <w:spacing w:val="-5"/>
        </w:rPr>
        <w:t xml:space="preserve"> </w:t>
      </w:r>
      <w:r>
        <w:t>public</w:t>
      </w:r>
      <w:r>
        <w:rPr>
          <w:spacing w:val="-5"/>
        </w:rPr>
        <w:t xml:space="preserve"> </w:t>
      </w:r>
      <w:r>
        <w:t>policy,</w:t>
      </w:r>
      <w:r>
        <w:rPr>
          <w:spacing w:val="-2"/>
        </w:rPr>
        <w:t xml:space="preserve"> </w:t>
      </w:r>
      <w:r>
        <w:t>i.e.,</w:t>
      </w:r>
      <w:r>
        <w:rPr>
          <w:spacing w:val="-4"/>
        </w:rPr>
        <w:t xml:space="preserve"> </w:t>
      </w:r>
      <w:r>
        <w:t>the</w:t>
      </w:r>
      <w:r>
        <w:rPr>
          <w:spacing w:val="-4"/>
        </w:rPr>
        <w:t xml:space="preserve"> </w:t>
      </w:r>
      <w:r>
        <w:t>digital</w:t>
      </w:r>
      <w:r>
        <w:rPr>
          <w:spacing w:val="-4"/>
        </w:rPr>
        <w:t xml:space="preserve"> </w:t>
      </w:r>
      <w:r>
        <w:t>transition</w:t>
      </w:r>
      <w:r>
        <w:rPr>
          <w:spacing w:val="-2"/>
        </w:rPr>
        <w:t xml:space="preserve"> </w:t>
      </w:r>
      <w:r>
        <w:t>of</w:t>
      </w:r>
      <w:r>
        <w:rPr>
          <w:spacing w:val="-5"/>
        </w:rPr>
        <w:t xml:space="preserve"> </w:t>
      </w:r>
      <w:r>
        <w:t>society</w:t>
      </w:r>
      <w:r>
        <w:rPr>
          <w:spacing w:val="-11"/>
        </w:rPr>
        <w:t xml:space="preserve"> </w:t>
      </w:r>
      <w:r>
        <w:t>and</w:t>
      </w:r>
      <w:r>
        <w:rPr>
          <w:spacing w:val="-58"/>
        </w:rPr>
        <w:t xml:space="preserve"> </w:t>
      </w:r>
      <w:r>
        <w:t>economy in Croatia, will be developed. By the end of 2022, the plan is to adopt the Digital</w:t>
      </w:r>
      <w:r>
        <w:rPr>
          <w:spacing w:val="1"/>
        </w:rPr>
        <w:t xml:space="preserve"> </w:t>
      </w:r>
      <w:r>
        <w:t>Croatia Strategy for the period until 2030 and harmonise with the European digital strategy</w:t>
      </w:r>
      <w:r>
        <w:rPr>
          <w:spacing w:val="1"/>
        </w:rPr>
        <w:t xml:space="preserve"> </w:t>
      </w:r>
      <w:r>
        <w:t>(Shaping</w:t>
      </w:r>
      <w:r>
        <w:rPr>
          <w:spacing w:val="-3"/>
        </w:rPr>
        <w:t xml:space="preserve"> </w:t>
      </w:r>
      <w:r>
        <w:t>Europe's Digital Future).</w:t>
      </w:r>
    </w:p>
    <w:p w:rsidR="00A56FE9" w:rsidRDefault="00000000">
      <w:pPr>
        <w:pStyle w:val="Tijeloteksta"/>
        <w:spacing w:before="120"/>
        <w:ind w:right="273"/>
      </w:pPr>
      <w:r>
        <w:t>In</w:t>
      </w:r>
      <w:r>
        <w:rPr>
          <w:spacing w:val="1"/>
        </w:rPr>
        <w:t xml:space="preserve"> </w:t>
      </w:r>
      <w:r>
        <w:t>terms of</w:t>
      </w:r>
      <w:r>
        <w:rPr>
          <w:spacing w:val="1"/>
        </w:rPr>
        <w:t xml:space="preserve"> </w:t>
      </w:r>
      <w:r>
        <w:t>the project</w:t>
      </w:r>
      <w:r>
        <w:rPr>
          <w:spacing w:val="1"/>
        </w:rPr>
        <w:t xml:space="preserve"> </w:t>
      </w:r>
      <w:r>
        <w:t>Establishment of a</w:t>
      </w:r>
      <w:r>
        <w:rPr>
          <w:spacing w:val="1"/>
        </w:rPr>
        <w:t xml:space="preserve"> </w:t>
      </w:r>
      <w:r>
        <w:t>Coordination Mechanism to Ensure Coherent</w:t>
      </w:r>
      <w:r>
        <w:rPr>
          <w:spacing w:val="1"/>
        </w:rPr>
        <w:t xml:space="preserve"> </w:t>
      </w:r>
      <w:r>
        <w:t>Development of e-Government, funded by the Technical Support Instrument (TSI), the plan is</w:t>
      </w:r>
      <w:r>
        <w:rPr>
          <w:spacing w:val="-57"/>
        </w:rPr>
        <w:t xml:space="preserve"> </w:t>
      </w:r>
      <w:r>
        <w:t>to revise the existing management and coordination system in the digitalisation of public</w:t>
      </w:r>
      <w:r>
        <w:rPr>
          <w:spacing w:val="1"/>
        </w:rPr>
        <w:t xml:space="preserve"> </w:t>
      </w:r>
      <w:r>
        <w:t>administration, drafting recommendations for its improvement, drafting guidelines for inter-</w:t>
      </w:r>
      <w:r>
        <w:rPr>
          <w:spacing w:val="1"/>
        </w:rPr>
        <w:t xml:space="preserve"> </w:t>
      </w:r>
      <w:r>
        <w:t>institutional collaboration and coordination, as well as guidelines and recommendations for</w:t>
      </w:r>
      <w:r>
        <w:rPr>
          <w:spacing w:val="1"/>
        </w:rPr>
        <w:t xml:space="preserve"> </w:t>
      </w:r>
      <w:r>
        <w:t>monitoring,</w:t>
      </w:r>
      <w:r>
        <w:rPr>
          <w:spacing w:val="1"/>
        </w:rPr>
        <w:t xml:space="preserve"> </w:t>
      </w:r>
      <w:r>
        <w:t>reporting</w:t>
      </w:r>
      <w:r>
        <w:rPr>
          <w:spacing w:val="1"/>
        </w:rPr>
        <w:t xml:space="preserve"> </w:t>
      </w:r>
      <w:r>
        <w:t>and</w:t>
      </w:r>
      <w:r>
        <w:rPr>
          <w:spacing w:val="1"/>
        </w:rPr>
        <w:t xml:space="preserve"> </w:t>
      </w:r>
      <w:r>
        <w:t>evaluating</w:t>
      </w:r>
      <w:r>
        <w:rPr>
          <w:spacing w:val="1"/>
        </w:rPr>
        <w:t xml:space="preserve"> </w:t>
      </w:r>
      <w:r>
        <w:t>investments</w:t>
      </w:r>
      <w:r>
        <w:rPr>
          <w:spacing w:val="1"/>
        </w:rPr>
        <w:t xml:space="preserve"> </w:t>
      </w:r>
      <w:r>
        <w:t>and</w:t>
      </w:r>
      <w:r>
        <w:rPr>
          <w:spacing w:val="1"/>
        </w:rPr>
        <w:t xml:space="preserve"> </w:t>
      </w:r>
      <w:r>
        <w:t>digitisation</w:t>
      </w:r>
      <w:r>
        <w:rPr>
          <w:spacing w:val="1"/>
        </w:rPr>
        <w:t xml:space="preserve"> </w:t>
      </w:r>
      <w:r>
        <w:t>projects</w:t>
      </w:r>
      <w:r>
        <w:rPr>
          <w:spacing w:val="1"/>
        </w:rPr>
        <w:t xml:space="preserve"> </w:t>
      </w:r>
      <w:r>
        <w:t>in</w:t>
      </w:r>
      <w:r>
        <w:rPr>
          <w:spacing w:val="1"/>
        </w:rPr>
        <w:t xml:space="preserve"> </w:t>
      </w:r>
      <w:r>
        <w:t>public</w:t>
      </w:r>
      <w:r>
        <w:rPr>
          <w:spacing w:val="-57"/>
        </w:rPr>
        <w:t xml:space="preserve"> </w:t>
      </w:r>
      <w:r>
        <w:t>administration. This project will contribute to strengthening inter-institutional cooperation and</w:t>
      </w:r>
      <w:r>
        <w:rPr>
          <w:spacing w:val="-57"/>
        </w:rPr>
        <w:t xml:space="preserve"> </w:t>
      </w:r>
      <w:r>
        <w:rPr>
          <w:spacing w:val="-1"/>
        </w:rPr>
        <w:t>coordination</w:t>
      </w:r>
      <w:r>
        <w:rPr>
          <w:spacing w:val="-12"/>
        </w:rPr>
        <w:t xml:space="preserve"> </w:t>
      </w:r>
      <w:r>
        <w:t>for</w:t>
      </w:r>
      <w:r>
        <w:rPr>
          <w:spacing w:val="-13"/>
        </w:rPr>
        <w:t xml:space="preserve"> </w:t>
      </w:r>
      <w:r>
        <w:t>the</w:t>
      </w:r>
      <w:r>
        <w:rPr>
          <w:spacing w:val="-11"/>
        </w:rPr>
        <w:t xml:space="preserve"> </w:t>
      </w:r>
      <w:r>
        <w:t>successful</w:t>
      </w:r>
      <w:r>
        <w:rPr>
          <w:spacing w:val="-12"/>
        </w:rPr>
        <w:t xml:space="preserve"> </w:t>
      </w:r>
      <w:r>
        <w:t>digital</w:t>
      </w:r>
      <w:r>
        <w:rPr>
          <w:spacing w:val="-11"/>
        </w:rPr>
        <w:t xml:space="preserve"> </w:t>
      </w:r>
      <w:r>
        <w:t>transition</w:t>
      </w:r>
      <w:r>
        <w:rPr>
          <w:spacing w:val="-12"/>
        </w:rPr>
        <w:t xml:space="preserve"> </w:t>
      </w:r>
      <w:r>
        <w:t>of</w:t>
      </w:r>
      <w:r>
        <w:rPr>
          <w:spacing w:val="-11"/>
        </w:rPr>
        <w:t xml:space="preserve"> </w:t>
      </w:r>
      <w:r>
        <w:t>society</w:t>
      </w:r>
      <w:r>
        <w:rPr>
          <w:spacing w:val="-15"/>
        </w:rPr>
        <w:t xml:space="preserve"> </w:t>
      </w:r>
      <w:r>
        <w:t>and</w:t>
      </w:r>
      <w:r>
        <w:rPr>
          <w:spacing w:val="-10"/>
        </w:rPr>
        <w:t xml:space="preserve"> </w:t>
      </w:r>
      <w:r>
        <w:t>the</w:t>
      </w:r>
      <w:r>
        <w:rPr>
          <w:spacing w:val="-10"/>
        </w:rPr>
        <w:t xml:space="preserve"> </w:t>
      </w:r>
      <w:r>
        <w:t>economy.</w:t>
      </w:r>
      <w:r>
        <w:rPr>
          <w:spacing w:val="-10"/>
        </w:rPr>
        <w:t xml:space="preserve"> </w:t>
      </w:r>
      <w:r>
        <w:t>The</w:t>
      </w:r>
      <w:r>
        <w:rPr>
          <w:spacing w:val="-14"/>
        </w:rPr>
        <w:t xml:space="preserve"> </w:t>
      </w:r>
      <w:r>
        <w:t>project</w:t>
      </w:r>
      <w:r>
        <w:rPr>
          <w:spacing w:val="-10"/>
        </w:rPr>
        <w:t xml:space="preserve"> </w:t>
      </w:r>
      <w:r>
        <w:t>should</w:t>
      </w:r>
      <w:r>
        <w:rPr>
          <w:spacing w:val="-57"/>
        </w:rPr>
        <w:t xml:space="preserve"> </w:t>
      </w:r>
      <w:r>
        <w:t>be</w:t>
      </w:r>
      <w:r>
        <w:rPr>
          <w:spacing w:val="-1"/>
        </w:rPr>
        <w:t xml:space="preserve"> </w:t>
      </w:r>
      <w:r>
        <w:t>completed</w:t>
      </w:r>
      <w:r>
        <w:rPr>
          <w:spacing w:val="-2"/>
        </w:rPr>
        <w:t xml:space="preserve"> </w:t>
      </w:r>
      <w:r>
        <w:t>in April 2023.</w:t>
      </w:r>
    </w:p>
    <w:p w:rsidR="00A56FE9" w:rsidRDefault="00000000">
      <w:pPr>
        <w:pStyle w:val="Tijeloteksta"/>
        <w:spacing w:before="121"/>
        <w:ind w:right="272"/>
      </w:pPr>
      <w:r>
        <w:t>The Central State Office for Development of the Digital Society (CSODDS/SDURDD) is in</w:t>
      </w:r>
      <w:r>
        <w:rPr>
          <w:spacing w:val="1"/>
        </w:rPr>
        <w:t xml:space="preserve"> </w:t>
      </w:r>
      <w:r>
        <w:t>charge</w:t>
      </w:r>
      <w:r>
        <w:rPr>
          <w:spacing w:val="-3"/>
        </w:rPr>
        <w:t xml:space="preserve"> </w:t>
      </w:r>
      <w:r>
        <w:t>of</w:t>
      </w:r>
      <w:r>
        <w:rPr>
          <w:spacing w:val="-5"/>
        </w:rPr>
        <w:t xml:space="preserve"> </w:t>
      </w:r>
      <w:r>
        <w:t>managing</w:t>
      </w:r>
      <w:r>
        <w:rPr>
          <w:spacing w:val="-6"/>
        </w:rPr>
        <w:t xml:space="preserve"> </w:t>
      </w:r>
      <w:r>
        <w:t>three</w:t>
      </w:r>
      <w:r>
        <w:rPr>
          <w:spacing w:val="-3"/>
        </w:rPr>
        <w:t xml:space="preserve"> </w:t>
      </w:r>
      <w:r>
        <w:t>portals for</w:t>
      </w:r>
      <w:r>
        <w:rPr>
          <w:spacing w:val="-5"/>
        </w:rPr>
        <w:t xml:space="preserve"> </w:t>
      </w:r>
      <w:r>
        <w:t>better</w:t>
      </w:r>
      <w:r>
        <w:rPr>
          <w:spacing w:val="-1"/>
        </w:rPr>
        <w:t xml:space="preserve"> </w:t>
      </w:r>
      <w:r>
        <w:t>exercising</w:t>
      </w:r>
      <w:r>
        <w:rPr>
          <w:spacing w:val="-5"/>
        </w:rPr>
        <w:t xml:space="preserve"> </w:t>
      </w:r>
      <w:r>
        <w:t>the right</w:t>
      </w:r>
      <w:r>
        <w:rPr>
          <w:spacing w:val="-3"/>
        </w:rPr>
        <w:t xml:space="preserve"> </w:t>
      </w:r>
      <w:r>
        <w:t>of</w:t>
      </w:r>
      <w:r>
        <w:rPr>
          <w:spacing w:val="-4"/>
        </w:rPr>
        <w:t xml:space="preserve"> </w:t>
      </w:r>
      <w:r>
        <w:t>access</w:t>
      </w:r>
      <w:r>
        <w:rPr>
          <w:spacing w:val="-3"/>
        </w:rPr>
        <w:t xml:space="preserve"> </w:t>
      </w:r>
      <w:r>
        <w:t>to</w:t>
      </w:r>
      <w:r>
        <w:rPr>
          <w:spacing w:val="-1"/>
        </w:rPr>
        <w:t xml:space="preserve"> </w:t>
      </w:r>
      <w:r>
        <w:t>information,</w:t>
      </w:r>
      <w:r>
        <w:rPr>
          <w:spacing w:val="-2"/>
        </w:rPr>
        <w:t xml:space="preserve"> </w:t>
      </w:r>
      <w:r>
        <w:t>which</w:t>
      </w:r>
      <w:r>
        <w:rPr>
          <w:spacing w:val="-58"/>
        </w:rPr>
        <w:t xml:space="preserve"> </w:t>
      </w:r>
      <w:r>
        <w:t>also</w:t>
      </w:r>
      <w:r>
        <w:rPr>
          <w:spacing w:val="1"/>
        </w:rPr>
        <w:t xml:space="preserve"> </w:t>
      </w:r>
      <w:r>
        <w:t>create</w:t>
      </w:r>
      <w:r>
        <w:rPr>
          <w:spacing w:val="1"/>
        </w:rPr>
        <w:t xml:space="preserve"> </w:t>
      </w:r>
      <w:r>
        <w:t>conditions</w:t>
      </w:r>
      <w:r>
        <w:rPr>
          <w:spacing w:val="1"/>
        </w:rPr>
        <w:t xml:space="preserve"> </w:t>
      </w:r>
      <w:r>
        <w:t>for</w:t>
      </w:r>
      <w:r>
        <w:rPr>
          <w:spacing w:val="1"/>
        </w:rPr>
        <w:t xml:space="preserve"> </w:t>
      </w:r>
      <w:r>
        <w:t>the</w:t>
      </w:r>
      <w:r>
        <w:rPr>
          <w:spacing w:val="1"/>
        </w:rPr>
        <w:t xml:space="preserve"> </w:t>
      </w:r>
      <w:r>
        <w:t>development</w:t>
      </w:r>
      <w:r>
        <w:rPr>
          <w:spacing w:val="1"/>
        </w:rPr>
        <w:t xml:space="preserve"> </w:t>
      </w:r>
      <w:r>
        <w:t>of</w:t>
      </w:r>
      <w:r>
        <w:rPr>
          <w:spacing w:val="1"/>
        </w:rPr>
        <w:t xml:space="preserve"> </w:t>
      </w:r>
      <w:r>
        <w:t>effective,</w:t>
      </w:r>
      <w:r>
        <w:rPr>
          <w:spacing w:val="1"/>
        </w:rPr>
        <w:t xml:space="preserve"> </w:t>
      </w:r>
      <w:r>
        <w:t>accountable</w:t>
      </w:r>
      <w:r>
        <w:rPr>
          <w:spacing w:val="1"/>
        </w:rPr>
        <w:t xml:space="preserve"> </w:t>
      </w:r>
      <w:r>
        <w:t>and</w:t>
      </w:r>
      <w:r>
        <w:rPr>
          <w:spacing w:val="1"/>
        </w:rPr>
        <w:t xml:space="preserve"> </w:t>
      </w:r>
      <w:r>
        <w:t>transparent</w:t>
      </w:r>
      <w:r>
        <w:rPr>
          <w:spacing w:val="1"/>
        </w:rPr>
        <w:t xml:space="preserve"> </w:t>
      </w:r>
      <w:r>
        <w:t>administration - the Central Catalogue of Official Documentation of the Republic of Croatia,</w:t>
      </w:r>
      <w:r>
        <w:rPr>
          <w:spacing w:val="1"/>
        </w:rPr>
        <w:t xml:space="preserve"> </w:t>
      </w:r>
      <w:r>
        <w:t>Open</w:t>
      </w:r>
      <w:r>
        <w:rPr>
          <w:spacing w:val="-1"/>
        </w:rPr>
        <w:t xml:space="preserve"> </w:t>
      </w:r>
      <w:r>
        <w:t>Data Portal and e-Consultation</w:t>
      </w:r>
      <w:r>
        <w:rPr>
          <w:spacing w:val="1"/>
        </w:rPr>
        <w:t xml:space="preserve"> </w:t>
      </w:r>
      <w:r>
        <w:t>Portal.</w:t>
      </w:r>
    </w:p>
    <w:p w:rsidR="00A56FE9" w:rsidRDefault="00000000">
      <w:pPr>
        <w:pStyle w:val="Tijeloteksta"/>
        <w:spacing w:before="121"/>
        <w:ind w:right="272"/>
      </w:pPr>
      <w:r>
        <w:t>The</w:t>
      </w:r>
      <w:r>
        <w:rPr>
          <w:spacing w:val="-5"/>
        </w:rPr>
        <w:t xml:space="preserve"> </w:t>
      </w:r>
      <w:r>
        <w:t>Central</w:t>
      </w:r>
      <w:r>
        <w:rPr>
          <w:spacing w:val="-3"/>
        </w:rPr>
        <w:t xml:space="preserve"> </w:t>
      </w:r>
      <w:r>
        <w:t>State</w:t>
      </w:r>
      <w:r>
        <w:rPr>
          <w:spacing w:val="-5"/>
        </w:rPr>
        <w:t xml:space="preserve"> </w:t>
      </w:r>
      <w:r>
        <w:t>Office</w:t>
      </w:r>
      <w:r>
        <w:rPr>
          <w:spacing w:val="-4"/>
        </w:rPr>
        <w:t xml:space="preserve"> </w:t>
      </w:r>
      <w:r>
        <w:t>for</w:t>
      </w:r>
      <w:r>
        <w:rPr>
          <w:spacing w:val="-5"/>
        </w:rPr>
        <w:t xml:space="preserve"> </w:t>
      </w:r>
      <w:r>
        <w:t>Development</w:t>
      </w:r>
      <w:r>
        <w:rPr>
          <w:spacing w:val="-3"/>
        </w:rPr>
        <w:t xml:space="preserve"> </w:t>
      </w:r>
      <w:r>
        <w:t>of</w:t>
      </w:r>
      <w:r>
        <w:rPr>
          <w:spacing w:val="-4"/>
        </w:rPr>
        <w:t xml:space="preserve"> </w:t>
      </w:r>
      <w:r>
        <w:t>the</w:t>
      </w:r>
      <w:r>
        <w:rPr>
          <w:spacing w:val="-1"/>
        </w:rPr>
        <w:t xml:space="preserve"> </w:t>
      </w:r>
      <w:r>
        <w:t>Digital</w:t>
      </w:r>
      <w:r>
        <w:rPr>
          <w:spacing w:val="-3"/>
        </w:rPr>
        <w:t xml:space="preserve"> </w:t>
      </w:r>
      <w:r>
        <w:t>Society</w:t>
      </w:r>
      <w:r>
        <w:rPr>
          <w:spacing w:val="-7"/>
        </w:rPr>
        <w:t xml:space="preserve"> </w:t>
      </w:r>
      <w:r>
        <w:t>of</w:t>
      </w:r>
      <w:r>
        <w:rPr>
          <w:spacing w:val="-5"/>
        </w:rPr>
        <w:t xml:space="preserve"> </w:t>
      </w:r>
      <w:r>
        <w:t>the</w:t>
      </w:r>
      <w:r>
        <w:rPr>
          <w:spacing w:val="-4"/>
        </w:rPr>
        <w:t xml:space="preserve"> </w:t>
      </w:r>
      <w:r>
        <w:t>Republic</w:t>
      </w:r>
      <w:r>
        <w:rPr>
          <w:spacing w:val="-4"/>
        </w:rPr>
        <w:t xml:space="preserve"> </w:t>
      </w:r>
      <w:r>
        <w:t>of</w:t>
      </w:r>
      <w:r>
        <w:rPr>
          <w:spacing w:val="-5"/>
        </w:rPr>
        <w:t xml:space="preserve"> </w:t>
      </w:r>
      <w:r>
        <w:t>Croatia</w:t>
      </w:r>
      <w:r>
        <w:rPr>
          <w:spacing w:val="-5"/>
        </w:rPr>
        <w:t xml:space="preserve"> </w:t>
      </w:r>
      <w:r>
        <w:t>is</w:t>
      </w:r>
      <w:r>
        <w:rPr>
          <w:spacing w:val="-2"/>
        </w:rPr>
        <w:t xml:space="preserve"> </w:t>
      </w:r>
      <w:r>
        <w:t>a</w:t>
      </w:r>
      <w:r>
        <w:rPr>
          <w:spacing w:val="-58"/>
        </w:rPr>
        <w:t xml:space="preserve"> </w:t>
      </w:r>
      <w:r>
        <w:t>central</w:t>
      </w:r>
      <w:r>
        <w:rPr>
          <w:spacing w:val="1"/>
        </w:rPr>
        <w:t xml:space="preserve"> </w:t>
      </w:r>
      <w:r>
        <w:t>place</w:t>
      </w:r>
      <w:r>
        <w:rPr>
          <w:spacing w:val="1"/>
        </w:rPr>
        <w:t xml:space="preserve"> </w:t>
      </w:r>
      <w:r>
        <w:t>that</w:t>
      </w:r>
      <w:r>
        <w:rPr>
          <w:spacing w:val="1"/>
        </w:rPr>
        <w:t xml:space="preserve"> </w:t>
      </w:r>
      <w:r>
        <w:t>provides</w:t>
      </w:r>
      <w:r>
        <w:rPr>
          <w:spacing w:val="1"/>
        </w:rPr>
        <w:t xml:space="preserve"> </w:t>
      </w:r>
      <w:r>
        <w:t>permanent,</w:t>
      </w:r>
      <w:r>
        <w:rPr>
          <w:spacing w:val="1"/>
        </w:rPr>
        <w:t xml:space="preserve"> </w:t>
      </w:r>
      <w:r>
        <w:t>free</w:t>
      </w:r>
      <w:r>
        <w:rPr>
          <w:spacing w:val="1"/>
        </w:rPr>
        <w:t xml:space="preserve"> </w:t>
      </w:r>
      <w:r>
        <w:t>of</w:t>
      </w:r>
      <w:r>
        <w:rPr>
          <w:spacing w:val="1"/>
        </w:rPr>
        <w:t xml:space="preserve"> </w:t>
      </w:r>
      <w:r>
        <w:t>charge</w:t>
      </w:r>
      <w:r>
        <w:rPr>
          <w:spacing w:val="1"/>
        </w:rPr>
        <w:t xml:space="preserve"> </w:t>
      </w:r>
      <w:r>
        <w:t>and</w:t>
      </w:r>
      <w:r>
        <w:rPr>
          <w:spacing w:val="1"/>
        </w:rPr>
        <w:t xml:space="preserve"> </w:t>
      </w:r>
      <w:r>
        <w:t>unhindered</w:t>
      </w:r>
      <w:r>
        <w:rPr>
          <w:spacing w:val="1"/>
        </w:rPr>
        <w:t xml:space="preserve"> </w:t>
      </w:r>
      <w:r>
        <w:t>access</w:t>
      </w:r>
      <w:r>
        <w:rPr>
          <w:spacing w:val="1"/>
        </w:rPr>
        <w:t xml:space="preserve"> </w:t>
      </w:r>
      <w:r>
        <w:t>to</w:t>
      </w:r>
      <w:r>
        <w:rPr>
          <w:spacing w:val="1"/>
        </w:rPr>
        <w:t xml:space="preserve"> </w:t>
      </w:r>
      <w:r>
        <w:t>official</w:t>
      </w:r>
      <w:r>
        <w:rPr>
          <w:spacing w:val="1"/>
        </w:rPr>
        <w:t xml:space="preserve"> </w:t>
      </w:r>
      <w:r>
        <w:t>documents from one place for all users and is one of the ways to exercise the right of access to</w:t>
      </w:r>
      <w:r>
        <w:rPr>
          <w:spacing w:val="-57"/>
        </w:rPr>
        <w:t xml:space="preserve"> </w:t>
      </w:r>
      <w:r>
        <w:t>information. For the purpose of improving the Central Catalogue, the implementation of the</w:t>
      </w:r>
      <w:r>
        <w:rPr>
          <w:spacing w:val="1"/>
        </w:rPr>
        <w:t xml:space="preserve"> </w:t>
      </w:r>
      <w:r>
        <w:t>project Establishment of an Integrated System for the Management of Official Documentation</w:t>
      </w:r>
      <w:r>
        <w:rPr>
          <w:spacing w:val="-57"/>
        </w:rPr>
        <w:t xml:space="preserve"> </w:t>
      </w:r>
      <w:r>
        <w:t>of the Republic of Croatia is underway. The project ensures better management of official</w:t>
      </w:r>
      <w:r>
        <w:rPr>
          <w:spacing w:val="1"/>
        </w:rPr>
        <w:t xml:space="preserve"> </w:t>
      </w:r>
      <w:r>
        <w:t>documentation,</w:t>
      </w:r>
      <w:r>
        <w:rPr>
          <w:spacing w:val="1"/>
        </w:rPr>
        <w:t xml:space="preserve"> </w:t>
      </w:r>
      <w:r>
        <w:t>a</w:t>
      </w:r>
      <w:r>
        <w:rPr>
          <w:spacing w:val="1"/>
        </w:rPr>
        <w:t xml:space="preserve"> </w:t>
      </w:r>
      <w:r>
        <w:t>higher</w:t>
      </w:r>
      <w:r>
        <w:rPr>
          <w:spacing w:val="1"/>
        </w:rPr>
        <w:t xml:space="preserve"> </w:t>
      </w:r>
      <w:r>
        <w:t>level</w:t>
      </w:r>
      <w:r>
        <w:rPr>
          <w:spacing w:val="1"/>
        </w:rPr>
        <w:t xml:space="preserve"> </w:t>
      </w:r>
      <w:r>
        <w:t>of</w:t>
      </w:r>
      <w:r>
        <w:rPr>
          <w:spacing w:val="1"/>
        </w:rPr>
        <w:t xml:space="preserve"> </w:t>
      </w:r>
      <w:r>
        <w:t>openness,</w:t>
      </w:r>
      <w:r>
        <w:rPr>
          <w:spacing w:val="1"/>
        </w:rPr>
        <w:t xml:space="preserve"> </w:t>
      </w:r>
      <w:r>
        <w:t>transparency</w:t>
      </w:r>
      <w:r>
        <w:rPr>
          <w:spacing w:val="1"/>
        </w:rPr>
        <w:t xml:space="preserve"> </w:t>
      </w:r>
      <w:r>
        <w:t>and</w:t>
      </w:r>
      <w:r>
        <w:rPr>
          <w:spacing w:val="1"/>
        </w:rPr>
        <w:t xml:space="preserve"> </w:t>
      </w:r>
      <w:r>
        <w:t>availability</w:t>
      </w:r>
      <w:r>
        <w:rPr>
          <w:spacing w:val="1"/>
        </w:rPr>
        <w:t xml:space="preserve"> </w:t>
      </w:r>
      <w:r>
        <w:t>of</w:t>
      </w:r>
      <w:r>
        <w:rPr>
          <w:spacing w:val="1"/>
        </w:rPr>
        <w:t xml:space="preserve"> </w:t>
      </w:r>
      <w:r>
        <w:t>official</w:t>
      </w:r>
      <w:r>
        <w:rPr>
          <w:spacing w:val="1"/>
        </w:rPr>
        <w:t xml:space="preserve"> </w:t>
      </w:r>
      <w:r>
        <w:t>documentation</w:t>
      </w:r>
      <w:r>
        <w:rPr>
          <w:spacing w:val="1"/>
        </w:rPr>
        <w:t xml:space="preserve"> </w:t>
      </w:r>
      <w:r>
        <w:t>and</w:t>
      </w:r>
      <w:r>
        <w:rPr>
          <w:spacing w:val="1"/>
        </w:rPr>
        <w:t xml:space="preserve"> </w:t>
      </w:r>
      <w:r>
        <w:t>information</w:t>
      </w:r>
      <w:r>
        <w:rPr>
          <w:spacing w:val="1"/>
        </w:rPr>
        <w:t xml:space="preserve"> </w:t>
      </w:r>
      <w:r>
        <w:t>on</w:t>
      </w:r>
      <w:r>
        <w:rPr>
          <w:spacing w:val="1"/>
        </w:rPr>
        <w:t xml:space="preserve"> </w:t>
      </w:r>
      <w:r>
        <w:t>the</w:t>
      </w:r>
      <w:r>
        <w:rPr>
          <w:spacing w:val="1"/>
        </w:rPr>
        <w:t xml:space="preserve"> </w:t>
      </w:r>
      <w:r>
        <w:t>work</w:t>
      </w:r>
      <w:r>
        <w:rPr>
          <w:spacing w:val="1"/>
        </w:rPr>
        <w:t xml:space="preserve"> </w:t>
      </w:r>
      <w:r>
        <w:t>of</w:t>
      </w:r>
      <w:r>
        <w:rPr>
          <w:spacing w:val="1"/>
        </w:rPr>
        <w:t xml:space="preserve"> </w:t>
      </w:r>
      <w:r>
        <w:t>public</w:t>
      </w:r>
      <w:r>
        <w:rPr>
          <w:spacing w:val="1"/>
        </w:rPr>
        <w:t xml:space="preserve"> </w:t>
      </w:r>
      <w:r>
        <w:t>authorities</w:t>
      </w:r>
      <w:r>
        <w:rPr>
          <w:spacing w:val="1"/>
        </w:rPr>
        <w:t xml:space="preserve"> </w:t>
      </w:r>
      <w:r>
        <w:t>providing</w:t>
      </w:r>
      <w:r>
        <w:rPr>
          <w:spacing w:val="1"/>
        </w:rPr>
        <w:t xml:space="preserve"> </w:t>
      </w:r>
      <w:r>
        <w:t>permanent</w:t>
      </w:r>
      <w:r>
        <w:rPr>
          <w:spacing w:val="1"/>
        </w:rPr>
        <w:t xml:space="preserve"> </w:t>
      </w:r>
      <w:r>
        <w:t>availability</w:t>
      </w:r>
      <w:r>
        <w:rPr>
          <w:spacing w:val="-14"/>
        </w:rPr>
        <w:t xml:space="preserve"> </w:t>
      </w:r>
      <w:r>
        <w:t>and</w:t>
      </w:r>
      <w:r>
        <w:rPr>
          <w:spacing w:val="-9"/>
        </w:rPr>
        <w:t xml:space="preserve"> </w:t>
      </w:r>
      <w:r>
        <w:t>reusability</w:t>
      </w:r>
      <w:r>
        <w:rPr>
          <w:spacing w:val="-11"/>
        </w:rPr>
        <w:t xml:space="preserve"> </w:t>
      </w:r>
      <w:r>
        <w:t>of</w:t>
      </w:r>
      <w:r>
        <w:rPr>
          <w:spacing w:val="-10"/>
        </w:rPr>
        <w:t xml:space="preserve"> </w:t>
      </w:r>
      <w:r>
        <w:t>public</w:t>
      </w:r>
      <w:r>
        <w:rPr>
          <w:spacing w:val="-10"/>
        </w:rPr>
        <w:t xml:space="preserve"> </w:t>
      </w:r>
      <w:r>
        <w:t>official</w:t>
      </w:r>
      <w:r>
        <w:rPr>
          <w:spacing w:val="-8"/>
        </w:rPr>
        <w:t xml:space="preserve"> </w:t>
      </w:r>
      <w:r>
        <w:t>documents</w:t>
      </w:r>
      <w:r>
        <w:rPr>
          <w:spacing w:val="-8"/>
        </w:rPr>
        <w:t xml:space="preserve"> </w:t>
      </w:r>
      <w:r>
        <w:t>and</w:t>
      </w:r>
      <w:r>
        <w:rPr>
          <w:spacing w:val="-10"/>
        </w:rPr>
        <w:t xml:space="preserve"> </w:t>
      </w:r>
      <w:r>
        <w:t>information</w:t>
      </w:r>
      <w:r>
        <w:rPr>
          <w:spacing w:val="-8"/>
        </w:rPr>
        <w:t xml:space="preserve"> </w:t>
      </w:r>
      <w:r>
        <w:t>to</w:t>
      </w:r>
      <w:r>
        <w:rPr>
          <w:spacing w:val="-13"/>
        </w:rPr>
        <w:t xml:space="preserve"> </w:t>
      </w:r>
      <w:r>
        <w:t>all</w:t>
      </w:r>
      <w:r>
        <w:rPr>
          <w:spacing w:val="-9"/>
        </w:rPr>
        <w:t xml:space="preserve"> </w:t>
      </w:r>
      <w:r>
        <w:t>interested</w:t>
      </w:r>
      <w:r>
        <w:rPr>
          <w:spacing w:val="-9"/>
        </w:rPr>
        <w:t xml:space="preserve"> </w:t>
      </w:r>
      <w:r>
        <w:t>parties</w:t>
      </w:r>
      <w:r>
        <w:rPr>
          <w:spacing w:val="-57"/>
        </w:rPr>
        <w:t xml:space="preserve"> </w:t>
      </w:r>
      <w:r>
        <w:t>under</w:t>
      </w:r>
      <w:r>
        <w:rPr>
          <w:spacing w:val="-1"/>
        </w:rPr>
        <w:t xml:space="preserve"> </w:t>
      </w:r>
      <w:r>
        <w:t>equal</w:t>
      </w:r>
      <w:r>
        <w:rPr>
          <w:spacing w:val="2"/>
        </w:rPr>
        <w:t xml:space="preserve"> </w:t>
      </w:r>
      <w:r>
        <w:t>conditions, impartially</w:t>
      </w:r>
      <w:r>
        <w:rPr>
          <w:spacing w:val="-5"/>
        </w:rPr>
        <w:t xml:space="preserve"> </w:t>
      </w:r>
      <w:r>
        <w:t>and</w:t>
      </w:r>
      <w:r>
        <w:rPr>
          <w:spacing w:val="2"/>
        </w:rPr>
        <w:t xml:space="preserve"> </w:t>
      </w:r>
      <w:r>
        <w:t>free</w:t>
      </w:r>
      <w:r>
        <w:rPr>
          <w:spacing w:val="-1"/>
        </w:rPr>
        <w:t xml:space="preserve"> </w:t>
      </w:r>
      <w:r>
        <w:t>of</w:t>
      </w:r>
      <w:r>
        <w:rPr>
          <w:spacing w:val="1"/>
        </w:rPr>
        <w:t xml:space="preserve"> </w:t>
      </w:r>
      <w:r>
        <w:t>charge.</w:t>
      </w:r>
    </w:p>
    <w:p w:rsidR="00A56FE9" w:rsidRDefault="00000000">
      <w:pPr>
        <w:pStyle w:val="Tijeloteksta"/>
        <w:spacing w:before="120"/>
        <w:ind w:right="271"/>
      </w:pPr>
      <w:r>
        <w:t>In addition to the Central Catalogue, a higher level of openness of official information is</w:t>
      </w:r>
      <w:r>
        <w:rPr>
          <w:spacing w:val="1"/>
        </w:rPr>
        <w:t xml:space="preserve"> </w:t>
      </w:r>
      <w:r>
        <w:t>achieved through the Open Data Portal of the Republic of Croatia, which serves for collecting,</w:t>
      </w:r>
      <w:r>
        <w:rPr>
          <w:spacing w:val="-57"/>
        </w:rPr>
        <w:t xml:space="preserve"> </w:t>
      </w:r>
      <w:r>
        <w:t>categorising and distributing open data from the public sector. The goal is to improve the</w:t>
      </w:r>
      <w:r>
        <w:rPr>
          <w:spacing w:val="1"/>
        </w:rPr>
        <w:t xml:space="preserve"> </w:t>
      </w:r>
      <w:r>
        <w:t>dissemination of public and open data through a single and central location and facilitate</w:t>
      </w:r>
      <w:r>
        <w:rPr>
          <w:spacing w:val="1"/>
        </w:rPr>
        <w:t xml:space="preserve"> </w:t>
      </w:r>
      <w:r>
        <w:t>development</w:t>
      </w:r>
      <w:r>
        <w:rPr>
          <w:spacing w:val="-7"/>
        </w:rPr>
        <w:t xml:space="preserve"> </w:t>
      </w:r>
      <w:r>
        <w:t>of</w:t>
      </w:r>
      <w:r>
        <w:rPr>
          <w:spacing w:val="-7"/>
        </w:rPr>
        <w:t xml:space="preserve"> </w:t>
      </w:r>
      <w:r>
        <w:t>innovative</w:t>
      </w:r>
      <w:r>
        <w:rPr>
          <w:spacing w:val="-7"/>
        </w:rPr>
        <w:t xml:space="preserve"> </w:t>
      </w:r>
      <w:r>
        <w:t>non-commercial</w:t>
      </w:r>
      <w:r>
        <w:rPr>
          <w:spacing w:val="-6"/>
        </w:rPr>
        <w:t xml:space="preserve"> </w:t>
      </w:r>
      <w:r>
        <w:t>and</w:t>
      </w:r>
      <w:r>
        <w:rPr>
          <w:spacing w:val="-7"/>
        </w:rPr>
        <w:t xml:space="preserve"> </w:t>
      </w:r>
      <w:r>
        <w:t>commercial</w:t>
      </w:r>
      <w:r>
        <w:rPr>
          <w:spacing w:val="-6"/>
        </w:rPr>
        <w:t xml:space="preserve"> </w:t>
      </w:r>
      <w:r>
        <w:t>applications</w:t>
      </w:r>
      <w:r>
        <w:rPr>
          <w:spacing w:val="-6"/>
        </w:rPr>
        <w:t xml:space="preserve"> </w:t>
      </w:r>
      <w:r>
        <w:t>that</w:t>
      </w:r>
      <w:r>
        <w:rPr>
          <w:spacing w:val="-3"/>
        </w:rPr>
        <w:t xml:space="preserve"> </w:t>
      </w:r>
      <w:r>
        <w:t>will</w:t>
      </w:r>
      <w:r>
        <w:rPr>
          <w:spacing w:val="-6"/>
        </w:rPr>
        <w:t xml:space="preserve"> </w:t>
      </w:r>
      <w:r>
        <w:t>use</w:t>
      </w:r>
      <w:r>
        <w:rPr>
          <w:spacing w:val="-7"/>
        </w:rPr>
        <w:t xml:space="preserve"> </w:t>
      </w:r>
      <w:r>
        <w:t>the</w:t>
      </w:r>
      <w:r>
        <w:rPr>
          <w:spacing w:val="-7"/>
        </w:rPr>
        <w:t xml:space="preserve"> </w:t>
      </w:r>
      <w:r>
        <w:t>data.</w:t>
      </w:r>
      <w:r>
        <w:rPr>
          <w:spacing w:val="-58"/>
        </w:rPr>
        <w:t xml:space="preserve"> </w:t>
      </w:r>
      <w:r>
        <w:t>It also seeks to encourage better cooperation with the private sector, especially in the field of</w:t>
      </w:r>
      <w:r>
        <w:rPr>
          <w:spacing w:val="1"/>
        </w:rPr>
        <w:t xml:space="preserve"> </w:t>
      </w:r>
      <w:r>
        <w:t>information technology, and encourage the improvement of electronic public services as well</w:t>
      </w:r>
      <w:r>
        <w:rPr>
          <w:spacing w:val="1"/>
        </w:rPr>
        <w:t xml:space="preserve"> </w:t>
      </w:r>
      <w:r>
        <w:t>as increase</w:t>
      </w:r>
      <w:r>
        <w:rPr>
          <w:spacing w:val="1"/>
        </w:rPr>
        <w:t xml:space="preserve"> </w:t>
      </w:r>
      <w:r>
        <w:t>the transparency of public</w:t>
      </w:r>
      <w:r>
        <w:rPr>
          <w:spacing w:val="1"/>
        </w:rPr>
        <w:t xml:space="preserve"> </w:t>
      </w:r>
      <w:r>
        <w:t>administration.</w:t>
      </w:r>
      <w:r>
        <w:rPr>
          <w:spacing w:val="1"/>
        </w:rPr>
        <w:t xml:space="preserve"> </w:t>
      </w:r>
      <w:r>
        <w:t>The implementation of the</w:t>
      </w:r>
      <w:r>
        <w:rPr>
          <w:spacing w:val="1"/>
        </w:rPr>
        <w:t xml:space="preserve"> </w:t>
      </w:r>
      <w:r>
        <w:t>project</w:t>
      </w:r>
      <w:r>
        <w:rPr>
          <w:spacing w:val="1"/>
        </w:rPr>
        <w:t xml:space="preserve"> </w:t>
      </w:r>
      <w:r>
        <w:t>Adaptation of Information Systems of Public Sector Bodies to the Open Data Portal will</w:t>
      </w:r>
      <w:r>
        <w:rPr>
          <w:spacing w:val="1"/>
        </w:rPr>
        <w:t xml:space="preserve"> </w:t>
      </w:r>
      <w:r>
        <w:t>technologically</w:t>
      </w:r>
      <w:r>
        <w:rPr>
          <w:spacing w:val="-11"/>
        </w:rPr>
        <w:t xml:space="preserve"> </w:t>
      </w:r>
      <w:r>
        <w:t>and</w:t>
      </w:r>
      <w:r>
        <w:rPr>
          <w:spacing w:val="-5"/>
        </w:rPr>
        <w:t xml:space="preserve"> </w:t>
      </w:r>
      <w:r>
        <w:t>visually</w:t>
      </w:r>
      <w:r>
        <w:rPr>
          <w:spacing w:val="-9"/>
        </w:rPr>
        <w:t xml:space="preserve"> </w:t>
      </w:r>
      <w:r>
        <w:t>improve</w:t>
      </w:r>
      <w:r>
        <w:rPr>
          <w:spacing w:val="-7"/>
        </w:rPr>
        <w:t xml:space="preserve"> </w:t>
      </w:r>
      <w:r>
        <w:t>the</w:t>
      </w:r>
      <w:r>
        <w:rPr>
          <w:spacing w:val="-4"/>
        </w:rPr>
        <w:t xml:space="preserve"> </w:t>
      </w:r>
      <w:r>
        <w:t>Open</w:t>
      </w:r>
      <w:r>
        <w:rPr>
          <w:spacing w:val="-4"/>
        </w:rPr>
        <w:t xml:space="preserve"> </w:t>
      </w:r>
      <w:r>
        <w:t>Data</w:t>
      </w:r>
      <w:r>
        <w:rPr>
          <w:spacing w:val="-5"/>
        </w:rPr>
        <w:t xml:space="preserve"> </w:t>
      </w:r>
      <w:r>
        <w:t>Portal,</w:t>
      </w:r>
      <w:r>
        <w:rPr>
          <w:spacing w:val="-5"/>
        </w:rPr>
        <w:t xml:space="preserve"> </w:t>
      </w:r>
      <w:r>
        <w:t>facilitate</w:t>
      </w:r>
      <w:r>
        <w:rPr>
          <w:spacing w:val="-6"/>
        </w:rPr>
        <w:t xml:space="preserve"> </w:t>
      </w:r>
      <w:r>
        <w:t>adaptation</w:t>
      </w:r>
      <w:r>
        <w:rPr>
          <w:spacing w:val="-5"/>
        </w:rPr>
        <w:t xml:space="preserve"> </w:t>
      </w:r>
      <w:r>
        <w:t>of</w:t>
      </w:r>
      <w:r>
        <w:rPr>
          <w:spacing w:val="-6"/>
        </w:rPr>
        <w:t xml:space="preserve"> </w:t>
      </w:r>
      <w:r>
        <w:t>information</w:t>
      </w:r>
      <w:r>
        <w:rPr>
          <w:spacing w:val="-58"/>
        </w:rPr>
        <w:t xml:space="preserve"> </w:t>
      </w:r>
      <w:r>
        <w:t>systems</w:t>
      </w:r>
      <w:r>
        <w:rPr>
          <w:spacing w:val="-3"/>
        </w:rPr>
        <w:t xml:space="preserve"> </w:t>
      </w:r>
      <w:r>
        <w:t>of</w:t>
      </w:r>
      <w:r>
        <w:rPr>
          <w:spacing w:val="-5"/>
        </w:rPr>
        <w:t xml:space="preserve"> </w:t>
      </w:r>
      <w:r>
        <w:t>public</w:t>
      </w:r>
      <w:r>
        <w:rPr>
          <w:spacing w:val="-4"/>
        </w:rPr>
        <w:t xml:space="preserve"> </w:t>
      </w:r>
      <w:r>
        <w:t>sector bodies</w:t>
      </w:r>
      <w:r>
        <w:rPr>
          <w:spacing w:val="-3"/>
        </w:rPr>
        <w:t xml:space="preserve"> </w:t>
      </w:r>
      <w:r>
        <w:t>to</w:t>
      </w:r>
      <w:r>
        <w:rPr>
          <w:spacing w:val="-3"/>
        </w:rPr>
        <w:t xml:space="preserve"> </w:t>
      </w:r>
      <w:r>
        <w:t>the</w:t>
      </w:r>
      <w:r>
        <w:rPr>
          <w:spacing w:val="-1"/>
        </w:rPr>
        <w:t xml:space="preserve"> </w:t>
      </w:r>
      <w:r>
        <w:t>Open</w:t>
      </w:r>
      <w:r>
        <w:rPr>
          <w:spacing w:val="-2"/>
        </w:rPr>
        <w:t xml:space="preserve"> </w:t>
      </w:r>
      <w:r>
        <w:t>Data</w:t>
      </w:r>
      <w:r>
        <w:rPr>
          <w:spacing w:val="1"/>
        </w:rPr>
        <w:t xml:space="preserve"> </w:t>
      </w:r>
      <w:r>
        <w:t>Portal,</w:t>
      </w:r>
      <w:r>
        <w:rPr>
          <w:spacing w:val="-3"/>
        </w:rPr>
        <w:t xml:space="preserve"> </w:t>
      </w:r>
      <w:r>
        <w:t>as</w:t>
      </w:r>
      <w:r>
        <w:rPr>
          <w:spacing w:val="-3"/>
        </w:rPr>
        <w:t xml:space="preserve"> </w:t>
      </w:r>
      <w:r>
        <w:t>well</w:t>
      </w:r>
      <w:r>
        <w:rPr>
          <w:spacing w:val="-3"/>
        </w:rPr>
        <w:t xml:space="preserve"> </w:t>
      </w:r>
      <w:r>
        <w:t>as increase</w:t>
      </w:r>
      <w:r>
        <w:rPr>
          <w:spacing w:val="-5"/>
        </w:rPr>
        <w:t xml:space="preserve"> </w:t>
      </w:r>
      <w:r>
        <w:t>the</w:t>
      </w:r>
      <w:r>
        <w:rPr>
          <w:spacing w:val="-2"/>
        </w:rPr>
        <w:t xml:space="preserve"> </w:t>
      </w:r>
      <w:r>
        <w:t>quality</w:t>
      </w:r>
      <w:r>
        <w:rPr>
          <w:spacing w:val="-5"/>
        </w:rPr>
        <w:t xml:space="preserve"> </w:t>
      </w:r>
      <w:r>
        <w:t>of</w:t>
      </w:r>
      <w:r>
        <w:rPr>
          <w:spacing w:val="-2"/>
        </w:rPr>
        <w:t xml:space="preserve"> </w:t>
      </w:r>
      <w:r>
        <w:t>open</w:t>
      </w:r>
      <w:r>
        <w:rPr>
          <w:spacing w:val="-57"/>
        </w:rPr>
        <w:t xml:space="preserve"> </w:t>
      </w:r>
      <w:r>
        <w:t>data</w:t>
      </w:r>
      <w:r>
        <w:rPr>
          <w:spacing w:val="-4"/>
        </w:rPr>
        <w:t xml:space="preserve"> </w:t>
      </w:r>
      <w:r>
        <w:t>sets</w:t>
      </w:r>
      <w:r>
        <w:rPr>
          <w:spacing w:val="-3"/>
        </w:rPr>
        <w:t xml:space="preserve"> </w:t>
      </w:r>
      <w:r>
        <w:t>from</w:t>
      </w:r>
      <w:r>
        <w:rPr>
          <w:spacing w:val="-2"/>
        </w:rPr>
        <w:t xml:space="preserve"> </w:t>
      </w:r>
      <w:r>
        <w:t>public</w:t>
      </w:r>
      <w:r>
        <w:rPr>
          <w:spacing w:val="-5"/>
        </w:rPr>
        <w:t xml:space="preserve"> </w:t>
      </w:r>
      <w:r>
        <w:t>authorities</w:t>
      </w:r>
      <w:r>
        <w:rPr>
          <w:spacing w:val="-3"/>
        </w:rPr>
        <w:t xml:space="preserve"> </w:t>
      </w:r>
      <w:r>
        <w:t>and</w:t>
      </w:r>
      <w:r>
        <w:rPr>
          <w:spacing w:val="-4"/>
        </w:rPr>
        <w:t xml:space="preserve"> </w:t>
      </w:r>
      <w:r>
        <w:t>increase</w:t>
      </w:r>
      <w:r>
        <w:rPr>
          <w:spacing w:val="-4"/>
        </w:rPr>
        <w:t xml:space="preserve"> </w:t>
      </w:r>
      <w:r>
        <w:t>the</w:t>
      </w:r>
      <w:r>
        <w:rPr>
          <w:spacing w:val="-1"/>
        </w:rPr>
        <w:t xml:space="preserve"> </w:t>
      </w:r>
      <w:r>
        <w:t>number</w:t>
      </w:r>
      <w:r>
        <w:rPr>
          <w:spacing w:val="-5"/>
        </w:rPr>
        <w:t xml:space="preserve"> </w:t>
      </w:r>
      <w:r>
        <w:t>of</w:t>
      </w:r>
      <w:r>
        <w:rPr>
          <w:spacing w:val="-4"/>
        </w:rPr>
        <w:t xml:space="preserve"> </w:t>
      </w:r>
      <w:r>
        <w:t>users</w:t>
      </w:r>
      <w:r>
        <w:rPr>
          <w:spacing w:val="-4"/>
        </w:rPr>
        <w:t xml:space="preserve"> </w:t>
      </w:r>
      <w:r>
        <w:t>of</w:t>
      </w:r>
      <w:r>
        <w:rPr>
          <w:spacing w:val="-3"/>
        </w:rPr>
        <w:t xml:space="preserve"> </w:t>
      </w:r>
      <w:r>
        <w:t>such</w:t>
      </w:r>
      <w:r>
        <w:rPr>
          <w:spacing w:val="-1"/>
        </w:rPr>
        <w:t xml:space="preserve"> </w:t>
      </w:r>
      <w:r>
        <w:t>open</w:t>
      </w:r>
      <w:r>
        <w:rPr>
          <w:spacing w:val="-3"/>
        </w:rPr>
        <w:t xml:space="preserve"> </w:t>
      </w:r>
      <w:r>
        <w:t>data</w:t>
      </w:r>
      <w:r>
        <w:rPr>
          <w:spacing w:val="-4"/>
        </w:rPr>
        <w:t xml:space="preserve"> </w:t>
      </w:r>
      <w:r>
        <w:t>sets,</w:t>
      </w:r>
      <w:r>
        <w:rPr>
          <w:spacing w:val="-3"/>
        </w:rPr>
        <w:t xml:space="preserve"> </w:t>
      </w:r>
      <w:r>
        <w:t>while</w:t>
      </w:r>
      <w:r>
        <w:rPr>
          <w:spacing w:val="-57"/>
        </w:rPr>
        <w:t xml:space="preserve"> </w:t>
      </w:r>
      <w:r>
        <w:t>strengthening</w:t>
      </w:r>
      <w:r>
        <w:rPr>
          <w:spacing w:val="-3"/>
        </w:rPr>
        <w:t xml:space="preserve"> </w:t>
      </w:r>
      <w:r>
        <w:t>the</w:t>
      </w:r>
      <w:r>
        <w:rPr>
          <w:spacing w:val="-1"/>
        </w:rPr>
        <w:t xml:space="preserve"> </w:t>
      </w:r>
      <w:r>
        <w:t>capacity</w:t>
      </w:r>
      <w:r>
        <w:rPr>
          <w:spacing w:val="-3"/>
        </w:rPr>
        <w:t xml:space="preserve"> </w:t>
      </w:r>
      <w:r>
        <w:t>of state</w:t>
      </w:r>
      <w:r>
        <w:rPr>
          <w:spacing w:val="-1"/>
        </w:rPr>
        <w:t xml:space="preserve"> </w:t>
      </w:r>
      <w:r>
        <w:t>and public</w:t>
      </w:r>
      <w:r>
        <w:rPr>
          <w:spacing w:val="-1"/>
        </w:rPr>
        <w:t xml:space="preserve"> </w:t>
      </w:r>
      <w:r>
        <w:t>administration</w:t>
      </w:r>
      <w:r>
        <w:rPr>
          <w:spacing w:val="-1"/>
        </w:rPr>
        <w:t xml:space="preserve"> </w:t>
      </w:r>
      <w:r>
        <w:t>employees.</w:t>
      </w:r>
    </w:p>
    <w:p w:rsidR="00A56FE9" w:rsidRDefault="00A56FE9">
      <w:pPr>
        <w:sectPr w:rsidR="00A56FE9" w:rsidSect="00AB1E70">
          <w:pgSz w:w="11910" w:h="16840"/>
          <w:pgMar w:top="1320" w:right="1140" w:bottom="960" w:left="1280" w:header="0" w:footer="699" w:gutter="0"/>
          <w:cols w:space="720"/>
        </w:sectPr>
      </w:pPr>
    </w:p>
    <w:p w:rsidR="00A56FE9" w:rsidRDefault="00000000">
      <w:pPr>
        <w:pStyle w:val="Tijeloteksta"/>
        <w:spacing w:before="74"/>
        <w:ind w:right="273"/>
      </w:pPr>
      <w:r>
        <w:t>The e-Consultation Portal helps getting involved in open public consultations during the</w:t>
      </w:r>
      <w:r>
        <w:rPr>
          <w:spacing w:val="1"/>
        </w:rPr>
        <w:t xml:space="preserve"> </w:t>
      </w:r>
      <w:r>
        <w:t>process</w:t>
      </w:r>
      <w:r>
        <w:rPr>
          <w:spacing w:val="1"/>
        </w:rPr>
        <w:t xml:space="preserve"> </w:t>
      </w:r>
      <w:r>
        <w:t>of</w:t>
      </w:r>
      <w:r>
        <w:rPr>
          <w:spacing w:val="1"/>
        </w:rPr>
        <w:t xml:space="preserve"> </w:t>
      </w:r>
      <w:r>
        <w:t>passing</w:t>
      </w:r>
      <w:r>
        <w:rPr>
          <w:spacing w:val="1"/>
        </w:rPr>
        <w:t xml:space="preserve"> </w:t>
      </w:r>
      <w:r>
        <w:t>laws,</w:t>
      </w:r>
      <w:r>
        <w:rPr>
          <w:spacing w:val="1"/>
        </w:rPr>
        <w:t xml:space="preserve"> </w:t>
      </w:r>
      <w:r>
        <w:t>other</w:t>
      </w:r>
      <w:r>
        <w:rPr>
          <w:spacing w:val="1"/>
        </w:rPr>
        <w:t xml:space="preserve"> </w:t>
      </w:r>
      <w:r>
        <w:t>regulations</w:t>
      </w:r>
      <w:r>
        <w:rPr>
          <w:spacing w:val="1"/>
        </w:rPr>
        <w:t xml:space="preserve"> </w:t>
      </w:r>
      <w:r>
        <w:t>and</w:t>
      </w:r>
      <w:r>
        <w:rPr>
          <w:spacing w:val="1"/>
        </w:rPr>
        <w:t xml:space="preserve"> </w:t>
      </w:r>
      <w:r>
        <w:t>acts,</w:t>
      </w:r>
      <w:r>
        <w:rPr>
          <w:spacing w:val="1"/>
        </w:rPr>
        <w:t xml:space="preserve"> </w:t>
      </w:r>
      <w:r>
        <w:t>facilitating</w:t>
      </w:r>
      <w:r>
        <w:rPr>
          <w:spacing w:val="1"/>
        </w:rPr>
        <w:t xml:space="preserve"> </w:t>
      </w:r>
      <w:r>
        <w:t>active</w:t>
      </w:r>
      <w:r>
        <w:rPr>
          <w:spacing w:val="1"/>
        </w:rPr>
        <w:t xml:space="preserve"> </w:t>
      </w:r>
      <w:r>
        <w:t>involvement</w:t>
      </w:r>
      <w:r>
        <w:rPr>
          <w:spacing w:val="1"/>
        </w:rPr>
        <w:t xml:space="preserve"> </w:t>
      </w:r>
      <w:r>
        <w:t>and</w:t>
      </w:r>
      <w:r>
        <w:rPr>
          <w:spacing w:val="1"/>
        </w:rPr>
        <w:t xml:space="preserve"> </w:t>
      </w:r>
      <w:r>
        <w:t>participation in political decision-making. The project e-Consultation - Expanding, Upgrading</w:t>
      </w:r>
      <w:r>
        <w:rPr>
          <w:spacing w:val="-57"/>
        </w:rPr>
        <w:t xml:space="preserve"> </w:t>
      </w:r>
      <w:r>
        <w:rPr>
          <w:spacing w:val="-1"/>
        </w:rPr>
        <w:t>and</w:t>
      </w:r>
      <w:r>
        <w:rPr>
          <w:spacing w:val="-10"/>
        </w:rPr>
        <w:t xml:space="preserve"> </w:t>
      </w:r>
      <w:r>
        <w:rPr>
          <w:spacing w:val="-1"/>
        </w:rPr>
        <w:t>Improving</w:t>
      </w:r>
      <w:r>
        <w:rPr>
          <w:spacing w:val="-14"/>
        </w:rPr>
        <w:t xml:space="preserve"> </w:t>
      </w:r>
      <w:r>
        <w:rPr>
          <w:spacing w:val="-1"/>
        </w:rPr>
        <w:t>the</w:t>
      </w:r>
      <w:r>
        <w:rPr>
          <w:spacing w:val="-9"/>
        </w:rPr>
        <w:t xml:space="preserve"> </w:t>
      </w:r>
      <w:r>
        <w:rPr>
          <w:spacing w:val="-1"/>
        </w:rPr>
        <w:t>Legislative</w:t>
      </w:r>
      <w:r>
        <w:rPr>
          <w:spacing w:val="-11"/>
        </w:rPr>
        <w:t xml:space="preserve"> </w:t>
      </w:r>
      <w:r>
        <w:t>Process</w:t>
      </w:r>
      <w:r>
        <w:rPr>
          <w:spacing w:val="-11"/>
        </w:rPr>
        <w:t xml:space="preserve"> </w:t>
      </w:r>
      <w:r>
        <w:t>of</w:t>
      </w:r>
      <w:r>
        <w:rPr>
          <w:spacing w:val="-12"/>
        </w:rPr>
        <w:t xml:space="preserve"> </w:t>
      </w:r>
      <w:r>
        <w:t>Public</w:t>
      </w:r>
      <w:r>
        <w:rPr>
          <w:spacing w:val="-13"/>
        </w:rPr>
        <w:t xml:space="preserve"> </w:t>
      </w:r>
      <w:r>
        <w:t>Consultation</w:t>
      </w:r>
      <w:r>
        <w:rPr>
          <w:spacing w:val="-11"/>
        </w:rPr>
        <w:t xml:space="preserve"> </w:t>
      </w:r>
      <w:r>
        <w:t>ensures</w:t>
      </w:r>
      <w:r>
        <w:rPr>
          <w:spacing w:val="-11"/>
        </w:rPr>
        <w:t xml:space="preserve"> </w:t>
      </w:r>
      <w:r>
        <w:t>technological,</w:t>
      </w:r>
      <w:r>
        <w:rPr>
          <w:spacing w:val="-11"/>
        </w:rPr>
        <w:t xml:space="preserve"> </w:t>
      </w:r>
      <w:r>
        <w:t>procedural</w:t>
      </w:r>
      <w:r>
        <w:rPr>
          <w:spacing w:val="-58"/>
        </w:rPr>
        <w:t xml:space="preserve"> </w:t>
      </w:r>
      <w:r>
        <w:t>and functional improvement and expansion of the IT system of e-Consultation as well as</w:t>
      </w:r>
      <w:r>
        <w:rPr>
          <w:spacing w:val="1"/>
        </w:rPr>
        <w:t xml:space="preserve"> </w:t>
      </w:r>
      <w:r>
        <w:t>strengthening</w:t>
      </w:r>
      <w:r>
        <w:rPr>
          <w:spacing w:val="1"/>
        </w:rPr>
        <w:t xml:space="preserve"> </w:t>
      </w:r>
      <w:r>
        <w:t>the</w:t>
      </w:r>
      <w:r>
        <w:rPr>
          <w:spacing w:val="1"/>
        </w:rPr>
        <w:t xml:space="preserve"> </w:t>
      </w:r>
      <w:r>
        <w:t>capacity</w:t>
      </w:r>
      <w:r>
        <w:rPr>
          <w:spacing w:val="1"/>
        </w:rPr>
        <w:t xml:space="preserve"> </w:t>
      </w:r>
      <w:r>
        <w:t>and</w:t>
      </w:r>
      <w:r>
        <w:rPr>
          <w:spacing w:val="1"/>
        </w:rPr>
        <w:t xml:space="preserve"> </w:t>
      </w:r>
      <w:r>
        <w:t>improving</w:t>
      </w:r>
      <w:r>
        <w:rPr>
          <w:spacing w:val="1"/>
        </w:rPr>
        <w:t xml:space="preserve"> </w:t>
      </w:r>
      <w:r>
        <w:t>the</w:t>
      </w:r>
      <w:r>
        <w:rPr>
          <w:spacing w:val="1"/>
        </w:rPr>
        <w:t xml:space="preserve"> </w:t>
      </w:r>
      <w:r>
        <w:t>work</w:t>
      </w:r>
      <w:r>
        <w:rPr>
          <w:spacing w:val="1"/>
        </w:rPr>
        <w:t xml:space="preserve"> </w:t>
      </w:r>
      <w:r>
        <w:t>of</w:t>
      </w:r>
      <w:r>
        <w:rPr>
          <w:spacing w:val="1"/>
        </w:rPr>
        <w:t xml:space="preserve"> </w:t>
      </w:r>
      <w:r>
        <w:t>competent</w:t>
      </w:r>
      <w:r>
        <w:rPr>
          <w:spacing w:val="1"/>
        </w:rPr>
        <w:t xml:space="preserve"> </w:t>
      </w:r>
      <w:r>
        <w:t>bodies</w:t>
      </w:r>
      <w:r>
        <w:rPr>
          <w:spacing w:val="1"/>
        </w:rPr>
        <w:t xml:space="preserve"> </w:t>
      </w:r>
      <w:r>
        <w:t>within</w:t>
      </w:r>
      <w:r>
        <w:rPr>
          <w:spacing w:val="1"/>
        </w:rPr>
        <w:t xml:space="preserve"> </w:t>
      </w:r>
      <w:r>
        <w:t>the</w:t>
      </w:r>
      <w:r>
        <w:rPr>
          <w:spacing w:val="1"/>
        </w:rPr>
        <w:t xml:space="preserve"> </w:t>
      </w:r>
      <w:r>
        <w:t>e-</w:t>
      </w:r>
      <w:r>
        <w:rPr>
          <w:spacing w:val="1"/>
        </w:rPr>
        <w:t xml:space="preserve"> </w:t>
      </w:r>
      <w:r>
        <w:t>Consultation system, including employees of state and public administrations for working in</w:t>
      </w:r>
      <w:r>
        <w:rPr>
          <w:spacing w:val="1"/>
        </w:rPr>
        <w:t xml:space="preserve"> </w:t>
      </w:r>
      <w:r>
        <w:t>the e-Consultation system, but also access to the e-Consultation Portal of local and regional</w:t>
      </w:r>
      <w:r>
        <w:rPr>
          <w:spacing w:val="1"/>
        </w:rPr>
        <w:t xml:space="preserve"> </w:t>
      </w:r>
      <w:r>
        <w:t>self-government</w:t>
      </w:r>
      <w:r>
        <w:rPr>
          <w:spacing w:val="-1"/>
        </w:rPr>
        <w:t xml:space="preserve"> </w:t>
      </w:r>
      <w:r>
        <w:t>units (LRSGUs).</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702016"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123079099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C028A" id="Rectangle 20" o:spid="_x0000_s1026" style="position:absolute;margin-left:69.5pt;margin-top:9.8pt;width:45.25pt;height:1.45pt;z-index:-15614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4"/>
      </w:pPr>
      <w:r>
        <w:t>One of the priorities is to strengthen legal certainty and build strong institutions. Numerous</w:t>
      </w:r>
      <w:r>
        <w:rPr>
          <w:spacing w:val="1"/>
        </w:rPr>
        <w:t xml:space="preserve"> </w:t>
      </w:r>
      <w:r>
        <w:t>activities have been successfully carried out in recent years with the aim of shortening the</w:t>
      </w:r>
      <w:r>
        <w:rPr>
          <w:spacing w:val="1"/>
        </w:rPr>
        <w:t xml:space="preserve"> </w:t>
      </w:r>
      <w:r>
        <w:t>duration</w:t>
      </w:r>
      <w:r>
        <w:rPr>
          <w:spacing w:val="1"/>
        </w:rPr>
        <w:t xml:space="preserve"> </w:t>
      </w:r>
      <w:r>
        <w:t>of</w:t>
      </w:r>
      <w:r>
        <w:rPr>
          <w:spacing w:val="1"/>
        </w:rPr>
        <w:t xml:space="preserve"> </w:t>
      </w:r>
      <w:r>
        <w:t>court</w:t>
      </w:r>
      <w:r>
        <w:rPr>
          <w:spacing w:val="1"/>
        </w:rPr>
        <w:t xml:space="preserve"> </w:t>
      </w:r>
      <w:r>
        <w:t>proceedings,</w:t>
      </w:r>
      <w:r>
        <w:rPr>
          <w:spacing w:val="1"/>
        </w:rPr>
        <w:t xml:space="preserve"> </w:t>
      </w:r>
      <w:r>
        <w:t>streamlining</w:t>
      </w:r>
      <w:r>
        <w:rPr>
          <w:spacing w:val="1"/>
        </w:rPr>
        <w:t xml:space="preserve"> </w:t>
      </w:r>
      <w:r>
        <w:t>the</w:t>
      </w:r>
      <w:r>
        <w:rPr>
          <w:spacing w:val="1"/>
        </w:rPr>
        <w:t xml:space="preserve"> </w:t>
      </w:r>
      <w:r>
        <w:t>judicial</w:t>
      </w:r>
      <w:r>
        <w:rPr>
          <w:spacing w:val="1"/>
        </w:rPr>
        <w:t xml:space="preserve"> </w:t>
      </w:r>
      <w:r>
        <w:t>network</w:t>
      </w:r>
      <w:r>
        <w:rPr>
          <w:spacing w:val="1"/>
        </w:rPr>
        <w:t xml:space="preserve"> </w:t>
      </w:r>
      <w:r>
        <w:t>and</w:t>
      </w:r>
      <w:r>
        <w:rPr>
          <w:spacing w:val="1"/>
        </w:rPr>
        <w:t xml:space="preserve"> </w:t>
      </w:r>
      <w:r>
        <w:t>modernising</w:t>
      </w:r>
      <w:r>
        <w:rPr>
          <w:spacing w:val="1"/>
        </w:rPr>
        <w:t xml:space="preserve"> </w:t>
      </w:r>
      <w:r>
        <w:t>the</w:t>
      </w:r>
      <w:r>
        <w:rPr>
          <w:spacing w:val="1"/>
        </w:rPr>
        <w:t xml:space="preserve"> </w:t>
      </w:r>
      <w:r>
        <w:t>functioning of the entire system. The development of action plans to improve the efficiency of</w:t>
      </w:r>
      <w:r>
        <w:rPr>
          <w:spacing w:val="-57"/>
        </w:rPr>
        <w:t xml:space="preserve"> </w:t>
      </w:r>
      <w:r>
        <w:t>the courts has begun with the aim of improving the efficiency of court proceedings in early</w:t>
      </w:r>
      <w:r>
        <w:rPr>
          <w:spacing w:val="1"/>
        </w:rPr>
        <w:t xml:space="preserve"> </w:t>
      </w:r>
      <w:r>
        <w:t>2021. In line with the same goal, the MJPA is carrying out normative activities in the form of</w:t>
      </w:r>
      <w:r>
        <w:rPr>
          <w:spacing w:val="1"/>
        </w:rPr>
        <w:t xml:space="preserve"> </w:t>
      </w:r>
      <w:r>
        <w:rPr>
          <w:spacing w:val="-1"/>
        </w:rPr>
        <w:t>amendments</w:t>
      </w:r>
      <w:r>
        <w:rPr>
          <w:spacing w:val="-12"/>
        </w:rPr>
        <w:t xml:space="preserve"> </w:t>
      </w:r>
      <w:r>
        <w:t>to</w:t>
      </w:r>
      <w:r>
        <w:rPr>
          <w:spacing w:val="-12"/>
        </w:rPr>
        <w:t xml:space="preserve"> </w:t>
      </w:r>
      <w:r>
        <w:t>key</w:t>
      </w:r>
      <w:r>
        <w:rPr>
          <w:spacing w:val="-17"/>
        </w:rPr>
        <w:t xml:space="preserve"> </w:t>
      </w:r>
      <w:r>
        <w:t>procedural</w:t>
      </w:r>
      <w:r>
        <w:rPr>
          <w:spacing w:val="-12"/>
        </w:rPr>
        <w:t xml:space="preserve"> </w:t>
      </w:r>
      <w:r>
        <w:t>laws</w:t>
      </w:r>
      <w:r>
        <w:rPr>
          <w:spacing w:val="-12"/>
        </w:rPr>
        <w:t xml:space="preserve"> </w:t>
      </w:r>
      <w:r>
        <w:t>and</w:t>
      </w:r>
      <w:r>
        <w:rPr>
          <w:spacing w:val="-11"/>
        </w:rPr>
        <w:t xml:space="preserve"> </w:t>
      </w:r>
      <w:r>
        <w:t>umbrella</w:t>
      </w:r>
      <w:r>
        <w:rPr>
          <w:spacing w:val="-11"/>
        </w:rPr>
        <w:t xml:space="preserve"> </w:t>
      </w:r>
      <w:r>
        <w:t>policies</w:t>
      </w:r>
      <w:r>
        <w:rPr>
          <w:spacing w:val="-12"/>
        </w:rPr>
        <w:t xml:space="preserve"> </w:t>
      </w:r>
      <w:r>
        <w:t>for</w:t>
      </w:r>
      <w:r>
        <w:rPr>
          <w:spacing w:val="-14"/>
        </w:rPr>
        <w:t xml:space="preserve"> </w:t>
      </w:r>
      <w:r>
        <w:t>courts</w:t>
      </w:r>
      <w:r>
        <w:rPr>
          <w:spacing w:val="-11"/>
        </w:rPr>
        <w:t xml:space="preserve"> </w:t>
      </w:r>
      <w:r>
        <w:t>and</w:t>
      </w:r>
      <w:r>
        <w:rPr>
          <w:spacing w:val="-12"/>
        </w:rPr>
        <w:t xml:space="preserve"> </w:t>
      </w:r>
      <w:r>
        <w:t>state</w:t>
      </w:r>
      <w:r>
        <w:rPr>
          <w:spacing w:val="-13"/>
        </w:rPr>
        <w:t xml:space="preserve"> </w:t>
      </w:r>
      <w:r>
        <w:t>attorney's</w:t>
      </w:r>
      <w:r>
        <w:rPr>
          <w:spacing w:val="-12"/>
        </w:rPr>
        <w:t xml:space="preserve"> </w:t>
      </w:r>
      <w:r>
        <w:t>offices,</w:t>
      </w:r>
      <w:r>
        <w:rPr>
          <w:spacing w:val="-57"/>
        </w:rPr>
        <w:t xml:space="preserve"> </w:t>
      </w:r>
      <w:r>
        <w:t>as well as improving the bankruptcy framework. Large investments in the past period have</w:t>
      </w:r>
      <w:r>
        <w:rPr>
          <w:spacing w:val="1"/>
        </w:rPr>
        <w:t xml:space="preserve"> </w:t>
      </w:r>
      <w:r>
        <w:t>resulted in improvements to e-Communication and the introduction of the information system</w:t>
      </w:r>
      <w:r>
        <w:rPr>
          <w:spacing w:val="1"/>
        </w:rPr>
        <w:t xml:space="preserve"> </w:t>
      </w:r>
      <w:r>
        <w:t>for managing court cases (eCasefile/eSpis). The Case Tracking System (CTS), as a central</w:t>
      </w:r>
      <w:r>
        <w:rPr>
          <w:spacing w:val="1"/>
        </w:rPr>
        <w:t xml:space="preserve"> </w:t>
      </w:r>
      <w:r>
        <w:rPr>
          <w:spacing w:val="-1"/>
        </w:rPr>
        <w:t>information</w:t>
      </w:r>
      <w:r>
        <w:rPr>
          <w:spacing w:val="-14"/>
        </w:rPr>
        <w:t xml:space="preserve"> </w:t>
      </w:r>
      <w:r>
        <w:t>system</w:t>
      </w:r>
      <w:r>
        <w:rPr>
          <w:spacing w:val="-15"/>
        </w:rPr>
        <w:t xml:space="preserve"> </w:t>
      </w:r>
      <w:r>
        <w:t>for</w:t>
      </w:r>
      <w:r>
        <w:rPr>
          <w:spacing w:val="-16"/>
        </w:rPr>
        <w:t xml:space="preserve"> </w:t>
      </w:r>
      <w:r>
        <w:t>the</w:t>
      </w:r>
      <w:r>
        <w:rPr>
          <w:spacing w:val="-16"/>
        </w:rPr>
        <w:t xml:space="preserve"> </w:t>
      </w:r>
      <w:r>
        <w:t>management</w:t>
      </w:r>
      <w:r>
        <w:rPr>
          <w:spacing w:val="-15"/>
        </w:rPr>
        <w:t xml:space="preserve"> </w:t>
      </w:r>
      <w:r>
        <w:t>and</w:t>
      </w:r>
      <w:r>
        <w:rPr>
          <w:spacing w:val="-14"/>
        </w:rPr>
        <w:t xml:space="preserve"> </w:t>
      </w:r>
      <w:r>
        <w:t>operations</w:t>
      </w:r>
      <w:r>
        <w:rPr>
          <w:spacing w:val="-13"/>
        </w:rPr>
        <w:t xml:space="preserve"> </w:t>
      </w:r>
      <w:r>
        <w:t>of</w:t>
      </w:r>
      <w:r>
        <w:rPr>
          <w:spacing w:val="-16"/>
        </w:rPr>
        <w:t xml:space="preserve"> </w:t>
      </w:r>
      <w:r>
        <w:t>state</w:t>
      </w:r>
      <w:r>
        <w:rPr>
          <w:spacing w:val="-16"/>
        </w:rPr>
        <w:t xml:space="preserve"> </w:t>
      </w:r>
      <w:r>
        <w:t>attorney's</w:t>
      </w:r>
      <w:r>
        <w:rPr>
          <w:spacing w:val="-15"/>
        </w:rPr>
        <w:t xml:space="preserve"> </w:t>
      </w:r>
      <w:r>
        <w:t>offices,</w:t>
      </w:r>
      <w:r>
        <w:rPr>
          <w:spacing w:val="-15"/>
        </w:rPr>
        <w:t xml:space="preserve"> </w:t>
      </w:r>
      <w:r>
        <w:t>fully</w:t>
      </w:r>
      <w:r>
        <w:rPr>
          <w:spacing w:val="-20"/>
        </w:rPr>
        <w:t xml:space="preserve"> </w:t>
      </w:r>
      <w:r>
        <w:t>monitors</w:t>
      </w:r>
      <w:r>
        <w:rPr>
          <w:spacing w:val="-57"/>
        </w:rPr>
        <w:t xml:space="preserve"> </w:t>
      </w:r>
      <w:r>
        <w:t>all operational processes within state attorney's offices, and the Real Property Registration and</w:t>
      </w:r>
      <w:r>
        <w:rPr>
          <w:spacing w:val="-57"/>
        </w:rPr>
        <w:t xml:space="preserve"> </w:t>
      </w:r>
      <w:r>
        <w:t>Cadastre Joint Information System (JIS) has established a single database and application for</w:t>
      </w:r>
      <w:r>
        <w:rPr>
          <w:spacing w:val="1"/>
        </w:rPr>
        <w:t xml:space="preserve"> </w:t>
      </w:r>
      <w:r>
        <w:rPr>
          <w:spacing w:val="-1"/>
        </w:rPr>
        <w:t>managing</w:t>
      </w:r>
      <w:r>
        <w:rPr>
          <w:spacing w:val="-14"/>
        </w:rPr>
        <w:t xml:space="preserve"> </w:t>
      </w:r>
      <w:r>
        <w:rPr>
          <w:spacing w:val="-1"/>
        </w:rPr>
        <w:t>and</w:t>
      </w:r>
      <w:r>
        <w:rPr>
          <w:spacing w:val="-13"/>
        </w:rPr>
        <w:t xml:space="preserve"> </w:t>
      </w:r>
      <w:r>
        <w:t>maintaining</w:t>
      </w:r>
      <w:r>
        <w:rPr>
          <w:spacing w:val="-14"/>
        </w:rPr>
        <w:t xml:space="preserve"> </w:t>
      </w:r>
      <w:r>
        <w:t>cadastre</w:t>
      </w:r>
      <w:r>
        <w:rPr>
          <w:spacing w:val="-13"/>
        </w:rPr>
        <w:t xml:space="preserve"> </w:t>
      </w:r>
      <w:r>
        <w:t>and</w:t>
      </w:r>
      <w:r>
        <w:rPr>
          <w:spacing w:val="-15"/>
        </w:rPr>
        <w:t xml:space="preserve"> </w:t>
      </w:r>
      <w:r>
        <w:t>land</w:t>
      </w:r>
      <w:r>
        <w:rPr>
          <w:spacing w:val="-13"/>
        </w:rPr>
        <w:t xml:space="preserve"> </w:t>
      </w:r>
      <w:r>
        <w:t>registry</w:t>
      </w:r>
      <w:r>
        <w:rPr>
          <w:spacing w:val="-17"/>
        </w:rPr>
        <w:t xml:space="preserve"> </w:t>
      </w:r>
      <w:r>
        <w:t>data.</w:t>
      </w:r>
      <w:r>
        <w:rPr>
          <w:spacing w:val="-13"/>
        </w:rPr>
        <w:t xml:space="preserve"> </w:t>
      </w:r>
      <w:r>
        <w:t>Upgrades</w:t>
      </w:r>
      <w:r>
        <w:rPr>
          <w:spacing w:val="-12"/>
        </w:rPr>
        <w:t xml:space="preserve"> </w:t>
      </w:r>
      <w:r>
        <w:t>and</w:t>
      </w:r>
      <w:r>
        <w:rPr>
          <w:spacing w:val="-11"/>
        </w:rPr>
        <w:t xml:space="preserve"> </w:t>
      </w:r>
      <w:r>
        <w:t>improvements</w:t>
      </w:r>
      <w:r>
        <w:rPr>
          <w:spacing w:val="-15"/>
        </w:rPr>
        <w:t xml:space="preserve"> </w:t>
      </w:r>
      <w:r>
        <w:t>of</w:t>
      </w:r>
      <w:r>
        <w:rPr>
          <w:spacing w:val="-13"/>
        </w:rPr>
        <w:t xml:space="preserve"> </w:t>
      </w:r>
      <w:r>
        <w:t>these</w:t>
      </w:r>
      <w:r>
        <w:rPr>
          <w:spacing w:val="-57"/>
        </w:rPr>
        <w:t xml:space="preserve"> </w:t>
      </w:r>
      <w:r>
        <w:t>IT systems are planned in the coming period. Investing in the infrastructure of judicial bodies</w:t>
      </w:r>
      <w:r>
        <w:rPr>
          <w:spacing w:val="1"/>
        </w:rPr>
        <w:t xml:space="preserve"> </w:t>
      </w:r>
      <w:r>
        <w:t>is important for achieving greater efficiency, but also professionalism in the judiciary, and to</w:t>
      </w:r>
      <w:r>
        <w:rPr>
          <w:spacing w:val="1"/>
        </w:rPr>
        <w:t xml:space="preserve"> </w:t>
      </w:r>
      <w:r>
        <w:t>meet</w:t>
      </w:r>
      <w:r>
        <w:rPr>
          <w:spacing w:val="-8"/>
        </w:rPr>
        <w:t xml:space="preserve"> </w:t>
      </w:r>
      <w:r>
        <w:t>the</w:t>
      </w:r>
      <w:r>
        <w:rPr>
          <w:spacing w:val="-9"/>
        </w:rPr>
        <w:t xml:space="preserve"> </w:t>
      </w:r>
      <w:r>
        <w:t>emerging</w:t>
      </w:r>
      <w:r>
        <w:rPr>
          <w:spacing w:val="-11"/>
        </w:rPr>
        <w:t xml:space="preserve"> </w:t>
      </w:r>
      <w:r>
        <w:t>needs</w:t>
      </w:r>
      <w:r>
        <w:rPr>
          <w:spacing w:val="-7"/>
        </w:rPr>
        <w:t xml:space="preserve"> </w:t>
      </w:r>
      <w:r>
        <w:t>of</w:t>
      </w:r>
      <w:r>
        <w:rPr>
          <w:spacing w:val="-9"/>
        </w:rPr>
        <w:t xml:space="preserve"> </w:t>
      </w:r>
      <w:r>
        <w:t>the</w:t>
      </w:r>
      <w:r>
        <w:rPr>
          <w:spacing w:val="-9"/>
        </w:rPr>
        <w:t xml:space="preserve"> </w:t>
      </w:r>
      <w:r>
        <w:t>judiciary</w:t>
      </w:r>
      <w:r>
        <w:rPr>
          <w:spacing w:val="-11"/>
        </w:rPr>
        <w:t xml:space="preserve"> </w:t>
      </w:r>
      <w:r>
        <w:t>in</w:t>
      </w:r>
      <w:r>
        <w:rPr>
          <w:spacing w:val="-8"/>
        </w:rPr>
        <w:t xml:space="preserve"> </w:t>
      </w:r>
      <w:r>
        <w:t>epidemic</w:t>
      </w:r>
      <w:r>
        <w:rPr>
          <w:spacing w:val="-9"/>
        </w:rPr>
        <w:t xml:space="preserve"> </w:t>
      </w:r>
      <w:r>
        <w:t>conditions</w:t>
      </w:r>
      <w:r>
        <w:rPr>
          <w:spacing w:val="-8"/>
        </w:rPr>
        <w:t xml:space="preserve"> </w:t>
      </w:r>
      <w:r>
        <w:t>and</w:t>
      </w:r>
      <w:r>
        <w:rPr>
          <w:spacing w:val="-8"/>
        </w:rPr>
        <w:t xml:space="preserve"> </w:t>
      </w:r>
      <w:r>
        <w:t>comply</w:t>
      </w:r>
      <w:r>
        <w:rPr>
          <w:spacing w:val="-13"/>
        </w:rPr>
        <w:t xml:space="preserve"> </w:t>
      </w:r>
      <w:r>
        <w:t>with</w:t>
      </w:r>
      <w:r>
        <w:rPr>
          <w:spacing w:val="-8"/>
        </w:rPr>
        <w:t xml:space="preserve"> </w:t>
      </w:r>
      <w:r>
        <w:t>EU</w:t>
      </w:r>
      <w:r>
        <w:rPr>
          <w:spacing w:val="-8"/>
        </w:rPr>
        <w:t xml:space="preserve"> </w:t>
      </w:r>
      <w:r>
        <w:t>standards</w:t>
      </w:r>
      <w:r>
        <w:rPr>
          <w:spacing w:val="-58"/>
        </w:rPr>
        <w:t xml:space="preserve"> </w:t>
      </w:r>
      <w:r>
        <w:t>on energy</w:t>
      </w:r>
      <w:r>
        <w:rPr>
          <w:spacing w:val="-6"/>
        </w:rPr>
        <w:t xml:space="preserve"> </w:t>
      </w:r>
      <w:r>
        <w:t>efficiency.</w:t>
      </w:r>
    </w:p>
    <w:p w:rsidR="00A56FE9" w:rsidRDefault="00000000">
      <w:pPr>
        <w:pStyle w:val="Tijeloteksta"/>
        <w:spacing w:before="121"/>
        <w:ind w:right="272"/>
      </w:pPr>
      <w:r>
        <w:t>With the aim of continuing strategic implementation and upgrading of the anti-corruption</w:t>
      </w:r>
      <w:r>
        <w:rPr>
          <w:spacing w:val="1"/>
        </w:rPr>
        <w:t xml:space="preserve"> </w:t>
      </w:r>
      <w:r>
        <w:t>measures system, a new Anti-Corruption Strategy for the period from 2021 to 2030 was</w:t>
      </w:r>
      <w:r>
        <w:rPr>
          <w:spacing w:val="1"/>
        </w:rPr>
        <w:t xml:space="preserve"> </w:t>
      </w:r>
      <w:r>
        <w:t>developed after the expiration of the Anti-Corruption Strategy for the period from 2015 to</w:t>
      </w:r>
      <w:r>
        <w:rPr>
          <w:spacing w:val="1"/>
        </w:rPr>
        <w:t xml:space="preserve"> </w:t>
      </w:r>
      <w:r>
        <w:t>2020.</w:t>
      </w:r>
      <w:r>
        <w:rPr>
          <w:vertAlign w:val="superscript"/>
        </w:rPr>
        <w:t>52</w:t>
      </w:r>
      <w:r>
        <w:t xml:space="preserve"> In addition to implementation and upgrading of existing anti-corruption mechanisms,</w:t>
      </w:r>
      <w:r>
        <w:rPr>
          <w:spacing w:val="1"/>
        </w:rPr>
        <w:t xml:space="preserve"> </w:t>
      </w:r>
      <w:r>
        <w:t>the purpose of the Strategy is to strengthen existing and create new systematic solutions to</w:t>
      </w:r>
      <w:r>
        <w:rPr>
          <w:spacing w:val="1"/>
        </w:rPr>
        <w:t xml:space="preserve"> </w:t>
      </w:r>
      <w:r>
        <w:t>prevent</w:t>
      </w:r>
      <w:r>
        <w:rPr>
          <w:spacing w:val="-3"/>
        </w:rPr>
        <w:t xml:space="preserve"> </w:t>
      </w:r>
      <w:r>
        <w:t>corruption</w:t>
      </w:r>
      <w:r>
        <w:rPr>
          <w:spacing w:val="-4"/>
        </w:rPr>
        <w:t xml:space="preserve"> </w:t>
      </w:r>
      <w:r>
        <w:t>at</w:t>
      </w:r>
      <w:r>
        <w:rPr>
          <w:spacing w:val="-3"/>
        </w:rPr>
        <w:t xml:space="preserve"> </w:t>
      </w:r>
      <w:r>
        <w:t>all</w:t>
      </w:r>
      <w:r>
        <w:rPr>
          <w:spacing w:val="-3"/>
        </w:rPr>
        <w:t xml:space="preserve"> </w:t>
      </w:r>
      <w:r>
        <w:t>levels,</w:t>
      </w:r>
      <w:r>
        <w:rPr>
          <w:spacing w:val="-2"/>
        </w:rPr>
        <w:t xml:space="preserve"> </w:t>
      </w:r>
      <w:r>
        <w:t>raising</w:t>
      </w:r>
      <w:r>
        <w:rPr>
          <w:spacing w:val="-6"/>
        </w:rPr>
        <w:t xml:space="preserve"> </w:t>
      </w:r>
      <w:r>
        <w:t>awareness</w:t>
      </w:r>
      <w:r>
        <w:rPr>
          <w:spacing w:val="-3"/>
        </w:rPr>
        <w:t xml:space="preserve"> </w:t>
      </w:r>
      <w:r>
        <w:t>of</w:t>
      </w:r>
      <w:r>
        <w:rPr>
          <w:spacing w:val="-5"/>
        </w:rPr>
        <w:t xml:space="preserve"> </w:t>
      </w:r>
      <w:r>
        <w:t>the</w:t>
      </w:r>
      <w:r>
        <w:rPr>
          <w:spacing w:val="-3"/>
        </w:rPr>
        <w:t xml:space="preserve"> </w:t>
      </w:r>
      <w:r>
        <w:t>harmfulness</w:t>
      </w:r>
      <w:r>
        <w:rPr>
          <w:spacing w:val="-4"/>
        </w:rPr>
        <w:t xml:space="preserve"> </w:t>
      </w:r>
      <w:r>
        <w:t>of</w:t>
      </w:r>
      <w:r>
        <w:rPr>
          <w:spacing w:val="-1"/>
        </w:rPr>
        <w:t xml:space="preserve"> </w:t>
      </w:r>
      <w:r>
        <w:t>corruption</w:t>
      </w:r>
      <w:r>
        <w:rPr>
          <w:spacing w:val="-4"/>
        </w:rPr>
        <w:t xml:space="preserve"> </w:t>
      </w:r>
      <w:r>
        <w:t>and</w:t>
      </w:r>
      <w:r>
        <w:rPr>
          <w:spacing w:val="-3"/>
        </w:rPr>
        <w:t xml:space="preserve"> </w:t>
      </w:r>
      <w:r>
        <w:t>making</w:t>
      </w:r>
      <w:r>
        <w:rPr>
          <w:spacing w:val="-58"/>
        </w:rPr>
        <w:t xml:space="preserve"> </w:t>
      </w:r>
      <w:r>
        <w:t>it socially unacceptable. In addition, the Strategy insists on more strongly affirming the role of</w:t>
      </w:r>
      <w:r>
        <w:rPr>
          <w:spacing w:val="-57"/>
        </w:rPr>
        <w:t xml:space="preserve"> </w:t>
      </w:r>
      <w:r>
        <w:t>citizens, civil society and the media as indispensable partners to public authorities in the</w:t>
      </w:r>
      <w:r>
        <w:rPr>
          <w:spacing w:val="1"/>
        </w:rPr>
        <w:t xml:space="preserve"> </w:t>
      </w:r>
      <w:r>
        <w:t>uncompromising</w:t>
      </w:r>
      <w:r>
        <w:rPr>
          <w:spacing w:val="-3"/>
        </w:rPr>
        <w:t xml:space="preserve"> </w:t>
      </w:r>
      <w:r>
        <w:t>fight against corruption</w:t>
      </w:r>
      <w:r>
        <w:rPr>
          <w:spacing w:val="-1"/>
        </w:rPr>
        <w:t xml:space="preserve"> </w:t>
      </w:r>
      <w:r>
        <w:t>and in monitoring</w:t>
      </w:r>
      <w:r>
        <w:rPr>
          <w:spacing w:val="-3"/>
        </w:rPr>
        <w:t xml:space="preserve"> </w:t>
      </w:r>
      <w:r>
        <w:t>its</w:t>
      </w:r>
      <w:r>
        <w:rPr>
          <w:spacing w:val="-1"/>
        </w:rPr>
        <w:t xml:space="preserve"> </w:t>
      </w:r>
      <w:r>
        <w:t>effectiveness.</w:t>
      </w:r>
    </w:p>
    <w:p w:rsidR="00A56FE9" w:rsidRDefault="00000000">
      <w:pPr>
        <w:pStyle w:val="Tijeloteksta"/>
        <w:spacing w:before="121"/>
        <w:ind w:right="271"/>
      </w:pPr>
      <w:r>
        <w:t>The modernisation of public administration in Croatia including the fast and reliable provision</w:t>
      </w:r>
      <w:r>
        <w:rPr>
          <w:spacing w:val="-57"/>
        </w:rPr>
        <w:t xml:space="preserve"> </w:t>
      </w:r>
      <w:r>
        <w:t>of public services are prerequisites for a stimulating business environment and better living</w:t>
      </w:r>
      <w:r>
        <w:rPr>
          <w:spacing w:val="1"/>
        </w:rPr>
        <w:t xml:space="preserve"> </w:t>
      </w:r>
      <w:r>
        <w:t>conditions</w:t>
      </w:r>
      <w:r>
        <w:rPr>
          <w:spacing w:val="-2"/>
        </w:rPr>
        <w:t xml:space="preserve"> </w:t>
      </w:r>
      <w:r>
        <w:t>for</w:t>
      </w:r>
      <w:r>
        <w:rPr>
          <w:spacing w:val="-2"/>
        </w:rPr>
        <w:t xml:space="preserve"> </w:t>
      </w:r>
      <w:r>
        <w:t>all</w:t>
      </w:r>
      <w:r>
        <w:rPr>
          <w:spacing w:val="-2"/>
        </w:rPr>
        <w:t xml:space="preserve"> </w:t>
      </w:r>
      <w:r>
        <w:t>citizens.</w:t>
      </w:r>
      <w:r>
        <w:rPr>
          <w:spacing w:val="1"/>
        </w:rPr>
        <w:t xml:space="preserve"> </w:t>
      </w:r>
      <w:r>
        <w:t>In</w:t>
      </w:r>
      <w:r>
        <w:rPr>
          <w:spacing w:val="-1"/>
        </w:rPr>
        <w:t xml:space="preserve"> </w:t>
      </w:r>
      <w:r>
        <w:t>the</w:t>
      </w:r>
      <w:r>
        <w:rPr>
          <w:spacing w:val="-1"/>
        </w:rPr>
        <w:t xml:space="preserve"> </w:t>
      </w:r>
      <w:r>
        <w:t>coming</w:t>
      </w:r>
      <w:r>
        <w:rPr>
          <w:spacing w:val="-4"/>
        </w:rPr>
        <w:t xml:space="preserve"> </w:t>
      </w:r>
      <w:r>
        <w:t>period,</w:t>
      </w:r>
      <w:r>
        <w:rPr>
          <w:spacing w:val="-2"/>
        </w:rPr>
        <w:t xml:space="preserve"> </w:t>
      </w:r>
      <w:r>
        <w:t>the</w:t>
      </w:r>
      <w:r>
        <w:rPr>
          <w:spacing w:val="-1"/>
        </w:rPr>
        <w:t xml:space="preserve"> </w:t>
      </w:r>
      <w:r>
        <w:t>adoption</w:t>
      </w:r>
      <w:r>
        <w:rPr>
          <w:spacing w:val="-1"/>
        </w:rPr>
        <w:t xml:space="preserve"> </w:t>
      </w:r>
      <w:r>
        <w:t>of</w:t>
      </w:r>
      <w:r>
        <w:rPr>
          <w:spacing w:val="-3"/>
        </w:rPr>
        <w:t xml:space="preserve"> </w:t>
      </w:r>
      <w:r>
        <w:t>a</w:t>
      </w:r>
      <w:r>
        <w:rPr>
          <w:spacing w:val="-2"/>
        </w:rPr>
        <w:t xml:space="preserve"> </w:t>
      </w:r>
      <w:r>
        <w:t>new</w:t>
      </w:r>
      <w:r>
        <w:rPr>
          <w:spacing w:val="-1"/>
        </w:rPr>
        <w:t xml:space="preserve"> </w:t>
      </w:r>
      <w:r>
        <w:t>strategic</w:t>
      </w:r>
      <w:r>
        <w:rPr>
          <w:spacing w:val="-3"/>
        </w:rPr>
        <w:t xml:space="preserve"> </w:t>
      </w:r>
      <w:r>
        <w:t>framework</w:t>
      </w:r>
      <w:r>
        <w:rPr>
          <w:spacing w:val="-1"/>
        </w:rPr>
        <w:t xml:space="preserve"> </w:t>
      </w:r>
      <w:r>
        <w:t>for</w:t>
      </w:r>
      <w:r>
        <w:rPr>
          <w:spacing w:val="-58"/>
        </w:rPr>
        <w:t xml:space="preserve"> </w:t>
      </w:r>
      <w:r>
        <w:t>developing</w:t>
      </w:r>
      <w:r>
        <w:rPr>
          <w:spacing w:val="-9"/>
        </w:rPr>
        <w:t xml:space="preserve"> </w:t>
      </w:r>
      <w:r>
        <w:t>public</w:t>
      </w:r>
      <w:r>
        <w:rPr>
          <w:spacing w:val="-7"/>
        </w:rPr>
        <w:t xml:space="preserve"> </w:t>
      </w:r>
      <w:r>
        <w:t>administration</w:t>
      </w:r>
      <w:r>
        <w:rPr>
          <w:spacing w:val="-6"/>
        </w:rPr>
        <w:t xml:space="preserve"> </w:t>
      </w:r>
      <w:r>
        <w:t>and</w:t>
      </w:r>
      <w:r>
        <w:rPr>
          <w:spacing w:val="-4"/>
        </w:rPr>
        <w:t xml:space="preserve"> </w:t>
      </w:r>
      <w:r>
        <w:t>implementing</w:t>
      </w:r>
      <w:r>
        <w:rPr>
          <w:spacing w:val="-8"/>
        </w:rPr>
        <w:t xml:space="preserve"> </w:t>
      </w:r>
      <w:r>
        <w:t>numerous</w:t>
      </w:r>
      <w:r>
        <w:rPr>
          <w:spacing w:val="-6"/>
        </w:rPr>
        <w:t xml:space="preserve"> </w:t>
      </w:r>
      <w:r>
        <w:t>reforms</w:t>
      </w:r>
      <w:r>
        <w:rPr>
          <w:spacing w:val="-7"/>
        </w:rPr>
        <w:t xml:space="preserve"> </w:t>
      </w:r>
      <w:r>
        <w:t>contained</w:t>
      </w:r>
      <w:r>
        <w:rPr>
          <w:spacing w:val="-7"/>
        </w:rPr>
        <w:t xml:space="preserve"> </w:t>
      </w:r>
      <w:r>
        <w:t>in</w:t>
      </w:r>
      <w:r>
        <w:rPr>
          <w:spacing w:val="-6"/>
        </w:rPr>
        <w:t xml:space="preserve"> </w:t>
      </w:r>
      <w:r>
        <w:t>the</w:t>
      </w:r>
      <w:r>
        <w:rPr>
          <w:spacing w:val="-6"/>
        </w:rPr>
        <w:t xml:space="preserve"> </w:t>
      </w:r>
      <w:r>
        <w:t>NRRP,</w:t>
      </w:r>
      <w:r>
        <w:rPr>
          <w:spacing w:val="-58"/>
        </w:rPr>
        <w:t xml:space="preserve"> </w:t>
      </w:r>
      <w:r>
        <w:t>will facilitate further transformation of Croatian public administration into a modern, highly</w:t>
      </w:r>
      <w:r>
        <w:rPr>
          <w:spacing w:val="1"/>
        </w:rPr>
        <w:t xml:space="preserve"> </w:t>
      </w:r>
      <w:r>
        <w:t>professional, efficient and transparent public administration orientated to society and citizens,</w:t>
      </w:r>
      <w:r>
        <w:rPr>
          <w:spacing w:val="1"/>
        </w:rPr>
        <w:t xml:space="preserve"> </w:t>
      </w:r>
      <w:r>
        <w:t>and resting on the principle of quality. Furthermore, public administration will utilise the</w:t>
      </w:r>
      <w:r>
        <w:rPr>
          <w:spacing w:val="1"/>
        </w:rPr>
        <w:t xml:space="preserve"> </w:t>
      </w:r>
      <w:r>
        <w:rPr>
          <w:spacing w:val="-1"/>
        </w:rPr>
        <w:t>opportunities</w:t>
      </w:r>
      <w:r>
        <w:rPr>
          <w:spacing w:val="-12"/>
        </w:rPr>
        <w:t xml:space="preserve"> </w:t>
      </w:r>
      <w:r>
        <w:rPr>
          <w:spacing w:val="-1"/>
        </w:rPr>
        <w:t>provided</w:t>
      </w:r>
      <w:r>
        <w:rPr>
          <w:spacing w:val="-11"/>
        </w:rPr>
        <w:t xml:space="preserve"> </w:t>
      </w:r>
      <w:r>
        <w:t>by</w:t>
      </w:r>
      <w:r>
        <w:rPr>
          <w:spacing w:val="-15"/>
        </w:rPr>
        <w:t xml:space="preserve"> </w:t>
      </w:r>
      <w:r>
        <w:t>digital</w:t>
      </w:r>
      <w:r>
        <w:rPr>
          <w:spacing w:val="-11"/>
        </w:rPr>
        <w:t xml:space="preserve"> </w:t>
      </w:r>
      <w:r>
        <w:t>transformation</w:t>
      </w:r>
      <w:r>
        <w:rPr>
          <w:spacing w:val="-12"/>
        </w:rPr>
        <w:t xml:space="preserve"> </w:t>
      </w:r>
      <w:r>
        <w:t>to</w:t>
      </w:r>
      <w:r>
        <w:rPr>
          <w:spacing w:val="-11"/>
        </w:rPr>
        <w:t xml:space="preserve"> </w:t>
      </w:r>
      <w:r>
        <w:t>improve</w:t>
      </w:r>
      <w:r>
        <w:rPr>
          <w:spacing w:val="-13"/>
        </w:rPr>
        <w:t xml:space="preserve"> </w:t>
      </w:r>
      <w:r>
        <w:t>its</w:t>
      </w:r>
      <w:r>
        <w:rPr>
          <w:spacing w:val="-9"/>
        </w:rPr>
        <w:t xml:space="preserve"> </w:t>
      </w:r>
      <w:r>
        <w:t>operational</w:t>
      </w:r>
      <w:r>
        <w:rPr>
          <w:spacing w:val="-11"/>
        </w:rPr>
        <w:t xml:space="preserve"> </w:t>
      </w:r>
      <w:r>
        <w:t>processes</w:t>
      </w:r>
      <w:r>
        <w:rPr>
          <w:spacing w:val="-13"/>
        </w:rPr>
        <w:t xml:space="preserve"> </w:t>
      </w:r>
      <w:r>
        <w:t>and</w:t>
      </w:r>
      <w:r>
        <w:rPr>
          <w:spacing w:val="-11"/>
        </w:rPr>
        <w:t xml:space="preserve"> </w:t>
      </w:r>
      <w:r>
        <w:t>public</w:t>
      </w:r>
      <w:r>
        <w:rPr>
          <w:spacing w:val="-58"/>
        </w:rPr>
        <w:t xml:space="preserve"> </w:t>
      </w:r>
      <w:r>
        <w:t>services,</w:t>
      </w:r>
      <w:r>
        <w:rPr>
          <w:spacing w:val="-1"/>
        </w:rPr>
        <w:t xml:space="preserve"> </w:t>
      </w:r>
      <w:r>
        <w:t>as</w:t>
      </w:r>
      <w:r>
        <w:rPr>
          <w:spacing w:val="2"/>
        </w:rPr>
        <w:t xml:space="preserve"> </w:t>
      </w:r>
      <w:r>
        <w:t>well as</w:t>
      </w:r>
      <w:r>
        <w:rPr>
          <w:spacing w:val="-1"/>
        </w:rPr>
        <w:t xml:space="preserve"> </w:t>
      </w:r>
      <w:r>
        <w:t>reduce</w:t>
      </w:r>
      <w:r>
        <w:rPr>
          <w:spacing w:val="-1"/>
        </w:rPr>
        <w:t xml:space="preserve"> </w:t>
      </w:r>
      <w:r>
        <w:t>the administrative</w:t>
      </w:r>
      <w:r>
        <w:rPr>
          <w:spacing w:val="-1"/>
        </w:rPr>
        <w:t xml:space="preserve"> </w:t>
      </w:r>
      <w:r>
        <w:t>burden</w:t>
      </w:r>
      <w:r>
        <w:rPr>
          <w:spacing w:val="-1"/>
        </w:rPr>
        <w:t xml:space="preserve"> </w:t>
      </w:r>
      <w:r>
        <w:t>for</w:t>
      </w:r>
      <w:r>
        <w:rPr>
          <w:spacing w:val="-2"/>
        </w:rPr>
        <w:t xml:space="preserve"> </w:t>
      </w:r>
      <w:r>
        <w:t>citizens and</w:t>
      </w:r>
      <w:r>
        <w:rPr>
          <w:spacing w:val="-1"/>
        </w:rPr>
        <w:t xml:space="preserve"> </w:t>
      </w:r>
      <w:r>
        <w:t>businesses.</w:t>
      </w: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CC1B9B">
      <w:pPr>
        <w:pStyle w:val="Tijeloteksta"/>
        <w:spacing w:before="10"/>
        <w:ind w:left="0"/>
        <w:jc w:val="left"/>
        <w:rPr>
          <w:sz w:val="17"/>
        </w:rPr>
      </w:pPr>
      <w:r>
        <w:rPr>
          <w:noProof/>
        </w:rPr>
        <mc:AlternateContent>
          <mc:Choice Requires="wps">
            <w:drawing>
              <wp:anchor distT="0" distB="0" distL="0" distR="0" simplePos="0" relativeHeight="487702528" behindDoc="1" locked="0" layoutInCell="1" allowOverlap="1">
                <wp:simplePos x="0" y="0"/>
                <wp:positionH relativeFrom="page">
                  <wp:posOffset>901065</wp:posOffset>
                </wp:positionH>
                <wp:positionV relativeFrom="paragraph">
                  <wp:posOffset>155575</wp:posOffset>
                </wp:positionV>
                <wp:extent cx="1828800" cy="7620"/>
                <wp:effectExtent l="0" t="0" r="0" b="0"/>
                <wp:wrapTopAndBottom/>
                <wp:docPr id="38422508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F76E1" id="Rectangle 19" o:spid="_x0000_s1026" style="position:absolute;margin-left:70.95pt;margin-top:12.25pt;width:2in;height:.6pt;z-index:-15613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52</w:t>
      </w:r>
      <w:r>
        <w:rPr>
          <w:spacing w:val="-1"/>
          <w:sz w:val="16"/>
        </w:rPr>
        <w:t xml:space="preserve"> </w:t>
      </w:r>
      <w:r>
        <w:rPr>
          <w:sz w:val="16"/>
        </w:rPr>
        <w:t>OG</w:t>
      </w:r>
      <w:r>
        <w:rPr>
          <w:spacing w:val="-3"/>
          <w:sz w:val="16"/>
        </w:rPr>
        <w:t xml:space="preserve"> </w:t>
      </w:r>
      <w:r>
        <w:rPr>
          <w:sz w:val="16"/>
        </w:rPr>
        <w:t>26/15</w:t>
      </w:r>
    </w:p>
    <w:p w:rsidR="00A56FE9" w:rsidRDefault="00A56FE9">
      <w:pPr>
        <w:rPr>
          <w:sz w:val="16"/>
        </w:rPr>
        <w:sectPr w:rsidR="00A56FE9" w:rsidSect="00AB1E70">
          <w:pgSz w:w="11910" w:h="16840"/>
          <w:pgMar w:top="1320" w:right="1140" w:bottom="960" w:left="1280" w:header="0" w:footer="699" w:gutter="0"/>
          <w:cols w:space="720"/>
        </w:sectPr>
      </w:pPr>
    </w:p>
    <w:p w:rsidR="00A56FE9" w:rsidRDefault="00A56FE9">
      <w:pPr>
        <w:pStyle w:val="Tijeloteksta"/>
        <w:spacing w:before="2"/>
        <w:ind w:left="0"/>
        <w:jc w:val="left"/>
        <w:rPr>
          <w:sz w:val="13"/>
        </w:rPr>
      </w:pPr>
    </w:p>
    <w:p w:rsidR="00A56FE9" w:rsidRDefault="00CC1B9B">
      <w:pPr>
        <w:pStyle w:val="Naslov4"/>
        <w:spacing w:before="88"/>
        <w:ind w:right="284"/>
      </w:pPr>
      <w:r>
        <w:rPr>
          <w:noProof/>
        </w:rPr>
        <mc:AlternateContent>
          <mc:Choice Requires="wps">
            <w:drawing>
              <wp:anchor distT="0" distB="0" distL="114300" distR="114300" simplePos="0" relativeHeight="15843840" behindDoc="0" locked="0" layoutInCell="1" allowOverlap="1">
                <wp:simplePos x="0" y="0"/>
                <wp:positionH relativeFrom="page">
                  <wp:posOffset>814070</wp:posOffset>
                </wp:positionH>
                <wp:positionV relativeFrom="paragraph">
                  <wp:posOffset>-96520</wp:posOffset>
                </wp:positionV>
                <wp:extent cx="18415" cy="608965"/>
                <wp:effectExtent l="0" t="0" r="0" b="0"/>
                <wp:wrapNone/>
                <wp:docPr id="116632169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15" cy="608965"/>
                        </a:xfrm>
                        <a:custGeom>
                          <a:avLst/>
                          <a:gdLst>
                            <a:gd name="T0" fmla="+- 0 1311 1282"/>
                            <a:gd name="T1" fmla="*/ T0 w 29"/>
                            <a:gd name="T2" fmla="+- 0 -152 -152"/>
                            <a:gd name="T3" fmla="*/ -152 h 959"/>
                            <a:gd name="T4" fmla="+- 0 1282 1282"/>
                            <a:gd name="T5" fmla="*/ T4 w 29"/>
                            <a:gd name="T6" fmla="+- 0 -152 -152"/>
                            <a:gd name="T7" fmla="*/ -152 h 959"/>
                            <a:gd name="T8" fmla="+- 0 1282 1282"/>
                            <a:gd name="T9" fmla="*/ T8 w 29"/>
                            <a:gd name="T10" fmla="+- 0 386 -152"/>
                            <a:gd name="T11" fmla="*/ 386 h 959"/>
                            <a:gd name="T12" fmla="+- 0 1282 1282"/>
                            <a:gd name="T13" fmla="*/ T12 w 29"/>
                            <a:gd name="T14" fmla="+- 0 806 -152"/>
                            <a:gd name="T15" fmla="*/ 806 h 959"/>
                            <a:gd name="T16" fmla="+- 0 1311 1282"/>
                            <a:gd name="T17" fmla="*/ T16 w 29"/>
                            <a:gd name="T18" fmla="+- 0 806 -152"/>
                            <a:gd name="T19" fmla="*/ 806 h 959"/>
                            <a:gd name="T20" fmla="+- 0 1311 1282"/>
                            <a:gd name="T21" fmla="*/ T20 w 29"/>
                            <a:gd name="T22" fmla="+- 0 386 -152"/>
                            <a:gd name="T23" fmla="*/ 386 h 959"/>
                            <a:gd name="T24" fmla="+- 0 1311 1282"/>
                            <a:gd name="T25" fmla="*/ T24 w 29"/>
                            <a:gd name="T26" fmla="+- 0 -152 -152"/>
                            <a:gd name="T27" fmla="*/ -152 h 959"/>
                          </a:gdLst>
                          <a:ahLst/>
                          <a:cxnLst>
                            <a:cxn ang="0">
                              <a:pos x="T1" y="T3"/>
                            </a:cxn>
                            <a:cxn ang="0">
                              <a:pos x="T5" y="T7"/>
                            </a:cxn>
                            <a:cxn ang="0">
                              <a:pos x="T9" y="T11"/>
                            </a:cxn>
                            <a:cxn ang="0">
                              <a:pos x="T13" y="T15"/>
                            </a:cxn>
                            <a:cxn ang="0">
                              <a:pos x="T17" y="T19"/>
                            </a:cxn>
                            <a:cxn ang="0">
                              <a:pos x="T21" y="T23"/>
                            </a:cxn>
                            <a:cxn ang="0">
                              <a:pos x="T25" y="T27"/>
                            </a:cxn>
                          </a:cxnLst>
                          <a:rect l="0" t="0" r="r" b="b"/>
                          <a:pathLst>
                            <a:path w="29" h="959">
                              <a:moveTo>
                                <a:pt x="29" y="0"/>
                              </a:moveTo>
                              <a:lnTo>
                                <a:pt x="0" y="0"/>
                              </a:lnTo>
                              <a:lnTo>
                                <a:pt x="0" y="538"/>
                              </a:lnTo>
                              <a:lnTo>
                                <a:pt x="0" y="958"/>
                              </a:lnTo>
                              <a:lnTo>
                                <a:pt x="29" y="958"/>
                              </a:lnTo>
                              <a:lnTo>
                                <a:pt x="29" y="538"/>
                              </a:lnTo>
                              <a:lnTo>
                                <a:pt x="29" y="0"/>
                              </a:lnTo>
                              <a:close/>
                            </a:path>
                          </a:pathLst>
                        </a:custGeom>
                        <a:solidFill>
                          <a:srgbClr val="DA1F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81803B" id="Freeform 18" o:spid="_x0000_s1026" style="position:absolute;margin-left:64.1pt;margin-top:-7.6pt;width:1.45pt;height:47.95pt;z-index:1584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9,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" path="m29,l,,,538,,958r29,l29,538,29,xe" fillcolor="#da1f2c" stroked="f">
                <v:path arrowok="t" o:connecttype="custom" o:connectlocs="18415,-96520;0,-96520;0,245110;0,511810;18415,511810;18415,245110;18415,-96520" o:connectangles="0,0,0,0,0,0,0"/>
                <w10:wrap anchorx="page"/>
              </v:shape>
            </w:pict>
          </mc:Fallback>
        </mc:AlternateContent>
      </w:r>
      <w:r w:rsidR="00000000">
        <w:rPr>
          <w:color w:val="2C398A"/>
        </w:rPr>
        <w:t>Goal</w:t>
      </w:r>
      <w:r w:rsidR="00000000">
        <w:rPr>
          <w:color w:val="2C398A"/>
          <w:spacing w:val="1"/>
        </w:rPr>
        <w:t xml:space="preserve"> </w:t>
      </w:r>
      <w:r w:rsidR="00000000">
        <w:rPr>
          <w:color w:val="2C398A"/>
        </w:rPr>
        <w:t>17.</w:t>
      </w:r>
      <w:r w:rsidR="00000000">
        <w:rPr>
          <w:color w:val="2C398A"/>
          <w:spacing w:val="1"/>
        </w:rPr>
        <w:t xml:space="preserve"> </w:t>
      </w:r>
      <w:r w:rsidR="00000000">
        <w:rPr>
          <w:color w:val="2C398A"/>
        </w:rPr>
        <w:t>Strengthen</w:t>
      </w:r>
      <w:r w:rsidR="00000000">
        <w:rPr>
          <w:color w:val="2C398A"/>
          <w:spacing w:val="1"/>
        </w:rPr>
        <w:t xml:space="preserve"> </w:t>
      </w:r>
      <w:r w:rsidR="00000000">
        <w:rPr>
          <w:color w:val="2C398A"/>
        </w:rPr>
        <w:t>the</w:t>
      </w:r>
      <w:r w:rsidR="00000000">
        <w:rPr>
          <w:color w:val="2C398A"/>
          <w:spacing w:val="1"/>
        </w:rPr>
        <w:t xml:space="preserve"> </w:t>
      </w:r>
      <w:r w:rsidR="00000000">
        <w:rPr>
          <w:color w:val="2C398A"/>
        </w:rPr>
        <w:t>means</w:t>
      </w:r>
      <w:r w:rsidR="00000000">
        <w:rPr>
          <w:color w:val="2C398A"/>
          <w:spacing w:val="1"/>
        </w:rPr>
        <w:t xml:space="preserve"> </w:t>
      </w:r>
      <w:r w:rsidR="00000000">
        <w:rPr>
          <w:color w:val="2C398A"/>
        </w:rPr>
        <w:t>of</w:t>
      </w:r>
      <w:r w:rsidR="00000000">
        <w:rPr>
          <w:color w:val="2C398A"/>
          <w:spacing w:val="1"/>
        </w:rPr>
        <w:t xml:space="preserve"> </w:t>
      </w:r>
      <w:r w:rsidR="00000000">
        <w:rPr>
          <w:color w:val="2C398A"/>
        </w:rPr>
        <w:t>implementation</w:t>
      </w:r>
      <w:r w:rsidR="00000000">
        <w:rPr>
          <w:color w:val="2C398A"/>
          <w:spacing w:val="1"/>
        </w:rPr>
        <w:t xml:space="preserve"> </w:t>
      </w:r>
      <w:r w:rsidR="00000000">
        <w:rPr>
          <w:color w:val="2C398A"/>
        </w:rPr>
        <w:t>and</w:t>
      </w:r>
      <w:r w:rsidR="00000000">
        <w:rPr>
          <w:color w:val="2C398A"/>
          <w:spacing w:val="1"/>
        </w:rPr>
        <w:t xml:space="preserve"> </w:t>
      </w:r>
      <w:r w:rsidR="00000000">
        <w:rPr>
          <w:color w:val="2C398A"/>
        </w:rPr>
        <w:t>revitalize</w:t>
      </w:r>
      <w:r w:rsidR="00000000">
        <w:rPr>
          <w:color w:val="2C398A"/>
          <w:spacing w:val="1"/>
        </w:rPr>
        <w:t xml:space="preserve"> </w:t>
      </w:r>
      <w:r w:rsidR="00000000">
        <w:rPr>
          <w:color w:val="2C398A"/>
        </w:rPr>
        <w:t>the</w:t>
      </w:r>
      <w:r w:rsidR="00000000">
        <w:rPr>
          <w:color w:val="2C398A"/>
          <w:spacing w:val="1"/>
        </w:rPr>
        <w:t xml:space="preserve"> </w:t>
      </w:r>
      <w:r w:rsidR="00000000">
        <w:rPr>
          <w:color w:val="2C398A"/>
        </w:rPr>
        <w:t>Global</w:t>
      </w:r>
      <w:r w:rsidR="00000000">
        <w:rPr>
          <w:color w:val="2C398A"/>
          <w:spacing w:val="1"/>
        </w:rPr>
        <w:t xml:space="preserve"> </w:t>
      </w:r>
      <w:r w:rsidR="00000000">
        <w:rPr>
          <w:color w:val="2C398A"/>
        </w:rPr>
        <w:t>Partnership</w:t>
      </w:r>
      <w:r w:rsidR="00000000">
        <w:rPr>
          <w:color w:val="2C398A"/>
          <w:spacing w:val="-2"/>
        </w:rPr>
        <w:t xml:space="preserve"> </w:t>
      </w:r>
      <w:r w:rsidR="00000000">
        <w:rPr>
          <w:color w:val="2C398A"/>
        </w:rPr>
        <w:t>for</w:t>
      </w:r>
      <w:r w:rsidR="00000000">
        <w:rPr>
          <w:color w:val="2C398A"/>
          <w:spacing w:val="-1"/>
        </w:rPr>
        <w:t xml:space="preserve"> </w:t>
      </w:r>
      <w:r w:rsidR="00000000">
        <w:rPr>
          <w:color w:val="2C398A"/>
        </w:rPr>
        <w:t>Sustainable</w:t>
      </w:r>
      <w:r w:rsidR="00000000">
        <w:rPr>
          <w:color w:val="2C398A"/>
          <w:spacing w:val="-1"/>
        </w:rPr>
        <w:t xml:space="preserve"> </w:t>
      </w:r>
      <w:r w:rsidR="00000000">
        <w:rPr>
          <w:color w:val="2C398A"/>
        </w:rPr>
        <w:t>Development</w:t>
      </w:r>
    </w:p>
    <w:p w:rsidR="00A56FE9" w:rsidRDefault="00000000">
      <w:pPr>
        <w:pStyle w:val="Tijeloteksta"/>
        <w:spacing w:before="115"/>
        <w:ind w:right="273"/>
      </w:pPr>
      <w:r>
        <w:t>An agreement has been reached at the EU level on the share of gross national income (GNI),</w:t>
      </w:r>
      <w:r>
        <w:rPr>
          <w:spacing w:val="1"/>
        </w:rPr>
        <w:t xml:space="preserve"> </w:t>
      </w:r>
      <w:r>
        <w:t>which</w:t>
      </w:r>
      <w:r>
        <w:rPr>
          <w:spacing w:val="-6"/>
        </w:rPr>
        <w:t xml:space="preserve"> </w:t>
      </w:r>
      <w:r>
        <w:t>Member</w:t>
      </w:r>
      <w:r>
        <w:rPr>
          <w:spacing w:val="-7"/>
        </w:rPr>
        <w:t xml:space="preserve"> </w:t>
      </w:r>
      <w:r>
        <w:t>States</w:t>
      </w:r>
      <w:r>
        <w:rPr>
          <w:spacing w:val="-5"/>
        </w:rPr>
        <w:t xml:space="preserve"> </w:t>
      </w:r>
      <w:r>
        <w:t>have</w:t>
      </w:r>
      <w:r>
        <w:rPr>
          <w:spacing w:val="-7"/>
        </w:rPr>
        <w:t xml:space="preserve"> </w:t>
      </w:r>
      <w:r>
        <w:t>committed</w:t>
      </w:r>
      <w:r>
        <w:rPr>
          <w:spacing w:val="-7"/>
        </w:rPr>
        <w:t xml:space="preserve"> </w:t>
      </w:r>
      <w:r>
        <w:t>to</w:t>
      </w:r>
      <w:r>
        <w:rPr>
          <w:spacing w:val="-5"/>
        </w:rPr>
        <w:t xml:space="preserve"> </w:t>
      </w:r>
      <w:r>
        <w:t>allocate</w:t>
      </w:r>
      <w:r>
        <w:rPr>
          <w:spacing w:val="-4"/>
        </w:rPr>
        <w:t xml:space="preserve"> </w:t>
      </w:r>
      <w:r>
        <w:t>annually</w:t>
      </w:r>
      <w:r>
        <w:rPr>
          <w:spacing w:val="-11"/>
        </w:rPr>
        <w:t xml:space="preserve"> </w:t>
      </w:r>
      <w:r>
        <w:t>to</w:t>
      </w:r>
      <w:r>
        <w:rPr>
          <w:spacing w:val="-4"/>
        </w:rPr>
        <w:t xml:space="preserve"> </w:t>
      </w:r>
      <w:r>
        <w:t>Official</w:t>
      </w:r>
      <w:r>
        <w:rPr>
          <w:spacing w:val="-6"/>
        </w:rPr>
        <w:t xml:space="preserve"> </w:t>
      </w:r>
      <w:r>
        <w:t>Development</w:t>
      </w:r>
      <w:r>
        <w:rPr>
          <w:spacing w:val="-6"/>
        </w:rPr>
        <w:t xml:space="preserve"> </w:t>
      </w:r>
      <w:r>
        <w:t>Assistance</w:t>
      </w:r>
      <w:r>
        <w:rPr>
          <w:spacing w:val="-57"/>
        </w:rPr>
        <w:t xml:space="preserve"> </w:t>
      </w:r>
      <w:r>
        <w:t>(ODA). That share for the so-called old Member States amount to 0.7% of GNI, while for the</w:t>
      </w:r>
      <w:r>
        <w:rPr>
          <w:spacing w:val="1"/>
        </w:rPr>
        <w:t xml:space="preserve"> </w:t>
      </w:r>
      <w:r>
        <w:t>new Member States, i.e., those that joined the Union after 2003, the agreed share is 0.33% of</w:t>
      </w:r>
      <w:r>
        <w:rPr>
          <w:spacing w:val="1"/>
        </w:rPr>
        <w:t xml:space="preserve"> </w:t>
      </w:r>
      <w:r>
        <w:t>GNI. In total, Croatia's official development assistance in 2020 amounted to HRK 516.89</w:t>
      </w:r>
      <w:r>
        <w:rPr>
          <w:spacing w:val="1"/>
        </w:rPr>
        <w:t xml:space="preserve"> </w:t>
      </w:r>
      <w:r>
        <w:t>million. Compared to 2019, allocations increased by 7.5%. This is a continuing trend in</w:t>
      </w:r>
      <w:r>
        <w:rPr>
          <w:spacing w:val="1"/>
        </w:rPr>
        <w:t xml:space="preserve"> </w:t>
      </w:r>
      <w:r>
        <w:t>increasing Croatia’s total annual allocation for implementing development and humanitarian</w:t>
      </w:r>
      <w:r>
        <w:rPr>
          <w:spacing w:val="1"/>
        </w:rPr>
        <w:t xml:space="preserve"> </w:t>
      </w:r>
      <w:r>
        <w:t>projects</w:t>
      </w:r>
      <w:r>
        <w:rPr>
          <w:spacing w:val="1"/>
        </w:rPr>
        <w:t xml:space="preserve"> </w:t>
      </w:r>
      <w:r>
        <w:t>abroad.</w:t>
      </w:r>
      <w:r>
        <w:rPr>
          <w:spacing w:val="1"/>
        </w:rPr>
        <w:t xml:space="preserve"> </w:t>
      </w:r>
      <w:r>
        <w:t>According</w:t>
      </w:r>
      <w:r>
        <w:rPr>
          <w:spacing w:val="1"/>
        </w:rPr>
        <w:t xml:space="preserve"> </w:t>
      </w:r>
      <w:r>
        <w:t>to</w:t>
      </w:r>
      <w:r>
        <w:rPr>
          <w:spacing w:val="1"/>
        </w:rPr>
        <w:t xml:space="preserve"> </w:t>
      </w:r>
      <w:r>
        <w:t>the</w:t>
      </w:r>
      <w:r>
        <w:rPr>
          <w:spacing w:val="1"/>
        </w:rPr>
        <w:t xml:space="preserve"> </w:t>
      </w:r>
      <w:r>
        <w:t>latest</w:t>
      </w:r>
      <w:r>
        <w:rPr>
          <w:spacing w:val="1"/>
        </w:rPr>
        <w:t xml:space="preserve"> </w:t>
      </w:r>
      <w:r>
        <w:t>results</w:t>
      </w:r>
      <w:r>
        <w:rPr>
          <w:spacing w:val="1"/>
        </w:rPr>
        <w:t xml:space="preserve"> </w:t>
      </w:r>
      <w:r>
        <w:t>of</w:t>
      </w:r>
      <w:r>
        <w:rPr>
          <w:spacing w:val="1"/>
        </w:rPr>
        <w:t xml:space="preserve"> </w:t>
      </w:r>
      <w:r>
        <w:t>the</w:t>
      </w:r>
      <w:r>
        <w:rPr>
          <w:spacing w:val="1"/>
        </w:rPr>
        <w:t xml:space="preserve"> </w:t>
      </w:r>
      <w:r>
        <w:t>OECD</w:t>
      </w:r>
      <w:r>
        <w:rPr>
          <w:spacing w:val="1"/>
        </w:rPr>
        <w:t xml:space="preserve"> </w:t>
      </w:r>
      <w:r>
        <w:t>Development</w:t>
      </w:r>
      <w:r>
        <w:rPr>
          <w:spacing w:val="1"/>
        </w:rPr>
        <w:t xml:space="preserve"> </w:t>
      </w:r>
      <w:r>
        <w:t>Assistance</w:t>
      </w:r>
      <w:r>
        <w:rPr>
          <w:spacing w:val="1"/>
        </w:rPr>
        <w:t xml:space="preserve"> </w:t>
      </w:r>
      <w:r>
        <w:t>Committee,</w:t>
      </w:r>
      <w:r>
        <w:rPr>
          <w:spacing w:val="-1"/>
        </w:rPr>
        <w:t xml:space="preserve"> </w:t>
      </w:r>
      <w:r>
        <w:t>Croatia's ODA</w:t>
      </w:r>
      <w:r>
        <w:rPr>
          <w:spacing w:val="-1"/>
        </w:rPr>
        <w:t xml:space="preserve"> </w:t>
      </w:r>
      <w:r>
        <w:t>allocations in 2020</w:t>
      </w:r>
      <w:r>
        <w:rPr>
          <w:spacing w:val="-1"/>
        </w:rPr>
        <w:t xml:space="preserve"> </w:t>
      </w:r>
      <w:r>
        <w:t>amounted to</w:t>
      </w:r>
      <w:r>
        <w:rPr>
          <w:spacing w:val="-1"/>
        </w:rPr>
        <w:t xml:space="preserve"> </w:t>
      </w:r>
      <w:r>
        <w:t>0.13% of</w:t>
      </w:r>
      <w:r>
        <w:rPr>
          <w:spacing w:val="-1"/>
        </w:rPr>
        <w:t xml:space="preserve"> </w:t>
      </w:r>
      <w:r>
        <w:t>GNI.</w:t>
      </w:r>
    </w:p>
    <w:p w:rsidR="00A56FE9" w:rsidRDefault="00A56FE9">
      <w:pPr>
        <w:sectPr w:rsidR="00A56FE9" w:rsidSect="00AB1E70">
          <w:pgSz w:w="11910" w:h="16840"/>
          <w:pgMar w:top="1160" w:right="1140" w:bottom="960" w:left="1280" w:header="0" w:footer="699" w:gutter="0"/>
          <w:cols w:space="720"/>
        </w:sectPr>
      </w:pPr>
    </w:p>
    <w:p w:rsidR="00A56FE9" w:rsidRDefault="00000000">
      <w:pPr>
        <w:pStyle w:val="Naslov1"/>
        <w:numPr>
          <w:ilvl w:val="0"/>
          <w:numId w:val="8"/>
        </w:numPr>
        <w:tabs>
          <w:tab w:val="left" w:pos="593"/>
        </w:tabs>
        <w:ind w:hanging="455"/>
      </w:pPr>
      <w:bookmarkStart w:id="32" w:name="_bookmark32"/>
      <w:bookmarkEnd w:id="32"/>
      <w:r>
        <w:rPr>
          <w:color w:val="003399"/>
          <w:spacing w:val="-1"/>
        </w:rPr>
        <w:t>EU</w:t>
      </w:r>
      <w:r>
        <w:rPr>
          <w:color w:val="003399"/>
          <w:spacing w:val="-15"/>
        </w:rPr>
        <w:t xml:space="preserve"> </w:t>
      </w:r>
      <w:r>
        <w:rPr>
          <w:color w:val="003399"/>
          <w:spacing w:val="-1"/>
        </w:rPr>
        <w:t>Funds</w:t>
      </w:r>
    </w:p>
    <w:p w:rsidR="00A56FE9" w:rsidRDefault="00A56FE9">
      <w:pPr>
        <w:pStyle w:val="Tijeloteksta"/>
        <w:spacing w:before="10"/>
        <w:ind w:left="0"/>
        <w:jc w:val="left"/>
        <w:rPr>
          <w:rFonts w:ascii="Calibri Light"/>
          <w:sz w:val="22"/>
        </w:rPr>
      </w:pPr>
    </w:p>
    <w:p w:rsidR="00A56FE9" w:rsidRDefault="00000000">
      <w:pPr>
        <w:spacing w:before="89"/>
        <w:ind w:left="1216"/>
        <w:rPr>
          <w:b/>
          <w:sz w:val="28"/>
        </w:rPr>
      </w:pPr>
      <w:r>
        <w:rPr>
          <w:noProof/>
        </w:rPr>
        <w:drawing>
          <wp:anchor distT="0" distB="0" distL="0" distR="0" simplePos="0" relativeHeight="15844352" behindDoc="0" locked="0" layoutInCell="1" allowOverlap="1">
            <wp:simplePos x="0" y="0"/>
            <wp:positionH relativeFrom="page">
              <wp:posOffset>1082097</wp:posOffset>
            </wp:positionH>
            <wp:positionV relativeFrom="paragraph">
              <wp:posOffset>101939</wp:posOffset>
            </wp:positionV>
            <wp:extent cx="300932" cy="125648"/>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9" cstate="print"/>
                    <a:stretch>
                      <a:fillRect/>
                    </a:stretch>
                  </pic:blipFill>
                  <pic:spPr>
                    <a:xfrm>
                      <a:off x="0" y="0"/>
                      <a:ext cx="300932" cy="125648"/>
                    </a:xfrm>
                    <a:prstGeom prst="rect">
                      <a:avLst/>
                    </a:prstGeom>
                  </pic:spPr>
                </pic:pic>
              </a:graphicData>
            </a:graphic>
          </wp:anchor>
        </w:drawing>
      </w:r>
      <w:r>
        <w:rPr>
          <w:b/>
          <w:color w:val="003399"/>
          <w:sz w:val="28"/>
        </w:rPr>
        <w:t>Programming</w:t>
      </w:r>
      <w:r>
        <w:rPr>
          <w:b/>
          <w:color w:val="003399"/>
          <w:spacing w:val="-4"/>
          <w:sz w:val="28"/>
        </w:rPr>
        <w:t xml:space="preserve"> </w:t>
      </w:r>
      <w:r>
        <w:rPr>
          <w:b/>
          <w:color w:val="003399"/>
          <w:sz w:val="28"/>
        </w:rPr>
        <w:t>and</w:t>
      </w:r>
      <w:r>
        <w:rPr>
          <w:b/>
          <w:color w:val="003399"/>
          <w:spacing w:val="-3"/>
          <w:sz w:val="28"/>
        </w:rPr>
        <w:t xml:space="preserve"> </w:t>
      </w:r>
      <w:r>
        <w:rPr>
          <w:b/>
          <w:color w:val="003399"/>
          <w:sz w:val="28"/>
        </w:rPr>
        <w:t>complementarity</w:t>
      </w:r>
    </w:p>
    <w:p w:rsidR="00A56FE9" w:rsidRDefault="00000000">
      <w:pPr>
        <w:pStyle w:val="Tijeloteksta"/>
        <w:spacing w:before="186"/>
        <w:ind w:right="272"/>
      </w:pPr>
      <w:r>
        <w:t>The program process defining the future financial period began with the adoption of the</w:t>
      </w:r>
      <w:r>
        <w:rPr>
          <w:spacing w:val="1"/>
        </w:rPr>
        <w:t xml:space="preserve"> </w:t>
      </w:r>
      <w:r>
        <w:t>Decision on (Operational) Programmes related to the Cohesion Policy for the period of the</w:t>
      </w:r>
      <w:r>
        <w:rPr>
          <w:spacing w:val="1"/>
        </w:rPr>
        <w:t xml:space="preserve"> </w:t>
      </w:r>
      <w:r>
        <w:t>European Union 2021-2027 in the Republic of Croatia and the bodies in charge of their</w:t>
      </w:r>
      <w:r>
        <w:rPr>
          <w:spacing w:val="1"/>
        </w:rPr>
        <w:t xml:space="preserve"> </w:t>
      </w:r>
      <w:r>
        <w:t>preparation. The formal process of drafting program documents for the financial period 2021-</w:t>
      </w:r>
      <w:r>
        <w:rPr>
          <w:spacing w:val="1"/>
        </w:rPr>
        <w:t xml:space="preserve"> </w:t>
      </w:r>
      <w:r>
        <w:rPr>
          <w:spacing w:val="-1"/>
        </w:rPr>
        <w:t>2027</w:t>
      </w:r>
      <w:r>
        <w:rPr>
          <w:spacing w:val="-15"/>
        </w:rPr>
        <w:t xml:space="preserve"> </w:t>
      </w:r>
      <w:r>
        <w:t>began</w:t>
      </w:r>
      <w:r>
        <w:rPr>
          <w:spacing w:val="-13"/>
        </w:rPr>
        <w:t xml:space="preserve"> </w:t>
      </w:r>
      <w:r>
        <w:t>with</w:t>
      </w:r>
      <w:r>
        <w:rPr>
          <w:spacing w:val="-14"/>
        </w:rPr>
        <w:t xml:space="preserve"> </w:t>
      </w:r>
      <w:r>
        <w:t>the</w:t>
      </w:r>
      <w:r>
        <w:rPr>
          <w:spacing w:val="-13"/>
        </w:rPr>
        <w:t xml:space="preserve"> </w:t>
      </w:r>
      <w:r>
        <w:t>establishment</w:t>
      </w:r>
      <w:r>
        <w:rPr>
          <w:spacing w:val="-15"/>
        </w:rPr>
        <w:t xml:space="preserve"> </w:t>
      </w:r>
      <w:r>
        <w:t>of</w:t>
      </w:r>
      <w:r>
        <w:rPr>
          <w:spacing w:val="-16"/>
        </w:rPr>
        <w:t xml:space="preserve"> </w:t>
      </w:r>
      <w:r>
        <w:t>five</w:t>
      </w:r>
      <w:r>
        <w:rPr>
          <w:spacing w:val="-14"/>
        </w:rPr>
        <w:t xml:space="preserve"> </w:t>
      </w:r>
      <w:r>
        <w:t>working</w:t>
      </w:r>
      <w:r>
        <w:rPr>
          <w:spacing w:val="-15"/>
        </w:rPr>
        <w:t xml:space="preserve"> </w:t>
      </w:r>
      <w:r>
        <w:t>groups</w:t>
      </w:r>
      <w:r>
        <w:rPr>
          <w:spacing w:val="-13"/>
        </w:rPr>
        <w:t xml:space="preserve"> </w:t>
      </w:r>
      <w:r>
        <w:t>for</w:t>
      </w:r>
      <w:r>
        <w:rPr>
          <w:spacing w:val="-14"/>
        </w:rPr>
        <w:t xml:space="preserve"> </w:t>
      </w:r>
      <w:r>
        <w:t>preparing</w:t>
      </w:r>
      <w:r>
        <w:rPr>
          <w:spacing w:val="-17"/>
        </w:rPr>
        <w:t xml:space="preserve"> </w:t>
      </w:r>
      <w:r>
        <w:t>the</w:t>
      </w:r>
      <w:r>
        <w:rPr>
          <w:spacing w:val="-13"/>
        </w:rPr>
        <w:t xml:space="preserve"> </w:t>
      </w:r>
      <w:r>
        <w:t>program</w:t>
      </w:r>
      <w:r>
        <w:rPr>
          <w:spacing w:val="-14"/>
        </w:rPr>
        <w:t xml:space="preserve"> </w:t>
      </w:r>
      <w:r>
        <w:t>documents</w:t>
      </w:r>
      <w:r>
        <w:rPr>
          <w:spacing w:val="-57"/>
        </w:rPr>
        <w:t xml:space="preserve"> </w:t>
      </w:r>
      <w:r>
        <w:t>for the financial period of the European Union 2021-2027, each of which primarily covers one</w:t>
      </w:r>
      <w:r>
        <w:rPr>
          <w:spacing w:val="-57"/>
        </w:rPr>
        <w:t xml:space="preserve"> </w:t>
      </w:r>
      <w:r>
        <w:t>of the five objectives of Cohesion Policy in accordance with the Regulation on Common</w:t>
      </w:r>
      <w:r>
        <w:rPr>
          <w:spacing w:val="1"/>
        </w:rPr>
        <w:t xml:space="preserve"> </w:t>
      </w:r>
      <w:r>
        <w:t>Provisions for the Programming Period 2021-2027 (2021/1060) and accompanying sectoral</w:t>
      </w:r>
      <w:r>
        <w:rPr>
          <w:spacing w:val="1"/>
        </w:rPr>
        <w:t xml:space="preserve"> </w:t>
      </w:r>
      <w:r>
        <w:t>Regulations from the EC. Each of the working groups have named content holders at the level</w:t>
      </w:r>
      <w:r>
        <w:rPr>
          <w:spacing w:val="-57"/>
        </w:rPr>
        <w:t xml:space="preserve"> </w:t>
      </w:r>
      <w:r>
        <w:t>of</w:t>
      </w:r>
      <w:r>
        <w:rPr>
          <w:spacing w:val="-6"/>
        </w:rPr>
        <w:t xml:space="preserve"> </w:t>
      </w:r>
      <w:r>
        <w:t>state</w:t>
      </w:r>
      <w:r>
        <w:rPr>
          <w:spacing w:val="-5"/>
        </w:rPr>
        <w:t xml:space="preserve"> </w:t>
      </w:r>
      <w:r>
        <w:t>secretaries</w:t>
      </w:r>
      <w:r>
        <w:rPr>
          <w:spacing w:val="-4"/>
        </w:rPr>
        <w:t xml:space="preserve"> </w:t>
      </w:r>
      <w:r>
        <w:t>at</w:t>
      </w:r>
      <w:r>
        <w:rPr>
          <w:spacing w:val="-3"/>
        </w:rPr>
        <w:t xml:space="preserve"> </w:t>
      </w:r>
      <w:r>
        <w:t>the</w:t>
      </w:r>
      <w:r>
        <w:rPr>
          <w:spacing w:val="-1"/>
        </w:rPr>
        <w:t xml:space="preserve"> </w:t>
      </w:r>
      <w:r>
        <w:t>respective</w:t>
      </w:r>
      <w:r>
        <w:rPr>
          <w:spacing w:val="-5"/>
        </w:rPr>
        <w:t xml:space="preserve"> </w:t>
      </w:r>
      <w:r>
        <w:t>ministry.</w:t>
      </w:r>
      <w:r>
        <w:rPr>
          <w:spacing w:val="-3"/>
        </w:rPr>
        <w:t xml:space="preserve"> </w:t>
      </w:r>
      <w:r>
        <w:t>There</w:t>
      </w:r>
      <w:r>
        <w:rPr>
          <w:spacing w:val="-5"/>
        </w:rPr>
        <w:t xml:space="preserve"> </w:t>
      </w:r>
      <w:r>
        <w:t>were</w:t>
      </w:r>
      <w:r>
        <w:rPr>
          <w:spacing w:val="-5"/>
        </w:rPr>
        <w:t xml:space="preserve"> </w:t>
      </w:r>
      <w:r>
        <w:t>a</w:t>
      </w:r>
      <w:r>
        <w:rPr>
          <w:spacing w:val="-5"/>
        </w:rPr>
        <w:t xml:space="preserve"> </w:t>
      </w:r>
      <w:r>
        <w:t>number</w:t>
      </w:r>
      <w:r>
        <w:rPr>
          <w:spacing w:val="-6"/>
        </w:rPr>
        <w:t xml:space="preserve"> </w:t>
      </w:r>
      <w:r>
        <w:t>of</w:t>
      </w:r>
      <w:r>
        <w:rPr>
          <w:spacing w:val="-5"/>
        </w:rPr>
        <w:t xml:space="preserve"> </w:t>
      </w:r>
      <w:r>
        <w:t>stakeholders</w:t>
      </w:r>
      <w:r>
        <w:rPr>
          <w:spacing w:val="-4"/>
        </w:rPr>
        <w:t xml:space="preserve"> </w:t>
      </w:r>
      <w:r>
        <w:t>within</w:t>
      </w:r>
      <w:r>
        <w:rPr>
          <w:spacing w:val="-3"/>
        </w:rPr>
        <w:t xml:space="preserve"> </w:t>
      </w:r>
      <w:r>
        <w:t>each</w:t>
      </w:r>
      <w:r>
        <w:rPr>
          <w:spacing w:val="-58"/>
        </w:rPr>
        <w:t xml:space="preserve"> </w:t>
      </w:r>
      <w:r>
        <w:t>working</w:t>
      </w:r>
      <w:r>
        <w:rPr>
          <w:spacing w:val="1"/>
        </w:rPr>
        <w:t xml:space="preserve"> </w:t>
      </w:r>
      <w:r>
        <w:t>group</w:t>
      </w:r>
      <w:r>
        <w:rPr>
          <w:spacing w:val="1"/>
        </w:rPr>
        <w:t xml:space="preserve"> </w:t>
      </w:r>
      <w:r>
        <w:t>and</w:t>
      </w:r>
      <w:r>
        <w:rPr>
          <w:spacing w:val="1"/>
        </w:rPr>
        <w:t xml:space="preserve"> </w:t>
      </w:r>
      <w:r>
        <w:t>whose</w:t>
      </w:r>
      <w:r>
        <w:rPr>
          <w:spacing w:val="1"/>
        </w:rPr>
        <w:t xml:space="preserve"> </w:t>
      </w:r>
      <w:r>
        <w:t>membership</w:t>
      </w:r>
      <w:r>
        <w:rPr>
          <w:spacing w:val="1"/>
        </w:rPr>
        <w:t xml:space="preserve"> </w:t>
      </w:r>
      <w:r>
        <w:t>is</w:t>
      </w:r>
      <w:r>
        <w:rPr>
          <w:spacing w:val="1"/>
        </w:rPr>
        <w:t xml:space="preserve"> </w:t>
      </w:r>
      <w:r>
        <w:t>established</w:t>
      </w:r>
      <w:r>
        <w:rPr>
          <w:spacing w:val="1"/>
        </w:rPr>
        <w:t xml:space="preserve"> </w:t>
      </w:r>
      <w:r>
        <w:t>in</w:t>
      </w:r>
      <w:r>
        <w:rPr>
          <w:spacing w:val="1"/>
        </w:rPr>
        <w:t xml:space="preserve"> </w:t>
      </w:r>
      <w:r>
        <w:t>adherence</w:t>
      </w:r>
      <w:r>
        <w:rPr>
          <w:spacing w:val="1"/>
        </w:rPr>
        <w:t xml:space="preserve"> </w:t>
      </w:r>
      <w:r>
        <w:t>to</w:t>
      </w:r>
      <w:r>
        <w:rPr>
          <w:spacing w:val="1"/>
        </w:rPr>
        <w:t xml:space="preserve"> </w:t>
      </w:r>
      <w:r>
        <w:t>the</w:t>
      </w:r>
      <w:r>
        <w:rPr>
          <w:spacing w:val="1"/>
        </w:rPr>
        <w:t xml:space="preserve"> </w:t>
      </w:r>
      <w:r>
        <w:t>principle</w:t>
      </w:r>
      <w:r>
        <w:rPr>
          <w:spacing w:val="1"/>
        </w:rPr>
        <w:t xml:space="preserve"> </w:t>
      </w:r>
      <w:r>
        <w:t>of</w:t>
      </w:r>
      <w:r>
        <w:rPr>
          <w:spacing w:val="1"/>
        </w:rPr>
        <w:t xml:space="preserve"> </w:t>
      </w:r>
      <w:r>
        <w:t>partnership based on a multilevel governance approach (stakeholders from national, regional</w:t>
      </w:r>
      <w:r>
        <w:rPr>
          <w:spacing w:val="1"/>
        </w:rPr>
        <w:t xml:space="preserve"> </w:t>
      </w:r>
      <w:r>
        <w:t>and local levels, as well as representatives of economic and social partners, civil society,</w:t>
      </w:r>
      <w:r>
        <w:rPr>
          <w:spacing w:val="1"/>
        </w:rPr>
        <w:t xml:space="preserve"> </w:t>
      </w:r>
      <w:r>
        <w:t>academia and the scientific community). Over 90 institutions and 800 members/associates</w:t>
      </w:r>
      <w:r>
        <w:rPr>
          <w:spacing w:val="1"/>
        </w:rPr>
        <w:t xml:space="preserve"> </w:t>
      </w:r>
      <w:r>
        <w:t>participated in the program process. In addition to the working groups involved in devising</w:t>
      </w:r>
      <w:r>
        <w:rPr>
          <w:spacing w:val="1"/>
        </w:rPr>
        <w:t xml:space="preserve"> </w:t>
      </w:r>
      <w:r>
        <w:t>program content, a Subcommittee on Funds for the period 2021-2027 was established that</w:t>
      </w:r>
      <w:r>
        <w:rPr>
          <w:spacing w:val="1"/>
        </w:rPr>
        <w:t xml:space="preserve"> </w:t>
      </w:r>
      <w:r>
        <w:t>agrees and approves draft proposals of programming documents before their submission for</w:t>
      </w:r>
      <w:r>
        <w:rPr>
          <w:spacing w:val="1"/>
        </w:rPr>
        <w:t xml:space="preserve"> </w:t>
      </w:r>
      <w:r>
        <w:t>approval</w:t>
      </w:r>
      <w:r>
        <w:rPr>
          <w:spacing w:val="1"/>
        </w:rPr>
        <w:t xml:space="preserve"> </w:t>
      </w:r>
      <w:r>
        <w:t>to</w:t>
      </w:r>
      <w:r>
        <w:rPr>
          <w:spacing w:val="1"/>
        </w:rPr>
        <w:t xml:space="preserve"> </w:t>
      </w:r>
      <w:r>
        <w:t>the</w:t>
      </w:r>
      <w:r>
        <w:rPr>
          <w:spacing w:val="1"/>
        </w:rPr>
        <w:t xml:space="preserve"> </w:t>
      </w:r>
      <w:r>
        <w:t>National</w:t>
      </w:r>
      <w:r>
        <w:rPr>
          <w:spacing w:val="1"/>
        </w:rPr>
        <w:t xml:space="preserve"> </w:t>
      </w:r>
      <w:r>
        <w:t>Coordination</w:t>
      </w:r>
      <w:r>
        <w:rPr>
          <w:spacing w:val="1"/>
        </w:rPr>
        <w:t xml:space="preserve"> </w:t>
      </w:r>
      <w:r>
        <w:t>Committee</w:t>
      </w:r>
      <w:r>
        <w:rPr>
          <w:spacing w:val="1"/>
        </w:rPr>
        <w:t xml:space="preserve"> </w:t>
      </w:r>
      <w:r>
        <w:t>(NCC)</w:t>
      </w:r>
      <w:r>
        <w:rPr>
          <w:spacing w:val="1"/>
        </w:rPr>
        <w:t xml:space="preserve"> </w:t>
      </w:r>
      <w:r>
        <w:t>for</w:t>
      </w:r>
      <w:r>
        <w:rPr>
          <w:spacing w:val="1"/>
        </w:rPr>
        <w:t xml:space="preserve"> </w:t>
      </w:r>
      <w:r>
        <w:t>European</w:t>
      </w:r>
      <w:r>
        <w:rPr>
          <w:spacing w:val="1"/>
        </w:rPr>
        <w:t xml:space="preserve"> </w:t>
      </w:r>
      <w:r>
        <w:t>Structural</w:t>
      </w:r>
      <w:r>
        <w:rPr>
          <w:spacing w:val="1"/>
        </w:rPr>
        <w:t xml:space="preserve"> </w:t>
      </w:r>
      <w:r>
        <w:t>and</w:t>
      </w:r>
      <w:r>
        <w:rPr>
          <w:spacing w:val="1"/>
        </w:rPr>
        <w:t xml:space="preserve"> </w:t>
      </w:r>
      <w:r>
        <w:t>Investment Funds (ESIF) and European Union Instruments in the Republic of Croatia. In this</w:t>
      </w:r>
      <w:r>
        <w:rPr>
          <w:spacing w:val="1"/>
        </w:rPr>
        <w:t xml:space="preserve"> </w:t>
      </w:r>
      <w:r>
        <w:t>sense, the National Coordination Committee (NCC) is the backbone of the upgrade to the</w:t>
      </w:r>
      <w:r>
        <w:rPr>
          <w:spacing w:val="1"/>
        </w:rPr>
        <w:t xml:space="preserve"> </w:t>
      </w:r>
      <w:r>
        <w:t>coordination framework for 2021-2027 and is responsible for ensuring overall coordination of</w:t>
      </w:r>
      <w:r>
        <w:rPr>
          <w:spacing w:val="-57"/>
        </w:rPr>
        <w:t xml:space="preserve"> </w:t>
      </w:r>
      <w:r>
        <w:t>the use and monitoring of ESIF implementation, as well as other instruments and programs,</w:t>
      </w:r>
      <w:r>
        <w:rPr>
          <w:spacing w:val="1"/>
        </w:rPr>
        <w:t xml:space="preserve"> </w:t>
      </w:r>
      <w:r>
        <w:t>while ensuring the coherence of different sources of funding and investment. To ensure the</w:t>
      </w:r>
      <w:r>
        <w:rPr>
          <w:spacing w:val="1"/>
        </w:rPr>
        <w:t xml:space="preserve"> </w:t>
      </w:r>
      <w:r>
        <w:t>highest level of coordination and monitoring of implementation, NCC members and thematic</w:t>
      </w:r>
      <w:r>
        <w:rPr>
          <w:spacing w:val="1"/>
        </w:rPr>
        <w:t xml:space="preserve"> </w:t>
      </w:r>
      <w:r>
        <w:t>subcommittees are made up of ministers, state officials, county prefects and civil servants at</w:t>
      </w:r>
      <w:r>
        <w:rPr>
          <w:spacing w:val="1"/>
        </w:rPr>
        <w:t xml:space="preserve"> </w:t>
      </w:r>
      <w:r>
        <w:t>the highest operational level. The NCC will continue to ensure overall coordination and</w:t>
      </w:r>
      <w:r>
        <w:rPr>
          <w:spacing w:val="1"/>
        </w:rPr>
        <w:t xml:space="preserve"> </w:t>
      </w:r>
      <w:r>
        <w:t>monitoring</w:t>
      </w:r>
      <w:r>
        <w:rPr>
          <w:spacing w:val="-11"/>
        </w:rPr>
        <w:t xml:space="preserve"> </w:t>
      </w:r>
      <w:r>
        <w:t>of</w:t>
      </w:r>
      <w:r>
        <w:rPr>
          <w:spacing w:val="-9"/>
        </w:rPr>
        <w:t xml:space="preserve"> </w:t>
      </w:r>
      <w:r>
        <w:t>the</w:t>
      </w:r>
      <w:r>
        <w:rPr>
          <w:spacing w:val="-9"/>
        </w:rPr>
        <w:t xml:space="preserve"> </w:t>
      </w:r>
      <w:r>
        <w:t>implementation</w:t>
      </w:r>
      <w:r>
        <w:rPr>
          <w:spacing w:val="-8"/>
        </w:rPr>
        <w:t xml:space="preserve"> </w:t>
      </w:r>
      <w:r>
        <w:t>of</w:t>
      </w:r>
      <w:r>
        <w:rPr>
          <w:spacing w:val="-9"/>
        </w:rPr>
        <w:t xml:space="preserve"> </w:t>
      </w:r>
      <w:r>
        <w:t>the</w:t>
      </w:r>
      <w:r>
        <w:rPr>
          <w:spacing w:val="-9"/>
        </w:rPr>
        <w:t xml:space="preserve"> </w:t>
      </w:r>
      <w:r>
        <w:t>funds</w:t>
      </w:r>
      <w:r>
        <w:rPr>
          <w:spacing w:val="-8"/>
        </w:rPr>
        <w:t xml:space="preserve"> </w:t>
      </w:r>
      <w:r>
        <w:t>(main</w:t>
      </w:r>
      <w:r>
        <w:rPr>
          <w:spacing w:val="-8"/>
        </w:rPr>
        <w:t xml:space="preserve"> </w:t>
      </w:r>
      <w:r>
        <w:t>operational</w:t>
      </w:r>
      <w:r>
        <w:rPr>
          <w:spacing w:val="-8"/>
        </w:rPr>
        <w:t xml:space="preserve"> </w:t>
      </w:r>
      <w:r>
        <w:t>programmes</w:t>
      </w:r>
      <w:r>
        <w:rPr>
          <w:spacing w:val="-8"/>
        </w:rPr>
        <w:t xml:space="preserve"> </w:t>
      </w:r>
      <w:r>
        <w:t>under</w:t>
      </w:r>
      <w:r>
        <w:rPr>
          <w:spacing w:val="-9"/>
        </w:rPr>
        <w:t xml:space="preserve"> </w:t>
      </w:r>
      <w:r>
        <w:t>the</w:t>
      </w:r>
      <w:r>
        <w:rPr>
          <w:spacing w:val="-9"/>
        </w:rPr>
        <w:t xml:space="preserve"> </w:t>
      </w:r>
      <w:r>
        <w:t>ERDF,</w:t>
      </w:r>
      <w:r>
        <w:rPr>
          <w:spacing w:val="-58"/>
        </w:rPr>
        <w:t xml:space="preserve"> </w:t>
      </w:r>
      <w:r>
        <w:rPr>
          <w:spacing w:val="-1"/>
        </w:rPr>
        <w:t>ESF</w:t>
      </w:r>
      <w:r>
        <w:rPr>
          <w:spacing w:val="-16"/>
        </w:rPr>
        <w:t xml:space="preserve"> </w:t>
      </w:r>
      <w:r>
        <w:rPr>
          <w:spacing w:val="-1"/>
        </w:rPr>
        <w:t>+,</w:t>
      </w:r>
      <w:r>
        <w:rPr>
          <w:spacing w:val="-15"/>
        </w:rPr>
        <w:t xml:space="preserve"> </w:t>
      </w:r>
      <w:r>
        <w:rPr>
          <w:spacing w:val="-1"/>
        </w:rPr>
        <w:t>Cohesion</w:t>
      </w:r>
      <w:r>
        <w:rPr>
          <w:spacing w:val="-14"/>
        </w:rPr>
        <w:t xml:space="preserve"> </w:t>
      </w:r>
      <w:r>
        <w:rPr>
          <w:spacing w:val="-1"/>
        </w:rPr>
        <w:t>Fund,</w:t>
      </w:r>
      <w:r>
        <w:rPr>
          <w:spacing w:val="-13"/>
        </w:rPr>
        <w:t xml:space="preserve"> </w:t>
      </w:r>
      <w:r>
        <w:t>EMFF,</w:t>
      </w:r>
      <w:r>
        <w:rPr>
          <w:spacing w:val="-15"/>
        </w:rPr>
        <w:t xml:space="preserve"> </w:t>
      </w:r>
      <w:r>
        <w:t>AMIF,</w:t>
      </w:r>
      <w:r>
        <w:rPr>
          <w:spacing w:val="-10"/>
        </w:rPr>
        <w:t xml:space="preserve"> </w:t>
      </w:r>
      <w:r>
        <w:t>ISF</w:t>
      </w:r>
      <w:r>
        <w:rPr>
          <w:spacing w:val="-16"/>
        </w:rPr>
        <w:t xml:space="preserve"> </w:t>
      </w:r>
      <w:r>
        <w:t>and</w:t>
      </w:r>
      <w:r>
        <w:rPr>
          <w:spacing w:val="-13"/>
        </w:rPr>
        <w:t xml:space="preserve"> </w:t>
      </w:r>
      <w:r>
        <w:t>BMVI)</w:t>
      </w:r>
      <w:r>
        <w:rPr>
          <w:spacing w:val="-12"/>
        </w:rPr>
        <w:t xml:space="preserve"> </w:t>
      </w:r>
      <w:r>
        <w:t>including</w:t>
      </w:r>
      <w:r>
        <w:rPr>
          <w:spacing w:val="-16"/>
        </w:rPr>
        <w:t xml:space="preserve"> </w:t>
      </w:r>
      <w:r>
        <w:t>other</w:t>
      </w:r>
      <w:r>
        <w:rPr>
          <w:spacing w:val="-16"/>
        </w:rPr>
        <w:t xml:space="preserve"> </w:t>
      </w:r>
      <w:r>
        <w:t>EU</w:t>
      </w:r>
      <w:r>
        <w:rPr>
          <w:spacing w:val="-15"/>
        </w:rPr>
        <w:t xml:space="preserve"> </w:t>
      </w:r>
      <w:r>
        <w:t>and</w:t>
      </w:r>
      <w:r>
        <w:rPr>
          <w:spacing w:val="-15"/>
        </w:rPr>
        <w:t xml:space="preserve"> </w:t>
      </w:r>
      <w:r>
        <w:t>relevant</w:t>
      </w:r>
      <w:r>
        <w:rPr>
          <w:spacing w:val="-14"/>
        </w:rPr>
        <w:t xml:space="preserve"> </w:t>
      </w:r>
      <w:r>
        <w:t>national</w:t>
      </w:r>
      <w:r>
        <w:rPr>
          <w:spacing w:val="-58"/>
        </w:rPr>
        <w:t xml:space="preserve"> </w:t>
      </w:r>
      <w:r>
        <w:t>funding</w:t>
      </w:r>
      <w:r>
        <w:rPr>
          <w:spacing w:val="-4"/>
        </w:rPr>
        <w:t xml:space="preserve"> </w:t>
      </w:r>
      <w:r>
        <w:t>instruments, including</w:t>
      </w:r>
      <w:r>
        <w:rPr>
          <w:spacing w:val="-2"/>
        </w:rPr>
        <w:t xml:space="preserve"> </w:t>
      </w:r>
      <w:r>
        <w:t>European Territorial Co-operation programs.</w:t>
      </w:r>
    </w:p>
    <w:p w:rsidR="00A56FE9" w:rsidRDefault="00000000">
      <w:pPr>
        <w:pStyle w:val="Tijeloteksta"/>
        <w:spacing w:before="122"/>
        <w:ind w:right="276"/>
      </w:pPr>
      <w:r>
        <w:t>The</w:t>
      </w:r>
      <w:r>
        <w:rPr>
          <w:spacing w:val="-5"/>
        </w:rPr>
        <w:t xml:space="preserve"> </w:t>
      </w:r>
      <w:r>
        <w:t>role</w:t>
      </w:r>
      <w:r>
        <w:rPr>
          <w:spacing w:val="-5"/>
        </w:rPr>
        <w:t xml:space="preserve"> </w:t>
      </w:r>
      <w:r>
        <w:t>of</w:t>
      </w:r>
      <w:r>
        <w:rPr>
          <w:spacing w:val="-5"/>
        </w:rPr>
        <w:t xml:space="preserve"> </w:t>
      </w:r>
      <w:r>
        <w:t>the</w:t>
      </w:r>
      <w:r>
        <w:rPr>
          <w:spacing w:val="-3"/>
        </w:rPr>
        <w:t xml:space="preserve"> </w:t>
      </w:r>
      <w:r>
        <w:t>thematic</w:t>
      </w:r>
      <w:r>
        <w:rPr>
          <w:spacing w:val="-2"/>
        </w:rPr>
        <w:t xml:space="preserve"> </w:t>
      </w:r>
      <w:r>
        <w:t>Funds</w:t>
      </w:r>
      <w:r>
        <w:rPr>
          <w:spacing w:val="-3"/>
        </w:rPr>
        <w:t xml:space="preserve"> </w:t>
      </w:r>
      <w:r>
        <w:t>Sub-committee</w:t>
      </w:r>
      <w:r>
        <w:rPr>
          <w:spacing w:val="-5"/>
        </w:rPr>
        <w:t xml:space="preserve"> </w:t>
      </w:r>
      <w:r>
        <w:t>for</w:t>
      </w:r>
      <w:r>
        <w:rPr>
          <w:spacing w:val="-2"/>
        </w:rPr>
        <w:t xml:space="preserve"> </w:t>
      </w:r>
      <w:r>
        <w:t>the</w:t>
      </w:r>
      <w:r>
        <w:rPr>
          <w:spacing w:val="-4"/>
        </w:rPr>
        <w:t xml:space="preserve"> </w:t>
      </w:r>
      <w:r>
        <w:t>period</w:t>
      </w:r>
      <w:r>
        <w:rPr>
          <w:spacing w:val="-4"/>
        </w:rPr>
        <w:t xml:space="preserve"> </w:t>
      </w:r>
      <w:r>
        <w:t>2021-2027</w:t>
      </w:r>
      <w:r>
        <w:rPr>
          <w:spacing w:val="-3"/>
        </w:rPr>
        <w:t xml:space="preserve"> </w:t>
      </w:r>
      <w:r>
        <w:t>will</w:t>
      </w:r>
      <w:r>
        <w:rPr>
          <w:spacing w:val="-3"/>
        </w:rPr>
        <w:t xml:space="preserve"> </w:t>
      </w:r>
      <w:r>
        <w:t>be</w:t>
      </w:r>
      <w:r>
        <w:rPr>
          <w:spacing w:val="-4"/>
        </w:rPr>
        <w:t xml:space="preserve"> </w:t>
      </w:r>
      <w:r>
        <w:t>to</w:t>
      </w:r>
      <w:r>
        <w:rPr>
          <w:spacing w:val="-3"/>
        </w:rPr>
        <w:t xml:space="preserve"> </w:t>
      </w:r>
      <w:r>
        <w:t>increase</w:t>
      </w:r>
      <w:r>
        <w:rPr>
          <w:spacing w:val="-4"/>
        </w:rPr>
        <w:t xml:space="preserve"> </w:t>
      </w:r>
      <w:r>
        <w:t>the</w:t>
      </w:r>
      <w:r>
        <w:rPr>
          <w:spacing w:val="-58"/>
        </w:rPr>
        <w:t xml:space="preserve"> </w:t>
      </w:r>
      <w:r>
        <w:t>impact and efficiency of utilisation of ESI Funds through: (a) planning, management and</w:t>
      </w:r>
      <w:r>
        <w:rPr>
          <w:spacing w:val="1"/>
        </w:rPr>
        <w:t xml:space="preserve"> </w:t>
      </w:r>
      <w:r>
        <w:t>control of the total absorption of funds as well as management and control systems; (b) where</w:t>
      </w:r>
      <w:r>
        <w:rPr>
          <w:spacing w:val="1"/>
        </w:rPr>
        <w:t xml:space="preserve"> </w:t>
      </w:r>
      <w:r>
        <w:rPr>
          <w:spacing w:val="-1"/>
        </w:rPr>
        <w:t>appropriate,</w:t>
      </w:r>
      <w:r>
        <w:rPr>
          <w:spacing w:val="-13"/>
        </w:rPr>
        <w:t xml:space="preserve"> </w:t>
      </w:r>
      <w:r>
        <w:t>identifying</w:t>
      </w:r>
      <w:r>
        <w:rPr>
          <w:spacing w:val="-17"/>
        </w:rPr>
        <w:t xml:space="preserve"> </w:t>
      </w:r>
      <w:r>
        <w:t>and</w:t>
      </w:r>
      <w:r>
        <w:rPr>
          <w:spacing w:val="-15"/>
        </w:rPr>
        <w:t xml:space="preserve"> </w:t>
      </w:r>
      <w:r>
        <w:t>monitoring</w:t>
      </w:r>
      <w:r>
        <w:rPr>
          <w:spacing w:val="-17"/>
        </w:rPr>
        <w:t xml:space="preserve"> </w:t>
      </w:r>
      <w:r>
        <w:t>project</w:t>
      </w:r>
      <w:r>
        <w:rPr>
          <w:spacing w:val="-14"/>
        </w:rPr>
        <w:t xml:space="preserve"> </w:t>
      </w:r>
      <w:r>
        <w:t>preparation;</w:t>
      </w:r>
      <w:r>
        <w:rPr>
          <w:spacing w:val="-13"/>
        </w:rPr>
        <w:t xml:space="preserve"> </w:t>
      </w:r>
      <w:r>
        <w:t>(c)</w:t>
      </w:r>
      <w:r>
        <w:rPr>
          <w:spacing w:val="-13"/>
        </w:rPr>
        <w:t xml:space="preserve"> </w:t>
      </w:r>
      <w:r>
        <w:t>aligning</w:t>
      </w:r>
      <w:r>
        <w:rPr>
          <w:spacing w:val="-17"/>
        </w:rPr>
        <w:t xml:space="preserve"> </w:t>
      </w:r>
      <w:r>
        <w:t>identified</w:t>
      </w:r>
      <w:r>
        <w:rPr>
          <w:spacing w:val="-15"/>
        </w:rPr>
        <w:t xml:space="preserve"> </w:t>
      </w:r>
      <w:r>
        <w:t>projects</w:t>
      </w:r>
      <w:r>
        <w:rPr>
          <w:spacing w:val="-12"/>
        </w:rPr>
        <w:t xml:space="preserve"> </w:t>
      </w:r>
      <w:r>
        <w:t>with</w:t>
      </w:r>
      <w:r>
        <w:rPr>
          <w:spacing w:val="-57"/>
        </w:rPr>
        <w:t xml:space="preserve"> </w:t>
      </w:r>
      <w:r>
        <w:t>different</w:t>
      </w:r>
      <w:r>
        <w:rPr>
          <w:spacing w:val="2"/>
        </w:rPr>
        <w:t xml:space="preserve"> </w:t>
      </w:r>
      <w:r>
        <w:t>funding</w:t>
      </w:r>
      <w:r>
        <w:rPr>
          <w:spacing w:val="-3"/>
        </w:rPr>
        <w:t xml:space="preserve"> </w:t>
      </w:r>
      <w:r>
        <w:t>sources</w:t>
      </w:r>
      <w:r>
        <w:rPr>
          <w:spacing w:val="2"/>
        </w:rPr>
        <w:t xml:space="preserve"> </w:t>
      </w:r>
      <w:r>
        <w:t>and mechanisms (e.g.,</w:t>
      </w:r>
      <w:r>
        <w:rPr>
          <w:spacing w:val="2"/>
        </w:rPr>
        <w:t xml:space="preserve"> </w:t>
      </w:r>
      <w:r>
        <w:t>financial instruments, CLLD,</w:t>
      </w:r>
      <w:r>
        <w:rPr>
          <w:spacing w:val="2"/>
        </w:rPr>
        <w:t xml:space="preserve"> </w:t>
      </w:r>
      <w:r>
        <w:t>ITI, ETC, etc.);</w:t>
      </w:r>
    </w:p>
    <w:p w:rsidR="00A56FE9" w:rsidRDefault="00000000">
      <w:pPr>
        <w:pStyle w:val="Tijeloteksta"/>
        <w:ind w:right="274"/>
      </w:pPr>
      <w:r>
        <w:t>(d)</w:t>
      </w:r>
      <w:r>
        <w:rPr>
          <w:spacing w:val="1"/>
        </w:rPr>
        <w:t xml:space="preserve"> </w:t>
      </w:r>
      <w:r>
        <w:t>establishing,</w:t>
      </w:r>
      <w:r>
        <w:rPr>
          <w:spacing w:val="1"/>
        </w:rPr>
        <w:t xml:space="preserve"> </w:t>
      </w:r>
      <w:r>
        <w:t>where</w:t>
      </w:r>
      <w:r>
        <w:rPr>
          <w:spacing w:val="1"/>
        </w:rPr>
        <w:t xml:space="preserve"> </w:t>
      </w:r>
      <w:r>
        <w:t>appropriate,</w:t>
      </w:r>
      <w:r>
        <w:rPr>
          <w:spacing w:val="1"/>
        </w:rPr>
        <w:t xml:space="preserve"> </w:t>
      </w:r>
      <w:r>
        <w:t>uniform</w:t>
      </w:r>
      <w:r>
        <w:rPr>
          <w:spacing w:val="1"/>
        </w:rPr>
        <w:t xml:space="preserve"> </w:t>
      </w:r>
      <w:r>
        <w:t>minimum</w:t>
      </w:r>
      <w:r>
        <w:rPr>
          <w:spacing w:val="1"/>
        </w:rPr>
        <w:t xml:space="preserve"> </w:t>
      </w:r>
      <w:r>
        <w:t>standards</w:t>
      </w:r>
      <w:r>
        <w:rPr>
          <w:spacing w:val="1"/>
        </w:rPr>
        <w:t xml:space="preserve"> </w:t>
      </w:r>
      <w:r>
        <w:t>and</w:t>
      </w:r>
      <w:r>
        <w:rPr>
          <w:spacing w:val="1"/>
        </w:rPr>
        <w:t xml:space="preserve"> </w:t>
      </w:r>
      <w:r>
        <w:t>rules</w:t>
      </w:r>
      <w:r>
        <w:rPr>
          <w:spacing w:val="1"/>
        </w:rPr>
        <w:t xml:space="preserve"> </w:t>
      </w:r>
      <w:r>
        <w:t>for</w:t>
      </w:r>
      <w:r>
        <w:rPr>
          <w:spacing w:val="1"/>
        </w:rPr>
        <w:t xml:space="preserve"> </w:t>
      </w:r>
      <w:r>
        <w:t>the</w:t>
      </w:r>
      <w:r>
        <w:rPr>
          <w:spacing w:val="-57"/>
        </w:rPr>
        <w:t xml:space="preserve"> </w:t>
      </w:r>
      <w:r>
        <w:t>implementation</w:t>
      </w:r>
      <w:r>
        <w:rPr>
          <w:spacing w:val="1"/>
        </w:rPr>
        <w:t xml:space="preserve"> </w:t>
      </w:r>
      <w:r>
        <w:t>of</w:t>
      </w:r>
      <w:r>
        <w:rPr>
          <w:spacing w:val="1"/>
        </w:rPr>
        <w:t xml:space="preserve"> </w:t>
      </w:r>
      <w:r>
        <w:t>the</w:t>
      </w:r>
      <w:r>
        <w:rPr>
          <w:spacing w:val="1"/>
        </w:rPr>
        <w:t xml:space="preserve"> </w:t>
      </w:r>
      <w:r>
        <w:t>program</w:t>
      </w:r>
      <w:r>
        <w:rPr>
          <w:spacing w:val="1"/>
        </w:rPr>
        <w:t xml:space="preserve"> </w:t>
      </w:r>
      <w:r>
        <w:t>(taking</w:t>
      </w:r>
      <w:r>
        <w:rPr>
          <w:spacing w:val="1"/>
        </w:rPr>
        <w:t xml:space="preserve"> </w:t>
      </w:r>
      <w:r>
        <w:t>into</w:t>
      </w:r>
      <w:r>
        <w:rPr>
          <w:spacing w:val="1"/>
        </w:rPr>
        <w:t xml:space="preserve"> </w:t>
      </w:r>
      <w:r>
        <w:t>account</w:t>
      </w:r>
      <w:r>
        <w:rPr>
          <w:spacing w:val="1"/>
        </w:rPr>
        <w:t xml:space="preserve"> </w:t>
      </w:r>
      <w:r>
        <w:t>the</w:t>
      </w:r>
      <w:r>
        <w:rPr>
          <w:spacing w:val="1"/>
        </w:rPr>
        <w:t xml:space="preserve"> </w:t>
      </w:r>
      <w:r>
        <w:t>specificities</w:t>
      </w:r>
      <w:r>
        <w:rPr>
          <w:spacing w:val="1"/>
        </w:rPr>
        <w:t xml:space="preserve"> </w:t>
      </w:r>
      <w:r>
        <w:t>of</w:t>
      </w:r>
      <w:r>
        <w:rPr>
          <w:spacing w:val="1"/>
        </w:rPr>
        <w:t xml:space="preserve"> </w:t>
      </w:r>
      <w:r>
        <w:t>each</w:t>
      </w:r>
      <w:r>
        <w:rPr>
          <w:spacing w:val="1"/>
        </w:rPr>
        <w:t xml:space="preserve"> </w:t>
      </w:r>
      <w:r>
        <w:t>Fund)</w:t>
      </w:r>
      <w:r>
        <w:rPr>
          <w:spacing w:val="1"/>
        </w:rPr>
        <w:t xml:space="preserve"> </w:t>
      </w:r>
      <w:r>
        <w:t>and</w:t>
      </w:r>
      <w:r>
        <w:rPr>
          <w:spacing w:val="-57"/>
        </w:rPr>
        <w:t xml:space="preserve"> </w:t>
      </w:r>
      <w:r>
        <w:t>supporting the authorities in preparing calls for proposals; (e) ensuring delimitation, synergy</w:t>
      </w:r>
      <w:r>
        <w:rPr>
          <w:spacing w:val="1"/>
        </w:rPr>
        <w:t xml:space="preserve"> </w:t>
      </w:r>
      <w:r>
        <w:t>and</w:t>
      </w:r>
      <w:r>
        <w:rPr>
          <w:spacing w:val="1"/>
        </w:rPr>
        <w:t xml:space="preserve"> </w:t>
      </w:r>
      <w:r>
        <w:t>complementarity</w:t>
      </w:r>
      <w:r>
        <w:rPr>
          <w:spacing w:val="1"/>
        </w:rPr>
        <w:t xml:space="preserve"> </w:t>
      </w:r>
      <w:r>
        <w:t>between</w:t>
      </w:r>
      <w:r>
        <w:rPr>
          <w:spacing w:val="1"/>
        </w:rPr>
        <w:t xml:space="preserve"> </w:t>
      </w:r>
      <w:r>
        <w:t>the</w:t>
      </w:r>
      <w:r>
        <w:rPr>
          <w:spacing w:val="1"/>
        </w:rPr>
        <w:t xml:space="preserve"> </w:t>
      </w:r>
      <w:r>
        <w:t>Funds;</w:t>
      </w:r>
      <w:r>
        <w:rPr>
          <w:spacing w:val="1"/>
        </w:rPr>
        <w:t xml:space="preserve"> </w:t>
      </w:r>
      <w:r>
        <w:t>(f)</w:t>
      </w:r>
      <w:r>
        <w:rPr>
          <w:spacing w:val="1"/>
        </w:rPr>
        <w:t xml:space="preserve"> </w:t>
      </w:r>
      <w:r>
        <w:t>coordinating</w:t>
      </w:r>
      <w:r>
        <w:rPr>
          <w:spacing w:val="1"/>
        </w:rPr>
        <w:t xml:space="preserve"> </w:t>
      </w:r>
      <w:r>
        <w:t>evaluation</w:t>
      </w:r>
      <w:r>
        <w:rPr>
          <w:spacing w:val="1"/>
        </w:rPr>
        <w:t xml:space="preserve"> </w:t>
      </w:r>
      <w:r>
        <w:t>activities;</w:t>
      </w:r>
      <w:r>
        <w:rPr>
          <w:spacing w:val="1"/>
        </w:rPr>
        <w:t xml:space="preserve"> </w:t>
      </w:r>
      <w:r>
        <w:t>and</w:t>
      </w:r>
      <w:r>
        <w:rPr>
          <w:spacing w:val="1"/>
        </w:rPr>
        <w:t xml:space="preserve"> </w:t>
      </w:r>
      <w:r>
        <w:t>(g)</w:t>
      </w:r>
      <w:r>
        <w:rPr>
          <w:spacing w:val="1"/>
        </w:rPr>
        <w:t xml:space="preserve"> </w:t>
      </w:r>
      <w:r>
        <w:t>coordinating</w:t>
      </w:r>
      <w:r>
        <w:rPr>
          <w:spacing w:val="-2"/>
        </w:rPr>
        <w:t xml:space="preserve"> </w:t>
      </w:r>
      <w:r>
        <w:t>communication activities.</w:t>
      </w:r>
    </w:p>
    <w:p w:rsidR="00A56FE9" w:rsidRDefault="00000000">
      <w:pPr>
        <w:pStyle w:val="Tijeloteksta"/>
        <w:spacing w:before="121"/>
        <w:ind w:right="273"/>
      </w:pPr>
      <w:r>
        <w:t>During</w:t>
      </w:r>
      <w:r>
        <w:rPr>
          <w:spacing w:val="1"/>
        </w:rPr>
        <w:t xml:space="preserve"> </w:t>
      </w:r>
      <w:r>
        <w:t>the</w:t>
      </w:r>
      <w:r>
        <w:rPr>
          <w:spacing w:val="1"/>
        </w:rPr>
        <w:t xml:space="preserve"> </w:t>
      </w:r>
      <w:r>
        <w:t>programming</w:t>
      </w:r>
      <w:r>
        <w:rPr>
          <w:spacing w:val="1"/>
        </w:rPr>
        <w:t xml:space="preserve"> </w:t>
      </w:r>
      <w:r>
        <w:t>process,</w:t>
      </w:r>
      <w:r>
        <w:rPr>
          <w:spacing w:val="1"/>
        </w:rPr>
        <w:t xml:space="preserve"> </w:t>
      </w:r>
      <w:r>
        <w:t>complementarity</w:t>
      </w:r>
      <w:r>
        <w:rPr>
          <w:spacing w:val="1"/>
        </w:rPr>
        <w:t xml:space="preserve"> </w:t>
      </w:r>
      <w:r>
        <w:t>was</w:t>
      </w:r>
      <w:r>
        <w:rPr>
          <w:spacing w:val="1"/>
        </w:rPr>
        <w:t xml:space="preserve"> </w:t>
      </w:r>
      <w:r>
        <w:t>identified</w:t>
      </w:r>
      <w:r>
        <w:rPr>
          <w:spacing w:val="1"/>
        </w:rPr>
        <w:t xml:space="preserve"> </w:t>
      </w:r>
      <w:r>
        <w:t>in</w:t>
      </w:r>
      <w:r>
        <w:rPr>
          <w:spacing w:val="1"/>
        </w:rPr>
        <w:t xml:space="preserve"> </w:t>
      </w:r>
      <w:r>
        <w:t>the</w:t>
      </w:r>
      <w:r>
        <w:rPr>
          <w:spacing w:val="1"/>
        </w:rPr>
        <w:t xml:space="preserve"> </w:t>
      </w:r>
      <w:r>
        <w:t>segments</w:t>
      </w:r>
      <w:r>
        <w:rPr>
          <w:spacing w:val="1"/>
        </w:rPr>
        <w:t xml:space="preserve"> </w:t>
      </w:r>
      <w:r>
        <w:t>of</w:t>
      </w:r>
      <w:r>
        <w:rPr>
          <w:spacing w:val="1"/>
        </w:rPr>
        <w:t xml:space="preserve"> </w:t>
      </w:r>
      <w:r>
        <w:t>strengthening</w:t>
      </w:r>
      <w:r>
        <w:rPr>
          <w:spacing w:val="-11"/>
        </w:rPr>
        <w:t xml:space="preserve"> </w:t>
      </w:r>
      <w:r>
        <w:t>research</w:t>
      </w:r>
      <w:r>
        <w:rPr>
          <w:spacing w:val="-9"/>
        </w:rPr>
        <w:t xml:space="preserve"> </w:t>
      </w:r>
      <w:r>
        <w:t>and</w:t>
      </w:r>
      <w:r>
        <w:rPr>
          <w:spacing w:val="-11"/>
        </w:rPr>
        <w:t xml:space="preserve"> </w:t>
      </w:r>
      <w:r>
        <w:t>development</w:t>
      </w:r>
      <w:r>
        <w:rPr>
          <w:spacing w:val="-8"/>
        </w:rPr>
        <w:t xml:space="preserve"> </w:t>
      </w:r>
      <w:r>
        <w:t>activities</w:t>
      </w:r>
      <w:r>
        <w:rPr>
          <w:spacing w:val="-9"/>
        </w:rPr>
        <w:t xml:space="preserve"> </w:t>
      </w:r>
      <w:r>
        <w:t>(NRRP,</w:t>
      </w:r>
      <w:r>
        <w:rPr>
          <w:spacing w:val="-10"/>
        </w:rPr>
        <w:t xml:space="preserve"> </w:t>
      </w:r>
      <w:r>
        <w:t>ESF</w:t>
      </w:r>
      <w:r>
        <w:rPr>
          <w:spacing w:val="-13"/>
        </w:rPr>
        <w:t xml:space="preserve"> </w:t>
      </w:r>
      <w:r>
        <w:t>+</w:t>
      </w:r>
      <w:r>
        <w:rPr>
          <w:spacing w:val="-10"/>
        </w:rPr>
        <w:t xml:space="preserve"> </w:t>
      </w:r>
      <w:r>
        <w:t>and</w:t>
      </w:r>
      <w:r>
        <w:rPr>
          <w:spacing w:val="-11"/>
        </w:rPr>
        <w:t xml:space="preserve"> </w:t>
      </w:r>
      <w:r>
        <w:t>ERDF),</w:t>
      </w:r>
      <w:r>
        <w:rPr>
          <w:spacing w:val="-11"/>
        </w:rPr>
        <w:t xml:space="preserve"> </w:t>
      </w:r>
      <w:r>
        <w:t>the</w:t>
      </w:r>
      <w:r>
        <w:rPr>
          <w:spacing w:val="-8"/>
        </w:rPr>
        <w:t xml:space="preserve"> </w:t>
      </w:r>
      <w:r>
        <w:t>development</w:t>
      </w:r>
      <w:r>
        <w:rPr>
          <w:spacing w:val="-58"/>
        </w:rPr>
        <w:t xml:space="preserve"> </w:t>
      </w:r>
      <w:r>
        <w:t>of digital educational materials and strengthening of digital competencies (ESF +) while</w:t>
      </w:r>
      <w:r>
        <w:rPr>
          <w:spacing w:val="1"/>
        </w:rPr>
        <w:t xml:space="preserve"> </w:t>
      </w:r>
      <w:r>
        <w:t>increasing eServices</w:t>
      </w:r>
      <w:r>
        <w:rPr>
          <w:spacing w:val="1"/>
        </w:rPr>
        <w:t xml:space="preserve"> </w:t>
      </w:r>
      <w:r>
        <w:t>will</w:t>
      </w:r>
      <w:r>
        <w:rPr>
          <w:spacing w:val="1"/>
        </w:rPr>
        <w:t xml:space="preserve"> </w:t>
      </w:r>
      <w:r>
        <w:t>be</w:t>
      </w:r>
      <w:r>
        <w:rPr>
          <w:spacing w:val="1"/>
        </w:rPr>
        <w:t xml:space="preserve"> </w:t>
      </w:r>
      <w:r>
        <w:t>done</w:t>
      </w:r>
      <w:r>
        <w:rPr>
          <w:spacing w:val="1"/>
        </w:rPr>
        <w:t xml:space="preserve"> </w:t>
      </w:r>
      <w:r>
        <w:t>through</w:t>
      </w:r>
      <w:r>
        <w:rPr>
          <w:spacing w:val="1"/>
        </w:rPr>
        <w:t xml:space="preserve"> </w:t>
      </w:r>
      <w:r>
        <w:t>NRRP</w:t>
      </w:r>
      <w:r>
        <w:rPr>
          <w:spacing w:val="1"/>
        </w:rPr>
        <w:t xml:space="preserve"> </w:t>
      </w:r>
      <w:r>
        <w:t>and</w:t>
      </w:r>
      <w:r>
        <w:rPr>
          <w:spacing w:val="1"/>
        </w:rPr>
        <w:t xml:space="preserve"> </w:t>
      </w:r>
      <w:r>
        <w:t>ERDF.</w:t>
      </w:r>
      <w:r>
        <w:rPr>
          <w:spacing w:val="1"/>
        </w:rPr>
        <w:t xml:space="preserve"> </w:t>
      </w:r>
      <w:r>
        <w:t>The</w:t>
      </w:r>
      <w:r>
        <w:rPr>
          <w:spacing w:val="1"/>
        </w:rPr>
        <w:t xml:space="preserve"> </w:t>
      </w:r>
      <w:r>
        <w:t>issue</w:t>
      </w:r>
      <w:r>
        <w:rPr>
          <w:spacing w:val="1"/>
        </w:rPr>
        <w:t xml:space="preserve"> </w:t>
      </w:r>
      <w:r>
        <w:t>of</w:t>
      </w:r>
      <w:r>
        <w:rPr>
          <w:spacing w:val="1"/>
        </w:rPr>
        <w:t xml:space="preserve"> </w:t>
      </w:r>
      <w:r>
        <w:t>ensuring the</w:t>
      </w:r>
      <w:r>
        <w:rPr>
          <w:spacing w:val="1"/>
        </w:rPr>
        <w:t xml:space="preserve"> </w:t>
      </w:r>
      <w:r>
        <w:t>protection</w:t>
      </w:r>
      <w:r>
        <w:rPr>
          <w:spacing w:val="-1"/>
        </w:rPr>
        <w:t xml:space="preserve"> </w:t>
      </w:r>
      <w:r>
        <w:t>and</w:t>
      </w:r>
      <w:r>
        <w:rPr>
          <w:spacing w:val="-1"/>
        </w:rPr>
        <w:t xml:space="preserve"> </w:t>
      </w:r>
      <w:r>
        <w:t>resilience of</w:t>
      </w:r>
      <w:r>
        <w:rPr>
          <w:spacing w:val="-1"/>
        </w:rPr>
        <w:t xml:space="preserve"> </w:t>
      </w:r>
      <w:r>
        <w:t>critical</w:t>
      </w:r>
      <w:r>
        <w:rPr>
          <w:spacing w:val="-1"/>
        </w:rPr>
        <w:t xml:space="preserve"> </w:t>
      </w:r>
      <w:r>
        <w:t>infrastructure</w:t>
      </w:r>
      <w:r>
        <w:rPr>
          <w:spacing w:val="-2"/>
        </w:rPr>
        <w:t xml:space="preserve"> </w:t>
      </w:r>
      <w:r>
        <w:t>is planned</w:t>
      </w:r>
      <w:r>
        <w:rPr>
          <w:spacing w:val="2"/>
        </w:rPr>
        <w:t xml:space="preserve"> </w:t>
      </w:r>
      <w:r>
        <w:t>using</w:t>
      </w:r>
      <w:r>
        <w:rPr>
          <w:spacing w:val="-3"/>
        </w:rPr>
        <w:t xml:space="preserve"> </w:t>
      </w:r>
      <w:r>
        <w:t>the</w:t>
      </w:r>
      <w:r>
        <w:rPr>
          <w:spacing w:val="3"/>
        </w:rPr>
        <w:t xml:space="preserve"> </w:t>
      </w:r>
      <w:r>
        <w:t>ISF</w:t>
      </w:r>
      <w:r>
        <w:rPr>
          <w:spacing w:val="-3"/>
        </w:rPr>
        <w:t xml:space="preserve"> </w:t>
      </w:r>
      <w:r>
        <w:t>and</w:t>
      </w:r>
      <w:r>
        <w:rPr>
          <w:spacing w:val="-1"/>
        </w:rPr>
        <w:t xml:space="preserve"> </w:t>
      </w:r>
      <w:r>
        <w:t>the ERDF.</w:t>
      </w:r>
    </w:p>
    <w:p w:rsidR="00A56FE9" w:rsidRDefault="00A56FE9">
      <w:pPr>
        <w:sectPr w:rsidR="00A56FE9" w:rsidSect="00AB1E70">
          <w:pgSz w:w="11910" w:h="16840"/>
          <w:pgMar w:top="1420" w:right="1140" w:bottom="960" w:left="1280" w:header="0" w:footer="699" w:gutter="0"/>
          <w:cols w:space="720"/>
        </w:sectPr>
      </w:pPr>
    </w:p>
    <w:p w:rsidR="00A56FE9" w:rsidRDefault="00000000">
      <w:pPr>
        <w:pStyle w:val="Tijeloteksta"/>
        <w:spacing w:before="74"/>
        <w:ind w:right="274"/>
      </w:pPr>
      <w:r>
        <w:t>As</w:t>
      </w:r>
      <w:r>
        <w:rPr>
          <w:spacing w:val="-11"/>
        </w:rPr>
        <w:t xml:space="preserve"> </w:t>
      </w:r>
      <w:r>
        <w:t>part</w:t>
      </w:r>
      <w:r>
        <w:rPr>
          <w:spacing w:val="-11"/>
        </w:rPr>
        <w:t xml:space="preserve"> </w:t>
      </w:r>
      <w:r>
        <w:t>of</w:t>
      </w:r>
      <w:r>
        <w:rPr>
          <w:spacing w:val="-12"/>
        </w:rPr>
        <w:t xml:space="preserve"> </w:t>
      </w:r>
      <w:r>
        <w:t>the</w:t>
      </w:r>
      <w:r>
        <w:rPr>
          <w:spacing w:val="-9"/>
        </w:rPr>
        <w:t xml:space="preserve"> </w:t>
      </w:r>
      <w:r>
        <w:t>earthquake</w:t>
      </w:r>
      <w:r>
        <w:rPr>
          <w:spacing w:val="-7"/>
        </w:rPr>
        <w:t xml:space="preserve"> </w:t>
      </w:r>
      <w:r>
        <w:t>recovery,</w:t>
      </w:r>
      <w:r>
        <w:rPr>
          <w:spacing w:val="-10"/>
        </w:rPr>
        <w:t xml:space="preserve"> </w:t>
      </w:r>
      <w:r>
        <w:t>the</w:t>
      </w:r>
      <w:r>
        <w:rPr>
          <w:spacing w:val="-9"/>
        </w:rPr>
        <w:t xml:space="preserve"> </w:t>
      </w:r>
      <w:r>
        <w:t>planned</w:t>
      </w:r>
      <w:r>
        <w:rPr>
          <w:spacing w:val="-9"/>
        </w:rPr>
        <w:t xml:space="preserve"> </w:t>
      </w:r>
      <w:r>
        <w:t>investments</w:t>
      </w:r>
      <w:r>
        <w:rPr>
          <w:spacing w:val="-10"/>
        </w:rPr>
        <w:t xml:space="preserve"> </w:t>
      </w:r>
      <w:r>
        <w:t>from</w:t>
      </w:r>
      <w:r>
        <w:rPr>
          <w:spacing w:val="-11"/>
        </w:rPr>
        <w:t xml:space="preserve"> </w:t>
      </w:r>
      <w:r>
        <w:t>the</w:t>
      </w:r>
      <w:r>
        <w:rPr>
          <w:spacing w:val="-6"/>
        </w:rPr>
        <w:t xml:space="preserve"> </w:t>
      </w:r>
      <w:r>
        <w:t>NRRP</w:t>
      </w:r>
      <w:r>
        <w:rPr>
          <w:spacing w:val="-10"/>
        </w:rPr>
        <w:t xml:space="preserve"> </w:t>
      </w:r>
      <w:r>
        <w:t>for</w:t>
      </w:r>
      <w:r>
        <w:rPr>
          <w:spacing w:val="-10"/>
        </w:rPr>
        <w:t xml:space="preserve"> </w:t>
      </w:r>
      <w:r>
        <w:t>comprehensive</w:t>
      </w:r>
      <w:r>
        <w:rPr>
          <w:spacing w:val="-58"/>
        </w:rPr>
        <w:t xml:space="preserve"> </w:t>
      </w:r>
      <w:r>
        <w:rPr>
          <w:spacing w:val="-1"/>
        </w:rPr>
        <w:t>(construction</w:t>
      </w:r>
      <w:r>
        <w:rPr>
          <w:spacing w:val="-12"/>
        </w:rPr>
        <w:t xml:space="preserve"> </w:t>
      </w:r>
      <w:r>
        <w:t>and</w:t>
      </w:r>
      <w:r>
        <w:rPr>
          <w:spacing w:val="-10"/>
        </w:rPr>
        <w:t xml:space="preserve"> </w:t>
      </w:r>
      <w:r>
        <w:t>energy)</w:t>
      </w:r>
      <w:r>
        <w:rPr>
          <w:spacing w:val="-9"/>
        </w:rPr>
        <w:t xml:space="preserve"> </w:t>
      </w:r>
      <w:r>
        <w:t>renewal</w:t>
      </w:r>
      <w:r>
        <w:rPr>
          <w:spacing w:val="-10"/>
        </w:rPr>
        <w:t xml:space="preserve"> </w:t>
      </w:r>
      <w:r>
        <w:t>will</w:t>
      </w:r>
      <w:r>
        <w:rPr>
          <w:spacing w:val="-12"/>
        </w:rPr>
        <w:t xml:space="preserve"> </w:t>
      </w:r>
      <w:r>
        <w:t>be</w:t>
      </w:r>
      <w:r>
        <w:rPr>
          <w:spacing w:val="-13"/>
        </w:rPr>
        <w:t xml:space="preserve"> </w:t>
      </w:r>
      <w:r>
        <w:t>supported</w:t>
      </w:r>
      <w:r>
        <w:rPr>
          <w:spacing w:val="-11"/>
        </w:rPr>
        <w:t xml:space="preserve"> </w:t>
      </w:r>
      <w:r>
        <w:t>with</w:t>
      </w:r>
      <w:r>
        <w:rPr>
          <w:spacing w:val="-12"/>
        </w:rPr>
        <w:t xml:space="preserve"> </w:t>
      </w:r>
      <w:r>
        <w:t>investments</w:t>
      </w:r>
      <w:r>
        <w:rPr>
          <w:spacing w:val="-12"/>
        </w:rPr>
        <w:t xml:space="preserve"> </w:t>
      </w:r>
      <w:r>
        <w:t>in</w:t>
      </w:r>
      <w:r>
        <w:rPr>
          <w:spacing w:val="-12"/>
        </w:rPr>
        <w:t xml:space="preserve"> </w:t>
      </w:r>
      <w:r>
        <w:t>energy</w:t>
      </w:r>
      <w:r>
        <w:rPr>
          <w:spacing w:val="-15"/>
        </w:rPr>
        <w:t xml:space="preserve"> </w:t>
      </w:r>
      <w:r>
        <w:t>efficiency</w:t>
      </w:r>
      <w:r>
        <w:rPr>
          <w:spacing w:val="-15"/>
        </w:rPr>
        <w:t xml:space="preserve"> </w:t>
      </w:r>
      <w:r>
        <w:t>from</w:t>
      </w:r>
      <w:r>
        <w:rPr>
          <w:spacing w:val="-57"/>
        </w:rPr>
        <w:t xml:space="preserve"> </w:t>
      </w:r>
      <w:r>
        <w:t>the ERDF (public and private sector) while relevant investments in energy efficiency and</w:t>
      </w:r>
      <w:r>
        <w:rPr>
          <w:spacing w:val="1"/>
        </w:rPr>
        <w:t xml:space="preserve"> </w:t>
      </w:r>
      <w:r>
        <w:t>greenhouse gas emissions be funded from EFPRA in the fisheries segment. The measures for</w:t>
      </w:r>
      <w:r>
        <w:rPr>
          <w:spacing w:val="1"/>
        </w:rPr>
        <w:t xml:space="preserve"> </w:t>
      </w:r>
      <w:r>
        <w:t>the</w:t>
      </w:r>
      <w:r>
        <w:rPr>
          <w:spacing w:val="-9"/>
        </w:rPr>
        <w:t xml:space="preserve"> </w:t>
      </w:r>
      <w:r>
        <w:t>transition</w:t>
      </w:r>
      <w:r>
        <w:rPr>
          <w:spacing w:val="-7"/>
        </w:rPr>
        <w:t xml:space="preserve"> </w:t>
      </w:r>
      <w:r>
        <w:t>to</w:t>
      </w:r>
      <w:r>
        <w:rPr>
          <w:spacing w:val="-8"/>
        </w:rPr>
        <w:t xml:space="preserve"> </w:t>
      </w:r>
      <w:r>
        <w:t>a</w:t>
      </w:r>
      <w:r>
        <w:rPr>
          <w:spacing w:val="-9"/>
        </w:rPr>
        <w:t xml:space="preserve"> </w:t>
      </w:r>
      <w:r>
        <w:t>circular</w:t>
      </w:r>
      <w:r>
        <w:rPr>
          <w:spacing w:val="-8"/>
        </w:rPr>
        <w:t xml:space="preserve"> </w:t>
      </w:r>
      <w:r>
        <w:t>economy</w:t>
      </w:r>
      <w:r>
        <w:rPr>
          <w:spacing w:val="-12"/>
        </w:rPr>
        <w:t xml:space="preserve"> </w:t>
      </w:r>
      <w:r>
        <w:t>will</w:t>
      </w:r>
      <w:r>
        <w:rPr>
          <w:spacing w:val="-8"/>
        </w:rPr>
        <w:t xml:space="preserve"> </w:t>
      </w:r>
      <w:r>
        <w:t>be</w:t>
      </w:r>
      <w:r>
        <w:rPr>
          <w:spacing w:val="-9"/>
        </w:rPr>
        <w:t xml:space="preserve"> </w:t>
      </w:r>
      <w:r>
        <w:t>financed</w:t>
      </w:r>
      <w:r>
        <w:rPr>
          <w:spacing w:val="-9"/>
        </w:rPr>
        <w:t xml:space="preserve"> </w:t>
      </w:r>
      <w:r>
        <w:t>primarily</w:t>
      </w:r>
      <w:r>
        <w:rPr>
          <w:spacing w:val="-12"/>
        </w:rPr>
        <w:t xml:space="preserve"> </w:t>
      </w:r>
      <w:r>
        <w:t>from</w:t>
      </w:r>
      <w:r>
        <w:rPr>
          <w:spacing w:val="-8"/>
        </w:rPr>
        <w:t xml:space="preserve"> </w:t>
      </w:r>
      <w:r>
        <w:t>the</w:t>
      </w:r>
      <w:r>
        <w:rPr>
          <w:spacing w:val="-8"/>
        </w:rPr>
        <w:t xml:space="preserve"> </w:t>
      </w:r>
      <w:r>
        <w:t>ERDF,</w:t>
      </w:r>
      <w:r>
        <w:rPr>
          <w:spacing w:val="-9"/>
        </w:rPr>
        <w:t xml:space="preserve"> </w:t>
      </w:r>
      <w:r>
        <w:t>and</w:t>
      </w:r>
      <w:r>
        <w:rPr>
          <w:spacing w:val="-8"/>
        </w:rPr>
        <w:t xml:space="preserve"> </w:t>
      </w:r>
      <w:r>
        <w:t>the</w:t>
      </w:r>
      <w:r>
        <w:rPr>
          <w:spacing w:val="-8"/>
        </w:rPr>
        <w:t xml:space="preserve"> </w:t>
      </w:r>
      <w:r>
        <w:t>increase</w:t>
      </w:r>
      <w:r>
        <w:rPr>
          <w:spacing w:val="-58"/>
        </w:rPr>
        <w:t xml:space="preserve"> </w:t>
      </w:r>
      <w:r>
        <w:t>in</w:t>
      </w:r>
      <w:r>
        <w:rPr>
          <w:spacing w:val="-6"/>
        </w:rPr>
        <w:t xml:space="preserve"> </w:t>
      </w:r>
      <w:r>
        <w:t>biodiversity</w:t>
      </w:r>
      <w:r>
        <w:rPr>
          <w:spacing w:val="-9"/>
        </w:rPr>
        <w:t xml:space="preserve"> </w:t>
      </w:r>
      <w:r>
        <w:t>and</w:t>
      </w:r>
      <w:r>
        <w:rPr>
          <w:spacing w:val="-3"/>
        </w:rPr>
        <w:t xml:space="preserve"> </w:t>
      </w:r>
      <w:r>
        <w:t>green</w:t>
      </w:r>
      <w:r>
        <w:rPr>
          <w:spacing w:val="-2"/>
        </w:rPr>
        <w:t xml:space="preserve"> </w:t>
      </w:r>
      <w:r>
        <w:t>infrastructure</w:t>
      </w:r>
      <w:r>
        <w:rPr>
          <w:spacing w:val="-7"/>
        </w:rPr>
        <w:t xml:space="preserve"> </w:t>
      </w:r>
      <w:r>
        <w:t>from</w:t>
      </w:r>
      <w:r>
        <w:rPr>
          <w:spacing w:val="-6"/>
        </w:rPr>
        <w:t xml:space="preserve"> </w:t>
      </w:r>
      <w:r>
        <w:t>the</w:t>
      </w:r>
      <w:r>
        <w:rPr>
          <w:spacing w:val="-5"/>
        </w:rPr>
        <w:t xml:space="preserve"> </w:t>
      </w:r>
      <w:r>
        <w:t>ERDF</w:t>
      </w:r>
      <w:r>
        <w:rPr>
          <w:spacing w:val="-7"/>
        </w:rPr>
        <w:t xml:space="preserve"> </w:t>
      </w:r>
      <w:r>
        <w:t>and</w:t>
      </w:r>
      <w:r>
        <w:rPr>
          <w:spacing w:val="-4"/>
        </w:rPr>
        <w:t xml:space="preserve"> </w:t>
      </w:r>
      <w:r>
        <w:t>EFPRA.</w:t>
      </w:r>
      <w:r>
        <w:rPr>
          <w:spacing w:val="-3"/>
        </w:rPr>
        <w:t xml:space="preserve"> </w:t>
      </w:r>
      <w:r>
        <w:t>Fulfilling</w:t>
      </w:r>
      <w:r>
        <w:rPr>
          <w:spacing w:val="-4"/>
        </w:rPr>
        <w:t xml:space="preserve"> </w:t>
      </w:r>
      <w:r>
        <w:t>further</w:t>
      </w:r>
      <w:r>
        <w:rPr>
          <w:spacing w:val="-7"/>
        </w:rPr>
        <w:t xml:space="preserve"> </w:t>
      </w:r>
      <w:r>
        <w:t>needs</w:t>
      </w:r>
      <w:r>
        <w:rPr>
          <w:spacing w:val="-5"/>
        </w:rPr>
        <w:t xml:space="preserve"> </w:t>
      </w:r>
      <w:r>
        <w:t>of</w:t>
      </w:r>
      <w:r>
        <w:rPr>
          <w:spacing w:val="-58"/>
        </w:rPr>
        <w:t xml:space="preserve"> </w:t>
      </w:r>
      <w:r>
        <w:t>water utility infrastructure will continue with funding in 2014-2020 and due to the still large</w:t>
      </w:r>
      <w:r>
        <w:rPr>
          <w:spacing w:val="1"/>
        </w:rPr>
        <w:t xml:space="preserve"> </w:t>
      </w:r>
      <w:r>
        <w:t>obligations that Croatia has under the Accession Agreement, the projects will be funded from</w:t>
      </w:r>
      <w:r>
        <w:rPr>
          <w:spacing w:val="1"/>
        </w:rPr>
        <w:t xml:space="preserve"> </w:t>
      </w:r>
      <w:r>
        <w:t>the NRRP and the ERDF. The development of sustainable mobility (TEN-T, non-TEN-T and</w:t>
      </w:r>
      <w:r>
        <w:rPr>
          <w:spacing w:val="1"/>
        </w:rPr>
        <w:t xml:space="preserve"> </w:t>
      </w:r>
      <w:r>
        <w:t>cross-border) will be funded in a complementary way from the NRRP and CF, and the parts</w:t>
      </w:r>
      <w:r>
        <w:rPr>
          <w:spacing w:val="1"/>
        </w:rPr>
        <w:t xml:space="preserve"> </w:t>
      </w:r>
      <w:r>
        <w:t>related</w:t>
      </w:r>
      <w:r>
        <w:rPr>
          <w:spacing w:val="-1"/>
        </w:rPr>
        <w:t xml:space="preserve"> </w:t>
      </w:r>
      <w:r>
        <w:t>to</w:t>
      </w:r>
      <w:r>
        <w:rPr>
          <w:spacing w:val="-1"/>
        </w:rPr>
        <w:t xml:space="preserve"> </w:t>
      </w:r>
      <w:r>
        <w:t>border</w:t>
      </w:r>
      <w:r>
        <w:rPr>
          <w:spacing w:val="-1"/>
        </w:rPr>
        <w:t xml:space="preserve"> </w:t>
      </w:r>
      <w:r>
        <w:t>management</w:t>
      </w:r>
      <w:r>
        <w:rPr>
          <w:spacing w:val="-1"/>
        </w:rPr>
        <w:t xml:space="preserve"> </w:t>
      </w:r>
      <w:r>
        <w:t>through</w:t>
      </w:r>
      <w:r>
        <w:rPr>
          <w:spacing w:val="2"/>
        </w:rPr>
        <w:t xml:space="preserve"> </w:t>
      </w:r>
      <w:r>
        <w:t>Border</w:t>
      </w:r>
      <w:r>
        <w:rPr>
          <w:spacing w:val="-1"/>
        </w:rPr>
        <w:t xml:space="preserve"> </w:t>
      </w:r>
      <w:r>
        <w:t>Management</w:t>
      </w:r>
      <w:r>
        <w:rPr>
          <w:spacing w:val="-1"/>
        </w:rPr>
        <w:t xml:space="preserve"> </w:t>
      </w:r>
      <w:r>
        <w:t>and Visa</w:t>
      </w:r>
      <w:r>
        <w:rPr>
          <w:spacing w:val="2"/>
        </w:rPr>
        <w:t xml:space="preserve"> </w:t>
      </w:r>
      <w:r>
        <w:t>Instrument</w:t>
      </w:r>
      <w:r>
        <w:rPr>
          <w:spacing w:val="-1"/>
        </w:rPr>
        <w:t xml:space="preserve"> </w:t>
      </w:r>
      <w:r>
        <w:t>(BMVI).</w:t>
      </w:r>
    </w:p>
    <w:p w:rsidR="00A56FE9" w:rsidRDefault="00000000">
      <w:pPr>
        <w:pStyle w:val="Tijeloteksta"/>
        <w:spacing w:before="121"/>
        <w:ind w:right="270"/>
      </w:pPr>
      <w:r>
        <w:t>In terms of supporting small and medium-sized enterprises to improve competitiveness, the</w:t>
      </w:r>
      <w:r>
        <w:rPr>
          <w:spacing w:val="1"/>
        </w:rPr>
        <w:t xml:space="preserve"> </w:t>
      </w:r>
      <w:r>
        <w:t>labour market will receive support from the NRRP and ERDF while the ESF+ will provide</w:t>
      </w:r>
      <w:r>
        <w:rPr>
          <w:spacing w:val="1"/>
        </w:rPr>
        <w:t xml:space="preserve"> </w:t>
      </w:r>
      <w:r>
        <w:t>support through active labour market policies (ALMPs) in strengthening skills and raising the</w:t>
      </w:r>
      <w:r>
        <w:rPr>
          <w:spacing w:val="1"/>
        </w:rPr>
        <w:t xml:space="preserve"> </w:t>
      </w:r>
      <w:r>
        <w:t>qualifications</w:t>
      </w:r>
      <w:r>
        <w:rPr>
          <w:spacing w:val="-7"/>
        </w:rPr>
        <w:t xml:space="preserve"> </w:t>
      </w:r>
      <w:r>
        <w:t>of</w:t>
      </w:r>
      <w:r>
        <w:rPr>
          <w:spacing w:val="-8"/>
        </w:rPr>
        <w:t xml:space="preserve"> </w:t>
      </w:r>
      <w:r>
        <w:t>the</w:t>
      </w:r>
      <w:r>
        <w:rPr>
          <w:spacing w:val="-6"/>
        </w:rPr>
        <w:t xml:space="preserve"> </w:t>
      </w:r>
      <w:r>
        <w:t>workforce</w:t>
      </w:r>
      <w:r>
        <w:rPr>
          <w:spacing w:val="-8"/>
        </w:rPr>
        <w:t xml:space="preserve"> </w:t>
      </w:r>
      <w:r>
        <w:t>in</w:t>
      </w:r>
      <w:r>
        <w:rPr>
          <w:spacing w:val="-6"/>
        </w:rPr>
        <w:t xml:space="preserve"> </w:t>
      </w:r>
      <w:r>
        <w:t>accordance</w:t>
      </w:r>
      <w:r>
        <w:rPr>
          <w:spacing w:val="-8"/>
        </w:rPr>
        <w:t xml:space="preserve"> </w:t>
      </w:r>
      <w:r>
        <w:t>with</w:t>
      </w:r>
      <w:r>
        <w:rPr>
          <w:spacing w:val="-6"/>
        </w:rPr>
        <w:t xml:space="preserve"> </w:t>
      </w:r>
      <w:r>
        <w:t>labour</w:t>
      </w:r>
      <w:r>
        <w:rPr>
          <w:spacing w:val="-8"/>
        </w:rPr>
        <w:t xml:space="preserve"> </w:t>
      </w:r>
      <w:r>
        <w:t>market</w:t>
      </w:r>
      <w:r>
        <w:rPr>
          <w:spacing w:val="-7"/>
        </w:rPr>
        <w:t xml:space="preserve"> </w:t>
      </w:r>
      <w:r>
        <w:t>needs.</w:t>
      </w:r>
      <w:r>
        <w:rPr>
          <w:spacing w:val="-6"/>
        </w:rPr>
        <w:t xml:space="preserve"> </w:t>
      </w:r>
      <w:r>
        <w:t>The</w:t>
      </w:r>
      <w:r>
        <w:rPr>
          <w:spacing w:val="-6"/>
        </w:rPr>
        <w:t xml:space="preserve"> </w:t>
      </w:r>
      <w:r>
        <w:t>NRRP</w:t>
      </w:r>
      <w:r>
        <w:rPr>
          <w:spacing w:val="-6"/>
        </w:rPr>
        <w:t xml:space="preserve"> </w:t>
      </w:r>
      <w:r>
        <w:t>will</w:t>
      </w:r>
      <w:r>
        <w:rPr>
          <w:spacing w:val="-7"/>
        </w:rPr>
        <w:t xml:space="preserve"> </w:t>
      </w:r>
      <w:r>
        <w:t>enable</w:t>
      </w:r>
      <w:r>
        <w:rPr>
          <w:spacing w:val="-58"/>
        </w:rPr>
        <w:t xml:space="preserve"> </w:t>
      </w:r>
      <w:r>
        <w:t>investments</w:t>
      </w:r>
      <w:r>
        <w:rPr>
          <w:spacing w:val="1"/>
        </w:rPr>
        <w:t xml:space="preserve"> </w:t>
      </w:r>
      <w:r>
        <w:t>in</w:t>
      </w:r>
      <w:r>
        <w:rPr>
          <w:spacing w:val="1"/>
        </w:rPr>
        <w:t xml:space="preserve"> </w:t>
      </w:r>
      <w:r>
        <w:t>the</w:t>
      </w:r>
      <w:r>
        <w:rPr>
          <w:spacing w:val="1"/>
        </w:rPr>
        <w:t xml:space="preserve"> </w:t>
      </w:r>
      <w:r>
        <w:t>construction,</w:t>
      </w:r>
      <w:r>
        <w:rPr>
          <w:spacing w:val="1"/>
        </w:rPr>
        <w:t xml:space="preserve"> </w:t>
      </w:r>
      <w:r>
        <w:t>extensions,</w:t>
      </w:r>
      <w:r>
        <w:rPr>
          <w:spacing w:val="1"/>
        </w:rPr>
        <w:t xml:space="preserve"> </w:t>
      </w:r>
      <w:r>
        <w:t>reconstruction</w:t>
      </w:r>
      <w:r>
        <w:rPr>
          <w:spacing w:val="1"/>
        </w:rPr>
        <w:t xml:space="preserve"> </w:t>
      </w:r>
      <w:r>
        <w:t>and</w:t>
      </w:r>
      <w:r>
        <w:rPr>
          <w:spacing w:val="1"/>
        </w:rPr>
        <w:t xml:space="preserve"> </w:t>
      </w:r>
      <w:r>
        <w:t>equipping</w:t>
      </w:r>
      <w:r>
        <w:rPr>
          <w:spacing w:val="1"/>
        </w:rPr>
        <w:t xml:space="preserve"> </w:t>
      </w:r>
      <w:r>
        <w:t>of</w:t>
      </w:r>
      <w:r>
        <w:rPr>
          <w:spacing w:val="1"/>
        </w:rPr>
        <w:t xml:space="preserve"> </w:t>
      </w:r>
      <w:r>
        <w:t>preschool</w:t>
      </w:r>
      <w:r>
        <w:rPr>
          <w:spacing w:val="1"/>
        </w:rPr>
        <w:t xml:space="preserve"> </w:t>
      </w:r>
      <w:r>
        <w:t>institutions, schools for the needs of single-shift work and all-day school, and secondary</w:t>
      </w:r>
      <w:r>
        <w:rPr>
          <w:spacing w:val="1"/>
        </w:rPr>
        <w:t xml:space="preserve"> </w:t>
      </w:r>
      <w:r>
        <w:t>schools. The introduction of all-day school begins with the financing of activities from the</w:t>
      </w:r>
      <w:r>
        <w:rPr>
          <w:spacing w:val="1"/>
        </w:rPr>
        <w:t xml:space="preserve"> </w:t>
      </w:r>
      <w:r>
        <w:t>NRRP and continues with the ERDF (infrastructure and equipping new or modernisation of</w:t>
      </w:r>
      <w:r>
        <w:rPr>
          <w:spacing w:val="1"/>
        </w:rPr>
        <w:t xml:space="preserve"> </w:t>
      </w:r>
      <w:r>
        <w:t>existing</w:t>
      </w:r>
      <w:r>
        <w:rPr>
          <w:spacing w:val="-10"/>
        </w:rPr>
        <w:t xml:space="preserve"> </w:t>
      </w:r>
      <w:r>
        <w:t>primary</w:t>
      </w:r>
      <w:r>
        <w:rPr>
          <w:spacing w:val="-10"/>
        </w:rPr>
        <w:t xml:space="preserve"> </w:t>
      </w:r>
      <w:r>
        <w:t>education</w:t>
      </w:r>
      <w:r>
        <w:rPr>
          <w:spacing w:val="-8"/>
        </w:rPr>
        <w:t xml:space="preserve"> </w:t>
      </w:r>
      <w:r>
        <w:t>institutions,</w:t>
      </w:r>
      <w:r>
        <w:rPr>
          <w:spacing w:val="-7"/>
        </w:rPr>
        <w:t xml:space="preserve"> </w:t>
      </w:r>
      <w:r>
        <w:t>including</w:t>
      </w:r>
      <w:r>
        <w:rPr>
          <w:spacing w:val="-10"/>
        </w:rPr>
        <w:t xml:space="preserve"> </w:t>
      </w:r>
      <w:r>
        <w:t>infrastructure</w:t>
      </w:r>
      <w:r>
        <w:rPr>
          <w:spacing w:val="-8"/>
        </w:rPr>
        <w:t xml:space="preserve"> </w:t>
      </w:r>
      <w:r>
        <w:t>needed</w:t>
      </w:r>
      <w:r>
        <w:rPr>
          <w:spacing w:val="-8"/>
        </w:rPr>
        <w:t xml:space="preserve"> </w:t>
      </w:r>
      <w:r>
        <w:t>to</w:t>
      </w:r>
      <w:r>
        <w:rPr>
          <w:spacing w:val="-5"/>
        </w:rPr>
        <w:t xml:space="preserve"> </w:t>
      </w:r>
      <w:r>
        <w:t>ensure</w:t>
      </w:r>
      <w:r>
        <w:rPr>
          <w:spacing w:val="-4"/>
        </w:rPr>
        <w:t xml:space="preserve"> </w:t>
      </w:r>
      <w:r>
        <w:t>healthy</w:t>
      </w:r>
      <w:r>
        <w:rPr>
          <w:spacing w:val="-12"/>
        </w:rPr>
        <w:t xml:space="preserve"> </w:t>
      </w:r>
      <w:r>
        <w:t>living</w:t>
      </w:r>
      <w:r>
        <w:rPr>
          <w:spacing w:val="-57"/>
        </w:rPr>
        <w:t xml:space="preserve"> </w:t>
      </w:r>
      <w:r>
        <w:t>conditions for children) and curriculum adaptation and training of educators using ESF+.</w:t>
      </w:r>
      <w:r>
        <w:rPr>
          <w:spacing w:val="1"/>
        </w:rPr>
        <w:t xml:space="preserve"> </w:t>
      </w:r>
      <w:r>
        <w:t>Reforms</w:t>
      </w:r>
      <w:r>
        <w:rPr>
          <w:spacing w:val="1"/>
        </w:rPr>
        <w:t xml:space="preserve"> </w:t>
      </w:r>
      <w:r>
        <w:t>in</w:t>
      </w:r>
      <w:r>
        <w:rPr>
          <w:spacing w:val="1"/>
        </w:rPr>
        <w:t xml:space="preserve"> </w:t>
      </w:r>
      <w:r>
        <w:t>the</w:t>
      </w:r>
      <w:r>
        <w:rPr>
          <w:spacing w:val="1"/>
        </w:rPr>
        <w:t xml:space="preserve"> </w:t>
      </w:r>
      <w:r>
        <w:t>secondary</w:t>
      </w:r>
      <w:r>
        <w:rPr>
          <w:spacing w:val="1"/>
        </w:rPr>
        <w:t xml:space="preserve"> </w:t>
      </w:r>
      <w:r>
        <w:t>school</w:t>
      </w:r>
      <w:r>
        <w:rPr>
          <w:spacing w:val="1"/>
        </w:rPr>
        <w:t xml:space="preserve"> </w:t>
      </w:r>
      <w:r>
        <w:t>system</w:t>
      </w:r>
      <w:r>
        <w:rPr>
          <w:spacing w:val="1"/>
        </w:rPr>
        <w:t xml:space="preserve"> </w:t>
      </w:r>
      <w:r>
        <w:t>will</w:t>
      </w:r>
      <w:r>
        <w:rPr>
          <w:spacing w:val="1"/>
        </w:rPr>
        <w:t xml:space="preserve"> </w:t>
      </w:r>
      <w:r>
        <w:t>facilitate</w:t>
      </w:r>
      <w:r>
        <w:rPr>
          <w:spacing w:val="1"/>
        </w:rPr>
        <w:t xml:space="preserve"> </w:t>
      </w:r>
      <w:r>
        <w:t>investments</w:t>
      </w:r>
      <w:r>
        <w:rPr>
          <w:spacing w:val="1"/>
        </w:rPr>
        <w:t xml:space="preserve"> </w:t>
      </w:r>
      <w:r>
        <w:t>in</w:t>
      </w:r>
      <w:r>
        <w:rPr>
          <w:spacing w:val="1"/>
        </w:rPr>
        <w:t xml:space="preserve"> </w:t>
      </w:r>
      <w:r>
        <w:t>establishing</w:t>
      </w:r>
      <w:r>
        <w:rPr>
          <w:spacing w:val="1"/>
        </w:rPr>
        <w:t xml:space="preserve"> </w:t>
      </w:r>
      <w:r>
        <w:t>and</w:t>
      </w:r>
      <w:r>
        <w:rPr>
          <w:spacing w:val="1"/>
        </w:rPr>
        <w:t xml:space="preserve"> </w:t>
      </w:r>
      <w:r>
        <w:t>developing the infrastructure of the centre for strengthening the capacity of educators and</w:t>
      </w:r>
      <w:r>
        <w:rPr>
          <w:spacing w:val="1"/>
        </w:rPr>
        <w:t xml:space="preserve"> </w:t>
      </w:r>
      <w:r>
        <w:t>providing</w:t>
      </w:r>
      <w:r>
        <w:rPr>
          <w:spacing w:val="1"/>
        </w:rPr>
        <w:t xml:space="preserve"> </w:t>
      </w:r>
      <w:r>
        <w:t>support</w:t>
      </w:r>
      <w:r>
        <w:rPr>
          <w:spacing w:val="1"/>
        </w:rPr>
        <w:t xml:space="preserve"> </w:t>
      </w:r>
      <w:r>
        <w:t>to</w:t>
      </w:r>
      <w:r>
        <w:rPr>
          <w:spacing w:val="1"/>
        </w:rPr>
        <w:t xml:space="preserve"> </w:t>
      </w:r>
      <w:r>
        <w:t>pupils.</w:t>
      </w:r>
      <w:r>
        <w:rPr>
          <w:spacing w:val="1"/>
        </w:rPr>
        <w:t xml:space="preserve"> </w:t>
      </w:r>
      <w:r>
        <w:t>The</w:t>
      </w:r>
      <w:r>
        <w:rPr>
          <w:spacing w:val="1"/>
        </w:rPr>
        <w:t xml:space="preserve"> </w:t>
      </w:r>
      <w:r>
        <w:t>modernisation</w:t>
      </w:r>
      <w:r>
        <w:rPr>
          <w:spacing w:val="1"/>
        </w:rPr>
        <w:t xml:space="preserve"> </w:t>
      </w:r>
      <w:r>
        <w:t>of</w:t>
      </w:r>
      <w:r>
        <w:rPr>
          <w:spacing w:val="1"/>
        </w:rPr>
        <w:t xml:space="preserve"> </w:t>
      </w:r>
      <w:r>
        <w:t>higher</w:t>
      </w:r>
      <w:r>
        <w:rPr>
          <w:spacing w:val="1"/>
        </w:rPr>
        <w:t xml:space="preserve"> </w:t>
      </w:r>
      <w:r>
        <w:t>education</w:t>
      </w:r>
      <w:r>
        <w:rPr>
          <w:spacing w:val="1"/>
        </w:rPr>
        <w:t xml:space="preserve"> </w:t>
      </w:r>
      <w:r>
        <w:t>through</w:t>
      </w:r>
      <w:r>
        <w:rPr>
          <w:spacing w:val="1"/>
        </w:rPr>
        <w:t xml:space="preserve"> </w:t>
      </w:r>
      <w:r>
        <w:t>digital</w:t>
      </w:r>
      <w:r>
        <w:rPr>
          <w:spacing w:val="1"/>
        </w:rPr>
        <w:t xml:space="preserve"> </w:t>
      </w:r>
      <w:r>
        <w:t>transformation will be implemented from the NRRP, whereas access to higher education will</w:t>
      </w:r>
      <w:r>
        <w:rPr>
          <w:spacing w:val="1"/>
        </w:rPr>
        <w:t xml:space="preserve"> </w:t>
      </w:r>
      <w:r>
        <w:t>be provided from the ERDF in terms of strengthening accommodation for students, while</w:t>
      </w:r>
      <w:r>
        <w:rPr>
          <w:spacing w:val="1"/>
        </w:rPr>
        <w:t xml:space="preserve"> </w:t>
      </w:r>
      <w:r>
        <w:t>scholarships,</w:t>
      </w:r>
      <w:r>
        <w:rPr>
          <w:spacing w:val="1"/>
        </w:rPr>
        <w:t xml:space="preserve"> </w:t>
      </w:r>
      <w:r>
        <w:t>quality</w:t>
      </w:r>
      <w:r>
        <w:rPr>
          <w:spacing w:val="1"/>
        </w:rPr>
        <w:t xml:space="preserve"> </w:t>
      </w:r>
      <w:r>
        <w:t>improvement</w:t>
      </w:r>
      <w:r>
        <w:rPr>
          <w:spacing w:val="1"/>
        </w:rPr>
        <w:t xml:space="preserve"> </w:t>
      </w:r>
      <w:r>
        <w:t>in</w:t>
      </w:r>
      <w:r>
        <w:rPr>
          <w:spacing w:val="1"/>
        </w:rPr>
        <w:t xml:space="preserve"> </w:t>
      </w:r>
      <w:r>
        <w:t>higher</w:t>
      </w:r>
      <w:r>
        <w:rPr>
          <w:spacing w:val="1"/>
        </w:rPr>
        <w:t xml:space="preserve"> </w:t>
      </w:r>
      <w:r>
        <w:t>education,</w:t>
      </w:r>
      <w:r>
        <w:rPr>
          <w:spacing w:val="1"/>
        </w:rPr>
        <w:t xml:space="preserve"> </w:t>
      </w:r>
      <w:r>
        <w:t>digital</w:t>
      </w:r>
      <w:r>
        <w:rPr>
          <w:spacing w:val="1"/>
        </w:rPr>
        <w:t xml:space="preserve"> </w:t>
      </w:r>
      <w:r>
        <w:t>transformation</w:t>
      </w:r>
      <w:r>
        <w:rPr>
          <w:spacing w:val="1"/>
        </w:rPr>
        <w:t xml:space="preserve"> </w:t>
      </w:r>
      <w:r>
        <w:t>of</w:t>
      </w:r>
      <w:r>
        <w:rPr>
          <w:spacing w:val="1"/>
        </w:rPr>
        <w:t xml:space="preserve"> </w:t>
      </w:r>
      <w:r>
        <w:t>higher</w:t>
      </w:r>
      <w:r>
        <w:rPr>
          <w:spacing w:val="1"/>
        </w:rPr>
        <w:t xml:space="preserve"> </w:t>
      </w:r>
      <w:r>
        <w:t>education institutions, development of external evaluation systems, development of research</w:t>
      </w:r>
      <w:r>
        <w:rPr>
          <w:spacing w:val="1"/>
        </w:rPr>
        <w:t xml:space="preserve"> </w:t>
      </w:r>
      <w:r>
        <w:t>capacities and ensured access to the international research community will be financed from</w:t>
      </w:r>
      <w:r>
        <w:rPr>
          <w:spacing w:val="1"/>
        </w:rPr>
        <w:t xml:space="preserve"> </w:t>
      </w:r>
      <w:r>
        <w:t>the</w:t>
      </w:r>
      <w:r>
        <w:rPr>
          <w:spacing w:val="-1"/>
        </w:rPr>
        <w:t xml:space="preserve"> </w:t>
      </w:r>
      <w:r>
        <w:t>ESF+.</w:t>
      </w:r>
    </w:p>
    <w:p w:rsidR="00A56FE9" w:rsidRDefault="00000000">
      <w:pPr>
        <w:pStyle w:val="Tijeloteksta"/>
        <w:spacing w:before="121"/>
        <w:ind w:right="272"/>
      </w:pPr>
      <w:r>
        <w:t>Improving the social welfare system through transparency and adequacy of social benefits,</w:t>
      </w:r>
      <w:r>
        <w:rPr>
          <w:spacing w:val="1"/>
        </w:rPr>
        <w:t xml:space="preserve"> </w:t>
      </w:r>
      <w:r>
        <w:t>development of social mentoring services and development of community services to prevent</w:t>
      </w:r>
      <w:r>
        <w:rPr>
          <w:spacing w:val="1"/>
        </w:rPr>
        <w:t xml:space="preserve"> </w:t>
      </w:r>
      <w:r>
        <w:t>institutionalisation</w:t>
      </w:r>
      <w:r>
        <w:rPr>
          <w:spacing w:val="-6"/>
        </w:rPr>
        <w:t xml:space="preserve"> </w:t>
      </w:r>
      <w:r>
        <w:t>(strengthening</w:t>
      </w:r>
      <w:r>
        <w:rPr>
          <w:spacing w:val="-9"/>
        </w:rPr>
        <w:t xml:space="preserve"> </w:t>
      </w:r>
      <w:r>
        <w:t>the</w:t>
      </w:r>
      <w:r>
        <w:rPr>
          <w:spacing w:val="-6"/>
        </w:rPr>
        <w:t xml:space="preserve"> </w:t>
      </w:r>
      <w:r>
        <w:t>capacity</w:t>
      </w:r>
      <w:r>
        <w:rPr>
          <w:spacing w:val="-11"/>
        </w:rPr>
        <w:t xml:space="preserve"> </w:t>
      </w:r>
      <w:r>
        <w:t>of</w:t>
      </w:r>
      <w:r>
        <w:rPr>
          <w:spacing w:val="-4"/>
        </w:rPr>
        <w:t xml:space="preserve"> </w:t>
      </w:r>
      <w:r>
        <w:t>professionals</w:t>
      </w:r>
      <w:r>
        <w:rPr>
          <w:spacing w:val="-6"/>
        </w:rPr>
        <w:t xml:space="preserve"> </w:t>
      </w:r>
      <w:r>
        <w:t>to</w:t>
      </w:r>
      <w:r>
        <w:rPr>
          <w:spacing w:val="-5"/>
        </w:rPr>
        <w:t xml:space="preserve"> </w:t>
      </w:r>
      <w:r>
        <w:t>provide</w:t>
      </w:r>
      <w:r>
        <w:rPr>
          <w:spacing w:val="-7"/>
        </w:rPr>
        <w:t xml:space="preserve"> </w:t>
      </w:r>
      <w:r>
        <w:t>community</w:t>
      </w:r>
      <w:r>
        <w:rPr>
          <w:spacing w:val="-12"/>
        </w:rPr>
        <w:t xml:space="preserve"> </w:t>
      </w:r>
      <w:r>
        <w:t>services,</w:t>
      </w:r>
      <w:r>
        <w:rPr>
          <w:spacing w:val="-58"/>
        </w:rPr>
        <w:t xml:space="preserve"> </w:t>
      </w:r>
      <w:r>
        <w:t>digitalisation including construction and equipping of centres for the elderly) will be funded</w:t>
      </w:r>
      <w:r>
        <w:rPr>
          <w:spacing w:val="1"/>
        </w:rPr>
        <w:t xml:space="preserve"> </w:t>
      </w:r>
      <w:r>
        <w:t>from the NRRP, while the ESF+ will support initiatives and activities related to the provision</w:t>
      </w:r>
      <w:r>
        <w:rPr>
          <w:spacing w:val="1"/>
        </w:rPr>
        <w:t xml:space="preserve"> </w:t>
      </w:r>
      <w:r>
        <w:t>of social services in the community to vulnerable groups (children and youth, people with</w:t>
      </w:r>
      <w:r>
        <w:rPr>
          <w:spacing w:val="1"/>
        </w:rPr>
        <w:t xml:space="preserve"> </w:t>
      </w:r>
      <w:r>
        <w:t>disabilities,</w:t>
      </w:r>
      <w:r>
        <w:rPr>
          <w:spacing w:val="-12"/>
        </w:rPr>
        <w:t xml:space="preserve"> </w:t>
      </w:r>
      <w:r>
        <w:t>migrants,</w:t>
      </w:r>
      <w:r>
        <w:rPr>
          <w:spacing w:val="-10"/>
        </w:rPr>
        <w:t xml:space="preserve"> </w:t>
      </w:r>
      <w:r>
        <w:t>the</w:t>
      </w:r>
      <w:r>
        <w:rPr>
          <w:spacing w:val="-12"/>
        </w:rPr>
        <w:t xml:space="preserve"> </w:t>
      </w:r>
      <w:r>
        <w:t>homeless,</w:t>
      </w:r>
      <w:r>
        <w:rPr>
          <w:spacing w:val="-11"/>
        </w:rPr>
        <w:t xml:space="preserve"> </w:t>
      </w:r>
      <w:r>
        <w:t>the</w:t>
      </w:r>
      <w:r>
        <w:rPr>
          <w:spacing w:val="-12"/>
        </w:rPr>
        <w:t xml:space="preserve"> </w:t>
      </w:r>
      <w:r>
        <w:t>elderly,</w:t>
      </w:r>
      <w:r>
        <w:rPr>
          <w:spacing w:val="-11"/>
        </w:rPr>
        <w:t xml:space="preserve"> </w:t>
      </w:r>
      <w:r>
        <w:t>victims</w:t>
      </w:r>
      <w:r>
        <w:rPr>
          <w:spacing w:val="-10"/>
        </w:rPr>
        <w:t xml:space="preserve"> </w:t>
      </w:r>
      <w:r>
        <w:t>of</w:t>
      </w:r>
      <w:r>
        <w:rPr>
          <w:spacing w:val="-13"/>
        </w:rPr>
        <w:t xml:space="preserve"> </w:t>
      </w:r>
      <w:r>
        <w:t>domestic</w:t>
      </w:r>
      <w:r>
        <w:rPr>
          <w:spacing w:val="-12"/>
        </w:rPr>
        <w:t xml:space="preserve"> </w:t>
      </w:r>
      <w:r>
        <w:t>violence,</w:t>
      </w:r>
      <w:r>
        <w:rPr>
          <w:spacing w:val="-11"/>
        </w:rPr>
        <w:t xml:space="preserve"> </w:t>
      </w:r>
      <w:r>
        <w:t>victims</w:t>
      </w:r>
      <w:r>
        <w:rPr>
          <w:spacing w:val="-11"/>
        </w:rPr>
        <w:t xml:space="preserve"> </w:t>
      </w:r>
      <w:r>
        <w:t>of</w:t>
      </w:r>
      <w:r>
        <w:rPr>
          <w:spacing w:val="-7"/>
        </w:rPr>
        <w:t xml:space="preserve"> </w:t>
      </w:r>
      <w:r>
        <w:t>human</w:t>
      </w:r>
      <w:r>
        <w:rPr>
          <w:spacing w:val="-58"/>
        </w:rPr>
        <w:t xml:space="preserve"> </w:t>
      </w:r>
      <w:r>
        <w:t>trafficking,</w:t>
      </w:r>
      <w:r>
        <w:rPr>
          <w:spacing w:val="-5"/>
        </w:rPr>
        <w:t xml:space="preserve"> </w:t>
      </w:r>
      <w:r>
        <w:t>people</w:t>
      </w:r>
      <w:r>
        <w:rPr>
          <w:spacing w:val="-4"/>
        </w:rPr>
        <w:t xml:space="preserve"> </w:t>
      </w:r>
      <w:r>
        <w:t>with</w:t>
      </w:r>
      <w:r>
        <w:rPr>
          <w:spacing w:val="-3"/>
        </w:rPr>
        <w:t xml:space="preserve"> </w:t>
      </w:r>
      <w:r>
        <w:t>addictions)</w:t>
      </w:r>
      <w:r>
        <w:rPr>
          <w:spacing w:val="-6"/>
        </w:rPr>
        <w:t xml:space="preserve"> </w:t>
      </w:r>
      <w:r>
        <w:t>supporting</w:t>
      </w:r>
      <w:r>
        <w:rPr>
          <w:spacing w:val="-6"/>
        </w:rPr>
        <w:t xml:space="preserve"> </w:t>
      </w:r>
      <w:r>
        <w:t>the</w:t>
      </w:r>
      <w:r>
        <w:rPr>
          <w:spacing w:val="-4"/>
        </w:rPr>
        <w:t xml:space="preserve"> </w:t>
      </w:r>
      <w:r>
        <w:t>process</w:t>
      </w:r>
      <w:r>
        <w:rPr>
          <w:spacing w:val="-3"/>
        </w:rPr>
        <w:t xml:space="preserve"> </w:t>
      </w:r>
      <w:r>
        <w:t>of</w:t>
      </w:r>
      <w:r>
        <w:rPr>
          <w:spacing w:val="-6"/>
        </w:rPr>
        <w:t xml:space="preserve"> </w:t>
      </w:r>
      <w:r>
        <w:t>deinstitutionalisation</w:t>
      </w:r>
      <w:r>
        <w:rPr>
          <w:spacing w:val="-4"/>
        </w:rPr>
        <w:t xml:space="preserve"> </w:t>
      </w:r>
      <w:r>
        <w:t>of</w:t>
      </w:r>
      <w:r>
        <w:rPr>
          <w:spacing w:val="-5"/>
        </w:rPr>
        <w:t xml:space="preserve"> </w:t>
      </w:r>
      <w:r>
        <w:t>children.</w:t>
      </w:r>
      <w:r>
        <w:rPr>
          <w:spacing w:val="-58"/>
        </w:rPr>
        <w:t xml:space="preserve"> </w:t>
      </w:r>
      <w:r>
        <w:t>The</w:t>
      </w:r>
      <w:r>
        <w:rPr>
          <w:spacing w:val="-9"/>
        </w:rPr>
        <w:t xml:space="preserve"> </w:t>
      </w:r>
      <w:r>
        <w:t>ERDF</w:t>
      </w:r>
      <w:r>
        <w:rPr>
          <w:spacing w:val="-9"/>
        </w:rPr>
        <w:t xml:space="preserve"> </w:t>
      </w:r>
      <w:r>
        <w:t>will</w:t>
      </w:r>
      <w:r>
        <w:rPr>
          <w:spacing w:val="-6"/>
        </w:rPr>
        <w:t xml:space="preserve"> </w:t>
      </w:r>
      <w:r>
        <w:t>finance</w:t>
      </w:r>
      <w:r>
        <w:rPr>
          <w:spacing w:val="-6"/>
        </w:rPr>
        <w:t xml:space="preserve"> </w:t>
      </w:r>
      <w:r>
        <w:t>complementary</w:t>
      </w:r>
      <w:r>
        <w:rPr>
          <w:spacing w:val="-12"/>
        </w:rPr>
        <w:t xml:space="preserve"> </w:t>
      </w:r>
      <w:r>
        <w:t>investments</w:t>
      </w:r>
      <w:r>
        <w:rPr>
          <w:spacing w:val="-6"/>
        </w:rPr>
        <w:t xml:space="preserve"> </w:t>
      </w:r>
      <w:r>
        <w:t>in</w:t>
      </w:r>
      <w:r>
        <w:rPr>
          <w:spacing w:val="-7"/>
        </w:rPr>
        <w:t xml:space="preserve"> </w:t>
      </w:r>
      <w:r>
        <w:t>infrastructure</w:t>
      </w:r>
      <w:r>
        <w:rPr>
          <w:spacing w:val="-5"/>
        </w:rPr>
        <w:t xml:space="preserve"> </w:t>
      </w:r>
      <w:r>
        <w:t>for</w:t>
      </w:r>
      <w:r>
        <w:rPr>
          <w:spacing w:val="-9"/>
        </w:rPr>
        <w:t xml:space="preserve"> </w:t>
      </w:r>
      <w:r>
        <w:t>the</w:t>
      </w:r>
      <w:r>
        <w:rPr>
          <w:spacing w:val="-6"/>
        </w:rPr>
        <w:t xml:space="preserve"> </w:t>
      </w:r>
      <w:r>
        <w:t>provision</w:t>
      </w:r>
      <w:r>
        <w:rPr>
          <w:spacing w:val="-6"/>
        </w:rPr>
        <w:t xml:space="preserve"> </w:t>
      </w:r>
      <w:r>
        <w:t>of</w:t>
      </w:r>
      <w:r>
        <w:rPr>
          <w:spacing w:val="-8"/>
        </w:rPr>
        <w:t xml:space="preserve"> </w:t>
      </w:r>
      <w:r>
        <w:t>social</w:t>
      </w:r>
      <w:r>
        <w:rPr>
          <w:spacing w:val="-57"/>
        </w:rPr>
        <w:t xml:space="preserve"> </w:t>
      </w:r>
      <w:r>
        <w:t>services in the community for all vulnerable groups (the elderly, the homeless, people with</w:t>
      </w:r>
      <w:r>
        <w:rPr>
          <w:spacing w:val="1"/>
        </w:rPr>
        <w:t xml:space="preserve"> </w:t>
      </w:r>
      <w:r>
        <w:t>addictions, children, young people and families at risk, people with disabilities), as well as</w:t>
      </w:r>
      <w:r>
        <w:rPr>
          <w:spacing w:val="1"/>
        </w:rPr>
        <w:t xml:space="preserve"> </w:t>
      </w:r>
      <w:r>
        <w:t>investments in infrastructure for general housing and social housing as support in the process</w:t>
      </w:r>
      <w:r>
        <w:rPr>
          <w:spacing w:val="1"/>
        </w:rPr>
        <w:t xml:space="preserve"> </w:t>
      </w:r>
      <w:r>
        <w:t>of</w:t>
      </w:r>
      <w:r>
        <w:rPr>
          <w:spacing w:val="-1"/>
        </w:rPr>
        <w:t xml:space="preserve"> </w:t>
      </w:r>
      <w:r>
        <w:t>de-institutionalisation</w:t>
      </w:r>
      <w:r>
        <w:rPr>
          <w:spacing w:val="-3"/>
        </w:rPr>
        <w:t xml:space="preserve"> </w:t>
      </w:r>
      <w:r>
        <w:t>and transformation.</w:t>
      </w:r>
    </w:p>
    <w:p w:rsidR="00A56FE9" w:rsidRDefault="00000000">
      <w:pPr>
        <w:pStyle w:val="Tijeloteksta"/>
        <w:spacing w:before="119"/>
        <w:ind w:right="274"/>
      </w:pPr>
      <w:r>
        <w:t>Complementarity will also be ensured with funding from the ERDF to build infrastructure for</w:t>
      </w:r>
      <w:r>
        <w:rPr>
          <w:spacing w:val="1"/>
        </w:rPr>
        <w:t xml:space="preserve"> </w:t>
      </w:r>
      <w:r>
        <w:t>the psychosocial and health empowerment of the war veteran population, and the ESF+</w:t>
      </w:r>
      <w:r>
        <w:rPr>
          <w:spacing w:val="1"/>
        </w:rPr>
        <w:t xml:space="preserve"> </w:t>
      </w:r>
      <w:r>
        <w:t>programs, measures and activities for psychosocial and health empowerment of target groups.</w:t>
      </w:r>
      <w:r>
        <w:rPr>
          <w:spacing w:val="1"/>
        </w:rPr>
        <w:t xml:space="preserve"> </w:t>
      </w:r>
      <w:r>
        <w:t>The</w:t>
      </w:r>
      <w:r>
        <w:rPr>
          <w:spacing w:val="-12"/>
        </w:rPr>
        <w:t xml:space="preserve"> </w:t>
      </w:r>
      <w:r>
        <w:t>ERDF</w:t>
      </w:r>
      <w:r>
        <w:rPr>
          <w:spacing w:val="-12"/>
        </w:rPr>
        <w:t xml:space="preserve"> </w:t>
      </w:r>
      <w:r>
        <w:t>plans</w:t>
      </w:r>
      <w:r>
        <w:rPr>
          <w:spacing w:val="-10"/>
        </w:rPr>
        <w:t xml:space="preserve"> </w:t>
      </w:r>
      <w:r>
        <w:t>to</w:t>
      </w:r>
      <w:r>
        <w:rPr>
          <w:spacing w:val="-7"/>
        </w:rPr>
        <w:t xml:space="preserve"> </w:t>
      </w:r>
      <w:r>
        <w:t>invest</w:t>
      </w:r>
      <w:r>
        <w:rPr>
          <w:spacing w:val="-10"/>
        </w:rPr>
        <w:t xml:space="preserve"> </w:t>
      </w:r>
      <w:r>
        <w:t>in</w:t>
      </w:r>
      <w:r>
        <w:rPr>
          <w:spacing w:val="-10"/>
        </w:rPr>
        <w:t xml:space="preserve"> </w:t>
      </w:r>
      <w:r>
        <w:t>the</w:t>
      </w:r>
      <w:r>
        <w:rPr>
          <w:spacing w:val="-11"/>
        </w:rPr>
        <w:t xml:space="preserve"> </w:t>
      </w:r>
      <w:r>
        <w:t>infrastructure</w:t>
      </w:r>
      <w:r>
        <w:rPr>
          <w:spacing w:val="-11"/>
        </w:rPr>
        <w:t xml:space="preserve"> </w:t>
      </w:r>
      <w:r>
        <w:t>of</w:t>
      </w:r>
      <w:r>
        <w:rPr>
          <w:spacing w:val="-9"/>
        </w:rPr>
        <w:t xml:space="preserve"> </w:t>
      </w:r>
      <w:r>
        <w:t>local</w:t>
      </w:r>
      <w:r>
        <w:rPr>
          <w:spacing w:val="-10"/>
        </w:rPr>
        <w:t xml:space="preserve"> </w:t>
      </w:r>
      <w:r>
        <w:t>and</w:t>
      </w:r>
      <w:r>
        <w:rPr>
          <w:spacing w:val="-8"/>
        </w:rPr>
        <w:t xml:space="preserve"> </w:t>
      </w:r>
      <w:r>
        <w:t>regional</w:t>
      </w:r>
      <w:r>
        <w:rPr>
          <w:spacing w:val="-10"/>
        </w:rPr>
        <w:t xml:space="preserve"> </w:t>
      </w:r>
      <w:r>
        <w:t>self-government</w:t>
      </w:r>
      <w:r>
        <w:rPr>
          <w:spacing w:val="-11"/>
        </w:rPr>
        <w:t xml:space="preserve"> </w:t>
      </w:r>
      <w:r>
        <w:t>units,</w:t>
      </w:r>
      <w:r>
        <w:rPr>
          <w:spacing w:val="-10"/>
        </w:rPr>
        <w:t xml:space="preserve"> </w:t>
      </w:r>
      <w:r>
        <w:t>civil</w:t>
      </w:r>
      <w:r>
        <w:rPr>
          <w:spacing w:val="-57"/>
        </w:rPr>
        <w:t xml:space="preserve"> </w:t>
      </w:r>
      <w:r>
        <w:t>society organisations (e.g., partner organisations that constantly collect humanitarian aid) in</w:t>
      </w:r>
      <w:r>
        <w:rPr>
          <w:spacing w:val="1"/>
        </w:rPr>
        <w:t xml:space="preserve"> </w:t>
      </w:r>
      <w:r>
        <w:t>which</w:t>
      </w:r>
      <w:r>
        <w:rPr>
          <w:spacing w:val="-14"/>
        </w:rPr>
        <w:t xml:space="preserve"> </w:t>
      </w:r>
      <w:r>
        <w:t>social</w:t>
      </w:r>
      <w:r>
        <w:rPr>
          <w:spacing w:val="-13"/>
        </w:rPr>
        <w:t xml:space="preserve"> </w:t>
      </w:r>
      <w:r>
        <w:t>services</w:t>
      </w:r>
      <w:r>
        <w:rPr>
          <w:spacing w:val="-11"/>
        </w:rPr>
        <w:t xml:space="preserve"> </w:t>
      </w:r>
      <w:r>
        <w:t>are</w:t>
      </w:r>
      <w:r>
        <w:rPr>
          <w:spacing w:val="-12"/>
        </w:rPr>
        <w:t xml:space="preserve"> </w:t>
      </w:r>
      <w:r>
        <w:t>provided</w:t>
      </w:r>
      <w:r>
        <w:rPr>
          <w:spacing w:val="-13"/>
        </w:rPr>
        <w:t xml:space="preserve"> </w:t>
      </w:r>
      <w:r>
        <w:t>or</w:t>
      </w:r>
      <w:r>
        <w:rPr>
          <w:spacing w:val="-12"/>
        </w:rPr>
        <w:t xml:space="preserve"> </w:t>
      </w:r>
      <w:r>
        <w:t>will</w:t>
      </w:r>
      <w:r>
        <w:rPr>
          <w:spacing w:val="-13"/>
        </w:rPr>
        <w:t xml:space="preserve"> </w:t>
      </w:r>
      <w:r>
        <w:t>be</w:t>
      </w:r>
      <w:r>
        <w:rPr>
          <w:spacing w:val="-15"/>
        </w:rPr>
        <w:t xml:space="preserve"> </w:t>
      </w:r>
      <w:r>
        <w:t>provided,</w:t>
      </w:r>
      <w:r>
        <w:rPr>
          <w:spacing w:val="-13"/>
        </w:rPr>
        <w:t xml:space="preserve"> </w:t>
      </w:r>
      <w:r>
        <w:t>programs,</w:t>
      </w:r>
      <w:r>
        <w:rPr>
          <w:spacing w:val="-13"/>
        </w:rPr>
        <w:t xml:space="preserve"> </w:t>
      </w:r>
      <w:r>
        <w:t>measures</w:t>
      </w:r>
      <w:r>
        <w:rPr>
          <w:spacing w:val="-11"/>
        </w:rPr>
        <w:t xml:space="preserve"> </w:t>
      </w:r>
      <w:r>
        <w:t>and</w:t>
      </w:r>
      <w:r>
        <w:rPr>
          <w:spacing w:val="-13"/>
        </w:rPr>
        <w:t xml:space="preserve"> </w:t>
      </w:r>
      <w:r>
        <w:t>activities</w:t>
      </w:r>
      <w:r>
        <w:rPr>
          <w:spacing w:val="-14"/>
        </w:rPr>
        <w:t xml:space="preserve"> </w:t>
      </w:r>
      <w:r>
        <w:t>aimed</w:t>
      </w:r>
    </w:p>
    <w:p w:rsidR="00A56FE9" w:rsidRDefault="00A56FE9">
      <w:pPr>
        <w:sectPr w:rsidR="00A56FE9" w:rsidSect="00AB1E70">
          <w:pgSz w:w="11910" w:h="16840"/>
          <w:pgMar w:top="1320" w:right="1140" w:bottom="960" w:left="1280" w:header="0" w:footer="699" w:gutter="0"/>
          <w:cols w:space="720"/>
        </w:sectPr>
      </w:pPr>
    </w:p>
    <w:p w:rsidR="00A56FE9" w:rsidRDefault="00000000">
      <w:pPr>
        <w:pStyle w:val="Tijeloteksta"/>
        <w:spacing w:before="74"/>
        <w:ind w:right="276"/>
      </w:pPr>
      <w:r>
        <w:t>at</w:t>
      </w:r>
      <w:r>
        <w:rPr>
          <w:spacing w:val="-8"/>
        </w:rPr>
        <w:t xml:space="preserve"> </w:t>
      </w:r>
      <w:r>
        <w:t>reducing</w:t>
      </w:r>
      <w:r>
        <w:rPr>
          <w:spacing w:val="-10"/>
        </w:rPr>
        <w:t xml:space="preserve"> </w:t>
      </w:r>
      <w:r>
        <w:t>material</w:t>
      </w:r>
      <w:r>
        <w:rPr>
          <w:spacing w:val="-7"/>
        </w:rPr>
        <w:t xml:space="preserve"> </w:t>
      </w:r>
      <w:r>
        <w:t>deprivation</w:t>
      </w:r>
      <w:r>
        <w:rPr>
          <w:spacing w:val="-8"/>
        </w:rPr>
        <w:t xml:space="preserve"> </w:t>
      </w:r>
      <w:r>
        <w:t>(soup</w:t>
      </w:r>
      <w:r>
        <w:rPr>
          <w:spacing w:val="-8"/>
        </w:rPr>
        <w:t xml:space="preserve"> </w:t>
      </w:r>
      <w:r>
        <w:t>kitchens,</w:t>
      </w:r>
      <w:r>
        <w:rPr>
          <w:spacing w:val="-5"/>
        </w:rPr>
        <w:t xml:space="preserve"> </w:t>
      </w:r>
      <w:r>
        <w:t>social</w:t>
      </w:r>
      <w:r>
        <w:rPr>
          <w:spacing w:val="-8"/>
        </w:rPr>
        <w:t xml:space="preserve"> </w:t>
      </w:r>
      <w:r>
        <w:t>self-service</w:t>
      </w:r>
      <w:r>
        <w:rPr>
          <w:spacing w:val="-9"/>
        </w:rPr>
        <w:t xml:space="preserve"> </w:t>
      </w:r>
      <w:r>
        <w:t>stores,</w:t>
      </w:r>
      <w:r>
        <w:rPr>
          <w:spacing w:val="-8"/>
        </w:rPr>
        <w:t xml:space="preserve"> </w:t>
      </w:r>
      <w:r>
        <w:t>food</w:t>
      </w:r>
      <w:r>
        <w:rPr>
          <w:spacing w:val="-8"/>
        </w:rPr>
        <w:t xml:space="preserve"> </w:t>
      </w:r>
      <w:r>
        <w:t>warehouses</w:t>
      </w:r>
      <w:r>
        <w:rPr>
          <w:spacing w:val="-5"/>
        </w:rPr>
        <w:t xml:space="preserve"> </w:t>
      </w:r>
      <w:r>
        <w:t>and</w:t>
      </w:r>
      <w:r>
        <w:rPr>
          <w:spacing w:val="-57"/>
        </w:rPr>
        <w:t xml:space="preserve"> </w:t>
      </w:r>
      <w:r>
        <w:t>basic material assistance), while the ESF+ will invest in activities to combat material scarcity</w:t>
      </w:r>
      <w:r>
        <w:rPr>
          <w:spacing w:val="1"/>
        </w:rPr>
        <w:t xml:space="preserve"> </w:t>
      </w:r>
      <w:r>
        <w:t>by</w:t>
      </w:r>
      <w:r>
        <w:rPr>
          <w:spacing w:val="-6"/>
        </w:rPr>
        <w:t xml:space="preserve"> </w:t>
      </w:r>
      <w:r>
        <w:t>distributing</w:t>
      </w:r>
      <w:r>
        <w:rPr>
          <w:spacing w:val="-3"/>
        </w:rPr>
        <w:t xml:space="preserve"> </w:t>
      </w:r>
      <w:r>
        <w:t>food</w:t>
      </w:r>
      <w:r>
        <w:rPr>
          <w:spacing w:val="1"/>
        </w:rPr>
        <w:t xml:space="preserve"> </w:t>
      </w:r>
      <w:r>
        <w:t>and</w:t>
      </w:r>
      <w:r>
        <w:rPr>
          <w:spacing w:val="2"/>
        </w:rPr>
        <w:t xml:space="preserve"> </w:t>
      </w:r>
      <w:r>
        <w:t>basic material needs.</w:t>
      </w:r>
    </w:p>
    <w:p w:rsidR="00A56FE9" w:rsidRDefault="00000000">
      <w:pPr>
        <w:pStyle w:val="Tijeloteksta"/>
        <w:spacing w:before="121"/>
        <w:ind w:right="274"/>
      </w:pPr>
      <w:r>
        <w:t>The</w:t>
      </w:r>
      <w:r>
        <w:rPr>
          <w:spacing w:val="-7"/>
        </w:rPr>
        <w:t xml:space="preserve"> </w:t>
      </w:r>
      <w:r>
        <w:t>NRRP</w:t>
      </w:r>
      <w:r>
        <w:rPr>
          <w:spacing w:val="-6"/>
        </w:rPr>
        <w:t xml:space="preserve"> </w:t>
      </w:r>
      <w:r>
        <w:t>will</w:t>
      </w:r>
      <w:r>
        <w:rPr>
          <w:spacing w:val="-6"/>
        </w:rPr>
        <w:t xml:space="preserve"> </w:t>
      </w:r>
      <w:r>
        <w:t>assisting</w:t>
      </w:r>
      <w:r>
        <w:rPr>
          <w:spacing w:val="-5"/>
        </w:rPr>
        <w:t xml:space="preserve"> </w:t>
      </w:r>
      <w:r>
        <w:t>in</w:t>
      </w:r>
      <w:r>
        <w:rPr>
          <w:spacing w:val="-5"/>
        </w:rPr>
        <w:t xml:space="preserve"> </w:t>
      </w:r>
      <w:r>
        <w:t>transforming</w:t>
      </w:r>
      <w:r>
        <w:rPr>
          <w:spacing w:val="-8"/>
        </w:rPr>
        <w:t xml:space="preserve"> </w:t>
      </w:r>
      <w:r>
        <w:t>and</w:t>
      </w:r>
      <w:r>
        <w:rPr>
          <w:spacing w:val="-4"/>
        </w:rPr>
        <w:t xml:space="preserve"> </w:t>
      </w:r>
      <w:r>
        <w:t>strengthening</w:t>
      </w:r>
      <w:r>
        <w:rPr>
          <w:spacing w:val="-8"/>
        </w:rPr>
        <w:t xml:space="preserve"> </w:t>
      </w:r>
      <w:r>
        <w:t>the</w:t>
      </w:r>
      <w:r>
        <w:rPr>
          <w:spacing w:val="-5"/>
        </w:rPr>
        <w:t xml:space="preserve"> </w:t>
      </w:r>
      <w:r>
        <w:t>competitiveness</w:t>
      </w:r>
      <w:r>
        <w:rPr>
          <w:spacing w:val="-6"/>
        </w:rPr>
        <w:t xml:space="preserve"> </w:t>
      </w:r>
      <w:r>
        <w:t>of</w:t>
      </w:r>
      <w:r>
        <w:rPr>
          <w:spacing w:val="-5"/>
        </w:rPr>
        <w:t xml:space="preserve"> </w:t>
      </w:r>
      <w:r>
        <w:t>cultural</w:t>
      </w:r>
      <w:r>
        <w:rPr>
          <w:spacing w:val="-5"/>
        </w:rPr>
        <w:t xml:space="preserve"> </w:t>
      </w:r>
      <w:r>
        <w:t>and</w:t>
      </w:r>
      <w:r>
        <w:rPr>
          <w:spacing w:val="-58"/>
        </w:rPr>
        <w:t xml:space="preserve"> </w:t>
      </w:r>
      <w:r>
        <w:t>creative industries along with encouragement to do so, while investments in the construction,</w:t>
      </w:r>
      <w:r>
        <w:rPr>
          <w:spacing w:val="1"/>
        </w:rPr>
        <w:t xml:space="preserve"> </w:t>
      </w:r>
      <w:r>
        <w:t>reconstruction and equipping of cultural infrastructure financed from the ERDF will focus on</w:t>
      </w:r>
      <w:r>
        <w:rPr>
          <w:spacing w:val="1"/>
        </w:rPr>
        <w:t xml:space="preserve"> </w:t>
      </w:r>
      <w:r>
        <w:t>sustainable projects that contribute to social development. Complementary investments from</w:t>
      </w:r>
      <w:r>
        <w:rPr>
          <w:spacing w:val="1"/>
        </w:rPr>
        <w:t xml:space="preserve"> </w:t>
      </w:r>
      <w:r>
        <w:t>the ESF+ are aimed at implementing participatory cultural and artistic activities for members</w:t>
      </w:r>
      <w:r>
        <w:rPr>
          <w:spacing w:val="1"/>
        </w:rPr>
        <w:t xml:space="preserve"> </w:t>
      </w:r>
      <w:r>
        <w:t>of</w:t>
      </w:r>
      <w:r>
        <w:rPr>
          <w:spacing w:val="1"/>
        </w:rPr>
        <w:t xml:space="preserve"> </w:t>
      </w:r>
      <w:r>
        <w:t>vulnerable</w:t>
      </w:r>
      <w:r>
        <w:rPr>
          <w:spacing w:val="1"/>
        </w:rPr>
        <w:t xml:space="preserve"> </w:t>
      </w:r>
      <w:r>
        <w:t>groups,</w:t>
      </w:r>
      <w:r>
        <w:rPr>
          <w:spacing w:val="1"/>
        </w:rPr>
        <w:t xml:space="preserve"> </w:t>
      </w:r>
      <w:r>
        <w:t>developing</w:t>
      </w:r>
      <w:r>
        <w:rPr>
          <w:spacing w:val="1"/>
        </w:rPr>
        <w:t xml:space="preserve"> </w:t>
      </w:r>
      <w:r>
        <w:t>services</w:t>
      </w:r>
      <w:r>
        <w:rPr>
          <w:spacing w:val="1"/>
        </w:rPr>
        <w:t xml:space="preserve"> </w:t>
      </w:r>
      <w:r>
        <w:t>that</w:t>
      </w:r>
      <w:r>
        <w:rPr>
          <w:spacing w:val="1"/>
        </w:rPr>
        <w:t xml:space="preserve"> </w:t>
      </w:r>
      <w:r>
        <w:t>provide</w:t>
      </w:r>
      <w:r>
        <w:rPr>
          <w:spacing w:val="1"/>
        </w:rPr>
        <w:t xml:space="preserve"> </w:t>
      </w:r>
      <w:r>
        <w:t>easier</w:t>
      </w:r>
      <w:r>
        <w:rPr>
          <w:spacing w:val="1"/>
        </w:rPr>
        <w:t xml:space="preserve"> </w:t>
      </w:r>
      <w:r>
        <w:t>access</w:t>
      </w:r>
      <w:r>
        <w:rPr>
          <w:spacing w:val="1"/>
        </w:rPr>
        <w:t xml:space="preserve"> </w:t>
      </w:r>
      <w:r>
        <w:t>to</w:t>
      </w:r>
      <w:r>
        <w:rPr>
          <w:spacing w:val="1"/>
        </w:rPr>
        <w:t xml:space="preserve"> </w:t>
      </w:r>
      <w:r>
        <w:t>culture</w:t>
      </w:r>
      <w:r>
        <w:rPr>
          <w:spacing w:val="1"/>
        </w:rPr>
        <w:t xml:space="preserve"> </w:t>
      </w:r>
      <w:r>
        <w:t>and</w:t>
      </w:r>
      <w:r>
        <w:rPr>
          <w:spacing w:val="1"/>
        </w:rPr>
        <w:t xml:space="preserve"> </w:t>
      </w:r>
      <w:r>
        <w:t>strengthening</w:t>
      </w:r>
      <w:r>
        <w:rPr>
          <w:spacing w:val="-3"/>
        </w:rPr>
        <w:t xml:space="preserve"> </w:t>
      </w:r>
      <w:r>
        <w:t>the</w:t>
      </w:r>
      <w:r>
        <w:rPr>
          <w:spacing w:val="-1"/>
        </w:rPr>
        <w:t xml:space="preserve"> </w:t>
      </w:r>
      <w:r>
        <w:t>knowledge</w:t>
      </w:r>
      <w:r>
        <w:rPr>
          <w:spacing w:val="1"/>
        </w:rPr>
        <w:t xml:space="preserve"> </w:t>
      </w:r>
      <w:r>
        <w:t>and skills</w:t>
      </w:r>
      <w:r>
        <w:rPr>
          <w:spacing w:val="-1"/>
        </w:rPr>
        <w:t xml:space="preserve"> </w:t>
      </w:r>
      <w:r>
        <w:t>of stakeholders in the cultural</w:t>
      </w:r>
      <w:r>
        <w:rPr>
          <w:spacing w:val="-1"/>
        </w:rPr>
        <w:t xml:space="preserve"> </w:t>
      </w:r>
      <w:r>
        <w:t>sector.</w:t>
      </w:r>
    </w:p>
    <w:p w:rsidR="00A56FE9" w:rsidRDefault="00000000">
      <w:pPr>
        <w:pStyle w:val="Tijeloteksta"/>
        <w:spacing w:before="120"/>
        <w:ind w:right="272"/>
      </w:pPr>
      <w:r>
        <w:t>Moreover, the NRRP will invest in increasing the resilience and sustainability of the tourism</w:t>
      </w:r>
      <w:r>
        <w:rPr>
          <w:spacing w:val="1"/>
        </w:rPr>
        <w:t xml:space="preserve"> </w:t>
      </w:r>
      <w:r>
        <w:t>economy through regional diversification and specialisation of Croatian tourism by investing</w:t>
      </w:r>
      <w:r>
        <w:rPr>
          <w:spacing w:val="1"/>
        </w:rPr>
        <w:t xml:space="preserve"> </w:t>
      </w:r>
      <w:r>
        <w:t>in tourism product development, encouraging green and digital transition of entrepreneurs in</w:t>
      </w:r>
      <w:r>
        <w:rPr>
          <w:spacing w:val="1"/>
        </w:rPr>
        <w:t xml:space="preserve"> </w:t>
      </w:r>
      <w:r>
        <w:t>the tourism sector and strengthening the capacity of resilient and sustainable tourism systems.</w:t>
      </w:r>
      <w:r>
        <w:rPr>
          <w:spacing w:val="1"/>
        </w:rPr>
        <w:t xml:space="preserve"> </w:t>
      </w:r>
      <w:r>
        <w:t>The</w:t>
      </w:r>
      <w:r>
        <w:rPr>
          <w:spacing w:val="1"/>
        </w:rPr>
        <w:t xml:space="preserve"> </w:t>
      </w:r>
      <w:r>
        <w:t>tourism</w:t>
      </w:r>
      <w:r>
        <w:rPr>
          <w:spacing w:val="1"/>
        </w:rPr>
        <w:t xml:space="preserve"> </w:t>
      </w:r>
      <w:r>
        <w:t>infrastructure</w:t>
      </w:r>
      <w:r>
        <w:rPr>
          <w:spacing w:val="1"/>
        </w:rPr>
        <w:t xml:space="preserve"> </w:t>
      </w:r>
      <w:r>
        <w:t>targeted</w:t>
      </w:r>
      <w:r>
        <w:rPr>
          <w:spacing w:val="1"/>
        </w:rPr>
        <w:t xml:space="preserve"> </w:t>
      </w:r>
      <w:r>
        <w:t>by</w:t>
      </w:r>
      <w:r>
        <w:rPr>
          <w:spacing w:val="1"/>
        </w:rPr>
        <w:t xml:space="preserve"> </w:t>
      </w:r>
      <w:r>
        <w:t>the</w:t>
      </w:r>
      <w:r>
        <w:rPr>
          <w:spacing w:val="1"/>
        </w:rPr>
        <w:t xml:space="preserve"> </w:t>
      </w:r>
      <w:r>
        <w:t>ERDF</w:t>
      </w:r>
      <w:r>
        <w:rPr>
          <w:spacing w:val="1"/>
        </w:rPr>
        <w:t xml:space="preserve"> </w:t>
      </w:r>
      <w:r>
        <w:t>covers</w:t>
      </w:r>
      <w:r>
        <w:rPr>
          <w:spacing w:val="1"/>
        </w:rPr>
        <w:t xml:space="preserve"> </w:t>
      </w:r>
      <w:r>
        <w:t>private</w:t>
      </w:r>
      <w:r>
        <w:rPr>
          <w:spacing w:val="1"/>
        </w:rPr>
        <w:t xml:space="preserve"> </w:t>
      </w:r>
      <w:r>
        <w:t>and</w:t>
      </w:r>
      <w:r>
        <w:rPr>
          <w:spacing w:val="1"/>
        </w:rPr>
        <w:t xml:space="preserve"> </w:t>
      </w:r>
      <w:r>
        <w:t>public</w:t>
      </w:r>
      <w:r>
        <w:rPr>
          <w:spacing w:val="1"/>
        </w:rPr>
        <w:t xml:space="preserve"> </w:t>
      </w:r>
      <w:r>
        <w:t>tourism</w:t>
      </w:r>
      <w:r>
        <w:rPr>
          <w:spacing w:val="1"/>
        </w:rPr>
        <w:t xml:space="preserve"> </w:t>
      </w:r>
      <w:r>
        <w:t>infrastructure which is the basis for developing tourism products with a strong social inclusion</w:t>
      </w:r>
      <w:r>
        <w:rPr>
          <w:spacing w:val="-57"/>
        </w:rPr>
        <w:t xml:space="preserve"> </w:t>
      </w:r>
      <w:r>
        <w:t>component and an emphasis on the local population while encouraging the employment of</w:t>
      </w:r>
      <w:r>
        <w:rPr>
          <w:spacing w:val="1"/>
        </w:rPr>
        <w:t xml:space="preserve"> </w:t>
      </w:r>
      <w:r>
        <w:t>vulnerable groups. The ESF+ funds will enable investments in awareness-raising activities</w:t>
      </w:r>
      <w:r>
        <w:rPr>
          <w:spacing w:val="1"/>
        </w:rPr>
        <w:t xml:space="preserve"> </w:t>
      </w:r>
      <w:r>
        <w:t>among employees, ensuring that people with disabilities are included in the use of tourism</w:t>
      </w:r>
      <w:r>
        <w:rPr>
          <w:spacing w:val="1"/>
        </w:rPr>
        <w:t xml:space="preserve"> </w:t>
      </w:r>
      <w:r>
        <w:t>services.</w:t>
      </w:r>
    </w:p>
    <w:p w:rsidR="00A56FE9" w:rsidRDefault="00000000">
      <w:pPr>
        <w:pStyle w:val="Tijeloteksta"/>
        <w:spacing w:before="121"/>
        <w:ind w:right="272"/>
      </w:pPr>
      <w:r>
        <w:t>Health</w:t>
      </w:r>
      <w:r>
        <w:rPr>
          <w:spacing w:val="-6"/>
        </w:rPr>
        <w:t xml:space="preserve"> </w:t>
      </w:r>
      <w:r>
        <w:t>care</w:t>
      </w:r>
      <w:r>
        <w:rPr>
          <w:spacing w:val="-5"/>
        </w:rPr>
        <w:t xml:space="preserve"> </w:t>
      </w:r>
      <w:r>
        <w:t>reform</w:t>
      </w:r>
      <w:r>
        <w:rPr>
          <w:spacing w:val="-5"/>
        </w:rPr>
        <w:t xml:space="preserve"> </w:t>
      </w:r>
      <w:r>
        <w:t>will</w:t>
      </w:r>
      <w:r>
        <w:rPr>
          <w:spacing w:val="-5"/>
        </w:rPr>
        <w:t xml:space="preserve"> </w:t>
      </w:r>
      <w:r>
        <w:t>be</w:t>
      </w:r>
      <w:r>
        <w:rPr>
          <w:spacing w:val="-6"/>
        </w:rPr>
        <w:t xml:space="preserve"> </w:t>
      </w:r>
      <w:r>
        <w:t>implemented</w:t>
      </w:r>
      <w:r>
        <w:rPr>
          <w:spacing w:val="-3"/>
        </w:rPr>
        <w:t xml:space="preserve"> </w:t>
      </w:r>
      <w:r>
        <w:t>with</w:t>
      </w:r>
      <w:r>
        <w:rPr>
          <w:spacing w:val="-5"/>
        </w:rPr>
        <w:t xml:space="preserve"> </w:t>
      </w:r>
      <w:r>
        <w:t>the</w:t>
      </w:r>
      <w:r>
        <w:rPr>
          <w:spacing w:val="-5"/>
        </w:rPr>
        <w:t xml:space="preserve"> </w:t>
      </w:r>
      <w:r>
        <w:t>aid</w:t>
      </w:r>
      <w:r>
        <w:rPr>
          <w:spacing w:val="-5"/>
        </w:rPr>
        <w:t xml:space="preserve"> </w:t>
      </w:r>
      <w:r>
        <w:t>of</w:t>
      </w:r>
      <w:r>
        <w:rPr>
          <w:spacing w:val="-6"/>
        </w:rPr>
        <w:t xml:space="preserve"> </w:t>
      </w:r>
      <w:r>
        <w:t>the</w:t>
      </w:r>
      <w:r>
        <w:rPr>
          <w:spacing w:val="-6"/>
        </w:rPr>
        <w:t xml:space="preserve"> </w:t>
      </w:r>
      <w:r>
        <w:t>NRRP</w:t>
      </w:r>
      <w:r>
        <w:rPr>
          <w:spacing w:val="-3"/>
        </w:rPr>
        <w:t xml:space="preserve"> </w:t>
      </w:r>
      <w:r>
        <w:t>by</w:t>
      </w:r>
      <w:r>
        <w:rPr>
          <w:spacing w:val="-10"/>
        </w:rPr>
        <w:t xml:space="preserve"> </w:t>
      </w:r>
      <w:r>
        <w:t>improving</w:t>
      </w:r>
      <w:r>
        <w:rPr>
          <w:spacing w:val="-7"/>
        </w:rPr>
        <w:t xml:space="preserve"> </w:t>
      </w:r>
      <w:r>
        <w:t>the</w:t>
      </w:r>
      <w:r>
        <w:rPr>
          <w:spacing w:val="-5"/>
        </w:rPr>
        <w:t xml:space="preserve"> </w:t>
      </w:r>
      <w:r>
        <w:t>efficiency,</w:t>
      </w:r>
      <w:r>
        <w:rPr>
          <w:spacing w:val="-57"/>
        </w:rPr>
        <w:t xml:space="preserve"> </w:t>
      </w:r>
      <w:r>
        <w:t>quality</w:t>
      </w:r>
      <w:r>
        <w:rPr>
          <w:spacing w:val="1"/>
        </w:rPr>
        <w:t xml:space="preserve"> </w:t>
      </w:r>
      <w:r>
        <w:t>and</w:t>
      </w:r>
      <w:r>
        <w:rPr>
          <w:spacing w:val="1"/>
        </w:rPr>
        <w:t xml:space="preserve"> </w:t>
      </w:r>
      <w:r>
        <w:t>availability</w:t>
      </w:r>
      <w:r>
        <w:rPr>
          <w:spacing w:val="1"/>
        </w:rPr>
        <w:t xml:space="preserve"> </w:t>
      </w:r>
      <w:r>
        <w:t>of</w:t>
      </w:r>
      <w:r>
        <w:rPr>
          <w:spacing w:val="1"/>
        </w:rPr>
        <w:t xml:space="preserve"> </w:t>
      </w:r>
      <w:r>
        <w:t>the</w:t>
      </w:r>
      <w:r>
        <w:rPr>
          <w:spacing w:val="1"/>
        </w:rPr>
        <w:t xml:space="preserve"> </w:t>
      </w:r>
      <w:r>
        <w:t>health</w:t>
      </w:r>
      <w:r>
        <w:rPr>
          <w:spacing w:val="1"/>
        </w:rPr>
        <w:t xml:space="preserve"> </w:t>
      </w:r>
      <w:r>
        <w:t>care</w:t>
      </w:r>
      <w:r>
        <w:rPr>
          <w:spacing w:val="1"/>
        </w:rPr>
        <w:t xml:space="preserve"> </w:t>
      </w:r>
      <w:r>
        <w:t>system</w:t>
      </w:r>
      <w:r>
        <w:rPr>
          <w:spacing w:val="1"/>
        </w:rPr>
        <w:t xml:space="preserve"> </w:t>
      </w:r>
      <w:r>
        <w:t>(mobile</w:t>
      </w:r>
      <w:r>
        <w:rPr>
          <w:spacing w:val="1"/>
        </w:rPr>
        <w:t xml:space="preserve"> </w:t>
      </w:r>
      <w:r>
        <w:t>pharmacies,</w:t>
      </w:r>
      <w:r>
        <w:rPr>
          <w:spacing w:val="1"/>
        </w:rPr>
        <w:t xml:space="preserve"> </w:t>
      </w:r>
      <w:r>
        <w:t>mobile</w:t>
      </w:r>
      <w:r>
        <w:rPr>
          <w:spacing w:val="1"/>
        </w:rPr>
        <w:t xml:space="preserve"> </w:t>
      </w:r>
      <w:r>
        <w:t>clinics),</w:t>
      </w:r>
      <w:r>
        <w:rPr>
          <w:spacing w:val="1"/>
        </w:rPr>
        <w:t xml:space="preserve"> </w:t>
      </w:r>
      <w:r>
        <w:t>functional</w:t>
      </w:r>
      <w:r>
        <w:rPr>
          <w:spacing w:val="1"/>
        </w:rPr>
        <w:t xml:space="preserve"> </w:t>
      </w:r>
      <w:r>
        <w:t>integration</w:t>
      </w:r>
      <w:r>
        <w:rPr>
          <w:spacing w:val="1"/>
        </w:rPr>
        <w:t xml:space="preserve"> </w:t>
      </w:r>
      <w:r>
        <w:t>of</w:t>
      </w:r>
      <w:r>
        <w:rPr>
          <w:spacing w:val="1"/>
        </w:rPr>
        <w:t xml:space="preserve"> </w:t>
      </w:r>
      <w:r>
        <w:t>hospitals</w:t>
      </w:r>
      <w:r>
        <w:rPr>
          <w:spacing w:val="1"/>
        </w:rPr>
        <w:t xml:space="preserve"> </w:t>
      </w:r>
      <w:r>
        <w:t>and</w:t>
      </w:r>
      <w:r>
        <w:rPr>
          <w:spacing w:val="1"/>
        </w:rPr>
        <w:t xml:space="preserve"> </w:t>
      </w:r>
      <w:r>
        <w:t>strengthening</w:t>
      </w:r>
      <w:r>
        <w:rPr>
          <w:spacing w:val="1"/>
        </w:rPr>
        <w:t xml:space="preserve"> </w:t>
      </w:r>
      <w:r>
        <w:t>day</w:t>
      </w:r>
      <w:r>
        <w:rPr>
          <w:spacing w:val="1"/>
        </w:rPr>
        <w:t xml:space="preserve"> </w:t>
      </w:r>
      <w:r>
        <w:t>hospitals,</w:t>
      </w:r>
      <w:r>
        <w:rPr>
          <w:spacing w:val="1"/>
        </w:rPr>
        <w:t xml:space="preserve"> </w:t>
      </w:r>
      <w:r>
        <w:t>ensuring</w:t>
      </w:r>
      <w:r>
        <w:rPr>
          <w:spacing w:val="1"/>
        </w:rPr>
        <w:t xml:space="preserve"> </w:t>
      </w:r>
      <w:r>
        <w:t>financial</w:t>
      </w:r>
      <w:r>
        <w:rPr>
          <w:spacing w:val="1"/>
        </w:rPr>
        <w:t xml:space="preserve"> </w:t>
      </w:r>
      <w:r>
        <w:t>sustainability, introducing strategic human resource management systems and strengthening</w:t>
      </w:r>
      <w:r>
        <w:rPr>
          <w:spacing w:val="1"/>
        </w:rPr>
        <w:t xml:space="preserve"> </w:t>
      </w:r>
      <w:r>
        <w:rPr>
          <w:spacing w:val="-1"/>
        </w:rPr>
        <w:t>telemedicine.</w:t>
      </w:r>
      <w:r>
        <w:rPr>
          <w:spacing w:val="-13"/>
        </w:rPr>
        <w:t xml:space="preserve"> </w:t>
      </w:r>
      <w:r>
        <w:t>Targeted</w:t>
      </w:r>
      <w:r>
        <w:rPr>
          <w:spacing w:val="-11"/>
        </w:rPr>
        <w:t xml:space="preserve"> </w:t>
      </w:r>
      <w:r>
        <w:t>activities,</w:t>
      </w:r>
      <w:r>
        <w:rPr>
          <w:spacing w:val="-13"/>
        </w:rPr>
        <w:t xml:space="preserve"> </w:t>
      </w:r>
      <w:r>
        <w:t>such</w:t>
      </w:r>
      <w:r>
        <w:rPr>
          <w:spacing w:val="-11"/>
        </w:rPr>
        <w:t xml:space="preserve"> </w:t>
      </w:r>
      <w:r>
        <w:t>as</w:t>
      </w:r>
      <w:r>
        <w:rPr>
          <w:spacing w:val="-12"/>
        </w:rPr>
        <w:t xml:space="preserve"> </w:t>
      </w:r>
      <w:r>
        <w:t>strengthening</w:t>
      </w:r>
      <w:r>
        <w:rPr>
          <w:spacing w:val="-13"/>
        </w:rPr>
        <w:t xml:space="preserve"> </w:t>
      </w:r>
      <w:r>
        <w:t>preventive</w:t>
      </w:r>
      <w:r>
        <w:rPr>
          <w:spacing w:val="-11"/>
        </w:rPr>
        <w:t xml:space="preserve"> </w:t>
      </w:r>
      <w:r>
        <w:t>care</w:t>
      </w:r>
      <w:r>
        <w:rPr>
          <w:spacing w:val="-11"/>
        </w:rPr>
        <w:t xml:space="preserve"> </w:t>
      </w:r>
      <w:r>
        <w:t>and</w:t>
      </w:r>
      <w:r>
        <w:rPr>
          <w:spacing w:val="-9"/>
        </w:rPr>
        <w:t xml:space="preserve"> </w:t>
      </w:r>
      <w:r>
        <w:t>emergency</w:t>
      </w:r>
      <w:r>
        <w:rPr>
          <w:spacing w:val="-17"/>
        </w:rPr>
        <w:t xml:space="preserve"> </w:t>
      </w:r>
      <w:r>
        <w:t>medical</w:t>
      </w:r>
      <w:r>
        <w:rPr>
          <w:spacing w:val="-58"/>
        </w:rPr>
        <w:t xml:space="preserve"> </w:t>
      </w:r>
      <w:r>
        <w:t>care, while ensuring sufficient capacity to relieve hospital capacity, will be co-financed from</w:t>
      </w:r>
      <w:r>
        <w:rPr>
          <w:spacing w:val="1"/>
        </w:rPr>
        <w:t xml:space="preserve"> </w:t>
      </w:r>
      <w:r>
        <w:t>the</w:t>
      </w:r>
      <w:r>
        <w:rPr>
          <w:spacing w:val="-1"/>
        </w:rPr>
        <w:t xml:space="preserve"> </w:t>
      </w:r>
      <w:r>
        <w:t>ERDF</w:t>
      </w:r>
      <w:r>
        <w:rPr>
          <w:spacing w:val="-2"/>
        </w:rPr>
        <w:t xml:space="preserve"> </w:t>
      </w:r>
      <w:r>
        <w:t>and ESF</w:t>
      </w:r>
      <w:r>
        <w:rPr>
          <w:spacing w:val="-2"/>
        </w:rPr>
        <w:t xml:space="preserve"> </w:t>
      </w:r>
      <w:r>
        <w:t>+</w:t>
      </w:r>
      <w:r>
        <w:rPr>
          <w:spacing w:val="-1"/>
        </w:rPr>
        <w:t xml:space="preserve"> </w:t>
      </w:r>
      <w:r>
        <w:t>(scholarships, medical education).</w:t>
      </w:r>
    </w:p>
    <w:p w:rsidR="00A56FE9" w:rsidRDefault="00A56FE9">
      <w:pPr>
        <w:pStyle w:val="Tijeloteksta"/>
        <w:ind w:left="0"/>
        <w:jc w:val="left"/>
        <w:rPr>
          <w:sz w:val="20"/>
        </w:rPr>
      </w:pPr>
    </w:p>
    <w:p w:rsidR="00A56FE9" w:rsidRDefault="00000000">
      <w:pPr>
        <w:spacing w:before="251"/>
        <w:ind w:left="1216"/>
        <w:rPr>
          <w:b/>
          <w:sz w:val="28"/>
        </w:rPr>
      </w:pPr>
      <w:r>
        <w:rPr>
          <w:noProof/>
        </w:rPr>
        <w:drawing>
          <wp:anchor distT="0" distB="0" distL="0" distR="0" simplePos="0" relativeHeight="15844864" behindDoc="0" locked="0" layoutInCell="1" allowOverlap="1">
            <wp:simplePos x="0" y="0"/>
            <wp:positionH relativeFrom="page">
              <wp:posOffset>1082097</wp:posOffset>
            </wp:positionH>
            <wp:positionV relativeFrom="paragraph">
              <wp:posOffset>204174</wp:posOffset>
            </wp:positionV>
            <wp:extent cx="300932" cy="125648"/>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0" cstate="print"/>
                    <a:stretch>
                      <a:fillRect/>
                    </a:stretch>
                  </pic:blipFill>
                  <pic:spPr>
                    <a:xfrm>
                      <a:off x="0" y="0"/>
                      <a:ext cx="300932" cy="125648"/>
                    </a:xfrm>
                    <a:prstGeom prst="rect">
                      <a:avLst/>
                    </a:prstGeom>
                  </pic:spPr>
                </pic:pic>
              </a:graphicData>
            </a:graphic>
          </wp:anchor>
        </w:drawing>
      </w:r>
      <w:r>
        <w:rPr>
          <w:b/>
          <w:color w:val="003399"/>
          <w:sz w:val="28"/>
        </w:rPr>
        <w:t>Progress</w:t>
      </w:r>
      <w:r>
        <w:rPr>
          <w:b/>
          <w:color w:val="003399"/>
          <w:spacing w:val="-2"/>
          <w:sz w:val="28"/>
        </w:rPr>
        <w:t xml:space="preserve"> </w:t>
      </w:r>
      <w:r>
        <w:rPr>
          <w:b/>
          <w:color w:val="003399"/>
          <w:sz w:val="28"/>
        </w:rPr>
        <w:t>in</w:t>
      </w:r>
      <w:r>
        <w:rPr>
          <w:b/>
          <w:color w:val="003399"/>
          <w:spacing w:val="-4"/>
          <w:sz w:val="28"/>
        </w:rPr>
        <w:t xml:space="preserve"> </w:t>
      </w:r>
      <w:r>
        <w:rPr>
          <w:b/>
          <w:color w:val="003399"/>
          <w:sz w:val="28"/>
        </w:rPr>
        <w:t>increasing</w:t>
      </w:r>
      <w:r>
        <w:rPr>
          <w:b/>
          <w:color w:val="003399"/>
          <w:spacing w:val="-2"/>
          <w:sz w:val="28"/>
        </w:rPr>
        <w:t xml:space="preserve"> </w:t>
      </w:r>
      <w:r>
        <w:rPr>
          <w:b/>
          <w:color w:val="003399"/>
          <w:sz w:val="28"/>
        </w:rPr>
        <w:t>effective</w:t>
      </w:r>
      <w:r>
        <w:rPr>
          <w:b/>
          <w:color w:val="003399"/>
          <w:spacing w:val="-2"/>
          <w:sz w:val="28"/>
        </w:rPr>
        <w:t xml:space="preserve"> </w:t>
      </w:r>
      <w:r>
        <w:rPr>
          <w:b/>
          <w:color w:val="003399"/>
          <w:sz w:val="28"/>
        </w:rPr>
        <w:t>use</w:t>
      </w:r>
      <w:r>
        <w:rPr>
          <w:b/>
          <w:color w:val="003399"/>
          <w:spacing w:val="-2"/>
          <w:sz w:val="28"/>
        </w:rPr>
        <w:t xml:space="preserve"> </w:t>
      </w:r>
      <w:r>
        <w:rPr>
          <w:b/>
          <w:color w:val="003399"/>
          <w:sz w:val="28"/>
        </w:rPr>
        <w:t>of</w:t>
      </w:r>
      <w:r>
        <w:rPr>
          <w:b/>
          <w:color w:val="003399"/>
          <w:spacing w:val="-2"/>
          <w:sz w:val="28"/>
        </w:rPr>
        <w:t xml:space="preserve"> </w:t>
      </w:r>
      <w:r>
        <w:rPr>
          <w:b/>
          <w:color w:val="003399"/>
          <w:sz w:val="28"/>
        </w:rPr>
        <w:t>ESIF</w:t>
      </w:r>
      <w:r>
        <w:rPr>
          <w:b/>
          <w:color w:val="003399"/>
          <w:spacing w:val="-3"/>
          <w:sz w:val="28"/>
        </w:rPr>
        <w:t xml:space="preserve"> </w:t>
      </w:r>
      <w:r>
        <w:rPr>
          <w:b/>
          <w:color w:val="003399"/>
          <w:sz w:val="28"/>
        </w:rPr>
        <w:t>resources</w:t>
      </w:r>
    </w:p>
    <w:p w:rsidR="00A56FE9" w:rsidRDefault="00000000">
      <w:pPr>
        <w:pStyle w:val="Tijeloteksta"/>
        <w:spacing w:before="184"/>
        <w:ind w:right="276"/>
      </w:pPr>
      <w:r>
        <w:t>Croatia has at its disposal in the 2014-2020financial period a total of 10.73 billion euros from</w:t>
      </w:r>
      <w:r>
        <w:rPr>
          <w:spacing w:val="1"/>
        </w:rPr>
        <w:t xml:space="preserve"> </w:t>
      </w:r>
      <w:r>
        <w:t>the ESIF. This amount includes EUR 8.45 billion earmarked for cohesion policy objectives,</w:t>
      </w:r>
      <w:r>
        <w:rPr>
          <w:spacing w:val="1"/>
        </w:rPr>
        <w:t xml:space="preserve"> </w:t>
      </w:r>
      <w:r>
        <w:t>EUR 2.02 billion for agriculture and rural development and EUR 252.6 million for fisheries</w:t>
      </w:r>
      <w:r>
        <w:rPr>
          <w:spacing w:val="1"/>
        </w:rPr>
        <w:t xml:space="preserve"> </w:t>
      </w:r>
      <w:r>
        <w:t>development.</w:t>
      </w:r>
    </w:p>
    <w:p w:rsidR="00A56FE9" w:rsidRDefault="00000000">
      <w:pPr>
        <w:pStyle w:val="Tijeloteksta"/>
        <w:spacing w:before="120"/>
        <w:ind w:right="277"/>
      </w:pPr>
      <w:r>
        <w:t>The ESIF's investment strategy is aimed at strengthening the competitiveness of the economy,</w:t>
      </w:r>
      <w:r>
        <w:rPr>
          <w:spacing w:val="-57"/>
        </w:rPr>
        <w:t xml:space="preserve"> </w:t>
      </w:r>
      <w:r>
        <w:t>increasing</w:t>
      </w:r>
      <w:r>
        <w:rPr>
          <w:spacing w:val="1"/>
        </w:rPr>
        <w:t xml:space="preserve"> </w:t>
      </w:r>
      <w:r>
        <w:t>employment,</w:t>
      </w:r>
      <w:r>
        <w:rPr>
          <w:spacing w:val="1"/>
        </w:rPr>
        <w:t xml:space="preserve"> </w:t>
      </w:r>
      <w:r>
        <w:t>knowledge-based</w:t>
      </w:r>
      <w:r>
        <w:rPr>
          <w:spacing w:val="1"/>
        </w:rPr>
        <w:t xml:space="preserve"> </w:t>
      </w:r>
      <w:r>
        <w:t>growth,</w:t>
      </w:r>
      <w:r>
        <w:rPr>
          <w:spacing w:val="1"/>
        </w:rPr>
        <w:t xml:space="preserve"> </w:t>
      </w:r>
      <w:r>
        <w:t>reducing</w:t>
      </w:r>
      <w:r>
        <w:rPr>
          <w:spacing w:val="1"/>
        </w:rPr>
        <w:t xml:space="preserve"> </w:t>
      </w:r>
      <w:r>
        <w:t>poverty,</w:t>
      </w:r>
      <w:r>
        <w:rPr>
          <w:spacing w:val="1"/>
        </w:rPr>
        <w:t xml:space="preserve"> </w:t>
      </w:r>
      <w:r>
        <w:t>strengthening</w:t>
      </w:r>
      <w:r>
        <w:rPr>
          <w:spacing w:val="1"/>
        </w:rPr>
        <w:t xml:space="preserve"> </w:t>
      </w:r>
      <w:r>
        <w:t>social</w:t>
      </w:r>
      <w:r>
        <w:rPr>
          <w:spacing w:val="1"/>
        </w:rPr>
        <w:t xml:space="preserve"> </w:t>
      </w:r>
      <w:r>
        <w:t>inclusion, reducing regional inequalities and ensuring quality living conditions in line with the</w:t>
      </w:r>
      <w:r>
        <w:rPr>
          <w:spacing w:val="-57"/>
        </w:rPr>
        <w:t xml:space="preserve"> </w:t>
      </w:r>
      <w:r>
        <w:t>Europe</w:t>
      </w:r>
      <w:r>
        <w:rPr>
          <w:spacing w:val="-2"/>
        </w:rPr>
        <w:t xml:space="preserve"> </w:t>
      </w:r>
      <w:r>
        <w:t>2020</w:t>
      </w:r>
      <w:r>
        <w:rPr>
          <w:spacing w:val="-1"/>
        </w:rPr>
        <w:t xml:space="preserve"> </w:t>
      </w:r>
      <w:r>
        <w:t>strategy.</w:t>
      </w:r>
    </w:p>
    <w:p w:rsidR="00A56FE9" w:rsidRDefault="00000000">
      <w:pPr>
        <w:pStyle w:val="Tijeloteksta"/>
        <w:spacing w:before="120"/>
        <w:ind w:right="271"/>
      </w:pPr>
      <w:r>
        <w:t>In line with Regulation (EU) 2020/2221 of the European Parliament and of the Council of 23</w:t>
      </w:r>
      <w:r>
        <w:rPr>
          <w:spacing w:val="1"/>
        </w:rPr>
        <w:t xml:space="preserve"> </w:t>
      </w:r>
      <w:r>
        <w:t>December 2020 amending Regulation (EU) No 1303/2013, additional funds have been made</w:t>
      </w:r>
      <w:r>
        <w:rPr>
          <w:spacing w:val="1"/>
        </w:rPr>
        <w:t xml:space="preserve"> </w:t>
      </w:r>
      <w:r>
        <w:t>available</w:t>
      </w:r>
      <w:r>
        <w:rPr>
          <w:spacing w:val="-7"/>
        </w:rPr>
        <w:t xml:space="preserve"> </w:t>
      </w:r>
      <w:r>
        <w:t>to</w:t>
      </w:r>
      <w:r>
        <w:rPr>
          <w:spacing w:val="-6"/>
        </w:rPr>
        <w:t xml:space="preserve"> </w:t>
      </w:r>
      <w:r>
        <w:t>Member</w:t>
      </w:r>
      <w:r>
        <w:rPr>
          <w:spacing w:val="-7"/>
        </w:rPr>
        <w:t xml:space="preserve"> </w:t>
      </w:r>
      <w:r>
        <w:t>States</w:t>
      </w:r>
      <w:r>
        <w:rPr>
          <w:spacing w:val="-6"/>
        </w:rPr>
        <w:t xml:space="preserve"> </w:t>
      </w:r>
      <w:r>
        <w:t>to</w:t>
      </w:r>
      <w:r>
        <w:rPr>
          <w:spacing w:val="-6"/>
        </w:rPr>
        <w:t xml:space="preserve"> </w:t>
      </w:r>
      <w:r>
        <w:t>help</w:t>
      </w:r>
      <w:r>
        <w:rPr>
          <w:spacing w:val="-6"/>
        </w:rPr>
        <w:t xml:space="preserve"> </w:t>
      </w:r>
      <w:r>
        <w:t>address</w:t>
      </w:r>
      <w:r>
        <w:rPr>
          <w:spacing w:val="-6"/>
        </w:rPr>
        <w:t xml:space="preserve"> </w:t>
      </w:r>
      <w:r>
        <w:t>the</w:t>
      </w:r>
      <w:r>
        <w:rPr>
          <w:spacing w:val="-6"/>
        </w:rPr>
        <w:t xml:space="preserve"> </w:t>
      </w:r>
      <w:r>
        <w:t>crisis</w:t>
      </w:r>
      <w:r>
        <w:rPr>
          <w:spacing w:val="-6"/>
        </w:rPr>
        <w:t xml:space="preserve"> </w:t>
      </w:r>
      <w:r>
        <w:t>in</w:t>
      </w:r>
      <w:r>
        <w:rPr>
          <w:spacing w:val="-6"/>
        </w:rPr>
        <w:t xml:space="preserve"> </w:t>
      </w:r>
      <w:r>
        <w:t>the</w:t>
      </w:r>
      <w:r>
        <w:rPr>
          <w:spacing w:val="-7"/>
        </w:rPr>
        <w:t xml:space="preserve"> </w:t>
      </w:r>
      <w:r>
        <w:t>context</w:t>
      </w:r>
      <w:r>
        <w:rPr>
          <w:spacing w:val="-6"/>
        </w:rPr>
        <w:t xml:space="preserve"> </w:t>
      </w:r>
      <w:r>
        <w:t>of</w:t>
      </w:r>
      <w:r>
        <w:rPr>
          <w:spacing w:val="-7"/>
        </w:rPr>
        <w:t xml:space="preserve"> </w:t>
      </w:r>
      <w:r>
        <w:t>the</w:t>
      </w:r>
      <w:r>
        <w:rPr>
          <w:spacing w:val="-7"/>
        </w:rPr>
        <w:t xml:space="preserve"> </w:t>
      </w:r>
      <w:r>
        <w:t>COVID-19</w:t>
      </w:r>
      <w:r>
        <w:rPr>
          <w:spacing w:val="-6"/>
        </w:rPr>
        <w:t xml:space="preserve"> </w:t>
      </w:r>
      <w:r>
        <w:t>pandemic</w:t>
      </w:r>
      <w:r>
        <w:rPr>
          <w:spacing w:val="-57"/>
        </w:rPr>
        <w:t xml:space="preserve"> </w:t>
      </w:r>
      <w:r>
        <w:t>and</w:t>
      </w:r>
      <w:r>
        <w:rPr>
          <w:spacing w:val="-4"/>
        </w:rPr>
        <w:t xml:space="preserve"> </w:t>
      </w:r>
      <w:r>
        <w:t>its</w:t>
      </w:r>
      <w:r>
        <w:rPr>
          <w:spacing w:val="-3"/>
        </w:rPr>
        <w:t xml:space="preserve"> </w:t>
      </w:r>
      <w:r>
        <w:t>social consequences,</w:t>
      </w:r>
      <w:r>
        <w:rPr>
          <w:spacing w:val="-4"/>
        </w:rPr>
        <w:t xml:space="preserve"> </w:t>
      </w:r>
      <w:r>
        <w:t>and</w:t>
      </w:r>
      <w:r>
        <w:rPr>
          <w:spacing w:val="-1"/>
        </w:rPr>
        <w:t xml:space="preserve"> </w:t>
      </w:r>
      <w:r>
        <w:t>to</w:t>
      </w:r>
      <w:r>
        <w:rPr>
          <w:spacing w:val="-2"/>
        </w:rPr>
        <w:t xml:space="preserve"> </w:t>
      </w:r>
      <w:r>
        <w:t>prepare</w:t>
      </w:r>
      <w:r>
        <w:rPr>
          <w:spacing w:val="-5"/>
        </w:rPr>
        <w:t xml:space="preserve"> </w:t>
      </w:r>
      <w:r>
        <w:t>for</w:t>
      </w:r>
      <w:r>
        <w:rPr>
          <w:spacing w:val="-4"/>
        </w:rPr>
        <w:t xml:space="preserve"> </w:t>
      </w:r>
      <w:r>
        <w:t>a</w:t>
      </w:r>
      <w:r>
        <w:rPr>
          <w:spacing w:val="1"/>
        </w:rPr>
        <w:t xml:space="preserve"> </w:t>
      </w:r>
      <w:r>
        <w:t>green,</w:t>
      </w:r>
      <w:r>
        <w:rPr>
          <w:spacing w:val="-3"/>
        </w:rPr>
        <w:t xml:space="preserve"> </w:t>
      </w:r>
      <w:r>
        <w:t>digital</w:t>
      </w:r>
      <w:r>
        <w:rPr>
          <w:spacing w:val="-1"/>
        </w:rPr>
        <w:t xml:space="preserve"> </w:t>
      </w:r>
      <w:r>
        <w:t>and</w:t>
      </w:r>
      <w:r>
        <w:rPr>
          <w:spacing w:val="-3"/>
        </w:rPr>
        <w:t xml:space="preserve"> </w:t>
      </w:r>
      <w:r>
        <w:t>resilient economic</w:t>
      </w:r>
      <w:r>
        <w:rPr>
          <w:spacing w:val="-5"/>
        </w:rPr>
        <w:t xml:space="preserve"> </w:t>
      </w:r>
      <w:r>
        <w:t>recovery</w:t>
      </w:r>
      <w:r>
        <w:rPr>
          <w:spacing w:val="-57"/>
        </w:rPr>
        <w:t xml:space="preserve"> </w:t>
      </w:r>
      <w:r>
        <w:t>(REACT-EU).</w:t>
      </w:r>
      <w:r>
        <w:rPr>
          <w:spacing w:val="1"/>
        </w:rPr>
        <w:t xml:space="preserve"> </w:t>
      </w:r>
      <w:r>
        <w:t>Commission</w:t>
      </w:r>
      <w:r>
        <w:rPr>
          <w:spacing w:val="1"/>
        </w:rPr>
        <w:t xml:space="preserve"> </w:t>
      </w:r>
      <w:r>
        <w:t>Implementing</w:t>
      </w:r>
      <w:r>
        <w:rPr>
          <w:spacing w:val="1"/>
        </w:rPr>
        <w:t xml:space="preserve"> </w:t>
      </w:r>
      <w:r>
        <w:t>Decision</w:t>
      </w:r>
      <w:r>
        <w:rPr>
          <w:spacing w:val="1"/>
        </w:rPr>
        <w:t xml:space="preserve"> </w:t>
      </w:r>
      <w:r>
        <w:t>(EU)</w:t>
      </w:r>
      <w:r>
        <w:rPr>
          <w:spacing w:val="1"/>
        </w:rPr>
        <w:t xml:space="preserve"> </w:t>
      </w:r>
      <w:r>
        <w:t>2021/182</w:t>
      </w:r>
      <w:r>
        <w:rPr>
          <w:spacing w:val="1"/>
        </w:rPr>
        <w:t xml:space="preserve"> </w:t>
      </w:r>
      <w:r>
        <w:t>of</w:t>
      </w:r>
      <w:r>
        <w:rPr>
          <w:spacing w:val="1"/>
        </w:rPr>
        <w:t xml:space="preserve"> </w:t>
      </w:r>
      <w:r>
        <w:t>12</w:t>
      </w:r>
      <w:r>
        <w:rPr>
          <w:spacing w:val="1"/>
        </w:rPr>
        <w:t xml:space="preserve"> </w:t>
      </w:r>
      <w:r>
        <w:t>February 2021</w:t>
      </w:r>
      <w:r>
        <w:rPr>
          <w:spacing w:val="1"/>
        </w:rPr>
        <w:t xml:space="preserve"> </w:t>
      </w:r>
      <w:r>
        <w:t>setting out the breakdown by Member State of REACT-EU resources for 2021 and 2022</w:t>
      </w:r>
      <w:r>
        <w:rPr>
          <w:spacing w:val="1"/>
        </w:rPr>
        <w:t xml:space="preserve"> </w:t>
      </w:r>
      <w:r>
        <w:t>allocated to the Republic of Croatia EUR 571.50 million for 2021 and EUR 101.06 million for</w:t>
      </w:r>
      <w:r>
        <w:rPr>
          <w:spacing w:val="-57"/>
        </w:rPr>
        <w:t xml:space="preserve"> </w:t>
      </w:r>
      <w:r>
        <w:t>2022</w:t>
      </w:r>
      <w:r>
        <w:rPr>
          <w:spacing w:val="-1"/>
        </w:rPr>
        <w:t xml:space="preserve"> </w:t>
      </w:r>
      <w:r>
        <w:t>(the allocation for</w:t>
      </w:r>
      <w:r>
        <w:rPr>
          <w:spacing w:val="-2"/>
        </w:rPr>
        <w:t xml:space="preserve"> </w:t>
      </w:r>
      <w:r>
        <w:t>2022 required making a</w:t>
      </w:r>
      <w:r>
        <w:rPr>
          <w:spacing w:val="-1"/>
        </w:rPr>
        <w:t xml:space="preserve"> </w:t>
      </w:r>
      <w:r>
        <w:t>change</w:t>
      </w:r>
      <w:r>
        <w:rPr>
          <w:spacing w:val="-1"/>
        </w:rPr>
        <w:t xml:space="preserve"> </w:t>
      </w:r>
      <w:r>
        <w:t>to the</w:t>
      </w:r>
      <w:r>
        <w:rPr>
          <w:spacing w:val="-2"/>
        </w:rPr>
        <w:t xml:space="preserve"> </w:t>
      </w:r>
      <w:r>
        <w:t>OP).</w:t>
      </w:r>
    </w:p>
    <w:p w:rsidR="00A56FE9" w:rsidRDefault="00A56FE9">
      <w:pPr>
        <w:sectPr w:rsidR="00A56FE9" w:rsidSect="00AB1E70">
          <w:pgSz w:w="11910" w:h="16840"/>
          <w:pgMar w:top="1320" w:right="1140" w:bottom="960" w:left="1280" w:header="0" w:footer="699" w:gutter="0"/>
          <w:cols w:space="720"/>
        </w:sectPr>
      </w:pPr>
    </w:p>
    <w:p w:rsidR="00A56FE9" w:rsidRDefault="00000000">
      <w:pPr>
        <w:pStyle w:val="Tijeloteksta"/>
        <w:spacing w:before="74"/>
        <w:ind w:right="274"/>
      </w:pPr>
      <w:r>
        <w:t>Pursuant to Regulation (EU) 2020/2220 of the European Parliament and of the Council of 23</w:t>
      </w:r>
      <w:r>
        <w:rPr>
          <w:spacing w:val="1"/>
        </w:rPr>
        <w:t xml:space="preserve"> </w:t>
      </w:r>
      <w:r>
        <w:t>December 2020 laying down certain transitional provisions for support from the European</w:t>
      </w:r>
      <w:r>
        <w:rPr>
          <w:spacing w:val="1"/>
        </w:rPr>
        <w:t xml:space="preserve"> </w:t>
      </w:r>
      <w:r>
        <w:t>Agricultural</w:t>
      </w:r>
      <w:r>
        <w:rPr>
          <w:spacing w:val="-2"/>
        </w:rPr>
        <w:t xml:space="preserve"> </w:t>
      </w:r>
      <w:r>
        <w:t>Fund</w:t>
      </w:r>
      <w:r>
        <w:rPr>
          <w:spacing w:val="-2"/>
        </w:rPr>
        <w:t xml:space="preserve"> </w:t>
      </w:r>
      <w:r>
        <w:t>for</w:t>
      </w:r>
      <w:r>
        <w:rPr>
          <w:spacing w:val="-2"/>
        </w:rPr>
        <w:t xml:space="preserve"> </w:t>
      </w:r>
      <w:r>
        <w:t>Rural</w:t>
      </w:r>
      <w:r>
        <w:rPr>
          <w:spacing w:val="-2"/>
        </w:rPr>
        <w:t xml:space="preserve"> </w:t>
      </w:r>
      <w:r>
        <w:t>Development</w:t>
      </w:r>
      <w:r>
        <w:rPr>
          <w:spacing w:val="-2"/>
        </w:rPr>
        <w:t xml:space="preserve"> </w:t>
      </w:r>
      <w:r>
        <w:t>(EAFRD)</w:t>
      </w:r>
      <w:r>
        <w:rPr>
          <w:spacing w:val="-3"/>
        </w:rPr>
        <w:t xml:space="preserve"> </w:t>
      </w:r>
      <w:r>
        <w:t>in</w:t>
      </w:r>
      <w:r>
        <w:rPr>
          <w:spacing w:val="-2"/>
        </w:rPr>
        <w:t xml:space="preserve"> </w:t>
      </w:r>
      <w:r>
        <w:t>the</w:t>
      </w:r>
      <w:r>
        <w:rPr>
          <w:spacing w:val="-1"/>
        </w:rPr>
        <w:t xml:space="preserve"> </w:t>
      </w:r>
      <w:r>
        <w:t>years</w:t>
      </w:r>
      <w:r>
        <w:rPr>
          <w:spacing w:val="-2"/>
        </w:rPr>
        <w:t xml:space="preserve"> </w:t>
      </w:r>
      <w:r>
        <w:t>2021</w:t>
      </w:r>
      <w:r>
        <w:rPr>
          <w:spacing w:val="-2"/>
        </w:rPr>
        <w:t xml:space="preserve"> </w:t>
      </w:r>
      <w:r>
        <w:t>and</w:t>
      </w:r>
      <w:r>
        <w:rPr>
          <w:spacing w:val="-2"/>
        </w:rPr>
        <w:t xml:space="preserve"> </w:t>
      </w:r>
      <w:r>
        <w:t>2022</w:t>
      </w:r>
      <w:r>
        <w:rPr>
          <w:spacing w:val="-1"/>
        </w:rPr>
        <w:t xml:space="preserve"> </w:t>
      </w:r>
      <w:r>
        <w:t>and</w:t>
      </w:r>
      <w:r>
        <w:rPr>
          <w:spacing w:val="-2"/>
        </w:rPr>
        <w:t xml:space="preserve"> </w:t>
      </w:r>
      <w:r>
        <w:t>amending</w:t>
      </w:r>
      <w:r>
        <w:rPr>
          <w:spacing w:val="-58"/>
        </w:rPr>
        <w:t xml:space="preserve"> </w:t>
      </w:r>
      <w:r>
        <w:t>Regulations (EU) No 1305/2013, (EU) No 1306/2013 and (EU) No 1307/2013 as regards</w:t>
      </w:r>
      <w:r>
        <w:rPr>
          <w:spacing w:val="1"/>
        </w:rPr>
        <w:t xml:space="preserve"> </w:t>
      </w:r>
      <w:r>
        <w:t>resources and application in the years 2021 and 2022 and Regulation (EU) No 1308/2013 as</w:t>
      </w:r>
      <w:r>
        <w:rPr>
          <w:spacing w:val="1"/>
        </w:rPr>
        <w:t xml:space="preserve"> </w:t>
      </w:r>
      <w:r>
        <w:t>regards resources and the distribution of such support in respect of the years 2021 and 2022,</w:t>
      </w:r>
      <w:r>
        <w:rPr>
          <w:spacing w:val="1"/>
        </w:rPr>
        <w:t xml:space="preserve"> </w:t>
      </w:r>
      <w:r>
        <w:t>the period of duration for the program was extended for those receiving support from the pean</w:t>
      </w:r>
      <w:r>
        <w:rPr>
          <w:spacing w:val="-57"/>
        </w:rPr>
        <w:t xml:space="preserve"> </w:t>
      </w:r>
      <w:r>
        <w:t>Agricultural</w:t>
      </w:r>
      <w:r>
        <w:rPr>
          <w:spacing w:val="-4"/>
        </w:rPr>
        <w:t xml:space="preserve"> </w:t>
      </w:r>
      <w:r>
        <w:t>Fund</w:t>
      </w:r>
      <w:r>
        <w:rPr>
          <w:spacing w:val="-5"/>
        </w:rPr>
        <w:t xml:space="preserve"> </w:t>
      </w:r>
      <w:r>
        <w:t>for</w:t>
      </w:r>
      <w:r>
        <w:rPr>
          <w:spacing w:val="-6"/>
        </w:rPr>
        <w:t xml:space="preserve"> </w:t>
      </w:r>
      <w:r>
        <w:t>Rural</w:t>
      </w:r>
      <w:r>
        <w:rPr>
          <w:spacing w:val="-4"/>
        </w:rPr>
        <w:t xml:space="preserve"> </w:t>
      </w:r>
      <w:r>
        <w:t>Development</w:t>
      </w:r>
      <w:r>
        <w:rPr>
          <w:spacing w:val="-3"/>
        </w:rPr>
        <w:t xml:space="preserve"> </w:t>
      </w:r>
      <w:r>
        <w:t>(2014-2020)</w:t>
      </w:r>
      <w:r>
        <w:rPr>
          <w:spacing w:val="-6"/>
        </w:rPr>
        <w:t xml:space="preserve"> </w:t>
      </w:r>
      <w:r>
        <w:t>until</w:t>
      </w:r>
      <w:r>
        <w:rPr>
          <w:spacing w:val="-4"/>
        </w:rPr>
        <w:t xml:space="preserve"> </w:t>
      </w:r>
      <w:r>
        <w:t>31</w:t>
      </w:r>
      <w:r>
        <w:rPr>
          <w:spacing w:val="-7"/>
        </w:rPr>
        <w:t xml:space="preserve"> </w:t>
      </w:r>
      <w:r>
        <w:t>December</w:t>
      </w:r>
      <w:r>
        <w:rPr>
          <w:spacing w:val="-6"/>
        </w:rPr>
        <w:t xml:space="preserve"> </w:t>
      </w:r>
      <w:r>
        <w:t>2022</w:t>
      </w:r>
      <w:r>
        <w:rPr>
          <w:spacing w:val="-4"/>
        </w:rPr>
        <w:t xml:space="preserve"> </w:t>
      </w:r>
      <w:r>
        <w:t>(to</w:t>
      </w:r>
      <w:r>
        <w:rPr>
          <w:spacing w:val="-5"/>
        </w:rPr>
        <w:t xml:space="preserve"> </w:t>
      </w:r>
      <w:r>
        <w:t>two</w:t>
      </w:r>
      <w:r>
        <w:rPr>
          <w:spacing w:val="-2"/>
        </w:rPr>
        <w:t xml:space="preserve"> </w:t>
      </w:r>
      <w:r>
        <w:t>years).</w:t>
      </w:r>
    </w:p>
    <w:p w:rsidR="00A56FE9" w:rsidRDefault="00000000">
      <w:pPr>
        <w:pStyle w:val="Tijeloteksta"/>
        <w:spacing w:before="121"/>
        <w:ind w:right="274"/>
      </w:pPr>
      <w:r>
        <w:t>To ensure the</w:t>
      </w:r>
      <w:r>
        <w:rPr>
          <w:spacing w:val="1"/>
        </w:rPr>
        <w:t xml:space="preserve"> </w:t>
      </w:r>
      <w:r>
        <w:t>continuation of this support</w:t>
      </w:r>
      <w:r>
        <w:rPr>
          <w:spacing w:val="1"/>
        </w:rPr>
        <w:t xml:space="preserve"> </w:t>
      </w:r>
      <w:r>
        <w:t>to farmers</w:t>
      </w:r>
      <w:r>
        <w:rPr>
          <w:spacing w:val="1"/>
        </w:rPr>
        <w:t xml:space="preserve"> </w:t>
      </w:r>
      <w:r>
        <w:t>and other beneficiaries during the</w:t>
      </w:r>
      <w:r>
        <w:rPr>
          <w:spacing w:val="1"/>
        </w:rPr>
        <w:t xml:space="preserve"> </w:t>
      </w:r>
      <w:r>
        <w:rPr>
          <w:spacing w:val="-1"/>
        </w:rPr>
        <w:t>transition</w:t>
      </w:r>
      <w:r>
        <w:rPr>
          <w:spacing w:val="-14"/>
        </w:rPr>
        <w:t xml:space="preserve"> </w:t>
      </w:r>
      <w:r>
        <w:t>period,</w:t>
      </w:r>
      <w:r>
        <w:rPr>
          <w:spacing w:val="-15"/>
        </w:rPr>
        <w:t xml:space="preserve"> </w:t>
      </w:r>
      <w:r>
        <w:t>amendments</w:t>
      </w:r>
      <w:r>
        <w:rPr>
          <w:spacing w:val="-15"/>
        </w:rPr>
        <w:t xml:space="preserve"> </w:t>
      </w:r>
      <w:r>
        <w:t>to</w:t>
      </w:r>
      <w:r>
        <w:rPr>
          <w:spacing w:val="-13"/>
        </w:rPr>
        <w:t xml:space="preserve"> </w:t>
      </w:r>
      <w:r>
        <w:t>the</w:t>
      </w:r>
      <w:r>
        <w:rPr>
          <w:spacing w:val="-15"/>
        </w:rPr>
        <w:t xml:space="preserve"> </w:t>
      </w:r>
      <w:r>
        <w:t>Program</w:t>
      </w:r>
      <w:r>
        <w:rPr>
          <w:spacing w:val="-14"/>
        </w:rPr>
        <w:t xml:space="preserve"> </w:t>
      </w:r>
      <w:r>
        <w:t>and</w:t>
      </w:r>
      <w:r>
        <w:rPr>
          <w:spacing w:val="-12"/>
        </w:rPr>
        <w:t xml:space="preserve"> </w:t>
      </w:r>
      <w:r>
        <w:t>existing</w:t>
      </w:r>
      <w:r>
        <w:rPr>
          <w:spacing w:val="-17"/>
        </w:rPr>
        <w:t xml:space="preserve"> </w:t>
      </w:r>
      <w:r>
        <w:t>measures</w:t>
      </w:r>
      <w:r>
        <w:rPr>
          <w:spacing w:val="-15"/>
        </w:rPr>
        <w:t xml:space="preserve"> </w:t>
      </w:r>
      <w:r>
        <w:t>were</w:t>
      </w:r>
      <w:r>
        <w:rPr>
          <w:spacing w:val="-13"/>
        </w:rPr>
        <w:t xml:space="preserve"> </w:t>
      </w:r>
      <w:r>
        <w:t>submitted,</w:t>
      </w:r>
      <w:r>
        <w:rPr>
          <w:spacing w:val="-15"/>
        </w:rPr>
        <w:t xml:space="preserve"> </w:t>
      </w:r>
      <w:r>
        <w:t>increasing</w:t>
      </w:r>
      <w:r>
        <w:rPr>
          <w:spacing w:val="-58"/>
        </w:rPr>
        <w:t xml:space="preserve"> </w:t>
      </w:r>
      <w:r>
        <w:t>the allocation from the Multiannual Financial Framework (European Agricultural Fund for</w:t>
      </w:r>
      <w:r>
        <w:rPr>
          <w:spacing w:val="1"/>
        </w:rPr>
        <w:t xml:space="preserve"> </w:t>
      </w:r>
      <w:r>
        <w:t>Rural Development EUR 597.56 million) and the European Recovery and Resilience Plan</w:t>
      </w:r>
      <w:r>
        <w:rPr>
          <w:spacing w:val="1"/>
        </w:rPr>
        <w:t xml:space="preserve"> </w:t>
      </w:r>
      <w:r>
        <w:t>(EUR</w:t>
      </w:r>
      <w:r>
        <w:rPr>
          <w:spacing w:val="-1"/>
        </w:rPr>
        <w:t xml:space="preserve"> </w:t>
      </w:r>
      <w:r>
        <w:t>201.67 million).</w:t>
      </w:r>
    </w:p>
    <w:p w:rsidR="00A56FE9" w:rsidRDefault="00000000">
      <w:pPr>
        <w:pStyle w:val="Tijeloteksta"/>
        <w:spacing w:before="120"/>
        <w:ind w:right="272"/>
      </w:pPr>
      <w:r>
        <w:rPr>
          <w:spacing w:val="-1"/>
        </w:rPr>
        <w:t>Accordingly,</w:t>
      </w:r>
      <w:r>
        <w:rPr>
          <w:spacing w:val="-12"/>
        </w:rPr>
        <w:t xml:space="preserve"> </w:t>
      </w:r>
      <w:r>
        <w:t>the</w:t>
      </w:r>
      <w:r>
        <w:rPr>
          <w:spacing w:val="-13"/>
        </w:rPr>
        <w:t xml:space="preserve"> </w:t>
      </w:r>
      <w:r>
        <w:t>total</w:t>
      </w:r>
      <w:r>
        <w:rPr>
          <w:spacing w:val="-12"/>
        </w:rPr>
        <w:t xml:space="preserve"> </w:t>
      </w:r>
      <w:r>
        <w:t>allocation</w:t>
      </w:r>
      <w:r>
        <w:rPr>
          <w:spacing w:val="-11"/>
        </w:rPr>
        <w:t xml:space="preserve"> </w:t>
      </w:r>
      <w:r>
        <w:t>for</w:t>
      </w:r>
      <w:r>
        <w:rPr>
          <w:spacing w:val="-14"/>
        </w:rPr>
        <w:t xml:space="preserve"> </w:t>
      </w:r>
      <w:r>
        <w:t>Croatia</w:t>
      </w:r>
      <w:r>
        <w:rPr>
          <w:spacing w:val="-13"/>
        </w:rPr>
        <w:t xml:space="preserve"> </w:t>
      </w:r>
      <w:r>
        <w:t>is</w:t>
      </w:r>
      <w:r>
        <w:rPr>
          <w:spacing w:val="-9"/>
        </w:rPr>
        <w:t xml:space="preserve"> </w:t>
      </w:r>
      <w:r>
        <w:t>EUR</w:t>
      </w:r>
      <w:r>
        <w:rPr>
          <w:spacing w:val="-10"/>
        </w:rPr>
        <w:t xml:space="preserve"> </w:t>
      </w:r>
      <w:r>
        <w:t>12.09</w:t>
      </w:r>
      <w:r>
        <w:rPr>
          <w:spacing w:val="-12"/>
        </w:rPr>
        <w:t xml:space="preserve"> </w:t>
      </w:r>
      <w:r>
        <w:t>billion</w:t>
      </w:r>
      <w:r>
        <w:rPr>
          <w:spacing w:val="-12"/>
        </w:rPr>
        <w:t xml:space="preserve"> </w:t>
      </w:r>
      <w:r>
        <w:t>(ESI</w:t>
      </w:r>
      <w:r>
        <w:rPr>
          <w:spacing w:val="-18"/>
        </w:rPr>
        <w:t xml:space="preserve"> </w:t>
      </w:r>
      <w:r>
        <w:t>funds</w:t>
      </w:r>
      <w:r>
        <w:rPr>
          <w:spacing w:val="-10"/>
        </w:rPr>
        <w:t xml:space="preserve"> </w:t>
      </w:r>
      <w:r>
        <w:t>EUR</w:t>
      </w:r>
      <w:r>
        <w:rPr>
          <w:spacing w:val="-11"/>
        </w:rPr>
        <w:t xml:space="preserve"> </w:t>
      </w:r>
      <w:r>
        <w:t>10.73</w:t>
      </w:r>
      <w:r>
        <w:rPr>
          <w:spacing w:val="-12"/>
        </w:rPr>
        <w:t xml:space="preserve"> </w:t>
      </w:r>
      <w:r>
        <w:t>billion,</w:t>
      </w:r>
      <w:r>
        <w:rPr>
          <w:spacing w:val="-57"/>
        </w:rPr>
        <w:t xml:space="preserve"> </w:t>
      </w:r>
      <w:r>
        <w:t>REACT-EU</w:t>
      </w:r>
      <w:r>
        <w:rPr>
          <w:spacing w:val="-9"/>
        </w:rPr>
        <w:t xml:space="preserve"> </w:t>
      </w:r>
      <w:r>
        <w:t>EUR</w:t>
      </w:r>
      <w:r>
        <w:rPr>
          <w:spacing w:val="-8"/>
        </w:rPr>
        <w:t xml:space="preserve"> </w:t>
      </w:r>
      <w:r>
        <w:t>561.50</w:t>
      </w:r>
      <w:r>
        <w:rPr>
          <w:spacing w:val="-7"/>
        </w:rPr>
        <w:t xml:space="preserve"> </w:t>
      </w:r>
      <w:r>
        <w:t>million,</w:t>
      </w:r>
      <w:r>
        <w:rPr>
          <w:spacing w:val="-7"/>
        </w:rPr>
        <w:t xml:space="preserve"> </w:t>
      </w:r>
      <w:r>
        <w:t>Rural</w:t>
      </w:r>
      <w:r>
        <w:rPr>
          <w:spacing w:val="-8"/>
        </w:rPr>
        <w:t xml:space="preserve"> </w:t>
      </w:r>
      <w:r>
        <w:t>Development</w:t>
      </w:r>
      <w:r>
        <w:rPr>
          <w:spacing w:val="-8"/>
        </w:rPr>
        <w:t xml:space="preserve"> </w:t>
      </w:r>
      <w:r>
        <w:t>Programme</w:t>
      </w:r>
      <w:r>
        <w:rPr>
          <w:spacing w:val="-9"/>
        </w:rPr>
        <w:t xml:space="preserve"> </w:t>
      </w:r>
      <w:r>
        <w:t>(RDP)</w:t>
      </w:r>
      <w:r>
        <w:rPr>
          <w:spacing w:val="-9"/>
        </w:rPr>
        <w:t xml:space="preserve"> </w:t>
      </w:r>
      <w:r>
        <w:t>2021-2022,</w:t>
      </w:r>
      <w:r>
        <w:rPr>
          <w:spacing w:val="-9"/>
        </w:rPr>
        <w:t xml:space="preserve"> </w:t>
      </w:r>
      <w:r>
        <w:t>a</w:t>
      </w:r>
      <w:r>
        <w:rPr>
          <w:spacing w:val="-10"/>
        </w:rPr>
        <w:t xml:space="preserve"> </w:t>
      </w:r>
      <w:r>
        <w:t>total</w:t>
      </w:r>
      <w:r>
        <w:rPr>
          <w:spacing w:val="-8"/>
        </w:rPr>
        <w:t xml:space="preserve"> </w:t>
      </w:r>
      <w:r>
        <w:t>of</w:t>
      </w:r>
      <w:r>
        <w:rPr>
          <w:spacing w:val="-58"/>
        </w:rPr>
        <w:t xml:space="preserve"> </w:t>
      </w:r>
      <w:r>
        <w:t>EUR 799.23</w:t>
      </w:r>
      <w:r>
        <w:rPr>
          <w:spacing w:val="-1"/>
        </w:rPr>
        <w:t xml:space="preserve"> </w:t>
      </w:r>
      <w:r>
        <w:t>million).</w:t>
      </w:r>
    </w:p>
    <w:p w:rsidR="00A56FE9" w:rsidRDefault="00000000">
      <w:pPr>
        <w:pStyle w:val="Tijeloteksta"/>
        <w:spacing w:before="120"/>
        <w:ind w:right="273"/>
      </w:pPr>
      <w:r>
        <w:t>Overall and looking into the 2021-2027 financial period for the Republic of Croatia, slightly</w:t>
      </w:r>
      <w:r>
        <w:rPr>
          <w:spacing w:val="1"/>
        </w:rPr>
        <w:t xml:space="preserve"> </w:t>
      </w:r>
      <w:r>
        <w:t>more than EUR 14 billion were provided from the MFF, and almost EUR 11 billion from the</w:t>
      </w:r>
      <w:r>
        <w:rPr>
          <w:spacing w:val="1"/>
        </w:rPr>
        <w:t xml:space="preserve"> </w:t>
      </w:r>
      <w:r>
        <w:t>Recovery Instrument / Next Generation EU (including loans), at current prices. In terms of the</w:t>
      </w:r>
      <w:r>
        <w:rPr>
          <w:spacing w:val="-57"/>
        </w:rPr>
        <w:t xml:space="preserve"> </w:t>
      </w:r>
      <w:r>
        <w:t>Cohesion</w:t>
      </w:r>
      <w:r>
        <w:rPr>
          <w:spacing w:val="-6"/>
        </w:rPr>
        <w:t xml:space="preserve"> </w:t>
      </w:r>
      <w:r>
        <w:t>Policy,</w:t>
      </w:r>
      <w:r>
        <w:rPr>
          <w:spacing w:val="-6"/>
        </w:rPr>
        <w:t xml:space="preserve"> </w:t>
      </w:r>
      <w:r>
        <w:t>EUR</w:t>
      </w:r>
      <w:r>
        <w:rPr>
          <w:spacing w:val="-6"/>
        </w:rPr>
        <w:t xml:space="preserve"> </w:t>
      </w:r>
      <w:r>
        <w:t>9.3</w:t>
      </w:r>
      <w:r>
        <w:rPr>
          <w:spacing w:val="-6"/>
        </w:rPr>
        <w:t xml:space="preserve"> </w:t>
      </w:r>
      <w:r>
        <w:t>billion</w:t>
      </w:r>
      <w:r>
        <w:rPr>
          <w:spacing w:val="-6"/>
        </w:rPr>
        <w:t xml:space="preserve"> </w:t>
      </w:r>
      <w:r>
        <w:t>(MFF</w:t>
      </w:r>
      <w:r>
        <w:rPr>
          <w:spacing w:val="-8"/>
        </w:rPr>
        <w:t xml:space="preserve"> </w:t>
      </w:r>
      <w:r>
        <w:t>and</w:t>
      </w:r>
      <w:r>
        <w:rPr>
          <w:spacing w:val="-6"/>
        </w:rPr>
        <w:t xml:space="preserve"> </w:t>
      </w:r>
      <w:r>
        <w:t>NGEU)</w:t>
      </w:r>
      <w:r>
        <w:rPr>
          <w:spacing w:val="-6"/>
        </w:rPr>
        <w:t xml:space="preserve"> </w:t>
      </w:r>
      <w:r>
        <w:t>is</w:t>
      </w:r>
      <w:r>
        <w:rPr>
          <w:spacing w:val="-6"/>
        </w:rPr>
        <w:t xml:space="preserve"> </w:t>
      </w:r>
      <w:r>
        <w:t>available</w:t>
      </w:r>
      <w:r>
        <w:rPr>
          <w:spacing w:val="-7"/>
        </w:rPr>
        <w:t xml:space="preserve"> </w:t>
      </w:r>
      <w:r>
        <w:t>for</w:t>
      </w:r>
      <w:r>
        <w:rPr>
          <w:spacing w:val="-8"/>
        </w:rPr>
        <w:t xml:space="preserve"> </w:t>
      </w:r>
      <w:r>
        <w:t>the</w:t>
      </w:r>
      <w:r>
        <w:rPr>
          <w:spacing w:val="-7"/>
        </w:rPr>
        <w:t xml:space="preserve"> </w:t>
      </w:r>
      <w:r>
        <w:t>Republic</w:t>
      </w:r>
      <w:r>
        <w:rPr>
          <w:spacing w:val="-7"/>
        </w:rPr>
        <w:t xml:space="preserve"> </w:t>
      </w:r>
      <w:r>
        <w:t>of</w:t>
      </w:r>
      <w:r>
        <w:rPr>
          <w:spacing w:val="-6"/>
        </w:rPr>
        <w:t xml:space="preserve"> </w:t>
      </w:r>
      <w:r>
        <w:t>Croatia,</w:t>
      </w:r>
      <w:r>
        <w:rPr>
          <w:spacing w:val="-6"/>
        </w:rPr>
        <w:t xml:space="preserve"> </w:t>
      </w:r>
      <w:r>
        <w:t>at</w:t>
      </w:r>
      <w:r>
        <w:rPr>
          <w:spacing w:val="-58"/>
        </w:rPr>
        <w:t xml:space="preserve"> </w:t>
      </w:r>
      <w:r>
        <w:t>current</w:t>
      </w:r>
      <w:r>
        <w:rPr>
          <w:spacing w:val="1"/>
        </w:rPr>
        <w:t xml:space="preserve"> </w:t>
      </w:r>
      <w:r>
        <w:t>prices.</w:t>
      </w:r>
      <w:r>
        <w:rPr>
          <w:spacing w:val="1"/>
        </w:rPr>
        <w:t xml:space="preserve"> </w:t>
      </w:r>
      <w:r>
        <w:t>This</w:t>
      </w:r>
      <w:r>
        <w:rPr>
          <w:spacing w:val="1"/>
        </w:rPr>
        <w:t xml:space="preserve"> </w:t>
      </w:r>
      <w:r>
        <w:t>amount,</w:t>
      </w:r>
      <w:r>
        <w:rPr>
          <w:spacing w:val="1"/>
        </w:rPr>
        <w:t xml:space="preserve"> </w:t>
      </w:r>
      <w:r>
        <w:t>in</w:t>
      </w:r>
      <w:r>
        <w:rPr>
          <w:spacing w:val="1"/>
        </w:rPr>
        <w:t xml:space="preserve"> </w:t>
      </w:r>
      <w:r>
        <w:t>addition</w:t>
      </w:r>
      <w:r>
        <w:rPr>
          <w:spacing w:val="1"/>
        </w:rPr>
        <w:t xml:space="preserve"> </w:t>
      </w:r>
      <w:r>
        <w:t>to</w:t>
      </w:r>
      <w:r>
        <w:rPr>
          <w:spacing w:val="1"/>
        </w:rPr>
        <w:t xml:space="preserve"> </w:t>
      </w:r>
      <w:r>
        <w:t>the already existing European</w:t>
      </w:r>
      <w:r>
        <w:rPr>
          <w:spacing w:val="1"/>
        </w:rPr>
        <w:t xml:space="preserve"> </w:t>
      </w:r>
      <w:r>
        <w:t>Structural</w:t>
      </w:r>
      <w:r>
        <w:rPr>
          <w:spacing w:val="1"/>
        </w:rPr>
        <w:t xml:space="preserve"> </w:t>
      </w:r>
      <w:r>
        <w:t>and</w:t>
      </w:r>
      <w:r>
        <w:rPr>
          <w:spacing w:val="1"/>
        </w:rPr>
        <w:t xml:space="preserve"> </w:t>
      </w:r>
      <w:r>
        <w:t>Investment Funds (European Regional Development Fund, Cohesion Fund, European Social</w:t>
      </w:r>
      <w:r>
        <w:rPr>
          <w:spacing w:val="1"/>
        </w:rPr>
        <w:t xml:space="preserve"> </w:t>
      </w:r>
      <w:r>
        <w:rPr>
          <w:spacing w:val="-1"/>
        </w:rPr>
        <w:t>Fund</w:t>
      </w:r>
      <w:r>
        <w:rPr>
          <w:spacing w:val="-12"/>
        </w:rPr>
        <w:t xml:space="preserve"> </w:t>
      </w:r>
      <w:r>
        <w:rPr>
          <w:spacing w:val="-1"/>
        </w:rPr>
        <w:t>Plus),</w:t>
      </w:r>
      <w:r>
        <w:rPr>
          <w:spacing w:val="-12"/>
        </w:rPr>
        <w:t xml:space="preserve"> </w:t>
      </w:r>
      <w:r>
        <w:t>includes</w:t>
      </w:r>
      <w:r>
        <w:rPr>
          <w:spacing w:val="-11"/>
        </w:rPr>
        <w:t xml:space="preserve"> </w:t>
      </w:r>
      <w:r>
        <w:t>the</w:t>
      </w:r>
      <w:r>
        <w:rPr>
          <w:spacing w:val="-11"/>
        </w:rPr>
        <w:t xml:space="preserve"> </w:t>
      </w:r>
      <w:r>
        <w:t>Just</w:t>
      </w:r>
      <w:r>
        <w:rPr>
          <w:spacing w:val="-11"/>
        </w:rPr>
        <w:t xml:space="preserve"> </w:t>
      </w:r>
      <w:r>
        <w:t>Transition</w:t>
      </w:r>
      <w:r>
        <w:rPr>
          <w:spacing w:val="-11"/>
        </w:rPr>
        <w:t xml:space="preserve"> </w:t>
      </w:r>
      <w:r>
        <w:t>Fund</w:t>
      </w:r>
      <w:r>
        <w:rPr>
          <w:spacing w:val="-12"/>
        </w:rPr>
        <w:t xml:space="preserve"> </w:t>
      </w:r>
      <w:r>
        <w:t>financed</w:t>
      </w:r>
      <w:r>
        <w:rPr>
          <w:spacing w:val="-12"/>
        </w:rPr>
        <w:t xml:space="preserve"> </w:t>
      </w:r>
      <w:r>
        <w:t>from</w:t>
      </w:r>
      <w:r>
        <w:rPr>
          <w:spacing w:val="-12"/>
        </w:rPr>
        <w:t xml:space="preserve"> </w:t>
      </w:r>
      <w:r>
        <w:t>the</w:t>
      </w:r>
      <w:r>
        <w:rPr>
          <w:spacing w:val="-13"/>
        </w:rPr>
        <w:t xml:space="preserve"> </w:t>
      </w:r>
      <w:r>
        <w:t>two</w:t>
      </w:r>
      <w:r>
        <w:rPr>
          <w:spacing w:val="-12"/>
        </w:rPr>
        <w:t xml:space="preserve"> </w:t>
      </w:r>
      <w:r>
        <w:t>sources</w:t>
      </w:r>
      <w:r>
        <w:rPr>
          <w:spacing w:val="-7"/>
        </w:rPr>
        <w:t xml:space="preserve"> </w:t>
      </w:r>
      <w:r>
        <w:t>already</w:t>
      </w:r>
      <w:r>
        <w:rPr>
          <w:spacing w:val="-17"/>
        </w:rPr>
        <w:t xml:space="preserve"> </w:t>
      </w:r>
      <w:r>
        <w:t>mentioned,</w:t>
      </w:r>
      <w:r>
        <w:rPr>
          <w:spacing w:val="-58"/>
        </w:rPr>
        <w:t xml:space="preserve"> </w:t>
      </w:r>
      <w:r>
        <w:t>the</w:t>
      </w:r>
      <w:r>
        <w:rPr>
          <w:spacing w:val="-1"/>
        </w:rPr>
        <w:t xml:space="preserve"> </w:t>
      </w:r>
      <w:r>
        <w:t>MFF and the NGEU.</w:t>
      </w:r>
    </w:p>
    <w:p w:rsidR="00A56FE9" w:rsidRDefault="00000000">
      <w:pPr>
        <w:pStyle w:val="Tijeloteksta"/>
        <w:spacing w:before="121"/>
        <w:ind w:right="275"/>
      </w:pPr>
      <w:r>
        <w:t>By</w:t>
      </w:r>
      <w:r>
        <w:rPr>
          <w:spacing w:val="-9"/>
        </w:rPr>
        <w:t xml:space="preserve"> </w:t>
      </w:r>
      <w:r>
        <w:t>10</w:t>
      </w:r>
      <w:r>
        <w:rPr>
          <w:spacing w:val="-4"/>
        </w:rPr>
        <w:t xml:space="preserve"> </w:t>
      </w:r>
      <w:r>
        <w:t>February</w:t>
      </w:r>
      <w:r>
        <w:rPr>
          <w:spacing w:val="-8"/>
        </w:rPr>
        <w:t xml:space="preserve"> </w:t>
      </w:r>
      <w:r>
        <w:t>2022,</w:t>
      </w:r>
      <w:r>
        <w:rPr>
          <w:spacing w:val="-4"/>
        </w:rPr>
        <w:t xml:space="preserve"> </w:t>
      </w:r>
      <w:r>
        <w:t>of the</w:t>
      </w:r>
      <w:r>
        <w:rPr>
          <w:spacing w:val="-5"/>
        </w:rPr>
        <w:t xml:space="preserve"> </w:t>
      </w:r>
      <w:r>
        <w:t>total</w:t>
      </w:r>
      <w:r>
        <w:rPr>
          <w:spacing w:val="-3"/>
        </w:rPr>
        <w:t xml:space="preserve"> </w:t>
      </w:r>
      <w:r>
        <w:t>EISF</w:t>
      </w:r>
      <w:r>
        <w:rPr>
          <w:spacing w:val="-4"/>
        </w:rPr>
        <w:t xml:space="preserve"> </w:t>
      </w:r>
      <w:r>
        <w:t>allocation</w:t>
      </w:r>
      <w:r>
        <w:rPr>
          <w:spacing w:val="-1"/>
        </w:rPr>
        <w:t xml:space="preserve"> </w:t>
      </w:r>
      <w:r>
        <w:t>of</w:t>
      </w:r>
      <w:r>
        <w:rPr>
          <w:spacing w:val="-1"/>
        </w:rPr>
        <w:t xml:space="preserve"> </w:t>
      </w:r>
      <w:r>
        <w:t>EUR</w:t>
      </w:r>
      <w:r>
        <w:rPr>
          <w:spacing w:val="-3"/>
        </w:rPr>
        <w:t xml:space="preserve"> </w:t>
      </w:r>
      <w:r>
        <w:t>10.73</w:t>
      </w:r>
      <w:r>
        <w:rPr>
          <w:spacing w:val="-4"/>
        </w:rPr>
        <w:t xml:space="preserve"> </w:t>
      </w:r>
      <w:r>
        <w:t>billion,</w:t>
      </w:r>
      <w:r>
        <w:rPr>
          <w:spacing w:val="-2"/>
        </w:rPr>
        <w:t xml:space="preserve"> </w:t>
      </w:r>
      <w:r>
        <w:t>the</w:t>
      </w:r>
      <w:r>
        <w:rPr>
          <w:spacing w:val="-4"/>
        </w:rPr>
        <w:t xml:space="preserve"> </w:t>
      </w:r>
      <w:r>
        <w:t>contracted amount</w:t>
      </w:r>
      <w:r>
        <w:rPr>
          <w:spacing w:val="-58"/>
        </w:rPr>
        <w:t xml:space="preserve"> </w:t>
      </w:r>
      <w:r>
        <w:t>is</w:t>
      </w:r>
      <w:r>
        <w:rPr>
          <w:spacing w:val="-1"/>
        </w:rPr>
        <w:t xml:space="preserve"> </w:t>
      </w:r>
      <w:r>
        <w:t>EUR 13.34 billion, or</w:t>
      </w:r>
      <w:r>
        <w:rPr>
          <w:spacing w:val="-4"/>
        </w:rPr>
        <w:t xml:space="preserve"> </w:t>
      </w:r>
      <w:r>
        <w:t>124.29%</w:t>
      </w:r>
      <w:r>
        <w:rPr>
          <w:spacing w:val="-1"/>
        </w:rPr>
        <w:t xml:space="preserve"> </w:t>
      </w:r>
      <w:r>
        <w:t>of the</w:t>
      </w:r>
      <w:r>
        <w:rPr>
          <w:spacing w:val="-2"/>
        </w:rPr>
        <w:t xml:space="preserve"> </w:t>
      </w:r>
      <w:r>
        <w:t>allocated</w:t>
      </w:r>
      <w:r>
        <w:rPr>
          <w:spacing w:val="1"/>
        </w:rPr>
        <w:t xml:space="preserve"> </w:t>
      </w:r>
      <w:r>
        <w:t>funds.</w:t>
      </w:r>
    </w:p>
    <w:p w:rsidR="00A56FE9" w:rsidRDefault="00000000">
      <w:pPr>
        <w:pStyle w:val="Tijeloteksta"/>
        <w:spacing w:before="120"/>
        <w:ind w:right="274"/>
      </w:pPr>
      <w:r>
        <w:t>The Operational Programme Competitiveness and Cohesion (OPCC) has the best percentage</w:t>
      </w:r>
      <w:r>
        <w:rPr>
          <w:spacing w:val="1"/>
        </w:rPr>
        <w:t xml:space="preserve"> </w:t>
      </w:r>
      <w:r>
        <w:t>of contracted funds (132.99%), whereas the Maritime and Fisheries Operational Programme</w:t>
      </w:r>
      <w:r>
        <w:rPr>
          <w:spacing w:val="1"/>
        </w:rPr>
        <w:t xml:space="preserve"> </w:t>
      </w:r>
      <w:r>
        <w:t>(EMFF) has the lowest percentage of contracted funds (98.10%). According to the contracted</w:t>
      </w:r>
      <w:r>
        <w:rPr>
          <w:spacing w:val="1"/>
        </w:rPr>
        <w:t xml:space="preserve"> </w:t>
      </w:r>
      <w:r>
        <w:t>projects, EUR 7.13 billion have been paid so far, or 66.47% of the allocated funds. The best</w:t>
      </w:r>
      <w:r>
        <w:rPr>
          <w:spacing w:val="1"/>
        </w:rPr>
        <w:t xml:space="preserve"> </w:t>
      </w:r>
      <w:r>
        <w:rPr>
          <w:spacing w:val="-1"/>
        </w:rPr>
        <w:t>percentage</w:t>
      </w:r>
      <w:r>
        <w:rPr>
          <w:spacing w:val="-11"/>
        </w:rPr>
        <w:t xml:space="preserve"> </w:t>
      </w:r>
      <w:r>
        <w:rPr>
          <w:spacing w:val="-1"/>
        </w:rPr>
        <w:t>of</w:t>
      </w:r>
      <w:r>
        <w:rPr>
          <w:spacing w:val="-10"/>
        </w:rPr>
        <w:t xml:space="preserve"> </w:t>
      </w:r>
      <w:r>
        <w:t>disbursed</w:t>
      </w:r>
      <w:r>
        <w:rPr>
          <w:spacing w:val="-10"/>
        </w:rPr>
        <w:t xml:space="preserve"> </w:t>
      </w:r>
      <w:r>
        <w:t>funds</w:t>
      </w:r>
      <w:r>
        <w:rPr>
          <w:spacing w:val="-8"/>
        </w:rPr>
        <w:t xml:space="preserve"> </w:t>
      </w:r>
      <w:r>
        <w:t>is</w:t>
      </w:r>
      <w:r>
        <w:rPr>
          <w:spacing w:val="-9"/>
        </w:rPr>
        <w:t xml:space="preserve"> </w:t>
      </w:r>
      <w:r>
        <w:t>recorded</w:t>
      </w:r>
      <w:r>
        <w:rPr>
          <w:spacing w:val="-8"/>
        </w:rPr>
        <w:t xml:space="preserve"> </w:t>
      </w:r>
      <w:r>
        <w:t>by</w:t>
      </w:r>
      <w:r>
        <w:rPr>
          <w:spacing w:val="-15"/>
        </w:rPr>
        <w:t xml:space="preserve"> </w:t>
      </w:r>
      <w:r>
        <w:t>the</w:t>
      </w:r>
      <w:r>
        <w:rPr>
          <w:spacing w:val="-11"/>
        </w:rPr>
        <w:t xml:space="preserve"> </w:t>
      </w:r>
      <w:r>
        <w:t>Rural</w:t>
      </w:r>
      <w:r>
        <w:rPr>
          <w:spacing w:val="-10"/>
        </w:rPr>
        <w:t xml:space="preserve"> </w:t>
      </w:r>
      <w:r>
        <w:t>Development</w:t>
      </w:r>
      <w:r>
        <w:rPr>
          <w:spacing w:val="-10"/>
        </w:rPr>
        <w:t xml:space="preserve"> </w:t>
      </w:r>
      <w:r>
        <w:t>Program</w:t>
      </w:r>
      <w:r>
        <w:rPr>
          <w:spacing w:val="-10"/>
        </w:rPr>
        <w:t xml:space="preserve"> </w:t>
      </w:r>
      <w:r>
        <w:t>(RDP)</w:t>
      </w:r>
      <w:r>
        <w:rPr>
          <w:spacing w:val="-10"/>
        </w:rPr>
        <w:t xml:space="preserve"> </w:t>
      </w:r>
      <w:r>
        <w:t>(82.32%),</w:t>
      </w:r>
      <w:r>
        <w:rPr>
          <w:spacing w:val="-57"/>
        </w:rPr>
        <w:t xml:space="preserve"> </w:t>
      </w:r>
      <w:r>
        <w:t>whereas the worst percentage of disbursed funds is recorded by the Maritime and Fisheries</w:t>
      </w:r>
      <w:r>
        <w:rPr>
          <w:spacing w:val="1"/>
        </w:rPr>
        <w:t xml:space="preserve"> </w:t>
      </w:r>
      <w:r>
        <w:t>Operational Programme (49.47%). A total of EUR 6.03 billion was certified, which represents</w:t>
      </w:r>
      <w:r>
        <w:rPr>
          <w:spacing w:val="-57"/>
        </w:rPr>
        <w:t xml:space="preserve"> </w:t>
      </w:r>
      <w:r>
        <w:t>56.17% of the allocated funds. The best percentage of certified funds is recorded by RDP</w:t>
      </w:r>
      <w:r>
        <w:rPr>
          <w:spacing w:val="1"/>
        </w:rPr>
        <w:t xml:space="preserve"> </w:t>
      </w:r>
      <w:r>
        <w:t>(81.05%),</w:t>
      </w:r>
      <w:r>
        <w:rPr>
          <w:spacing w:val="1"/>
        </w:rPr>
        <w:t xml:space="preserve"> </w:t>
      </w:r>
      <w:r>
        <w:t>whereas</w:t>
      </w:r>
      <w:r>
        <w:rPr>
          <w:spacing w:val="1"/>
        </w:rPr>
        <w:t xml:space="preserve"> </w:t>
      </w:r>
      <w:r>
        <w:t>the</w:t>
      </w:r>
      <w:r>
        <w:rPr>
          <w:spacing w:val="1"/>
        </w:rPr>
        <w:t xml:space="preserve"> </w:t>
      </w:r>
      <w:r>
        <w:t>worst</w:t>
      </w:r>
      <w:r>
        <w:rPr>
          <w:spacing w:val="1"/>
        </w:rPr>
        <w:t xml:space="preserve"> </w:t>
      </w:r>
      <w:r>
        <w:t>percentage</w:t>
      </w:r>
      <w:r>
        <w:rPr>
          <w:spacing w:val="1"/>
        </w:rPr>
        <w:t xml:space="preserve"> </w:t>
      </w:r>
      <w:r>
        <w:t>of</w:t>
      </w:r>
      <w:r>
        <w:rPr>
          <w:spacing w:val="1"/>
        </w:rPr>
        <w:t xml:space="preserve"> </w:t>
      </w:r>
      <w:r>
        <w:t>certified</w:t>
      </w:r>
      <w:r>
        <w:rPr>
          <w:spacing w:val="1"/>
        </w:rPr>
        <w:t xml:space="preserve"> </w:t>
      </w:r>
      <w:r>
        <w:t>funds</w:t>
      </w:r>
      <w:r>
        <w:rPr>
          <w:spacing w:val="1"/>
        </w:rPr>
        <w:t xml:space="preserve"> </w:t>
      </w:r>
      <w:r>
        <w:t>is</w:t>
      </w:r>
      <w:r>
        <w:rPr>
          <w:spacing w:val="1"/>
        </w:rPr>
        <w:t xml:space="preserve"> </w:t>
      </w:r>
      <w:r>
        <w:t>recorded</w:t>
      </w:r>
      <w:r>
        <w:rPr>
          <w:spacing w:val="1"/>
        </w:rPr>
        <w:t xml:space="preserve"> </w:t>
      </w:r>
      <w:r>
        <w:t>by</w:t>
      </w:r>
      <w:r>
        <w:rPr>
          <w:spacing w:val="1"/>
        </w:rPr>
        <w:t xml:space="preserve"> </w:t>
      </w:r>
      <w:r>
        <w:t>Maritime</w:t>
      </w:r>
      <w:r>
        <w:rPr>
          <w:spacing w:val="1"/>
        </w:rPr>
        <w:t xml:space="preserve"> </w:t>
      </w:r>
      <w:r>
        <w:t>and</w:t>
      </w:r>
      <w:r>
        <w:rPr>
          <w:spacing w:val="-57"/>
        </w:rPr>
        <w:t xml:space="preserve"> </w:t>
      </w:r>
      <w:r>
        <w:t>Fisheries Operational Programme (49.16%). Continued growth in the utilisation of funds</w:t>
      </w:r>
      <w:r>
        <w:rPr>
          <w:spacing w:val="1"/>
        </w:rPr>
        <w:t xml:space="preserve"> </w:t>
      </w:r>
      <w:r>
        <w:t>indicates</w:t>
      </w:r>
      <w:r>
        <w:rPr>
          <w:spacing w:val="-15"/>
        </w:rPr>
        <w:t xml:space="preserve"> </w:t>
      </w:r>
      <w:r>
        <w:t>the</w:t>
      </w:r>
      <w:r>
        <w:rPr>
          <w:spacing w:val="-15"/>
        </w:rPr>
        <w:t xml:space="preserve"> </w:t>
      </w:r>
      <w:r>
        <w:t>progress</w:t>
      </w:r>
      <w:r>
        <w:rPr>
          <w:spacing w:val="-12"/>
        </w:rPr>
        <w:t xml:space="preserve"> </w:t>
      </w:r>
      <w:r>
        <w:t>made</w:t>
      </w:r>
      <w:r>
        <w:rPr>
          <w:spacing w:val="-16"/>
        </w:rPr>
        <w:t xml:space="preserve"> </w:t>
      </w:r>
      <w:r>
        <w:t>in</w:t>
      </w:r>
      <w:r>
        <w:rPr>
          <w:spacing w:val="-14"/>
        </w:rPr>
        <w:t xml:space="preserve"> </w:t>
      </w:r>
      <w:r>
        <w:t>the</w:t>
      </w:r>
      <w:r>
        <w:rPr>
          <w:spacing w:val="-13"/>
        </w:rPr>
        <w:t xml:space="preserve"> </w:t>
      </w:r>
      <w:r>
        <w:t>use</w:t>
      </w:r>
      <w:r>
        <w:rPr>
          <w:spacing w:val="-16"/>
        </w:rPr>
        <w:t xml:space="preserve"> </w:t>
      </w:r>
      <w:r>
        <w:t>of</w:t>
      </w:r>
      <w:r>
        <w:rPr>
          <w:spacing w:val="-16"/>
        </w:rPr>
        <w:t xml:space="preserve"> </w:t>
      </w:r>
      <w:r>
        <w:t>ESI</w:t>
      </w:r>
      <w:r>
        <w:rPr>
          <w:spacing w:val="-16"/>
        </w:rPr>
        <w:t xml:space="preserve"> </w:t>
      </w:r>
      <w:r>
        <w:t>funds.</w:t>
      </w:r>
      <w:r>
        <w:rPr>
          <w:spacing w:val="-15"/>
        </w:rPr>
        <w:t xml:space="preserve"> </w:t>
      </w:r>
      <w:r>
        <w:t>By</w:t>
      </w:r>
      <w:r>
        <w:rPr>
          <w:spacing w:val="-16"/>
        </w:rPr>
        <w:t xml:space="preserve"> </w:t>
      </w:r>
      <w:r>
        <w:t>10</w:t>
      </w:r>
      <w:r>
        <w:rPr>
          <w:spacing w:val="-12"/>
        </w:rPr>
        <w:t xml:space="preserve"> </w:t>
      </w:r>
      <w:r>
        <w:t>February</w:t>
      </w:r>
      <w:r>
        <w:rPr>
          <w:spacing w:val="-20"/>
        </w:rPr>
        <w:t xml:space="preserve"> </w:t>
      </w:r>
      <w:r>
        <w:t>2022,</w:t>
      </w:r>
      <w:r>
        <w:rPr>
          <w:spacing w:val="-13"/>
        </w:rPr>
        <w:t xml:space="preserve"> </w:t>
      </w:r>
      <w:r>
        <w:t>a</w:t>
      </w:r>
      <w:r>
        <w:rPr>
          <w:spacing w:val="-14"/>
        </w:rPr>
        <w:t xml:space="preserve"> </w:t>
      </w:r>
      <w:r>
        <w:t>total</w:t>
      </w:r>
      <w:r>
        <w:rPr>
          <w:spacing w:val="-14"/>
        </w:rPr>
        <w:t xml:space="preserve"> </w:t>
      </w:r>
      <w:r>
        <w:t>of</w:t>
      </w:r>
      <w:r>
        <w:rPr>
          <w:spacing w:val="-10"/>
        </w:rPr>
        <w:t xml:space="preserve"> </w:t>
      </w:r>
      <w:r>
        <w:t>EUR</w:t>
      </w:r>
      <w:r>
        <w:rPr>
          <w:spacing w:val="-12"/>
        </w:rPr>
        <w:t xml:space="preserve"> </w:t>
      </w:r>
      <w:r>
        <w:t>129.64</w:t>
      </w:r>
      <w:r>
        <w:rPr>
          <w:spacing w:val="-57"/>
        </w:rPr>
        <w:t xml:space="preserve"> </w:t>
      </w:r>
      <w:r>
        <w:t>million</w:t>
      </w:r>
      <w:r>
        <w:rPr>
          <w:spacing w:val="-1"/>
        </w:rPr>
        <w:t xml:space="preserve"> </w:t>
      </w:r>
      <w:r>
        <w:t>had</w:t>
      </w:r>
      <w:r>
        <w:rPr>
          <w:spacing w:val="-1"/>
        </w:rPr>
        <w:t xml:space="preserve"> </w:t>
      </w:r>
      <w:r>
        <w:t>been</w:t>
      </w:r>
      <w:r>
        <w:rPr>
          <w:spacing w:val="-1"/>
        </w:rPr>
        <w:t xml:space="preserve"> </w:t>
      </w:r>
      <w:r>
        <w:t>contracted</w:t>
      </w:r>
      <w:r>
        <w:rPr>
          <w:spacing w:val="-1"/>
        </w:rPr>
        <w:t xml:space="preserve"> </w:t>
      </w:r>
      <w:r>
        <w:t>and EUR</w:t>
      </w:r>
      <w:r>
        <w:rPr>
          <w:spacing w:val="-1"/>
        </w:rPr>
        <w:t xml:space="preserve"> </w:t>
      </w:r>
      <w:r>
        <w:t>3.90 million</w:t>
      </w:r>
      <w:r>
        <w:rPr>
          <w:spacing w:val="-1"/>
        </w:rPr>
        <w:t xml:space="preserve"> </w:t>
      </w:r>
      <w:r>
        <w:t>had</w:t>
      </w:r>
      <w:r>
        <w:rPr>
          <w:spacing w:val="-1"/>
        </w:rPr>
        <w:t xml:space="preserve"> </w:t>
      </w:r>
      <w:r>
        <w:t>been</w:t>
      </w:r>
      <w:r>
        <w:rPr>
          <w:spacing w:val="-1"/>
        </w:rPr>
        <w:t xml:space="preserve"> </w:t>
      </w:r>
      <w:r>
        <w:t>paid</w:t>
      </w:r>
      <w:r>
        <w:rPr>
          <w:spacing w:val="-1"/>
        </w:rPr>
        <w:t xml:space="preserve"> </w:t>
      </w:r>
      <w:r>
        <w:t>through</w:t>
      </w:r>
      <w:r>
        <w:rPr>
          <w:spacing w:val="-1"/>
        </w:rPr>
        <w:t xml:space="preserve"> </w:t>
      </w:r>
      <w:r>
        <w:t>the</w:t>
      </w:r>
      <w:r>
        <w:rPr>
          <w:spacing w:val="-1"/>
        </w:rPr>
        <w:t xml:space="preserve"> </w:t>
      </w:r>
      <w:r>
        <w:t>REACT</w:t>
      </w:r>
      <w:r>
        <w:rPr>
          <w:spacing w:val="1"/>
        </w:rPr>
        <w:t xml:space="preserve"> </w:t>
      </w:r>
      <w:r>
        <w:t>OPCC.</w:t>
      </w:r>
    </w:p>
    <w:p w:rsidR="00A56FE9" w:rsidRDefault="00A56FE9">
      <w:pPr>
        <w:pStyle w:val="Tijeloteksta"/>
        <w:ind w:left="0"/>
        <w:jc w:val="left"/>
        <w:rPr>
          <w:sz w:val="20"/>
        </w:rPr>
      </w:pPr>
    </w:p>
    <w:p w:rsidR="00A56FE9" w:rsidRDefault="00000000">
      <w:pPr>
        <w:spacing w:before="250"/>
        <w:ind w:left="1216"/>
        <w:rPr>
          <w:b/>
          <w:sz w:val="28"/>
        </w:rPr>
      </w:pPr>
      <w:r>
        <w:rPr>
          <w:noProof/>
        </w:rPr>
        <w:drawing>
          <wp:anchor distT="0" distB="0" distL="0" distR="0" simplePos="0" relativeHeight="15845376" behindDoc="0" locked="0" layoutInCell="1" allowOverlap="1">
            <wp:simplePos x="0" y="0"/>
            <wp:positionH relativeFrom="page">
              <wp:posOffset>1082097</wp:posOffset>
            </wp:positionH>
            <wp:positionV relativeFrom="paragraph">
              <wp:posOffset>203158</wp:posOffset>
            </wp:positionV>
            <wp:extent cx="300932" cy="125648"/>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21" cstate="print"/>
                    <a:stretch>
                      <a:fillRect/>
                    </a:stretch>
                  </pic:blipFill>
                  <pic:spPr>
                    <a:xfrm>
                      <a:off x="0" y="0"/>
                      <a:ext cx="300932" cy="125648"/>
                    </a:xfrm>
                    <a:prstGeom prst="rect">
                      <a:avLst/>
                    </a:prstGeom>
                  </pic:spPr>
                </pic:pic>
              </a:graphicData>
            </a:graphic>
          </wp:anchor>
        </w:drawing>
      </w:r>
      <w:r>
        <w:rPr>
          <w:b/>
          <w:color w:val="003399"/>
          <w:sz w:val="28"/>
        </w:rPr>
        <w:t>Progress in</w:t>
      </w:r>
      <w:r>
        <w:rPr>
          <w:b/>
          <w:color w:val="003399"/>
          <w:spacing w:val="-1"/>
          <w:sz w:val="28"/>
        </w:rPr>
        <w:t xml:space="preserve"> </w:t>
      </w:r>
      <w:r>
        <w:rPr>
          <w:b/>
          <w:color w:val="003399"/>
          <w:sz w:val="28"/>
        </w:rPr>
        <w:t>the</w:t>
      </w:r>
      <w:r>
        <w:rPr>
          <w:b/>
          <w:color w:val="003399"/>
          <w:spacing w:val="-1"/>
          <w:sz w:val="28"/>
        </w:rPr>
        <w:t xml:space="preserve"> </w:t>
      </w:r>
      <w:r>
        <w:rPr>
          <w:b/>
          <w:color w:val="003399"/>
          <w:sz w:val="28"/>
        </w:rPr>
        <w:t>Use</w:t>
      </w:r>
      <w:r>
        <w:rPr>
          <w:b/>
          <w:color w:val="003399"/>
          <w:spacing w:val="-4"/>
          <w:sz w:val="28"/>
        </w:rPr>
        <w:t xml:space="preserve"> </w:t>
      </w:r>
      <w:r>
        <w:rPr>
          <w:b/>
          <w:color w:val="003399"/>
          <w:sz w:val="28"/>
        </w:rPr>
        <w:t>of EU</w:t>
      </w:r>
      <w:r>
        <w:rPr>
          <w:b/>
          <w:color w:val="003399"/>
          <w:spacing w:val="-3"/>
          <w:sz w:val="28"/>
        </w:rPr>
        <w:t xml:space="preserve"> </w:t>
      </w:r>
      <w:r>
        <w:rPr>
          <w:b/>
          <w:color w:val="003399"/>
          <w:sz w:val="28"/>
        </w:rPr>
        <w:t>Instruments</w:t>
      </w:r>
    </w:p>
    <w:p w:rsidR="00A56FE9" w:rsidRDefault="00000000">
      <w:pPr>
        <w:spacing w:before="192"/>
        <w:ind w:left="138"/>
        <w:rPr>
          <w:b/>
          <w:i/>
          <w:sz w:val="20"/>
        </w:rPr>
      </w:pPr>
      <w:r>
        <w:rPr>
          <w:b/>
          <w:i/>
          <w:color w:val="003399"/>
          <w:sz w:val="20"/>
        </w:rPr>
        <w:t>Table</w:t>
      </w:r>
      <w:r>
        <w:rPr>
          <w:b/>
          <w:i/>
          <w:color w:val="003399"/>
          <w:spacing w:val="-2"/>
          <w:sz w:val="20"/>
        </w:rPr>
        <w:t xml:space="preserve"> </w:t>
      </w:r>
      <w:r>
        <w:rPr>
          <w:b/>
          <w:i/>
          <w:color w:val="003399"/>
          <w:sz w:val="20"/>
        </w:rPr>
        <w:t>2. Utilisation</w:t>
      </w:r>
      <w:r>
        <w:rPr>
          <w:b/>
          <w:i/>
          <w:color w:val="003399"/>
          <w:spacing w:val="-3"/>
          <w:sz w:val="20"/>
        </w:rPr>
        <w:t xml:space="preserve"> </w:t>
      </w:r>
      <w:r>
        <w:rPr>
          <w:b/>
          <w:i/>
          <w:color w:val="003399"/>
          <w:sz w:val="20"/>
        </w:rPr>
        <w:t>of</w:t>
      </w:r>
      <w:r>
        <w:rPr>
          <w:b/>
          <w:i/>
          <w:color w:val="003399"/>
          <w:spacing w:val="-1"/>
          <w:sz w:val="20"/>
        </w:rPr>
        <w:t xml:space="preserve"> </w:t>
      </w:r>
      <w:r>
        <w:rPr>
          <w:b/>
          <w:i/>
          <w:color w:val="003399"/>
          <w:sz w:val="20"/>
        </w:rPr>
        <w:t>centralised</w:t>
      </w:r>
      <w:r>
        <w:rPr>
          <w:b/>
          <w:i/>
          <w:color w:val="003399"/>
          <w:spacing w:val="-1"/>
          <w:sz w:val="20"/>
        </w:rPr>
        <w:t xml:space="preserve"> </w:t>
      </w:r>
      <w:r>
        <w:rPr>
          <w:b/>
          <w:i/>
          <w:color w:val="003399"/>
          <w:sz w:val="20"/>
        </w:rPr>
        <w:t>EU</w:t>
      </w:r>
      <w:r>
        <w:rPr>
          <w:b/>
          <w:i/>
          <w:color w:val="003399"/>
          <w:spacing w:val="-1"/>
          <w:sz w:val="20"/>
        </w:rPr>
        <w:t xml:space="preserve"> </w:t>
      </w:r>
      <w:r>
        <w:rPr>
          <w:b/>
          <w:i/>
          <w:color w:val="003399"/>
          <w:sz w:val="20"/>
        </w:rPr>
        <w:t>instruments</w:t>
      </w:r>
      <w:r>
        <w:rPr>
          <w:b/>
          <w:i/>
          <w:color w:val="003399"/>
          <w:spacing w:val="-3"/>
          <w:sz w:val="20"/>
        </w:rPr>
        <w:t xml:space="preserve"> </w:t>
      </w:r>
      <w:r>
        <w:rPr>
          <w:b/>
          <w:i/>
          <w:color w:val="003399"/>
          <w:sz w:val="20"/>
        </w:rPr>
        <w:t>in</w:t>
      </w:r>
      <w:r>
        <w:rPr>
          <w:b/>
          <w:i/>
          <w:color w:val="003399"/>
          <w:spacing w:val="-2"/>
          <w:sz w:val="20"/>
        </w:rPr>
        <w:t xml:space="preserve"> </w:t>
      </w:r>
      <w:r>
        <w:rPr>
          <w:b/>
          <w:i/>
          <w:color w:val="003399"/>
          <w:sz w:val="20"/>
        </w:rPr>
        <w:t>Croatia</w:t>
      </w:r>
    </w:p>
    <w:p w:rsidR="00A56FE9" w:rsidRDefault="00A56FE9">
      <w:pPr>
        <w:pStyle w:val="Tijeloteksta"/>
        <w:spacing w:before="7"/>
        <w:ind w:left="0"/>
        <w:jc w:val="left"/>
        <w:rPr>
          <w:b/>
          <w:i/>
          <w:sz w:val="15"/>
        </w:rPr>
      </w:pPr>
    </w:p>
    <w:tbl>
      <w:tblPr>
        <w:tblStyle w:val="TableNormal"/>
        <w:tblW w:w="0" w:type="auto"/>
        <w:tblInd w:w="146" w:type="dxa"/>
        <w:tblLayout w:type="fixed"/>
        <w:tblLook w:val="01E0" w:firstRow="1" w:lastRow="1" w:firstColumn="1" w:lastColumn="1" w:noHBand="0" w:noVBand="0"/>
      </w:tblPr>
      <w:tblGrid>
        <w:gridCol w:w="1447"/>
        <w:gridCol w:w="7624"/>
      </w:tblGrid>
      <w:tr w:rsidR="00A56FE9">
        <w:trPr>
          <w:trHeight w:val="326"/>
        </w:trPr>
        <w:tc>
          <w:tcPr>
            <w:tcW w:w="1447" w:type="dxa"/>
            <w:tcBorders>
              <w:bottom w:val="single" w:sz="4" w:space="0" w:color="003399"/>
            </w:tcBorders>
            <w:shd w:val="clear" w:color="auto" w:fill="2C398A"/>
          </w:tcPr>
          <w:p w:rsidR="00A56FE9" w:rsidRDefault="00000000">
            <w:pPr>
              <w:pStyle w:val="TableParagraph"/>
              <w:spacing w:before="43"/>
              <w:ind w:left="287"/>
              <w:rPr>
                <w:b/>
                <w:sz w:val="18"/>
              </w:rPr>
            </w:pPr>
            <w:r>
              <w:rPr>
                <w:b/>
                <w:color w:val="FFFFFF"/>
                <w:sz w:val="18"/>
              </w:rPr>
              <w:t>Instrument</w:t>
            </w:r>
          </w:p>
        </w:tc>
        <w:tc>
          <w:tcPr>
            <w:tcW w:w="7624" w:type="dxa"/>
            <w:tcBorders>
              <w:bottom w:val="single" w:sz="4" w:space="0" w:color="003399"/>
            </w:tcBorders>
            <w:shd w:val="clear" w:color="auto" w:fill="2C398A"/>
          </w:tcPr>
          <w:p w:rsidR="00A56FE9" w:rsidRDefault="00000000">
            <w:pPr>
              <w:pStyle w:val="TableParagraph"/>
              <w:spacing w:before="43"/>
              <w:ind w:left="3134" w:right="3139"/>
              <w:jc w:val="center"/>
              <w:rPr>
                <w:b/>
                <w:sz w:val="18"/>
              </w:rPr>
            </w:pPr>
            <w:r>
              <w:rPr>
                <w:b/>
                <w:color w:val="FFFFFF"/>
                <w:sz w:val="18"/>
              </w:rPr>
              <w:t>Croatia's</w:t>
            </w:r>
            <w:r>
              <w:rPr>
                <w:b/>
                <w:color w:val="FFFFFF"/>
                <w:spacing w:val="-4"/>
                <w:sz w:val="18"/>
              </w:rPr>
              <w:t xml:space="preserve"> </w:t>
            </w:r>
            <w:r>
              <w:rPr>
                <w:b/>
                <w:color w:val="FFFFFF"/>
                <w:sz w:val="18"/>
              </w:rPr>
              <w:t>Results</w:t>
            </w:r>
          </w:p>
        </w:tc>
      </w:tr>
      <w:tr w:rsidR="00A56FE9">
        <w:trPr>
          <w:trHeight w:val="1161"/>
        </w:trPr>
        <w:tc>
          <w:tcPr>
            <w:tcW w:w="1447" w:type="dxa"/>
            <w:tcBorders>
              <w:top w:val="single" w:sz="4" w:space="0" w:color="003399"/>
              <w:bottom w:val="single" w:sz="4" w:space="0" w:color="003399"/>
              <w:right w:val="single" w:sz="4" w:space="0" w:color="003399"/>
            </w:tcBorders>
          </w:tcPr>
          <w:p w:rsidR="00A56FE9" w:rsidRDefault="00000000">
            <w:pPr>
              <w:pStyle w:val="TableParagraph"/>
              <w:spacing w:before="43" w:line="261" w:lineRule="auto"/>
              <w:ind w:left="107" w:right="91" w:firstLine="374"/>
              <w:rPr>
                <w:b/>
                <w:sz w:val="18"/>
              </w:rPr>
            </w:pPr>
            <w:r>
              <w:rPr>
                <w:b/>
                <w:color w:val="DA1F2C"/>
                <w:spacing w:val="-1"/>
                <w:sz w:val="18"/>
              </w:rPr>
              <w:t>Investment</w:t>
            </w:r>
            <w:r>
              <w:rPr>
                <w:b/>
                <w:color w:val="DA1F2C"/>
                <w:spacing w:val="-42"/>
                <w:sz w:val="18"/>
              </w:rPr>
              <w:t xml:space="preserve"> </w:t>
            </w:r>
            <w:r>
              <w:rPr>
                <w:b/>
                <w:color w:val="DA1F2C"/>
                <w:sz w:val="18"/>
              </w:rPr>
              <w:t>plan</w:t>
            </w:r>
            <w:r>
              <w:rPr>
                <w:b/>
                <w:color w:val="DA1F2C"/>
                <w:spacing w:val="-4"/>
                <w:sz w:val="18"/>
              </w:rPr>
              <w:t xml:space="preserve"> </w:t>
            </w:r>
            <w:r>
              <w:rPr>
                <w:b/>
                <w:color w:val="DA1F2C"/>
                <w:sz w:val="18"/>
              </w:rPr>
              <w:t>for</w:t>
            </w:r>
            <w:r>
              <w:rPr>
                <w:b/>
                <w:color w:val="DA1F2C"/>
                <w:spacing w:val="-3"/>
                <w:sz w:val="18"/>
              </w:rPr>
              <w:t xml:space="preserve"> </w:t>
            </w:r>
            <w:r>
              <w:rPr>
                <w:b/>
                <w:color w:val="DA1F2C"/>
                <w:sz w:val="18"/>
              </w:rPr>
              <w:t>Europe</w:t>
            </w:r>
          </w:p>
        </w:tc>
        <w:tc>
          <w:tcPr>
            <w:tcW w:w="7624" w:type="dxa"/>
            <w:tcBorders>
              <w:top w:val="single" w:sz="4" w:space="0" w:color="003399"/>
              <w:left w:val="single" w:sz="4" w:space="0" w:color="003399"/>
              <w:bottom w:val="single" w:sz="4" w:space="0" w:color="003399"/>
            </w:tcBorders>
          </w:tcPr>
          <w:p w:rsidR="00A56FE9" w:rsidRDefault="00000000">
            <w:pPr>
              <w:pStyle w:val="TableParagraph"/>
              <w:spacing w:before="38" w:line="259" w:lineRule="auto"/>
              <w:ind w:left="103" w:right="27"/>
              <w:jc w:val="both"/>
              <w:rPr>
                <w:sz w:val="18"/>
              </w:rPr>
            </w:pPr>
            <w:r>
              <w:rPr>
                <w:sz w:val="18"/>
              </w:rPr>
              <w:t>The total funding under the European Fund for Strategic Investments (EFSI) in Croatia by the end of</w:t>
            </w:r>
            <w:r>
              <w:rPr>
                <w:spacing w:val="1"/>
                <w:sz w:val="18"/>
              </w:rPr>
              <w:t xml:space="preserve"> </w:t>
            </w:r>
            <w:r>
              <w:rPr>
                <w:sz w:val="18"/>
              </w:rPr>
              <w:t>December 2020 amounts to EUR 443 million. The InvestEU instrument, a kind of continuation of the</w:t>
            </w:r>
            <w:r>
              <w:rPr>
                <w:spacing w:val="1"/>
                <w:sz w:val="18"/>
              </w:rPr>
              <w:t xml:space="preserve"> </w:t>
            </w:r>
            <w:r>
              <w:rPr>
                <w:sz w:val="18"/>
              </w:rPr>
              <w:t>Investment</w:t>
            </w:r>
            <w:r>
              <w:rPr>
                <w:spacing w:val="1"/>
                <w:sz w:val="18"/>
              </w:rPr>
              <w:t xml:space="preserve"> </w:t>
            </w:r>
            <w:r>
              <w:rPr>
                <w:sz w:val="18"/>
              </w:rPr>
              <w:t>Plan</w:t>
            </w:r>
            <w:r>
              <w:rPr>
                <w:spacing w:val="1"/>
                <w:sz w:val="18"/>
              </w:rPr>
              <w:t xml:space="preserve"> </w:t>
            </w:r>
            <w:r>
              <w:rPr>
                <w:sz w:val="18"/>
              </w:rPr>
              <w:t>created</w:t>
            </w:r>
            <w:r>
              <w:rPr>
                <w:spacing w:val="1"/>
                <w:sz w:val="18"/>
              </w:rPr>
              <w:t xml:space="preserve"> </w:t>
            </w:r>
            <w:r>
              <w:rPr>
                <w:sz w:val="18"/>
              </w:rPr>
              <w:t>in</w:t>
            </w:r>
            <w:r>
              <w:rPr>
                <w:spacing w:val="1"/>
                <w:sz w:val="18"/>
              </w:rPr>
              <w:t xml:space="preserve"> </w:t>
            </w:r>
            <w:r>
              <w:rPr>
                <w:sz w:val="18"/>
              </w:rPr>
              <w:t>the practice</w:t>
            </w:r>
            <w:r>
              <w:rPr>
                <w:spacing w:val="1"/>
                <w:sz w:val="18"/>
              </w:rPr>
              <w:t xml:space="preserve"> </w:t>
            </w:r>
            <w:r>
              <w:rPr>
                <w:sz w:val="18"/>
              </w:rPr>
              <w:t>of the</w:t>
            </w:r>
            <w:r>
              <w:rPr>
                <w:spacing w:val="1"/>
                <w:sz w:val="18"/>
              </w:rPr>
              <w:t xml:space="preserve"> </w:t>
            </w:r>
            <w:r>
              <w:rPr>
                <w:sz w:val="18"/>
              </w:rPr>
              <w:t>European</w:t>
            </w:r>
            <w:r>
              <w:rPr>
                <w:spacing w:val="1"/>
                <w:sz w:val="18"/>
              </w:rPr>
              <w:t xml:space="preserve"> </w:t>
            </w:r>
            <w:r>
              <w:rPr>
                <w:sz w:val="18"/>
              </w:rPr>
              <w:t>Fund for</w:t>
            </w:r>
            <w:r>
              <w:rPr>
                <w:spacing w:val="1"/>
                <w:sz w:val="18"/>
              </w:rPr>
              <w:t xml:space="preserve"> </w:t>
            </w:r>
            <w:r>
              <w:rPr>
                <w:sz w:val="18"/>
              </w:rPr>
              <w:t>Strategic</w:t>
            </w:r>
            <w:r>
              <w:rPr>
                <w:spacing w:val="1"/>
                <w:sz w:val="18"/>
              </w:rPr>
              <w:t xml:space="preserve"> </w:t>
            </w:r>
            <w:r>
              <w:rPr>
                <w:sz w:val="18"/>
              </w:rPr>
              <w:t>Investments,</w:t>
            </w:r>
            <w:r>
              <w:rPr>
                <w:spacing w:val="1"/>
                <w:sz w:val="18"/>
              </w:rPr>
              <w:t xml:space="preserve"> </w:t>
            </w:r>
            <w:r>
              <w:rPr>
                <w:sz w:val="18"/>
              </w:rPr>
              <w:t>did</w:t>
            </w:r>
            <w:r>
              <w:rPr>
                <w:spacing w:val="1"/>
                <w:sz w:val="18"/>
              </w:rPr>
              <w:t xml:space="preserve"> </w:t>
            </w:r>
            <w:r>
              <w:rPr>
                <w:sz w:val="18"/>
              </w:rPr>
              <w:t>not</w:t>
            </w:r>
            <w:r>
              <w:rPr>
                <w:spacing w:val="1"/>
                <w:sz w:val="18"/>
              </w:rPr>
              <w:t xml:space="preserve"> </w:t>
            </w:r>
            <w:r>
              <w:rPr>
                <w:sz w:val="18"/>
              </w:rPr>
              <w:t>commence</w:t>
            </w:r>
            <w:r>
              <w:rPr>
                <w:spacing w:val="6"/>
                <w:sz w:val="18"/>
              </w:rPr>
              <w:t xml:space="preserve"> </w:t>
            </w:r>
            <w:r>
              <w:rPr>
                <w:sz w:val="18"/>
              </w:rPr>
              <w:t>with</w:t>
            </w:r>
            <w:r>
              <w:rPr>
                <w:spacing w:val="10"/>
                <w:sz w:val="18"/>
              </w:rPr>
              <w:t xml:space="preserve"> </w:t>
            </w:r>
            <w:r>
              <w:rPr>
                <w:sz w:val="18"/>
              </w:rPr>
              <w:t>planned</w:t>
            </w:r>
            <w:r>
              <w:rPr>
                <w:spacing w:val="8"/>
                <w:sz w:val="18"/>
              </w:rPr>
              <w:t xml:space="preserve"> </w:t>
            </w:r>
            <w:r>
              <w:rPr>
                <w:sz w:val="18"/>
              </w:rPr>
              <w:t>implementation</w:t>
            </w:r>
            <w:r>
              <w:rPr>
                <w:spacing w:val="6"/>
                <w:sz w:val="18"/>
              </w:rPr>
              <w:t xml:space="preserve"> </w:t>
            </w:r>
            <w:r>
              <w:rPr>
                <w:sz w:val="18"/>
              </w:rPr>
              <w:t>in</w:t>
            </w:r>
            <w:r>
              <w:rPr>
                <w:spacing w:val="6"/>
                <w:sz w:val="18"/>
              </w:rPr>
              <w:t xml:space="preserve"> </w:t>
            </w:r>
            <w:r>
              <w:rPr>
                <w:sz w:val="18"/>
              </w:rPr>
              <w:t>2021</w:t>
            </w:r>
            <w:r>
              <w:rPr>
                <w:spacing w:val="5"/>
                <w:sz w:val="18"/>
              </w:rPr>
              <w:t xml:space="preserve"> </w:t>
            </w:r>
            <w:r>
              <w:rPr>
                <w:sz w:val="18"/>
              </w:rPr>
              <w:t>due</w:t>
            </w:r>
            <w:r>
              <w:rPr>
                <w:spacing w:val="7"/>
                <w:sz w:val="18"/>
              </w:rPr>
              <w:t xml:space="preserve"> </w:t>
            </w:r>
            <w:r>
              <w:rPr>
                <w:sz w:val="18"/>
              </w:rPr>
              <w:t>to</w:t>
            </w:r>
            <w:r>
              <w:rPr>
                <w:spacing w:val="6"/>
                <w:sz w:val="18"/>
              </w:rPr>
              <w:t xml:space="preserve"> </w:t>
            </w:r>
            <w:r>
              <w:rPr>
                <w:sz w:val="18"/>
              </w:rPr>
              <w:t>delays</w:t>
            </w:r>
            <w:r>
              <w:rPr>
                <w:spacing w:val="6"/>
                <w:sz w:val="18"/>
              </w:rPr>
              <w:t xml:space="preserve"> </w:t>
            </w:r>
            <w:r>
              <w:rPr>
                <w:sz w:val="18"/>
              </w:rPr>
              <w:t>surrounding</w:t>
            </w:r>
            <w:r>
              <w:rPr>
                <w:spacing w:val="6"/>
                <w:sz w:val="18"/>
              </w:rPr>
              <w:t xml:space="preserve"> </w:t>
            </w:r>
            <w:r>
              <w:rPr>
                <w:sz w:val="18"/>
              </w:rPr>
              <w:t>the</w:t>
            </w:r>
            <w:r>
              <w:rPr>
                <w:spacing w:val="5"/>
                <w:sz w:val="18"/>
              </w:rPr>
              <w:t xml:space="preserve"> </w:t>
            </w:r>
            <w:r>
              <w:rPr>
                <w:sz w:val="18"/>
              </w:rPr>
              <w:t>coronavirus</w:t>
            </w:r>
            <w:r>
              <w:rPr>
                <w:spacing w:val="4"/>
                <w:sz w:val="18"/>
              </w:rPr>
              <w:t xml:space="preserve"> </w:t>
            </w:r>
            <w:r>
              <w:rPr>
                <w:sz w:val="18"/>
              </w:rPr>
              <w:t>pandemic.</w:t>
            </w:r>
          </w:p>
          <w:p w:rsidR="00A56FE9" w:rsidRDefault="00000000">
            <w:pPr>
              <w:pStyle w:val="TableParagraph"/>
              <w:spacing w:before="1"/>
              <w:ind w:left="103"/>
              <w:jc w:val="both"/>
              <w:rPr>
                <w:sz w:val="18"/>
              </w:rPr>
            </w:pPr>
            <w:r>
              <w:rPr>
                <w:sz w:val="18"/>
              </w:rPr>
              <w:t>InvestEU</w:t>
            </w:r>
            <w:r>
              <w:rPr>
                <w:spacing w:val="-1"/>
                <w:sz w:val="18"/>
              </w:rPr>
              <w:t xml:space="preserve"> </w:t>
            </w:r>
            <w:r>
              <w:rPr>
                <w:sz w:val="18"/>
              </w:rPr>
              <w:t>is in</w:t>
            </w:r>
            <w:r>
              <w:rPr>
                <w:spacing w:val="1"/>
                <w:sz w:val="18"/>
              </w:rPr>
              <w:t xml:space="preserve"> </w:t>
            </w:r>
            <w:r>
              <w:rPr>
                <w:sz w:val="18"/>
              </w:rPr>
              <w:t>its</w:t>
            </w:r>
            <w:r>
              <w:rPr>
                <w:spacing w:val="-2"/>
                <w:sz w:val="18"/>
              </w:rPr>
              <w:t xml:space="preserve"> </w:t>
            </w:r>
            <w:r>
              <w:rPr>
                <w:sz w:val="18"/>
              </w:rPr>
              <w:t>final</w:t>
            </w:r>
            <w:r>
              <w:rPr>
                <w:spacing w:val="-1"/>
                <w:sz w:val="18"/>
              </w:rPr>
              <w:t xml:space="preserve"> </w:t>
            </w:r>
            <w:r>
              <w:rPr>
                <w:sz w:val="18"/>
              </w:rPr>
              <w:t>preparation for</w:t>
            </w:r>
            <w:r>
              <w:rPr>
                <w:spacing w:val="-1"/>
                <w:sz w:val="18"/>
              </w:rPr>
              <w:t xml:space="preserve"> </w:t>
            </w:r>
            <w:r>
              <w:rPr>
                <w:sz w:val="18"/>
              </w:rPr>
              <w:t>use. Croatia will</w:t>
            </w:r>
            <w:r>
              <w:rPr>
                <w:spacing w:val="1"/>
                <w:sz w:val="18"/>
              </w:rPr>
              <w:t xml:space="preserve"> </w:t>
            </w:r>
            <w:r>
              <w:rPr>
                <w:sz w:val="18"/>
              </w:rPr>
              <w:t>participate</w:t>
            </w:r>
            <w:r>
              <w:rPr>
                <w:spacing w:val="-2"/>
                <w:sz w:val="18"/>
              </w:rPr>
              <w:t xml:space="preserve"> </w:t>
            </w:r>
            <w:r>
              <w:rPr>
                <w:sz w:val="18"/>
              </w:rPr>
              <w:t>in</w:t>
            </w:r>
            <w:r>
              <w:rPr>
                <w:spacing w:val="1"/>
                <w:sz w:val="18"/>
              </w:rPr>
              <w:t xml:space="preserve"> </w:t>
            </w:r>
            <w:r>
              <w:rPr>
                <w:sz w:val="18"/>
              </w:rPr>
              <w:t>it</w:t>
            </w:r>
            <w:r>
              <w:rPr>
                <w:spacing w:val="1"/>
                <w:sz w:val="18"/>
              </w:rPr>
              <w:t xml:space="preserve"> </w:t>
            </w:r>
            <w:r>
              <w:rPr>
                <w:sz w:val="18"/>
              </w:rPr>
              <w:t>in</w:t>
            </w:r>
            <w:r>
              <w:rPr>
                <w:spacing w:val="1"/>
                <w:sz w:val="18"/>
              </w:rPr>
              <w:t xml:space="preserve"> </w:t>
            </w:r>
            <w:r>
              <w:rPr>
                <w:sz w:val="18"/>
              </w:rPr>
              <w:t>an</w:t>
            </w:r>
            <w:r>
              <w:rPr>
                <w:spacing w:val="1"/>
                <w:sz w:val="18"/>
              </w:rPr>
              <w:t xml:space="preserve"> </w:t>
            </w:r>
            <w:r>
              <w:rPr>
                <w:sz w:val="18"/>
              </w:rPr>
              <w:t>even</w:t>
            </w:r>
            <w:r>
              <w:rPr>
                <w:spacing w:val="1"/>
                <w:sz w:val="18"/>
              </w:rPr>
              <w:t xml:space="preserve"> </w:t>
            </w:r>
            <w:r>
              <w:rPr>
                <w:sz w:val="18"/>
              </w:rPr>
              <w:t>more direct</w:t>
            </w:r>
            <w:r>
              <w:rPr>
                <w:spacing w:val="-2"/>
                <w:sz w:val="18"/>
              </w:rPr>
              <w:t xml:space="preserve"> </w:t>
            </w:r>
            <w:r>
              <w:rPr>
                <w:sz w:val="18"/>
              </w:rPr>
              <w:t>way</w:t>
            </w:r>
            <w:r>
              <w:rPr>
                <w:spacing w:val="-3"/>
                <w:sz w:val="18"/>
              </w:rPr>
              <w:t xml:space="preserve"> </w:t>
            </w:r>
            <w:r>
              <w:rPr>
                <w:sz w:val="18"/>
              </w:rPr>
              <w:t>than</w:t>
            </w:r>
          </w:p>
        </w:tc>
      </w:tr>
    </w:tbl>
    <w:p w:rsidR="00A56FE9" w:rsidRDefault="00A56FE9">
      <w:pPr>
        <w:jc w:val="both"/>
        <w:rPr>
          <w:sz w:val="18"/>
        </w:rPr>
        <w:sectPr w:rsidR="00A56FE9" w:rsidSect="00AB1E70">
          <w:pgSz w:w="11910" w:h="16840"/>
          <w:pgMar w:top="1320" w:right="1140" w:bottom="960" w:left="1280" w:header="0" w:footer="699" w:gutter="0"/>
          <w:cols w:space="720"/>
        </w:sectPr>
      </w:pPr>
    </w:p>
    <w:tbl>
      <w:tblPr>
        <w:tblStyle w:val="TableNormal"/>
        <w:tblW w:w="0" w:type="auto"/>
        <w:tblInd w:w="127" w:type="dxa"/>
        <w:tblBorders>
          <w:top w:val="single" w:sz="4" w:space="0" w:color="003399"/>
          <w:left w:val="single" w:sz="4" w:space="0" w:color="003399"/>
          <w:bottom w:val="single" w:sz="4" w:space="0" w:color="003399"/>
          <w:right w:val="single" w:sz="4" w:space="0" w:color="003399"/>
          <w:insideH w:val="single" w:sz="4" w:space="0" w:color="003399"/>
          <w:insideV w:val="single" w:sz="4" w:space="0" w:color="003399"/>
        </w:tblBorders>
        <w:tblLayout w:type="fixed"/>
        <w:tblLook w:val="01E0" w:firstRow="1" w:lastRow="1" w:firstColumn="1" w:lastColumn="1" w:noHBand="0" w:noVBand="0"/>
      </w:tblPr>
      <w:tblGrid>
        <w:gridCol w:w="1462"/>
        <w:gridCol w:w="7624"/>
      </w:tblGrid>
      <w:tr w:rsidR="00A56FE9">
        <w:trPr>
          <w:trHeight w:val="549"/>
        </w:trPr>
        <w:tc>
          <w:tcPr>
            <w:tcW w:w="1462" w:type="dxa"/>
            <w:tcBorders>
              <w:left w:val="nil"/>
            </w:tcBorders>
          </w:tcPr>
          <w:p w:rsidR="00A56FE9" w:rsidRDefault="00A56FE9">
            <w:pPr>
              <w:pStyle w:val="TableParagraph"/>
              <w:rPr>
                <w:sz w:val="18"/>
              </w:rPr>
            </w:pPr>
          </w:p>
        </w:tc>
        <w:tc>
          <w:tcPr>
            <w:tcW w:w="7624" w:type="dxa"/>
            <w:tcBorders>
              <w:right w:val="nil"/>
            </w:tcBorders>
          </w:tcPr>
          <w:p w:rsidR="00A56FE9" w:rsidRDefault="00000000">
            <w:pPr>
              <w:pStyle w:val="TableParagraph"/>
              <w:spacing w:before="38" w:line="259" w:lineRule="auto"/>
              <w:ind w:left="107"/>
              <w:rPr>
                <w:sz w:val="18"/>
              </w:rPr>
            </w:pPr>
            <w:r>
              <w:rPr>
                <w:sz w:val="18"/>
              </w:rPr>
              <w:t>was</w:t>
            </w:r>
            <w:r>
              <w:rPr>
                <w:spacing w:val="31"/>
                <w:sz w:val="18"/>
              </w:rPr>
              <w:t xml:space="preserve"> </w:t>
            </w:r>
            <w:r>
              <w:rPr>
                <w:sz w:val="18"/>
              </w:rPr>
              <w:t>the</w:t>
            </w:r>
            <w:r>
              <w:rPr>
                <w:spacing w:val="31"/>
                <w:sz w:val="18"/>
              </w:rPr>
              <w:t xml:space="preserve"> </w:t>
            </w:r>
            <w:r>
              <w:rPr>
                <w:sz w:val="18"/>
              </w:rPr>
              <w:t>case</w:t>
            </w:r>
            <w:r>
              <w:rPr>
                <w:spacing w:val="32"/>
                <w:sz w:val="18"/>
              </w:rPr>
              <w:t xml:space="preserve"> </w:t>
            </w:r>
            <w:r>
              <w:rPr>
                <w:sz w:val="18"/>
              </w:rPr>
              <w:t>for</w:t>
            </w:r>
            <w:r>
              <w:rPr>
                <w:spacing w:val="32"/>
                <w:sz w:val="18"/>
              </w:rPr>
              <w:t xml:space="preserve"> </w:t>
            </w:r>
            <w:r>
              <w:rPr>
                <w:sz w:val="18"/>
              </w:rPr>
              <w:t>the</w:t>
            </w:r>
            <w:r>
              <w:rPr>
                <w:spacing w:val="28"/>
                <w:sz w:val="18"/>
              </w:rPr>
              <w:t xml:space="preserve"> </w:t>
            </w:r>
            <w:r>
              <w:rPr>
                <w:sz w:val="18"/>
              </w:rPr>
              <w:t>EFSI,</w:t>
            </w:r>
            <w:r>
              <w:rPr>
                <w:spacing w:val="32"/>
                <w:sz w:val="18"/>
              </w:rPr>
              <w:t xml:space="preserve"> </w:t>
            </w:r>
            <w:r>
              <w:rPr>
                <w:sz w:val="18"/>
              </w:rPr>
              <w:t>and</w:t>
            </w:r>
            <w:r>
              <w:rPr>
                <w:spacing w:val="31"/>
                <w:sz w:val="18"/>
              </w:rPr>
              <w:t xml:space="preserve"> </w:t>
            </w:r>
            <w:r>
              <w:rPr>
                <w:sz w:val="18"/>
              </w:rPr>
              <w:t>during</w:t>
            </w:r>
            <w:r>
              <w:rPr>
                <w:spacing w:val="28"/>
                <w:sz w:val="18"/>
              </w:rPr>
              <w:t xml:space="preserve"> </w:t>
            </w:r>
            <w:r>
              <w:rPr>
                <w:sz w:val="18"/>
              </w:rPr>
              <w:t>the</w:t>
            </w:r>
            <w:r>
              <w:rPr>
                <w:spacing w:val="31"/>
                <w:sz w:val="18"/>
              </w:rPr>
              <w:t xml:space="preserve"> </w:t>
            </w:r>
            <w:r>
              <w:rPr>
                <w:sz w:val="18"/>
              </w:rPr>
              <w:t>current</w:t>
            </w:r>
            <w:r>
              <w:rPr>
                <w:spacing w:val="30"/>
                <w:sz w:val="18"/>
              </w:rPr>
              <w:t xml:space="preserve"> </w:t>
            </w:r>
            <w:r>
              <w:rPr>
                <w:sz w:val="18"/>
              </w:rPr>
              <w:t>year</w:t>
            </w:r>
            <w:r>
              <w:rPr>
                <w:spacing w:val="32"/>
                <w:sz w:val="18"/>
              </w:rPr>
              <w:t xml:space="preserve"> </w:t>
            </w:r>
            <w:r>
              <w:rPr>
                <w:sz w:val="18"/>
              </w:rPr>
              <w:t>will</w:t>
            </w:r>
            <w:r>
              <w:rPr>
                <w:spacing w:val="32"/>
                <w:sz w:val="18"/>
              </w:rPr>
              <w:t xml:space="preserve"> </w:t>
            </w:r>
            <w:r>
              <w:rPr>
                <w:sz w:val="18"/>
              </w:rPr>
              <w:t>normatively</w:t>
            </w:r>
            <w:r>
              <w:rPr>
                <w:spacing w:val="29"/>
                <w:sz w:val="18"/>
              </w:rPr>
              <w:t xml:space="preserve"> </w:t>
            </w:r>
            <w:r>
              <w:rPr>
                <w:sz w:val="18"/>
              </w:rPr>
              <w:t>define</w:t>
            </w:r>
            <w:r>
              <w:rPr>
                <w:spacing w:val="31"/>
                <w:sz w:val="18"/>
              </w:rPr>
              <w:t xml:space="preserve"> </w:t>
            </w:r>
            <w:r>
              <w:rPr>
                <w:sz w:val="18"/>
              </w:rPr>
              <w:t>the</w:t>
            </w:r>
            <w:r>
              <w:rPr>
                <w:spacing w:val="31"/>
                <w:sz w:val="18"/>
              </w:rPr>
              <w:t xml:space="preserve"> </w:t>
            </w:r>
            <w:r>
              <w:rPr>
                <w:sz w:val="18"/>
              </w:rPr>
              <w:t>framework</w:t>
            </w:r>
            <w:r>
              <w:rPr>
                <w:spacing w:val="33"/>
                <w:sz w:val="18"/>
              </w:rPr>
              <w:t xml:space="preserve"> </w:t>
            </w:r>
            <w:r>
              <w:rPr>
                <w:sz w:val="18"/>
              </w:rPr>
              <w:t>for</w:t>
            </w:r>
            <w:r>
              <w:rPr>
                <w:spacing w:val="-42"/>
                <w:sz w:val="18"/>
              </w:rPr>
              <w:t xml:space="preserve"> </w:t>
            </w:r>
            <w:r>
              <w:rPr>
                <w:sz w:val="18"/>
              </w:rPr>
              <w:t>monitoring</w:t>
            </w:r>
            <w:r>
              <w:rPr>
                <w:spacing w:val="-2"/>
                <w:sz w:val="18"/>
              </w:rPr>
              <w:t xml:space="preserve"> </w:t>
            </w:r>
            <w:r>
              <w:rPr>
                <w:sz w:val="18"/>
              </w:rPr>
              <w:t>and</w:t>
            </w:r>
            <w:r>
              <w:rPr>
                <w:spacing w:val="1"/>
                <w:sz w:val="18"/>
              </w:rPr>
              <w:t xml:space="preserve"> </w:t>
            </w:r>
            <w:r>
              <w:rPr>
                <w:sz w:val="18"/>
              </w:rPr>
              <w:t>reporting.</w:t>
            </w:r>
          </w:p>
        </w:tc>
      </w:tr>
      <w:tr w:rsidR="00A56FE9">
        <w:trPr>
          <w:trHeight w:val="772"/>
        </w:trPr>
        <w:tc>
          <w:tcPr>
            <w:tcW w:w="1462" w:type="dxa"/>
            <w:tcBorders>
              <w:left w:val="nil"/>
            </w:tcBorders>
          </w:tcPr>
          <w:p w:rsidR="00A56FE9" w:rsidRDefault="00000000">
            <w:pPr>
              <w:pStyle w:val="TableParagraph"/>
              <w:spacing w:before="43"/>
              <w:ind w:right="96"/>
              <w:jc w:val="right"/>
              <w:rPr>
                <w:b/>
                <w:sz w:val="18"/>
              </w:rPr>
            </w:pPr>
            <w:r>
              <w:rPr>
                <w:b/>
                <w:color w:val="DA1F2C"/>
                <w:sz w:val="18"/>
              </w:rPr>
              <w:t>Instruments</w:t>
            </w:r>
            <w:r>
              <w:rPr>
                <w:b/>
                <w:color w:val="DA1F2C"/>
                <w:spacing w:val="-7"/>
                <w:sz w:val="18"/>
              </w:rPr>
              <w:t xml:space="preserve"> </w:t>
            </w:r>
            <w:r>
              <w:rPr>
                <w:b/>
                <w:color w:val="DA1F2C"/>
                <w:sz w:val="18"/>
              </w:rPr>
              <w:t>for</w:t>
            </w:r>
          </w:p>
          <w:p w:rsidR="00A56FE9" w:rsidRDefault="00000000">
            <w:pPr>
              <w:pStyle w:val="TableParagraph"/>
              <w:spacing w:before="16"/>
              <w:ind w:right="98"/>
              <w:jc w:val="right"/>
              <w:rPr>
                <w:b/>
                <w:sz w:val="18"/>
              </w:rPr>
            </w:pPr>
            <w:r>
              <w:rPr>
                <w:b/>
                <w:color w:val="DA1F2C"/>
                <w:sz w:val="18"/>
              </w:rPr>
              <w:t>connecting</w:t>
            </w:r>
          </w:p>
          <w:p w:rsidR="00A56FE9" w:rsidRDefault="00000000">
            <w:pPr>
              <w:pStyle w:val="TableParagraph"/>
              <w:spacing w:before="16"/>
              <w:ind w:right="98"/>
              <w:jc w:val="right"/>
              <w:rPr>
                <w:b/>
                <w:sz w:val="18"/>
              </w:rPr>
            </w:pPr>
            <w:r>
              <w:rPr>
                <w:b/>
                <w:color w:val="DA1F2C"/>
                <w:sz w:val="18"/>
              </w:rPr>
              <w:t>Europe</w:t>
            </w:r>
          </w:p>
        </w:tc>
        <w:tc>
          <w:tcPr>
            <w:tcW w:w="7624" w:type="dxa"/>
            <w:tcBorders>
              <w:right w:val="nil"/>
            </w:tcBorders>
          </w:tcPr>
          <w:p w:rsidR="00A56FE9" w:rsidRDefault="00000000">
            <w:pPr>
              <w:pStyle w:val="TableParagraph"/>
              <w:spacing w:before="38" w:line="259" w:lineRule="auto"/>
              <w:ind w:left="107" w:right="22"/>
              <w:jc w:val="both"/>
              <w:rPr>
                <w:sz w:val="18"/>
              </w:rPr>
            </w:pPr>
            <w:r>
              <w:rPr>
                <w:sz w:val="18"/>
              </w:rPr>
              <w:t>Total</w:t>
            </w:r>
            <w:r>
              <w:rPr>
                <w:spacing w:val="-6"/>
                <w:sz w:val="18"/>
              </w:rPr>
              <w:t xml:space="preserve"> </w:t>
            </w:r>
            <w:r>
              <w:rPr>
                <w:sz w:val="18"/>
              </w:rPr>
              <w:t>utilisation</w:t>
            </w:r>
            <w:r>
              <w:rPr>
                <w:spacing w:val="-4"/>
                <w:sz w:val="18"/>
              </w:rPr>
              <w:t xml:space="preserve"> </w:t>
            </w:r>
            <w:r>
              <w:rPr>
                <w:sz w:val="18"/>
              </w:rPr>
              <w:t>of</w:t>
            </w:r>
            <w:r>
              <w:rPr>
                <w:spacing w:val="-7"/>
                <w:sz w:val="18"/>
              </w:rPr>
              <w:t xml:space="preserve"> </w:t>
            </w:r>
            <w:r>
              <w:rPr>
                <w:sz w:val="18"/>
              </w:rPr>
              <w:t>the</w:t>
            </w:r>
            <w:r>
              <w:rPr>
                <w:spacing w:val="-6"/>
                <w:sz w:val="18"/>
              </w:rPr>
              <w:t xml:space="preserve"> </w:t>
            </w:r>
            <w:r>
              <w:rPr>
                <w:sz w:val="18"/>
              </w:rPr>
              <w:t>Connecting</w:t>
            </w:r>
            <w:r>
              <w:rPr>
                <w:spacing w:val="-6"/>
                <w:sz w:val="18"/>
              </w:rPr>
              <w:t xml:space="preserve"> </w:t>
            </w:r>
            <w:r>
              <w:rPr>
                <w:sz w:val="18"/>
              </w:rPr>
              <w:t>Europe</w:t>
            </w:r>
            <w:r>
              <w:rPr>
                <w:spacing w:val="-5"/>
                <w:sz w:val="18"/>
              </w:rPr>
              <w:t xml:space="preserve"> </w:t>
            </w:r>
            <w:r>
              <w:rPr>
                <w:sz w:val="18"/>
              </w:rPr>
              <w:t>Facility</w:t>
            </w:r>
            <w:r>
              <w:rPr>
                <w:spacing w:val="-8"/>
                <w:sz w:val="18"/>
              </w:rPr>
              <w:t xml:space="preserve"> </w:t>
            </w:r>
            <w:r>
              <w:rPr>
                <w:sz w:val="18"/>
              </w:rPr>
              <w:t>(CEF)</w:t>
            </w:r>
            <w:r>
              <w:rPr>
                <w:spacing w:val="-6"/>
                <w:sz w:val="18"/>
              </w:rPr>
              <w:t xml:space="preserve"> </w:t>
            </w:r>
            <w:r>
              <w:rPr>
                <w:sz w:val="18"/>
              </w:rPr>
              <w:t>by</w:t>
            </w:r>
            <w:r>
              <w:rPr>
                <w:spacing w:val="-4"/>
                <w:sz w:val="18"/>
              </w:rPr>
              <w:t xml:space="preserve"> </w:t>
            </w:r>
            <w:r>
              <w:rPr>
                <w:sz w:val="18"/>
              </w:rPr>
              <w:t>mid-2021</w:t>
            </w:r>
            <w:r>
              <w:rPr>
                <w:spacing w:val="-4"/>
                <w:sz w:val="18"/>
              </w:rPr>
              <w:t xml:space="preserve"> </w:t>
            </w:r>
            <w:r>
              <w:rPr>
                <w:sz w:val="18"/>
              </w:rPr>
              <w:t>was</w:t>
            </w:r>
            <w:r>
              <w:rPr>
                <w:spacing w:val="-5"/>
                <w:sz w:val="18"/>
              </w:rPr>
              <w:t xml:space="preserve"> </w:t>
            </w:r>
            <w:r>
              <w:rPr>
                <w:sz w:val="18"/>
              </w:rPr>
              <w:t>EUR</w:t>
            </w:r>
            <w:r>
              <w:rPr>
                <w:spacing w:val="-6"/>
                <w:sz w:val="18"/>
              </w:rPr>
              <w:t xml:space="preserve"> </w:t>
            </w:r>
            <w:r>
              <w:rPr>
                <w:sz w:val="18"/>
              </w:rPr>
              <w:t>495.9</w:t>
            </w:r>
            <w:r>
              <w:rPr>
                <w:spacing w:val="-4"/>
                <w:sz w:val="18"/>
              </w:rPr>
              <w:t xml:space="preserve"> </w:t>
            </w:r>
            <w:r>
              <w:rPr>
                <w:sz w:val="18"/>
              </w:rPr>
              <w:t>million,</w:t>
            </w:r>
            <w:r>
              <w:rPr>
                <w:spacing w:val="-4"/>
                <w:sz w:val="18"/>
              </w:rPr>
              <w:t xml:space="preserve"> </w:t>
            </w:r>
            <w:r>
              <w:rPr>
                <w:sz w:val="18"/>
              </w:rPr>
              <w:t>and</w:t>
            </w:r>
            <w:r>
              <w:rPr>
                <w:spacing w:val="-6"/>
                <w:sz w:val="18"/>
              </w:rPr>
              <w:t xml:space="preserve"> </w:t>
            </w:r>
            <w:r>
              <w:rPr>
                <w:sz w:val="18"/>
              </w:rPr>
              <w:t>data</w:t>
            </w:r>
            <w:r>
              <w:rPr>
                <w:spacing w:val="-43"/>
                <w:sz w:val="18"/>
              </w:rPr>
              <w:t xml:space="preserve"> </w:t>
            </w:r>
            <w:r>
              <w:rPr>
                <w:spacing w:val="-1"/>
                <w:sz w:val="18"/>
              </w:rPr>
              <w:t>on</w:t>
            </w:r>
            <w:r>
              <w:rPr>
                <w:spacing w:val="-8"/>
                <w:sz w:val="18"/>
              </w:rPr>
              <w:t xml:space="preserve"> </w:t>
            </w:r>
            <w:r>
              <w:rPr>
                <w:spacing w:val="-1"/>
                <w:sz w:val="18"/>
              </w:rPr>
              <w:t>utilisation</w:t>
            </w:r>
            <w:r>
              <w:rPr>
                <w:spacing w:val="-8"/>
                <w:sz w:val="18"/>
              </w:rPr>
              <w:t xml:space="preserve"> </w:t>
            </w:r>
            <w:r>
              <w:rPr>
                <w:spacing w:val="-1"/>
                <w:sz w:val="18"/>
              </w:rPr>
              <w:t>by</w:t>
            </w:r>
            <w:r>
              <w:rPr>
                <w:spacing w:val="-11"/>
                <w:sz w:val="18"/>
              </w:rPr>
              <w:t xml:space="preserve"> </w:t>
            </w:r>
            <w:r>
              <w:rPr>
                <w:spacing w:val="-1"/>
                <w:sz w:val="18"/>
              </w:rPr>
              <w:t>the</w:t>
            </w:r>
            <w:r>
              <w:rPr>
                <w:spacing w:val="-8"/>
                <w:sz w:val="18"/>
              </w:rPr>
              <w:t xml:space="preserve"> </w:t>
            </w:r>
            <w:r>
              <w:rPr>
                <w:spacing w:val="-1"/>
                <w:sz w:val="18"/>
              </w:rPr>
              <w:t>end</w:t>
            </w:r>
            <w:r>
              <w:rPr>
                <w:spacing w:val="-8"/>
                <w:sz w:val="18"/>
              </w:rPr>
              <w:t xml:space="preserve"> </w:t>
            </w:r>
            <w:r>
              <w:rPr>
                <w:sz w:val="18"/>
              </w:rPr>
              <w:t>of</w:t>
            </w:r>
            <w:r>
              <w:rPr>
                <w:spacing w:val="-9"/>
                <w:sz w:val="18"/>
              </w:rPr>
              <w:t xml:space="preserve"> </w:t>
            </w:r>
            <w:r>
              <w:rPr>
                <w:sz w:val="18"/>
              </w:rPr>
              <w:t>2021</w:t>
            </w:r>
            <w:r>
              <w:rPr>
                <w:spacing w:val="-7"/>
                <w:sz w:val="18"/>
              </w:rPr>
              <w:t xml:space="preserve"> </w:t>
            </w:r>
            <w:r>
              <w:rPr>
                <w:sz w:val="18"/>
              </w:rPr>
              <w:t>is</w:t>
            </w:r>
            <w:r>
              <w:rPr>
                <w:spacing w:val="-10"/>
                <w:sz w:val="18"/>
              </w:rPr>
              <w:t xml:space="preserve"> </w:t>
            </w:r>
            <w:r>
              <w:rPr>
                <w:sz w:val="18"/>
              </w:rPr>
              <w:t>currently</w:t>
            </w:r>
            <w:r>
              <w:rPr>
                <w:spacing w:val="-11"/>
                <w:sz w:val="18"/>
              </w:rPr>
              <w:t xml:space="preserve"> </w:t>
            </w:r>
            <w:r>
              <w:rPr>
                <w:sz w:val="18"/>
              </w:rPr>
              <w:t>being</w:t>
            </w:r>
            <w:r>
              <w:rPr>
                <w:spacing w:val="-8"/>
                <w:sz w:val="18"/>
              </w:rPr>
              <w:t xml:space="preserve"> </w:t>
            </w:r>
            <w:r>
              <w:rPr>
                <w:sz w:val="18"/>
              </w:rPr>
              <w:t>collected.</w:t>
            </w:r>
            <w:r>
              <w:rPr>
                <w:spacing w:val="-7"/>
                <w:sz w:val="18"/>
              </w:rPr>
              <w:t xml:space="preserve"> </w:t>
            </w:r>
            <w:r>
              <w:rPr>
                <w:sz w:val="18"/>
              </w:rPr>
              <w:t>The</w:t>
            </w:r>
            <w:r>
              <w:rPr>
                <w:spacing w:val="-8"/>
                <w:sz w:val="18"/>
              </w:rPr>
              <w:t xml:space="preserve"> </w:t>
            </w:r>
            <w:r>
              <w:rPr>
                <w:sz w:val="18"/>
              </w:rPr>
              <w:t>program</w:t>
            </w:r>
            <w:r>
              <w:rPr>
                <w:spacing w:val="-5"/>
                <w:sz w:val="18"/>
              </w:rPr>
              <w:t xml:space="preserve"> </w:t>
            </w:r>
            <w:r>
              <w:rPr>
                <w:sz w:val="18"/>
              </w:rPr>
              <w:t>is</w:t>
            </w:r>
            <w:r>
              <w:rPr>
                <w:spacing w:val="-7"/>
                <w:sz w:val="18"/>
              </w:rPr>
              <w:t xml:space="preserve"> </w:t>
            </w:r>
            <w:r>
              <w:rPr>
                <w:sz w:val="18"/>
              </w:rPr>
              <w:t>continuing</w:t>
            </w:r>
            <w:r>
              <w:rPr>
                <w:spacing w:val="-8"/>
                <w:sz w:val="18"/>
              </w:rPr>
              <w:t xml:space="preserve"> </w:t>
            </w:r>
            <w:r>
              <w:rPr>
                <w:sz w:val="18"/>
              </w:rPr>
              <w:t>with</w:t>
            </w:r>
            <w:r>
              <w:rPr>
                <w:spacing w:val="-8"/>
                <w:sz w:val="18"/>
              </w:rPr>
              <w:t xml:space="preserve"> </w:t>
            </w:r>
            <w:r>
              <w:rPr>
                <w:sz w:val="18"/>
              </w:rPr>
              <w:t>its</w:t>
            </w:r>
            <w:r>
              <w:rPr>
                <w:spacing w:val="-8"/>
                <w:sz w:val="18"/>
              </w:rPr>
              <w:t xml:space="preserve"> </w:t>
            </w:r>
            <w:r>
              <w:rPr>
                <w:sz w:val="18"/>
              </w:rPr>
              <w:t>activities</w:t>
            </w:r>
            <w:r>
              <w:rPr>
                <w:spacing w:val="-42"/>
                <w:sz w:val="18"/>
              </w:rPr>
              <w:t xml:space="preserve"> </w:t>
            </w:r>
            <w:r>
              <w:rPr>
                <w:sz w:val="18"/>
              </w:rPr>
              <w:t>in the</w:t>
            </w:r>
            <w:r>
              <w:rPr>
                <w:spacing w:val="-1"/>
                <w:sz w:val="18"/>
              </w:rPr>
              <w:t xml:space="preserve"> </w:t>
            </w:r>
            <w:r>
              <w:rPr>
                <w:sz w:val="18"/>
              </w:rPr>
              <w:t>new multiannual</w:t>
            </w:r>
            <w:r>
              <w:rPr>
                <w:spacing w:val="1"/>
                <w:sz w:val="18"/>
              </w:rPr>
              <w:t xml:space="preserve"> </w:t>
            </w:r>
            <w:r>
              <w:rPr>
                <w:sz w:val="18"/>
              </w:rPr>
              <w:t>financial</w:t>
            </w:r>
            <w:r>
              <w:rPr>
                <w:spacing w:val="-2"/>
                <w:sz w:val="18"/>
              </w:rPr>
              <w:t xml:space="preserve"> </w:t>
            </w:r>
            <w:r>
              <w:rPr>
                <w:sz w:val="18"/>
              </w:rPr>
              <w:t>period.</w:t>
            </w:r>
          </w:p>
        </w:tc>
      </w:tr>
      <w:tr w:rsidR="00A56FE9">
        <w:trPr>
          <w:trHeight w:val="1967"/>
        </w:trPr>
        <w:tc>
          <w:tcPr>
            <w:tcW w:w="1462" w:type="dxa"/>
            <w:tcBorders>
              <w:left w:val="nil"/>
            </w:tcBorders>
          </w:tcPr>
          <w:p w:rsidR="00A56FE9" w:rsidRDefault="00000000">
            <w:pPr>
              <w:pStyle w:val="TableParagraph"/>
              <w:spacing w:before="43" w:line="261" w:lineRule="auto"/>
              <w:ind w:left="379" w:right="76" w:firstLine="511"/>
              <w:rPr>
                <w:b/>
                <w:sz w:val="18"/>
              </w:rPr>
            </w:pPr>
            <w:r>
              <w:rPr>
                <w:b/>
                <w:color w:val="DA1F2C"/>
                <w:sz w:val="18"/>
              </w:rPr>
              <w:t>Union</w:t>
            </w:r>
            <w:r>
              <w:rPr>
                <w:b/>
                <w:color w:val="DA1F2C"/>
                <w:w w:val="99"/>
                <w:sz w:val="18"/>
              </w:rPr>
              <w:t xml:space="preserve"> </w:t>
            </w:r>
            <w:r>
              <w:rPr>
                <w:b/>
                <w:color w:val="DA1F2C"/>
                <w:sz w:val="18"/>
              </w:rPr>
              <w:t>programmes</w:t>
            </w:r>
          </w:p>
        </w:tc>
        <w:tc>
          <w:tcPr>
            <w:tcW w:w="7624" w:type="dxa"/>
            <w:tcBorders>
              <w:right w:val="nil"/>
            </w:tcBorders>
          </w:tcPr>
          <w:p w:rsidR="00A56FE9" w:rsidRDefault="00000000">
            <w:pPr>
              <w:pStyle w:val="TableParagraph"/>
              <w:spacing w:before="38"/>
              <w:ind w:left="107" w:right="98"/>
              <w:jc w:val="both"/>
              <w:rPr>
                <w:sz w:val="18"/>
              </w:rPr>
            </w:pPr>
            <w:r>
              <w:rPr>
                <w:sz w:val="18"/>
              </w:rPr>
              <w:t>The Union's programmes are an integrated set of activities adopted by the EU to promote cooperation</w:t>
            </w:r>
            <w:r>
              <w:rPr>
                <w:spacing w:val="1"/>
                <w:sz w:val="18"/>
              </w:rPr>
              <w:t xml:space="preserve"> </w:t>
            </w:r>
            <w:r>
              <w:rPr>
                <w:sz w:val="18"/>
              </w:rPr>
              <w:t>between Member States in various areas of common EU policies. They aim to improve cooperation</w:t>
            </w:r>
            <w:r>
              <w:rPr>
                <w:spacing w:val="1"/>
                <w:sz w:val="18"/>
              </w:rPr>
              <w:t xml:space="preserve"> </w:t>
            </w:r>
            <w:r>
              <w:rPr>
                <w:sz w:val="18"/>
              </w:rPr>
              <w:t>between EU Member States and their citizens in various sectors: culture, science, education, transport,</w:t>
            </w:r>
            <w:r>
              <w:rPr>
                <w:spacing w:val="-42"/>
                <w:sz w:val="18"/>
              </w:rPr>
              <w:t xml:space="preserve"> </w:t>
            </w:r>
            <w:r>
              <w:rPr>
                <w:sz w:val="18"/>
              </w:rPr>
              <w:t>energy, environment, health, justice, fiscal and customs policy, etc. Croatia participates in all available</w:t>
            </w:r>
            <w:r>
              <w:rPr>
                <w:spacing w:val="-42"/>
                <w:sz w:val="18"/>
              </w:rPr>
              <w:t xml:space="preserve"> </w:t>
            </w:r>
            <w:r>
              <w:rPr>
                <w:sz w:val="18"/>
              </w:rPr>
              <w:t>Union</w:t>
            </w:r>
            <w:r>
              <w:rPr>
                <w:spacing w:val="-6"/>
                <w:sz w:val="18"/>
              </w:rPr>
              <w:t xml:space="preserve"> </w:t>
            </w:r>
            <w:r>
              <w:rPr>
                <w:sz w:val="18"/>
              </w:rPr>
              <w:t>Programmes.</w:t>
            </w:r>
            <w:r>
              <w:rPr>
                <w:spacing w:val="-3"/>
                <w:sz w:val="18"/>
              </w:rPr>
              <w:t xml:space="preserve"> </w:t>
            </w:r>
            <w:r>
              <w:rPr>
                <w:sz w:val="18"/>
              </w:rPr>
              <w:t>The</w:t>
            </w:r>
            <w:r>
              <w:rPr>
                <w:spacing w:val="-4"/>
                <w:sz w:val="18"/>
              </w:rPr>
              <w:t xml:space="preserve"> </w:t>
            </w:r>
            <w:r>
              <w:rPr>
                <w:sz w:val="18"/>
              </w:rPr>
              <w:t>budget</w:t>
            </w:r>
            <w:r>
              <w:rPr>
                <w:spacing w:val="-3"/>
                <w:sz w:val="18"/>
              </w:rPr>
              <w:t xml:space="preserve"> </w:t>
            </w:r>
            <w:r>
              <w:rPr>
                <w:sz w:val="18"/>
              </w:rPr>
              <w:t>of</w:t>
            </w:r>
            <w:r>
              <w:rPr>
                <w:spacing w:val="-6"/>
                <w:sz w:val="18"/>
              </w:rPr>
              <w:t xml:space="preserve"> </w:t>
            </w:r>
            <w:r>
              <w:rPr>
                <w:sz w:val="18"/>
              </w:rPr>
              <w:t>the</w:t>
            </w:r>
            <w:r>
              <w:rPr>
                <w:spacing w:val="-4"/>
                <w:sz w:val="18"/>
              </w:rPr>
              <w:t xml:space="preserve"> </w:t>
            </w:r>
            <w:r>
              <w:rPr>
                <w:sz w:val="18"/>
              </w:rPr>
              <w:t>Union</w:t>
            </w:r>
            <w:r>
              <w:rPr>
                <w:spacing w:val="-5"/>
                <w:sz w:val="18"/>
              </w:rPr>
              <w:t xml:space="preserve"> </w:t>
            </w:r>
            <w:r>
              <w:rPr>
                <w:sz w:val="18"/>
              </w:rPr>
              <w:t>Programme</w:t>
            </w:r>
            <w:r>
              <w:rPr>
                <w:spacing w:val="-2"/>
                <w:sz w:val="18"/>
              </w:rPr>
              <w:t xml:space="preserve"> </w:t>
            </w:r>
            <w:r>
              <w:rPr>
                <w:sz w:val="18"/>
              </w:rPr>
              <w:t>for</w:t>
            </w:r>
            <w:r>
              <w:rPr>
                <w:spacing w:val="-3"/>
                <w:sz w:val="18"/>
              </w:rPr>
              <w:t xml:space="preserve"> </w:t>
            </w:r>
            <w:r>
              <w:rPr>
                <w:sz w:val="18"/>
              </w:rPr>
              <w:t>the</w:t>
            </w:r>
            <w:r>
              <w:rPr>
                <w:spacing w:val="-2"/>
                <w:sz w:val="18"/>
              </w:rPr>
              <w:t xml:space="preserve"> </w:t>
            </w:r>
            <w:r>
              <w:rPr>
                <w:sz w:val="18"/>
              </w:rPr>
              <w:t>financial</w:t>
            </w:r>
            <w:r>
              <w:rPr>
                <w:spacing w:val="-4"/>
                <w:sz w:val="18"/>
              </w:rPr>
              <w:t xml:space="preserve"> </w:t>
            </w:r>
            <w:r>
              <w:rPr>
                <w:sz w:val="18"/>
              </w:rPr>
              <w:t>period</w:t>
            </w:r>
            <w:r>
              <w:rPr>
                <w:spacing w:val="-2"/>
                <w:sz w:val="18"/>
              </w:rPr>
              <w:t xml:space="preserve"> </w:t>
            </w:r>
            <w:r>
              <w:rPr>
                <w:sz w:val="18"/>
              </w:rPr>
              <w:t>2014-2020</w:t>
            </w:r>
            <w:r>
              <w:rPr>
                <w:spacing w:val="-2"/>
                <w:sz w:val="18"/>
              </w:rPr>
              <w:t xml:space="preserve"> </w:t>
            </w:r>
            <w:r>
              <w:rPr>
                <w:sz w:val="18"/>
              </w:rPr>
              <w:t>amounted</w:t>
            </w:r>
            <w:r>
              <w:rPr>
                <w:spacing w:val="-42"/>
                <w:sz w:val="18"/>
              </w:rPr>
              <w:t xml:space="preserve"> </w:t>
            </w:r>
            <w:r>
              <w:rPr>
                <w:sz w:val="18"/>
              </w:rPr>
              <w:t>to EUR 104.12 billion. Total utilisation of the program in Croatia by the end of 2020 was EUR 619.19</w:t>
            </w:r>
            <w:r>
              <w:rPr>
                <w:spacing w:val="-42"/>
                <w:sz w:val="18"/>
              </w:rPr>
              <w:t xml:space="preserve"> </w:t>
            </w:r>
            <w:r>
              <w:rPr>
                <w:sz w:val="18"/>
              </w:rPr>
              <w:t>million, while utilisation analysis for 2021 is still in progress. The program budget in the new financial</w:t>
            </w:r>
            <w:r>
              <w:rPr>
                <w:spacing w:val="-42"/>
                <w:sz w:val="18"/>
              </w:rPr>
              <w:t xml:space="preserve"> </w:t>
            </w:r>
            <w:r>
              <w:rPr>
                <w:sz w:val="18"/>
              </w:rPr>
              <w:t>period</w:t>
            </w:r>
            <w:r>
              <w:rPr>
                <w:spacing w:val="1"/>
                <w:sz w:val="18"/>
              </w:rPr>
              <w:t xml:space="preserve"> </w:t>
            </w:r>
            <w:r>
              <w:rPr>
                <w:sz w:val="18"/>
              </w:rPr>
              <w:t>2021-2027</w:t>
            </w:r>
            <w:r>
              <w:rPr>
                <w:spacing w:val="1"/>
                <w:sz w:val="18"/>
              </w:rPr>
              <w:t xml:space="preserve"> </w:t>
            </w:r>
            <w:r>
              <w:rPr>
                <w:sz w:val="18"/>
              </w:rPr>
              <w:t>amounts</w:t>
            </w:r>
            <w:r>
              <w:rPr>
                <w:spacing w:val="1"/>
                <w:sz w:val="18"/>
              </w:rPr>
              <w:t xml:space="preserve"> </w:t>
            </w:r>
            <w:r>
              <w:rPr>
                <w:sz w:val="18"/>
              </w:rPr>
              <w:t>to</w:t>
            </w:r>
            <w:r>
              <w:rPr>
                <w:spacing w:val="1"/>
                <w:sz w:val="18"/>
              </w:rPr>
              <w:t xml:space="preserve"> </w:t>
            </w:r>
            <w:r>
              <w:rPr>
                <w:sz w:val="18"/>
              </w:rPr>
              <w:t>EUR</w:t>
            </w:r>
            <w:r>
              <w:rPr>
                <w:spacing w:val="1"/>
                <w:sz w:val="18"/>
              </w:rPr>
              <w:t xml:space="preserve"> </w:t>
            </w:r>
            <w:r>
              <w:rPr>
                <w:sz w:val="18"/>
              </w:rPr>
              <w:t>164.28</w:t>
            </w:r>
            <w:r>
              <w:rPr>
                <w:spacing w:val="1"/>
                <w:sz w:val="18"/>
              </w:rPr>
              <w:t xml:space="preserve"> </w:t>
            </w:r>
            <w:r>
              <w:rPr>
                <w:sz w:val="18"/>
              </w:rPr>
              <w:t>billion.</w:t>
            </w:r>
            <w:r>
              <w:rPr>
                <w:spacing w:val="1"/>
                <w:sz w:val="18"/>
              </w:rPr>
              <w:t xml:space="preserve"> </w:t>
            </w:r>
            <w:r>
              <w:rPr>
                <w:sz w:val="18"/>
              </w:rPr>
              <w:t>Given</w:t>
            </w:r>
            <w:r>
              <w:rPr>
                <w:spacing w:val="1"/>
                <w:sz w:val="18"/>
              </w:rPr>
              <w:t xml:space="preserve"> </w:t>
            </w:r>
            <w:r>
              <w:rPr>
                <w:sz w:val="18"/>
              </w:rPr>
              <w:t>that</w:t>
            </w:r>
            <w:r>
              <w:rPr>
                <w:spacing w:val="1"/>
                <w:sz w:val="18"/>
              </w:rPr>
              <w:t xml:space="preserve"> </w:t>
            </w:r>
            <w:r>
              <w:rPr>
                <w:sz w:val="18"/>
              </w:rPr>
              <w:t>the</w:t>
            </w:r>
            <w:r>
              <w:rPr>
                <w:spacing w:val="1"/>
                <w:sz w:val="18"/>
              </w:rPr>
              <w:t xml:space="preserve"> </w:t>
            </w:r>
            <w:r>
              <w:rPr>
                <w:sz w:val="18"/>
              </w:rPr>
              <w:t>2021-2027</w:t>
            </w:r>
            <w:r>
              <w:rPr>
                <w:spacing w:val="1"/>
                <w:sz w:val="18"/>
              </w:rPr>
              <w:t xml:space="preserve"> </w:t>
            </w:r>
            <w:r>
              <w:rPr>
                <w:sz w:val="18"/>
              </w:rPr>
              <w:t>programs</w:t>
            </w:r>
            <w:r>
              <w:rPr>
                <w:spacing w:val="1"/>
                <w:sz w:val="18"/>
              </w:rPr>
              <w:t xml:space="preserve"> </w:t>
            </w:r>
            <w:r>
              <w:rPr>
                <w:sz w:val="18"/>
              </w:rPr>
              <w:t>started</w:t>
            </w:r>
            <w:r>
              <w:rPr>
                <w:spacing w:val="1"/>
                <w:sz w:val="18"/>
              </w:rPr>
              <w:t xml:space="preserve"> </w:t>
            </w:r>
            <w:r>
              <w:rPr>
                <w:sz w:val="18"/>
              </w:rPr>
              <w:t>implementation</w:t>
            </w:r>
            <w:r>
              <w:rPr>
                <w:spacing w:val="2"/>
                <w:sz w:val="18"/>
              </w:rPr>
              <w:t xml:space="preserve"> </w:t>
            </w:r>
            <w:r>
              <w:rPr>
                <w:sz w:val="18"/>
              </w:rPr>
              <w:t>in</w:t>
            </w:r>
            <w:r>
              <w:rPr>
                <w:spacing w:val="-2"/>
                <w:sz w:val="18"/>
              </w:rPr>
              <w:t xml:space="preserve"> </w:t>
            </w:r>
            <w:r>
              <w:rPr>
                <w:sz w:val="18"/>
              </w:rPr>
              <w:t>2021,</w:t>
            </w:r>
            <w:r>
              <w:rPr>
                <w:spacing w:val="-1"/>
                <w:sz w:val="18"/>
              </w:rPr>
              <w:t xml:space="preserve"> </w:t>
            </w:r>
            <w:r>
              <w:rPr>
                <w:sz w:val="18"/>
              </w:rPr>
              <w:t>the</w:t>
            </w:r>
            <w:r>
              <w:rPr>
                <w:spacing w:val="-2"/>
                <w:sz w:val="18"/>
              </w:rPr>
              <w:t xml:space="preserve"> </w:t>
            </w:r>
            <w:r>
              <w:rPr>
                <w:sz w:val="18"/>
              </w:rPr>
              <w:t>first analysis</w:t>
            </w:r>
            <w:r>
              <w:rPr>
                <w:spacing w:val="-1"/>
                <w:sz w:val="18"/>
              </w:rPr>
              <w:t xml:space="preserve"> </w:t>
            </w:r>
            <w:r>
              <w:rPr>
                <w:sz w:val="18"/>
              </w:rPr>
              <w:t>of</w:t>
            </w:r>
            <w:r>
              <w:rPr>
                <w:spacing w:val="-3"/>
                <w:sz w:val="18"/>
              </w:rPr>
              <w:t xml:space="preserve"> </w:t>
            </w:r>
            <w:r>
              <w:rPr>
                <w:sz w:val="18"/>
              </w:rPr>
              <w:t>the</w:t>
            </w:r>
            <w:r>
              <w:rPr>
                <w:spacing w:val="1"/>
                <w:sz w:val="18"/>
              </w:rPr>
              <w:t xml:space="preserve"> </w:t>
            </w:r>
            <w:r>
              <w:rPr>
                <w:sz w:val="18"/>
              </w:rPr>
              <w:t>utilisation</w:t>
            </w:r>
            <w:r>
              <w:rPr>
                <w:spacing w:val="-1"/>
                <w:sz w:val="18"/>
              </w:rPr>
              <w:t xml:space="preserve"> </w:t>
            </w:r>
            <w:r>
              <w:rPr>
                <w:sz w:val="18"/>
              </w:rPr>
              <w:t>of</w:t>
            </w:r>
            <w:r>
              <w:rPr>
                <w:spacing w:val="-2"/>
                <w:sz w:val="18"/>
              </w:rPr>
              <w:t xml:space="preserve"> </w:t>
            </w:r>
            <w:r>
              <w:rPr>
                <w:sz w:val="18"/>
              </w:rPr>
              <w:t>available</w:t>
            </w:r>
            <w:r>
              <w:rPr>
                <w:spacing w:val="-1"/>
                <w:sz w:val="18"/>
              </w:rPr>
              <w:t xml:space="preserve"> </w:t>
            </w:r>
            <w:r>
              <w:rPr>
                <w:sz w:val="18"/>
              </w:rPr>
              <w:t>funds</w:t>
            </w:r>
            <w:r>
              <w:rPr>
                <w:spacing w:val="-1"/>
                <w:sz w:val="18"/>
              </w:rPr>
              <w:t xml:space="preserve"> </w:t>
            </w:r>
            <w:r>
              <w:rPr>
                <w:sz w:val="18"/>
              </w:rPr>
              <w:t>will</w:t>
            </w:r>
            <w:r>
              <w:rPr>
                <w:spacing w:val="-1"/>
                <w:sz w:val="18"/>
              </w:rPr>
              <w:t xml:space="preserve"> </w:t>
            </w:r>
            <w:r>
              <w:rPr>
                <w:sz w:val="18"/>
              </w:rPr>
              <w:t>be</w:t>
            </w:r>
            <w:r>
              <w:rPr>
                <w:spacing w:val="-2"/>
                <w:sz w:val="18"/>
              </w:rPr>
              <w:t xml:space="preserve"> </w:t>
            </w:r>
            <w:r>
              <w:rPr>
                <w:sz w:val="18"/>
              </w:rPr>
              <w:t>done in</w:t>
            </w:r>
            <w:r>
              <w:rPr>
                <w:spacing w:val="-2"/>
                <w:sz w:val="18"/>
              </w:rPr>
              <w:t xml:space="preserve"> </w:t>
            </w:r>
            <w:r>
              <w:rPr>
                <w:sz w:val="18"/>
              </w:rPr>
              <w:t>2022.</w:t>
            </w:r>
          </w:p>
        </w:tc>
      </w:tr>
    </w:tbl>
    <w:p w:rsidR="00A56FE9" w:rsidRDefault="00A56FE9">
      <w:pPr>
        <w:jc w:val="both"/>
        <w:rPr>
          <w:sz w:val="18"/>
        </w:rPr>
        <w:sectPr w:rsidR="00A56FE9" w:rsidSect="00AB1E70">
          <w:pgSz w:w="11910" w:h="16840"/>
          <w:pgMar w:top="1400" w:right="1140" w:bottom="880" w:left="1280" w:header="0" w:footer="699" w:gutter="0"/>
          <w:cols w:space="720"/>
        </w:sectPr>
      </w:pPr>
    </w:p>
    <w:p w:rsidR="00A56FE9" w:rsidRDefault="00000000">
      <w:pPr>
        <w:pStyle w:val="Naslov1"/>
        <w:numPr>
          <w:ilvl w:val="0"/>
          <w:numId w:val="8"/>
        </w:numPr>
        <w:tabs>
          <w:tab w:val="left" w:pos="847"/>
        </w:tabs>
        <w:ind w:left="846" w:hanging="709"/>
      </w:pPr>
      <w:bookmarkStart w:id="33" w:name="_bookmark33"/>
      <w:bookmarkEnd w:id="33"/>
      <w:r>
        <w:rPr>
          <w:color w:val="003399"/>
          <w:spacing w:val="-2"/>
        </w:rPr>
        <w:t>Institutional</w:t>
      </w:r>
      <w:r>
        <w:rPr>
          <w:color w:val="003399"/>
          <w:spacing w:val="-16"/>
        </w:rPr>
        <w:t xml:space="preserve"> </w:t>
      </w:r>
      <w:r>
        <w:rPr>
          <w:color w:val="003399"/>
          <w:spacing w:val="-1"/>
        </w:rPr>
        <w:t>Processes</w:t>
      </w:r>
      <w:r>
        <w:rPr>
          <w:color w:val="003399"/>
          <w:spacing w:val="-15"/>
        </w:rPr>
        <w:t xml:space="preserve"> </w:t>
      </w:r>
      <w:r>
        <w:rPr>
          <w:color w:val="003399"/>
          <w:spacing w:val="-1"/>
        </w:rPr>
        <w:t>and</w:t>
      </w:r>
      <w:r>
        <w:rPr>
          <w:color w:val="003399"/>
          <w:spacing w:val="-14"/>
        </w:rPr>
        <w:t xml:space="preserve"> </w:t>
      </w:r>
      <w:r>
        <w:rPr>
          <w:color w:val="003399"/>
          <w:spacing w:val="-1"/>
        </w:rPr>
        <w:t>the</w:t>
      </w:r>
      <w:r>
        <w:rPr>
          <w:color w:val="003399"/>
          <w:spacing w:val="-13"/>
        </w:rPr>
        <w:t xml:space="preserve"> </w:t>
      </w:r>
      <w:r>
        <w:rPr>
          <w:color w:val="003399"/>
          <w:spacing w:val="-1"/>
        </w:rPr>
        <w:t>Inclusion</w:t>
      </w:r>
      <w:r>
        <w:rPr>
          <w:color w:val="003399"/>
          <w:spacing w:val="-14"/>
        </w:rPr>
        <w:t xml:space="preserve"> </w:t>
      </w:r>
      <w:r>
        <w:rPr>
          <w:color w:val="003399"/>
          <w:spacing w:val="-1"/>
        </w:rPr>
        <w:t>of</w:t>
      </w:r>
      <w:r>
        <w:rPr>
          <w:color w:val="003399"/>
          <w:spacing w:val="-14"/>
        </w:rPr>
        <w:t xml:space="preserve"> </w:t>
      </w:r>
      <w:r>
        <w:rPr>
          <w:color w:val="003399"/>
          <w:spacing w:val="-1"/>
        </w:rPr>
        <w:t>Stakeholders</w:t>
      </w:r>
    </w:p>
    <w:p w:rsidR="00A56FE9" w:rsidRDefault="00A56FE9">
      <w:pPr>
        <w:pStyle w:val="Tijeloteksta"/>
        <w:ind w:left="0"/>
        <w:jc w:val="left"/>
        <w:rPr>
          <w:rFonts w:ascii="Calibri Light"/>
          <w:sz w:val="23"/>
        </w:rPr>
      </w:pPr>
    </w:p>
    <w:p w:rsidR="00A56FE9" w:rsidRDefault="00000000">
      <w:pPr>
        <w:spacing w:before="89" w:line="259" w:lineRule="auto"/>
        <w:ind w:left="1216" w:right="545"/>
        <w:rPr>
          <w:b/>
          <w:sz w:val="28"/>
        </w:rPr>
      </w:pPr>
      <w:r>
        <w:rPr>
          <w:noProof/>
        </w:rPr>
        <w:drawing>
          <wp:anchor distT="0" distB="0" distL="0" distR="0" simplePos="0" relativeHeight="15846400" behindDoc="0" locked="0" layoutInCell="1" allowOverlap="1">
            <wp:simplePos x="0" y="0"/>
            <wp:positionH relativeFrom="page">
              <wp:posOffset>1082049</wp:posOffset>
            </wp:positionH>
            <wp:positionV relativeFrom="paragraph">
              <wp:posOffset>101939</wp:posOffset>
            </wp:positionV>
            <wp:extent cx="371084" cy="125648"/>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2" cstate="print"/>
                    <a:stretch>
                      <a:fillRect/>
                    </a:stretch>
                  </pic:blipFill>
                  <pic:spPr>
                    <a:xfrm>
                      <a:off x="0" y="0"/>
                      <a:ext cx="371084" cy="125648"/>
                    </a:xfrm>
                    <a:prstGeom prst="rect">
                      <a:avLst/>
                    </a:prstGeom>
                  </pic:spPr>
                </pic:pic>
              </a:graphicData>
            </a:graphic>
          </wp:anchor>
        </w:drawing>
      </w:r>
      <w:r>
        <w:rPr>
          <w:b/>
          <w:color w:val="003399"/>
          <w:sz w:val="28"/>
        </w:rPr>
        <w:t>Inclusion of stakeholders in the preparation and implementation</w:t>
      </w:r>
      <w:r>
        <w:rPr>
          <w:b/>
          <w:color w:val="003399"/>
          <w:spacing w:val="-67"/>
          <w:sz w:val="28"/>
        </w:rPr>
        <w:t xml:space="preserve"> </w:t>
      </w:r>
      <w:r>
        <w:rPr>
          <w:b/>
          <w:color w:val="003399"/>
          <w:sz w:val="28"/>
        </w:rPr>
        <w:t>of</w:t>
      </w:r>
      <w:r>
        <w:rPr>
          <w:b/>
          <w:color w:val="003399"/>
          <w:spacing w:val="-1"/>
          <w:sz w:val="28"/>
        </w:rPr>
        <w:t xml:space="preserve"> </w:t>
      </w:r>
      <w:r>
        <w:rPr>
          <w:b/>
          <w:color w:val="003399"/>
          <w:sz w:val="28"/>
        </w:rPr>
        <w:t>reforms</w:t>
      </w:r>
    </w:p>
    <w:p w:rsidR="00A56FE9" w:rsidRDefault="00A56FE9">
      <w:pPr>
        <w:pStyle w:val="Tijeloteksta"/>
        <w:spacing w:before="10"/>
        <w:ind w:left="0"/>
        <w:jc w:val="left"/>
        <w:rPr>
          <w:b/>
          <w:sz w:val="12"/>
        </w:rPr>
      </w:pPr>
    </w:p>
    <w:p w:rsidR="00A56FE9" w:rsidRDefault="00000000">
      <w:pPr>
        <w:pStyle w:val="Tijeloteksta"/>
        <w:spacing w:before="90"/>
        <w:ind w:right="274"/>
      </w:pPr>
      <w:r>
        <w:t>The MESD ensures the involvement of all relevant stakeholders (state administration bodies,</w:t>
      </w:r>
      <w:r>
        <w:rPr>
          <w:spacing w:val="1"/>
        </w:rPr>
        <w:t xml:space="preserve"> </w:t>
      </w:r>
      <w:r>
        <w:t>business</w:t>
      </w:r>
      <w:r>
        <w:rPr>
          <w:spacing w:val="-8"/>
        </w:rPr>
        <w:t xml:space="preserve"> </w:t>
      </w:r>
      <w:r>
        <w:t>sector,</w:t>
      </w:r>
      <w:r>
        <w:rPr>
          <w:spacing w:val="-8"/>
        </w:rPr>
        <w:t xml:space="preserve"> </w:t>
      </w:r>
      <w:r>
        <w:t>interested</w:t>
      </w:r>
      <w:r>
        <w:rPr>
          <w:spacing w:val="-8"/>
        </w:rPr>
        <w:t xml:space="preserve"> </w:t>
      </w:r>
      <w:r>
        <w:t>public</w:t>
      </w:r>
      <w:r>
        <w:rPr>
          <w:spacing w:val="-10"/>
        </w:rPr>
        <w:t xml:space="preserve"> </w:t>
      </w:r>
      <w:r>
        <w:t>and</w:t>
      </w:r>
      <w:r>
        <w:rPr>
          <w:spacing w:val="-8"/>
        </w:rPr>
        <w:t xml:space="preserve"> </w:t>
      </w:r>
      <w:r>
        <w:t>the</w:t>
      </w:r>
      <w:r>
        <w:rPr>
          <w:spacing w:val="-8"/>
        </w:rPr>
        <w:t xml:space="preserve"> </w:t>
      </w:r>
      <w:r>
        <w:t>EC)</w:t>
      </w:r>
      <w:r>
        <w:rPr>
          <w:spacing w:val="-7"/>
        </w:rPr>
        <w:t xml:space="preserve"> </w:t>
      </w:r>
      <w:r>
        <w:t>in</w:t>
      </w:r>
      <w:r>
        <w:rPr>
          <w:spacing w:val="-7"/>
        </w:rPr>
        <w:t xml:space="preserve"> </w:t>
      </w:r>
      <w:r>
        <w:t>preparing</w:t>
      </w:r>
      <w:r>
        <w:rPr>
          <w:spacing w:val="-10"/>
        </w:rPr>
        <w:t xml:space="preserve"> </w:t>
      </w:r>
      <w:r>
        <w:t>documents</w:t>
      </w:r>
      <w:r>
        <w:rPr>
          <w:spacing w:val="-8"/>
        </w:rPr>
        <w:t xml:space="preserve"> </w:t>
      </w:r>
      <w:r>
        <w:t>on</w:t>
      </w:r>
      <w:r>
        <w:rPr>
          <w:spacing w:val="-8"/>
        </w:rPr>
        <w:t xml:space="preserve"> </w:t>
      </w:r>
      <w:r>
        <w:t>reform</w:t>
      </w:r>
      <w:r>
        <w:rPr>
          <w:spacing w:val="-8"/>
        </w:rPr>
        <w:t xml:space="preserve"> </w:t>
      </w:r>
      <w:r>
        <w:t>activities</w:t>
      </w:r>
      <w:r>
        <w:rPr>
          <w:spacing w:val="-7"/>
        </w:rPr>
        <w:t xml:space="preserve"> </w:t>
      </w:r>
      <w:r>
        <w:t>from</w:t>
      </w:r>
      <w:r>
        <w:rPr>
          <w:spacing w:val="-57"/>
        </w:rPr>
        <w:t xml:space="preserve"> </w:t>
      </w:r>
      <w:r>
        <w:t>the NRRP (also contained in this NRP). In the process of passing laws, other regulations and</w:t>
      </w:r>
      <w:r>
        <w:rPr>
          <w:spacing w:val="1"/>
        </w:rPr>
        <w:t xml:space="preserve"> </w:t>
      </w:r>
      <w:r>
        <w:t>acts, in addition to interdepartmental coordination, public consultation procedures with the</w:t>
      </w:r>
      <w:r>
        <w:rPr>
          <w:spacing w:val="1"/>
        </w:rPr>
        <w:t xml:space="preserve"> </w:t>
      </w:r>
      <w:r>
        <w:t>interested public are carried out using the central state Internet portal for public consultations</w:t>
      </w:r>
      <w:r>
        <w:rPr>
          <w:spacing w:val="1"/>
        </w:rPr>
        <w:t xml:space="preserve"> </w:t>
      </w:r>
      <w:r>
        <w:t>called</w:t>
      </w:r>
      <w:r>
        <w:rPr>
          <w:spacing w:val="-4"/>
        </w:rPr>
        <w:t xml:space="preserve"> </w:t>
      </w:r>
      <w:r>
        <w:t>e-Consultation,</w:t>
      </w:r>
      <w:r>
        <w:rPr>
          <w:spacing w:val="-3"/>
        </w:rPr>
        <w:t xml:space="preserve"> </w:t>
      </w:r>
      <w:r>
        <w:t>where</w:t>
      </w:r>
      <w:r>
        <w:rPr>
          <w:spacing w:val="-3"/>
        </w:rPr>
        <w:t xml:space="preserve"> </w:t>
      </w:r>
      <w:r>
        <w:t>reports</w:t>
      </w:r>
      <w:r>
        <w:rPr>
          <w:spacing w:val="-3"/>
        </w:rPr>
        <w:t xml:space="preserve"> </w:t>
      </w:r>
      <w:r>
        <w:t>on</w:t>
      </w:r>
      <w:r>
        <w:rPr>
          <w:spacing w:val="-1"/>
        </w:rPr>
        <w:t xml:space="preserve"> </w:t>
      </w:r>
      <w:r>
        <w:t>the</w:t>
      </w:r>
      <w:r>
        <w:rPr>
          <w:spacing w:val="-1"/>
        </w:rPr>
        <w:t xml:space="preserve"> </w:t>
      </w:r>
      <w:r>
        <w:t>course</w:t>
      </w:r>
      <w:r>
        <w:rPr>
          <w:spacing w:val="-4"/>
        </w:rPr>
        <w:t xml:space="preserve"> </w:t>
      </w:r>
      <w:r>
        <w:t>and</w:t>
      </w:r>
      <w:r>
        <w:rPr>
          <w:spacing w:val="-4"/>
        </w:rPr>
        <w:t xml:space="preserve"> </w:t>
      </w:r>
      <w:r>
        <w:t>outcome</w:t>
      </w:r>
      <w:r>
        <w:rPr>
          <w:spacing w:val="-3"/>
        </w:rPr>
        <w:t xml:space="preserve"> </w:t>
      </w:r>
      <w:r>
        <w:t>of</w:t>
      </w:r>
      <w:r>
        <w:rPr>
          <w:spacing w:val="-4"/>
        </w:rPr>
        <w:t xml:space="preserve"> </w:t>
      </w:r>
      <w:r>
        <w:t>the</w:t>
      </w:r>
      <w:r>
        <w:rPr>
          <w:spacing w:val="-1"/>
        </w:rPr>
        <w:t xml:space="preserve"> </w:t>
      </w:r>
      <w:r>
        <w:t>consultation</w:t>
      </w:r>
      <w:r>
        <w:rPr>
          <w:spacing w:val="-3"/>
        </w:rPr>
        <w:t xml:space="preserve"> </w:t>
      </w:r>
      <w:r>
        <w:t>process</w:t>
      </w:r>
      <w:r>
        <w:rPr>
          <w:spacing w:val="-3"/>
        </w:rPr>
        <w:t xml:space="preserve"> </w:t>
      </w:r>
      <w:r>
        <w:t>are</w:t>
      </w:r>
      <w:r>
        <w:rPr>
          <w:spacing w:val="-57"/>
        </w:rPr>
        <w:t xml:space="preserve"> </w:t>
      </w:r>
      <w:r>
        <w:t>published.</w:t>
      </w:r>
      <w:r>
        <w:rPr>
          <w:spacing w:val="-9"/>
        </w:rPr>
        <w:t xml:space="preserve"> </w:t>
      </w:r>
      <w:r>
        <w:t>Expert</w:t>
      </w:r>
      <w:r>
        <w:rPr>
          <w:spacing w:val="-9"/>
        </w:rPr>
        <w:t xml:space="preserve"> </w:t>
      </w:r>
      <w:r>
        <w:t>meetings</w:t>
      </w:r>
      <w:r>
        <w:rPr>
          <w:spacing w:val="-8"/>
        </w:rPr>
        <w:t xml:space="preserve"> </w:t>
      </w:r>
      <w:r>
        <w:t>are</w:t>
      </w:r>
      <w:r>
        <w:rPr>
          <w:spacing w:val="-11"/>
        </w:rPr>
        <w:t xml:space="preserve"> </w:t>
      </w:r>
      <w:r>
        <w:t>also</w:t>
      </w:r>
      <w:r>
        <w:rPr>
          <w:spacing w:val="-8"/>
        </w:rPr>
        <w:t xml:space="preserve"> </w:t>
      </w:r>
      <w:r>
        <w:t>used</w:t>
      </w:r>
      <w:r>
        <w:rPr>
          <w:spacing w:val="-9"/>
        </w:rPr>
        <w:t xml:space="preserve"> </w:t>
      </w:r>
      <w:r>
        <w:t>to</w:t>
      </w:r>
      <w:r>
        <w:rPr>
          <w:spacing w:val="-9"/>
        </w:rPr>
        <w:t xml:space="preserve"> </w:t>
      </w:r>
      <w:r>
        <w:t>present</w:t>
      </w:r>
      <w:r>
        <w:rPr>
          <w:spacing w:val="-8"/>
        </w:rPr>
        <w:t xml:space="preserve"> </w:t>
      </w:r>
      <w:r>
        <w:t>the</w:t>
      </w:r>
      <w:r>
        <w:rPr>
          <w:spacing w:val="-9"/>
        </w:rPr>
        <w:t xml:space="preserve"> </w:t>
      </w:r>
      <w:r>
        <w:t>reforms</w:t>
      </w:r>
      <w:r>
        <w:rPr>
          <w:spacing w:val="-9"/>
        </w:rPr>
        <w:t xml:space="preserve"> </w:t>
      </w:r>
      <w:r>
        <w:t>to</w:t>
      </w:r>
      <w:r>
        <w:rPr>
          <w:spacing w:val="-8"/>
        </w:rPr>
        <w:t xml:space="preserve"> </w:t>
      </w:r>
      <w:r>
        <w:t>the</w:t>
      </w:r>
      <w:r>
        <w:rPr>
          <w:spacing w:val="-9"/>
        </w:rPr>
        <w:t xml:space="preserve"> </w:t>
      </w:r>
      <w:r>
        <w:t>general</w:t>
      </w:r>
      <w:r>
        <w:rPr>
          <w:spacing w:val="-9"/>
        </w:rPr>
        <w:t xml:space="preserve"> </w:t>
      </w:r>
      <w:r>
        <w:t>public.</w:t>
      </w:r>
      <w:r>
        <w:rPr>
          <w:vertAlign w:val="superscript"/>
        </w:rPr>
        <w:t>53</w:t>
      </w:r>
      <w:r>
        <w:rPr>
          <w:spacing w:val="-5"/>
        </w:rPr>
        <w:t xml:space="preserve"> </w:t>
      </w:r>
      <w:r>
        <w:t>In</w:t>
      </w:r>
      <w:r>
        <w:rPr>
          <w:spacing w:val="-10"/>
        </w:rPr>
        <w:t xml:space="preserve"> </w:t>
      </w:r>
      <w:r>
        <w:t>2022,</w:t>
      </w:r>
      <w:r>
        <w:rPr>
          <w:spacing w:val="-57"/>
        </w:rPr>
        <w:t xml:space="preserve"> </w:t>
      </w:r>
      <w:r>
        <w:t>inter-ministerial consultations are planned regarding the continuation of reforming regulated</w:t>
      </w:r>
      <w:r>
        <w:rPr>
          <w:spacing w:val="1"/>
        </w:rPr>
        <w:t xml:space="preserve"> </w:t>
      </w:r>
      <w:r>
        <w:t>professions,</w:t>
      </w:r>
      <w:r>
        <w:rPr>
          <w:spacing w:val="1"/>
        </w:rPr>
        <w:t xml:space="preserve"> </w:t>
      </w:r>
      <w:r>
        <w:t>i.e.,</w:t>
      </w:r>
      <w:r>
        <w:rPr>
          <w:spacing w:val="1"/>
        </w:rPr>
        <w:t xml:space="preserve"> </w:t>
      </w:r>
      <w:r>
        <w:t>the</w:t>
      </w:r>
      <w:r>
        <w:rPr>
          <w:spacing w:val="1"/>
        </w:rPr>
        <w:t xml:space="preserve"> </w:t>
      </w:r>
      <w:r>
        <w:t>liberalization</w:t>
      </w:r>
      <w:r>
        <w:rPr>
          <w:spacing w:val="1"/>
        </w:rPr>
        <w:t xml:space="preserve"> </w:t>
      </w:r>
      <w:r>
        <w:t>of</w:t>
      </w:r>
      <w:r>
        <w:rPr>
          <w:spacing w:val="1"/>
        </w:rPr>
        <w:t xml:space="preserve"> </w:t>
      </w:r>
      <w:r>
        <w:t>the</w:t>
      </w:r>
      <w:r>
        <w:rPr>
          <w:spacing w:val="1"/>
        </w:rPr>
        <w:t xml:space="preserve"> </w:t>
      </w:r>
      <w:r>
        <w:t>services</w:t>
      </w:r>
      <w:r>
        <w:rPr>
          <w:spacing w:val="1"/>
        </w:rPr>
        <w:t xml:space="preserve"> </w:t>
      </w:r>
      <w:r>
        <w:t>market.</w:t>
      </w:r>
      <w:r>
        <w:rPr>
          <w:spacing w:val="1"/>
        </w:rPr>
        <w:t xml:space="preserve"> </w:t>
      </w:r>
      <w:r>
        <w:t>Stakeholders</w:t>
      </w:r>
      <w:r>
        <w:rPr>
          <w:spacing w:val="1"/>
        </w:rPr>
        <w:t xml:space="preserve"> </w:t>
      </w:r>
      <w:r>
        <w:t>in</w:t>
      </w:r>
      <w:r>
        <w:rPr>
          <w:spacing w:val="1"/>
        </w:rPr>
        <w:t xml:space="preserve"> </w:t>
      </w:r>
      <w:r>
        <w:t>reform</w:t>
      </w:r>
      <w:r>
        <w:rPr>
          <w:spacing w:val="1"/>
        </w:rPr>
        <w:t xml:space="preserve"> </w:t>
      </w:r>
      <w:r>
        <w:t>and</w:t>
      </w:r>
      <w:r>
        <w:rPr>
          <w:spacing w:val="1"/>
        </w:rPr>
        <w:t xml:space="preserve"> </w:t>
      </w:r>
      <w:r>
        <w:t>investment</w:t>
      </w:r>
      <w:r>
        <w:rPr>
          <w:spacing w:val="-4"/>
        </w:rPr>
        <w:t xml:space="preserve"> </w:t>
      </w:r>
      <w:r>
        <w:t>measures,</w:t>
      </w:r>
      <w:r>
        <w:rPr>
          <w:spacing w:val="-4"/>
        </w:rPr>
        <w:t xml:space="preserve"> </w:t>
      </w:r>
      <w:r>
        <w:t>such</w:t>
      </w:r>
      <w:r>
        <w:rPr>
          <w:spacing w:val="-5"/>
        </w:rPr>
        <w:t xml:space="preserve"> </w:t>
      </w:r>
      <w:r>
        <w:t>as</w:t>
      </w:r>
      <w:r>
        <w:rPr>
          <w:spacing w:val="-4"/>
        </w:rPr>
        <w:t xml:space="preserve"> </w:t>
      </w:r>
      <w:r>
        <w:t>the</w:t>
      </w:r>
      <w:r>
        <w:rPr>
          <w:spacing w:val="-5"/>
        </w:rPr>
        <w:t xml:space="preserve"> </w:t>
      </w:r>
      <w:r>
        <w:t>State</w:t>
      </w:r>
      <w:r>
        <w:rPr>
          <w:spacing w:val="-7"/>
        </w:rPr>
        <w:t xml:space="preserve"> </w:t>
      </w:r>
      <w:r>
        <w:t>Commission</w:t>
      </w:r>
      <w:r>
        <w:rPr>
          <w:spacing w:val="-5"/>
        </w:rPr>
        <w:t xml:space="preserve"> </w:t>
      </w:r>
      <w:r>
        <w:t>for</w:t>
      </w:r>
      <w:r>
        <w:rPr>
          <w:spacing w:val="-5"/>
        </w:rPr>
        <w:t xml:space="preserve"> </w:t>
      </w:r>
      <w:r>
        <w:t>the</w:t>
      </w:r>
      <w:r>
        <w:rPr>
          <w:spacing w:val="-3"/>
        </w:rPr>
        <w:t xml:space="preserve"> </w:t>
      </w:r>
      <w:r>
        <w:t>Supervision</w:t>
      </w:r>
      <w:r>
        <w:rPr>
          <w:spacing w:val="-3"/>
        </w:rPr>
        <w:t xml:space="preserve"> </w:t>
      </w:r>
      <w:r>
        <w:t>of</w:t>
      </w:r>
      <w:r>
        <w:rPr>
          <w:spacing w:val="-8"/>
        </w:rPr>
        <w:t xml:space="preserve"> </w:t>
      </w:r>
      <w:r>
        <w:t>Public</w:t>
      </w:r>
      <w:r>
        <w:rPr>
          <w:spacing w:val="-5"/>
        </w:rPr>
        <w:t xml:space="preserve"> </w:t>
      </w:r>
      <w:r>
        <w:t>Procurement</w:t>
      </w:r>
      <w:r>
        <w:rPr>
          <w:spacing w:val="-58"/>
        </w:rPr>
        <w:t xml:space="preserve"> </w:t>
      </w:r>
      <w:r>
        <w:t>Procedures</w:t>
      </w:r>
      <w:r>
        <w:rPr>
          <w:spacing w:val="1"/>
        </w:rPr>
        <w:t xml:space="preserve"> </w:t>
      </w:r>
      <w:r>
        <w:t>and the Central Agency for Financing and Contracting of</w:t>
      </w:r>
      <w:r>
        <w:rPr>
          <w:spacing w:val="1"/>
        </w:rPr>
        <w:t xml:space="preserve"> </w:t>
      </w:r>
      <w:r>
        <w:t>EU Programs</w:t>
      </w:r>
      <w:r>
        <w:rPr>
          <w:spacing w:val="1"/>
        </w:rPr>
        <w:t xml:space="preserve"> </w:t>
      </w:r>
      <w:r>
        <w:t>and</w:t>
      </w:r>
      <w:r>
        <w:rPr>
          <w:spacing w:val="1"/>
        </w:rPr>
        <w:t xml:space="preserve"> </w:t>
      </w:r>
      <w:r>
        <w:t>Projects, participate in preparations, implementation, and exchanging information and also</w:t>
      </w:r>
      <w:r>
        <w:rPr>
          <w:spacing w:val="1"/>
        </w:rPr>
        <w:t xml:space="preserve"> </w:t>
      </w:r>
      <w:r>
        <w:t>contributing</w:t>
      </w:r>
      <w:r>
        <w:rPr>
          <w:spacing w:val="-2"/>
        </w:rPr>
        <w:t xml:space="preserve"> </w:t>
      </w:r>
      <w:r>
        <w:t>to preparing the</w:t>
      </w:r>
      <w:r>
        <w:rPr>
          <w:spacing w:val="-1"/>
        </w:rPr>
        <w:t xml:space="preserve"> </w:t>
      </w:r>
      <w:r>
        <w:t>necessary</w:t>
      </w:r>
      <w:r>
        <w:rPr>
          <w:spacing w:val="-5"/>
        </w:rPr>
        <w:t xml:space="preserve"> </w:t>
      </w:r>
      <w:r>
        <w:t>reports.</w:t>
      </w:r>
    </w:p>
    <w:p w:rsidR="00A56FE9" w:rsidRDefault="00000000">
      <w:pPr>
        <w:pStyle w:val="Tijeloteksta"/>
        <w:spacing w:before="120"/>
        <w:ind w:right="272"/>
      </w:pPr>
      <w:r>
        <w:t>The measures included in the Action Plans for Administrative Relief of the Economy were</w:t>
      </w:r>
      <w:r>
        <w:rPr>
          <w:spacing w:val="1"/>
        </w:rPr>
        <w:t xml:space="preserve"> </w:t>
      </w:r>
      <w:r>
        <w:t>defined in a comprehensive process that analysed and measured 939 regulations, and in which</w:t>
      </w:r>
      <w:r>
        <w:rPr>
          <w:spacing w:val="-57"/>
        </w:rPr>
        <w:t xml:space="preserve"> </w:t>
      </w:r>
      <w:r>
        <w:t>3,076 administrative obligations for the economy were detected. The procedure for measuring</w:t>
      </w:r>
      <w:r>
        <w:rPr>
          <w:spacing w:val="-57"/>
        </w:rPr>
        <w:t xml:space="preserve"> </w:t>
      </w:r>
      <w:r>
        <w:t>and</w:t>
      </w:r>
      <w:r>
        <w:rPr>
          <w:spacing w:val="1"/>
        </w:rPr>
        <w:t xml:space="preserve"> </w:t>
      </w:r>
      <w:r>
        <w:t>determining</w:t>
      </w:r>
      <w:r>
        <w:rPr>
          <w:spacing w:val="1"/>
        </w:rPr>
        <w:t xml:space="preserve"> </w:t>
      </w:r>
      <w:r>
        <w:t>measures</w:t>
      </w:r>
      <w:r>
        <w:rPr>
          <w:spacing w:val="1"/>
        </w:rPr>
        <w:t xml:space="preserve"> </w:t>
      </w:r>
      <w:r>
        <w:t>to</w:t>
      </w:r>
      <w:r>
        <w:rPr>
          <w:spacing w:val="1"/>
        </w:rPr>
        <w:t xml:space="preserve"> </w:t>
      </w:r>
      <w:r>
        <w:t>relieve</w:t>
      </w:r>
      <w:r>
        <w:rPr>
          <w:spacing w:val="1"/>
        </w:rPr>
        <w:t xml:space="preserve"> </w:t>
      </w:r>
      <w:r>
        <w:t>the</w:t>
      </w:r>
      <w:r>
        <w:rPr>
          <w:spacing w:val="1"/>
        </w:rPr>
        <w:t xml:space="preserve"> </w:t>
      </w:r>
      <w:r>
        <w:t>burden</w:t>
      </w:r>
      <w:r>
        <w:rPr>
          <w:spacing w:val="1"/>
        </w:rPr>
        <w:t xml:space="preserve"> </w:t>
      </w:r>
      <w:r>
        <w:t>on</w:t>
      </w:r>
      <w:r>
        <w:rPr>
          <w:spacing w:val="1"/>
        </w:rPr>
        <w:t xml:space="preserve"> </w:t>
      </w:r>
      <w:r>
        <w:t>the</w:t>
      </w:r>
      <w:r>
        <w:rPr>
          <w:spacing w:val="1"/>
        </w:rPr>
        <w:t xml:space="preserve"> </w:t>
      </w:r>
      <w:r>
        <w:t>economy</w:t>
      </w:r>
      <w:r>
        <w:rPr>
          <w:spacing w:val="1"/>
        </w:rPr>
        <w:t xml:space="preserve"> </w:t>
      </w:r>
      <w:r>
        <w:t>was</w:t>
      </w:r>
      <w:r>
        <w:rPr>
          <w:spacing w:val="1"/>
        </w:rPr>
        <w:t xml:space="preserve"> </w:t>
      </w:r>
      <w:r>
        <w:t>carried</w:t>
      </w:r>
      <w:r>
        <w:rPr>
          <w:spacing w:val="1"/>
        </w:rPr>
        <w:t xml:space="preserve"> </w:t>
      </w:r>
      <w:r>
        <w:t>out</w:t>
      </w:r>
      <w:r>
        <w:rPr>
          <w:spacing w:val="1"/>
        </w:rPr>
        <w:t xml:space="preserve"> </w:t>
      </w:r>
      <w:r>
        <w:t>with</w:t>
      </w:r>
      <w:r>
        <w:rPr>
          <w:spacing w:val="1"/>
        </w:rPr>
        <w:t xml:space="preserve"> </w:t>
      </w:r>
      <w:r>
        <w:t>interdepartmental</w:t>
      </w:r>
      <w:r>
        <w:rPr>
          <w:spacing w:val="-4"/>
        </w:rPr>
        <w:t xml:space="preserve"> </w:t>
      </w:r>
      <w:r>
        <w:t>coordination</w:t>
      </w:r>
      <w:r>
        <w:rPr>
          <w:spacing w:val="-6"/>
        </w:rPr>
        <w:t xml:space="preserve"> </w:t>
      </w:r>
      <w:r>
        <w:t>involving</w:t>
      </w:r>
      <w:r>
        <w:rPr>
          <w:spacing w:val="-8"/>
        </w:rPr>
        <w:t xml:space="preserve"> </w:t>
      </w:r>
      <w:r>
        <w:t>competent</w:t>
      </w:r>
      <w:r>
        <w:rPr>
          <w:spacing w:val="-6"/>
        </w:rPr>
        <w:t xml:space="preserve"> </w:t>
      </w:r>
      <w:r>
        <w:t>state</w:t>
      </w:r>
      <w:r>
        <w:rPr>
          <w:spacing w:val="-7"/>
        </w:rPr>
        <w:t xml:space="preserve"> </w:t>
      </w:r>
      <w:r>
        <w:t>and</w:t>
      </w:r>
      <w:r>
        <w:rPr>
          <w:spacing w:val="-6"/>
        </w:rPr>
        <w:t xml:space="preserve"> </w:t>
      </w:r>
      <w:r>
        <w:t>public</w:t>
      </w:r>
      <w:r>
        <w:rPr>
          <w:spacing w:val="-6"/>
        </w:rPr>
        <w:t xml:space="preserve"> </w:t>
      </w:r>
      <w:r>
        <w:t>administration</w:t>
      </w:r>
      <w:r>
        <w:rPr>
          <w:spacing w:val="-6"/>
        </w:rPr>
        <w:t xml:space="preserve"> </w:t>
      </w:r>
      <w:r>
        <w:t>bodies</w:t>
      </w:r>
      <w:r>
        <w:rPr>
          <w:spacing w:val="-7"/>
        </w:rPr>
        <w:t xml:space="preserve"> </w:t>
      </w:r>
      <w:r>
        <w:t>and</w:t>
      </w:r>
      <w:r>
        <w:rPr>
          <w:spacing w:val="-58"/>
        </w:rPr>
        <w:t xml:space="preserve"> </w:t>
      </w:r>
      <w:r>
        <w:t>included</w:t>
      </w:r>
      <w:r>
        <w:rPr>
          <w:spacing w:val="-9"/>
        </w:rPr>
        <w:t xml:space="preserve"> </w:t>
      </w:r>
      <w:r>
        <w:t>numerous</w:t>
      </w:r>
      <w:r>
        <w:rPr>
          <w:spacing w:val="-6"/>
        </w:rPr>
        <w:t xml:space="preserve"> </w:t>
      </w:r>
      <w:r>
        <w:t>consultations</w:t>
      </w:r>
      <w:r>
        <w:rPr>
          <w:spacing w:val="-8"/>
        </w:rPr>
        <w:t xml:space="preserve"> </w:t>
      </w:r>
      <w:r>
        <w:t>with</w:t>
      </w:r>
      <w:r>
        <w:rPr>
          <w:spacing w:val="-8"/>
        </w:rPr>
        <w:t xml:space="preserve"> </w:t>
      </w:r>
      <w:r>
        <w:t>business</w:t>
      </w:r>
      <w:r>
        <w:rPr>
          <w:spacing w:val="-8"/>
        </w:rPr>
        <w:t xml:space="preserve"> </w:t>
      </w:r>
      <w:r>
        <w:t>associations</w:t>
      </w:r>
      <w:r>
        <w:rPr>
          <w:spacing w:val="-8"/>
        </w:rPr>
        <w:t xml:space="preserve"> </w:t>
      </w:r>
      <w:r>
        <w:t>as</w:t>
      </w:r>
      <w:r>
        <w:rPr>
          <w:spacing w:val="-6"/>
        </w:rPr>
        <w:t xml:space="preserve"> </w:t>
      </w:r>
      <w:r>
        <w:t>representatives</w:t>
      </w:r>
      <w:r>
        <w:rPr>
          <w:spacing w:val="-8"/>
        </w:rPr>
        <w:t xml:space="preserve"> </w:t>
      </w:r>
      <w:r>
        <w:t>of</w:t>
      </w:r>
      <w:r>
        <w:rPr>
          <w:spacing w:val="-4"/>
        </w:rPr>
        <w:t xml:space="preserve"> </w:t>
      </w:r>
      <w:r>
        <w:t>entrepreneurs</w:t>
      </w:r>
      <w:r>
        <w:rPr>
          <w:spacing w:val="-57"/>
        </w:rPr>
        <w:t xml:space="preserve"> </w:t>
      </w:r>
      <w:r>
        <w:t>to</w:t>
      </w:r>
      <w:r>
        <w:rPr>
          <w:spacing w:val="-6"/>
        </w:rPr>
        <w:t xml:space="preserve"> </w:t>
      </w:r>
      <w:r>
        <w:t>whom</w:t>
      </w:r>
      <w:r>
        <w:rPr>
          <w:spacing w:val="-6"/>
        </w:rPr>
        <w:t xml:space="preserve"> </w:t>
      </w:r>
      <w:r>
        <w:t>the</w:t>
      </w:r>
      <w:r>
        <w:rPr>
          <w:spacing w:val="-7"/>
        </w:rPr>
        <w:t xml:space="preserve"> </w:t>
      </w:r>
      <w:r>
        <w:t>regulations</w:t>
      </w:r>
      <w:r>
        <w:rPr>
          <w:spacing w:val="-2"/>
        </w:rPr>
        <w:t xml:space="preserve"> </w:t>
      </w:r>
      <w:r>
        <w:t>apply.</w:t>
      </w:r>
      <w:r>
        <w:rPr>
          <w:spacing w:val="-4"/>
        </w:rPr>
        <w:t xml:space="preserve"> </w:t>
      </w:r>
      <w:r>
        <w:t>For</w:t>
      </w:r>
      <w:r>
        <w:rPr>
          <w:spacing w:val="-7"/>
        </w:rPr>
        <w:t xml:space="preserve"> </w:t>
      </w:r>
      <w:r>
        <w:t>the</w:t>
      </w:r>
      <w:r>
        <w:rPr>
          <w:spacing w:val="-5"/>
        </w:rPr>
        <w:t xml:space="preserve"> </w:t>
      </w:r>
      <w:r>
        <w:t>purpose</w:t>
      </w:r>
      <w:r>
        <w:rPr>
          <w:spacing w:val="-7"/>
        </w:rPr>
        <w:t xml:space="preserve"> </w:t>
      </w:r>
      <w:r>
        <w:t>of</w:t>
      </w:r>
      <w:r>
        <w:rPr>
          <w:spacing w:val="-5"/>
        </w:rPr>
        <w:t xml:space="preserve"> </w:t>
      </w:r>
      <w:r>
        <w:t>preparing</w:t>
      </w:r>
      <w:r>
        <w:rPr>
          <w:spacing w:val="-7"/>
        </w:rPr>
        <w:t xml:space="preserve"> </w:t>
      </w:r>
      <w:r>
        <w:t>the</w:t>
      </w:r>
      <w:r>
        <w:rPr>
          <w:spacing w:val="-4"/>
        </w:rPr>
        <w:t xml:space="preserve"> </w:t>
      </w:r>
      <w:r>
        <w:t>action</w:t>
      </w:r>
      <w:r>
        <w:rPr>
          <w:spacing w:val="-6"/>
        </w:rPr>
        <w:t xml:space="preserve"> </w:t>
      </w:r>
      <w:r>
        <w:t>plans</w:t>
      </w:r>
      <w:r>
        <w:rPr>
          <w:spacing w:val="-5"/>
        </w:rPr>
        <w:t xml:space="preserve"> </w:t>
      </w:r>
      <w:r>
        <w:t>in</w:t>
      </w:r>
      <w:r>
        <w:rPr>
          <w:spacing w:val="-6"/>
        </w:rPr>
        <w:t xml:space="preserve"> </w:t>
      </w:r>
      <w:r>
        <w:t>2018</w:t>
      </w:r>
      <w:r>
        <w:rPr>
          <w:spacing w:val="-6"/>
        </w:rPr>
        <w:t xml:space="preserve"> </w:t>
      </w:r>
      <w:r>
        <w:t>and</w:t>
      </w:r>
      <w:r>
        <w:rPr>
          <w:spacing w:val="-5"/>
        </w:rPr>
        <w:t xml:space="preserve"> </w:t>
      </w:r>
      <w:r>
        <w:t>2019,</w:t>
      </w:r>
      <w:r>
        <w:rPr>
          <w:spacing w:val="-58"/>
        </w:rPr>
        <w:t xml:space="preserve"> </w:t>
      </w:r>
      <w:r>
        <w:t>a total of 47 focus groups were conducted in which 317 entrepreneurs participated and 539</w:t>
      </w:r>
      <w:r>
        <w:rPr>
          <w:spacing w:val="1"/>
        </w:rPr>
        <w:t xml:space="preserve"> </w:t>
      </w:r>
      <w:r>
        <w:t>questionnaires</w:t>
      </w:r>
      <w:r>
        <w:rPr>
          <w:spacing w:val="-1"/>
        </w:rPr>
        <w:t xml:space="preserve"> </w:t>
      </w:r>
      <w:r>
        <w:t>providing</w:t>
      </w:r>
      <w:r>
        <w:rPr>
          <w:spacing w:val="-1"/>
        </w:rPr>
        <w:t xml:space="preserve"> </w:t>
      </w:r>
      <w:r>
        <w:t>remarks</w:t>
      </w:r>
      <w:r>
        <w:rPr>
          <w:spacing w:val="-1"/>
        </w:rPr>
        <w:t xml:space="preserve"> </w:t>
      </w:r>
      <w:r>
        <w:t>and proposals</w:t>
      </w:r>
      <w:r>
        <w:rPr>
          <w:spacing w:val="-1"/>
        </w:rPr>
        <w:t xml:space="preserve"> </w:t>
      </w:r>
      <w:r>
        <w:t>for</w:t>
      </w:r>
      <w:r>
        <w:rPr>
          <w:spacing w:val="-1"/>
        </w:rPr>
        <w:t xml:space="preserve"> </w:t>
      </w:r>
      <w:r>
        <w:t>administrative</w:t>
      </w:r>
      <w:r>
        <w:rPr>
          <w:spacing w:val="-1"/>
        </w:rPr>
        <w:t xml:space="preserve"> </w:t>
      </w:r>
      <w:r>
        <w:t>relief</w:t>
      </w:r>
      <w:r>
        <w:rPr>
          <w:spacing w:val="2"/>
        </w:rPr>
        <w:t xml:space="preserve"> </w:t>
      </w:r>
      <w:r>
        <w:t>were</w:t>
      </w:r>
      <w:r>
        <w:rPr>
          <w:spacing w:val="-3"/>
        </w:rPr>
        <w:t xml:space="preserve"> </w:t>
      </w:r>
      <w:r>
        <w:t>collected.</w:t>
      </w:r>
    </w:p>
    <w:p w:rsidR="00A56FE9" w:rsidRDefault="00000000">
      <w:pPr>
        <w:pStyle w:val="Tijeloteksta"/>
        <w:spacing w:before="121"/>
        <w:ind w:right="272"/>
      </w:pPr>
      <w:r>
        <w:rPr>
          <w:spacing w:val="-1"/>
        </w:rPr>
        <w:t>Cooperation</w:t>
      </w:r>
      <w:r>
        <w:rPr>
          <w:spacing w:val="-15"/>
        </w:rPr>
        <w:t xml:space="preserve"> </w:t>
      </w:r>
      <w:r>
        <w:rPr>
          <w:spacing w:val="-1"/>
        </w:rPr>
        <w:t>with</w:t>
      </w:r>
      <w:r>
        <w:rPr>
          <w:spacing w:val="-14"/>
        </w:rPr>
        <w:t xml:space="preserve"> </w:t>
      </w:r>
      <w:r>
        <w:t>the</w:t>
      </w:r>
      <w:r>
        <w:rPr>
          <w:spacing w:val="-15"/>
        </w:rPr>
        <w:t xml:space="preserve"> </w:t>
      </w:r>
      <w:r>
        <w:t>business</w:t>
      </w:r>
      <w:r>
        <w:rPr>
          <w:spacing w:val="-14"/>
        </w:rPr>
        <w:t xml:space="preserve"> </w:t>
      </w:r>
      <w:r>
        <w:t>sector</w:t>
      </w:r>
      <w:r>
        <w:rPr>
          <w:spacing w:val="-14"/>
        </w:rPr>
        <w:t xml:space="preserve"> </w:t>
      </w:r>
      <w:r>
        <w:t>in</w:t>
      </w:r>
      <w:r>
        <w:rPr>
          <w:spacing w:val="-14"/>
        </w:rPr>
        <w:t xml:space="preserve"> </w:t>
      </w:r>
      <w:r>
        <w:t>the</w:t>
      </w:r>
      <w:r>
        <w:rPr>
          <w:spacing w:val="-15"/>
        </w:rPr>
        <w:t xml:space="preserve"> </w:t>
      </w:r>
      <w:r>
        <w:t>form</w:t>
      </w:r>
      <w:r>
        <w:rPr>
          <w:spacing w:val="-15"/>
        </w:rPr>
        <w:t xml:space="preserve"> </w:t>
      </w:r>
      <w:r>
        <w:t>of</w:t>
      </w:r>
      <w:r>
        <w:rPr>
          <w:spacing w:val="-12"/>
        </w:rPr>
        <w:t xml:space="preserve"> </w:t>
      </w:r>
      <w:r>
        <w:t>focus</w:t>
      </w:r>
      <w:r>
        <w:rPr>
          <w:spacing w:val="-12"/>
        </w:rPr>
        <w:t xml:space="preserve"> </w:t>
      </w:r>
      <w:r>
        <w:t>groups</w:t>
      </w:r>
      <w:r>
        <w:rPr>
          <w:spacing w:val="-15"/>
        </w:rPr>
        <w:t xml:space="preserve"> </w:t>
      </w:r>
      <w:r>
        <w:t>has</w:t>
      </w:r>
      <w:r>
        <w:rPr>
          <w:spacing w:val="-15"/>
        </w:rPr>
        <w:t xml:space="preserve"> </w:t>
      </w:r>
      <w:r>
        <w:t>led</w:t>
      </w:r>
      <w:r>
        <w:rPr>
          <w:spacing w:val="-15"/>
        </w:rPr>
        <w:t xml:space="preserve"> </w:t>
      </w:r>
      <w:r>
        <w:t>to</w:t>
      </w:r>
      <w:r>
        <w:rPr>
          <w:spacing w:val="-14"/>
        </w:rPr>
        <w:t xml:space="preserve"> </w:t>
      </w:r>
      <w:r>
        <w:t>strengthening</w:t>
      </w:r>
      <w:r>
        <w:rPr>
          <w:spacing w:val="-17"/>
        </w:rPr>
        <w:t xml:space="preserve"> </w:t>
      </w:r>
      <w:r>
        <w:t>mutual</w:t>
      </w:r>
      <w:r>
        <w:rPr>
          <w:spacing w:val="-57"/>
        </w:rPr>
        <w:t xml:space="preserve"> </w:t>
      </w:r>
      <w:r>
        <w:t>trust between entrepreneurs and public administration and contributed to exchanging quality</w:t>
      </w:r>
      <w:r>
        <w:rPr>
          <w:spacing w:val="1"/>
        </w:rPr>
        <w:t xml:space="preserve"> </w:t>
      </w:r>
      <w:r>
        <w:t>and useful information and facilitated the participation of the business sector in drafting</w:t>
      </w:r>
      <w:r>
        <w:rPr>
          <w:spacing w:val="1"/>
        </w:rPr>
        <w:t xml:space="preserve"> </w:t>
      </w:r>
      <w:r>
        <w:t>regulations</w:t>
      </w:r>
      <w:r>
        <w:rPr>
          <w:spacing w:val="-1"/>
        </w:rPr>
        <w:t xml:space="preserve"> </w:t>
      </w:r>
      <w:r>
        <w:t>from the</w:t>
      </w:r>
      <w:r>
        <w:rPr>
          <w:spacing w:val="-1"/>
        </w:rPr>
        <w:t xml:space="preserve"> </w:t>
      </w:r>
      <w:r>
        <w:t>onset.</w:t>
      </w:r>
    </w:p>
    <w:p w:rsidR="00A56FE9" w:rsidRDefault="00000000">
      <w:pPr>
        <w:pStyle w:val="Tijeloteksta"/>
        <w:spacing w:before="120"/>
        <w:ind w:right="272"/>
      </w:pPr>
      <w:r>
        <w:t>The competent authorities used their practice from early consultations with businessmen to</w:t>
      </w:r>
      <w:r>
        <w:rPr>
          <w:spacing w:val="1"/>
        </w:rPr>
        <w:t xml:space="preserve"> </w:t>
      </w:r>
      <w:r>
        <w:t>include regular activities when amending and adopting regulations. The final result is the</w:t>
      </w:r>
      <w:r>
        <w:rPr>
          <w:spacing w:val="1"/>
        </w:rPr>
        <w:t xml:space="preserve"> </w:t>
      </w:r>
      <w:r>
        <w:t>establishment of an economical and efficient regulatory framework for entrepreneurs, which</w:t>
      </w:r>
      <w:r>
        <w:rPr>
          <w:spacing w:val="1"/>
        </w:rPr>
        <w:t xml:space="preserve"> </w:t>
      </w:r>
      <w:r>
        <w:t>leads to improving the business environment, strengthening investment activities and job</w:t>
      </w:r>
      <w:r>
        <w:rPr>
          <w:spacing w:val="1"/>
        </w:rPr>
        <w:t xml:space="preserve"> </w:t>
      </w:r>
      <w:r>
        <w:t>creation.</w:t>
      </w:r>
    </w:p>
    <w:p w:rsidR="00A56FE9" w:rsidRDefault="00000000">
      <w:pPr>
        <w:pStyle w:val="Tijeloteksta"/>
        <w:spacing w:before="121"/>
        <w:ind w:right="270"/>
      </w:pPr>
      <w:r>
        <w:t>The MESD ensures the involvement of all stakeholders in energy sector reforms (energy</w:t>
      </w:r>
      <w:r>
        <w:rPr>
          <w:spacing w:val="1"/>
        </w:rPr>
        <w:t xml:space="preserve"> </w:t>
      </w:r>
      <w:r>
        <w:t>entities,</w:t>
      </w:r>
      <w:r>
        <w:rPr>
          <w:spacing w:val="1"/>
        </w:rPr>
        <w:t xml:space="preserve"> </w:t>
      </w:r>
      <w:r>
        <w:t>regional</w:t>
      </w:r>
      <w:r>
        <w:rPr>
          <w:spacing w:val="1"/>
        </w:rPr>
        <w:t xml:space="preserve"> </w:t>
      </w:r>
      <w:r>
        <w:t>and</w:t>
      </w:r>
      <w:r>
        <w:rPr>
          <w:spacing w:val="1"/>
        </w:rPr>
        <w:t xml:space="preserve"> </w:t>
      </w:r>
      <w:r>
        <w:t>local</w:t>
      </w:r>
      <w:r>
        <w:rPr>
          <w:spacing w:val="1"/>
        </w:rPr>
        <w:t xml:space="preserve"> </w:t>
      </w:r>
      <w:r>
        <w:t>self-government,</w:t>
      </w:r>
      <w:r>
        <w:rPr>
          <w:spacing w:val="1"/>
        </w:rPr>
        <w:t xml:space="preserve"> </w:t>
      </w:r>
      <w:r>
        <w:t>industry,</w:t>
      </w:r>
      <w:r>
        <w:rPr>
          <w:spacing w:val="1"/>
        </w:rPr>
        <w:t xml:space="preserve"> </w:t>
      </w:r>
      <w:r>
        <w:t>transport,</w:t>
      </w:r>
      <w:r>
        <w:rPr>
          <w:spacing w:val="1"/>
        </w:rPr>
        <w:t xml:space="preserve"> </w:t>
      </w:r>
      <w:r>
        <w:t>agriculture,</w:t>
      </w:r>
      <w:r>
        <w:rPr>
          <w:spacing w:val="1"/>
        </w:rPr>
        <w:t xml:space="preserve"> </w:t>
      </w:r>
      <w:r>
        <w:t>facility</w:t>
      </w:r>
      <w:r>
        <w:rPr>
          <w:spacing w:val="1"/>
        </w:rPr>
        <w:t xml:space="preserve"> </w:t>
      </w:r>
      <w:r>
        <w:t>management and other sectors) in the programming and utilisation of NRRP and OPCC funds,</w:t>
      </w:r>
      <w:r>
        <w:rPr>
          <w:spacing w:val="-57"/>
        </w:rPr>
        <w:t xml:space="preserve"> </w:t>
      </w:r>
      <w:r>
        <w:t>but also in adopting strategic and legislative documents. A public hearing is planned for all of</w:t>
      </w:r>
      <w:r>
        <w:rPr>
          <w:spacing w:val="1"/>
        </w:rPr>
        <w:t xml:space="preserve"> </w:t>
      </w:r>
      <w:r>
        <w:t>these stakeholders, and additional workshops are planned to strengthen the involvement of</w:t>
      </w:r>
      <w:r>
        <w:rPr>
          <w:spacing w:val="1"/>
        </w:rPr>
        <w:t xml:space="preserve"> </w:t>
      </w:r>
      <w:r>
        <w:t>stakeholders</w:t>
      </w:r>
      <w:r>
        <w:rPr>
          <w:spacing w:val="1"/>
        </w:rPr>
        <w:t xml:space="preserve"> </w:t>
      </w:r>
      <w:r>
        <w:t>in</w:t>
      </w:r>
      <w:r>
        <w:rPr>
          <w:spacing w:val="1"/>
        </w:rPr>
        <w:t xml:space="preserve"> </w:t>
      </w:r>
      <w:r>
        <w:t>the</w:t>
      </w:r>
      <w:r>
        <w:rPr>
          <w:spacing w:val="1"/>
        </w:rPr>
        <w:t xml:space="preserve"> </w:t>
      </w:r>
      <w:r>
        <w:t>process</w:t>
      </w:r>
      <w:r>
        <w:rPr>
          <w:spacing w:val="1"/>
        </w:rPr>
        <w:t xml:space="preserve"> </w:t>
      </w:r>
      <w:r>
        <w:t>of</w:t>
      </w:r>
      <w:r>
        <w:rPr>
          <w:spacing w:val="1"/>
        </w:rPr>
        <w:t xml:space="preserve"> </w:t>
      </w:r>
      <w:r>
        <w:t>drafting</w:t>
      </w:r>
      <w:r>
        <w:rPr>
          <w:spacing w:val="1"/>
        </w:rPr>
        <w:t xml:space="preserve"> </w:t>
      </w:r>
      <w:r>
        <w:t>and</w:t>
      </w:r>
      <w:r>
        <w:rPr>
          <w:spacing w:val="1"/>
        </w:rPr>
        <w:t xml:space="preserve"> </w:t>
      </w:r>
      <w:r>
        <w:t>adopting</w:t>
      </w:r>
      <w:r>
        <w:rPr>
          <w:spacing w:val="1"/>
        </w:rPr>
        <w:t xml:space="preserve"> </w:t>
      </w:r>
      <w:r>
        <w:t>documents.</w:t>
      </w:r>
      <w:r>
        <w:rPr>
          <w:spacing w:val="1"/>
        </w:rPr>
        <w:t xml:space="preserve"> </w:t>
      </w:r>
      <w:r>
        <w:t>Reports</w:t>
      </w:r>
      <w:r>
        <w:rPr>
          <w:spacing w:val="1"/>
        </w:rPr>
        <w:t xml:space="preserve"> </w:t>
      </w:r>
      <w:r>
        <w:t>and</w:t>
      </w:r>
      <w:r>
        <w:rPr>
          <w:spacing w:val="1"/>
        </w:rPr>
        <w:t xml:space="preserve"> </w:t>
      </w:r>
      <w:r>
        <w:t>relevant</w:t>
      </w:r>
      <w:r>
        <w:rPr>
          <w:spacing w:val="1"/>
        </w:rPr>
        <w:t xml:space="preserve"> </w:t>
      </w:r>
      <w:r>
        <w:t>documents are published on the e-Consultation portal and on the MESD website, where all</w:t>
      </w:r>
      <w:r>
        <w:rPr>
          <w:spacing w:val="1"/>
        </w:rPr>
        <w:t xml:space="preserve"> </w:t>
      </w:r>
      <w:r>
        <w:t>potential</w:t>
      </w:r>
      <w:r>
        <w:rPr>
          <w:spacing w:val="-1"/>
        </w:rPr>
        <w:t xml:space="preserve"> </w:t>
      </w:r>
      <w:r>
        <w:t>stakeholders can</w:t>
      </w:r>
      <w:r>
        <w:rPr>
          <w:spacing w:val="-1"/>
        </w:rPr>
        <w:t xml:space="preserve"> </w:t>
      </w:r>
      <w:r>
        <w:t>also contact</w:t>
      </w:r>
      <w:r>
        <w:rPr>
          <w:spacing w:val="-1"/>
        </w:rPr>
        <w:t xml:space="preserve"> </w:t>
      </w:r>
      <w:r>
        <w:t>the MESD</w:t>
      </w:r>
      <w:r>
        <w:rPr>
          <w:spacing w:val="2"/>
        </w:rPr>
        <w:t xml:space="preserve"> </w:t>
      </w:r>
      <w:r>
        <w:t>staff</w:t>
      </w:r>
      <w:r>
        <w:rPr>
          <w:spacing w:val="-1"/>
        </w:rPr>
        <w:t xml:space="preserve"> </w:t>
      </w:r>
      <w:r>
        <w:t>directly</w:t>
      </w:r>
      <w:r>
        <w:rPr>
          <w:spacing w:val="-2"/>
        </w:rPr>
        <w:t xml:space="preserve"> </w:t>
      </w:r>
      <w:r>
        <w:t>and</w:t>
      </w:r>
      <w:r>
        <w:rPr>
          <w:spacing w:val="-1"/>
        </w:rPr>
        <w:t xml:space="preserve"> </w:t>
      </w:r>
      <w:r>
        <w:t>forward their</w:t>
      </w:r>
      <w:r>
        <w:rPr>
          <w:spacing w:val="-1"/>
        </w:rPr>
        <w:t xml:space="preserve"> </w:t>
      </w:r>
      <w:r>
        <w:t>inquiries.</w:t>
      </w:r>
    </w:p>
    <w:p w:rsidR="00A56FE9" w:rsidRDefault="00A56FE9">
      <w:pPr>
        <w:pStyle w:val="Tijeloteksta"/>
        <w:ind w:left="0"/>
        <w:jc w:val="left"/>
        <w:rPr>
          <w:sz w:val="20"/>
        </w:rPr>
      </w:pPr>
    </w:p>
    <w:p w:rsidR="00A56FE9" w:rsidRDefault="00CC1B9B">
      <w:pPr>
        <w:pStyle w:val="Tijeloteksta"/>
        <w:spacing w:before="6"/>
        <w:ind w:left="0"/>
        <w:jc w:val="left"/>
        <w:rPr>
          <w:sz w:val="25"/>
        </w:rPr>
      </w:pPr>
      <w:r>
        <w:rPr>
          <w:noProof/>
        </w:rPr>
        <mc:AlternateContent>
          <mc:Choice Requires="wps">
            <w:drawing>
              <wp:anchor distT="0" distB="0" distL="0" distR="0" simplePos="0" relativeHeight="487705088" behindDoc="1" locked="0" layoutInCell="1" allowOverlap="1">
                <wp:simplePos x="0" y="0"/>
                <wp:positionH relativeFrom="page">
                  <wp:posOffset>901065</wp:posOffset>
                </wp:positionH>
                <wp:positionV relativeFrom="paragraph">
                  <wp:posOffset>211455</wp:posOffset>
                </wp:positionV>
                <wp:extent cx="1828800" cy="7620"/>
                <wp:effectExtent l="0" t="0" r="0" b="0"/>
                <wp:wrapTopAndBottom/>
                <wp:docPr id="5007160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97D82F" id="Rectangle 17" o:spid="_x0000_s1026" style="position:absolute;margin-left:70.95pt;margin-top:16.65pt;width:2in;height:.6pt;z-index:-15611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pacing w:val="-1"/>
          <w:sz w:val="16"/>
          <w:vertAlign w:val="superscript"/>
        </w:rPr>
        <w:t>53</w:t>
      </w:r>
      <w:r>
        <w:rPr>
          <w:spacing w:val="14"/>
          <w:sz w:val="16"/>
        </w:rPr>
        <w:t xml:space="preserve"> </w:t>
      </w:r>
      <w:r>
        <w:rPr>
          <w:spacing w:val="-1"/>
          <w:sz w:val="16"/>
        </w:rPr>
        <w:t>E.g.,</w:t>
      </w:r>
      <w:r>
        <w:rPr>
          <w:spacing w:val="12"/>
          <w:sz w:val="16"/>
        </w:rPr>
        <w:t xml:space="preserve"> </w:t>
      </w:r>
      <w:hyperlink r:id="rId23">
        <w:r>
          <w:rPr>
            <w:spacing w:val="-1"/>
            <w:sz w:val="16"/>
            <w:u w:val="single"/>
          </w:rPr>
          <w:t>https://www.amcham.hr/webinar-na-temu-alata-za-javnu-nabavu-procurcompeu-e405</w:t>
        </w:r>
      </w:hyperlink>
    </w:p>
    <w:p w:rsidR="00A56FE9" w:rsidRDefault="00A56FE9">
      <w:pPr>
        <w:rPr>
          <w:sz w:val="16"/>
        </w:rPr>
        <w:sectPr w:rsidR="00A56FE9" w:rsidSect="00AB1E70">
          <w:pgSz w:w="11910" w:h="16840"/>
          <w:pgMar w:top="1420" w:right="1140" w:bottom="880" w:left="1280" w:header="0" w:footer="699" w:gutter="0"/>
          <w:cols w:space="720"/>
        </w:sectPr>
      </w:pPr>
    </w:p>
    <w:p w:rsidR="00A56FE9" w:rsidRDefault="00000000">
      <w:pPr>
        <w:pStyle w:val="Tijeloteksta"/>
        <w:spacing w:before="74"/>
        <w:ind w:right="271"/>
      </w:pPr>
      <w:r>
        <w:rPr>
          <w:spacing w:val="-1"/>
        </w:rPr>
        <w:t>The</w:t>
      </w:r>
      <w:r>
        <w:rPr>
          <w:spacing w:val="-16"/>
        </w:rPr>
        <w:t xml:space="preserve"> </w:t>
      </w:r>
      <w:r>
        <w:rPr>
          <w:spacing w:val="-1"/>
        </w:rPr>
        <w:t>amendment</w:t>
      </w:r>
      <w:r>
        <w:rPr>
          <w:spacing w:val="-12"/>
        </w:rPr>
        <w:t xml:space="preserve"> </w:t>
      </w:r>
      <w:r>
        <w:t>of</w:t>
      </w:r>
      <w:r>
        <w:rPr>
          <w:spacing w:val="-16"/>
        </w:rPr>
        <w:t xml:space="preserve"> </w:t>
      </w:r>
      <w:r>
        <w:t>the</w:t>
      </w:r>
      <w:r>
        <w:rPr>
          <w:spacing w:val="-13"/>
        </w:rPr>
        <w:t xml:space="preserve"> </w:t>
      </w:r>
      <w:r>
        <w:t>legal</w:t>
      </w:r>
      <w:r>
        <w:rPr>
          <w:spacing w:val="-12"/>
        </w:rPr>
        <w:t xml:space="preserve"> </w:t>
      </w:r>
      <w:r>
        <w:t>framework</w:t>
      </w:r>
      <w:r>
        <w:rPr>
          <w:spacing w:val="-12"/>
        </w:rPr>
        <w:t xml:space="preserve"> </w:t>
      </w:r>
      <w:r>
        <w:t>for</w:t>
      </w:r>
      <w:r>
        <w:rPr>
          <w:spacing w:val="-16"/>
        </w:rPr>
        <w:t xml:space="preserve"> </w:t>
      </w:r>
      <w:r>
        <w:t>implementing</w:t>
      </w:r>
      <w:r>
        <w:rPr>
          <w:spacing w:val="-17"/>
        </w:rPr>
        <w:t xml:space="preserve"> </w:t>
      </w:r>
      <w:r>
        <w:t>the</w:t>
      </w:r>
      <w:r>
        <w:rPr>
          <w:spacing w:val="-13"/>
        </w:rPr>
        <w:t xml:space="preserve"> </w:t>
      </w:r>
      <w:r>
        <w:t>reform</w:t>
      </w:r>
      <w:r>
        <w:rPr>
          <w:spacing w:val="-15"/>
        </w:rPr>
        <w:t xml:space="preserve"> </w:t>
      </w:r>
      <w:r>
        <w:t>in</w:t>
      </w:r>
      <w:r>
        <w:rPr>
          <w:spacing w:val="-14"/>
        </w:rPr>
        <w:t xml:space="preserve"> </w:t>
      </w:r>
      <w:r>
        <w:t>the</w:t>
      </w:r>
      <w:r>
        <w:rPr>
          <w:spacing w:val="-13"/>
        </w:rPr>
        <w:t xml:space="preserve"> </w:t>
      </w:r>
      <w:r>
        <w:t>water</w:t>
      </w:r>
      <w:r>
        <w:rPr>
          <w:spacing w:val="-16"/>
        </w:rPr>
        <w:t xml:space="preserve"> </w:t>
      </w:r>
      <w:r>
        <w:t>services</w:t>
      </w:r>
      <w:r>
        <w:rPr>
          <w:spacing w:val="-15"/>
        </w:rPr>
        <w:t xml:space="preserve"> </w:t>
      </w:r>
      <w:r>
        <w:t>sector</w:t>
      </w:r>
      <w:r>
        <w:rPr>
          <w:spacing w:val="-57"/>
        </w:rPr>
        <w:t xml:space="preserve"> </w:t>
      </w:r>
      <w:r>
        <w:t>refers to the adoption of three regulations (Regulation on Evaluation of Business Efficiency of</w:t>
      </w:r>
      <w:r>
        <w:rPr>
          <w:spacing w:val="-57"/>
        </w:rPr>
        <w:t xml:space="preserve"> </w:t>
      </w:r>
      <w:r>
        <w:t>Water Service Providers, Regulation on the Methodology for Pricing Water Services and</w:t>
      </w:r>
      <w:r>
        <w:rPr>
          <w:spacing w:val="1"/>
        </w:rPr>
        <w:t xml:space="preserve"> </w:t>
      </w:r>
      <w:r>
        <w:t>Regulation</w:t>
      </w:r>
      <w:r>
        <w:rPr>
          <w:spacing w:val="1"/>
        </w:rPr>
        <w:t xml:space="preserve"> </w:t>
      </w:r>
      <w:r>
        <w:t>on</w:t>
      </w:r>
      <w:r>
        <w:rPr>
          <w:spacing w:val="1"/>
        </w:rPr>
        <w:t xml:space="preserve"> </w:t>
      </w:r>
      <w:r>
        <w:t>Special</w:t>
      </w:r>
      <w:r>
        <w:rPr>
          <w:spacing w:val="1"/>
        </w:rPr>
        <w:t xml:space="preserve"> </w:t>
      </w:r>
      <w:r>
        <w:t>Conditions</w:t>
      </w:r>
      <w:r>
        <w:rPr>
          <w:spacing w:val="1"/>
        </w:rPr>
        <w:t xml:space="preserve"> </w:t>
      </w:r>
      <w:r>
        <w:t>for</w:t>
      </w:r>
      <w:r>
        <w:rPr>
          <w:spacing w:val="1"/>
        </w:rPr>
        <w:t xml:space="preserve"> </w:t>
      </w:r>
      <w:r>
        <w:t>Water</w:t>
      </w:r>
      <w:r>
        <w:rPr>
          <w:spacing w:val="1"/>
        </w:rPr>
        <w:t xml:space="preserve"> </w:t>
      </w:r>
      <w:r>
        <w:t>Services).</w:t>
      </w:r>
      <w:r>
        <w:rPr>
          <w:spacing w:val="1"/>
        </w:rPr>
        <w:t xml:space="preserve"> </w:t>
      </w:r>
      <w:r>
        <w:t>In</w:t>
      </w:r>
      <w:r>
        <w:rPr>
          <w:spacing w:val="1"/>
        </w:rPr>
        <w:t xml:space="preserve"> </w:t>
      </w:r>
      <w:r>
        <w:t>preparing</w:t>
      </w:r>
      <w:r>
        <w:rPr>
          <w:spacing w:val="1"/>
        </w:rPr>
        <w:t xml:space="preserve"> </w:t>
      </w:r>
      <w:r>
        <w:t>and</w:t>
      </w:r>
      <w:r>
        <w:rPr>
          <w:spacing w:val="1"/>
        </w:rPr>
        <w:t xml:space="preserve"> </w:t>
      </w:r>
      <w:r>
        <w:t>adopting</w:t>
      </w:r>
      <w:r>
        <w:rPr>
          <w:spacing w:val="1"/>
        </w:rPr>
        <w:t xml:space="preserve"> </w:t>
      </w:r>
      <w:r>
        <w:t>these</w:t>
      </w:r>
      <w:r>
        <w:rPr>
          <w:spacing w:val="1"/>
        </w:rPr>
        <w:t xml:space="preserve"> </w:t>
      </w:r>
      <w:r>
        <w:t>regulations, key stakeholders (public water service providers and local self-government units</w:t>
      </w:r>
      <w:r>
        <w:rPr>
          <w:spacing w:val="1"/>
        </w:rPr>
        <w:t xml:space="preserve"> </w:t>
      </w:r>
      <w:r>
        <w:t>(LSGUs) as their founders) will be involved in the public consultation process on the e-</w:t>
      </w:r>
      <w:r>
        <w:rPr>
          <w:spacing w:val="1"/>
        </w:rPr>
        <w:t xml:space="preserve"> </w:t>
      </w:r>
      <w:r>
        <w:t>Consultation portal, as well as in meetings and workshops. In terms of the NRRP, by the end</w:t>
      </w:r>
      <w:r>
        <w:rPr>
          <w:spacing w:val="1"/>
        </w:rPr>
        <w:t xml:space="preserve"> </w:t>
      </w:r>
      <w:r>
        <w:t>of Q4/2022, eight workshops with public water service providers are planned to take place as</w:t>
      </w:r>
      <w:r>
        <w:rPr>
          <w:spacing w:val="1"/>
        </w:rPr>
        <w:t xml:space="preserve"> </w:t>
      </w:r>
      <w:r>
        <w:t>support</w:t>
      </w:r>
      <w:r>
        <w:rPr>
          <w:spacing w:val="-6"/>
        </w:rPr>
        <w:t xml:space="preserve"> </w:t>
      </w:r>
      <w:r>
        <w:t>for</w:t>
      </w:r>
      <w:r>
        <w:rPr>
          <w:spacing w:val="-7"/>
        </w:rPr>
        <w:t xml:space="preserve"> </w:t>
      </w:r>
      <w:r>
        <w:t>the</w:t>
      </w:r>
      <w:r>
        <w:rPr>
          <w:spacing w:val="-6"/>
        </w:rPr>
        <w:t xml:space="preserve"> </w:t>
      </w:r>
      <w:r>
        <w:t>merger.</w:t>
      </w:r>
      <w:r>
        <w:rPr>
          <w:spacing w:val="-6"/>
        </w:rPr>
        <w:t xml:space="preserve"> </w:t>
      </w:r>
      <w:r>
        <w:t>Participants</w:t>
      </w:r>
      <w:r>
        <w:rPr>
          <w:spacing w:val="-5"/>
        </w:rPr>
        <w:t xml:space="preserve"> </w:t>
      </w:r>
      <w:r>
        <w:t>at</w:t>
      </w:r>
      <w:r>
        <w:rPr>
          <w:spacing w:val="-5"/>
        </w:rPr>
        <w:t xml:space="preserve"> </w:t>
      </w:r>
      <w:r>
        <w:t>these</w:t>
      </w:r>
      <w:r>
        <w:rPr>
          <w:spacing w:val="-6"/>
        </w:rPr>
        <w:t xml:space="preserve"> </w:t>
      </w:r>
      <w:r>
        <w:t>workshops</w:t>
      </w:r>
      <w:r>
        <w:rPr>
          <w:spacing w:val="-5"/>
        </w:rPr>
        <w:t xml:space="preserve"> </w:t>
      </w:r>
      <w:r>
        <w:t>will</w:t>
      </w:r>
      <w:r>
        <w:rPr>
          <w:spacing w:val="-3"/>
        </w:rPr>
        <w:t xml:space="preserve"> </w:t>
      </w:r>
      <w:r>
        <w:t>be</w:t>
      </w:r>
      <w:r>
        <w:rPr>
          <w:spacing w:val="-6"/>
        </w:rPr>
        <w:t xml:space="preserve"> </w:t>
      </w:r>
      <w:r>
        <w:t>given</w:t>
      </w:r>
      <w:r>
        <w:rPr>
          <w:spacing w:val="-7"/>
        </w:rPr>
        <w:t xml:space="preserve"> </w:t>
      </w:r>
      <w:r>
        <w:t>the</w:t>
      </w:r>
      <w:r>
        <w:rPr>
          <w:spacing w:val="-6"/>
        </w:rPr>
        <w:t xml:space="preserve"> </w:t>
      </w:r>
      <w:r>
        <w:t>opportunity</w:t>
      </w:r>
      <w:r>
        <w:rPr>
          <w:spacing w:val="-10"/>
        </w:rPr>
        <w:t xml:space="preserve"> </w:t>
      </w:r>
      <w:r>
        <w:t>to</w:t>
      </w:r>
      <w:r>
        <w:rPr>
          <w:spacing w:val="-5"/>
        </w:rPr>
        <w:t xml:space="preserve"> </w:t>
      </w:r>
      <w:r>
        <w:t>present</w:t>
      </w:r>
      <w:r>
        <w:rPr>
          <w:spacing w:val="-57"/>
        </w:rPr>
        <w:t xml:space="preserve"> </w:t>
      </w:r>
      <w:r>
        <w:rPr>
          <w:spacing w:val="-1"/>
        </w:rPr>
        <w:t>their</w:t>
      </w:r>
      <w:r>
        <w:rPr>
          <w:spacing w:val="-16"/>
        </w:rPr>
        <w:t xml:space="preserve"> </w:t>
      </w:r>
      <w:r>
        <w:rPr>
          <w:spacing w:val="-1"/>
        </w:rPr>
        <w:t>suggestions</w:t>
      </w:r>
      <w:r>
        <w:rPr>
          <w:spacing w:val="-14"/>
        </w:rPr>
        <w:t xml:space="preserve"> </w:t>
      </w:r>
      <w:r>
        <w:t>and</w:t>
      </w:r>
      <w:r>
        <w:rPr>
          <w:spacing w:val="-12"/>
        </w:rPr>
        <w:t xml:space="preserve"> </w:t>
      </w:r>
      <w:r>
        <w:t>comments,</w:t>
      </w:r>
      <w:r>
        <w:rPr>
          <w:spacing w:val="-14"/>
        </w:rPr>
        <w:t xml:space="preserve"> </w:t>
      </w:r>
      <w:r>
        <w:t>and</w:t>
      </w:r>
      <w:r>
        <w:rPr>
          <w:spacing w:val="-15"/>
        </w:rPr>
        <w:t xml:space="preserve"> </w:t>
      </w:r>
      <w:r>
        <w:t>learn</w:t>
      </w:r>
      <w:r>
        <w:rPr>
          <w:spacing w:val="-15"/>
        </w:rPr>
        <w:t xml:space="preserve"> </w:t>
      </w:r>
      <w:r>
        <w:t>how</w:t>
      </w:r>
      <w:r>
        <w:rPr>
          <w:spacing w:val="-12"/>
        </w:rPr>
        <w:t xml:space="preserve"> </w:t>
      </w:r>
      <w:r>
        <w:t>to</w:t>
      </w:r>
      <w:r>
        <w:rPr>
          <w:spacing w:val="-11"/>
        </w:rPr>
        <w:t xml:space="preserve"> </w:t>
      </w:r>
      <w:r>
        <w:t>implement</w:t>
      </w:r>
      <w:r>
        <w:rPr>
          <w:spacing w:val="-13"/>
        </w:rPr>
        <w:t xml:space="preserve"> </w:t>
      </w:r>
      <w:r>
        <w:t>these</w:t>
      </w:r>
      <w:r>
        <w:rPr>
          <w:spacing w:val="-14"/>
        </w:rPr>
        <w:t xml:space="preserve"> </w:t>
      </w:r>
      <w:r>
        <w:t>regulations</w:t>
      </w:r>
      <w:r>
        <w:rPr>
          <w:spacing w:val="-14"/>
        </w:rPr>
        <w:t xml:space="preserve"> </w:t>
      </w:r>
      <w:r>
        <w:t>in</w:t>
      </w:r>
      <w:r>
        <w:rPr>
          <w:spacing w:val="-13"/>
        </w:rPr>
        <w:t xml:space="preserve"> </w:t>
      </w:r>
      <w:r>
        <w:t>their</w:t>
      </w:r>
      <w:r>
        <w:rPr>
          <w:spacing w:val="-15"/>
        </w:rPr>
        <w:t xml:space="preserve"> </w:t>
      </w:r>
      <w:r>
        <w:t>business.</w:t>
      </w:r>
    </w:p>
    <w:p w:rsidR="00A56FE9" w:rsidRDefault="00000000">
      <w:pPr>
        <w:pStyle w:val="Tijeloteksta"/>
        <w:spacing w:before="121"/>
        <w:ind w:right="275"/>
      </w:pPr>
      <w:r>
        <w:t>Other</w:t>
      </w:r>
      <w:r>
        <w:rPr>
          <w:spacing w:val="-7"/>
        </w:rPr>
        <w:t xml:space="preserve"> </w:t>
      </w:r>
      <w:r>
        <w:t>measures</w:t>
      </w:r>
      <w:r>
        <w:rPr>
          <w:spacing w:val="-5"/>
        </w:rPr>
        <w:t xml:space="preserve"> </w:t>
      </w:r>
      <w:r>
        <w:t>within</w:t>
      </w:r>
      <w:r>
        <w:rPr>
          <w:spacing w:val="-5"/>
        </w:rPr>
        <w:t xml:space="preserve"> </w:t>
      </w:r>
      <w:r>
        <w:t>the</w:t>
      </w:r>
      <w:r>
        <w:rPr>
          <w:spacing w:val="-6"/>
        </w:rPr>
        <w:t xml:space="preserve"> </w:t>
      </w:r>
      <w:r>
        <w:t>scope</w:t>
      </w:r>
      <w:r>
        <w:rPr>
          <w:spacing w:val="-6"/>
        </w:rPr>
        <w:t xml:space="preserve"> </w:t>
      </w:r>
      <w:r>
        <w:t>of</w:t>
      </w:r>
      <w:r>
        <w:rPr>
          <w:spacing w:val="-6"/>
        </w:rPr>
        <w:t xml:space="preserve"> </w:t>
      </w:r>
      <w:r>
        <w:t>water</w:t>
      </w:r>
      <w:r>
        <w:rPr>
          <w:spacing w:val="-6"/>
        </w:rPr>
        <w:t xml:space="preserve"> </w:t>
      </w:r>
      <w:r>
        <w:t>management</w:t>
      </w:r>
      <w:r>
        <w:rPr>
          <w:spacing w:val="-5"/>
        </w:rPr>
        <w:t xml:space="preserve"> </w:t>
      </w:r>
      <w:r>
        <w:t>envisaged</w:t>
      </w:r>
      <w:r>
        <w:rPr>
          <w:spacing w:val="-5"/>
        </w:rPr>
        <w:t xml:space="preserve"> </w:t>
      </w:r>
      <w:r>
        <w:t>by</w:t>
      </w:r>
      <w:r>
        <w:rPr>
          <w:spacing w:val="-12"/>
        </w:rPr>
        <w:t xml:space="preserve"> </w:t>
      </w:r>
      <w:r>
        <w:t>the</w:t>
      </w:r>
      <w:r>
        <w:rPr>
          <w:spacing w:val="-6"/>
        </w:rPr>
        <w:t xml:space="preserve"> </w:t>
      </w:r>
      <w:r>
        <w:t>NRP</w:t>
      </w:r>
      <w:r>
        <w:rPr>
          <w:spacing w:val="-5"/>
        </w:rPr>
        <w:t xml:space="preserve"> </w:t>
      </w:r>
      <w:r>
        <w:t>are</w:t>
      </w:r>
      <w:r>
        <w:rPr>
          <w:spacing w:val="-7"/>
        </w:rPr>
        <w:t xml:space="preserve"> </w:t>
      </w:r>
      <w:r>
        <w:t>implemented</w:t>
      </w:r>
      <w:r>
        <w:rPr>
          <w:spacing w:val="-57"/>
        </w:rPr>
        <w:t xml:space="preserve"> </w:t>
      </w:r>
      <w:r>
        <w:t>in</w:t>
      </w:r>
      <w:r>
        <w:rPr>
          <w:spacing w:val="-1"/>
        </w:rPr>
        <w:t xml:space="preserve"> </w:t>
      </w:r>
      <w:r>
        <w:t>direct contact with stakeholders.</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706112"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188260912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7F222" id="Rectangle 16" o:spid="_x0000_s1026" style="position:absolute;margin-left:69.5pt;margin-top:9.8pt;width:45.25pt;height:1.45pt;z-index:-15610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69"/>
      </w:pPr>
      <w:r>
        <w:t>The Ministry of the Sea, Transport and Infrastructure (MSTI) ensures the involvement of all</w:t>
      </w:r>
      <w:r>
        <w:rPr>
          <w:spacing w:val="1"/>
        </w:rPr>
        <w:t xml:space="preserve"> </w:t>
      </w:r>
      <w:r>
        <w:t>relevant stakeholders (infrastructure managers, carriers in passenger and freight transport,</w:t>
      </w:r>
      <w:r>
        <w:rPr>
          <w:spacing w:val="1"/>
        </w:rPr>
        <w:t xml:space="preserve"> </w:t>
      </w:r>
      <w:r>
        <w:t>government</w:t>
      </w:r>
      <w:r>
        <w:rPr>
          <w:spacing w:val="1"/>
        </w:rPr>
        <w:t xml:space="preserve"> </w:t>
      </w:r>
      <w:r>
        <w:t>agencies,</w:t>
      </w:r>
      <w:r>
        <w:rPr>
          <w:spacing w:val="1"/>
        </w:rPr>
        <w:t xml:space="preserve"> </w:t>
      </w:r>
      <w:r>
        <w:t>regulators,</w:t>
      </w:r>
      <w:r>
        <w:rPr>
          <w:spacing w:val="1"/>
        </w:rPr>
        <w:t xml:space="preserve"> </w:t>
      </w:r>
      <w:r>
        <w:t>the</w:t>
      </w:r>
      <w:r>
        <w:rPr>
          <w:spacing w:val="1"/>
        </w:rPr>
        <w:t xml:space="preserve"> </w:t>
      </w:r>
      <w:r>
        <w:t>World</w:t>
      </w:r>
      <w:r>
        <w:rPr>
          <w:spacing w:val="1"/>
        </w:rPr>
        <w:t xml:space="preserve"> </w:t>
      </w:r>
      <w:r>
        <w:t>Bank,</w:t>
      </w:r>
      <w:r>
        <w:rPr>
          <w:spacing w:val="1"/>
        </w:rPr>
        <w:t xml:space="preserve"> </w:t>
      </w:r>
      <w:r>
        <w:t>etc.)</w:t>
      </w:r>
      <w:r>
        <w:rPr>
          <w:spacing w:val="1"/>
        </w:rPr>
        <w:t xml:space="preserve"> </w:t>
      </w:r>
      <w:r>
        <w:t>in</w:t>
      </w:r>
      <w:r>
        <w:rPr>
          <w:spacing w:val="1"/>
        </w:rPr>
        <w:t xml:space="preserve"> </w:t>
      </w:r>
      <w:r>
        <w:t>preparing</w:t>
      </w:r>
      <w:r>
        <w:rPr>
          <w:spacing w:val="1"/>
        </w:rPr>
        <w:t xml:space="preserve"> </w:t>
      </w:r>
      <w:r>
        <w:t>sectoral</w:t>
      </w:r>
      <w:r>
        <w:rPr>
          <w:spacing w:val="1"/>
        </w:rPr>
        <w:t xml:space="preserve"> </w:t>
      </w:r>
      <w:r>
        <w:t>strategic</w:t>
      </w:r>
      <w:r>
        <w:rPr>
          <w:spacing w:val="1"/>
        </w:rPr>
        <w:t xml:space="preserve"> </w:t>
      </w:r>
      <w:r>
        <w:t>documents related to the NRRP reform activities. In the process of enacting laws, other</w:t>
      </w:r>
      <w:r>
        <w:rPr>
          <w:spacing w:val="1"/>
        </w:rPr>
        <w:t xml:space="preserve"> </w:t>
      </w:r>
      <w:r>
        <w:t>regulations and acts, public consultation procedures are conducted with the interested public,</w:t>
      </w:r>
      <w:r>
        <w:rPr>
          <w:spacing w:val="1"/>
        </w:rPr>
        <w:t xml:space="preserve"> </w:t>
      </w:r>
      <w:r>
        <w:rPr>
          <w:spacing w:val="-1"/>
        </w:rPr>
        <w:t>and</w:t>
      </w:r>
      <w:r>
        <w:rPr>
          <w:spacing w:val="-15"/>
        </w:rPr>
        <w:t xml:space="preserve"> </w:t>
      </w:r>
      <w:r>
        <w:rPr>
          <w:spacing w:val="-1"/>
        </w:rPr>
        <w:t>reports</w:t>
      </w:r>
      <w:r>
        <w:rPr>
          <w:spacing w:val="-15"/>
        </w:rPr>
        <w:t xml:space="preserve"> </w:t>
      </w:r>
      <w:r>
        <w:t>on</w:t>
      </w:r>
      <w:r>
        <w:rPr>
          <w:spacing w:val="-15"/>
        </w:rPr>
        <w:t xml:space="preserve"> </w:t>
      </w:r>
      <w:r>
        <w:t>the</w:t>
      </w:r>
      <w:r>
        <w:rPr>
          <w:spacing w:val="-16"/>
        </w:rPr>
        <w:t xml:space="preserve"> </w:t>
      </w:r>
      <w:r>
        <w:t>course</w:t>
      </w:r>
      <w:r>
        <w:rPr>
          <w:spacing w:val="-13"/>
        </w:rPr>
        <w:t xml:space="preserve"> </w:t>
      </w:r>
      <w:r>
        <w:t>and</w:t>
      </w:r>
      <w:r>
        <w:rPr>
          <w:spacing w:val="-15"/>
        </w:rPr>
        <w:t xml:space="preserve"> </w:t>
      </w:r>
      <w:r>
        <w:t>outcome</w:t>
      </w:r>
      <w:r>
        <w:rPr>
          <w:spacing w:val="-16"/>
        </w:rPr>
        <w:t xml:space="preserve"> </w:t>
      </w:r>
      <w:r>
        <w:t>of</w:t>
      </w:r>
      <w:r>
        <w:rPr>
          <w:spacing w:val="-15"/>
        </w:rPr>
        <w:t xml:space="preserve"> </w:t>
      </w:r>
      <w:r>
        <w:t>the</w:t>
      </w:r>
      <w:r>
        <w:rPr>
          <w:spacing w:val="-12"/>
        </w:rPr>
        <w:t xml:space="preserve"> </w:t>
      </w:r>
      <w:r>
        <w:t>consultation</w:t>
      </w:r>
      <w:r>
        <w:rPr>
          <w:spacing w:val="-14"/>
        </w:rPr>
        <w:t xml:space="preserve"> </w:t>
      </w:r>
      <w:r>
        <w:t>procedure</w:t>
      </w:r>
      <w:r>
        <w:rPr>
          <w:spacing w:val="-14"/>
        </w:rPr>
        <w:t xml:space="preserve"> </w:t>
      </w:r>
      <w:r>
        <w:t>are</w:t>
      </w:r>
      <w:r>
        <w:rPr>
          <w:spacing w:val="-16"/>
        </w:rPr>
        <w:t xml:space="preserve"> </w:t>
      </w:r>
      <w:r>
        <w:t>published</w:t>
      </w:r>
      <w:r>
        <w:rPr>
          <w:spacing w:val="-15"/>
        </w:rPr>
        <w:t xml:space="preserve"> </w:t>
      </w:r>
      <w:r>
        <w:t>on</w:t>
      </w:r>
      <w:r>
        <w:rPr>
          <w:spacing w:val="-15"/>
        </w:rPr>
        <w:t xml:space="preserve"> </w:t>
      </w:r>
      <w:r>
        <w:t>the</w:t>
      </w:r>
      <w:r>
        <w:rPr>
          <w:spacing w:val="-15"/>
        </w:rPr>
        <w:t xml:space="preserve"> </w:t>
      </w:r>
      <w:r>
        <w:t>central</w:t>
      </w:r>
      <w:r>
        <w:rPr>
          <w:spacing w:val="-57"/>
        </w:rPr>
        <w:t xml:space="preserve"> </w:t>
      </w:r>
      <w:r>
        <w:t>state</w:t>
      </w:r>
      <w:r>
        <w:rPr>
          <w:spacing w:val="1"/>
        </w:rPr>
        <w:t xml:space="preserve"> </w:t>
      </w:r>
      <w:r>
        <w:t>Internet portal for</w:t>
      </w:r>
      <w:r>
        <w:rPr>
          <w:spacing w:val="1"/>
        </w:rPr>
        <w:t xml:space="preserve"> </w:t>
      </w:r>
      <w:r>
        <w:t>public consultations</w:t>
      </w:r>
      <w:r>
        <w:rPr>
          <w:spacing w:val="1"/>
        </w:rPr>
        <w:t xml:space="preserve"> </w:t>
      </w:r>
      <w:r>
        <w:t>called</w:t>
      </w:r>
      <w:r>
        <w:rPr>
          <w:spacing w:val="1"/>
        </w:rPr>
        <w:t xml:space="preserve"> </w:t>
      </w:r>
      <w:r>
        <w:t>e-Consultation and the</w:t>
      </w:r>
      <w:r>
        <w:rPr>
          <w:spacing w:val="1"/>
        </w:rPr>
        <w:t xml:space="preserve"> </w:t>
      </w:r>
      <w:r>
        <w:t>official MSTI</w:t>
      </w:r>
      <w:r>
        <w:rPr>
          <w:spacing w:val="1"/>
        </w:rPr>
        <w:t xml:space="preserve"> </w:t>
      </w:r>
      <w:r>
        <w:t>website.</w:t>
      </w:r>
      <w:r>
        <w:rPr>
          <w:vertAlign w:val="superscript"/>
        </w:rPr>
        <w:t>54</w:t>
      </w:r>
      <w:r>
        <w:rPr>
          <w:spacing w:val="-4"/>
        </w:rPr>
        <w:t xml:space="preserve"> </w:t>
      </w:r>
      <w:r>
        <w:t>The</w:t>
      </w:r>
      <w:r>
        <w:rPr>
          <w:spacing w:val="-5"/>
        </w:rPr>
        <w:t xml:space="preserve"> </w:t>
      </w:r>
      <w:r>
        <w:t>opinions</w:t>
      </w:r>
      <w:r>
        <w:rPr>
          <w:spacing w:val="-3"/>
        </w:rPr>
        <w:t xml:space="preserve"> </w:t>
      </w:r>
      <w:r>
        <w:t>of</w:t>
      </w:r>
      <w:r>
        <w:rPr>
          <w:spacing w:val="-6"/>
        </w:rPr>
        <w:t xml:space="preserve"> </w:t>
      </w:r>
      <w:r>
        <w:t>the</w:t>
      </w:r>
      <w:r>
        <w:rPr>
          <w:spacing w:val="-4"/>
        </w:rPr>
        <w:t xml:space="preserve"> </w:t>
      </w:r>
      <w:r>
        <w:t>competent</w:t>
      </w:r>
      <w:r>
        <w:rPr>
          <w:spacing w:val="-3"/>
        </w:rPr>
        <w:t xml:space="preserve"> </w:t>
      </w:r>
      <w:r>
        <w:t>SABs</w:t>
      </w:r>
      <w:r>
        <w:rPr>
          <w:spacing w:val="-4"/>
        </w:rPr>
        <w:t xml:space="preserve"> </w:t>
      </w:r>
      <w:r>
        <w:t>are</w:t>
      </w:r>
      <w:r>
        <w:rPr>
          <w:spacing w:val="-3"/>
        </w:rPr>
        <w:t xml:space="preserve"> </w:t>
      </w:r>
      <w:r>
        <w:t>also</w:t>
      </w:r>
      <w:r>
        <w:rPr>
          <w:spacing w:val="-3"/>
        </w:rPr>
        <w:t xml:space="preserve"> </w:t>
      </w:r>
      <w:r>
        <w:t>collected.</w:t>
      </w:r>
      <w:r>
        <w:rPr>
          <w:spacing w:val="-5"/>
        </w:rPr>
        <w:t xml:space="preserve"> </w:t>
      </w:r>
      <w:r>
        <w:t>The</w:t>
      </w:r>
      <w:r>
        <w:rPr>
          <w:spacing w:val="-5"/>
        </w:rPr>
        <w:t xml:space="preserve"> </w:t>
      </w:r>
      <w:r>
        <w:t>received</w:t>
      </w:r>
      <w:r>
        <w:rPr>
          <w:spacing w:val="-4"/>
        </w:rPr>
        <w:t xml:space="preserve"> </w:t>
      </w:r>
      <w:r>
        <w:t>comments</w:t>
      </w:r>
      <w:r>
        <w:rPr>
          <w:spacing w:val="-4"/>
        </w:rPr>
        <w:t xml:space="preserve"> </w:t>
      </w:r>
      <w:r>
        <w:t>and</w:t>
      </w:r>
      <w:r>
        <w:rPr>
          <w:spacing w:val="-57"/>
        </w:rPr>
        <w:t xml:space="preserve"> </w:t>
      </w:r>
      <w:r>
        <w:t>remarks</w:t>
      </w:r>
      <w:r>
        <w:rPr>
          <w:spacing w:val="-5"/>
        </w:rPr>
        <w:t xml:space="preserve"> </w:t>
      </w:r>
      <w:r>
        <w:t>are</w:t>
      </w:r>
      <w:r>
        <w:rPr>
          <w:spacing w:val="-6"/>
        </w:rPr>
        <w:t xml:space="preserve"> </w:t>
      </w:r>
      <w:r>
        <w:t>taken</w:t>
      </w:r>
      <w:r>
        <w:rPr>
          <w:spacing w:val="-4"/>
        </w:rPr>
        <w:t xml:space="preserve"> </w:t>
      </w:r>
      <w:r>
        <w:t>into</w:t>
      </w:r>
      <w:r>
        <w:rPr>
          <w:spacing w:val="-4"/>
        </w:rPr>
        <w:t xml:space="preserve"> </w:t>
      </w:r>
      <w:r>
        <w:t>consideration</w:t>
      </w:r>
      <w:r>
        <w:rPr>
          <w:spacing w:val="-4"/>
        </w:rPr>
        <w:t xml:space="preserve"> </w:t>
      </w:r>
      <w:r>
        <w:t>and</w:t>
      </w:r>
      <w:r>
        <w:rPr>
          <w:spacing w:val="-4"/>
        </w:rPr>
        <w:t xml:space="preserve"> </w:t>
      </w:r>
      <w:r>
        <w:t>the</w:t>
      </w:r>
      <w:r>
        <w:rPr>
          <w:spacing w:val="-5"/>
        </w:rPr>
        <w:t xml:space="preserve"> </w:t>
      </w:r>
      <w:r>
        <w:t>text</w:t>
      </w:r>
      <w:r>
        <w:rPr>
          <w:spacing w:val="-3"/>
        </w:rPr>
        <w:t xml:space="preserve"> </w:t>
      </w:r>
      <w:r>
        <w:t>of</w:t>
      </w:r>
      <w:r>
        <w:rPr>
          <w:spacing w:val="-5"/>
        </w:rPr>
        <w:t xml:space="preserve"> </w:t>
      </w:r>
      <w:r>
        <w:t>the</w:t>
      </w:r>
      <w:r>
        <w:rPr>
          <w:spacing w:val="-4"/>
        </w:rPr>
        <w:t xml:space="preserve"> </w:t>
      </w:r>
      <w:r>
        <w:t>act</w:t>
      </w:r>
      <w:r>
        <w:rPr>
          <w:spacing w:val="-3"/>
        </w:rPr>
        <w:t xml:space="preserve"> </w:t>
      </w:r>
      <w:r>
        <w:t>is</w:t>
      </w:r>
      <w:r>
        <w:rPr>
          <w:spacing w:val="-3"/>
        </w:rPr>
        <w:t xml:space="preserve"> </w:t>
      </w:r>
      <w:r>
        <w:t>supplemented</w:t>
      </w:r>
      <w:r>
        <w:rPr>
          <w:spacing w:val="-2"/>
        </w:rPr>
        <w:t xml:space="preserve"> </w:t>
      </w:r>
      <w:r>
        <w:t>in</w:t>
      </w:r>
      <w:r>
        <w:rPr>
          <w:spacing w:val="-3"/>
        </w:rPr>
        <w:t xml:space="preserve"> </w:t>
      </w:r>
      <w:r>
        <w:t>accordance</w:t>
      </w:r>
      <w:r>
        <w:rPr>
          <w:spacing w:val="-5"/>
        </w:rPr>
        <w:t xml:space="preserve"> </w:t>
      </w:r>
      <w:r>
        <w:t>with</w:t>
      </w:r>
      <w:r>
        <w:rPr>
          <w:spacing w:val="-57"/>
        </w:rPr>
        <w:t xml:space="preserve"> </w:t>
      </w:r>
      <w:r>
        <w:t>the accepted comments. Stakeholders involved in implementing the reform and investment</w:t>
      </w:r>
      <w:r>
        <w:rPr>
          <w:spacing w:val="1"/>
        </w:rPr>
        <w:t xml:space="preserve"> </w:t>
      </w:r>
      <w:r>
        <w:rPr>
          <w:spacing w:val="-1"/>
        </w:rPr>
        <w:t>measures,</w:t>
      </w:r>
      <w:r>
        <w:rPr>
          <w:spacing w:val="-12"/>
        </w:rPr>
        <w:t xml:space="preserve"> </w:t>
      </w:r>
      <w:r>
        <w:rPr>
          <w:spacing w:val="-1"/>
        </w:rPr>
        <w:t>including</w:t>
      </w:r>
      <w:r>
        <w:rPr>
          <w:spacing w:val="-15"/>
        </w:rPr>
        <w:t xml:space="preserve"> </w:t>
      </w:r>
      <w:r>
        <w:t>public</w:t>
      </w:r>
      <w:r>
        <w:rPr>
          <w:spacing w:val="-12"/>
        </w:rPr>
        <w:t xml:space="preserve"> </w:t>
      </w:r>
      <w:r>
        <w:t>bodies,</w:t>
      </w:r>
      <w:r>
        <w:rPr>
          <w:spacing w:val="-8"/>
        </w:rPr>
        <w:t xml:space="preserve"> </w:t>
      </w:r>
      <w:r>
        <w:t>LRSGUs,</w:t>
      </w:r>
      <w:r>
        <w:rPr>
          <w:spacing w:val="-12"/>
        </w:rPr>
        <w:t xml:space="preserve"> </w:t>
      </w:r>
      <w:r>
        <w:t>privately</w:t>
      </w:r>
      <w:r>
        <w:rPr>
          <w:spacing w:val="-17"/>
        </w:rPr>
        <w:t xml:space="preserve"> </w:t>
      </w:r>
      <w:r>
        <w:t>and</w:t>
      </w:r>
      <w:r>
        <w:rPr>
          <w:spacing w:val="-11"/>
        </w:rPr>
        <w:t xml:space="preserve"> </w:t>
      </w:r>
      <w:r>
        <w:t>majority-owned</w:t>
      </w:r>
      <w:r>
        <w:rPr>
          <w:spacing w:val="-12"/>
        </w:rPr>
        <w:t xml:space="preserve"> </w:t>
      </w:r>
      <w:r>
        <w:t>economic</w:t>
      </w:r>
      <w:r>
        <w:rPr>
          <w:spacing w:val="-12"/>
        </w:rPr>
        <w:t xml:space="preserve"> </w:t>
      </w:r>
      <w:r>
        <w:t>operators</w:t>
      </w:r>
      <w:r>
        <w:rPr>
          <w:spacing w:val="-58"/>
        </w:rPr>
        <w:t xml:space="preserve"> </w:t>
      </w:r>
      <w:r>
        <w:t>and operators, participate in exchanging information and contributing to the preparation of</w:t>
      </w:r>
      <w:r>
        <w:rPr>
          <w:spacing w:val="1"/>
        </w:rPr>
        <w:t xml:space="preserve"> </w:t>
      </w:r>
      <w:r>
        <w:t>monthly</w:t>
      </w:r>
      <w:r>
        <w:rPr>
          <w:spacing w:val="-7"/>
        </w:rPr>
        <w:t xml:space="preserve"> </w:t>
      </w:r>
      <w:r>
        <w:t>and semi-annual</w:t>
      </w:r>
      <w:r>
        <w:rPr>
          <w:spacing w:val="2"/>
        </w:rPr>
        <w:t xml:space="preserve"> </w:t>
      </w:r>
      <w:r>
        <w:t>reports on key</w:t>
      </w:r>
      <w:r>
        <w:rPr>
          <w:spacing w:val="-5"/>
        </w:rPr>
        <w:t xml:space="preserve"> </w:t>
      </w:r>
      <w:r>
        <w:t>milestones and targets</w:t>
      </w:r>
      <w:r>
        <w:rPr>
          <w:spacing w:val="3"/>
        </w:rPr>
        <w:t xml:space="preserve"> </w:t>
      </w:r>
      <w:r>
        <w:t>of the NRRP.</w:t>
      </w:r>
    </w:p>
    <w:p w:rsidR="00A56FE9" w:rsidRDefault="00000000">
      <w:pPr>
        <w:pStyle w:val="Tijeloteksta"/>
        <w:spacing w:before="121"/>
        <w:ind w:right="274"/>
      </w:pPr>
      <w:r>
        <w:t>Introducing stakeholders and the public to the content of the NRRP subcomponent C1.4.</w:t>
      </w:r>
      <w:r>
        <w:rPr>
          <w:spacing w:val="1"/>
        </w:rPr>
        <w:t xml:space="preserve"> </w:t>
      </w:r>
      <w:r>
        <w:rPr>
          <w:spacing w:val="-1"/>
        </w:rPr>
        <w:t>Development</w:t>
      </w:r>
      <w:r>
        <w:rPr>
          <w:spacing w:val="-10"/>
        </w:rPr>
        <w:t xml:space="preserve"> </w:t>
      </w:r>
      <w:r>
        <w:rPr>
          <w:spacing w:val="-1"/>
        </w:rPr>
        <w:t>of</w:t>
      </w:r>
      <w:r>
        <w:rPr>
          <w:spacing w:val="-8"/>
        </w:rPr>
        <w:t xml:space="preserve"> </w:t>
      </w:r>
      <w:r>
        <w:t>a</w:t>
      </w:r>
      <w:r>
        <w:rPr>
          <w:spacing w:val="-11"/>
        </w:rPr>
        <w:t xml:space="preserve"> </w:t>
      </w:r>
      <w:r>
        <w:t>Competitive,</w:t>
      </w:r>
      <w:r>
        <w:rPr>
          <w:spacing w:val="-10"/>
        </w:rPr>
        <w:t xml:space="preserve"> </w:t>
      </w:r>
      <w:r>
        <w:t>Energy</w:t>
      </w:r>
      <w:r>
        <w:rPr>
          <w:spacing w:val="-15"/>
        </w:rPr>
        <w:t xml:space="preserve"> </w:t>
      </w:r>
      <w:r>
        <w:t>Sustainable</w:t>
      </w:r>
      <w:r>
        <w:rPr>
          <w:spacing w:val="-8"/>
        </w:rPr>
        <w:t xml:space="preserve"> </w:t>
      </w:r>
      <w:r>
        <w:t>and</w:t>
      </w:r>
      <w:r>
        <w:rPr>
          <w:spacing w:val="-10"/>
        </w:rPr>
        <w:t xml:space="preserve"> </w:t>
      </w:r>
      <w:r>
        <w:t>Efficient</w:t>
      </w:r>
      <w:r>
        <w:rPr>
          <w:spacing w:val="-9"/>
        </w:rPr>
        <w:t xml:space="preserve"> </w:t>
      </w:r>
      <w:r>
        <w:t>Transport</w:t>
      </w:r>
      <w:r>
        <w:rPr>
          <w:spacing w:val="-10"/>
        </w:rPr>
        <w:t xml:space="preserve"> </w:t>
      </w:r>
      <w:r>
        <w:t>System</w:t>
      </w:r>
      <w:r>
        <w:rPr>
          <w:spacing w:val="-5"/>
        </w:rPr>
        <w:t xml:space="preserve"> </w:t>
      </w:r>
      <w:r>
        <w:t>was</w:t>
      </w:r>
      <w:r>
        <w:rPr>
          <w:spacing w:val="-10"/>
        </w:rPr>
        <w:t xml:space="preserve"> </w:t>
      </w:r>
      <w:r>
        <w:t>carried</w:t>
      </w:r>
      <w:r>
        <w:rPr>
          <w:spacing w:val="-58"/>
        </w:rPr>
        <w:t xml:space="preserve"> </w:t>
      </w:r>
      <w:r>
        <w:t>out, with other activities, by holding thematic meetings. The emphasised goal of the thematic</w:t>
      </w:r>
      <w:r>
        <w:rPr>
          <w:spacing w:val="1"/>
        </w:rPr>
        <w:t xml:space="preserve"> </w:t>
      </w:r>
      <w:r>
        <w:t>meetings was to involve stakeholders outside the circle of public authorities in implementing</w:t>
      </w:r>
      <w:r>
        <w:rPr>
          <w:spacing w:val="1"/>
        </w:rPr>
        <w:t xml:space="preserve"> </w:t>
      </w:r>
      <w:r>
        <w:t>the reforms. Hence, at the meeting on 2 March 2021, the participation of the Air Transport</w:t>
      </w:r>
      <w:r>
        <w:rPr>
          <w:spacing w:val="1"/>
        </w:rPr>
        <w:t xml:space="preserve"> </w:t>
      </w:r>
      <w:r>
        <w:t>Association and members of the Croatian Chamber of Economy took place, while the meeting</w:t>
      </w:r>
      <w:r>
        <w:rPr>
          <w:spacing w:val="-57"/>
        </w:rPr>
        <w:t xml:space="preserve"> </w:t>
      </w:r>
      <w:r>
        <w:t>held on 29 March 2021 included representatives of the Croatian Employer’s Association from</w:t>
      </w:r>
      <w:r>
        <w:rPr>
          <w:spacing w:val="-57"/>
        </w:rPr>
        <w:t xml:space="preserve"> </w:t>
      </w:r>
      <w:r>
        <w:t>the transport, logistics and distribution sectors, and the meeting on 22 April 2021 focused on</w:t>
      </w:r>
      <w:r>
        <w:rPr>
          <w:spacing w:val="1"/>
        </w:rPr>
        <w:t xml:space="preserve"> </w:t>
      </w:r>
      <w:r>
        <w:t>members</w:t>
      </w:r>
      <w:r>
        <w:rPr>
          <w:spacing w:val="-1"/>
        </w:rPr>
        <w:t xml:space="preserve"> </w:t>
      </w:r>
      <w:r>
        <w:t>of</w:t>
      </w:r>
      <w:r>
        <w:rPr>
          <w:spacing w:val="-2"/>
        </w:rPr>
        <w:t xml:space="preserve"> </w:t>
      </w:r>
      <w:r>
        <w:t>the Croatian</w:t>
      </w:r>
      <w:r>
        <w:rPr>
          <w:spacing w:val="2"/>
        </w:rPr>
        <w:t xml:space="preserve"> </w:t>
      </w:r>
      <w:r>
        <w:t>Chamber</w:t>
      </w:r>
      <w:r>
        <w:rPr>
          <w:spacing w:val="-2"/>
        </w:rPr>
        <w:t xml:space="preserve"> </w:t>
      </w:r>
      <w:r>
        <w:t>of Economy</w:t>
      </w:r>
      <w:r>
        <w:rPr>
          <w:spacing w:val="-5"/>
        </w:rPr>
        <w:t xml:space="preserve"> </w:t>
      </w:r>
      <w:r>
        <w:t>from the</w:t>
      </w:r>
      <w:r>
        <w:rPr>
          <w:spacing w:val="-1"/>
        </w:rPr>
        <w:t xml:space="preserve"> </w:t>
      </w:r>
      <w:r>
        <w:t>transport sector.</w:t>
      </w:r>
    </w:p>
    <w:p w:rsidR="00A56FE9" w:rsidRDefault="00000000">
      <w:pPr>
        <w:pStyle w:val="Tijeloteksta"/>
        <w:spacing w:before="121"/>
        <w:ind w:right="272"/>
      </w:pPr>
      <w:r>
        <w:t>To achieve a developed railway sector that provides quality services to society and is fully</w:t>
      </w:r>
      <w:r>
        <w:rPr>
          <w:spacing w:val="1"/>
        </w:rPr>
        <w:t xml:space="preserve"> </w:t>
      </w:r>
      <w:r>
        <w:rPr>
          <w:spacing w:val="-1"/>
        </w:rPr>
        <w:t>integrated</w:t>
      </w:r>
      <w:r>
        <w:rPr>
          <w:spacing w:val="-13"/>
        </w:rPr>
        <w:t xml:space="preserve"> </w:t>
      </w:r>
      <w:r>
        <w:rPr>
          <w:spacing w:val="-1"/>
        </w:rPr>
        <w:t>with</w:t>
      </w:r>
      <w:r>
        <w:rPr>
          <w:spacing w:val="-12"/>
        </w:rPr>
        <w:t xml:space="preserve"> </w:t>
      </w:r>
      <w:r>
        <w:rPr>
          <w:spacing w:val="-1"/>
        </w:rPr>
        <w:t>other</w:t>
      </w:r>
      <w:r>
        <w:rPr>
          <w:spacing w:val="-14"/>
        </w:rPr>
        <w:t xml:space="preserve"> </w:t>
      </w:r>
      <w:r>
        <w:t>branches</w:t>
      </w:r>
      <w:r>
        <w:rPr>
          <w:spacing w:val="-11"/>
        </w:rPr>
        <w:t xml:space="preserve"> </w:t>
      </w:r>
      <w:r>
        <w:t>of</w:t>
      </w:r>
      <w:r>
        <w:rPr>
          <w:spacing w:val="-13"/>
        </w:rPr>
        <w:t xml:space="preserve"> </w:t>
      </w:r>
      <w:r>
        <w:t>transport,</w:t>
      </w:r>
      <w:r>
        <w:rPr>
          <w:spacing w:val="-11"/>
        </w:rPr>
        <w:t xml:space="preserve"> </w:t>
      </w:r>
      <w:r>
        <w:t>the</w:t>
      </w:r>
      <w:r>
        <w:rPr>
          <w:spacing w:val="-13"/>
        </w:rPr>
        <w:t xml:space="preserve"> </w:t>
      </w:r>
      <w:r>
        <w:t>Ministry</w:t>
      </w:r>
      <w:r>
        <w:rPr>
          <w:spacing w:val="-16"/>
        </w:rPr>
        <w:t xml:space="preserve"> </w:t>
      </w:r>
      <w:r>
        <w:t>of</w:t>
      </w:r>
      <w:r>
        <w:rPr>
          <w:spacing w:val="-13"/>
        </w:rPr>
        <w:t xml:space="preserve"> </w:t>
      </w:r>
      <w:r>
        <w:t>the</w:t>
      </w:r>
      <w:r>
        <w:rPr>
          <w:spacing w:val="-13"/>
        </w:rPr>
        <w:t xml:space="preserve"> </w:t>
      </w:r>
      <w:r>
        <w:t>Sea,</w:t>
      </w:r>
      <w:r>
        <w:rPr>
          <w:spacing w:val="-11"/>
        </w:rPr>
        <w:t xml:space="preserve"> </w:t>
      </w:r>
      <w:r>
        <w:t>Transport</w:t>
      </w:r>
      <w:r>
        <w:rPr>
          <w:spacing w:val="-10"/>
        </w:rPr>
        <w:t xml:space="preserve"> </w:t>
      </w:r>
      <w:r>
        <w:t>and</w:t>
      </w:r>
      <w:r>
        <w:rPr>
          <w:spacing w:val="-10"/>
        </w:rPr>
        <w:t xml:space="preserve"> </w:t>
      </w:r>
      <w:r>
        <w:t>Infrastructure</w:t>
      </w:r>
      <w:r>
        <w:rPr>
          <w:spacing w:val="-57"/>
        </w:rPr>
        <w:t xml:space="preserve"> </w:t>
      </w:r>
      <w:r>
        <w:t>(MSTI) in cooperation with the management of railway companies (HŽ Infrastruktura, HŽ</w:t>
      </w:r>
      <w:r>
        <w:rPr>
          <w:spacing w:val="1"/>
        </w:rPr>
        <w:t xml:space="preserve"> </w:t>
      </w:r>
      <w:r>
        <w:t>Putnički prijevoz and HŽ Cargo), creates and implements activities in the railway sector.</w:t>
      </w:r>
      <w:r>
        <w:rPr>
          <w:spacing w:val="1"/>
        </w:rPr>
        <w:t xml:space="preserve"> </w:t>
      </w:r>
      <w:r>
        <w:t>Accordingly, all railway companies are actively involved in the processes of defining and</w:t>
      </w:r>
      <w:r>
        <w:rPr>
          <w:spacing w:val="1"/>
        </w:rPr>
        <w:t xml:space="preserve"> </w:t>
      </w:r>
      <w:r>
        <w:t>implementing</w:t>
      </w:r>
      <w:r>
        <w:rPr>
          <w:spacing w:val="-13"/>
        </w:rPr>
        <w:t xml:space="preserve"> </w:t>
      </w:r>
      <w:r>
        <w:t>the</w:t>
      </w:r>
      <w:r>
        <w:rPr>
          <w:spacing w:val="-12"/>
        </w:rPr>
        <w:t xml:space="preserve"> </w:t>
      </w:r>
      <w:r>
        <w:t>NRRP.</w:t>
      </w:r>
      <w:r>
        <w:rPr>
          <w:spacing w:val="-8"/>
        </w:rPr>
        <w:t xml:space="preserve"> </w:t>
      </w:r>
      <w:r>
        <w:t>In</w:t>
      </w:r>
      <w:r>
        <w:rPr>
          <w:spacing w:val="-9"/>
        </w:rPr>
        <w:t xml:space="preserve"> </w:t>
      </w:r>
      <w:r>
        <w:t>2021,</w:t>
      </w:r>
      <w:r>
        <w:rPr>
          <w:spacing w:val="-11"/>
        </w:rPr>
        <w:t xml:space="preserve"> </w:t>
      </w:r>
      <w:r>
        <w:t>an</w:t>
      </w:r>
      <w:r>
        <w:rPr>
          <w:spacing w:val="-9"/>
        </w:rPr>
        <w:t xml:space="preserve"> </w:t>
      </w:r>
      <w:r>
        <w:t>expert</w:t>
      </w:r>
      <w:r>
        <w:rPr>
          <w:spacing w:val="-11"/>
        </w:rPr>
        <w:t xml:space="preserve"> </w:t>
      </w:r>
      <w:r>
        <w:t>working</w:t>
      </w:r>
      <w:r>
        <w:rPr>
          <w:spacing w:val="-11"/>
        </w:rPr>
        <w:t xml:space="preserve"> </w:t>
      </w:r>
      <w:r>
        <w:t>group</w:t>
      </w:r>
      <w:r>
        <w:rPr>
          <w:spacing w:val="-10"/>
        </w:rPr>
        <w:t xml:space="preserve"> </w:t>
      </w:r>
      <w:r>
        <w:t>for</w:t>
      </w:r>
      <w:r>
        <w:rPr>
          <w:spacing w:val="-13"/>
        </w:rPr>
        <w:t xml:space="preserve"> </w:t>
      </w:r>
      <w:r>
        <w:t>supporting</w:t>
      </w:r>
      <w:r>
        <w:rPr>
          <w:spacing w:val="-13"/>
        </w:rPr>
        <w:t xml:space="preserve"> </w:t>
      </w:r>
      <w:r>
        <w:t>reform</w:t>
      </w:r>
      <w:r>
        <w:rPr>
          <w:spacing w:val="-11"/>
        </w:rPr>
        <w:t xml:space="preserve"> </w:t>
      </w:r>
      <w:r>
        <w:t>activities</w:t>
      </w:r>
      <w:r>
        <w:rPr>
          <w:spacing w:val="-11"/>
        </w:rPr>
        <w:t xml:space="preserve"> </w:t>
      </w:r>
      <w:r>
        <w:t>and</w:t>
      </w:r>
      <w:r>
        <w:rPr>
          <w:spacing w:val="-58"/>
        </w:rPr>
        <w:t xml:space="preserve"> </w:t>
      </w:r>
      <w:r>
        <w:t>an interdepartmental working group for resolving issues involving liner projects in the railway</w:t>
      </w:r>
      <w:r>
        <w:rPr>
          <w:spacing w:val="-57"/>
        </w:rPr>
        <w:t xml:space="preserve"> </w:t>
      </w:r>
      <w:r>
        <w:t>sector were established for the purpose of increasing the quality of railway transport services</w:t>
      </w:r>
      <w:r>
        <w:rPr>
          <w:spacing w:val="1"/>
        </w:rPr>
        <w:t xml:space="preserve"> </w:t>
      </w:r>
      <w:r>
        <w:t>and</w:t>
      </w:r>
      <w:r>
        <w:rPr>
          <w:spacing w:val="-6"/>
        </w:rPr>
        <w:t xml:space="preserve"> </w:t>
      </w:r>
      <w:r>
        <w:t>reducing</w:t>
      </w:r>
      <w:r>
        <w:rPr>
          <w:spacing w:val="-6"/>
        </w:rPr>
        <w:t xml:space="preserve"> </w:t>
      </w:r>
      <w:r>
        <w:t>administrative</w:t>
      </w:r>
      <w:r>
        <w:rPr>
          <w:spacing w:val="-6"/>
        </w:rPr>
        <w:t xml:space="preserve"> </w:t>
      </w:r>
      <w:r>
        <w:t>and</w:t>
      </w:r>
      <w:r>
        <w:rPr>
          <w:spacing w:val="-4"/>
        </w:rPr>
        <w:t xml:space="preserve"> </w:t>
      </w:r>
      <w:r>
        <w:t>institutional</w:t>
      </w:r>
      <w:r>
        <w:rPr>
          <w:spacing w:val="-6"/>
        </w:rPr>
        <w:t xml:space="preserve"> </w:t>
      </w:r>
      <w:r>
        <w:t>barriers</w:t>
      </w:r>
      <w:r>
        <w:rPr>
          <w:spacing w:val="-6"/>
        </w:rPr>
        <w:t xml:space="preserve"> </w:t>
      </w:r>
      <w:r>
        <w:t>for</w:t>
      </w:r>
      <w:r>
        <w:rPr>
          <w:spacing w:val="-6"/>
        </w:rPr>
        <w:t xml:space="preserve"> </w:t>
      </w:r>
      <w:r>
        <w:t>more</w:t>
      </w:r>
      <w:r>
        <w:rPr>
          <w:spacing w:val="-4"/>
        </w:rPr>
        <w:t xml:space="preserve"> </w:t>
      </w:r>
      <w:r>
        <w:t>efficient</w:t>
      </w:r>
      <w:r>
        <w:rPr>
          <w:spacing w:val="-6"/>
        </w:rPr>
        <w:t xml:space="preserve"> </w:t>
      </w:r>
      <w:r>
        <w:t>management</w:t>
      </w:r>
      <w:r>
        <w:rPr>
          <w:spacing w:val="-6"/>
        </w:rPr>
        <w:t xml:space="preserve"> </w:t>
      </w:r>
      <w:r>
        <w:t>of</w:t>
      </w:r>
      <w:r>
        <w:rPr>
          <w:spacing w:val="-6"/>
        </w:rPr>
        <w:t xml:space="preserve"> </w:t>
      </w:r>
      <w:r>
        <w:t>project</w:t>
      </w:r>
      <w:r>
        <w:rPr>
          <w:spacing w:val="-58"/>
        </w:rPr>
        <w:t xml:space="preserve"> </w:t>
      </w:r>
      <w:r>
        <w:t>cycles</w:t>
      </w:r>
      <w:r>
        <w:rPr>
          <w:spacing w:val="-9"/>
        </w:rPr>
        <w:t xml:space="preserve"> </w:t>
      </w:r>
      <w:r>
        <w:t>related</w:t>
      </w:r>
      <w:r>
        <w:rPr>
          <w:spacing w:val="-9"/>
        </w:rPr>
        <w:t xml:space="preserve"> </w:t>
      </w:r>
      <w:r>
        <w:t>to</w:t>
      </w:r>
      <w:r>
        <w:rPr>
          <w:spacing w:val="-8"/>
        </w:rPr>
        <w:t xml:space="preserve"> </w:t>
      </w:r>
      <w:r>
        <w:t>railway</w:t>
      </w:r>
      <w:r>
        <w:rPr>
          <w:spacing w:val="-12"/>
        </w:rPr>
        <w:t xml:space="preserve"> </w:t>
      </w:r>
      <w:r>
        <w:t>line</w:t>
      </w:r>
      <w:r>
        <w:rPr>
          <w:spacing w:val="-10"/>
        </w:rPr>
        <w:t xml:space="preserve"> </w:t>
      </w:r>
      <w:r>
        <w:t>infrastructure</w:t>
      </w:r>
      <w:r>
        <w:rPr>
          <w:spacing w:val="-10"/>
        </w:rPr>
        <w:t xml:space="preserve"> </w:t>
      </w:r>
      <w:r>
        <w:t>projects</w:t>
      </w:r>
      <w:r>
        <w:rPr>
          <w:spacing w:val="-5"/>
        </w:rPr>
        <w:t xml:space="preserve"> </w:t>
      </w:r>
      <w:r>
        <w:t>in</w:t>
      </w:r>
      <w:r>
        <w:rPr>
          <w:spacing w:val="-8"/>
        </w:rPr>
        <w:t xml:space="preserve"> </w:t>
      </w:r>
      <w:r>
        <w:t>terms</w:t>
      </w:r>
      <w:r>
        <w:rPr>
          <w:spacing w:val="-7"/>
        </w:rPr>
        <w:t xml:space="preserve"> </w:t>
      </w:r>
      <w:r>
        <w:t>of</w:t>
      </w:r>
      <w:r>
        <w:rPr>
          <w:spacing w:val="-9"/>
        </w:rPr>
        <w:t xml:space="preserve"> </w:t>
      </w:r>
      <w:r>
        <w:t>the</w:t>
      </w:r>
      <w:r>
        <w:rPr>
          <w:spacing w:val="-9"/>
        </w:rPr>
        <w:t xml:space="preserve"> </w:t>
      </w:r>
      <w:r>
        <w:t>implementation</w:t>
      </w:r>
      <w:r>
        <w:rPr>
          <w:spacing w:val="-8"/>
        </w:rPr>
        <w:t xml:space="preserve"> </w:t>
      </w:r>
      <w:r>
        <w:t>of</w:t>
      </w:r>
      <w:r>
        <w:rPr>
          <w:spacing w:val="-8"/>
        </w:rPr>
        <w:t xml:space="preserve"> </w:t>
      </w:r>
      <w:r>
        <w:t>measures</w:t>
      </w:r>
      <w:r>
        <w:rPr>
          <w:spacing w:val="-58"/>
        </w:rPr>
        <w:t xml:space="preserve"> </w:t>
      </w:r>
      <w:r>
        <w:t>and</w:t>
      </w:r>
      <w:r>
        <w:rPr>
          <w:spacing w:val="-9"/>
        </w:rPr>
        <w:t xml:space="preserve"> </w:t>
      </w:r>
      <w:r>
        <w:t>activities</w:t>
      </w:r>
      <w:r>
        <w:rPr>
          <w:spacing w:val="-9"/>
        </w:rPr>
        <w:t xml:space="preserve"> </w:t>
      </w:r>
      <w:r>
        <w:t>from</w:t>
      </w:r>
      <w:r>
        <w:rPr>
          <w:spacing w:val="-8"/>
        </w:rPr>
        <w:t xml:space="preserve"> </w:t>
      </w:r>
      <w:r>
        <w:t>the</w:t>
      </w:r>
      <w:r>
        <w:rPr>
          <w:spacing w:val="-9"/>
        </w:rPr>
        <w:t xml:space="preserve"> </w:t>
      </w:r>
      <w:r>
        <w:t>Sectoral</w:t>
      </w:r>
      <w:r>
        <w:rPr>
          <w:spacing w:val="-8"/>
        </w:rPr>
        <w:t xml:space="preserve"> </w:t>
      </w:r>
      <w:r>
        <w:t>Policy</w:t>
      </w:r>
      <w:r>
        <w:rPr>
          <w:spacing w:val="-10"/>
        </w:rPr>
        <w:t xml:space="preserve"> </w:t>
      </w:r>
      <w:r>
        <w:t>Letter.</w:t>
      </w:r>
      <w:r>
        <w:rPr>
          <w:spacing w:val="-9"/>
        </w:rPr>
        <w:t xml:space="preserve"> </w:t>
      </w:r>
      <w:r>
        <w:t>Accordingly,</w:t>
      </w:r>
      <w:r>
        <w:rPr>
          <w:spacing w:val="-9"/>
        </w:rPr>
        <w:t xml:space="preserve"> </w:t>
      </w:r>
      <w:r>
        <w:t>monitoring</w:t>
      </w:r>
      <w:r>
        <w:rPr>
          <w:spacing w:val="-11"/>
        </w:rPr>
        <w:t xml:space="preserve"> </w:t>
      </w:r>
      <w:r>
        <w:t>of</w:t>
      </w:r>
      <w:r>
        <w:rPr>
          <w:spacing w:val="-8"/>
        </w:rPr>
        <w:t xml:space="preserve"> </w:t>
      </w:r>
      <w:r>
        <w:t>specific</w:t>
      </w:r>
      <w:r>
        <w:rPr>
          <w:spacing w:val="-9"/>
        </w:rPr>
        <w:t xml:space="preserve"> </w:t>
      </w:r>
      <w:r>
        <w:t>performance</w:t>
      </w:r>
      <w:r>
        <w:rPr>
          <w:spacing w:val="-58"/>
        </w:rPr>
        <w:t xml:space="preserve"> </w:t>
      </w:r>
      <w:r>
        <w:t>indicators</w:t>
      </w:r>
      <w:r>
        <w:rPr>
          <w:spacing w:val="34"/>
        </w:rPr>
        <w:t xml:space="preserve"> </w:t>
      </w:r>
      <w:r>
        <w:t>and</w:t>
      </w:r>
      <w:r>
        <w:rPr>
          <w:spacing w:val="34"/>
        </w:rPr>
        <w:t xml:space="preserve"> </w:t>
      </w:r>
      <w:r>
        <w:t>result</w:t>
      </w:r>
      <w:r>
        <w:rPr>
          <w:spacing w:val="35"/>
        </w:rPr>
        <w:t xml:space="preserve"> </w:t>
      </w:r>
      <w:r>
        <w:t>indicators</w:t>
      </w:r>
      <w:r>
        <w:rPr>
          <w:spacing w:val="34"/>
        </w:rPr>
        <w:t xml:space="preserve"> </w:t>
      </w:r>
      <w:r>
        <w:t>will</w:t>
      </w:r>
      <w:r>
        <w:rPr>
          <w:spacing w:val="36"/>
        </w:rPr>
        <w:t xml:space="preserve"> </w:t>
      </w:r>
      <w:r>
        <w:t>make</w:t>
      </w:r>
      <w:r>
        <w:rPr>
          <w:spacing w:val="33"/>
        </w:rPr>
        <w:t xml:space="preserve"> </w:t>
      </w:r>
      <w:r>
        <w:t>measuring</w:t>
      </w:r>
      <w:r>
        <w:rPr>
          <w:spacing w:val="33"/>
        </w:rPr>
        <w:t xml:space="preserve"> </w:t>
      </w:r>
      <w:r>
        <w:t>the</w:t>
      </w:r>
      <w:r>
        <w:rPr>
          <w:spacing w:val="34"/>
        </w:rPr>
        <w:t xml:space="preserve"> </w:t>
      </w:r>
      <w:r>
        <w:t>work</w:t>
      </w:r>
      <w:r>
        <w:rPr>
          <w:spacing w:val="35"/>
        </w:rPr>
        <w:t xml:space="preserve"> </w:t>
      </w:r>
      <w:r>
        <w:t>of</w:t>
      </w:r>
      <w:r>
        <w:rPr>
          <w:spacing w:val="36"/>
        </w:rPr>
        <w:t xml:space="preserve"> </w:t>
      </w:r>
      <w:r>
        <w:t>companies</w:t>
      </w:r>
      <w:r>
        <w:rPr>
          <w:spacing w:val="36"/>
        </w:rPr>
        <w:t xml:space="preserve"> </w:t>
      </w:r>
      <w:r>
        <w:t>possible,</w:t>
      </w:r>
      <w:r>
        <w:rPr>
          <w:spacing w:val="34"/>
        </w:rPr>
        <w:t xml:space="preserve"> </w:t>
      </w:r>
      <w:r>
        <w:t>thus</w:t>
      </w:r>
    </w:p>
    <w:p w:rsidR="00A56FE9" w:rsidRDefault="00CC1B9B">
      <w:pPr>
        <w:pStyle w:val="Tijeloteksta"/>
        <w:spacing w:before="5"/>
        <w:ind w:left="0"/>
        <w:jc w:val="left"/>
        <w:rPr>
          <w:sz w:val="23"/>
        </w:rPr>
      </w:pPr>
      <w:r>
        <w:rPr>
          <w:noProof/>
        </w:rPr>
        <mc:AlternateContent>
          <mc:Choice Requires="wps">
            <w:drawing>
              <wp:anchor distT="0" distB="0" distL="0" distR="0" simplePos="0" relativeHeight="487706624" behindDoc="1" locked="0" layoutInCell="1" allowOverlap="1">
                <wp:simplePos x="0" y="0"/>
                <wp:positionH relativeFrom="page">
                  <wp:posOffset>901065</wp:posOffset>
                </wp:positionH>
                <wp:positionV relativeFrom="paragraph">
                  <wp:posOffset>196215</wp:posOffset>
                </wp:positionV>
                <wp:extent cx="1828800" cy="7620"/>
                <wp:effectExtent l="0" t="0" r="0" b="0"/>
                <wp:wrapTopAndBottom/>
                <wp:docPr id="110752161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6CF90" id="Rectangle 15" o:spid="_x0000_s1026" style="position:absolute;margin-left:70.95pt;margin-top:15.45pt;width:2in;height:.6pt;z-index:-15609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" fillcolor="black" stroked="f">
                <w10:wrap type="topAndBottom" anchorx="page"/>
              </v:rect>
            </w:pict>
          </mc:Fallback>
        </mc:AlternateContent>
      </w:r>
    </w:p>
    <w:p w:rsidR="00A56FE9" w:rsidRDefault="00000000">
      <w:pPr>
        <w:spacing w:before="76"/>
        <w:ind w:left="138"/>
        <w:rPr>
          <w:sz w:val="16"/>
        </w:rPr>
      </w:pPr>
      <w:r>
        <w:rPr>
          <w:sz w:val="16"/>
          <w:vertAlign w:val="superscript"/>
        </w:rPr>
        <w:t>54</w:t>
      </w:r>
      <w:r>
        <w:rPr>
          <w:spacing w:val="-5"/>
          <w:sz w:val="16"/>
        </w:rPr>
        <w:t xml:space="preserve"> </w:t>
      </w:r>
      <w:hyperlink r:id="rId24">
        <w:r>
          <w:rPr>
            <w:sz w:val="16"/>
            <w:u w:val="single"/>
          </w:rPr>
          <w:t>https://mmpi.gov.hr</w:t>
        </w:r>
        <w:r>
          <w:rPr>
            <w:sz w:val="16"/>
          </w:rPr>
          <w:t>/</w:t>
        </w:r>
      </w:hyperlink>
    </w:p>
    <w:p w:rsidR="00A56FE9" w:rsidRDefault="00A56FE9">
      <w:pPr>
        <w:rPr>
          <w:sz w:val="16"/>
        </w:rPr>
        <w:sectPr w:rsidR="00A56FE9" w:rsidSect="00AB1E70">
          <w:footerReference w:type="default" r:id="rId25"/>
          <w:pgSz w:w="11910" w:h="16840"/>
          <w:pgMar w:top="1320" w:right="1140" w:bottom="960" w:left="1280" w:header="0" w:footer="779" w:gutter="0"/>
          <w:cols w:space="720"/>
        </w:sectPr>
      </w:pPr>
    </w:p>
    <w:p w:rsidR="00A56FE9" w:rsidRDefault="00000000">
      <w:pPr>
        <w:pStyle w:val="Tijeloteksta"/>
        <w:spacing w:before="74"/>
        <w:jc w:val="left"/>
      </w:pPr>
      <w:r>
        <w:t>directly</w:t>
      </w:r>
      <w:r>
        <w:rPr>
          <w:spacing w:val="17"/>
        </w:rPr>
        <w:t xml:space="preserve"> </w:t>
      </w:r>
      <w:r>
        <w:t>linking</w:t>
      </w:r>
      <w:r>
        <w:rPr>
          <w:spacing w:val="18"/>
        </w:rPr>
        <w:t xml:space="preserve"> </w:t>
      </w:r>
      <w:r>
        <w:t>state</w:t>
      </w:r>
      <w:r>
        <w:rPr>
          <w:spacing w:val="19"/>
        </w:rPr>
        <w:t xml:space="preserve"> </w:t>
      </w:r>
      <w:r>
        <w:t>support</w:t>
      </w:r>
      <w:r>
        <w:rPr>
          <w:spacing w:val="23"/>
        </w:rPr>
        <w:t xml:space="preserve"> </w:t>
      </w:r>
      <w:r>
        <w:t>to</w:t>
      </w:r>
      <w:r>
        <w:rPr>
          <w:spacing w:val="20"/>
        </w:rPr>
        <w:t xml:space="preserve"> </w:t>
      </w:r>
      <w:r>
        <w:t>improving</w:t>
      </w:r>
      <w:r>
        <w:rPr>
          <w:spacing w:val="19"/>
        </w:rPr>
        <w:t xml:space="preserve"> </w:t>
      </w:r>
      <w:r>
        <w:t>efficiency,</w:t>
      </w:r>
      <w:r>
        <w:rPr>
          <w:spacing w:val="24"/>
        </w:rPr>
        <w:t xml:space="preserve"> </w:t>
      </w:r>
      <w:r>
        <w:t>and</w:t>
      </w:r>
      <w:r>
        <w:rPr>
          <w:spacing w:val="19"/>
        </w:rPr>
        <w:t xml:space="preserve"> </w:t>
      </w:r>
      <w:r>
        <w:t>consequently</w:t>
      </w:r>
      <w:r>
        <w:rPr>
          <w:spacing w:val="17"/>
        </w:rPr>
        <w:t xml:space="preserve"> </w:t>
      </w:r>
      <w:r>
        <w:t>increasing</w:t>
      </w:r>
      <w:r>
        <w:rPr>
          <w:spacing w:val="18"/>
        </w:rPr>
        <w:t xml:space="preserve"> </w:t>
      </w:r>
      <w:r>
        <w:t>the</w:t>
      </w:r>
      <w:r>
        <w:rPr>
          <w:spacing w:val="-57"/>
        </w:rPr>
        <w:t xml:space="preserve"> </w:t>
      </w:r>
      <w:r>
        <w:t>efficiency</w:t>
      </w:r>
      <w:r>
        <w:rPr>
          <w:spacing w:val="-5"/>
        </w:rPr>
        <w:t xml:space="preserve"> </w:t>
      </w:r>
      <w:r>
        <w:t>of spending</w:t>
      </w:r>
      <w:r>
        <w:rPr>
          <w:spacing w:val="-3"/>
        </w:rPr>
        <w:t xml:space="preserve"> </w:t>
      </w:r>
      <w:r>
        <w:t>public</w:t>
      </w:r>
      <w:r>
        <w:rPr>
          <w:spacing w:val="-1"/>
        </w:rPr>
        <w:t xml:space="preserve"> </w:t>
      </w:r>
      <w:r>
        <w:t>funds.</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707136"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179418570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0A40F" id="Rectangle 14" o:spid="_x0000_s1026" style="position:absolute;margin-left:69.5pt;margin-top:9.8pt;width:45.25pt;height:1.45pt;z-index:-15609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t>In the consultations on amendments to the Rural Development Program 2014-2022 during</w:t>
      </w:r>
      <w:r>
        <w:rPr>
          <w:spacing w:val="1"/>
        </w:rPr>
        <w:t xml:space="preserve"> </w:t>
      </w:r>
      <w:r>
        <w:t>2021, and in adhering to extending the validity of the Program in the transition period (2021</w:t>
      </w:r>
      <w:r>
        <w:rPr>
          <w:spacing w:val="1"/>
        </w:rPr>
        <w:t xml:space="preserve"> </w:t>
      </w:r>
      <w:r>
        <w:t>and 2022) and additional funds from the MFF 2021-2027 and the European Union Recovery</w:t>
      </w:r>
      <w:r>
        <w:rPr>
          <w:spacing w:val="1"/>
        </w:rPr>
        <w:t xml:space="preserve"> </w:t>
      </w:r>
      <w:r>
        <w:t>Instrument (EURI), all measures and related allocations were discussed with the Programme</w:t>
      </w:r>
      <w:r>
        <w:rPr>
          <w:spacing w:val="1"/>
        </w:rPr>
        <w:t xml:space="preserve"> </w:t>
      </w:r>
      <w:r>
        <w:t>Monitoring Committee (hereinafter: Programme MC), consisting of representatives of 48</w:t>
      </w:r>
      <w:r>
        <w:rPr>
          <w:spacing w:val="1"/>
        </w:rPr>
        <w:t xml:space="preserve"> </w:t>
      </w:r>
      <w:r>
        <w:t>members of the SABs, LRSGUs, public bodies, social and economic partners, academia and</w:t>
      </w:r>
      <w:r>
        <w:rPr>
          <w:spacing w:val="1"/>
        </w:rPr>
        <w:t xml:space="preserve"> </w:t>
      </w:r>
      <w:r>
        <w:t>civil society</w:t>
      </w:r>
      <w:r>
        <w:rPr>
          <w:spacing w:val="-5"/>
        </w:rPr>
        <w:t xml:space="preserve"> </w:t>
      </w:r>
      <w:r>
        <w:t>organisations.</w:t>
      </w:r>
    </w:p>
    <w:p w:rsidR="00A56FE9" w:rsidRDefault="00000000">
      <w:pPr>
        <w:pStyle w:val="Tijeloteksta"/>
        <w:spacing w:before="120"/>
        <w:ind w:right="274"/>
      </w:pPr>
      <w:r>
        <w:t>In</w:t>
      </w:r>
      <w:r>
        <w:rPr>
          <w:spacing w:val="-4"/>
        </w:rPr>
        <w:t xml:space="preserve"> </w:t>
      </w:r>
      <w:r>
        <w:t>2021,</w:t>
      </w:r>
      <w:r>
        <w:rPr>
          <w:spacing w:val="-4"/>
        </w:rPr>
        <w:t xml:space="preserve"> </w:t>
      </w:r>
      <w:r>
        <w:t>the</w:t>
      </w:r>
      <w:r>
        <w:rPr>
          <w:spacing w:val="-4"/>
        </w:rPr>
        <w:t xml:space="preserve"> </w:t>
      </w:r>
      <w:r>
        <w:t>draft</w:t>
      </w:r>
      <w:r>
        <w:rPr>
          <w:spacing w:val="-4"/>
        </w:rPr>
        <w:t xml:space="preserve"> </w:t>
      </w:r>
      <w:r>
        <w:t>Strategic</w:t>
      </w:r>
      <w:r>
        <w:rPr>
          <w:spacing w:val="-3"/>
        </w:rPr>
        <w:t xml:space="preserve"> </w:t>
      </w:r>
      <w:r>
        <w:t>Plan</w:t>
      </w:r>
      <w:r>
        <w:rPr>
          <w:spacing w:val="-4"/>
        </w:rPr>
        <w:t xml:space="preserve"> </w:t>
      </w:r>
      <w:r>
        <w:t>of</w:t>
      </w:r>
      <w:r>
        <w:rPr>
          <w:spacing w:val="-4"/>
        </w:rPr>
        <w:t xml:space="preserve"> </w:t>
      </w:r>
      <w:r>
        <w:t>the</w:t>
      </w:r>
      <w:r>
        <w:rPr>
          <w:spacing w:val="-4"/>
        </w:rPr>
        <w:t xml:space="preserve"> </w:t>
      </w:r>
      <w:r>
        <w:t>Common</w:t>
      </w:r>
      <w:r>
        <w:rPr>
          <w:spacing w:val="-3"/>
        </w:rPr>
        <w:t xml:space="preserve"> </w:t>
      </w:r>
      <w:r>
        <w:t>Agricultural</w:t>
      </w:r>
      <w:r>
        <w:rPr>
          <w:spacing w:val="-3"/>
        </w:rPr>
        <w:t xml:space="preserve"> </w:t>
      </w:r>
      <w:r>
        <w:t>Policy</w:t>
      </w:r>
      <w:r>
        <w:rPr>
          <w:spacing w:val="-8"/>
        </w:rPr>
        <w:t xml:space="preserve"> </w:t>
      </w:r>
      <w:r>
        <w:t>of</w:t>
      </w:r>
      <w:r>
        <w:rPr>
          <w:spacing w:val="-5"/>
        </w:rPr>
        <w:t xml:space="preserve"> </w:t>
      </w:r>
      <w:r>
        <w:t>the Republic</w:t>
      </w:r>
      <w:r>
        <w:rPr>
          <w:spacing w:val="-5"/>
        </w:rPr>
        <w:t xml:space="preserve"> </w:t>
      </w:r>
      <w:r>
        <w:t>of</w:t>
      </w:r>
      <w:r>
        <w:rPr>
          <w:spacing w:val="-4"/>
        </w:rPr>
        <w:t xml:space="preserve"> </w:t>
      </w:r>
      <w:r>
        <w:t>Croatia</w:t>
      </w:r>
      <w:r>
        <w:rPr>
          <w:spacing w:val="-58"/>
        </w:rPr>
        <w:t xml:space="preserve"> </w:t>
      </w:r>
      <w:r>
        <w:t>2023-2027</w:t>
      </w:r>
      <w:r>
        <w:rPr>
          <w:spacing w:val="-4"/>
        </w:rPr>
        <w:t xml:space="preserve"> </w:t>
      </w:r>
      <w:r>
        <w:t>was</w:t>
      </w:r>
      <w:r>
        <w:rPr>
          <w:spacing w:val="-3"/>
        </w:rPr>
        <w:t xml:space="preserve"> </w:t>
      </w:r>
      <w:r>
        <w:t>also</w:t>
      </w:r>
      <w:r>
        <w:rPr>
          <w:spacing w:val="-2"/>
        </w:rPr>
        <w:t xml:space="preserve"> </w:t>
      </w:r>
      <w:r>
        <w:t>intensively</w:t>
      </w:r>
      <w:r>
        <w:rPr>
          <w:spacing w:val="-8"/>
        </w:rPr>
        <w:t xml:space="preserve"> </w:t>
      </w:r>
      <w:r>
        <w:t>consulted,</w:t>
      </w:r>
      <w:r>
        <w:rPr>
          <w:spacing w:val="-3"/>
        </w:rPr>
        <w:t xml:space="preserve"> </w:t>
      </w:r>
      <w:r>
        <w:t>i.e.,</w:t>
      </w:r>
      <w:r>
        <w:rPr>
          <w:spacing w:val="-3"/>
        </w:rPr>
        <w:t xml:space="preserve"> </w:t>
      </w:r>
      <w:r>
        <w:t>the basic</w:t>
      </w:r>
      <w:r>
        <w:rPr>
          <w:spacing w:val="-3"/>
        </w:rPr>
        <w:t xml:space="preserve"> </w:t>
      </w:r>
      <w:r>
        <w:t>programming</w:t>
      </w:r>
      <w:r>
        <w:rPr>
          <w:spacing w:val="-5"/>
        </w:rPr>
        <w:t xml:space="preserve"> </w:t>
      </w:r>
      <w:r>
        <w:t>document</w:t>
      </w:r>
      <w:r>
        <w:rPr>
          <w:spacing w:val="-3"/>
        </w:rPr>
        <w:t xml:space="preserve"> </w:t>
      </w:r>
      <w:r>
        <w:t>for</w:t>
      </w:r>
      <w:r>
        <w:rPr>
          <w:spacing w:val="-4"/>
        </w:rPr>
        <w:t xml:space="preserve"> </w:t>
      </w:r>
      <w:r>
        <w:t>the</w:t>
      </w:r>
      <w:r>
        <w:rPr>
          <w:spacing w:val="-4"/>
        </w:rPr>
        <w:t xml:space="preserve"> </w:t>
      </w:r>
      <w:r>
        <w:t>use</w:t>
      </w:r>
      <w:r>
        <w:rPr>
          <w:spacing w:val="-4"/>
        </w:rPr>
        <w:t xml:space="preserve"> </w:t>
      </w:r>
      <w:r>
        <w:t>of</w:t>
      </w:r>
      <w:r>
        <w:rPr>
          <w:spacing w:val="-57"/>
        </w:rPr>
        <w:t xml:space="preserve"> </w:t>
      </w:r>
      <w:r>
        <w:t>European</w:t>
      </w:r>
      <w:r>
        <w:rPr>
          <w:spacing w:val="1"/>
        </w:rPr>
        <w:t xml:space="preserve"> </w:t>
      </w:r>
      <w:r>
        <w:t>agricultural funds,</w:t>
      </w:r>
      <w:r>
        <w:rPr>
          <w:spacing w:val="1"/>
        </w:rPr>
        <w:t xml:space="preserve"> </w:t>
      </w:r>
      <w:r>
        <w:t>and</w:t>
      </w:r>
      <w:r>
        <w:rPr>
          <w:spacing w:val="1"/>
        </w:rPr>
        <w:t xml:space="preserve"> </w:t>
      </w:r>
      <w:r>
        <w:t>from which</w:t>
      </w:r>
      <w:r>
        <w:rPr>
          <w:spacing w:val="1"/>
        </w:rPr>
        <w:t xml:space="preserve"> </w:t>
      </w:r>
      <w:r>
        <w:t>measures</w:t>
      </w:r>
      <w:r>
        <w:rPr>
          <w:spacing w:val="1"/>
        </w:rPr>
        <w:t xml:space="preserve"> </w:t>
      </w:r>
      <w:r>
        <w:t>defined</w:t>
      </w:r>
      <w:r>
        <w:rPr>
          <w:spacing w:val="1"/>
        </w:rPr>
        <w:t xml:space="preserve"> </w:t>
      </w:r>
      <w:r>
        <w:t>in the</w:t>
      </w:r>
      <w:r>
        <w:rPr>
          <w:spacing w:val="1"/>
        </w:rPr>
        <w:t xml:space="preserve"> </w:t>
      </w:r>
      <w:r>
        <w:t>2030 Agricultural</w:t>
      </w:r>
      <w:r>
        <w:rPr>
          <w:spacing w:val="1"/>
        </w:rPr>
        <w:t xml:space="preserve"> </w:t>
      </w:r>
      <w:r>
        <w:rPr>
          <w:spacing w:val="-1"/>
        </w:rPr>
        <w:t>Strategy</w:t>
      </w:r>
      <w:r>
        <w:rPr>
          <w:spacing w:val="-15"/>
        </w:rPr>
        <w:t xml:space="preserve"> </w:t>
      </w:r>
      <w:r>
        <w:rPr>
          <w:spacing w:val="-1"/>
        </w:rPr>
        <w:t>are</w:t>
      </w:r>
      <w:r>
        <w:rPr>
          <w:spacing w:val="-14"/>
        </w:rPr>
        <w:t xml:space="preserve"> </w:t>
      </w:r>
      <w:r>
        <w:t>financed.</w:t>
      </w:r>
      <w:r>
        <w:rPr>
          <w:spacing w:val="-12"/>
        </w:rPr>
        <w:t xml:space="preserve"> </w:t>
      </w:r>
      <w:r>
        <w:t>Consultations</w:t>
      </w:r>
      <w:r>
        <w:rPr>
          <w:spacing w:val="-12"/>
        </w:rPr>
        <w:t xml:space="preserve"> </w:t>
      </w:r>
      <w:r>
        <w:t>were</w:t>
      </w:r>
      <w:r>
        <w:rPr>
          <w:spacing w:val="-14"/>
        </w:rPr>
        <w:t xml:space="preserve"> </w:t>
      </w:r>
      <w:r>
        <w:t>held</w:t>
      </w:r>
      <w:r>
        <w:rPr>
          <w:spacing w:val="-12"/>
        </w:rPr>
        <w:t xml:space="preserve"> </w:t>
      </w:r>
      <w:r>
        <w:t>at</w:t>
      </w:r>
      <w:r>
        <w:rPr>
          <w:spacing w:val="-9"/>
        </w:rPr>
        <w:t xml:space="preserve"> </w:t>
      </w:r>
      <w:r>
        <w:t>public</w:t>
      </w:r>
      <w:r>
        <w:rPr>
          <w:spacing w:val="-13"/>
        </w:rPr>
        <w:t xml:space="preserve"> </w:t>
      </w:r>
      <w:r>
        <w:t>presentations,</w:t>
      </w:r>
      <w:r>
        <w:rPr>
          <w:spacing w:val="-12"/>
        </w:rPr>
        <w:t xml:space="preserve"> </w:t>
      </w:r>
      <w:r>
        <w:t>discussions</w:t>
      </w:r>
      <w:r>
        <w:rPr>
          <w:spacing w:val="-12"/>
        </w:rPr>
        <w:t xml:space="preserve"> </w:t>
      </w:r>
      <w:r>
        <w:t>with</w:t>
      </w:r>
      <w:r>
        <w:rPr>
          <w:spacing w:val="-12"/>
        </w:rPr>
        <w:t xml:space="preserve"> </w:t>
      </w:r>
      <w:r>
        <w:t>sectoral</w:t>
      </w:r>
      <w:r>
        <w:rPr>
          <w:spacing w:val="-58"/>
        </w:rPr>
        <w:t xml:space="preserve"> </w:t>
      </w:r>
      <w:r>
        <w:t>associations</w:t>
      </w:r>
      <w:r>
        <w:rPr>
          <w:spacing w:val="1"/>
        </w:rPr>
        <w:t xml:space="preserve"> </w:t>
      </w:r>
      <w:r>
        <w:t>and</w:t>
      </w:r>
      <w:r>
        <w:rPr>
          <w:spacing w:val="1"/>
        </w:rPr>
        <w:t xml:space="preserve"> </w:t>
      </w:r>
      <w:r>
        <w:t>the</w:t>
      </w:r>
      <w:r>
        <w:rPr>
          <w:spacing w:val="1"/>
        </w:rPr>
        <w:t xml:space="preserve"> </w:t>
      </w:r>
      <w:r>
        <w:t>academic</w:t>
      </w:r>
      <w:r>
        <w:rPr>
          <w:spacing w:val="1"/>
        </w:rPr>
        <w:t xml:space="preserve"> </w:t>
      </w:r>
      <w:r>
        <w:t>community,</w:t>
      </w:r>
      <w:r>
        <w:rPr>
          <w:spacing w:val="1"/>
        </w:rPr>
        <w:t xml:space="preserve"> </w:t>
      </w:r>
      <w:r>
        <w:t>as</w:t>
      </w:r>
      <w:r>
        <w:rPr>
          <w:spacing w:val="1"/>
        </w:rPr>
        <w:t xml:space="preserve"> </w:t>
      </w:r>
      <w:r>
        <w:t>well</w:t>
      </w:r>
      <w:r>
        <w:rPr>
          <w:spacing w:val="1"/>
        </w:rPr>
        <w:t xml:space="preserve"> </w:t>
      </w:r>
      <w:r>
        <w:t>as</w:t>
      </w:r>
      <w:r>
        <w:rPr>
          <w:spacing w:val="1"/>
        </w:rPr>
        <w:t xml:space="preserve"> </w:t>
      </w:r>
      <w:r>
        <w:t>the</w:t>
      </w:r>
      <w:r>
        <w:rPr>
          <w:spacing w:val="1"/>
        </w:rPr>
        <w:t xml:space="preserve"> </w:t>
      </w:r>
      <w:r>
        <w:t>Monitoring</w:t>
      </w:r>
      <w:r>
        <w:rPr>
          <w:spacing w:val="1"/>
        </w:rPr>
        <w:t xml:space="preserve"> </w:t>
      </w:r>
      <w:r>
        <w:t>Committee</w:t>
      </w:r>
      <w:r>
        <w:rPr>
          <w:spacing w:val="1"/>
        </w:rPr>
        <w:t xml:space="preserve"> </w:t>
      </w:r>
      <w:r>
        <w:t>for</w:t>
      </w:r>
      <w:r>
        <w:rPr>
          <w:spacing w:val="1"/>
        </w:rPr>
        <w:t xml:space="preserve"> </w:t>
      </w:r>
      <w:r>
        <w:t>implementation of the Strategic Plan of the Common Agricultural Policy of the Republic of</w:t>
      </w:r>
      <w:r>
        <w:rPr>
          <w:spacing w:val="1"/>
        </w:rPr>
        <w:t xml:space="preserve"> </w:t>
      </w:r>
      <w:r>
        <w:t>Croatia</w:t>
      </w:r>
      <w:r>
        <w:rPr>
          <w:spacing w:val="-2"/>
        </w:rPr>
        <w:t xml:space="preserve"> </w:t>
      </w:r>
      <w:r>
        <w:t>in the</w:t>
      </w:r>
      <w:r>
        <w:rPr>
          <w:spacing w:val="-1"/>
        </w:rPr>
        <w:t xml:space="preserve"> </w:t>
      </w:r>
      <w:r>
        <w:t>shadows (members of</w:t>
      </w:r>
      <w:r>
        <w:rPr>
          <w:spacing w:val="-2"/>
        </w:rPr>
        <w:t xml:space="preserve"> </w:t>
      </w:r>
      <w:r>
        <w:t>the Programme</w:t>
      </w:r>
      <w:r>
        <w:rPr>
          <w:spacing w:val="-1"/>
        </w:rPr>
        <w:t xml:space="preserve"> </w:t>
      </w:r>
      <w:r>
        <w:t>MC).</w:t>
      </w:r>
    </w:p>
    <w:p w:rsidR="00A56FE9" w:rsidRDefault="00000000">
      <w:pPr>
        <w:pStyle w:val="Tijeloteksta"/>
        <w:spacing w:before="121"/>
        <w:ind w:right="272"/>
      </w:pPr>
      <w:r>
        <w:t>The NRRP investment Traceability System within the Digital Transformation of Agriculture</w:t>
      </w:r>
      <w:r>
        <w:rPr>
          <w:spacing w:val="1"/>
        </w:rPr>
        <w:t xml:space="preserve"> </w:t>
      </w:r>
      <w:r>
        <w:t>envisages</w:t>
      </w:r>
      <w:r>
        <w:rPr>
          <w:spacing w:val="1"/>
        </w:rPr>
        <w:t xml:space="preserve"> </w:t>
      </w:r>
      <w:r>
        <w:t>activities</w:t>
      </w:r>
      <w:r>
        <w:rPr>
          <w:spacing w:val="1"/>
        </w:rPr>
        <w:t xml:space="preserve"> </w:t>
      </w:r>
      <w:r>
        <w:t>within</w:t>
      </w:r>
      <w:r>
        <w:rPr>
          <w:spacing w:val="1"/>
        </w:rPr>
        <w:t xml:space="preserve"> </w:t>
      </w:r>
      <w:r>
        <w:t>the</w:t>
      </w:r>
      <w:r>
        <w:rPr>
          <w:spacing w:val="1"/>
        </w:rPr>
        <w:t xml:space="preserve"> </w:t>
      </w:r>
      <w:r>
        <w:t>information</w:t>
      </w:r>
      <w:r>
        <w:rPr>
          <w:spacing w:val="1"/>
        </w:rPr>
        <w:t xml:space="preserve"> </w:t>
      </w:r>
      <w:r>
        <w:t>and</w:t>
      </w:r>
      <w:r>
        <w:rPr>
          <w:spacing w:val="1"/>
        </w:rPr>
        <w:t xml:space="preserve"> </w:t>
      </w:r>
      <w:r>
        <w:t>educational</w:t>
      </w:r>
      <w:r>
        <w:rPr>
          <w:spacing w:val="1"/>
        </w:rPr>
        <w:t xml:space="preserve"> </w:t>
      </w:r>
      <w:r>
        <w:t>campaign</w:t>
      </w:r>
      <w:r>
        <w:rPr>
          <w:spacing w:val="1"/>
        </w:rPr>
        <w:t xml:space="preserve"> </w:t>
      </w:r>
      <w:r>
        <w:t>to</w:t>
      </w:r>
      <w:r>
        <w:rPr>
          <w:spacing w:val="1"/>
        </w:rPr>
        <w:t xml:space="preserve"> </w:t>
      </w:r>
      <w:r>
        <w:t>inform</w:t>
      </w:r>
      <w:r>
        <w:rPr>
          <w:spacing w:val="1"/>
        </w:rPr>
        <w:t xml:space="preserve"> </w:t>
      </w:r>
      <w:r>
        <w:t>primary</w:t>
      </w:r>
      <w:r>
        <w:rPr>
          <w:spacing w:val="-57"/>
        </w:rPr>
        <w:t xml:space="preserve"> </w:t>
      </w:r>
      <w:r>
        <w:t>producers and processors about the planned system including its advantages and benefits that</w:t>
      </w:r>
      <w:r>
        <w:rPr>
          <w:spacing w:val="1"/>
        </w:rPr>
        <w:t xml:space="preserve"> </w:t>
      </w:r>
      <w:r>
        <w:t>the system can bring to their products. The project also includes consumers for whom a</w:t>
      </w:r>
      <w:r>
        <w:rPr>
          <w:spacing w:val="1"/>
        </w:rPr>
        <w:t xml:space="preserve"> </w:t>
      </w:r>
      <w:r>
        <w:t>questionnaire</w:t>
      </w:r>
      <w:r>
        <w:rPr>
          <w:spacing w:val="1"/>
        </w:rPr>
        <w:t xml:space="preserve"> </w:t>
      </w:r>
      <w:r>
        <w:t>has</w:t>
      </w:r>
      <w:r>
        <w:rPr>
          <w:spacing w:val="1"/>
        </w:rPr>
        <w:t xml:space="preserve"> </w:t>
      </w:r>
      <w:r>
        <w:t>been</w:t>
      </w:r>
      <w:r>
        <w:rPr>
          <w:spacing w:val="1"/>
        </w:rPr>
        <w:t xml:space="preserve"> </w:t>
      </w:r>
      <w:r>
        <w:t>prepared</w:t>
      </w:r>
      <w:r>
        <w:rPr>
          <w:spacing w:val="1"/>
        </w:rPr>
        <w:t xml:space="preserve"> </w:t>
      </w:r>
      <w:r>
        <w:t>on</w:t>
      </w:r>
      <w:r>
        <w:rPr>
          <w:spacing w:val="1"/>
        </w:rPr>
        <w:t xml:space="preserve"> </w:t>
      </w:r>
      <w:r>
        <w:t>attitudes</w:t>
      </w:r>
      <w:r>
        <w:rPr>
          <w:spacing w:val="1"/>
        </w:rPr>
        <w:t xml:space="preserve"> </w:t>
      </w:r>
      <w:r>
        <w:t>regarding</w:t>
      </w:r>
      <w:r>
        <w:rPr>
          <w:spacing w:val="1"/>
        </w:rPr>
        <w:t xml:space="preserve"> </w:t>
      </w:r>
      <w:r>
        <w:t>food</w:t>
      </w:r>
      <w:r>
        <w:rPr>
          <w:spacing w:val="1"/>
        </w:rPr>
        <w:t xml:space="preserve"> </w:t>
      </w:r>
      <w:r>
        <w:t>traceability,</w:t>
      </w:r>
      <w:r>
        <w:rPr>
          <w:spacing w:val="1"/>
        </w:rPr>
        <w:t xml:space="preserve"> </w:t>
      </w:r>
      <w:r>
        <w:t>and</w:t>
      </w:r>
      <w:r>
        <w:rPr>
          <w:spacing w:val="1"/>
        </w:rPr>
        <w:t xml:space="preserve"> </w:t>
      </w:r>
      <w:r>
        <w:t>consumer</w:t>
      </w:r>
      <w:r>
        <w:rPr>
          <w:spacing w:val="1"/>
        </w:rPr>
        <w:t xml:space="preserve"> </w:t>
      </w:r>
      <w:r>
        <w:t>preferences obtained in the survey will be key in setting food priorities and food information</w:t>
      </w:r>
      <w:r>
        <w:rPr>
          <w:spacing w:val="1"/>
        </w:rPr>
        <w:t xml:space="preserve"> </w:t>
      </w:r>
      <w:r>
        <w:t>that consumers expressed as most needed. The inclusion of all stakeholders in the system will</w:t>
      </w:r>
      <w:r>
        <w:rPr>
          <w:spacing w:val="1"/>
        </w:rPr>
        <w:t xml:space="preserve"> </w:t>
      </w:r>
      <w:r>
        <w:t>be ensured in organising professional meetings and trainings, information campaigns and</w:t>
      </w:r>
      <w:r>
        <w:rPr>
          <w:spacing w:val="1"/>
        </w:rPr>
        <w:t xml:space="preserve"> </w:t>
      </w:r>
      <w:r>
        <w:t>educational</w:t>
      </w:r>
      <w:r>
        <w:rPr>
          <w:spacing w:val="1"/>
        </w:rPr>
        <w:t xml:space="preserve"> </w:t>
      </w:r>
      <w:r>
        <w:t>materials.</w:t>
      </w:r>
      <w:r>
        <w:rPr>
          <w:spacing w:val="1"/>
        </w:rPr>
        <w:t xml:space="preserve"> </w:t>
      </w:r>
      <w:r>
        <w:t>To</w:t>
      </w:r>
      <w:r>
        <w:rPr>
          <w:spacing w:val="1"/>
        </w:rPr>
        <w:t xml:space="preserve"> </w:t>
      </w:r>
      <w:r>
        <w:t>achieve</w:t>
      </w:r>
      <w:r>
        <w:rPr>
          <w:spacing w:val="1"/>
        </w:rPr>
        <w:t xml:space="preserve"> </w:t>
      </w:r>
      <w:r>
        <w:t>the</w:t>
      </w:r>
      <w:r>
        <w:rPr>
          <w:spacing w:val="1"/>
        </w:rPr>
        <w:t xml:space="preserve"> </w:t>
      </w:r>
      <w:r>
        <w:t>best</w:t>
      </w:r>
      <w:r>
        <w:rPr>
          <w:spacing w:val="1"/>
        </w:rPr>
        <w:t xml:space="preserve"> </w:t>
      </w:r>
      <w:r>
        <w:t>possible</w:t>
      </w:r>
      <w:r>
        <w:rPr>
          <w:spacing w:val="1"/>
        </w:rPr>
        <w:t xml:space="preserve"> </w:t>
      </w:r>
      <w:r>
        <w:t>project</w:t>
      </w:r>
      <w:r>
        <w:rPr>
          <w:spacing w:val="1"/>
        </w:rPr>
        <w:t xml:space="preserve"> </w:t>
      </w:r>
      <w:r>
        <w:t>outcome,</w:t>
      </w:r>
      <w:r>
        <w:rPr>
          <w:spacing w:val="1"/>
        </w:rPr>
        <w:t xml:space="preserve"> </w:t>
      </w:r>
      <w:r>
        <w:t>workshops</w:t>
      </w:r>
      <w:r>
        <w:rPr>
          <w:spacing w:val="1"/>
        </w:rPr>
        <w:t xml:space="preserve"> </w:t>
      </w:r>
      <w:r>
        <w:t>will</w:t>
      </w:r>
      <w:r>
        <w:rPr>
          <w:spacing w:val="1"/>
        </w:rPr>
        <w:t xml:space="preserve"> </w:t>
      </w:r>
      <w:r>
        <w:t>be</w:t>
      </w:r>
      <w:r>
        <w:rPr>
          <w:spacing w:val="-57"/>
        </w:rPr>
        <w:t xml:space="preserve"> </w:t>
      </w:r>
      <w:r>
        <w:t>organised with representatives of all key stakeholders in the system from primary producers</w:t>
      </w:r>
      <w:r>
        <w:rPr>
          <w:spacing w:val="1"/>
        </w:rPr>
        <w:t xml:space="preserve"> </w:t>
      </w:r>
      <w:r>
        <w:t>through to processors, distributors, retailers and end consumers. Relevant stakeholders are</w:t>
      </w:r>
      <w:r>
        <w:rPr>
          <w:spacing w:val="1"/>
        </w:rPr>
        <w:t xml:space="preserve"> </w:t>
      </w:r>
      <w:r>
        <w:t>consulted</w:t>
      </w:r>
      <w:r>
        <w:rPr>
          <w:spacing w:val="1"/>
        </w:rPr>
        <w:t xml:space="preserve"> </w:t>
      </w:r>
      <w:r>
        <w:t>when</w:t>
      </w:r>
      <w:r>
        <w:rPr>
          <w:spacing w:val="1"/>
        </w:rPr>
        <w:t xml:space="preserve"> </w:t>
      </w:r>
      <w:r>
        <w:t>drafting</w:t>
      </w:r>
      <w:r>
        <w:rPr>
          <w:spacing w:val="1"/>
        </w:rPr>
        <w:t xml:space="preserve"> </w:t>
      </w:r>
      <w:r>
        <w:t>documents</w:t>
      </w:r>
      <w:r>
        <w:rPr>
          <w:spacing w:val="1"/>
        </w:rPr>
        <w:t xml:space="preserve"> </w:t>
      </w:r>
      <w:r>
        <w:t>for</w:t>
      </w:r>
      <w:r>
        <w:rPr>
          <w:spacing w:val="1"/>
        </w:rPr>
        <w:t xml:space="preserve"> </w:t>
      </w:r>
      <w:r>
        <w:t>implementing</w:t>
      </w:r>
      <w:r>
        <w:rPr>
          <w:spacing w:val="1"/>
        </w:rPr>
        <w:t xml:space="preserve"> </w:t>
      </w:r>
      <w:r>
        <w:t>the</w:t>
      </w:r>
      <w:r>
        <w:rPr>
          <w:spacing w:val="1"/>
        </w:rPr>
        <w:t xml:space="preserve"> </w:t>
      </w:r>
      <w:r>
        <w:t>NRRP</w:t>
      </w:r>
      <w:r>
        <w:rPr>
          <w:spacing w:val="1"/>
        </w:rPr>
        <w:t xml:space="preserve"> </w:t>
      </w:r>
      <w:r>
        <w:t>by</w:t>
      </w:r>
      <w:r>
        <w:rPr>
          <w:spacing w:val="1"/>
        </w:rPr>
        <w:t xml:space="preserve"> </w:t>
      </w:r>
      <w:r>
        <w:t>holding</w:t>
      </w:r>
      <w:r>
        <w:rPr>
          <w:spacing w:val="1"/>
        </w:rPr>
        <w:t xml:space="preserve"> </w:t>
      </w:r>
      <w:r>
        <w:t>targeted</w:t>
      </w:r>
      <w:r>
        <w:rPr>
          <w:spacing w:val="1"/>
        </w:rPr>
        <w:t xml:space="preserve"> </w:t>
      </w:r>
      <w:r>
        <w:t>discussions</w:t>
      </w:r>
      <w:r>
        <w:rPr>
          <w:spacing w:val="-13"/>
        </w:rPr>
        <w:t xml:space="preserve"> </w:t>
      </w:r>
      <w:r>
        <w:t>in</w:t>
      </w:r>
      <w:r>
        <w:rPr>
          <w:spacing w:val="-13"/>
        </w:rPr>
        <w:t xml:space="preserve"> </w:t>
      </w:r>
      <w:r>
        <w:t>meetings</w:t>
      </w:r>
      <w:r>
        <w:rPr>
          <w:spacing w:val="-13"/>
        </w:rPr>
        <w:t xml:space="preserve"> </w:t>
      </w:r>
      <w:r>
        <w:t>and</w:t>
      </w:r>
      <w:r>
        <w:rPr>
          <w:spacing w:val="-13"/>
        </w:rPr>
        <w:t xml:space="preserve"> </w:t>
      </w:r>
      <w:r>
        <w:t>e-Consultation.</w:t>
      </w:r>
      <w:r>
        <w:rPr>
          <w:spacing w:val="-13"/>
        </w:rPr>
        <w:t xml:space="preserve"> </w:t>
      </w:r>
      <w:r>
        <w:t>Furthermore,</w:t>
      </w:r>
      <w:r>
        <w:rPr>
          <w:spacing w:val="-13"/>
        </w:rPr>
        <w:t xml:space="preserve"> </w:t>
      </w:r>
      <w:r>
        <w:t>the</w:t>
      </w:r>
      <w:r>
        <w:rPr>
          <w:spacing w:val="-14"/>
        </w:rPr>
        <w:t xml:space="preserve"> </w:t>
      </w:r>
      <w:r>
        <w:t>most</w:t>
      </w:r>
      <w:r>
        <w:rPr>
          <w:spacing w:val="-13"/>
        </w:rPr>
        <w:t xml:space="preserve"> </w:t>
      </w:r>
      <w:r>
        <w:t>important</w:t>
      </w:r>
      <w:r>
        <w:rPr>
          <w:spacing w:val="-13"/>
        </w:rPr>
        <w:t xml:space="preserve"> </w:t>
      </w:r>
      <w:r>
        <w:t>information</w:t>
      </w:r>
      <w:r>
        <w:rPr>
          <w:spacing w:val="-13"/>
        </w:rPr>
        <w:t xml:space="preserve"> </w:t>
      </w:r>
      <w:r>
        <w:t>about</w:t>
      </w:r>
      <w:r>
        <w:rPr>
          <w:spacing w:val="-58"/>
        </w:rPr>
        <w:t xml:space="preserve"> </w:t>
      </w:r>
      <w:r>
        <w:t>the implemented activities is published on the official website of the Ministry of Agriculture</w:t>
      </w:r>
      <w:r>
        <w:rPr>
          <w:spacing w:val="1"/>
        </w:rPr>
        <w:t xml:space="preserve"> </w:t>
      </w:r>
      <w:r>
        <w:t>(MA).</w:t>
      </w:r>
    </w:p>
    <w:p w:rsidR="00A56FE9" w:rsidRDefault="00CC1B9B">
      <w:pPr>
        <w:pStyle w:val="Tijeloteksta"/>
        <w:spacing w:before="10"/>
        <w:ind w:left="0"/>
        <w:jc w:val="left"/>
        <w:rPr>
          <w:sz w:val="13"/>
        </w:rPr>
      </w:pPr>
      <w:r>
        <w:rPr>
          <w:noProof/>
        </w:rPr>
        <mc:AlternateContent>
          <mc:Choice Requires="wps">
            <w:drawing>
              <wp:anchor distT="0" distB="0" distL="0" distR="0" simplePos="0" relativeHeight="487707648" behindDoc="1" locked="0" layoutInCell="1" allowOverlap="1">
                <wp:simplePos x="0" y="0"/>
                <wp:positionH relativeFrom="page">
                  <wp:posOffset>882650</wp:posOffset>
                </wp:positionH>
                <wp:positionV relativeFrom="paragraph">
                  <wp:posOffset>126365</wp:posOffset>
                </wp:positionV>
                <wp:extent cx="574675" cy="18415"/>
                <wp:effectExtent l="0" t="0" r="0" b="0"/>
                <wp:wrapTopAndBottom/>
                <wp:docPr id="170449526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AB4435" id="Rectangle 13" o:spid="_x0000_s1026" style="position:absolute;margin-left:69.5pt;margin-top:9.95pt;width:45.25pt;height:1.45pt;z-index:-15608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t>In the tourism segment, the Ministry of Tourism and Sport (MTS) organises the participation</w:t>
      </w:r>
      <w:r>
        <w:rPr>
          <w:spacing w:val="1"/>
        </w:rPr>
        <w:t xml:space="preserve"> </w:t>
      </w:r>
      <w:r>
        <w:t>of</w:t>
      </w:r>
      <w:r>
        <w:rPr>
          <w:spacing w:val="1"/>
        </w:rPr>
        <w:t xml:space="preserve"> </w:t>
      </w:r>
      <w:r>
        <w:t>the</w:t>
      </w:r>
      <w:r>
        <w:rPr>
          <w:spacing w:val="1"/>
        </w:rPr>
        <w:t xml:space="preserve"> </w:t>
      </w:r>
      <w:r>
        <w:t>interested</w:t>
      </w:r>
      <w:r>
        <w:rPr>
          <w:spacing w:val="1"/>
        </w:rPr>
        <w:t xml:space="preserve"> </w:t>
      </w:r>
      <w:r>
        <w:t>public</w:t>
      </w:r>
      <w:r>
        <w:rPr>
          <w:spacing w:val="1"/>
        </w:rPr>
        <w:t xml:space="preserve"> </w:t>
      </w:r>
      <w:r>
        <w:t>and</w:t>
      </w:r>
      <w:r>
        <w:rPr>
          <w:spacing w:val="1"/>
        </w:rPr>
        <w:t xml:space="preserve"> </w:t>
      </w:r>
      <w:r>
        <w:t>key</w:t>
      </w:r>
      <w:r>
        <w:rPr>
          <w:spacing w:val="1"/>
        </w:rPr>
        <w:t xml:space="preserve"> </w:t>
      </w:r>
      <w:r>
        <w:t>stakeholders</w:t>
      </w:r>
      <w:r>
        <w:rPr>
          <w:spacing w:val="1"/>
        </w:rPr>
        <w:t xml:space="preserve"> </w:t>
      </w:r>
      <w:r>
        <w:t>in</w:t>
      </w:r>
      <w:r>
        <w:rPr>
          <w:spacing w:val="1"/>
        </w:rPr>
        <w:t xml:space="preserve"> </w:t>
      </w:r>
      <w:r>
        <w:t>four</w:t>
      </w:r>
      <w:r>
        <w:rPr>
          <w:spacing w:val="1"/>
        </w:rPr>
        <w:t xml:space="preserve"> </w:t>
      </w:r>
      <w:r>
        <w:t>stages,</w:t>
      </w:r>
      <w:r>
        <w:rPr>
          <w:spacing w:val="1"/>
        </w:rPr>
        <w:t xml:space="preserve"> </w:t>
      </w:r>
      <w:r>
        <w:t>i.e.,</w:t>
      </w:r>
      <w:r>
        <w:rPr>
          <w:spacing w:val="1"/>
        </w:rPr>
        <w:t xml:space="preserve"> </w:t>
      </w:r>
      <w:r>
        <w:t>through</w:t>
      </w:r>
      <w:r>
        <w:rPr>
          <w:spacing w:val="1"/>
        </w:rPr>
        <w:t xml:space="preserve"> </w:t>
      </w:r>
      <w:r>
        <w:t>information,</w:t>
      </w:r>
      <w:r>
        <w:rPr>
          <w:spacing w:val="1"/>
        </w:rPr>
        <w:t xml:space="preserve"> </w:t>
      </w:r>
      <w:r>
        <w:t>consultation, involvement and partnership: 1) information through the Ministry's website; 2)</w:t>
      </w:r>
      <w:r>
        <w:rPr>
          <w:spacing w:val="1"/>
        </w:rPr>
        <w:t xml:space="preserve"> </w:t>
      </w:r>
      <w:r>
        <w:t>consultation</w:t>
      </w:r>
      <w:r>
        <w:rPr>
          <w:spacing w:val="-6"/>
        </w:rPr>
        <w:t xml:space="preserve"> </w:t>
      </w:r>
      <w:r>
        <w:t>on</w:t>
      </w:r>
      <w:r>
        <w:rPr>
          <w:spacing w:val="-6"/>
        </w:rPr>
        <w:t xml:space="preserve"> </w:t>
      </w:r>
      <w:r>
        <w:t>the</w:t>
      </w:r>
      <w:r>
        <w:rPr>
          <w:spacing w:val="-6"/>
        </w:rPr>
        <w:t xml:space="preserve"> </w:t>
      </w:r>
      <w:r>
        <w:t>central</w:t>
      </w:r>
      <w:r>
        <w:rPr>
          <w:spacing w:val="-6"/>
        </w:rPr>
        <w:t xml:space="preserve"> </w:t>
      </w:r>
      <w:r>
        <w:t>portal</w:t>
      </w:r>
      <w:r>
        <w:rPr>
          <w:spacing w:val="-5"/>
        </w:rPr>
        <w:t xml:space="preserve"> </w:t>
      </w:r>
      <w:r>
        <w:t>for</w:t>
      </w:r>
      <w:r>
        <w:rPr>
          <w:spacing w:val="-6"/>
        </w:rPr>
        <w:t xml:space="preserve"> </w:t>
      </w:r>
      <w:r>
        <w:t>public</w:t>
      </w:r>
      <w:r>
        <w:rPr>
          <w:spacing w:val="-6"/>
        </w:rPr>
        <w:t xml:space="preserve"> </w:t>
      </w:r>
      <w:r>
        <w:t>consultation,</w:t>
      </w:r>
      <w:r>
        <w:rPr>
          <w:spacing w:val="-6"/>
        </w:rPr>
        <w:t xml:space="preserve"> </w:t>
      </w:r>
      <w:r>
        <w:t>meaning</w:t>
      </w:r>
      <w:r>
        <w:rPr>
          <w:spacing w:val="-5"/>
        </w:rPr>
        <w:t xml:space="preserve"> </w:t>
      </w:r>
      <w:r>
        <w:t>e-Consultation;</w:t>
      </w:r>
      <w:r>
        <w:rPr>
          <w:spacing w:val="-6"/>
        </w:rPr>
        <w:t xml:space="preserve"> </w:t>
      </w:r>
      <w:r>
        <w:t>3)</w:t>
      </w:r>
      <w:r>
        <w:rPr>
          <w:spacing w:val="-6"/>
        </w:rPr>
        <w:t xml:space="preserve"> </w:t>
      </w:r>
      <w:r>
        <w:t>involving</w:t>
      </w:r>
      <w:r>
        <w:rPr>
          <w:spacing w:val="-58"/>
        </w:rPr>
        <w:t xml:space="preserve"> </w:t>
      </w:r>
      <w:r>
        <w:t>representatives</w:t>
      </w:r>
      <w:r>
        <w:rPr>
          <w:spacing w:val="-15"/>
        </w:rPr>
        <w:t xml:space="preserve"> </w:t>
      </w:r>
      <w:r>
        <w:t>of</w:t>
      </w:r>
      <w:r>
        <w:rPr>
          <w:spacing w:val="-14"/>
        </w:rPr>
        <w:t xml:space="preserve"> </w:t>
      </w:r>
      <w:r>
        <w:t>the</w:t>
      </w:r>
      <w:r>
        <w:rPr>
          <w:spacing w:val="-14"/>
        </w:rPr>
        <w:t xml:space="preserve"> </w:t>
      </w:r>
      <w:r>
        <w:t>interested</w:t>
      </w:r>
      <w:r>
        <w:rPr>
          <w:spacing w:val="-14"/>
        </w:rPr>
        <w:t xml:space="preserve"> </w:t>
      </w:r>
      <w:r>
        <w:t>public</w:t>
      </w:r>
      <w:r>
        <w:rPr>
          <w:spacing w:val="-12"/>
        </w:rPr>
        <w:t xml:space="preserve"> </w:t>
      </w:r>
      <w:r>
        <w:t>at</w:t>
      </w:r>
      <w:r>
        <w:rPr>
          <w:spacing w:val="-13"/>
        </w:rPr>
        <w:t xml:space="preserve"> </w:t>
      </w:r>
      <w:r>
        <w:t>open</w:t>
      </w:r>
      <w:r>
        <w:rPr>
          <w:spacing w:val="-13"/>
        </w:rPr>
        <w:t xml:space="preserve"> </w:t>
      </w:r>
      <w:r>
        <w:t>public</w:t>
      </w:r>
      <w:r>
        <w:rPr>
          <w:spacing w:val="-14"/>
        </w:rPr>
        <w:t xml:space="preserve"> </w:t>
      </w:r>
      <w:r>
        <w:t>hearings,</w:t>
      </w:r>
      <w:r>
        <w:rPr>
          <w:spacing w:val="-13"/>
        </w:rPr>
        <w:t xml:space="preserve"> </w:t>
      </w:r>
      <w:r>
        <w:t>specialised</w:t>
      </w:r>
      <w:r>
        <w:rPr>
          <w:spacing w:val="-13"/>
        </w:rPr>
        <w:t xml:space="preserve"> </w:t>
      </w:r>
      <w:r>
        <w:t>meetings</w:t>
      </w:r>
      <w:r>
        <w:rPr>
          <w:spacing w:val="-13"/>
        </w:rPr>
        <w:t xml:space="preserve"> </w:t>
      </w:r>
      <w:r>
        <w:t>or</w:t>
      </w:r>
      <w:r>
        <w:rPr>
          <w:spacing w:val="-12"/>
        </w:rPr>
        <w:t xml:space="preserve"> </w:t>
      </w:r>
      <w:r>
        <w:t>working</w:t>
      </w:r>
      <w:r>
        <w:rPr>
          <w:spacing w:val="-58"/>
        </w:rPr>
        <w:t xml:space="preserve"> </w:t>
      </w:r>
      <w:r>
        <w:t>groups;</w:t>
      </w:r>
      <w:r>
        <w:rPr>
          <w:spacing w:val="1"/>
        </w:rPr>
        <w:t xml:space="preserve"> </w:t>
      </w:r>
      <w:r>
        <w:t>4)</w:t>
      </w:r>
      <w:r>
        <w:rPr>
          <w:spacing w:val="1"/>
        </w:rPr>
        <w:t xml:space="preserve"> </w:t>
      </w:r>
      <w:r>
        <w:t>partnership</w:t>
      </w:r>
      <w:r>
        <w:rPr>
          <w:spacing w:val="1"/>
        </w:rPr>
        <w:t xml:space="preserve"> </w:t>
      </w:r>
      <w:r>
        <w:t>in</w:t>
      </w:r>
      <w:r>
        <w:rPr>
          <w:spacing w:val="1"/>
        </w:rPr>
        <w:t xml:space="preserve"> </w:t>
      </w:r>
      <w:r>
        <w:t>terms</w:t>
      </w:r>
      <w:r>
        <w:rPr>
          <w:spacing w:val="1"/>
        </w:rPr>
        <w:t xml:space="preserve"> </w:t>
      </w:r>
      <w:r>
        <w:t>of</w:t>
      </w:r>
      <w:r>
        <w:rPr>
          <w:spacing w:val="1"/>
        </w:rPr>
        <w:t xml:space="preserve"> </w:t>
      </w:r>
      <w:r>
        <w:t>appointing</w:t>
      </w:r>
      <w:r>
        <w:rPr>
          <w:spacing w:val="1"/>
        </w:rPr>
        <w:t xml:space="preserve"> </w:t>
      </w:r>
      <w:r>
        <w:t>members</w:t>
      </w:r>
      <w:r>
        <w:rPr>
          <w:spacing w:val="1"/>
        </w:rPr>
        <w:t xml:space="preserve"> </w:t>
      </w:r>
      <w:r>
        <w:t>of</w:t>
      </w:r>
      <w:r>
        <w:rPr>
          <w:spacing w:val="1"/>
        </w:rPr>
        <w:t xml:space="preserve"> </w:t>
      </w:r>
      <w:r>
        <w:t>the</w:t>
      </w:r>
      <w:r>
        <w:rPr>
          <w:spacing w:val="1"/>
        </w:rPr>
        <w:t xml:space="preserve"> </w:t>
      </w:r>
      <w:r>
        <w:t>working</w:t>
      </w:r>
      <w:r>
        <w:rPr>
          <w:spacing w:val="1"/>
        </w:rPr>
        <w:t xml:space="preserve"> </w:t>
      </w:r>
      <w:r>
        <w:t>group</w:t>
      </w:r>
      <w:r>
        <w:rPr>
          <w:spacing w:val="1"/>
        </w:rPr>
        <w:t xml:space="preserve"> </w:t>
      </w:r>
      <w:r>
        <w:t>under</w:t>
      </w:r>
      <w:r>
        <w:rPr>
          <w:spacing w:val="1"/>
        </w:rPr>
        <w:t xml:space="preserve"> </w:t>
      </w:r>
      <w:r>
        <w:t>the</w:t>
      </w:r>
      <w:r>
        <w:rPr>
          <w:spacing w:val="-58"/>
        </w:rPr>
        <w:t xml:space="preserve"> </w:t>
      </w:r>
      <w:r>
        <w:t>partnership principle. In addition to the above methods of gathering opinions from the general</w:t>
      </w:r>
      <w:r>
        <w:rPr>
          <w:spacing w:val="-57"/>
        </w:rPr>
        <w:t xml:space="preserve"> </w:t>
      </w:r>
      <w:r>
        <w:t>public, in 2021 the MTS published a questionnaire on its website that will contribute to better</w:t>
      </w:r>
      <w:r>
        <w:rPr>
          <w:spacing w:val="1"/>
        </w:rPr>
        <w:t xml:space="preserve"> </w:t>
      </w:r>
      <w:r>
        <w:t>and</w:t>
      </w:r>
      <w:r>
        <w:rPr>
          <w:spacing w:val="1"/>
        </w:rPr>
        <w:t xml:space="preserve"> </w:t>
      </w:r>
      <w:r>
        <w:t>more</w:t>
      </w:r>
      <w:r>
        <w:rPr>
          <w:spacing w:val="1"/>
        </w:rPr>
        <w:t xml:space="preserve"> </w:t>
      </w:r>
      <w:r>
        <w:t>comprehensive</w:t>
      </w:r>
      <w:r>
        <w:rPr>
          <w:spacing w:val="1"/>
        </w:rPr>
        <w:t xml:space="preserve"> </w:t>
      </w:r>
      <w:r>
        <w:t>preparation</w:t>
      </w:r>
      <w:r>
        <w:rPr>
          <w:spacing w:val="1"/>
        </w:rPr>
        <w:t xml:space="preserve"> </w:t>
      </w:r>
      <w:r>
        <w:t>of</w:t>
      </w:r>
      <w:r>
        <w:rPr>
          <w:spacing w:val="1"/>
        </w:rPr>
        <w:t xml:space="preserve"> </w:t>
      </w:r>
      <w:r>
        <w:t>strategic</w:t>
      </w:r>
      <w:r>
        <w:rPr>
          <w:spacing w:val="1"/>
        </w:rPr>
        <w:t xml:space="preserve"> </w:t>
      </w:r>
      <w:r>
        <w:t>documents</w:t>
      </w:r>
      <w:r>
        <w:rPr>
          <w:spacing w:val="1"/>
        </w:rPr>
        <w:t xml:space="preserve"> </w:t>
      </w:r>
      <w:r>
        <w:t>for</w:t>
      </w:r>
      <w:r>
        <w:rPr>
          <w:spacing w:val="1"/>
        </w:rPr>
        <w:t xml:space="preserve"> </w:t>
      </w:r>
      <w:r>
        <w:t>sustainable</w:t>
      </w:r>
      <w:r>
        <w:rPr>
          <w:spacing w:val="1"/>
        </w:rPr>
        <w:t xml:space="preserve"> </w:t>
      </w:r>
      <w:r>
        <w:t>tourism</w:t>
      </w:r>
      <w:r>
        <w:rPr>
          <w:spacing w:val="1"/>
        </w:rPr>
        <w:t xml:space="preserve"> </w:t>
      </w:r>
      <w:r>
        <w:t>development.</w:t>
      </w:r>
      <w:r>
        <w:rPr>
          <w:spacing w:val="1"/>
        </w:rPr>
        <w:t xml:space="preserve"> </w:t>
      </w:r>
      <w:r>
        <w:t>The</w:t>
      </w:r>
      <w:r>
        <w:rPr>
          <w:spacing w:val="1"/>
        </w:rPr>
        <w:t xml:space="preserve"> </w:t>
      </w:r>
      <w:r>
        <w:t>questionnaire</w:t>
      </w:r>
      <w:r>
        <w:rPr>
          <w:spacing w:val="1"/>
        </w:rPr>
        <w:t xml:space="preserve"> </w:t>
      </w:r>
      <w:r>
        <w:t>collects</w:t>
      </w:r>
      <w:r>
        <w:rPr>
          <w:spacing w:val="1"/>
        </w:rPr>
        <w:t xml:space="preserve"> </w:t>
      </w:r>
      <w:r>
        <w:t>project</w:t>
      </w:r>
      <w:r>
        <w:rPr>
          <w:spacing w:val="1"/>
        </w:rPr>
        <w:t xml:space="preserve"> </w:t>
      </w:r>
      <w:r>
        <w:t>proposals</w:t>
      </w:r>
      <w:r>
        <w:rPr>
          <w:spacing w:val="1"/>
        </w:rPr>
        <w:t xml:space="preserve"> </w:t>
      </w:r>
      <w:r>
        <w:t>from</w:t>
      </w:r>
      <w:r>
        <w:rPr>
          <w:spacing w:val="1"/>
        </w:rPr>
        <w:t xml:space="preserve"> </w:t>
      </w:r>
      <w:r>
        <w:t>entrepreneurs,</w:t>
      </w:r>
      <w:r>
        <w:rPr>
          <w:spacing w:val="1"/>
        </w:rPr>
        <w:t xml:space="preserve"> </w:t>
      </w:r>
      <w:r>
        <w:t>tradespersons/craftsmen,</w:t>
      </w:r>
      <w:r>
        <w:rPr>
          <w:spacing w:val="-4"/>
        </w:rPr>
        <w:t xml:space="preserve"> </w:t>
      </w:r>
      <w:r>
        <w:t>family</w:t>
      </w:r>
      <w:r>
        <w:rPr>
          <w:spacing w:val="-10"/>
        </w:rPr>
        <w:t xml:space="preserve"> </w:t>
      </w:r>
      <w:r>
        <w:t>farms,</w:t>
      </w:r>
      <w:r>
        <w:rPr>
          <w:spacing w:val="-5"/>
        </w:rPr>
        <w:t xml:space="preserve"> </w:t>
      </w:r>
      <w:r>
        <w:t>associations,</w:t>
      </w:r>
      <w:r>
        <w:rPr>
          <w:spacing w:val="-7"/>
        </w:rPr>
        <w:t xml:space="preserve"> </w:t>
      </w:r>
      <w:r>
        <w:t>public</w:t>
      </w:r>
      <w:r>
        <w:rPr>
          <w:spacing w:val="-8"/>
        </w:rPr>
        <w:t xml:space="preserve"> </w:t>
      </w:r>
      <w:r>
        <w:t>institutions,</w:t>
      </w:r>
      <w:r>
        <w:rPr>
          <w:spacing w:val="-8"/>
        </w:rPr>
        <w:t xml:space="preserve"> </w:t>
      </w:r>
      <w:r>
        <w:t>cooperatives, LRSGU,</w:t>
      </w:r>
      <w:r>
        <w:rPr>
          <w:spacing w:val="-58"/>
        </w:rPr>
        <w:t xml:space="preserve"> </w:t>
      </w:r>
      <w:r>
        <w:t>tourist</w:t>
      </w:r>
      <w:r>
        <w:rPr>
          <w:spacing w:val="-10"/>
        </w:rPr>
        <w:t xml:space="preserve"> </w:t>
      </w:r>
      <w:r>
        <w:t>boards,</w:t>
      </w:r>
      <w:r>
        <w:rPr>
          <w:spacing w:val="-12"/>
        </w:rPr>
        <w:t xml:space="preserve"> </w:t>
      </w:r>
      <w:r>
        <w:t>clubs</w:t>
      </w:r>
      <w:r>
        <w:rPr>
          <w:spacing w:val="-10"/>
        </w:rPr>
        <w:t xml:space="preserve"> </w:t>
      </w:r>
      <w:r>
        <w:t>and</w:t>
      </w:r>
      <w:r>
        <w:rPr>
          <w:spacing w:val="-11"/>
        </w:rPr>
        <w:t xml:space="preserve"> </w:t>
      </w:r>
      <w:r>
        <w:t>other</w:t>
      </w:r>
      <w:r>
        <w:rPr>
          <w:spacing w:val="-12"/>
        </w:rPr>
        <w:t xml:space="preserve"> </w:t>
      </w:r>
      <w:r>
        <w:t>legal</w:t>
      </w:r>
      <w:r>
        <w:rPr>
          <w:spacing w:val="-11"/>
        </w:rPr>
        <w:t xml:space="preserve"> </w:t>
      </w:r>
      <w:r>
        <w:t>entities</w:t>
      </w:r>
      <w:r>
        <w:rPr>
          <w:spacing w:val="-11"/>
        </w:rPr>
        <w:t xml:space="preserve"> </w:t>
      </w:r>
      <w:r>
        <w:t>in</w:t>
      </w:r>
      <w:r>
        <w:rPr>
          <w:spacing w:val="-10"/>
        </w:rPr>
        <w:t xml:space="preserve"> </w:t>
      </w:r>
      <w:r>
        <w:t>the</w:t>
      </w:r>
      <w:r>
        <w:rPr>
          <w:spacing w:val="-12"/>
        </w:rPr>
        <w:t xml:space="preserve"> </w:t>
      </w:r>
      <w:r>
        <w:t>tourism</w:t>
      </w:r>
      <w:r>
        <w:rPr>
          <w:spacing w:val="-11"/>
        </w:rPr>
        <w:t xml:space="preserve"> </w:t>
      </w:r>
      <w:r>
        <w:t>and</w:t>
      </w:r>
      <w:r>
        <w:rPr>
          <w:spacing w:val="-11"/>
        </w:rPr>
        <w:t xml:space="preserve"> </w:t>
      </w:r>
      <w:r>
        <w:t>sports</w:t>
      </w:r>
      <w:r>
        <w:rPr>
          <w:spacing w:val="-11"/>
        </w:rPr>
        <w:t xml:space="preserve"> </w:t>
      </w:r>
      <w:r>
        <w:t>sector</w:t>
      </w:r>
      <w:r>
        <w:rPr>
          <w:spacing w:val="-11"/>
        </w:rPr>
        <w:t xml:space="preserve"> </w:t>
      </w:r>
      <w:r>
        <w:t>to</w:t>
      </w:r>
      <w:r>
        <w:rPr>
          <w:spacing w:val="-11"/>
        </w:rPr>
        <w:t xml:space="preserve"> </w:t>
      </w:r>
      <w:r>
        <w:t>ensure</w:t>
      </w:r>
      <w:r>
        <w:rPr>
          <w:spacing w:val="-12"/>
        </w:rPr>
        <w:t xml:space="preserve"> </w:t>
      </w:r>
      <w:r>
        <w:t>that</w:t>
      </w:r>
      <w:r>
        <w:rPr>
          <w:spacing w:val="-11"/>
        </w:rPr>
        <w:t xml:space="preserve"> </w:t>
      </w:r>
      <w:r>
        <w:t>future</w:t>
      </w:r>
      <w:r>
        <w:rPr>
          <w:spacing w:val="-58"/>
        </w:rPr>
        <w:t xml:space="preserve"> </w:t>
      </w:r>
      <w:r>
        <w:t>investments retain Croatia’s position among the leading European tourist destinations in terms</w:t>
      </w:r>
      <w:r>
        <w:rPr>
          <w:spacing w:val="-57"/>
        </w:rPr>
        <w:t xml:space="preserve"> </w:t>
      </w:r>
      <w:r>
        <w:t>of safety, quality, added value, sustainability and innovation. The analysis of project proposals</w:t>
      </w:r>
      <w:r>
        <w:rPr>
          <w:spacing w:val="-58"/>
        </w:rPr>
        <w:t xml:space="preserve"> </w:t>
      </w:r>
      <w:r>
        <w:t>collected from the survey identified real needs in the tourism and hospitality sector, as well as</w:t>
      </w:r>
      <w:r>
        <w:rPr>
          <w:spacing w:val="1"/>
        </w:rPr>
        <w:t xml:space="preserve"> </w:t>
      </w:r>
      <w:r>
        <w:t>a</w:t>
      </w:r>
      <w:r>
        <w:rPr>
          <w:spacing w:val="-5"/>
        </w:rPr>
        <w:t xml:space="preserve"> </w:t>
      </w:r>
      <w:r>
        <w:t>lot</w:t>
      </w:r>
      <w:r>
        <w:rPr>
          <w:spacing w:val="-2"/>
        </w:rPr>
        <w:t xml:space="preserve"> </w:t>
      </w:r>
      <w:r>
        <w:t>of</w:t>
      </w:r>
      <w:r>
        <w:rPr>
          <w:spacing w:val="-5"/>
        </w:rPr>
        <w:t xml:space="preserve"> </w:t>
      </w:r>
      <w:r>
        <w:t>other</w:t>
      </w:r>
      <w:r>
        <w:rPr>
          <w:spacing w:val="-4"/>
        </w:rPr>
        <w:t xml:space="preserve"> </w:t>
      </w:r>
      <w:r>
        <w:t>information</w:t>
      </w:r>
      <w:r>
        <w:rPr>
          <w:spacing w:val="-3"/>
        </w:rPr>
        <w:t xml:space="preserve"> </w:t>
      </w:r>
      <w:r>
        <w:t>related</w:t>
      </w:r>
      <w:r>
        <w:rPr>
          <w:spacing w:val="-2"/>
        </w:rPr>
        <w:t xml:space="preserve"> </w:t>
      </w:r>
      <w:r>
        <w:t>to</w:t>
      </w:r>
      <w:r>
        <w:rPr>
          <w:spacing w:val="-2"/>
        </w:rPr>
        <w:t xml:space="preserve"> </w:t>
      </w:r>
      <w:r>
        <w:t>financial,</w:t>
      </w:r>
      <w:r>
        <w:rPr>
          <w:spacing w:val="-3"/>
        </w:rPr>
        <w:t xml:space="preserve"> </w:t>
      </w:r>
      <w:r>
        <w:t>operational</w:t>
      </w:r>
      <w:r>
        <w:rPr>
          <w:spacing w:val="-3"/>
        </w:rPr>
        <w:t xml:space="preserve"> </w:t>
      </w:r>
      <w:r>
        <w:t>and administrative</w:t>
      </w:r>
      <w:r>
        <w:rPr>
          <w:spacing w:val="-5"/>
        </w:rPr>
        <w:t xml:space="preserve"> </w:t>
      </w:r>
      <w:r>
        <w:t>capacities</w:t>
      </w:r>
      <w:r>
        <w:rPr>
          <w:spacing w:val="-1"/>
        </w:rPr>
        <w:t xml:space="preserve"> </w:t>
      </w:r>
      <w:r>
        <w:t>and</w:t>
      </w:r>
      <w:r>
        <w:rPr>
          <w:spacing w:val="-3"/>
        </w:rPr>
        <w:t xml:space="preserve"> </w:t>
      </w:r>
      <w:r>
        <w:t>the</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5"/>
      </w:pPr>
      <w:r>
        <w:t>overall real situation as to the needs in the tourism and hospitality sector. It is a valuable</w:t>
      </w:r>
      <w:r>
        <w:rPr>
          <w:spacing w:val="1"/>
        </w:rPr>
        <w:t xml:space="preserve"> </w:t>
      </w:r>
      <w:r>
        <w:t>database</w:t>
      </w:r>
      <w:r>
        <w:rPr>
          <w:spacing w:val="-2"/>
        </w:rPr>
        <w:t xml:space="preserve"> </w:t>
      </w:r>
      <w:r>
        <w:t>that serves</w:t>
      </w:r>
      <w:r>
        <w:rPr>
          <w:spacing w:val="1"/>
        </w:rPr>
        <w:t xml:space="preserve"> </w:t>
      </w:r>
      <w:r>
        <w:t>as a</w:t>
      </w:r>
      <w:r>
        <w:rPr>
          <w:spacing w:val="1"/>
        </w:rPr>
        <w:t xml:space="preserve"> </w:t>
      </w:r>
      <w:r>
        <w:t>source</w:t>
      </w:r>
      <w:r>
        <w:rPr>
          <w:spacing w:val="-2"/>
        </w:rPr>
        <w:t xml:space="preserve"> </w:t>
      </w:r>
      <w:r>
        <w:t>of</w:t>
      </w:r>
      <w:r>
        <w:rPr>
          <w:spacing w:val="1"/>
        </w:rPr>
        <w:t xml:space="preserve"> </w:t>
      </w:r>
      <w:r>
        <w:t>guidance</w:t>
      </w:r>
      <w:r>
        <w:rPr>
          <w:spacing w:val="-1"/>
        </w:rPr>
        <w:t xml:space="preserve"> </w:t>
      </w:r>
      <w:r>
        <w:t>in</w:t>
      </w:r>
      <w:r>
        <w:rPr>
          <w:spacing w:val="-1"/>
        </w:rPr>
        <w:t xml:space="preserve"> </w:t>
      </w:r>
      <w:r>
        <w:t>creating</w:t>
      </w:r>
      <w:r>
        <w:rPr>
          <w:spacing w:val="-3"/>
        </w:rPr>
        <w:t xml:space="preserve"> </w:t>
      </w:r>
      <w:r>
        <w:t>tourism development</w:t>
      </w:r>
      <w:r>
        <w:rPr>
          <w:spacing w:val="-1"/>
        </w:rPr>
        <w:t xml:space="preserve"> </w:t>
      </w:r>
      <w:r>
        <w:t>policies.</w:t>
      </w:r>
    </w:p>
    <w:p w:rsidR="00A56FE9" w:rsidRDefault="00000000">
      <w:pPr>
        <w:pStyle w:val="Tijeloteksta"/>
        <w:spacing w:before="120"/>
        <w:ind w:right="272"/>
      </w:pPr>
      <w:r>
        <w:t>In undertaking the activities for drafting the Sustainable Tourism Development Strategy for</w:t>
      </w:r>
      <w:r>
        <w:rPr>
          <w:spacing w:val="1"/>
        </w:rPr>
        <w:t xml:space="preserve"> </w:t>
      </w:r>
      <w:r>
        <w:t>2030, all relevant stakeholders from the sector and the SAB are already actively involved and</w:t>
      </w:r>
      <w:r>
        <w:rPr>
          <w:spacing w:val="1"/>
        </w:rPr>
        <w:t xml:space="preserve"> </w:t>
      </w:r>
      <w:r>
        <w:t>informed</w:t>
      </w:r>
      <w:r>
        <w:rPr>
          <w:spacing w:val="-15"/>
        </w:rPr>
        <w:t xml:space="preserve"> </w:t>
      </w:r>
      <w:r>
        <w:t>about</w:t>
      </w:r>
      <w:r>
        <w:rPr>
          <w:spacing w:val="-13"/>
        </w:rPr>
        <w:t xml:space="preserve"> </w:t>
      </w:r>
      <w:r>
        <w:t>reform</w:t>
      </w:r>
      <w:r>
        <w:rPr>
          <w:spacing w:val="-14"/>
        </w:rPr>
        <w:t xml:space="preserve"> </w:t>
      </w:r>
      <w:r>
        <w:t>activities</w:t>
      </w:r>
      <w:r>
        <w:rPr>
          <w:spacing w:val="-12"/>
        </w:rPr>
        <w:t xml:space="preserve"> </w:t>
      </w:r>
      <w:r>
        <w:t>due</w:t>
      </w:r>
      <w:r>
        <w:rPr>
          <w:spacing w:val="-14"/>
        </w:rPr>
        <w:t xml:space="preserve"> </w:t>
      </w:r>
      <w:r>
        <w:t>to</w:t>
      </w:r>
      <w:r>
        <w:rPr>
          <w:spacing w:val="-13"/>
        </w:rPr>
        <w:t xml:space="preserve"> </w:t>
      </w:r>
      <w:r>
        <w:t>their</w:t>
      </w:r>
      <w:r>
        <w:rPr>
          <w:spacing w:val="-14"/>
        </w:rPr>
        <w:t xml:space="preserve"> </w:t>
      </w:r>
      <w:r>
        <w:t>participation</w:t>
      </w:r>
      <w:r>
        <w:rPr>
          <w:spacing w:val="-13"/>
        </w:rPr>
        <w:t xml:space="preserve"> </w:t>
      </w:r>
      <w:r>
        <w:t>in</w:t>
      </w:r>
      <w:r>
        <w:rPr>
          <w:spacing w:val="-13"/>
        </w:rPr>
        <w:t xml:space="preserve"> </w:t>
      </w:r>
      <w:r>
        <w:t>the</w:t>
      </w:r>
      <w:r>
        <w:rPr>
          <w:spacing w:val="-14"/>
        </w:rPr>
        <w:t xml:space="preserve"> </w:t>
      </w:r>
      <w:r>
        <w:t>working</w:t>
      </w:r>
      <w:r>
        <w:rPr>
          <w:spacing w:val="-13"/>
        </w:rPr>
        <w:t xml:space="preserve"> </w:t>
      </w:r>
      <w:r>
        <w:t>group.</w:t>
      </w:r>
      <w:r>
        <w:rPr>
          <w:spacing w:val="-13"/>
        </w:rPr>
        <w:t xml:space="preserve"> </w:t>
      </w:r>
      <w:r>
        <w:t>For</w:t>
      </w:r>
      <w:r>
        <w:rPr>
          <w:spacing w:val="-14"/>
        </w:rPr>
        <w:t xml:space="preserve"> </w:t>
      </w:r>
      <w:r>
        <w:t>the</w:t>
      </w:r>
      <w:r>
        <w:rPr>
          <w:spacing w:val="-14"/>
        </w:rPr>
        <w:t xml:space="preserve"> </w:t>
      </w:r>
      <w:r>
        <w:t>purpose</w:t>
      </w:r>
      <w:r>
        <w:rPr>
          <w:spacing w:val="-58"/>
        </w:rPr>
        <w:t xml:space="preserve"> </w:t>
      </w:r>
      <w:r>
        <w:t>of</w:t>
      </w:r>
      <w:r>
        <w:rPr>
          <w:spacing w:val="-7"/>
        </w:rPr>
        <w:t xml:space="preserve"> </w:t>
      </w:r>
      <w:r>
        <w:t>better</w:t>
      </w:r>
      <w:r>
        <w:rPr>
          <w:spacing w:val="-6"/>
        </w:rPr>
        <w:t xml:space="preserve"> </w:t>
      </w:r>
      <w:r>
        <w:t>project</w:t>
      </w:r>
      <w:r>
        <w:rPr>
          <w:spacing w:val="-6"/>
        </w:rPr>
        <w:t xml:space="preserve"> </w:t>
      </w:r>
      <w:r>
        <w:t>preparation</w:t>
      </w:r>
      <w:r>
        <w:rPr>
          <w:spacing w:val="-5"/>
        </w:rPr>
        <w:t xml:space="preserve"> </w:t>
      </w:r>
      <w:r>
        <w:t>and</w:t>
      </w:r>
      <w:r>
        <w:rPr>
          <w:spacing w:val="-4"/>
        </w:rPr>
        <w:t xml:space="preserve"> </w:t>
      </w:r>
      <w:r>
        <w:t>being</w:t>
      </w:r>
      <w:r>
        <w:rPr>
          <w:spacing w:val="-7"/>
        </w:rPr>
        <w:t xml:space="preserve"> </w:t>
      </w:r>
      <w:r>
        <w:t>better</w:t>
      </w:r>
      <w:r>
        <w:rPr>
          <w:spacing w:val="-6"/>
        </w:rPr>
        <w:t xml:space="preserve"> </w:t>
      </w:r>
      <w:r>
        <w:t>informed,</w:t>
      </w:r>
      <w:r>
        <w:rPr>
          <w:spacing w:val="-6"/>
        </w:rPr>
        <w:t xml:space="preserve"> </w:t>
      </w:r>
      <w:r>
        <w:t>the</w:t>
      </w:r>
      <w:r>
        <w:rPr>
          <w:spacing w:val="-6"/>
        </w:rPr>
        <w:t xml:space="preserve"> </w:t>
      </w:r>
      <w:r>
        <w:t>MTS</w:t>
      </w:r>
      <w:r>
        <w:rPr>
          <w:spacing w:val="-5"/>
        </w:rPr>
        <w:t xml:space="preserve"> </w:t>
      </w:r>
      <w:r>
        <w:t>has</w:t>
      </w:r>
      <w:r>
        <w:rPr>
          <w:spacing w:val="-5"/>
        </w:rPr>
        <w:t xml:space="preserve"> </w:t>
      </w:r>
      <w:r>
        <w:t>created</w:t>
      </w:r>
      <w:r>
        <w:rPr>
          <w:spacing w:val="-5"/>
        </w:rPr>
        <w:t xml:space="preserve"> </w:t>
      </w:r>
      <w:r>
        <w:t>a</w:t>
      </w:r>
      <w:r>
        <w:rPr>
          <w:spacing w:val="-6"/>
        </w:rPr>
        <w:t xml:space="preserve"> </w:t>
      </w:r>
      <w:r>
        <w:t>web</w:t>
      </w:r>
      <w:r>
        <w:rPr>
          <w:spacing w:val="-5"/>
        </w:rPr>
        <w:t xml:space="preserve"> </w:t>
      </w:r>
      <w:r>
        <w:t>subpage</w:t>
      </w:r>
      <w:r>
        <w:rPr>
          <w:spacing w:val="-7"/>
        </w:rPr>
        <w:t xml:space="preserve"> </w:t>
      </w:r>
      <w:r>
        <w:t>for</w:t>
      </w:r>
      <w:r>
        <w:rPr>
          <w:spacing w:val="-57"/>
        </w:rPr>
        <w:t xml:space="preserve"> </w:t>
      </w:r>
      <w:r>
        <w:t>NRRP which contains all the information and educational materials to facilitate the process of</w:t>
      </w:r>
      <w:r>
        <w:rPr>
          <w:spacing w:val="-57"/>
        </w:rPr>
        <w:t xml:space="preserve"> </w:t>
      </w:r>
      <w:r>
        <w:t>applying</w:t>
      </w:r>
      <w:r>
        <w:rPr>
          <w:spacing w:val="-7"/>
        </w:rPr>
        <w:t xml:space="preserve"> </w:t>
      </w:r>
      <w:r>
        <w:t>for</w:t>
      </w:r>
      <w:r>
        <w:rPr>
          <w:spacing w:val="-6"/>
        </w:rPr>
        <w:t xml:space="preserve"> </w:t>
      </w:r>
      <w:r>
        <w:t>future</w:t>
      </w:r>
      <w:r>
        <w:rPr>
          <w:spacing w:val="-5"/>
        </w:rPr>
        <w:t xml:space="preserve"> </w:t>
      </w:r>
      <w:r>
        <w:t>public</w:t>
      </w:r>
      <w:r>
        <w:rPr>
          <w:spacing w:val="-6"/>
        </w:rPr>
        <w:t xml:space="preserve"> </w:t>
      </w:r>
      <w:r>
        <w:t>calls</w:t>
      </w:r>
      <w:r>
        <w:rPr>
          <w:spacing w:val="-2"/>
        </w:rPr>
        <w:t xml:space="preserve"> </w:t>
      </w:r>
      <w:r>
        <w:t>for</w:t>
      </w:r>
      <w:r>
        <w:rPr>
          <w:spacing w:val="-6"/>
        </w:rPr>
        <w:t xml:space="preserve"> </w:t>
      </w:r>
      <w:r>
        <w:t>potential</w:t>
      </w:r>
      <w:r>
        <w:rPr>
          <w:spacing w:val="-4"/>
        </w:rPr>
        <w:t xml:space="preserve"> </w:t>
      </w:r>
      <w:r>
        <w:t>beneficiaries.</w:t>
      </w:r>
      <w:r>
        <w:rPr>
          <w:spacing w:val="-2"/>
        </w:rPr>
        <w:t xml:space="preserve"> </w:t>
      </w:r>
      <w:r>
        <w:t>In</w:t>
      </w:r>
      <w:r>
        <w:rPr>
          <w:spacing w:val="-5"/>
        </w:rPr>
        <w:t xml:space="preserve"> </w:t>
      </w:r>
      <w:r>
        <w:t>addition,</w:t>
      </w:r>
      <w:r>
        <w:rPr>
          <w:spacing w:val="-3"/>
        </w:rPr>
        <w:t xml:space="preserve"> </w:t>
      </w:r>
      <w:r>
        <w:t>webinars,</w:t>
      </w:r>
      <w:r>
        <w:rPr>
          <w:spacing w:val="-5"/>
        </w:rPr>
        <w:t xml:space="preserve"> </w:t>
      </w:r>
      <w:r>
        <w:t>a</w:t>
      </w:r>
      <w:r>
        <w:rPr>
          <w:spacing w:val="-5"/>
        </w:rPr>
        <w:t xml:space="preserve"> </w:t>
      </w:r>
      <w:r>
        <w:t>catalogue</w:t>
      </w:r>
      <w:r>
        <w:rPr>
          <w:spacing w:val="-6"/>
        </w:rPr>
        <w:t xml:space="preserve"> </w:t>
      </w:r>
      <w:r>
        <w:t>of</w:t>
      </w:r>
      <w:r>
        <w:rPr>
          <w:spacing w:val="-58"/>
        </w:rPr>
        <w:t xml:space="preserve"> </w:t>
      </w:r>
      <w:r>
        <w:t>examples of good practice and a B2B platform for connecting investors and suppliers in the</w:t>
      </w:r>
      <w:r>
        <w:rPr>
          <w:spacing w:val="1"/>
        </w:rPr>
        <w:t xml:space="preserve"> </w:t>
      </w:r>
      <w:r>
        <w:t>tourism and hospitality sector were prepared for all interested parties, as well as additional</w:t>
      </w:r>
      <w:r>
        <w:rPr>
          <w:spacing w:val="1"/>
        </w:rPr>
        <w:t xml:space="preserve"> </w:t>
      </w:r>
      <w:r>
        <w:t>materials</w:t>
      </w:r>
      <w:r>
        <w:rPr>
          <w:spacing w:val="1"/>
        </w:rPr>
        <w:t xml:space="preserve"> </w:t>
      </w:r>
      <w:r>
        <w:t>and</w:t>
      </w:r>
      <w:r>
        <w:rPr>
          <w:spacing w:val="1"/>
        </w:rPr>
        <w:t xml:space="preserve"> </w:t>
      </w:r>
      <w:r>
        <w:t>information</w:t>
      </w:r>
      <w:r>
        <w:rPr>
          <w:spacing w:val="1"/>
        </w:rPr>
        <w:t xml:space="preserve"> </w:t>
      </w:r>
      <w:r>
        <w:t>to</w:t>
      </w:r>
      <w:r>
        <w:rPr>
          <w:spacing w:val="1"/>
        </w:rPr>
        <w:t xml:space="preserve"> </w:t>
      </w:r>
      <w:r>
        <w:t>help</w:t>
      </w:r>
      <w:r>
        <w:rPr>
          <w:spacing w:val="1"/>
        </w:rPr>
        <w:t xml:space="preserve"> </w:t>
      </w:r>
      <w:r>
        <w:t>potential</w:t>
      </w:r>
      <w:r>
        <w:rPr>
          <w:spacing w:val="1"/>
        </w:rPr>
        <w:t xml:space="preserve"> </w:t>
      </w:r>
      <w:r>
        <w:t>beneficiaries</w:t>
      </w:r>
      <w:r>
        <w:rPr>
          <w:spacing w:val="1"/>
        </w:rPr>
        <w:t xml:space="preserve"> </w:t>
      </w:r>
      <w:r>
        <w:t>prepare</w:t>
      </w:r>
      <w:r>
        <w:rPr>
          <w:spacing w:val="1"/>
        </w:rPr>
        <w:t xml:space="preserve"> </w:t>
      </w:r>
      <w:r>
        <w:t>their</w:t>
      </w:r>
      <w:r>
        <w:rPr>
          <w:spacing w:val="1"/>
        </w:rPr>
        <w:t xml:space="preserve"> </w:t>
      </w:r>
      <w:r>
        <w:t>projects.</w:t>
      </w:r>
      <w:r>
        <w:rPr>
          <w:spacing w:val="1"/>
        </w:rPr>
        <w:t xml:space="preserve"> </w:t>
      </w:r>
      <w:r>
        <w:t>During</w:t>
      </w:r>
      <w:r>
        <w:rPr>
          <w:spacing w:val="1"/>
        </w:rPr>
        <w:t xml:space="preserve"> </w:t>
      </w:r>
      <w:r>
        <w:t>November</w:t>
      </w:r>
      <w:r>
        <w:rPr>
          <w:spacing w:val="1"/>
        </w:rPr>
        <w:t xml:space="preserve"> </w:t>
      </w:r>
      <w:r>
        <w:t>and</w:t>
      </w:r>
      <w:r>
        <w:rPr>
          <w:spacing w:val="1"/>
        </w:rPr>
        <w:t xml:space="preserve"> </w:t>
      </w:r>
      <w:r>
        <w:t>December</w:t>
      </w:r>
      <w:r>
        <w:rPr>
          <w:spacing w:val="1"/>
        </w:rPr>
        <w:t xml:space="preserve"> </w:t>
      </w:r>
      <w:r>
        <w:t>2021,</w:t>
      </w:r>
      <w:r>
        <w:rPr>
          <w:spacing w:val="1"/>
        </w:rPr>
        <w:t xml:space="preserve"> </w:t>
      </w:r>
      <w:r>
        <w:t>workshops</w:t>
      </w:r>
      <w:r>
        <w:rPr>
          <w:spacing w:val="1"/>
        </w:rPr>
        <w:t xml:space="preserve"> </w:t>
      </w:r>
      <w:r>
        <w:t>were</w:t>
      </w:r>
      <w:r>
        <w:rPr>
          <w:spacing w:val="1"/>
        </w:rPr>
        <w:t xml:space="preserve"> </w:t>
      </w:r>
      <w:r>
        <w:t>held</w:t>
      </w:r>
      <w:r>
        <w:rPr>
          <w:spacing w:val="1"/>
        </w:rPr>
        <w:t xml:space="preserve"> </w:t>
      </w:r>
      <w:r>
        <w:t>in</w:t>
      </w:r>
      <w:r>
        <w:rPr>
          <w:spacing w:val="1"/>
        </w:rPr>
        <w:t xml:space="preserve"> </w:t>
      </w:r>
      <w:r>
        <w:t>Osijek,</w:t>
      </w:r>
      <w:r>
        <w:rPr>
          <w:spacing w:val="1"/>
        </w:rPr>
        <w:t xml:space="preserve"> </w:t>
      </w:r>
      <w:r>
        <w:t>Varaždin,</w:t>
      </w:r>
      <w:r>
        <w:rPr>
          <w:spacing w:val="1"/>
        </w:rPr>
        <w:t xml:space="preserve"> </w:t>
      </w:r>
      <w:r>
        <w:t>Zadar,</w:t>
      </w:r>
      <w:r>
        <w:rPr>
          <w:spacing w:val="1"/>
        </w:rPr>
        <w:t xml:space="preserve"> </w:t>
      </w:r>
      <w:r>
        <w:t>Split,</w:t>
      </w:r>
      <w:r>
        <w:rPr>
          <w:spacing w:val="-57"/>
        </w:rPr>
        <w:t xml:space="preserve"> </w:t>
      </w:r>
      <w:r>
        <w:t>Dubrovnik,</w:t>
      </w:r>
      <w:r>
        <w:rPr>
          <w:spacing w:val="-4"/>
        </w:rPr>
        <w:t xml:space="preserve"> </w:t>
      </w:r>
      <w:r>
        <w:t>Rijeka,</w:t>
      </w:r>
      <w:r>
        <w:rPr>
          <w:spacing w:val="-4"/>
        </w:rPr>
        <w:t xml:space="preserve"> </w:t>
      </w:r>
      <w:r>
        <w:t>Pazin</w:t>
      </w:r>
      <w:r>
        <w:rPr>
          <w:spacing w:val="-7"/>
        </w:rPr>
        <w:t xml:space="preserve"> </w:t>
      </w:r>
      <w:r>
        <w:t>and</w:t>
      </w:r>
      <w:r>
        <w:rPr>
          <w:spacing w:val="-4"/>
        </w:rPr>
        <w:t xml:space="preserve"> </w:t>
      </w:r>
      <w:r>
        <w:t>Zagreb.</w:t>
      </w:r>
      <w:r>
        <w:rPr>
          <w:spacing w:val="-4"/>
        </w:rPr>
        <w:t xml:space="preserve"> </w:t>
      </w:r>
      <w:r>
        <w:t>All</w:t>
      </w:r>
      <w:r>
        <w:rPr>
          <w:spacing w:val="-4"/>
        </w:rPr>
        <w:t xml:space="preserve"> </w:t>
      </w:r>
      <w:r>
        <w:t>workshops</w:t>
      </w:r>
      <w:r>
        <w:rPr>
          <w:spacing w:val="-4"/>
        </w:rPr>
        <w:t xml:space="preserve"> </w:t>
      </w:r>
      <w:r>
        <w:t>could</w:t>
      </w:r>
      <w:r>
        <w:rPr>
          <w:spacing w:val="-4"/>
        </w:rPr>
        <w:t xml:space="preserve"> </w:t>
      </w:r>
      <w:r>
        <w:t>be</w:t>
      </w:r>
      <w:r>
        <w:rPr>
          <w:spacing w:val="-5"/>
        </w:rPr>
        <w:t xml:space="preserve"> </w:t>
      </w:r>
      <w:r>
        <w:t>followed</w:t>
      </w:r>
      <w:r>
        <w:rPr>
          <w:spacing w:val="-1"/>
        </w:rPr>
        <w:t xml:space="preserve"> </w:t>
      </w:r>
      <w:r>
        <w:t>online,</w:t>
      </w:r>
      <w:r>
        <w:rPr>
          <w:spacing w:val="-5"/>
        </w:rPr>
        <w:t xml:space="preserve"> </w:t>
      </w:r>
      <w:r>
        <w:t>and</w:t>
      </w:r>
      <w:r>
        <w:rPr>
          <w:spacing w:val="-4"/>
        </w:rPr>
        <w:t xml:space="preserve"> </w:t>
      </w:r>
      <w:r>
        <w:t>recordings</w:t>
      </w:r>
      <w:r>
        <w:rPr>
          <w:spacing w:val="-58"/>
        </w:rPr>
        <w:t xml:space="preserve"> </w:t>
      </w:r>
      <w:r>
        <w:t>of</w:t>
      </w:r>
      <w:r>
        <w:rPr>
          <w:spacing w:val="-1"/>
        </w:rPr>
        <w:t xml:space="preserve"> </w:t>
      </w:r>
      <w:r>
        <w:t>workshops for</w:t>
      </w:r>
      <w:r>
        <w:rPr>
          <w:spacing w:val="1"/>
        </w:rPr>
        <w:t xml:space="preserve"> </w:t>
      </w:r>
      <w:r>
        <w:t>all</w:t>
      </w:r>
      <w:r>
        <w:rPr>
          <w:spacing w:val="-1"/>
        </w:rPr>
        <w:t xml:space="preserve"> </w:t>
      </w:r>
      <w:r>
        <w:t>interested parties are</w:t>
      </w:r>
      <w:r>
        <w:rPr>
          <w:spacing w:val="-1"/>
        </w:rPr>
        <w:t xml:space="preserve"> </w:t>
      </w:r>
      <w:r>
        <w:t>also available</w:t>
      </w:r>
      <w:r>
        <w:rPr>
          <w:spacing w:val="-1"/>
        </w:rPr>
        <w:t xml:space="preserve"> </w:t>
      </w:r>
      <w:r>
        <w:t>on the</w:t>
      </w:r>
      <w:r>
        <w:rPr>
          <w:spacing w:val="1"/>
        </w:rPr>
        <w:t xml:space="preserve"> </w:t>
      </w:r>
      <w:r>
        <w:t>MTS</w:t>
      </w:r>
      <w:r>
        <w:rPr>
          <w:spacing w:val="1"/>
        </w:rPr>
        <w:t xml:space="preserve"> </w:t>
      </w:r>
      <w:r>
        <w:t>website.</w:t>
      </w:r>
    </w:p>
    <w:p w:rsidR="00A56FE9" w:rsidRDefault="00000000">
      <w:pPr>
        <w:pStyle w:val="Tijeloteksta"/>
        <w:spacing w:before="121"/>
        <w:ind w:right="270"/>
      </w:pPr>
      <w:r>
        <w:t>Regarding the calls currently in preparation, for the green and digital transitioning of existing</w:t>
      </w:r>
      <w:r>
        <w:rPr>
          <w:spacing w:val="1"/>
        </w:rPr>
        <w:t xml:space="preserve"> </w:t>
      </w:r>
      <w:r>
        <w:t>public tourism infrastructure and development of public tourism infrastructure outside major</w:t>
      </w:r>
      <w:r>
        <w:rPr>
          <w:spacing w:val="1"/>
        </w:rPr>
        <w:t xml:space="preserve"> </w:t>
      </w:r>
      <w:r>
        <w:t>tourism</w:t>
      </w:r>
      <w:r>
        <w:rPr>
          <w:spacing w:val="-4"/>
        </w:rPr>
        <w:t xml:space="preserve"> </w:t>
      </w:r>
      <w:r>
        <w:t>and</w:t>
      </w:r>
      <w:r>
        <w:rPr>
          <w:spacing w:val="-4"/>
        </w:rPr>
        <w:t xml:space="preserve"> </w:t>
      </w:r>
      <w:r>
        <w:t>coastal</w:t>
      </w:r>
      <w:r>
        <w:rPr>
          <w:spacing w:val="-4"/>
        </w:rPr>
        <w:t xml:space="preserve"> </w:t>
      </w:r>
      <w:r>
        <w:t>areas</w:t>
      </w:r>
      <w:r>
        <w:rPr>
          <w:spacing w:val="-2"/>
        </w:rPr>
        <w:t xml:space="preserve"> </w:t>
      </w:r>
      <w:r>
        <w:t>and</w:t>
      </w:r>
      <w:r>
        <w:rPr>
          <w:spacing w:val="-5"/>
        </w:rPr>
        <w:t xml:space="preserve"> </w:t>
      </w:r>
      <w:r>
        <w:t>in</w:t>
      </w:r>
      <w:r>
        <w:rPr>
          <w:spacing w:val="-3"/>
        </w:rPr>
        <w:t xml:space="preserve"> </w:t>
      </w:r>
      <w:r>
        <w:t>strengthening</w:t>
      </w:r>
      <w:r>
        <w:rPr>
          <w:spacing w:val="-6"/>
        </w:rPr>
        <w:t xml:space="preserve"> </w:t>
      </w:r>
      <w:r>
        <w:t>sustainability</w:t>
      </w:r>
      <w:r>
        <w:rPr>
          <w:spacing w:val="-9"/>
        </w:rPr>
        <w:t xml:space="preserve"> </w:t>
      </w:r>
      <w:r>
        <w:t>and</w:t>
      </w:r>
      <w:r>
        <w:rPr>
          <w:spacing w:val="-4"/>
        </w:rPr>
        <w:t xml:space="preserve"> </w:t>
      </w:r>
      <w:r>
        <w:t>encouraging</w:t>
      </w:r>
      <w:r>
        <w:rPr>
          <w:spacing w:val="-4"/>
        </w:rPr>
        <w:t xml:space="preserve"> </w:t>
      </w:r>
      <w:r>
        <w:t>green</w:t>
      </w:r>
      <w:r>
        <w:rPr>
          <w:spacing w:val="-4"/>
        </w:rPr>
        <w:t xml:space="preserve"> </w:t>
      </w:r>
      <w:r>
        <w:t>and</w:t>
      </w:r>
      <w:r>
        <w:rPr>
          <w:spacing w:val="-4"/>
        </w:rPr>
        <w:t xml:space="preserve"> </w:t>
      </w:r>
      <w:r>
        <w:t>digital</w:t>
      </w:r>
      <w:r>
        <w:rPr>
          <w:spacing w:val="-58"/>
        </w:rPr>
        <w:t xml:space="preserve"> </w:t>
      </w:r>
      <w:r>
        <w:t>transition of tourism enterprises, with at least 50% of total investments supporting the green</w:t>
      </w:r>
      <w:r>
        <w:rPr>
          <w:spacing w:val="1"/>
        </w:rPr>
        <w:t xml:space="preserve"> </w:t>
      </w:r>
      <w:r>
        <w:t>transition, all interested stakeholders will have the opportunity to contribute throughout the</w:t>
      </w:r>
      <w:r>
        <w:rPr>
          <w:spacing w:val="1"/>
        </w:rPr>
        <w:t xml:space="preserve"> </w:t>
      </w:r>
      <w:r>
        <w:t>public</w:t>
      </w:r>
      <w:r>
        <w:rPr>
          <w:spacing w:val="-2"/>
        </w:rPr>
        <w:t xml:space="preserve"> </w:t>
      </w:r>
      <w:r>
        <w:t>consultation process</w:t>
      </w:r>
      <w:r>
        <w:rPr>
          <w:spacing w:val="1"/>
        </w:rPr>
        <w:t xml:space="preserve"> </w:t>
      </w:r>
      <w:r>
        <w:t>prior</w:t>
      </w:r>
      <w:r>
        <w:rPr>
          <w:spacing w:val="-1"/>
        </w:rPr>
        <w:t xml:space="preserve"> </w:t>
      </w:r>
      <w:r>
        <w:t>to the</w:t>
      </w:r>
      <w:r>
        <w:rPr>
          <w:spacing w:val="-1"/>
        </w:rPr>
        <w:t xml:space="preserve"> </w:t>
      </w:r>
      <w:r>
        <w:t>final publishing.</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708160"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57466296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A6A9C0" id="Rectangle 12" o:spid="_x0000_s1026" style="position:absolute;margin-left:69.5pt;margin-top:9.8pt;width:45.25pt;height:1.45pt;z-index:-15608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t>The coordinator for implementing the NRRP reform C2.3. R3 Modernization and Further</w:t>
      </w:r>
      <w:r>
        <w:rPr>
          <w:spacing w:val="1"/>
        </w:rPr>
        <w:t xml:space="preserve"> </w:t>
      </w:r>
      <w:r>
        <w:t>Development</w:t>
      </w:r>
      <w:r>
        <w:rPr>
          <w:spacing w:val="1"/>
        </w:rPr>
        <w:t xml:space="preserve"> </w:t>
      </w:r>
      <w:r>
        <w:t>of</w:t>
      </w:r>
      <w:r>
        <w:rPr>
          <w:spacing w:val="1"/>
        </w:rPr>
        <w:t xml:space="preserve"> </w:t>
      </w:r>
      <w:r>
        <w:t>State</w:t>
      </w:r>
      <w:r>
        <w:rPr>
          <w:spacing w:val="1"/>
        </w:rPr>
        <w:t xml:space="preserve"> </w:t>
      </w:r>
      <w:r>
        <w:t>Information</w:t>
      </w:r>
      <w:r>
        <w:rPr>
          <w:spacing w:val="1"/>
        </w:rPr>
        <w:t xml:space="preserve"> </w:t>
      </w:r>
      <w:r>
        <w:t>Infrastructure</w:t>
      </w:r>
      <w:r>
        <w:rPr>
          <w:spacing w:val="1"/>
        </w:rPr>
        <w:t xml:space="preserve"> </w:t>
      </w:r>
      <w:r>
        <w:t>as</w:t>
      </w:r>
      <w:r>
        <w:rPr>
          <w:spacing w:val="1"/>
        </w:rPr>
        <w:t xml:space="preserve"> </w:t>
      </w:r>
      <w:r>
        <w:t>a</w:t>
      </w:r>
      <w:r>
        <w:rPr>
          <w:spacing w:val="1"/>
        </w:rPr>
        <w:t xml:space="preserve"> </w:t>
      </w:r>
      <w:r>
        <w:t>basis</w:t>
      </w:r>
      <w:r>
        <w:rPr>
          <w:spacing w:val="1"/>
        </w:rPr>
        <w:t xml:space="preserve"> </w:t>
      </w:r>
      <w:r>
        <w:t>for</w:t>
      </w:r>
      <w:r>
        <w:rPr>
          <w:spacing w:val="1"/>
        </w:rPr>
        <w:t xml:space="preserve"> </w:t>
      </w:r>
      <w:r>
        <w:t>secure</w:t>
      </w:r>
      <w:r>
        <w:rPr>
          <w:spacing w:val="1"/>
        </w:rPr>
        <w:t xml:space="preserve"> </w:t>
      </w:r>
      <w:r>
        <w:t>and</w:t>
      </w:r>
      <w:r>
        <w:rPr>
          <w:spacing w:val="1"/>
        </w:rPr>
        <w:t xml:space="preserve"> </w:t>
      </w:r>
      <w:r>
        <w:t>cost-effective</w:t>
      </w:r>
      <w:r>
        <w:rPr>
          <w:spacing w:val="-57"/>
        </w:rPr>
        <w:t xml:space="preserve"> </w:t>
      </w:r>
      <w:r>
        <w:t>interaction among public administration bodies is the Central State Office for Development of</w:t>
      </w:r>
      <w:r>
        <w:rPr>
          <w:spacing w:val="-57"/>
        </w:rPr>
        <w:t xml:space="preserve"> </w:t>
      </w:r>
      <w:r>
        <w:t>the</w:t>
      </w:r>
      <w:r>
        <w:rPr>
          <w:spacing w:val="-10"/>
        </w:rPr>
        <w:t xml:space="preserve"> </w:t>
      </w:r>
      <w:r>
        <w:t>Digital</w:t>
      </w:r>
      <w:r>
        <w:rPr>
          <w:spacing w:val="-8"/>
        </w:rPr>
        <w:t xml:space="preserve"> </w:t>
      </w:r>
      <w:r>
        <w:t>Society</w:t>
      </w:r>
      <w:r>
        <w:rPr>
          <w:spacing w:val="-13"/>
        </w:rPr>
        <w:t xml:space="preserve"> </w:t>
      </w:r>
      <w:r>
        <w:t>(CSODDS/SDURDD),</w:t>
      </w:r>
      <w:r>
        <w:rPr>
          <w:spacing w:val="-9"/>
        </w:rPr>
        <w:t xml:space="preserve"> </w:t>
      </w:r>
      <w:r>
        <w:t>along</w:t>
      </w:r>
      <w:r>
        <w:rPr>
          <w:spacing w:val="-8"/>
        </w:rPr>
        <w:t xml:space="preserve"> </w:t>
      </w:r>
      <w:r>
        <w:t>with</w:t>
      </w:r>
      <w:r>
        <w:rPr>
          <w:spacing w:val="-8"/>
        </w:rPr>
        <w:t xml:space="preserve"> </w:t>
      </w:r>
      <w:r>
        <w:t>the</w:t>
      </w:r>
      <w:r>
        <w:rPr>
          <w:spacing w:val="-9"/>
        </w:rPr>
        <w:t xml:space="preserve"> </w:t>
      </w:r>
      <w:r>
        <w:t>participation</w:t>
      </w:r>
      <w:r>
        <w:rPr>
          <w:spacing w:val="-8"/>
        </w:rPr>
        <w:t xml:space="preserve"> </w:t>
      </w:r>
      <w:r>
        <w:t>of</w:t>
      </w:r>
      <w:r>
        <w:rPr>
          <w:spacing w:val="-12"/>
        </w:rPr>
        <w:t xml:space="preserve"> </w:t>
      </w:r>
      <w:r>
        <w:t>public</w:t>
      </w:r>
      <w:r>
        <w:rPr>
          <w:spacing w:val="-11"/>
        </w:rPr>
        <w:t xml:space="preserve"> </w:t>
      </w:r>
      <w:r>
        <w:t>administration</w:t>
      </w:r>
      <w:r>
        <w:rPr>
          <w:spacing w:val="-57"/>
        </w:rPr>
        <w:t xml:space="preserve"> </w:t>
      </w:r>
      <w:r>
        <w:t>bodies responsible for the digital transformation of the economy, judiciary and administration,</w:t>
      </w:r>
      <w:r>
        <w:rPr>
          <w:spacing w:val="-57"/>
        </w:rPr>
        <w:t xml:space="preserve"> </w:t>
      </w:r>
      <w:r>
        <w:t>and</w:t>
      </w:r>
      <w:r>
        <w:rPr>
          <w:spacing w:val="1"/>
        </w:rPr>
        <w:t xml:space="preserve"> </w:t>
      </w:r>
      <w:r>
        <w:t>bodies</w:t>
      </w:r>
      <w:r>
        <w:rPr>
          <w:spacing w:val="1"/>
        </w:rPr>
        <w:t xml:space="preserve"> </w:t>
      </w:r>
      <w:r>
        <w:t>involved</w:t>
      </w:r>
      <w:r>
        <w:rPr>
          <w:spacing w:val="1"/>
        </w:rPr>
        <w:t xml:space="preserve"> </w:t>
      </w:r>
      <w:r>
        <w:t>in</w:t>
      </w:r>
      <w:r>
        <w:rPr>
          <w:spacing w:val="1"/>
        </w:rPr>
        <w:t xml:space="preserve"> </w:t>
      </w:r>
      <w:r>
        <w:t>implementing</w:t>
      </w:r>
      <w:r>
        <w:rPr>
          <w:spacing w:val="1"/>
        </w:rPr>
        <w:t xml:space="preserve"> </w:t>
      </w:r>
      <w:r>
        <w:t>EU</w:t>
      </w:r>
      <w:r>
        <w:rPr>
          <w:spacing w:val="1"/>
        </w:rPr>
        <w:t xml:space="preserve"> </w:t>
      </w:r>
      <w:r>
        <w:t>cohesion</w:t>
      </w:r>
      <w:r>
        <w:rPr>
          <w:spacing w:val="1"/>
        </w:rPr>
        <w:t xml:space="preserve"> </w:t>
      </w:r>
      <w:r>
        <w:t>policy,</w:t>
      </w:r>
      <w:r>
        <w:rPr>
          <w:spacing w:val="1"/>
        </w:rPr>
        <w:t xml:space="preserve"> </w:t>
      </w:r>
      <w:r>
        <w:t>and</w:t>
      </w:r>
      <w:r>
        <w:rPr>
          <w:spacing w:val="1"/>
        </w:rPr>
        <w:t xml:space="preserve"> </w:t>
      </w:r>
      <w:r>
        <w:t>finally</w:t>
      </w:r>
      <w:r>
        <w:rPr>
          <w:spacing w:val="1"/>
        </w:rPr>
        <w:t xml:space="preserve"> </w:t>
      </w:r>
      <w:r>
        <w:t>other</w:t>
      </w:r>
      <w:r>
        <w:rPr>
          <w:spacing w:val="1"/>
        </w:rPr>
        <w:t xml:space="preserve"> </w:t>
      </w:r>
      <w:r>
        <w:t>relevant</w:t>
      </w:r>
      <w:r>
        <w:rPr>
          <w:spacing w:val="1"/>
        </w:rPr>
        <w:t xml:space="preserve"> </w:t>
      </w:r>
      <w:r>
        <w:t>stakeholders. Given the importance of these reforms, in addition to CSODDS/SDURDD and</w:t>
      </w:r>
      <w:r>
        <w:rPr>
          <w:spacing w:val="1"/>
        </w:rPr>
        <w:t xml:space="preserve"> </w:t>
      </w:r>
      <w:r>
        <w:t>the external experts, other public administration bodies involved in the preparation, planning,</w:t>
      </w:r>
      <w:r>
        <w:rPr>
          <w:spacing w:val="1"/>
        </w:rPr>
        <w:t xml:space="preserve"> </w:t>
      </w:r>
      <w:r>
        <w:t>monitoring</w:t>
      </w:r>
      <w:r>
        <w:rPr>
          <w:spacing w:val="-11"/>
        </w:rPr>
        <w:t xml:space="preserve"> </w:t>
      </w:r>
      <w:r>
        <w:t>and</w:t>
      </w:r>
      <w:r>
        <w:rPr>
          <w:spacing w:val="-8"/>
        </w:rPr>
        <w:t xml:space="preserve"> </w:t>
      </w:r>
      <w:r>
        <w:t>implementation</w:t>
      </w:r>
      <w:r>
        <w:rPr>
          <w:spacing w:val="-7"/>
        </w:rPr>
        <w:t xml:space="preserve"> </w:t>
      </w:r>
      <w:r>
        <w:t>of</w:t>
      </w:r>
      <w:r>
        <w:rPr>
          <w:spacing w:val="-9"/>
        </w:rPr>
        <w:t xml:space="preserve"> </w:t>
      </w:r>
      <w:r>
        <w:t>digital</w:t>
      </w:r>
      <w:r>
        <w:rPr>
          <w:spacing w:val="-7"/>
        </w:rPr>
        <w:t xml:space="preserve"> </w:t>
      </w:r>
      <w:r>
        <w:t>development</w:t>
      </w:r>
      <w:r>
        <w:rPr>
          <w:spacing w:val="-8"/>
        </w:rPr>
        <w:t xml:space="preserve"> </w:t>
      </w:r>
      <w:r>
        <w:t>activities</w:t>
      </w:r>
      <w:r>
        <w:rPr>
          <w:spacing w:val="-8"/>
        </w:rPr>
        <w:t xml:space="preserve"> </w:t>
      </w:r>
      <w:r>
        <w:t>of</w:t>
      </w:r>
      <w:r>
        <w:rPr>
          <w:spacing w:val="-9"/>
        </w:rPr>
        <w:t xml:space="preserve"> </w:t>
      </w:r>
      <w:r>
        <w:t>society</w:t>
      </w:r>
      <w:r>
        <w:rPr>
          <w:spacing w:val="-10"/>
        </w:rPr>
        <w:t xml:space="preserve"> </w:t>
      </w:r>
      <w:r>
        <w:t>and</w:t>
      </w:r>
      <w:r>
        <w:rPr>
          <w:spacing w:val="-8"/>
        </w:rPr>
        <w:t xml:space="preserve"> </w:t>
      </w:r>
      <w:r>
        <w:t>the</w:t>
      </w:r>
      <w:r>
        <w:rPr>
          <w:spacing w:val="-8"/>
        </w:rPr>
        <w:t xml:space="preserve"> </w:t>
      </w:r>
      <w:r>
        <w:t>economy</w:t>
      </w:r>
      <w:r>
        <w:rPr>
          <w:spacing w:val="-13"/>
        </w:rPr>
        <w:t xml:space="preserve"> </w:t>
      </w:r>
      <w:r>
        <w:t>as</w:t>
      </w:r>
      <w:r>
        <w:rPr>
          <w:spacing w:val="-57"/>
        </w:rPr>
        <w:t xml:space="preserve"> </w:t>
      </w:r>
      <w:r>
        <w:t>well as private sector stakeholders will participate in reform implementation. This will ensure</w:t>
      </w:r>
      <w:r>
        <w:rPr>
          <w:spacing w:val="1"/>
        </w:rPr>
        <w:t xml:space="preserve"> </w:t>
      </w:r>
      <w:r>
        <w:t>a</w:t>
      </w:r>
      <w:r>
        <w:rPr>
          <w:spacing w:val="1"/>
        </w:rPr>
        <w:t xml:space="preserve"> </w:t>
      </w:r>
      <w:r>
        <w:t>partnership</w:t>
      </w:r>
      <w:r>
        <w:rPr>
          <w:spacing w:val="1"/>
        </w:rPr>
        <w:t xml:space="preserve"> </w:t>
      </w:r>
      <w:r>
        <w:t>in</w:t>
      </w:r>
      <w:r>
        <w:rPr>
          <w:spacing w:val="1"/>
        </w:rPr>
        <w:t xml:space="preserve"> </w:t>
      </w:r>
      <w:r>
        <w:t>developing</w:t>
      </w:r>
      <w:r>
        <w:rPr>
          <w:spacing w:val="1"/>
        </w:rPr>
        <w:t xml:space="preserve"> </w:t>
      </w:r>
      <w:r>
        <w:t>a</w:t>
      </w:r>
      <w:r>
        <w:rPr>
          <w:spacing w:val="1"/>
        </w:rPr>
        <w:t xml:space="preserve"> </w:t>
      </w:r>
      <w:r>
        <w:t>strategic</w:t>
      </w:r>
      <w:r>
        <w:rPr>
          <w:spacing w:val="1"/>
        </w:rPr>
        <w:t xml:space="preserve"> </w:t>
      </w:r>
      <w:r>
        <w:t>framework</w:t>
      </w:r>
      <w:r>
        <w:rPr>
          <w:spacing w:val="1"/>
        </w:rPr>
        <w:t xml:space="preserve"> </w:t>
      </w:r>
      <w:r>
        <w:t>and</w:t>
      </w:r>
      <w:r>
        <w:rPr>
          <w:spacing w:val="1"/>
        </w:rPr>
        <w:t xml:space="preserve"> </w:t>
      </w:r>
      <w:r>
        <w:t>adhering</w:t>
      </w:r>
      <w:r>
        <w:rPr>
          <w:spacing w:val="1"/>
        </w:rPr>
        <w:t xml:space="preserve"> </w:t>
      </w:r>
      <w:r>
        <w:t>to</w:t>
      </w:r>
      <w:r>
        <w:rPr>
          <w:spacing w:val="1"/>
        </w:rPr>
        <w:t xml:space="preserve"> </w:t>
      </w:r>
      <w:r>
        <w:t>public</w:t>
      </w:r>
      <w:r>
        <w:rPr>
          <w:spacing w:val="1"/>
        </w:rPr>
        <w:t xml:space="preserve"> </w:t>
      </w:r>
      <w:r>
        <w:t>and</w:t>
      </w:r>
      <w:r>
        <w:rPr>
          <w:spacing w:val="1"/>
        </w:rPr>
        <w:t xml:space="preserve"> </w:t>
      </w:r>
      <w:r>
        <w:t>private</w:t>
      </w:r>
      <w:r>
        <w:rPr>
          <w:spacing w:val="1"/>
        </w:rPr>
        <w:t xml:space="preserve"> </w:t>
      </w:r>
      <w:r>
        <w:t>perspectives</w:t>
      </w:r>
      <w:r>
        <w:rPr>
          <w:spacing w:val="-2"/>
        </w:rPr>
        <w:t xml:space="preserve"> </w:t>
      </w:r>
      <w:r>
        <w:t>in</w:t>
      </w:r>
      <w:r>
        <w:rPr>
          <w:spacing w:val="-3"/>
        </w:rPr>
        <w:t xml:space="preserve"> </w:t>
      </w:r>
      <w:r>
        <w:t>creating</w:t>
      </w:r>
      <w:r>
        <w:rPr>
          <w:spacing w:val="-6"/>
        </w:rPr>
        <w:t xml:space="preserve"> </w:t>
      </w:r>
      <w:r>
        <w:t>the</w:t>
      </w:r>
      <w:r>
        <w:rPr>
          <w:spacing w:val="-4"/>
        </w:rPr>
        <w:t xml:space="preserve"> </w:t>
      </w:r>
      <w:r>
        <w:t>appropriate</w:t>
      </w:r>
      <w:r>
        <w:rPr>
          <w:spacing w:val="-2"/>
        </w:rPr>
        <w:t xml:space="preserve"> </w:t>
      </w:r>
      <w:r>
        <w:t>measures.</w:t>
      </w:r>
      <w:r>
        <w:rPr>
          <w:spacing w:val="-1"/>
        </w:rPr>
        <w:t xml:space="preserve"> </w:t>
      </w:r>
      <w:r>
        <w:t>The</w:t>
      </w:r>
      <w:r>
        <w:rPr>
          <w:spacing w:val="-5"/>
        </w:rPr>
        <w:t xml:space="preserve"> </w:t>
      </w:r>
      <w:r>
        <w:t>CSODDS/SDURDD</w:t>
      </w:r>
      <w:r>
        <w:rPr>
          <w:spacing w:val="-3"/>
        </w:rPr>
        <w:t xml:space="preserve"> </w:t>
      </w:r>
      <w:r>
        <w:t>will</w:t>
      </w:r>
      <w:r>
        <w:rPr>
          <w:spacing w:val="-3"/>
        </w:rPr>
        <w:t xml:space="preserve"> </w:t>
      </w:r>
      <w:r>
        <w:t>coordinate</w:t>
      </w:r>
      <w:r>
        <w:rPr>
          <w:spacing w:val="-2"/>
        </w:rPr>
        <w:t xml:space="preserve"> </w:t>
      </w:r>
      <w:r>
        <w:t>all</w:t>
      </w:r>
      <w:r>
        <w:rPr>
          <w:spacing w:val="-57"/>
        </w:rPr>
        <w:t xml:space="preserve"> </w:t>
      </w:r>
      <w:r>
        <w:t>stakeholders during the</w:t>
      </w:r>
      <w:r>
        <w:rPr>
          <w:spacing w:val="1"/>
        </w:rPr>
        <w:t xml:space="preserve"> </w:t>
      </w:r>
      <w:r>
        <w:t>drafting of the document</w:t>
      </w:r>
      <w:r>
        <w:rPr>
          <w:spacing w:val="1"/>
        </w:rPr>
        <w:t xml:space="preserve"> </w:t>
      </w:r>
      <w:r>
        <w:t>by way of</w:t>
      </w:r>
      <w:r>
        <w:rPr>
          <w:spacing w:val="1"/>
        </w:rPr>
        <w:t xml:space="preserve"> </w:t>
      </w:r>
      <w:r>
        <w:t>regular</w:t>
      </w:r>
      <w:r>
        <w:rPr>
          <w:spacing w:val="1"/>
        </w:rPr>
        <w:t xml:space="preserve"> </w:t>
      </w:r>
      <w:r>
        <w:t>communication and</w:t>
      </w:r>
      <w:r>
        <w:rPr>
          <w:spacing w:val="1"/>
        </w:rPr>
        <w:t xml:space="preserve"> </w:t>
      </w:r>
      <w:r>
        <w:t>meetings. A wide range of stakeholders is involved in drafting the Digital Croatia Strategy for</w:t>
      </w:r>
      <w:r>
        <w:rPr>
          <w:spacing w:val="-57"/>
        </w:rPr>
        <w:t xml:space="preserve"> </w:t>
      </w:r>
      <w:r>
        <w:t>the period up to 2030, i.e., an established working group consisting of representatives of other</w:t>
      </w:r>
      <w:r>
        <w:rPr>
          <w:spacing w:val="-57"/>
        </w:rPr>
        <w:t xml:space="preserve"> </w:t>
      </w:r>
      <w:r>
        <w:t>public</w:t>
      </w:r>
      <w:r>
        <w:rPr>
          <w:spacing w:val="1"/>
        </w:rPr>
        <w:t xml:space="preserve"> </w:t>
      </w:r>
      <w:r>
        <w:t>authorities,</w:t>
      </w:r>
      <w:r>
        <w:rPr>
          <w:spacing w:val="1"/>
        </w:rPr>
        <w:t xml:space="preserve"> </w:t>
      </w:r>
      <w:r>
        <w:t>academia,</w:t>
      </w:r>
      <w:r>
        <w:rPr>
          <w:spacing w:val="1"/>
        </w:rPr>
        <w:t xml:space="preserve"> </w:t>
      </w:r>
      <w:r>
        <w:t>civil</w:t>
      </w:r>
      <w:r>
        <w:rPr>
          <w:spacing w:val="1"/>
        </w:rPr>
        <w:t xml:space="preserve"> </w:t>
      </w:r>
      <w:r>
        <w:t>society</w:t>
      </w:r>
      <w:r>
        <w:rPr>
          <w:spacing w:val="1"/>
        </w:rPr>
        <w:t xml:space="preserve"> </w:t>
      </w:r>
      <w:r>
        <w:t>and</w:t>
      </w:r>
      <w:r>
        <w:rPr>
          <w:spacing w:val="1"/>
        </w:rPr>
        <w:t xml:space="preserve"> </w:t>
      </w:r>
      <w:r>
        <w:t>the</w:t>
      </w:r>
      <w:r>
        <w:rPr>
          <w:spacing w:val="1"/>
        </w:rPr>
        <w:t xml:space="preserve"> </w:t>
      </w:r>
      <w:r>
        <w:t>private</w:t>
      </w:r>
      <w:r>
        <w:rPr>
          <w:spacing w:val="1"/>
        </w:rPr>
        <w:t xml:space="preserve"> </w:t>
      </w:r>
      <w:r>
        <w:t>sector.</w:t>
      </w:r>
      <w:r>
        <w:rPr>
          <w:spacing w:val="1"/>
        </w:rPr>
        <w:t xml:space="preserve"> </w:t>
      </w:r>
      <w:r>
        <w:t>Coinciding</w:t>
      </w:r>
      <w:r>
        <w:rPr>
          <w:spacing w:val="1"/>
        </w:rPr>
        <w:t xml:space="preserve"> </w:t>
      </w:r>
      <w:r>
        <w:t>with</w:t>
      </w:r>
      <w:r>
        <w:rPr>
          <w:spacing w:val="1"/>
        </w:rPr>
        <w:t xml:space="preserve"> </w:t>
      </w:r>
      <w:r>
        <w:t>its</w:t>
      </w:r>
      <w:r>
        <w:rPr>
          <w:spacing w:val="1"/>
        </w:rPr>
        <w:t xml:space="preserve"> </w:t>
      </w:r>
      <w:r>
        <w:t>development,</w:t>
      </w:r>
      <w:r>
        <w:rPr>
          <w:spacing w:val="-4"/>
        </w:rPr>
        <w:t xml:space="preserve"> </w:t>
      </w:r>
      <w:r>
        <w:t>a</w:t>
      </w:r>
      <w:r>
        <w:rPr>
          <w:spacing w:val="-5"/>
        </w:rPr>
        <w:t xml:space="preserve"> </w:t>
      </w:r>
      <w:r>
        <w:t>project</w:t>
      </w:r>
      <w:r>
        <w:rPr>
          <w:spacing w:val="-3"/>
        </w:rPr>
        <w:t xml:space="preserve"> </w:t>
      </w:r>
      <w:r>
        <w:t>financed</w:t>
      </w:r>
      <w:r>
        <w:rPr>
          <w:spacing w:val="-1"/>
        </w:rPr>
        <w:t xml:space="preserve"> </w:t>
      </w:r>
      <w:r>
        <w:t>from</w:t>
      </w:r>
      <w:r>
        <w:rPr>
          <w:spacing w:val="-4"/>
        </w:rPr>
        <w:t xml:space="preserve"> </w:t>
      </w:r>
      <w:r>
        <w:t>the</w:t>
      </w:r>
      <w:r>
        <w:rPr>
          <w:spacing w:val="-4"/>
        </w:rPr>
        <w:t xml:space="preserve"> </w:t>
      </w:r>
      <w:r>
        <w:t>EC</w:t>
      </w:r>
      <w:r>
        <w:rPr>
          <w:spacing w:val="-3"/>
        </w:rPr>
        <w:t xml:space="preserve"> </w:t>
      </w:r>
      <w:r>
        <w:t>Technical</w:t>
      </w:r>
      <w:r>
        <w:rPr>
          <w:spacing w:val="-1"/>
        </w:rPr>
        <w:t xml:space="preserve"> </w:t>
      </w:r>
      <w:r>
        <w:t>Support</w:t>
      </w:r>
      <w:r>
        <w:rPr>
          <w:spacing w:val="-2"/>
        </w:rPr>
        <w:t xml:space="preserve"> </w:t>
      </w:r>
      <w:r>
        <w:t>Instrument</w:t>
      </w:r>
      <w:r>
        <w:rPr>
          <w:spacing w:val="-3"/>
        </w:rPr>
        <w:t xml:space="preserve"> </w:t>
      </w:r>
      <w:r>
        <w:t>Establishment</w:t>
      </w:r>
      <w:r>
        <w:rPr>
          <w:spacing w:val="-3"/>
        </w:rPr>
        <w:t xml:space="preserve"> </w:t>
      </w:r>
      <w:r>
        <w:t>of</w:t>
      </w:r>
      <w:r>
        <w:rPr>
          <w:spacing w:val="-5"/>
        </w:rPr>
        <w:t xml:space="preserve"> </w:t>
      </w:r>
      <w:r>
        <w:t>a</w:t>
      </w:r>
      <w:r>
        <w:rPr>
          <w:spacing w:val="-58"/>
        </w:rPr>
        <w:t xml:space="preserve"> </w:t>
      </w:r>
      <w:r>
        <w:rPr>
          <w:spacing w:val="-1"/>
        </w:rPr>
        <w:t>Coordination</w:t>
      </w:r>
      <w:r>
        <w:rPr>
          <w:spacing w:val="-15"/>
        </w:rPr>
        <w:t xml:space="preserve"> </w:t>
      </w:r>
      <w:r>
        <w:t>Mechanism</w:t>
      </w:r>
      <w:r>
        <w:rPr>
          <w:spacing w:val="-12"/>
        </w:rPr>
        <w:t xml:space="preserve"> </w:t>
      </w:r>
      <w:r>
        <w:t>to</w:t>
      </w:r>
      <w:r>
        <w:rPr>
          <w:spacing w:val="-13"/>
        </w:rPr>
        <w:t xml:space="preserve"> </w:t>
      </w:r>
      <w:r>
        <w:t>Ensure</w:t>
      </w:r>
      <w:r>
        <w:rPr>
          <w:spacing w:val="-15"/>
        </w:rPr>
        <w:t xml:space="preserve"> </w:t>
      </w:r>
      <w:r>
        <w:t>Coherent</w:t>
      </w:r>
      <w:r>
        <w:rPr>
          <w:spacing w:val="-14"/>
        </w:rPr>
        <w:t xml:space="preserve"> </w:t>
      </w:r>
      <w:r>
        <w:t>Development</w:t>
      </w:r>
      <w:r>
        <w:rPr>
          <w:spacing w:val="-15"/>
        </w:rPr>
        <w:t xml:space="preserve"> </w:t>
      </w:r>
      <w:r>
        <w:t>of</w:t>
      </w:r>
      <w:r>
        <w:rPr>
          <w:spacing w:val="-16"/>
        </w:rPr>
        <w:t xml:space="preserve"> </w:t>
      </w:r>
      <w:r>
        <w:t>e-Government,</w:t>
      </w:r>
      <w:r>
        <w:rPr>
          <w:spacing w:val="-14"/>
        </w:rPr>
        <w:t xml:space="preserve"> </w:t>
      </w:r>
      <w:r>
        <w:t>in</w:t>
      </w:r>
      <w:r>
        <w:rPr>
          <w:spacing w:val="-14"/>
        </w:rPr>
        <w:t xml:space="preserve"> </w:t>
      </w:r>
      <w:r>
        <w:t>terms</w:t>
      </w:r>
      <w:r>
        <w:rPr>
          <w:spacing w:val="-14"/>
        </w:rPr>
        <w:t xml:space="preserve"> </w:t>
      </w:r>
      <w:r>
        <w:t>of</w:t>
      </w:r>
      <w:r>
        <w:rPr>
          <w:spacing w:val="-16"/>
        </w:rPr>
        <w:t xml:space="preserve"> </w:t>
      </w:r>
      <w:r>
        <w:t>which</w:t>
      </w:r>
      <w:r>
        <w:rPr>
          <w:spacing w:val="-57"/>
        </w:rPr>
        <w:t xml:space="preserve"> </w:t>
      </w:r>
      <w:r>
        <w:t>the existing system of management and coordination in the area of public administration</w:t>
      </w:r>
      <w:r>
        <w:rPr>
          <w:spacing w:val="1"/>
        </w:rPr>
        <w:t xml:space="preserve"> </w:t>
      </w:r>
      <w:r>
        <w:t>digitalisation</w:t>
      </w:r>
      <w:r>
        <w:rPr>
          <w:spacing w:val="-10"/>
        </w:rPr>
        <w:t xml:space="preserve"> </w:t>
      </w:r>
      <w:r>
        <w:t>will</w:t>
      </w:r>
      <w:r>
        <w:rPr>
          <w:spacing w:val="-8"/>
        </w:rPr>
        <w:t xml:space="preserve"> </w:t>
      </w:r>
      <w:r>
        <w:t>be</w:t>
      </w:r>
      <w:r>
        <w:rPr>
          <w:spacing w:val="-10"/>
        </w:rPr>
        <w:t xml:space="preserve"> </w:t>
      </w:r>
      <w:r>
        <w:t>revised,</w:t>
      </w:r>
      <w:r>
        <w:rPr>
          <w:spacing w:val="-9"/>
        </w:rPr>
        <w:t xml:space="preserve"> </w:t>
      </w:r>
      <w:r>
        <w:t>guidelines</w:t>
      </w:r>
      <w:r>
        <w:rPr>
          <w:spacing w:val="-8"/>
        </w:rPr>
        <w:t xml:space="preserve"> </w:t>
      </w:r>
      <w:r>
        <w:t>will</w:t>
      </w:r>
      <w:r>
        <w:rPr>
          <w:spacing w:val="-8"/>
        </w:rPr>
        <w:t xml:space="preserve"> </w:t>
      </w:r>
      <w:r>
        <w:t>be</w:t>
      </w:r>
      <w:r>
        <w:rPr>
          <w:spacing w:val="-10"/>
        </w:rPr>
        <w:t xml:space="preserve"> </w:t>
      </w:r>
      <w:r>
        <w:t>devised</w:t>
      </w:r>
      <w:r>
        <w:rPr>
          <w:spacing w:val="-10"/>
        </w:rPr>
        <w:t xml:space="preserve"> </w:t>
      </w:r>
      <w:r>
        <w:t>for</w:t>
      </w:r>
      <w:r>
        <w:rPr>
          <w:spacing w:val="-10"/>
        </w:rPr>
        <w:t xml:space="preserve"> </w:t>
      </w:r>
      <w:r>
        <w:t>inter-institutional</w:t>
      </w:r>
      <w:r>
        <w:rPr>
          <w:spacing w:val="-7"/>
        </w:rPr>
        <w:t xml:space="preserve"> </w:t>
      </w:r>
      <w:r>
        <w:t>collaboration</w:t>
      </w:r>
      <w:r>
        <w:rPr>
          <w:spacing w:val="-5"/>
        </w:rPr>
        <w:t xml:space="preserve"> </w:t>
      </w:r>
      <w:r>
        <w:t>and</w:t>
      </w:r>
      <w:r>
        <w:rPr>
          <w:spacing w:val="-58"/>
        </w:rPr>
        <w:t xml:space="preserve"> </w:t>
      </w:r>
      <w:r>
        <w:t>coordination,</w:t>
      </w:r>
      <w:r>
        <w:rPr>
          <w:spacing w:val="1"/>
        </w:rPr>
        <w:t xml:space="preserve"> </w:t>
      </w:r>
      <w:r>
        <w:t>as</w:t>
      </w:r>
      <w:r>
        <w:rPr>
          <w:spacing w:val="1"/>
        </w:rPr>
        <w:t xml:space="preserve"> </w:t>
      </w:r>
      <w:r>
        <w:t>well</w:t>
      </w:r>
      <w:r>
        <w:rPr>
          <w:spacing w:val="1"/>
        </w:rPr>
        <w:t xml:space="preserve"> </w:t>
      </w:r>
      <w:r>
        <w:t>as</w:t>
      </w:r>
      <w:r>
        <w:rPr>
          <w:spacing w:val="1"/>
        </w:rPr>
        <w:t xml:space="preserve"> </w:t>
      </w:r>
      <w:r>
        <w:t>guidelines</w:t>
      </w:r>
      <w:r>
        <w:rPr>
          <w:spacing w:val="1"/>
        </w:rPr>
        <w:t xml:space="preserve"> </w:t>
      </w:r>
      <w:r>
        <w:t>and</w:t>
      </w:r>
      <w:r>
        <w:rPr>
          <w:spacing w:val="1"/>
        </w:rPr>
        <w:t xml:space="preserve"> </w:t>
      </w:r>
      <w:r>
        <w:t>recommendations</w:t>
      </w:r>
      <w:r>
        <w:rPr>
          <w:spacing w:val="1"/>
        </w:rPr>
        <w:t xml:space="preserve"> </w:t>
      </w:r>
      <w:r>
        <w:t>for</w:t>
      </w:r>
      <w:r>
        <w:rPr>
          <w:spacing w:val="1"/>
        </w:rPr>
        <w:t xml:space="preserve"> </w:t>
      </w:r>
      <w:r>
        <w:t>monitoring,</w:t>
      </w:r>
      <w:r>
        <w:rPr>
          <w:spacing w:val="1"/>
        </w:rPr>
        <w:t xml:space="preserve"> </w:t>
      </w:r>
      <w:r>
        <w:t>reporting</w:t>
      </w:r>
      <w:r>
        <w:rPr>
          <w:spacing w:val="1"/>
        </w:rPr>
        <w:t xml:space="preserve"> </w:t>
      </w:r>
      <w:r>
        <w:t>and</w:t>
      </w:r>
      <w:r>
        <w:rPr>
          <w:spacing w:val="1"/>
        </w:rPr>
        <w:t xml:space="preserve"> </w:t>
      </w:r>
      <w:r>
        <w:t>evaluation</w:t>
      </w:r>
      <w:r>
        <w:rPr>
          <w:spacing w:val="-8"/>
        </w:rPr>
        <w:t xml:space="preserve"> </w:t>
      </w:r>
      <w:r>
        <w:t>of</w:t>
      </w:r>
      <w:r>
        <w:rPr>
          <w:spacing w:val="-9"/>
        </w:rPr>
        <w:t xml:space="preserve"> </w:t>
      </w:r>
      <w:r>
        <w:t>investments</w:t>
      </w:r>
      <w:r>
        <w:rPr>
          <w:spacing w:val="-6"/>
        </w:rPr>
        <w:t xml:space="preserve"> </w:t>
      </w:r>
      <w:r>
        <w:t>and</w:t>
      </w:r>
      <w:r>
        <w:rPr>
          <w:spacing w:val="-9"/>
        </w:rPr>
        <w:t xml:space="preserve"> </w:t>
      </w:r>
      <w:r>
        <w:t>digitisation</w:t>
      </w:r>
      <w:r>
        <w:rPr>
          <w:spacing w:val="-9"/>
        </w:rPr>
        <w:t xml:space="preserve"> </w:t>
      </w:r>
      <w:r>
        <w:t>projects</w:t>
      </w:r>
      <w:r>
        <w:rPr>
          <w:spacing w:val="-5"/>
        </w:rPr>
        <w:t xml:space="preserve"> </w:t>
      </w:r>
      <w:r>
        <w:t>in</w:t>
      </w:r>
      <w:r>
        <w:rPr>
          <w:spacing w:val="-8"/>
        </w:rPr>
        <w:t xml:space="preserve"> </w:t>
      </w:r>
      <w:r>
        <w:t>public</w:t>
      </w:r>
      <w:r>
        <w:rPr>
          <w:spacing w:val="-10"/>
        </w:rPr>
        <w:t xml:space="preserve"> </w:t>
      </w:r>
      <w:r>
        <w:t>administration.</w:t>
      </w:r>
      <w:r>
        <w:rPr>
          <w:spacing w:val="-9"/>
        </w:rPr>
        <w:t xml:space="preserve"> </w:t>
      </w:r>
      <w:r>
        <w:t>All</w:t>
      </w:r>
      <w:r>
        <w:rPr>
          <w:spacing w:val="-8"/>
        </w:rPr>
        <w:t xml:space="preserve"> </w:t>
      </w:r>
      <w:r>
        <w:t>key</w:t>
      </w:r>
      <w:r>
        <w:rPr>
          <w:spacing w:val="-12"/>
        </w:rPr>
        <w:t xml:space="preserve"> </w:t>
      </w:r>
      <w:r>
        <w:t>institutions</w:t>
      </w:r>
      <w:r>
        <w:rPr>
          <w:spacing w:val="-58"/>
        </w:rPr>
        <w:t xml:space="preserve"> </w:t>
      </w:r>
      <w:r>
        <w:t>are</w:t>
      </w:r>
      <w:r>
        <w:rPr>
          <w:spacing w:val="-3"/>
        </w:rPr>
        <w:t xml:space="preserve"> </w:t>
      </w:r>
      <w:r>
        <w:t>involved in the</w:t>
      </w:r>
      <w:r>
        <w:rPr>
          <w:spacing w:val="-1"/>
        </w:rPr>
        <w:t xml:space="preserve"> </w:t>
      </w:r>
      <w:r>
        <w:t>project activities.</w:t>
      </w:r>
    </w:p>
    <w:p w:rsidR="00A56FE9" w:rsidRDefault="00000000">
      <w:pPr>
        <w:pStyle w:val="Tijeloteksta"/>
        <w:spacing w:before="122"/>
        <w:ind w:right="271"/>
      </w:pPr>
      <w:r>
        <w:t>Activities to establish the interoperability of information systems implies the involvement of</w:t>
      </w:r>
      <w:r>
        <w:rPr>
          <w:spacing w:val="1"/>
        </w:rPr>
        <w:t xml:space="preserve"> </w:t>
      </w:r>
      <w:r>
        <w:t>the</w:t>
      </w:r>
      <w:r>
        <w:rPr>
          <w:spacing w:val="-8"/>
        </w:rPr>
        <w:t xml:space="preserve"> </w:t>
      </w:r>
      <w:r>
        <w:t>heads</w:t>
      </w:r>
      <w:r>
        <w:rPr>
          <w:spacing w:val="-7"/>
        </w:rPr>
        <w:t xml:space="preserve"> </w:t>
      </w:r>
      <w:r>
        <w:t>of</w:t>
      </w:r>
      <w:r>
        <w:rPr>
          <w:spacing w:val="-7"/>
        </w:rPr>
        <w:t xml:space="preserve"> </w:t>
      </w:r>
      <w:r>
        <w:t>registers</w:t>
      </w:r>
      <w:r>
        <w:rPr>
          <w:spacing w:val="-8"/>
        </w:rPr>
        <w:t xml:space="preserve"> </w:t>
      </w:r>
      <w:r>
        <w:t>and</w:t>
      </w:r>
      <w:r>
        <w:rPr>
          <w:spacing w:val="-4"/>
        </w:rPr>
        <w:t xml:space="preserve"> </w:t>
      </w:r>
      <w:r>
        <w:t>SABs,</w:t>
      </w:r>
      <w:r>
        <w:rPr>
          <w:spacing w:val="-7"/>
        </w:rPr>
        <w:t xml:space="preserve"> </w:t>
      </w:r>
      <w:r>
        <w:t>as</w:t>
      </w:r>
      <w:r>
        <w:rPr>
          <w:spacing w:val="-6"/>
        </w:rPr>
        <w:t xml:space="preserve"> </w:t>
      </w:r>
      <w:r>
        <w:t>well</w:t>
      </w:r>
      <w:r>
        <w:rPr>
          <w:spacing w:val="-7"/>
        </w:rPr>
        <w:t xml:space="preserve"> </w:t>
      </w:r>
      <w:r>
        <w:t>as</w:t>
      </w:r>
      <w:r>
        <w:rPr>
          <w:spacing w:val="-7"/>
        </w:rPr>
        <w:t xml:space="preserve"> </w:t>
      </w:r>
      <w:r>
        <w:t>other</w:t>
      </w:r>
      <w:r>
        <w:rPr>
          <w:spacing w:val="-7"/>
        </w:rPr>
        <w:t xml:space="preserve"> </w:t>
      </w:r>
      <w:r>
        <w:t>institutions</w:t>
      </w:r>
      <w:r>
        <w:rPr>
          <w:spacing w:val="-9"/>
        </w:rPr>
        <w:t xml:space="preserve"> </w:t>
      </w:r>
      <w:r>
        <w:t>that</w:t>
      </w:r>
      <w:r>
        <w:rPr>
          <w:spacing w:val="-6"/>
        </w:rPr>
        <w:t xml:space="preserve"> </w:t>
      </w:r>
      <w:r>
        <w:t>must</w:t>
      </w:r>
      <w:r>
        <w:rPr>
          <w:spacing w:val="-7"/>
        </w:rPr>
        <w:t xml:space="preserve"> </w:t>
      </w:r>
      <w:r>
        <w:t>integrate</w:t>
      </w:r>
      <w:r>
        <w:rPr>
          <w:spacing w:val="-8"/>
        </w:rPr>
        <w:t xml:space="preserve"> </w:t>
      </w:r>
      <w:r>
        <w:t>registers</w:t>
      </w:r>
      <w:r>
        <w:rPr>
          <w:spacing w:val="-5"/>
        </w:rPr>
        <w:t xml:space="preserve"> </w:t>
      </w:r>
      <w:r>
        <w:t>on</w:t>
      </w:r>
      <w:r>
        <w:rPr>
          <w:spacing w:val="-6"/>
        </w:rPr>
        <w:t xml:space="preserve"> </w:t>
      </w:r>
      <w:r>
        <w:t>the</w:t>
      </w:r>
      <w:r>
        <w:rPr>
          <w:spacing w:val="-58"/>
        </w:rPr>
        <w:t xml:space="preserve"> </w:t>
      </w:r>
      <w:r>
        <w:t>state</w:t>
      </w:r>
      <w:r>
        <w:rPr>
          <w:spacing w:val="-5"/>
        </w:rPr>
        <w:t xml:space="preserve"> </w:t>
      </w:r>
      <w:r>
        <w:t>bus</w:t>
      </w:r>
      <w:r>
        <w:rPr>
          <w:spacing w:val="-4"/>
        </w:rPr>
        <w:t xml:space="preserve"> </w:t>
      </w:r>
      <w:r>
        <w:t>and</w:t>
      </w:r>
      <w:r>
        <w:rPr>
          <w:spacing w:val="-1"/>
        </w:rPr>
        <w:t xml:space="preserve"> </w:t>
      </w:r>
      <w:r>
        <w:t>adapt</w:t>
      </w:r>
      <w:r>
        <w:rPr>
          <w:spacing w:val="-1"/>
        </w:rPr>
        <w:t xml:space="preserve"> </w:t>
      </w:r>
      <w:r>
        <w:t>services</w:t>
      </w:r>
      <w:r>
        <w:rPr>
          <w:spacing w:val="-4"/>
        </w:rPr>
        <w:t xml:space="preserve"> </w:t>
      </w:r>
      <w:r>
        <w:t>to</w:t>
      </w:r>
      <w:r>
        <w:rPr>
          <w:spacing w:val="-2"/>
        </w:rPr>
        <w:t xml:space="preserve"> </w:t>
      </w:r>
      <w:r>
        <w:t>the</w:t>
      </w:r>
      <w:r>
        <w:rPr>
          <w:spacing w:val="-1"/>
        </w:rPr>
        <w:t xml:space="preserve"> </w:t>
      </w:r>
      <w:r>
        <w:t>real</w:t>
      </w:r>
      <w:r>
        <w:rPr>
          <w:spacing w:val="-3"/>
        </w:rPr>
        <w:t xml:space="preserve"> </w:t>
      </w:r>
      <w:r>
        <w:t>needs of</w:t>
      </w:r>
      <w:r>
        <w:rPr>
          <w:spacing w:val="-5"/>
        </w:rPr>
        <w:t xml:space="preserve"> </w:t>
      </w:r>
      <w:r>
        <w:t>the</w:t>
      </w:r>
      <w:r>
        <w:rPr>
          <w:spacing w:val="-2"/>
        </w:rPr>
        <w:t xml:space="preserve"> </w:t>
      </w:r>
      <w:r>
        <w:t>systems</w:t>
      </w:r>
      <w:r>
        <w:rPr>
          <w:spacing w:val="1"/>
        </w:rPr>
        <w:t xml:space="preserve"> </w:t>
      </w:r>
      <w:r>
        <w:t>to</w:t>
      </w:r>
      <w:r>
        <w:rPr>
          <w:spacing w:val="-1"/>
        </w:rPr>
        <w:t xml:space="preserve"> </w:t>
      </w:r>
      <w:r>
        <w:t>which</w:t>
      </w:r>
      <w:r>
        <w:rPr>
          <w:spacing w:val="-4"/>
        </w:rPr>
        <w:t xml:space="preserve"> </w:t>
      </w:r>
      <w:r>
        <w:t>they</w:t>
      </w:r>
      <w:r>
        <w:rPr>
          <w:spacing w:val="-5"/>
        </w:rPr>
        <w:t xml:space="preserve"> </w:t>
      </w:r>
      <w:r>
        <w:t>are</w:t>
      </w:r>
      <w:r>
        <w:rPr>
          <w:spacing w:val="-5"/>
        </w:rPr>
        <w:t xml:space="preserve"> </w:t>
      </w:r>
      <w:r>
        <w:t>connected.</w:t>
      </w:r>
      <w:r>
        <w:rPr>
          <w:spacing w:val="-1"/>
        </w:rPr>
        <w:t xml:space="preserve"> </w:t>
      </w:r>
      <w:r>
        <w:t>Also,</w:t>
      </w:r>
      <w:r>
        <w:rPr>
          <w:spacing w:val="-57"/>
        </w:rPr>
        <w:t xml:space="preserve"> </w:t>
      </w:r>
      <w:r>
        <w:t>the</w:t>
      </w:r>
      <w:r>
        <w:rPr>
          <w:spacing w:val="52"/>
        </w:rPr>
        <w:t xml:space="preserve"> </w:t>
      </w:r>
      <w:r>
        <w:t>institutions</w:t>
      </w:r>
      <w:r>
        <w:rPr>
          <w:spacing w:val="54"/>
        </w:rPr>
        <w:t xml:space="preserve"> </w:t>
      </w:r>
      <w:r>
        <w:t>responsible</w:t>
      </w:r>
      <w:r>
        <w:rPr>
          <w:spacing w:val="53"/>
        </w:rPr>
        <w:t xml:space="preserve"> </w:t>
      </w:r>
      <w:r>
        <w:t>for</w:t>
      </w:r>
      <w:r>
        <w:rPr>
          <w:spacing w:val="51"/>
        </w:rPr>
        <w:t xml:space="preserve"> </w:t>
      </w:r>
      <w:r>
        <w:t>each</w:t>
      </w:r>
      <w:r>
        <w:rPr>
          <w:spacing w:val="53"/>
        </w:rPr>
        <w:t xml:space="preserve"> </w:t>
      </w:r>
      <w:r>
        <w:t>procedure</w:t>
      </w:r>
      <w:r>
        <w:rPr>
          <w:spacing w:val="53"/>
        </w:rPr>
        <w:t xml:space="preserve"> </w:t>
      </w:r>
      <w:r>
        <w:t>of</w:t>
      </w:r>
      <w:r>
        <w:rPr>
          <w:spacing w:val="56"/>
        </w:rPr>
        <w:t xml:space="preserve"> </w:t>
      </w:r>
      <w:r>
        <w:t>the</w:t>
      </w:r>
      <w:r>
        <w:rPr>
          <w:spacing w:val="52"/>
        </w:rPr>
        <w:t xml:space="preserve"> </w:t>
      </w:r>
      <w:r>
        <w:t>Single</w:t>
      </w:r>
      <w:r>
        <w:rPr>
          <w:spacing w:val="53"/>
        </w:rPr>
        <w:t xml:space="preserve"> </w:t>
      </w:r>
      <w:r>
        <w:t>Digital</w:t>
      </w:r>
      <w:r>
        <w:rPr>
          <w:spacing w:val="55"/>
        </w:rPr>
        <w:t xml:space="preserve"> </w:t>
      </w:r>
      <w:r>
        <w:t>Gateway</w:t>
      </w:r>
      <w:r>
        <w:rPr>
          <w:spacing w:val="50"/>
        </w:rPr>
        <w:t xml:space="preserve"> </w:t>
      </w:r>
      <w:r>
        <w:t>Regulation</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81"/>
      </w:pPr>
      <w:r>
        <w:t>(SDGR)</w:t>
      </w:r>
      <w:r>
        <w:rPr>
          <w:spacing w:val="1"/>
        </w:rPr>
        <w:t xml:space="preserve"> </w:t>
      </w:r>
      <w:r>
        <w:t>are</w:t>
      </w:r>
      <w:r>
        <w:rPr>
          <w:spacing w:val="1"/>
        </w:rPr>
        <w:t xml:space="preserve"> </w:t>
      </w:r>
      <w:r>
        <w:t>obliged</w:t>
      </w:r>
      <w:r>
        <w:rPr>
          <w:spacing w:val="1"/>
        </w:rPr>
        <w:t xml:space="preserve"> </w:t>
      </w:r>
      <w:r>
        <w:t>to</w:t>
      </w:r>
      <w:r>
        <w:rPr>
          <w:spacing w:val="1"/>
        </w:rPr>
        <w:t xml:space="preserve"> </w:t>
      </w:r>
      <w:r>
        <w:t>implement</w:t>
      </w:r>
      <w:r>
        <w:rPr>
          <w:spacing w:val="1"/>
        </w:rPr>
        <w:t xml:space="preserve"> </w:t>
      </w:r>
      <w:r>
        <w:t>and</w:t>
      </w:r>
      <w:r>
        <w:rPr>
          <w:spacing w:val="1"/>
        </w:rPr>
        <w:t xml:space="preserve"> </w:t>
      </w:r>
      <w:r>
        <w:t>adapt</w:t>
      </w:r>
      <w:r>
        <w:rPr>
          <w:spacing w:val="1"/>
        </w:rPr>
        <w:t xml:space="preserve"> </w:t>
      </w:r>
      <w:r>
        <w:t>these</w:t>
      </w:r>
      <w:r>
        <w:rPr>
          <w:spacing w:val="1"/>
        </w:rPr>
        <w:t xml:space="preserve"> </w:t>
      </w:r>
      <w:r>
        <w:t>services</w:t>
      </w:r>
      <w:r>
        <w:rPr>
          <w:spacing w:val="1"/>
        </w:rPr>
        <w:t xml:space="preserve"> </w:t>
      </w:r>
      <w:r>
        <w:t>in</w:t>
      </w:r>
      <w:r>
        <w:rPr>
          <w:spacing w:val="1"/>
        </w:rPr>
        <w:t xml:space="preserve"> </w:t>
      </w:r>
      <w:r>
        <w:t>accordance</w:t>
      </w:r>
      <w:r>
        <w:rPr>
          <w:spacing w:val="1"/>
        </w:rPr>
        <w:t xml:space="preserve"> </w:t>
      </w:r>
      <w:r>
        <w:t>with</w:t>
      </w:r>
      <w:r>
        <w:rPr>
          <w:spacing w:val="1"/>
        </w:rPr>
        <w:t xml:space="preserve"> </w:t>
      </w:r>
      <w:r>
        <w:t>the</w:t>
      </w:r>
      <w:r>
        <w:rPr>
          <w:spacing w:val="1"/>
        </w:rPr>
        <w:t xml:space="preserve"> </w:t>
      </w:r>
      <w:r>
        <w:t>EC</w:t>
      </w:r>
      <w:r>
        <w:rPr>
          <w:spacing w:val="1"/>
        </w:rPr>
        <w:t xml:space="preserve"> </w:t>
      </w:r>
      <w:r>
        <w:t>Regulation,</w:t>
      </w:r>
      <w:r>
        <w:rPr>
          <w:spacing w:val="-1"/>
        </w:rPr>
        <w:t xml:space="preserve"> </w:t>
      </w:r>
      <w:r>
        <w:t>and</w:t>
      </w:r>
      <w:r>
        <w:rPr>
          <w:spacing w:val="1"/>
        </w:rPr>
        <w:t xml:space="preserve"> </w:t>
      </w:r>
      <w:r>
        <w:t>accordingly,</w:t>
      </w:r>
      <w:r>
        <w:rPr>
          <w:spacing w:val="-1"/>
        </w:rPr>
        <w:t xml:space="preserve"> </w:t>
      </w:r>
      <w:r>
        <w:t>continuous</w:t>
      </w:r>
      <w:r>
        <w:rPr>
          <w:spacing w:val="-1"/>
        </w:rPr>
        <w:t xml:space="preserve"> </w:t>
      </w:r>
      <w:r>
        <w:t>communication</w:t>
      </w:r>
      <w:r>
        <w:rPr>
          <w:spacing w:val="-1"/>
        </w:rPr>
        <w:t xml:space="preserve"> </w:t>
      </w:r>
      <w:r>
        <w:t>and</w:t>
      </w:r>
      <w:r>
        <w:rPr>
          <w:spacing w:val="-1"/>
        </w:rPr>
        <w:t xml:space="preserve"> </w:t>
      </w:r>
      <w:r>
        <w:t>their</w:t>
      </w:r>
      <w:r>
        <w:rPr>
          <w:spacing w:val="-1"/>
        </w:rPr>
        <w:t xml:space="preserve"> </w:t>
      </w:r>
      <w:r>
        <w:t>involvement</w:t>
      </w:r>
      <w:r>
        <w:rPr>
          <w:spacing w:val="-1"/>
        </w:rPr>
        <w:t xml:space="preserve"> </w:t>
      </w:r>
      <w:r>
        <w:t>is</w:t>
      </w:r>
      <w:r>
        <w:rPr>
          <w:spacing w:val="-1"/>
        </w:rPr>
        <w:t xml:space="preserve"> </w:t>
      </w:r>
      <w:r>
        <w:t>ensured.</w:t>
      </w:r>
    </w:p>
    <w:p w:rsidR="00A56FE9" w:rsidRDefault="00000000">
      <w:pPr>
        <w:pStyle w:val="Tijeloteksta"/>
        <w:spacing w:before="120"/>
        <w:ind w:right="274"/>
      </w:pPr>
      <w:r>
        <w:t>Due to the application of basic principles, which includes the principle of rationalisation and</w:t>
      </w:r>
      <w:r>
        <w:rPr>
          <w:spacing w:val="1"/>
        </w:rPr>
        <w:t xml:space="preserve"> </w:t>
      </w:r>
      <w:r>
        <w:t>optimisation of financial costs, public bodies (as defined by the Act on State Information</w:t>
      </w:r>
      <w:r>
        <w:rPr>
          <w:spacing w:val="1"/>
        </w:rPr>
        <w:t xml:space="preserve"> </w:t>
      </w:r>
      <w:r>
        <w:t>Infrastructure) are obliged to migrate their systems to SSCs and use shared services provided</w:t>
      </w:r>
      <w:r>
        <w:rPr>
          <w:spacing w:val="1"/>
        </w:rPr>
        <w:t xml:space="preserve"> </w:t>
      </w:r>
      <w:r>
        <w:t>by the SSCs. This segment also includes LRSGUs and all bodies that are budgetary users and</w:t>
      </w:r>
      <w:r>
        <w:rPr>
          <w:spacing w:val="1"/>
        </w:rPr>
        <w:t xml:space="preserve"> </w:t>
      </w:r>
      <w:r>
        <w:t>have public powers. Continuous communication is carried out with all the aforementioned</w:t>
      </w:r>
      <w:r>
        <w:rPr>
          <w:spacing w:val="1"/>
        </w:rPr>
        <w:t xml:space="preserve"> </w:t>
      </w:r>
      <w:r>
        <w:t>bodies</w:t>
      </w:r>
      <w:r>
        <w:rPr>
          <w:spacing w:val="-1"/>
        </w:rPr>
        <w:t xml:space="preserve"> </w:t>
      </w:r>
      <w:r>
        <w:t>in</w:t>
      </w:r>
      <w:r>
        <w:rPr>
          <w:spacing w:val="-1"/>
        </w:rPr>
        <w:t xml:space="preserve"> </w:t>
      </w:r>
      <w:r>
        <w:t>order to</w:t>
      </w:r>
      <w:r>
        <w:rPr>
          <w:spacing w:val="-1"/>
        </w:rPr>
        <w:t xml:space="preserve"> </w:t>
      </w:r>
      <w:r>
        <w:t>involve</w:t>
      </w:r>
      <w:r>
        <w:rPr>
          <w:spacing w:val="-1"/>
        </w:rPr>
        <w:t xml:space="preserve"> </w:t>
      </w:r>
      <w:r>
        <w:t>them</w:t>
      </w:r>
      <w:r>
        <w:rPr>
          <w:spacing w:val="-1"/>
        </w:rPr>
        <w:t xml:space="preserve"> </w:t>
      </w:r>
      <w:r>
        <w:t>both in</w:t>
      </w:r>
      <w:r>
        <w:rPr>
          <w:spacing w:val="-1"/>
        </w:rPr>
        <w:t xml:space="preserve"> </w:t>
      </w:r>
      <w:r>
        <w:t>the</w:t>
      </w:r>
      <w:r>
        <w:rPr>
          <w:spacing w:val="-1"/>
        </w:rPr>
        <w:t xml:space="preserve"> </w:t>
      </w:r>
      <w:r>
        <w:t>preparation and</w:t>
      </w:r>
      <w:r>
        <w:rPr>
          <w:spacing w:val="-1"/>
        </w:rPr>
        <w:t xml:space="preserve"> </w:t>
      </w:r>
      <w:r>
        <w:t>implementation of</w:t>
      </w:r>
      <w:r>
        <w:rPr>
          <w:spacing w:val="-1"/>
        </w:rPr>
        <w:t xml:space="preserve"> </w:t>
      </w:r>
      <w:r>
        <w:t>these</w:t>
      </w:r>
      <w:r>
        <w:rPr>
          <w:spacing w:val="-1"/>
        </w:rPr>
        <w:t xml:space="preserve"> </w:t>
      </w:r>
      <w:r>
        <w:t>processes.</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708672"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103296537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E0498" id="Rectangle 11" o:spid="_x0000_s1026" style="position:absolute;margin-left:69.5pt;margin-top:9.8pt;width:45.25pt;height:1.45pt;z-index:-15607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3"/>
      </w:pPr>
      <w:r>
        <w:t>Activities in the field of public administration and justice covered by this NRP are also</w:t>
      </w:r>
      <w:r>
        <w:rPr>
          <w:spacing w:val="1"/>
        </w:rPr>
        <w:t xml:space="preserve"> </w:t>
      </w:r>
      <w:r>
        <w:t>contained in the National Plan for the Development of Public Administration and the National</w:t>
      </w:r>
      <w:r>
        <w:rPr>
          <w:spacing w:val="-57"/>
        </w:rPr>
        <w:t xml:space="preserve"> </w:t>
      </w:r>
      <w:r>
        <w:rPr>
          <w:spacing w:val="-1"/>
        </w:rPr>
        <w:t>Plan</w:t>
      </w:r>
      <w:r>
        <w:rPr>
          <w:spacing w:val="-15"/>
        </w:rPr>
        <w:t xml:space="preserve"> </w:t>
      </w:r>
      <w:r>
        <w:t>for</w:t>
      </w:r>
      <w:r>
        <w:rPr>
          <w:spacing w:val="-16"/>
        </w:rPr>
        <w:t xml:space="preserve"> </w:t>
      </w:r>
      <w:r>
        <w:t>the</w:t>
      </w:r>
      <w:r>
        <w:rPr>
          <w:spacing w:val="-15"/>
        </w:rPr>
        <w:t xml:space="preserve"> </w:t>
      </w:r>
      <w:r>
        <w:t>Development</w:t>
      </w:r>
      <w:r>
        <w:rPr>
          <w:spacing w:val="-12"/>
        </w:rPr>
        <w:t xml:space="preserve"> </w:t>
      </w:r>
      <w:r>
        <w:t>of</w:t>
      </w:r>
      <w:r>
        <w:rPr>
          <w:spacing w:val="-16"/>
        </w:rPr>
        <w:t xml:space="preserve"> </w:t>
      </w:r>
      <w:r>
        <w:t>the</w:t>
      </w:r>
      <w:r>
        <w:rPr>
          <w:spacing w:val="-15"/>
        </w:rPr>
        <w:t xml:space="preserve"> </w:t>
      </w:r>
      <w:r>
        <w:t>Judicial</w:t>
      </w:r>
      <w:r>
        <w:rPr>
          <w:spacing w:val="-13"/>
        </w:rPr>
        <w:t xml:space="preserve"> </w:t>
      </w:r>
      <w:r>
        <w:t>System</w:t>
      </w:r>
      <w:r>
        <w:rPr>
          <w:spacing w:val="-12"/>
        </w:rPr>
        <w:t xml:space="preserve"> </w:t>
      </w:r>
      <w:r>
        <w:t>adopted</w:t>
      </w:r>
      <w:r>
        <w:rPr>
          <w:spacing w:val="-15"/>
        </w:rPr>
        <w:t xml:space="preserve"> </w:t>
      </w:r>
      <w:r>
        <w:t>by</w:t>
      </w:r>
      <w:r>
        <w:rPr>
          <w:spacing w:val="-20"/>
        </w:rPr>
        <w:t xml:space="preserve"> </w:t>
      </w:r>
      <w:r>
        <w:t>the</w:t>
      </w:r>
      <w:r>
        <w:rPr>
          <w:spacing w:val="-16"/>
        </w:rPr>
        <w:t xml:space="preserve"> </w:t>
      </w:r>
      <w:r>
        <w:t>Government</w:t>
      </w:r>
      <w:r>
        <w:rPr>
          <w:spacing w:val="-12"/>
        </w:rPr>
        <w:t xml:space="preserve"> </w:t>
      </w:r>
      <w:r>
        <w:t>on</w:t>
      </w:r>
      <w:r>
        <w:rPr>
          <w:spacing w:val="-15"/>
        </w:rPr>
        <w:t xml:space="preserve"> </w:t>
      </w:r>
      <w:r>
        <w:t>23</w:t>
      </w:r>
      <w:r>
        <w:rPr>
          <w:spacing w:val="-15"/>
        </w:rPr>
        <w:t xml:space="preserve"> </w:t>
      </w:r>
      <w:r>
        <w:t>March</w:t>
      </w:r>
      <w:r>
        <w:rPr>
          <w:spacing w:val="-13"/>
        </w:rPr>
        <w:t xml:space="preserve"> </w:t>
      </w:r>
      <w:r>
        <w:t>2022.</w:t>
      </w:r>
      <w:r>
        <w:rPr>
          <w:spacing w:val="-57"/>
        </w:rPr>
        <w:t xml:space="preserve"> </w:t>
      </w:r>
      <w:r>
        <w:t>These plans were developed in adherence to the principles of partnership and transparency,</w:t>
      </w:r>
      <w:r>
        <w:rPr>
          <w:spacing w:val="1"/>
        </w:rPr>
        <w:t xml:space="preserve"> </w:t>
      </w:r>
      <w:r>
        <w:t>relying</w:t>
      </w:r>
      <w:r>
        <w:rPr>
          <w:spacing w:val="1"/>
        </w:rPr>
        <w:t xml:space="preserve"> </w:t>
      </w:r>
      <w:r>
        <w:t>on</w:t>
      </w:r>
      <w:r>
        <w:rPr>
          <w:spacing w:val="1"/>
        </w:rPr>
        <w:t xml:space="preserve"> </w:t>
      </w:r>
      <w:r>
        <w:t>various</w:t>
      </w:r>
      <w:r>
        <w:rPr>
          <w:spacing w:val="1"/>
        </w:rPr>
        <w:t xml:space="preserve"> </w:t>
      </w:r>
      <w:r>
        <w:t>mechanisms</w:t>
      </w:r>
      <w:r>
        <w:rPr>
          <w:spacing w:val="1"/>
        </w:rPr>
        <w:t xml:space="preserve"> </w:t>
      </w:r>
      <w:r>
        <w:t>of</w:t>
      </w:r>
      <w:r>
        <w:rPr>
          <w:spacing w:val="1"/>
        </w:rPr>
        <w:t xml:space="preserve"> </w:t>
      </w:r>
      <w:r>
        <w:t>dialogue</w:t>
      </w:r>
      <w:r>
        <w:rPr>
          <w:spacing w:val="1"/>
        </w:rPr>
        <w:t xml:space="preserve"> </w:t>
      </w:r>
      <w:r>
        <w:t>and</w:t>
      </w:r>
      <w:r>
        <w:rPr>
          <w:spacing w:val="1"/>
        </w:rPr>
        <w:t xml:space="preserve"> </w:t>
      </w:r>
      <w:r>
        <w:t>consultation</w:t>
      </w:r>
      <w:r>
        <w:rPr>
          <w:spacing w:val="1"/>
        </w:rPr>
        <w:t xml:space="preserve"> </w:t>
      </w:r>
      <w:r>
        <w:t>with</w:t>
      </w:r>
      <w:r>
        <w:rPr>
          <w:spacing w:val="1"/>
        </w:rPr>
        <w:t xml:space="preserve"> </w:t>
      </w:r>
      <w:r>
        <w:t>stakeholders.</w:t>
      </w:r>
      <w:r>
        <w:rPr>
          <w:spacing w:val="1"/>
        </w:rPr>
        <w:t xml:space="preserve"> </w:t>
      </w:r>
      <w:r>
        <w:t>The</w:t>
      </w:r>
      <w:r>
        <w:rPr>
          <w:spacing w:val="1"/>
        </w:rPr>
        <w:t xml:space="preserve"> </w:t>
      </w:r>
      <w:r>
        <w:t>Government</w:t>
      </w:r>
      <w:r>
        <w:rPr>
          <w:spacing w:val="1"/>
        </w:rPr>
        <w:t xml:space="preserve"> </w:t>
      </w:r>
      <w:r>
        <w:t>decided</w:t>
      </w:r>
      <w:r>
        <w:rPr>
          <w:spacing w:val="1"/>
        </w:rPr>
        <w:t xml:space="preserve"> </w:t>
      </w:r>
      <w:r>
        <w:t>to</w:t>
      </w:r>
      <w:r>
        <w:rPr>
          <w:spacing w:val="1"/>
        </w:rPr>
        <w:t xml:space="preserve"> </w:t>
      </w:r>
      <w:r>
        <w:t>establish</w:t>
      </w:r>
      <w:r>
        <w:rPr>
          <w:spacing w:val="1"/>
        </w:rPr>
        <w:t xml:space="preserve"> </w:t>
      </w:r>
      <w:r>
        <w:t>expert</w:t>
      </w:r>
      <w:r>
        <w:rPr>
          <w:spacing w:val="1"/>
        </w:rPr>
        <w:t xml:space="preserve"> </w:t>
      </w:r>
      <w:r>
        <w:t>working</w:t>
      </w:r>
      <w:r>
        <w:rPr>
          <w:spacing w:val="1"/>
        </w:rPr>
        <w:t xml:space="preserve"> </w:t>
      </w:r>
      <w:r>
        <w:t>groups</w:t>
      </w:r>
      <w:r>
        <w:rPr>
          <w:spacing w:val="1"/>
        </w:rPr>
        <w:t xml:space="preserve"> </w:t>
      </w:r>
      <w:r>
        <w:t>to</w:t>
      </w:r>
      <w:r>
        <w:rPr>
          <w:spacing w:val="1"/>
        </w:rPr>
        <w:t xml:space="preserve"> </w:t>
      </w:r>
      <w:r>
        <w:t>devise</w:t>
      </w:r>
      <w:r>
        <w:rPr>
          <w:spacing w:val="1"/>
        </w:rPr>
        <w:t xml:space="preserve"> </w:t>
      </w:r>
      <w:r>
        <w:t>national</w:t>
      </w:r>
      <w:r>
        <w:rPr>
          <w:spacing w:val="1"/>
        </w:rPr>
        <w:t xml:space="preserve"> </w:t>
      </w:r>
      <w:r>
        <w:t>plans</w:t>
      </w:r>
      <w:r>
        <w:rPr>
          <w:spacing w:val="1"/>
        </w:rPr>
        <w:t xml:space="preserve"> </w:t>
      </w:r>
      <w:r>
        <w:t>and</w:t>
      </w:r>
      <w:r>
        <w:rPr>
          <w:spacing w:val="1"/>
        </w:rPr>
        <w:t xml:space="preserve"> </w:t>
      </w:r>
      <w:r>
        <w:t>comprising</w:t>
      </w:r>
      <w:r>
        <w:rPr>
          <w:spacing w:val="1"/>
        </w:rPr>
        <w:t xml:space="preserve"> </w:t>
      </w:r>
      <w:r>
        <w:t>institutional</w:t>
      </w:r>
      <w:r>
        <w:rPr>
          <w:spacing w:val="1"/>
        </w:rPr>
        <w:t xml:space="preserve"> </w:t>
      </w:r>
      <w:r>
        <w:t>stakeholder</w:t>
      </w:r>
      <w:r>
        <w:rPr>
          <w:spacing w:val="1"/>
        </w:rPr>
        <w:t xml:space="preserve"> </w:t>
      </w:r>
      <w:r>
        <w:t>representatives</w:t>
      </w:r>
      <w:r>
        <w:rPr>
          <w:spacing w:val="1"/>
        </w:rPr>
        <w:t xml:space="preserve"> </w:t>
      </w:r>
      <w:r>
        <w:t>responsible</w:t>
      </w:r>
      <w:r>
        <w:rPr>
          <w:spacing w:val="1"/>
        </w:rPr>
        <w:t xml:space="preserve"> </w:t>
      </w:r>
      <w:r>
        <w:t>for</w:t>
      </w:r>
      <w:r>
        <w:rPr>
          <w:spacing w:val="1"/>
        </w:rPr>
        <w:t xml:space="preserve"> </w:t>
      </w:r>
      <w:r>
        <w:t>developing</w:t>
      </w:r>
      <w:r>
        <w:rPr>
          <w:spacing w:val="1"/>
        </w:rPr>
        <w:t xml:space="preserve"> </w:t>
      </w:r>
      <w:r>
        <w:t>public</w:t>
      </w:r>
      <w:r>
        <w:rPr>
          <w:spacing w:val="-57"/>
        </w:rPr>
        <w:t xml:space="preserve"> </w:t>
      </w:r>
      <w:r>
        <w:t>administration and the judiciary, the scientific and academic community, local and regional</w:t>
      </w:r>
      <w:r>
        <w:rPr>
          <w:spacing w:val="1"/>
        </w:rPr>
        <w:t xml:space="preserve"> </w:t>
      </w:r>
      <w:r>
        <w:t>self-government</w:t>
      </w:r>
      <w:r>
        <w:rPr>
          <w:spacing w:val="-8"/>
        </w:rPr>
        <w:t xml:space="preserve"> </w:t>
      </w:r>
      <w:r>
        <w:t>units,</w:t>
      </w:r>
      <w:r>
        <w:rPr>
          <w:spacing w:val="-8"/>
        </w:rPr>
        <w:t xml:space="preserve"> </w:t>
      </w:r>
      <w:r>
        <w:t>economic</w:t>
      </w:r>
      <w:r>
        <w:rPr>
          <w:spacing w:val="-9"/>
        </w:rPr>
        <w:t xml:space="preserve"> </w:t>
      </w:r>
      <w:r>
        <w:t>associations</w:t>
      </w:r>
      <w:r>
        <w:rPr>
          <w:spacing w:val="-6"/>
        </w:rPr>
        <w:t xml:space="preserve"> </w:t>
      </w:r>
      <w:r>
        <w:t>and</w:t>
      </w:r>
      <w:r>
        <w:rPr>
          <w:spacing w:val="-5"/>
        </w:rPr>
        <w:t xml:space="preserve"> </w:t>
      </w:r>
      <w:r>
        <w:t>social</w:t>
      </w:r>
      <w:r>
        <w:rPr>
          <w:spacing w:val="-9"/>
        </w:rPr>
        <w:t xml:space="preserve"> </w:t>
      </w:r>
      <w:r>
        <w:t>partners,</w:t>
      </w:r>
      <w:r>
        <w:rPr>
          <w:spacing w:val="-6"/>
        </w:rPr>
        <w:t xml:space="preserve"> </w:t>
      </w:r>
      <w:r>
        <w:t>civil</w:t>
      </w:r>
      <w:r>
        <w:rPr>
          <w:spacing w:val="-8"/>
        </w:rPr>
        <w:t xml:space="preserve"> </w:t>
      </w:r>
      <w:r>
        <w:t>society</w:t>
      </w:r>
      <w:r>
        <w:rPr>
          <w:spacing w:val="-10"/>
        </w:rPr>
        <w:t xml:space="preserve"> </w:t>
      </w:r>
      <w:r>
        <w:t>and</w:t>
      </w:r>
      <w:r>
        <w:rPr>
          <w:spacing w:val="-9"/>
        </w:rPr>
        <w:t xml:space="preserve"> </w:t>
      </w:r>
      <w:r>
        <w:t>other</w:t>
      </w:r>
      <w:r>
        <w:rPr>
          <w:spacing w:val="-6"/>
        </w:rPr>
        <w:t xml:space="preserve"> </w:t>
      </w:r>
      <w:r>
        <w:t>public</w:t>
      </w:r>
      <w:r>
        <w:rPr>
          <w:spacing w:val="-57"/>
        </w:rPr>
        <w:t xml:space="preserve"> </w:t>
      </w:r>
      <w:r>
        <w:t>authorities</w:t>
      </w:r>
      <w:r>
        <w:rPr>
          <w:spacing w:val="-9"/>
        </w:rPr>
        <w:t xml:space="preserve"> </w:t>
      </w:r>
      <w:r>
        <w:t>that</w:t>
      </w:r>
      <w:r>
        <w:rPr>
          <w:spacing w:val="-9"/>
        </w:rPr>
        <w:t xml:space="preserve"> </w:t>
      </w:r>
      <w:r>
        <w:t>deal</w:t>
      </w:r>
      <w:r>
        <w:rPr>
          <w:spacing w:val="-8"/>
        </w:rPr>
        <w:t xml:space="preserve"> </w:t>
      </w:r>
      <w:r>
        <w:t>with</w:t>
      </w:r>
      <w:r>
        <w:rPr>
          <w:spacing w:val="-7"/>
        </w:rPr>
        <w:t xml:space="preserve"> </w:t>
      </w:r>
      <w:r>
        <w:t>various</w:t>
      </w:r>
      <w:r>
        <w:rPr>
          <w:spacing w:val="-9"/>
        </w:rPr>
        <w:t xml:space="preserve"> </w:t>
      </w:r>
      <w:r>
        <w:t>areas</w:t>
      </w:r>
      <w:r>
        <w:rPr>
          <w:spacing w:val="-8"/>
        </w:rPr>
        <w:t xml:space="preserve"> </w:t>
      </w:r>
      <w:r>
        <w:t>of</w:t>
      </w:r>
      <w:r>
        <w:rPr>
          <w:spacing w:val="-8"/>
        </w:rPr>
        <w:t xml:space="preserve"> </w:t>
      </w:r>
      <w:r>
        <w:t>development</w:t>
      </w:r>
      <w:r>
        <w:rPr>
          <w:spacing w:val="-9"/>
        </w:rPr>
        <w:t xml:space="preserve"> </w:t>
      </w:r>
      <w:r>
        <w:t>of</w:t>
      </w:r>
      <w:r>
        <w:rPr>
          <w:spacing w:val="-9"/>
        </w:rPr>
        <w:t xml:space="preserve"> </w:t>
      </w:r>
      <w:r>
        <w:t>public</w:t>
      </w:r>
      <w:r>
        <w:rPr>
          <w:spacing w:val="-9"/>
        </w:rPr>
        <w:t xml:space="preserve"> </w:t>
      </w:r>
      <w:r>
        <w:t>administration</w:t>
      </w:r>
      <w:r>
        <w:rPr>
          <w:spacing w:val="-9"/>
        </w:rPr>
        <w:t xml:space="preserve"> </w:t>
      </w:r>
      <w:r>
        <w:t>and</w:t>
      </w:r>
      <w:r>
        <w:rPr>
          <w:spacing w:val="-9"/>
        </w:rPr>
        <w:t xml:space="preserve"> </w:t>
      </w:r>
      <w:r>
        <w:t>the</w:t>
      </w:r>
      <w:r>
        <w:rPr>
          <w:spacing w:val="-8"/>
        </w:rPr>
        <w:t xml:space="preserve"> </w:t>
      </w:r>
      <w:r>
        <w:t>judicial</w:t>
      </w:r>
      <w:r>
        <w:rPr>
          <w:spacing w:val="-58"/>
        </w:rPr>
        <w:t xml:space="preserve"> </w:t>
      </w:r>
      <w:r>
        <w:t>system.</w:t>
      </w:r>
      <w:r>
        <w:rPr>
          <w:spacing w:val="1"/>
        </w:rPr>
        <w:t xml:space="preserve"> </w:t>
      </w:r>
      <w:r>
        <w:t>Consultations</w:t>
      </w:r>
      <w:r>
        <w:rPr>
          <w:spacing w:val="1"/>
        </w:rPr>
        <w:t xml:space="preserve"> </w:t>
      </w:r>
      <w:r>
        <w:t>in</w:t>
      </w:r>
      <w:r>
        <w:rPr>
          <w:spacing w:val="1"/>
        </w:rPr>
        <w:t xml:space="preserve"> </w:t>
      </w:r>
      <w:r>
        <w:t>devising</w:t>
      </w:r>
      <w:r>
        <w:rPr>
          <w:spacing w:val="1"/>
        </w:rPr>
        <w:t xml:space="preserve"> </w:t>
      </w:r>
      <w:r>
        <w:t>the</w:t>
      </w:r>
      <w:r>
        <w:rPr>
          <w:spacing w:val="1"/>
        </w:rPr>
        <w:t xml:space="preserve"> </w:t>
      </w:r>
      <w:r>
        <w:t>National</w:t>
      </w:r>
      <w:r>
        <w:rPr>
          <w:spacing w:val="1"/>
        </w:rPr>
        <w:t xml:space="preserve"> </w:t>
      </w:r>
      <w:r>
        <w:t>Plan</w:t>
      </w:r>
      <w:r>
        <w:rPr>
          <w:spacing w:val="1"/>
        </w:rPr>
        <w:t xml:space="preserve"> </w:t>
      </w:r>
      <w:r>
        <w:t>for</w:t>
      </w:r>
      <w:r>
        <w:rPr>
          <w:spacing w:val="1"/>
        </w:rPr>
        <w:t xml:space="preserve"> </w:t>
      </w:r>
      <w:r>
        <w:t>the</w:t>
      </w:r>
      <w:r>
        <w:rPr>
          <w:spacing w:val="1"/>
        </w:rPr>
        <w:t xml:space="preserve"> </w:t>
      </w:r>
      <w:r>
        <w:t>Development</w:t>
      </w:r>
      <w:r>
        <w:rPr>
          <w:spacing w:val="1"/>
        </w:rPr>
        <w:t xml:space="preserve"> </w:t>
      </w:r>
      <w:r>
        <w:t>of</w:t>
      </w:r>
      <w:r>
        <w:rPr>
          <w:spacing w:val="1"/>
        </w:rPr>
        <w:t xml:space="preserve"> </w:t>
      </w:r>
      <w:r>
        <w:t>Public</w:t>
      </w:r>
      <w:r>
        <w:rPr>
          <w:spacing w:val="1"/>
        </w:rPr>
        <w:t xml:space="preserve"> </w:t>
      </w:r>
      <w:r>
        <w:t>Administration</w:t>
      </w:r>
      <w:r>
        <w:rPr>
          <w:spacing w:val="-9"/>
        </w:rPr>
        <w:t xml:space="preserve"> </w:t>
      </w:r>
      <w:r>
        <w:t>were</w:t>
      </w:r>
      <w:r>
        <w:rPr>
          <w:spacing w:val="-8"/>
        </w:rPr>
        <w:t xml:space="preserve"> </w:t>
      </w:r>
      <w:r>
        <w:t>also</w:t>
      </w:r>
      <w:r>
        <w:rPr>
          <w:spacing w:val="-6"/>
        </w:rPr>
        <w:t xml:space="preserve"> </w:t>
      </w:r>
      <w:r>
        <w:t>conducted</w:t>
      </w:r>
      <w:r>
        <w:rPr>
          <w:spacing w:val="-7"/>
        </w:rPr>
        <w:t xml:space="preserve"> </w:t>
      </w:r>
      <w:r>
        <w:t>with</w:t>
      </w:r>
      <w:r>
        <w:rPr>
          <w:spacing w:val="-8"/>
        </w:rPr>
        <w:t xml:space="preserve"> </w:t>
      </w:r>
      <w:r>
        <w:t>the</w:t>
      </w:r>
      <w:r>
        <w:rPr>
          <w:spacing w:val="-7"/>
        </w:rPr>
        <w:t xml:space="preserve"> </w:t>
      </w:r>
      <w:r>
        <w:t>Council</w:t>
      </w:r>
      <w:r>
        <w:rPr>
          <w:spacing w:val="-8"/>
        </w:rPr>
        <w:t xml:space="preserve"> </w:t>
      </w:r>
      <w:r>
        <w:t>for</w:t>
      </w:r>
      <w:r>
        <w:rPr>
          <w:spacing w:val="-5"/>
        </w:rPr>
        <w:t xml:space="preserve"> </w:t>
      </w:r>
      <w:r>
        <w:t>Local</w:t>
      </w:r>
      <w:r>
        <w:rPr>
          <w:spacing w:val="-6"/>
        </w:rPr>
        <w:t xml:space="preserve"> </w:t>
      </w:r>
      <w:r>
        <w:t>and</w:t>
      </w:r>
      <w:r>
        <w:rPr>
          <w:spacing w:val="-9"/>
        </w:rPr>
        <w:t xml:space="preserve"> </w:t>
      </w:r>
      <w:r>
        <w:t>Regional</w:t>
      </w:r>
      <w:r>
        <w:rPr>
          <w:spacing w:val="-8"/>
        </w:rPr>
        <w:t xml:space="preserve"> </w:t>
      </w:r>
      <w:r>
        <w:t>Self-Government</w:t>
      </w:r>
      <w:r>
        <w:rPr>
          <w:spacing w:val="-58"/>
        </w:rPr>
        <w:t xml:space="preserve"> </w:t>
      </w:r>
      <w:r>
        <w:t>Reform</w:t>
      </w:r>
      <w:r>
        <w:rPr>
          <w:spacing w:val="-8"/>
        </w:rPr>
        <w:t xml:space="preserve"> </w:t>
      </w:r>
      <w:r>
        <w:t>in</w:t>
      </w:r>
      <w:r>
        <w:rPr>
          <w:spacing w:val="-7"/>
        </w:rPr>
        <w:t xml:space="preserve"> </w:t>
      </w:r>
      <w:r>
        <w:t>shaping</w:t>
      </w:r>
      <w:r>
        <w:rPr>
          <w:spacing w:val="-9"/>
        </w:rPr>
        <w:t xml:space="preserve"> </w:t>
      </w:r>
      <w:r>
        <w:t>the</w:t>
      </w:r>
      <w:r>
        <w:rPr>
          <w:spacing w:val="-8"/>
        </w:rPr>
        <w:t xml:space="preserve"> </w:t>
      </w:r>
      <w:r>
        <w:t>implementation</w:t>
      </w:r>
      <w:r>
        <w:rPr>
          <w:spacing w:val="-8"/>
        </w:rPr>
        <w:t xml:space="preserve"> </w:t>
      </w:r>
      <w:r>
        <w:t>framework.</w:t>
      </w:r>
      <w:r>
        <w:rPr>
          <w:spacing w:val="-6"/>
        </w:rPr>
        <w:t xml:space="preserve"> </w:t>
      </w:r>
      <w:r>
        <w:t>Also,</w:t>
      </w:r>
      <w:r>
        <w:rPr>
          <w:spacing w:val="-8"/>
        </w:rPr>
        <w:t xml:space="preserve"> </w:t>
      </w:r>
      <w:r>
        <w:t>public</w:t>
      </w:r>
      <w:r>
        <w:rPr>
          <w:spacing w:val="-6"/>
        </w:rPr>
        <w:t xml:space="preserve"> </w:t>
      </w:r>
      <w:r>
        <w:t>consultations</w:t>
      </w:r>
      <w:r>
        <w:rPr>
          <w:spacing w:val="-8"/>
        </w:rPr>
        <w:t xml:space="preserve"> </w:t>
      </w:r>
      <w:r>
        <w:t>on</w:t>
      </w:r>
      <w:r>
        <w:rPr>
          <w:spacing w:val="-8"/>
        </w:rPr>
        <w:t xml:space="preserve"> </w:t>
      </w:r>
      <w:r>
        <w:t>national</w:t>
      </w:r>
      <w:r>
        <w:rPr>
          <w:spacing w:val="-7"/>
        </w:rPr>
        <w:t xml:space="preserve"> </w:t>
      </w:r>
      <w:r>
        <w:t>plans</w:t>
      </w:r>
      <w:r>
        <w:rPr>
          <w:spacing w:val="-58"/>
        </w:rPr>
        <w:t xml:space="preserve"> </w:t>
      </w:r>
      <w:r>
        <w:t>lasting</w:t>
      </w:r>
      <w:r>
        <w:rPr>
          <w:spacing w:val="-3"/>
        </w:rPr>
        <w:t xml:space="preserve"> </w:t>
      </w:r>
      <w:r>
        <w:t>30 days were conducted</w:t>
      </w:r>
      <w:r>
        <w:rPr>
          <w:spacing w:val="1"/>
        </w:rPr>
        <w:t xml:space="preserve"> </w:t>
      </w:r>
      <w:r>
        <w:t>via</w:t>
      </w:r>
      <w:r>
        <w:rPr>
          <w:spacing w:val="-1"/>
        </w:rPr>
        <w:t xml:space="preserve"> </w:t>
      </w:r>
      <w:r>
        <w:t>the e-Consultation portal.</w:t>
      </w:r>
    </w:p>
    <w:p w:rsidR="00A56FE9" w:rsidRDefault="00000000">
      <w:pPr>
        <w:pStyle w:val="Tijeloteksta"/>
        <w:spacing w:before="121"/>
        <w:ind w:right="271"/>
      </w:pPr>
      <w:r>
        <w:t>Due to the horizontal nature of whistleblower protection, the working group for drafting the</w:t>
      </w:r>
      <w:r>
        <w:rPr>
          <w:spacing w:val="1"/>
        </w:rPr>
        <w:t xml:space="preserve"> </w:t>
      </w:r>
      <w:r>
        <w:t>Whistleblower</w:t>
      </w:r>
      <w:r>
        <w:rPr>
          <w:spacing w:val="1"/>
        </w:rPr>
        <w:t xml:space="preserve"> </w:t>
      </w:r>
      <w:r>
        <w:t>Act</w:t>
      </w:r>
      <w:r>
        <w:rPr>
          <w:spacing w:val="1"/>
        </w:rPr>
        <w:t xml:space="preserve"> </w:t>
      </w:r>
      <w:r>
        <w:t>included</w:t>
      </w:r>
      <w:r>
        <w:rPr>
          <w:spacing w:val="1"/>
        </w:rPr>
        <w:t xml:space="preserve"> </w:t>
      </w:r>
      <w:r>
        <w:t>representatives</w:t>
      </w:r>
      <w:r>
        <w:rPr>
          <w:spacing w:val="1"/>
        </w:rPr>
        <w:t xml:space="preserve"> </w:t>
      </w:r>
      <w:r>
        <w:t>of</w:t>
      </w:r>
      <w:r>
        <w:rPr>
          <w:spacing w:val="1"/>
        </w:rPr>
        <w:t xml:space="preserve"> </w:t>
      </w:r>
      <w:r>
        <w:t>other</w:t>
      </w:r>
      <w:r>
        <w:rPr>
          <w:spacing w:val="1"/>
        </w:rPr>
        <w:t xml:space="preserve"> </w:t>
      </w:r>
      <w:r>
        <w:t>ministries,</w:t>
      </w:r>
      <w:r>
        <w:rPr>
          <w:spacing w:val="1"/>
        </w:rPr>
        <w:t xml:space="preserve"> </w:t>
      </w:r>
      <w:r>
        <w:t>the</w:t>
      </w:r>
      <w:r>
        <w:rPr>
          <w:spacing w:val="1"/>
        </w:rPr>
        <w:t xml:space="preserve"> </w:t>
      </w:r>
      <w:r>
        <w:t>Ombudsman,</w:t>
      </w:r>
      <w:r>
        <w:rPr>
          <w:spacing w:val="1"/>
        </w:rPr>
        <w:t xml:space="preserve"> </w:t>
      </w:r>
      <w:r>
        <w:t>representatives of judicial bodies, trade unions, employers, civil society and academia. In</w:t>
      </w:r>
      <w:r>
        <w:rPr>
          <w:spacing w:val="1"/>
        </w:rPr>
        <w:t xml:space="preserve"> </w:t>
      </w:r>
      <w:r>
        <w:t>December</w:t>
      </w:r>
      <w:r>
        <w:rPr>
          <w:spacing w:val="1"/>
        </w:rPr>
        <w:t xml:space="preserve"> </w:t>
      </w:r>
      <w:r>
        <w:t>2021,</w:t>
      </w:r>
      <w:r>
        <w:rPr>
          <w:spacing w:val="1"/>
        </w:rPr>
        <w:t xml:space="preserve"> </w:t>
      </w:r>
      <w:r>
        <w:t>an</w:t>
      </w:r>
      <w:r>
        <w:rPr>
          <w:spacing w:val="1"/>
        </w:rPr>
        <w:t xml:space="preserve"> </w:t>
      </w:r>
      <w:r>
        <w:t>online</w:t>
      </w:r>
      <w:r>
        <w:rPr>
          <w:spacing w:val="1"/>
        </w:rPr>
        <w:t xml:space="preserve"> </w:t>
      </w:r>
      <w:r>
        <w:t>conference</w:t>
      </w:r>
      <w:r>
        <w:rPr>
          <w:spacing w:val="1"/>
        </w:rPr>
        <w:t xml:space="preserve"> </w:t>
      </w:r>
      <w:r>
        <w:t>on</w:t>
      </w:r>
      <w:r>
        <w:rPr>
          <w:spacing w:val="1"/>
        </w:rPr>
        <w:t xml:space="preserve"> </w:t>
      </w:r>
      <w:r>
        <w:t>the</w:t>
      </w:r>
      <w:r>
        <w:rPr>
          <w:spacing w:val="1"/>
        </w:rPr>
        <w:t xml:space="preserve"> </w:t>
      </w:r>
      <w:r>
        <w:t>protection</w:t>
      </w:r>
      <w:r>
        <w:rPr>
          <w:spacing w:val="1"/>
        </w:rPr>
        <w:t xml:space="preserve"> </w:t>
      </w:r>
      <w:r>
        <w:t>of</w:t>
      </w:r>
      <w:r>
        <w:rPr>
          <w:spacing w:val="1"/>
        </w:rPr>
        <w:t xml:space="preserve"> </w:t>
      </w:r>
      <w:r>
        <w:t>whistleblowers</w:t>
      </w:r>
      <w:r>
        <w:rPr>
          <w:spacing w:val="1"/>
        </w:rPr>
        <w:t xml:space="preserve"> </w:t>
      </w:r>
      <w:r>
        <w:t>was</w:t>
      </w:r>
      <w:r>
        <w:rPr>
          <w:spacing w:val="1"/>
        </w:rPr>
        <w:t xml:space="preserve"> </w:t>
      </w:r>
      <w:r>
        <w:t>held</w:t>
      </w:r>
      <w:r>
        <w:rPr>
          <w:spacing w:val="1"/>
        </w:rPr>
        <w:t xml:space="preserve"> </w:t>
      </w:r>
      <w:r>
        <w:t>in</w:t>
      </w:r>
      <w:r>
        <w:rPr>
          <w:spacing w:val="1"/>
        </w:rPr>
        <w:t xml:space="preserve"> </w:t>
      </w:r>
      <w:r>
        <w:rPr>
          <w:spacing w:val="-1"/>
        </w:rPr>
        <w:t>cooperation</w:t>
      </w:r>
      <w:r>
        <w:rPr>
          <w:spacing w:val="-10"/>
        </w:rPr>
        <w:t xml:space="preserve"> </w:t>
      </w:r>
      <w:r>
        <w:rPr>
          <w:spacing w:val="-1"/>
        </w:rPr>
        <w:t>with</w:t>
      </w:r>
      <w:r>
        <w:rPr>
          <w:spacing w:val="-10"/>
        </w:rPr>
        <w:t xml:space="preserve"> </w:t>
      </w:r>
      <w:r>
        <w:t>the</w:t>
      </w:r>
      <w:r>
        <w:rPr>
          <w:spacing w:val="-11"/>
        </w:rPr>
        <w:t xml:space="preserve"> </w:t>
      </w:r>
      <w:r>
        <w:t>Ministry</w:t>
      </w:r>
      <w:r>
        <w:rPr>
          <w:spacing w:val="-14"/>
        </w:rPr>
        <w:t xml:space="preserve"> </w:t>
      </w:r>
      <w:r>
        <w:t>of</w:t>
      </w:r>
      <w:r>
        <w:rPr>
          <w:spacing w:val="-11"/>
        </w:rPr>
        <w:t xml:space="preserve"> </w:t>
      </w:r>
      <w:r>
        <w:t>the</w:t>
      </w:r>
      <w:r>
        <w:rPr>
          <w:spacing w:val="-8"/>
        </w:rPr>
        <w:t xml:space="preserve"> </w:t>
      </w:r>
      <w:r>
        <w:t>Interior,</w:t>
      </w:r>
      <w:r>
        <w:rPr>
          <w:spacing w:val="-10"/>
        </w:rPr>
        <w:t xml:space="preserve"> </w:t>
      </w:r>
      <w:r>
        <w:t>the</w:t>
      </w:r>
      <w:r>
        <w:rPr>
          <w:spacing w:val="-10"/>
        </w:rPr>
        <w:t xml:space="preserve"> </w:t>
      </w:r>
      <w:r>
        <w:t>Ombudsman,</w:t>
      </w:r>
      <w:r>
        <w:rPr>
          <w:spacing w:val="-11"/>
        </w:rPr>
        <w:t xml:space="preserve"> </w:t>
      </w:r>
      <w:r>
        <w:t>the</w:t>
      </w:r>
      <w:r>
        <w:rPr>
          <w:spacing w:val="-11"/>
        </w:rPr>
        <w:t xml:space="preserve"> </w:t>
      </w:r>
      <w:r>
        <w:t>French</w:t>
      </w:r>
      <w:r>
        <w:rPr>
          <w:spacing w:val="-10"/>
        </w:rPr>
        <w:t xml:space="preserve"> </w:t>
      </w:r>
      <w:r>
        <w:t>Embassy,</w:t>
      </w:r>
      <w:r>
        <w:rPr>
          <w:spacing w:val="-5"/>
        </w:rPr>
        <w:t xml:space="preserve"> </w:t>
      </w:r>
      <w:r>
        <w:t>the</w:t>
      </w:r>
      <w:r>
        <w:rPr>
          <w:spacing w:val="-11"/>
        </w:rPr>
        <w:t xml:space="preserve"> </w:t>
      </w:r>
      <w:r>
        <w:t>Human</w:t>
      </w:r>
      <w:r>
        <w:rPr>
          <w:spacing w:val="-58"/>
        </w:rPr>
        <w:t xml:space="preserve"> </w:t>
      </w:r>
      <w:r>
        <w:t>Rights House and the State School of Public Administration. The conference discussed new</w:t>
      </w:r>
      <w:r>
        <w:rPr>
          <w:spacing w:val="1"/>
        </w:rPr>
        <w:t xml:space="preserve"> </w:t>
      </w:r>
      <w:r>
        <w:t>legislative solutions in Croatia and France on the obligation to transpose the Directive and</w:t>
      </w:r>
      <w:r>
        <w:rPr>
          <w:spacing w:val="1"/>
        </w:rPr>
        <w:t xml:space="preserve"> </w:t>
      </w:r>
      <w:r>
        <w:t>discussed</w:t>
      </w:r>
      <w:r>
        <w:rPr>
          <w:spacing w:val="-2"/>
        </w:rPr>
        <w:t xml:space="preserve"> </w:t>
      </w:r>
      <w:r>
        <w:t>the</w:t>
      </w:r>
      <w:r>
        <w:rPr>
          <w:spacing w:val="-2"/>
        </w:rPr>
        <w:t xml:space="preserve"> </w:t>
      </w:r>
      <w:r>
        <w:t>current</w:t>
      </w:r>
      <w:r>
        <w:rPr>
          <w:spacing w:val="-1"/>
        </w:rPr>
        <w:t xml:space="preserve"> </w:t>
      </w:r>
      <w:r>
        <w:t>practice</w:t>
      </w:r>
      <w:r>
        <w:rPr>
          <w:spacing w:val="-3"/>
        </w:rPr>
        <w:t xml:space="preserve"> </w:t>
      </w:r>
      <w:r>
        <w:t>of</w:t>
      </w:r>
      <w:r>
        <w:rPr>
          <w:spacing w:val="-1"/>
        </w:rPr>
        <w:t xml:space="preserve"> </w:t>
      </w:r>
      <w:r>
        <w:t>protecting</w:t>
      </w:r>
      <w:r>
        <w:rPr>
          <w:spacing w:val="-5"/>
        </w:rPr>
        <w:t xml:space="preserve"> </w:t>
      </w:r>
      <w:r>
        <w:t>whistleblowers. Public</w:t>
      </w:r>
      <w:r>
        <w:rPr>
          <w:spacing w:val="-2"/>
        </w:rPr>
        <w:t xml:space="preserve"> </w:t>
      </w:r>
      <w:r>
        <w:t>consultation</w:t>
      </w:r>
      <w:r>
        <w:rPr>
          <w:spacing w:val="-2"/>
        </w:rPr>
        <w:t xml:space="preserve"> </w:t>
      </w:r>
      <w:r>
        <w:t>on</w:t>
      </w:r>
      <w:r>
        <w:rPr>
          <w:spacing w:val="-1"/>
        </w:rPr>
        <w:t xml:space="preserve"> </w:t>
      </w:r>
      <w:r>
        <w:t>the</w:t>
      </w:r>
      <w:r>
        <w:rPr>
          <w:spacing w:val="-3"/>
        </w:rPr>
        <w:t xml:space="preserve"> </w:t>
      </w:r>
      <w:r>
        <w:t>Draft of</w:t>
      </w:r>
      <w:r>
        <w:rPr>
          <w:spacing w:val="-58"/>
        </w:rPr>
        <w:t xml:space="preserve"> </w:t>
      </w:r>
      <w:r>
        <w:t>the</w:t>
      </w:r>
      <w:r>
        <w:rPr>
          <w:spacing w:val="-1"/>
        </w:rPr>
        <w:t xml:space="preserve"> </w:t>
      </w:r>
      <w:r>
        <w:t>proposed Whistleblower</w:t>
      </w:r>
      <w:r>
        <w:rPr>
          <w:spacing w:val="-1"/>
        </w:rPr>
        <w:t xml:space="preserve"> </w:t>
      </w:r>
      <w:r>
        <w:t>Act</w:t>
      </w:r>
      <w:r>
        <w:rPr>
          <w:spacing w:val="1"/>
        </w:rPr>
        <w:t xml:space="preserve"> </w:t>
      </w:r>
      <w:r>
        <w:t>was</w:t>
      </w:r>
      <w:r>
        <w:rPr>
          <w:spacing w:val="-1"/>
        </w:rPr>
        <w:t xml:space="preserve"> </w:t>
      </w:r>
      <w:r>
        <w:t>held from</w:t>
      </w:r>
      <w:r>
        <w:rPr>
          <w:spacing w:val="-1"/>
        </w:rPr>
        <w:t xml:space="preserve"> </w:t>
      </w:r>
      <w:r>
        <w:t>12 November</w:t>
      </w:r>
      <w:r>
        <w:rPr>
          <w:spacing w:val="-2"/>
        </w:rPr>
        <w:t xml:space="preserve"> </w:t>
      </w:r>
      <w:r>
        <w:t>2021 to</w:t>
      </w:r>
      <w:r>
        <w:rPr>
          <w:spacing w:val="-1"/>
        </w:rPr>
        <w:t xml:space="preserve"> </w:t>
      </w:r>
      <w:r>
        <w:t>2 December</w:t>
      </w:r>
      <w:r>
        <w:rPr>
          <w:spacing w:val="-1"/>
        </w:rPr>
        <w:t xml:space="preserve"> </w:t>
      </w:r>
      <w:r>
        <w:t>2021.</w:t>
      </w:r>
    </w:p>
    <w:p w:rsidR="00A56FE9" w:rsidRDefault="00000000">
      <w:pPr>
        <w:pStyle w:val="Tijeloteksta"/>
        <w:spacing w:before="121"/>
        <w:ind w:right="271"/>
      </w:pPr>
      <w:r>
        <w:t>The drafting of the Action Plan for the period from 2022 to 2024, along with the Anti-</w:t>
      </w:r>
      <w:r>
        <w:rPr>
          <w:spacing w:val="1"/>
        </w:rPr>
        <w:t xml:space="preserve"> </w:t>
      </w:r>
      <w:r>
        <w:t>Corruption Strategy for the period from 2021 to 2030, relied on the participation of Working</w:t>
      </w:r>
      <w:r>
        <w:rPr>
          <w:spacing w:val="1"/>
        </w:rPr>
        <w:t xml:space="preserve"> </w:t>
      </w:r>
      <w:r>
        <w:t>Group</w:t>
      </w:r>
      <w:r>
        <w:rPr>
          <w:spacing w:val="1"/>
        </w:rPr>
        <w:t xml:space="preserve"> </w:t>
      </w:r>
      <w:r>
        <w:t>members</w:t>
      </w:r>
      <w:r>
        <w:rPr>
          <w:spacing w:val="1"/>
        </w:rPr>
        <w:t xml:space="preserve"> </w:t>
      </w:r>
      <w:r>
        <w:t>for</w:t>
      </w:r>
      <w:r>
        <w:rPr>
          <w:spacing w:val="1"/>
        </w:rPr>
        <w:t xml:space="preserve"> </w:t>
      </w:r>
      <w:r>
        <w:t>drafting</w:t>
      </w:r>
      <w:r>
        <w:rPr>
          <w:spacing w:val="1"/>
        </w:rPr>
        <w:t xml:space="preserve"> </w:t>
      </w:r>
      <w:r>
        <w:t>the</w:t>
      </w:r>
      <w:r>
        <w:rPr>
          <w:spacing w:val="1"/>
        </w:rPr>
        <w:t xml:space="preserve"> </w:t>
      </w:r>
      <w:r>
        <w:t>respective</w:t>
      </w:r>
      <w:r>
        <w:rPr>
          <w:spacing w:val="1"/>
        </w:rPr>
        <w:t xml:space="preserve"> </w:t>
      </w:r>
      <w:r>
        <w:t>Strategy</w:t>
      </w:r>
      <w:r>
        <w:rPr>
          <w:spacing w:val="1"/>
        </w:rPr>
        <w:t xml:space="preserve"> </w:t>
      </w:r>
      <w:r>
        <w:t>and</w:t>
      </w:r>
      <w:r>
        <w:rPr>
          <w:spacing w:val="1"/>
        </w:rPr>
        <w:t xml:space="preserve"> </w:t>
      </w:r>
      <w:r>
        <w:t>Prevention</w:t>
      </w:r>
      <w:r>
        <w:rPr>
          <w:spacing w:val="1"/>
        </w:rPr>
        <w:t xml:space="preserve"> </w:t>
      </w:r>
      <w:r>
        <w:t>Council</w:t>
      </w:r>
      <w:r>
        <w:rPr>
          <w:spacing w:val="1"/>
        </w:rPr>
        <w:t xml:space="preserve"> </w:t>
      </w:r>
      <w:r>
        <w:t>members,</w:t>
      </w:r>
      <w:r>
        <w:rPr>
          <w:spacing w:val="1"/>
        </w:rPr>
        <w:t xml:space="preserve"> </w:t>
      </w:r>
      <w:r>
        <w:t>including representatives of state administration bodies, judicial bodies, independent state</w:t>
      </w:r>
      <w:r>
        <w:rPr>
          <w:spacing w:val="1"/>
        </w:rPr>
        <w:t xml:space="preserve"> </w:t>
      </w:r>
      <w:r>
        <w:t>bodies,</w:t>
      </w:r>
      <w:r>
        <w:rPr>
          <w:spacing w:val="1"/>
        </w:rPr>
        <w:t xml:space="preserve"> </w:t>
      </w:r>
      <w:r>
        <w:t>trade</w:t>
      </w:r>
      <w:r>
        <w:rPr>
          <w:spacing w:val="1"/>
        </w:rPr>
        <w:t xml:space="preserve"> </w:t>
      </w:r>
      <w:r>
        <w:t>unions,</w:t>
      </w:r>
      <w:r>
        <w:rPr>
          <w:spacing w:val="1"/>
        </w:rPr>
        <w:t xml:space="preserve"> </w:t>
      </w:r>
      <w:r>
        <w:t>employers,</w:t>
      </w:r>
      <w:r>
        <w:rPr>
          <w:spacing w:val="1"/>
        </w:rPr>
        <w:t xml:space="preserve"> </w:t>
      </w:r>
      <w:r>
        <w:t>civil</w:t>
      </w:r>
      <w:r>
        <w:rPr>
          <w:spacing w:val="1"/>
        </w:rPr>
        <w:t xml:space="preserve"> </w:t>
      </w:r>
      <w:r>
        <w:t>society</w:t>
      </w:r>
      <w:r>
        <w:rPr>
          <w:spacing w:val="1"/>
        </w:rPr>
        <w:t xml:space="preserve"> </w:t>
      </w:r>
      <w:r>
        <w:t>organisations,</w:t>
      </w:r>
      <w:r>
        <w:rPr>
          <w:spacing w:val="1"/>
        </w:rPr>
        <w:t xml:space="preserve"> </w:t>
      </w:r>
      <w:r>
        <w:t>academia,</w:t>
      </w:r>
      <w:r>
        <w:rPr>
          <w:spacing w:val="1"/>
        </w:rPr>
        <w:t xml:space="preserve"> </w:t>
      </w:r>
      <w:r>
        <w:t>and</w:t>
      </w:r>
      <w:r>
        <w:rPr>
          <w:spacing w:val="1"/>
        </w:rPr>
        <w:t xml:space="preserve"> </w:t>
      </w:r>
      <w:r>
        <w:t>LRSGU</w:t>
      </w:r>
      <w:r>
        <w:rPr>
          <w:spacing w:val="1"/>
        </w:rPr>
        <w:t xml:space="preserve"> </w:t>
      </w:r>
      <w:r>
        <w:t>associations. The process of drafting in January 2022 involved a session of the Council for the</w:t>
      </w:r>
      <w:r>
        <w:rPr>
          <w:spacing w:val="-57"/>
        </w:rPr>
        <w:t xml:space="preserve"> </w:t>
      </w:r>
      <w:r>
        <w:t>Prevention</w:t>
      </w:r>
      <w:r>
        <w:rPr>
          <w:spacing w:val="-1"/>
        </w:rPr>
        <w:t xml:space="preserve"> </w:t>
      </w:r>
      <w:r>
        <w:t>of</w:t>
      </w:r>
      <w:r>
        <w:rPr>
          <w:spacing w:val="-1"/>
        </w:rPr>
        <w:t xml:space="preserve"> </w:t>
      </w:r>
      <w:r>
        <w:t>Corruption, which</w:t>
      </w:r>
      <w:r>
        <w:rPr>
          <w:spacing w:val="1"/>
        </w:rPr>
        <w:t xml:space="preserve"> </w:t>
      </w:r>
      <w:r>
        <w:t>discussed</w:t>
      </w:r>
      <w:r>
        <w:rPr>
          <w:spacing w:val="-1"/>
        </w:rPr>
        <w:t xml:space="preserve"> </w:t>
      </w:r>
      <w:r>
        <w:t>the content of</w:t>
      </w:r>
      <w:r>
        <w:rPr>
          <w:spacing w:val="-1"/>
        </w:rPr>
        <w:t xml:space="preserve"> </w:t>
      </w:r>
      <w:r>
        <w:t>the Action</w:t>
      </w:r>
      <w:r>
        <w:rPr>
          <w:spacing w:val="-1"/>
        </w:rPr>
        <w:t xml:space="preserve"> </w:t>
      </w:r>
      <w:r>
        <w:t>Plan.</w:t>
      </w:r>
    </w:p>
    <w:p w:rsidR="00A56FE9" w:rsidRDefault="00000000">
      <w:pPr>
        <w:pStyle w:val="Tijeloteksta"/>
        <w:spacing w:before="120"/>
        <w:ind w:right="272"/>
      </w:pPr>
      <w:r>
        <w:t>Monitoring the implementation of medium-term strategic planning acts (national plans) in the</w:t>
      </w:r>
      <w:r>
        <w:rPr>
          <w:spacing w:val="1"/>
        </w:rPr>
        <w:t xml:space="preserve"> </w:t>
      </w:r>
      <w:r>
        <w:t>field of public administration and justice requires setting up councils for developing public</w:t>
      </w:r>
      <w:r>
        <w:rPr>
          <w:spacing w:val="1"/>
        </w:rPr>
        <w:t xml:space="preserve"> </w:t>
      </w:r>
      <w:r>
        <w:t>administration and justice,</w:t>
      </w:r>
      <w:r>
        <w:rPr>
          <w:spacing w:val="1"/>
        </w:rPr>
        <w:t xml:space="preserve"> </w:t>
      </w:r>
      <w:r>
        <w:t>with the role of</w:t>
      </w:r>
      <w:r>
        <w:rPr>
          <w:spacing w:val="1"/>
        </w:rPr>
        <w:t xml:space="preserve"> </w:t>
      </w:r>
      <w:r>
        <w:t>improving and systematically monitoring the</w:t>
      </w:r>
      <w:r>
        <w:rPr>
          <w:spacing w:val="1"/>
        </w:rPr>
        <w:t xml:space="preserve"> </w:t>
      </w:r>
      <w:r>
        <w:t>implementation</w:t>
      </w:r>
      <w:r>
        <w:rPr>
          <w:spacing w:val="1"/>
        </w:rPr>
        <w:t xml:space="preserve"> </w:t>
      </w:r>
      <w:r>
        <w:t>and</w:t>
      </w:r>
      <w:r>
        <w:rPr>
          <w:spacing w:val="1"/>
        </w:rPr>
        <w:t xml:space="preserve"> </w:t>
      </w:r>
      <w:r>
        <w:t>evaluation</w:t>
      </w:r>
      <w:r>
        <w:rPr>
          <w:spacing w:val="1"/>
        </w:rPr>
        <w:t xml:space="preserve"> </w:t>
      </w:r>
      <w:r>
        <w:t>of</w:t>
      </w:r>
      <w:r>
        <w:rPr>
          <w:spacing w:val="1"/>
        </w:rPr>
        <w:t xml:space="preserve"> </w:t>
      </w:r>
      <w:r>
        <w:t>the</w:t>
      </w:r>
      <w:r>
        <w:rPr>
          <w:spacing w:val="1"/>
        </w:rPr>
        <w:t xml:space="preserve"> </w:t>
      </w:r>
      <w:r>
        <w:t>outcome</w:t>
      </w:r>
      <w:r>
        <w:rPr>
          <w:spacing w:val="1"/>
        </w:rPr>
        <w:t xml:space="preserve"> </w:t>
      </w:r>
      <w:r>
        <w:t>estimates</w:t>
      </w:r>
      <w:r>
        <w:rPr>
          <w:spacing w:val="1"/>
        </w:rPr>
        <w:t xml:space="preserve"> </w:t>
      </w:r>
      <w:r>
        <w:t>and</w:t>
      </w:r>
      <w:r>
        <w:rPr>
          <w:spacing w:val="1"/>
        </w:rPr>
        <w:t xml:space="preserve"> </w:t>
      </w:r>
      <w:r>
        <w:t>goal</w:t>
      </w:r>
      <w:r>
        <w:rPr>
          <w:spacing w:val="1"/>
        </w:rPr>
        <w:t xml:space="preserve"> </w:t>
      </w:r>
      <w:r>
        <w:t>results,</w:t>
      </w:r>
      <w:r>
        <w:rPr>
          <w:spacing w:val="1"/>
        </w:rPr>
        <w:t xml:space="preserve"> </w:t>
      </w:r>
      <w:r>
        <w:t>measures</w:t>
      </w:r>
      <w:r>
        <w:rPr>
          <w:spacing w:val="1"/>
        </w:rPr>
        <w:t xml:space="preserve"> </w:t>
      </w:r>
      <w:r>
        <w:t>and</w:t>
      </w:r>
      <w:r>
        <w:rPr>
          <w:spacing w:val="-57"/>
        </w:rPr>
        <w:t xml:space="preserve"> </w:t>
      </w:r>
      <w:r>
        <w:t>activities from the national strategy and implementation documents on public administration</w:t>
      </w:r>
      <w:r>
        <w:rPr>
          <w:spacing w:val="1"/>
        </w:rPr>
        <w:t xml:space="preserve"> </w:t>
      </w:r>
      <w:r>
        <w:t>and</w:t>
      </w:r>
      <w:r>
        <w:rPr>
          <w:spacing w:val="-5"/>
        </w:rPr>
        <w:t xml:space="preserve"> </w:t>
      </w:r>
      <w:r>
        <w:t>justice</w:t>
      </w:r>
      <w:r>
        <w:rPr>
          <w:spacing w:val="-5"/>
        </w:rPr>
        <w:t xml:space="preserve"> </w:t>
      </w:r>
      <w:r>
        <w:t>development</w:t>
      </w:r>
      <w:r>
        <w:rPr>
          <w:spacing w:val="-1"/>
        </w:rPr>
        <w:t xml:space="preserve"> </w:t>
      </w:r>
      <w:r>
        <w:t>policy.</w:t>
      </w:r>
      <w:r>
        <w:rPr>
          <w:spacing w:val="-2"/>
        </w:rPr>
        <w:t xml:space="preserve"> </w:t>
      </w:r>
      <w:r>
        <w:t>Furthermore,</w:t>
      </w:r>
      <w:r>
        <w:rPr>
          <w:spacing w:val="-4"/>
        </w:rPr>
        <w:t xml:space="preserve"> </w:t>
      </w:r>
      <w:r>
        <w:t>the</w:t>
      </w:r>
      <w:r>
        <w:rPr>
          <w:spacing w:val="-1"/>
        </w:rPr>
        <w:t xml:space="preserve"> </w:t>
      </w:r>
      <w:r>
        <w:t>Council</w:t>
      </w:r>
      <w:r>
        <w:rPr>
          <w:spacing w:val="-3"/>
        </w:rPr>
        <w:t xml:space="preserve"> </w:t>
      </w:r>
      <w:r>
        <w:t>for</w:t>
      </w:r>
      <w:r>
        <w:rPr>
          <w:spacing w:val="-6"/>
        </w:rPr>
        <w:t xml:space="preserve"> </w:t>
      </w:r>
      <w:r>
        <w:t>the</w:t>
      </w:r>
      <w:r>
        <w:rPr>
          <w:spacing w:val="-4"/>
        </w:rPr>
        <w:t xml:space="preserve"> </w:t>
      </w:r>
      <w:r>
        <w:t>Prevention</w:t>
      </w:r>
      <w:r>
        <w:rPr>
          <w:spacing w:val="-4"/>
        </w:rPr>
        <w:t xml:space="preserve"> </w:t>
      </w:r>
      <w:r>
        <w:t>of</w:t>
      </w:r>
      <w:r>
        <w:rPr>
          <w:spacing w:val="-5"/>
        </w:rPr>
        <w:t xml:space="preserve"> </w:t>
      </w:r>
      <w:r>
        <w:t>Corruption</w:t>
      </w:r>
      <w:r>
        <w:rPr>
          <w:spacing w:val="-5"/>
        </w:rPr>
        <w:t xml:space="preserve"> </w:t>
      </w:r>
      <w:r>
        <w:t>is</w:t>
      </w:r>
      <w:r>
        <w:rPr>
          <w:spacing w:val="-3"/>
        </w:rPr>
        <w:t xml:space="preserve"> </w:t>
      </w:r>
      <w:r>
        <w:t>a</w:t>
      </w:r>
      <w:r>
        <w:rPr>
          <w:spacing w:val="-58"/>
        </w:rPr>
        <w:t xml:space="preserve"> </w:t>
      </w:r>
      <w:r>
        <w:t>governmental working body composed of representatives from relevant public institutions and</w:t>
      </w:r>
      <w:r>
        <w:rPr>
          <w:spacing w:val="-57"/>
        </w:rPr>
        <w:t xml:space="preserve"> </w:t>
      </w:r>
      <w:r>
        <w:t>civil society organisations. It participates in forming and monitoring the implementation of</w:t>
      </w:r>
      <w:r>
        <w:rPr>
          <w:spacing w:val="1"/>
        </w:rPr>
        <w:t xml:space="preserve"> </w:t>
      </w:r>
      <w:r>
        <w:t>national</w:t>
      </w:r>
      <w:r>
        <w:rPr>
          <w:spacing w:val="8"/>
        </w:rPr>
        <w:t xml:space="preserve"> </w:t>
      </w:r>
      <w:r>
        <w:t>anti-corruption</w:t>
      </w:r>
      <w:r>
        <w:rPr>
          <w:spacing w:val="10"/>
        </w:rPr>
        <w:t xml:space="preserve"> </w:t>
      </w:r>
      <w:r>
        <w:t>documents.</w:t>
      </w:r>
      <w:r>
        <w:rPr>
          <w:spacing w:val="12"/>
        </w:rPr>
        <w:t xml:space="preserve"> </w:t>
      </w:r>
      <w:r>
        <w:t>In</w:t>
      </w:r>
      <w:r>
        <w:rPr>
          <w:spacing w:val="10"/>
        </w:rPr>
        <w:t xml:space="preserve"> </w:t>
      </w:r>
      <w:r>
        <w:t>addition</w:t>
      </w:r>
      <w:r>
        <w:rPr>
          <w:spacing w:val="8"/>
        </w:rPr>
        <w:t xml:space="preserve"> </w:t>
      </w:r>
      <w:r>
        <w:t>to</w:t>
      </w:r>
      <w:r>
        <w:rPr>
          <w:spacing w:val="8"/>
        </w:rPr>
        <w:t xml:space="preserve"> </w:t>
      </w:r>
      <w:r>
        <w:t>the</w:t>
      </w:r>
      <w:r>
        <w:rPr>
          <w:spacing w:val="7"/>
        </w:rPr>
        <w:t xml:space="preserve"> </w:t>
      </w:r>
      <w:r>
        <w:t>above-mentioned</w:t>
      </w:r>
      <w:r>
        <w:rPr>
          <w:spacing w:val="7"/>
        </w:rPr>
        <w:t xml:space="preserve"> </w:t>
      </w:r>
      <w:r>
        <w:t>Council</w:t>
      </w:r>
      <w:r>
        <w:rPr>
          <w:spacing w:val="9"/>
        </w:rPr>
        <w:t xml:space="preserve"> </w:t>
      </w:r>
      <w:r>
        <w:t>for</w:t>
      </w:r>
      <w:r>
        <w:rPr>
          <w:spacing w:val="6"/>
        </w:rPr>
        <w:t xml:space="preserve"> </w:t>
      </w:r>
      <w:r>
        <w:t>the</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4"/>
      </w:pPr>
      <w:r>
        <w:t>Prevention of Corruption at the executive level, the National Council for Monitoring the</w:t>
      </w:r>
      <w:r>
        <w:rPr>
          <w:spacing w:val="1"/>
        </w:rPr>
        <w:t xml:space="preserve"> </w:t>
      </w:r>
      <w:r>
        <w:t>Implementation of the Anti-Corruption Strategy was established at the parliamentary level to</w:t>
      </w:r>
      <w:r>
        <w:rPr>
          <w:spacing w:val="1"/>
        </w:rPr>
        <w:t xml:space="preserve"> </w:t>
      </w:r>
      <w:r>
        <w:t>ensure</w:t>
      </w:r>
      <w:r>
        <w:rPr>
          <w:spacing w:val="-2"/>
        </w:rPr>
        <w:t xml:space="preserve"> </w:t>
      </w:r>
      <w:r>
        <w:t>a</w:t>
      </w:r>
      <w:r>
        <w:rPr>
          <w:spacing w:val="-1"/>
        </w:rPr>
        <w:t xml:space="preserve"> </w:t>
      </w:r>
      <w:r>
        <w:t>quality</w:t>
      </w:r>
      <w:r>
        <w:rPr>
          <w:spacing w:val="-4"/>
        </w:rPr>
        <w:t xml:space="preserve"> </w:t>
      </w:r>
      <w:r>
        <w:t>mechanism for</w:t>
      </w:r>
      <w:r>
        <w:rPr>
          <w:spacing w:val="-1"/>
        </w:rPr>
        <w:t xml:space="preserve"> </w:t>
      </w:r>
      <w:r>
        <w:t>monitoring</w:t>
      </w:r>
      <w:r>
        <w:rPr>
          <w:spacing w:val="-2"/>
        </w:rPr>
        <w:t xml:space="preserve"> </w:t>
      </w:r>
      <w:r>
        <w:t>the implementation of</w:t>
      </w:r>
      <w:r>
        <w:rPr>
          <w:spacing w:val="1"/>
        </w:rPr>
        <w:t xml:space="preserve"> </w:t>
      </w:r>
      <w:r>
        <w:t>anti-corruption policies.</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709184" behindDoc="1" locked="0" layoutInCell="1" allowOverlap="1">
                <wp:simplePos x="0" y="0"/>
                <wp:positionH relativeFrom="page">
                  <wp:posOffset>882650</wp:posOffset>
                </wp:positionH>
                <wp:positionV relativeFrom="paragraph">
                  <wp:posOffset>124460</wp:posOffset>
                </wp:positionV>
                <wp:extent cx="574675" cy="18415"/>
                <wp:effectExtent l="0" t="0" r="0" b="0"/>
                <wp:wrapTopAndBottom/>
                <wp:docPr id="48706680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508C1" id="Rectangle 10" o:spid="_x0000_s1026" style="position:absolute;margin-left:69.5pt;margin-top:9.8pt;width:45.25pt;height:1.45pt;z-index:-15607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4"/>
      </w:pPr>
      <w:r>
        <w:t>Reforms planned in the NRRP, under component 3. Education, Science and Research, and</w:t>
      </w:r>
      <w:r>
        <w:rPr>
          <w:spacing w:val="1"/>
        </w:rPr>
        <w:t xml:space="preserve"> </w:t>
      </w:r>
      <w:r>
        <w:t>integrated into this NPR, are communicated with key stakeholders based on the needs and</w:t>
      </w:r>
      <w:r>
        <w:rPr>
          <w:spacing w:val="1"/>
        </w:rPr>
        <w:t xml:space="preserve"> </w:t>
      </w:r>
      <w:r>
        <w:t>schedules</w:t>
      </w:r>
      <w:r>
        <w:rPr>
          <w:spacing w:val="-1"/>
        </w:rPr>
        <w:t xml:space="preserve"> </w:t>
      </w:r>
      <w:r>
        <w:t>for</w:t>
      </w:r>
      <w:r>
        <w:rPr>
          <w:spacing w:val="-1"/>
        </w:rPr>
        <w:t xml:space="preserve"> </w:t>
      </w:r>
      <w:r>
        <w:t>implementing</w:t>
      </w:r>
      <w:r>
        <w:rPr>
          <w:spacing w:val="-2"/>
        </w:rPr>
        <w:t xml:space="preserve"> </w:t>
      </w:r>
      <w:r>
        <w:t>NRRP</w:t>
      </w:r>
      <w:r>
        <w:rPr>
          <w:spacing w:val="1"/>
        </w:rPr>
        <w:t xml:space="preserve"> </w:t>
      </w:r>
      <w:r>
        <w:t>reforms and activities.</w:t>
      </w:r>
    </w:p>
    <w:p w:rsidR="00A56FE9" w:rsidRDefault="00000000">
      <w:pPr>
        <w:pStyle w:val="Tijeloteksta"/>
        <w:spacing w:before="120"/>
        <w:ind w:right="272"/>
      </w:pPr>
      <w:r>
        <w:t>In</w:t>
      </w:r>
      <w:r>
        <w:rPr>
          <w:spacing w:val="1"/>
        </w:rPr>
        <w:t xml:space="preserve"> </w:t>
      </w:r>
      <w:r>
        <w:t>implementing</w:t>
      </w:r>
      <w:r>
        <w:rPr>
          <w:spacing w:val="1"/>
        </w:rPr>
        <w:t xml:space="preserve"> </w:t>
      </w:r>
      <w:r>
        <w:t>the</w:t>
      </w:r>
      <w:r>
        <w:rPr>
          <w:spacing w:val="1"/>
        </w:rPr>
        <w:t xml:space="preserve"> </w:t>
      </w:r>
      <w:r>
        <w:t>NRRP</w:t>
      </w:r>
      <w:r>
        <w:rPr>
          <w:spacing w:val="1"/>
        </w:rPr>
        <w:t xml:space="preserve"> </w:t>
      </w:r>
      <w:r>
        <w:t>structural</w:t>
      </w:r>
      <w:r>
        <w:rPr>
          <w:spacing w:val="1"/>
        </w:rPr>
        <w:t xml:space="preserve"> </w:t>
      </w:r>
      <w:r>
        <w:t>reform</w:t>
      </w:r>
      <w:r>
        <w:rPr>
          <w:spacing w:val="1"/>
        </w:rPr>
        <w:t xml:space="preserve"> </w:t>
      </w:r>
      <w:r>
        <w:t>of</w:t>
      </w:r>
      <w:r>
        <w:rPr>
          <w:spacing w:val="1"/>
        </w:rPr>
        <w:t xml:space="preserve"> </w:t>
      </w:r>
      <w:r>
        <w:t>the</w:t>
      </w:r>
      <w:r>
        <w:rPr>
          <w:spacing w:val="1"/>
        </w:rPr>
        <w:t xml:space="preserve"> </w:t>
      </w:r>
      <w:r>
        <w:t>education</w:t>
      </w:r>
      <w:r>
        <w:rPr>
          <w:spacing w:val="1"/>
        </w:rPr>
        <w:t xml:space="preserve"> </w:t>
      </w:r>
      <w:r>
        <w:t>system</w:t>
      </w:r>
      <w:r>
        <w:rPr>
          <w:spacing w:val="1"/>
        </w:rPr>
        <w:t xml:space="preserve"> </w:t>
      </w:r>
      <w:r>
        <w:t>(C3.1.</w:t>
      </w:r>
      <w:r>
        <w:rPr>
          <w:spacing w:val="1"/>
        </w:rPr>
        <w:t xml:space="preserve"> </w:t>
      </w:r>
      <w:r>
        <w:t>R1)</w:t>
      </w:r>
      <w:r>
        <w:rPr>
          <w:spacing w:val="1"/>
        </w:rPr>
        <w:t xml:space="preserve"> </w:t>
      </w:r>
      <w:r>
        <w:t>and</w:t>
      </w:r>
      <w:r>
        <w:rPr>
          <w:spacing w:val="1"/>
        </w:rPr>
        <w:t xml:space="preserve"> </w:t>
      </w:r>
      <w:r>
        <w:t>infrastructural investments in kindergartens as a precondition for increasing coverage within</w:t>
      </w:r>
      <w:r>
        <w:rPr>
          <w:spacing w:val="1"/>
        </w:rPr>
        <w:t xml:space="preserve"> </w:t>
      </w:r>
      <w:r>
        <w:t>the system, as well as infrastructural investments to facilitate the transition of primary schools</w:t>
      </w:r>
      <w:r>
        <w:rPr>
          <w:spacing w:val="-57"/>
        </w:rPr>
        <w:t xml:space="preserve"> </w:t>
      </w:r>
      <w:r>
        <w:t>operating in multiple shifts to a single-shift mode and teaching, the Ministry of Science and</w:t>
      </w:r>
      <w:r>
        <w:rPr>
          <w:spacing w:val="1"/>
        </w:rPr>
        <w:t xml:space="preserve"> </w:t>
      </w:r>
      <w:r>
        <w:t>Education (MSE) will consult with LRSGUs on all key segments in announcing the Calls for</w:t>
      </w:r>
      <w:r>
        <w:rPr>
          <w:spacing w:val="1"/>
        </w:rPr>
        <w:t xml:space="preserve"> </w:t>
      </w:r>
      <w:r>
        <w:t>Grants directed to these purposes. The process of defining the key elements in the tender</w:t>
      </w:r>
      <w:r>
        <w:rPr>
          <w:spacing w:val="1"/>
        </w:rPr>
        <w:t xml:space="preserve"> </w:t>
      </w:r>
      <w:r>
        <w:t>documentation</w:t>
      </w:r>
      <w:r>
        <w:rPr>
          <w:spacing w:val="-9"/>
        </w:rPr>
        <w:t xml:space="preserve"> </w:t>
      </w:r>
      <w:r>
        <w:t>for</w:t>
      </w:r>
      <w:r>
        <w:rPr>
          <w:spacing w:val="-7"/>
        </w:rPr>
        <w:t xml:space="preserve"> </w:t>
      </w:r>
      <w:r>
        <w:t>investments</w:t>
      </w:r>
      <w:r>
        <w:rPr>
          <w:spacing w:val="-7"/>
        </w:rPr>
        <w:t xml:space="preserve"> </w:t>
      </w:r>
      <w:r>
        <w:t>required</w:t>
      </w:r>
      <w:r>
        <w:rPr>
          <w:spacing w:val="-5"/>
        </w:rPr>
        <w:t xml:space="preserve"> </w:t>
      </w:r>
      <w:r>
        <w:t>that</w:t>
      </w:r>
      <w:r>
        <w:rPr>
          <w:spacing w:val="-8"/>
        </w:rPr>
        <w:t xml:space="preserve"> </w:t>
      </w:r>
      <w:r>
        <w:t>the</w:t>
      </w:r>
      <w:r>
        <w:rPr>
          <w:spacing w:val="-4"/>
        </w:rPr>
        <w:t xml:space="preserve"> </w:t>
      </w:r>
      <w:r>
        <w:t>LRSGus</w:t>
      </w:r>
      <w:r>
        <w:rPr>
          <w:spacing w:val="-8"/>
        </w:rPr>
        <w:t xml:space="preserve"> </w:t>
      </w:r>
      <w:r>
        <w:t>collect</w:t>
      </w:r>
      <w:r>
        <w:rPr>
          <w:spacing w:val="-6"/>
        </w:rPr>
        <w:t xml:space="preserve"> </w:t>
      </w:r>
      <w:r>
        <w:t>data</w:t>
      </w:r>
      <w:r>
        <w:rPr>
          <w:spacing w:val="-7"/>
        </w:rPr>
        <w:t xml:space="preserve"> </w:t>
      </w:r>
      <w:r>
        <w:t>on</w:t>
      </w:r>
      <w:r>
        <w:rPr>
          <w:spacing w:val="-8"/>
        </w:rPr>
        <w:t xml:space="preserve"> </w:t>
      </w:r>
      <w:r>
        <w:t>the</w:t>
      </w:r>
      <w:r>
        <w:rPr>
          <w:spacing w:val="-9"/>
        </w:rPr>
        <w:t xml:space="preserve"> </w:t>
      </w:r>
      <w:r>
        <w:t>state</w:t>
      </w:r>
      <w:r>
        <w:rPr>
          <w:spacing w:val="-9"/>
        </w:rPr>
        <w:t xml:space="preserve"> </w:t>
      </w:r>
      <w:r>
        <w:t>of</w:t>
      </w:r>
      <w:r>
        <w:rPr>
          <w:spacing w:val="-8"/>
        </w:rPr>
        <w:t xml:space="preserve"> </w:t>
      </w:r>
      <w:r>
        <w:t>the</w:t>
      </w:r>
      <w:r>
        <w:rPr>
          <w:spacing w:val="-4"/>
        </w:rPr>
        <w:t xml:space="preserve"> </w:t>
      </w:r>
      <w:r>
        <w:t>current</w:t>
      </w:r>
      <w:r>
        <w:rPr>
          <w:spacing w:val="-58"/>
        </w:rPr>
        <w:t xml:space="preserve"> </w:t>
      </w:r>
      <w:r>
        <w:t>system.</w:t>
      </w:r>
      <w:r>
        <w:rPr>
          <w:spacing w:val="1"/>
        </w:rPr>
        <w:t xml:space="preserve"> </w:t>
      </w:r>
      <w:r>
        <w:t>Regarding</w:t>
      </w:r>
      <w:r>
        <w:rPr>
          <w:spacing w:val="1"/>
        </w:rPr>
        <w:t xml:space="preserve"> </w:t>
      </w:r>
      <w:r>
        <w:t>investments</w:t>
      </w:r>
      <w:r>
        <w:rPr>
          <w:spacing w:val="1"/>
        </w:rPr>
        <w:t xml:space="preserve"> </w:t>
      </w:r>
      <w:r>
        <w:t>in</w:t>
      </w:r>
      <w:r>
        <w:rPr>
          <w:spacing w:val="1"/>
        </w:rPr>
        <w:t xml:space="preserve"> </w:t>
      </w:r>
      <w:r>
        <w:t>kindergartens,</w:t>
      </w:r>
      <w:r>
        <w:rPr>
          <w:spacing w:val="1"/>
        </w:rPr>
        <w:t xml:space="preserve"> </w:t>
      </w:r>
      <w:r>
        <w:t>online</w:t>
      </w:r>
      <w:r>
        <w:rPr>
          <w:spacing w:val="1"/>
        </w:rPr>
        <w:t xml:space="preserve"> </w:t>
      </w:r>
      <w:r>
        <w:t>workshops</w:t>
      </w:r>
      <w:r>
        <w:rPr>
          <w:spacing w:val="1"/>
        </w:rPr>
        <w:t xml:space="preserve"> </w:t>
      </w:r>
      <w:r>
        <w:t>were</w:t>
      </w:r>
      <w:r>
        <w:rPr>
          <w:spacing w:val="1"/>
        </w:rPr>
        <w:t xml:space="preserve"> </w:t>
      </w:r>
      <w:r>
        <w:t>held</w:t>
      </w:r>
      <w:r>
        <w:rPr>
          <w:spacing w:val="1"/>
        </w:rPr>
        <w:t xml:space="preserve"> </w:t>
      </w:r>
      <w:r>
        <w:t>with</w:t>
      </w:r>
      <w:r>
        <w:rPr>
          <w:spacing w:val="1"/>
        </w:rPr>
        <w:t xml:space="preserve"> </w:t>
      </w:r>
      <w:r>
        <w:t>representatives</w:t>
      </w:r>
      <w:r>
        <w:rPr>
          <w:spacing w:val="-9"/>
        </w:rPr>
        <w:t xml:space="preserve"> </w:t>
      </w:r>
      <w:r>
        <w:t>of</w:t>
      </w:r>
      <w:r>
        <w:rPr>
          <w:spacing w:val="-9"/>
        </w:rPr>
        <w:t xml:space="preserve"> </w:t>
      </w:r>
      <w:r>
        <w:t>cities</w:t>
      </w:r>
      <w:r>
        <w:rPr>
          <w:spacing w:val="-8"/>
        </w:rPr>
        <w:t xml:space="preserve"> </w:t>
      </w:r>
      <w:r>
        <w:t>and</w:t>
      </w:r>
      <w:r>
        <w:rPr>
          <w:spacing w:val="-9"/>
        </w:rPr>
        <w:t xml:space="preserve"> </w:t>
      </w:r>
      <w:r>
        <w:t>municipalities,</w:t>
      </w:r>
      <w:r>
        <w:rPr>
          <w:spacing w:val="-7"/>
        </w:rPr>
        <w:t xml:space="preserve"> </w:t>
      </w:r>
      <w:r>
        <w:t>resulting</w:t>
      </w:r>
      <w:r>
        <w:rPr>
          <w:spacing w:val="-10"/>
        </w:rPr>
        <w:t xml:space="preserve"> </w:t>
      </w:r>
      <w:r>
        <w:t>in</w:t>
      </w:r>
      <w:r>
        <w:rPr>
          <w:spacing w:val="-7"/>
        </w:rPr>
        <w:t xml:space="preserve"> </w:t>
      </w:r>
      <w:r>
        <w:t>a</w:t>
      </w:r>
      <w:r>
        <w:rPr>
          <w:spacing w:val="-10"/>
        </w:rPr>
        <w:t xml:space="preserve"> </w:t>
      </w:r>
      <w:r>
        <w:t>large</w:t>
      </w:r>
      <w:r>
        <w:rPr>
          <w:spacing w:val="-8"/>
        </w:rPr>
        <w:t xml:space="preserve"> </w:t>
      </w:r>
      <w:r>
        <w:t>response</w:t>
      </w:r>
      <w:r>
        <w:rPr>
          <w:spacing w:val="-9"/>
        </w:rPr>
        <w:t xml:space="preserve"> </w:t>
      </w:r>
      <w:r>
        <w:t>and</w:t>
      </w:r>
      <w:r>
        <w:rPr>
          <w:spacing w:val="-9"/>
        </w:rPr>
        <w:t xml:space="preserve"> </w:t>
      </w:r>
      <w:r>
        <w:t>interest,</w:t>
      </w:r>
      <w:r>
        <w:rPr>
          <w:spacing w:val="-7"/>
        </w:rPr>
        <w:t xml:space="preserve"> </w:t>
      </w:r>
      <w:r>
        <w:t>especially</w:t>
      </w:r>
      <w:r>
        <w:rPr>
          <w:spacing w:val="-58"/>
        </w:rPr>
        <w:t xml:space="preserve"> </w:t>
      </w:r>
      <w:r>
        <w:t>at</w:t>
      </w:r>
      <w:r>
        <w:rPr>
          <w:spacing w:val="-1"/>
        </w:rPr>
        <w:t xml:space="preserve"> </w:t>
      </w:r>
      <w:r>
        <w:t>the</w:t>
      </w:r>
      <w:r>
        <w:rPr>
          <w:spacing w:val="-1"/>
        </w:rPr>
        <w:t xml:space="preserve"> </w:t>
      </w:r>
      <w:r>
        <w:t>city</w:t>
      </w:r>
      <w:r>
        <w:rPr>
          <w:spacing w:val="-5"/>
        </w:rPr>
        <w:t xml:space="preserve"> </w:t>
      </w:r>
      <w:r>
        <w:t>level. The</w:t>
      </w:r>
      <w:r>
        <w:rPr>
          <w:spacing w:val="-1"/>
        </w:rPr>
        <w:t xml:space="preserve"> </w:t>
      </w:r>
      <w:r>
        <w:t>workshops will be</w:t>
      </w:r>
      <w:r>
        <w:rPr>
          <w:spacing w:val="-1"/>
        </w:rPr>
        <w:t xml:space="preserve"> </w:t>
      </w:r>
      <w:r>
        <w:t>organised</w:t>
      </w:r>
      <w:r>
        <w:rPr>
          <w:spacing w:val="2"/>
        </w:rPr>
        <w:t xml:space="preserve"> </w:t>
      </w:r>
      <w:r>
        <w:t>again after</w:t>
      </w:r>
      <w:r>
        <w:rPr>
          <w:spacing w:val="-1"/>
        </w:rPr>
        <w:t xml:space="preserve"> </w:t>
      </w:r>
      <w:r>
        <w:t>announcing</w:t>
      </w:r>
      <w:r>
        <w:rPr>
          <w:spacing w:val="-2"/>
        </w:rPr>
        <w:t xml:space="preserve"> </w:t>
      </w:r>
      <w:r>
        <w:t>the</w:t>
      </w:r>
      <w:r>
        <w:rPr>
          <w:spacing w:val="-1"/>
        </w:rPr>
        <w:t xml:space="preserve"> </w:t>
      </w:r>
      <w:r>
        <w:t>public</w:t>
      </w:r>
      <w:r>
        <w:rPr>
          <w:spacing w:val="-1"/>
        </w:rPr>
        <w:t xml:space="preserve"> </w:t>
      </w:r>
      <w:r>
        <w:t>call.</w:t>
      </w:r>
    </w:p>
    <w:p w:rsidR="00A56FE9" w:rsidRDefault="00000000">
      <w:pPr>
        <w:pStyle w:val="Tijeloteksta"/>
        <w:spacing w:before="121"/>
        <w:ind w:right="270"/>
      </w:pPr>
      <w:r>
        <w:t>The</w:t>
      </w:r>
      <w:r>
        <w:rPr>
          <w:spacing w:val="-4"/>
        </w:rPr>
        <w:t xml:space="preserve"> </w:t>
      </w:r>
      <w:r>
        <w:t>MSE</w:t>
      </w:r>
      <w:r>
        <w:rPr>
          <w:spacing w:val="-3"/>
        </w:rPr>
        <w:t xml:space="preserve"> </w:t>
      </w:r>
      <w:r>
        <w:t>is</w:t>
      </w:r>
      <w:r>
        <w:rPr>
          <w:spacing w:val="-2"/>
        </w:rPr>
        <w:t xml:space="preserve"> </w:t>
      </w:r>
      <w:r>
        <w:t>in</w:t>
      </w:r>
      <w:r>
        <w:rPr>
          <w:spacing w:val="-2"/>
        </w:rPr>
        <w:t xml:space="preserve"> </w:t>
      </w:r>
      <w:r>
        <w:t>the</w:t>
      </w:r>
      <w:r>
        <w:rPr>
          <w:spacing w:val="-3"/>
        </w:rPr>
        <w:t xml:space="preserve"> </w:t>
      </w:r>
      <w:r>
        <w:t>process</w:t>
      </w:r>
      <w:r>
        <w:rPr>
          <w:spacing w:val="-3"/>
        </w:rPr>
        <w:t xml:space="preserve"> </w:t>
      </w:r>
      <w:r>
        <w:t>of</w:t>
      </w:r>
      <w:r>
        <w:rPr>
          <w:spacing w:val="-3"/>
        </w:rPr>
        <w:t xml:space="preserve"> </w:t>
      </w:r>
      <w:r>
        <w:t>drafting</w:t>
      </w:r>
      <w:r>
        <w:rPr>
          <w:spacing w:val="-3"/>
        </w:rPr>
        <w:t xml:space="preserve"> </w:t>
      </w:r>
      <w:r>
        <w:t>the</w:t>
      </w:r>
      <w:r>
        <w:rPr>
          <w:spacing w:val="-3"/>
        </w:rPr>
        <w:t xml:space="preserve"> </w:t>
      </w:r>
      <w:r>
        <w:t>Model</w:t>
      </w:r>
      <w:r>
        <w:rPr>
          <w:spacing w:val="-2"/>
        </w:rPr>
        <w:t xml:space="preserve"> </w:t>
      </w:r>
      <w:r>
        <w:t>for</w:t>
      </w:r>
      <w:r>
        <w:rPr>
          <w:spacing w:val="-4"/>
        </w:rPr>
        <w:t xml:space="preserve"> </w:t>
      </w:r>
      <w:r>
        <w:t>the</w:t>
      </w:r>
      <w:r>
        <w:rPr>
          <w:spacing w:val="1"/>
        </w:rPr>
        <w:t xml:space="preserve"> </w:t>
      </w:r>
      <w:r>
        <w:t>Introducing</w:t>
      </w:r>
      <w:r>
        <w:rPr>
          <w:spacing w:val="-4"/>
        </w:rPr>
        <w:t xml:space="preserve"> </w:t>
      </w:r>
      <w:r>
        <w:t>All-Day</w:t>
      </w:r>
      <w:r>
        <w:rPr>
          <w:spacing w:val="-5"/>
        </w:rPr>
        <w:t xml:space="preserve"> </w:t>
      </w:r>
      <w:r>
        <w:t>School and</w:t>
      </w:r>
      <w:r>
        <w:rPr>
          <w:spacing w:val="-3"/>
        </w:rPr>
        <w:t xml:space="preserve"> </w:t>
      </w:r>
      <w:r>
        <w:t>in</w:t>
      </w:r>
      <w:r>
        <w:rPr>
          <w:spacing w:val="-2"/>
        </w:rPr>
        <w:t xml:space="preserve"> </w:t>
      </w:r>
      <w:r>
        <w:t>the</w:t>
      </w:r>
      <w:r>
        <w:rPr>
          <w:spacing w:val="-57"/>
        </w:rPr>
        <w:t xml:space="preserve"> </w:t>
      </w:r>
      <w:r>
        <w:t>process of drafting the fundamental Act on Primary and Secondary Education, where all the</w:t>
      </w:r>
      <w:r>
        <w:rPr>
          <w:spacing w:val="1"/>
        </w:rPr>
        <w:t xml:space="preserve"> </w:t>
      </w:r>
      <w:r>
        <w:t>important</w:t>
      </w:r>
      <w:r>
        <w:rPr>
          <w:spacing w:val="-6"/>
        </w:rPr>
        <w:t xml:space="preserve"> </w:t>
      </w:r>
      <w:r>
        <w:t>provisions</w:t>
      </w:r>
      <w:r>
        <w:rPr>
          <w:spacing w:val="-6"/>
        </w:rPr>
        <w:t xml:space="preserve"> </w:t>
      </w:r>
      <w:r>
        <w:t>of</w:t>
      </w:r>
      <w:r>
        <w:rPr>
          <w:spacing w:val="-9"/>
        </w:rPr>
        <w:t xml:space="preserve"> </w:t>
      </w:r>
      <w:r>
        <w:t>the</w:t>
      </w:r>
      <w:r>
        <w:rPr>
          <w:spacing w:val="-7"/>
        </w:rPr>
        <w:t xml:space="preserve"> </w:t>
      </w:r>
      <w:r>
        <w:t>Model</w:t>
      </w:r>
      <w:r>
        <w:rPr>
          <w:spacing w:val="-6"/>
        </w:rPr>
        <w:t xml:space="preserve"> </w:t>
      </w:r>
      <w:r>
        <w:t>and</w:t>
      </w:r>
      <w:r>
        <w:rPr>
          <w:spacing w:val="-6"/>
        </w:rPr>
        <w:t xml:space="preserve"> </w:t>
      </w:r>
      <w:r>
        <w:t>new</w:t>
      </w:r>
      <w:r>
        <w:rPr>
          <w:spacing w:val="-6"/>
        </w:rPr>
        <w:t xml:space="preserve"> </w:t>
      </w:r>
      <w:r>
        <w:t>Act</w:t>
      </w:r>
      <w:r>
        <w:rPr>
          <w:spacing w:val="-6"/>
        </w:rPr>
        <w:t xml:space="preserve"> </w:t>
      </w:r>
      <w:r>
        <w:t>will</w:t>
      </w:r>
      <w:r>
        <w:rPr>
          <w:spacing w:val="-6"/>
        </w:rPr>
        <w:t xml:space="preserve"> </w:t>
      </w:r>
      <w:r>
        <w:t>be</w:t>
      </w:r>
      <w:r>
        <w:rPr>
          <w:spacing w:val="-7"/>
        </w:rPr>
        <w:t xml:space="preserve"> </w:t>
      </w:r>
      <w:r>
        <w:t>presented</w:t>
      </w:r>
      <w:r>
        <w:rPr>
          <w:spacing w:val="-7"/>
        </w:rPr>
        <w:t xml:space="preserve"> </w:t>
      </w:r>
      <w:r>
        <w:t>and</w:t>
      </w:r>
      <w:r>
        <w:rPr>
          <w:spacing w:val="-6"/>
        </w:rPr>
        <w:t xml:space="preserve"> </w:t>
      </w:r>
      <w:r>
        <w:t>discussed,</w:t>
      </w:r>
      <w:r>
        <w:rPr>
          <w:spacing w:val="-6"/>
        </w:rPr>
        <w:t xml:space="preserve"> </w:t>
      </w:r>
      <w:r>
        <w:t>and</w:t>
      </w:r>
      <w:r>
        <w:rPr>
          <w:spacing w:val="-5"/>
        </w:rPr>
        <w:t xml:space="preserve"> </w:t>
      </w:r>
      <w:r>
        <w:t>with</w:t>
      </w:r>
      <w:r>
        <w:rPr>
          <w:spacing w:val="-6"/>
        </w:rPr>
        <w:t xml:space="preserve"> </w:t>
      </w:r>
      <w:r>
        <w:t>other</w:t>
      </w:r>
      <w:r>
        <w:rPr>
          <w:spacing w:val="-58"/>
        </w:rPr>
        <w:t xml:space="preserve"> </w:t>
      </w:r>
      <w:r>
        <w:t>key</w:t>
      </w:r>
      <w:r>
        <w:rPr>
          <w:spacing w:val="-6"/>
        </w:rPr>
        <w:t xml:space="preserve"> </w:t>
      </w:r>
      <w:r>
        <w:t>stakeholders in the</w:t>
      </w:r>
      <w:r>
        <w:rPr>
          <w:spacing w:val="-1"/>
        </w:rPr>
        <w:t xml:space="preserve"> </w:t>
      </w:r>
      <w:r>
        <w:t>system</w:t>
      </w:r>
      <w:r>
        <w:rPr>
          <w:spacing w:val="1"/>
        </w:rPr>
        <w:t xml:space="preserve"> </w:t>
      </w:r>
      <w:r>
        <w:t>(union</w:t>
      </w:r>
      <w:r>
        <w:rPr>
          <w:spacing w:val="-1"/>
        </w:rPr>
        <w:t xml:space="preserve"> </w:t>
      </w:r>
      <w:r>
        <w:t>organisations, director association,</w:t>
      </w:r>
      <w:r>
        <w:rPr>
          <w:spacing w:val="-1"/>
        </w:rPr>
        <w:t xml:space="preserve"> </w:t>
      </w:r>
      <w:r>
        <w:t>etc.).</w:t>
      </w:r>
    </w:p>
    <w:p w:rsidR="00A56FE9" w:rsidRDefault="00000000">
      <w:pPr>
        <w:pStyle w:val="Tijeloteksta"/>
        <w:spacing w:before="120"/>
        <w:ind w:right="272"/>
      </w:pPr>
      <w:r>
        <w:t>Regarding implementation of NRRP reform C3.2 R1, in terms of which the new Act on</w:t>
      </w:r>
      <w:r>
        <w:rPr>
          <w:spacing w:val="1"/>
        </w:rPr>
        <w:t xml:space="preserve"> </w:t>
      </w:r>
      <w:r>
        <w:t>Scientific Activity and Higher Education is being drafted, stakeholders in the Working Group</w:t>
      </w:r>
      <w:r>
        <w:rPr>
          <w:spacing w:val="1"/>
        </w:rPr>
        <w:t xml:space="preserve"> </w:t>
      </w:r>
      <w:r>
        <w:t>are involved in preparing the draft law, which includes representatives from public research</w:t>
      </w:r>
      <w:r>
        <w:rPr>
          <w:spacing w:val="1"/>
        </w:rPr>
        <w:t xml:space="preserve"> </w:t>
      </w:r>
      <w:r>
        <w:t>institutes, public universities and faculties, polytechnics and colleges, trade unions, private</w:t>
      </w:r>
      <w:r>
        <w:rPr>
          <w:spacing w:val="1"/>
        </w:rPr>
        <w:t xml:space="preserve"> </w:t>
      </w:r>
      <w:r>
        <w:t>universities</w:t>
      </w:r>
      <w:r>
        <w:rPr>
          <w:spacing w:val="-1"/>
        </w:rPr>
        <w:t xml:space="preserve"> </w:t>
      </w:r>
      <w:r>
        <w:t>and</w:t>
      </w:r>
      <w:r>
        <w:rPr>
          <w:spacing w:val="-1"/>
        </w:rPr>
        <w:t xml:space="preserve"> </w:t>
      </w:r>
      <w:r>
        <w:t>university</w:t>
      </w:r>
      <w:r>
        <w:rPr>
          <w:spacing w:val="-3"/>
        </w:rPr>
        <w:t xml:space="preserve"> </w:t>
      </w:r>
      <w:r>
        <w:t>professors</w:t>
      </w:r>
      <w:r>
        <w:rPr>
          <w:spacing w:val="-1"/>
        </w:rPr>
        <w:t xml:space="preserve"> </w:t>
      </w:r>
      <w:r>
        <w:t>of</w:t>
      </w:r>
      <w:r>
        <w:rPr>
          <w:spacing w:val="-2"/>
        </w:rPr>
        <w:t xml:space="preserve"> </w:t>
      </w:r>
      <w:r>
        <w:t>law faculties</w:t>
      </w:r>
      <w:r>
        <w:rPr>
          <w:spacing w:val="-1"/>
        </w:rPr>
        <w:t xml:space="preserve"> </w:t>
      </w:r>
      <w:r>
        <w:t>(Osijek,</w:t>
      </w:r>
      <w:r>
        <w:rPr>
          <w:spacing w:val="-1"/>
        </w:rPr>
        <w:t xml:space="preserve"> </w:t>
      </w:r>
      <w:r>
        <w:t>Rijeka,</w:t>
      </w:r>
      <w:r>
        <w:rPr>
          <w:spacing w:val="1"/>
        </w:rPr>
        <w:t xml:space="preserve"> </w:t>
      </w:r>
      <w:r>
        <w:t>Zagreb</w:t>
      </w:r>
      <w:r>
        <w:rPr>
          <w:spacing w:val="-1"/>
        </w:rPr>
        <w:t xml:space="preserve"> </w:t>
      </w:r>
      <w:r>
        <w:t>and</w:t>
      </w:r>
      <w:r>
        <w:rPr>
          <w:spacing w:val="-1"/>
        </w:rPr>
        <w:t xml:space="preserve"> </w:t>
      </w:r>
      <w:r>
        <w:t>Split).</w:t>
      </w:r>
    </w:p>
    <w:p w:rsidR="00A56FE9" w:rsidRDefault="00000000">
      <w:pPr>
        <w:pStyle w:val="Tijeloteksta"/>
        <w:spacing w:before="121"/>
        <w:ind w:right="273"/>
      </w:pPr>
      <w:r>
        <w:t>Investment C3.2. R1-I1 Development of a System of Programme Agreements for Funding</w:t>
      </w:r>
      <w:r>
        <w:rPr>
          <w:spacing w:val="1"/>
        </w:rPr>
        <w:t xml:space="preserve"> </w:t>
      </w:r>
      <w:r>
        <w:t>Universities</w:t>
      </w:r>
      <w:r>
        <w:rPr>
          <w:spacing w:val="1"/>
        </w:rPr>
        <w:t xml:space="preserve"> </w:t>
      </w:r>
      <w:r>
        <w:t>and</w:t>
      </w:r>
      <w:r>
        <w:rPr>
          <w:spacing w:val="1"/>
        </w:rPr>
        <w:t xml:space="preserve"> </w:t>
      </w:r>
      <w:r>
        <w:t>Research</w:t>
      </w:r>
      <w:r>
        <w:rPr>
          <w:spacing w:val="1"/>
        </w:rPr>
        <w:t xml:space="preserve"> </w:t>
      </w:r>
      <w:r>
        <w:t>Institutes,</w:t>
      </w:r>
      <w:r>
        <w:rPr>
          <w:spacing w:val="1"/>
        </w:rPr>
        <w:t xml:space="preserve"> </w:t>
      </w:r>
      <w:r>
        <w:t>the</w:t>
      </w:r>
      <w:r>
        <w:rPr>
          <w:spacing w:val="1"/>
        </w:rPr>
        <w:t xml:space="preserve"> </w:t>
      </w:r>
      <w:r>
        <w:t>negotiation</w:t>
      </w:r>
      <w:r>
        <w:rPr>
          <w:spacing w:val="1"/>
        </w:rPr>
        <w:t xml:space="preserve"> </w:t>
      </w:r>
      <w:r>
        <w:t>process</w:t>
      </w:r>
      <w:r>
        <w:rPr>
          <w:spacing w:val="1"/>
        </w:rPr>
        <w:t xml:space="preserve"> </w:t>
      </w:r>
      <w:r>
        <w:t>for</w:t>
      </w:r>
      <w:r>
        <w:rPr>
          <w:spacing w:val="1"/>
        </w:rPr>
        <w:t xml:space="preserve"> </w:t>
      </w:r>
      <w:r>
        <w:t>devising</w:t>
      </w:r>
      <w:r>
        <w:rPr>
          <w:spacing w:val="1"/>
        </w:rPr>
        <w:t xml:space="preserve"> </w:t>
      </w:r>
      <w:r>
        <w:t>programme</w:t>
      </w:r>
      <w:r>
        <w:rPr>
          <w:spacing w:val="1"/>
        </w:rPr>
        <w:t xml:space="preserve"> </w:t>
      </w:r>
      <w:r>
        <w:t>agreements</w:t>
      </w:r>
      <w:r>
        <w:rPr>
          <w:spacing w:val="-11"/>
        </w:rPr>
        <w:t xml:space="preserve"> </w:t>
      </w:r>
      <w:r>
        <w:t>through</w:t>
      </w:r>
      <w:r>
        <w:rPr>
          <w:spacing w:val="-11"/>
        </w:rPr>
        <w:t xml:space="preserve"> </w:t>
      </w:r>
      <w:r>
        <w:t>working</w:t>
      </w:r>
      <w:r>
        <w:rPr>
          <w:spacing w:val="-11"/>
        </w:rPr>
        <w:t xml:space="preserve"> </w:t>
      </w:r>
      <w:r>
        <w:t>groups</w:t>
      </w:r>
      <w:r>
        <w:rPr>
          <w:spacing w:val="-9"/>
        </w:rPr>
        <w:t xml:space="preserve"> </w:t>
      </w:r>
      <w:r>
        <w:t>will</w:t>
      </w:r>
      <w:r>
        <w:rPr>
          <w:spacing w:val="-10"/>
        </w:rPr>
        <w:t xml:space="preserve"> </w:t>
      </w:r>
      <w:r>
        <w:t>comprise</w:t>
      </w:r>
      <w:r>
        <w:rPr>
          <w:spacing w:val="-10"/>
        </w:rPr>
        <w:t xml:space="preserve"> </w:t>
      </w:r>
      <w:r>
        <w:t>stakeholders</w:t>
      </w:r>
      <w:r>
        <w:rPr>
          <w:spacing w:val="-11"/>
        </w:rPr>
        <w:t xml:space="preserve"> </w:t>
      </w:r>
      <w:r>
        <w:t>from</w:t>
      </w:r>
      <w:r>
        <w:rPr>
          <w:spacing w:val="-11"/>
        </w:rPr>
        <w:t xml:space="preserve"> </w:t>
      </w:r>
      <w:r>
        <w:t>the</w:t>
      </w:r>
      <w:r>
        <w:rPr>
          <w:spacing w:val="-12"/>
        </w:rPr>
        <w:t xml:space="preserve"> </w:t>
      </w:r>
      <w:r>
        <w:t>MSE,</w:t>
      </w:r>
      <w:r>
        <w:rPr>
          <w:spacing w:val="-11"/>
        </w:rPr>
        <w:t xml:space="preserve"> </w:t>
      </w:r>
      <w:r>
        <w:t>universities</w:t>
      </w:r>
      <w:r>
        <w:rPr>
          <w:spacing w:val="-11"/>
        </w:rPr>
        <w:t xml:space="preserve"> </w:t>
      </w:r>
      <w:r>
        <w:t>and</w:t>
      </w:r>
      <w:r>
        <w:rPr>
          <w:spacing w:val="-58"/>
        </w:rPr>
        <w:t xml:space="preserve"> </w:t>
      </w:r>
      <w:r>
        <w:t>scientific</w:t>
      </w:r>
      <w:r>
        <w:rPr>
          <w:spacing w:val="-9"/>
        </w:rPr>
        <w:t xml:space="preserve"> </w:t>
      </w:r>
      <w:r>
        <w:t>institutes,</w:t>
      </w:r>
      <w:r>
        <w:rPr>
          <w:spacing w:val="-8"/>
        </w:rPr>
        <w:t xml:space="preserve"> </w:t>
      </w:r>
      <w:r>
        <w:t>with</w:t>
      </w:r>
      <w:r>
        <w:rPr>
          <w:spacing w:val="-5"/>
        </w:rPr>
        <w:t xml:space="preserve"> </w:t>
      </w:r>
      <w:r>
        <w:t>the</w:t>
      </w:r>
      <w:r>
        <w:rPr>
          <w:spacing w:val="-8"/>
        </w:rPr>
        <w:t xml:space="preserve"> </w:t>
      </w:r>
      <w:r>
        <w:t>support</w:t>
      </w:r>
      <w:r>
        <w:rPr>
          <w:spacing w:val="-8"/>
        </w:rPr>
        <w:t xml:space="preserve"> </w:t>
      </w:r>
      <w:r>
        <w:t>of</w:t>
      </w:r>
      <w:r>
        <w:rPr>
          <w:spacing w:val="-6"/>
        </w:rPr>
        <w:t xml:space="preserve"> </w:t>
      </w:r>
      <w:r>
        <w:t>a</w:t>
      </w:r>
      <w:r>
        <w:rPr>
          <w:spacing w:val="-7"/>
        </w:rPr>
        <w:t xml:space="preserve"> </w:t>
      </w:r>
      <w:r>
        <w:t>team</w:t>
      </w:r>
      <w:r>
        <w:rPr>
          <w:spacing w:val="-7"/>
        </w:rPr>
        <w:t xml:space="preserve"> </w:t>
      </w:r>
      <w:r>
        <w:t>of</w:t>
      </w:r>
      <w:r>
        <w:rPr>
          <w:spacing w:val="-8"/>
        </w:rPr>
        <w:t xml:space="preserve"> </w:t>
      </w:r>
      <w:r>
        <w:t>external</w:t>
      </w:r>
      <w:r>
        <w:rPr>
          <w:spacing w:val="-7"/>
        </w:rPr>
        <w:t xml:space="preserve"> </w:t>
      </w:r>
      <w:r>
        <w:t>experts.</w:t>
      </w:r>
      <w:r>
        <w:rPr>
          <w:spacing w:val="-4"/>
        </w:rPr>
        <w:t xml:space="preserve"> </w:t>
      </w:r>
      <w:r>
        <w:t>The</w:t>
      </w:r>
      <w:r>
        <w:rPr>
          <w:spacing w:val="-6"/>
        </w:rPr>
        <w:t xml:space="preserve"> </w:t>
      </w:r>
      <w:r>
        <w:t>communication</w:t>
      </w:r>
      <w:r>
        <w:rPr>
          <w:spacing w:val="-9"/>
        </w:rPr>
        <w:t xml:space="preserve"> </w:t>
      </w:r>
      <w:r>
        <w:t>strategy</w:t>
      </w:r>
      <w:r>
        <w:rPr>
          <w:spacing w:val="-57"/>
        </w:rPr>
        <w:t xml:space="preserve"> </w:t>
      </w:r>
      <w:r>
        <w:t>will define the main communication and time frame for drafting the programme agreements</w:t>
      </w:r>
      <w:r>
        <w:rPr>
          <w:spacing w:val="1"/>
        </w:rPr>
        <w:t xml:space="preserve"> </w:t>
      </w:r>
      <w:r>
        <w:t>and liaising with stakeholders. A Commission for drafting the Act has also been established,</w:t>
      </w:r>
      <w:r>
        <w:rPr>
          <w:spacing w:val="1"/>
        </w:rPr>
        <w:t xml:space="preserve"> </w:t>
      </w:r>
      <w:r>
        <w:t>including representatives of all nine public universities, offering their comments on the draft</w:t>
      </w:r>
      <w:r>
        <w:rPr>
          <w:spacing w:val="1"/>
        </w:rPr>
        <w:t xml:space="preserve"> </w:t>
      </w:r>
      <w:r>
        <w:t>Act. The draft Act will require a 30-day consultation process with the interested public. The</w:t>
      </w:r>
      <w:r>
        <w:rPr>
          <w:spacing w:val="1"/>
        </w:rPr>
        <w:t xml:space="preserve"> </w:t>
      </w:r>
      <w:r>
        <w:t>same procedure for drafting the Act and conducting public consultation will be applied to the</w:t>
      </w:r>
      <w:r>
        <w:rPr>
          <w:spacing w:val="1"/>
        </w:rPr>
        <w:t xml:space="preserve"> </w:t>
      </w:r>
      <w:r>
        <w:t>Act</w:t>
      </w:r>
      <w:r>
        <w:rPr>
          <w:spacing w:val="-1"/>
        </w:rPr>
        <w:t xml:space="preserve"> </w:t>
      </w:r>
      <w:r>
        <w:t>on Quality</w:t>
      </w:r>
      <w:r>
        <w:rPr>
          <w:spacing w:val="-3"/>
        </w:rPr>
        <w:t xml:space="preserve"> </w:t>
      </w:r>
      <w:r>
        <w:t>Assurance</w:t>
      </w:r>
      <w:r>
        <w:rPr>
          <w:spacing w:val="-1"/>
        </w:rPr>
        <w:t xml:space="preserve"> </w:t>
      </w:r>
      <w:r>
        <w:t>in Science</w:t>
      </w:r>
      <w:r>
        <w:rPr>
          <w:spacing w:val="1"/>
        </w:rPr>
        <w:t xml:space="preserve"> </w:t>
      </w:r>
      <w:r>
        <w:t>and</w:t>
      </w:r>
      <w:r>
        <w:rPr>
          <w:spacing w:val="-1"/>
        </w:rPr>
        <w:t xml:space="preserve"> </w:t>
      </w:r>
      <w:r>
        <w:t>Higher</w:t>
      </w:r>
      <w:r>
        <w:rPr>
          <w:spacing w:val="1"/>
        </w:rPr>
        <w:t xml:space="preserve"> </w:t>
      </w:r>
      <w:r>
        <w:t>Education.</w:t>
      </w:r>
    </w:p>
    <w:p w:rsidR="00A56FE9" w:rsidRDefault="00000000">
      <w:pPr>
        <w:pStyle w:val="Tijeloteksta"/>
        <w:spacing w:before="120"/>
        <w:ind w:right="274"/>
      </w:pPr>
      <w:r>
        <w:t>Some</w:t>
      </w:r>
      <w:r>
        <w:rPr>
          <w:spacing w:val="-7"/>
        </w:rPr>
        <w:t xml:space="preserve"> </w:t>
      </w:r>
      <w:r>
        <w:t>of</w:t>
      </w:r>
      <w:r>
        <w:rPr>
          <w:spacing w:val="-7"/>
        </w:rPr>
        <w:t xml:space="preserve"> </w:t>
      </w:r>
      <w:r>
        <w:t>the</w:t>
      </w:r>
      <w:r>
        <w:rPr>
          <w:spacing w:val="-7"/>
        </w:rPr>
        <w:t xml:space="preserve"> </w:t>
      </w:r>
      <w:r>
        <w:t>measures</w:t>
      </w:r>
      <w:r>
        <w:rPr>
          <w:spacing w:val="-3"/>
        </w:rPr>
        <w:t xml:space="preserve"> </w:t>
      </w:r>
      <w:r>
        <w:t>are</w:t>
      </w:r>
      <w:r>
        <w:rPr>
          <w:spacing w:val="-4"/>
        </w:rPr>
        <w:t xml:space="preserve"> </w:t>
      </w:r>
      <w:r>
        <w:t>financed</w:t>
      </w:r>
      <w:r>
        <w:rPr>
          <w:spacing w:val="-5"/>
        </w:rPr>
        <w:t xml:space="preserve"> </w:t>
      </w:r>
      <w:r>
        <w:t>from</w:t>
      </w:r>
      <w:r>
        <w:rPr>
          <w:spacing w:val="-4"/>
        </w:rPr>
        <w:t xml:space="preserve"> </w:t>
      </w:r>
      <w:r>
        <w:t>the</w:t>
      </w:r>
      <w:r>
        <w:rPr>
          <w:spacing w:val="-7"/>
        </w:rPr>
        <w:t xml:space="preserve"> </w:t>
      </w:r>
      <w:r>
        <w:t>EU</w:t>
      </w:r>
      <w:r>
        <w:rPr>
          <w:spacing w:val="-5"/>
        </w:rPr>
        <w:t xml:space="preserve"> </w:t>
      </w:r>
      <w:r>
        <w:t>financial</w:t>
      </w:r>
      <w:r>
        <w:rPr>
          <w:spacing w:val="-6"/>
        </w:rPr>
        <w:t xml:space="preserve"> </w:t>
      </w:r>
      <w:r>
        <w:t>period</w:t>
      </w:r>
      <w:r>
        <w:rPr>
          <w:spacing w:val="-7"/>
        </w:rPr>
        <w:t xml:space="preserve"> </w:t>
      </w:r>
      <w:r>
        <w:t>2014-2020.</w:t>
      </w:r>
      <w:r>
        <w:rPr>
          <w:spacing w:val="-3"/>
        </w:rPr>
        <w:t xml:space="preserve"> </w:t>
      </w:r>
      <w:r>
        <w:t>(e-School</w:t>
      </w:r>
      <w:r>
        <w:rPr>
          <w:spacing w:val="-6"/>
        </w:rPr>
        <w:t xml:space="preserve"> </w:t>
      </w:r>
      <w:r>
        <w:t>project,</w:t>
      </w:r>
      <w:r>
        <w:rPr>
          <w:spacing w:val="-58"/>
        </w:rPr>
        <w:t xml:space="preserve"> </w:t>
      </w:r>
      <w:r>
        <w:t>awarding</w:t>
      </w:r>
      <w:r>
        <w:rPr>
          <w:spacing w:val="1"/>
        </w:rPr>
        <w:t xml:space="preserve"> </w:t>
      </w:r>
      <w:r>
        <w:t>scholarships</w:t>
      </w:r>
      <w:r>
        <w:rPr>
          <w:spacing w:val="1"/>
        </w:rPr>
        <w:t xml:space="preserve"> </w:t>
      </w:r>
      <w:r>
        <w:t>to</w:t>
      </w:r>
      <w:r>
        <w:rPr>
          <w:spacing w:val="1"/>
        </w:rPr>
        <w:t xml:space="preserve"> </w:t>
      </w:r>
      <w:r>
        <w:t>students</w:t>
      </w:r>
      <w:r>
        <w:rPr>
          <w:spacing w:val="1"/>
        </w:rPr>
        <w:t xml:space="preserve"> </w:t>
      </w:r>
      <w:r>
        <w:t>in</w:t>
      </w:r>
      <w:r>
        <w:rPr>
          <w:spacing w:val="1"/>
        </w:rPr>
        <w:t xml:space="preserve"> </w:t>
      </w:r>
      <w:r>
        <w:t>priority</w:t>
      </w:r>
      <w:r>
        <w:rPr>
          <w:spacing w:val="1"/>
        </w:rPr>
        <w:t xml:space="preserve"> </w:t>
      </w:r>
      <w:r>
        <w:t>areas</w:t>
      </w:r>
      <w:r>
        <w:rPr>
          <w:spacing w:val="1"/>
        </w:rPr>
        <w:t xml:space="preserve"> </w:t>
      </w:r>
      <w:r>
        <w:t>of</w:t>
      </w:r>
      <w:r>
        <w:rPr>
          <w:spacing w:val="1"/>
        </w:rPr>
        <w:t xml:space="preserve"> </w:t>
      </w:r>
      <w:r>
        <w:t>STEM)</w:t>
      </w:r>
      <w:r>
        <w:rPr>
          <w:spacing w:val="1"/>
        </w:rPr>
        <w:t xml:space="preserve"> </w:t>
      </w:r>
      <w:r>
        <w:t>and</w:t>
      </w:r>
      <w:r>
        <w:rPr>
          <w:spacing w:val="1"/>
        </w:rPr>
        <w:t xml:space="preserve"> </w:t>
      </w:r>
      <w:r>
        <w:t>liaising</w:t>
      </w:r>
      <w:r>
        <w:rPr>
          <w:spacing w:val="1"/>
        </w:rPr>
        <w:t xml:space="preserve"> </w:t>
      </w:r>
      <w:r>
        <w:t>with</w:t>
      </w:r>
      <w:r>
        <w:rPr>
          <w:spacing w:val="1"/>
        </w:rPr>
        <w:t xml:space="preserve"> </w:t>
      </w:r>
      <w:r>
        <w:t>relevant</w:t>
      </w:r>
      <w:r>
        <w:rPr>
          <w:spacing w:val="-57"/>
        </w:rPr>
        <w:t xml:space="preserve"> </w:t>
      </w:r>
      <w:r>
        <w:t>stakeholders</w:t>
      </w:r>
      <w:r>
        <w:rPr>
          <w:spacing w:val="-6"/>
        </w:rPr>
        <w:t xml:space="preserve"> </w:t>
      </w:r>
      <w:r>
        <w:t>was</w:t>
      </w:r>
      <w:r>
        <w:rPr>
          <w:spacing w:val="-5"/>
        </w:rPr>
        <w:t xml:space="preserve"> </w:t>
      </w:r>
      <w:r>
        <w:t>carried</w:t>
      </w:r>
      <w:r>
        <w:rPr>
          <w:spacing w:val="-2"/>
        </w:rPr>
        <w:t xml:space="preserve"> </w:t>
      </w:r>
      <w:r>
        <w:t>out</w:t>
      </w:r>
      <w:r>
        <w:rPr>
          <w:spacing w:val="-6"/>
        </w:rPr>
        <w:t xml:space="preserve"> </w:t>
      </w:r>
      <w:r>
        <w:t>during</w:t>
      </w:r>
      <w:r>
        <w:rPr>
          <w:spacing w:val="-8"/>
        </w:rPr>
        <w:t xml:space="preserve"> </w:t>
      </w:r>
      <w:r>
        <w:t>programming</w:t>
      </w:r>
      <w:r>
        <w:rPr>
          <w:spacing w:val="-6"/>
        </w:rPr>
        <w:t xml:space="preserve"> </w:t>
      </w:r>
      <w:r>
        <w:t>in</w:t>
      </w:r>
      <w:r>
        <w:rPr>
          <w:spacing w:val="-2"/>
        </w:rPr>
        <w:t xml:space="preserve"> </w:t>
      </w:r>
      <w:r>
        <w:t>line</w:t>
      </w:r>
      <w:r>
        <w:rPr>
          <w:spacing w:val="-7"/>
        </w:rPr>
        <w:t xml:space="preserve"> </w:t>
      </w:r>
      <w:r>
        <w:t>with</w:t>
      </w:r>
      <w:r>
        <w:rPr>
          <w:spacing w:val="-5"/>
        </w:rPr>
        <w:t xml:space="preserve"> </w:t>
      </w:r>
      <w:r>
        <w:t>the</w:t>
      </w:r>
      <w:r>
        <w:rPr>
          <w:spacing w:val="-7"/>
        </w:rPr>
        <w:t xml:space="preserve"> </w:t>
      </w:r>
      <w:r>
        <w:t>requirements</w:t>
      </w:r>
      <w:r>
        <w:rPr>
          <w:spacing w:val="-5"/>
        </w:rPr>
        <w:t xml:space="preserve"> </w:t>
      </w:r>
      <w:r>
        <w:t>of</w:t>
      </w:r>
      <w:r>
        <w:rPr>
          <w:spacing w:val="-7"/>
        </w:rPr>
        <w:t xml:space="preserve"> </w:t>
      </w:r>
      <w:r>
        <w:t>ESI</w:t>
      </w:r>
      <w:r>
        <w:rPr>
          <w:spacing w:val="-8"/>
        </w:rPr>
        <w:t xml:space="preserve"> </w:t>
      </w:r>
      <w:r>
        <w:t>funds</w:t>
      </w:r>
      <w:r>
        <w:rPr>
          <w:spacing w:val="-4"/>
        </w:rPr>
        <w:t xml:space="preserve"> </w:t>
      </w:r>
      <w:r>
        <w:t>as</w:t>
      </w:r>
      <w:r>
        <w:rPr>
          <w:spacing w:val="-57"/>
        </w:rPr>
        <w:t xml:space="preserve"> </w:t>
      </w:r>
      <w:r>
        <w:t>well as the process of awarding EU funds. Regarding the introduction of national exams in</w:t>
      </w:r>
      <w:r>
        <w:rPr>
          <w:spacing w:val="1"/>
        </w:rPr>
        <w:t xml:space="preserve"> </w:t>
      </w:r>
      <w:r>
        <w:t>primary schools (pilot implementation), communication with key stakeholders is achieved</w:t>
      </w:r>
      <w:r>
        <w:rPr>
          <w:spacing w:val="1"/>
        </w:rPr>
        <w:t xml:space="preserve"> </w:t>
      </w:r>
      <w:r>
        <w:t>through</w:t>
      </w:r>
      <w:r>
        <w:rPr>
          <w:spacing w:val="-14"/>
        </w:rPr>
        <w:t xml:space="preserve"> </w:t>
      </w:r>
      <w:r>
        <w:t>eight</w:t>
      </w:r>
      <w:r>
        <w:rPr>
          <w:spacing w:val="-13"/>
        </w:rPr>
        <w:t xml:space="preserve"> </w:t>
      </w:r>
      <w:r>
        <w:t>expert</w:t>
      </w:r>
      <w:r>
        <w:rPr>
          <w:spacing w:val="-14"/>
        </w:rPr>
        <w:t xml:space="preserve"> </w:t>
      </w:r>
      <w:r>
        <w:t>working</w:t>
      </w:r>
      <w:r>
        <w:rPr>
          <w:spacing w:val="-13"/>
        </w:rPr>
        <w:t xml:space="preserve"> </w:t>
      </w:r>
      <w:r>
        <w:t>groups</w:t>
      </w:r>
      <w:r>
        <w:rPr>
          <w:spacing w:val="-13"/>
        </w:rPr>
        <w:t xml:space="preserve"> </w:t>
      </w:r>
      <w:r>
        <w:t>where</w:t>
      </w:r>
      <w:r>
        <w:rPr>
          <w:spacing w:val="-15"/>
        </w:rPr>
        <w:t xml:space="preserve"> </w:t>
      </w:r>
      <w:r>
        <w:t>members</w:t>
      </w:r>
      <w:r>
        <w:rPr>
          <w:spacing w:val="-14"/>
        </w:rPr>
        <w:t xml:space="preserve"> </w:t>
      </w:r>
      <w:r>
        <w:t>were</w:t>
      </w:r>
      <w:r>
        <w:rPr>
          <w:spacing w:val="-14"/>
        </w:rPr>
        <w:t xml:space="preserve"> </w:t>
      </w:r>
      <w:r>
        <w:t>selected</w:t>
      </w:r>
      <w:r>
        <w:rPr>
          <w:spacing w:val="-12"/>
        </w:rPr>
        <w:t xml:space="preserve"> </w:t>
      </w:r>
      <w:r>
        <w:t>based</w:t>
      </w:r>
      <w:r>
        <w:rPr>
          <w:spacing w:val="-13"/>
        </w:rPr>
        <w:t xml:space="preserve"> </w:t>
      </w:r>
      <w:r>
        <w:t>on</w:t>
      </w:r>
      <w:r>
        <w:rPr>
          <w:spacing w:val="-13"/>
        </w:rPr>
        <w:t xml:space="preserve"> </w:t>
      </w:r>
      <w:r>
        <w:t>a</w:t>
      </w:r>
      <w:r>
        <w:rPr>
          <w:spacing w:val="-13"/>
        </w:rPr>
        <w:t xml:space="preserve"> </w:t>
      </w:r>
      <w:r>
        <w:t>public</w:t>
      </w:r>
      <w:r>
        <w:rPr>
          <w:spacing w:val="-14"/>
        </w:rPr>
        <w:t xml:space="preserve"> </w:t>
      </w:r>
      <w:r>
        <w:t>call.</w:t>
      </w:r>
      <w:r>
        <w:rPr>
          <w:spacing w:val="-13"/>
        </w:rPr>
        <w:t xml:space="preserve"> </w:t>
      </w:r>
      <w:r>
        <w:t>Their</w:t>
      </w:r>
      <w:r>
        <w:rPr>
          <w:spacing w:val="-58"/>
        </w:rPr>
        <w:t xml:space="preserve"> </w:t>
      </w:r>
      <w:r>
        <w:t>task is to prepare national exams and supporting materials. After implementing the national</w:t>
      </w:r>
      <w:r>
        <w:rPr>
          <w:spacing w:val="1"/>
        </w:rPr>
        <w:t xml:space="preserve"> </w:t>
      </w:r>
      <w:r>
        <w:t>exams, further communication activities will be carried out concerning the exam results at</w:t>
      </w:r>
      <w:r>
        <w:rPr>
          <w:spacing w:val="1"/>
        </w:rPr>
        <w:t xml:space="preserve"> </w:t>
      </w:r>
      <w:r>
        <w:t>different</w:t>
      </w:r>
      <w:r>
        <w:rPr>
          <w:spacing w:val="-9"/>
        </w:rPr>
        <w:t xml:space="preserve"> </w:t>
      </w:r>
      <w:r>
        <w:t>levels;</w:t>
      </w:r>
      <w:r>
        <w:rPr>
          <w:spacing w:val="-10"/>
        </w:rPr>
        <w:t xml:space="preserve"> </w:t>
      </w:r>
      <w:r>
        <w:t>pupils,</w:t>
      </w:r>
      <w:r>
        <w:rPr>
          <w:spacing w:val="-11"/>
        </w:rPr>
        <w:t xml:space="preserve"> </w:t>
      </w:r>
      <w:r>
        <w:t>schools,</w:t>
      </w:r>
      <w:r>
        <w:rPr>
          <w:spacing w:val="-11"/>
        </w:rPr>
        <w:t xml:space="preserve"> </w:t>
      </w:r>
      <w:r>
        <w:t>institutions</w:t>
      </w:r>
      <w:r>
        <w:rPr>
          <w:spacing w:val="-10"/>
        </w:rPr>
        <w:t xml:space="preserve"> </w:t>
      </w:r>
      <w:r>
        <w:t>within</w:t>
      </w:r>
      <w:r>
        <w:rPr>
          <w:spacing w:val="-11"/>
        </w:rPr>
        <w:t xml:space="preserve"> </w:t>
      </w:r>
      <w:r>
        <w:t>the</w:t>
      </w:r>
      <w:r>
        <w:rPr>
          <w:spacing w:val="-11"/>
        </w:rPr>
        <w:t xml:space="preserve"> </w:t>
      </w:r>
      <w:r>
        <w:t>education</w:t>
      </w:r>
      <w:r>
        <w:rPr>
          <w:spacing w:val="-11"/>
        </w:rPr>
        <w:t xml:space="preserve"> </w:t>
      </w:r>
      <w:r>
        <w:t>system</w:t>
      </w:r>
      <w:r>
        <w:rPr>
          <w:spacing w:val="-9"/>
        </w:rPr>
        <w:t xml:space="preserve"> </w:t>
      </w:r>
      <w:r>
        <w:t>and</w:t>
      </w:r>
      <w:r>
        <w:rPr>
          <w:spacing w:val="-9"/>
        </w:rPr>
        <w:t xml:space="preserve"> </w:t>
      </w:r>
      <w:r>
        <w:t>the</w:t>
      </w:r>
      <w:r>
        <w:rPr>
          <w:spacing w:val="-12"/>
        </w:rPr>
        <w:t xml:space="preserve"> </w:t>
      </w:r>
      <w:r>
        <w:t>general</w:t>
      </w:r>
      <w:r>
        <w:rPr>
          <w:spacing w:val="-11"/>
        </w:rPr>
        <w:t xml:space="preserve"> </w:t>
      </w:r>
      <w:r>
        <w:t>public.</w:t>
      </w:r>
    </w:p>
    <w:p w:rsidR="00A56FE9" w:rsidRDefault="00CC1B9B">
      <w:pPr>
        <w:pStyle w:val="Tijeloteksta"/>
        <w:spacing w:before="7"/>
        <w:ind w:left="0"/>
        <w:jc w:val="left"/>
        <w:rPr>
          <w:sz w:val="13"/>
        </w:rPr>
      </w:pPr>
      <w:r>
        <w:rPr>
          <w:noProof/>
        </w:rPr>
        <mc:AlternateContent>
          <mc:Choice Requires="wps">
            <w:drawing>
              <wp:anchor distT="0" distB="0" distL="0" distR="0" simplePos="0" relativeHeight="487709696" behindDoc="1" locked="0" layoutInCell="1" allowOverlap="1">
                <wp:simplePos x="0" y="0"/>
                <wp:positionH relativeFrom="page">
                  <wp:posOffset>882650</wp:posOffset>
                </wp:positionH>
                <wp:positionV relativeFrom="paragraph">
                  <wp:posOffset>123825</wp:posOffset>
                </wp:positionV>
                <wp:extent cx="574675" cy="18415"/>
                <wp:effectExtent l="0" t="0" r="0" b="0"/>
                <wp:wrapTopAndBottom/>
                <wp:docPr id="114678324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611FC" id="Rectangle 9" o:spid="_x0000_s1026" style="position:absolute;margin-left:69.5pt;margin-top:9.75pt;width:45.25pt;height:1.45pt;z-index:-15606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" fillcolor="#2c398a" stroked="f">
                <w10:wrap type="topAndBottom" anchorx="page"/>
              </v:rect>
            </w:pict>
          </mc:Fallback>
        </mc:AlternateContent>
      </w:r>
    </w:p>
    <w:p w:rsidR="00A56FE9" w:rsidRDefault="00A56FE9">
      <w:pPr>
        <w:rPr>
          <w:sz w:val="13"/>
        </w:rPr>
        <w:sectPr w:rsidR="00A56FE9" w:rsidSect="00AB1E70">
          <w:pgSz w:w="11910" w:h="16840"/>
          <w:pgMar w:top="1320" w:right="1140" w:bottom="960" w:left="1280" w:header="0" w:footer="779" w:gutter="0"/>
          <w:cols w:space="720"/>
        </w:sectPr>
      </w:pPr>
    </w:p>
    <w:p w:rsidR="00A56FE9" w:rsidRDefault="00000000">
      <w:pPr>
        <w:pStyle w:val="Tijeloteksta"/>
        <w:spacing w:before="74"/>
        <w:ind w:right="268"/>
      </w:pPr>
      <w:r>
        <w:t>Implementation of planned reform and investment measures within NRPP component C4.</w:t>
      </w:r>
      <w:r>
        <w:rPr>
          <w:spacing w:val="1"/>
        </w:rPr>
        <w:t xml:space="preserve"> </w:t>
      </w:r>
      <w:r>
        <w:t>Labour Market and Social Protection implies an active approach from a significant number of</w:t>
      </w:r>
      <w:r>
        <w:rPr>
          <w:spacing w:val="1"/>
        </w:rPr>
        <w:t xml:space="preserve"> </w:t>
      </w:r>
      <w:r>
        <w:t>stakeholders.</w:t>
      </w:r>
      <w:r>
        <w:rPr>
          <w:spacing w:val="1"/>
        </w:rPr>
        <w:t xml:space="preserve"> </w:t>
      </w:r>
      <w:r>
        <w:t>Social</w:t>
      </w:r>
      <w:r>
        <w:rPr>
          <w:spacing w:val="1"/>
        </w:rPr>
        <w:t xml:space="preserve"> </w:t>
      </w:r>
      <w:r>
        <w:t>welfare</w:t>
      </w:r>
      <w:r>
        <w:rPr>
          <w:spacing w:val="1"/>
        </w:rPr>
        <w:t xml:space="preserve"> </w:t>
      </w:r>
      <w:r>
        <w:t>centres,</w:t>
      </w:r>
      <w:r>
        <w:rPr>
          <w:spacing w:val="1"/>
        </w:rPr>
        <w:t xml:space="preserve"> </w:t>
      </w:r>
      <w:r>
        <w:t>family</w:t>
      </w:r>
      <w:r>
        <w:rPr>
          <w:spacing w:val="1"/>
        </w:rPr>
        <w:t xml:space="preserve"> </w:t>
      </w:r>
      <w:r>
        <w:t>centres</w:t>
      </w:r>
      <w:r>
        <w:rPr>
          <w:spacing w:val="1"/>
        </w:rPr>
        <w:t xml:space="preserve"> </w:t>
      </w:r>
      <w:r>
        <w:t>and</w:t>
      </w:r>
      <w:r>
        <w:rPr>
          <w:spacing w:val="1"/>
        </w:rPr>
        <w:t xml:space="preserve"> </w:t>
      </w:r>
      <w:r>
        <w:t>social</w:t>
      </w:r>
      <w:r>
        <w:rPr>
          <w:spacing w:val="1"/>
        </w:rPr>
        <w:t xml:space="preserve"> </w:t>
      </w:r>
      <w:r>
        <w:t>service</w:t>
      </w:r>
      <w:r>
        <w:rPr>
          <w:spacing w:val="1"/>
        </w:rPr>
        <w:t xml:space="preserve"> </w:t>
      </w:r>
      <w:r>
        <w:t>providers</w:t>
      </w:r>
      <w:r>
        <w:rPr>
          <w:spacing w:val="1"/>
        </w:rPr>
        <w:t xml:space="preserve"> </w:t>
      </w:r>
      <w:r>
        <w:t>directly</w:t>
      </w:r>
      <w:r>
        <w:rPr>
          <w:spacing w:val="-57"/>
        </w:rPr>
        <w:t xml:space="preserve"> </w:t>
      </w:r>
      <w:r>
        <w:t>involved</w:t>
      </w:r>
      <w:r>
        <w:rPr>
          <w:spacing w:val="-6"/>
        </w:rPr>
        <w:t xml:space="preserve"> </w:t>
      </w:r>
      <w:r>
        <w:t>in</w:t>
      </w:r>
      <w:r>
        <w:rPr>
          <w:spacing w:val="-6"/>
        </w:rPr>
        <w:t xml:space="preserve"> </w:t>
      </w:r>
      <w:r>
        <w:t>providing</w:t>
      </w:r>
      <w:r>
        <w:rPr>
          <w:spacing w:val="-6"/>
        </w:rPr>
        <w:t xml:space="preserve"> </w:t>
      </w:r>
      <w:r>
        <w:t>social</w:t>
      </w:r>
      <w:r>
        <w:rPr>
          <w:spacing w:val="-6"/>
        </w:rPr>
        <w:t xml:space="preserve"> </w:t>
      </w:r>
      <w:r>
        <w:t>services</w:t>
      </w:r>
      <w:r>
        <w:rPr>
          <w:spacing w:val="-4"/>
        </w:rPr>
        <w:t xml:space="preserve"> </w:t>
      </w:r>
      <w:r>
        <w:t>through</w:t>
      </w:r>
      <w:r>
        <w:rPr>
          <w:spacing w:val="-6"/>
        </w:rPr>
        <w:t xml:space="preserve"> </w:t>
      </w:r>
      <w:r>
        <w:t>direct</w:t>
      </w:r>
      <w:r>
        <w:rPr>
          <w:spacing w:val="-3"/>
        </w:rPr>
        <w:t xml:space="preserve"> </w:t>
      </w:r>
      <w:r>
        <w:t>contact</w:t>
      </w:r>
      <w:r>
        <w:rPr>
          <w:spacing w:val="-6"/>
        </w:rPr>
        <w:t xml:space="preserve"> </w:t>
      </w:r>
      <w:r>
        <w:t>with</w:t>
      </w:r>
      <w:r>
        <w:rPr>
          <w:spacing w:val="-5"/>
        </w:rPr>
        <w:t xml:space="preserve"> </w:t>
      </w:r>
      <w:r>
        <w:t>beneficiaries</w:t>
      </w:r>
      <w:r>
        <w:rPr>
          <w:spacing w:val="-6"/>
        </w:rPr>
        <w:t xml:space="preserve"> </w:t>
      </w:r>
      <w:r>
        <w:t>and</w:t>
      </w:r>
      <w:r>
        <w:rPr>
          <w:spacing w:val="-6"/>
        </w:rPr>
        <w:t xml:space="preserve"> </w:t>
      </w:r>
      <w:r>
        <w:t>the</w:t>
      </w:r>
      <w:r>
        <w:rPr>
          <w:spacing w:val="-5"/>
        </w:rPr>
        <w:t xml:space="preserve"> </w:t>
      </w:r>
      <w:r>
        <w:t>Croatian</w:t>
      </w:r>
      <w:r>
        <w:rPr>
          <w:spacing w:val="-58"/>
        </w:rPr>
        <w:t xml:space="preserve"> </w:t>
      </w:r>
      <w:r>
        <w:t>Employment</w:t>
      </w:r>
      <w:r>
        <w:rPr>
          <w:spacing w:val="-1"/>
        </w:rPr>
        <w:t xml:space="preserve"> </w:t>
      </w:r>
      <w:r>
        <w:t>Service</w:t>
      </w:r>
      <w:r>
        <w:rPr>
          <w:spacing w:val="-2"/>
        </w:rPr>
        <w:t xml:space="preserve"> </w:t>
      </w:r>
      <w:r>
        <w:t>(CES/HZZ)</w:t>
      </w:r>
      <w:r>
        <w:rPr>
          <w:spacing w:val="-1"/>
        </w:rPr>
        <w:t xml:space="preserve"> </w:t>
      </w:r>
      <w:r>
        <w:t>have</w:t>
      </w:r>
      <w:r>
        <w:rPr>
          <w:spacing w:val="-2"/>
        </w:rPr>
        <w:t xml:space="preserve"> </w:t>
      </w:r>
      <w:r>
        <w:t>a</w:t>
      </w:r>
      <w:r>
        <w:rPr>
          <w:spacing w:val="-2"/>
        </w:rPr>
        <w:t xml:space="preserve"> </w:t>
      </w:r>
      <w:r>
        <w:t>key</w:t>
      </w:r>
      <w:r>
        <w:rPr>
          <w:spacing w:val="-5"/>
        </w:rPr>
        <w:t xml:space="preserve"> </w:t>
      </w:r>
      <w:r>
        <w:t>role</w:t>
      </w:r>
      <w:r>
        <w:rPr>
          <w:spacing w:val="-1"/>
        </w:rPr>
        <w:t xml:space="preserve"> </w:t>
      </w:r>
      <w:r>
        <w:t>in preventing</w:t>
      </w:r>
      <w:r>
        <w:rPr>
          <w:spacing w:val="-2"/>
        </w:rPr>
        <w:t xml:space="preserve"> </w:t>
      </w:r>
      <w:r>
        <w:t>the</w:t>
      </w:r>
      <w:r>
        <w:rPr>
          <w:spacing w:val="-2"/>
        </w:rPr>
        <w:t xml:space="preserve"> </w:t>
      </w:r>
      <w:r>
        <w:t>social exclusion</w:t>
      </w:r>
      <w:r>
        <w:rPr>
          <w:spacing w:val="-1"/>
        </w:rPr>
        <w:t xml:space="preserve"> </w:t>
      </w:r>
      <w:r>
        <w:t>of</w:t>
      </w:r>
      <w:r>
        <w:rPr>
          <w:spacing w:val="-2"/>
        </w:rPr>
        <w:t xml:space="preserve"> </w:t>
      </w:r>
      <w:r>
        <w:t>socially</w:t>
      </w:r>
      <w:r>
        <w:rPr>
          <w:spacing w:val="-57"/>
        </w:rPr>
        <w:t xml:space="preserve"> </w:t>
      </w:r>
      <w:r>
        <w:t>vulnerable groups so as to integrate socially vulnerable groups into the labour market more</w:t>
      </w:r>
      <w:r>
        <w:rPr>
          <w:spacing w:val="1"/>
        </w:rPr>
        <w:t xml:space="preserve"> </w:t>
      </w:r>
      <w:r>
        <w:t>successfully. There are currently 20 family centres operating as branches of social welfare</w:t>
      </w:r>
      <w:r>
        <w:rPr>
          <w:spacing w:val="1"/>
        </w:rPr>
        <w:t xml:space="preserve"> </w:t>
      </w:r>
      <w:r>
        <w:t>centres, and the new Social Welfare Act guarantees their independence. The plan is to help</w:t>
      </w:r>
      <w:r>
        <w:rPr>
          <w:spacing w:val="1"/>
        </w:rPr>
        <w:t xml:space="preserve"> </w:t>
      </w:r>
      <w:r>
        <w:t>family</w:t>
      </w:r>
      <w:r>
        <w:rPr>
          <w:spacing w:val="-14"/>
        </w:rPr>
        <w:t xml:space="preserve"> </w:t>
      </w:r>
      <w:r>
        <w:t>centres</w:t>
      </w:r>
      <w:r>
        <w:rPr>
          <w:spacing w:val="-10"/>
        </w:rPr>
        <w:t xml:space="preserve"> </w:t>
      </w:r>
      <w:r>
        <w:t>implement</w:t>
      </w:r>
      <w:r>
        <w:rPr>
          <w:spacing w:val="-11"/>
        </w:rPr>
        <w:t xml:space="preserve"> </w:t>
      </w:r>
      <w:r>
        <w:t>prevention</w:t>
      </w:r>
      <w:r>
        <w:rPr>
          <w:spacing w:val="-11"/>
        </w:rPr>
        <w:t xml:space="preserve"> </w:t>
      </w:r>
      <w:r>
        <w:t>programs,</w:t>
      </w:r>
      <w:r>
        <w:rPr>
          <w:spacing w:val="-10"/>
        </w:rPr>
        <w:t xml:space="preserve"> </w:t>
      </w:r>
      <w:r>
        <w:t>individual</w:t>
      </w:r>
      <w:r>
        <w:rPr>
          <w:spacing w:val="-12"/>
        </w:rPr>
        <w:t xml:space="preserve"> </w:t>
      </w:r>
      <w:r>
        <w:t>and</w:t>
      </w:r>
      <w:r>
        <w:rPr>
          <w:spacing w:val="-9"/>
        </w:rPr>
        <w:t xml:space="preserve"> </w:t>
      </w:r>
      <w:r>
        <w:t>group</w:t>
      </w:r>
      <w:r>
        <w:rPr>
          <w:spacing w:val="-9"/>
        </w:rPr>
        <w:t xml:space="preserve"> </w:t>
      </w:r>
      <w:r>
        <w:t>counselling,</w:t>
      </w:r>
      <w:r>
        <w:rPr>
          <w:spacing w:val="-12"/>
        </w:rPr>
        <w:t xml:space="preserve"> </w:t>
      </w:r>
      <w:r>
        <w:t>psychosocial</w:t>
      </w:r>
      <w:r>
        <w:rPr>
          <w:spacing w:val="-57"/>
        </w:rPr>
        <w:t xml:space="preserve"> </w:t>
      </w:r>
      <w:r>
        <w:t>treatment to prevent domestic violence, family mediation, structured treatments, education of</w:t>
      </w:r>
      <w:r>
        <w:rPr>
          <w:spacing w:val="1"/>
        </w:rPr>
        <w:t xml:space="preserve"> </w:t>
      </w:r>
      <w:r>
        <w:t>potential adoptive parents, the education of parents for more successful parenting and raising</w:t>
      </w:r>
      <w:r>
        <w:rPr>
          <w:spacing w:val="1"/>
        </w:rPr>
        <w:t xml:space="preserve"> </w:t>
      </w:r>
      <w:r>
        <w:t>the quality of family life for children, youth and families at risk. In providing these services,</w:t>
      </w:r>
      <w:r>
        <w:rPr>
          <w:spacing w:val="1"/>
        </w:rPr>
        <w:t xml:space="preserve"> </w:t>
      </w:r>
      <w:r>
        <w:t>family</w:t>
      </w:r>
      <w:r>
        <w:rPr>
          <w:spacing w:val="1"/>
        </w:rPr>
        <w:t xml:space="preserve"> </w:t>
      </w:r>
      <w:r>
        <w:t>centres</w:t>
      </w:r>
      <w:r>
        <w:rPr>
          <w:spacing w:val="1"/>
        </w:rPr>
        <w:t xml:space="preserve"> </w:t>
      </w:r>
      <w:r>
        <w:t>play</w:t>
      </w:r>
      <w:r>
        <w:rPr>
          <w:spacing w:val="1"/>
        </w:rPr>
        <w:t xml:space="preserve"> </w:t>
      </w:r>
      <w:r>
        <w:t>a</w:t>
      </w:r>
      <w:r>
        <w:rPr>
          <w:spacing w:val="1"/>
        </w:rPr>
        <w:t xml:space="preserve"> </w:t>
      </w:r>
      <w:r>
        <w:t>significant</w:t>
      </w:r>
      <w:r>
        <w:rPr>
          <w:spacing w:val="1"/>
        </w:rPr>
        <w:t xml:space="preserve"> </w:t>
      </w:r>
      <w:r>
        <w:t>role</w:t>
      </w:r>
      <w:r>
        <w:rPr>
          <w:spacing w:val="1"/>
        </w:rPr>
        <w:t xml:space="preserve"> </w:t>
      </w:r>
      <w:r>
        <w:t>in</w:t>
      </w:r>
      <w:r>
        <w:rPr>
          <w:spacing w:val="1"/>
        </w:rPr>
        <w:t xml:space="preserve"> </w:t>
      </w:r>
      <w:r>
        <w:t>de-institutionalisation</w:t>
      </w:r>
      <w:r>
        <w:rPr>
          <w:spacing w:val="1"/>
        </w:rPr>
        <w:t xml:space="preserve"> </w:t>
      </w:r>
      <w:r>
        <w:t>and</w:t>
      </w:r>
      <w:r>
        <w:rPr>
          <w:spacing w:val="1"/>
        </w:rPr>
        <w:t xml:space="preserve"> </w:t>
      </w:r>
      <w:r>
        <w:t>transformation</w:t>
      </w:r>
      <w:r>
        <w:rPr>
          <w:spacing w:val="1"/>
        </w:rPr>
        <w:t xml:space="preserve"> </w:t>
      </w:r>
      <w:r>
        <w:t>and</w:t>
      </w:r>
      <w:r>
        <w:rPr>
          <w:spacing w:val="1"/>
        </w:rPr>
        <w:t xml:space="preserve"> </w:t>
      </w:r>
      <w:r>
        <w:t>preventing institutionalisation; hence the plan is to hire 40 new experts under the investment</w:t>
      </w:r>
      <w:r>
        <w:rPr>
          <w:spacing w:val="1"/>
        </w:rPr>
        <w:t xml:space="preserve"> </w:t>
      </w:r>
      <w:r>
        <w:t>measure Strengthening the Capacity of Professionals to provide services in the community.</w:t>
      </w:r>
      <w:r>
        <w:rPr>
          <w:spacing w:val="1"/>
        </w:rPr>
        <w:t xml:space="preserve"> </w:t>
      </w:r>
      <w:r>
        <w:t>Ensuring the sustainability of community support services, without which it is impossible to</w:t>
      </w:r>
      <w:r>
        <w:rPr>
          <w:spacing w:val="1"/>
        </w:rPr>
        <w:t xml:space="preserve"> </w:t>
      </w:r>
      <w:r>
        <w:t>ensure</w:t>
      </w:r>
      <w:r>
        <w:rPr>
          <w:spacing w:val="1"/>
        </w:rPr>
        <w:t xml:space="preserve"> </w:t>
      </w:r>
      <w:r>
        <w:t>continuity</w:t>
      </w:r>
      <w:r>
        <w:rPr>
          <w:spacing w:val="1"/>
        </w:rPr>
        <w:t xml:space="preserve"> </w:t>
      </w:r>
      <w:r>
        <w:t>of</w:t>
      </w:r>
      <w:r>
        <w:rPr>
          <w:spacing w:val="1"/>
        </w:rPr>
        <w:t xml:space="preserve"> </w:t>
      </w:r>
      <w:r>
        <w:t>deinstitutionalisation</w:t>
      </w:r>
      <w:r>
        <w:rPr>
          <w:spacing w:val="1"/>
        </w:rPr>
        <w:t xml:space="preserve"> </w:t>
      </w:r>
      <w:r>
        <w:t>and</w:t>
      </w:r>
      <w:r>
        <w:rPr>
          <w:spacing w:val="1"/>
        </w:rPr>
        <w:t xml:space="preserve"> </w:t>
      </w:r>
      <w:r>
        <w:t>prevention</w:t>
      </w:r>
      <w:r>
        <w:rPr>
          <w:spacing w:val="1"/>
        </w:rPr>
        <w:t xml:space="preserve"> </w:t>
      </w:r>
      <w:r>
        <w:t>of</w:t>
      </w:r>
      <w:r>
        <w:rPr>
          <w:spacing w:val="1"/>
        </w:rPr>
        <w:t xml:space="preserve"> </w:t>
      </w:r>
      <w:r>
        <w:t>institutionalisation,</w:t>
      </w:r>
      <w:r>
        <w:rPr>
          <w:spacing w:val="1"/>
        </w:rPr>
        <w:t xml:space="preserve"> </w:t>
      </w:r>
      <w:r>
        <w:t>requires</w:t>
      </w:r>
      <w:r>
        <w:rPr>
          <w:spacing w:val="1"/>
        </w:rPr>
        <w:t xml:space="preserve"> </w:t>
      </w:r>
      <w:r>
        <w:rPr>
          <w:spacing w:val="-1"/>
        </w:rPr>
        <w:t>employing</w:t>
      </w:r>
      <w:r>
        <w:rPr>
          <w:spacing w:val="-15"/>
        </w:rPr>
        <w:t xml:space="preserve"> </w:t>
      </w:r>
      <w:r>
        <w:t>and</w:t>
      </w:r>
      <w:r>
        <w:rPr>
          <w:spacing w:val="-15"/>
        </w:rPr>
        <w:t xml:space="preserve"> </w:t>
      </w:r>
      <w:r>
        <w:t>educating</w:t>
      </w:r>
      <w:r>
        <w:rPr>
          <w:spacing w:val="-14"/>
        </w:rPr>
        <w:t xml:space="preserve"> </w:t>
      </w:r>
      <w:r>
        <w:t>leaders,</w:t>
      </w:r>
      <w:r>
        <w:rPr>
          <w:spacing w:val="-12"/>
        </w:rPr>
        <w:t xml:space="preserve"> </w:t>
      </w:r>
      <w:r>
        <w:t>family</w:t>
      </w:r>
      <w:r>
        <w:rPr>
          <w:spacing w:val="-20"/>
        </w:rPr>
        <w:t xml:space="preserve"> </w:t>
      </w:r>
      <w:r>
        <w:t>associates</w:t>
      </w:r>
      <w:r>
        <w:rPr>
          <w:spacing w:val="-12"/>
        </w:rPr>
        <w:t xml:space="preserve"> </w:t>
      </w:r>
      <w:r>
        <w:t>and</w:t>
      </w:r>
      <w:r>
        <w:rPr>
          <w:spacing w:val="-14"/>
        </w:rPr>
        <w:t xml:space="preserve"> </w:t>
      </w:r>
      <w:r>
        <w:t>other</w:t>
      </w:r>
      <w:r>
        <w:rPr>
          <w:spacing w:val="-16"/>
        </w:rPr>
        <w:t xml:space="preserve"> </w:t>
      </w:r>
      <w:r>
        <w:t>professionals</w:t>
      </w:r>
      <w:r>
        <w:rPr>
          <w:spacing w:val="-14"/>
        </w:rPr>
        <w:t xml:space="preserve"> </w:t>
      </w:r>
      <w:r>
        <w:t>in</w:t>
      </w:r>
      <w:r>
        <w:rPr>
          <w:spacing w:val="-15"/>
        </w:rPr>
        <w:t xml:space="preserve"> </w:t>
      </w:r>
      <w:r>
        <w:t>social</w:t>
      </w:r>
      <w:r>
        <w:rPr>
          <w:spacing w:val="-11"/>
        </w:rPr>
        <w:t xml:space="preserve"> </w:t>
      </w:r>
      <w:r>
        <w:t>care</w:t>
      </w:r>
      <w:r>
        <w:rPr>
          <w:spacing w:val="-16"/>
        </w:rPr>
        <w:t xml:space="preserve"> </w:t>
      </w:r>
      <w:r>
        <w:t>homes</w:t>
      </w:r>
      <w:r>
        <w:rPr>
          <w:spacing w:val="-58"/>
        </w:rPr>
        <w:t xml:space="preserve"> </w:t>
      </w:r>
      <w:r>
        <w:t>who work directly with beneficiaries. To implement the planned activities in a quality and</w:t>
      </w:r>
      <w:r>
        <w:rPr>
          <w:spacing w:val="1"/>
        </w:rPr>
        <w:t xml:space="preserve"> </w:t>
      </w:r>
      <w:r>
        <w:t>timely</w:t>
      </w:r>
      <w:r>
        <w:rPr>
          <w:spacing w:val="1"/>
        </w:rPr>
        <w:t xml:space="preserve"> </w:t>
      </w:r>
      <w:r>
        <w:t>manner,</w:t>
      </w:r>
      <w:r>
        <w:rPr>
          <w:spacing w:val="1"/>
        </w:rPr>
        <w:t xml:space="preserve"> </w:t>
      </w:r>
      <w:r>
        <w:t>social</w:t>
      </w:r>
      <w:r>
        <w:rPr>
          <w:spacing w:val="1"/>
        </w:rPr>
        <w:t xml:space="preserve"> </w:t>
      </w:r>
      <w:r>
        <w:t>care</w:t>
      </w:r>
      <w:r>
        <w:rPr>
          <w:spacing w:val="1"/>
        </w:rPr>
        <w:t xml:space="preserve"> </w:t>
      </w:r>
      <w:r>
        <w:t>homes</w:t>
      </w:r>
      <w:r>
        <w:rPr>
          <w:spacing w:val="1"/>
        </w:rPr>
        <w:t xml:space="preserve"> </w:t>
      </w:r>
      <w:r>
        <w:t>will</w:t>
      </w:r>
      <w:r>
        <w:rPr>
          <w:spacing w:val="1"/>
        </w:rPr>
        <w:t xml:space="preserve"> </w:t>
      </w:r>
      <w:r>
        <w:t>be</w:t>
      </w:r>
      <w:r>
        <w:rPr>
          <w:spacing w:val="1"/>
        </w:rPr>
        <w:t xml:space="preserve"> </w:t>
      </w:r>
      <w:r>
        <w:t>provided</w:t>
      </w:r>
      <w:r>
        <w:rPr>
          <w:spacing w:val="1"/>
        </w:rPr>
        <w:t xml:space="preserve"> </w:t>
      </w:r>
      <w:r>
        <w:t>with</w:t>
      </w:r>
      <w:r>
        <w:rPr>
          <w:spacing w:val="1"/>
        </w:rPr>
        <w:t xml:space="preserve"> </w:t>
      </w:r>
      <w:r>
        <w:t>continuous</w:t>
      </w:r>
      <w:r>
        <w:rPr>
          <w:spacing w:val="1"/>
        </w:rPr>
        <w:t xml:space="preserve"> </w:t>
      </w:r>
      <w:r>
        <w:t>support,</w:t>
      </w:r>
      <w:r>
        <w:rPr>
          <w:spacing w:val="1"/>
        </w:rPr>
        <w:t xml:space="preserve"> </w:t>
      </w:r>
      <w:r>
        <w:t>with</w:t>
      </w:r>
      <w:r>
        <w:rPr>
          <w:spacing w:val="1"/>
        </w:rPr>
        <w:t xml:space="preserve"> </w:t>
      </w:r>
      <w:r>
        <w:t>the</w:t>
      </w:r>
      <w:r>
        <w:rPr>
          <w:spacing w:val="1"/>
        </w:rPr>
        <w:t xml:space="preserve"> </w:t>
      </w:r>
      <w:r>
        <w:t>involvement</w:t>
      </w:r>
      <w:r>
        <w:rPr>
          <w:spacing w:val="1"/>
        </w:rPr>
        <w:t xml:space="preserve"> </w:t>
      </w:r>
      <w:r>
        <w:t>of</w:t>
      </w:r>
      <w:r>
        <w:rPr>
          <w:spacing w:val="1"/>
        </w:rPr>
        <w:t xml:space="preserve"> </w:t>
      </w:r>
      <w:r>
        <w:t>UNICEF.</w:t>
      </w:r>
      <w:r>
        <w:rPr>
          <w:spacing w:val="1"/>
        </w:rPr>
        <w:t xml:space="preserve"> </w:t>
      </w:r>
      <w:r>
        <w:t>Cooperation</w:t>
      </w:r>
      <w:r>
        <w:rPr>
          <w:spacing w:val="1"/>
        </w:rPr>
        <w:t xml:space="preserve"> </w:t>
      </w:r>
      <w:r>
        <w:t>between</w:t>
      </w:r>
      <w:r>
        <w:rPr>
          <w:spacing w:val="1"/>
        </w:rPr>
        <w:t xml:space="preserve"> </w:t>
      </w:r>
      <w:r>
        <w:t>social</w:t>
      </w:r>
      <w:r>
        <w:rPr>
          <w:spacing w:val="1"/>
        </w:rPr>
        <w:t xml:space="preserve"> </w:t>
      </w:r>
      <w:r>
        <w:t>welfare</w:t>
      </w:r>
      <w:r>
        <w:rPr>
          <w:spacing w:val="1"/>
        </w:rPr>
        <w:t xml:space="preserve"> </w:t>
      </w:r>
      <w:r>
        <w:t>centres</w:t>
      </w:r>
      <w:r>
        <w:rPr>
          <w:spacing w:val="1"/>
        </w:rPr>
        <w:t xml:space="preserve"> </w:t>
      </w:r>
      <w:r>
        <w:t>and</w:t>
      </w:r>
      <w:r>
        <w:rPr>
          <w:spacing w:val="1"/>
        </w:rPr>
        <w:t xml:space="preserve"> </w:t>
      </w:r>
      <w:r>
        <w:t>employment</w:t>
      </w:r>
      <w:r>
        <w:rPr>
          <w:spacing w:val="1"/>
        </w:rPr>
        <w:t xml:space="preserve"> </w:t>
      </w:r>
      <w:r>
        <w:t>services,</w:t>
      </w:r>
      <w:r>
        <w:rPr>
          <w:spacing w:val="-12"/>
        </w:rPr>
        <w:t xml:space="preserve"> </w:t>
      </w:r>
      <w:r>
        <w:t>including</w:t>
      </w:r>
      <w:r>
        <w:rPr>
          <w:spacing w:val="-13"/>
        </w:rPr>
        <w:t xml:space="preserve"> </w:t>
      </w:r>
      <w:r>
        <w:t>other</w:t>
      </w:r>
      <w:r>
        <w:rPr>
          <w:spacing w:val="-11"/>
        </w:rPr>
        <w:t xml:space="preserve"> </w:t>
      </w:r>
      <w:r>
        <w:t>relevant</w:t>
      </w:r>
      <w:r>
        <w:rPr>
          <w:spacing w:val="-11"/>
        </w:rPr>
        <w:t xml:space="preserve"> </w:t>
      </w:r>
      <w:r>
        <w:t>stakeholders</w:t>
      </w:r>
      <w:r>
        <w:rPr>
          <w:spacing w:val="-12"/>
        </w:rPr>
        <w:t xml:space="preserve"> </w:t>
      </w:r>
      <w:r>
        <w:t>in</w:t>
      </w:r>
      <w:r>
        <w:rPr>
          <w:spacing w:val="-12"/>
        </w:rPr>
        <w:t xml:space="preserve"> </w:t>
      </w:r>
      <w:r>
        <w:t>the</w:t>
      </w:r>
      <w:r>
        <w:rPr>
          <w:spacing w:val="-12"/>
        </w:rPr>
        <w:t xml:space="preserve"> </w:t>
      </w:r>
      <w:r>
        <w:t>local</w:t>
      </w:r>
      <w:r>
        <w:rPr>
          <w:spacing w:val="-11"/>
        </w:rPr>
        <w:t xml:space="preserve"> </w:t>
      </w:r>
      <w:r>
        <w:t>community,</w:t>
      </w:r>
      <w:r>
        <w:rPr>
          <w:spacing w:val="-12"/>
        </w:rPr>
        <w:t xml:space="preserve"> </w:t>
      </w:r>
      <w:r>
        <w:t>should</w:t>
      </w:r>
      <w:r>
        <w:rPr>
          <w:spacing w:val="-11"/>
        </w:rPr>
        <w:t xml:space="preserve"> </w:t>
      </w:r>
      <w:r>
        <w:t>also</w:t>
      </w:r>
      <w:r>
        <w:rPr>
          <w:spacing w:val="-11"/>
        </w:rPr>
        <w:t xml:space="preserve"> </w:t>
      </w:r>
      <w:r>
        <w:t>be</w:t>
      </w:r>
      <w:r>
        <w:rPr>
          <w:spacing w:val="-12"/>
        </w:rPr>
        <w:t xml:space="preserve"> </w:t>
      </w:r>
      <w:r>
        <w:t>improved</w:t>
      </w:r>
      <w:r>
        <w:rPr>
          <w:spacing w:val="-58"/>
        </w:rPr>
        <w:t xml:space="preserve"> </w:t>
      </w:r>
      <w:r>
        <w:t>to implement measures for the social inclusion of beneficiaries using joint case management.</w:t>
      </w:r>
      <w:r>
        <w:rPr>
          <w:spacing w:val="1"/>
        </w:rPr>
        <w:t xml:space="preserve"> </w:t>
      </w:r>
      <w:r>
        <w:t>Therefore, the plan is to introduce a social service involving social mentoring, i.e., educating</w:t>
      </w:r>
      <w:r>
        <w:rPr>
          <w:spacing w:val="1"/>
        </w:rPr>
        <w:t xml:space="preserve"> </w:t>
      </w:r>
      <w:r>
        <w:t>and employing 220 social mentors in 118 social welfare centres and the associated branch</w:t>
      </w:r>
      <w:r>
        <w:rPr>
          <w:spacing w:val="1"/>
        </w:rPr>
        <w:t xml:space="preserve"> </w:t>
      </w:r>
      <w:r>
        <w:t>offices. Furthermore, specialised counsellors in the Croatian Employment Service (CES) will</w:t>
      </w:r>
      <w:r>
        <w:rPr>
          <w:spacing w:val="1"/>
        </w:rPr>
        <w:t xml:space="preserve"> </w:t>
      </w:r>
      <w:r>
        <w:t>be appointed to undergo additional training in working with beneficiaries receiving social</w:t>
      </w:r>
      <w:r>
        <w:rPr>
          <w:spacing w:val="1"/>
        </w:rPr>
        <w:t xml:space="preserve"> </w:t>
      </w:r>
      <w:r>
        <w:rPr>
          <w:spacing w:val="-1"/>
        </w:rPr>
        <w:t>mentoring.</w:t>
      </w:r>
      <w:r>
        <w:rPr>
          <w:spacing w:val="-13"/>
        </w:rPr>
        <w:t xml:space="preserve"> </w:t>
      </w:r>
      <w:r>
        <w:rPr>
          <w:spacing w:val="-1"/>
        </w:rPr>
        <w:t>To</w:t>
      </w:r>
      <w:r>
        <w:rPr>
          <w:spacing w:val="-10"/>
        </w:rPr>
        <w:t xml:space="preserve"> </w:t>
      </w:r>
      <w:r>
        <w:rPr>
          <w:spacing w:val="-1"/>
        </w:rPr>
        <w:t>ensure</w:t>
      </w:r>
      <w:r>
        <w:rPr>
          <w:spacing w:val="-13"/>
        </w:rPr>
        <w:t xml:space="preserve"> </w:t>
      </w:r>
      <w:r>
        <w:t>full</w:t>
      </w:r>
      <w:r>
        <w:rPr>
          <w:spacing w:val="-10"/>
        </w:rPr>
        <w:t xml:space="preserve"> </w:t>
      </w:r>
      <w:r>
        <w:t>complementarity</w:t>
      </w:r>
      <w:r>
        <w:rPr>
          <w:spacing w:val="-17"/>
        </w:rPr>
        <w:t xml:space="preserve"> </w:t>
      </w:r>
      <w:r>
        <w:t>of</w:t>
      </w:r>
      <w:r>
        <w:rPr>
          <w:spacing w:val="-12"/>
        </w:rPr>
        <w:t xml:space="preserve"> </w:t>
      </w:r>
      <w:r>
        <w:t>services</w:t>
      </w:r>
      <w:r>
        <w:rPr>
          <w:spacing w:val="-10"/>
        </w:rPr>
        <w:t xml:space="preserve"> </w:t>
      </w:r>
      <w:r>
        <w:t>from</w:t>
      </w:r>
      <w:r>
        <w:rPr>
          <w:spacing w:val="-11"/>
        </w:rPr>
        <w:t xml:space="preserve"> </w:t>
      </w:r>
      <w:r>
        <w:t>both</w:t>
      </w:r>
      <w:r>
        <w:rPr>
          <w:spacing w:val="-12"/>
        </w:rPr>
        <w:t xml:space="preserve"> </w:t>
      </w:r>
      <w:r>
        <w:t>institutions,</w:t>
      </w:r>
      <w:r>
        <w:rPr>
          <w:spacing w:val="-12"/>
        </w:rPr>
        <w:t xml:space="preserve"> </w:t>
      </w:r>
      <w:r>
        <w:t>the</w:t>
      </w:r>
      <w:r>
        <w:rPr>
          <w:spacing w:val="-12"/>
        </w:rPr>
        <w:t xml:space="preserve"> </w:t>
      </w:r>
      <w:r>
        <w:t>plan</w:t>
      </w:r>
      <w:r>
        <w:rPr>
          <w:spacing w:val="-13"/>
        </w:rPr>
        <w:t xml:space="preserve"> </w:t>
      </w:r>
      <w:r>
        <w:t>is</w:t>
      </w:r>
      <w:r>
        <w:rPr>
          <w:spacing w:val="-10"/>
        </w:rPr>
        <w:t xml:space="preserve"> </w:t>
      </w:r>
      <w:r>
        <w:t>to</w:t>
      </w:r>
      <w:r>
        <w:rPr>
          <w:spacing w:val="-12"/>
        </w:rPr>
        <w:t xml:space="preserve"> </w:t>
      </w:r>
      <w:r>
        <w:t>draft</w:t>
      </w:r>
      <w:r>
        <w:rPr>
          <w:spacing w:val="-58"/>
        </w:rPr>
        <w:t xml:space="preserve"> </w:t>
      </w:r>
      <w:r>
        <w:t>rules and a protocol on cooperation between the CES and social welfare centres, further</w:t>
      </w:r>
      <w:r>
        <w:rPr>
          <w:spacing w:val="1"/>
        </w:rPr>
        <w:t xml:space="preserve"> </w:t>
      </w:r>
      <w:r>
        <w:t>improving cooperation with the relevant employment service in implementing social inclusion</w:t>
      </w:r>
      <w:r>
        <w:rPr>
          <w:spacing w:val="-57"/>
        </w:rPr>
        <w:t xml:space="preserve"> </w:t>
      </w:r>
      <w:r>
        <w:t>measures</w:t>
      </w:r>
      <w:r>
        <w:rPr>
          <w:spacing w:val="-1"/>
        </w:rPr>
        <w:t xml:space="preserve"> </w:t>
      </w:r>
      <w:r>
        <w:t>for socially</w:t>
      </w:r>
      <w:r>
        <w:rPr>
          <w:spacing w:val="-5"/>
        </w:rPr>
        <w:t xml:space="preserve"> </w:t>
      </w:r>
      <w:r>
        <w:t>vulnerable</w:t>
      </w:r>
      <w:r>
        <w:rPr>
          <w:spacing w:val="1"/>
        </w:rPr>
        <w:t xml:space="preserve"> </w:t>
      </w:r>
      <w:r>
        <w:t>groups.</w:t>
      </w:r>
    </w:p>
    <w:p w:rsidR="00A56FE9" w:rsidRDefault="00CC1B9B">
      <w:pPr>
        <w:pStyle w:val="Tijeloteksta"/>
        <w:spacing w:before="9"/>
        <w:ind w:left="0"/>
        <w:jc w:val="left"/>
        <w:rPr>
          <w:sz w:val="13"/>
        </w:rPr>
      </w:pPr>
      <w:r>
        <w:rPr>
          <w:noProof/>
        </w:rPr>
        <mc:AlternateContent>
          <mc:Choice Requires="wps">
            <w:drawing>
              <wp:anchor distT="0" distB="0" distL="0" distR="0" simplePos="0" relativeHeight="487710208" behindDoc="1" locked="0" layoutInCell="1" allowOverlap="1">
                <wp:simplePos x="0" y="0"/>
                <wp:positionH relativeFrom="page">
                  <wp:posOffset>882650</wp:posOffset>
                </wp:positionH>
                <wp:positionV relativeFrom="paragraph">
                  <wp:posOffset>125730</wp:posOffset>
                </wp:positionV>
                <wp:extent cx="574675" cy="18415"/>
                <wp:effectExtent l="0" t="0" r="0" b="0"/>
                <wp:wrapTopAndBottom/>
                <wp:docPr id="141208419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78CAE" id="Rectangle 8" o:spid="_x0000_s1026" style="position:absolute;margin-left:69.5pt;margin-top:9.9pt;width:45.25pt;height:1.45pt;z-index:-15606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72"/>
      </w:pPr>
      <w:r>
        <w:t>The health reforms incorporated in the NRRP were presented to the public on 12 May 2021.</w:t>
      </w:r>
      <w:r>
        <w:rPr>
          <w:spacing w:val="1"/>
        </w:rPr>
        <w:t xml:space="preserve"> </w:t>
      </w:r>
      <w:r>
        <w:t>Implementation of reforms requires the involvement of all relevant stakeholders in preparing</w:t>
      </w:r>
      <w:r>
        <w:rPr>
          <w:spacing w:val="1"/>
        </w:rPr>
        <w:t xml:space="preserve"> </w:t>
      </w:r>
      <w:r>
        <w:t>laws,</w:t>
      </w:r>
      <w:r>
        <w:rPr>
          <w:spacing w:val="-13"/>
        </w:rPr>
        <w:t xml:space="preserve"> </w:t>
      </w:r>
      <w:r>
        <w:t>bylaws</w:t>
      </w:r>
      <w:r>
        <w:rPr>
          <w:spacing w:val="-11"/>
        </w:rPr>
        <w:t xml:space="preserve"> </w:t>
      </w:r>
      <w:r>
        <w:t>and</w:t>
      </w:r>
      <w:r>
        <w:rPr>
          <w:spacing w:val="-12"/>
        </w:rPr>
        <w:t xml:space="preserve"> </w:t>
      </w:r>
      <w:r>
        <w:t>other</w:t>
      </w:r>
      <w:r>
        <w:rPr>
          <w:spacing w:val="-12"/>
        </w:rPr>
        <w:t xml:space="preserve"> </w:t>
      </w:r>
      <w:r>
        <w:t>regulations</w:t>
      </w:r>
      <w:r>
        <w:rPr>
          <w:spacing w:val="-10"/>
        </w:rPr>
        <w:t xml:space="preserve"> </w:t>
      </w:r>
      <w:r>
        <w:t>and</w:t>
      </w:r>
      <w:r>
        <w:rPr>
          <w:spacing w:val="-12"/>
        </w:rPr>
        <w:t xml:space="preserve"> </w:t>
      </w:r>
      <w:r>
        <w:t>acts</w:t>
      </w:r>
      <w:r>
        <w:rPr>
          <w:spacing w:val="-11"/>
        </w:rPr>
        <w:t xml:space="preserve"> </w:t>
      </w:r>
      <w:r>
        <w:t>in</w:t>
      </w:r>
      <w:r>
        <w:rPr>
          <w:spacing w:val="-13"/>
        </w:rPr>
        <w:t xml:space="preserve"> </w:t>
      </w:r>
      <w:r>
        <w:t>working</w:t>
      </w:r>
      <w:r>
        <w:rPr>
          <w:spacing w:val="-12"/>
        </w:rPr>
        <w:t xml:space="preserve"> </w:t>
      </w:r>
      <w:r>
        <w:t>groups</w:t>
      </w:r>
      <w:r>
        <w:rPr>
          <w:spacing w:val="-12"/>
        </w:rPr>
        <w:t xml:space="preserve"> </w:t>
      </w:r>
      <w:r>
        <w:t>focusing</w:t>
      </w:r>
      <w:r>
        <w:rPr>
          <w:spacing w:val="-11"/>
        </w:rPr>
        <w:t xml:space="preserve"> </w:t>
      </w:r>
      <w:r>
        <w:t>on</w:t>
      </w:r>
      <w:r>
        <w:rPr>
          <w:spacing w:val="-13"/>
        </w:rPr>
        <w:t xml:space="preserve"> </w:t>
      </w:r>
      <w:r>
        <w:t>specific</w:t>
      </w:r>
      <w:r>
        <w:rPr>
          <w:spacing w:val="-12"/>
        </w:rPr>
        <w:t xml:space="preserve"> </w:t>
      </w:r>
      <w:r>
        <w:t>professional</w:t>
      </w:r>
      <w:r>
        <w:rPr>
          <w:spacing w:val="-57"/>
        </w:rPr>
        <w:t xml:space="preserve"> </w:t>
      </w:r>
      <w:r>
        <w:t>topics. Also, the process of passing laws, other regulations and acts is subject to public</w:t>
      </w:r>
      <w:r>
        <w:rPr>
          <w:spacing w:val="1"/>
        </w:rPr>
        <w:t xml:space="preserve"> </w:t>
      </w:r>
      <w:r>
        <w:t>consultation</w:t>
      </w:r>
      <w:r>
        <w:rPr>
          <w:spacing w:val="-1"/>
        </w:rPr>
        <w:t xml:space="preserve"> </w:t>
      </w:r>
      <w:r>
        <w:t>procedures</w:t>
      </w:r>
      <w:r>
        <w:rPr>
          <w:spacing w:val="2"/>
        </w:rPr>
        <w:t xml:space="preserve"> </w:t>
      </w:r>
      <w:r>
        <w:t>with the</w:t>
      </w:r>
      <w:r>
        <w:rPr>
          <w:spacing w:val="-1"/>
        </w:rPr>
        <w:t xml:space="preserve"> </w:t>
      </w:r>
      <w:r>
        <w:t>interested public.</w:t>
      </w:r>
    </w:p>
    <w:p w:rsidR="00A56FE9" w:rsidRDefault="00CC1B9B">
      <w:pPr>
        <w:pStyle w:val="Tijeloteksta"/>
        <w:spacing w:before="10"/>
        <w:ind w:left="0"/>
        <w:jc w:val="left"/>
        <w:rPr>
          <w:sz w:val="13"/>
        </w:rPr>
      </w:pPr>
      <w:r>
        <w:rPr>
          <w:noProof/>
        </w:rPr>
        <mc:AlternateContent>
          <mc:Choice Requires="wps">
            <w:drawing>
              <wp:anchor distT="0" distB="0" distL="0" distR="0" simplePos="0" relativeHeight="487710720" behindDoc="1" locked="0" layoutInCell="1" allowOverlap="1">
                <wp:simplePos x="0" y="0"/>
                <wp:positionH relativeFrom="page">
                  <wp:posOffset>882650</wp:posOffset>
                </wp:positionH>
                <wp:positionV relativeFrom="paragraph">
                  <wp:posOffset>126365</wp:posOffset>
                </wp:positionV>
                <wp:extent cx="574675" cy="18415"/>
                <wp:effectExtent l="0" t="0" r="0" b="0"/>
                <wp:wrapTopAndBottom/>
                <wp:docPr id="16565137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675" cy="18415"/>
                        </a:xfrm>
                        <a:prstGeom prst="rect">
                          <a:avLst/>
                        </a:prstGeom>
                        <a:solidFill>
                          <a:srgbClr val="2C398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5B2B0" id="Rectangle 7" o:spid="_x0000_s1026" style="position:absolute;margin-left:69.5pt;margin-top:9.95pt;width:45.25pt;height:1.45pt;z-index:-15605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" fillcolor="#2c398a" stroked="f">
                <w10:wrap type="topAndBottom" anchorx="page"/>
              </v:rect>
            </w:pict>
          </mc:Fallback>
        </mc:AlternateContent>
      </w:r>
    </w:p>
    <w:p w:rsidR="00A56FE9" w:rsidRDefault="00000000">
      <w:pPr>
        <w:pStyle w:val="Tijeloteksta"/>
        <w:spacing w:before="85"/>
        <w:ind w:right="267"/>
      </w:pPr>
      <w:r>
        <w:t>The Ministry of Physical Planning, Construction and State Assets (MPPCDA) presented its</w:t>
      </w:r>
      <w:r>
        <w:rPr>
          <w:spacing w:val="1"/>
        </w:rPr>
        <w:t xml:space="preserve"> </w:t>
      </w:r>
      <w:r>
        <w:t>activities</w:t>
      </w:r>
      <w:r>
        <w:rPr>
          <w:spacing w:val="1"/>
        </w:rPr>
        <w:t xml:space="preserve"> </w:t>
      </w:r>
      <w:r>
        <w:t>from</w:t>
      </w:r>
      <w:r>
        <w:rPr>
          <w:spacing w:val="1"/>
        </w:rPr>
        <w:t xml:space="preserve"> </w:t>
      </w:r>
      <w:r>
        <w:t>the</w:t>
      </w:r>
      <w:r>
        <w:rPr>
          <w:spacing w:val="1"/>
        </w:rPr>
        <w:t xml:space="preserve"> </w:t>
      </w:r>
      <w:r>
        <w:t>NRRP</w:t>
      </w:r>
      <w:r>
        <w:rPr>
          <w:spacing w:val="1"/>
        </w:rPr>
        <w:t xml:space="preserve"> </w:t>
      </w:r>
      <w:r>
        <w:t>(initiative:</w:t>
      </w:r>
      <w:r>
        <w:rPr>
          <w:spacing w:val="1"/>
        </w:rPr>
        <w:t xml:space="preserve"> </w:t>
      </w:r>
      <w:r>
        <w:t>Renovation</w:t>
      </w:r>
      <w:r>
        <w:rPr>
          <w:spacing w:val="1"/>
        </w:rPr>
        <w:t xml:space="preserve"> </w:t>
      </w:r>
      <w:r>
        <w:t>of</w:t>
      </w:r>
      <w:r>
        <w:rPr>
          <w:spacing w:val="1"/>
        </w:rPr>
        <w:t xml:space="preserve"> </w:t>
      </w:r>
      <w:r>
        <w:t>Buildings</w:t>
      </w:r>
      <w:r>
        <w:rPr>
          <w:spacing w:val="1"/>
        </w:rPr>
        <w:t xml:space="preserve"> </w:t>
      </w:r>
      <w:r>
        <w:t>and</w:t>
      </w:r>
      <w:r>
        <w:rPr>
          <w:spacing w:val="1"/>
        </w:rPr>
        <w:t xml:space="preserve"> </w:t>
      </w:r>
      <w:r>
        <w:t>the subcomponent:</w:t>
      </w:r>
      <w:r>
        <w:rPr>
          <w:spacing w:val="1"/>
        </w:rPr>
        <w:t xml:space="preserve"> </w:t>
      </w:r>
      <w:r>
        <w:t>A</w:t>
      </w:r>
      <w:r>
        <w:rPr>
          <w:spacing w:val="-57"/>
        </w:rPr>
        <w:t xml:space="preserve"> </w:t>
      </w:r>
      <w:r>
        <w:t>Resilient,</w:t>
      </w:r>
      <w:r>
        <w:rPr>
          <w:spacing w:val="-6"/>
        </w:rPr>
        <w:t xml:space="preserve"> </w:t>
      </w:r>
      <w:r>
        <w:t>Green</w:t>
      </w:r>
      <w:r>
        <w:rPr>
          <w:spacing w:val="-5"/>
        </w:rPr>
        <w:t xml:space="preserve"> </w:t>
      </w:r>
      <w:r>
        <w:t>and</w:t>
      </w:r>
      <w:r>
        <w:rPr>
          <w:spacing w:val="-6"/>
        </w:rPr>
        <w:t xml:space="preserve"> </w:t>
      </w:r>
      <w:r>
        <w:t>Digital</w:t>
      </w:r>
      <w:r>
        <w:rPr>
          <w:spacing w:val="-4"/>
        </w:rPr>
        <w:t xml:space="preserve"> </w:t>
      </w:r>
      <w:r>
        <w:t>Economy</w:t>
      </w:r>
      <w:r>
        <w:rPr>
          <w:spacing w:val="-11"/>
        </w:rPr>
        <w:t xml:space="preserve"> </w:t>
      </w:r>
      <w:r>
        <w:t>(Culture)</w:t>
      </w:r>
      <w:r>
        <w:rPr>
          <w:spacing w:val="-6"/>
        </w:rPr>
        <w:t xml:space="preserve"> </w:t>
      </w:r>
      <w:r>
        <w:t>during</w:t>
      </w:r>
      <w:r>
        <w:rPr>
          <w:spacing w:val="-9"/>
        </w:rPr>
        <w:t xml:space="preserve"> </w:t>
      </w:r>
      <w:r>
        <w:t>the</w:t>
      </w:r>
      <w:r>
        <w:rPr>
          <w:spacing w:val="-6"/>
        </w:rPr>
        <w:t xml:space="preserve"> </w:t>
      </w:r>
      <w:r>
        <w:t>public</w:t>
      </w:r>
      <w:r>
        <w:rPr>
          <w:spacing w:val="-7"/>
        </w:rPr>
        <w:t xml:space="preserve"> </w:t>
      </w:r>
      <w:r>
        <w:t>presentation</w:t>
      </w:r>
      <w:r>
        <w:rPr>
          <w:spacing w:val="-5"/>
        </w:rPr>
        <w:t xml:space="preserve"> </w:t>
      </w:r>
      <w:r>
        <w:t>of</w:t>
      </w:r>
      <w:r>
        <w:rPr>
          <w:spacing w:val="-7"/>
        </w:rPr>
        <w:t xml:space="preserve"> </w:t>
      </w:r>
      <w:r>
        <w:t>the</w:t>
      </w:r>
      <w:r>
        <w:rPr>
          <w:spacing w:val="-3"/>
        </w:rPr>
        <w:t xml:space="preserve"> </w:t>
      </w:r>
      <w:r>
        <w:t>NRRP</w:t>
      </w:r>
      <w:r>
        <w:rPr>
          <w:spacing w:val="-7"/>
        </w:rPr>
        <w:t xml:space="preserve"> </w:t>
      </w:r>
      <w:r>
        <w:t>by</w:t>
      </w:r>
      <w:r>
        <w:rPr>
          <w:spacing w:val="-57"/>
        </w:rPr>
        <w:t xml:space="preserve"> </w:t>
      </w:r>
      <w:r>
        <w:t>counties, in Zagreb on 14 May 2021. Also, activities associated with energy renovation of</w:t>
      </w:r>
      <w:r>
        <w:rPr>
          <w:spacing w:val="1"/>
        </w:rPr>
        <w:t xml:space="preserve"> </w:t>
      </w:r>
      <w:r>
        <w:t>buildings for the purpose of informing professionals and the general public were publicly</w:t>
      </w:r>
      <w:r>
        <w:rPr>
          <w:spacing w:val="1"/>
        </w:rPr>
        <w:t xml:space="preserve"> </w:t>
      </w:r>
      <w:r>
        <w:t>presented</w:t>
      </w:r>
      <w:r>
        <w:rPr>
          <w:spacing w:val="1"/>
        </w:rPr>
        <w:t xml:space="preserve"> </w:t>
      </w:r>
      <w:r>
        <w:t>at</w:t>
      </w:r>
      <w:r>
        <w:rPr>
          <w:spacing w:val="1"/>
        </w:rPr>
        <w:t xml:space="preserve"> </w:t>
      </w:r>
      <w:r>
        <w:t>conferences</w:t>
      </w:r>
      <w:r>
        <w:rPr>
          <w:spacing w:val="1"/>
        </w:rPr>
        <w:t xml:space="preserve"> </w:t>
      </w:r>
      <w:r>
        <w:t>and</w:t>
      </w:r>
      <w:r>
        <w:rPr>
          <w:spacing w:val="1"/>
        </w:rPr>
        <w:t xml:space="preserve"> </w:t>
      </w:r>
      <w:r>
        <w:t>workshops</w:t>
      </w:r>
      <w:r>
        <w:rPr>
          <w:spacing w:val="1"/>
        </w:rPr>
        <w:t xml:space="preserve"> </w:t>
      </w:r>
      <w:r>
        <w:t>(ZagRE</w:t>
      </w:r>
      <w:r>
        <w:rPr>
          <w:spacing w:val="1"/>
        </w:rPr>
        <w:t xml:space="preserve"> </w:t>
      </w:r>
      <w:r>
        <w:t>2021,</w:t>
      </w:r>
      <w:r>
        <w:rPr>
          <w:spacing w:val="1"/>
        </w:rPr>
        <w:t xml:space="preserve"> </w:t>
      </w:r>
      <w:r>
        <w:t>Sixteenth</w:t>
      </w:r>
      <w:r>
        <w:rPr>
          <w:spacing w:val="1"/>
        </w:rPr>
        <w:t xml:space="preserve"> </w:t>
      </w:r>
      <w:r>
        <w:t>Annual</w:t>
      </w:r>
      <w:r>
        <w:rPr>
          <w:spacing w:val="1"/>
        </w:rPr>
        <w:t xml:space="preserve"> </w:t>
      </w:r>
      <w:r>
        <w:t>International</w:t>
      </w:r>
      <w:r>
        <w:rPr>
          <w:spacing w:val="1"/>
        </w:rPr>
        <w:t xml:space="preserve"> </w:t>
      </w:r>
      <w:r>
        <w:t>Conference on Real Estate Development, October 2021; ArhiBau 2021, Fair on the Culture of</w:t>
      </w:r>
      <w:r>
        <w:rPr>
          <w:spacing w:val="-57"/>
        </w:rPr>
        <w:t xml:space="preserve"> </w:t>
      </w:r>
      <w:r>
        <w:rPr>
          <w:spacing w:val="-1"/>
        </w:rPr>
        <w:t>Construction</w:t>
      </w:r>
      <w:r>
        <w:rPr>
          <w:spacing w:val="-13"/>
        </w:rPr>
        <w:t xml:space="preserve"> </w:t>
      </w:r>
      <w:r>
        <w:t>and</w:t>
      </w:r>
      <w:r>
        <w:rPr>
          <w:spacing w:val="-12"/>
        </w:rPr>
        <w:t xml:space="preserve"> </w:t>
      </w:r>
      <w:r>
        <w:t>Sustainable</w:t>
      </w:r>
      <w:r>
        <w:rPr>
          <w:spacing w:val="-13"/>
        </w:rPr>
        <w:t xml:space="preserve"> </w:t>
      </w:r>
      <w:r>
        <w:t>Development,</w:t>
      </w:r>
      <w:r>
        <w:rPr>
          <w:spacing w:val="-12"/>
        </w:rPr>
        <w:t xml:space="preserve"> </w:t>
      </w:r>
      <w:r>
        <w:t>Transformation</w:t>
      </w:r>
      <w:r>
        <w:rPr>
          <w:spacing w:val="-12"/>
        </w:rPr>
        <w:t xml:space="preserve"> </w:t>
      </w:r>
      <w:r>
        <w:t>of</w:t>
      </w:r>
      <w:r>
        <w:rPr>
          <w:spacing w:val="-13"/>
        </w:rPr>
        <w:t xml:space="preserve"> </w:t>
      </w:r>
      <w:r>
        <w:t>the</w:t>
      </w:r>
      <w:r>
        <w:rPr>
          <w:spacing w:val="-10"/>
        </w:rPr>
        <w:t xml:space="preserve"> </w:t>
      </w:r>
      <w:r>
        <w:t>Existing</w:t>
      </w:r>
      <w:r>
        <w:rPr>
          <w:spacing w:val="-15"/>
        </w:rPr>
        <w:t xml:space="preserve"> </w:t>
      </w:r>
      <w:r>
        <w:t>Building</w:t>
      </w:r>
      <w:r>
        <w:rPr>
          <w:spacing w:val="-13"/>
        </w:rPr>
        <w:t xml:space="preserve"> </w:t>
      </w:r>
      <w:r>
        <w:t>Stock;</w:t>
      </w:r>
      <w:r>
        <w:rPr>
          <w:spacing w:val="-12"/>
        </w:rPr>
        <w:t xml:space="preserve"> </w:t>
      </w:r>
      <w:r>
        <w:t>8th</w:t>
      </w:r>
      <w:r>
        <w:rPr>
          <w:spacing w:val="-57"/>
        </w:rPr>
        <w:t xml:space="preserve"> </w:t>
      </w:r>
      <w:r>
        <w:t>Congress of Croatian Builders, Construction and Climate Change: Green Future of Cities,</w:t>
      </w:r>
      <w:r>
        <w:rPr>
          <w:spacing w:val="1"/>
        </w:rPr>
        <w:t xml:space="preserve"> </w:t>
      </w:r>
      <w:r>
        <w:t>Expert</w:t>
      </w:r>
      <w:r>
        <w:rPr>
          <w:spacing w:val="1"/>
        </w:rPr>
        <w:t xml:space="preserve"> </w:t>
      </w:r>
      <w:r>
        <w:t>Meeting</w:t>
      </w:r>
      <w:r>
        <w:rPr>
          <w:spacing w:val="1"/>
        </w:rPr>
        <w:t xml:space="preserve"> </w:t>
      </w:r>
      <w:r>
        <w:t>of</w:t>
      </w:r>
      <w:r>
        <w:rPr>
          <w:spacing w:val="1"/>
        </w:rPr>
        <w:t xml:space="preserve"> </w:t>
      </w:r>
      <w:r>
        <w:t>the</w:t>
      </w:r>
      <w:r>
        <w:rPr>
          <w:spacing w:val="1"/>
        </w:rPr>
        <w:t xml:space="preserve"> </w:t>
      </w:r>
      <w:r>
        <w:t>Croatian</w:t>
      </w:r>
      <w:r>
        <w:rPr>
          <w:spacing w:val="1"/>
        </w:rPr>
        <w:t xml:space="preserve"> </w:t>
      </w:r>
      <w:r>
        <w:t>Engineering</w:t>
      </w:r>
      <w:r>
        <w:rPr>
          <w:spacing w:val="1"/>
        </w:rPr>
        <w:t xml:space="preserve"> </w:t>
      </w:r>
      <w:r>
        <w:t>Association</w:t>
      </w:r>
      <w:r>
        <w:rPr>
          <w:spacing w:val="1"/>
        </w:rPr>
        <w:t xml:space="preserve"> </w:t>
      </w:r>
      <w:r>
        <w:t>titled</w:t>
      </w:r>
      <w:r>
        <w:rPr>
          <w:spacing w:val="1"/>
        </w:rPr>
        <w:t xml:space="preserve"> </w:t>
      </w:r>
      <w:r>
        <w:t>STEM's</w:t>
      </w:r>
      <w:r>
        <w:rPr>
          <w:spacing w:val="1"/>
        </w:rPr>
        <w:t xml:space="preserve"> </w:t>
      </w:r>
      <w:r>
        <w:t>Contribution</w:t>
      </w:r>
      <w:r>
        <w:rPr>
          <w:spacing w:val="1"/>
        </w:rPr>
        <w:t xml:space="preserve"> </w:t>
      </w:r>
      <w:r>
        <w:t>to</w:t>
      </w:r>
      <w:r>
        <w:rPr>
          <w:spacing w:val="1"/>
        </w:rPr>
        <w:t xml:space="preserve"> </w:t>
      </w:r>
      <w:r>
        <w:rPr>
          <w:spacing w:val="-1"/>
        </w:rPr>
        <w:t>Achieving</w:t>
      </w:r>
      <w:r>
        <w:rPr>
          <w:spacing w:val="-17"/>
        </w:rPr>
        <w:t xml:space="preserve"> </w:t>
      </w:r>
      <w:r>
        <w:rPr>
          <w:spacing w:val="-1"/>
        </w:rPr>
        <w:t>the</w:t>
      </w:r>
      <w:r>
        <w:rPr>
          <w:spacing w:val="-15"/>
        </w:rPr>
        <w:t xml:space="preserve"> </w:t>
      </w:r>
      <w:r>
        <w:t>Goals</w:t>
      </w:r>
      <w:r>
        <w:rPr>
          <w:spacing w:val="-14"/>
        </w:rPr>
        <w:t xml:space="preserve"> </w:t>
      </w:r>
      <w:r>
        <w:t>of</w:t>
      </w:r>
      <w:r>
        <w:rPr>
          <w:spacing w:val="-16"/>
        </w:rPr>
        <w:t xml:space="preserve"> </w:t>
      </w:r>
      <w:r>
        <w:t>the</w:t>
      </w:r>
      <w:r>
        <w:rPr>
          <w:spacing w:val="-15"/>
        </w:rPr>
        <w:t xml:space="preserve"> </w:t>
      </w:r>
      <w:r>
        <w:t>National</w:t>
      </w:r>
      <w:r>
        <w:rPr>
          <w:spacing w:val="-14"/>
        </w:rPr>
        <w:t xml:space="preserve"> </w:t>
      </w:r>
      <w:r>
        <w:t>Recovery</w:t>
      </w:r>
      <w:r>
        <w:rPr>
          <w:spacing w:val="-20"/>
        </w:rPr>
        <w:t xml:space="preserve"> </w:t>
      </w:r>
      <w:r>
        <w:t>and</w:t>
      </w:r>
      <w:r>
        <w:rPr>
          <w:spacing w:val="-12"/>
        </w:rPr>
        <w:t xml:space="preserve"> </w:t>
      </w:r>
      <w:r>
        <w:t>Resilience</w:t>
      </w:r>
      <w:r>
        <w:rPr>
          <w:spacing w:val="-16"/>
        </w:rPr>
        <w:t xml:space="preserve"> </w:t>
      </w:r>
      <w:r>
        <w:t>Plan,</w:t>
      </w:r>
      <w:r>
        <w:rPr>
          <w:spacing w:val="-14"/>
        </w:rPr>
        <w:t xml:space="preserve"> </w:t>
      </w:r>
      <w:r>
        <w:t>February</w:t>
      </w:r>
      <w:r>
        <w:rPr>
          <w:spacing w:val="-17"/>
        </w:rPr>
        <w:t xml:space="preserve"> </w:t>
      </w:r>
      <w:r>
        <w:t>2022;</w:t>
      </w:r>
      <w:r>
        <w:rPr>
          <w:spacing w:val="-14"/>
        </w:rPr>
        <w:t xml:space="preserve"> </w:t>
      </w:r>
      <w:r>
        <w:t>Professional</w:t>
      </w:r>
      <w:r>
        <w:rPr>
          <w:spacing w:val="-58"/>
        </w:rPr>
        <w:t xml:space="preserve"> </w:t>
      </w:r>
      <w:r>
        <w:t>conference</w:t>
      </w:r>
      <w:r>
        <w:rPr>
          <w:spacing w:val="2"/>
        </w:rPr>
        <w:t xml:space="preserve"> </w:t>
      </w:r>
      <w:r>
        <w:t>organized</w:t>
      </w:r>
      <w:r>
        <w:rPr>
          <w:spacing w:val="4"/>
        </w:rPr>
        <w:t xml:space="preserve"> </w:t>
      </w:r>
      <w:r>
        <w:t>by</w:t>
      </w:r>
      <w:r>
        <w:rPr>
          <w:spacing w:val="4"/>
        </w:rPr>
        <w:t xml:space="preserve"> </w:t>
      </w:r>
      <w:r>
        <w:t>the</w:t>
      </w:r>
      <w:r>
        <w:rPr>
          <w:spacing w:val="4"/>
        </w:rPr>
        <w:t xml:space="preserve"> </w:t>
      </w:r>
      <w:r>
        <w:t>Faculty</w:t>
      </w:r>
      <w:r>
        <w:rPr>
          <w:spacing w:val="-1"/>
        </w:rPr>
        <w:t xml:space="preserve"> </w:t>
      </w:r>
      <w:r>
        <w:t>of</w:t>
      </w:r>
      <w:r>
        <w:rPr>
          <w:spacing w:val="6"/>
        </w:rPr>
        <w:t xml:space="preserve"> </w:t>
      </w:r>
      <w:r>
        <w:t>Architecture,</w:t>
      </w:r>
      <w:r>
        <w:rPr>
          <w:spacing w:val="3"/>
        </w:rPr>
        <w:t xml:space="preserve"> </w:t>
      </w:r>
      <w:r>
        <w:t>University</w:t>
      </w:r>
      <w:r>
        <w:rPr>
          <w:spacing w:val="2"/>
        </w:rPr>
        <w:t xml:space="preserve"> </w:t>
      </w:r>
      <w:r>
        <w:t>of</w:t>
      </w:r>
      <w:r>
        <w:rPr>
          <w:spacing w:val="6"/>
        </w:rPr>
        <w:t xml:space="preserve"> </w:t>
      </w:r>
      <w:r>
        <w:t>Zagreb</w:t>
      </w:r>
      <w:r>
        <w:rPr>
          <w:spacing w:val="9"/>
        </w:rPr>
        <w:t xml:space="preserve"> </w:t>
      </w:r>
      <w:r>
        <w:t>and</w:t>
      </w:r>
      <w:r>
        <w:rPr>
          <w:spacing w:val="4"/>
        </w:rPr>
        <w:t xml:space="preserve"> </w:t>
      </w:r>
      <w:r>
        <w:t>the</w:t>
      </w:r>
      <w:r>
        <w:rPr>
          <w:spacing w:val="4"/>
        </w:rPr>
        <w:t xml:space="preserve"> </w:t>
      </w:r>
      <w:r>
        <w:t>Cluster</w:t>
      </w:r>
      <w:r>
        <w:rPr>
          <w:spacing w:val="5"/>
        </w:rPr>
        <w:t xml:space="preserve"> </w:t>
      </w:r>
      <w:r>
        <w:t>for</w:t>
      </w:r>
    </w:p>
    <w:p w:rsidR="00A56FE9" w:rsidRDefault="00A56FE9">
      <w:pPr>
        <w:sectPr w:rsidR="00A56FE9" w:rsidSect="00AB1E70">
          <w:pgSz w:w="11910" w:h="16840"/>
          <w:pgMar w:top="1320" w:right="1140" w:bottom="960" w:left="1280" w:header="0" w:footer="779" w:gutter="0"/>
          <w:cols w:space="720"/>
        </w:sectPr>
      </w:pPr>
    </w:p>
    <w:p w:rsidR="00A56FE9" w:rsidRDefault="00000000">
      <w:pPr>
        <w:pStyle w:val="Tijeloteksta"/>
        <w:spacing w:before="74"/>
        <w:ind w:right="272"/>
      </w:pPr>
      <w:r>
        <w:t>Energy Efficiency and Sustainability in Buildings</w:t>
      </w:r>
      <w:r>
        <w:rPr>
          <w:spacing w:val="1"/>
        </w:rPr>
        <w:t xml:space="preserve"> </w:t>
      </w:r>
      <w:r>
        <w:t>- nZEB.hr titled: Buildings 3+ Safety,</w:t>
      </w:r>
      <w:r>
        <w:rPr>
          <w:spacing w:val="1"/>
        </w:rPr>
        <w:t xml:space="preserve"> </w:t>
      </w:r>
      <w:r>
        <w:t>Comfort, Quality, February 2022). At the end of March 2022, an educational conference titled</w:t>
      </w:r>
      <w:r>
        <w:rPr>
          <w:spacing w:val="-57"/>
        </w:rPr>
        <w:t xml:space="preserve"> </w:t>
      </w:r>
      <w:r>
        <w:t>From the Recovery and Resilience Plan to the Energy Renovation of Buildings was held,</w:t>
      </w:r>
      <w:r>
        <w:rPr>
          <w:spacing w:val="1"/>
        </w:rPr>
        <w:t xml:space="preserve"> </w:t>
      </w:r>
      <w:r>
        <w:t>organised</w:t>
      </w:r>
      <w:r>
        <w:rPr>
          <w:spacing w:val="1"/>
        </w:rPr>
        <w:t xml:space="preserve"> </w:t>
      </w:r>
      <w:r>
        <w:t>by</w:t>
      </w:r>
      <w:r>
        <w:rPr>
          <w:spacing w:val="1"/>
        </w:rPr>
        <w:t xml:space="preserve"> </w:t>
      </w:r>
      <w:r>
        <w:t>MPPCDA,</w:t>
      </w:r>
      <w:r>
        <w:rPr>
          <w:spacing w:val="1"/>
        </w:rPr>
        <w:t xml:space="preserve"> </w:t>
      </w:r>
      <w:r>
        <w:t>the</w:t>
      </w:r>
      <w:r>
        <w:rPr>
          <w:spacing w:val="1"/>
        </w:rPr>
        <w:t xml:space="preserve"> </w:t>
      </w:r>
      <w:r>
        <w:t>EC</w:t>
      </w:r>
      <w:r>
        <w:rPr>
          <w:spacing w:val="1"/>
        </w:rPr>
        <w:t xml:space="preserve"> </w:t>
      </w:r>
      <w:r>
        <w:t>Representation</w:t>
      </w:r>
      <w:r>
        <w:rPr>
          <w:spacing w:val="1"/>
        </w:rPr>
        <w:t xml:space="preserve"> </w:t>
      </w:r>
      <w:r>
        <w:t>in</w:t>
      </w:r>
      <w:r>
        <w:rPr>
          <w:spacing w:val="1"/>
        </w:rPr>
        <w:t xml:space="preserve"> </w:t>
      </w:r>
      <w:r>
        <w:t>Croatia</w:t>
      </w:r>
      <w:r>
        <w:rPr>
          <w:spacing w:val="1"/>
        </w:rPr>
        <w:t xml:space="preserve"> </w:t>
      </w:r>
      <w:r>
        <w:t>and</w:t>
      </w:r>
      <w:r>
        <w:rPr>
          <w:spacing w:val="1"/>
        </w:rPr>
        <w:t xml:space="preserve"> </w:t>
      </w:r>
      <w:r>
        <w:t>the</w:t>
      </w:r>
      <w:r>
        <w:rPr>
          <w:spacing w:val="1"/>
        </w:rPr>
        <w:t xml:space="preserve"> </w:t>
      </w:r>
      <w:r>
        <w:t>association</w:t>
      </w:r>
      <w:r>
        <w:rPr>
          <w:spacing w:val="1"/>
        </w:rPr>
        <w:t xml:space="preserve"> </w:t>
      </w:r>
      <w:r>
        <w:t>ZGRADOčelnik.hr.</w:t>
      </w:r>
    </w:p>
    <w:p w:rsidR="00A56FE9" w:rsidRDefault="00A56FE9">
      <w:pPr>
        <w:pStyle w:val="Tijeloteksta"/>
        <w:ind w:left="0"/>
        <w:jc w:val="left"/>
        <w:rPr>
          <w:sz w:val="20"/>
        </w:rPr>
      </w:pPr>
    </w:p>
    <w:p w:rsidR="00A56FE9" w:rsidRDefault="00000000">
      <w:pPr>
        <w:spacing w:before="252"/>
        <w:ind w:left="1208" w:right="1799"/>
        <w:jc w:val="center"/>
        <w:rPr>
          <w:b/>
          <w:sz w:val="28"/>
        </w:rPr>
      </w:pPr>
      <w:r>
        <w:rPr>
          <w:noProof/>
        </w:rPr>
        <w:drawing>
          <wp:anchor distT="0" distB="0" distL="0" distR="0" simplePos="0" relativeHeight="15852544" behindDoc="0" locked="0" layoutInCell="1" allowOverlap="1">
            <wp:simplePos x="0" y="0"/>
            <wp:positionH relativeFrom="page">
              <wp:posOffset>1082049</wp:posOffset>
            </wp:positionH>
            <wp:positionV relativeFrom="paragraph">
              <wp:posOffset>205444</wp:posOffset>
            </wp:positionV>
            <wp:extent cx="371084" cy="125648"/>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26" cstate="print"/>
                    <a:stretch>
                      <a:fillRect/>
                    </a:stretch>
                  </pic:blipFill>
                  <pic:spPr>
                    <a:xfrm>
                      <a:off x="0" y="0"/>
                      <a:ext cx="371084" cy="125648"/>
                    </a:xfrm>
                    <a:prstGeom prst="rect">
                      <a:avLst/>
                    </a:prstGeom>
                  </pic:spPr>
                </pic:pic>
              </a:graphicData>
            </a:graphic>
          </wp:anchor>
        </w:drawing>
      </w:r>
      <w:r>
        <w:rPr>
          <w:b/>
          <w:color w:val="003399"/>
          <w:sz w:val="28"/>
        </w:rPr>
        <w:t>National</w:t>
      </w:r>
      <w:r>
        <w:rPr>
          <w:b/>
          <w:color w:val="003399"/>
          <w:spacing w:val="-6"/>
          <w:sz w:val="28"/>
        </w:rPr>
        <w:t xml:space="preserve"> </w:t>
      </w:r>
      <w:r>
        <w:rPr>
          <w:b/>
          <w:color w:val="003399"/>
          <w:sz w:val="28"/>
        </w:rPr>
        <w:t>institutional</w:t>
      </w:r>
      <w:r>
        <w:rPr>
          <w:b/>
          <w:color w:val="003399"/>
          <w:spacing w:val="-2"/>
          <w:sz w:val="28"/>
        </w:rPr>
        <w:t xml:space="preserve"> </w:t>
      </w:r>
      <w:r>
        <w:rPr>
          <w:b/>
          <w:color w:val="003399"/>
          <w:sz w:val="28"/>
        </w:rPr>
        <w:t>process</w:t>
      </w:r>
      <w:r>
        <w:rPr>
          <w:b/>
          <w:color w:val="003399"/>
          <w:spacing w:val="-2"/>
          <w:sz w:val="28"/>
        </w:rPr>
        <w:t xml:space="preserve"> </w:t>
      </w:r>
      <w:r>
        <w:rPr>
          <w:b/>
          <w:color w:val="003399"/>
          <w:sz w:val="28"/>
        </w:rPr>
        <w:t>for</w:t>
      </w:r>
      <w:r>
        <w:rPr>
          <w:b/>
          <w:color w:val="003399"/>
          <w:spacing w:val="-3"/>
          <w:sz w:val="28"/>
        </w:rPr>
        <w:t xml:space="preserve"> </w:t>
      </w:r>
      <w:r>
        <w:rPr>
          <w:b/>
          <w:color w:val="003399"/>
          <w:sz w:val="28"/>
        </w:rPr>
        <w:t>approval</w:t>
      </w:r>
      <w:r>
        <w:rPr>
          <w:b/>
          <w:color w:val="003399"/>
          <w:spacing w:val="-2"/>
          <w:sz w:val="28"/>
        </w:rPr>
        <w:t xml:space="preserve"> </w:t>
      </w:r>
      <w:r>
        <w:rPr>
          <w:b/>
          <w:color w:val="003399"/>
          <w:sz w:val="28"/>
        </w:rPr>
        <w:t>of</w:t>
      </w:r>
      <w:r>
        <w:rPr>
          <w:b/>
          <w:color w:val="003399"/>
          <w:spacing w:val="-3"/>
          <w:sz w:val="28"/>
        </w:rPr>
        <w:t xml:space="preserve"> </w:t>
      </w:r>
      <w:r>
        <w:rPr>
          <w:b/>
          <w:color w:val="003399"/>
          <w:sz w:val="28"/>
        </w:rPr>
        <w:t>the</w:t>
      </w:r>
      <w:r>
        <w:rPr>
          <w:b/>
          <w:color w:val="003399"/>
          <w:spacing w:val="-4"/>
          <w:sz w:val="28"/>
        </w:rPr>
        <w:t xml:space="preserve"> </w:t>
      </w:r>
      <w:r>
        <w:rPr>
          <w:b/>
          <w:color w:val="003399"/>
          <w:sz w:val="28"/>
        </w:rPr>
        <w:t>NRP</w:t>
      </w:r>
    </w:p>
    <w:p w:rsidR="00A56FE9" w:rsidRDefault="00000000">
      <w:pPr>
        <w:pStyle w:val="Tijeloteksta"/>
        <w:spacing w:before="183"/>
        <w:ind w:right="271"/>
      </w:pPr>
      <w:r>
        <w:t>The Decision on Coordination of Activities within the Economic Governance Framework of</w:t>
      </w:r>
      <w:r>
        <w:rPr>
          <w:spacing w:val="1"/>
        </w:rPr>
        <w:t xml:space="preserve"> </w:t>
      </w:r>
      <w:r>
        <w:t>the</w:t>
      </w:r>
      <w:r>
        <w:rPr>
          <w:spacing w:val="1"/>
        </w:rPr>
        <w:t xml:space="preserve"> </w:t>
      </w:r>
      <w:r>
        <w:t>European</w:t>
      </w:r>
      <w:r>
        <w:rPr>
          <w:spacing w:val="1"/>
        </w:rPr>
        <w:t xml:space="preserve"> </w:t>
      </w:r>
      <w:r>
        <w:t>Union</w:t>
      </w:r>
      <w:r>
        <w:rPr>
          <w:vertAlign w:val="superscript"/>
        </w:rPr>
        <w:t>55</w:t>
      </w:r>
      <w:r>
        <w:rPr>
          <w:spacing w:val="1"/>
        </w:rPr>
        <w:t xml:space="preserve"> </w:t>
      </w:r>
      <w:r>
        <w:t>establishes</w:t>
      </w:r>
      <w:r>
        <w:rPr>
          <w:spacing w:val="1"/>
        </w:rPr>
        <w:t xml:space="preserve"> </w:t>
      </w:r>
      <w:r>
        <w:t>the</w:t>
      </w:r>
      <w:r>
        <w:rPr>
          <w:spacing w:val="1"/>
        </w:rPr>
        <w:t xml:space="preserve"> </w:t>
      </w:r>
      <w:r>
        <w:t>institutional</w:t>
      </w:r>
      <w:r>
        <w:rPr>
          <w:spacing w:val="1"/>
        </w:rPr>
        <w:t xml:space="preserve"> </w:t>
      </w:r>
      <w:r>
        <w:t>framework</w:t>
      </w:r>
      <w:r>
        <w:rPr>
          <w:spacing w:val="1"/>
        </w:rPr>
        <w:t xml:space="preserve"> </w:t>
      </w:r>
      <w:r>
        <w:t>and</w:t>
      </w:r>
      <w:r>
        <w:rPr>
          <w:spacing w:val="1"/>
        </w:rPr>
        <w:t xml:space="preserve"> </w:t>
      </w:r>
      <w:r>
        <w:t>procedures</w:t>
      </w:r>
      <w:r>
        <w:rPr>
          <w:spacing w:val="1"/>
        </w:rPr>
        <w:t xml:space="preserve"> </w:t>
      </w:r>
      <w:r>
        <w:t>on</w:t>
      </w:r>
      <w:r>
        <w:rPr>
          <w:spacing w:val="1"/>
        </w:rPr>
        <w:t xml:space="preserve"> </w:t>
      </w:r>
      <w:r>
        <w:t>the</w:t>
      </w:r>
      <w:r>
        <w:rPr>
          <w:spacing w:val="1"/>
        </w:rPr>
        <w:t xml:space="preserve"> </w:t>
      </w:r>
      <w:r>
        <w:t>coordination</w:t>
      </w:r>
      <w:r>
        <w:rPr>
          <w:spacing w:val="-5"/>
        </w:rPr>
        <w:t xml:space="preserve"> </w:t>
      </w:r>
      <w:r>
        <w:t>of</w:t>
      </w:r>
      <w:r>
        <w:rPr>
          <w:spacing w:val="-5"/>
        </w:rPr>
        <w:t xml:space="preserve"> </w:t>
      </w:r>
      <w:r>
        <w:t>activities</w:t>
      </w:r>
      <w:r>
        <w:rPr>
          <w:spacing w:val="-1"/>
        </w:rPr>
        <w:t xml:space="preserve"> </w:t>
      </w:r>
      <w:r>
        <w:t>within</w:t>
      </w:r>
      <w:r>
        <w:rPr>
          <w:spacing w:val="-3"/>
        </w:rPr>
        <w:t xml:space="preserve"> </w:t>
      </w:r>
      <w:r>
        <w:t>the</w:t>
      </w:r>
      <w:r>
        <w:rPr>
          <w:spacing w:val="-4"/>
        </w:rPr>
        <w:t xml:space="preserve"> </w:t>
      </w:r>
      <w:r>
        <w:t>Economic</w:t>
      </w:r>
      <w:r>
        <w:rPr>
          <w:spacing w:val="-5"/>
        </w:rPr>
        <w:t xml:space="preserve"> </w:t>
      </w:r>
      <w:r>
        <w:t>Governance</w:t>
      </w:r>
      <w:r>
        <w:rPr>
          <w:spacing w:val="-3"/>
        </w:rPr>
        <w:t xml:space="preserve"> </w:t>
      </w:r>
      <w:r>
        <w:t>Framework</w:t>
      </w:r>
      <w:r>
        <w:rPr>
          <w:spacing w:val="-3"/>
        </w:rPr>
        <w:t xml:space="preserve"> </w:t>
      </w:r>
      <w:r>
        <w:t>of</w:t>
      </w:r>
      <w:r>
        <w:rPr>
          <w:spacing w:val="-5"/>
        </w:rPr>
        <w:t xml:space="preserve"> </w:t>
      </w:r>
      <w:r>
        <w:t>the</w:t>
      </w:r>
      <w:r>
        <w:rPr>
          <w:spacing w:val="-5"/>
        </w:rPr>
        <w:t xml:space="preserve"> </w:t>
      </w:r>
      <w:r>
        <w:t>European</w:t>
      </w:r>
      <w:r>
        <w:rPr>
          <w:spacing w:val="-4"/>
        </w:rPr>
        <w:t xml:space="preserve"> </w:t>
      </w:r>
      <w:r>
        <w:t>Union</w:t>
      </w:r>
    </w:p>
    <w:p w:rsidR="00A56FE9" w:rsidRDefault="00000000">
      <w:pPr>
        <w:pStyle w:val="Tijeloteksta"/>
        <w:ind w:right="274"/>
      </w:pPr>
      <w:r>
        <w:t>- European Semester at the level of the Government, thereby ensuring coordination of policies</w:t>
      </w:r>
      <w:r>
        <w:rPr>
          <w:spacing w:val="-57"/>
        </w:rPr>
        <w:t xml:space="preserve"> </w:t>
      </w:r>
      <w:r>
        <w:t>and</w:t>
      </w:r>
      <w:r>
        <w:rPr>
          <w:spacing w:val="-6"/>
        </w:rPr>
        <w:t xml:space="preserve"> </w:t>
      </w:r>
      <w:r>
        <w:t>measures</w:t>
      </w:r>
      <w:r>
        <w:rPr>
          <w:spacing w:val="-4"/>
        </w:rPr>
        <w:t xml:space="preserve"> </w:t>
      </w:r>
      <w:r>
        <w:t>encompassed</w:t>
      </w:r>
      <w:r>
        <w:rPr>
          <w:spacing w:val="-6"/>
        </w:rPr>
        <w:t xml:space="preserve"> </w:t>
      </w:r>
      <w:r>
        <w:t>in</w:t>
      </w:r>
      <w:r>
        <w:rPr>
          <w:spacing w:val="-6"/>
        </w:rPr>
        <w:t xml:space="preserve"> </w:t>
      </w:r>
      <w:r>
        <w:t>the</w:t>
      </w:r>
      <w:r>
        <w:rPr>
          <w:spacing w:val="-6"/>
        </w:rPr>
        <w:t xml:space="preserve"> </w:t>
      </w:r>
      <w:r>
        <w:t>economic</w:t>
      </w:r>
      <w:r>
        <w:rPr>
          <w:spacing w:val="-6"/>
        </w:rPr>
        <w:t xml:space="preserve"> </w:t>
      </w:r>
      <w:r>
        <w:t>policy</w:t>
      </w:r>
      <w:r>
        <w:rPr>
          <w:spacing w:val="-9"/>
        </w:rPr>
        <w:t xml:space="preserve"> </w:t>
      </w:r>
      <w:r>
        <w:t>coordination</w:t>
      </w:r>
      <w:r>
        <w:rPr>
          <w:spacing w:val="-6"/>
        </w:rPr>
        <w:t xml:space="preserve"> </w:t>
      </w:r>
      <w:r>
        <w:t>mechanism</w:t>
      </w:r>
      <w:r>
        <w:rPr>
          <w:spacing w:val="-6"/>
        </w:rPr>
        <w:t xml:space="preserve"> </w:t>
      </w:r>
      <w:r>
        <w:t>within</w:t>
      </w:r>
      <w:r>
        <w:rPr>
          <w:spacing w:val="-6"/>
        </w:rPr>
        <w:t xml:space="preserve"> </w:t>
      </w:r>
      <w:r>
        <w:t>the</w:t>
      </w:r>
      <w:r>
        <w:rPr>
          <w:spacing w:val="-7"/>
        </w:rPr>
        <w:t xml:space="preserve"> </w:t>
      </w:r>
      <w:r>
        <w:t>EU</w:t>
      </w:r>
      <w:r>
        <w:rPr>
          <w:spacing w:val="-6"/>
        </w:rPr>
        <w:t xml:space="preserve"> </w:t>
      </w:r>
      <w:r>
        <w:t>and</w:t>
      </w:r>
      <w:r>
        <w:rPr>
          <w:spacing w:val="-58"/>
        </w:rPr>
        <w:t xml:space="preserve"> </w:t>
      </w:r>
      <w:r>
        <w:t>those necessary for stimulating growth and job creation, as well as measures to mitigate the</w:t>
      </w:r>
      <w:r>
        <w:rPr>
          <w:spacing w:val="1"/>
        </w:rPr>
        <w:t xml:space="preserve"> </w:t>
      </w:r>
      <w:r>
        <w:t>economic and social impact of the COVID-19 epidemic and the challenges posed by the green</w:t>
      </w:r>
      <w:r>
        <w:rPr>
          <w:spacing w:val="-57"/>
        </w:rPr>
        <w:t xml:space="preserve"> </w:t>
      </w:r>
      <w:r>
        <w:t>transition</w:t>
      </w:r>
      <w:r>
        <w:rPr>
          <w:spacing w:val="-1"/>
        </w:rPr>
        <w:t xml:space="preserve"> </w:t>
      </w:r>
      <w:r>
        <w:t>and digital transformation</w:t>
      </w:r>
    </w:p>
    <w:p w:rsidR="00A56FE9" w:rsidRDefault="00000000">
      <w:pPr>
        <w:pStyle w:val="Tijeloteksta"/>
        <w:spacing w:before="121"/>
        <w:ind w:right="278"/>
      </w:pPr>
      <w:r>
        <w:t>The Decision established the Interdepartmental Working Group for the European Semester,</w:t>
      </w:r>
      <w:r>
        <w:rPr>
          <w:spacing w:val="1"/>
        </w:rPr>
        <w:t xml:space="preserve"> </w:t>
      </w:r>
      <w:r>
        <w:rPr>
          <w:spacing w:val="-1"/>
        </w:rPr>
        <w:t>headed</w:t>
      </w:r>
      <w:r>
        <w:rPr>
          <w:spacing w:val="-15"/>
        </w:rPr>
        <w:t xml:space="preserve"> </w:t>
      </w:r>
      <w:r>
        <w:rPr>
          <w:spacing w:val="-1"/>
        </w:rPr>
        <w:t>by</w:t>
      </w:r>
      <w:r>
        <w:rPr>
          <w:spacing w:val="-20"/>
        </w:rPr>
        <w:t xml:space="preserve"> </w:t>
      </w:r>
      <w:r>
        <w:t>the</w:t>
      </w:r>
      <w:r>
        <w:rPr>
          <w:spacing w:val="-15"/>
        </w:rPr>
        <w:t xml:space="preserve"> </w:t>
      </w:r>
      <w:r>
        <w:t>Deputy</w:t>
      </w:r>
      <w:r>
        <w:rPr>
          <w:spacing w:val="-20"/>
        </w:rPr>
        <w:t xml:space="preserve"> </w:t>
      </w:r>
      <w:r>
        <w:t>Prime</w:t>
      </w:r>
      <w:r>
        <w:rPr>
          <w:spacing w:val="-15"/>
        </w:rPr>
        <w:t xml:space="preserve"> </w:t>
      </w:r>
      <w:r>
        <w:t>Minister</w:t>
      </w:r>
      <w:r>
        <w:rPr>
          <w:spacing w:val="-16"/>
        </w:rPr>
        <w:t xml:space="preserve"> </w:t>
      </w:r>
      <w:r>
        <w:t>for</w:t>
      </w:r>
      <w:r>
        <w:rPr>
          <w:spacing w:val="-16"/>
        </w:rPr>
        <w:t xml:space="preserve"> </w:t>
      </w:r>
      <w:r>
        <w:t>the</w:t>
      </w:r>
      <w:r>
        <w:rPr>
          <w:spacing w:val="-13"/>
        </w:rPr>
        <w:t xml:space="preserve"> </w:t>
      </w:r>
      <w:r>
        <w:t>Economy.</w:t>
      </w:r>
      <w:r>
        <w:rPr>
          <w:spacing w:val="-15"/>
        </w:rPr>
        <w:t xml:space="preserve"> </w:t>
      </w:r>
      <w:r>
        <w:t>Coordinators</w:t>
      </w:r>
      <w:r>
        <w:rPr>
          <w:spacing w:val="-15"/>
        </w:rPr>
        <w:t xml:space="preserve"> </w:t>
      </w:r>
      <w:r>
        <w:t>for</w:t>
      </w:r>
      <w:r>
        <w:rPr>
          <w:spacing w:val="-16"/>
        </w:rPr>
        <w:t xml:space="preserve"> </w:t>
      </w:r>
      <w:r>
        <w:t>the</w:t>
      </w:r>
      <w:r>
        <w:rPr>
          <w:spacing w:val="-13"/>
        </w:rPr>
        <w:t xml:space="preserve"> </w:t>
      </w:r>
      <w:r>
        <w:t>European</w:t>
      </w:r>
      <w:r>
        <w:rPr>
          <w:spacing w:val="-15"/>
        </w:rPr>
        <w:t xml:space="preserve"> </w:t>
      </w:r>
      <w:r>
        <w:t>Semester</w:t>
      </w:r>
      <w:r>
        <w:rPr>
          <w:spacing w:val="-57"/>
        </w:rPr>
        <w:t xml:space="preserve"> </w:t>
      </w:r>
      <w:r>
        <w:t>at the level of SAB officials have also been appointed and are responsible for developing and</w:t>
      </w:r>
      <w:r>
        <w:rPr>
          <w:spacing w:val="1"/>
        </w:rPr>
        <w:t xml:space="preserve"> </w:t>
      </w:r>
      <w:r>
        <w:t>implementing</w:t>
      </w:r>
      <w:r>
        <w:rPr>
          <w:spacing w:val="-4"/>
        </w:rPr>
        <w:t xml:space="preserve"> </w:t>
      </w:r>
      <w:r>
        <w:t>reform measures,</w:t>
      </w:r>
      <w:r>
        <w:rPr>
          <w:spacing w:val="-1"/>
        </w:rPr>
        <w:t xml:space="preserve"> </w:t>
      </w:r>
      <w:r>
        <w:t>as well as</w:t>
      </w:r>
      <w:r>
        <w:rPr>
          <w:spacing w:val="-1"/>
        </w:rPr>
        <w:t xml:space="preserve"> </w:t>
      </w:r>
      <w:r>
        <w:t>recommendations from</w:t>
      </w:r>
      <w:r>
        <w:rPr>
          <w:spacing w:val="-1"/>
        </w:rPr>
        <w:t xml:space="preserve"> </w:t>
      </w:r>
      <w:r>
        <w:t>the</w:t>
      </w:r>
      <w:r>
        <w:rPr>
          <w:spacing w:val="-1"/>
        </w:rPr>
        <w:t xml:space="preserve"> </w:t>
      </w:r>
      <w:r>
        <w:t>EU</w:t>
      </w:r>
      <w:r>
        <w:rPr>
          <w:spacing w:val="1"/>
        </w:rPr>
        <w:t xml:space="preserve"> </w:t>
      </w:r>
      <w:r>
        <w:t>Council.</w:t>
      </w:r>
    </w:p>
    <w:p w:rsidR="00A56FE9" w:rsidRDefault="00000000">
      <w:pPr>
        <w:pStyle w:val="Tijeloteksta"/>
        <w:spacing w:before="120"/>
        <w:ind w:right="271"/>
      </w:pPr>
      <w:r>
        <w:t>Importantly,</w:t>
      </w:r>
      <w:r>
        <w:rPr>
          <w:spacing w:val="-6"/>
        </w:rPr>
        <w:t xml:space="preserve"> </w:t>
      </w:r>
      <w:r>
        <w:t>Croatia</w:t>
      </w:r>
      <w:r>
        <w:rPr>
          <w:spacing w:val="-6"/>
        </w:rPr>
        <w:t xml:space="preserve"> </w:t>
      </w:r>
      <w:r>
        <w:t>has</w:t>
      </w:r>
      <w:r>
        <w:rPr>
          <w:spacing w:val="-5"/>
        </w:rPr>
        <w:t xml:space="preserve"> </w:t>
      </w:r>
      <w:r>
        <w:t>addressed</w:t>
      </w:r>
      <w:r>
        <w:rPr>
          <w:spacing w:val="-5"/>
        </w:rPr>
        <w:t xml:space="preserve"> </w:t>
      </w:r>
      <w:r>
        <w:t>key</w:t>
      </w:r>
      <w:r>
        <w:rPr>
          <w:spacing w:val="-10"/>
        </w:rPr>
        <w:t xml:space="preserve"> </w:t>
      </w:r>
      <w:r>
        <w:t>reforms</w:t>
      </w:r>
      <w:r>
        <w:rPr>
          <w:spacing w:val="-5"/>
        </w:rPr>
        <w:t xml:space="preserve"> </w:t>
      </w:r>
      <w:r>
        <w:t>for</w:t>
      </w:r>
      <w:r>
        <w:rPr>
          <w:spacing w:val="-8"/>
        </w:rPr>
        <w:t xml:space="preserve"> </w:t>
      </w:r>
      <w:r>
        <w:t>the</w:t>
      </w:r>
      <w:r>
        <w:rPr>
          <w:spacing w:val="-6"/>
        </w:rPr>
        <w:t xml:space="preserve"> </w:t>
      </w:r>
      <w:r>
        <w:t>period</w:t>
      </w:r>
      <w:r>
        <w:rPr>
          <w:spacing w:val="-6"/>
        </w:rPr>
        <w:t xml:space="preserve"> </w:t>
      </w:r>
      <w:r>
        <w:t>2021-2026</w:t>
      </w:r>
      <w:r>
        <w:rPr>
          <w:spacing w:val="-6"/>
        </w:rPr>
        <w:t xml:space="preserve"> </w:t>
      </w:r>
      <w:r>
        <w:t>within</w:t>
      </w:r>
      <w:r>
        <w:rPr>
          <w:spacing w:val="-5"/>
        </w:rPr>
        <w:t xml:space="preserve"> </w:t>
      </w:r>
      <w:r>
        <w:t>its</w:t>
      </w:r>
      <w:r>
        <w:rPr>
          <w:spacing w:val="-7"/>
        </w:rPr>
        <w:t xml:space="preserve"> </w:t>
      </w:r>
      <w:r>
        <w:t>NRRP,</w:t>
      </w:r>
      <w:r>
        <w:rPr>
          <w:spacing w:val="-6"/>
        </w:rPr>
        <w:t xml:space="preserve"> </w:t>
      </w:r>
      <w:r>
        <w:t>and</w:t>
      </w:r>
      <w:r>
        <w:rPr>
          <w:spacing w:val="-57"/>
        </w:rPr>
        <w:t xml:space="preserve"> </w:t>
      </w:r>
      <w:r>
        <w:t>this NRP has adopted those measures from the NRRP for which the implementation deadline</w:t>
      </w:r>
      <w:r>
        <w:rPr>
          <w:spacing w:val="1"/>
        </w:rPr>
        <w:t xml:space="preserve"> </w:t>
      </w:r>
      <w:r>
        <w:t>is</w:t>
      </w:r>
      <w:r>
        <w:rPr>
          <w:spacing w:val="-3"/>
        </w:rPr>
        <w:t xml:space="preserve"> </w:t>
      </w:r>
      <w:r>
        <w:t>in</w:t>
      </w:r>
      <w:r>
        <w:rPr>
          <w:spacing w:val="-5"/>
        </w:rPr>
        <w:t xml:space="preserve"> </w:t>
      </w:r>
      <w:r>
        <w:t>the</w:t>
      </w:r>
      <w:r>
        <w:rPr>
          <w:spacing w:val="-4"/>
        </w:rPr>
        <w:t xml:space="preserve"> </w:t>
      </w:r>
      <w:r>
        <w:t>period</w:t>
      </w:r>
      <w:r>
        <w:rPr>
          <w:spacing w:val="-3"/>
        </w:rPr>
        <w:t xml:space="preserve"> </w:t>
      </w:r>
      <w:r>
        <w:t>Q2/2022</w:t>
      </w:r>
      <w:r>
        <w:rPr>
          <w:spacing w:val="-6"/>
        </w:rPr>
        <w:t xml:space="preserve"> </w:t>
      </w:r>
      <w:r>
        <w:t>–</w:t>
      </w:r>
      <w:r>
        <w:rPr>
          <w:spacing w:val="-2"/>
        </w:rPr>
        <w:t xml:space="preserve"> </w:t>
      </w:r>
      <w:r>
        <w:t>Q1/2023,</w:t>
      </w:r>
      <w:r>
        <w:rPr>
          <w:spacing w:val="-4"/>
        </w:rPr>
        <w:t xml:space="preserve"> </w:t>
      </w:r>
      <w:r>
        <w:t>i.e.,</w:t>
      </w:r>
      <w:r>
        <w:rPr>
          <w:spacing w:val="-3"/>
        </w:rPr>
        <w:t xml:space="preserve"> </w:t>
      </w:r>
      <w:r>
        <w:t>in</w:t>
      </w:r>
      <w:r>
        <w:rPr>
          <w:spacing w:val="-5"/>
        </w:rPr>
        <w:t xml:space="preserve"> </w:t>
      </w:r>
      <w:r>
        <w:t>the</w:t>
      </w:r>
      <w:r>
        <w:rPr>
          <w:spacing w:val="-4"/>
        </w:rPr>
        <w:t xml:space="preserve"> </w:t>
      </w:r>
      <w:r>
        <w:t>period</w:t>
      </w:r>
      <w:r>
        <w:rPr>
          <w:spacing w:val="-3"/>
        </w:rPr>
        <w:t xml:space="preserve"> </w:t>
      </w:r>
      <w:r>
        <w:t>for</w:t>
      </w:r>
      <w:r>
        <w:rPr>
          <w:spacing w:val="-5"/>
        </w:rPr>
        <w:t xml:space="preserve"> </w:t>
      </w:r>
      <w:r>
        <w:t>implementing</w:t>
      </w:r>
      <w:r>
        <w:rPr>
          <w:spacing w:val="-5"/>
        </w:rPr>
        <w:t xml:space="preserve"> </w:t>
      </w:r>
      <w:r>
        <w:t>this</w:t>
      </w:r>
      <w:r>
        <w:rPr>
          <w:spacing w:val="-6"/>
        </w:rPr>
        <w:t xml:space="preserve"> </w:t>
      </w:r>
      <w:r>
        <w:t>NRP.</w:t>
      </w:r>
      <w:r>
        <w:rPr>
          <w:spacing w:val="-1"/>
        </w:rPr>
        <w:t xml:space="preserve"> </w:t>
      </w:r>
      <w:r>
        <w:t>The</w:t>
      </w:r>
      <w:r>
        <w:rPr>
          <w:spacing w:val="-5"/>
        </w:rPr>
        <w:t xml:space="preserve"> </w:t>
      </w:r>
      <w:r>
        <w:t>reforms</w:t>
      </w:r>
      <w:r>
        <w:rPr>
          <w:spacing w:val="-57"/>
        </w:rPr>
        <w:t xml:space="preserve"> </w:t>
      </w:r>
      <w:r>
        <w:t>in</w:t>
      </w:r>
      <w:r>
        <w:rPr>
          <w:spacing w:val="-3"/>
        </w:rPr>
        <w:t xml:space="preserve"> </w:t>
      </w:r>
      <w:r>
        <w:t>question</w:t>
      </w:r>
      <w:r>
        <w:rPr>
          <w:spacing w:val="-4"/>
        </w:rPr>
        <w:t xml:space="preserve"> </w:t>
      </w:r>
      <w:r>
        <w:t>have</w:t>
      </w:r>
      <w:r>
        <w:rPr>
          <w:spacing w:val="-5"/>
        </w:rPr>
        <w:t xml:space="preserve"> </w:t>
      </w:r>
      <w:r>
        <w:t>already</w:t>
      </w:r>
      <w:r>
        <w:rPr>
          <w:spacing w:val="-6"/>
        </w:rPr>
        <w:t xml:space="preserve"> </w:t>
      </w:r>
      <w:r>
        <w:t>been</w:t>
      </w:r>
      <w:r>
        <w:rPr>
          <w:spacing w:val="-3"/>
        </w:rPr>
        <w:t xml:space="preserve"> </w:t>
      </w:r>
      <w:r>
        <w:t>communicated</w:t>
      </w:r>
      <w:r>
        <w:rPr>
          <w:spacing w:val="-3"/>
        </w:rPr>
        <w:t xml:space="preserve"> </w:t>
      </w:r>
      <w:r>
        <w:t>to</w:t>
      </w:r>
      <w:r>
        <w:rPr>
          <w:spacing w:val="-3"/>
        </w:rPr>
        <w:t xml:space="preserve"> </w:t>
      </w:r>
      <w:r>
        <w:t>key</w:t>
      </w:r>
      <w:r>
        <w:rPr>
          <w:spacing w:val="-9"/>
        </w:rPr>
        <w:t xml:space="preserve"> </w:t>
      </w:r>
      <w:r>
        <w:t>stakeholders</w:t>
      </w:r>
      <w:r>
        <w:rPr>
          <w:spacing w:val="-4"/>
        </w:rPr>
        <w:t xml:space="preserve"> </w:t>
      </w:r>
      <w:r>
        <w:t>and</w:t>
      </w:r>
      <w:r>
        <w:rPr>
          <w:spacing w:val="-3"/>
        </w:rPr>
        <w:t xml:space="preserve"> </w:t>
      </w:r>
      <w:r>
        <w:t>the</w:t>
      </w:r>
      <w:r>
        <w:rPr>
          <w:spacing w:val="-4"/>
        </w:rPr>
        <w:t xml:space="preserve"> </w:t>
      </w:r>
      <w:r>
        <w:t>public</w:t>
      </w:r>
      <w:r>
        <w:rPr>
          <w:spacing w:val="-5"/>
        </w:rPr>
        <w:t xml:space="preserve"> </w:t>
      </w:r>
      <w:r>
        <w:t>in</w:t>
      </w:r>
      <w:r>
        <w:rPr>
          <w:spacing w:val="-3"/>
        </w:rPr>
        <w:t xml:space="preserve"> </w:t>
      </w:r>
      <w:r>
        <w:t>the</w:t>
      </w:r>
      <w:r>
        <w:rPr>
          <w:spacing w:val="-5"/>
        </w:rPr>
        <w:t xml:space="preserve"> </w:t>
      </w:r>
      <w:r>
        <w:t>phase</w:t>
      </w:r>
      <w:r>
        <w:rPr>
          <w:spacing w:val="-4"/>
        </w:rPr>
        <w:t xml:space="preserve"> </w:t>
      </w:r>
      <w:r>
        <w:t>of</w:t>
      </w:r>
      <w:r>
        <w:rPr>
          <w:spacing w:val="-58"/>
        </w:rPr>
        <w:t xml:space="preserve"> </w:t>
      </w:r>
      <w:r>
        <w:t>drafting the NRRP, i.e., they are communicated in the preparatory phase of the reforms when</w:t>
      </w:r>
      <w:r>
        <w:rPr>
          <w:spacing w:val="1"/>
        </w:rPr>
        <w:t xml:space="preserve"> </w:t>
      </w:r>
      <w:r>
        <w:t>the social partners are involved in drafting laws and/or bylaws, and the interested public is</w:t>
      </w:r>
      <w:r>
        <w:rPr>
          <w:spacing w:val="1"/>
        </w:rPr>
        <w:t xml:space="preserve"> </w:t>
      </w:r>
      <w:r>
        <w:t>involved</w:t>
      </w:r>
      <w:r>
        <w:rPr>
          <w:spacing w:val="-6"/>
        </w:rPr>
        <w:t xml:space="preserve"> </w:t>
      </w:r>
      <w:r>
        <w:t>in</w:t>
      </w:r>
      <w:r>
        <w:rPr>
          <w:spacing w:val="-6"/>
        </w:rPr>
        <w:t xml:space="preserve"> </w:t>
      </w:r>
      <w:r>
        <w:t>consultations</w:t>
      </w:r>
      <w:r>
        <w:rPr>
          <w:spacing w:val="-10"/>
        </w:rPr>
        <w:t xml:space="preserve"> </w:t>
      </w:r>
      <w:r>
        <w:t>provided</w:t>
      </w:r>
      <w:r>
        <w:rPr>
          <w:spacing w:val="-6"/>
        </w:rPr>
        <w:t xml:space="preserve"> </w:t>
      </w:r>
      <w:r>
        <w:t>to</w:t>
      </w:r>
      <w:r>
        <w:rPr>
          <w:spacing w:val="-5"/>
        </w:rPr>
        <w:t xml:space="preserve"> </w:t>
      </w:r>
      <w:r>
        <w:t>the</w:t>
      </w:r>
      <w:r>
        <w:rPr>
          <w:spacing w:val="-6"/>
        </w:rPr>
        <w:t xml:space="preserve"> </w:t>
      </w:r>
      <w:r>
        <w:t>interested</w:t>
      </w:r>
      <w:r>
        <w:rPr>
          <w:spacing w:val="-7"/>
        </w:rPr>
        <w:t xml:space="preserve"> </w:t>
      </w:r>
      <w:r>
        <w:t>public,</w:t>
      </w:r>
      <w:r>
        <w:rPr>
          <w:spacing w:val="-6"/>
        </w:rPr>
        <w:t xml:space="preserve"> </w:t>
      </w:r>
      <w:r>
        <w:t>and</w:t>
      </w:r>
      <w:r>
        <w:rPr>
          <w:spacing w:val="-6"/>
        </w:rPr>
        <w:t xml:space="preserve"> </w:t>
      </w:r>
      <w:r>
        <w:t>which</w:t>
      </w:r>
      <w:r>
        <w:rPr>
          <w:spacing w:val="-6"/>
        </w:rPr>
        <w:t xml:space="preserve"> </w:t>
      </w:r>
      <w:r>
        <w:t>may</w:t>
      </w:r>
      <w:r>
        <w:rPr>
          <w:spacing w:val="-13"/>
        </w:rPr>
        <w:t xml:space="preserve"> </w:t>
      </w:r>
      <w:r>
        <w:t>affect</w:t>
      </w:r>
      <w:r>
        <w:rPr>
          <w:spacing w:val="-5"/>
        </w:rPr>
        <w:t xml:space="preserve"> </w:t>
      </w:r>
      <w:r>
        <w:t>the</w:t>
      </w:r>
      <w:r>
        <w:rPr>
          <w:spacing w:val="-7"/>
        </w:rPr>
        <w:t xml:space="preserve"> </w:t>
      </w:r>
      <w:r>
        <w:t>content</w:t>
      </w:r>
      <w:r>
        <w:rPr>
          <w:spacing w:val="-6"/>
        </w:rPr>
        <w:t xml:space="preserve"> </w:t>
      </w:r>
      <w:r>
        <w:t>of</w:t>
      </w:r>
      <w:r>
        <w:rPr>
          <w:spacing w:val="-58"/>
        </w:rPr>
        <w:t xml:space="preserve"> </w:t>
      </w:r>
      <w:r>
        <w:t>the</w:t>
      </w:r>
      <w:r>
        <w:rPr>
          <w:spacing w:val="-1"/>
        </w:rPr>
        <w:t xml:space="preserve"> </w:t>
      </w:r>
      <w:r>
        <w:t>final decisions in line</w:t>
      </w:r>
      <w:r>
        <w:rPr>
          <w:spacing w:val="-1"/>
        </w:rPr>
        <w:t xml:space="preserve"> </w:t>
      </w:r>
      <w:r>
        <w:t>with</w:t>
      </w:r>
      <w:r>
        <w:rPr>
          <w:spacing w:val="1"/>
        </w:rPr>
        <w:t xml:space="preserve"> </w:t>
      </w:r>
      <w:r>
        <w:t>the</w:t>
      </w:r>
      <w:r>
        <w:rPr>
          <w:spacing w:val="-1"/>
        </w:rPr>
        <w:t xml:space="preserve"> </w:t>
      </w:r>
      <w:r>
        <w:t>procedure</w:t>
      </w:r>
      <w:r>
        <w:rPr>
          <w:spacing w:val="-1"/>
        </w:rPr>
        <w:t xml:space="preserve"> </w:t>
      </w:r>
      <w:r>
        <w:t>for</w:t>
      </w:r>
      <w:r>
        <w:rPr>
          <w:spacing w:val="-2"/>
        </w:rPr>
        <w:t xml:space="preserve"> </w:t>
      </w:r>
      <w:r>
        <w:t>passing</w:t>
      </w:r>
      <w:r>
        <w:rPr>
          <w:spacing w:val="-3"/>
        </w:rPr>
        <w:t xml:space="preserve"> </w:t>
      </w:r>
      <w:r>
        <w:t>laws.</w:t>
      </w:r>
    </w:p>
    <w:p w:rsidR="00A56FE9" w:rsidRDefault="00000000">
      <w:pPr>
        <w:pStyle w:val="Tijeloteksta"/>
        <w:spacing w:before="120"/>
        <w:ind w:right="272"/>
      </w:pPr>
      <w:r>
        <w:t>On 4 April 2022, at the session of the Economic and Social Council (ESC/GSV), we informed</w:t>
      </w:r>
      <w:r>
        <w:rPr>
          <w:spacing w:val="-57"/>
        </w:rPr>
        <w:t xml:space="preserve"> </w:t>
      </w:r>
      <w:r>
        <w:t>the</w:t>
      </w:r>
      <w:r>
        <w:rPr>
          <w:spacing w:val="-13"/>
        </w:rPr>
        <w:t xml:space="preserve"> </w:t>
      </w:r>
      <w:r>
        <w:t>participants</w:t>
      </w:r>
      <w:r>
        <w:rPr>
          <w:spacing w:val="-11"/>
        </w:rPr>
        <w:t xml:space="preserve"> </w:t>
      </w:r>
      <w:r>
        <w:t>about</w:t>
      </w:r>
      <w:r>
        <w:rPr>
          <w:spacing w:val="-11"/>
        </w:rPr>
        <w:t xml:space="preserve"> </w:t>
      </w:r>
      <w:r>
        <w:t>the</w:t>
      </w:r>
      <w:r>
        <w:rPr>
          <w:spacing w:val="-12"/>
        </w:rPr>
        <w:t xml:space="preserve"> </w:t>
      </w:r>
      <w:r>
        <w:t>process</w:t>
      </w:r>
      <w:r>
        <w:rPr>
          <w:spacing w:val="-11"/>
        </w:rPr>
        <w:t xml:space="preserve"> </w:t>
      </w:r>
      <w:r>
        <w:t>of</w:t>
      </w:r>
      <w:r>
        <w:rPr>
          <w:spacing w:val="-12"/>
        </w:rPr>
        <w:t xml:space="preserve"> </w:t>
      </w:r>
      <w:r>
        <w:t>drafting</w:t>
      </w:r>
      <w:r>
        <w:rPr>
          <w:spacing w:val="-13"/>
        </w:rPr>
        <w:t xml:space="preserve"> </w:t>
      </w:r>
      <w:r>
        <w:t>the</w:t>
      </w:r>
      <w:r>
        <w:rPr>
          <w:spacing w:val="-12"/>
        </w:rPr>
        <w:t xml:space="preserve"> </w:t>
      </w:r>
      <w:r>
        <w:t>NRP,</w:t>
      </w:r>
      <w:r>
        <w:rPr>
          <w:spacing w:val="-9"/>
        </w:rPr>
        <w:t xml:space="preserve"> </w:t>
      </w:r>
      <w:r>
        <w:t>and</w:t>
      </w:r>
      <w:r>
        <w:rPr>
          <w:spacing w:val="-11"/>
        </w:rPr>
        <w:t xml:space="preserve"> </w:t>
      </w:r>
      <w:r>
        <w:t>subsequently,</w:t>
      </w:r>
      <w:r>
        <w:rPr>
          <w:spacing w:val="-11"/>
        </w:rPr>
        <w:t xml:space="preserve"> </w:t>
      </w:r>
      <w:r>
        <w:t>on</w:t>
      </w:r>
      <w:r>
        <w:rPr>
          <w:spacing w:val="-9"/>
        </w:rPr>
        <w:t xml:space="preserve"> </w:t>
      </w:r>
      <w:r>
        <w:t>19</w:t>
      </w:r>
      <w:r>
        <w:rPr>
          <w:spacing w:val="-10"/>
        </w:rPr>
        <w:t xml:space="preserve"> </w:t>
      </w:r>
      <w:r>
        <w:t>April,</w:t>
      </w:r>
      <w:r>
        <w:rPr>
          <w:spacing w:val="-11"/>
        </w:rPr>
        <w:t xml:space="preserve"> </w:t>
      </w:r>
      <w:r>
        <w:t>a</w:t>
      </w:r>
      <w:r>
        <w:rPr>
          <w:spacing w:val="-12"/>
        </w:rPr>
        <w:t xml:space="preserve"> </w:t>
      </w:r>
      <w:r>
        <w:t>meeting</w:t>
      </w:r>
      <w:r>
        <w:rPr>
          <w:spacing w:val="-58"/>
        </w:rPr>
        <w:t xml:space="preserve"> </w:t>
      </w:r>
      <w:r>
        <w:t>was held with social partners to inform them about planned measures and activities. After the</w:t>
      </w:r>
      <w:r>
        <w:rPr>
          <w:spacing w:val="1"/>
        </w:rPr>
        <w:t xml:space="preserve"> </w:t>
      </w:r>
      <w:r>
        <w:t>adoption of the NRP, the Government presents the document to the Croatian Parliament, the</w:t>
      </w:r>
      <w:r>
        <w:rPr>
          <w:spacing w:val="1"/>
        </w:rPr>
        <w:t xml:space="preserve"> </w:t>
      </w:r>
      <w:r>
        <w:t>Committee</w:t>
      </w:r>
      <w:r>
        <w:rPr>
          <w:spacing w:val="-3"/>
        </w:rPr>
        <w:t xml:space="preserve"> </w:t>
      </w:r>
      <w:r>
        <w:t>on European</w:t>
      </w:r>
      <w:r>
        <w:rPr>
          <w:spacing w:val="2"/>
        </w:rPr>
        <w:t xml:space="preserve"> </w:t>
      </w:r>
      <w:r>
        <w:t>Affairs.</w:t>
      </w: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A56FE9">
      <w:pPr>
        <w:pStyle w:val="Tijeloteksta"/>
        <w:ind w:left="0"/>
        <w:jc w:val="left"/>
        <w:rPr>
          <w:sz w:val="20"/>
        </w:rPr>
      </w:pPr>
    </w:p>
    <w:p w:rsidR="00A56FE9" w:rsidRDefault="00CC1B9B">
      <w:pPr>
        <w:pStyle w:val="Tijeloteksta"/>
        <w:spacing w:before="2"/>
        <w:ind w:left="0"/>
        <w:jc w:val="left"/>
        <w:rPr>
          <w:sz w:val="11"/>
        </w:rPr>
      </w:pPr>
      <w:r>
        <w:rPr>
          <w:noProof/>
        </w:rPr>
        <mc:AlternateContent>
          <mc:Choice Requires="wps">
            <w:drawing>
              <wp:anchor distT="0" distB="0" distL="0" distR="0" simplePos="0" relativeHeight="487711232" behindDoc="1" locked="0" layoutInCell="1" allowOverlap="1">
                <wp:simplePos x="0" y="0"/>
                <wp:positionH relativeFrom="page">
                  <wp:posOffset>901065</wp:posOffset>
                </wp:positionH>
                <wp:positionV relativeFrom="paragraph">
                  <wp:posOffset>106680</wp:posOffset>
                </wp:positionV>
                <wp:extent cx="1828800" cy="7620"/>
                <wp:effectExtent l="0" t="0" r="0" b="0"/>
                <wp:wrapTopAndBottom/>
                <wp:docPr id="124808650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CD9EC" id="Rectangle 6" o:spid="_x0000_s1026" style="position:absolute;margin-left:70.95pt;margin-top:8.4pt;width:2in;height:.6pt;z-index:-15605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" fillcolor="black" stroked="f">
                <w10:wrap type="topAndBottom" anchorx="page"/>
              </v:rect>
            </w:pict>
          </mc:Fallback>
        </mc:AlternateContent>
      </w:r>
    </w:p>
    <w:p w:rsidR="00A56FE9" w:rsidRDefault="00000000">
      <w:pPr>
        <w:spacing w:before="76"/>
        <w:ind w:left="138"/>
        <w:rPr>
          <w:sz w:val="16"/>
        </w:rPr>
      </w:pPr>
      <w:r>
        <w:rPr>
          <w:sz w:val="16"/>
          <w:vertAlign w:val="superscript"/>
        </w:rPr>
        <w:t>55</w:t>
      </w:r>
      <w:r>
        <w:rPr>
          <w:spacing w:val="-3"/>
          <w:sz w:val="16"/>
        </w:rPr>
        <w:t xml:space="preserve"> </w:t>
      </w:r>
      <w:r>
        <w:rPr>
          <w:sz w:val="16"/>
        </w:rPr>
        <w:t>OG</w:t>
      </w:r>
      <w:r>
        <w:rPr>
          <w:spacing w:val="-6"/>
          <w:sz w:val="16"/>
        </w:rPr>
        <w:t xml:space="preserve"> </w:t>
      </w:r>
      <w:r>
        <w:rPr>
          <w:sz w:val="16"/>
        </w:rPr>
        <w:t>13/17,</w:t>
      </w:r>
      <w:r>
        <w:rPr>
          <w:spacing w:val="-4"/>
          <w:sz w:val="16"/>
        </w:rPr>
        <w:t xml:space="preserve"> </w:t>
      </w:r>
      <w:r>
        <w:rPr>
          <w:sz w:val="16"/>
        </w:rPr>
        <w:t>51/17,</w:t>
      </w:r>
      <w:r>
        <w:rPr>
          <w:spacing w:val="-5"/>
          <w:sz w:val="16"/>
        </w:rPr>
        <w:t xml:space="preserve"> </w:t>
      </w:r>
      <w:r>
        <w:rPr>
          <w:sz w:val="16"/>
        </w:rPr>
        <w:t>97/17,</w:t>
      </w:r>
      <w:r>
        <w:rPr>
          <w:spacing w:val="-4"/>
          <w:sz w:val="16"/>
        </w:rPr>
        <w:t xml:space="preserve"> </w:t>
      </w:r>
      <w:r>
        <w:rPr>
          <w:sz w:val="16"/>
        </w:rPr>
        <w:t>50/18,</w:t>
      </w:r>
      <w:r>
        <w:rPr>
          <w:spacing w:val="-5"/>
          <w:sz w:val="16"/>
        </w:rPr>
        <w:t xml:space="preserve"> </w:t>
      </w:r>
      <w:r>
        <w:rPr>
          <w:sz w:val="16"/>
        </w:rPr>
        <w:t>74/19,</w:t>
      </w:r>
      <w:r>
        <w:rPr>
          <w:spacing w:val="-1"/>
          <w:sz w:val="16"/>
        </w:rPr>
        <w:t xml:space="preserve"> </w:t>
      </w:r>
      <w:r>
        <w:rPr>
          <w:sz w:val="16"/>
        </w:rPr>
        <w:t>16/20,</w:t>
      </w:r>
      <w:r>
        <w:rPr>
          <w:spacing w:val="-5"/>
          <w:sz w:val="16"/>
        </w:rPr>
        <w:t xml:space="preserve"> </w:t>
      </w:r>
      <w:r>
        <w:rPr>
          <w:sz w:val="16"/>
        </w:rPr>
        <w:t>89/20</w:t>
      </w:r>
      <w:r>
        <w:rPr>
          <w:spacing w:val="-2"/>
          <w:sz w:val="16"/>
        </w:rPr>
        <w:t xml:space="preserve"> </w:t>
      </w:r>
      <w:r>
        <w:rPr>
          <w:sz w:val="16"/>
        </w:rPr>
        <w:t>and</w:t>
      </w:r>
      <w:r>
        <w:rPr>
          <w:spacing w:val="-3"/>
          <w:sz w:val="16"/>
        </w:rPr>
        <w:t xml:space="preserve"> </w:t>
      </w:r>
      <w:r>
        <w:rPr>
          <w:sz w:val="16"/>
        </w:rPr>
        <w:t>37/22</w:t>
      </w:r>
    </w:p>
    <w:p w:rsidR="00A56FE9" w:rsidRDefault="00A56FE9">
      <w:pPr>
        <w:rPr>
          <w:sz w:val="16"/>
        </w:rPr>
        <w:sectPr w:rsidR="00A56FE9" w:rsidSect="00AB1E70">
          <w:pgSz w:w="11910" w:h="16840"/>
          <w:pgMar w:top="1320" w:right="1140" w:bottom="960" w:left="1280" w:header="0" w:footer="779" w:gutter="0"/>
          <w:cols w:space="720"/>
        </w:sectPr>
      </w:pPr>
    </w:p>
    <w:p w:rsidR="00A56FE9" w:rsidRDefault="00A56FE9">
      <w:pPr>
        <w:pStyle w:val="Tijeloteksta"/>
        <w:spacing w:before="1"/>
        <w:ind w:left="0"/>
        <w:jc w:val="left"/>
      </w:pPr>
    </w:p>
    <w:p w:rsidR="00A56FE9" w:rsidRDefault="00000000">
      <w:pPr>
        <w:pStyle w:val="Naslov1"/>
        <w:spacing w:before="35" w:line="240" w:lineRule="auto"/>
        <w:ind w:left="958"/>
      </w:pPr>
      <w:bookmarkStart w:id="34" w:name="_bookmark34"/>
      <w:bookmarkEnd w:id="34"/>
      <w:r>
        <w:rPr>
          <w:color w:val="003399"/>
        </w:rPr>
        <w:t>Appendices</w:t>
      </w:r>
    </w:p>
    <w:p w:rsidR="00A56FE9" w:rsidRDefault="00A56FE9">
      <w:pPr>
        <w:pStyle w:val="Tijeloteksta"/>
        <w:spacing w:before="12"/>
        <w:ind w:left="0"/>
        <w:jc w:val="left"/>
        <w:rPr>
          <w:rFonts w:ascii="Calibri Light"/>
          <w:sz w:val="23"/>
        </w:rPr>
      </w:pPr>
    </w:p>
    <w:p w:rsidR="00A56FE9" w:rsidRDefault="00000000">
      <w:pPr>
        <w:ind w:left="958" w:right="1034"/>
        <w:jc w:val="both"/>
        <w:rPr>
          <w:sz w:val="24"/>
        </w:rPr>
      </w:pPr>
      <w:r>
        <w:rPr>
          <w:color w:val="003399"/>
          <w:sz w:val="24"/>
        </w:rPr>
        <w:t xml:space="preserve">Appendix 1. </w:t>
      </w:r>
      <w:r>
        <w:rPr>
          <w:b/>
          <w:color w:val="003399"/>
          <w:sz w:val="24"/>
        </w:rPr>
        <w:t>Croatia's Contribution to Implementing the Recommendations of the EU Council</w:t>
      </w:r>
      <w:r>
        <w:rPr>
          <w:b/>
          <w:color w:val="003399"/>
          <w:spacing w:val="1"/>
          <w:sz w:val="24"/>
        </w:rPr>
        <w:t xml:space="preserve"> </w:t>
      </w:r>
      <w:r>
        <w:rPr>
          <w:color w:val="003399"/>
          <w:sz w:val="24"/>
        </w:rPr>
        <w:t>has been updated in the EC CESAR</w:t>
      </w:r>
      <w:r>
        <w:rPr>
          <w:color w:val="003399"/>
          <w:spacing w:val="1"/>
          <w:sz w:val="24"/>
        </w:rPr>
        <w:t xml:space="preserve"> </w:t>
      </w:r>
      <w:r>
        <w:rPr>
          <w:color w:val="003399"/>
          <w:sz w:val="24"/>
        </w:rPr>
        <w:t xml:space="preserve">information system, while Appendix 2. </w:t>
      </w:r>
      <w:r>
        <w:rPr>
          <w:b/>
          <w:color w:val="003399"/>
          <w:sz w:val="24"/>
        </w:rPr>
        <w:t xml:space="preserve">Implementation of Measures from the National Recovery and Resilience Program </w:t>
      </w:r>
      <w:r>
        <w:rPr>
          <w:color w:val="003399"/>
          <w:sz w:val="24"/>
        </w:rPr>
        <w:t>has been updated</w:t>
      </w:r>
      <w:r>
        <w:rPr>
          <w:color w:val="003399"/>
          <w:spacing w:val="1"/>
          <w:sz w:val="24"/>
        </w:rPr>
        <w:t xml:space="preserve"> </w:t>
      </w:r>
      <w:r>
        <w:rPr>
          <w:color w:val="003399"/>
          <w:sz w:val="24"/>
        </w:rPr>
        <w:t>in</w:t>
      </w:r>
      <w:r>
        <w:rPr>
          <w:color w:val="003399"/>
          <w:spacing w:val="-3"/>
          <w:sz w:val="24"/>
        </w:rPr>
        <w:t xml:space="preserve"> </w:t>
      </w:r>
      <w:r>
        <w:rPr>
          <w:color w:val="003399"/>
          <w:sz w:val="24"/>
        </w:rPr>
        <w:t>the</w:t>
      </w:r>
      <w:r>
        <w:rPr>
          <w:color w:val="003399"/>
          <w:spacing w:val="-3"/>
          <w:sz w:val="24"/>
        </w:rPr>
        <w:t xml:space="preserve"> </w:t>
      </w:r>
      <w:r>
        <w:rPr>
          <w:color w:val="003399"/>
          <w:sz w:val="24"/>
        </w:rPr>
        <w:t>EC FENIX</w:t>
      </w:r>
      <w:r>
        <w:rPr>
          <w:color w:val="003399"/>
          <w:spacing w:val="-2"/>
          <w:sz w:val="24"/>
        </w:rPr>
        <w:t xml:space="preserve"> </w:t>
      </w:r>
      <w:r>
        <w:rPr>
          <w:color w:val="003399"/>
          <w:sz w:val="24"/>
        </w:rPr>
        <w:t>information</w:t>
      </w:r>
      <w:r>
        <w:rPr>
          <w:color w:val="003399"/>
          <w:spacing w:val="-3"/>
          <w:sz w:val="24"/>
        </w:rPr>
        <w:t xml:space="preserve"> </w:t>
      </w:r>
      <w:r>
        <w:rPr>
          <w:color w:val="003399"/>
          <w:sz w:val="24"/>
        </w:rPr>
        <w:t>system. The</w:t>
      </w:r>
      <w:r>
        <w:rPr>
          <w:color w:val="003399"/>
          <w:spacing w:val="-3"/>
          <w:sz w:val="24"/>
        </w:rPr>
        <w:t xml:space="preserve"> </w:t>
      </w:r>
      <w:r>
        <w:rPr>
          <w:color w:val="003399"/>
          <w:sz w:val="24"/>
        </w:rPr>
        <w:t>NRP</w:t>
      </w:r>
      <w:r>
        <w:rPr>
          <w:color w:val="003399"/>
          <w:spacing w:val="-2"/>
          <w:sz w:val="24"/>
        </w:rPr>
        <w:t xml:space="preserve"> </w:t>
      </w:r>
      <w:r>
        <w:rPr>
          <w:color w:val="003399"/>
          <w:sz w:val="24"/>
        </w:rPr>
        <w:t>text,</w:t>
      </w:r>
      <w:r>
        <w:rPr>
          <w:color w:val="003399"/>
          <w:spacing w:val="-3"/>
          <w:sz w:val="24"/>
        </w:rPr>
        <w:t xml:space="preserve"> </w:t>
      </w:r>
      <w:r>
        <w:rPr>
          <w:color w:val="003399"/>
          <w:sz w:val="24"/>
        </w:rPr>
        <w:t>Croatia’s</w:t>
      </w:r>
      <w:r>
        <w:rPr>
          <w:color w:val="003399"/>
          <w:spacing w:val="-3"/>
          <w:sz w:val="24"/>
        </w:rPr>
        <w:t xml:space="preserve"> </w:t>
      </w:r>
      <w:r>
        <w:rPr>
          <w:color w:val="003399"/>
          <w:sz w:val="24"/>
        </w:rPr>
        <w:t>contribution</w:t>
      </w:r>
      <w:r>
        <w:rPr>
          <w:color w:val="003399"/>
          <w:spacing w:val="-3"/>
          <w:sz w:val="24"/>
        </w:rPr>
        <w:t xml:space="preserve"> </w:t>
      </w:r>
      <w:r>
        <w:rPr>
          <w:color w:val="003399"/>
          <w:sz w:val="24"/>
        </w:rPr>
        <w:t>to</w:t>
      </w:r>
      <w:r>
        <w:rPr>
          <w:color w:val="003399"/>
          <w:spacing w:val="-2"/>
          <w:sz w:val="24"/>
        </w:rPr>
        <w:t xml:space="preserve"> </w:t>
      </w:r>
      <w:r>
        <w:rPr>
          <w:color w:val="003399"/>
          <w:sz w:val="24"/>
        </w:rPr>
        <w:t>the</w:t>
      </w:r>
      <w:r>
        <w:rPr>
          <w:color w:val="003399"/>
          <w:spacing w:val="-3"/>
          <w:sz w:val="24"/>
        </w:rPr>
        <w:t xml:space="preserve"> </w:t>
      </w:r>
      <w:r>
        <w:rPr>
          <w:color w:val="003399"/>
          <w:sz w:val="24"/>
        </w:rPr>
        <w:t>implementation</w:t>
      </w:r>
      <w:r>
        <w:rPr>
          <w:color w:val="003399"/>
          <w:spacing w:val="-2"/>
          <w:sz w:val="24"/>
        </w:rPr>
        <w:t xml:space="preserve"> </w:t>
      </w:r>
      <w:r>
        <w:rPr>
          <w:color w:val="003399"/>
          <w:sz w:val="24"/>
        </w:rPr>
        <w:t>of</w:t>
      </w:r>
      <w:r>
        <w:rPr>
          <w:color w:val="003399"/>
          <w:spacing w:val="-1"/>
          <w:sz w:val="24"/>
        </w:rPr>
        <w:t xml:space="preserve"> </w:t>
      </w:r>
      <w:r>
        <w:rPr>
          <w:color w:val="003399"/>
          <w:sz w:val="24"/>
        </w:rPr>
        <w:t>the</w:t>
      </w:r>
      <w:r>
        <w:rPr>
          <w:color w:val="003399"/>
          <w:spacing w:val="-3"/>
          <w:sz w:val="24"/>
        </w:rPr>
        <w:t xml:space="preserve"> </w:t>
      </w:r>
      <w:r>
        <w:rPr>
          <w:color w:val="003399"/>
          <w:sz w:val="24"/>
        </w:rPr>
        <w:t>recommendations</w:t>
      </w:r>
      <w:r>
        <w:rPr>
          <w:color w:val="003399"/>
          <w:spacing w:val="-3"/>
          <w:sz w:val="24"/>
        </w:rPr>
        <w:t xml:space="preserve"> </w:t>
      </w:r>
      <w:r>
        <w:rPr>
          <w:color w:val="003399"/>
          <w:sz w:val="24"/>
        </w:rPr>
        <w:t>of</w:t>
      </w:r>
      <w:r>
        <w:rPr>
          <w:color w:val="003399"/>
          <w:spacing w:val="-1"/>
          <w:sz w:val="24"/>
        </w:rPr>
        <w:t xml:space="preserve"> </w:t>
      </w:r>
      <w:r>
        <w:rPr>
          <w:color w:val="003399"/>
          <w:sz w:val="24"/>
        </w:rPr>
        <w:t>the</w:t>
      </w:r>
      <w:r>
        <w:rPr>
          <w:color w:val="003399"/>
          <w:spacing w:val="-4"/>
          <w:sz w:val="24"/>
        </w:rPr>
        <w:t xml:space="preserve"> </w:t>
      </w:r>
      <w:r>
        <w:rPr>
          <w:color w:val="003399"/>
          <w:sz w:val="24"/>
        </w:rPr>
        <w:t>EU</w:t>
      </w:r>
      <w:r>
        <w:rPr>
          <w:color w:val="003399"/>
          <w:spacing w:val="-4"/>
          <w:sz w:val="24"/>
        </w:rPr>
        <w:t xml:space="preserve"> </w:t>
      </w:r>
      <w:r>
        <w:rPr>
          <w:color w:val="003399"/>
          <w:sz w:val="24"/>
        </w:rPr>
        <w:t>Council</w:t>
      </w:r>
      <w:r>
        <w:rPr>
          <w:color w:val="003399"/>
          <w:spacing w:val="-1"/>
          <w:sz w:val="24"/>
        </w:rPr>
        <w:t xml:space="preserve"> </w:t>
      </w:r>
      <w:r>
        <w:rPr>
          <w:color w:val="003399"/>
          <w:sz w:val="24"/>
        </w:rPr>
        <w:t>and</w:t>
      </w:r>
      <w:r>
        <w:rPr>
          <w:color w:val="003399"/>
          <w:spacing w:val="-57"/>
          <w:sz w:val="24"/>
        </w:rPr>
        <w:t xml:space="preserve"> </w:t>
      </w:r>
      <w:r>
        <w:rPr>
          <w:color w:val="003399"/>
          <w:sz w:val="24"/>
        </w:rPr>
        <w:t>progress</w:t>
      </w:r>
      <w:r>
        <w:rPr>
          <w:color w:val="003399"/>
          <w:spacing w:val="-1"/>
          <w:sz w:val="24"/>
        </w:rPr>
        <w:t xml:space="preserve"> </w:t>
      </w:r>
      <w:r>
        <w:rPr>
          <w:color w:val="003399"/>
          <w:sz w:val="24"/>
        </w:rPr>
        <w:t>in</w:t>
      </w:r>
      <w:r>
        <w:rPr>
          <w:color w:val="003399"/>
          <w:spacing w:val="-1"/>
          <w:sz w:val="24"/>
        </w:rPr>
        <w:t xml:space="preserve"> </w:t>
      </w:r>
      <w:r>
        <w:rPr>
          <w:color w:val="003399"/>
          <w:sz w:val="24"/>
        </w:rPr>
        <w:t>implementing</w:t>
      </w:r>
      <w:r>
        <w:rPr>
          <w:color w:val="003399"/>
          <w:spacing w:val="-1"/>
          <w:sz w:val="24"/>
        </w:rPr>
        <w:t xml:space="preserve"> </w:t>
      </w:r>
      <w:r>
        <w:rPr>
          <w:color w:val="003399"/>
          <w:sz w:val="24"/>
        </w:rPr>
        <w:t>measures</w:t>
      </w:r>
      <w:r>
        <w:rPr>
          <w:color w:val="003399"/>
          <w:spacing w:val="-1"/>
          <w:sz w:val="24"/>
        </w:rPr>
        <w:t xml:space="preserve"> </w:t>
      </w:r>
      <w:r>
        <w:rPr>
          <w:color w:val="003399"/>
          <w:sz w:val="24"/>
        </w:rPr>
        <w:t>from the</w:t>
      </w:r>
      <w:r>
        <w:rPr>
          <w:color w:val="003399"/>
          <w:spacing w:val="-1"/>
          <w:sz w:val="24"/>
        </w:rPr>
        <w:t xml:space="preserve"> </w:t>
      </w:r>
      <w:r>
        <w:rPr>
          <w:color w:val="003399"/>
          <w:sz w:val="24"/>
        </w:rPr>
        <w:t>NRRP</w:t>
      </w:r>
      <w:r>
        <w:rPr>
          <w:color w:val="003399"/>
          <w:spacing w:val="-1"/>
          <w:sz w:val="24"/>
        </w:rPr>
        <w:t xml:space="preserve"> </w:t>
      </w:r>
      <w:r>
        <w:rPr>
          <w:color w:val="003399"/>
          <w:sz w:val="24"/>
        </w:rPr>
        <w:t>is</w:t>
      </w:r>
      <w:r>
        <w:rPr>
          <w:color w:val="003399"/>
          <w:spacing w:val="-1"/>
          <w:sz w:val="24"/>
        </w:rPr>
        <w:t xml:space="preserve"> </w:t>
      </w:r>
      <w:r>
        <w:rPr>
          <w:color w:val="003399"/>
          <w:sz w:val="24"/>
        </w:rPr>
        <w:t>contained under</w:t>
      </w:r>
      <w:r>
        <w:rPr>
          <w:color w:val="003399"/>
          <w:spacing w:val="-1"/>
          <w:sz w:val="24"/>
        </w:rPr>
        <w:t xml:space="preserve"> </w:t>
      </w:r>
      <w:r>
        <w:rPr>
          <w:color w:val="003399"/>
          <w:sz w:val="24"/>
        </w:rPr>
        <w:t>the</w:t>
      </w:r>
      <w:r>
        <w:rPr>
          <w:color w:val="003399"/>
          <w:spacing w:val="-1"/>
          <w:sz w:val="24"/>
        </w:rPr>
        <w:t xml:space="preserve"> </w:t>
      </w:r>
      <w:r>
        <w:rPr>
          <w:color w:val="003399"/>
          <w:sz w:val="24"/>
        </w:rPr>
        <w:t>sub-title</w:t>
      </w:r>
      <w:r>
        <w:rPr>
          <w:color w:val="003399"/>
          <w:spacing w:val="-2"/>
          <w:sz w:val="24"/>
        </w:rPr>
        <w:t xml:space="preserve"> </w:t>
      </w:r>
      <w:r>
        <w:rPr>
          <w:color w:val="003399"/>
          <w:sz w:val="24"/>
        </w:rPr>
        <w:t>of Progress</w:t>
      </w:r>
      <w:r>
        <w:rPr>
          <w:color w:val="003399"/>
          <w:spacing w:val="-1"/>
          <w:sz w:val="24"/>
        </w:rPr>
        <w:t xml:space="preserve"> </w:t>
      </w:r>
      <w:r>
        <w:rPr>
          <w:color w:val="003399"/>
          <w:sz w:val="24"/>
        </w:rPr>
        <w:t>in</w:t>
      </w:r>
      <w:r>
        <w:rPr>
          <w:color w:val="003399"/>
          <w:spacing w:val="-1"/>
          <w:sz w:val="24"/>
        </w:rPr>
        <w:t xml:space="preserve"> </w:t>
      </w:r>
      <w:r>
        <w:rPr>
          <w:color w:val="003399"/>
          <w:sz w:val="24"/>
        </w:rPr>
        <w:t>the Implementation of</w:t>
      </w:r>
      <w:r>
        <w:rPr>
          <w:color w:val="003399"/>
          <w:spacing w:val="-2"/>
          <w:sz w:val="24"/>
        </w:rPr>
        <w:t xml:space="preserve"> </w:t>
      </w:r>
      <w:r>
        <w:rPr>
          <w:color w:val="003399"/>
          <w:sz w:val="24"/>
        </w:rPr>
        <w:t>Recommendations.</w:t>
      </w:r>
    </w:p>
    <w:p w:rsidR="00A56FE9" w:rsidRDefault="00A56FE9">
      <w:pPr>
        <w:pStyle w:val="Tijeloteksta"/>
        <w:ind w:left="0"/>
        <w:jc w:val="left"/>
        <w:rPr>
          <w:sz w:val="26"/>
        </w:rPr>
      </w:pPr>
    </w:p>
    <w:p w:rsidR="00A56FE9" w:rsidRDefault="00000000">
      <w:pPr>
        <w:spacing w:before="218"/>
        <w:ind w:left="958"/>
        <w:jc w:val="both"/>
        <w:rPr>
          <w:sz w:val="24"/>
        </w:rPr>
      </w:pPr>
      <w:r>
        <w:rPr>
          <w:color w:val="003399"/>
          <w:sz w:val="24"/>
        </w:rPr>
        <w:t>Appendix</w:t>
      </w:r>
      <w:r>
        <w:rPr>
          <w:color w:val="003399"/>
          <w:spacing w:val="1"/>
          <w:sz w:val="24"/>
        </w:rPr>
        <w:t xml:space="preserve"> </w:t>
      </w:r>
      <w:r>
        <w:rPr>
          <w:color w:val="003399"/>
          <w:sz w:val="24"/>
        </w:rPr>
        <w:t>3.</w:t>
      </w:r>
      <w:r>
        <w:rPr>
          <w:color w:val="003399"/>
          <w:spacing w:val="-1"/>
          <w:sz w:val="24"/>
        </w:rPr>
        <w:t xml:space="preserve"> </w:t>
      </w:r>
      <w:r>
        <w:rPr>
          <w:b/>
          <w:color w:val="003399"/>
          <w:sz w:val="24"/>
        </w:rPr>
        <w:t>Reform</w:t>
      </w:r>
      <w:r>
        <w:rPr>
          <w:b/>
          <w:color w:val="003399"/>
          <w:spacing w:val="-5"/>
          <w:sz w:val="24"/>
        </w:rPr>
        <w:t xml:space="preserve"> </w:t>
      </w:r>
      <w:r>
        <w:rPr>
          <w:b/>
          <w:color w:val="003399"/>
          <w:sz w:val="24"/>
        </w:rPr>
        <w:t>priorities and</w:t>
      </w:r>
      <w:r>
        <w:rPr>
          <w:b/>
          <w:color w:val="003399"/>
          <w:spacing w:val="-1"/>
          <w:sz w:val="24"/>
        </w:rPr>
        <w:t xml:space="preserve"> </w:t>
      </w:r>
      <w:r>
        <w:rPr>
          <w:b/>
          <w:color w:val="003399"/>
          <w:sz w:val="24"/>
        </w:rPr>
        <w:t>economic</w:t>
      </w:r>
      <w:r>
        <w:rPr>
          <w:b/>
          <w:color w:val="003399"/>
          <w:spacing w:val="-1"/>
          <w:sz w:val="24"/>
        </w:rPr>
        <w:t xml:space="preserve"> </w:t>
      </w:r>
      <w:r>
        <w:rPr>
          <w:b/>
          <w:color w:val="003399"/>
          <w:sz w:val="24"/>
        </w:rPr>
        <w:t>policy measures</w:t>
      </w:r>
      <w:r>
        <w:rPr>
          <w:color w:val="003399"/>
          <w:sz w:val="24"/>
          <w:vertAlign w:val="superscript"/>
        </w:rPr>
        <w:t>56</w:t>
      </w:r>
    </w:p>
    <w:p w:rsidR="00A56FE9" w:rsidRDefault="00A56FE9">
      <w:pPr>
        <w:pStyle w:val="Tijeloteksta"/>
        <w:spacing w:before="4"/>
        <w:ind w:left="0"/>
        <w:jc w:val="left"/>
        <w:rPr>
          <w:sz w:val="21"/>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78"/>
        <w:gridCol w:w="1838"/>
        <w:gridCol w:w="569"/>
        <w:gridCol w:w="1840"/>
        <w:gridCol w:w="1137"/>
        <w:gridCol w:w="633"/>
        <w:gridCol w:w="604"/>
        <w:gridCol w:w="633"/>
        <w:gridCol w:w="508"/>
        <w:gridCol w:w="647"/>
        <w:gridCol w:w="844"/>
        <w:gridCol w:w="3105"/>
        <w:gridCol w:w="1127"/>
      </w:tblGrid>
      <w:tr w:rsidR="00A56FE9">
        <w:trPr>
          <w:trHeight w:val="397"/>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45" w:type="dxa"/>
            <w:gridSpan w:val="4"/>
            <w:tcBorders>
              <w:left w:val="single" w:sz="4" w:space="0" w:color="FFFFFF"/>
              <w:bottom w:val="single" w:sz="4" w:space="0" w:color="FFFFFF"/>
              <w:right w:val="nil"/>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nil"/>
              <w:bottom w:val="single" w:sz="4" w:space="0" w:color="FFFFFF"/>
              <w:right w:val="single" w:sz="4" w:space="0" w:color="FFFFFF"/>
            </w:tcBorders>
            <w:shd w:val="clear" w:color="auto" w:fill="2C398A"/>
          </w:tcPr>
          <w:p w:rsidR="00A56FE9" w:rsidRDefault="00000000">
            <w:pPr>
              <w:pStyle w:val="TableParagraph"/>
              <w:spacing w:before="109" w:line="139" w:lineRule="exact"/>
              <w:ind w:right="166"/>
              <w:jc w:val="right"/>
              <w:rPr>
                <w:b/>
                <w:sz w:val="16"/>
              </w:rPr>
            </w:pPr>
            <w:r>
              <w:rPr>
                <w:b/>
                <w:color w:val="FFFFFF"/>
                <w:sz w:val="16"/>
              </w:rPr>
              <w:t>Qualitative</w:t>
            </w:r>
          </w:p>
          <w:p w:rsidR="00A56FE9" w:rsidRDefault="00000000">
            <w:pPr>
              <w:pStyle w:val="TableParagraph"/>
              <w:tabs>
                <w:tab w:val="left" w:pos="1913"/>
                <w:tab w:val="left" w:pos="4484"/>
              </w:tabs>
              <w:spacing w:line="129" w:lineRule="exact"/>
              <w:ind w:left="248"/>
              <w:rPr>
                <w:b/>
                <w:sz w:val="16"/>
              </w:rPr>
            </w:pPr>
            <w:r>
              <w:rPr>
                <w:b/>
                <w:color w:val="FFFFFF"/>
                <w:sz w:val="16"/>
              </w:rPr>
              <w:t>Measure</w:t>
            </w:r>
            <w:r>
              <w:rPr>
                <w:b/>
                <w:color w:val="FFFFFF"/>
                <w:spacing w:val="1"/>
                <w:sz w:val="16"/>
              </w:rPr>
              <w:t xml:space="preserve"> </w:t>
            </w:r>
            <w:r>
              <w:rPr>
                <w:b/>
                <w:color w:val="FFFFFF"/>
                <w:sz w:val="16"/>
              </w:rPr>
              <w:t>(reform</w:t>
            </w:r>
            <w:r>
              <w:rPr>
                <w:b/>
                <w:color w:val="FFFFFF"/>
                <w:spacing w:val="-5"/>
                <w:sz w:val="16"/>
              </w:rPr>
              <w:t xml:space="preserve"> </w:t>
            </w:r>
            <w:r>
              <w:rPr>
                <w:b/>
                <w:color w:val="FFFFFF"/>
                <w:sz w:val="16"/>
              </w:rPr>
              <w:t>or</w:t>
            </w:r>
            <w:r>
              <w:rPr>
                <w:b/>
                <w:color w:val="FFFFFF"/>
                <w:sz w:val="16"/>
              </w:rPr>
              <w:tab/>
            </w:r>
            <w:r>
              <w:rPr>
                <w:b/>
                <w:color w:val="FFFFFF"/>
                <w:position w:val="9"/>
                <w:sz w:val="16"/>
              </w:rPr>
              <w:t>Milesto</w:t>
            </w:r>
            <w:r>
              <w:rPr>
                <w:b/>
                <w:color w:val="FFFFFF"/>
                <w:position w:val="9"/>
                <w:sz w:val="16"/>
              </w:rPr>
              <w:tab/>
            </w:r>
            <w:r>
              <w:rPr>
                <w:b/>
                <w:color w:val="FFFFFF"/>
                <w:sz w:val="16"/>
              </w:rPr>
              <w:t>indicators</w:t>
            </w:r>
          </w:p>
        </w:tc>
        <w:tc>
          <w:tcPr>
            <w:tcW w:w="1870" w:type="dxa"/>
            <w:gridSpan w:val="3"/>
            <w:tcBorders>
              <w:left w:val="single" w:sz="4" w:space="0" w:color="FFFFFF"/>
              <w:bottom w:val="single" w:sz="4" w:space="0" w:color="FFFFFF"/>
              <w:right w:val="single" w:sz="4" w:space="0" w:color="FFFFFF"/>
            </w:tcBorders>
            <w:shd w:val="clear" w:color="auto" w:fill="2C398A"/>
          </w:tcPr>
          <w:p w:rsidR="00A56FE9" w:rsidRDefault="00000000">
            <w:pPr>
              <w:pStyle w:val="TableParagraph"/>
              <w:ind w:left="533" w:right="152"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55" w:type="dxa"/>
            <w:gridSpan w:val="2"/>
            <w:tcBorders>
              <w:left w:val="single" w:sz="4" w:space="0" w:color="FFFFFF"/>
              <w:bottom w:val="single" w:sz="4" w:space="0" w:color="FFFFFF"/>
              <w:right w:val="nil"/>
            </w:tcBorders>
            <w:shd w:val="clear" w:color="auto" w:fill="2C398A"/>
          </w:tcPr>
          <w:p w:rsidR="00A56FE9" w:rsidRDefault="00000000">
            <w:pPr>
              <w:pStyle w:val="TableParagraph"/>
              <w:ind w:left="302" w:right="50"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844" w:type="dxa"/>
            <w:tcBorders>
              <w:left w:val="nil"/>
              <w:bottom w:val="nil"/>
              <w:right w:val="nil"/>
            </w:tcBorders>
            <w:shd w:val="clear" w:color="auto" w:fill="2C398A"/>
          </w:tcPr>
          <w:p w:rsidR="00A56FE9" w:rsidRDefault="00A56FE9">
            <w:pPr>
              <w:pStyle w:val="TableParagraph"/>
              <w:rPr>
                <w:sz w:val="16"/>
              </w:rPr>
            </w:pPr>
          </w:p>
        </w:tc>
        <w:tc>
          <w:tcPr>
            <w:tcW w:w="3105" w:type="dxa"/>
            <w:tcBorders>
              <w:left w:val="nil"/>
              <w:bottom w:val="nil"/>
              <w:right w:val="nil"/>
            </w:tcBorders>
            <w:shd w:val="clear" w:color="auto" w:fill="2C398A"/>
          </w:tcPr>
          <w:p w:rsidR="00A56FE9" w:rsidRDefault="00A56FE9">
            <w:pPr>
              <w:pStyle w:val="TableParagraph"/>
              <w:rPr>
                <w:sz w:val="16"/>
              </w:rPr>
            </w:pPr>
          </w:p>
        </w:tc>
        <w:tc>
          <w:tcPr>
            <w:tcW w:w="1127" w:type="dxa"/>
            <w:vMerge w:val="restart"/>
            <w:tcBorders>
              <w:left w:val="nil"/>
              <w:bottom w:val="nil"/>
            </w:tcBorders>
            <w:shd w:val="clear" w:color="auto" w:fill="2C398A"/>
          </w:tcPr>
          <w:p w:rsidR="00A56FE9" w:rsidRDefault="00000000">
            <w:pPr>
              <w:pStyle w:val="TableParagraph"/>
              <w:spacing w:before="18"/>
              <w:ind w:left="91" w:right="167" w:hanging="2"/>
              <w:jc w:val="center"/>
              <w:rPr>
                <w:b/>
                <w:sz w:val="16"/>
              </w:rPr>
            </w:pPr>
            <w:r>
              <w:rPr>
                <w:b/>
                <w:color w:val="FFFFFF"/>
                <w:sz w:val="16"/>
              </w:rPr>
              <w:t>Cost of</w:t>
            </w:r>
            <w:r>
              <w:rPr>
                <w:b/>
                <w:color w:val="FFFFFF"/>
                <w:spacing w:val="1"/>
                <w:sz w:val="16"/>
              </w:rPr>
              <w:t xml:space="preserve"> </w:t>
            </w:r>
            <w:r>
              <w:rPr>
                <w:b/>
                <w:color w:val="FFFFFF"/>
                <w:spacing w:val="-1"/>
                <w:sz w:val="16"/>
              </w:rPr>
              <w:t>implementat</w:t>
            </w:r>
            <w:r>
              <w:rPr>
                <w:b/>
                <w:color w:val="FFFFFF"/>
                <w:spacing w:val="-37"/>
                <w:sz w:val="16"/>
              </w:rPr>
              <w:t xml:space="preserve"> </w:t>
            </w:r>
            <w:r>
              <w:rPr>
                <w:b/>
                <w:color w:val="FFFFFF"/>
                <w:sz w:val="16"/>
              </w:rPr>
              <w:t>ion (all</w:t>
            </w:r>
            <w:r>
              <w:rPr>
                <w:b/>
                <w:color w:val="FFFFFF"/>
                <w:spacing w:val="1"/>
                <w:sz w:val="16"/>
              </w:rPr>
              <w:t xml:space="preserve"> </w:t>
            </w:r>
            <w:r>
              <w:rPr>
                <w:b/>
                <w:color w:val="FFFFFF"/>
                <w:sz w:val="16"/>
              </w:rPr>
              <w:t>sources in</w:t>
            </w:r>
            <w:r>
              <w:rPr>
                <w:b/>
                <w:color w:val="FFFFFF"/>
                <w:spacing w:val="1"/>
                <w:sz w:val="16"/>
              </w:rPr>
              <w:t xml:space="preserve"> </w:t>
            </w:r>
            <w:r>
              <w:rPr>
                <w:b/>
                <w:color w:val="FFFFFF"/>
                <w:sz w:val="16"/>
              </w:rPr>
              <w:t>kuna)</w:t>
            </w:r>
          </w:p>
        </w:tc>
      </w:tr>
      <w:tr w:rsidR="00A56FE9">
        <w:trPr>
          <w:trHeight w:val="556"/>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4" w:space="0" w:color="FFFFFF"/>
              <w:left w:val="single" w:sz="4" w:space="0" w:color="FFFFFF"/>
              <w:bottom w:val="nil"/>
              <w:right w:val="single" w:sz="4" w:space="0" w:color="FFFFFF"/>
            </w:tcBorders>
            <w:shd w:val="clear" w:color="auto" w:fill="2C398A"/>
          </w:tcPr>
          <w:p w:rsidR="00A56FE9" w:rsidRDefault="00000000">
            <w:pPr>
              <w:pStyle w:val="TableParagraph"/>
              <w:spacing w:before="90"/>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4" w:space="0" w:color="FFFFFF"/>
              <w:left w:val="single" w:sz="4" w:space="0" w:color="FFFFFF"/>
              <w:bottom w:val="nil"/>
              <w:right w:val="single" w:sz="4" w:space="0" w:color="FFFFFF"/>
            </w:tcBorders>
            <w:shd w:val="clear" w:color="auto" w:fill="2C398A"/>
          </w:tcPr>
          <w:p w:rsidR="00A56FE9" w:rsidRDefault="00A56FE9">
            <w:pPr>
              <w:pStyle w:val="TableParagraph"/>
              <w:spacing w:before="9"/>
              <w:rPr>
                <w:sz w:val="15"/>
              </w:rPr>
            </w:pPr>
          </w:p>
          <w:p w:rsidR="00A56FE9" w:rsidRDefault="00000000">
            <w:pPr>
              <w:pStyle w:val="TableParagraph"/>
              <w:ind w:left="264"/>
              <w:rPr>
                <w:b/>
                <w:sz w:val="16"/>
              </w:rPr>
            </w:pPr>
            <w:r>
              <w:rPr>
                <w:b/>
                <w:color w:val="FFFFFF"/>
                <w:sz w:val="16"/>
              </w:rPr>
              <w:t>CSR</w:t>
            </w:r>
          </w:p>
        </w:tc>
        <w:tc>
          <w:tcPr>
            <w:tcW w:w="283" w:type="dxa"/>
            <w:tcBorders>
              <w:top w:val="single" w:sz="4"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278" w:type="dxa"/>
            <w:tcBorders>
              <w:top w:val="single" w:sz="4" w:space="0" w:color="FFFFFF"/>
              <w:left w:val="single" w:sz="4" w:space="0" w:color="FFFFFF"/>
              <w:bottom w:val="nil"/>
              <w:right w:val="nil"/>
            </w:tcBorders>
            <w:shd w:val="clear" w:color="auto" w:fill="2C398A"/>
          </w:tcPr>
          <w:p w:rsidR="00A56FE9" w:rsidRDefault="00000000">
            <w:pPr>
              <w:pStyle w:val="TableParagraph"/>
              <w:ind w:left="53" w:right="22" w:firstLine="36"/>
              <w:rPr>
                <w:b/>
                <w:sz w:val="16"/>
              </w:rPr>
            </w:pPr>
            <w:r>
              <w:rPr>
                <w:b/>
                <w:color w:val="FFFFFF"/>
                <w:sz w:val="16"/>
              </w:rPr>
              <w:t>E</w:t>
            </w:r>
            <w:r>
              <w:rPr>
                <w:b/>
                <w:color w:val="FFFFFF"/>
                <w:spacing w:val="-37"/>
                <w:sz w:val="16"/>
              </w:rPr>
              <w:t xml:space="preserve"> </w:t>
            </w:r>
            <w:r>
              <w:rPr>
                <w:b/>
                <w:color w:val="FFFFFF"/>
                <w:sz w:val="16"/>
              </w:rPr>
              <w:t>SS</w:t>
            </w:r>
          </w:p>
          <w:p w:rsidR="00A56FE9" w:rsidRDefault="00000000">
            <w:pPr>
              <w:pStyle w:val="TableParagraph"/>
              <w:spacing w:line="170" w:lineRule="exact"/>
              <w:ind w:left="91"/>
              <w:rPr>
                <w:b/>
                <w:sz w:val="16"/>
              </w:rPr>
            </w:pPr>
            <w:r>
              <w:rPr>
                <w:b/>
                <w:color w:val="FFFFFF"/>
                <w:sz w:val="16"/>
              </w:rPr>
              <w:t>P</w:t>
            </w:r>
          </w:p>
        </w:tc>
        <w:tc>
          <w:tcPr>
            <w:tcW w:w="1838" w:type="dxa"/>
            <w:tcBorders>
              <w:top w:val="single" w:sz="4" w:space="0" w:color="FFFFFF"/>
              <w:left w:val="nil"/>
              <w:bottom w:val="nil"/>
              <w:right w:val="nil"/>
            </w:tcBorders>
            <w:shd w:val="clear" w:color="auto" w:fill="2C398A"/>
          </w:tcPr>
          <w:p w:rsidR="00A56FE9" w:rsidRDefault="00000000">
            <w:pPr>
              <w:pStyle w:val="TableParagraph"/>
              <w:spacing w:before="71"/>
              <w:ind w:left="528"/>
              <w:rPr>
                <w:b/>
                <w:sz w:val="16"/>
              </w:rPr>
            </w:pPr>
            <w:r>
              <w:rPr>
                <w:b/>
                <w:color w:val="FFFFFF"/>
                <w:sz w:val="16"/>
              </w:rPr>
              <w:t>investment)</w:t>
            </w:r>
          </w:p>
        </w:tc>
        <w:tc>
          <w:tcPr>
            <w:tcW w:w="569" w:type="dxa"/>
            <w:tcBorders>
              <w:top w:val="single" w:sz="4" w:space="0" w:color="FFFFFF"/>
              <w:left w:val="nil"/>
              <w:bottom w:val="nil"/>
              <w:right w:val="nil"/>
            </w:tcBorders>
            <w:shd w:val="clear" w:color="auto" w:fill="2C398A"/>
          </w:tcPr>
          <w:p w:rsidR="00A56FE9" w:rsidRDefault="00000000">
            <w:pPr>
              <w:pStyle w:val="TableParagraph"/>
              <w:spacing w:line="162" w:lineRule="exact"/>
              <w:ind w:left="190"/>
              <w:rPr>
                <w:b/>
                <w:sz w:val="16"/>
              </w:rPr>
            </w:pPr>
            <w:r>
              <w:rPr>
                <w:b/>
                <w:color w:val="FFFFFF"/>
                <w:spacing w:val="-4"/>
                <w:sz w:val="16"/>
              </w:rPr>
              <w:t>ne</w:t>
            </w:r>
            <w:r>
              <w:rPr>
                <w:b/>
                <w:color w:val="FFFFFF"/>
                <w:spacing w:val="-21"/>
                <w:sz w:val="16"/>
              </w:rPr>
              <w:t xml:space="preserve"> </w:t>
            </w:r>
            <w:r>
              <w:rPr>
                <w:b/>
                <w:color w:val="FFFFFF"/>
                <w:spacing w:val="-3"/>
                <w:sz w:val="16"/>
              </w:rPr>
              <w:t>/</w:t>
            </w:r>
          </w:p>
          <w:p w:rsidR="00A56FE9" w:rsidRDefault="00000000">
            <w:pPr>
              <w:pStyle w:val="TableParagraph"/>
              <w:spacing w:before="1"/>
              <w:ind w:left="92"/>
              <w:rPr>
                <w:b/>
                <w:sz w:val="16"/>
              </w:rPr>
            </w:pPr>
            <w:r>
              <w:rPr>
                <w:b/>
                <w:color w:val="FFFFFF"/>
                <w:spacing w:val="-2"/>
                <w:sz w:val="16"/>
              </w:rPr>
              <w:t>Target</w:t>
            </w:r>
          </w:p>
        </w:tc>
        <w:tc>
          <w:tcPr>
            <w:tcW w:w="1840" w:type="dxa"/>
            <w:tcBorders>
              <w:top w:val="single" w:sz="4" w:space="0" w:color="FFFFFF"/>
              <w:left w:val="nil"/>
              <w:bottom w:val="nil"/>
              <w:right w:val="nil"/>
            </w:tcBorders>
            <w:shd w:val="clear" w:color="auto" w:fill="2C398A"/>
          </w:tcPr>
          <w:p w:rsidR="00A56FE9" w:rsidRDefault="00000000">
            <w:pPr>
              <w:pStyle w:val="TableParagraph"/>
              <w:spacing w:line="162" w:lineRule="exact"/>
              <w:ind w:left="710" w:right="690"/>
              <w:jc w:val="center"/>
              <w:rPr>
                <w:b/>
                <w:sz w:val="16"/>
              </w:rPr>
            </w:pPr>
            <w:r>
              <w:rPr>
                <w:b/>
                <w:color w:val="FFFFFF"/>
                <w:sz w:val="16"/>
              </w:rPr>
              <w:t>Name</w:t>
            </w:r>
          </w:p>
        </w:tc>
        <w:tc>
          <w:tcPr>
            <w:tcW w:w="1137" w:type="dxa"/>
            <w:tcBorders>
              <w:top w:val="single" w:sz="4" w:space="0" w:color="FFFFFF"/>
              <w:left w:val="nil"/>
              <w:bottom w:val="nil"/>
              <w:right w:val="single" w:sz="4" w:space="0" w:color="FFFFFF"/>
            </w:tcBorders>
            <w:shd w:val="clear" w:color="auto" w:fill="2C398A"/>
          </w:tcPr>
          <w:p w:rsidR="00A56FE9" w:rsidRDefault="00000000">
            <w:pPr>
              <w:pStyle w:val="TableParagraph"/>
              <w:spacing w:before="71"/>
              <w:ind w:left="199" w:right="148" w:firstLine="252"/>
              <w:rPr>
                <w:b/>
                <w:i/>
                <w:sz w:val="16"/>
              </w:rPr>
            </w:pPr>
            <w:r>
              <w:rPr>
                <w:b/>
                <w:color w:val="FFFFFF"/>
                <w:sz w:val="16"/>
              </w:rPr>
              <w:t>(for</w:t>
            </w:r>
            <w:r>
              <w:rPr>
                <w:b/>
                <w:color w:val="FFFFFF"/>
                <w:spacing w:val="1"/>
                <w:sz w:val="16"/>
              </w:rPr>
              <w:t xml:space="preserve"> </w:t>
            </w:r>
            <w:r>
              <w:rPr>
                <w:b/>
                <w:color w:val="FFFFFF"/>
                <w:sz w:val="16"/>
              </w:rPr>
              <w:t>milestones</w:t>
            </w:r>
            <w:r>
              <w:rPr>
                <w:b/>
                <w:i/>
                <w:color w:val="FFFFFF"/>
                <w:sz w:val="16"/>
              </w:rPr>
              <w:t>)</w:t>
            </w:r>
          </w:p>
        </w:tc>
        <w:tc>
          <w:tcPr>
            <w:tcW w:w="633" w:type="dxa"/>
            <w:tcBorders>
              <w:top w:val="single" w:sz="4" w:space="0" w:color="FFFFFF"/>
              <w:left w:val="single" w:sz="4" w:space="0" w:color="FFFFFF"/>
              <w:bottom w:val="nil"/>
              <w:right w:val="single" w:sz="4" w:space="0" w:color="FFFFFF"/>
            </w:tcBorders>
            <w:shd w:val="clear" w:color="auto" w:fill="2C398A"/>
          </w:tcPr>
          <w:p w:rsidR="00A56FE9" w:rsidRDefault="00000000">
            <w:pPr>
              <w:pStyle w:val="TableParagraph"/>
              <w:ind w:left="77" w:right="49"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61" w:right="34"/>
              <w:jc w:val="center"/>
              <w:rPr>
                <w:b/>
                <w:sz w:val="16"/>
              </w:rPr>
            </w:pPr>
            <w:r>
              <w:rPr>
                <w:b/>
                <w:color w:val="FFFFFF"/>
                <w:sz w:val="16"/>
              </w:rPr>
              <w:t>es</w:t>
            </w:r>
          </w:p>
        </w:tc>
        <w:tc>
          <w:tcPr>
            <w:tcW w:w="604" w:type="dxa"/>
            <w:tcBorders>
              <w:top w:val="single" w:sz="4" w:space="0" w:color="FFFFFF"/>
              <w:left w:val="single" w:sz="4" w:space="0" w:color="FFFFFF"/>
              <w:bottom w:val="nil"/>
              <w:right w:val="single" w:sz="4" w:space="0" w:color="FFFFFF"/>
            </w:tcBorders>
            <w:shd w:val="clear" w:color="auto" w:fill="2C398A"/>
          </w:tcPr>
          <w:p w:rsidR="00A56FE9" w:rsidRDefault="00000000">
            <w:pPr>
              <w:pStyle w:val="TableParagraph"/>
              <w:spacing w:before="90"/>
              <w:ind w:left="143" w:right="75"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4" w:space="0" w:color="FFFFFF"/>
              <w:left w:val="single" w:sz="4" w:space="0" w:color="FFFFFF"/>
              <w:bottom w:val="nil"/>
              <w:right w:val="single" w:sz="4" w:space="0" w:color="FFFFFF"/>
            </w:tcBorders>
            <w:shd w:val="clear" w:color="auto" w:fill="2C398A"/>
          </w:tcPr>
          <w:p w:rsidR="00A56FE9" w:rsidRDefault="00000000">
            <w:pPr>
              <w:pStyle w:val="TableParagraph"/>
              <w:ind w:left="244" w:right="48"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43"/>
              <w:rPr>
                <w:b/>
                <w:sz w:val="16"/>
              </w:rPr>
            </w:pPr>
            <w:r>
              <w:rPr>
                <w:b/>
                <w:color w:val="FFFFFF"/>
                <w:sz w:val="16"/>
              </w:rPr>
              <w:t>value</w:t>
            </w:r>
          </w:p>
        </w:tc>
        <w:tc>
          <w:tcPr>
            <w:tcW w:w="508" w:type="dxa"/>
            <w:tcBorders>
              <w:top w:val="single" w:sz="4" w:space="0" w:color="FFFFFF"/>
              <w:left w:val="single" w:sz="4" w:space="0" w:color="FFFFFF"/>
              <w:bottom w:val="nil"/>
              <w:right w:val="single" w:sz="4" w:space="0" w:color="FFFFFF"/>
            </w:tcBorders>
            <w:shd w:val="clear" w:color="auto" w:fill="2C398A"/>
          </w:tcPr>
          <w:p w:rsidR="00A56FE9" w:rsidRDefault="00000000">
            <w:pPr>
              <w:pStyle w:val="TableParagraph"/>
              <w:spacing w:before="90"/>
              <w:ind w:left="166" w:right="34" w:hanging="87"/>
              <w:rPr>
                <w:b/>
                <w:sz w:val="16"/>
              </w:rPr>
            </w:pPr>
            <w:r>
              <w:rPr>
                <w:b/>
                <w:color w:val="FFFFFF"/>
                <w:sz w:val="16"/>
              </w:rPr>
              <w:t>Quar</w:t>
            </w:r>
            <w:r>
              <w:rPr>
                <w:b/>
                <w:color w:val="FFFFFF"/>
                <w:spacing w:val="-37"/>
                <w:sz w:val="16"/>
              </w:rPr>
              <w:t xml:space="preserve"> </w:t>
            </w:r>
            <w:r>
              <w:rPr>
                <w:b/>
                <w:color w:val="FFFFFF"/>
                <w:sz w:val="16"/>
              </w:rPr>
              <w:t>ter</w:t>
            </w:r>
          </w:p>
        </w:tc>
        <w:tc>
          <w:tcPr>
            <w:tcW w:w="647" w:type="dxa"/>
            <w:tcBorders>
              <w:top w:val="single" w:sz="4" w:space="0" w:color="FFFFFF"/>
              <w:left w:val="single" w:sz="4" w:space="0" w:color="FFFFFF"/>
              <w:bottom w:val="nil"/>
              <w:right w:val="nil"/>
            </w:tcBorders>
            <w:shd w:val="clear" w:color="auto" w:fill="2C398A"/>
          </w:tcPr>
          <w:p w:rsidR="00A56FE9" w:rsidRDefault="00A56FE9">
            <w:pPr>
              <w:pStyle w:val="TableParagraph"/>
              <w:spacing w:before="9"/>
              <w:rPr>
                <w:sz w:val="15"/>
              </w:rPr>
            </w:pPr>
          </w:p>
          <w:p w:rsidR="00A56FE9" w:rsidRDefault="00000000">
            <w:pPr>
              <w:pStyle w:val="TableParagraph"/>
              <w:ind w:right="133"/>
              <w:jc w:val="right"/>
              <w:rPr>
                <w:b/>
                <w:sz w:val="16"/>
              </w:rPr>
            </w:pPr>
            <w:r>
              <w:rPr>
                <w:b/>
                <w:color w:val="FFFFFF"/>
                <w:sz w:val="16"/>
              </w:rPr>
              <w:t>Year</w:t>
            </w:r>
          </w:p>
        </w:tc>
        <w:tc>
          <w:tcPr>
            <w:tcW w:w="844" w:type="dxa"/>
            <w:tcBorders>
              <w:top w:val="nil"/>
              <w:left w:val="nil"/>
              <w:bottom w:val="nil"/>
              <w:right w:val="nil"/>
            </w:tcBorders>
            <w:shd w:val="clear" w:color="auto" w:fill="2C398A"/>
          </w:tcPr>
          <w:p w:rsidR="00A56FE9" w:rsidRDefault="00000000">
            <w:pPr>
              <w:pStyle w:val="TableParagraph"/>
              <w:spacing w:line="162" w:lineRule="exact"/>
              <w:ind w:left="105"/>
              <w:rPr>
                <w:b/>
                <w:sz w:val="16"/>
              </w:rPr>
            </w:pPr>
            <w:r>
              <w:rPr>
                <w:b/>
                <w:color w:val="FFFFFF"/>
                <w:sz w:val="16"/>
              </w:rPr>
              <w:t>Authority</w:t>
            </w:r>
          </w:p>
        </w:tc>
        <w:tc>
          <w:tcPr>
            <w:tcW w:w="3105" w:type="dxa"/>
            <w:tcBorders>
              <w:top w:val="nil"/>
              <w:left w:val="nil"/>
              <w:bottom w:val="nil"/>
              <w:right w:val="nil"/>
            </w:tcBorders>
            <w:shd w:val="clear" w:color="auto" w:fill="2C398A"/>
          </w:tcPr>
          <w:p w:rsidR="00A56FE9" w:rsidRDefault="00000000">
            <w:pPr>
              <w:pStyle w:val="TableParagraph"/>
              <w:spacing w:line="162" w:lineRule="exact"/>
              <w:ind w:left="375"/>
              <w:rPr>
                <w:b/>
                <w:sz w:val="16"/>
              </w:rPr>
            </w:pPr>
            <w:r>
              <w:rPr>
                <w:b/>
                <w:color w:val="FFFFFF"/>
                <w:sz w:val="16"/>
              </w:rPr>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3"/>
                <w:sz w:val="16"/>
              </w:rPr>
              <w:t xml:space="preserve"> </w:t>
            </w:r>
            <w:r>
              <w:rPr>
                <w:b/>
                <w:color w:val="FFFFFF"/>
                <w:sz w:val="16"/>
              </w:rPr>
              <w:t>and</w:t>
            </w:r>
            <w:r>
              <w:rPr>
                <w:b/>
                <w:color w:val="FFFFFF"/>
                <w:spacing w:val="-2"/>
                <w:sz w:val="16"/>
              </w:rPr>
              <w:t xml:space="preserve"> </w:t>
            </w:r>
            <w:r>
              <w:rPr>
                <w:b/>
                <w:color w:val="FFFFFF"/>
                <w:sz w:val="16"/>
              </w:rPr>
              <w:t>target</w:t>
            </w:r>
          </w:p>
        </w:tc>
        <w:tc>
          <w:tcPr>
            <w:tcW w:w="1127" w:type="dxa"/>
            <w:vMerge/>
            <w:tcBorders>
              <w:top w:val="nil"/>
              <w:left w:val="nil"/>
              <w:bottom w:val="nil"/>
            </w:tcBorders>
            <w:shd w:val="clear" w:color="auto" w:fill="2C398A"/>
          </w:tcPr>
          <w:p w:rsidR="00A56FE9" w:rsidRDefault="00A56FE9">
            <w:pPr>
              <w:rPr>
                <w:sz w:val="2"/>
                <w:szCs w:val="2"/>
              </w:rPr>
            </w:pPr>
          </w:p>
        </w:tc>
      </w:tr>
      <w:tr w:rsidR="00A56FE9">
        <w:trPr>
          <w:trHeight w:val="390"/>
        </w:trPr>
        <w:tc>
          <w:tcPr>
            <w:tcW w:w="15750" w:type="dxa"/>
            <w:gridSpan w:val="17"/>
            <w:tcBorders>
              <w:top w:val="nil"/>
              <w:left w:val="single" w:sz="4" w:space="0" w:color="2C398A"/>
              <w:bottom w:val="single" w:sz="4" w:space="0" w:color="2C398A"/>
              <w:right w:val="single" w:sz="4" w:space="0" w:color="2C398A"/>
            </w:tcBorders>
            <w:shd w:val="clear" w:color="auto" w:fill="F1F1F1"/>
          </w:tcPr>
          <w:p w:rsidR="00A56FE9" w:rsidRDefault="00000000">
            <w:pPr>
              <w:pStyle w:val="TableParagraph"/>
              <w:spacing w:before="54"/>
              <w:ind w:left="50"/>
              <w:rPr>
                <w:b/>
                <w:sz w:val="18"/>
              </w:rPr>
            </w:pPr>
            <w:r>
              <w:rPr>
                <w:b/>
                <w:color w:val="DA1F2C"/>
                <w:spacing w:val="-1"/>
                <w:sz w:val="24"/>
              </w:rPr>
              <w:t>1</w:t>
            </w:r>
            <w:r>
              <w:rPr>
                <w:b/>
                <w:color w:val="DA1F2C"/>
                <w:spacing w:val="-20"/>
                <w:sz w:val="24"/>
              </w:rPr>
              <w:t xml:space="preserve"> </w:t>
            </w:r>
            <w:r>
              <w:rPr>
                <w:b/>
                <w:color w:val="2C398A"/>
                <w:spacing w:val="-1"/>
                <w:sz w:val="16"/>
              </w:rPr>
              <w:t>-</w:t>
            </w:r>
            <w:r>
              <w:rPr>
                <w:b/>
                <w:color w:val="2C398A"/>
                <w:sz w:val="16"/>
              </w:rPr>
              <w:t xml:space="preserve"> </w:t>
            </w:r>
            <w:r>
              <w:rPr>
                <w:b/>
                <w:color w:val="003399"/>
                <w:sz w:val="18"/>
              </w:rPr>
              <w:t>ECONOMY</w:t>
            </w:r>
          </w:p>
        </w:tc>
      </w:tr>
      <w:tr w:rsidR="00A56FE9">
        <w:trPr>
          <w:trHeight w:val="184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0"/>
              <w:jc w:val="center"/>
              <w:rPr>
                <w:sz w:val="16"/>
              </w:rPr>
            </w:pPr>
            <w:r>
              <w:rPr>
                <w:sz w:val="16"/>
              </w:rPr>
              <w:t>1</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8"/>
              <w:jc w:val="center"/>
              <w:rPr>
                <w:sz w:val="16"/>
              </w:rPr>
            </w:pPr>
            <w:r>
              <w:rPr>
                <w:sz w:val="16"/>
              </w:rPr>
              <w:t>7</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2019.CSR4</w:t>
            </w:r>
          </w:p>
          <w:p w:rsidR="00A56FE9" w:rsidRDefault="00000000">
            <w:pPr>
              <w:pStyle w:val="TableParagraph"/>
              <w:spacing w:before="1"/>
              <w:ind w:left="50" w:right="38"/>
              <w:rPr>
                <w:sz w:val="16"/>
              </w:rPr>
            </w:pPr>
            <w:r>
              <w:rPr>
                <w:sz w:val="16"/>
              </w:rPr>
              <w:t>.subpart4,</w:t>
            </w:r>
            <w:r>
              <w:rPr>
                <w:spacing w:val="1"/>
                <w:sz w:val="16"/>
              </w:rPr>
              <w:t xml:space="preserve"> </w:t>
            </w:r>
            <w:r>
              <w:rPr>
                <w:spacing w:val="-1"/>
                <w:sz w:val="16"/>
              </w:rPr>
              <w:t>2019.CSR4</w:t>
            </w:r>
          </w:p>
          <w:p w:rsidR="00A56FE9" w:rsidRDefault="00000000">
            <w:pPr>
              <w:pStyle w:val="TableParagraph"/>
              <w:ind w:left="50" w:right="38"/>
              <w:rPr>
                <w:sz w:val="16"/>
              </w:rPr>
            </w:pPr>
            <w:r>
              <w:rPr>
                <w:sz w:val="16"/>
              </w:rPr>
              <w:t>.subpart5,</w:t>
            </w:r>
            <w:r>
              <w:rPr>
                <w:spacing w:val="1"/>
                <w:sz w:val="16"/>
              </w:rPr>
              <w:t xml:space="preserve"> </w:t>
            </w:r>
            <w:r>
              <w:rPr>
                <w:spacing w:val="-1"/>
                <w:sz w:val="16"/>
              </w:rPr>
              <w:t>2020.CSR3</w:t>
            </w:r>
          </w:p>
          <w:p w:rsidR="00A56FE9" w:rsidRDefault="00000000">
            <w:pPr>
              <w:pStyle w:val="TableParagraph"/>
              <w:ind w:left="50" w:right="38"/>
              <w:rPr>
                <w:sz w:val="16"/>
              </w:rPr>
            </w:pPr>
            <w:r>
              <w:rPr>
                <w:sz w:val="16"/>
              </w:rPr>
              <w:t>.subpart2,</w:t>
            </w:r>
            <w:r>
              <w:rPr>
                <w:spacing w:val="1"/>
                <w:sz w:val="16"/>
              </w:rPr>
              <w:t xml:space="preserve"> </w:t>
            </w:r>
            <w:r>
              <w:rPr>
                <w:spacing w:val="-1"/>
                <w:sz w:val="16"/>
              </w:rPr>
              <w:t>2020.CSR3</w:t>
            </w:r>
          </w:p>
          <w:p w:rsidR="00A56FE9" w:rsidRDefault="00000000">
            <w:pPr>
              <w:pStyle w:val="TableParagraph"/>
              <w:ind w:left="50"/>
              <w:rPr>
                <w:sz w:val="16"/>
              </w:rPr>
            </w:pPr>
            <w:r>
              <w:rPr>
                <w:sz w:val="16"/>
              </w:rPr>
              <w:t>.subpart3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7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5"/>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4"/>
                <w:sz w:val="16"/>
              </w:rPr>
              <w:t xml:space="preserve"> </w:t>
            </w:r>
            <w:r>
              <w:rPr>
                <w:sz w:val="16"/>
              </w:rPr>
              <w:t>C1.1.1</w:t>
            </w:r>
          </w:p>
          <w:p w:rsidR="00A56FE9" w:rsidRDefault="00000000">
            <w:pPr>
              <w:pStyle w:val="TableParagraph"/>
              <w:spacing w:before="1"/>
              <w:ind w:left="55" w:right="180"/>
              <w:rPr>
                <w:sz w:val="16"/>
              </w:rPr>
            </w:pPr>
            <w:r>
              <w:rPr>
                <w:sz w:val="16"/>
              </w:rPr>
              <w:t>R1-I2 Continuing</w:t>
            </w:r>
            <w:r>
              <w:rPr>
                <w:spacing w:val="1"/>
                <w:sz w:val="16"/>
              </w:rPr>
              <w:t xml:space="preserve"> </w:t>
            </w:r>
            <w:r>
              <w:rPr>
                <w:sz w:val="16"/>
              </w:rPr>
              <w:t>administrative and fiscal</w:t>
            </w:r>
            <w:r>
              <w:rPr>
                <w:spacing w:val="-37"/>
                <w:sz w:val="16"/>
              </w:rPr>
              <w:t xml:space="preserve"> </w:t>
            </w:r>
            <w:r>
              <w:rPr>
                <w:sz w:val="16"/>
              </w:rPr>
              <w:t>burden relief, and better</w:t>
            </w:r>
            <w:r>
              <w:rPr>
                <w:spacing w:val="1"/>
                <w:sz w:val="16"/>
              </w:rPr>
              <w:t xml:space="preserve"> </w:t>
            </w:r>
            <w:r>
              <w:rPr>
                <w:sz w:val="16"/>
              </w:rPr>
              <w:t>regulatory</w:t>
            </w:r>
            <w:r>
              <w:rPr>
                <w:spacing w:val="-7"/>
                <w:sz w:val="16"/>
              </w:rPr>
              <w:t xml:space="preserve"> </w:t>
            </w:r>
            <w:r>
              <w:rPr>
                <w:sz w:val="16"/>
              </w:rPr>
              <w:t>environment</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6"/>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4" w:right="274"/>
              <w:rPr>
                <w:sz w:val="16"/>
              </w:rPr>
            </w:pPr>
            <w:r>
              <w:rPr>
                <w:sz w:val="16"/>
              </w:rPr>
              <w:t>Implementation of the</w:t>
            </w:r>
            <w:r>
              <w:rPr>
                <w:spacing w:val="-37"/>
                <w:sz w:val="16"/>
              </w:rPr>
              <w:t xml:space="preserve"> </w:t>
            </w:r>
            <w:r>
              <w:rPr>
                <w:sz w:val="16"/>
              </w:rPr>
              <w:t>2017,</w:t>
            </w:r>
            <w:r>
              <w:rPr>
                <w:spacing w:val="-4"/>
                <w:sz w:val="16"/>
              </w:rPr>
              <w:t xml:space="preserve"> </w:t>
            </w:r>
            <w:r>
              <w:rPr>
                <w:sz w:val="16"/>
              </w:rPr>
              <w:t>2018,</w:t>
            </w:r>
            <w:r>
              <w:rPr>
                <w:spacing w:val="-4"/>
                <w:sz w:val="16"/>
              </w:rPr>
              <w:t xml:space="preserve"> </w:t>
            </w:r>
            <w:r>
              <w:rPr>
                <w:sz w:val="16"/>
              </w:rPr>
              <w:t>2019</w:t>
            </w:r>
            <w:r>
              <w:rPr>
                <w:spacing w:val="-3"/>
                <w:sz w:val="16"/>
              </w:rPr>
              <w:t xml:space="preserve"> </w:t>
            </w:r>
            <w:r>
              <w:rPr>
                <w:sz w:val="16"/>
              </w:rPr>
              <w:t>and</w:t>
            </w:r>
          </w:p>
          <w:p w:rsidR="00A56FE9" w:rsidRDefault="00000000">
            <w:pPr>
              <w:pStyle w:val="TableParagraph"/>
              <w:ind w:left="114" w:right="123"/>
              <w:rPr>
                <w:sz w:val="16"/>
              </w:rPr>
            </w:pPr>
            <w:r>
              <w:rPr>
                <w:sz w:val="16"/>
              </w:rPr>
              <w:t>2020 Action Plans for</w:t>
            </w:r>
            <w:r>
              <w:rPr>
                <w:spacing w:val="1"/>
                <w:sz w:val="16"/>
              </w:rPr>
              <w:t xml:space="preserve"> </w:t>
            </w:r>
            <w:r>
              <w:rPr>
                <w:sz w:val="16"/>
              </w:rPr>
              <w:t>the reduction of</w:t>
            </w:r>
            <w:r>
              <w:rPr>
                <w:spacing w:val="1"/>
                <w:sz w:val="16"/>
              </w:rPr>
              <w:t xml:space="preserve"> </w:t>
            </w:r>
            <w:r>
              <w:rPr>
                <w:sz w:val="16"/>
              </w:rPr>
              <w:t>administrative burden of</w:t>
            </w:r>
            <w:r>
              <w:rPr>
                <w:spacing w:val="-37"/>
                <w:sz w:val="16"/>
              </w:rPr>
              <w:t xml:space="preserve"> </w:t>
            </w:r>
            <w:r>
              <w:rPr>
                <w:sz w:val="16"/>
              </w:rPr>
              <w:t>the</w:t>
            </w:r>
            <w:r>
              <w:rPr>
                <w:spacing w:val="-3"/>
                <w:sz w:val="16"/>
              </w:rPr>
              <w:t xml:space="preserve"> </w:t>
            </w:r>
            <w:r>
              <w:rPr>
                <w:sz w:val="16"/>
              </w:rPr>
              <w:t>economy</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16"/>
              <w:rPr>
                <w:sz w:val="16"/>
              </w:rPr>
            </w:pPr>
            <w:r>
              <w:rPr>
                <w:sz w:val="16"/>
              </w:rPr>
              <w:t>%</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3"/>
              <w:rPr>
                <w:sz w:val="16"/>
              </w:rPr>
            </w:pPr>
            <w:r>
              <w:rPr>
                <w:sz w:val="16"/>
              </w:rPr>
              <w:t>61.02%</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1" w:right="32"/>
              <w:jc w:val="center"/>
              <w:rPr>
                <w:sz w:val="16"/>
              </w:rPr>
            </w:pPr>
            <w:r>
              <w:rPr>
                <w:sz w:val="16"/>
              </w:rPr>
              <w:t>95</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135"/>
              <w:jc w:val="right"/>
              <w:rPr>
                <w:sz w:val="16"/>
              </w:rPr>
            </w:pPr>
            <w:r>
              <w:rPr>
                <w:sz w:val="16"/>
              </w:rPr>
              <w:t>Q4</w:t>
            </w:r>
          </w:p>
        </w:tc>
        <w:tc>
          <w:tcPr>
            <w:tcW w:w="64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138"/>
              <w:jc w:val="right"/>
              <w:rPr>
                <w:sz w:val="16"/>
              </w:rPr>
            </w:pPr>
            <w:r>
              <w:rPr>
                <w:sz w:val="16"/>
              </w:rPr>
              <w:t>2022</w:t>
            </w:r>
          </w:p>
        </w:tc>
        <w:tc>
          <w:tcPr>
            <w:tcW w:w="84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67" w:right="262"/>
              <w:rPr>
                <w:sz w:val="16"/>
              </w:rPr>
            </w:pPr>
            <w:r>
              <w:rPr>
                <w:sz w:val="16"/>
              </w:rPr>
              <w:t>MESD,</w:t>
            </w:r>
            <w:r>
              <w:rPr>
                <w:spacing w:val="-37"/>
                <w:sz w:val="16"/>
              </w:rPr>
              <w:t xml:space="preserve"> </w:t>
            </w:r>
            <w:r>
              <w:rPr>
                <w:sz w:val="16"/>
              </w:rPr>
              <w:t>SAB</w:t>
            </w:r>
          </w:p>
        </w:tc>
        <w:tc>
          <w:tcPr>
            <w:tcW w:w="310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68"/>
              <w:rPr>
                <w:sz w:val="16"/>
              </w:rPr>
            </w:pPr>
            <w:r>
              <w:rPr>
                <w:sz w:val="16"/>
              </w:rPr>
              <w:t>Implementation of administrative relief</w:t>
            </w:r>
            <w:r>
              <w:rPr>
                <w:spacing w:val="1"/>
                <w:sz w:val="16"/>
              </w:rPr>
              <w:t xml:space="preserve"> </w:t>
            </w:r>
            <w:r>
              <w:rPr>
                <w:sz w:val="16"/>
              </w:rPr>
              <w:t>measures set out in the action plans for 2018,</w:t>
            </w:r>
            <w:r>
              <w:rPr>
                <w:spacing w:val="1"/>
                <w:sz w:val="16"/>
              </w:rPr>
              <w:t xml:space="preserve"> </w:t>
            </w:r>
            <w:r>
              <w:rPr>
                <w:sz w:val="16"/>
              </w:rPr>
              <w:t>2019 and 2020 amounting to least 95% of the</w:t>
            </w:r>
            <w:r>
              <w:rPr>
                <w:spacing w:val="1"/>
                <w:sz w:val="16"/>
              </w:rPr>
              <w:t xml:space="preserve"> </w:t>
            </w:r>
            <w:r>
              <w:rPr>
                <w:sz w:val="16"/>
              </w:rPr>
              <w:t>planned cost reduction. The Administrative</w:t>
            </w:r>
            <w:r>
              <w:rPr>
                <w:spacing w:val="1"/>
                <w:sz w:val="16"/>
              </w:rPr>
              <w:t xml:space="preserve"> </w:t>
            </w:r>
            <w:r>
              <w:rPr>
                <w:sz w:val="16"/>
              </w:rPr>
              <w:t>Relief Action Plans will optimise and digitise</w:t>
            </w:r>
            <w:r>
              <w:rPr>
                <w:spacing w:val="1"/>
                <w:sz w:val="16"/>
              </w:rPr>
              <w:t xml:space="preserve"> </w:t>
            </w:r>
            <w:r>
              <w:rPr>
                <w:sz w:val="16"/>
              </w:rPr>
              <w:t>administrative procedures identified as the</w:t>
            </w:r>
            <w:r>
              <w:rPr>
                <w:spacing w:val="1"/>
                <w:sz w:val="16"/>
              </w:rPr>
              <w:t xml:space="preserve"> </w:t>
            </w:r>
            <w:r>
              <w:rPr>
                <w:sz w:val="16"/>
              </w:rPr>
              <w:t>greatest</w:t>
            </w:r>
            <w:r>
              <w:rPr>
                <w:spacing w:val="-3"/>
                <w:sz w:val="16"/>
              </w:rPr>
              <w:t xml:space="preserve"> </w:t>
            </w:r>
            <w:r>
              <w:rPr>
                <w:sz w:val="16"/>
              </w:rPr>
              <w:t>burden</w:t>
            </w:r>
            <w:r>
              <w:rPr>
                <w:spacing w:val="-2"/>
                <w:sz w:val="16"/>
              </w:rPr>
              <w:t xml:space="preserve"> </w:t>
            </w:r>
            <w:r>
              <w:rPr>
                <w:sz w:val="16"/>
              </w:rPr>
              <w:t>on</w:t>
            </w:r>
            <w:r>
              <w:rPr>
                <w:spacing w:val="-2"/>
                <w:sz w:val="16"/>
              </w:rPr>
              <w:t xml:space="preserve"> </w:t>
            </w:r>
            <w:r>
              <w:rPr>
                <w:sz w:val="16"/>
              </w:rPr>
              <w:t>the</w:t>
            </w:r>
            <w:r>
              <w:rPr>
                <w:spacing w:val="-6"/>
                <w:sz w:val="16"/>
              </w:rPr>
              <w:t xml:space="preserve"> </w:t>
            </w:r>
            <w:r>
              <w:rPr>
                <w:sz w:val="16"/>
              </w:rPr>
              <w:t>private</w:t>
            </w:r>
            <w:r>
              <w:rPr>
                <w:spacing w:val="-5"/>
                <w:sz w:val="16"/>
              </w:rPr>
              <w:t xml:space="preserve"> </w:t>
            </w:r>
            <w:r>
              <w:rPr>
                <w:sz w:val="16"/>
              </w:rPr>
              <w:t>sector.</w:t>
            </w:r>
            <w:r>
              <w:rPr>
                <w:spacing w:val="-5"/>
                <w:sz w:val="16"/>
              </w:rPr>
              <w:t xml:space="preserve"> </w:t>
            </w:r>
            <w:r>
              <w:rPr>
                <w:sz w:val="16"/>
              </w:rPr>
              <w:t>All</w:t>
            </w:r>
            <w:r>
              <w:rPr>
                <w:spacing w:val="-4"/>
                <w:sz w:val="16"/>
              </w:rPr>
              <w:t xml:space="preserve"> </w:t>
            </w:r>
            <w:r>
              <w:rPr>
                <w:sz w:val="16"/>
              </w:rPr>
              <w:t>relief</w:t>
            </w:r>
            <w:r>
              <w:rPr>
                <w:spacing w:val="-37"/>
                <w:sz w:val="16"/>
              </w:rPr>
              <w:t xml:space="preserve"> </w:t>
            </w:r>
            <w:r>
              <w:rPr>
                <w:sz w:val="16"/>
              </w:rPr>
              <w:t>measures are determined in cooperation with</w:t>
            </w:r>
            <w:r>
              <w:rPr>
                <w:spacing w:val="1"/>
                <w:sz w:val="16"/>
              </w:rPr>
              <w:t xml:space="preserve"> </w:t>
            </w:r>
            <w:r>
              <w:rPr>
                <w:sz w:val="16"/>
              </w:rPr>
              <w:t>representatives</w:t>
            </w:r>
            <w:r>
              <w:rPr>
                <w:spacing w:val="-2"/>
                <w:sz w:val="16"/>
              </w:rPr>
              <w:t xml:space="preserve"> </w:t>
            </w:r>
            <w:r>
              <w:rPr>
                <w:sz w:val="16"/>
              </w:rPr>
              <w:t>of</w:t>
            </w:r>
            <w:r>
              <w:rPr>
                <w:spacing w:val="-3"/>
                <w:sz w:val="16"/>
              </w:rPr>
              <w:t xml:space="preserve"> </w:t>
            </w:r>
            <w:r>
              <w:rPr>
                <w:sz w:val="16"/>
              </w:rPr>
              <w:t>the</w:t>
            </w:r>
            <w:r>
              <w:rPr>
                <w:spacing w:val="-6"/>
                <w:sz w:val="16"/>
              </w:rPr>
              <w:t xml:space="preserve"> </w:t>
            </w:r>
            <w:r>
              <w:rPr>
                <w:sz w:val="16"/>
              </w:rPr>
              <w:t>business</w:t>
            </w:r>
            <w:r>
              <w:rPr>
                <w:spacing w:val="-1"/>
                <w:sz w:val="16"/>
              </w:rPr>
              <w:t xml:space="preserve"> </w:t>
            </w:r>
            <w:r>
              <w:rPr>
                <w:sz w:val="16"/>
              </w:rPr>
              <w:t>community,</w:t>
            </w:r>
          </w:p>
          <w:p w:rsidR="00A56FE9" w:rsidRDefault="00000000">
            <w:pPr>
              <w:pStyle w:val="TableParagraph"/>
              <w:spacing w:line="168" w:lineRule="exact"/>
              <w:ind w:left="68"/>
              <w:rPr>
                <w:sz w:val="16"/>
              </w:rPr>
            </w:pPr>
            <w:r>
              <w:rPr>
                <w:sz w:val="16"/>
              </w:rPr>
              <w:t>chambers</w:t>
            </w:r>
            <w:r>
              <w:rPr>
                <w:spacing w:val="-4"/>
                <w:sz w:val="16"/>
              </w:rPr>
              <w:t xml:space="preserve"> </w:t>
            </w:r>
            <w:r>
              <w:rPr>
                <w:sz w:val="16"/>
              </w:rPr>
              <w:t>and</w:t>
            </w:r>
            <w:r>
              <w:rPr>
                <w:spacing w:val="-3"/>
                <w:sz w:val="16"/>
              </w:rPr>
              <w:t xml:space="preserve"> </w:t>
            </w:r>
            <w:r>
              <w:rPr>
                <w:sz w:val="16"/>
              </w:rPr>
              <w:t>professional</w:t>
            </w:r>
            <w:r>
              <w:rPr>
                <w:spacing w:val="-4"/>
                <w:sz w:val="16"/>
              </w:rPr>
              <w:t xml:space="preserve"> </w:t>
            </w:r>
            <w:r>
              <w:rPr>
                <w:sz w:val="16"/>
              </w:rPr>
              <w:t>associations.</w:t>
            </w:r>
          </w:p>
        </w:tc>
        <w:tc>
          <w:tcPr>
            <w:tcW w:w="112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2393"/>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0"/>
              <w:jc w:val="center"/>
              <w:rPr>
                <w:sz w:val="16"/>
              </w:rPr>
            </w:pPr>
            <w:r>
              <w:rPr>
                <w:sz w:val="16"/>
              </w:rPr>
              <w:t>2</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7"/>
              <w:jc w:val="center"/>
              <w:rPr>
                <w:sz w:val="16"/>
              </w:rPr>
            </w:pPr>
            <w:r>
              <w:rPr>
                <w:sz w:val="16"/>
              </w:rPr>
              <w:t>12.</w:t>
            </w:r>
          </w:p>
          <w:p w:rsidR="00A56FE9" w:rsidRDefault="00000000">
            <w:pPr>
              <w:pStyle w:val="TableParagraph"/>
              <w:spacing w:before="1"/>
              <w:ind w:left="8"/>
              <w:jc w:val="center"/>
              <w:rPr>
                <w:sz w:val="16"/>
              </w:rPr>
            </w:pPr>
            <w:r>
              <w:rPr>
                <w:sz w:val="16"/>
              </w:rPr>
              <w:t>2</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2019.CSR4</w:t>
            </w:r>
          </w:p>
          <w:p w:rsidR="00A56FE9" w:rsidRDefault="00000000">
            <w:pPr>
              <w:pStyle w:val="TableParagraph"/>
              <w:spacing w:before="1"/>
              <w:ind w:left="50" w:right="38"/>
              <w:rPr>
                <w:sz w:val="16"/>
              </w:rPr>
            </w:pPr>
            <w:r>
              <w:rPr>
                <w:sz w:val="16"/>
              </w:rPr>
              <w:t>.subpart5,</w:t>
            </w:r>
            <w:r>
              <w:rPr>
                <w:spacing w:val="1"/>
                <w:sz w:val="16"/>
              </w:rPr>
              <w:t xml:space="preserve"> </w:t>
            </w:r>
            <w:r>
              <w:rPr>
                <w:spacing w:val="-1"/>
                <w:sz w:val="16"/>
              </w:rPr>
              <w:t>2020.CSR3</w:t>
            </w:r>
          </w:p>
          <w:p w:rsidR="00A56FE9" w:rsidRDefault="00000000">
            <w:pPr>
              <w:pStyle w:val="TableParagraph"/>
              <w:ind w:left="50" w:right="38"/>
              <w:rPr>
                <w:sz w:val="16"/>
              </w:rPr>
            </w:pPr>
            <w:r>
              <w:rPr>
                <w:sz w:val="16"/>
              </w:rPr>
              <w:t>.subpart3,</w:t>
            </w:r>
            <w:r>
              <w:rPr>
                <w:spacing w:val="1"/>
                <w:sz w:val="16"/>
              </w:rPr>
              <w:t xml:space="preserve"> </w:t>
            </w:r>
            <w:r>
              <w:rPr>
                <w:spacing w:val="-1"/>
                <w:sz w:val="16"/>
              </w:rPr>
              <w:t>2020.CSR2</w:t>
            </w:r>
          </w:p>
          <w:p w:rsidR="00A56FE9" w:rsidRDefault="00000000">
            <w:pPr>
              <w:pStyle w:val="TableParagraph"/>
              <w:spacing w:line="183" w:lineRule="exact"/>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7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5"/>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4"/>
                <w:sz w:val="16"/>
              </w:rPr>
              <w:t xml:space="preserve"> </w:t>
            </w:r>
            <w:r>
              <w:rPr>
                <w:sz w:val="16"/>
              </w:rPr>
              <w:t>C1.1.1.</w:t>
            </w:r>
          </w:p>
          <w:p w:rsidR="00A56FE9" w:rsidRDefault="00000000">
            <w:pPr>
              <w:pStyle w:val="TableParagraph"/>
              <w:spacing w:before="1"/>
              <w:ind w:left="55" w:right="109"/>
              <w:rPr>
                <w:sz w:val="16"/>
              </w:rPr>
            </w:pPr>
            <w:r>
              <w:rPr>
                <w:sz w:val="16"/>
              </w:rPr>
              <w:t>R2</w:t>
            </w:r>
            <w:r>
              <w:rPr>
                <w:spacing w:val="-5"/>
                <w:sz w:val="16"/>
              </w:rPr>
              <w:t xml:space="preserve"> </w:t>
            </w:r>
            <w:r>
              <w:rPr>
                <w:sz w:val="16"/>
              </w:rPr>
              <w:t>Continuing</w:t>
            </w:r>
            <w:r>
              <w:rPr>
                <w:spacing w:val="-4"/>
                <w:sz w:val="16"/>
              </w:rPr>
              <w:t xml:space="preserve"> </w:t>
            </w:r>
            <w:r>
              <w:rPr>
                <w:sz w:val="16"/>
              </w:rPr>
              <w:t>the</w:t>
            </w:r>
            <w:r>
              <w:rPr>
                <w:spacing w:val="-5"/>
                <w:sz w:val="16"/>
              </w:rPr>
              <w:t xml:space="preserve"> </w:t>
            </w:r>
            <w:r>
              <w:rPr>
                <w:sz w:val="16"/>
              </w:rPr>
              <w:t>reform</w:t>
            </w:r>
            <w:r>
              <w:rPr>
                <w:spacing w:val="-37"/>
                <w:sz w:val="16"/>
              </w:rPr>
              <w:t xml:space="preserve"> </w:t>
            </w:r>
            <w:r>
              <w:rPr>
                <w:sz w:val="16"/>
              </w:rPr>
              <w:t>of</w:t>
            </w:r>
            <w:r>
              <w:rPr>
                <w:spacing w:val="-4"/>
                <w:sz w:val="16"/>
              </w:rPr>
              <w:t xml:space="preserve"> </w:t>
            </w:r>
            <w:r>
              <w:rPr>
                <w:sz w:val="16"/>
              </w:rPr>
              <w:t>regulated</w:t>
            </w:r>
            <w:r>
              <w:rPr>
                <w:spacing w:val="-1"/>
                <w:sz w:val="16"/>
              </w:rPr>
              <w:t xml:space="preserve"> </w:t>
            </w:r>
            <w:r>
              <w:rPr>
                <w:sz w:val="16"/>
              </w:rPr>
              <w:t>professions</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6" w:right="74"/>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4" w:right="389"/>
              <w:rPr>
                <w:sz w:val="16"/>
              </w:rPr>
            </w:pPr>
            <w:r>
              <w:rPr>
                <w:sz w:val="16"/>
              </w:rPr>
              <w:t>Adopting the third</w:t>
            </w:r>
            <w:r>
              <w:rPr>
                <w:spacing w:val="1"/>
                <w:sz w:val="16"/>
              </w:rPr>
              <w:t xml:space="preserve"> </w:t>
            </w:r>
            <w:r>
              <w:rPr>
                <w:sz w:val="16"/>
              </w:rPr>
              <w:t>Action Plan for the</w:t>
            </w:r>
            <w:r>
              <w:rPr>
                <w:spacing w:val="1"/>
                <w:sz w:val="16"/>
              </w:rPr>
              <w:t xml:space="preserve"> </w:t>
            </w:r>
            <w:r>
              <w:rPr>
                <w:sz w:val="16"/>
              </w:rPr>
              <w:t>Liberalization of the</w:t>
            </w:r>
            <w:r>
              <w:rPr>
                <w:spacing w:val="-37"/>
                <w:sz w:val="16"/>
              </w:rPr>
              <w:t xml:space="preserve"> </w:t>
            </w:r>
            <w:r>
              <w:rPr>
                <w:sz w:val="16"/>
              </w:rPr>
              <w:t>Services</w:t>
            </w:r>
            <w:r>
              <w:rPr>
                <w:spacing w:val="-1"/>
                <w:sz w:val="16"/>
              </w:rPr>
              <w:t xml:space="preserve"> </w:t>
            </w:r>
            <w:r>
              <w:rPr>
                <w:sz w:val="16"/>
              </w:rPr>
              <w:t>Market</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5" w:right="101"/>
              <w:rPr>
                <w:sz w:val="16"/>
              </w:rPr>
            </w:pPr>
            <w:r>
              <w:rPr>
                <w:sz w:val="16"/>
              </w:rPr>
              <w:t>The adopted</w:t>
            </w:r>
            <w:r>
              <w:rPr>
                <w:spacing w:val="1"/>
                <w:sz w:val="16"/>
              </w:rPr>
              <w:t xml:space="preserve"> </w:t>
            </w:r>
            <w:r>
              <w:rPr>
                <w:sz w:val="16"/>
              </w:rPr>
              <w:t>third Action</w:t>
            </w:r>
            <w:r>
              <w:rPr>
                <w:spacing w:val="1"/>
                <w:sz w:val="16"/>
              </w:rPr>
              <w:t xml:space="preserve"> </w:t>
            </w:r>
            <w:r>
              <w:rPr>
                <w:sz w:val="16"/>
              </w:rPr>
              <w:t>Plan for the</w:t>
            </w:r>
            <w:r>
              <w:rPr>
                <w:spacing w:val="1"/>
                <w:sz w:val="16"/>
              </w:rPr>
              <w:t xml:space="preserve"> </w:t>
            </w:r>
            <w:r>
              <w:rPr>
                <w:sz w:val="16"/>
              </w:rPr>
              <w:t>Liberalization</w:t>
            </w:r>
            <w:r>
              <w:rPr>
                <w:spacing w:val="-37"/>
                <w:sz w:val="16"/>
              </w:rPr>
              <w:t xml:space="preserve"> </w:t>
            </w:r>
            <w:r>
              <w:rPr>
                <w:sz w:val="16"/>
              </w:rPr>
              <w:t>of the</w:t>
            </w:r>
            <w:r>
              <w:rPr>
                <w:spacing w:val="1"/>
                <w:sz w:val="16"/>
              </w:rPr>
              <w:t xml:space="preserve"> </w:t>
            </w:r>
            <w:r>
              <w:rPr>
                <w:sz w:val="16"/>
              </w:rPr>
              <w:t>Services</w:t>
            </w:r>
            <w:r>
              <w:rPr>
                <w:spacing w:val="1"/>
                <w:sz w:val="16"/>
              </w:rPr>
              <w:t xml:space="preserve"> </w:t>
            </w:r>
            <w:r>
              <w:rPr>
                <w:sz w:val="16"/>
              </w:rPr>
              <w:t>Market is</w:t>
            </w:r>
            <w:r>
              <w:rPr>
                <w:spacing w:val="1"/>
                <w:sz w:val="16"/>
              </w:rPr>
              <w:t xml:space="preserve"> </w:t>
            </w:r>
            <w:r>
              <w:rPr>
                <w:sz w:val="16"/>
              </w:rPr>
              <w:t>published on</w:t>
            </w:r>
            <w:r>
              <w:rPr>
                <w:spacing w:val="1"/>
                <w:sz w:val="16"/>
              </w:rPr>
              <w:t xml:space="preserve"> </w:t>
            </w:r>
            <w:r>
              <w:rPr>
                <w:sz w:val="16"/>
              </w:rPr>
              <w:t>the MESD</w:t>
            </w:r>
            <w:r>
              <w:rPr>
                <w:spacing w:val="1"/>
                <w:sz w:val="16"/>
              </w:rPr>
              <w:t xml:space="preserve"> </w:t>
            </w:r>
            <w:r>
              <w:rPr>
                <w:sz w:val="16"/>
              </w:rPr>
              <w:t>website</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135"/>
              <w:jc w:val="right"/>
              <w:rPr>
                <w:sz w:val="16"/>
              </w:rPr>
            </w:pPr>
            <w:r>
              <w:rPr>
                <w:sz w:val="16"/>
              </w:rPr>
              <w:t>Q1</w:t>
            </w:r>
          </w:p>
        </w:tc>
        <w:tc>
          <w:tcPr>
            <w:tcW w:w="64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138"/>
              <w:jc w:val="right"/>
              <w:rPr>
                <w:sz w:val="16"/>
              </w:rPr>
            </w:pPr>
            <w:r>
              <w:rPr>
                <w:sz w:val="16"/>
              </w:rPr>
              <w:t>2023</w:t>
            </w:r>
          </w:p>
        </w:tc>
        <w:tc>
          <w:tcPr>
            <w:tcW w:w="84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67" w:right="262"/>
              <w:rPr>
                <w:sz w:val="16"/>
              </w:rPr>
            </w:pPr>
            <w:r>
              <w:rPr>
                <w:sz w:val="16"/>
              </w:rPr>
              <w:t>MESD,</w:t>
            </w:r>
            <w:r>
              <w:rPr>
                <w:spacing w:val="-37"/>
                <w:sz w:val="16"/>
              </w:rPr>
              <w:t xml:space="preserve"> </w:t>
            </w:r>
            <w:r>
              <w:rPr>
                <w:sz w:val="16"/>
              </w:rPr>
              <w:t>SAB</w:t>
            </w:r>
          </w:p>
        </w:tc>
        <w:tc>
          <w:tcPr>
            <w:tcW w:w="310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68" w:right="34"/>
              <w:rPr>
                <w:sz w:val="16"/>
              </w:rPr>
            </w:pPr>
            <w:r>
              <w:rPr>
                <w:sz w:val="16"/>
              </w:rPr>
              <w:t>Through the horizontal coordination of the</w:t>
            </w:r>
            <w:r>
              <w:rPr>
                <w:spacing w:val="1"/>
                <w:sz w:val="16"/>
              </w:rPr>
              <w:t xml:space="preserve"> </w:t>
            </w:r>
            <w:r>
              <w:rPr>
                <w:sz w:val="16"/>
              </w:rPr>
              <w:t>competent state administration bodies, the</w:t>
            </w:r>
            <w:r>
              <w:rPr>
                <w:spacing w:val="1"/>
                <w:sz w:val="16"/>
              </w:rPr>
              <w:t xml:space="preserve"> </w:t>
            </w:r>
            <w:r>
              <w:rPr>
                <w:sz w:val="16"/>
              </w:rPr>
              <w:t>MESD</w:t>
            </w:r>
            <w:r>
              <w:rPr>
                <w:spacing w:val="6"/>
                <w:sz w:val="16"/>
              </w:rPr>
              <w:t xml:space="preserve"> </w:t>
            </w:r>
            <w:r>
              <w:rPr>
                <w:sz w:val="16"/>
              </w:rPr>
              <w:t>will</w:t>
            </w:r>
            <w:r>
              <w:rPr>
                <w:spacing w:val="6"/>
                <w:sz w:val="16"/>
              </w:rPr>
              <w:t xml:space="preserve"> </w:t>
            </w:r>
            <w:r>
              <w:rPr>
                <w:sz w:val="16"/>
              </w:rPr>
              <w:t>coordinate</w:t>
            </w:r>
            <w:r>
              <w:rPr>
                <w:spacing w:val="5"/>
                <w:sz w:val="16"/>
              </w:rPr>
              <w:t xml:space="preserve"> </w:t>
            </w:r>
            <w:r>
              <w:rPr>
                <w:sz w:val="16"/>
              </w:rPr>
              <w:t>proposals</w:t>
            </w:r>
            <w:r>
              <w:rPr>
                <w:spacing w:val="7"/>
                <w:sz w:val="16"/>
              </w:rPr>
              <w:t xml:space="preserve"> </w:t>
            </w:r>
            <w:r>
              <w:rPr>
                <w:sz w:val="16"/>
              </w:rPr>
              <w:t>for</w:t>
            </w:r>
            <w:r>
              <w:rPr>
                <w:spacing w:val="1"/>
                <w:sz w:val="16"/>
              </w:rPr>
              <w:t xml:space="preserve"> </w:t>
            </w:r>
            <w:r>
              <w:rPr>
                <w:sz w:val="16"/>
              </w:rPr>
              <w:t>additional measures to deregulate the</w:t>
            </w:r>
            <w:r>
              <w:rPr>
                <w:spacing w:val="1"/>
                <w:sz w:val="16"/>
              </w:rPr>
              <w:t xml:space="preserve"> </w:t>
            </w:r>
            <w:r>
              <w:rPr>
                <w:sz w:val="16"/>
              </w:rPr>
              <w:t>profession through the third Action Plan for</w:t>
            </w:r>
            <w:r>
              <w:rPr>
                <w:spacing w:val="1"/>
                <w:sz w:val="16"/>
              </w:rPr>
              <w:t xml:space="preserve"> </w:t>
            </w:r>
            <w:r>
              <w:rPr>
                <w:sz w:val="16"/>
              </w:rPr>
              <w:t>the Liberalization of the Services Market. This</w:t>
            </w:r>
            <w:r>
              <w:rPr>
                <w:spacing w:val="-38"/>
                <w:sz w:val="16"/>
              </w:rPr>
              <w:t xml:space="preserve"> </w:t>
            </w:r>
            <w:r>
              <w:rPr>
                <w:sz w:val="16"/>
              </w:rPr>
              <w:t>will take into account the overall governance</w:t>
            </w:r>
            <w:r>
              <w:rPr>
                <w:spacing w:val="1"/>
                <w:sz w:val="16"/>
              </w:rPr>
              <w:t xml:space="preserve"> </w:t>
            </w:r>
            <w:r>
              <w:rPr>
                <w:sz w:val="16"/>
              </w:rPr>
              <w:t>of public policy in this area, which goes</w:t>
            </w:r>
            <w:r>
              <w:rPr>
                <w:spacing w:val="1"/>
                <w:sz w:val="16"/>
              </w:rPr>
              <w:t xml:space="preserve"> </w:t>
            </w:r>
            <w:r>
              <w:rPr>
                <w:sz w:val="16"/>
              </w:rPr>
              <w:t>beyond the narrow issue of mandatory</w:t>
            </w:r>
            <w:r>
              <w:rPr>
                <w:spacing w:val="1"/>
                <w:sz w:val="16"/>
              </w:rPr>
              <w:t xml:space="preserve"> </w:t>
            </w:r>
            <w:r>
              <w:rPr>
                <w:sz w:val="16"/>
              </w:rPr>
              <w:t>alignment with relevant EU legislation,</w:t>
            </w:r>
            <w:r>
              <w:rPr>
                <w:spacing w:val="1"/>
                <w:sz w:val="16"/>
              </w:rPr>
              <w:t xml:space="preserve"> </w:t>
            </w:r>
            <w:r>
              <w:rPr>
                <w:sz w:val="16"/>
              </w:rPr>
              <w:t>including the implementation of EU reform</w:t>
            </w:r>
            <w:r>
              <w:rPr>
                <w:spacing w:val="1"/>
                <w:sz w:val="16"/>
              </w:rPr>
              <w:t xml:space="preserve"> </w:t>
            </w:r>
            <w:r>
              <w:rPr>
                <w:sz w:val="16"/>
              </w:rPr>
              <w:t>recommendations</w:t>
            </w:r>
            <w:r>
              <w:rPr>
                <w:spacing w:val="-5"/>
                <w:sz w:val="16"/>
              </w:rPr>
              <w:t xml:space="preserve"> </w:t>
            </w:r>
            <w:r>
              <w:rPr>
                <w:sz w:val="16"/>
              </w:rPr>
              <w:t>and</w:t>
            </w:r>
            <w:r>
              <w:rPr>
                <w:spacing w:val="-2"/>
                <w:sz w:val="16"/>
              </w:rPr>
              <w:t xml:space="preserve"> </w:t>
            </w:r>
            <w:r>
              <w:rPr>
                <w:sz w:val="16"/>
              </w:rPr>
              <w:t>strategic</w:t>
            </w:r>
            <w:r>
              <w:rPr>
                <w:spacing w:val="-2"/>
                <w:sz w:val="16"/>
              </w:rPr>
              <w:t xml:space="preserve"> </w:t>
            </w:r>
            <w:r>
              <w:rPr>
                <w:sz w:val="16"/>
              </w:rPr>
              <w:t>framework</w:t>
            </w:r>
            <w:r>
              <w:rPr>
                <w:spacing w:val="-2"/>
                <w:sz w:val="16"/>
              </w:rPr>
              <w:t xml:space="preserve"> </w:t>
            </w:r>
            <w:r>
              <w:rPr>
                <w:sz w:val="16"/>
              </w:rPr>
              <w:t>in</w:t>
            </w:r>
          </w:p>
          <w:p w:rsidR="00A56FE9" w:rsidRDefault="00000000">
            <w:pPr>
              <w:pStyle w:val="TableParagraph"/>
              <w:spacing w:line="168" w:lineRule="exact"/>
              <w:ind w:left="68"/>
              <w:rPr>
                <w:sz w:val="16"/>
              </w:rPr>
            </w:pPr>
            <w:r>
              <w:rPr>
                <w:sz w:val="16"/>
              </w:rPr>
              <w:t>the</w:t>
            </w:r>
            <w:r>
              <w:rPr>
                <w:spacing w:val="-4"/>
                <w:sz w:val="16"/>
              </w:rPr>
              <w:t xml:space="preserve"> </w:t>
            </w:r>
            <w:r>
              <w:rPr>
                <w:sz w:val="16"/>
              </w:rPr>
              <w:t>field of</w:t>
            </w:r>
            <w:r>
              <w:rPr>
                <w:spacing w:val="-3"/>
                <w:sz w:val="16"/>
              </w:rPr>
              <w:t xml:space="preserve"> </w:t>
            </w:r>
            <w:r>
              <w:rPr>
                <w:sz w:val="16"/>
              </w:rPr>
              <w:t>the</w:t>
            </w:r>
            <w:r>
              <w:rPr>
                <w:spacing w:val="-4"/>
                <w:sz w:val="16"/>
              </w:rPr>
              <w:t xml:space="preserve"> </w:t>
            </w:r>
            <w:r>
              <w:rPr>
                <w:sz w:val="16"/>
              </w:rPr>
              <w:t>single</w:t>
            </w:r>
            <w:r>
              <w:rPr>
                <w:spacing w:val="-4"/>
                <w:sz w:val="16"/>
              </w:rPr>
              <w:t xml:space="preserve"> </w:t>
            </w:r>
            <w:r>
              <w:rPr>
                <w:sz w:val="16"/>
              </w:rPr>
              <w:t>market in</w:t>
            </w:r>
            <w:r>
              <w:rPr>
                <w:spacing w:val="-3"/>
                <w:sz w:val="16"/>
              </w:rPr>
              <w:t xml:space="preserve"> </w:t>
            </w:r>
            <w:r>
              <w:rPr>
                <w:sz w:val="16"/>
              </w:rPr>
              <w:t>services.</w:t>
            </w:r>
            <w:r>
              <w:rPr>
                <w:spacing w:val="-1"/>
                <w:sz w:val="16"/>
              </w:rPr>
              <w:t xml:space="preserve"> </w:t>
            </w:r>
            <w:r>
              <w:rPr>
                <w:sz w:val="16"/>
              </w:rPr>
              <w:t>As</w:t>
            </w:r>
          </w:p>
        </w:tc>
        <w:tc>
          <w:tcPr>
            <w:tcW w:w="112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CC1B9B">
      <w:pPr>
        <w:pStyle w:val="Tijeloteksta"/>
        <w:spacing w:before="10"/>
        <w:ind w:left="0"/>
        <w:jc w:val="left"/>
        <w:rPr>
          <w:sz w:val="18"/>
        </w:rPr>
      </w:pPr>
      <w:r>
        <w:rPr>
          <w:noProof/>
        </w:rPr>
        <mc:AlternateContent>
          <mc:Choice Requires="wps">
            <w:drawing>
              <wp:anchor distT="0" distB="0" distL="0" distR="0" simplePos="0" relativeHeight="487712256" behindDoc="1" locked="0" layoutInCell="1" allowOverlap="1">
                <wp:simplePos x="0" y="0"/>
                <wp:positionH relativeFrom="page">
                  <wp:posOffset>900430</wp:posOffset>
                </wp:positionH>
                <wp:positionV relativeFrom="paragraph">
                  <wp:posOffset>163195</wp:posOffset>
                </wp:positionV>
                <wp:extent cx="1828800" cy="7620"/>
                <wp:effectExtent l="0" t="0" r="0" b="0"/>
                <wp:wrapTopAndBottom/>
                <wp:docPr id="163920590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8E71B" id="Rectangle 5" o:spid="_x0000_s1026" style="position:absolute;margin-left:70.9pt;margin-top:12.85pt;width:2in;height:.6pt;z-index:-15604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" fillcolor="black" stroked="f">
                <w10:wrap type="topAndBottom" anchorx="page"/>
              </v:rect>
            </w:pict>
          </mc:Fallback>
        </mc:AlternateContent>
      </w:r>
    </w:p>
    <w:p w:rsidR="00A56FE9" w:rsidRDefault="00000000">
      <w:pPr>
        <w:spacing w:before="93"/>
        <w:ind w:left="958"/>
        <w:jc w:val="both"/>
        <w:rPr>
          <w:sz w:val="18"/>
        </w:rPr>
      </w:pPr>
      <w:r>
        <w:rPr>
          <w:sz w:val="18"/>
          <w:vertAlign w:val="superscript"/>
        </w:rPr>
        <w:t>56</w:t>
      </w:r>
      <w:r>
        <w:rPr>
          <w:spacing w:val="14"/>
          <w:sz w:val="18"/>
        </w:rPr>
        <w:t xml:space="preserve"> </w:t>
      </w:r>
      <w:r>
        <w:rPr>
          <w:sz w:val="18"/>
        </w:rPr>
        <w:t>Green means</w:t>
      </w:r>
      <w:r>
        <w:rPr>
          <w:spacing w:val="1"/>
          <w:sz w:val="18"/>
        </w:rPr>
        <w:t xml:space="preserve"> </w:t>
      </w:r>
      <w:r>
        <w:rPr>
          <w:sz w:val="18"/>
        </w:rPr>
        <w:t>measures covered in the</w:t>
      </w:r>
      <w:r>
        <w:rPr>
          <w:spacing w:val="-2"/>
          <w:sz w:val="18"/>
        </w:rPr>
        <w:t xml:space="preserve"> </w:t>
      </w:r>
      <w:r>
        <w:rPr>
          <w:sz w:val="18"/>
        </w:rPr>
        <w:t>NRRP</w:t>
      </w:r>
    </w:p>
    <w:p w:rsidR="00A56FE9" w:rsidRDefault="00A56FE9">
      <w:pPr>
        <w:jc w:val="both"/>
        <w:rPr>
          <w:sz w:val="18"/>
        </w:rPr>
        <w:sectPr w:rsidR="00A56FE9" w:rsidSect="00AB1E70">
          <w:footerReference w:type="default" r:id="rId27"/>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1466"/>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7"/>
              <w:rPr>
                <w:sz w:val="16"/>
              </w:rPr>
            </w:pPr>
            <w:r>
              <w:rPr>
                <w:sz w:val="16"/>
              </w:rPr>
              <w:t>defined</w:t>
            </w:r>
            <w:r>
              <w:rPr>
                <w:spacing w:val="-4"/>
                <w:sz w:val="16"/>
              </w:rPr>
              <w:t xml:space="preserve"> </w:t>
            </w:r>
            <w:r>
              <w:rPr>
                <w:sz w:val="16"/>
              </w:rPr>
              <w:t>in</w:t>
            </w:r>
            <w:r>
              <w:rPr>
                <w:spacing w:val="-2"/>
                <w:sz w:val="16"/>
              </w:rPr>
              <w:t xml:space="preserve"> </w:t>
            </w:r>
            <w:r>
              <w:rPr>
                <w:sz w:val="16"/>
              </w:rPr>
              <w:t>the</w:t>
            </w:r>
            <w:r>
              <w:rPr>
                <w:spacing w:val="-3"/>
                <w:sz w:val="16"/>
              </w:rPr>
              <w:t xml:space="preserve"> </w:t>
            </w:r>
            <w:r>
              <w:rPr>
                <w:sz w:val="16"/>
              </w:rPr>
              <w:t>NRRP</w:t>
            </w:r>
            <w:r>
              <w:rPr>
                <w:spacing w:val="-3"/>
                <w:sz w:val="16"/>
              </w:rPr>
              <w:t xml:space="preserve"> </w:t>
            </w:r>
            <w:r>
              <w:rPr>
                <w:sz w:val="16"/>
              </w:rPr>
              <w:t>implementation</w:t>
            </w:r>
            <w:r>
              <w:rPr>
                <w:spacing w:val="-6"/>
                <w:sz w:val="16"/>
              </w:rPr>
              <w:t xml:space="preserve"> </w:t>
            </w:r>
            <w:r>
              <w:rPr>
                <w:sz w:val="16"/>
              </w:rPr>
              <w:t>table,</w:t>
            </w:r>
          </w:p>
          <w:p w:rsidR="00A56FE9" w:rsidRDefault="00000000">
            <w:pPr>
              <w:pStyle w:val="TableParagraph"/>
              <w:spacing w:before="1"/>
              <w:ind w:left="57" w:right="36"/>
              <w:rPr>
                <w:sz w:val="16"/>
              </w:rPr>
            </w:pPr>
            <w:r>
              <w:rPr>
                <w:sz w:val="16"/>
              </w:rPr>
              <w:t>the premise of implementation is “motivated</w:t>
            </w:r>
            <w:r>
              <w:rPr>
                <w:spacing w:val="1"/>
                <w:sz w:val="16"/>
              </w:rPr>
              <w:t xml:space="preserve"> </w:t>
            </w:r>
            <w:r>
              <w:rPr>
                <w:sz w:val="16"/>
              </w:rPr>
              <w:t>human</w:t>
            </w:r>
            <w:r>
              <w:rPr>
                <w:spacing w:val="-4"/>
                <w:sz w:val="16"/>
              </w:rPr>
              <w:t xml:space="preserve"> </w:t>
            </w:r>
            <w:r>
              <w:rPr>
                <w:sz w:val="16"/>
              </w:rPr>
              <w:t>resources</w:t>
            </w:r>
            <w:r>
              <w:rPr>
                <w:spacing w:val="-4"/>
                <w:sz w:val="16"/>
              </w:rPr>
              <w:t xml:space="preserve"> </w:t>
            </w:r>
            <w:r>
              <w:rPr>
                <w:sz w:val="16"/>
              </w:rPr>
              <w:t>in</w:t>
            </w:r>
            <w:r>
              <w:rPr>
                <w:spacing w:val="-3"/>
                <w:sz w:val="16"/>
              </w:rPr>
              <w:t xml:space="preserve"> </w:t>
            </w:r>
            <w:r>
              <w:rPr>
                <w:sz w:val="16"/>
              </w:rPr>
              <w:t>the</w:t>
            </w:r>
            <w:r>
              <w:rPr>
                <w:spacing w:val="-6"/>
                <w:sz w:val="16"/>
              </w:rPr>
              <w:t xml:space="preserve"> </w:t>
            </w:r>
            <w:r>
              <w:rPr>
                <w:sz w:val="16"/>
              </w:rPr>
              <w:t>competent</w:t>
            </w:r>
            <w:r>
              <w:rPr>
                <w:spacing w:val="-5"/>
                <w:sz w:val="16"/>
              </w:rPr>
              <w:t xml:space="preserve"> </w:t>
            </w:r>
            <w:r>
              <w:rPr>
                <w:sz w:val="16"/>
              </w:rPr>
              <w:t>authorities</w:t>
            </w:r>
            <w:r>
              <w:rPr>
                <w:spacing w:val="-37"/>
                <w:sz w:val="16"/>
              </w:rPr>
              <w:t xml:space="preserve"> </w:t>
            </w:r>
            <w:r>
              <w:rPr>
                <w:sz w:val="16"/>
              </w:rPr>
              <w:t>and strong horizontal coordination of public</w:t>
            </w:r>
            <w:r>
              <w:rPr>
                <w:spacing w:val="1"/>
                <w:sz w:val="16"/>
              </w:rPr>
              <w:t xml:space="preserve"> </w:t>
            </w:r>
            <w:r>
              <w:rPr>
                <w:sz w:val="16"/>
              </w:rPr>
              <w:t>policy by the MESD”, while the key risk of</w:t>
            </w:r>
            <w:r>
              <w:rPr>
                <w:spacing w:val="1"/>
                <w:sz w:val="16"/>
              </w:rPr>
              <w:t xml:space="preserve"> </w:t>
            </w:r>
            <w:r>
              <w:rPr>
                <w:sz w:val="16"/>
              </w:rPr>
              <w:t>high probability and impact is “institutional</w:t>
            </w:r>
            <w:r>
              <w:rPr>
                <w:spacing w:val="1"/>
                <w:sz w:val="16"/>
              </w:rPr>
              <w:t xml:space="preserve"> </w:t>
            </w:r>
            <w:r>
              <w:rPr>
                <w:sz w:val="16"/>
              </w:rPr>
              <w:t>and</w:t>
            </w:r>
            <w:r>
              <w:rPr>
                <w:spacing w:val="-3"/>
                <w:sz w:val="16"/>
              </w:rPr>
              <w:t xml:space="preserve"> </w:t>
            </w:r>
            <w:r>
              <w:rPr>
                <w:sz w:val="16"/>
              </w:rPr>
              <w:t>professional</w:t>
            </w:r>
            <w:r>
              <w:rPr>
                <w:spacing w:val="-3"/>
                <w:sz w:val="16"/>
              </w:rPr>
              <w:t xml:space="preserve"> </w:t>
            </w:r>
            <w:r>
              <w:rPr>
                <w:sz w:val="16"/>
              </w:rPr>
              <w:t>resistance</w:t>
            </w:r>
            <w:r>
              <w:rPr>
                <w:spacing w:val="-4"/>
                <w:sz w:val="16"/>
              </w:rPr>
              <w:t xml:space="preserve"> </w:t>
            </w:r>
            <w:r>
              <w:rPr>
                <w:sz w:val="16"/>
              </w:rPr>
              <w:t>to</w:t>
            </w:r>
            <w:r>
              <w:rPr>
                <w:spacing w:val="-4"/>
                <w:sz w:val="16"/>
              </w:rPr>
              <w:t xml:space="preserve"> </w:t>
            </w:r>
            <w:r>
              <w:rPr>
                <w:sz w:val="16"/>
              </w:rPr>
              <w:t>deregulation</w:t>
            </w:r>
          </w:p>
          <w:p w:rsidR="00A56FE9" w:rsidRDefault="00000000">
            <w:pPr>
              <w:pStyle w:val="TableParagraph"/>
              <w:spacing w:line="168" w:lineRule="exact"/>
              <w:ind w:left="57"/>
              <w:rPr>
                <w:sz w:val="16"/>
              </w:rPr>
            </w:pPr>
            <w:r>
              <w:rPr>
                <w:sz w:val="16"/>
              </w:rPr>
              <w:t>measures.”</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6257"/>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0"/>
              <w:jc w:val="center"/>
              <w:rPr>
                <w:sz w:val="16"/>
              </w:rPr>
            </w:pPr>
            <w:r>
              <w:rPr>
                <w:sz w:val="16"/>
              </w:rPr>
              <w:t>3</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4"/>
              <w:rPr>
                <w:sz w:val="16"/>
              </w:rPr>
            </w:pPr>
            <w:r>
              <w:rPr>
                <w:sz w:val="16"/>
              </w:rPr>
              <w:t>14</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2019.CSR3</w:t>
            </w:r>
          </w:p>
          <w:p w:rsidR="00A56FE9" w:rsidRDefault="00000000">
            <w:pPr>
              <w:pStyle w:val="TableParagraph"/>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before="1"/>
              <w:ind w:left="50" w:right="38"/>
              <w:rPr>
                <w:sz w:val="16"/>
              </w:rPr>
            </w:pPr>
            <w:r>
              <w:rPr>
                <w:sz w:val="16"/>
              </w:rPr>
              <w:t>.subpart6,</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.subpart8</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8</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w:t>
            </w:r>
          </w:p>
          <w:p w:rsidR="00A56FE9" w:rsidRDefault="00000000">
            <w:pPr>
              <w:pStyle w:val="TableParagraph"/>
              <w:spacing w:line="183" w:lineRule="exact"/>
              <w:ind w:left="50"/>
              <w:rPr>
                <w:sz w:val="16"/>
              </w:rPr>
            </w:pPr>
            <w:r>
              <w:rPr>
                <w:sz w:val="16"/>
              </w:rPr>
              <w:t>3</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4"/>
                <w:sz w:val="16"/>
              </w:rPr>
              <w:t xml:space="preserve"> </w:t>
            </w:r>
            <w:r>
              <w:rPr>
                <w:sz w:val="16"/>
              </w:rPr>
              <w:t>C1.1.1</w:t>
            </w:r>
          </w:p>
          <w:p w:rsidR="00A56FE9" w:rsidRDefault="00000000">
            <w:pPr>
              <w:pStyle w:val="TableParagraph"/>
              <w:ind w:left="50" w:right="281"/>
              <w:rPr>
                <w:sz w:val="16"/>
              </w:rPr>
            </w:pPr>
            <w:r>
              <w:rPr>
                <w:sz w:val="16"/>
              </w:rPr>
              <w:t>R4-I1 –</w:t>
            </w:r>
            <w:r>
              <w:rPr>
                <w:spacing w:val="1"/>
                <w:sz w:val="16"/>
              </w:rPr>
              <w:t xml:space="preserve"> </w:t>
            </w:r>
            <w:r>
              <w:rPr>
                <w:sz w:val="16"/>
              </w:rPr>
              <w:t>Support to</w:t>
            </w:r>
            <w:r>
              <w:rPr>
                <w:spacing w:val="1"/>
                <w:sz w:val="16"/>
              </w:rPr>
              <w:t xml:space="preserve"> </w:t>
            </w:r>
            <w:r>
              <w:rPr>
                <w:sz w:val="16"/>
              </w:rPr>
              <w:t>enterprises for the</w:t>
            </w:r>
            <w:r>
              <w:rPr>
                <w:spacing w:val="1"/>
                <w:sz w:val="16"/>
              </w:rPr>
              <w:t xml:space="preserve"> </w:t>
            </w:r>
            <w:r>
              <w:rPr>
                <w:sz w:val="16"/>
              </w:rPr>
              <w:t>transition</w:t>
            </w:r>
            <w:r>
              <w:rPr>
                <w:spacing w:val="-6"/>
                <w:sz w:val="16"/>
              </w:rPr>
              <w:t xml:space="preserve"> </w:t>
            </w:r>
            <w:r>
              <w:rPr>
                <w:sz w:val="16"/>
              </w:rPr>
              <w:t>to</w:t>
            </w:r>
            <w:r>
              <w:rPr>
                <w:spacing w:val="-5"/>
                <w:sz w:val="16"/>
              </w:rPr>
              <w:t xml:space="preserve"> </w:t>
            </w:r>
            <w:r>
              <w:rPr>
                <w:sz w:val="16"/>
              </w:rPr>
              <w:t>an</w:t>
            </w:r>
            <w:r>
              <w:rPr>
                <w:spacing w:val="-1"/>
                <w:sz w:val="16"/>
              </w:rPr>
              <w:t xml:space="preserve"> </w:t>
            </w:r>
            <w:r>
              <w:rPr>
                <w:sz w:val="16"/>
              </w:rPr>
              <w:t>energy-</w:t>
            </w:r>
            <w:r>
              <w:rPr>
                <w:spacing w:val="-37"/>
                <w:sz w:val="16"/>
              </w:rPr>
              <w:t xml:space="preserve"> </w:t>
            </w:r>
            <w:r>
              <w:rPr>
                <w:sz w:val="16"/>
              </w:rPr>
              <w:t>and resource efficient</w:t>
            </w:r>
            <w:r>
              <w:rPr>
                <w:spacing w:val="1"/>
                <w:sz w:val="16"/>
              </w:rPr>
              <w:t xml:space="preserve"> </w:t>
            </w:r>
            <w:r>
              <w:rPr>
                <w:sz w:val="16"/>
              </w:rPr>
              <w:t>economy</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17"/>
              <w:rPr>
                <w:sz w:val="16"/>
              </w:rPr>
            </w:pPr>
            <w:r>
              <w:rPr>
                <w:sz w:val="16"/>
              </w:rPr>
              <w:t>Publication of a call for</w:t>
            </w:r>
            <w:r>
              <w:rPr>
                <w:spacing w:val="1"/>
                <w:sz w:val="16"/>
              </w:rPr>
              <w:t xml:space="preserve"> </w:t>
            </w:r>
            <w:r>
              <w:rPr>
                <w:sz w:val="16"/>
              </w:rPr>
              <w:t>grants for investments</w:t>
            </w:r>
            <w:r>
              <w:rPr>
                <w:spacing w:val="1"/>
                <w:sz w:val="16"/>
              </w:rPr>
              <w:t xml:space="preserve"> </w:t>
            </w:r>
            <w:r>
              <w:rPr>
                <w:sz w:val="16"/>
              </w:rPr>
              <w:t>focused on</w:t>
            </w:r>
            <w:r>
              <w:rPr>
                <w:spacing w:val="1"/>
                <w:sz w:val="16"/>
              </w:rPr>
              <w:t xml:space="preserve"> </w:t>
            </w:r>
            <w:r>
              <w:rPr>
                <w:sz w:val="16"/>
              </w:rPr>
              <w:t>environmentally friendly</w:t>
            </w:r>
            <w:r>
              <w:rPr>
                <w:spacing w:val="-37"/>
                <w:sz w:val="16"/>
              </w:rPr>
              <w:t xml:space="preserve"> </w:t>
            </w:r>
            <w:r>
              <w:rPr>
                <w:sz w:val="16"/>
              </w:rPr>
              <w:t>activities with</w:t>
            </w:r>
            <w:r>
              <w:rPr>
                <w:spacing w:val="1"/>
                <w:sz w:val="16"/>
              </w:rPr>
              <w:t xml:space="preserve"> </w:t>
            </w:r>
            <w:r>
              <w:rPr>
                <w:sz w:val="16"/>
              </w:rPr>
              <w:t>established eligibility</w:t>
            </w:r>
            <w:r>
              <w:rPr>
                <w:spacing w:val="1"/>
                <w:sz w:val="16"/>
              </w:rPr>
              <w:t xml:space="preserve"> </w:t>
            </w:r>
            <w:r>
              <w:rPr>
                <w:sz w:val="16"/>
              </w:rPr>
              <w:t>criteria</w:t>
            </w:r>
            <w:r>
              <w:rPr>
                <w:spacing w:val="1"/>
                <w:sz w:val="16"/>
              </w:rPr>
              <w:t xml:space="preserve"> </w:t>
            </w:r>
            <w:r>
              <w:rPr>
                <w:sz w:val="16"/>
              </w:rPr>
              <w:t>for</w:t>
            </w:r>
            <w:r>
              <w:rPr>
                <w:spacing w:val="3"/>
                <w:sz w:val="16"/>
              </w:rPr>
              <w:t xml:space="preserve"> </w:t>
            </w:r>
            <w:r>
              <w:rPr>
                <w:sz w:val="16"/>
              </w:rPr>
              <w:t>applicants</w:t>
            </w:r>
            <w:r>
              <w:rPr>
                <w:spacing w:val="1"/>
                <w:sz w:val="16"/>
              </w:rPr>
              <w:t xml:space="preserve"> </w:t>
            </w:r>
            <w:r>
              <w:rPr>
                <w:sz w:val="16"/>
              </w:rPr>
              <w:t>and projects (in addition,</w:t>
            </w:r>
            <w:r>
              <w:rPr>
                <w:spacing w:val="-37"/>
                <w:sz w:val="16"/>
              </w:rPr>
              <w:t xml:space="preserve"> </w:t>
            </w:r>
            <w:r>
              <w:rPr>
                <w:sz w:val="16"/>
              </w:rPr>
              <w:t>criteria for compliance</w:t>
            </w:r>
            <w:r>
              <w:rPr>
                <w:spacing w:val="1"/>
                <w:sz w:val="16"/>
              </w:rPr>
              <w:t xml:space="preserve"> </w:t>
            </w:r>
            <w:r>
              <w:rPr>
                <w:sz w:val="16"/>
              </w:rPr>
              <w:t>with the principle of do</w:t>
            </w:r>
            <w:r>
              <w:rPr>
                <w:spacing w:val="1"/>
                <w:sz w:val="16"/>
              </w:rPr>
              <w:t xml:space="preserve"> </w:t>
            </w:r>
            <w:r>
              <w:rPr>
                <w:sz w:val="16"/>
              </w:rPr>
              <w:t>no</w:t>
            </w:r>
            <w:r>
              <w:rPr>
                <w:spacing w:val="-2"/>
                <w:sz w:val="16"/>
              </w:rPr>
              <w:t xml:space="preserve"> </w:t>
            </w:r>
            <w:r>
              <w:rPr>
                <w:sz w:val="16"/>
              </w:rPr>
              <w:t>significant</w:t>
            </w:r>
            <w:r>
              <w:rPr>
                <w:spacing w:val="-2"/>
                <w:sz w:val="16"/>
              </w:rPr>
              <w:t xml:space="preserve"> </w:t>
            </w:r>
            <w:r>
              <w:rPr>
                <w:sz w:val="16"/>
              </w:rPr>
              <w:t>harm)</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43"/>
              <w:rPr>
                <w:sz w:val="16"/>
              </w:rPr>
            </w:pPr>
            <w:r>
              <w:rPr>
                <w:sz w:val="16"/>
              </w:rPr>
              <w:t>Announceme</w:t>
            </w:r>
            <w:r>
              <w:rPr>
                <w:spacing w:val="-38"/>
                <w:sz w:val="16"/>
              </w:rPr>
              <w:t xml:space="preserve"> </w:t>
            </w:r>
            <w:r>
              <w:rPr>
                <w:sz w:val="16"/>
              </w:rPr>
              <w:t>nt of call for</w:t>
            </w:r>
            <w:r>
              <w:rPr>
                <w:spacing w:val="1"/>
                <w:sz w:val="16"/>
              </w:rPr>
              <w:t xml:space="preserve"> </w:t>
            </w:r>
            <w:r>
              <w:rPr>
                <w:sz w:val="16"/>
              </w:rPr>
              <w:t>submitting</w:t>
            </w:r>
            <w:r>
              <w:rPr>
                <w:spacing w:val="1"/>
                <w:sz w:val="16"/>
              </w:rPr>
              <w:t xml:space="preserve"> </w:t>
            </w:r>
            <w:r>
              <w:rPr>
                <w:sz w:val="16"/>
              </w:rPr>
              <w:t>grant</w:t>
            </w:r>
            <w:r>
              <w:rPr>
                <w:spacing w:val="1"/>
                <w:sz w:val="16"/>
              </w:rPr>
              <w:t xml:space="preserve"> </w:t>
            </w:r>
            <w:r>
              <w:rPr>
                <w:sz w:val="16"/>
              </w:rPr>
              <w:t>proposals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61"/>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1"/>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MESD</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6"/>
              <w:rPr>
                <w:sz w:val="16"/>
              </w:rPr>
            </w:pPr>
            <w:r>
              <w:rPr>
                <w:sz w:val="16"/>
              </w:rPr>
              <w:t>Publication of a call for proposals for grants to</w:t>
            </w:r>
            <w:r>
              <w:rPr>
                <w:spacing w:val="-37"/>
                <w:sz w:val="16"/>
              </w:rPr>
              <w:t xml:space="preserve"> </w:t>
            </w:r>
            <w:r>
              <w:rPr>
                <w:sz w:val="16"/>
              </w:rPr>
              <w:t>support the green transition of SMEs and mid-</w:t>
            </w:r>
            <w:r>
              <w:rPr>
                <w:spacing w:val="-37"/>
                <w:sz w:val="16"/>
              </w:rPr>
              <w:t xml:space="preserve"> </w:t>
            </w:r>
            <w:r>
              <w:rPr>
                <w:sz w:val="16"/>
              </w:rPr>
              <w:t>caps</w:t>
            </w:r>
            <w:r>
              <w:rPr>
                <w:spacing w:val="3"/>
                <w:sz w:val="16"/>
              </w:rPr>
              <w:t xml:space="preserve"> </w:t>
            </w:r>
            <w:r>
              <w:rPr>
                <w:sz w:val="16"/>
              </w:rPr>
              <w:t>to</w:t>
            </w:r>
            <w:r>
              <w:rPr>
                <w:spacing w:val="1"/>
                <w:sz w:val="16"/>
              </w:rPr>
              <w:t xml:space="preserve"> </w:t>
            </w:r>
            <w:r>
              <w:rPr>
                <w:sz w:val="16"/>
              </w:rPr>
              <w:t>an</w:t>
            </w:r>
            <w:r>
              <w:rPr>
                <w:spacing w:val="3"/>
                <w:sz w:val="16"/>
              </w:rPr>
              <w:t xml:space="preserve"> </w:t>
            </w:r>
            <w:r>
              <w:rPr>
                <w:sz w:val="16"/>
              </w:rPr>
              <w:t>energy-efficient</w:t>
            </w:r>
            <w:r>
              <w:rPr>
                <w:spacing w:val="5"/>
                <w:sz w:val="16"/>
              </w:rPr>
              <w:t xml:space="preserve"> </w:t>
            </w:r>
            <w:r>
              <w:rPr>
                <w:sz w:val="16"/>
              </w:rPr>
              <w:t>economy.</w:t>
            </w:r>
            <w:r>
              <w:rPr>
                <w:spacing w:val="5"/>
                <w:sz w:val="16"/>
              </w:rPr>
              <w:t xml:space="preserve"> </w:t>
            </w:r>
            <w:r>
              <w:rPr>
                <w:sz w:val="16"/>
              </w:rPr>
              <w:t>The</w:t>
            </w:r>
            <w:r>
              <w:rPr>
                <w:spacing w:val="1"/>
                <w:sz w:val="16"/>
              </w:rPr>
              <w:t xml:space="preserve"> </w:t>
            </w:r>
            <w:r>
              <w:rPr>
                <w:sz w:val="16"/>
              </w:rPr>
              <w:t>grant will support the development and</w:t>
            </w:r>
            <w:r>
              <w:rPr>
                <w:spacing w:val="1"/>
                <w:sz w:val="16"/>
              </w:rPr>
              <w:t xml:space="preserve"> </w:t>
            </w:r>
            <w:r>
              <w:rPr>
                <w:sz w:val="16"/>
              </w:rPr>
              <w:t>application of green technologies in business</w:t>
            </w:r>
            <w:r>
              <w:rPr>
                <w:spacing w:val="1"/>
                <w:sz w:val="16"/>
              </w:rPr>
              <w:t xml:space="preserve"> </w:t>
            </w:r>
            <w:r>
              <w:rPr>
                <w:sz w:val="16"/>
              </w:rPr>
              <w:t>processes with the aim of reducing negative</w:t>
            </w:r>
            <w:r>
              <w:rPr>
                <w:spacing w:val="1"/>
                <w:sz w:val="16"/>
              </w:rPr>
              <w:t xml:space="preserve"> </w:t>
            </w:r>
            <w:r>
              <w:rPr>
                <w:sz w:val="16"/>
              </w:rPr>
              <w:t>effects on the climate and environment,</w:t>
            </w:r>
            <w:r>
              <w:rPr>
                <w:spacing w:val="1"/>
                <w:sz w:val="16"/>
              </w:rPr>
              <w:t xml:space="preserve"> </w:t>
            </w:r>
            <w:r>
              <w:rPr>
                <w:sz w:val="16"/>
              </w:rPr>
              <w:t>promoting sustainable production, increasing</w:t>
            </w:r>
            <w:r>
              <w:rPr>
                <w:spacing w:val="1"/>
                <w:sz w:val="16"/>
              </w:rPr>
              <w:t xml:space="preserve"> </w:t>
            </w:r>
            <w:r>
              <w:rPr>
                <w:sz w:val="16"/>
              </w:rPr>
              <w:t>the number of employees in more sustainable</w:t>
            </w:r>
            <w:r>
              <w:rPr>
                <w:spacing w:val="1"/>
                <w:sz w:val="16"/>
              </w:rPr>
              <w:t xml:space="preserve"> </w:t>
            </w:r>
            <w:r>
              <w:rPr>
                <w:sz w:val="16"/>
              </w:rPr>
              <w:t>jobs and strengthening local and regional</w:t>
            </w:r>
            <w:r>
              <w:rPr>
                <w:spacing w:val="1"/>
                <w:sz w:val="16"/>
              </w:rPr>
              <w:t xml:space="preserve"> </w:t>
            </w:r>
            <w:r>
              <w:rPr>
                <w:sz w:val="16"/>
              </w:rPr>
              <w:t>competitiveness (according to the EU</w:t>
            </w:r>
            <w:r>
              <w:rPr>
                <w:spacing w:val="1"/>
                <w:sz w:val="16"/>
              </w:rPr>
              <w:t xml:space="preserve"> </w:t>
            </w:r>
            <w:r>
              <w:rPr>
                <w:sz w:val="16"/>
              </w:rPr>
              <w:t>Taxonomy). The selection/eligibility criteria</w:t>
            </w:r>
            <w:r>
              <w:rPr>
                <w:spacing w:val="1"/>
                <w:sz w:val="16"/>
              </w:rPr>
              <w:t xml:space="preserve"> </w:t>
            </w:r>
            <w:r>
              <w:rPr>
                <w:sz w:val="16"/>
              </w:rPr>
              <w:t>will reflect the requirements of the applicable</w:t>
            </w:r>
            <w:r>
              <w:rPr>
                <w:spacing w:val="1"/>
                <w:sz w:val="16"/>
              </w:rPr>
              <w:t xml:space="preserve"> </w:t>
            </w:r>
            <w:r>
              <w:rPr>
                <w:sz w:val="16"/>
              </w:rPr>
              <w:t>intervention</w:t>
            </w:r>
            <w:r>
              <w:rPr>
                <w:spacing w:val="-2"/>
                <w:sz w:val="16"/>
              </w:rPr>
              <w:t xml:space="preserve"> </w:t>
            </w:r>
            <w:r>
              <w:rPr>
                <w:sz w:val="16"/>
              </w:rPr>
              <w:t>fields</w:t>
            </w:r>
            <w:r>
              <w:rPr>
                <w:spacing w:val="-3"/>
                <w:sz w:val="16"/>
              </w:rPr>
              <w:t xml:space="preserve"> </w:t>
            </w:r>
            <w:r>
              <w:rPr>
                <w:sz w:val="16"/>
              </w:rPr>
              <w:t>set</w:t>
            </w:r>
            <w:r>
              <w:rPr>
                <w:spacing w:val="-4"/>
                <w:sz w:val="16"/>
              </w:rPr>
              <w:t xml:space="preserve"> </w:t>
            </w:r>
            <w:r>
              <w:rPr>
                <w:sz w:val="16"/>
              </w:rPr>
              <w:t>out</w:t>
            </w:r>
            <w:r>
              <w:rPr>
                <w:spacing w:val="-3"/>
                <w:sz w:val="16"/>
              </w:rPr>
              <w:t xml:space="preserve"> </w:t>
            </w:r>
            <w:r>
              <w:rPr>
                <w:sz w:val="16"/>
              </w:rPr>
              <w:t>in</w:t>
            </w:r>
            <w:r>
              <w:rPr>
                <w:spacing w:val="-2"/>
                <w:sz w:val="16"/>
              </w:rPr>
              <w:t xml:space="preserve"> </w:t>
            </w:r>
            <w:r>
              <w:rPr>
                <w:sz w:val="16"/>
              </w:rPr>
              <w:t>Annex</w:t>
            </w:r>
            <w:r>
              <w:rPr>
                <w:spacing w:val="-4"/>
                <w:sz w:val="16"/>
              </w:rPr>
              <w:t xml:space="preserve"> </w:t>
            </w:r>
            <w:r>
              <w:rPr>
                <w:sz w:val="16"/>
              </w:rPr>
              <w:t>VI</w:t>
            </w:r>
            <w:r>
              <w:rPr>
                <w:spacing w:val="-6"/>
                <w:sz w:val="16"/>
              </w:rPr>
              <w:t xml:space="preserve"> </w:t>
            </w:r>
            <w:r>
              <w:rPr>
                <w:sz w:val="16"/>
              </w:rPr>
              <w:t>and</w:t>
            </w:r>
            <w:r>
              <w:rPr>
                <w:spacing w:val="-1"/>
                <w:sz w:val="16"/>
              </w:rPr>
              <w:t xml:space="preserve"> </w:t>
            </w:r>
            <w:r>
              <w:rPr>
                <w:sz w:val="16"/>
              </w:rPr>
              <w:t>VII</w:t>
            </w:r>
            <w:r>
              <w:rPr>
                <w:spacing w:val="-37"/>
                <w:sz w:val="16"/>
              </w:rPr>
              <w:t xml:space="preserve"> </w:t>
            </w:r>
            <w:r>
              <w:rPr>
                <w:sz w:val="16"/>
              </w:rPr>
              <w:t>of the Regulation on the RRF and ensure that</w:t>
            </w:r>
            <w:r>
              <w:rPr>
                <w:spacing w:val="1"/>
                <w:sz w:val="16"/>
              </w:rPr>
              <w:t xml:space="preserve"> </w:t>
            </w:r>
            <w:r>
              <w:rPr>
                <w:sz w:val="16"/>
              </w:rPr>
              <w:t>supported projects comply with the the ‘Do no</w:t>
            </w:r>
            <w:r>
              <w:rPr>
                <w:spacing w:val="-37"/>
                <w:sz w:val="16"/>
              </w:rPr>
              <w:t xml:space="preserve"> </w:t>
            </w:r>
            <w:r>
              <w:rPr>
                <w:sz w:val="16"/>
              </w:rPr>
              <w:t>significant harm’ Technical Guidance</w:t>
            </w:r>
            <w:r>
              <w:rPr>
                <w:spacing w:val="1"/>
                <w:sz w:val="16"/>
              </w:rPr>
              <w:t xml:space="preserve"> </w:t>
            </w:r>
            <w:r>
              <w:rPr>
                <w:sz w:val="16"/>
              </w:rPr>
              <w:t>(2021/C58/01), the application of the list of</w:t>
            </w:r>
            <w:r>
              <w:rPr>
                <w:spacing w:val="1"/>
                <w:sz w:val="16"/>
              </w:rPr>
              <w:t xml:space="preserve"> </w:t>
            </w:r>
            <w:r>
              <w:rPr>
                <w:sz w:val="16"/>
              </w:rPr>
              <w:t>ineligible activities and investments and the</w:t>
            </w:r>
            <w:r>
              <w:rPr>
                <w:spacing w:val="1"/>
                <w:sz w:val="16"/>
              </w:rPr>
              <w:t xml:space="preserve"> </w:t>
            </w:r>
            <w:r>
              <w:rPr>
                <w:sz w:val="16"/>
              </w:rPr>
              <w:t>requirements for compliance with relevant</w:t>
            </w:r>
            <w:r>
              <w:rPr>
                <w:spacing w:val="1"/>
                <w:sz w:val="16"/>
              </w:rPr>
              <w:t xml:space="preserve"> </w:t>
            </w:r>
            <w:r>
              <w:rPr>
                <w:sz w:val="16"/>
              </w:rPr>
              <w:t>environmental legislation at the EU level and</w:t>
            </w:r>
            <w:r>
              <w:rPr>
                <w:spacing w:val="1"/>
                <w:sz w:val="16"/>
              </w:rPr>
              <w:t xml:space="preserve"> </w:t>
            </w:r>
            <w:r>
              <w:rPr>
                <w:sz w:val="16"/>
              </w:rPr>
              <w:t>national level. The measure excludes support</w:t>
            </w:r>
            <w:r>
              <w:rPr>
                <w:spacing w:val="1"/>
                <w:sz w:val="16"/>
              </w:rPr>
              <w:t xml:space="preserve"> </w:t>
            </w:r>
            <w:r>
              <w:rPr>
                <w:sz w:val="16"/>
              </w:rPr>
              <w:t>for investments in installations covered by the</w:t>
            </w:r>
            <w:r>
              <w:rPr>
                <w:spacing w:val="1"/>
                <w:sz w:val="16"/>
              </w:rPr>
              <w:t xml:space="preserve"> </w:t>
            </w:r>
            <w:r>
              <w:rPr>
                <w:sz w:val="16"/>
              </w:rPr>
              <w:t>EU Emissions Trading Scheme (ETS). The</w:t>
            </w:r>
            <w:r>
              <w:rPr>
                <w:spacing w:val="1"/>
                <w:sz w:val="16"/>
              </w:rPr>
              <w:t xml:space="preserve"> </w:t>
            </w:r>
            <w:r>
              <w:rPr>
                <w:sz w:val="16"/>
              </w:rPr>
              <w:t>grant</w:t>
            </w:r>
            <w:r>
              <w:rPr>
                <w:spacing w:val="7"/>
                <w:sz w:val="16"/>
              </w:rPr>
              <w:t xml:space="preserve"> </w:t>
            </w:r>
            <w:r>
              <w:rPr>
                <w:sz w:val="16"/>
              </w:rPr>
              <w:t>will</w:t>
            </w:r>
            <w:r>
              <w:rPr>
                <w:spacing w:val="6"/>
                <w:sz w:val="16"/>
              </w:rPr>
              <w:t xml:space="preserve"> </w:t>
            </w:r>
            <w:r>
              <w:rPr>
                <w:sz w:val="16"/>
              </w:rPr>
              <w:t>support</w:t>
            </w:r>
            <w:r>
              <w:rPr>
                <w:spacing w:val="6"/>
                <w:sz w:val="16"/>
              </w:rPr>
              <w:t xml:space="preserve"> </w:t>
            </w:r>
            <w:r>
              <w:rPr>
                <w:sz w:val="16"/>
              </w:rPr>
              <w:t>private</w:t>
            </w:r>
            <w:r>
              <w:rPr>
                <w:spacing w:val="5"/>
                <w:sz w:val="16"/>
              </w:rPr>
              <w:t xml:space="preserve"> </w:t>
            </w:r>
            <w:r>
              <w:rPr>
                <w:sz w:val="16"/>
              </w:rPr>
              <w:t>sector</w:t>
            </w:r>
            <w:r>
              <w:rPr>
                <w:spacing w:val="6"/>
                <w:sz w:val="16"/>
              </w:rPr>
              <w:t xml:space="preserve"> </w:t>
            </w:r>
            <w:r>
              <w:rPr>
                <w:sz w:val="16"/>
              </w:rPr>
              <w:t>investment</w:t>
            </w:r>
            <w:r>
              <w:rPr>
                <w:spacing w:val="1"/>
                <w:sz w:val="16"/>
              </w:rPr>
              <w:t xml:space="preserve"> </w:t>
            </w:r>
            <w:r>
              <w:rPr>
                <w:sz w:val="16"/>
              </w:rPr>
              <w:t>for projects: to promote a circular economy by</w:t>
            </w:r>
            <w:r>
              <w:rPr>
                <w:spacing w:val="-37"/>
                <w:sz w:val="16"/>
              </w:rPr>
              <w:t xml:space="preserve"> </w:t>
            </w:r>
            <w:r>
              <w:rPr>
                <w:sz w:val="16"/>
              </w:rPr>
              <w:t>introducing resource efficiency in the</w:t>
            </w:r>
            <w:r>
              <w:rPr>
                <w:spacing w:val="1"/>
                <w:sz w:val="16"/>
              </w:rPr>
              <w:t xml:space="preserve"> </w:t>
            </w:r>
            <w:r>
              <w:rPr>
                <w:sz w:val="16"/>
              </w:rPr>
              <w:t>production cycle and life cycle of products,</w:t>
            </w:r>
            <w:r>
              <w:rPr>
                <w:spacing w:val="1"/>
                <w:sz w:val="16"/>
              </w:rPr>
              <w:t xml:space="preserve"> </w:t>
            </w:r>
            <w:r>
              <w:rPr>
                <w:sz w:val="16"/>
              </w:rPr>
              <w:t>including the sustainable supply of primary</w:t>
            </w:r>
            <w:r>
              <w:rPr>
                <w:spacing w:val="1"/>
                <w:sz w:val="16"/>
              </w:rPr>
              <w:t xml:space="preserve"> </w:t>
            </w:r>
            <w:r>
              <w:rPr>
                <w:sz w:val="16"/>
              </w:rPr>
              <w:t>and secondary raw materials, and/or -</w:t>
            </w:r>
            <w:r>
              <w:rPr>
                <w:spacing w:val="1"/>
                <w:sz w:val="16"/>
              </w:rPr>
              <w:t xml:space="preserve"> </w:t>
            </w:r>
            <w:r>
              <w:rPr>
                <w:sz w:val="16"/>
              </w:rPr>
              <w:t>decarbonisation and emission reduction of</w:t>
            </w:r>
            <w:r>
              <w:rPr>
                <w:spacing w:val="1"/>
                <w:sz w:val="16"/>
              </w:rPr>
              <w:t xml:space="preserve"> </w:t>
            </w:r>
            <w:r>
              <w:rPr>
                <w:sz w:val="16"/>
              </w:rPr>
              <w:t>energy-intensive industries, including</w:t>
            </w:r>
            <w:r>
              <w:rPr>
                <w:spacing w:val="1"/>
                <w:sz w:val="16"/>
              </w:rPr>
              <w:t xml:space="preserve"> </w:t>
            </w:r>
            <w:r>
              <w:rPr>
                <w:sz w:val="16"/>
              </w:rPr>
              <w:t>demonstration</w:t>
            </w:r>
            <w:r>
              <w:rPr>
                <w:spacing w:val="-3"/>
                <w:sz w:val="16"/>
              </w:rPr>
              <w:t xml:space="preserve"> </w:t>
            </w:r>
            <w:r>
              <w:rPr>
                <w:sz w:val="16"/>
              </w:rPr>
              <w:t>and</w:t>
            </w:r>
            <w:r>
              <w:rPr>
                <w:spacing w:val="-4"/>
                <w:sz w:val="16"/>
              </w:rPr>
              <w:t xml:space="preserve"> </w:t>
            </w:r>
            <w:r>
              <w:rPr>
                <w:sz w:val="16"/>
              </w:rPr>
              <w:t>deployment</w:t>
            </w:r>
            <w:r>
              <w:rPr>
                <w:spacing w:val="-2"/>
                <w:sz w:val="16"/>
              </w:rPr>
              <w:t xml:space="preserve"> </w:t>
            </w:r>
            <w:r>
              <w:rPr>
                <w:sz w:val="16"/>
              </w:rPr>
              <w:t>of</w:t>
            </w:r>
            <w:r>
              <w:rPr>
                <w:spacing w:val="-4"/>
                <w:sz w:val="16"/>
              </w:rPr>
              <w:t xml:space="preserve"> </w:t>
            </w:r>
            <w:r>
              <w:rPr>
                <w:sz w:val="16"/>
              </w:rPr>
              <w:t>innovative</w:t>
            </w:r>
          </w:p>
          <w:p w:rsidR="00A56FE9" w:rsidRDefault="00000000">
            <w:pPr>
              <w:pStyle w:val="TableParagraph"/>
              <w:spacing w:line="168" w:lineRule="exact"/>
              <w:ind w:left="57"/>
              <w:rPr>
                <w:sz w:val="16"/>
              </w:rPr>
            </w:pPr>
            <w:r>
              <w:rPr>
                <w:sz w:val="16"/>
              </w:rPr>
              <w:t>low-emission</w:t>
            </w:r>
            <w:r>
              <w:rPr>
                <w:spacing w:val="-8"/>
                <w:sz w:val="16"/>
              </w:rPr>
              <w:t xml:space="preserve"> </w:t>
            </w:r>
            <w:r>
              <w:rPr>
                <w:sz w:val="16"/>
              </w:rPr>
              <w:t>technologies.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6802"/>
        </w:trPr>
        <w:tc>
          <w:tcPr>
            <w:tcW w:w="420" w:type="dxa"/>
            <w:tcBorders>
              <w:top w:val="nil"/>
              <w:left w:val="single" w:sz="4" w:space="0" w:color="2C398A"/>
              <w:bottom w:val="single" w:sz="4" w:space="0" w:color="2C398A"/>
              <w:right w:val="single" w:sz="4" w:space="0" w:color="2C398A"/>
            </w:tcBorders>
          </w:tcPr>
          <w:p w:rsidR="00A56FE9" w:rsidRDefault="00000000">
            <w:pPr>
              <w:pStyle w:val="TableParagraph"/>
              <w:spacing w:line="173" w:lineRule="exact"/>
              <w:ind w:left="10"/>
              <w:jc w:val="center"/>
              <w:rPr>
                <w:sz w:val="16"/>
              </w:rPr>
            </w:pPr>
            <w:r>
              <w:rPr>
                <w:sz w:val="16"/>
              </w:rPr>
              <w:t>4</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95" w:right="86"/>
              <w:jc w:val="center"/>
              <w:rPr>
                <w:sz w:val="16"/>
              </w:rPr>
            </w:pPr>
            <w:r>
              <w:rPr>
                <w:sz w:val="16"/>
              </w:rPr>
              <w:t>23</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0"/>
              <w:rPr>
                <w:sz w:val="16"/>
              </w:rPr>
            </w:pPr>
            <w:r>
              <w:rPr>
                <w:sz w:val="16"/>
              </w:rPr>
              <w:t>2020.CSR1</w:t>
            </w:r>
          </w:p>
          <w:p w:rsidR="00A56FE9" w:rsidRDefault="00000000">
            <w:pPr>
              <w:pStyle w:val="TableParagraph"/>
              <w:spacing w:before="1"/>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48"/>
              <w:rPr>
                <w:sz w:val="16"/>
              </w:rPr>
            </w:pPr>
            <w:r>
              <w:rPr>
                <w:sz w:val="16"/>
              </w:rPr>
              <w:t>7,</w:t>
            </w:r>
          </w:p>
          <w:p w:rsidR="00A56FE9" w:rsidRDefault="00000000">
            <w:pPr>
              <w:pStyle w:val="TableParagraph"/>
              <w:spacing w:before="1"/>
              <w:ind w:left="48"/>
              <w:rPr>
                <w:sz w:val="16"/>
              </w:rPr>
            </w:pPr>
            <w:r>
              <w:rPr>
                <w:sz w:val="16"/>
              </w:rPr>
              <w:t>8,</w:t>
            </w:r>
          </w:p>
          <w:p w:rsidR="00A56FE9" w:rsidRDefault="00000000">
            <w:pPr>
              <w:pStyle w:val="TableParagraph"/>
              <w:spacing w:line="183" w:lineRule="exact"/>
              <w:ind w:left="48"/>
              <w:rPr>
                <w:sz w:val="16"/>
              </w:rPr>
            </w:pPr>
            <w:r>
              <w:rPr>
                <w:sz w:val="16"/>
              </w:rPr>
              <w:t>9,</w:t>
            </w:r>
          </w:p>
          <w:p w:rsidR="00A56FE9" w:rsidRDefault="00000000">
            <w:pPr>
              <w:pStyle w:val="TableParagraph"/>
              <w:spacing w:line="183" w:lineRule="exact"/>
              <w:ind w:left="48"/>
              <w:rPr>
                <w:sz w:val="16"/>
              </w:rPr>
            </w:pPr>
            <w:r>
              <w:rPr>
                <w:sz w:val="16"/>
              </w:rPr>
              <w:t>11,</w:t>
            </w:r>
          </w:p>
          <w:p w:rsidR="00A56FE9" w:rsidRDefault="00000000">
            <w:pPr>
              <w:pStyle w:val="TableParagraph"/>
              <w:spacing w:before="1"/>
              <w:ind w:left="48"/>
              <w:rPr>
                <w:sz w:val="16"/>
              </w:rPr>
            </w:pPr>
            <w:r>
              <w:rPr>
                <w:sz w:val="16"/>
              </w:rPr>
              <w:t>13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0"/>
              <w:rPr>
                <w:sz w:val="16"/>
              </w:rPr>
            </w:pPr>
            <w:r>
              <w:rPr>
                <w:sz w:val="16"/>
              </w:rPr>
              <w:t>2,</w:t>
            </w:r>
          </w:p>
          <w:p w:rsidR="00A56FE9" w:rsidRDefault="00000000">
            <w:pPr>
              <w:pStyle w:val="TableParagraph"/>
              <w:spacing w:before="1"/>
              <w:ind w:left="50"/>
              <w:rPr>
                <w:sz w:val="16"/>
              </w:rPr>
            </w:pPr>
            <w:r>
              <w:rPr>
                <w:sz w:val="16"/>
              </w:rPr>
              <w:t>3</w:t>
            </w: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4"/>
                <w:sz w:val="16"/>
              </w:rPr>
              <w:t xml:space="preserve"> </w:t>
            </w:r>
            <w:r>
              <w:rPr>
                <w:sz w:val="16"/>
              </w:rPr>
              <w:t>C1.1.1.</w:t>
            </w:r>
          </w:p>
          <w:p w:rsidR="00A56FE9" w:rsidRDefault="00000000">
            <w:pPr>
              <w:pStyle w:val="TableParagraph"/>
              <w:spacing w:before="1"/>
              <w:ind w:left="50" w:right="91"/>
              <w:rPr>
                <w:sz w:val="16"/>
              </w:rPr>
            </w:pPr>
            <w:r>
              <w:rPr>
                <w:sz w:val="16"/>
              </w:rPr>
              <w:t>R5-I1 Investments made</w:t>
            </w:r>
            <w:r>
              <w:rPr>
                <w:spacing w:val="1"/>
                <w:sz w:val="16"/>
              </w:rPr>
              <w:t xml:space="preserve"> </w:t>
            </w:r>
            <w:r>
              <w:rPr>
                <w:sz w:val="16"/>
              </w:rPr>
              <w:t>in equity and quasi-equity</w:t>
            </w:r>
            <w:r>
              <w:rPr>
                <w:spacing w:val="-37"/>
                <w:sz w:val="16"/>
              </w:rPr>
              <w:t xml:space="preserve"> </w:t>
            </w:r>
            <w:r>
              <w:rPr>
                <w:sz w:val="16"/>
              </w:rPr>
              <w:t>instruments (PE)</w:t>
            </w: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1"/>
              <w:rPr>
                <w:sz w:val="16"/>
              </w:rPr>
            </w:pPr>
            <w:r>
              <w:rPr>
                <w:sz w:val="16"/>
              </w:rPr>
              <w:t>Milest</w:t>
            </w:r>
          </w:p>
          <w:p w:rsidR="00A56FE9" w:rsidRDefault="00000000">
            <w:pPr>
              <w:pStyle w:val="TableParagraph"/>
              <w:spacing w:before="1"/>
              <w:ind w:left="51"/>
              <w:rPr>
                <w:sz w:val="16"/>
              </w:rPr>
            </w:pPr>
            <w:r>
              <w:rPr>
                <w:sz w:val="16"/>
              </w:rPr>
              <w:t>one</w:t>
            </w: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09"/>
              <w:rPr>
                <w:sz w:val="16"/>
              </w:rPr>
            </w:pPr>
            <w:r>
              <w:rPr>
                <w:sz w:val="16"/>
              </w:rPr>
              <w:t>Creation</w:t>
            </w:r>
            <w:r>
              <w:rPr>
                <w:spacing w:val="-3"/>
                <w:sz w:val="16"/>
              </w:rPr>
              <w:t xml:space="preserve"> </w:t>
            </w:r>
            <w:r>
              <w:rPr>
                <w:sz w:val="16"/>
              </w:rPr>
              <w:t>of</w:t>
            </w:r>
            <w:r>
              <w:rPr>
                <w:spacing w:val="-3"/>
                <w:sz w:val="16"/>
              </w:rPr>
              <w:t xml:space="preserve"> </w:t>
            </w:r>
            <w:r>
              <w:rPr>
                <w:sz w:val="16"/>
              </w:rPr>
              <w:t>an</w:t>
            </w:r>
            <w:r>
              <w:rPr>
                <w:spacing w:val="-2"/>
                <w:sz w:val="16"/>
              </w:rPr>
              <w:t xml:space="preserve"> </w:t>
            </w:r>
            <w:r>
              <w:rPr>
                <w:sz w:val="16"/>
              </w:rPr>
              <w:t>equity</w:t>
            </w:r>
          </w:p>
          <w:p w:rsidR="00A56FE9" w:rsidRDefault="00000000">
            <w:pPr>
              <w:pStyle w:val="TableParagraph"/>
              <w:spacing w:before="1"/>
              <w:ind w:left="109" w:right="372"/>
              <w:rPr>
                <w:sz w:val="16"/>
              </w:rPr>
            </w:pPr>
            <w:r>
              <w:rPr>
                <w:sz w:val="16"/>
              </w:rPr>
              <w:t>and quasi-equity</w:t>
            </w:r>
            <w:r>
              <w:rPr>
                <w:spacing w:val="1"/>
                <w:sz w:val="16"/>
              </w:rPr>
              <w:t xml:space="preserve"> </w:t>
            </w:r>
            <w:r>
              <w:rPr>
                <w:sz w:val="16"/>
              </w:rPr>
              <w:t>financing instrument</w:t>
            </w:r>
            <w:r>
              <w:rPr>
                <w:spacing w:val="-37"/>
                <w:sz w:val="16"/>
              </w:rPr>
              <w:t xml:space="preserve"> </w:t>
            </w:r>
            <w:r>
              <w:rPr>
                <w:sz w:val="16"/>
              </w:rPr>
              <w:t>(PE)</w:t>
            </w: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10"/>
              <w:rPr>
                <w:sz w:val="16"/>
              </w:rPr>
            </w:pPr>
            <w:r>
              <w:rPr>
                <w:sz w:val="16"/>
              </w:rPr>
              <w:t>The</w:t>
            </w:r>
          </w:p>
          <w:p w:rsidR="00A56FE9" w:rsidRDefault="00000000">
            <w:pPr>
              <w:pStyle w:val="TableParagraph"/>
              <w:spacing w:before="1"/>
              <w:ind w:left="110" w:right="228"/>
              <w:rPr>
                <w:sz w:val="16"/>
              </w:rPr>
            </w:pPr>
            <w:r>
              <w:rPr>
                <w:sz w:val="16"/>
              </w:rPr>
              <w:t>Agreement</w:t>
            </w:r>
            <w:r>
              <w:rPr>
                <w:spacing w:val="1"/>
                <w:sz w:val="16"/>
              </w:rPr>
              <w:t xml:space="preserve"> </w:t>
            </w:r>
            <w:r>
              <w:rPr>
                <w:sz w:val="16"/>
              </w:rPr>
              <w:t>published</w:t>
            </w:r>
            <w:r>
              <w:rPr>
                <w:spacing w:val="1"/>
                <w:sz w:val="16"/>
              </w:rPr>
              <w:t xml:space="preserve"> </w:t>
            </w:r>
            <w:r>
              <w:rPr>
                <w:sz w:val="16"/>
              </w:rPr>
              <w:t>between the</w:t>
            </w:r>
            <w:r>
              <w:rPr>
                <w:spacing w:val="-37"/>
                <w:sz w:val="16"/>
              </w:rPr>
              <w:t xml:space="preserve"> </w:t>
            </w:r>
            <w:r>
              <w:rPr>
                <w:sz w:val="16"/>
              </w:rPr>
              <w:t>competent</w:t>
            </w:r>
            <w:r>
              <w:rPr>
                <w:spacing w:val="1"/>
                <w:sz w:val="16"/>
              </w:rPr>
              <w:t xml:space="preserve"> </w:t>
            </w:r>
            <w:r>
              <w:rPr>
                <w:sz w:val="16"/>
              </w:rPr>
              <w:t>ministry</w:t>
            </w:r>
            <w:r>
              <w:rPr>
                <w:spacing w:val="1"/>
                <w:sz w:val="16"/>
              </w:rPr>
              <w:t xml:space="preserve"> </w:t>
            </w:r>
            <w:r>
              <w:rPr>
                <w:sz w:val="16"/>
              </w:rPr>
              <w:t>(MESD</w:t>
            </w:r>
            <w:r>
              <w:rPr>
                <w:spacing w:val="-1"/>
                <w:sz w:val="16"/>
              </w:rPr>
              <w:t xml:space="preserve"> </w:t>
            </w:r>
            <w:r>
              <w:rPr>
                <w:sz w:val="16"/>
              </w:rPr>
              <w:t>or</w:t>
            </w:r>
          </w:p>
          <w:p w:rsidR="00A56FE9" w:rsidRDefault="00000000">
            <w:pPr>
              <w:pStyle w:val="TableParagraph"/>
              <w:ind w:left="110" w:right="106"/>
              <w:rPr>
                <w:sz w:val="16"/>
              </w:rPr>
            </w:pPr>
            <w:r>
              <w:rPr>
                <w:sz w:val="16"/>
              </w:rPr>
              <w:t>MF) and</w:t>
            </w:r>
            <w:r>
              <w:rPr>
                <w:spacing w:val="1"/>
                <w:sz w:val="16"/>
              </w:rPr>
              <w:t xml:space="preserve"> </w:t>
            </w:r>
            <w:r>
              <w:rPr>
                <w:sz w:val="16"/>
              </w:rPr>
              <w:t>HBOR for</w:t>
            </w:r>
            <w:r>
              <w:rPr>
                <w:spacing w:val="1"/>
                <w:sz w:val="16"/>
              </w:rPr>
              <w:t xml:space="preserve"> </w:t>
            </w:r>
            <w:r>
              <w:rPr>
                <w:sz w:val="16"/>
              </w:rPr>
              <w:t>investments</w:t>
            </w:r>
            <w:r>
              <w:rPr>
                <w:spacing w:val="1"/>
                <w:sz w:val="16"/>
              </w:rPr>
              <w:t xml:space="preserve"> </w:t>
            </w:r>
            <w:r>
              <w:rPr>
                <w:sz w:val="16"/>
              </w:rPr>
              <w:t>in VC funds,</w:t>
            </w:r>
            <w:r>
              <w:rPr>
                <w:spacing w:val="1"/>
                <w:sz w:val="16"/>
              </w:rPr>
              <w:t xml:space="preserve"> </w:t>
            </w:r>
            <w:r>
              <w:rPr>
                <w:sz w:val="16"/>
              </w:rPr>
              <w:t>the</w:t>
            </w:r>
            <w:r>
              <w:rPr>
                <w:spacing w:val="40"/>
                <w:sz w:val="16"/>
              </w:rPr>
              <w:t xml:space="preserve"> </w:t>
            </w:r>
            <w:r>
              <w:rPr>
                <w:sz w:val="16"/>
              </w:rPr>
              <w:t>increase</w:t>
            </w:r>
            <w:r>
              <w:rPr>
                <w:spacing w:val="1"/>
                <w:sz w:val="16"/>
              </w:rPr>
              <w:t xml:space="preserve"> </w:t>
            </w:r>
            <w:r>
              <w:rPr>
                <w:sz w:val="16"/>
              </w:rPr>
              <w:t>of existing PE</w:t>
            </w:r>
            <w:r>
              <w:rPr>
                <w:spacing w:val="-37"/>
                <w:sz w:val="16"/>
              </w:rPr>
              <w:t xml:space="preserve"> </w:t>
            </w:r>
            <w:r>
              <w:rPr>
                <w:sz w:val="16"/>
              </w:rPr>
              <w:t>funds</w:t>
            </w:r>
            <w:r>
              <w:rPr>
                <w:spacing w:val="1"/>
                <w:sz w:val="16"/>
              </w:rPr>
              <w:t xml:space="preserve"> </w:t>
            </w:r>
            <w:r>
              <w:rPr>
                <w:sz w:val="16"/>
              </w:rPr>
              <w:t>developed in</w:t>
            </w:r>
            <w:r>
              <w:rPr>
                <w:spacing w:val="1"/>
                <w:sz w:val="16"/>
              </w:rPr>
              <w:t xml:space="preserve"> </w:t>
            </w:r>
            <w:r>
              <w:rPr>
                <w:sz w:val="16"/>
              </w:rPr>
              <w:t>cooperation</w:t>
            </w:r>
            <w:r>
              <w:rPr>
                <w:spacing w:val="1"/>
                <w:sz w:val="16"/>
              </w:rPr>
              <w:t xml:space="preserve"> </w:t>
            </w:r>
            <w:r>
              <w:rPr>
                <w:sz w:val="16"/>
              </w:rPr>
              <w:t>with the EIF</w:t>
            </w:r>
            <w:r>
              <w:rPr>
                <w:spacing w:val="1"/>
                <w:sz w:val="16"/>
              </w:rPr>
              <w:t xml:space="preserve"> </w:t>
            </w:r>
            <w:r>
              <w:rPr>
                <w:sz w:val="16"/>
              </w:rPr>
              <w:t>and/or the</w:t>
            </w:r>
            <w:r>
              <w:rPr>
                <w:spacing w:val="1"/>
                <w:sz w:val="16"/>
              </w:rPr>
              <w:t xml:space="preserve"> </w:t>
            </w:r>
            <w:r>
              <w:rPr>
                <w:sz w:val="16"/>
              </w:rPr>
              <w:t>development</w:t>
            </w:r>
            <w:r>
              <w:rPr>
                <w:spacing w:val="1"/>
                <w:sz w:val="16"/>
              </w:rPr>
              <w:t xml:space="preserve"> </w:t>
            </w:r>
            <w:r>
              <w:rPr>
                <w:sz w:val="16"/>
              </w:rPr>
              <w:t>of new funds</w:t>
            </w:r>
            <w:r>
              <w:rPr>
                <w:spacing w:val="1"/>
                <w:sz w:val="16"/>
              </w:rPr>
              <w:t xml:space="preserve"> </w:t>
            </w:r>
            <w:r>
              <w:rPr>
                <w:sz w:val="16"/>
              </w:rPr>
              <w:t>and/or co-</w:t>
            </w:r>
            <w:r>
              <w:rPr>
                <w:spacing w:val="1"/>
                <w:sz w:val="16"/>
              </w:rPr>
              <w:t xml:space="preserve"> </w:t>
            </w:r>
            <w:r>
              <w:rPr>
                <w:sz w:val="16"/>
              </w:rPr>
              <w:t>investments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51" w:right="130"/>
              <w:jc w:val="center"/>
              <w:rPr>
                <w:sz w:val="16"/>
              </w:rPr>
            </w:pPr>
            <w:r>
              <w:rPr>
                <w:sz w:val="16"/>
              </w:rPr>
              <w:t>2022</w:t>
            </w: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7"/>
              <w:rPr>
                <w:sz w:val="16"/>
              </w:rPr>
            </w:pPr>
            <w:r>
              <w:rPr>
                <w:sz w:val="16"/>
              </w:rPr>
              <w:t>HBOR</w:t>
            </w: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7"/>
              <w:rPr>
                <w:sz w:val="16"/>
              </w:rPr>
            </w:pPr>
            <w:r>
              <w:rPr>
                <w:sz w:val="16"/>
              </w:rPr>
              <w:t>As</w:t>
            </w:r>
            <w:r>
              <w:rPr>
                <w:spacing w:val="-3"/>
                <w:sz w:val="16"/>
              </w:rPr>
              <w:t xml:space="preserve"> </w:t>
            </w:r>
            <w:r>
              <w:rPr>
                <w:sz w:val="16"/>
              </w:rPr>
              <w:t>part</w:t>
            </w:r>
            <w:r>
              <w:rPr>
                <w:spacing w:val="-2"/>
                <w:sz w:val="16"/>
              </w:rPr>
              <w:t xml:space="preserve"> </w:t>
            </w:r>
            <w:r>
              <w:rPr>
                <w:sz w:val="16"/>
              </w:rPr>
              <w:t>of</w:t>
            </w:r>
            <w:r>
              <w:rPr>
                <w:spacing w:val="-3"/>
                <w:sz w:val="16"/>
              </w:rPr>
              <w:t xml:space="preserve"> </w:t>
            </w:r>
            <w:r>
              <w:rPr>
                <w:sz w:val="16"/>
              </w:rPr>
              <w:t>the</w:t>
            </w:r>
            <w:r>
              <w:rPr>
                <w:spacing w:val="-4"/>
                <w:sz w:val="16"/>
              </w:rPr>
              <w:t xml:space="preserve"> </w:t>
            </w:r>
            <w:r>
              <w:rPr>
                <w:sz w:val="16"/>
              </w:rPr>
              <w:t>existing</w:t>
            </w:r>
            <w:r>
              <w:rPr>
                <w:spacing w:val="-4"/>
                <w:sz w:val="16"/>
              </w:rPr>
              <w:t xml:space="preserve"> </w:t>
            </w:r>
            <w:r>
              <w:rPr>
                <w:sz w:val="16"/>
              </w:rPr>
              <w:t>cooperation</w:t>
            </w:r>
            <w:r>
              <w:rPr>
                <w:spacing w:val="-1"/>
                <w:sz w:val="16"/>
              </w:rPr>
              <w:t xml:space="preserve"> </w:t>
            </w:r>
            <w:r>
              <w:rPr>
                <w:sz w:val="16"/>
              </w:rPr>
              <w:t>with</w:t>
            </w:r>
            <w:r>
              <w:rPr>
                <w:spacing w:val="-4"/>
                <w:sz w:val="16"/>
              </w:rPr>
              <w:t xml:space="preserve"> </w:t>
            </w:r>
            <w:r>
              <w:rPr>
                <w:sz w:val="16"/>
              </w:rPr>
              <w:t>the</w:t>
            </w:r>
          </w:p>
          <w:p w:rsidR="00A56FE9" w:rsidRDefault="00000000">
            <w:pPr>
              <w:pStyle w:val="TableParagraph"/>
              <w:spacing w:before="1"/>
              <w:ind w:left="57" w:right="44"/>
              <w:rPr>
                <w:sz w:val="16"/>
              </w:rPr>
            </w:pPr>
            <w:r>
              <w:rPr>
                <w:sz w:val="16"/>
              </w:rPr>
              <w:t>European Investment Fund (EIF), HBOR shall</w:t>
            </w:r>
            <w:r>
              <w:rPr>
                <w:spacing w:val="-37"/>
                <w:sz w:val="16"/>
              </w:rPr>
              <w:t xml:space="preserve"> </w:t>
            </w:r>
            <w:r>
              <w:rPr>
                <w:sz w:val="16"/>
              </w:rPr>
              <w:t>set up financial instrument aimed at increasing</w:t>
            </w:r>
            <w:r>
              <w:rPr>
                <w:spacing w:val="-37"/>
                <w:sz w:val="16"/>
              </w:rPr>
              <w:t xml:space="preserve"> </w:t>
            </w:r>
            <w:r>
              <w:rPr>
                <w:sz w:val="16"/>
              </w:rPr>
              <w:t>or reaching the maximum size of private</w:t>
            </w:r>
            <w:r>
              <w:rPr>
                <w:spacing w:val="1"/>
                <w:sz w:val="16"/>
              </w:rPr>
              <w:t xml:space="preserve"> </w:t>
            </w:r>
            <w:r>
              <w:rPr>
                <w:sz w:val="16"/>
              </w:rPr>
              <w:t>equity and venture capital funds active in the</w:t>
            </w:r>
            <w:r>
              <w:rPr>
                <w:spacing w:val="1"/>
                <w:sz w:val="16"/>
              </w:rPr>
              <w:t xml:space="preserve"> </w:t>
            </w:r>
            <w:r>
              <w:rPr>
                <w:sz w:val="16"/>
              </w:rPr>
              <w:t>Croatian market and setting up new funds</w:t>
            </w:r>
            <w:r>
              <w:rPr>
                <w:spacing w:val="1"/>
                <w:sz w:val="16"/>
              </w:rPr>
              <w:t xml:space="preserve"> </w:t>
            </w:r>
            <w:r>
              <w:rPr>
                <w:sz w:val="16"/>
              </w:rPr>
              <w:t>and/or</w:t>
            </w:r>
            <w:r>
              <w:rPr>
                <w:spacing w:val="-2"/>
                <w:sz w:val="16"/>
              </w:rPr>
              <w:t xml:space="preserve"> </w:t>
            </w:r>
            <w:r>
              <w:rPr>
                <w:sz w:val="16"/>
              </w:rPr>
              <w:t>co-investments.</w:t>
            </w:r>
          </w:p>
          <w:p w:rsidR="00A56FE9" w:rsidRDefault="00000000">
            <w:pPr>
              <w:pStyle w:val="TableParagraph"/>
              <w:ind w:left="57" w:right="50"/>
              <w:rPr>
                <w:sz w:val="16"/>
              </w:rPr>
            </w:pPr>
            <w:r>
              <w:rPr>
                <w:sz w:val="16"/>
              </w:rPr>
              <w:t>Private equity and venture capital funds shall</w:t>
            </w:r>
            <w:r>
              <w:rPr>
                <w:spacing w:val="1"/>
                <w:sz w:val="16"/>
              </w:rPr>
              <w:t xml:space="preserve"> </w:t>
            </w:r>
            <w:r>
              <w:rPr>
                <w:sz w:val="16"/>
              </w:rPr>
              <w:t>be set up with the participation 30% of private</w:t>
            </w:r>
            <w:r>
              <w:rPr>
                <w:spacing w:val="-37"/>
                <w:sz w:val="16"/>
              </w:rPr>
              <w:t xml:space="preserve"> </w:t>
            </w:r>
            <w:r>
              <w:rPr>
                <w:sz w:val="16"/>
              </w:rPr>
              <w:t>investors in relation to the target size of the</w:t>
            </w:r>
            <w:r>
              <w:rPr>
                <w:spacing w:val="1"/>
                <w:sz w:val="16"/>
              </w:rPr>
              <w:t xml:space="preserve"> </w:t>
            </w:r>
            <w:r>
              <w:rPr>
                <w:sz w:val="16"/>
              </w:rPr>
              <w:t>individual</w:t>
            </w:r>
            <w:r>
              <w:rPr>
                <w:spacing w:val="-2"/>
                <w:sz w:val="16"/>
              </w:rPr>
              <w:t xml:space="preserve"> </w:t>
            </w:r>
            <w:r>
              <w:rPr>
                <w:sz w:val="16"/>
              </w:rPr>
              <w:t>fund.</w:t>
            </w:r>
          </w:p>
          <w:p w:rsidR="00A56FE9" w:rsidRDefault="00000000">
            <w:pPr>
              <w:pStyle w:val="TableParagraph"/>
              <w:spacing w:before="1"/>
              <w:ind w:left="57" w:right="95"/>
              <w:rPr>
                <w:sz w:val="16"/>
              </w:rPr>
            </w:pPr>
            <w:r>
              <w:rPr>
                <w:sz w:val="16"/>
              </w:rPr>
              <w:t>The financial instruments shall ensure</w:t>
            </w:r>
            <w:r>
              <w:rPr>
                <w:spacing w:val="1"/>
                <w:sz w:val="16"/>
              </w:rPr>
              <w:t xml:space="preserve"> </w:t>
            </w:r>
            <w:r>
              <w:rPr>
                <w:sz w:val="16"/>
              </w:rPr>
              <w:t>compliance with the ‘Do no significant harm’</w:t>
            </w:r>
            <w:r>
              <w:rPr>
                <w:spacing w:val="-37"/>
                <w:sz w:val="16"/>
              </w:rPr>
              <w:t xml:space="preserve"> </w:t>
            </w:r>
            <w:r>
              <w:rPr>
                <w:sz w:val="16"/>
              </w:rPr>
              <w:t>Technical Guidance (2021/C58/01) of</w:t>
            </w:r>
            <w:r>
              <w:rPr>
                <w:spacing w:val="1"/>
                <w:sz w:val="16"/>
              </w:rPr>
              <w:t xml:space="preserve"> </w:t>
            </w:r>
            <w:r>
              <w:rPr>
                <w:sz w:val="16"/>
              </w:rPr>
              <w:t>supported beneficiaries under this measure</w:t>
            </w:r>
            <w:r>
              <w:rPr>
                <w:spacing w:val="1"/>
                <w:sz w:val="16"/>
              </w:rPr>
              <w:t xml:space="preserve"> </w:t>
            </w:r>
            <w:r>
              <w:rPr>
                <w:sz w:val="16"/>
              </w:rPr>
              <w:t>through the use of sustainability proofing, the</w:t>
            </w:r>
            <w:r>
              <w:rPr>
                <w:spacing w:val="-37"/>
                <w:sz w:val="16"/>
              </w:rPr>
              <w:t xml:space="preserve"> </w:t>
            </w:r>
            <w:r>
              <w:rPr>
                <w:sz w:val="16"/>
              </w:rPr>
              <w:t>requirement of compliance with the relevant</w:t>
            </w:r>
            <w:r>
              <w:rPr>
                <w:spacing w:val="1"/>
                <w:sz w:val="16"/>
              </w:rPr>
              <w:t xml:space="preserve"> </w:t>
            </w:r>
            <w:r>
              <w:rPr>
                <w:sz w:val="16"/>
              </w:rPr>
              <w:t>EU and national environmental legislation,</w:t>
            </w:r>
            <w:r>
              <w:rPr>
                <w:spacing w:val="1"/>
                <w:sz w:val="16"/>
              </w:rPr>
              <w:t xml:space="preserve"> </w:t>
            </w:r>
            <w:r>
              <w:rPr>
                <w:sz w:val="16"/>
              </w:rPr>
              <w:t>and the requirement for beneficiaries that</w:t>
            </w:r>
            <w:r>
              <w:rPr>
                <w:spacing w:val="1"/>
                <w:sz w:val="16"/>
              </w:rPr>
              <w:t xml:space="preserve"> </w:t>
            </w:r>
            <w:r>
              <w:rPr>
                <w:sz w:val="16"/>
              </w:rPr>
              <w:t>derived more than 10% of their revenues</w:t>
            </w:r>
            <w:r>
              <w:rPr>
                <w:spacing w:val="1"/>
                <w:sz w:val="16"/>
              </w:rPr>
              <w:t xml:space="preserve"> </w:t>
            </w:r>
            <w:r>
              <w:rPr>
                <w:sz w:val="16"/>
              </w:rPr>
              <w:t>during the preceding financial year from</w:t>
            </w:r>
            <w:r>
              <w:rPr>
                <w:spacing w:val="1"/>
                <w:sz w:val="16"/>
              </w:rPr>
              <w:t xml:space="preserve"> </w:t>
            </w:r>
            <w:r>
              <w:rPr>
                <w:sz w:val="16"/>
              </w:rPr>
              <w:t>activities or assets in the exclusion list to</w:t>
            </w:r>
            <w:r>
              <w:rPr>
                <w:spacing w:val="1"/>
                <w:sz w:val="16"/>
              </w:rPr>
              <w:t xml:space="preserve"> </w:t>
            </w:r>
            <w:r>
              <w:rPr>
                <w:sz w:val="16"/>
              </w:rPr>
              <w:t>adopt</w:t>
            </w:r>
            <w:r>
              <w:rPr>
                <w:spacing w:val="-3"/>
                <w:sz w:val="16"/>
              </w:rPr>
              <w:t xml:space="preserve"> </w:t>
            </w:r>
            <w:r>
              <w:rPr>
                <w:sz w:val="16"/>
              </w:rPr>
              <w:t>and</w:t>
            </w:r>
            <w:r>
              <w:rPr>
                <w:spacing w:val="-2"/>
                <w:sz w:val="16"/>
              </w:rPr>
              <w:t xml:space="preserve"> </w:t>
            </w:r>
            <w:r>
              <w:rPr>
                <w:sz w:val="16"/>
              </w:rPr>
              <w:t>publish</w:t>
            </w:r>
            <w:r>
              <w:rPr>
                <w:spacing w:val="-1"/>
                <w:sz w:val="16"/>
              </w:rPr>
              <w:t xml:space="preserve"> </w:t>
            </w:r>
            <w:r>
              <w:rPr>
                <w:sz w:val="16"/>
              </w:rPr>
              <w:t>green transition</w:t>
            </w:r>
            <w:r>
              <w:rPr>
                <w:spacing w:val="-2"/>
                <w:sz w:val="16"/>
              </w:rPr>
              <w:t xml:space="preserve"> </w:t>
            </w:r>
            <w:r>
              <w:rPr>
                <w:sz w:val="16"/>
              </w:rPr>
              <w:t>plan.</w:t>
            </w:r>
          </w:p>
          <w:p w:rsidR="00A56FE9" w:rsidRDefault="00000000">
            <w:pPr>
              <w:pStyle w:val="TableParagraph"/>
              <w:spacing w:before="1"/>
              <w:ind w:left="57" w:right="37"/>
              <w:rPr>
                <w:sz w:val="16"/>
              </w:rPr>
            </w:pPr>
            <w:r>
              <w:rPr>
                <w:sz w:val="16"/>
              </w:rPr>
              <w:t>This measure shall not support investments in</w:t>
            </w:r>
            <w:r>
              <w:rPr>
                <w:spacing w:val="1"/>
                <w:sz w:val="16"/>
              </w:rPr>
              <w:t xml:space="preserve"> </w:t>
            </w:r>
            <w:r>
              <w:rPr>
                <w:sz w:val="16"/>
              </w:rPr>
              <w:t>installations falling within the scope of the EU</w:t>
            </w:r>
            <w:r>
              <w:rPr>
                <w:spacing w:val="-37"/>
                <w:sz w:val="16"/>
              </w:rPr>
              <w:t xml:space="preserve"> </w:t>
            </w:r>
            <w:r>
              <w:rPr>
                <w:sz w:val="16"/>
              </w:rPr>
              <w:t>Emission Trading</w:t>
            </w:r>
            <w:r>
              <w:rPr>
                <w:spacing w:val="-1"/>
                <w:sz w:val="16"/>
              </w:rPr>
              <w:t xml:space="preserve"> </w:t>
            </w:r>
            <w:r>
              <w:rPr>
                <w:sz w:val="16"/>
              </w:rPr>
              <w:t>System</w:t>
            </w:r>
            <w:r>
              <w:rPr>
                <w:spacing w:val="-1"/>
                <w:sz w:val="16"/>
              </w:rPr>
              <w:t xml:space="preserve"> </w:t>
            </w:r>
            <w:r>
              <w:rPr>
                <w:sz w:val="16"/>
              </w:rPr>
              <w:t>(ETS).</w:t>
            </w:r>
          </w:p>
          <w:p w:rsidR="00A56FE9" w:rsidRDefault="00000000">
            <w:pPr>
              <w:pStyle w:val="TableParagraph"/>
              <w:ind w:left="57" w:right="82"/>
              <w:rPr>
                <w:sz w:val="16"/>
              </w:rPr>
            </w:pPr>
            <w:r>
              <w:rPr>
                <w:sz w:val="16"/>
              </w:rPr>
              <w:t>All activities are directed towards ‘financially</w:t>
            </w:r>
            <w:r>
              <w:rPr>
                <w:spacing w:val="-37"/>
                <w:sz w:val="16"/>
              </w:rPr>
              <w:t xml:space="preserve"> </w:t>
            </w:r>
            <w:r>
              <w:rPr>
                <w:sz w:val="16"/>
              </w:rPr>
              <w:t>viable’ projects, the financial viability of</w:t>
            </w:r>
            <w:r>
              <w:rPr>
                <w:spacing w:val="1"/>
                <w:sz w:val="16"/>
              </w:rPr>
              <w:t xml:space="preserve"> </w:t>
            </w:r>
            <w:r>
              <w:rPr>
                <w:sz w:val="16"/>
              </w:rPr>
              <w:t>which is determined by fund management</w:t>
            </w:r>
            <w:r>
              <w:rPr>
                <w:spacing w:val="1"/>
                <w:sz w:val="16"/>
              </w:rPr>
              <w:t xml:space="preserve"> </w:t>
            </w:r>
            <w:r>
              <w:rPr>
                <w:sz w:val="16"/>
              </w:rPr>
              <w:t>companies in accordance with the investment</w:t>
            </w:r>
            <w:r>
              <w:rPr>
                <w:spacing w:val="-37"/>
                <w:sz w:val="16"/>
              </w:rPr>
              <w:t xml:space="preserve"> </w:t>
            </w:r>
            <w:r>
              <w:rPr>
                <w:sz w:val="16"/>
              </w:rPr>
              <w:t>policies set out by the EIF and HBOR. In</w:t>
            </w:r>
            <w:r>
              <w:rPr>
                <w:spacing w:val="1"/>
                <w:sz w:val="16"/>
              </w:rPr>
              <w:t xml:space="preserve"> </w:t>
            </w:r>
            <w:r>
              <w:rPr>
                <w:sz w:val="16"/>
              </w:rPr>
              <w:t>implementing the investment, HBOR shall</w:t>
            </w:r>
            <w:r>
              <w:rPr>
                <w:spacing w:val="1"/>
                <w:sz w:val="16"/>
              </w:rPr>
              <w:t xml:space="preserve"> </w:t>
            </w:r>
            <w:r>
              <w:rPr>
                <w:sz w:val="16"/>
              </w:rPr>
              <w:t>ensure that resources are used in accordance</w:t>
            </w:r>
            <w:r>
              <w:rPr>
                <w:spacing w:val="1"/>
                <w:sz w:val="16"/>
              </w:rPr>
              <w:t xml:space="preserve"> </w:t>
            </w:r>
            <w:r>
              <w:rPr>
                <w:sz w:val="16"/>
              </w:rPr>
              <w:t>with the limits described in the description of</w:t>
            </w:r>
            <w:r>
              <w:rPr>
                <w:spacing w:val="1"/>
                <w:sz w:val="16"/>
              </w:rPr>
              <w:t xml:space="preserve"> </w:t>
            </w:r>
            <w:r>
              <w:rPr>
                <w:sz w:val="16"/>
              </w:rPr>
              <w:t>the measure as well as the ‘exclusion’ list</w:t>
            </w:r>
            <w:r>
              <w:rPr>
                <w:spacing w:val="1"/>
                <w:sz w:val="16"/>
              </w:rPr>
              <w:t xml:space="preserve"> </w:t>
            </w:r>
            <w:r>
              <w:rPr>
                <w:sz w:val="16"/>
              </w:rPr>
              <w:t>described in</w:t>
            </w:r>
            <w:r>
              <w:rPr>
                <w:spacing w:val="-2"/>
                <w:sz w:val="16"/>
              </w:rPr>
              <w:t xml:space="preserve"> </w:t>
            </w:r>
            <w:r>
              <w:rPr>
                <w:sz w:val="16"/>
              </w:rPr>
              <w:t>the</w:t>
            </w:r>
            <w:r>
              <w:rPr>
                <w:spacing w:val="-2"/>
                <w:sz w:val="16"/>
              </w:rPr>
              <w:t xml:space="preserve"> </w:t>
            </w:r>
            <w:r>
              <w:rPr>
                <w:sz w:val="16"/>
              </w:rPr>
              <w:t>FI</w:t>
            </w:r>
            <w:r>
              <w:rPr>
                <w:spacing w:val="-6"/>
                <w:sz w:val="16"/>
              </w:rPr>
              <w:t xml:space="preserve"> </w:t>
            </w:r>
            <w:r>
              <w:rPr>
                <w:sz w:val="16"/>
              </w:rPr>
              <w:t>for</w:t>
            </w:r>
            <w:r>
              <w:rPr>
                <w:spacing w:val="-2"/>
                <w:sz w:val="16"/>
              </w:rPr>
              <w:t xml:space="preserve"> </w:t>
            </w:r>
            <w:r>
              <w:rPr>
                <w:sz w:val="16"/>
              </w:rPr>
              <w:t>SME,</w:t>
            </w:r>
            <w:r>
              <w:rPr>
                <w:spacing w:val="1"/>
                <w:sz w:val="16"/>
              </w:rPr>
              <w:t xml:space="preserve"> </w:t>
            </w:r>
            <w:r>
              <w:rPr>
                <w:sz w:val="16"/>
              </w:rPr>
              <w:t>Mid-cap</w:t>
            </w:r>
            <w:r>
              <w:rPr>
                <w:spacing w:val="-2"/>
                <w:sz w:val="16"/>
              </w:rPr>
              <w:t xml:space="preserve"> </w:t>
            </w:r>
            <w:r>
              <w:rPr>
                <w:sz w:val="16"/>
              </w:rPr>
              <w:t>and</w:t>
            </w:r>
          </w:p>
          <w:p w:rsidR="00A56FE9" w:rsidRDefault="00000000">
            <w:pPr>
              <w:pStyle w:val="TableParagraph"/>
              <w:spacing w:line="167" w:lineRule="exact"/>
              <w:ind w:left="57"/>
              <w:rPr>
                <w:sz w:val="16"/>
              </w:rPr>
            </w:pPr>
            <w:r>
              <w:rPr>
                <w:sz w:val="16"/>
              </w:rPr>
              <w:t>Large</w:t>
            </w:r>
            <w:r>
              <w:rPr>
                <w:spacing w:val="-4"/>
                <w:sz w:val="16"/>
              </w:rPr>
              <w:t xml:space="preserve"> </w:t>
            </w:r>
            <w:r>
              <w:rPr>
                <w:sz w:val="16"/>
              </w:rPr>
              <w:t>Entities.</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103"/>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0"/>
              <w:jc w:val="center"/>
              <w:rPr>
                <w:sz w:val="16"/>
              </w:rPr>
            </w:pPr>
            <w:r>
              <w:rPr>
                <w:sz w:val="16"/>
              </w:rPr>
              <w:t>5</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37</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2019.CSR4</w:t>
            </w:r>
          </w:p>
          <w:p w:rsidR="00A56FE9" w:rsidRDefault="00000000">
            <w:pPr>
              <w:pStyle w:val="TableParagraph"/>
              <w:ind w:left="50" w:right="38"/>
              <w:rPr>
                <w:sz w:val="16"/>
              </w:rPr>
            </w:pPr>
            <w:r>
              <w:rPr>
                <w:sz w:val="16"/>
              </w:rPr>
              <w:t>.subpart5,</w:t>
            </w:r>
            <w:r>
              <w:rPr>
                <w:spacing w:val="1"/>
                <w:sz w:val="16"/>
              </w:rPr>
              <w:t xml:space="preserve"> </w:t>
            </w:r>
            <w:r>
              <w:rPr>
                <w:spacing w:val="-1"/>
                <w:sz w:val="16"/>
              </w:rPr>
              <w:t>2020.CSR3</w:t>
            </w:r>
          </w:p>
          <w:p w:rsidR="00A56FE9" w:rsidRDefault="00000000">
            <w:pPr>
              <w:pStyle w:val="TableParagraph"/>
              <w:spacing w:line="167" w:lineRule="exact"/>
              <w:ind w:left="50"/>
              <w:rPr>
                <w:sz w:val="16"/>
              </w:rPr>
            </w:pPr>
            <w:r>
              <w:rPr>
                <w:sz w:val="16"/>
              </w:rPr>
              <w:t>.subpart8,</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7</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3"/>
                <w:sz w:val="16"/>
              </w:rPr>
              <w:t xml:space="preserve"> </w:t>
            </w:r>
            <w:r>
              <w:rPr>
                <w:sz w:val="16"/>
              </w:rPr>
              <w:t>C1.2.</w:t>
            </w:r>
            <w:r>
              <w:rPr>
                <w:spacing w:val="-3"/>
                <w:sz w:val="16"/>
              </w:rPr>
              <w:t xml:space="preserve"> </w:t>
            </w:r>
            <w:r>
              <w:rPr>
                <w:sz w:val="16"/>
              </w:rPr>
              <w:t>R1</w:t>
            </w:r>
          </w:p>
          <w:p w:rsidR="00A56FE9" w:rsidRDefault="00000000">
            <w:pPr>
              <w:pStyle w:val="TableParagraph"/>
              <w:spacing w:before="1"/>
              <w:ind w:left="50" w:right="300"/>
              <w:rPr>
                <w:sz w:val="16"/>
              </w:rPr>
            </w:pPr>
            <w:r>
              <w:rPr>
                <w:sz w:val="16"/>
              </w:rPr>
              <w:t>Decarbonisation of the</w:t>
            </w:r>
            <w:r>
              <w:rPr>
                <w:spacing w:val="-37"/>
                <w:sz w:val="16"/>
              </w:rPr>
              <w:t xml:space="preserve"> </w:t>
            </w:r>
            <w:r>
              <w:rPr>
                <w:sz w:val="16"/>
              </w:rPr>
              <w:t>energy</w:t>
            </w:r>
            <w:r>
              <w:rPr>
                <w:spacing w:val="-4"/>
                <w:sz w:val="16"/>
              </w:rPr>
              <w:t xml:space="preserve"> </w:t>
            </w:r>
            <w:r>
              <w:rPr>
                <w:sz w:val="16"/>
              </w:rPr>
              <w:t>sector</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325"/>
              <w:rPr>
                <w:sz w:val="16"/>
              </w:rPr>
            </w:pPr>
            <w:r>
              <w:rPr>
                <w:sz w:val="16"/>
              </w:rPr>
              <w:t>Entry into force of</w:t>
            </w:r>
            <w:r>
              <w:rPr>
                <w:spacing w:val="1"/>
                <w:sz w:val="16"/>
              </w:rPr>
              <w:t xml:space="preserve"> </w:t>
            </w:r>
            <w:r>
              <w:rPr>
                <w:sz w:val="16"/>
              </w:rPr>
              <w:t>legislation and/or</w:t>
            </w:r>
            <w:r>
              <w:rPr>
                <w:spacing w:val="1"/>
                <w:sz w:val="16"/>
              </w:rPr>
              <w:t xml:space="preserve"> </w:t>
            </w:r>
            <w:r>
              <w:rPr>
                <w:sz w:val="16"/>
              </w:rPr>
              <w:t>regulation</w:t>
            </w:r>
            <w:r>
              <w:rPr>
                <w:spacing w:val="-6"/>
                <w:sz w:val="16"/>
              </w:rPr>
              <w:t xml:space="preserve"> </w:t>
            </w:r>
            <w:r>
              <w:rPr>
                <w:sz w:val="16"/>
              </w:rPr>
              <w:t>to</w:t>
            </w:r>
            <w:r>
              <w:rPr>
                <w:spacing w:val="-5"/>
                <w:sz w:val="16"/>
              </w:rPr>
              <w:t xml:space="preserve"> </w:t>
            </w:r>
            <w:r>
              <w:rPr>
                <w:sz w:val="16"/>
              </w:rPr>
              <w:t>improve</w:t>
            </w:r>
            <w:r>
              <w:rPr>
                <w:spacing w:val="-37"/>
                <w:sz w:val="16"/>
              </w:rPr>
              <w:t xml:space="preserve"> </w:t>
            </w:r>
            <w:r>
              <w:rPr>
                <w:sz w:val="16"/>
              </w:rPr>
              <w:t>uptake</w:t>
            </w:r>
            <w:r>
              <w:rPr>
                <w:spacing w:val="-4"/>
                <w:sz w:val="16"/>
              </w:rPr>
              <w:t xml:space="preserve"> </w:t>
            </w:r>
            <w:r>
              <w:rPr>
                <w:sz w:val="16"/>
              </w:rPr>
              <w:t>of</w:t>
            </w:r>
            <w:r>
              <w:rPr>
                <w:spacing w:val="-3"/>
                <w:sz w:val="16"/>
              </w:rPr>
              <w:t xml:space="preserve"> </w:t>
            </w:r>
            <w:r>
              <w:rPr>
                <w:sz w:val="16"/>
              </w:rPr>
              <w:t>renewable</w:t>
            </w:r>
          </w:p>
          <w:p w:rsidR="00A56FE9" w:rsidRDefault="00000000">
            <w:pPr>
              <w:pStyle w:val="TableParagraph"/>
              <w:spacing w:line="182" w:lineRule="exact"/>
              <w:ind w:left="109" w:right="118"/>
              <w:rPr>
                <w:sz w:val="16"/>
              </w:rPr>
            </w:pPr>
            <w:r>
              <w:rPr>
                <w:sz w:val="16"/>
              </w:rPr>
              <w:t>energy</w:t>
            </w:r>
            <w:r>
              <w:rPr>
                <w:spacing w:val="3"/>
                <w:sz w:val="16"/>
              </w:rPr>
              <w:t xml:space="preserve"> </w:t>
            </w:r>
            <w:r>
              <w:rPr>
                <w:sz w:val="16"/>
              </w:rPr>
              <w:t>sources,</w:t>
            </w:r>
            <w:r>
              <w:rPr>
                <w:spacing w:val="1"/>
                <w:sz w:val="16"/>
              </w:rPr>
              <w:t xml:space="preserve"> </w:t>
            </w:r>
            <w:r>
              <w:rPr>
                <w:sz w:val="16"/>
              </w:rPr>
              <w:t>including</w:t>
            </w:r>
            <w:r>
              <w:rPr>
                <w:spacing w:val="-9"/>
                <w:sz w:val="16"/>
              </w:rPr>
              <w:t xml:space="preserve"> </w:t>
            </w:r>
            <w:r>
              <w:rPr>
                <w:sz w:val="16"/>
              </w:rPr>
              <w:t>introduction</w:t>
            </w:r>
            <w:r>
              <w:rPr>
                <w:spacing w:val="-4"/>
                <w:sz w:val="16"/>
              </w:rPr>
              <w:t xml:space="preserve"> </w:t>
            </w:r>
            <w:r>
              <w:rPr>
                <w:sz w:val="16"/>
              </w:rPr>
              <w:t>of</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341"/>
              <w:rPr>
                <w:sz w:val="16"/>
              </w:rPr>
            </w:pPr>
            <w:r>
              <w:rPr>
                <w:sz w:val="16"/>
              </w:rPr>
              <w:t>Entry into</w:t>
            </w:r>
            <w:r>
              <w:rPr>
                <w:spacing w:val="-37"/>
                <w:sz w:val="16"/>
              </w:rPr>
              <w:t xml:space="preserve"> </w:t>
            </w:r>
            <w:r>
              <w:rPr>
                <w:sz w:val="16"/>
              </w:rPr>
              <w:t>force of</w:t>
            </w:r>
            <w:r>
              <w:rPr>
                <w:spacing w:val="1"/>
                <w:sz w:val="16"/>
              </w:rPr>
              <w:t xml:space="preserve"> </w:t>
            </w:r>
            <w:r>
              <w:rPr>
                <w:spacing w:val="-1"/>
                <w:sz w:val="16"/>
              </w:rPr>
              <w:t>legislation</w:t>
            </w:r>
            <w:r>
              <w:rPr>
                <w:spacing w:val="-37"/>
                <w:sz w:val="16"/>
              </w:rPr>
              <w:t xml:space="preserve"> </w:t>
            </w:r>
            <w:r>
              <w:rPr>
                <w:sz w:val="16"/>
              </w:rPr>
              <w:t>and/or</w:t>
            </w:r>
            <w:r>
              <w:rPr>
                <w:spacing w:val="1"/>
                <w:sz w:val="16"/>
              </w:rPr>
              <w:t xml:space="preserve"> </w:t>
            </w:r>
            <w:r>
              <w:rPr>
                <w:sz w:val="16"/>
              </w:rPr>
              <w:t>regulation</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MESD</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Pr>
                <w:sz w:val="16"/>
              </w:rPr>
            </w:pPr>
            <w:r>
              <w:rPr>
                <w:sz w:val="16"/>
              </w:rPr>
              <w:t>Revised Electricity Market Act and High-</w:t>
            </w:r>
            <w:r>
              <w:rPr>
                <w:spacing w:val="1"/>
                <w:sz w:val="16"/>
              </w:rPr>
              <w:t xml:space="preserve"> </w:t>
            </w:r>
            <w:r>
              <w:rPr>
                <w:sz w:val="16"/>
              </w:rPr>
              <w:t>Efficiency Cogeneration Act shall alleviate</w:t>
            </w:r>
            <w:r>
              <w:rPr>
                <w:spacing w:val="1"/>
                <w:sz w:val="16"/>
              </w:rPr>
              <w:t xml:space="preserve"> </w:t>
            </w:r>
            <w:r>
              <w:rPr>
                <w:sz w:val="16"/>
              </w:rPr>
              <w:t>barriers and administrative procedures</w:t>
            </w:r>
            <w:r>
              <w:rPr>
                <w:spacing w:val="1"/>
                <w:sz w:val="16"/>
              </w:rPr>
              <w:t xml:space="preserve"> </w:t>
            </w:r>
            <w:r>
              <w:rPr>
                <w:sz w:val="16"/>
              </w:rPr>
              <w:t>restraining</w:t>
            </w:r>
            <w:r>
              <w:rPr>
                <w:spacing w:val="-7"/>
                <w:sz w:val="16"/>
              </w:rPr>
              <w:t xml:space="preserve"> </w:t>
            </w:r>
            <w:r>
              <w:rPr>
                <w:sz w:val="16"/>
              </w:rPr>
              <w:t>higher</w:t>
            </w:r>
            <w:r>
              <w:rPr>
                <w:spacing w:val="-4"/>
                <w:sz w:val="16"/>
              </w:rPr>
              <w:t xml:space="preserve"> </w:t>
            </w:r>
            <w:r>
              <w:rPr>
                <w:sz w:val="16"/>
              </w:rPr>
              <w:t>uptake</w:t>
            </w:r>
            <w:r>
              <w:rPr>
                <w:spacing w:val="-5"/>
                <w:sz w:val="16"/>
              </w:rPr>
              <w:t xml:space="preserve"> </w:t>
            </w:r>
            <w:r>
              <w:rPr>
                <w:sz w:val="16"/>
              </w:rPr>
              <w:t>of</w:t>
            </w:r>
            <w:r>
              <w:rPr>
                <w:spacing w:val="-4"/>
                <w:sz w:val="16"/>
              </w:rPr>
              <w:t xml:space="preserve"> </w:t>
            </w:r>
            <w:r>
              <w:rPr>
                <w:sz w:val="16"/>
              </w:rPr>
              <w:t>renewable</w:t>
            </w:r>
            <w:r>
              <w:rPr>
                <w:spacing w:val="-5"/>
                <w:sz w:val="16"/>
              </w:rPr>
              <w:t xml:space="preserve"> </w:t>
            </w:r>
            <w:r>
              <w:rPr>
                <w:sz w:val="16"/>
              </w:rPr>
              <w:t>energy</w:t>
            </w:r>
          </w:p>
          <w:p w:rsidR="00A56FE9" w:rsidRDefault="00000000">
            <w:pPr>
              <w:pStyle w:val="TableParagraph"/>
              <w:spacing w:line="182" w:lineRule="exact"/>
              <w:ind w:left="57" w:right="246"/>
              <w:rPr>
                <w:sz w:val="16"/>
              </w:rPr>
            </w:pPr>
            <w:r>
              <w:rPr>
                <w:sz w:val="16"/>
              </w:rPr>
              <w:t>sources, including measures to promote the</w:t>
            </w:r>
            <w:r>
              <w:rPr>
                <w:spacing w:val="-37"/>
                <w:sz w:val="16"/>
              </w:rPr>
              <w:t xml:space="preserve"> </w:t>
            </w:r>
            <w:r>
              <w:rPr>
                <w:sz w:val="16"/>
              </w:rPr>
              <w:t>renewable</w:t>
            </w:r>
            <w:r>
              <w:rPr>
                <w:spacing w:val="-4"/>
                <w:sz w:val="16"/>
              </w:rPr>
              <w:t xml:space="preserve"> </w:t>
            </w:r>
            <w:r>
              <w:rPr>
                <w:sz w:val="16"/>
              </w:rPr>
              <w:t>energy</w:t>
            </w:r>
            <w:r>
              <w:rPr>
                <w:spacing w:val="-4"/>
                <w:sz w:val="16"/>
              </w:rPr>
              <w:t xml:space="preserve"> </w:t>
            </w:r>
            <w:r>
              <w:rPr>
                <w:sz w:val="16"/>
              </w:rPr>
              <w:t>self-consumption</w:t>
            </w:r>
            <w:r>
              <w:rPr>
                <w:spacing w:val="-2"/>
                <w:sz w:val="16"/>
              </w:rPr>
              <w:t xml:space="preserve"> </w:t>
            </w:r>
            <w:r>
              <w:rPr>
                <w:sz w:val="16"/>
              </w:rPr>
              <w:t>and</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729"/>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0"/>
              <w:rPr>
                <w:sz w:val="16"/>
              </w:rPr>
            </w:pPr>
            <w:r>
              <w:rPr>
                <w:sz w:val="16"/>
              </w:rPr>
              <w:t>2020.CSR3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line="167" w:lineRule="exact"/>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09"/>
              <w:rPr>
                <w:sz w:val="16"/>
              </w:rPr>
            </w:pPr>
            <w:r>
              <w:rPr>
                <w:sz w:val="16"/>
              </w:rPr>
              <w:t>a</w:t>
            </w:r>
            <w:r>
              <w:rPr>
                <w:spacing w:val="-2"/>
                <w:sz w:val="16"/>
              </w:rPr>
              <w:t xml:space="preserve"> </w:t>
            </w:r>
            <w:r>
              <w:rPr>
                <w:sz w:val="16"/>
              </w:rPr>
              <w:t>premium-based</w:t>
            </w:r>
            <w:r>
              <w:rPr>
                <w:spacing w:val="-2"/>
                <w:sz w:val="16"/>
              </w:rPr>
              <w:t xml:space="preserve"> </w:t>
            </w:r>
            <w:r>
              <w:rPr>
                <w:sz w:val="16"/>
              </w:rPr>
              <w:t>system</w:t>
            </w:r>
          </w:p>
          <w:p w:rsidR="00A56FE9" w:rsidRDefault="00000000">
            <w:pPr>
              <w:pStyle w:val="TableParagraph"/>
              <w:spacing w:before="1"/>
              <w:ind w:left="109"/>
              <w:rPr>
                <w:sz w:val="16"/>
              </w:rPr>
            </w:pPr>
            <w:r>
              <w:rPr>
                <w:sz w:val="16"/>
              </w:rPr>
              <w:t>for</w:t>
            </w:r>
            <w:r>
              <w:rPr>
                <w:spacing w:val="-3"/>
                <w:sz w:val="16"/>
              </w:rPr>
              <w:t xml:space="preserve"> </w:t>
            </w:r>
            <w:r>
              <w:rPr>
                <w:sz w:val="16"/>
              </w:rPr>
              <w:t>the</w:t>
            </w:r>
            <w:r>
              <w:rPr>
                <w:spacing w:val="-4"/>
                <w:sz w:val="16"/>
              </w:rPr>
              <w:t xml:space="preserve"> </w:t>
            </w:r>
            <w:r>
              <w:rPr>
                <w:sz w:val="16"/>
              </w:rPr>
              <w:t>support of</w:t>
            </w:r>
          </w:p>
          <w:p w:rsidR="00A56FE9" w:rsidRDefault="00000000">
            <w:pPr>
              <w:pStyle w:val="TableParagraph"/>
              <w:spacing w:line="182" w:lineRule="exact"/>
              <w:ind w:left="109" w:right="568"/>
              <w:rPr>
                <w:sz w:val="16"/>
              </w:rPr>
            </w:pPr>
            <w:r>
              <w:rPr>
                <w:sz w:val="16"/>
              </w:rPr>
              <w:t>renewable energy</w:t>
            </w:r>
            <w:r>
              <w:rPr>
                <w:spacing w:val="-38"/>
                <w:sz w:val="16"/>
              </w:rPr>
              <w:t xml:space="preserve"> </w:t>
            </w:r>
            <w:r>
              <w:rPr>
                <w:sz w:val="16"/>
              </w:rPr>
              <w:t>sources.</w:t>
            </w: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renewable</w:t>
            </w:r>
            <w:r>
              <w:rPr>
                <w:spacing w:val="-4"/>
                <w:sz w:val="16"/>
              </w:rPr>
              <w:t xml:space="preserve"> </w:t>
            </w:r>
            <w:r>
              <w:rPr>
                <w:sz w:val="16"/>
              </w:rPr>
              <w:t>energy</w:t>
            </w:r>
            <w:r>
              <w:rPr>
                <w:spacing w:val="-5"/>
                <w:sz w:val="16"/>
              </w:rPr>
              <w:t xml:space="preserve"> </w:t>
            </w:r>
            <w:r>
              <w:rPr>
                <w:sz w:val="16"/>
              </w:rPr>
              <w:t>communities.</w:t>
            </w:r>
            <w:r>
              <w:rPr>
                <w:spacing w:val="-3"/>
                <w:sz w:val="16"/>
              </w:rPr>
              <w:t xml:space="preserve"> </w:t>
            </w:r>
            <w:r>
              <w:rPr>
                <w:sz w:val="16"/>
              </w:rPr>
              <w:t>Premium-</w:t>
            </w:r>
          </w:p>
          <w:p w:rsidR="00A56FE9" w:rsidRDefault="00000000">
            <w:pPr>
              <w:pStyle w:val="TableParagraph"/>
              <w:spacing w:before="1"/>
              <w:ind w:left="57" w:right="317"/>
              <w:rPr>
                <w:sz w:val="16"/>
              </w:rPr>
            </w:pPr>
            <w:r>
              <w:rPr>
                <w:sz w:val="16"/>
              </w:rPr>
              <w:t>based system for the support of renewable</w:t>
            </w:r>
            <w:r>
              <w:rPr>
                <w:spacing w:val="-37"/>
                <w:sz w:val="16"/>
              </w:rPr>
              <w:t xml:space="preserve"> </w:t>
            </w:r>
            <w:r>
              <w:rPr>
                <w:sz w:val="16"/>
              </w:rPr>
              <w:t>energy</w:t>
            </w:r>
            <w:r>
              <w:rPr>
                <w:spacing w:val="-5"/>
                <w:sz w:val="16"/>
              </w:rPr>
              <w:t xml:space="preserve"> </w:t>
            </w:r>
            <w:r>
              <w:rPr>
                <w:sz w:val="16"/>
              </w:rPr>
              <w:t>sources</w:t>
            </w:r>
            <w:r>
              <w:rPr>
                <w:spacing w:val="-1"/>
                <w:sz w:val="16"/>
              </w:rPr>
              <w:t xml:space="preserve"> </w:t>
            </w:r>
            <w:r>
              <w:rPr>
                <w:sz w:val="16"/>
              </w:rPr>
              <w:t>will</w:t>
            </w:r>
            <w:r>
              <w:rPr>
                <w:spacing w:val="-3"/>
                <w:sz w:val="16"/>
              </w:rPr>
              <w:t xml:space="preserve"> </w:t>
            </w:r>
            <w:r>
              <w:rPr>
                <w:sz w:val="16"/>
              </w:rPr>
              <w:t>be</w:t>
            </w:r>
            <w:r>
              <w:rPr>
                <w:spacing w:val="-4"/>
                <w:sz w:val="16"/>
              </w:rPr>
              <w:t xml:space="preserve"> </w:t>
            </w:r>
            <w:r>
              <w:rPr>
                <w:sz w:val="16"/>
              </w:rPr>
              <w:t>fully</w:t>
            </w:r>
            <w:r>
              <w:rPr>
                <w:spacing w:val="-3"/>
                <w:sz w:val="16"/>
              </w:rPr>
              <w:t xml:space="preserve"> </w:t>
            </w:r>
            <w:r>
              <w:rPr>
                <w:sz w:val="16"/>
              </w:rPr>
              <w:t>operational.</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4416"/>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0"/>
              <w:jc w:val="center"/>
              <w:rPr>
                <w:sz w:val="16"/>
              </w:rPr>
            </w:pPr>
            <w:r>
              <w:rPr>
                <w:sz w:val="16"/>
              </w:rPr>
              <w:t>6</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60</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3"/>
                <w:sz w:val="16"/>
              </w:rPr>
              <w:t xml:space="preserve"> </w:t>
            </w:r>
            <w:r>
              <w:rPr>
                <w:sz w:val="16"/>
              </w:rPr>
              <w:t>C1.3.</w:t>
            </w:r>
            <w:r>
              <w:rPr>
                <w:spacing w:val="-3"/>
                <w:sz w:val="16"/>
              </w:rPr>
              <w:t xml:space="preserve"> </w:t>
            </w:r>
            <w:r>
              <w:rPr>
                <w:sz w:val="16"/>
              </w:rPr>
              <w:t>R1</w:t>
            </w:r>
          </w:p>
          <w:p w:rsidR="00A56FE9" w:rsidRDefault="00000000">
            <w:pPr>
              <w:pStyle w:val="TableParagraph"/>
              <w:spacing w:before="1"/>
              <w:ind w:left="50" w:right="336"/>
              <w:rPr>
                <w:sz w:val="16"/>
              </w:rPr>
            </w:pPr>
            <w:r>
              <w:rPr>
                <w:sz w:val="16"/>
              </w:rPr>
              <w:t>Implementation of the</w:t>
            </w:r>
            <w:r>
              <w:rPr>
                <w:spacing w:val="-37"/>
                <w:sz w:val="16"/>
              </w:rPr>
              <w:t xml:space="preserve"> </w:t>
            </w:r>
            <w:r>
              <w:rPr>
                <w:sz w:val="16"/>
              </w:rPr>
              <w:t>water management</w:t>
            </w:r>
            <w:r>
              <w:rPr>
                <w:spacing w:val="1"/>
                <w:sz w:val="16"/>
              </w:rPr>
              <w:t xml:space="preserve"> </w:t>
            </w:r>
            <w:r>
              <w:rPr>
                <w:sz w:val="16"/>
              </w:rPr>
              <w:t>programme</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09"/>
              <w:rPr>
                <w:sz w:val="16"/>
              </w:rPr>
            </w:pPr>
            <w:r>
              <w:rPr>
                <w:sz w:val="16"/>
              </w:rPr>
              <w:t>Amendments</w:t>
            </w:r>
            <w:r>
              <w:rPr>
                <w:spacing w:val="-4"/>
                <w:sz w:val="16"/>
              </w:rPr>
              <w:t xml:space="preserve"> </w:t>
            </w:r>
            <w:r>
              <w:rPr>
                <w:sz w:val="16"/>
              </w:rPr>
              <w:t>to</w:t>
            </w:r>
            <w:r>
              <w:rPr>
                <w:spacing w:val="-5"/>
                <w:sz w:val="16"/>
              </w:rPr>
              <w:t xml:space="preserve"> </w:t>
            </w:r>
            <w:r>
              <w:rPr>
                <w:sz w:val="16"/>
              </w:rPr>
              <w:t>the</w:t>
            </w:r>
            <w:r>
              <w:rPr>
                <w:spacing w:val="-4"/>
                <w:sz w:val="16"/>
              </w:rPr>
              <w:t xml:space="preserve"> </w:t>
            </w:r>
            <w:r>
              <w:rPr>
                <w:sz w:val="16"/>
              </w:rPr>
              <w:t>legal</w:t>
            </w:r>
            <w:r>
              <w:rPr>
                <w:spacing w:val="-37"/>
                <w:sz w:val="16"/>
              </w:rPr>
              <w:t xml:space="preserve"> </w:t>
            </w:r>
            <w:r>
              <w:rPr>
                <w:sz w:val="16"/>
              </w:rPr>
              <w:t>framework in the water</w:t>
            </w:r>
            <w:r>
              <w:rPr>
                <w:spacing w:val="1"/>
                <w:sz w:val="16"/>
              </w:rPr>
              <w:t xml:space="preserve"> </w:t>
            </w:r>
            <w:r>
              <w:rPr>
                <w:sz w:val="16"/>
              </w:rPr>
              <w:t>sector</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38"/>
              <w:rPr>
                <w:sz w:val="16"/>
              </w:rPr>
            </w:pPr>
            <w:r>
              <w:rPr>
                <w:spacing w:val="-4"/>
                <w:sz w:val="16"/>
              </w:rPr>
              <w:t xml:space="preserve">Entry </w:t>
            </w:r>
            <w:r>
              <w:rPr>
                <w:spacing w:val="-3"/>
                <w:sz w:val="16"/>
              </w:rPr>
              <w:t>into force</w:t>
            </w:r>
            <w:r>
              <w:rPr>
                <w:spacing w:val="-37"/>
                <w:sz w:val="16"/>
              </w:rPr>
              <w:t xml:space="preserve"> </w:t>
            </w:r>
            <w:r>
              <w:rPr>
                <w:spacing w:val="-4"/>
                <w:sz w:val="16"/>
              </w:rPr>
              <w:t xml:space="preserve">of </w:t>
            </w:r>
            <w:r>
              <w:rPr>
                <w:spacing w:val="-3"/>
                <w:sz w:val="16"/>
              </w:rPr>
              <w:t>four legal</w:t>
            </w:r>
            <w:r>
              <w:rPr>
                <w:spacing w:val="-2"/>
                <w:sz w:val="16"/>
              </w:rPr>
              <w:t xml:space="preserve"> </w:t>
            </w:r>
            <w:r>
              <w:rPr>
                <w:spacing w:val="-5"/>
                <w:sz w:val="16"/>
              </w:rPr>
              <w:t>amendments</w:t>
            </w:r>
            <w:r>
              <w:rPr>
                <w:spacing w:val="-8"/>
                <w:sz w:val="16"/>
              </w:rPr>
              <w:t xml:space="preserve"> </w:t>
            </w:r>
            <w:r>
              <w:rPr>
                <w:spacing w:val="-4"/>
                <w:sz w:val="16"/>
              </w:rPr>
              <w:t>to:</w:t>
            </w:r>
          </w:p>
          <w:p w:rsidR="00A56FE9" w:rsidRDefault="00000000">
            <w:pPr>
              <w:pStyle w:val="TableParagraph"/>
              <w:numPr>
                <w:ilvl w:val="0"/>
                <w:numId w:val="3"/>
              </w:numPr>
              <w:tabs>
                <w:tab w:val="left" w:pos="236"/>
              </w:tabs>
              <w:ind w:right="44" w:firstLine="0"/>
              <w:rPr>
                <w:sz w:val="16"/>
              </w:rPr>
            </w:pPr>
            <w:r>
              <w:rPr>
                <w:spacing w:val="-5"/>
                <w:sz w:val="16"/>
              </w:rPr>
              <w:t>Service Areas</w:t>
            </w:r>
            <w:r>
              <w:rPr>
                <w:spacing w:val="-37"/>
                <w:sz w:val="16"/>
              </w:rPr>
              <w:t xml:space="preserve"> </w:t>
            </w:r>
            <w:r>
              <w:rPr>
                <w:sz w:val="16"/>
              </w:rPr>
              <w:t>Regulation;</w:t>
            </w:r>
          </w:p>
          <w:p w:rsidR="00A56FE9" w:rsidRDefault="00000000">
            <w:pPr>
              <w:pStyle w:val="TableParagraph"/>
              <w:numPr>
                <w:ilvl w:val="0"/>
                <w:numId w:val="3"/>
              </w:numPr>
              <w:tabs>
                <w:tab w:val="left" w:pos="276"/>
              </w:tabs>
              <w:ind w:right="69" w:firstLine="0"/>
              <w:rPr>
                <w:sz w:val="16"/>
              </w:rPr>
            </w:pPr>
            <w:r>
              <w:rPr>
                <w:sz w:val="16"/>
              </w:rPr>
              <w:t>Regulation</w:t>
            </w:r>
            <w:r>
              <w:rPr>
                <w:spacing w:val="1"/>
                <w:sz w:val="16"/>
              </w:rPr>
              <w:t xml:space="preserve"> </w:t>
            </w:r>
            <w:r>
              <w:rPr>
                <w:spacing w:val="-4"/>
                <w:sz w:val="16"/>
              </w:rPr>
              <w:t>on Evaluation</w:t>
            </w:r>
            <w:r>
              <w:rPr>
                <w:spacing w:val="-3"/>
                <w:sz w:val="16"/>
              </w:rPr>
              <w:t xml:space="preserve"> </w:t>
            </w:r>
            <w:r>
              <w:rPr>
                <w:spacing w:val="-5"/>
                <w:sz w:val="16"/>
              </w:rPr>
              <w:t xml:space="preserve">of </w:t>
            </w:r>
            <w:r>
              <w:rPr>
                <w:spacing w:val="-4"/>
                <w:sz w:val="16"/>
              </w:rPr>
              <w:t>Performance</w:t>
            </w:r>
            <w:r>
              <w:rPr>
                <w:spacing w:val="-37"/>
                <w:sz w:val="16"/>
              </w:rPr>
              <w:t xml:space="preserve"> </w:t>
            </w:r>
            <w:r>
              <w:rPr>
                <w:sz w:val="16"/>
              </w:rPr>
              <w:t>of Water</w:t>
            </w:r>
            <w:r>
              <w:rPr>
                <w:spacing w:val="1"/>
                <w:sz w:val="16"/>
              </w:rPr>
              <w:t xml:space="preserve"> </w:t>
            </w:r>
            <w:r>
              <w:rPr>
                <w:spacing w:val="-4"/>
                <w:sz w:val="16"/>
              </w:rPr>
              <w:t>Operators; iii)</w:t>
            </w:r>
            <w:r>
              <w:rPr>
                <w:spacing w:val="-3"/>
                <w:sz w:val="16"/>
              </w:rPr>
              <w:t xml:space="preserve"> </w:t>
            </w:r>
            <w:r>
              <w:rPr>
                <w:spacing w:val="-4"/>
                <w:sz w:val="16"/>
              </w:rPr>
              <w:t>Regulation on</w:t>
            </w:r>
            <w:r>
              <w:rPr>
                <w:spacing w:val="-3"/>
                <w:sz w:val="16"/>
              </w:rPr>
              <w:t xml:space="preserve"> </w:t>
            </w:r>
            <w:r>
              <w:rPr>
                <w:sz w:val="16"/>
              </w:rPr>
              <w:t>the</w:t>
            </w:r>
            <w:r>
              <w:rPr>
                <w:spacing w:val="1"/>
                <w:sz w:val="16"/>
              </w:rPr>
              <w:t xml:space="preserve"> </w:t>
            </w:r>
            <w:r>
              <w:rPr>
                <w:sz w:val="16"/>
              </w:rPr>
              <w:t>methodology</w:t>
            </w:r>
            <w:r>
              <w:rPr>
                <w:spacing w:val="1"/>
                <w:sz w:val="16"/>
              </w:rPr>
              <w:t xml:space="preserve"> </w:t>
            </w:r>
            <w:r>
              <w:rPr>
                <w:spacing w:val="-5"/>
                <w:sz w:val="16"/>
              </w:rPr>
              <w:t>for determining</w:t>
            </w:r>
            <w:r>
              <w:rPr>
                <w:spacing w:val="-37"/>
                <w:sz w:val="16"/>
              </w:rPr>
              <w:t xml:space="preserve"> </w:t>
            </w:r>
            <w:r>
              <w:rPr>
                <w:spacing w:val="-3"/>
                <w:sz w:val="16"/>
              </w:rPr>
              <w:t>the pricing of</w:t>
            </w:r>
            <w:r>
              <w:rPr>
                <w:spacing w:val="-2"/>
                <w:sz w:val="16"/>
              </w:rPr>
              <w:t xml:space="preserve"> </w:t>
            </w:r>
            <w:r>
              <w:rPr>
                <w:spacing w:val="-4"/>
                <w:sz w:val="16"/>
              </w:rPr>
              <w:t>water</w:t>
            </w:r>
            <w:r>
              <w:rPr>
                <w:spacing w:val="-10"/>
                <w:sz w:val="16"/>
              </w:rPr>
              <w:t xml:space="preserve"> </w:t>
            </w:r>
            <w:r>
              <w:rPr>
                <w:spacing w:val="-4"/>
                <w:sz w:val="16"/>
              </w:rPr>
              <w:t>services;</w:t>
            </w:r>
          </w:p>
          <w:p w:rsidR="00A56FE9" w:rsidRDefault="00000000">
            <w:pPr>
              <w:pStyle w:val="TableParagraph"/>
              <w:ind w:left="110" w:right="51"/>
              <w:rPr>
                <w:sz w:val="16"/>
              </w:rPr>
            </w:pPr>
            <w:r>
              <w:rPr>
                <w:spacing w:val="-4"/>
                <w:sz w:val="16"/>
              </w:rPr>
              <w:t>iv) Regulation</w:t>
            </w:r>
            <w:r>
              <w:rPr>
                <w:spacing w:val="-3"/>
                <w:sz w:val="16"/>
              </w:rPr>
              <w:t xml:space="preserve"> </w:t>
            </w:r>
            <w:r>
              <w:rPr>
                <w:spacing w:val="-4"/>
                <w:sz w:val="16"/>
              </w:rPr>
              <w:t>on specific</w:t>
            </w:r>
            <w:r>
              <w:rPr>
                <w:spacing w:val="-3"/>
                <w:sz w:val="16"/>
              </w:rPr>
              <w:t xml:space="preserve"> </w:t>
            </w:r>
            <w:r>
              <w:rPr>
                <w:spacing w:val="-4"/>
                <w:sz w:val="16"/>
              </w:rPr>
              <w:t xml:space="preserve">conditions </w:t>
            </w:r>
            <w:r>
              <w:rPr>
                <w:spacing w:val="-3"/>
                <w:sz w:val="16"/>
              </w:rPr>
              <w:t>for</w:t>
            </w:r>
            <w:r>
              <w:rPr>
                <w:spacing w:val="-2"/>
                <w:sz w:val="16"/>
              </w:rPr>
              <w:t xml:space="preserve"> </w:t>
            </w:r>
            <w:r>
              <w:rPr>
                <w:spacing w:val="-5"/>
                <w:sz w:val="16"/>
              </w:rPr>
              <w:t xml:space="preserve">the </w:t>
            </w:r>
            <w:r>
              <w:rPr>
                <w:spacing w:val="-4"/>
                <w:sz w:val="16"/>
              </w:rPr>
              <w:t>provision of</w:t>
            </w:r>
            <w:r>
              <w:rPr>
                <w:spacing w:val="-37"/>
                <w:sz w:val="16"/>
              </w:rPr>
              <w:t xml:space="preserve"> </w:t>
            </w:r>
            <w:r>
              <w:rPr>
                <w:spacing w:val="-4"/>
                <w:sz w:val="16"/>
              </w:rPr>
              <w:t>water services,</w:t>
            </w:r>
            <w:r>
              <w:rPr>
                <w:spacing w:val="-3"/>
                <w:sz w:val="16"/>
              </w:rPr>
              <w:t xml:space="preserve"> </w:t>
            </w:r>
            <w:r>
              <w:rPr>
                <w:sz w:val="16"/>
              </w:rPr>
              <w:t>which</w:t>
            </w:r>
            <w:r>
              <w:rPr>
                <w:spacing w:val="-10"/>
                <w:sz w:val="16"/>
              </w:rPr>
              <w:t xml:space="preserve"> </w:t>
            </w:r>
            <w:r>
              <w:rPr>
                <w:sz w:val="16"/>
              </w:rPr>
              <w:t>will</w:t>
            </w:r>
          </w:p>
          <w:p w:rsidR="00A56FE9" w:rsidRDefault="00000000">
            <w:pPr>
              <w:pStyle w:val="TableParagraph"/>
              <w:spacing w:line="182" w:lineRule="exact"/>
              <w:ind w:left="110" w:right="31"/>
              <w:rPr>
                <w:sz w:val="16"/>
              </w:rPr>
            </w:pPr>
            <w:r>
              <w:rPr>
                <w:spacing w:val="-4"/>
                <w:sz w:val="16"/>
              </w:rPr>
              <w:t>reform public</w:t>
            </w:r>
            <w:r>
              <w:rPr>
                <w:spacing w:val="-3"/>
                <w:sz w:val="16"/>
              </w:rPr>
              <w:t xml:space="preserve"> </w:t>
            </w:r>
            <w:r>
              <w:rPr>
                <w:spacing w:val="-4"/>
                <w:sz w:val="16"/>
              </w:rPr>
              <w:t>water</w:t>
            </w:r>
            <w:r>
              <w:rPr>
                <w:spacing w:val="-10"/>
                <w:sz w:val="16"/>
              </w:rPr>
              <w:t xml:space="preserve"> </w:t>
            </w:r>
            <w:r>
              <w:rPr>
                <w:spacing w:val="-4"/>
                <w:sz w:val="16"/>
              </w:rPr>
              <w:t>operators;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MESD</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3"/>
              <w:rPr>
                <w:sz w:val="16"/>
              </w:rPr>
            </w:pPr>
            <w:r>
              <w:rPr>
                <w:sz w:val="16"/>
              </w:rPr>
              <w:t>The</w:t>
            </w:r>
            <w:r>
              <w:rPr>
                <w:spacing w:val="-6"/>
                <w:sz w:val="16"/>
              </w:rPr>
              <w:t xml:space="preserve"> </w:t>
            </w:r>
            <w:r>
              <w:rPr>
                <w:sz w:val="16"/>
              </w:rPr>
              <w:t>Services</w:t>
            </w:r>
            <w:r>
              <w:rPr>
                <w:spacing w:val="-3"/>
                <w:sz w:val="16"/>
              </w:rPr>
              <w:t xml:space="preserve"> </w:t>
            </w:r>
            <w:r>
              <w:rPr>
                <w:sz w:val="16"/>
              </w:rPr>
              <w:t>Areas</w:t>
            </w:r>
            <w:r>
              <w:rPr>
                <w:spacing w:val="-4"/>
                <w:sz w:val="16"/>
              </w:rPr>
              <w:t xml:space="preserve"> </w:t>
            </w:r>
            <w:r>
              <w:rPr>
                <w:sz w:val="16"/>
              </w:rPr>
              <w:t>Regulation,</w:t>
            </w:r>
            <w:r>
              <w:rPr>
                <w:spacing w:val="-5"/>
                <w:sz w:val="16"/>
              </w:rPr>
              <w:t xml:space="preserve"> </w:t>
            </w:r>
            <w:r>
              <w:rPr>
                <w:sz w:val="16"/>
              </w:rPr>
              <w:t>the</w:t>
            </w:r>
            <w:r>
              <w:rPr>
                <w:spacing w:val="-7"/>
                <w:sz w:val="16"/>
              </w:rPr>
              <w:t xml:space="preserve"> </w:t>
            </w:r>
            <w:r>
              <w:rPr>
                <w:sz w:val="16"/>
              </w:rPr>
              <w:t>Regulation</w:t>
            </w:r>
            <w:r>
              <w:rPr>
                <w:spacing w:val="-37"/>
                <w:sz w:val="16"/>
              </w:rPr>
              <w:t xml:space="preserve"> </w:t>
            </w:r>
            <w:r>
              <w:rPr>
                <w:sz w:val="16"/>
              </w:rPr>
              <w:t>on performance evaluation of water operators,</w:t>
            </w:r>
            <w:r>
              <w:rPr>
                <w:spacing w:val="1"/>
                <w:sz w:val="16"/>
              </w:rPr>
              <w:t xml:space="preserve"> </w:t>
            </w:r>
            <w:r>
              <w:rPr>
                <w:sz w:val="16"/>
              </w:rPr>
              <w:t>the Regulation on the methodology for</w:t>
            </w:r>
            <w:r>
              <w:rPr>
                <w:spacing w:val="1"/>
                <w:sz w:val="16"/>
              </w:rPr>
              <w:t xml:space="preserve"> </w:t>
            </w:r>
            <w:r>
              <w:rPr>
                <w:sz w:val="16"/>
              </w:rPr>
              <w:t>determining the pricing of water services, and</w:t>
            </w:r>
            <w:r>
              <w:rPr>
                <w:spacing w:val="1"/>
                <w:sz w:val="16"/>
              </w:rPr>
              <w:t xml:space="preserve"> </w:t>
            </w:r>
            <w:r>
              <w:rPr>
                <w:sz w:val="16"/>
              </w:rPr>
              <w:t>the Regulation on specific conditions for the</w:t>
            </w:r>
            <w:r>
              <w:rPr>
                <w:spacing w:val="1"/>
                <w:sz w:val="16"/>
              </w:rPr>
              <w:t xml:space="preserve"> </w:t>
            </w:r>
            <w:r>
              <w:rPr>
                <w:sz w:val="16"/>
              </w:rPr>
              <w:t>provision of water services, shall be amended</w:t>
            </w:r>
            <w:r>
              <w:rPr>
                <w:spacing w:val="1"/>
                <w:sz w:val="16"/>
              </w:rPr>
              <w:t xml:space="preserve"> </w:t>
            </w:r>
            <w:r>
              <w:rPr>
                <w:sz w:val="16"/>
              </w:rPr>
              <w:t>to create the legal precondition for</w:t>
            </w:r>
            <w:r>
              <w:rPr>
                <w:spacing w:val="1"/>
                <w:sz w:val="16"/>
              </w:rPr>
              <w:t xml:space="preserve"> </w:t>
            </w:r>
            <w:r>
              <w:rPr>
                <w:sz w:val="16"/>
              </w:rPr>
              <w:t>consolidation of</w:t>
            </w:r>
            <w:r>
              <w:rPr>
                <w:spacing w:val="-2"/>
                <w:sz w:val="16"/>
              </w:rPr>
              <w:t xml:space="preserve"> </w:t>
            </w:r>
            <w:r>
              <w:rPr>
                <w:sz w:val="16"/>
              </w:rPr>
              <w:t>water</w:t>
            </w:r>
            <w:r>
              <w:rPr>
                <w:spacing w:val="-2"/>
                <w:sz w:val="16"/>
              </w:rPr>
              <w:t xml:space="preserve"> </w:t>
            </w:r>
            <w:r>
              <w:rPr>
                <w:sz w:val="16"/>
              </w:rPr>
              <w:t>operators.</w:t>
            </w:r>
          </w:p>
          <w:p w:rsidR="00A56FE9" w:rsidRDefault="00000000">
            <w:pPr>
              <w:pStyle w:val="TableParagraph"/>
              <w:ind w:left="57" w:right="100"/>
              <w:rPr>
                <w:sz w:val="16"/>
              </w:rPr>
            </w:pPr>
            <w:r>
              <w:rPr>
                <w:sz w:val="16"/>
              </w:rPr>
              <w:t>The Regulation on performance evaluation of</w:t>
            </w:r>
            <w:r>
              <w:rPr>
                <w:spacing w:val="-37"/>
                <w:sz w:val="16"/>
              </w:rPr>
              <w:t xml:space="preserve"> </w:t>
            </w:r>
            <w:r>
              <w:rPr>
                <w:sz w:val="16"/>
              </w:rPr>
              <w:t>water operators shall also include the legal</w:t>
            </w:r>
            <w:r>
              <w:rPr>
                <w:spacing w:val="1"/>
                <w:sz w:val="16"/>
              </w:rPr>
              <w:t xml:space="preserve"> </w:t>
            </w:r>
            <w:r>
              <w:rPr>
                <w:sz w:val="16"/>
              </w:rPr>
              <w:t>basis for the creation of mandatory</w:t>
            </w:r>
            <w:r>
              <w:rPr>
                <w:spacing w:val="1"/>
                <w:sz w:val="16"/>
              </w:rPr>
              <w:t xml:space="preserve"> </w:t>
            </w:r>
            <w:r>
              <w:rPr>
                <w:sz w:val="16"/>
              </w:rPr>
              <w:t>benchmarking system of utility companies,</w:t>
            </w:r>
            <w:r>
              <w:rPr>
                <w:spacing w:val="1"/>
                <w:sz w:val="16"/>
              </w:rPr>
              <w:t xml:space="preserve"> </w:t>
            </w:r>
            <w:r>
              <w:rPr>
                <w:sz w:val="16"/>
              </w:rPr>
              <w:t>made publicly available, as well as for</w:t>
            </w:r>
            <w:r>
              <w:rPr>
                <w:spacing w:val="1"/>
                <w:sz w:val="16"/>
              </w:rPr>
              <w:t xml:space="preserve"> </w:t>
            </w:r>
            <w:r>
              <w:rPr>
                <w:sz w:val="16"/>
              </w:rPr>
              <w:t>ensuring that at least summaries of annual</w:t>
            </w:r>
            <w:r>
              <w:rPr>
                <w:spacing w:val="1"/>
                <w:sz w:val="16"/>
              </w:rPr>
              <w:t xml:space="preserve"> </w:t>
            </w:r>
            <w:r>
              <w:rPr>
                <w:sz w:val="16"/>
              </w:rPr>
              <w:t>audited reports of utility companies are made</w:t>
            </w:r>
            <w:r>
              <w:rPr>
                <w:spacing w:val="-37"/>
                <w:sz w:val="16"/>
              </w:rPr>
              <w:t xml:space="preserve"> </w:t>
            </w:r>
            <w:r>
              <w:rPr>
                <w:sz w:val="16"/>
              </w:rPr>
              <w:t>publicly</w:t>
            </w:r>
            <w:r>
              <w:rPr>
                <w:spacing w:val="-4"/>
                <w:sz w:val="16"/>
              </w:rPr>
              <w:t xml:space="preserve"> </w:t>
            </w:r>
            <w:r>
              <w:rPr>
                <w:sz w:val="16"/>
              </w:rPr>
              <w:t>available.</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28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0"/>
              <w:jc w:val="center"/>
              <w:rPr>
                <w:sz w:val="16"/>
              </w:rPr>
            </w:pPr>
            <w:r>
              <w:rPr>
                <w:sz w:val="16"/>
              </w:rPr>
              <w:t>7</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63</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 -</w:t>
            </w:r>
            <w:r>
              <w:rPr>
                <w:spacing w:val="-4"/>
                <w:sz w:val="16"/>
              </w:rPr>
              <w:t xml:space="preserve"> </w:t>
            </w:r>
            <w:r>
              <w:rPr>
                <w:sz w:val="16"/>
              </w:rPr>
              <w:t>C1.3.</w:t>
            </w:r>
          </w:p>
          <w:p w:rsidR="00A56FE9" w:rsidRDefault="00000000">
            <w:pPr>
              <w:pStyle w:val="TableParagraph"/>
              <w:spacing w:before="1"/>
              <w:ind w:left="50" w:right="163"/>
              <w:rPr>
                <w:sz w:val="16"/>
              </w:rPr>
            </w:pPr>
            <w:r>
              <w:rPr>
                <w:sz w:val="16"/>
              </w:rPr>
              <w:t>R1-I1 Public sewage</w:t>
            </w:r>
            <w:r>
              <w:rPr>
                <w:spacing w:val="1"/>
                <w:sz w:val="16"/>
              </w:rPr>
              <w:t xml:space="preserve"> </w:t>
            </w:r>
            <w:r>
              <w:rPr>
                <w:sz w:val="16"/>
              </w:rPr>
              <w:t>development</w:t>
            </w:r>
            <w:r>
              <w:rPr>
                <w:spacing w:val="-9"/>
                <w:sz w:val="16"/>
              </w:rPr>
              <w:t xml:space="preserve"> </w:t>
            </w:r>
            <w:r>
              <w:rPr>
                <w:sz w:val="16"/>
              </w:rPr>
              <w:t>programme</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04"/>
              <w:rPr>
                <w:sz w:val="16"/>
              </w:rPr>
            </w:pPr>
            <w:r>
              <w:rPr>
                <w:sz w:val="16"/>
              </w:rPr>
              <w:t>Public</w:t>
            </w:r>
            <w:r>
              <w:rPr>
                <w:spacing w:val="-5"/>
                <w:sz w:val="16"/>
              </w:rPr>
              <w:t xml:space="preserve"> </w:t>
            </w:r>
            <w:r>
              <w:rPr>
                <w:sz w:val="16"/>
              </w:rPr>
              <w:t>sewerage</w:t>
            </w:r>
            <w:r>
              <w:rPr>
                <w:spacing w:val="-7"/>
                <w:sz w:val="16"/>
              </w:rPr>
              <w:t xml:space="preserve"> </w:t>
            </w:r>
            <w:r>
              <w:rPr>
                <w:sz w:val="16"/>
              </w:rPr>
              <w:t>network</w:t>
            </w:r>
            <w:r>
              <w:rPr>
                <w:spacing w:val="-37"/>
                <w:sz w:val="16"/>
              </w:rPr>
              <w:t xml:space="preserve"> </w:t>
            </w:r>
            <w:r>
              <w:rPr>
                <w:sz w:val="16"/>
              </w:rPr>
              <w:t>constructed or</w:t>
            </w:r>
            <w:r>
              <w:rPr>
                <w:spacing w:val="1"/>
                <w:sz w:val="16"/>
              </w:rPr>
              <w:t xml:space="preserve"> </w:t>
            </w:r>
            <w:r>
              <w:rPr>
                <w:sz w:val="16"/>
              </w:rPr>
              <w:t>reconstructed</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178"/>
              <w:jc w:val="right"/>
              <w:rPr>
                <w:sz w:val="16"/>
              </w:rPr>
            </w:pPr>
            <w:r>
              <w:rPr>
                <w:sz w:val="16"/>
              </w:rPr>
              <w:t>115</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73"/>
              <w:rPr>
                <w:sz w:val="16"/>
              </w:rPr>
            </w:pPr>
            <w:r>
              <w:rPr>
                <w:sz w:val="16"/>
              </w:rPr>
              <w:t>MESD,</w:t>
            </w:r>
            <w:r>
              <w:rPr>
                <w:spacing w:val="-37"/>
                <w:sz w:val="16"/>
              </w:rPr>
              <w:t xml:space="preserve"> </w:t>
            </w:r>
            <w:r>
              <w:rPr>
                <w:sz w:val="16"/>
              </w:rPr>
              <w:t>HV</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Pr>
                <w:sz w:val="16"/>
              </w:rPr>
            </w:pPr>
            <w:r>
              <w:rPr>
                <w:sz w:val="16"/>
              </w:rPr>
              <w:t>At</w:t>
            </w:r>
            <w:r>
              <w:rPr>
                <w:spacing w:val="-2"/>
                <w:sz w:val="16"/>
              </w:rPr>
              <w:t xml:space="preserve"> </w:t>
            </w:r>
            <w:r>
              <w:rPr>
                <w:sz w:val="16"/>
              </w:rPr>
              <w:t>least</w:t>
            </w:r>
            <w:r>
              <w:rPr>
                <w:spacing w:val="-1"/>
                <w:sz w:val="16"/>
              </w:rPr>
              <w:t xml:space="preserve"> </w:t>
            </w:r>
            <w:r>
              <w:rPr>
                <w:sz w:val="16"/>
              </w:rPr>
              <w:t>115</w:t>
            </w:r>
            <w:r>
              <w:rPr>
                <w:spacing w:val="-4"/>
                <w:sz w:val="16"/>
              </w:rPr>
              <w:t xml:space="preserve"> </w:t>
            </w:r>
            <w:r>
              <w:rPr>
                <w:sz w:val="16"/>
              </w:rPr>
              <w:t>km</w:t>
            </w:r>
            <w:r>
              <w:rPr>
                <w:spacing w:val="-2"/>
                <w:sz w:val="16"/>
              </w:rPr>
              <w:t xml:space="preserve"> </w:t>
            </w:r>
            <w:r>
              <w:rPr>
                <w:sz w:val="16"/>
              </w:rPr>
              <w:t>of</w:t>
            </w:r>
            <w:r>
              <w:rPr>
                <w:spacing w:val="-5"/>
                <w:sz w:val="16"/>
              </w:rPr>
              <w:t xml:space="preserve"> </w:t>
            </w:r>
            <w:r>
              <w:rPr>
                <w:sz w:val="16"/>
              </w:rPr>
              <w:t>public</w:t>
            </w:r>
            <w:r>
              <w:rPr>
                <w:spacing w:val="-5"/>
                <w:sz w:val="16"/>
              </w:rPr>
              <w:t xml:space="preserve"> </w:t>
            </w:r>
            <w:r>
              <w:rPr>
                <w:sz w:val="16"/>
              </w:rPr>
              <w:t>sewerage</w:t>
            </w:r>
            <w:r>
              <w:rPr>
                <w:spacing w:val="-4"/>
                <w:sz w:val="16"/>
              </w:rPr>
              <w:t xml:space="preserve"> </w:t>
            </w:r>
            <w:r>
              <w:rPr>
                <w:sz w:val="16"/>
              </w:rPr>
              <w:t>(drainage)</w:t>
            </w:r>
            <w:r>
              <w:rPr>
                <w:spacing w:val="-37"/>
                <w:sz w:val="16"/>
              </w:rPr>
              <w:t xml:space="preserve"> </w:t>
            </w:r>
            <w:r>
              <w:rPr>
                <w:sz w:val="16"/>
              </w:rPr>
              <w:t>network built or</w:t>
            </w:r>
            <w:r>
              <w:rPr>
                <w:spacing w:val="-1"/>
                <w:sz w:val="16"/>
              </w:rPr>
              <w:t xml:space="preserve"> </w:t>
            </w:r>
            <w:r>
              <w:rPr>
                <w:sz w:val="16"/>
              </w:rPr>
              <w:t>reconstructed</w:t>
            </w:r>
          </w:p>
          <w:p w:rsidR="00A56FE9" w:rsidRDefault="00000000">
            <w:pPr>
              <w:pStyle w:val="TableParagraph"/>
              <w:ind w:left="57" w:right="91"/>
              <w:rPr>
                <w:sz w:val="16"/>
              </w:rPr>
            </w:pPr>
            <w:r>
              <w:rPr>
                <w:sz w:val="16"/>
              </w:rPr>
              <w:t>The investment shall ensure compliance with</w:t>
            </w:r>
            <w:r>
              <w:rPr>
                <w:spacing w:val="-37"/>
                <w:sz w:val="16"/>
              </w:rPr>
              <w:t xml:space="preserve"> </w:t>
            </w:r>
            <w:r>
              <w:rPr>
                <w:sz w:val="16"/>
              </w:rPr>
              <w:t>the Urban Wastewater Treatment Directive in</w:t>
            </w:r>
            <w:r>
              <w:rPr>
                <w:spacing w:val="-38"/>
                <w:sz w:val="16"/>
              </w:rPr>
              <w:t xml:space="preserve"> </w:t>
            </w:r>
            <w:r>
              <w:rPr>
                <w:sz w:val="16"/>
              </w:rPr>
              <w:t>subject areas, in line with the Multiannual</w:t>
            </w:r>
            <w:r>
              <w:rPr>
                <w:spacing w:val="1"/>
                <w:sz w:val="16"/>
              </w:rPr>
              <w:t xml:space="preserve"> </w:t>
            </w:r>
            <w:r>
              <w:rPr>
                <w:sz w:val="16"/>
              </w:rPr>
              <w:t>Water</w:t>
            </w:r>
            <w:r>
              <w:rPr>
                <w:spacing w:val="-2"/>
                <w:sz w:val="16"/>
              </w:rPr>
              <w:t xml:space="preserve"> </w:t>
            </w:r>
            <w:r>
              <w:rPr>
                <w:sz w:val="16"/>
              </w:rPr>
              <w:t>and</w:t>
            </w:r>
            <w:r>
              <w:rPr>
                <w:spacing w:val="-2"/>
                <w:sz w:val="16"/>
              </w:rPr>
              <w:t xml:space="preserve"> </w:t>
            </w:r>
            <w:r>
              <w:rPr>
                <w:sz w:val="16"/>
              </w:rPr>
              <w:t>Wastewater</w:t>
            </w:r>
            <w:r>
              <w:rPr>
                <w:spacing w:val="-2"/>
                <w:sz w:val="16"/>
              </w:rPr>
              <w:t xml:space="preserve"> </w:t>
            </w:r>
            <w:r>
              <w:rPr>
                <w:sz w:val="16"/>
              </w:rPr>
              <w:t>Construction</w:t>
            </w:r>
          </w:p>
          <w:p w:rsidR="00A56FE9" w:rsidRDefault="00000000">
            <w:pPr>
              <w:pStyle w:val="TableParagraph"/>
              <w:spacing w:line="166" w:lineRule="exact"/>
              <w:ind w:left="57"/>
              <w:rPr>
                <w:sz w:val="16"/>
              </w:rPr>
            </w:pPr>
            <w:r>
              <w:rPr>
                <w:sz w:val="16"/>
              </w:rPr>
              <w:t>Programme.</w:t>
            </w:r>
          </w:p>
        </w:tc>
        <w:tc>
          <w:tcPr>
            <w:tcW w:w="1128" w:type="dxa"/>
            <w:vMerge w:val="restart"/>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225" w:right="91" w:hanging="120"/>
              <w:jc w:val="both"/>
              <w:rPr>
                <w:sz w:val="16"/>
              </w:rPr>
            </w:pPr>
            <w:r>
              <w:rPr>
                <w:spacing w:val="-1"/>
                <w:sz w:val="16"/>
              </w:rPr>
              <w:t>2,237,700,887</w:t>
            </w:r>
            <w:r>
              <w:rPr>
                <w:spacing w:val="-38"/>
                <w:sz w:val="16"/>
              </w:rPr>
              <w:t xml:space="preserve"> </w:t>
            </w:r>
            <w:r>
              <w:rPr>
                <w:sz w:val="16"/>
              </w:rPr>
              <w:t>(MINGOR)</w:t>
            </w:r>
            <w:r>
              <w:rPr>
                <w:spacing w:val="1"/>
                <w:sz w:val="16"/>
              </w:rPr>
              <w:t xml:space="preserve"> </w:t>
            </w:r>
            <w:r>
              <w:rPr>
                <w:spacing w:val="-1"/>
                <w:sz w:val="16"/>
              </w:rPr>
              <w:t>390,398,000</w:t>
            </w:r>
          </w:p>
          <w:p w:rsidR="00A56FE9" w:rsidRDefault="00000000">
            <w:pPr>
              <w:pStyle w:val="TableParagraph"/>
              <w:ind w:left="223" w:right="92" w:firstLine="463"/>
              <w:jc w:val="both"/>
              <w:rPr>
                <w:sz w:val="16"/>
              </w:rPr>
            </w:pPr>
            <w:r>
              <w:rPr>
                <w:sz w:val="16"/>
              </w:rPr>
              <w:t>(HV)</w:t>
            </w:r>
            <w:r>
              <w:rPr>
                <w:spacing w:val="-39"/>
                <w:sz w:val="16"/>
              </w:rPr>
              <w:t xml:space="preserve"> </w:t>
            </w:r>
            <w:r>
              <w:rPr>
                <w:spacing w:val="-1"/>
                <w:sz w:val="16"/>
              </w:rPr>
              <w:t>167,752,000</w:t>
            </w:r>
            <w:r>
              <w:rPr>
                <w:spacing w:val="-38"/>
                <w:sz w:val="16"/>
              </w:rPr>
              <w:t xml:space="preserve"> </w:t>
            </w:r>
            <w:r>
              <w:rPr>
                <w:sz w:val="16"/>
              </w:rPr>
              <w:t>(JLS/JIVU)</w:t>
            </w:r>
          </w:p>
        </w:tc>
      </w:tr>
      <w:tr w:rsidR="00A56FE9">
        <w:trPr>
          <w:trHeight w:val="1473"/>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0"/>
              <w:jc w:val="center"/>
              <w:rPr>
                <w:sz w:val="16"/>
              </w:rPr>
            </w:pPr>
            <w:r>
              <w:rPr>
                <w:sz w:val="16"/>
              </w:rPr>
              <w:t>8</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68</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60"/>
              <w:rPr>
                <w:sz w:val="16"/>
              </w:rPr>
            </w:pPr>
            <w:r>
              <w:rPr>
                <w:sz w:val="16"/>
              </w:rPr>
              <w:t>.subpart3,2</w:t>
            </w:r>
            <w:r>
              <w:rPr>
                <w:spacing w:val="-37"/>
                <w:sz w:val="16"/>
              </w:rPr>
              <w:t xml:space="preserve"> </w:t>
            </w:r>
            <w:r>
              <w:rPr>
                <w:sz w:val="16"/>
              </w:rPr>
              <w:t>020.CSR3.</w:t>
            </w:r>
          </w:p>
          <w:p w:rsidR="00A56FE9" w:rsidRDefault="00000000">
            <w:pPr>
              <w:pStyle w:val="TableParagraph"/>
              <w:spacing w:line="183" w:lineRule="exact"/>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r>
              <w:rPr>
                <w:spacing w:val="-1"/>
                <w:sz w:val="16"/>
              </w:rPr>
              <w:t xml:space="preserve"> </w:t>
            </w:r>
            <w:r>
              <w:rPr>
                <w:sz w:val="16"/>
              </w:rPr>
              <w:t>-</w:t>
            </w:r>
            <w:r>
              <w:rPr>
                <w:spacing w:val="-2"/>
                <w:sz w:val="16"/>
              </w:rPr>
              <w:t xml:space="preserve"> </w:t>
            </w:r>
            <w:r>
              <w:rPr>
                <w:sz w:val="16"/>
              </w:rPr>
              <w:t>GOSPODARSTVO</w:t>
            </w:r>
            <w:r>
              <w:rPr>
                <w:spacing w:val="-2"/>
                <w:sz w:val="16"/>
              </w:rPr>
              <w:t xml:space="preserve"> </w:t>
            </w:r>
            <w:r>
              <w:rPr>
                <w:sz w:val="16"/>
              </w:rPr>
              <w:t>-</w:t>
            </w:r>
          </w:p>
          <w:p w:rsidR="00A56FE9" w:rsidRDefault="00000000">
            <w:pPr>
              <w:pStyle w:val="TableParagraph"/>
              <w:spacing w:before="1"/>
              <w:ind w:left="50" w:right="166"/>
              <w:rPr>
                <w:sz w:val="16"/>
              </w:rPr>
            </w:pPr>
            <w:r>
              <w:rPr>
                <w:sz w:val="16"/>
              </w:rPr>
              <w:t>C1.3.</w:t>
            </w:r>
            <w:r>
              <w:rPr>
                <w:spacing w:val="-4"/>
                <w:sz w:val="16"/>
              </w:rPr>
              <w:t xml:space="preserve"> </w:t>
            </w:r>
            <w:r>
              <w:rPr>
                <w:sz w:val="16"/>
              </w:rPr>
              <w:t>R1-I2</w:t>
            </w:r>
            <w:r>
              <w:rPr>
                <w:spacing w:val="-3"/>
                <w:sz w:val="16"/>
              </w:rPr>
              <w:t xml:space="preserve"> </w:t>
            </w:r>
            <w:r>
              <w:rPr>
                <w:sz w:val="16"/>
              </w:rPr>
              <w:t>Public</w:t>
            </w:r>
            <w:r>
              <w:rPr>
                <w:spacing w:val="-6"/>
                <w:sz w:val="16"/>
              </w:rPr>
              <w:t xml:space="preserve"> </w:t>
            </w:r>
            <w:r>
              <w:rPr>
                <w:sz w:val="16"/>
              </w:rPr>
              <w:t>water</w:t>
            </w:r>
            <w:r>
              <w:rPr>
                <w:spacing w:val="-37"/>
                <w:sz w:val="16"/>
              </w:rPr>
              <w:t xml:space="preserve"> </w:t>
            </w:r>
            <w:r>
              <w:rPr>
                <w:sz w:val="16"/>
              </w:rPr>
              <w:t>supply development</w:t>
            </w:r>
            <w:r>
              <w:rPr>
                <w:spacing w:val="1"/>
                <w:sz w:val="16"/>
              </w:rPr>
              <w:t xml:space="preserve"> </w:t>
            </w:r>
            <w:r>
              <w:rPr>
                <w:sz w:val="16"/>
              </w:rPr>
              <w:t>programme</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225"/>
              <w:rPr>
                <w:sz w:val="16"/>
              </w:rPr>
            </w:pPr>
            <w:r>
              <w:rPr>
                <w:sz w:val="16"/>
              </w:rPr>
              <w:t>Public water supply</w:t>
            </w:r>
            <w:r>
              <w:rPr>
                <w:spacing w:val="1"/>
                <w:sz w:val="16"/>
              </w:rPr>
              <w:t xml:space="preserve"> </w:t>
            </w:r>
            <w:r>
              <w:rPr>
                <w:sz w:val="16"/>
              </w:rPr>
              <w:t>network constructed or</w:t>
            </w:r>
            <w:r>
              <w:rPr>
                <w:spacing w:val="-38"/>
                <w:sz w:val="16"/>
              </w:rPr>
              <w:t xml:space="preserve"> </w:t>
            </w:r>
            <w:r>
              <w:rPr>
                <w:sz w:val="16"/>
              </w:rPr>
              <w:t>reconstructed</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178"/>
              <w:jc w:val="right"/>
              <w:rPr>
                <w:sz w:val="16"/>
              </w:rPr>
            </w:pPr>
            <w:r>
              <w:rPr>
                <w:sz w:val="16"/>
              </w:rPr>
              <w:t>226</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73"/>
              <w:rPr>
                <w:sz w:val="16"/>
              </w:rPr>
            </w:pPr>
            <w:r>
              <w:rPr>
                <w:sz w:val="16"/>
              </w:rPr>
              <w:t>MESD,</w:t>
            </w:r>
            <w:r>
              <w:rPr>
                <w:spacing w:val="-37"/>
                <w:sz w:val="16"/>
              </w:rPr>
              <w:t xml:space="preserve"> </w:t>
            </w:r>
            <w:r>
              <w:rPr>
                <w:sz w:val="16"/>
              </w:rPr>
              <w:t>HV</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95"/>
              <w:rPr>
                <w:sz w:val="16"/>
              </w:rPr>
            </w:pPr>
            <w:r>
              <w:rPr>
                <w:sz w:val="16"/>
              </w:rPr>
              <w:t>At</w:t>
            </w:r>
            <w:r>
              <w:rPr>
                <w:spacing w:val="-2"/>
                <w:sz w:val="16"/>
              </w:rPr>
              <w:t xml:space="preserve"> </w:t>
            </w:r>
            <w:r>
              <w:rPr>
                <w:sz w:val="16"/>
              </w:rPr>
              <w:t>least</w:t>
            </w:r>
            <w:r>
              <w:rPr>
                <w:spacing w:val="-1"/>
                <w:sz w:val="16"/>
              </w:rPr>
              <w:t xml:space="preserve"> </w:t>
            </w:r>
            <w:r>
              <w:rPr>
                <w:sz w:val="16"/>
              </w:rPr>
              <w:t>226</w:t>
            </w:r>
            <w:r>
              <w:rPr>
                <w:spacing w:val="-3"/>
                <w:sz w:val="16"/>
              </w:rPr>
              <w:t xml:space="preserve"> </w:t>
            </w:r>
            <w:r>
              <w:rPr>
                <w:sz w:val="16"/>
              </w:rPr>
              <w:t>km</w:t>
            </w:r>
            <w:r>
              <w:rPr>
                <w:spacing w:val="-2"/>
                <w:sz w:val="16"/>
              </w:rPr>
              <w:t xml:space="preserve"> </w:t>
            </w:r>
            <w:r>
              <w:rPr>
                <w:sz w:val="16"/>
              </w:rPr>
              <w:t>of</w:t>
            </w:r>
            <w:r>
              <w:rPr>
                <w:spacing w:val="-5"/>
                <w:sz w:val="16"/>
              </w:rPr>
              <w:t xml:space="preserve"> </w:t>
            </w:r>
            <w:r>
              <w:rPr>
                <w:sz w:val="16"/>
              </w:rPr>
              <w:t>public</w:t>
            </w:r>
            <w:r>
              <w:rPr>
                <w:spacing w:val="-4"/>
                <w:sz w:val="16"/>
              </w:rPr>
              <w:t xml:space="preserve"> </w:t>
            </w:r>
            <w:r>
              <w:rPr>
                <w:sz w:val="16"/>
              </w:rPr>
              <w:t>water</w:t>
            </w:r>
            <w:r>
              <w:rPr>
                <w:spacing w:val="-3"/>
                <w:sz w:val="16"/>
              </w:rPr>
              <w:t xml:space="preserve"> </w:t>
            </w:r>
            <w:r>
              <w:rPr>
                <w:sz w:val="16"/>
              </w:rPr>
              <w:t>supply</w:t>
            </w:r>
            <w:r>
              <w:rPr>
                <w:spacing w:val="-37"/>
                <w:sz w:val="16"/>
              </w:rPr>
              <w:t xml:space="preserve"> </w:t>
            </w:r>
            <w:r>
              <w:rPr>
                <w:sz w:val="16"/>
              </w:rPr>
              <w:t>network</w:t>
            </w:r>
            <w:r>
              <w:rPr>
                <w:spacing w:val="-4"/>
                <w:sz w:val="16"/>
              </w:rPr>
              <w:t xml:space="preserve"> </w:t>
            </w:r>
            <w:r>
              <w:rPr>
                <w:sz w:val="16"/>
              </w:rPr>
              <w:t>constructed</w:t>
            </w:r>
            <w:r>
              <w:rPr>
                <w:spacing w:val="-4"/>
                <w:sz w:val="16"/>
              </w:rPr>
              <w:t xml:space="preserve"> </w:t>
            </w:r>
            <w:r>
              <w:rPr>
                <w:sz w:val="16"/>
              </w:rPr>
              <w:t>or</w:t>
            </w:r>
            <w:r>
              <w:rPr>
                <w:spacing w:val="-5"/>
                <w:sz w:val="16"/>
              </w:rPr>
              <w:t xml:space="preserve"> </w:t>
            </w:r>
            <w:r>
              <w:rPr>
                <w:sz w:val="16"/>
              </w:rPr>
              <w:t>reconstructed.</w:t>
            </w:r>
          </w:p>
          <w:p w:rsidR="00A56FE9" w:rsidRDefault="00000000">
            <w:pPr>
              <w:pStyle w:val="TableParagraph"/>
              <w:ind w:left="57" w:right="45"/>
              <w:rPr>
                <w:sz w:val="16"/>
              </w:rPr>
            </w:pPr>
            <w:r>
              <w:rPr>
                <w:sz w:val="16"/>
              </w:rPr>
              <w:t>The investment consists in building drinking</w:t>
            </w:r>
            <w:r>
              <w:rPr>
                <w:spacing w:val="1"/>
                <w:sz w:val="16"/>
              </w:rPr>
              <w:t xml:space="preserve"> </w:t>
            </w:r>
            <w:r>
              <w:rPr>
                <w:sz w:val="16"/>
              </w:rPr>
              <w:t>water supply systems with an average energy</w:t>
            </w:r>
            <w:r>
              <w:rPr>
                <w:spacing w:val="1"/>
                <w:sz w:val="16"/>
              </w:rPr>
              <w:t xml:space="preserve"> </w:t>
            </w:r>
            <w:r>
              <w:rPr>
                <w:sz w:val="16"/>
              </w:rPr>
              <w:t>consumption</w:t>
            </w:r>
            <w:r>
              <w:rPr>
                <w:spacing w:val="-3"/>
                <w:sz w:val="16"/>
              </w:rPr>
              <w:t xml:space="preserve"> </w:t>
            </w:r>
            <w:r>
              <w:rPr>
                <w:sz w:val="16"/>
              </w:rPr>
              <w:t>of</w:t>
            </w:r>
            <w:r>
              <w:rPr>
                <w:spacing w:val="-4"/>
                <w:sz w:val="16"/>
              </w:rPr>
              <w:t xml:space="preserve"> </w:t>
            </w:r>
            <w:r>
              <w:rPr>
                <w:sz w:val="16"/>
              </w:rPr>
              <w:t>≤</w:t>
            </w:r>
            <w:r>
              <w:rPr>
                <w:spacing w:val="-5"/>
                <w:sz w:val="16"/>
              </w:rPr>
              <w:t xml:space="preserve"> </w:t>
            </w:r>
            <w:r>
              <w:rPr>
                <w:sz w:val="16"/>
              </w:rPr>
              <w:t>0,5</w:t>
            </w:r>
            <w:r>
              <w:rPr>
                <w:spacing w:val="-3"/>
                <w:sz w:val="16"/>
              </w:rPr>
              <w:t xml:space="preserve"> </w:t>
            </w:r>
            <w:r>
              <w:rPr>
                <w:sz w:val="16"/>
              </w:rPr>
              <w:t>kWh</w:t>
            </w:r>
            <w:r>
              <w:rPr>
                <w:spacing w:val="-2"/>
                <w:sz w:val="16"/>
              </w:rPr>
              <w:t xml:space="preserve"> </w:t>
            </w:r>
            <w:r>
              <w:rPr>
                <w:sz w:val="16"/>
              </w:rPr>
              <w:t>or</w:t>
            </w:r>
            <w:r>
              <w:rPr>
                <w:spacing w:val="-4"/>
                <w:sz w:val="16"/>
              </w:rPr>
              <w:t xml:space="preserve"> </w:t>
            </w:r>
            <w:r>
              <w:rPr>
                <w:sz w:val="16"/>
              </w:rPr>
              <w:t>an</w:t>
            </w:r>
            <w:r>
              <w:rPr>
                <w:spacing w:val="-2"/>
                <w:sz w:val="16"/>
              </w:rPr>
              <w:t xml:space="preserve"> </w:t>
            </w:r>
            <w:r>
              <w:rPr>
                <w:sz w:val="16"/>
              </w:rPr>
              <w:t>Infrastructure</w:t>
            </w:r>
            <w:r>
              <w:rPr>
                <w:spacing w:val="-37"/>
                <w:sz w:val="16"/>
              </w:rPr>
              <w:t xml:space="preserve"> </w:t>
            </w:r>
            <w:r>
              <w:rPr>
                <w:sz w:val="16"/>
              </w:rPr>
              <w:t>Leakage Index (ILI) of ≤ 1,5, and in</w:t>
            </w:r>
            <w:r>
              <w:rPr>
                <w:spacing w:val="1"/>
                <w:sz w:val="16"/>
              </w:rPr>
              <w:t xml:space="preserve"> </w:t>
            </w:r>
            <w:r>
              <w:rPr>
                <w:sz w:val="16"/>
              </w:rPr>
              <w:t>renovating</w:t>
            </w:r>
            <w:r>
              <w:rPr>
                <w:spacing w:val="-3"/>
                <w:sz w:val="16"/>
              </w:rPr>
              <w:t xml:space="preserve"> </w:t>
            </w:r>
            <w:r>
              <w:rPr>
                <w:sz w:val="16"/>
              </w:rPr>
              <w:t>existing</w:t>
            </w:r>
            <w:r>
              <w:rPr>
                <w:spacing w:val="-4"/>
                <w:sz w:val="16"/>
              </w:rPr>
              <w:t xml:space="preserve"> </w:t>
            </w:r>
            <w:r>
              <w:rPr>
                <w:sz w:val="16"/>
              </w:rPr>
              <w:t>drinking</w:t>
            </w:r>
            <w:r>
              <w:rPr>
                <w:spacing w:val="-3"/>
                <w:sz w:val="16"/>
              </w:rPr>
              <w:t xml:space="preserve"> </w:t>
            </w:r>
            <w:r>
              <w:rPr>
                <w:sz w:val="16"/>
              </w:rPr>
              <w:t>water</w:t>
            </w:r>
            <w:r>
              <w:rPr>
                <w:spacing w:val="-2"/>
                <w:sz w:val="16"/>
              </w:rPr>
              <w:t xml:space="preserve"> </w:t>
            </w:r>
            <w:r>
              <w:rPr>
                <w:sz w:val="16"/>
              </w:rPr>
              <w:t>supply</w:t>
            </w:r>
          </w:p>
          <w:p w:rsidR="00A56FE9" w:rsidRDefault="00000000">
            <w:pPr>
              <w:pStyle w:val="TableParagraph"/>
              <w:spacing w:line="168" w:lineRule="exact"/>
              <w:ind w:left="57"/>
              <w:rPr>
                <w:sz w:val="16"/>
              </w:rPr>
            </w:pPr>
            <w:r>
              <w:rPr>
                <w:sz w:val="16"/>
              </w:rPr>
              <w:t>systems</w:t>
            </w:r>
            <w:r>
              <w:rPr>
                <w:spacing w:val="-2"/>
                <w:sz w:val="16"/>
              </w:rPr>
              <w:t xml:space="preserve"> </w:t>
            </w:r>
            <w:r>
              <w:rPr>
                <w:sz w:val="16"/>
              </w:rPr>
              <w:t>to</w:t>
            </w:r>
            <w:r>
              <w:rPr>
                <w:spacing w:val="-3"/>
                <w:sz w:val="16"/>
              </w:rPr>
              <w:t xml:space="preserve"> </w:t>
            </w:r>
            <w:r>
              <w:rPr>
                <w:sz w:val="16"/>
              </w:rPr>
              <w:t>decrease</w:t>
            </w:r>
            <w:r>
              <w:rPr>
                <w:spacing w:val="-3"/>
                <w:sz w:val="16"/>
              </w:rPr>
              <w:t xml:space="preserve"> </w:t>
            </w:r>
            <w:r>
              <w:rPr>
                <w:sz w:val="16"/>
              </w:rPr>
              <w:t>the</w:t>
            </w:r>
            <w:r>
              <w:rPr>
                <w:spacing w:val="-3"/>
                <w:sz w:val="16"/>
              </w:rPr>
              <w:t xml:space="preserve"> </w:t>
            </w:r>
            <w:r>
              <w:rPr>
                <w:sz w:val="16"/>
              </w:rPr>
              <w:t>average</w:t>
            </w:r>
            <w:r>
              <w:rPr>
                <w:spacing w:val="-4"/>
                <w:sz w:val="16"/>
              </w:rPr>
              <w:t xml:space="preserve"> </w:t>
            </w:r>
            <w:r>
              <w:rPr>
                <w:sz w:val="16"/>
              </w:rPr>
              <w:t>energy</w:t>
            </w:r>
          </w:p>
        </w:tc>
        <w:tc>
          <w:tcPr>
            <w:tcW w:w="1128" w:type="dxa"/>
            <w:vMerge/>
            <w:tcBorders>
              <w:top w:val="nil"/>
              <w:left w:val="single" w:sz="4" w:space="0" w:color="2C398A"/>
              <w:bottom w:val="single" w:sz="4" w:space="0" w:color="2C398A"/>
              <w:right w:val="single" w:sz="4" w:space="0" w:color="2C398A"/>
            </w:tcBorders>
            <w:shd w:val="clear" w:color="auto" w:fill="C5EECE"/>
          </w:tcPr>
          <w:p w:rsidR="00A56FE9" w:rsidRDefault="00A56FE9">
            <w:pPr>
              <w:rPr>
                <w:sz w:val="2"/>
                <w:szCs w:val="2"/>
              </w:rPr>
            </w:pPr>
          </w:p>
        </w:tc>
      </w:tr>
    </w:tbl>
    <w:p w:rsidR="00A56FE9" w:rsidRDefault="00A56FE9">
      <w:pPr>
        <w:rPr>
          <w:sz w:val="2"/>
          <w:szCs w:val="2"/>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single" w:sz="4" w:space="0" w:color="FFFFFF"/>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0"/>
        </w:trPr>
        <w:tc>
          <w:tcPr>
            <w:tcW w:w="420" w:type="dxa"/>
            <w:vMerge/>
            <w:tcBorders>
              <w:top w:val="nil"/>
              <w:bottom w:val="single" w:sz="4" w:space="0" w:color="FFFFFF"/>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single" w:sz="4" w:space="0" w:color="FFFFFF"/>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single" w:sz="4" w:space="0" w:color="FFFFFF"/>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single" w:sz="4" w:space="0" w:color="FFFFFF"/>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65" w:lineRule="exact"/>
              <w:ind w:left="76"/>
              <w:rPr>
                <w:b/>
                <w:sz w:val="16"/>
              </w:rPr>
            </w:pPr>
            <w:r>
              <w:rPr>
                <w:b/>
                <w:color w:val="FFFFFF"/>
                <w:sz w:val="16"/>
              </w:rPr>
              <w:t>G</w:t>
            </w:r>
          </w:p>
        </w:tc>
        <w:tc>
          <w:tcPr>
            <w:tcW w:w="5667" w:type="dxa"/>
            <w:gridSpan w:val="5"/>
            <w:tcBorders>
              <w:top w:val="single" w:sz="6" w:space="0" w:color="FFFFFF"/>
              <w:left w:val="single" w:sz="4" w:space="0" w:color="FFFFFF"/>
              <w:bottom w:val="single" w:sz="4" w:space="0" w:color="FFFFFF"/>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line="194" w:lineRule="exact"/>
              <w:ind w:left="53"/>
              <w:rPr>
                <w:b/>
                <w:i/>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z w:val="16"/>
              </w:rPr>
              <w:t>milestones</w:t>
            </w:r>
            <w:r>
              <w:rPr>
                <w:b/>
                <w:i/>
                <w:color w:val="FFFFFF"/>
                <w:sz w:val="16"/>
              </w:rPr>
              <w:t>)</w:t>
            </w:r>
          </w:p>
          <w:p w:rsidR="00A56FE9" w:rsidRDefault="00000000">
            <w:pPr>
              <w:pStyle w:val="TableParagraph"/>
              <w:spacing w:line="130" w:lineRule="exact"/>
              <w:ind w:left="91"/>
              <w:rPr>
                <w:b/>
                <w:sz w:val="16"/>
              </w:rPr>
            </w:pPr>
            <w:r>
              <w:rPr>
                <w:b/>
                <w:color w:val="FFFFFF"/>
                <w:sz w:val="16"/>
              </w:rPr>
              <w:t>P</w:t>
            </w:r>
          </w:p>
        </w:tc>
        <w:tc>
          <w:tcPr>
            <w:tcW w:w="633" w:type="dxa"/>
            <w:tcBorders>
              <w:top w:val="single" w:sz="6" w:space="0" w:color="FFFFFF"/>
              <w:left w:val="single" w:sz="4" w:space="0" w:color="FFFFFF"/>
              <w:bottom w:val="single" w:sz="4" w:space="0" w:color="FFFFFF"/>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65"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single" w:sz="4" w:space="0" w:color="FFFFFF"/>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single" w:sz="4" w:space="0" w:color="FFFFFF"/>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65" w:lineRule="exact"/>
              <w:ind w:left="138"/>
              <w:rPr>
                <w:b/>
                <w:sz w:val="16"/>
              </w:rPr>
            </w:pPr>
            <w:r>
              <w:rPr>
                <w:b/>
                <w:color w:val="FFFFFF"/>
                <w:sz w:val="16"/>
              </w:rPr>
              <w:t>value</w:t>
            </w:r>
          </w:p>
        </w:tc>
        <w:tc>
          <w:tcPr>
            <w:tcW w:w="508" w:type="dxa"/>
            <w:tcBorders>
              <w:top w:val="single" w:sz="6" w:space="0" w:color="FFFFFF"/>
              <w:left w:val="single" w:sz="4" w:space="0" w:color="FFFFFF"/>
              <w:bottom w:val="single" w:sz="4" w:space="0" w:color="FFFFFF"/>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single" w:sz="4" w:space="0" w:color="FFFFFF"/>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366"/>
        </w:trPr>
        <w:tc>
          <w:tcPr>
            <w:tcW w:w="420" w:type="dxa"/>
            <w:tcBorders>
              <w:top w:val="single" w:sz="4" w:space="0" w:color="FFFFFF"/>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single" w:sz="4" w:space="0" w:color="FFFFFF"/>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7"/>
              <w:rPr>
                <w:sz w:val="16"/>
              </w:rPr>
            </w:pPr>
            <w:r>
              <w:rPr>
                <w:sz w:val="16"/>
              </w:rPr>
              <w:t>consumption</w:t>
            </w:r>
            <w:r>
              <w:rPr>
                <w:spacing w:val="-3"/>
                <w:sz w:val="16"/>
              </w:rPr>
              <w:t xml:space="preserve"> </w:t>
            </w:r>
            <w:r>
              <w:rPr>
                <w:sz w:val="16"/>
              </w:rPr>
              <w:t>by</w:t>
            </w:r>
            <w:r>
              <w:rPr>
                <w:spacing w:val="-4"/>
                <w:sz w:val="16"/>
              </w:rPr>
              <w:t xml:space="preserve"> </w:t>
            </w:r>
            <w:r>
              <w:rPr>
                <w:sz w:val="16"/>
              </w:rPr>
              <w:t>more</w:t>
            </w:r>
            <w:r>
              <w:rPr>
                <w:spacing w:val="-3"/>
                <w:sz w:val="16"/>
              </w:rPr>
              <w:t xml:space="preserve"> </w:t>
            </w:r>
            <w:r>
              <w:rPr>
                <w:sz w:val="16"/>
              </w:rPr>
              <w:t>than</w:t>
            </w:r>
            <w:r>
              <w:rPr>
                <w:spacing w:val="-2"/>
                <w:sz w:val="16"/>
              </w:rPr>
              <w:t xml:space="preserve"> </w:t>
            </w:r>
            <w:r>
              <w:rPr>
                <w:sz w:val="16"/>
              </w:rPr>
              <w:t>20%</w:t>
            </w:r>
            <w:r>
              <w:rPr>
                <w:spacing w:val="-4"/>
                <w:sz w:val="16"/>
              </w:rPr>
              <w:t xml:space="preserve"> </w:t>
            </w:r>
            <w:r>
              <w:rPr>
                <w:sz w:val="16"/>
              </w:rPr>
              <w:t>or</w:t>
            </w:r>
            <w:r>
              <w:rPr>
                <w:spacing w:val="-2"/>
                <w:sz w:val="16"/>
              </w:rPr>
              <w:t xml:space="preserve"> </w:t>
            </w:r>
            <w:r>
              <w:rPr>
                <w:sz w:val="16"/>
              </w:rPr>
              <w:t>decrease</w:t>
            </w:r>
          </w:p>
          <w:p w:rsidR="00A56FE9" w:rsidRDefault="00000000">
            <w:pPr>
              <w:pStyle w:val="TableParagraph"/>
              <w:spacing w:before="1" w:line="168" w:lineRule="exact"/>
              <w:ind w:left="57"/>
              <w:rPr>
                <w:sz w:val="16"/>
              </w:rPr>
            </w:pPr>
            <w:r>
              <w:rPr>
                <w:sz w:val="16"/>
              </w:rPr>
              <w:t>leakage</w:t>
            </w:r>
            <w:r>
              <w:rPr>
                <w:spacing w:val="-3"/>
                <w:sz w:val="16"/>
              </w:rPr>
              <w:t xml:space="preserve"> </w:t>
            </w:r>
            <w:r>
              <w:rPr>
                <w:sz w:val="16"/>
              </w:rPr>
              <w:t>by</w:t>
            </w:r>
            <w:r>
              <w:rPr>
                <w:spacing w:val="-4"/>
                <w:sz w:val="16"/>
              </w:rPr>
              <w:t xml:space="preserve"> </w:t>
            </w:r>
            <w:r>
              <w:rPr>
                <w:sz w:val="16"/>
              </w:rPr>
              <w:t>more</w:t>
            </w:r>
            <w:r>
              <w:rPr>
                <w:spacing w:val="-2"/>
                <w:sz w:val="16"/>
              </w:rPr>
              <w:t xml:space="preserve"> </w:t>
            </w:r>
            <w:r>
              <w:rPr>
                <w:sz w:val="16"/>
              </w:rPr>
              <w:t>than</w:t>
            </w:r>
            <w:r>
              <w:rPr>
                <w:spacing w:val="-2"/>
                <w:sz w:val="16"/>
              </w:rPr>
              <w:t xml:space="preserve"> </w:t>
            </w:r>
            <w:r>
              <w:rPr>
                <w:sz w:val="16"/>
              </w:rPr>
              <w:t>20%.</w:t>
            </w:r>
          </w:p>
        </w:tc>
        <w:tc>
          <w:tcPr>
            <w:tcW w:w="1128" w:type="dxa"/>
            <w:vMerge w:val="restart"/>
            <w:tcBorders>
              <w:top w:val="single" w:sz="4" w:space="0" w:color="FFFFFF"/>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736"/>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0"/>
              <w:jc w:val="center"/>
              <w:rPr>
                <w:sz w:val="16"/>
              </w:rPr>
            </w:pPr>
            <w:r>
              <w:rPr>
                <w:sz w:val="16"/>
              </w:rPr>
              <w:t>9</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69</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line="167" w:lineRule="exact"/>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 -</w:t>
            </w:r>
            <w:r>
              <w:rPr>
                <w:spacing w:val="-4"/>
                <w:sz w:val="16"/>
              </w:rPr>
              <w:t xml:space="preserve"> </w:t>
            </w:r>
            <w:r>
              <w:rPr>
                <w:sz w:val="16"/>
              </w:rPr>
              <w:t>C1.3.</w:t>
            </w:r>
          </w:p>
          <w:p w:rsidR="00A56FE9" w:rsidRDefault="00000000">
            <w:pPr>
              <w:pStyle w:val="TableParagraph"/>
              <w:spacing w:before="1"/>
              <w:ind w:left="50" w:right="73"/>
              <w:rPr>
                <w:sz w:val="16"/>
              </w:rPr>
            </w:pPr>
            <w:r>
              <w:rPr>
                <w:sz w:val="16"/>
              </w:rPr>
              <w:t>R1-I2 Public water supply</w:t>
            </w:r>
            <w:r>
              <w:rPr>
                <w:spacing w:val="-37"/>
                <w:sz w:val="16"/>
              </w:rPr>
              <w:t xml:space="preserve"> </w:t>
            </w:r>
            <w:r>
              <w:rPr>
                <w:sz w:val="16"/>
              </w:rPr>
              <w:t>development</w:t>
            </w:r>
            <w:r>
              <w:rPr>
                <w:spacing w:val="-4"/>
                <w:sz w:val="16"/>
              </w:rPr>
              <w:t xml:space="preserve"> </w:t>
            </w:r>
            <w:r>
              <w:rPr>
                <w:sz w:val="16"/>
              </w:rPr>
              <w:t>programme</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93"/>
              <w:rPr>
                <w:sz w:val="16"/>
              </w:rPr>
            </w:pPr>
            <w:r>
              <w:rPr>
                <w:sz w:val="16"/>
              </w:rPr>
              <w:t>Water</w:t>
            </w:r>
            <w:r>
              <w:rPr>
                <w:spacing w:val="-6"/>
                <w:sz w:val="16"/>
              </w:rPr>
              <w:t xml:space="preserve"> </w:t>
            </w:r>
            <w:r>
              <w:rPr>
                <w:sz w:val="16"/>
              </w:rPr>
              <w:t>metering</w:t>
            </w:r>
            <w:r>
              <w:rPr>
                <w:spacing w:val="-6"/>
                <w:sz w:val="16"/>
              </w:rPr>
              <w:t xml:space="preserve"> </w:t>
            </w:r>
            <w:r>
              <w:rPr>
                <w:sz w:val="16"/>
              </w:rPr>
              <w:t>devices</w:t>
            </w:r>
            <w:r>
              <w:rPr>
                <w:spacing w:val="-37"/>
                <w:sz w:val="16"/>
              </w:rPr>
              <w:t xml:space="preserve"> </w:t>
            </w:r>
            <w:r>
              <w:rPr>
                <w:sz w:val="16"/>
              </w:rPr>
              <w:t>installed at water</w:t>
            </w:r>
            <w:r>
              <w:rPr>
                <w:spacing w:val="1"/>
                <w:sz w:val="16"/>
              </w:rPr>
              <w:t xml:space="preserve"> </w:t>
            </w:r>
            <w:r>
              <w:rPr>
                <w:sz w:val="16"/>
              </w:rPr>
              <w:t>abstraction</w:t>
            </w:r>
            <w:r>
              <w:rPr>
                <w:spacing w:val="-2"/>
                <w:sz w:val="16"/>
              </w:rPr>
              <w:t xml:space="preserve"> </w:t>
            </w:r>
            <w:r>
              <w:rPr>
                <w:sz w:val="16"/>
              </w:rPr>
              <w:t>sites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1" w:right="41"/>
              <w:jc w:val="center"/>
              <w:rPr>
                <w:sz w:val="16"/>
              </w:rPr>
            </w:pPr>
            <w:r>
              <w:rPr>
                <w:sz w:val="16"/>
              </w:rPr>
              <w:t>526</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73"/>
              <w:rPr>
                <w:sz w:val="16"/>
              </w:rPr>
            </w:pPr>
            <w:r>
              <w:rPr>
                <w:sz w:val="16"/>
              </w:rPr>
              <w:t>MESD,</w:t>
            </w:r>
            <w:r>
              <w:rPr>
                <w:spacing w:val="-37"/>
                <w:sz w:val="16"/>
              </w:rPr>
              <w:t xml:space="preserve"> </w:t>
            </w:r>
            <w:r>
              <w:rPr>
                <w:sz w:val="16"/>
              </w:rPr>
              <w:t>HV</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95"/>
              <w:rPr>
                <w:sz w:val="16"/>
              </w:rPr>
            </w:pPr>
            <w:r>
              <w:rPr>
                <w:sz w:val="16"/>
              </w:rPr>
              <w:t>At least 526 metering devices installed at</w:t>
            </w:r>
            <w:r>
              <w:rPr>
                <w:spacing w:val="1"/>
                <w:sz w:val="16"/>
              </w:rPr>
              <w:t xml:space="preserve"> </w:t>
            </w:r>
            <w:r>
              <w:rPr>
                <w:sz w:val="16"/>
              </w:rPr>
              <w:t>water</w:t>
            </w:r>
            <w:r>
              <w:rPr>
                <w:spacing w:val="-5"/>
                <w:sz w:val="16"/>
              </w:rPr>
              <w:t xml:space="preserve"> </w:t>
            </w:r>
            <w:r>
              <w:rPr>
                <w:sz w:val="16"/>
              </w:rPr>
              <w:t>abstraction</w:t>
            </w:r>
            <w:r>
              <w:rPr>
                <w:spacing w:val="-3"/>
                <w:sz w:val="16"/>
              </w:rPr>
              <w:t xml:space="preserve"> </w:t>
            </w:r>
            <w:r>
              <w:rPr>
                <w:sz w:val="16"/>
              </w:rPr>
              <w:t>sites,</w:t>
            </w:r>
            <w:r>
              <w:rPr>
                <w:spacing w:val="-3"/>
                <w:sz w:val="16"/>
              </w:rPr>
              <w:t xml:space="preserve"> </w:t>
            </w:r>
            <w:r>
              <w:rPr>
                <w:sz w:val="16"/>
              </w:rPr>
              <w:t>for</w:t>
            </w:r>
            <w:r>
              <w:rPr>
                <w:spacing w:val="-5"/>
                <w:sz w:val="16"/>
              </w:rPr>
              <w:t xml:space="preserve"> </w:t>
            </w:r>
            <w:r>
              <w:rPr>
                <w:sz w:val="16"/>
              </w:rPr>
              <w:t>measuring</w:t>
            </w:r>
            <w:r>
              <w:rPr>
                <w:spacing w:val="-7"/>
                <w:sz w:val="16"/>
              </w:rPr>
              <w:t xml:space="preserve"> </w:t>
            </w:r>
            <w:r>
              <w:rPr>
                <w:sz w:val="16"/>
              </w:rPr>
              <w:t>water</w:t>
            </w:r>
            <w:r>
              <w:rPr>
                <w:spacing w:val="-37"/>
                <w:sz w:val="16"/>
              </w:rPr>
              <w:t xml:space="preserve"> </w:t>
            </w:r>
            <w:r>
              <w:rPr>
                <w:sz w:val="16"/>
              </w:rPr>
              <w:t>quantities</w:t>
            </w:r>
          </w:p>
        </w:tc>
        <w:tc>
          <w:tcPr>
            <w:tcW w:w="1128" w:type="dxa"/>
            <w:vMerge/>
            <w:tcBorders>
              <w:top w:val="nil"/>
              <w:left w:val="single" w:sz="4" w:space="0" w:color="2C398A"/>
              <w:bottom w:val="single" w:sz="4" w:space="0" w:color="2C398A"/>
              <w:right w:val="single" w:sz="4" w:space="0" w:color="2C398A"/>
            </w:tcBorders>
            <w:shd w:val="clear" w:color="auto" w:fill="C5EECE"/>
          </w:tcPr>
          <w:p w:rsidR="00A56FE9" w:rsidRDefault="00A56FE9">
            <w:pPr>
              <w:rPr>
                <w:sz w:val="2"/>
                <w:szCs w:val="2"/>
              </w:rPr>
            </w:pPr>
          </w:p>
        </w:tc>
      </w:tr>
      <w:tr w:rsidR="00A56FE9">
        <w:trPr>
          <w:trHeight w:val="5521"/>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11" w:right="99"/>
              <w:jc w:val="center"/>
              <w:rPr>
                <w:sz w:val="16"/>
              </w:rPr>
            </w:pPr>
            <w:r>
              <w:rPr>
                <w:sz w:val="16"/>
              </w:rPr>
              <w:t>10</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74</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2019.CSR3</w:t>
            </w:r>
          </w:p>
          <w:p w:rsidR="00A56FE9" w:rsidRDefault="00000000">
            <w:pPr>
              <w:pStyle w:val="TableParagraph"/>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before="1"/>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 -</w:t>
            </w:r>
            <w:r>
              <w:rPr>
                <w:spacing w:val="-4"/>
                <w:sz w:val="16"/>
              </w:rPr>
              <w:t xml:space="preserve"> </w:t>
            </w:r>
            <w:r>
              <w:rPr>
                <w:sz w:val="16"/>
              </w:rPr>
              <w:t>C1.3.</w:t>
            </w:r>
          </w:p>
          <w:p w:rsidR="00A56FE9" w:rsidRDefault="00000000">
            <w:pPr>
              <w:pStyle w:val="TableParagraph"/>
              <w:ind w:left="50" w:right="211"/>
              <w:rPr>
                <w:sz w:val="16"/>
              </w:rPr>
            </w:pPr>
            <w:r>
              <w:rPr>
                <w:sz w:val="16"/>
              </w:rPr>
              <w:t>R1-I3 Disaster risk</w:t>
            </w:r>
            <w:r>
              <w:rPr>
                <w:spacing w:val="1"/>
                <w:sz w:val="16"/>
              </w:rPr>
              <w:t xml:space="preserve"> </w:t>
            </w:r>
            <w:r>
              <w:rPr>
                <w:sz w:val="16"/>
              </w:rPr>
              <w:t>reduction programme in</w:t>
            </w:r>
            <w:r>
              <w:rPr>
                <w:spacing w:val="-38"/>
                <w:sz w:val="16"/>
              </w:rPr>
              <w:t xml:space="preserve"> </w:t>
            </w:r>
            <w:r>
              <w:rPr>
                <w:sz w:val="16"/>
              </w:rPr>
              <w:t>the water management</w:t>
            </w:r>
            <w:r>
              <w:rPr>
                <w:spacing w:val="1"/>
                <w:sz w:val="16"/>
              </w:rPr>
              <w:t xml:space="preserve"> </w:t>
            </w:r>
            <w:r>
              <w:rPr>
                <w:sz w:val="16"/>
              </w:rPr>
              <w:t>sector</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450"/>
              <w:rPr>
                <w:sz w:val="16"/>
              </w:rPr>
            </w:pPr>
            <w:r>
              <w:rPr>
                <w:sz w:val="16"/>
              </w:rPr>
              <w:t>Works contracts</w:t>
            </w:r>
            <w:r>
              <w:rPr>
                <w:spacing w:val="1"/>
                <w:sz w:val="16"/>
              </w:rPr>
              <w:t xml:space="preserve"> </w:t>
            </w:r>
            <w:r>
              <w:rPr>
                <w:sz w:val="16"/>
              </w:rPr>
              <w:t>concluded</w:t>
            </w:r>
            <w:r>
              <w:rPr>
                <w:spacing w:val="-5"/>
                <w:sz w:val="16"/>
              </w:rPr>
              <w:t xml:space="preserve"> </w:t>
            </w:r>
            <w:r>
              <w:rPr>
                <w:sz w:val="16"/>
              </w:rPr>
              <w:t>for</w:t>
            </w:r>
            <w:r>
              <w:rPr>
                <w:spacing w:val="-6"/>
                <w:sz w:val="16"/>
              </w:rPr>
              <w:t xml:space="preserve"> </w:t>
            </w:r>
            <w:r>
              <w:rPr>
                <w:sz w:val="16"/>
              </w:rPr>
              <w:t>flood</w:t>
            </w:r>
            <w:r>
              <w:rPr>
                <w:spacing w:val="-37"/>
                <w:sz w:val="16"/>
              </w:rPr>
              <w:t xml:space="preserve"> </w:t>
            </w:r>
            <w:r>
              <w:rPr>
                <w:sz w:val="16"/>
              </w:rPr>
              <w:t>protection</w:t>
            </w:r>
            <w:r>
              <w:rPr>
                <w:spacing w:val="-4"/>
                <w:sz w:val="16"/>
              </w:rPr>
              <w:t xml:space="preserve"> </w:t>
            </w:r>
            <w:r>
              <w:rPr>
                <w:sz w:val="16"/>
              </w:rPr>
              <w:t>projects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0" w:right="41"/>
              <w:jc w:val="center"/>
              <w:rPr>
                <w:sz w:val="16"/>
              </w:rPr>
            </w:pPr>
            <w:r>
              <w:rPr>
                <w:sz w:val="16"/>
              </w:rPr>
              <w:t>20</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7" w:right="273"/>
              <w:rPr>
                <w:sz w:val="16"/>
              </w:rPr>
            </w:pPr>
            <w:r>
              <w:rPr>
                <w:sz w:val="16"/>
              </w:rPr>
              <w:t>MESD,</w:t>
            </w:r>
            <w:r>
              <w:rPr>
                <w:spacing w:val="-37"/>
                <w:sz w:val="16"/>
              </w:rPr>
              <w:t xml:space="preserve"> </w:t>
            </w:r>
            <w:r>
              <w:rPr>
                <w:sz w:val="16"/>
              </w:rPr>
              <w:t>HV</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6"/>
              <w:rPr>
                <w:sz w:val="16"/>
              </w:rPr>
            </w:pPr>
            <w:r>
              <w:rPr>
                <w:sz w:val="16"/>
              </w:rPr>
              <w:t>At least 20 works contracts concluded for</w:t>
            </w:r>
            <w:r>
              <w:rPr>
                <w:spacing w:val="1"/>
                <w:sz w:val="16"/>
              </w:rPr>
              <w:t xml:space="preserve"> </w:t>
            </w:r>
            <w:r>
              <w:rPr>
                <w:sz w:val="16"/>
              </w:rPr>
              <w:t>projects in the flood protection sector, related</w:t>
            </w:r>
            <w:r>
              <w:rPr>
                <w:spacing w:val="1"/>
                <w:sz w:val="16"/>
              </w:rPr>
              <w:t xml:space="preserve"> </w:t>
            </w:r>
            <w:r>
              <w:rPr>
                <w:sz w:val="16"/>
              </w:rPr>
              <w:t>to</w:t>
            </w:r>
            <w:r>
              <w:rPr>
                <w:spacing w:val="-3"/>
                <w:sz w:val="16"/>
              </w:rPr>
              <w:t xml:space="preserve"> </w:t>
            </w:r>
            <w:r>
              <w:rPr>
                <w:sz w:val="16"/>
              </w:rPr>
              <w:t>contracts</w:t>
            </w:r>
            <w:r>
              <w:rPr>
                <w:spacing w:val="-3"/>
                <w:sz w:val="16"/>
              </w:rPr>
              <w:t xml:space="preserve"> </w:t>
            </w:r>
            <w:r>
              <w:rPr>
                <w:sz w:val="16"/>
              </w:rPr>
              <w:t>to</w:t>
            </w:r>
            <w:r>
              <w:rPr>
                <w:spacing w:val="-2"/>
                <w:sz w:val="16"/>
              </w:rPr>
              <w:t xml:space="preserve"> </w:t>
            </w:r>
            <w:r>
              <w:rPr>
                <w:sz w:val="16"/>
              </w:rPr>
              <w:t>be</w:t>
            </w:r>
            <w:r>
              <w:rPr>
                <w:spacing w:val="-3"/>
                <w:sz w:val="16"/>
              </w:rPr>
              <w:t xml:space="preserve"> </w:t>
            </w:r>
            <w:r>
              <w:rPr>
                <w:sz w:val="16"/>
              </w:rPr>
              <w:t>awarded</w:t>
            </w:r>
            <w:r>
              <w:rPr>
                <w:spacing w:val="-2"/>
                <w:sz w:val="16"/>
              </w:rPr>
              <w:t xml:space="preserve"> </w:t>
            </w:r>
            <w:r>
              <w:rPr>
                <w:sz w:val="16"/>
              </w:rPr>
              <w:t>by</w:t>
            </w:r>
            <w:r>
              <w:rPr>
                <w:spacing w:val="-4"/>
                <w:sz w:val="16"/>
              </w:rPr>
              <w:t xml:space="preserve"> </w:t>
            </w:r>
            <w:r>
              <w:rPr>
                <w:sz w:val="16"/>
              </w:rPr>
              <w:t>the</w:t>
            </w:r>
            <w:r>
              <w:rPr>
                <w:spacing w:val="-3"/>
                <w:sz w:val="16"/>
              </w:rPr>
              <w:t xml:space="preserve"> </w:t>
            </w:r>
            <w:r>
              <w:rPr>
                <w:sz w:val="16"/>
              </w:rPr>
              <w:t>end</w:t>
            </w:r>
            <w:r>
              <w:rPr>
                <w:spacing w:val="-3"/>
                <w:sz w:val="16"/>
              </w:rPr>
              <w:t xml:space="preserve"> </w:t>
            </w:r>
            <w:r>
              <w:rPr>
                <w:sz w:val="16"/>
              </w:rPr>
              <w:t>of</w:t>
            </w:r>
            <w:r>
              <w:rPr>
                <w:spacing w:val="-2"/>
                <w:sz w:val="16"/>
              </w:rPr>
              <w:t xml:space="preserve"> </w:t>
            </w:r>
            <w:r>
              <w:rPr>
                <w:sz w:val="16"/>
              </w:rPr>
              <w:t>2022.</w:t>
            </w:r>
            <w:r>
              <w:rPr>
                <w:spacing w:val="-37"/>
                <w:sz w:val="16"/>
              </w:rPr>
              <w:t xml:space="preserve"> </w:t>
            </w:r>
            <w:r>
              <w:rPr>
                <w:sz w:val="16"/>
              </w:rPr>
              <w:t>Tender criteria shall focus on nature based</w:t>
            </w:r>
            <w:r>
              <w:rPr>
                <w:spacing w:val="1"/>
                <w:sz w:val="16"/>
              </w:rPr>
              <w:t xml:space="preserve"> </w:t>
            </w:r>
            <w:r>
              <w:rPr>
                <w:sz w:val="16"/>
              </w:rPr>
              <w:t>solution</w:t>
            </w:r>
            <w:r>
              <w:rPr>
                <w:spacing w:val="-4"/>
                <w:sz w:val="16"/>
              </w:rPr>
              <w:t xml:space="preserve"> </w:t>
            </w:r>
            <w:r>
              <w:rPr>
                <w:sz w:val="16"/>
              </w:rPr>
              <w:t>measures</w:t>
            </w:r>
            <w:r>
              <w:rPr>
                <w:spacing w:val="-2"/>
                <w:sz w:val="16"/>
              </w:rPr>
              <w:t xml:space="preserve"> </w:t>
            </w:r>
            <w:r>
              <w:rPr>
                <w:sz w:val="16"/>
              </w:rPr>
              <w:t>and</w:t>
            </w:r>
            <w:r>
              <w:rPr>
                <w:spacing w:val="-3"/>
                <w:sz w:val="16"/>
              </w:rPr>
              <w:t xml:space="preserve"> </w:t>
            </w:r>
            <w:r>
              <w:rPr>
                <w:sz w:val="16"/>
              </w:rPr>
              <w:t>green</w:t>
            </w:r>
            <w:r>
              <w:rPr>
                <w:spacing w:val="-1"/>
                <w:sz w:val="16"/>
              </w:rPr>
              <w:t xml:space="preserve"> </w:t>
            </w:r>
            <w:r>
              <w:rPr>
                <w:sz w:val="16"/>
              </w:rPr>
              <w:t>infrastructure.</w:t>
            </w:r>
          </w:p>
          <w:p w:rsidR="00A56FE9" w:rsidRDefault="00000000">
            <w:pPr>
              <w:pStyle w:val="TableParagraph"/>
              <w:ind w:left="57" w:right="61"/>
              <w:rPr>
                <w:sz w:val="16"/>
              </w:rPr>
            </w:pPr>
            <w:r>
              <w:rPr>
                <w:sz w:val="16"/>
              </w:rPr>
              <w:t>The</w:t>
            </w:r>
            <w:r>
              <w:rPr>
                <w:spacing w:val="-5"/>
                <w:sz w:val="16"/>
              </w:rPr>
              <w:t xml:space="preserve"> </w:t>
            </w:r>
            <w:r>
              <w:rPr>
                <w:sz w:val="16"/>
              </w:rPr>
              <w:t>contracts</w:t>
            </w:r>
            <w:r>
              <w:rPr>
                <w:spacing w:val="-3"/>
                <w:sz w:val="16"/>
              </w:rPr>
              <w:t xml:space="preserve"> </w:t>
            </w:r>
            <w:r>
              <w:rPr>
                <w:sz w:val="16"/>
              </w:rPr>
              <w:t>shall</w:t>
            </w:r>
            <w:r>
              <w:rPr>
                <w:spacing w:val="-3"/>
                <w:sz w:val="16"/>
              </w:rPr>
              <w:t xml:space="preserve"> </w:t>
            </w:r>
            <w:r>
              <w:rPr>
                <w:sz w:val="16"/>
              </w:rPr>
              <w:t>ensure</w:t>
            </w:r>
            <w:r>
              <w:rPr>
                <w:spacing w:val="-5"/>
                <w:sz w:val="16"/>
              </w:rPr>
              <w:t xml:space="preserve"> </w:t>
            </w:r>
            <w:r>
              <w:rPr>
                <w:sz w:val="16"/>
              </w:rPr>
              <w:t>that</w:t>
            </w:r>
            <w:r>
              <w:rPr>
                <w:spacing w:val="-3"/>
                <w:sz w:val="16"/>
              </w:rPr>
              <w:t xml:space="preserve"> </w:t>
            </w:r>
            <w:r>
              <w:rPr>
                <w:sz w:val="16"/>
              </w:rPr>
              <w:t>projects</w:t>
            </w:r>
            <w:r>
              <w:rPr>
                <w:spacing w:val="-3"/>
                <w:sz w:val="16"/>
              </w:rPr>
              <w:t xml:space="preserve"> </w:t>
            </w:r>
            <w:r>
              <w:rPr>
                <w:sz w:val="16"/>
              </w:rPr>
              <w:t>will</w:t>
            </w:r>
            <w:r>
              <w:rPr>
                <w:spacing w:val="-3"/>
                <w:sz w:val="16"/>
              </w:rPr>
              <w:t xml:space="preserve"> </w:t>
            </w:r>
            <w:r>
              <w:rPr>
                <w:sz w:val="16"/>
              </w:rPr>
              <w:t>be</w:t>
            </w:r>
            <w:r>
              <w:rPr>
                <w:spacing w:val="-37"/>
                <w:sz w:val="16"/>
              </w:rPr>
              <w:t xml:space="preserve"> </w:t>
            </w:r>
            <w:r>
              <w:rPr>
                <w:sz w:val="16"/>
              </w:rPr>
              <w:t>implemented in accordance with the EU</w:t>
            </w:r>
            <w:r>
              <w:rPr>
                <w:spacing w:val="1"/>
                <w:sz w:val="16"/>
              </w:rPr>
              <w:t xml:space="preserve"> </w:t>
            </w:r>
            <w:r>
              <w:rPr>
                <w:sz w:val="16"/>
              </w:rPr>
              <w:t>acquis and environmental regulations and the</w:t>
            </w:r>
            <w:r>
              <w:rPr>
                <w:spacing w:val="1"/>
                <w:sz w:val="16"/>
              </w:rPr>
              <w:t xml:space="preserve"> </w:t>
            </w:r>
            <w:r>
              <w:rPr>
                <w:sz w:val="16"/>
              </w:rPr>
              <w:t>annexes to Commission Delegated Regulation</w:t>
            </w:r>
            <w:r>
              <w:rPr>
                <w:spacing w:val="-37"/>
                <w:sz w:val="16"/>
              </w:rPr>
              <w:t xml:space="preserve"> </w:t>
            </w:r>
            <w:r>
              <w:rPr>
                <w:sz w:val="16"/>
              </w:rPr>
              <w:t>(C(2021)2800 final) supplementing</w:t>
            </w:r>
            <w:r>
              <w:rPr>
                <w:spacing w:val="1"/>
                <w:sz w:val="16"/>
              </w:rPr>
              <w:t xml:space="preserve"> </w:t>
            </w:r>
            <w:r>
              <w:rPr>
                <w:sz w:val="16"/>
              </w:rPr>
              <w:t>Regulation</w:t>
            </w:r>
            <w:r>
              <w:rPr>
                <w:spacing w:val="-2"/>
                <w:sz w:val="16"/>
              </w:rPr>
              <w:t xml:space="preserve"> </w:t>
            </w:r>
            <w:r>
              <w:rPr>
                <w:sz w:val="16"/>
              </w:rPr>
              <w:t>(EU)</w:t>
            </w:r>
            <w:r>
              <w:rPr>
                <w:spacing w:val="-1"/>
                <w:sz w:val="16"/>
              </w:rPr>
              <w:t xml:space="preserve"> </w:t>
            </w:r>
            <w:r>
              <w:rPr>
                <w:sz w:val="16"/>
              </w:rPr>
              <w:t>2020/852.</w:t>
            </w:r>
          </w:p>
          <w:p w:rsidR="00A56FE9" w:rsidRDefault="00000000">
            <w:pPr>
              <w:pStyle w:val="TableParagraph"/>
              <w:ind w:left="57" w:right="35"/>
              <w:rPr>
                <w:sz w:val="16"/>
              </w:rPr>
            </w:pPr>
            <w:r>
              <w:rPr>
                <w:sz w:val="16"/>
              </w:rPr>
              <w:t>It is expected that this measure does no</w:t>
            </w:r>
            <w:r>
              <w:rPr>
                <w:spacing w:val="1"/>
                <w:sz w:val="16"/>
              </w:rPr>
              <w:t xml:space="preserve"> </w:t>
            </w:r>
            <w:r>
              <w:rPr>
                <w:sz w:val="16"/>
              </w:rPr>
              <w:t>significant harm to environmental objectives</w:t>
            </w:r>
            <w:r>
              <w:rPr>
                <w:spacing w:val="1"/>
                <w:sz w:val="16"/>
              </w:rPr>
              <w:t xml:space="preserve"> </w:t>
            </w:r>
            <w:r>
              <w:rPr>
                <w:sz w:val="16"/>
              </w:rPr>
              <w:t>within</w:t>
            </w:r>
            <w:r>
              <w:rPr>
                <w:spacing w:val="7"/>
                <w:sz w:val="16"/>
              </w:rPr>
              <w:t xml:space="preserve"> </w:t>
            </w:r>
            <w:r>
              <w:rPr>
                <w:sz w:val="16"/>
              </w:rPr>
              <w:t>the</w:t>
            </w:r>
            <w:r>
              <w:rPr>
                <w:spacing w:val="5"/>
                <w:sz w:val="16"/>
              </w:rPr>
              <w:t xml:space="preserve"> </w:t>
            </w:r>
            <w:r>
              <w:rPr>
                <w:sz w:val="16"/>
              </w:rPr>
              <w:t>meaning</w:t>
            </w:r>
            <w:r>
              <w:rPr>
                <w:spacing w:val="5"/>
                <w:sz w:val="16"/>
              </w:rPr>
              <w:t xml:space="preserve"> </w:t>
            </w:r>
            <w:r>
              <w:rPr>
                <w:sz w:val="16"/>
              </w:rPr>
              <w:t>of</w:t>
            </w:r>
            <w:r>
              <w:rPr>
                <w:spacing w:val="6"/>
                <w:sz w:val="16"/>
              </w:rPr>
              <w:t xml:space="preserve"> </w:t>
            </w:r>
            <w:r>
              <w:rPr>
                <w:sz w:val="16"/>
              </w:rPr>
              <w:t>Article</w:t>
            </w:r>
            <w:r>
              <w:rPr>
                <w:spacing w:val="5"/>
                <w:sz w:val="16"/>
              </w:rPr>
              <w:t xml:space="preserve"> </w:t>
            </w:r>
            <w:r>
              <w:rPr>
                <w:sz w:val="16"/>
              </w:rPr>
              <w:t>17</w:t>
            </w:r>
            <w:r>
              <w:rPr>
                <w:spacing w:val="7"/>
                <w:sz w:val="16"/>
              </w:rPr>
              <w:t xml:space="preserve"> </w:t>
            </w:r>
            <w:r>
              <w:rPr>
                <w:sz w:val="16"/>
              </w:rPr>
              <w:t>of</w:t>
            </w:r>
            <w:r>
              <w:rPr>
                <w:spacing w:val="1"/>
                <w:sz w:val="16"/>
              </w:rPr>
              <w:t xml:space="preserve"> </w:t>
            </w:r>
            <w:r>
              <w:rPr>
                <w:sz w:val="16"/>
              </w:rPr>
              <w:t>Regulation</w:t>
            </w:r>
            <w:r>
              <w:rPr>
                <w:spacing w:val="8"/>
                <w:sz w:val="16"/>
              </w:rPr>
              <w:t xml:space="preserve"> </w:t>
            </w:r>
            <w:r>
              <w:rPr>
                <w:sz w:val="16"/>
              </w:rPr>
              <w:t>(EU)</w:t>
            </w:r>
            <w:r>
              <w:rPr>
                <w:spacing w:val="9"/>
                <w:sz w:val="16"/>
              </w:rPr>
              <w:t xml:space="preserve"> </w:t>
            </w:r>
            <w:r>
              <w:rPr>
                <w:sz w:val="16"/>
              </w:rPr>
              <w:t>2020/852,</w:t>
            </w:r>
            <w:r>
              <w:rPr>
                <w:spacing w:val="7"/>
                <w:sz w:val="16"/>
              </w:rPr>
              <w:t xml:space="preserve"> </w:t>
            </w:r>
            <w:r>
              <w:rPr>
                <w:sz w:val="16"/>
              </w:rPr>
              <w:t>taking</w:t>
            </w:r>
            <w:r>
              <w:rPr>
                <w:spacing w:val="7"/>
                <w:sz w:val="16"/>
              </w:rPr>
              <w:t xml:space="preserve"> </w:t>
            </w:r>
            <w:r>
              <w:rPr>
                <w:sz w:val="16"/>
              </w:rPr>
              <w:t>into</w:t>
            </w:r>
            <w:r>
              <w:rPr>
                <w:spacing w:val="1"/>
                <w:sz w:val="16"/>
              </w:rPr>
              <w:t xml:space="preserve"> </w:t>
            </w:r>
            <w:r>
              <w:rPr>
                <w:sz w:val="16"/>
              </w:rPr>
              <w:t>account</w:t>
            </w:r>
            <w:r>
              <w:rPr>
                <w:spacing w:val="1"/>
                <w:sz w:val="16"/>
              </w:rPr>
              <w:t xml:space="preserve"> </w:t>
            </w:r>
            <w:r>
              <w:rPr>
                <w:sz w:val="16"/>
              </w:rPr>
              <w:t>the</w:t>
            </w:r>
            <w:r>
              <w:rPr>
                <w:spacing w:val="-1"/>
                <w:sz w:val="16"/>
              </w:rPr>
              <w:t xml:space="preserve"> </w:t>
            </w:r>
            <w:r>
              <w:rPr>
                <w:sz w:val="16"/>
              </w:rPr>
              <w:t>description</w:t>
            </w:r>
            <w:r>
              <w:rPr>
                <w:spacing w:val="4"/>
                <w:sz w:val="16"/>
              </w:rPr>
              <w:t xml:space="preserve"> </w:t>
            </w:r>
            <w:r>
              <w:rPr>
                <w:sz w:val="16"/>
              </w:rPr>
              <w:t>of</w:t>
            </w:r>
            <w:r>
              <w:rPr>
                <w:spacing w:val="2"/>
                <w:sz w:val="16"/>
              </w:rPr>
              <w:t xml:space="preserve"> </w:t>
            </w:r>
            <w:r>
              <w:rPr>
                <w:sz w:val="16"/>
              </w:rPr>
              <w:t>the measures</w:t>
            </w:r>
            <w:r>
              <w:rPr>
                <w:spacing w:val="3"/>
                <w:sz w:val="16"/>
              </w:rPr>
              <w:t xml:space="preserve"> </w:t>
            </w:r>
            <w:r>
              <w:rPr>
                <w:sz w:val="16"/>
              </w:rPr>
              <w:t>and</w:t>
            </w:r>
            <w:r>
              <w:rPr>
                <w:spacing w:val="1"/>
                <w:sz w:val="16"/>
              </w:rPr>
              <w:t xml:space="preserve"> </w:t>
            </w:r>
            <w:r>
              <w:rPr>
                <w:sz w:val="16"/>
              </w:rPr>
              <w:t>the mitigating steps set out in the recovery and</w:t>
            </w:r>
            <w:r>
              <w:rPr>
                <w:spacing w:val="-37"/>
                <w:sz w:val="16"/>
              </w:rPr>
              <w:t xml:space="preserve"> </w:t>
            </w:r>
            <w:r>
              <w:rPr>
                <w:sz w:val="16"/>
              </w:rPr>
              <w:t>resilience plan in accordance with the DNSH</w:t>
            </w:r>
            <w:r>
              <w:rPr>
                <w:spacing w:val="1"/>
                <w:sz w:val="16"/>
              </w:rPr>
              <w:t xml:space="preserve"> </w:t>
            </w:r>
            <w:r>
              <w:rPr>
                <w:sz w:val="16"/>
              </w:rPr>
              <w:t>Technical Guidance (2021/C58/01). All</w:t>
            </w:r>
            <w:r>
              <w:rPr>
                <w:spacing w:val="1"/>
                <w:sz w:val="16"/>
              </w:rPr>
              <w:t xml:space="preserve"> </w:t>
            </w:r>
            <w:r>
              <w:rPr>
                <w:sz w:val="16"/>
              </w:rPr>
              <w:t>activities shall comply with the requirements</w:t>
            </w:r>
            <w:r>
              <w:rPr>
                <w:spacing w:val="1"/>
                <w:sz w:val="16"/>
              </w:rPr>
              <w:t xml:space="preserve"> </w:t>
            </w:r>
            <w:r>
              <w:rPr>
                <w:sz w:val="16"/>
              </w:rPr>
              <w:t>of</w:t>
            </w:r>
            <w:r>
              <w:rPr>
                <w:spacing w:val="1"/>
                <w:sz w:val="16"/>
              </w:rPr>
              <w:t xml:space="preserve"> </w:t>
            </w:r>
            <w:r>
              <w:rPr>
                <w:sz w:val="16"/>
              </w:rPr>
              <w:t>EU</w:t>
            </w:r>
            <w:r>
              <w:rPr>
                <w:spacing w:val="1"/>
                <w:sz w:val="16"/>
              </w:rPr>
              <w:t xml:space="preserve"> </w:t>
            </w:r>
            <w:r>
              <w:rPr>
                <w:sz w:val="16"/>
              </w:rPr>
              <w:t>water</w:t>
            </w:r>
            <w:r>
              <w:rPr>
                <w:spacing w:val="1"/>
                <w:sz w:val="16"/>
              </w:rPr>
              <w:t xml:space="preserve"> </w:t>
            </w:r>
            <w:r>
              <w:rPr>
                <w:sz w:val="16"/>
              </w:rPr>
              <w:t>legislation</w:t>
            </w:r>
            <w:r>
              <w:rPr>
                <w:spacing w:val="1"/>
                <w:sz w:val="16"/>
              </w:rPr>
              <w:t xml:space="preserve"> </w:t>
            </w:r>
            <w:r>
              <w:rPr>
                <w:sz w:val="16"/>
              </w:rPr>
              <w:t>as</w:t>
            </w:r>
            <w:r>
              <w:rPr>
                <w:spacing w:val="2"/>
                <w:sz w:val="16"/>
              </w:rPr>
              <w:t xml:space="preserve"> </w:t>
            </w:r>
            <w:r>
              <w:rPr>
                <w:sz w:val="16"/>
              </w:rPr>
              <w:t>incorporated</w:t>
            </w:r>
            <w:r>
              <w:rPr>
                <w:spacing w:val="3"/>
                <w:sz w:val="16"/>
              </w:rPr>
              <w:t xml:space="preserve"> </w:t>
            </w:r>
            <w:r>
              <w:rPr>
                <w:sz w:val="16"/>
              </w:rPr>
              <w:t>into</w:t>
            </w:r>
            <w:r>
              <w:rPr>
                <w:spacing w:val="1"/>
                <w:sz w:val="16"/>
              </w:rPr>
              <w:t xml:space="preserve"> </w:t>
            </w:r>
            <w:r>
              <w:rPr>
                <w:sz w:val="16"/>
              </w:rPr>
              <w:t>the Croatian law. Environmental impact</w:t>
            </w:r>
            <w:r>
              <w:rPr>
                <w:spacing w:val="1"/>
                <w:sz w:val="16"/>
              </w:rPr>
              <w:t xml:space="preserve"> </w:t>
            </w:r>
            <w:r>
              <w:rPr>
                <w:sz w:val="16"/>
              </w:rPr>
              <w:t>assessment shall be conducted in compliance</w:t>
            </w:r>
            <w:r>
              <w:rPr>
                <w:spacing w:val="1"/>
                <w:sz w:val="16"/>
              </w:rPr>
              <w:t xml:space="preserve"> </w:t>
            </w:r>
            <w:r>
              <w:rPr>
                <w:sz w:val="16"/>
              </w:rPr>
              <w:t>with authorization procedures under EIA in</w:t>
            </w:r>
            <w:r>
              <w:rPr>
                <w:spacing w:val="1"/>
                <w:sz w:val="16"/>
              </w:rPr>
              <w:t xml:space="preserve"> </w:t>
            </w:r>
            <w:r>
              <w:rPr>
                <w:sz w:val="16"/>
              </w:rPr>
              <w:t>accordance with Directive 2011/92/EU and</w:t>
            </w:r>
            <w:r>
              <w:rPr>
                <w:spacing w:val="1"/>
                <w:sz w:val="16"/>
              </w:rPr>
              <w:t xml:space="preserve"> </w:t>
            </w:r>
            <w:r>
              <w:rPr>
                <w:sz w:val="16"/>
              </w:rPr>
              <w:t>with screening and/or appropriate assessment</w:t>
            </w:r>
            <w:r>
              <w:rPr>
                <w:spacing w:val="1"/>
                <w:sz w:val="16"/>
              </w:rPr>
              <w:t xml:space="preserve"> </w:t>
            </w:r>
            <w:r>
              <w:rPr>
                <w:sz w:val="16"/>
              </w:rPr>
              <w:t>pursuant to Article 6(3) of the Habitats</w:t>
            </w:r>
            <w:r>
              <w:rPr>
                <w:spacing w:val="1"/>
                <w:sz w:val="16"/>
              </w:rPr>
              <w:t xml:space="preserve"> </w:t>
            </w:r>
            <w:r>
              <w:rPr>
                <w:sz w:val="16"/>
              </w:rPr>
              <w:t>Directive. Evidence shall be provided that the</w:t>
            </w:r>
            <w:r>
              <w:rPr>
                <w:spacing w:val="1"/>
                <w:sz w:val="16"/>
              </w:rPr>
              <w:t xml:space="preserve"> </w:t>
            </w:r>
            <w:r>
              <w:rPr>
                <w:sz w:val="16"/>
              </w:rPr>
              <w:t>project</w:t>
            </w:r>
            <w:r>
              <w:rPr>
                <w:spacing w:val="-4"/>
                <w:sz w:val="16"/>
              </w:rPr>
              <w:t xml:space="preserve"> </w:t>
            </w:r>
            <w:r>
              <w:rPr>
                <w:sz w:val="16"/>
              </w:rPr>
              <w:t>does</w:t>
            </w:r>
            <w:r>
              <w:rPr>
                <w:spacing w:val="-2"/>
                <w:sz w:val="16"/>
              </w:rPr>
              <w:t xml:space="preserve"> </w:t>
            </w:r>
            <w:r>
              <w:rPr>
                <w:sz w:val="16"/>
              </w:rPr>
              <w:t>not</w:t>
            </w:r>
            <w:r>
              <w:rPr>
                <w:spacing w:val="-3"/>
                <w:sz w:val="16"/>
              </w:rPr>
              <w:t xml:space="preserve"> </w:t>
            </w:r>
            <w:r>
              <w:rPr>
                <w:sz w:val="16"/>
              </w:rPr>
              <w:t>have</w:t>
            </w:r>
            <w:r>
              <w:rPr>
                <w:spacing w:val="-4"/>
                <w:sz w:val="16"/>
              </w:rPr>
              <w:t xml:space="preserve"> </w:t>
            </w:r>
            <w:r>
              <w:rPr>
                <w:sz w:val="16"/>
              </w:rPr>
              <w:t>a</w:t>
            </w:r>
            <w:r>
              <w:rPr>
                <w:spacing w:val="-2"/>
                <w:sz w:val="16"/>
              </w:rPr>
              <w:t xml:space="preserve"> </w:t>
            </w:r>
            <w:r>
              <w:rPr>
                <w:sz w:val="16"/>
              </w:rPr>
              <w:t>significant</w:t>
            </w:r>
            <w:r>
              <w:rPr>
                <w:spacing w:val="-3"/>
                <w:sz w:val="16"/>
              </w:rPr>
              <w:t xml:space="preserve"> </w:t>
            </w:r>
            <w:r>
              <w:rPr>
                <w:sz w:val="16"/>
              </w:rPr>
              <w:t>effect</w:t>
            </w:r>
            <w:r>
              <w:rPr>
                <w:spacing w:val="-1"/>
                <w:sz w:val="16"/>
              </w:rPr>
              <w:t xml:space="preserve"> </w:t>
            </w:r>
            <w:r>
              <w:rPr>
                <w:sz w:val="16"/>
              </w:rPr>
              <w:t>of</w:t>
            </w:r>
            <w:r>
              <w:rPr>
                <w:spacing w:val="-4"/>
                <w:sz w:val="16"/>
              </w:rPr>
              <w:t xml:space="preserve"> </w:t>
            </w:r>
            <w:r>
              <w:rPr>
                <w:sz w:val="16"/>
              </w:rPr>
              <w:t>the</w:t>
            </w:r>
          </w:p>
          <w:p w:rsidR="00A56FE9" w:rsidRDefault="00000000">
            <w:pPr>
              <w:pStyle w:val="TableParagraph"/>
              <w:spacing w:line="168" w:lineRule="exact"/>
              <w:ind w:left="57"/>
              <w:rPr>
                <w:sz w:val="16"/>
              </w:rPr>
            </w:pPr>
            <w:r>
              <w:rPr>
                <w:sz w:val="16"/>
              </w:rPr>
              <w:t>integrity</w:t>
            </w:r>
            <w:r>
              <w:rPr>
                <w:spacing w:val="-5"/>
                <w:sz w:val="16"/>
              </w:rPr>
              <w:t xml:space="preserve"> </w:t>
            </w:r>
            <w:r>
              <w:rPr>
                <w:sz w:val="16"/>
              </w:rPr>
              <w:t>of</w:t>
            </w:r>
            <w:r>
              <w:rPr>
                <w:spacing w:val="-3"/>
                <w:sz w:val="16"/>
              </w:rPr>
              <w:t xml:space="preserve"> </w:t>
            </w:r>
            <w:r>
              <w:rPr>
                <w:sz w:val="16"/>
              </w:rPr>
              <w:t>the</w:t>
            </w:r>
            <w:r>
              <w:rPr>
                <w:spacing w:val="-4"/>
                <w:sz w:val="16"/>
              </w:rPr>
              <w:t xml:space="preserve"> </w:t>
            </w:r>
            <w:r>
              <w:rPr>
                <w:sz w:val="16"/>
              </w:rPr>
              <w:t>Natura</w:t>
            </w:r>
            <w:r>
              <w:rPr>
                <w:spacing w:val="-4"/>
                <w:sz w:val="16"/>
              </w:rPr>
              <w:t xml:space="preserve"> </w:t>
            </w:r>
            <w:r>
              <w:rPr>
                <w:sz w:val="16"/>
              </w:rPr>
              <w:t>2</w:t>
            </w:r>
            <w:r>
              <w:rPr>
                <w:spacing w:val="-3"/>
                <w:sz w:val="16"/>
              </w:rPr>
              <w:t xml:space="preserve"> </w:t>
            </w:r>
            <w:r>
              <w:rPr>
                <w:sz w:val="16"/>
              </w:rPr>
              <w:t>000</w:t>
            </w:r>
            <w:r>
              <w:rPr>
                <w:spacing w:val="-1"/>
                <w:sz w:val="16"/>
              </w:rPr>
              <w:t xml:space="preserve"> </w:t>
            </w:r>
            <w:r>
              <w:rPr>
                <w:sz w:val="16"/>
              </w:rPr>
              <w:t>sites</w:t>
            </w:r>
            <w:r>
              <w:rPr>
                <w:spacing w:val="-4"/>
                <w:sz w:val="16"/>
              </w:rPr>
              <w:t xml:space="preserve"> </w:t>
            </w:r>
            <w:r>
              <w:rPr>
                <w:sz w:val="16"/>
              </w:rPr>
              <w:t>concerned.</w:t>
            </w:r>
          </w:p>
        </w:tc>
        <w:tc>
          <w:tcPr>
            <w:tcW w:w="1128" w:type="dxa"/>
            <w:vMerge/>
            <w:tcBorders>
              <w:top w:val="nil"/>
              <w:left w:val="single" w:sz="4" w:space="0" w:color="2C398A"/>
              <w:bottom w:val="single" w:sz="4" w:space="0" w:color="2C398A"/>
              <w:right w:val="single" w:sz="4" w:space="0" w:color="2C398A"/>
            </w:tcBorders>
            <w:shd w:val="clear" w:color="auto" w:fill="C5EECE"/>
          </w:tcPr>
          <w:p w:rsidR="00A56FE9" w:rsidRDefault="00A56FE9">
            <w:pPr>
              <w:rPr>
                <w:sz w:val="2"/>
                <w:szCs w:val="2"/>
              </w:rPr>
            </w:pPr>
          </w:p>
        </w:tc>
      </w:tr>
      <w:tr w:rsidR="00A56FE9">
        <w:trPr>
          <w:trHeight w:val="91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11" w:right="99"/>
              <w:jc w:val="center"/>
              <w:rPr>
                <w:sz w:val="16"/>
              </w:rPr>
            </w:pPr>
            <w:r>
              <w:rPr>
                <w:sz w:val="16"/>
              </w:rPr>
              <w:t>11</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75</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2019.CSR3</w:t>
            </w:r>
          </w:p>
          <w:p w:rsidR="00A56FE9" w:rsidRDefault="00000000">
            <w:pPr>
              <w:pStyle w:val="TableParagraph"/>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before="1"/>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1</w:t>
            </w:r>
            <w:r>
              <w:rPr>
                <w:spacing w:val="-2"/>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4"/>
                <w:sz w:val="16"/>
              </w:rPr>
              <w:t xml:space="preserve"> </w:t>
            </w:r>
            <w:r>
              <w:rPr>
                <w:sz w:val="16"/>
              </w:rPr>
              <w:t>C1.3.</w:t>
            </w:r>
          </w:p>
          <w:p w:rsidR="00A56FE9" w:rsidRDefault="00000000">
            <w:pPr>
              <w:pStyle w:val="TableParagraph"/>
              <w:ind w:left="50" w:right="223"/>
              <w:rPr>
                <w:sz w:val="16"/>
              </w:rPr>
            </w:pPr>
            <w:r>
              <w:rPr>
                <w:sz w:val="16"/>
              </w:rPr>
              <w:t>R1-I3 Disaster risk</w:t>
            </w:r>
            <w:r>
              <w:rPr>
                <w:spacing w:val="1"/>
                <w:sz w:val="16"/>
              </w:rPr>
              <w:t xml:space="preserve"> </w:t>
            </w:r>
            <w:r>
              <w:rPr>
                <w:sz w:val="16"/>
              </w:rPr>
              <w:t>reduction</w:t>
            </w:r>
            <w:r>
              <w:rPr>
                <w:spacing w:val="-6"/>
                <w:sz w:val="16"/>
              </w:rPr>
              <w:t xml:space="preserve"> </w:t>
            </w:r>
            <w:r>
              <w:rPr>
                <w:sz w:val="16"/>
              </w:rPr>
              <w:t>programme</w:t>
            </w:r>
            <w:r>
              <w:rPr>
                <w:spacing w:val="-6"/>
                <w:sz w:val="16"/>
              </w:rPr>
              <w:t xml:space="preserve"> </w:t>
            </w:r>
            <w:r>
              <w:rPr>
                <w:sz w:val="16"/>
              </w:rPr>
              <w:t>in</w:t>
            </w:r>
          </w:p>
          <w:p w:rsidR="00A56FE9" w:rsidRDefault="00000000">
            <w:pPr>
              <w:pStyle w:val="TableParagraph"/>
              <w:spacing w:line="182" w:lineRule="exact"/>
              <w:ind w:left="50" w:right="309"/>
              <w:rPr>
                <w:sz w:val="16"/>
              </w:rPr>
            </w:pPr>
            <w:r>
              <w:rPr>
                <w:sz w:val="16"/>
              </w:rPr>
              <w:t>the water management</w:t>
            </w:r>
            <w:r>
              <w:rPr>
                <w:spacing w:val="-38"/>
                <w:sz w:val="16"/>
              </w:rPr>
              <w:t xml:space="preserve"> </w:t>
            </w:r>
            <w:r>
              <w:rPr>
                <w:sz w:val="16"/>
              </w:rPr>
              <w:t>sector</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109" w:right="647"/>
              <w:rPr>
                <w:sz w:val="16"/>
              </w:rPr>
            </w:pPr>
            <w:r>
              <w:rPr>
                <w:sz w:val="16"/>
              </w:rPr>
              <w:t>Flood protective</w:t>
            </w:r>
            <w:r>
              <w:rPr>
                <w:spacing w:val="-37"/>
                <w:sz w:val="16"/>
              </w:rPr>
              <w:t xml:space="preserve"> </w:t>
            </w:r>
            <w:r>
              <w:rPr>
                <w:sz w:val="16"/>
              </w:rPr>
              <w:t>structures</w:t>
            </w:r>
            <w:r>
              <w:rPr>
                <w:spacing w:val="-2"/>
                <w:sz w:val="16"/>
              </w:rPr>
              <w:t xml:space="preserve"> </w:t>
            </w:r>
            <w:r>
              <w:rPr>
                <w:sz w:val="16"/>
              </w:rPr>
              <w:t>built</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0" w:right="41"/>
              <w:jc w:val="center"/>
              <w:rPr>
                <w:sz w:val="16"/>
              </w:rPr>
            </w:pPr>
            <w:r>
              <w:rPr>
                <w:sz w:val="16"/>
              </w:rPr>
              <w:t>13</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7" w:right="273"/>
              <w:rPr>
                <w:sz w:val="16"/>
              </w:rPr>
            </w:pPr>
            <w:r>
              <w:rPr>
                <w:sz w:val="16"/>
              </w:rPr>
              <w:t>MESD,</w:t>
            </w:r>
            <w:r>
              <w:rPr>
                <w:spacing w:val="-37"/>
                <w:sz w:val="16"/>
              </w:rPr>
              <w:t xml:space="preserve"> </w:t>
            </w:r>
            <w:r>
              <w:rPr>
                <w:sz w:val="16"/>
              </w:rPr>
              <w:t>HV</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Pr>
                <w:sz w:val="16"/>
              </w:rPr>
            </w:pPr>
            <w:r>
              <w:rPr>
                <w:sz w:val="16"/>
              </w:rPr>
              <w:t>At</w:t>
            </w:r>
            <w:r>
              <w:rPr>
                <w:spacing w:val="-3"/>
                <w:sz w:val="16"/>
              </w:rPr>
              <w:t xml:space="preserve"> </w:t>
            </w:r>
            <w:r>
              <w:rPr>
                <w:sz w:val="16"/>
              </w:rPr>
              <w:t>least</w:t>
            </w:r>
            <w:r>
              <w:rPr>
                <w:spacing w:val="-2"/>
                <w:sz w:val="16"/>
              </w:rPr>
              <w:t xml:space="preserve"> </w:t>
            </w:r>
            <w:r>
              <w:rPr>
                <w:sz w:val="16"/>
              </w:rPr>
              <w:t>13</w:t>
            </w:r>
            <w:r>
              <w:rPr>
                <w:spacing w:val="-3"/>
                <w:sz w:val="16"/>
              </w:rPr>
              <w:t xml:space="preserve"> </w:t>
            </w:r>
            <w:r>
              <w:rPr>
                <w:sz w:val="16"/>
              </w:rPr>
              <w:t>km</w:t>
            </w:r>
            <w:r>
              <w:rPr>
                <w:spacing w:val="-6"/>
                <w:sz w:val="16"/>
              </w:rPr>
              <w:t xml:space="preserve"> </w:t>
            </w:r>
            <w:r>
              <w:rPr>
                <w:sz w:val="16"/>
              </w:rPr>
              <w:t>of</w:t>
            </w:r>
            <w:r>
              <w:rPr>
                <w:spacing w:val="-4"/>
                <w:sz w:val="16"/>
              </w:rPr>
              <w:t xml:space="preserve"> </w:t>
            </w:r>
            <w:r>
              <w:rPr>
                <w:sz w:val="16"/>
              </w:rPr>
              <w:t>flood</w:t>
            </w:r>
            <w:r>
              <w:rPr>
                <w:spacing w:val="-2"/>
                <w:sz w:val="16"/>
              </w:rPr>
              <w:t xml:space="preserve"> </w:t>
            </w:r>
            <w:r>
              <w:rPr>
                <w:sz w:val="16"/>
              </w:rPr>
              <w:t>protective</w:t>
            </w:r>
            <w:r>
              <w:rPr>
                <w:spacing w:val="-5"/>
                <w:sz w:val="16"/>
              </w:rPr>
              <w:t xml:space="preserve"> </w:t>
            </w:r>
            <w:r>
              <w:rPr>
                <w:sz w:val="16"/>
              </w:rPr>
              <w:t>structures</w:t>
            </w:r>
            <w:r>
              <w:rPr>
                <w:spacing w:val="-37"/>
                <w:sz w:val="16"/>
              </w:rPr>
              <w:t xml:space="preserve"> </w:t>
            </w:r>
            <w:r>
              <w:rPr>
                <w:sz w:val="16"/>
              </w:rPr>
              <w:t>built in order to protect against the harmful</w:t>
            </w:r>
            <w:r>
              <w:rPr>
                <w:spacing w:val="1"/>
                <w:sz w:val="16"/>
              </w:rPr>
              <w:t xml:space="preserve"> </w:t>
            </w:r>
            <w:r>
              <w:rPr>
                <w:sz w:val="16"/>
              </w:rPr>
              <w:t>effects</w:t>
            </w:r>
            <w:r>
              <w:rPr>
                <w:spacing w:val="-1"/>
                <w:sz w:val="16"/>
              </w:rPr>
              <w:t xml:space="preserve"> </w:t>
            </w:r>
            <w:r>
              <w:rPr>
                <w:sz w:val="16"/>
              </w:rPr>
              <w:t>of</w:t>
            </w:r>
            <w:r>
              <w:rPr>
                <w:spacing w:val="-1"/>
                <w:sz w:val="16"/>
              </w:rPr>
              <w:t xml:space="preserve"> </w:t>
            </w:r>
            <w:r>
              <w:rPr>
                <w:sz w:val="16"/>
              </w:rPr>
              <w:t>water;</w:t>
            </w:r>
          </w:p>
        </w:tc>
        <w:tc>
          <w:tcPr>
            <w:tcW w:w="1128" w:type="dxa"/>
            <w:vMerge/>
            <w:tcBorders>
              <w:top w:val="nil"/>
              <w:left w:val="single" w:sz="4" w:space="0" w:color="2C398A"/>
              <w:bottom w:val="single" w:sz="4" w:space="0" w:color="2C398A"/>
              <w:right w:val="single" w:sz="4" w:space="0" w:color="2C398A"/>
            </w:tcBorders>
            <w:shd w:val="clear" w:color="auto" w:fill="C5EECE"/>
          </w:tcPr>
          <w:p w:rsidR="00A56FE9" w:rsidRDefault="00A56FE9">
            <w:pPr>
              <w:rPr>
                <w:sz w:val="2"/>
                <w:szCs w:val="2"/>
              </w:rPr>
            </w:pPr>
          </w:p>
        </w:tc>
      </w:tr>
      <w:tr w:rsidR="00A56FE9">
        <w:trPr>
          <w:trHeight w:val="369"/>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11" w:right="99"/>
              <w:jc w:val="center"/>
              <w:rPr>
                <w:sz w:val="16"/>
              </w:rPr>
            </w:pPr>
            <w:r>
              <w:rPr>
                <w:sz w:val="16"/>
              </w:rPr>
              <w:t>12</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76</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line="168" w:lineRule="exact"/>
              <w:ind w:left="50"/>
              <w:rPr>
                <w:sz w:val="16"/>
              </w:rPr>
            </w:pPr>
            <w:r>
              <w:rPr>
                <w:sz w:val="16"/>
              </w:rPr>
              <w:t>.subpart3,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 -</w:t>
            </w:r>
            <w:r>
              <w:rPr>
                <w:spacing w:val="-4"/>
                <w:sz w:val="16"/>
              </w:rPr>
              <w:t xml:space="preserve"> </w:t>
            </w:r>
            <w:r>
              <w:rPr>
                <w:sz w:val="16"/>
              </w:rPr>
              <w:t>C1.3.</w:t>
            </w:r>
          </w:p>
          <w:p w:rsidR="00A56FE9" w:rsidRDefault="00000000">
            <w:pPr>
              <w:pStyle w:val="TableParagraph"/>
              <w:spacing w:before="1" w:line="168" w:lineRule="exact"/>
              <w:ind w:left="50"/>
              <w:rPr>
                <w:sz w:val="16"/>
              </w:rPr>
            </w:pPr>
            <w:r>
              <w:rPr>
                <w:sz w:val="16"/>
              </w:rPr>
              <w:t>R1-I3</w:t>
            </w:r>
            <w:r>
              <w:rPr>
                <w:spacing w:val="-2"/>
                <w:sz w:val="16"/>
              </w:rPr>
              <w:t xml:space="preserve"> </w:t>
            </w:r>
            <w:r>
              <w:rPr>
                <w:sz w:val="16"/>
              </w:rPr>
              <w:t>Disaster</w:t>
            </w:r>
            <w:r>
              <w:rPr>
                <w:spacing w:val="-3"/>
                <w:sz w:val="16"/>
              </w:rPr>
              <w:t xml:space="preserve"> </w:t>
            </w:r>
            <w:r>
              <w:rPr>
                <w:sz w:val="16"/>
              </w:rPr>
              <w:t>risk</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09"/>
              <w:rPr>
                <w:sz w:val="16"/>
              </w:rPr>
            </w:pPr>
            <w:r>
              <w:rPr>
                <w:sz w:val="16"/>
              </w:rPr>
              <w:t>Revitalised</w:t>
            </w:r>
            <w:r>
              <w:rPr>
                <w:spacing w:val="-5"/>
                <w:sz w:val="16"/>
              </w:rPr>
              <w:t xml:space="preserve"> </w:t>
            </w:r>
            <w:r>
              <w:rPr>
                <w:sz w:val="16"/>
              </w:rPr>
              <w:t>watercourses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8"/>
              <w:jc w:val="center"/>
              <w:rPr>
                <w:sz w:val="16"/>
              </w:rPr>
            </w:pPr>
            <w:r>
              <w:rPr>
                <w:sz w:val="16"/>
              </w:rPr>
              <w:t>2</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MESD,</w:t>
            </w:r>
          </w:p>
          <w:p w:rsidR="00A56FE9" w:rsidRDefault="00000000">
            <w:pPr>
              <w:pStyle w:val="TableParagraph"/>
              <w:spacing w:before="1" w:line="168" w:lineRule="exact"/>
              <w:ind w:left="57"/>
              <w:rPr>
                <w:sz w:val="16"/>
              </w:rPr>
            </w:pPr>
            <w:r>
              <w:rPr>
                <w:sz w:val="16"/>
              </w:rPr>
              <w:t>HV</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At</w:t>
            </w:r>
            <w:r>
              <w:rPr>
                <w:spacing w:val="-2"/>
                <w:sz w:val="16"/>
              </w:rPr>
              <w:t xml:space="preserve"> </w:t>
            </w:r>
            <w:r>
              <w:rPr>
                <w:sz w:val="16"/>
              </w:rPr>
              <w:t>least</w:t>
            </w:r>
            <w:r>
              <w:rPr>
                <w:spacing w:val="-1"/>
                <w:sz w:val="16"/>
              </w:rPr>
              <w:t xml:space="preserve"> </w:t>
            </w:r>
            <w:r>
              <w:rPr>
                <w:sz w:val="16"/>
              </w:rPr>
              <w:t>2</w:t>
            </w:r>
            <w:r>
              <w:rPr>
                <w:spacing w:val="-2"/>
                <w:sz w:val="16"/>
              </w:rPr>
              <w:t xml:space="preserve"> </w:t>
            </w:r>
            <w:r>
              <w:rPr>
                <w:sz w:val="16"/>
              </w:rPr>
              <w:t>km</w:t>
            </w:r>
            <w:r>
              <w:rPr>
                <w:spacing w:val="-2"/>
                <w:sz w:val="16"/>
              </w:rPr>
              <w:t xml:space="preserve"> </w:t>
            </w:r>
            <w:r>
              <w:rPr>
                <w:sz w:val="16"/>
              </w:rPr>
              <w:t>of</w:t>
            </w:r>
            <w:r>
              <w:rPr>
                <w:spacing w:val="-4"/>
                <w:sz w:val="16"/>
              </w:rPr>
              <w:t xml:space="preserve"> </w:t>
            </w:r>
            <w:r>
              <w:rPr>
                <w:sz w:val="16"/>
              </w:rPr>
              <w:t>restored</w:t>
            </w:r>
            <w:r>
              <w:rPr>
                <w:spacing w:val="-1"/>
                <w:sz w:val="16"/>
              </w:rPr>
              <w:t xml:space="preserve"> </w:t>
            </w:r>
            <w:r>
              <w:rPr>
                <w:sz w:val="16"/>
              </w:rPr>
              <w:t>watercourses</w:t>
            </w:r>
          </w:p>
          <w:p w:rsidR="00A56FE9" w:rsidRDefault="00000000">
            <w:pPr>
              <w:pStyle w:val="TableParagraph"/>
              <w:spacing w:before="1" w:line="168" w:lineRule="exact"/>
              <w:ind w:left="57"/>
              <w:rPr>
                <w:sz w:val="16"/>
              </w:rPr>
            </w:pPr>
            <w:r>
              <w:rPr>
                <w:sz w:val="16"/>
              </w:rPr>
              <w:t>including</w:t>
            </w:r>
            <w:r>
              <w:rPr>
                <w:spacing w:val="-6"/>
                <w:sz w:val="16"/>
              </w:rPr>
              <w:t xml:space="preserve"> </w:t>
            </w:r>
            <w:r>
              <w:rPr>
                <w:sz w:val="16"/>
              </w:rPr>
              <w:t>revitalisation</w:t>
            </w:r>
            <w:r>
              <w:rPr>
                <w:spacing w:val="-5"/>
                <w:sz w:val="16"/>
              </w:rPr>
              <w:t xml:space="preserve"> </w:t>
            </w:r>
            <w:r>
              <w:rPr>
                <w:sz w:val="16"/>
              </w:rPr>
              <w:t>of</w:t>
            </w:r>
            <w:r>
              <w:rPr>
                <w:spacing w:val="-5"/>
                <w:sz w:val="16"/>
              </w:rPr>
              <w:t xml:space="preserve"> </w:t>
            </w:r>
            <w:r>
              <w:rPr>
                <w:sz w:val="16"/>
              </w:rPr>
              <w:t>abandoned</w:t>
            </w:r>
            <w:r>
              <w:rPr>
                <w:spacing w:val="-6"/>
                <w:sz w:val="16"/>
              </w:rPr>
              <w:t xml:space="preserve"> </w:t>
            </w:r>
            <w:r>
              <w:rPr>
                <w:sz w:val="16"/>
              </w:rPr>
              <w:t>sleeves,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546"/>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0"/>
              <w:rPr>
                <w:sz w:val="16"/>
              </w:rPr>
            </w:pPr>
            <w:r>
              <w:rPr>
                <w:sz w:val="16"/>
              </w:rPr>
              <w:t>2020.CSR3</w:t>
            </w:r>
          </w:p>
          <w:p w:rsidR="00A56FE9" w:rsidRDefault="00000000">
            <w:pPr>
              <w:pStyle w:val="TableParagraph"/>
              <w:spacing w:before="1"/>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0"/>
              <w:rPr>
                <w:sz w:val="16"/>
              </w:rPr>
            </w:pPr>
            <w:r>
              <w:rPr>
                <w:sz w:val="16"/>
              </w:rPr>
              <w:t>reduction</w:t>
            </w:r>
            <w:r>
              <w:rPr>
                <w:spacing w:val="-4"/>
                <w:sz w:val="16"/>
              </w:rPr>
              <w:t xml:space="preserve"> </w:t>
            </w:r>
            <w:r>
              <w:rPr>
                <w:sz w:val="16"/>
              </w:rPr>
              <w:t>programme</w:t>
            </w:r>
            <w:r>
              <w:rPr>
                <w:spacing w:val="-5"/>
                <w:sz w:val="16"/>
              </w:rPr>
              <w:t xml:space="preserve"> </w:t>
            </w:r>
            <w:r>
              <w:rPr>
                <w:sz w:val="16"/>
              </w:rPr>
              <w:t>in</w:t>
            </w:r>
          </w:p>
          <w:p w:rsidR="00A56FE9" w:rsidRDefault="00000000">
            <w:pPr>
              <w:pStyle w:val="TableParagraph"/>
              <w:spacing w:line="180" w:lineRule="atLeast"/>
              <w:ind w:left="50" w:right="309"/>
              <w:rPr>
                <w:sz w:val="16"/>
              </w:rPr>
            </w:pPr>
            <w:r>
              <w:rPr>
                <w:sz w:val="16"/>
              </w:rPr>
              <w:t>the water management</w:t>
            </w:r>
            <w:r>
              <w:rPr>
                <w:spacing w:val="-38"/>
                <w:sz w:val="16"/>
              </w:rPr>
              <w:t xml:space="preserve"> </w:t>
            </w:r>
            <w:r>
              <w:rPr>
                <w:sz w:val="16"/>
              </w:rPr>
              <w:t>sector</w:t>
            </w: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permanent</w:t>
            </w:r>
            <w:r>
              <w:rPr>
                <w:spacing w:val="-2"/>
                <w:sz w:val="16"/>
              </w:rPr>
              <w:t xml:space="preserve"> </w:t>
            </w:r>
            <w:r>
              <w:rPr>
                <w:sz w:val="16"/>
              </w:rPr>
              <w:t>river</w:t>
            </w:r>
            <w:r>
              <w:rPr>
                <w:spacing w:val="-3"/>
                <w:sz w:val="16"/>
              </w:rPr>
              <w:t xml:space="preserve"> </w:t>
            </w:r>
            <w:r>
              <w:rPr>
                <w:sz w:val="16"/>
              </w:rPr>
              <w:t>and</w:t>
            </w:r>
            <w:r>
              <w:rPr>
                <w:spacing w:val="-3"/>
                <w:sz w:val="16"/>
              </w:rPr>
              <w:t xml:space="preserve"> </w:t>
            </w:r>
            <w:r>
              <w:rPr>
                <w:sz w:val="16"/>
              </w:rPr>
              <w:t>sleeve</w:t>
            </w:r>
            <w:r>
              <w:rPr>
                <w:spacing w:val="-4"/>
                <w:sz w:val="16"/>
              </w:rPr>
              <w:t xml:space="preserve"> </w:t>
            </w:r>
            <w:r>
              <w:rPr>
                <w:sz w:val="16"/>
              </w:rPr>
              <w:t>contact</w:t>
            </w:r>
            <w:r>
              <w:rPr>
                <w:spacing w:val="-3"/>
                <w:sz w:val="16"/>
              </w:rPr>
              <w:t xml:space="preserve"> </w:t>
            </w:r>
            <w:r>
              <w:rPr>
                <w:sz w:val="16"/>
              </w:rPr>
              <w:t>and</w:t>
            </w:r>
          </w:p>
          <w:p w:rsidR="00A56FE9" w:rsidRDefault="00000000">
            <w:pPr>
              <w:pStyle w:val="TableParagraph"/>
              <w:spacing w:before="1"/>
              <w:ind w:left="57"/>
              <w:rPr>
                <w:sz w:val="16"/>
              </w:rPr>
            </w:pPr>
            <w:r>
              <w:rPr>
                <w:sz w:val="16"/>
              </w:rPr>
              <w:t>investment</w:t>
            </w:r>
            <w:r>
              <w:rPr>
                <w:spacing w:val="-5"/>
                <w:sz w:val="16"/>
              </w:rPr>
              <w:t xml:space="preserve"> </w:t>
            </w:r>
            <w:r>
              <w:rPr>
                <w:sz w:val="16"/>
              </w:rPr>
              <w:t>in</w:t>
            </w:r>
            <w:r>
              <w:rPr>
                <w:spacing w:val="-3"/>
                <w:sz w:val="16"/>
              </w:rPr>
              <w:t xml:space="preserve"> </w:t>
            </w:r>
            <w:r>
              <w:rPr>
                <w:sz w:val="16"/>
              </w:rPr>
              <w:t>related</w:t>
            </w:r>
            <w:r>
              <w:rPr>
                <w:spacing w:val="-5"/>
                <w:sz w:val="16"/>
              </w:rPr>
              <w:t xml:space="preserve"> </w:t>
            </w:r>
            <w:r>
              <w:rPr>
                <w:sz w:val="16"/>
              </w:rPr>
              <w:t>infrastructure</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83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13</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83</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2019.CSR3</w:t>
            </w:r>
          </w:p>
          <w:p w:rsidR="00A56FE9" w:rsidRDefault="00000000">
            <w:pPr>
              <w:pStyle w:val="TableParagraph"/>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before="1"/>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48"/>
              <w:rPr>
                <w:sz w:val="16"/>
              </w:rPr>
            </w:pPr>
            <w:r>
              <w:rPr>
                <w:sz w:val="16"/>
              </w:rPr>
              <w:t>11,</w:t>
            </w:r>
          </w:p>
          <w:p w:rsidR="00A56FE9" w:rsidRDefault="00000000">
            <w:pPr>
              <w:pStyle w:val="TableParagraph"/>
              <w:spacing w:line="183" w:lineRule="exact"/>
              <w:ind w:left="48"/>
              <w:rPr>
                <w:sz w:val="16"/>
              </w:rPr>
            </w:pPr>
            <w:r>
              <w:rPr>
                <w:sz w:val="16"/>
              </w:rPr>
              <w:t>12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3"/>
                <w:sz w:val="16"/>
              </w:rPr>
              <w:t xml:space="preserve"> </w:t>
            </w:r>
            <w:r>
              <w:rPr>
                <w:sz w:val="16"/>
              </w:rPr>
              <w:t>C1.3.</w:t>
            </w:r>
            <w:r>
              <w:rPr>
                <w:spacing w:val="-3"/>
                <w:sz w:val="16"/>
              </w:rPr>
              <w:t xml:space="preserve"> </w:t>
            </w:r>
            <w:r>
              <w:rPr>
                <w:sz w:val="16"/>
              </w:rPr>
              <w:t>R2</w:t>
            </w:r>
          </w:p>
          <w:p w:rsidR="00A56FE9" w:rsidRDefault="00000000">
            <w:pPr>
              <w:pStyle w:val="TableParagraph"/>
              <w:ind w:left="50" w:right="571"/>
              <w:rPr>
                <w:sz w:val="16"/>
              </w:rPr>
            </w:pPr>
            <w:r>
              <w:rPr>
                <w:sz w:val="16"/>
              </w:rPr>
              <w:t>Implementation of</w:t>
            </w:r>
            <w:r>
              <w:rPr>
                <w:spacing w:val="-37"/>
                <w:sz w:val="16"/>
              </w:rPr>
              <w:t xml:space="preserve"> </w:t>
            </w:r>
            <w:r>
              <w:rPr>
                <w:sz w:val="16"/>
              </w:rPr>
              <w:t>sustainable waste</w:t>
            </w:r>
            <w:r>
              <w:rPr>
                <w:spacing w:val="1"/>
                <w:sz w:val="16"/>
              </w:rPr>
              <w:t xml:space="preserve"> </w:t>
            </w:r>
            <w:r>
              <w:rPr>
                <w:sz w:val="16"/>
              </w:rPr>
              <w:t>management.</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32"/>
              <w:rPr>
                <w:sz w:val="16"/>
              </w:rPr>
            </w:pPr>
            <w:r>
              <w:rPr>
                <w:sz w:val="16"/>
              </w:rPr>
              <w:t>Adoption of the Waste</w:t>
            </w:r>
            <w:r>
              <w:rPr>
                <w:spacing w:val="1"/>
                <w:sz w:val="16"/>
              </w:rPr>
              <w:t xml:space="preserve"> </w:t>
            </w:r>
            <w:r>
              <w:rPr>
                <w:sz w:val="16"/>
              </w:rPr>
              <w:t>Management Plan of the</w:t>
            </w:r>
            <w:r>
              <w:rPr>
                <w:spacing w:val="-37"/>
                <w:sz w:val="16"/>
              </w:rPr>
              <w:t xml:space="preserve"> </w:t>
            </w:r>
            <w:r>
              <w:rPr>
                <w:sz w:val="16"/>
              </w:rPr>
              <w:t>Republic of Croatia for</w:t>
            </w:r>
            <w:r>
              <w:rPr>
                <w:spacing w:val="1"/>
                <w:sz w:val="16"/>
              </w:rPr>
              <w:t xml:space="preserve"> </w:t>
            </w:r>
            <w:r>
              <w:rPr>
                <w:sz w:val="16"/>
              </w:rPr>
              <w:t>the</w:t>
            </w:r>
            <w:r>
              <w:rPr>
                <w:spacing w:val="-5"/>
                <w:sz w:val="16"/>
              </w:rPr>
              <w:t xml:space="preserve"> </w:t>
            </w:r>
            <w:r>
              <w:rPr>
                <w:sz w:val="16"/>
              </w:rPr>
              <w:t>period</w:t>
            </w:r>
            <w:r>
              <w:rPr>
                <w:spacing w:val="-2"/>
                <w:sz w:val="16"/>
              </w:rPr>
              <w:t xml:space="preserve"> </w:t>
            </w:r>
            <w:r>
              <w:rPr>
                <w:sz w:val="16"/>
              </w:rPr>
              <w:t>2022-2028</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94"/>
              <w:rPr>
                <w:sz w:val="16"/>
              </w:rPr>
            </w:pPr>
            <w:r>
              <w:rPr>
                <w:sz w:val="16"/>
              </w:rPr>
              <w:t>Publication of</w:t>
            </w:r>
            <w:r>
              <w:rPr>
                <w:spacing w:val="-38"/>
                <w:sz w:val="16"/>
              </w:rPr>
              <w:t xml:space="preserve"> </w:t>
            </w:r>
            <w:r>
              <w:rPr>
                <w:sz w:val="16"/>
              </w:rPr>
              <w:t>the Croatian</w:t>
            </w:r>
            <w:r>
              <w:rPr>
                <w:spacing w:val="1"/>
                <w:sz w:val="16"/>
              </w:rPr>
              <w:t xml:space="preserve"> </w:t>
            </w:r>
            <w:r>
              <w:rPr>
                <w:sz w:val="16"/>
              </w:rPr>
              <w:t>Waste</w:t>
            </w:r>
            <w:r>
              <w:rPr>
                <w:spacing w:val="1"/>
                <w:sz w:val="16"/>
              </w:rPr>
              <w:t xml:space="preserve"> </w:t>
            </w:r>
            <w:r>
              <w:rPr>
                <w:sz w:val="16"/>
              </w:rPr>
              <w:t>Management</w:t>
            </w:r>
            <w:r>
              <w:rPr>
                <w:spacing w:val="1"/>
                <w:sz w:val="16"/>
              </w:rPr>
              <w:t xml:space="preserve"> </w:t>
            </w:r>
            <w:r>
              <w:rPr>
                <w:sz w:val="16"/>
              </w:rPr>
              <w:t>Plan 2022-</w:t>
            </w:r>
          </w:p>
          <w:p w:rsidR="00A56FE9" w:rsidRDefault="00000000">
            <w:pPr>
              <w:pStyle w:val="TableParagraph"/>
              <w:ind w:left="110" w:right="99"/>
              <w:rPr>
                <w:sz w:val="16"/>
              </w:rPr>
            </w:pPr>
            <w:r>
              <w:rPr>
                <w:sz w:val="16"/>
              </w:rPr>
              <w:t>2028 in the</w:t>
            </w:r>
            <w:r>
              <w:rPr>
                <w:spacing w:val="1"/>
                <w:sz w:val="16"/>
              </w:rPr>
              <w:t xml:space="preserve"> </w:t>
            </w:r>
            <w:r>
              <w:rPr>
                <w:sz w:val="16"/>
              </w:rPr>
              <w:t>Official</w:t>
            </w:r>
            <w:r>
              <w:rPr>
                <w:spacing w:val="1"/>
                <w:sz w:val="16"/>
              </w:rPr>
              <w:t xml:space="preserve"> </w:t>
            </w:r>
            <w:r>
              <w:rPr>
                <w:sz w:val="16"/>
              </w:rPr>
              <w:t>Gazette of the</w:t>
            </w:r>
            <w:r>
              <w:rPr>
                <w:spacing w:val="-37"/>
                <w:sz w:val="16"/>
              </w:rPr>
              <w:t xml:space="preserve"> </w:t>
            </w:r>
            <w:r>
              <w:rPr>
                <w:sz w:val="16"/>
              </w:rPr>
              <w:t>Republic</w:t>
            </w:r>
            <w:r>
              <w:rPr>
                <w:spacing w:val="-3"/>
                <w:sz w:val="16"/>
              </w:rPr>
              <w:t xml:space="preserve"> </w:t>
            </w:r>
            <w:r>
              <w:rPr>
                <w:sz w:val="16"/>
              </w:rPr>
              <w:t>of</w:t>
            </w:r>
          </w:p>
          <w:p w:rsidR="00A56FE9" w:rsidRDefault="00000000">
            <w:pPr>
              <w:pStyle w:val="TableParagraph"/>
              <w:spacing w:line="166" w:lineRule="exact"/>
              <w:ind w:left="110"/>
              <w:rPr>
                <w:sz w:val="16"/>
              </w:rPr>
            </w:pPr>
            <w:r>
              <w:rPr>
                <w:sz w:val="16"/>
              </w:rPr>
              <w:t>Croatia</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7" w:right="273"/>
              <w:rPr>
                <w:sz w:val="16"/>
              </w:rPr>
            </w:pPr>
            <w:r>
              <w:rPr>
                <w:sz w:val="16"/>
              </w:rPr>
              <w:t>MESD,</w:t>
            </w:r>
            <w:r>
              <w:rPr>
                <w:spacing w:val="-37"/>
                <w:sz w:val="16"/>
              </w:rPr>
              <w:t xml:space="preserve"> </w:t>
            </w:r>
            <w:r>
              <w:rPr>
                <w:sz w:val="16"/>
              </w:rPr>
              <w:t>EPEEF</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49"/>
              <w:rPr>
                <w:sz w:val="16"/>
              </w:rPr>
            </w:pPr>
            <w:r>
              <w:rPr>
                <w:sz w:val="16"/>
              </w:rPr>
              <w:t>Adoption and publication of Croatia’s Waste</w:t>
            </w:r>
            <w:r>
              <w:rPr>
                <w:spacing w:val="1"/>
                <w:sz w:val="16"/>
              </w:rPr>
              <w:t xml:space="preserve"> </w:t>
            </w:r>
            <w:r>
              <w:rPr>
                <w:sz w:val="16"/>
              </w:rPr>
              <w:t>Management Plan for the period 2022-2028 in</w:t>
            </w:r>
            <w:r>
              <w:rPr>
                <w:spacing w:val="-37"/>
                <w:sz w:val="16"/>
              </w:rPr>
              <w:t xml:space="preserve"> </w:t>
            </w:r>
            <w:r>
              <w:rPr>
                <w:sz w:val="16"/>
              </w:rPr>
              <w:t>conjunction with the new objectives laid down</w:t>
            </w:r>
            <w:r>
              <w:rPr>
                <w:spacing w:val="-37"/>
                <w:sz w:val="16"/>
              </w:rPr>
              <w:t xml:space="preserve"> </w:t>
            </w:r>
            <w:r>
              <w:rPr>
                <w:sz w:val="16"/>
              </w:rPr>
              <w:t>in</w:t>
            </w:r>
            <w:r>
              <w:rPr>
                <w:spacing w:val="2"/>
                <w:sz w:val="16"/>
              </w:rPr>
              <w:t xml:space="preserve"> </w:t>
            </w:r>
            <w:r>
              <w:rPr>
                <w:sz w:val="16"/>
              </w:rPr>
              <w:t>the</w:t>
            </w:r>
            <w:r>
              <w:rPr>
                <w:spacing w:val="1"/>
                <w:sz w:val="16"/>
              </w:rPr>
              <w:t xml:space="preserve"> </w:t>
            </w:r>
            <w:r>
              <w:rPr>
                <w:sz w:val="16"/>
              </w:rPr>
              <w:t>Waste</w:t>
            </w:r>
            <w:r>
              <w:rPr>
                <w:spacing w:val="1"/>
                <w:sz w:val="16"/>
              </w:rPr>
              <w:t xml:space="preserve"> </w:t>
            </w:r>
            <w:r>
              <w:rPr>
                <w:sz w:val="16"/>
              </w:rPr>
              <w:t>Management</w:t>
            </w:r>
            <w:r>
              <w:rPr>
                <w:spacing w:val="4"/>
                <w:sz w:val="16"/>
              </w:rPr>
              <w:t xml:space="preserve"> </w:t>
            </w:r>
            <w:r>
              <w:rPr>
                <w:sz w:val="16"/>
              </w:rPr>
              <w:t>Act</w:t>
            </w:r>
            <w:r>
              <w:rPr>
                <w:spacing w:val="3"/>
                <w:sz w:val="16"/>
              </w:rPr>
              <w:t xml:space="preserve"> </w:t>
            </w:r>
            <w:r>
              <w:rPr>
                <w:sz w:val="16"/>
              </w:rPr>
              <w:t>and</w:t>
            </w:r>
            <w:r>
              <w:rPr>
                <w:spacing w:val="2"/>
                <w:sz w:val="16"/>
              </w:rPr>
              <w:t xml:space="preserve"> </w:t>
            </w:r>
            <w:r>
              <w:rPr>
                <w:sz w:val="16"/>
              </w:rPr>
              <w:t>the</w:t>
            </w:r>
            <w:r>
              <w:rPr>
                <w:spacing w:val="1"/>
                <w:sz w:val="16"/>
              </w:rPr>
              <w:t xml:space="preserve"> </w:t>
            </w:r>
            <w:r>
              <w:rPr>
                <w:sz w:val="16"/>
              </w:rPr>
              <w:t>Circular Economy Action Plan, following</w:t>
            </w:r>
            <w:r>
              <w:rPr>
                <w:spacing w:val="1"/>
                <w:sz w:val="16"/>
              </w:rPr>
              <w:t xml:space="preserve"> </w:t>
            </w:r>
            <w:r>
              <w:rPr>
                <w:sz w:val="16"/>
              </w:rPr>
              <w:t>public consultations. The plan shall specify a</w:t>
            </w:r>
            <w:r>
              <w:rPr>
                <w:spacing w:val="1"/>
                <w:sz w:val="16"/>
              </w:rPr>
              <w:t xml:space="preserve"> </w:t>
            </w:r>
            <w:r>
              <w:rPr>
                <w:sz w:val="16"/>
              </w:rPr>
              <w:t>target of at least 55% for waste recycling,</w:t>
            </w:r>
            <w:r>
              <w:rPr>
                <w:spacing w:val="1"/>
                <w:sz w:val="16"/>
              </w:rPr>
              <w:t xml:space="preserve"> </w:t>
            </w:r>
            <w:r>
              <w:rPr>
                <w:sz w:val="16"/>
              </w:rPr>
              <w:t>sorting, reusing and repairing by 2025, and a</w:t>
            </w:r>
            <w:r>
              <w:rPr>
                <w:spacing w:val="1"/>
                <w:sz w:val="16"/>
              </w:rPr>
              <w:t xml:space="preserve"> </w:t>
            </w:r>
            <w:r>
              <w:rPr>
                <w:sz w:val="16"/>
              </w:rPr>
              <w:t>target</w:t>
            </w:r>
            <w:r>
              <w:rPr>
                <w:spacing w:val="-3"/>
                <w:sz w:val="16"/>
              </w:rPr>
              <w:t xml:space="preserve"> </w:t>
            </w:r>
            <w:r>
              <w:rPr>
                <w:sz w:val="16"/>
              </w:rPr>
              <w:t>for</w:t>
            </w:r>
            <w:r>
              <w:rPr>
                <w:spacing w:val="-5"/>
                <w:sz w:val="16"/>
              </w:rPr>
              <w:t xml:space="preserve"> </w:t>
            </w:r>
            <w:r>
              <w:rPr>
                <w:sz w:val="16"/>
              </w:rPr>
              <w:t>collection</w:t>
            </w:r>
            <w:r>
              <w:rPr>
                <w:spacing w:val="-3"/>
                <w:sz w:val="16"/>
              </w:rPr>
              <w:t xml:space="preserve"> </w:t>
            </w:r>
            <w:r>
              <w:rPr>
                <w:sz w:val="16"/>
              </w:rPr>
              <w:t>and</w:t>
            </w:r>
            <w:r>
              <w:rPr>
                <w:spacing w:val="-5"/>
                <w:sz w:val="16"/>
              </w:rPr>
              <w:t xml:space="preserve"> </w:t>
            </w:r>
            <w:r>
              <w:rPr>
                <w:sz w:val="16"/>
              </w:rPr>
              <w:t>recycling</w:t>
            </w:r>
            <w:r>
              <w:rPr>
                <w:spacing w:val="-4"/>
                <w:sz w:val="16"/>
              </w:rPr>
              <w:t xml:space="preserve"> </w:t>
            </w:r>
            <w:r>
              <w:rPr>
                <w:sz w:val="16"/>
              </w:rPr>
              <w:t>of</w:t>
            </w:r>
            <w:r>
              <w:rPr>
                <w:spacing w:val="-5"/>
                <w:sz w:val="16"/>
              </w:rPr>
              <w:t xml:space="preserve"> </w:t>
            </w:r>
            <w:r>
              <w:rPr>
                <w:sz w:val="16"/>
              </w:rPr>
              <w:t>biowaste.</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2,300,000</w:t>
            </w:r>
          </w:p>
        </w:tc>
      </w:tr>
      <w:tr w:rsidR="00A56FE9">
        <w:trPr>
          <w:trHeight w:val="239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14</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84</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11,</w:t>
            </w:r>
          </w:p>
          <w:p w:rsidR="00A56FE9" w:rsidRDefault="00000000">
            <w:pPr>
              <w:pStyle w:val="TableParagraph"/>
              <w:spacing w:before="1"/>
              <w:ind w:left="48"/>
              <w:rPr>
                <w:sz w:val="16"/>
              </w:rPr>
            </w:pPr>
            <w:r>
              <w:rPr>
                <w:sz w:val="16"/>
              </w:rPr>
              <w:t>12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 -</w:t>
            </w:r>
            <w:r>
              <w:rPr>
                <w:spacing w:val="-4"/>
                <w:sz w:val="16"/>
              </w:rPr>
              <w:t xml:space="preserve"> </w:t>
            </w:r>
            <w:r>
              <w:rPr>
                <w:sz w:val="16"/>
              </w:rPr>
              <w:t>C1.3.</w:t>
            </w:r>
          </w:p>
          <w:p w:rsidR="00A56FE9" w:rsidRDefault="00000000">
            <w:pPr>
              <w:pStyle w:val="TableParagraph"/>
              <w:spacing w:before="1"/>
              <w:ind w:left="50" w:right="380"/>
              <w:rPr>
                <w:sz w:val="16"/>
              </w:rPr>
            </w:pPr>
            <w:r>
              <w:rPr>
                <w:sz w:val="16"/>
              </w:rPr>
              <w:t>R2-I1 Waste disposal</w:t>
            </w:r>
            <w:r>
              <w:rPr>
                <w:spacing w:val="-37"/>
                <w:sz w:val="16"/>
              </w:rPr>
              <w:t xml:space="preserve"> </w:t>
            </w:r>
            <w:r>
              <w:rPr>
                <w:sz w:val="16"/>
              </w:rPr>
              <w:t>reduction</w:t>
            </w:r>
            <w:r>
              <w:rPr>
                <w:spacing w:val="-7"/>
                <w:sz w:val="16"/>
              </w:rPr>
              <w:t xml:space="preserve"> </w:t>
            </w:r>
            <w:r>
              <w:rPr>
                <w:sz w:val="16"/>
              </w:rPr>
              <w:t>programme</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83"/>
              <w:rPr>
                <w:sz w:val="16"/>
              </w:rPr>
            </w:pPr>
            <w:r>
              <w:rPr>
                <w:sz w:val="16"/>
              </w:rPr>
              <w:t>Reduction of the share of</w:t>
            </w:r>
            <w:r>
              <w:rPr>
                <w:spacing w:val="-38"/>
                <w:sz w:val="16"/>
              </w:rPr>
              <w:t xml:space="preserve"> </w:t>
            </w:r>
            <w:r>
              <w:rPr>
                <w:sz w:val="16"/>
              </w:rPr>
              <w:t>municipal waste sent for</w:t>
            </w:r>
            <w:r>
              <w:rPr>
                <w:spacing w:val="1"/>
                <w:sz w:val="16"/>
              </w:rPr>
              <w:t xml:space="preserve"> </w:t>
            </w:r>
            <w:r>
              <w:rPr>
                <w:sz w:val="16"/>
              </w:rPr>
              <w:t>disposal</w:t>
            </w:r>
            <w:r>
              <w:rPr>
                <w:spacing w:val="-2"/>
                <w:sz w:val="16"/>
              </w:rPr>
              <w:t xml:space="preserve"> </w:t>
            </w:r>
            <w:r>
              <w:rPr>
                <w:sz w:val="16"/>
              </w:rPr>
              <w:t>(49%)</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11"/>
              <w:rPr>
                <w:sz w:val="16"/>
              </w:rPr>
            </w:pPr>
            <w:r>
              <w:rPr>
                <w:sz w:val="16"/>
              </w:rPr>
              <w:t>%</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5" w:right="27"/>
              <w:jc w:val="center"/>
              <w:rPr>
                <w:sz w:val="16"/>
              </w:rPr>
            </w:pPr>
            <w:r>
              <w:rPr>
                <w:sz w:val="16"/>
              </w:rPr>
              <w:t>66</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0" w:right="41"/>
              <w:jc w:val="center"/>
              <w:rPr>
                <w:sz w:val="16"/>
              </w:rPr>
            </w:pPr>
            <w:r>
              <w:rPr>
                <w:sz w:val="16"/>
              </w:rPr>
              <w:t>49</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42"/>
              <w:rPr>
                <w:sz w:val="16"/>
              </w:rPr>
            </w:pPr>
            <w:r>
              <w:rPr>
                <w:sz w:val="16"/>
              </w:rPr>
              <w:t>MESD,</w:t>
            </w:r>
            <w:r>
              <w:rPr>
                <w:spacing w:val="-37"/>
                <w:sz w:val="16"/>
              </w:rPr>
              <w:t xml:space="preserve"> </w:t>
            </w:r>
            <w:r>
              <w:rPr>
                <w:sz w:val="16"/>
              </w:rPr>
              <w:t>FZOEU</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58"/>
              <w:rPr>
                <w:sz w:val="16"/>
              </w:rPr>
            </w:pPr>
            <w:r>
              <w:rPr>
                <w:sz w:val="16"/>
              </w:rPr>
              <w:t>The share of municipal waste sent for disposal</w:t>
            </w:r>
            <w:r>
              <w:rPr>
                <w:spacing w:val="-37"/>
                <w:sz w:val="16"/>
              </w:rPr>
              <w:t xml:space="preserve"> </w:t>
            </w:r>
            <w:r>
              <w:rPr>
                <w:sz w:val="16"/>
              </w:rPr>
              <w:t>shall be reduced to 41% as a result of</w:t>
            </w:r>
            <w:r>
              <w:rPr>
                <w:spacing w:val="1"/>
                <w:sz w:val="16"/>
              </w:rPr>
              <w:t xml:space="preserve"> </w:t>
            </w:r>
            <w:r>
              <w:rPr>
                <w:sz w:val="16"/>
              </w:rPr>
              <w:t>investments in infrastructure to reduce</w:t>
            </w:r>
            <w:r>
              <w:rPr>
                <w:spacing w:val="1"/>
                <w:sz w:val="16"/>
              </w:rPr>
              <w:t xml:space="preserve"> </w:t>
            </w:r>
            <w:r>
              <w:rPr>
                <w:sz w:val="16"/>
              </w:rPr>
              <w:t>landfilling, including the establishment of re-</w:t>
            </w:r>
            <w:r>
              <w:rPr>
                <w:spacing w:val="1"/>
                <w:sz w:val="16"/>
              </w:rPr>
              <w:t xml:space="preserve"> </w:t>
            </w:r>
            <w:r>
              <w:rPr>
                <w:sz w:val="16"/>
              </w:rPr>
              <w:t>use centres, the construction of sorting</w:t>
            </w:r>
            <w:r>
              <w:rPr>
                <w:spacing w:val="1"/>
                <w:sz w:val="16"/>
              </w:rPr>
              <w:t xml:space="preserve"> </w:t>
            </w:r>
            <w:r>
              <w:rPr>
                <w:sz w:val="16"/>
              </w:rPr>
              <w:t>facilities for separately collected municipal</w:t>
            </w:r>
            <w:r>
              <w:rPr>
                <w:spacing w:val="1"/>
                <w:sz w:val="16"/>
              </w:rPr>
              <w:t xml:space="preserve"> </w:t>
            </w:r>
            <w:r>
              <w:rPr>
                <w:sz w:val="16"/>
              </w:rPr>
              <w:t>waste, the construction of bio-treatment</w:t>
            </w:r>
            <w:r>
              <w:rPr>
                <w:spacing w:val="1"/>
                <w:sz w:val="16"/>
              </w:rPr>
              <w:t xml:space="preserve"> </w:t>
            </w:r>
            <w:r>
              <w:rPr>
                <w:sz w:val="16"/>
              </w:rPr>
              <w:t>facilities for separately collected bio-waste,</w:t>
            </w:r>
            <w:r>
              <w:rPr>
                <w:spacing w:val="1"/>
                <w:sz w:val="16"/>
              </w:rPr>
              <w:t xml:space="preserve"> </w:t>
            </w:r>
            <w:r>
              <w:rPr>
                <w:sz w:val="16"/>
              </w:rPr>
              <w:t>the construction and equipment of civic</w:t>
            </w:r>
            <w:r>
              <w:rPr>
                <w:spacing w:val="1"/>
                <w:sz w:val="16"/>
              </w:rPr>
              <w:t xml:space="preserve"> </w:t>
            </w:r>
            <w:r>
              <w:rPr>
                <w:sz w:val="16"/>
              </w:rPr>
              <w:t>amenity sites and recycling yards for</w:t>
            </w:r>
            <w:r>
              <w:rPr>
                <w:spacing w:val="1"/>
                <w:sz w:val="16"/>
              </w:rPr>
              <w:t xml:space="preserve"> </w:t>
            </w:r>
            <w:r>
              <w:rPr>
                <w:sz w:val="16"/>
              </w:rPr>
              <w:t>construction</w:t>
            </w:r>
            <w:r>
              <w:rPr>
                <w:spacing w:val="-2"/>
                <w:sz w:val="16"/>
              </w:rPr>
              <w:t xml:space="preserve"> </w:t>
            </w:r>
            <w:r>
              <w:rPr>
                <w:sz w:val="16"/>
              </w:rPr>
              <w:t>waste,</w:t>
            </w:r>
            <w:r>
              <w:rPr>
                <w:spacing w:val="-1"/>
                <w:sz w:val="16"/>
              </w:rPr>
              <w:t xml:space="preserve"> </w:t>
            </w:r>
            <w:r>
              <w:rPr>
                <w:sz w:val="16"/>
              </w:rPr>
              <w:t>the</w:t>
            </w:r>
            <w:r>
              <w:rPr>
                <w:spacing w:val="-3"/>
                <w:sz w:val="16"/>
              </w:rPr>
              <w:t xml:space="preserve"> </w:t>
            </w:r>
            <w:r>
              <w:rPr>
                <w:sz w:val="16"/>
              </w:rPr>
              <w:t>acquisition of</w:t>
            </w:r>
          </w:p>
          <w:p w:rsidR="00A56FE9" w:rsidRDefault="00000000">
            <w:pPr>
              <w:pStyle w:val="TableParagraph"/>
              <w:spacing w:line="182" w:lineRule="exact"/>
              <w:ind w:left="57"/>
              <w:rPr>
                <w:sz w:val="16"/>
              </w:rPr>
            </w:pPr>
            <w:r>
              <w:rPr>
                <w:sz w:val="16"/>
              </w:rPr>
              <w:t>equipment</w:t>
            </w:r>
            <w:r>
              <w:rPr>
                <w:spacing w:val="-3"/>
                <w:sz w:val="16"/>
              </w:rPr>
              <w:t xml:space="preserve"> </w:t>
            </w:r>
            <w:r>
              <w:rPr>
                <w:sz w:val="16"/>
              </w:rPr>
              <w:t>for</w:t>
            </w:r>
            <w:r>
              <w:rPr>
                <w:spacing w:val="-4"/>
                <w:sz w:val="16"/>
              </w:rPr>
              <w:t xml:space="preserve"> </w:t>
            </w:r>
            <w:r>
              <w:rPr>
                <w:sz w:val="16"/>
              </w:rPr>
              <w:t>the</w:t>
            </w:r>
            <w:r>
              <w:rPr>
                <w:spacing w:val="-5"/>
                <w:sz w:val="16"/>
              </w:rPr>
              <w:t xml:space="preserve"> </w:t>
            </w:r>
            <w:r>
              <w:rPr>
                <w:sz w:val="16"/>
              </w:rPr>
              <w:t>separate</w:t>
            </w:r>
            <w:r>
              <w:rPr>
                <w:spacing w:val="-5"/>
                <w:sz w:val="16"/>
              </w:rPr>
              <w:t xml:space="preserve"> </w:t>
            </w:r>
            <w:r>
              <w:rPr>
                <w:sz w:val="16"/>
              </w:rPr>
              <w:t>collection</w:t>
            </w:r>
            <w:r>
              <w:rPr>
                <w:spacing w:val="-4"/>
                <w:sz w:val="16"/>
              </w:rPr>
              <w:t xml:space="preserve"> </w:t>
            </w:r>
            <w:r>
              <w:rPr>
                <w:sz w:val="16"/>
              </w:rPr>
              <w:t>of</w:t>
            </w:r>
            <w:r>
              <w:rPr>
                <w:spacing w:val="-4"/>
                <w:sz w:val="16"/>
              </w:rPr>
              <w:t xml:space="preserve"> </w:t>
            </w:r>
            <w:r>
              <w:rPr>
                <w:sz w:val="16"/>
              </w:rPr>
              <w:t>useful</w:t>
            </w:r>
            <w:r>
              <w:rPr>
                <w:spacing w:val="-37"/>
                <w:sz w:val="16"/>
              </w:rPr>
              <w:t xml:space="preserve"> </w:t>
            </w:r>
            <w:r>
              <w:rPr>
                <w:sz w:val="16"/>
              </w:rPr>
              <w:t>fractions</w:t>
            </w:r>
            <w:r>
              <w:rPr>
                <w:spacing w:val="-1"/>
                <w:sz w:val="16"/>
              </w:rPr>
              <w:t xml:space="preserve"> </w:t>
            </w:r>
            <w:r>
              <w:rPr>
                <w:sz w:val="16"/>
              </w:rPr>
              <w:t>of</w:t>
            </w:r>
            <w:r>
              <w:rPr>
                <w:spacing w:val="-1"/>
                <w:sz w:val="16"/>
              </w:rPr>
              <w:t xml:space="preserve"> </w:t>
            </w:r>
            <w:r>
              <w:rPr>
                <w:sz w:val="16"/>
              </w:rPr>
              <w:t>municipal</w:t>
            </w:r>
            <w:r>
              <w:rPr>
                <w:spacing w:val="-2"/>
                <w:sz w:val="16"/>
              </w:rPr>
              <w:t xml:space="preserve"> </w:t>
            </w:r>
            <w:r>
              <w:rPr>
                <w:sz w:val="16"/>
              </w:rPr>
              <w:t>waste.</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2944"/>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15</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ight="86"/>
              <w:jc w:val="center"/>
              <w:rPr>
                <w:sz w:val="16"/>
              </w:rPr>
            </w:pPr>
            <w:r>
              <w:rPr>
                <w:sz w:val="16"/>
              </w:rPr>
              <w:t>99</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.subpart2,</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.subpart7</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9</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3"/>
                <w:sz w:val="16"/>
              </w:rPr>
              <w:t xml:space="preserve"> </w:t>
            </w:r>
            <w:r>
              <w:rPr>
                <w:sz w:val="16"/>
              </w:rPr>
              <w:t>C1.4.</w:t>
            </w:r>
            <w:r>
              <w:rPr>
                <w:spacing w:val="-3"/>
                <w:sz w:val="16"/>
              </w:rPr>
              <w:t xml:space="preserve"> </w:t>
            </w:r>
            <w:r>
              <w:rPr>
                <w:sz w:val="16"/>
              </w:rPr>
              <w:t>R2</w:t>
            </w:r>
          </w:p>
          <w:p w:rsidR="00A56FE9" w:rsidRDefault="00000000">
            <w:pPr>
              <w:pStyle w:val="TableParagraph"/>
              <w:spacing w:before="1"/>
              <w:ind w:left="50" w:right="340"/>
              <w:rPr>
                <w:sz w:val="16"/>
              </w:rPr>
            </w:pPr>
            <w:r>
              <w:rPr>
                <w:sz w:val="16"/>
              </w:rPr>
              <w:t>Reform of the railway</w:t>
            </w:r>
            <w:r>
              <w:rPr>
                <w:spacing w:val="-37"/>
                <w:sz w:val="16"/>
              </w:rPr>
              <w:t xml:space="preserve"> </w:t>
            </w:r>
            <w:r>
              <w:rPr>
                <w:sz w:val="16"/>
              </w:rPr>
              <w:t>sector</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257"/>
              <w:rPr>
                <w:sz w:val="16"/>
              </w:rPr>
            </w:pPr>
            <w:r>
              <w:rPr>
                <w:sz w:val="16"/>
              </w:rPr>
              <w:t>The National Plan for</w:t>
            </w:r>
            <w:r>
              <w:rPr>
                <w:spacing w:val="1"/>
                <w:sz w:val="16"/>
              </w:rPr>
              <w:t xml:space="preserve"> </w:t>
            </w:r>
            <w:r>
              <w:rPr>
                <w:sz w:val="16"/>
              </w:rPr>
              <w:t>the Development of</w:t>
            </w:r>
            <w:r>
              <w:rPr>
                <w:spacing w:val="1"/>
                <w:sz w:val="16"/>
              </w:rPr>
              <w:t xml:space="preserve"> </w:t>
            </w:r>
            <w:r>
              <w:rPr>
                <w:sz w:val="16"/>
              </w:rPr>
              <w:t>Railway Infrastructure</w:t>
            </w:r>
            <w:r>
              <w:rPr>
                <w:spacing w:val="-37"/>
                <w:sz w:val="16"/>
              </w:rPr>
              <w:t xml:space="preserve"> </w:t>
            </w:r>
            <w:r>
              <w:rPr>
                <w:sz w:val="16"/>
              </w:rPr>
              <w:t>and the National</w:t>
            </w:r>
            <w:r>
              <w:rPr>
                <w:spacing w:val="1"/>
                <w:sz w:val="16"/>
              </w:rPr>
              <w:t xml:space="preserve"> </w:t>
            </w:r>
            <w:r>
              <w:rPr>
                <w:sz w:val="16"/>
              </w:rPr>
              <w:t>Management Plan for</w:t>
            </w:r>
            <w:r>
              <w:rPr>
                <w:spacing w:val="1"/>
                <w:sz w:val="16"/>
              </w:rPr>
              <w:t xml:space="preserve"> </w:t>
            </w:r>
            <w:r>
              <w:rPr>
                <w:sz w:val="16"/>
              </w:rPr>
              <w:t>Railway Infrastructure</w:t>
            </w:r>
            <w:r>
              <w:rPr>
                <w:spacing w:val="-37"/>
                <w:sz w:val="16"/>
              </w:rPr>
              <w:t xml:space="preserve"> </w:t>
            </w:r>
            <w:r>
              <w:rPr>
                <w:sz w:val="16"/>
              </w:rPr>
              <w:t>and</w:t>
            </w:r>
            <w:r>
              <w:rPr>
                <w:spacing w:val="-2"/>
                <w:sz w:val="16"/>
              </w:rPr>
              <w:t xml:space="preserve"> </w:t>
            </w:r>
            <w:r>
              <w:rPr>
                <w:sz w:val="16"/>
              </w:rPr>
              <w:t>Service</w:t>
            </w:r>
            <w:r>
              <w:rPr>
                <w:spacing w:val="-5"/>
                <w:sz w:val="16"/>
              </w:rPr>
              <w:t xml:space="preserve"> </w:t>
            </w:r>
            <w:r>
              <w:rPr>
                <w:sz w:val="16"/>
              </w:rPr>
              <w:t>Facilities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55"/>
              <w:rPr>
                <w:sz w:val="16"/>
              </w:rPr>
            </w:pPr>
            <w:r>
              <w:rPr>
                <w:sz w:val="16"/>
              </w:rPr>
              <w:t>The National</w:t>
            </w:r>
            <w:r>
              <w:rPr>
                <w:spacing w:val="1"/>
                <w:sz w:val="16"/>
              </w:rPr>
              <w:t xml:space="preserve"> </w:t>
            </w:r>
            <w:r>
              <w:rPr>
                <w:sz w:val="16"/>
              </w:rPr>
              <w:t>Plan for the</w:t>
            </w:r>
            <w:r>
              <w:rPr>
                <w:spacing w:val="1"/>
                <w:sz w:val="16"/>
              </w:rPr>
              <w:t xml:space="preserve"> </w:t>
            </w:r>
            <w:r>
              <w:rPr>
                <w:sz w:val="16"/>
              </w:rPr>
              <w:t>Development</w:t>
            </w:r>
            <w:r>
              <w:rPr>
                <w:spacing w:val="1"/>
                <w:sz w:val="16"/>
              </w:rPr>
              <w:t xml:space="preserve"> </w:t>
            </w:r>
            <w:r>
              <w:rPr>
                <w:sz w:val="16"/>
              </w:rPr>
              <w:t>of Railway</w:t>
            </w:r>
            <w:r>
              <w:rPr>
                <w:spacing w:val="1"/>
                <w:sz w:val="16"/>
              </w:rPr>
              <w:t xml:space="preserve"> </w:t>
            </w:r>
            <w:r>
              <w:rPr>
                <w:sz w:val="16"/>
              </w:rPr>
              <w:t>Infrastructure</w:t>
            </w:r>
            <w:r>
              <w:rPr>
                <w:spacing w:val="1"/>
                <w:sz w:val="16"/>
              </w:rPr>
              <w:t xml:space="preserve"> </w:t>
            </w:r>
            <w:r>
              <w:rPr>
                <w:sz w:val="16"/>
              </w:rPr>
              <w:t>and the</w:t>
            </w:r>
            <w:r>
              <w:rPr>
                <w:spacing w:val="1"/>
                <w:sz w:val="16"/>
              </w:rPr>
              <w:t xml:space="preserve"> </w:t>
            </w:r>
            <w:r>
              <w:rPr>
                <w:sz w:val="16"/>
              </w:rPr>
              <w:t>National</w:t>
            </w:r>
            <w:r>
              <w:rPr>
                <w:spacing w:val="1"/>
                <w:sz w:val="16"/>
              </w:rPr>
              <w:t xml:space="preserve"> </w:t>
            </w:r>
            <w:r>
              <w:rPr>
                <w:sz w:val="16"/>
              </w:rPr>
              <w:t>Management</w:t>
            </w:r>
            <w:r>
              <w:rPr>
                <w:spacing w:val="1"/>
                <w:sz w:val="16"/>
              </w:rPr>
              <w:t xml:space="preserve"> </w:t>
            </w:r>
            <w:r>
              <w:rPr>
                <w:sz w:val="16"/>
              </w:rPr>
              <w:t>Plan for</w:t>
            </w:r>
            <w:r>
              <w:rPr>
                <w:spacing w:val="1"/>
                <w:sz w:val="16"/>
              </w:rPr>
              <w:t xml:space="preserve"> </w:t>
            </w:r>
            <w:r>
              <w:rPr>
                <w:sz w:val="16"/>
              </w:rPr>
              <w:t>Railway</w:t>
            </w:r>
            <w:r>
              <w:rPr>
                <w:spacing w:val="1"/>
                <w:sz w:val="16"/>
              </w:rPr>
              <w:t xml:space="preserve"> </w:t>
            </w:r>
            <w:r>
              <w:rPr>
                <w:sz w:val="16"/>
              </w:rPr>
              <w:t>Infrastructure</w:t>
            </w:r>
            <w:r>
              <w:rPr>
                <w:spacing w:val="1"/>
                <w:sz w:val="16"/>
              </w:rPr>
              <w:t xml:space="preserve"> </w:t>
            </w:r>
            <w:r>
              <w:rPr>
                <w:sz w:val="16"/>
              </w:rPr>
              <w:t>and Service</w:t>
            </w:r>
            <w:r>
              <w:rPr>
                <w:spacing w:val="1"/>
                <w:sz w:val="16"/>
              </w:rPr>
              <w:t xml:space="preserve"> </w:t>
            </w:r>
            <w:r>
              <w:rPr>
                <w:sz w:val="16"/>
              </w:rPr>
              <w:t>Facilities</w:t>
            </w:r>
            <w:r>
              <w:rPr>
                <w:spacing w:val="1"/>
                <w:sz w:val="16"/>
              </w:rPr>
              <w:t xml:space="preserve"> </w:t>
            </w:r>
            <w:r>
              <w:rPr>
                <w:sz w:val="16"/>
              </w:rPr>
              <w:t>adopted by the</w:t>
            </w:r>
            <w:r>
              <w:rPr>
                <w:spacing w:val="-37"/>
                <w:sz w:val="16"/>
              </w:rPr>
              <w:t xml:space="preserve"> </w:t>
            </w:r>
            <w:r>
              <w:rPr>
                <w:sz w:val="16"/>
              </w:rPr>
              <w:t>Croatian</w:t>
            </w:r>
          </w:p>
          <w:p w:rsidR="00A56FE9" w:rsidRDefault="00000000">
            <w:pPr>
              <w:pStyle w:val="TableParagraph"/>
              <w:spacing w:line="168" w:lineRule="exact"/>
              <w:ind w:left="110"/>
              <w:rPr>
                <w:sz w:val="16"/>
              </w:rPr>
            </w:pPr>
            <w:r>
              <w:rPr>
                <w:sz w:val="16"/>
              </w:rPr>
              <w:t>Government</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MSTI,</w:t>
            </w:r>
            <w:r>
              <w:rPr>
                <w:spacing w:val="-3"/>
                <w:sz w:val="16"/>
              </w:rPr>
              <w:t xml:space="preserve"> </w:t>
            </w:r>
            <w:r>
              <w:rPr>
                <w:sz w:val="16"/>
              </w:rPr>
              <w:t>HŽ</w:t>
            </w:r>
          </w:p>
          <w:p w:rsidR="00A56FE9" w:rsidRDefault="00000000">
            <w:pPr>
              <w:pStyle w:val="TableParagraph"/>
              <w:spacing w:before="1"/>
              <w:ind w:left="57" w:right="93"/>
              <w:rPr>
                <w:sz w:val="16"/>
              </w:rPr>
            </w:pPr>
            <w:r>
              <w:rPr>
                <w:spacing w:val="-1"/>
                <w:sz w:val="16"/>
              </w:rPr>
              <w:t>Infrastrukt</w:t>
            </w:r>
            <w:r>
              <w:rPr>
                <w:spacing w:val="-37"/>
                <w:sz w:val="16"/>
              </w:rPr>
              <w:t xml:space="preserve"> </w:t>
            </w:r>
            <w:r>
              <w:rPr>
                <w:sz w:val="16"/>
              </w:rPr>
              <w:t>ura, HŽ</w:t>
            </w:r>
            <w:r>
              <w:rPr>
                <w:spacing w:val="1"/>
                <w:sz w:val="16"/>
              </w:rPr>
              <w:t xml:space="preserve"> </w:t>
            </w:r>
            <w:r>
              <w:rPr>
                <w:sz w:val="16"/>
              </w:rPr>
              <w:t>Putnički</w:t>
            </w:r>
            <w:r>
              <w:rPr>
                <w:spacing w:val="1"/>
                <w:sz w:val="16"/>
              </w:rPr>
              <w:t xml:space="preserve"> </w:t>
            </w:r>
            <w:r>
              <w:rPr>
                <w:sz w:val="16"/>
              </w:rPr>
              <w:t>prijevoz,</w:t>
            </w:r>
            <w:r>
              <w:rPr>
                <w:spacing w:val="1"/>
                <w:sz w:val="16"/>
              </w:rPr>
              <w:t xml:space="preserve"> </w:t>
            </w:r>
            <w:r>
              <w:rPr>
                <w:sz w:val="16"/>
              </w:rPr>
              <w:t>HŽ</w:t>
            </w:r>
            <w:r>
              <w:rPr>
                <w:spacing w:val="-3"/>
                <w:sz w:val="16"/>
              </w:rPr>
              <w:t xml:space="preserve"> </w:t>
            </w:r>
            <w:r>
              <w:rPr>
                <w:sz w:val="16"/>
              </w:rPr>
              <w:t>Cargo</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198"/>
              <w:rPr>
                <w:sz w:val="16"/>
              </w:rPr>
            </w:pPr>
            <w:r>
              <w:rPr>
                <w:sz w:val="16"/>
              </w:rPr>
              <w:t>The National Plan for the Development of</w:t>
            </w:r>
            <w:r>
              <w:rPr>
                <w:spacing w:val="1"/>
                <w:sz w:val="16"/>
              </w:rPr>
              <w:t xml:space="preserve"> </w:t>
            </w:r>
            <w:r>
              <w:rPr>
                <w:sz w:val="16"/>
              </w:rPr>
              <w:t>Railway Infrastructure shall determine</w:t>
            </w:r>
            <w:r>
              <w:rPr>
                <w:spacing w:val="1"/>
                <w:sz w:val="16"/>
              </w:rPr>
              <w:t xml:space="preserve"> </w:t>
            </w:r>
            <w:r>
              <w:rPr>
                <w:sz w:val="16"/>
              </w:rPr>
              <w:t>projects and activities necessary for the</w:t>
            </w:r>
            <w:r>
              <w:rPr>
                <w:spacing w:val="1"/>
                <w:sz w:val="16"/>
              </w:rPr>
              <w:t xml:space="preserve"> </w:t>
            </w:r>
            <w:r>
              <w:rPr>
                <w:sz w:val="16"/>
              </w:rPr>
              <w:t>development of railway infrastructure. The</w:t>
            </w:r>
            <w:r>
              <w:rPr>
                <w:spacing w:val="1"/>
                <w:sz w:val="16"/>
              </w:rPr>
              <w:t xml:space="preserve"> </w:t>
            </w:r>
            <w:r>
              <w:rPr>
                <w:sz w:val="16"/>
              </w:rPr>
              <w:t>National Management Plan for Railway</w:t>
            </w:r>
            <w:r>
              <w:rPr>
                <w:spacing w:val="1"/>
                <w:sz w:val="16"/>
              </w:rPr>
              <w:t xml:space="preserve"> </w:t>
            </w:r>
            <w:r>
              <w:rPr>
                <w:sz w:val="16"/>
              </w:rPr>
              <w:t>Infrastructure and Service Facilities shall</w:t>
            </w:r>
            <w:r>
              <w:rPr>
                <w:spacing w:val="1"/>
                <w:sz w:val="16"/>
              </w:rPr>
              <w:t xml:space="preserve"> </w:t>
            </w:r>
            <w:r>
              <w:rPr>
                <w:sz w:val="16"/>
              </w:rPr>
              <w:t>determine projects and activities for</w:t>
            </w:r>
            <w:r>
              <w:rPr>
                <w:spacing w:val="1"/>
                <w:sz w:val="16"/>
              </w:rPr>
              <w:t xml:space="preserve"> </w:t>
            </w:r>
            <w:r>
              <w:rPr>
                <w:sz w:val="16"/>
              </w:rPr>
              <w:t>management, organization of railway traffic</w:t>
            </w:r>
            <w:r>
              <w:rPr>
                <w:spacing w:val="-37"/>
                <w:sz w:val="16"/>
              </w:rPr>
              <w:t xml:space="preserve"> </w:t>
            </w:r>
            <w:r>
              <w:rPr>
                <w:sz w:val="16"/>
              </w:rPr>
              <w:t>regulation and development of railway</w:t>
            </w:r>
            <w:r>
              <w:rPr>
                <w:spacing w:val="1"/>
                <w:sz w:val="16"/>
              </w:rPr>
              <w:t xml:space="preserve"> </w:t>
            </w:r>
            <w:r>
              <w:rPr>
                <w:sz w:val="16"/>
              </w:rPr>
              <w:t>transport services.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1,235,000</w:t>
            </w:r>
          </w:p>
        </w:tc>
      </w:tr>
    </w:tbl>
    <w:p w:rsidR="00A56FE9" w:rsidRDefault="00A56FE9">
      <w:pPr>
        <w:spacing w:line="181" w:lineRule="exact"/>
        <w:jc w:val="righ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1098"/>
        </w:trPr>
        <w:tc>
          <w:tcPr>
            <w:tcW w:w="42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right="115"/>
              <w:jc w:val="right"/>
              <w:rPr>
                <w:sz w:val="16"/>
              </w:rPr>
            </w:pPr>
            <w:r>
              <w:rPr>
                <w:sz w:val="16"/>
              </w:rPr>
              <w:t>16</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right="83"/>
              <w:jc w:val="right"/>
              <w:rPr>
                <w:sz w:val="16"/>
              </w:rPr>
            </w:pPr>
            <w:r>
              <w:rPr>
                <w:sz w:val="16"/>
              </w:rPr>
              <w:t>111</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0"/>
              <w:rPr>
                <w:sz w:val="16"/>
              </w:rPr>
            </w:pPr>
            <w:r>
              <w:rPr>
                <w:sz w:val="16"/>
              </w:rPr>
              <w:t>2019.CSR3</w:t>
            </w:r>
          </w:p>
          <w:p w:rsidR="00A56FE9" w:rsidRDefault="00000000">
            <w:pPr>
              <w:pStyle w:val="TableParagraph"/>
              <w:spacing w:before="1"/>
              <w:ind w:left="50" w:right="38"/>
              <w:rPr>
                <w:sz w:val="16"/>
              </w:rPr>
            </w:pPr>
            <w:r>
              <w:rPr>
                <w:sz w:val="16"/>
              </w:rPr>
              <w:t>.subpart2,</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.subpart7</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48"/>
              <w:rPr>
                <w:sz w:val="16"/>
              </w:rPr>
            </w:pPr>
            <w:r>
              <w:rPr>
                <w:sz w:val="16"/>
              </w:rPr>
              <w:t>9</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right="58"/>
              <w:jc w:val="right"/>
              <w:rPr>
                <w:sz w:val="16"/>
              </w:rPr>
            </w:pPr>
            <w:r>
              <w:rPr>
                <w:sz w:val="16"/>
              </w:rPr>
              <w:t>20</w:t>
            </w: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3"/>
                <w:sz w:val="16"/>
              </w:rPr>
              <w:t xml:space="preserve"> </w:t>
            </w:r>
            <w:r>
              <w:rPr>
                <w:sz w:val="16"/>
              </w:rPr>
              <w:t>C1.4.</w:t>
            </w:r>
            <w:r>
              <w:rPr>
                <w:spacing w:val="-3"/>
                <w:sz w:val="16"/>
              </w:rPr>
              <w:t xml:space="preserve"> </w:t>
            </w:r>
            <w:r>
              <w:rPr>
                <w:sz w:val="16"/>
              </w:rPr>
              <w:t>R3</w:t>
            </w:r>
          </w:p>
          <w:p w:rsidR="00A56FE9" w:rsidRDefault="00000000">
            <w:pPr>
              <w:pStyle w:val="TableParagraph"/>
              <w:spacing w:before="1"/>
              <w:ind w:left="50" w:right="451"/>
              <w:rPr>
                <w:sz w:val="16"/>
              </w:rPr>
            </w:pPr>
            <w:r>
              <w:rPr>
                <w:sz w:val="16"/>
              </w:rPr>
              <w:t>Maritime and inland</w:t>
            </w:r>
            <w:r>
              <w:rPr>
                <w:spacing w:val="-38"/>
                <w:sz w:val="16"/>
              </w:rPr>
              <w:t xml:space="preserve"> </w:t>
            </w:r>
            <w:r>
              <w:rPr>
                <w:sz w:val="16"/>
              </w:rPr>
              <w:t>navigation</w:t>
            </w:r>
            <w:r>
              <w:rPr>
                <w:spacing w:val="-2"/>
                <w:sz w:val="16"/>
              </w:rPr>
              <w:t xml:space="preserve"> </w:t>
            </w:r>
            <w:r>
              <w:rPr>
                <w:sz w:val="16"/>
              </w:rPr>
              <w:t>reform</w:t>
            </w: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1"/>
              <w:rPr>
                <w:sz w:val="16"/>
              </w:rPr>
            </w:pPr>
            <w:r>
              <w:rPr>
                <w:sz w:val="16"/>
              </w:rPr>
              <w:t>Milest</w:t>
            </w:r>
          </w:p>
          <w:p w:rsidR="00A56FE9" w:rsidRDefault="00000000">
            <w:pPr>
              <w:pStyle w:val="TableParagraph"/>
              <w:spacing w:before="1"/>
              <w:ind w:left="51"/>
              <w:rPr>
                <w:sz w:val="16"/>
              </w:rPr>
            </w:pPr>
            <w:r>
              <w:rPr>
                <w:sz w:val="16"/>
              </w:rPr>
              <w:t>one</w:t>
            </w: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09"/>
              <w:rPr>
                <w:sz w:val="16"/>
              </w:rPr>
            </w:pPr>
            <w:r>
              <w:rPr>
                <w:sz w:val="16"/>
              </w:rPr>
              <w:t>The</w:t>
            </w:r>
            <w:r>
              <w:rPr>
                <w:spacing w:val="-3"/>
                <w:sz w:val="16"/>
              </w:rPr>
              <w:t xml:space="preserve"> </w:t>
            </w:r>
            <w:r>
              <w:rPr>
                <w:sz w:val="16"/>
              </w:rPr>
              <w:t>new</w:t>
            </w:r>
            <w:r>
              <w:rPr>
                <w:spacing w:val="-3"/>
                <w:sz w:val="16"/>
              </w:rPr>
              <w:t xml:space="preserve"> </w:t>
            </w:r>
            <w:r>
              <w:rPr>
                <w:sz w:val="16"/>
              </w:rPr>
              <w:t>Maritime</w:t>
            </w:r>
          </w:p>
          <w:p w:rsidR="00A56FE9" w:rsidRDefault="00000000">
            <w:pPr>
              <w:pStyle w:val="TableParagraph"/>
              <w:spacing w:before="1"/>
              <w:ind w:left="109" w:right="323"/>
              <w:rPr>
                <w:sz w:val="16"/>
              </w:rPr>
            </w:pPr>
            <w:r>
              <w:rPr>
                <w:sz w:val="16"/>
              </w:rPr>
              <w:t>Domain and Seaports</w:t>
            </w:r>
            <w:r>
              <w:rPr>
                <w:spacing w:val="-37"/>
                <w:sz w:val="16"/>
              </w:rPr>
              <w:t xml:space="preserve"> </w:t>
            </w:r>
            <w:r>
              <w:rPr>
                <w:sz w:val="16"/>
              </w:rPr>
              <w:t>Act</w:t>
            </w: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10"/>
              <w:rPr>
                <w:sz w:val="16"/>
              </w:rPr>
            </w:pPr>
            <w:r>
              <w:rPr>
                <w:sz w:val="16"/>
              </w:rPr>
              <w:t>Entry</w:t>
            </w:r>
            <w:r>
              <w:rPr>
                <w:spacing w:val="-3"/>
                <w:sz w:val="16"/>
              </w:rPr>
              <w:t xml:space="preserve"> </w:t>
            </w:r>
            <w:r>
              <w:rPr>
                <w:sz w:val="16"/>
              </w:rPr>
              <w:t>into</w:t>
            </w:r>
          </w:p>
          <w:p w:rsidR="00A56FE9" w:rsidRDefault="00000000">
            <w:pPr>
              <w:pStyle w:val="TableParagraph"/>
              <w:spacing w:before="1"/>
              <w:ind w:left="110" w:right="107"/>
              <w:rPr>
                <w:sz w:val="16"/>
              </w:rPr>
            </w:pPr>
            <w:r>
              <w:rPr>
                <w:sz w:val="16"/>
              </w:rPr>
              <w:t>force of the</w:t>
            </w:r>
            <w:r>
              <w:rPr>
                <w:spacing w:val="1"/>
                <w:sz w:val="16"/>
              </w:rPr>
              <w:t xml:space="preserve"> </w:t>
            </w:r>
            <w:r>
              <w:rPr>
                <w:spacing w:val="-1"/>
                <w:sz w:val="16"/>
              </w:rPr>
              <w:t>new Maritime</w:t>
            </w:r>
            <w:r>
              <w:rPr>
                <w:spacing w:val="-37"/>
                <w:sz w:val="16"/>
              </w:rPr>
              <w:t xml:space="preserve"> </w:t>
            </w:r>
            <w:r>
              <w:rPr>
                <w:sz w:val="16"/>
              </w:rPr>
              <w:t>Domain and</w:t>
            </w:r>
            <w:r>
              <w:rPr>
                <w:spacing w:val="1"/>
                <w:sz w:val="16"/>
              </w:rPr>
              <w:t xml:space="preserve"> </w:t>
            </w:r>
            <w:r>
              <w:rPr>
                <w:sz w:val="16"/>
              </w:rPr>
              <w:t>Seaports</w:t>
            </w:r>
            <w:r>
              <w:rPr>
                <w:spacing w:val="-2"/>
                <w:sz w:val="16"/>
              </w:rPr>
              <w:t xml:space="preserve"> </w:t>
            </w:r>
            <w:r>
              <w:rPr>
                <w:sz w:val="16"/>
              </w:rPr>
              <w:t>Act</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51" w:right="130"/>
              <w:jc w:val="center"/>
              <w:rPr>
                <w:sz w:val="16"/>
              </w:rPr>
            </w:pPr>
            <w:r>
              <w:rPr>
                <w:sz w:val="16"/>
              </w:rPr>
              <w:t>2022</w:t>
            </w: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MSTI</w:t>
            </w: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The</w:t>
            </w:r>
            <w:r>
              <w:rPr>
                <w:spacing w:val="-4"/>
                <w:sz w:val="16"/>
              </w:rPr>
              <w:t xml:space="preserve"> </w:t>
            </w:r>
            <w:r>
              <w:rPr>
                <w:sz w:val="16"/>
              </w:rPr>
              <w:t>new</w:t>
            </w:r>
            <w:r>
              <w:rPr>
                <w:spacing w:val="-5"/>
                <w:sz w:val="16"/>
              </w:rPr>
              <w:t xml:space="preserve"> </w:t>
            </w:r>
            <w:r>
              <w:rPr>
                <w:sz w:val="16"/>
              </w:rPr>
              <w:t>Maritime</w:t>
            </w:r>
            <w:r>
              <w:rPr>
                <w:spacing w:val="-3"/>
                <w:sz w:val="16"/>
              </w:rPr>
              <w:t xml:space="preserve"> </w:t>
            </w:r>
            <w:r>
              <w:rPr>
                <w:sz w:val="16"/>
              </w:rPr>
              <w:t>Domain</w:t>
            </w:r>
            <w:r>
              <w:rPr>
                <w:spacing w:val="-3"/>
                <w:sz w:val="16"/>
              </w:rPr>
              <w:t xml:space="preserve"> </w:t>
            </w:r>
            <w:r>
              <w:rPr>
                <w:sz w:val="16"/>
              </w:rPr>
              <w:t>and</w:t>
            </w:r>
            <w:r>
              <w:rPr>
                <w:spacing w:val="-3"/>
                <w:sz w:val="16"/>
              </w:rPr>
              <w:t xml:space="preserve"> </w:t>
            </w:r>
            <w:r>
              <w:rPr>
                <w:sz w:val="16"/>
              </w:rPr>
              <w:t>Seaports</w:t>
            </w:r>
            <w:r>
              <w:rPr>
                <w:spacing w:val="-1"/>
                <w:sz w:val="16"/>
              </w:rPr>
              <w:t xml:space="preserve"> </w:t>
            </w:r>
            <w:r>
              <w:rPr>
                <w:sz w:val="16"/>
              </w:rPr>
              <w:t>Act</w:t>
            </w:r>
          </w:p>
          <w:p w:rsidR="00A56FE9" w:rsidRDefault="00000000">
            <w:pPr>
              <w:pStyle w:val="TableParagraph"/>
              <w:spacing w:before="1"/>
              <w:ind w:left="57" w:right="42"/>
              <w:rPr>
                <w:sz w:val="16"/>
              </w:rPr>
            </w:pPr>
            <w:r>
              <w:rPr>
                <w:sz w:val="16"/>
              </w:rPr>
              <w:t>shall</w:t>
            </w:r>
            <w:r>
              <w:rPr>
                <w:spacing w:val="1"/>
                <w:sz w:val="16"/>
              </w:rPr>
              <w:t xml:space="preserve"> </w:t>
            </w:r>
            <w:r>
              <w:rPr>
                <w:sz w:val="16"/>
              </w:rPr>
              <w:t>reorganise the structure of</w:t>
            </w:r>
            <w:r>
              <w:rPr>
                <w:spacing w:val="1"/>
                <w:sz w:val="16"/>
              </w:rPr>
              <w:t xml:space="preserve"> </w:t>
            </w:r>
            <w:r>
              <w:rPr>
                <w:sz w:val="16"/>
              </w:rPr>
              <w:t>the port</w:t>
            </w:r>
            <w:r>
              <w:rPr>
                <w:spacing w:val="1"/>
                <w:sz w:val="16"/>
              </w:rPr>
              <w:t xml:space="preserve"> </w:t>
            </w:r>
            <w:r>
              <w:rPr>
                <w:sz w:val="16"/>
              </w:rPr>
              <w:t>system open to public traffic, which aims to</w:t>
            </w:r>
            <w:r>
              <w:rPr>
                <w:spacing w:val="1"/>
                <w:sz w:val="16"/>
              </w:rPr>
              <w:t xml:space="preserve"> </w:t>
            </w:r>
            <w:r>
              <w:rPr>
                <w:sz w:val="16"/>
              </w:rPr>
              <w:t>ensure</w:t>
            </w:r>
            <w:r>
              <w:rPr>
                <w:spacing w:val="-5"/>
                <w:sz w:val="16"/>
              </w:rPr>
              <w:t xml:space="preserve"> </w:t>
            </w:r>
            <w:r>
              <w:rPr>
                <w:sz w:val="16"/>
              </w:rPr>
              <w:t>uniformity</w:t>
            </w:r>
            <w:r>
              <w:rPr>
                <w:spacing w:val="-6"/>
                <w:sz w:val="16"/>
              </w:rPr>
              <w:t xml:space="preserve"> </w:t>
            </w:r>
            <w:r>
              <w:rPr>
                <w:sz w:val="16"/>
              </w:rPr>
              <w:t>in</w:t>
            </w:r>
            <w:r>
              <w:rPr>
                <w:spacing w:val="-2"/>
                <w:sz w:val="16"/>
              </w:rPr>
              <w:t xml:space="preserve"> </w:t>
            </w:r>
            <w:r>
              <w:rPr>
                <w:sz w:val="16"/>
              </w:rPr>
              <w:t>the</w:t>
            </w:r>
            <w:r>
              <w:rPr>
                <w:spacing w:val="-5"/>
                <w:sz w:val="16"/>
              </w:rPr>
              <w:t xml:space="preserve"> </w:t>
            </w:r>
            <w:r>
              <w:rPr>
                <w:sz w:val="16"/>
              </w:rPr>
              <w:t>implementation</w:t>
            </w:r>
            <w:r>
              <w:rPr>
                <w:spacing w:val="-2"/>
                <w:sz w:val="16"/>
              </w:rPr>
              <w:t xml:space="preserve"> </w:t>
            </w:r>
            <w:r>
              <w:rPr>
                <w:sz w:val="16"/>
              </w:rPr>
              <w:t>of</w:t>
            </w:r>
            <w:r>
              <w:rPr>
                <w:spacing w:val="-4"/>
                <w:sz w:val="16"/>
              </w:rPr>
              <w:t xml:space="preserve"> </w:t>
            </w:r>
            <w:r>
              <w:rPr>
                <w:sz w:val="16"/>
              </w:rPr>
              <w:t>the</w:t>
            </w:r>
          </w:p>
          <w:p w:rsidR="00A56FE9" w:rsidRDefault="00000000">
            <w:pPr>
              <w:pStyle w:val="TableParagraph"/>
              <w:spacing w:line="184" w:lineRule="exact"/>
              <w:ind w:left="57"/>
              <w:rPr>
                <w:sz w:val="16"/>
              </w:rPr>
            </w:pPr>
            <w:r>
              <w:rPr>
                <w:sz w:val="16"/>
              </w:rPr>
              <w:t>legal</w:t>
            </w:r>
            <w:r>
              <w:rPr>
                <w:spacing w:val="-4"/>
                <w:sz w:val="16"/>
              </w:rPr>
              <w:t xml:space="preserve"> </w:t>
            </w:r>
            <w:r>
              <w:rPr>
                <w:sz w:val="16"/>
              </w:rPr>
              <w:t>obligations</w:t>
            </w:r>
            <w:r>
              <w:rPr>
                <w:spacing w:val="-5"/>
                <w:sz w:val="16"/>
              </w:rPr>
              <w:t xml:space="preserve"> </w:t>
            </w:r>
            <w:r>
              <w:rPr>
                <w:sz w:val="16"/>
              </w:rPr>
              <w:t>to</w:t>
            </w:r>
            <w:r>
              <w:rPr>
                <w:spacing w:val="-4"/>
                <w:sz w:val="16"/>
              </w:rPr>
              <w:t xml:space="preserve"> </w:t>
            </w:r>
            <w:r>
              <w:rPr>
                <w:sz w:val="16"/>
              </w:rPr>
              <w:t>operate</w:t>
            </w:r>
            <w:r>
              <w:rPr>
                <w:spacing w:val="-5"/>
                <w:sz w:val="16"/>
              </w:rPr>
              <w:t xml:space="preserve"> </w:t>
            </w:r>
            <w:r>
              <w:rPr>
                <w:sz w:val="16"/>
              </w:rPr>
              <w:t>public</w:t>
            </w:r>
            <w:r>
              <w:rPr>
                <w:spacing w:val="-5"/>
                <w:sz w:val="16"/>
              </w:rPr>
              <w:t xml:space="preserve"> </w:t>
            </w:r>
            <w:r>
              <w:rPr>
                <w:sz w:val="16"/>
              </w:rPr>
              <w:t>ports</w:t>
            </w:r>
            <w:r>
              <w:rPr>
                <w:spacing w:val="-3"/>
                <w:sz w:val="16"/>
              </w:rPr>
              <w:t xml:space="preserve"> </w:t>
            </w:r>
            <w:r>
              <w:rPr>
                <w:sz w:val="16"/>
              </w:rPr>
              <w:t>and</w:t>
            </w:r>
            <w:r>
              <w:rPr>
                <w:spacing w:val="-37"/>
                <w:sz w:val="16"/>
              </w:rPr>
              <w:t xml:space="preserve"> </w:t>
            </w:r>
            <w:r>
              <w:rPr>
                <w:sz w:val="16"/>
              </w:rPr>
              <w:t>rationalise</w:t>
            </w:r>
            <w:r>
              <w:rPr>
                <w:spacing w:val="-3"/>
                <w:sz w:val="16"/>
              </w:rPr>
              <w:t xml:space="preserve"> </w:t>
            </w:r>
            <w:r>
              <w:rPr>
                <w:sz w:val="16"/>
              </w:rPr>
              <w:t>management</w:t>
            </w:r>
            <w:r>
              <w:rPr>
                <w:spacing w:val="-1"/>
                <w:sz w:val="16"/>
              </w:rPr>
              <w:t xml:space="preserve"> </w:t>
            </w:r>
            <w:r>
              <w:rPr>
                <w:sz w:val="16"/>
              </w:rPr>
              <w:t>costs.</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919"/>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17</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114</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2019.CSR3</w:t>
            </w:r>
          </w:p>
          <w:p w:rsidR="00A56FE9" w:rsidRDefault="00000000">
            <w:pPr>
              <w:pStyle w:val="TableParagraph"/>
              <w:ind w:left="50" w:right="38"/>
              <w:rPr>
                <w:sz w:val="16"/>
              </w:rPr>
            </w:pPr>
            <w:r>
              <w:rPr>
                <w:sz w:val="16"/>
              </w:rPr>
              <w:t>.subpart2,</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.subpart7</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9</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58"/>
              <w:jc w:val="right"/>
              <w:rPr>
                <w:sz w:val="16"/>
              </w:rPr>
            </w:pPr>
            <w:r>
              <w:rPr>
                <w:sz w:val="16"/>
              </w:rPr>
              <w:t>20</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1</w:t>
            </w:r>
            <w:r>
              <w:rPr>
                <w:spacing w:val="-2"/>
                <w:sz w:val="16"/>
              </w:rPr>
              <w:t xml:space="preserve"> </w:t>
            </w:r>
            <w:r>
              <w:rPr>
                <w:sz w:val="16"/>
              </w:rPr>
              <w:t>–</w:t>
            </w:r>
            <w:r>
              <w:rPr>
                <w:spacing w:val="1"/>
                <w:sz w:val="16"/>
              </w:rPr>
              <w:t xml:space="preserve"> </w:t>
            </w:r>
            <w:r>
              <w:rPr>
                <w:sz w:val="16"/>
              </w:rPr>
              <w:t>ECONOMY -</w:t>
            </w:r>
            <w:r>
              <w:rPr>
                <w:spacing w:val="-4"/>
                <w:sz w:val="16"/>
              </w:rPr>
              <w:t xml:space="preserve"> </w:t>
            </w:r>
            <w:r>
              <w:rPr>
                <w:sz w:val="16"/>
              </w:rPr>
              <w:t>C1.4.</w:t>
            </w:r>
          </w:p>
          <w:p w:rsidR="00A56FE9" w:rsidRDefault="00000000">
            <w:pPr>
              <w:pStyle w:val="TableParagraph"/>
              <w:ind w:left="50" w:right="38"/>
              <w:rPr>
                <w:sz w:val="16"/>
              </w:rPr>
            </w:pPr>
            <w:r>
              <w:rPr>
                <w:sz w:val="16"/>
              </w:rPr>
              <w:t>R3-I3 Construction of new</w:t>
            </w:r>
            <w:r>
              <w:rPr>
                <w:spacing w:val="-37"/>
                <w:sz w:val="16"/>
              </w:rPr>
              <w:t xml:space="preserve"> </w:t>
            </w:r>
            <w:r>
              <w:rPr>
                <w:sz w:val="16"/>
              </w:rPr>
              <w:t>cable ferry ‘Križnica’,</w:t>
            </w:r>
            <w:r>
              <w:rPr>
                <w:spacing w:val="1"/>
                <w:sz w:val="16"/>
              </w:rPr>
              <w:t xml:space="preserve"> </w:t>
            </w:r>
            <w:r>
              <w:rPr>
                <w:sz w:val="16"/>
              </w:rPr>
              <w:t>Municipality</w:t>
            </w:r>
            <w:r>
              <w:rPr>
                <w:spacing w:val="-5"/>
                <w:sz w:val="16"/>
              </w:rPr>
              <w:t xml:space="preserve"> </w:t>
            </w:r>
            <w:r>
              <w:rPr>
                <w:sz w:val="16"/>
              </w:rPr>
              <w:t>of</w:t>
            </w:r>
            <w:r>
              <w:rPr>
                <w:spacing w:val="-3"/>
                <w:sz w:val="16"/>
              </w:rPr>
              <w:t xml:space="preserve"> </w:t>
            </w:r>
            <w:r>
              <w:rPr>
                <w:sz w:val="16"/>
              </w:rPr>
              <w:t>Pitomača</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250"/>
              <w:rPr>
                <w:sz w:val="16"/>
              </w:rPr>
            </w:pPr>
            <w:r>
              <w:rPr>
                <w:sz w:val="16"/>
              </w:rPr>
              <w:t>New cable ferry</w:t>
            </w:r>
            <w:r>
              <w:rPr>
                <w:spacing w:val="1"/>
                <w:sz w:val="16"/>
              </w:rPr>
              <w:t xml:space="preserve"> </w:t>
            </w:r>
            <w:r>
              <w:rPr>
                <w:sz w:val="16"/>
              </w:rPr>
              <w:t>‘Križnica’ operational</w:t>
            </w:r>
            <w:r>
              <w:rPr>
                <w:spacing w:val="1"/>
                <w:sz w:val="16"/>
              </w:rPr>
              <w:t xml:space="preserve"> </w:t>
            </w:r>
            <w:r>
              <w:rPr>
                <w:sz w:val="16"/>
              </w:rPr>
              <w:t>across</w:t>
            </w:r>
            <w:r>
              <w:rPr>
                <w:spacing w:val="-3"/>
                <w:sz w:val="16"/>
              </w:rPr>
              <w:t xml:space="preserve"> </w:t>
            </w:r>
            <w:r>
              <w:rPr>
                <w:sz w:val="16"/>
              </w:rPr>
              <w:t>the</w:t>
            </w:r>
            <w:r>
              <w:rPr>
                <w:spacing w:val="-5"/>
                <w:sz w:val="16"/>
              </w:rPr>
              <w:t xml:space="preserve"> </w:t>
            </w:r>
            <w:r>
              <w:rPr>
                <w:sz w:val="16"/>
              </w:rPr>
              <w:t>River</w:t>
            </w:r>
            <w:r>
              <w:rPr>
                <w:spacing w:val="-3"/>
                <w:sz w:val="16"/>
              </w:rPr>
              <w:t xml:space="preserve"> </w:t>
            </w:r>
            <w:r>
              <w:rPr>
                <w:sz w:val="16"/>
              </w:rPr>
              <w:t>Drava</w:t>
            </w:r>
            <w:r>
              <w:rPr>
                <w:spacing w:val="-37"/>
                <w:sz w:val="16"/>
              </w:rPr>
              <w:t xml:space="preserve"> </w:t>
            </w:r>
            <w:r>
              <w:rPr>
                <w:sz w:val="16"/>
              </w:rPr>
              <w:t>in</w:t>
            </w:r>
            <w:r>
              <w:rPr>
                <w:spacing w:val="-3"/>
                <w:sz w:val="16"/>
              </w:rPr>
              <w:t xml:space="preserve"> </w:t>
            </w:r>
            <w:r>
              <w:rPr>
                <w:sz w:val="16"/>
              </w:rPr>
              <w:t>the</w:t>
            </w:r>
            <w:r>
              <w:rPr>
                <w:spacing w:val="-4"/>
                <w:sz w:val="16"/>
              </w:rPr>
              <w:t xml:space="preserve"> </w:t>
            </w:r>
            <w:r>
              <w:rPr>
                <w:sz w:val="16"/>
              </w:rPr>
              <w:t>Municipality</w:t>
            </w:r>
            <w:r>
              <w:rPr>
                <w:spacing w:val="-4"/>
                <w:sz w:val="16"/>
              </w:rPr>
              <w:t xml:space="preserve"> </w:t>
            </w:r>
            <w:r>
              <w:rPr>
                <w:sz w:val="16"/>
              </w:rPr>
              <w:t>of</w:t>
            </w:r>
          </w:p>
          <w:p w:rsidR="00A56FE9" w:rsidRDefault="00000000">
            <w:pPr>
              <w:pStyle w:val="TableParagraph"/>
              <w:spacing w:line="167" w:lineRule="exact"/>
              <w:ind w:left="109"/>
              <w:rPr>
                <w:sz w:val="16"/>
              </w:rPr>
            </w:pPr>
            <w:r>
              <w:rPr>
                <w:sz w:val="16"/>
              </w:rPr>
              <w:t>Pitomača</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8"/>
              <w:jc w:val="center"/>
              <w:rPr>
                <w:sz w:val="16"/>
              </w:rPr>
            </w:pPr>
            <w:r>
              <w:rPr>
                <w:sz w:val="16"/>
              </w:rPr>
              <w:t>1</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MSTI</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Pr>
                <w:sz w:val="16"/>
              </w:rPr>
            </w:pPr>
            <w:r>
              <w:rPr>
                <w:sz w:val="16"/>
              </w:rPr>
              <w:t>This</w:t>
            </w:r>
            <w:r>
              <w:rPr>
                <w:spacing w:val="-4"/>
                <w:sz w:val="16"/>
              </w:rPr>
              <w:t xml:space="preserve"> </w:t>
            </w:r>
            <w:r>
              <w:rPr>
                <w:sz w:val="16"/>
              </w:rPr>
              <w:t>investment</w:t>
            </w:r>
            <w:r>
              <w:rPr>
                <w:spacing w:val="-4"/>
                <w:sz w:val="16"/>
              </w:rPr>
              <w:t xml:space="preserve"> </w:t>
            </w:r>
            <w:r>
              <w:rPr>
                <w:sz w:val="16"/>
              </w:rPr>
              <w:t>shall</w:t>
            </w:r>
            <w:r>
              <w:rPr>
                <w:spacing w:val="-4"/>
                <w:sz w:val="16"/>
              </w:rPr>
              <w:t xml:space="preserve"> </w:t>
            </w:r>
            <w:r>
              <w:rPr>
                <w:sz w:val="16"/>
              </w:rPr>
              <w:t>result</w:t>
            </w:r>
            <w:r>
              <w:rPr>
                <w:spacing w:val="-2"/>
                <w:sz w:val="16"/>
              </w:rPr>
              <w:t xml:space="preserve"> </w:t>
            </w:r>
            <w:r>
              <w:rPr>
                <w:sz w:val="16"/>
              </w:rPr>
              <w:t>in</w:t>
            </w:r>
            <w:r>
              <w:rPr>
                <w:spacing w:val="-4"/>
                <w:sz w:val="16"/>
              </w:rPr>
              <w:t xml:space="preserve"> </w:t>
            </w:r>
            <w:r>
              <w:rPr>
                <w:sz w:val="16"/>
              </w:rPr>
              <w:t>the</w:t>
            </w:r>
            <w:r>
              <w:rPr>
                <w:spacing w:val="-5"/>
                <w:sz w:val="16"/>
              </w:rPr>
              <w:t xml:space="preserve"> </w:t>
            </w:r>
            <w:r>
              <w:rPr>
                <w:sz w:val="16"/>
              </w:rPr>
              <w:t>construction</w:t>
            </w:r>
            <w:r>
              <w:rPr>
                <w:spacing w:val="-37"/>
                <w:sz w:val="16"/>
              </w:rPr>
              <w:t xml:space="preserve"> </w:t>
            </w:r>
            <w:r>
              <w:rPr>
                <w:sz w:val="16"/>
              </w:rPr>
              <w:t>of a solar-powered electric cable ferry</w:t>
            </w:r>
            <w:r>
              <w:rPr>
                <w:spacing w:val="1"/>
                <w:sz w:val="16"/>
              </w:rPr>
              <w:t xml:space="preserve"> </w:t>
            </w:r>
            <w:r>
              <w:rPr>
                <w:sz w:val="16"/>
              </w:rPr>
              <w:t>connecting the mainland to the island of</w:t>
            </w:r>
            <w:r>
              <w:rPr>
                <w:spacing w:val="1"/>
                <w:sz w:val="16"/>
              </w:rPr>
              <w:t xml:space="preserve"> </w:t>
            </w:r>
            <w:r>
              <w:rPr>
                <w:sz w:val="16"/>
              </w:rPr>
              <w:t>Križnica,</w:t>
            </w:r>
            <w:r>
              <w:rPr>
                <w:spacing w:val="-5"/>
                <w:sz w:val="16"/>
              </w:rPr>
              <w:t xml:space="preserve"> </w:t>
            </w:r>
            <w:r>
              <w:rPr>
                <w:sz w:val="16"/>
              </w:rPr>
              <w:t>in</w:t>
            </w:r>
            <w:r>
              <w:rPr>
                <w:spacing w:val="-4"/>
                <w:sz w:val="16"/>
              </w:rPr>
              <w:t xml:space="preserve"> </w:t>
            </w:r>
            <w:r>
              <w:rPr>
                <w:sz w:val="16"/>
              </w:rPr>
              <w:t>operation</w:t>
            </w:r>
            <w:r>
              <w:rPr>
                <w:spacing w:val="-1"/>
                <w:sz w:val="16"/>
              </w:rPr>
              <w:t xml:space="preserve"> </w:t>
            </w:r>
            <w:r>
              <w:rPr>
                <w:sz w:val="16"/>
              </w:rPr>
              <w:t>with</w:t>
            </w:r>
            <w:r>
              <w:rPr>
                <w:spacing w:val="-2"/>
                <w:sz w:val="16"/>
              </w:rPr>
              <w:t xml:space="preserve"> </w:t>
            </w:r>
            <w:r>
              <w:rPr>
                <w:sz w:val="16"/>
              </w:rPr>
              <w:t>the</w:t>
            </w:r>
            <w:r>
              <w:rPr>
                <w:spacing w:val="-2"/>
                <w:sz w:val="16"/>
              </w:rPr>
              <w:t xml:space="preserve"> </w:t>
            </w:r>
            <w:r>
              <w:rPr>
                <w:sz w:val="16"/>
              </w:rPr>
              <w:t>approval</w:t>
            </w:r>
            <w:r>
              <w:rPr>
                <w:spacing w:val="-3"/>
                <w:sz w:val="16"/>
              </w:rPr>
              <w:t xml:space="preserve"> </w:t>
            </w:r>
            <w:r>
              <w:rPr>
                <w:sz w:val="16"/>
              </w:rPr>
              <w:t>of</w:t>
            </w:r>
            <w:r>
              <w:rPr>
                <w:spacing w:val="-4"/>
                <w:sz w:val="16"/>
              </w:rPr>
              <w:t xml:space="preserve"> </w:t>
            </w:r>
            <w:r>
              <w:rPr>
                <w:sz w:val="16"/>
              </w:rPr>
              <w:t>the</w:t>
            </w:r>
          </w:p>
          <w:p w:rsidR="00A56FE9" w:rsidRDefault="00000000">
            <w:pPr>
              <w:pStyle w:val="TableParagraph"/>
              <w:spacing w:line="167" w:lineRule="exact"/>
              <w:ind w:left="57"/>
              <w:rPr>
                <w:sz w:val="16"/>
              </w:rPr>
            </w:pPr>
            <w:r>
              <w:rPr>
                <w:sz w:val="16"/>
              </w:rPr>
              <w:t>Croatian</w:t>
            </w:r>
            <w:r>
              <w:rPr>
                <w:spacing w:val="-4"/>
                <w:sz w:val="16"/>
              </w:rPr>
              <w:t xml:space="preserve"> </w:t>
            </w:r>
            <w:r>
              <w:rPr>
                <w:sz w:val="16"/>
              </w:rPr>
              <w:t>Register</w:t>
            </w:r>
            <w:r>
              <w:rPr>
                <w:spacing w:val="-4"/>
                <w:sz w:val="16"/>
              </w:rPr>
              <w:t xml:space="preserve"> </w:t>
            </w:r>
            <w:r>
              <w:rPr>
                <w:sz w:val="16"/>
              </w:rPr>
              <w:t>of</w:t>
            </w:r>
            <w:r>
              <w:rPr>
                <w:spacing w:val="-4"/>
                <w:sz w:val="16"/>
              </w:rPr>
              <w:t xml:space="preserve"> </w:t>
            </w:r>
            <w:r>
              <w:rPr>
                <w:sz w:val="16"/>
              </w:rPr>
              <w:t>Shipping.</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2,437,000</w:t>
            </w:r>
          </w:p>
        </w:tc>
      </w:tr>
      <w:tr w:rsidR="00A56FE9">
        <w:trPr>
          <w:trHeight w:val="220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18</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138</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w:t>
            </w:r>
          </w:p>
          <w:p w:rsidR="00A56FE9" w:rsidRDefault="00000000">
            <w:pPr>
              <w:pStyle w:val="TableParagraph"/>
              <w:spacing w:before="1" w:line="183" w:lineRule="exact"/>
              <w:ind w:left="50"/>
              <w:rPr>
                <w:sz w:val="16"/>
              </w:rPr>
            </w:pPr>
            <w:r>
              <w:rPr>
                <w:sz w:val="16"/>
              </w:rPr>
              <w:t>3,</w:t>
            </w:r>
          </w:p>
          <w:p w:rsidR="00A56FE9" w:rsidRDefault="00000000">
            <w:pPr>
              <w:pStyle w:val="TableParagraph"/>
              <w:spacing w:line="183" w:lineRule="exact"/>
              <w:ind w:left="50"/>
              <w:rPr>
                <w:sz w:val="16"/>
              </w:rPr>
            </w:pPr>
            <w:r>
              <w:rPr>
                <w:sz w:val="16"/>
              </w:rPr>
              <w:t>19</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3"/>
                <w:sz w:val="16"/>
              </w:rPr>
              <w:t xml:space="preserve"> </w:t>
            </w:r>
            <w:r>
              <w:rPr>
                <w:sz w:val="16"/>
              </w:rPr>
              <w:t>C1.5.</w:t>
            </w:r>
            <w:r>
              <w:rPr>
                <w:spacing w:val="-3"/>
                <w:sz w:val="16"/>
              </w:rPr>
              <w:t xml:space="preserve"> </w:t>
            </w:r>
            <w:r>
              <w:rPr>
                <w:sz w:val="16"/>
              </w:rPr>
              <w:t>R4</w:t>
            </w:r>
          </w:p>
          <w:p w:rsidR="00A56FE9" w:rsidRDefault="00000000">
            <w:pPr>
              <w:pStyle w:val="TableParagraph"/>
              <w:spacing w:before="1"/>
              <w:ind w:left="50" w:right="29"/>
              <w:rPr>
                <w:sz w:val="16"/>
              </w:rPr>
            </w:pPr>
            <w:r>
              <w:rPr>
                <w:sz w:val="16"/>
              </w:rPr>
              <w:t>– Improving food donation</w:t>
            </w:r>
            <w:r>
              <w:rPr>
                <w:spacing w:val="-37"/>
                <w:sz w:val="16"/>
              </w:rPr>
              <w:t xml:space="preserve"> </w:t>
            </w:r>
            <w:r>
              <w:rPr>
                <w:sz w:val="16"/>
              </w:rPr>
              <w:t>systems</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94"/>
              <w:rPr>
                <w:sz w:val="16"/>
              </w:rPr>
            </w:pPr>
            <w:r>
              <w:rPr>
                <w:sz w:val="16"/>
              </w:rPr>
              <w:t>The online platform for</w:t>
            </w:r>
            <w:r>
              <w:rPr>
                <w:spacing w:val="-38"/>
                <w:sz w:val="16"/>
              </w:rPr>
              <w:t xml:space="preserve"> </w:t>
            </w:r>
            <w:r>
              <w:rPr>
                <w:sz w:val="16"/>
              </w:rPr>
              <w:t>food waste prevention</w:t>
            </w:r>
            <w:r>
              <w:rPr>
                <w:spacing w:val="1"/>
                <w:sz w:val="16"/>
              </w:rPr>
              <w:t xml:space="preserve"> </w:t>
            </w:r>
            <w:r>
              <w:rPr>
                <w:sz w:val="16"/>
              </w:rPr>
              <w:t>and upgraded food</w:t>
            </w:r>
            <w:r>
              <w:rPr>
                <w:spacing w:val="1"/>
                <w:sz w:val="16"/>
              </w:rPr>
              <w:t xml:space="preserve"> </w:t>
            </w:r>
            <w:r>
              <w:rPr>
                <w:sz w:val="16"/>
              </w:rPr>
              <w:t>donation</w:t>
            </w:r>
            <w:r>
              <w:rPr>
                <w:spacing w:val="-1"/>
                <w:sz w:val="16"/>
              </w:rPr>
              <w:t xml:space="preserve"> </w:t>
            </w:r>
            <w:r>
              <w:rPr>
                <w:sz w:val="16"/>
              </w:rPr>
              <w:t>IT</w:t>
            </w:r>
            <w:r>
              <w:rPr>
                <w:spacing w:val="-3"/>
                <w:sz w:val="16"/>
              </w:rPr>
              <w:t xml:space="preserve"> </w:t>
            </w:r>
            <w:r>
              <w:rPr>
                <w:sz w:val="16"/>
              </w:rPr>
              <w:t>system</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9"/>
              <w:rPr>
                <w:sz w:val="16"/>
              </w:rPr>
            </w:pPr>
            <w:r>
              <w:rPr>
                <w:sz w:val="16"/>
              </w:rPr>
              <w:t>The online</w:t>
            </w:r>
            <w:r>
              <w:rPr>
                <w:spacing w:val="1"/>
                <w:sz w:val="16"/>
              </w:rPr>
              <w:t xml:space="preserve"> </w:t>
            </w:r>
            <w:r>
              <w:rPr>
                <w:sz w:val="16"/>
              </w:rPr>
              <w:t>platform for</w:t>
            </w:r>
            <w:r>
              <w:rPr>
                <w:spacing w:val="1"/>
                <w:sz w:val="16"/>
              </w:rPr>
              <w:t xml:space="preserve"> </w:t>
            </w:r>
            <w:r>
              <w:rPr>
                <w:sz w:val="16"/>
              </w:rPr>
              <w:t>food waste</w:t>
            </w:r>
            <w:r>
              <w:rPr>
                <w:spacing w:val="1"/>
                <w:sz w:val="16"/>
              </w:rPr>
              <w:t xml:space="preserve"> </w:t>
            </w:r>
            <w:r>
              <w:rPr>
                <w:sz w:val="16"/>
              </w:rPr>
              <w:t>prevention and</w:t>
            </w:r>
            <w:r>
              <w:rPr>
                <w:spacing w:val="-37"/>
                <w:sz w:val="16"/>
              </w:rPr>
              <w:t xml:space="preserve"> </w:t>
            </w:r>
            <w:r>
              <w:rPr>
                <w:sz w:val="16"/>
              </w:rPr>
              <w:t>upgrade of the</w:t>
            </w:r>
            <w:r>
              <w:rPr>
                <w:spacing w:val="1"/>
                <w:sz w:val="16"/>
              </w:rPr>
              <w:t xml:space="preserve"> </w:t>
            </w:r>
            <w:r>
              <w:rPr>
                <w:sz w:val="16"/>
              </w:rPr>
              <w:t>technical</w:t>
            </w:r>
            <w:r>
              <w:rPr>
                <w:spacing w:val="1"/>
                <w:sz w:val="16"/>
              </w:rPr>
              <w:t xml:space="preserve"> </w:t>
            </w:r>
            <w:r>
              <w:rPr>
                <w:sz w:val="16"/>
              </w:rPr>
              <w:t>solution for the</w:t>
            </w:r>
            <w:r>
              <w:rPr>
                <w:spacing w:val="-37"/>
                <w:sz w:val="16"/>
              </w:rPr>
              <w:t xml:space="preserve"> </w:t>
            </w:r>
            <w:r>
              <w:rPr>
                <w:sz w:val="16"/>
              </w:rPr>
              <w:t>IT system for</w:t>
            </w:r>
            <w:r>
              <w:rPr>
                <w:spacing w:val="1"/>
                <w:sz w:val="16"/>
              </w:rPr>
              <w:t xml:space="preserve"> </w:t>
            </w:r>
            <w:r>
              <w:rPr>
                <w:sz w:val="16"/>
              </w:rPr>
              <w:t>food donation</w:t>
            </w:r>
            <w:r>
              <w:rPr>
                <w:spacing w:val="1"/>
                <w:sz w:val="16"/>
              </w:rPr>
              <w:t xml:space="preserve"> </w:t>
            </w:r>
            <w:r>
              <w:rPr>
                <w:sz w:val="16"/>
              </w:rPr>
              <w:t>are</w:t>
            </w:r>
            <w:r>
              <w:rPr>
                <w:spacing w:val="-5"/>
                <w:sz w:val="16"/>
              </w:rPr>
              <w:t xml:space="preserve"> </w:t>
            </w:r>
            <w:r>
              <w:rPr>
                <w:sz w:val="16"/>
              </w:rPr>
              <w:t>operational</w:t>
            </w:r>
          </w:p>
          <w:p w:rsidR="00A56FE9" w:rsidRDefault="00000000">
            <w:pPr>
              <w:pStyle w:val="TableParagraph"/>
              <w:spacing w:line="182" w:lineRule="exact"/>
              <w:ind w:left="110" w:right="161"/>
              <w:rPr>
                <w:sz w:val="16"/>
              </w:rPr>
            </w:pPr>
            <w:r>
              <w:rPr>
                <w:spacing w:val="-1"/>
                <w:sz w:val="16"/>
              </w:rPr>
              <w:t>and available</w:t>
            </w:r>
            <w:r>
              <w:rPr>
                <w:spacing w:val="-37"/>
                <w:sz w:val="16"/>
              </w:rPr>
              <w:t xml:space="preserve"> </w:t>
            </w:r>
            <w:r>
              <w:rPr>
                <w:sz w:val="16"/>
              </w:rPr>
              <w:t>to</w:t>
            </w:r>
            <w:r>
              <w:rPr>
                <w:spacing w:val="-2"/>
                <w:sz w:val="16"/>
              </w:rPr>
              <w:t xml:space="preserve"> </w:t>
            </w:r>
            <w:r>
              <w:rPr>
                <w:sz w:val="16"/>
              </w:rPr>
              <w:t>public</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MA</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3"/>
              <w:rPr>
                <w:sz w:val="16"/>
              </w:rPr>
            </w:pPr>
            <w:r>
              <w:rPr>
                <w:sz w:val="16"/>
              </w:rPr>
              <w:t>The online platform on food waste prevention</w:t>
            </w:r>
            <w:r>
              <w:rPr>
                <w:spacing w:val="1"/>
                <w:sz w:val="16"/>
              </w:rPr>
              <w:t xml:space="preserve"> </w:t>
            </w:r>
            <w:r>
              <w:rPr>
                <w:sz w:val="16"/>
              </w:rPr>
              <w:t>and reduction shall be launched to disseminate</w:t>
            </w:r>
            <w:r>
              <w:rPr>
                <w:spacing w:val="-38"/>
                <w:sz w:val="16"/>
              </w:rPr>
              <w:t xml:space="preserve"> </w:t>
            </w:r>
            <w:r>
              <w:rPr>
                <w:sz w:val="16"/>
              </w:rPr>
              <w:t>best practices, raise awareness and educate</w:t>
            </w:r>
            <w:r>
              <w:rPr>
                <w:spacing w:val="1"/>
                <w:sz w:val="16"/>
              </w:rPr>
              <w:t xml:space="preserve"> </w:t>
            </w:r>
            <w:r>
              <w:rPr>
                <w:sz w:val="16"/>
              </w:rPr>
              <w:t>about the issue of food waste and food</w:t>
            </w:r>
            <w:r>
              <w:rPr>
                <w:spacing w:val="1"/>
                <w:sz w:val="16"/>
              </w:rPr>
              <w:t xml:space="preserve"> </w:t>
            </w:r>
            <w:r>
              <w:rPr>
                <w:sz w:val="16"/>
              </w:rPr>
              <w:t>donation. The food donation IT system, which</w:t>
            </w:r>
            <w:r>
              <w:rPr>
                <w:spacing w:val="-37"/>
                <w:sz w:val="16"/>
              </w:rPr>
              <w:t xml:space="preserve"> </w:t>
            </w:r>
            <w:r>
              <w:rPr>
                <w:sz w:val="16"/>
              </w:rPr>
              <w:t>is already in operation, shall be upgraded with</w:t>
            </w:r>
            <w:r>
              <w:rPr>
                <w:spacing w:val="-37"/>
                <w:sz w:val="16"/>
              </w:rPr>
              <w:t xml:space="preserve"> </w:t>
            </w:r>
            <w:r>
              <w:rPr>
                <w:sz w:val="16"/>
              </w:rPr>
              <w:t>new functionalities, of which the possibility of</w:t>
            </w:r>
            <w:r>
              <w:rPr>
                <w:spacing w:val="-37"/>
                <w:sz w:val="16"/>
              </w:rPr>
              <w:t xml:space="preserve"> </w:t>
            </w:r>
            <w:r>
              <w:rPr>
                <w:sz w:val="16"/>
              </w:rPr>
              <w:t>regional governance of the system and</w:t>
            </w:r>
            <w:r>
              <w:rPr>
                <w:spacing w:val="1"/>
                <w:sz w:val="16"/>
              </w:rPr>
              <w:t xml:space="preserve"> </w:t>
            </w:r>
            <w:r>
              <w:rPr>
                <w:sz w:val="16"/>
              </w:rPr>
              <w:t>statistical representation of data are</w:t>
            </w:r>
            <w:r>
              <w:rPr>
                <w:spacing w:val="1"/>
                <w:sz w:val="16"/>
              </w:rPr>
              <w:t xml:space="preserve"> </w:t>
            </w:r>
            <w:r>
              <w:rPr>
                <w:sz w:val="16"/>
              </w:rPr>
              <w:t>highlighted.</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500,000</w:t>
            </w:r>
          </w:p>
        </w:tc>
      </w:tr>
      <w:tr w:rsidR="00A56FE9">
        <w:trPr>
          <w:trHeight w:val="3129"/>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19</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141</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.subpart4,</w:t>
            </w:r>
            <w:r>
              <w:rPr>
                <w:spacing w:val="1"/>
                <w:sz w:val="16"/>
              </w:rPr>
              <w:t xml:space="preserve"> </w:t>
            </w:r>
            <w:r>
              <w:rPr>
                <w:spacing w:val="-1"/>
                <w:sz w:val="16"/>
              </w:rPr>
              <w:t>2020.CSR4</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8,</w:t>
            </w:r>
          </w:p>
          <w:p w:rsidR="00A56FE9" w:rsidRDefault="00000000">
            <w:pPr>
              <w:pStyle w:val="TableParagraph"/>
              <w:spacing w:before="1"/>
              <w:ind w:left="48"/>
              <w:rPr>
                <w:sz w:val="16"/>
              </w:rPr>
            </w:pPr>
            <w:r>
              <w:rPr>
                <w:sz w:val="16"/>
              </w:rPr>
              <w:t>12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w:t>
            </w:r>
            <w:r>
              <w:rPr>
                <w:spacing w:val="-1"/>
                <w:sz w:val="16"/>
              </w:rPr>
              <w:t xml:space="preserve"> </w:t>
            </w:r>
            <w:r>
              <w:rPr>
                <w:sz w:val="16"/>
              </w:rPr>
              <w:t>-</w:t>
            </w:r>
            <w:r>
              <w:rPr>
                <w:spacing w:val="-3"/>
                <w:sz w:val="16"/>
              </w:rPr>
              <w:t xml:space="preserve"> </w:t>
            </w:r>
            <w:r>
              <w:rPr>
                <w:sz w:val="16"/>
              </w:rPr>
              <w:t>C1.6.</w:t>
            </w:r>
            <w:r>
              <w:rPr>
                <w:spacing w:val="-3"/>
                <w:sz w:val="16"/>
              </w:rPr>
              <w:t xml:space="preserve"> </w:t>
            </w:r>
            <w:r>
              <w:rPr>
                <w:sz w:val="16"/>
              </w:rPr>
              <w:t>R1</w:t>
            </w:r>
          </w:p>
          <w:p w:rsidR="00A56FE9" w:rsidRDefault="00000000">
            <w:pPr>
              <w:pStyle w:val="TableParagraph"/>
              <w:spacing w:before="1"/>
              <w:ind w:left="50" w:right="200"/>
              <w:jc w:val="both"/>
              <w:rPr>
                <w:sz w:val="16"/>
              </w:rPr>
            </w:pPr>
            <w:r>
              <w:rPr>
                <w:sz w:val="16"/>
              </w:rPr>
              <w:t>Enhancing the resilience</w:t>
            </w:r>
            <w:r>
              <w:rPr>
                <w:spacing w:val="-37"/>
                <w:sz w:val="16"/>
              </w:rPr>
              <w:t xml:space="preserve"> </w:t>
            </w:r>
            <w:r>
              <w:rPr>
                <w:sz w:val="16"/>
              </w:rPr>
              <w:t>and sustainability of the</w:t>
            </w:r>
            <w:r>
              <w:rPr>
                <w:spacing w:val="1"/>
                <w:sz w:val="16"/>
              </w:rPr>
              <w:t xml:space="preserve"> </w:t>
            </w:r>
            <w:r>
              <w:rPr>
                <w:sz w:val="16"/>
              </w:rPr>
              <w:t>tourism</w:t>
            </w:r>
            <w:r>
              <w:rPr>
                <w:spacing w:val="-4"/>
                <w:sz w:val="16"/>
              </w:rPr>
              <w:t xml:space="preserve"> </w:t>
            </w:r>
            <w:r>
              <w:rPr>
                <w:sz w:val="16"/>
              </w:rPr>
              <w:t>sector</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14"/>
              <w:rPr>
                <w:sz w:val="16"/>
              </w:rPr>
            </w:pPr>
            <w:r>
              <w:rPr>
                <w:sz w:val="16"/>
              </w:rPr>
              <w:t>Adoption of the Strategy</w:t>
            </w:r>
            <w:r>
              <w:rPr>
                <w:spacing w:val="-38"/>
                <w:sz w:val="16"/>
              </w:rPr>
              <w:t xml:space="preserve"> </w:t>
            </w:r>
            <w:r>
              <w:rPr>
                <w:sz w:val="16"/>
              </w:rPr>
              <w:t>for the Development of</w:t>
            </w:r>
            <w:r>
              <w:rPr>
                <w:spacing w:val="1"/>
                <w:sz w:val="16"/>
              </w:rPr>
              <w:t xml:space="preserve"> </w:t>
            </w:r>
            <w:r>
              <w:rPr>
                <w:sz w:val="16"/>
              </w:rPr>
              <w:t>Sustainable Tourism by</w:t>
            </w:r>
            <w:r>
              <w:rPr>
                <w:spacing w:val="1"/>
                <w:sz w:val="16"/>
              </w:rPr>
              <w:t xml:space="preserve"> </w:t>
            </w:r>
            <w:r>
              <w:rPr>
                <w:sz w:val="16"/>
              </w:rPr>
              <w:t>2030 of the Government</w:t>
            </w:r>
            <w:r>
              <w:rPr>
                <w:spacing w:val="-37"/>
                <w:sz w:val="16"/>
              </w:rPr>
              <w:t xml:space="preserve"> </w:t>
            </w:r>
            <w:r>
              <w:rPr>
                <w:sz w:val="16"/>
              </w:rPr>
              <w:t>of the Republic of</w:t>
            </w:r>
            <w:r>
              <w:rPr>
                <w:spacing w:val="1"/>
                <w:sz w:val="16"/>
              </w:rPr>
              <w:t xml:space="preserve"> </w:t>
            </w:r>
            <w:r>
              <w:rPr>
                <w:sz w:val="16"/>
              </w:rPr>
              <w:t>Croatia</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00"/>
              <w:rPr>
                <w:sz w:val="16"/>
              </w:rPr>
            </w:pPr>
            <w:r>
              <w:rPr>
                <w:sz w:val="16"/>
              </w:rPr>
              <w:t>Provision on</w:t>
            </w:r>
            <w:r>
              <w:rPr>
                <w:spacing w:val="1"/>
                <w:sz w:val="16"/>
              </w:rPr>
              <w:t xml:space="preserve"> </w:t>
            </w:r>
            <w:r>
              <w:rPr>
                <w:sz w:val="16"/>
              </w:rPr>
              <w:t>the entry into</w:t>
            </w:r>
            <w:r>
              <w:rPr>
                <w:spacing w:val="1"/>
                <w:sz w:val="16"/>
              </w:rPr>
              <w:t xml:space="preserve"> </w:t>
            </w:r>
            <w:r>
              <w:rPr>
                <w:sz w:val="16"/>
              </w:rPr>
              <w:t>force of the</w:t>
            </w:r>
            <w:r>
              <w:rPr>
                <w:spacing w:val="1"/>
                <w:sz w:val="16"/>
              </w:rPr>
              <w:t xml:space="preserve"> </w:t>
            </w:r>
            <w:r>
              <w:rPr>
                <w:sz w:val="16"/>
              </w:rPr>
              <w:t>Strategy for</w:t>
            </w:r>
            <w:r>
              <w:rPr>
                <w:spacing w:val="1"/>
                <w:sz w:val="16"/>
              </w:rPr>
              <w:t xml:space="preserve"> </w:t>
            </w:r>
            <w:r>
              <w:rPr>
                <w:sz w:val="16"/>
              </w:rPr>
              <w:t>the</w:t>
            </w:r>
            <w:r>
              <w:rPr>
                <w:spacing w:val="1"/>
                <w:sz w:val="16"/>
              </w:rPr>
              <w:t xml:space="preserve"> </w:t>
            </w:r>
            <w:r>
              <w:rPr>
                <w:sz w:val="16"/>
              </w:rPr>
              <w:t>Development</w:t>
            </w:r>
            <w:r>
              <w:rPr>
                <w:spacing w:val="1"/>
                <w:sz w:val="16"/>
              </w:rPr>
              <w:t xml:space="preserve"> </w:t>
            </w:r>
            <w:r>
              <w:rPr>
                <w:spacing w:val="-1"/>
                <w:sz w:val="16"/>
              </w:rPr>
              <w:t>of Sustainable</w:t>
            </w:r>
            <w:r>
              <w:rPr>
                <w:spacing w:val="-37"/>
                <w:sz w:val="16"/>
              </w:rPr>
              <w:t xml:space="preserve"> </w:t>
            </w:r>
            <w:r>
              <w:rPr>
                <w:sz w:val="16"/>
              </w:rPr>
              <w:t>Tourism by</w:t>
            </w:r>
            <w:r>
              <w:rPr>
                <w:spacing w:val="1"/>
                <w:sz w:val="16"/>
              </w:rPr>
              <w:t xml:space="preserve"> </w:t>
            </w:r>
            <w:r>
              <w:rPr>
                <w:sz w:val="16"/>
              </w:rPr>
              <w:t>2030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MTS</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121"/>
              <w:rPr>
                <w:sz w:val="16"/>
              </w:rPr>
            </w:pPr>
            <w:r>
              <w:rPr>
                <w:sz w:val="16"/>
              </w:rPr>
              <w:t>As part of this reform, the process of</w:t>
            </w:r>
            <w:r>
              <w:rPr>
                <w:spacing w:val="1"/>
                <w:sz w:val="16"/>
              </w:rPr>
              <w:t xml:space="preserve"> </w:t>
            </w:r>
            <w:r>
              <w:rPr>
                <w:sz w:val="16"/>
              </w:rPr>
              <w:t>transforming the tourism development model</w:t>
            </w:r>
            <w:r>
              <w:rPr>
                <w:spacing w:val="-38"/>
                <w:sz w:val="16"/>
              </w:rPr>
              <w:t xml:space="preserve"> </w:t>
            </w:r>
            <w:r>
              <w:rPr>
                <w:sz w:val="16"/>
              </w:rPr>
              <w:t>towards sustainability will be implemented</w:t>
            </w:r>
            <w:r>
              <w:rPr>
                <w:spacing w:val="1"/>
                <w:sz w:val="16"/>
              </w:rPr>
              <w:t xml:space="preserve"> </w:t>
            </w:r>
            <w:r>
              <w:rPr>
                <w:sz w:val="16"/>
              </w:rPr>
              <w:t>through the development of the 2030</w:t>
            </w:r>
            <w:r>
              <w:rPr>
                <w:spacing w:val="1"/>
                <w:sz w:val="16"/>
              </w:rPr>
              <w:t xml:space="preserve"> </w:t>
            </w:r>
            <w:r>
              <w:rPr>
                <w:sz w:val="16"/>
              </w:rPr>
              <w:t>Sustainable Tourism Development Strategy,</w:t>
            </w:r>
            <w:r>
              <w:rPr>
                <w:spacing w:val="1"/>
                <w:sz w:val="16"/>
              </w:rPr>
              <w:t xml:space="preserve"> </w:t>
            </w:r>
            <w:r>
              <w:rPr>
                <w:sz w:val="16"/>
              </w:rPr>
              <w:t>from the point of view of socio-economic</w:t>
            </w:r>
            <w:r>
              <w:rPr>
                <w:spacing w:val="1"/>
                <w:sz w:val="16"/>
              </w:rPr>
              <w:t xml:space="preserve"> </w:t>
            </w:r>
            <w:r>
              <w:rPr>
                <w:sz w:val="16"/>
              </w:rPr>
              <w:t>sustainability, environmental and territorial</w:t>
            </w:r>
            <w:r>
              <w:rPr>
                <w:spacing w:val="1"/>
                <w:sz w:val="16"/>
              </w:rPr>
              <w:t xml:space="preserve"> </w:t>
            </w:r>
            <w:r>
              <w:rPr>
                <w:sz w:val="16"/>
              </w:rPr>
              <w:t>sustainability.</w:t>
            </w:r>
          </w:p>
          <w:p w:rsidR="00A56FE9" w:rsidRDefault="00000000">
            <w:pPr>
              <w:pStyle w:val="TableParagraph"/>
              <w:ind w:left="57" w:right="19"/>
              <w:rPr>
                <w:sz w:val="16"/>
              </w:rPr>
            </w:pPr>
            <w:r>
              <w:rPr>
                <w:sz w:val="16"/>
              </w:rPr>
              <w:t>The strategy, as a long-term act of strategic</w:t>
            </w:r>
            <w:r>
              <w:rPr>
                <w:spacing w:val="1"/>
                <w:sz w:val="16"/>
              </w:rPr>
              <w:t xml:space="preserve"> </w:t>
            </w:r>
            <w:r>
              <w:rPr>
                <w:sz w:val="16"/>
              </w:rPr>
              <w:t>planning of national significance, will also pay</w:t>
            </w:r>
            <w:r>
              <w:rPr>
                <w:spacing w:val="-37"/>
                <w:sz w:val="16"/>
              </w:rPr>
              <w:t xml:space="preserve"> </w:t>
            </w:r>
            <w:r>
              <w:rPr>
                <w:sz w:val="16"/>
              </w:rPr>
              <w:t>particular attention to the issues of land use so</w:t>
            </w:r>
            <w:r>
              <w:rPr>
                <w:spacing w:val="1"/>
                <w:sz w:val="16"/>
              </w:rPr>
              <w:t xml:space="preserve"> </w:t>
            </w:r>
            <w:r>
              <w:rPr>
                <w:sz w:val="16"/>
              </w:rPr>
              <w:t>far,</w:t>
            </w:r>
            <w:r>
              <w:rPr>
                <w:spacing w:val="-5"/>
                <w:sz w:val="16"/>
              </w:rPr>
              <w:t xml:space="preserve"> </w:t>
            </w:r>
            <w:r>
              <w:rPr>
                <w:sz w:val="16"/>
              </w:rPr>
              <w:t>i.e.,</w:t>
            </w:r>
            <w:r>
              <w:rPr>
                <w:spacing w:val="-4"/>
                <w:sz w:val="16"/>
              </w:rPr>
              <w:t xml:space="preserve"> </w:t>
            </w:r>
            <w:r>
              <w:rPr>
                <w:sz w:val="16"/>
              </w:rPr>
              <w:t>overtourism</w:t>
            </w:r>
            <w:r>
              <w:rPr>
                <w:spacing w:val="-4"/>
                <w:sz w:val="16"/>
              </w:rPr>
              <w:t xml:space="preserve"> </w:t>
            </w:r>
            <w:r>
              <w:rPr>
                <w:sz w:val="16"/>
              </w:rPr>
              <w:t>in</w:t>
            </w:r>
            <w:r>
              <w:rPr>
                <w:spacing w:val="-6"/>
                <w:sz w:val="16"/>
              </w:rPr>
              <w:t xml:space="preserve"> </w:t>
            </w:r>
            <w:r>
              <w:rPr>
                <w:sz w:val="16"/>
              </w:rPr>
              <w:t>individual</w:t>
            </w:r>
            <w:r>
              <w:rPr>
                <w:spacing w:val="-6"/>
                <w:sz w:val="16"/>
              </w:rPr>
              <w:t xml:space="preserve"> </w:t>
            </w:r>
            <w:r>
              <w:rPr>
                <w:sz w:val="16"/>
              </w:rPr>
              <w:t>destinations,</w:t>
            </w:r>
            <w:r>
              <w:rPr>
                <w:spacing w:val="-37"/>
                <w:sz w:val="16"/>
              </w:rPr>
              <w:t xml:space="preserve"> </w:t>
            </w:r>
            <w:r>
              <w:rPr>
                <w:sz w:val="16"/>
              </w:rPr>
              <w:t>as one of the key problems of tourism</w:t>
            </w:r>
            <w:r>
              <w:rPr>
                <w:spacing w:val="1"/>
                <w:sz w:val="16"/>
              </w:rPr>
              <w:t xml:space="preserve"> </w:t>
            </w:r>
            <w:r>
              <w:rPr>
                <w:sz w:val="16"/>
              </w:rPr>
              <w:t>development. The Strategy will also provide a</w:t>
            </w:r>
            <w:r>
              <w:rPr>
                <w:spacing w:val="1"/>
                <w:sz w:val="16"/>
              </w:rPr>
              <w:t xml:space="preserve"> </w:t>
            </w:r>
            <w:r>
              <w:rPr>
                <w:sz w:val="16"/>
              </w:rPr>
              <w:t>response</w:t>
            </w:r>
            <w:r>
              <w:rPr>
                <w:spacing w:val="-3"/>
                <w:sz w:val="16"/>
              </w:rPr>
              <w:t xml:space="preserve"> </w:t>
            </w:r>
            <w:r>
              <w:rPr>
                <w:sz w:val="16"/>
              </w:rPr>
              <w:t>to</w:t>
            </w:r>
            <w:r>
              <w:rPr>
                <w:spacing w:val="-1"/>
                <w:sz w:val="16"/>
              </w:rPr>
              <w:t xml:space="preserve"> </w:t>
            </w:r>
            <w:r>
              <w:rPr>
                <w:sz w:val="16"/>
              </w:rPr>
              <w:t>how</w:t>
            </w:r>
            <w:r>
              <w:rPr>
                <w:spacing w:val="-3"/>
                <w:sz w:val="16"/>
              </w:rPr>
              <w:t xml:space="preserve"> </w:t>
            </w:r>
            <w:r>
              <w:rPr>
                <w:sz w:val="16"/>
              </w:rPr>
              <w:t>to</w:t>
            </w:r>
            <w:r>
              <w:rPr>
                <w:spacing w:val="-2"/>
                <w:sz w:val="16"/>
              </w:rPr>
              <w:t xml:space="preserve"> </w:t>
            </w:r>
            <w:r>
              <w:rPr>
                <w:sz w:val="16"/>
              </w:rPr>
              <w:t>better</w:t>
            </w:r>
            <w:r>
              <w:rPr>
                <w:spacing w:val="-1"/>
                <w:sz w:val="16"/>
              </w:rPr>
              <w:t xml:space="preserve"> </w:t>
            </w:r>
            <w:r>
              <w:rPr>
                <w:sz w:val="16"/>
              </w:rPr>
              <w:t>promote</w:t>
            </w:r>
            <w:r>
              <w:rPr>
                <w:spacing w:val="-2"/>
                <w:sz w:val="16"/>
              </w:rPr>
              <w:t xml:space="preserve"> </w:t>
            </w:r>
            <w:r>
              <w:rPr>
                <w:sz w:val="16"/>
              </w:rPr>
              <w:t>the</w:t>
            </w:r>
          </w:p>
          <w:p w:rsidR="00A56FE9" w:rsidRDefault="00000000">
            <w:pPr>
              <w:pStyle w:val="TableParagraph"/>
              <w:spacing w:line="180" w:lineRule="atLeast"/>
              <w:ind w:left="57" w:right="144"/>
              <w:rPr>
                <w:sz w:val="16"/>
              </w:rPr>
            </w:pPr>
            <w:r>
              <w:rPr>
                <w:sz w:val="16"/>
              </w:rPr>
              <w:t>reduction of uneven regional development in</w:t>
            </w:r>
            <w:r>
              <w:rPr>
                <w:spacing w:val="-38"/>
                <w:sz w:val="16"/>
              </w:rPr>
              <w:t xml:space="preserve"> </w:t>
            </w:r>
            <w:r>
              <w:rPr>
                <w:sz w:val="16"/>
              </w:rPr>
              <w:t>Croatia.</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1,053,898</w:t>
            </w:r>
          </w:p>
        </w:tc>
      </w:tr>
      <w:tr w:rsidR="00A56FE9">
        <w:trPr>
          <w:trHeight w:val="551"/>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right="115"/>
              <w:jc w:val="right"/>
              <w:rPr>
                <w:sz w:val="16"/>
              </w:rPr>
            </w:pPr>
            <w:r>
              <w:rPr>
                <w:sz w:val="16"/>
              </w:rPr>
              <w:t>20</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right="83"/>
              <w:jc w:val="right"/>
              <w:rPr>
                <w:sz w:val="16"/>
              </w:rPr>
            </w:pPr>
            <w:r>
              <w:rPr>
                <w:sz w:val="16"/>
              </w:rPr>
              <w:t>144</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2019.CSR3</w:t>
            </w:r>
          </w:p>
          <w:p w:rsidR="00A56FE9" w:rsidRDefault="00000000">
            <w:pPr>
              <w:pStyle w:val="TableParagraph"/>
              <w:spacing w:line="180" w:lineRule="atLeast"/>
              <w:ind w:left="50" w:right="38"/>
              <w:rPr>
                <w:sz w:val="16"/>
              </w:rPr>
            </w:pPr>
            <w:r>
              <w:rPr>
                <w:sz w:val="16"/>
              </w:rPr>
              <w:t>.subpart3,</w:t>
            </w:r>
            <w:r>
              <w:rPr>
                <w:spacing w:val="1"/>
                <w:sz w:val="16"/>
              </w:rPr>
              <w:t xml:space="preserve"> </w:t>
            </w:r>
            <w:r>
              <w:rPr>
                <w:spacing w:val="-1"/>
                <w:sz w:val="16"/>
              </w:rPr>
              <w:t>2020.CSR3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48"/>
              <w:rPr>
                <w:sz w:val="16"/>
              </w:rPr>
            </w:pPr>
            <w:r>
              <w:rPr>
                <w:sz w:val="16"/>
              </w:rPr>
              <w:t>8,</w:t>
            </w:r>
          </w:p>
          <w:p w:rsidR="00A56FE9" w:rsidRDefault="00000000">
            <w:pPr>
              <w:pStyle w:val="TableParagraph"/>
              <w:spacing w:before="1"/>
              <w:ind w:left="48"/>
              <w:rPr>
                <w:sz w:val="16"/>
              </w:rPr>
            </w:pPr>
            <w:r>
              <w:rPr>
                <w:sz w:val="16"/>
              </w:rPr>
              <w:t>11,</w:t>
            </w:r>
          </w:p>
          <w:p w:rsidR="00A56FE9" w:rsidRDefault="00000000">
            <w:pPr>
              <w:pStyle w:val="TableParagraph"/>
              <w:spacing w:line="168" w:lineRule="exact"/>
              <w:ind w:left="48"/>
              <w:rPr>
                <w:sz w:val="16"/>
              </w:rPr>
            </w:pPr>
            <w:r>
              <w:rPr>
                <w:sz w:val="16"/>
              </w:rPr>
              <w:t>12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w:t>
            </w:r>
          </w:p>
          <w:p w:rsidR="00A56FE9" w:rsidRDefault="00000000">
            <w:pPr>
              <w:pStyle w:val="TableParagraph"/>
              <w:spacing w:before="1"/>
              <w:ind w:left="50"/>
              <w:rPr>
                <w:sz w:val="16"/>
              </w:rPr>
            </w:pPr>
            <w:r>
              <w:rPr>
                <w:sz w:val="16"/>
              </w:rPr>
              <w:t>3</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1</w:t>
            </w:r>
            <w:r>
              <w:rPr>
                <w:spacing w:val="1"/>
                <w:sz w:val="16"/>
              </w:rPr>
              <w:t xml:space="preserve"> </w:t>
            </w:r>
            <w:r>
              <w:rPr>
                <w:sz w:val="16"/>
              </w:rPr>
              <w:t>-</w:t>
            </w:r>
            <w:r>
              <w:rPr>
                <w:spacing w:val="-1"/>
                <w:sz w:val="16"/>
              </w:rPr>
              <w:t xml:space="preserve"> </w:t>
            </w:r>
            <w:r>
              <w:rPr>
                <w:sz w:val="16"/>
              </w:rPr>
              <w:t>ECONOMY -</w:t>
            </w:r>
            <w:r>
              <w:rPr>
                <w:spacing w:val="-4"/>
                <w:sz w:val="16"/>
              </w:rPr>
              <w:t xml:space="preserve"> </w:t>
            </w:r>
            <w:r>
              <w:rPr>
                <w:sz w:val="16"/>
              </w:rPr>
              <w:t>C1.6.</w:t>
            </w:r>
          </w:p>
          <w:p w:rsidR="00A56FE9" w:rsidRDefault="00000000">
            <w:pPr>
              <w:pStyle w:val="TableParagraph"/>
              <w:spacing w:line="180" w:lineRule="atLeast"/>
              <w:ind w:left="50" w:right="570"/>
              <w:rPr>
                <w:sz w:val="16"/>
              </w:rPr>
            </w:pPr>
            <w:r>
              <w:rPr>
                <w:sz w:val="16"/>
              </w:rPr>
              <w:t>R1-I1 Regional</w:t>
            </w:r>
            <w:r>
              <w:rPr>
                <w:spacing w:val="1"/>
                <w:sz w:val="16"/>
              </w:rPr>
              <w:t xml:space="preserve"> </w:t>
            </w:r>
            <w:r>
              <w:rPr>
                <w:sz w:val="16"/>
              </w:rPr>
              <w:t>diversification</w:t>
            </w:r>
            <w:r>
              <w:rPr>
                <w:spacing w:val="-8"/>
                <w:sz w:val="16"/>
              </w:rPr>
              <w:t xml:space="preserve"> </w:t>
            </w:r>
            <w:r>
              <w:rPr>
                <w:sz w:val="16"/>
              </w:rPr>
              <w:t>and</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75"/>
              <w:rPr>
                <w:sz w:val="16"/>
              </w:rPr>
            </w:pPr>
            <w:r>
              <w:rPr>
                <w:sz w:val="16"/>
              </w:rPr>
              <w:t>Launching public calls</w:t>
            </w:r>
            <w:r>
              <w:rPr>
                <w:spacing w:val="1"/>
                <w:sz w:val="16"/>
              </w:rPr>
              <w:t xml:space="preserve"> </w:t>
            </w:r>
            <w:r>
              <w:rPr>
                <w:sz w:val="16"/>
              </w:rPr>
              <w:t>for</w:t>
            </w:r>
            <w:r>
              <w:rPr>
                <w:spacing w:val="-4"/>
                <w:sz w:val="16"/>
              </w:rPr>
              <w:t xml:space="preserve"> </w:t>
            </w:r>
            <w:r>
              <w:rPr>
                <w:sz w:val="16"/>
              </w:rPr>
              <w:t>the</w:t>
            </w:r>
            <w:r>
              <w:rPr>
                <w:spacing w:val="-4"/>
                <w:sz w:val="16"/>
              </w:rPr>
              <w:t xml:space="preserve"> </w:t>
            </w:r>
            <w:r>
              <w:rPr>
                <w:sz w:val="16"/>
              </w:rPr>
              <w:t>green</w:t>
            </w:r>
            <w:r>
              <w:rPr>
                <w:spacing w:val="-1"/>
                <w:sz w:val="16"/>
              </w:rPr>
              <w:t xml:space="preserve"> </w:t>
            </w:r>
            <w:r>
              <w:rPr>
                <w:sz w:val="16"/>
              </w:rPr>
              <w:t>and</w:t>
            </w:r>
            <w:r>
              <w:rPr>
                <w:spacing w:val="-3"/>
                <w:sz w:val="16"/>
              </w:rPr>
              <w:t xml:space="preserve"> </w:t>
            </w:r>
            <w:r>
              <w:rPr>
                <w:sz w:val="16"/>
              </w:rPr>
              <w:t>digital</w:t>
            </w:r>
          </w:p>
          <w:p w:rsidR="00A56FE9" w:rsidRDefault="00000000">
            <w:pPr>
              <w:pStyle w:val="TableParagraph"/>
              <w:spacing w:line="168" w:lineRule="exact"/>
              <w:ind w:left="109"/>
              <w:rPr>
                <w:sz w:val="16"/>
              </w:rPr>
            </w:pPr>
            <w:r>
              <w:rPr>
                <w:sz w:val="16"/>
              </w:rPr>
              <w:t>transition</w:t>
            </w:r>
            <w:r>
              <w:rPr>
                <w:spacing w:val="-3"/>
                <w:sz w:val="16"/>
              </w:rPr>
              <w:t xml:space="preserve"> </w:t>
            </w:r>
            <w:r>
              <w:rPr>
                <w:sz w:val="16"/>
              </w:rPr>
              <w:t>of</w:t>
            </w:r>
            <w:r>
              <w:rPr>
                <w:spacing w:val="-5"/>
                <w:sz w:val="16"/>
              </w:rPr>
              <w:t xml:space="preserve"> </w:t>
            </w:r>
            <w:r>
              <w:rPr>
                <w:sz w:val="16"/>
              </w:rPr>
              <w:t>existing</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94"/>
              <w:rPr>
                <w:sz w:val="16"/>
              </w:rPr>
            </w:pPr>
            <w:r>
              <w:rPr>
                <w:sz w:val="16"/>
              </w:rPr>
              <w:t>Publication of</w:t>
            </w:r>
            <w:r>
              <w:rPr>
                <w:spacing w:val="-38"/>
                <w:sz w:val="16"/>
              </w:rPr>
              <w:t xml:space="preserve"> </w:t>
            </w:r>
            <w:r>
              <w:rPr>
                <w:sz w:val="16"/>
              </w:rPr>
              <w:t>tender</w:t>
            </w:r>
          </w:p>
          <w:p w:rsidR="00A56FE9" w:rsidRDefault="00000000">
            <w:pPr>
              <w:pStyle w:val="TableParagraph"/>
              <w:spacing w:line="168" w:lineRule="exact"/>
              <w:ind w:left="110"/>
              <w:rPr>
                <w:sz w:val="16"/>
              </w:rPr>
            </w:pPr>
            <w:r>
              <w:rPr>
                <w:sz w:val="16"/>
              </w:rPr>
              <w:t>documentation</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7"/>
              <w:rPr>
                <w:sz w:val="16"/>
              </w:rPr>
            </w:pPr>
            <w:r>
              <w:rPr>
                <w:sz w:val="16"/>
              </w:rPr>
              <w:t>MTS</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Pr>
                <w:sz w:val="16"/>
              </w:rPr>
            </w:pPr>
            <w:r>
              <w:rPr>
                <w:sz w:val="16"/>
              </w:rPr>
              <w:t>The</w:t>
            </w:r>
            <w:r>
              <w:rPr>
                <w:spacing w:val="-5"/>
                <w:sz w:val="16"/>
              </w:rPr>
              <w:t xml:space="preserve"> </w:t>
            </w:r>
            <w:r>
              <w:rPr>
                <w:sz w:val="16"/>
              </w:rPr>
              <w:t>tender</w:t>
            </w:r>
            <w:r>
              <w:rPr>
                <w:spacing w:val="-4"/>
                <w:sz w:val="16"/>
              </w:rPr>
              <w:t xml:space="preserve"> </w:t>
            </w:r>
            <w:r>
              <w:rPr>
                <w:sz w:val="16"/>
              </w:rPr>
              <w:t>documentation</w:t>
            </w:r>
            <w:r>
              <w:rPr>
                <w:spacing w:val="-5"/>
                <w:sz w:val="16"/>
              </w:rPr>
              <w:t xml:space="preserve"> </w:t>
            </w:r>
            <w:r>
              <w:rPr>
                <w:sz w:val="16"/>
              </w:rPr>
              <w:t>shall</w:t>
            </w:r>
            <w:r>
              <w:rPr>
                <w:spacing w:val="-4"/>
                <w:sz w:val="16"/>
              </w:rPr>
              <w:t xml:space="preserve"> </w:t>
            </w:r>
            <w:r>
              <w:rPr>
                <w:sz w:val="16"/>
              </w:rPr>
              <w:t>specify</w:t>
            </w:r>
            <w:r>
              <w:rPr>
                <w:spacing w:val="-5"/>
                <w:sz w:val="16"/>
              </w:rPr>
              <w:t xml:space="preserve"> </w:t>
            </w:r>
            <w:r>
              <w:rPr>
                <w:sz w:val="16"/>
              </w:rPr>
              <w:t>that</w:t>
            </w:r>
            <w:r>
              <w:rPr>
                <w:spacing w:val="-37"/>
                <w:sz w:val="16"/>
              </w:rPr>
              <w:t xml:space="preserve"> </w:t>
            </w:r>
            <w:r>
              <w:rPr>
                <w:sz w:val="16"/>
              </w:rPr>
              <w:t>investments</w:t>
            </w:r>
            <w:r>
              <w:rPr>
                <w:spacing w:val="-4"/>
                <w:sz w:val="16"/>
              </w:rPr>
              <w:t xml:space="preserve"> </w:t>
            </w:r>
            <w:r>
              <w:rPr>
                <w:sz w:val="16"/>
              </w:rPr>
              <w:t>shall</w:t>
            </w:r>
            <w:r>
              <w:rPr>
                <w:spacing w:val="-3"/>
                <w:sz w:val="16"/>
              </w:rPr>
              <w:t xml:space="preserve"> </w:t>
            </w:r>
            <w:r>
              <w:rPr>
                <w:sz w:val="16"/>
              </w:rPr>
              <w:t>focus</w:t>
            </w:r>
            <w:r>
              <w:rPr>
                <w:spacing w:val="-3"/>
                <w:sz w:val="16"/>
              </w:rPr>
              <w:t xml:space="preserve"> </w:t>
            </w:r>
            <w:r>
              <w:rPr>
                <w:sz w:val="16"/>
              </w:rPr>
              <w:t>on</w:t>
            </w:r>
            <w:r>
              <w:rPr>
                <w:spacing w:val="-3"/>
                <w:sz w:val="16"/>
              </w:rPr>
              <w:t xml:space="preserve"> </w:t>
            </w:r>
            <w:r>
              <w:rPr>
                <w:sz w:val="16"/>
              </w:rPr>
              <w:t>projects</w:t>
            </w:r>
            <w:r>
              <w:rPr>
                <w:spacing w:val="-4"/>
                <w:sz w:val="16"/>
              </w:rPr>
              <w:t xml:space="preserve"> </w:t>
            </w:r>
            <w:r>
              <w:rPr>
                <w:sz w:val="16"/>
              </w:rPr>
              <w:t>that</w:t>
            </w:r>
            <w:r>
              <w:rPr>
                <w:spacing w:val="-3"/>
                <w:sz w:val="16"/>
              </w:rPr>
              <w:t xml:space="preserve"> </w:t>
            </w:r>
            <w:r>
              <w:rPr>
                <w:sz w:val="16"/>
              </w:rPr>
              <w:t>can</w:t>
            </w:r>
          </w:p>
          <w:p w:rsidR="00A56FE9" w:rsidRDefault="00000000">
            <w:pPr>
              <w:pStyle w:val="TableParagraph"/>
              <w:spacing w:line="168" w:lineRule="exact"/>
              <w:ind w:left="57"/>
              <w:rPr>
                <w:sz w:val="16"/>
              </w:rPr>
            </w:pPr>
            <w:r>
              <w:rPr>
                <w:sz w:val="16"/>
              </w:rPr>
              <w:t>increase</w:t>
            </w:r>
            <w:r>
              <w:rPr>
                <w:spacing w:val="-4"/>
                <w:sz w:val="16"/>
              </w:rPr>
              <w:t xml:space="preserve"> </w:t>
            </w:r>
            <w:r>
              <w:rPr>
                <w:sz w:val="16"/>
              </w:rPr>
              <w:t>the</w:t>
            </w:r>
            <w:r>
              <w:rPr>
                <w:spacing w:val="-4"/>
                <w:sz w:val="16"/>
              </w:rPr>
              <w:t xml:space="preserve"> </w:t>
            </w:r>
            <w:r>
              <w:rPr>
                <w:sz w:val="16"/>
              </w:rPr>
              <w:t>green</w:t>
            </w:r>
            <w:r>
              <w:rPr>
                <w:spacing w:val="-1"/>
                <w:sz w:val="16"/>
              </w:rPr>
              <w:t xml:space="preserve"> </w:t>
            </w:r>
            <w:r>
              <w:rPr>
                <w:sz w:val="16"/>
              </w:rPr>
              <w:t>and</w:t>
            </w:r>
            <w:r>
              <w:rPr>
                <w:spacing w:val="-2"/>
                <w:sz w:val="16"/>
              </w:rPr>
              <w:t xml:space="preserve"> </w:t>
            </w:r>
            <w:r>
              <w:rPr>
                <w:sz w:val="16"/>
              </w:rPr>
              <w:t>digital</w:t>
            </w:r>
            <w:r>
              <w:rPr>
                <w:spacing w:val="-5"/>
                <w:sz w:val="16"/>
              </w:rPr>
              <w:t xml:space="preserve"> </w:t>
            </w:r>
            <w:r>
              <w:rPr>
                <w:sz w:val="16"/>
              </w:rPr>
              <w:t>quality</w:t>
            </w:r>
            <w:r>
              <w:rPr>
                <w:spacing w:val="-5"/>
                <w:sz w:val="16"/>
              </w:rPr>
              <w:t xml:space="preserve"> </w:t>
            </w:r>
            <w:r>
              <w:rPr>
                <w:sz w:val="16"/>
              </w:rPr>
              <w:t>of</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right="90"/>
              <w:jc w:val="right"/>
              <w:rPr>
                <w:sz w:val="16"/>
              </w:rPr>
            </w:pPr>
            <w:r>
              <w:rPr>
                <w:sz w:val="16"/>
              </w:rPr>
              <w:t>21,129</w:t>
            </w:r>
          </w:p>
        </w:tc>
      </w:tr>
    </w:tbl>
    <w:p w:rsidR="00A56FE9" w:rsidRDefault="00A56FE9">
      <w:pPr>
        <w:spacing w:line="178" w:lineRule="exact"/>
        <w:jc w:val="righ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2755"/>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0"/>
              <w:rPr>
                <w:sz w:val="16"/>
              </w:rPr>
            </w:pPr>
            <w:r>
              <w:rPr>
                <w:sz w:val="16"/>
              </w:rPr>
              <w:t>.subpart6,</w:t>
            </w:r>
          </w:p>
          <w:p w:rsidR="00A56FE9" w:rsidRDefault="00000000">
            <w:pPr>
              <w:pStyle w:val="TableParagraph"/>
              <w:spacing w:before="1"/>
              <w:ind w:left="50"/>
              <w:rPr>
                <w:sz w:val="16"/>
              </w:rPr>
            </w:pPr>
            <w:r>
              <w:rPr>
                <w:sz w:val="16"/>
              </w:rPr>
              <w:t>2020.CSR3</w:t>
            </w:r>
          </w:p>
          <w:p w:rsidR="00A56FE9" w:rsidRDefault="00000000">
            <w:pPr>
              <w:pStyle w:val="TableParagraph"/>
              <w:ind w:left="50"/>
              <w:rPr>
                <w:sz w:val="16"/>
              </w:rPr>
            </w:pPr>
            <w:r>
              <w:rPr>
                <w:sz w:val="16"/>
              </w:rPr>
              <w:t>.subpart5</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0"/>
              <w:rPr>
                <w:sz w:val="16"/>
              </w:rPr>
            </w:pPr>
            <w:r>
              <w:rPr>
                <w:sz w:val="16"/>
              </w:rPr>
              <w:t>specialization</w:t>
            </w:r>
            <w:r>
              <w:rPr>
                <w:spacing w:val="-5"/>
                <w:sz w:val="16"/>
              </w:rPr>
              <w:t xml:space="preserve"> </w:t>
            </w:r>
            <w:r>
              <w:rPr>
                <w:sz w:val="16"/>
              </w:rPr>
              <w:t>of</w:t>
            </w:r>
            <w:r>
              <w:rPr>
                <w:spacing w:val="-4"/>
                <w:sz w:val="16"/>
              </w:rPr>
              <w:t xml:space="preserve"> </w:t>
            </w:r>
            <w:r>
              <w:rPr>
                <w:sz w:val="16"/>
              </w:rPr>
              <w:t>Croatian</w:t>
            </w:r>
          </w:p>
          <w:p w:rsidR="00A56FE9" w:rsidRDefault="00000000">
            <w:pPr>
              <w:pStyle w:val="TableParagraph"/>
              <w:spacing w:before="1"/>
              <w:ind w:left="50" w:right="433"/>
              <w:rPr>
                <w:sz w:val="16"/>
              </w:rPr>
            </w:pPr>
            <w:r>
              <w:rPr>
                <w:sz w:val="16"/>
              </w:rPr>
              <w:t>tourism through</w:t>
            </w:r>
            <w:r>
              <w:rPr>
                <w:spacing w:val="1"/>
                <w:sz w:val="16"/>
              </w:rPr>
              <w:t xml:space="preserve"> </w:t>
            </w:r>
            <w:r>
              <w:rPr>
                <w:sz w:val="16"/>
              </w:rPr>
              <w:t>investments in the</w:t>
            </w:r>
            <w:r>
              <w:rPr>
                <w:spacing w:val="1"/>
                <w:sz w:val="16"/>
              </w:rPr>
              <w:t xml:space="preserve"> </w:t>
            </w:r>
            <w:r>
              <w:rPr>
                <w:sz w:val="16"/>
              </w:rPr>
              <w:t>development of high</w:t>
            </w:r>
            <w:r>
              <w:rPr>
                <w:spacing w:val="-37"/>
                <w:sz w:val="16"/>
              </w:rPr>
              <w:t xml:space="preserve"> </w:t>
            </w:r>
            <w:r>
              <w:rPr>
                <w:sz w:val="16"/>
              </w:rPr>
              <w:t>added value tourism</w:t>
            </w:r>
            <w:r>
              <w:rPr>
                <w:spacing w:val="-37"/>
                <w:sz w:val="16"/>
              </w:rPr>
              <w:t xml:space="preserve"> </w:t>
            </w:r>
            <w:r>
              <w:rPr>
                <w:sz w:val="16"/>
              </w:rPr>
              <w:t>products</w:t>
            </w: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09"/>
              <w:rPr>
                <w:sz w:val="16"/>
              </w:rPr>
            </w:pPr>
            <w:r>
              <w:rPr>
                <w:sz w:val="16"/>
              </w:rPr>
              <w:t>public</w:t>
            </w:r>
            <w:r>
              <w:rPr>
                <w:spacing w:val="-5"/>
                <w:sz w:val="16"/>
              </w:rPr>
              <w:t xml:space="preserve"> </w:t>
            </w:r>
            <w:r>
              <w:rPr>
                <w:sz w:val="16"/>
              </w:rPr>
              <w:t>tourism</w:t>
            </w:r>
          </w:p>
          <w:p w:rsidR="00A56FE9" w:rsidRDefault="00000000">
            <w:pPr>
              <w:pStyle w:val="TableParagraph"/>
              <w:spacing w:before="1"/>
              <w:ind w:left="109" w:right="198"/>
              <w:rPr>
                <w:sz w:val="16"/>
              </w:rPr>
            </w:pPr>
            <w:r>
              <w:rPr>
                <w:sz w:val="16"/>
              </w:rPr>
              <w:t>infrastructure and the</w:t>
            </w:r>
            <w:r>
              <w:rPr>
                <w:spacing w:val="1"/>
                <w:sz w:val="16"/>
              </w:rPr>
              <w:t xml:space="preserve"> </w:t>
            </w:r>
            <w:r>
              <w:rPr>
                <w:sz w:val="16"/>
              </w:rPr>
              <w:t>development of public</w:t>
            </w:r>
            <w:r>
              <w:rPr>
                <w:spacing w:val="1"/>
                <w:sz w:val="16"/>
              </w:rPr>
              <w:t xml:space="preserve"> </w:t>
            </w:r>
            <w:r>
              <w:rPr>
                <w:sz w:val="16"/>
              </w:rPr>
              <w:t>tourism infrastructure</w:t>
            </w:r>
            <w:r>
              <w:rPr>
                <w:spacing w:val="1"/>
                <w:sz w:val="16"/>
              </w:rPr>
              <w:t xml:space="preserve"> </w:t>
            </w:r>
            <w:r>
              <w:rPr>
                <w:sz w:val="16"/>
              </w:rPr>
              <w:t>beyond</w:t>
            </w:r>
            <w:r>
              <w:rPr>
                <w:spacing w:val="-5"/>
                <w:sz w:val="16"/>
              </w:rPr>
              <w:t xml:space="preserve"> </w:t>
            </w:r>
            <w:r>
              <w:rPr>
                <w:sz w:val="16"/>
              </w:rPr>
              <w:t>the</w:t>
            </w:r>
            <w:r>
              <w:rPr>
                <w:spacing w:val="-5"/>
                <w:sz w:val="16"/>
              </w:rPr>
              <w:t xml:space="preserve"> </w:t>
            </w:r>
            <w:r>
              <w:rPr>
                <w:sz w:val="16"/>
              </w:rPr>
              <w:t>main</w:t>
            </w:r>
            <w:r>
              <w:rPr>
                <w:spacing w:val="-3"/>
                <w:sz w:val="16"/>
              </w:rPr>
              <w:t xml:space="preserve"> </w:t>
            </w:r>
            <w:r>
              <w:rPr>
                <w:sz w:val="16"/>
              </w:rPr>
              <w:t>tourist</w:t>
            </w:r>
            <w:r>
              <w:rPr>
                <w:spacing w:val="-37"/>
                <w:sz w:val="16"/>
              </w:rPr>
              <w:t xml:space="preserve"> </w:t>
            </w:r>
            <w:r>
              <w:rPr>
                <w:sz w:val="16"/>
              </w:rPr>
              <w:t>and coastal</w:t>
            </w:r>
            <w:r>
              <w:rPr>
                <w:spacing w:val="-3"/>
                <w:sz w:val="16"/>
              </w:rPr>
              <w:t xml:space="preserve"> </w:t>
            </w:r>
            <w:r>
              <w:rPr>
                <w:sz w:val="16"/>
              </w:rPr>
              <w:t>areas</w:t>
            </w: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10"/>
              <w:rPr>
                <w:sz w:val="16"/>
              </w:rPr>
            </w:pPr>
            <w:r>
              <w:rPr>
                <w:sz w:val="16"/>
              </w:rPr>
              <w:t>for</w:t>
            </w:r>
            <w:r>
              <w:rPr>
                <w:spacing w:val="-3"/>
                <w:sz w:val="16"/>
              </w:rPr>
              <w:t xml:space="preserve"> </w:t>
            </w:r>
            <w:r>
              <w:rPr>
                <w:sz w:val="16"/>
              </w:rPr>
              <w:t>the</w:t>
            </w:r>
            <w:r>
              <w:rPr>
                <w:spacing w:val="-4"/>
                <w:sz w:val="16"/>
              </w:rPr>
              <w:t xml:space="preserve"> </w:t>
            </w:r>
            <w:r>
              <w:rPr>
                <w:sz w:val="16"/>
              </w:rPr>
              <w:t>green</w:t>
            </w:r>
          </w:p>
          <w:p w:rsidR="00A56FE9" w:rsidRDefault="00000000">
            <w:pPr>
              <w:pStyle w:val="TableParagraph"/>
              <w:spacing w:before="1"/>
              <w:ind w:left="110" w:right="57"/>
              <w:rPr>
                <w:sz w:val="16"/>
              </w:rPr>
            </w:pPr>
            <w:r>
              <w:rPr>
                <w:sz w:val="16"/>
              </w:rPr>
              <w:t>and digital</w:t>
            </w:r>
            <w:r>
              <w:rPr>
                <w:spacing w:val="1"/>
                <w:sz w:val="16"/>
              </w:rPr>
              <w:t xml:space="preserve"> </w:t>
            </w:r>
            <w:r>
              <w:rPr>
                <w:sz w:val="16"/>
              </w:rPr>
              <w:t>transition of</w:t>
            </w:r>
            <w:r>
              <w:rPr>
                <w:spacing w:val="1"/>
                <w:sz w:val="16"/>
              </w:rPr>
              <w:t xml:space="preserve"> </w:t>
            </w:r>
            <w:r>
              <w:rPr>
                <w:sz w:val="16"/>
              </w:rPr>
              <w:t>existing public</w:t>
            </w:r>
            <w:r>
              <w:rPr>
                <w:spacing w:val="-38"/>
                <w:sz w:val="16"/>
              </w:rPr>
              <w:t xml:space="preserve"> </w:t>
            </w:r>
            <w:r>
              <w:rPr>
                <w:sz w:val="16"/>
              </w:rPr>
              <w:t>tourism</w:t>
            </w:r>
            <w:r>
              <w:rPr>
                <w:spacing w:val="1"/>
                <w:sz w:val="16"/>
              </w:rPr>
              <w:t xml:space="preserve"> </w:t>
            </w:r>
            <w:r>
              <w:rPr>
                <w:sz w:val="16"/>
              </w:rPr>
              <w:t>infrastructure</w:t>
            </w:r>
            <w:r>
              <w:rPr>
                <w:spacing w:val="1"/>
                <w:sz w:val="16"/>
              </w:rPr>
              <w:t xml:space="preserve"> </w:t>
            </w:r>
            <w:r>
              <w:rPr>
                <w:sz w:val="16"/>
              </w:rPr>
              <w:t>and the</w:t>
            </w:r>
            <w:r>
              <w:rPr>
                <w:spacing w:val="1"/>
                <w:sz w:val="16"/>
              </w:rPr>
              <w:t xml:space="preserve"> </w:t>
            </w:r>
            <w:r>
              <w:rPr>
                <w:sz w:val="16"/>
              </w:rPr>
              <w:t>development</w:t>
            </w:r>
            <w:r>
              <w:rPr>
                <w:spacing w:val="1"/>
                <w:sz w:val="16"/>
              </w:rPr>
              <w:t xml:space="preserve"> </w:t>
            </w:r>
            <w:r>
              <w:rPr>
                <w:sz w:val="16"/>
              </w:rPr>
              <w:t>of public</w:t>
            </w:r>
            <w:r>
              <w:rPr>
                <w:spacing w:val="1"/>
                <w:sz w:val="16"/>
              </w:rPr>
              <w:t xml:space="preserve"> </w:t>
            </w:r>
            <w:r>
              <w:rPr>
                <w:sz w:val="16"/>
              </w:rPr>
              <w:t>tourism</w:t>
            </w:r>
            <w:r>
              <w:rPr>
                <w:spacing w:val="1"/>
                <w:sz w:val="16"/>
              </w:rPr>
              <w:t xml:space="preserve"> </w:t>
            </w:r>
            <w:r>
              <w:rPr>
                <w:sz w:val="16"/>
              </w:rPr>
              <w:t>infrastructure</w:t>
            </w:r>
            <w:r>
              <w:rPr>
                <w:spacing w:val="1"/>
                <w:sz w:val="16"/>
              </w:rPr>
              <w:t xml:space="preserve"> </w:t>
            </w:r>
            <w:r>
              <w:rPr>
                <w:sz w:val="16"/>
              </w:rPr>
              <w:t>beyond the</w:t>
            </w:r>
            <w:r>
              <w:rPr>
                <w:spacing w:val="1"/>
                <w:sz w:val="16"/>
              </w:rPr>
              <w:t xml:space="preserve"> </w:t>
            </w:r>
            <w:r>
              <w:rPr>
                <w:sz w:val="16"/>
              </w:rPr>
              <w:t>main</w:t>
            </w:r>
            <w:r>
              <w:rPr>
                <w:spacing w:val="-1"/>
                <w:sz w:val="16"/>
              </w:rPr>
              <w:t xml:space="preserve"> </w:t>
            </w:r>
            <w:r>
              <w:rPr>
                <w:sz w:val="16"/>
              </w:rPr>
              <w:t>tourist</w:t>
            </w:r>
          </w:p>
          <w:p w:rsidR="00A56FE9" w:rsidRDefault="00000000">
            <w:pPr>
              <w:pStyle w:val="TableParagraph"/>
              <w:spacing w:line="180" w:lineRule="atLeast"/>
              <w:ind w:left="110" w:right="281"/>
              <w:rPr>
                <w:sz w:val="16"/>
              </w:rPr>
            </w:pPr>
            <w:r>
              <w:rPr>
                <w:sz w:val="16"/>
              </w:rPr>
              <w:t>and coastal</w:t>
            </w:r>
            <w:r>
              <w:rPr>
                <w:spacing w:val="-37"/>
                <w:sz w:val="16"/>
              </w:rPr>
              <w:t xml:space="preserve"> </w:t>
            </w:r>
            <w:r>
              <w:rPr>
                <w:sz w:val="16"/>
              </w:rPr>
              <w:t>areas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7"/>
              <w:rPr>
                <w:sz w:val="16"/>
              </w:rPr>
            </w:pPr>
            <w:r>
              <w:rPr>
                <w:sz w:val="16"/>
              </w:rPr>
              <w:t>tourism</w:t>
            </w:r>
            <w:r>
              <w:rPr>
                <w:spacing w:val="-6"/>
                <w:sz w:val="16"/>
              </w:rPr>
              <w:t xml:space="preserve"> </w:t>
            </w:r>
            <w:r>
              <w:rPr>
                <w:sz w:val="16"/>
              </w:rPr>
              <w:t>infrastructure</w:t>
            </w:r>
            <w:r>
              <w:rPr>
                <w:spacing w:val="-5"/>
                <w:sz w:val="16"/>
              </w:rPr>
              <w:t xml:space="preserve"> </w:t>
            </w:r>
            <w:r>
              <w:rPr>
                <w:sz w:val="16"/>
              </w:rPr>
              <w:t>and</w:t>
            </w:r>
            <w:r>
              <w:rPr>
                <w:spacing w:val="-1"/>
                <w:sz w:val="16"/>
              </w:rPr>
              <w:t xml:space="preserve"> </w:t>
            </w:r>
            <w:r>
              <w:rPr>
                <w:sz w:val="16"/>
              </w:rPr>
              <w:t>reduce</w:t>
            </w:r>
            <w:r>
              <w:rPr>
                <w:spacing w:val="-5"/>
                <w:sz w:val="16"/>
              </w:rPr>
              <w:t xml:space="preserve"> </w:t>
            </w:r>
            <w:r>
              <w:rPr>
                <w:sz w:val="16"/>
              </w:rPr>
              <w:t>the</w:t>
            </w:r>
          </w:p>
          <w:p w:rsidR="00A56FE9" w:rsidRDefault="00000000">
            <w:pPr>
              <w:pStyle w:val="TableParagraph"/>
              <w:spacing w:before="1"/>
              <w:ind w:left="57" w:right="32"/>
              <w:rPr>
                <w:sz w:val="16"/>
              </w:rPr>
            </w:pPr>
            <w:r>
              <w:rPr>
                <w:sz w:val="16"/>
              </w:rPr>
              <w:t>environmental impact and consequently the</w:t>
            </w:r>
            <w:r>
              <w:rPr>
                <w:spacing w:val="1"/>
                <w:sz w:val="16"/>
              </w:rPr>
              <w:t xml:space="preserve"> </w:t>
            </w:r>
            <w:r>
              <w:rPr>
                <w:sz w:val="16"/>
              </w:rPr>
              <w:t>concentration of guests in the season. In the</w:t>
            </w:r>
            <w:r>
              <w:rPr>
                <w:spacing w:val="1"/>
                <w:sz w:val="16"/>
              </w:rPr>
              <w:t xml:space="preserve"> </w:t>
            </w:r>
            <w:r>
              <w:rPr>
                <w:sz w:val="16"/>
              </w:rPr>
              <w:t>main tourist and coastal areas, according to the</w:t>
            </w:r>
            <w:r>
              <w:rPr>
                <w:spacing w:val="-37"/>
                <w:sz w:val="16"/>
              </w:rPr>
              <w:t xml:space="preserve"> </w:t>
            </w:r>
            <w:r>
              <w:rPr>
                <w:sz w:val="16"/>
              </w:rPr>
              <w:t>Tourism</w:t>
            </w:r>
            <w:r>
              <w:rPr>
                <w:spacing w:val="8"/>
                <w:sz w:val="16"/>
              </w:rPr>
              <w:t xml:space="preserve"> </w:t>
            </w:r>
            <w:r>
              <w:rPr>
                <w:sz w:val="16"/>
              </w:rPr>
              <w:t>Development</w:t>
            </w:r>
            <w:r>
              <w:rPr>
                <w:spacing w:val="12"/>
                <w:sz w:val="16"/>
              </w:rPr>
              <w:t xml:space="preserve"> </w:t>
            </w:r>
            <w:r>
              <w:rPr>
                <w:sz w:val="16"/>
              </w:rPr>
              <w:t>Index,</w:t>
            </w:r>
            <w:r>
              <w:rPr>
                <w:spacing w:val="9"/>
                <w:sz w:val="16"/>
              </w:rPr>
              <w:t xml:space="preserve"> </w:t>
            </w:r>
            <w:r>
              <w:rPr>
                <w:sz w:val="16"/>
              </w:rPr>
              <w:t>only</w:t>
            </w:r>
            <w:r>
              <w:rPr>
                <w:spacing w:val="1"/>
                <w:sz w:val="16"/>
              </w:rPr>
              <w:t xml:space="preserve"> </w:t>
            </w:r>
            <w:r>
              <w:rPr>
                <w:sz w:val="16"/>
              </w:rPr>
              <w:t>investments in the green and digital transition</w:t>
            </w:r>
            <w:r>
              <w:rPr>
                <w:spacing w:val="1"/>
                <w:sz w:val="16"/>
              </w:rPr>
              <w:t xml:space="preserve"> </w:t>
            </w:r>
            <w:r>
              <w:rPr>
                <w:sz w:val="16"/>
              </w:rPr>
              <w:t>of existing tourism infrastructure and up to</w:t>
            </w:r>
            <w:r>
              <w:rPr>
                <w:spacing w:val="1"/>
                <w:sz w:val="16"/>
              </w:rPr>
              <w:t xml:space="preserve"> </w:t>
            </w:r>
            <w:r>
              <w:rPr>
                <w:sz w:val="16"/>
              </w:rPr>
              <w:t>EUR 29,623,731 of the total budget of the</w:t>
            </w:r>
            <w:r>
              <w:rPr>
                <w:spacing w:val="1"/>
                <w:sz w:val="16"/>
              </w:rPr>
              <w:t xml:space="preserve"> </w:t>
            </w:r>
            <w:r>
              <w:rPr>
                <w:sz w:val="16"/>
              </w:rPr>
              <w:t>investment shall be eligible contributing to the</w:t>
            </w:r>
            <w:r>
              <w:rPr>
                <w:spacing w:val="-37"/>
                <w:sz w:val="16"/>
              </w:rPr>
              <w:t xml:space="preserve"> </w:t>
            </w:r>
            <w:r>
              <w:rPr>
                <w:sz w:val="16"/>
              </w:rPr>
              <w:t>sustainable management of destinations,</w:t>
            </w:r>
            <w:r>
              <w:rPr>
                <w:spacing w:val="1"/>
                <w:sz w:val="16"/>
              </w:rPr>
              <w:t xml:space="preserve"> </w:t>
            </w:r>
            <w:r>
              <w:rPr>
                <w:sz w:val="16"/>
              </w:rPr>
              <w:t>reducing environmental impacts during the</w:t>
            </w:r>
            <w:r>
              <w:rPr>
                <w:spacing w:val="1"/>
                <w:sz w:val="16"/>
              </w:rPr>
              <w:t xml:space="preserve"> </w:t>
            </w:r>
            <w:r>
              <w:rPr>
                <w:sz w:val="16"/>
              </w:rPr>
              <w:t>tourist season. Eligibility criteria shall include</w:t>
            </w:r>
            <w:r>
              <w:rPr>
                <w:spacing w:val="1"/>
                <w:sz w:val="16"/>
              </w:rPr>
              <w:t xml:space="preserve"> </w:t>
            </w:r>
            <w:r>
              <w:rPr>
                <w:sz w:val="16"/>
              </w:rPr>
              <w:t>compliance with the Do No Significant Harm</w:t>
            </w:r>
            <w:r>
              <w:rPr>
                <w:spacing w:val="1"/>
                <w:sz w:val="16"/>
              </w:rPr>
              <w:t xml:space="preserve"> </w:t>
            </w:r>
            <w:r>
              <w:rPr>
                <w:sz w:val="16"/>
              </w:rPr>
              <w:t>Technical</w:t>
            </w:r>
            <w:r>
              <w:rPr>
                <w:spacing w:val="-2"/>
                <w:sz w:val="16"/>
              </w:rPr>
              <w:t xml:space="preserve"> </w:t>
            </w:r>
            <w:r>
              <w:rPr>
                <w:sz w:val="16"/>
              </w:rPr>
              <w:t>Guidance</w:t>
            </w:r>
            <w:r>
              <w:rPr>
                <w:spacing w:val="-3"/>
                <w:sz w:val="16"/>
              </w:rPr>
              <w:t xml:space="preserve"> </w:t>
            </w:r>
            <w:r>
              <w:rPr>
                <w:sz w:val="16"/>
              </w:rPr>
              <w:t>(2021/C58/01).</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515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129"/>
              <w:rPr>
                <w:sz w:val="16"/>
              </w:rPr>
            </w:pPr>
            <w:r>
              <w:rPr>
                <w:sz w:val="16"/>
              </w:rPr>
              <w:t>21</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95"/>
              <w:rPr>
                <w:sz w:val="16"/>
              </w:rPr>
            </w:pPr>
            <w:r>
              <w:rPr>
                <w:sz w:val="16"/>
              </w:rPr>
              <w:t>146</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2019.CSR3</w:t>
            </w:r>
          </w:p>
          <w:p w:rsidR="00A56FE9" w:rsidRDefault="00000000">
            <w:pPr>
              <w:pStyle w:val="TableParagraph"/>
              <w:spacing w:before="1"/>
              <w:ind w:left="50" w:right="60"/>
              <w:rPr>
                <w:sz w:val="16"/>
              </w:rPr>
            </w:pPr>
            <w:r>
              <w:rPr>
                <w:sz w:val="16"/>
              </w:rPr>
              <w:t>.subpart3,2</w:t>
            </w:r>
            <w:r>
              <w:rPr>
                <w:spacing w:val="-37"/>
                <w:sz w:val="16"/>
              </w:rPr>
              <w:t xml:space="preserve"> </w:t>
            </w:r>
            <w:r>
              <w:rPr>
                <w:sz w:val="16"/>
              </w:rPr>
              <w:t>020.CSR3.</w:t>
            </w:r>
          </w:p>
          <w:p w:rsidR="00A56FE9" w:rsidRDefault="00000000">
            <w:pPr>
              <w:pStyle w:val="TableParagraph"/>
              <w:ind w:left="50" w:right="69"/>
              <w:rPr>
                <w:sz w:val="16"/>
              </w:rPr>
            </w:pPr>
            <w:r>
              <w:rPr>
                <w:sz w:val="16"/>
              </w:rPr>
              <w:t>subpart6,2</w:t>
            </w:r>
            <w:r>
              <w:rPr>
                <w:spacing w:val="-37"/>
                <w:sz w:val="16"/>
              </w:rPr>
              <w:t xml:space="preserve"> </w:t>
            </w:r>
            <w:r>
              <w:rPr>
                <w:sz w:val="16"/>
              </w:rPr>
              <w:t>020.CSR3.</w:t>
            </w:r>
          </w:p>
          <w:p w:rsidR="00A56FE9" w:rsidRDefault="00000000">
            <w:pPr>
              <w:pStyle w:val="TableParagraph"/>
              <w:ind w:left="50" w:right="69"/>
              <w:rPr>
                <w:sz w:val="16"/>
              </w:rPr>
            </w:pPr>
            <w:r>
              <w:rPr>
                <w:sz w:val="16"/>
              </w:rPr>
              <w:t>subpart1,2</w:t>
            </w:r>
            <w:r>
              <w:rPr>
                <w:spacing w:val="-37"/>
                <w:sz w:val="16"/>
              </w:rPr>
              <w:t xml:space="preserve"> </w:t>
            </w:r>
            <w:r>
              <w:rPr>
                <w:sz w:val="16"/>
              </w:rPr>
              <w:t>020.CSR3.</w:t>
            </w:r>
          </w:p>
          <w:p w:rsidR="00A56FE9" w:rsidRDefault="00000000">
            <w:pPr>
              <w:pStyle w:val="TableParagraph"/>
              <w:spacing w:line="184" w:lineRule="exact"/>
              <w:ind w:left="50"/>
              <w:rPr>
                <w:sz w:val="16"/>
              </w:rPr>
            </w:pPr>
            <w:r>
              <w:rPr>
                <w:sz w:val="16"/>
              </w:rPr>
              <w:t>subpart5</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48"/>
              <w:rPr>
                <w:sz w:val="16"/>
              </w:rPr>
            </w:pPr>
            <w:r>
              <w:rPr>
                <w:sz w:val="16"/>
              </w:rPr>
              <w:t>8,9</w:t>
            </w:r>
          </w:p>
          <w:p w:rsidR="00A56FE9" w:rsidRDefault="00000000">
            <w:pPr>
              <w:pStyle w:val="TableParagraph"/>
              <w:spacing w:before="1"/>
              <w:ind w:left="48"/>
              <w:rPr>
                <w:sz w:val="16"/>
              </w:rPr>
            </w:pPr>
            <w:r>
              <w:rPr>
                <w:sz w:val="16"/>
              </w:rPr>
              <w:t>,12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2,3</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1</w:t>
            </w:r>
            <w:r>
              <w:rPr>
                <w:spacing w:val="-2"/>
                <w:sz w:val="16"/>
              </w:rPr>
              <w:t xml:space="preserve"> </w:t>
            </w:r>
            <w:r>
              <w:rPr>
                <w:sz w:val="16"/>
              </w:rPr>
              <w:t>–</w:t>
            </w:r>
            <w:r>
              <w:rPr>
                <w:spacing w:val="1"/>
                <w:sz w:val="16"/>
              </w:rPr>
              <w:t xml:space="preserve"> </w:t>
            </w:r>
            <w:r>
              <w:rPr>
                <w:sz w:val="16"/>
              </w:rPr>
              <w:t>ECONOMY -</w:t>
            </w:r>
            <w:r>
              <w:rPr>
                <w:spacing w:val="-4"/>
                <w:sz w:val="16"/>
              </w:rPr>
              <w:t xml:space="preserve"> </w:t>
            </w:r>
            <w:r>
              <w:rPr>
                <w:sz w:val="16"/>
              </w:rPr>
              <w:t>C1.6.</w:t>
            </w:r>
          </w:p>
          <w:p w:rsidR="00A56FE9" w:rsidRDefault="00000000">
            <w:pPr>
              <w:pStyle w:val="TableParagraph"/>
              <w:spacing w:before="1"/>
              <w:ind w:left="50" w:right="211"/>
              <w:rPr>
                <w:sz w:val="16"/>
              </w:rPr>
            </w:pPr>
            <w:r>
              <w:rPr>
                <w:sz w:val="16"/>
              </w:rPr>
              <w:t>R1-I2 Strengthening the</w:t>
            </w:r>
            <w:r>
              <w:rPr>
                <w:spacing w:val="-37"/>
                <w:sz w:val="16"/>
              </w:rPr>
              <w:t xml:space="preserve"> </w:t>
            </w:r>
            <w:r>
              <w:rPr>
                <w:sz w:val="16"/>
              </w:rPr>
              <w:t>competitiveness of</w:t>
            </w:r>
            <w:r>
              <w:rPr>
                <w:spacing w:val="1"/>
                <w:sz w:val="16"/>
              </w:rPr>
              <w:t xml:space="preserve"> </w:t>
            </w:r>
            <w:r>
              <w:rPr>
                <w:sz w:val="16"/>
              </w:rPr>
              <w:t>entrepreneurs and</w:t>
            </w:r>
            <w:r>
              <w:rPr>
                <w:spacing w:val="1"/>
                <w:sz w:val="16"/>
              </w:rPr>
              <w:t xml:space="preserve"> </w:t>
            </w:r>
            <w:r>
              <w:rPr>
                <w:sz w:val="16"/>
              </w:rPr>
              <w:t>fostering the green and</w:t>
            </w:r>
            <w:r>
              <w:rPr>
                <w:spacing w:val="1"/>
                <w:sz w:val="16"/>
              </w:rPr>
              <w:t xml:space="preserve"> </w:t>
            </w:r>
            <w:r>
              <w:rPr>
                <w:sz w:val="16"/>
              </w:rPr>
              <w:t>digital transition of the</w:t>
            </w:r>
            <w:r>
              <w:rPr>
                <w:spacing w:val="1"/>
                <w:sz w:val="16"/>
              </w:rPr>
              <w:t xml:space="preserve"> </w:t>
            </w:r>
            <w:r>
              <w:rPr>
                <w:sz w:val="16"/>
              </w:rPr>
              <w:t>tourism</w:t>
            </w:r>
            <w:r>
              <w:rPr>
                <w:spacing w:val="-3"/>
                <w:sz w:val="16"/>
              </w:rPr>
              <w:t xml:space="preserve"> </w:t>
            </w:r>
            <w:r>
              <w:rPr>
                <w:sz w:val="16"/>
              </w:rPr>
              <w:t>sector</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96"/>
              <w:rPr>
                <w:sz w:val="16"/>
              </w:rPr>
            </w:pPr>
            <w:r>
              <w:rPr>
                <w:sz w:val="16"/>
              </w:rPr>
              <w:t>Launch public calls to</w:t>
            </w:r>
            <w:r>
              <w:rPr>
                <w:spacing w:val="1"/>
                <w:sz w:val="16"/>
              </w:rPr>
              <w:t xml:space="preserve"> </w:t>
            </w:r>
            <w:r>
              <w:rPr>
                <w:sz w:val="16"/>
              </w:rPr>
              <w:t>strengthen sustainability</w:t>
            </w:r>
            <w:r>
              <w:rPr>
                <w:spacing w:val="1"/>
                <w:sz w:val="16"/>
              </w:rPr>
              <w:t xml:space="preserve"> </w:t>
            </w:r>
            <w:r>
              <w:rPr>
                <w:sz w:val="16"/>
              </w:rPr>
              <w:t>and boost the green and</w:t>
            </w:r>
            <w:r>
              <w:rPr>
                <w:spacing w:val="1"/>
                <w:sz w:val="16"/>
              </w:rPr>
              <w:t xml:space="preserve"> </w:t>
            </w:r>
            <w:r>
              <w:rPr>
                <w:sz w:val="16"/>
              </w:rPr>
              <w:t>digital transition of</w:t>
            </w:r>
            <w:r>
              <w:rPr>
                <w:spacing w:val="1"/>
                <w:sz w:val="16"/>
              </w:rPr>
              <w:t xml:space="preserve"> </w:t>
            </w:r>
            <w:r>
              <w:rPr>
                <w:sz w:val="16"/>
              </w:rPr>
              <w:t>tourism entrepreneurs,</w:t>
            </w:r>
            <w:r>
              <w:rPr>
                <w:spacing w:val="1"/>
                <w:sz w:val="16"/>
              </w:rPr>
              <w:t xml:space="preserve"> </w:t>
            </w:r>
            <w:r>
              <w:rPr>
                <w:sz w:val="16"/>
              </w:rPr>
              <w:t>with at least 50% of total</w:t>
            </w:r>
            <w:r>
              <w:rPr>
                <w:spacing w:val="-37"/>
                <w:sz w:val="16"/>
              </w:rPr>
              <w:t xml:space="preserve"> </w:t>
            </w:r>
            <w:r>
              <w:rPr>
                <w:sz w:val="16"/>
              </w:rPr>
              <w:t>investments supporting</w:t>
            </w:r>
            <w:r>
              <w:rPr>
                <w:spacing w:val="1"/>
                <w:sz w:val="16"/>
              </w:rPr>
              <w:t xml:space="preserve"> </w:t>
            </w:r>
            <w:r>
              <w:rPr>
                <w:sz w:val="16"/>
              </w:rPr>
              <w:t>the</w:t>
            </w:r>
            <w:r>
              <w:rPr>
                <w:spacing w:val="-3"/>
                <w:sz w:val="16"/>
              </w:rPr>
              <w:t xml:space="preserve"> </w:t>
            </w:r>
            <w:r>
              <w:rPr>
                <w:sz w:val="16"/>
              </w:rPr>
              <w:t>green transition</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99"/>
              <w:rPr>
                <w:sz w:val="16"/>
              </w:rPr>
            </w:pPr>
            <w:r>
              <w:rPr>
                <w:sz w:val="16"/>
              </w:rPr>
              <w:t>Publication of</w:t>
            </w:r>
            <w:r>
              <w:rPr>
                <w:spacing w:val="-37"/>
                <w:sz w:val="16"/>
              </w:rPr>
              <w:t xml:space="preserve"> </w:t>
            </w:r>
            <w:r>
              <w:rPr>
                <w:sz w:val="16"/>
              </w:rPr>
              <w:t>tender</w:t>
            </w:r>
            <w:r>
              <w:rPr>
                <w:spacing w:val="1"/>
                <w:sz w:val="16"/>
              </w:rPr>
              <w:t xml:space="preserve"> </w:t>
            </w:r>
            <w:r>
              <w:rPr>
                <w:sz w:val="16"/>
              </w:rPr>
              <w:t>documentatio</w:t>
            </w:r>
            <w:r>
              <w:rPr>
                <w:spacing w:val="1"/>
                <w:sz w:val="16"/>
              </w:rPr>
              <w:t xml:space="preserve"> </w:t>
            </w:r>
            <w:r>
              <w:rPr>
                <w:sz w:val="16"/>
              </w:rPr>
              <w:t>n</w:t>
            </w:r>
            <w:r>
              <w:rPr>
                <w:spacing w:val="7"/>
                <w:sz w:val="16"/>
              </w:rPr>
              <w:t xml:space="preserve"> </w:t>
            </w:r>
            <w:r>
              <w:rPr>
                <w:sz w:val="16"/>
              </w:rPr>
              <w:t>to</w:t>
            </w:r>
            <w:r>
              <w:rPr>
                <w:spacing w:val="1"/>
                <w:sz w:val="16"/>
              </w:rPr>
              <w:t xml:space="preserve"> </w:t>
            </w:r>
            <w:r>
              <w:rPr>
                <w:sz w:val="16"/>
              </w:rPr>
              <w:t>strengthen</w:t>
            </w:r>
            <w:r>
              <w:rPr>
                <w:spacing w:val="1"/>
                <w:sz w:val="16"/>
              </w:rPr>
              <w:t xml:space="preserve"> </w:t>
            </w:r>
            <w:r>
              <w:rPr>
                <w:sz w:val="16"/>
              </w:rPr>
              <w:t>sustainability</w:t>
            </w:r>
            <w:r>
              <w:rPr>
                <w:spacing w:val="1"/>
                <w:sz w:val="16"/>
              </w:rPr>
              <w:t xml:space="preserve"> </w:t>
            </w:r>
            <w:r>
              <w:rPr>
                <w:sz w:val="16"/>
              </w:rPr>
              <w:t>and foster the</w:t>
            </w:r>
            <w:r>
              <w:rPr>
                <w:spacing w:val="1"/>
                <w:sz w:val="16"/>
              </w:rPr>
              <w:t xml:space="preserve"> </w:t>
            </w:r>
            <w:r>
              <w:rPr>
                <w:sz w:val="16"/>
              </w:rPr>
              <w:t>green and</w:t>
            </w:r>
            <w:r>
              <w:rPr>
                <w:spacing w:val="1"/>
                <w:sz w:val="16"/>
              </w:rPr>
              <w:t xml:space="preserve"> </w:t>
            </w:r>
            <w:r>
              <w:rPr>
                <w:sz w:val="16"/>
              </w:rPr>
              <w:t>digital</w:t>
            </w:r>
            <w:r>
              <w:rPr>
                <w:spacing w:val="1"/>
                <w:sz w:val="16"/>
              </w:rPr>
              <w:t xml:space="preserve"> </w:t>
            </w:r>
            <w:r>
              <w:rPr>
                <w:sz w:val="16"/>
              </w:rPr>
              <w:t>transition of</w:t>
            </w:r>
            <w:r>
              <w:rPr>
                <w:spacing w:val="1"/>
                <w:sz w:val="16"/>
              </w:rPr>
              <w:t xml:space="preserve"> </w:t>
            </w:r>
            <w:r>
              <w:rPr>
                <w:sz w:val="16"/>
              </w:rPr>
              <w:t>tourism</w:t>
            </w:r>
            <w:r>
              <w:rPr>
                <w:spacing w:val="1"/>
                <w:sz w:val="16"/>
              </w:rPr>
              <w:t xml:space="preserve"> </w:t>
            </w:r>
            <w:r>
              <w:rPr>
                <w:spacing w:val="-1"/>
                <w:sz w:val="16"/>
              </w:rPr>
              <w:t>entrepreneurs/</w:t>
            </w:r>
            <w:r>
              <w:rPr>
                <w:spacing w:val="-37"/>
                <w:sz w:val="16"/>
              </w:rPr>
              <w:t xml:space="preserve"> </w:t>
            </w:r>
            <w:r>
              <w:rPr>
                <w:sz w:val="16"/>
              </w:rPr>
              <w:t>2088;</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61"/>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71"/>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7"/>
              <w:rPr>
                <w:sz w:val="16"/>
              </w:rPr>
            </w:pPr>
            <w:r>
              <w:rPr>
                <w:sz w:val="16"/>
              </w:rPr>
              <w:t>MTS</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3"/>
              <w:rPr>
                <w:sz w:val="16"/>
              </w:rPr>
            </w:pPr>
            <w:r>
              <w:rPr>
                <w:sz w:val="16"/>
              </w:rPr>
              <w:t>The tender documentation shall specify that at</w:t>
            </w:r>
            <w:r>
              <w:rPr>
                <w:spacing w:val="-37"/>
                <w:sz w:val="16"/>
              </w:rPr>
              <w:t xml:space="preserve"> </w:t>
            </w:r>
            <w:r>
              <w:rPr>
                <w:sz w:val="16"/>
              </w:rPr>
              <w:t>least EUR 29,862,632 of the total investments</w:t>
            </w:r>
            <w:r>
              <w:rPr>
                <w:spacing w:val="1"/>
                <w:sz w:val="16"/>
              </w:rPr>
              <w:t xml:space="preserve"> </w:t>
            </w:r>
            <w:r>
              <w:rPr>
                <w:sz w:val="16"/>
              </w:rPr>
              <w:t>will be awarded to investment focussed on</w:t>
            </w:r>
            <w:r>
              <w:rPr>
                <w:spacing w:val="1"/>
                <w:sz w:val="16"/>
              </w:rPr>
              <w:t xml:space="preserve"> </w:t>
            </w:r>
            <w:r>
              <w:rPr>
                <w:sz w:val="16"/>
              </w:rPr>
              <w:t>climate change mitigation or adaptation, the</w:t>
            </w:r>
            <w:r>
              <w:rPr>
                <w:spacing w:val="1"/>
                <w:sz w:val="16"/>
              </w:rPr>
              <w:t xml:space="preserve"> </w:t>
            </w:r>
            <w:r>
              <w:rPr>
                <w:sz w:val="16"/>
              </w:rPr>
              <w:t>digitalisation of activities in line with the</w:t>
            </w:r>
            <w:r>
              <w:rPr>
                <w:spacing w:val="1"/>
                <w:sz w:val="16"/>
              </w:rPr>
              <w:t xml:space="preserve"> </w:t>
            </w:r>
            <w:r>
              <w:rPr>
                <w:sz w:val="16"/>
              </w:rPr>
              <w:t>criteria of reducing greenhouse gas emissions</w:t>
            </w:r>
            <w:r>
              <w:rPr>
                <w:spacing w:val="1"/>
                <w:sz w:val="16"/>
              </w:rPr>
              <w:t xml:space="preserve"> </w:t>
            </w:r>
            <w:r>
              <w:rPr>
                <w:sz w:val="16"/>
              </w:rPr>
              <w:t>or energy efficiency and waste reduction, as</w:t>
            </w:r>
            <w:r>
              <w:rPr>
                <w:spacing w:val="1"/>
                <w:sz w:val="16"/>
              </w:rPr>
              <w:t xml:space="preserve"> </w:t>
            </w:r>
            <w:r>
              <w:rPr>
                <w:sz w:val="16"/>
              </w:rPr>
              <w:t>well as the transition to a circular economy.</w:t>
            </w:r>
            <w:r>
              <w:rPr>
                <w:spacing w:val="1"/>
                <w:sz w:val="16"/>
              </w:rPr>
              <w:t xml:space="preserve"> </w:t>
            </w:r>
            <w:r>
              <w:rPr>
                <w:sz w:val="16"/>
              </w:rPr>
              <w:t>Project selection criteria shall contribute to the</w:t>
            </w:r>
            <w:r>
              <w:rPr>
                <w:spacing w:val="-37"/>
                <w:sz w:val="16"/>
              </w:rPr>
              <w:t xml:space="preserve"> </w:t>
            </w:r>
            <w:r>
              <w:rPr>
                <w:sz w:val="16"/>
              </w:rPr>
              <w:t>green transition, in line with the NRS, the</w:t>
            </w:r>
            <w:r>
              <w:rPr>
                <w:spacing w:val="1"/>
                <w:sz w:val="16"/>
              </w:rPr>
              <w:t xml:space="preserve"> </w:t>
            </w:r>
            <w:r>
              <w:rPr>
                <w:sz w:val="16"/>
              </w:rPr>
              <w:t>Green Treaty for Europe, the sustainability</w:t>
            </w:r>
            <w:r>
              <w:rPr>
                <w:spacing w:val="1"/>
                <w:sz w:val="16"/>
              </w:rPr>
              <w:t xml:space="preserve"> </w:t>
            </w:r>
            <w:r>
              <w:rPr>
                <w:sz w:val="16"/>
              </w:rPr>
              <w:t>indicators defined in the feasibility study for</w:t>
            </w:r>
            <w:r>
              <w:rPr>
                <w:spacing w:val="1"/>
                <w:sz w:val="16"/>
              </w:rPr>
              <w:t xml:space="preserve"> </w:t>
            </w:r>
            <w:r>
              <w:rPr>
                <w:sz w:val="16"/>
              </w:rPr>
              <w:t>the creation of a sustainable tourism satellite</w:t>
            </w:r>
            <w:r>
              <w:rPr>
                <w:spacing w:val="1"/>
                <w:sz w:val="16"/>
              </w:rPr>
              <w:t xml:space="preserve"> </w:t>
            </w:r>
            <w:r>
              <w:rPr>
                <w:sz w:val="16"/>
              </w:rPr>
              <w:t>account of the Republic of Croatia and the</w:t>
            </w:r>
            <w:r>
              <w:rPr>
                <w:spacing w:val="1"/>
                <w:sz w:val="16"/>
              </w:rPr>
              <w:t xml:space="preserve"> </w:t>
            </w:r>
            <w:r>
              <w:rPr>
                <w:sz w:val="16"/>
              </w:rPr>
              <w:t>guidelines for drawing up the Sustainable</w:t>
            </w:r>
            <w:r>
              <w:rPr>
                <w:spacing w:val="1"/>
                <w:sz w:val="16"/>
              </w:rPr>
              <w:t xml:space="preserve"> </w:t>
            </w:r>
            <w:r>
              <w:rPr>
                <w:sz w:val="16"/>
              </w:rPr>
              <w:t>Tourism</w:t>
            </w:r>
            <w:r>
              <w:rPr>
                <w:spacing w:val="-2"/>
                <w:sz w:val="16"/>
              </w:rPr>
              <w:t xml:space="preserve"> </w:t>
            </w:r>
            <w:r>
              <w:rPr>
                <w:sz w:val="16"/>
              </w:rPr>
              <w:t>Development Strategy</w:t>
            </w:r>
            <w:r>
              <w:rPr>
                <w:spacing w:val="-5"/>
                <w:sz w:val="16"/>
              </w:rPr>
              <w:t xml:space="preserve"> </w:t>
            </w:r>
            <w:r>
              <w:rPr>
                <w:sz w:val="16"/>
              </w:rPr>
              <w:t>for</w:t>
            </w:r>
            <w:r>
              <w:rPr>
                <w:spacing w:val="-2"/>
                <w:sz w:val="16"/>
              </w:rPr>
              <w:t xml:space="preserve"> </w:t>
            </w:r>
            <w:r>
              <w:rPr>
                <w:sz w:val="16"/>
              </w:rPr>
              <w:t>2030.</w:t>
            </w:r>
          </w:p>
          <w:p w:rsidR="00A56FE9" w:rsidRDefault="00000000">
            <w:pPr>
              <w:pStyle w:val="TableParagraph"/>
              <w:ind w:left="57" w:right="175"/>
              <w:rPr>
                <w:sz w:val="16"/>
              </w:rPr>
            </w:pPr>
            <w:r>
              <w:rPr>
                <w:sz w:val="16"/>
              </w:rPr>
              <w:t>Consistently with the principles of ‘Do no</w:t>
            </w:r>
            <w:r>
              <w:rPr>
                <w:spacing w:val="1"/>
                <w:sz w:val="16"/>
              </w:rPr>
              <w:t xml:space="preserve"> </w:t>
            </w:r>
            <w:r>
              <w:rPr>
                <w:sz w:val="16"/>
              </w:rPr>
              <w:t>significant harm’ Technical Guidance</w:t>
            </w:r>
            <w:r>
              <w:rPr>
                <w:spacing w:val="1"/>
                <w:sz w:val="16"/>
              </w:rPr>
              <w:t xml:space="preserve"> </w:t>
            </w:r>
            <w:r>
              <w:rPr>
                <w:sz w:val="16"/>
              </w:rPr>
              <w:t>applicants shall demonstrate how they will</w:t>
            </w:r>
            <w:r>
              <w:rPr>
                <w:spacing w:val="1"/>
                <w:sz w:val="16"/>
              </w:rPr>
              <w:t xml:space="preserve"> </w:t>
            </w:r>
            <w:r>
              <w:rPr>
                <w:sz w:val="16"/>
              </w:rPr>
              <w:t>mitigate the negative environmental impacts</w:t>
            </w:r>
            <w:r>
              <w:rPr>
                <w:spacing w:val="-37"/>
                <w:sz w:val="16"/>
              </w:rPr>
              <w:t xml:space="preserve"> </w:t>
            </w:r>
            <w:r>
              <w:rPr>
                <w:sz w:val="16"/>
              </w:rPr>
              <w:t>that can be associated with the project and</w:t>
            </w:r>
            <w:r>
              <w:rPr>
                <w:spacing w:val="1"/>
                <w:sz w:val="16"/>
              </w:rPr>
              <w:t xml:space="preserve"> </w:t>
            </w:r>
            <w:r>
              <w:rPr>
                <w:sz w:val="16"/>
              </w:rPr>
              <w:t>how they will contribute to positive impacts</w:t>
            </w:r>
            <w:r>
              <w:rPr>
                <w:spacing w:val="-37"/>
                <w:sz w:val="16"/>
              </w:rPr>
              <w:t xml:space="preserve"> </w:t>
            </w:r>
            <w:r>
              <w:rPr>
                <w:sz w:val="16"/>
              </w:rPr>
              <w:t>during</w:t>
            </w:r>
            <w:r>
              <w:rPr>
                <w:spacing w:val="-5"/>
                <w:sz w:val="16"/>
              </w:rPr>
              <w:t xml:space="preserve"> </w:t>
            </w:r>
            <w:r>
              <w:rPr>
                <w:sz w:val="16"/>
              </w:rPr>
              <w:t>the</w:t>
            </w:r>
            <w:r>
              <w:rPr>
                <w:spacing w:val="-5"/>
                <w:sz w:val="16"/>
              </w:rPr>
              <w:t xml:space="preserve"> </w:t>
            </w:r>
            <w:r>
              <w:rPr>
                <w:sz w:val="16"/>
              </w:rPr>
              <w:t>implementation</w:t>
            </w:r>
            <w:r>
              <w:rPr>
                <w:spacing w:val="-1"/>
                <w:sz w:val="16"/>
              </w:rPr>
              <w:t xml:space="preserve"> </w:t>
            </w:r>
            <w:r>
              <w:rPr>
                <w:sz w:val="16"/>
              </w:rPr>
              <w:t>of</w:t>
            </w:r>
            <w:r>
              <w:rPr>
                <w:spacing w:val="-2"/>
                <w:sz w:val="16"/>
              </w:rPr>
              <w:t xml:space="preserve"> </w:t>
            </w:r>
            <w:r>
              <w:rPr>
                <w:sz w:val="16"/>
              </w:rPr>
              <w:t>the</w:t>
            </w:r>
            <w:r>
              <w:rPr>
                <w:spacing w:val="-3"/>
                <w:sz w:val="16"/>
              </w:rPr>
              <w:t xml:space="preserve"> </w:t>
            </w:r>
            <w:r>
              <w:rPr>
                <w:sz w:val="16"/>
              </w:rPr>
              <w:t>project.</w:t>
            </w:r>
          </w:p>
          <w:p w:rsidR="00A56FE9" w:rsidRDefault="00A56FE9">
            <w:pPr>
              <w:pStyle w:val="TableParagraph"/>
              <w:spacing w:before="7"/>
              <w:rPr>
                <w:sz w:val="15"/>
              </w:rPr>
            </w:pPr>
          </w:p>
          <w:p w:rsidR="00A56FE9" w:rsidRDefault="00000000">
            <w:pPr>
              <w:pStyle w:val="TableParagraph"/>
              <w:ind w:left="57" w:right="28"/>
              <w:rPr>
                <w:sz w:val="16"/>
              </w:rPr>
            </w:pPr>
            <w:r>
              <w:rPr>
                <w:sz w:val="16"/>
              </w:rPr>
              <w:t>The tender document shall assign at least EUR</w:t>
            </w:r>
            <w:r>
              <w:rPr>
                <w:spacing w:val="-37"/>
                <w:sz w:val="16"/>
              </w:rPr>
              <w:t xml:space="preserve"> </w:t>
            </w:r>
            <w:r>
              <w:rPr>
                <w:sz w:val="16"/>
              </w:rPr>
              <w:t>29,862,632</w:t>
            </w:r>
            <w:r>
              <w:rPr>
                <w:spacing w:val="-1"/>
                <w:sz w:val="16"/>
              </w:rPr>
              <w:t xml:space="preserve"> </w:t>
            </w:r>
            <w:r>
              <w:rPr>
                <w:sz w:val="16"/>
              </w:rPr>
              <w:t>of</w:t>
            </w:r>
            <w:r>
              <w:rPr>
                <w:spacing w:val="-5"/>
                <w:sz w:val="16"/>
              </w:rPr>
              <w:t xml:space="preserve"> </w:t>
            </w:r>
            <w:r>
              <w:rPr>
                <w:sz w:val="16"/>
              </w:rPr>
              <w:t>the</w:t>
            </w:r>
            <w:r>
              <w:rPr>
                <w:spacing w:val="-4"/>
                <w:sz w:val="16"/>
              </w:rPr>
              <w:t xml:space="preserve"> </w:t>
            </w:r>
            <w:r>
              <w:rPr>
                <w:sz w:val="16"/>
              </w:rPr>
              <w:t>total</w:t>
            </w:r>
            <w:r>
              <w:rPr>
                <w:spacing w:val="-3"/>
                <w:sz w:val="16"/>
              </w:rPr>
              <w:t xml:space="preserve"> </w:t>
            </w:r>
            <w:r>
              <w:rPr>
                <w:sz w:val="16"/>
              </w:rPr>
              <w:t>investments</w:t>
            </w:r>
            <w:r>
              <w:rPr>
                <w:spacing w:val="-4"/>
                <w:sz w:val="16"/>
              </w:rPr>
              <w:t xml:space="preserve"> </w:t>
            </w:r>
            <w:r>
              <w:rPr>
                <w:sz w:val="16"/>
              </w:rPr>
              <w:t>to</w:t>
            </w:r>
            <w:r>
              <w:rPr>
                <w:spacing w:val="-4"/>
                <w:sz w:val="16"/>
              </w:rPr>
              <w:t xml:space="preserve"> </w:t>
            </w:r>
            <w:r>
              <w:rPr>
                <w:sz w:val="16"/>
              </w:rPr>
              <w:t>support</w:t>
            </w:r>
          </w:p>
          <w:p w:rsidR="00A56FE9" w:rsidRDefault="00000000">
            <w:pPr>
              <w:pStyle w:val="TableParagraph"/>
              <w:spacing w:line="182" w:lineRule="exact"/>
              <w:ind w:left="57" w:right="24"/>
              <w:rPr>
                <w:sz w:val="16"/>
              </w:rPr>
            </w:pPr>
            <w:r>
              <w:rPr>
                <w:sz w:val="16"/>
              </w:rPr>
              <w:t>the green transition, and shall specify for those</w:t>
            </w:r>
            <w:r>
              <w:rPr>
                <w:spacing w:val="-38"/>
                <w:sz w:val="16"/>
              </w:rPr>
              <w:t xml:space="preserve"> </w:t>
            </w:r>
            <w:r>
              <w:rPr>
                <w:sz w:val="16"/>
              </w:rPr>
              <w:t>investment</w:t>
            </w:r>
            <w:r>
              <w:rPr>
                <w:spacing w:val="-3"/>
                <w:sz w:val="16"/>
              </w:rPr>
              <w:t xml:space="preserve"> </w:t>
            </w:r>
            <w:r>
              <w:rPr>
                <w:sz w:val="16"/>
              </w:rPr>
              <w:t>the</w:t>
            </w:r>
            <w:r>
              <w:rPr>
                <w:spacing w:val="-4"/>
                <w:sz w:val="16"/>
              </w:rPr>
              <w:t xml:space="preserve"> </w:t>
            </w:r>
            <w:r>
              <w:rPr>
                <w:sz w:val="16"/>
              </w:rPr>
              <w:t>selection/eligibility</w:t>
            </w:r>
            <w:r>
              <w:rPr>
                <w:spacing w:val="-5"/>
                <w:sz w:val="16"/>
              </w:rPr>
              <w:t xml:space="preserve"> </w:t>
            </w:r>
            <w:r>
              <w:rPr>
                <w:sz w:val="16"/>
              </w:rPr>
              <w:t>criteria</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225"/>
              <w:rPr>
                <w:sz w:val="16"/>
              </w:rPr>
            </w:pPr>
            <w:r>
              <w:rPr>
                <w:sz w:val="16"/>
              </w:rPr>
              <w:t>353,073,077</w:t>
            </w:r>
          </w:p>
        </w:tc>
      </w:tr>
    </w:tbl>
    <w:p w:rsidR="00A56FE9" w:rsidRDefault="00A56FE9">
      <w:pPr>
        <w:spacing w:line="178" w:lineRule="exac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1281"/>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reflecting</w:t>
            </w:r>
            <w:r>
              <w:rPr>
                <w:spacing w:val="-4"/>
                <w:sz w:val="16"/>
              </w:rPr>
              <w:t xml:space="preserve"> </w:t>
            </w:r>
            <w:r>
              <w:rPr>
                <w:sz w:val="16"/>
              </w:rPr>
              <w:t>the</w:t>
            </w:r>
            <w:r>
              <w:rPr>
                <w:spacing w:val="-5"/>
                <w:sz w:val="16"/>
              </w:rPr>
              <w:t xml:space="preserve"> </w:t>
            </w:r>
            <w:r>
              <w:rPr>
                <w:sz w:val="16"/>
              </w:rPr>
              <w:t>requirements</w:t>
            </w:r>
            <w:r>
              <w:rPr>
                <w:spacing w:val="-3"/>
                <w:sz w:val="16"/>
              </w:rPr>
              <w:t xml:space="preserve"> </w:t>
            </w:r>
            <w:r>
              <w:rPr>
                <w:sz w:val="16"/>
              </w:rPr>
              <w:t>of</w:t>
            </w:r>
            <w:r>
              <w:rPr>
                <w:spacing w:val="-4"/>
                <w:sz w:val="16"/>
              </w:rPr>
              <w:t xml:space="preserve"> </w:t>
            </w:r>
            <w:r>
              <w:rPr>
                <w:sz w:val="16"/>
              </w:rPr>
              <w:t>the</w:t>
            </w:r>
            <w:r>
              <w:rPr>
                <w:spacing w:val="-5"/>
                <w:sz w:val="16"/>
              </w:rPr>
              <w:t xml:space="preserve"> </w:t>
            </w:r>
            <w:r>
              <w:rPr>
                <w:sz w:val="16"/>
              </w:rPr>
              <w:t>applicable</w:t>
            </w:r>
          </w:p>
          <w:p w:rsidR="00A56FE9" w:rsidRDefault="00000000">
            <w:pPr>
              <w:pStyle w:val="TableParagraph"/>
              <w:spacing w:before="1"/>
              <w:ind w:left="57" w:right="60"/>
              <w:rPr>
                <w:sz w:val="16"/>
              </w:rPr>
            </w:pPr>
            <w:r>
              <w:rPr>
                <w:sz w:val="16"/>
              </w:rPr>
              <w:t>intervention areas [3-100] of Annex [VI/VII]</w:t>
            </w:r>
            <w:r>
              <w:rPr>
                <w:spacing w:val="1"/>
                <w:sz w:val="16"/>
              </w:rPr>
              <w:t xml:space="preserve"> </w:t>
            </w:r>
            <w:r>
              <w:rPr>
                <w:sz w:val="16"/>
              </w:rPr>
              <w:t>and compliance with the ‘Do no significant</w:t>
            </w:r>
            <w:r>
              <w:rPr>
                <w:spacing w:val="1"/>
                <w:sz w:val="16"/>
              </w:rPr>
              <w:t xml:space="preserve"> </w:t>
            </w:r>
            <w:r>
              <w:rPr>
                <w:sz w:val="16"/>
              </w:rPr>
              <w:t>harm’ Technical Guidance (2021/C58/01) and</w:t>
            </w:r>
            <w:r>
              <w:rPr>
                <w:spacing w:val="-38"/>
                <w:sz w:val="16"/>
              </w:rPr>
              <w:t xml:space="preserve"> </w:t>
            </w:r>
            <w:r>
              <w:rPr>
                <w:sz w:val="16"/>
              </w:rPr>
              <w:t>the</w:t>
            </w:r>
            <w:r>
              <w:rPr>
                <w:spacing w:val="-5"/>
                <w:sz w:val="16"/>
              </w:rPr>
              <w:t xml:space="preserve"> </w:t>
            </w:r>
            <w:r>
              <w:rPr>
                <w:sz w:val="16"/>
              </w:rPr>
              <w:t>compliance</w:t>
            </w:r>
            <w:r>
              <w:rPr>
                <w:spacing w:val="-4"/>
                <w:sz w:val="16"/>
              </w:rPr>
              <w:t xml:space="preserve"> </w:t>
            </w:r>
            <w:r>
              <w:rPr>
                <w:sz w:val="16"/>
              </w:rPr>
              <w:t>of</w:t>
            </w:r>
            <w:r>
              <w:rPr>
                <w:spacing w:val="-3"/>
                <w:sz w:val="16"/>
              </w:rPr>
              <w:t xml:space="preserve"> </w:t>
            </w:r>
            <w:r>
              <w:rPr>
                <w:sz w:val="16"/>
              </w:rPr>
              <w:t>supported</w:t>
            </w:r>
            <w:r>
              <w:rPr>
                <w:spacing w:val="-4"/>
                <w:sz w:val="16"/>
              </w:rPr>
              <w:t xml:space="preserve"> </w:t>
            </w:r>
            <w:r>
              <w:rPr>
                <w:sz w:val="16"/>
              </w:rPr>
              <w:t>projects</w:t>
            </w:r>
            <w:r>
              <w:rPr>
                <w:spacing w:val="-2"/>
                <w:sz w:val="16"/>
              </w:rPr>
              <w:t xml:space="preserve"> </w:t>
            </w:r>
            <w:r>
              <w:rPr>
                <w:sz w:val="16"/>
              </w:rPr>
              <w:t>with</w:t>
            </w:r>
            <w:r>
              <w:rPr>
                <w:spacing w:val="-2"/>
                <w:sz w:val="16"/>
              </w:rPr>
              <w:t xml:space="preserve"> </w:t>
            </w:r>
            <w:r>
              <w:rPr>
                <w:sz w:val="16"/>
              </w:rPr>
              <w:t>the</w:t>
            </w:r>
          </w:p>
          <w:p w:rsidR="00A56FE9" w:rsidRDefault="00000000">
            <w:pPr>
              <w:pStyle w:val="TableParagraph"/>
              <w:spacing w:line="182" w:lineRule="exact"/>
              <w:ind w:left="57" w:right="95"/>
              <w:rPr>
                <w:sz w:val="16"/>
              </w:rPr>
            </w:pPr>
            <w:r>
              <w:rPr>
                <w:sz w:val="16"/>
              </w:rPr>
              <w:t>relevant</w:t>
            </w:r>
            <w:r>
              <w:rPr>
                <w:spacing w:val="-3"/>
                <w:sz w:val="16"/>
              </w:rPr>
              <w:t xml:space="preserve"> </w:t>
            </w:r>
            <w:r>
              <w:rPr>
                <w:sz w:val="16"/>
              </w:rPr>
              <w:t>EU</w:t>
            </w:r>
            <w:r>
              <w:rPr>
                <w:spacing w:val="-7"/>
                <w:sz w:val="16"/>
              </w:rPr>
              <w:t xml:space="preserve"> </w:t>
            </w:r>
            <w:r>
              <w:rPr>
                <w:sz w:val="16"/>
              </w:rPr>
              <w:t>and</w:t>
            </w:r>
            <w:r>
              <w:rPr>
                <w:spacing w:val="-5"/>
                <w:sz w:val="16"/>
              </w:rPr>
              <w:t xml:space="preserve"> </w:t>
            </w:r>
            <w:r>
              <w:rPr>
                <w:sz w:val="16"/>
              </w:rPr>
              <w:t>national</w:t>
            </w:r>
            <w:r>
              <w:rPr>
                <w:spacing w:val="-4"/>
                <w:sz w:val="16"/>
              </w:rPr>
              <w:t xml:space="preserve"> </w:t>
            </w:r>
            <w:r>
              <w:rPr>
                <w:sz w:val="16"/>
              </w:rPr>
              <w:t>environmental</w:t>
            </w:r>
            <w:r>
              <w:rPr>
                <w:spacing w:val="-37"/>
                <w:sz w:val="16"/>
              </w:rPr>
              <w:t xml:space="preserve"> </w:t>
            </w:r>
            <w:r>
              <w:rPr>
                <w:sz w:val="16"/>
              </w:rPr>
              <w:t>acquis.</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331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22</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13</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5,</w:t>
            </w:r>
          </w:p>
          <w:p w:rsidR="00A56FE9" w:rsidRDefault="00000000">
            <w:pPr>
              <w:pStyle w:val="TableParagraph"/>
              <w:spacing w:before="1"/>
              <w:ind w:left="50"/>
              <w:rPr>
                <w:sz w:val="16"/>
              </w:rPr>
            </w:pPr>
            <w:r>
              <w:rPr>
                <w:sz w:val="16"/>
              </w:rPr>
              <w:t>8</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8"/>
              <w:rPr>
                <w:sz w:val="16"/>
              </w:rPr>
            </w:pPr>
            <w:r>
              <w:rPr>
                <w:sz w:val="16"/>
              </w:rPr>
              <w:t>1 - ECONOMY –</w:t>
            </w:r>
            <w:r>
              <w:rPr>
                <w:spacing w:val="1"/>
                <w:sz w:val="16"/>
              </w:rPr>
              <w:t xml:space="preserve"> </w:t>
            </w:r>
            <w:r>
              <w:rPr>
                <w:spacing w:val="-1"/>
                <w:sz w:val="16"/>
              </w:rPr>
              <w:t xml:space="preserve">CLIMATE </w:t>
            </w:r>
            <w:r>
              <w:rPr>
                <w:sz w:val="16"/>
              </w:rPr>
              <w:t>CHANGE</w:t>
            </w:r>
            <w:r>
              <w:rPr>
                <w:spacing w:val="-37"/>
                <w:sz w:val="16"/>
              </w:rPr>
              <w:t xml:space="preserve"> </w:t>
            </w:r>
            <w:r>
              <w:rPr>
                <w:sz w:val="16"/>
              </w:rPr>
              <w:t>AND ENERGY</w:t>
            </w:r>
            <w:r>
              <w:rPr>
                <w:spacing w:val="1"/>
                <w:sz w:val="16"/>
              </w:rPr>
              <w:t xml:space="preserve"> </w:t>
            </w:r>
            <w:r>
              <w:rPr>
                <w:sz w:val="16"/>
              </w:rPr>
              <w:t>SUSTAINABILITY,</w:t>
            </w:r>
          </w:p>
          <w:p w:rsidR="00A56FE9" w:rsidRDefault="00000000">
            <w:pPr>
              <w:pStyle w:val="TableParagraph"/>
              <w:ind w:left="50" w:right="247"/>
              <w:rPr>
                <w:sz w:val="16"/>
              </w:rPr>
            </w:pPr>
            <w:r>
              <w:rPr>
                <w:sz w:val="16"/>
              </w:rPr>
              <w:t>Establishment of a plan</w:t>
            </w:r>
            <w:r>
              <w:rPr>
                <w:spacing w:val="-37"/>
                <w:sz w:val="16"/>
              </w:rPr>
              <w:t xml:space="preserve"> </w:t>
            </w:r>
            <w:r>
              <w:rPr>
                <w:sz w:val="16"/>
              </w:rPr>
              <w:t>framework for</w:t>
            </w:r>
            <w:r>
              <w:rPr>
                <w:spacing w:val="1"/>
                <w:sz w:val="16"/>
              </w:rPr>
              <w:t xml:space="preserve"> </w:t>
            </w:r>
            <w:r>
              <w:rPr>
                <w:sz w:val="16"/>
              </w:rPr>
              <w:t>implementing the Low-</w:t>
            </w:r>
            <w:r>
              <w:rPr>
                <w:spacing w:val="-37"/>
                <w:sz w:val="16"/>
              </w:rPr>
              <w:t xml:space="preserve"> </w:t>
            </w:r>
            <w:r>
              <w:rPr>
                <w:sz w:val="16"/>
              </w:rPr>
              <w:t>Carbon Development</w:t>
            </w:r>
            <w:r>
              <w:rPr>
                <w:spacing w:val="1"/>
                <w:sz w:val="16"/>
              </w:rPr>
              <w:t xml:space="preserve"> </w:t>
            </w:r>
            <w:r>
              <w:rPr>
                <w:sz w:val="16"/>
              </w:rPr>
              <w:t>Strategy</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72"/>
              <w:rPr>
                <w:sz w:val="16"/>
              </w:rPr>
            </w:pPr>
            <w:r>
              <w:rPr>
                <w:sz w:val="16"/>
              </w:rPr>
              <w:t>Contribution by Croatia</w:t>
            </w:r>
            <w:r>
              <w:rPr>
                <w:spacing w:val="-37"/>
                <w:sz w:val="16"/>
              </w:rPr>
              <w:t xml:space="preserve"> </w:t>
            </w:r>
            <w:r>
              <w:rPr>
                <w:sz w:val="16"/>
              </w:rPr>
              <w:t>to EU emission</w:t>
            </w:r>
            <w:r>
              <w:rPr>
                <w:spacing w:val="1"/>
                <w:sz w:val="16"/>
              </w:rPr>
              <w:t xml:space="preserve"> </w:t>
            </w:r>
            <w:r>
              <w:rPr>
                <w:sz w:val="16"/>
              </w:rPr>
              <w:t>reduction by 55% by</w:t>
            </w:r>
            <w:r>
              <w:rPr>
                <w:spacing w:val="1"/>
                <w:sz w:val="16"/>
              </w:rPr>
              <w:t xml:space="preserve"> </w:t>
            </w:r>
            <w:r>
              <w:rPr>
                <w:sz w:val="16"/>
              </w:rPr>
              <w:t>2030</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12"/>
              <w:rPr>
                <w:sz w:val="16"/>
              </w:rPr>
            </w:pPr>
            <w:r>
              <w:rPr>
                <w:sz w:val="16"/>
              </w:rPr>
              <w:t>Amount of</w:t>
            </w:r>
            <w:r>
              <w:rPr>
                <w:spacing w:val="1"/>
                <w:sz w:val="16"/>
              </w:rPr>
              <w:t xml:space="preserve"> </w:t>
            </w:r>
            <w:r>
              <w:rPr>
                <w:sz w:val="16"/>
              </w:rPr>
              <w:t>greenhouse</w:t>
            </w:r>
            <w:r>
              <w:rPr>
                <w:spacing w:val="1"/>
                <w:sz w:val="16"/>
              </w:rPr>
              <w:t xml:space="preserve"> </w:t>
            </w:r>
            <w:r>
              <w:rPr>
                <w:sz w:val="16"/>
              </w:rPr>
              <w:t>gas emissions</w:t>
            </w:r>
            <w:r>
              <w:rPr>
                <w:spacing w:val="-37"/>
                <w:sz w:val="16"/>
              </w:rPr>
              <w:t xml:space="preserve"> </w:t>
            </w:r>
            <w:r>
              <w:rPr>
                <w:sz w:val="16"/>
              </w:rPr>
              <w:t>according to</w:t>
            </w:r>
            <w:r>
              <w:rPr>
                <w:spacing w:val="1"/>
                <w:sz w:val="16"/>
              </w:rPr>
              <w:t xml:space="preserve"> </w:t>
            </w:r>
            <w:r>
              <w:rPr>
                <w:sz w:val="16"/>
              </w:rPr>
              <w:t>the National</w:t>
            </w:r>
            <w:r>
              <w:rPr>
                <w:spacing w:val="1"/>
                <w:sz w:val="16"/>
              </w:rPr>
              <w:t xml:space="preserve"> </w:t>
            </w:r>
            <w:r>
              <w:rPr>
                <w:sz w:val="16"/>
              </w:rPr>
              <w:t>Emission</w:t>
            </w:r>
            <w:r>
              <w:rPr>
                <w:spacing w:val="1"/>
                <w:sz w:val="16"/>
              </w:rPr>
              <w:t xml:space="preserve"> </w:t>
            </w:r>
            <w:r>
              <w:rPr>
                <w:sz w:val="16"/>
              </w:rPr>
              <w:t>Inventory.</w:t>
            </w:r>
          </w:p>
          <w:p w:rsidR="00A56FE9" w:rsidRDefault="00000000">
            <w:pPr>
              <w:pStyle w:val="TableParagraph"/>
              <w:ind w:left="110" w:right="112"/>
              <w:rPr>
                <w:sz w:val="16"/>
              </w:rPr>
            </w:pPr>
            <w:r>
              <w:rPr>
                <w:sz w:val="16"/>
              </w:rPr>
              <w:t>Limitation of</w:t>
            </w:r>
            <w:r>
              <w:rPr>
                <w:spacing w:val="1"/>
                <w:sz w:val="16"/>
              </w:rPr>
              <w:t xml:space="preserve"> </w:t>
            </w:r>
            <w:r>
              <w:rPr>
                <w:sz w:val="16"/>
              </w:rPr>
              <w:t>greenhouse</w:t>
            </w:r>
            <w:r>
              <w:rPr>
                <w:spacing w:val="1"/>
                <w:sz w:val="16"/>
              </w:rPr>
              <w:t xml:space="preserve"> </w:t>
            </w:r>
            <w:r>
              <w:rPr>
                <w:sz w:val="16"/>
              </w:rPr>
              <w:t>gas emissions</w:t>
            </w:r>
            <w:r>
              <w:rPr>
                <w:spacing w:val="-37"/>
                <w:sz w:val="16"/>
              </w:rPr>
              <w:t xml:space="preserve"> </w:t>
            </w:r>
            <w:r>
              <w:rPr>
                <w:sz w:val="16"/>
              </w:rPr>
              <w:t>to the level of</w:t>
            </w:r>
            <w:r>
              <w:rPr>
                <w:spacing w:val="-37"/>
                <w:sz w:val="16"/>
              </w:rPr>
              <w:t xml:space="preserve"> </w:t>
            </w:r>
            <w:r>
              <w:rPr>
                <w:sz w:val="16"/>
              </w:rPr>
              <w:t>the national</w:t>
            </w:r>
            <w:r>
              <w:rPr>
                <w:spacing w:val="1"/>
                <w:sz w:val="16"/>
              </w:rPr>
              <w:t xml:space="preserve"> </w:t>
            </w:r>
            <w:r>
              <w:rPr>
                <w:sz w:val="16"/>
              </w:rPr>
              <w:t>annual quota</w:t>
            </w:r>
            <w:r>
              <w:rPr>
                <w:spacing w:val="1"/>
                <w:sz w:val="16"/>
              </w:rPr>
              <w:t xml:space="preserve"> </w:t>
            </w:r>
            <w:r>
              <w:rPr>
                <w:sz w:val="16"/>
              </w:rPr>
              <w:t>for sectors</w:t>
            </w:r>
            <w:r>
              <w:rPr>
                <w:spacing w:val="1"/>
                <w:sz w:val="16"/>
              </w:rPr>
              <w:t xml:space="preserve"> </w:t>
            </w:r>
            <w:r>
              <w:rPr>
                <w:sz w:val="16"/>
              </w:rPr>
              <w:t>outside the</w:t>
            </w:r>
            <w:r>
              <w:rPr>
                <w:spacing w:val="1"/>
                <w:sz w:val="16"/>
              </w:rPr>
              <w:t xml:space="preserve"> </w:t>
            </w:r>
            <w:r>
              <w:rPr>
                <w:sz w:val="16"/>
              </w:rPr>
              <w:t>ETS</w:t>
            </w:r>
          </w:p>
          <w:p w:rsidR="00A56FE9" w:rsidRDefault="00000000">
            <w:pPr>
              <w:pStyle w:val="TableParagraph"/>
              <w:spacing w:line="182" w:lineRule="exact"/>
              <w:ind w:left="110" w:right="158"/>
              <w:rPr>
                <w:sz w:val="16"/>
              </w:rPr>
            </w:pPr>
            <w:r>
              <w:rPr>
                <w:spacing w:val="-1"/>
                <w:sz w:val="16"/>
              </w:rPr>
              <w:t xml:space="preserve">(compared </w:t>
            </w:r>
            <w:r>
              <w:rPr>
                <w:sz w:val="16"/>
              </w:rPr>
              <w:t>to</w:t>
            </w:r>
            <w:r>
              <w:rPr>
                <w:spacing w:val="-37"/>
                <w:sz w:val="16"/>
              </w:rPr>
              <w:t xml:space="preserve"> </w:t>
            </w:r>
            <w:r>
              <w:rPr>
                <w:sz w:val="16"/>
              </w:rPr>
              <w:t>2005)</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3" w:right="70"/>
              <w:rPr>
                <w:sz w:val="16"/>
              </w:rPr>
            </w:pPr>
            <w:r>
              <w:rPr>
                <w:sz w:val="16"/>
              </w:rPr>
              <w:t>In %</w:t>
            </w:r>
            <w:r>
              <w:rPr>
                <w:spacing w:val="1"/>
                <w:sz w:val="16"/>
              </w:rPr>
              <w:t xml:space="preserve"> </w:t>
            </w:r>
            <w:r>
              <w:rPr>
                <w:sz w:val="16"/>
              </w:rPr>
              <w:t>decreas</w:t>
            </w:r>
            <w:r>
              <w:rPr>
                <w:spacing w:val="-37"/>
                <w:sz w:val="16"/>
              </w:rPr>
              <w:t xml:space="preserve"> </w:t>
            </w:r>
            <w:r>
              <w:rPr>
                <w:sz w:val="16"/>
              </w:rPr>
              <w:t>e</w:t>
            </w:r>
            <w:r>
              <w:rPr>
                <w:spacing w:val="1"/>
                <w:sz w:val="16"/>
              </w:rPr>
              <w:t xml:space="preserve"> </w:t>
            </w:r>
            <w:r>
              <w:rPr>
                <w:sz w:val="16"/>
              </w:rPr>
              <w:t>compar</w:t>
            </w:r>
            <w:r>
              <w:rPr>
                <w:spacing w:val="-37"/>
                <w:sz w:val="16"/>
              </w:rPr>
              <w:t xml:space="preserve"> </w:t>
            </w:r>
            <w:r>
              <w:rPr>
                <w:sz w:val="16"/>
              </w:rPr>
              <w:t>ed to</w:t>
            </w:r>
            <w:r>
              <w:rPr>
                <w:spacing w:val="1"/>
                <w:sz w:val="16"/>
              </w:rPr>
              <w:t xml:space="preserve"> </w:t>
            </w:r>
            <w:r>
              <w:rPr>
                <w:sz w:val="16"/>
              </w:rPr>
              <w:t>1990</w:t>
            </w:r>
          </w:p>
          <w:p w:rsidR="00A56FE9" w:rsidRDefault="00000000">
            <w:pPr>
              <w:pStyle w:val="TableParagraph"/>
              <w:ind w:left="53" w:right="176"/>
              <w:rPr>
                <w:sz w:val="16"/>
              </w:rPr>
            </w:pPr>
            <w:r>
              <w:rPr>
                <w:sz w:val="16"/>
              </w:rPr>
              <w:t>levels</w:t>
            </w:r>
            <w:r>
              <w:rPr>
                <w:spacing w:val="-37"/>
                <w:sz w:val="16"/>
              </w:rPr>
              <w:t xml:space="preserve"> </w:t>
            </w:r>
            <w:r>
              <w:rPr>
                <w:sz w:val="16"/>
              </w:rPr>
              <w:t>(1990</w:t>
            </w:r>
          </w:p>
          <w:p w:rsidR="00A56FE9" w:rsidRDefault="00000000">
            <w:pPr>
              <w:pStyle w:val="TableParagraph"/>
              <w:ind w:left="53" w:right="70"/>
              <w:rPr>
                <w:sz w:val="16"/>
              </w:rPr>
            </w:pPr>
            <w:r>
              <w:rPr>
                <w:spacing w:val="-1"/>
                <w:sz w:val="16"/>
              </w:rPr>
              <w:t xml:space="preserve">index </w:t>
            </w:r>
            <w:r>
              <w:rPr>
                <w:sz w:val="16"/>
              </w:rPr>
              <w:t>=</w:t>
            </w:r>
            <w:r>
              <w:rPr>
                <w:spacing w:val="-37"/>
                <w:sz w:val="16"/>
              </w:rPr>
              <w:t xml:space="preserve"> </w:t>
            </w:r>
            <w:r>
              <w:rPr>
                <w:sz w:val="16"/>
              </w:rPr>
              <w:t>100)</w:t>
            </w:r>
          </w:p>
          <w:p w:rsidR="00A56FE9" w:rsidRDefault="00A56FE9">
            <w:pPr>
              <w:pStyle w:val="TableParagraph"/>
              <w:rPr>
                <w:sz w:val="18"/>
              </w:rPr>
            </w:pPr>
          </w:p>
          <w:p w:rsidR="00A56FE9" w:rsidRDefault="00000000">
            <w:pPr>
              <w:pStyle w:val="TableParagraph"/>
              <w:spacing w:before="158"/>
              <w:ind w:left="53" w:right="96"/>
              <w:rPr>
                <w:sz w:val="16"/>
              </w:rPr>
            </w:pPr>
            <w:r>
              <w:rPr>
                <w:sz w:val="16"/>
              </w:rPr>
              <w:t>kt</w:t>
            </w:r>
            <w:r>
              <w:rPr>
                <w:spacing w:val="1"/>
                <w:sz w:val="16"/>
              </w:rPr>
              <w:t xml:space="preserve"> </w:t>
            </w:r>
            <w:r>
              <w:rPr>
                <w:sz w:val="16"/>
              </w:rPr>
              <w:t>CO2eq</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3" w:right="27"/>
              <w:jc w:val="center"/>
              <w:rPr>
                <w:sz w:val="16"/>
              </w:rPr>
            </w:pPr>
            <w:r>
              <w:rPr>
                <w:sz w:val="16"/>
              </w:rPr>
              <w:t>73.3</w:t>
            </w: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000000">
            <w:pPr>
              <w:pStyle w:val="TableParagraph"/>
              <w:spacing w:before="144"/>
              <w:ind w:left="46" w:right="27"/>
              <w:jc w:val="center"/>
              <w:rPr>
                <w:sz w:val="16"/>
              </w:rPr>
            </w:pPr>
            <w:r>
              <w:rPr>
                <w:sz w:val="16"/>
              </w:rPr>
              <w:t>19,105,</w:t>
            </w:r>
          </w:p>
          <w:p w:rsidR="00A56FE9" w:rsidRDefault="00000000">
            <w:pPr>
              <w:pStyle w:val="TableParagraph"/>
              <w:spacing w:before="1"/>
              <w:ind w:left="46" w:right="27"/>
              <w:jc w:val="center"/>
              <w:rPr>
                <w:sz w:val="16"/>
              </w:rPr>
            </w:pPr>
            <w:r>
              <w:rPr>
                <w:sz w:val="16"/>
              </w:rPr>
              <w:t>632</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60" w:right="41"/>
              <w:jc w:val="center"/>
              <w:rPr>
                <w:sz w:val="16"/>
              </w:rPr>
            </w:pPr>
            <w:r>
              <w:rPr>
                <w:sz w:val="16"/>
              </w:rPr>
              <w:t>65</w:t>
            </w: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A56FE9">
            <w:pPr>
              <w:pStyle w:val="TableParagraph"/>
              <w:rPr>
                <w:sz w:val="18"/>
              </w:rPr>
            </w:pPr>
          </w:p>
          <w:p w:rsidR="00A56FE9" w:rsidRDefault="00000000">
            <w:pPr>
              <w:pStyle w:val="TableParagraph"/>
              <w:spacing w:before="161"/>
              <w:ind w:left="61" w:right="40"/>
              <w:jc w:val="center"/>
              <w:rPr>
                <w:sz w:val="16"/>
              </w:rPr>
            </w:pPr>
            <w:r>
              <w:rPr>
                <w:sz w:val="16"/>
              </w:rPr>
              <w:t>19,317,</w:t>
            </w:r>
          </w:p>
          <w:p w:rsidR="00A56FE9" w:rsidRDefault="00000000">
            <w:pPr>
              <w:pStyle w:val="TableParagraph"/>
              <w:spacing w:before="1"/>
              <w:ind w:left="61" w:right="41"/>
              <w:jc w:val="center"/>
              <w:rPr>
                <w:sz w:val="16"/>
              </w:rPr>
            </w:pPr>
            <w:r>
              <w:rPr>
                <w:sz w:val="16"/>
              </w:rPr>
              <w:t>944</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MESD</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70"/>
              <w:rPr>
                <w:sz w:val="16"/>
              </w:rPr>
            </w:pPr>
            <w:r>
              <w:rPr>
                <w:sz w:val="16"/>
              </w:rPr>
              <w:t>For 2019, Croatia was allowed a national</w:t>
            </w:r>
            <w:r>
              <w:rPr>
                <w:spacing w:val="1"/>
                <w:sz w:val="16"/>
              </w:rPr>
              <w:t xml:space="preserve"> </w:t>
            </w:r>
            <w:r>
              <w:rPr>
                <w:sz w:val="16"/>
              </w:rPr>
              <w:t>annual quota of 19,105,632 tCO2-eq, while</w:t>
            </w:r>
            <w:r>
              <w:rPr>
                <w:spacing w:val="1"/>
                <w:sz w:val="16"/>
              </w:rPr>
              <w:t xml:space="preserve"> </w:t>
            </w:r>
            <w:r>
              <w:rPr>
                <w:sz w:val="16"/>
              </w:rPr>
              <w:t>actual emissions for 2019 (outside the trading</w:t>
            </w:r>
            <w:r>
              <w:rPr>
                <w:spacing w:val="-37"/>
                <w:sz w:val="16"/>
              </w:rPr>
              <w:t xml:space="preserve"> </w:t>
            </w:r>
            <w:r>
              <w:rPr>
                <w:sz w:val="16"/>
              </w:rPr>
              <w:t>system) were 16,058,241 tCO2-eq. Following</w:t>
            </w:r>
            <w:r>
              <w:rPr>
                <w:spacing w:val="-37"/>
                <w:sz w:val="16"/>
              </w:rPr>
              <w:t xml:space="preserve"> </w:t>
            </w:r>
            <w:r>
              <w:rPr>
                <w:sz w:val="16"/>
              </w:rPr>
              <w:t>the European Commission's audit in 2022, the</w:t>
            </w:r>
            <w:r>
              <w:rPr>
                <w:spacing w:val="-37"/>
                <w:sz w:val="16"/>
              </w:rPr>
              <w:t xml:space="preserve"> </w:t>
            </w:r>
            <w:r>
              <w:rPr>
                <w:sz w:val="16"/>
              </w:rPr>
              <w:t>actual emissions will be known for 2020 and</w:t>
            </w:r>
            <w:r>
              <w:rPr>
                <w:spacing w:val="1"/>
                <w:sz w:val="16"/>
              </w:rPr>
              <w:t xml:space="preserve"> </w:t>
            </w:r>
            <w:r>
              <w:rPr>
                <w:sz w:val="16"/>
              </w:rPr>
              <w:t>in</w:t>
            </w:r>
            <w:r>
              <w:rPr>
                <w:spacing w:val="-2"/>
                <w:sz w:val="16"/>
              </w:rPr>
              <w:t xml:space="preserve"> </w:t>
            </w:r>
            <w:r>
              <w:rPr>
                <w:sz w:val="16"/>
              </w:rPr>
              <w:t>2023</w:t>
            </w:r>
            <w:r>
              <w:rPr>
                <w:spacing w:val="1"/>
                <w:sz w:val="16"/>
              </w:rPr>
              <w:t xml:space="preserve"> </w:t>
            </w:r>
            <w:r>
              <w:rPr>
                <w:sz w:val="16"/>
              </w:rPr>
              <w:t>for</w:t>
            </w:r>
            <w:r>
              <w:rPr>
                <w:spacing w:val="-3"/>
                <w:sz w:val="16"/>
              </w:rPr>
              <w:t xml:space="preserve"> </w:t>
            </w:r>
            <w:r>
              <w:rPr>
                <w:sz w:val="16"/>
              </w:rPr>
              <w:t>2021.</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165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23</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13</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5,</w:t>
            </w:r>
          </w:p>
          <w:p w:rsidR="00A56FE9" w:rsidRDefault="00000000">
            <w:pPr>
              <w:pStyle w:val="TableParagraph"/>
              <w:spacing w:before="1"/>
              <w:ind w:left="50"/>
              <w:rPr>
                <w:sz w:val="16"/>
              </w:rPr>
            </w:pPr>
            <w:r>
              <w:rPr>
                <w:sz w:val="16"/>
              </w:rPr>
              <w:t>8</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8"/>
              <w:rPr>
                <w:sz w:val="16"/>
              </w:rPr>
            </w:pPr>
            <w:r>
              <w:rPr>
                <w:sz w:val="16"/>
              </w:rPr>
              <w:t>1</w:t>
            </w:r>
            <w:r>
              <w:rPr>
                <w:spacing w:val="1"/>
                <w:sz w:val="16"/>
              </w:rPr>
              <w:t xml:space="preserve"> </w:t>
            </w:r>
            <w:r>
              <w:rPr>
                <w:sz w:val="16"/>
              </w:rPr>
              <w:t>- ECONOMY -</w:t>
            </w:r>
            <w:r>
              <w:rPr>
                <w:spacing w:val="1"/>
                <w:sz w:val="16"/>
              </w:rPr>
              <w:t xml:space="preserve"> </w:t>
            </w:r>
            <w:r>
              <w:rPr>
                <w:spacing w:val="-1"/>
                <w:sz w:val="16"/>
              </w:rPr>
              <w:t xml:space="preserve">CLIMATE </w:t>
            </w:r>
            <w:r>
              <w:rPr>
                <w:sz w:val="16"/>
              </w:rPr>
              <w:t>CHANGE</w:t>
            </w:r>
            <w:r>
              <w:rPr>
                <w:spacing w:val="-37"/>
                <w:sz w:val="16"/>
              </w:rPr>
              <w:t xml:space="preserve"> </w:t>
            </w:r>
            <w:r>
              <w:rPr>
                <w:sz w:val="16"/>
              </w:rPr>
              <w:t>AND ENERGY</w:t>
            </w:r>
            <w:r>
              <w:rPr>
                <w:spacing w:val="1"/>
                <w:sz w:val="16"/>
              </w:rPr>
              <w:t xml:space="preserve"> </w:t>
            </w:r>
            <w:r>
              <w:rPr>
                <w:sz w:val="16"/>
              </w:rPr>
              <w:t>SUSTAINABILITY,</w:t>
            </w:r>
          </w:p>
          <w:p w:rsidR="00A56FE9" w:rsidRDefault="00000000">
            <w:pPr>
              <w:pStyle w:val="TableParagraph"/>
              <w:ind w:left="50" w:right="251"/>
              <w:rPr>
                <w:sz w:val="16"/>
              </w:rPr>
            </w:pPr>
            <w:r>
              <w:rPr>
                <w:sz w:val="16"/>
              </w:rPr>
              <w:t>Establishment of a plan</w:t>
            </w:r>
            <w:r>
              <w:rPr>
                <w:spacing w:val="-37"/>
                <w:sz w:val="16"/>
              </w:rPr>
              <w:t xml:space="preserve"> </w:t>
            </w:r>
            <w:r>
              <w:rPr>
                <w:sz w:val="16"/>
              </w:rPr>
              <w:t>framework for</w:t>
            </w:r>
            <w:r>
              <w:rPr>
                <w:spacing w:val="1"/>
                <w:sz w:val="16"/>
              </w:rPr>
              <w:t xml:space="preserve"> </w:t>
            </w:r>
            <w:r>
              <w:rPr>
                <w:sz w:val="16"/>
              </w:rPr>
              <w:t>implementing</w:t>
            </w:r>
            <w:r>
              <w:rPr>
                <w:spacing w:val="-5"/>
                <w:sz w:val="16"/>
              </w:rPr>
              <w:t xml:space="preserve"> </w:t>
            </w:r>
            <w:r>
              <w:rPr>
                <w:sz w:val="16"/>
              </w:rPr>
              <w:t>the</w:t>
            </w:r>
            <w:r>
              <w:rPr>
                <w:spacing w:val="-6"/>
                <w:sz w:val="16"/>
              </w:rPr>
              <w:t xml:space="preserve"> </w:t>
            </w:r>
            <w:r>
              <w:rPr>
                <w:sz w:val="16"/>
              </w:rPr>
              <w:t>Low-</w:t>
            </w:r>
          </w:p>
          <w:p w:rsidR="00A56FE9" w:rsidRDefault="00000000">
            <w:pPr>
              <w:pStyle w:val="TableParagraph"/>
              <w:spacing w:line="184" w:lineRule="exact"/>
              <w:ind w:left="50" w:right="394"/>
              <w:rPr>
                <w:sz w:val="16"/>
              </w:rPr>
            </w:pPr>
            <w:r>
              <w:rPr>
                <w:sz w:val="16"/>
              </w:rPr>
              <w:t>Carbon</w:t>
            </w:r>
            <w:r>
              <w:rPr>
                <w:spacing w:val="-9"/>
                <w:sz w:val="16"/>
              </w:rPr>
              <w:t xml:space="preserve"> </w:t>
            </w:r>
            <w:r>
              <w:rPr>
                <w:sz w:val="16"/>
              </w:rPr>
              <w:t>Development</w:t>
            </w:r>
            <w:r>
              <w:rPr>
                <w:spacing w:val="-37"/>
                <w:sz w:val="16"/>
              </w:rPr>
              <w:t xml:space="preserve"> </w:t>
            </w:r>
            <w:r>
              <w:rPr>
                <w:sz w:val="16"/>
              </w:rPr>
              <w:t>Strategy</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63"/>
              <w:rPr>
                <w:sz w:val="16"/>
              </w:rPr>
            </w:pPr>
            <w:r>
              <w:rPr>
                <w:sz w:val="16"/>
              </w:rPr>
              <w:t>Development of a five-</w:t>
            </w:r>
            <w:r>
              <w:rPr>
                <w:spacing w:val="1"/>
                <w:sz w:val="16"/>
              </w:rPr>
              <w:t xml:space="preserve"> </w:t>
            </w:r>
            <w:r>
              <w:rPr>
                <w:sz w:val="16"/>
              </w:rPr>
              <w:t>year Action Plan for the</w:t>
            </w:r>
            <w:r>
              <w:rPr>
                <w:spacing w:val="-37"/>
                <w:sz w:val="16"/>
              </w:rPr>
              <w:t xml:space="preserve"> </w:t>
            </w:r>
            <w:r>
              <w:rPr>
                <w:sz w:val="16"/>
              </w:rPr>
              <w:t>implementation of</w:t>
            </w:r>
            <w:r>
              <w:rPr>
                <w:spacing w:val="1"/>
                <w:sz w:val="16"/>
              </w:rPr>
              <w:t xml:space="preserve"> </w:t>
            </w:r>
            <w:r>
              <w:rPr>
                <w:sz w:val="16"/>
              </w:rPr>
              <w:t>priority measures from</w:t>
            </w:r>
            <w:r>
              <w:rPr>
                <w:spacing w:val="1"/>
                <w:sz w:val="16"/>
              </w:rPr>
              <w:t xml:space="preserve"> </w:t>
            </w:r>
            <w:r>
              <w:rPr>
                <w:sz w:val="16"/>
              </w:rPr>
              <w:t>the Low Carbon</w:t>
            </w:r>
            <w:r>
              <w:rPr>
                <w:spacing w:val="1"/>
                <w:sz w:val="16"/>
              </w:rPr>
              <w:t xml:space="preserve"> </w:t>
            </w:r>
            <w:r>
              <w:rPr>
                <w:sz w:val="16"/>
              </w:rPr>
              <w:t>Development</w:t>
            </w:r>
            <w:r>
              <w:rPr>
                <w:spacing w:val="-3"/>
                <w:sz w:val="16"/>
              </w:rPr>
              <w:t xml:space="preserve"> </w:t>
            </w:r>
            <w:r>
              <w:rPr>
                <w:sz w:val="16"/>
              </w:rPr>
              <w:t>Strategy</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35"/>
              <w:rPr>
                <w:sz w:val="16"/>
              </w:rPr>
            </w:pPr>
            <w:r>
              <w:rPr>
                <w:sz w:val="16"/>
              </w:rPr>
              <w:t>Adoption of</w:t>
            </w:r>
            <w:r>
              <w:rPr>
                <w:spacing w:val="1"/>
                <w:sz w:val="16"/>
              </w:rPr>
              <w:t xml:space="preserve"> </w:t>
            </w:r>
            <w:r>
              <w:rPr>
                <w:sz w:val="16"/>
              </w:rPr>
              <w:t>the Action</w:t>
            </w:r>
            <w:r>
              <w:rPr>
                <w:spacing w:val="1"/>
                <w:sz w:val="16"/>
              </w:rPr>
              <w:t xml:space="preserve"> </w:t>
            </w:r>
            <w:r>
              <w:rPr>
                <w:sz w:val="16"/>
              </w:rPr>
              <w:t>Plan for Low</w:t>
            </w:r>
            <w:r>
              <w:rPr>
                <w:spacing w:val="-37"/>
                <w:sz w:val="16"/>
              </w:rPr>
              <w:t xml:space="preserve"> </w:t>
            </w:r>
            <w:r>
              <w:rPr>
                <w:sz w:val="16"/>
              </w:rPr>
              <w:t>Carbon</w:t>
            </w:r>
            <w:r>
              <w:rPr>
                <w:spacing w:val="1"/>
                <w:sz w:val="16"/>
              </w:rPr>
              <w:t xml:space="preserve"> </w:t>
            </w:r>
            <w:r>
              <w:rPr>
                <w:sz w:val="16"/>
              </w:rPr>
              <w:t>Development</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MESD</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88"/>
              <w:rPr>
                <w:sz w:val="16"/>
              </w:rPr>
            </w:pPr>
            <w:r>
              <w:rPr>
                <w:sz w:val="16"/>
              </w:rPr>
              <w:t>An</w:t>
            </w:r>
            <w:r>
              <w:rPr>
                <w:spacing w:val="-2"/>
                <w:sz w:val="16"/>
              </w:rPr>
              <w:t xml:space="preserve"> </w:t>
            </w:r>
            <w:r>
              <w:rPr>
                <w:sz w:val="16"/>
              </w:rPr>
              <w:t>action</w:t>
            </w:r>
            <w:r>
              <w:rPr>
                <w:spacing w:val="-3"/>
                <w:sz w:val="16"/>
              </w:rPr>
              <w:t xml:space="preserve"> </w:t>
            </w:r>
            <w:r>
              <w:rPr>
                <w:sz w:val="16"/>
              </w:rPr>
              <w:t>plan</w:t>
            </w:r>
            <w:r>
              <w:rPr>
                <w:spacing w:val="-3"/>
                <w:sz w:val="16"/>
              </w:rPr>
              <w:t xml:space="preserve"> </w:t>
            </w:r>
            <w:r>
              <w:rPr>
                <w:sz w:val="16"/>
              </w:rPr>
              <w:t>will</w:t>
            </w:r>
            <w:r>
              <w:rPr>
                <w:spacing w:val="-4"/>
                <w:sz w:val="16"/>
              </w:rPr>
              <w:t xml:space="preserve"> </w:t>
            </w:r>
            <w:r>
              <w:rPr>
                <w:sz w:val="16"/>
              </w:rPr>
              <w:t>be</w:t>
            </w:r>
            <w:r>
              <w:rPr>
                <w:spacing w:val="-4"/>
                <w:sz w:val="16"/>
              </w:rPr>
              <w:t xml:space="preserve"> </w:t>
            </w:r>
            <w:r>
              <w:rPr>
                <w:sz w:val="16"/>
              </w:rPr>
              <w:t>drawn</w:t>
            </w:r>
            <w:r>
              <w:rPr>
                <w:spacing w:val="-1"/>
                <w:sz w:val="16"/>
              </w:rPr>
              <w:t xml:space="preserve"> </w:t>
            </w:r>
            <w:r>
              <w:rPr>
                <w:sz w:val="16"/>
              </w:rPr>
              <w:t>up</w:t>
            </w:r>
            <w:r>
              <w:rPr>
                <w:spacing w:val="-4"/>
                <w:sz w:val="16"/>
              </w:rPr>
              <w:t xml:space="preserve"> </w:t>
            </w:r>
            <w:r>
              <w:rPr>
                <w:sz w:val="16"/>
              </w:rPr>
              <w:t>to</w:t>
            </w:r>
            <w:r>
              <w:rPr>
                <w:spacing w:val="-3"/>
                <w:sz w:val="16"/>
              </w:rPr>
              <w:t xml:space="preserve"> </w:t>
            </w:r>
            <w:r>
              <w:rPr>
                <w:sz w:val="16"/>
              </w:rPr>
              <w:t>implement</w:t>
            </w:r>
            <w:r>
              <w:rPr>
                <w:spacing w:val="-37"/>
                <w:sz w:val="16"/>
              </w:rPr>
              <w:t xml:space="preserve"> </w:t>
            </w:r>
            <w:r>
              <w:rPr>
                <w:sz w:val="16"/>
              </w:rPr>
              <w:t>the priority measures of the Low Carbon</w:t>
            </w:r>
            <w:r>
              <w:rPr>
                <w:spacing w:val="1"/>
                <w:sz w:val="16"/>
              </w:rPr>
              <w:t xml:space="preserve"> </w:t>
            </w:r>
            <w:r>
              <w:rPr>
                <w:sz w:val="16"/>
              </w:rPr>
              <w:t>Development Strategy, which will include</w:t>
            </w:r>
            <w:r>
              <w:rPr>
                <w:spacing w:val="1"/>
                <w:sz w:val="16"/>
              </w:rPr>
              <w:t xml:space="preserve"> </w:t>
            </w:r>
            <w:r>
              <w:rPr>
                <w:sz w:val="16"/>
              </w:rPr>
              <w:t>new national commitments to achieve the</w:t>
            </w:r>
            <w:r>
              <w:rPr>
                <w:spacing w:val="1"/>
                <w:sz w:val="16"/>
              </w:rPr>
              <w:t xml:space="preserve"> </w:t>
            </w:r>
            <w:r>
              <w:rPr>
                <w:sz w:val="16"/>
              </w:rPr>
              <w:t>EU's common goal of reducing greenhouse</w:t>
            </w:r>
            <w:r>
              <w:rPr>
                <w:spacing w:val="1"/>
                <w:sz w:val="16"/>
              </w:rPr>
              <w:t xml:space="preserve"> </w:t>
            </w:r>
            <w:r>
              <w:rPr>
                <w:sz w:val="16"/>
              </w:rPr>
              <w:t>gas emissions by 55% by 2030 and achieving</w:t>
            </w:r>
            <w:r>
              <w:rPr>
                <w:spacing w:val="1"/>
                <w:sz w:val="16"/>
              </w:rPr>
              <w:t xml:space="preserve"> </w:t>
            </w:r>
            <w:r>
              <w:rPr>
                <w:sz w:val="16"/>
              </w:rPr>
              <w:t>EU</w:t>
            </w:r>
            <w:r>
              <w:rPr>
                <w:spacing w:val="-2"/>
                <w:sz w:val="16"/>
              </w:rPr>
              <w:t xml:space="preserve"> </w:t>
            </w:r>
            <w:r>
              <w:rPr>
                <w:sz w:val="16"/>
              </w:rPr>
              <w:t>climate</w:t>
            </w:r>
            <w:r>
              <w:rPr>
                <w:spacing w:val="-2"/>
                <w:sz w:val="16"/>
              </w:rPr>
              <w:t xml:space="preserve"> </w:t>
            </w:r>
            <w:r>
              <w:rPr>
                <w:sz w:val="16"/>
              </w:rPr>
              <w:t>neutrality</w:t>
            </w:r>
            <w:r>
              <w:rPr>
                <w:spacing w:val="-3"/>
                <w:sz w:val="16"/>
              </w:rPr>
              <w:t xml:space="preserve"> </w:t>
            </w:r>
            <w:r>
              <w:rPr>
                <w:sz w:val="16"/>
              </w:rPr>
              <w:t>by</w:t>
            </w:r>
            <w:r>
              <w:rPr>
                <w:spacing w:val="-3"/>
                <w:sz w:val="16"/>
              </w:rPr>
              <w:t xml:space="preserve"> </w:t>
            </w:r>
            <w:r>
              <w:rPr>
                <w:sz w:val="16"/>
              </w:rPr>
              <w:t>2050.</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1656"/>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right="115"/>
              <w:jc w:val="right"/>
              <w:rPr>
                <w:sz w:val="16"/>
              </w:rPr>
            </w:pPr>
            <w:r>
              <w:rPr>
                <w:sz w:val="16"/>
              </w:rPr>
              <w:t>24</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31" w:right="42"/>
              <w:jc w:val="center"/>
              <w:rPr>
                <w:sz w:val="16"/>
              </w:rPr>
            </w:pPr>
            <w:r>
              <w:rPr>
                <w:sz w:val="16"/>
              </w:rPr>
              <w:t>13</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50"/>
              <w:rPr>
                <w:sz w:val="16"/>
              </w:rPr>
            </w:pPr>
            <w:r>
              <w:rPr>
                <w:sz w:val="16"/>
              </w:rPr>
              <w:t>5,</w:t>
            </w:r>
          </w:p>
          <w:p w:rsidR="00A56FE9" w:rsidRDefault="00000000">
            <w:pPr>
              <w:pStyle w:val="TableParagraph"/>
              <w:spacing w:before="1"/>
              <w:ind w:left="50"/>
              <w:rPr>
                <w:sz w:val="16"/>
              </w:rPr>
            </w:pPr>
            <w:r>
              <w:rPr>
                <w:sz w:val="16"/>
              </w:rPr>
              <w:t>8</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8"/>
              <w:rPr>
                <w:sz w:val="16"/>
              </w:rPr>
            </w:pPr>
            <w:r>
              <w:rPr>
                <w:sz w:val="16"/>
              </w:rPr>
              <w:t>1</w:t>
            </w:r>
            <w:r>
              <w:rPr>
                <w:spacing w:val="1"/>
                <w:sz w:val="16"/>
              </w:rPr>
              <w:t xml:space="preserve"> </w:t>
            </w:r>
            <w:r>
              <w:rPr>
                <w:sz w:val="16"/>
              </w:rPr>
              <w:t>- ECONOMY -</w:t>
            </w:r>
            <w:r>
              <w:rPr>
                <w:spacing w:val="1"/>
                <w:sz w:val="16"/>
              </w:rPr>
              <w:t xml:space="preserve"> </w:t>
            </w:r>
            <w:r>
              <w:rPr>
                <w:spacing w:val="-1"/>
                <w:sz w:val="16"/>
              </w:rPr>
              <w:t xml:space="preserve">CLIMATE </w:t>
            </w:r>
            <w:r>
              <w:rPr>
                <w:sz w:val="16"/>
              </w:rPr>
              <w:t>CHANGE</w:t>
            </w:r>
            <w:r>
              <w:rPr>
                <w:spacing w:val="-37"/>
                <w:sz w:val="16"/>
              </w:rPr>
              <w:t xml:space="preserve"> </w:t>
            </w:r>
            <w:r>
              <w:rPr>
                <w:sz w:val="16"/>
              </w:rPr>
              <w:t>AND ENERGY</w:t>
            </w:r>
            <w:r>
              <w:rPr>
                <w:spacing w:val="1"/>
                <w:sz w:val="16"/>
              </w:rPr>
              <w:t xml:space="preserve"> </w:t>
            </w:r>
            <w:r>
              <w:rPr>
                <w:sz w:val="16"/>
              </w:rPr>
              <w:t>SUSTAINABILITY,</w:t>
            </w:r>
          </w:p>
          <w:p w:rsidR="00A56FE9" w:rsidRDefault="00000000">
            <w:pPr>
              <w:pStyle w:val="TableParagraph"/>
              <w:ind w:left="50" w:right="109"/>
              <w:rPr>
                <w:sz w:val="16"/>
              </w:rPr>
            </w:pPr>
            <w:r>
              <w:rPr>
                <w:sz w:val="16"/>
              </w:rPr>
              <w:t>Establishment of a</w:t>
            </w:r>
            <w:r>
              <w:rPr>
                <w:spacing w:val="1"/>
                <w:sz w:val="16"/>
              </w:rPr>
              <w:t xml:space="preserve"> </w:t>
            </w:r>
            <w:r>
              <w:rPr>
                <w:sz w:val="16"/>
              </w:rPr>
              <w:t>planning framework for</w:t>
            </w:r>
            <w:r>
              <w:rPr>
                <w:spacing w:val="1"/>
                <w:sz w:val="16"/>
              </w:rPr>
              <w:t xml:space="preserve"> </w:t>
            </w:r>
            <w:r>
              <w:rPr>
                <w:sz w:val="16"/>
              </w:rPr>
              <w:t>the implementation of the</w:t>
            </w:r>
            <w:r>
              <w:rPr>
                <w:spacing w:val="-37"/>
                <w:sz w:val="16"/>
              </w:rPr>
              <w:t xml:space="preserve"> </w:t>
            </w:r>
            <w:r>
              <w:rPr>
                <w:sz w:val="16"/>
              </w:rPr>
              <w:t>Climate</w:t>
            </w:r>
            <w:r>
              <w:rPr>
                <w:spacing w:val="-3"/>
                <w:sz w:val="16"/>
              </w:rPr>
              <w:t xml:space="preserve"> </w:t>
            </w:r>
            <w:r>
              <w:rPr>
                <w:sz w:val="16"/>
              </w:rPr>
              <w:t>Change</w:t>
            </w:r>
          </w:p>
          <w:p w:rsidR="00A56FE9" w:rsidRDefault="00000000">
            <w:pPr>
              <w:pStyle w:val="TableParagraph"/>
              <w:spacing w:line="168" w:lineRule="exact"/>
              <w:ind w:left="50"/>
              <w:rPr>
                <w:sz w:val="16"/>
              </w:rPr>
            </w:pPr>
            <w:r>
              <w:rPr>
                <w:sz w:val="16"/>
              </w:rPr>
              <w:t>Adaptation</w:t>
            </w:r>
            <w:r>
              <w:rPr>
                <w:spacing w:val="-4"/>
                <w:sz w:val="16"/>
              </w:rPr>
              <w:t xml:space="preserve"> </w:t>
            </w:r>
            <w:r>
              <w:rPr>
                <w:sz w:val="16"/>
              </w:rPr>
              <w:t>Strategy</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42"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05"/>
              <w:rPr>
                <w:sz w:val="16"/>
              </w:rPr>
            </w:pPr>
            <w:r>
              <w:rPr>
                <w:sz w:val="16"/>
              </w:rPr>
              <w:t>Drawing up the planning</w:t>
            </w:r>
            <w:r>
              <w:rPr>
                <w:spacing w:val="-38"/>
                <w:sz w:val="16"/>
              </w:rPr>
              <w:t xml:space="preserve"> </w:t>
            </w:r>
            <w:r>
              <w:rPr>
                <w:sz w:val="16"/>
              </w:rPr>
              <w:t>framework for the</w:t>
            </w:r>
            <w:r>
              <w:rPr>
                <w:spacing w:val="1"/>
                <w:sz w:val="16"/>
              </w:rPr>
              <w:t xml:space="preserve"> </w:t>
            </w:r>
            <w:r>
              <w:rPr>
                <w:sz w:val="16"/>
              </w:rPr>
              <w:t>implementation of the</w:t>
            </w:r>
            <w:r>
              <w:rPr>
                <w:spacing w:val="1"/>
                <w:sz w:val="16"/>
              </w:rPr>
              <w:t xml:space="preserve"> </w:t>
            </w:r>
            <w:r>
              <w:rPr>
                <w:sz w:val="16"/>
              </w:rPr>
              <w:t>Climate Change</w:t>
            </w:r>
            <w:r>
              <w:rPr>
                <w:spacing w:val="1"/>
                <w:sz w:val="16"/>
              </w:rPr>
              <w:t xml:space="preserve"> </w:t>
            </w:r>
            <w:r>
              <w:rPr>
                <w:sz w:val="16"/>
              </w:rPr>
              <w:t>Adaptation</w:t>
            </w:r>
            <w:r>
              <w:rPr>
                <w:spacing w:val="-1"/>
                <w:sz w:val="16"/>
              </w:rPr>
              <w:t xml:space="preserve"> </w:t>
            </w:r>
            <w:r>
              <w:rPr>
                <w:sz w:val="16"/>
              </w:rPr>
              <w:t>Strategy</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219"/>
              <w:rPr>
                <w:sz w:val="16"/>
              </w:rPr>
            </w:pPr>
            <w:r>
              <w:rPr>
                <w:sz w:val="16"/>
              </w:rPr>
              <w:t>Adoption of</w:t>
            </w:r>
            <w:r>
              <w:rPr>
                <w:spacing w:val="-37"/>
                <w:sz w:val="16"/>
              </w:rPr>
              <w:t xml:space="preserve"> </w:t>
            </w:r>
            <w:r>
              <w:rPr>
                <w:sz w:val="16"/>
              </w:rPr>
              <w:t>the Action</w:t>
            </w:r>
            <w:r>
              <w:rPr>
                <w:spacing w:val="1"/>
                <w:sz w:val="16"/>
              </w:rPr>
              <w:t xml:space="preserve"> </w:t>
            </w:r>
            <w:r>
              <w:rPr>
                <w:sz w:val="16"/>
              </w:rPr>
              <w:t>Plan for</w:t>
            </w:r>
            <w:r>
              <w:rPr>
                <w:spacing w:val="1"/>
                <w:sz w:val="16"/>
              </w:rPr>
              <w:t xml:space="preserve"> </w:t>
            </w:r>
            <w:r>
              <w:rPr>
                <w:sz w:val="16"/>
              </w:rPr>
              <w:t>Climate</w:t>
            </w:r>
            <w:r>
              <w:rPr>
                <w:spacing w:val="1"/>
                <w:sz w:val="16"/>
              </w:rPr>
              <w:t xml:space="preserve"> </w:t>
            </w:r>
            <w:r>
              <w:rPr>
                <w:sz w:val="16"/>
              </w:rPr>
              <w:t>Change</w:t>
            </w:r>
            <w:r>
              <w:rPr>
                <w:spacing w:val="1"/>
                <w:sz w:val="16"/>
              </w:rPr>
              <w:t xml:space="preserve"> </w:t>
            </w:r>
            <w:r>
              <w:rPr>
                <w:sz w:val="16"/>
              </w:rPr>
              <w:t>Adaptation</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57"/>
              <w:rPr>
                <w:sz w:val="16"/>
              </w:rPr>
            </w:pPr>
            <w:r>
              <w:rPr>
                <w:sz w:val="16"/>
              </w:rPr>
              <w:t>MESD</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241"/>
              <w:rPr>
                <w:sz w:val="16"/>
              </w:rPr>
            </w:pPr>
            <w:r>
              <w:rPr>
                <w:sz w:val="16"/>
              </w:rPr>
              <w:t>An action plan for the implementation of</w:t>
            </w:r>
            <w:r>
              <w:rPr>
                <w:spacing w:val="1"/>
                <w:sz w:val="16"/>
              </w:rPr>
              <w:t xml:space="preserve"> </w:t>
            </w:r>
            <w:r>
              <w:rPr>
                <w:sz w:val="16"/>
              </w:rPr>
              <w:t>priority measures from the Climate Change</w:t>
            </w:r>
            <w:r>
              <w:rPr>
                <w:spacing w:val="-38"/>
                <w:sz w:val="16"/>
              </w:rPr>
              <w:t xml:space="preserve"> </w:t>
            </w:r>
            <w:r>
              <w:rPr>
                <w:sz w:val="16"/>
              </w:rPr>
              <w:t>Adaptation Strategy for the first five-year</w:t>
            </w:r>
            <w:r>
              <w:rPr>
                <w:spacing w:val="1"/>
                <w:sz w:val="16"/>
              </w:rPr>
              <w:t xml:space="preserve"> </w:t>
            </w:r>
            <w:r>
              <w:rPr>
                <w:sz w:val="16"/>
              </w:rPr>
              <w:t>period will</w:t>
            </w:r>
            <w:r>
              <w:rPr>
                <w:spacing w:val="-1"/>
                <w:sz w:val="16"/>
              </w:rPr>
              <w:t xml:space="preserve"> </w:t>
            </w:r>
            <w:r>
              <w:rPr>
                <w:sz w:val="16"/>
              </w:rPr>
              <w:t>be</w:t>
            </w:r>
            <w:r>
              <w:rPr>
                <w:spacing w:val="-3"/>
                <w:sz w:val="16"/>
              </w:rPr>
              <w:t xml:space="preserve"> </w:t>
            </w:r>
            <w:r>
              <w:rPr>
                <w:sz w:val="16"/>
              </w:rPr>
              <w:t>developed.</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1833"/>
        </w:trPr>
        <w:tc>
          <w:tcPr>
            <w:tcW w:w="42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right="115"/>
              <w:jc w:val="right"/>
              <w:rPr>
                <w:sz w:val="16"/>
              </w:rPr>
            </w:pPr>
            <w:r>
              <w:rPr>
                <w:sz w:val="16"/>
              </w:rPr>
              <w:t>25</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ind w:left="50" w:right="38"/>
              <w:rPr>
                <w:sz w:val="16"/>
              </w:rPr>
            </w:pPr>
            <w:r>
              <w:rPr>
                <w:sz w:val="16"/>
              </w:rPr>
              <w:t>.subpart6,</w:t>
            </w:r>
            <w:r>
              <w:rPr>
                <w:spacing w:val="1"/>
                <w:sz w:val="16"/>
              </w:rPr>
              <w:t xml:space="preserve"> </w:t>
            </w:r>
            <w:r>
              <w:rPr>
                <w:spacing w:val="-1"/>
                <w:sz w:val="16"/>
              </w:rPr>
              <w:t>2020.CSR3</w:t>
            </w:r>
          </w:p>
          <w:p w:rsidR="00A56FE9" w:rsidRDefault="00000000">
            <w:pPr>
              <w:pStyle w:val="TableParagraph"/>
              <w:ind w:left="50"/>
              <w:rPr>
                <w:sz w:val="16"/>
              </w:rPr>
            </w:pPr>
            <w:r>
              <w:rPr>
                <w:sz w:val="16"/>
              </w:rPr>
              <w:t>.subpart8</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48"/>
              <w:rPr>
                <w:sz w:val="16"/>
              </w:rPr>
            </w:pPr>
            <w:r>
              <w:rPr>
                <w:sz w:val="16"/>
              </w:rPr>
              <w:t>13</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5,</w:t>
            </w:r>
          </w:p>
          <w:p w:rsidR="00A56FE9" w:rsidRDefault="00000000">
            <w:pPr>
              <w:pStyle w:val="TableParagraph"/>
              <w:spacing w:before="1"/>
              <w:ind w:left="50"/>
              <w:rPr>
                <w:sz w:val="16"/>
              </w:rPr>
            </w:pPr>
            <w:r>
              <w:rPr>
                <w:sz w:val="16"/>
              </w:rPr>
              <w:t>8</w:t>
            </w:r>
          </w:p>
        </w:tc>
        <w:tc>
          <w:tcPr>
            <w:tcW w:w="1838"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1</w:t>
            </w:r>
            <w:r>
              <w:rPr>
                <w:spacing w:val="1"/>
                <w:sz w:val="16"/>
              </w:rPr>
              <w:t xml:space="preserve"> </w:t>
            </w:r>
            <w:r>
              <w:rPr>
                <w:sz w:val="16"/>
              </w:rPr>
              <w:t>- ECONOMY -</w:t>
            </w:r>
          </w:p>
          <w:p w:rsidR="00A56FE9" w:rsidRDefault="00000000">
            <w:pPr>
              <w:pStyle w:val="TableParagraph"/>
              <w:spacing w:before="1"/>
              <w:ind w:left="50" w:right="348"/>
              <w:rPr>
                <w:sz w:val="16"/>
              </w:rPr>
            </w:pPr>
            <w:r>
              <w:rPr>
                <w:spacing w:val="-1"/>
                <w:sz w:val="16"/>
              </w:rPr>
              <w:t xml:space="preserve">CLIMATE </w:t>
            </w:r>
            <w:r>
              <w:rPr>
                <w:sz w:val="16"/>
              </w:rPr>
              <w:t>CHANGE</w:t>
            </w:r>
            <w:r>
              <w:rPr>
                <w:spacing w:val="-37"/>
                <w:sz w:val="16"/>
              </w:rPr>
              <w:t xml:space="preserve"> </w:t>
            </w:r>
            <w:r>
              <w:rPr>
                <w:sz w:val="16"/>
              </w:rPr>
              <w:t>AND ENERGY</w:t>
            </w:r>
            <w:r>
              <w:rPr>
                <w:spacing w:val="1"/>
                <w:sz w:val="16"/>
              </w:rPr>
              <w:t xml:space="preserve"> </w:t>
            </w:r>
            <w:r>
              <w:rPr>
                <w:sz w:val="16"/>
              </w:rPr>
              <w:t>SUSTAINABILITY,</w:t>
            </w:r>
          </w:p>
          <w:p w:rsidR="00A56FE9" w:rsidRDefault="00000000">
            <w:pPr>
              <w:pStyle w:val="TableParagraph"/>
              <w:ind w:left="50" w:right="52"/>
              <w:rPr>
                <w:sz w:val="16"/>
              </w:rPr>
            </w:pPr>
            <w:r>
              <w:rPr>
                <w:sz w:val="16"/>
              </w:rPr>
              <w:t>Investing in the</w:t>
            </w:r>
            <w:r>
              <w:rPr>
                <w:spacing w:val="1"/>
                <w:sz w:val="16"/>
              </w:rPr>
              <w:t xml:space="preserve"> </w:t>
            </w:r>
            <w:r>
              <w:rPr>
                <w:sz w:val="16"/>
              </w:rPr>
              <w:t>decarbonisation of the</w:t>
            </w:r>
            <w:r>
              <w:rPr>
                <w:spacing w:val="1"/>
                <w:sz w:val="16"/>
              </w:rPr>
              <w:t xml:space="preserve"> </w:t>
            </w:r>
            <w:r>
              <w:rPr>
                <w:sz w:val="16"/>
              </w:rPr>
              <w:t>economy through the EU</w:t>
            </w:r>
            <w:r>
              <w:rPr>
                <w:spacing w:val="1"/>
                <w:sz w:val="16"/>
              </w:rPr>
              <w:t xml:space="preserve"> </w:t>
            </w:r>
            <w:r>
              <w:rPr>
                <w:sz w:val="16"/>
              </w:rPr>
              <w:t>Modernisation</w:t>
            </w:r>
            <w:r>
              <w:rPr>
                <w:spacing w:val="-4"/>
                <w:sz w:val="16"/>
              </w:rPr>
              <w:t xml:space="preserve"> </w:t>
            </w:r>
            <w:r>
              <w:rPr>
                <w:sz w:val="16"/>
              </w:rPr>
              <w:t>Fund</w:t>
            </w:r>
            <w:r>
              <w:rPr>
                <w:spacing w:val="-6"/>
                <w:sz w:val="16"/>
              </w:rPr>
              <w:t xml:space="preserve"> </w:t>
            </w:r>
            <w:r>
              <w:rPr>
                <w:sz w:val="16"/>
              </w:rPr>
              <w:t>2021-</w:t>
            </w:r>
          </w:p>
          <w:p w:rsidR="00A56FE9" w:rsidRDefault="00000000">
            <w:pPr>
              <w:pStyle w:val="TableParagraph"/>
              <w:spacing w:before="1"/>
              <w:ind w:left="50"/>
              <w:rPr>
                <w:sz w:val="16"/>
              </w:rPr>
            </w:pPr>
            <w:r>
              <w:rPr>
                <w:sz w:val="16"/>
              </w:rPr>
              <w:t>2030</w:t>
            </w:r>
          </w:p>
        </w:tc>
        <w:tc>
          <w:tcPr>
            <w:tcW w:w="569"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1"/>
              <w:rPr>
                <w:sz w:val="16"/>
              </w:rPr>
            </w:pPr>
            <w:r>
              <w:rPr>
                <w:sz w:val="16"/>
              </w:rPr>
              <w:t>Milest</w:t>
            </w:r>
          </w:p>
          <w:p w:rsidR="00A56FE9" w:rsidRDefault="00000000">
            <w:pPr>
              <w:pStyle w:val="TableParagraph"/>
              <w:spacing w:before="1"/>
              <w:ind w:left="51"/>
              <w:rPr>
                <w:sz w:val="16"/>
              </w:rPr>
            </w:pPr>
            <w:r>
              <w:rPr>
                <w:sz w:val="16"/>
              </w:rPr>
              <w:t>one</w:t>
            </w:r>
          </w:p>
        </w:tc>
        <w:tc>
          <w:tcPr>
            <w:tcW w:w="184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109"/>
              <w:rPr>
                <w:sz w:val="16"/>
              </w:rPr>
            </w:pPr>
            <w:r>
              <w:rPr>
                <w:sz w:val="16"/>
              </w:rPr>
              <w:t>Drafting</w:t>
            </w:r>
            <w:r>
              <w:rPr>
                <w:spacing w:val="-6"/>
                <w:sz w:val="16"/>
              </w:rPr>
              <w:t xml:space="preserve"> </w:t>
            </w:r>
            <w:r>
              <w:rPr>
                <w:sz w:val="16"/>
              </w:rPr>
              <w:t>the</w:t>
            </w:r>
            <w:r>
              <w:rPr>
                <w:spacing w:val="-4"/>
                <w:sz w:val="16"/>
              </w:rPr>
              <w:t xml:space="preserve"> </w:t>
            </w:r>
            <w:r>
              <w:rPr>
                <w:sz w:val="16"/>
              </w:rPr>
              <w:t>legislative</w:t>
            </w:r>
          </w:p>
          <w:p w:rsidR="00A56FE9" w:rsidRDefault="00000000">
            <w:pPr>
              <w:pStyle w:val="TableParagraph"/>
              <w:spacing w:before="1"/>
              <w:ind w:left="109" w:right="161"/>
              <w:rPr>
                <w:sz w:val="16"/>
              </w:rPr>
            </w:pPr>
            <w:r>
              <w:rPr>
                <w:sz w:val="16"/>
              </w:rPr>
              <w:t>framework for investing</w:t>
            </w:r>
            <w:r>
              <w:rPr>
                <w:spacing w:val="-37"/>
                <w:sz w:val="16"/>
              </w:rPr>
              <w:t xml:space="preserve"> </w:t>
            </w:r>
            <w:r>
              <w:rPr>
                <w:sz w:val="16"/>
              </w:rPr>
              <w:t>funds from the EU</w:t>
            </w:r>
            <w:r>
              <w:rPr>
                <w:spacing w:val="1"/>
                <w:sz w:val="16"/>
              </w:rPr>
              <w:t xml:space="preserve"> </w:t>
            </w:r>
            <w:r>
              <w:rPr>
                <w:sz w:val="16"/>
              </w:rPr>
              <w:t>Modernization Fund</w:t>
            </w:r>
            <w:r>
              <w:rPr>
                <w:spacing w:val="1"/>
                <w:sz w:val="16"/>
              </w:rPr>
              <w:t xml:space="preserve"> </w:t>
            </w:r>
            <w:r>
              <w:rPr>
                <w:sz w:val="16"/>
              </w:rPr>
              <w:t>2021-2030</w:t>
            </w:r>
          </w:p>
        </w:tc>
        <w:tc>
          <w:tcPr>
            <w:tcW w:w="1137"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110"/>
              <w:rPr>
                <w:sz w:val="16"/>
              </w:rPr>
            </w:pPr>
            <w:r>
              <w:rPr>
                <w:sz w:val="16"/>
              </w:rPr>
              <w:t>Adoption</w:t>
            </w:r>
            <w:r>
              <w:rPr>
                <w:spacing w:val="-4"/>
                <w:sz w:val="16"/>
              </w:rPr>
              <w:t xml:space="preserve"> </w:t>
            </w:r>
            <w:r>
              <w:rPr>
                <w:sz w:val="16"/>
              </w:rPr>
              <w:t>and</w:t>
            </w:r>
          </w:p>
          <w:p w:rsidR="00A56FE9" w:rsidRDefault="00000000">
            <w:pPr>
              <w:pStyle w:val="TableParagraph"/>
              <w:spacing w:before="1"/>
              <w:ind w:left="110" w:right="55"/>
              <w:rPr>
                <w:sz w:val="16"/>
              </w:rPr>
            </w:pPr>
            <w:r>
              <w:rPr>
                <w:sz w:val="16"/>
              </w:rPr>
              <w:t>publishing of</w:t>
            </w:r>
            <w:r>
              <w:rPr>
                <w:spacing w:val="1"/>
                <w:sz w:val="16"/>
              </w:rPr>
              <w:t xml:space="preserve"> </w:t>
            </w:r>
            <w:r>
              <w:rPr>
                <w:sz w:val="16"/>
              </w:rPr>
              <w:t>the Regulation</w:t>
            </w:r>
            <w:r>
              <w:rPr>
                <w:spacing w:val="-37"/>
                <w:sz w:val="16"/>
              </w:rPr>
              <w:t xml:space="preserve"> </w:t>
            </w:r>
            <w:r>
              <w:rPr>
                <w:sz w:val="16"/>
              </w:rPr>
              <w:t>on the</w:t>
            </w:r>
            <w:r>
              <w:rPr>
                <w:spacing w:val="1"/>
                <w:sz w:val="16"/>
              </w:rPr>
              <w:t xml:space="preserve"> </w:t>
            </w:r>
            <w:r>
              <w:rPr>
                <w:sz w:val="16"/>
              </w:rPr>
              <w:t>Implementatio</w:t>
            </w:r>
            <w:r>
              <w:rPr>
                <w:spacing w:val="-37"/>
                <w:sz w:val="16"/>
              </w:rPr>
              <w:t xml:space="preserve"> </w:t>
            </w:r>
            <w:r>
              <w:rPr>
                <w:sz w:val="16"/>
              </w:rPr>
              <w:t>n of the</w:t>
            </w:r>
            <w:r>
              <w:rPr>
                <w:spacing w:val="1"/>
                <w:sz w:val="16"/>
              </w:rPr>
              <w:t xml:space="preserve"> </w:t>
            </w:r>
            <w:r>
              <w:rPr>
                <w:sz w:val="16"/>
              </w:rPr>
              <w:t>Modernization</w:t>
            </w:r>
            <w:r>
              <w:rPr>
                <w:spacing w:val="-37"/>
                <w:sz w:val="16"/>
              </w:rPr>
              <w:t xml:space="preserve"> </w:t>
            </w:r>
            <w:r>
              <w:rPr>
                <w:sz w:val="16"/>
              </w:rPr>
              <w:t>Fund</w:t>
            </w:r>
            <w:r>
              <w:rPr>
                <w:spacing w:val="-1"/>
                <w:sz w:val="16"/>
              </w:rPr>
              <w:t xml:space="preserve"> </w:t>
            </w:r>
            <w:r>
              <w:rPr>
                <w:sz w:val="16"/>
              </w:rPr>
              <w:t>in</w:t>
            </w:r>
            <w:r>
              <w:rPr>
                <w:spacing w:val="-1"/>
                <w:sz w:val="16"/>
              </w:rPr>
              <w:t xml:space="preserve"> </w:t>
            </w:r>
            <w:r>
              <w:rPr>
                <w:sz w:val="16"/>
              </w:rPr>
              <w:t>the</w:t>
            </w:r>
          </w:p>
          <w:p w:rsidR="00A56FE9" w:rsidRDefault="00000000">
            <w:pPr>
              <w:pStyle w:val="TableParagraph"/>
              <w:spacing w:line="182" w:lineRule="exact"/>
              <w:ind w:left="110" w:right="499"/>
              <w:rPr>
                <w:sz w:val="16"/>
              </w:rPr>
            </w:pPr>
            <w:r>
              <w:rPr>
                <w:sz w:val="16"/>
              </w:rPr>
              <w:t>Official</w:t>
            </w:r>
            <w:r>
              <w:rPr>
                <w:spacing w:val="-37"/>
                <w:sz w:val="16"/>
              </w:rPr>
              <w:t xml:space="preserve"> </w:t>
            </w:r>
            <w:r>
              <w:rPr>
                <w:sz w:val="16"/>
              </w:rPr>
              <w:t>Gazette</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151" w:right="130"/>
              <w:jc w:val="center"/>
              <w:rPr>
                <w:sz w:val="16"/>
              </w:rPr>
            </w:pPr>
            <w:r>
              <w:rPr>
                <w:sz w:val="16"/>
              </w:rPr>
              <w:t>2022</w:t>
            </w:r>
          </w:p>
        </w:tc>
        <w:tc>
          <w:tcPr>
            <w:tcW w:w="845"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MESD</w:t>
            </w:r>
          </w:p>
        </w:tc>
        <w:tc>
          <w:tcPr>
            <w:tcW w:w="3106"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The</w:t>
            </w:r>
            <w:r>
              <w:rPr>
                <w:spacing w:val="-5"/>
                <w:sz w:val="16"/>
              </w:rPr>
              <w:t xml:space="preserve"> </w:t>
            </w:r>
            <w:r>
              <w:rPr>
                <w:sz w:val="16"/>
              </w:rPr>
              <w:t>regulation</w:t>
            </w:r>
            <w:r>
              <w:rPr>
                <w:spacing w:val="-2"/>
                <w:sz w:val="16"/>
              </w:rPr>
              <w:t xml:space="preserve"> </w:t>
            </w:r>
            <w:r>
              <w:rPr>
                <w:sz w:val="16"/>
              </w:rPr>
              <w:t>will</w:t>
            </w:r>
            <w:r>
              <w:rPr>
                <w:spacing w:val="-4"/>
                <w:sz w:val="16"/>
              </w:rPr>
              <w:t xml:space="preserve"> </w:t>
            </w:r>
            <w:r>
              <w:rPr>
                <w:sz w:val="16"/>
              </w:rPr>
              <w:t>be</w:t>
            </w:r>
            <w:r>
              <w:rPr>
                <w:spacing w:val="-4"/>
                <w:sz w:val="16"/>
              </w:rPr>
              <w:t xml:space="preserve"> </w:t>
            </w:r>
            <w:r>
              <w:rPr>
                <w:sz w:val="16"/>
              </w:rPr>
              <w:t>drafted</w:t>
            </w:r>
            <w:r>
              <w:rPr>
                <w:spacing w:val="-2"/>
                <w:sz w:val="16"/>
              </w:rPr>
              <w:t xml:space="preserve"> </w:t>
            </w:r>
            <w:r>
              <w:rPr>
                <w:sz w:val="16"/>
              </w:rPr>
              <w:t>which</w:t>
            </w:r>
            <w:r>
              <w:rPr>
                <w:spacing w:val="-6"/>
                <w:sz w:val="16"/>
              </w:rPr>
              <w:t xml:space="preserve"> </w:t>
            </w:r>
            <w:r>
              <w:rPr>
                <w:sz w:val="16"/>
              </w:rPr>
              <w:t>will</w:t>
            </w:r>
          </w:p>
          <w:p w:rsidR="00A56FE9" w:rsidRDefault="00000000">
            <w:pPr>
              <w:pStyle w:val="TableParagraph"/>
              <w:spacing w:before="1"/>
              <w:ind w:left="57" w:right="73"/>
              <w:rPr>
                <w:sz w:val="16"/>
              </w:rPr>
            </w:pPr>
            <w:r>
              <w:rPr>
                <w:sz w:val="16"/>
              </w:rPr>
              <w:t>prescribe the competent authorities and other</w:t>
            </w:r>
            <w:r>
              <w:rPr>
                <w:spacing w:val="1"/>
                <w:sz w:val="16"/>
              </w:rPr>
              <w:t xml:space="preserve"> </w:t>
            </w:r>
            <w:r>
              <w:rPr>
                <w:sz w:val="16"/>
              </w:rPr>
              <w:t>rules for the implementation of the EU</w:t>
            </w:r>
            <w:r>
              <w:rPr>
                <w:spacing w:val="1"/>
                <w:sz w:val="16"/>
              </w:rPr>
              <w:t xml:space="preserve"> </w:t>
            </w:r>
            <w:r>
              <w:rPr>
                <w:sz w:val="16"/>
              </w:rPr>
              <w:t>Modernisation Fund 2021-2030. Funds are</w:t>
            </w:r>
            <w:r>
              <w:rPr>
                <w:spacing w:val="1"/>
                <w:sz w:val="16"/>
              </w:rPr>
              <w:t xml:space="preserve"> </w:t>
            </w:r>
            <w:r>
              <w:rPr>
                <w:sz w:val="16"/>
              </w:rPr>
              <w:t>available to Croatia for 100% of the financing</w:t>
            </w:r>
            <w:r>
              <w:rPr>
                <w:spacing w:val="-37"/>
                <w:sz w:val="16"/>
              </w:rPr>
              <w:t xml:space="preserve"> </w:t>
            </w:r>
            <w:r>
              <w:rPr>
                <w:sz w:val="16"/>
              </w:rPr>
              <w:t>of decarbonisation in Croatia (total funds</w:t>
            </w:r>
            <w:r>
              <w:rPr>
                <w:spacing w:val="1"/>
                <w:sz w:val="16"/>
              </w:rPr>
              <w:t xml:space="preserve"> </w:t>
            </w:r>
            <w:r>
              <w:rPr>
                <w:sz w:val="16"/>
              </w:rPr>
              <w:t>available for Croatia are at least HRK 5.9bn /</w:t>
            </w:r>
            <w:r>
              <w:rPr>
                <w:spacing w:val="1"/>
                <w:sz w:val="16"/>
              </w:rPr>
              <w:t xml:space="preserve"> </w:t>
            </w:r>
            <w:r>
              <w:rPr>
                <w:sz w:val="16"/>
              </w:rPr>
              <w:t>EUR</w:t>
            </w:r>
            <w:r>
              <w:rPr>
                <w:spacing w:val="-2"/>
                <w:sz w:val="16"/>
              </w:rPr>
              <w:t xml:space="preserve"> </w:t>
            </w:r>
            <w:r>
              <w:rPr>
                <w:sz w:val="16"/>
              </w:rPr>
              <w:t>782.51m</w:t>
            </w:r>
            <w:r>
              <w:rPr>
                <w:spacing w:val="-2"/>
                <w:sz w:val="16"/>
              </w:rPr>
              <w:t xml:space="preserve"> </w:t>
            </w:r>
            <w:r>
              <w:rPr>
                <w:sz w:val="16"/>
              </w:rPr>
              <w:t>by</w:t>
            </w:r>
            <w:r>
              <w:rPr>
                <w:spacing w:val="-3"/>
                <w:sz w:val="16"/>
              </w:rPr>
              <w:t xml:space="preserve"> </w:t>
            </w:r>
            <w:r>
              <w:rPr>
                <w:sz w:val="16"/>
              </w:rPr>
              <w:t>2030).</w:t>
            </w:r>
          </w:p>
        </w:tc>
        <w:tc>
          <w:tcPr>
            <w:tcW w:w="1128"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right="90"/>
              <w:jc w:val="right"/>
              <w:rPr>
                <w:sz w:val="16"/>
              </w:rPr>
            </w:pPr>
            <w:r>
              <w:rPr>
                <w:sz w:val="16"/>
              </w:rPr>
              <w:t>667,512</w:t>
            </w:r>
          </w:p>
        </w:tc>
      </w:tr>
      <w:tr w:rsidR="00A56FE9">
        <w:trPr>
          <w:trHeight w:val="165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26</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2020.CSR3</w:t>
            </w:r>
          </w:p>
          <w:p w:rsidR="00A56FE9" w:rsidRDefault="00000000">
            <w:pPr>
              <w:pStyle w:val="TableParagraph"/>
              <w:spacing w:before="1"/>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6,</w:t>
            </w:r>
          </w:p>
          <w:p w:rsidR="00A56FE9" w:rsidRDefault="00000000">
            <w:pPr>
              <w:pStyle w:val="TableParagraph"/>
              <w:spacing w:before="1" w:line="183" w:lineRule="exact"/>
              <w:ind w:left="48"/>
              <w:rPr>
                <w:sz w:val="16"/>
              </w:rPr>
            </w:pPr>
            <w:r>
              <w:rPr>
                <w:sz w:val="16"/>
              </w:rPr>
              <w:t>13,</w:t>
            </w:r>
          </w:p>
          <w:p w:rsidR="00A56FE9" w:rsidRDefault="00000000">
            <w:pPr>
              <w:pStyle w:val="TableParagraph"/>
              <w:spacing w:line="183" w:lineRule="exact"/>
              <w:ind w:left="48"/>
              <w:rPr>
                <w:sz w:val="16"/>
              </w:rPr>
            </w:pPr>
            <w:r>
              <w:rPr>
                <w:sz w:val="16"/>
              </w:rPr>
              <w:t>15,</w:t>
            </w:r>
          </w:p>
          <w:p w:rsidR="00A56FE9" w:rsidRDefault="00000000">
            <w:pPr>
              <w:pStyle w:val="TableParagraph"/>
              <w:ind w:left="48"/>
              <w:rPr>
                <w:sz w:val="16"/>
              </w:rPr>
            </w:pPr>
            <w:r>
              <w:rPr>
                <w:sz w:val="16"/>
              </w:rPr>
              <w:t>17</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10,</w:t>
            </w:r>
          </w:p>
          <w:p w:rsidR="00A56FE9" w:rsidRDefault="00000000">
            <w:pPr>
              <w:pStyle w:val="TableParagraph"/>
              <w:spacing w:before="1"/>
              <w:ind w:left="50"/>
              <w:rPr>
                <w:sz w:val="16"/>
              </w:rPr>
            </w:pPr>
            <w:r>
              <w:rPr>
                <w:sz w:val="16"/>
              </w:rPr>
              <w:t>16</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8"/>
              <w:rPr>
                <w:sz w:val="16"/>
              </w:rPr>
            </w:pPr>
            <w:r>
              <w:rPr>
                <w:sz w:val="16"/>
              </w:rPr>
              <w:t>1</w:t>
            </w:r>
            <w:r>
              <w:rPr>
                <w:spacing w:val="1"/>
                <w:sz w:val="16"/>
              </w:rPr>
              <w:t xml:space="preserve"> </w:t>
            </w:r>
            <w:r>
              <w:rPr>
                <w:sz w:val="16"/>
              </w:rPr>
              <w:t>- ECONOMY -</w:t>
            </w:r>
            <w:r>
              <w:rPr>
                <w:spacing w:val="1"/>
                <w:sz w:val="16"/>
              </w:rPr>
              <w:t xml:space="preserve"> </w:t>
            </w:r>
            <w:r>
              <w:rPr>
                <w:spacing w:val="-1"/>
                <w:sz w:val="16"/>
              </w:rPr>
              <w:t xml:space="preserve">CLIMATE </w:t>
            </w:r>
            <w:r>
              <w:rPr>
                <w:sz w:val="16"/>
              </w:rPr>
              <w:t>CHANGE</w:t>
            </w:r>
            <w:r>
              <w:rPr>
                <w:spacing w:val="-37"/>
                <w:sz w:val="16"/>
              </w:rPr>
              <w:t xml:space="preserve"> </w:t>
            </w:r>
            <w:r>
              <w:rPr>
                <w:sz w:val="16"/>
              </w:rPr>
              <w:t>AND ENERGY</w:t>
            </w:r>
            <w:r>
              <w:rPr>
                <w:spacing w:val="1"/>
                <w:sz w:val="16"/>
              </w:rPr>
              <w:t xml:space="preserve"> </w:t>
            </w:r>
            <w:r>
              <w:rPr>
                <w:sz w:val="16"/>
              </w:rPr>
              <w:t>SUSTAINABILITY,</w:t>
            </w:r>
          </w:p>
          <w:p w:rsidR="00A56FE9" w:rsidRDefault="00000000">
            <w:pPr>
              <w:pStyle w:val="TableParagraph"/>
              <w:ind w:left="50" w:right="176"/>
              <w:rPr>
                <w:sz w:val="16"/>
              </w:rPr>
            </w:pPr>
            <w:r>
              <w:rPr>
                <w:sz w:val="16"/>
              </w:rPr>
              <w:t>Limiting greenhouse gas</w:t>
            </w:r>
            <w:r>
              <w:rPr>
                <w:spacing w:val="-37"/>
                <w:sz w:val="16"/>
              </w:rPr>
              <w:t xml:space="preserve"> </w:t>
            </w:r>
            <w:r>
              <w:rPr>
                <w:sz w:val="16"/>
              </w:rPr>
              <w:t>emissions</w:t>
            </w:r>
          </w:p>
        </w:tc>
        <w:tc>
          <w:tcPr>
            <w:tcW w:w="569"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221"/>
              <w:rPr>
                <w:sz w:val="16"/>
              </w:rPr>
            </w:pPr>
            <w:r>
              <w:rPr>
                <w:sz w:val="16"/>
              </w:rPr>
              <w:t>A five-year action plan</w:t>
            </w:r>
            <w:r>
              <w:rPr>
                <w:spacing w:val="-38"/>
                <w:sz w:val="16"/>
              </w:rPr>
              <w:t xml:space="preserve"> </w:t>
            </w:r>
            <w:r>
              <w:rPr>
                <w:sz w:val="16"/>
              </w:rPr>
              <w:t>for the operational</w:t>
            </w:r>
            <w:r>
              <w:rPr>
                <w:spacing w:val="1"/>
                <w:sz w:val="16"/>
              </w:rPr>
              <w:t xml:space="preserve"> </w:t>
            </w:r>
            <w:r>
              <w:rPr>
                <w:sz w:val="16"/>
              </w:rPr>
              <w:t>implementation of the</w:t>
            </w:r>
            <w:r>
              <w:rPr>
                <w:spacing w:val="1"/>
                <w:sz w:val="16"/>
              </w:rPr>
              <w:t xml:space="preserve"> </w:t>
            </w:r>
            <w:r>
              <w:rPr>
                <w:sz w:val="16"/>
              </w:rPr>
              <w:t>Low Carbon</w:t>
            </w:r>
            <w:r>
              <w:rPr>
                <w:spacing w:val="1"/>
                <w:sz w:val="16"/>
              </w:rPr>
              <w:t xml:space="preserve"> </w:t>
            </w:r>
            <w:r>
              <w:rPr>
                <w:sz w:val="16"/>
              </w:rPr>
              <w:t>Development Strategy</w:t>
            </w:r>
            <w:r>
              <w:rPr>
                <w:spacing w:val="1"/>
                <w:sz w:val="16"/>
              </w:rPr>
              <w:t xml:space="preserve"> </w:t>
            </w:r>
            <w:r>
              <w:rPr>
                <w:sz w:val="16"/>
              </w:rPr>
              <w:t>with new ambitious</w:t>
            </w:r>
            <w:r>
              <w:rPr>
                <w:spacing w:val="1"/>
                <w:sz w:val="16"/>
              </w:rPr>
              <w:t xml:space="preserve"> </w:t>
            </w:r>
            <w:r>
              <w:rPr>
                <w:sz w:val="16"/>
              </w:rPr>
              <w:t>targets</w:t>
            </w:r>
            <w:r>
              <w:rPr>
                <w:spacing w:val="-1"/>
                <w:sz w:val="16"/>
              </w:rPr>
              <w:t xml:space="preserve"> </w:t>
            </w:r>
            <w:r>
              <w:rPr>
                <w:sz w:val="16"/>
              </w:rPr>
              <w:t>for</w:t>
            </w:r>
            <w:r>
              <w:rPr>
                <w:spacing w:val="-2"/>
                <w:sz w:val="16"/>
              </w:rPr>
              <w:t xml:space="preserve"> </w:t>
            </w:r>
            <w:r>
              <w:rPr>
                <w:sz w:val="16"/>
              </w:rPr>
              <w:t>reducing</w:t>
            </w:r>
          </w:p>
          <w:p w:rsidR="00A56FE9" w:rsidRDefault="00000000">
            <w:pPr>
              <w:pStyle w:val="TableParagraph"/>
              <w:spacing w:line="182" w:lineRule="exact"/>
              <w:ind w:left="109" w:right="719"/>
              <w:rPr>
                <w:sz w:val="16"/>
              </w:rPr>
            </w:pPr>
            <w:r>
              <w:rPr>
                <w:sz w:val="16"/>
              </w:rPr>
              <w:t>greenhouse gas</w:t>
            </w:r>
            <w:r>
              <w:rPr>
                <w:spacing w:val="-37"/>
                <w:sz w:val="16"/>
              </w:rPr>
              <w:t xml:space="preserve"> </w:t>
            </w:r>
            <w:r>
              <w:rPr>
                <w:sz w:val="16"/>
              </w:rPr>
              <w:t>emissions.</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81"/>
              <w:rPr>
                <w:sz w:val="16"/>
              </w:rPr>
            </w:pPr>
            <w:r>
              <w:rPr>
                <w:sz w:val="16"/>
              </w:rPr>
              <w:t>E-portal to</w:t>
            </w:r>
            <w:r>
              <w:rPr>
                <w:spacing w:val="1"/>
                <w:sz w:val="16"/>
              </w:rPr>
              <w:t xml:space="preserve"> </w:t>
            </w:r>
            <w:r>
              <w:rPr>
                <w:sz w:val="16"/>
              </w:rPr>
              <w:t>monitor the</w:t>
            </w:r>
            <w:r>
              <w:rPr>
                <w:spacing w:val="1"/>
                <w:sz w:val="16"/>
              </w:rPr>
              <w:t xml:space="preserve"> </w:t>
            </w:r>
            <w:r>
              <w:rPr>
                <w:sz w:val="16"/>
              </w:rPr>
              <w:t>implementati</w:t>
            </w:r>
            <w:r>
              <w:rPr>
                <w:spacing w:val="1"/>
                <w:sz w:val="16"/>
              </w:rPr>
              <w:t xml:space="preserve"> </w:t>
            </w:r>
            <w:r>
              <w:rPr>
                <w:sz w:val="16"/>
              </w:rPr>
              <w:t>on of the</w:t>
            </w:r>
            <w:r>
              <w:rPr>
                <w:spacing w:val="1"/>
                <w:sz w:val="16"/>
              </w:rPr>
              <w:t xml:space="preserve"> </w:t>
            </w:r>
            <w:r>
              <w:rPr>
                <w:sz w:val="16"/>
              </w:rPr>
              <w:t>planting of a</w:t>
            </w:r>
            <w:r>
              <w:rPr>
                <w:spacing w:val="1"/>
                <w:sz w:val="16"/>
              </w:rPr>
              <w:t xml:space="preserve"> </w:t>
            </w:r>
            <w:r>
              <w:rPr>
                <w:sz w:val="16"/>
              </w:rPr>
              <w:t>million trees a</w:t>
            </w:r>
            <w:r>
              <w:rPr>
                <w:spacing w:val="-38"/>
                <w:sz w:val="16"/>
              </w:rPr>
              <w:t xml:space="preserve"> </w:t>
            </w:r>
            <w:r>
              <w:rPr>
                <w:sz w:val="16"/>
              </w:rPr>
              <w:t>year</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61" w:right="41"/>
              <w:jc w:val="center"/>
              <w:rPr>
                <w:sz w:val="16"/>
              </w:rPr>
            </w:pPr>
            <w:r>
              <w:rPr>
                <w:sz w:val="16"/>
              </w:rPr>
              <w:t>1.000.0</w:t>
            </w:r>
          </w:p>
          <w:p w:rsidR="00A56FE9" w:rsidRDefault="00000000">
            <w:pPr>
              <w:pStyle w:val="TableParagraph"/>
              <w:spacing w:before="1"/>
              <w:ind w:left="60" w:right="41"/>
              <w:jc w:val="center"/>
              <w:rPr>
                <w:sz w:val="16"/>
              </w:rPr>
            </w:pPr>
            <w:r>
              <w:rPr>
                <w:sz w:val="16"/>
              </w:rPr>
              <w:t>00</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55"/>
              <w:rPr>
                <w:sz w:val="16"/>
              </w:rPr>
            </w:pPr>
            <w:r>
              <w:rPr>
                <w:spacing w:val="-1"/>
                <w:sz w:val="16"/>
              </w:rPr>
              <w:t xml:space="preserve">MA, </w:t>
            </w:r>
            <w:r>
              <w:rPr>
                <w:sz w:val="16"/>
              </w:rPr>
              <w:t>MTS,</w:t>
            </w:r>
            <w:r>
              <w:rPr>
                <w:spacing w:val="-37"/>
                <w:sz w:val="16"/>
              </w:rPr>
              <w:t xml:space="preserve"> </w:t>
            </w:r>
            <w:r>
              <w:rPr>
                <w:sz w:val="16"/>
              </w:rPr>
              <w:t>MESD,</w:t>
            </w:r>
          </w:p>
          <w:p w:rsidR="00A56FE9" w:rsidRDefault="00000000">
            <w:pPr>
              <w:pStyle w:val="TableParagraph"/>
              <w:ind w:left="57" w:right="36"/>
              <w:rPr>
                <w:sz w:val="16"/>
              </w:rPr>
            </w:pPr>
            <w:r>
              <w:rPr>
                <w:sz w:val="16"/>
              </w:rPr>
              <w:t>Hrvatske</w:t>
            </w:r>
            <w:r>
              <w:rPr>
                <w:spacing w:val="1"/>
                <w:sz w:val="16"/>
              </w:rPr>
              <w:t xml:space="preserve"> </w:t>
            </w:r>
            <w:r>
              <w:rPr>
                <w:spacing w:val="-1"/>
                <w:sz w:val="16"/>
              </w:rPr>
              <w:t>šume</w:t>
            </w:r>
            <w:r>
              <w:rPr>
                <w:spacing w:val="-6"/>
                <w:sz w:val="16"/>
              </w:rPr>
              <w:t xml:space="preserve"> </w:t>
            </w:r>
            <w:r>
              <w:rPr>
                <w:spacing w:val="-1"/>
                <w:sz w:val="16"/>
              </w:rPr>
              <w:t>d.o.o.</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53"/>
              <w:rPr>
                <w:sz w:val="16"/>
              </w:rPr>
            </w:pPr>
            <w:r>
              <w:rPr>
                <w:sz w:val="16"/>
              </w:rPr>
              <w:t>Development and implementation of an action</w:t>
            </w:r>
            <w:r>
              <w:rPr>
                <w:spacing w:val="-37"/>
                <w:sz w:val="16"/>
              </w:rPr>
              <w:t xml:space="preserve"> </w:t>
            </w:r>
            <w:r>
              <w:rPr>
                <w:sz w:val="16"/>
              </w:rPr>
              <w:t>plan for planting an additional million trees</w:t>
            </w:r>
            <w:r>
              <w:rPr>
                <w:spacing w:val="1"/>
                <w:sz w:val="16"/>
              </w:rPr>
              <w:t xml:space="preserve"> </w:t>
            </w:r>
            <w:r>
              <w:rPr>
                <w:sz w:val="16"/>
              </w:rPr>
              <w:t>per year, which will define implementation</w:t>
            </w:r>
            <w:r>
              <w:rPr>
                <w:spacing w:val="1"/>
                <w:sz w:val="16"/>
              </w:rPr>
              <w:t xml:space="preserve"> </w:t>
            </w:r>
            <w:r>
              <w:rPr>
                <w:sz w:val="16"/>
              </w:rPr>
              <w:t>activities, available and areas suitable for</w:t>
            </w:r>
            <w:r>
              <w:rPr>
                <w:spacing w:val="1"/>
                <w:sz w:val="16"/>
              </w:rPr>
              <w:t xml:space="preserve"> </w:t>
            </w:r>
            <w:r>
              <w:rPr>
                <w:sz w:val="16"/>
              </w:rPr>
              <w:t>planting, types and approximate quantities of</w:t>
            </w:r>
            <w:r>
              <w:rPr>
                <w:spacing w:val="1"/>
                <w:sz w:val="16"/>
              </w:rPr>
              <w:t xml:space="preserve"> </w:t>
            </w:r>
            <w:r>
              <w:rPr>
                <w:sz w:val="16"/>
              </w:rPr>
              <w:t>forest and ornamental reproductive material</w:t>
            </w:r>
            <w:r>
              <w:rPr>
                <w:spacing w:val="1"/>
                <w:sz w:val="16"/>
              </w:rPr>
              <w:t xml:space="preserve"> </w:t>
            </w:r>
            <w:r>
              <w:rPr>
                <w:sz w:val="16"/>
              </w:rPr>
              <w:t>according</w:t>
            </w:r>
            <w:r>
              <w:rPr>
                <w:spacing w:val="-7"/>
                <w:sz w:val="16"/>
              </w:rPr>
              <w:t xml:space="preserve"> </w:t>
            </w:r>
            <w:r>
              <w:rPr>
                <w:sz w:val="16"/>
              </w:rPr>
              <w:t>to</w:t>
            </w:r>
            <w:r>
              <w:rPr>
                <w:spacing w:val="-6"/>
                <w:sz w:val="16"/>
              </w:rPr>
              <w:t xml:space="preserve"> </w:t>
            </w:r>
            <w:r>
              <w:rPr>
                <w:sz w:val="16"/>
              </w:rPr>
              <w:t>climate,</w:t>
            </w:r>
            <w:r>
              <w:rPr>
                <w:spacing w:val="-3"/>
                <w:sz w:val="16"/>
              </w:rPr>
              <w:t xml:space="preserve"> </w:t>
            </w:r>
            <w:r>
              <w:rPr>
                <w:sz w:val="16"/>
              </w:rPr>
              <w:t>stakeholders</w:t>
            </w:r>
            <w:r>
              <w:rPr>
                <w:spacing w:val="-4"/>
                <w:sz w:val="16"/>
              </w:rPr>
              <w:t xml:space="preserve"> </w:t>
            </w:r>
            <w:r>
              <w:rPr>
                <w:sz w:val="16"/>
              </w:rPr>
              <w:t>and</w:t>
            </w:r>
            <w:r>
              <w:rPr>
                <w:spacing w:val="-4"/>
                <w:sz w:val="16"/>
              </w:rPr>
              <w:t xml:space="preserve"> </w:t>
            </w:r>
            <w:r>
              <w:rPr>
                <w:sz w:val="16"/>
              </w:rPr>
              <w:t>sources</w:t>
            </w:r>
          </w:p>
          <w:p w:rsidR="00A56FE9" w:rsidRDefault="00000000">
            <w:pPr>
              <w:pStyle w:val="TableParagraph"/>
              <w:spacing w:line="182" w:lineRule="exact"/>
              <w:ind w:left="57" w:right="1008"/>
              <w:rPr>
                <w:sz w:val="16"/>
              </w:rPr>
            </w:pPr>
            <w:r>
              <w:rPr>
                <w:sz w:val="16"/>
              </w:rPr>
              <w:t>of</w:t>
            </w:r>
            <w:r>
              <w:rPr>
                <w:spacing w:val="-4"/>
                <w:sz w:val="16"/>
              </w:rPr>
              <w:t xml:space="preserve"> </w:t>
            </w:r>
            <w:r>
              <w:rPr>
                <w:sz w:val="16"/>
              </w:rPr>
              <w:t>financing</w:t>
            </w:r>
            <w:r>
              <w:rPr>
                <w:spacing w:val="-5"/>
                <w:sz w:val="16"/>
              </w:rPr>
              <w:t xml:space="preserve"> </w:t>
            </w:r>
            <w:r>
              <w:rPr>
                <w:sz w:val="16"/>
              </w:rPr>
              <w:t>and</w:t>
            </w:r>
            <w:r>
              <w:rPr>
                <w:spacing w:val="-4"/>
                <w:sz w:val="16"/>
              </w:rPr>
              <w:t xml:space="preserve"> </w:t>
            </w:r>
            <w:r>
              <w:rPr>
                <w:sz w:val="16"/>
              </w:rPr>
              <w:t>total</w:t>
            </w:r>
            <w:r>
              <w:rPr>
                <w:spacing w:val="-3"/>
                <w:sz w:val="16"/>
              </w:rPr>
              <w:t xml:space="preserve"> </w:t>
            </w:r>
            <w:r>
              <w:rPr>
                <w:sz w:val="16"/>
              </w:rPr>
              <w:t>estimated</w:t>
            </w:r>
            <w:r>
              <w:rPr>
                <w:spacing w:val="-37"/>
                <w:sz w:val="16"/>
              </w:rPr>
              <w:t xml:space="preserve"> </w:t>
            </w:r>
            <w:r>
              <w:rPr>
                <w:sz w:val="16"/>
              </w:rPr>
              <w:t>implementation costs.</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398"/>
        </w:trPr>
        <w:tc>
          <w:tcPr>
            <w:tcW w:w="15763" w:type="dxa"/>
            <w:gridSpan w:val="17"/>
            <w:tcBorders>
              <w:top w:val="single" w:sz="4" w:space="0" w:color="2C398A"/>
              <w:left w:val="single" w:sz="4" w:space="0" w:color="2C398A"/>
              <w:bottom w:val="single" w:sz="4" w:space="0" w:color="2C398A"/>
              <w:right w:val="single" w:sz="4" w:space="0" w:color="2C398A"/>
            </w:tcBorders>
            <w:shd w:val="clear" w:color="auto" w:fill="F1F1F1"/>
          </w:tcPr>
          <w:p w:rsidR="00A56FE9" w:rsidRDefault="00000000">
            <w:pPr>
              <w:pStyle w:val="TableParagraph"/>
              <w:spacing w:before="61"/>
              <w:ind w:left="50"/>
              <w:rPr>
                <w:b/>
                <w:sz w:val="18"/>
              </w:rPr>
            </w:pPr>
            <w:r>
              <w:rPr>
                <w:b/>
                <w:color w:val="DA1F2C"/>
                <w:spacing w:val="-1"/>
                <w:sz w:val="24"/>
              </w:rPr>
              <w:t>2</w:t>
            </w:r>
            <w:r>
              <w:rPr>
                <w:b/>
                <w:color w:val="DA1F2C"/>
                <w:spacing w:val="-20"/>
                <w:sz w:val="24"/>
              </w:rPr>
              <w:t xml:space="preserve"> </w:t>
            </w:r>
            <w:r>
              <w:rPr>
                <w:b/>
                <w:color w:val="2C398A"/>
                <w:spacing w:val="-1"/>
                <w:sz w:val="16"/>
              </w:rPr>
              <w:t>-</w:t>
            </w:r>
            <w:r>
              <w:rPr>
                <w:b/>
                <w:color w:val="2C398A"/>
                <w:sz w:val="16"/>
              </w:rPr>
              <w:t xml:space="preserve"> </w:t>
            </w:r>
            <w:r>
              <w:rPr>
                <w:b/>
                <w:color w:val="003399"/>
                <w:spacing w:val="-1"/>
                <w:sz w:val="18"/>
              </w:rPr>
              <w:t xml:space="preserve">PUBLIC </w:t>
            </w:r>
            <w:r>
              <w:rPr>
                <w:b/>
                <w:color w:val="003399"/>
                <w:sz w:val="18"/>
              </w:rPr>
              <w:t>ADMINISTRATION, JUDICIARY</w:t>
            </w:r>
            <w:r>
              <w:rPr>
                <w:b/>
                <w:color w:val="003399"/>
                <w:spacing w:val="-1"/>
                <w:sz w:val="18"/>
              </w:rPr>
              <w:t xml:space="preserve"> </w:t>
            </w:r>
            <w:r>
              <w:rPr>
                <w:b/>
                <w:color w:val="003399"/>
                <w:sz w:val="18"/>
              </w:rPr>
              <w:t>AND STATE</w:t>
            </w:r>
            <w:r>
              <w:rPr>
                <w:b/>
                <w:color w:val="003399"/>
                <w:spacing w:val="1"/>
                <w:sz w:val="18"/>
              </w:rPr>
              <w:t xml:space="preserve"> </w:t>
            </w:r>
            <w:r>
              <w:rPr>
                <w:b/>
                <w:color w:val="003399"/>
                <w:sz w:val="18"/>
              </w:rPr>
              <w:t>ASSETS</w:t>
            </w:r>
          </w:p>
        </w:tc>
      </w:tr>
      <w:tr w:rsidR="00A56FE9">
        <w:trPr>
          <w:trHeight w:val="276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27</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256</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.subpart4,</w:t>
            </w:r>
            <w:r>
              <w:rPr>
                <w:spacing w:val="1"/>
                <w:sz w:val="16"/>
              </w:rPr>
              <w:t xml:space="preserve"> </w:t>
            </w:r>
            <w:r>
              <w:rPr>
                <w:spacing w:val="-1"/>
                <w:sz w:val="16"/>
              </w:rPr>
              <w:t>2020.CSR2</w:t>
            </w:r>
          </w:p>
          <w:p w:rsidR="00A56FE9" w:rsidRDefault="00000000">
            <w:pPr>
              <w:pStyle w:val="TableParagraph"/>
              <w:ind w:left="50" w:right="38"/>
              <w:rPr>
                <w:sz w:val="16"/>
              </w:rPr>
            </w:pPr>
            <w:r>
              <w:rPr>
                <w:sz w:val="16"/>
              </w:rPr>
              <w:t>.subpart4,</w:t>
            </w:r>
            <w:r>
              <w:rPr>
                <w:spacing w:val="1"/>
                <w:sz w:val="16"/>
              </w:rPr>
              <w:t xml:space="preserve"> </w:t>
            </w:r>
            <w:r>
              <w:rPr>
                <w:spacing w:val="-1"/>
                <w:sz w:val="16"/>
              </w:rPr>
              <w:t>2020.CSR4</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C2.9.</w:t>
            </w:r>
          </w:p>
          <w:p w:rsidR="00A56FE9" w:rsidRDefault="00000000">
            <w:pPr>
              <w:pStyle w:val="TableParagraph"/>
              <w:ind w:left="50" w:right="148"/>
              <w:rPr>
                <w:sz w:val="16"/>
              </w:rPr>
            </w:pPr>
            <w:r>
              <w:rPr>
                <w:sz w:val="16"/>
              </w:rPr>
              <w:t>R1 Continuous provision</w:t>
            </w:r>
            <w:r>
              <w:rPr>
                <w:spacing w:val="-38"/>
                <w:sz w:val="16"/>
              </w:rPr>
              <w:t xml:space="preserve"> </w:t>
            </w:r>
            <w:r>
              <w:rPr>
                <w:sz w:val="16"/>
              </w:rPr>
              <w:t>of public procurement</w:t>
            </w:r>
            <w:r>
              <w:rPr>
                <w:spacing w:val="1"/>
                <w:sz w:val="16"/>
              </w:rPr>
              <w:t xml:space="preserve"> </w:t>
            </w:r>
            <w:r>
              <w:rPr>
                <w:sz w:val="16"/>
              </w:rPr>
              <w:t>training</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60"/>
              <w:rPr>
                <w:sz w:val="16"/>
              </w:rPr>
            </w:pPr>
            <w:r>
              <w:rPr>
                <w:sz w:val="16"/>
              </w:rPr>
              <w:t>Guidance on improving</w:t>
            </w:r>
            <w:r>
              <w:rPr>
                <w:spacing w:val="-37"/>
                <w:sz w:val="16"/>
              </w:rPr>
              <w:t xml:space="preserve"> </w:t>
            </w:r>
            <w:r>
              <w:rPr>
                <w:sz w:val="16"/>
              </w:rPr>
              <w:t>SMEs’ participation in</w:t>
            </w:r>
            <w:r>
              <w:rPr>
                <w:spacing w:val="1"/>
                <w:sz w:val="16"/>
              </w:rPr>
              <w:t xml:space="preserve"> </w:t>
            </w:r>
            <w:r>
              <w:rPr>
                <w:sz w:val="16"/>
              </w:rPr>
              <w:t>and pooling of public</w:t>
            </w:r>
            <w:r>
              <w:rPr>
                <w:spacing w:val="1"/>
                <w:sz w:val="16"/>
              </w:rPr>
              <w:t xml:space="preserve"> </w:t>
            </w:r>
            <w:r>
              <w:rPr>
                <w:sz w:val="16"/>
              </w:rPr>
              <w:t>procurement</w:t>
            </w:r>
            <w:r>
              <w:rPr>
                <w:spacing w:val="-10"/>
                <w:sz w:val="16"/>
              </w:rPr>
              <w:t xml:space="preserve"> </w:t>
            </w:r>
            <w:r>
              <w:rPr>
                <w:sz w:val="16"/>
              </w:rPr>
              <w:t>procedures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94"/>
              <w:rPr>
                <w:sz w:val="16"/>
              </w:rPr>
            </w:pPr>
            <w:r>
              <w:rPr>
                <w:sz w:val="16"/>
              </w:rPr>
              <w:t>Publication of</w:t>
            </w:r>
            <w:r>
              <w:rPr>
                <w:spacing w:val="-38"/>
                <w:sz w:val="16"/>
              </w:rPr>
              <w:t xml:space="preserve"> </w:t>
            </w:r>
            <w:r>
              <w:rPr>
                <w:sz w:val="16"/>
              </w:rPr>
              <w:t>guidelines on</w:t>
            </w:r>
            <w:r>
              <w:rPr>
                <w:spacing w:val="1"/>
                <w:sz w:val="16"/>
              </w:rPr>
              <w:t xml:space="preserve"> </w:t>
            </w:r>
            <w:r>
              <w:rPr>
                <w:sz w:val="16"/>
              </w:rPr>
              <w:t>the Public</w:t>
            </w:r>
            <w:r>
              <w:rPr>
                <w:spacing w:val="1"/>
                <w:sz w:val="16"/>
              </w:rPr>
              <w:t xml:space="preserve"> </w:t>
            </w:r>
            <w:r>
              <w:rPr>
                <w:sz w:val="16"/>
              </w:rPr>
              <w:t>Procurement</w:t>
            </w:r>
            <w:r>
              <w:rPr>
                <w:spacing w:val="1"/>
                <w:sz w:val="16"/>
              </w:rPr>
              <w:t xml:space="preserve"> </w:t>
            </w:r>
            <w:r>
              <w:rPr>
                <w:sz w:val="16"/>
              </w:rPr>
              <w:t>Portal</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MESD</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78"/>
              <w:rPr>
                <w:sz w:val="16"/>
              </w:rPr>
            </w:pPr>
            <w:r>
              <w:rPr>
                <w:sz w:val="16"/>
              </w:rPr>
              <w:t>In order to further encourage the involvement</w:t>
            </w:r>
            <w:r>
              <w:rPr>
                <w:spacing w:val="-37"/>
                <w:sz w:val="16"/>
              </w:rPr>
              <w:t xml:space="preserve"> </w:t>
            </w:r>
            <w:r>
              <w:rPr>
                <w:sz w:val="16"/>
              </w:rPr>
              <w:t>of SMEs in public procurement procedures,</w:t>
            </w:r>
            <w:r>
              <w:rPr>
                <w:spacing w:val="1"/>
                <w:sz w:val="16"/>
              </w:rPr>
              <w:t xml:space="preserve"> </w:t>
            </w:r>
            <w:r>
              <w:rPr>
                <w:sz w:val="16"/>
              </w:rPr>
              <w:t>guidelines shall be developed and published</w:t>
            </w:r>
            <w:r>
              <w:rPr>
                <w:spacing w:val="1"/>
                <w:sz w:val="16"/>
              </w:rPr>
              <w:t xml:space="preserve"> </w:t>
            </w:r>
            <w:r>
              <w:rPr>
                <w:sz w:val="16"/>
              </w:rPr>
              <w:t>for contracting entities and tenderers to</w:t>
            </w:r>
            <w:r>
              <w:rPr>
                <w:spacing w:val="1"/>
                <w:sz w:val="16"/>
              </w:rPr>
              <w:t xml:space="preserve"> </w:t>
            </w:r>
            <w:r>
              <w:rPr>
                <w:sz w:val="16"/>
              </w:rPr>
              <w:t>encourage SMEs’ participation in the public</w:t>
            </w:r>
            <w:r>
              <w:rPr>
                <w:spacing w:val="1"/>
                <w:sz w:val="16"/>
              </w:rPr>
              <w:t xml:space="preserve"> </w:t>
            </w:r>
            <w:r>
              <w:rPr>
                <w:sz w:val="16"/>
              </w:rPr>
              <w:t>procurement</w:t>
            </w:r>
            <w:r>
              <w:rPr>
                <w:spacing w:val="-5"/>
                <w:sz w:val="16"/>
              </w:rPr>
              <w:t xml:space="preserve"> </w:t>
            </w:r>
            <w:r>
              <w:rPr>
                <w:sz w:val="16"/>
              </w:rPr>
              <w:t>market.</w:t>
            </w:r>
            <w:r>
              <w:rPr>
                <w:spacing w:val="-2"/>
                <w:sz w:val="16"/>
              </w:rPr>
              <w:t xml:space="preserve"> </w:t>
            </w:r>
            <w:r>
              <w:rPr>
                <w:sz w:val="16"/>
              </w:rPr>
              <w:t>The</w:t>
            </w:r>
            <w:r>
              <w:rPr>
                <w:spacing w:val="-6"/>
                <w:sz w:val="16"/>
              </w:rPr>
              <w:t xml:space="preserve"> </w:t>
            </w:r>
            <w:r>
              <w:rPr>
                <w:sz w:val="16"/>
              </w:rPr>
              <w:t>guidelines</w:t>
            </w:r>
            <w:r>
              <w:rPr>
                <w:spacing w:val="-3"/>
                <w:sz w:val="16"/>
              </w:rPr>
              <w:t xml:space="preserve"> </w:t>
            </w:r>
            <w:r>
              <w:rPr>
                <w:sz w:val="16"/>
              </w:rPr>
              <w:t>shall</w:t>
            </w:r>
            <w:r>
              <w:rPr>
                <w:spacing w:val="-5"/>
                <w:sz w:val="16"/>
              </w:rPr>
              <w:t xml:space="preserve"> </w:t>
            </w:r>
            <w:r>
              <w:rPr>
                <w:sz w:val="16"/>
              </w:rPr>
              <w:t>also</w:t>
            </w:r>
            <w:r>
              <w:rPr>
                <w:spacing w:val="-37"/>
                <w:sz w:val="16"/>
              </w:rPr>
              <w:t xml:space="preserve"> </w:t>
            </w:r>
            <w:r>
              <w:rPr>
                <w:sz w:val="16"/>
              </w:rPr>
              <w:t>include the most important provisions of the</w:t>
            </w:r>
            <w:r>
              <w:rPr>
                <w:spacing w:val="1"/>
                <w:sz w:val="16"/>
              </w:rPr>
              <w:t xml:space="preserve"> </w:t>
            </w:r>
            <w:r>
              <w:rPr>
                <w:sz w:val="16"/>
              </w:rPr>
              <w:t>Public Procurement Act aimed at making it</w:t>
            </w:r>
            <w:r>
              <w:rPr>
                <w:spacing w:val="1"/>
                <w:sz w:val="16"/>
              </w:rPr>
              <w:t xml:space="preserve"> </w:t>
            </w:r>
            <w:r>
              <w:rPr>
                <w:sz w:val="16"/>
              </w:rPr>
              <w:t>easier for SMEs to compete for public</w:t>
            </w:r>
            <w:r>
              <w:rPr>
                <w:spacing w:val="1"/>
                <w:sz w:val="16"/>
              </w:rPr>
              <w:t xml:space="preserve"> </w:t>
            </w:r>
            <w:r>
              <w:rPr>
                <w:sz w:val="16"/>
              </w:rPr>
              <w:t>contracts. Cooperation with business</w:t>
            </w:r>
            <w:r>
              <w:rPr>
                <w:spacing w:val="1"/>
                <w:sz w:val="16"/>
              </w:rPr>
              <w:t xml:space="preserve"> </w:t>
            </w:r>
            <w:r>
              <w:rPr>
                <w:sz w:val="16"/>
              </w:rPr>
              <w:t>associations in providing targeted training to</w:t>
            </w:r>
            <w:r>
              <w:rPr>
                <w:spacing w:val="1"/>
                <w:sz w:val="16"/>
              </w:rPr>
              <w:t xml:space="preserve"> </w:t>
            </w:r>
            <w:r>
              <w:rPr>
                <w:sz w:val="16"/>
              </w:rPr>
              <w:t>bidders in public procurement procedures</w:t>
            </w:r>
            <w:r>
              <w:rPr>
                <w:spacing w:val="1"/>
                <w:sz w:val="16"/>
              </w:rPr>
              <w:t xml:space="preserve"> </w:t>
            </w:r>
            <w:r>
              <w:rPr>
                <w:sz w:val="16"/>
              </w:rPr>
              <w:t>shall continue. The guidance will be prepared</w:t>
            </w:r>
            <w:r>
              <w:rPr>
                <w:spacing w:val="1"/>
                <w:sz w:val="16"/>
              </w:rPr>
              <w:t xml:space="preserve"> </w:t>
            </w:r>
            <w:r>
              <w:rPr>
                <w:sz w:val="16"/>
              </w:rPr>
              <w:t>based</w:t>
            </w:r>
            <w:r>
              <w:rPr>
                <w:spacing w:val="-3"/>
                <w:sz w:val="16"/>
              </w:rPr>
              <w:t xml:space="preserve"> </w:t>
            </w:r>
            <w:r>
              <w:rPr>
                <w:sz w:val="16"/>
              </w:rPr>
              <w:t>on</w:t>
            </w:r>
            <w:r>
              <w:rPr>
                <w:spacing w:val="-2"/>
                <w:sz w:val="16"/>
              </w:rPr>
              <w:t xml:space="preserve"> </w:t>
            </w:r>
            <w:r>
              <w:rPr>
                <w:sz w:val="16"/>
              </w:rPr>
              <w:t>the</w:t>
            </w:r>
            <w:r>
              <w:rPr>
                <w:spacing w:val="-4"/>
                <w:sz w:val="16"/>
              </w:rPr>
              <w:t xml:space="preserve"> </w:t>
            </w:r>
            <w:r>
              <w:rPr>
                <w:sz w:val="16"/>
              </w:rPr>
              <w:t>result</w:t>
            </w:r>
            <w:r>
              <w:rPr>
                <w:spacing w:val="-1"/>
                <w:sz w:val="16"/>
              </w:rPr>
              <w:t xml:space="preserve"> </w:t>
            </w:r>
            <w:r>
              <w:rPr>
                <w:sz w:val="16"/>
              </w:rPr>
              <w:t>of</w:t>
            </w:r>
            <w:r>
              <w:rPr>
                <w:spacing w:val="-4"/>
                <w:sz w:val="16"/>
              </w:rPr>
              <w:t xml:space="preserve"> </w:t>
            </w:r>
            <w:r>
              <w:rPr>
                <w:sz w:val="16"/>
              </w:rPr>
              <w:t>the</w:t>
            </w:r>
            <w:r>
              <w:rPr>
                <w:spacing w:val="-3"/>
                <w:sz w:val="16"/>
              </w:rPr>
              <w:t xml:space="preserve"> </w:t>
            </w:r>
            <w:r>
              <w:rPr>
                <w:sz w:val="16"/>
              </w:rPr>
              <w:t>Structural</w:t>
            </w:r>
            <w:r>
              <w:rPr>
                <w:spacing w:val="-3"/>
                <w:sz w:val="16"/>
              </w:rPr>
              <w:t xml:space="preserve"> </w:t>
            </w:r>
            <w:r>
              <w:rPr>
                <w:sz w:val="16"/>
              </w:rPr>
              <w:t>Reform</w:t>
            </w:r>
          </w:p>
          <w:p w:rsidR="00A56FE9" w:rsidRDefault="00000000">
            <w:pPr>
              <w:pStyle w:val="TableParagraph"/>
              <w:spacing w:line="168" w:lineRule="exact"/>
              <w:ind w:left="57"/>
              <w:rPr>
                <w:sz w:val="16"/>
              </w:rPr>
            </w:pPr>
            <w:r>
              <w:rPr>
                <w:sz w:val="16"/>
              </w:rPr>
              <w:t>Support</w:t>
            </w:r>
            <w:r>
              <w:rPr>
                <w:spacing w:val="-3"/>
                <w:sz w:val="16"/>
              </w:rPr>
              <w:t xml:space="preserve"> </w:t>
            </w:r>
            <w:r>
              <w:rPr>
                <w:sz w:val="16"/>
              </w:rPr>
              <w:t>Programme</w:t>
            </w:r>
            <w:r>
              <w:rPr>
                <w:spacing w:val="-6"/>
                <w:sz w:val="16"/>
              </w:rPr>
              <w:t xml:space="preserve"> </w:t>
            </w:r>
            <w:r>
              <w:rPr>
                <w:sz w:val="16"/>
              </w:rPr>
              <w:t>project.</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28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28</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257</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.subpart4,</w:t>
            </w:r>
            <w:r>
              <w:rPr>
                <w:spacing w:val="1"/>
                <w:sz w:val="16"/>
              </w:rPr>
              <w:t xml:space="preserve"> </w:t>
            </w:r>
            <w:r>
              <w:rPr>
                <w:spacing w:val="-1"/>
                <w:sz w:val="16"/>
              </w:rPr>
              <w:t>2020.CSR2</w:t>
            </w:r>
          </w:p>
          <w:p w:rsidR="00A56FE9" w:rsidRDefault="00000000">
            <w:pPr>
              <w:pStyle w:val="TableParagraph"/>
              <w:ind w:left="50" w:right="38"/>
              <w:rPr>
                <w:sz w:val="16"/>
              </w:rPr>
            </w:pPr>
            <w:r>
              <w:rPr>
                <w:sz w:val="16"/>
              </w:rPr>
              <w:t>.subpart4,</w:t>
            </w:r>
            <w:r>
              <w:rPr>
                <w:spacing w:val="1"/>
                <w:sz w:val="16"/>
              </w:rPr>
              <w:t xml:space="preserve"> </w:t>
            </w:r>
            <w:r>
              <w:rPr>
                <w:spacing w:val="-1"/>
                <w:sz w:val="16"/>
              </w:rPr>
              <w:t>2020.CSR4</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C2.9.</w:t>
            </w:r>
          </w:p>
          <w:p w:rsidR="00A56FE9" w:rsidRDefault="00000000">
            <w:pPr>
              <w:pStyle w:val="TableParagraph"/>
              <w:ind w:left="50" w:right="148"/>
              <w:rPr>
                <w:sz w:val="16"/>
              </w:rPr>
            </w:pPr>
            <w:r>
              <w:rPr>
                <w:sz w:val="16"/>
              </w:rPr>
              <w:t>R1 Continuous provision</w:t>
            </w:r>
            <w:r>
              <w:rPr>
                <w:spacing w:val="-38"/>
                <w:sz w:val="16"/>
              </w:rPr>
              <w:t xml:space="preserve"> </w:t>
            </w:r>
            <w:r>
              <w:rPr>
                <w:sz w:val="16"/>
              </w:rPr>
              <w:t>of</w:t>
            </w:r>
            <w:r>
              <w:rPr>
                <w:spacing w:val="-3"/>
                <w:sz w:val="16"/>
              </w:rPr>
              <w:t xml:space="preserve"> </w:t>
            </w:r>
            <w:r>
              <w:rPr>
                <w:sz w:val="16"/>
              </w:rPr>
              <w:t>public</w:t>
            </w:r>
            <w:r>
              <w:rPr>
                <w:spacing w:val="-3"/>
                <w:sz w:val="16"/>
              </w:rPr>
              <w:t xml:space="preserve"> </w:t>
            </w:r>
            <w:r>
              <w:rPr>
                <w:sz w:val="16"/>
              </w:rPr>
              <w:t>procurement</w:t>
            </w:r>
          </w:p>
          <w:p w:rsidR="00A56FE9" w:rsidRDefault="00000000">
            <w:pPr>
              <w:pStyle w:val="TableParagraph"/>
              <w:spacing w:line="167" w:lineRule="exact"/>
              <w:ind w:left="50"/>
              <w:rPr>
                <w:sz w:val="16"/>
              </w:rPr>
            </w:pPr>
            <w:r>
              <w:rPr>
                <w:sz w:val="16"/>
              </w:rPr>
              <w:t>training</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18"/>
              <w:rPr>
                <w:sz w:val="16"/>
              </w:rPr>
            </w:pPr>
            <w:r>
              <w:rPr>
                <w:sz w:val="16"/>
              </w:rPr>
              <w:t>Amendment</w:t>
            </w:r>
            <w:r>
              <w:rPr>
                <w:spacing w:val="-3"/>
                <w:sz w:val="16"/>
              </w:rPr>
              <w:t xml:space="preserve"> </w:t>
            </w:r>
            <w:r>
              <w:rPr>
                <w:sz w:val="16"/>
              </w:rPr>
              <w:t>to</w:t>
            </w:r>
            <w:r>
              <w:rPr>
                <w:spacing w:val="-4"/>
                <w:sz w:val="16"/>
              </w:rPr>
              <w:t xml:space="preserve"> </w:t>
            </w:r>
            <w:r>
              <w:rPr>
                <w:sz w:val="16"/>
              </w:rPr>
              <w:t>the</w:t>
            </w:r>
            <w:r>
              <w:rPr>
                <w:spacing w:val="-6"/>
                <w:sz w:val="16"/>
              </w:rPr>
              <w:t xml:space="preserve"> </w:t>
            </w:r>
            <w:r>
              <w:rPr>
                <w:sz w:val="16"/>
              </w:rPr>
              <w:t>Rules</w:t>
            </w:r>
            <w:r>
              <w:rPr>
                <w:spacing w:val="-37"/>
                <w:sz w:val="16"/>
              </w:rPr>
              <w:t xml:space="preserve"> </w:t>
            </w:r>
            <w:r>
              <w:rPr>
                <w:sz w:val="16"/>
              </w:rPr>
              <w:t>on training in public</w:t>
            </w:r>
            <w:r>
              <w:rPr>
                <w:spacing w:val="1"/>
                <w:sz w:val="16"/>
              </w:rPr>
              <w:t xml:space="preserve"> </w:t>
            </w:r>
            <w:r>
              <w:rPr>
                <w:sz w:val="16"/>
              </w:rPr>
              <w:t>procurement</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35"/>
              <w:rPr>
                <w:sz w:val="16"/>
              </w:rPr>
            </w:pPr>
            <w:r>
              <w:rPr>
                <w:sz w:val="16"/>
              </w:rPr>
              <w:t>Entry into</w:t>
            </w:r>
            <w:r>
              <w:rPr>
                <w:spacing w:val="1"/>
                <w:sz w:val="16"/>
              </w:rPr>
              <w:t xml:space="preserve"> </w:t>
            </w:r>
            <w:r>
              <w:rPr>
                <w:sz w:val="16"/>
              </w:rPr>
              <w:t>force of the</w:t>
            </w:r>
            <w:r>
              <w:rPr>
                <w:spacing w:val="1"/>
                <w:sz w:val="16"/>
              </w:rPr>
              <w:t xml:space="preserve"> </w:t>
            </w:r>
            <w:r>
              <w:rPr>
                <w:sz w:val="16"/>
              </w:rPr>
              <w:t>amendments</w:t>
            </w:r>
            <w:r>
              <w:rPr>
                <w:spacing w:val="1"/>
                <w:sz w:val="16"/>
              </w:rPr>
              <w:t xml:space="preserve"> </w:t>
            </w:r>
            <w:r>
              <w:rPr>
                <w:sz w:val="16"/>
              </w:rPr>
              <w:t>to the Rules</w:t>
            </w:r>
            <w:r>
              <w:rPr>
                <w:spacing w:val="1"/>
                <w:sz w:val="16"/>
              </w:rPr>
              <w:t xml:space="preserve"> </w:t>
            </w:r>
            <w:r>
              <w:rPr>
                <w:sz w:val="16"/>
              </w:rPr>
              <w:t>on</w:t>
            </w:r>
            <w:r>
              <w:rPr>
                <w:spacing w:val="-8"/>
                <w:sz w:val="16"/>
              </w:rPr>
              <w:t xml:space="preserve"> </w:t>
            </w:r>
            <w:r>
              <w:rPr>
                <w:sz w:val="16"/>
              </w:rPr>
              <w:t>training</w:t>
            </w:r>
            <w:r>
              <w:rPr>
                <w:spacing w:val="-10"/>
                <w:sz w:val="16"/>
              </w:rPr>
              <w:t xml:space="preserve"> </w:t>
            </w:r>
            <w:r>
              <w:rPr>
                <w:sz w:val="16"/>
              </w:rPr>
              <w:t>in</w:t>
            </w:r>
          </w:p>
          <w:p w:rsidR="00A56FE9" w:rsidRDefault="00000000">
            <w:pPr>
              <w:pStyle w:val="TableParagraph"/>
              <w:spacing w:line="184" w:lineRule="exact"/>
              <w:ind w:left="110" w:right="188"/>
              <w:rPr>
                <w:sz w:val="16"/>
              </w:rPr>
            </w:pPr>
            <w:r>
              <w:rPr>
                <w:sz w:val="16"/>
              </w:rPr>
              <w:t>public</w:t>
            </w:r>
            <w:r>
              <w:rPr>
                <w:spacing w:val="1"/>
                <w:sz w:val="16"/>
              </w:rPr>
              <w:t xml:space="preserve"> </w:t>
            </w:r>
            <w:r>
              <w:rPr>
                <w:sz w:val="16"/>
              </w:rPr>
              <w:t>procurement</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MESD</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6"/>
              <w:rPr>
                <w:sz w:val="16"/>
              </w:rPr>
            </w:pPr>
            <w:r>
              <w:rPr>
                <w:sz w:val="16"/>
              </w:rPr>
              <w:t>The</w:t>
            </w:r>
            <w:r>
              <w:rPr>
                <w:spacing w:val="-6"/>
                <w:sz w:val="16"/>
              </w:rPr>
              <w:t xml:space="preserve"> </w:t>
            </w:r>
            <w:r>
              <w:rPr>
                <w:sz w:val="16"/>
              </w:rPr>
              <w:t>amendments</w:t>
            </w:r>
            <w:r>
              <w:rPr>
                <w:spacing w:val="-5"/>
                <w:sz w:val="16"/>
              </w:rPr>
              <w:t xml:space="preserve"> </w:t>
            </w:r>
            <w:r>
              <w:rPr>
                <w:sz w:val="16"/>
              </w:rPr>
              <w:t>to</w:t>
            </w:r>
            <w:r>
              <w:rPr>
                <w:spacing w:val="-4"/>
                <w:sz w:val="16"/>
              </w:rPr>
              <w:t xml:space="preserve"> </w:t>
            </w:r>
            <w:r>
              <w:rPr>
                <w:sz w:val="16"/>
              </w:rPr>
              <w:t>the</w:t>
            </w:r>
            <w:r>
              <w:rPr>
                <w:spacing w:val="-5"/>
                <w:sz w:val="16"/>
              </w:rPr>
              <w:t xml:space="preserve"> </w:t>
            </w:r>
            <w:r>
              <w:rPr>
                <w:sz w:val="16"/>
              </w:rPr>
              <w:t>legislative</w:t>
            </w:r>
            <w:r>
              <w:rPr>
                <w:spacing w:val="-6"/>
                <w:sz w:val="16"/>
              </w:rPr>
              <w:t xml:space="preserve"> </w:t>
            </w:r>
            <w:r>
              <w:rPr>
                <w:sz w:val="16"/>
              </w:rPr>
              <w:t>framework</w:t>
            </w:r>
            <w:r>
              <w:rPr>
                <w:spacing w:val="-37"/>
                <w:sz w:val="16"/>
              </w:rPr>
              <w:t xml:space="preserve"> </w:t>
            </w:r>
            <w:r>
              <w:rPr>
                <w:sz w:val="16"/>
              </w:rPr>
              <w:t>in order to improve training in public</w:t>
            </w:r>
            <w:r>
              <w:rPr>
                <w:spacing w:val="1"/>
                <w:sz w:val="16"/>
              </w:rPr>
              <w:t xml:space="preserve"> </w:t>
            </w:r>
            <w:r>
              <w:rPr>
                <w:sz w:val="16"/>
              </w:rPr>
              <w:t>procurement shall include i) establishing a</w:t>
            </w:r>
            <w:r>
              <w:rPr>
                <w:spacing w:val="1"/>
                <w:sz w:val="16"/>
              </w:rPr>
              <w:t xml:space="preserve"> </w:t>
            </w:r>
            <w:r>
              <w:rPr>
                <w:sz w:val="16"/>
              </w:rPr>
              <w:t>curriculum for Upskilling Programmes,</w:t>
            </w:r>
            <w:r>
              <w:rPr>
                <w:spacing w:val="1"/>
                <w:sz w:val="16"/>
              </w:rPr>
              <w:t xml:space="preserve"> </w:t>
            </w:r>
            <w:r>
              <w:rPr>
                <w:sz w:val="16"/>
              </w:rPr>
              <w:t>defining</w:t>
            </w:r>
            <w:r>
              <w:rPr>
                <w:spacing w:val="-4"/>
                <w:sz w:val="16"/>
              </w:rPr>
              <w:t xml:space="preserve"> </w:t>
            </w:r>
            <w:r>
              <w:rPr>
                <w:sz w:val="16"/>
              </w:rPr>
              <w:t>the</w:t>
            </w:r>
            <w:r>
              <w:rPr>
                <w:spacing w:val="-4"/>
                <w:sz w:val="16"/>
              </w:rPr>
              <w:t xml:space="preserve"> </w:t>
            </w:r>
            <w:r>
              <w:rPr>
                <w:sz w:val="16"/>
              </w:rPr>
              <w:t>competences</w:t>
            </w:r>
            <w:r>
              <w:rPr>
                <w:spacing w:val="-1"/>
                <w:sz w:val="16"/>
              </w:rPr>
              <w:t xml:space="preserve"> </w:t>
            </w:r>
            <w:r>
              <w:rPr>
                <w:sz w:val="16"/>
              </w:rPr>
              <w:t>and learning</w:t>
            </w:r>
          </w:p>
          <w:p w:rsidR="00A56FE9" w:rsidRDefault="00000000">
            <w:pPr>
              <w:pStyle w:val="TableParagraph"/>
              <w:spacing w:line="184" w:lineRule="exact"/>
              <w:ind w:left="57" w:right="95"/>
              <w:rPr>
                <w:sz w:val="16"/>
              </w:rPr>
            </w:pPr>
            <w:r>
              <w:rPr>
                <w:sz w:val="16"/>
              </w:rPr>
              <w:t>objectives, (ii) integrating ProcurCompEU</w:t>
            </w:r>
            <w:r>
              <w:rPr>
                <w:spacing w:val="1"/>
                <w:sz w:val="16"/>
              </w:rPr>
              <w:t xml:space="preserve"> </w:t>
            </w:r>
            <w:r>
              <w:rPr>
                <w:sz w:val="16"/>
              </w:rPr>
              <w:t>into</w:t>
            </w:r>
            <w:r>
              <w:rPr>
                <w:spacing w:val="-5"/>
                <w:sz w:val="16"/>
              </w:rPr>
              <w:t xml:space="preserve"> </w:t>
            </w:r>
            <w:r>
              <w:rPr>
                <w:sz w:val="16"/>
              </w:rPr>
              <w:t>the</w:t>
            </w:r>
            <w:r>
              <w:rPr>
                <w:spacing w:val="-5"/>
                <w:sz w:val="16"/>
              </w:rPr>
              <w:t xml:space="preserve"> </w:t>
            </w:r>
            <w:r>
              <w:rPr>
                <w:sz w:val="16"/>
              </w:rPr>
              <w:t>mandatory</w:t>
            </w:r>
            <w:r>
              <w:rPr>
                <w:spacing w:val="-6"/>
                <w:sz w:val="16"/>
              </w:rPr>
              <w:t xml:space="preserve"> </w:t>
            </w:r>
            <w:r>
              <w:rPr>
                <w:sz w:val="16"/>
              </w:rPr>
              <w:t>training</w:t>
            </w:r>
            <w:r>
              <w:rPr>
                <w:spacing w:val="-5"/>
                <w:sz w:val="16"/>
              </w:rPr>
              <w:t xml:space="preserve"> </w:t>
            </w:r>
            <w:r>
              <w:rPr>
                <w:sz w:val="16"/>
              </w:rPr>
              <w:t>and</w:t>
            </w:r>
            <w:r>
              <w:rPr>
                <w:spacing w:val="-4"/>
                <w:sz w:val="16"/>
              </w:rPr>
              <w:t xml:space="preserve"> </w:t>
            </w:r>
            <w:r>
              <w:rPr>
                <w:sz w:val="16"/>
              </w:rPr>
              <w:t>certification</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619.500</w:t>
            </w:r>
          </w:p>
        </w:tc>
      </w:tr>
    </w:tbl>
    <w:p w:rsidR="00A56FE9" w:rsidRDefault="00A56FE9">
      <w:pPr>
        <w:spacing w:line="181" w:lineRule="exact"/>
        <w:jc w:val="righ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3307"/>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7"/>
              <w:rPr>
                <w:sz w:val="16"/>
              </w:rPr>
            </w:pPr>
            <w:r>
              <w:rPr>
                <w:sz w:val="16"/>
              </w:rPr>
              <w:t>scheme</w:t>
            </w:r>
            <w:r>
              <w:rPr>
                <w:spacing w:val="-4"/>
                <w:sz w:val="16"/>
              </w:rPr>
              <w:t xml:space="preserve"> </w:t>
            </w:r>
            <w:r>
              <w:rPr>
                <w:sz w:val="16"/>
              </w:rPr>
              <w:t>for</w:t>
            </w:r>
            <w:r>
              <w:rPr>
                <w:spacing w:val="-3"/>
                <w:sz w:val="16"/>
              </w:rPr>
              <w:t xml:space="preserve"> </w:t>
            </w:r>
            <w:r>
              <w:rPr>
                <w:sz w:val="16"/>
              </w:rPr>
              <w:t>public</w:t>
            </w:r>
            <w:r>
              <w:rPr>
                <w:spacing w:val="-4"/>
                <w:sz w:val="16"/>
              </w:rPr>
              <w:t xml:space="preserve"> </w:t>
            </w:r>
            <w:r>
              <w:rPr>
                <w:sz w:val="16"/>
              </w:rPr>
              <w:t>procurement;</w:t>
            </w:r>
            <w:r>
              <w:rPr>
                <w:spacing w:val="-2"/>
                <w:sz w:val="16"/>
              </w:rPr>
              <w:t xml:space="preserve"> </w:t>
            </w:r>
            <w:r>
              <w:rPr>
                <w:sz w:val="16"/>
              </w:rPr>
              <w:t>(iii)</w:t>
            </w:r>
            <w:r>
              <w:rPr>
                <w:spacing w:val="-3"/>
                <w:sz w:val="16"/>
              </w:rPr>
              <w:t xml:space="preserve"> </w:t>
            </w:r>
            <w:r>
              <w:rPr>
                <w:sz w:val="16"/>
              </w:rPr>
              <w:t>a</w:t>
            </w:r>
          </w:p>
          <w:p w:rsidR="00A56FE9" w:rsidRDefault="00000000">
            <w:pPr>
              <w:pStyle w:val="TableParagraph"/>
              <w:spacing w:before="1"/>
              <w:ind w:left="57" w:right="708"/>
              <w:rPr>
                <w:sz w:val="16"/>
              </w:rPr>
            </w:pPr>
            <w:r>
              <w:rPr>
                <w:sz w:val="16"/>
              </w:rPr>
              <w:t>requirement to conduct a qualitative</w:t>
            </w:r>
            <w:r>
              <w:rPr>
                <w:spacing w:val="-37"/>
                <w:sz w:val="16"/>
              </w:rPr>
              <w:t xml:space="preserve"> </w:t>
            </w:r>
            <w:r>
              <w:rPr>
                <w:sz w:val="16"/>
              </w:rPr>
              <w:t>assessment of</w:t>
            </w:r>
            <w:r>
              <w:rPr>
                <w:spacing w:val="-2"/>
                <w:sz w:val="16"/>
              </w:rPr>
              <w:t xml:space="preserve"> </w:t>
            </w:r>
            <w:r>
              <w:rPr>
                <w:sz w:val="16"/>
              </w:rPr>
              <w:t>the</w:t>
            </w:r>
            <w:r>
              <w:rPr>
                <w:spacing w:val="-2"/>
                <w:sz w:val="16"/>
              </w:rPr>
              <w:t xml:space="preserve"> </w:t>
            </w:r>
            <w:r>
              <w:rPr>
                <w:sz w:val="16"/>
              </w:rPr>
              <w:t>trainings.</w:t>
            </w:r>
          </w:p>
          <w:p w:rsidR="00A56FE9" w:rsidRDefault="00000000">
            <w:pPr>
              <w:pStyle w:val="TableParagraph"/>
              <w:ind w:left="57" w:right="81"/>
              <w:rPr>
                <w:sz w:val="16"/>
              </w:rPr>
            </w:pPr>
            <w:r>
              <w:rPr>
                <w:sz w:val="16"/>
              </w:rPr>
              <w:t>The amendments are expected to provide a</w:t>
            </w:r>
            <w:r>
              <w:rPr>
                <w:spacing w:val="1"/>
                <w:sz w:val="16"/>
              </w:rPr>
              <w:t xml:space="preserve"> </w:t>
            </w:r>
            <w:r>
              <w:rPr>
                <w:sz w:val="16"/>
              </w:rPr>
              <w:t>comprehensive approach necessary to ensure</w:t>
            </w:r>
            <w:r>
              <w:rPr>
                <w:spacing w:val="1"/>
                <w:sz w:val="16"/>
              </w:rPr>
              <w:t xml:space="preserve"> </w:t>
            </w:r>
            <w:r>
              <w:rPr>
                <w:sz w:val="16"/>
              </w:rPr>
              <w:t>the strengthening of the administrative</w:t>
            </w:r>
            <w:r>
              <w:rPr>
                <w:spacing w:val="1"/>
                <w:sz w:val="16"/>
              </w:rPr>
              <w:t xml:space="preserve"> </w:t>
            </w:r>
            <w:r>
              <w:rPr>
                <w:sz w:val="16"/>
              </w:rPr>
              <w:t>capacity of staff in key public procurement</w:t>
            </w:r>
            <w:r>
              <w:rPr>
                <w:spacing w:val="1"/>
                <w:sz w:val="16"/>
              </w:rPr>
              <w:t xml:space="preserve"> </w:t>
            </w:r>
            <w:r>
              <w:rPr>
                <w:sz w:val="16"/>
              </w:rPr>
              <w:t>institutions, also using the recommendations</w:t>
            </w:r>
            <w:r>
              <w:rPr>
                <w:spacing w:val="1"/>
                <w:sz w:val="16"/>
              </w:rPr>
              <w:t xml:space="preserve"> </w:t>
            </w:r>
            <w:r>
              <w:rPr>
                <w:sz w:val="16"/>
              </w:rPr>
              <w:t>from the workload analysis (R1-I1). Based on</w:t>
            </w:r>
            <w:r>
              <w:rPr>
                <w:spacing w:val="-37"/>
                <w:sz w:val="16"/>
              </w:rPr>
              <w:t xml:space="preserve"> </w:t>
            </w:r>
            <w:r>
              <w:rPr>
                <w:sz w:val="16"/>
              </w:rPr>
              <w:t>the results of the organisational assessment</w:t>
            </w:r>
            <w:r>
              <w:rPr>
                <w:spacing w:val="1"/>
                <w:sz w:val="16"/>
              </w:rPr>
              <w:t xml:space="preserve"> </w:t>
            </w:r>
            <w:r>
              <w:rPr>
                <w:sz w:val="16"/>
              </w:rPr>
              <w:t>and strategic priorities, priority shall be given</w:t>
            </w:r>
            <w:r>
              <w:rPr>
                <w:spacing w:val="-37"/>
                <w:sz w:val="16"/>
              </w:rPr>
              <w:t xml:space="preserve"> </w:t>
            </w:r>
            <w:r>
              <w:rPr>
                <w:sz w:val="16"/>
              </w:rPr>
              <w:t>to trainings that can provide the greatest</w:t>
            </w:r>
            <w:r>
              <w:rPr>
                <w:spacing w:val="1"/>
                <w:sz w:val="16"/>
              </w:rPr>
              <w:t xml:space="preserve"> </w:t>
            </w:r>
            <w:r>
              <w:rPr>
                <w:sz w:val="16"/>
              </w:rPr>
              <w:t>impact in achieving objectives such as</w:t>
            </w:r>
            <w:r>
              <w:rPr>
                <w:spacing w:val="1"/>
                <w:sz w:val="16"/>
              </w:rPr>
              <w:t xml:space="preserve"> </w:t>
            </w:r>
            <w:r>
              <w:rPr>
                <w:sz w:val="16"/>
              </w:rPr>
              <w:t>integrity and transparency issues, proper</w:t>
            </w:r>
            <w:r>
              <w:rPr>
                <w:spacing w:val="1"/>
                <w:sz w:val="16"/>
              </w:rPr>
              <w:t xml:space="preserve"> </w:t>
            </w:r>
            <w:r>
              <w:rPr>
                <w:sz w:val="16"/>
              </w:rPr>
              <w:t>planning of procedures, fair and open</w:t>
            </w:r>
            <w:r>
              <w:rPr>
                <w:spacing w:val="1"/>
                <w:sz w:val="16"/>
              </w:rPr>
              <w:t xml:space="preserve"> </w:t>
            </w:r>
            <w:r>
              <w:rPr>
                <w:sz w:val="16"/>
              </w:rPr>
              <w:t>technical specifications, clear selection and</w:t>
            </w:r>
            <w:r>
              <w:rPr>
                <w:spacing w:val="1"/>
                <w:sz w:val="16"/>
              </w:rPr>
              <w:t xml:space="preserve"> </w:t>
            </w:r>
            <w:r>
              <w:rPr>
                <w:sz w:val="16"/>
              </w:rPr>
              <w:t>evaluation</w:t>
            </w:r>
            <w:r>
              <w:rPr>
                <w:spacing w:val="-3"/>
                <w:sz w:val="16"/>
              </w:rPr>
              <w:t xml:space="preserve"> </w:t>
            </w:r>
            <w:r>
              <w:rPr>
                <w:sz w:val="16"/>
              </w:rPr>
              <w:t>criteria for</w:t>
            </w:r>
            <w:r>
              <w:rPr>
                <w:spacing w:val="-2"/>
                <w:sz w:val="16"/>
              </w:rPr>
              <w:t xml:space="preserve"> </w:t>
            </w:r>
            <w:r>
              <w:rPr>
                <w:sz w:val="16"/>
              </w:rPr>
              <w:t>tenders,</w:t>
            </w:r>
            <w:r>
              <w:rPr>
                <w:spacing w:val="-1"/>
                <w:sz w:val="16"/>
              </w:rPr>
              <w:t xml:space="preserve"> </w:t>
            </w:r>
            <w:r>
              <w:rPr>
                <w:sz w:val="16"/>
              </w:rPr>
              <w:t>contract</w:t>
            </w:r>
          </w:p>
          <w:p w:rsidR="00A56FE9" w:rsidRDefault="00000000">
            <w:pPr>
              <w:pStyle w:val="TableParagraph"/>
              <w:spacing w:before="1" w:line="168" w:lineRule="exact"/>
              <w:ind w:left="57"/>
              <w:rPr>
                <w:sz w:val="16"/>
              </w:rPr>
            </w:pPr>
            <w:r>
              <w:rPr>
                <w:sz w:val="16"/>
              </w:rPr>
              <w:t>management</w:t>
            </w:r>
            <w:r>
              <w:rPr>
                <w:spacing w:val="-3"/>
                <w:sz w:val="16"/>
              </w:rPr>
              <w:t xml:space="preserve"> </w:t>
            </w:r>
            <w:r>
              <w:rPr>
                <w:sz w:val="16"/>
              </w:rPr>
              <w:t>and</w:t>
            </w:r>
            <w:r>
              <w:rPr>
                <w:spacing w:val="-4"/>
                <w:sz w:val="16"/>
              </w:rPr>
              <w:t xml:space="preserve"> </w:t>
            </w:r>
            <w:r>
              <w:rPr>
                <w:sz w:val="16"/>
              </w:rPr>
              <w:t>amendments.</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3679"/>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right="115"/>
              <w:jc w:val="right"/>
              <w:rPr>
                <w:sz w:val="16"/>
              </w:rPr>
            </w:pPr>
            <w:r>
              <w:rPr>
                <w:sz w:val="16"/>
              </w:rPr>
              <w:t>29</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right="83"/>
              <w:jc w:val="right"/>
              <w:rPr>
                <w:sz w:val="16"/>
              </w:rPr>
            </w:pPr>
            <w:r>
              <w:rPr>
                <w:sz w:val="16"/>
              </w:rPr>
              <w:t>259</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2019.CSR3</w:t>
            </w:r>
          </w:p>
          <w:p w:rsidR="00A56FE9" w:rsidRDefault="00000000">
            <w:pPr>
              <w:pStyle w:val="TableParagraph"/>
              <w:spacing w:before="1"/>
              <w:ind w:left="50" w:right="60"/>
              <w:rPr>
                <w:sz w:val="16"/>
              </w:rPr>
            </w:pPr>
            <w:r>
              <w:rPr>
                <w:sz w:val="16"/>
              </w:rPr>
              <w:t>.subpart4,2</w:t>
            </w:r>
            <w:r>
              <w:rPr>
                <w:spacing w:val="-37"/>
                <w:sz w:val="16"/>
              </w:rPr>
              <w:t xml:space="preserve"> </w:t>
            </w:r>
            <w:r>
              <w:rPr>
                <w:sz w:val="16"/>
              </w:rPr>
              <w:t>020.CSR4.</w:t>
            </w:r>
          </w:p>
          <w:p w:rsidR="00A56FE9" w:rsidRDefault="00000000">
            <w:pPr>
              <w:pStyle w:val="TableParagraph"/>
              <w:spacing w:line="184"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8"/>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2"/>
                <w:sz w:val="16"/>
              </w:rPr>
              <w:t xml:space="preserve"> </w:t>
            </w:r>
            <w:r>
              <w:rPr>
                <w:sz w:val="16"/>
              </w:rPr>
              <w:t>ASSETS</w:t>
            </w:r>
            <w:r>
              <w:rPr>
                <w:spacing w:val="-2"/>
                <w:sz w:val="16"/>
              </w:rPr>
              <w:t xml:space="preserve"> </w:t>
            </w:r>
            <w:r>
              <w:rPr>
                <w:sz w:val="16"/>
              </w:rPr>
              <w:t>-</w:t>
            </w:r>
            <w:r>
              <w:rPr>
                <w:spacing w:val="-2"/>
                <w:sz w:val="16"/>
              </w:rPr>
              <w:t xml:space="preserve"> </w:t>
            </w:r>
            <w:r>
              <w:rPr>
                <w:sz w:val="16"/>
              </w:rPr>
              <w:t>C2.9.</w:t>
            </w:r>
          </w:p>
          <w:p w:rsidR="00A56FE9" w:rsidRDefault="00000000">
            <w:pPr>
              <w:pStyle w:val="TableParagraph"/>
              <w:ind w:left="50" w:right="25"/>
              <w:rPr>
                <w:sz w:val="16"/>
              </w:rPr>
            </w:pPr>
            <w:r>
              <w:rPr>
                <w:sz w:val="16"/>
              </w:rPr>
              <w:t>R1-I1 Analysis of the</w:t>
            </w:r>
            <w:r>
              <w:rPr>
                <w:spacing w:val="1"/>
                <w:sz w:val="16"/>
              </w:rPr>
              <w:t xml:space="preserve"> </w:t>
            </w:r>
            <w:r>
              <w:rPr>
                <w:sz w:val="16"/>
              </w:rPr>
              <w:t>workload of employees of</w:t>
            </w:r>
            <w:r>
              <w:rPr>
                <w:spacing w:val="1"/>
                <w:sz w:val="16"/>
              </w:rPr>
              <w:t xml:space="preserve"> </w:t>
            </w:r>
            <w:r>
              <w:rPr>
                <w:sz w:val="16"/>
              </w:rPr>
              <w:t>key institutions in the</w:t>
            </w:r>
            <w:r>
              <w:rPr>
                <w:spacing w:val="1"/>
                <w:sz w:val="16"/>
              </w:rPr>
              <w:t xml:space="preserve"> </w:t>
            </w:r>
            <w:r>
              <w:rPr>
                <w:sz w:val="16"/>
              </w:rPr>
              <w:t>public procurement system</w:t>
            </w:r>
            <w:r>
              <w:rPr>
                <w:spacing w:val="-38"/>
                <w:sz w:val="16"/>
              </w:rPr>
              <w:t xml:space="preserve"> </w:t>
            </w:r>
            <w:r>
              <w:rPr>
                <w:sz w:val="16"/>
              </w:rPr>
              <w:t>(MESD, SAFU and</w:t>
            </w:r>
            <w:r>
              <w:rPr>
                <w:spacing w:val="1"/>
                <w:sz w:val="16"/>
              </w:rPr>
              <w:t xml:space="preserve"> </w:t>
            </w:r>
            <w:r>
              <w:rPr>
                <w:sz w:val="16"/>
              </w:rPr>
              <w:t>DKOM)</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10"/>
              <w:rPr>
                <w:sz w:val="16"/>
              </w:rPr>
            </w:pPr>
            <w:r>
              <w:rPr>
                <w:sz w:val="16"/>
              </w:rPr>
              <w:t>Publication of</w:t>
            </w:r>
            <w:r>
              <w:rPr>
                <w:spacing w:val="1"/>
                <w:sz w:val="16"/>
              </w:rPr>
              <w:t xml:space="preserve"> </w:t>
            </w:r>
            <w:r>
              <w:rPr>
                <w:sz w:val="16"/>
              </w:rPr>
              <w:t>independent analysis and</w:t>
            </w:r>
            <w:r>
              <w:rPr>
                <w:spacing w:val="-38"/>
                <w:sz w:val="16"/>
              </w:rPr>
              <w:t xml:space="preserve"> </w:t>
            </w:r>
            <w:r>
              <w:rPr>
                <w:sz w:val="16"/>
              </w:rPr>
              <w:t>concrete</w:t>
            </w:r>
            <w:r>
              <w:rPr>
                <w:spacing w:val="1"/>
                <w:sz w:val="16"/>
              </w:rPr>
              <w:t xml:space="preserve"> </w:t>
            </w:r>
            <w:r>
              <w:rPr>
                <w:sz w:val="16"/>
              </w:rPr>
              <w:t>recommendations to</w:t>
            </w:r>
            <w:r>
              <w:rPr>
                <w:spacing w:val="1"/>
                <w:sz w:val="16"/>
              </w:rPr>
              <w:t xml:space="preserve"> </w:t>
            </w:r>
            <w:r>
              <w:rPr>
                <w:sz w:val="16"/>
              </w:rPr>
              <w:t>improve the burden</w:t>
            </w:r>
            <w:r>
              <w:rPr>
                <w:spacing w:val="1"/>
                <w:sz w:val="16"/>
              </w:rPr>
              <w:t xml:space="preserve"> </w:t>
            </w:r>
            <w:r>
              <w:rPr>
                <w:sz w:val="16"/>
              </w:rPr>
              <w:t>management of all staff</w:t>
            </w:r>
            <w:r>
              <w:rPr>
                <w:spacing w:val="1"/>
                <w:sz w:val="16"/>
              </w:rPr>
              <w:t xml:space="preserve"> </w:t>
            </w:r>
            <w:r>
              <w:rPr>
                <w:sz w:val="16"/>
              </w:rPr>
              <w:t>of key institutions in the</w:t>
            </w:r>
            <w:r>
              <w:rPr>
                <w:spacing w:val="1"/>
                <w:sz w:val="16"/>
              </w:rPr>
              <w:t xml:space="preserve"> </w:t>
            </w:r>
            <w:r>
              <w:rPr>
                <w:sz w:val="16"/>
              </w:rPr>
              <w:t>procurement system</w:t>
            </w:r>
            <w:r>
              <w:rPr>
                <w:spacing w:val="1"/>
                <w:sz w:val="16"/>
              </w:rPr>
              <w:t xml:space="preserve"> </w:t>
            </w:r>
            <w:r>
              <w:rPr>
                <w:sz w:val="16"/>
              </w:rPr>
              <w:t>(MESD,</w:t>
            </w:r>
            <w:r>
              <w:rPr>
                <w:spacing w:val="1"/>
                <w:sz w:val="16"/>
              </w:rPr>
              <w:t xml:space="preserve"> </w:t>
            </w:r>
            <w:r>
              <w:rPr>
                <w:sz w:val="16"/>
              </w:rPr>
              <w:t>SAFU,</w:t>
            </w:r>
            <w:r>
              <w:rPr>
                <w:spacing w:val="1"/>
                <w:sz w:val="16"/>
              </w:rPr>
              <w:t xml:space="preserve"> </w:t>
            </w:r>
            <w:r>
              <w:rPr>
                <w:sz w:val="16"/>
              </w:rPr>
              <w:t>DKOM).</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74"/>
              <w:rPr>
                <w:sz w:val="16"/>
              </w:rPr>
            </w:pPr>
            <w:r>
              <w:rPr>
                <w:sz w:val="16"/>
              </w:rPr>
              <w:t>Publication of</w:t>
            </w:r>
            <w:r>
              <w:rPr>
                <w:spacing w:val="-37"/>
                <w:sz w:val="16"/>
              </w:rPr>
              <w:t xml:space="preserve"> </w:t>
            </w:r>
            <w:r>
              <w:rPr>
                <w:sz w:val="16"/>
              </w:rPr>
              <w:t>analysis of the</w:t>
            </w:r>
            <w:r>
              <w:rPr>
                <w:spacing w:val="-37"/>
                <w:sz w:val="16"/>
              </w:rPr>
              <w:t xml:space="preserve"> </w:t>
            </w:r>
            <w:r>
              <w:rPr>
                <w:sz w:val="16"/>
              </w:rPr>
              <w:t>workload of</w:t>
            </w:r>
            <w:r>
              <w:rPr>
                <w:spacing w:val="1"/>
                <w:sz w:val="16"/>
              </w:rPr>
              <w:t xml:space="preserve"> </w:t>
            </w:r>
            <w:r>
              <w:rPr>
                <w:sz w:val="16"/>
              </w:rPr>
              <w:t>employees of</w:t>
            </w:r>
            <w:r>
              <w:rPr>
                <w:spacing w:val="1"/>
                <w:sz w:val="16"/>
              </w:rPr>
              <w:t xml:space="preserve"> </w:t>
            </w:r>
            <w:r>
              <w:rPr>
                <w:sz w:val="16"/>
              </w:rPr>
              <w:t>key</w:t>
            </w:r>
            <w:r>
              <w:rPr>
                <w:spacing w:val="1"/>
                <w:sz w:val="16"/>
              </w:rPr>
              <w:t xml:space="preserve"> </w:t>
            </w:r>
            <w:r>
              <w:rPr>
                <w:sz w:val="16"/>
              </w:rPr>
              <w:t>institutions in</w:t>
            </w:r>
            <w:r>
              <w:rPr>
                <w:spacing w:val="1"/>
                <w:sz w:val="16"/>
              </w:rPr>
              <w:t xml:space="preserve"> </w:t>
            </w:r>
            <w:r>
              <w:rPr>
                <w:sz w:val="16"/>
              </w:rPr>
              <w:t>the public</w:t>
            </w:r>
            <w:r>
              <w:rPr>
                <w:spacing w:val="1"/>
                <w:sz w:val="16"/>
              </w:rPr>
              <w:t xml:space="preserve"> </w:t>
            </w:r>
            <w:r>
              <w:rPr>
                <w:sz w:val="16"/>
              </w:rPr>
              <w:t>procurement</w:t>
            </w:r>
            <w:r>
              <w:rPr>
                <w:spacing w:val="1"/>
                <w:sz w:val="16"/>
              </w:rPr>
              <w:t xml:space="preserve"> </w:t>
            </w:r>
            <w:r>
              <w:rPr>
                <w:sz w:val="16"/>
              </w:rPr>
              <w:t>system</w:t>
            </w:r>
            <w:r>
              <w:rPr>
                <w:spacing w:val="1"/>
                <w:sz w:val="16"/>
              </w:rPr>
              <w:t xml:space="preserve"> </w:t>
            </w:r>
            <w:r>
              <w:rPr>
                <w:sz w:val="16"/>
              </w:rPr>
              <w:t>(MESD,</w:t>
            </w:r>
          </w:p>
          <w:p w:rsidR="00A56FE9" w:rsidRDefault="00000000">
            <w:pPr>
              <w:pStyle w:val="TableParagraph"/>
              <w:ind w:left="110" w:right="324"/>
              <w:rPr>
                <w:sz w:val="16"/>
              </w:rPr>
            </w:pPr>
            <w:r>
              <w:rPr>
                <w:spacing w:val="-1"/>
                <w:sz w:val="16"/>
              </w:rPr>
              <w:t>SAFU and</w:t>
            </w:r>
            <w:r>
              <w:rPr>
                <w:spacing w:val="-37"/>
                <w:sz w:val="16"/>
              </w:rPr>
              <w:t xml:space="preserve"> </w:t>
            </w:r>
            <w:r>
              <w:rPr>
                <w:sz w:val="16"/>
              </w:rPr>
              <w:t>DKOM)</w:t>
            </w:r>
          </w:p>
          <w:p w:rsidR="00A56FE9" w:rsidRDefault="00000000">
            <w:pPr>
              <w:pStyle w:val="TableParagraph"/>
              <w:ind w:left="110" w:right="81"/>
              <w:rPr>
                <w:sz w:val="16"/>
              </w:rPr>
            </w:pPr>
            <w:r>
              <w:rPr>
                <w:sz w:val="16"/>
              </w:rPr>
              <w:t>including an</w:t>
            </w:r>
            <w:r>
              <w:rPr>
                <w:spacing w:val="1"/>
                <w:sz w:val="16"/>
              </w:rPr>
              <w:t xml:space="preserve"> </w:t>
            </w:r>
            <w:r>
              <w:rPr>
                <w:sz w:val="16"/>
              </w:rPr>
              <w:t>action plan to</w:t>
            </w:r>
            <w:r>
              <w:rPr>
                <w:spacing w:val="1"/>
                <w:sz w:val="16"/>
              </w:rPr>
              <w:t xml:space="preserve"> </w:t>
            </w:r>
            <w:r>
              <w:rPr>
                <w:sz w:val="16"/>
              </w:rPr>
              <w:t>implement</w:t>
            </w:r>
            <w:r>
              <w:rPr>
                <w:spacing w:val="1"/>
                <w:sz w:val="16"/>
              </w:rPr>
              <w:t xml:space="preserve"> </w:t>
            </w:r>
            <w:r>
              <w:rPr>
                <w:sz w:val="16"/>
              </w:rPr>
              <w:t>human</w:t>
            </w:r>
            <w:r>
              <w:rPr>
                <w:spacing w:val="1"/>
                <w:sz w:val="16"/>
              </w:rPr>
              <w:t xml:space="preserve"> </w:t>
            </w:r>
            <w:r>
              <w:rPr>
                <w:sz w:val="16"/>
              </w:rPr>
              <w:t>resources</w:t>
            </w:r>
            <w:r>
              <w:rPr>
                <w:spacing w:val="1"/>
                <w:sz w:val="16"/>
              </w:rPr>
              <w:t xml:space="preserve"> </w:t>
            </w:r>
            <w:r>
              <w:rPr>
                <w:sz w:val="16"/>
              </w:rPr>
              <w:t>recommendati</w:t>
            </w:r>
            <w:r>
              <w:rPr>
                <w:spacing w:val="-38"/>
                <w:sz w:val="16"/>
              </w:rPr>
              <w:t xml:space="preserve"> </w:t>
            </w:r>
            <w:r>
              <w:rPr>
                <w:sz w:val="16"/>
              </w:rPr>
              <w:t>ons</w:t>
            </w:r>
            <w:r>
              <w:rPr>
                <w:spacing w:val="-1"/>
                <w:sz w:val="16"/>
              </w:rPr>
              <w:t xml:space="preserve"> </w:t>
            </w:r>
            <w:r>
              <w:rPr>
                <w:sz w:val="16"/>
              </w:rPr>
              <w:t>and</w:t>
            </w:r>
          </w:p>
          <w:p w:rsidR="00A56FE9" w:rsidRDefault="00000000">
            <w:pPr>
              <w:pStyle w:val="TableParagraph"/>
              <w:spacing w:line="168" w:lineRule="exact"/>
              <w:ind w:left="110"/>
              <w:rPr>
                <w:sz w:val="16"/>
              </w:rPr>
            </w:pPr>
            <w:r>
              <w:rPr>
                <w:sz w:val="16"/>
              </w:rPr>
              <w:t>measures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7"/>
              <w:rPr>
                <w:sz w:val="16"/>
              </w:rPr>
            </w:pPr>
            <w:r>
              <w:rPr>
                <w:sz w:val="16"/>
              </w:rPr>
              <w:t>MESD</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41"/>
              <w:rPr>
                <w:sz w:val="16"/>
              </w:rPr>
            </w:pPr>
            <w:r>
              <w:rPr>
                <w:sz w:val="16"/>
              </w:rPr>
              <w:t>A comprehensive analysis shall be carried out</w:t>
            </w:r>
            <w:r>
              <w:rPr>
                <w:spacing w:val="1"/>
                <w:sz w:val="16"/>
              </w:rPr>
              <w:t xml:space="preserve"> </w:t>
            </w:r>
            <w:r>
              <w:rPr>
                <w:sz w:val="16"/>
              </w:rPr>
              <w:t>by independent external experts of the</w:t>
            </w:r>
            <w:r>
              <w:rPr>
                <w:spacing w:val="1"/>
                <w:sz w:val="16"/>
              </w:rPr>
              <w:t xml:space="preserve"> </w:t>
            </w:r>
            <w:r>
              <w:rPr>
                <w:sz w:val="16"/>
              </w:rPr>
              <w:t>workload of staff of key institutions in the</w:t>
            </w:r>
            <w:r>
              <w:rPr>
                <w:spacing w:val="1"/>
                <w:sz w:val="16"/>
              </w:rPr>
              <w:t xml:space="preserve"> </w:t>
            </w:r>
            <w:r>
              <w:rPr>
                <w:sz w:val="16"/>
              </w:rPr>
              <w:t>public procurement system included in the EU</w:t>
            </w:r>
            <w:r>
              <w:rPr>
                <w:spacing w:val="-37"/>
                <w:sz w:val="16"/>
              </w:rPr>
              <w:t xml:space="preserve"> </w:t>
            </w:r>
            <w:r>
              <w:rPr>
                <w:sz w:val="16"/>
              </w:rPr>
              <w:t>funds, including the description of the tasks</w:t>
            </w:r>
            <w:r>
              <w:rPr>
                <w:spacing w:val="1"/>
                <w:sz w:val="16"/>
              </w:rPr>
              <w:t xml:space="preserve"> </w:t>
            </w:r>
            <w:r>
              <w:rPr>
                <w:sz w:val="16"/>
              </w:rPr>
              <w:t>they perform and the necessary competences</w:t>
            </w:r>
            <w:r>
              <w:rPr>
                <w:spacing w:val="1"/>
                <w:sz w:val="16"/>
              </w:rPr>
              <w:t xml:space="preserve"> </w:t>
            </w:r>
            <w:r>
              <w:rPr>
                <w:sz w:val="16"/>
              </w:rPr>
              <w:t>and compensation system. The published</w:t>
            </w:r>
            <w:r>
              <w:rPr>
                <w:spacing w:val="1"/>
                <w:sz w:val="16"/>
              </w:rPr>
              <w:t xml:space="preserve"> </w:t>
            </w:r>
            <w:r>
              <w:rPr>
                <w:sz w:val="16"/>
              </w:rPr>
              <w:t>independent report will be based on a</w:t>
            </w:r>
            <w:r>
              <w:rPr>
                <w:spacing w:val="1"/>
                <w:sz w:val="16"/>
              </w:rPr>
              <w:t xml:space="preserve"> </w:t>
            </w:r>
            <w:r>
              <w:rPr>
                <w:sz w:val="16"/>
              </w:rPr>
              <w:t>comprehensive analysis of roles in the public</w:t>
            </w:r>
            <w:r>
              <w:rPr>
                <w:spacing w:val="1"/>
                <w:sz w:val="16"/>
              </w:rPr>
              <w:t xml:space="preserve"> </w:t>
            </w:r>
            <w:r>
              <w:rPr>
                <w:sz w:val="16"/>
              </w:rPr>
              <w:t>procurement system and workload, taking into</w:t>
            </w:r>
            <w:r>
              <w:rPr>
                <w:spacing w:val="-37"/>
                <w:sz w:val="16"/>
              </w:rPr>
              <w:t xml:space="preserve"> </w:t>
            </w:r>
            <w:r>
              <w:rPr>
                <w:sz w:val="16"/>
              </w:rPr>
              <w:t>account historical workload data and</w:t>
            </w:r>
            <w:r>
              <w:rPr>
                <w:spacing w:val="1"/>
                <w:sz w:val="16"/>
              </w:rPr>
              <w:t xml:space="preserve"> </w:t>
            </w:r>
            <w:r>
              <w:rPr>
                <w:sz w:val="16"/>
              </w:rPr>
              <w:t>comparing them with trends in increasing</w:t>
            </w:r>
            <w:r>
              <w:rPr>
                <w:spacing w:val="1"/>
                <w:sz w:val="16"/>
              </w:rPr>
              <w:t xml:space="preserve"> </w:t>
            </w:r>
            <w:r>
              <w:rPr>
                <w:sz w:val="16"/>
              </w:rPr>
              <w:t>workload, including training needs on specific</w:t>
            </w:r>
            <w:r>
              <w:rPr>
                <w:spacing w:val="-37"/>
                <w:sz w:val="16"/>
              </w:rPr>
              <w:t xml:space="preserve"> </w:t>
            </w:r>
            <w:r>
              <w:rPr>
                <w:sz w:val="16"/>
              </w:rPr>
              <w:t>topics such as sustainable procurement and</w:t>
            </w:r>
            <w:r>
              <w:rPr>
                <w:spacing w:val="1"/>
                <w:sz w:val="16"/>
              </w:rPr>
              <w:t xml:space="preserve"> </w:t>
            </w:r>
            <w:r>
              <w:rPr>
                <w:sz w:val="16"/>
              </w:rPr>
              <w:t>access to SMEs. The report shall include an</w:t>
            </w:r>
            <w:r>
              <w:rPr>
                <w:spacing w:val="1"/>
                <w:sz w:val="16"/>
              </w:rPr>
              <w:t xml:space="preserve"> </w:t>
            </w:r>
            <w:r>
              <w:rPr>
                <w:sz w:val="16"/>
              </w:rPr>
              <w:t>action plan to implement measures and</w:t>
            </w:r>
            <w:r>
              <w:rPr>
                <w:spacing w:val="1"/>
                <w:sz w:val="16"/>
              </w:rPr>
              <w:t xml:space="preserve"> </w:t>
            </w:r>
            <w:r>
              <w:rPr>
                <w:sz w:val="16"/>
              </w:rPr>
              <w:t>recommendations for improvement to ensure</w:t>
            </w:r>
            <w:r>
              <w:rPr>
                <w:spacing w:val="1"/>
                <w:sz w:val="16"/>
              </w:rPr>
              <w:t xml:space="preserve"> </w:t>
            </w:r>
            <w:r>
              <w:rPr>
                <w:sz w:val="16"/>
              </w:rPr>
              <w:t>the recruitment and retention of highly skilled</w:t>
            </w:r>
            <w:r>
              <w:rPr>
                <w:spacing w:val="1"/>
                <w:sz w:val="16"/>
              </w:rPr>
              <w:t xml:space="preserve"> </w:t>
            </w:r>
            <w:r>
              <w:rPr>
                <w:sz w:val="16"/>
              </w:rPr>
              <w:t>personnel.</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4"/>
              <w:rPr>
                <w:sz w:val="16"/>
              </w:rPr>
            </w:pPr>
            <w:r>
              <w:rPr>
                <w:sz w:val="16"/>
              </w:rPr>
              <w:t>750,000</w:t>
            </w:r>
          </w:p>
        </w:tc>
      </w:tr>
      <w:tr w:rsidR="00A56FE9">
        <w:trPr>
          <w:trHeight w:val="921"/>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30</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260</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2019.CSR4</w:t>
            </w:r>
          </w:p>
          <w:p w:rsidR="00A56FE9" w:rsidRDefault="00000000">
            <w:pPr>
              <w:pStyle w:val="TableParagraph"/>
              <w:spacing w:line="183" w:lineRule="exact"/>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C2.9.</w:t>
            </w:r>
          </w:p>
          <w:p w:rsidR="00A56FE9" w:rsidRDefault="00000000">
            <w:pPr>
              <w:pStyle w:val="TableParagraph"/>
              <w:spacing w:line="168" w:lineRule="exact"/>
              <w:ind w:left="50"/>
              <w:rPr>
                <w:sz w:val="16"/>
              </w:rPr>
            </w:pPr>
            <w:r>
              <w:rPr>
                <w:sz w:val="16"/>
              </w:rPr>
              <w:t>R2</w:t>
            </w:r>
            <w:r>
              <w:rPr>
                <w:spacing w:val="-4"/>
                <w:sz w:val="16"/>
              </w:rPr>
              <w:t xml:space="preserve"> </w:t>
            </w:r>
            <w:r>
              <w:rPr>
                <w:sz w:val="16"/>
              </w:rPr>
              <w:t>Strengthening</w:t>
            </w:r>
            <w:r>
              <w:rPr>
                <w:spacing w:val="-3"/>
                <w:sz w:val="16"/>
              </w:rPr>
              <w:t xml:space="preserve"> </w:t>
            </w:r>
            <w:r>
              <w:rPr>
                <w:sz w:val="16"/>
              </w:rPr>
              <w:t>the</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311"/>
              <w:rPr>
                <w:sz w:val="16"/>
              </w:rPr>
            </w:pPr>
            <w:r>
              <w:rPr>
                <w:sz w:val="16"/>
              </w:rPr>
              <w:t>Amendment of the</w:t>
            </w:r>
            <w:r>
              <w:rPr>
                <w:spacing w:val="1"/>
                <w:sz w:val="16"/>
              </w:rPr>
              <w:t xml:space="preserve"> </w:t>
            </w:r>
            <w:r>
              <w:rPr>
                <w:sz w:val="16"/>
              </w:rPr>
              <w:t>public procurement</w:t>
            </w:r>
            <w:r>
              <w:rPr>
                <w:spacing w:val="1"/>
                <w:sz w:val="16"/>
              </w:rPr>
              <w:t xml:space="preserve"> </w:t>
            </w:r>
            <w:r>
              <w:rPr>
                <w:sz w:val="16"/>
              </w:rPr>
              <w:t>legislative</w:t>
            </w:r>
            <w:r>
              <w:rPr>
                <w:spacing w:val="-10"/>
                <w:sz w:val="16"/>
              </w:rPr>
              <w:t xml:space="preserve"> </w:t>
            </w:r>
            <w:r>
              <w:rPr>
                <w:sz w:val="16"/>
              </w:rPr>
              <w:t>framework</w:t>
            </w:r>
            <w:r>
              <w:rPr>
                <w:spacing w:val="-37"/>
                <w:sz w:val="16"/>
              </w:rPr>
              <w:t xml:space="preserve"> </w:t>
            </w:r>
            <w:r>
              <w:rPr>
                <w:sz w:val="16"/>
              </w:rPr>
              <w:t>making</w:t>
            </w:r>
            <w:r>
              <w:rPr>
                <w:spacing w:val="-3"/>
                <w:sz w:val="16"/>
              </w:rPr>
              <w:t xml:space="preserve"> </w:t>
            </w:r>
            <w:r>
              <w:rPr>
                <w:sz w:val="16"/>
              </w:rPr>
              <w:t>the</w:t>
            </w:r>
            <w:r>
              <w:rPr>
                <w:spacing w:val="-4"/>
                <w:sz w:val="16"/>
              </w:rPr>
              <w:t xml:space="preserve"> </w:t>
            </w:r>
            <w:r>
              <w:rPr>
                <w:sz w:val="16"/>
              </w:rPr>
              <w:t>use</w:t>
            </w:r>
            <w:r>
              <w:rPr>
                <w:spacing w:val="-2"/>
                <w:sz w:val="16"/>
              </w:rPr>
              <w:t xml:space="preserve"> </w:t>
            </w:r>
            <w:r>
              <w:rPr>
                <w:sz w:val="16"/>
              </w:rPr>
              <w:t>of e-</w:t>
            </w:r>
          </w:p>
          <w:p w:rsidR="00A56FE9" w:rsidRDefault="00000000">
            <w:pPr>
              <w:pStyle w:val="TableParagraph"/>
              <w:spacing w:line="168" w:lineRule="exact"/>
              <w:ind w:left="109"/>
              <w:rPr>
                <w:sz w:val="16"/>
              </w:rPr>
            </w:pPr>
            <w:r>
              <w:rPr>
                <w:sz w:val="16"/>
              </w:rPr>
              <w:t>appeal</w:t>
            </w:r>
            <w:r>
              <w:rPr>
                <w:spacing w:val="-4"/>
                <w:sz w:val="16"/>
              </w:rPr>
              <w:t xml:space="preserve"> </w:t>
            </w:r>
            <w:r>
              <w:rPr>
                <w:sz w:val="16"/>
              </w:rPr>
              <w:t>a</w:t>
            </w:r>
            <w:r>
              <w:rPr>
                <w:spacing w:val="-1"/>
                <w:sz w:val="16"/>
              </w:rPr>
              <w:t xml:space="preserve"> </w:t>
            </w:r>
            <w:r>
              <w:rPr>
                <w:sz w:val="16"/>
              </w:rPr>
              <w:t>mandatory</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39"/>
              <w:rPr>
                <w:sz w:val="16"/>
              </w:rPr>
            </w:pPr>
            <w:r>
              <w:rPr>
                <w:sz w:val="16"/>
              </w:rPr>
              <w:t>Entry</w:t>
            </w:r>
            <w:r>
              <w:rPr>
                <w:spacing w:val="5"/>
                <w:sz w:val="16"/>
              </w:rPr>
              <w:t xml:space="preserve"> </w:t>
            </w:r>
            <w:r>
              <w:rPr>
                <w:sz w:val="16"/>
              </w:rPr>
              <w:t>into</w:t>
            </w:r>
            <w:r>
              <w:rPr>
                <w:spacing w:val="1"/>
                <w:sz w:val="16"/>
              </w:rPr>
              <w:t xml:space="preserve"> </w:t>
            </w:r>
            <w:r>
              <w:rPr>
                <w:sz w:val="16"/>
              </w:rPr>
              <w:t>force of the</w:t>
            </w:r>
            <w:r>
              <w:rPr>
                <w:spacing w:val="1"/>
                <w:sz w:val="16"/>
              </w:rPr>
              <w:t xml:space="preserve"> </w:t>
            </w:r>
            <w:r>
              <w:rPr>
                <w:sz w:val="16"/>
              </w:rPr>
              <w:t>amendments to</w:t>
            </w:r>
            <w:r>
              <w:rPr>
                <w:spacing w:val="-37"/>
                <w:sz w:val="16"/>
              </w:rPr>
              <w:t xml:space="preserve"> </w:t>
            </w:r>
            <w:r>
              <w:rPr>
                <w:sz w:val="16"/>
              </w:rPr>
              <w:t>the</w:t>
            </w:r>
            <w:r>
              <w:rPr>
                <w:spacing w:val="-3"/>
                <w:sz w:val="16"/>
              </w:rPr>
              <w:t xml:space="preserve"> </w:t>
            </w:r>
            <w:r>
              <w:rPr>
                <w:sz w:val="16"/>
              </w:rPr>
              <w:t>Public</w:t>
            </w:r>
          </w:p>
          <w:p w:rsidR="00A56FE9" w:rsidRDefault="00000000">
            <w:pPr>
              <w:pStyle w:val="TableParagraph"/>
              <w:spacing w:line="168" w:lineRule="exact"/>
              <w:ind w:left="110"/>
              <w:rPr>
                <w:sz w:val="16"/>
              </w:rPr>
            </w:pPr>
            <w:r>
              <w:rPr>
                <w:sz w:val="16"/>
              </w:rPr>
              <w:t>Procurement</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MESD</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44"/>
              <w:rPr>
                <w:sz w:val="16"/>
              </w:rPr>
            </w:pPr>
            <w:r>
              <w:rPr>
                <w:sz w:val="16"/>
              </w:rPr>
              <w:t>The</w:t>
            </w:r>
            <w:r>
              <w:rPr>
                <w:spacing w:val="-7"/>
                <w:sz w:val="16"/>
              </w:rPr>
              <w:t xml:space="preserve"> </w:t>
            </w:r>
            <w:r>
              <w:rPr>
                <w:sz w:val="16"/>
              </w:rPr>
              <w:t>public</w:t>
            </w:r>
            <w:r>
              <w:rPr>
                <w:spacing w:val="-7"/>
                <w:sz w:val="16"/>
              </w:rPr>
              <w:t xml:space="preserve"> </w:t>
            </w:r>
            <w:r>
              <w:rPr>
                <w:sz w:val="16"/>
              </w:rPr>
              <w:t>procurement</w:t>
            </w:r>
            <w:r>
              <w:rPr>
                <w:spacing w:val="-4"/>
                <w:sz w:val="16"/>
              </w:rPr>
              <w:t xml:space="preserve"> </w:t>
            </w:r>
            <w:r>
              <w:rPr>
                <w:sz w:val="16"/>
              </w:rPr>
              <w:t>legislative</w:t>
            </w:r>
            <w:r>
              <w:rPr>
                <w:spacing w:val="-7"/>
                <w:sz w:val="16"/>
              </w:rPr>
              <w:t xml:space="preserve"> </w:t>
            </w:r>
            <w:r>
              <w:rPr>
                <w:sz w:val="16"/>
              </w:rPr>
              <w:t>framework</w:t>
            </w:r>
            <w:r>
              <w:rPr>
                <w:spacing w:val="-37"/>
                <w:sz w:val="16"/>
              </w:rPr>
              <w:t xml:space="preserve"> </w:t>
            </w:r>
            <w:r>
              <w:rPr>
                <w:sz w:val="16"/>
              </w:rPr>
              <w:t>(the Public Procurement Act and relevant by-</w:t>
            </w:r>
            <w:r>
              <w:rPr>
                <w:spacing w:val="1"/>
                <w:sz w:val="16"/>
              </w:rPr>
              <w:t xml:space="preserve"> </w:t>
            </w:r>
            <w:r>
              <w:rPr>
                <w:sz w:val="16"/>
              </w:rPr>
              <w:t>laws) shall be amended to introduce e-appeal</w:t>
            </w:r>
            <w:r>
              <w:rPr>
                <w:spacing w:val="1"/>
                <w:sz w:val="16"/>
              </w:rPr>
              <w:t xml:space="preserve"> </w:t>
            </w:r>
            <w:r>
              <w:rPr>
                <w:sz w:val="16"/>
              </w:rPr>
              <w:t>as</w:t>
            </w:r>
            <w:r>
              <w:rPr>
                <w:spacing w:val="-2"/>
                <w:sz w:val="16"/>
              </w:rPr>
              <w:t xml:space="preserve"> </w:t>
            </w:r>
            <w:r>
              <w:rPr>
                <w:sz w:val="16"/>
              </w:rPr>
              <w:t>a</w:t>
            </w:r>
            <w:r>
              <w:rPr>
                <w:spacing w:val="-2"/>
                <w:sz w:val="16"/>
              </w:rPr>
              <w:t xml:space="preserve"> </w:t>
            </w:r>
            <w:r>
              <w:rPr>
                <w:sz w:val="16"/>
              </w:rPr>
              <w:t>mandatory</w:t>
            </w:r>
            <w:r>
              <w:rPr>
                <w:spacing w:val="-5"/>
                <w:sz w:val="16"/>
              </w:rPr>
              <w:t xml:space="preserve"> </w:t>
            </w:r>
            <w:r>
              <w:rPr>
                <w:sz w:val="16"/>
              </w:rPr>
              <w:t>means</w:t>
            </w:r>
            <w:r>
              <w:rPr>
                <w:spacing w:val="-1"/>
                <w:sz w:val="16"/>
              </w:rPr>
              <w:t xml:space="preserve"> </w:t>
            </w:r>
            <w:r>
              <w:rPr>
                <w:sz w:val="16"/>
              </w:rPr>
              <w:t>of</w:t>
            </w:r>
            <w:r>
              <w:rPr>
                <w:spacing w:val="-2"/>
                <w:sz w:val="16"/>
              </w:rPr>
              <w:t xml:space="preserve"> </w:t>
            </w:r>
            <w:r>
              <w:rPr>
                <w:sz w:val="16"/>
              </w:rPr>
              <w:t>obtaining</w:t>
            </w:r>
            <w:r>
              <w:rPr>
                <w:spacing w:val="-3"/>
                <w:sz w:val="16"/>
              </w:rPr>
              <w:t xml:space="preserve"> </w:t>
            </w:r>
            <w:r>
              <w:rPr>
                <w:sz w:val="16"/>
              </w:rPr>
              <w:t>redress</w:t>
            </w:r>
            <w:r>
              <w:rPr>
                <w:spacing w:val="-1"/>
                <w:sz w:val="16"/>
              </w:rPr>
              <w:t xml:space="preserve"> </w:t>
            </w:r>
            <w:r>
              <w:rPr>
                <w:sz w:val="16"/>
              </w:rPr>
              <w:t>in</w:t>
            </w:r>
          </w:p>
          <w:p w:rsidR="00A56FE9" w:rsidRDefault="00000000">
            <w:pPr>
              <w:pStyle w:val="TableParagraph"/>
              <w:spacing w:line="168" w:lineRule="exact"/>
              <w:ind w:left="57"/>
              <w:rPr>
                <w:sz w:val="16"/>
              </w:rPr>
            </w:pPr>
            <w:r>
              <w:rPr>
                <w:sz w:val="16"/>
              </w:rPr>
              <w:t>the</w:t>
            </w:r>
            <w:r>
              <w:rPr>
                <w:spacing w:val="-7"/>
                <w:sz w:val="16"/>
              </w:rPr>
              <w:t xml:space="preserve"> </w:t>
            </w:r>
            <w:r>
              <w:rPr>
                <w:sz w:val="16"/>
              </w:rPr>
              <w:t>public</w:t>
            </w:r>
            <w:r>
              <w:rPr>
                <w:spacing w:val="-5"/>
                <w:sz w:val="16"/>
              </w:rPr>
              <w:t xml:space="preserve"> </w:t>
            </w:r>
            <w:r>
              <w:rPr>
                <w:sz w:val="16"/>
              </w:rPr>
              <w:t>procurement</w:t>
            </w:r>
            <w:r>
              <w:rPr>
                <w:spacing w:val="-1"/>
                <w:sz w:val="16"/>
              </w:rPr>
              <w:t xml:space="preserve"> </w:t>
            </w:r>
            <w:r>
              <w:rPr>
                <w:sz w:val="16"/>
              </w:rPr>
              <w:t>system.</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1281"/>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0"/>
              <w:rPr>
                <w:sz w:val="16"/>
              </w:rPr>
            </w:pPr>
            <w:r>
              <w:rPr>
                <w:sz w:val="16"/>
              </w:rPr>
              <w:t>review</w:t>
            </w:r>
            <w:r>
              <w:rPr>
                <w:spacing w:val="-5"/>
                <w:sz w:val="16"/>
              </w:rPr>
              <w:t xml:space="preserve"> </w:t>
            </w:r>
            <w:r>
              <w:rPr>
                <w:sz w:val="16"/>
              </w:rPr>
              <w:t>system</w:t>
            </w:r>
            <w:r>
              <w:rPr>
                <w:spacing w:val="-2"/>
                <w:sz w:val="16"/>
              </w:rPr>
              <w:t xml:space="preserve"> </w:t>
            </w:r>
            <w:r>
              <w:rPr>
                <w:sz w:val="16"/>
              </w:rPr>
              <w:t>in</w:t>
            </w:r>
            <w:r>
              <w:rPr>
                <w:spacing w:val="-1"/>
                <w:sz w:val="16"/>
              </w:rPr>
              <w:t xml:space="preserve"> </w:t>
            </w:r>
            <w:r>
              <w:rPr>
                <w:sz w:val="16"/>
              </w:rPr>
              <w:t>public</w:t>
            </w:r>
          </w:p>
          <w:p w:rsidR="00A56FE9" w:rsidRDefault="00000000">
            <w:pPr>
              <w:pStyle w:val="TableParagraph"/>
              <w:spacing w:before="1"/>
              <w:ind w:left="50"/>
              <w:rPr>
                <w:sz w:val="16"/>
              </w:rPr>
            </w:pPr>
            <w:r>
              <w:rPr>
                <w:sz w:val="16"/>
              </w:rPr>
              <w:t>procurement</w:t>
            </w: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09"/>
              <w:rPr>
                <w:sz w:val="16"/>
              </w:rPr>
            </w:pPr>
            <w:r>
              <w:rPr>
                <w:sz w:val="16"/>
              </w:rPr>
              <w:t>means</w:t>
            </w:r>
            <w:r>
              <w:rPr>
                <w:spacing w:val="-1"/>
                <w:sz w:val="16"/>
              </w:rPr>
              <w:t xml:space="preserve"> </w:t>
            </w:r>
            <w:r>
              <w:rPr>
                <w:sz w:val="16"/>
              </w:rPr>
              <w:t>of</w:t>
            </w:r>
            <w:r>
              <w:rPr>
                <w:spacing w:val="-2"/>
                <w:sz w:val="16"/>
              </w:rPr>
              <w:t xml:space="preserve"> </w:t>
            </w:r>
            <w:r>
              <w:rPr>
                <w:sz w:val="16"/>
              </w:rPr>
              <w:t>lodging</w:t>
            </w:r>
            <w:r>
              <w:rPr>
                <w:spacing w:val="-4"/>
                <w:sz w:val="16"/>
              </w:rPr>
              <w:t xml:space="preserve"> </w:t>
            </w:r>
            <w:r>
              <w:rPr>
                <w:sz w:val="16"/>
              </w:rPr>
              <w:t>an</w:t>
            </w:r>
          </w:p>
          <w:p w:rsidR="00A56FE9" w:rsidRDefault="00000000">
            <w:pPr>
              <w:pStyle w:val="TableParagraph"/>
              <w:spacing w:before="1"/>
              <w:ind w:left="109"/>
              <w:rPr>
                <w:sz w:val="16"/>
              </w:rPr>
            </w:pPr>
            <w:r>
              <w:rPr>
                <w:sz w:val="16"/>
              </w:rPr>
              <w:t>appeal</w:t>
            </w: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10"/>
              <w:rPr>
                <w:sz w:val="16"/>
              </w:rPr>
            </w:pPr>
            <w:r>
              <w:rPr>
                <w:sz w:val="16"/>
              </w:rPr>
              <w:t>Act and</w:t>
            </w:r>
            <w:r>
              <w:rPr>
                <w:spacing w:val="-2"/>
                <w:sz w:val="16"/>
              </w:rPr>
              <w:t xml:space="preserve"> </w:t>
            </w:r>
            <w:r>
              <w:rPr>
                <w:sz w:val="16"/>
              </w:rPr>
              <w:t>the</w:t>
            </w:r>
          </w:p>
          <w:p w:rsidR="00A56FE9" w:rsidRDefault="00000000">
            <w:pPr>
              <w:pStyle w:val="TableParagraph"/>
              <w:spacing w:before="1"/>
              <w:ind w:left="110" w:right="88"/>
              <w:rPr>
                <w:sz w:val="16"/>
              </w:rPr>
            </w:pPr>
            <w:r>
              <w:rPr>
                <w:sz w:val="16"/>
              </w:rPr>
              <w:t>by-laws</w:t>
            </w:r>
            <w:r>
              <w:rPr>
                <w:spacing w:val="1"/>
                <w:sz w:val="16"/>
              </w:rPr>
              <w:t xml:space="preserve"> </w:t>
            </w:r>
            <w:r>
              <w:rPr>
                <w:spacing w:val="-1"/>
                <w:sz w:val="16"/>
              </w:rPr>
              <w:t xml:space="preserve">(Ordinance </w:t>
            </w:r>
            <w:r>
              <w:rPr>
                <w:sz w:val="16"/>
              </w:rPr>
              <w:t>on</w:t>
            </w:r>
            <w:r>
              <w:rPr>
                <w:spacing w:val="-37"/>
                <w:sz w:val="16"/>
              </w:rPr>
              <w:t xml:space="preserve"> </w:t>
            </w:r>
            <w:r>
              <w:rPr>
                <w:sz w:val="16"/>
              </w:rPr>
              <w:t>Appeals in</w:t>
            </w:r>
            <w:r>
              <w:rPr>
                <w:spacing w:val="1"/>
                <w:sz w:val="16"/>
              </w:rPr>
              <w:t xml:space="preserve"> </w:t>
            </w:r>
            <w:r>
              <w:rPr>
                <w:sz w:val="16"/>
              </w:rPr>
              <w:t>Public</w:t>
            </w:r>
          </w:p>
          <w:p w:rsidR="00A56FE9" w:rsidRDefault="00000000">
            <w:pPr>
              <w:pStyle w:val="TableParagraph"/>
              <w:spacing w:line="182" w:lineRule="exact"/>
              <w:ind w:left="110" w:right="190"/>
              <w:rPr>
                <w:sz w:val="16"/>
              </w:rPr>
            </w:pPr>
            <w:r>
              <w:rPr>
                <w:spacing w:val="-1"/>
                <w:sz w:val="16"/>
              </w:rPr>
              <w:t>Procurement</w:t>
            </w:r>
            <w:r>
              <w:rPr>
                <w:spacing w:val="-37"/>
                <w:sz w:val="16"/>
              </w:rPr>
              <w:t xml:space="preserve"> </w:t>
            </w:r>
            <w:r>
              <w:rPr>
                <w:sz w:val="16"/>
              </w:rPr>
              <w:t>Procedures)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473"/>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31</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205</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2020.CSR2</w:t>
            </w:r>
          </w:p>
          <w:p w:rsidR="00A56FE9" w:rsidRDefault="00000000">
            <w:pPr>
              <w:pStyle w:val="TableParagraph"/>
              <w:spacing w:before="1"/>
              <w:ind w:left="50"/>
              <w:rPr>
                <w:sz w:val="16"/>
              </w:rPr>
            </w:pPr>
            <w:r>
              <w:rPr>
                <w:sz w:val="16"/>
              </w:rPr>
              <w:t>.subpart3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C2.3.</w:t>
            </w:r>
          </w:p>
          <w:p w:rsidR="00A56FE9" w:rsidRDefault="00000000">
            <w:pPr>
              <w:pStyle w:val="TableParagraph"/>
              <w:ind w:left="50" w:right="344"/>
              <w:rPr>
                <w:sz w:val="16"/>
              </w:rPr>
            </w:pPr>
            <w:r>
              <w:rPr>
                <w:sz w:val="16"/>
              </w:rPr>
              <w:t>R4-I2 Construction of</w:t>
            </w:r>
            <w:r>
              <w:rPr>
                <w:spacing w:val="-37"/>
                <w:sz w:val="16"/>
              </w:rPr>
              <w:t xml:space="preserve"> </w:t>
            </w:r>
            <w:r>
              <w:rPr>
                <w:sz w:val="16"/>
              </w:rPr>
              <w:t>passive electronic</w:t>
            </w:r>
            <w:r>
              <w:rPr>
                <w:spacing w:val="1"/>
                <w:sz w:val="16"/>
              </w:rPr>
              <w:t xml:space="preserve"> </w:t>
            </w:r>
            <w:r>
              <w:rPr>
                <w:sz w:val="16"/>
              </w:rPr>
              <w:t>communications</w:t>
            </w:r>
          </w:p>
          <w:p w:rsidR="00A56FE9" w:rsidRDefault="00000000">
            <w:pPr>
              <w:pStyle w:val="TableParagraph"/>
              <w:spacing w:line="168" w:lineRule="exact"/>
              <w:ind w:left="50"/>
              <w:rPr>
                <w:sz w:val="16"/>
              </w:rPr>
            </w:pPr>
            <w:r>
              <w:rPr>
                <w:sz w:val="16"/>
              </w:rPr>
              <w:t>infrastructure</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72"/>
              <w:rPr>
                <w:sz w:val="16"/>
              </w:rPr>
            </w:pPr>
            <w:r>
              <w:rPr>
                <w:sz w:val="16"/>
              </w:rPr>
              <w:t>Grant agreement signed</w:t>
            </w:r>
            <w:r>
              <w:rPr>
                <w:spacing w:val="-38"/>
                <w:sz w:val="16"/>
              </w:rPr>
              <w:t xml:space="preserve"> </w:t>
            </w:r>
            <w:r>
              <w:rPr>
                <w:sz w:val="16"/>
              </w:rPr>
              <w:t>for the construction of</w:t>
            </w:r>
            <w:r>
              <w:rPr>
                <w:spacing w:val="1"/>
                <w:sz w:val="16"/>
              </w:rPr>
              <w:t xml:space="preserve"> </w:t>
            </w:r>
            <w:r>
              <w:rPr>
                <w:sz w:val="16"/>
              </w:rPr>
              <w:t>passive electronic</w:t>
            </w:r>
            <w:r>
              <w:rPr>
                <w:spacing w:val="1"/>
                <w:sz w:val="16"/>
              </w:rPr>
              <w:t xml:space="preserve"> </w:t>
            </w:r>
            <w:r>
              <w:rPr>
                <w:sz w:val="16"/>
              </w:rPr>
              <w:t>communications</w:t>
            </w:r>
            <w:r>
              <w:rPr>
                <w:spacing w:val="1"/>
                <w:sz w:val="16"/>
              </w:rPr>
              <w:t xml:space="preserve"> </w:t>
            </w:r>
            <w:r>
              <w:rPr>
                <w:sz w:val="16"/>
              </w:rPr>
              <w:t>infrastructure</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13"/>
              <w:rPr>
                <w:sz w:val="16"/>
              </w:rPr>
            </w:pPr>
            <w:r>
              <w:rPr>
                <w:sz w:val="16"/>
              </w:rPr>
              <w:t>Report from</w:t>
            </w:r>
            <w:r>
              <w:rPr>
                <w:spacing w:val="1"/>
                <w:sz w:val="16"/>
              </w:rPr>
              <w:t xml:space="preserve"> </w:t>
            </w:r>
            <w:r>
              <w:rPr>
                <w:sz w:val="16"/>
              </w:rPr>
              <w:t>the Ministry</w:t>
            </w:r>
            <w:r>
              <w:rPr>
                <w:spacing w:val="1"/>
                <w:sz w:val="16"/>
              </w:rPr>
              <w:t xml:space="preserve"> </w:t>
            </w:r>
            <w:r>
              <w:rPr>
                <w:sz w:val="16"/>
              </w:rPr>
              <w:t>of Sea,</w:t>
            </w:r>
            <w:r>
              <w:rPr>
                <w:spacing w:val="1"/>
                <w:sz w:val="16"/>
              </w:rPr>
              <w:t xml:space="preserve"> </w:t>
            </w:r>
            <w:r>
              <w:rPr>
                <w:spacing w:val="-1"/>
                <w:sz w:val="16"/>
              </w:rPr>
              <w:t xml:space="preserve">Transport </w:t>
            </w:r>
            <w:r>
              <w:rPr>
                <w:sz w:val="16"/>
              </w:rPr>
              <w:t>and</w:t>
            </w:r>
            <w:r>
              <w:rPr>
                <w:spacing w:val="-37"/>
                <w:sz w:val="16"/>
              </w:rPr>
              <w:t xml:space="preserve"> </w:t>
            </w:r>
            <w:r>
              <w:rPr>
                <w:sz w:val="16"/>
              </w:rPr>
              <w:t>Infrastructure</w:t>
            </w:r>
            <w:r>
              <w:rPr>
                <w:spacing w:val="-37"/>
                <w:sz w:val="16"/>
              </w:rPr>
              <w:t xml:space="preserve"> </w:t>
            </w:r>
            <w:r>
              <w:rPr>
                <w:sz w:val="16"/>
              </w:rPr>
              <w:t>(MSTI)</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MSTI</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82"/>
              <w:rPr>
                <w:sz w:val="16"/>
              </w:rPr>
            </w:pPr>
            <w:r>
              <w:rPr>
                <w:sz w:val="16"/>
              </w:rPr>
              <w:t>Signature of the Grant Agreement and start of</w:t>
            </w:r>
            <w:r>
              <w:rPr>
                <w:spacing w:val="-37"/>
                <w:sz w:val="16"/>
              </w:rPr>
              <w:t xml:space="preserve"> </w:t>
            </w:r>
            <w:r>
              <w:rPr>
                <w:sz w:val="16"/>
              </w:rPr>
              <w:t>project</w:t>
            </w:r>
            <w:r>
              <w:rPr>
                <w:spacing w:val="-6"/>
                <w:sz w:val="16"/>
              </w:rPr>
              <w:t xml:space="preserve"> </w:t>
            </w:r>
            <w:r>
              <w:rPr>
                <w:sz w:val="16"/>
              </w:rPr>
              <w:t>implementation</w:t>
            </w:r>
            <w:r>
              <w:rPr>
                <w:spacing w:val="-3"/>
                <w:sz w:val="16"/>
              </w:rPr>
              <w:t xml:space="preserve"> </w:t>
            </w:r>
            <w:r>
              <w:rPr>
                <w:sz w:val="16"/>
              </w:rPr>
              <w:t>for</w:t>
            </w:r>
            <w:r>
              <w:rPr>
                <w:spacing w:val="-6"/>
                <w:sz w:val="16"/>
              </w:rPr>
              <w:t xml:space="preserve"> </w:t>
            </w:r>
            <w:r>
              <w:rPr>
                <w:sz w:val="16"/>
              </w:rPr>
              <w:t>the</w:t>
            </w:r>
            <w:r>
              <w:rPr>
                <w:spacing w:val="-6"/>
                <w:sz w:val="16"/>
              </w:rPr>
              <w:t xml:space="preserve"> </w:t>
            </w:r>
            <w:r>
              <w:rPr>
                <w:sz w:val="16"/>
              </w:rPr>
              <w:t>construction</w:t>
            </w:r>
            <w:r>
              <w:rPr>
                <w:spacing w:val="-5"/>
                <w:sz w:val="16"/>
              </w:rPr>
              <w:t xml:space="preserve"> </w:t>
            </w:r>
            <w:r>
              <w:rPr>
                <w:sz w:val="16"/>
              </w:rPr>
              <w:t>of</w:t>
            </w:r>
            <w:r>
              <w:rPr>
                <w:spacing w:val="-37"/>
                <w:sz w:val="16"/>
              </w:rPr>
              <w:t xml:space="preserve"> </w:t>
            </w:r>
            <w:r>
              <w:rPr>
                <w:sz w:val="16"/>
              </w:rPr>
              <w:t>passive electronic communications</w:t>
            </w:r>
            <w:r>
              <w:rPr>
                <w:spacing w:val="1"/>
                <w:sz w:val="16"/>
              </w:rPr>
              <w:t xml:space="preserve"> </w:t>
            </w:r>
            <w:r>
              <w:rPr>
                <w:sz w:val="16"/>
              </w:rPr>
              <w:t>infrastructure</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28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32</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165</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2019.CSR3</w:t>
            </w:r>
          </w:p>
          <w:p w:rsidR="00A56FE9" w:rsidRDefault="00000000">
            <w:pPr>
              <w:pStyle w:val="TableParagraph"/>
              <w:ind w:left="50" w:right="38"/>
              <w:rPr>
                <w:sz w:val="16"/>
              </w:rPr>
            </w:pPr>
            <w:r>
              <w:rPr>
                <w:sz w:val="16"/>
              </w:rPr>
              <w:t>.subpart4,</w:t>
            </w:r>
            <w:r>
              <w:rPr>
                <w:spacing w:val="1"/>
                <w:sz w:val="16"/>
              </w:rPr>
              <w:t xml:space="preserve"> </w:t>
            </w:r>
            <w:r>
              <w:rPr>
                <w:spacing w:val="-1"/>
                <w:sz w:val="16"/>
              </w:rPr>
              <w:t>2020.CSR4</w:t>
            </w:r>
          </w:p>
          <w:p w:rsidR="00A56FE9" w:rsidRDefault="00000000">
            <w:pPr>
              <w:pStyle w:val="TableParagraph"/>
              <w:spacing w:before="1"/>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C2.2.</w:t>
            </w:r>
          </w:p>
          <w:p w:rsidR="00A56FE9" w:rsidRDefault="00000000">
            <w:pPr>
              <w:pStyle w:val="TableParagraph"/>
              <w:spacing w:line="182" w:lineRule="exact"/>
              <w:ind w:left="50"/>
              <w:rPr>
                <w:sz w:val="16"/>
              </w:rPr>
            </w:pPr>
            <w:r>
              <w:rPr>
                <w:sz w:val="16"/>
              </w:rPr>
              <w:t>R1-I2</w:t>
            </w:r>
            <w:r>
              <w:rPr>
                <w:spacing w:val="-1"/>
                <w:sz w:val="16"/>
              </w:rPr>
              <w:t xml:space="preserve"> </w:t>
            </w:r>
            <w:r>
              <w:rPr>
                <w:sz w:val="16"/>
              </w:rPr>
              <w:t>E-State</w:t>
            </w:r>
            <w:r>
              <w:rPr>
                <w:spacing w:val="-4"/>
                <w:sz w:val="16"/>
              </w:rPr>
              <w:t xml:space="preserve"> </w:t>
            </w:r>
            <w:r>
              <w:rPr>
                <w:sz w:val="16"/>
              </w:rPr>
              <w:t>exam</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19"/>
              <w:rPr>
                <w:sz w:val="16"/>
              </w:rPr>
            </w:pPr>
            <w:r>
              <w:rPr>
                <w:sz w:val="16"/>
              </w:rPr>
              <w:t>100% of officials of all</w:t>
            </w:r>
            <w:r>
              <w:rPr>
                <w:spacing w:val="1"/>
                <w:sz w:val="16"/>
              </w:rPr>
              <w:t xml:space="preserve"> </w:t>
            </w:r>
            <w:r>
              <w:rPr>
                <w:sz w:val="16"/>
              </w:rPr>
              <w:t>public institutions</w:t>
            </w:r>
            <w:r>
              <w:rPr>
                <w:spacing w:val="1"/>
                <w:sz w:val="16"/>
              </w:rPr>
              <w:t xml:space="preserve"> </w:t>
            </w:r>
            <w:r>
              <w:rPr>
                <w:sz w:val="16"/>
              </w:rPr>
              <w:t>required to pass the state</w:t>
            </w:r>
            <w:r>
              <w:rPr>
                <w:spacing w:val="-37"/>
                <w:sz w:val="16"/>
              </w:rPr>
              <w:t xml:space="preserve"> </w:t>
            </w:r>
            <w:r>
              <w:rPr>
                <w:sz w:val="16"/>
              </w:rPr>
              <w:t>exam, digitally pass the</w:t>
            </w:r>
            <w:r>
              <w:rPr>
                <w:spacing w:val="1"/>
                <w:sz w:val="16"/>
              </w:rPr>
              <w:t xml:space="preserve"> </w:t>
            </w:r>
            <w:r>
              <w:rPr>
                <w:sz w:val="16"/>
              </w:rPr>
              <w:t>state exam, based on a</w:t>
            </w:r>
            <w:r>
              <w:rPr>
                <w:spacing w:val="1"/>
                <w:sz w:val="16"/>
              </w:rPr>
              <w:t xml:space="preserve"> </w:t>
            </w:r>
            <w:r>
              <w:rPr>
                <w:sz w:val="16"/>
              </w:rPr>
              <w:t>new</w:t>
            </w:r>
            <w:r>
              <w:rPr>
                <w:spacing w:val="-4"/>
                <w:sz w:val="16"/>
              </w:rPr>
              <w:t xml:space="preserve"> </w:t>
            </w:r>
            <w:r>
              <w:rPr>
                <w:sz w:val="16"/>
              </w:rPr>
              <w:t>exam model.</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11"/>
              <w:rPr>
                <w:sz w:val="16"/>
              </w:rPr>
            </w:pPr>
            <w:r>
              <w:rPr>
                <w:sz w:val="16"/>
              </w:rPr>
              <w:t>%</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1" w:right="41"/>
              <w:jc w:val="center"/>
              <w:rPr>
                <w:sz w:val="16"/>
              </w:rPr>
            </w:pPr>
            <w:r>
              <w:rPr>
                <w:sz w:val="16"/>
              </w:rPr>
              <w:t>100</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MJPA</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2"/>
              <w:rPr>
                <w:sz w:val="16"/>
              </w:rPr>
            </w:pPr>
            <w:r>
              <w:rPr>
                <w:sz w:val="16"/>
              </w:rPr>
              <w:t>100% of officials of all public institutions,</w:t>
            </w:r>
            <w:r>
              <w:rPr>
                <w:spacing w:val="1"/>
                <w:sz w:val="16"/>
              </w:rPr>
              <w:t xml:space="preserve"> </w:t>
            </w:r>
            <w:r>
              <w:rPr>
                <w:sz w:val="16"/>
              </w:rPr>
              <w:t>required to pass the state exam, pass the exam</w:t>
            </w:r>
            <w:r>
              <w:rPr>
                <w:spacing w:val="1"/>
                <w:sz w:val="16"/>
              </w:rPr>
              <w:t xml:space="preserve"> </w:t>
            </w:r>
            <w:r>
              <w:rPr>
                <w:sz w:val="16"/>
              </w:rPr>
              <w:t>through</w:t>
            </w:r>
            <w:r>
              <w:rPr>
                <w:spacing w:val="-2"/>
                <w:sz w:val="16"/>
              </w:rPr>
              <w:t xml:space="preserve"> </w:t>
            </w:r>
            <w:r>
              <w:rPr>
                <w:sz w:val="16"/>
              </w:rPr>
              <w:t>a</w:t>
            </w:r>
            <w:r>
              <w:rPr>
                <w:spacing w:val="-5"/>
                <w:sz w:val="16"/>
              </w:rPr>
              <w:t xml:space="preserve"> </w:t>
            </w:r>
            <w:r>
              <w:rPr>
                <w:sz w:val="16"/>
              </w:rPr>
              <w:t>fully</w:t>
            </w:r>
            <w:r>
              <w:rPr>
                <w:spacing w:val="-5"/>
                <w:sz w:val="16"/>
              </w:rPr>
              <w:t xml:space="preserve"> </w:t>
            </w:r>
            <w:r>
              <w:rPr>
                <w:sz w:val="16"/>
              </w:rPr>
              <w:t>digitised</w:t>
            </w:r>
            <w:r>
              <w:rPr>
                <w:spacing w:val="-4"/>
                <w:sz w:val="16"/>
              </w:rPr>
              <w:t xml:space="preserve"> </w:t>
            </w:r>
            <w:r>
              <w:rPr>
                <w:sz w:val="16"/>
              </w:rPr>
              <w:t>model.</w:t>
            </w:r>
            <w:r>
              <w:rPr>
                <w:spacing w:val="-1"/>
                <w:sz w:val="16"/>
              </w:rPr>
              <w:t xml:space="preserve"> </w:t>
            </w:r>
            <w:r>
              <w:rPr>
                <w:sz w:val="16"/>
              </w:rPr>
              <w:t>The</w:t>
            </w:r>
            <w:r>
              <w:rPr>
                <w:spacing w:val="-5"/>
                <w:sz w:val="16"/>
              </w:rPr>
              <w:t xml:space="preserve"> </w:t>
            </w:r>
            <w:r>
              <w:rPr>
                <w:sz w:val="16"/>
              </w:rPr>
              <w:t>process</w:t>
            </w:r>
            <w:r>
              <w:rPr>
                <w:spacing w:val="-2"/>
                <w:sz w:val="16"/>
              </w:rPr>
              <w:t xml:space="preserve"> </w:t>
            </w:r>
            <w:r>
              <w:rPr>
                <w:sz w:val="16"/>
              </w:rPr>
              <w:t>of</w:t>
            </w:r>
            <w:r>
              <w:rPr>
                <w:spacing w:val="-37"/>
                <w:sz w:val="16"/>
              </w:rPr>
              <w:t xml:space="preserve"> </w:t>
            </w:r>
            <w:r>
              <w:rPr>
                <w:sz w:val="16"/>
              </w:rPr>
              <w:t>passing the State exam is digitised with a view</w:t>
            </w:r>
            <w:r>
              <w:rPr>
                <w:spacing w:val="-37"/>
                <w:sz w:val="16"/>
              </w:rPr>
              <w:t xml:space="preserve"> </w:t>
            </w:r>
            <w:r>
              <w:rPr>
                <w:sz w:val="16"/>
              </w:rPr>
              <w:t>to making the exam system more transparent,</w:t>
            </w:r>
            <w:r>
              <w:rPr>
                <w:spacing w:val="1"/>
                <w:sz w:val="16"/>
              </w:rPr>
              <w:t xml:space="preserve"> </w:t>
            </w:r>
            <w:r>
              <w:rPr>
                <w:sz w:val="16"/>
              </w:rPr>
              <w:t>accessible</w:t>
            </w:r>
            <w:r>
              <w:rPr>
                <w:spacing w:val="-4"/>
                <w:sz w:val="16"/>
              </w:rPr>
              <w:t xml:space="preserve"> </w:t>
            </w:r>
            <w:r>
              <w:rPr>
                <w:sz w:val="16"/>
              </w:rPr>
              <w:t>(in</w:t>
            </w:r>
            <w:r>
              <w:rPr>
                <w:spacing w:val="-2"/>
                <w:sz w:val="16"/>
              </w:rPr>
              <w:t xml:space="preserve"> </w:t>
            </w:r>
            <w:r>
              <w:rPr>
                <w:sz w:val="16"/>
              </w:rPr>
              <w:t>multiple</w:t>
            </w:r>
            <w:r>
              <w:rPr>
                <w:spacing w:val="-3"/>
                <w:sz w:val="16"/>
              </w:rPr>
              <w:t xml:space="preserve"> </w:t>
            </w:r>
            <w:r>
              <w:rPr>
                <w:sz w:val="16"/>
              </w:rPr>
              <w:t>locations</w:t>
            </w:r>
            <w:r>
              <w:rPr>
                <w:spacing w:val="-3"/>
                <w:sz w:val="16"/>
              </w:rPr>
              <w:t xml:space="preserve"> </w:t>
            </w:r>
            <w:r>
              <w:rPr>
                <w:sz w:val="16"/>
              </w:rPr>
              <w:t>across</w:t>
            </w:r>
            <w:r>
              <w:rPr>
                <w:spacing w:val="-1"/>
                <w:sz w:val="16"/>
              </w:rPr>
              <w:t xml:space="preserve"> </w:t>
            </w:r>
            <w:r>
              <w:rPr>
                <w:sz w:val="16"/>
              </w:rPr>
              <w:t>the</w:t>
            </w:r>
          </w:p>
          <w:p w:rsidR="00A56FE9" w:rsidRDefault="00000000">
            <w:pPr>
              <w:pStyle w:val="TableParagraph"/>
              <w:spacing w:line="168" w:lineRule="exact"/>
              <w:ind w:left="57"/>
              <w:rPr>
                <w:sz w:val="16"/>
              </w:rPr>
            </w:pPr>
            <w:r>
              <w:rPr>
                <w:sz w:val="16"/>
              </w:rPr>
              <w:t>country)</w:t>
            </w:r>
            <w:r>
              <w:rPr>
                <w:spacing w:val="-5"/>
                <w:sz w:val="16"/>
              </w:rPr>
              <w:t xml:space="preserve"> </w:t>
            </w:r>
            <w:r>
              <w:rPr>
                <w:sz w:val="16"/>
              </w:rPr>
              <w:t>and</w:t>
            </w:r>
            <w:r>
              <w:rPr>
                <w:spacing w:val="-4"/>
                <w:sz w:val="16"/>
              </w:rPr>
              <w:t xml:space="preserve"> </w:t>
            </w:r>
            <w:r>
              <w:rPr>
                <w:sz w:val="16"/>
              </w:rPr>
              <w:t>efficient.</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2,243,343</w:t>
            </w:r>
          </w:p>
        </w:tc>
      </w:tr>
      <w:tr w:rsidR="00A56FE9">
        <w:trPr>
          <w:trHeight w:val="202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right="115"/>
              <w:jc w:val="right"/>
              <w:rPr>
                <w:sz w:val="16"/>
              </w:rPr>
            </w:pPr>
            <w:r>
              <w:rPr>
                <w:sz w:val="16"/>
              </w:rPr>
              <w:t>33</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right="83"/>
              <w:jc w:val="right"/>
              <w:rPr>
                <w:sz w:val="16"/>
              </w:rPr>
            </w:pPr>
            <w:r>
              <w:rPr>
                <w:sz w:val="16"/>
              </w:rPr>
              <w:t>216</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2019.CSR4</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2020.CSR4</w:t>
            </w:r>
          </w:p>
          <w:p w:rsidR="00A56FE9" w:rsidRDefault="00000000">
            <w:pPr>
              <w:pStyle w:val="TableParagraph"/>
              <w:spacing w:line="183" w:lineRule="exact"/>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w:t>
            </w:r>
          </w:p>
          <w:p w:rsidR="00A56FE9" w:rsidRDefault="00000000">
            <w:pPr>
              <w:pStyle w:val="TableParagraph"/>
              <w:spacing w:before="1"/>
              <w:ind w:left="50"/>
              <w:rPr>
                <w:sz w:val="16"/>
              </w:rPr>
            </w:pPr>
            <w:r>
              <w:rPr>
                <w:sz w:val="16"/>
              </w:rPr>
              <w:t>3</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C2.5.</w:t>
            </w:r>
          </w:p>
          <w:p w:rsidR="00A56FE9" w:rsidRDefault="00000000">
            <w:pPr>
              <w:pStyle w:val="TableParagraph"/>
              <w:ind w:left="50" w:right="252"/>
              <w:rPr>
                <w:sz w:val="16"/>
              </w:rPr>
            </w:pPr>
            <w:r>
              <w:rPr>
                <w:sz w:val="16"/>
              </w:rPr>
              <w:t>R1 Increasing the</w:t>
            </w:r>
            <w:r>
              <w:rPr>
                <w:spacing w:val="1"/>
                <w:sz w:val="16"/>
              </w:rPr>
              <w:t xml:space="preserve"> </w:t>
            </w:r>
            <w:r>
              <w:rPr>
                <w:sz w:val="16"/>
              </w:rPr>
              <w:t>efficiency of the justice</w:t>
            </w:r>
            <w:r>
              <w:rPr>
                <w:spacing w:val="-37"/>
                <w:sz w:val="16"/>
              </w:rPr>
              <w:t xml:space="preserve"> </w:t>
            </w:r>
            <w:r>
              <w:rPr>
                <w:sz w:val="16"/>
              </w:rPr>
              <w:t>system to increase</w:t>
            </w:r>
            <w:r>
              <w:rPr>
                <w:spacing w:val="1"/>
                <w:sz w:val="16"/>
              </w:rPr>
              <w:t xml:space="preserve"> </w:t>
            </w:r>
            <w:r>
              <w:rPr>
                <w:sz w:val="16"/>
              </w:rPr>
              <w:t>citizens’</w:t>
            </w:r>
            <w:r>
              <w:rPr>
                <w:spacing w:val="-2"/>
                <w:sz w:val="16"/>
              </w:rPr>
              <w:t xml:space="preserve"> </w:t>
            </w:r>
            <w:r>
              <w:rPr>
                <w:sz w:val="16"/>
              </w:rPr>
              <w:t>trust.</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36"/>
              <w:rPr>
                <w:sz w:val="16"/>
              </w:rPr>
            </w:pPr>
            <w:r>
              <w:rPr>
                <w:sz w:val="16"/>
              </w:rPr>
              <w:t>Adopted amendments to</w:t>
            </w:r>
            <w:r>
              <w:rPr>
                <w:spacing w:val="-37"/>
                <w:sz w:val="16"/>
              </w:rPr>
              <w:t xml:space="preserve"> </w:t>
            </w:r>
            <w:r>
              <w:rPr>
                <w:sz w:val="16"/>
              </w:rPr>
              <w:t>the Code of Criminal</w:t>
            </w:r>
            <w:r>
              <w:rPr>
                <w:spacing w:val="1"/>
                <w:sz w:val="16"/>
              </w:rPr>
              <w:t xml:space="preserve"> </w:t>
            </w:r>
            <w:r>
              <w:rPr>
                <w:sz w:val="16"/>
              </w:rPr>
              <w:t>Procedure</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86"/>
              <w:rPr>
                <w:sz w:val="16"/>
              </w:rPr>
            </w:pPr>
            <w:r>
              <w:rPr>
                <w:sz w:val="16"/>
              </w:rPr>
              <w:t>Entry into</w:t>
            </w:r>
            <w:r>
              <w:rPr>
                <w:spacing w:val="1"/>
                <w:sz w:val="16"/>
              </w:rPr>
              <w:t xml:space="preserve"> </w:t>
            </w:r>
            <w:r>
              <w:rPr>
                <w:sz w:val="16"/>
              </w:rPr>
              <w:t>force of</w:t>
            </w:r>
            <w:r>
              <w:rPr>
                <w:spacing w:val="1"/>
                <w:sz w:val="16"/>
              </w:rPr>
              <w:t xml:space="preserve"> </w:t>
            </w:r>
            <w:r>
              <w:rPr>
                <w:sz w:val="16"/>
              </w:rPr>
              <w:t>amendments</w:t>
            </w:r>
            <w:r>
              <w:rPr>
                <w:spacing w:val="1"/>
                <w:sz w:val="16"/>
              </w:rPr>
              <w:t xml:space="preserve"> </w:t>
            </w:r>
            <w:r>
              <w:rPr>
                <w:sz w:val="16"/>
              </w:rPr>
              <w:t>to the Code of</w:t>
            </w:r>
            <w:r>
              <w:rPr>
                <w:spacing w:val="-37"/>
                <w:sz w:val="16"/>
              </w:rPr>
              <w:t xml:space="preserve"> </w:t>
            </w:r>
            <w:r>
              <w:rPr>
                <w:sz w:val="16"/>
              </w:rPr>
              <w:t>Criminal</w:t>
            </w:r>
            <w:r>
              <w:rPr>
                <w:spacing w:val="1"/>
                <w:sz w:val="16"/>
              </w:rPr>
              <w:t xml:space="preserve"> </w:t>
            </w:r>
            <w:r>
              <w:rPr>
                <w:sz w:val="16"/>
              </w:rPr>
              <w:t>Procedure</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7"/>
              <w:rPr>
                <w:sz w:val="16"/>
              </w:rPr>
            </w:pPr>
            <w:r>
              <w:rPr>
                <w:sz w:val="16"/>
              </w:rPr>
              <w:t>MJPA</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77"/>
              <w:rPr>
                <w:sz w:val="16"/>
              </w:rPr>
            </w:pPr>
            <w:r>
              <w:rPr>
                <w:sz w:val="16"/>
              </w:rPr>
              <w:t>Amendments to the Criminal Procedure Act</w:t>
            </w:r>
            <w:r>
              <w:rPr>
                <w:spacing w:val="1"/>
                <w:sz w:val="16"/>
              </w:rPr>
              <w:t xml:space="preserve"> </w:t>
            </w:r>
            <w:r>
              <w:rPr>
                <w:sz w:val="16"/>
              </w:rPr>
              <w:t>(published in the Official Gazette) allowing</w:t>
            </w:r>
            <w:r>
              <w:rPr>
                <w:spacing w:val="1"/>
                <w:sz w:val="16"/>
              </w:rPr>
              <w:t xml:space="preserve"> </w:t>
            </w:r>
            <w:r>
              <w:rPr>
                <w:sz w:val="16"/>
              </w:rPr>
              <w:t>the use of ICT in criminal proceedings,</w:t>
            </w:r>
            <w:r>
              <w:rPr>
                <w:spacing w:val="1"/>
                <w:sz w:val="16"/>
              </w:rPr>
              <w:t xml:space="preserve"> </w:t>
            </w:r>
            <w:r>
              <w:rPr>
                <w:sz w:val="16"/>
              </w:rPr>
              <w:t>including the introduction of remote hearings,</w:t>
            </w:r>
            <w:r>
              <w:rPr>
                <w:spacing w:val="-37"/>
                <w:sz w:val="16"/>
              </w:rPr>
              <w:t xml:space="preserve"> </w:t>
            </w:r>
            <w:r>
              <w:rPr>
                <w:sz w:val="16"/>
              </w:rPr>
              <w:t>the extension of the possibility of giving on-</w:t>
            </w:r>
            <w:r>
              <w:rPr>
                <w:spacing w:val="1"/>
                <w:sz w:val="16"/>
              </w:rPr>
              <w:t xml:space="preserve"> </w:t>
            </w:r>
            <w:r>
              <w:rPr>
                <w:sz w:val="16"/>
              </w:rPr>
              <w:t>line testimonies for victims of crime, the</w:t>
            </w:r>
            <w:r>
              <w:rPr>
                <w:spacing w:val="1"/>
                <w:sz w:val="16"/>
              </w:rPr>
              <w:t xml:space="preserve"> </w:t>
            </w:r>
            <w:r>
              <w:rPr>
                <w:sz w:val="16"/>
              </w:rPr>
              <w:t>possibility to communicate with lawyers via a</w:t>
            </w:r>
            <w:r>
              <w:rPr>
                <w:spacing w:val="-37"/>
                <w:sz w:val="16"/>
              </w:rPr>
              <w:t xml:space="preserve"> </w:t>
            </w:r>
            <w:r>
              <w:rPr>
                <w:sz w:val="16"/>
              </w:rPr>
              <w:t>secure video link and the preparation of</w:t>
            </w:r>
            <w:r>
              <w:rPr>
                <w:spacing w:val="1"/>
                <w:sz w:val="16"/>
              </w:rPr>
              <w:t xml:space="preserve"> </w:t>
            </w:r>
            <w:r>
              <w:rPr>
                <w:sz w:val="16"/>
              </w:rPr>
              <w:t>hearings for accused persons in pre-trial</w:t>
            </w:r>
            <w:r>
              <w:rPr>
                <w:spacing w:val="1"/>
                <w:sz w:val="16"/>
              </w:rPr>
              <w:t xml:space="preserve"> </w:t>
            </w:r>
            <w:r>
              <w:rPr>
                <w:sz w:val="16"/>
              </w:rPr>
              <w:t>detention,</w:t>
            </w:r>
            <w:r>
              <w:rPr>
                <w:spacing w:val="-3"/>
                <w:sz w:val="16"/>
              </w:rPr>
              <w:t xml:space="preserve"> </w:t>
            </w:r>
            <w:r>
              <w:rPr>
                <w:sz w:val="16"/>
              </w:rPr>
              <w:t>and</w:t>
            </w:r>
            <w:r>
              <w:rPr>
                <w:spacing w:val="-2"/>
                <w:sz w:val="16"/>
              </w:rPr>
              <w:t xml:space="preserve"> </w:t>
            </w:r>
            <w:r>
              <w:rPr>
                <w:sz w:val="16"/>
              </w:rPr>
              <w:t>the</w:t>
            </w:r>
            <w:r>
              <w:rPr>
                <w:spacing w:val="-3"/>
                <w:sz w:val="16"/>
              </w:rPr>
              <w:t xml:space="preserve"> </w:t>
            </w:r>
            <w:r>
              <w:rPr>
                <w:sz w:val="16"/>
              </w:rPr>
              <w:t>introduction</w:t>
            </w:r>
            <w:r>
              <w:rPr>
                <w:spacing w:val="1"/>
                <w:sz w:val="16"/>
              </w:rPr>
              <w:t xml:space="preserve"> </w:t>
            </w:r>
            <w:r>
              <w:rPr>
                <w:sz w:val="16"/>
              </w:rPr>
              <w:t>of</w:t>
            </w:r>
            <w:r>
              <w:rPr>
                <w:spacing w:val="-2"/>
                <w:sz w:val="16"/>
              </w:rPr>
              <w:t xml:space="preserve"> </w:t>
            </w:r>
            <w:r>
              <w:rPr>
                <w:sz w:val="16"/>
              </w:rPr>
              <w:t>e-</w:t>
            </w:r>
          </w:p>
          <w:p w:rsidR="00A56FE9" w:rsidRDefault="00000000">
            <w:pPr>
              <w:pStyle w:val="TableParagraph"/>
              <w:spacing w:line="168" w:lineRule="exact"/>
              <w:ind w:left="57"/>
              <w:rPr>
                <w:sz w:val="16"/>
              </w:rPr>
            </w:pPr>
            <w:r>
              <w:rPr>
                <w:sz w:val="16"/>
              </w:rPr>
              <w:t>communications.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896"/>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34</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217</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2019.CSR4</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2020.CSR4</w:t>
            </w:r>
          </w:p>
          <w:p w:rsidR="00A56FE9" w:rsidRDefault="00000000">
            <w:pPr>
              <w:pStyle w:val="TableParagraph"/>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w:t>
            </w:r>
          </w:p>
          <w:p w:rsidR="00A56FE9" w:rsidRDefault="00000000">
            <w:pPr>
              <w:pStyle w:val="TableParagraph"/>
              <w:spacing w:before="1"/>
              <w:ind w:left="50"/>
              <w:rPr>
                <w:sz w:val="16"/>
              </w:rPr>
            </w:pPr>
            <w:r>
              <w:rPr>
                <w:sz w:val="16"/>
              </w:rPr>
              <w:t>3</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C2.5.</w:t>
            </w:r>
          </w:p>
          <w:p w:rsidR="00A56FE9" w:rsidRDefault="00000000">
            <w:pPr>
              <w:pStyle w:val="TableParagraph"/>
              <w:ind w:left="50" w:right="252"/>
              <w:rPr>
                <w:sz w:val="16"/>
              </w:rPr>
            </w:pPr>
            <w:r>
              <w:rPr>
                <w:sz w:val="16"/>
              </w:rPr>
              <w:t>R1 Increasing the</w:t>
            </w:r>
            <w:r>
              <w:rPr>
                <w:spacing w:val="1"/>
                <w:sz w:val="16"/>
              </w:rPr>
              <w:t xml:space="preserve"> </w:t>
            </w:r>
            <w:r>
              <w:rPr>
                <w:sz w:val="16"/>
              </w:rPr>
              <w:t>efficiency of the justice</w:t>
            </w:r>
            <w:r>
              <w:rPr>
                <w:spacing w:val="-37"/>
                <w:sz w:val="16"/>
              </w:rPr>
              <w:t xml:space="preserve"> </w:t>
            </w:r>
            <w:r>
              <w:rPr>
                <w:sz w:val="16"/>
              </w:rPr>
              <w:t>system to increase</w:t>
            </w:r>
            <w:r>
              <w:rPr>
                <w:spacing w:val="1"/>
                <w:sz w:val="16"/>
              </w:rPr>
              <w:t xml:space="preserve"> </w:t>
            </w:r>
            <w:r>
              <w:rPr>
                <w:sz w:val="16"/>
              </w:rPr>
              <w:t>citizens’</w:t>
            </w:r>
            <w:r>
              <w:rPr>
                <w:spacing w:val="-2"/>
                <w:sz w:val="16"/>
              </w:rPr>
              <w:t xml:space="preserve"> </w:t>
            </w:r>
            <w:r>
              <w:rPr>
                <w:sz w:val="16"/>
              </w:rPr>
              <w:t>trust.</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77"/>
              <w:rPr>
                <w:sz w:val="16"/>
              </w:rPr>
            </w:pPr>
            <w:r>
              <w:rPr>
                <w:sz w:val="16"/>
              </w:rPr>
              <w:t>New training</w:t>
            </w:r>
            <w:r>
              <w:rPr>
                <w:spacing w:val="1"/>
                <w:sz w:val="16"/>
              </w:rPr>
              <w:t xml:space="preserve"> </w:t>
            </w:r>
            <w:r>
              <w:rPr>
                <w:sz w:val="16"/>
              </w:rPr>
              <w:t>programmes introduced</w:t>
            </w:r>
            <w:r>
              <w:rPr>
                <w:spacing w:val="-37"/>
                <w:sz w:val="16"/>
              </w:rPr>
              <w:t xml:space="preserve"> </w:t>
            </w:r>
            <w:r>
              <w:rPr>
                <w:sz w:val="16"/>
              </w:rPr>
              <w:t>in the framework of the</w:t>
            </w:r>
            <w:r>
              <w:rPr>
                <w:spacing w:val="-37"/>
                <w:sz w:val="16"/>
              </w:rPr>
              <w:t xml:space="preserve"> </w:t>
            </w:r>
            <w:r>
              <w:rPr>
                <w:sz w:val="16"/>
              </w:rPr>
              <w:t>judicial training</w:t>
            </w:r>
            <w:r>
              <w:rPr>
                <w:spacing w:val="1"/>
                <w:sz w:val="16"/>
              </w:rPr>
              <w:t xml:space="preserve"> </w:t>
            </w:r>
            <w:r>
              <w:rPr>
                <w:sz w:val="16"/>
              </w:rPr>
              <w:t>programme for judicial</w:t>
            </w:r>
            <w:r>
              <w:rPr>
                <w:spacing w:val="1"/>
                <w:sz w:val="16"/>
              </w:rPr>
              <w:t xml:space="preserve"> </w:t>
            </w:r>
            <w:r>
              <w:rPr>
                <w:sz w:val="16"/>
              </w:rPr>
              <w:t>officials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1" w:right="92"/>
              <w:rPr>
                <w:sz w:val="16"/>
              </w:rPr>
            </w:pPr>
            <w:r>
              <w:rPr>
                <w:sz w:val="16"/>
              </w:rPr>
              <w:t>Numb</w:t>
            </w:r>
            <w:r>
              <w:rPr>
                <w:spacing w:val="-37"/>
                <w:sz w:val="16"/>
              </w:rPr>
              <w:t xml:space="preserve"> </w:t>
            </w:r>
            <w:r>
              <w:rPr>
                <w:sz w:val="16"/>
              </w:rPr>
              <w:t>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8"/>
              <w:jc w:val="center"/>
              <w:rPr>
                <w:sz w:val="16"/>
              </w:rPr>
            </w:pPr>
            <w:r>
              <w:rPr>
                <w:sz w:val="16"/>
              </w:rPr>
              <w:t>6</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MJPA</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121"/>
              <w:rPr>
                <w:sz w:val="16"/>
              </w:rPr>
            </w:pPr>
            <w:r>
              <w:rPr>
                <w:sz w:val="16"/>
              </w:rPr>
              <w:t>Six new training programmes shall be</w:t>
            </w:r>
            <w:r>
              <w:rPr>
                <w:spacing w:val="1"/>
                <w:sz w:val="16"/>
              </w:rPr>
              <w:t xml:space="preserve"> </w:t>
            </w:r>
            <w:r>
              <w:rPr>
                <w:sz w:val="16"/>
              </w:rPr>
              <w:t>completed as part of the judicial training</w:t>
            </w:r>
            <w:r>
              <w:rPr>
                <w:spacing w:val="1"/>
                <w:sz w:val="16"/>
              </w:rPr>
              <w:t xml:space="preserve"> </w:t>
            </w:r>
            <w:r>
              <w:rPr>
                <w:sz w:val="16"/>
              </w:rPr>
              <w:t>programme</w:t>
            </w:r>
            <w:r>
              <w:rPr>
                <w:spacing w:val="-6"/>
                <w:sz w:val="16"/>
              </w:rPr>
              <w:t xml:space="preserve"> </w:t>
            </w:r>
            <w:r>
              <w:rPr>
                <w:sz w:val="16"/>
              </w:rPr>
              <w:t>for</w:t>
            </w:r>
            <w:r>
              <w:rPr>
                <w:spacing w:val="-5"/>
                <w:sz w:val="16"/>
              </w:rPr>
              <w:t xml:space="preserve"> </w:t>
            </w:r>
            <w:r>
              <w:rPr>
                <w:sz w:val="16"/>
              </w:rPr>
              <w:t>judicial</w:t>
            </w:r>
            <w:r>
              <w:rPr>
                <w:spacing w:val="-5"/>
                <w:sz w:val="16"/>
              </w:rPr>
              <w:t xml:space="preserve"> </w:t>
            </w:r>
            <w:r>
              <w:rPr>
                <w:sz w:val="16"/>
              </w:rPr>
              <w:t>officials</w:t>
            </w:r>
            <w:r>
              <w:rPr>
                <w:spacing w:val="-4"/>
                <w:sz w:val="16"/>
              </w:rPr>
              <w:t xml:space="preserve"> </w:t>
            </w:r>
            <w:r>
              <w:rPr>
                <w:sz w:val="16"/>
              </w:rPr>
              <w:t>and</w:t>
            </w:r>
            <w:r>
              <w:rPr>
                <w:spacing w:val="-3"/>
                <w:sz w:val="16"/>
              </w:rPr>
              <w:t xml:space="preserve"> </w:t>
            </w:r>
            <w:r>
              <w:rPr>
                <w:sz w:val="16"/>
              </w:rPr>
              <w:t>officers</w:t>
            </w:r>
            <w:r>
              <w:rPr>
                <w:spacing w:val="-37"/>
                <w:sz w:val="16"/>
              </w:rPr>
              <w:t xml:space="preserve"> </w:t>
            </w:r>
            <w:r>
              <w:rPr>
                <w:sz w:val="16"/>
              </w:rPr>
              <w:t>of the judicial authorities in the Judicial</w:t>
            </w:r>
            <w:r>
              <w:rPr>
                <w:spacing w:val="1"/>
                <w:sz w:val="16"/>
              </w:rPr>
              <w:t xml:space="preserve"> </w:t>
            </w:r>
            <w:r>
              <w:rPr>
                <w:sz w:val="16"/>
              </w:rPr>
              <w:t>Academy:</w:t>
            </w:r>
          </w:p>
          <w:p w:rsidR="00A56FE9" w:rsidRDefault="00000000">
            <w:pPr>
              <w:pStyle w:val="TableParagraph"/>
              <w:ind w:left="57" w:right="64"/>
              <w:rPr>
                <w:sz w:val="16"/>
              </w:rPr>
            </w:pPr>
            <w:r>
              <w:rPr>
                <w:sz w:val="16"/>
              </w:rPr>
              <w:t>-Developing different skills (management and</w:t>
            </w:r>
            <w:r>
              <w:rPr>
                <w:spacing w:val="-37"/>
                <w:sz w:val="16"/>
              </w:rPr>
              <w:t xml:space="preserve"> </w:t>
            </w:r>
            <w:r>
              <w:rPr>
                <w:sz w:val="16"/>
              </w:rPr>
              <w:t>management skills for court presidents, court</w:t>
            </w:r>
            <w:r>
              <w:rPr>
                <w:spacing w:val="1"/>
                <w:sz w:val="16"/>
              </w:rPr>
              <w:t xml:space="preserve"> </w:t>
            </w:r>
            <w:r>
              <w:rPr>
                <w:sz w:val="16"/>
              </w:rPr>
              <w:t>management for heads of court administration</w:t>
            </w:r>
            <w:r>
              <w:rPr>
                <w:spacing w:val="-37"/>
                <w:sz w:val="16"/>
              </w:rPr>
              <w:t xml:space="preserve"> </w:t>
            </w:r>
            <w:r>
              <w:rPr>
                <w:sz w:val="16"/>
              </w:rPr>
              <w:t>and communication skills for court staff –</w:t>
            </w:r>
            <w:r>
              <w:rPr>
                <w:spacing w:val="1"/>
                <w:sz w:val="16"/>
              </w:rPr>
              <w:t xml:space="preserve"> </w:t>
            </w:r>
            <w:r>
              <w:rPr>
                <w:sz w:val="16"/>
              </w:rPr>
              <w:t>three</w:t>
            </w:r>
            <w:r>
              <w:rPr>
                <w:spacing w:val="-3"/>
                <w:sz w:val="16"/>
              </w:rPr>
              <w:t xml:space="preserve"> </w:t>
            </w:r>
            <w:r>
              <w:rPr>
                <w:sz w:val="16"/>
              </w:rPr>
              <w:t>programmes).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200,300</w:t>
            </w:r>
          </w:p>
        </w:tc>
      </w:tr>
    </w:tbl>
    <w:p w:rsidR="00A56FE9" w:rsidRDefault="00A56FE9">
      <w:pPr>
        <w:spacing w:line="181" w:lineRule="exact"/>
        <w:jc w:val="righ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1098"/>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-Promoting</w:t>
            </w:r>
            <w:r>
              <w:rPr>
                <w:spacing w:val="-3"/>
                <w:sz w:val="16"/>
              </w:rPr>
              <w:t xml:space="preserve"> </w:t>
            </w:r>
            <w:r>
              <w:rPr>
                <w:sz w:val="16"/>
              </w:rPr>
              <w:t>the</w:t>
            </w:r>
            <w:r>
              <w:rPr>
                <w:spacing w:val="-4"/>
                <w:sz w:val="16"/>
              </w:rPr>
              <w:t xml:space="preserve"> </w:t>
            </w:r>
            <w:r>
              <w:rPr>
                <w:sz w:val="16"/>
              </w:rPr>
              <w:t>rule</w:t>
            </w:r>
            <w:r>
              <w:rPr>
                <w:spacing w:val="-4"/>
                <w:sz w:val="16"/>
              </w:rPr>
              <w:t xml:space="preserve"> </w:t>
            </w:r>
            <w:r>
              <w:rPr>
                <w:sz w:val="16"/>
              </w:rPr>
              <w:t>of</w:t>
            </w:r>
            <w:r>
              <w:rPr>
                <w:spacing w:val="-3"/>
                <w:sz w:val="16"/>
              </w:rPr>
              <w:t xml:space="preserve"> </w:t>
            </w:r>
            <w:r>
              <w:rPr>
                <w:sz w:val="16"/>
              </w:rPr>
              <w:t>law</w:t>
            </w:r>
            <w:r>
              <w:rPr>
                <w:spacing w:val="-5"/>
                <w:sz w:val="16"/>
              </w:rPr>
              <w:t xml:space="preserve"> </w:t>
            </w:r>
            <w:r>
              <w:rPr>
                <w:sz w:val="16"/>
              </w:rPr>
              <w:t>and</w:t>
            </w:r>
            <w:r>
              <w:rPr>
                <w:spacing w:val="-1"/>
                <w:sz w:val="16"/>
              </w:rPr>
              <w:t xml:space="preserve"> </w:t>
            </w:r>
            <w:r>
              <w:rPr>
                <w:sz w:val="16"/>
              </w:rPr>
              <w:t>fundamental</w:t>
            </w:r>
          </w:p>
          <w:p w:rsidR="00A56FE9" w:rsidRDefault="00000000">
            <w:pPr>
              <w:pStyle w:val="TableParagraph"/>
              <w:spacing w:before="1"/>
              <w:ind w:left="57" w:right="232"/>
              <w:rPr>
                <w:sz w:val="16"/>
              </w:rPr>
            </w:pPr>
            <w:r>
              <w:rPr>
                <w:sz w:val="16"/>
              </w:rPr>
              <w:t>rights through high-quality education in the</w:t>
            </w:r>
            <w:r>
              <w:rPr>
                <w:spacing w:val="-38"/>
                <w:sz w:val="16"/>
              </w:rPr>
              <w:t xml:space="preserve"> </w:t>
            </w:r>
            <w:r>
              <w:rPr>
                <w:sz w:val="16"/>
              </w:rPr>
              <w:t>Croatian</w:t>
            </w:r>
            <w:r>
              <w:rPr>
                <w:spacing w:val="-2"/>
                <w:sz w:val="16"/>
              </w:rPr>
              <w:t xml:space="preserve"> </w:t>
            </w:r>
            <w:r>
              <w:rPr>
                <w:sz w:val="16"/>
              </w:rPr>
              <w:t>judiciary.</w:t>
            </w:r>
          </w:p>
          <w:p w:rsidR="00A56FE9" w:rsidRDefault="00000000">
            <w:pPr>
              <w:pStyle w:val="TableParagraph"/>
              <w:spacing w:line="184" w:lineRule="exact"/>
              <w:ind w:left="57"/>
              <w:rPr>
                <w:sz w:val="16"/>
              </w:rPr>
            </w:pPr>
            <w:r>
              <w:rPr>
                <w:sz w:val="16"/>
              </w:rPr>
              <w:t>-Specialised training programmes for</w:t>
            </w:r>
            <w:r>
              <w:rPr>
                <w:spacing w:val="1"/>
                <w:sz w:val="16"/>
              </w:rPr>
              <w:t xml:space="preserve"> </w:t>
            </w:r>
            <w:r>
              <w:rPr>
                <w:sz w:val="16"/>
              </w:rPr>
              <w:t>insolvency</w:t>
            </w:r>
            <w:r>
              <w:rPr>
                <w:spacing w:val="-6"/>
                <w:sz w:val="16"/>
              </w:rPr>
              <w:t xml:space="preserve"> </w:t>
            </w:r>
            <w:r>
              <w:rPr>
                <w:sz w:val="16"/>
              </w:rPr>
              <w:t>judges</w:t>
            </w:r>
            <w:r>
              <w:rPr>
                <w:spacing w:val="-3"/>
                <w:sz w:val="16"/>
              </w:rPr>
              <w:t xml:space="preserve"> </w:t>
            </w:r>
            <w:r>
              <w:rPr>
                <w:sz w:val="16"/>
              </w:rPr>
              <w:t>and</w:t>
            </w:r>
            <w:r>
              <w:rPr>
                <w:spacing w:val="-4"/>
                <w:sz w:val="16"/>
              </w:rPr>
              <w:t xml:space="preserve"> </w:t>
            </w:r>
            <w:r>
              <w:rPr>
                <w:sz w:val="16"/>
              </w:rPr>
              <w:t>training</w:t>
            </w:r>
            <w:r>
              <w:rPr>
                <w:spacing w:val="-4"/>
                <w:sz w:val="16"/>
              </w:rPr>
              <w:t xml:space="preserve"> </w:t>
            </w:r>
            <w:r>
              <w:rPr>
                <w:sz w:val="16"/>
              </w:rPr>
              <w:t>courses</w:t>
            </w:r>
            <w:r>
              <w:rPr>
                <w:spacing w:val="-2"/>
                <w:sz w:val="16"/>
              </w:rPr>
              <w:t xml:space="preserve"> </w:t>
            </w:r>
            <w:r>
              <w:rPr>
                <w:sz w:val="16"/>
              </w:rPr>
              <w:t>for</w:t>
            </w:r>
            <w:r>
              <w:rPr>
                <w:spacing w:val="-37"/>
                <w:sz w:val="16"/>
              </w:rPr>
              <w:t xml:space="preserve"> </w:t>
            </w:r>
            <w:r>
              <w:rPr>
                <w:sz w:val="16"/>
              </w:rPr>
              <w:t>family</w:t>
            </w:r>
            <w:r>
              <w:rPr>
                <w:spacing w:val="-4"/>
                <w:sz w:val="16"/>
              </w:rPr>
              <w:t xml:space="preserve"> </w:t>
            </w:r>
            <w:r>
              <w:rPr>
                <w:sz w:val="16"/>
              </w:rPr>
              <w:t>law</w:t>
            </w:r>
            <w:r>
              <w:rPr>
                <w:spacing w:val="-3"/>
                <w:sz w:val="16"/>
              </w:rPr>
              <w:t xml:space="preserve"> </w:t>
            </w:r>
            <w:r>
              <w:rPr>
                <w:sz w:val="16"/>
              </w:rPr>
              <w:t>judges.</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276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35</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150</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2019.CSR3</w:t>
            </w:r>
          </w:p>
          <w:p w:rsidR="00A56FE9" w:rsidRDefault="00000000">
            <w:pPr>
              <w:pStyle w:val="TableParagraph"/>
              <w:ind w:left="50" w:right="38"/>
              <w:rPr>
                <w:sz w:val="16"/>
              </w:rPr>
            </w:pPr>
            <w:r>
              <w:rPr>
                <w:sz w:val="16"/>
              </w:rPr>
              <w:t>.subpart4,</w:t>
            </w:r>
            <w:r>
              <w:rPr>
                <w:spacing w:val="1"/>
                <w:sz w:val="16"/>
              </w:rPr>
              <w:t xml:space="preserve"> </w:t>
            </w:r>
            <w:r>
              <w:rPr>
                <w:spacing w:val="-1"/>
                <w:sz w:val="16"/>
              </w:rPr>
              <w:t>2020.CSR4</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w:t>
            </w:r>
            <w:r>
              <w:rPr>
                <w:spacing w:val="-1"/>
                <w:sz w:val="16"/>
              </w:rPr>
              <w:t xml:space="preserve"> </w:t>
            </w:r>
            <w:r>
              <w:rPr>
                <w:sz w:val="16"/>
              </w:rPr>
              <w:t>ASSETS</w:t>
            </w:r>
            <w:r>
              <w:rPr>
                <w:spacing w:val="-1"/>
                <w:sz w:val="16"/>
              </w:rPr>
              <w:t xml:space="preserve"> </w:t>
            </w:r>
            <w:r>
              <w:rPr>
                <w:sz w:val="16"/>
              </w:rPr>
              <w:t>-</w:t>
            </w:r>
          </w:p>
          <w:p w:rsidR="00A56FE9" w:rsidRDefault="00000000">
            <w:pPr>
              <w:pStyle w:val="TableParagraph"/>
              <w:ind w:left="50" w:right="246"/>
              <w:rPr>
                <w:sz w:val="16"/>
              </w:rPr>
            </w:pPr>
            <w:r>
              <w:rPr>
                <w:sz w:val="16"/>
              </w:rPr>
              <w:t>C.2.1.R1 Strengthening</w:t>
            </w:r>
            <w:r>
              <w:rPr>
                <w:spacing w:val="-37"/>
                <w:sz w:val="16"/>
              </w:rPr>
              <w:t xml:space="preserve"> </w:t>
            </w:r>
            <w:r>
              <w:rPr>
                <w:sz w:val="16"/>
              </w:rPr>
              <w:t>mechanisms for the</w:t>
            </w:r>
            <w:r>
              <w:rPr>
                <w:spacing w:val="1"/>
                <w:sz w:val="16"/>
              </w:rPr>
              <w:t xml:space="preserve"> </w:t>
            </w:r>
            <w:r>
              <w:rPr>
                <w:sz w:val="16"/>
              </w:rPr>
              <w:t>integration and</w:t>
            </w:r>
            <w:r>
              <w:rPr>
                <w:spacing w:val="1"/>
                <w:sz w:val="16"/>
              </w:rPr>
              <w:t xml:space="preserve"> </w:t>
            </w:r>
            <w:r>
              <w:rPr>
                <w:sz w:val="16"/>
              </w:rPr>
              <w:t>management of public</w:t>
            </w:r>
            <w:r>
              <w:rPr>
                <w:spacing w:val="1"/>
                <w:sz w:val="16"/>
              </w:rPr>
              <w:t xml:space="preserve"> </w:t>
            </w:r>
            <w:r>
              <w:rPr>
                <w:sz w:val="16"/>
              </w:rPr>
              <w:t>policies with the</w:t>
            </w:r>
            <w:r>
              <w:rPr>
                <w:spacing w:val="1"/>
                <w:sz w:val="16"/>
              </w:rPr>
              <w:t xml:space="preserve"> </w:t>
            </w:r>
            <w:r>
              <w:rPr>
                <w:sz w:val="16"/>
              </w:rPr>
              <w:t>professionalisation of</w:t>
            </w:r>
            <w:r>
              <w:rPr>
                <w:spacing w:val="1"/>
                <w:sz w:val="16"/>
              </w:rPr>
              <w:t xml:space="preserve"> </w:t>
            </w:r>
            <w:r>
              <w:rPr>
                <w:sz w:val="16"/>
              </w:rPr>
              <w:t>strategic</w:t>
            </w:r>
            <w:r>
              <w:rPr>
                <w:spacing w:val="-3"/>
                <w:sz w:val="16"/>
              </w:rPr>
              <w:t xml:space="preserve"> </w:t>
            </w:r>
            <w:r>
              <w:rPr>
                <w:sz w:val="16"/>
              </w:rPr>
              <w:t>planning</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68"/>
              <w:rPr>
                <w:sz w:val="16"/>
              </w:rPr>
            </w:pPr>
            <w:r>
              <w:rPr>
                <w:sz w:val="16"/>
              </w:rPr>
              <w:t>Amendments to the Act</w:t>
            </w:r>
            <w:r>
              <w:rPr>
                <w:spacing w:val="-37"/>
                <w:sz w:val="16"/>
              </w:rPr>
              <w:t xml:space="preserve"> </w:t>
            </w:r>
            <w:r>
              <w:rPr>
                <w:sz w:val="16"/>
              </w:rPr>
              <w:t>on the System of</w:t>
            </w:r>
            <w:r>
              <w:rPr>
                <w:spacing w:val="1"/>
                <w:sz w:val="16"/>
              </w:rPr>
              <w:t xml:space="preserve"> </w:t>
            </w:r>
            <w:r>
              <w:rPr>
                <w:sz w:val="16"/>
              </w:rPr>
              <w:t>Strategic Planning and</w:t>
            </w:r>
            <w:r>
              <w:rPr>
                <w:spacing w:val="1"/>
                <w:sz w:val="16"/>
              </w:rPr>
              <w:t xml:space="preserve"> </w:t>
            </w:r>
            <w:r>
              <w:rPr>
                <w:sz w:val="16"/>
              </w:rPr>
              <w:t>Management of</w:t>
            </w:r>
            <w:r>
              <w:rPr>
                <w:spacing w:val="1"/>
                <w:sz w:val="16"/>
              </w:rPr>
              <w:t xml:space="preserve"> </w:t>
            </w:r>
            <w:r>
              <w:rPr>
                <w:sz w:val="16"/>
              </w:rPr>
              <w:t>Development of the</w:t>
            </w:r>
            <w:r>
              <w:rPr>
                <w:spacing w:val="1"/>
                <w:sz w:val="16"/>
              </w:rPr>
              <w:t xml:space="preserve"> </w:t>
            </w:r>
            <w:r>
              <w:rPr>
                <w:sz w:val="16"/>
              </w:rPr>
              <w:t>Republic of Croatia and</w:t>
            </w:r>
            <w:r>
              <w:rPr>
                <w:spacing w:val="-37"/>
                <w:sz w:val="16"/>
              </w:rPr>
              <w:t xml:space="preserve"> </w:t>
            </w:r>
            <w:r>
              <w:rPr>
                <w:sz w:val="16"/>
              </w:rPr>
              <w:t>bylaws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34"/>
              <w:rPr>
                <w:sz w:val="16"/>
              </w:rPr>
            </w:pPr>
            <w:r>
              <w:rPr>
                <w:sz w:val="16"/>
              </w:rPr>
              <w:t>Entry</w:t>
            </w:r>
            <w:r>
              <w:rPr>
                <w:spacing w:val="10"/>
                <w:sz w:val="16"/>
              </w:rPr>
              <w:t xml:space="preserve"> </w:t>
            </w:r>
            <w:r>
              <w:rPr>
                <w:sz w:val="16"/>
              </w:rPr>
              <w:t>into</w:t>
            </w:r>
            <w:r>
              <w:rPr>
                <w:spacing w:val="1"/>
                <w:sz w:val="16"/>
              </w:rPr>
              <w:t xml:space="preserve"> </w:t>
            </w:r>
            <w:r>
              <w:rPr>
                <w:sz w:val="16"/>
              </w:rPr>
              <w:t>force of the act</w:t>
            </w:r>
            <w:r>
              <w:rPr>
                <w:spacing w:val="-37"/>
                <w:sz w:val="16"/>
              </w:rPr>
              <w:t xml:space="preserve"> </w:t>
            </w:r>
            <w:r>
              <w:rPr>
                <w:sz w:val="16"/>
              </w:rPr>
              <w:t>amending the</w:t>
            </w:r>
            <w:r>
              <w:rPr>
                <w:spacing w:val="1"/>
                <w:sz w:val="16"/>
              </w:rPr>
              <w:t xml:space="preserve"> </w:t>
            </w:r>
            <w:r>
              <w:rPr>
                <w:sz w:val="16"/>
              </w:rPr>
              <w:t>Act on the</w:t>
            </w:r>
            <w:r>
              <w:rPr>
                <w:spacing w:val="1"/>
                <w:sz w:val="16"/>
              </w:rPr>
              <w:t xml:space="preserve"> </w:t>
            </w:r>
            <w:r>
              <w:rPr>
                <w:sz w:val="16"/>
              </w:rPr>
              <w:t>System of</w:t>
            </w:r>
            <w:r>
              <w:rPr>
                <w:spacing w:val="1"/>
                <w:sz w:val="16"/>
              </w:rPr>
              <w:t xml:space="preserve"> </w:t>
            </w:r>
            <w:r>
              <w:rPr>
                <w:sz w:val="16"/>
              </w:rPr>
              <w:t>Strategic</w:t>
            </w:r>
            <w:r>
              <w:rPr>
                <w:spacing w:val="1"/>
                <w:sz w:val="16"/>
              </w:rPr>
              <w:t xml:space="preserve"> </w:t>
            </w:r>
            <w:r>
              <w:rPr>
                <w:sz w:val="16"/>
              </w:rPr>
              <w:t>Planning and</w:t>
            </w:r>
            <w:r>
              <w:rPr>
                <w:spacing w:val="1"/>
                <w:sz w:val="16"/>
              </w:rPr>
              <w:t xml:space="preserve"> </w:t>
            </w:r>
            <w:r>
              <w:rPr>
                <w:sz w:val="16"/>
              </w:rPr>
              <w:t>Governance</w:t>
            </w:r>
            <w:r>
              <w:rPr>
                <w:spacing w:val="1"/>
                <w:sz w:val="16"/>
              </w:rPr>
              <w:t xml:space="preserve"> </w:t>
            </w:r>
            <w:r>
              <w:rPr>
                <w:sz w:val="16"/>
              </w:rPr>
              <w:t>for the</w:t>
            </w:r>
            <w:r>
              <w:rPr>
                <w:spacing w:val="1"/>
                <w:sz w:val="16"/>
              </w:rPr>
              <w:t xml:space="preserve"> </w:t>
            </w:r>
            <w:r>
              <w:rPr>
                <w:sz w:val="16"/>
              </w:rPr>
              <w:t>Development</w:t>
            </w:r>
            <w:r>
              <w:rPr>
                <w:spacing w:val="1"/>
                <w:sz w:val="16"/>
              </w:rPr>
              <w:t xml:space="preserve"> </w:t>
            </w:r>
            <w:r>
              <w:rPr>
                <w:sz w:val="16"/>
              </w:rPr>
              <w:t>of</w:t>
            </w:r>
            <w:r>
              <w:rPr>
                <w:spacing w:val="40"/>
                <w:sz w:val="16"/>
              </w:rPr>
              <w:t xml:space="preserve"> </w:t>
            </w:r>
            <w:r>
              <w:rPr>
                <w:sz w:val="16"/>
              </w:rPr>
              <w:t>the</w:t>
            </w:r>
            <w:r>
              <w:rPr>
                <w:spacing w:val="1"/>
                <w:sz w:val="16"/>
              </w:rPr>
              <w:t xml:space="preserve"> </w:t>
            </w:r>
            <w:r>
              <w:rPr>
                <w:sz w:val="16"/>
              </w:rPr>
              <w:t>Republic of</w:t>
            </w:r>
            <w:r>
              <w:rPr>
                <w:spacing w:val="1"/>
                <w:sz w:val="16"/>
              </w:rPr>
              <w:t xml:space="preserve"> </w:t>
            </w:r>
            <w:r>
              <w:rPr>
                <w:sz w:val="16"/>
              </w:rPr>
              <w:t>Croatia and the</w:t>
            </w:r>
            <w:r>
              <w:rPr>
                <w:spacing w:val="-37"/>
                <w:sz w:val="16"/>
              </w:rPr>
              <w:t xml:space="preserve"> </w:t>
            </w:r>
            <w:r>
              <w:rPr>
                <w:sz w:val="16"/>
              </w:rPr>
              <w:t>accompanying</w:t>
            </w:r>
          </w:p>
          <w:p w:rsidR="00A56FE9" w:rsidRDefault="00000000">
            <w:pPr>
              <w:pStyle w:val="TableParagraph"/>
              <w:spacing w:line="168" w:lineRule="exact"/>
              <w:ind w:left="110"/>
              <w:rPr>
                <w:sz w:val="16"/>
              </w:rPr>
            </w:pPr>
            <w:r>
              <w:rPr>
                <w:sz w:val="16"/>
              </w:rPr>
              <w:t>by-laws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MRDEUF</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40"/>
              <w:rPr>
                <w:sz w:val="16"/>
              </w:rPr>
            </w:pPr>
            <w:r>
              <w:rPr>
                <w:sz w:val="16"/>
              </w:rPr>
              <w:t>Amendments to the Act on Strategic Planning</w:t>
            </w:r>
            <w:r>
              <w:rPr>
                <w:spacing w:val="1"/>
                <w:sz w:val="16"/>
              </w:rPr>
              <w:t xml:space="preserve"> </w:t>
            </w:r>
            <w:r>
              <w:rPr>
                <w:sz w:val="16"/>
              </w:rPr>
              <w:t>and Development Management System of the</w:t>
            </w:r>
            <w:r>
              <w:rPr>
                <w:spacing w:val="1"/>
                <w:sz w:val="16"/>
              </w:rPr>
              <w:t xml:space="preserve"> </w:t>
            </w:r>
            <w:r>
              <w:rPr>
                <w:sz w:val="16"/>
              </w:rPr>
              <w:t>Republic</w:t>
            </w:r>
            <w:r>
              <w:rPr>
                <w:spacing w:val="-6"/>
                <w:sz w:val="16"/>
              </w:rPr>
              <w:t xml:space="preserve"> </w:t>
            </w:r>
            <w:r>
              <w:rPr>
                <w:sz w:val="16"/>
              </w:rPr>
              <w:t>of</w:t>
            </w:r>
            <w:r>
              <w:rPr>
                <w:spacing w:val="-5"/>
                <w:sz w:val="16"/>
              </w:rPr>
              <w:t xml:space="preserve"> </w:t>
            </w:r>
            <w:r>
              <w:rPr>
                <w:sz w:val="16"/>
              </w:rPr>
              <w:t>Croatia</w:t>
            </w:r>
            <w:r>
              <w:rPr>
                <w:spacing w:val="-5"/>
                <w:sz w:val="16"/>
              </w:rPr>
              <w:t xml:space="preserve"> </w:t>
            </w:r>
            <w:r>
              <w:rPr>
                <w:sz w:val="16"/>
              </w:rPr>
              <w:t>and</w:t>
            </w:r>
            <w:r>
              <w:rPr>
                <w:spacing w:val="-5"/>
                <w:sz w:val="16"/>
              </w:rPr>
              <w:t xml:space="preserve"> </w:t>
            </w:r>
            <w:r>
              <w:rPr>
                <w:sz w:val="16"/>
              </w:rPr>
              <w:t>accompanying</w:t>
            </w:r>
            <w:r>
              <w:rPr>
                <w:spacing w:val="-5"/>
                <w:sz w:val="16"/>
              </w:rPr>
              <w:t xml:space="preserve"> </w:t>
            </w:r>
            <w:r>
              <w:rPr>
                <w:sz w:val="16"/>
              </w:rPr>
              <w:t>bylaws</w:t>
            </w:r>
            <w:r>
              <w:rPr>
                <w:spacing w:val="-37"/>
                <w:sz w:val="16"/>
              </w:rPr>
              <w:t xml:space="preserve"> </w:t>
            </w:r>
            <w:r>
              <w:rPr>
                <w:sz w:val="16"/>
              </w:rPr>
              <w:t>shall improve the effectiveness of strategic</w:t>
            </w:r>
            <w:r>
              <w:rPr>
                <w:spacing w:val="1"/>
                <w:sz w:val="16"/>
              </w:rPr>
              <w:t xml:space="preserve"> </w:t>
            </w:r>
            <w:r>
              <w:rPr>
                <w:sz w:val="16"/>
              </w:rPr>
              <w:t>planning and the professionalisation of the</w:t>
            </w:r>
            <w:r>
              <w:rPr>
                <w:spacing w:val="1"/>
                <w:sz w:val="16"/>
              </w:rPr>
              <w:t xml:space="preserve"> </w:t>
            </w:r>
            <w:r>
              <w:rPr>
                <w:sz w:val="16"/>
              </w:rPr>
              <w:t>preparation</w:t>
            </w:r>
            <w:r>
              <w:rPr>
                <w:spacing w:val="-1"/>
                <w:sz w:val="16"/>
              </w:rPr>
              <w:t xml:space="preserve"> </w:t>
            </w:r>
            <w:r>
              <w:rPr>
                <w:sz w:val="16"/>
              </w:rPr>
              <w:t>of</w:t>
            </w:r>
            <w:r>
              <w:rPr>
                <w:spacing w:val="-1"/>
                <w:sz w:val="16"/>
              </w:rPr>
              <w:t xml:space="preserve"> </w:t>
            </w:r>
            <w:r>
              <w:rPr>
                <w:sz w:val="16"/>
              </w:rPr>
              <w:t>strategic</w:t>
            </w:r>
            <w:r>
              <w:rPr>
                <w:spacing w:val="-1"/>
                <w:sz w:val="16"/>
              </w:rPr>
              <w:t xml:space="preserve"> </w:t>
            </w:r>
            <w:r>
              <w:rPr>
                <w:sz w:val="16"/>
              </w:rPr>
              <w:t>documents.</w:t>
            </w:r>
            <w:r>
              <w:rPr>
                <w:spacing w:val="1"/>
                <w:sz w:val="16"/>
              </w:rPr>
              <w:t xml:space="preserve"> </w:t>
            </w:r>
            <w:r>
              <w:rPr>
                <w:sz w:val="16"/>
              </w:rPr>
              <w:t>It</w:t>
            </w:r>
            <w:r>
              <w:rPr>
                <w:spacing w:val="6"/>
                <w:sz w:val="16"/>
              </w:rPr>
              <w:t xml:space="preserve"> </w:t>
            </w:r>
            <w:r>
              <w:rPr>
                <w:sz w:val="16"/>
              </w:rPr>
              <w:t>shall</w:t>
            </w:r>
            <w:r>
              <w:rPr>
                <w:spacing w:val="1"/>
                <w:sz w:val="16"/>
              </w:rPr>
              <w:t xml:space="preserve"> </w:t>
            </w:r>
            <w:r>
              <w:rPr>
                <w:sz w:val="16"/>
              </w:rPr>
              <w:t>also include a basis for job descriptions and</w:t>
            </w:r>
            <w:r>
              <w:rPr>
                <w:spacing w:val="1"/>
                <w:sz w:val="16"/>
              </w:rPr>
              <w:t xml:space="preserve"> </w:t>
            </w:r>
            <w:r>
              <w:rPr>
                <w:sz w:val="16"/>
              </w:rPr>
              <w:t>competences of civil servants related to</w:t>
            </w:r>
            <w:r>
              <w:rPr>
                <w:spacing w:val="1"/>
                <w:sz w:val="16"/>
              </w:rPr>
              <w:t xml:space="preserve"> </w:t>
            </w:r>
            <w:r>
              <w:rPr>
                <w:sz w:val="16"/>
              </w:rPr>
              <w:t>strategic</w:t>
            </w:r>
            <w:r>
              <w:rPr>
                <w:spacing w:val="-3"/>
                <w:sz w:val="16"/>
              </w:rPr>
              <w:t xml:space="preserve"> </w:t>
            </w:r>
            <w:r>
              <w:rPr>
                <w:sz w:val="16"/>
              </w:rPr>
              <w:t>planning;</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2,044,000</w:t>
            </w:r>
          </w:p>
        </w:tc>
      </w:tr>
      <w:tr w:rsidR="00A56FE9">
        <w:trPr>
          <w:trHeight w:val="1656"/>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36</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161</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2019.CSR3</w:t>
            </w:r>
          </w:p>
          <w:p w:rsidR="00A56FE9" w:rsidRDefault="00000000">
            <w:pPr>
              <w:pStyle w:val="TableParagraph"/>
              <w:ind w:left="50" w:right="38"/>
              <w:rPr>
                <w:sz w:val="16"/>
              </w:rPr>
            </w:pPr>
            <w:r>
              <w:rPr>
                <w:sz w:val="16"/>
              </w:rPr>
              <w:t>.subpart4,</w:t>
            </w:r>
            <w:r>
              <w:rPr>
                <w:spacing w:val="1"/>
                <w:sz w:val="16"/>
              </w:rPr>
              <w:t xml:space="preserve"> </w:t>
            </w:r>
            <w:r>
              <w:rPr>
                <w:spacing w:val="-1"/>
                <w:sz w:val="16"/>
              </w:rPr>
              <w:t>2020.CSR4</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C2.1.</w:t>
            </w:r>
          </w:p>
          <w:p w:rsidR="00A56FE9" w:rsidRDefault="00000000">
            <w:pPr>
              <w:pStyle w:val="TableParagraph"/>
              <w:ind w:left="50" w:right="167"/>
              <w:rPr>
                <w:sz w:val="16"/>
              </w:rPr>
            </w:pPr>
            <w:r>
              <w:rPr>
                <w:sz w:val="16"/>
              </w:rPr>
              <w:t>R2-I1 Provide assistance</w:t>
            </w:r>
            <w:r>
              <w:rPr>
                <w:spacing w:val="-37"/>
                <w:sz w:val="16"/>
              </w:rPr>
              <w:t xml:space="preserve"> </w:t>
            </w:r>
            <w:r>
              <w:rPr>
                <w:sz w:val="16"/>
              </w:rPr>
              <w:t>to beneficiaries in the</w:t>
            </w:r>
            <w:r>
              <w:rPr>
                <w:spacing w:val="1"/>
                <w:sz w:val="16"/>
              </w:rPr>
              <w:t xml:space="preserve"> </w:t>
            </w:r>
            <w:r>
              <w:rPr>
                <w:sz w:val="16"/>
              </w:rPr>
              <w:t>preparation of technical</w:t>
            </w:r>
            <w:r>
              <w:rPr>
                <w:spacing w:val="1"/>
                <w:sz w:val="16"/>
              </w:rPr>
              <w:t xml:space="preserve"> </w:t>
            </w:r>
            <w:r>
              <w:rPr>
                <w:sz w:val="16"/>
              </w:rPr>
              <w:t>tender</w:t>
            </w:r>
            <w:r>
              <w:rPr>
                <w:spacing w:val="-4"/>
                <w:sz w:val="16"/>
              </w:rPr>
              <w:t xml:space="preserve"> </w:t>
            </w:r>
            <w:r>
              <w:rPr>
                <w:sz w:val="16"/>
              </w:rPr>
              <w:t>project-technical</w:t>
            </w:r>
          </w:p>
          <w:p w:rsidR="00A56FE9" w:rsidRDefault="00000000">
            <w:pPr>
              <w:pStyle w:val="TableParagraph"/>
              <w:spacing w:line="168" w:lineRule="exact"/>
              <w:ind w:left="50"/>
              <w:rPr>
                <w:sz w:val="16"/>
              </w:rPr>
            </w:pPr>
            <w:r>
              <w:rPr>
                <w:sz w:val="16"/>
              </w:rPr>
              <w:t>documentation</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32"/>
              <w:rPr>
                <w:sz w:val="16"/>
              </w:rPr>
            </w:pPr>
            <w:r>
              <w:rPr>
                <w:sz w:val="16"/>
              </w:rPr>
              <w:t>Preparation of project</w:t>
            </w:r>
            <w:r>
              <w:rPr>
                <w:spacing w:val="1"/>
                <w:sz w:val="16"/>
              </w:rPr>
              <w:t xml:space="preserve"> </w:t>
            </w:r>
            <w:r>
              <w:rPr>
                <w:sz w:val="16"/>
              </w:rPr>
              <w:t>technical documentation</w:t>
            </w:r>
            <w:r>
              <w:rPr>
                <w:spacing w:val="-37"/>
                <w:sz w:val="16"/>
              </w:rPr>
              <w:t xml:space="preserve"> </w:t>
            </w:r>
            <w:r>
              <w:rPr>
                <w:sz w:val="16"/>
              </w:rPr>
              <w:t>for green and digital</w:t>
            </w:r>
            <w:r>
              <w:rPr>
                <w:spacing w:val="1"/>
                <w:sz w:val="16"/>
              </w:rPr>
              <w:t xml:space="preserve"> </w:t>
            </w:r>
            <w:r>
              <w:rPr>
                <w:sz w:val="16"/>
              </w:rPr>
              <w:t>transition</w:t>
            </w:r>
            <w:r>
              <w:rPr>
                <w:spacing w:val="-2"/>
                <w:sz w:val="16"/>
              </w:rPr>
              <w:t xml:space="preserve"> </w:t>
            </w:r>
            <w:r>
              <w:rPr>
                <w:sz w:val="16"/>
              </w:rPr>
              <w:t>projects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61" w:right="41"/>
              <w:jc w:val="center"/>
              <w:rPr>
                <w:sz w:val="16"/>
              </w:rPr>
            </w:pPr>
            <w:r>
              <w:rPr>
                <w:sz w:val="16"/>
              </w:rPr>
              <w:t>6,370,6</w:t>
            </w:r>
          </w:p>
          <w:p w:rsidR="00A56FE9" w:rsidRDefault="00000000">
            <w:pPr>
              <w:pStyle w:val="TableParagraph"/>
              <w:spacing w:line="183" w:lineRule="exact"/>
              <w:ind w:left="60" w:right="41"/>
              <w:jc w:val="center"/>
              <w:rPr>
                <w:sz w:val="16"/>
              </w:rPr>
            </w:pPr>
            <w:r>
              <w:rPr>
                <w:sz w:val="16"/>
              </w:rPr>
              <w:t>95</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MRDEUF</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Pr>
                <w:sz w:val="16"/>
              </w:rPr>
            </w:pPr>
            <w:r>
              <w:rPr>
                <w:sz w:val="16"/>
              </w:rPr>
              <w:t>EUR 6,370,695 shall be awarded, through</w:t>
            </w:r>
            <w:r>
              <w:rPr>
                <w:spacing w:val="1"/>
                <w:sz w:val="16"/>
              </w:rPr>
              <w:t xml:space="preserve"> </w:t>
            </w:r>
            <w:r>
              <w:rPr>
                <w:sz w:val="16"/>
              </w:rPr>
              <w:t>decisions</w:t>
            </w:r>
            <w:r>
              <w:rPr>
                <w:spacing w:val="-4"/>
                <w:sz w:val="16"/>
              </w:rPr>
              <w:t xml:space="preserve"> </w:t>
            </w:r>
            <w:r>
              <w:rPr>
                <w:sz w:val="16"/>
              </w:rPr>
              <w:t>on</w:t>
            </w:r>
            <w:r>
              <w:rPr>
                <w:spacing w:val="-2"/>
                <w:sz w:val="16"/>
              </w:rPr>
              <w:t xml:space="preserve"> </w:t>
            </w:r>
            <w:r>
              <w:rPr>
                <w:sz w:val="16"/>
              </w:rPr>
              <w:t>financing</w:t>
            </w:r>
            <w:r>
              <w:rPr>
                <w:spacing w:val="-4"/>
                <w:sz w:val="16"/>
              </w:rPr>
              <w:t xml:space="preserve"> </w:t>
            </w:r>
            <w:r>
              <w:rPr>
                <w:sz w:val="16"/>
              </w:rPr>
              <w:t>for</w:t>
            </w:r>
            <w:r>
              <w:rPr>
                <w:spacing w:val="-5"/>
                <w:sz w:val="16"/>
              </w:rPr>
              <w:t xml:space="preserve"> </w:t>
            </w:r>
            <w:r>
              <w:rPr>
                <w:sz w:val="16"/>
              </w:rPr>
              <w:t>the</w:t>
            </w:r>
            <w:r>
              <w:rPr>
                <w:spacing w:val="-6"/>
                <w:sz w:val="16"/>
              </w:rPr>
              <w:t xml:space="preserve"> </w:t>
            </w:r>
            <w:r>
              <w:rPr>
                <w:sz w:val="16"/>
              </w:rPr>
              <w:t>development</w:t>
            </w:r>
            <w:r>
              <w:rPr>
                <w:spacing w:val="-3"/>
                <w:sz w:val="16"/>
              </w:rPr>
              <w:t xml:space="preserve"> </w:t>
            </w:r>
            <w:r>
              <w:rPr>
                <w:sz w:val="16"/>
              </w:rPr>
              <w:t>of</w:t>
            </w:r>
            <w:r>
              <w:rPr>
                <w:spacing w:val="-37"/>
                <w:sz w:val="16"/>
              </w:rPr>
              <w:t xml:space="preserve"> </w:t>
            </w:r>
            <w:r>
              <w:rPr>
                <w:sz w:val="16"/>
              </w:rPr>
              <w:t>project technical documentation prepared by</w:t>
            </w:r>
            <w:r>
              <w:rPr>
                <w:spacing w:val="1"/>
                <w:sz w:val="16"/>
              </w:rPr>
              <w:t xml:space="preserve"> </w:t>
            </w:r>
            <w:r>
              <w:rPr>
                <w:sz w:val="16"/>
              </w:rPr>
              <w:t>ministries, national agencies and local and</w:t>
            </w:r>
            <w:r>
              <w:rPr>
                <w:spacing w:val="1"/>
                <w:sz w:val="16"/>
              </w:rPr>
              <w:t xml:space="preserve"> </w:t>
            </w:r>
            <w:r>
              <w:rPr>
                <w:sz w:val="16"/>
              </w:rPr>
              <w:t>regional authorities to support the green and</w:t>
            </w:r>
            <w:r>
              <w:rPr>
                <w:spacing w:val="1"/>
                <w:sz w:val="16"/>
              </w:rPr>
              <w:t xml:space="preserve"> </w:t>
            </w:r>
            <w:r>
              <w:rPr>
                <w:sz w:val="16"/>
              </w:rPr>
              <w:t>digital</w:t>
            </w:r>
            <w:r>
              <w:rPr>
                <w:spacing w:val="-2"/>
                <w:sz w:val="16"/>
              </w:rPr>
              <w:t xml:space="preserve"> </w:t>
            </w:r>
            <w:r>
              <w:rPr>
                <w:sz w:val="16"/>
              </w:rPr>
              <w:t>transitions.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2,375,000</w:t>
            </w:r>
          </w:p>
        </w:tc>
      </w:tr>
      <w:tr w:rsidR="00A56FE9">
        <w:trPr>
          <w:trHeight w:val="239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37</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249</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2019.CSR1</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C2.7.</w:t>
            </w:r>
          </w:p>
          <w:p w:rsidR="00A56FE9" w:rsidRDefault="00000000">
            <w:pPr>
              <w:pStyle w:val="TableParagraph"/>
              <w:ind w:left="50" w:right="92"/>
              <w:rPr>
                <w:sz w:val="16"/>
              </w:rPr>
            </w:pPr>
            <w:r>
              <w:rPr>
                <w:sz w:val="16"/>
              </w:rPr>
              <w:t>R2 Development of a</w:t>
            </w:r>
            <w:r>
              <w:rPr>
                <w:spacing w:val="1"/>
                <w:sz w:val="16"/>
              </w:rPr>
              <w:t xml:space="preserve"> </w:t>
            </w:r>
            <w:r>
              <w:rPr>
                <w:sz w:val="16"/>
              </w:rPr>
              <w:t>structural macroeconomic</w:t>
            </w:r>
            <w:r>
              <w:rPr>
                <w:spacing w:val="-37"/>
                <w:sz w:val="16"/>
              </w:rPr>
              <w:t xml:space="preserve"> </w:t>
            </w:r>
            <w:r>
              <w:rPr>
                <w:sz w:val="16"/>
              </w:rPr>
              <w:t>model of the Croatian</w:t>
            </w:r>
            <w:r>
              <w:rPr>
                <w:spacing w:val="1"/>
                <w:sz w:val="16"/>
              </w:rPr>
              <w:t xml:space="preserve"> </w:t>
            </w:r>
            <w:r>
              <w:rPr>
                <w:sz w:val="16"/>
              </w:rPr>
              <w:t>economy</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26"/>
              <w:rPr>
                <w:sz w:val="16"/>
              </w:rPr>
            </w:pPr>
            <w:r>
              <w:rPr>
                <w:sz w:val="16"/>
              </w:rPr>
              <w:t>Development of a</w:t>
            </w:r>
            <w:r>
              <w:rPr>
                <w:spacing w:val="1"/>
                <w:sz w:val="16"/>
              </w:rPr>
              <w:t xml:space="preserve"> </w:t>
            </w:r>
            <w:r>
              <w:rPr>
                <w:sz w:val="16"/>
              </w:rPr>
              <w:t>structural</w:t>
            </w:r>
            <w:r>
              <w:rPr>
                <w:spacing w:val="1"/>
                <w:sz w:val="16"/>
              </w:rPr>
              <w:t xml:space="preserve"> </w:t>
            </w:r>
            <w:r>
              <w:rPr>
                <w:sz w:val="16"/>
              </w:rPr>
              <w:t>macroeconomic model</w:t>
            </w:r>
            <w:r>
              <w:rPr>
                <w:spacing w:val="1"/>
                <w:sz w:val="16"/>
              </w:rPr>
              <w:t xml:space="preserve"> </w:t>
            </w:r>
            <w:r>
              <w:rPr>
                <w:sz w:val="16"/>
              </w:rPr>
              <w:t>of the Croatian economy</w:t>
            </w:r>
            <w:r>
              <w:rPr>
                <w:spacing w:val="-38"/>
                <w:sz w:val="16"/>
              </w:rPr>
              <w:t xml:space="preserve"> </w:t>
            </w:r>
            <w:r>
              <w:rPr>
                <w:sz w:val="16"/>
              </w:rPr>
              <w:t>for producing medium-</w:t>
            </w:r>
            <w:r>
              <w:rPr>
                <w:spacing w:val="1"/>
                <w:sz w:val="16"/>
              </w:rPr>
              <w:t xml:space="preserve"> </w:t>
            </w:r>
            <w:r>
              <w:rPr>
                <w:sz w:val="16"/>
              </w:rPr>
              <w:t>term macroeconomic</w:t>
            </w:r>
            <w:r>
              <w:rPr>
                <w:spacing w:val="1"/>
                <w:sz w:val="16"/>
              </w:rPr>
              <w:t xml:space="preserve"> </w:t>
            </w:r>
            <w:r>
              <w:rPr>
                <w:sz w:val="16"/>
              </w:rPr>
              <w:t>forecasts, budgetary</w:t>
            </w:r>
            <w:r>
              <w:rPr>
                <w:spacing w:val="1"/>
                <w:sz w:val="16"/>
              </w:rPr>
              <w:t xml:space="preserve"> </w:t>
            </w:r>
            <w:r>
              <w:rPr>
                <w:sz w:val="16"/>
              </w:rPr>
              <w:t>planning</w:t>
            </w:r>
          </w:p>
          <w:p w:rsidR="00A56FE9" w:rsidRDefault="00000000">
            <w:pPr>
              <w:pStyle w:val="TableParagraph"/>
              <w:ind w:left="109" w:right="368"/>
              <w:rPr>
                <w:sz w:val="16"/>
              </w:rPr>
            </w:pPr>
            <w:r>
              <w:rPr>
                <w:sz w:val="16"/>
              </w:rPr>
              <w:t>and economic policy</w:t>
            </w:r>
            <w:r>
              <w:rPr>
                <w:spacing w:val="-37"/>
                <w:sz w:val="16"/>
              </w:rPr>
              <w:t xml:space="preserve"> </w:t>
            </w:r>
            <w:r>
              <w:rPr>
                <w:sz w:val="16"/>
              </w:rPr>
              <w:t>analyses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90"/>
              <w:rPr>
                <w:sz w:val="16"/>
              </w:rPr>
            </w:pPr>
            <w:r>
              <w:rPr>
                <w:sz w:val="16"/>
              </w:rPr>
              <w:t>Development</w:t>
            </w:r>
            <w:r>
              <w:rPr>
                <w:spacing w:val="1"/>
                <w:sz w:val="16"/>
              </w:rPr>
              <w:t xml:space="preserve"> </w:t>
            </w:r>
            <w:r>
              <w:rPr>
                <w:sz w:val="16"/>
              </w:rPr>
              <w:t>and putting</w:t>
            </w:r>
            <w:r>
              <w:rPr>
                <w:spacing w:val="1"/>
                <w:sz w:val="16"/>
              </w:rPr>
              <w:t xml:space="preserve"> </w:t>
            </w:r>
            <w:r>
              <w:rPr>
                <w:sz w:val="16"/>
              </w:rPr>
              <w:t>into use of a</w:t>
            </w:r>
            <w:r>
              <w:rPr>
                <w:spacing w:val="1"/>
                <w:sz w:val="16"/>
              </w:rPr>
              <w:t xml:space="preserve"> </w:t>
            </w:r>
            <w:r>
              <w:rPr>
                <w:sz w:val="16"/>
              </w:rPr>
              <w:t>fully</w:t>
            </w:r>
            <w:r>
              <w:rPr>
                <w:spacing w:val="1"/>
                <w:sz w:val="16"/>
              </w:rPr>
              <w:t xml:space="preserve"> </w:t>
            </w:r>
            <w:r>
              <w:rPr>
                <w:sz w:val="16"/>
              </w:rPr>
              <w:t>functional</w:t>
            </w:r>
            <w:r>
              <w:rPr>
                <w:spacing w:val="1"/>
                <w:sz w:val="16"/>
              </w:rPr>
              <w:t xml:space="preserve"> </w:t>
            </w:r>
            <w:r>
              <w:rPr>
                <w:sz w:val="16"/>
              </w:rPr>
              <w:t>structural</w:t>
            </w:r>
            <w:r>
              <w:rPr>
                <w:spacing w:val="1"/>
                <w:sz w:val="16"/>
              </w:rPr>
              <w:t xml:space="preserve"> </w:t>
            </w:r>
            <w:r>
              <w:rPr>
                <w:sz w:val="16"/>
              </w:rPr>
              <w:t>macroeconom</w:t>
            </w:r>
            <w:r>
              <w:rPr>
                <w:spacing w:val="-37"/>
                <w:sz w:val="16"/>
              </w:rPr>
              <w:t xml:space="preserve"> </w:t>
            </w:r>
            <w:r>
              <w:rPr>
                <w:sz w:val="16"/>
              </w:rPr>
              <w:t>ic projection</w:t>
            </w:r>
            <w:r>
              <w:rPr>
                <w:spacing w:val="1"/>
                <w:sz w:val="16"/>
              </w:rPr>
              <w:t xml:space="preserve"> </w:t>
            </w:r>
            <w:r>
              <w:rPr>
                <w:sz w:val="16"/>
              </w:rPr>
              <w:t>model of the</w:t>
            </w:r>
            <w:r>
              <w:rPr>
                <w:spacing w:val="1"/>
                <w:sz w:val="16"/>
              </w:rPr>
              <w:t xml:space="preserve"> </w:t>
            </w:r>
            <w:r>
              <w:rPr>
                <w:sz w:val="16"/>
              </w:rPr>
              <w:t>Croatian</w:t>
            </w:r>
            <w:r>
              <w:rPr>
                <w:spacing w:val="1"/>
                <w:sz w:val="16"/>
              </w:rPr>
              <w:t xml:space="preserve"> </w:t>
            </w:r>
            <w:r>
              <w:rPr>
                <w:sz w:val="16"/>
              </w:rPr>
              <w:t>economy to</w:t>
            </w:r>
            <w:r>
              <w:rPr>
                <w:spacing w:val="1"/>
                <w:sz w:val="16"/>
              </w:rPr>
              <w:t xml:space="preserve"> </w:t>
            </w:r>
            <w:r>
              <w:rPr>
                <w:sz w:val="16"/>
              </w:rPr>
              <w:t>draw</w:t>
            </w:r>
            <w:r>
              <w:rPr>
                <w:spacing w:val="-3"/>
                <w:sz w:val="16"/>
              </w:rPr>
              <w:t xml:space="preserve"> </w:t>
            </w:r>
            <w:r>
              <w:rPr>
                <w:sz w:val="16"/>
              </w:rPr>
              <w:t>up</w:t>
            </w:r>
          </w:p>
          <w:p w:rsidR="00A56FE9" w:rsidRDefault="00000000">
            <w:pPr>
              <w:pStyle w:val="TableParagraph"/>
              <w:spacing w:line="168" w:lineRule="exact"/>
              <w:ind w:left="110"/>
              <w:rPr>
                <w:sz w:val="16"/>
              </w:rPr>
            </w:pPr>
            <w:r>
              <w:rPr>
                <w:sz w:val="16"/>
              </w:rPr>
              <w:t>projections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MF</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Pr>
                <w:sz w:val="16"/>
              </w:rPr>
            </w:pPr>
            <w:r>
              <w:rPr>
                <w:sz w:val="16"/>
              </w:rPr>
              <w:t>A structural macroeconomic model of the</w:t>
            </w:r>
            <w:r>
              <w:rPr>
                <w:spacing w:val="1"/>
                <w:sz w:val="16"/>
              </w:rPr>
              <w:t xml:space="preserve"> </w:t>
            </w:r>
            <w:r>
              <w:rPr>
                <w:sz w:val="16"/>
              </w:rPr>
              <w:t>Croatian economy shall be developed for</w:t>
            </w:r>
            <w:r>
              <w:rPr>
                <w:spacing w:val="1"/>
                <w:sz w:val="16"/>
              </w:rPr>
              <w:t xml:space="preserve"> </w:t>
            </w:r>
            <w:r>
              <w:rPr>
                <w:sz w:val="16"/>
              </w:rPr>
              <w:t>producing medium-term macroeconomic</w:t>
            </w:r>
            <w:r>
              <w:rPr>
                <w:spacing w:val="1"/>
                <w:sz w:val="16"/>
              </w:rPr>
              <w:t xml:space="preserve"> </w:t>
            </w:r>
            <w:r>
              <w:rPr>
                <w:sz w:val="16"/>
              </w:rPr>
              <w:t>forecasts, simulate the effects of economic</w:t>
            </w:r>
            <w:r>
              <w:rPr>
                <w:spacing w:val="1"/>
                <w:sz w:val="16"/>
              </w:rPr>
              <w:t xml:space="preserve"> </w:t>
            </w:r>
            <w:r>
              <w:rPr>
                <w:sz w:val="16"/>
              </w:rPr>
              <w:t>policies and the impact of shocks, and</w:t>
            </w:r>
            <w:r>
              <w:rPr>
                <w:spacing w:val="1"/>
                <w:sz w:val="16"/>
              </w:rPr>
              <w:t xml:space="preserve"> </w:t>
            </w:r>
            <w:r>
              <w:rPr>
                <w:sz w:val="16"/>
              </w:rPr>
              <w:t>ultimately strengthen the capacity of the</w:t>
            </w:r>
            <w:r>
              <w:rPr>
                <w:spacing w:val="1"/>
                <w:sz w:val="16"/>
              </w:rPr>
              <w:t xml:space="preserve"> </w:t>
            </w:r>
            <w:r>
              <w:rPr>
                <w:sz w:val="16"/>
              </w:rPr>
              <w:t>Ministry of Finance for preparing budgetary</w:t>
            </w:r>
            <w:r>
              <w:rPr>
                <w:spacing w:val="1"/>
                <w:sz w:val="16"/>
              </w:rPr>
              <w:t xml:space="preserve"> </w:t>
            </w:r>
            <w:r>
              <w:rPr>
                <w:sz w:val="16"/>
              </w:rPr>
              <w:t>forecasts.</w:t>
            </w:r>
            <w:r>
              <w:rPr>
                <w:spacing w:val="-3"/>
                <w:sz w:val="16"/>
              </w:rPr>
              <w:t xml:space="preserve"> </w:t>
            </w:r>
            <w:r>
              <w:rPr>
                <w:sz w:val="16"/>
              </w:rPr>
              <w:t>The</w:t>
            </w:r>
            <w:r>
              <w:rPr>
                <w:spacing w:val="-4"/>
                <w:sz w:val="16"/>
              </w:rPr>
              <w:t xml:space="preserve"> </w:t>
            </w:r>
            <w:r>
              <w:rPr>
                <w:sz w:val="16"/>
              </w:rPr>
              <w:t>initial</w:t>
            </w:r>
            <w:r>
              <w:rPr>
                <w:spacing w:val="-4"/>
                <w:sz w:val="16"/>
              </w:rPr>
              <w:t xml:space="preserve"> </w:t>
            </w:r>
            <w:r>
              <w:rPr>
                <w:sz w:val="16"/>
              </w:rPr>
              <w:t>model</w:t>
            </w:r>
            <w:r>
              <w:rPr>
                <w:spacing w:val="-4"/>
                <w:sz w:val="16"/>
              </w:rPr>
              <w:t xml:space="preserve"> </w:t>
            </w:r>
            <w:r>
              <w:rPr>
                <w:sz w:val="16"/>
              </w:rPr>
              <w:t>shall</w:t>
            </w:r>
            <w:r>
              <w:rPr>
                <w:spacing w:val="-4"/>
                <w:sz w:val="16"/>
              </w:rPr>
              <w:t xml:space="preserve"> </w:t>
            </w:r>
            <w:r>
              <w:rPr>
                <w:sz w:val="16"/>
              </w:rPr>
              <w:t>be</w:t>
            </w:r>
            <w:r>
              <w:rPr>
                <w:spacing w:val="-5"/>
                <w:sz w:val="16"/>
              </w:rPr>
              <w:t xml:space="preserve"> </w:t>
            </w:r>
            <w:r>
              <w:rPr>
                <w:sz w:val="16"/>
              </w:rPr>
              <w:t>developed</w:t>
            </w:r>
            <w:r>
              <w:rPr>
                <w:spacing w:val="-37"/>
                <w:sz w:val="16"/>
              </w:rPr>
              <w:t xml:space="preserve"> </w:t>
            </w:r>
            <w:r>
              <w:rPr>
                <w:sz w:val="16"/>
              </w:rPr>
              <w:t>by the end of 2021 and shall be fully</w:t>
            </w:r>
            <w:r>
              <w:rPr>
                <w:spacing w:val="1"/>
                <w:sz w:val="16"/>
              </w:rPr>
              <w:t xml:space="preserve"> </w:t>
            </w:r>
            <w:r>
              <w:rPr>
                <w:sz w:val="16"/>
              </w:rPr>
              <w:t>operational by mid-2022, enabling to draw up</w:t>
            </w:r>
            <w:r>
              <w:rPr>
                <w:spacing w:val="1"/>
                <w:sz w:val="16"/>
              </w:rPr>
              <w:t xml:space="preserve"> </w:t>
            </w:r>
            <w:r>
              <w:rPr>
                <w:sz w:val="16"/>
              </w:rPr>
              <w:t>projections underlying the 2023 budget. The</w:t>
            </w:r>
            <w:r>
              <w:rPr>
                <w:spacing w:val="1"/>
                <w:sz w:val="16"/>
              </w:rPr>
              <w:t xml:space="preserve"> </w:t>
            </w:r>
            <w:r>
              <w:rPr>
                <w:sz w:val="16"/>
              </w:rPr>
              <w:t>results</w:t>
            </w:r>
            <w:r>
              <w:rPr>
                <w:spacing w:val="-1"/>
                <w:sz w:val="16"/>
              </w:rPr>
              <w:t xml:space="preserve"> </w:t>
            </w:r>
            <w:r>
              <w:rPr>
                <w:sz w:val="16"/>
              </w:rPr>
              <w:t>of</w:t>
            </w:r>
            <w:r>
              <w:rPr>
                <w:spacing w:val="-2"/>
                <w:sz w:val="16"/>
              </w:rPr>
              <w:t xml:space="preserve"> </w:t>
            </w:r>
            <w:r>
              <w:rPr>
                <w:sz w:val="16"/>
              </w:rPr>
              <w:t>the</w:t>
            </w:r>
            <w:r>
              <w:rPr>
                <w:spacing w:val="-2"/>
                <w:sz w:val="16"/>
              </w:rPr>
              <w:t xml:space="preserve"> </w:t>
            </w:r>
            <w:r>
              <w:rPr>
                <w:sz w:val="16"/>
              </w:rPr>
              <w:t>model</w:t>
            </w:r>
            <w:r>
              <w:rPr>
                <w:spacing w:val="-2"/>
                <w:sz w:val="16"/>
              </w:rPr>
              <w:t xml:space="preserve"> </w:t>
            </w:r>
            <w:r>
              <w:rPr>
                <w:sz w:val="16"/>
              </w:rPr>
              <w:t>shall</w:t>
            </w:r>
            <w:r>
              <w:rPr>
                <w:spacing w:val="-1"/>
                <w:sz w:val="16"/>
              </w:rPr>
              <w:t xml:space="preserve"> </w:t>
            </w:r>
            <w:r>
              <w:rPr>
                <w:sz w:val="16"/>
              </w:rPr>
              <w:t>be</w:t>
            </w:r>
            <w:r>
              <w:rPr>
                <w:spacing w:val="-3"/>
                <w:sz w:val="16"/>
              </w:rPr>
              <w:t xml:space="preserve"> </w:t>
            </w:r>
            <w:r>
              <w:rPr>
                <w:sz w:val="16"/>
              </w:rPr>
              <w:t>used</w:t>
            </w:r>
            <w:r>
              <w:rPr>
                <w:spacing w:val="-1"/>
                <w:sz w:val="16"/>
              </w:rPr>
              <w:t xml:space="preserve"> </w:t>
            </w:r>
            <w:r>
              <w:rPr>
                <w:sz w:val="16"/>
              </w:rPr>
              <w:t>for</w:t>
            </w:r>
            <w:r>
              <w:rPr>
                <w:spacing w:val="-2"/>
                <w:sz w:val="16"/>
              </w:rPr>
              <w:t xml:space="preserve"> </w:t>
            </w:r>
            <w:r>
              <w:rPr>
                <w:sz w:val="16"/>
              </w:rPr>
              <w:t>the</w:t>
            </w:r>
          </w:p>
          <w:p w:rsidR="00A56FE9" w:rsidRDefault="00000000">
            <w:pPr>
              <w:pStyle w:val="TableParagraph"/>
              <w:spacing w:line="168" w:lineRule="exact"/>
              <w:ind w:left="57"/>
              <w:rPr>
                <w:sz w:val="16"/>
              </w:rPr>
            </w:pPr>
            <w:r>
              <w:rPr>
                <w:sz w:val="16"/>
              </w:rPr>
              <w:t>preparation</w:t>
            </w:r>
            <w:r>
              <w:rPr>
                <w:spacing w:val="-5"/>
                <w:sz w:val="16"/>
              </w:rPr>
              <w:t xml:space="preserve"> </w:t>
            </w:r>
            <w:r>
              <w:rPr>
                <w:sz w:val="16"/>
              </w:rPr>
              <w:t>of</w:t>
            </w:r>
            <w:r>
              <w:rPr>
                <w:spacing w:val="-4"/>
                <w:sz w:val="16"/>
              </w:rPr>
              <w:t xml:space="preserve"> </w:t>
            </w:r>
            <w:r>
              <w:rPr>
                <w:sz w:val="16"/>
              </w:rPr>
              <w:t>budgetary</w:t>
            </w:r>
            <w:r>
              <w:rPr>
                <w:spacing w:val="-7"/>
                <w:sz w:val="16"/>
              </w:rPr>
              <w:t xml:space="preserve"> </w:t>
            </w:r>
            <w:r>
              <w:rPr>
                <w:sz w:val="16"/>
              </w:rPr>
              <w:t>documents,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849"/>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10"/>
              <w:rPr>
                <w:sz w:val="16"/>
              </w:rPr>
            </w:pPr>
            <w:r>
              <w:rPr>
                <w:sz w:val="16"/>
              </w:rPr>
              <w:t>underlying</w:t>
            </w:r>
          </w:p>
          <w:p w:rsidR="00A56FE9" w:rsidRDefault="00000000">
            <w:pPr>
              <w:pStyle w:val="TableParagraph"/>
              <w:spacing w:before="1"/>
              <w:ind w:left="110" w:right="345"/>
              <w:rPr>
                <w:sz w:val="16"/>
              </w:rPr>
            </w:pPr>
            <w:r>
              <w:rPr>
                <w:spacing w:val="-1"/>
                <w:sz w:val="16"/>
              </w:rPr>
              <w:t>the annual</w:t>
            </w:r>
            <w:r>
              <w:rPr>
                <w:spacing w:val="-37"/>
                <w:sz w:val="16"/>
              </w:rPr>
              <w:t xml:space="preserve"> </w:t>
            </w:r>
            <w:r>
              <w:rPr>
                <w:sz w:val="16"/>
              </w:rPr>
              <w:t>budget.</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improving</w:t>
            </w:r>
            <w:r>
              <w:rPr>
                <w:spacing w:val="-4"/>
                <w:sz w:val="16"/>
              </w:rPr>
              <w:t xml:space="preserve"> </w:t>
            </w:r>
            <w:r>
              <w:rPr>
                <w:sz w:val="16"/>
              </w:rPr>
              <w:t>the</w:t>
            </w:r>
            <w:r>
              <w:rPr>
                <w:spacing w:val="-4"/>
                <w:sz w:val="16"/>
              </w:rPr>
              <w:t xml:space="preserve"> </w:t>
            </w:r>
            <w:r>
              <w:rPr>
                <w:sz w:val="16"/>
              </w:rPr>
              <w:t>quality</w:t>
            </w:r>
            <w:r>
              <w:rPr>
                <w:spacing w:val="-5"/>
                <w:sz w:val="16"/>
              </w:rPr>
              <w:t xml:space="preserve"> </w:t>
            </w:r>
            <w:r>
              <w:rPr>
                <w:sz w:val="16"/>
              </w:rPr>
              <w:t>of</w:t>
            </w:r>
            <w:r>
              <w:rPr>
                <w:spacing w:val="-3"/>
                <w:sz w:val="16"/>
              </w:rPr>
              <w:t xml:space="preserve"> </w:t>
            </w:r>
            <w:r>
              <w:rPr>
                <w:sz w:val="16"/>
              </w:rPr>
              <w:t>medium-term</w:t>
            </w:r>
          </w:p>
          <w:p w:rsidR="00A56FE9" w:rsidRDefault="00000000">
            <w:pPr>
              <w:pStyle w:val="TableParagraph"/>
              <w:spacing w:before="1"/>
              <w:ind w:left="57" w:right="64"/>
              <w:rPr>
                <w:sz w:val="16"/>
              </w:rPr>
            </w:pPr>
            <w:r>
              <w:rPr>
                <w:sz w:val="16"/>
              </w:rPr>
              <w:t>budgetary forecasts and thus the sustainability</w:t>
            </w:r>
            <w:r>
              <w:rPr>
                <w:spacing w:val="-38"/>
                <w:sz w:val="16"/>
              </w:rPr>
              <w:t xml:space="preserve"> </w:t>
            </w:r>
            <w:r>
              <w:rPr>
                <w:sz w:val="16"/>
              </w:rPr>
              <w:t>of</w:t>
            </w:r>
            <w:r>
              <w:rPr>
                <w:spacing w:val="-2"/>
                <w:sz w:val="16"/>
              </w:rPr>
              <w:t xml:space="preserve"> </w:t>
            </w:r>
            <w:r>
              <w:rPr>
                <w:sz w:val="16"/>
              </w:rPr>
              <w:t>public</w:t>
            </w:r>
            <w:r>
              <w:rPr>
                <w:spacing w:val="1"/>
                <w:sz w:val="16"/>
              </w:rPr>
              <w:t xml:space="preserve"> </w:t>
            </w:r>
            <w:r>
              <w:rPr>
                <w:sz w:val="16"/>
              </w:rPr>
              <w:t>finances.</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776"/>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38</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195</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2019.CSR2</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2020.CSR2</w:t>
            </w:r>
          </w:p>
          <w:p w:rsidR="00A56FE9" w:rsidRDefault="00000000">
            <w:pPr>
              <w:pStyle w:val="TableParagraph"/>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line="183" w:lineRule="exact"/>
              <w:ind w:left="50"/>
              <w:rPr>
                <w:sz w:val="16"/>
              </w:rPr>
            </w:pPr>
            <w:r>
              <w:rPr>
                <w:sz w:val="16"/>
              </w:rPr>
              <w:t>.subpart3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8"/>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2"/>
                <w:sz w:val="16"/>
              </w:rPr>
              <w:t xml:space="preserve"> </w:t>
            </w:r>
            <w:r>
              <w:rPr>
                <w:sz w:val="16"/>
              </w:rPr>
              <w:t>ASSETS</w:t>
            </w:r>
            <w:r>
              <w:rPr>
                <w:spacing w:val="-2"/>
                <w:sz w:val="16"/>
              </w:rPr>
              <w:t xml:space="preserve"> </w:t>
            </w:r>
            <w:r>
              <w:rPr>
                <w:sz w:val="16"/>
              </w:rPr>
              <w:t>-</w:t>
            </w:r>
            <w:r>
              <w:rPr>
                <w:spacing w:val="-2"/>
                <w:sz w:val="16"/>
              </w:rPr>
              <w:t xml:space="preserve"> </w:t>
            </w:r>
            <w:r>
              <w:rPr>
                <w:sz w:val="16"/>
              </w:rPr>
              <w:t>C2.3.</w:t>
            </w:r>
          </w:p>
          <w:p w:rsidR="00A56FE9" w:rsidRDefault="00000000">
            <w:pPr>
              <w:pStyle w:val="TableParagraph"/>
              <w:ind w:left="50" w:right="220"/>
              <w:rPr>
                <w:sz w:val="16"/>
              </w:rPr>
            </w:pPr>
            <w:r>
              <w:rPr>
                <w:sz w:val="16"/>
              </w:rPr>
              <w:t>R3-I12 Digitalisation of</w:t>
            </w:r>
            <w:r>
              <w:rPr>
                <w:spacing w:val="-37"/>
                <w:sz w:val="16"/>
              </w:rPr>
              <w:t xml:space="preserve"> </w:t>
            </w:r>
            <w:r>
              <w:rPr>
                <w:sz w:val="16"/>
              </w:rPr>
              <w:t>the HZMO archives</w:t>
            </w:r>
            <w:r>
              <w:rPr>
                <w:spacing w:val="1"/>
                <w:sz w:val="16"/>
              </w:rPr>
              <w:t xml:space="preserve"> </w:t>
            </w:r>
            <w:r>
              <w:rPr>
                <w:sz w:val="16"/>
              </w:rPr>
              <w:t>(eArhiva)</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274"/>
              <w:rPr>
                <w:sz w:val="16"/>
              </w:rPr>
            </w:pPr>
            <w:r>
              <w:rPr>
                <w:sz w:val="16"/>
              </w:rPr>
              <w:t>Digital archives of the</w:t>
            </w:r>
            <w:r>
              <w:rPr>
                <w:spacing w:val="-37"/>
                <w:sz w:val="16"/>
              </w:rPr>
              <w:t xml:space="preserve"> </w:t>
            </w:r>
            <w:r>
              <w:rPr>
                <w:sz w:val="16"/>
              </w:rPr>
              <w:t>Croatian Pension</w:t>
            </w:r>
            <w:r>
              <w:rPr>
                <w:spacing w:val="1"/>
                <w:sz w:val="16"/>
              </w:rPr>
              <w:t xml:space="preserve"> </w:t>
            </w:r>
            <w:r>
              <w:rPr>
                <w:sz w:val="16"/>
              </w:rPr>
              <w:t>Insurance Institute</w:t>
            </w:r>
            <w:r>
              <w:rPr>
                <w:spacing w:val="1"/>
                <w:sz w:val="16"/>
              </w:rPr>
              <w:t xml:space="preserve"> </w:t>
            </w:r>
            <w:r>
              <w:rPr>
                <w:sz w:val="16"/>
              </w:rPr>
              <w:t>(HZMO)</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10"/>
              <w:rPr>
                <w:sz w:val="16"/>
              </w:rPr>
            </w:pPr>
            <w:r>
              <w:rPr>
                <w:sz w:val="16"/>
              </w:rPr>
              <w:t>HZMO’s</w:t>
            </w:r>
          </w:p>
          <w:p w:rsidR="00A56FE9" w:rsidRDefault="00000000">
            <w:pPr>
              <w:pStyle w:val="TableParagraph"/>
              <w:spacing w:before="1"/>
              <w:ind w:left="110" w:right="179"/>
              <w:rPr>
                <w:sz w:val="16"/>
              </w:rPr>
            </w:pPr>
            <w:r>
              <w:rPr>
                <w:sz w:val="16"/>
              </w:rPr>
              <w:t>handover</w:t>
            </w:r>
            <w:r>
              <w:rPr>
                <w:spacing w:val="1"/>
                <w:sz w:val="16"/>
              </w:rPr>
              <w:t xml:space="preserve"> </w:t>
            </w:r>
            <w:r>
              <w:rPr>
                <w:sz w:val="16"/>
              </w:rPr>
              <w:t>record of the</w:t>
            </w:r>
            <w:r>
              <w:rPr>
                <w:spacing w:val="-37"/>
                <w:sz w:val="16"/>
              </w:rPr>
              <w:t xml:space="preserve"> </w:t>
            </w:r>
            <w:r>
              <w:rPr>
                <w:sz w:val="16"/>
              </w:rPr>
              <w:t>operating</w:t>
            </w:r>
            <w:r>
              <w:rPr>
                <w:spacing w:val="1"/>
                <w:sz w:val="16"/>
              </w:rPr>
              <w:t xml:space="preserve"> </w:t>
            </w:r>
            <w:r>
              <w:rPr>
                <w:sz w:val="16"/>
              </w:rPr>
              <w:t>system for</w:t>
            </w:r>
            <w:r>
              <w:rPr>
                <w:spacing w:val="1"/>
                <w:sz w:val="16"/>
              </w:rPr>
              <w:t xml:space="preserve"> </w:t>
            </w:r>
            <w:r>
              <w:rPr>
                <w:sz w:val="16"/>
              </w:rPr>
              <w:t>managing</w:t>
            </w:r>
            <w:r>
              <w:rPr>
                <w:spacing w:val="1"/>
                <w:sz w:val="16"/>
              </w:rPr>
              <w:t xml:space="preserve"> </w:t>
            </w:r>
            <w:r>
              <w:rPr>
                <w:sz w:val="16"/>
              </w:rPr>
              <w:t>digital</w:t>
            </w:r>
            <w:r>
              <w:rPr>
                <w:spacing w:val="1"/>
                <w:sz w:val="16"/>
              </w:rPr>
              <w:t xml:space="preserve"> </w:t>
            </w:r>
            <w:r>
              <w:rPr>
                <w:sz w:val="16"/>
              </w:rPr>
              <w:t>archives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MLPSFSP</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121"/>
              <w:rPr>
                <w:sz w:val="16"/>
              </w:rPr>
            </w:pPr>
            <w:r>
              <w:rPr>
                <w:sz w:val="16"/>
              </w:rPr>
              <w:t>The system for managing digital archives</w:t>
            </w:r>
            <w:r>
              <w:rPr>
                <w:spacing w:val="1"/>
                <w:sz w:val="16"/>
              </w:rPr>
              <w:t xml:space="preserve"> </w:t>
            </w:r>
            <w:r>
              <w:rPr>
                <w:sz w:val="16"/>
              </w:rPr>
              <w:t>(Digital Archives Management System) shall</w:t>
            </w:r>
            <w:r>
              <w:rPr>
                <w:spacing w:val="-37"/>
                <w:sz w:val="16"/>
              </w:rPr>
              <w:t xml:space="preserve"> </w:t>
            </w:r>
            <w:r>
              <w:rPr>
                <w:sz w:val="16"/>
              </w:rPr>
              <w:t>be</w:t>
            </w:r>
            <w:r>
              <w:rPr>
                <w:spacing w:val="-3"/>
                <w:sz w:val="16"/>
              </w:rPr>
              <w:t xml:space="preserve"> </w:t>
            </w:r>
            <w:r>
              <w:rPr>
                <w:sz w:val="16"/>
              </w:rPr>
              <w:t>operational</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23,140,000</w:t>
            </w:r>
          </w:p>
        </w:tc>
      </w:tr>
      <w:tr w:rsidR="00A56FE9">
        <w:trPr>
          <w:trHeight w:val="165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39</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202</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2020.CSR3</w:t>
            </w:r>
          </w:p>
          <w:p w:rsidR="00A56FE9" w:rsidRDefault="00000000">
            <w:pPr>
              <w:pStyle w:val="TableParagraph"/>
              <w:spacing w:before="1"/>
              <w:ind w:left="50"/>
              <w:rPr>
                <w:sz w:val="16"/>
              </w:rPr>
            </w:pPr>
            <w:r>
              <w:rPr>
                <w:sz w:val="16"/>
              </w:rPr>
              <w:t>.subpart9</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C2.3.</w:t>
            </w:r>
          </w:p>
          <w:p w:rsidR="00A56FE9" w:rsidRDefault="00000000">
            <w:pPr>
              <w:pStyle w:val="TableParagraph"/>
              <w:ind w:left="50" w:right="154"/>
              <w:rPr>
                <w:sz w:val="16"/>
              </w:rPr>
            </w:pPr>
            <w:r>
              <w:rPr>
                <w:sz w:val="16"/>
              </w:rPr>
              <w:t>R4 – Strengthening</w:t>
            </w:r>
            <w:r>
              <w:rPr>
                <w:spacing w:val="1"/>
                <w:sz w:val="16"/>
              </w:rPr>
              <w:t xml:space="preserve"> </w:t>
            </w:r>
            <w:r>
              <w:rPr>
                <w:sz w:val="16"/>
              </w:rPr>
              <w:t>connectivity as a</w:t>
            </w:r>
            <w:r>
              <w:rPr>
                <w:spacing w:val="1"/>
                <w:sz w:val="16"/>
              </w:rPr>
              <w:t xml:space="preserve"> </w:t>
            </w:r>
            <w:r>
              <w:rPr>
                <w:sz w:val="16"/>
              </w:rPr>
              <w:t>cornerstone of the digital</w:t>
            </w:r>
            <w:r>
              <w:rPr>
                <w:spacing w:val="-37"/>
                <w:sz w:val="16"/>
              </w:rPr>
              <w:t xml:space="preserve"> </w:t>
            </w:r>
            <w:r>
              <w:rPr>
                <w:sz w:val="16"/>
              </w:rPr>
              <w:t>transition</w:t>
            </w:r>
            <w:r>
              <w:rPr>
                <w:spacing w:val="-2"/>
                <w:sz w:val="16"/>
              </w:rPr>
              <w:t xml:space="preserve"> </w:t>
            </w:r>
            <w:r>
              <w:rPr>
                <w:sz w:val="16"/>
              </w:rPr>
              <w:t>of</w:t>
            </w:r>
            <w:r>
              <w:rPr>
                <w:spacing w:val="-3"/>
                <w:sz w:val="16"/>
              </w:rPr>
              <w:t xml:space="preserve"> </w:t>
            </w:r>
            <w:r>
              <w:rPr>
                <w:sz w:val="16"/>
              </w:rPr>
              <w:t>society</w:t>
            </w:r>
            <w:r>
              <w:rPr>
                <w:spacing w:val="-5"/>
                <w:sz w:val="16"/>
              </w:rPr>
              <w:t xml:space="preserve"> </w:t>
            </w:r>
            <w:r>
              <w:rPr>
                <w:sz w:val="16"/>
              </w:rPr>
              <w:t>and</w:t>
            </w:r>
          </w:p>
          <w:p w:rsidR="00A56FE9" w:rsidRDefault="00000000">
            <w:pPr>
              <w:pStyle w:val="TableParagraph"/>
              <w:spacing w:line="168" w:lineRule="exact"/>
              <w:ind w:left="50"/>
              <w:rPr>
                <w:sz w:val="16"/>
              </w:rPr>
            </w:pPr>
            <w:r>
              <w:rPr>
                <w:sz w:val="16"/>
              </w:rPr>
              <w:t>the</w:t>
            </w:r>
            <w:r>
              <w:rPr>
                <w:spacing w:val="-3"/>
                <w:sz w:val="16"/>
              </w:rPr>
              <w:t xml:space="preserve"> </w:t>
            </w:r>
            <w:r>
              <w:rPr>
                <w:sz w:val="16"/>
              </w:rPr>
              <w:t>economy</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90"/>
              <w:rPr>
                <w:sz w:val="16"/>
              </w:rPr>
            </w:pPr>
            <w:r>
              <w:rPr>
                <w:sz w:val="16"/>
              </w:rPr>
              <w:t>Optimisation of the</w:t>
            </w:r>
            <w:r>
              <w:rPr>
                <w:spacing w:val="1"/>
                <w:sz w:val="16"/>
              </w:rPr>
              <w:t xml:space="preserve"> </w:t>
            </w:r>
            <w:r>
              <w:rPr>
                <w:sz w:val="16"/>
              </w:rPr>
              <w:t>permit granting process</w:t>
            </w:r>
            <w:r>
              <w:rPr>
                <w:spacing w:val="-37"/>
                <w:sz w:val="16"/>
              </w:rPr>
              <w:t xml:space="preserve"> </w:t>
            </w:r>
            <w:r>
              <w:rPr>
                <w:sz w:val="16"/>
              </w:rPr>
              <w:t>for connectivity</w:t>
            </w:r>
            <w:r>
              <w:rPr>
                <w:spacing w:val="1"/>
                <w:sz w:val="16"/>
              </w:rPr>
              <w:t xml:space="preserve"> </w:t>
            </w:r>
            <w:r>
              <w:rPr>
                <w:sz w:val="16"/>
              </w:rPr>
              <w:t>investments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92"/>
              <w:rPr>
                <w:sz w:val="16"/>
              </w:rPr>
            </w:pPr>
            <w:r>
              <w:rPr>
                <w:sz w:val="16"/>
              </w:rPr>
              <w:t>Entry into</w:t>
            </w:r>
            <w:r>
              <w:rPr>
                <w:spacing w:val="1"/>
                <w:sz w:val="16"/>
              </w:rPr>
              <w:t xml:space="preserve"> </w:t>
            </w:r>
            <w:r>
              <w:rPr>
                <w:sz w:val="16"/>
              </w:rPr>
              <w:t>force of a</w:t>
            </w:r>
            <w:r>
              <w:rPr>
                <w:spacing w:val="1"/>
                <w:sz w:val="16"/>
              </w:rPr>
              <w:t xml:space="preserve"> </w:t>
            </w:r>
            <w:r>
              <w:rPr>
                <w:spacing w:val="-1"/>
                <w:sz w:val="16"/>
              </w:rPr>
              <w:t xml:space="preserve">revised </w:t>
            </w:r>
            <w:r>
              <w:rPr>
                <w:sz w:val="16"/>
              </w:rPr>
              <w:t>legal</w:t>
            </w:r>
            <w:r>
              <w:rPr>
                <w:spacing w:val="-37"/>
                <w:sz w:val="16"/>
              </w:rPr>
              <w:t xml:space="preserve"> </w:t>
            </w:r>
            <w:r>
              <w:rPr>
                <w:sz w:val="16"/>
              </w:rPr>
              <w:t>framework</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MPPCDA</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82"/>
              <w:rPr>
                <w:sz w:val="16"/>
              </w:rPr>
            </w:pPr>
            <w:r>
              <w:rPr>
                <w:sz w:val="16"/>
              </w:rPr>
              <w:t>A revised legal framework shall support the</w:t>
            </w:r>
            <w:r>
              <w:rPr>
                <w:spacing w:val="1"/>
                <w:sz w:val="16"/>
              </w:rPr>
              <w:t xml:space="preserve"> </w:t>
            </w:r>
            <w:r>
              <w:rPr>
                <w:sz w:val="16"/>
              </w:rPr>
              <w:t>optimisation of the licensing process and</w:t>
            </w:r>
            <w:r>
              <w:rPr>
                <w:spacing w:val="1"/>
                <w:sz w:val="16"/>
              </w:rPr>
              <w:t xml:space="preserve"> </w:t>
            </w:r>
            <w:r>
              <w:rPr>
                <w:sz w:val="16"/>
              </w:rPr>
              <w:t>allow the presentation of the electronic</w:t>
            </w:r>
            <w:r>
              <w:rPr>
                <w:spacing w:val="1"/>
                <w:sz w:val="16"/>
              </w:rPr>
              <w:t xml:space="preserve"> </w:t>
            </w:r>
            <w:r>
              <w:rPr>
                <w:sz w:val="16"/>
              </w:rPr>
              <w:t>communication infrastructure in spatial plans.</w:t>
            </w:r>
            <w:r>
              <w:rPr>
                <w:spacing w:val="-38"/>
                <w:sz w:val="16"/>
              </w:rPr>
              <w:t xml:space="preserve"> </w:t>
            </w:r>
            <w:r>
              <w:rPr>
                <w:sz w:val="16"/>
              </w:rPr>
              <w:t>The new framework shall address</w:t>
            </w:r>
            <w:r>
              <w:rPr>
                <w:spacing w:val="1"/>
                <w:sz w:val="16"/>
              </w:rPr>
              <w:t xml:space="preserve"> </w:t>
            </w:r>
            <w:r>
              <w:rPr>
                <w:sz w:val="16"/>
              </w:rPr>
              <w:t>administrative burden and regulatory barriers</w:t>
            </w:r>
            <w:r>
              <w:rPr>
                <w:spacing w:val="1"/>
                <w:sz w:val="16"/>
              </w:rPr>
              <w:t xml:space="preserve"> </w:t>
            </w:r>
            <w:r>
              <w:rPr>
                <w:sz w:val="16"/>
              </w:rPr>
              <w:t>related to the construction of very high</w:t>
            </w:r>
            <w:r>
              <w:rPr>
                <w:spacing w:val="1"/>
                <w:sz w:val="16"/>
              </w:rPr>
              <w:t xml:space="preserve"> </w:t>
            </w:r>
            <w:r>
              <w:rPr>
                <w:sz w:val="16"/>
              </w:rPr>
              <w:t>capacity</w:t>
            </w:r>
            <w:r>
              <w:rPr>
                <w:spacing w:val="-5"/>
                <w:sz w:val="16"/>
              </w:rPr>
              <w:t xml:space="preserve"> </w:t>
            </w:r>
            <w:r>
              <w:rPr>
                <w:sz w:val="16"/>
              </w:rPr>
              <w:t>networks, including</w:t>
            </w:r>
            <w:r>
              <w:rPr>
                <w:spacing w:val="-4"/>
                <w:sz w:val="16"/>
              </w:rPr>
              <w:t xml:space="preserve"> </w:t>
            </w:r>
            <w:r>
              <w:rPr>
                <w:sz w:val="16"/>
              </w:rPr>
              <w:t>5G</w:t>
            </w:r>
            <w:r>
              <w:rPr>
                <w:spacing w:val="-5"/>
                <w:sz w:val="16"/>
              </w:rPr>
              <w:t xml:space="preserve"> </w:t>
            </w:r>
            <w:r>
              <w:rPr>
                <w:sz w:val="16"/>
              </w:rPr>
              <w:t>networks.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2,200,000</w:t>
            </w:r>
          </w:p>
        </w:tc>
      </w:tr>
      <w:tr w:rsidR="00A56FE9">
        <w:trPr>
          <w:trHeight w:val="220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right="115"/>
              <w:jc w:val="right"/>
              <w:rPr>
                <w:sz w:val="16"/>
              </w:rPr>
            </w:pPr>
            <w:r>
              <w:rPr>
                <w:sz w:val="16"/>
              </w:rPr>
              <w:t>40</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right="83"/>
              <w:jc w:val="right"/>
              <w:rPr>
                <w:sz w:val="16"/>
              </w:rPr>
            </w:pPr>
            <w:r>
              <w:rPr>
                <w:sz w:val="16"/>
              </w:rPr>
              <w:t>176</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2020.CSR2</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2020.CSR4</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C2.3.</w:t>
            </w:r>
          </w:p>
          <w:p w:rsidR="00A56FE9" w:rsidRDefault="00000000">
            <w:pPr>
              <w:pStyle w:val="TableParagraph"/>
              <w:ind w:left="50" w:right="59"/>
              <w:rPr>
                <w:sz w:val="16"/>
              </w:rPr>
            </w:pPr>
            <w:r>
              <w:rPr>
                <w:sz w:val="16"/>
              </w:rPr>
              <w:t>R1</w:t>
            </w:r>
            <w:r>
              <w:rPr>
                <w:spacing w:val="1"/>
                <w:sz w:val="16"/>
              </w:rPr>
              <w:t xml:space="preserve"> </w:t>
            </w:r>
            <w:r>
              <w:rPr>
                <w:sz w:val="16"/>
              </w:rPr>
              <w:t>Digital</w:t>
            </w:r>
            <w:r>
              <w:rPr>
                <w:spacing w:val="2"/>
                <w:sz w:val="16"/>
              </w:rPr>
              <w:t xml:space="preserve"> </w:t>
            </w:r>
            <w:r>
              <w:rPr>
                <w:sz w:val="16"/>
              </w:rPr>
              <w:t>Croatia</w:t>
            </w:r>
            <w:r>
              <w:rPr>
                <w:spacing w:val="1"/>
                <w:sz w:val="16"/>
              </w:rPr>
              <w:t xml:space="preserve"> </w:t>
            </w:r>
            <w:r>
              <w:rPr>
                <w:sz w:val="16"/>
              </w:rPr>
              <w:t>Strategy and strengthening</w:t>
            </w:r>
            <w:r>
              <w:rPr>
                <w:spacing w:val="-37"/>
                <w:sz w:val="16"/>
              </w:rPr>
              <w:t xml:space="preserve"> </w:t>
            </w:r>
            <w:r>
              <w:rPr>
                <w:sz w:val="16"/>
              </w:rPr>
              <w:t>inter-institutional</w:t>
            </w:r>
            <w:r>
              <w:rPr>
                <w:spacing w:val="1"/>
                <w:sz w:val="16"/>
              </w:rPr>
              <w:t xml:space="preserve"> </w:t>
            </w:r>
            <w:r>
              <w:rPr>
                <w:sz w:val="16"/>
              </w:rPr>
              <w:t>cooperation and</w:t>
            </w:r>
            <w:r>
              <w:rPr>
                <w:spacing w:val="1"/>
                <w:sz w:val="16"/>
              </w:rPr>
              <w:t xml:space="preserve"> </w:t>
            </w:r>
            <w:r>
              <w:rPr>
                <w:sz w:val="16"/>
              </w:rPr>
              <w:t>coordination for a</w:t>
            </w:r>
            <w:r>
              <w:rPr>
                <w:spacing w:val="1"/>
                <w:sz w:val="16"/>
              </w:rPr>
              <w:t xml:space="preserve"> </w:t>
            </w:r>
            <w:r>
              <w:rPr>
                <w:sz w:val="16"/>
              </w:rPr>
              <w:t>successful</w:t>
            </w:r>
            <w:r>
              <w:rPr>
                <w:spacing w:val="8"/>
                <w:sz w:val="16"/>
              </w:rPr>
              <w:t xml:space="preserve"> </w:t>
            </w:r>
            <w:r>
              <w:rPr>
                <w:sz w:val="16"/>
              </w:rPr>
              <w:t>digital</w:t>
            </w:r>
            <w:r>
              <w:rPr>
                <w:spacing w:val="1"/>
                <w:sz w:val="16"/>
              </w:rPr>
              <w:t xml:space="preserve"> </w:t>
            </w:r>
            <w:r>
              <w:rPr>
                <w:sz w:val="16"/>
              </w:rPr>
              <w:t>transition</w:t>
            </w:r>
            <w:r>
              <w:rPr>
                <w:spacing w:val="-1"/>
                <w:sz w:val="16"/>
              </w:rPr>
              <w:t xml:space="preserve"> </w:t>
            </w:r>
            <w:r>
              <w:rPr>
                <w:sz w:val="16"/>
              </w:rPr>
              <w:t>of</w:t>
            </w:r>
            <w:r>
              <w:rPr>
                <w:spacing w:val="-2"/>
                <w:sz w:val="16"/>
              </w:rPr>
              <w:t xml:space="preserve"> </w:t>
            </w:r>
            <w:r>
              <w:rPr>
                <w:sz w:val="16"/>
              </w:rPr>
              <w:t>society</w:t>
            </w:r>
            <w:r>
              <w:rPr>
                <w:spacing w:val="-5"/>
                <w:sz w:val="16"/>
              </w:rPr>
              <w:t xml:space="preserve"> </w:t>
            </w:r>
            <w:r>
              <w:rPr>
                <w:sz w:val="16"/>
              </w:rPr>
              <w:t>and</w:t>
            </w:r>
          </w:p>
          <w:p w:rsidR="00A56FE9" w:rsidRDefault="00000000">
            <w:pPr>
              <w:pStyle w:val="TableParagraph"/>
              <w:spacing w:line="168" w:lineRule="exact"/>
              <w:ind w:left="50"/>
              <w:rPr>
                <w:sz w:val="16"/>
              </w:rPr>
            </w:pPr>
            <w:r>
              <w:rPr>
                <w:sz w:val="16"/>
              </w:rPr>
              <w:t>the</w:t>
            </w:r>
            <w:r>
              <w:rPr>
                <w:spacing w:val="-3"/>
                <w:sz w:val="16"/>
              </w:rPr>
              <w:t xml:space="preserve"> </w:t>
            </w:r>
            <w:r>
              <w:rPr>
                <w:sz w:val="16"/>
              </w:rPr>
              <w:t>economy</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09"/>
              <w:rPr>
                <w:sz w:val="16"/>
              </w:rPr>
            </w:pPr>
            <w:r>
              <w:rPr>
                <w:sz w:val="16"/>
              </w:rPr>
              <w:t>Digital</w:t>
            </w:r>
            <w:r>
              <w:rPr>
                <w:spacing w:val="-6"/>
                <w:sz w:val="16"/>
              </w:rPr>
              <w:t xml:space="preserve"> </w:t>
            </w:r>
            <w:r>
              <w:rPr>
                <w:sz w:val="16"/>
              </w:rPr>
              <w:t>Croatia</w:t>
            </w:r>
            <w:r>
              <w:rPr>
                <w:spacing w:val="-2"/>
                <w:sz w:val="16"/>
              </w:rPr>
              <w:t xml:space="preserve"> </w:t>
            </w:r>
            <w:r>
              <w:rPr>
                <w:sz w:val="16"/>
              </w:rPr>
              <w:t>Strategy</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259"/>
              <w:rPr>
                <w:sz w:val="16"/>
              </w:rPr>
            </w:pPr>
            <w:r>
              <w:rPr>
                <w:sz w:val="16"/>
              </w:rPr>
              <w:t>Entry into</w:t>
            </w:r>
            <w:r>
              <w:rPr>
                <w:spacing w:val="1"/>
                <w:sz w:val="16"/>
              </w:rPr>
              <w:t xml:space="preserve"> </w:t>
            </w:r>
            <w:r>
              <w:rPr>
                <w:sz w:val="16"/>
              </w:rPr>
              <w:t>force of the</w:t>
            </w:r>
            <w:r>
              <w:rPr>
                <w:spacing w:val="-37"/>
                <w:sz w:val="16"/>
              </w:rPr>
              <w:t xml:space="preserve"> </w:t>
            </w:r>
            <w:r>
              <w:rPr>
                <w:sz w:val="16"/>
              </w:rPr>
              <w:t>Digital</w:t>
            </w:r>
            <w:r>
              <w:rPr>
                <w:spacing w:val="1"/>
                <w:sz w:val="16"/>
              </w:rPr>
              <w:t xml:space="preserve"> </w:t>
            </w:r>
            <w:r>
              <w:rPr>
                <w:sz w:val="16"/>
              </w:rPr>
              <w:t>Croatia</w:t>
            </w:r>
            <w:r>
              <w:rPr>
                <w:spacing w:val="1"/>
                <w:sz w:val="16"/>
              </w:rPr>
              <w:t xml:space="preserve"> </w:t>
            </w:r>
            <w:r>
              <w:rPr>
                <w:sz w:val="16"/>
              </w:rPr>
              <w:t>Strategy</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7"/>
              <w:rPr>
                <w:sz w:val="16"/>
              </w:rPr>
            </w:pPr>
            <w:r>
              <w:rPr>
                <w:sz w:val="16"/>
              </w:rPr>
              <w:t>CSODDS</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60"/>
              <w:rPr>
                <w:sz w:val="16"/>
              </w:rPr>
            </w:pPr>
            <w:r>
              <w:rPr>
                <w:sz w:val="16"/>
              </w:rPr>
              <w:t>The 2030 Digital Strategy for Croatia shall</w:t>
            </w:r>
            <w:r>
              <w:rPr>
                <w:spacing w:val="1"/>
                <w:sz w:val="16"/>
              </w:rPr>
              <w:t xml:space="preserve"> </w:t>
            </w:r>
            <w:r>
              <w:rPr>
                <w:sz w:val="16"/>
              </w:rPr>
              <w:t>clearly define strategic objectives and</w:t>
            </w:r>
            <w:r>
              <w:rPr>
                <w:spacing w:val="1"/>
                <w:sz w:val="16"/>
              </w:rPr>
              <w:t xml:space="preserve"> </w:t>
            </w:r>
            <w:r>
              <w:rPr>
                <w:sz w:val="16"/>
              </w:rPr>
              <w:t>priorities that will form the basis for defining</w:t>
            </w:r>
            <w:r>
              <w:rPr>
                <w:spacing w:val="1"/>
                <w:sz w:val="16"/>
              </w:rPr>
              <w:t xml:space="preserve"> </w:t>
            </w:r>
            <w:r>
              <w:rPr>
                <w:sz w:val="16"/>
              </w:rPr>
              <w:t>actions</w:t>
            </w:r>
            <w:r>
              <w:rPr>
                <w:spacing w:val="-6"/>
                <w:sz w:val="16"/>
              </w:rPr>
              <w:t xml:space="preserve"> </w:t>
            </w:r>
            <w:r>
              <w:rPr>
                <w:sz w:val="16"/>
              </w:rPr>
              <w:t>in</w:t>
            </w:r>
            <w:r>
              <w:rPr>
                <w:spacing w:val="-2"/>
                <w:sz w:val="16"/>
              </w:rPr>
              <w:t xml:space="preserve"> </w:t>
            </w:r>
            <w:r>
              <w:rPr>
                <w:sz w:val="16"/>
              </w:rPr>
              <w:t>the</w:t>
            </w:r>
            <w:r>
              <w:rPr>
                <w:spacing w:val="-5"/>
                <w:sz w:val="16"/>
              </w:rPr>
              <w:t xml:space="preserve"> </w:t>
            </w:r>
            <w:r>
              <w:rPr>
                <w:sz w:val="16"/>
              </w:rPr>
              <w:t>following</w:t>
            </w:r>
            <w:r>
              <w:rPr>
                <w:spacing w:val="-4"/>
                <w:sz w:val="16"/>
              </w:rPr>
              <w:t xml:space="preserve"> </w:t>
            </w:r>
            <w:r>
              <w:rPr>
                <w:sz w:val="16"/>
              </w:rPr>
              <w:t>areas:</w:t>
            </w:r>
            <w:r>
              <w:rPr>
                <w:spacing w:val="-4"/>
                <w:sz w:val="16"/>
              </w:rPr>
              <w:t xml:space="preserve"> </w:t>
            </w:r>
            <w:r>
              <w:rPr>
                <w:sz w:val="16"/>
              </w:rPr>
              <w:t>digitalisation</w:t>
            </w:r>
            <w:r>
              <w:rPr>
                <w:spacing w:val="-3"/>
                <w:sz w:val="16"/>
              </w:rPr>
              <w:t xml:space="preserve"> </w:t>
            </w:r>
            <w:r>
              <w:rPr>
                <w:sz w:val="16"/>
              </w:rPr>
              <w:t>of</w:t>
            </w:r>
            <w:r>
              <w:rPr>
                <w:spacing w:val="-37"/>
                <w:sz w:val="16"/>
              </w:rPr>
              <w:t xml:space="preserve"> </w:t>
            </w:r>
            <w:r>
              <w:rPr>
                <w:sz w:val="16"/>
              </w:rPr>
              <w:t>public administration and judiciary;</w:t>
            </w:r>
            <w:r>
              <w:rPr>
                <w:spacing w:val="1"/>
                <w:sz w:val="16"/>
              </w:rPr>
              <w:t xml:space="preserve"> </w:t>
            </w:r>
            <w:r>
              <w:rPr>
                <w:sz w:val="16"/>
              </w:rPr>
              <w:t>development of broadband electronic</w:t>
            </w:r>
            <w:r>
              <w:rPr>
                <w:spacing w:val="1"/>
                <w:sz w:val="16"/>
              </w:rPr>
              <w:t xml:space="preserve"> </w:t>
            </w:r>
            <w:r>
              <w:rPr>
                <w:sz w:val="16"/>
              </w:rPr>
              <w:t>communications networks; developing digital</w:t>
            </w:r>
            <w:r>
              <w:rPr>
                <w:spacing w:val="1"/>
                <w:sz w:val="16"/>
              </w:rPr>
              <w:t xml:space="preserve"> </w:t>
            </w:r>
            <w:r>
              <w:rPr>
                <w:sz w:val="16"/>
              </w:rPr>
              <w:t>competences</w:t>
            </w:r>
            <w:r>
              <w:rPr>
                <w:spacing w:val="-1"/>
                <w:sz w:val="16"/>
              </w:rPr>
              <w:t xml:space="preserve"> </w:t>
            </w:r>
            <w:r>
              <w:rPr>
                <w:sz w:val="16"/>
              </w:rPr>
              <w:t>and</w:t>
            </w:r>
            <w:r>
              <w:rPr>
                <w:spacing w:val="-1"/>
                <w:sz w:val="16"/>
              </w:rPr>
              <w:t xml:space="preserve"> </w:t>
            </w:r>
            <w:r>
              <w:rPr>
                <w:sz w:val="16"/>
              </w:rPr>
              <w:t>digital</w:t>
            </w:r>
            <w:r>
              <w:rPr>
                <w:spacing w:val="-3"/>
                <w:sz w:val="16"/>
              </w:rPr>
              <w:t xml:space="preserve"> </w:t>
            </w:r>
            <w:r>
              <w:rPr>
                <w:sz w:val="16"/>
              </w:rPr>
              <w:t>jobs.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right="90"/>
              <w:jc w:val="right"/>
              <w:rPr>
                <w:sz w:val="16"/>
              </w:rPr>
            </w:pPr>
            <w:r>
              <w:rPr>
                <w:sz w:val="16"/>
              </w:rPr>
              <w:t>690,710</w:t>
            </w:r>
          </w:p>
        </w:tc>
      </w:tr>
      <w:tr w:rsidR="00A56FE9">
        <w:trPr>
          <w:trHeight w:val="147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41</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177</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2020.CSR2</w:t>
            </w:r>
          </w:p>
          <w:p w:rsidR="00A56FE9" w:rsidRDefault="00000000">
            <w:pPr>
              <w:pStyle w:val="TableParagraph"/>
              <w:spacing w:line="183" w:lineRule="exact"/>
              <w:ind w:left="50"/>
              <w:rPr>
                <w:sz w:val="16"/>
              </w:rPr>
            </w:pPr>
            <w:r>
              <w:rPr>
                <w:sz w:val="16"/>
              </w:rPr>
              <w:t>.subpart3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C2.3.</w:t>
            </w:r>
          </w:p>
          <w:p w:rsidR="00A56FE9" w:rsidRDefault="00000000">
            <w:pPr>
              <w:pStyle w:val="TableParagraph"/>
              <w:ind w:left="50" w:right="56"/>
              <w:rPr>
                <w:sz w:val="16"/>
              </w:rPr>
            </w:pPr>
            <w:r>
              <w:rPr>
                <w:sz w:val="16"/>
              </w:rPr>
              <w:t>R2-I2 Establishment of a</w:t>
            </w:r>
            <w:r>
              <w:rPr>
                <w:spacing w:val="1"/>
                <w:sz w:val="16"/>
              </w:rPr>
              <w:t xml:space="preserve"> </w:t>
            </w:r>
            <w:r>
              <w:rPr>
                <w:sz w:val="16"/>
              </w:rPr>
              <w:t>central data repository and</w:t>
            </w:r>
            <w:r>
              <w:rPr>
                <w:spacing w:val="-38"/>
                <w:sz w:val="16"/>
              </w:rPr>
              <w:t xml:space="preserve"> </w:t>
            </w:r>
            <w:r>
              <w:rPr>
                <w:sz w:val="16"/>
              </w:rPr>
              <w:t>business</w:t>
            </w:r>
            <w:r>
              <w:rPr>
                <w:spacing w:val="-4"/>
                <w:sz w:val="16"/>
              </w:rPr>
              <w:t xml:space="preserve"> </w:t>
            </w:r>
            <w:r>
              <w:rPr>
                <w:sz w:val="16"/>
              </w:rPr>
              <w:t>analytics</w:t>
            </w:r>
            <w:r>
              <w:rPr>
                <w:spacing w:val="-3"/>
                <w:sz w:val="16"/>
              </w:rPr>
              <w:t xml:space="preserve"> </w:t>
            </w:r>
            <w:r>
              <w:rPr>
                <w:sz w:val="16"/>
              </w:rPr>
              <w:t>system</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221"/>
              <w:rPr>
                <w:sz w:val="16"/>
              </w:rPr>
            </w:pPr>
            <w:r>
              <w:rPr>
                <w:sz w:val="16"/>
              </w:rPr>
              <w:t>Set-up of the platforms</w:t>
            </w:r>
            <w:r>
              <w:rPr>
                <w:spacing w:val="-37"/>
                <w:sz w:val="16"/>
              </w:rPr>
              <w:t xml:space="preserve"> </w:t>
            </w:r>
            <w:r>
              <w:rPr>
                <w:sz w:val="16"/>
              </w:rPr>
              <w:t>for the central</w:t>
            </w:r>
            <w:r>
              <w:rPr>
                <w:spacing w:val="1"/>
                <w:sz w:val="16"/>
              </w:rPr>
              <w:t xml:space="preserve"> </w:t>
            </w:r>
            <w:r>
              <w:rPr>
                <w:sz w:val="16"/>
              </w:rPr>
              <w:t>interoperability</w:t>
            </w:r>
            <w:r>
              <w:rPr>
                <w:spacing w:val="-10"/>
                <w:sz w:val="16"/>
              </w:rPr>
              <w:t xml:space="preserve"> </w:t>
            </w:r>
            <w:r>
              <w:rPr>
                <w:sz w:val="16"/>
              </w:rPr>
              <w:t>system</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39"/>
              <w:rPr>
                <w:sz w:val="16"/>
              </w:rPr>
            </w:pPr>
            <w:r>
              <w:rPr>
                <w:spacing w:val="-5"/>
                <w:sz w:val="16"/>
              </w:rPr>
              <w:t>Report from the</w:t>
            </w:r>
            <w:r>
              <w:rPr>
                <w:spacing w:val="-37"/>
                <w:sz w:val="16"/>
              </w:rPr>
              <w:t xml:space="preserve"> </w:t>
            </w:r>
            <w:r>
              <w:rPr>
                <w:spacing w:val="-6"/>
                <w:sz w:val="16"/>
              </w:rPr>
              <w:t xml:space="preserve">Central </w:t>
            </w:r>
            <w:r>
              <w:rPr>
                <w:spacing w:val="-5"/>
                <w:sz w:val="16"/>
              </w:rPr>
              <w:t>Office</w:t>
            </w:r>
            <w:r>
              <w:rPr>
                <w:spacing w:val="-4"/>
                <w:sz w:val="16"/>
              </w:rPr>
              <w:t xml:space="preserve"> </w:t>
            </w:r>
            <w:r>
              <w:rPr>
                <w:spacing w:val="-5"/>
                <w:sz w:val="16"/>
              </w:rPr>
              <w:t xml:space="preserve">for </w:t>
            </w:r>
            <w:r>
              <w:rPr>
                <w:spacing w:val="-4"/>
                <w:sz w:val="16"/>
              </w:rPr>
              <w:t>the</w:t>
            </w:r>
            <w:r>
              <w:rPr>
                <w:spacing w:val="-3"/>
                <w:sz w:val="16"/>
              </w:rPr>
              <w:t xml:space="preserve"> </w:t>
            </w:r>
            <w:r>
              <w:rPr>
                <w:spacing w:val="-6"/>
                <w:sz w:val="16"/>
              </w:rPr>
              <w:t xml:space="preserve">Development </w:t>
            </w:r>
            <w:r>
              <w:rPr>
                <w:spacing w:val="-5"/>
                <w:sz w:val="16"/>
              </w:rPr>
              <w:t>of</w:t>
            </w:r>
            <w:r>
              <w:rPr>
                <w:spacing w:val="-37"/>
                <w:sz w:val="16"/>
              </w:rPr>
              <w:t xml:space="preserve"> </w:t>
            </w:r>
            <w:r>
              <w:rPr>
                <w:spacing w:val="-6"/>
                <w:sz w:val="16"/>
              </w:rPr>
              <w:t xml:space="preserve">Digital </w:t>
            </w:r>
            <w:r>
              <w:rPr>
                <w:spacing w:val="-5"/>
                <w:sz w:val="16"/>
              </w:rPr>
              <w:t>Society</w:t>
            </w:r>
            <w:r>
              <w:rPr>
                <w:spacing w:val="-4"/>
                <w:sz w:val="16"/>
              </w:rPr>
              <w:t xml:space="preserve"> </w:t>
            </w:r>
            <w:r>
              <w:rPr>
                <w:spacing w:val="-7"/>
                <w:sz w:val="16"/>
              </w:rPr>
              <w:t xml:space="preserve">(SDURDD) </w:t>
            </w:r>
            <w:r>
              <w:rPr>
                <w:spacing w:val="-6"/>
                <w:sz w:val="16"/>
              </w:rPr>
              <w:t>that</w:t>
            </w:r>
            <w:r>
              <w:rPr>
                <w:spacing w:val="-37"/>
                <w:sz w:val="16"/>
              </w:rPr>
              <w:t xml:space="preserve"> </w:t>
            </w:r>
            <w:r>
              <w:rPr>
                <w:spacing w:val="-6"/>
                <w:sz w:val="16"/>
              </w:rPr>
              <w:t>the</w:t>
            </w:r>
            <w:r>
              <w:rPr>
                <w:spacing w:val="-16"/>
                <w:sz w:val="16"/>
              </w:rPr>
              <w:t xml:space="preserve"> </w:t>
            </w:r>
            <w:r>
              <w:rPr>
                <w:spacing w:val="-5"/>
                <w:sz w:val="16"/>
              </w:rPr>
              <w:t>platforms</w:t>
            </w:r>
          </w:p>
          <w:p w:rsidR="00A56FE9" w:rsidRDefault="00000000">
            <w:pPr>
              <w:pStyle w:val="TableParagraph"/>
              <w:spacing w:line="166" w:lineRule="exact"/>
              <w:ind w:left="110"/>
              <w:rPr>
                <w:sz w:val="16"/>
              </w:rPr>
            </w:pPr>
            <w:r>
              <w:rPr>
                <w:spacing w:val="-6"/>
                <w:sz w:val="16"/>
              </w:rPr>
              <w:t>are</w:t>
            </w:r>
            <w:r>
              <w:rPr>
                <w:spacing w:val="-11"/>
                <w:sz w:val="16"/>
              </w:rPr>
              <w:t xml:space="preserve"> </w:t>
            </w:r>
            <w:r>
              <w:rPr>
                <w:spacing w:val="-6"/>
                <w:sz w:val="16"/>
              </w:rPr>
              <w:t>operational</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CSODDS</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00"/>
              <w:rPr>
                <w:sz w:val="16"/>
              </w:rPr>
            </w:pPr>
            <w:r>
              <w:rPr>
                <w:sz w:val="16"/>
              </w:rPr>
              <w:t>The central national interoperability portal</w:t>
            </w:r>
            <w:r>
              <w:rPr>
                <w:spacing w:val="-38"/>
                <w:sz w:val="16"/>
              </w:rPr>
              <w:t xml:space="preserve"> </w:t>
            </w:r>
            <w:r>
              <w:rPr>
                <w:sz w:val="16"/>
              </w:rPr>
              <w:t>shall provide a catalogue of all services</w:t>
            </w:r>
            <w:r>
              <w:rPr>
                <w:spacing w:val="1"/>
                <w:sz w:val="16"/>
              </w:rPr>
              <w:t xml:space="preserve"> </w:t>
            </w:r>
            <w:r>
              <w:rPr>
                <w:sz w:val="16"/>
              </w:rPr>
              <w:t>available and the Data Warehouse (DWH)</w:t>
            </w:r>
            <w:r>
              <w:rPr>
                <w:spacing w:val="-37"/>
                <w:sz w:val="16"/>
              </w:rPr>
              <w:t xml:space="preserve"> </w:t>
            </w:r>
            <w:r>
              <w:rPr>
                <w:sz w:val="16"/>
              </w:rPr>
              <w:t>shall</w:t>
            </w:r>
            <w:r>
              <w:rPr>
                <w:spacing w:val="-2"/>
                <w:sz w:val="16"/>
              </w:rPr>
              <w:t xml:space="preserve"> </w:t>
            </w:r>
            <w:r>
              <w:rPr>
                <w:sz w:val="16"/>
              </w:rPr>
              <w:t>be</w:t>
            </w:r>
            <w:r>
              <w:rPr>
                <w:spacing w:val="-2"/>
                <w:sz w:val="16"/>
              </w:rPr>
              <w:t xml:space="preserve"> </w:t>
            </w:r>
            <w:r>
              <w:rPr>
                <w:sz w:val="16"/>
              </w:rPr>
              <w:t>operational</w:t>
            </w:r>
            <w:r>
              <w:rPr>
                <w:spacing w:val="-1"/>
                <w:sz w:val="16"/>
              </w:rPr>
              <w:t xml:space="preserve"> </w:t>
            </w:r>
            <w:r>
              <w:rPr>
                <w:sz w:val="16"/>
              </w:rPr>
              <w:t>for</w:t>
            </w:r>
            <w:r>
              <w:rPr>
                <w:spacing w:val="-4"/>
                <w:sz w:val="16"/>
              </w:rPr>
              <w:t xml:space="preserve"> </w:t>
            </w:r>
            <w:r>
              <w:rPr>
                <w:sz w:val="16"/>
              </w:rPr>
              <w:t>use.</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164,749,236</w:t>
            </w:r>
          </w:p>
        </w:tc>
      </w:tr>
    </w:tbl>
    <w:p w:rsidR="00A56FE9" w:rsidRDefault="00A56FE9">
      <w:pPr>
        <w:spacing w:line="181" w:lineRule="exact"/>
        <w:jc w:val="righ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361"/>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10"/>
              <w:rPr>
                <w:sz w:val="16"/>
              </w:rPr>
            </w:pPr>
            <w:r>
              <w:rPr>
                <w:spacing w:val="-5"/>
                <w:sz w:val="16"/>
              </w:rPr>
              <w:t>and</w:t>
            </w:r>
            <w:r>
              <w:rPr>
                <w:spacing w:val="-13"/>
                <w:sz w:val="16"/>
              </w:rPr>
              <w:t xml:space="preserve"> </w:t>
            </w:r>
            <w:r>
              <w:rPr>
                <w:spacing w:val="-5"/>
                <w:sz w:val="16"/>
              </w:rPr>
              <w:t>tested</w:t>
            </w:r>
            <w:r>
              <w:rPr>
                <w:spacing w:val="-13"/>
                <w:sz w:val="16"/>
              </w:rPr>
              <w:t xml:space="preserve"> </w:t>
            </w:r>
            <w:r>
              <w:rPr>
                <w:spacing w:val="-4"/>
                <w:sz w:val="16"/>
              </w:rPr>
              <w:t>for</w:t>
            </w:r>
          </w:p>
          <w:p w:rsidR="00A56FE9" w:rsidRDefault="00000000">
            <w:pPr>
              <w:pStyle w:val="TableParagraph"/>
              <w:spacing w:before="1" w:line="168" w:lineRule="exact"/>
              <w:ind w:left="110"/>
              <w:rPr>
                <w:sz w:val="16"/>
              </w:rPr>
            </w:pPr>
            <w:r>
              <w:rPr>
                <w:sz w:val="16"/>
              </w:rPr>
              <w:t>use</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257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42</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95"/>
              <w:rPr>
                <w:sz w:val="16"/>
              </w:rPr>
            </w:pPr>
            <w:r>
              <w:rPr>
                <w:sz w:val="16"/>
              </w:rPr>
              <w:t>179</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2020.CSR2</w:t>
            </w:r>
          </w:p>
          <w:p w:rsidR="00A56FE9" w:rsidRDefault="00000000">
            <w:pPr>
              <w:pStyle w:val="TableParagraph"/>
              <w:spacing w:before="1"/>
              <w:ind w:left="50"/>
              <w:rPr>
                <w:sz w:val="16"/>
              </w:rPr>
            </w:pPr>
            <w:r>
              <w:rPr>
                <w:sz w:val="16"/>
              </w:rPr>
              <w:t>.subpart3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69"/>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w:t>
            </w:r>
            <w:r>
              <w:rPr>
                <w:spacing w:val="-3"/>
                <w:sz w:val="16"/>
              </w:rPr>
              <w:t xml:space="preserve"> </w:t>
            </w:r>
            <w:r>
              <w:rPr>
                <w:sz w:val="16"/>
              </w:rPr>
              <w:t>ASSETS</w:t>
            </w:r>
            <w:r>
              <w:rPr>
                <w:spacing w:val="-2"/>
                <w:sz w:val="16"/>
              </w:rPr>
              <w:t xml:space="preserve"> </w:t>
            </w:r>
            <w:r>
              <w:rPr>
                <w:sz w:val="16"/>
              </w:rPr>
              <w:t>-</w:t>
            </w:r>
            <w:r>
              <w:rPr>
                <w:spacing w:val="-2"/>
                <w:sz w:val="16"/>
              </w:rPr>
              <w:t xml:space="preserve"> </w:t>
            </w:r>
            <w:r>
              <w:rPr>
                <w:sz w:val="16"/>
              </w:rPr>
              <w:t>C2.3.</w:t>
            </w:r>
          </w:p>
          <w:p w:rsidR="00A56FE9" w:rsidRDefault="00000000">
            <w:pPr>
              <w:pStyle w:val="TableParagraph"/>
              <w:ind w:left="50" w:right="273"/>
              <w:rPr>
                <w:sz w:val="16"/>
              </w:rPr>
            </w:pPr>
            <w:r>
              <w:rPr>
                <w:sz w:val="16"/>
              </w:rPr>
              <w:t>R3-I1 Upgrading the</w:t>
            </w:r>
            <w:r>
              <w:rPr>
                <w:spacing w:val="1"/>
                <w:sz w:val="16"/>
              </w:rPr>
              <w:t xml:space="preserve"> </w:t>
            </w:r>
            <w:r>
              <w:rPr>
                <w:sz w:val="16"/>
              </w:rPr>
              <w:t>Shared</w:t>
            </w:r>
            <w:r>
              <w:rPr>
                <w:spacing w:val="-4"/>
                <w:sz w:val="16"/>
              </w:rPr>
              <w:t xml:space="preserve"> </w:t>
            </w:r>
            <w:r>
              <w:rPr>
                <w:sz w:val="16"/>
              </w:rPr>
              <w:t>Services</w:t>
            </w:r>
            <w:r>
              <w:rPr>
                <w:spacing w:val="-4"/>
                <w:sz w:val="16"/>
              </w:rPr>
              <w:t xml:space="preserve"> </w:t>
            </w:r>
            <w:r>
              <w:rPr>
                <w:sz w:val="16"/>
              </w:rPr>
              <w:t>Centre</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381"/>
              <w:rPr>
                <w:sz w:val="16"/>
              </w:rPr>
            </w:pPr>
            <w:r>
              <w:rPr>
                <w:sz w:val="16"/>
              </w:rPr>
              <w:t>Upgrade of the State</w:t>
            </w:r>
            <w:r>
              <w:rPr>
                <w:spacing w:val="-37"/>
                <w:sz w:val="16"/>
              </w:rPr>
              <w:t xml:space="preserve"> </w:t>
            </w:r>
            <w:r>
              <w:rPr>
                <w:sz w:val="16"/>
              </w:rPr>
              <w:t>Cloud</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261"/>
              <w:jc w:val="right"/>
              <w:rPr>
                <w:sz w:val="16"/>
              </w:rPr>
            </w:pPr>
            <w:r>
              <w:rPr>
                <w:sz w:val="16"/>
              </w:rPr>
              <w:t>6</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CSODDS</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42"/>
              <w:jc w:val="both"/>
              <w:rPr>
                <w:sz w:val="16"/>
              </w:rPr>
            </w:pPr>
            <w:r>
              <w:rPr>
                <w:sz w:val="16"/>
              </w:rPr>
              <w:t>Six new functionalities shall be operational for</w:t>
            </w:r>
            <w:r>
              <w:rPr>
                <w:spacing w:val="-38"/>
                <w:sz w:val="16"/>
              </w:rPr>
              <w:t xml:space="preserve"> </w:t>
            </w:r>
            <w:r>
              <w:rPr>
                <w:sz w:val="16"/>
              </w:rPr>
              <w:t>use in the State cloud (CDU) and accessible to</w:t>
            </w:r>
            <w:r>
              <w:rPr>
                <w:spacing w:val="-37"/>
                <w:sz w:val="16"/>
              </w:rPr>
              <w:t xml:space="preserve"> </w:t>
            </w:r>
            <w:r>
              <w:rPr>
                <w:sz w:val="16"/>
              </w:rPr>
              <w:t>users:</w:t>
            </w:r>
          </w:p>
          <w:p w:rsidR="00A56FE9" w:rsidRDefault="00000000">
            <w:pPr>
              <w:pStyle w:val="TableParagraph"/>
              <w:ind w:left="57"/>
              <w:rPr>
                <w:sz w:val="16"/>
              </w:rPr>
            </w:pPr>
            <w:r>
              <w:rPr>
                <w:sz w:val="16"/>
              </w:rPr>
              <w:t>-A platform for the development,</w:t>
            </w:r>
            <w:r>
              <w:rPr>
                <w:spacing w:val="1"/>
                <w:sz w:val="16"/>
              </w:rPr>
              <w:t xml:space="preserve"> </w:t>
            </w:r>
            <w:r>
              <w:rPr>
                <w:sz w:val="16"/>
              </w:rPr>
              <w:t>implementation</w:t>
            </w:r>
            <w:r>
              <w:rPr>
                <w:spacing w:val="-4"/>
                <w:sz w:val="16"/>
              </w:rPr>
              <w:t xml:space="preserve"> </w:t>
            </w:r>
            <w:r>
              <w:rPr>
                <w:sz w:val="16"/>
              </w:rPr>
              <w:t>and</w:t>
            </w:r>
            <w:r>
              <w:rPr>
                <w:spacing w:val="-3"/>
                <w:sz w:val="16"/>
              </w:rPr>
              <w:t xml:space="preserve"> </w:t>
            </w:r>
            <w:r>
              <w:rPr>
                <w:sz w:val="16"/>
              </w:rPr>
              <w:t>testing</w:t>
            </w:r>
            <w:r>
              <w:rPr>
                <w:spacing w:val="-5"/>
                <w:sz w:val="16"/>
              </w:rPr>
              <w:t xml:space="preserve"> </w:t>
            </w:r>
            <w:r>
              <w:rPr>
                <w:sz w:val="16"/>
              </w:rPr>
              <w:t>of</w:t>
            </w:r>
            <w:r>
              <w:rPr>
                <w:spacing w:val="-6"/>
                <w:sz w:val="16"/>
              </w:rPr>
              <w:t xml:space="preserve"> </w:t>
            </w:r>
            <w:r>
              <w:rPr>
                <w:sz w:val="16"/>
              </w:rPr>
              <w:t>applications</w:t>
            </w:r>
            <w:r>
              <w:rPr>
                <w:spacing w:val="-6"/>
                <w:sz w:val="16"/>
              </w:rPr>
              <w:t xml:space="preserve"> </w:t>
            </w:r>
            <w:r>
              <w:rPr>
                <w:sz w:val="16"/>
              </w:rPr>
              <w:t>for</w:t>
            </w:r>
            <w:r>
              <w:rPr>
                <w:spacing w:val="-37"/>
                <w:sz w:val="16"/>
              </w:rPr>
              <w:t xml:space="preserve"> </w:t>
            </w:r>
            <w:r>
              <w:rPr>
                <w:sz w:val="16"/>
              </w:rPr>
              <w:t>users,</w:t>
            </w:r>
          </w:p>
          <w:p w:rsidR="00A56FE9" w:rsidRDefault="00000000">
            <w:pPr>
              <w:pStyle w:val="TableParagraph"/>
              <w:spacing w:line="183" w:lineRule="exact"/>
              <w:ind w:left="57"/>
              <w:rPr>
                <w:sz w:val="16"/>
              </w:rPr>
            </w:pPr>
            <w:r>
              <w:rPr>
                <w:sz w:val="16"/>
              </w:rPr>
              <w:t>-A</w:t>
            </w:r>
            <w:r>
              <w:rPr>
                <w:spacing w:val="-5"/>
                <w:sz w:val="16"/>
              </w:rPr>
              <w:t xml:space="preserve"> </w:t>
            </w:r>
            <w:r>
              <w:rPr>
                <w:sz w:val="16"/>
              </w:rPr>
              <w:t>platform</w:t>
            </w:r>
            <w:r>
              <w:rPr>
                <w:spacing w:val="-2"/>
                <w:sz w:val="16"/>
              </w:rPr>
              <w:t xml:space="preserve"> </w:t>
            </w:r>
            <w:r>
              <w:rPr>
                <w:sz w:val="16"/>
              </w:rPr>
              <w:t>for</w:t>
            </w:r>
            <w:r>
              <w:rPr>
                <w:spacing w:val="1"/>
                <w:sz w:val="16"/>
              </w:rPr>
              <w:t xml:space="preserve"> </w:t>
            </w:r>
            <w:r>
              <w:rPr>
                <w:sz w:val="16"/>
              </w:rPr>
              <w:t>ICT</w:t>
            </w:r>
            <w:r>
              <w:rPr>
                <w:spacing w:val="-4"/>
                <w:sz w:val="16"/>
              </w:rPr>
              <w:t xml:space="preserve"> </w:t>
            </w:r>
            <w:r>
              <w:rPr>
                <w:sz w:val="16"/>
              </w:rPr>
              <w:t>support,</w:t>
            </w:r>
          </w:p>
          <w:p w:rsidR="00A56FE9" w:rsidRDefault="00000000">
            <w:pPr>
              <w:pStyle w:val="TableParagraph"/>
              <w:ind w:left="57"/>
              <w:rPr>
                <w:sz w:val="16"/>
              </w:rPr>
            </w:pPr>
            <w:r>
              <w:rPr>
                <w:sz w:val="16"/>
              </w:rPr>
              <w:t>-A central information security monitoring</w:t>
            </w:r>
            <w:r>
              <w:rPr>
                <w:spacing w:val="1"/>
                <w:sz w:val="16"/>
              </w:rPr>
              <w:t xml:space="preserve"> </w:t>
            </w:r>
            <w:r>
              <w:rPr>
                <w:sz w:val="16"/>
              </w:rPr>
              <w:t>system</w:t>
            </w:r>
            <w:r>
              <w:rPr>
                <w:spacing w:val="-3"/>
                <w:sz w:val="16"/>
              </w:rPr>
              <w:t xml:space="preserve"> </w:t>
            </w:r>
            <w:r>
              <w:rPr>
                <w:sz w:val="16"/>
              </w:rPr>
              <w:t>for</w:t>
            </w:r>
            <w:r>
              <w:rPr>
                <w:spacing w:val="-3"/>
                <w:sz w:val="16"/>
              </w:rPr>
              <w:t xml:space="preserve"> </w:t>
            </w:r>
            <w:r>
              <w:rPr>
                <w:sz w:val="16"/>
              </w:rPr>
              <w:t>managing</w:t>
            </w:r>
            <w:r>
              <w:rPr>
                <w:spacing w:val="-6"/>
                <w:sz w:val="16"/>
              </w:rPr>
              <w:t xml:space="preserve"> </w:t>
            </w:r>
            <w:r>
              <w:rPr>
                <w:sz w:val="16"/>
              </w:rPr>
              <w:t>potential</w:t>
            </w:r>
            <w:r>
              <w:rPr>
                <w:spacing w:val="-3"/>
                <w:sz w:val="16"/>
              </w:rPr>
              <w:t xml:space="preserve"> </w:t>
            </w:r>
            <w:r>
              <w:rPr>
                <w:sz w:val="16"/>
              </w:rPr>
              <w:t>security</w:t>
            </w:r>
            <w:r>
              <w:rPr>
                <w:spacing w:val="-3"/>
                <w:sz w:val="16"/>
              </w:rPr>
              <w:t xml:space="preserve"> </w:t>
            </w:r>
            <w:r>
              <w:rPr>
                <w:sz w:val="16"/>
              </w:rPr>
              <w:t>events,</w:t>
            </w:r>
          </w:p>
          <w:p w:rsidR="00A56FE9" w:rsidRDefault="00000000">
            <w:pPr>
              <w:pStyle w:val="TableParagraph"/>
              <w:spacing w:line="183" w:lineRule="exact"/>
              <w:ind w:left="57"/>
              <w:rPr>
                <w:sz w:val="16"/>
              </w:rPr>
            </w:pPr>
            <w:r>
              <w:rPr>
                <w:sz w:val="16"/>
              </w:rPr>
              <w:t>-A</w:t>
            </w:r>
            <w:r>
              <w:rPr>
                <w:spacing w:val="-7"/>
                <w:sz w:val="16"/>
              </w:rPr>
              <w:t xml:space="preserve"> </w:t>
            </w:r>
            <w:r>
              <w:rPr>
                <w:sz w:val="16"/>
              </w:rPr>
              <w:t>Biometric</w:t>
            </w:r>
            <w:r>
              <w:rPr>
                <w:spacing w:val="-3"/>
                <w:sz w:val="16"/>
              </w:rPr>
              <w:t xml:space="preserve"> </w:t>
            </w:r>
            <w:r>
              <w:rPr>
                <w:sz w:val="16"/>
              </w:rPr>
              <w:t>Authentication</w:t>
            </w:r>
            <w:r>
              <w:rPr>
                <w:spacing w:val="-5"/>
                <w:sz w:val="16"/>
              </w:rPr>
              <w:t xml:space="preserve"> </w:t>
            </w:r>
            <w:r>
              <w:rPr>
                <w:sz w:val="16"/>
              </w:rPr>
              <w:t>Platform,</w:t>
            </w:r>
          </w:p>
          <w:p w:rsidR="00A56FE9" w:rsidRDefault="00000000">
            <w:pPr>
              <w:pStyle w:val="TableParagraph"/>
              <w:ind w:left="57" w:right="188"/>
              <w:rPr>
                <w:sz w:val="16"/>
              </w:rPr>
            </w:pPr>
            <w:r>
              <w:rPr>
                <w:sz w:val="16"/>
              </w:rPr>
              <w:t>-A platform to manage the digital content of</w:t>
            </w:r>
            <w:r>
              <w:rPr>
                <w:spacing w:val="-38"/>
                <w:sz w:val="16"/>
              </w:rPr>
              <w:t xml:space="preserve"> </w:t>
            </w:r>
            <w:r>
              <w:rPr>
                <w:sz w:val="16"/>
              </w:rPr>
              <w:t>the</w:t>
            </w:r>
            <w:r>
              <w:rPr>
                <w:spacing w:val="-3"/>
                <w:sz w:val="16"/>
              </w:rPr>
              <w:t xml:space="preserve"> </w:t>
            </w:r>
            <w:r>
              <w:rPr>
                <w:sz w:val="16"/>
              </w:rPr>
              <w:t>websites,</w:t>
            </w:r>
          </w:p>
          <w:p w:rsidR="00A56FE9" w:rsidRDefault="00000000">
            <w:pPr>
              <w:pStyle w:val="TableParagraph"/>
              <w:spacing w:line="182" w:lineRule="exact"/>
              <w:ind w:left="57" w:right="308"/>
              <w:rPr>
                <w:sz w:val="16"/>
              </w:rPr>
            </w:pPr>
            <w:r>
              <w:rPr>
                <w:sz w:val="16"/>
              </w:rPr>
              <w:t>-A platform for the development of block-</w:t>
            </w:r>
            <w:r>
              <w:rPr>
                <w:spacing w:val="-37"/>
                <w:sz w:val="16"/>
              </w:rPr>
              <w:t xml:space="preserve"> </w:t>
            </w:r>
            <w:r>
              <w:rPr>
                <w:sz w:val="16"/>
              </w:rPr>
              <w:t>chain</w:t>
            </w:r>
            <w:r>
              <w:rPr>
                <w:spacing w:val="-1"/>
                <w:sz w:val="16"/>
              </w:rPr>
              <w:t xml:space="preserve"> </w:t>
            </w:r>
            <w:r>
              <w:rPr>
                <w:sz w:val="16"/>
              </w:rPr>
              <w:t>technologies</w:t>
            </w:r>
            <w:r>
              <w:rPr>
                <w:spacing w:val="-1"/>
                <w:sz w:val="16"/>
              </w:rPr>
              <w:t xml:space="preserve"> </w:t>
            </w:r>
            <w:r>
              <w:rPr>
                <w:sz w:val="16"/>
              </w:rPr>
              <w:t>for</w:t>
            </w:r>
            <w:r>
              <w:rPr>
                <w:spacing w:val="-3"/>
                <w:sz w:val="16"/>
              </w:rPr>
              <w:t xml:space="preserve"> </w:t>
            </w:r>
            <w:r>
              <w:rPr>
                <w:sz w:val="16"/>
              </w:rPr>
              <w:t>the</w:t>
            </w:r>
            <w:r>
              <w:rPr>
                <w:spacing w:val="-3"/>
                <w:sz w:val="16"/>
              </w:rPr>
              <w:t xml:space="preserve"> </w:t>
            </w:r>
            <w:r>
              <w:rPr>
                <w:sz w:val="16"/>
              </w:rPr>
              <w:t>State</w:t>
            </w:r>
            <w:r>
              <w:rPr>
                <w:spacing w:val="-4"/>
                <w:sz w:val="16"/>
              </w:rPr>
              <w:t xml:space="preserve"> </w:t>
            </w:r>
            <w:r>
              <w:rPr>
                <w:sz w:val="16"/>
              </w:rPr>
              <w:t>cloud.</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225"/>
              <w:rPr>
                <w:sz w:val="16"/>
              </w:rPr>
            </w:pPr>
            <w:r>
              <w:rPr>
                <w:sz w:val="16"/>
              </w:rPr>
              <w:t>138,679,970</w:t>
            </w:r>
          </w:p>
        </w:tc>
      </w:tr>
      <w:tr w:rsidR="00A56FE9">
        <w:trPr>
          <w:trHeight w:val="128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43</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2019.CSR4</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2020.CSR4</w:t>
            </w:r>
          </w:p>
          <w:p w:rsidR="00A56FE9" w:rsidRDefault="00000000">
            <w:pPr>
              <w:pStyle w:val="TableParagraph"/>
              <w:spacing w:line="183" w:lineRule="exact"/>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w:t>
            </w:r>
            <w:r>
              <w:rPr>
                <w:spacing w:val="-1"/>
                <w:sz w:val="16"/>
              </w:rPr>
              <w:t xml:space="preserve"> </w:t>
            </w:r>
            <w:r>
              <w:rPr>
                <w:sz w:val="16"/>
              </w:rPr>
              <w:t>ASSETS</w:t>
            </w:r>
            <w:r>
              <w:rPr>
                <w:spacing w:val="-1"/>
                <w:sz w:val="16"/>
              </w:rPr>
              <w:t xml:space="preserve"> </w:t>
            </w:r>
            <w:r>
              <w:rPr>
                <w:sz w:val="16"/>
              </w:rPr>
              <w:t>-</w:t>
            </w:r>
          </w:p>
          <w:p w:rsidR="00A56FE9" w:rsidRDefault="00000000">
            <w:pPr>
              <w:pStyle w:val="TableParagraph"/>
              <w:ind w:left="50" w:right="247"/>
              <w:rPr>
                <w:sz w:val="16"/>
              </w:rPr>
            </w:pPr>
            <w:r>
              <w:rPr>
                <w:sz w:val="16"/>
              </w:rPr>
              <w:t>Modern judiciary ready</w:t>
            </w:r>
            <w:r>
              <w:rPr>
                <w:spacing w:val="-38"/>
                <w:sz w:val="16"/>
              </w:rPr>
              <w:t xml:space="preserve"> </w:t>
            </w:r>
            <w:r>
              <w:rPr>
                <w:sz w:val="16"/>
              </w:rPr>
              <w:t>for</w:t>
            </w:r>
            <w:r>
              <w:rPr>
                <w:spacing w:val="-3"/>
                <w:sz w:val="16"/>
              </w:rPr>
              <w:t xml:space="preserve"> </w:t>
            </w:r>
            <w:r>
              <w:rPr>
                <w:sz w:val="16"/>
              </w:rPr>
              <w:t>future</w:t>
            </w:r>
            <w:r>
              <w:rPr>
                <w:spacing w:val="-3"/>
                <w:sz w:val="16"/>
              </w:rPr>
              <w:t xml:space="preserve"> </w:t>
            </w:r>
            <w:r>
              <w:rPr>
                <w:sz w:val="16"/>
              </w:rPr>
              <w:t>challenges</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26"/>
              <w:rPr>
                <w:sz w:val="16"/>
              </w:rPr>
            </w:pPr>
            <w:r>
              <w:rPr>
                <w:sz w:val="16"/>
              </w:rPr>
              <w:t>Drafting of analysing</w:t>
            </w:r>
            <w:r>
              <w:rPr>
                <w:spacing w:val="1"/>
                <w:sz w:val="16"/>
              </w:rPr>
              <w:t xml:space="preserve"> </w:t>
            </w:r>
            <w:r>
              <w:rPr>
                <w:sz w:val="16"/>
              </w:rPr>
              <w:t>and recommendations</w:t>
            </w:r>
            <w:r>
              <w:rPr>
                <w:spacing w:val="1"/>
                <w:sz w:val="16"/>
              </w:rPr>
              <w:t xml:space="preserve"> </w:t>
            </w:r>
            <w:r>
              <w:rPr>
                <w:sz w:val="16"/>
              </w:rPr>
              <w:t>for the anonymisation of</w:t>
            </w:r>
            <w:r>
              <w:rPr>
                <w:spacing w:val="-37"/>
                <w:sz w:val="16"/>
              </w:rPr>
              <w:t xml:space="preserve"> </w:t>
            </w:r>
            <w:r>
              <w:rPr>
                <w:sz w:val="16"/>
              </w:rPr>
              <w:t>court</w:t>
            </w:r>
            <w:r>
              <w:rPr>
                <w:spacing w:val="-2"/>
                <w:sz w:val="16"/>
              </w:rPr>
              <w:t xml:space="preserve"> </w:t>
            </w:r>
            <w:r>
              <w:rPr>
                <w:sz w:val="16"/>
              </w:rPr>
              <w:t>decisions</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81"/>
              <w:rPr>
                <w:sz w:val="16"/>
              </w:rPr>
            </w:pPr>
            <w:r>
              <w:rPr>
                <w:sz w:val="16"/>
              </w:rPr>
              <w:t>Drafted</w:t>
            </w:r>
            <w:r>
              <w:rPr>
                <w:spacing w:val="1"/>
                <w:sz w:val="16"/>
              </w:rPr>
              <w:t xml:space="preserve"> </w:t>
            </w:r>
            <w:r>
              <w:rPr>
                <w:sz w:val="16"/>
              </w:rPr>
              <w:t>analysis and</w:t>
            </w:r>
            <w:r>
              <w:rPr>
                <w:spacing w:val="1"/>
                <w:sz w:val="16"/>
              </w:rPr>
              <w:t xml:space="preserve"> </w:t>
            </w:r>
            <w:r>
              <w:rPr>
                <w:sz w:val="16"/>
              </w:rPr>
              <w:t>recommendati</w:t>
            </w:r>
            <w:r>
              <w:rPr>
                <w:spacing w:val="-38"/>
                <w:sz w:val="16"/>
              </w:rPr>
              <w:t xml:space="preserve"> </w:t>
            </w:r>
            <w:r>
              <w:rPr>
                <w:sz w:val="16"/>
              </w:rPr>
              <w:t>ons for the</w:t>
            </w:r>
            <w:r>
              <w:rPr>
                <w:spacing w:val="1"/>
                <w:sz w:val="16"/>
              </w:rPr>
              <w:t xml:space="preserve"> </w:t>
            </w:r>
            <w:r>
              <w:rPr>
                <w:sz w:val="16"/>
              </w:rPr>
              <w:t>anonymisatio</w:t>
            </w:r>
          </w:p>
          <w:p w:rsidR="00A56FE9" w:rsidRDefault="00000000">
            <w:pPr>
              <w:pStyle w:val="TableParagraph"/>
              <w:spacing w:line="182" w:lineRule="exact"/>
              <w:ind w:left="110" w:right="374"/>
              <w:rPr>
                <w:sz w:val="16"/>
              </w:rPr>
            </w:pPr>
            <w:r>
              <w:rPr>
                <w:sz w:val="16"/>
              </w:rPr>
              <w:t>n of court</w:t>
            </w:r>
            <w:r>
              <w:rPr>
                <w:spacing w:val="-38"/>
                <w:sz w:val="16"/>
              </w:rPr>
              <w:t xml:space="preserve"> </w:t>
            </w:r>
            <w:r>
              <w:rPr>
                <w:sz w:val="16"/>
              </w:rPr>
              <w:t>decisions</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MJPA</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125"/>
              <w:rPr>
                <w:sz w:val="16"/>
              </w:rPr>
            </w:pPr>
            <w:r>
              <w:rPr>
                <w:sz w:val="16"/>
              </w:rPr>
              <w:t>Examples of good practice and existing</w:t>
            </w:r>
            <w:r>
              <w:rPr>
                <w:spacing w:val="1"/>
                <w:sz w:val="16"/>
              </w:rPr>
              <w:t xml:space="preserve"> </w:t>
            </w:r>
            <w:r>
              <w:rPr>
                <w:sz w:val="16"/>
              </w:rPr>
              <w:t>solutions for the anonymisation will be</w:t>
            </w:r>
            <w:r>
              <w:rPr>
                <w:spacing w:val="1"/>
                <w:sz w:val="16"/>
              </w:rPr>
              <w:t xml:space="preserve"> </w:t>
            </w:r>
            <w:r>
              <w:rPr>
                <w:sz w:val="16"/>
              </w:rPr>
              <w:t>analysed,</w:t>
            </w:r>
            <w:r>
              <w:rPr>
                <w:spacing w:val="-3"/>
                <w:sz w:val="16"/>
              </w:rPr>
              <w:t xml:space="preserve"> </w:t>
            </w:r>
            <w:r>
              <w:rPr>
                <w:sz w:val="16"/>
              </w:rPr>
              <w:t>as</w:t>
            </w:r>
            <w:r>
              <w:rPr>
                <w:spacing w:val="-4"/>
                <w:sz w:val="16"/>
              </w:rPr>
              <w:t xml:space="preserve"> </w:t>
            </w:r>
            <w:r>
              <w:rPr>
                <w:sz w:val="16"/>
              </w:rPr>
              <w:t>well</w:t>
            </w:r>
            <w:r>
              <w:rPr>
                <w:spacing w:val="-5"/>
                <w:sz w:val="16"/>
              </w:rPr>
              <w:t xml:space="preserve"> </w:t>
            </w:r>
            <w:r>
              <w:rPr>
                <w:sz w:val="16"/>
              </w:rPr>
              <w:t>as</w:t>
            </w:r>
            <w:r>
              <w:rPr>
                <w:spacing w:val="-4"/>
                <w:sz w:val="16"/>
              </w:rPr>
              <w:t xml:space="preserve"> </w:t>
            </w:r>
            <w:r>
              <w:rPr>
                <w:sz w:val="16"/>
              </w:rPr>
              <w:t>recommendations</w:t>
            </w:r>
            <w:r>
              <w:rPr>
                <w:spacing w:val="-5"/>
                <w:sz w:val="16"/>
              </w:rPr>
              <w:t xml:space="preserve"> </w:t>
            </w:r>
            <w:r>
              <w:rPr>
                <w:sz w:val="16"/>
              </w:rPr>
              <w:t>related</w:t>
            </w:r>
            <w:r>
              <w:rPr>
                <w:spacing w:val="-37"/>
                <w:sz w:val="16"/>
              </w:rPr>
              <w:t xml:space="preserve"> </w:t>
            </w:r>
            <w:r>
              <w:rPr>
                <w:sz w:val="16"/>
              </w:rPr>
              <w:t>to the anonymisation methodology and</w:t>
            </w:r>
            <w:r>
              <w:rPr>
                <w:spacing w:val="1"/>
                <w:sz w:val="16"/>
              </w:rPr>
              <w:t xml:space="preserve"> </w:t>
            </w:r>
            <w:r>
              <w:rPr>
                <w:sz w:val="16"/>
              </w:rPr>
              <w:t>technical</w:t>
            </w:r>
            <w:r>
              <w:rPr>
                <w:spacing w:val="-3"/>
                <w:sz w:val="16"/>
              </w:rPr>
              <w:t xml:space="preserve"> </w:t>
            </w:r>
            <w:r>
              <w:rPr>
                <w:sz w:val="16"/>
              </w:rPr>
              <w:t>specification of</w:t>
            </w:r>
            <w:r>
              <w:rPr>
                <w:spacing w:val="-2"/>
                <w:sz w:val="16"/>
              </w:rPr>
              <w:t xml:space="preserve"> </w:t>
            </w:r>
            <w:r>
              <w:rPr>
                <w:sz w:val="16"/>
              </w:rPr>
              <w:t>solutions</w:t>
            </w:r>
            <w:r>
              <w:rPr>
                <w:spacing w:val="-3"/>
                <w:sz w:val="16"/>
              </w:rPr>
              <w:t xml:space="preserve"> </w:t>
            </w:r>
            <w:r>
              <w:rPr>
                <w:sz w:val="16"/>
              </w:rPr>
              <w:t>for</w:t>
            </w:r>
          </w:p>
          <w:p w:rsidR="00A56FE9" w:rsidRDefault="00000000">
            <w:pPr>
              <w:pStyle w:val="TableParagraph"/>
              <w:spacing w:line="182" w:lineRule="exact"/>
              <w:ind w:left="57"/>
              <w:rPr>
                <w:sz w:val="16"/>
              </w:rPr>
            </w:pPr>
            <w:r>
              <w:rPr>
                <w:sz w:val="16"/>
              </w:rPr>
              <w:t>anonymisation</w:t>
            </w:r>
            <w:r>
              <w:rPr>
                <w:spacing w:val="-6"/>
                <w:sz w:val="16"/>
              </w:rPr>
              <w:t xml:space="preserve"> </w:t>
            </w:r>
            <w:r>
              <w:rPr>
                <w:sz w:val="16"/>
              </w:rPr>
              <w:t>and</w:t>
            </w:r>
            <w:r>
              <w:rPr>
                <w:spacing w:val="-6"/>
                <w:sz w:val="16"/>
              </w:rPr>
              <w:t xml:space="preserve"> </w:t>
            </w:r>
            <w:r>
              <w:rPr>
                <w:sz w:val="16"/>
              </w:rPr>
              <w:t>publication</w:t>
            </w:r>
            <w:r>
              <w:rPr>
                <w:spacing w:val="-3"/>
                <w:sz w:val="16"/>
              </w:rPr>
              <w:t xml:space="preserve"> </w:t>
            </w:r>
            <w:r>
              <w:rPr>
                <w:sz w:val="16"/>
              </w:rPr>
              <w:t>of</w:t>
            </w:r>
            <w:r>
              <w:rPr>
                <w:spacing w:val="-6"/>
                <w:sz w:val="16"/>
              </w:rPr>
              <w:t xml:space="preserve"> </w:t>
            </w:r>
            <w:r>
              <w:rPr>
                <w:sz w:val="16"/>
              </w:rPr>
              <w:t>court</w:t>
            </w:r>
            <w:r>
              <w:rPr>
                <w:spacing w:val="-37"/>
                <w:sz w:val="16"/>
              </w:rPr>
              <w:t xml:space="preserve"> </w:t>
            </w:r>
            <w:r>
              <w:rPr>
                <w:sz w:val="16"/>
              </w:rPr>
              <w:t>decisions.</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202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44</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2019.CSR4</w:t>
            </w:r>
          </w:p>
          <w:p w:rsidR="00A56FE9" w:rsidRDefault="00000000">
            <w:pPr>
              <w:pStyle w:val="TableParagraph"/>
              <w:spacing w:before="1"/>
              <w:ind w:left="50" w:right="38"/>
              <w:rPr>
                <w:sz w:val="16"/>
              </w:rPr>
            </w:pPr>
            <w:r>
              <w:rPr>
                <w:sz w:val="16"/>
              </w:rPr>
              <w:t>.subpart2,</w:t>
            </w:r>
            <w:r>
              <w:rPr>
                <w:spacing w:val="1"/>
                <w:sz w:val="16"/>
              </w:rPr>
              <w:t xml:space="preserve"> </w:t>
            </w:r>
            <w:r>
              <w:rPr>
                <w:spacing w:val="-1"/>
                <w:sz w:val="16"/>
              </w:rPr>
              <w:t>2020.CSR4</w:t>
            </w:r>
          </w:p>
          <w:p w:rsidR="00A56FE9" w:rsidRDefault="00000000">
            <w:pPr>
              <w:pStyle w:val="TableParagraph"/>
              <w:spacing w:line="183" w:lineRule="exact"/>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w:t>
            </w:r>
            <w:r>
              <w:rPr>
                <w:spacing w:val="-1"/>
                <w:sz w:val="16"/>
              </w:rPr>
              <w:t xml:space="preserve"> </w:t>
            </w:r>
            <w:r>
              <w:rPr>
                <w:sz w:val="16"/>
              </w:rPr>
              <w:t>ASSETS</w:t>
            </w:r>
            <w:r>
              <w:rPr>
                <w:spacing w:val="-1"/>
                <w:sz w:val="16"/>
              </w:rPr>
              <w:t xml:space="preserve"> </w:t>
            </w:r>
            <w:r>
              <w:rPr>
                <w:sz w:val="16"/>
              </w:rPr>
              <w:t>-</w:t>
            </w:r>
          </w:p>
          <w:p w:rsidR="00A56FE9" w:rsidRDefault="00000000">
            <w:pPr>
              <w:pStyle w:val="TableParagraph"/>
              <w:ind w:left="50" w:right="78"/>
              <w:rPr>
                <w:sz w:val="16"/>
              </w:rPr>
            </w:pPr>
            <w:r>
              <w:rPr>
                <w:sz w:val="16"/>
              </w:rPr>
              <w:t>Preventing and combating</w:t>
            </w:r>
            <w:r>
              <w:rPr>
                <w:spacing w:val="-37"/>
                <w:sz w:val="16"/>
              </w:rPr>
              <w:t xml:space="preserve"> </w:t>
            </w:r>
            <w:r>
              <w:rPr>
                <w:sz w:val="16"/>
              </w:rPr>
              <w:t>corruption</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23"/>
              <w:rPr>
                <w:sz w:val="16"/>
              </w:rPr>
            </w:pPr>
            <w:r>
              <w:rPr>
                <w:sz w:val="16"/>
              </w:rPr>
              <w:t>Process of adopting of</w:t>
            </w:r>
            <w:r>
              <w:rPr>
                <w:spacing w:val="1"/>
                <w:sz w:val="16"/>
              </w:rPr>
              <w:t xml:space="preserve"> </w:t>
            </w:r>
            <w:r>
              <w:rPr>
                <w:sz w:val="16"/>
              </w:rPr>
              <w:t>the Ordinance on the</w:t>
            </w:r>
            <w:r>
              <w:rPr>
                <w:spacing w:val="1"/>
                <w:sz w:val="16"/>
              </w:rPr>
              <w:t xml:space="preserve"> </w:t>
            </w:r>
            <w:r>
              <w:rPr>
                <w:sz w:val="16"/>
              </w:rPr>
              <w:t>Manner of Appointing a</w:t>
            </w:r>
            <w:r>
              <w:rPr>
                <w:spacing w:val="-37"/>
                <w:sz w:val="16"/>
              </w:rPr>
              <w:t xml:space="preserve"> </w:t>
            </w:r>
            <w:r>
              <w:rPr>
                <w:sz w:val="16"/>
              </w:rPr>
              <w:t>Confidential Person and</w:t>
            </w:r>
            <w:r>
              <w:rPr>
                <w:spacing w:val="-37"/>
                <w:sz w:val="16"/>
              </w:rPr>
              <w:t xml:space="preserve"> </w:t>
            </w:r>
            <w:r>
              <w:rPr>
                <w:sz w:val="16"/>
              </w:rPr>
              <w:t>the Procedure for</w:t>
            </w:r>
            <w:r>
              <w:rPr>
                <w:spacing w:val="1"/>
                <w:sz w:val="16"/>
              </w:rPr>
              <w:t xml:space="preserve"> </w:t>
            </w:r>
            <w:r>
              <w:rPr>
                <w:sz w:val="16"/>
              </w:rPr>
              <w:t>Internal Reporting to the</w:t>
            </w:r>
            <w:r>
              <w:rPr>
                <w:spacing w:val="-37"/>
                <w:sz w:val="16"/>
              </w:rPr>
              <w:t xml:space="preserve"> </w:t>
            </w:r>
            <w:r>
              <w:rPr>
                <w:sz w:val="16"/>
              </w:rPr>
              <w:t>MJPA</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11"/>
              <w:rPr>
                <w:sz w:val="16"/>
              </w:rPr>
            </w:pPr>
            <w:r>
              <w:rPr>
                <w:sz w:val="16"/>
              </w:rPr>
              <w:t>Adoption of</w:t>
            </w:r>
            <w:r>
              <w:rPr>
                <w:spacing w:val="1"/>
                <w:sz w:val="16"/>
              </w:rPr>
              <w:t xml:space="preserve"> </w:t>
            </w:r>
            <w:r>
              <w:rPr>
                <w:spacing w:val="-1"/>
                <w:sz w:val="16"/>
              </w:rPr>
              <w:t>the Ordinance</w:t>
            </w:r>
            <w:r>
              <w:rPr>
                <w:spacing w:val="-37"/>
                <w:sz w:val="16"/>
              </w:rPr>
              <w:t xml:space="preserve"> </w:t>
            </w:r>
            <w:r>
              <w:rPr>
                <w:sz w:val="16"/>
              </w:rPr>
              <w:t>on</w:t>
            </w:r>
            <w:r>
              <w:rPr>
                <w:spacing w:val="40"/>
                <w:sz w:val="16"/>
              </w:rPr>
              <w:t xml:space="preserve"> </w:t>
            </w:r>
            <w:r>
              <w:rPr>
                <w:sz w:val="16"/>
              </w:rPr>
              <w:t>the</w:t>
            </w:r>
            <w:r>
              <w:rPr>
                <w:spacing w:val="1"/>
                <w:sz w:val="16"/>
              </w:rPr>
              <w:t xml:space="preserve"> </w:t>
            </w:r>
            <w:r>
              <w:rPr>
                <w:sz w:val="16"/>
              </w:rPr>
              <w:t>Manner of</w:t>
            </w:r>
            <w:r>
              <w:rPr>
                <w:spacing w:val="1"/>
                <w:sz w:val="16"/>
              </w:rPr>
              <w:t xml:space="preserve"> </w:t>
            </w:r>
            <w:r>
              <w:rPr>
                <w:sz w:val="16"/>
              </w:rPr>
              <w:t>Appointing a</w:t>
            </w:r>
            <w:r>
              <w:rPr>
                <w:spacing w:val="1"/>
                <w:sz w:val="16"/>
              </w:rPr>
              <w:t xml:space="preserve"> </w:t>
            </w:r>
            <w:r>
              <w:rPr>
                <w:sz w:val="16"/>
              </w:rPr>
              <w:t>Confidential</w:t>
            </w:r>
            <w:r>
              <w:rPr>
                <w:spacing w:val="1"/>
                <w:sz w:val="16"/>
              </w:rPr>
              <w:t xml:space="preserve"> </w:t>
            </w:r>
            <w:r>
              <w:rPr>
                <w:sz w:val="16"/>
              </w:rPr>
              <w:t>Person</w:t>
            </w:r>
            <w:r>
              <w:rPr>
                <w:spacing w:val="3"/>
                <w:sz w:val="16"/>
              </w:rPr>
              <w:t xml:space="preserve"> </w:t>
            </w:r>
            <w:r>
              <w:rPr>
                <w:sz w:val="16"/>
              </w:rPr>
              <w:t>and</w:t>
            </w:r>
            <w:r>
              <w:rPr>
                <w:spacing w:val="1"/>
                <w:sz w:val="16"/>
              </w:rPr>
              <w:t xml:space="preserve"> </w:t>
            </w:r>
            <w:r>
              <w:rPr>
                <w:sz w:val="16"/>
              </w:rPr>
              <w:t>the Procedure</w:t>
            </w:r>
            <w:r>
              <w:rPr>
                <w:spacing w:val="-37"/>
                <w:sz w:val="16"/>
              </w:rPr>
              <w:t xml:space="preserve"> </w:t>
            </w:r>
            <w:r>
              <w:rPr>
                <w:sz w:val="16"/>
              </w:rPr>
              <w:t>for Internal</w:t>
            </w:r>
            <w:r>
              <w:rPr>
                <w:spacing w:val="1"/>
                <w:sz w:val="16"/>
              </w:rPr>
              <w:t xml:space="preserve"> </w:t>
            </w:r>
            <w:r>
              <w:rPr>
                <w:sz w:val="16"/>
              </w:rPr>
              <w:t>Reporting</w:t>
            </w:r>
            <w:r>
              <w:rPr>
                <w:spacing w:val="-2"/>
                <w:sz w:val="16"/>
              </w:rPr>
              <w:t xml:space="preserve"> </w:t>
            </w:r>
            <w:r>
              <w:rPr>
                <w:sz w:val="16"/>
              </w:rPr>
              <w:t>to</w:t>
            </w:r>
          </w:p>
          <w:p w:rsidR="00A56FE9" w:rsidRDefault="00000000">
            <w:pPr>
              <w:pStyle w:val="TableParagraph"/>
              <w:spacing w:line="168" w:lineRule="exact"/>
              <w:ind w:left="110"/>
              <w:rPr>
                <w:sz w:val="16"/>
              </w:rPr>
            </w:pPr>
            <w:r>
              <w:rPr>
                <w:sz w:val="16"/>
              </w:rPr>
              <w:t>the</w:t>
            </w:r>
            <w:r>
              <w:rPr>
                <w:spacing w:val="-4"/>
                <w:sz w:val="16"/>
              </w:rPr>
              <w:t xml:space="preserve"> </w:t>
            </w:r>
            <w:r>
              <w:rPr>
                <w:sz w:val="16"/>
              </w:rPr>
              <w:t>MJPA</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MJPA</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44"/>
              <w:rPr>
                <w:sz w:val="16"/>
              </w:rPr>
            </w:pPr>
            <w:r>
              <w:rPr>
                <w:sz w:val="16"/>
              </w:rPr>
              <w:t>Following the enactment of the Act on the</w:t>
            </w:r>
            <w:r>
              <w:rPr>
                <w:spacing w:val="1"/>
                <w:sz w:val="16"/>
              </w:rPr>
              <w:t xml:space="preserve"> </w:t>
            </w:r>
            <w:r>
              <w:rPr>
                <w:sz w:val="16"/>
              </w:rPr>
              <w:t>Protection of Whistleblowers, the Ordinance</w:t>
            </w:r>
            <w:r>
              <w:rPr>
                <w:spacing w:val="1"/>
                <w:sz w:val="16"/>
              </w:rPr>
              <w:t xml:space="preserve"> </w:t>
            </w:r>
            <w:r>
              <w:rPr>
                <w:sz w:val="16"/>
              </w:rPr>
              <w:t>on the Manner of Appointing a Confidential</w:t>
            </w:r>
            <w:r>
              <w:rPr>
                <w:spacing w:val="1"/>
                <w:sz w:val="16"/>
              </w:rPr>
              <w:t xml:space="preserve"> </w:t>
            </w:r>
            <w:r>
              <w:rPr>
                <w:sz w:val="16"/>
              </w:rPr>
              <w:t>Person</w:t>
            </w:r>
            <w:r>
              <w:rPr>
                <w:spacing w:val="-3"/>
                <w:sz w:val="16"/>
              </w:rPr>
              <w:t xml:space="preserve"> </w:t>
            </w:r>
            <w:r>
              <w:rPr>
                <w:sz w:val="16"/>
              </w:rPr>
              <w:t>for</w:t>
            </w:r>
            <w:r>
              <w:rPr>
                <w:spacing w:val="-4"/>
                <w:sz w:val="16"/>
              </w:rPr>
              <w:t xml:space="preserve"> </w:t>
            </w:r>
            <w:r>
              <w:rPr>
                <w:sz w:val="16"/>
              </w:rPr>
              <w:t>the</w:t>
            </w:r>
            <w:r>
              <w:rPr>
                <w:spacing w:val="-2"/>
                <w:sz w:val="16"/>
              </w:rPr>
              <w:t xml:space="preserve"> </w:t>
            </w:r>
            <w:r>
              <w:rPr>
                <w:sz w:val="16"/>
              </w:rPr>
              <w:t>Internal</w:t>
            </w:r>
            <w:r>
              <w:rPr>
                <w:spacing w:val="-4"/>
                <w:sz w:val="16"/>
              </w:rPr>
              <w:t xml:space="preserve"> </w:t>
            </w:r>
            <w:r>
              <w:rPr>
                <w:sz w:val="16"/>
              </w:rPr>
              <w:t>Reporting</w:t>
            </w:r>
            <w:r>
              <w:rPr>
                <w:spacing w:val="-4"/>
                <w:sz w:val="16"/>
              </w:rPr>
              <w:t xml:space="preserve"> </w:t>
            </w:r>
            <w:r>
              <w:rPr>
                <w:sz w:val="16"/>
              </w:rPr>
              <w:t>Procedure</w:t>
            </w:r>
            <w:r>
              <w:rPr>
                <w:spacing w:val="-5"/>
                <w:sz w:val="16"/>
              </w:rPr>
              <w:t xml:space="preserve"> </w:t>
            </w:r>
            <w:r>
              <w:rPr>
                <w:sz w:val="16"/>
              </w:rPr>
              <w:t>in</w:t>
            </w:r>
            <w:r>
              <w:rPr>
                <w:spacing w:val="-37"/>
                <w:sz w:val="16"/>
              </w:rPr>
              <w:t xml:space="preserve"> </w:t>
            </w:r>
            <w:r>
              <w:rPr>
                <w:sz w:val="16"/>
              </w:rPr>
              <w:t>the</w:t>
            </w:r>
            <w:r>
              <w:rPr>
                <w:spacing w:val="-5"/>
                <w:sz w:val="16"/>
              </w:rPr>
              <w:t xml:space="preserve"> </w:t>
            </w:r>
            <w:r>
              <w:rPr>
                <w:sz w:val="16"/>
              </w:rPr>
              <w:t>MJPA</w:t>
            </w:r>
            <w:r>
              <w:rPr>
                <w:spacing w:val="-3"/>
                <w:sz w:val="16"/>
              </w:rPr>
              <w:t xml:space="preserve"> </w:t>
            </w:r>
            <w:r>
              <w:rPr>
                <w:sz w:val="16"/>
              </w:rPr>
              <w:t>will</w:t>
            </w:r>
            <w:r>
              <w:rPr>
                <w:spacing w:val="-1"/>
                <w:sz w:val="16"/>
              </w:rPr>
              <w:t xml:space="preserve"> </w:t>
            </w:r>
            <w:r>
              <w:rPr>
                <w:sz w:val="16"/>
              </w:rPr>
              <w:t>be</w:t>
            </w:r>
            <w:r>
              <w:rPr>
                <w:spacing w:val="-2"/>
                <w:sz w:val="16"/>
              </w:rPr>
              <w:t xml:space="preserve"> </w:t>
            </w:r>
            <w:r>
              <w:rPr>
                <w:sz w:val="16"/>
              </w:rPr>
              <w:t>adopted.</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1656"/>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45</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0" w:lineRule="exact"/>
              <w:ind w:left="50"/>
              <w:rPr>
                <w:sz w:val="16"/>
              </w:rPr>
            </w:pPr>
            <w:r>
              <w:rPr>
                <w:sz w:val="16"/>
              </w:rPr>
              <w:t>2019.CSR3</w:t>
            </w:r>
          </w:p>
          <w:p w:rsidR="00A56FE9" w:rsidRDefault="00000000">
            <w:pPr>
              <w:pStyle w:val="TableParagraph"/>
              <w:ind w:left="50" w:right="38"/>
              <w:rPr>
                <w:sz w:val="16"/>
              </w:rPr>
            </w:pPr>
            <w:r>
              <w:rPr>
                <w:sz w:val="16"/>
              </w:rPr>
              <w:t>.subpart2,</w:t>
            </w:r>
            <w:r>
              <w:rPr>
                <w:spacing w:val="1"/>
                <w:sz w:val="16"/>
              </w:rPr>
              <w:t xml:space="preserve"> </w:t>
            </w:r>
            <w:r>
              <w:rPr>
                <w:spacing w:val="-1"/>
                <w:sz w:val="16"/>
              </w:rPr>
              <w:t>2020.CSR4</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w:t>
            </w:r>
            <w:r>
              <w:rPr>
                <w:spacing w:val="-1"/>
                <w:sz w:val="16"/>
              </w:rPr>
              <w:t xml:space="preserve"> </w:t>
            </w:r>
            <w:r>
              <w:rPr>
                <w:sz w:val="16"/>
              </w:rPr>
              <w:t>ASSETS</w:t>
            </w:r>
            <w:r>
              <w:rPr>
                <w:spacing w:val="-1"/>
                <w:sz w:val="16"/>
              </w:rPr>
              <w:t xml:space="preserve"> </w:t>
            </w:r>
            <w:r>
              <w:rPr>
                <w:sz w:val="16"/>
              </w:rPr>
              <w:t>-</w:t>
            </w:r>
          </w:p>
          <w:p w:rsidR="00A56FE9" w:rsidRDefault="00000000">
            <w:pPr>
              <w:pStyle w:val="TableParagraph"/>
              <w:ind w:left="50" w:right="187"/>
              <w:rPr>
                <w:sz w:val="16"/>
              </w:rPr>
            </w:pPr>
            <w:r>
              <w:rPr>
                <w:sz w:val="16"/>
              </w:rPr>
              <w:t>Providing preconditions</w:t>
            </w:r>
            <w:r>
              <w:rPr>
                <w:spacing w:val="1"/>
                <w:sz w:val="16"/>
              </w:rPr>
              <w:t xml:space="preserve"> </w:t>
            </w:r>
            <w:r>
              <w:rPr>
                <w:sz w:val="16"/>
              </w:rPr>
              <w:t>for systematic</w:t>
            </w:r>
            <w:r>
              <w:rPr>
                <w:spacing w:val="1"/>
                <w:sz w:val="16"/>
              </w:rPr>
              <w:t xml:space="preserve"> </w:t>
            </w:r>
            <w:r>
              <w:rPr>
                <w:sz w:val="16"/>
              </w:rPr>
              <w:t>strengthening of</w:t>
            </w:r>
            <w:r>
              <w:rPr>
                <w:spacing w:val="1"/>
                <w:sz w:val="16"/>
              </w:rPr>
              <w:t xml:space="preserve"> </w:t>
            </w:r>
            <w:r>
              <w:rPr>
                <w:spacing w:val="-1"/>
                <w:sz w:val="16"/>
              </w:rPr>
              <w:t>administrative</w:t>
            </w:r>
            <w:r>
              <w:rPr>
                <w:spacing w:val="-2"/>
                <w:sz w:val="16"/>
              </w:rPr>
              <w:t xml:space="preserve"> </w:t>
            </w:r>
            <w:r>
              <w:rPr>
                <w:sz w:val="16"/>
              </w:rPr>
              <w:t>capacities</w:t>
            </w:r>
          </w:p>
          <w:p w:rsidR="00A56FE9" w:rsidRDefault="00000000">
            <w:pPr>
              <w:pStyle w:val="TableParagraph"/>
              <w:spacing w:line="168" w:lineRule="exact"/>
              <w:ind w:left="50"/>
              <w:rPr>
                <w:sz w:val="16"/>
              </w:rPr>
            </w:pPr>
            <w:r>
              <w:rPr>
                <w:sz w:val="16"/>
              </w:rPr>
              <w:t>for</w:t>
            </w:r>
            <w:r>
              <w:rPr>
                <w:spacing w:val="-2"/>
                <w:sz w:val="16"/>
              </w:rPr>
              <w:t xml:space="preserve"> </w:t>
            </w:r>
            <w:r>
              <w:rPr>
                <w:sz w:val="16"/>
              </w:rPr>
              <w:t>the</w:t>
            </w:r>
            <w:r>
              <w:rPr>
                <w:spacing w:val="-3"/>
                <w:sz w:val="16"/>
              </w:rPr>
              <w:t xml:space="preserve"> </w:t>
            </w:r>
            <w:r>
              <w:rPr>
                <w:sz w:val="16"/>
              </w:rPr>
              <w:t>use</w:t>
            </w:r>
            <w:r>
              <w:rPr>
                <w:spacing w:val="-3"/>
                <w:sz w:val="16"/>
              </w:rPr>
              <w:t xml:space="preserve"> </w:t>
            </w:r>
            <w:r>
              <w:rPr>
                <w:sz w:val="16"/>
              </w:rPr>
              <w:t>of</w:t>
            </w:r>
            <w:r>
              <w:rPr>
                <w:spacing w:val="-1"/>
                <w:sz w:val="16"/>
              </w:rPr>
              <w:t xml:space="preserve"> </w:t>
            </w:r>
            <w:r>
              <w:rPr>
                <w:sz w:val="16"/>
              </w:rPr>
              <w:t>EU</w:t>
            </w:r>
            <w:r>
              <w:rPr>
                <w:spacing w:val="-2"/>
                <w:sz w:val="16"/>
              </w:rPr>
              <w:t xml:space="preserve"> </w:t>
            </w:r>
            <w:r>
              <w:rPr>
                <w:sz w:val="16"/>
              </w:rPr>
              <w:t>funds</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212"/>
              <w:rPr>
                <w:sz w:val="16"/>
              </w:rPr>
            </w:pPr>
            <w:r>
              <w:rPr>
                <w:sz w:val="16"/>
              </w:rPr>
              <w:t>Plan for strengthening</w:t>
            </w:r>
            <w:r>
              <w:rPr>
                <w:spacing w:val="1"/>
                <w:sz w:val="16"/>
              </w:rPr>
              <w:t xml:space="preserve"> </w:t>
            </w:r>
            <w:r>
              <w:rPr>
                <w:sz w:val="16"/>
              </w:rPr>
              <w:t>administrative capacity</w:t>
            </w:r>
            <w:r>
              <w:rPr>
                <w:spacing w:val="-37"/>
                <w:sz w:val="16"/>
              </w:rPr>
              <w:t xml:space="preserve"> </w:t>
            </w:r>
            <w:r>
              <w:rPr>
                <w:sz w:val="16"/>
              </w:rPr>
              <w:t>for programming and</w:t>
            </w:r>
            <w:r>
              <w:rPr>
                <w:spacing w:val="1"/>
                <w:sz w:val="16"/>
              </w:rPr>
              <w:t xml:space="preserve"> </w:t>
            </w:r>
            <w:r>
              <w:rPr>
                <w:sz w:val="16"/>
              </w:rPr>
              <w:t>implementation of EU</w:t>
            </w:r>
            <w:r>
              <w:rPr>
                <w:spacing w:val="1"/>
                <w:sz w:val="16"/>
              </w:rPr>
              <w:t xml:space="preserve"> </w:t>
            </w:r>
            <w:r>
              <w:rPr>
                <w:sz w:val="16"/>
              </w:rPr>
              <w:t>funds</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261"/>
              <w:jc w:val="right"/>
              <w:rPr>
                <w:sz w:val="16"/>
              </w:rPr>
            </w:pPr>
            <w:r>
              <w:rPr>
                <w:sz w:val="16"/>
              </w:rPr>
              <w:t>1</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MRDEUF</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24"/>
              <w:rPr>
                <w:sz w:val="16"/>
              </w:rPr>
            </w:pPr>
            <w:r>
              <w:rPr>
                <w:sz w:val="16"/>
              </w:rPr>
              <w:t>Based on the implementation of a</w:t>
            </w:r>
            <w:r>
              <w:rPr>
                <w:spacing w:val="1"/>
                <w:sz w:val="16"/>
              </w:rPr>
              <w:t xml:space="preserve"> </w:t>
            </w:r>
            <w:r>
              <w:rPr>
                <w:sz w:val="16"/>
              </w:rPr>
              <w:t>comprehensive analysis of the situation and</w:t>
            </w:r>
            <w:r>
              <w:rPr>
                <w:spacing w:val="1"/>
                <w:sz w:val="16"/>
              </w:rPr>
              <w:t xml:space="preserve"> </w:t>
            </w:r>
            <w:r>
              <w:rPr>
                <w:sz w:val="16"/>
              </w:rPr>
              <w:t>needs related to administrative capacity for the</w:t>
            </w:r>
            <w:r>
              <w:rPr>
                <w:spacing w:val="-38"/>
                <w:sz w:val="16"/>
              </w:rPr>
              <w:t xml:space="preserve"> </w:t>
            </w:r>
            <w:r>
              <w:rPr>
                <w:sz w:val="16"/>
              </w:rPr>
              <w:t>management of EU funds (covered through</w:t>
            </w:r>
            <w:r>
              <w:rPr>
                <w:spacing w:val="1"/>
                <w:sz w:val="16"/>
              </w:rPr>
              <w:t xml:space="preserve"> </w:t>
            </w:r>
            <w:r>
              <w:rPr>
                <w:sz w:val="16"/>
              </w:rPr>
              <w:t>three categories: people and organization;</w:t>
            </w:r>
            <w:r>
              <w:rPr>
                <w:spacing w:val="1"/>
                <w:sz w:val="16"/>
              </w:rPr>
              <w:t xml:space="preserve"> </w:t>
            </w:r>
            <w:r>
              <w:rPr>
                <w:sz w:val="16"/>
              </w:rPr>
              <w:t>strategic planning, programming and</w:t>
            </w:r>
            <w:r>
              <w:rPr>
                <w:spacing w:val="1"/>
                <w:sz w:val="16"/>
              </w:rPr>
              <w:t xml:space="preserve"> </w:t>
            </w:r>
            <w:r>
              <w:rPr>
                <w:sz w:val="16"/>
              </w:rPr>
              <w:t>implementation and beneficiaries and</w:t>
            </w:r>
            <w:r>
              <w:rPr>
                <w:spacing w:val="1"/>
                <w:sz w:val="16"/>
              </w:rPr>
              <w:t xml:space="preserve"> </w:t>
            </w:r>
            <w:r>
              <w:rPr>
                <w:sz w:val="16"/>
              </w:rPr>
              <w:t>stakeholders),</w:t>
            </w:r>
            <w:r>
              <w:rPr>
                <w:spacing w:val="-1"/>
                <w:sz w:val="16"/>
              </w:rPr>
              <w:t xml:space="preserve"> </w:t>
            </w:r>
            <w:r>
              <w:rPr>
                <w:sz w:val="16"/>
              </w:rPr>
              <w:t>and</w:t>
            </w:r>
            <w:r>
              <w:rPr>
                <w:spacing w:val="-2"/>
                <w:sz w:val="16"/>
              </w:rPr>
              <w:t xml:space="preserve"> </w:t>
            </w:r>
            <w:r>
              <w:rPr>
                <w:sz w:val="16"/>
              </w:rPr>
              <w:t>taking</w:t>
            </w:r>
            <w:r>
              <w:rPr>
                <w:spacing w:val="-2"/>
                <w:sz w:val="16"/>
              </w:rPr>
              <w:t xml:space="preserve"> </w:t>
            </w:r>
            <w:r>
              <w:rPr>
                <w:sz w:val="16"/>
              </w:rPr>
              <w:t>into</w:t>
            </w:r>
            <w:r>
              <w:rPr>
                <w:spacing w:val="-2"/>
                <w:sz w:val="16"/>
              </w:rPr>
              <w:t xml:space="preserve"> </w:t>
            </w:r>
            <w:r>
              <w:rPr>
                <w:sz w:val="16"/>
              </w:rPr>
              <w:t>account</w:t>
            </w:r>
            <w:r>
              <w:rPr>
                <w:spacing w:val="-2"/>
                <w:sz w:val="16"/>
              </w:rPr>
              <w:t xml:space="preserve"> </w:t>
            </w:r>
            <w:r>
              <w:rPr>
                <w:sz w:val="16"/>
              </w:rPr>
              <w:t>the</w:t>
            </w:r>
          </w:p>
          <w:p w:rsidR="00A56FE9" w:rsidRDefault="00000000">
            <w:pPr>
              <w:pStyle w:val="TableParagraph"/>
              <w:spacing w:line="167" w:lineRule="exact"/>
              <w:ind w:left="57"/>
              <w:rPr>
                <w:sz w:val="16"/>
              </w:rPr>
            </w:pPr>
            <w:r>
              <w:rPr>
                <w:sz w:val="16"/>
              </w:rPr>
              <w:t>experience</w:t>
            </w:r>
            <w:r>
              <w:rPr>
                <w:spacing w:val="-5"/>
                <w:sz w:val="16"/>
              </w:rPr>
              <w:t xml:space="preserve"> </w:t>
            </w:r>
            <w:r>
              <w:rPr>
                <w:sz w:val="16"/>
              </w:rPr>
              <w:t>and</w:t>
            </w:r>
            <w:r>
              <w:rPr>
                <w:spacing w:val="-3"/>
                <w:sz w:val="16"/>
              </w:rPr>
              <w:t xml:space="preserve"> </w:t>
            </w:r>
            <w:r>
              <w:rPr>
                <w:sz w:val="16"/>
              </w:rPr>
              <w:t>practices</w:t>
            </w:r>
            <w:r>
              <w:rPr>
                <w:spacing w:val="-3"/>
                <w:sz w:val="16"/>
              </w:rPr>
              <w:t xml:space="preserve"> </w:t>
            </w:r>
            <w:r>
              <w:rPr>
                <w:sz w:val="16"/>
              </w:rPr>
              <w:t>of</w:t>
            </w:r>
            <w:r>
              <w:rPr>
                <w:spacing w:val="-3"/>
                <w:sz w:val="16"/>
              </w:rPr>
              <w:t xml:space="preserve"> </w:t>
            </w:r>
            <w:r>
              <w:rPr>
                <w:sz w:val="16"/>
              </w:rPr>
              <w:t>existing</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1466"/>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management</w:t>
            </w:r>
            <w:r>
              <w:rPr>
                <w:spacing w:val="-1"/>
                <w:sz w:val="16"/>
              </w:rPr>
              <w:t xml:space="preserve"> </w:t>
            </w:r>
            <w:r>
              <w:rPr>
                <w:sz w:val="16"/>
              </w:rPr>
              <w:t>and</w:t>
            </w:r>
            <w:r>
              <w:rPr>
                <w:spacing w:val="-3"/>
                <w:sz w:val="16"/>
              </w:rPr>
              <w:t xml:space="preserve"> </w:t>
            </w:r>
            <w:r>
              <w:rPr>
                <w:sz w:val="16"/>
              </w:rPr>
              <w:t>control</w:t>
            </w:r>
            <w:r>
              <w:rPr>
                <w:spacing w:val="-2"/>
                <w:sz w:val="16"/>
              </w:rPr>
              <w:t xml:space="preserve"> </w:t>
            </w:r>
            <w:r>
              <w:rPr>
                <w:sz w:val="16"/>
              </w:rPr>
              <w:t>systems</w:t>
            </w:r>
            <w:r>
              <w:rPr>
                <w:spacing w:val="-2"/>
                <w:sz w:val="16"/>
              </w:rPr>
              <w:t xml:space="preserve"> </w:t>
            </w:r>
            <w:r>
              <w:rPr>
                <w:sz w:val="16"/>
              </w:rPr>
              <w:t>in</w:t>
            </w:r>
            <w:r>
              <w:rPr>
                <w:spacing w:val="-1"/>
                <w:sz w:val="16"/>
              </w:rPr>
              <w:t xml:space="preserve"> </w:t>
            </w:r>
            <w:r>
              <w:rPr>
                <w:sz w:val="16"/>
              </w:rPr>
              <w:t>the</w:t>
            </w:r>
            <w:r>
              <w:rPr>
                <w:spacing w:val="-3"/>
                <w:sz w:val="16"/>
              </w:rPr>
              <w:t xml:space="preserve"> </w:t>
            </w:r>
            <w:r>
              <w:rPr>
                <w:sz w:val="16"/>
              </w:rPr>
              <w:t>use</w:t>
            </w:r>
            <w:r>
              <w:rPr>
                <w:spacing w:val="-4"/>
                <w:sz w:val="16"/>
              </w:rPr>
              <w:t xml:space="preserve"> </w:t>
            </w:r>
            <w:r>
              <w:rPr>
                <w:sz w:val="16"/>
              </w:rPr>
              <w:t>of</w:t>
            </w:r>
          </w:p>
          <w:p w:rsidR="00A56FE9" w:rsidRDefault="00000000">
            <w:pPr>
              <w:pStyle w:val="TableParagraph"/>
              <w:spacing w:before="1"/>
              <w:ind w:left="57" w:right="37"/>
              <w:rPr>
                <w:sz w:val="16"/>
              </w:rPr>
            </w:pPr>
            <w:r>
              <w:rPr>
                <w:sz w:val="16"/>
              </w:rPr>
              <w:t>EU funds 2014-2020, the application of the</w:t>
            </w:r>
            <w:r>
              <w:rPr>
                <w:spacing w:val="1"/>
                <w:sz w:val="16"/>
              </w:rPr>
              <w:t xml:space="preserve"> </w:t>
            </w:r>
            <w:r>
              <w:rPr>
                <w:sz w:val="16"/>
              </w:rPr>
              <w:t>principle of involvement of competent</w:t>
            </w:r>
            <w:r>
              <w:rPr>
                <w:spacing w:val="1"/>
                <w:sz w:val="16"/>
              </w:rPr>
              <w:t xml:space="preserve"> </w:t>
            </w:r>
            <w:r>
              <w:rPr>
                <w:sz w:val="16"/>
              </w:rPr>
              <w:t>authorities and relevant stakeholders, goals,</w:t>
            </w:r>
            <w:r>
              <w:rPr>
                <w:spacing w:val="1"/>
                <w:sz w:val="16"/>
              </w:rPr>
              <w:t xml:space="preserve"> </w:t>
            </w:r>
            <w:r>
              <w:rPr>
                <w:sz w:val="16"/>
              </w:rPr>
              <w:t>activities and measures aimed at strengthening</w:t>
            </w:r>
            <w:r>
              <w:rPr>
                <w:spacing w:val="-37"/>
                <w:sz w:val="16"/>
              </w:rPr>
              <w:t xml:space="preserve"> </w:t>
            </w:r>
            <w:r>
              <w:rPr>
                <w:sz w:val="16"/>
              </w:rPr>
              <w:t>administrative capacity will be defined in the</w:t>
            </w:r>
            <w:r>
              <w:rPr>
                <w:spacing w:val="1"/>
                <w:sz w:val="16"/>
              </w:rPr>
              <w:t xml:space="preserve"> </w:t>
            </w:r>
            <w:r>
              <w:rPr>
                <w:sz w:val="16"/>
              </w:rPr>
              <w:t>entire</w:t>
            </w:r>
            <w:r>
              <w:rPr>
                <w:spacing w:val="-4"/>
                <w:sz w:val="16"/>
              </w:rPr>
              <w:t xml:space="preserve"> </w:t>
            </w:r>
            <w:r>
              <w:rPr>
                <w:sz w:val="16"/>
              </w:rPr>
              <w:t>seven-year</w:t>
            </w:r>
            <w:r>
              <w:rPr>
                <w:spacing w:val="-2"/>
                <w:sz w:val="16"/>
              </w:rPr>
              <w:t xml:space="preserve"> </w:t>
            </w:r>
            <w:r>
              <w:rPr>
                <w:sz w:val="16"/>
              </w:rPr>
              <w:t>financial</w:t>
            </w:r>
            <w:r>
              <w:rPr>
                <w:spacing w:val="-5"/>
                <w:sz w:val="16"/>
              </w:rPr>
              <w:t xml:space="preserve"> </w:t>
            </w:r>
            <w:r>
              <w:rPr>
                <w:sz w:val="16"/>
              </w:rPr>
              <w:t>perspective</w:t>
            </w:r>
            <w:r>
              <w:rPr>
                <w:spacing w:val="-3"/>
                <w:sz w:val="16"/>
              </w:rPr>
              <w:t xml:space="preserve"> </w:t>
            </w:r>
            <w:r>
              <w:rPr>
                <w:sz w:val="16"/>
              </w:rPr>
              <w:t>2021-</w:t>
            </w:r>
          </w:p>
          <w:p w:rsidR="00A56FE9" w:rsidRDefault="00000000">
            <w:pPr>
              <w:pStyle w:val="TableParagraph"/>
              <w:spacing w:line="168" w:lineRule="exact"/>
              <w:ind w:left="57"/>
              <w:rPr>
                <w:sz w:val="16"/>
              </w:rPr>
            </w:pPr>
            <w:r>
              <w:rPr>
                <w:sz w:val="16"/>
              </w:rPr>
              <w:t>2027.</w:t>
            </w:r>
          </w:p>
        </w:tc>
        <w:tc>
          <w:tcPr>
            <w:tcW w:w="112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239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46</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10</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 ASSETS -</w:t>
            </w:r>
            <w:r>
              <w:rPr>
                <w:spacing w:val="1"/>
                <w:sz w:val="16"/>
              </w:rPr>
              <w:t xml:space="preserve"> </w:t>
            </w:r>
            <w:r>
              <w:rPr>
                <w:sz w:val="16"/>
              </w:rPr>
              <w:t>WORKING</w:t>
            </w:r>
            <w:r>
              <w:rPr>
                <w:spacing w:val="-2"/>
                <w:sz w:val="16"/>
              </w:rPr>
              <w:t xml:space="preserve"> </w:t>
            </w:r>
            <w:r>
              <w:rPr>
                <w:sz w:val="16"/>
              </w:rPr>
              <w:t>WITH</w:t>
            </w:r>
          </w:p>
          <w:p w:rsidR="00A56FE9" w:rsidRDefault="00000000">
            <w:pPr>
              <w:pStyle w:val="TableParagraph"/>
              <w:ind w:left="50" w:right="55"/>
              <w:rPr>
                <w:sz w:val="16"/>
              </w:rPr>
            </w:pPr>
            <w:r>
              <w:rPr>
                <w:sz w:val="16"/>
              </w:rPr>
              <w:t>FOREIGNERS Improving</w:t>
            </w:r>
            <w:r>
              <w:rPr>
                <w:spacing w:val="-38"/>
                <w:sz w:val="16"/>
              </w:rPr>
              <w:t xml:space="preserve"> </w:t>
            </w:r>
            <w:r>
              <w:rPr>
                <w:sz w:val="16"/>
              </w:rPr>
              <w:t>working</w:t>
            </w:r>
            <w:r>
              <w:rPr>
                <w:spacing w:val="-4"/>
                <w:sz w:val="16"/>
              </w:rPr>
              <w:t xml:space="preserve"> </w:t>
            </w:r>
            <w:r>
              <w:rPr>
                <w:sz w:val="16"/>
              </w:rPr>
              <w:t>with</w:t>
            </w:r>
            <w:r>
              <w:rPr>
                <w:spacing w:val="-1"/>
                <w:sz w:val="16"/>
              </w:rPr>
              <w:t xml:space="preserve"> </w:t>
            </w:r>
            <w:r>
              <w:rPr>
                <w:sz w:val="16"/>
              </w:rPr>
              <w:t>foreigners</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76"/>
              <w:rPr>
                <w:sz w:val="16"/>
              </w:rPr>
            </w:pPr>
            <w:r>
              <w:rPr>
                <w:sz w:val="16"/>
              </w:rPr>
              <w:t>Procurement</w:t>
            </w:r>
            <w:r>
              <w:rPr>
                <w:spacing w:val="-1"/>
                <w:sz w:val="16"/>
              </w:rPr>
              <w:t xml:space="preserve"> </w:t>
            </w:r>
            <w:r>
              <w:rPr>
                <w:sz w:val="16"/>
              </w:rPr>
              <w:t>of</w:t>
            </w:r>
            <w:r>
              <w:rPr>
                <w:spacing w:val="1"/>
                <w:sz w:val="16"/>
              </w:rPr>
              <w:t xml:space="preserve"> </w:t>
            </w:r>
            <w:r>
              <w:rPr>
                <w:sz w:val="16"/>
              </w:rPr>
              <w:t>IT</w:t>
            </w:r>
            <w:r>
              <w:rPr>
                <w:spacing w:val="1"/>
                <w:sz w:val="16"/>
              </w:rPr>
              <w:t xml:space="preserve"> </w:t>
            </w:r>
            <w:r>
              <w:rPr>
                <w:sz w:val="16"/>
              </w:rPr>
              <w:t>equipment for police</w:t>
            </w:r>
            <w:r>
              <w:rPr>
                <w:spacing w:val="1"/>
                <w:sz w:val="16"/>
              </w:rPr>
              <w:t xml:space="preserve"> </w:t>
            </w:r>
            <w:r>
              <w:rPr>
                <w:sz w:val="16"/>
              </w:rPr>
              <w:t>departments and police</w:t>
            </w:r>
            <w:r>
              <w:rPr>
                <w:spacing w:val="1"/>
                <w:sz w:val="16"/>
              </w:rPr>
              <w:t xml:space="preserve"> </w:t>
            </w:r>
            <w:r>
              <w:rPr>
                <w:sz w:val="16"/>
              </w:rPr>
              <w:t>stations using EU funds</w:t>
            </w:r>
            <w:r>
              <w:rPr>
                <w:spacing w:val="-37"/>
                <w:sz w:val="16"/>
              </w:rPr>
              <w:t xml:space="preserve"> </w:t>
            </w:r>
            <w:r>
              <w:rPr>
                <w:sz w:val="16"/>
              </w:rPr>
              <w:t>for officials working on</w:t>
            </w:r>
            <w:r>
              <w:rPr>
                <w:spacing w:val="-37"/>
                <w:sz w:val="16"/>
              </w:rPr>
              <w:t xml:space="preserve"> </w:t>
            </w:r>
            <w:r>
              <w:rPr>
                <w:sz w:val="16"/>
              </w:rPr>
              <w:t>administrative affairs</w:t>
            </w:r>
            <w:r>
              <w:rPr>
                <w:spacing w:val="1"/>
                <w:sz w:val="16"/>
              </w:rPr>
              <w:t xml:space="preserve"> </w:t>
            </w:r>
            <w:r>
              <w:rPr>
                <w:sz w:val="16"/>
              </w:rPr>
              <w:t>with foreigners</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8"/>
              <w:jc w:val="center"/>
              <w:rPr>
                <w:sz w:val="16"/>
              </w:rPr>
            </w:pPr>
            <w:r>
              <w:rPr>
                <w:sz w:val="16"/>
              </w:rPr>
              <w:t>1</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MI</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49"/>
              <w:rPr>
                <w:sz w:val="16"/>
              </w:rPr>
            </w:pPr>
            <w:r>
              <w:rPr>
                <w:sz w:val="16"/>
              </w:rPr>
              <w:t>Due to a significant increase in the number of</w:t>
            </w:r>
            <w:r>
              <w:rPr>
                <w:spacing w:val="1"/>
                <w:sz w:val="16"/>
              </w:rPr>
              <w:t xml:space="preserve"> </w:t>
            </w:r>
            <w:r>
              <w:rPr>
                <w:sz w:val="16"/>
              </w:rPr>
              <w:t>third-country nationals with regulated stays in</w:t>
            </w:r>
            <w:r>
              <w:rPr>
                <w:spacing w:val="1"/>
                <w:sz w:val="16"/>
              </w:rPr>
              <w:t xml:space="preserve"> </w:t>
            </w:r>
            <w:r>
              <w:rPr>
                <w:sz w:val="16"/>
              </w:rPr>
              <w:t>the Republic of Croatia, a specific challenge is</w:t>
            </w:r>
            <w:r>
              <w:rPr>
                <w:spacing w:val="-37"/>
                <w:sz w:val="16"/>
              </w:rPr>
              <w:t xml:space="preserve"> </w:t>
            </w:r>
            <w:r>
              <w:rPr>
                <w:sz w:val="16"/>
              </w:rPr>
              <w:t>the processing of requests for regulating</w:t>
            </w:r>
            <w:r>
              <w:rPr>
                <w:spacing w:val="1"/>
                <w:sz w:val="16"/>
              </w:rPr>
              <w:t xml:space="preserve"> </w:t>
            </w:r>
            <w:r>
              <w:rPr>
                <w:sz w:val="16"/>
              </w:rPr>
              <w:t>residency in the Republic of Croatia, given the</w:t>
            </w:r>
            <w:r>
              <w:rPr>
                <w:spacing w:val="-37"/>
                <w:sz w:val="16"/>
              </w:rPr>
              <w:t xml:space="preserve"> </w:t>
            </w:r>
            <w:r>
              <w:rPr>
                <w:sz w:val="16"/>
              </w:rPr>
              <w:t>level</w:t>
            </w:r>
            <w:r>
              <w:rPr>
                <w:spacing w:val="-3"/>
                <w:sz w:val="16"/>
              </w:rPr>
              <w:t xml:space="preserve"> </w:t>
            </w:r>
            <w:r>
              <w:rPr>
                <w:sz w:val="16"/>
              </w:rPr>
              <w:t>of</w:t>
            </w:r>
            <w:r>
              <w:rPr>
                <w:spacing w:val="-3"/>
                <w:sz w:val="16"/>
              </w:rPr>
              <w:t xml:space="preserve"> </w:t>
            </w:r>
            <w:r>
              <w:rPr>
                <w:sz w:val="16"/>
              </w:rPr>
              <w:t>equipment</w:t>
            </w:r>
            <w:r>
              <w:rPr>
                <w:spacing w:val="-3"/>
                <w:sz w:val="16"/>
              </w:rPr>
              <w:t xml:space="preserve"> </w:t>
            </w:r>
            <w:r>
              <w:rPr>
                <w:sz w:val="16"/>
              </w:rPr>
              <w:t>and</w:t>
            </w:r>
            <w:r>
              <w:rPr>
                <w:spacing w:val="-3"/>
                <w:sz w:val="16"/>
              </w:rPr>
              <w:t xml:space="preserve"> </w:t>
            </w:r>
            <w:r>
              <w:rPr>
                <w:sz w:val="16"/>
              </w:rPr>
              <w:t>obsolete</w:t>
            </w:r>
            <w:r>
              <w:rPr>
                <w:spacing w:val="-3"/>
                <w:sz w:val="16"/>
              </w:rPr>
              <w:t xml:space="preserve"> </w:t>
            </w:r>
            <w:r>
              <w:rPr>
                <w:sz w:val="16"/>
              </w:rPr>
              <w:t>equipment.</w:t>
            </w:r>
          </w:p>
          <w:p w:rsidR="00A56FE9" w:rsidRDefault="00000000">
            <w:pPr>
              <w:pStyle w:val="TableParagraph"/>
              <w:ind w:left="57" w:right="36"/>
              <w:rPr>
                <w:sz w:val="16"/>
              </w:rPr>
            </w:pPr>
            <w:r>
              <w:rPr>
                <w:sz w:val="16"/>
              </w:rPr>
              <w:t>Therefore, the project of purchasing IT</w:t>
            </w:r>
            <w:r>
              <w:rPr>
                <w:spacing w:val="1"/>
                <w:sz w:val="16"/>
              </w:rPr>
              <w:t xml:space="preserve"> </w:t>
            </w:r>
            <w:r>
              <w:rPr>
                <w:sz w:val="16"/>
              </w:rPr>
              <w:t>equipment for regulating the stay of third-</w:t>
            </w:r>
            <w:r>
              <w:rPr>
                <w:spacing w:val="1"/>
                <w:sz w:val="16"/>
              </w:rPr>
              <w:t xml:space="preserve"> </w:t>
            </w:r>
            <w:r>
              <w:rPr>
                <w:sz w:val="16"/>
              </w:rPr>
              <w:t>country nationals was developed. In this</w:t>
            </w:r>
            <w:r>
              <w:rPr>
                <w:spacing w:val="1"/>
                <w:sz w:val="16"/>
              </w:rPr>
              <w:t xml:space="preserve"> </w:t>
            </w:r>
            <w:r>
              <w:rPr>
                <w:sz w:val="16"/>
              </w:rPr>
              <w:t>regard, a project for the procurement of IT</w:t>
            </w:r>
            <w:r>
              <w:rPr>
                <w:spacing w:val="1"/>
                <w:sz w:val="16"/>
              </w:rPr>
              <w:t xml:space="preserve"> </w:t>
            </w:r>
            <w:r>
              <w:rPr>
                <w:sz w:val="16"/>
              </w:rPr>
              <w:t>equipment from the national Asylum,</w:t>
            </w:r>
            <w:r>
              <w:rPr>
                <w:spacing w:val="1"/>
                <w:sz w:val="16"/>
              </w:rPr>
              <w:t xml:space="preserve"> </w:t>
            </w:r>
            <w:r>
              <w:rPr>
                <w:sz w:val="16"/>
              </w:rPr>
              <w:t>Migration</w:t>
            </w:r>
            <w:r>
              <w:rPr>
                <w:spacing w:val="-6"/>
                <w:sz w:val="16"/>
              </w:rPr>
              <w:t xml:space="preserve"> </w:t>
            </w:r>
            <w:r>
              <w:rPr>
                <w:sz w:val="16"/>
              </w:rPr>
              <w:t>and</w:t>
            </w:r>
            <w:r>
              <w:rPr>
                <w:spacing w:val="-6"/>
                <w:sz w:val="16"/>
              </w:rPr>
              <w:t xml:space="preserve"> </w:t>
            </w:r>
            <w:r>
              <w:rPr>
                <w:sz w:val="16"/>
              </w:rPr>
              <w:t>Integration</w:t>
            </w:r>
            <w:r>
              <w:rPr>
                <w:spacing w:val="-4"/>
                <w:sz w:val="16"/>
              </w:rPr>
              <w:t xml:space="preserve"> </w:t>
            </w:r>
            <w:r>
              <w:rPr>
                <w:sz w:val="16"/>
              </w:rPr>
              <w:t>Fund</w:t>
            </w:r>
            <w:r>
              <w:rPr>
                <w:spacing w:val="-5"/>
                <w:sz w:val="16"/>
              </w:rPr>
              <w:t xml:space="preserve"> </w:t>
            </w:r>
            <w:r>
              <w:rPr>
                <w:sz w:val="16"/>
              </w:rPr>
              <w:t>(AMIF)</w:t>
            </w:r>
            <w:r>
              <w:rPr>
                <w:spacing w:val="-3"/>
                <w:sz w:val="16"/>
              </w:rPr>
              <w:t xml:space="preserve"> </w:t>
            </w:r>
            <w:r>
              <w:rPr>
                <w:sz w:val="16"/>
              </w:rPr>
              <w:t>will</w:t>
            </w:r>
          </w:p>
          <w:p w:rsidR="00A56FE9" w:rsidRDefault="00000000">
            <w:pPr>
              <w:pStyle w:val="TableParagraph"/>
              <w:spacing w:line="168" w:lineRule="exact"/>
              <w:ind w:left="57"/>
              <w:rPr>
                <w:sz w:val="16"/>
              </w:rPr>
            </w:pPr>
            <w:r>
              <w:rPr>
                <w:sz w:val="16"/>
              </w:rPr>
              <w:t>be</w:t>
            </w:r>
            <w:r>
              <w:rPr>
                <w:spacing w:val="-6"/>
                <w:sz w:val="16"/>
              </w:rPr>
              <w:t xml:space="preserve"> </w:t>
            </w:r>
            <w:r>
              <w:rPr>
                <w:sz w:val="16"/>
              </w:rPr>
              <w:t>developed.</w:t>
            </w:r>
          </w:p>
        </w:tc>
        <w:tc>
          <w:tcPr>
            <w:tcW w:w="112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84"/>
              <w:rPr>
                <w:sz w:val="16"/>
              </w:rPr>
            </w:pPr>
            <w:r>
              <w:rPr>
                <w:sz w:val="16"/>
              </w:rPr>
              <w:t>5.270.000</w:t>
            </w:r>
          </w:p>
        </w:tc>
      </w:tr>
      <w:tr w:rsidR="00A56FE9">
        <w:trPr>
          <w:trHeight w:val="349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47</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10</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 ASSETS -</w:t>
            </w:r>
            <w:r>
              <w:rPr>
                <w:spacing w:val="1"/>
                <w:sz w:val="16"/>
              </w:rPr>
              <w:t xml:space="preserve"> </w:t>
            </w:r>
            <w:r>
              <w:rPr>
                <w:sz w:val="16"/>
              </w:rPr>
              <w:t>WORKING</w:t>
            </w:r>
            <w:r>
              <w:rPr>
                <w:spacing w:val="-2"/>
                <w:sz w:val="16"/>
              </w:rPr>
              <w:t xml:space="preserve"> </w:t>
            </w:r>
            <w:r>
              <w:rPr>
                <w:sz w:val="16"/>
              </w:rPr>
              <w:t>WITH</w:t>
            </w:r>
          </w:p>
          <w:p w:rsidR="00A56FE9" w:rsidRDefault="00000000">
            <w:pPr>
              <w:pStyle w:val="TableParagraph"/>
              <w:ind w:left="50" w:right="55"/>
              <w:rPr>
                <w:sz w:val="16"/>
              </w:rPr>
            </w:pPr>
            <w:r>
              <w:rPr>
                <w:sz w:val="16"/>
              </w:rPr>
              <w:t>FOREIGNERS Improving</w:t>
            </w:r>
            <w:r>
              <w:rPr>
                <w:spacing w:val="-38"/>
                <w:sz w:val="16"/>
              </w:rPr>
              <w:t xml:space="preserve"> </w:t>
            </w:r>
            <w:r>
              <w:rPr>
                <w:sz w:val="16"/>
              </w:rPr>
              <w:t>working</w:t>
            </w:r>
            <w:r>
              <w:rPr>
                <w:spacing w:val="-4"/>
                <w:sz w:val="16"/>
              </w:rPr>
              <w:t xml:space="preserve"> </w:t>
            </w:r>
            <w:r>
              <w:rPr>
                <w:sz w:val="16"/>
              </w:rPr>
              <w:t>with</w:t>
            </w:r>
            <w:r>
              <w:rPr>
                <w:spacing w:val="-1"/>
                <w:sz w:val="16"/>
              </w:rPr>
              <w:t xml:space="preserve"> </w:t>
            </w:r>
            <w:r>
              <w:rPr>
                <w:sz w:val="16"/>
              </w:rPr>
              <w:t>foreigners</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05"/>
              <w:rPr>
                <w:sz w:val="16"/>
              </w:rPr>
            </w:pPr>
            <w:r>
              <w:rPr>
                <w:sz w:val="16"/>
              </w:rPr>
              <w:t>Improving the</w:t>
            </w:r>
            <w:r>
              <w:rPr>
                <w:spacing w:val="1"/>
                <w:sz w:val="16"/>
              </w:rPr>
              <w:t xml:space="preserve"> </w:t>
            </w:r>
            <w:r>
              <w:rPr>
                <w:sz w:val="16"/>
              </w:rPr>
              <w:t>information of</w:t>
            </w:r>
            <w:r>
              <w:rPr>
                <w:spacing w:val="1"/>
                <w:sz w:val="16"/>
              </w:rPr>
              <w:t xml:space="preserve"> </w:t>
            </w:r>
            <w:r>
              <w:rPr>
                <w:sz w:val="16"/>
              </w:rPr>
              <w:t>stakeholders on the</w:t>
            </w:r>
            <w:r>
              <w:rPr>
                <w:spacing w:val="1"/>
                <w:sz w:val="16"/>
              </w:rPr>
              <w:t xml:space="preserve"> </w:t>
            </w:r>
            <w:r>
              <w:rPr>
                <w:sz w:val="16"/>
              </w:rPr>
              <w:t>implementation of the</w:t>
            </w:r>
            <w:r>
              <w:rPr>
                <w:spacing w:val="1"/>
                <w:sz w:val="16"/>
              </w:rPr>
              <w:t xml:space="preserve"> </w:t>
            </w:r>
            <w:r>
              <w:rPr>
                <w:sz w:val="16"/>
              </w:rPr>
              <w:t>procedure for regulating</w:t>
            </w:r>
            <w:r>
              <w:rPr>
                <w:spacing w:val="1"/>
                <w:sz w:val="16"/>
              </w:rPr>
              <w:t xml:space="preserve"> </w:t>
            </w:r>
            <w:r>
              <w:rPr>
                <w:sz w:val="16"/>
              </w:rPr>
              <w:t>residence and work</w:t>
            </w:r>
            <w:r>
              <w:rPr>
                <w:spacing w:val="1"/>
                <w:sz w:val="16"/>
              </w:rPr>
              <w:t xml:space="preserve"> </w:t>
            </w:r>
            <w:r>
              <w:rPr>
                <w:sz w:val="16"/>
              </w:rPr>
              <w:t>permits by holding</w:t>
            </w:r>
            <w:r>
              <w:rPr>
                <w:spacing w:val="1"/>
                <w:sz w:val="16"/>
              </w:rPr>
              <w:t xml:space="preserve"> </w:t>
            </w:r>
            <w:r>
              <w:rPr>
                <w:sz w:val="16"/>
              </w:rPr>
              <w:t>seminars with</w:t>
            </w:r>
            <w:r>
              <w:rPr>
                <w:spacing w:val="1"/>
                <w:sz w:val="16"/>
              </w:rPr>
              <w:t xml:space="preserve"> </w:t>
            </w:r>
            <w:r>
              <w:rPr>
                <w:sz w:val="16"/>
              </w:rPr>
              <w:t>representatives of</w:t>
            </w:r>
            <w:r>
              <w:rPr>
                <w:spacing w:val="1"/>
                <w:sz w:val="16"/>
              </w:rPr>
              <w:t xml:space="preserve"> </w:t>
            </w:r>
            <w:r>
              <w:rPr>
                <w:sz w:val="16"/>
              </w:rPr>
              <w:t>professional associations</w:t>
            </w:r>
            <w:r>
              <w:rPr>
                <w:spacing w:val="-37"/>
                <w:sz w:val="16"/>
              </w:rPr>
              <w:t xml:space="preserve"> </w:t>
            </w:r>
            <w:r>
              <w:rPr>
                <w:sz w:val="16"/>
              </w:rPr>
              <w:t>of employers (Croatian</w:t>
            </w:r>
            <w:r>
              <w:rPr>
                <w:spacing w:val="1"/>
                <w:sz w:val="16"/>
              </w:rPr>
              <w:t xml:space="preserve"> </w:t>
            </w:r>
            <w:r>
              <w:rPr>
                <w:sz w:val="16"/>
              </w:rPr>
              <w:t>Employer’s</w:t>
            </w:r>
            <w:r>
              <w:rPr>
                <w:spacing w:val="-3"/>
                <w:sz w:val="16"/>
              </w:rPr>
              <w:t xml:space="preserve"> </w:t>
            </w:r>
            <w:r>
              <w:rPr>
                <w:sz w:val="16"/>
              </w:rPr>
              <w:t>Association</w:t>
            </w:r>
          </w:p>
          <w:p w:rsidR="00A56FE9" w:rsidRDefault="00000000">
            <w:pPr>
              <w:pStyle w:val="TableParagraph"/>
              <w:ind w:left="109" w:right="194"/>
              <w:rPr>
                <w:sz w:val="16"/>
              </w:rPr>
            </w:pPr>
            <w:r>
              <w:rPr>
                <w:sz w:val="16"/>
              </w:rPr>
              <w:t>-</w:t>
            </w:r>
            <w:r>
              <w:rPr>
                <w:spacing w:val="-1"/>
                <w:sz w:val="16"/>
              </w:rPr>
              <w:t xml:space="preserve"> </w:t>
            </w:r>
            <w:r>
              <w:rPr>
                <w:sz w:val="16"/>
              </w:rPr>
              <w:t>HUP,</w:t>
            </w:r>
            <w:r>
              <w:rPr>
                <w:spacing w:val="1"/>
                <w:sz w:val="16"/>
              </w:rPr>
              <w:t xml:space="preserve"> </w:t>
            </w:r>
            <w:r>
              <w:rPr>
                <w:sz w:val="16"/>
              </w:rPr>
              <w:t>Croatian</w:t>
            </w:r>
            <w:r>
              <w:rPr>
                <w:spacing w:val="1"/>
                <w:sz w:val="16"/>
              </w:rPr>
              <w:t xml:space="preserve"> </w:t>
            </w:r>
            <w:r>
              <w:rPr>
                <w:sz w:val="16"/>
              </w:rPr>
              <w:t>Chamber of Trades and</w:t>
            </w:r>
            <w:r>
              <w:rPr>
                <w:spacing w:val="-37"/>
                <w:sz w:val="16"/>
              </w:rPr>
              <w:t xml:space="preserve"> </w:t>
            </w:r>
            <w:r>
              <w:rPr>
                <w:sz w:val="16"/>
              </w:rPr>
              <w:t>Crafts - HOK, Croatian</w:t>
            </w:r>
            <w:r>
              <w:rPr>
                <w:spacing w:val="-37"/>
                <w:sz w:val="16"/>
              </w:rPr>
              <w:t xml:space="preserve"> </w:t>
            </w:r>
            <w:r>
              <w:rPr>
                <w:sz w:val="16"/>
              </w:rPr>
              <w:t>Chamber of Economy -</w:t>
            </w:r>
            <w:r>
              <w:rPr>
                <w:spacing w:val="-37"/>
                <w:sz w:val="16"/>
              </w:rPr>
              <w:t xml:space="preserve"> </w:t>
            </w:r>
            <w:r>
              <w:rPr>
                <w:sz w:val="16"/>
              </w:rPr>
              <w:t>HGK)</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11"/>
              <w:rPr>
                <w:sz w:val="16"/>
              </w:rPr>
            </w:pPr>
            <w:r>
              <w:rPr>
                <w:sz w:val="16"/>
              </w:rPr>
              <w:t>%</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61" w:right="40"/>
              <w:jc w:val="center"/>
              <w:rPr>
                <w:sz w:val="16"/>
              </w:rPr>
            </w:pPr>
            <w:r>
              <w:rPr>
                <w:sz w:val="16"/>
              </w:rPr>
              <w:t>100%</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MI</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35"/>
              <w:rPr>
                <w:sz w:val="16"/>
              </w:rPr>
            </w:pPr>
            <w:r>
              <w:rPr>
                <w:sz w:val="16"/>
              </w:rPr>
              <w:t>Given the complexity of the legislative</w:t>
            </w:r>
            <w:r>
              <w:rPr>
                <w:spacing w:val="1"/>
                <w:sz w:val="16"/>
              </w:rPr>
              <w:t xml:space="preserve"> </w:t>
            </w:r>
            <w:r>
              <w:rPr>
                <w:sz w:val="16"/>
              </w:rPr>
              <w:t>framework related to the employment of third-</w:t>
            </w:r>
            <w:r>
              <w:rPr>
                <w:spacing w:val="-37"/>
                <w:sz w:val="16"/>
              </w:rPr>
              <w:t xml:space="preserve"> </w:t>
            </w:r>
            <w:r>
              <w:rPr>
                <w:sz w:val="16"/>
              </w:rPr>
              <w:t>country nationals and to further sensitise</w:t>
            </w:r>
            <w:r>
              <w:rPr>
                <w:spacing w:val="1"/>
                <w:sz w:val="16"/>
              </w:rPr>
              <w:t xml:space="preserve"> </w:t>
            </w:r>
            <w:r>
              <w:rPr>
                <w:sz w:val="16"/>
              </w:rPr>
              <w:t>employers of the conditions and</w:t>
            </w:r>
            <w:r>
              <w:rPr>
                <w:spacing w:val="1"/>
                <w:sz w:val="16"/>
              </w:rPr>
              <w:t xml:space="preserve"> </w:t>
            </w:r>
            <w:r>
              <w:rPr>
                <w:sz w:val="16"/>
              </w:rPr>
              <w:t>documentation related to the implementation</w:t>
            </w:r>
            <w:r>
              <w:rPr>
                <w:spacing w:val="1"/>
                <w:sz w:val="16"/>
              </w:rPr>
              <w:t xml:space="preserve"> </w:t>
            </w:r>
            <w:r>
              <w:rPr>
                <w:sz w:val="16"/>
              </w:rPr>
              <w:t>of the procedure for regulating stays and work</w:t>
            </w:r>
            <w:r>
              <w:rPr>
                <w:spacing w:val="-37"/>
                <w:sz w:val="16"/>
              </w:rPr>
              <w:t xml:space="preserve"> </w:t>
            </w:r>
            <w:r>
              <w:rPr>
                <w:sz w:val="16"/>
              </w:rPr>
              <w:t>permits, a seminar will be held in cooperation</w:t>
            </w:r>
            <w:r>
              <w:rPr>
                <w:spacing w:val="1"/>
                <w:sz w:val="16"/>
              </w:rPr>
              <w:t xml:space="preserve"> </w:t>
            </w:r>
            <w:r>
              <w:rPr>
                <w:sz w:val="16"/>
              </w:rPr>
              <w:t>with representatives of professional</w:t>
            </w:r>
            <w:r>
              <w:rPr>
                <w:spacing w:val="1"/>
                <w:sz w:val="16"/>
              </w:rPr>
              <w:t xml:space="preserve"> </w:t>
            </w:r>
            <w:r>
              <w:rPr>
                <w:sz w:val="16"/>
              </w:rPr>
              <w:t>associations on the specified matter. Better</w:t>
            </w:r>
            <w:r>
              <w:rPr>
                <w:spacing w:val="1"/>
                <w:sz w:val="16"/>
              </w:rPr>
              <w:t xml:space="preserve"> </w:t>
            </w:r>
            <w:r>
              <w:rPr>
                <w:sz w:val="16"/>
              </w:rPr>
              <w:t>informing of employers will enable faster and</w:t>
            </w:r>
            <w:r>
              <w:rPr>
                <w:spacing w:val="1"/>
                <w:sz w:val="16"/>
              </w:rPr>
              <w:t xml:space="preserve"> </w:t>
            </w:r>
            <w:r>
              <w:rPr>
                <w:sz w:val="16"/>
              </w:rPr>
              <w:t>more efficient procedures in terms of</w:t>
            </w:r>
            <w:r>
              <w:rPr>
                <w:spacing w:val="1"/>
                <w:sz w:val="16"/>
              </w:rPr>
              <w:t xml:space="preserve"> </w:t>
            </w:r>
            <w:r>
              <w:rPr>
                <w:sz w:val="16"/>
              </w:rPr>
              <w:t>submitting complete and adequate</w:t>
            </w:r>
            <w:r>
              <w:rPr>
                <w:spacing w:val="1"/>
                <w:sz w:val="16"/>
              </w:rPr>
              <w:t xml:space="preserve"> </w:t>
            </w:r>
            <w:r>
              <w:rPr>
                <w:sz w:val="16"/>
              </w:rPr>
              <w:t>documentation, which will reduce the</w:t>
            </w:r>
            <w:r>
              <w:rPr>
                <w:spacing w:val="1"/>
                <w:sz w:val="16"/>
              </w:rPr>
              <w:t xml:space="preserve"> </w:t>
            </w:r>
            <w:r>
              <w:rPr>
                <w:sz w:val="16"/>
              </w:rPr>
              <w:t>processing time of individual applications and</w:t>
            </w:r>
            <w:r>
              <w:rPr>
                <w:spacing w:val="-37"/>
                <w:sz w:val="16"/>
              </w:rPr>
              <w:t xml:space="preserve"> </w:t>
            </w:r>
            <w:r>
              <w:rPr>
                <w:sz w:val="16"/>
              </w:rPr>
              <w:t>the need to supplement the application with</w:t>
            </w:r>
            <w:r>
              <w:rPr>
                <w:spacing w:val="1"/>
                <w:sz w:val="16"/>
              </w:rPr>
              <w:t xml:space="preserve"> </w:t>
            </w:r>
            <w:r>
              <w:rPr>
                <w:sz w:val="16"/>
              </w:rPr>
              <w:t>additional documentation. 100% of employers</w:t>
            </w:r>
            <w:r>
              <w:rPr>
                <w:spacing w:val="-37"/>
                <w:sz w:val="16"/>
              </w:rPr>
              <w:t xml:space="preserve"> </w:t>
            </w:r>
            <w:r>
              <w:rPr>
                <w:sz w:val="16"/>
              </w:rPr>
              <w:t>who</w:t>
            </w:r>
            <w:r>
              <w:rPr>
                <w:spacing w:val="-4"/>
                <w:sz w:val="16"/>
              </w:rPr>
              <w:t xml:space="preserve"> </w:t>
            </w:r>
            <w:r>
              <w:rPr>
                <w:sz w:val="16"/>
              </w:rPr>
              <w:t>attended</w:t>
            </w:r>
            <w:r>
              <w:rPr>
                <w:spacing w:val="-1"/>
                <w:sz w:val="16"/>
              </w:rPr>
              <w:t xml:space="preserve"> </w:t>
            </w:r>
            <w:r>
              <w:rPr>
                <w:sz w:val="16"/>
              </w:rPr>
              <w:t>the</w:t>
            </w:r>
            <w:r>
              <w:rPr>
                <w:spacing w:val="-4"/>
                <w:sz w:val="16"/>
              </w:rPr>
              <w:t xml:space="preserve"> </w:t>
            </w:r>
            <w:r>
              <w:rPr>
                <w:sz w:val="16"/>
              </w:rPr>
              <w:t>seminar</w:t>
            </w:r>
            <w:r>
              <w:rPr>
                <w:spacing w:val="-4"/>
                <w:sz w:val="16"/>
              </w:rPr>
              <w:t xml:space="preserve"> </w:t>
            </w:r>
            <w:r>
              <w:rPr>
                <w:sz w:val="16"/>
              </w:rPr>
              <w:t>will</w:t>
            </w:r>
            <w:r>
              <w:rPr>
                <w:spacing w:val="-3"/>
                <w:sz w:val="16"/>
              </w:rPr>
              <w:t xml:space="preserve"> </w:t>
            </w:r>
            <w:r>
              <w:rPr>
                <w:sz w:val="16"/>
              </w:rPr>
              <w:t>be</w:t>
            </w:r>
            <w:r>
              <w:rPr>
                <w:spacing w:val="-4"/>
                <w:sz w:val="16"/>
              </w:rPr>
              <w:t xml:space="preserve"> </w:t>
            </w:r>
            <w:r>
              <w:rPr>
                <w:sz w:val="16"/>
              </w:rPr>
              <w:t>familiar</w:t>
            </w:r>
            <w:r>
              <w:rPr>
                <w:spacing w:val="-4"/>
                <w:sz w:val="16"/>
              </w:rPr>
              <w:t xml:space="preserve"> </w:t>
            </w:r>
            <w:r>
              <w:rPr>
                <w:sz w:val="16"/>
              </w:rPr>
              <w:t>with</w:t>
            </w:r>
          </w:p>
          <w:p w:rsidR="00A56FE9" w:rsidRDefault="00000000">
            <w:pPr>
              <w:pStyle w:val="TableParagraph"/>
              <w:spacing w:line="182" w:lineRule="exact"/>
              <w:ind w:left="57"/>
              <w:rPr>
                <w:sz w:val="16"/>
              </w:rPr>
            </w:pPr>
            <w:r>
              <w:rPr>
                <w:sz w:val="16"/>
              </w:rPr>
              <w:t>the</w:t>
            </w:r>
            <w:r>
              <w:rPr>
                <w:spacing w:val="-7"/>
                <w:sz w:val="16"/>
              </w:rPr>
              <w:t xml:space="preserve"> </w:t>
            </w:r>
            <w:r>
              <w:rPr>
                <w:sz w:val="16"/>
              </w:rPr>
              <w:t>process</w:t>
            </w:r>
            <w:r>
              <w:rPr>
                <w:spacing w:val="-3"/>
                <w:sz w:val="16"/>
              </w:rPr>
              <w:t xml:space="preserve"> </w:t>
            </w:r>
            <w:r>
              <w:rPr>
                <w:sz w:val="16"/>
              </w:rPr>
              <w:t>of</w:t>
            </w:r>
            <w:r>
              <w:rPr>
                <w:spacing w:val="-4"/>
                <w:sz w:val="16"/>
              </w:rPr>
              <w:t xml:space="preserve"> </w:t>
            </w:r>
            <w:r>
              <w:rPr>
                <w:sz w:val="16"/>
              </w:rPr>
              <w:t>regulating</w:t>
            </w:r>
            <w:r>
              <w:rPr>
                <w:spacing w:val="-4"/>
                <w:sz w:val="16"/>
              </w:rPr>
              <w:t xml:space="preserve"> </w:t>
            </w:r>
            <w:r>
              <w:rPr>
                <w:sz w:val="16"/>
              </w:rPr>
              <w:t>residence</w:t>
            </w:r>
            <w:r>
              <w:rPr>
                <w:spacing w:val="-5"/>
                <w:sz w:val="16"/>
              </w:rPr>
              <w:t xml:space="preserve"> </w:t>
            </w:r>
            <w:r>
              <w:rPr>
                <w:sz w:val="16"/>
              </w:rPr>
              <w:t>and</w:t>
            </w:r>
            <w:r>
              <w:rPr>
                <w:spacing w:val="-2"/>
                <w:sz w:val="16"/>
              </w:rPr>
              <w:t xml:space="preserve"> </w:t>
            </w:r>
            <w:r>
              <w:rPr>
                <w:sz w:val="16"/>
              </w:rPr>
              <w:t>work</w:t>
            </w:r>
            <w:r>
              <w:rPr>
                <w:spacing w:val="-37"/>
                <w:sz w:val="16"/>
              </w:rPr>
              <w:t xml:space="preserve"> </w:t>
            </w:r>
            <w:r>
              <w:rPr>
                <w:sz w:val="16"/>
              </w:rPr>
              <w:t>permits.</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553"/>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48</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10</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p>
          <w:p w:rsidR="00A56FE9" w:rsidRDefault="00000000">
            <w:pPr>
              <w:pStyle w:val="TableParagraph"/>
              <w:spacing w:line="168" w:lineRule="exact"/>
              <w:ind w:left="50"/>
              <w:rPr>
                <w:sz w:val="16"/>
              </w:rPr>
            </w:pPr>
            <w:r>
              <w:rPr>
                <w:sz w:val="16"/>
              </w:rPr>
              <w:t>JUDICIARY</w:t>
            </w:r>
            <w:r>
              <w:rPr>
                <w:spacing w:val="-2"/>
                <w:sz w:val="16"/>
              </w:rPr>
              <w:t xml:space="preserve"> </w:t>
            </w:r>
            <w:r>
              <w:rPr>
                <w:sz w:val="16"/>
              </w:rPr>
              <w:t>AND</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243"/>
              <w:rPr>
                <w:sz w:val="16"/>
              </w:rPr>
            </w:pPr>
            <w:r>
              <w:rPr>
                <w:sz w:val="16"/>
              </w:rPr>
              <w:t>Holding seminars with</w:t>
            </w:r>
            <w:r>
              <w:rPr>
                <w:spacing w:val="-38"/>
                <w:sz w:val="16"/>
              </w:rPr>
              <w:t xml:space="preserve"> </w:t>
            </w:r>
            <w:r>
              <w:rPr>
                <w:sz w:val="16"/>
              </w:rPr>
              <w:t>officers</w:t>
            </w:r>
            <w:r>
              <w:rPr>
                <w:spacing w:val="-1"/>
                <w:sz w:val="16"/>
              </w:rPr>
              <w:t xml:space="preserve"> </w:t>
            </w:r>
            <w:r>
              <w:rPr>
                <w:sz w:val="16"/>
              </w:rPr>
              <w:t>of</w:t>
            </w:r>
            <w:r>
              <w:rPr>
                <w:spacing w:val="-2"/>
                <w:sz w:val="16"/>
              </w:rPr>
              <w:t xml:space="preserve"> </w:t>
            </w:r>
            <w:r>
              <w:rPr>
                <w:sz w:val="16"/>
              </w:rPr>
              <w:t>police</w:t>
            </w:r>
          </w:p>
          <w:p w:rsidR="00A56FE9" w:rsidRDefault="00000000">
            <w:pPr>
              <w:pStyle w:val="TableParagraph"/>
              <w:spacing w:line="168" w:lineRule="exact"/>
              <w:ind w:left="109"/>
              <w:rPr>
                <w:sz w:val="16"/>
              </w:rPr>
            </w:pPr>
            <w:r>
              <w:rPr>
                <w:sz w:val="16"/>
              </w:rPr>
              <w:t>departments</w:t>
            </w:r>
            <w:r>
              <w:rPr>
                <w:spacing w:val="-5"/>
                <w:sz w:val="16"/>
              </w:rPr>
              <w:t xml:space="preserve"> </w:t>
            </w:r>
            <w:r>
              <w:rPr>
                <w:sz w:val="16"/>
              </w:rPr>
              <w:t>and</w:t>
            </w:r>
            <w:r>
              <w:rPr>
                <w:spacing w:val="-3"/>
                <w:sz w:val="16"/>
              </w:rPr>
              <w:t xml:space="preserve"> </w:t>
            </w:r>
            <w:r>
              <w:rPr>
                <w:sz w:val="16"/>
              </w:rPr>
              <w:t>police</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8"/>
              <w:jc w:val="center"/>
              <w:rPr>
                <w:sz w:val="16"/>
              </w:rPr>
            </w:pPr>
            <w:r>
              <w:rPr>
                <w:sz w:val="16"/>
              </w:rPr>
              <w:t>1</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MI</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Pr>
                <w:sz w:val="16"/>
              </w:rPr>
            </w:pPr>
            <w:r>
              <w:rPr>
                <w:sz w:val="16"/>
              </w:rPr>
              <w:t>Given the complexity of the legislative</w:t>
            </w:r>
            <w:r>
              <w:rPr>
                <w:spacing w:val="1"/>
                <w:sz w:val="16"/>
              </w:rPr>
              <w:t xml:space="preserve"> </w:t>
            </w:r>
            <w:r>
              <w:rPr>
                <w:sz w:val="16"/>
              </w:rPr>
              <w:t>framework</w:t>
            </w:r>
            <w:r>
              <w:rPr>
                <w:spacing w:val="-2"/>
                <w:sz w:val="16"/>
              </w:rPr>
              <w:t xml:space="preserve"> </w:t>
            </w:r>
            <w:r>
              <w:rPr>
                <w:sz w:val="16"/>
              </w:rPr>
              <w:t>relating</w:t>
            </w:r>
            <w:r>
              <w:rPr>
                <w:spacing w:val="-4"/>
                <w:sz w:val="16"/>
              </w:rPr>
              <w:t xml:space="preserve"> </w:t>
            </w:r>
            <w:r>
              <w:rPr>
                <w:sz w:val="16"/>
              </w:rPr>
              <w:t>to</w:t>
            </w:r>
            <w:r>
              <w:rPr>
                <w:spacing w:val="-5"/>
                <w:sz w:val="16"/>
              </w:rPr>
              <w:t xml:space="preserve"> </w:t>
            </w:r>
            <w:r>
              <w:rPr>
                <w:sz w:val="16"/>
              </w:rPr>
              <w:t>the</w:t>
            </w:r>
            <w:r>
              <w:rPr>
                <w:spacing w:val="-5"/>
                <w:sz w:val="16"/>
              </w:rPr>
              <w:t xml:space="preserve"> </w:t>
            </w:r>
            <w:r>
              <w:rPr>
                <w:sz w:val="16"/>
              </w:rPr>
              <w:t>employment</w:t>
            </w:r>
            <w:r>
              <w:rPr>
                <w:spacing w:val="-2"/>
                <w:sz w:val="16"/>
              </w:rPr>
              <w:t xml:space="preserve"> </w:t>
            </w:r>
            <w:r>
              <w:rPr>
                <w:sz w:val="16"/>
              </w:rPr>
              <w:t>of</w:t>
            </w:r>
          </w:p>
          <w:p w:rsidR="00A56FE9" w:rsidRDefault="00000000">
            <w:pPr>
              <w:pStyle w:val="TableParagraph"/>
              <w:spacing w:line="168" w:lineRule="exact"/>
              <w:ind w:left="57"/>
              <w:rPr>
                <w:sz w:val="16"/>
              </w:rPr>
            </w:pPr>
            <w:r>
              <w:rPr>
                <w:sz w:val="16"/>
              </w:rPr>
              <w:t>third-country</w:t>
            </w:r>
            <w:r>
              <w:rPr>
                <w:spacing w:val="-6"/>
                <w:sz w:val="16"/>
              </w:rPr>
              <w:t xml:space="preserve"> </w:t>
            </w:r>
            <w:r>
              <w:rPr>
                <w:sz w:val="16"/>
              </w:rPr>
              <w:t>nationals</w:t>
            </w:r>
            <w:r>
              <w:rPr>
                <w:spacing w:val="-4"/>
                <w:sz w:val="16"/>
              </w:rPr>
              <w:t xml:space="preserve"> </w:t>
            </w:r>
            <w:r>
              <w:rPr>
                <w:sz w:val="16"/>
              </w:rPr>
              <w:t>and</w:t>
            </w:r>
            <w:r>
              <w:rPr>
                <w:spacing w:val="-4"/>
                <w:sz w:val="16"/>
              </w:rPr>
              <w:t xml:space="preserve"> </w:t>
            </w:r>
            <w:r>
              <w:rPr>
                <w:sz w:val="16"/>
              </w:rPr>
              <w:t>the</w:t>
            </w:r>
            <w:r>
              <w:rPr>
                <w:spacing w:val="-6"/>
                <w:sz w:val="16"/>
              </w:rPr>
              <w:t xml:space="preserve"> </w:t>
            </w:r>
            <w:r>
              <w:rPr>
                <w:sz w:val="16"/>
              </w:rPr>
              <w:t>provision</w:t>
            </w:r>
            <w:r>
              <w:rPr>
                <w:spacing w:val="-2"/>
                <w:sz w:val="16"/>
              </w:rPr>
              <w:t xml:space="preserve"> </w:t>
            </w:r>
            <w:r>
              <w:rPr>
                <w:sz w:val="16"/>
              </w:rPr>
              <w:t>of</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2385"/>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STATE</w:t>
            </w:r>
            <w:r>
              <w:rPr>
                <w:spacing w:val="-4"/>
                <w:sz w:val="16"/>
              </w:rPr>
              <w:t xml:space="preserve"> </w:t>
            </w:r>
            <w:r>
              <w:rPr>
                <w:sz w:val="16"/>
              </w:rPr>
              <w:t>ASSETS</w:t>
            </w:r>
            <w:r>
              <w:rPr>
                <w:spacing w:val="-3"/>
                <w:sz w:val="16"/>
              </w:rPr>
              <w:t xml:space="preserve"> </w:t>
            </w:r>
            <w:r>
              <w:rPr>
                <w:sz w:val="16"/>
              </w:rPr>
              <w:t>-</w:t>
            </w:r>
          </w:p>
          <w:p w:rsidR="00A56FE9" w:rsidRDefault="00000000">
            <w:pPr>
              <w:pStyle w:val="TableParagraph"/>
              <w:spacing w:before="1"/>
              <w:ind w:left="50"/>
              <w:rPr>
                <w:sz w:val="16"/>
              </w:rPr>
            </w:pPr>
            <w:r>
              <w:rPr>
                <w:sz w:val="16"/>
              </w:rPr>
              <w:t>WORKING</w:t>
            </w:r>
            <w:r>
              <w:rPr>
                <w:spacing w:val="-7"/>
                <w:sz w:val="16"/>
              </w:rPr>
              <w:t xml:space="preserve"> </w:t>
            </w:r>
            <w:r>
              <w:rPr>
                <w:sz w:val="16"/>
              </w:rPr>
              <w:t>WITH</w:t>
            </w:r>
          </w:p>
          <w:p w:rsidR="00A56FE9" w:rsidRDefault="00000000">
            <w:pPr>
              <w:pStyle w:val="TableParagraph"/>
              <w:ind w:left="50" w:right="55"/>
              <w:rPr>
                <w:sz w:val="16"/>
              </w:rPr>
            </w:pPr>
            <w:r>
              <w:rPr>
                <w:sz w:val="16"/>
              </w:rPr>
              <w:t>FOREIGNERS Improving</w:t>
            </w:r>
            <w:r>
              <w:rPr>
                <w:spacing w:val="-38"/>
                <w:sz w:val="16"/>
              </w:rPr>
              <w:t xml:space="preserve"> </w:t>
            </w:r>
            <w:r>
              <w:rPr>
                <w:sz w:val="16"/>
              </w:rPr>
              <w:t>working</w:t>
            </w:r>
            <w:r>
              <w:rPr>
                <w:spacing w:val="-4"/>
                <w:sz w:val="16"/>
              </w:rPr>
              <w:t xml:space="preserve"> </w:t>
            </w:r>
            <w:r>
              <w:rPr>
                <w:sz w:val="16"/>
              </w:rPr>
              <w:t>with</w:t>
            </w:r>
            <w:r>
              <w:rPr>
                <w:spacing w:val="-1"/>
                <w:sz w:val="16"/>
              </w:rPr>
              <w:t xml:space="preserve"> </w:t>
            </w:r>
            <w:r>
              <w:rPr>
                <w:sz w:val="16"/>
              </w:rPr>
              <w:t>foreigners</w:t>
            </w:r>
          </w:p>
        </w:tc>
        <w:tc>
          <w:tcPr>
            <w:tcW w:w="569"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109"/>
              <w:rPr>
                <w:sz w:val="16"/>
              </w:rPr>
            </w:pPr>
            <w:r>
              <w:rPr>
                <w:sz w:val="16"/>
              </w:rPr>
              <w:t>stations</w:t>
            </w:r>
            <w:r>
              <w:rPr>
                <w:spacing w:val="-4"/>
                <w:sz w:val="16"/>
              </w:rPr>
              <w:t xml:space="preserve"> </w:t>
            </w:r>
            <w:r>
              <w:rPr>
                <w:sz w:val="16"/>
              </w:rPr>
              <w:t>who</w:t>
            </w:r>
            <w:r>
              <w:rPr>
                <w:spacing w:val="-3"/>
                <w:sz w:val="16"/>
              </w:rPr>
              <w:t xml:space="preserve"> </w:t>
            </w:r>
            <w:r>
              <w:rPr>
                <w:sz w:val="16"/>
              </w:rPr>
              <w:t>work</w:t>
            </w:r>
            <w:r>
              <w:rPr>
                <w:spacing w:val="-2"/>
                <w:sz w:val="16"/>
              </w:rPr>
              <w:t xml:space="preserve"> </w:t>
            </w:r>
            <w:r>
              <w:rPr>
                <w:sz w:val="16"/>
              </w:rPr>
              <w:t>on</w:t>
            </w:r>
          </w:p>
          <w:p w:rsidR="00A56FE9" w:rsidRDefault="00000000">
            <w:pPr>
              <w:pStyle w:val="TableParagraph"/>
              <w:spacing w:before="1"/>
              <w:ind w:left="109" w:right="145"/>
              <w:rPr>
                <w:sz w:val="16"/>
              </w:rPr>
            </w:pPr>
            <w:r>
              <w:rPr>
                <w:sz w:val="16"/>
              </w:rPr>
              <w:t>issuing residence and</w:t>
            </w:r>
            <w:r>
              <w:rPr>
                <w:spacing w:val="1"/>
                <w:sz w:val="16"/>
              </w:rPr>
              <w:t xml:space="preserve"> </w:t>
            </w:r>
            <w:r>
              <w:rPr>
                <w:sz w:val="16"/>
              </w:rPr>
              <w:t>work permits in order to</w:t>
            </w:r>
            <w:r>
              <w:rPr>
                <w:spacing w:val="-37"/>
                <w:sz w:val="16"/>
              </w:rPr>
              <w:t xml:space="preserve"> </w:t>
            </w:r>
            <w:r>
              <w:rPr>
                <w:sz w:val="16"/>
              </w:rPr>
              <w:t>standardise the process</w:t>
            </w:r>
            <w:r>
              <w:rPr>
                <w:spacing w:val="1"/>
                <w:sz w:val="16"/>
              </w:rPr>
              <w:t xml:space="preserve"> </w:t>
            </w:r>
            <w:r>
              <w:rPr>
                <w:sz w:val="16"/>
              </w:rPr>
              <w:t>and</w:t>
            </w:r>
            <w:r>
              <w:rPr>
                <w:spacing w:val="-2"/>
                <w:sz w:val="16"/>
              </w:rPr>
              <w:t xml:space="preserve"> </w:t>
            </w:r>
            <w:r>
              <w:rPr>
                <w:sz w:val="16"/>
              </w:rPr>
              <w:t>share</w:t>
            </w:r>
            <w:r>
              <w:rPr>
                <w:spacing w:val="-4"/>
                <w:sz w:val="16"/>
              </w:rPr>
              <w:t xml:space="preserve"> </w:t>
            </w:r>
            <w:r>
              <w:rPr>
                <w:sz w:val="16"/>
              </w:rPr>
              <w:t>best</w:t>
            </w:r>
            <w:r>
              <w:rPr>
                <w:spacing w:val="-3"/>
                <w:sz w:val="16"/>
              </w:rPr>
              <w:t xml:space="preserve"> </w:t>
            </w:r>
            <w:r>
              <w:rPr>
                <w:sz w:val="16"/>
              </w:rPr>
              <w:t>practices</w:t>
            </w:r>
          </w:p>
        </w:tc>
        <w:tc>
          <w:tcPr>
            <w:tcW w:w="1137"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additional</w:t>
            </w:r>
            <w:r>
              <w:rPr>
                <w:spacing w:val="-4"/>
                <w:sz w:val="16"/>
              </w:rPr>
              <w:t xml:space="preserve"> </w:t>
            </w:r>
            <w:r>
              <w:rPr>
                <w:sz w:val="16"/>
              </w:rPr>
              <w:t>support</w:t>
            </w:r>
            <w:r>
              <w:rPr>
                <w:spacing w:val="-2"/>
                <w:sz w:val="16"/>
              </w:rPr>
              <w:t xml:space="preserve"> </w:t>
            </w:r>
            <w:r>
              <w:rPr>
                <w:sz w:val="16"/>
              </w:rPr>
              <w:t>and</w:t>
            </w:r>
            <w:r>
              <w:rPr>
                <w:spacing w:val="-4"/>
                <w:sz w:val="16"/>
              </w:rPr>
              <w:t xml:space="preserve"> </w:t>
            </w:r>
            <w:r>
              <w:rPr>
                <w:sz w:val="16"/>
              </w:rPr>
              <w:t>capacity</w:t>
            </w:r>
            <w:r>
              <w:rPr>
                <w:spacing w:val="-6"/>
                <w:sz w:val="16"/>
              </w:rPr>
              <w:t xml:space="preserve"> </w:t>
            </w:r>
            <w:r>
              <w:rPr>
                <w:sz w:val="16"/>
              </w:rPr>
              <w:t>building</w:t>
            </w:r>
            <w:r>
              <w:rPr>
                <w:spacing w:val="-4"/>
                <w:sz w:val="16"/>
              </w:rPr>
              <w:t xml:space="preserve"> </w:t>
            </w:r>
            <w:r>
              <w:rPr>
                <w:sz w:val="16"/>
              </w:rPr>
              <w:t>to</w:t>
            </w:r>
          </w:p>
          <w:p w:rsidR="00A56FE9" w:rsidRDefault="00000000">
            <w:pPr>
              <w:pStyle w:val="TableParagraph"/>
              <w:spacing w:before="1"/>
              <w:ind w:left="57" w:right="49"/>
              <w:rPr>
                <w:sz w:val="16"/>
              </w:rPr>
            </w:pPr>
            <w:r>
              <w:rPr>
                <w:sz w:val="16"/>
              </w:rPr>
              <w:t>police officers at police departments / police</w:t>
            </w:r>
            <w:r>
              <w:rPr>
                <w:spacing w:val="1"/>
                <w:sz w:val="16"/>
              </w:rPr>
              <w:t xml:space="preserve"> </w:t>
            </w:r>
            <w:r>
              <w:rPr>
                <w:sz w:val="16"/>
              </w:rPr>
              <w:t>stations</w:t>
            </w:r>
            <w:r>
              <w:rPr>
                <w:spacing w:val="-5"/>
                <w:sz w:val="16"/>
              </w:rPr>
              <w:t xml:space="preserve"> </w:t>
            </w:r>
            <w:r>
              <w:rPr>
                <w:sz w:val="16"/>
              </w:rPr>
              <w:t>to</w:t>
            </w:r>
            <w:r>
              <w:rPr>
                <w:spacing w:val="-4"/>
                <w:sz w:val="16"/>
              </w:rPr>
              <w:t xml:space="preserve"> </w:t>
            </w:r>
            <w:r>
              <w:rPr>
                <w:sz w:val="16"/>
              </w:rPr>
              <w:t>regulate</w:t>
            </w:r>
            <w:r>
              <w:rPr>
                <w:spacing w:val="-4"/>
                <w:sz w:val="16"/>
              </w:rPr>
              <w:t xml:space="preserve"> </w:t>
            </w:r>
            <w:r>
              <w:rPr>
                <w:sz w:val="16"/>
              </w:rPr>
              <w:t>the</w:t>
            </w:r>
            <w:r>
              <w:rPr>
                <w:spacing w:val="-5"/>
                <w:sz w:val="16"/>
              </w:rPr>
              <w:t xml:space="preserve"> </w:t>
            </w:r>
            <w:r>
              <w:rPr>
                <w:sz w:val="16"/>
              </w:rPr>
              <w:t>residence</w:t>
            </w:r>
            <w:r>
              <w:rPr>
                <w:spacing w:val="-4"/>
                <w:sz w:val="16"/>
              </w:rPr>
              <w:t xml:space="preserve"> </w:t>
            </w:r>
            <w:r>
              <w:rPr>
                <w:sz w:val="16"/>
              </w:rPr>
              <w:t>of</w:t>
            </w:r>
            <w:r>
              <w:rPr>
                <w:spacing w:val="-4"/>
                <w:sz w:val="16"/>
              </w:rPr>
              <w:t xml:space="preserve"> </w:t>
            </w:r>
            <w:r>
              <w:rPr>
                <w:sz w:val="16"/>
              </w:rPr>
              <w:t>foreigners,</w:t>
            </w:r>
            <w:r>
              <w:rPr>
                <w:spacing w:val="-37"/>
                <w:sz w:val="16"/>
              </w:rPr>
              <w:t xml:space="preserve"> </w:t>
            </w:r>
            <w:r>
              <w:rPr>
                <w:sz w:val="16"/>
              </w:rPr>
              <w:t>in particular the issuance of residence and</w:t>
            </w:r>
            <w:r>
              <w:rPr>
                <w:spacing w:val="1"/>
                <w:sz w:val="16"/>
              </w:rPr>
              <w:t xml:space="preserve"> </w:t>
            </w:r>
            <w:r>
              <w:rPr>
                <w:sz w:val="16"/>
              </w:rPr>
              <w:t>work permits, a seminar will be held with</w:t>
            </w:r>
            <w:r>
              <w:rPr>
                <w:spacing w:val="1"/>
                <w:sz w:val="16"/>
              </w:rPr>
              <w:t xml:space="preserve"> </w:t>
            </w:r>
            <w:r>
              <w:rPr>
                <w:sz w:val="16"/>
              </w:rPr>
              <w:t>officers of police administrations and police</w:t>
            </w:r>
            <w:r>
              <w:rPr>
                <w:spacing w:val="1"/>
                <w:sz w:val="16"/>
              </w:rPr>
              <w:t xml:space="preserve"> </w:t>
            </w:r>
            <w:r>
              <w:rPr>
                <w:sz w:val="16"/>
              </w:rPr>
              <w:t>stations. By participating in the seminar, all</w:t>
            </w:r>
            <w:r>
              <w:rPr>
                <w:spacing w:val="1"/>
                <w:sz w:val="16"/>
              </w:rPr>
              <w:t xml:space="preserve"> </w:t>
            </w:r>
            <w:r>
              <w:rPr>
                <w:sz w:val="16"/>
              </w:rPr>
              <w:t>participants will have the opportunity to share</w:t>
            </w:r>
            <w:r>
              <w:rPr>
                <w:spacing w:val="1"/>
                <w:sz w:val="16"/>
              </w:rPr>
              <w:t xml:space="preserve"> </w:t>
            </w:r>
            <w:r>
              <w:rPr>
                <w:sz w:val="16"/>
              </w:rPr>
              <w:t>the challenges they face in their daily work,</w:t>
            </w:r>
            <w:r>
              <w:rPr>
                <w:spacing w:val="1"/>
                <w:sz w:val="16"/>
              </w:rPr>
              <w:t xml:space="preserve"> </w:t>
            </w:r>
            <w:r>
              <w:rPr>
                <w:sz w:val="16"/>
              </w:rPr>
              <w:t>with an emphasis on practical solutions to</w:t>
            </w:r>
            <w:r>
              <w:rPr>
                <w:spacing w:val="1"/>
                <w:sz w:val="16"/>
              </w:rPr>
              <w:t xml:space="preserve"> </w:t>
            </w:r>
            <w:r>
              <w:rPr>
                <w:sz w:val="16"/>
              </w:rPr>
              <w:t>these</w:t>
            </w:r>
            <w:r>
              <w:rPr>
                <w:spacing w:val="-6"/>
                <w:sz w:val="16"/>
              </w:rPr>
              <w:t xml:space="preserve"> </w:t>
            </w:r>
            <w:r>
              <w:rPr>
                <w:sz w:val="16"/>
              </w:rPr>
              <w:t>challenges</w:t>
            </w:r>
            <w:r>
              <w:rPr>
                <w:spacing w:val="-4"/>
                <w:sz w:val="16"/>
              </w:rPr>
              <w:t xml:space="preserve"> </w:t>
            </w:r>
            <w:r>
              <w:rPr>
                <w:sz w:val="16"/>
              </w:rPr>
              <w:t>and</w:t>
            </w:r>
            <w:r>
              <w:rPr>
                <w:spacing w:val="-3"/>
                <w:sz w:val="16"/>
              </w:rPr>
              <w:t xml:space="preserve"> </w:t>
            </w:r>
            <w:r>
              <w:rPr>
                <w:sz w:val="16"/>
              </w:rPr>
              <w:t>good</w:t>
            </w:r>
            <w:r>
              <w:rPr>
                <w:spacing w:val="-4"/>
                <w:sz w:val="16"/>
              </w:rPr>
              <w:t xml:space="preserve"> </w:t>
            </w:r>
            <w:r>
              <w:rPr>
                <w:sz w:val="16"/>
              </w:rPr>
              <w:t>practice,</w:t>
            </w:r>
            <w:r>
              <w:rPr>
                <w:spacing w:val="-3"/>
                <w:sz w:val="16"/>
              </w:rPr>
              <w:t xml:space="preserve"> </w:t>
            </w:r>
            <w:r>
              <w:rPr>
                <w:sz w:val="16"/>
              </w:rPr>
              <w:t>which</w:t>
            </w:r>
            <w:r>
              <w:rPr>
                <w:spacing w:val="-5"/>
                <w:sz w:val="16"/>
              </w:rPr>
              <w:t xml:space="preserve"> </w:t>
            </w:r>
            <w:r>
              <w:rPr>
                <w:sz w:val="16"/>
              </w:rPr>
              <w:t>will</w:t>
            </w:r>
          </w:p>
          <w:p w:rsidR="00A56FE9" w:rsidRDefault="00000000">
            <w:pPr>
              <w:pStyle w:val="TableParagraph"/>
              <w:spacing w:line="182" w:lineRule="exact"/>
              <w:ind w:left="57"/>
              <w:rPr>
                <w:sz w:val="16"/>
              </w:rPr>
            </w:pPr>
            <w:r>
              <w:rPr>
                <w:sz w:val="16"/>
              </w:rPr>
              <w:t>contribute</w:t>
            </w:r>
            <w:r>
              <w:rPr>
                <w:spacing w:val="-8"/>
                <w:sz w:val="16"/>
              </w:rPr>
              <w:t xml:space="preserve"> </w:t>
            </w:r>
            <w:r>
              <w:rPr>
                <w:sz w:val="16"/>
              </w:rPr>
              <w:t>to</w:t>
            </w:r>
            <w:r>
              <w:rPr>
                <w:spacing w:val="-4"/>
                <w:sz w:val="16"/>
              </w:rPr>
              <w:t xml:space="preserve"> </w:t>
            </w:r>
            <w:r>
              <w:rPr>
                <w:sz w:val="16"/>
              </w:rPr>
              <w:t>the</w:t>
            </w:r>
            <w:r>
              <w:rPr>
                <w:spacing w:val="-5"/>
                <w:sz w:val="16"/>
              </w:rPr>
              <w:t xml:space="preserve"> </w:t>
            </w:r>
            <w:r>
              <w:rPr>
                <w:sz w:val="16"/>
              </w:rPr>
              <w:t>standardisation</w:t>
            </w:r>
            <w:r>
              <w:rPr>
                <w:spacing w:val="-3"/>
                <w:sz w:val="16"/>
              </w:rPr>
              <w:t xml:space="preserve"> </w:t>
            </w:r>
            <w:r>
              <w:rPr>
                <w:sz w:val="16"/>
              </w:rPr>
              <w:t>of</w:t>
            </w:r>
            <w:r>
              <w:rPr>
                <w:spacing w:val="-6"/>
                <w:sz w:val="16"/>
              </w:rPr>
              <w:t xml:space="preserve"> </w:t>
            </w:r>
            <w:r>
              <w:rPr>
                <w:sz w:val="16"/>
              </w:rPr>
              <w:t>procedures</w:t>
            </w:r>
            <w:r>
              <w:rPr>
                <w:spacing w:val="-37"/>
                <w:sz w:val="16"/>
              </w:rPr>
              <w:t xml:space="preserve"> </w:t>
            </w:r>
            <w:r>
              <w:rPr>
                <w:sz w:val="16"/>
              </w:rPr>
              <w:t>and faster</w:t>
            </w:r>
            <w:r>
              <w:rPr>
                <w:spacing w:val="-1"/>
                <w:sz w:val="16"/>
              </w:rPr>
              <w:t xml:space="preserve"> </w:t>
            </w:r>
            <w:r>
              <w:rPr>
                <w:sz w:val="16"/>
              </w:rPr>
              <w:t>procedures.</w:t>
            </w:r>
          </w:p>
        </w:tc>
        <w:tc>
          <w:tcPr>
            <w:tcW w:w="112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2207"/>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49</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10</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 ASSETS -</w:t>
            </w:r>
            <w:r>
              <w:rPr>
                <w:spacing w:val="1"/>
                <w:sz w:val="16"/>
              </w:rPr>
              <w:t xml:space="preserve"> </w:t>
            </w:r>
            <w:r>
              <w:rPr>
                <w:sz w:val="16"/>
              </w:rPr>
              <w:t>WORKING WITH</w:t>
            </w:r>
            <w:r>
              <w:rPr>
                <w:spacing w:val="1"/>
                <w:sz w:val="16"/>
              </w:rPr>
              <w:t xml:space="preserve"> </w:t>
            </w:r>
            <w:r>
              <w:rPr>
                <w:sz w:val="16"/>
              </w:rPr>
              <w:t>FOREIGNERS,</w:t>
            </w:r>
          </w:p>
          <w:p w:rsidR="00A56FE9" w:rsidRDefault="00000000">
            <w:pPr>
              <w:pStyle w:val="TableParagraph"/>
              <w:ind w:left="50" w:right="180"/>
              <w:rPr>
                <w:sz w:val="16"/>
              </w:rPr>
            </w:pPr>
            <w:r>
              <w:rPr>
                <w:sz w:val="16"/>
              </w:rPr>
              <w:t>Development,</w:t>
            </w:r>
            <w:r>
              <w:rPr>
                <w:spacing w:val="1"/>
                <w:sz w:val="16"/>
              </w:rPr>
              <w:t xml:space="preserve"> </w:t>
            </w:r>
            <w:r>
              <w:rPr>
                <w:sz w:val="16"/>
              </w:rPr>
              <w:t>implementation and</w:t>
            </w:r>
            <w:r>
              <w:rPr>
                <w:spacing w:val="1"/>
                <w:sz w:val="16"/>
              </w:rPr>
              <w:t xml:space="preserve"> </w:t>
            </w:r>
            <w:r>
              <w:rPr>
                <w:sz w:val="16"/>
              </w:rPr>
              <w:t>maintenance of</w:t>
            </w:r>
            <w:r>
              <w:rPr>
                <w:spacing w:val="1"/>
                <w:sz w:val="16"/>
              </w:rPr>
              <w:t xml:space="preserve"> </w:t>
            </w:r>
            <w:r>
              <w:rPr>
                <w:sz w:val="16"/>
              </w:rPr>
              <w:t>applications</w:t>
            </w:r>
            <w:r>
              <w:rPr>
                <w:spacing w:val="-1"/>
                <w:sz w:val="16"/>
              </w:rPr>
              <w:t xml:space="preserve"> </w:t>
            </w:r>
            <w:r>
              <w:rPr>
                <w:sz w:val="16"/>
              </w:rPr>
              <w:t>for</w:t>
            </w:r>
          </w:p>
          <w:p w:rsidR="00A56FE9" w:rsidRDefault="00000000">
            <w:pPr>
              <w:pStyle w:val="TableParagraph"/>
              <w:spacing w:line="182" w:lineRule="exact"/>
              <w:ind w:left="50" w:right="167"/>
              <w:rPr>
                <w:sz w:val="16"/>
              </w:rPr>
            </w:pPr>
            <w:r>
              <w:rPr>
                <w:sz w:val="16"/>
              </w:rPr>
              <w:t>international protection -</w:t>
            </w:r>
            <w:r>
              <w:rPr>
                <w:spacing w:val="-37"/>
                <w:sz w:val="16"/>
              </w:rPr>
              <w:t xml:space="preserve"> </w:t>
            </w:r>
            <w:r>
              <w:rPr>
                <w:sz w:val="16"/>
              </w:rPr>
              <w:t>RECORD</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32"/>
              <w:rPr>
                <w:sz w:val="16"/>
              </w:rPr>
            </w:pPr>
            <w:r>
              <w:rPr>
                <w:sz w:val="16"/>
              </w:rPr>
              <w:t>Implementation of</w:t>
            </w:r>
            <w:r>
              <w:rPr>
                <w:spacing w:val="1"/>
                <w:sz w:val="16"/>
              </w:rPr>
              <w:t xml:space="preserve"> </w:t>
            </w:r>
            <w:r>
              <w:rPr>
                <w:sz w:val="16"/>
              </w:rPr>
              <w:t>applications that will</w:t>
            </w:r>
            <w:r>
              <w:rPr>
                <w:spacing w:val="1"/>
                <w:sz w:val="16"/>
              </w:rPr>
              <w:t xml:space="preserve"> </w:t>
            </w:r>
            <w:r>
              <w:rPr>
                <w:sz w:val="16"/>
              </w:rPr>
              <w:t>enable the quality</w:t>
            </w:r>
            <w:r>
              <w:rPr>
                <w:spacing w:val="1"/>
                <w:sz w:val="16"/>
              </w:rPr>
              <w:t xml:space="preserve"> </w:t>
            </w:r>
            <w:r>
              <w:rPr>
                <w:sz w:val="16"/>
              </w:rPr>
              <w:t>collection, management,</w:t>
            </w:r>
            <w:r>
              <w:rPr>
                <w:spacing w:val="-37"/>
                <w:sz w:val="16"/>
              </w:rPr>
              <w:t xml:space="preserve"> </w:t>
            </w:r>
            <w:r>
              <w:rPr>
                <w:sz w:val="16"/>
              </w:rPr>
              <w:t>processing, monitoring</w:t>
            </w:r>
            <w:r>
              <w:rPr>
                <w:spacing w:val="1"/>
                <w:sz w:val="16"/>
              </w:rPr>
              <w:t xml:space="preserve"> </w:t>
            </w:r>
            <w:r>
              <w:rPr>
                <w:sz w:val="16"/>
              </w:rPr>
              <w:t>and reporting of data in</w:t>
            </w:r>
            <w:r>
              <w:rPr>
                <w:spacing w:val="1"/>
                <w:sz w:val="16"/>
              </w:rPr>
              <w:t xml:space="preserve"> </w:t>
            </w:r>
            <w:r>
              <w:rPr>
                <w:sz w:val="16"/>
              </w:rPr>
              <w:t>the field of international</w:t>
            </w:r>
            <w:r>
              <w:rPr>
                <w:spacing w:val="-37"/>
                <w:sz w:val="16"/>
              </w:rPr>
              <w:t xml:space="preserve"> </w:t>
            </w:r>
            <w:r>
              <w:rPr>
                <w:sz w:val="16"/>
              </w:rPr>
              <w:t>protection</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11"/>
              <w:rPr>
                <w:sz w:val="16"/>
              </w:rPr>
            </w:pPr>
            <w:r>
              <w:rPr>
                <w:sz w:val="16"/>
              </w:rPr>
              <w:t>%</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4"/>
              <w:rPr>
                <w:sz w:val="16"/>
              </w:rPr>
            </w:pPr>
            <w:r>
              <w:rPr>
                <w:sz w:val="16"/>
              </w:rPr>
              <w:t>100%</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MI</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95"/>
              <w:rPr>
                <w:sz w:val="16"/>
              </w:rPr>
            </w:pPr>
            <w:r>
              <w:rPr>
                <w:sz w:val="16"/>
              </w:rPr>
              <w:t>The implementation of the application that</w:t>
            </w:r>
            <w:r>
              <w:rPr>
                <w:spacing w:val="1"/>
                <w:sz w:val="16"/>
              </w:rPr>
              <w:t xml:space="preserve"> </w:t>
            </w:r>
            <w:r>
              <w:rPr>
                <w:sz w:val="16"/>
              </w:rPr>
              <w:t>will enable the quality of collection,</w:t>
            </w:r>
            <w:r>
              <w:rPr>
                <w:spacing w:val="1"/>
                <w:sz w:val="16"/>
              </w:rPr>
              <w:t xml:space="preserve"> </w:t>
            </w:r>
            <w:r>
              <w:rPr>
                <w:sz w:val="16"/>
              </w:rPr>
              <w:t>management, processing, monitoring and</w:t>
            </w:r>
            <w:r>
              <w:rPr>
                <w:spacing w:val="1"/>
                <w:sz w:val="16"/>
              </w:rPr>
              <w:t xml:space="preserve"> </w:t>
            </w:r>
            <w:r>
              <w:rPr>
                <w:sz w:val="16"/>
              </w:rPr>
              <w:t>reporting on data in the field of international</w:t>
            </w:r>
            <w:r>
              <w:rPr>
                <w:spacing w:val="1"/>
                <w:sz w:val="16"/>
              </w:rPr>
              <w:t xml:space="preserve"> </w:t>
            </w:r>
            <w:r>
              <w:rPr>
                <w:sz w:val="16"/>
              </w:rPr>
              <w:t>protection, to improve the management of</w:t>
            </w:r>
            <w:r>
              <w:rPr>
                <w:spacing w:val="1"/>
                <w:sz w:val="16"/>
              </w:rPr>
              <w:t xml:space="preserve"> </w:t>
            </w:r>
            <w:r>
              <w:rPr>
                <w:sz w:val="16"/>
              </w:rPr>
              <w:t>databases</w:t>
            </w:r>
            <w:r>
              <w:rPr>
                <w:spacing w:val="-4"/>
                <w:sz w:val="16"/>
              </w:rPr>
              <w:t xml:space="preserve"> </w:t>
            </w:r>
            <w:r>
              <w:rPr>
                <w:sz w:val="16"/>
              </w:rPr>
              <w:t>and</w:t>
            </w:r>
            <w:r>
              <w:rPr>
                <w:spacing w:val="-3"/>
                <w:sz w:val="16"/>
              </w:rPr>
              <w:t xml:space="preserve"> </w:t>
            </w:r>
            <w:r>
              <w:rPr>
                <w:sz w:val="16"/>
              </w:rPr>
              <w:t>generation</w:t>
            </w:r>
            <w:r>
              <w:rPr>
                <w:spacing w:val="-3"/>
                <w:sz w:val="16"/>
              </w:rPr>
              <w:t xml:space="preserve"> </w:t>
            </w:r>
            <w:r>
              <w:rPr>
                <w:sz w:val="16"/>
              </w:rPr>
              <w:t>of</w:t>
            </w:r>
            <w:r>
              <w:rPr>
                <w:spacing w:val="-5"/>
                <w:sz w:val="16"/>
              </w:rPr>
              <w:t xml:space="preserve"> </w:t>
            </w:r>
            <w:r>
              <w:rPr>
                <w:sz w:val="16"/>
              </w:rPr>
              <w:t>statistical</w:t>
            </w:r>
            <w:r>
              <w:rPr>
                <w:spacing w:val="-7"/>
                <w:sz w:val="16"/>
              </w:rPr>
              <w:t xml:space="preserve"> </w:t>
            </w:r>
            <w:r>
              <w:rPr>
                <w:sz w:val="16"/>
              </w:rPr>
              <w:t>reports,</w:t>
            </w:r>
            <w:r>
              <w:rPr>
                <w:spacing w:val="-37"/>
                <w:sz w:val="16"/>
              </w:rPr>
              <w:t xml:space="preserve"> </w:t>
            </w:r>
            <w:r>
              <w:rPr>
                <w:sz w:val="16"/>
              </w:rPr>
              <w:t>as well as digitisation of certain business</w:t>
            </w:r>
            <w:r>
              <w:rPr>
                <w:spacing w:val="1"/>
                <w:sz w:val="16"/>
              </w:rPr>
              <w:t xml:space="preserve"> </w:t>
            </w:r>
            <w:r>
              <w:rPr>
                <w:sz w:val="16"/>
              </w:rPr>
              <w:t>processes.</w:t>
            </w:r>
          </w:p>
        </w:tc>
        <w:tc>
          <w:tcPr>
            <w:tcW w:w="112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90"/>
              <w:jc w:val="right"/>
              <w:rPr>
                <w:sz w:val="16"/>
              </w:rPr>
            </w:pPr>
            <w:r>
              <w:rPr>
                <w:sz w:val="16"/>
              </w:rPr>
              <w:t>6,000,000</w:t>
            </w:r>
          </w:p>
        </w:tc>
      </w:tr>
      <w:tr w:rsidR="00A56FE9">
        <w:trPr>
          <w:trHeight w:val="184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50</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10</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 ASSETS -</w:t>
            </w:r>
            <w:r>
              <w:rPr>
                <w:spacing w:val="1"/>
                <w:sz w:val="16"/>
              </w:rPr>
              <w:t xml:space="preserve"> </w:t>
            </w:r>
            <w:r>
              <w:rPr>
                <w:sz w:val="16"/>
              </w:rPr>
              <w:t>WORKING WITH</w:t>
            </w:r>
            <w:r>
              <w:rPr>
                <w:spacing w:val="1"/>
                <w:sz w:val="16"/>
              </w:rPr>
              <w:t xml:space="preserve"> </w:t>
            </w:r>
            <w:r>
              <w:rPr>
                <w:sz w:val="16"/>
              </w:rPr>
              <w:t>FOREIGNERS,</w:t>
            </w:r>
          </w:p>
          <w:p w:rsidR="00A56FE9" w:rsidRDefault="00000000">
            <w:pPr>
              <w:pStyle w:val="TableParagraph"/>
              <w:ind w:left="50" w:right="49"/>
              <w:rPr>
                <w:sz w:val="16"/>
              </w:rPr>
            </w:pPr>
            <w:r>
              <w:rPr>
                <w:sz w:val="16"/>
              </w:rPr>
              <w:t>Strengthening the</w:t>
            </w:r>
            <w:r>
              <w:rPr>
                <w:spacing w:val="1"/>
                <w:sz w:val="16"/>
              </w:rPr>
              <w:t xml:space="preserve"> </w:t>
            </w:r>
            <w:r>
              <w:rPr>
                <w:sz w:val="16"/>
              </w:rPr>
              <w:t>receiving</w:t>
            </w:r>
            <w:r>
              <w:rPr>
                <w:spacing w:val="-7"/>
                <w:sz w:val="16"/>
              </w:rPr>
              <w:t xml:space="preserve"> </w:t>
            </w:r>
            <w:r>
              <w:rPr>
                <w:sz w:val="16"/>
              </w:rPr>
              <w:t>infrastructure</w:t>
            </w:r>
            <w:r>
              <w:rPr>
                <w:spacing w:val="-7"/>
                <w:sz w:val="16"/>
              </w:rPr>
              <w:t xml:space="preserve"> </w:t>
            </w:r>
            <w:r>
              <w:rPr>
                <w:sz w:val="16"/>
              </w:rPr>
              <w:t>for</w:t>
            </w:r>
          </w:p>
          <w:p w:rsidR="00A56FE9" w:rsidRDefault="00000000">
            <w:pPr>
              <w:pStyle w:val="TableParagraph"/>
              <w:spacing w:line="182" w:lineRule="exact"/>
              <w:ind w:left="50" w:right="270"/>
              <w:rPr>
                <w:sz w:val="16"/>
              </w:rPr>
            </w:pPr>
            <w:r>
              <w:rPr>
                <w:sz w:val="16"/>
              </w:rPr>
              <w:t>applicants seeking</w:t>
            </w:r>
            <w:r>
              <w:rPr>
                <w:spacing w:val="1"/>
                <w:sz w:val="16"/>
              </w:rPr>
              <w:t xml:space="preserve"> </w:t>
            </w:r>
            <w:r>
              <w:rPr>
                <w:sz w:val="16"/>
              </w:rPr>
              <w:t>international</w:t>
            </w:r>
            <w:r>
              <w:rPr>
                <w:spacing w:val="-10"/>
                <w:sz w:val="16"/>
              </w:rPr>
              <w:t xml:space="preserve"> </w:t>
            </w:r>
            <w:r>
              <w:rPr>
                <w:sz w:val="16"/>
              </w:rPr>
              <w:t>protection</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99"/>
              <w:rPr>
                <w:sz w:val="16"/>
              </w:rPr>
            </w:pPr>
            <w:r>
              <w:rPr>
                <w:sz w:val="16"/>
              </w:rPr>
              <w:t>Completion of the</w:t>
            </w:r>
            <w:r>
              <w:rPr>
                <w:spacing w:val="1"/>
                <w:sz w:val="16"/>
              </w:rPr>
              <w:t xml:space="preserve"> </w:t>
            </w:r>
            <w:r>
              <w:rPr>
                <w:sz w:val="16"/>
              </w:rPr>
              <w:t>reconstruction of the</w:t>
            </w:r>
            <w:r>
              <w:rPr>
                <w:spacing w:val="1"/>
                <w:sz w:val="16"/>
              </w:rPr>
              <w:t xml:space="preserve"> </w:t>
            </w:r>
            <w:r>
              <w:rPr>
                <w:sz w:val="16"/>
              </w:rPr>
              <w:t>Reception Centres for</w:t>
            </w:r>
            <w:r>
              <w:rPr>
                <w:spacing w:val="1"/>
                <w:sz w:val="16"/>
              </w:rPr>
              <w:t xml:space="preserve"> </w:t>
            </w:r>
            <w:r>
              <w:rPr>
                <w:spacing w:val="-1"/>
                <w:sz w:val="16"/>
              </w:rPr>
              <w:t xml:space="preserve">International </w:t>
            </w:r>
            <w:r>
              <w:rPr>
                <w:sz w:val="16"/>
              </w:rPr>
              <w:t>Protection</w:t>
            </w:r>
            <w:r>
              <w:rPr>
                <w:spacing w:val="-37"/>
                <w:sz w:val="16"/>
              </w:rPr>
              <w:t xml:space="preserve"> </w:t>
            </w:r>
            <w:r>
              <w:rPr>
                <w:sz w:val="16"/>
              </w:rPr>
              <w:t>Seekers</w:t>
            </w:r>
            <w:r>
              <w:rPr>
                <w:spacing w:val="-1"/>
                <w:sz w:val="16"/>
              </w:rPr>
              <w:t xml:space="preserve"> </w:t>
            </w:r>
            <w:r>
              <w:rPr>
                <w:sz w:val="16"/>
              </w:rPr>
              <w:t>in</w:t>
            </w:r>
            <w:r>
              <w:rPr>
                <w:spacing w:val="1"/>
                <w:sz w:val="16"/>
              </w:rPr>
              <w:t xml:space="preserve"> </w:t>
            </w:r>
            <w:r>
              <w:rPr>
                <w:sz w:val="16"/>
              </w:rPr>
              <w:t>Kutina</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21"/>
              <w:rPr>
                <w:sz w:val="16"/>
              </w:rPr>
            </w:pPr>
            <w:r>
              <w:rPr>
                <w:spacing w:val="-1"/>
                <w:sz w:val="16"/>
              </w:rPr>
              <w:t>The reception</w:t>
            </w:r>
            <w:r>
              <w:rPr>
                <w:spacing w:val="-37"/>
                <w:sz w:val="16"/>
              </w:rPr>
              <w:t xml:space="preserve"> </w:t>
            </w:r>
            <w:r>
              <w:rPr>
                <w:sz w:val="16"/>
              </w:rPr>
              <w:t>centre for</w:t>
            </w:r>
            <w:r>
              <w:rPr>
                <w:spacing w:val="1"/>
                <w:sz w:val="16"/>
              </w:rPr>
              <w:t xml:space="preserve"> </w:t>
            </w:r>
            <w:r>
              <w:rPr>
                <w:sz w:val="16"/>
              </w:rPr>
              <w:t>applicants for</w:t>
            </w:r>
            <w:r>
              <w:rPr>
                <w:spacing w:val="-37"/>
                <w:sz w:val="16"/>
              </w:rPr>
              <w:t xml:space="preserve"> </w:t>
            </w:r>
            <w:r>
              <w:rPr>
                <w:sz w:val="16"/>
              </w:rPr>
              <w:t>international</w:t>
            </w:r>
            <w:r>
              <w:rPr>
                <w:spacing w:val="1"/>
                <w:sz w:val="16"/>
              </w:rPr>
              <w:t xml:space="preserve"> </w:t>
            </w:r>
            <w:r>
              <w:rPr>
                <w:sz w:val="16"/>
              </w:rPr>
              <w:t>protection in</w:t>
            </w:r>
            <w:r>
              <w:rPr>
                <w:spacing w:val="1"/>
                <w:sz w:val="16"/>
              </w:rPr>
              <w:t xml:space="preserve"> </w:t>
            </w:r>
            <w:r>
              <w:rPr>
                <w:sz w:val="16"/>
              </w:rPr>
              <w:t>Kutina is in</w:t>
            </w:r>
            <w:r>
              <w:rPr>
                <w:spacing w:val="1"/>
                <w:sz w:val="16"/>
              </w:rPr>
              <w:t xml:space="preserve"> </w:t>
            </w:r>
            <w:r>
              <w:rPr>
                <w:sz w:val="16"/>
              </w:rPr>
              <w:t>operation</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MI</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37"/>
              <w:rPr>
                <w:sz w:val="16"/>
              </w:rPr>
            </w:pPr>
            <w:r>
              <w:rPr>
                <w:sz w:val="16"/>
              </w:rPr>
              <w:t>The renovation of the Reception Centre for</w:t>
            </w:r>
            <w:r>
              <w:rPr>
                <w:spacing w:val="1"/>
                <w:sz w:val="16"/>
              </w:rPr>
              <w:t xml:space="preserve"> </w:t>
            </w:r>
            <w:r>
              <w:rPr>
                <w:sz w:val="16"/>
              </w:rPr>
              <w:t>International Protection Seekers in Kutina will</w:t>
            </w:r>
            <w:r>
              <w:rPr>
                <w:spacing w:val="-37"/>
                <w:sz w:val="16"/>
              </w:rPr>
              <w:t xml:space="preserve"> </w:t>
            </w:r>
            <w:r>
              <w:rPr>
                <w:sz w:val="16"/>
              </w:rPr>
              <w:t>ensure better reception and accommodation</w:t>
            </w:r>
            <w:r>
              <w:rPr>
                <w:spacing w:val="1"/>
                <w:sz w:val="16"/>
              </w:rPr>
              <w:t xml:space="preserve"> </w:t>
            </w:r>
            <w:r>
              <w:rPr>
                <w:sz w:val="16"/>
              </w:rPr>
              <w:t>conditions for international protection seekers,</w:t>
            </w:r>
            <w:r>
              <w:rPr>
                <w:spacing w:val="-37"/>
                <w:sz w:val="16"/>
              </w:rPr>
              <w:t xml:space="preserve"> </w:t>
            </w:r>
            <w:r>
              <w:rPr>
                <w:sz w:val="16"/>
              </w:rPr>
              <w:t>as well as all persons involved in the process</w:t>
            </w:r>
            <w:r>
              <w:rPr>
                <w:spacing w:val="1"/>
                <w:sz w:val="16"/>
              </w:rPr>
              <w:t xml:space="preserve"> </w:t>
            </w:r>
            <w:r>
              <w:rPr>
                <w:sz w:val="16"/>
              </w:rPr>
              <w:t>of</w:t>
            </w:r>
            <w:r>
              <w:rPr>
                <w:spacing w:val="-2"/>
                <w:sz w:val="16"/>
              </w:rPr>
              <w:t xml:space="preserve"> </w:t>
            </w:r>
            <w:r>
              <w:rPr>
                <w:sz w:val="16"/>
              </w:rPr>
              <w:t>granting</w:t>
            </w:r>
            <w:r>
              <w:rPr>
                <w:spacing w:val="-2"/>
                <w:sz w:val="16"/>
              </w:rPr>
              <w:t xml:space="preserve"> </w:t>
            </w:r>
            <w:r>
              <w:rPr>
                <w:sz w:val="16"/>
              </w:rPr>
              <w:t>international</w:t>
            </w:r>
            <w:r>
              <w:rPr>
                <w:spacing w:val="-2"/>
                <w:sz w:val="16"/>
              </w:rPr>
              <w:t xml:space="preserve"> </w:t>
            </w:r>
            <w:r>
              <w:rPr>
                <w:sz w:val="16"/>
              </w:rPr>
              <w:t>protection.</w:t>
            </w:r>
          </w:p>
        </w:tc>
        <w:tc>
          <w:tcPr>
            <w:tcW w:w="112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90"/>
              <w:jc w:val="right"/>
              <w:rPr>
                <w:sz w:val="16"/>
              </w:rPr>
            </w:pPr>
            <w:r>
              <w:rPr>
                <w:sz w:val="16"/>
              </w:rPr>
              <w:t>7,960,000</w:t>
            </w:r>
          </w:p>
        </w:tc>
      </w:tr>
      <w:tr w:rsidR="00A56FE9">
        <w:trPr>
          <w:trHeight w:val="1473"/>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51</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10</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 ASSETS -</w:t>
            </w:r>
            <w:r>
              <w:rPr>
                <w:spacing w:val="1"/>
                <w:sz w:val="16"/>
              </w:rPr>
              <w:t xml:space="preserve"> </w:t>
            </w:r>
            <w:r>
              <w:rPr>
                <w:sz w:val="16"/>
              </w:rPr>
              <w:t>WORKING WITH</w:t>
            </w:r>
            <w:r>
              <w:rPr>
                <w:spacing w:val="1"/>
                <w:sz w:val="16"/>
              </w:rPr>
              <w:t xml:space="preserve"> </w:t>
            </w:r>
            <w:r>
              <w:rPr>
                <w:sz w:val="16"/>
              </w:rPr>
              <w:t>FOREIGNERS,</w:t>
            </w:r>
          </w:p>
          <w:p w:rsidR="00A56FE9" w:rsidRDefault="00000000">
            <w:pPr>
              <w:pStyle w:val="TableParagraph"/>
              <w:spacing w:line="184" w:lineRule="exact"/>
              <w:ind w:left="50" w:right="49"/>
              <w:rPr>
                <w:sz w:val="16"/>
              </w:rPr>
            </w:pPr>
            <w:r>
              <w:rPr>
                <w:sz w:val="16"/>
              </w:rPr>
              <w:t>Strengthening the</w:t>
            </w:r>
            <w:r>
              <w:rPr>
                <w:spacing w:val="1"/>
                <w:sz w:val="16"/>
              </w:rPr>
              <w:t xml:space="preserve"> </w:t>
            </w:r>
            <w:r>
              <w:rPr>
                <w:sz w:val="16"/>
              </w:rPr>
              <w:t>receiving</w:t>
            </w:r>
            <w:r>
              <w:rPr>
                <w:spacing w:val="-7"/>
                <w:sz w:val="16"/>
              </w:rPr>
              <w:t xml:space="preserve"> </w:t>
            </w:r>
            <w:r>
              <w:rPr>
                <w:sz w:val="16"/>
              </w:rPr>
              <w:t>infrastructure</w:t>
            </w:r>
            <w:r>
              <w:rPr>
                <w:spacing w:val="-7"/>
                <w:sz w:val="16"/>
              </w:rPr>
              <w:t xml:space="preserve"> </w:t>
            </w:r>
            <w:r>
              <w:rPr>
                <w:sz w:val="16"/>
              </w:rPr>
              <w:t>for</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85"/>
              <w:rPr>
                <w:sz w:val="16"/>
              </w:rPr>
            </w:pPr>
            <w:r>
              <w:rPr>
                <w:sz w:val="16"/>
              </w:rPr>
              <w:t>The beginning of the</w:t>
            </w:r>
            <w:r>
              <w:rPr>
                <w:spacing w:val="1"/>
                <w:sz w:val="16"/>
              </w:rPr>
              <w:t xml:space="preserve"> </w:t>
            </w:r>
            <w:r>
              <w:rPr>
                <w:sz w:val="16"/>
              </w:rPr>
              <w:t>renovation of the</w:t>
            </w:r>
            <w:r>
              <w:rPr>
                <w:spacing w:val="1"/>
                <w:sz w:val="16"/>
              </w:rPr>
              <w:t xml:space="preserve"> </w:t>
            </w:r>
            <w:r>
              <w:rPr>
                <w:sz w:val="16"/>
              </w:rPr>
              <w:t>Reception Centre for</w:t>
            </w:r>
            <w:r>
              <w:rPr>
                <w:spacing w:val="1"/>
                <w:sz w:val="16"/>
              </w:rPr>
              <w:t xml:space="preserve"> </w:t>
            </w:r>
            <w:r>
              <w:rPr>
                <w:sz w:val="16"/>
              </w:rPr>
              <w:t>International Protection</w:t>
            </w:r>
            <w:r>
              <w:rPr>
                <w:spacing w:val="-38"/>
                <w:sz w:val="16"/>
              </w:rPr>
              <w:t xml:space="preserve"> </w:t>
            </w:r>
            <w:r>
              <w:rPr>
                <w:sz w:val="16"/>
              </w:rPr>
              <w:t>Seekers</w:t>
            </w:r>
            <w:r>
              <w:rPr>
                <w:spacing w:val="-1"/>
                <w:sz w:val="16"/>
              </w:rPr>
              <w:t xml:space="preserve"> </w:t>
            </w:r>
            <w:r>
              <w:rPr>
                <w:sz w:val="16"/>
              </w:rPr>
              <w:t>in Zagreb</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261"/>
              <w:rPr>
                <w:sz w:val="16"/>
              </w:rPr>
            </w:pPr>
            <w:r>
              <w:rPr>
                <w:sz w:val="16"/>
              </w:rPr>
              <w:t>Contract</w:t>
            </w:r>
            <w:r>
              <w:rPr>
                <w:spacing w:val="1"/>
                <w:sz w:val="16"/>
              </w:rPr>
              <w:t xml:space="preserve"> </w:t>
            </w:r>
            <w:r>
              <w:rPr>
                <w:spacing w:val="-1"/>
                <w:sz w:val="16"/>
              </w:rPr>
              <w:t xml:space="preserve">signed </w:t>
            </w:r>
            <w:r>
              <w:rPr>
                <w:sz w:val="16"/>
              </w:rPr>
              <w:t>with</w:t>
            </w:r>
            <w:r>
              <w:rPr>
                <w:spacing w:val="-37"/>
                <w:sz w:val="16"/>
              </w:rPr>
              <w:t xml:space="preserve"> </w:t>
            </w:r>
            <w:r>
              <w:rPr>
                <w:sz w:val="16"/>
              </w:rPr>
              <w:t>contractor</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MI</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37"/>
              <w:rPr>
                <w:sz w:val="16"/>
              </w:rPr>
            </w:pPr>
            <w:r>
              <w:rPr>
                <w:sz w:val="16"/>
              </w:rPr>
              <w:t>The renovation of the Reception Centre for</w:t>
            </w:r>
            <w:r>
              <w:rPr>
                <w:spacing w:val="1"/>
                <w:sz w:val="16"/>
              </w:rPr>
              <w:t xml:space="preserve"> </w:t>
            </w:r>
            <w:r>
              <w:rPr>
                <w:sz w:val="16"/>
              </w:rPr>
              <w:t>International</w:t>
            </w:r>
            <w:r>
              <w:rPr>
                <w:spacing w:val="-6"/>
                <w:sz w:val="16"/>
              </w:rPr>
              <w:t xml:space="preserve"> </w:t>
            </w:r>
            <w:r>
              <w:rPr>
                <w:sz w:val="16"/>
              </w:rPr>
              <w:t>Protection</w:t>
            </w:r>
            <w:r>
              <w:rPr>
                <w:spacing w:val="-4"/>
                <w:sz w:val="16"/>
              </w:rPr>
              <w:t xml:space="preserve"> </w:t>
            </w:r>
            <w:r>
              <w:rPr>
                <w:sz w:val="16"/>
              </w:rPr>
              <w:t>Seekers</w:t>
            </w:r>
            <w:r>
              <w:rPr>
                <w:spacing w:val="-5"/>
                <w:sz w:val="16"/>
              </w:rPr>
              <w:t xml:space="preserve"> </w:t>
            </w:r>
            <w:r>
              <w:rPr>
                <w:sz w:val="16"/>
              </w:rPr>
              <w:t>in</w:t>
            </w:r>
            <w:r>
              <w:rPr>
                <w:spacing w:val="-4"/>
                <w:sz w:val="16"/>
              </w:rPr>
              <w:t xml:space="preserve"> </w:t>
            </w:r>
            <w:r>
              <w:rPr>
                <w:sz w:val="16"/>
              </w:rPr>
              <w:t>Zagreb</w:t>
            </w:r>
            <w:r>
              <w:rPr>
                <w:spacing w:val="-4"/>
                <w:sz w:val="16"/>
              </w:rPr>
              <w:t xml:space="preserve"> </w:t>
            </w:r>
            <w:r>
              <w:rPr>
                <w:sz w:val="16"/>
              </w:rPr>
              <w:t>will</w:t>
            </w:r>
            <w:r>
              <w:rPr>
                <w:spacing w:val="-37"/>
                <w:sz w:val="16"/>
              </w:rPr>
              <w:t xml:space="preserve"> </w:t>
            </w:r>
            <w:r>
              <w:rPr>
                <w:sz w:val="16"/>
              </w:rPr>
              <w:t>ensure better reception and accommodation</w:t>
            </w:r>
            <w:r>
              <w:rPr>
                <w:spacing w:val="1"/>
                <w:sz w:val="16"/>
              </w:rPr>
              <w:t xml:space="preserve"> </w:t>
            </w:r>
            <w:r>
              <w:rPr>
                <w:sz w:val="16"/>
              </w:rPr>
              <w:t>conditions for international protection seekers,</w:t>
            </w:r>
            <w:r>
              <w:rPr>
                <w:spacing w:val="-37"/>
                <w:sz w:val="16"/>
              </w:rPr>
              <w:t xml:space="preserve"> </w:t>
            </w:r>
            <w:r>
              <w:rPr>
                <w:sz w:val="16"/>
              </w:rPr>
              <w:t>as well as all persons involved in the process</w:t>
            </w:r>
            <w:r>
              <w:rPr>
                <w:spacing w:val="1"/>
                <w:sz w:val="16"/>
              </w:rPr>
              <w:t xml:space="preserve"> </w:t>
            </w:r>
            <w:r>
              <w:rPr>
                <w:sz w:val="16"/>
              </w:rPr>
              <w:t>of</w:t>
            </w:r>
            <w:r>
              <w:rPr>
                <w:spacing w:val="-2"/>
                <w:sz w:val="16"/>
              </w:rPr>
              <w:t xml:space="preserve"> </w:t>
            </w:r>
            <w:r>
              <w:rPr>
                <w:sz w:val="16"/>
              </w:rPr>
              <w:t>granting</w:t>
            </w:r>
            <w:r>
              <w:rPr>
                <w:spacing w:val="-2"/>
                <w:sz w:val="16"/>
              </w:rPr>
              <w:t xml:space="preserve"> </w:t>
            </w:r>
            <w:r>
              <w:rPr>
                <w:sz w:val="16"/>
              </w:rPr>
              <w:t>international</w:t>
            </w:r>
            <w:r>
              <w:rPr>
                <w:spacing w:val="-2"/>
                <w:sz w:val="16"/>
              </w:rPr>
              <w:t xml:space="preserve"> </w:t>
            </w:r>
            <w:r>
              <w:rPr>
                <w:sz w:val="16"/>
              </w:rPr>
              <w:t>protection.</w:t>
            </w:r>
          </w:p>
        </w:tc>
        <w:tc>
          <w:tcPr>
            <w:tcW w:w="112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90"/>
              <w:jc w:val="right"/>
              <w:rPr>
                <w:sz w:val="16"/>
              </w:rPr>
            </w:pPr>
            <w:r>
              <w:rPr>
                <w:sz w:val="16"/>
              </w:rPr>
              <w:t>23.720.000</w:t>
            </w:r>
          </w:p>
        </w:tc>
      </w:tr>
    </w:tbl>
    <w:p w:rsidR="00A56FE9" w:rsidRDefault="00A56FE9">
      <w:pPr>
        <w:spacing w:line="181" w:lineRule="exact"/>
        <w:jc w:val="righ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361"/>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applicants</w:t>
            </w:r>
            <w:r>
              <w:rPr>
                <w:spacing w:val="-4"/>
                <w:sz w:val="16"/>
              </w:rPr>
              <w:t xml:space="preserve"> </w:t>
            </w:r>
            <w:r>
              <w:rPr>
                <w:sz w:val="16"/>
              </w:rPr>
              <w:t>seeking</w:t>
            </w:r>
          </w:p>
          <w:p w:rsidR="00A56FE9" w:rsidRDefault="00000000">
            <w:pPr>
              <w:pStyle w:val="TableParagraph"/>
              <w:spacing w:before="1" w:line="168" w:lineRule="exact"/>
              <w:ind w:left="50"/>
              <w:rPr>
                <w:sz w:val="16"/>
              </w:rPr>
            </w:pPr>
            <w:r>
              <w:rPr>
                <w:sz w:val="16"/>
              </w:rPr>
              <w:t>international</w:t>
            </w:r>
            <w:r>
              <w:rPr>
                <w:spacing w:val="-7"/>
                <w:sz w:val="16"/>
              </w:rPr>
              <w:t xml:space="preserve"> </w:t>
            </w:r>
            <w:r>
              <w:rPr>
                <w:sz w:val="16"/>
              </w:rPr>
              <w:t>protection</w:t>
            </w:r>
          </w:p>
        </w:tc>
        <w:tc>
          <w:tcPr>
            <w:tcW w:w="569"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12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331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52</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10</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 ASSETS -</w:t>
            </w:r>
            <w:r>
              <w:rPr>
                <w:spacing w:val="1"/>
                <w:sz w:val="16"/>
              </w:rPr>
              <w:t xml:space="preserve"> </w:t>
            </w:r>
            <w:r>
              <w:rPr>
                <w:sz w:val="16"/>
              </w:rPr>
              <w:t>DISASTER RISK</w:t>
            </w:r>
            <w:r>
              <w:rPr>
                <w:spacing w:val="1"/>
                <w:sz w:val="16"/>
              </w:rPr>
              <w:t xml:space="preserve"> </w:t>
            </w:r>
            <w:r>
              <w:rPr>
                <w:sz w:val="16"/>
              </w:rPr>
              <w:t>MANAGEMENT,</w:t>
            </w:r>
          </w:p>
          <w:p w:rsidR="00A56FE9" w:rsidRDefault="00000000">
            <w:pPr>
              <w:pStyle w:val="TableParagraph"/>
              <w:ind w:left="50" w:right="309"/>
              <w:rPr>
                <w:sz w:val="16"/>
              </w:rPr>
            </w:pPr>
            <w:r>
              <w:rPr>
                <w:sz w:val="16"/>
              </w:rPr>
              <w:t>National Disaster Risk</w:t>
            </w:r>
            <w:r>
              <w:rPr>
                <w:spacing w:val="-37"/>
                <w:sz w:val="16"/>
              </w:rPr>
              <w:t xml:space="preserve"> </w:t>
            </w:r>
            <w:r>
              <w:rPr>
                <w:sz w:val="16"/>
              </w:rPr>
              <w:t>Management</w:t>
            </w:r>
            <w:r>
              <w:rPr>
                <w:spacing w:val="-4"/>
                <w:sz w:val="16"/>
              </w:rPr>
              <w:t xml:space="preserve"> </w:t>
            </w:r>
            <w:r>
              <w:rPr>
                <w:sz w:val="16"/>
              </w:rPr>
              <w:t>Strategy</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252"/>
              <w:rPr>
                <w:sz w:val="16"/>
              </w:rPr>
            </w:pPr>
            <w:r>
              <w:rPr>
                <w:sz w:val="16"/>
              </w:rPr>
              <w:t>Adoption of the 2030</w:t>
            </w:r>
            <w:r>
              <w:rPr>
                <w:spacing w:val="1"/>
                <w:sz w:val="16"/>
              </w:rPr>
              <w:t xml:space="preserve"> </w:t>
            </w:r>
            <w:r>
              <w:rPr>
                <w:sz w:val="16"/>
              </w:rPr>
              <w:t>National Disaster Risk</w:t>
            </w:r>
            <w:r>
              <w:rPr>
                <w:spacing w:val="-37"/>
                <w:sz w:val="16"/>
              </w:rPr>
              <w:t xml:space="preserve"> </w:t>
            </w:r>
            <w:r>
              <w:rPr>
                <w:sz w:val="16"/>
              </w:rPr>
              <w:t>Management</w:t>
            </w:r>
            <w:r>
              <w:rPr>
                <w:spacing w:val="-4"/>
                <w:sz w:val="16"/>
              </w:rPr>
              <w:t xml:space="preserve"> </w:t>
            </w:r>
            <w:r>
              <w:rPr>
                <w:sz w:val="16"/>
              </w:rPr>
              <w:t>Strategy</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16"/>
              <w:rPr>
                <w:sz w:val="16"/>
              </w:rPr>
            </w:pPr>
            <w:r>
              <w:rPr>
                <w:sz w:val="16"/>
              </w:rPr>
              <w:t>Publication</w:t>
            </w:r>
            <w:r>
              <w:rPr>
                <w:spacing w:val="1"/>
                <w:sz w:val="16"/>
              </w:rPr>
              <w:t xml:space="preserve"> </w:t>
            </w:r>
            <w:r>
              <w:rPr>
                <w:sz w:val="16"/>
              </w:rPr>
              <w:t>on the official</w:t>
            </w:r>
            <w:r>
              <w:rPr>
                <w:spacing w:val="-37"/>
                <w:sz w:val="16"/>
              </w:rPr>
              <w:t xml:space="preserve"> </w:t>
            </w:r>
            <w:r>
              <w:rPr>
                <w:sz w:val="16"/>
              </w:rPr>
              <w:t>websites of</w:t>
            </w:r>
            <w:r>
              <w:rPr>
                <w:spacing w:val="1"/>
                <w:sz w:val="16"/>
              </w:rPr>
              <w:t xml:space="preserve"> </w:t>
            </w:r>
            <w:r>
              <w:rPr>
                <w:sz w:val="16"/>
              </w:rPr>
              <w:t>the</w:t>
            </w:r>
            <w:r>
              <w:rPr>
                <w:spacing w:val="1"/>
                <w:sz w:val="16"/>
              </w:rPr>
              <w:t xml:space="preserve"> </w:t>
            </w:r>
            <w:r>
              <w:rPr>
                <w:sz w:val="16"/>
              </w:rPr>
              <w:t>Government</w:t>
            </w:r>
            <w:r>
              <w:rPr>
                <w:spacing w:val="1"/>
                <w:sz w:val="16"/>
              </w:rPr>
              <w:t xml:space="preserve"> </w:t>
            </w:r>
            <w:r>
              <w:rPr>
                <w:sz w:val="16"/>
              </w:rPr>
              <w:t>and the</w:t>
            </w:r>
            <w:r>
              <w:rPr>
                <w:spacing w:val="1"/>
                <w:sz w:val="16"/>
              </w:rPr>
              <w:t xml:space="preserve"> </w:t>
            </w:r>
            <w:r>
              <w:rPr>
                <w:sz w:val="16"/>
              </w:rPr>
              <w:t>Ministry of</w:t>
            </w:r>
            <w:r>
              <w:rPr>
                <w:spacing w:val="1"/>
                <w:sz w:val="16"/>
              </w:rPr>
              <w:t xml:space="preserve"> </w:t>
            </w:r>
            <w:r>
              <w:rPr>
                <w:sz w:val="16"/>
              </w:rPr>
              <w:t>the</w:t>
            </w:r>
            <w:r>
              <w:rPr>
                <w:spacing w:val="-4"/>
                <w:sz w:val="16"/>
              </w:rPr>
              <w:t xml:space="preserve"> </w:t>
            </w:r>
            <w:r>
              <w:rPr>
                <w:sz w:val="16"/>
              </w:rPr>
              <w:t>Interior</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MI</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56"/>
              <w:rPr>
                <w:sz w:val="16"/>
              </w:rPr>
            </w:pPr>
            <w:r>
              <w:rPr>
                <w:sz w:val="16"/>
              </w:rPr>
              <w:t>Publication of the of the Disaster Risk</w:t>
            </w:r>
            <w:r>
              <w:rPr>
                <w:spacing w:val="1"/>
                <w:sz w:val="16"/>
              </w:rPr>
              <w:t xml:space="preserve"> </w:t>
            </w:r>
            <w:r>
              <w:rPr>
                <w:sz w:val="16"/>
              </w:rPr>
              <w:t>Management Strategy until 2030 on the</w:t>
            </w:r>
            <w:r>
              <w:rPr>
                <w:spacing w:val="1"/>
                <w:sz w:val="16"/>
              </w:rPr>
              <w:t xml:space="preserve"> </w:t>
            </w:r>
            <w:r>
              <w:rPr>
                <w:sz w:val="16"/>
              </w:rPr>
              <w:t>official websites of the Government of the</w:t>
            </w:r>
            <w:r>
              <w:rPr>
                <w:spacing w:val="1"/>
                <w:sz w:val="16"/>
              </w:rPr>
              <w:t xml:space="preserve"> </w:t>
            </w:r>
            <w:r>
              <w:rPr>
                <w:sz w:val="16"/>
              </w:rPr>
              <w:t>Republic of Croatia and the Ministry of the</w:t>
            </w:r>
            <w:r>
              <w:rPr>
                <w:spacing w:val="1"/>
                <w:sz w:val="16"/>
              </w:rPr>
              <w:t xml:space="preserve"> </w:t>
            </w:r>
            <w:r>
              <w:rPr>
                <w:sz w:val="16"/>
              </w:rPr>
              <w:t>Interior, which is adopted by the Government</w:t>
            </w:r>
            <w:r>
              <w:rPr>
                <w:spacing w:val="1"/>
                <w:sz w:val="16"/>
              </w:rPr>
              <w:t xml:space="preserve"> </w:t>
            </w:r>
            <w:r>
              <w:rPr>
                <w:sz w:val="16"/>
              </w:rPr>
              <w:t>according to the Civil Protection System Act.</w:t>
            </w:r>
            <w:r>
              <w:rPr>
                <w:spacing w:val="1"/>
                <w:sz w:val="16"/>
              </w:rPr>
              <w:t xml:space="preserve"> </w:t>
            </w:r>
            <w:r>
              <w:rPr>
                <w:sz w:val="16"/>
              </w:rPr>
              <w:t>The goal of the Strategy is to make the</w:t>
            </w:r>
            <w:r>
              <w:rPr>
                <w:spacing w:val="1"/>
                <w:sz w:val="16"/>
              </w:rPr>
              <w:t xml:space="preserve"> </w:t>
            </w:r>
            <w:r>
              <w:rPr>
                <w:sz w:val="16"/>
              </w:rPr>
              <w:t>Republic</w:t>
            </w:r>
            <w:r>
              <w:rPr>
                <w:spacing w:val="-5"/>
                <w:sz w:val="16"/>
              </w:rPr>
              <w:t xml:space="preserve"> </w:t>
            </w:r>
            <w:r>
              <w:rPr>
                <w:sz w:val="16"/>
              </w:rPr>
              <w:t>of</w:t>
            </w:r>
            <w:r>
              <w:rPr>
                <w:spacing w:val="-3"/>
                <w:sz w:val="16"/>
              </w:rPr>
              <w:t xml:space="preserve"> </w:t>
            </w:r>
            <w:r>
              <w:rPr>
                <w:sz w:val="16"/>
              </w:rPr>
              <w:t>Croatia</w:t>
            </w:r>
            <w:r>
              <w:rPr>
                <w:spacing w:val="-4"/>
                <w:sz w:val="16"/>
              </w:rPr>
              <w:t xml:space="preserve"> </w:t>
            </w:r>
            <w:r>
              <w:rPr>
                <w:sz w:val="16"/>
              </w:rPr>
              <w:t>more</w:t>
            </w:r>
            <w:r>
              <w:rPr>
                <w:spacing w:val="-5"/>
                <w:sz w:val="16"/>
              </w:rPr>
              <w:t xml:space="preserve"> </w:t>
            </w:r>
            <w:r>
              <w:rPr>
                <w:sz w:val="16"/>
              </w:rPr>
              <w:t>resilient</w:t>
            </w:r>
            <w:r>
              <w:rPr>
                <w:spacing w:val="-1"/>
                <w:sz w:val="16"/>
              </w:rPr>
              <w:t xml:space="preserve"> </w:t>
            </w:r>
            <w:r>
              <w:rPr>
                <w:sz w:val="16"/>
              </w:rPr>
              <w:t>to</w:t>
            </w:r>
            <w:r>
              <w:rPr>
                <w:spacing w:val="-5"/>
                <w:sz w:val="16"/>
              </w:rPr>
              <w:t xml:space="preserve"> </w:t>
            </w:r>
            <w:r>
              <w:rPr>
                <w:sz w:val="16"/>
              </w:rPr>
              <w:t>disasters,</w:t>
            </w:r>
            <w:r>
              <w:rPr>
                <w:spacing w:val="-37"/>
                <w:sz w:val="16"/>
              </w:rPr>
              <w:t xml:space="preserve"> </w:t>
            </w:r>
            <w:r>
              <w:rPr>
                <w:sz w:val="16"/>
              </w:rPr>
              <w:t>through</w:t>
            </w:r>
            <w:r>
              <w:rPr>
                <w:spacing w:val="-2"/>
                <w:sz w:val="16"/>
              </w:rPr>
              <w:t xml:space="preserve"> </w:t>
            </w:r>
            <w:r>
              <w:rPr>
                <w:sz w:val="16"/>
              </w:rPr>
              <w:t>the</w:t>
            </w:r>
            <w:r>
              <w:rPr>
                <w:spacing w:val="-5"/>
                <w:sz w:val="16"/>
              </w:rPr>
              <w:t xml:space="preserve"> </w:t>
            </w:r>
            <w:r>
              <w:rPr>
                <w:sz w:val="16"/>
              </w:rPr>
              <w:t>realization</w:t>
            </w:r>
            <w:r>
              <w:rPr>
                <w:spacing w:val="-4"/>
                <w:sz w:val="16"/>
              </w:rPr>
              <w:t xml:space="preserve"> </w:t>
            </w:r>
            <w:r>
              <w:rPr>
                <w:sz w:val="16"/>
              </w:rPr>
              <w:t>of</w:t>
            </w:r>
            <w:r>
              <w:rPr>
                <w:spacing w:val="-3"/>
                <w:sz w:val="16"/>
              </w:rPr>
              <w:t xml:space="preserve"> </w:t>
            </w:r>
            <w:r>
              <w:rPr>
                <w:sz w:val="16"/>
              </w:rPr>
              <w:t>two</w:t>
            </w:r>
            <w:r>
              <w:rPr>
                <w:spacing w:val="-4"/>
                <w:sz w:val="16"/>
              </w:rPr>
              <w:t xml:space="preserve"> </w:t>
            </w:r>
            <w:r>
              <w:rPr>
                <w:sz w:val="16"/>
              </w:rPr>
              <w:t>strategic</w:t>
            </w:r>
            <w:r>
              <w:rPr>
                <w:spacing w:val="-2"/>
                <w:sz w:val="16"/>
              </w:rPr>
              <w:t xml:space="preserve"> </w:t>
            </w:r>
            <w:r>
              <w:rPr>
                <w:sz w:val="16"/>
              </w:rPr>
              <w:t>goals:</w:t>
            </w:r>
          </w:p>
          <w:p w:rsidR="00A56FE9" w:rsidRDefault="00000000">
            <w:pPr>
              <w:pStyle w:val="TableParagraph"/>
              <w:ind w:left="57" w:right="148"/>
              <w:rPr>
                <w:sz w:val="16"/>
              </w:rPr>
            </w:pPr>
            <w:r>
              <w:rPr>
                <w:sz w:val="16"/>
              </w:rPr>
              <w:t>1. Reducing the greatest risks from disasters,</w:t>
            </w:r>
            <w:r>
              <w:rPr>
                <w:spacing w:val="-38"/>
                <w:sz w:val="16"/>
              </w:rPr>
              <w:t xml:space="preserve"> </w:t>
            </w:r>
            <w:r>
              <w:rPr>
                <w:sz w:val="16"/>
              </w:rPr>
              <w:t>and 2. Increasing preparedness for disaster</w:t>
            </w:r>
            <w:r>
              <w:rPr>
                <w:spacing w:val="1"/>
                <w:sz w:val="16"/>
              </w:rPr>
              <w:t xml:space="preserve"> </w:t>
            </w:r>
            <w:r>
              <w:rPr>
                <w:sz w:val="16"/>
              </w:rPr>
              <w:t>management.</w:t>
            </w:r>
          </w:p>
          <w:p w:rsidR="00A56FE9" w:rsidRDefault="00000000">
            <w:pPr>
              <w:pStyle w:val="TableParagraph"/>
              <w:ind w:left="57" w:right="34"/>
              <w:rPr>
                <w:sz w:val="16"/>
              </w:rPr>
            </w:pPr>
            <w:r>
              <w:rPr>
                <w:sz w:val="16"/>
              </w:rPr>
              <w:t>The strategy consolidates and determines</w:t>
            </w:r>
            <w:r>
              <w:rPr>
                <w:spacing w:val="1"/>
                <w:sz w:val="16"/>
              </w:rPr>
              <w:t xml:space="preserve"> </w:t>
            </w:r>
            <w:r>
              <w:rPr>
                <w:sz w:val="16"/>
              </w:rPr>
              <w:t>priority</w:t>
            </w:r>
            <w:r>
              <w:rPr>
                <w:spacing w:val="-7"/>
                <w:sz w:val="16"/>
              </w:rPr>
              <w:t xml:space="preserve"> </w:t>
            </w:r>
            <w:r>
              <w:rPr>
                <w:sz w:val="16"/>
              </w:rPr>
              <w:t>activities</w:t>
            </w:r>
            <w:r>
              <w:rPr>
                <w:spacing w:val="-4"/>
                <w:sz w:val="16"/>
              </w:rPr>
              <w:t xml:space="preserve"> </w:t>
            </w:r>
            <w:r>
              <w:rPr>
                <w:sz w:val="16"/>
              </w:rPr>
              <w:t>for</w:t>
            </w:r>
            <w:r>
              <w:rPr>
                <w:spacing w:val="-4"/>
                <w:sz w:val="16"/>
              </w:rPr>
              <w:t xml:space="preserve"> </w:t>
            </w:r>
            <w:r>
              <w:rPr>
                <w:sz w:val="16"/>
              </w:rPr>
              <w:t>risk</w:t>
            </w:r>
            <w:r>
              <w:rPr>
                <w:spacing w:val="-3"/>
                <w:sz w:val="16"/>
              </w:rPr>
              <w:t xml:space="preserve"> </w:t>
            </w:r>
            <w:r>
              <w:rPr>
                <w:sz w:val="16"/>
              </w:rPr>
              <w:t>management,</w:t>
            </w:r>
            <w:r>
              <w:rPr>
                <w:spacing w:val="-6"/>
                <w:sz w:val="16"/>
              </w:rPr>
              <w:t xml:space="preserve"> </w:t>
            </w:r>
            <w:r>
              <w:rPr>
                <w:sz w:val="16"/>
              </w:rPr>
              <w:t>defines</w:t>
            </w:r>
            <w:r>
              <w:rPr>
                <w:spacing w:val="-37"/>
                <w:sz w:val="16"/>
              </w:rPr>
              <w:t xml:space="preserve"> </w:t>
            </w:r>
            <w:r>
              <w:rPr>
                <w:sz w:val="16"/>
              </w:rPr>
              <w:t>possible sources of financing for these</w:t>
            </w:r>
            <w:r>
              <w:rPr>
                <w:spacing w:val="1"/>
                <w:sz w:val="16"/>
              </w:rPr>
              <w:t xml:space="preserve"> </w:t>
            </w:r>
            <w:r>
              <w:rPr>
                <w:sz w:val="16"/>
              </w:rPr>
              <w:t>activities</w:t>
            </w:r>
            <w:r>
              <w:rPr>
                <w:spacing w:val="3"/>
                <w:sz w:val="16"/>
              </w:rPr>
              <w:t xml:space="preserve"> </w:t>
            </w:r>
            <w:r>
              <w:rPr>
                <w:sz w:val="16"/>
              </w:rPr>
              <w:t>and</w:t>
            </w:r>
            <w:r>
              <w:rPr>
                <w:spacing w:val="3"/>
                <w:sz w:val="16"/>
              </w:rPr>
              <w:t xml:space="preserve"> </w:t>
            </w:r>
            <w:r>
              <w:rPr>
                <w:sz w:val="16"/>
              </w:rPr>
              <w:t>monitors</w:t>
            </w:r>
            <w:r>
              <w:rPr>
                <w:spacing w:val="3"/>
                <w:sz w:val="16"/>
              </w:rPr>
              <w:t xml:space="preserve"> </w:t>
            </w:r>
            <w:r>
              <w:rPr>
                <w:sz w:val="16"/>
              </w:rPr>
              <w:t>total</w:t>
            </w:r>
            <w:r>
              <w:rPr>
                <w:spacing w:val="3"/>
                <w:sz w:val="16"/>
              </w:rPr>
              <w:t xml:space="preserve"> </w:t>
            </w:r>
            <w:r>
              <w:rPr>
                <w:sz w:val="16"/>
              </w:rPr>
              <w:t>investments</w:t>
            </w:r>
            <w:r>
              <w:rPr>
                <w:spacing w:val="2"/>
                <w:sz w:val="16"/>
              </w:rPr>
              <w:t xml:space="preserve"> </w:t>
            </w:r>
            <w:r>
              <w:rPr>
                <w:sz w:val="16"/>
              </w:rPr>
              <w:t>in</w:t>
            </w:r>
            <w:r>
              <w:rPr>
                <w:spacing w:val="1"/>
                <w:sz w:val="16"/>
              </w:rPr>
              <w:t xml:space="preserve"> </w:t>
            </w:r>
            <w:r>
              <w:rPr>
                <w:sz w:val="16"/>
              </w:rPr>
              <w:t>risk</w:t>
            </w:r>
            <w:r>
              <w:rPr>
                <w:spacing w:val="-1"/>
                <w:sz w:val="16"/>
              </w:rPr>
              <w:t xml:space="preserve"> </w:t>
            </w:r>
            <w:r>
              <w:rPr>
                <w:sz w:val="16"/>
              </w:rPr>
              <w:t>management,</w:t>
            </w:r>
            <w:r>
              <w:rPr>
                <w:spacing w:val="-3"/>
                <w:sz w:val="16"/>
              </w:rPr>
              <w:t xml:space="preserve"> </w:t>
            </w:r>
            <w:r>
              <w:rPr>
                <w:sz w:val="16"/>
              </w:rPr>
              <w:t>as</w:t>
            </w:r>
            <w:r>
              <w:rPr>
                <w:spacing w:val="-1"/>
                <w:sz w:val="16"/>
              </w:rPr>
              <w:t xml:space="preserve"> </w:t>
            </w:r>
            <w:r>
              <w:rPr>
                <w:sz w:val="16"/>
              </w:rPr>
              <w:t>well</w:t>
            </w:r>
            <w:r>
              <w:rPr>
                <w:spacing w:val="-2"/>
                <w:sz w:val="16"/>
              </w:rPr>
              <w:t xml:space="preserve"> </w:t>
            </w:r>
            <w:r>
              <w:rPr>
                <w:sz w:val="16"/>
              </w:rPr>
              <w:t>as</w:t>
            </w:r>
            <w:r>
              <w:rPr>
                <w:spacing w:val="-1"/>
                <w:sz w:val="16"/>
              </w:rPr>
              <w:t xml:space="preserve"> </w:t>
            </w:r>
            <w:r>
              <w:rPr>
                <w:sz w:val="16"/>
              </w:rPr>
              <w:t>their</w:t>
            </w:r>
            <w:r>
              <w:rPr>
                <w:spacing w:val="-2"/>
                <w:sz w:val="16"/>
              </w:rPr>
              <w:t xml:space="preserve"> </w:t>
            </w:r>
            <w:r>
              <w:rPr>
                <w:sz w:val="16"/>
              </w:rPr>
              <w:t>impact.</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4234"/>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53</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1" w:right="42"/>
              <w:jc w:val="center"/>
              <w:rPr>
                <w:sz w:val="16"/>
              </w:rPr>
            </w:pPr>
            <w:r>
              <w:rPr>
                <w:sz w:val="16"/>
              </w:rPr>
              <w:t>10</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191"/>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 ASSETS -</w:t>
            </w:r>
            <w:r>
              <w:rPr>
                <w:spacing w:val="1"/>
                <w:sz w:val="16"/>
              </w:rPr>
              <w:t xml:space="preserve"> </w:t>
            </w:r>
            <w:r>
              <w:rPr>
                <w:sz w:val="16"/>
              </w:rPr>
              <w:t>DISASTER RISK</w:t>
            </w:r>
            <w:r>
              <w:rPr>
                <w:spacing w:val="1"/>
                <w:sz w:val="16"/>
              </w:rPr>
              <w:t xml:space="preserve"> </w:t>
            </w:r>
            <w:r>
              <w:rPr>
                <w:spacing w:val="-1"/>
                <w:sz w:val="16"/>
              </w:rPr>
              <w:t>MANAGEMENT,</w:t>
            </w:r>
            <w:r>
              <w:rPr>
                <w:spacing w:val="-4"/>
                <w:sz w:val="16"/>
              </w:rPr>
              <w:t xml:space="preserve"> </w:t>
            </w:r>
            <w:r>
              <w:rPr>
                <w:sz w:val="16"/>
              </w:rPr>
              <w:t>Early</w:t>
            </w:r>
          </w:p>
          <w:p w:rsidR="00A56FE9" w:rsidRDefault="00000000">
            <w:pPr>
              <w:pStyle w:val="TableParagraph"/>
              <w:ind w:left="50" w:right="471"/>
              <w:rPr>
                <w:sz w:val="16"/>
              </w:rPr>
            </w:pPr>
            <w:r>
              <w:rPr>
                <w:sz w:val="16"/>
              </w:rPr>
              <w:t>warning and crisis</w:t>
            </w:r>
            <w:r>
              <w:rPr>
                <w:spacing w:val="1"/>
                <w:sz w:val="16"/>
              </w:rPr>
              <w:t xml:space="preserve"> </w:t>
            </w:r>
            <w:r>
              <w:rPr>
                <w:spacing w:val="-1"/>
                <w:sz w:val="16"/>
              </w:rPr>
              <w:t>management</w:t>
            </w:r>
            <w:r>
              <w:rPr>
                <w:spacing w:val="-5"/>
                <w:sz w:val="16"/>
              </w:rPr>
              <w:t xml:space="preserve"> </w:t>
            </w:r>
            <w:r>
              <w:rPr>
                <w:sz w:val="16"/>
              </w:rPr>
              <w:t>system</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42"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68"/>
              <w:rPr>
                <w:sz w:val="16"/>
              </w:rPr>
            </w:pPr>
            <w:r>
              <w:rPr>
                <w:sz w:val="16"/>
              </w:rPr>
              <w:t>Implementation of the</w:t>
            </w:r>
            <w:r>
              <w:rPr>
                <w:spacing w:val="1"/>
                <w:sz w:val="16"/>
              </w:rPr>
              <w:t xml:space="preserve"> </w:t>
            </w:r>
            <w:r>
              <w:rPr>
                <w:sz w:val="16"/>
              </w:rPr>
              <w:t>early warning and crisis</w:t>
            </w:r>
            <w:r>
              <w:rPr>
                <w:spacing w:val="-37"/>
                <w:sz w:val="16"/>
              </w:rPr>
              <w:t xml:space="preserve"> </w:t>
            </w:r>
            <w:r>
              <w:rPr>
                <w:sz w:val="16"/>
              </w:rPr>
              <w:t>management</w:t>
            </w:r>
            <w:r>
              <w:rPr>
                <w:spacing w:val="-1"/>
                <w:sz w:val="16"/>
              </w:rPr>
              <w:t xml:space="preserve"> </w:t>
            </w:r>
            <w:r>
              <w:rPr>
                <w:sz w:val="16"/>
              </w:rPr>
              <w:t>system</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40"/>
              <w:rPr>
                <w:sz w:val="16"/>
              </w:rPr>
            </w:pPr>
            <w:r>
              <w:rPr>
                <w:sz w:val="16"/>
              </w:rPr>
              <w:t>Developed</w:t>
            </w:r>
            <w:r>
              <w:rPr>
                <w:spacing w:val="1"/>
                <w:sz w:val="16"/>
              </w:rPr>
              <w:t xml:space="preserve"> </w:t>
            </w:r>
            <w:r>
              <w:rPr>
                <w:spacing w:val="-4"/>
                <w:sz w:val="16"/>
              </w:rPr>
              <w:t xml:space="preserve">software </w:t>
            </w:r>
            <w:r>
              <w:rPr>
                <w:spacing w:val="-3"/>
                <w:sz w:val="16"/>
              </w:rPr>
              <w:t>for</w:t>
            </w:r>
            <w:r>
              <w:rPr>
                <w:spacing w:val="-2"/>
                <w:sz w:val="16"/>
              </w:rPr>
              <w:t xml:space="preserve"> </w:t>
            </w:r>
            <w:r>
              <w:rPr>
                <w:spacing w:val="-4"/>
                <w:sz w:val="16"/>
              </w:rPr>
              <w:t>early warning</w:t>
            </w:r>
            <w:r>
              <w:rPr>
                <w:spacing w:val="-3"/>
                <w:sz w:val="16"/>
              </w:rPr>
              <w:t xml:space="preserve"> </w:t>
            </w:r>
            <w:r>
              <w:rPr>
                <w:spacing w:val="-4"/>
                <w:sz w:val="16"/>
              </w:rPr>
              <w:t>and crisis</w:t>
            </w:r>
            <w:r>
              <w:rPr>
                <w:spacing w:val="-3"/>
                <w:sz w:val="16"/>
              </w:rPr>
              <w:t xml:space="preserve"> </w:t>
            </w:r>
            <w:r>
              <w:rPr>
                <w:sz w:val="16"/>
              </w:rPr>
              <w:t>management;</w:t>
            </w:r>
            <w:r>
              <w:rPr>
                <w:spacing w:val="1"/>
                <w:sz w:val="16"/>
              </w:rPr>
              <w:t xml:space="preserve"> </w:t>
            </w:r>
            <w:r>
              <w:rPr>
                <w:spacing w:val="-4"/>
                <w:sz w:val="16"/>
              </w:rPr>
              <w:t xml:space="preserve">Linking </w:t>
            </w:r>
            <w:r>
              <w:rPr>
                <w:spacing w:val="-3"/>
                <w:sz w:val="16"/>
              </w:rPr>
              <w:t>the</w:t>
            </w:r>
            <w:r>
              <w:rPr>
                <w:spacing w:val="-2"/>
                <w:sz w:val="16"/>
              </w:rPr>
              <w:t xml:space="preserve"> </w:t>
            </w:r>
            <w:r>
              <w:rPr>
                <w:spacing w:val="-4"/>
                <w:sz w:val="16"/>
              </w:rPr>
              <w:t>locations</w:t>
            </w:r>
            <w:r>
              <w:rPr>
                <w:spacing w:val="32"/>
                <w:sz w:val="16"/>
              </w:rPr>
              <w:t xml:space="preserve"> </w:t>
            </w:r>
            <w:r>
              <w:rPr>
                <w:spacing w:val="-3"/>
                <w:sz w:val="16"/>
              </w:rPr>
              <w:t>of</w:t>
            </w:r>
            <w:r>
              <w:rPr>
                <w:spacing w:val="-2"/>
                <w:sz w:val="16"/>
              </w:rPr>
              <w:t xml:space="preserve"> </w:t>
            </w:r>
            <w:r>
              <w:rPr>
                <w:spacing w:val="-4"/>
                <w:sz w:val="16"/>
              </w:rPr>
              <w:t xml:space="preserve">data centres </w:t>
            </w:r>
            <w:r>
              <w:rPr>
                <w:spacing w:val="-3"/>
                <w:sz w:val="16"/>
              </w:rPr>
              <w:t>of</w:t>
            </w:r>
            <w:r>
              <w:rPr>
                <w:spacing w:val="-2"/>
                <w:sz w:val="16"/>
              </w:rPr>
              <w:t xml:space="preserve"> </w:t>
            </w:r>
            <w:r>
              <w:rPr>
                <w:sz w:val="16"/>
              </w:rPr>
              <w:t>mobile</w:t>
            </w:r>
            <w:r>
              <w:rPr>
                <w:spacing w:val="1"/>
                <w:sz w:val="16"/>
              </w:rPr>
              <w:t xml:space="preserve"> </w:t>
            </w:r>
            <w:r>
              <w:rPr>
                <w:spacing w:val="-4"/>
                <w:sz w:val="16"/>
              </w:rPr>
              <w:t xml:space="preserve">operators </w:t>
            </w:r>
            <w:r>
              <w:rPr>
                <w:spacing w:val="-3"/>
                <w:sz w:val="16"/>
              </w:rPr>
              <w:t>and</w:t>
            </w:r>
            <w:r>
              <w:rPr>
                <w:spacing w:val="-2"/>
                <w:sz w:val="16"/>
              </w:rPr>
              <w:t xml:space="preserve"> </w:t>
            </w:r>
            <w:r>
              <w:rPr>
                <w:sz w:val="16"/>
              </w:rPr>
              <w:t>the</w:t>
            </w:r>
            <w:r>
              <w:rPr>
                <w:spacing w:val="1"/>
                <w:sz w:val="16"/>
              </w:rPr>
              <w:t xml:space="preserve"> </w:t>
            </w:r>
            <w:r>
              <w:rPr>
                <w:spacing w:val="-4"/>
                <w:sz w:val="16"/>
              </w:rPr>
              <w:t xml:space="preserve">headquarters </w:t>
            </w:r>
            <w:r>
              <w:rPr>
                <w:spacing w:val="-3"/>
                <w:sz w:val="16"/>
              </w:rPr>
              <w:t>of</w:t>
            </w:r>
            <w:r>
              <w:rPr>
                <w:spacing w:val="-2"/>
                <w:sz w:val="16"/>
              </w:rPr>
              <w:t xml:space="preserve"> </w:t>
            </w:r>
            <w:r>
              <w:rPr>
                <w:spacing w:val="-3"/>
                <w:sz w:val="16"/>
              </w:rPr>
              <w:t xml:space="preserve">the Ministry </w:t>
            </w:r>
            <w:r>
              <w:rPr>
                <w:spacing w:val="-2"/>
                <w:sz w:val="16"/>
              </w:rPr>
              <w:t>of</w:t>
            </w:r>
            <w:r>
              <w:rPr>
                <w:spacing w:val="-1"/>
                <w:sz w:val="16"/>
              </w:rPr>
              <w:t xml:space="preserve"> </w:t>
            </w:r>
            <w:r>
              <w:rPr>
                <w:spacing w:val="-5"/>
                <w:sz w:val="16"/>
              </w:rPr>
              <w:t xml:space="preserve">the Interior </w:t>
            </w:r>
            <w:r>
              <w:rPr>
                <w:spacing w:val="-4"/>
                <w:sz w:val="16"/>
              </w:rPr>
              <w:t>with</w:t>
            </w:r>
            <w:r>
              <w:rPr>
                <w:spacing w:val="-37"/>
                <w:sz w:val="16"/>
              </w:rPr>
              <w:t xml:space="preserve"> </w:t>
            </w:r>
            <w:r>
              <w:rPr>
                <w:sz w:val="16"/>
              </w:rPr>
              <w:t>optical</w:t>
            </w:r>
            <w:r>
              <w:rPr>
                <w:spacing w:val="1"/>
                <w:sz w:val="16"/>
              </w:rPr>
              <w:t xml:space="preserve"> </w:t>
            </w:r>
            <w:r>
              <w:rPr>
                <w:sz w:val="16"/>
              </w:rPr>
              <w:t>connections;</w:t>
            </w:r>
            <w:r>
              <w:rPr>
                <w:spacing w:val="1"/>
                <w:sz w:val="16"/>
              </w:rPr>
              <w:t xml:space="preserve"> </w:t>
            </w:r>
            <w:r>
              <w:rPr>
                <w:spacing w:val="-4"/>
                <w:sz w:val="16"/>
              </w:rPr>
              <w:t>Acquired and</w:t>
            </w:r>
            <w:r>
              <w:rPr>
                <w:spacing w:val="-3"/>
                <w:sz w:val="16"/>
              </w:rPr>
              <w:t xml:space="preserve"> </w:t>
            </w:r>
            <w:r>
              <w:rPr>
                <w:sz w:val="16"/>
              </w:rPr>
              <w:t>installed</w:t>
            </w:r>
            <w:r>
              <w:rPr>
                <w:spacing w:val="1"/>
                <w:sz w:val="16"/>
              </w:rPr>
              <w:t xml:space="preserve"> </w:t>
            </w:r>
            <w:r>
              <w:rPr>
                <w:sz w:val="16"/>
              </w:rPr>
              <w:t>hardware</w:t>
            </w:r>
            <w:r>
              <w:rPr>
                <w:spacing w:val="1"/>
                <w:sz w:val="16"/>
              </w:rPr>
              <w:t xml:space="preserve"> </w:t>
            </w:r>
            <w:r>
              <w:rPr>
                <w:spacing w:val="-4"/>
                <w:sz w:val="16"/>
              </w:rPr>
              <w:t xml:space="preserve">(system) </w:t>
            </w:r>
            <w:r>
              <w:rPr>
                <w:spacing w:val="-3"/>
                <w:sz w:val="16"/>
              </w:rPr>
              <w:t>that is</w:t>
            </w:r>
            <w:r>
              <w:rPr>
                <w:spacing w:val="-2"/>
                <w:sz w:val="16"/>
              </w:rPr>
              <w:t xml:space="preserve"> </w:t>
            </w:r>
            <w:r>
              <w:rPr>
                <w:spacing w:val="-4"/>
                <w:sz w:val="16"/>
              </w:rPr>
              <w:t>installed</w:t>
            </w:r>
            <w:r>
              <w:rPr>
                <w:spacing w:val="-8"/>
                <w:sz w:val="16"/>
              </w:rPr>
              <w:t xml:space="preserve"> </w:t>
            </w:r>
            <w:r>
              <w:rPr>
                <w:spacing w:val="-3"/>
                <w:sz w:val="16"/>
              </w:rPr>
              <w:t>in</w:t>
            </w:r>
            <w:r>
              <w:rPr>
                <w:spacing w:val="-7"/>
                <w:sz w:val="16"/>
              </w:rPr>
              <w:t xml:space="preserve"> </w:t>
            </w:r>
            <w:r>
              <w:rPr>
                <w:spacing w:val="-3"/>
                <w:sz w:val="16"/>
              </w:rPr>
              <w:t>the</w:t>
            </w:r>
          </w:p>
          <w:p w:rsidR="00A56FE9" w:rsidRDefault="00000000">
            <w:pPr>
              <w:pStyle w:val="TableParagraph"/>
              <w:spacing w:line="182" w:lineRule="exact"/>
              <w:ind w:left="110" w:right="137"/>
              <w:rPr>
                <w:sz w:val="16"/>
              </w:rPr>
            </w:pPr>
            <w:r>
              <w:rPr>
                <w:spacing w:val="-5"/>
                <w:sz w:val="16"/>
              </w:rPr>
              <w:t xml:space="preserve">operator's </w:t>
            </w:r>
            <w:r>
              <w:rPr>
                <w:spacing w:val="-4"/>
                <w:sz w:val="16"/>
              </w:rPr>
              <w:t>data</w:t>
            </w:r>
            <w:r>
              <w:rPr>
                <w:spacing w:val="-37"/>
                <w:sz w:val="16"/>
              </w:rPr>
              <w:t xml:space="preserve"> </w:t>
            </w:r>
            <w:r>
              <w:rPr>
                <w:spacing w:val="-4"/>
                <w:sz w:val="16"/>
              </w:rPr>
              <w:t>centres</w:t>
            </w:r>
            <w:r>
              <w:rPr>
                <w:spacing w:val="-9"/>
                <w:sz w:val="16"/>
              </w:rPr>
              <w:t xml:space="preserve"> </w:t>
            </w:r>
            <w:r>
              <w:rPr>
                <w:spacing w:val="-3"/>
                <w:sz w:val="16"/>
              </w:rPr>
              <w:t>and</w:t>
            </w:r>
            <w:r>
              <w:rPr>
                <w:spacing w:val="-7"/>
                <w:sz w:val="16"/>
              </w:rPr>
              <w:t xml:space="preserve"> </w:t>
            </w:r>
            <w:r>
              <w:rPr>
                <w:spacing w:val="-3"/>
                <w:sz w:val="16"/>
              </w:rPr>
              <w:t>at</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MI</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41"/>
              <w:rPr>
                <w:sz w:val="16"/>
              </w:rPr>
            </w:pPr>
            <w:r>
              <w:rPr>
                <w:sz w:val="16"/>
              </w:rPr>
              <w:t>The implementation of the project Early</w:t>
            </w:r>
            <w:r>
              <w:rPr>
                <w:spacing w:val="1"/>
                <w:sz w:val="16"/>
              </w:rPr>
              <w:t xml:space="preserve"> </w:t>
            </w:r>
            <w:r>
              <w:rPr>
                <w:sz w:val="16"/>
              </w:rPr>
              <w:t>Warning and Crisis Management System will</w:t>
            </w:r>
            <w:r>
              <w:rPr>
                <w:spacing w:val="1"/>
                <w:sz w:val="16"/>
              </w:rPr>
              <w:t xml:space="preserve"> </w:t>
            </w:r>
            <w:r>
              <w:rPr>
                <w:sz w:val="16"/>
              </w:rPr>
              <w:t>ensure fast and reliable communication for</w:t>
            </w:r>
            <w:r>
              <w:rPr>
                <w:spacing w:val="1"/>
                <w:sz w:val="16"/>
              </w:rPr>
              <w:t xml:space="preserve"> </w:t>
            </w:r>
            <w:r>
              <w:rPr>
                <w:sz w:val="16"/>
              </w:rPr>
              <w:t>crisis</w:t>
            </w:r>
            <w:r>
              <w:rPr>
                <w:spacing w:val="-7"/>
                <w:sz w:val="16"/>
              </w:rPr>
              <w:t xml:space="preserve"> </w:t>
            </w:r>
            <w:r>
              <w:rPr>
                <w:sz w:val="16"/>
              </w:rPr>
              <w:t>management</w:t>
            </w:r>
            <w:r>
              <w:rPr>
                <w:spacing w:val="-6"/>
                <w:sz w:val="16"/>
              </w:rPr>
              <w:t xml:space="preserve"> </w:t>
            </w:r>
            <w:r>
              <w:rPr>
                <w:sz w:val="16"/>
              </w:rPr>
              <w:t>using</w:t>
            </w:r>
            <w:r>
              <w:rPr>
                <w:spacing w:val="-6"/>
                <w:sz w:val="16"/>
              </w:rPr>
              <w:t xml:space="preserve"> </w:t>
            </w:r>
            <w:r>
              <w:rPr>
                <w:sz w:val="16"/>
              </w:rPr>
              <w:t>modern</w:t>
            </w:r>
            <w:r>
              <w:rPr>
                <w:spacing w:val="-4"/>
                <w:sz w:val="16"/>
              </w:rPr>
              <w:t xml:space="preserve"> </w:t>
            </w:r>
            <w:r>
              <w:rPr>
                <w:sz w:val="16"/>
              </w:rPr>
              <w:t>technologies.</w:t>
            </w:r>
            <w:r>
              <w:rPr>
                <w:spacing w:val="-37"/>
                <w:sz w:val="16"/>
              </w:rPr>
              <w:t xml:space="preserve"> </w:t>
            </w:r>
            <w:r>
              <w:rPr>
                <w:sz w:val="16"/>
              </w:rPr>
              <w:t>The establishment of new communication</w:t>
            </w:r>
            <w:r>
              <w:rPr>
                <w:spacing w:val="1"/>
                <w:sz w:val="16"/>
              </w:rPr>
              <w:t xml:space="preserve"> </w:t>
            </w:r>
            <w:r>
              <w:rPr>
                <w:sz w:val="16"/>
              </w:rPr>
              <w:t>channels and the improvement of the</w:t>
            </w:r>
            <w:r>
              <w:rPr>
                <w:spacing w:val="1"/>
                <w:sz w:val="16"/>
              </w:rPr>
              <w:t xml:space="preserve"> </w:t>
            </w:r>
            <w:r>
              <w:rPr>
                <w:sz w:val="16"/>
              </w:rPr>
              <w:t>communication process will significantly</w:t>
            </w:r>
            <w:r>
              <w:rPr>
                <w:spacing w:val="1"/>
                <w:sz w:val="16"/>
              </w:rPr>
              <w:t xml:space="preserve"> </w:t>
            </w:r>
            <w:r>
              <w:rPr>
                <w:sz w:val="16"/>
              </w:rPr>
              <w:t>contribute to the rapid and reliable distribution</w:t>
            </w:r>
            <w:r>
              <w:rPr>
                <w:spacing w:val="-37"/>
                <w:sz w:val="16"/>
              </w:rPr>
              <w:t xml:space="preserve"> </w:t>
            </w:r>
            <w:r>
              <w:rPr>
                <w:sz w:val="16"/>
              </w:rPr>
              <w:t>of credible, timely, accurate and effective</w:t>
            </w:r>
            <w:r>
              <w:rPr>
                <w:spacing w:val="1"/>
                <w:sz w:val="16"/>
              </w:rPr>
              <w:t xml:space="preserve"> </w:t>
            </w:r>
            <w:r>
              <w:rPr>
                <w:sz w:val="16"/>
              </w:rPr>
              <w:t>information on hazards and related</w:t>
            </w:r>
            <w:r>
              <w:rPr>
                <w:spacing w:val="1"/>
                <w:sz w:val="16"/>
              </w:rPr>
              <w:t xml:space="preserve"> </w:t>
            </w:r>
            <w:r>
              <w:rPr>
                <w:sz w:val="16"/>
              </w:rPr>
              <w:t>information. Timely issuance and distribution</w:t>
            </w:r>
            <w:r>
              <w:rPr>
                <w:spacing w:val="1"/>
                <w:sz w:val="16"/>
              </w:rPr>
              <w:t xml:space="preserve"> </w:t>
            </w:r>
            <w:r>
              <w:rPr>
                <w:sz w:val="16"/>
              </w:rPr>
              <w:t>of these notices, as essential components of a</w:t>
            </w:r>
            <w:r>
              <w:rPr>
                <w:spacing w:val="1"/>
                <w:sz w:val="16"/>
              </w:rPr>
              <w:t xml:space="preserve"> </w:t>
            </w:r>
            <w:r>
              <w:rPr>
                <w:sz w:val="16"/>
              </w:rPr>
              <w:t>comprehensive early warning system, will</w:t>
            </w:r>
            <w:r>
              <w:rPr>
                <w:spacing w:val="1"/>
                <w:sz w:val="16"/>
              </w:rPr>
              <w:t xml:space="preserve"> </w:t>
            </w:r>
            <w:r>
              <w:rPr>
                <w:sz w:val="16"/>
              </w:rPr>
              <w:t>contribute to raising the overall ability to</w:t>
            </w:r>
            <w:r>
              <w:rPr>
                <w:spacing w:val="1"/>
                <w:sz w:val="16"/>
              </w:rPr>
              <w:t xml:space="preserve"> </w:t>
            </w:r>
            <w:r>
              <w:rPr>
                <w:sz w:val="16"/>
              </w:rPr>
              <w:t>respond to crisis situations in the Republic of</w:t>
            </w:r>
            <w:r>
              <w:rPr>
                <w:spacing w:val="1"/>
                <w:sz w:val="16"/>
              </w:rPr>
              <w:t xml:space="preserve"> </w:t>
            </w:r>
            <w:r>
              <w:rPr>
                <w:sz w:val="16"/>
              </w:rPr>
              <w:t>Croatia. The ultimate goal of the project is to</w:t>
            </w:r>
            <w:r>
              <w:rPr>
                <w:spacing w:val="1"/>
                <w:sz w:val="16"/>
              </w:rPr>
              <w:t xml:space="preserve"> </w:t>
            </w:r>
            <w:r>
              <w:rPr>
                <w:sz w:val="16"/>
              </w:rPr>
              <w:t>quickly and effectively inform civil protection</w:t>
            </w:r>
            <w:r>
              <w:rPr>
                <w:spacing w:val="-37"/>
                <w:sz w:val="16"/>
              </w:rPr>
              <w:t xml:space="preserve"> </w:t>
            </w:r>
            <w:r>
              <w:rPr>
                <w:sz w:val="16"/>
              </w:rPr>
              <w:t>participants and</w:t>
            </w:r>
            <w:r>
              <w:rPr>
                <w:spacing w:val="1"/>
                <w:sz w:val="16"/>
              </w:rPr>
              <w:t xml:space="preserve"> </w:t>
            </w:r>
            <w:r>
              <w:rPr>
                <w:sz w:val="16"/>
              </w:rPr>
              <w:t>citizens</w:t>
            </w:r>
            <w:r>
              <w:rPr>
                <w:spacing w:val="3"/>
                <w:sz w:val="16"/>
              </w:rPr>
              <w:t xml:space="preserve"> </w:t>
            </w:r>
            <w:r>
              <w:rPr>
                <w:sz w:val="16"/>
              </w:rPr>
              <w:t>via</w:t>
            </w:r>
            <w:r>
              <w:rPr>
                <w:spacing w:val="3"/>
                <w:sz w:val="16"/>
              </w:rPr>
              <w:t xml:space="preserve"> </w:t>
            </w:r>
            <w:r>
              <w:rPr>
                <w:sz w:val="16"/>
              </w:rPr>
              <w:t>mobile phones</w:t>
            </w:r>
            <w:r>
              <w:rPr>
                <w:spacing w:val="1"/>
                <w:sz w:val="16"/>
              </w:rPr>
              <w:t xml:space="preserve"> </w:t>
            </w:r>
            <w:r>
              <w:rPr>
                <w:sz w:val="16"/>
              </w:rPr>
              <w:t>and other modern technologies about the</w:t>
            </w:r>
            <w:r>
              <w:rPr>
                <w:spacing w:val="1"/>
                <w:sz w:val="16"/>
              </w:rPr>
              <w:t xml:space="preserve"> </w:t>
            </w:r>
            <w:r>
              <w:rPr>
                <w:sz w:val="16"/>
              </w:rPr>
              <w:t>dangers that threaten and the measures that</w:t>
            </w:r>
            <w:r>
              <w:rPr>
                <w:spacing w:val="1"/>
                <w:sz w:val="16"/>
              </w:rPr>
              <w:t xml:space="preserve"> </w:t>
            </w:r>
            <w:r>
              <w:rPr>
                <w:sz w:val="16"/>
              </w:rPr>
              <w:t>need to be taken to reduce human casualties</w:t>
            </w:r>
            <w:r>
              <w:rPr>
                <w:spacing w:val="1"/>
                <w:sz w:val="16"/>
              </w:rPr>
              <w:t xml:space="preserve"> </w:t>
            </w:r>
            <w:r>
              <w:rPr>
                <w:sz w:val="16"/>
              </w:rPr>
              <w:t>and material</w:t>
            </w:r>
            <w:r>
              <w:rPr>
                <w:spacing w:val="-3"/>
                <w:sz w:val="16"/>
              </w:rPr>
              <w:t xml:space="preserve"> </w:t>
            </w:r>
            <w:r>
              <w:rPr>
                <w:sz w:val="16"/>
              </w:rPr>
              <w:t>damage.</w:t>
            </w:r>
          </w:p>
        </w:tc>
        <w:tc>
          <w:tcPr>
            <w:tcW w:w="112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04"/>
              <w:rPr>
                <w:sz w:val="16"/>
              </w:rPr>
            </w:pPr>
            <w:r>
              <w:rPr>
                <w:sz w:val="16"/>
              </w:rPr>
              <w:t>58.490.000</w:t>
            </w:r>
          </w:p>
        </w:tc>
      </w:tr>
    </w:tbl>
    <w:p w:rsidR="00A56FE9" w:rsidRDefault="00A56FE9">
      <w:pPr>
        <w:spacing w:line="181" w:lineRule="exac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729"/>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110"/>
              <w:rPr>
                <w:sz w:val="16"/>
              </w:rPr>
            </w:pPr>
            <w:r>
              <w:rPr>
                <w:sz w:val="16"/>
              </w:rPr>
              <w:t>the</w:t>
            </w:r>
          </w:p>
          <w:p w:rsidR="00A56FE9" w:rsidRDefault="00000000">
            <w:pPr>
              <w:pStyle w:val="TableParagraph"/>
              <w:spacing w:before="1"/>
              <w:ind w:left="110"/>
              <w:rPr>
                <w:sz w:val="16"/>
              </w:rPr>
            </w:pPr>
            <w:r>
              <w:rPr>
                <w:spacing w:val="-4"/>
                <w:sz w:val="16"/>
              </w:rPr>
              <w:t>headquarters</w:t>
            </w:r>
            <w:r>
              <w:rPr>
                <w:spacing w:val="-9"/>
                <w:sz w:val="16"/>
              </w:rPr>
              <w:t xml:space="preserve"> </w:t>
            </w:r>
            <w:r>
              <w:rPr>
                <w:spacing w:val="-3"/>
                <w:sz w:val="16"/>
              </w:rPr>
              <w:t>of</w:t>
            </w:r>
          </w:p>
          <w:p w:rsidR="00A56FE9" w:rsidRDefault="00000000">
            <w:pPr>
              <w:pStyle w:val="TableParagraph"/>
              <w:spacing w:line="182" w:lineRule="exact"/>
              <w:ind w:left="110" w:right="95"/>
              <w:rPr>
                <w:sz w:val="16"/>
              </w:rPr>
            </w:pPr>
            <w:r>
              <w:rPr>
                <w:spacing w:val="-4"/>
                <w:sz w:val="16"/>
              </w:rPr>
              <w:t xml:space="preserve">the Ministry </w:t>
            </w:r>
            <w:r>
              <w:rPr>
                <w:spacing w:val="-3"/>
                <w:sz w:val="16"/>
              </w:rPr>
              <w:t>of</w:t>
            </w:r>
            <w:r>
              <w:rPr>
                <w:spacing w:val="-37"/>
                <w:sz w:val="16"/>
              </w:rPr>
              <w:t xml:space="preserve"> </w:t>
            </w:r>
            <w:r>
              <w:rPr>
                <w:spacing w:val="-4"/>
                <w:sz w:val="16"/>
              </w:rPr>
              <w:t>the</w:t>
            </w:r>
            <w:r>
              <w:rPr>
                <w:spacing w:val="-9"/>
                <w:sz w:val="16"/>
              </w:rPr>
              <w:t xml:space="preserve"> </w:t>
            </w:r>
            <w:r>
              <w:rPr>
                <w:spacing w:val="-4"/>
                <w:sz w:val="16"/>
              </w:rPr>
              <w:t>Interior</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12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368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54</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11,</w:t>
            </w:r>
          </w:p>
          <w:p w:rsidR="00A56FE9" w:rsidRDefault="00000000">
            <w:pPr>
              <w:pStyle w:val="TableParagraph"/>
              <w:spacing w:before="1"/>
              <w:ind w:left="48"/>
              <w:rPr>
                <w:sz w:val="16"/>
              </w:rPr>
            </w:pPr>
            <w:r>
              <w:rPr>
                <w:sz w:val="16"/>
              </w:rPr>
              <w:t>13</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 ASSETS -</w:t>
            </w:r>
            <w:r>
              <w:rPr>
                <w:spacing w:val="1"/>
                <w:sz w:val="16"/>
              </w:rPr>
              <w:t xml:space="preserve"> </w:t>
            </w:r>
            <w:r>
              <w:rPr>
                <w:sz w:val="16"/>
              </w:rPr>
              <w:t>DISASTER RISK</w:t>
            </w:r>
            <w:r>
              <w:rPr>
                <w:spacing w:val="1"/>
                <w:sz w:val="16"/>
              </w:rPr>
              <w:t xml:space="preserve"> </w:t>
            </w:r>
            <w:r>
              <w:rPr>
                <w:sz w:val="16"/>
              </w:rPr>
              <w:t>MANAGEMENT,</w:t>
            </w:r>
          </w:p>
          <w:p w:rsidR="00A56FE9" w:rsidRDefault="00000000">
            <w:pPr>
              <w:pStyle w:val="TableParagraph"/>
              <w:ind w:left="50" w:right="407"/>
              <w:rPr>
                <w:sz w:val="16"/>
              </w:rPr>
            </w:pPr>
            <w:r>
              <w:rPr>
                <w:sz w:val="16"/>
              </w:rPr>
              <w:t>Modernization of the</w:t>
            </w:r>
            <w:r>
              <w:rPr>
                <w:spacing w:val="-37"/>
                <w:sz w:val="16"/>
              </w:rPr>
              <w:t xml:space="preserve"> </w:t>
            </w:r>
            <w:r>
              <w:rPr>
                <w:sz w:val="16"/>
              </w:rPr>
              <w:t>warning</w:t>
            </w:r>
            <w:r>
              <w:rPr>
                <w:spacing w:val="-2"/>
                <w:sz w:val="16"/>
              </w:rPr>
              <w:t xml:space="preserve"> </w:t>
            </w:r>
            <w:r>
              <w:rPr>
                <w:sz w:val="16"/>
              </w:rPr>
              <w:t>system</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349"/>
              <w:jc w:val="both"/>
              <w:rPr>
                <w:sz w:val="16"/>
              </w:rPr>
            </w:pPr>
            <w:r>
              <w:rPr>
                <w:sz w:val="16"/>
              </w:rPr>
              <w:t>Drafting the project "</w:t>
            </w:r>
            <w:r>
              <w:rPr>
                <w:spacing w:val="-37"/>
                <w:sz w:val="16"/>
              </w:rPr>
              <w:t xml:space="preserve"> </w:t>
            </w:r>
            <w:r>
              <w:rPr>
                <w:sz w:val="16"/>
              </w:rPr>
              <w:t>Modernization of the</w:t>
            </w:r>
            <w:r>
              <w:rPr>
                <w:spacing w:val="-37"/>
                <w:sz w:val="16"/>
              </w:rPr>
              <w:t xml:space="preserve"> </w:t>
            </w:r>
            <w:r>
              <w:rPr>
                <w:sz w:val="16"/>
              </w:rPr>
              <w:t>warning</w:t>
            </w:r>
            <w:r>
              <w:rPr>
                <w:spacing w:val="-2"/>
                <w:sz w:val="16"/>
              </w:rPr>
              <w:t xml:space="preserve"> </w:t>
            </w:r>
            <w:r>
              <w:rPr>
                <w:sz w:val="16"/>
              </w:rPr>
              <w:t>system</w:t>
            </w:r>
            <w:r>
              <w:rPr>
                <w:spacing w:val="-1"/>
                <w:sz w:val="16"/>
              </w:rPr>
              <w:t xml:space="preserve"> </w:t>
            </w:r>
            <w:r>
              <w:rPr>
                <w:sz w:val="16"/>
              </w:rPr>
              <w:t>"</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26"/>
              <w:rPr>
                <w:sz w:val="16"/>
              </w:rPr>
            </w:pPr>
            <w:r>
              <w:rPr>
                <w:sz w:val="16"/>
              </w:rPr>
              <w:t>Project</w:t>
            </w:r>
            <w:r>
              <w:rPr>
                <w:spacing w:val="1"/>
                <w:sz w:val="16"/>
              </w:rPr>
              <w:t xml:space="preserve"> </w:t>
            </w:r>
            <w:r>
              <w:rPr>
                <w:sz w:val="16"/>
              </w:rPr>
              <w:t>prepared and</w:t>
            </w:r>
            <w:r>
              <w:rPr>
                <w:spacing w:val="1"/>
                <w:sz w:val="16"/>
              </w:rPr>
              <w:t xml:space="preserve"> </w:t>
            </w:r>
            <w:r>
              <w:rPr>
                <w:sz w:val="16"/>
              </w:rPr>
              <w:t>other</w:t>
            </w:r>
            <w:r>
              <w:rPr>
                <w:spacing w:val="1"/>
                <w:sz w:val="16"/>
              </w:rPr>
              <w:t xml:space="preserve"> </w:t>
            </w:r>
            <w:r>
              <w:rPr>
                <w:sz w:val="16"/>
              </w:rPr>
              <w:t>necessary</w:t>
            </w:r>
            <w:r>
              <w:rPr>
                <w:spacing w:val="1"/>
                <w:sz w:val="16"/>
              </w:rPr>
              <w:t xml:space="preserve"> </w:t>
            </w:r>
            <w:r>
              <w:rPr>
                <w:sz w:val="16"/>
              </w:rPr>
              <w:t>documentatio</w:t>
            </w:r>
            <w:r>
              <w:rPr>
                <w:spacing w:val="-37"/>
                <w:sz w:val="16"/>
              </w:rPr>
              <w:t xml:space="preserve"> </w:t>
            </w:r>
            <w:r>
              <w:rPr>
                <w:sz w:val="16"/>
              </w:rPr>
              <w:t>n</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MI</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46"/>
              <w:rPr>
                <w:sz w:val="16"/>
              </w:rPr>
            </w:pPr>
            <w:r>
              <w:rPr>
                <w:sz w:val="16"/>
              </w:rPr>
              <w:t>The project will establish a reliable alert and</w:t>
            </w:r>
            <w:r>
              <w:rPr>
                <w:spacing w:val="1"/>
                <w:sz w:val="16"/>
              </w:rPr>
              <w:t xml:space="preserve"> </w:t>
            </w:r>
            <w:r>
              <w:rPr>
                <w:sz w:val="16"/>
              </w:rPr>
              <w:t>information system. The technical conditions</w:t>
            </w:r>
            <w:r>
              <w:rPr>
                <w:spacing w:val="1"/>
                <w:sz w:val="16"/>
              </w:rPr>
              <w:t xml:space="preserve"> </w:t>
            </w:r>
            <w:r>
              <w:rPr>
                <w:sz w:val="16"/>
              </w:rPr>
              <w:t>for early and reliable warning and alerting of</w:t>
            </w:r>
            <w:r>
              <w:rPr>
                <w:spacing w:val="1"/>
                <w:sz w:val="16"/>
              </w:rPr>
              <w:t xml:space="preserve"> </w:t>
            </w:r>
            <w:r>
              <w:rPr>
                <w:sz w:val="16"/>
              </w:rPr>
              <w:t>citizens and the communication of instructions</w:t>
            </w:r>
            <w:r>
              <w:rPr>
                <w:spacing w:val="-38"/>
                <w:sz w:val="16"/>
              </w:rPr>
              <w:t xml:space="preserve"> </w:t>
            </w:r>
            <w:r>
              <w:rPr>
                <w:sz w:val="16"/>
              </w:rPr>
              <w:t>on</w:t>
            </w:r>
            <w:r>
              <w:rPr>
                <w:spacing w:val="2"/>
                <w:sz w:val="16"/>
              </w:rPr>
              <w:t xml:space="preserve"> </w:t>
            </w:r>
            <w:r>
              <w:rPr>
                <w:sz w:val="16"/>
              </w:rPr>
              <w:t>how</w:t>
            </w:r>
            <w:r>
              <w:rPr>
                <w:spacing w:val="-1"/>
                <w:sz w:val="16"/>
              </w:rPr>
              <w:t xml:space="preserve"> </w:t>
            </w:r>
            <w:r>
              <w:rPr>
                <w:sz w:val="16"/>
              </w:rPr>
              <w:t>to</w:t>
            </w:r>
            <w:r>
              <w:rPr>
                <w:spacing w:val="1"/>
                <w:sz w:val="16"/>
              </w:rPr>
              <w:t xml:space="preserve"> </w:t>
            </w:r>
            <w:r>
              <w:rPr>
                <w:sz w:val="16"/>
              </w:rPr>
              <w:t>behave in</w:t>
            </w:r>
            <w:r>
              <w:rPr>
                <w:spacing w:val="1"/>
                <w:sz w:val="16"/>
              </w:rPr>
              <w:t xml:space="preserve"> </w:t>
            </w:r>
            <w:r>
              <w:rPr>
                <w:sz w:val="16"/>
              </w:rPr>
              <w:t>the event</w:t>
            </w:r>
            <w:r>
              <w:rPr>
                <w:spacing w:val="3"/>
                <w:sz w:val="16"/>
              </w:rPr>
              <w:t xml:space="preserve"> </w:t>
            </w:r>
            <w:r>
              <w:rPr>
                <w:sz w:val="16"/>
              </w:rPr>
              <w:t>of</w:t>
            </w:r>
            <w:r>
              <w:rPr>
                <w:spacing w:val="1"/>
                <w:sz w:val="16"/>
              </w:rPr>
              <w:t xml:space="preserve"> </w:t>
            </w:r>
            <w:r>
              <w:rPr>
                <w:sz w:val="16"/>
              </w:rPr>
              <w:t>an</w:t>
            </w:r>
            <w:r>
              <w:rPr>
                <w:spacing w:val="1"/>
                <w:sz w:val="16"/>
              </w:rPr>
              <w:t xml:space="preserve"> </w:t>
            </w:r>
            <w:r>
              <w:rPr>
                <w:sz w:val="16"/>
              </w:rPr>
              <w:t>emergency will be significantly improved in</w:t>
            </w:r>
            <w:r>
              <w:rPr>
                <w:spacing w:val="1"/>
                <w:sz w:val="16"/>
              </w:rPr>
              <w:t xml:space="preserve"> </w:t>
            </w:r>
            <w:r>
              <w:rPr>
                <w:sz w:val="16"/>
              </w:rPr>
              <w:t>order to reduce the consequences, which will</w:t>
            </w:r>
            <w:r>
              <w:rPr>
                <w:spacing w:val="1"/>
                <w:sz w:val="16"/>
              </w:rPr>
              <w:t xml:space="preserve"> </w:t>
            </w:r>
            <w:r>
              <w:rPr>
                <w:sz w:val="16"/>
              </w:rPr>
              <w:t>strengthen the overall social capacity in crisis</w:t>
            </w:r>
            <w:r>
              <w:rPr>
                <w:spacing w:val="1"/>
                <w:sz w:val="16"/>
              </w:rPr>
              <w:t xml:space="preserve"> </w:t>
            </w:r>
            <w:r>
              <w:rPr>
                <w:sz w:val="16"/>
              </w:rPr>
              <w:t>situations. The project idea is being developed</w:t>
            </w:r>
            <w:r>
              <w:rPr>
                <w:spacing w:val="-37"/>
                <w:sz w:val="16"/>
              </w:rPr>
              <w:t xml:space="preserve"> </w:t>
            </w:r>
            <w:r>
              <w:rPr>
                <w:sz w:val="16"/>
              </w:rPr>
              <w:t>within the project Technical Assistance for the</w:t>
            </w:r>
            <w:r>
              <w:rPr>
                <w:spacing w:val="-37"/>
                <w:sz w:val="16"/>
              </w:rPr>
              <w:t xml:space="preserve"> </w:t>
            </w:r>
            <w:r>
              <w:rPr>
                <w:sz w:val="16"/>
              </w:rPr>
              <w:t>Preparation of Projects in the Field of Disaster</w:t>
            </w:r>
            <w:r>
              <w:rPr>
                <w:spacing w:val="-37"/>
                <w:sz w:val="16"/>
              </w:rPr>
              <w:t xml:space="preserve"> </w:t>
            </w:r>
            <w:r>
              <w:rPr>
                <w:sz w:val="16"/>
              </w:rPr>
              <w:t>Risk Management, funded by the Union Civil</w:t>
            </w:r>
            <w:r>
              <w:rPr>
                <w:spacing w:val="1"/>
                <w:sz w:val="16"/>
              </w:rPr>
              <w:t xml:space="preserve"> </w:t>
            </w:r>
            <w:r>
              <w:rPr>
                <w:sz w:val="16"/>
              </w:rPr>
              <w:t>Protection Mechanism, for funding from ESI</w:t>
            </w:r>
            <w:r>
              <w:rPr>
                <w:spacing w:val="1"/>
                <w:sz w:val="16"/>
              </w:rPr>
              <w:t xml:space="preserve"> </w:t>
            </w:r>
            <w:r>
              <w:rPr>
                <w:sz w:val="16"/>
              </w:rPr>
              <w:t>funds in the new EU programming period</w:t>
            </w:r>
            <w:r>
              <w:rPr>
                <w:spacing w:val="1"/>
                <w:sz w:val="16"/>
              </w:rPr>
              <w:t xml:space="preserve"> </w:t>
            </w:r>
            <w:r>
              <w:rPr>
                <w:sz w:val="16"/>
              </w:rPr>
              <w:t>2021-2027, according to a pre-feasibility</w:t>
            </w:r>
            <w:r>
              <w:rPr>
                <w:spacing w:val="1"/>
                <w:sz w:val="16"/>
              </w:rPr>
              <w:t xml:space="preserve"> </w:t>
            </w:r>
            <w:r>
              <w:rPr>
                <w:sz w:val="16"/>
              </w:rPr>
              <w:t>study, the project Modernization of the</w:t>
            </w:r>
            <w:r>
              <w:rPr>
                <w:spacing w:val="1"/>
                <w:sz w:val="16"/>
              </w:rPr>
              <w:t xml:space="preserve"> </w:t>
            </w:r>
            <w:r>
              <w:rPr>
                <w:sz w:val="16"/>
              </w:rPr>
              <w:t>Warning</w:t>
            </w:r>
            <w:r>
              <w:rPr>
                <w:spacing w:val="2"/>
                <w:sz w:val="16"/>
              </w:rPr>
              <w:t xml:space="preserve"> </w:t>
            </w:r>
            <w:r>
              <w:rPr>
                <w:sz w:val="16"/>
              </w:rPr>
              <w:t>System</w:t>
            </w:r>
            <w:r>
              <w:rPr>
                <w:spacing w:val="3"/>
                <w:sz w:val="16"/>
              </w:rPr>
              <w:t xml:space="preserve"> </w:t>
            </w:r>
            <w:r>
              <w:rPr>
                <w:sz w:val="16"/>
              </w:rPr>
              <w:t>will</w:t>
            </w:r>
            <w:r>
              <w:rPr>
                <w:spacing w:val="3"/>
                <w:sz w:val="16"/>
              </w:rPr>
              <w:t xml:space="preserve"> </w:t>
            </w:r>
            <w:r>
              <w:rPr>
                <w:sz w:val="16"/>
              </w:rPr>
              <w:t>be</w:t>
            </w:r>
            <w:r>
              <w:rPr>
                <w:spacing w:val="2"/>
                <w:sz w:val="16"/>
              </w:rPr>
              <w:t xml:space="preserve"> </w:t>
            </w:r>
            <w:r>
              <w:rPr>
                <w:sz w:val="16"/>
              </w:rPr>
              <w:t>launched,</w:t>
            </w:r>
            <w:r>
              <w:rPr>
                <w:spacing w:val="1"/>
                <w:sz w:val="16"/>
              </w:rPr>
              <w:t xml:space="preserve"> </w:t>
            </w:r>
            <w:r>
              <w:rPr>
                <w:sz w:val="16"/>
              </w:rPr>
              <w:t>i.e.,</w:t>
            </w:r>
            <w:r>
              <w:rPr>
                <w:spacing w:val="4"/>
                <w:sz w:val="16"/>
              </w:rPr>
              <w:t xml:space="preserve"> </w:t>
            </w:r>
            <w:r>
              <w:rPr>
                <w:sz w:val="16"/>
              </w:rPr>
              <w:t>the</w:t>
            </w:r>
            <w:r>
              <w:rPr>
                <w:spacing w:val="1"/>
                <w:sz w:val="16"/>
              </w:rPr>
              <w:t xml:space="preserve"> </w:t>
            </w:r>
            <w:r>
              <w:rPr>
                <w:sz w:val="16"/>
              </w:rPr>
              <w:t>first activities of the project Drafting the</w:t>
            </w:r>
            <w:r>
              <w:rPr>
                <w:spacing w:val="1"/>
                <w:sz w:val="16"/>
              </w:rPr>
              <w:t xml:space="preserve"> </w:t>
            </w:r>
            <w:r>
              <w:rPr>
                <w:sz w:val="16"/>
              </w:rPr>
              <w:t>Project</w:t>
            </w:r>
            <w:r>
              <w:rPr>
                <w:spacing w:val="-1"/>
                <w:sz w:val="16"/>
              </w:rPr>
              <w:t xml:space="preserve"> </w:t>
            </w:r>
            <w:r>
              <w:rPr>
                <w:sz w:val="16"/>
              </w:rPr>
              <w:t>for</w:t>
            </w:r>
            <w:r>
              <w:rPr>
                <w:spacing w:val="-2"/>
                <w:sz w:val="16"/>
              </w:rPr>
              <w:t xml:space="preserve"> </w:t>
            </w:r>
            <w:r>
              <w:rPr>
                <w:sz w:val="16"/>
              </w:rPr>
              <w:t>Modernisation</w:t>
            </w:r>
            <w:r>
              <w:rPr>
                <w:spacing w:val="-2"/>
                <w:sz w:val="16"/>
              </w:rPr>
              <w:t xml:space="preserve"> </w:t>
            </w:r>
            <w:r>
              <w:rPr>
                <w:sz w:val="16"/>
              </w:rPr>
              <w:t>of</w:t>
            </w:r>
            <w:r>
              <w:rPr>
                <w:spacing w:val="-2"/>
                <w:sz w:val="16"/>
              </w:rPr>
              <w:t xml:space="preserve"> </w:t>
            </w:r>
            <w:r>
              <w:rPr>
                <w:sz w:val="16"/>
              </w:rPr>
              <w:t>the</w:t>
            </w:r>
            <w:r>
              <w:rPr>
                <w:spacing w:val="-3"/>
                <w:sz w:val="16"/>
              </w:rPr>
              <w:t xml:space="preserve"> </w:t>
            </w:r>
            <w:r>
              <w:rPr>
                <w:sz w:val="16"/>
              </w:rPr>
              <w:t>Warning</w:t>
            </w:r>
          </w:p>
          <w:p w:rsidR="00A56FE9" w:rsidRDefault="00000000">
            <w:pPr>
              <w:pStyle w:val="TableParagraph"/>
              <w:spacing w:line="168" w:lineRule="exact"/>
              <w:ind w:left="57"/>
              <w:rPr>
                <w:sz w:val="16"/>
              </w:rPr>
            </w:pPr>
            <w:r>
              <w:rPr>
                <w:sz w:val="16"/>
              </w:rPr>
              <w:t>System.</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165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55</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13</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57"/>
              <w:rPr>
                <w:sz w:val="16"/>
              </w:rPr>
            </w:pPr>
            <w:r>
              <w:rPr>
                <w:sz w:val="16"/>
              </w:rPr>
              <w:t>2</w:t>
            </w:r>
            <w:r>
              <w:rPr>
                <w:spacing w:val="1"/>
                <w:sz w:val="16"/>
              </w:rPr>
              <w:t xml:space="preserve"> </w:t>
            </w:r>
            <w:r>
              <w:rPr>
                <w:sz w:val="16"/>
              </w:rPr>
              <w:t>- 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 ASSETS –</w:t>
            </w:r>
            <w:r>
              <w:rPr>
                <w:spacing w:val="1"/>
                <w:sz w:val="16"/>
              </w:rPr>
              <w:t xml:space="preserve"> </w:t>
            </w:r>
            <w:r>
              <w:rPr>
                <w:spacing w:val="-1"/>
                <w:sz w:val="16"/>
              </w:rPr>
              <w:t xml:space="preserve">COMBATTING </w:t>
            </w:r>
            <w:r>
              <w:rPr>
                <w:sz w:val="16"/>
              </w:rPr>
              <w:t>HUMAN</w:t>
            </w:r>
            <w:r>
              <w:rPr>
                <w:spacing w:val="-37"/>
                <w:sz w:val="16"/>
              </w:rPr>
              <w:t xml:space="preserve"> </w:t>
            </w:r>
            <w:r>
              <w:rPr>
                <w:sz w:val="16"/>
              </w:rPr>
              <w:t>TRAFFICKING,</w:t>
            </w:r>
          </w:p>
          <w:p w:rsidR="00A56FE9" w:rsidRDefault="00000000">
            <w:pPr>
              <w:pStyle w:val="TableParagraph"/>
              <w:ind w:left="50" w:right="526"/>
              <w:rPr>
                <w:sz w:val="16"/>
              </w:rPr>
            </w:pPr>
            <w:r>
              <w:rPr>
                <w:sz w:val="16"/>
              </w:rPr>
              <w:t>Combatting human</w:t>
            </w:r>
            <w:r>
              <w:rPr>
                <w:spacing w:val="-37"/>
                <w:sz w:val="16"/>
              </w:rPr>
              <w:t xml:space="preserve"> </w:t>
            </w:r>
            <w:r>
              <w:rPr>
                <w:sz w:val="16"/>
              </w:rPr>
              <w:t>trafficking</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32"/>
              <w:rPr>
                <w:sz w:val="16"/>
              </w:rPr>
            </w:pPr>
            <w:r>
              <w:rPr>
                <w:sz w:val="16"/>
              </w:rPr>
              <w:t>Adoption of the national</w:t>
            </w:r>
            <w:r>
              <w:rPr>
                <w:spacing w:val="-37"/>
                <w:sz w:val="16"/>
              </w:rPr>
              <w:t xml:space="preserve"> </w:t>
            </w:r>
            <w:r>
              <w:rPr>
                <w:sz w:val="16"/>
              </w:rPr>
              <w:t>plan for combatting</w:t>
            </w:r>
            <w:r>
              <w:rPr>
                <w:spacing w:val="1"/>
                <w:sz w:val="16"/>
              </w:rPr>
              <w:t xml:space="preserve"> </w:t>
            </w:r>
            <w:r>
              <w:rPr>
                <w:sz w:val="16"/>
              </w:rPr>
              <w:t>human trafficking</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16"/>
              <w:rPr>
                <w:sz w:val="16"/>
              </w:rPr>
            </w:pPr>
            <w:r>
              <w:rPr>
                <w:sz w:val="16"/>
              </w:rPr>
              <w:t>Publication</w:t>
            </w:r>
            <w:r>
              <w:rPr>
                <w:spacing w:val="1"/>
                <w:sz w:val="16"/>
              </w:rPr>
              <w:t xml:space="preserve"> </w:t>
            </w:r>
            <w:r>
              <w:rPr>
                <w:sz w:val="16"/>
              </w:rPr>
              <w:t>on the official</w:t>
            </w:r>
            <w:r>
              <w:rPr>
                <w:spacing w:val="-37"/>
                <w:sz w:val="16"/>
              </w:rPr>
              <w:t xml:space="preserve"> </w:t>
            </w:r>
            <w:r>
              <w:rPr>
                <w:sz w:val="16"/>
              </w:rPr>
              <w:t>website</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110"/>
              <w:rPr>
                <w:sz w:val="16"/>
              </w:rPr>
            </w:pPr>
            <w:r>
              <w:rPr>
                <w:spacing w:val="-5"/>
                <w:sz w:val="16"/>
              </w:rPr>
              <w:t>Office for</w:t>
            </w:r>
            <w:r>
              <w:rPr>
                <w:spacing w:val="-4"/>
                <w:sz w:val="16"/>
              </w:rPr>
              <w:t xml:space="preserve"> </w:t>
            </w:r>
            <w:r>
              <w:rPr>
                <w:sz w:val="16"/>
              </w:rPr>
              <w:t>Human</w:t>
            </w:r>
            <w:r>
              <w:rPr>
                <w:spacing w:val="1"/>
                <w:sz w:val="16"/>
              </w:rPr>
              <w:t xml:space="preserve"> </w:t>
            </w:r>
            <w:r>
              <w:rPr>
                <w:spacing w:val="-6"/>
                <w:sz w:val="16"/>
              </w:rPr>
              <w:t xml:space="preserve">Rights </w:t>
            </w:r>
            <w:r>
              <w:rPr>
                <w:spacing w:val="-5"/>
                <w:sz w:val="16"/>
              </w:rPr>
              <w:t>and</w:t>
            </w:r>
            <w:r>
              <w:rPr>
                <w:spacing w:val="-4"/>
                <w:sz w:val="16"/>
              </w:rPr>
              <w:t xml:space="preserve"> </w:t>
            </w:r>
            <w:r>
              <w:rPr>
                <w:spacing w:val="-5"/>
                <w:sz w:val="16"/>
              </w:rPr>
              <w:t>the Rights</w:t>
            </w:r>
            <w:r>
              <w:rPr>
                <w:spacing w:val="-4"/>
                <w:sz w:val="16"/>
              </w:rPr>
              <w:t xml:space="preserve"> </w:t>
            </w:r>
            <w:r>
              <w:rPr>
                <w:spacing w:val="-7"/>
                <w:sz w:val="16"/>
              </w:rPr>
              <w:t>of National</w:t>
            </w:r>
            <w:r>
              <w:rPr>
                <w:spacing w:val="-37"/>
                <w:sz w:val="16"/>
              </w:rPr>
              <w:t xml:space="preserve"> </w:t>
            </w:r>
            <w:r>
              <w:rPr>
                <w:spacing w:val="-2"/>
                <w:sz w:val="16"/>
              </w:rPr>
              <w:t>Minorities</w:t>
            </w:r>
            <w:r>
              <w:rPr>
                <w:spacing w:val="-37"/>
                <w:sz w:val="16"/>
              </w:rPr>
              <w:t xml:space="preserve"> </w:t>
            </w:r>
            <w:r>
              <w:rPr>
                <w:spacing w:val="-4"/>
                <w:sz w:val="16"/>
              </w:rPr>
              <w:t xml:space="preserve">of </w:t>
            </w:r>
            <w:r>
              <w:rPr>
                <w:spacing w:val="-3"/>
                <w:sz w:val="16"/>
              </w:rPr>
              <w:t>the</w:t>
            </w:r>
            <w:r>
              <w:rPr>
                <w:spacing w:val="-2"/>
                <w:sz w:val="16"/>
              </w:rPr>
              <w:t xml:space="preserve"> </w:t>
            </w:r>
            <w:r>
              <w:rPr>
                <w:sz w:val="16"/>
              </w:rPr>
              <w:t>Croatian</w:t>
            </w:r>
          </w:p>
          <w:p w:rsidR="00A56FE9" w:rsidRDefault="00000000">
            <w:pPr>
              <w:pStyle w:val="TableParagraph"/>
              <w:spacing w:line="167" w:lineRule="exact"/>
              <w:ind w:left="57"/>
              <w:rPr>
                <w:sz w:val="16"/>
              </w:rPr>
            </w:pPr>
            <w:r>
              <w:rPr>
                <w:spacing w:val="-4"/>
                <w:sz w:val="16"/>
              </w:rPr>
              <w:t>Government</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197"/>
              <w:rPr>
                <w:sz w:val="16"/>
              </w:rPr>
            </w:pPr>
            <w:r>
              <w:rPr>
                <w:sz w:val="16"/>
              </w:rPr>
              <w:t>Establish better and more effective</w:t>
            </w:r>
            <w:r>
              <w:rPr>
                <w:spacing w:val="1"/>
                <w:sz w:val="16"/>
              </w:rPr>
              <w:t xml:space="preserve"> </w:t>
            </w:r>
            <w:r>
              <w:rPr>
                <w:sz w:val="16"/>
              </w:rPr>
              <w:t>international cooperation with other police</w:t>
            </w:r>
            <w:r>
              <w:rPr>
                <w:spacing w:val="1"/>
                <w:sz w:val="16"/>
              </w:rPr>
              <w:t xml:space="preserve"> </w:t>
            </w:r>
            <w:r>
              <w:rPr>
                <w:sz w:val="16"/>
              </w:rPr>
              <w:t>forces via Interpol, Europol, etc., in order to</w:t>
            </w:r>
            <w:r>
              <w:rPr>
                <w:spacing w:val="-38"/>
                <w:sz w:val="16"/>
              </w:rPr>
              <w:t xml:space="preserve"> </w:t>
            </w:r>
            <w:r>
              <w:rPr>
                <w:sz w:val="16"/>
              </w:rPr>
              <w:t>prevent trafficking of children and all other</w:t>
            </w:r>
            <w:r>
              <w:rPr>
                <w:spacing w:val="1"/>
                <w:sz w:val="16"/>
              </w:rPr>
              <w:t xml:space="preserve"> </w:t>
            </w:r>
            <w:r>
              <w:rPr>
                <w:sz w:val="16"/>
              </w:rPr>
              <w:t>forms</w:t>
            </w:r>
            <w:r>
              <w:rPr>
                <w:spacing w:val="-1"/>
                <w:sz w:val="16"/>
              </w:rPr>
              <w:t xml:space="preserve"> </w:t>
            </w:r>
            <w:r>
              <w:rPr>
                <w:sz w:val="16"/>
              </w:rPr>
              <w:t>of</w:t>
            </w:r>
            <w:r>
              <w:rPr>
                <w:spacing w:val="-2"/>
                <w:sz w:val="16"/>
              </w:rPr>
              <w:t xml:space="preserve"> </w:t>
            </w:r>
            <w:r>
              <w:rPr>
                <w:sz w:val="16"/>
              </w:rPr>
              <w:t>violence</w:t>
            </w:r>
            <w:r>
              <w:rPr>
                <w:spacing w:val="-2"/>
                <w:sz w:val="16"/>
              </w:rPr>
              <w:t xml:space="preserve"> </w:t>
            </w:r>
            <w:r>
              <w:rPr>
                <w:sz w:val="16"/>
              </w:rPr>
              <w:t>against</w:t>
            </w:r>
            <w:r>
              <w:rPr>
                <w:spacing w:val="-2"/>
                <w:sz w:val="16"/>
              </w:rPr>
              <w:t xml:space="preserve"> </w:t>
            </w:r>
            <w:r>
              <w:rPr>
                <w:sz w:val="16"/>
              </w:rPr>
              <w:t>children</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184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56</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0" w:lineRule="exact"/>
              <w:ind w:left="48"/>
              <w:rPr>
                <w:sz w:val="16"/>
              </w:rPr>
            </w:pPr>
            <w:r>
              <w:rPr>
                <w:sz w:val="16"/>
              </w:rPr>
              <w:t>1,</w:t>
            </w:r>
          </w:p>
          <w:p w:rsidR="00A56FE9" w:rsidRDefault="00000000">
            <w:pPr>
              <w:pStyle w:val="TableParagraph"/>
              <w:spacing w:line="183" w:lineRule="exact"/>
              <w:ind w:left="48"/>
              <w:rPr>
                <w:sz w:val="16"/>
              </w:rPr>
            </w:pPr>
            <w:r>
              <w:rPr>
                <w:sz w:val="16"/>
              </w:rPr>
              <w:t>17</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346"/>
              <w:rPr>
                <w:sz w:val="16"/>
              </w:rPr>
            </w:pPr>
            <w:r>
              <w:rPr>
                <w:sz w:val="16"/>
              </w:rPr>
              <w:t>2</w:t>
            </w:r>
            <w:r>
              <w:rPr>
                <w:spacing w:val="1"/>
                <w:sz w:val="16"/>
              </w:rPr>
              <w:t xml:space="preserve"> </w:t>
            </w:r>
            <w:r>
              <w:rPr>
                <w:sz w:val="16"/>
              </w:rPr>
              <w:t>- PUBLIC</w:t>
            </w:r>
            <w:r>
              <w:rPr>
                <w:spacing w:val="1"/>
                <w:sz w:val="16"/>
              </w:rPr>
              <w:t xml:space="preserve"> </w:t>
            </w:r>
            <w:r>
              <w:rPr>
                <w:spacing w:val="-1"/>
                <w:sz w:val="16"/>
              </w:rPr>
              <w:t>ADMINISTRATION,</w:t>
            </w:r>
            <w:r>
              <w:rPr>
                <w:spacing w:val="-37"/>
                <w:sz w:val="16"/>
              </w:rPr>
              <w:t xml:space="preserve"> </w:t>
            </w:r>
            <w:r>
              <w:rPr>
                <w:sz w:val="16"/>
              </w:rPr>
              <w:t>JUDICIARY AND</w:t>
            </w:r>
            <w:r>
              <w:rPr>
                <w:spacing w:val="1"/>
                <w:sz w:val="16"/>
              </w:rPr>
              <w:t xml:space="preserve"> </w:t>
            </w:r>
            <w:r>
              <w:rPr>
                <w:sz w:val="16"/>
              </w:rPr>
              <w:t>STATE ASSETS -</w:t>
            </w:r>
            <w:r>
              <w:rPr>
                <w:spacing w:val="1"/>
                <w:sz w:val="16"/>
              </w:rPr>
              <w:t xml:space="preserve"> </w:t>
            </w:r>
            <w:r>
              <w:rPr>
                <w:sz w:val="16"/>
              </w:rPr>
              <w:t>DEVELOPMENT</w:t>
            </w:r>
            <w:r>
              <w:rPr>
                <w:spacing w:val="1"/>
                <w:sz w:val="16"/>
              </w:rPr>
              <w:t xml:space="preserve"> </w:t>
            </w:r>
            <w:r>
              <w:rPr>
                <w:sz w:val="16"/>
              </w:rPr>
              <w:t>COOPERATION</w:t>
            </w:r>
            <w:r>
              <w:rPr>
                <w:spacing w:val="-1"/>
                <w:sz w:val="16"/>
              </w:rPr>
              <w:t xml:space="preserve"> </w:t>
            </w:r>
            <w:r>
              <w:rPr>
                <w:sz w:val="16"/>
              </w:rPr>
              <w:t>-</w:t>
            </w:r>
          </w:p>
          <w:p w:rsidR="00A56FE9" w:rsidRDefault="00000000">
            <w:pPr>
              <w:pStyle w:val="TableParagraph"/>
              <w:ind w:left="50" w:right="667"/>
              <w:rPr>
                <w:sz w:val="16"/>
              </w:rPr>
            </w:pPr>
            <w:r>
              <w:rPr>
                <w:sz w:val="16"/>
              </w:rPr>
              <w:t>Creating and</w:t>
            </w:r>
            <w:r>
              <w:rPr>
                <w:spacing w:val="1"/>
                <w:sz w:val="16"/>
              </w:rPr>
              <w:t xml:space="preserve"> </w:t>
            </w:r>
            <w:r>
              <w:rPr>
                <w:sz w:val="16"/>
              </w:rPr>
              <w:t>implementing</w:t>
            </w:r>
            <w:r>
              <w:rPr>
                <w:spacing w:val="1"/>
                <w:sz w:val="16"/>
              </w:rPr>
              <w:t xml:space="preserve"> </w:t>
            </w:r>
            <w:r>
              <w:rPr>
                <w:sz w:val="16"/>
              </w:rPr>
              <w:t>development</w:t>
            </w:r>
            <w:r>
              <w:rPr>
                <w:spacing w:val="-7"/>
                <w:sz w:val="16"/>
              </w:rPr>
              <w:t xml:space="preserve"> </w:t>
            </w:r>
            <w:r>
              <w:rPr>
                <w:sz w:val="16"/>
              </w:rPr>
              <w:t>and</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88"/>
              <w:rPr>
                <w:sz w:val="16"/>
              </w:rPr>
            </w:pPr>
            <w:r>
              <w:rPr>
                <w:sz w:val="16"/>
              </w:rPr>
              <w:t>Amendments</w:t>
            </w:r>
            <w:r>
              <w:rPr>
                <w:spacing w:val="-4"/>
                <w:sz w:val="16"/>
              </w:rPr>
              <w:t xml:space="preserve"> </w:t>
            </w:r>
            <w:r>
              <w:rPr>
                <w:sz w:val="16"/>
              </w:rPr>
              <w:t>to</w:t>
            </w:r>
            <w:r>
              <w:rPr>
                <w:spacing w:val="-4"/>
                <w:sz w:val="16"/>
              </w:rPr>
              <w:t xml:space="preserve"> </w:t>
            </w:r>
            <w:r>
              <w:rPr>
                <w:sz w:val="16"/>
              </w:rPr>
              <w:t>the</w:t>
            </w:r>
            <w:r>
              <w:rPr>
                <w:spacing w:val="-4"/>
                <w:sz w:val="16"/>
              </w:rPr>
              <w:t xml:space="preserve"> </w:t>
            </w:r>
            <w:r>
              <w:rPr>
                <w:sz w:val="16"/>
              </w:rPr>
              <w:t>Act</w:t>
            </w:r>
            <w:r>
              <w:rPr>
                <w:spacing w:val="-37"/>
                <w:sz w:val="16"/>
              </w:rPr>
              <w:t xml:space="preserve"> </w:t>
            </w:r>
            <w:r>
              <w:rPr>
                <w:sz w:val="16"/>
              </w:rPr>
              <w:t>on Development</w:t>
            </w:r>
            <w:r>
              <w:rPr>
                <w:spacing w:val="1"/>
                <w:sz w:val="16"/>
              </w:rPr>
              <w:t xml:space="preserve"> </w:t>
            </w:r>
            <w:r>
              <w:rPr>
                <w:sz w:val="16"/>
              </w:rPr>
              <w:t>Cooperation and</w:t>
            </w:r>
            <w:r>
              <w:rPr>
                <w:spacing w:val="1"/>
                <w:sz w:val="16"/>
              </w:rPr>
              <w:t xml:space="preserve"> </w:t>
            </w:r>
            <w:r>
              <w:rPr>
                <w:sz w:val="16"/>
              </w:rPr>
              <w:t>Humanitarian Aid for</w:t>
            </w:r>
            <w:r>
              <w:rPr>
                <w:spacing w:val="1"/>
                <w:sz w:val="16"/>
              </w:rPr>
              <w:t xml:space="preserve"> </w:t>
            </w:r>
            <w:r>
              <w:rPr>
                <w:sz w:val="16"/>
              </w:rPr>
              <w:t>Abroad</w:t>
            </w:r>
          </w:p>
          <w:p w:rsidR="00A56FE9" w:rsidRDefault="00000000">
            <w:pPr>
              <w:pStyle w:val="TableParagraph"/>
              <w:ind w:left="109" w:right="96"/>
              <w:rPr>
                <w:sz w:val="16"/>
              </w:rPr>
            </w:pPr>
            <w:r>
              <w:rPr>
                <w:sz w:val="16"/>
              </w:rPr>
              <w:t>Adoption of the National</w:t>
            </w:r>
            <w:r>
              <w:rPr>
                <w:spacing w:val="-37"/>
                <w:sz w:val="16"/>
              </w:rPr>
              <w:t xml:space="preserve"> </w:t>
            </w:r>
            <w:r>
              <w:rPr>
                <w:sz w:val="16"/>
              </w:rPr>
              <w:t>Plan for Development</w:t>
            </w:r>
            <w:r>
              <w:rPr>
                <w:spacing w:val="1"/>
                <w:sz w:val="16"/>
              </w:rPr>
              <w:t xml:space="preserve"> </w:t>
            </w:r>
            <w:r>
              <w:rPr>
                <w:sz w:val="16"/>
              </w:rPr>
              <w:t>Cooperation and</w:t>
            </w:r>
            <w:r>
              <w:rPr>
                <w:spacing w:val="1"/>
                <w:sz w:val="16"/>
              </w:rPr>
              <w:t xml:space="preserve"> </w:t>
            </w:r>
            <w:r>
              <w:rPr>
                <w:sz w:val="16"/>
              </w:rPr>
              <w:t>Humanitarian</w:t>
            </w:r>
            <w:r>
              <w:rPr>
                <w:spacing w:val="-4"/>
                <w:sz w:val="16"/>
              </w:rPr>
              <w:t xml:space="preserve"> </w:t>
            </w:r>
            <w:r>
              <w:rPr>
                <w:sz w:val="16"/>
              </w:rPr>
              <w:t>Aid</w:t>
            </w:r>
            <w:r>
              <w:rPr>
                <w:spacing w:val="-1"/>
                <w:sz w:val="16"/>
              </w:rPr>
              <w:t xml:space="preserve"> </w:t>
            </w:r>
            <w:r>
              <w:rPr>
                <w:sz w:val="16"/>
              </w:rPr>
              <w:t>of</w:t>
            </w:r>
            <w:r>
              <w:rPr>
                <w:spacing w:val="-3"/>
                <w:sz w:val="16"/>
              </w:rPr>
              <w:t xml:space="preserve"> </w:t>
            </w:r>
            <w:r>
              <w:rPr>
                <w:sz w:val="16"/>
              </w:rPr>
              <w:t>the</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35"/>
              <w:rPr>
                <w:sz w:val="16"/>
              </w:rPr>
            </w:pPr>
            <w:r>
              <w:rPr>
                <w:sz w:val="16"/>
              </w:rPr>
              <w:t>Adoption of</w:t>
            </w:r>
            <w:r>
              <w:rPr>
                <w:spacing w:val="1"/>
                <w:sz w:val="16"/>
              </w:rPr>
              <w:t xml:space="preserve"> </w:t>
            </w:r>
            <w:r>
              <w:rPr>
                <w:sz w:val="16"/>
              </w:rPr>
              <w:t>amendments</w:t>
            </w:r>
            <w:r>
              <w:rPr>
                <w:spacing w:val="1"/>
                <w:sz w:val="16"/>
              </w:rPr>
              <w:t xml:space="preserve"> </w:t>
            </w:r>
            <w:r>
              <w:rPr>
                <w:sz w:val="16"/>
              </w:rPr>
              <w:t>to the Law</w:t>
            </w:r>
            <w:r>
              <w:rPr>
                <w:spacing w:val="1"/>
                <w:sz w:val="16"/>
              </w:rPr>
              <w:t xml:space="preserve"> </w:t>
            </w:r>
            <w:r>
              <w:rPr>
                <w:sz w:val="16"/>
              </w:rPr>
              <w:t>and the</w:t>
            </w:r>
            <w:r>
              <w:rPr>
                <w:spacing w:val="1"/>
                <w:sz w:val="16"/>
              </w:rPr>
              <w:t xml:space="preserve"> </w:t>
            </w:r>
            <w:r>
              <w:rPr>
                <w:spacing w:val="-1"/>
                <w:sz w:val="16"/>
              </w:rPr>
              <w:t>National</w:t>
            </w:r>
            <w:r>
              <w:rPr>
                <w:spacing w:val="-6"/>
                <w:sz w:val="16"/>
              </w:rPr>
              <w:t xml:space="preserve"> </w:t>
            </w:r>
            <w:r>
              <w:rPr>
                <w:sz w:val="16"/>
              </w:rPr>
              <w:t>Plan</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MFEA</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31"/>
              <w:rPr>
                <w:sz w:val="16"/>
              </w:rPr>
            </w:pPr>
            <w:r>
              <w:rPr>
                <w:sz w:val="16"/>
              </w:rPr>
              <w:t>Development cooperation and humanitarian</w:t>
            </w:r>
            <w:r>
              <w:rPr>
                <w:spacing w:val="1"/>
                <w:sz w:val="16"/>
              </w:rPr>
              <w:t xml:space="preserve"> </w:t>
            </w:r>
            <w:r>
              <w:rPr>
                <w:sz w:val="16"/>
              </w:rPr>
              <w:t>aid from the Republic of Croatia is based on</w:t>
            </w:r>
            <w:r>
              <w:rPr>
                <w:spacing w:val="1"/>
                <w:sz w:val="16"/>
              </w:rPr>
              <w:t xml:space="preserve"> </w:t>
            </w:r>
            <w:r>
              <w:rPr>
                <w:sz w:val="16"/>
              </w:rPr>
              <w:t>the Development Cooperation and</w:t>
            </w:r>
            <w:r>
              <w:rPr>
                <w:spacing w:val="1"/>
                <w:sz w:val="16"/>
              </w:rPr>
              <w:t xml:space="preserve"> </w:t>
            </w:r>
            <w:r>
              <w:rPr>
                <w:sz w:val="16"/>
              </w:rPr>
              <w:t>Humanitarian Aid Abroad Act of 2008 and the</w:t>
            </w:r>
            <w:r>
              <w:rPr>
                <w:spacing w:val="-37"/>
                <w:sz w:val="16"/>
              </w:rPr>
              <w:t xml:space="preserve"> </w:t>
            </w:r>
            <w:r>
              <w:rPr>
                <w:sz w:val="16"/>
              </w:rPr>
              <w:t>National Strategy for Development</w:t>
            </w:r>
            <w:r>
              <w:rPr>
                <w:spacing w:val="1"/>
                <w:sz w:val="16"/>
              </w:rPr>
              <w:t xml:space="preserve"> </w:t>
            </w:r>
            <w:r>
              <w:rPr>
                <w:sz w:val="16"/>
              </w:rPr>
              <w:t>Cooperation of the Republic of Croatia for the</w:t>
            </w:r>
            <w:r>
              <w:rPr>
                <w:spacing w:val="-37"/>
                <w:sz w:val="16"/>
              </w:rPr>
              <w:t xml:space="preserve"> </w:t>
            </w:r>
            <w:r>
              <w:rPr>
                <w:sz w:val="16"/>
              </w:rPr>
              <w:t>period 2017-2021. We are currently working</w:t>
            </w:r>
            <w:r>
              <w:rPr>
                <w:spacing w:val="1"/>
                <w:sz w:val="16"/>
              </w:rPr>
              <w:t xml:space="preserve"> </w:t>
            </w:r>
            <w:r>
              <w:rPr>
                <w:sz w:val="16"/>
              </w:rPr>
              <w:t>on amendments to the existing Act in order to</w:t>
            </w:r>
            <w:r>
              <w:rPr>
                <w:spacing w:val="1"/>
                <w:sz w:val="16"/>
              </w:rPr>
              <w:t xml:space="preserve"> </w:t>
            </w:r>
            <w:r>
              <w:rPr>
                <w:sz w:val="16"/>
              </w:rPr>
              <w:t>comply</w:t>
            </w:r>
            <w:r>
              <w:rPr>
                <w:spacing w:val="-4"/>
                <w:sz w:val="16"/>
              </w:rPr>
              <w:t xml:space="preserve"> </w:t>
            </w:r>
            <w:r>
              <w:rPr>
                <w:sz w:val="16"/>
              </w:rPr>
              <w:t>with</w:t>
            </w:r>
            <w:r>
              <w:rPr>
                <w:spacing w:val="-3"/>
                <w:sz w:val="16"/>
              </w:rPr>
              <w:t xml:space="preserve"> </w:t>
            </w:r>
            <w:r>
              <w:rPr>
                <w:sz w:val="16"/>
              </w:rPr>
              <w:t>national</w:t>
            </w:r>
            <w:r>
              <w:rPr>
                <w:spacing w:val="-3"/>
                <w:sz w:val="16"/>
              </w:rPr>
              <w:t xml:space="preserve"> </w:t>
            </w:r>
            <w:r>
              <w:rPr>
                <w:sz w:val="16"/>
              </w:rPr>
              <w:t>strategic</w:t>
            </w:r>
            <w:r>
              <w:rPr>
                <w:spacing w:val="-4"/>
                <w:sz w:val="16"/>
              </w:rPr>
              <w:t xml:space="preserve"> </w:t>
            </w:r>
            <w:r>
              <w:rPr>
                <w:sz w:val="16"/>
              </w:rPr>
              <w:t>priorities</w:t>
            </w:r>
            <w:r>
              <w:rPr>
                <w:spacing w:val="-2"/>
                <w:sz w:val="16"/>
              </w:rPr>
              <w:t xml:space="preserve"> </w:t>
            </w:r>
            <w:r>
              <w:rPr>
                <w:sz w:val="16"/>
              </w:rPr>
              <w:t>and</w:t>
            </w:r>
          </w:p>
          <w:p w:rsidR="00A56FE9" w:rsidRDefault="00000000">
            <w:pPr>
              <w:pStyle w:val="TableParagraph"/>
              <w:spacing w:line="168" w:lineRule="exact"/>
              <w:ind w:left="57"/>
              <w:rPr>
                <w:sz w:val="16"/>
              </w:rPr>
            </w:pPr>
            <w:r>
              <w:rPr>
                <w:sz w:val="16"/>
              </w:rPr>
              <w:t>global</w:t>
            </w:r>
            <w:r>
              <w:rPr>
                <w:spacing w:val="-4"/>
                <w:sz w:val="16"/>
              </w:rPr>
              <w:t xml:space="preserve"> </w:t>
            </w:r>
            <w:r>
              <w:rPr>
                <w:sz w:val="16"/>
              </w:rPr>
              <w:t>goals</w:t>
            </w:r>
            <w:r>
              <w:rPr>
                <w:spacing w:val="-3"/>
                <w:sz w:val="16"/>
              </w:rPr>
              <w:t xml:space="preserve"> </w:t>
            </w:r>
            <w:r>
              <w:rPr>
                <w:sz w:val="16"/>
              </w:rPr>
              <w:t>of</w:t>
            </w:r>
            <w:r>
              <w:rPr>
                <w:spacing w:val="-4"/>
                <w:sz w:val="16"/>
              </w:rPr>
              <w:t xml:space="preserve"> </w:t>
            </w:r>
            <w:r>
              <w:rPr>
                <w:sz w:val="16"/>
              </w:rPr>
              <w:t>sustainable</w:t>
            </w:r>
            <w:r>
              <w:rPr>
                <w:spacing w:val="-4"/>
                <w:sz w:val="16"/>
              </w:rPr>
              <w:t xml:space="preserve"> </w:t>
            </w:r>
            <w:r>
              <w:rPr>
                <w:sz w:val="16"/>
              </w:rPr>
              <w:t>development,</w:t>
            </w:r>
            <w:r>
              <w:rPr>
                <w:spacing w:val="-5"/>
                <w:sz w:val="16"/>
              </w:rPr>
              <w:t xml:space="preserve"> </w:t>
            </w:r>
            <w:r>
              <w:rPr>
                <w:sz w:val="16"/>
              </w:rPr>
              <w:t>as</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849"/>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humanitarian</w:t>
            </w:r>
            <w:r>
              <w:rPr>
                <w:spacing w:val="-3"/>
                <w:sz w:val="16"/>
              </w:rPr>
              <w:t xml:space="preserve"> </w:t>
            </w:r>
            <w:r>
              <w:rPr>
                <w:sz w:val="16"/>
              </w:rPr>
              <w:t>policy</w:t>
            </w:r>
            <w:r>
              <w:rPr>
                <w:spacing w:val="-5"/>
                <w:sz w:val="16"/>
              </w:rPr>
              <w:t xml:space="preserve"> </w:t>
            </w:r>
            <w:r>
              <w:rPr>
                <w:sz w:val="16"/>
              </w:rPr>
              <w:t>at</w:t>
            </w:r>
            <w:r>
              <w:rPr>
                <w:spacing w:val="-1"/>
                <w:sz w:val="16"/>
              </w:rPr>
              <w:t xml:space="preserve"> </w:t>
            </w:r>
            <w:r>
              <w:rPr>
                <w:sz w:val="16"/>
              </w:rPr>
              <w:t>the</w:t>
            </w:r>
          </w:p>
          <w:p w:rsidR="00A56FE9" w:rsidRDefault="00000000">
            <w:pPr>
              <w:pStyle w:val="TableParagraph"/>
              <w:spacing w:before="1"/>
              <w:ind w:left="50"/>
              <w:rPr>
                <w:sz w:val="16"/>
              </w:rPr>
            </w:pPr>
            <w:r>
              <w:rPr>
                <w:sz w:val="16"/>
              </w:rPr>
              <w:t>EU</w:t>
            </w:r>
            <w:r>
              <w:rPr>
                <w:spacing w:val="-3"/>
                <w:sz w:val="16"/>
              </w:rPr>
              <w:t xml:space="preserve"> </w:t>
            </w:r>
            <w:r>
              <w:rPr>
                <w:sz w:val="16"/>
              </w:rPr>
              <w:t>level</w:t>
            </w:r>
          </w:p>
        </w:tc>
        <w:tc>
          <w:tcPr>
            <w:tcW w:w="569"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109"/>
              <w:rPr>
                <w:sz w:val="16"/>
              </w:rPr>
            </w:pPr>
            <w:r>
              <w:rPr>
                <w:sz w:val="16"/>
              </w:rPr>
              <w:t>Republic</w:t>
            </w:r>
            <w:r>
              <w:rPr>
                <w:spacing w:val="-5"/>
                <w:sz w:val="16"/>
              </w:rPr>
              <w:t xml:space="preserve"> </w:t>
            </w:r>
            <w:r>
              <w:rPr>
                <w:sz w:val="16"/>
              </w:rPr>
              <w:t>of</w:t>
            </w:r>
            <w:r>
              <w:rPr>
                <w:spacing w:val="-3"/>
                <w:sz w:val="16"/>
              </w:rPr>
              <w:t xml:space="preserve"> </w:t>
            </w:r>
            <w:r>
              <w:rPr>
                <w:sz w:val="16"/>
              </w:rPr>
              <w:t>Croatia</w:t>
            </w:r>
            <w:r>
              <w:rPr>
                <w:spacing w:val="-4"/>
                <w:sz w:val="16"/>
              </w:rPr>
              <w:t xml:space="preserve"> </w:t>
            </w:r>
            <w:r>
              <w:rPr>
                <w:sz w:val="16"/>
              </w:rPr>
              <w:t>for</w:t>
            </w:r>
          </w:p>
          <w:p w:rsidR="00A56FE9" w:rsidRDefault="00000000">
            <w:pPr>
              <w:pStyle w:val="TableParagraph"/>
              <w:spacing w:before="1"/>
              <w:ind w:left="109"/>
              <w:rPr>
                <w:sz w:val="16"/>
              </w:rPr>
            </w:pPr>
            <w:r>
              <w:rPr>
                <w:sz w:val="16"/>
              </w:rPr>
              <w:t>the</w:t>
            </w:r>
            <w:r>
              <w:rPr>
                <w:spacing w:val="-6"/>
                <w:sz w:val="16"/>
              </w:rPr>
              <w:t xml:space="preserve"> </w:t>
            </w:r>
            <w:r>
              <w:rPr>
                <w:sz w:val="16"/>
              </w:rPr>
              <w:t>period</w:t>
            </w:r>
            <w:r>
              <w:rPr>
                <w:spacing w:val="-3"/>
                <w:sz w:val="16"/>
              </w:rPr>
              <w:t xml:space="preserve"> </w:t>
            </w:r>
            <w:r>
              <w:rPr>
                <w:sz w:val="16"/>
              </w:rPr>
              <w:t>2022-2026</w:t>
            </w:r>
          </w:p>
        </w:tc>
        <w:tc>
          <w:tcPr>
            <w:tcW w:w="1137"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jc w:val="both"/>
              <w:rPr>
                <w:sz w:val="16"/>
              </w:rPr>
            </w:pPr>
            <w:r>
              <w:rPr>
                <w:sz w:val="16"/>
              </w:rPr>
              <w:t>well</w:t>
            </w:r>
            <w:r>
              <w:rPr>
                <w:spacing w:val="-2"/>
                <w:sz w:val="16"/>
              </w:rPr>
              <w:t xml:space="preserve"> </w:t>
            </w:r>
            <w:r>
              <w:rPr>
                <w:sz w:val="16"/>
              </w:rPr>
              <w:t>as</w:t>
            </w:r>
            <w:r>
              <w:rPr>
                <w:spacing w:val="-1"/>
                <w:sz w:val="16"/>
              </w:rPr>
              <w:t xml:space="preserve"> </w:t>
            </w:r>
            <w:r>
              <w:rPr>
                <w:sz w:val="16"/>
              </w:rPr>
              <w:t>on the</w:t>
            </w:r>
            <w:r>
              <w:rPr>
                <w:spacing w:val="-5"/>
                <w:sz w:val="16"/>
              </w:rPr>
              <w:t xml:space="preserve"> </w:t>
            </w:r>
            <w:r>
              <w:rPr>
                <w:sz w:val="16"/>
              </w:rPr>
              <w:t>new</w:t>
            </w:r>
            <w:r>
              <w:rPr>
                <w:spacing w:val="-4"/>
                <w:sz w:val="16"/>
              </w:rPr>
              <w:t xml:space="preserve"> </w:t>
            </w:r>
            <w:r>
              <w:rPr>
                <w:sz w:val="16"/>
              </w:rPr>
              <w:t>National</w:t>
            </w:r>
            <w:r>
              <w:rPr>
                <w:spacing w:val="-1"/>
                <w:sz w:val="16"/>
              </w:rPr>
              <w:t xml:space="preserve"> </w:t>
            </w:r>
            <w:r>
              <w:rPr>
                <w:sz w:val="16"/>
              </w:rPr>
              <w:t>Plan</w:t>
            </w:r>
            <w:r>
              <w:rPr>
                <w:spacing w:val="-2"/>
                <w:sz w:val="16"/>
              </w:rPr>
              <w:t xml:space="preserve"> </w:t>
            </w:r>
            <w:r>
              <w:rPr>
                <w:sz w:val="16"/>
              </w:rPr>
              <w:t>for</w:t>
            </w:r>
          </w:p>
          <w:p w:rsidR="00A56FE9" w:rsidRDefault="00000000">
            <w:pPr>
              <w:pStyle w:val="TableParagraph"/>
              <w:spacing w:before="1"/>
              <w:ind w:left="57" w:right="153"/>
              <w:jc w:val="both"/>
              <w:rPr>
                <w:sz w:val="16"/>
              </w:rPr>
            </w:pPr>
            <w:r>
              <w:rPr>
                <w:sz w:val="16"/>
              </w:rPr>
              <w:t>Development Cooperation and Humanitarian</w:t>
            </w:r>
            <w:r>
              <w:rPr>
                <w:spacing w:val="-38"/>
                <w:sz w:val="16"/>
              </w:rPr>
              <w:t xml:space="preserve"> </w:t>
            </w:r>
            <w:r>
              <w:rPr>
                <w:sz w:val="16"/>
              </w:rPr>
              <w:t>Aid of the Republic of Croatia for the period</w:t>
            </w:r>
            <w:r>
              <w:rPr>
                <w:spacing w:val="-37"/>
                <w:sz w:val="16"/>
              </w:rPr>
              <w:t xml:space="preserve"> </w:t>
            </w:r>
            <w:r>
              <w:rPr>
                <w:sz w:val="16"/>
              </w:rPr>
              <w:t>2022-2026.</w:t>
            </w:r>
            <w:r>
              <w:rPr>
                <w:spacing w:val="-3"/>
                <w:sz w:val="16"/>
              </w:rPr>
              <w:t xml:space="preserve"> </w:t>
            </w:r>
            <w:r>
              <w:rPr>
                <w:sz w:val="16"/>
              </w:rPr>
              <w:t>year.</w:t>
            </w:r>
          </w:p>
        </w:tc>
        <w:tc>
          <w:tcPr>
            <w:tcW w:w="112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317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57</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1,</w:t>
            </w:r>
          </w:p>
          <w:p w:rsidR="00A56FE9" w:rsidRDefault="00000000">
            <w:pPr>
              <w:pStyle w:val="TableParagraph"/>
              <w:spacing w:before="1"/>
              <w:ind w:left="48"/>
              <w:rPr>
                <w:sz w:val="16"/>
              </w:rPr>
            </w:pPr>
            <w:r>
              <w:rPr>
                <w:sz w:val="16"/>
              </w:rPr>
              <w:t>17</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94"/>
              <w:rPr>
                <w:sz w:val="16"/>
              </w:rPr>
            </w:pPr>
            <w:r>
              <w:rPr>
                <w:sz w:val="16"/>
              </w:rPr>
              <w:t>2</w:t>
            </w:r>
            <w:r>
              <w:rPr>
                <w:spacing w:val="1"/>
                <w:sz w:val="16"/>
              </w:rPr>
              <w:t xml:space="preserve"> </w:t>
            </w:r>
            <w:r>
              <w:rPr>
                <w:sz w:val="16"/>
              </w:rPr>
              <w:t>- -</w:t>
            </w:r>
            <w:r>
              <w:rPr>
                <w:spacing w:val="-1"/>
                <w:sz w:val="16"/>
              </w:rPr>
              <w:t xml:space="preserve"> </w:t>
            </w:r>
            <w:r>
              <w:rPr>
                <w:sz w:val="16"/>
              </w:rPr>
              <w:t>PUBLIC</w:t>
            </w:r>
            <w:r>
              <w:rPr>
                <w:spacing w:val="1"/>
                <w:sz w:val="16"/>
              </w:rPr>
              <w:t xml:space="preserve"> </w:t>
            </w:r>
            <w:r>
              <w:rPr>
                <w:sz w:val="16"/>
              </w:rPr>
              <w:t>ADMINISTRATION,</w:t>
            </w:r>
            <w:r>
              <w:rPr>
                <w:spacing w:val="1"/>
                <w:sz w:val="16"/>
              </w:rPr>
              <w:t xml:space="preserve"> </w:t>
            </w:r>
            <w:r>
              <w:rPr>
                <w:sz w:val="16"/>
              </w:rPr>
              <w:t>JUDICIARY</w:t>
            </w:r>
            <w:r>
              <w:rPr>
                <w:spacing w:val="1"/>
                <w:sz w:val="16"/>
              </w:rPr>
              <w:t xml:space="preserve"> </w:t>
            </w:r>
            <w:r>
              <w:rPr>
                <w:sz w:val="16"/>
              </w:rPr>
              <w:t>AND</w:t>
            </w:r>
            <w:r>
              <w:rPr>
                <w:spacing w:val="1"/>
                <w:sz w:val="16"/>
              </w:rPr>
              <w:t xml:space="preserve"> </w:t>
            </w:r>
            <w:r>
              <w:rPr>
                <w:sz w:val="16"/>
              </w:rPr>
              <w:t>STATE ASSETS -</w:t>
            </w:r>
            <w:r>
              <w:rPr>
                <w:spacing w:val="1"/>
                <w:sz w:val="16"/>
              </w:rPr>
              <w:t xml:space="preserve"> </w:t>
            </w:r>
            <w:r>
              <w:rPr>
                <w:sz w:val="16"/>
              </w:rPr>
              <w:t>DEVELOPMENT</w:t>
            </w:r>
            <w:r>
              <w:rPr>
                <w:spacing w:val="1"/>
                <w:sz w:val="16"/>
              </w:rPr>
              <w:t xml:space="preserve"> </w:t>
            </w:r>
            <w:r>
              <w:rPr>
                <w:sz w:val="16"/>
              </w:rPr>
              <w:t>COOPERATION</w:t>
            </w:r>
            <w:r>
              <w:rPr>
                <w:spacing w:val="-4"/>
                <w:sz w:val="16"/>
              </w:rPr>
              <w:t xml:space="preserve"> </w:t>
            </w:r>
            <w:r>
              <w:rPr>
                <w:sz w:val="16"/>
              </w:rPr>
              <w:t>-</w:t>
            </w:r>
            <w:r>
              <w:rPr>
                <w:spacing w:val="-4"/>
                <w:sz w:val="16"/>
              </w:rPr>
              <w:t xml:space="preserve"> </w:t>
            </w:r>
            <w:r>
              <w:rPr>
                <w:sz w:val="16"/>
              </w:rPr>
              <w:t>Public</w:t>
            </w:r>
          </w:p>
          <w:p w:rsidR="00A56FE9" w:rsidRDefault="00000000">
            <w:pPr>
              <w:pStyle w:val="TableParagraph"/>
              <w:ind w:left="50" w:right="92"/>
              <w:rPr>
                <w:sz w:val="16"/>
              </w:rPr>
            </w:pPr>
            <w:r>
              <w:rPr>
                <w:sz w:val="16"/>
              </w:rPr>
              <w:t>call for financing</w:t>
            </w:r>
            <w:r>
              <w:rPr>
                <w:spacing w:val="1"/>
                <w:sz w:val="16"/>
              </w:rPr>
              <w:t xml:space="preserve"> </w:t>
            </w:r>
            <w:r>
              <w:rPr>
                <w:spacing w:val="-1"/>
                <w:sz w:val="16"/>
              </w:rPr>
              <w:t xml:space="preserve">international </w:t>
            </w:r>
            <w:r>
              <w:rPr>
                <w:sz w:val="16"/>
              </w:rPr>
              <w:t>development</w:t>
            </w:r>
            <w:r>
              <w:rPr>
                <w:spacing w:val="-37"/>
                <w:sz w:val="16"/>
              </w:rPr>
              <w:t xml:space="preserve"> </w:t>
            </w:r>
            <w:r>
              <w:rPr>
                <w:sz w:val="16"/>
              </w:rPr>
              <w:t>cooperation projects with</w:t>
            </w:r>
            <w:r>
              <w:rPr>
                <w:spacing w:val="1"/>
                <w:sz w:val="16"/>
              </w:rPr>
              <w:t xml:space="preserve"> </w:t>
            </w:r>
            <w:r>
              <w:rPr>
                <w:sz w:val="16"/>
              </w:rPr>
              <w:t>civil</w:t>
            </w:r>
            <w:r>
              <w:rPr>
                <w:spacing w:val="-6"/>
                <w:sz w:val="16"/>
              </w:rPr>
              <w:t xml:space="preserve"> </w:t>
            </w:r>
            <w:r>
              <w:rPr>
                <w:sz w:val="16"/>
              </w:rPr>
              <w:t>society</w:t>
            </w:r>
            <w:r>
              <w:rPr>
                <w:spacing w:val="-8"/>
                <w:sz w:val="16"/>
              </w:rPr>
              <w:t xml:space="preserve"> </w:t>
            </w:r>
            <w:r>
              <w:rPr>
                <w:sz w:val="16"/>
              </w:rPr>
              <w:t>organizations</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96"/>
              <w:rPr>
                <w:sz w:val="16"/>
              </w:rPr>
            </w:pPr>
            <w:r>
              <w:rPr>
                <w:sz w:val="16"/>
              </w:rPr>
              <w:t>Announcement of the</w:t>
            </w:r>
            <w:r>
              <w:rPr>
                <w:spacing w:val="1"/>
                <w:sz w:val="16"/>
              </w:rPr>
              <w:t xml:space="preserve"> </w:t>
            </w:r>
            <w:r>
              <w:rPr>
                <w:sz w:val="16"/>
              </w:rPr>
              <w:t>second Public call for</w:t>
            </w:r>
            <w:r>
              <w:rPr>
                <w:spacing w:val="1"/>
                <w:sz w:val="16"/>
              </w:rPr>
              <w:t xml:space="preserve"> </w:t>
            </w:r>
            <w:r>
              <w:rPr>
                <w:sz w:val="16"/>
              </w:rPr>
              <w:t>financing international</w:t>
            </w:r>
            <w:r>
              <w:rPr>
                <w:spacing w:val="1"/>
                <w:sz w:val="16"/>
              </w:rPr>
              <w:t xml:space="preserve"> </w:t>
            </w:r>
            <w:r>
              <w:rPr>
                <w:sz w:val="16"/>
              </w:rPr>
              <w:t>development cooperation</w:t>
            </w:r>
            <w:r>
              <w:rPr>
                <w:spacing w:val="-37"/>
                <w:sz w:val="16"/>
              </w:rPr>
              <w:t xml:space="preserve"> </w:t>
            </w:r>
            <w:r>
              <w:rPr>
                <w:sz w:val="16"/>
              </w:rPr>
              <w:t>projects</w:t>
            </w:r>
            <w:r>
              <w:rPr>
                <w:spacing w:val="7"/>
                <w:sz w:val="16"/>
              </w:rPr>
              <w:t xml:space="preserve"> </w:t>
            </w:r>
            <w:r>
              <w:rPr>
                <w:sz w:val="16"/>
              </w:rPr>
              <w:t>with</w:t>
            </w:r>
            <w:r>
              <w:rPr>
                <w:spacing w:val="9"/>
                <w:sz w:val="16"/>
              </w:rPr>
              <w:t xml:space="preserve"> </w:t>
            </w:r>
            <w:r>
              <w:rPr>
                <w:sz w:val="16"/>
              </w:rPr>
              <w:t>civil</w:t>
            </w:r>
            <w:r>
              <w:rPr>
                <w:spacing w:val="1"/>
                <w:sz w:val="16"/>
              </w:rPr>
              <w:t xml:space="preserve"> </w:t>
            </w:r>
            <w:r>
              <w:rPr>
                <w:sz w:val="16"/>
              </w:rPr>
              <w:t>society</w:t>
            </w:r>
            <w:r>
              <w:rPr>
                <w:spacing w:val="-4"/>
                <w:sz w:val="16"/>
              </w:rPr>
              <w:t xml:space="preserve"> </w:t>
            </w:r>
            <w:r>
              <w:rPr>
                <w:sz w:val="16"/>
              </w:rPr>
              <w:t>organizations</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11"/>
              <w:rPr>
                <w:sz w:val="16"/>
              </w:rPr>
            </w:pPr>
            <w:r>
              <w:rPr>
                <w:sz w:val="16"/>
              </w:rPr>
              <w:t>Kn</w:t>
            </w: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61" w:right="41"/>
              <w:jc w:val="center"/>
              <w:rPr>
                <w:sz w:val="16"/>
              </w:rPr>
            </w:pPr>
            <w:r>
              <w:rPr>
                <w:sz w:val="16"/>
              </w:rPr>
              <w:t>3,000,0</w:t>
            </w:r>
          </w:p>
          <w:p w:rsidR="00A56FE9" w:rsidRDefault="00000000">
            <w:pPr>
              <w:pStyle w:val="TableParagraph"/>
              <w:spacing w:before="1"/>
              <w:ind w:left="60" w:right="41"/>
              <w:jc w:val="center"/>
              <w:rPr>
                <w:sz w:val="16"/>
              </w:rPr>
            </w:pPr>
            <w:r>
              <w:rPr>
                <w:sz w:val="16"/>
              </w:rPr>
              <w:t>00</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MFEA</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55"/>
              <w:rPr>
                <w:sz w:val="16"/>
              </w:rPr>
            </w:pPr>
            <w:r>
              <w:rPr>
                <w:sz w:val="16"/>
              </w:rPr>
              <w:t>In 2021, a Public Call was announced to</w:t>
            </w:r>
            <w:r>
              <w:rPr>
                <w:spacing w:val="1"/>
                <w:sz w:val="16"/>
              </w:rPr>
              <w:t xml:space="preserve"> </w:t>
            </w:r>
            <w:r>
              <w:rPr>
                <w:sz w:val="16"/>
              </w:rPr>
              <w:t>finance international development cooperation</w:t>
            </w:r>
            <w:r>
              <w:rPr>
                <w:spacing w:val="-38"/>
                <w:sz w:val="16"/>
              </w:rPr>
              <w:t xml:space="preserve"> </w:t>
            </w:r>
            <w:r>
              <w:rPr>
                <w:sz w:val="16"/>
              </w:rPr>
              <w:t>projects aimed at empowering vulnerable</w:t>
            </w:r>
            <w:r>
              <w:rPr>
                <w:spacing w:val="1"/>
                <w:sz w:val="16"/>
              </w:rPr>
              <w:t xml:space="preserve"> </w:t>
            </w:r>
            <w:r>
              <w:rPr>
                <w:sz w:val="16"/>
              </w:rPr>
              <w:t>groups in society, fostering economic</w:t>
            </w:r>
            <w:r>
              <w:rPr>
                <w:spacing w:val="1"/>
                <w:sz w:val="16"/>
              </w:rPr>
              <w:t xml:space="preserve"> </w:t>
            </w:r>
            <w:r>
              <w:rPr>
                <w:sz w:val="16"/>
              </w:rPr>
              <w:t>development and strengthening democracy in</w:t>
            </w:r>
            <w:r>
              <w:rPr>
                <w:spacing w:val="1"/>
                <w:sz w:val="16"/>
              </w:rPr>
              <w:t xml:space="preserve"> </w:t>
            </w:r>
            <w:r>
              <w:rPr>
                <w:sz w:val="16"/>
              </w:rPr>
              <w:t>neighbouring countries, Eastern Europe and</w:t>
            </w:r>
            <w:r>
              <w:rPr>
                <w:spacing w:val="1"/>
                <w:sz w:val="16"/>
              </w:rPr>
              <w:t xml:space="preserve"> </w:t>
            </w:r>
            <w:r>
              <w:rPr>
                <w:sz w:val="16"/>
              </w:rPr>
              <w:t>Africa. The funds were awarded to civil</w:t>
            </w:r>
            <w:r>
              <w:rPr>
                <w:spacing w:val="1"/>
                <w:sz w:val="16"/>
              </w:rPr>
              <w:t xml:space="preserve"> </w:t>
            </w:r>
            <w:r>
              <w:rPr>
                <w:sz w:val="16"/>
              </w:rPr>
              <w:t>society organisations with experience in</w:t>
            </w:r>
            <w:r>
              <w:rPr>
                <w:spacing w:val="1"/>
                <w:sz w:val="16"/>
              </w:rPr>
              <w:t xml:space="preserve"> </w:t>
            </w:r>
            <w:r>
              <w:rPr>
                <w:sz w:val="16"/>
              </w:rPr>
              <w:t>implementing humanitarian development</w:t>
            </w:r>
            <w:r>
              <w:rPr>
                <w:spacing w:val="1"/>
                <w:sz w:val="16"/>
              </w:rPr>
              <w:t xml:space="preserve"> </w:t>
            </w:r>
            <w:r>
              <w:rPr>
                <w:sz w:val="16"/>
              </w:rPr>
              <w:t>projects abroad. In all, 11 associations, which</w:t>
            </w:r>
            <w:r>
              <w:rPr>
                <w:spacing w:val="1"/>
                <w:sz w:val="16"/>
              </w:rPr>
              <w:t xml:space="preserve"> </w:t>
            </w:r>
            <w:r>
              <w:rPr>
                <w:sz w:val="16"/>
              </w:rPr>
              <w:t>received funding, began implementing project</w:t>
            </w:r>
            <w:r>
              <w:rPr>
                <w:spacing w:val="-37"/>
                <w:sz w:val="16"/>
              </w:rPr>
              <w:t xml:space="preserve"> </w:t>
            </w:r>
            <w:r>
              <w:rPr>
                <w:sz w:val="16"/>
              </w:rPr>
              <w:t>activities in the second half of 2021 and are</w:t>
            </w:r>
            <w:r>
              <w:rPr>
                <w:spacing w:val="1"/>
                <w:sz w:val="16"/>
              </w:rPr>
              <w:t xml:space="preserve"> </w:t>
            </w:r>
            <w:r>
              <w:rPr>
                <w:sz w:val="16"/>
              </w:rPr>
              <w:t>expected to be completed in 2022. Also in the</w:t>
            </w:r>
            <w:r>
              <w:rPr>
                <w:spacing w:val="1"/>
                <w:sz w:val="16"/>
              </w:rPr>
              <w:t xml:space="preserve"> </w:t>
            </w:r>
            <w:r>
              <w:rPr>
                <w:sz w:val="16"/>
              </w:rPr>
              <w:t>second half, a new Public Call for funding</w:t>
            </w:r>
            <w:r>
              <w:rPr>
                <w:spacing w:val="1"/>
                <w:sz w:val="16"/>
              </w:rPr>
              <w:t xml:space="preserve"> </w:t>
            </w:r>
            <w:r>
              <w:rPr>
                <w:sz w:val="16"/>
              </w:rPr>
              <w:t>international</w:t>
            </w:r>
            <w:r>
              <w:rPr>
                <w:spacing w:val="2"/>
                <w:sz w:val="16"/>
              </w:rPr>
              <w:t xml:space="preserve"> </w:t>
            </w:r>
            <w:r>
              <w:rPr>
                <w:sz w:val="16"/>
              </w:rPr>
              <w:t>development</w:t>
            </w:r>
            <w:r>
              <w:rPr>
                <w:spacing w:val="5"/>
                <w:sz w:val="16"/>
              </w:rPr>
              <w:t xml:space="preserve"> </w:t>
            </w:r>
            <w:r>
              <w:rPr>
                <w:sz w:val="16"/>
              </w:rPr>
              <w:t>cooperation</w:t>
            </w:r>
            <w:r>
              <w:rPr>
                <w:spacing w:val="1"/>
                <w:sz w:val="16"/>
              </w:rPr>
              <w:t xml:space="preserve"> </w:t>
            </w:r>
            <w:r>
              <w:rPr>
                <w:sz w:val="16"/>
              </w:rPr>
              <w:t>projects</w:t>
            </w:r>
            <w:r>
              <w:rPr>
                <w:spacing w:val="-3"/>
                <w:sz w:val="16"/>
              </w:rPr>
              <w:t xml:space="preserve"> </w:t>
            </w:r>
            <w:r>
              <w:rPr>
                <w:sz w:val="16"/>
              </w:rPr>
              <w:t>abroad</w:t>
            </w:r>
            <w:r>
              <w:rPr>
                <w:spacing w:val="-1"/>
                <w:sz w:val="16"/>
              </w:rPr>
              <w:t xml:space="preserve"> </w:t>
            </w:r>
            <w:r>
              <w:rPr>
                <w:sz w:val="16"/>
              </w:rPr>
              <w:t>is</w:t>
            </w:r>
            <w:r>
              <w:rPr>
                <w:spacing w:val="-1"/>
                <w:sz w:val="16"/>
              </w:rPr>
              <w:t xml:space="preserve"> </w:t>
            </w:r>
            <w:r>
              <w:rPr>
                <w:sz w:val="16"/>
              </w:rPr>
              <w:t>expected.</w:t>
            </w:r>
          </w:p>
        </w:tc>
        <w:tc>
          <w:tcPr>
            <w:tcW w:w="112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384"/>
              <w:rPr>
                <w:sz w:val="16"/>
              </w:rPr>
            </w:pPr>
            <w:r>
              <w:rPr>
                <w:sz w:val="16"/>
              </w:rPr>
              <w:t>3,000,000</w:t>
            </w:r>
          </w:p>
        </w:tc>
      </w:tr>
      <w:tr w:rsidR="00A56FE9">
        <w:trPr>
          <w:trHeight w:val="397"/>
        </w:trPr>
        <w:tc>
          <w:tcPr>
            <w:tcW w:w="15763" w:type="dxa"/>
            <w:gridSpan w:val="17"/>
            <w:tcBorders>
              <w:top w:val="single" w:sz="4" w:space="0" w:color="2C398A"/>
              <w:left w:val="single" w:sz="4" w:space="0" w:color="2C398A"/>
              <w:bottom w:val="single" w:sz="4" w:space="0" w:color="2C398A"/>
              <w:right w:val="single" w:sz="4" w:space="0" w:color="2C398A"/>
            </w:tcBorders>
            <w:shd w:val="clear" w:color="auto" w:fill="F1F1F1"/>
          </w:tcPr>
          <w:p w:rsidR="00A56FE9" w:rsidRDefault="00000000">
            <w:pPr>
              <w:pStyle w:val="TableParagraph"/>
              <w:spacing w:before="61"/>
              <w:ind w:left="50"/>
              <w:rPr>
                <w:b/>
                <w:sz w:val="18"/>
              </w:rPr>
            </w:pPr>
            <w:r>
              <w:rPr>
                <w:b/>
                <w:color w:val="DA1F2C"/>
                <w:spacing w:val="-1"/>
                <w:sz w:val="24"/>
              </w:rPr>
              <w:t>3</w:t>
            </w:r>
            <w:r>
              <w:rPr>
                <w:b/>
                <w:color w:val="DA1F2C"/>
                <w:spacing w:val="-20"/>
                <w:sz w:val="24"/>
              </w:rPr>
              <w:t xml:space="preserve"> </w:t>
            </w:r>
            <w:r>
              <w:rPr>
                <w:b/>
                <w:color w:val="2C398A"/>
                <w:spacing w:val="-1"/>
                <w:sz w:val="16"/>
              </w:rPr>
              <w:t>-</w:t>
            </w:r>
            <w:r>
              <w:rPr>
                <w:b/>
                <w:color w:val="2C398A"/>
                <w:spacing w:val="1"/>
                <w:sz w:val="16"/>
              </w:rPr>
              <w:t xml:space="preserve"> </w:t>
            </w:r>
            <w:r>
              <w:rPr>
                <w:b/>
                <w:color w:val="003399"/>
                <w:spacing w:val="-1"/>
                <w:sz w:val="18"/>
              </w:rPr>
              <w:t>EDUCATION,</w:t>
            </w:r>
            <w:r>
              <w:rPr>
                <w:b/>
                <w:color w:val="003399"/>
                <w:spacing w:val="1"/>
                <w:sz w:val="18"/>
              </w:rPr>
              <w:t xml:space="preserve"> </w:t>
            </w:r>
            <w:r>
              <w:rPr>
                <w:b/>
                <w:color w:val="003399"/>
                <w:sz w:val="18"/>
              </w:rPr>
              <w:t>SCIENCE</w:t>
            </w:r>
            <w:r>
              <w:rPr>
                <w:b/>
                <w:color w:val="003399"/>
                <w:spacing w:val="1"/>
                <w:sz w:val="18"/>
              </w:rPr>
              <w:t xml:space="preserve"> </w:t>
            </w:r>
            <w:r>
              <w:rPr>
                <w:b/>
                <w:color w:val="003399"/>
                <w:sz w:val="18"/>
              </w:rPr>
              <w:t>AND RESEARCH</w:t>
            </w:r>
          </w:p>
        </w:tc>
      </w:tr>
      <w:tr w:rsidR="00A56FE9">
        <w:trPr>
          <w:trHeight w:val="128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58</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267</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2019.CSR2</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line="183" w:lineRule="exact"/>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221"/>
              <w:rPr>
                <w:sz w:val="16"/>
              </w:rPr>
            </w:pPr>
            <w:r>
              <w:rPr>
                <w:sz w:val="16"/>
              </w:rPr>
              <w:t>3</w:t>
            </w:r>
            <w:r>
              <w:rPr>
                <w:spacing w:val="1"/>
                <w:sz w:val="16"/>
              </w:rPr>
              <w:t xml:space="preserve"> </w:t>
            </w:r>
            <w:r>
              <w:rPr>
                <w:sz w:val="16"/>
              </w:rPr>
              <w:t>-</w:t>
            </w:r>
            <w:r>
              <w:rPr>
                <w:spacing w:val="-1"/>
                <w:sz w:val="16"/>
              </w:rPr>
              <w:t xml:space="preserve"> </w:t>
            </w:r>
            <w:r>
              <w:rPr>
                <w:sz w:val="16"/>
              </w:rPr>
              <w:t>EDUCATION,</w:t>
            </w:r>
            <w:r>
              <w:rPr>
                <w:spacing w:val="1"/>
                <w:sz w:val="16"/>
              </w:rPr>
              <w:t xml:space="preserve"> </w:t>
            </w:r>
            <w:r>
              <w:rPr>
                <w:sz w:val="16"/>
              </w:rPr>
              <w:t>SCIENCE AND</w:t>
            </w:r>
            <w:r>
              <w:rPr>
                <w:spacing w:val="1"/>
                <w:sz w:val="16"/>
              </w:rPr>
              <w:t xml:space="preserve"> </w:t>
            </w:r>
            <w:r>
              <w:rPr>
                <w:sz w:val="16"/>
              </w:rPr>
              <w:t>RESEARCH</w:t>
            </w:r>
            <w:r>
              <w:rPr>
                <w:spacing w:val="-1"/>
                <w:sz w:val="16"/>
              </w:rPr>
              <w:t xml:space="preserve"> </w:t>
            </w:r>
            <w:r>
              <w:rPr>
                <w:sz w:val="16"/>
              </w:rPr>
              <w:t>-</w:t>
            </w:r>
            <w:r>
              <w:rPr>
                <w:spacing w:val="-3"/>
                <w:sz w:val="16"/>
              </w:rPr>
              <w:t xml:space="preserve"> </w:t>
            </w:r>
            <w:r>
              <w:rPr>
                <w:sz w:val="16"/>
              </w:rPr>
              <w:t>C3.1.</w:t>
            </w:r>
            <w:r>
              <w:rPr>
                <w:spacing w:val="-2"/>
                <w:sz w:val="16"/>
              </w:rPr>
              <w:t xml:space="preserve"> </w:t>
            </w:r>
            <w:r>
              <w:rPr>
                <w:sz w:val="16"/>
              </w:rPr>
              <w:t>R1</w:t>
            </w:r>
          </w:p>
          <w:p w:rsidR="00A56FE9" w:rsidRDefault="00000000">
            <w:pPr>
              <w:pStyle w:val="TableParagraph"/>
              <w:ind w:left="50" w:right="243"/>
              <w:rPr>
                <w:sz w:val="16"/>
              </w:rPr>
            </w:pPr>
            <w:r>
              <w:rPr>
                <w:sz w:val="16"/>
              </w:rPr>
              <w:t>Structural reform of the</w:t>
            </w:r>
            <w:r>
              <w:rPr>
                <w:spacing w:val="-37"/>
                <w:sz w:val="16"/>
              </w:rPr>
              <w:t xml:space="preserve"> </w:t>
            </w:r>
            <w:r>
              <w:rPr>
                <w:sz w:val="16"/>
              </w:rPr>
              <w:t>education system</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230"/>
              <w:rPr>
                <w:sz w:val="16"/>
              </w:rPr>
            </w:pPr>
            <w:r>
              <w:rPr>
                <w:sz w:val="16"/>
              </w:rPr>
              <w:t>Adoption of the Model</w:t>
            </w:r>
            <w:r>
              <w:rPr>
                <w:spacing w:val="-37"/>
                <w:sz w:val="16"/>
              </w:rPr>
              <w:t xml:space="preserve"> </w:t>
            </w:r>
            <w:r>
              <w:rPr>
                <w:sz w:val="16"/>
              </w:rPr>
              <w:t>for the Financing of</w:t>
            </w:r>
            <w:r>
              <w:rPr>
                <w:spacing w:val="1"/>
                <w:sz w:val="16"/>
              </w:rPr>
              <w:t xml:space="preserve"> </w:t>
            </w:r>
            <w:r>
              <w:rPr>
                <w:sz w:val="16"/>
              </w:rPr>
              <w:t>Early Childhood</w:t>
            </w:r>
            <w:r>
              <w:rPr>
                <w:spacing w:val="1"/>
                <w:sz w:val="16"/>
              </w:rPr>
              <w:t xml:space="preserve"> </w:t>
            </w:r>
            <w:r>
              <w:rPr>
                <w:sz w:val="16"/>
              </w:rPr>
              <w:t>Education and</w:t>
            </w:r>
            <w:r>
              <w:rPr>
                <w:spacing w:val="-2"/>
                <w:sz w:val="16"/>
              </w:rPr>
              <w:t xml:space="preserve"> </w:t>
            </w:r>
            <w:r>
              <w:rPr>
                <w:sz w:val="16"/>
              </w:rPr>
              <w:t>Care</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87"/>
              <w:rPr>
                <w:sz w:val="16"/>
              </w:rPr>
            </w:pPr>
            <w:r>
              <w:rPr>
                <w:sz w:val="16"/>
              </w:rPr>
              <w:t>Entry into</w:t>
            </w:r>
            <w:r>
              <w:rPr>
                <w:spacing w:val="1"/>
                <w:sz w:val="16"/>
              </w:rPr>
              <w:t xml:space="preserve"> </w:t>
            </w:r>
            <w:r>
              <w:rPr>
                <w:sz w:val="16"/>
              </w:rPr>
              <w:t>force of the</w:t>
            </w:r>
            <w:r>
              <w:rPr>
                <w:spacing w:val="1"/>
                <w:sz w:val="16"/>
              </w:rPr>
              <w:t xml:space="preserve"> </w:t>
            </w:r>
            <w:r>
              <w:rPr>
                <w:sz w:val="16"/>
              </w:rPr>
              <w:t>Early</w:t>
            </w:r>
            <w:r>
              <w:rPr>
                <w:spacing w:val="1"/>
                <w:sz w:val="16"/>
              </w:rPr>
              <w:t xml:space="preserve"> </w:t>
            </w:r>
            <w:r>
              <w:rPr>
                <w:sz w:val="16"/>
              </w:rPr>
              <w:t>Childhood</w:t>
            </w:r>
            <w:r>
              <w:rPr>
                <w:spacing w:val="1"/>
                <w:sz w:val="16"/>
              </w:rPr>
              <w:t xml:space="preserve"> </w:t>
            </w:r>
            <w:r>
              <w:rPr>
                <w:spacing w:val="-1"/>
                <w:sz w:val="16"/>
              </w:rPr>
              <w:t xml:space="preserve">Education </w:t>
            </w:r>
            <w:r>
              <w:rPr>
                <w:sz w:val="16"/>
              </w:rPr>
              <w:t>and</w:t>
            </w:r>
            <w:r>
              <w:rPr>
                <w:spacing w:val="-37"/>
                <w:sz w:val="16"/>
              </w:rPr>
              <w:t xml:space="preserve"> </w:t>
            </w:r>
            <w:r>
              <w:rPr>
                <w:sz w:val="16"/>
              </w:rPr>
              <w:t>Care</w:t>
            </w:r>
            <w:r>
              <w:rPr>
                <w:spacing w:val="-3"/>
                <w:sz w:val="16"/>
              </w:rPr>
              <w:t xml:space="preserve"> </w:t>
            </w:r>
            <w:r>
              <w:rPr>
                <w:sz w:val="16"/>
              </w:rPr>
              <w:t>funding</w:t>
            </w:r>
          </w:p>
          <w:p w:rsidR="00A56FE9" w:rsidRDefault="00000000">
            <w:pPr>
              <w:pStyle w:val="TableParagraph"/>
              <w:spacing w:line="168" w:lineRule="exact"/>
              <w:ind w:left="110"/>
              <w:rPr>
                <w:sz w:val="16"/>
              </w:rPr>
            </w:pPr>
            <w:r>
              <w:rPr>
                <w:sz w:val="16"/>
              </w:rPr>
              <w:t>model</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MSE,</w:t>
            </w:r>
            <w:r>
              <w:rPr>
                <w:spacing w:val="-1"/>
                <w:sz w:val="16"/>
              </w:rPr>
              <w:t xml:space="preserve"> </w:t>
            </w:r>
            <w:r>
              <w:rPr>
                <w:sz w:val="16"/>
              </w:rPr>
              <w:t>MF</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50"/>
              <w:rPr>
                <w:sz w:val="16"/>
              </w:rPr>
            </w:pPr>
            <w:r>
              <w:rPr>
                <w:sz w:val="16"/>
              </w:rPr>
              <w:t>The Croatian Government shall adopt a model</w:t>
            </w:r>
            <w:r>
              <w:rPr>
                <w:spacing w:val="-37"/>
                <w:sz w:val="16"/>
              </w:rPr>
              <w:t xml:space="preserve"> </w:t>
            </w:r>
            <w:r>
              <w:rPr>
                <w:sz w:val="16"/>
              </w:rPr>
              <w:t>for financing the operating costs of ECEC</w:t>
            </w:r>
            <w:r>
              <w:rPr>
                <w:spacing w:val="1"/>
                <w:sz w:val="16"/>
              </w:rPr>
              <w:t xml:space="preserve"> </w:t>
            </w:r>
            <w:r>
              <w:rPr>
                <w:sz w:val="16"/>
              </w:rPr>
              <w:t>facilities for municipalities/local government</w:t>
            </w:r>
            <w:r>
              <w:rPr>
                <w:spacing w:val="1"/>
                <w:sz w:val="16"/>
              </w:rPr>
              <w:t xml:space="preserve"> </w:t>
            </w:r>
            <w:r>
              <w:rPr>
                <w:sz w:val="16"/>
              </w:rPr>
              <w:t>units with less financial capacity, in order to</w:t>
            </w:r>
            <w:r>
              <w:rPr>
                <w:spacing w:val="1"/>
                <w:sz w:val="16"/>
              </w:rPr>
              <w:t xml:space="preserve"> </w:t>
            </w:r>
            <w:r>
              <w:rPr>
                <w:sz w:val="16"/>
              </w:rPr>
              <w:t>ensure the sustainability of the investment</w:t>
            </w:r>
            <w:r>
              <w:rPr>
                <w:spacing w:val="1"/>
                <w:sz w:val="16"/>
              </w:rPr>
              <w:t xml:space="preserve"> </w:t>
            </w:r>
            <w:r>
              <w:rPr>
                <w:sz w:val="16"/>
              </w:rPr>
              <w:t>after</w:t>
            </w:r>
            <w:r>
              <w:rPr>
                <w:spacing w:val="-5"/>
                <w:sz w:val="16"/>
              </w:rPr>
              <w:t xml:space="preserve"> </w:t>
            </w:r>
            <w:r>
              <w:rPr>
                <w:sz w:val="16"/>
              </w:rPr>
              <w:t>the</w:t>
            </w:r>
            <w:r>
              <w:rPr>
                <w:spacing w:val="-5"/>
                <w:sz w:val="16"/>
              </w:rPr>
              <w:t xml:space="preserve"> </w:t>
            </w:r>
            <w:r>
              <w:rPr>
                <w:sz w:val="16"/>
              </w:rPr>
              <w:t>renovation</w:t>
            </w:r>
            <w:r>
              <w:rPr>
                <w:spacing w:val="-2"/>
                <w:sz w:val="16"/>
              </w:rPr>
              <w:t xml:space="preserve"> </w:t>
            </w:r>
            <w:r>
              <w:rPr>
                <w:sz w:val="16"/>
              </w:rPr>
              <w:t>of</w:t>
            </w:r>
            <w:r>
              <w:rPr>
                <w:spacing w:val="-4"/>
                <w:sz w:val="16"/>
              </w:rPr>
              <w:t xml:space="preserve"> </w:t>
            </w:r>
            <w:r>
              <w:rPr>
                <w:sz w:val="16"/>
              </w:rPr>
              <w:t>existing</w:t>
            </w:r>
            <w:r>
              <w:rPr>
                <w:spacing w:val="-4"/>
                <w:sz w:val="16"/>
              </w:rPr>
              <w:t xml:space="preserve"> </w:t>
            </w:r>
            <w:r>
              <w:rPr>
                <w:sz w:val="16"/>
              </w:rPr>
              <w:t>or</w:t>
            </w:r>
            <w:r>
              <w:rPr>
                <w:spacing w:val="-6"/>
                <w:sz w:val="16"/>
              </w:rPr>
              <w:t xml:space="preserve"> </w:t>
            </w:r>
            <w:r>
              <w:rPr>
                <w:sz w:val="16"/>
              </w:rPr>
              <w:t>construction</w:t>
            </w:r>
          </w:p>
          <w:p w:rsidR="00A56FE9" w:rsidRDefault="00000000">
            <w:pPr>
              <w:pStyle w:val="TableParagraph"/>
              <w:spacing w:line="168" w:lineRule="exact"/>
              <w:ind w:left="57"/>
              <w:rPr>
                <w:sz w:val="16"/>
              </w:rPr>
            </w:pPr>
            <w:r>
              <w:rPr>
                <w:sz w:val="16"/>
              </w:rPr>
              <w:t>of</w:t>
            </w:r>
            <w:r>
              <w:rPr>
                <w:spacing w:val="-3"/>
                <w:sz w:val="16"/>
              </w:rPr>
              <w:t xml:space="preserve"> </w:t>
            </w:r>
            <w:r>
              <w:rPr>
                <w:sz w:val="16"/>
              </w:rPr>
              <w:t>new</w:t>
            </w:r>
            <w:r>
              <w:rPr>
                <w:spacing w:val="-4"/>
                <w:sz w:val="16"/>
              </w:rPr>
              <w:t xml:space="preserve"> </w:t>
            </w:r>
            <w:r>
              <w:rPr>
                <w:sz w:val="16"/>
              </w:rPr>
              <w:t>ECEC</w:t>
            </w:r>
            <w:r>
              <w:rPr>
                <w:spacing w:val="-1"/>
                <w:sz w:val="16"/>
              </w:rPr>
              <w:t xml:space="preserve"> </w:t>
            </w:r>
            <w:r>
              <w:rPr>
                <w:sz w:val="16"/>
              </w:rPr>
              <w:t>facilities.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039"/>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59</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273</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2019.CSR2</w:t>
            </w:r>
          </w:p>
          <w:p w:rsidR="00A56FE9" w:rsidRDefault="00000000">
            <w:pPr>
              <w:pStyle w:val="TableParagraph"/>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before="1"/>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221"/>
              <w:rPr>
                <w:sz w:val="16"/>
              </w:rPr>
            </w:pPr>
            <w:r>
              <w:rPr>
                <w:sz w:val="16"/>
              </w:rPr>
              <w:t>3</w:t>
            </w:r>
            <w:r>
              <w:rPr>
                <w:spacing w:val="1"/>
                <w:sz w:val="16"/>
              </w:rPr>
              <w:t xml:space="preserve"> </w:t>
            </w:r>
            <w:r>
              <w:rPr>
                <w:sz w:val="16"/>
              </w:rPr>
              <w:t>-</w:t>
            </w:r>
            <w:r>
              <w:rPr>
                <w:spacing w:val="-1"/>
                <w:sz w:val="16"/>
              </w:rPr>
              <w:t xml:space="preserve"> </w:t>
            </w:r>
            <w:r>
              <w:rPr>
                <w:sz w:val="16"/>
              </w:rPr>
              <w:t>EDUCATION,</w:t>
            </w:r>
            <w:r>
              <w:rPr>
                <w:spacing w:val="1"/>
                <w:sz w:val="16"/>
              </w:rPr>
              <w:t xml:space="preserve"> </w:t>
            </w:r>
            <w:r>
              <w:rPr>
                <w:sz w:val="16"/>
              </w:rPr>
              <w:t>SCIENCE AND</w:t>
            </w:r>
            <w:r>
              <w:rPr>
                <w:spacing w:val="1"/>
                <w:sz w:val="16"/>
              </w:rPr>
              <w:t xml:space="preserve"> </w:t>
            </w:r>
            <w:r>
              <w:rPr>
                <w:sz w:val="16"/>
              </w:rPr>
              <w:t>RESEARCH</w:t>
            </w:r>
            <w:r>
              <w:rPr>
                <w:spacing w:val="-1"/>
                <w:sz w:val="16"/>
              </w:rPr>
              <w:t xml:space="preserve"> </w:t>
            </w:r>
            <w:r>
              <w:rPr>
                <w:sz w:val="16"/>
              </w:rPr>
              <w:t>-</w:t>
            </w:r>
            <w:r>
              <w:rPr>
                <w:spacing w:val="-3"/>
                <w:sz w:val="16"/>
              </w:rPr>
              <w:t xml:space="preserve"> </w:t>
            </w:r>
            <w:r>
              <w:rPr>
                <w:sz w:val="16"/>
              </w:rPr>
              <w:t>C3.1.</w:t>
            </w:r>
            <w:r>
              <w:rPr>
                <w:spacing w:val="-2"/>
                <w:sz w:val="16"/>
              </w:rPr>
              <w:t xml:space="preserve"> </w:t>
            </w:r>
            <w:r>
              <w:rPr>
                <w:sz w:val="16"/>
              </w:rPr>
              <w:t>R2</w:t>
            </w:r>
          </w:p>
          <w:p w:rsidR="00A56FE9" w:rsidRDefault="00000000">
            <w:pPr>
              <w:pStyle w:val="TableParagraph"/>
              <w:ind w:left="50" w:right="202"/>
              <w:rPr>
                <w:sz w:val="16"/>
              </w:rPr>
            </w:pPr>
            <w:r>
              <w:rPr>
                <w:sz w:val="16"/>
              </w:rPr>
              <w:t>Modernisation of higher</w:t>
            </w:r>
            <w:r>
              <w:rPr>
                <w:spacing w:val="-38"/>
                <w:sz w:val="16"/>
              </w:rPr>
              <w:t xml:space="preserve"> </w:t>
            </w:r>
            <w:r>
              <w:rPr>
                <w:sz w:val="16"/>
              </w:rPr>
              <w:t>education</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26"/>
              <w:rPr>
                <w:sz w:val="16"/>
              </w:rPr>
            </w:pPr>
            <w:r>
              <w:rPr>
                <w:sz w:val="16"/>
              </w:rPr>
              <w:t>Adoption</w:t>
            </w:r>
            <w:r>
              <w:rPr>
                <w:spacing w:val="-2"/>
                <w:sz w:val="16"/>
              </w:rPr>
              <w:t xml:space="preserve"> </w:t>
            </w:r>
            <w:r>
              <w:rPr>
                <w:sz w:val="16"/>
              </w:rPr>
              <w:t>of</w:t>
            </w:r>
            <w:r>
              <w:rPr>
                <w:spacing w:val="-5"/>
                <w:sz w:val="16"/>
              </w:rPr>
              <w:t xml:space="preserve"> </w:t>
            </w:r>
            <w:r>
              <w:rPr>
                <w:sz w:val="16"/>
              </w:rPr>
              <w:t>the</w:t>
            </w:r>
            <w:r>
              <w:rPr>
                <w:spacing w:val="-6"/>
                <w:sz w:val="16"/>
              </w:rPr>
              <w:t xml:space="preserve"> </w:t>
            </w:r>
            <w:r>
              <w:rPr>
                <w:sz w:val="16"/>
              </w:rPr>
              <w:t>new</w:t>
            </w:r>
            <w:r>
              <w:rPr>
                <w:spacing w:val="-3"/>
                <w:sz w:val="16"/>
              </w:rPr>
              <w:t xml:space="preserve"> </w:t>
            </w:r>
            <w:r>
              <w:rPr>
                <w:sz w:val="16"/>
              </w:rPr>
              <w:t>Act</w:t>
            </w:r>
            <w:r>
              <w:rPr>
                <w:spacing w:val="-37"/>
                <w:sz w:val="16"/>
              </w:rPr>
              <w:t xml:space="preserve"> </w:t>
            </w:r>
            <w:r>
              <w:rPr>
                <w:sz w:val="16"/>
              </w:rPr>
              <w:t>on Scientific Activity</w:t>
            </w:r>
            <w:r>
              <w:rPr>
                <w:spacing w:val="1"/>
                <w:sz w:val="16"/>
              </w:rPr>
              <w:t xml:space="preserve"> </w:t>
            </w:r>
            <w:r>
              <w:rPr>
                <w:sz w:val="16"/>
              </w:rPr>
              <w:t>and</w:t>
            </w:r>
            <w:r>
              <w:rPr>
                <w:spacing w:val="-1"/>
                <w:sz w:val="16"/>
              </w:rPr>
              <w:t xml:space="preserve"> </w:t>
            </w:r>
            <w:r>
              <w:rPr>
                <w:sz w:val="16"/>
              </w:rPr>
              <w:t>Higher</w:t>
            </w:r>
            <w:r>
              <w:rPr>
                <w:spacing w:val="-2"/>
                <w:sz w:val="16"/>
              </w:rPr>
              <w:t xml:space="preserve"> </w:t>
            </w:r>
            <w:r>
              <w:rPr>
                <w:sz w:val="16"/>
              </w:rPr>
              <w:t>Education</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91"/>
              <w:rPr>
                <w:sz w:val="16"/>
              </w:rPr>
            </w:pPr>
            <w:r>
              <w:rPr>
                <w:sz w:val="16"/>
              </w:rPr>
              <w:t>Entry into</w:t>
            </w:r>
            <w:r>
              <w:rPr>
                <w:spacing w:val="1"/>
                <w:sz w:val="16"/>
              </w:rPr>
              <w:t xml:space="preserve"> </w:t>
            </w:r>
            <w:r>
              <w:rPr>
                <w:sz w:val="16"/>
              </w:rPr>
              <w:t>force of the</w:t>
            </w:r>
            <w:r>
              <w:rPr>
                <w:spacing w:val="1"/>
                <w:sz w:val="16"/>
              </w:rPr>
              <w:t xml:space="preserve"> </w:t>
            </w:r>
            <w:r>
              <w:rPr>
                <w:sz w:val="16"/>
              </w:rPr>
              <w:t>New Science</w:t>
            </w:r>
            <w:r>
              <w:rPr>
                <w:spacing w:val="1"/>
                <w:sz w:val="16"/>
              </w:rPr>
              <w:t xml:space="preserve"> </w:t>
            </w:r>
            <w:r>
              <w:rPr>
                <w:sz w:val="16"/>
              </w:rPr>
              <w:t>and Higher</w:t>
            </w:r>
            <w:r>
              <w:rPr>
                <w:spacing w:val="1"/>
                <w:sz w:val="16"/>
              </w:rPr>
              <w:t xml:space="preserve"> </w:t>
            </w:r>
            <w:r>
              <w:rPr>
                <w:spacing w:val="-1"/>
                <w:sz w:val="16"/>
              </w:rPr>
              <w:t>Education</w:t>
            </w:r>
            <w:r>
              <w:rPr>
                <w:spacing w:val="-5"/>
                <w:sz w:val="16"/>
              </w:rPr>
              <w:t xml:space="preserve"> </w:t>
            </w:r>
            <w:r>
              <w:rPr>
                <w:sz w:val="16"/>
              </w:rPr>
              <w:t>Act</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MSE</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46"/>
              <w:rPr>
                <w:sz w:val="16"/>
              </w:rPr>
            </w:pPr>
            <w:r>
              <w:rPr>
                <w:sz w:val="16"/>
              </w:rPr>
              <w:t>The new framework shall enable</w:t>
            </w:r>
            <w:r>
              <w:rPr>
                <w:spacing w:val="1"/>
                <w:sz w:val="16"/>
              </w:rPr>
              <w:t xml:space="preserve"> </w:t>
            </w:r>
            <w:r>
              <w:rPr>
                <w:sz w:val="16"/>
              </w:rPr>
              <w:t>organisational reform of public universities</w:t>
            </w:r>
            <w:r>
              <w:rPr>
                <w:spacing w:val="-38"/>
                <w:sz w:val="16"/>
              </w:rPr>
              <w:t xml:space="preserve"> </w:t>
            </w:r>
            <w:r>
              <w:rPr>
                <w:sz w:val="16"/>
              </w:rPr>
              <w:t>and scientific institutes and introduce a</w:t>
            </w:r>
            <w:r>
              <w:rPr>
                <w:spacing w:val="1"/>
                <w:sz w:val="16"/>
              </w:rPr>
              <w:t xml:space="preserve"> </w:t>
            </w:r>
            <w:r>
              <w:rPr>
                <w:sz w:val="16"/>
              </w:rPr>
              <w:t>performance</w:t>
            </w:r>
            <w:r>
              <w:rPr>
                <w:spacing w:val="-3"/>
                <w:sz w:val="16"/>
              </w:rPr>
              <w:t xml:space="preserve"> </w:t>
            </w:r>
            <w:r>
              <w:rPr>
                <w:sz w:val="16"/>
              </w:rPr>
              <w:t>based funding</w:t>
            </w:r>
            <w:r>
              <w:rPr>
                <w:spacing w:val="-2"/>
                <w:sz w:val="16"/>
              </w:rPr>
              <w:t xml:space="preserve"> </w:t>
            </w:r>
            <w:r>
              <w:rPr>
                <w:sz w:val="16"/>
              </w:rPr>
              <w:t>model.</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22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60</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275</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2019.CSR3</w:t>
            </w:r>
          </w:p>
          <w:p w:rsidR="00A56FE9" w:rsidRDefault="00000000">
            <w:pPr>
              <w:pStyle w:val="TableParagraph"/>
              <w:spacing w:line="183" w:lineRule="exact"/>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8,</w:t>
            </w:r>
          </w:p>
          <w:p w:rsidR="00A56FE9" w:rsidRDefault="00000000">
            <w:pPr>
              <w:pStyle w:val="TableParagraph"/>
              <w:spacing w:before="1"/>
              <w:ind w:left="48"/>
              <w:rPr>
                <w:sz w:val="16"/>
              </w:rPr>
            </w:pPr>
            <w:r>
              <w:rPr>
                <w:sz w:val="16"/>
              </w:rPr>
              <w:t>9</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221"/>
              <w:rPr>
                <w:sz w:val="16"/>
              </w:rPr>
            </w:pPr>
            <w:r>
              <w:rPr>
                <w:sz w:val="16"/>
              </w:rPr>
              <w:t>3</w:t>
            </w:r>
            <w:r>
              <w:rPr>
                <w:spacing w:val="1"/>
                <w:sz w:val="16"/>
              </w:rPr>
              <w:t xml:space="preserve"> </w:t>
            </w:r>
            <w:r>
              <w:rPr>
                <w:sz w:val="16"/>
              </w:rPr>
              <w:t>-</w:t>
            </w:r>
            <w:r>
              <w:rPr>
                <w:spacing w:val="-1"/>
                <w:sz w:val="16"/>
              </w:rPr>
              <w:t xml:space="preserve"> </w:t>
            </w:r>
            <w:r>
              <w:rPr>
                <w:sz w:val="16"/>
              </w:rPr>
              <w:t>EDUCATION,</w:t>
            </w:r>
            <w:r>
              <w:rPr>
                <w:spacing w:val="1"/>
                <w:sz w:val="16"/>
              </w:rPr>
              <w:t xml:space="preserve"> </w:t>
            </w:r>
            <w:r>
              <w:rPr>
                <w:sz w:val="16"/>
              </w:rPr>
              <w:t>SCIENCE AND</w:t>
            </w:r>
            <w:r>
              <w:rPr>
                <w:spacing w:val="1"/>
                <w:sz w:val="16"/>
              </w:rPr>
              <w:t xml:space="preserve"> </w:t>
            </w:r>
            <w:r>
              <w:rPr>
                <w:sz w:val="16"/>
              </w:rPr>
              <w:t>RESEARCH</w:t>
            </w:r>
            <w:r>
              <w:rPr>
                <w:spacing w:val="-1"/>
                <w:sz w:val="16"/>
              </w:rPr>
              <w:t xml:space="preserve"> </w:t>
            </w:r>
            <w:r>
              <w:rPr>
                <w:sz w:val="16"/>
              </w:rPr>
              <w:t>-</w:t>
            </w:r>
            <w:r>
              <w:rPr>
                <w:spacing w:val="-3"/>
                <w:sz w:val="16"/>
              </w:rPr>
              <w:t xml:space="preserve"> </w:t>
            </w:r>
            <w:r>
              <w:rPr>
                <w:sz w:val="16"/>
              </w:rPr>
              <w:t>C3.2.</w:t>
            </w:r>
            <w:r>
              <w:rPr>
                <w:spacing w:val="-2"/>
                <w:sz w:val="16"/>
              </w:rPr>
              <w:t xml:space="preserve"> </w:t>
            </w:r>
            <w:r>
              <w:rPr>
                <w:sz w:val="16"/>
              </w:rPr>
              <w:t>R1</w:t>
            </w:r>
          </w:p>
          <w:p w:rsidR="00A56FE9" w:rsidRDefault="00000000">
            <w:pPr>
              <w:pStyle w:val="TableParagraph"/>
              <w:ind w:left="50" w:right="87"/>
              <w:rPr>
                <w:sz w:val="16"/>
              </w:rPr>
            </w:pPr>
            <w:r>
              <w:rPr>
                <w:sz w:val="16"/>
              </w:rPr>
              <w:t>Reform and strengthening</w:t>
            </w:r>
            <w:r>
              <w:rPr>
                <w:spacing w:val="-37"/>
                <w:sz w:val="16"/>
              </w:rPr>
              <w:t xml:space="preserve"> </w:t>
            </w:r>
            <w:r>
              <w:rPr>
                <w:sz w:val="16"/>
              </w:rPr>
              <w:t>of</w:t>
            </w:r>
            <w:r>
              <w:rPr>
                <w:spacing w:val="-2"/>
                <w:sz w:val="16"/>
              </w:rPr>
              <w:t xml:space="preserve"> </w:t>
            </w:r>
            <w:r>
              <w:rPr>
                <w:sz w:val="16"/>
              </w:rPr>
              <w:t>the</w:t>
            </w:r>
            <w:r>
              <w:rPr>
                <w:spacing w:val="-2"/>
                <w:sz w:val="16"/>
              </w:rPr>
              <w:t xml:space="preserve"> </w:t>
            </w:r>
            <w:r>
              <w:rPr>
                <w:sz w:val="16"/>
              </w:rPr>
              <w:t>research and</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87"/>
              <w:rPr>
                <w:sz w:val="16"/>
              </w:rPr>
            </w:pPr>
            <w:r>
              <w:rPr>
                <w:sz w:val="16"/>
              </w:rPr>
              <w:t>New</w:t>
            </w:r>
            <w:r>
              <w:rPr>
                <w:spacing w:val="4"/>
                <w:sz w:val="16"/>
              </w:rPr>
              <w:t xml:space="preserve"> </w:t>
            </w:r>
            <w:r>
              <w:rPr>
                <w:sz w:val="16"/>
              </w:rPr>
              <w:t>Science</w:t>
            </w:r>
            <w:r>
              <w:rPr>
                <w:spacing w:val="6"/>
                <w:sz w:val="16"/>
              </w:rPr>
              <w:t xml:space="preserve"> </w:t>
            </w:r>
            <w:r>
              <w:rPr>
                <w:sz w:val="16"/>
              </w:rPr>
              <w:t>and</w:t>
            </w:r>
            <w:r>
              <w:rPr>
                <w:spacing w:val="9"/>
                <w:sz w:val="16"/>
              </w:rPr>
              <w:t xml:space="preserve"> </w:t>
            </w:r>
            <w:r>
              <w:rPr>
                <w:sz w:val="16"/>
              </w:rPr>
              <w:t>Higher</w:t>
            </w:r>
            <w:r>
              <w:rPr>
                <w:spacing w:val="-37"/>
                <w:sz w:val="16"/>
              </w:rPr>
              <w:t xml:space="preserve"> </w:t>
            </w:r>
            <w:r>
              <w:rPr>
                <w:sz w:val="16"/>
              </w:rPr>
              <w:t>Education Act</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92"/>
              <w:rPr>
                <w:sz w:val="16"/>
              </w:rPr>
            </w:pPr>
            <w:r>
              <w:rPr>
                <w:sz w:val="16"/>
              </w:rPr>
              <w:t>Entry into</w:t>
            </w:r>
            <w:r>
              <w:rPr>
                <w:spacing w:val="1"/>
                <w:sz w:val="16"/>
              </w:rPr>
              <w:t xml:space="preserve"> </w:t>
            </w:r>
            <w:r>
              <w:rPr>
                <w:sz w:val="16"/>
              </w:rPr>
              <w:t>force of the</w:t>
            </w:r>
            <w:r>
              <w:rPr>
                <w:spacing w:val="1"/>
                <w:sz w:val="16"/>
              </w:rPr>
              <w:t xml:space="preserve"> </w:t>
            </w:r>
            <w:r>
              <w:rPr>
                <w:sz w:val="16"/>
              </w:rPr>
              <w:t>New Science</w:t>
            </w:r>
            <w:r>
              <w:rPr>
                <w:spacing w:val="1"/>
                <w:sz w:val="16"/>
              </w:rPr>
              <w:t xml:space="preserve"> </w:t>
            </w:r>
            <w:r>
              <w:rPr>
                <w:sz w:val="16"/>
              </w:rPr>
              <w:t>and Higher</w:t>
            </w:r>
            <w:r>
              <w:rPr>
                <w:spacing w:val="1"/>
                <w:sz w:val="16"/>
              </w:rPr>
              <w:t xml:space="preserve"> </w:t>
            </w:r>
            <w:r>
              <w:rPr>
                <w:spacing w:val="-1"/>
                <w:sz w:val="16"/>
              </w:rPr>
              <w:t>Education</w:t>
            </w:r>
            <w:r>
              <w:rPr>
                <w:spacing w:val="-6"/>
                <w:sz w:val="16"/>
              </w:rPr>
              <w:t xml:space="preserve"> </w:t>
            </w:r>
            <w:r>
              <w:rPr>
                <w:sz w:val="16"/>
              </w:rPr>
              <w:t>Act</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MSE</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95"/>
              <w:rPr>
                <w:sz w:val="16"/>
              </w:rPr>
            </w:pPr>
            <w:r>
              <w:rPr>
                <w:sz w:val="16"/>
              </w:rPr>
              <w:t>The</w:t>
            </w:r>
            <w:r>
              <w:rPr>
                <w:spacing w:val="-5"/>
                <w:sz w:val="16"/>
              </w:rPr>
              <w:t xml:space="preserve"> </w:t>
            </w:r>
            <w:r>
              <w:rPr>
                <w:sz w:val="16"/>
              </w:rPr>
              <w:t>new</w:t>
            </w:r>
            <w:r>
              <w:rPr>
                <w:spacing w:val="-3"/>
                <w:sz w:val="16"/>
              </w:rPr>
              <w:t xml:space="preserve"> </w:t>
            </w:r>
            <w:r>
              <w:rPr>
                <w:sz w:val="16"/>
              </w:rPr>
              <w:t>legislative</w:t>
            </w:r>
            <w:r>
              <w:rPr>
                <w:spacing w:val="-4"/>
                <w:sz w:val="16"/>
              </w:rPr>
              <w:t xml:space="preserve"> </w:t>
            </w:r>
            <w:r>
              <w:rPr>
                <w:sz w:val="16"/>
              </w:rPr>
              <w:t>act</w:t>
            </w:r>
            <w:r>
              <w:rPr>
                <w:spacing w:val="-1"/>
                <w:sz w:val="16"/>
              </w:rPr>
              <w:t xml:space="preserve"> </w:t>
            </w:r>
            <w:r>
              <w:rPr>
                <w:sz w:val="16"/>
              </w:rPr>
              <w:t>shall</w:t>
            </w:r>
            <w:r>
              <w:rPr>
                <w:spacing w:val="-3"/>
                <w:sz w:val="16"/>
              </w:rPr>
              <w:t xml:space="preserve"> </w:t>
            </w:r>
            <w:r>
              <w:rPr>
                <w:sz w:val="16"/>
              </w:rPr>
              <w:t>create</w:t>
            </w:r>
            <w:r>
              <w:rPr>
                <w:spacing w:val="-4"/>
                <w:sz w:val="16"/>
              </w:rPr>
              <w:t xml:space="preserve"> </w:t>
            </w:r>
            <w:r>
              <w:rPr>
                <w:sz w:val="16"/>
              </w:rPr>
              <w:t>legal</w:t>
            </w:r>
            <w:r>
              <w:rPr>
                <w:spacing w:val="-3"/>
                <w:sz w:val="16"/>
              </w:rPr>
              <w:t xml:space="preserve"> </w:t>
            </w:r>
            <w:r>
              <w:rPr>
                <w:sz w:val="16"/>
              </w:rPr>
              <w:t>and</w:t>
            </w:r>
            <w:r>
              <w:rPr>
                <w:spacing w:val="-37"/>
                <w:sz w:val="16"/>
              </w:rPr>
              <w:t xml:space="preserve"> </w:t>
            </w:r>
            <w:r>
              <w:rPr>
                <w:sz w:val="16"/>
              </w:rPr>
              <w:t>financial conditions for organisational and</w:t>
            </w:r>
            <w:r>
              <w:rPr>
                <w:spacing w:val="1"/>
                <w:sz w:val="16"/>
              </w:rPr>
              <w:t xml:space="preserve"> </w:t>
            </w:r>
            <w:r>
              <w:rPr>
                <w:sz w:val="16"/>
              </w:rPr>
              <w:t>functional reform of public universities and</w:t>
            </w:r>
            <w:r>
              <w:rPr>
                <w:spacing w:val="1"/>
                <w:sz w:val="16"/>
              </w:rPr>
              <w:t xml:space="preserve"> </w:t>
            </w:r>
            <w:r>
              <w:rPr>
                <w:sz w:val="16"/>
              </w:rPr>
              <w:t>scientific institutes and funding aimed at</w:t>
            </w:r>
            <w:r>
              <w:rPr>
                <w:spacing w:val="1"/>
                <w:sz w:val="16"/>
              </w:rPr>
              <w:t xml:space="preserve"> </w:t>
            </w:r>
            <w:r>
              <w:rPr>
                <w:sz w:val="16"/>
              </w:rPr>
              <w:t>achieving institutional development</w:t>
            </w:r>
            <w:r>
              <w:rPr>
                <w:spacing w:val="1"/>
                <w:sz w:val="16"/>
              </w:rPr>
              <w:t xml:space="preserve"> </w:t>
            </w:r>
            <w:r>
              <w:rPr>
                <w:sz w:val="16"/>
              </w:rPr>
              <w:t>objectives.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362"/>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0"/>
              <w:rPr>
                <w:sz w:val="16"/>
              </w:rPr>
            </w:pPr>
            <w:r>
              <w:rPr>
                <w:sz w:val="16"/>
              </w:rPr>
              <w:t>development</w:t>
            </w:r>
            <w:r>
              <w:rPr>
                <w:spacing w:val="-7"/>
                <w:sz w:val="16"/>
              </w:rPr>
              <w:t xml:space="preserve"> </w:t>
            </w:r>
            <w:r>
              <w:rPr>
                <w:sz w:val="16"/>
              </w:rPr>
              <w:t>capacities</w:t>
            </w:r>
            <w:r>
              <w:rPr>
                <w:spacing w:val="-7"/>
                <w:sz w:val="16"/>
              </w:rPr>
              <w:t xml:space="preserve"> </w:t>
            </w:r>
            <w:r>
              <w:rPr>
                <w:sz w:val="16"/>
              </w:rPr>
              <w:t>of</w:t>
            </w:r>
          </w:p>
          <w:p w:rsidR="00A56FE9" w:rsidRDefault="00000000">
            <w:pPr>
              <w:pStyle w:val="TableParagraph"/>
              <w:spacing w:before="1" w:line="168" w:lineRule="exact"/>
              <w:ind w:left="50"/>
              <w:rPr>
                <w:sz w:val="16"/>
              </w:rPr>
            </w:pPr>
            <w:r>
              <w:rPr>
                <w:sz w:val="16"/>
              </w:rPr>
              <w:t>the</w:t>
            </w:r>
            <w:r>
              <w:rPr>
                <w:spacing w:val="-7"/>
                <w:sz w:val="16"/>
              </w:rPr>
              <w:t xml:space="preserve"> </w:t>
            </w:r>
            <w:r>
              <w:rPr>
                <w:sz w:val="16"/>
              </w:rPr>
              <w:t>public</w:t>
            </w:r>
            <w:r>
              <w:rPr>
                <w:spacing w:val="-4"/>
                <w:sz w:val="16"/>
              </w:rPr>
              <w:t xml:space="preserve"> </w:t>
            </w:r>
            <w:r>
              <w:rPr>
                <w:sz w:val="16"/>
              </w:rPr>
              <w:t>research</w:t>
            </w:r>
            <w:r>
              <w:rPr>
                <w:spacing w:val="-1"/>
                <w:sz w:val="16"/>
              </w:rPr>
              <w:t xml:space="preserve"> </w:t>
            </w:r>
            <w:r>
              <w:rPr>
                <w:sz w:val="16"/>
              </w:rPr>
              <w:t>sector</w:t>
            </w: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257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61</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276</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2019.CSR2</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2019.CSR3</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8,</w:t>
            </w:r>
          </w:p>
          <w:p w:rsidR="00A56FE9" w:rsidRDefault="00000000">
            <w:pPr>
              <w:pStyle w:val="TableParagraph"/>
              <w:spacing w:before="1"/>
              <w:ind w:left="48"/>
              <w:rPr>
                <w:sz w:val="16"/>
              </w:rPr>
            </w:pPr>
            <w:r>
              <w:rPr>
                <w:sz w:val="16"/>
              </w:rPr>
              <w:t>9</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40"/>
              <w:rPr>
                <w:sz w:val="16"/>
              </w:rPr>
            </w:pPr>
            <w:r>
              <w:rPr>
                <w:sz w:val="16"/>
              </w:rPr>
              <w:t>3</w:t>
            </w:r>
            <w:r>
              <w:rPr>
                <w:spacing w:val="1"/>
                <w:sz w:val="16"/>
              </w:rPr>
              <w:t xml:space="preserve"> </w:t>
            </w:r>
            <w:r>
              <w:rPr>
                <w:sz w:val="16"/>
              </w:rPr>
              <w:t>- EDUCATION,</w:t>
            </w:r>
            <w:r>
              <w:rPr>
                <w:spacing w:val="1"/>
                <w:sz w:val="16"/>
              </w:rPr>
              <w:t xml:space="preserve"> </w:t>
            </w:r>
            <w:r>
              <w:rPr>
                <w:sz w:val="16"/>
              </w:rPr>
              <w:t>SCIENCE AND</w:t>
            </w:r>
            <w:r>
              <w:rPr>
                <w:spacing w:val="1"/>
                <w:sz w:val="16"/>
              </w:rPr>
              <w:t xml:space="preserve"> </w:t>
            </w:r>
            <w:r>
              <w:rPr>
                <w:sz w:val="16"/>
              </w:rPr>
              <w:t>RESEARCH</w:t>
            </w:r>
            <w:r>
              <w:rPr>
                <w:spacing w:val="-2"/>
                <w:sz w:val="16"/>
              </w:rPr>
              <w:t xml:space="preserve"> </w:t>
            </w:r>
            <w:r>
              <w:rPr>
                <w:sz w:val="16"/>
              </w:rPr>
              <w:t>-</w:t>
            </w:r>
            <w:r>
              <w:rPr>
                <w:spacing w:val="-5"/>
                <w:sz w:val="16"/>
              </w:rPr>
              <w:t xml:space="preserve"> </w:t>
            </w:r>
            <w:r>
              <w:rPr>
                <w:sz w:val="16"/>
              </w:rPr>
              <w:t>C3.2.</w:t>
            </w:r>
            <w:r>
              <w:rPr>
                <w:spacing w:val="-4"/>
                <w:sz w:val="16"/>
              </w:rPr>
              <w:t xml:space="preserve"> </w:t>
            </w:r>
            <w:r>
              <w:rPr>
                <w:sz w:val="16"/>
              </w:rPr>
              <w:t>R1-I1</w:t>
            </w:r>
          </w:p>
          <w:p w:rsidR="00A56FE9" w:rsidRDefault="00000000">
            <w:pPr>
              <w:pStyle w:val="TableParagraph"/>
              <w:ind w:left="50" w:right="78"/>
              <w:rPr>
                <w:sz w:val="16"/>
              </w:rPr>
            </w:pPr>
            <w:r>
              <w:rPr>
                <w:sz w:val="16"/>
              </w:rPr>
              <w:t>Development of a system</w:t>
            </w:r>
            <w:r>
              <w:rPr>
                <w:spacing w:val="1"/>
                <w:sz w:val="16"/>
              </w:rPr>
              <w:t xml:space="preserve"> </w:t>
            </w:r>
            <w:r>
              <w:rPr>
                <w:sz w:val="16"/>
              </w:rPr>
              <w:t>of programme agreements</w:t>
            </w:r>
            <w:r>
              <w:rPr>
                <w:spacing w:val="-38"/>
                <w:sz w:val="16"/>
              </w:rPr>
              <w:t xml:space="preserve"> </w:t>
            </w:r>
            <w:r>
              <w:rPr>
                <w:sz w:val="16"/>
              </w:rPr>
              <w:t>for funding universities</w:t>
            </w:r>
            <w:r>
              <w:rPr>
                <w:spacing w:val="1"/>
                <w:sz w:val="16"/>
              </w:rPr>
              <w:t xml:space="preserve"> </w:t>
            </w:r>
            <w:r>
              <w:rPr>
                <w:sz w:val="16"/>
              </w:rPr>
              <w:t>and research institutes</w:t>
            </w:r>
            <w:r>
              <w:rPr>
                <w:spacing w:val="1"/>
                <w:sz w:val="16"/>
              </w:rPr>
              <w:t xml:space="preserve"> </w:t>
            </w:r>
            <w:r>
              <w:rPr>
                <w:sz w:val="16"/>
              </w:rPr>
              <w:t>focused on innovation,</w:t>
            </w:r>
            <w:r>
              <w:rPr>
                <w:spacing w:val="1"/>
                <w:sz w:val="16"/>
              </w:rPr>
              <w:t xml:space="preserve"> </w:t>
            </w:r>
            <w:r>
              <w:rPr>
                <w:sz w:val="16"/>
              </w:rPr>
              <w:t>research</w:t>
            </w:r>
            <w:r>
              <w:rPr>
                <w:spacing w:val="-5"/>
                <w:sz w:val="16"/>
              </w:rPr>
              <w:t xml:space="preserve"> </w:t>
            </w:r>
            <w:r>
              <w:rPr>
                <w:sz w:val="16"/>
              </w:rPr>
              <w:t>and</w:t>
            </w:r>
            <w:r>
              <w:rPr>
                <w:spacing w:val="-5"/>
                <w:sz w:val="16"/>
              </w:rPr>
              <w:t xml:space="preserve"> </w:t>
            </w:r>
            <w:r>
              <w:rPr>
                <w:sz w:val="16"/>
              </w:rPr>
              <w:t>development</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55"/>
              <w:rPr>
                <w:sz w:val="16"/>
              </w:rPr>
            </w:pPr>
            <w:r>
              <w:rPr>
                <w:sz w:val="16"/>
              </w:rPr>
              <w:t>Funding allocated to</w:t>
            </w:r>
            <w:r>
              <w:rPr>
                <w:spacing w:val="1"/>
                <w:sz w:val="16"/>
              </w:rPr>
              <w:t xml:space="preserve"> </w:t>
            </w:r>
            <w:r>
              <w:rPr>
                <w:sz w:val="16"/>
              </w:rPr>
              <w:t>research projects based</w:t>
            </w:r>
            <w:r>
              <w:rPr>
                <w:spacing w:val="1"/>
                <w:sz w:val="16"/>
              </w:rPr>
              <w:t xml:space="preserve"> </w:t>
            </w:r>
            <w:r>
              <w:rPr>
                <w:sz w:val="16"/>
              </w:rPr>
              <w:t>on internal calls by</w:t>
            </w:r>
            <w:r>
              <w:rPr>
                <w:spacing w:val="1"/>
                <w:sz w:val="16"/>
              </w:rPr>
              <w:t xml:space="preserve"> </w:t>
            </w:r>
            <w:r>
              <w:rPr>
                <w:sz w:val="16"/>
              </w:rPr>
              <w:t>research organisations</w:t>
            </w:r>
            <w:r>
              <w:rPr>
                <w:spacing w:val="1"/>
                <w:sz w:val="16"/>
              </w:rPr>
              <w:t xml:space="preserve"> </w:t>
            </w:r>
            <w:r>
              <w:rPr>
                <w:sz w:val="16"/>
              </w:rPr>
              <w:t>during</w:t>
            </w:r>
            <w:r>
              <w:rPr>
                <w:spacing w:val="-6"/>
                <w:sz w:val="16"/>
              </w:rPr>
              <w:t xml:space="preserve"> </w:t>
            </w:r>
            <w:r>
              <w:rPr>
                <w:sz w:val="16"/>
              </w:rPr>
              <w:t>the</w:t>
            </w:r>
            <w:r>
              <w:rPr>
                <w:spacing w:val="-5"/>
                <w:sz w:val="16"/>
              </w:rPr>
              <w:t xml:space="preserve"> </w:t>
            </w:r>
            <w:r>
              <w:rPr>
                <w:sz w:val="16"/>
              </w:rPr>
              <w:t>first</w:t>
            </w:r>
            <w:r>
              <w:rPr>
                <w:spacing w:val="-3"/>
                <w:sz w:val="16"/>
              </w:rPr>
              <w:t xml:space="preserve"> </w:t>
            </w:r>
            <w:r>
              <w:rPr>
                <w:sz w:val="16"/>
              </w:rPr>
              <w:t>two-year</w:t>
            </w:r>
            <w:r>
              <w:rPr>
                <w:spacing w:val="-37"/>
                <w:sz w:val="16"/>
              </w:rPr>
              <w:t xml:space="preserve"> </w:t>
            </w:r>
            <w:r>
              <w:rPr>
                <w:sz w:val="16"/>
              </w:rPr>
              <w:t>cycle of program</w:t>
            </w:r>
            <w:r>
              <w:rPr>
                <w:spacing w:val="1"/>
                <w:sz w:val="16"/>
              </w:rPr>
              <w:t xml:space="preserve"> </w:t>
            </w:r>
            <w:r>
              <w:rPr>
                <w:sz w:val="16"/>
              </w:rPr>
              <w:t>agreements</w:t>
            </w:r>
            <w:r>
              <w:rPr>
                <w:spacing w:val="1"/>
                <w:sz w:val="16"/>
              </w:rPr>
              <w:t xml:space="preserve"> </w:t>
            </w:r>
            <w:r>
              <w:rPr>
                <w:sz w:val="16"/>
              </w:rPr>
              <w:t>implementation</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1" w:right="40"/>
              <w:jc w:val="center"/>
              <w:rPr>
                <w:sz w:val="16"/>
              </w:rPr>
            </w:pPr>
            <w:r>
              <w:rPr>
                <w:sz w:val="16"/>
              </w:rPr>
              <w:t>17,619,</w:t>
            </w:r>
          </w:p>
          <w:p w:rsidR="00A56FE9" w:rsidRDefault="00000000">
            <w:pPr>
              <w:pStyle w:val="TableParagraph"/>
              <w:spacing w:before="1"/>
              <w:ind w:left="61" w:right="41"/>
              <w:jc w:val="center"/>
              <w:rPr>
                <w:sz w:val="16"/>
              </w:rPr>
            </w:pPr>
            <w:r>
              <w:rPr>
                <w:sz w:val="16"/>
              </w:rPr>
              <w:t>079</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46"/>
              <w:rPr>
                <w:sz w:val="16"/>
              </w:rPr>
            </w:pPr>
            <w:r>
              <w:rPr>
                <w:sz w:val="16"/>
              </w:rPr>
              <w:t>MSE and</w:t>
            </w:r>
            <w:r>
              <w:rPr>
                <w:spacing w:val="1"/>
                <w:sz w:val="16"/>
              </w:rPr>
              <w:t xml:space="preserve"> </w:t>
            </w:r>
            <w:r>
              <w:rPr>
                <w:sz w:val="16"/>
              </w:rPr>
              <w:t>scientific</w:t>
            </w:r>
            <w:r>
              <w:rPr>
                <w:spacing w:val="1"/>
                <w:sz w:val="16"/>
              </w:rPr>
              <w:t xml:space="preserve"> </w:t>
            </w:r>
            <w:r>
              <w:rPr>
                <w:sz w:val="16"/>
              </w:rPr>
              <w:t>institutions</w:t>
            </w:r>
            <w:r>
              <w:rPr>
                <w:spacing w:val="-37"/>
                <w:sz w:val="16"/>
              </w:rPr>
              <w:t xml:space="preserve"> </w:t>
            </w:r>
            <w:r>
              <w:rPr>
                <w:sz w:val="16"/>
              </w:rPr>
              <w:t>awarding</w:t>
            </w:r>
            <w:r>
              <w:rPr>
                <w:spacing w:val="1"/>
                <w:sz w:val="16"/>
              </w:rPr>
              <w:t xml:space="preserve"> </w:t>
            </w:r>
            <w:r>
              <w:rPr>
                <w:sz w:val="16"/>
              </w:rPr>
              <w:t>grants</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52"/>
              <w:rPr>
                <w:sz w:val="16"/>
              </w:rPr>
            </w:pPr>
            <w:r>
              <w:rPr>
                <w:sz w:val="16"/>
              </w:rPr>
              <w:t>EUR 17 619 079 shall have been awarded to</w:t>
            </w:r>
            <w:r>
              <w:rPr>
                <w:spacing w:val="1"/>
                <w:sz w:val="16"/>
              </w:rPr>
              <w:t xml:space="preserve"> </w:t>
            </w:r>
            <w:r>
              <w:rPr>
                <w:sz w:val="16"/>
              </w:rPr>
              <w:t>research projects carried out by universities</w:t>
            </w:r>
            <w:r>
              <w:rPr>
                <w:spacing w:val="1"/>
                <w:sz w:val="16"/>
              </w:rPr>
              <w:t xml:space="preserve"> </w:t>
            </w:r>
            <w:r>
              <w:rPr>
                <w:sz w:val="16"/>
              </w:rPr>
              <w:t>and research institutes which have signed the</w:t>
            </w:r>
            <w:r>
              <w:rPr>
                <w:spacing w:val="1"/>
                <w:sz w:val="16"/>
              </w:rPr>
              <w:t xml:space="preserve"> </w:t>
            </w:r>
            <w:r>
              <w:rPr>
                <w:sz w:val="16"/>
              </w:rPr>
              <w:t>programme agreements. The projects shall</w:t>
            </w:r>
            <w:r>
              <w:rPr>
                <w:spacing w:val="1"/>
                <w:sz w:val="16"/>
              </w:rPr>
              <w:t xml:space="preserve"> </w:t>
            </w:r>
            <w:r>
              <w:rPr>
                <w:sz w:val="16"/>
              </w:rPr>
              <w:t>support direct scientific and research activities</w:t>
            </w:r>
            <w:r>
              <w:rPr>
                <w:spacing w:val="-37"/>
                <w:sz w:val="16"/>
              </w:rPr>
              <w:t xml:space="preserve"> </w:t>
            </w:r>
            <w:r>
              <w:rPr>
                <w:sz w:val="16"/>
              </w:rPr>
              <w:t>(research projects) and be based on published</w:t>
            </w:r>
            <w:r>
              <w:rPr>
                <w:spacing w:val="1"/>
                <w:sz w:val="16"/>
              </w:rPr>
              <w:t xml:space="preserve"> </w:t>
            </w:r>
            <w:r>
              <w:rPr>
                <w:sz w:val="16"/>
              </w:rPr>
              <w:t>tender specifications, with terms of reference</w:t>
            </w:r>
            <w:r>
              <w:rPr>
                <w:spacing w:val="1"/>
                <w:sz w:val="16"/>
              </w:rPr>
              <w:t xml:space="preserve"> </w:t>
            </w:r>
            <w:r>
              <w:rPr>
                <w:sz w:val="16"/>
              </w:rPr>
              <w:t>including</w:t>
            </w:r>
            <w:r>
              <w:rPr>
                <w:spacing w:val="3"/>
                <w:sz w:val="16"/>
              </w:rPr>
              <w:t xml:space="preserve"> </w:t>
            </w:r>
            <w:r>
              <w:rPr>
                <w:sz w:val="16"/>
              </w:rPr>
              <w:t>eligibility</w:t>
            </w:r>
            <w:r>
              <w:rPr>
                <w:spacing w:val="1"/>
                <w:sz w:val="16"/>
              </w:rPr>
              <w:t xml:space="preserve"> </w:t>
            </w:r>
            <w:r>
              <w:rPr>
                <w:sz w:val="16"/>
              </w:rPr>
              <w:t>criteria</w:t>
            </w:r>
            <w:r>
              <w:rPr>
                <w:spacing w:val="3"/>
                <w:sz w:val="16"/>
              </w:rPr>
              <w:t xml:space="preserve"> </w:t>
            </w:r>
            <w:r>
              <w:rPr>
                <w:sz w:val="16"/>
              </w:rPr>
              <w:t>that</w:t>
            </w:r>
            <w:r>
              <w:rPr>
                <w:spacing w:val="5"/>
                <w:sz w:val="16"/>
              </w:rPr>
              <w:t xml:space="preserve"> </w:t>
            </w:r>
            <w:r>
              <w:rPr>
                <w:sz w:val="16"/>
              </w:rPr>
              <w:t>ensure</w:t>
            </w:r>
            <w:r>
              <w:rPr>
                <w:spacing w:val="2"/>
                <w:sz w:val="16"/>
              </w:rPr>
              <w:t xml:space="preserve"> </w:t>
            </w:r>
            <w:r>
              <w:rPr>
                <w:sz w:val="16"/>
              </w:rPr>
              <w:t>that</w:t>
            </w:r>
            <w:r>
              <w:rPr>
                <w:spacing w:val="1"/>
                <w:sz w:val="16"/>
              </w:rPr>
              <w:t xml:space="preserve"> </w:t>
            </w:r>
            <w:r>
              <w:rPr>
                <w:sz w:val="16"/>
              </w:rPr>
              <w:t>the selected projects comply with the ‘Do no</w:t>
            </w:r>
            <w:r>
              <w:rPr>
                <w:spacing w:val="1"/>
                <w:sz w:val="16"/>
              </w:rPr>
              <w:t xml:space="preserve"> </w:t>
            </w:r>
            <w:r>
              <w:rPr>
                <w:sz w:val="16"/>
              </w:rPr>
              <w:t>significant harm’ Technical Guidance</w:t>
            </w:r>
            <w:r>
              <w:rPr>
                <w:spacing w:val="1"/>
                <w:sz w:val="16"/>
              </w:rPr>
              <w:t xml:space="preserve"> </w:t>
            </w:r>
            <w:r>
              <w:rPr>
                <w:sz w:val="16"/>
              </w:rPr>
              <w:t>(2021/C58/01)</w:t>
            </w:r>
            <w:r>
              <w:rPr>
                <w:spacing w:val="-5"/>
                <w:sz w:val="16"/>
              </w:rPr>
              <w:t xml:space="preserve"> </w:t>
            </w:r>
            <w:r>
              <w:rPr>
                <w:sz w:val="16"/>
              </w:rPr>
              <w:t>through</w:t>
            </w:r>
            <w:r>
              <w:rPr>
                <w:spacing w:val="-4"/>
                <w:sz w:val="16"/>
              </w:rPr>
              <w:t xml:space="preserve"> </w:t>
            </w:r>
            <w:r>
              <w:rPr>
                <w:sz w:val="16"/>
              </w:rPr>
              <w:t>the</w:t>
            </w:r>
            <w:r>
              <w:rPr>
                <w:spacing w:val="-6"/>
                <w:sz w:val="16"/>
              </w:rPr>
              <w:t xml:space="preserve"> </w:t>
            </w:r>
            <w:r>
              <w:rPr>
                <w:sz w:val="16"/>
              </w:rPr>
              <w:t>use</w:t>
            </w:r>
            <w:r>
              <w:rPr>
                <w:spacing w:val="-5"/>
                <w:sz w:val="16"/>
              </w:rPr>
              <w:t xml:space="preserve"> </w:t>
            </w:r>
            <w:r>
              <w:rPr>
                <w:sz w:val="16"/>
              </w:rPr>
              <w:t>of</w:t>
            </w:r>
            <w:r>
              <w:rPr>
                <w:spacing w:val="-5"/>
                <w:sz w:val="16"/>
              </w:rPr>
              <w:t xml:space="preserve"> </w:t>
            </w:r>
            <w:r>
              <w:rPr>
                <w:sz w:val="16"/>
              </w:rPr>
              <w:t>an</w:t>
            </w:r>
            <w:r>
              <w:rPr>
                <w:spacing w:val="-2"/>
                <w:sz w:val="16"/>
              </w:rPr>
              <w:t xml:space="preserve"> </w:t>
            </w:r>
            <w:r>
              <w:rPr>
                <w:sz w:val="16"/>
              </w:rPr>
              <w:t>exclusion</w:t>
            </w:r>
            <w:r>
              <w:rPr>
                <w:spacing w:val="-37"/>
                <w:sz w:val="16"/>
              </w:rPr>
              <w:t xml:space="preserve"> </w:t>
            </w:r>
            <w:r>
              <w:rPr>
                <w:sz w:val="16"/>
              </w:rPr>
              <w:t>list</w:t>
            </w:r>
            <w:r>
              <w:rPr>
                <w:spacing w:val="-2"/>
                <w:sz w:val="16"/>
              </w:rPr>
              <w:t xml:space="preserve"> </w:t>
            </w:r>
            <w:r>
              <w:rPr>
                <w:sz w:val="16"/>
              </w:rPr>
              <w:t>and</w:t>
            </w:r>
            <w:r>
              <w:rPr>
                <w:spacing w:val="-1"/>
                <w:sz w:val="16"/>
              </w:rPr>
              <w:t xml:space="preserve"> </w:t>
            </w:r>
            <w:r>
              <w:rPr>
                <w:sz w:val="16"/>
              </w:rPr>
              <w:t>the</w:t>
            </w:r>
            <w:r>
              <w:rPr>
                <w:spacing w:val="-4"/>
                <w:sz w:val="16"/>
              </w:rPr>
              <w:t xml:space="preserve"> </w:t>
            </w:r>
            <w:r>
              <w:rPr>
                <w:sz w:val="16"/>
              </w:rPr>
              <w:t>requirement</w:t>
            </w:r>
            <w:r>
              <w:rPr>
                <w:spacing w:val="-1"/>
                <w:sz w:val="16"/>
              </w:rPr>
              <w:t xml:space="preserve"> </w:t>
            </w:r>
            <w:r>
              <w:rPr>
                <w:sz w:val="16"/>
              </w:rPr>
              <w:t>of</w:t>
            </w:r>
            <w:r>
              <w:rPr>
                <w:spacing w:val="-3"/>
                <w:sz w:val="16"/>
              </w:rPr>
              <w:t xml:space="preserve"> </w:t>
            </w:r>
            <w:r>
              <w:rPr>
                <w:sz w:val="16"/>
              </w:rPr>
              <w:t>compliance</w:t>
            </w:r>
            <w:r>
              <w:rPr>
                <w:spacing w:val="-4"/>
                <w:sz w:val="16"/>
              </w:rPr>
              <w:t xml:space="preserve"> </w:t>
            </w:r>
            <w:r>
              <w:rPr>
                <w:sz w:val="16"/>
              </w:rPr>
              <w:t>with</w:t>
            </w:r>
          </w:p>
          <w:p w:rsidR="00A56FE9" w:rsidRDefault="00000000">
            <w:pPr>
              <w:pStyle w:val="TableParagraph"/>
              <w:spacing w:line="182" w:lineRule="exact"/>
              <w:ind w:left="57" w:right="224"/>
              <w:rPr>
                <w:sz w:val="16"/>
              </w:rPr>
            </w:pPr>
            <w:r>
              <w:rPr>
                <w:sz w:val="16"/>
              </w:rPr>
              <w:t>the relevant EU and national environmental</w:t>
            </w:r>
            <w:r>
              <w:rPr>
                <w:spacing w:val="-37"/>
                <w:sz w:val="16"/>
              </w:rPr>
              <w:t xml:space="preserve"> </w:t>
            </w:r>
            <w:r>
              <w:rPr>
                <w:sz w:val="16"/>
              </w:rPr>
              <w:t>legislation.</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225"/>
              <w:rPr>
                <w:sz w:val="16"/>
              </w:rPr>
            </w:pPr>
            <w:r>
              <w:rPr>
                <w:sz w:val="16"/>
              </w:rPr>
              <w:t>119,461,059</w:t>
            </w:r>
          </w:p>
        </w:tc>
      </w:tr>
      <w:tr w:rsidR="00A56FE9">
        <w:trPr>
          <w:trHeight w:val="3129"/>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62</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281</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2019.CSR2</w:t>
            </w:r>
          </w:p>
          <w:p w:rsidR="00A56FE9" w:rsidRDefault="00000000">
            <w:pPr>
              <w:pStyle w:val="TableParagraph"/>
              <w:spacing w:before="1"/>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8,</w:t>
            </w:r>
          </w:p>
          <w:p w:rsidR="00A56FE9" w:rsidRDefault="00000000">
            <w:pPr>
              <w:pStyle w:val="TableParagraph"/>
              <w:spacing w:before="1"/>
              <w:ind w:left="48"/>
              <w:rPr>
                <w:sz w:val="16"/>
              </w:rPr>
            </w:pPr>
            <w:r>
              <w:rPr>
                <w:sz w:val="16"/>
              </w:rPr>
              <w:t>9</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221"/>
              <w:rPr>
                <w:sz w:val="16"/>
              </w:rPr>
            </w:pPr>
            <w:r>
              <w:rPr>
                <w:sz w:val="16"/>
              </w:rPr>
              <w:t>3</w:t>
            </w:r>
            <w:r>
              <w:rPr>
                <w:spacing w:val="1"/>
                <w:sz w:val="16"/>
              </w:rPr>
              <w:t xml:space="preserve"> </w:t>
            </w:r>
            <w:r>
              <w:rPr>
                <w:sz w:val="16"/>
              </w:rPr>
              <w:t>-</w:t>
            </w:r>
            <w:r>
              <w:rPr>
                <w:spacing w:val="-1"/>
                <w:sz w:val="16"/>
              </w:rPr>
              <w:t xml:space="preserve"> </w:t>
            </w:r>
            <w:r>
              <w:rPr>
                <w:sz w:val="16"/>
              </w:rPr>
              <w:t>EDUCATION,</w:t>
            </w:r>
            <w:r>
              <w:rPr>
                <w:spacing w:val="1"/>
                <w:sz w:val="16"/>
              </w:rPr>
              <w:t xml:space="preserve"> </w:t>
            </w:r>
            <w:r>
              <w:rPr>
                <w:sz w:val="16"/>
              </w:rPr>
              <w:t>SCIENCE AND</w:t>
            </w:r>
            <w:r>
              <w:rPr>
                <w:spacing w:val="1"/>
                <w:sz w:val="16"/>
              </w:rPr>
              <w:t xml:space="preserve"> </w:t>
            </w:r>
            <w:r>
              <w:rPr>
                <w:sz w:val="16"/>
              </w:rPr>
              <w:t>RESEARCH</w:t>
            </w:r>
            <w:r>
              <w:rPr>
                <w:spacing w:val="-1"/>
                <w:sz w:val="16"/>
              </w:rPr>
              <w:t xml:space="preserve"> </w:t>
            </w:r>
            <w:r>
              <w:rPr>
                <w:sz w:val="16"/>
              </w:rPr>
              <w:t>-</w:t>
            </w:r>
            <w:r>
              <w:rPr>
                <w:spacing w:val="-3"/>
                <w:sz w:val="16"/>
              </w:rPr>
              <w:t xml:space="preserve"> </w:t>
            </w:r>
            <w:r>
              <w:rPr>
                <w:sz w:val="16"/>
              </w:rPr>
              <w:t>C3.2.</w:t>
            </w:r>
            <w:r>
              <w:rPr>
                <w:spacing w:val="-2"/>
                <w:sz w:val="16"/>
              </w:rPr>
              <w:t xml:space="preserve"> </w:t>
            </w:r>
            <w:r>
              <w:rPr>
                <w:sz w:val="16"/>
              </w:rPr>
              <w:t>R2</w:t>
            </w:r>
          </w:p>
          <w:p w:rsidR="00A56FE9" w:rsidRDefault="00000000">
            <w:pPr>
              <w:pStyle w:val="TableParagraph"/>
              <w:ind w:left="50" w:right="136"/>
              <w:rPr>
                <w:sz w:val="16"/>
              </w:rPr>
            </w:pPr>
            <w:r>
              <w:rPr>
                <w:sz w:val="16"/>
              </w:rPr>
              <w:t>Creating</w:t>
            </w:r>
            <w:r>
              <w:rPr>
                <w:spacing w:val="-5"/>
                <w:sz w:val="16"/>
              </w:rPr>
              <w:t xml:space="preserve"> </w:t>
            </w:r>
            <w:r>
              <w:rPr>
                <w:sz w:val="16"/>
              </w:rPr>
              <w:t>a</w:t>
            </w:r>
            <w:r>
              <w:rPr>
                <w:spacing w:val="-3"/>
                <w:sz w:val="16"/>
              </w:rPr>
              <w:t xml:space="preserve"> </w:t>
            </w:r>
            <w:r>
              <w:rPr>
                <w:sz w:val="16"/>
              </w:rPr>
              <w:t>framework</w:t>
            </w:r>
            <w:r>
              <w:rPr>
                <w:spacing w:val="-4"/>
                <w:sz w:val="16"/>
              </w:rPr>
              <w:t xml:space="preserve"> </w:t>
            </w:r>
            <w:r>
              <w:rPr>
                <w:sz w:val="16"/>
              </w:rPr>
              <w:t>for</w:t>
            </w:r>
            <w:r>
              <w:rPr>
                <w:spacing w:val="-37"/>
                <w:sz w:val="16"/>
              </w:rPr>
              <w:t xml:space="preserve"> </w:t>
            </w:r>
            <w:r>
              <w:rPr>
                <w:sz w:val="16"/>
              </w:rPr>
              <w:t>attracting students and</w:t>
            </w:r>
            <w:r>
              <w:rPr>
                <w:spacing w:val="1"/>
                <w:sz w:val="16"/>
              </w:rPr>
              <w:t xml:space="preserve"> </w:t>
            </w:r>
            <w:r>
              <w:rPr>
                <w:sz w:val="16"/>
              </w:rPr>
              <w:t>researchers to STEM and</w:t>
            </w:r>
            <w:r>
              <w:rPr>
                <w:spacing w:val="-37"/>
                <w:sz w:val="16"/>
              </w:rPr>
              <w:t xml:space="preserve"> </w:t>
            </w:r>
            <w:r>
              <w:rPr>
                <w:sz w:val="16"/>
              </w:rPr>
              <w:t>ICT</w:t>
            </w:r>
            <w:r>
              <w:rPr>
                <w:spacing w:val="-3"/>
                <w:sz w:val="16"/>
              </w:rPr>
              <w:t xml:space="preserve"> </w:t>
            </w:r>
            <w:r>
              <w:rPr>
                <w:sz w:val="16"/>
              </w:rPr>
              <w:t>fields</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81"/>
              <w:rPr>
                <w:sz w:val="16"/>
              </w:rPr>
            </w:pPr>
            <w:r>
              <w:rPr>
                <w:sz w:val="16"/>
              </w:rPr>
              <w:t>New legal framework</w:t>
            </w:r>
            <w:r>
              <w:rPr>
                <w:spacing w:val="1"/>
                <w:sz w:val="16"/>
              </w:rPr>
              <w:t xml:space="preserve"> </w:t>
            </w:r>
            <w:r>
              <w:rPr>
                <w:sz w:val="16"/>
              </w:rPr>
              <w:t>regulating quality</w:t>
            </w:r>
            <w:r>
              <w:rPr>
                <w:spacing w:val="1"/>
                <w:sz w:val="16"/>
              </w:rPr>
              <w:t xml:space="preserve"> </w:t>
            </w:r>
            <w:r>
              <w:rPr>
                <w:sz w:val="16"/>
              </w:rPr>
              <w:t>requirements for study</w:t>
            </w:r>
            <w:r>
              <w:rPr>
                <w:spacing w:val="1"/>
                <w:sz w:val="16"/>
              </w:rPr>
              <w:t xml:space="preserve"> </w:t>
            </w:r>
            <w:r>
              <w:rPr>
                <w:sz w:val="16"/>
              </w:rPr>
              <w:t>programmes, doctoral</w:t>
            </w:r>
            <w:r>
              <w:rPr>
                <w:spacing w:val="1"/>
                <w:sz w:val="16"/>
              </w:rPr>
              <w:t xml:space="preserve"> </w:t>
            </w:r>
            <w:r>
              <w:rPr>
                <w:sz w:val="16"/>
              </w:rPr>
              <w:t>studies and working</w:t>
            </w:r>
            <w:r>
              <w:rPr>
                <w:spacing w:val="1"/>
                <w:sz w:val="16"/>
              </w:rPr>
              <w:t xml:space="preserve"> </w:t>
            </w:r>
            <w:r>
              <w:rPr>
                <w:sz w:val="16"/>
              </w:rPr>
              <w:t>conditions for scientific</w:t>
            </w:r>
            <w:r>
              <w:rPr>
                <w:spacing w:val="-37"/>
                <w:sz w:val="16"/>
              </w:rPr>
              <w:t xml:space="preserve"> </w:t>
            </w:r>
            <w:r>
              <w:rPr>
                <w:sz w:val="16"/>
              </w:rPr>
              <w:t>institutions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tabs>
                <w:tab w:val="left" w:pos="784"/>
              </w:tabs>
              <w:ind w:left="110" w:right="90"/>
              <w:rPr>
                <w:sz w:val="16"/>
              </w:rPr>
            </w:pPr>
            <w:r>
              <w:rPr>
                <w:sz w:val="16"/>
              </w:rPr>
              <w:t>Entry</w:t>
            </w:r>
            <w:r>
              <w:rPr>
                <w:sz w:val="16"/>
              </w:rPr>
              <w:tab/>
            </w:r>
            <w:r>
              <w:rPr>
                <w:spacing w:val="-1"/>
                <w:sz w:val="16"/>
              </w:rPr>
              <w:t>into</w:t>
            </w:r>
            <w:r>
              <w:rPr>
                <w:spacing w:val="-37"/>
                <w:sz w:val="16"/>
              </w:rPr>
              <w:t xml:space="preserve"> </w:t>
            </w:r>
            <w:r>
              <w:rPr>
                <w:sz w:val="16"/>
              </w:rPr>
              <w:t>force of a new</w:t>
            </w:r>
            <w:r>
              <w:rPr>
                <w:spacing w:val="-37"/>
                <w:sz w:val="16"/>
              </w:rPr>
              <w:t xml:space="preserve"> </w:t>
            </w:r>
            <w:r>
              <w:rPr>
                <w:sz w:val="16"/>
              </w:rPr>
              <w:t>legal</w:t>
            </w:r>
            <w:r>
              <w:rPr>
                <w:spacing w:val="1"/>
                <w:sz w:val="16"/>
              </w:rPr>
              <w:t xml:space="preserve"> </w:t>
            </w:r>
            <w:r>
              <w:rPr>
                <w:sz w:val="16"/>
              </w:rPr>
              <w:t>framework</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MSE</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8"/>
              <w:rPr>
                <w:sz w:val="16"/>
              </w:rPr>
            </w:pPr>
            <w:r>
              <w:rPr>
                <w:sz w:val="16"/>
              </w:rPr>
              <w:t>The new legal framework shall provide a basis</w:t>
            </w:r>
            <w:r>
              <w:rPr>
                <w:spacing w:val="-38"/>
                <w:sz w:val="16"/>
              </w:rPr>
              <w:t xml:space="preserve"> </w:t>
            </w:r>
            <w:r>
              <w:rPr>
                <w:sz w:val="16"/>
              </w:rPr>
              <w:t>for a new promotion system based on</w:t>
            </w:r>
            <w:r>
              <w:rPr>
                <w:spacing w:val="1"/>
                <w:sz w:val="16"/>
              </w:rPr>
              <w:t xml:space="preserve"> </w:t>
            </w:r>
            <w:r>
              <w:rPr>
                <w:sz w:val="16"/>
              </w:rPr>
              <w:t>excellence and better regulation of career</w:t>
            </w:r>
            <w:r>
              <w:rPr>
                <w:spacing w:val="1"/>
                <w:sz w:val="16"/>
              </w:rPr>
              <w:t xml:space="preserve"> </w:t>
            </w:r>
            <w:r>
              <w:rPr>
                <w:sz w:val="16"/>
              </w:rPr>
              <w:t>development, thus enabling conditions for</w:t>
            </w:r>
            <w:r>
              <w:rPr>
                <w:spacing w:val="1"/>
                <w:sz w:val="16"/>
              </w:rPr>
              <w:t xml:space="preserve"> </w:t>
            </w:r>
            <w:r>
              <w:rPr>
                <w:sz w:val="16"/>
              </w:rPr>
              <w:t>attracting</w:t>
            </w:r>
            <w:r>
              <w:rPr>
                <w:spacing w:val="-3"/>
                <w:sz w:val="16"/>
              </w:rPr>
              <w:t xml:space="preserve"> </w:t>
            </w:r>
            <w:r>
              <w:rPr>
                <w:sz w:val="16"/>
              </w:rPr>
              <w:t>and</w:t>
            </w:r>
            <w:r>
              <w:rPr>
                <w:spacing w:val="-2"/>
                <w:sz w:val="16"/>
              </w:rPr>
              <w:t xml:space="preserve"> </w:t>
            </w:r>
            <w:r>
              <w:rPr>
                <w:sz w:val="16"/>
              </w:rPr>
              <w:t>retaining</w:t>
            </w:r>
            <w:r>
              <w:rPr>
                <w:spacing w:val="-5"/>
                <w:sz w:val="16"/>
              </w:rPr>
              <w:t xml:space="preserve"> </w:t>
            </w:r>
            <w:r>
              <w:rPr>
                <w:sz w:val="16"/>
              </w:rPr>
              <w:t>quality</w:t>
            </w:r>
            <w:r>
              <w:rPr>
                <w:spacing w:val="-4"/>
                <w:sz w:val="16"/>
              </w:rPr>
              <w:t xml:space="preserve"> </w:t>
            </w:r>
            <w:r>
              <w:rPr>
                <w:sz w:val="16"/>
              </w:rPr>
              <w:t>researchers.</w:t>
            </w:r>
          </w:p>
          <w:p w:rsidR="00A56FE9" w:rsidRDefault="00000000">
            <w:pPr>
              <w:pStyle w:val="TableParagraph"/>
              <w:ind w:left="57" w:right="37"/>
              <w:rPr>
                <w:sz w:val="16"/>
              </w:rPr>
            </w:pPr>
            <w:r>
              <w:rPr>
                <w:sz w:val="16"/>
              </w:rPr>
              <w:t>The new legal framework shall allow young</w:t>
            </w:r>
            <w:r>
              <w:rPr>
                <w:spacing w:val="1"/>
                <w:sz w:val="16"/>
              </w:rPr>
              <w:t xml:space="preserve"> </w:t>
            </w:r>
            <w:r>
              <w:rPr>
                <w:sz w:val="16"/>
              </w:rPr>
              <w:t>scientists to thrive on the basis of</w:t>
            </w:r>
            <w:r>
              <w:rPr>
                <w:spacing w:val="1"/>
                <w:sz w:val="16"/>
              </w:rPr>
              <w:t xml:space="preserve"> </w:t>
            </w:r>
            <w:r>
              <w:rPr>
                <w:sz w:val="16"/>
              </w:rPr>
              <w:t>internationally recognised scientific quality</w:t>
            </w:r>
            <w:r>
              <w:rPr>
                <w:spacing w:val="1"/>
                <w:sz w:val="16"/>
              </w:rPr>
              <w:t xml:space="preserve"> </w:t>
            </w:r>
            <w:r>
              <w:rPr>
                <w:sz w:val="16"/>
              </w:rPr>
              <w:t>criteria</w:t>
            </w:r>
            <w:r>
              <w:rPr>
                <w:spacing w:val="-6"/>
                <w:sz w:val="16"/>
              </w:rPr>
              <w:t xml:space="preserve"> </w:t>
            </w:r>
            <w:r>
              <w:rPr>
                <w:sz w:val="16"/>
              </w:rPr>
              <w:t>and</w:t>
            </w:r>
            <w:r>
              <w:rPr>
                <w:spacing w:val="-5"/>
                <w:sz w:val="16"/>
              </w:rPr>
              <w:t xml:space="preserve"> </w:t>
            </w:r>
            <w:r>
              <w:rPr>
                <w:sz w:val="16"/>
              </w:rPr>
              <w:t>with</w:t>
            </w:r>
            <w:r>
              <w:rPr>
                <w:spacing w:val="-2"/>
                <w:sz w:val="16"/>
              </w:rPr>
              <w:t xml:space="preserve"> </w:t>
            </w:r>
            <w:r>
              <w:rPr>
                <w:sz w:val="16"/>
              </w:rPr>
              <w:t>less</w:t>
            </w:r>
            <w:r>
              <w:rPr>
                <w:spacing w:val="-4"/>
                <w:sz w:val="16"/>
              </w:rPr>
              <w:t xml:space="preserve"> </w:t>
            </w:r>
            <w:r>
              <w:rPr>
                <w:sz w:val="16"/>
              </w:rPr>
              <w:t>administrative</w:t>
            </w:r>
            <w:r>
              <w:rPr>
                <w:spacing w:val="-6"/>
                <w:sz w:val="16"/>
              </w:rPr>
              <w:t xml:space="preserve"> </w:t>
            </w:r>
            <w:r>
              <w:rPr>
                <w:sz w:val="16"/>
              </w:rPr>
              <w:t>barriers.</w:t>
            </w:r>
            <w:r>
              <w:rPr>
                <w:spacing w:val="-1"/>
                <w:sz w:val="16"/>
              </w:rPr>
              <w:t xml:space="preserve"> </w:t>
            </w:r>
            <w:r>
              <w:rPr>
                <w:sz w:val="16"/>
              </w:rPr>
              <w:t>It</w:t>
            </w:r>
            <w:r>
              <w:rPr>
                <w:spacing w:val="-37"/>
                <w:sz w:val="16"/>
              </w:rPr>
              <w:t xml:space="preserve"> </w:t>
            </w:r>
            <w:r>
              <w:rPr>
                <w:sz w:val="16"/>
              </w:rPr>
              <w:t>shall include flexible working arrangements to</w:t>
            </w:r>
            <w:r>
              <w:rPr>
                <w:spacing w:val="-37"/>
                <w:sz w:val="16"/>
              </w:rPr>
              <w:t xml:space="preserve"> </w:t>
            </w:r>
            <w:r>
              <w:rPr>
                <w:sz w:val="16"/>
              </w:rPr>
              <w:t>promote the recruitment of researchers with</w:t>
            </w:r>
            <w:r>
              <w:rPr>
                <w:spacing w:val="1"/>
                <w:sz w:val="16"/>
              </w:rPr>
              <w:t xml:space="preserve"> </w:t>
            </w:r>
            <w:r>
              <w:rPr>
                <w:sz w:val="16"/>
              </w:rPr>
              <w:t>care</w:t>
            </w:r>
            <w:r>
              <w:rPr>
                <w:spacing w:val="-3"/>
                <w:sz w:val="16"/>
              </w:rPr>
              <w:t xml:space="preserve"> </w:t>
            </w:r>
            <w:r>
              <w:rPr>
                <w:sz w:val="16"/>
              </w:rPr>
              <w:t>responsibilities.</w:t>
            </w:r>
          </w:p>
          <w:p w:rsidR="00A56FE9" w:rsidRDefault="00000000">
            <w:pPr>
              <w:pStyle w:val="TableParagraph"/>
              <w:spacing w:line="182" w:lineRule="exact"/>
              <w:ind w:left="57"/>
              <w:rPr>
                <w:sz w:val="16"/>
              </w:rPr>
            </w:pPr>
            <w:r>
              <w:rPr>
                <w:sz w:val="16"/>
              </w:rPr>
              <w:t>The</w:t>
            </w:r>
            <w:r>
              <w:rPr>
                <w:spacing w:val="-4"/>
                <w:sz w:val="16"/>
              </w:rPr>
              <w:t xml:space="preserve"> </w:t>
            </w:r>
            <w:r>
              <w:rPr>
                <w:sz w:val="16"/>
              </w:rPr>
              <w:t>new</w:t>
            </w:r>
            <w:r>
              <w:rPr>
                <w:spacing w:val="-3"/>
                <w:sz w:val="16"/>
              </w:rPr>
              <w:t xml:space="preserve"> </w:t>
            </w:r>
            <w:r>
              <w:rPr>
                <w:sz w:val="16"/>
              </w:rPr>
              <w:t>legal</w:t>
            </w:r>
            <w:r>
              <w:rPr>
                <w:spacing w:val="-3"/>
                <w:sz w:val="16"/>
              </w:rPr>
              <w:t xml:space="preserve"> </w:t>
            </w:r>
            <w:r>
              <w:rPr>
                <w:sz w:val="16"/>
              </w:rPr>
              <w:t>framework</w:t>
            </w:r>
            <w:r>
              <w:rPr>
                <w:spacing w:val="-1"/>
                <w:sz w:val="16"/>
              </w:rPr>
              <w:t xml:space="preserve"> </w:t>
            </w:r>
            <w:r>
              <w:rPr>
                <w:sz w:val="16"/>
              </w:rPr>
              <w:t>consists</w:t>
            </w:r>
            <w:r>
              <w:rPr>
                <w:spacing w:val="-4"/>
                <w:sz w:val="16"/>
              </w:rPr>
              <w:t xml:space="preserve"> </w:t>
            </w:r>
            <w:r>
              <w:rPr>
                <w:sz w:val="16"/>
              </w:rPr>
              <w:t>of:</w:t>
            </w:r>
          </w:p>
          <w:p w:rsidR="00A56FE9" w:rsidRDefault="00000000">
            <w:pPr>
              <w:pStyle w:val="TableParagraph"/>
              <w:numPr>
                <w:ilvl w:val="0"/>
                <w:numId w:val="2"/>
              </w:numPr>
              <w:tabs>
                <w:tab w:val="left" w:pos="233"/>
              </w:tabs>
              <w:ind w:right="362" w:firstLine="0"/>
              <w:rPr>
                <w:sz w:val="16"/>
              </w:rPr>
            </w:pPr>
            <w:r>
              <w:rPr>
                <w:sz w:val="16"/>
              </w:rPr>
              <w:t>New</w:t>
            </w:r>
            <w:r>
              <w:rPr>
                <w:spacing w:val="-5"/>
                <w:sz w:val="16"/>
              </w:rPr>
              <w:t xml:space="preserve"> </w:t>
            </w:r>
            <w:r>
              <w:rPr>
                <w:sz w:val="16"/>
              </w:rPr>
              <w:t>Quality</w:t>
            </w:r>
            <w:r>
              <w:rPr>
                <w:spacing w:val="-2"/>
                <w:sz w:val="16"/>
              </w:rPr>
              <w:t xml:space="preserve"> </w:t>
            </w:r>
            <w:r>
              <w:rPr>
                <w:sz w:val="16"/>
              </w:rPr>
              <w:t>Assurance</w:t>
            </w:r>
            <w:r>
              <w:rPr>
                <w:spacing w:val="-5"/>
                <w:sz w:val="16"/>
              </w:rPr>
              <w:t xml:space="preserve"> </w:t>
            </w:r>
            <w:r>
              <w:rPr>
                <w:sz w:val="16"/>
              </w:rPr>
              <w:t>in Science</w:t>
            </w:r>
            <w:r>
              <w:rPr>
                <w:spacing w:val="-6"/>
                <w:sz w:val="16"/>
              </w:rPr>
              <w:t xml:space="preserve"> </w:t>
            </w:r>
            <w:r>
              <w:rPr>
                <w:sz w:val="16"/>
              </w:rPr>
              <w:t>and</w:t>
            </w:r>
            <w:r>
              <w:rPr>
                <w:spacing w:val="-37"/>
                <w:sz w:val="16"/>
              </w:rPr>
              <w:t xml:space="preserve"> </w:t>
            </w:r>
            <w:r>
              <w:rPr>
                <w:sz w:val="16"/>
              </w:rPr>
              <w:t>Higher</w:t>
            </w:r>
            <w:r>
              <w:rPr>
                <w:spacing w:val="-2"/>
                <w:sz w:val="16"/>
              </w:rPr>
              <w:t xml:space="preserve"> </w:t>
            </w:r>
            <w:r>
              <w:rPr>
                <w:sz w:val="16"/>
              </w:rPr>
              <w:t>Education</w:t>
            </w:r>
            <w:r>
              <w:rPr>
                <w:spacing w:val="1"/>
                <w:sz w:val="16"/>
              </w:rPr>
              <w:t xml:space="preserve"> </w:t>
            </w:r>
            <w:r>
              <w:rPr>
                <w:sz w:val="16"/>
              </w:rPr>
              <w:t>Act</w:t>
            </w:r>
          </w:p>
          <w:p w:rsidR="00A56FE9" w:rsidRDefault="00000000">
            <w:pPr>
              <w:pStyle w:val="TableParagraph"/>
              <w:numPr>
                <w:ilvl w:val="0"/>
                <w:numId w:val="2"/>
              </w:numPr>
              <w:tabs>
                <w:tab w:val="left" w:pos="233"/>
              </w:tabs>
              <w:spacing w:line="184" w:lineRule="exact"/>
              <w:ind w:right="57" w:firstLine="0"/>
              <w:rPr>
                <w:sz w:val="16"/>
              </w:rPr>
            </w:pPr>
            <w:r>
              <w:rPr>
                <w:sz w:val="16"/>
              </w:rPr>
              <w:t>Ordinance</w:t>
            </w:r>
            <w:r>
              <w:rPr>
                <w:spacing w:val="-5"/>
                <w:sz w:val="16"/>
              </w:rPr>
              <w:t xml:space="preserve"> </w:t>
            </w:r>
            <w:r>
              <w:rPr>
                <w:sz w:val="16"/>
              </w:rPr>
              <w:t>on</w:t>
            </w:r>
            <w:r>
              <w:rPr>
                <w:spacing w:val="-4"/>
                <w:sz w:val="16"/>
              </w:rPr>
              <w:t xml:space="preserve"> </w:t>
            </w:r>
            <w:r>
              <w:rPr>
                <w:sz w:val="16"/>
              </w:rPr>
              <w:t>the</w:t>
            </w:r>
            <w:r>
              <w:rPr>
                <w:spacing w:val="-5"/>
                <w:sz w:val="16"/>
              </w:rPr>
              <w:t xml:space="preserve"> </w:t>
            </w:r>
            <w:r>
              <w:rPr>
                <w:sz w:val="16"/>
              </w:rPr>
              <w:t>conditions</w:t>
            </w:r>
            <w:r>
              <w:rPr>
                <w:spacing w:val="-4"/>
                <w:sz w:val="16"/>
              </w:rPr>
              <w:t xml:space="preserve"> </w:t>
            </w:r>
            <w:r>
              <w:rPr>
                <w:sz w:val="16"/>
              </w:rPr>
              <w:t>for</w:t>
            </w:r>
            <w:r>
              <w:rPr>
                <w:spacing w:val="-4"/>
                <w:sz w:val="16"/>
              </w:rPr>
              <w:t xml:space="preserve"> </w:t>
            </w:r>
            <w:r>
              <w:rPr>
                <w:sz w:val="16"/>
              </w:rPr>
              <w:t>selection</w:t>
            </w:r>
            <w:r>
              <w:rPr>
                <w:spacing w:val="-4"/>
                <w:sz w:val="16"/>
              </w:rPr>
              <w:t xml:space="preserve"> </w:t>
            </w:r>
            <w:r>
              <w:rPr>
                <w:sz w:val="16"/>
              </w:rPr>
              <w:t>in</w:t>
            </w:r>
            <w:r>
              <w:rPr>
                <w:spacing w:val="-37"/>
                <w:sz w:val="16"/>
              </w:rPr>
              <w:t xml:space="preserve"> </w:t>
            </w:r>
            <w:r>
              <w:rPr>
                <w:sz w:val="16"/>
              </w:rPr>
              <w:t>scientific titles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656"/>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63</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284</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2019.CSR3</w:t>
            </w:r>
          </w:p>
          <w:p w:rsidR="00A56FE9" w:rsidRDefault="00000000">
            <w:pPr>
              <w:pStyle w:val="TableParagraph"/>
              <w:ind w:left="50" w:right="38"/>
              <w:rPr>
                <w:sz w:val="16"/>
              </w:rPr>
            </w:pPr>
            <w:r>
              <w:rPr>
                <w:sz w:val="16"/>
              </w:rPr>
              <w:t>.subpart1,</w:t>
            </w:r>
            <w:r>
              <w:rPr>
                <w:spacing w:val="1"/>
                <w:sz w:val="16"/>
              </w:rPr>
              <w:t xml:space="preserve"> </w:t>
            </w:r>
            <w:r>
              <w:rPr>
                <w:spacing w:val="-1"/>
                <w:sz w:val="16"/>
              </w:rPr>
              <w:t>2019.CSR3</w:t>
            </w:r>
          </w:p>
          <w:p w:rsidR="00A56FE9" w:rsidRDefault="00000000">
            <w:pPr>
              <w:pStyle w:val="TableParagraph"/>
              <w:spacing w:before="1"/>
              <w:ind w:left="50" w:right="38"/>
              <w:rPr>
                <w:sz w:val="16"/>
              </w:rPr>
            </w:pPr>
            <w:r>
              <w:rPr>
                <w:sz w:val="16"/>
              </w:rPr>
              <w:t>.subpart4,</w:t>
            </w:r>
            <w:r>
              <w:rPr>
                <w:spacing w:val="1"/>
                <w:sz w:val="16"/>
              </w:rPr>
              <w:t xml:space="preserve"> </w:t>
            </w:r>
            <w:r>
              <w:rPr>
                <w:spacing w:val="-1"/>
                <w:sz w:val="16"/>
              </w:rPr>
              <w:t>2020.CSR4</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48"/>
              <w:rPr>
                <w:sz w:val="16"/>
              </w:rPr>
            </w:pPr>
            <w:r>
              <w:rPr>
                <w:sz w:val="16"/>
              </w:rPr>
              <w:t>8,</w:t>
            </w:r>
          </w:p>
          <w:p w:rsidR="00A56FE9" w:rsidRDefault="00000000">
            <w:pPr>
              <w:pStyle w:val="TableParagraph"/>
              <w:spacing w:line="183" w:lineRule="exact"/>
              <w:ind w:left="48"/>
              <w:rPr>
                <w:sz w:val="16"/>
              </w:rPr>
            </w:pPr>
            <w:r>
              <w:rPr>
                <w:sz w:val="16"/>
              </w:rPr>
              <w:t>9</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221"/>
              <w:rPr>
                <w:sz w:val="16"/>
              </w:rPr>
            </w:pPr>
            <w:r>
              <w:rPr>
                <w:sz w:val="16"/>
              </w:rPr>
              <w:t>3</w:t>
            </w:r>
            <w:r>
              <w:rPr>
                <w:spacing w:val="1"/>
                <w:sz w:val="16"/>
              </w:rPr>
              <w:t xml:space="preserve"> </w:t>
            </w:r>
            <w:r>
              <w:rPr>
                <w:sz w:val="16"/>
              </w:rPr>
              <w:t>-</w:t>
            </w:r>
            <w:r>
              <w:rPr>
                <w:spacing w:val="-1"/>
                <w:sz w:val="16"/>
              </w:rPr>
              <w:t xml:space="preserve"> </w:t>
            </w:r>
            <w:r>
              <w:rPr>
                <w:sz w:val="16"/>
              </w:rPr>
              <w:t>EDUCATION,</w:t>
            </w:r>
            <w:r>
              <w:rPr>
                <w:spacing w:val="1"/>
                <w:sz w:val="16"/>
              </w:rPr>
              <w:t xml:space="preserve"> </w:t>
            </w:r>
            <w:r>
              <w:rPr>
                <w:sz w:val="16"/>
              </w:rPr>
              <w:t>SCIENCE AND</w:t>
            </w:r>
            <w:r>
              <w:rPr>
                <w:spacing w:val="1"/>
                <w:sz w:val="16"/>
              </w:rPr>
              <w:t xml:space="preserve"> </w:t>
            </w:r>
            <w:r>
              <w:rPr>
                <w:sz w:val="16"/>
              </w:rPr>
              <w:t>RESEARCH</w:t>
            </w:r>
            <w:r>
              <w:rPr>
                <w:spacing w:val="-1"/>
                <w:sz w:val="16"/>
              </w:rPr>
              <w:t xml:space="preserve"> </w:t>
            </w:r>
            <w:r>
              <w:rPr>
                <w:sz w:val="16"/>
              </w:rPr>
              <w:t>-</w:t>
            </w:r>
            <w:r>
              <w:rPr>
                <w:spacing w:val="-3"/>
                <w:sz w:val="16"/>
              </w:rPr>
              <w:t xml:space="preserve"> </w:t>
            </w:r>
            <w:r>
              <w:rPr>
                <w:sz w:val="16"/>
              </w:rPr>
              <w:t>C3.2.</w:t>
            </w:r>
            <w:r>
              <w:rPr>
                <w:spacing w:val="-2"/>
                <w:sz w:val="16"/>
              </w:rPr>
              <w:t xml:space="preserve"> </w:t>
            </w:r>
            <w:r>
              <w:rPr>
                <w:sz w:val="16"/>
              </w:rPr>
              <w:t>R3</w:t>
            </w:r>
          </w:p>
          <w:p w:rsidR="00A56FE9" w:rsidRDefault="00000000">
            <w:pPr>
              <w:pStyle w:val="TableParagraph"/>
              <w:ind w:left="50" w:right="54"/>
              <w:rPr>
                <w:sz w:val="16"/>
              </w:rPr>
            </w:pPr>
            <w:r>
              <w:rPr>
                <w:sz w:val="16"/>
              </w:rPr>
              <w:t>Improving the efficiency</w:t>
            </w:r>
            <w:r>
              <w:rPr>
                <w:spacing w:val="1"/>
                <w:sz w:val="16"/>
              </w:rPr>
              <w:t xml:space="preserve"> </w:t>
            </w:r>
            <w:r>
              <w:rPr>
                <w:sz w:val="16"/>
              </w:rPr>
              <w:t>of public investment in</w:t>
            </w:r>
            <w:r>
              <w:rPr>
                <w:spacing w:val="1"/>
                <w:sz w:val="16"/>
              </w:rPr>
              <w:t xml:space="preserve"> </w:t>
            </w:r>
            <w:r>
              <w:rPr>
                <w:sz w:val="16"/>
              </w:rPr>
              <w:t>research, development and</w:t>
            </w:r>
            <w:r>
              <w:rPr>
                <w:spacing w:val="-37"/>
                <w:sz w:val="16"/>
              </w:rPr>
              <w:t xml:space="preserve"> </w:t>
            </w:r>
            <w:r>
              <w:rPr>
                <w:sz w:val="16"/>
              </w:rPr>
              <w:t>innovation</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109" w:right="101"/>
              <w:rPr>
                <w:sz w:val="16"/>
              </w:rPr>
            </w:pPr>
            <w:r>
              <w:rPr>
                <w:sz w:val="16"/>
              </w:rPr>
              <w:t>New law on the Croatian</w:t>
            </w:r>
            <w:r>
              <w:rPr>
                <w:spacing w:val="-37"/>
                <w:sz w:val="16"/>
              </w:rPr>
              <w:t xml:space="preserve"> </w:t>
            </w:r>
            <w:r>
              <w:rPr>
                <w:sz w:val="16"/>
              </w:rPr>
              <w:t>Science</w:t>
            </w:r>
            <w:r>
              <w:rPr>
                <w:spacing w:val="-3"/>
                <w:sz w:val="16"/>
              </w:rPr>
              <w:t xml:space="preserve"> </w:t>
            </w:r>
            <w:r>
              <w:rPr>
                <w:sz w:val="16"/>
              </w:rPr>
              <w:t>Foundation</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222"/>
              <w:rPr>
                <w:sz w:val="16"/>
              </w:rPr>
            </w:pPr>
            <w:r>
              <w:rPr>
                <w:sz w:val="16"/>
              </w:rPr>
              <w:t>Entry into</w:t>
            </w:r>
            <w:r>
              <w:rPr>
                <w:spacing w:val="1"/>
                <w:sz w:val="16"/>
              </w:rPr>
              <w:t xml:space="preserve"> </w:t>
            </w:r>
            <w:r>
              <w:rPr>
                <w:sz w:val="16"/>
              </w:rPr>
              <w:t>force of the</w:t>
            </w:r>
            <w:r>
              <w:rPr>
                <w:spacing w:val="1"/>
                <w:sz w:val="16"/>
              </w:rPr>
              <w:t xml:space="preserve"> </w:t>
            </w:r>
            <w:r>
              <w:rPr>
                <w:sz w:val="16"/>
              </w:rPr>
              <w:t>new Act on</w:t>
            </w:r>
            <w:r>
              <w:rPr>
                <w:spacing w:val="1"/>
                <w:sz w:val="16"/>
              </w:rPr>
              <w:t xml:space="preserve"> </w:t>
            </w:r>
            <w:r>
              <w:rPr>
                <w:spacing w:val="-1"/>
                <w:sz w:val="16"/>
              </w:rPr>
              <w:t>the Croatian</w:t>
            </w:r>
            <w:r>
              <w:rPr>
                <w:spacing w:val="-37"/>
                <w:sz w:val="16"/>
              </w:rPr>
              <w:t xml:space="preserve"> </w:t>
            </w:r>
            <w:r>
              <w:rPr>
                <w:sz w:val="16"/>
              </w:rPr>
              <w:t>Science</w:t>
            </w:r>
            <w:r>
              <w:rPr>
                <w:spacing w:val="1"/>
                <w:sz w:val="16"/>
              </w:rPr>
              <w:t xml:space="preserve"> </w:t>
            </w:r>
            <w:r>
              <w:rPr>
                <w:sz w:val="16"/>
              </w:rPr>
              <w:t>Foundation.</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MSE</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99"/>
              <w:rPr>
                <w:sz w:val="16"/>
              </w:rPr>
            </w:pPr>
            <w:r>
              <w:rPr>
                <w:sz w:val="16"/>
              </w:rPr>
              <w:t>The new Act on the Croatian Science</w:t>
            </w:r>
            <w:r>
              <w:rPr>
                <w:spacing w:val="1"/>
                <w:sz w:val="16"/>
              </w:rPr>
              <w:t xml:space="preserve"> </w:t>
            </w:r>
            <w:r>
              <w:rPr>
                <w:sz w:val="16"/>
              </w:rPr>
              <w:t>Foundation shall define a clear mission of the</w:t>
            </w:r>
            <w:r>
              <w:rPr>
                <w:spacing w:val="-37"/>
                <w:sz w:val="16"/>
              </w:rPr>
              <w:t xml:space="preserve"> </w:t>
            </w:r>
            <w:r>
              <w:rPr>
                <w:sz w:val="16"/>
              </w:rPr>
              <w:t>Foundation for Conducting, Coordination,</w:t>
            </w:r>
            <w:r>
              <w:rPr>
                <w:spacing w:val="1"/>
                <w:sz w:val="16"/>
              </w:rPr>
              <w:t xml:space="preserve"> </w:t>
            </w:r>
            <w:r>
              <w:rPr>
                <w:sz w:val="16"/>
              </w:rPr>
              <w:t>Design, Monitoring and Evaluation of the</w:t>
            </w:r>
            <w:r>
              <w:rPr>
                <w:spacing w:val="1"/>
                <w:sz w:val="16"/>
              </w:rPr>
              <w:t xml:space="preserve"> </w:t>
            </w:r>
            <w:r>
              <w:rPr>
                <w:sz w:val="16"/>
              </w:rPr>
              <w:t>Programme and Evaluation of R &amp; D project</w:t>
            </w:r>
            <w:r>
              <w:rPr>
                <w:spacing w:val="1"/>
                <w:sz w:val="16"/>
              </w:rPr>
              <w:t xml:space="preserve"> </w:t>
            </w:r>
            <w:r>
              <w:rPr>
                <w:sz w:val="16"/>
              </w:rPr>
              <w:t>funding programmes and policies, creating a</w:t>
            </w:r>
            <w:r>
              <w:rPr>
                <w:spacing w:val="1"/>
                <w:sz w:val="16"/>
              </w:rPr>
              <w:t xml:space="preserve"> </w:t>
            </w:r>
            <w:r>
              <w:rPr>
                <w:sz w:val="16"/>
              </w:rPr>
              <w:t>strong and independent system for</w:t>
            </w:r>
            <w:r>
              <w:rPr>
                <w:spacing w:val="1"/>
                <w:sz w:val="16"/>
              </w:rPr>
              <w:t xml:space="preserve"> </w:t>
            </w:r>
            <w:r>
              <w:rPr>
                <w:sz w:val="16"/>
              </w:rPr>
              <w:t>implementing</w:t>
            </w:r>
            <w:r>
              <w:rPr>
                <w:spacing w:val="-3"/>
                <w:sz w:val="16"/>
              </w:rPr>
              <w:t xml:space="preserve"> </w:t>
            </w:r>
            <w:r>
              <w:rPr>
                <w:sz w:val="16"/>
              </w:rPr>
              <w:t>the</w:t>
            </w:r>
            <w:r>
              <w:rPr>
                <w:spacing w:val="-3"/>
                <w:sz w:val="16"/>
              </w:rPr>
              <w:t xml:space="preserve"> </w:t>
            </w:r>
            <w:r>
              <w:rPr>
                <w:sz w:val="16"/>
              </w:rPr>
              <w:t>selection,</w:t>
            </w:r>
            <w:r>
              <w:rPr>
                <w:spacing w:val="-3"/>
                <w:sz w:val="16"/>
              </w:rPr>
              <w:t xml:space="preserve"> </w:t>
            </w:r>
            <w:r>
              <w:rPr>
                <w:sz w:val="16"/>
              </w:rPr>
              <w:t>funding</w:t>
            </w:r>
            <w:r>
              <w:rPr>
                <w:spacing w:val="-2"/>
                <w:sz w:val="16"/>
              </w:rPr>
              <w:t xml:space="preserve"> </w:t>
            </w:r>
            <w:r>
              <w:rPr>
                <w:sz w:val="16"/>
              </w:rPr>
              <w:t>and</w:t>
            </w:r>
          </w:p>
          <w:p w:rsidR="00A56FE9" w:rsidRDefault="00000000">
            <w:pPr>
              <w:pStyle w:val="TableParagraph"/>
              <w:spacing w:line="167" w:lineRule="exact"/>
              <w:ind w:left="57"/>
              <w:rPr>
                <w:sz w:val="16"/>
              </w:rPr>
            </w:pPr>
            <w:r>
              <w:rPr>
                <w:sz w:val="16"/>
              </w:rPr>
              <w:t>monitoring</w:t>
            </w:r>
            <w:r>
              <w:rPr>
                <w:spacing w:val="-3"/>
                <w:sz w:val="16"/>
              </w:rPr>
              <w:t xml:space="preserve"> </w:t>
            </w:r>
            <w:r>
              <w:rPr>
                <w:sz w:val="16"/>
              </w:rPr>
              <w:t>of</w:t>
            </w:r>
            <w:r>
              <w:rPr>
                <w:spacing w:val="-2"/>
                <w:sz w:val="16"/>
              </w:rPr>
              <w:t xml:space="preserve"> </w:t>
            </w:r>
            <w:r>
              <w:rPr>
                <w:sz w:val="16"/>
              </w:rPr>
              <w:t>the</w:t>
            </w:r>
            <w:r>
              <w:rPr>
                <w:spacing w:val="-4"/>
                <w:sz w:val="16"/>
              </w:rPr>
              <w:t xml:space="preserve"> </w:t>
            </w:r>
            <w:r>
              <w:rPr>
                <w:sz w:val="16"/>
              </w:rPr>
              <w:t>effects</w:t>
            </w:r>
            <w:r>
              <w:rPr>
                <w:spacing w:val="-1"/>
                <w:sz w:val="16"/>
              </w:rPr>
              <w:t xml:space="preserve"> </w:t>
            </w:r>
            <w:r>
              <w:rPr>
                <w:sz w:val="16"/>
              </w:rPr>
              <w:t>of</w:t>
            </w:r>
            <w:r>
              <w:rPr>
                <w:spacing w:val="-3"/>
                <w:sz w:val="16"/>
              </w:rPr>
              <w:t xml:space="preserve"> </w:t>
            </w:r>
            <w:r>
              <w:rPr>
                <w:sz w:val="16"/>
              </w:rPr>
              <w:t>R &amp;</w:t>
            </w:r>
            <w:r>
              <w:rPr>
                <w:spacing w:val="-5"/>
                <w:sz w:val="16"/>
              </w:rPr>
              <w:t xml:space="preserve"> </w:t>
            </w:r>
            <w:r>
              <w:rPr>
                <w:sz w:val="16"/>
              </w:rPr>
              <w:t>D</w:t>
            </w:r>
            <w:r>
              <w:rPr>
                <w:spacing w:val="-2"/>
                <w:sz w:val="16"/>
              </w:rPr>
              <w:t xml:space="preserve"> </w:t>
            </w:r>
            <w:r>
              <w:rPr>
                <w:sz w:val="16"/>
              </w:rPr>
              <w:t>projects.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2018"/>
        </w:trPr>
        <w:tc>
          <w:tcPr>
            <w:tcW w:w="42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right="115"/>
              <w:jc w:val="right"/>
              <w:rPr>
                <w:sz w:val="16"/>
              </w:rPr>
            </w:pPr>
            <w:r>
              <w:rPr>
                <w:sz w:val="16"/>
              </w:rPr>
              <w:t>64</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2019.CSR2</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line="183" w:lineRule="exact"/>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right="90"/>
              <w:jc w:val="center"/>
              <w:rPr>
                <w:sz w:val="16"/>
              </w:rPr>
            </w:pPr>
            <w:r>
              <w:rPr>
                <w:sz w:val="16"/>
              </w:rPr>
              <w:t>1</w:t>
            </w:r>
          </w:p>
        </w:tc>
        <w:tc>
          <w:tcPr>
            <w:tcW w:w="1838"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3</w:t>
            </w:r>
            <w:r>
              <w:rPr>
                <w:spacing w:val="-1"/>
                <w:sz w:val="16"/>
              </w:rPr>
              <w:t xml:space="preserve"> </w:t>
            </w:r>
            <w:r>
              <w:rPr>
                <w:sz w:val="16"/>
              </w:rPr>
              <w:t>-</w:t>
            </w:r>
            <w:r>
              <w:rPr>
                <w:spacing w:val="-2"/>
                <w:sz w:val="16"/>
              </w:rPr>
              <w:t xml:space="preserve"> </w:t>
            </w:r>
            <w:r>
              <w:rPr>
                <w:sz w:val="16"/>
              </w:rPr>
              <w:t>EDUCATION,</w:t>
            </w:r>
          </w:p>
          <w:p w:rsidR="00A56FE9" w:rsidRDefault="00000000">
            <w:pPr>
              <w:pStyle w:val="TableParagraph"/>
              <w:spacing w:before="1"/>
              <w:ind w:left="50"/>
              <w:rPr>
                <w:sz w:val="16"/>
              </w:rPr>
            </w:pPr>
            <w:r>
              <w:rPr>
                <w:sz w:val="16"/>
              </w:rPr>
              <w:t>SCIENCE</w:t>
            </w:r>
            <w:r>
              <w:rPr>
                <w:spacing w:val="-3"/>
                <w:sz w:val="16"/>
              </w:rPr>
              <w:t xml:space="preserve"> </w:t>
            </w:r>
            <w:r>
              <w:rPr>
                <w:sz w:val="16"/>
              </w:rPr>
              <w:t>AND</w:t>
            </w:r>
          </w:p>
          <w:p w:rsidR="00A56FE9" w:rsidRDefault="00000000">
            <w:pPr>
              <w:pStyle w:val="TableParagraph"/>
              <w:ind w:left="50" w:right="127"/>
              <w:rPr>
                <w:sz w:val="16"/>
              </w:rPr>
            </w:pPr>
            <w:r>
              <w:rPr>
                <w:sz w:val="16"/>
              </w:rPr>
              <w:t>RESEARCH - Linking</w:t>
            </w:r>
            <w:r>
              <w:rPr>
                <w:spacing w:val="1"/>
                <w:sz w:val="16"/>
              </w:rPr>
              <w:t xml:space="preserve"> </w:t>
            </w:r>
            <w:r>
              <w:rPr>
                <w:sz w:val="16"/>
              </w:rPr>
              <w:t>education with the labour</w:t>
            </w:r>
            <w:r>
              <w:rPr>
                <w:spacing w:val="-37"/>
                <w:sz w:val="16"/>
              </w:rPr>
              <w:t xml:space="preserve"> </w:t>
            </w:r>
            <w:r>
              <w:rPr>
                <w:sz w:val="16"/>
              </w:rPr>
              <w:t>market by developing</w:t>
            </w:r>
            <w:r>
              <w:rPr>
                <w:spacing w:val="1"/>
                <w:sz w:val="16"/>
              </w:rPr>
              <w:t xml:space="preserve"> </w:t>
            </w:r>
            <w:r>
              <w:rPr>
                <w:sz w:val="16"/>
              </w:rPr>
              <w:t>vocational curricula in</w:t>
            </w:r>
            <w:r>
              <w:rPr>
                <w:spacing w:val="1"/>
                <w:sz w:val="16"/>
              </w:rPr>
              <w:t xml:space="preserve"> </w:t>
            </w:r>
            <w:r>
              <w:rPr>
                <w:sz w:val="16"/>
              </w:rPr>
              <w:t>accordance with the</w:t>
            </w:r>
            <w:r>
              <w:rPr>
                <w:spacing w:val="1"/>
                <w:sz w:val="16"/>
              </w:rPr>
              <w:t xml:space="preserve"> </w:t>
            </w:r>
            <w:r>
              <w:rPr>
                <w:sz w:val="16"/>
              </w:rPr>
              <w:t>CROQF</w:t>
            </w:r>
          </w:p>
        </w:tc>
        <w:tc>
          <w:tcPr>
            <w:tcW w:w="569"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1"/>
              <w:rPr>
                <w:sz w:val="16"/>
              </w:rPr>
            </w:pPr>
            <w:r>
              <w:rPr>
                <w:sz w:val="16"/>
              </w:rPr>
              <w:t>Target</w:t>
            </w:r>
          </w:p>
        </w:tc>
        <w:tc>
          <w:tcPr>
            <w:tcW w:w="184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109"/>
              <w:rPr>
                <w:sz w:val="16"/>
              </w:rPr>
            </w:pPr>
            <w:r>
              <w:rPr>
                <w:sz w:val="16"/>
              </w:rPr>
              <w:t>Drafting</w:t>
            </w:r>
            <w:r>
              <w:rPr>
                <w:spacing w:val="-4"/>
                <w:sz w:val="16"/>
              </w:rPr>
              <w:t xml:space="preserve"> </w:t>
            </w:r>
            <w:r>
              <w:rPr>
                <w:sz w:val="16"/>
              </w:rPr>
              <w:t>and</w:t>
            </w:r>
          </w:p>
          <w:p w:rsidR="00A56FE9" w:rsidRDefault="00000000">
            <w:pPr>
              <w:pStyle w:val="TableParagraph"/>
              <w:spacing w:before="1"/>
              <w:ind w:left="109" w:right="83"/>
              <w:rPr>
                <w:sz w:val="16"/>
              </w:rPr>
            </w:pPr>
            <w:r>
              <w:rPr>
                <w:sz w:val="16"/>
              </w:rPr>
              <w:t>development of</w:t>
            </w:r>
            <w:r>
              <w:rPr>
                <w:spacing w:val="1"/>
                <w:sz w:val="16"/>
              </w:rPr>
              <w:t xml:space="preserve"> </w:t>
            </w:r>
            <w:r>
              <w:rPr>
                <w:sz w:val="16"/>
              </w:rPr>
              <w:t>vocational curricula</w:t>
            </w:r>
            <w:r>
              <w:rPr>
                <w:spacing w:val="1"/>
                <w:sz w:val="16"/>
              </w:rPr>
              <w:t xml:space="preserve"> </w:t>
            </w:r>
            <w:r>
              <w:rPr>
                <w:sz w:val="16"/>
              </w:rPr>
              <w:t>harmonised with the</w:t>
            </w:r>
            <w:r>
              <w:rPr>
                <w:spacing w:val="1"/>
                <w:sz w:val="16"/>
              </w:rPr>
              <w:t xml:space="preserve"> </w:t>
            </w:r>
            <w:r>
              <w:rPr>
                <w:sz w:val="16"/>
              </w:rPr>
              <w:t>CROQF and the needs of</w:t>
            </w:r>
            <w:r>
              <w:rPr>
                <w:spacing w:val="-38"/>
                <w:sz w:val="16"/>
              </w:rPr>
              <w:t xml:space="preserve"> </w:t>
            </w:r>
            <w:r>
              <w:rPr>
                <w:sz w:val="16"/>
              </w:rPr>
              <w:t>the</w:t>
            </w:r>
            <w:r>
              <w:rPr>
                <w:spacing w:val="-3"/>
                <w:sz w:val="16"/>
              </w:rPr>
              <w:t xml:space="preserve"> </w:t>
            </w:r>
            <w:r>
              <w:rPr>
                <w:sz w:val="16"/>
              </w:rPr>
              <w:t>labour</w:t>
            </w:r>
            <w:r>
              <w:rPr>
                <w:spacing w:val="-1"/>
                <w:sz w:val="16"/>
              </w:rPr>
              <w:t xml:space="preserve"> </w:t>
            </w:r>
            <w:r>
              <w:rPr>
                <w:sz w:val="16"/>
              </w:rPr>
              <w:t>market</w:t>
            </w:r>
          </w:p>
        </w:tc>
        <w:tc>
          <w:tcPr>
            <w:tcW w:w="1137"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17"/>
              <w:jc w:val="center"/>
              <w:rPr>
                <w:sz w:val="16"/>
              </w:rPr>
            </w:pPr>
            <w:r>
              <w:rPr>
                <w:sz w:val="16"/>
              </w:rPr>
              <w:t>4</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60" w:right="41"/>
              <w:jc w:val="center"/>
              <w:rPr>
                <w:sz w:val="16"/>
              </w:rPr>
            </w:pPr>
            <w:r>
              <w:rPr>
                <w:sz w:val="16"/>
              </w:rPr>
              <w:t>50</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151" w:right="130"/>
              <w:jc w:val="center"/>
              <w:rPr>
                <w:sz w:val="16"/>
              </w:rPr>
            </w:pPr>
            <w:r>
              <w:rPr>
                <w:sz w:val="16"/>
              </w:rPr>
              <w:t>2023</w:t>
            </w:r>
          </w:p>
        </w:tc>
        <w:tc>
          <w:tcPr>
            <w:tcW w:w="845"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MSE,</w:t>
            </w:r>
          </w:p>
          <w:p w:rsidR="00A56FE9" w:rsidRDefault="00000000">
            <w:pPr>
              <w:pStyle w:val="TableParagraph"/>
              <w:spacing w:before="1"/>
              <w:ind w:left="57" w:right="43"/>
              <w:rPr>
                <w:sz w:val="16"/>
              </w:rPr>
            </w:pPr>
            <w:r>
              <w:rPr>
                <w:spacing w:val="-1"/>
                <w:sz w:val="16"/>
              </w:rPr>
              <w:t>Agency for</w:t>
            </w:r>
            <w:r>
              <w:rPr>
                <w:spacing w:val="-37"/>
                <w:sz w:val="16"/>
              </w:rPr>
              <w:t xml:space="preserve"> </w:t>
            </w:r>
            <w:r>
              <w:rPr>
                <w:sz w:val="16"/>
              </w:rPr>
              <w:t>Vocational</w:t>
            </w:r>
            <w:r>
              <w:rPr>
                <w:spacing w:val="-37"/>
                <w:sz w:val="16"/>
              </w:rPr>
              <w:t xml:space="preserve"> </w:t>
            </w:r>
            <w:r>
              <w:rPr>
                <w:sz w:val="16"/>
              </w:rPr>
              <w:t>Education</w:t>
            </w:r>
            <w:r>
              <w:rPr>
                <w:spacing w:val="1"/>
                <w:sz w:val="16"/>
              </w:rPr>
              <w:t xml:space="preserve"> </w:t>
            </w:r>
            <w:r>
              <w:rPr>
                <w:sz w:val="16"/>
              </w:rPr>
              <w:t>and</w:t>
            </w:r>
            <w:r>
              <w:rPr>
                <w:spacing w:val="1"/>
                <w:sz w:val="16"/>
              </w:rPr>
              <w:t xml:space="preserve"> </w:t>
            </w:r>
            <w:r>
              <w:rPr>
                <w:sz w:val="16"/>
              </w:rPr>
              <w:t>Training</w:t>
            </w:r>
            <w:r>
              <w:rPr>
                <w:spacing w:val="1"/>
                <w:sz w:val="16"/>
              </w:rPr>
              <w:t xml:space="preserve"> </w:t>
            </w:r>
            <w:r>
              <w:rPr>
                <w:sz w:val="16"/>
              </w:rPr>
              <w:t>(ASOO),</w:t>
            </w:r>
          </w:p>
          <w:p w:rsidR="00A56FE9" w:rsidRDefault="00000000">
            <w:pPr>
              <w:pStyle w:val="TableParagraph"/>
              <w:ind w:left="57" w:right="65"/>
              <w:rPr>
                <w:sz w:val="16"/>
              </w:rPr>
            </w:pPr>
            <w:r>
              <w:rPr>
                <w:sz w:val="16"/>
              </w:rPr>
              <w:t>regional</w:t>
            </w:r>
            <w:r>
              <w:rPr>
                <w:spacing w:val="1"/>
                <w:sz w:val="16"/>
              </w:rPr>
              <w:t xml:space="preserve"> </w:t>
            </w:r>
            <w:r>
              <w:rPr>
                <w:sz w:val="16"/>
              </w:rPr>
              <w:t>centres of</w:t>
            </w:r>
            <w:r>
              <w:rPr>
                <w:spacing w:val="1"/>
                <w:sz w:val="16"/>
              </w:rPr>
              <w:t xml:space="preserve"> </w:t>
            </w:r>
            <w:r>
              <w:rPr>
                <w:sz w:val="16"/>
              </w:rPr>
              <w:t>competenc</w:t>
            </w:r>
          </w:p>
          <w:p w:rsidR="00A56FE9" w:rsidRDefault="00000000">
            <w:pPr>
              <w:pStyle w:val="TableParagraph"/>
              <w:spacing w:line="168" w:lineRule="exact"/>
              <w:ind w:left="57"/>
              <w:rPr>
                <w:sz w:val="16"/>
              </w:rPr>
            </w:pPr>
            <w:r>
              <w:rPr>
                <w:sz w:val="16"/>
              </w:rPr>
              <w:t>e</w:t>
            </w:r>
          </w:p>
        </w:tc>
        <w:tc>
          <w:tcPr>
            <w:tcW w:w="3106"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The</w:t>
            </w:r>
            <w:r>
              <w:rPr>
                <w:spacing w:val="-6"/>
                <w:sz w:val="16"/>
              </w:rPr>
              <w:t xml:space="preserve"> </w:t>
            </w:r>
            <w:r>
              <w:rPr>
                <w:sz w:val="16"/>
              </w:rPr>
              <w:t>development</w:t>
            </w:r>
            <w:r>
              <w:rPr>
                <w:spacing w:val="-3"/>
                <w:sz w:val="16"/>
              </w:rPr>
              <w:t xml:space="preserve"> </w:t>
            </w:r>
            <w:r>
              <w:rPr>
                <w:sz w:val="16"/>
              </w:rPr>
              <w:t>of</w:t>
            </w:r>
            <w:r>
              <w:rPr>
                <w:spacing w:val="-4"/>
                <w:sz w:val="16"/>
              </w:rPr>
              <w:t xml:space="preserve"> </w:t>
            </w:r>
            <w:r>
              <w:rPr>
                <w:sz w:val="16"/>
              </w:rPr>
              <w:t>vocational</w:t>
            </w:r>
            <w:r>
              <w:rPr>
                <w:spacing w:val="-3"/>
                <w:sz w:val="16"/>
              </w:rPr>
              <w:t xml:space="preserve"> </w:t>
            </w:r>
            <w:r>
              <w:rPr>
                <w:sz w:val="16"/>
              </w:rPr>
              <w:t>curricula</w:t>
            </w:r>
            <w:r>
              <w:rPr>
                <w:spacing w:val="-3"/>
                <w:sz w:val="16"/>
              </w:rPr>
              <w:t xml:space="preserve"> </w:t>
            </w:r>
            <w:r>
              <w:rPr>
                <w:sz w:val="16"/>
              </w:rPr>
              <w:t>in</w:t>
            </w:r>
          </w:p>
          <w:p w:rsidR="00A56FE9" w:rsidRDefault="00000000">
            <w:pPr>
              <w:pStyle w:val="TableParagraph"/>
              <w:spacing w:before="1"/>
              <w:ind w:left="57"/>
              <w:rPr>
                <w:sz w:val="16"/>
              </w:rPr>
            </w:pPr>
            <w:r>
              <w:rPr>
                <w:sz w:val="16"/>
              </w:rPr>
              <w:t>line with the CROQF concept will achieve a</w:t>
            </w:r>
            <w:r>
              <w:rPr>
                <w:spacing w:val="1"/>
                <w:sz w:val="16"/>
              </w:rPr>
              <w:t xml:space="preserve"> </w:t>
            </w:r>
            <w:r>
              <w:rPr>
                <w:sz w:val="16"/>
              </w:rPr>
              <w:t>strong</w:t>
            </w:r>
            <w:r>
              <w:rPr>
                <w:spacing w:val="-3"/>
                <w:sz w:val="16"/>
              </w:rPr>
              <w:t xml:space="preserve"> </w:t>
            </w:r>
            <w:r>
              <w:rPr>
                <w:sz w:val="16"/>
              </w:rPr>
              <w:t>link</w:t>
            </w:r>
            <w:r>
              <w:rPr>
                <w:spacing w:val="-1"/>
                <w:sz w:val="16"/>
              </w:rPr>
              <w:t xml:space="preserve"> </w:t>
            </w:r>
            <w:r>
              <w:rPr>
                <w:sz w:val="16"/>
              </w:rPr>
              <w:t>with</w:t>
            </w:r>
            <w:r>
              <w:rPr>
                <w:spacing w:val="-3"/>
                <w:sz w:val="16"/>
              </w:rPr>
              <w:t xml:space="preserve"> </w:t>
            </w:r>
            <w:r>
              <w:rPr>
                <w:sz w:val="16"/>
              </w:rPr>
              <w:t>the</w:t>
            </w:r>
            <w:r>
              <w:rPr>
                <w:spacing w:val="-6"/>
                <w:sz w:val="16"/>
              </w:rPr>
              <w:t xml:space="preserve"> </w:t>
            </w:r>
            <w:r>
              <w:rPr>
                <w:sz w:val="16"/>
              </w:rPr>
              <w:t>needs</w:t>
            </w:r>
            <w:r>
              <w:rPr>
                <w:spacing w:val="-2"/>
                <w:sz w:val="16"/>
              </w:rPr>
              <w:t xml:space="preserve"> </w:t>
            </w:r>
            <w:r>
              <w:rPr>
                <w:sz w:val="16"/>
              </w:rPr>
              <w:t>of</w:t>
            </w:r>
            <w:r>
              <w:rPr>
                <w:spacing w:val="-2"/>
                <w:sz w:val="16"/>
              </w:rPr>
              <w:t xml:space="preserve"> </w:t>
            </w:r>
            <w:r>
              <w:rPr>
                <w:sz w:val="16"/>
              </w:rPr>
              <w:t>the</w:t>
            </w:r>
            <w:r>
              <w:rPr>
                <w:spacing w:val="-4"/>
                <w:sz w:val="16"/>
              </w:rPr>
              <w:t xml:space="preserve"> </w:t>
            </w:r>
            <w:r>
              <w:rPr>
                <w:sz w:val="16"/>
              </w:rPr>
              <w:t>labour</w:t>
            </w:r>
            <w:r>
              <w:rPr>
                <w:spacing w:val="-3"/>
                <w:sz w:val="16"/>
              </w:rPr>
              <w:t xml:space="preserve"> </w:t>
            </w:r>
            <w:r>
              <w:rPr>
                <w:sz w:val="16"/>
              </w:rPr>
              <w:t>market</w:t>
            </w:r>
            <w:r>
              <w:rPr>
                <w:spacing w:val="-37"/>
                <w:sz w:val="16"/>
              </w:rPr>
              <w:t xml:space="preserve"> </w:t>
            </w:r>
            <w:r>
              <w:rPr>
                <w:sz w:val="16"/>
              </w:rPr>
              <w:t>through developed occupational standards and</w:t>
            </w:r>
            <w:r>
              <w:rPr>
                <w:spacing w:val="-37"/>
                <w:sz w:val="16"/>
              </w:rPr>
              <w:t xml:space="preserve"> </w:t>
            </w:r>
            <w:r>
              <w:rPr>
                <w:sz w:val="16"/>
              </w:rPr>
              <w:t>qualification standards.</w:t>
            </w:r>
          </w:p>
        </w:tc>
        <w:tc>
          <w:tcPr>
            <w:tcW w:w="1128"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right="90"/>
              <w:jc w:val="right"/>
              <w:rPr>
                <w:sz w:val="16"/>
              </w:rPr>
            </w:pPr>
            <w:r>
              <w:rPr>
                <w:sz w:val="16"/>
              </w:rPr>
              <w:t>536,220,405</w:t>
            </w:r>
          </w:p>
        </w:tc>
      </w:tr>
      <w:tr w:rsidR="00A56FE9">
        <w:trPr>
          <w:trHeight w:val="239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65</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0" w:lineRule="exact"/>
              <w:ind w:left="50"/>
              <w:rPr>
                <w:sz w:val="16"/>
              </w:rPr>
            </w:pPr>
            <w:r>
              <w:rPr>
                <w:sz w:val="16"/>
              </w:rPr>
              <w:t>2019.CSR2</w:t>
            </w:r>
          </w:p>
          <w:p w:rsidR="00A56FE9" w:rsidRDefault="00000000">
            <w:pPr>
              <w:pStyle w:val="TableParagraph"/>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before="1"/>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90"/>
              <w:jc w:val="center"/>
              <w:rPr>
                <w:sz w:val="16"/>
              </w:rPr>
            </w:pPr>
            <w:r>
              <w:rPr>
                <w:sz w:val="16"/>
              </w:rPr>
              <w:t>1</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50" w:right="586"/>
              <w:rPr>
                <w:sz w:val="16"/>
              </w:rPr>
            </w:pPr>
            <w:r>
              <w:rPr>
                <w:sz w:val="16"/>
              </w:rPr>
              <w:t>3</w:t>
            </w:r>
            <w:r>
              <w:rPr>
                <w:spacing w:val="-7"/>
                <w:sz w:val="16"/>
              </w:rPr>
              <w:t xml:space="preserve"> </w:t>
            </w:r>
            <w:r>
              <w:rPr>
                <w:sz w:val="16"/>
              </w:rPr>
              <w:t>-</w:t>
            </w:r>
            <w:r>
              <w:rPr>
                <w:spacing w:val="-8"/>
                <w:sz w:val="16"/>
              </w:rPr>
              <w:t xml:space="preserve"> </w:t>
            </w:r>
            <w:r>
              <w:rPr>
                <w:sz w:val="16"/>
              </w:rPr>
              <w:t>EDUCATION,</w:t>
            </w:r>
            <w:r>
              <w:rPr>
                <w:spacing w:val="-37"/>
                <w:sz w:val="16"/>
              </w:rPr>
              <w:t xml:space="preserve"> </w:t>
            </w:r>
            <w:r>
              <w:rPr>
                <w:sz w:val="16"/>
              </w:rPr>
              <w:t>SCIENCE</w:t>
            </w:r>
            <w:r>
              <w:rPr>
                <w:spacing w:val="-1"/>
                <w:sz w:val="16"/>
              </w:rPr>
              <w:t xml:space="preserve"> </w:t>
            </w:r>
            <w:r>
              <w:rPr>
                <w:sz w:val="16"/>
              </w:rPr>
              <w:t>AND</w:t>
            </w:r>
          </w:p>
          <w:p w:rsidR="00A56FE9" w:rsidRDefault="00000000">
            <w:pPr>
              <w:pStyle w:val="TableParagraph"/>
              <w:ind w:left="50" w:right="136"/>
              <w:rPr>
                <w:sz w:val="16"/>
              </w:rPr>
            </w:pPr>
            <w:r>
              <w:rPr>
                <w:sz w:val="16"/>
              </w:rPr>
              <w:t>RESEARCH - Quality</w:t>
            </w:r>
            <w:r>
              <w:rPr>
                <w:spacing w:val="1"/>
                <w:sz w:val="16"/>
              </w:rPr>
              <w:t xml:space="preserve"> </w:t>
            </w:r>
            <w:r>
              <w:rPr>
                <w:sz w:val="16"/>
              </w:rPr>
              <w:t>assurance of formal adult</w:t>
            </w:r>
            <w:r>
              <w:rPr>
                <w:spacing w:val="-37"/>
                <w:sz w:val="16"/>
              </w:rPr>
              <w:t xml:space="preserve"> </w:t>
            </w:r>
            <w:r>
              <w:rPr>
                <w:sz w:val="16"/>
              </w:rPr>
              <w:t>education programs</w:t>
            </w:r>
            <w:r>
              <w:rPr>
                <w:spacing w:val="1"/>
                <w:sz w:val="16"/>
              </w:rPr>
              <w:t xml:space="preserve"> </w:t>
            </w:r>
            <w:r>
              <w:rPr>
                <w:sz w:val="16"/>
              </w:rPr>
              <w:t>through the</w:t>
            </w:r>
            <w:r>
              <w:rPr>
                <w:spacing w:val="-3"/>
                <w:sz w:val="16"/>
              </w:rPr>
              <w:t xml:space="preserve"> </w:t>
            </w:r>
            <w:r>
              <w:rPr>
                <w:sz w:val="16"/>
              </w:rPr>
              <w:t>CROQF</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99"/>
              <w:rPr>
                <w:sz w:val="16"/>
              </w:rPr>
            </w:pPr>
            <w:r>
              <w:rPr>
                <w:sz w:val="16"/>
              </w:rPr>
              <w:t>Development of formal</w:t>
            </w:r>
            <w:r>
              <w:rPr>
                <w:spacing w:val="-37"/>
                <w:sz w:val="16"/>
              </w:rPr>
              <w:t xml:space="preserve"> </w:t>
            </w:r>
            <w:r>
              <w:rPr>
                <w:sz w:val="16"/>
              </w:rPr>
              <w:t>adult education</w:t>
            </w:r>
            <w:r>
              <w:rPr>
                <w:spacing w:val="1"/>
                <w:sz w:val="16"/>
              </w:rPr>
              <w:t xml:space="preserve"> </w:t>
            </w:r>
            <w:r>
              <w:rPr>
                <w:sz w:val="16"/>
              </w:rPr>
              <w:t>programs harmonised</w:t>
            </w:r>
            <w:r>
              <w:rPr>
                <w:spacing w:val="1"/>
                <w:sz w:val="16"/>
              </w:rPr>
              <w:t xml:space="preserve"> </w:t>
            </w:r>
            <w:r>
              <w:rPr>
                <w:sz w:val="16"/>
              </w:rPr>
              <w:t>with the</w:t>
            </w:r>
            <w:r>
              <w:rPr>
                <w:spacing w:val="-2"/>
                <w:sz w:val="16"/>
              </w:rPr>
              <w:t xml:space="preserve"> </w:t>
            </w:r>
            <w:r>
              <w:rPr>
                <w:sz w:val="16"/>
              </w:rPr>
              <w:t>CROQF</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60" w:right="41"/>
              <w:jc w:val="center"/>
              <w:rPr>
                <w:sz w:val="16"/>
              </w:rPr>
            </w:pPr>
            <w:r>
              <w:rPr>
                <w:sz w:val="16"/>
              </w:rPr>
              <w:t>35</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0" w:lineRule="exact"/>
              <w:ind w:left="57"/>
              <w:rPr>
                <w:sz w:val="16"/>
              </w:rPr>
            </w:pPr>
            <w:r>
              <w:rPr>
                <w:sz w:val="16"/>
              </w:rPr>
              <w:t>MSE,</w:t>
            </w:r>
          </w:p>
          <w:p w:rsidR="00A56FE9" w:rsidRDefault="00000000">
            <w:pPr>
              <w:pStyle w:val="TableParagraph"/>
              <w:ind w:left="57" w:right="43"/>
              <w:rPr>
                <w:sz w:val="16"/>
              </w:rPr>
            </w:pPr>
            <w:r>
              <w:rPr>
                <w:spacing w:val="-1"/>
                <w:sz w:val="16"/>
              </w:rPr>
              <w:t>Agency for</w:t>
            </w:r>
            <w:r>
              <w:rPr>
                <w:spacing w:val="-37"/>
                <w:sz w:val="16"/>
              </w:rPr>
              <w:t xml:space="preserve"> </w:t>
            </w:r>
            <w:r>
              <w:rPr>
                <w:sz w:val="16"/>
              </w:rPr>
              <w:t>Vocational</w:t>
            </w:r>
            <w:r>
              <w:rPr>
                <w:spacing w:val="-37"/>
                <w:sz w:val="16"/>
              </w:rPr>
              <w:t xml:space="preserve"> </w:t>
            </w:r>
            <w:r>
              <w:rPr>
                <w:sz w:val="16"/>
              </w:rPr>
              <w:t>Education</w:t>
            </w:r>
            <w:r>
              <w:rPr>
                <w:spacing w:val="1"/>
                <w:sz w:val="16"/>
              </w:rPr>
              <w:t xml:space="preserve"> </w:t>
            </w:r>
            <w:r>
              <w:rPr>
                <w:sz w:val="16"/>
              </w:rPr>
              <w:t>and</w:t>
            </w:r>
            <w:r>
              <w:rPr>
                <w:spacing w:val="1"/>
                <w:sz w:val="16"/>
              </w:rPr>
              <w:t xml:space="preserve"> </w:t>
            </w:r>
            <w:r>
              <w:rPr>
                <w:sz w:val="16"/>
              </w:rPr>
              <w:t>Training</w:t>
            </w:r>
            <w:r>
              <w:rPr>
                <w:spacing w:val="1"/>
                <w:sz w:val="16"/>
              </w:rPr>
              <w:t xml:space="preserve"> </w:t>
            </w:r>
            <w:r>
              <w:rPr>
                <w:sz w:val="16"/>
              </w:rPr>
              <w:t>(ASOO),</w:t>
            </w:r>
          </w:p>
          <w:p w:rsidR="00A56FE9" w:rsidRDefault="00000000">
            <w:pPr>
              <w:pStyle w:val="TableParagraph"/>
              <w:ind w:left="57" w:right="15"/>
              <w:rPr>
                <w:sz w:val="16"/>
              </w:rPr>
            </w:pPr>
            <w:r>
              <w:rPr>
                <w:sz w:val="16"/>
              </w:rPr>
              <w:t>institute for</w:t>
            </w:r>
            <w:r>
              <w:rPr>
                <w:spacing w:val="-37"/>
                <w:sz w:val="16"/>
              </w:rPr>
              <w:t xml:space="preserve"> </w:t>
            </w:r>
            <w:r>
              <w:rPr>
                <w:sz w:val="16"/>
              </w:rPr>
              <w:t>adult</w:t>
            </w:r>
            <w:r>
              <w:rPr>
                <w:spacing w:val="1"/>
                <w:sz w:val="16"/>
              </w:rPr>
              <w:t xml:space="preserve"> </w:t>
            </w:r>
            <w:r>
              <w:rPr>
                <w:sz w:val="16"/>
              </w:rPr>
              <w:t>education,</w:t>
            </w:r>
            <w:r>
              <w:rPr>
                <w:spacing w:val="1"/>
                <w:sz w:val="16"/>
              </w:rPr>
              <w:t xml:space="preserve"> </w:t>
            </w:r>
            <w:r>
              <w:rPr>
                <w:sz w:val="16"/>
              </w:rPr>
              <w:t>higher</w:t>
            </w:r>
            <w:r>
              <w:rPr>
                <w:spacing w:val="1"/>
                <w:sz w:val="16"/>
              </w:rPr>
              <w:t xml:space="preserve"> </w:t>
            </w:r>
            <w:r>
              <w:rPr>
                <w:sz w:val="16"/>
              </w:rPr>
              <w:t>education</w:t>
            </w:r>
          </w:p>
          <w:p w:rsidR="00A56FE9" w:rsidRDefault="00000000">
            <w:pPr>
              <w:pStyle w:val="TableParagraph"/>
              <w:spacing w:before="1" w:line="168" w:lineRule="exact"/>
              <w:ind w:left="57"/>
              <w:rPr>
                <w:sz w:val="16"/>
              </w:rPr>
            </w:pPr>
            <w:r>
              <w:rPr>
                <w:sz w:val="16"/>
              </w:rPr>
              <w:t>institutions</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323"/>
              <w:jc w:val="both"/>
              <w:rPr>
                <w:sz w:val="16"/>
              </w:rPr>
            </w:pPr>
            <w:r>
              <w:rPr>
                <w:sz w:val="16"/>
              </w:rPr>
              <w:t>To fully harmonise formal adult education</w:t>
            </w:r>
            <w:r>
              <w:rPr>
                <w:spacing w:val="-38"/>
                <w:sz w:val="16"/>
              </w:rPr>
              <w:t xml:space="preserve"> </w:t>
            </w:r>
            <w:r>
              <w:rPr>
                <w:sz w:val="16"/>
              </w:rPr>
              <w:t>programs with the Croatian Qualifications</w:t>
            </w:r>
            <w:r>
              <w:rPr>
                <w:spacing w:val="-37"/>
                <w:sz w:val="16"/>
              </w:rPr>
              <w:t xml:space="preserve"> </w:t>
            </w:r>
            <w:r>
              <w:rPr>
                <w:sz w:val="16"/>
              </w:rPr>
              <w:t>Framework, thus increasing the quality of</w:t>
            </w:r>
            <w:r>
              <w:rPr>
                <w:spacing w:val="1"/>
                <w:sz w:val="16"/>
              </w:rPr>
              <w:t xml:space="preserve"> </w:t>
            </w:r>
            <w:r>
              <w:rPr>
                <w:sz w:val="16"/>
              </w:rPr>
              <w:t>programs</w:t>
            </w:r>
            <w:r>
              <w:rPr>
                <w:spacing w:val="-2"/>
                <w:sz w:val="16"/>
              </w:rPr>
              <w:t xml:space="preserve"> </w:t>
            </w:r>
            <w:r>
              <w:rPr>
                <w:sz w:val="16"/>
              </w:rPr>
              <w:t>and</w:t>
            </w:r>
            <w:r>
              <w:rPr>
                <w:spacing w:val="-2"/>
                <w:sz w:val="16"/>
              </w:rPr>
              <w:t xml:space="preserve"> </w:t>
            </w:r>
            <w:r>
              <w:rPr>
                <w:sz w:val="16"/>
              </w:rPr>
              <w:t>their</w:t>
            </w:r>
            <w:r>
              <w:rPr>
                <w:spacing w:val="-2"/>
                <w:sz w:val="16"/>
              </w:rPr>
              <w:t xml:space="preserve"> </w:t>
            </w:r>
            <w:r>
              <w:rPr>
                <w:sz w:val="16"/>
              </w:rPr>
              <w:t>implementation.</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165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66</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0" w:lineRule="exact"/>
              <w:ind w:left="50"/>
              <w:rPr>
                <w:sz w:val="16"/>
              </w:rPr>
            </w:pPr>
            <w:r>
              <w:rPr>
                <w:sz w:val="16"/>
              </w:rPr>
              <w:t>2019.CSR2</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90"/>
              <w:jc w:val="center"/>
              <w:rPr>
                <w:sz w:val="16"/>
              </w:rPr>
            </w:pPr>
            <w:r>
              <w:rPr>
                <w:sz w:val="16"/>
              </w:rPr>
              <w:t>1</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586"/>
              <w:rPr>
                <w:sz w:val="16"/>
              </w:rPr>
            </w:pPr>
            <w:r>
              <w:rPr>
                <w:sz w:val="16"/>
              </w:rPr>
              <w:t>3</w:t>
            </w:r>
            <w:r>
              <w:rPr>
                <w:spacing w:val="-7"/>
                <w:sz w:val="16"/>
              </w:rPr>
              <w:t xml:space="preserve"> </w:t>
            </w:r>
            <w:r>
              <w:rPr>
                <w:sz w:val="16"/>
              </w:rPr>
              <w:t>-</w:t>
            </w:r>
            <w:r>
              <w:rPr>
                <w:spacing w:val="-8"/>
                <w:sz w:val="16"/>
              </w:rPr>
              <w:t xml:space="preserve"> </w:t>
            </w:r>
            <w:r>
              <w:rPr>
                <w:sz w:val="16"/>
              </w:rPr>
              <w:t>EDUCATION,</w:t>
            </w:r>
            <w:r>
              <w:rPr>
                <w:spacing w:val="-37"/>
                <w:sz w:val="16"/>
              </w:rPr>
              <w:t xml:space="preserve"> </w:t>
            </w:r>
            <w:r>
              <w:rPr>
                <w:sz w:val="16"/>
              </w:rPr>
              <w:t>SCIENCE AND</w:t>
            </w:r>
            <w:r>
              <w:rPr>
                <w:spacing w:val="1"/>
                <w:sz w:val="16"/>
              </w:rPr>
              <w:t xml:space="preserve"> </w:t>
            </w:r>
            <w:r>
              <w:rPr>
                <w:sz w:val="16"/>
              </w:rPr>
              <w:t>RESEARCH -</w:t>
            </w:r>
          </w:p>
          <w:p w:rsidR="00A56FE9" w:rsidRDefault="00000000">
            <w:pPr>
              <w:pStyle w:val="TableParagraph"/>
              <w:ind w:left="50" w:right="69"/>
              <w:rPr>
                <w:sz w:val="16"/>
              </w:rPr>
            </w:pPr>
            <w:r>
              <w:rPr>
                <w:sz w:val="16"/>
              </w:rPr>
              <w:t>Implementation of student</w:t>
            </w:r>
            <w:r>
              <w:rPr>
                <w:spacing w:val="-37"/>
                <w:sz w:val="16"/>
              </w:rPr>
              <w:t xml:space="preserve"> </w:t>
            </w:r>
            <w:r>
              <w:rPr>
                <w:sz w:val="16"/>
              </w:rPr>
              <w:t>scholarship</w:t>
            </w:r>
            <w:r>
              <w:rPr>
                <w:spacing w:val="-2"/>
                <w:sz w:val="16"/>
              </w:rPr>
              <w:t xml:space="preserve"> </w:t>
            </w:r>
            <w:r>
              <w:rPr>
                <w:sz w:val="16"/>
              </w:rPr>
              <w:t>programs</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230"/>
              <w:rPr>
                <w:sz w:val="16"/>
              </w:rPr>
            </w:pPr>
            <w:r>
              <w:rPr>
                <w:sz w:val="16"/>
              </w:rPr>
              <w:t>Awarding scholarships</w:t>
            </w:r>
            <w:r>
              <w:rPr>
                <w:spacing w:val="-37"/>
                <w:sz w:val="16"/>
              </w:rPr>
              <w:t xml:space="preserve"> </w:t>
            </w:r>
            <w:r>
              <w:rPr>
                <w:sz w:val="16"/>
              </w:rPr>
              <w:t>to students of lower</w:t>
            </w:r>
            <w:r>
              <w:rPr>
                <w:spacing w:val="1"/>
                <w:sz w:val="16"/>
              </w:rPr>
              <w:t xml:space="preserve"> </w:t>
            </w:r>
            <w:r>
              <w:rPr>
                <w:sz w:val="16"/>
              </w:rPr>
              <w:t>socioeconomic</w:t>
            </w:r>
            <w:r>
              <w:rPr>
                <w:spacing w:val="-2"/>
                <w:sz w:val="16"/>
              </w:rPr>
              <w:t xml:space="preserve"> </w:t>
            </w:r>
            <w:r>
              <w:rPr>
                <w:sz w:val="16"/>
              </w:rPr>
              <w:t>status</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12"/>
              <w:rPr>
                <w:sz w:val="16"/>
              </w:rPr>
            </w:pPr>
            <w:r>
              <w:rPr>
                <w:sz w:val="16"/>
              </w:rPr>
              <w:t>Publication of</w:t>
            </w:r>
            <w:r>
              <w:rPr>
                <w:spacing w:val="-38"/>
                <w:sz w:val="16"/>
              </w:rPr>
              <w:t xml:space="preserve"> </w:t>
            </w:r>
            <w:r>
              <w:rPr>
                <w:sz w:val="16"/>
              </w:rPr>
              <w:t>a public</w:t>
            </w:r>
            <w:r>
              <w:rPr>
                <w:spacing w:val="1"/>
                <w:sz w:val="16"/>
              </w:rPr>
              <w:t xml:space="preserve"> </w:t>
            </w:r>
            <w:r>
              <w:rPr>
                <w:sz w:val="16"/>
              </w:rPr>
              <w:t>competition</w:t>
            </w:r>
            <w:r>
              <w:rPr>
                <w:spacing w:val="1"/>
                <w:sz w:val="16"/>
              </w:rPr>
              <w:t xml:space="preserve"> </w:t>
            </w:r>
            <w:r>
              <w:rPr>
                <w:sz w:val="16"/>
              </w:rPr>
              <w:t>to award</w:t>
            </w:r>
            <w:r>
              <w:rPr>
                <w:spacing w:val="1"/>
                <w:sz w:val="16"/>
              </w:rPr>
              <w:t xml:space="preserve"> </w:t>
            </w:r>
            <w:r>
              <w:rPr>
                <w:sz w:val="16"/>
              </w:rPr>
              <w:t>scholarships</w:t>
            </w:r>
            <w:r>
              <w:rPr>
                <w:spacing w:val="1"/>
                <w:sz w:val="16"/>
              </w:rPr>
              <w:t xml:space="preserve"> </w:t>
            </w:r>
            <w:r>
              <w:rPr>
                <w:sz w:val="16"/>
              </w:rPr>
              <w:t>to students of</w:t>
            </w:r>
            <w:r>
              <w:rPr>
                <w:spacing w:val="1"/>
                <w:sz w:val="16"/>
              </w:rPr>
              <w:t xml:space="preserve"> </w:t>
            </w:r>
            <w:r>
              <w:rPr>
                <w:sz w:val="16"/>
              </w:rPr>
              <w:t>lower</w:t>
            </w:r>
            <w:r>
              <w:rPr>
                <w:spacing w:val="1"/>
                <w:sz w:val="16"/>
              </w:rPr>
              <w:t xml:space="preserve"> </w:t>
            </w:r>
            <w:r>
              <w:rPr>
                <w:sz w:val="16"/>
              </w:rPr>
              <w:t>socioeconomi</w:t>
            </w:r>
          </w:p>
          <w:p w:rsidR="00A56FE9" w:rsidRDefault="00000000">
            <w:pPr>
              <w:pStyle w:val="TableParagraph"/>
              <w:spacing w:line="167" w:lineRule="exact"/>
              <w:ind w:left="110"/>
              <w:rPr>
                <w:sz w:val="16"/>
              </w:rPr>
            </w:pPr>
            <w:r>
              <w:rPr>
                <w:sz w:val="16"/>
              </w:rPr>
              <w:t>c status</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4" w:right="27"/>
              <w:jc w:val="center"/>
              <w:rPr>
                <w:sz w:val="16"/>
              </w:rPr>
            </w:pPr>
            <w:r>
              <w:rPr>
                <w:sz w:val="16"/>
              </w:rPr>
              <w:t>10,000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9" w:right="41"/>
              <w:jc w:val="center"/>
              <w:rPr>
                <w:sz w:val="16"/>
              </w:rPr>
            </w:pPr>
            <w:r>
              <w:rPr>
                <w:sz w:val="16"/>
              </w:rPr>
              <w:t>10,000</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MSE</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36"/>
              <w:rPr>
                <w:sz w:val="16"/>
              </w:rPr>
            </w:pPr>
            <w:r>
              <w:rPr>
                <w:sz w:val="16"/>
              </w:rPr>
              <w:t>Scholarships for Students of Lower Socio-</w:t>
            </w:r>
            <w:r>
              <w:rPr>
                <w:spacing w:val="1"/>
                <w:sz w:val="16"/>
              </w:rPr>
              <w:t xml:space="preserve"> </w:t>
            </w:r>
            <w:r>
              <w:rPr>
                <w:sz w:val="16"/>
              </w:rPr>
              <w:t>Economic Status aim to increase the</w:t>
            </w:r>
            <w:r>
              <w:rPr>
                <w:spacing w:val="1"/>
                <w:sz w:val="16"/>
              </w:rPr>
              <w:t xml:space="preserve"> </w:t>
            </w:r>
            <w:r>
              <w:rPr>
                <w:sz w:val="16"/>
              </w:rPr>
              <w:t>availability of higher education, improve the</w:t>
            </w:r>
            <w:r>
              <w:rPr>
                <w:spacing w:val="1"/>
                <w:sz w:val="16"/>
              </w:rPr>
              <w:t xml:space="preserve"> </w:t>
            </w:r>
            <w:r>
              <w:rPr>
                <w:sz w:val="16"/>
              </w:rPr>
              <w:t>social dimension of higher education and</w:t>
            </w:r>
            <w:r>
              <w:rPr>
                <w:spacing w:val="1"/>
                <w:sz w:val="16"/>
              </w:rPr>
              <w:t xml:space="preserve"> </w:t>
            </w:r>
            <w:r>
              <w:rPr>
                <w:sz w:val="16"/>
              </w:rPr>
              <w:t>increase the completion rate in higher</w:t>
            </w:r>
            <w:r>
              <w:rPr>
                <w:spacing w:val="1"/>
                <w:sz w:val="16"/>
              </w:rPr>
              <w:t xml:space="preserve"> </w:t>
            </w:r>
            <w:r>
              <w:rPr>
                <w:sz w:val="16"/>
              </w:rPr>
              <w:t>education by providing state scholarships for</w:t>
            </w:r>
            <w:r>
              <w:rPr>
                <w:spacing w:val="1"/>
                <w:sz w:val="16"/>
              </w:rPr>
              <w:t xml:space="preserve"> </w:t>
            </w:r>
            <w:r>
              <w:rPr>
                <w:sz w:val="16"/>
              </w:rPr>
              <w:t>students of lower socioeconomic status. The</w:t>
            </w:r>
            <w:r>
              <w:rPr>
                <w:spacing w:val="1"/>
                <w:sz w:val="16"/>
              </w:rPr>
              <w:t xml:space="preserve"> </w:t>
            </w:r>
            <w:r>
              <w:rPr>
                <w:sz w:val="16"/>
              </w:rPr>
              <w:t>project</w:t>
            </w:r>
            <w:r>
              <w:rPr>
                <w:spacing w:val="-5"/>
                <w:sz w:val="16"/>
              </w:rPr>
              <w:t xml:space="preserve"> </w:t>
            </w:r>
            <w:r>
              <w:rPr>
                <w:sz w:val="16"/>
              </w:rPr>
              <w:t>annually</w:t>
            </w:r>
            <w:r>
              <w:rPr>
                <w:spacing w:val="-7"/>
                <w:sz w:val="16"/>
              </w:rPr>
              <w:t xml:space="preserve"> </w:t>
            </w:r>
            <w:r>
              <w:rPr>
                <w:sz w:val="16"/>
              </w:rPr>
              <w:t>awards</w:t>
            </w:r>
            <w:r>
              <w:rPr>
                <w:spacing w:val="-4"/>
                <w:sz w:val="16"/>
              </w:rPr>
              <w:t xml:space="preserve"> </w:t>
            </w:r>
            <w:r>
              <w:rPr>
                <w:sz w:val="16"/>
              </w:rPr>
              <w:t>10,000</w:t>
            </w:r>
            <w:r>
              <w:rPr>
                <w:spacing w:val="-3"/>
                <w:sz w:val="16"/>
              </w:rPr>
              <w:t xml:space="preserve"> </w:t>
            </w:r>
            <w:r>
              <w:rPr>
                <w:sz w:val="16"/>
              </w:rPr>
              <w:t>grants</w:t>
            </w:r>
            <w:r>
              <w:rPr>
                <w:spacing w:val="-5"/>
                <w:sz w:val="16"/>
              </w:rPr>
              <w:t xml:space="preserve"> </w:t>
            </w:r>
            <w:r>
              <w:rPr>
                <w:sz w:val="16"/>
              </w:rPr>
              <w:t>directly</w:t>
            </w:r>
          </w:p>
          <w:p w:rsidR="00A56FE9" w:rsidRDefault="00000000">
            <w:pPr>
              <w:pStyle w:val="TableParagraph"/>
              <w:spacing w:line="167" w:lineRule="exact"/>
              <w:ind w:left="57"/>
              <w:rPr>
                <w:sz w:val="16"/>
              </w:rPr>
            </w:pPr>
            <w:r>
              <w:rPr>
                <w:sz w:val="16"/>
              </w:rPr>
              <w:t>to</w:t>
            </w:r>
            <w:r>
              <w:rPr>
                <w:spacing w:val="-4"/>
                <w:sz w:val="16"/>
              </w:rPr>
              <w:t xml:space="preserve"> </w:t>
            </w:r>
            <w:r>
              <w:rPr>
                <w:sz w:val="16"/>
              </w:rPr>
              <w:t>students</w:t>
            </w:r>
            <w:r>
              <w:rPr>
                <w:spacing w:val="-3"/>
                <w:sz w:val="16"/>
              </w:rPr>
              <w:t xml:space="preserve"> </w:t>
            </w:r>
            <w:r>
              <w:rPr>
                <w:sz w:val="16"/>
              </w:rPr>
              <w:t>of</w:t>
            </w:r>
            <w:r>
              <w:rPr>
                <w:spacing w:val="-4"/>
                <w:sz w:val="16"/>
              </w:rPr>
              <w:t xml:space="preserve"> </w:t>
            </w:r>
            <w:r>
              <w:rPr>
                <w:sz w:val="16"/>
              </w:rPr>
              <w:t>lower</w:t>
            </w:r>
            <w:r>
              <w:rPr>
                <w:spacing w:val="-4"/>
                <w:sz w:val="16"/>
              </w:rPr>
              <w:t xml:space="preserve"> </w:t>
            </w:r>
            <w:r>
              <w:rPr>
                <w:sz w:val="16"/>
              </w:rPr>
              <w:t>socioeconomic</w:t>
            </w:r>
            <w:r>
              <w:rPr>
                <w:spacing w:val="-2"/>
                <w:sz w:val="16"/>
              </w:rPr>
              <w:t xml:space="preserve"> </w:t>
            </w:r>
            <w:r>
              <w:rPr>
                <w:sz w:val="16"/>
              </w:rPr>
              <w:t>status.</w:t>
            </w:r>
          </w:p>
        </w:tc>
        <w:tc>
          <w:tcPr>
            <w:tcW w:w="112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90"/>
              <w:jc w:val="right"/>
              <w:rPr>
                <w:sz w:val="16"/>
              </w:rPr>
            </w:pPr>
            <w:r>
              <w:rPr>
                <w:sz w:val="16"/>
              </w:rPr>
              <w:t>143,237,615</w:t>
            </w:r>
          </w:p>
        </w:tc>
      </w:tr>
      <w:tr w:rsidR="00A56FE9">
        <w:trPr>
          <w:trHeight w:val="184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67</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0" w:lineRule="exact"/>
              <w:ind w:left="50"/>
              <w:rPr>
                <w:sz w:val="16"/>
              </w:rPr>
            </w:pPr>
            <w:r>
              <w:rPr>
                <w:sz w:val="16"/>
              </w:rPr>
              <w:t>2019.CSR2</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90"/>
              <w:jc w:val="center"/>
              <w:rPr>
                <w:sz w:val="16"/>
              </w:rPr>
            </w:pPr>
            <w:r>
              <w:rPr>
                <w:sz w:val="16"/>
              </w:rPr>
              <w:t>1</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586"/>
              <w:rPr>
                <w:sz w:val="16"/>
              </w:rPr>
            </w:pPr>
            <w:r>
              <w:rPr>
                <w:sz w:val="16"/>
              </w:rPr>
              <w:t>3</w:t>
            </w:r>
            <w:r>
              <w:rPr>
                <w:spacing w:val="-7"/>
                <w:sz w:val="16"/>
              </w:rPr>
              <w:t xml:space="preserve"> </w:t>
            </w:r>
            <w:r>
              <w:rPr>
                <w:sz w:val="16"/>
              </w:rPr>
              <w:t>-</w:t>
            </w:r>
            <w:r>
              <w:rPr>
                <w:spacing w:val="-8"/>
                <w:sz w:val="16"/>
              </w:rPr>
              <w:t xml:space="preserve"> </w:t>
            </w:r>
            <w:r>
              <w:rPr>
                <w:sz w:val="16"/>
              </w:rPr>
              <w:t>EDUCATION,</w:t>
            </w:r>
            <w:r>
              <w:rPr>
                <w:spacing w:val="-37"/>
                <w:sz w:val="16"/>
              </w:rPr>
              <w:t xml:space="preserve"> </w:t>
            </w:r>
            <w:r>
              <w:rPr>
                <w:sz w:val="16"/>
              </w:rPr>
              <w:t>SCIENCE AND</w:t>
            </w:r>
            <w:r>
              <w:rPr>
                <w:spacing w:val="1"/>
                <w:sz w:val="16"/>
              </w:rPr>
              <w:t xml:space="preserve"> </w:t>
            </w:r>
            <w:r>
              <w:rPr>
                <w:sz w:val="16"/>
              </w:rPr>
              <w:t>RESEARCH -</w:t>
            </w:r>
          </w:p>
          <w:p w:rsidR="00A56FE9" w:rsidRDefault="00000000">
            <w:pPr>
              <w:pStyle w:val="TableParagraph"/>
              <w:ind w:left="50" w:right="69"/>
              <w:rPr>
                <w:sz w:val="16"/>
              </w:rPr>
            </w:pPr>
            <w:r>
              <w:rPr>
                <w:sz w:val="16"/>
              </w:rPr>
              <w:t>Implementation of student</w:t>
            </w:r>
            <w:r>
              <w:rPr>
                <w:spacing w:val="-37"/>
                <w:sz w:val="16"/>
              </w:rPr>
              <w:t xml:space="preserve"> </w:t>
            </w:r>
            <w:r>
              <w:rPr>
                <w:sz w:val="16"/>
              </w:rPr>
              <w:t>scholarship</w:t>
            </w:r>
            <w:r>
              <w:rPr>
                <w:spacing w:val="-2"/>
                <w:sz w:val="16"/>
              </w:rPr>
              <w:t xml:space="preserve"> </w:t>
            </w:r>
            <w:r>
              <w:rPr>
                <w:sz w:val="16"/>
              </w:rPr>
              <w:t>programs</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230"/>
              <w:rPr>
                <w:sz w:val="16"/>
              </w:rPr>
            </w:pPr>
            <w:r>
              <w:rPr>
                <w:sz w:val="16"/>
              </w:rPr>
              <w:t>Awarding scholarships</w:t>
            </w:r>
            <w:r>
              <w:rPr>
                <w:spacing w:val="-37"/>
                <w:sz w:val="16"/>
              </w:rPr>
              <w:t xml:space="preserve"> </w:t>
            </w:r>
            <w:r>
              <w:rPr>
                <w:sz w:val="16"/>
              </w:rPr>
              <w:t>to students in STEM</w:t>
            </w:r>
            <w:r>
              <w:rPr>
                <w:spacing w:val="1"/>
                <w:sz w:val="16"/>
              </w:rPr>
              <w:t xml:space="preserve"> </w:t>
            </w:r>
            <w:r>
              <w:rPr>
                <w:sz w:val="16"/>
              </w:rPr>
              <w:t>priority</w:t>
            </w:r>
            <w:r>
              <w:rPr>
                <w:spacing w:val="-4"/>
                <w:sz w:val="16"/>
              </w:rPr>
              <w:t xml:space="preserve"> </w:t>
            </w:r>
            <w:r>
              <w:rPr>
                <w:sz w:val="16"/>
              </w:rPr>
              <w:t>areas</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43"/>
              <w:rPr>
                <w:sz w:val="16"/>
              </w:rPr>
            </w:pPr>
            <w:r>
              <w:rPr>
                <w:sz w:val="16"/>
              </w:rPr>
              <w:t>Announceme</w:t>
            </w:r>
            <w:r>
              <w:rPr>
                <w:spacing w:val="-37"/>
                <w:sz w:val="16"/>
              </w:rPr>
              <w:t xml:space="preserve"> </w:t>
            </w:r>
            <w:r>
              <w:rPr>
                <w:sz w:val="16"/>
              </w:rPr>
              <w:t>nt of the</w:t>
            </w:r>
            <w:r>
              <w:rPr>
                <w:spacing w:val="1"/>
                <w:sz w:val="16"/>
              </w:rPr>
              <w:t xml:space="preserve"> </w:t>
            </w:r>
            <w:r>
              <w:rPr>
                <w:sz w:val="16"/>
              </w:rPr>
              <w:t>Decision on</w:t>
            </w:r>
            <w:r>
              <w:rPr>
                <w:spacing w:val="1"/>
                <w:sz w:val="16"/>
              </w:rPr>
              <w:t xml:space="preserve"> </w:t>
            </w:r>
            <w:r>
              <w:rPr>
                <w:sz w:val="16"/>
              </w:rPr>
              <w:t>awarding</w:t>
            </w:r>
            <w:r>
              <w:rPr>
                <w:spacing w:val="1"/>
                <w:sz w:val="16"/>
              </w:rPr>
              <w:t xml:space="preserve"> </w:t>
            </w:r>
            <w:r>
              <w:rPr>
                <w:sz w:val="16"/>
              </w:rPr>
              <w:t>scholarships</w:t>
            </w:r>
            <w:r>
              <w:rPr>
                <w:spacing w:val="1"/>
                <w:sz w:val="16"/>
              </w:rPr>
              <w:t xml:space="preserve"> </w:t>
            </w:r>
            <w:r>
              <w:rPr>
                <w:sz w:val="16"/>
              </w:rPr>
              <w:t>to students in</w:t>
            </w:r>
            <w:r>
              <w:rPr>
                <w:spacing w:val="-37"/>
                <w:sz w:val="16"/>
              </w:rPr>
              <w:t xml:space="preserve"> </w:t>
            </w:r>
            <w:r>
              <w:rPr>
                <w:sz w:val="16"/>
              </w:rPr>
              <w:t>priority areas</w:t>
            </w:r>
            <w:r>
              <w:rPr>
                <w:spacing w:val="-37"/>
                <w:sz w:val="16"/>
              </w:rPr>
              <w:t xml:space="preserve"> </w:t>
            </w:r>
            <w:r>
              <w:rPr>
                <w:sz w:val="16"/>
              </w:rPr>
              <w:t>of</w:t>
            </w:r>
            <w:r>
              <w:rPr>
                <w:spacing w:val="-2"/>
                <w:sz w:val="16"/>
              </w:rPr>
              <w:t xml:space="preserve"> </w:t>
            </w:r>
            <w:r>
              <w:rPr>
                <w:sz w:val="16"/>
              </w:rPr>
              <w:t>STEM</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6" w:right="27"/>
              <w:jc w:val="center"/>
              <w:rPr>
                <w:sz w:val="16"/>
              </w:rPr>
            </w:pPr>
            <w:r>
              <w:rPr>
                <w:sz w:val="16"/>
              </w:rPr>
              <w:t>3,400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61" w:right="41"/>
              <w:jc w:val="center"/>
              <w:rPr>
                <w:sz w:val="16"/>
              </w:rPr>
            </w:pPr>
            <w:r>
              <w:rPr>
                <w:sz w:val="16"/>
              </w:rPr>
              <w:t>3,400</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MSE</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46"/>
              <w:rPr>
                <w:sz w:val="16"/>
              </w:rPr>
            </w:pPr>
            <w:r>
              <w:rPr>
                <w:sz w:val="16"/>
              </w:rPr>
              <w:t>The procedure for awarding state scholarships</w:t>
            </w:r>
            <w:r>
              <w:rPr>
                <w:spacing w:val="-37"/>
                <w:sz w:val="16"/>
              </w:rPr>
              <w:t xml:space="preserve"> </w:t>
            </w:r>
            <w:r>
              <w:rPr>
                <w:sz w:val="16"/>
              </w:rPr>
              <w:t>in STEM areas of science is carried out within</w:t>
            </w:r>
            <w:r>
              <w:rPr>
                <w:spacing w:val="-37"/>
                <w:sz w:val="16"/>
              </w:rPr>
              <w:t xml:space="preserve"> </w:t>
            </w:r>
            <w:r>
              <w:rPr>
                <w:sz w:val="16"/>
              </w:rPr>
              <w:t>the project Awarding Scholarships to Students</w:t>
            </w:r>
            <w:r>
              <w:rPr>
                <w:spacing w:val="-37"/>
                <w:sz w:val="16"/>
              </w:rPr>
              <w:t xml:space="preserve"> </w:t>
            </w:r>
            <w:r>
              <w:rPr>
                <w:sz w:val="16"/>
              </w:rPr>
              <w:t>in Priority Areas of STEM. The goal of the</w:t>
            </w:r>
            <w:r>
              <w:rPr>
                <w:spacing w:val="1"/>
                <w:sz w:val="16"/>
              </w:rPr>
              <w:t xml:space="preserve"> </w:t>
            </w:r>
            <w:r>
              <w:rPr>
                <w:sz w:val="16"/>
              </w:rPr>
              <w:t>annual award of 3,400 scholarships is to focus</w:t>
            </w:r>
            <w:r>
              <w:rPr>
                <w:spacing w:val="-37"/>
                <w:sz w:val="16"/>
              </w:rPr>
              <w:t xml:space="preserve"> </w:t>
            </w:r>
            <w:r>
              <w:rPr>
                <w:sz w:val="16"/>
              </w:rPr>
              <w:t>on study programs that have the greatest</w:t>
            </w:r>
            <w:r>
              <w:rPr>
                <w:spacing w:val="1"/>
                <w:sz w:val="16"/>
              </w:rPr>
              <w:t xml:space="preserve"> </w:t>
            </w:r>
            <w:r>
              <w:rPr>
                <w:sz w:val="16"/>
              </w:rPr>
              <w:t>prospects of generating economic growth in</w:t>
            </w:r>
            <w:r>
              <w:rPr>
                <w:spacing w:val="1"/>
                <w:sz w:val="16"/>
              </w:rPr>
              <w:t xml:space="preserve"> </w:t>
            </w:r>
            <w:r>
              <w:rPr>
                <w:sz w:val="16"/>
              </w:rPr>
              <w:t>the Republic of Croatia while encouraging</w:t>
            </w:r>
            <w:r>
              <w:rPr>
                <w:spacing w:val="1"/>
                <w:sz w:val="16"/>
              </w:rPr>
              <w:t xml:space="preserve"> </w:t>
            </w:r>
            <w:r>
              <w:rPr>
                <w:sz w:val="16"/>
              </w:rPr>
              <w:t>structural</w:t>
            </w:r>
            <w:r>
              <w:rPr>
                <w:spacing w:val="-3"/>
                <w:sz w:val="16"/>
              </w:rPr>
              <w:t xml:space="preserve"> </w:t>
            </w:r>
            <w:r>
              <w:rPr>
                <w:sz w:val="16"/>
              </w:rPr>
              <w:t>harmonisation</w:t>
            </w:r>
            <w:r>
              <w:rPr>
                <w:spacing w:val="-1"/>
                <w:sz w:val="16"/>
              </w:rPr>
              <w:t xml:space="preserve"> </w:t>
            </w:r>
            <w:r>
              <w:rPr>
                <w:sz w:val="16"/>
              </w:rPr>
              <w:t>of</w:t>
            </w:r>
            <w:r>
              <w:rPr>
                <w:spacing w:val="-2"/>
                <w:sz w:val="16"/>
              </w:rPr>
              <w:t xml:space="preserve"> </w:t>
            </w:r>
            <w:r>
              <w:rPr>
                <w:sz w:val="16"/>
              </w:rPr>
              <w:t>education</w:t>
            </w:r>
            <w:r>
              <w:rPr>
                <w:spacing w:val="-3"/>
                <w:sz w:val="16"/>
              </w:rPr>
              <w:t xml:space="preserve"> </w:t>
            </w:r>
            <w:r>
              <w:rPr>
                <w:sz w:val="16"/>
              </w:rPr>
              <w:t>and</w:t>
            </w:r>
          </w:p>
          <w:p w:rsidR="00A56FE9" w:rsidRDefault="00000000">
            <w:pPr>
              <w:pStyle w:val="TableParagraph"/>
              <w:spacing w:line="168" w:lineRule="exact"/>
              <w:ind w:left="57"/>
              <w:rPr>
                <w:sz w:val="16"/>
              </w:rPr>
            </w:pPr>
            <w:r>
              <w:rPr>
                <w:sz w:val="16"/>
              </w:rPr>
              <w:t>qualifications</w:t>
            </w:r>
            <w:r>
              <w:rPr>
                <w:spacing w:val="-4"/>
                <w:sz w:val="16"/>
              </w:rPr>
              <w:t xml:space="preserve"> </w:t>
            </w:r>
            <w:r>
              <w:rPr>
                <w:sz w:val="16"/>
              </w:rPr>
              <w:t>with</w:t>
            </w:r>
            <w:r>
              <w:rPr>
                <w:spacing w:val="-3"/>
                <w:sz w:val="16"/>
              </w:rPr>
              <w:t xml:space="preserve"> </w:t>
            </w:r>
            <w:r>
              <w:rPr>
                <w:sz w:val="16"/>
              </w:rPr>
              <w:t>labour</w:t>
            </w:r>
            <w:r>
              <w:rPr>
                <w:spacing w:val="-4"/>
                <w:sz w:val="16"/>
              </w:rPr>
              <w:t xml:space="preserve"> </w:t>
            </w:r>
            <w:r>
              <w:rPr>
                <w:sz w:val="16"/>
              </w:rPr>
              <w:t>market</w:t>
            </w:r>
            <w:r>
              <w:rPr>
                <w:spacing w:val="-5"/>
                <w:sz w:val="16"/>
              </w:rPr>
              <w:t xml:space="preserve"> </w:t>
            </w:r>
            <w:r>
              <w:rPr>
                <w:sz w:val="16"/>
              </w:rPr>
              <w:t>needs</w:t>
            </w:r>
            <w:r>
              <w:rPr>
                <w:spacing w:val="-4"/>
                <w:sz w:val="16"/>
              </w:rPr>
              <w:t xml:space="preserve"> </w:t>
            </w:r>
            <w:r>
              <w:rPr>
                <w:sz w:val="16"/>
              </w:rPr>
              <w:t>and</w:t>
            </w:r>
          </w:p>
        </w:tc>
        <w:tc>
          <w:tcPr>
            <w:tcW w:w="112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90"/>
              <w:jc w:val="right"/>
              <w:rPr>
                <w:sz w:val="16"/>
              </w:rPr>
            </w:pPr>
            <w:r>
              <w:rPr>
                <w:sz w:val="16"/>
              </w:rPr>
              <w:t>24,926,575</w:t>
            </w:r>
          </w:p>
        </w:tc>
      </w:tr>
    </w:tbl>
    <w:p w:rsidR="00A56FE9" w:rsidRDefault="00A56FE9">
      <w:pPr>
        <w:spacing w:line="181" w:lineRule="exact"/>
        <w:jc w:val="righ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546"/>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employment</w:t>
            </w:r>
            <w:r>
              <w:rPr>
                <w:spacing w:val="-3"/>
                <w:sz w:val="16"/>
              </w:rPr>
              <w:t xml:space="preserve"> </w:t>
            </w:r>
            <w:r>
              <w:rPr>
                <w:sz w:val="16"/>
              </w:rPr>
              <w:t>of</w:t>
            </w:r>
            <w:r>
              <w:rPr>
                <w:spacing w:val="-4"/>
                <w:sz w:val="16"/>
              </w:rPr>
              <w:t xml:space="preserve"> </w:t>
            </w:r>
            <w:r>
              <w:rPr>
                <w:sz w:val="16"/>
              </w:rPr>
              <w:t>graduates,</w:t>
            </w:r>
            <w:r>
              <w:rPr>
                <w:spacing w:val="-5"/>
                <w:sz w:val="16"/>
              </w:rPr>
              <w:t xml:space="preserve"> </w:t>
            </w:r>
            <w:r>
              <w:rPr>
                <w:sz w:val="16"/>
              </w:rPr>
              <w:t>in</w:t>
            </w:r>
            <w:r>
              <w:rPr>
                <w:spacing w:val="-4"/>
                <w:sz w:val="16"/>
              </w:rPr>
              <w:t xml:space="preserve"> </w:t>
            </w:r>
            <w:r>
              <w:rPr>
                <w:sz w:val="16"/>
              </w:rPr>
              <w:t>the</w:t>
            </w:r>
            <w:r>
              <w:rPr>
                <w:spacing w:val="-6"/>
                <w:sz w:val="16"/>
              </w:rPr>
              <w:t xml:space="preserve"> </w:t>
            </w:r>
            <w:r>
              <w:rPr>
                <w:sz w:val="16"/>
              </w:rPr>
              <w:t>continuation</w:t>
            </w:r>
          </w:p>
          <w:p w:rsidR="00A56FE9" w:rsidRDefault="00000000">
            <w:pPr>
              <w:pStyle w:val="TableParagraph"/>
              <w:spacing w:line="180" w:lineRule="atLeast"/>
              <w:ind w:left="57"/>
              <w:rPr>
                <w:sz w:val="16"/>
              </w:rPr>
            </w:pPr>
            <w:r>
              <w:rPr>
                <w:sz w:val="16"/>
              </w:rPr>
              <w:t>of dominance of study programs in social</w:t>
            </w:r>
            <w:r>
              <w:rPr>
                <w:spacing w:val="1"/>
                <w:sz w:val="16"/>
              </w:rPr>
              <w:t xml:space="preserve"> </w:t>
            </w:r>
            <w:r>
              <w:rPr>
                <w:sz w:val="16"/>
              </w:rPr>
              <w:t>sciences</w:t>
            </w:r>
            <w:r>
              <w:rPr>
                <w:spacing w:val="-4"/>
                <w:sz w:val="16"/>
              </w:rPr>
              <w:t xml:space="preserve"> </w:t>
            </w:r>
            <w:r>
              <w:rPr>
                <w:sz w:val="16"/>
              </w:rPr>
              <w:t>and</w:t>
            </w:r>
            <w:r>
              <w:rPr>
                <w:spacing w:val="-2"/>
                <w:sz w:val="16"/>
              </w:rPr>
              <w:t xml:space="preserve"> </w:t>
            </w:r>
            <w:r>
              <w:rPr>
                <w:sz w:val="16"/>
              </w:rPr>
              <w:t>the</w:t>
            </w:r>
            <w:r>
              <w:rPr>
                <w:spacing w:val="-5"/>
                <w:sz w:val="16"/>
              </w:rPr>
              <w:t xml:space="preserve"> </w:t>
            </w:r>
            <w:r>
              <w:rPr>
                <w:sz w:val="16"/>
              </w:rPr>
              <w:t>humanities</w:t>
            </w:r>
            <w:r>
              <w:rPr>
                <w:spacing w:val="-2"/>
                <w:sz w:val="16"/>
              </w:rPr>
              <w:t xml:space="preserve"> </w:t>
            </w:r>
            <w:r>
              <w:rPr>
                <w:sz w:val="16"/>
              </w:rPr>
              <w:t>at</w:t>
            </w:r>
            <w:r>
              <w:rPr>
                <w:spacing w:val="-2"/>
                <w:sz w:val="16"/>
              </w:rPr>
              <w:t xml:space="preserve"> </w:t>
            </w:r>
            <w:r>
              <w:rPr>
                <w:sz w:val="16"/>
              </w:rPr>
              <w:t>a</w:t>
            </w:r>
            <w:r>
              <w:rPr>
                <w:spacing w:val="-1"/>
                <w:sz w:val="16"/>
              </w:rPr>
              <w:t xml:space="preserve"> </w:t>
            </w:r>
            <w:r>
              <w:rPr>
                <w:sz w:val="16"/>
              </w:rPr>
              <w:t>ratio</w:t>
            </w:r>
            <w:r>
              <w:rPr>
                <w:spacing w:val="-4"/>
                <w:sz w:val="16"/>
              </w:rPr>
              <w:t xml:space="preserve"> </w:t>
            </w:r>
            <w:r>
              <w:rPr>
                <w:sz w:val="16"/>
              </w:rPr>
              <w:t>of</w:t>
            </w:r>
            <w:r>
              <w:rPr>
                <w:spacing w:val="-2"/>
                <w:sz w:val="16"/>
              </w:rPr>
              <w:t xml:space="preserve"> </w:t>
            </w:r>
            <w:r>
              <w:rPr>
                <w:sz w:val="16"/>
              </w:rPr>
              <w:t>60:40.</w:t>
            </w:r>
          </w:p>
        </w:tc>
        <w:tc>
          <w:tcPr>
            <w:tcW w:w="112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1656"/>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68</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0" w:lineRule="exact"/>
              <w:ind w:left="50"/>
              <w:rPr>
                <w:sz w:val="16"/>
              </w:rPr>
            </w:pPr>
            <w:r>
              <w:rPr>
                <w:sz w:val="16"/>
              </w:rPr>
              <w:t>2019.CSR2</w:t>
            </w:r>
          </w:p>
          <w:p w:rsidR="00A56FE9" w:rsidRDefault="00000000">
            <w:pPr>
              <w:pStyle w:val="TableParagraph"/>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before="1"/>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1</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50" w:right="586"/>
              <w:rPr>
                <w:sz w:val="16"/>
              </w:rPr>
            </w:pPr>
            <w:r>
              <w:rPr>
                <w:sz w:val="16"/>
              </w:rPr>
              <w:t>3</w:t>
            </w:r>
            <w:r>
              <w:rPr>
                <w:spacing w:val="-7"/>
                <w:sz w:val="16"/>
              </w:rPr>
              <w:t xml:space="preserve"> </w:t>
            </w:r>
            <w:r>
              <w:rPr>
                <w:sz w:val="16"/>
              </w:rPr>
              <w:t>-</w:t>
            </w:r>
            <w:r>
              <w:rPr>
                <w:spacing w:val="-8"/>
                <w:sz w:val="16"/>
              </w:rPr>
              <w:t xml:space="preserve"> </w:t>
            </w:r>
            <w:r>
              <w:rPr>
                <w:sz w:val="16"/>
              </w:rPr>
              <w:t>EDUCATION,</w:t>
            </w:r>
            <w:r>
              <w:rPr>
                <w:spacing w:val="-37"/>
                <w:sz w:val="16"/>
              </w:rPr>
              <w:t xml:space="preserve"> </w:t>
            </w:r>
            <w:r>
              <w:rPr>
                <w:sz w:val="16"/>
              </w:rPr>
              <w:t>SCIENCE</w:t>
            </w:r>
            <w:r>
              <w:rPr>
                <w:spacing w:val="-2"/>
                <w:sz w:val="16"/>
              </w:rPr>
              <w:t xml:space="preserve"> </w:t>
            </w:r>
            <w:r>
              <w:rPr>
                <w:sz w:val="16"/>
              </w:rPr>
              <w:t>AND</w:t>
            </w:r>
          </w:p>
          <w:p w:rsidR="00A56FE9" w:rsidRDefault="00000000">
            <w:pPr>
              <w:pStyle w:val="TableParagraph"/>
              <w:ind w:left="50" w:right="122"/>
              <w:rPr>
                <w:sz w:val="16"/>
              </w:rPr>
            </w:pPr>
            <w:r>
              <w:rPr>
                <w:sz w:val="16"/>
              </w:rPr>
              <w:t>RESEARCH - Increasing</w:t>
            </w:r>
            <w:r>
              <w:rPr>
                <w:spacing w:val="-37"/>
                <w:sz w:val="16"/>
              </w:rPr>
              <w:t xml:space="preserve"> </w:t>
            </w:r>
            <w:r>
              <w:rPr>
                <w:sz w:val="16"/>
              </w:rPr>
              <w:t>the coverage of adults</w:t>
            </w:r>
            <w:r>
              <w:rPr>
                <w:spacing w:val="1"/>
                <w:sz w:val="16"/>
              </w:rPr>
              <w:t xml:space="preserve"> </w:t>
            </w:r>
            <w:r>
              <w:rPr>
                <w:sz w:val="16"/>
              </w:rPr>
              <w:t>involved in lifelong</w:t>
            </w:r>
            <w:r>
              <w:rPr>
                <w:spacing w:val="1"/>
                <w:sz w:val="16"/>
              </w:rPr>
              <w:t xml:space="preserve"> </w:t>
            </w:r>
            <w:r>
              <w:rPr>
                <w:sz w:val="16"/>
              </w:rPr>
              <w:t>learning</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12"/>
              <w:rPr>
                <w:sz w:val="16"/>
              </w:rPr>
            </w:pPr>
            <w:r>
              <w:rPr>
                <w:sz w:val="16"/>
              </w:rPr>
              <w:t>Adoption of the National</w:t>
            </w:r>
            <w:r>
              <w:rPr>
                <w:spacing w:val="-37"/>
                <w:sz w:val="16"/>
              </w:rPr>
              <w:t xml:space="preserve"> </w:t>
            </w:r>
            <w:r>
              <w:rPr>
                <w:sz w:val="16"/>
              </w:rPr>
              <w:t>Plan</w:t>
            </w:r>
            <w:r>
              <w:rPr>
                <w:spacing w:val="1"/>
                <w:sz w:val="16"/>
              </w:rPr>
              <w:t xml:space="preserve"> </w:t>
            </w:r>
            <w:r>
              <w:rPr>
                <w:sz w:val="16"/>
              </w:rPr>
              <w:t>for</w:t>
            </w:r>
            <w:r>
              <w:rPr>
                <w:spacing w:val="-1"/>
                <w:sz w:val="16"/>
              </w:rPr>
              <w:t xml:space="preserve"> </w:t>
            </w:r>
            <w:r>
              <w:rPr>
                <w:sz w:val="16"/>
              </w:rPr>
              <w:t>the</w:t>
            </w:r>
            <w:r>
              <w:rPr>
                <w:spacing w:val="1"/>
                <w:sz w:val="16"/>
              </w:rPr>
              <w:t xml:space="preserve"> </w:t>
            </w:r>
            <w:r>
              <w:rPr>
                <w:sz w:val="16"/>
              </w:rPr>
              <w:t>Development of the</w:t>
            </w:r>
            <w:r>
              <w:rPr>
                <w:spacing w:val="1"/>
                <w:sz w:val="16"/>
              </w:rPr>
              <w:t xml:space="preserve"> </w:t>
            </w:r>
            <w:r>
              <w:rPr>
                <w:sz w:val="16"/>
              </w:rPr>
              <w:t>Education</w:t>
            </w:r>
            <w:r>
              <w:rPr>
                <w:spacing w:val="-2"/>
                <w:sz w:val="16"/>
              </w:rPr>
              <w:t xml:space="preserve"> </w:t>
            </w:r>
            <w:r>
              <w:rPr>
                <w:sz w:val="16"/>
              </w:rPr>
              <w:t>System</w:t>
            </w:r>
            <w:r>
              <w:rPr>
                <w:spacing w:val="-3"/>
                <w:sz w:val="16"/>
              </w:rPr>
              <w:t xml:space="preserve"> </w:t>
            </w:r>
            <w:r>
              <w:rPr>
                <w:sz w:val="16"/>
              </w:rPr>
              <w:t>2021-</w:t>
            </w:r>
          </w:p>
          <w:p w:rsidR="00A56FE9" w:rsidRDefault="00000000">
            <w:pPr>
              <w:pStyle w:val="TableParagraph"/>
              <w:spacing w:line="183" w:lineRule="exact"/>
              <w:ind w:left="109"/>
              <w:rPr>
                <w:sz w:val="16"/>
              </w:rPr>
            </w:pPr>
            <w:r>
              <w:rPr>
                <w:sz w:val="16"/>
              </w:rPr>
              <w:t>2027</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MSE</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90"/>
              <w:rPr>
                <w:sz w:val="16"/>
              </w:rPr>
            </w:pPr>
            <w:r>
              <w:rPr>
                <w:sz w:val="16"/>
              </w:rPr>
              <w:t>In the National Plan for the Development of</w:t>
            </w:r>
            <w:r>
              <w:rPr>
                <w:spacing w:val="1"/>
                <w:sz w:val="16"/>
              </w:rPr>
              <w:t xml:space="preserve"> </w:t>
            </w:r>
            <w:r>
              <w:rPr>
                <w:sz w:val="16"/>
              </w:rPr>
              <w:t>the Education System 2021-2027 will include</w:t>
            </w:r>
            <w:r>
              <w:rPr>
                <w:spacing w:val="-37"/>
                <w:sz w:val="16"/>
              </w:rPr>
              <w:t xml:space="preserve"> </w:t>
            </w:r>
            <w:r>
              <w:rPr>
                <w:sz w:val="16"/>
              </w:rPr>
              <w:t>an indicator on the basis of which the Action</w:t>
            </w:r>
            <w:r>
              <w:rPr>
                <w:spacing w:val="1"/>
                <w:sz w:val="16"/>
              </w:rPr>
              <w:t xml:space="preserve"> </w:t>
            </w:r>
            <w:r>
              <w:rPr>
                <w:sz w:val="16"/>
              </w:rPr>
              <w:t>Plan for the Implementation of the European</w:t>
            </w:r>
            <w:r>
              <w:rPr>
                <w:spacing w:val="1"/>
                <w:sz w:val="16"/>
              </w:rPr>
              <w:t xml:space="preserve"> </w:t>
            </w:r>
            <w:r>
              <w:rPr>
                <w:sz w:val="16"/>
              </w:rPr>
              <w:t>Pillar of Social Rights (Involvement in Adult</w:t>
            </w:r>
            <w:r>
              <w:rPr>
                <w:spacing w:val="1"/>
                <w:sz w:val="16"/>
              </w:rPr>
              <w:t xml:space="preserve"> </w:t>
            </w:r>
            <w:r>
              <w:rPr>
                <w:sz w:val="16"/>
              </w:rPr>
              <w:t>Education in the Last Year) will increase the</w:t>
            </w:r>
            <w:r>
              <w:rPr>
                <w:spacing w:val="1"/>
                <w:sz w:val="16"/>
              </w:rPr>
              <w:t xml:space="preserve"> </w:t>
            </w:r>
            <w:r>
              <w:rPr>
                <w:sz w:val="16"/>
              </w:rPr>
              <w:t>rate of adults (age groups 25-64) in education</w:t>
            </w:r>
            <w:r>
              <w:rPr>
                <w:spacing w:val="-37"/>
                <w:sz w:val="16"/>
              </w:rPr>
              <w:t xml:space="preserve"> </w:t>
            </w:r>
            <w:r>
              <w:rPr>
                <w:sz w:val="16"/>
              </w:rPr>
              <w:t>and</w:t>
            </w:r>
            <w:r>
              <w:rPr>
                <w:spacing w:val="-2"/>
                <w:sz w:val="16"/>
              </w:rPr>
              <w:t xml:space="preserve"> </w:t>
            </w:r>
            <w:r>
              <w:rPr>
                <w:sz w:val="16"/>
              </w:rPr>
              <w:t>training</w:t>
            </w:r>
            <w:r>
              <w:rPr>
                <w:spacing w:val="-4"/>
                <w:sz w:val="16"/>
              </w:rPr>
              <w:t xml:space="preserve"> </w:t>
            </w:r>
            <w:r>
              <w:rPr>
                <w:sz w:val="16"/>
              </w:rPr>
              <w:t>in</w:t>
            </w:r>
            <w:r>
              <w:rPr>
                <w:spacing w:val="-2"/>
                <w:sz w:val="16"/>
              </w:rPr>
              <w:t xml:space="preserve"> </w:t>
            </w:r>
            <w:r>
              <w:rPr>
                <w:sz w:val="16"/>
              </w:rPr>
              <w:t>the</w:t>
            </w:r>
            <w:r>
              <w:rPr>
                <w:spacing w:val="-3"/>
                <w:sz w:val="16"/>
              </w:rPr>
              <w:t xml:space="preserve"> </w:t>
            </w:r>
            <w:r>
              <w:rPr>
                <w:sz w:val="16"/>
              </w:rPr>
              <w:t>last year</w:t>
            </w:r>
            <w:r>
              <w:rPr>
                <w:spacing w:val="-2"/>
                <w:sz w:val="16"/>
              </w:rPr>
              <w:t xml:space="preserve"> </w:t>
            </w:r>
            <w:r>
              <w:rPr>
                <w:sz w:val="16"/>
              </w:rPr>
              <w:t>and</w:t>
            </w:r>
            <w:r>
              <w:rPr>
                <w:spacing w:val="-2"/>
                <w:sz w:val="16"/>
              </w:rPr>
              <w:t xml:space="preserve"> </w:t>
            </w:r>
            <w:r>
              <w:rPr>
                <w:sz w:val="16"/>
              </w:rPr>
              <w:t>2027</w:t>
            </w:r>
            <w:r>
              <w:rPr>
                <w:spacing w:val="-4"/>
                <w:sz w:val="16"/>
              </w:rPr>
              <w:t xml:space="preserve"> </w:t>
            </w:r>
            <w:r>
              <w:rPr>
                <w:sz w:val="16"/>
              </w:rPr>
              <w:t>to</w:t>
            </w:r>
            <w:r>
              <w:rPr>
                <w:spacing w:val="-2"/>
                <w:sz w:val="16"/>
              </w:rPr>
              <w:t xml:space="preserve"> </w:t>
            </w:r>
            <w:r>
              <w:rPr>
                <w:sz w:val="16"/>
              </w:rPr>
              <w:t>be</w:t>
            </w:r>
            <w:r>
              <w:rPr>
                <w:spacing w:val="-2"/>
                <w:sz w:val="16"/>
              </w:rPr>
              <w:t xml:space="preserve"> </w:t>
            </w:r>
            <w:r>
              <w:rPr>
                <w:sz w:val="16"/>
              </w:rPr>
              <w:t>at</w:t>
            </w:r>
          </w:p>
          <w:p w:rsidR="00A56FE9" w:rsidRDefault="00000000">
            <w:pPr>
              <w:pStyle w:val="TableParagraph"/>
              <w:spacing w:line="167" w:lineRule="exact"/>
              <w:ind w:left="57"/>
              <w:rPr>
                <w:sz w:val="16"/>
              </w:rPr>
            </w:pPr>
            <w:r>
              <w:rPr>
                <w:sz w:val="16"/>
              </w:rPr>
              <w:t>least</w:t>
            </w:r>
            <w:r>
              <w:rPr>
                <w:spacing w:val="-1"/>
                <w:sz w:val="16"/>
              </w:rPr>
              <w:t xml:space="preserve"> </w:t>
            </w:r>
            <w:r>
              <w:rPr>
                <w:sz w:val="16"/>
              </w:rPr>
              <w:t>45%.</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3127"/>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69</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0" w:lineRule="exact"/>
              <w:ind w:left="50"/>
              <w:rPr>
                <w:sz w:val="16"/>
              </w:rPr>
            </w:pPr>
            <w:r>
              <w:rPr>
                <w:sz w:val="16"/>
              </w:rPr>
              <w:t>2019.CSR2</w:t>
            </w:r>
          </w:p>
          <w:p w:rsidR="00A56FE9" w:rsidRDefault="00000000">
            <w:pPr>
              <w:pStyle w:val="TableParagraph"/>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before="1"/>
              <w:ind w:left="50"/>
              <w:rPr>
                <w:sz w:val="16"/>
              </w:rPr>
            </w:pPr>
            <w:r>
              <w:rPr>
                <w:sz w:val="16"/>
              </w:rPr>
              <w:t>.subpart3</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586"/>
              <w:rPr>
                <w:sz w:val="16"/>
              </w:rPr>
            </w:pPr>
            <w:r>
              <w:rPr>
                <w:sz w:val="16"/>
              </w:rPr>
              <w:t>3</w:t>
            </w:r>
            <w:r>
              <w:rPr>
                <w:spacing w:val="-7"/>
                <w:sz w:val="16"/>
              </w:rPr>
              <w:t xml:space="preserve"> </w:t>
            </w:r>
            <w:r>
              <w:rPr>
                <w:sz w:val="16"/>
              </w:rPr>
              <w:t>-</w:t>
            </w:r>
            <w:r>
              <w:rPr>
                <w:spacing w:val="-8"/>
                <w:sz w:val="16"/>
              </w:rPr>
              <w:t xml:space="preserve"> </w:t>
            </w:r>
            <w:r>
              <w:rPr>
                <w:sz w:val="16"/>
              </w:rPr>
              <w:t>EDUCATION,</w:t>
            </w:r>
            <w:r>
              <w:rPr>
                <w:spacing w:val="-37"/>
                <w:sz w:val="16"/>
              </w:rPr>
              <w:t xml:space="preserve"> </w:t>
            </w:r>
            <w:r>
              <w:rPr>
                <w:sz w:val="16"/>
              </w:rPr>
              <w:t>SCIENCE AND</w:t>
            </w:r>
            <w:r>
              <w:rPr>
                <w:spacing w:val="1"/>
                <w:sz w:val="16"/>
              </w:rPr>
              <w:t xml:space="preserve"> </w:t>
            </w:r>
            <w:r>
              <w:rPr>
                <w:sz w:val="16"/>
              </w:rPr>
              <w:t>RESEARCH -</w:t>
            </w:r>
          </w:p>
          <w:p w:rsidR="00A56FE9" w:rsidRDefault="00000000">
            <w:pPr>
              <w:pStyle w:val="TableParagraph"/>
              <w:ind w:left="50" w:right="202"/>
              <w:rPr>
                <w:sz w:val="16"/>
              </w:rPr>
            </w:pPr>
            <w:r>
              <w:rPr>
                <w:sz w:val="16"/>
              </w:rPr>
              <w:t>Modernisation of higher</w:t>
            </w:r>
            <w:r>
              <w:rPr>
                <w:spacing w:val="-38"/>
                <w:sz w:val="16"/>
              </w:rPr>
              <w:t xml:space="preserve"> </w:t>
            </w:r>
            <w:r>
              <w:rPr>
                <w:sz w:val="16"/>
              </w:rPr>
              <w:t>education</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109" w:right="101"/>
              <w:rPr>
                <w:sz w:val="16"/>
              </w:rPr>
            </w:pPr>
            <w:r>
              <w:rPr>
                <w:sz w:val="16"/>
              </w:rPr>
              <w:t>Digital transformation of</w:t>
            </w:r>
            <w:r>
              <w:rPr>
                <w:spacing w:val="-37"/>
                <w:sz w:val="16"/>
              </w:rPr>
              <w:t xml:space="preserve"> </w:t>
            </w:r>
            <w:r>
              <w:rPr>
                <w:sz w:val="16"/>
              </w:rPr>
              <w:t>higher</w:t>
            </w:r>
            <w:r>
              <w:rPr>
                <w:spacing w:val="-2"/>
                <w:sz w:val="16"/>
              </w:rPr>
              <w:t xml:space="preserve"> </w:t>
            </w:r>
            <w:r>
              <w:rPr>
                <w:sz w:val="16"/>
              </w:rPr>
              <w:t>education</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83"/>
              <w:rPr>
                <w:sz w:val="16"/>
              </w:rPr>
            </w:pPr>
            <w:r>
              <w:rPr>
                <w:sz w:val="16"/>
              </w:rPr>
              <w:t>Information</w:t>
            </w:r>
            <w:r>
              <w:rPr>
                <w:spacing w:val="1"/>
                <w:sz w:val="16"/>
              </w:rPr>
              <w:t xml:space="preserve"> </w:t>
            </w:r>
            <w:r>
              <w:rPr>
                <w:sz w:val="16"/>
              </w:rPr>
              <w:t>system</w:t>
            </w:r>
            <w:r>
              <w:rPr>
                <w:spacing w:val="1"/>
                <w:sz w:val="16"/>
              </w:rPr>
              <w:t xml:space="preserve"> </w:t>
            </w:r>
            <w:r>
              <w:rPr>
                <w:sz w:val="16"/>
              </w:rPr>
              <w:t>Central</w:t>
            </w:r>
            <w:r>
              <w:rPr>
                <w:spacing w:val="1"/>
                <w:sz w:val="16"/>
              </w:rPr>
              <w:t xml:space="preserve"> </w:t>
            </w:r>
            <w:r>
              <w:rPr>
                <w:sz w:val="16"/>
              </w:rPr>
              <w:t>Records of</w:t>
            </w:r>
            <w:r>
              <w:rPr>
                <w:spacing w:val="1"/>
                <w:sz w:val="16"/>
              </w:rPr>
              <w:t xml:space="preserve"> </w:t>
            </w:r>
            <w:r>
              <w:rPr>
                <w:sz w:val="16"/>
              </w:rPr>
              <w:t>Higher</w:t>
            </w:r>
            <w:r>
              <w:rPr>
                <w:spacing w:val="1"/>
                <w:sz w:val="16"/>
              </w:rPr>
              <w:t xml:space="preserve"> </w:t>
            </w:r>
            <w:r>
              <w:rPr>
                <w:spacing w:val="-1"/>
                <w:sz w:val="16"/>
              </w:rPr>
              <w:t xml:space="preserve">Education </w:t>
            </w:r>
            <w:r>
              <w:rPr>
                <w:sz w:val="16"/>
              </w:rPr>
              <w:t>of</w:t>
            </w:r>
            <w:r>
              <w:rPr>
                <w:spacing w:val="-37"/>
                <w:sz w:val="16"/>
              </w:rPr>
              <w:t xml:space="preserve"> </w:t>
            </w:r>
            <w:r>
              <w:rPr>
                <w:sz w:val="16"/>
              </w:rPr>
              <w:t>the Republic</w:t>
            </w:r>
            <w:r>
              <w:rPr>
                <w:spacing w:val="-37"/>
                <w:sz w:val="16"/>
              </w:rPr>
              <w:t xml:space="preserve"> </w:t>
            </w:r>
            <w:r>
              <w:rPr>
                <w:sz w:val="16"/>
              </w:rPr>
              <w:t>of Croatia is</w:t>
            </w:r>
            <w:r>
              <w:rPr>
                <w:spacing w:val="-37"/>
                <w:sz w:val="16"/>
              </w:rPr>
              <w:t xml:space="preserve"> </w:t>
            </w:r>
            <w:r>
              <w:rPr>
                <w:sz w:val="16"/>
              </w:rPr>
              <w:t>developed</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MSE</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36"/>
              <w:rPr>
                <w:sz w:val="16"/>
              </w:rPr>
            </w:pPr>
            <w:r>
              <w:rPr>
                <w:sz w:val="16"/>
              </w:rPr>
              <w:t>A prerequisite for the introduction of a new</w:t>
            </w:r>
            <w:r>
              <w:rPr>
                <w:spacing w:val="1"/>
                <w:sz w:val="16"/>
              </w:rPr>
              <w:t xml:space="preserve"> </w:t>
            </w:r>
            <w:r>
              <w:rPr>
                <w:sz w:val="16"/>
              </w:rPr>
              <w:t>funding model is the existence of reliable data</w:t>
            </w:r>
            <w:r>
              <w:rPr>
                <w:spacing w:val="1"/>
                <w:sz w:val="16"/>
              </w:rPr>
              <w:t xml:space="preserve"> </w:t>
            </w:r>
            <w:r>
              <w:rPr>
                <w:sz w:val="16"/>
              </w:rPr>
              <w:t>in records in higher education. Devising the</w:t>
            </w:r>
            <w:r>
              <w:rPr>
                <w:spacing w:val="1"/>
                <w:sz w:val="16"/>
              </w:rPr>
              <w:t xml:space="preserve"> </w:t>
            </w:r>
            <w:r>
              <w:rPr>
                <w:sz w:val="16"/>
              </w:rPr>
              <w:t>Central Records of Higher Education of the</w:t>
            </w:r>
            <w:r>
              <w:rPr>
                <w:spacing w:val="1"/>
                <w:sz w:val="16"/>
              </w:rPr>
              <w:t xml:space="preserve"> </w:t>
            </w:r>
            <w:r>
              <w:rPr>
                <w:sz w:val="16"/>
              </w:rPr>
              <w:t>Republic of Croatia, as the central information</w:t>
            </w:r>
            <w:r>
              <w:rPr>
                <w:spacing w:val="-37"/>
                <w:sz w:val="16"/>
              </w:rPr>
              <w:t xml:space="preserve"> </w:t>
            </w:r>
            <w:r>
              <w:rPr>
                <w:sz w:val="16"/>
              </w:rPr>
              <w:t>system in higher education, will connect</w:t>
            </w:r>
            <w:r>
              <w:rPr>
                <w:spacing w:val="1"/>
                <w:sz w:val="16"/>
              </w:rPr>
              <w:t xml:space="preserve"> </w:t>
            </w:r>
            <w:r>
              <w:rPr>
                <w:sz w:val="16"/>
              </w:rPr>
              <w:t>individual information systems (records) in</w:t>
            </w:r>
            <w:r>
              <w:rPr>
                <w:spacing w:val="1"/>
                <w:sz w:val="16"/>
              </w:rPr>
              <w:t xml:space="preserve"> </w:t>
            </w:r>
            <w:r>
              <w:rPr>
                <w:sz w:val="16"/>
              </w:rPr>
              <w:t>higher education, which will enable better</w:t>
            </w:r>
            <w:r>
              <w:rPr>
                <w:spacing w:val="1"/>
                <w:sz w:val="16"/>
              </w:rPr>
              <w:t xml:space="preserve"> </w:t>
            </w:r>
            <w:r>
              <w:rPr>
                <w:sz w:val="16"/>
              </w:rPr>
              <w:t>analysis</w:t>
            </w:r>
            <w:r>
              <w:rPr>
                <w:spacing w:val="-4"/>
                <w:sz w:val="16"/>
              </w:rPr>
              <w:t xml:space="preserve"> </w:t>
            </w:r>
            <w:r>
              <w:rPr>
                <w:sz w:val="16"/>
              </w:rPr>
              <w:t>of</w:t>
            </w:r>
            <w:r>
              <w:rPr>
                <w:spacing w:val="-4"/>
                <w:sz w:val="16"/>
              </w:rPr>
              <w:t xml:space="preserve"> </w:t>
            </w:r>
            <w:r>
              <w:rPr>
                <w:sz w:val="16"/>
              </w:rPr>
              <w:t>data</w:t>
            </w:r>
            <w:r>
              <w:rPr>
                <w:spacing w:val="-5"/>
                <w:sz w:val="16"/>
              </w:rPr>
              <w:t xml:space="preserve"> </w:t>
            </w:r>
            <w:r>
              <w:rPr>
                <w:sz w:val="16"/>
              </w:rPr>
              <w:t>from</w:t>
            </w:r>
            <w:r>
              <w:rPr>
                <w:spacing w:val="-3"/>
                <w:sz w:val="16"/>
              </w:rPr>
              <w:t xml:space="preserve"> </w:t>
            </w:r>
            <w:r>
              <w:rPr>
                <w:sz w:val="16"/>
              </w:rPr>
              <w:t>higher</w:t>
            </w:r>
            <w:r>
              <w:rPr>
                <w:spacing w:val="-4"/>
                <w:sz w:val="16"/>
              </w:rPr>
              <w:t xml:space="preserve"> </w:t>
            </w:r>
            <w:r>
              <w:rPr>
                <w:sz w:val="16"/>
              </w:rPr>
              <w:t>education</w:t>
            </w:r>
            <w:r>
              <w:rPr>
                <w:spacing w:val="-2"/>
                <w:sz w:val="16"/>
              </w:rPr>
              <w:t xml:space="preserve"> </w:t>
            </w:r>
            <w:r>
              <w:rPr>
                <w:sz w:val="16"/>
              </w:rPr>
              <w:t>systems</w:t>
            </w:r>
            <w:r>
              <w:rPr>
                <w:spacing w:val="-37"/>
                <w:sz w:val="16"/>
              </w:rPr>
              <w:t xml:space="preserve"> </w:t>
            </w:r>
            <w:r>
              <w:rPr>
                <w:sz w:val="16"/>
              </w:rPr>
              <w:t>and their connection with other national</w:t>
            </w:r>
            <w:r>
              <w:rPr>
                <w:spacing w:val="1"/>
                <w:sz w:val="16"/>
              </w:rPr>
              <w:t xml:space="preserve"> </w:t>
            </w:r>
            <w:r>
              <w:rPr>
                <w:sz w:val="16"/>
              </w:rPr>
              <w:t>information systems. This will enable quality</w:t>
            </w:r>
            <w:r>
              <w:rPr>
                <w:spacing w:val="1"/>
                <w:sz w:val="16"/>
              </w:rPr>
              <w:t xml:space="preserve"> </w:t>
            </w:r>
            <w:r>
              <w:rPr>
                <w:sz w:val="16"/>
              </w:rPr>
              <w:t>monitoring of indicators important for the</w:t>
            </w:r>
            <w:r>
              <w:rPr>
                <w:spacing w:val="1"/>
                <w:sz w:val="16"/>
              </w:rPr>
              <w:t xml:space="preserve"> </w:t>
            </w:r>
            <w:r>
              <w:rPr>
                <w:sz w:val="16"/>
              </w:rPr>
              <w:t>adoption of national policies, including</w:t>
            </w:r>
            <w:r>
              <w:rPr>
                <w:spacing w:val="1"/>
                <w:sz w:val="16"/>
              </w:rPr>
              <w:t xml:space="preserve"> </w:t>
            </w:r>
            <w:r>
              <w:rPr>
                <w:sz w:val="16"/>
              </w:rPr>
              <w:t>mobility, progress through studies, graduation</w:t>
            </w:r>
            <w:r>
              <w:rPr>
                <w:spacing w:val="1"/>
                <w:sz w:val="16"/>
              </w:rPr>
              <w:t xml:space="preserve"> </w:t>
            </w:r>
            <w:r>
              <w:rPr>
                <w:sz w:val="16"/>
              </w:rPr>
              <w:t>and employability of students in certain</w:t>
            </w:r>
            <w:r>
              <w:rPr>
                <w:spacing w:val="1"/>
                <w:sz w:val="16"/>
              </w:rPr>
              <w:t xml:space="preserve"> </w:t>
            </w:r>
            <w:r>
              <w:rPr>
                <w:sz w:val="16"/>
              </w:rPr>
              <w:t>studies,</w:t>
            </w:r>
            <w:r>
              <w:rPr>
                <w:spacing w:val="-3"/>
                <w:sz w:val="16"/>
              </w:rPr>
              <w:t xml:space="preserve"> </w:t>
            </w:r>
            <w:r>
              <w:rPr>
                <w:sz w:val="16"/>
              </w:rPr>
              <w:t>employment,</w:t>
            </w:r>
            <w:r>
              <w:rPr>
                <w:spacing w:val="-2"/>
                <w:sz w:val="16"/>
              </w:rPr>
              <w:t xml:space="preserve"> </w:t>
            </w:r>
            <w:r>
              <w:rPr>
                <w:sz w:val="16"/>
              </w:rPr>
              <w:t>promotion</w:t>
            </w:r>
            <w:r>
              <w:rPr>
                <w:spacing w:val="-4"/>
                <w:sz w:val="16"/>
              </w:rPr>
              <w:t xml:space="preserve"> </w:t>
            </w:r>
            <w:r>
              <w:rPr>
                <w:sz w:val="16"/>
              </w:rPr>
              <w:t>and</w:t>
            </w:r>
            <w:r>
              <w:rPr>
                <w:spacing w:val="-3"/>
                <w:sz w:val="16"/>
              </w:rPr>
              <w:t xml:space="preserve"> </w:t>
            </w:r>
            <w:r>
              <w:rPr>
                <w:sz w:val="16"/>
              </w:rPr>
              <w:t>mobility</w:t>
            </w:r>
          </w:p>
          <w:p w:rsidR="00A56FE9" w:rsidRDefault="00000000">
            <w:pPr>
              <w:pStyle w:val="TableParagraph"/>
              <w:spacing w:line="167" w:lineRule="exact"/>
              <w:ind w:left="57"/>
              <w:rPr>
                <w:sz w:val="16"/>
              </w:rPr>
            </w:pPr>
            <w:r>
              <w:rPr>
                <w:sz w:val="16"/>
              </w:rPr>
              <w:t>of</w:t>
            </w:r>
            <w:r>
              <w:rPr>
                <w:spacing w:val="-3"/>
                <w:sz w:val="16"/>
              </w:rPr>
              <w:t xml:space="preserve"> </w:t>
            </w:r>
            <w:r>
              <w:rPr>
                <w:sz w:val="16"/>
              </w:rPr>
              <w:t>teachers</w:t>
            </w:r>
            <w:r>
              <w:rPr>
                <w:spacing w:val="-2"/>
                <w:sz w:val="16"/>
              </w:rPr>
              <w:t xml:space="preserve"> </w:t>
            </w:r>
            <w:r>
              <w:rPr>
                <w:sz w:val="16"/>
              </w:rPr>
              <w:t>and</w:t>
            </w:r>
            <w:r>
              <w:rPr>
                <w:spacing w:val="-3"/>
                <w:sz w:val="16"/>
              </w:rPr>
              <w:t xml:space="preserve"> </w:t>
            </w:r>
            <w:r>
              <w:rPr>
                <w:sz w:val="16"/>
              </w:rPr>
              <w:t>more.</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239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70</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2019.CSR2</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line="183" w:lineRule="exact"/>
              <w:ind w:left="50"/>
              <w:rPr>
                <w:sz w:val="16"/>
              </w:rPr>
            </w:pPr>
            <w:r>
              <w:rPr>
                <w:sz w:val="16"/>
              </w:rPr>
              <w:t>.subpart3</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586"/>
              <w:rPr>
                <w:sz w:val="16"/>
              </w:rPr>
            </w:pPr>
            <w:r>
              <w:rPr>
                <w:sz w:val="16"/>
              </w:rPr>
              <w:t>3</w:t>
            </w:r>
            <w:r>
              <w:rPr>
                <w:spacing w:val="-7"/>
                <w:sz w:val="16"/>
              </w:rPr>
              <w:t xml:space="preserve"> </w:t>
            </w:r>
            <w:r>
              <w:rPr>
                <w:sz w:val="16"/>
              </w:rPr>
              <w:t>-</w:t>
            </w:r>
            <w:r>
              <w:rPr>
                <w:spacing w:val="-8"/>
                <w:sz w:val="16"/>
              </w:rPr>
              <w:t xml:space="preserve"> </w:t>
            </w:r>
            <w:r>
              <w:rPr>
                <w:sz w:val="16"/>
              </w:rPr>
              <w:t>EDUCATION,</w:t>
            </w:r>
            <w:r>
              <w:rPr>
                <w:spacing w:val="-37"/>
                <w:sz w:val="16"/>
              </w:rPr>
              <w:t xml:space="preserve"> </w:t>
            </w:r>
            <w:r>
              <w:rPr>
                <w:sz w:val="16"/>
              </w:rPr>
              <w:t>SCIENCE AND</w:t>
            </w:r>
            <w:r>
              <w:rPr>
                <w:spacing w:val="1"/>
                <w:sz w:val="16"/>
              </w:rPr>
              <w:t xml:space="preserve"> </w:t>
            </w:r>
            <w:r>
              <w:rPr>
                <w:sz w:val="16"/>
              </w:rPr>
              <w:t>RESEARCH -</w:t>
            </w:r>
          </w:p>
          <w:p w:rsidR="00A56FE9" w:rsidRDefault="00000000">
            <w:pPr>
              <w:pStyle w:val="TableParagraph"/>
              <w:ind w:left="50" w:right="202"/>
              <w:rPr>
                <w:sz w:val="16"/>
              </w:rPr>
            </w:pPr>
            <w:r>
              <w:rPr>
                <w:sz w:val="16"/>
              </w:rPr>
              <w:t>Modernisation of higher</w:t>
            </w:r>
            <w:r>
              <w:rPr>
                <w:spacing w:val="-38"/>
                <w:sz w:val="16"/>
              </w:rPr>
              <w:t xml:space="preserve"> </w:t>
            </w:r>
            <w:r>
              <w:rPr>
                <w:sz w:val="16"/>
              </w:rPr>
              <w:t>education</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01"/>
              <w:rPr>
                <w:sz w:val="16"/>
              </w:rPr>
            </w:pPr>
            <w:r>
              <w:rPr>
                <w:sz w:val="16"/>
              </w:rPr>
              <w:t>Digital transformation of</w:t>
            </w:r>
            <w:r>
              <w:rPr>
                <w:spacing w:val="-37"/>
                <w:sz w:val="16"/>
              </w:rPr>
              <w:t xml:space="preserve"> </w:t>
            </w:r>
            <w:r>
              <w:rPr>
                <w:sz w:val="16"/>
              </w:rPr>
              <w:t>higher</w:t>
            </w:r>
            <w:r>
              <w:rPr>
                <w:spacing w:val="-2"/>
                <w:sz w:val="16"/>
              </w:rPr>
              <w:t xml:space="preserve"> </w:t>
            </w:r>
            <w:r>
              <w:rPr>
                <w:sz w:val="16"/>
              </w:rPr>
              <w:t>education</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35"/>
              <w:rPr>
                <w:sz w:val="16"/>
              </w:rPr>
            </w:pPr>
            <w:r>
              <w:rPr>
                <w:sz w:val="16"/>
              </w:rPr>
              <w:t>Technical</w:t>
            </w:r>
            <w:r>
              <w:rPr>
                <w:spacing w:val="1"/>
                <w:sz w:val="16"/>
              </w:rPr>
              <w:t xml:space="preserve"> </w:t>
            </w:r>
            <w:r>
              <w:rPr>
                <w:sz w:val="16"/>
              </w:rPr>
              <w:t>report on</w:t>
            </w:r>
            <w:r>
              <w:rPr>
                <w:spacing w:val="1"/>
                <w:sz w:val="16"/>
              </w:rPr>
              <w:t xml:space="preserve"> </w:t>
            </w:r>
            <w:r>
              <w:rPr>
                <w:spacing w:val="-1"/>
                <w:sz w:val="16"/>
              </w:rPr>
              <w:t xml:space="preserve">investment </w:t>
            </w:r>
            <w:r>
              <w:rPr>
                <w:sz w:val="16"/>
              </w:rPr>
              <w:t>in</w:t>
            </w:r>
            <w:r>
              <w:rPr>
                <w:spacing w:val="-37"/>
                <w:sz w:val="16"/>
              </w:rPr>
              <w:t xml:space="preserve"> </w:t>
            </w:r>
            <w:r>
              <w:rPr>
                <w:sz w:val="16"/>
              </w:rPr>
              <w:t>digital</w:t>
            </w:r>
            <w:r>
              <w:rPr>
                <w:spacing w:val="1"/>
                <w:sz w:val="16"/>
              </w:rPr>
              <w:t xml:space="preserve"> </w:t>
            </w:r>
            <w:r>
              <w:rPr>
                <w:sz w:val="16"/>
              </w:rPr>
              <w:t>infrastructure</w:t>
            </w:r>
            <w:r>
              <w:rPr>
                <w:spacing w:val="-37"/>
                <w:sz w:val="16"/>
              </w:rPr>
              <w:t xml:space="preserve"> </w:t>
            </w:r>
            <w:r>
              <w:rPr>
                <w:sz w:val="16"/>
              </w:rPr>
              <w:t>in higher</w:t>
            </w:r>
            <w:r>
              <w:rPr>
                <w:spacing w:val="1"/>
                <w:sz w:val="16"/>
              </w:rPr>
              <w:t xml:space="preserve"> </w:t>
            </w:r>
            <w:r>
              <w:rPr>
                <w:sz w:val="16"/>
              </w:rPr>
              <w:t>education</w:t>
            </w:r>
            <w:r>
              <w:rPr>
                <w:spacing w:val="1"/>
                <w:sz w:val="16"/>
              </w:rPr>
              <w:t xml:space="preserve"> </w:t>
            </w:r>
            <w:r>
              <w:rPr>
                <w:sz w:val="16"/>
              </w:rPr>
              <w:t>institutions</w:t>
            </w:r>
            <w:r>
              <w:rPr>
                <w:spacing w:val="1"/>
                <w:sz w:val="16"/>
              </w:rPr>
              <w:t xml:space="preserve"> </w:t>
            </w:r>
            <w:r>
              <w:rPr>
                <w:sz w:val="16"/>
              </w:rPr>
              <w:t>has been</w:t>
            </w:r>
            <w:r>
              <w:rPr>
                <w:spacing w:val="1"/>
                <w:sz w:val="16"/>
              </w:rPr>
              <w:t xml:space="preserve"> </w:t>
            </w:r>
            <w:r>
              <w:rPr>
                <w:sz w:val="16"/>
              </w:rPr>
              <w:t>prepared</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MSE</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77"/>
              <w:rPr>
                <w:sz w:val="16"/>
              </w:rPr>
            </w:pPr>
            <w:r>
              <w:rPr>
                <w:sz w:val="16"/>
              </w:rPr>
              <w:t>The Technical Assistance Project (OECD)</w:t>
            </w:r>
            <w:r>
              <w:rPr>
                <w:spacing w:val="1"/>
                <w:sz w:val="16"/>
              </w:rPr>
              <w:t xml:space="preserve"> </w:t>
            </w:r>
            <w:r>
              <w:rPr>
                <w:sz w:val="16"/>
              </w:rPr>
              <w:t>will conduct research on the digital maturity</w:t>
            </w:r>
            <w:r>
              <w:rPr>
                <w:spacing w:val="1"/>
                <w:sz w:val="16"/>
              </w:rPr>
              <w:t xml:space="preserve"> </w:t>
            </w:r>
            <w:r>
              <w:rPr>
                <w:sz w:val="16"/>
              </w:rPr>
              <w:t>of</w:t>
            </w:r>
            <w:r>
              <w:rPr>
                <w:spacing w:val="-6"/>
                <w:sz w:val="16"/>
              </w:rPr>
              <w:t xml:space="preserve"> </w:t>
            </w:r>
            <w:r>
              <w:rPr>
                <w:sz w:val="16"/>
              </w:rPr>
              <w:t>higher</w:t>
            </w:r>
            <w:r>
              <w:rPr>
                <w:spacing w:val="-5"/>
                <w:sz w:val="16"/>
              </w:rPr>
              <w:t xml:space="preserve"> </w:t>
            </w:r>
            <w:r>
              <w:rPr>
                <w:sz w:val="16"/>
              </w:rPr>
              <w:t>education</w:t>
            </w:r>
            <w:r>
              <w:rPr>
                <w:spacing w:val="-4"/>
                <w:sz w:val="16"/>
              </w:rPr>
              <w:t xml:space="preserve"> </w:t>
            </w:r>
            <w:r>
              <w:rPr>
                <w:sz w:val="16"/>
              </w:rPr>
              <w:t>institutions,</w:t>
            </w:r>
            <w:r>
              <w:rPr>
                <w:spacing w:val="-3"/>
                <w:sz w:val="16"/>
              </w:rPr>
              <w:t xml:space="preserve"> </w:t>
            </w:r>
            <w:r>
              <w:rPr>
                <w:sz w:val="16"/>
              </w:rPr>
              <w:t>which</w:t>
            </w:r>
            <w:r>
              <w:rPr>
                <w:spacing w:val="-4"/>
                <w:sz w:val="16"/>
              </w:rPr>
              <w:t xml:space="preserve"> </w:t>
            </w:r>
            <w:r>
              <w:rPr>
                <w:sz w:val="16"/>
              </w:rPr>
              <w:t>will</w:t>
            </w:r>
            <w:r>
              <w:rPr>
                <w:spacing w:val="-5"/>
                <w:sz w:val="16"/>
              </w:rPr>
              <w:t xml:space="preserve"> </w:t>
            </w:r>
            <w:r>
              <w:rPr>
                <w:sz w:val="16"/>
              </w:rPr>
              <w:t>be</w:t>
            </w:r>
            <w:r>
              <w:rPr>
                <w:spacing w:val="-37"/>
                <w:sz w:val="16"/>
              </w:rPr>
              <w:t xml:space="preserve"> </w:t>
            </w:r>
            <w:r>
              <w:rPr>
                <w:sz w:val="16"/>
              </w:rPr>
              <w:t>the basis for the development of methodology</w:t>
            </w:r>
            <w:r>
              <w:rPr>
                <w:spacing w:val="-37"/>
                <w:sz w:val="16"/>
              </w:rPr>
              <w:t xml:space="preserve"> </w:t>
            </w:r>
            <w:r>
              <w:rPr>
                <w:sz w:val="16"/>
              </w:rPr>
              <w:t>and proposals for investing in digital</w:t>
            </w:r>
            <w:r>
              <w:rPr>
                <w:spacing w:val="1"/>
                <w:sz w:val="16"/>
              </w:rPr>
              <w:t xml:space="preserve"> </w:t>
            </w:r>
            <w:r>
              <w:rPr>
                <w:sz w:val="16"/>
              </w:rPr>
              <w:t>infrastructure belonging to higher education</w:t>
            </w:r>
            <w:r>
              <w:rPr>
                <w:spacing w:val="1"/>
                <w:sz w:val="16"/>
              </w:rPr>
              <w:t xml:space="preserve"> </w:t>
            </w:r>
            <w:r>
              <w:rPr>
                <w:sz w:val="16"/>
              </w:rPr>
              <w:t>institutions (Document: technical report on</w:t>
            </w:r>
            <w:r>
              <w:rPr>
                <w:spacing w:val="1"/>
                <w:sz w:val="16"/>
              </w:rPr>
              <w:t xml:space="preserve"> </w:t>
            </w:r>
            <w:r>
              <w:rPr>
                <w:sz w:val="16"/>
              </w:rPr>
              <w:t>investment in digital infrastructure of higher</w:t>
            </w:r>
            <w:r>
              <w:rPr>
                <w:spacing w:val="1"/>
                <w:sz w:val="16"/>
              </w:rPr>
              <w:t xml:space="preserve"> </w:t>
            </w:r>
            <w:r>
              <w:rPr>
                <w:sz w:val="16"/>
              </w:rPr>
              <w:t>education institutions). According to the</w:t>
            </w:r>
            <w:r>
              <w:rPr>
                <w:spacing w:val="1"/>
                <w:sz w:val="16"/>
              </w:rPr>
              <w:t xml:space="preserve"> </w:t>
            </w:r>
            <w:r>
              <w:rPr>
                <w:sz w:val="16"/>
              </w:rPr>
              <w:t>report, the digital infrastructure of higher</w:t>
            </w:r>
            <w:r>
              <w:rPr>
                <w:spacing w:val="1"/>
                <w:sz w:val="16"/>
              </w:rPr>
              <w:t xml:space="preserve"> </w:t>
            </w:r>
            <w:r>
              <w:rPr>
                <w:sz w:val="16"/>
              </w:rPr>
              <w:t>education</w:t>
            </w:r>
            <w:r>
              <w:rPr>
                <w:spacing w:val="-3"/>
                <w:sz w:val="16"/>
              </w:rPr>
              <w:t xml:space="preserve"> </w:t>
            </w:r>
            <w:r>
              <w:rPr>
                <w:sz w:val="16"/>
              </w:rPr>
              <w:t>institutions</w:t>
            </w:r>
            <w:r>
              <w:rPr>
                <w:spacing w:val="-2"/>
                <w:sz w:val="16"/>
              </w:rPr>
              <w:t xml:space="preserve"> </w:t>
            </w:r>
            <w:r>
              <w:rPr>
                <w:sz w:val="16"/>
              </w:rPr>
              <w:t>will</w:t>
            </w:r>
            <w:r>
              <w:rPr>
                <w:spacing w:val="-2"/>
                <w:sz w:val="16"/>
              </w:rPr>
              <w:t xml:space="preserve"> </w:t>
            </w:r>
            <w:r>
              <w:rPr>
                <w:sz w:val="16"/>
              </w:rPr>
              <w:t>be</w:t>
            </w:r>
            <w:r>
              <w:rPr>
                <w:spacing w:val="-4"/>
                <w:sz w:val="16"/>
              </w:rPr>
              <w:t xml:space="preserve"> </w:t>
            </w:r>
            <w:r>
              <w:rPr>
                <w:sz w:val="16"/>
              </w:rPr>
              <w:t>improved as</w:t>
            </w:r>
          </w:p>
          <w:p w:rsidR="00A56FE9" w:rsidRDefault="00000000">
            <w:pPr>
              <w:pStyle w:val="TableParagraph"/>
              <w:spacing w:line="184" w:lineRule="exact"/>
              <w:ind w:left="57" w:right="428"/>
              <w:rPr>
                <w:sz w:val="16"/>
              </w:rPr>
            </w:pPr>
            <w:r>
              <w:rPr>
                <w:sz w:val="16"/>
              </w:rPr>
              <w:t>envisaged by the National Recovery and</w:t>
            </w:r>
            <w:r>
              <w:rPr>
                <w:spacing w:val="-37"/>
                <w:sz w:val="16"/>
              </w:rPr>
              <w:t xml:space="preserve"> </w:t>
            </w:r>
            <w:r>
              <w:rPr>
                <w:sz w:val="16"/>
              </w:rPr>
              <w:t>Resilience</w:t>
            </w:r>
            <w:r>
              <w:rPr>
                <w:spacing w:val="-3"/>
                <w:sz w:val="16"/>
              </w:rPr>
              <w:t xml:space="preserve"> </w:t>
            </w:r>
            <w:r>
              <w:rPr>
                <w:sz w:val="16"/>
              </w:rPr>
              <w:t>Plan</w:t>
            </w:r>
            <w:r>
              <w:rPr>
                <w:spacing w:val="1"/>
                <w:sz w:val="16"/>
              </w:rPr>
              <w:t xml:space="preserve"> </w:t>
            </w:r>
            <w:r>
              <w:rPr>
                <w:sz w:val="16"/>
              </w:rPr>
              <w:t>(NRRP).</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2018"/>
        </w:trPr>
        <w:tc>
          <w:tcPr>
            <w:tcW w:w="42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right="115"/>
              <w:jc w:val="right"/>
              <w:rPr>
                <w:sz w:val="16"/>
              </w:rPr>
            </w:pPr>
            <w:r>
              <w:rPr>
                <w:sz w:val="16"/>
              </w:rPr>
              <w:t>71</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2019.CSR2</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line="183" w:lineRule="exact"/>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right="90"/>
              <w:jc w:val="center"/>
              <w:rPr>
                <w:sz w:val="16"/>
              </w:rPr>
            </w:pPr>
            <w:r>
              <w:rPr>
                <w:sz w:val="16"/>
              </w:rPr>
              <w:t>1</w:t>
            </w:r>
          </w:p>
        </w:tc>
        <w:tc>
          <w:tcPr>
            <w:tcW w:w="1838"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3</w:t>
            </w:r>
            <w:r>
              <w:rPr>
                <w:spacing w:val="-1"/>
                <w:sz w:val="16"/>
              </w:rPr>
              <w:t xml:space="preserve"> </w:t>
            </w:r>
            <w:r>
              <w:rPr>
                <w:sz w:val="16"/>
              </w:rPr>
              <w:t>-</w:t>
            </w:r>
            <w:r>
              <w:rPr>
                <w:spacing w:val="-2"/>
                <w:sz w:val="16"/>
              </w:rPr>
              <w:t xml:space="preserve"> </w:t>
            </w:r>
            <w:r>
              <w:rPr>
                <w:sz w:val="16"/>
              </w:rPr>
              <w:t>EDUCATION,</w:t>
            </w:r>
          </w:p>
          <w:p w:rsidR="00A56FE9" w:rsidRDefault="00000000">
            <w:pPr>
              <w:pStyle w:val="TableParagraph"/>
              <w:spacing w:before="1"/>
              <w:ind w:left="50"/>
              <w:rPr>
                <w:sz w:val="16"/>
              </w:rPr>
            </w:pPr>
            <w:r>
              <w:rPr>
                <w:sz w:val="16"/>
              </w:rPr>
              <w:t>SCIENCE</w:t>
            </w:r>
            <w:r>
              <w:rPr>
                <w:spacing w:val="-3"/>
                <w:sz w:val="16"/>
              </w:rPr>
              <w:t xml:space="preserve"> </w:t>
            </w:r>
            <w:r>
              <w:rPr>
                <w:sz w:val="16"/>
              </w:rPr>
              <w:t>AND</w:t>
            </w:r>
          </w:p>
          <w:p w:rsidR="00A56FE9" w:rsidRDefault="00000000">
            <w:pPr>
              <w:pStyle w:val="TableParagraph"/>
              <w:ind w:left="50" w:right="158"/>
              <w:rPr>
                <w:sz w:val="16"/>
              </w:rPr>
            </w:pPr>
            <w:r>
              <w:rPr>
                <w:sz w:val="16"/>
              </w:rPr>
              <w:t>RESEARCH - Structural</w:t>
            </w:r>
            <w:r>
              <w:rPr>
                <w:spacing w:val="-37"/>
                <w:sz w:val="16"/>
              </w:rPr>
              <w:t xml:space="preserve"> </w:t>
            </w:r>
            <w:r>
              <w:rPr>
                <w:sz w:val="16"/>
              </w:rPr>
              <w:t>reform of the education</w:t>
            </w:r>
            <w:r>
              <w:rPr>
                <w:spacing w:val="1"/>
                <w:sz w:val="16"/>
              </w:rPr>
              <w:t xml:space="preserve"> </w:t>
            </w:r>
            <w:r>
              <w:rPr>
                <w:sz w:val="16"/>
              </w:rPr>
              <w:t>system</w:t>
            </w:r>
          </w:p>
        </w:tc>
        <w:tc>
          <w:tcPr>
            <w:tcW w:w="569"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1"/>
              <w:rPr>
                <w:sz w:val="16"/>
              </w:rPr>
            </w:pPr>
            <w:r>
              <w:rPr>
                <w:sz w:val="16"/>
              </w:rPr>
              <w:t>Milest</w:t>
            </w:r>
          </w:p>
          <w:p w:rsidR="00A56FE9" w:rsidRDefault="00000000">
            <w:pPr>
              <w:pStyle w:val="TableParagraph"/>
              <w:spacing w:before="1"/>
              <w:ind w:left="51"/>
              <w:rPr>
                <w:sz w:val="16"/>
              </w:rPr>
            </w:pPr>
            <w:r>
              <w:rPr>
                <w:sz w:val="16"/>
              </w:rPr>
              <w:t>one</w:t>
            </w:r>
          </w:p>
        </w:tc>
        <w:tc>
          <w:tcPr>
            <w:tcW w:w="184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109"/>
              <w:rPr>
                <w:sz w:val="16"/>
              </w:rPr>
            </w:pPr>
            <w:r>
              <w:rPr>
                <w:sz w:val="16"/>
              </w:rPr>
              <w:t>Model</w:t>
            </w:r>
            <w:r>
              <w:rPr>
                <w:spacing w:val="-3"/>
                <w:sz w:val="16"/>
              </w:rPr>
              <w:t xml:space="preserve"> </w:t>
            </w:r>
            <w:r>
              <w:rPr>
                <w:sz w:val="16"/>
              </w:rPr>
              <w:t>of</w:t>
            </w:r>
            <w:r>
              <w:rPr>
                <w:spacing w:val="-2"/>
                <w:sz w:val="16"/>
              </w:rPr>
              <w:t xml:space="preserve"> </w:t>
            </w:r>
            <w:r>
              <w:rPr>
                <w:sz w:val="16"/>
              </w:rPr>
              <w:t>all-day</w:t>
            </w:r>
            <w:r>
              <w:rPr>
                <w:spacing w:val="-5"/>
                <w:sz w:val="16"/>
              </w:rPr>
              <w:t xml:space="preserve"> </w:t>
            </w:r>
            <w:r>
              <w:rPr>
                <w:sz w:val="16"/>
              </w:rPr>
              <w:t>school</w:t>
            </w:r>
          </w:p>
          <w:p w:rsidR="00A56FE9" w:rsidRDefault="00000000">
            <w:pPr>
              <w:pStyle w:val="TableParagraph"/>
              <w:spacing w:before="1"/>
              <w:ind w:left="109"/>
              <w:rPr>
                <w:sz w:val="16"/>
              </w:rPr>
            </w:pPr>
            <w:r>
              <w:rPr>
                <w:sz w:val="16"/>
              </w:rPr>
              <w:t>devised</w:t>
            </w:r>
          </w:p>
        </w:tc>
        <w:tc>
          <w:tcPr>
            <w:tcW w:w="1137"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110"/>
              <w:rPr>
                <w:sz w:val="16"/>
              </w:rPr>
            </w:pPr>
            <w:r>
              <w:rPr>
                <w:sz w:val="16"/>
              </w:rPr>
              <w:t>A</w:t>
            </w:r>
            <w:r>
              <w:rPr>
                <w:spacing w:val="-4"/>
                <w:sz w:val="16"/>
              </w:rPr>
              <w:t xml:space="preserve"> </w:t>
            </w:r>
            <w:r>
              <w:rPr>
                <w:sz w:val="16"/>
              </w:rPr>
              <w:t>document</w:t>
            </w:r>
          </w:p>
          <w:p w:rsidR="00A56FE9" w:rsidRDefault="00000000">
            <w:pPr>
              <w:pStyle w:val="TableParagraph"/>
              <w:spacing w:before="1"/>
              <w:ind w:left="110" w:right="152"/>
              <w:rPr>
                <w:sz w:val="16"/>
              </w:rPr>
            </w:pPr>
            <w:r>
              <w:rPr>
                <w:sz w:val="16"/>
              </w:rPr>
              <w:t>has been</w:t>
            </w:r>
            <w:r>
              <w:rPr>
                <w:spacing w:val="1"/>
                <w:sz w:val="16"/>
              </w:rPr>
              <w:t xml:space="preserve"> </w:t>
            </w:r>
            <w:r>
              <w:rPr>
                <w:sz w:val="16"/>
              </w:rPr>
              <w:t>prepared</w:t>
            </w:r>
            <w:r>
              <w:rPr>
                <w:spacing w:val="1"/>
                <w:sz w:val="16"/>
              </w:rPr>
              <w:t xml:space="preserve"> </w:t>
            </w:r>
            <w:r>
              <w:rPr>
                <w:sz w:val="16"/>
              </w:rPr>
              <w:t>based upon</w:t>
            </w:r>
            <w:r>
              <w:rPr>
                <w:spacing w:val="1"/>
                <w:sz w:val="16"/>
              </w:rPr>
              <w:t xml:space="preserve"> </w:t>
            </w:r>
            <w:r>
              <w:rPr>
                <w:sz w:val="16"/>
              </w:rPr>
              <w:t>which the</w:t>
            </w:r>
            <w:r>
              <w:rPr>
                <w:spacing w:val="1"/>
                <w:sz w:val="16"/>
              </w:rPr>
              <w:t xml:space="preserve"> </w:t>
            </w:r>
            <w:r>
              <w:rPr>
                <w:sz w:val="16"/>
              </w:rPr>
              <w:t>experimental</w:t>
            </w:r>
            <w:r>
              <w:rPr>
                <w:spacing w:val="-37"/>
                <w:sz w:val="16"/>
              </w:rPr>
              <w:t xml:space="preserve"> </w:t>
            </w:r>
            <w:r>
              <w:rPr>
                <w:sz w:val="16"/>
              </w:rPr>
              <w:t>implementati</w:t>
            </w:r>
            <w:r>
              <w:rPr>
                <w:spacing w:val="-37"/>
                <w:sz w:val="16"/>
              </w:rPr>
              <w:t xml:space="preserve"> </w:t>
            </w:r>
            <w:r>
              <w:rPr>
                <w:sz w:val="16"/>
              </w:rPr>
              <w:t>on of the all-</w:t>
            </w:r>
            <w:r>
              <w:rPr>
                <w:spacing w:val="-37"/>
                <w:sz w:val="16"/>
              </w:rPr>
              <w:t xml:space="preserve"> </w:t>
            </w:r>
            <w:r>
              <w:rPr>
                <w:sz w:val="16"/>
              </w:rPr>
              <w:t>day school</w:t>
            </w:r>
            <w:r>
              <w:rPr>
                <w:spacing w:val="1"/>
                <w:sz w:val="16"/>
              </w:rPr>
              <w:t xml:space="preserve"> </w:t>
            </w:r>
            <w:r>
              <w:rPr>
                <w:sz w:val="16"/>
              </w:rPr>
              <w:t>model</w:t>
            </w:r>
            <w:r>
              <w:rPr>
                <w:spacing w:val="-2"/>
                <w:sz w:val="16"/>
              </w:rPr>
              <w:t xml:space="preserve"> </w:t>
            </w:r>
            <w:r>
              <w:rPr>
                <w:sz w:val="16"/>
              </w:rPr>
              <w:t>will</w:t>
            </w:r>
          </w:p>
          <w:p w:rsidR="00A56FE9" w:rsidRDefault="00000000">
            <w:pPr>
              <w:pStyle w:val="TableParagraph"/>
              <w:spacing w:line="168" w:lineRule="exact"/>
              <w:ind w:left="110"/>
              <w:rPr>
                <w:sz w:val="16"/>
              </w:rPr>
            </w:pPr>
            <w:r>
              <w:rPr>
                <w:sz w:val="16"/>
              </w:rPr>
              <w:t>begin</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151" w:right="130"/>
              <w:jc w:val="center"/>
              <w:rPr>
                <w:sz w:val="16"/>
              </w:rPr>
            </w:pPr>
            <w:r>
              <w:rPr>
                <w:sz w:val="16"/>
              </w:rPr>
              <w:t>2022</w:t>
            </w:r>
          </w:p>
        </w:tc>
        <w:tc>
          <w:tcPr>
            <w:tcW w:w="845"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MSE</w:t>
            </w:r>
          </w:p>
        </w:tc>
        <w:tc>
          <w:tcPr>
            <w:tcW w:w="3106"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The</w:t>
            </w:r>
            <w:r>
              <w:rPr>
                <w:spacing w:val="-4"/>
                <w:sz w:val="16"/>
              </w:rPr>
              <w:t xml:space="preserve"> </w:t>
            </w:r>
            <w:r>
              <w:rPr>
                <w:sz w:val="16"/>
              </w:rPr>
              <w:t>all-day</w:t>
            </w:r>
            <w:r>
              <w:rPr>
                <w:spacing w:val="-5"/>
                <w:sz w:val="16"/>
              </w:rPr>
              <w:t xml:space="preserve"> </w:t>
            </w:r>
            <w:r>
              <w:rPr>
                <w:sz w:val="16"/>
              </w:rPr>
              <w:t>school</w:t>
            </w:r>
            <w:r>
              <w:rPr>
                <w:spacing w:val="-3"/>
                <w:sz w:val="16"/>
              </w:rPr>
              <w:t xml:space="preserve"> </w:t>
            </w:r>
            <w:r>
              <w:rPr>
                <w:sz w:val="16"/>
              </w:rPr>
              <w:t>model will</w:t>
            </w:r>
            <w:r>
              <w:rPr>
                <w:spacing w:val="-3"/>
                <w:sz w:val="16"/>
              </w:rPr>
              <w:t xml:space="preserve"> </w:t>
            </w:r>
            <w:r>
              <w:rPr>
                <w:sz w:val="16"/>
              </w:rPr>
              <w:t>be</w:t>
            </w:r>
            <w:r>
              <w:rPr>
                <w:spacing w:val="-4"/>
                <w:sz w:val="16"/>
              </w:rPr>
              <w:t xml:space="preserve"> </w:t>
            </w:r>
            <w:r>
              <w:rPr>
                <w:sz w:val="16"/>
              </w:rPr>
              <w:t>prepared</w:t>
            </w:r>
          </w:p>
          <w:p w:rsidR="00A56FE9" w:rsidRDefault="00000000">
            <w:pPr>
              <w:pStyle w:val="TableParagraph"/>
              <w:spacing w:before="1"/>
              <w:ind w:left="57" w:right="95"/>
              <w:rPr>
                <w:sz w:val="16"/>
              </w:rPr>
            </w:pPr>
            <w:r>
              <w:rPr>
                <w:sz w:val="16"/>
              </w:rPr>
              <w:t>based on available analyses from European</w:t>
            </w:r>
            <w:r>
              <w:rPr>
                <w:spacing w:val="1"/>
                <w:sz w:val="16"/>
              </w:rPr>
              <w:t xml:space="preserve"> </w:t>
            </w:r>
            <w:r>
              <w:rPr>
                <w:sz w:val="16"/>
              </w:rPr>
              <w:t>comparative</w:t>
            </w:r>
            <w:r>
              <w:rPr>
                <w:spacing w:val="-5"/>
                <w:sz w:val="16"/>
              </w:rPr>
              <w:t xml:space="preserve"> </w:t>
            </w:r>
            <w:r>
              <w:rPr>
                <w:sz w:val="16"/>
              </w:rPr>
              <w:t>reports</w:t>
            </w:r>
            <w:r>
              <w:rPr>
                <w:spacing w:val="-3"/>
                <w:sz w:val="16"/>
              </w:rPr>
              <w:t xml:space="preserve"> </w:t>
            </w:r>
            <w:r>
              <w:rPr>
                <w:sz w:val="16"/>
              </w:rPr>
              <w:t>and</w:t>
            </w:r>
            <w:r>
              <w:rPr>
                <w:spacing w:val="-4"/>
                <w:sz w:val="16"/>
              </w:rPr>
              <w:t xml:space="preserve"> </w:t>
            </w:r>
            <w:r>
              <w:rPr>
                <w:sz w:val="16"/>
              </w:rPr>
              <w:t>a</w:t>
            </w:r>
            <w:r>
              <w:rPr>
                <w:spacing w:val="-5"/>
                <w:sz w:val="16"/>
              </w:rPr>
              <w:t xml:space="preserve"> </w:t>
            </w:r>
            <w:r>
              <w:rPr>
                <w:sz w:val="16"/>
              </w:rPr>
              <w:t>detailed</w:t>
            </w:r>
            <w:r>
              <w:rPr>
                <w:spacing w:val="-3"/>
                <w:sz w:val="16"/>
              </w:rPr>
              <w:t xml:space="preserve"> </w:t>
            </w:r>
            <w:r>
              <w:rPr>
                <w:sz w:val="16"/>
              </w:rPr>
              <w:t>analysis</w:t>
            </w:r>
            <w:r>
              <w:rPr>
                <w:spacing w:val="-3"/>
                <w:sz w:val="16"/>
              </w:rPr>
              <w:t xml:space="preserve"> </w:t>
            </w:r>
            <w:r>
              <w:rPr>
                <w:sz w:val="16"/>
              </w:rPr>
              <w:t>of</w:t>
            </w:r>
            <w:r>
              <w:rPr>
                <w:spacing w:val="-37"/>
                <w:sz w:val="16"/>
              </w:rPr>
              <w:t xml:space="preserve"> </w:t>
            </w:r>
            <w:r>
              <w:rPr>
                <w:sz w:val="16"/>
              </w:rPr>
              <w:t>standards and norms related to school</w:t>
            </w:r>
            <w:r>
              <w:rPr>
                <w:spacing w:val="1"/>
                <w:sz w:val="16"/>
              </w:rPr>
              <w:t xml:space="preserve"> </w:t>
            </w:r>
            <w:r>
              <w:rPr>
                <w:sz w:val="16"/>
              </w:rPr>
              <w:t>buildings, class formation, teacher norms and</w:t>
            </w:r>
            <w:r>
              <w:rPr>
                <w:spacing w:val="-37"/>
                <w:sz w:val="16"/>
              </w:rPr>
              <w:t xml:space="preserve"> </w:t>
            </w:r>
            <w:r>
              <w:rPr>
                <w:sz w:val="16"/>
              </w:rPr>
              <w:t>the like, in close cooperation with</w:t>
            </w:r>
            <w:r>
              <w:rPr>
                <w:spacing w:val="1"/>
                <w:sz w:val="16"/>
              </w:rPr>
              <w:t xml:space="preserve"> </w:t>
            </w:r>
            <w:r>
              <w:rPr>
                <w:sz w:val="16"/>
              </w:rPr>
              <w:t>stakeholders through established consultation</w:t>
            </w:r>
            <w:r>
              <w:rPr>
                <w:spacing w:val="-37"/>
                <w:sz w:val="16"/>
              </w:rPr>
              <w:t xml:space="preserve"> </w:t>
            </w:r>
            <w:r>
              <w:rPr>
                <w:sz w:val="16"/>
              </w:rPr>
              <w:t>procedures.</w:t>
            </w:r>
          </w:p>
        </w:tc>
        <w:tc>
          <w:tcPr>
            <w:tcW w:w="1128"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right="90"/>
              <w:jc w:val="right"/>
              <w:rPr>
                <w:sz w:val="16"/>
              </w:rPr>
            </w:pPr>
            <w:r>
              <w:rPr>
                <w:sz w:val="16"/>
              </w:rPr>
              <w:t>55,523,788</w:t>
            </w:r>
          </w:p>
        </w:tc>
      </w:tr>
      <w:tr w:rsidR="00A56FE9">
        <w:trPr>
          <w:trHeight w:val="1103"/>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72</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0" w:lineRule="exact"/>
              <w:ind w:left="50"/>
              <w:rPr>
                <w:sz w:val="16"/>
              </w:rPr>
            </w:pPr>
            <w:r>
              <w:rPr>
                <w:sz w:val="16"/>
              </w:rPr>
              <w:t>2019.CSR2</w:t>
            </w:r>
          </w:p>
          <w:p w:rsidR="00A56FE9" w:rsidRDefault="00000000">
            <w:pPr>
              <w:pStyle w:val="TableParagraph"/>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before="1"/>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4</w:t>
            </w: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50" w:right="586"/>
              <w:rPr>
                <w:sz w:val="16"/>
              </w:rPr>
            </w:pPr>
            <w:r>
              <w:rPr>
                <w:sz w:val="16"/>
              </w:rPr>
              <w:t>3</w:t>
            </w:r>
            <w:r>
              <w:rPr>
                <w:spacing w:val="-7"/>
                <w:sz w:val="16"/>
              </w:rPr>
              <w:t xml:space="preserve"> </w:t>
            </w:r>
            <w:r>
              <w:rPr>
                <w:sz w:val="16"/>
              </w:rPr>
              <w:t>-</w:t>
            </w:r>
            <w:r>
              <w:rPr>
                <w:spacing w:val="-8"/>
                <w:sz w:val="16"/>
              </w:rPr>
              <w:t xml:space="preserve"> </w:t>
            </w:r>
            <w:r>
              <w:rPr>
                <w:sz w:val="16"/>
              </w:rPr>
              <w:t>EDUCATION,</w:t>
            </w:r>
            <w:r>
              <w:rPr>
                <w:spacing w:val="-37"/>
                <w:sz w:val="16"/>
              </w:rPr>
              <w:t xml:space="preserve"> </w:t>
            </w:r>
            <w:r>
              <w:rPr>
                <w:sz w:val="16"/>
              </w:rPr>
              <w:t>SCIENCE</w:t>
            </w:r>
            <w:r>
              <w:rPr>
                <w:spacing w:val="-2"/>
                <w:sz w:val="16"/>
              </w:rPr>
              <w:t xml:space="preserve"> </w:t>
            </w:r>
            <w:r>
              <w:rPr>
                <w:sz w:val="16"/>
              </w:rPr>
              <w:t>AND</w:t>
            </w:r>
          </w:p>
          <w:p w:rsidR="00A56FE9" w:rsidRDefault="00000000">
            <w:pPr>
              <w:pStyle w:val="TableParagraph"/>
              <w:ind w:left="50" w:right="131"/>
              <w:rPr>
                <w:sz w:val="16"/>
              </w:rPr>
            </w:pPr>
            <w:r>
              <w:rPr>
                <w:sz w:val="16"/>
              </w:rPr>
              <w:t>RESEARCH - E-Schools</w:t>
            </w:r>
            <w:r>
              <w:rPr>
                <w:spacing w:val="-37"/>
                <w:sz w:val="16"/>
              </w:rPr>
              <w:t xml:space="preserve"> </w:t>
            </w:r>
            <w:r>
              <w:rPr>
                <w:sz w:val="16"/>
              </w:rPr>
              <w:t>Project:</w:t>
            </w:r>
            <w:r>
              <w:rPr>
                <w:spacing w:val="-4"/>
                <w:sz w:val="16"/>
              </w:rPr>
              <w:t xml:space="preserve"> </w:t>
            </w:r>
            <w:r>
              <w:rPr>
                <w:sz w:val="16"/>
              </w:rPr>
              <w:t>Development</w:t>
            </w:r>
            <w:r>
              <w:rPr>
                <w:spacing w:val="-2"/>
                <w:sz w:val="16"/>
              </w:rPr>
              <w:t xml:space="preserve"> </w:t>
            </w:r>
            <w:r>
              <w:rPr>
                <w:sz w:val="16"/>
              </w:rPr>
              <w:t>of</w:t>
            </w:r>
          </w:p>
          <w:p w:rsidR="00A56FE9" w:rsidRDefault="00000000">
            <w:pPr>
              <w:pStyle w:val="TableParagraph"/>
              <w:spacing w:line="184" w:lineRule="exact"/>
              <w:ind w:left="50" w:right="202"/>
              <w:rPr>
                <w:sz w:val="16"/>
              </w:rPr>
            </w:pPr>
            <w:r>
              <w:rPr>
                <w:sz w:val="16"/>
              </w:rPr>
              <w:t>Digitally Mature School</w:t>
            </w:r>
            <w:r>
              <w:rPr>
                <w:spacing w:val="-37"/>
                <w:sz w:val="16"/>
              </w:rPr>
              <w:t xml:space="preserve"> </w:t>
            </w:r>
            <w:r>
              <w:rPr>
                <w:sz w:val="16"/>
              </w:rPr>
              <w:t>System</w:t>
            </w:r>
            <w:r>
              <w:rPr>
                <w:spacing w:val="-1"/>
                <w:sz w:val="16"/>
              </w:rPr>
              <w:t xml:space="preserve"> </w:t>
            </w:r>
            <w:r>
              <w:rPr>
                <w:sz w:val="16"/>
              </w:rPr>
              <w:t>(Phase II)</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05"/>
              <w:rPr>
                <w:sz w:val="16"/>
              </w:rPr>
            </w:pPr>
            <w:r>
              <w:rPr>
                <w:sz w:val="16"/>
              </w:rPr>
              <w:t>Proportion of primary</w:t>
            </w:r>
            <w:r>
              <w:rPr>
                <w:spacing w:val="1"/>
                <w:sz w:val="16"/>
              </w:rPr>
              <w:t xml:space="preserve"> </w:t>
            </w:r>
            <w:r>
              <w:rPr>
                <w:sz w:val="16"/>
              </w:rPr>
              <w:t>and secondary schools at</w:t>
            </w:r>
            <w:r>
              <w:rPr>
                <w:spacing w:val="-37"/>
                <w:sz w:val="16"/>
              </w:rPr>
              <w:t xml:space="preserve"> </w:t>
            </w:r>
            <w:r>
              <w:rPr>
                <w:sz w:val="16"/>
              </w:rPr>
              <w:t>the level of e-enabled</w:t>
            </w:r>
            <w:r>
              <w:rPr>
                <w:spacing w:val="1"/>
                <w:sz w:val="16"/>
              </w:rPr>
              <w:t xml:space="preserve"> </w:t>
            </w:r>
            <w:r>
              <w:rPr>
                <w:sz w:val="16"/>
              </w:rPr>
              <w:t>digital</w:t>
            </w:r>
            <w:r>
              <w:rPr>
                <w:spacing w:val="-2"/>
                <w:sz w:val="16"/>
              </w:rPr>
              <w:t xml:space="preserve"> </w:t>
            </w:r>
            <w:r>
              <w:rPr>
                <w:sz w:val="16"/>
              </w:rPr>
              <w:t>maturity</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11"/>
              <w:rPr>
                <w:sz w:val="16"/>
              </w:rPr>
            </w:pPr>
            <w:r>
              <w:rPr>
                <w:sz w:val="16"/>
              </w:rPr>
              <w:t>%</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9" w:right="41"/>
              <w:jc w:val="center"/>
              <w:rPr>
                <w:sz w:val="16"/>
              </w:rPr>
            </w:pPr>
            <w:r>
              <w:rPr>
                <w:sz w:val="16"/>
              </w:rPr>
              <w:t>48,4</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4"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57" w:right="118"/>
              <w:rPr>
                <w:sz w:val="16"/>
              </w:rPr>
            </w:pPr>
            <w:r>
              <w:rPr>
                <w:sz w:val="16"/>
              </w:rPr>
              <w:t>MSE,</w:t>
            </w:r>
            <w:r>
              <w:rPr>
                <w:spacing w:val="1"/>
                <w:sz w:val="16"/>
              </w:rPr>
              <w:t xml:space="preserve"> </w:t>
            </w:r>
            <w:r>
              <w:rPr>
                <w:sz w:val="16"/>
              </w:rPr>
              <w:t>CARNET</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57"/>
              <w:rPr>
                <w:sz w:val="16"/>
              </w:rPr>
            </w:pPr>
            <w:r>
              <w:rPr>
                <w:sz w:val="16"/>
              </w:rPr>
              <w:t>Proportion</w:t>
            </w:r>
            <w:r>
              <w:rPr>
                <w:spacing w:val="-1"/>
                <w:sz w:val="16"/>
              </w:rPr>
              <w:t xml:space="preserve"> </w:t>
            </w:r>
            <w:r>
              <w:rPr>
                <w:sz w:val="16"/>
              </w:rPr>
              <w:t>of</w:t>
            </w:r>
            <w:r>
              <w:rPr>
                <w:spacing w:val="-5"/>
                <w:sz w:val="16"/>
              </w:rPr>
              <w:t xml:space="preserve"> </w:t>
            </w:r>
            <w:r>
              <w:rPr>
                <w:sz w:val="16"/>
              </w:rPr>
              <w:t>primary</w:t>
            </w:r>
            <w:r>
              <w:rPr>
                <w:spacing w:val="-5"/>
                <w:sz w:val="16"/>
              </w:rPr>
              <w:t xml:space="preserve"> </w:t>
            </w:r>
            <w:r>
              <w:rPr>
                <w:sz w:val="16"/>
              </w:rPr>
              <w:t>schools</w:t>
            </w:r>
            <w:r>
              <w:rPr>
                <w:spacing w:val="-2"/>
                <w:sz w:val="16"/>
              </w:rPr>
              <w:t xml:space="preserve"> </w:t>
            </w:r>
            <w:r>
              <w:rPr>
                <w:sz w:val="16"/>
              </w:rPr>
              <w:t>at</w:t>
            </w:r>
            <w:r>
              <w:rPr>
                <w:spacing w:val="-2"/>
                <w:sz w:val="16"/>
              </w:rPr>
              <w:t xml:space="preserve"> </w:t>
            </w:r>
            <w:r>
              <w:rPr>
                <w:sz w:val="16"/>
              </w:rPr>
              <w:t>the</w:t>
            </w:r>
            <w:r>
              <w:rPr>
                <w:spacing w:val="-6"/>
                <w:sz w:val="16"/>
              </w:rPr>
              <w:t xml:space="preserve"> </w:t>
            </w:r>
            <w:r>
              <w:rPr>
                <w:sz w:val="16"/>
              </w:rPr>
              <w:t>middle</w:t>
            </w:r>
            <w:r>
              <w:rPr>
                <w:spacing w:val="-37"/>
                <w:sz w:val="16"/>
              </w:rPr>
              <w:t xml:space="preserve"> </w:t>
            </w:r>
            <w:r>
              <w:rPr>
                <w:sz w:val="16"/>
              </w:rPr>
              <w:t>level</w:t>
            </w:r>
            <w:r>
              <w:rPr>
                <w:spacing w:val="-2"/>
                <w:sz w:val="16"/>
              </w:rPr>
              <w:t xml:space="preserve"> </w:t>
            </w:r>
            <w:r>
              <w:rPr>
                <w:sz w:val="16"/>
              </w:rPr>
              <w:t>of</w:t>
            </w:r>
            <w:r>
              <w:rPr>
                <w:spacing w:val="-2"/>
                <w:sz w:val="16"/>
              </w:rPr>
              <w:t xml:space="preserve"> </w:t>
            </w:r>
            <w:r>
              <w:rPr>
                <w:sz w:val="16"/>
              </w:rPr>
              <w:t>digital</w:t>
            </w:r>
            <w:r>
              <w:rPr>
                <w:spacing w:val="-1"/>
                <w:sz w:val="16"/>
              </w:rPr>
              <w:t xml:space="preserve"> </w:t>
            </w:r>
            <w:r>
              <w:rPr>
                <w:sz w:val="16"/>
              </w:rPr>
              <w:t>maturity</w:t>
            </w:r>
            <w:r>
              <w:rPr>
                <w:spacing w:val="-3"/>
                <w:sz w:val="16"/>
              </w:rPr>
              <w:t xml:space="preserve"> </w:t>
            </w:r>
            <w:r>
              <w:rPr>
                <w:sz w:val="16"/>
              </w:rPr>
              <w:t>(level</w:t>
            </w:r>
            <w:r>
              <w:rPr>
                <w:spacing w:val="-1"/>
                <w:sz w:val="16"/>
              </w:rPr>
              <w:t xml:space="preserve"> </w:t>
            </w:r>
            <w:r>
              <w:rPr>
                <w:sz w:val="16"/>
              </w:rPr>
              <w:t>3).</w:t>
            </w:r>
          </w:p>
        </w:tc>
        <w:tc>
          <w:tcPr>
            <w:tcW w:w="112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90"/>
              <w:jc w:val="right"/>
              <w:rPr>
                <w:sz w:val="16"/>
              </w:rPr>
            </w:pPr>
            <w:r>
              <w:rPr>
                <w:sz w:val="16"/>
              </w:rPr>
              <w:t>221,814,291</w:t>
            </w:r>
          </w:p>
        </w:tc>
      </w:tr>
      <w:tr w:rsidR="00A56FE9">
        <w:trPr>
          <w:trHeight w:val="397"/>
        </w:trPr>
        <w:tc>
          <w:tcPr>
            <w:tcW w:w="15763" w:type="dxa"/>
            <w:gridSpan w:val="17"/>
            <w:tcBorders>
              <w:top w:val="single" w:sz="4" w:space="0" w:color="2C398A"/>
              <w:left w:val="single" w:sz="4" w:space="0" w:color="2C398A"/>
              <w:bottom w:val="single" w:sz="4" w:space="0" w:color="2C398A"/>
              <w:right w:val="single" w:sz="4" w:space="0" w:color="2C398A"/>
            </w:tcBorders>
            <w:shd w:val="clear" w:color="auto" w:fill="F1F1F1"/>
          </w:tcPr>
          <w:p w:rsidR="00A56FE9" w:rsidRDefault="00000000">
            <w:pPr>
              <w:pStyle w:val="TableParagraph"/>
              <w:spacing w:before="59"/>
              <w:ind w:left="50"/>
              <w:rPr>
                <w:b/>
                <w:sz w:val="18"/>
              </w:rPr>
            </w:pPr>
            <w:r>
              <w:rPr>
                <w:b/>
                <w:color w:val="DA1F2C"/>
                <w:spacing w:val="-1"/>
                <w:sz w:val="24"/>
              </w:rPr>
              <w:t>4</w:t>
            </w:r>
            <w:r>
              <w:rPr>
                <w:b/>
                <w:color w:val="DA1F2C"/>
                <w:spacing w:val="-20"/>
                <w:sz w:val="24"/>
              </w:rPr>
              <w:t xml:space="preserve"> </w:t>
            </w:r>
            <w:r>
              <w:rPr>
                <w:b/>
                <w:color w:val="2C398A"/>
                <w:spacing w:val="-1"/>
                <w:sz w:val="16"/>
              </w:rPr>
              <w:t>-</w:t>
            </w:r>
            <w:r>
              <w:rPr>
                <w:b/>
                <w:color w:val="2C398A"/>
                <w:sz w:val="16"/>
              </w:rPr>
              <w:t xml:space="preserve"> </w:t>
            </w:r>
            <w:r>
              <w:rPr>
                <w:b/>
                <w:color w:val="003399"/>
                <w:spacing w:val="-1"/>
                <w:sz w:val="18"/>
              </w:rPr>
              <w:t>LABOUR</w:t>
            </w:r>
            <w:r>
              <w:rPr>
                <w:b/>
                <w:color w:val="003399"/>
                <w:spacing w:val="-2"/>
                <w:sz w:val="18"/>
              </w:rPr>
              <w:t xml:space="preserve"> </w:t>
            </w:r>
            <w:r>
              <w:rPr>
                <w:b/>
                <w:color w:val="003399"/>
                <w:sz w:val="18"/>
              </w:rPr>
              <w:t>MARKET</w:t>
            </w:r>
            <w:r>
              <w:rPr>
                <w:b/>
                <w:color w:val="003399"/>
                <w:spacing w:val="-3"/>
                <w:sz w:val="18"/>
              </w:rPr>
              <w:t xml:space="preserve"> </w:t>
            </w:r>
            <w:r>
              <w:rPr>
                <w:b/>
                <w:color w:val="003399"/>
                <w:sz w:val="18"/>
              </w:rPr>
              <w:t>AND</w:t>
            </w:r>
            <w:r>
              <w:rPr>
                <w:b/>
                <w:color w:val="003399"/>
                <w:spacing w:val="1"/>
                <w:sz w:val="18"/>
              </w:rPr>
              <w:t xml:space="preserve"> </w:t>
            </w:r>
            <w:r>
              <w:rPr>
                <w:b/>
                <w:color w:val="003399"/>
                <w:sz w:val="18"/>
              </w:rPr>
              <w:t>SOCIAL PROTECTION</w:t>
            </w:r>
          </w:p>
        </w:tc>
      </w:tr>
      <w:tr w:rsidR="00A56FE9">
        <w:trPr>
          <w:trHeight w:val="183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73</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287</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2019.CSR2</w:t>
            </w:r>
          </w:p>
          <w:p w:rsidR="00A56FE9" w:rsidRDefault="00000000">
            <w:pPr>
              <w:pStyle w:val="TableParagraph"/>
              <w:ind w:left="50" w:right="38"/>
              <w:rPr>
                <w:sz w:val="16"/>
              </w:rPr>
            </w:pPr>
            <w:r>
              <w:rPr>
                <w:sz w:val="16"/>
              </w:rPr>
              <w:t>.subpart3,</w:t>
            </w:r>
            <w:r>
              <w:rPr>
                <w:spacing w:val="1"/>
                <w:sz w:val="16"/>
              </w:rPr>
              <w:t xml:space="preserve"> </w:t>
            </w:r>
            <w:r>
              <w:rPr>
                <w:spacing w:val="-1"/>
                <w:sz w:val="16"/>
              </w:rPr>
              <w:t>2020.CSR2</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8</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center"/>
              <w:rPr>
                <w:sz w:val="16"/>
              </w:rPr>
            </w:pPr>
            <w:r>
              <w:rPr>
                <w:sz w:val="16"/>
              </w:rPr>
              <w:t>4</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63"/>
              <w:rPr>
                <w:sz w:val="16"/>
              </w:rPr>
            </w:pPr>
            <w:r>
              <w:rPr>
                <w:sz w:val="16"/>
              </w:rPr>
              <w:t>4 - LABOUR MARKET</w:t>
            </w:r>
            <w:r>
              <w:rPr>
                <w:spacing w:val="1"/>
                <w:sz w:val="16"/>
              </w:rPr>
              <w:t xml:space="preserve"> </w:t>
            </w:r>
            <w:r>
              <w:rPr>
                <w:sz w:val="16"/>
              </w:rPr>
              <w:t>AND SOCIAL</w:t>
            </w:r>
            <w:r>
              <w:rPr>
                <w:spacing w:val="1"/>
                <w:sz w:val="16"/>
              </w:rPr>
              <w:t xml:space="preserve"> </w:t>
            </w:r>
            <w:r>
              <w:rPr>
                <w:sz w:val="16"/>
              </w:rPr>
              <w:t>PROTECTION</w:t>
            </w:r>
            <w:r>
              <w:rPr>
                <w:spacing w:val="-2"/>
                <w:sz w:val="16"/>
              </w:rPr>
              <w:t xml:space="preserve"> </w:t>
            </w:r>
            <w:r>
              <w:rPr>
                <w:sz w:val="16"/>
              </w:rPr>
              <w:t>-</w:t>
            </w:r>
            <w:r>
              <w:rPr>
                <w:spacing w:val="-2"/>
                <w:sz w:val="16"/>
              </w:rPr>
              <w:t xml:space="preserve"> </w:t>
            </w:r>
            <w:r>
              <w:rPr>
                <w:sz w:val="16"/>
              </w:rPr>
              <w:t>C4.1.</w:t>
            </w:r>
            <w:r>
              <w:rPr>
                <w:spacing w:val="-4"/>
                <w:sz w:val="16"/>
              </w:rPr>
              <w:t xml:space="preserve"> </w:t>
            </w:r>
            <w:r>
              <w:rPr>
                <w:sz w:val="16"/>
              </w:rPr>
              <w:t>R1</w:t>
            </w:r>
          </w:p>
          <w:p w:rsidR="00A56FE9" w:rsidRDefault="00000000">
            <w:pPr>
              <w:pStyle w:val="TableParagraph"/>
              <w:ind w:left="50" w:right="273"/>
              <w:rPr>
                <w:sz w:val="16"/>
              </w:rPr>
            </w:pPr>
            <w:r>
              <w:rPr>
                <w:sz w:val="16"/>
              </w:rPr>
              <w:t>Development and</w:t>
            </w:r>
            <w:r>
              <w:rPr>
                <w:spacing w:val="1"/>
                <w:sz w:val="16"/>
              </w:rPr>
              <w:t xml:space="preserve"> </w:t>
            </w:r>
            <w:r>
              <w:rPr>
                <w:sz w:val="16"/>
              </w:rPr>
              <w:t>implementation of new</w:t>
            </w:r>
            <w:r>
              <w:rPr>
                <w:spacing w:val="-37"/>
                <w:sz w:val="16"/>
              </w:rPr>
              <w:t xml:space="preserve"> </w:t>
            </w:r>
            <w:r>
              <w:rPr>
                <w:sz w:val="16"/>
              </w:rPr>
              <w:t>targeted active labour</w:t>
            </w:r>
            <w:r>
              <w:rPr>
                <w:spacing w:val="1"/>
                <w:sz w:val="16"/>
              </w:rPr>
              <w:t xml:space="preserve"> </w:t>
            </w:r>
            <w:r>
              <w:rPr>
                <w:sz w:val="16"/>
              </w:rPr>
              <w:t>market policies for the</w:t>
            </w:r>
            <w:r>
              <w:rPr>
                <w:spacing w:val="1"/>
                <w:sz w:val="16"/>
              </w:rPr>
              <w:t xml:space="preserve"> </w:t>
            </w:r>
            <w:r>
              <w:rPr>
                <w:sz w:val="16"/>
              </w:rPr>
              <w:t>purposes of green and</w:t>
            </w:r>
            <w:r>
              <w:rPr>
                <w:spacing w:val="1"/>
                <w:sz w:val="16"/>
              </w:rPr>
              <w:t xml:space="preserve"> </w:t>
            </w:r>
            <w:r>
              <w:rPr>
                <w:sz w:val="16"/>
              </w:rPr>
              <w:t>digital</w:t>
            </w:r>
            <w:r>
              <w:rPr>
                <w:spacing w:val="-4"/>
                <w:sz w:val="16"/>
              </w:rPr>
              <w:t xml:space="preserve"> </w:t>
            </w:r>
            <w:r>
              <w:rPr>
                <w:sz w:val="16"/>
              </w:rPr>
              <w:t>transition</w:t>
            </w:r>
            <w:r>
              <w:rPr>
                <w:spacing w:val="-2"/>
                <w:sz w:val="16"/>
              </w:rPr>
              <w:t xml:space="preserve"> </w:t>
            </w:r>
            <w:r>
              <w:rPr>
                <w:sz w:val="16"/>
              </w:rPr>
              <w:t>of</w:t>
            </w:r>
            <w:r>
              <w:rPr>
                <w:spacing w:val="-5"/>
                <w:sz w:val="16"/>
              </w:rPr>
              <w:t xml:space="preserve"> </w:t>
            </w:r>
            <w:r>
              <w:rPr>
                <w:sz w:val="16"/>
              </w:rPr>
              <w:t>the</w:t>
            </w:r>
          </w:p>
          <w:p w:rsidR="00A56FE9" w:rsidRDefault="00000000">
            <w:pPr>
              <w:pStyle w:val="TableParagraph"/>
              <w:spacing w:line="165" w:lineRule="exact"/>
              <w:ind w:left="50"/>
              <w:rPr>
                <w:sz w:val="16"/>
              </w:rPr>
            </w:pPr>
            <w:r>
              <w:rPr>
                <w:sz w:val="16"/>
              </w:rPr>
              <w:t>labour</w:t>
            </w:r>
            <w:r>
              <w:rPr>
                <w:spacing w:val="-4"/>
                <w:sz w:val="16"/>
              </w:rPr>
              <w:t xml:space="preserve"> </w:t>
            </w:r>
            <w:r>
              <w:rPr>
                <w:sz w:val="16"/>
              </w:rPr>
              <w:t>market</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05"/>
              <w:rPr>
                <w:sz w:val="16"/>
              </w:rPr>
            </w:pPr>
            <w:r>
              <w:rPr>
                <w:sz w:val="16"/>
              </w:rPr>
              <w:t>Including unemployed</w:t>
            </w:r>
            <w:r>
              <w:rPr>
                <w:spacing w:val="1"/>
                <w:sz w:val="16"/>
              </w:rPr>
              <w:t xml:space="preserve"> </w:t>
            </w:r>
            <w:r>
              <w:rPr>
                <w:sz w:val="16"/>
              </w:rPr>
              <w:t>and employed persons in</w:t>
            </w:r>
            <w:r>
              <w:rPr>
                <w:spacing w:val="-37"/>
                <w:sz w:val="16"/>
              </w:rPr>
              <w:t xml:space="preserve"> </w:t>
            </w:r>
            <w:r>
              <w:rPr>
                <w:sz w:val="16"/>
              </w:rPr>
              <w:t>active employment</w:t>
            </w:r>
            <w:r>
              <w:rPr>
                <w:spacing w:val="1"/>
                <w:sz w:val="16"/>
              </w:rPr>
              <w:t xml:space="preserve"> </w:t>
            </w:r>
            <w:r>
              <w:rPr>
                <w:sz w:val="16"/>
              </w:rPr>
              <w:t>policy</w:t>
            </w:r>
            <w:r>
              <w:rPr>
                <w:spacing w:val="-4"/>
                <w:sz w:val="16"/>
              </w:rPr>
              <w:t xml:space="preserve"> </w:t>
            </w:r>
            <w:r>
              <w:rPr>
                <w:sz w:val="16"/>
              </w:rPr>
              <w:t>measures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14"/>
              <w:rPr>
                <w:sz w:val="16"/>
              </w:rPr>
            </w:pPr>
            <w:r>
              <w:rPr>
                <w:sz w:val="16"/>
              </w:rPr>
              <w:t>Including</w:t>
            </w:r>
            <w:r>
              <w:rPr>
                <w:spacing w:val="1"/>
                <w:sz w:val="16"/>
              </w:rPr>
              <w:t xml:space="preserve"> </w:t>
            </w:r>
            <w:r>
              <w:rPr>
                <w:spacing w:val="-1"/>
                <w:sz w:val="16"/>
              </w:rPr>
              <w:t xml:space="preserve">5,000 </w:t>
            </w:r>
            <w:r>
              <w:rPr>
                <w:sz w:val="16"/>
              </w:rPr>
              <w:t>persons</w:t>
            </w:r>
            <w:r>
              <w:rPr>
                <w:spacing w:val="-37"/>
                <w:sz w:val="16"/>
              </w:rPr>
              <w:t xml:space="preserve"> </w:t>
            </w:r>
            <w:r>
              <w:rPr>
                <w:sz w:val="16"/>
              </w:rPr>
              <w:t>in the active</w:t>
            </w:r>
            <w:r>
              <w:rPr>
                <w:spacing w:val="1"/>
                <w:sz w:val="16"/>
              </w:rPr>
              <w:t xml:space="preserve"> </w:t>
            </w:r>
            <w:r>
              <w:rPr>
                <w:sz w:val="16"/>
              </w:rPr>
              <w:t>employment</w:t>
            </w:r>
            <w:r>
              <w:rPr>
                <w:spacing w:val="1"/>
                <w:sz w:val="16"/>
              </w:rPr>
              <w:t xml:space="preserve"> </w:t>
            </w:r>
            <w:r>
              <w:rPr>
                <w:sz w:val="16"/>
              </w:rPr>
              <w:t>policy</w:t>
            </w:r>
            <w:r>
              <w:rPr>
                <w:spacing w:val="1"/>
                <w:sz w:val="16"/>
              </w:rPr>
              <w:t xml:space="preserve"> </w:t>
            </w:r>
            <w:r>
              <w:rPr>
                <w:sz w:val="16"/>
              </w:rPr>
              <w:t>measures for</w:t>
            </w:r>
            <w:r>
              <w:rPr>
                <w:spacing w:val="1"/>
                <w:sz w:val="16"/>
              </w:rPr>
              <w:t xml:space="preserve"> </w:t>
            </w:r>
            <w:r>
              <w:rPr>
                <w:sz w:val="16"/>
              </w:rPr>
              <w:t>green/digital</w:t>
            </w:r>
            <w:r>
              <w:rPr>
                <w:spacing w:val="1"/>
                <w:sz w:val="16"/>
              </w:rPr>
              <w:t xml:space="preserve"> </w:t>
            </w:r>
            <w:r>
              <w:rPr>
                <w:sz w:val="16"/>
              </w:rPr>
              <w:t>transition</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3" w:right="25"/>
              <w:rPr>
                <w:sz w:val="16"/>
              </w:rPr>
            </w:pPr>
            <w:r>
              <w:rPr>
                <w:sz w:val="16"/>
              </w:rPr>
              <w:t>Number</w:t>
            </w:r>
            <w:r>
              <w:rPr>
                <w:spacing w:val="-37"/>
                <w:sz w:val="16"/>
              </w:rPr>
              <w:t xml:space="preserve"> </w:t>
            </w:r>
            <w:r>
              <w:rPr>
                <w:sz w:val="16"/>
              </w:rPr>
              <w:t>of</w:t>
            </w:r>
            <w:r>
              <w:rPr>
                <w:spacing w:val="1"/>
                <w:sz w:val="16"/>
              </w:rPr>
              <w:t xml:space="preserve"> </w:t>
            </w:r>
            <w:r>
              <w:rPr>
                <w:sz w:val="16"/>
              </w:rPr>
              <w:t>benefici</w:t>
            </w:r>
            <w:r>
              <w:rPr>
                <w:spacing w:val="-37"/>
                <w:sz w:val="16"/>
              </w:rPr>
              <w:t xml:space="preserve"> </w:t>
            </w:r>
            <w:r>
              <w:rPr>
                <w:sz w:val="16"/>
              </w:rPr>
              <w:t>aries</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9" w:right="41"/>
              <w:jc w:val="center"/>
              <w:rPr>
                <w:sz w:val="16"/>
              </w:rPr>
            </w:pPr>
            <w:r>
              <w:rPr>
                <w:sz w:val="16"/>
              </w:rPr>
              <w:t>5000</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MLPSFSP</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55"/>
              <w:rPr>
                <w:sz w:val="16"/>
              </w:rPr>
            </w:pPr>
            <w:r>
              <w:rPr>
                <w:sz w:val="16"/>
              </w:rPr>
              <w:t>In 2022, special active employment policy</w:t>
            </w:r>
            <w:r>
              <w:rPr>
                <w:spacing w:val="1"/>
                <w:sz w:val="16"/>
              </w:rPr>
              <w:t xml:space="preserve"> </w:t>
            </w:r>
            <w:r>
              <w:rPr>
                <w:sz w:val="16"/>
              </w:rPr>
              <w:t>measures will be implemented with the aim of</w:t>
            </w:r>
            <w:r>
              <w:rPr>
                <w:spacing w:val="-37"/>
                <w:sz w:val="16"/>
              </w:rPr>
              <w:t xml:space="preserve"> </w:t>
            </w:r>
            <w:r>
              <w:rPr>
                <w:sz w:val="16"/>
              </w:rPr>
              <w:t>a green and digital transition of the economy,</w:t>
            </w:r>
            <w:r>
              <w:rPr>
                <w:spacing w:val="1"/>
                <w:sz w:val="16"/>
              </w:rPr>
              <w:t xml:space="preserve"> </w:t>
            </w:r>
            <w:r>
              <w:rPr>
                <w:sz w:val="16"/>
              </w:rPr>
              <w:t>based on employment support measures,</w:t>
            </w:r>
            <w:r>
              <w:rPr>
                <w:spacing w:val="1"/>
                <w:sz w:val="16"/>
              </w:rPr>
              <w:t xml:space="preserve"> </w:t>
            </w:r>
            <w:r>
              <w:rPr>
                <w:sz w:val="16"/>
              </w:rPr>
              <w:t>traineeship support and self-employment</w:t>
            </w:r>
            <w:r>
              <w:rPr>
                <w:spacing w:val="1"/>
                <w:sz w:val="16"/>
              </w:rPr>
              <w:t xml:space="preserve"> </w:t>
            </w:r>
            <w:r>
              <w:rPr>
                <w:sz w:val="16"/>
              </w:rPr>
              <w:t>support.</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216,200,000</w:t>
            </w:r>
          </w:p>
        </w:tc>
      </w:tr>
      <w:tr w:rsidR="00A56FE9">
        <w:trPr>
          <w:trHeight w:val="1106"/>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74</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292</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2019.CSR2</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line="183" w:lineRule="exact"/>
              <w:ind w:left="50"/>
              <w:rPr>
                <w:sz w:val="16"/>
              </w:rPr>
            </w:pPr>
            <w:r>
              <w:rPr>
                <w:sz w:val="16"/>
              </w:rPr>
              <w:t>.subpart4</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8</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center"/>
              <w:rPr>
                <w:sz w:val="16"/>
              </w:rPr>
            </w:pPr>
            <w:r>
              <w:rPr>
                <w:sz w:val="16"/>
              </w:rPr>
              <w:t>1</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71"/>
              <w:rPr>
                <w:sz w:val="16"/>
              </w:rPr>
            </w:pPr>
            <w:r>
              <w:rPr>
                <w:sz w:val="16"/>
              </w:rPr>
              <w:t>4 - LABOUR MARKET</w:t>
            </w:r>
            <w:r>
              <w:rPr>
                <w:spacing w:val="-38"/>
                <w:sz w:val="16"/>
              </w:rPr>
              <w:t xml:space="preserve"> </w:t>
            </w:r>
            <w:r>
              <w:rPr>
                <w:sz w:val="16"/>
              </w:rPr>
              <w:t>AND SOCIAL</w:t>
            </w:r>
            <w:r>
              <w:rPr>
                <w:spacing w:val="1"/>
                <w:sz w:val="16"/>
              </w:rPr>
              <w:t xml:space="preserve"> </w:t>
            </w:r>
            <w:r>
              <w:rPr>
                <w:sz w:val="16"/>
              </w:rPr>
              <w:t>PROTECTION</w:t>
            </w:r>
            <w:r>
              <w:rPr>
                <w:spacing w:val="-2"/>
                <w:sz w:val="16"/>
              </w:rPr>
              <w:t xml:space="preserve"> </w:t>
            </w:r>
            <w:r>
              <w:rPr>
                <w:sz w:val="16"/>
              </w:rPr>
              <w:t>-</w:t>
            </w:r>
            <w:r>
              <w:rPr>
                <w:spacing w:val="-1"/>
                <w:sz w:val="16"/>
              </w:rPr>
              <w:t xml:space="preserve"> </w:t>
            </w:r>
            <w:r>
              <w:rPr>
                <w:sz w:val="16"/>
              </w:rPr>
              <w:t>C4.1.</w:t>
            </w:r>
          </w:p>
          <w:p w:rsidR="00A56FE9" w:rsidRDefault="00000000">
            <w:pPr>
              <w:pStyle w:val="TableParagraph"/>
              <w:spacing w:line="184" w:lineRule="exact"/>
              <w:ind w:left="50" w:right="38"/>
              <w:rPr>
                <w:sz w:val="16"/>
              </w:rPr>
            </w:pPr>
            <w:r>
              <w:rPr>
                <w:sz w:val="16"/>
              </w:rPr>
              <w:t>R3-I1 Use of an education</w:t>
            </w:r>
            <w:r>
              <w:rPr>
                <w:spacing w:val="1"/>
                <w:sz w:val="16"/>
              </w:rPr>
              <w:t xml:space="preserve"> </w:t>
            </w:r>
            <w:r>
              <w:rPr>
                <w:sz w:val="16"/>
              </w:rPr>
              <w:t>voucher system for the</w:t>
            </w:r>
            <w:r>
              <w:rPr>
                <w:spacing w:val="1"/>
                <w:sz w:val="16"/>
              </w:rPr>
              <w:t xml:space="preserve"> </w:t>
            </w:r>
            <w:r>
              <w:rPr>
                <w:sz w:val="16"/>
              </w:rPr>
              <w:t>unemployed</w:t>
            </w:r>
            <w:r>
              <w:rPr>
                <w:spacing w:val="-6"/>
                <w:sz w:val="16"/>
              </w:rPr>
              <w:t xml:space="preserve"> </w:t>
            </w:r>
            <w:r>
              <w:rPr>
                <w:sz w:val="16"/>
              </w:rPr>
              <w:t>and</w:t>
            </w:r>
            <w:r>
              <w:rPr>
                <w:spacing w:val="-7"/>
                <w:sz w:val="16"/>
              </w:rPr>
              <w:t xml:space="preserve"> </w:t>
            </w:r>
            <w:r>
              <w:rPr>
                <w:sz w:val="16"/>
              </w:rPr>
              <w:t>employed</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203"/>
              <w:rPr>
                <w:sz w:val="16"/>
              </w:rPr>
            </w:pPr>
            <w:r>
              <w:rPr>
                <w:sz w:val="16"/>
              </w:rPr>
              <w:t>Inclusion of the</w:t>
            </w:r>
            <w:r>
              <w:rPr>
                <w:spacing w:val="1"/>
                <w:sz w:val="16"/>
              </w:rPr>
              <w:t xml:space="preserve"> </w:t>
            </w:r>
            <w:r>
              <w:rPr>
                <w:sz w:val="16"/>
              </w:rPr>
              <w:t>unemployed and</w:t>
            </w:r>
            <w:r>
              <w:rPr>
                <w:spacing w:val="1"/>
                <w:sz w:val="16"/>
              </w:rPr>
              <w:t xml:space="preserve"> </w:t>
            </w:r>
            <w:r>
              <w:rPr>
                <w:sz w:val="16"/>
              </w:rPr>
              <w:t>employed in education</w:t>
            </w:r>
            <w:r>
              <w:rPr>
                <w:spacing w:val="1"/>
                <w:sz w:val="16"/>
              </w:rPr>
              <w:t xml:space="preserve"> </w:t>
            </w:r>
            <w:r>
              <w:rPr>
                <w:sz w:val="16"/>
              </w:rPr>
              <w:t>for acquiring green and</w:t>
            </w:r>
            <w:r>
              <w:rPr>
                <w:spacing w:val="-38"/>
                <w:sz w:val="16"/>
              </w:rPr>
              <w:t xml:space="preserve"> </w:t>
            </w:r>
            <w:r>
              <w:rPr>
                <w:sz w:val="16"/>
              </w:rPr>
              <w:t>digital</w:t>
            </w:r>
            <w:r>
              <w:rPr>
                <w:spacing w:val="-2"/>
                <w:sz w:val="16"/>
              </w:rPr>
              <w:t xml:space="preserve"> </w:t>
            </w:r>
            <w:r>
              <w:rPr>
                <w:sz w:val="16"/>
              </w:rPr>
              <w:t>skills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383"/>
              <w:rPr>
                <w:sz w:val="16"/>
              </w:rPr>
            </w:pPr>
            <w:r>
              <w:rPr>
                <w:sz w:val="16"/>
              </w:rPr>
              <w:t>Including</w:t>
            </w:r>
            <w:r>
              <w:rPr>
                <w:spacing w:val="-37"/>
                <w:sz w:val="16"/>
              </w:rPr>
              <w:t xml:space="preserve"> </w:t>
            </w:r>
            <w:r>
              <w:rPr>
                <w:sz w:val="16"/>
              </w:rPr>
              <w:t>4,000</w:t>
            </w:r>
          </w:p>
          <w:p w:rsidR="00A56FE9" w:rsidRDefault="00000000">
            <w:pPr>
              <w:pStyle w:val="TableParagraph"/>
              <w:ind w:left="110" w:right="164"/>
              <w:jc w:val="both"/>
              <w:rPr>
                <w:sz w:val="16"/>
              </w:rPr>
            </w:pPr>
            <w:r>
              <w:rPr>
                <w:sz w:val="16"/>
              </w:rPr>
              <w:t>beneficiaries</w:t>
            </w:r>
            <w:r>
              <w:rPr>
                <w:spacing w:val="-38"/>
                <w:sz w:val="16"/>
              </w:rPr>
              <w:t xml:space="preserve"> </w:t>
            </w:r>
            <w:r>
              <w:rPr>
                <w:sz w:val="16"/>
              </w:rPr>
              <w:t>for education</w:t>
            </w:r>
            <w:r>
              <w:rPr>
                <w:spacing w:val="-37"/>
                <w:sz w:val="16"/>
              </w:rPr>
              <w:t xml:space="preserve"> </w:t>
            </w:r>
            <w:r>
              <w:rPr>
                <w:sz w:val="16"/>
              </w:rPr>
              <w:t>vouchers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3" w:right="25"/>
              <w:rPr>
                <w:sz w:val="16"/>
              </w:rPr>
            </w:pPr>
            <w:r>
              <w:rPr>
                <w:sz w:val="16"/>
              </w:rPr>
              <w:t>Number</w:t>
            </w:r>
            <w:r>
              <w:rPr>
                <w:spacing w:val="-37"/>
                <w:sz w:val="16"/>
              </w:rPr>
              <w:t xml:space="preserve"> </w:t>
            </w:r>
            <w:r>
              <w:rPr>
                <w:sz w:val="16"/>
              </w:rPr>
              <w:t>of</w:t>
            </w:r>
            <w:r>
              <w:rPr>
                <w:spacing w:val="1"/>
                <w:sz w:val="16"/>
              </w:rPr>
              <w:t xml:space="preserve"> </w:t>
            </w:r>
            <w:r>
              <w:rPr>
                <w:sz w:val="16"/>
              </w:rPr>
              <w:t>benefici</w:t>
            </w:r>
            <w:r>
              <w:rPr>
                <w:spacing w:val="-37"/>
                <w:sz w:val="16"/>
              </w:rPr>
              <w:t xml:space="preserve"> </w:t>
            </w:r>
            <w:r>
              <w:rPr>
                <w:sz w:val="16"/>
              </w:rPr>
              <w:t>aries</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9" w:right="41"/>
              <w:jc w:val="center"/>
              <w:rPr>
                <w:sz w:val="16"/>
              </w:rPr>
            </w:pPr>
            <w:r>
              <w:rPr>
                <w:sz w:val="16"/>
              </w:rPr>
              <w:t>4000</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MLPSFSP</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8"/>
              <w:rPr>
                <w:sz w:val="16"/>
              </w:rPr>
            </w:pPr>
            <w:r>
              <w:rPr>
                <w:sz w:val="16"/>
              </w:rPr>
              <w:t>From</w:t>
            </w:r>
            <w:r>
              <w:rPr>
                <w:spacing w:val="-3"/>
                <w:sz w:val="16"/>
              </w:rPr>
              <w:t xml:space="preserve"> </w:t>
            </w:r>
            <w:r>
              <w:rPr>
                <w:sz w:val="16"/>
              </w:rPr>
              <w:t>2022,</w:t>
            </w:r>
            <w:r>
              <w:rPr>
                <w:spacing w:val="-4"/>
                <w:sz w:val="16"/>
              </w:rPr>
              <w:t xml:space="preserve"> </w:t>
            </w:r>
            <w:r>
              <w:rPr>
                <w:sz w:val="16"/>
              </w:rPr>
              <w:t>it</w:t>
            </w:r>
            <w:r>
              <w:rPr>
                <w:spacing w:val="-1"/>
                <w:sz w:val="16"/>
              </w:rPr>
              <w:t xml:space="preserve"> </w:t>
            </w:r>
            <w:r>
              <w:rPr>
                <w:sz w:val="16"/>
              </w:rPr>
              <w:t>will</w:t>
            </w:r>
            <w:r>
              <w:rPr>
                <w:spacing w:val="-3"/>
                <w:sz w:val="16"/>
              </w:rPr>
              <w:t xml:space="preserve"> </w:t>
            </w:r>
            <w:r>
              <w:rPr>
                <w:sz w:val="16"/>
              </w:rPr>
              <w:t>be</w:t>
            </w:r>
            <w:r>
              <w:rPr>
                <w:spacing w:val="-4"/>
                <w:sz w:val="16"/>
              </w:rPr>
              <w:t xml:space="preserve"> </w:t>
            </w:r>
            <w:r>
              <w:rPr>
                <w:sz w:val="16"/>
              </w:rPr>
              <w:t>possible</w:t>
            </w:r>
            <w:r>
              <w:rPr>
                <w:spacing w:val="-4"/>
                <w:sz w:val="16"/>
              </w:rPr>
              <w:t xml:space="preserve"> </w:t>
            </w:r>
            <w:r>
              <w:rPr>
                <w:sz w:val="16"/>
              </w:rPr>
              <w:t>to</w:t>
            </w:r>
            <w:r>
              <w:rPr>
                <w:spacing w:val="-3"/>
                <w:sz w:val="16"/>
              </w:rPr>
              <w:t xml:space="preserve"> </w:t>
            </w:r>
            <w:r>
              <w:rPr>
                <w:sz w:val="16"/>
              </w:rPr>
              <w:t>use</w:t>
            </w:r>
            <w:r>
              <w:rPr>
                <w:spacing w:val="-4"/>
                <w:sz w:val="16"/>
              </w:rPr>
              <w:t xml:space="preserve"> </w:t>
            </w:r>
            <w:r>
              <w:rPr>
                <w:sz w:val="16"/>
              </w:rPr>
              <w:t>education</w:t>
            </w:r>
            <w:r>
              <w:rPr>
                <w:spacing w:val="-37"/>
                <w:sz w:val="16"/>
              </w:rPr>
              <w:t xml:space="preserve"> </w:t>
            </w:r>
            <w:r>
              <w:rPr>
                <w:sz w:val="16"/>
              </w:rPr>
              <w:t>vouchers</w:t>
            </w:r>
            <w:r>
              <w:rPr>
                <w:spacing w:val="6"/>
                <w:sz w:val="16"/>
              </w:rPr>
              <w:t xml:space="preserve"> </w:t>
            </w:r>
            <w:r>
              <w:rPr>
                <w:sz w:val="16"/>
              </w:rPr>
              <w:t>in</w:t>
            </w:r>
            <w:r>
              <w:rPr>
                <w:spacing w:val="8"/>
                <w:sz w:val="16"/>
              </w:rPr>
              <w:t xml:space="preserve"> </w:t>
            </w:r>
            <w:r>
              <w:rPr>
                <w:sz w:val="16"/>
              </w:rPr>
              <w:t>order</w:t>
            </w:r>
            <w:r>
              <w:rPr>
                <w:spacing w:val="6"/>
                <w:sz w:val="16"/>
              </w:rPr>
              <w:t xml:space="preserve"> </w:t>
            </w:r>
            <w:r>
              <w:rPr>
                <w:sz w:val="16"/>
              </w:rPr>
              <w:t>to</w:t>
            </w:r>
            <w:r>
              <w:rPr>
                <w:spacing w:val="4"/>
                <w:sz w:val="16"/>
              </w:rPr>
              <w:t xml:space="preserve"> </w:t>
            </w:r>
            <w:r>
              <w:rPr>
                <w:sz w:val="16"/>
              </w:rPr>
              <w:t>adapt</w:t>
            </w:r>
            <w:r>
              <w:rPr>
                <w:spacing w:val="6"/>
                <w:sz w:val="16"/>
              </w:rPr>
              <w:t xml:space="preserve"> </w:t>
            </w:r>
            <w:r>
              <w:rPr>
                <w:sz w:val="16"/>
              </w:rPr>
              <w:t>the</w:t>
            </w:r>
            <w:r>
              <w:rPr>
                <w:spacing w:val="3"/>
                <w:sz w:val="16"/>
              </w:rPr>
              <w:t xml:space="preserve"> </w:t>
            </w:r>
            <w:r>
              <w:rPr>
                <w:sz w:val="16"/>
              </w:rPr>
              <w:t>unemployed</w:t>
            </w:r>
            <w:r>
              <w:rPr>
                <w:spacing w:val="1"/>
                <w:sz w:val="16"/>
              </w:rPr>
              <w:t xml:space="preserve"> </w:t>
            </w:r>
            <w:r>
              <w:rPr>
                <w:sz w:val="16"/>
              </w:rPr>
              <w:t>and employed to the green/digital transition of</w:t>
            </w:r>
            <w:r>
              <w:rPr>
                <w:spacing w:val="-37"/>
                <w:sz w:val="16"/>
              </w:rPr>
              <w:t xml:space="preserve"> </w:t>
            </w:r>
            <w:r>
              <w:rPr>
                <w:sz w:val="16"/>
              </w:rPr>
              <w:t>the</w:t>
            </w:r>
            <w:r>
              <w:rPr>
                <w:spacing w:val="-3"/>
                <w:sz w:val="16"/>
              </w:rPr>
              <w:t xml:space="preserve"> </w:t>
            </w:r>
            <w:r>
              <w:rPr>
                <w:sz w:val="16"/>
              </w:rPr>
              <w:t>economy.</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105,000,000</w:t>
            </w:r>
          </w:p>
        </w:tc>
      </w:tr>
      <w:tr w:rsidR="00A56FE9">
        <w:trPr>
          <w:trHeight w:val="147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right="115"/>
              <w:jc w:val="right"/>
              <w:rPr>
                <w:sz w:val="16"/>
              </w:rPr>
            </w:pPr>
            <w:r>
              <w:rPr>
                <w:sz w:val="16"/>
              </w:rPr>
              <w:t>75</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right="83"/>
              <w:jc w:val="right"/>
              <w:rPr>
                <w:sz w:val="16"/>
              </w:rPr>
            </w:pPr>
            <w:r>
              <w:rPr>
                <w:sz w:val="16"/>
              </w:rPr>
              <w:t>294</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2019.CSR2</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2020.CSR2</w:t>
            </w:r>
          </w:p>
          <w:p w:rsidR="00A56FE9" w:rsidRDefault="00000000">
            <w:pPr>
              <w:pStyle w:val="TableParagraph"/>
              <w:spacing w:line="183" w:lineRule="exact"/>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48"/>
              <w:rPr>
                <w:sz w:val="16"/>
              </w:rPr>
            </w:pPr>
            <w:r>
              <w:rPr>
                <w:sz w:val="16"/>
              </w:rPr>
              <w:t>8,</w:t>
            </w:r>
          </w:p>
          <w:p w:rsidR="00A56FE9" w:rsidRDefault="00000000">
            <w:pPr>
              <w:pStyle w:val="TableParagraph"/>
              <w:spacing w:before="1"/>
              <w:ind w:left="48"/>
              <w:rPr>
                <w:sz w:val="16"/>
              </w:rPr>
            </w:pPr>
            <w:r>
              <w:rPr>
                <w:sz w:val="16"/>
              </w:rPr>
              <w:t>10</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w:t>
            </w:r>
          </w:p>
          <w:p w:rsidR="00A56FE9" w:rsidRDefault="00000000">
            <w:pPr>
              <w:pStyle w:val="TableParagraph"/>
              <w:spacing w:before="1"/>
              <w:ind w:left="50"/>
              <w:rPr>
                <w:sz w:val="16"/>
              </w:rPr>
            </w:pPr>
            <w:r>
              <w:rPr>
                <w:sz w:val="16"/>
              </w:rPr>
              <w:t>5,</w:t>
            </w:r>
          </w:p>
          <w:p w:rsidR="00A56FE9" w:rsidRDefault="00000000">
            <w:pPr>
              <w:pStyle w:val="TableParagraph"/>
              <w:spacing w:line="183" w:lineRule="exact"/>
              <w:ind w:left="50"/>
              <w:rPr>
                <w:sz w:val="16"/>
              </w:rPr>
            </w:pPr>
            <w:r>
              <w:rPr>
                <w:sz w:val="16"/>
              </w:rPr>
              <w:t>6,</w:t>
            </w:r>
          </w:p>
          <w:p w:rsidR="00A56FE9" w:rsidRDefault="00000000">
            <w:pPr>
              <w:pStyle w:val="TableParagraph"/>
              <w:spacing w:line="183" w:lineRule="exact"/>
              <w:ind w:left="50"/>
              <w:rPr>
                <w:sz w:val="16"/>
              </w:rPr>
            </w:pPr>
            <w:r>
              <w:rPr>
                <w:sz w:val="16"/>
              </w:rPr>
              <w:t>7,</w:t>
            </w:r>
          </w:p>
          <w:p w:rsidR="00A56FE9" w:rsidRDefault="00000000">
            <w:pPr>
              <w:pStyle w:val="TableParagraph"/>
              <w:spacing w:before="1"/>
              <w:ind w:left="50"/>
              <w:rPr>
                <w:sz w:val="16"/>
              </w:rPr>
            </w:pPr>
            <w:r>
              <w:rPr>
                <w:sz w:val="16"/>
              </w:rPr>
              <w:t>9,</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63"/>
              <w:rPr>
                <w:sz w:val="16"/>
              </w:rPr>
            </w:pPr>
            <w:r>
              <w:rPr>
                <w:sz w:val="16"/>
              </w:rPr>
              <w:t>4 - LABOUR MARKET</w:t>
            </w:r>
            <w:r>
              <w:rPr>
                <w:spacing w:val="1"/>
                <w:sz w:val="16"/>
              </w:rPr>
              <w:t xml:space="preserve"> </w:t>
            </w:r>
            <w:r>
              <w:rPr>
                <w:sz w:val="16"/>
              </w:rPr>
              <w:t>AND SOCIAL</w:t>
            </w:r>
            <w:r>
              <w:rPr>
                <w:spacing w:val="1"/>
                <w:sz w:val="16"/>
              </w:rPr>
              <w:t xml:space="preserve"> </w:t>
            </w:r>
            <w:r>
              <w:rPr>
                <w:sz w:val="16"/>
              </w:rPr>
              <w:t>PROTECTION</w:t>
            </w:r>
            <w:r>
              <w:rPr>
                <w:spacing w:val="-2"/>
                <w:sz w:val="16"/>
              </w:rPr>
              <w:t xml:space="preserve"> </w:t>
            </w:r>
            <w:r>
              <w:rPr>
                <w:sz w:val="16"/>
              </w:rPr>
              <w:t>-</w:t>
            </w:r>
            <w:r>
              <w:rPr>
                <w:spacing w:val="-2"/>
                <w:sz w:val="16"/>
              </w:rPr>
              <w:t xml:space="preserve"> </w:t>
            </w:r>
            <w:r>
              <w:rPr>
                <w:sz w:val="16"/>
              </w:rPr>
              <w:t>C4.1.</w:t>
            </w:r>
            <w:r>
              <w:rPr>
                <w:spacing w:val="-4"/>
                <w:sz w:val="16"/>
              </w:rPr>
              <w:t xml:space="preserve"> </w:t>
            </w:r>
            <w:r>
              <w:rPr>
                <w:sz w:val="16"/>
              </w:rPr>
              <w:t>R4</w:t>
            </w:r>
          </w:p>
          <w:p w:rsidR="00A56FE9" w:rsidRDefault="00000000">
            <w:pPr>
              <w:pStyle w:val="TableParagraph"/>
              <w:ind w:left="50" w:right="433"/>
              <w:rPr>
                <w:sz w:val="16"/>
              </w:rPr>
            </w:pPr>
            <w:r>
              <w:rPr>
                <w:sz w:val="16"/>
              </w:rPr>
              <w:t>Improvements to the</w:t>
            </w:r>
            <w:r>
              <w:rPr>
                <w:spacing w:val="-37"/>
                <w:sz w:val="16"/>
              </w:rPr>
              <w:t xml:space="preserve"> </w:t>
            </w:r>
            <w:r>
              <w:rPr>
                <w:sz w:val="16"/>
              </w:rPr>
              <w:t>labour</w:t>
            </w:r>
            <w:r>
              <w:rPr>
                <w:spacing w:val="-3"/>
                <w:sz w:val="16"/>
              </w:rPr>
              <w:t xml:space="preserve"> </w:t>
            </w:r>
            <w:r>
              <w:rPr>
                <w:sz w:val="16"/>
              </w:rPr>
              <w:t>legislation</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80"/>
              <w:rPr>
                <w:sz w:val="16"/>
              </w:rPr>
            </w:pPr>
            <w:r>
              <w:rPr>
                <w:sz w:val="16"/>
              </w:rPr>
              <w:t>Adoption</w:t>
            </w:r>
            <w:r>
              <w:rPr>
                <w:spacing w:val="-2"/>
                <w:sz w:val="16"/>
              </w:rPr>
              <w:t xml:space="preserve"> </w:t>
            </w:r>
            <w:r>
              <w:rPr>
                <w:sz w:val="16"/>
              </w:rPr>
              <w:t>of</w:t>
            </w:r>
            <w:r>
              <w:rPr>
                <w:spacing w:val="-5"/>
                <w:sz w:val="16"/>
              </w:rPr>
              <w:t xml:space="preserve"> </w:t>
            </w:r>
            <w:r>
              <w:rPr>
                <w:sz w:val="16"/>
              </w:rPr>
              <w:t>the</w:t>
            </w:r>
            <w:r>
              <w:rPr>
                <w:spacing w:val="-4"/>
                <w:sz w:val="16"/>
              </w:rPr>
              <w:t xml:space="preserve"> </w:t>
            </w:r>
            <w:r>
              <w:rPr>
                <w:sz w:val="16"/>
              </w:rPr>
              <w:t>Law</w:t>
            </w:r>
            <w:r>
              <w:rPr>
                <w:spacing w:val="-6"/>
                <w:sz w:val="16"/>
              </w:rPr>
              <w:t xml:space="preserve"> </w:t>
            </w:r>
            <w:r>
              <w:rPr>
                <w:sz w:val="16"/>
              </w:rPr>
              <w:t>on</w:t>
            </w:r>
            <w:r>
              <w:rPr>
                <w:spacing w:val="-37"/>
                <w:sz w:val="16"/>
              </w:rPr>
              <w:t xml:space="preserve"> </w:t>
            </w:r>
            <w:r>
              <w:rPr>
                <w:sz w:val="16"/>
              </w:rPr>
              <w:t>Tackling Undeclared</w:t>
            </w:r>
            <w:r>
              <w:rPr>
                <w:spacing w:val="1"/>
                <w:sz w:val="16"/>
              </w:rPr>
              <w:t xml:space="preserve"> </w:t>
            </w:r>
            <w:r>
              <w:rPr>
                <w:sz w:val="16"/>
              </w:rPr>
              <w:t>Work and the new</w:t>
            </w:r>
            <w:r>
              <w:rPr>
                <w:spacing w:val="1"/>
                <w:sz w:val="16"/>
              </w:rPr>
              <w:t xml:space="preserve"> </w:t>
            </w:r>
            <w:r>
              <w:rPr>
                <w:sz w:val="16"/>
              </w:rPr>
              <w:t>Labour</w:t>
            </w:r>
            <w:r>
              <w:rPr>
                <w:spacing w:val="1"/>
                <w:sz w:val="16"/>
              </w:rPr>
              <w:t xml:space="preserve"> </w:t>
            </w:r>
            <w:r>
              <w:rPr>
                <w:sz w:val="16"/>
              </w:rPr>
              <w:t>Law</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05"/>
              <w:rPr>
                <w:sz w:val="16"/>
              </w:rPr>
            </w:pPr>
            <w:r>
              <w:rPr>
                <w:sz w:val="16"/>
              </w:rPr>
              <w:t>Entry into</w:t>
            </w:r>
            <w:r>
              <w:rPr>
                <w:spacing w:val="1"/>
                <w:sz w:val="16"/>
              </w:rPr>
              <w:t xml:space="preserve"> </w:t>
            </w:r>
            <w:r>
              <w:rPr>
                <w:sz w:val="16"/>
              </w:rPr>
              <w:t>force of the</w:t>
            </w:r>
            <w:r>
              <w:rPr>
                <w:spacing w:val="1"/>
                <w:sz w:val="16"/>
              </w:rPr>
              <w:t xml:space="preserve"> </w:t>
            </w:r>
            <w:r>
              <w:rPr>
                <w:sz w:val="16"/>
              </w:rPr>
              <w:t>Law on</w:t>
            </w:r>
            <w:r>
              <w:rPr>
                <w:spacing w:val="1"/>
                <w:sz w:val="16"/>
              </w:rPr>
              <w:t xml:space="preserve"> </w:t>
            </w:r>
            <w:r>
              <w:rPr>
                <w:sz w:val="16"/>
              </w:rPr>
              <w:t>Tackling</w:t>
            </w:r>
            <w:r>
              <w:rPr>
                <w:spacing w:val="1"/>
                <w:sz w:val="16"/>
              </w:rPr>
              <w:t xml:space="preserve"> </w:t>
            </w:r>
            <w:r>
              <w:rPr>
                <w:sz w:val="16"/>
              </w:rPr>
              <w:t>Undeclared</w:t>
            </w:r>
            <w:r>
              <w:rPr>
                <w:spacing w:val="1"/>
                <w:sz w:val="16"/>
              </w:rPr>
              <w:t xml:space="preserve"> </w:t>
            </w:r>
            <w:r>
              <w:rPr>
                <w:sz w:val="16"/>
              </w:rPr>
              <w:t>Work and the</w:t>
            </w:r>
            <w:r>
              <w:rPr>
                <w:spacing w:val="-37"/>
                <w:sz w:val="16"/>
              </w:rPr>
              <w:t xml:space="preserve"> </w:t>
            </w:r>
            <w:r>
              <w:rPr>
                <w:sz w:val="16"/>
              </w:rPr>
              <w:t>Act</w:t>
            </w:r>
            <w:r>
              <w:rPr>
                <w:spacing w:val="-10"/>
                <w:sz w:val="16"/>
              </w:rPr>
              <w:t xml:space="preserve"> </w:t>
            </w:r>
            <w:r>
              <w:rPr>
                <w:sz w:val="16"/>
              </w:rPr>
              <w:t>amending</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7"/>
              <w:rPr>
                <w:sz w:val="16"/>
              </w:rPr>
            </w:pPr>
            <w:r>
              <w:rPr>
                <w:sz w:val="16"/>
              </w:rPr>
              <w:t>MLPSFSP</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46"/>
              <w:rPr>
                <w:sz w:val="16"/>
              </w:rPr>
            </w:pPr>
            <w:r>
              <w:rPr>
                <w:sz w:val="16"/>
              </w:rPr>
              <w:t>The amended or new Labour Act shall</w:t>
            </w:r>
            <w:r>
              <w:rPr>
                <w:spacing w:val="1"/>
                <w:sz w:val="16"/>
              </w:rPr>
              <w:t xml:space="preserve"> </w:t>
            </w:r>
            <w:r>
              <w:rPr>
                <w:sz w:val="16"/>
              </w:rPr>
              <w:t>regulate outplace work and platform work,</w:t>
            </w:r>
            <w:r>
              <w:rPr>
                <w:spacing w:val="-37"/>
                <w:sz w:val="16"/>
              </w:rPr>
              <w:t xml:space="preserve"> </w:t>
            </w:r>
            <w:r>
              <w:rPr>
                <w:sz w:val="16"/>
              </w:rPr>
              <w:t>limit the number of successive temporary</w:t>
            </w:r>
            <w:r>
              <w:rPr>
                <w:spacing w:val="1"/>
                <w:sz w:val="16"/>
              </w:rPr>
              <w:t xml:space="preserve"> </w:t>
            </w:r>
            <w:r>
              <w:rPr>
                <w:sz w:val="16"/>
              </w:rPr>
              <w:t>contracts, strengthen the right to work for</w:t>
            </w:r>
            <w:r>
              <w:rPr>
                <w:spacing w:val="1"/>
                <w:sz w:val="16"/>
              </w:rPr>
              <w:t xml:space="preserve"> </w:t>
            </w:r>
            <w:r>
              <w:rPr>
                <w:sz w:val="16"/>
              </w:rPr>
              <w:t>other employers and revise the 65-year</w:t>
            </w:r>
            <w:r>
              <w:rPr>
                <w:spacing w:val="1"/>
                <w:sz w:val="16"/>
              </w:rPr>
              <w:t xml:space="preserve"> </w:t>
            </w:r>
            <w:r>
              <w:rPr>
                <w:sz w:val="16"/>
              </w:rPr>
              <w:t>retirement clause, change the provisions on</w:t>
            </w:r>
            <w:r>
              <w:rPr>
                <w:spacing w:val="-37"/>
                <w:sz w:val="16"/>
              </w:rPr>
              <w:t xml:space="preserve"> </w:t>
            </w:r>
            <w:r>
              <w:rPr>
                <w:sz w:val="16"/>
              </w:rPr>
              <w:t>financing</w:t>
            </w:r>
            <w:r>
              <w:rPr>
                <w:spacing w:val="-2"/>
                <w:sz w:val="16"/>
              </w:rPr>
              <w:t xml:space="preserve"> </w:t>
            </w:r>
            <w:r>
              <w:rPr>
                <w:sz w:val="16"/>
              </w:rPr>
              <w:t>of</w:t>
            </w:r>
            <w:r>
              <w:rPr>
                <w:spacing w:val="-3"/>
                <w:sz w:val="16"/>
              </w:rPr>
              <w:t xml:space="preserve"> </w:t>
            </w:r>
            <w:r>
              <w:rPr>
                <w:sz w:val="16"/>
              </w:rPr>
              <w:t>sick leave</w:t>
            </w:r>
            <w:r>
              <w:rPr>
                <w:spacing w:val="-4"/>
                <w:sz w:val="16"/>
              </w:rPr>
              <w:t xml:space="preserve"> </w:t>
            </w:r>
            <w:r>
              <w:rPr>
                <w:sz w:val="16"/>
              </w:rPr>
              <w:t>and</w:t>
            </w:r>
            <w:r>
              <w:rPr>
                <w:spacing w:val="-1"/>
                <w:sz w:val="16"/>
              </w:rPr>
              <w:t xml:space="preserve"> </w:t>
            </w:r>
            <w:r>
              <w:rPr>
                <w:sz w:val="16"/>
              </w:rPr>
              <w:t>severance</w:t>
            </w:r>
            <w:r>
              <w:rPr>
                <w:spacing w:val="-5"/>
                <w:sz w:val="16"/>
              </w:rPr>
              <w:t xml:space="preserve"> </w:t>
            </w:r>
            <w:r>
              <w:rPr>
                <w:sz w:val="16"/>
              </w:rPr>
              <w:t>for</w:t>
            </w:r>
          </w:p>
          <w:p w:rsidR="00A56FE9" w:rsidRDefault="00000000">
            <w:pPr>
              <w:pStyle w:val="TableParagraph"/>
              <w:spacing w:line="168" w:lineRule="exact"/>
              <w:ind w:left="57"/>
              <w:rPr>
                <w:sz w:val="16"/>
              </w:rPr>
            </w:pPr>
            <w:r>
              <w:rPr>
                <w:sz w:val="16"/>
              </w:rPr>
              <w:t>workers</w:t>
            </w:r>
            <w:r>
              <w:rPr>
                <w:spacing w:val="-4"/>
                <w:sz w:val="16"/>
              </w:rPr>
              <w:t xml:space="preserve"> </w:t>
            </w:r>
            <w:r>
              <w:rPr>
                <w:sz w:val="16"/>
              </w:rPr>
              <w:t>at</w:t>
            </w:r>
            <w:r>
              <w:rPr>
                <w:spacing w:val="-2"/>
                <w:sz w:val="16"/>
              </w:rPr>
              <w:t xml:space="preserve"> </w:t>
            </w:r>
            <w:r>
              <w:rPr>
                <w:sz w:val="16"/>
              </w:rPr>
              <w:t>retirement</w:t>
            </w:r>
            <w:r>
              <w:rPr>
                <w:spacing w:val="-4"/>
                <w:sz w:val="16"/>
              </w:rPr>
              <w:t xml:space="preserve"> </w:t>
            </w:r>
            <w:r>
              <w:rPr>
                <w:sz w:val="16"/>
              </w:rPr>
              <w:t>age,</w:t>
            </w:r>
            <w:r>
              <w:rPr>
                <w:spacing w:val="-2"/>
                <w:sz w:val="16"/>
              </w:rPr>
              <w:t xml:space="preserve"> </w:t>
            </w:r>
            <w:r>
              <w:rPr>
                <w:sz w:val="16"/>
              </w:rPr>
              <w:t>encourage</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3674"/>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10"/>
              <w:rPr>
                <w:sz w:val="16"/>
              </w:rPr>
            </w:pPr>
            <w:r>
              <w:rPr>
                <w:sz w:val="16"/>
              </w:rPr>
              <w:t>the</w:t>
            </w:r>
            <w:r>
              <w:rPr>
                <w:spacing w:val="-4"/>
                <w:sz w:val="16"/>
              </w:rPr>
              <w:t xml:space="preserve"> </w:t>
            </w:r>
            <w:r>
              <w:rPr>
                <w:sz w:val="16"/>
              </w:rPr>
              <w:t>Labour</w:t>
            </w:r>
          </w:p>
          <w:p w:rsidR="00A56FE9" w:rsidRDefault="00000000">
            <w:pPr>
              <w:pStyle w:val="TableParagraph"/>
              <w:spacing w:before="1"/>
              <w:ind w:left="110"/>
              <w:rPr>
                <w:sz w:val="16"/>
              </w:rPr>
            </w:pPr>
            <w:r>
              <w:rPr>
                <w:sz w:val="16"/>
              </w:rPr>
              <w:t>Law</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7"/>
              <w:rPr>
                <w:sz w:val="16"/>
              </w:rPr>
            </w:pPr>
            <w:r>
              <w:rPr>
                <w:sz w:val="16"/>
              </w:rPr>
              <w:t>additional</w:t>
            </w:r>
            <w:r>
              <w:rPr>
                <w:spacing w:val="-6"/>
                <w:sz w:val="16"/>
              </w:rPr>
              <w:t xml:space="preserve"> </w:t>
            </w:r>
            <w:r>
              <w:rPr>
                <w:sz w:val="16"/>
              </w:rPr>
              <w:t>employment</w:t>
            </w:r>
            <w:r>
              <w:rPr>
                <w:spacing w:val="-4"/>
                <w:sz w:val="16"/>
              </w:rPr>
              <w:t xml:space="preserve"> </w:t>
            </w:r>
            <w:r>
              <w:rPr>
                <w:sz w:val="16"/>
              </w:rPr>
              <w:t>and</w:t>
            </w:r>
            <w:r>
              <w:rPr>
                <w:spacing w:val="-5"/>
                <w:sz w:val="16"/>
              </w:rPr>
              <w:t xml:space="preserve"> </w:t>
            </w:r>
            <w:r>
              <w:rPr>
                <w:sz w:val="16"/>
              </w:rPr>
              <w:t>part-time</w:t>
            </w:r>
          </w:p>
          <w:p w:rsidR="00A56FE9" w:rsidRDefault="00000000">
            <w:pPr>
              <w:pStyle w:val="TableParagraph"/>
              <w:spacing w:before="1"/>
              <w:ind w:left="57" w:right="55"/>
              <w:rPr>
                <w:sz w:val="16"/>
              </w:rPr>
            </w:pPr>
            <w:r>
              <w:rPr>
                <w:sz w:val="16"/>
              </w:rPr>
              <w:t>employment,</w:t>
            </w:r>
            <w:r>
              <w:rPr>
                <w:spacing w:val="-3"/>
                <w:sz w:val="16"/>
              </w:rPr>
              <w:t xml:space="preserve"> </w:t>
            </w:r>
            <w:r>
              <w:rPr>
                <w:sz w:val="16"/>
              </w:rPr>
              <w:t>redefine</w:t>
            </w:r>
            <w:r>
              <w:rPr>
                <w:spacing w:val="-6"/>
                <w:sz w:val="16"/>
              </w:rPr>
              <w:t xml:space="preserve"> </w:t>
            </w:r>
            <w:r>
              <w:rPr>
                <w:sz w:val="16"/>
              </w:rPr>
              <w:t>the</w:t>
            </w:r>
            <w:r>
              <w:rPr>
                <w:spacing w:val="-7"/>
                <w:sz w:val="16"/>
              </w:rPr>
              <w:t xml:space="preserve"> </w:t>
            </w:r>
            <w:r>
              <w:rPr>
                <w:sz w:val="16"/>
              </w:rPr>
              <w:t>provisions</w:t>
            </w:r>
            <w:r>
              <w:rPr>
                <w:spacing w:val="-8"/>
                <w:sz w:val="16"/>
              </w:rPr>
              <w:t xml:space="preserve"> </w:t>
            </w:r>
            <w:r>
              <w:rPr>
                <w:sz w:val="16"/>
              </w:rPr>
              <w:t>on</w:t>
            </w:r>
            <w:r>
              <w:rPr>
                <w:spacing w:val="-3"/>
                <w:sz w:val="16"/>
              </w:rPr>
              <w:t xml:space="preserve"> </w:t>
            </w:r>
            <w:r>
              <w:rPr>
                <w:sz w:val="16"/>
              </w:rPr>
              <w:t>wages</w:t>
            </w:r>
            <w:r>
              <w:rPr>
                <w:spacing w:val="-37"/>
                <w:sz w:val="16"/>
              </w:rPr>
              <w:t xml:space="preserve"> </w:t>
            </w:r>
            <w:r>
              <w:rPr>
                <w:sz w:val="16"/>
              </w:rPr>
              <w:t>so that their determination is transparent and</w:t>
            </w:r>
            <w:r>
              <w:rPr>
                <w:spacing w:val="1"/>
                <w:sz w:val="16"/>
              </w:rPr>
              <w:t xml:space="preserve"> </w:t>
            </w:r>
            <w:r>
              <w:rPr>
                <w:sz w:val="16"/>
              </w:rPr>
              <w:t>predictable, respecting the autonomy of the</w:t>
            </w:r>
            <w:r>
              <w:rPr>
                <w:spacing w:val="1"/>
                <w:sz w:val="16"/>
              </w:rPr>
              <w:t xml:space="preserve"> </w:t>
            </w:r>
            <w:r>
              <w:rPr>
                <w:sz w:val="16"/>
              </w:rPr>
              <w:t>social</w:t>
            </w:r>
            <w:r>
              <w:rPr>
                <w:spacing w:val="1"/>
                <w:sz w:val="16"/>
              </w:rPr>
              <w:t xml:space="preserve"> </w:t>
            </w:r>
            <w:r>
              <w:rPr>
                <w:sz w:val="16"/>
              </w:rPr>
              <w:t>partners,</w:t>
            </w:r>
            <w:r>
              <w:rPr>
                <w:spacing w:val="3"/>
                <w:sz w:val="16"/>
              </w:rPr>
              <w:t xml:space="preserve"> </w:t>
            </w:r>
            <w:r>
              <w:rPr>
                <w:sz w:val="16"/>
              </w:rPr>
              <w:t>and</w:t>
            </w:r>
            <w:r>
              <w:rPr>
                <w:spacing w:val="2"/>
                <w:sz w:val="16"/>
              </w:rPr>
              <w:t xml:space="preserve"> </w:t>
            </w:r>
            <w:r>
              <w:rPr>
                <w:sz w:val="16"/>
              </w:rPr>
              <w:t>include</w:t>
            </w:r>
            <w:r>
              <w:rPr>
                <w:spacing w:val="-2"/>
                <w:sz w:val="16"/>
              </w:rPr>
              <w:t xml:space="preserve"> </w:t>
            </w:r>
            <w:r>
              <w:rPr>
                <w:sz w:val="16"/>
              </w:rPr>
              <w:t>provisions</w:t>
            </w:r>
            <w:r>
              <w:rPr>
                <w:spacing w:val="2"/>
                <w:sz w:val="16"/>
              </w:rPr>
              <w:t xml:space="preserve"> </w:t>
            </w:r>
            <w:r>
              <w:rPr>
                <w:sz w:val="16"/>
              </w:rPr>
              <w:t>to</w:t>
            </w:r>
            <w:r>
              <w:rPr>
                <w:spacing w:val="1"/>
                <w:sz w:val="16"/>
              </w:rPr>
              <w:t xml:space="preserve"> </w:t>
            </w:r>
            <w:r>
              <w:rPr>
                <w:sz w:val="16"/>
              </w:rPr>
              <w:t>allow flexibility in working time and place of</w:t>
            </w:r>
            <w:r>
              <w:rPr>
                <w:spacing w:val="1"/>
                <w:sz w:val="16"/>
              </w:rPr>
              <w:t xml:space="preserve"> </w:t>
            </w:r>
            <w:r>
              <w:rPr>
                <w:sz w:val="16"/>
              </w:rPr>
              <w:t>work and</w:t>
            </w:r>
            <w:r>
              <w:rPr>
                <w:spacing w:val="1"/>
                <w:sz w:val="16"/>
              </w:rPr>
              <w:t xml:space="preserve"> </w:t>
            </w:r>
            <w:r>
              <w:rPr>
                <w:sz w:val="16"/>
              </w:rPr>
              <w:t>reduce</w:t>
            </w:r>
            <w:r>
              <w:rPr>
                <w:spacing w:val="-5"/>
                <w:sz w:val="16"/>
              </w:rPr>
              <w:t xml:space="preserve"> </w:t>
            </w:r>
            <w:r>
              <w:rPr>
                <w:sz w:val="16"/>
              </w:rPr>
              <w:t>the</w:t>
            </w:r>
            <w:r>
              <w:rPr>
                <w:spacing w:val="-2"/>
                <w:sz w:val="16"/>
              </w:rPr>
              <w:t xml:space="preserve"> </w:t>
            </w:r>
            <w:r>
              <w:rPr>
                <w:sz w:val="16"/>
              </w:rPr>
              <w:t>gender</w:t>
            </w:r>
            <w:r>
              <w:rPr>
                <w:spacing w:val="-4"/>
                <w:sz w:val="16"/>
              </w:rPr>
              <w:t xml:space="preserve"> </w:t>
            </w:r>
            <w:r>
              <w:rPr>
                <w:sz w:val="16"/>
              </w:rPr>
              <w:t>pay</w:t>
            </w:r>
            <w:r>
              <w:rPr>
                <w:spacing w:val="-3"/>
                <w:sz w:val="16"/>
              </w:rPr>
              <w:t xml:space="preserve"> </w:t>
            </w:r>
            <w:r>
              <w:rPr>
                <w:sz w:val="16"/>
              </w:rPr>
              <w:t>gap.</w:t>
            </w:r>
          </w:p>
          <w:p w:rsidR="00A56FE9" w:rsidRDefault="00000000">
            <w:pPr>
              <w:pStyle w:val="TableParagraph"/>
              <w:ind w:left="57" w:right="38"/>
              <w:rPr>
                <w:sz w:val="16"/>
              </w:rPr>
            </w:pPr>
            <w:r>
              <w:rPr>
                <w:sz w:val="16"/>
              </w:rPr>
              <w:t>Alignment of the new Act with the EU</w:t>
            </w:r>
            <w:r>
              <w:rPr>
                <w:spacing w:val="1"/>
                <w:sz w:val="16"/>
              </w:rPr>
              <w:t xml:space="preserve"> </w:t>
            </w:r>
            <w:r>
              <w:rPr>
                <w:sz w:val="16"/>
              </w:rPr>
              <w:t>Directive on work-life balance and the EU</w:t>
            </w:r>
            <w:r>
              <w:rPr>
                <w:spacing w:val="1"/>
                <w:sz w:val="16"/>
              </w:rPr>
              <w:t xml:space="preserve"> </w:t>
            </w:r>
            <w:r>
              <w:rPr>
                <w:sz w:val="16"/>
              </w:rPr>
              <w:t>Directive on Transparent and Predictable</w:t>
            </w:r>
            <w:r>
              <w:rPr>
                <w:spacing w:val="1"/>
                <w:sz w:val="16"/>
              </w:rPr>
              <w:t xml:space="preserve"> </w:t>
            </w:r>
            <w:r>
              <w:rPr>
                <w:sz w:val="16"/>
              </w:rPr>
              <w:t>Working Conditions will increase women's</w:t>
            </w:r>
            <w:r>
              <w:rPr>
                <w:spacing w:val="1"/>
                <w:sz w:val="16"/>
              </w:rPr>
              <w:t xml:space="preserve"> </w:t>
            </w:r>
            <w:r>
              <w:rPr>
                <w:sz w:val="16"/>
              </w:rPr>
              <w:t>employment and reduce the gender gap, as</w:t>
            </w:r>
            <w:r>
              <w:rPr>
                <w:spacing w:val="1"/>
                <w:sz w:val="16"/>
              </w:rPr>
              <w:t xml:space="preserve"> </w:t>
            </w:r>
            <w:r>
              <w:rPr>
                <w:sz w:val="16"/>
              </w:rPr>
              <w:t>well as job stability and information on</w:t>
            </w:r>
            <w:r>
              <w:rPr>
                <w:spacing w:val="1"/>
                <w:sz w:val="16"/>
              </w:rPr>
              <w:t xml:space="preserve"> </w:t>
            </w:r>
            <w:r>
              <w:rPr>
                <w:sz w:val="16"/>
              </w:rPr>
              <w:t>working conditions. The new or amended Act</w:t>
            </w:r>
            <w:r>
              <w:rPr>
                <w:spacing w:val="1"/>
                <w:sz w:val="16"/>
              </w:rPr>
              <w:t xml:space="preserve"> </w:t>
            </w:r>
            <w:r>
              <w:rPr>
                <w:sz w:val="16"/>
              </w:rPr>
              <w:t>on Suppressing Undeclared Work shall define</w:t>
            </w:r>
            <w:r>
              <w:rPr>
                <w:spacing w:val="1"/>
                <w:sz w:val="16"/>
              </w:rPr>
              <w:t xml:space="preserve"> </w:t>
            </w:r>
            <w:r>
              <w:rPr>
                <w:sz w:val="16"/>
              </w:rPr>
              <w:t>undeclared work and all its manifestations,</w:t>
            </w:r>
            <w:r>
              <w:rPr>
                <w:spacing w:val="1"/>
                <w:sz w:val="16"/>
              </w:rPr>
              <w:t xml:space="preserve"> </w:t>
            </w:r>
            <w:r>
              <w:rPr>
                <w:sz w:val="16"/>
              </w:rPr>
              <w:t>strengthen inspections and laying down</w:t>
            </w:r>
            <w:r>
              <w:rPr>
                <w:spacing w:val="1"/>
                <w:sz w:val="16"/>
              </w:rPr>
              <w:t xml:space="preserve"> </w:t>
            </w:r>
            <w:r>
              <w:rPr>
                <w:sz w:val="16"/>
              </w:rPr>
              <w:t>misdemeanour</w:t>
            </w:r>
            <w:r>
              <w:rPr>
                <w:spacing w:val="-6"/>
                <w:sz w:val="16"/>
              </w:rPr>
              <w:t xml:space="preserve"> </w:t>
            </w:r>
            <w:r>
              <w:rPr>
                <w:sz w:val="16"/>
              </w:rPr>
              <w:t>provisions,</w:t>
            </w:r>
            <w:r>
              <w:rPr>
                <w:spacing w:val="-6"/>
                <w:sz w:val="16"/>
              </w:rPr>
              <w:t xml:space="preserve"> </w:t>
            </w:r>
            <w:r>
              <w:rPr>
                <w:sz w:val="16"/>
              </w:rPr>
              <w:t>regulate</w:t>
            </w:r>
            <w:r>
              <w:rPr>
                <w:spacing w:val="-6"/>
                <w:sz w:val="16"/>
              </w:rPr>
              <w:t xml:space="preserve"> </w:t>
            </w:r>
            <w:r>
              <w:rPr>
                <w:sz w:val="16"/>
              </w:rPr>
              <w:t>the</w:t>
            </w:r>
            <w:r>
              <w:rPr>
                <w:spacing w:val="-6"/>
                <w:sz w:val="16"/>
              </w:rPr>
              <w:t xml:space="preserve"> </w:t>
            </w:r>
            <w:r>
              <w:rPr>
                <w:sz w:val="16"/>
              </w:rPr>
              <w:t>process</w:t>
            </w:r>
            <w:r>
              <w:rPr>
                <w:spacing w:val="-37"/>
                <w:sz w:val="16"/>
              </w:rPr>
              <w:t xml:space="preserve"> </w:t>
            </w:r>
            <w:r>
              <w:rPr>
                <w:sz w:val="16"/>
              </w:rPr>
              <w:t>of</w:t>
            </w:r>
            <w:r>
              <w:rPr>
                <w:spacing w:val="-3"/>
                <w:sz w:val="16"/>
              </w:rPr>
              <w:t xml:space="preserve"> </w:t>
            </w:r>
            <w:r>
              <w:rPr>
                <w:sz w:val="16"/>
              </w:rPr>
              <w:t>transferring</w:t>
            </w:r>
            <w:r>
              <w:rPr>
                <w:spacing w:val="-2"/>
                <w:sz w:val="16"/>
              </w:rPr>
              <w:t xml:space="preserve"> </w:t>
            </w:r>
            <w:r>
              <w:rPr>
                <w:sz w:val="16"/>
              </w:rPr>
              <w:t>workers</w:t>
            </w:r>
            <w:r>
              <w:rPr>
                <w:spacing w:val="-2"/>
                <w:sz w:val="16"/>
              </w:rPr>
              <w:t xml:space="preserve"> </w:t>
            </w:r>
            <w:r>
              <w:rPr>
                <w:sz w:val="16"/>
              </w:rPr>
              <w:t>from</w:t>
            </w:r>
            <w:r>
              <w:rPr>
                <w:spacing w:val="-1"/>
                <w:sz w:val="16"/>
              </w:rPr>
              <w:t xml:space="preserve"> </w:t>
            </w:r>
            <w:r>
              <w:rPr>
                <w:sz w:val="16"/>
              </w:rPr>
              <w:t>undeclared</w:t>
            </w:r>
            <w:r>
              <w:rPr>
                <w:spacing w:val="-1"/>
                <w:sz w:val="16"/>
              </w:rPr>
              <w:t xml:space="preserve"> </w:t>
            </w:r>
            <w:r>
              <w:rPr>
                <w:sz w:val="16"/>
              </w:rPr>
              <w:t>to</w:t>
            </w:r>
          </w:p>
          <w:p w:rsidR="00A56FE9" w:rsidRDefault="00000000">
            <w:pPr>
              <w:pStyle w:val="TableParagraph"/>
              <w:spacing w:line="168" w:lineRule="exact"/>
              <w:ind w:left="57"/>
              <w:rPr>
                <w:sz w:val="16"/>
              </w:rPr>
            </w:pPr>
            <w:r>
              <w:rPr>
                <w:sz w:val="16"/>
              </w:rPr>
              <w:t>declared</w:t>
            </w:r>
            <w:r>
              <w:rPr>
                <w:spacing w:val="-4"/>
                <w:sz w:val="16"/>
              </w:rPr>
              <w:t xml:space="preserve"> </w:t>
            </w:r>
            <w:r>
              <w:rPr>
                <w:sz w:val="16"/>
              </w:rPr>
              <w:t>work.</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1471"/>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76</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297</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2019.CSR2</w:t>
            </w:r>
          </w:p>
          <w:p w:rsidR="00A56FE9" w:rsidRDefault="00000000">
            <w:pPr>
              <w:pStyle w:val="TableParagraph"/>
              <w:ind w:left="50" w:right="38"/>
              <w:rPr>
                <w:sz w:val="16"/>
              </w:rPr>
            </w:pPr>
            <w:r>
              <w:rPr>
                <w:sz w:val="16"/>
              </w:rPr>
              <w:t>.subpart2,</w:t>
            </w:r>
            <w:r>
              <w:rPr>
                <w:spacing w:val="1"/>
                <w:sz w:val="16"/>
              </w:rPr>
              <w:t xml:space="preserve"> </w:t>
            </w:r>
            <w:r>
              <w:rPr>
                <w:spacing w:val="-1"/>
                <w:sz w:val="16"/>
              </w:rPr>
              <w:t>2020.CSR2</w:t>
            </w:r>
          </w:p>
          <w:p w:rsidR="00A56FE9" w:rsidRDefault="00000000">
            <w:pPr>
              <w:pStyle w:val="TableParagraph"/>
              <w:spacing w:before="1"/>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58"/>
              <w:jc w:val="right"/>
              <w:rPr>
                <w:sz w:val="16"/>
              </w:rPr>
            </w:pPr>
            <w:r>
              <w:rPr>
                <w:sz w:val="16"/>
              </w:rPr>
              <w:t>15</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63"/>
              <w:rPr>
                <w:sz w:val="16"/>
              </w:rPr>
            </w:pPr>
            <w:r>
              <w:rPr>
                <w:sz w:val="16"/>
              </w:rPr>
              <w:t>4 - LABOUR MARKET</w:t>
            </w:r>
            <w:r>
              <w:rPr>
                <w:spacing w:val="1"/>
                <w:sz w:val="16"/>
              </w:rPr>
              <w:t xml:space="preserve"> </w:t>
            </w:r>
            <w:r>
              <w:rPr>
                <w:sz w:val="16"/>
              </w:rPr>
              <w:t>AND SOCIAL</w:t>
            </w:r>
            <w:r>
              <w:rPr>
                <w:spacing w:val="1"/>
                <w:sz w:val="16"/>
              </w:rPr>
              <w:t xml:space="preserve"> </w:t>
            </w:r>
            <w:r>
              <w:rPr>
                <w:sz w:val="16"/>
              </w:rPr>
              <w:t>PROTECTION</w:t>
            </w:r>
            <w:r>
              <w:rPr>
                <w:spacing w:val="-2"/>
                <w:sz w:val="16"/>
              </w:rPr>
              <w:t xml:space="preserve"> </w:t>
            </w:r>
            <w:r>
              <w:rPr>
                <w:sz w:val="16"/>
              </w:rPr>
              <w:t>-</w:t>
            </w:r>
            <w:r>
              <w:rPr>
                <w:spacing w:val="-2"/>
                <w:sz w:val="16"/>
              </w:rPr>
              <w:t xml:space="preserve"> </w:t>
            </w:r>
            <w:r>
              <w:rPr>
                <w:sz w:val="16"/>
              </w:rPr>
              <w:t>C4.2.</w:t>
            </w:r>
            <w:r>
              <w:rPr>
                <w:spacing w:val="-4"/>
                <w:sz w:val="16"/>
              </w:rPr>
              <w:t xml:space="preserve"> </w:t>
            </w:r>
            <w:r>
              <w:rPr>
                <w:sz w:val="16"/>
              </w:rPr>
              <w:t>R1</w:t>
            </w:r>
          </w:p>
          <w:p w:rsidR="00A56FE9" w:rsidRDefault="00000000">
            <w:pPr>
              <w:pStyle w:val="TableParagraph"/>
              <w:ind w:left="50" w:right="126"/>
              <w:rPr>
                <w:sz w:val="16"/>
              </w:rPr>
            </w:pPr>
            <w:r>
              <w:rPr>
                <w:sz w:val="16"/>
              </w:rPr>
              <w:t>Increasing pension</w:t>
            </w:r>
            <w:r>
              <w:rPr>
                <w:spacing w:val="1"/>
                <w:sz w:val="16"/>
              </w:rPr>
              <w:t xml:space="preserve"> </w:t>
            </w:r>
            <w:r>
              <w:rPr>
                <w:sz w:val="16"/>
              </w:rPr>
              <w:t>adequacy through</w:t>
            </w:r>
            <w:r>
              <w:rPr>
                <w:spacing w:val="1"/>
                <w:sz w:val="16"/>
              </w:rPr>
              <w:t xml:space="preserve"> </w:t>
            </w:r>
            <w:r>
              <w:rPr>
                <w:sz w:val="16"/>
              </w:rPr>
              <w:t>continued</w:t>
            </w:r>
            <w:r>
              <w:rPr>
                <w:spacing w:val="-7"/>
                <w:sz w:val="16"/>
              </w:rPr>
              <w:t xml:space="preserve"> </w:t>
            </w:r>
            <w:r>
              <w:rPr>
                <w:sz w:val="16"/>
              </w:rPr>
              <w:t>pension</w:t>
            </w:r>
            <w:r>
              <w:rPr>
                <w:spacing w:val="-5"/>
                <w:sz w:val="16"/>
              </w:rPr>
              <w:t xml:space="preserve"> </w:t>
            </w:r>
            <w:r>
              <w:rPr>
                <w:sz w:val="16"/>
              </w:rPr>
              <w:t>reform</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272"/>
              <w:rPr>
                <w:sz w:val="16"/>
              </w:rPr>
            </w:pPr>
            <w:r>
              <w:rPr>
                <w:sz w:val="16"/>
              </w:rPr>
              <w:t>Adoption of</w:t>
            </w:r>
            <w:r>
              <w:rPr>
                <w:spacing w:val="1"/>
                <w:sz w:val="16"/>
              </w:rPr>
              <w:t xml:space="preserve"> </w:t>
            </w:r>
            <w:r>
              <w:rPr>
                <w:sz w:val="16"/>
              </w:rPr>
              <w:t>amendments to the</w:t>
            </w:r>
            <w:r>
              <w:rPr>
                <w:spacing w:val="1"/>
                <w:sz w:val="16"/>
              </w:rPr>
              <w:t xml:space="preserve"> </w:t>
            </w:r>
            <w:r>
              <w:rPr>
                <w:sz w:val="16"/>
              </w:rPr>
              <w:t>Pension</w:t>
            </w:r>
            <w:r>
              <w:rPr>
                <w:spacing w:val="-5"/>
                <w:sz w:val="16"/>
              </w:rPr>
              <w:t xml:space="preserve"> </w:t>
            </w:r>
            <w:r>
              <w:rPr>
                <w:sz w:val="16"/>
              </w:rPr>
              <w:t>Insurance</w:t>
            </w:r>
            <w:r>
              <w:rPr>
                <w:spacing w:val="-6"/>
                <w:sz w:val="16"/>
              </w:rPr>
              <w:t xml:space="preserve"> </w:t>
            </w:r>
            <w:r>
              <w:rPr>
                <w:sz w:val="16"/>
              </w:rPr>
              <w:t>Act</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259"/>
              <w:rPr>
                <w:sz w:val="16"/>
              </w:rPr>
            </w:pPr>
            <w:r>
              <w:rPr>
                <w:sz w:val="16"/>
              </w:rPr>
              <w:t>Entry into</w:t>
            </w:r>
            <w:r>
              <w:rPr>
                <w:spacing w:val="1"/>
                <w:sz w:val="16"/>
              </w:rPr>
              <w:t xml:space="preserve"> </w:t>
            </w:r>
            <w:r>
              <w:rPr>
                <w:sz w:val="16"/>
              </w:rPr>
              <w:t>force of the</w:t>
            </w:r>
            <w:r>
              <w:rPr>
                <w:spacing w:val="-37"/>
                <w:sz w:val="16"/>
              </w:rPr>
              <w:t xml:space="preserve"> </w:t>
            </w:r>
            <w:r>
              <w:rPr>
                <w:sz w:val="16"/>
              </w:rPr>
              <w:t>new or</w:t>
            </w:r>
            <w:r>
              <w:rPr>
                <w:spacing w:val="1"/>
                <w:sz w:val="16"/>
              </w:rPr>
              <w:t xml:space="preserve"> </w:t>
            </w:r>
            <w:r>
              <w:rPr>
                <w:sz w:val="16"/>
              </w:rPr>
              <w:t>amended</w:t>
            </w:r>
            <w:r>
              <w:rPr>
                <w:spacing w:val="1"/>
                <w:sz w:val="16"/>
              </w:rPr>
              <w:t xml:space="preserve"> </w:t>
            </w:r>
            <w:r>
              <w:rPr>
                <w:sz w:val="16"/>
              </w:rPr>
              <w:t>Pension</w:t>
            </w:r>
            <w:r>
              <w:rPr>
                <w:spacing w:val="1"/>
                <w:sz w:val="16"/>
              </w:rPr>
              <w:t xml:space="preserve"> </w:t>
            </w:r>
            <w:r>
              <w:rPr>
                <w:sz w:val="16"/>
              </w:rPr>
              <w:t>Insurance</w:t>
            </w:r>
            <w:r>
              <w:rPr>
                <w:spacing w:val="1"/>
                <w:sz w:val="16"/>
              </w:rPr>
              <w:t xml:space="preserve"> </w:t>
            </w:r>
            <w:r>
              <w:rPr>
                <w:sz w:val="16"/>
              </w:rPr>
              <w:t>Act.</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MLPSFSP</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61"/>
              <w:rPr>
                <w:sz w:val="16"/>
              </w:rPr>
            </w:pPr>
            <w:r>
              <w:rPr>
                <w:sz w:val="16"/>
              </w:rPr>
              <w:t>The</w:t>
            </w:r>
            <w:r>
              <w:rPr>
                <w:spacing w:val="-5"/>
                <w:sz w:val="16"/>
              </w:rPr>
              <w:t xml:space="preserve"> </w:t>
            </w:r>
            <w:r>
              <w:rPr>
                <w:sz w:val="16"/>
              </w:rPr>
              <w:t>amendments</w:t>
            </w:r>
            <w:r>
              <w:rPr>
                <w:spacing w:val="-5"/>
                <w:sz w:val="16"/>
              </w:rPr>
              <w:t xml:space="preserve"> </w:t>
            </w:r>
            <w:r>
              <w:rPr>
                <w:sz w:val="16"/>
              </w:rPr>
              <w:t>to</w:t>
            </w:r>
            <w:r>
              <w:rPr>
                <w:spacing w:val="-4"/>
                <w:sz w:val="16"/>
              </w:rPr>
              <w:t xml:space="preserve"> </w:t>
            </w:r>
            <w:r>
              <w:rPr>
                <w:sz w:val="16"/>
              </w:rPr>
              <w:t>the</w:t>
            </w:r>
            <w:r>
              <w:rPr>
                <w:spacing w:val="-4"/>
                <w:sz w:val="16"/>
              </w:rPr>
              <w:t xml:space="preserve"> </w:t>
            </w:r>
            <w:r>
              <w:rPr>
                <w:sz w:val="16"/>
              </w:rPr>
              <w:t>Pension</w:t>
            </w:r>
            <w:r>
              <w:rPr>
                <w:spacing w:val="-2"/>
                <w:sz w:val="16"/>
              </w:rPr>
              <w:t xml:space="preserve"> </w:t>
            </w:r>
            <w:r>
              <w:rPr>
                <w:sz w:val="16"/>
              </w:rPr>
              <w:t>Insurance</w:t>
            </w:r>
            <w:r>
              <w:rPr>
                <w:spacing w:val="-5"/>
                <w:sz w:val="16"/>
              </w:rPr>
              <w:t xml:space="preserve"> </w:t>
            </w:r>
            <w:r>
              <w:rPr>
                <w:sz w:val="16"/>
              </w:rPr>
              <w:t>Act</w:t>
            </w:r>
            <w:r>
              <w:rPr>
                <w:spacing w:val="-37"/>
                <w:sz w:val="16"/>
              </w:rPr>
              <w:t xml:space="preserve"> </w:t>
            </w:r>
            <w:r>
              <w:rPr>
                <w:sz w:val="16"/>
              </w:rPr>
              <w:t>shall increase the minimum pension and the</w:t>
            </w:r>
            <w:r>
              <w:rPr>
                <w:spacing w:val="1"/>
                <w:sz w:val="16"/>
              </w:rPr>
              <w:t xml:space="preserve"> </w:t>
            </w:r>
            <w:r>
              <w:rPr>
                <w:sz w:val="16"/>
              </w:rPr>
              <w:t>pension factor used to calculate the amount of</w:t>
            </w:r>
            <w:r>
              <w:rPr>
                <w:spacing w:val="-37"/>
                <w:sz w:val="16"/>
              </w:rPr>
              <w:t xml:space="preserve"> </w:t>
            </w:r>
            <w:r>
              <w:rPr>
                <w:sz w:val="16"/>
              </w:rPr>
              <w:t>the survivor’s pension to make it possible to</w:t>
            </w:r>
            <w:r>
              <w:rPr>
                <w:spacing w:val="1"/>
                <w:sz w:val="16"/>
              </w:rPr>
              <w:t xml:space="preserve"> </w:t>
            </w:r>
            <w:r>
              <w:rPr>
                <w:sz w:val="16"/>
              </w:rPr>
              <w:t>use part of the survivor’s pension in addition</w:t>
            </w:r>
            <w:r>
              <w:rPr>
                <w:spacing w:val="1"/>
                <w:sz w:val="16"/>
              </w:rPr>
              <w:t xml:space="preserve"> </w:t>
            </w:r>
            <w:r>
              <w:rPr>
                <w:sz w:val="16"/>
              </w:rPr>
              <w:t>to</w:t>
            </w:r>
            <w:r>
              <w:rPr>
                <w:spacing w:val="-3"/>
                <w:sz w:val="16"/>
              </w:rPr>
              <w:t xml:space="preserve"> </w:t>
            </w:r>
            <w:r>
              <w:rPr>
                <w:sz w:val="16"/>
              </w:rPr>
              <w:t>a</w:t>
            </w:r>
            <w:r>
              <w:rPr>
                <w:spacing w:val="-4"/>
                <w:sz w:val="16"/>
              </w:rPr>
              <w:t xml:space="preserve"> </w:t>
            </w:r>
            <w:r>
              <w:rPr>
                <w:sz w:val="16"/>
              </w:rPr>
              <w:t>personal</w:t>
            </w:r>
            <w:r>
              <w:rPr>
                <w:spacing w:val="-3"/>
                <w:sz w:val="16"/>
              </w:rPr>
              <w:t xml:space="preserve"> </w:t>
            </w:r>
            <w:r>
              <w:rPr>
                <w:sz w:val="16"/>
              </w:rPr>
              <w:t>pension</w:t>
            </w:r>
            <w:r>
              <w:rPr>
                <w:spacing w:val="-3"/>
                <w:sz w:val="16"/>
              </w:rPr>
              <w:t xml:space="preserve"> </w:t>
            </w:r>
            <w:r>
              <w:rPr>
                <w:sz w:val="16"/>
              </w:rPr>
              <w:t>(old/invalidity)</w:t>
            </w:r>
            <w:r>
              <w:rPr>
                <w:spacing w:val="-3"/>
                <w:sz w:val="16"/>
              </w:rPr>
              <w:t xml:space="preserve"> </w:t>
            </w:r>
            <w:r>
              <w:rPr>
                <w:sz w:val="16"/>
              </w:rPr>
              <w:t>under</w:t>
            </w:r>
          </w:p>
          <w:p w:rsidR="00A56FE9" w:rsidRDefault="00000000">
            <w:pPr>
              <w:pStyle w:val="TableParagraph"/>
              <w:spacing w:line="182" w:lineRule="exact"/>
              <w:ind w:left="57" w:right="246"/>
              <w:rPr>
                <w:sz w:val="16"/>
              </w:rPr>
            </w:pPr>
            <w:r>
              <w:rPr>
                <w:sz w:val="16"/>
              </w:rPr>
              <w:t>conditions</w:t>
            </w:r>
            <w:r>
              <w:rPr>
                <w:spacing w:val="-5"/>
                <w:sz w:val="16"/>
              </w:rPr>
              <w:t xml:space="preserve"> </w:t>
            </w:r>
            <w:r>
              <w:rPr>
                <w:sz w:val="16"/>
              </w:rPr>
              <w:t>related</w:t>
            </w:r>
            <w:r>
              <w:rPr>
                <w:spacing w:val="-2"/>
                <w:sz w:val="16"/>
              </w:rPr>
              <w:t xml:space="preserve"> </w:t>
            </w:r>
            <w:r>
              <w:rPr>
                <w:sz w:val="16"/>
              </w:rPr>
              <w:t>to</w:t>
            </w:r>
            <w:r>
              <w:rPr>
                <w:spacing w:val="-4"/>
                <w:sz w:val="16"/>
              </w:rPr>
              <w:t xml:space="preserve"> </w:t>
            </w:r>
            <w:r>
              <w:rPr>
                <w:sz w:val="16"/>
              </w:rPr>
              <w:t>age</w:t>
            </w:r>
            <w:r>
              <w:rPr>
                <w:spacing w:val="-5"/>
                <w:sz w:val="16"/>
              </w:rPr>
              <w:t xml:space="preserve"> </w:t>
            </w:r>
            <w:r>
              <w:rPr>
                <w:sz w:val="16"/>
              </w:rPr>
              <w:t>and</w:t>
            </w:r>
            <w:r>
              <w:rPr>
                <w:spacing w:val="-2"/>
                <w:sz w:val="16"/>
              </w:rPr>
              <w:t xml:space="preserve"> </w:t>
            </w:r>
            <w:r>
              <w:rPr>
                <w:sz w:val="16"/>
              </w:rPr>
              <w:t>income,</w:t>
            </w:r>
            <w:r>
              <w:rPr>
                <w:spacing w:val="-5"/>
                <w:sz w:val="16"/>
              </w:rPr>
              <w:t xml:space="preserve"> </w:t>
            </w:r>
            <w:r>
              <w:rPr>
                <w:sz w:val="16"/>
              </w:rPr>
              <w:t>for</w:t>
            </w:r>
            <w:r>
              <w:rPr>
                <w:spacing w:val="-37"/>
                <w:sz w:val="16"/>
              </w:rPr>
              <w:t xml:space="preserve"> </w:t>
            </w:r>
            <w:r>
              <w:rPr>
                <w:sz w:val="16"/>
              </w:rPr>
              <w:t>lower</w:t>
            </w:r>
            <w:r>
              <w:rPr>
                <w:spacing w:val="-2"/>
                <w:sz w:val="16"/>
              </w:rPr>
              <w:t xml:space="preserve"> </w:t>
            </w:r>
            <w:r>
              <w:rPr>
                <w:sz w:val="16"/>
              </w:rPr>
              <w:t>income</w:t>
            </w:r>
            <w:r>
              <w:rPr>
                <w:spacing w:val="-2"/>
                <w:sz w:val="16"/>
              </w:rPr>
              <w:t xml:space="preserve"> </w:t>
            </w:r>
            <w:r>
              <w:rPr>
                <w:sz w:val="16"/>
              </w:rPr>
              <w:t>pensioners.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1,200,000,000</w:t>
            </w:r>
          </w:p>
        </w:tc>
      </w:tr>
      <w:tr w:rsidR="00A56FE9">
        <w:trPr>
          <w:trHeight w:val="239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77</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309</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2019.CSR2</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2020.CSR2</w:t>
            </w:r>
          </w:p>
          <w:p w:rsidR="00A56FE9" w:rsidRDefault="00000000">
            <w:pPr>
              <w:pStyle w:val="TableParagraph"/>
              <w:ind w:left="50" w:right="38"/>
              <w:rPr>
                <w:sz w:val="16"/>
              </w:rPr>
            </w:pPr>
            <w:r>
              <w:rPr>
                <w:sz w:val="16"/>
              </w:rPr>
              <w:t>.subpart4,</w:t>
            </w:r>
            <w:r>
              <w:rPr>
                <w:spacing w:val="1"/>
                <w:sz w:val="16"/>
              </w:rPr>
              <w:t xml:space="preserve"> </w:t>
            </w:r>
            <w:r>
              <w:rPr>
                <w:spacing w:val="-1"/>
                <w:sz w:val="16"/>
              </w:rPr>
              <w:t>2020.CSR2</w:t>
            </w:r>
          </w:p>
          <w:p w:rsidR="00A56FE9" w:rsidRDefault="00000000">
            <w:pPr>
              <w:pStyle w:val="TableParagraph"/>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1,</w:t>
            </w:r>
          </w:p>
          <w:p w:rsidR="00A56FE9" w:rsidRDefault="00000000">
            <w:pPr>
              <w:pStyle w:val="TableParagraph"/>
              <w:spacing w:before="1"/>
              <w:ind w:left="48"/>
              <w:rPr>
                <w:sz w:val="16"/>
              </w:rPr>
            </w:pPr>
            <w:r>
              <w:rPr>
                <w:sz w:val="16"/>
              </w:rPr>
              <w:t>8</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58"/>
              <w:jc w:val="right"/>
              <w:rPr>
                <w:sz w:val="16"/>
              </w:rPr>
            </w:pPr>
            <w:r>
              <w:rPr>
                <w:sz w:val="16"/>
              </w:rPr>
              <w:t>12</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63"/>
              <w:rPr>
                <w:sz w:val="16"/>
              </w:rPr>
            </w:pPr>
            <w:r>
              <w:rPr>
                <w:sz w:val="16"/>
              </w:rPr>
              <w:t>4 - LABOUR MARKET</w:t>
            </w:r>
            <w:r>
              <w:rPr>
                <w:spacing w:val="1"/>
                <w:sz w:val="16"/>
              </w:rPr>
              <w:t xml:space="preserve"> </w:t>
            </w:r>
            <w:r>
              <w:rPr>
                <w:sz w:val="16"/>
              </w:rPr>
              <w:t>AND SOCIAL</w:t>
            </w:r>
            <w:r>
              <w:rPr>
                <w:spacing w:val="1"/>
                <w:sz w:val="16"/>
              </w:rPr>
              <w:t xml:space="preserve"> </w:t>
            </w:r>
            <w:r>
              <w:rPr>
                <w:sz w:val="16"/>
              </w:rPr>
              <w:t>PROTECTION</w:t>
            </w:r>
            <w:r>
              <w:rPr>
                <w:spacing w:val="-2"/>
                <w:sz w:val="16"/>
              </w:rPr>
              <w:t xml:space="preserve"> </w:t>
            </w:r>
            <w:r>
              <w:rPr>
                <w:sz w:val="16"/>
              </w:rPr>
              <w:t>-</w:t>
            </w:r>
            <w:r>
              <w:rPr>
                <w:spacing w:val="-2"/>
                <w:sz w:val="16"/>
              </w:rPr>
              <w:t xml:space="preserve"> </w:t>
            </w:r>
            <w:r>
              <w:rPr>
                <w:sz w:val="16"/>
              </w:rPr>
              <w:t>C4.3.</w:t>
            </w:r>
            <w:r>
              <w:rPr>
                <w:spacing w:val="-4"/>
                <w:sz w:val="16"/>
              </w:rPr>
              <w:t xml:space="preserve"> </w:t>
            </w:r>
            <w:r>
              <w:rPr>
                <w:sz w:val="16"/>
              </w:rPr>
              <w:t>R2</w:t>
            </w:r>
          </w:p>
          <w:p w:rsidR="00A56FE9" w:rsidRDefault="00000000">
            <w:pPr>
              <w:pStyle w:val="TableParagraph"/>
              <w:ind w:left="50" w:right="309"/>
              <w:rPr>
                <w:sz w:val="16"/>
              </w:rPr>
            </w:pPr>
            <w:r>
              <w:rPr>
                <w:sz w:val="16"/>
              </w:rPr>
              <w:t>Development of social</w:t>
            </w:r>
            <w:r>
              <w:rPr>
                <w:spacing w:val="-37"/>
                <w:sz w:val="16"/>
              </w:rPr>
              <w:t xml:space="preserve"> </w:t>
            </w:r>
            <w:r>
              <w:rPr>
                <w:sz w:val="16"/>
              </w:rPr>
              <w:t>mentoring</w:t>
            </w:r>
            <w:r>
              <w:rPr>
                <w:spacing w:val="-2"/>
                <w:sz w:val="16"/>
              </w:rPr>
              <w:t xml:space="preserve"> </w:t>
            </w:r>
            <w:r>
              <w:rPr>
                <w:sz w:val="16"/>
              </w:rPr>
              <w:t>service</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208"/>
              <w:rPr>
                <w:sz w:val="16"/>
              </w:rPr>
            </w:pPr>
            <w:r>
              <w:rPr>
                <w:sz w:val="16"/>
              </w:rPr>
              <w:t>Training of at least 220</w:t>
            </w:r>
            <w:r>
              <w:rPr>
                <w:spacing w:val="-38"/>
                <w:sz w:val="16"/>
              </w:rPr>
              <w:t xml:space="preserve"> </w:t>
            </w:r>
            <w:r>
              <w:rPr>
                <w:sz w:val="16"/>
              </w:rPr>
              <w:t>social mentoring</w:t>
            </w:r>
            <w:r>
              <w:rPr>
                <w:spacing w:val="1"/>
                <w:sz w:val="16"/>
              </w:rPr>
              <w:t xml:space="preserve"> </w:t>
            </w:r>
            <w:r>
              <w:rPr>
                <w:sz w:val="16"/>
              </w:rPr>
              <w:t>professionals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201"/>
              <w:rPr>
                <w:sz w:val="16"/>
              </w:rPr>
            </w:pPr>
            <w:r>
              <w:rPr>
                <w:sz w:val="16"/>
              </w:rPr>
              <w:t>220</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Q2</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MLPSFSP</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50"/>
              <w:rPr>
                <w:sz w:val="16"/>
              </w:rPr>
            </w:pPr>
            <w:r>
              <w:rPr>
                <w:sz w:val="16"/>
              </w:rPr>
              <w:t>The training of social workers to provide</w:t>
            </w:r>
            <w:r>
              <w:rPr>
                <w:spacing w:val="1"/>
                <w:sz w:val="16"/>
              </w:rPr>
              <w:t xml:space="preserve"> </w:t>
            </w:r>
            <w:r>
              <w:rPr>
                <w:sz w:val="16"/>
              </w:rPr>
              <w:t>social mentorship services will allow the</w:t>
            </w:r>
            <w:r>
              <w:rPr>
                <w:spacing w:val="1"/>
                <w:sz w:val="16"/>
              </w:rPr>
              <w:t xml:space="preserve"> </w:t>
            </w:r>
            <w:r>
              <w:rPr>
                <w:sz w:val="16"/>
              </w:rPr>
              <w:t>introduction and availability of social</w:t>
            </w:r>
            <w:r>
              <w:rPr>
                <w:spacing w:val="1"/>
                <w:sz w:val="16"/>
              </w:rPr>
              <w:t xml:space="preserve"> </w:t>
            </w:r>
            <w:r>
              <w:rPr>
                <w:sz w:val="16"/>
              </w:rPr>
              <w:t>mentorship services to potential users with the</w:t>
            </w:r>
            <w:r>
              <w:rPr>
                <w:spacing w:val="-38"/>
                <w:sz w:val="16"/>
              </w:rPr>
              <w:t xml:space="preserve"> </w:t>
            </w:r>
            <w:r>
              <w:rPr>
                <w:sz w:val="16"/>
              </w:rPr>
              <w:t>aim of their return or entry on the labour</w:t>
            </w:r>
            <w:r>
              <w:rPr>
                <w:spacing w:val="1"/>
                <w:sz w:val="16"/>
              </w:rPr>
              <w:t xml:space="preserve"> </w:t>
            </w:r>
            <w:r>
              <w:rPr>
                <w:sz w:val="16"/>
              </w:rPr>
              <w:t>market, and strengthening their social and life</w:t>
            </w:r>
            <w:r>
              <w:rPr>
                <w:spacing w:val="-37"/>
                <w:sz w:val="16"/>
              </w:rPr>
              <w:t xml:space="preserve"> </w:t>
            </w:r>
            <w:r>
              <w:rPr>
                <w:sz w:val="16"/>
              </w:rPr>
              <w:t>skills, and social integration and activation of</w:t>
            </w:r>
            <w:r>
              <w:rPr>
                <w:spacing w:val="1"/>
                <w:sz w:val="16"/>
              </w:rPr>
              <w:t xml:space="preserve"> </w:t>
            </w:r>
            <w:r>
              <w:rPr>
                <w:sz w:val="16"/>
              </w:rPr>
              <w:t>inactive part gravitating towards employable</w:t>
            </w:r>
            <w:r>
              <w:rPr>
                <w:spacing w:val="1"/>
                <w:sz w:val="16"/>
              </w:rPr>
              <w:t xml:space="preserve"> </w:t>
            </w:r>
            <w:r>
              <w:rPr>
                <w:sz w:val="16"/>
              </w:rPr>
              <w:t>groups on the labour market, improving</w:t>
            </w:r>
            <w:r>
              <w:rPr>
                <w:spacing w:val="1"/>
                <w:sz w:val="16"/>
              </w:rPr>
              <w:t xml:space="preserve"> </w:t>
            </w:r>
            <w:r>
              <w:rPr>
                <w:sz w:val="16"/>
              </w:rPr>
              <w:t>capacities of social welfare centres and</w:t>
            </w:r>
            <w:r>
              <w:rPr>
                <w:spacing w:val="1"/>
                <w:sz w:val="16"/>
              </w:rPr>
              <w:t xml:space="preserve"> </w:t>
            </w:r>
            <w:r>
              <w:rPr>
                <w:sz w:val="16"/>
              </w:rPr>
              <w:t>services</w:t>
            </w:r>
            <w:r>
              <w:rPr>
                <w:spacing w:val="-2"/>
                <w:sz w:val="16"/>
              </w:rPr>
              <w:t xml:space="preserve"> </w:t>
            </w:r>
            <w:r>
              <w:rPr>
                <w:sz w:val="16"/>
              </w:rPr>
              <w:t>for</w:t>
            </w:r>
            <w:r>
              <w:rPr>
                <w:spacing w:val="-2"/>
                <w:sz w:val="16"/>
              </w:rPr>
              <w:t xml:space="preserve"> </w:t>
            </w:r>
            <w:r>
              <w:rPr>
                <w:sz w:val="16"/>
              </w:rPr>
              <w:t>employment to</w:t>
            </w:r>
            <w:r>
              <w:rPr>
                <w:spacing w:val="-2"/>
                <w:sz w:val="16"/>
              </w:rPr>
              <w:t xml:space="preserve"> </w:t>
            </w:r>
            <w:r>
              <w:rPr>
                <w:sz w:val="16"/>
              </w:rPr>
              <w:t>handle</w:t>
            </w:r>
            <w:r>
              <w:rPr>
                <w:spacing w:val="-3"/>
                <w:sz w:val="16"/>
              </w:rPr>
              <w:t xml:space="preserve"> </w:t>
            </w:r>
            <w:r>
              <w:rPr>
                <w:sz w:val="16"/>
              </w:rPr>
              <w:t>cases</w:t>
            </w:r>
          </w:p>
          <w:p w:rsidR="00A56FE9" w:rsidRDefault="00000000">
            <w:pPr>
              <w:pStyle w:val="TableParagraph"/>
              <w:spacing w:line="184" w:lineRule="exact"/>
              <w:ind w:left="57" w:right="420"/>
              <w:rPr>
                <w:sz w:val="16"/>
              </w:rPr>
            </w:pPr>
            <w:r>
              <w:rPr>
                <w:sz w:val="16"/>
              </w:rPr>
              <w:t>together and their better cooperation and</w:t>
            </w:r>
            <w:r>
              <w:rPr>
                <w:spacing w:val="-37"/>
                <w:sz w:val="16"/>
              </w:rPr>
              <w:t xml:space="preserve"> </w:t>
            </w:r>
            <w:r>
              <w:rPr>
                <w:sz w:val="16"/>
              </w:rPr>
              <w:t>exchanging</w:t>
            </w:r>
            <w:r>
              <w:rPr>
                <w:spacing w:val="-2"/>
                <w:sz w:val="16"/>
              </w:rPr>
              <w:t xml:space="preserve"> </w:t>
            </w:r>
            <w:r>
              <w:rPr>
                <w:sz w:val="16"/>
              </w:rPr>
              <w:t>of</w:t>
            </w:r>
            <w:r>
              <w:rPr>
                <w:spacing w:val="-1"/>
                <w:sz w:val="16"/>
              </w:rPr>
              <w:t xml:space="preserve"> </w:t>
            </w:r>
            <w:r>
              <w:rPr>
                <w:sz w:val="16"/>
              </w:rPr>
              <w:t>data.</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640,000</w:t>
            </w:r>
          </w:p>
        </w:tc>
      </w:tr>
    </w:tbl>
    <w:p w:rsidR="00A56FE9" w:rsidRDefault="00A56FE9">
      <w:pPr>
        <w:spacing w:line="181" w:lineRule="exact"/>
        <w:jc w:val="righ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1098"/>
        </w:trPr>
        <w:tc>
          <w:tcPr>
            <w:tcW w:w="42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right="115"/>
              <w:jc w:val="right"/>
              <w:rPr>
                <w:sz w:val="16"/>
              </w:rPr>
            </w:pPr>
            <w:r>
              <w:rPr>
                <w:sz w:val="16"/>
              </w:rPr>
              <w:t>78</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95"/>
              <w:rPr>
                <w:sz w:val="16"/>
              </w:rPr>
            </w:pPr>
            <w:r>
              <w:rPr>
                <w:sz w:val="16"/>
              </w:rPr>
              <w:t>313</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48"/>
              <w:rPr>
                <w:sz w:val="16"/>
              </w:rPr>
            </w:pPr>
            <w:r>
              <w:rPr>
                <w:sz w:val="16"/>
              </w:rPr>
              <w: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0"/>
              <w:rPr>
                <w:sz w:val="16"/>
              </w:rPr>
            </w:pPr>
            <w:r>
              <w:rPr>
                <w:sz w:val="16"/>
              </w:rPr>
              <w:t>12,</w:t>
            </w:r>
          </w:p>
          <w:p w:rsidR="00A56FE9" w:rsidRDefault="00000000">
            <w:pPr>
              <w:pStyle w:val="TableParagraph"/>
              <w:spacing w:before="1"/>
              <w:ind w:left="50"/>
              <w:rPr>
                <w:sz w:val="16"/>
              </w:rPr>
            </w:pPr>
            <w:r>
              <w:rPr>
                <w:sz w:val="16"/>
              </w:rPr>
              <w:t>17</w:t>
            </w: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0"/>
              <w:jc w:val="both"/>
              <w:rPr>
                <w:sz w:val="16"/>
              </w:rPr>
            </w:pPr>
            <w:r>
              <w:rPr>
                <w:sz w:val="16"/>
              </w:rPr>
              <w:t>4</w:t>
            </w:r>
            <w:r>
              <w:rPr>
                <w:spacing w:val="-1"/>
                <w:sz w:val="16"/>
              </w:rPr>
              <w:t xml:space="preserve"> </w:t>
            </w:r>
            <w:r>
              <w:rPr>
                <w:sz w:val="16"/>
              </w:rPr>
              <w:t>-</w:t>
            </w:r>
            <w:r>
              <w:rPr>
                <w:spacing w:val="-2"/>
                <w:sz w:val="16"/>
              </w:rPr>
              <w:t xml:space="preserve"> </w:t>
            </w:r>
            <w:r>
              <w:rPr>
                <w:sz w:val="16"/>
              </w:rPr>
              <w:t>LABOUR</w:t>
            </w:r>
            <w:r>
              <w:rPr>
                <w:spacing w:val="-1"/>
                <w:sz w:val="16"/>
              </w:rPr>
              <w:t xml:space="preserve"> </w:t>
            </w:r>
            <w:r>
              <w:rPr>
                <w:sz w:val="16"/>
              </w:rPr>
              <w:t>MARKET</w:t>
            </w:r>
          </w:p>
          <w:p w:rsidR="00A56FE9" w:rsidRDefault="00000000">
            <w:pPr>
              <w:pStyle w:val="TableParagraph"/>
              <w:spacing w:before="1"/>
              <w:ind w:left="50" w:right="72"/>
              <w:jc w:val="both"/>
              <w:rPr>
                <w:sz w:val="16"/>
              </w:rPr>
            </w:pPr>
            <w:r>
              <w:rPr>
                <w:sz w:val="16"/>
              </w:rPr>
              <w:t>AND SOCIAL</w:t>
            </w:r>
            <w:r>
              <w:rPr>
                <w:spacing w:val="1"/>
                <w:sz w:val="16"/>
              </w:rPr>
              <w:t xml:space="preserve"> </w:t>
            </w:r>
            <w:r>
              <w:rPr>
                <w:sz w:val="16"/>
              </w:rPr>
              <w:t>PROTECTION</w:t>
            </w:r>
            <w:r>
              <w:rPr>
                <w:spacing w:val="-2"/>
                <w:sz w:val="16"/>
              </w:rPr>
              <w:t xml:space="preserve"> </w:t>
            </w:r>
            <w:r>
              <w:rPr>
                <w:sz w:val="16"/>
              </w:rPr>
              <w:t>-</w:t>
            </w:r>
            <w:r>
              <w:rPr>
                <w:spacing w:val="-2"/>
                <w:sz w:val="16"/>
              </w:rPr>
              <w:t xml:space="preserve"> </w:t>
            </w:r>
            <w:r>
              <w:rPr>
                <w:sz w:val="16"/>
              </w:rPr>
              <w:t>C4.3.</w:t>
            </w:r>
            <w:r>
              <w:rPr>
                <w:spacing w:val="-4"/>
                <w:sz w:val="16"/>
              </w:rPr>
              <w:t xml:space="preserve"> </w:t>
            </w:r>
            <w:r>
              <w:rPr>
                <w:sz w:val="16"/>
              </w:rPr>
              <w:t>R3</w:t>
            </w:r>
          </w:p>
          <w:p w:rsidR="00A56FE9" w:rsidRDefault="00000000">
            <w:pPr>
              <w:pStyle w:val="TableParagraph"/>
              <w:spacing w:line="184" w:lineRule="exact"/>
              <w:ind w:left="50" w:right="171"/>
              <w:jc w:val="both"/>
              <w:rPr>
                <w:sz w:val="16"/>
              </w:rPr>
            </w:pPr>
            <w:r>
              <w:rPr>
                <w:sz w:val="16"/>
              </w:rPr>
              <w:t>Developing community-</w:t>
            </w:r>
            <w:r>
              <w:rPr>
                <w:spacing w:val="-37"/>
                <w:sz w:val="16"/>
              </w:rPr>
              <w:t xml:space="preserve"> </w:t>
            </w:r>
            <w:r>
              <w:rPr>
                <w:sz w:val="16"/>
              </w:rPr>
              <w:t>based services to prevent</w:t>
            </w:r>
            <w:r>
              <w:rPr>
                <w:spacing w:val="-37"/>
                <w:sz w:val="16"/>
              </w:rPr>
              <w:t xml:space="preserve"> </w:t>
            </w:r>
            <w:r>
              <w:rPr>
                <w:sz w:val="16"/>
              </w:rPr>
              <w:t>institutionalisation</w:t>
            </w: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1"/>
              <w:rPr>
                <w:sz w:val="16"/>
              </w:rPr>
            </w:pPr>
            <w:r>
              <w:rPr>
                <w:sz w:val="16"/>
              </w:rPr>
              <w:t>Milest</w:t>
            </w:r>
          </w:p>
          <w:p w:rsidR="00A56FE9" w:rsidRDefault="00000000">
            <w:pPr>
              <w:pStyle w:val="TableParagraph"/>
              <w:spacing w:before="1"/>
              <w:ind w:left="51"/>
              <w:rPr>
                <w:sz w:val="16"/>
              </w:rPr>
            </w:pPr>
            <w:r>
              <w:rPr>
                <w:sz w:val="16"/>
              </w:rPr>
              <w:t>one</w:t>
            </w: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09"/>
              <w:rPr>
                <w:sz w:val="16"/>
              </w:rPr>
            </w:pPr>
            <w:r>
              <w:rPr>
                <w:sz w:val="16"/>
              </w:rPr>
              <w:t>Adoption</w:t>
            </w:r>
            <w:r>
              <w:rPr>
                <w:spacing w:val="-3"/>
                <w:sz w:val="16"/>
              </w:rPr>
              <w:t xml:space="preserve"> </w:t>
            </w:r>
            <w:r>
              <w:rPr>
                <w:sz w:val="16"/>
              </w:rPr>
              <w:t>of</w:t>
            </w:r>
            <w:r>
              <w:rPr>
                <w:spacing w:val="-3"/>
                <w:sz w:val="16"/>
              </w:rPr>
              <w:t xml:space="preserve"> </w:t>
            </w:r>
            <w:r>
              <w:rPr>
                <w:sz w:val="16"/>
              </w:rPr>
              <w:t>standards</w:t>
            </w:r>
            <w:r>
              <w:rPr>
                <w:spacing w:val="-5"/>
                <w:sz w:val="16"/>
              </w:rPr>
              <w:t xml:space="preserve"> </w:t>
            </w:r>
            <w:r>
              <w:rPr>
                <w:sz w:val="16"/>
              </w:rPr>
              <w:t>of</w:t>
            </w:r>
          </w:p>
          <w:p w:rsidR="00A56FE9" w:rsidRDefault="00000000">
            <w:pPr>
              <w:pStyle w:val="TableParagraph"/>
              <w:spacing w:before="1"/>
              <w:ind w:left="109" w:right="412"/>
              <w:rPr>
                <w:sz w:val="16"/>
              </w:rPr>
            </w:pPr>
            <w:r>
              <w:rPr>
                <w:sz w:val="16"/>
              </w:rPr>
              <w:t>treatment for family</w:t>
            </w:r>
            <w:r>
              <w:rPr>
                <w:spacing w:val="-37"/>
                <w:sz w:val="16"/>
              </w:rPr>
              <w:t xml:space="preserve"> </w:t>
            </w:r>
            <w:r>
              <w:rPr>
                <w:sz w:val="16"/>
              </w:rPr>
              <w:t>assistants</w:t>
            </w: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10"/>
              <w:rPr>
                <w:sz w:val="16"/>
              </w:rPr>
            </w:pPr>
            <w:r>
              <w:rPr>
                <w:sz w:val="16"/>
              </w:rPr>
              <w:t>Adoption</w:t>
            </w:r>
            <w:r>
              <w:rPr>
                <w:spacing w:val="-2"/>
                <w:sz w:val="16"/>
              </w:rPr>
              <w:t xml:space="preserve"> </w:t>
            </w:r>
            <w:r>
              <w:rPr>
                <w:sz w:val="16"/>
              </w:rPr>
              <w:t>of</w:t>
            </w:r>
          </w:p>
          <w:p w:rsidR="00A56FE9" w:rsidRDefault="00000000">
            <w:pPr>
              <w:pStyle w:val="TableParagraph"/>
              <w:spacing w:before="1"/>
              <w:ind w:left="110" w:right="176"/>
              <w:rPr>
                <w:sz w:val="16"/>
              </w:rPr>
            </w:pPr>
            <w:r>
              <w:rPr>
                <w:sz w:val="16"/>
              </w:rPr>
              <w:t>standards of</w:t>
            </w:r>
            <w:r>
              <w:rPr>
                <w:spacing w:val="1"/>
                <w:sz w:val="16"/>
              </w:rPr>
              <w:t xml:space="preserve"> </w:t>
            </w:r>
            <w:r>
              <w:rPr>
                <w:spacing w:val="-1"/>
                <w:sz w:val="16"/>
              </w:rPr>
              <w:t xml:space="preserve">treatment </w:t>
            </w:r>
            <w:r>
              <w:rPr>
                <w:sz w:val="16"/>
              </w:rPr>
              <w:t>for</w:t>
            </w:r>
            <w:r>
              <w:rPr>
                <w:spacing w:val="-37"/>
                <w:sz w:val="16"/>
              </w:rPr>
              <w:t xml:space="preserve"> </w:t>
            </w:r>
            <w:r>
              <w:rPr>
                <w:sz w:val="16"/>
              </w:rPr>
              <w:t>family</w:t>
            </w:r>
            <w:r>
              <w:rPr>
                <w:spacing w:val="1"/>
                <w:sz w:val="16"/>
              </w:rPr>
              <w:t xml:space="preserve"> </w:t>
            </w:r>
            <w:r>
              <w:rPr>
                <w:sz w:val="16"/>
              </w:rPr>
              <w:t>assistants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151" w:right="130"/>
              <w:jc w:val="center"/>
              <w:rPr>
                <w:sz w:val="16"/>
              </w:rPr>
            </w:pPr>
            <w:r>
              <w:rPr>
                <w:sz w:val="16"/>
              </w:rPr>
              <w:t>2022</w:t>
            </w: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MLPSFSP</w:t>
            </w: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Developed</w:t>
            </w:r>
            <w:r>
              <w:rPr>
                <w:spacing w:val="-3"/>
                <w:sz w:val="16"/>
              </w:rPr>
              <w:t xml:space="preserve"> </w:t>
            </w:r>
            <w:r>
              <w:rPr>
                <w:sz w:val="16"/>
              </w:rPr>
              <w:t>standards</w:t>
            </w:r>
            <w:r>
              <w:rPr>
                <w:spacing w:val="-5"/>
                <w:sz w:val="16"/>
              </w:rPr>
              <w:t xml:space="preserve"> </w:t>
            </w:r>
            <w:r>
              <w:rPr>
                <w:sz w:val="16"/>
              </w:rPr>
              <w:t>to</w:t>
            </w:r>
            <w:r>
              <w:rPr>
                <w:spacing w:val="-4"/>
                <w:sz w:val="16"/>
              </w:rPr>
              <w:t xml:space="preserve"> </w:t>
            </w:r>
            <w:r>
              <w:rPr>
                <w:sz w:val="16"/>
              </w:rPr>
              <w:t>regulate</w:t>
            </w:r>
            <w:r>
              <w:rPr>
                <w:spacing w:val="-5"/>
                <w:sz w:val="16"/>
              </w:rPr>
              <w:t xml:space="preserve"> </w:t>
            </w:r>
            <w:r>
              <w:rPr>
                <w:sz w:val="16"/>
              </w:rPr>
              <w:t>activities</w:t>
            </w:r>
            <w:r>
              <w:rPr>
                <w:spacing w:val="-3"/>
                <w:sz w:val="16"/>
              </w:rPr>
              <w:t xml:space="preserve"> </w:t>
            </w:r>
            <w:r>
              <w:rPr>
                <w:sz w:val="16"/>
              </w:rPr>
              <w:t>of</w:t>
            </w:r>
          </w:p>
          <w:p w:rsidR="00A56FE9" w:rsidRDefault="00000000">
            <w:pPr>
              <w:pStyle w:val="TableParagraph"/>
              <w:spacing w:before="1"/>
              <w:ind w:left="57" w:right="135"/>
              <w:rPr>
                <w:sz w:val="16"/>
              </w:rPr>
            </w:pPr>
            <w:r>
              <w:rPr>
                <w:sz w:val="16"/>
              </w:rPr>
              <w:t>family assistants shall enable the harmonised</w:t>
            </w:r>
            <w:r>
              <w:rPr>
                <w:spacing w:val="-37"/>
                <w:sz w:val="16"/>
              </w:rPr>
              <w:t xml:space="preserve"> </w:t>
            </w:r>
            <w:r>
              <w:rPr>
                <w:sz w:val="16"/>
              </w:rPr>
              <w:t>provision of on-the-spot services in the</w:t>
            </w:r>
            <w:r>
              <w:rPr>
                <w:spacing w:val="1"/>
                <w:sz w:val="16"/>
              </w:rPr>
              <w:t xml:space="preserve"> </w:t>
            </w:r>
            <w:r>
              <w:rPr>
                <w:sz w:val="16"/>
              </w:rPr>
              <w:t>beneficiary’s home in cooperation with other</w:t>
            </w:r>
            <w:r>
              <w:rPr>
                <w:spacing w:val="-37"/>
                <w:sz w:val="16"/>
              </w:rPr>
              <w:t xml:space="preserve"> </w:t>
            </w:r>
            <w:r>
              <w:rPr>
                <w:sz w:val="16"/>
              </w:rPr>
              <w:t>stakeholders</w:t>
            </w:r>
            <w:r>
              <w:rPr>
                <w:spacing w:val="-2"/>
                <w:sz w:val="16"/>
              </w:rPr>
              <w:t xml:space="preserve"> </w:t>
            </w:r>
            <w:r>
              <w:rPr>
                <w:sz w:val="16"/>
              </w:rPr>
              <w:t>at</w:t>
            </w:r>
            <w:r>
              <w:rPr>
                <w:spacing w:val="-3"/>
                <w:sz w:val="16"/>
              </w:rPr>
              <w:t xml:space="preserve"> </w:t>
            </w:r>
            <w:r>
              <w:rPr>
                <w:sz w:val="16"/>
              </w:rPr>
              <w:t>the</w:t>
            </w:r>
            <w:r>
              <w:rPr>
                <w:spacing w:val="-4"/>
                <w:sz w:val="16"/>
              </w:rPr>
              <w:t xml:space="preserve"> </w:t>
            </w:r>
            <w:r>
              <w:rPr>
                <w:sz w:val="16"/>
              </w:rPr>
              <w:t>local</w:t>
            </w:r>
            <w:r>
              <w:rPr>
                <w:spacing w:val="-3"/>
                <w:sz w:val="16"/>
              </w:rPr>
              <w:t xml:space="preserve"> </w:t>
            </w:r>
            <w:r>
              <w:rPr>
                <w:sz w:val="16"/>
              </w:rPr>
              <w:t>community</w:t>
            </w:r>
            <w:r>
              <w:rPr>
                <w:spacing w:val="-4"/>
                <w:sz w:val="16"/>
              </w:rPr>
              <w:t xml:space="preserve"> </w:t>
            </w:r>
            <w:r>
              <w:rPr>
                <w:sz w:val="16"/>
              </w:rPr>
              <w:t>level.</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right="90"/>
              <w:jc w:val="right"/>
              <w:rPr>
                <w:sz w:val="16"/>
              </w:rPr>
            </w:pPr>
            <w:r>
              <w:rPr>
                <w:sz w:val="16"/>
              </w:rPr>
              <w:t>250.000</w:t>
            </w:r>
          </w:p>
        </w:tc>
      </w:tr>
      <w:tr w:rsidR="00A56FE9">
        <w:trPr>
          <w:trHeight w:val="183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79</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1</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58"/>
              <w:jc w:val="right"/>
              <w:rPr>
                <w:sz w:val="16"/>
              </w:rPr>
            </w:pPr>
            <w:r>
              <w:rPr>
                <w:sz w:val="16"/>
              </w:rPr>
              <w:t>11</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129"/>
              <w:rPr>
                <w:sz w:val="16"/>
              </w:rPr>
            </w:pPr>
            <w:r>
              <w:rPr>
                <w:sz w:val="16"/>
              </w:rPr>
              <w:t>4 - LABOUR MARKET</w:t>
            </w:r>
            <w:r>
              <w:rPr>
                <w:spacing w:val="1"/>
                <w:sz w:val="16"/>
              </w:rPr>
              <w:t xml:space="preserve"> </w:t>
            </w:r>
            <w:r>
              <w:rPr>
                <w:sz w:val="16"/>
              </w:rPr>
              <w:t>AND SOCIAL</w:t>
            </w:r>
            <w:r>
              <w:rPr>
                <w:spacing w:val="1"/>
                <w:sz w:val="16"/>
              </w:rPr>
              <w:t xml:space="preserve"> </w:t>
            </w:r>
            <w:r>
              <w:rPr>
                <w:sz w:val="16"/>
              </w:rPr>
              <w:t>PROTECTION –</w:t>
            </w:r>
            <w:r>
              <w:rPr>
                <w:spacing w:val="1"/>
                <w:sz w:val="16"/>
              </w:rPr>
              <w:t xml:space="preserve"> </w:t>
            </w:r>
            <w:r>
              <w:rPr>
                <w:spacing w:val="-1"/>
                <w:sz w:val="16"/>
              </w:rPr>
              <w:t>REDUCING</w:t>
            </w:r>
            <w:r>
              <w:rPr>
                <w:spacing w:val="-8"/>
                <w:sz w:val="16"/>
              </w:rPr>
              <w:t xml:space="preserve"> </w:t>
            </w:r>
            <w:r>
              <w:rPr>
                <w:sz w:val="16"/>
              </w:rPr>
              <w:t>POVERTY,</w:t>
            </w:r>
          </w:p>
          <w:p w:rsidR="00A56FE9" w:rsidRDefault="00000000">
            <w:pPr>
              <w:pStyle w:val="TableParagraph"/>
              <w:spacing w:line="183" w:lineRule="exact"/>
              <w:ind w:left="50"/>
              <w:rPr>
                <w:sz w:val="16"/>
              </w:rPr>
            </w:pPr>
            <w:r>
              <w:rPr>
                <w:sz w:val="16"/>
              </w:rPr>
              <w:t>Child</w:t>
            </w:r>
            <w:r>
              <w:rPr>
                <w:spacing w:val="-3"/>
                <w:sz w:val="16"/>
              </w:rPr>
              <w:t xml:space="preserve"> </w:t>
            </w:r>
            <w:r>
              <w:rPr>
                <w:sz w:val="16"/>
              </w:rPr>
              <w:t>Guarantee</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49"/>
              <w:jc w:val="both"/>
              <w:rPr>
                <w:sz w:val="16"/>
              </w:rPr>
            </w:pPr>
            <w:r>
              <w:rPr>
                <w:sz w:val="16"/>
              </w:rPr>
              <w:t>Adoption of the national</w:t>
            </w:r>
            <w:r>
              <w:rPr>
                <w:spacing w:val="-37"/>
                <w:sz w:val="16"/>
              </w:rPr>
              <w:t xml:space="preserve"> </w:t>
            </w:r>
            <w:r>
              <w:rPr>
                <w:sz w:val="16"/>
              </w:rPr>
              <w:t>implementation plan for</w:t>
            </w:r>
            <w:r>
              <w:rPr>
                <w:spacing w:val="-37"/>
                <w:sz w:val="16"/>
              </w:rPr>
              <w:t xml:space="preserve"> </w:t>
            </w:r>
            <w:r>
              <w:rPr>
                <w:sz w:val="16"/>
              </w:rPr>
              <w:t>the</w:t>
            </w:r>
            <w:r>
              <w:rPr>
                <w:spacing w:val="-3"/>
                <w:sz w:val="16"/>
              </w:rPr>
              <w:t xml:space="preserve"> </w:t>
            </w:r>
            <w:r>
              <w:rPr>
                <w:sz w:val="16"/>
              </w:rPr>
              <w:t>Child Guarantee</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52"/>
              <w:rPr>
                <w:sz w:val="16"/>
              </w:rPr>
            </w:pPr>
            <w:r>
              <w:rPr>
                <w:sz w:val="16"/>
              </w:rPr>
              <w:t>Adoption of</w:t>
            </w:r>
            <w:r>
              <w:rPr>
                <w:spacing w:val="1"/>
                <w:sz w:val="16"/>
              </w:rPr>
              <w:t xml:space="preserve"> </w:t>
            </w:r>
            <w:r>
              <w:rPr>
                <w:sz w:val="16"/>
              </w:rPr>
              <w:t>the national</w:t>
            </w:r>
            <w:r>
              <w:rPr>
                <w:spacing w:val="1"/>
                <w:sz w:val="16"/>
              </w:rPr>
              <w:t xml:space="preserve"> </w:t>
            </w:r>
            <w:r>
              <w:rPr>
                <w:sz w:val="16"/>
              </w:rPr>
              <w:t>implementati</w:t>
            </w:r>
            <w:r>
              <w:rPr>
                <w:spacing w:val="-37"/>
                <w:sz w:val="16"/>
              </w:rPr>
              <w:t xml:space="preserve"> </w:t>
            </w:r>
            <w:r>
              <w:rPr>
                <w:sz w:val="16"/>
              </w:rPr>
              <w:t>on plan for</w:t>
            </w:r>
            <w:r>
              <w:rPr>
                <w:spacing w:val="1"/>
                <w:sz w:val="16"/>
              </w:rPr>
              <w:t xml:space="preserve"> </w:t>
            </w:r>
            <w:r>
              <w:rPr>
                <w:sz w:val="16"/>
              </w:rPr>
              <w:t>the Child</w:t>
            </w:r>
            <w:r>
              <w:rPr>
                <w:spacing w:val="1"/>
                <w:sz w:val="16"/>
              </w:rPr>
              <w:t xml:space="preserve"> </w:t>
            </w:r>
            <w:r>
              <w:rPr>
                <w:sz w:val="16"/>
              </w:rPr>
              <w:t>Guarantee</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5"/>
              <w:jc w:val="center"/>
              <w:rPr>
                <w:sz w:val="16"/>
              </w:rPr>
            </w:pPr>
            <w:r>
              <w:rPr>
                <w:sz w:val="16"/>
              </w:rPr>
              <w:t>2Q</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MLPSFSP</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50"/>
              <w:rPr>
                <w:sz w:val="16"/>
              </w:rPr>
            </w:pPr>
            <w:r>
              <w:rPr>
                <w:sz w:val="16"/>
              </w:rPr>
              <w:t>To establish the Child Guarantee in Croatia, a</w:t>
            </w:r>
            <w:r>
              <w:rPr>
                <w:spacing w:val="-37"/>
                <w:sz w:val="16"/>
              </w:rPr>
              <w:t xml:space="preserve"> </w:t>
            </w:r>
            <w:r>
              <w:rPr>
                <w:sz w:val="16"/>
              </w:rPr>
              <w:t>draft National Implementation Plan is being</w:t>
            </w:r>
            <w:r>
              <w:rPr>
                <w:spacing w:val="1"/>
                <w:sz w:val="16"/>
              </w:rPr>
              <w:t xml:space="preserve"> </w:t>
            </w:r>
            <w:r>
              <w:rPr>
                <w:sz w:val="16"/>
              </w:rPr>
              <w:t>prepared based on an in-depth analysis of</w:t>
            </w:r>
            <w:r>
              <w:rPr>
                <w:spacing w:val="1"/>
                <w:sz w:val="16"/>
              </w:rPr>
              <w:t xml:space="preserve"> </w:t>
            </w:r>
            <w:r>
              <w:rPr>
                <w:sz w:val="16"/>
              </w:rPr>
              <w:t>policies, programs, services, budgets and</w:t>
            </w:r>
            <w:r>
              <w:rPr>
                <w:spacing w:val="1"/>
                <w:sz w:val="16"/>
              </w:rPr>
              <w:t xml:space="preserve"> </w:t>
            </w:r>
            <w:r>
              <w:rPr>
                <w:sz w:val="16"/>
              </w:rPr>
              <w:t>mechanisms dealing with child poverty, social</w:t>
            </w:r>
            <w:r>
              <w:rPr>
                <w:spacing w:val="-38"/>
                <w:sz w:val="16"/>
              </w:rPr>
              <w:t xml:space="preserve"> </w:t>
            </w:r>
            <w:r>
              <w:rPr>
                <w:sz w:val="16"/>
              </w:rPr>
              <w:t>exclusion and access to services in Croatia,</w:t>
            </w:r>
            <w:r>
              <w:rPr>
                <w:spacing w:val="1"/>
                <w:sz w:val="16"/>
              </w:rPr>
              <w:t xml:space="preserve"> </w:t>
            </w:r>
            <w:r>
              <w:rPr>
                <w:sz w:val="16"/>
              </w:rPr>
              <w:t>which will improve national policies and</w:t>
            </w:r>
            <w:r>
              <w:rPr>
                <w:spacing w:val="1"/>
                <w:sz w:val="16"/>
              </w:rPr>
              <w:t xml:space="preserve"> </w:t>
            </w:r>
            <w:r>
              <w:rPr>
                <w:sz w:val="16"/>
              </w:rPr>
              <w:t>programs</w:t>
            </w:r>
            <w:r>
              <w:rPr>
                <w:spacing w:val="-2"/>
                <w:sz w:val="16"/>
              </w:rPr>
              <w:t xml:space="preserve"> </w:t>
            </w:r>
            <w:r>
              <w:rPr>
                <w:sz w:val="16"/>
              </w:rPr>
              <w:t>in relation</w:t>
            </w:r>
            <w:r>
              <w:rPr>
                <w:spacing w:val="-2"/>
                <w:sz w:val="16"/>
              </w:rPr>
              <w:t xml:space="preserve"> </w:t>
            </w:r>
            <w:r>
              <w:rPr>
                <w:sz w:val="16"/>
              </w:rPr>
              <w:t>to</w:t>
            </w:r>
            <w:r>
              <w:rPr>
                <w:spacing w:val="-4"/>
                <w:sz w:val="16"/>
              </w:rPr>
              <w:t xml:space="preserve"> </w:t>
            </w:r>
            <w:r>
              <w:rPr>
                <w:sz w:val="16"/>
              </w:rPr>
              <w:t>child</w:t>
            </w:r>
            <w:r>
              <w:rPr>
                <w:spacing w:val="-2"/>
                <w:sz w:val="16"/>
              </w:rPr>
              <w:t xml:space="preserve"> </w:t>
            </w:r>
            <w:r>
              <w:rPr>
                <w:sz w:val="16"/>
              </w:rPr>
              <w:t>poverty</w:t>
            </w:r>
            <w:r>
              <w:rPr>
                <w:spacing w:val="-2"/>
                <w:sz w:val="16"/>
              </w:rPr>
              <w:t xml:space="preserve"> </w:t>
            </w:r>
            <w:r>
              <w:rPr>
                <w:sz w:val="16"/>
              </w:rPr>
              <w:t>and</w:t>
            </w:r>
          </w:p>
          <w:p w:rsidR="00A56FE9" w:rsidRDefault="00000000">
            <w:pPr>
              <w:pStyle w:val="TableParagraph"/>
              <w:spacing w:line="182" w:lineRule="exact"/>
              <w:ind w:left="57" w:right="215"/>
              <w:rPr>
                <w:sz w:val="16"/>
              </w:rPr>
            </w:pPr>
            <w:r>
              <w:rPr>
                <w:sz w:val="16"/>
              </w:rPr>
              <w:t>social exclusion issues and their monitoring</w:t>
            </w:r>
            <w:r>
              <w:rPr>
                <w:spacing w:val="-37"/>
                <w:sz w:val="16"/>
              </w:rPr>
              <w:t xml:space="preserve"> </w:t>
            </w:r>
            <w:r>
              <w:rPr>
                <w:sz w:val="16"/>
              </w:rPr>
              <w:t>and evaluation.</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184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80</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2019.CSR2</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2019.CSR2</w:t>
            </w:r>
          </w:p>
          <w:p w:rsidR="00A56FE9" w:rsidRDefault="00000000">
            <w:pPr>
              <w:pStyle w:val="TableParagraph"/>
              <w:ind w:left="50" w:right="38"/>
              <w:rPr>
                <w:sz w:val="16"/>
              </w:rPr>
            </w:pPr>
            <w:r>
              <w:rPr>
                <w:sz w:val="16"/>
              </w:rPr>
              <w:t>.subpart2,</w:t>
            </w:r>
            <w:r>
              <w:rPr>
                <w:spacing w:val="1"/>
                <w:sz w:val="16"/>
              </w:rPr>
              <w:t xml:space="preserve"> </w:t>
            </w:r>
            <w:r>
              <w:rPr>
                <w:spacing w:val="-1"/>
                <w:sz w:val="16"/>
              </w:rPr>
              <w:t>2020.CSR2</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2020.CSR2</w:t>
            </w:r>
          </w:p>
          <w:p w:rsidR="00A56FE9" w:rsidRDefault="00000000">
            <w:pPr>
              <w:pStyle w:val="TableParagraph"/>
              <w:spacing w:line="183" w:lineRule="exact"/>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8</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58"/>
              <w:jc w:val="right"/>
              <w:rPr>
                <w:sz w:val="16"/>
              </w:rPr>
            </w:pPr>
            <w:r>
              <w:rPr>
                <w:sz w:val="16"/>
              </w:rPr>
              <w:t>13</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ight="129"/>
              <w:rPr>
                <w:sz w:val="16"/>
              </w:rPr>
            </w:pPr>
            <w:r>
              <w:rPr>
                <w:sz w:val="16"/>
              </w:rPr>
              <w:t>4 - LABOUR MARKET</w:t>
            </w:r>
            <w:r>
              <w:rPr>
                <w:spacing w:val="1"/>
                <w:sz w:val="16"/>
              </w:rPr>
              <w:t xml:space="preserve"> </w:t>
            </w:r>
            <w:r>
              <w:rPr>
                <w:sz w:val="16"/>
              </w:rPr>
              <w:t>AND SOCIAL</w:t>
            </w:r>
            <w:r>
              <w:rPr>
                <w:spacing w:val="1"/>
                <w:sz w:val="16"/>
              </w:rPr>
              <w:t xml:space="preserve"> </w:t>
            </w:r>
            <w:r>
              <w:rPr>
                <w:sz w:val="16"/>
              </w:rPr>
              <w:t>PROTECTION -</w:t>
            </w:r>
            <w:r>
              <w:rPr>
                <w:spacing w:val="1"/>
                <w:sz w:val="16"/>
              </w:rPr>
              <w:t xml:space="preserve"> </w:t>
            </w:r>
            <w:r>
              <w:rPr>
                <w:spacing w:val="-1"/>
                <w:sz w:val="16"/>
              </w:rPr>
              <w:t>REDUCING</w:t>
            </w:r>
            <w:r>
              <w:rPr>
                <w:spacing w:val="-8"/>
                <w:sz w:val="16"/>
              </w:rPr>
              <w:t xml:space="preserve"> </w:t>
            </w:r>
            <w:r>
              <w:rPr>
                <w:sz w:val="16"/>
              </w:rPr>
              <w:t>POVERTY,</w:t>
            </w:r>
          </w:p>
          <w:p w:rsidR="00A56FE9" w:rsidRDefault="00000000">
            <w:pPr>
              <w:pStyle w:val="TableParagraph"/>
              <w:ind w:left="50" w:right="145"/>
              <w:rPr>
                <w:sz w:val="16"/>
              </w:rPr>
            </w:pPr>
            <w:r>
              <w:rPr>
                <w:sz w:val="16"/>
              </w:rPr>
              <w:t>Analysis of the adequacy</w:t>
            </w:r>
            <w:r>
              <w:rPr>
                <w:spacing w:val="-37"/>
                <w:sz w:val="16"/>
              </w:rPr>
              <w:t xml:space="preserve"> </w:t>
            </w:r>
            <w:r>
              <w:rPr>
                <w:sz w:val="16"/>
              </w:rPr>
              <w:t>of monetary assistance</w:t>
            </w:r>
            <w:r>
              <w:rPr>
                <w:spacing w:val="1"/>
                <w:sz w:val="16"/>
              </w:rPr>
              <w:t xml:space="preserve"> </w:t>
            </w:r>
            <w:r>
              <w:rPr>
                <w:sz w:val="16"/>
              </w:rPr>
              <w:t>during a period of</w:t>
            </w:r>
            <w:r>
              <w:rPr>
                <w:spacing w:val="1"/>
                <w:sz w:val="16"/>
              </w:rPr>
              <w:t xml:space="preserve"> </w:t>
            </w:r>
            <w:r>
              <w:rPr>
                <w:sz w:val="16"/>
              </w:rPr>
              <w:t>unemployment</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77"/>
              <w:rPr>
                <w:sz w:val="16"/>
              </w:rPr>
            </w:pPr>
            <w:r>
              <w:rPr>
                <w:sz w:val="16"/>
              </w:rPr>
              <w:t>Conducting</w:t>
            </w:r>
            <w:r>
              <w:rPr>
                <w:spacing w:val="-8"/>
                <w:sz w:val="16"/>
              </w:rPr>
              <w:t xml:space="preserve"> </w:t>
            </w:r>
            <w:r>
              <w:rPr>
                <w:sz w:val="16"/>
              </w:rPr>
              <w:t>the</w:t>
            </w:r>
            <w:r>
              <w:rPr>
                <w:spacing w:val="-6"/>
                <w:sz w:val="16"/>
              </w:rPr>
              <w:t xml:space="preserve"> </w:t>
            </w:r>
            <w:r>
              <w:rPr>
                <w:sz w:val="16"/>
              </w:rPr>
              <w:t>analysis</w:t>
            </w:r>
            <w:r>
              <w:rPr>
                <w:spacing w:val="-37"/>
                <w:sz w:val="16"/>
              </w:rPr>
              <w:t xml:space="preserve"> </w:t>
            </w:r>
            <w:r>
              <w:rPr>
                <w:sz w:val="16"/>
              </w:rPr>
              <w:t>of the adequacy of</w:t>
            </w:r>
            <w:r>
              <w:rPr>
                <w:spacing w:val="1"/>
                <w:sz w:val="16"/>
              </w:rPr>
              <w:t xml:space="preserve"> </w:t>
            </w:r>
            <w:r>
              <w:rPr>
                <w:sz w:val="16"/>
              </w:rPr>
              <w:t>monetary assistance</w:t>
            </w:r>
            <w:r>
              <w:rPr>
                <w:spacing w:val="1"/>
                <w:sz w:val="16"/>
              </w:rPr>
              <w:t xml:space="preserve"> </w:t>
            </w:r>
            <w:r>
              <w:rPr>
                <w:sz w:val="16"/>
              </w:rPr>
              <w:t>during a period of</w:t>
            </w:r>
            <w:r>
              <w:rPr>
                <w:spacing w:val="1"/>
                <w:sz w:val="16"/>
              </w:rPr>
              <w:t xml:space="preserve"> </w:t>
            </w:r>
            <w:r>
              <w:rPr>
                <w:sz w:val="16"/>
              </w:rPr>
              <w:t>unemployment</w:t>
            </w:r>
          </w:p>
        </w:tc>
        <w:tc>
          <w:tcPr>
            <w:tcW w:w="1137"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10" w:right="106"/>
              <w:rPr>
                <w:sz w:val="16"/>
              </w:rPr>
            </w:pPr>
            <w:r>
              <w:rPr>
                <w:sz w:val="16"/>
              </w:rPr>
              <w:t>Conducting</w:t>
            </w:r>
            <w:r>
              <w:rPr>
                <w:spacing w:val="1"/>
                <w:sz w:val="16"/>
              </w:rPr>
              <w:t xml:space="preserve"> </w:t>
            </w:r>
            <w:r>
              <w:rPr>
                <w:sz w:val="16"/>
              </w:rPr>
              <w:t>the</w:t>
            </w:r>
            <w:r>
              <w:rPr>
                <w:spacing w:val="40"/>
                <w:sz w:val="16"/>
              </w:rPr>
              <w:t xml:space="preserve"> </w:t>
            </w:r>
            <w:r>
              <w:rPr>
                <w:sz w:val="16"/>
              </w:rPr>
              <w:t>analysis</w:t>
            </w:r>
            <w:r>
              <w:rPr>
                <w:spacing w:val="1"/>
                <w:sz w:val="16"/>
              </w:rPr>
              <w:t xml:space="preserve"> </w:t>
            </w:r>
            <w:r>
              <w:rPr>
                <w:sz w:val="16"/>
              </w:rPr>
              <w:t>of the</w:t>
            </w:r>
            <w:r>
              <w:rPr>
                <w:spacing w:val="1"/>
                <w:sz w:val="16"/>
              </w:rPr>
              <w:t xml:space="preserve"> </w:t>
            </w:r>
            <w:r>
              <w:rPr>
                <w:sz w:val="16"/>
              </w:rPr>
              <w:t>adequacy of</w:t>
            </w:r>
            <w:r>
              <w:rPr>
                <w:spacing w:val="1"/>
                <w:sz w:val="16"/>
              </w:rPr>
              <w:t xml:space="preserve"> </w:t>
            </w:r>
            <w:r>
              <w:rPr>
                <w:sz w:val="16"/>
              </w:rPr>
              <w:t>monetary</w:t>
            </w:r>
            <w:r>
              <w:rPr>
                <w:spacing w:val="1"/>
                <w:sz w:val="16"/>
              </w:rPr>
              <w:t xml:space="preserve"> </w:t>
            </w:r>
            <w:r>
              <w:rPr>
                <w:sz w:val="16"/>
              </w:rPr>
              <w:t>assistance</w:t>
            </w:r>
            <w:r>
              <w:rPr>
                <w:spacing w:val="1"/>
                <w:sz w:val="16"/>
              </w:rPr>
              <w:t xml:space="preserve"> </w:t>
            </w:r>
            <w:r>
              <w:rPr>
                <w:sz w:val="16"/>
              </w:rPr>
              <w:t>during a</w:t>
            </w:r>
            <w:r>
              <w:rPr>
                <w:spacing w:val="1"/>
                <w:sz w:val="16"/>
              </w:rPr>
              <w:t xml:space="preserve"> </w:t>
            </w:r>
            <w:r>
              <w:rPr>
                <w:sz w:val="16"/>
              </w:rPr>
              <w:t>period of</w:t>
            </w:r>
          </w:p>
          <w:p w:rsidR="00A56FE9" w:rsidRDefault="00000000">
            <w:pPr>
              <w:pStyle w:val="TableParagraph"/>
              <w:spacing w:line="182" w:lineRule="exact"/>
              <w:ind w:left="110" w:right="92"/>
              <w:rPr>
                <w:sz w:val="16"/>
              </w:rPr>
            </w:pPr>
            <w:r>
              <w:rPr>
                <w:spacing w:val="-1"/>
                <w:sz w:val="16"/>
              </w:rPr>
              <w:t>unemploymen</w:t>
            </w:r>
            <w:r>
              <w:rPr>
                <w:spacing w:val="-37"/>
                <w:sz w:val="16"/>
              </w:rPr>
              <w:t xml:space="preserve"> </w:t>
            </w:r>
            <w:r>
              <w:rPr>
                <w:sz w:val="16"/>
              </w:rPr>
              <w:t>t</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MLPSFSP</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39"/>
              <w:rPr>
                <w:sz w:val="16"/>
              </w:rPr>
            </w:pPr>
            <w:r>
              <w:rPr>
                <w:sz w:val="16"/>
              </w:rPr>
              <w:t>To provide adequate material and legal</w:t>
            </w:r>
            <w:r>
              <w:rPr>
                <w:spacing w:val="1"/>
                <w:sz w:val="16"/>
              </w:rPr>
              <w:t xml:space="preserve"> </w:t>
            </w:r>
            <w:r>
              <w:rPr>
                <w:sz w:val="16"/>
              </w:rPr>
              <w:t>protection for the unemployed, an analysis of</w:t>
            </w:r>
            <w:r>
              <w:rPr>
                <w:spacing w:val="1"/>
                <w:sz w:val="16"/>
              </w:rPr>
              <w:t xml:space="preserve"> </w:t>
            </w:r>
            <w:r>
              <w:rPr>
                <w:sz w:val="16"/>
              </w:rPr>
              <w:t>unemployment</w:t>
            </w:r>
            <w:r>
              <w:rPr>
                <w:spacing w:val="8"/>
                <w:sz w:val="16"/>
              </w:rPr>
              <w:t xml:space="preserve"> </w:t>
            </w:r>
            <w:r>
              <w:rPr>
                <w:sz w:val="16"/>
              </w:rPr>
              <w:t>benefits</w:t>
            </w:r>
            <w:r>
              <w:rPr>
                <w:spacing w:val="6"/>
                <w:sz w:val="16"/>
              </w:rPr>
              <w:t xml:space="preserve"> </w:t>
            </w:r>
            <w:r>
              <w:rPr>
                <w:sz w:val="16"/>
              </w:rPr>
              <w:t>will</w:t>
            </w:r>
            <w:r>
              <w:rPr>
                <w:spacing w:val="7"/>
                <w:sz w:val="16"/>
              </w:rPr>
              <w:t xml:space="preserve"> </w:t>
            </w:r>
            <w:r>
              <w:rPr>
                <w:sz w:val="16"/>
              </w:rPr>
              <w:t>be</w:t>
            </w:r>
            <w:r>
              <w:rPr>
                <w:spacing w:val="6"/>
                <w:sz w:val="16"/>
              </w:rPr>
              <w:t xml:space="preserve"> </w:t>
            </w:r>
            <w:r>
              <w:rPr>
                <w:sz w:val="16"/>
              </w:rPr>
              <w:t>conducted.</w:t>
            </w:r>
            <w:r>
              <w:rPr>
                <w:spacing w:val="1"/>
                <w:sz w:val="16"/>
              </w:rPr>
              <w:t xml:space="preserve"> </w:t>
            </w:r>
            <w:r>
              <w:rPr>
                <w:sz w:val="16"/>
              </w:rPr>
              <w:t>The content of the analysis will include the</w:t>
            </w:r>
            <w:r>
              <w:rPr>
                <w:spacing w:val="1"/>
                <w:sz w:val="16"/>
              </w:rPr>
              <w:t xml:space="preserve"> </w:t>
            </w:r>
            <w:r>
              <w:rPr>
                <w:sz w:val="16"/>
              </w:rPr>
              <w:t>amount, duration and conditions for exercising</w:t>
            </w:r>
            <w:r>
              <w:rPr>
                <w:spacing w:val="-37"/>
                <w:sz w:val="16"/>
              </w:rPr>
              <w:t xml:space="preserve"> </w:t>
            </w:r>
            <w:r>
              <w:rPr>
                <w:sz w:val="16"/>
              </w:rPr>
              <w:t>the right to monetary assistance at the level of</w:t>
            </w:r>
            <w:r>
              <w:rPr>
                <w:spacing w:val="1"/>
                <w:sz w:val="16"/>
              </w:rPr>
              <w:t xml:space="preserve"> </w:t>
            </w:r>
            <w:r>
              <w:rPr>
                <w:sz w:val="16"/>
              </w:rPr>
              <w:t>comparable EU countries and the structure of</w:t>
            </w:r>
            <w:r>
              <w:rPr>
                <w:spacing w:val="1"/>
                <w:sz w:val="16"/>
              </w:rPr>
              <w:t xml:space="preserve"> </w:t>
            </w:r>
            <w:r>
              <w:rPr>
                <w:sz w:val="16"/>
              </w:rPr>
              <w:t>beneficiaries</w:t>
            </w:r>
            <w:r>
              <w:rPr>
                <w:spacing w:val="-3"/>
                <w:sz w:val="16"/>
              </w:rPr>
              <w:t xml:space="preserve"> </w:t>
            </w:r>
            <w:r>
              <w:rPr>
                <w:sz w:val="16"/>
              </w:rPr>
              <w:t>of</w:t>
            </w:r>
            <w:r>
              <w:rPr>
                <w:spacing w:val="-3"/>
                <w:sz w:val="16"/>
              </w:rPr>
              <w:t xml:space="preserve"> </w:t>
            </w:r>
            <w:r>
              <w:rPr>
                <w:sz w:val="16"/>
              </w:rPr>
              <w:t>monetary</w:t>
            </w:r>
            <w:r>
              <w:rPr>
                <w:spacing w:val="-6"/>
                <w:sz w:val="16"/>
              </w:rPr>
              <w:t xml:space="preserve"> </w:t>
            </w:r>
            <w:r>
              <w:rPr>
                <w:sz w:val="16"/>
              </w:rPr>
              <w:t>assistance.</w:t>
            </w:r>
            <w:r>
              <w:rPr>
                <w:spacing w:val="-4"/>
                <w:sz w:val="16"/>
              </w:rPr>
              <w:t xml:space="preserve"> </w:t>
            </w:r>
            <w:r>
              <w:rPr>
                <w:sz w:val="16"/>
              </w:rPr>
              <w:t>Based</w:t>
            </w:r>
            <w:r>
              <w:rPr>
                <w:spacing w:val="-2"/>
                <w:sz w:val="16"/>
              </w:rPr>
              <w:t xml:space="preserve"> </w:t>
            </w:r>
            <w:r>
              <w:rPr>
                <w:sz w:val="16"/>
              </w:rPr>
              <w:t>on</w:t>
            </w:r>
          </w:p>
          <w:p w:rsidR="00A56FE9" w:rsidRDefault="00000000">
            <w:pPr>
              <w:pStyle w:val="TableParagraph"/>
              <w:spacing w:line="182" w:lineRule="exact"/>
              <w:ind w:left="57" w:right="593"/>
              <w:rPr>
                <w:sz w:val="16"/>
              </w:rPr>
            </w:pPr>
            <w:r>
              <w:rPr>
                <w:sz w:val="16"/>
              </w:rPr>
              <w:t>the results of the analysis, appropriate</w:t>
            </w:r>
            <w:r>
              <w:rPr>
                <w:spacing w:val="-37"/>
                <w:sz w:val="16"/>
              </w:rPr>
              <w:t xml:space="preserve"> </w:t>
            </w:r>
            <w:r>
              <w:rPr>
                <w:sz w:val="16"/>
              </w:rPr>
              <w:t>legislative</w:t>
            </w:r>
            <w:r>
              <w:rPr>
                <w:spacing w:val="-3"/>
                <w:sz w:val="16"/>
              </w:rPr>
              <w:t xml:space="preserve"> </w:t>
            </w:r>
            <w:r>
              <w:rPr>
                <w:sz w:val="16"/>
              </w:rPr>
              <w:t>changes</w:t>
            </w:r>
            <w:r>
              <w:rPr>
                <w:spacing w:val="-1"/>
                <w:sz w:val="16"/>
              </w:rPr>
              <w:t xml:space="preserve"> </w:t>
            </w:r>
            <w:r>
              <w:rPr>
                <w:sz w:val="16"/>
              </w:rPr>
              <w:t>will</w:t>
            </w:r>
            <w:r>
              <w:rPr>
                <w:spacing w:val="-2"/>
                <w:sz w:val="16"/>
              </w:rPr>
              <w:t xml:space="preserve"> </w:t>
            </w:r>
            <w:r>
              <w:rPr>
                <w:sz w:val="16"/>
              </w:rPr>
              <w:t>be</w:t>
            </w:r>
            <w:r>
              <w:rPr>
                <w:spacing w:val="-3"/>
                <w:sz w:val="16"/>
              </w:rPr>
              <w:t xml:space="preserve"> </w:t>
            </w:r>
            <w:r>
              <w:rPr>
                <w:sz w:val="16"/>
              </w:rPr>
              <w:t>made.</w:t>
            </w:r>
          </w:p>
        </w:tc>
        <w:tc>
          <w:tcPr>
            <w:tcW w:w="112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90"/>
              <w:jc w:val="right"/>
              <w:rPr>
                <w:sz w:val="16"/>
              </w:rPr>
            </w:pPr>
            <w:r>
              <w:rPr>
                <w:sz w:val="16"/>
              </w:rPr>
              <w:t>500,000</w:t>
            </w:r>
          </w:p>
        </w:tc>
      </w:tr>
      <w:tr w:rsidR="00A56FE9">
        <w:trPr>
          <w:trHeight w:val="2944"/>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81</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1,</w:t>
            </w:r>
          </w:p>
          <w:p w:rsidR="00A56FE9" w:rsidRDefault="00000000">
            <w:pPr>
              <w:pStyle w:val="TableParagraph"/>
              <w:spacing w:before="1"/>
              <w:ind w:left="48"/>
              <w:rPr>
                <w:sz w:val="16"/>
              </w:rPr>
            </w:pPr>
            <w:r>
              <w:rPr>
                <w:sz w:val="16"/>
              </w:rPr>
              <w:t>2</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58"/>
              <w:jc w:val="right"/>
              <w:rPr>
                <w:sz w:val="16"/>
              </w:rPr>
            </w:pPr>
            <w:r>
              <w:rPr>
                <w:sz w:val="16"/>
              </w:rPr>
              <w:t>12</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0"/>
              <w:rPr>
                <w:sz w:val="16"/>
              </w:rPr>
            </w:pPr>
            <w:r>
              <w:rPr>
                <w:sz w:val="16"/>
              </w:rPr>
              <w:t>4 - LABOUR MARKET</w:t>
            </w:r>
            <w:r>
              <w:rPr>
                <w:spacing w:val="1"/>
                <w:sz w:val="16"/>
              </w:rPr>
              <w:t xml:space="preserve"> </w:t>
            </w:r>
            <w:r>
              <w:rPr>
                <w:sz w:val="16"/>
              </w:rPr>
              <w:t>AND SOCIAL</w:t>
            </w:r>
            <w:r>
              <w:rPr>
                <w:spacing w:val="1"/>
                <w:sz w:val="16"/>
              </w:rPr>
              <w:t xml:space="preserve"> </w:t>
            </w:r>
            <w:r>
              <w:rPr>
                <w:sz w:val="16"/>
              </w:rPr>
              <w:t>PROTECTION -</w:t>
            </w:r>
            <w:r>
              <w:rPr>
                <w:spacing w:val="1"/>
                <w:sz w:val="16"/>
              </w:rPr>
              <w:t xml:space="preserve"> </w:t>
            </w:r>
            <w:r>
              <w:rPr>
                <w:spacing w:val="-1"/>
                <w:sz w:val="16"/>
              </w:rPr>
              <w:t>REDUCING</w:t>
            </w:r>
            <w:r>
              <w:rPr>
                <w:spacing w:val="-3"/>
                <w:sz w:val="16"/>
              </w:rPr>
              <w:t xml:space="preserve"> </w:t>
            </w:r>
            <w:r>
              <w:rPr>
                <w:spacing w:val="-1"/>
                <w:sz w:val="16"/>
              </w:rPr>
              <w:t>POVERTY,</w:t>
            </w:r>
          </w:p>
          <w:p w:rsidR="00A56FE9" w:rsidRDefault="00000000">
            <w:pPr>
              <w:pStyle w:val="TableParagraph"/>
              <w:ind w:left="50"/>
              <w:rPr>
                <w:sz w:val="16"/>
              </w:rPr>
            </w:pPr>
            <w:r>
              <w:rPr>
                <w:sz w:val="16"/>
              </w:rPr>
              <w:t>Support</w:t>
            </w:r>
            <w:r>
              <w:rPr>
                <w:spacing w:val="-3"/>
                <w:sz w:val="16"/>
              </w:rPr>
              <w:t xml:space="preserve"> </w:t>
            </w:r>
            <w:r>
              <w:rPr>
                <w:sz w:val="16"/>
              </w:rPr>
              <w:t>to</w:t>
            </w:r>
            <w:r>
              <w:rPr>
                <w:spacing w:val="-3"/>
                <w:sz w:val="16"/>
              </w:rPr>
              <w:t xml:space="preserve"> </w:t>
            </w:r>
            <w:r>
              <w:rPr>
                <w:sz w:val="16"/>
              </w:rPr>
              <w:t>the</w:t>
            </w:r>
            <w:r>
              <w:rPr>
                <w:spacing w:val="-4"/>
                <w:sz w:val="16"/>
              </w:rPr>
              <w:t xml:space="preserve"> </w:t>
            </w:r>
            <w:r>
              <w:rPr>
                <w:sz w:val="16"/>
              </w:rPr>
              <w:t>most</w:t>
            </w:r>
            <w:r>
              <w:rPr>
                <w:spacing w:val="-2"/>
                <w:sz w:val="16"/>
              </w:rPr>
              <w:t xml:space="preserve"> </w:t>
            </w:r>
            <w:r>
              <w:rPr>
                <w:sz w:val="16"/>
              </w:rPr>
              <w:t>need</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136"/>
              <w:rPr>
                <w:sz w:val="16"/>
              </w:rPr>
            </w:pPr>
            <w:r>
              <w:rPr>
                <w:sz w:val="16"/>
              </w:rPr>
              <w:t>Providing assistance of</w:t>
            </w:r>
            <w:r>
              <w:rPr>
                <w:spacing w:val="1"/>
                <w:sz w:val="16"/>
              </w:rPr>
              <w:t xml:space="preserve"> </w:t>
            </w:r>
            <w:r>
              <w:rPr>
                <w:sz w:val="16"/>
              </w:rPr>
              <w:t>the most needy by</w:t>
            </w:r>
            <w:r>
              <w:rPr>
                <w:spacing w:val="1"/>
                <w:sz w:val="16"/>
              </w:rPr>
              <w:t xml:space="preserve"> </w:t>
            </w:r>
            <w:r>
              <w:rPr>
                <w:sz w:val="16"/>
              </w:rPr>
              <w:t>distributing food and/or</w:t>
            </w:r>
            <w:r>
              <w:rPr>
                <w:spacing w:val="1"/>
                <w:sz w:val="16"/>
              </w:rPr>
              <w:t xml:space="preserve"> </w:t>
            </w:r>
            <w:r>
              <w:rPr>
                <w:sz w:val="16"/>
              </w:rPr>
              <w:t>basic</w:t>
            </w:r>
            <w:r>
              <w:rPr>
                <w:spacing w:val="-2"/>
                <w:sz w:val="16"/>
              </w:rPr>
              <w:t xml:space="preserve"> </w:t>
            </w:r>
            <w:r>
              <w:rPr>
                <w:sz w:val="16"/>
              </w:rPr>
              <w:t>material</w:t>
            </w:r>
            <w:r>
              <w:rPr>
                <w:spacing w:val="-6"/>
                <w:sz w:val="16"/>
              </w:rPr>
              <w:t xml:space="preserve"> </w:t>
            </w:r>
            <w:r>
              <w:rPr>
                <w:sz w:val="16"/>
              </w:rPr>
              <w:t>assistance</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3" w:right="35"/>
              <w:rPr>
                <w:sz w:val="16"/>
              </w:rPr>
            </w:pPr>
            <w:r>
              <w:rPr>
                <w:spacing w:val="-2"/>
                <w:sz w:val="16"/>
              </w:rPr>
              <w:t>Number</w:t>
            </w:r>
            <w:r>
              <w:rPr>
                <w:spacing w:val="-37"/>
                <w:sz w:val="16"/>
              </w:rPr>
              <w:t xml:space="preserve"> </w:t>
            </w:r>
            <w:r>
              <w:rPr>
                <w:sz w:val="16"/>
              </w:rPr>
              <w:t>of</w:t>
            </w:r>
            <w:r>
              <w:rPr>
                <w:spacing w:val="1"/>
                <w:sz w:val="16"/>
              </w:rPr>
              <w:t xml:space="preserve"> </w:t>
            </w:r>
            <w:r>
              <w:rPr>
                <w:sz w:val="16"/>
              </w:rPr>
              <w:t>persons</w:t>
            </w:r>
            <w:r>
              <w:rPr>
                <w:spacing w:val="-37"/>
                <w:sz w:val="16"/>
              </w:rPr>
              <w:t xml:space="preserve"> </w:t>
            </w:r>
            <w:r>
              <w:rPr>
                <w:sz w:val="16"/>
              </w:rPr>
              <w:t>who</w:t>
            </w:r>
            <w:r>
              <w:rPr>
                <w:spacing w:val="1"/>
                <w:sz w:val="16"/>
              </w:rPr>
              <w:t xml:space="preserve"> </w:t>
            </w:r>
            <w:r>
              <w:rPr>
                <w:sz w:val="16"/>
              </w:rPr>
              <w:t>have</w:t>
            </w:r>
            <w:r>
              <w:rPr>
                <w:spacing w:val="1"/>
                <w:sz w:val="16"/>
              </w:rPr>
              <w:t xml:space="preserve"> </w:t>
            </w:r>
            <w:r>
              <w:rPr>
                <w:spacing w:val="-4"/>
                <w:sz w:val="16"/>
              </w:rPr>
              <w:t>received</w:t>
            </w:r>
            <w:r>
              <w:rPr>
                <w:spacing w:val="-37"/>
                <w:sz w:val="16"/>
              </w:rPr>
              <w:t xml:space="preserve"> </w:t>
            </w:r>
            <w:r>
              <w:rPr>
                <w:spacing w:val="-6"/>
                <w:sz w:val="16"/>
              </w:rPr>
              <w:t>assistanc</w:t>
            </w:r>
            <w:r>
              <w:rPr>
                <w:spacing w:val="-37"/>
                <w:sz w:val="16"/>
              </w:rPr>
              <w:t xml:space="preserve"> </w:t>
            </w:r>
            <w:r>
              <w:rPr>
                <w:spacing w:val="-4"/>
                <w:sz w:val="16"/>
              </w:rPr>
              <w:t>e</w:t>
            </w:r>
            <w:r>
              <w:rPr>
                <w:spacing w:val="-16"/>
                <w:sz w:val="16"/>
              </w:rPr>
              <w:t xml:space="preserve"> </w:t>
            </w:r>
            <w:r>
              <w:rPr>
                <w:spacing w:val="-4"/>
                <w:sz w:val="16"/>
              </w:rPr>
              <w:t>in</w:t>
            </w:r>
            <w:r>
              <w:rPr>
                <w:spacing w:val="-13"/>
                <w:sz w:val="16"/>
              </w:rPr>
              <w:t xml:space="preserve"> </w:t>
            </w:r>
            <w:r>
              <w:rPr>
                <w:spacing w:val="-3"/>
                <w:sz w:val="16"/>
              </w:rPr>
              <w:t>kind</w:t>
            </w:r>
            <w:r>
              <w:rPr>
                <w:spacing w:val="-37"/>
                <w:sz w:val="16"/>
              </w:rPr>
              <w:t xml:space="preserve"> </w:t>
            </w:r>
            <w:r>
              <w:rPr>
                <w:sz w:val="16"/>
              </w:rPr>
              <w:t>and</w:t>
            </w:r>
            <w:r>
              <w:rPr>
                <w:spacing w:val="1"/>
                <w:sz w:val="16"/>
              </w:rPr>
              <w:t xml:space="preserve"> </w:t>
            </w:r>
            <w:r>
              <w:rPr>
                <w:spacing w:val="-5"/>
                <w:sz w:val="16"/>
              </w:rPr>
              <w:t>financed</w:t>
            </w:r>
            <w:r>
              <w:rPr>
                <w:spacing w:val="-37"/>
                <w:sz w:val="16"/>
              </w:rPr>
              <w:t xml:space="preserve"> </w:t>
            </w:r>
            <w:r>
              <w:rPr>
                <w:sz w:val="16"/>
              </w:rPr>
              <w:t>through</w:t>
            </w:r>
            <w:r>
              <w:rPr>
                <w:spacing w:val="-37"/>
                <w:sz w:val="16"/>
              </w:rPr>
              <w:t xml:space="preserve"> </w:t>
            </w:r>
            <w:r>
              <w:rPr>
                <w:sz w:val="16"/>
              </w:rPr>
              <w:t>the</w:t>
            </w:r>
            <w:r>
              <w:rPr>
                <w:spacing w:val="1"/>
                <w:sz w:val="16"/>
              </w:rPr>
              <w:t xml:space="preserve"> </w:t>
            </w:r>
            <w:r>
              <w:rPr>
                <w:spacing w:val="-2"/>
                <w:sz w:val="16"/>
              </w:rPr>
              <w:t>REACT</w:t>
            </w:r>
            <w:r>
              <w:rPr>
                <w:spacing w:val="-37"/>
                <w:sz w:val="16"/>
              </w:rPr>
              <w:t xml:space="preserve"> </w:t>
            </w:r>
            <w:r>
              <w:rPr>
                <w:sz w:val="16"/>
              </w:rPr>
              <w:t>EU</w:t>
            </w:r>
            <w:r>
              <w:rPr>
                <w:spacing w:val="1"/>
                <w:sz w:val="16"/>
              </w:rPr>
              <w:t xml:space="preserve"> </w:t>
            </w:r>
            <w:r>
              <w:rPr>
                <w:sz w:val="16"/>
              </w:rPr>
              <w:t>FEAD</w:t>
            </w:r>
          </w:p>
          <w:p w:rsidR="00A56FE9" w:rsidRDefault="00000000">
            <w:pPr>
              <w:pStyle w:val="TableParagraph"/>
              <w:spacing w:line="168" w:lineRule="exact"/>
              <w:ind w:left="53"/>
              <w:rPr>
                <w:sz w:val="16"/>
              </w:rPr>
            </w:pPr>
            <w:r>
              <w:rPr>
                <w:sz w:val="16"/>
              </w:rPr>
              <w:t>project</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00"/>
              <w:rPr>
                <w:sz w:val="16"/>
              </w:rPr>
            </w:pPr>
            <w:r>
              <w:rPr>
                <w:sz w:val="16"/>
              </w:rPr>
              <w:t>35,000</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4"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MLPSFSP</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44"/>
              <w:rPr>
                <w:sz w:val="16"/>
              </w:rPr>
            </w:pPr>
            <w:r>
              <w:rPr>
                <w:sz w:val="16"/>
              </w:rPr>
              <w:t>Implementation of the Call for Poverty</w:t>
            </w:r>
            <w:r>
              <w:rPr>
                <w:spacing w:val="1"/>
                <w:sz w:val="16"/>
              </w:rPr>
              <w:t xml:space="preserve"> </w:t>
            </w:r>
            <w:r>
              <w:rPr>
                <w:sz w:val="16"/>
              </w:rPr>
              <w:t>Reduction Call by providing assistance to the</w:t>
            </w:r>
            <w:r>
              <w:rPr>
                <w:spacing w:val="1"/>
                <w:sz w:val="16"/>
              </w:rPr>
              <w:t xml:space="preserve"> </w:t>
            </w:r>
            <w:r>
              <w:rPr>
                <w:sz w:val="16"/>
              </w:rPr>
              <w:t>most deprived persons through the distribution</w:t>
            </w:r>
            <w:r>
              <w:rPr>
                <w:spacing w:val="-37"/>
                <w:sz w:val="16"/>
              </w:rPr>
              <w:t xml:space="preserve"> </w:t>
            </w:r>
            <w:r>
              <w:rPr>
                <w:sz w:val="16"/>
              </w:rPr>
              <w:t>of food and/or basic material assistance -</w:t>
            </w:r>
            <w:r>
              <w:rPr>
                <w:spacing w:val="1"/>
                <w:sz w:val="16"/>
              </w:rPr>
              <w:t xml:space="preserve"> </w:t>
            </w:r>
            <w:r>
              <w:rPr>
                <w:sz w:val="16"/>
              </w:rPr>
              <w:t>Phase IV, REACT EU FEAD Operational</w:t>
            </w:r>
            <w:r>
              <w:rPr>
                <w:spacing w:val="1"/>
                <w:sz w:val="16"/>
              </w:rPr>
              <w:t xml:space="preserve"> </w:t>
            </w:r>
            <w:r>
              <w:rPr>
                <w:sz w:val="16"/>
              </w:rPr>
              <w:t>Programme.</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2018"/>
        </w:trPr>
        <w:tc>
          <w:tcPr>
            <w:tcW w:w="42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right="115"/>
              <w:jc w:val="right"/>
              <w:rPr>
                <w:sz w:val="16"/>
              </w:rPr>
            </w:pPr>
            <w:r>
              <w:rPr>
                <w:sz w:val="16"/>
              </w:rPr>
              <w:t>82</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48"/>
              <w:rPr>
                <w:sz w:val="16"/>
              </w:rPr>
            </w:pPr>
            <w:r>
              <w:rPr>
                <w:sz w:val="16"/>
              </w:rPr>
              <w:t>5</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3,</w:t>
            </w:r>
          </w:p>
          <w:p w:rsidR="00A56FE9" w:rsidRDefault="00000000">
            <w:pPr>
              <w:pStyle w:val="TableParagraph"/>
              <w:spacing w:before="1"/>
              <w:ind w:left="50"/>
              <w:rPr>
                <w:sz w:val="16"/>
              </w:rPr>
            </w:pPr>
            <w:r>
              <w:rPr>
                <w:sz w:val="16"/>
              </w:rPr>
              <w:t>11</w:t>
            </w:r>
          </w:p>
        </w:tc>
        <w:tc>
          <w:tcPr>
            <w:tcW w:w="1838"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0"/>
              <w:rPr>
                <w:sz w:val="16"/>
              </w:rPr>
            </w:pPr>
            <w:r>
              <w:rPr>
                <w:sz w:val="16"/>
              </w:rPr>
              <w:t>4</w:t>
            </w:r>
            <w:r>
              <w:rPr>
                <w:spacing w:val="-1"/>
                <w:sz w:val="16"/>
              </w:rPr>
              <w:t xml:space="preserve"> </w:t>
            </w:r>
            <w:r>
              <w:rPr>
                <w:sz w:val="16"/>
              </w:rPr>
              <w:t>-</w:t>
            </w:r>
            <w:r>
              <w:rPr>
                <w:spacing w:val="-2"/>
                <w:sz w:val="16"/>
              </w:rPr>
              <w:t xml:space="preserve"> </w:t>
            </w:r>
            <w:r>
              <w:rPr>
                <w:sz w:val="16"/>
              </w:rPr>
              <w:t>LABOUR</w:t>
            </w:r>
            <w:r>
              <w:rPr>
                <w:spacing w:val="-1"/>
                <w:sz w:val="16"/>
              </w:rPr>
              <w:t xml:space="preserve"> </w:t>
            </w:r>
            <w:r>
              <w:rPr>
                <w:sz w:val="16"/>
              </w:rPr>
              <w:t>MARKET</w:t>
            </w:r>
          </w:p>
          <w:p w:rsidR="00A56FE9" w:rsidRDefault="00000000">
            <w:pPr>
              <w:pStyle w:val="TableParagraph"/>
              <w:spacing w:before="1"/>
              <w:ind w:left="50" w:right="685"/>
              <w:rPr>
                <w:sz w:val="16"/>
              </w:rPr>
            </w:pPr>
            <w:r>
              <w:rPr>
                <w:sz w:val="16"/>
              </w:rPr>
              <w:t>AND SOCIAL</w:t>
            </w:r>
            <w:r>
              <w:rPr>
                <w:spacing w:val="1"/>
                <w:sz w:val="16"/>
              </w:rPr>
              <w:t xml:space="preserve"> </w:t>
            </w:r>
            <w:r>
              <w:rPr>
                <w:spacing w:val="-1"/>
                <w:sz w:val="16"/>
              </w:rPr>
              <w:t>PROTECTION</w:t>
            </w:r>
            <w:r>
              <w:rPr>
                <w:spacing w:val="-6"/>
                <w:sz w:val="16"/>
              </w:rPr>
              <w:t xml:space="preserve"> </w:t>
            </w:r>
            <w:r>
              <w:rPr>
                <w:sz w:val="16"/>
              </w:rPr>
              <w:t>-</w:t>
            </w:r>
          </w:p>
          <w:p w:rsidR="00A56FE9" w:rsidRDefault="00000000">
            <w:pPr>
              <w:pStyle w:val="TableParagraph"/>
              <w:ind w:left="50" w:right="131"/>
              <w:rPr>
                <w:sz w:val="16"/>
              </w:rPr>
            </w:pPr>
            <w:r>
              <w:rPr>
                <w:sz w:val="16"/>
              </w:rPr>
              <w:t>Increasing social security</w:t>
            </w:r>
            <w:r>
              <w:rPr>
                <w:spacing w:val="-37"/>
                <w:sz w:val="16"/>
              </w:rPr>
              <w:t xml:space="preserve"> </w:t>
            </w:r>
            <w:r>
              <w:rPr>
                <w:sz w:val="16"/>
              </w:rPr>
              <w:t>for</w:t>
            </w:r>
            <w:r>
              <w:rPr>
                <w:spacing w:val="-5"/>
                <w:sz w:val="16"/>
              </w:rPr>
              <w:t xml:space="preserve"> </w:t>
            </w:r>
            <w:r>
              <w:rPr>
                <w:sz w:val="16"/>
              </w:rPr>
              <w:t>families</w:t>
            </w:r>
            <w:r>
              <w:rPr>
                <w:spacing w:val="-4"/>
                <w:sz w:val="16"/>
              </w:rPr>
              <w:t xml:space="preserve"> </w:t>
            </w:r>
            <w:r>
              <w:rPr>
                <w:sz w:val="16"/>
              </w:rPr>
              <w:t>with</w:t>
            </w:r>
            <w:r>
              <w:rPr>
                <w:spacing w:val="-2"/>
                <w:sz w:val="16"/>
              </w:rPr>
              <w:t xml:space="preserve"> </w:t>
            </w:r>
            <w:r>
              <w:rPr>
                <w:sz w:val="16"/>
              </w:rPr>
              <w:t>children</w:t>
            </w:r>
          </w:p>
        </w:tc>
        <w:tc>
          <w:tcPr>
            <w:tcW w:w="569"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1"/>
              <w:rPr>
                <w:sz w:val="16"/>
              </w:rPr>
            </w:pPr>
            <w:r>
              <w:rPr>
                <w:sz w:val="16"/>
              </w:rPr>
              <w:t>Milest</w:t>
            </w:r>
          </w:p>
          <w:p w:rsidR="00A56FE9" w:rsidRDefault="00000000">
            <w:pPr>
              <w:pStyle w:val="TableParagraph"/>
              <w:spacing w:before="1"/>
              <w:ind w:left="51"/>
              <w:rPr>
                <w:sz w:val="16"/>
              </w:rPr>
            </w:pPr>
            <w:r>
              <w:rPr>
                <w:sz w:val="16"/>
              </w:rPr>
              <w:t>one</w:t>
            </w:r>
          </w:p>
        </w:tc>
        <w:tc>
          <w:tcPr>
            <w:tcW w:w="1840"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109"/>
              <w:rPr>
                <w:sz w:val="16"/>
              </w:rPr>
            </w:pPr>
            <w:r>
              <w:rPr>
                <w:sz w:val="16"/>
              </w:rPr>
              <w:t>New</w:t>
            </w:r>
            <w:r>
              <w:rPr>
                <w:spacing w:val="-3"/>
                <w:sz w:val="16"/>
              </w:rPr>
              <w:t xml:space="preserve"> </w:t>
            </w:r>
            <w:r>
              <w:rPr>
                <w:sz w:val="16"/>
              </w:rPr>
              <w:t>Act</w:t>
            </w:r>
            <w:r>
              <w:rPr>
                <w:spacing w:val="-1"/>
                <w:sz w:val="16"/>
              </w:rPr>
              <w:t xml:space="preserve"> </w:t>
            </w:r>
            <w:r>
              <w:rPr>
                <w:sz w:val="16"/>
              </w:rPr>
              <w:t>on</w:t>
            </w:r>
            <w:r>
              <w:rPr>
                <w:spacing w:val="-3"/>
                <w:sz w:val="16"/>
              </w:rPr>
              <w:t xml:space="preserve"> </w:t>
            </w:r>
            <w:r>
              <w:rPr>
                <w:sz w:val="16"/>
              </w:rPr>
              <w:t>Maternity</w:t>
            </w:r>
          </w:p>
          <w:p w:rsidR="00A56FE9" w:rsidRDefault="00000000">
            <w:pPr>
              <w:pStyle w:val="TableParagraph"/>
              <w:spacing w:before="1"/>
              <w:ind w:left="109"/>
              <w:rPr>
                <w:sz w:val="16"/>
              </w:rPr>
            </w:pPr>
            <w:r>
              <w:rPr>
                <w:sz w:val="16"/>
              </w:rPr>
              <w:t>and</w:t>
            </w:r>
            <w:r>
              <w:rPr>
                <w:spacing w:val="-2"/>
                <w:sz w:val="16"/>
              </w:rPr>
              <w:t xml:space="preserve"> </w:t>
            </w:r>
            <w:r>
              <w:rPr>
                <w:sz w:val="16"/>
              </w:rPr>
              <w:t>Parental</w:t>
            </w:r>
            <w:r>
              <w:rPr>
                <w:spacing w:val="-4"/>
                <w:sz w:val="16"/>
              </w:rPr>
              <w:t xml:space="preserve"> </w:t>
            </w:r>
            <w:r>
              <w:rPr>
                <w:sz w:val="16"/>
              </w:rPr>
              <w:t>Benefits</w:t>
            </w:r>
          </w:p>
        </w:tc>
        <w:tc>
          <w:tcPr>
            <w:tcW w:w="1137"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110"/>
              <w:rPr>
                <w:sz w:val="16"/>
              </w:rPr>
            </w:pPr>
            <w:r>
              <w:rPr>
                <w:sz w:val="16"/>
              </w:rPr>
              <w:t>Coming</w:t>
            </w:r>
            <w:r>
              <w:rPr>
                <w:spacing w:val="-4"/>
                <w:sz w:val="16"/>
              </w:rPr>
              <w:t xml:space="preserve"> </w:t>
            </w:r>
            <w:r>
              <w:rPr>
                <w:sz w:val="16"/>
              </w:rPr>
              <w:t>into</w:t>
            </w:r>
          </w:p>
          <w:p w:rsidR="00A56FE9" w:rsidRDefault="00000000">
            <w:pPr>
              <w:pStyle w:val="TableParagraph"/>
              <w:spacing w:before="1"/>
              <w:ind w:left="110" w:right="105"/>
              <w:rPr>
                <w:sz w:val="16"/>
              </w:rPr>
            </w:pPr>
            <w:r>
              <w:rPr>
                <w:sz w:val="16"/>
              </w:rPr>
              <w:t>force of the</w:t>
            </w:r>
            <w:r>
              <w:rPr>
                <w:spacing w:val="1"/>
                <w:sz w:val="16"/>
              </w:rPr>
              <w:t xml:space="preserve"> </w:t>
            </w:r>
            <w:r>
              <w:rPr>
                <w:sz w:val="16"/>
              </w:rPr>
              <w:t>new Act on</w:t>
            </w:r>
            <w:r>
              <w:rPr>
                <w:spacing w:val="1"/>
                <w:sz w:val="16"/>
              </w:rPr>
              <w:t xml:space="preserve"> </w:t>
            </w:r>
            <w:r>
              <w:rPr>
                <w:spacing w:val="-1"/>
                <w:sz w:val="16"/>
              </w:rPr>
              <w:t xml:space="preserve">Maternity </w:t>
            </w:r>
            <w:r>
              <w:rPr>
                <w:sz w:val="16"/>
              </w:rPr>
              <w:t>and</w:t>
            </w:r>
            <w:r>
              <w:rPr>
                <w:spacing w:val="-37"/>
                <w:sz w:val="16"/>
              </w:rPr>
              <w:t xml:space="preserve"> </w:t>
            </w:r>
            <w:r>
              <w:rPr>
                <w:sz w:val="16"/>
              </w:rPr>
              <w:t>Parental</w:t>
            </w:r>
            <w:r>
              <w:rPr>
                <w:spacing w:val="1"/>
                <w:sz w:val="16"/>
              </w:rPr>
              <w:t xml:space="preserve"> </w:t>
            </w:r>
            <w:r>
              <w:rPr>
                <w:sz w:val="16"/>
              </w:rPr>
              <w:t>Benefits</w:t>
            </w: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4" w:lineRule="exact"/>
              <w:ind w:left="151" w:right="130"/>
              <w:jc w:val="center"/>
              <w:rPr>
                <w:sz w:val="16"/>
              </w:rPr>
            </w:pPr>
            <w:r>
              <w:rPr>
                <w:sz w:val="16"/>
              </w:rPr>
              <w:t>2022</w:t>
            </w:r>
          </w:p>
        </w:tc>
        <w:tc>
          <w:tcPr>
            <w:tcW w:w="845"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CSODY</w:t>
            </w:r>
          </w:p>
        </w:tc>
        <w:tc>
          <w:tcPr>
            <w:tcW w:w="3106"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Aligning</w:t>
            </w:r>
            <w:r>
              <w:rPr>
                <w:spacing w:val="-5"/>
                <w:sz w:val="16"/>
              </w:rPr>
              <w:t xml:space="preserve"> </w:t>
            </w:r>
            <w:r>
              <w:rPr>
                <w:sz w:val="16"/>
              </w:rPr>
              <w:t>legislation</w:t>
            </w:r>
            <w:r>
              <w:rPr>
                <w:spacing w:val="-3"/>
                <w:sz w:val="16"/>
              </w:rPr>
              <w:t xml:space="preserve"> </w:t>
            </w:r>
            <w:r>
              <w:rPr>
                <w:sz w:val="16"/>
              </w:rPr>
              <w:t>with</w:t>
            </w:r>
            <w:r>
              <w:rPr>
                <w:spacing w:val="-4"/>
                <w:sz w:val="16"/>
              </w:rPr>
              <w:t xml:space="preserve"> </w:t>
            </w:r>
            <w:r>
              <w:rPr>
                <w:sz w:val="16"/>
              </w:rPr>
              <w:t>Directive</w:t>
            </w:r>
            <w:r>
              <w:rPr>
                <w:spacing w:val="-6"/>
                <w:sz w:val="16"/>
              </w:rPr>
              <w:t xml:space="preserve"> </w:t>
            </w:r>
            <w:r>
              <w:rPr>
                <w:sz w:val="16"/>
              </w:rPr>
              <w:t>(EU)</w:t>
            </w:r>
          </w:p>
          <w:p w:rsidR="00A56FE9" w:rsidRDefault="00000000">
            <w:pPr>
              <w:pStyle w:val="TableParagraph"/>
              <w:spacing w:before="1"/>
              <w:ind w:left="57" w:right="95"/>
              <w:rPr>
                <w:sz w:val="16"/>
              </w:rPr>
            </w:pPr>
            <w:r>
              <w:rPr>
                <w:sz w:val="16"/>
              </w:rPr>
              <w:t>2019/1158 of the European Parliament and of</w:t>
            </w:r>
            <w:r>
              <w:rPr>
                <w:spacing w:val="-37"/>
                <w:sz w:val="16"/>
              </w:rPr>
              <w:t xml:space="preserve"> </w:t>
            </w:r>
            <w:r>
              <w:rPr>
                <w:sz w:val="16"/>
              </w:rPr>
              <w:t>the Council of 20 June 2019 on work-life</w:t>
            </w:r>
            <w:r>
              <w:rPr>
                <w:spacing w:val="1"/>
                <w:sz w:val="16"/>
              </w:rPr>
              <w:t xml:space="preserve"> </w:t>
            </w:r>
            <w:r>
              <w:rPr>
                <w:sz w:val="16"/>
              </w:rPr>
              <w:t>balance for parents and carers and repealing</w:t>
            </w:r>
            <w:r>
              <w:rPr>
                <w:spacing w:val="1"/>
                <w:sz w:val="16"/>
              </w:rPr>
              <w:t xml:space="preserve"> </w:t>
            </w:r>
            <w:r>
              <w:rPr>
                <w:sz w:val="16"/>
              </w:rPr>
              <w:t>Council Directive 2010/18/EU. The plan is to</w:t>
            </w:r>
            <w:r>
              <w:rPr>
                <w:spacing w:val="-37"/>
                <w:sz w:val="16"/>
              </w:rPr>
              <w:t xml:space="preserve"> </w:t>
            </w:r>
            <w:r>
              <w:rPr>
                <w:sz w:val="16"/>
              </w:rPr>
              <w:t>introduce maternity leave for father as a new</w:t>
            </w:r>
            <w:r>
              <w:rPr>
                <w:spacing w:val="1"/>
                <w:sz w:val="16"/>
              </w:rPr>
              <w:t xml:space="preserve"> </w:t>
            </w:r>
            <w:r>
              <w:rPr>
                <w:sz w:val="16"/>
              </w:rPr>
              <w:t>right in the system of maternity and parental</w:t>
            </w:r>
            <w:r>
              <w:rPr>
                <w:spacing w:val="1"/>
                <w:sz w:val="16"/>
              </w:rPr>
              <w:t xml:space="preserve"> </w:t>
            </w:r>
            <w:r>
              <w:rPr>
                <w:sz w:val="16"/>
              </w:rPr>
              <w:t>benefits amounting to a duration of 10</w:t>
            </w:r>
            <w:r>
              <w:rPr>
                <w:spacing w:val="1"/>
                <w:sz w:val="16"/>
              </w:rPr>
              <w:t xml:space="preserve"> </w:t>
            </w:r>
            <w:r>
              <w:rPr>
                <w:sz w:val="16"/>
              </w:rPr>
              <w:t>working days. The plan is also to raise the</w:t>
            </w:r>
            <w:r>
              <w:rPr>
                <w:spacing w:val="1"/>
                <w:sz w:val="16"/>
              </w:rPr>
              <w:t xml:space="preserve"> </w:t>
            </w:r>
            <w:r>
              <w:rPr>
                <w:sz w:val="16"/>
              </w:rPr>
              <w:t>maximum</w:t>
            </w:r>
            <w:r>
              <w:rPr>
                <w:spacing w:val="-2"/>
                <w:sz w:val="16"/>
              </w:rPr>
              <w:t xml:space="preserve"> </w:t>
            </w:r>
            <w:r>
              <w:rPr>
                <w:sz w:val="16"/>
              </w:rPr>
              <w:t>wage</w:t>
            </w:r>
            <w:r>
              <w:rPr>
                <w:spacing w:val="-3"/>
                <w:sz w:val="16"/>
              </w:rPr>
              <w:t xml:space="preserve"> </w:t>
            </w:r>
            <w:r>
              <w:rPr>
                <w:sz w:val="16"/>
              </w:rPr>
              <w:t>amount</w:t>
            </w:r>
            <w:r>
              <w:rPr>
                <w:spacing w:val="-1"/>
                <w:sz w:val="16"/>
              </w:rPr>
              <w:t xml:space="preserve"> </w:t>
            </w:r>
            <w:r>
              <w:rPr>
                <w:sz w:val="16"/>
              </w:rPr>
              <w:t>for</w:t>
            </w:r>
            <w:r>
              <w:rPr>
                <w:spacing w:val="-2"/>
                <w:sz w:val="16"/>
              </w:rPr>
              <w:t xml:space="preserve"> </w:t>
            </w:r>
            <w:r>
              <w:rPr>
                <w:sz w:val="16"/>
              </w:rPr>
              <w:t>employed</w:t>
            </w:r>
            <w:r>
              <w:rPr>
                <w:spacing w:val="-1"/>
                <w:sz w:val="16"/>
              </w:rPr>
              <w:t xml:space="preserve"> </w:t>
            </w:r>
            <w:r>
              <w:rPr>
                <w:sz w:val="16"/>
              </w:rPr>
              <w:t>and</w:t>
            </w:r>
          </w:p>
          <w:p w:rsidR="00A56FE9" w:rsidRDefault="00000000">
            <w:pPr>
              <w:pStyle w:val="TableParagraph"/>
              <w:spacing w:line="168" w:lineRule="exact"/>
              <w:ind w:left="57"/>
              <w:rPr>
                <w:sz w:val="16"/>
              </w:rPr>
            </w:pPr>
            <w:r>
              <w:rPr>
                <w:sz w:val="16"/>
              </w:rPr>
              <w:t>self-employed</w:t>
            </w:r>
            <w:r>
              <w:rPr>
                <w:spacing w:val="-4"/>
                <w:sz w:val="16"/>
              </w:rPr>
              <w:t xml:space="preserve"> </w:t>
            </w:r>
            <w:r>
              <w:rPr>
                <w:sz w:val="16"/>
              </w:rPr>
              <w:t>beneficiaries</w:t>
            </w:r>
            <w:r>
              <w:rPr>
                <w:spacing w:val="-5"/>
                <w:sz w:val="16"/>
              </w:rPr>
              <w:t xml:space="preserve"> </w:t>
            </w:r>
            <w:r>
              <w:rPr>
                <w:sz w:val="16"/>
              </w:rPr>
              <w:t>of</w:t>
            </w:r>
            <w:r>
              <w:rPr>
                <w:spacing w:val="-5"/>
                <w:sz w:val="16"/>
              </w:rPr>
              <w:t xml:space="preserve"> </w:t>
            </w:r>
            <w:r>
              <w:rPr>
                <w:sz w:val="16"/>
              </w:rPr>
              <w:t>parental</w:t>
            </w:r>
            <w:r>
              <w:rPr>
                <w:spacing w:val="-6"/>
                <w:sz w:val="16"/>
              </w:rPr>
              <w:t xml:space="preserve"> </w:t>
            </w:r>
            <w:r>
              <w:rPr>
                <w:sz w:val="16"/>
              </w:rPr>
              <w:t>leave.</w:t>
            </w:r>
          </w:p>
        </w:tc>
        <w:tc>
          <w:tcPr>
            <w:tcW w:w="112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398"/>
        </w:trPr>
        <w:tc>
          <w:tcPr>
            <w:tcW w:w="15763" w:type="dxa"/>
            <w:gridSpan w:val="17"/>
            <w:tcBorders>
              <w:top w:val="single" w:sz="4" w:space="0" w:color="2C398A"/>
              <w:left w:val="single" w:sz="4" w:space="0" w:color="2C398A"/>
              <w:bottom w:val="single" w:sz="4" w:space="0" w:color="2C398A"/>
              <w:right w:val="single" w:sz="4" w:space="0" w:color="2C398A"/>
            </w:tcBorders>
            <w:shd w:val="clear" w:color="auto" w:fill="F1F1F1"/>
          </w:tcPr>
          <w:p w:rsidR="00A56FE9" w:rsidRDefault="00000000">
            <w:pPr>
              <w:pStyle w:val="TableParagraph"/>
              <w:spacing w:before="59"/>
              <w:ind w:left="50"/>
              <w:rPr>
                <w:b/>
                <w:sz w:val="18"/>
              </w:rPr>
            </w:pPr>
            <w:r>
              <w:rPr>
                <w:b/>
                <w:color w:val="DA1F2C"/>
                <w:spacing w:val="-1"/>
                <w:sz w:val="24"/>
              </w:rPr>
              <w:t>5</w:t>
            </w:r>
            <w:r>
              <w:rPr>
                <w:b/>
                <w:color w:val="DA1F2C"/>
                <w:spacing w:val="-20"/>
                <w:sz w:val="24"/>
              </w:rPr>
              <w:t xml:space="preserve"> </w:t>
            </w:r>
            <w:r>
              <w:rPr>
                <w:b/>
                <w:color w:val="2C398A"/>
                <w:spacing w:val="-1"/>
                <w:sz w:val="16"/>
              </w:rPr>
              <w:t>-</w:t>
            </w:r>
            <w:r>
              <w:rPr>
                <w:b/>
                <w:color w:val="2C398A"/>
                <w:sz w:val="16"/>
              </w:rPr>
              <w:t xml:space="preserve"> </w:t>
            </w:r>
            <w:r>
              <w:rPr>
                <w:b/>
                <w:color w:val="003399"/>
                <w:sz w:val="18"/>
              </w:rPr>
              <w:t>HEALTH</w:t>
            </w:r>
            <w:r>
              <w:rPr>
                <w:b/>
                <w:color w:val="003399"/>
                <w:spacing w:val="-2"/>
                <w:sz w:val="18"/>
              </w:rPr>
              <w:t xml:space="preserve"> </w:t>
            </w:r>
            <w:r>
              <w:rPr>
                <w:b/>
                <w:color w:val="003399"/>
                <w:sz w:val="18"/>
              </w:rPr>
              <w:t>CARE SYSTEM</w:t>
            </w:r>
          </w:p>
        </w:tc>
      </w:tr>
      <w:tr w:rsidR="00A56FE9">
        <w:trPr>
          <w:trHeight w:val="165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right="115"/>
              <w:jc w:val="right"/>
              <w:rPr>
                <w:sz w:val="16"/>
              </w:rPr>
            </w:pPr>
            <w:r>
              <w:rPr>
                <w:sz w:val="16"/>
              </w:rPr>
              <w:t>83</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right="75"/>
              <w:jc w:val="right"/>
              <w:rPr>
                <w:sz w:val="16"/>
              </w:rPr>
            </w:pPr>
            <w:r>
              <w:rPr>
                <w:sz w:val="16"/>
              </w:rPr>
              <w:t>318</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2020.CSR1</w:t>
            </w:r>
          </w:p>
          <w:p w:rsidR="00A56FE9" w:rsidRDefault="00000000">
            <w:pPr>
              <w:pStyle w:val="TableParagraph"/>
              <w:spacing w:before="1"/>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48"/>
              <w:rPr>
                <w:sz w:val="16"/>
              </w:rPr>
            </w:pPr>
            <w:r>
              <w:rPr>
                <w:sz w:val="16"/>
              </w:rPr>
              <w: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16</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0"/>
              <w:rPr>
                <w:sz w:val="16"/>
              </w:rPr>
            </w:pPr>
            <w:r>
              <w:rPr>
                <w:sz w:val="16"/>
              </w:rPr>
              <w:t>5</w:t>
            </w:r>
            <w:r>
              <w:rPr>
                <w:spacing w:val="1"/>
                <w:sz w:val="16"/>
              </w:rPr>
              <w:t xml:space="preserve"> </w:t>
            </w:r>
            <w:r>
              <w:rPr>
                <w:sz w:val="16"/>
              </w:rPr>
              <w:t>-</w:t>
            </w:r>
            <w:r>
              <w:rPr>
                <w:spacing w:val="-1"/>
                <w:sz w:val="16"/>
              </w:rPr>
              <w:t xml:space="preserve"> </w:t>
            </w:r>
            <w:r>
              <w:rPr>
                <w:sz w:val="16"/>
              </w:rPr>
              <w:t>HEALTH</w:t>
            </w:r>
            <w:r>
              <w:rPr>
                <w:spacing w:val="-2"/>
                <w:sz w:val="16"/>
              </w:rPr>
              <w:t xml:space="preserve"> </w:t>
            </w:r>
            <w:r>
              <w:rPr>
                <w:sz w:val="16"/>
              </w:rPr>
              <w:t>CARE -</w:t>
            </w:r>
          </w:p>
          <w:p w:rsidR="00A56FE9" w:rsidRDefault="00000000">
            <w:pPr>
              <w:pStyle w:val="TableParagraph"/>
              <w:spacing w:before="1"/>
              <w:ind w:left="50" w:right="127"/>
              <w:rPr>
                <w:sz w:val="16"/>
              </w:rPr>
            </w:pPr>
            <w:r>
              <w:rPr>
                <w:sz w:val="16"/>
              </w:rPr>
              <w:t>C5.1. R1 Improving the</w:t>
            </w:r>
            <w:r>
              <w:rPr>
                <w:spacing w:val="1"/>
                <w:sz w:val="16"/>
              </w:rPr>
              <w:t xml:space="preserve"> </w:t>
            </w:r>
            <w:r>
              <w:rPr>
                <w:sz w:val="16"/>
              </w:rPr>
              <w:t>efficiency, quality and</w:t>
            </w:r>
            <w:r>
              <w:rPr>
                <w:spacing w:val="1"/>
                <w:sz w:val="16"/>
              </w:rPr>
              <w:t xml:space="preserve"> </w:t>
            </w:r>
            <w:r>
              <w:rPr>
                <w:sz w:val="16"/>
              </w:rPr>
              <w:t>accessibility of the health</w:t>
            </w:r>
            <w:r>
              <w:rPr>
                <w:spacing w:val="-37"/>
                <w:sz w:val="16"/>
              </w:rPr>
              <w:t xml:space="preserve"> </w:t>
            </w:r>
            <w:r>
              <w:rPr>
                <w:sz w:val="16"/>
              </w:rPr>
              <w:t>system</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00"/>
              <w:rPr>
                <w:sz w:val="16"/>
              </w:rPr>
            </w:pPr>
            <w:r>
              <w:rPr>
                <w:sz w:val="16"/>
              </w:rPr>
              <w:t>Entry into force of the</w:t>
            </w:r>
            <w:r>
              <w:rPr>
                <w:spacing w:val="1"/>
                <w:sz w:val="16"/>
              </w:rPr>
              <w:t xml:space="preserve"> </w:t>
            </w:r>
            <w:r>
              <w:rPr>
                <w:sz w:val="16"/>
              </w:rPr>
              <w:t>Health System</w:t>
            </w:r>
            <w:r>
              <w:rPr>
                <w:spacing w:val="1"/>
                <w:sz w:val="16"/>
              </w:rPr>
              <w:t xml:space="preserve"> </w:t>
            </w:r>
            <w:r>
              <w:rPr>
                <w:spacing w:val="-1"/>
                <w:sz w:val="16"/>
              </w:rPr>
              <w:t xml:space="preserve">Performance </w:t>
            </w:r>
            <w:r>
              <w:rPr>
                <w:sz w:val="16"/>
              </w:rPr>
              <w:t>Assessment</w:t>
            </w:r>
            <w:r>
              <w:rPr>
                <w:spacing w:val="-37"/>
                <w:sz w:val="16"/>
              </w:rPr>
              <w:t xml:space="preserve"> </w:t>
            </w:r>
            <w:r>
              <w:rPr>
                <w:sz w:val="16"/>
              </w:rPr>
              <w:t>Framework</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79"/>
              <w:rPr>
                <w:sz w:val="16"/>
              </w:rPr>
            </w:pPr>
            <w:r>
              <w:rPr>
                <w:sz w:val="16"/>
              </w:rPr>
              <w:t>Entry into</w:t>
            </w:r>
            <w:r>
              <w:rPr>
                <w:spacing w:val="1"/>
                <w:sz w:val="16"/>
              </w:rPr>
              <w:t xml:space="preserve"> </w:t>
            </w:r>
            <w:r>
              <w:rPr>
                <w:sz w:val="16"/>
              </w:rPr>
              <w:t>force of the</w:t>
            </w:r>
            <w:r>
              <w:rPr>
                <w:spacing w:val="1"/>
                <w:sz w:val="16"/>
              </w:rPr>
              <w:t xml:space="preserve"> </w:t>
            </w:r>
            <w:r>
              <w:rPr>
                <w:sz w:val="16"/>
              </w:rPr>
              <w:t>Health</w:t>
            </w:r>
            <w:r>
              <w:rPr>
                <w:spacing w:val="1"/>
                <w:sz w:val="16"/>
              </w:rPr>
              <w:t xml:space="preserve"> </w:t>
            </w:r>
            <w:r>
              <w:rPr>
                <w:sz w:val="16"/>
              </w:rPr>
              <w:t>System</w:t>
            </w:r>
            <w:r>
              <w:rPr>
                <w:spacing w:val="1"/>
                <w:sz w:val="16"/>
              </w:rPr>
              <w:t xml:space="preserve"> </w:t>
            </w:r>
            <w:r>
              <w:rPr>
                <w:sz w:val="16"/>
              </w:rPr>
              <w:t>Performance</w:t>
            </w:r>
            <w:r>
              <w:rPr>
                <w:spacing w:val="-37"/>
                <w:sz w:val="16"/>
              </w:rPr>
              <w:t xml:space="preserve"> </w:t>
            </w:r>
            <w:r>
              <w:rPr>
                <w:sz w:val="16"/>
              </w:rPr>
              <w:t>Assessment</w:t>
            </w:r>
            <w:r>
              <w:rPr>
                <w:spacing w:val="1"/>
                <w:sz w:val="16"/>
              </w:rPr>
              <w:t xml:space="preserve"> </w:t>
            </w:r>
            <w:r>
              <w:rPr>
                <w:sz w:val="16"/>
              </w:rPr>
              <w:t>Framework</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38" w:right="119"/>
              <w:jc w:val="center"/>
              <w:rPr>
                <w:sz w:val="16"/>
              </w:rPr>
            </w:pPr>
            <w:r>
              <w:rPr>
                <w:sz w:val="16"/>
              </w:rPr>
              <w:t>Q3</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8" w:lineRule="exact"/>
              <w:ind w:left="57"/>
              <w:rPr>
                <w:sz w:val="16"/>
              </w:rPr>
            </w:pPr>
            <w:r>
              <w:rPr>
                <w:sz w:val="16"/>
              </w:rPr>
              <w:t>MH</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41"/>
              <w:rPr>
                <w:sz w:val="16"/>
              </w:rPr>
            </w:pPr>
            <w:r>
              <w:rPr>
                <w:sz w:val="16"/>
              </w:rPr>
              <w:t>The Health System Performance Assessment</w:t>
            </w:r>
            <w:r>
              <w:rPr>
                <w:spacing w:val="1"/>
                <w:sz w:val="16"/>
              </w:rPr>
              <w:t xml:space="preserve"> </w:t>
            </w:r>
            <w:r>
              <w:rPr>
                <w:sz w:val="16"/>
              </w:rPr>
              <w:t>(HSPA), shall establish a health performance</w:t>
            </w:r>
            <w:r>
              <w:rPr>
                <w:spacing w:val="1"/>
                <w:sz w:val="16"/>
              </w:rPr>
              <w:t xml:space="preserve"> </w:t>
            </w:r>
            <w:r>
              <w:rPr>
                <w:sz w:val="16"/>
              </w:rPr>
              <w:t>measurement framework, set-out of key</w:t>
            </w:r>
            <w:r>
              <w:rPr>
                <w:spacing w:val="1"/>
                <w:sz w:val="16"/>
              </w:rPr>
              <w:t xml:space="preserve"> </w:t>
            </w:r>
            <w:r>
              <w:rPr>
                <w:sz w:val="16"/>
              </w:rPr>
              <w:t>performance indicators according to a defined</w:t>
            </w:r>
            <w:r>
              <w:rPr>
                <w:spacing w:val="1"/>
                <w:sz w:val="16"/>
              </w:rPr>
              <w:t xml:space="preserve"> </w:t>
            </w:r>
            <w:r>
              <w:rPr>
                <w:sz w:val="16"/>
              </w:rPr>
              <w:t>assessment</w:t>
            </w:r>
            <w:r>
              <w:rPr>
                <w:spacing w:val="-4"/>
                <w:sz w:val="16"/>
              </w:rPr>
              <w:t xml:space="preserve"> </w:t>
            </w:r>
            <w:r>
              <w:rPr>
                <w:sz w:val="16"/>
              </w:rPr>
              <w:t>methodology,</w:t>
            </w:r>
            <w:r>
              <w:rPr>
                <w:spacing w:val="-3"/>
                <w:sz w:val="16"/>
              </w:rPr>
              <w:t xml:space="preserve"> </w:t>
            </w:r>
            <w:r>
              <w:rPr>
                <w:sz w:val="16"/>
              </w:rPr>
              <w:t>linked</w:t>
            </w:r>
            <w:r>
              <w:rPr>
                <w:spacing w:val="-5"/>
                <w:sz w:val="16"/>
              </w:rPr>
              <w:t xml:space="preserve"> </w:t>
            </w:r>
            <w:r>
              <w:rPr>
                <w:sz w:val="16"/>
              </w:rPr>
              <w:t>to</w:t>
            </w:r>
            <w:r>
              <w:rPr>
                <w:spacing w:val="-4"/>
                <w:sz w:val="16"/>
              </w:rPr>
              <w:t xml:space="preserve"> </w:t>
            </w:r>
            <w:r>
              <w:rPr>
                <w:sz w:val="16"/>
              </w:rPr>
              <w:t>the</w:t>
            </w:r>
            <w:r>
              <w:rPr>
                <w:spacing w:val="-6"/>
                <w:sz w:val="16"/>
              </w:rPr>
              <w:t xml:space="preserve"> </w:t>
            </w:r>
            <w:r>
              <w:rPr>
                <w:sz w:val="16"/>
              </w:rPr>
              <w:t>process</w:t>
            </w:r>
            <w:r>
              <w:rPr>
                <w:spacing w:val="-37"/>
                <w:sz w:val="16"/>
              </w:rPr>
              <w:t xml:space="preserve"> </w:t>
            </w:r>
            <w:r>
              <w:rPr>
                <w:sz w:val="16"/>
              </w:rPr>
              <w:t>of linking measures to the objectives set out in</w:t>
            </w:r>
            <w:r>
              <w:rPr>
                <w:spacing w:val="-37"/>
                <w:sz w:val="16"/>
              </w:rPr>
              <w:t xml:space="preserve"> </w:t>
            </w:r>
            <w:r>
              <w:rPr>
                <w:sz w:val="16"/>
              </w:rPr>
              <w:t>the national strategy papers and reforms, the</w:t>
            </w:r>
            <w:r>
              <w:rPr>
                <w:spacing w:val="1"/>
                <w:sz w:val="16"/>
              </w:rPr>
              <w:t xml:space="preserve"> </w:t>
            </w:r>
            <w:r>
              <w:rPr>
                <w:sz w:val="16"/>
              </w:rPr>
              <w:t>timeliness</w:t>
            </w:r>
            <w:r>
              <w:rPr>
                <w:spacing w:val="-1"/>
                <w:sz w:val="16"/>
              </w:rPr>
              <w:t xml:space="preserve"> </w:t>
            </w:r>
            <w:r>
              <w:rPr>
                <w:sz w:val="16"/>
              </w:rPr>
              <w:t>of</w:t>
            </w:r>
            <w:r>
              <w:rPr>
                <w:spacing w:val="-2"/>
                <w:sz w:val="16"/>
              </w:rPr>
              <w:t xml:space="preserve"> </w:t>
            </w:r>
            <w:r>
              <w:rPr>
                <w:sz w:val="16"/>
              </w:rPr>
              <w:t>the</w:t>
            </w:r>
            <w:r>
              <w:rPr>
                <w:spacing w:val="-3"/>
                <w:sz w:val="16"/>
              </w:rPr>
              <w:t xml:space="preserve"> </w:t>
            </w:r>
            <w:r>
              <w:rPr>
                <w:sz w:val="16"/>
              </w:rPr>
              <w:t>data,</w:t>
            </w:r>
            <w:r>
              <w:rPr>
                <w:spacing w:val="-2"/>
                <w:sz w:val="16"/>
              </w:rPr>
              <w:t xml:space="preserve"> </w:t>
            </w:r>
            <w:r>
              <w:rPr>
                <w:sz w:val="16"/>
              </w:rPr>
              <w:t>and</w:t>
            </w:r>
            <w:r>
              <w:rPr>
                <w:spacing w:val="-2"/>
                <w:sz w:val="16"/>
              </w:rPr>
              <w:t xml:space="preserve"> </w:t>
            </w:r>
            <w:r>
              <w:rPr>
                <w:sz w:val="16"/>
              </w:rPr>
              <w:t>to improve</w:t>
            </w:r>
            <w:r>
              <w:rPr>
                <w:spacing w:val="-3"/>
                <w:sz w:val="16"/>
              </w:rPr>
              <w:t xml:space="preserve"> </w:t>
            </w:r>
            <w:r>
              <w:rPr>
                <w:sz w:val="16"/>
              </w:rPr>
              <w:t>the</w:t>
            </w:r>
          </w:p>
          <w:p w:rsidR="00A56FE9" w:rsidRDefault="00000000">
            <w:pPr>
              <w:pStyle w:val="TableParagraph"/>
              <w:spacing w:line="168" w:lineRule="exact"/>
              <w:ind w:left="57"/>
              <w:rPr>
                <w:sz w:val="16"/>
              </w:rPr>
            </w:pPr>
            <w:r>
              <w:rPr>
                <w:sz w:val="16"/>
              </w:rPr>
              <w:t>monitoring</w:t>
            </w:r>
            <w:r>
              <w:rPr>
                <w:spacing w:val="-5"/>
                <w:sz w:val="16"/>
              </w:rPr>
              <w:t xml:space="preserve"> </w:t>
            </w:r>
            <w:r>
              <w:rPr>
                <w:sz w:val="16"/>
              </w:rPr>
              <w:t>of</w:t>
            </w:r>
            <w:r>
              <w:rPr>
                <w:spacing w:val="-4"/>
                <w:sz w:val="16"/>
              </w:rPr>
              <w:t xml:space="preserve"> </w:t>
            </w:r>
            <w:r>
              <w:rPr>
                <w:sz w:val="16"/>
              </w:rPr>
              <w:t>health</w:t>
            </w:r>
            <w:r>
              <w:rPr>
                <w:spacing w:val="-3"/>
                <w:sz w:val="16"/>
              </w:rPr>
              <w:t xml:space="preserve"> </w:t>
            </w:r>
            <w:r>
              <w:rPr>
                <w:sz w:val="16"/>
              </w:rPr>
              <w:t>outcomes.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239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84</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75"/>
              <w:jc w:val="right"/>
              <w:rPr>
                <w:sz w:val="16"/>
              </w:rPr>
            </w:pPr>
            <w:r>
              <w:rPr>
                <w:sz w:val="16"/>
              </w:rPr>
              <w:t>323</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2020.CSR1</w:t>
            </w:r>
          </w:p>
          <w:p w:rsidR="00A56FE9" w:rsidRDefault="00000000">
            <w:pPr>
              <w:pStyle w:val="TableParagraph"/>
              <w:spacing w:line="183" w:lineRule="exact"/>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5</w:t>
            </w:r>
            <w:r>
              <w:rPr>
                <w:spacing w:val="1"/>
                <w:sz w:val="16"/>
              </w:rPr>
              <w:t xml:space="preserve"> </w:t>
            </w:r>
            <w:r>
              <w:rPr>
                <w:sz w:val="16"/>
              </w:rPr>
              <w:t>-</w:t>
            </w:r>
            <w:r>
              <w:rPr>
                <w:spacing w:val="-1"/>
                <w:sz w:val="16"/>
              </w:rPr>
              <w:t xml:space="preserve"> </w:t>
            </w:r>
            <w:r>
              <w:rPr>
                <w:sz w:val="16"/>
              </w:rPr>
              <w:t>HEALTH</w:t>
            </w:r>
            <w:r>
              <w:rPr>
                <w:spacing w:val="-2"/>
                <w:sz w:val="16"/>
              </w:rPr>
              <w:t xml:space="preserve"> </w:t>
            </w:r>
            <w:r>
              <w:rPr>
                <w:sz w:val="16"/>
              </w:rPr>
              <w:t>CARE -</w:t>
            </w:r>
          </w:p>
          <w:p w:rsidR="00A56FE9" w:rsidRDefault="00000000">
            <w:pPr>
              <w:pStyle w:val="TableParagraph"/>
              <w:ind w:left="50" w:right="104"/>
              <w:rPr>
                <w:sz w:val="16"/>
              </w:rPr>
            </w:pPr>
            <w:r>
              <w:rPr>
                <w:sz w:val="16"/>
              </w:rPr>
              <w:t>C5.1. R1-I4 Digital</w:t>
            </w:r>
            <w:r>
              <w:rPr>
                <w:spacing w:val="1"/>
                <w:sz w:val="16"/>
              </w:rPr>
              <w:t xml:space="preserve"> </w:t>
            </w:r>
            <w:r>
              <w:rPr>
                <w:sz w:val="16"/>
              </w:rPr>
              <w:t>imaging diagnostics KBC</w:t>
            </w:r>
            <w:r>
              <w:rPr>
                <w:spacing w:val="-37"/>
                <w:sz w:val="16"/>
              </w:rPr>
              <w:t xml:space="preserve"> </w:t>
            </w:r>
            <w:r>
              <w:rPr>
                <w:sz w:val="16"/>
              </w:rPr>
              <w:t>Split</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63"/>
              <w:rPr>
                <w:sz w:val="16"/>
              </w:rPr>
            </w:pPr>
            <w:r>
              <w:rPr>
                <w:sz w:val="16"/>
              </w:rPr>
              <w:t>Modernisation of health</w:t>
            </w:r>
            <w:r>
              <w:rPr>
                <w:spacing w:val="-37"/>
                <w:sz w:val="16"/>
              </w:rPr>
              <w:t xml:space="preserve"> </w:t>
            </w:r>
            <w:r>
              <w:rPr>
                <w:sz w:val="16"/>
              </w:rPr>
              <w:t>services in Clinical</w:t>
            </w:r>
            <w:r>
              <w:rPr>
                <w:spacing w:val="1"/>
                <w:sz w:val="16"/>
              </w:rPr>
              <w:t xml:space="preserve"> </w:t>
            </w:r>
            <w:r>
              <w:rPr>
                <w:sz w:val="16"/>
              </w:rPr>
              <w:t>Hospital Centre KBC</w:t>
            </w:r>
            <w:r>
              <w:rPr>
                <w:spacing w:val="1"/>
                <w:sz w:val="16"/>
              </w:rPr>
              <w:t xml:space="preserve"> </w:t>
            </w:r>
            <w:r>
              <w:rPr>
                <w:sz w:val="16"/>
              </w:rPr>
              <w:t>Split</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05"/>
              <w:rPr>
                <w:sz w:val="16"/>
              </w:rPr>
            </w:pPr>
            <w:r>
              <w:rPr>
                <w:sz w:val="16"/>
              </w:rPr>
              <w:t>Purchased</w:t>
            </w:r>
            <w:r>
              <w:rPr>
                <w:spacing w:val="1"/>
                <w:sz w:val="16"/>
              </w:rPr>
              <w:t xml:space="preserve"> </w:t>
            </w:r>
            <w:r>
              <w:rPr>
                <w:spacing w:val="-1"/>
                <w:sz w:val="16"/>
              </w:rPr>
              <w:t xml:space="preserve">equipment </w:t>
            </w:r>
            <w:r>
              <w:rPr>
                <w:sz w:val="16"/>
              </w:rPr>
              <w:t>for</w:t>
            </w:r>
            <w:r>
              <w:rPr>
                <w:spacing w:val="-37"/>
                <w:sz w:val="16"/>
              </w:rPr>
              <w:t xml:space="preserve"> </w:t>
            </w:r>
            <w:r>
              <w:rPr>
                <w:sz w:val="16"/>
              </w:rPr>
              <w:t>the Clinical</w:t>
            </w:r>
            <w:r>
              <w:rPr>
                <w:spacing w:val="1"/>
                <w:sz w:val="16"/>
              </w:rPr>
              <w:t xml:space="preserve"> </w:t>
            </w:r>
            <w:r>
              <w:rPr>
                <w:sz w:val="16"/>
              </w:rPr>
              <w:t>Institute for</w:t>
            </w:r>
            <w:r>
              <w:rPr>
                <w:spacing w:val="1"/>
                <w:sz w:val="16"/>
              </w:rPr>
              <w:t xml:space="preserve"> </w:t>
            </w:r>
            <w:r>
              <w:rPr>
                <w:sz w:val="16"/>
              </w:rPr>
              <w:t>Diagnostic</w:t>
            </w:r>
            <w:r>
              <w:rPr>
                <w:spacing w:val="1"/>
                <w:sz w:val="16"/>
              </w:rPr>
              <w:t xml:space="preserve"> </w:t>
            </w:r>
            <w:r>
              <w:rPr>
                <w:sz w:val="16"/>
              </w:rPr>
              <w:t>and</w:t>
            </w:r>
            <w:r>
              <w:rPr>
                <w:spacing w:val="1"/>
                <w:sz w:val="16"/>
              </w:rPr>
              <w:t xml:space="preserve"> </w:t>
            </w:r>
            <w:r>
              <w:rPr>
                <w:sz w:val="16"/>
              </w:rPr>
              <w:t>Intervention</w:t>
            </w:r>
            <w:r>
              <w:rPr>
                <w:spacing w:val="1"/>
                <w:sz w:val="16"/>
              </w:rPr>
              <w:t xml:space="preserve"> </w:t>
            </w:r>
            <w:r>
              <w:rPr>
                <w:sz w:val="16"/>
              </w:rPr>
              <w:t>Radiology</w:t>
            </w:r>
            <w:r>
              <w:rPr>
                <w:spacing w:val="1"/>
                <w:sz w:val="16"/>
              </w:rPr>
              <w:t xml:space="preserve"> </w:t>
            </w:r>
            <w:r>
              <w:rPr>
                <w:sz w:val="16"/>
              </w:rPr>
              <w:t>KBC Split</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KBC</w:t>
            </w:r>
            <w:r>
              <w:rPr>
                <w:spacing w:val="-1"/>
                <w:sz w:val="16"/>
              </w:rPr>
              <w:t xml:space="preserve"> </w:t>
            </w:r>
            <w:r>
              <w:rPr>
                <w:sz w:val="16"/>
              </w:rPr>
              <w:t>Split</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6"/>
              <w:rPr>
                <w:sz w:val="16"/>
              </w:rPr>
            </w:pPr>
            <w:r>
              <w:rPr>
                <w:sz w:val="16"/>
              </w:rPr>
              <w:t>Installing of equipment for the Clinical</w:t>
            </w:r>
            <w:r>
              <w:rPr>
                <w:spacing w:val="1"/>
                <w:sz w:val="16"/>
              </w:rPr>
              <w:t xml:space="preserve"> </w:t>
            </w:r>
            <w:r>
              <w:rPr>
                <w:sz w:val="16"/>
              </w:rPr>
              <w:t>Institute for Diagnostic and Intervention</w:t>
            </w:r>
            <w:r>
              <w:rPr>
                <w:spacing w:val="1"/>
                <w:sz w:val="16"/>
              </w:rPr>
              <w:t xml:space="preserve"> </w:t>
            </w:r>
            <w:r>
              <w:rPr>
                <w:sz w:val="16"/>
              </w:rPr>
              <w:t>Radiology and at the Clinical Nuclear</w:t>
            </w:r>
            <w:r>
              <w:rPr>
                <w:spacing w:val="1"/>
                <w:sz w:val="16"/>
              </w:rPr>
              <w:t xml:space="preserve"> </w:t>
            </w:r>
            <w:r>
              <w:rPr>
                <w:sz w:val="16"/>
              </w:rPr>
              <w:t>Medicine Institute and construction and</w:t>
            </w:r>
            <w:r>
              <w:rPr>
                <w:spacing w:val="1"/>
                <w:sz w:val="16"/>
              </w:rPr>
              <w:t xml:space="preserve"> </w:t>
            </w:r>
            <w:r>
              <w:rPr>
                <w:sz w:val="16"/>
              </w:rPr>
              <w:t>equipment of a hybrid endoscopic room at the</w:t>
            </w:r>
            <w:r>
              <w:rPr>
                <w:spacing w:val="-37"/>
                <w:sz w:val="16"/>
              </w:rPr>
              <w:t xml:space="preserve"> </w:t>
            </w:r>
            <w:r>
              <w:rPr>
                <w:sz w:val="16"/>
              </w:rPr>
              <w:t>Gastroenterology Institute, to allow for the</w:t>
            </w:r>
            <w:r>
              <w:rPr>
                <w:spacing w:val="1"/>
                <w:sz w:val="16"/>
              </w:rPr>
              <w:t xml:space="preserve"> </w:t>
            </w:r>
            <w:r>
              <w:rPr>
                <w:sz w:val="16"/>
              </w:rPr>
              <w:t>introduction</w:t>
            </w:r>
            <w:r>
              <w:rPr>
                <w:spacing w:val="-4"/>
                <w:sz w:val="16"/>
              </w:rPr>
              <w:t xml:space="preserve"> </w:t>
            </w:r>
            <w:r>
              <w:rPr>
                <w:sz w:val="16"/>
              </w:rPr>
              <w:t>of</w:t>
            </w:r>
            <w:r>
              <w:rPr>
                <w:spacing w:val="-6"/>
                <w:sz w:val="16"/>
              </w:rPr>
              <w:t xml:space="preserve"> </w:t>
            </w:r>
            <w:r>
              <w:rPr>
                <w:sz w:val="16"/>
              </w:rPr>
              <w:t>new</w:t>
            </w:r>
            <w:r>
              <w:rPr>
                <w:spacing w:val="-7"/>
                <w:sz w:val="16"/>
              </w:rPr>
              <w:t xml:space="preserve"> </w:t>
            </w:r>
            <w:r>
              <w:rPr>
                <w:sz w:val="16"/>
              </w:rPr>
              <w:t>diagnostic</w:t>
            </w:r>
            <w:r>
              <w:rPr>
                <w:spacing w:val="-6"/>
                <w:sz w:val="16"/>
              </w:rPr>
              <w:t xml:space="preserve"> </w:t>
            </w:r>
            <w:r>
              <w:rPr>
                <w:sz w:val="16"/>
              </w:rPr>
              <w:t>and</w:t>
            </w:r>
            <w:r>
              <w:rPr>
                <w:spacing w:val="-3"/>
                <w:sz w:val="16"/>
              </w:rPr>
              <w:t xml:space="preserve"> </w:t>
            </w:r>
            <w:r>
              <w:rPr>
                <w:sz w:val="16"/>
              </w:rPr>
              <w:t>therapeutic</w:t>
            </w:r>
            <w:r>
              <w:rPr>
                <w:spacing w:val="-37"/>
                <w:sz w:val="16"/>
              </w:rPr>
              <w:t xml:space="preserve"> </w:t>
            </w:r>
            <w:r>
              <w:rPr>
                <w:sz w:val="16"/>
              </w:rPr>
              <w:t>procedures in Clinical Hospital Centre KBC</w:t>
            </w:r>
            <w:r>
              <w:rPr>
                <w:spacing w:val="1"/>
                <w:sz w:val="16"/>
              </w:rPr>
              <w:t xml:space="preserve"> </w:t>
            </w:r>
            <w:r>
              <w:rPr>
                <w:sz w:val="16"/>
              </w:rPr>
              <w:t>Split. The installed equipment shall be at least</w:t>
            </w:r>
            <w:r>
              <w:rPr>
                <w:spacing w:val="-37"/>
                <w:sz w:val="16"/>
              </w:rPr>
              <w:t xml:space="preserve"> </w:t>
            </w:r>
            <w:r>
              <w:rPr>
                <w:sz w:val="16"/>
              </w:rPr>
              <w:t>magnetic resonance 3T, neurointervention</w:t>
            </w:r>
            <w:r>
              <w:rPr>
                <w:spacing w:val="1"/>
                <w:sz w:val="16"/>
              </w:rPr>
              <w:t xml:space="preserve"> </w:t>
            </w:r>
            <w:r>
              <w:rPr>
                <w:sz w:val="16"/>
              </w:rPr>
              <w:t>digital DSA angio room, digital diascopic X-</w:t>
            </w:r>
            <w:r>
              <w:rPr>
                <w:spacing w:val="1"/>
                <w:sz w:val="16"/>
              </w:rPr>
              <w:t xml:space="preserve"> </w:t>
            </w:r>
            <w:r>
              <w:rPr>
                <w:sz w:val="16"/>
              </w:rPr>
              <w:t>ray</w:t>
            </w:r>
            <w:r>
              <w:rPr>
                <w:spacing w:val="-6"/>
                <w:sz w:val="16"/>
              </w:rPr>
              <w:t xml:space="preserve"> </w:t>
            </w:r>
            <w:r>
              <w:rPr>
                <w:sz w:val="16"/>
              </w:rPr>
              <w:t>machine,</w:t>
            </w:r>
            <w:r>
              <w:rPr>
                <w:spacing w:val="-2"/>
                <w:sz w:val="16"/>
              </w:rPr>
              <w:t xml:space="preserve"> </w:t>
            </w:r>
            <w:r>
              <w:rPr>
                <w:sz w:val="16"/>
              </w:rPr>
              <w:t>endoscopic</w:t>
            </w:r>
            <w:r>
              <w:rPr>
                <w:spacing w:val="-2"/>
                <w:sz w:val="16"/>
              </w:rPr>
              <w:t xml:space="preserve"> </w:t>
            </w:r>
            <w:r>
              <w:rPr>
                <w:sz w:val="16"/>
              </w:rPr>
              <w:t>gastroenterological</w:t>
            </w:r>
          </w:p>
          <w:p w:rsidR="00A56FE9" w:rsidRDefault="00000000">
            <w:pPr>
              <w:pStyle w:val="TableParagraph"/>
              <w:spacing w:line="166" w:lineRule="exact"/>
              <w:ind w:left="57"/>
              <w:rPr>
                <w:sz w:val="16"/>
              </w:rPr>
            </w:pPr>
            <w:r>
              <w:rPr>
                <w:sz w:val="16"/>
              </w:rPr>
              <w:t>room.</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304"/>
              <w:rPr>
                <w:sz w:val="16"/>
              </w:rPr>
            </w:pPr>
            <w:r>
              <w:rPr>
                <w:sz w:val="16"/>
              </w:rPr>
              <w:t>40,248,750</w:t>
            </w:r>
          </w:p>
        </w:tc>
      </w:tr>
      <w:tr w:rsidR="00A56FE9">
        <w:trPr>
          <w:trHeight w:val="1473"/>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85</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75"/>
              <w:jc w:val="right"/>
              <w:rPr>
                <w:sz w:val="16"/>
              </w:rPr>
            </w:pPr>
            <w:r>
              <w:rPr>
                <w:sz w:val="16"/>
              </w:rPr>
              <w:t>336</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2019.CSR1</w:t>
            </w:r>
          </w:p>
          <w:p w:rsidR="00A56FE9" w:rsidRDefault="00000000">
            <w:pPr>
              <w:pStyle w:val="TableParagraph"/>
              <w:spacing w:before="1"/>
              <w:ind w:left="50" w:right="38"/>
              <w:rPr>
                <w:sz w:val="16"/>
              </w:rPr>
            </w:pPr>
            <w:r>
              <w:rPr>
                <w:sz w:val="16"/>
              </w:rPr>
              <w:t>.subpart1,</w:t>
            </w:r>
            <w:r>
              <w:rPr>
                <w:spacing w:val="1"/>
                <w:sz w:val="16"/>
              </w:rPr>
              <w:t xml:space="preserve"> </w:t>
            </w:r>
            <w:r>
              <w:rPr>
                <w:spacing w:val="-1"/>
                <w:sz w:val="16"/>
              </w:rPr>
              <w:t>2019.CSR1</w:t>
            </w:r>
          </w:p>
          <w:p w:rsidR="00A56FE9" w:rsidRDefault="00000000">
            <w:pPr>
              <w:pStyle w:val="TableParagraph"/>
              <w:ind w:left="50" w:right="38"/>
              <w:rPr>
                <w:sz w:val="16"/>
              </w:rPr>
            </w:pPr>
            <w:r>
              <w:rPr>
                <w:sz w:val="16"/>
              </w:rPr>
              <w:t>.subpart2,</w:t>
            </w:r>
            <w:r>
              <w:rPr>
                <w:spacing w:val="1"/>
                <w:sz w:val="16"/>
              </w:rPr>
              <w:t xml:space="preserve"> </w:t>
            </w:r>
            <w:r>
              <w:rPr>
                <w:spacing w:val="-1"/>
                <w:sz w:val="16"/>
              </w:rPr>
              <w:t>2020.CSR1</w:t>
            </w:r>
          </w:p>
          <w:p w:rsidR="00A56FE9" w:rsidRDefault="00000000">
            <w:pPr>
              <w:pStyle w:val="TableParagraph"/>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5</w:t>
            </w:r>
            <w:r>
              <w:rPr>
                <w:spacing w:val="1"/>
                <w:sz w:val="16"/>
              </w:rPr>
              <w:t xml:space="preserve"> </w:t>
            </w:r>
            <w:r>
              <w:rPr>
                <w:sz w:val="16"/>
              </w:rPr>
              <w:t>-</w:t>
            </w:r>
            <w:r>
              <w:rPr>
                <w:spacing w:val="-1"/>
                <w:sz w:val="16"/>
              </w:rPr>
              <w:t xml:space="preserve"> </w:t>
            </w:r>
            <w:r>
              <w:rPr>
                <w:sz w:val="16"/>
              </w:rPr>
              <w:t>HEALTH</w:t>
            </w:r>
            <w:r>
              <w:rPr>
                <w:spacing w:val="-2"/>
                <w:sz w:val="16"/>
              </w:rPr>
              <w:t xml:space="preserve"> </w:t>
            </w:r>
            <w:r>
              <w:rPr>
                <w:sz w:val="16"/>
              </w:rPr>
              <w:t>CARE -</w:t>
            </w:r>
          </w:p>
          <w:p w:rsidR="00A56FE9" w:rsidRDefault="00000000">
            <w:pPr>
              <w:pStyle w:val="TableParagraph"/>
              <w:spacing w:before="1"/>
              <w:ind w:left="50" w:right="146"/>
              <w:rPr>
                <w:sz w:val="16"/>
              </w:rPr>
            </w:pPr>
            <w:r>
              <w:rPr>
                <w:sz w:val="16"/>
              </w:rPr>
              <w:t>C5.1. R4 Ensuring the</w:t>
            </w:r>
            <w:r>
              <w:rPr>
                <w:spacing w:val="1"/>
                <w:sz w:val="16"/>
              </w:rPr>
              <w:t xml:space="preserve"> </w:t>
            </w:r>
            <w:r>
              <w:rPr>
                <w:sz w:val="16"/>
              </w:rPr>
              <w:t>financial</w:t>
            </w:r>
            <w:r>
              <w:rPr>
                <w:spacing w:val="-7"/>
                <w:sz w:val="16"/>
              </w:rPr>
              <w:t xml:space="preserve"> </w:t>
            </w:r>
            <w:r>
              <w:rPr>
                <w:sz w:val="16"/>
              </w:rPr>
              <w:t>sustainability</w:t>
            </w:r>
            <w:r>
              <w:rPr>
                <w:spacing w:val="-8"/>
                <w:sz w:val="16"/>
              </w:rPr>
              <w:t xml:space="preserve"> </w:t>
            </w:r>
            <w:r>
              <w:rPr>
                <w:sz w:val="16"/>
              </w:rPr>
              <w:t>of</w:t>
            </w:r>
            <w:r>
              <w:rPr>
                <w:spacing w:val="-37"/>
                <w:sz w:val="16"/>
              </w:rPr>
              <w:t xml:space="preserve"> </w:t>
            </w:r>
            <w:r>
              <w:rPr>
                <w:sz w:val="16"/>
              </w:rPr>
              <w:t>the</w:t>
            </w:r>
            <w:r>
              <w:rPr>
                <w:spacing w:val="-5"/>
                <w:sz w:val="16"/>
              </w:rPr>
              <w:t xml:space="preserve"> </w:t>
            </w:r>
            <w:r>
              <w:rPr>
                <w:sz w:val="16"/>
              </w:rPr>
              <w:t>health</w:t>
            </w:r>
            <w:r>
              <w:rPr>
                <w:spacing w:val="1"/>
                <w:sz w:val="16"/>
              </w:rPr>
              <w:t xml:space="preserve"> </w:t>
            </w:r>
            <w:r>
              <w:rPr>
                <w:sz w:val="16"/>
              </w:rPr>
              <w:t>system</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390"/>
              <w:rPr>
                <w:sz w:val="16"/>
              </w:rPr>
            </w:pPr>
            <w:r>
              <w:rPr>
                <w:sz w:val="16"/>
              </w:rPr>
              <w:t>Amendment of the</w:t>
            </w:r>
            <w:r>
              <w:rPr>
                <w:spacing w:val="1"/>
                <w:sz w:val="16"/>
              </w:rPr>
              <w:t xml:space="preserve"> </w:t>
            </w:r>
            <w:r>
              <w:rPr>
                <w:sz w:val="16"/>
              </w:rPr>
              <w:t>Health Care Act and</w:t>
            </w:r>
            <w:r>
              <w:rPr>
                <w:spacing w:val="-38"/>
                <w:sz w:val="16"/>
              </w:rPr>
              <w:t xml:space="preserve"> </w:t>
            </w:r>
            <w:r>
              <w:rPr>
                <w:sz w:val="16"/>
              </w:rPr>
              <w:t>Compulsory Health</w:t>
            </w:r>
            <w:r>
              <w:rPr>
                <w:spacing w:val="1"/>
                <w:sz w:val="16"/>
              </w:rPr>
              <w:t xml:space="preserve"> </w:t>
            </w:r>
            <w:r>
              <w:rPr>
                <w:sz w:val="16"/>
              </w:rPr>
              <w:t>Insurance</w:t>
            </w:r>
            <w:r>
              <w:rPr>
                <w:spacing w:val="-2"/>
                <w:sz w:val="16"/>
              </w:rPr>
              <w:t xml:space="preserve"> </w:t>
            </w:r>
            <w:r>
              <w:rPr>
                <w:sz w:val="16"/>
              </w:rPr>
              <w:t>Act</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95"/>
              <w:rPr>
                <w:sz w:val="16"/>
              </w:rPr>
            </w:pPr>
            <w:r>
              <w:rPr>
                <w:sz w:val="16"/>
              </w:rPr>
              <w:t>Entry into</w:t>
            </w:r>
            <w:r>
              <w:rPr>
                <w:spacing w:val="1"/>
                <w:sz w:val="16"/>
              </w:rPr>
              <w:t xml:space="preserve"> </w:t>
            </w:r>
            <w:r>
              <w:rPr>
                <w:sz w:val="16"/>
              </w:rPr>
              <w:t>force of the</w:t>
            </w:r>
            <w:r>
              <w:rPr>
                <w:spacing w:val="1"/>
                <w:sz w:val="16"/>
              </w:rPr>
              <w:t xml:space="preserve"> </w:t>
            </w:r>
            <w:r>
              <w:rPr>
                <w:sz w:val="16"/>
              </w:rPr>
              <w:t>Acts</w:t>
            </w:r>
            <w:r>
              <w:rPr>
                <w:spacing w:val="1"/>
                <w:sz w:val="16"/>
              </w:rPr>
              <w:t xml:space="preserve"> </w:t>
            </w:r>
            <w:r>
              <w:rPr>
                <w:spacing w:val="-1"/>
                <w:sz w:val="16"/>
              </w:rPr>
              <w:t xml:space="preserve">Amending </w:t>
            </w:r>
            <w:r>
              <w:rPr>
                <w:sz w:val="16"/>
              </w:rPr>
              <w:t>the</w:t>
            </w:r>
            <w:r>
              <w:rPr>
                <w:spacing w:val="-37"/>
                <w:sz w:val="16"/>
              </w:rPr>
              <w:t xml:space="preserve"> </w:t>
            </w:r>
            <w:r>
              <w:rPr>
                <w:sz w:val="16"/>
              </w:rPr>
              <w:t>Health Care</w:t>
            </w:r>
            <w:r>
              <w:rPr>
                <w:spacing w:val="1"/>
                <w:sz w:val="16"/>
              </w:rPr>
              <w:t xml:space="preserve"> </w:t>
            </w:r>
            <w:r>
              <w:rPr>
                <w:sz w:val="16"/>
              </w:rPr>
              <w:t>Act and the</w:t>
            </w:r>
            <w:r>
              <w:rPr>
                <w:spacing w:val="1"/>
                <w:sz w:val="16"/>
              </w:rPr>
              <w:t xml:space="preserve"> </w:t>
            </w:r>
            <w:r>
              <w:rPr>
                <w:sz w:val="16"/>
              </w:rPr>
              <w:t>Compulsory</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MH</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33"/>
              <w:rPr>
                <w:sz w:val="16"/>
              </w:rPr>
            </w:pPr>
            <w:r>
              <w:rPr>
                <w:sz w:val="16"/>
              </w:rPr>
              <w:t>The amendments to the Health Care Act shall</w:t>
            </w:r>
            <w:r>
              <w:rPr>
                <w:spacing w:val="1"/>
                <w:sz w:val="16"/>
              </w:rPr>
              <w:t xml:space="preserve"> </w:t>
            </w:r>
            <w:r>
              <w:rPr>
                <w:sz w:val="16"/>
              </w:rPr>
              <w:t>allow the new Joint Procurement Decision to</w:t>
            </w:r>
            <w:r>
              <w:rPr>
                <w:spacing w:val="1"/>
                <w:sz w:val="16"/>
              </w:rPr>
              <w:t xml:space="preserve"> </w:t>
            </w:r>
            <w:r>
              <w:rPr>
                <w:sz w:val="16"/>
              </w:rPr>
              <w:t>be binding also on those health institutions</w:t>
            </w:r>
            <w:r>
              <w:rPr>
                <w:spacing w:val="1"/>
                <w:sz w:val="16"/>
              </w:rPr>
              <w:t xml:space="preserve"> </w:t>
            </w:r>
            <w:r>
              <w:rPr>
                <w:sz w:val="16"/>
              </w:rPr>
              <w:t>whose participation has so far been voluntary</w:t>
            </w:r>
            <w:r>
              <w:rPr>
                <w:spacing w:val="1"/>
                <w:sz w:val="16"/>
              </w:rPr>
              <w:t xml:space="preserve"> </w:t>
            </w:r>
            <w:r>
              <w:rPr>
                <w:sz w:val="16"/>
              </w:rPr>
              <w:t>and shall consequently increase the number of</w:t>
            </w:r>
            <w:r>
              <w:rPr>
                <w:spacing w:val="1"/>
                <w:sz w:val="16"/>
              </w:rPr>
              <w:t xml:space="preserve"> </w:t>
            </w:r>
            <w:r>
              <w:rPr>
                <w:sz w:val="16"/>
              </w:rPr>
              <w:t>stakeholders</w:t>
            </w:r>
            <w:r>
              <w:rPr>
                <w:spacing w:val="-4"/>
                <w:sz w:val="16"/>
              </w:rPr>
              <w:t xml:space="preserve"> </w:t>
            </w:r>
            <w:r>
              <w:rPr>
                <w:sz w:val="16"/>
              </w:rPr>
              <w:t>covered</w:t>
            </w:r>
            <w:r>
              <w:rPr>
                <w:spacing w:val="-3"/>
                <w:sz w:val="16"/>
              </w:rPr>
              <w:t xml:space="preserve"> </w:t>
            </w:r>
            <w:r>
              <w:rPr>
                <w:sz w:val="16"/>
              </w:rPr>
              <w:t>by</w:t>
            </w:r>
            <w:r>
              <w:rPr>
                <w:spacing w:val="-7"/>
                <w:sz w:val="16"/>
              </w:rPr>
              <w:t xml:space="preserve"> </w:t>
            </w:r>
            <w:r>
              <w:rPr>
                <w:sz w:val="16"/>
              </w:rPr>
              <w:t>the</w:t>
            </w:r>
            <w:r>
              <w:rPr>
                <w:spacing w:val="-5"/>
                <w:sz w:val="16"/>
              </w:rPr>
              <w:t xml:space="preserve"> </w:t>
            </w:r>
            <w:r>
              <w:rPr>
                <w:sz w:val="16"/>
              </w:rPr>
              <w:t>joint</w:t>
            </w:r>
            <w:r>
              <w:rPr>
                <w:spacing w:val="-5"/>
                <w:sz w:val="16"/>
              </w:rPr>
              <w:t xml:space="preserve"> </w:t>
            </w:r>
            <w:r>
              <w:rPr>
                <w:sz w:val="16"/>
              </w:rPr>
              <w:t>procurement.</w:t>
            </w:r>
          </w:p>
          <w:p w:rsidR="00A56FE9" w:rsidRDefault="00000000">
            <w:pPr>
              <w:pStyle w:val="TableParagraph"/>
              <w:spacing w:line="184" w:lineRule="exact"/>
              <w:ind w:left="57" w:right="180"/>
              <w:rPr>
                <w:sz w:val="16"/>
              </w:rPr>
            </w:pPr>
            <w:r>
              <w:rPr>
                <w:sz w:val="16"/>
              </w:rPr>
              <w:t>-The Single Office for Emergency Medicine</w:t>
            </w:r>
            <w:r>
              <w:rPr>
                <w:spacing w:val="-38"/>
                <w:sz w:val="16"/>
              </w:rPr>
              <w:t xml:space="preserve"> </w:t>
            </w:r>
            <w:r>
              <w:rPr>
                <w:sz w:val="16"/>
              </w:rPr>
              <w:t>improves</w:t>
            </w:r>
            <w:r>
              <w:rPr>
                <w:spacing w:val="-2"/>
                <w:sz w:val="16"/>
              </w:rPr>
              <w:t xml:space="preserve"> </w:t>
            </w:r>
            <w:r>
              <w:rPr>
                <w:sz w:val="16"/>
              </w:rPr>
              <w:t>the</w:t>
            </w:r>
            <w:r>
              <w:rPr>
                <w:spacing w:val="-3"/>
                <w:sz w:val="16"/>
              </w:rPr>
              <w:t xml:space="preserve"> </w:t>
            </w:r>
            <w:r>
              <w:rPr>
                <w:sz w:val="16"/>
              </w:rPr>
              <w:t>organisation</w:t>
            </w:r>
            <w:r>
              <w:rPr>
                <w:spacing w:val="-2"/>
                <w:sz w:val="16"/>
              </w:rPr>
              <w:t xml:space="preserve"> </w:t>
            </w:r>
            <w:r>
              <w:rPr>
                <w:sz w:val="16"/>
              </w:rPr>
              <w:t>of</w:t>
            </w:r>
            <w:r>
              <w:rPr>
                <w:spacing w:val="-3"/>
                <w:sz w:val="16"/>
              </w:rPr>
              <w:t xml:space="preserve"> </w:t>
            </w:r>
            <w:r>
              <w:rPr>
                <w:sz w:val="16"/>
              </w:rPr>
              <w:t>emergency</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7906"/>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10"/>
              <w:rPr>
                <w:sz w:val="16"/>
              </w:rPr>
            </w:pPr>
            <w:r>
              <w:rPr>
                <w:sz w:val="16"/>
              </w:rPr>
              <w:t>Health</w:t>
            </w:r>
          </w:p>
          <w:p w:rsidR="00A56FE9" w:rsidRDefault="00000000">
            <w:pPr>
              <w:pStyle w:val="TableParagraph"/>
              <w:spacing w:before="1"/>
              <w:ind w:left="110"/>
              <w:rPr>
                <w:sz w:val="16"/>
              </w:rPr>
            </w:pPr>
            <w:r>
              <w:rPr>
                <w:sz w:val="16"/>
              </w:rPr>
              <w:t>Insurance</w:t>
            </w:r>
            <w:r>
              <w:rPr>
                <w:spacing w:val="-4"/>
                <w:sz w:val="16"/>
              </w:rPr>
              <w:t xml:space="preserve"> </w:t>
            </w:r>
            <w:r>
              <w:rPr>
                <w:sz w:val="16"/>
              </w:rPr>
              <w:t>Act</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7"/>
              <w:rPr>
                <w:sz w:val="16"/>
              </w:rPr>
            </w:pPr>
            <w:r>
              <w:rPr>
                <w:sz w:val="16"/>
              </w:rPr>
              <w:t>medicine</w:t>
            </w:r>
            <w:r>
              <w:rPr>
                <w:spacing w:val="-5"/>
                <w:sz w:val="16"/>
              </w:rPr>
              <w:t xml:space="preserve"> </w:t>
            </w:r>
            <w:r>
              <w:rPr>
                <w:sz w:val="16"/>
              </w:rPr>
              <w:t>activities</w:t>
            </w:r>
            <w:r>
              <w:rPr>
                <w:spacing w:val="-3"/>
                <w:sz w:val="16"/>
              </w:rPr>
              <w:t xml:space="preserve"> </w:t>
            </w:r>
            <w:r>
              <w:rPr>
                <w:sz w:val="16"/>
              </w:rPr>
              <w:t>and</w:t>
            </w:r>
            <w:r>
              <w:rPr>
                <w:spacing w:val="-4"/>
                <w:sz w:val="16"/>
              </w:rPr>
              <w:t xml:space="preserve"> </w:t>
            </w:r>
            <w:r>
              <w:rPr>
                <w:sz w:val="16"/>
              </w:rPr>
              <w:t>carries</w:t>
            </w:r>
            <w:r>
              <w:rPr>
                <w:spacing w:val="-4"/>
                <w:sz w:val="16"/>
              </w:rPr>
              <w:t xml:space="preserve"> </w:t>
            </w:r>
            <w:r>
              <w:rPr>
                <w:sz w:val="16"/>
              </w:rPr>
              <w:t>out</w:t>
            </w:r>
            <w:r>
              <w:rPr>
                <w:spacing w:val="-2"/>
                <w:sz w:val="16"/>
              </w:rPr>
              <w:t xml:space="preserve"> </w:t>
            </w:r>
            <w:r>
              <w:rPr>
                <w:sz w:val="16"/>
              </w:rPr>
              <w:t>operational</w:t>
            </w:r>
          </w:p>
          <w:p w:rsidR="00A56FE9" w:rsidRDefault="00000000">
            <w:pPr>
              <w:pStyle w:val="TableParagraph"/>
              <w:spacing w:before="1"/>
              <w:ind w:left="57" w:right="37"/>
              <w:rPr>
                <w:sz w:val="16"/>
              </w:rPr>
            </w:pPr>
            <w:r>
              <w:rPr>
                <w:sz w:val="16"/>
              </w:rPr>
              <w:t>tasks throughout the territory of the Republic</w:t>
            </w:r>
            <w:r>
              <w:rPr>
                <w:spacing w:val="1"/>
                <w:sz w:val="16"/>
              </w:rPr>
              <w:t xml:space="preserve"> </w:t>
            </w:r>
            <w:r>
              <w:rPr>
                <w:sz w:val="16"/>
              </w:rPr>
              <w:t>of</w:t>
            </w:r>
            <w:r>
              <w:rPr>
                <w:spacing w:val="-6"/>
                <w:sz w:val="16"/>
              </w:rPr>
              <w:t xml:space="preserve"> </w:t>
            </w:r>
            <w:r>
              <w:rPr>
                <w:sz w:val="16"/>
              </w:rPr>
              <w:t>Croatia</w:t>
            </w:r>
            <w:r>
              <w:rPr>
                <w:spacing w:val="-3"/>
                <w:sz w:val="16"/>
              </w:rPr>
              <w:t xml:space="preserve"> </w:t>
            </w:r>
            <w:r>
              <w:rPr>
                <w:sz w:val="16"/>
              </w:rPr>
              <w:t>through</w:t>
            </w:r>
            <w:r>
              <w:rPr>
                <w:spacing w:val="-5"/>
                <w:sz w:val="16"/>
              </w:rPr>
              <w:t xml:space="preserve"> </w:t>
            </w:r>
            <w:r>
              <w:rPr>
                <w:sz w:val="16"/>
              </w:rPr>
              <w:t>certain</w:t>
            </w:r>
            <w:r>
              <w:rPr>
                <w:spacing w:val="-5"/>
                <w:sz w:val="16"/>
              </w:rPr>
              <w:t xml:space="preserve"> </w:t>
            </w:r>
            <w:r>
              <w:rPr>
                <w:sz w:val="16"/>
              </w:rPr>
              <w:t>organisational</w:t>
            </w:r>
            <w:r>
              <w:rPr>
                <w:spacing w:val="-7"/>
                <w:sz w:val="16"/>
              </w:rPr>
              <w:t xml:space="preserve"> </w:t>
            </w:r>
            <w:r>
              <w:rPr>
                <w:sz w:val="16"/>
              </w:rPr>
              <w:t>units;</w:t>
            </w:r>
          </w:p>
          <w:p w:rsidR="00A56FE9" w:rsidRDefault="00000000">
            <w:pPr>
              <w:pStyle w:val="TableParagraph"/>
              <w:ind w:left="57" w:right="135"/>
              <w:rPr>
                <w:sz w:val="16"/>
              </w:rPr>
            </w:pPr>
            <w:r>
              <w:rPr>
                <w:sz w:val="16"/>
              </w:rPr>
              <w:t>-The reorganisation of the public health</w:t>
            </w:r>
            <w:r>
              <w:rPr>
                <w:spacing w:val="1"/>
                <w:sz w:val="16"/>
              </w:rPr>
              <w:t xml:space="preserve"> </w:t>
            </w:r>
            <w:r>
              <w:rPr>
                <w:sz w:val="16"/>
              </w:rPr>
              <w:t>service shall contribute to increasing</w:t>
            </w:r>
            <w:r>
              <w:rPr>
                <w:spacing w:val="1"/>
                <w:sz w:val="16"/>
              </w:rPr>
              <w:t xml:space="preserve"> </w:t>
            </w:r>
            <w:r>
              <w:rPr>
                <w:sz w:val="16"/>
              </w:rPr>
              <w:t>efficiency and strengthen the public health</w:t>
            </w:r>
            <w:r>
              <w:rPr>
                <w:spacing w:val="1"/>
                <w:sz w:val="16"/>
              </w:rPr>
              <w:t xml:space="preserve"> </w:t>
            </w:r>
            <w:r>
              <w:rPr>
                <w:sz w:val="16"/>
              </w:rPr>
              <w:t>system, with a particular focus on prevention</w:t>
            </w:r>
            <w:r>
              <w:rPr>
                <w:spacing w:val="-37"/>
                <w:sz w:val="16"/>
              </w:rPr>
              <w:t xml:space="preserve"> </w:t>
            </w:r>
            <w:r>
              <w:rPr>
                <w:sz w:val="16"/>
              </w:rPr>
              <w:t>and early diagnosis, improved response in</w:t>
            </w:r>
            <w:r>
              <w:rPr>
                <w:spacing w:val="1"/>
                <w:sz w:val="16"/>
              </w:rPr>
              <w:t xml:space="preserve"> </w:t>
            </w:r>
            <w:r>
              <w:rPr>
                <w:sz w:val="16"/>
              </w:rPr>
              <w:t>emergency and special circumstances</w:t>
            </w:r>
            <w:r>
              <w:rPr>
                <w:spacing w:val="1"/>
                <w:sz w:val="16"/>
              </w:rPr>
              <w:t xml:space="preserve"> </w:t>
            </w:r>
            <w:r>
              <w:rPr>
                <w:sz w:val="16"/>
              </w:rPr>
              <w:t>(pandemics);</w:t>
            </w:r>
          </w:p>
          <w:p w:rsidR="00A56FE9" w:rsidRDefault="00000000">
            <w:pPr>
              <w:pStyle w:val="TableParagraph"/>
              <w:ind w:left="57" w:right="29"/>
              <w:rPr>
                <w:sz w:val="16"/>
              </w:rPr>
            </w:pPr>
            <w:r>
              <w:rPr>
                <w:sz w:val="16"/>
              </w:rPr>
              <w:t>-Transferring the management rights of the</w:t>
            </w:r>
            <w:r>
              <w:rPr>
                <w:spacing w:val="1"/>
                <w:sz w:val="16"/>
              </w:rPr>
              <w:t xml:space="preserve"> </w:t>
            </w:r>
            <w:r>
              <w:rPr>
                <w:sz w:val="16"/>
              </w:rPr>
              <w:t>hospitals currently managed by the counties</w:t>
            </w:r>
            <w:r>
              <w:rPr>
                <w:spacing w:val="1"/>
                <w:sz w:val="16"/>
              </w:rPr>
              <w:t xml:space="preserve"> </w:t>
            </w:r>
            <w:r>
              <w:rPr>
                <w:sz w:val="16"/>
              </w:rPr>
              <w:t>and the City of Zagreb to the Republic of</w:t>
            </w:r>
            <w:r>
              <w:rPr>
                <w:spacing w:val="1"/>
                <w:sz w:val="16"/>
              </w:rPr>
              <w:t xml:space="preserve"> </w:t>
            </w:r>
            <w:r>
              <w:rPr>
                <w:sz w:val="16"/>
              </w:rPr>
              <w:t>Croatia in order to achieve rational and quality</w:t>
            </w:r>
            <w:r>
              <w:rPr>
                <w:spacing w:val="-37"/>
                <w:sz w:val="16"/>
              </w:rPr>
              <w:t xml:space="preserve"> </w:t>
            </w:r>
            <w:r>
              <w:rPr>
                <w:sz w:val="16"/>
              </w:rPr>
              <w:t>use of existing capacities, improve the</w:t>
            </w:r>
            <w:r>
              <w:rPr>
                <w:spacing w:val="1"/>
                <w:sz w:val="16"/>
              </w:rPr>
              <w:t xml:space="preserve"> </w:t>
            </w:r>
            <w:r>
              <w:rPr>
                <w:sz w:val="16"/>
              </w:rPr>
              <w:t>availability and quality of healthcare by</w:t>
            </w:r>
            <w:r>
              <w:rPr>
                <w:spacing w:val="1"/>
                <w:sz w:val="16"/>
              </w:rPr>
              <w:t xml:space="preserve"> </w:t>
            </w:r>
            <w:r>
              <w:rPr>
                <w:sz w:val="16"/>
              </w:rPr>
              <w:t>reorganising</w:t>
            </w:r>
            <w:r>
              <w:rPr>
                <w:spacing w:val="-6"/>
                <w:sz w:val="16"/>
              </w:rPr>
              <w:t xml:space="preserve"> </w:t>
            </w:r>
            <w:r>
              <w:rPr>
                <w:sz w:val="16"/>
              </w:rPr>
              <w:t>the</w:t>
            </w:r>
            <w:r>
              <w:rPr>
                <w:spacing w:val="-6"/>
                <w:sz w:val="16"/>
              </w:rPr>
              <w:t xml:space="preserve"> </w:t>
            </w:r>
            <w:r>
              <w:rPr>
                <w:sz w:val="16"/>
              </w:rPr>
              <w:t>hospital</w:t>
            </w:r>
            <w:r>
              <w:rPr>
                <w:spacing w:val="-4"/>
                <w:sz w:val="16"/>
              </w:rPr>
              <w:t xml:space="preserve"> </w:t>
            </w:r>
            <w:r>
              <w:rPr>
                <w:sz w:val="16"/>
              </w:rPr>
              <w:t>management</w:t>
            </w:r>
            <w:r>
              <w:rPr>
                <w:spacing w:val="-3"/>
                <w:sz w:val="16"/>
              </w:rPr>
              <w:t xml:space="preserve"> </w:t>
            </w:r>
            <w:r>
              <w:rPr>
                <w:sz w:val="16"/>
              </w:rPr>
              <w:t>model.</w:t>
            </w:r>
          </w:p>
          <w:p w:rsidR="00A56FE9" w:rsidRDefault="00A56FE9">
            <w:pPr>
              <w:pStyle w:val="TableParagraph"/>
              <w:spacing w:before="11"/>
              <w:rPr>
                <w:sz w:val="15"/>
              </w:rPr>
            </w:pPr>
          </w:p>
          <w:p w:rsidR="00A56FE9" w:rsidRDefault="00000000">
            <w:pPr>
              <w:pStyle w:val="TableParagraph"/>
              <w:ind w:left="57" w:right="166"/>
              <w:rPr>
                <w:sz w:val="16"/>
              </w:rPr>
            </w:pPr>
            <w:r>
              <w:rPr>
                <w:sz w:val="16"/>
              </w:rPr>
              <w:t>The amendments to the Compulsory Health</w:t>
            </w:r>
            <w:r>
              <w:rPr>
                <w:spacing w:val="1"/>
                <w:sz w:val="16"/>
              </w:rPr>
              <w:t xml:space="preserve"> </w:t>
            </w:r>
            <w:r>
              <w:rPr>
                <w:sz w:val="16"/>
              </w:rPr>
              <w:t>Insurance Act shall establish a clear and</w:t>
            </w:r>
            <w:r>
              <w:rPr>
                <w:spacing w:val="1"/>
                <w:sz w:val="16"/>
              </w:rPr>
              <w:t xml:space="preserve"> </w:t>
            </w:r>
            <w:r>
              <w:rPr>
                <w:sz w:val="16"/>
              </w:rPr>
              <w:t>transparent criteria for determining the</w:t>
            </w:r>
            <w:r>
              <w:rPr>
                <w:spacing w:val="1"/>
                <w:sz w:val="16"/>
              </w:rPr>
              <w:t xml:space="preserve"> </w:t>
            </w:r>
            <w:r>
              <w:rPr>
                <w:sz w:val="16"/>
              </w:rPr>
              <w:t>programme of health care measures under</w:t>
            </w:r>
            <w:r>
              <w:rPr>
                <w:spacing w:val="1"/>
                <w:sz w:val="16"/>
              </w:rPr>
              <w:t xml:space="preserve"> </w:t>
            </w:r>
            <w:r>
              <w:rPr>
                <w:sz w:val="16"/>
              </w:rPr>
              <w:t>compulsory health insurance, the bodies that</w:t>
            </w:r>
            <w:r>
              <w:rPr>
                <w:spacing w:val="-37"/>
                <w:sz w:val="16"/>
              </w:rPr>
              <w:t xml:space="preserve"> </w:t>
            </w:r>
            <w:r>
              <w:rPr>
                <w:sz w:val="16"/>
              </w:rPr>
              <w:t>shall establish and adopt a programme of</w:t>
            </w:r>
            <w:r>
              <w:rPr>
                <w:spacing w:val="1"/>
                <w:sz w:val="16"/>
              </w:rPr>
              <w:t xml:space="preserve"> </w:t>
            </w:r>
            <w:r>
              <w:rPr>
                <w:sz w:val="16"/>
              </w:rPr>
              <w:t>measures and the scope of health care to be</w:t>
            </w:r>
            <w:r>
              <w:rPr>
                <w:spacing w:val="1"/>
                <w:sz w:val="16"/>
              </w:rPr>
              <w:t xml:space="preserve"> </w:t>
            </w:r>
            <w:r>
              <w:rPr>
                <w:sz w:val="16"/>
              </w:rPr>
              <w:t>covered</w:t>
            </w:r>
            <w:r>
              <w:rPr>
                <w:spacing w:val="-3"/>
                <w:sz w:val="16"/>
              </w:rPr>
              <w:t xml:space="preserve"> </w:t>
            </w:r>
            <w:r>
              <w:rPr>
                <w:sz w:val="16"/>
              </w:rPr>
              <w:t>by</w:t>
            </w:r>
            <w:r>
              <w:rPr>
                <w:spacing w:val="-5"/>
                <w:sz w:val="16"/>
              </w:rPr>
              <w:t xml:space="preserve"> </w:t>
            </w:r>
            <w:r>
              <w:rPr>
                <w:sz w:val="16"/>
              </w:rPr>
              <w:t>compulsory</w:t>
            </w:r>
            <w:r>
              <w:rPr>
                <w:spacing w:val="-6"/>
                <w:sz w:val="16"/>
              </w:rPr>
              <w:t xml:space="preserve"> </w:t>
            </w:r>
            <w:r>
              <w:rPr>
                <w:sz w:val="16"/>
              </w:rPr>
              <w:t>health</w:t>
            </w:r>
            <w:r>
              <w:rPr>
                <w:spacing w:val="-2"/>
                <w:sz w:val="16"/>
              </w:rPr>
              <w:t xml:space="preserve"> </w:t>
            </w:r>
            <w:r>
              <w:rPr>
                <w:sz w:val="16"/>
              </w:rPr>
              <w:t>insurance</w:t>
            </w:r>
            <w:r>
              <w:rPr>
                <w:spacing w:val="-5"/>
                <w:sz w:val="16"/>
              </w:rPr>
              <w:t xml:space="preserve"> </w:t>
            </w:r>
            <w:r>
              <w:rPr>
                <w:sz w:val="16"/>
              </w:rPr>
              <w:t>and</w:t>
            </w:r>
            <w:r>
              <w:rPr>
                <w:spacing w:val="-37"/>
                <w:sz w:val="16"/>
              </w:rPr>
              <w:t xml:space="preserve"> </w:t>
            </w:r>
            <w:r>
              <w:rPr>
                <w:sz w:val="16"/>
              </w:rPr>
              <w:t>compliance with other legislation. The Act</w:t>
            </w:r>
            <w:r>
              <w:rPr>
                <w:spacing w:val="1"/>
                <w:sz w:val="16"/>
              </w:rPr>
              <w:t xml:space="preserve"> </w:t>
            </w:r>
            <w:r>
              <w:rPr>
                <w:sz w:val="16"/>
              </w:rPr>
              <w:t>shall</w:t>
            </w:r>
            <w:r>
              <w:rPr>
                <w:spacing w:val="-1"/>
                <w:sz w:val="16"/>
              </w:rPr>
              <w:t xml:space="preserve"> </w:t>
            </w:r>
            <w:r>
              <w:rPr>
                <w:sz w:val="16"/>
              </w:rPr>
              <w:t>aims</w:t>
            </w:r>
            <w:r>
              <w:rPr>
                <w:spacing w:val="-3"/>
                <w:sz w:val="16"/>
              </w:rPr>
              <w:t xml:space="preserve"> </w:t>
            </w:r>
            <w:r>
              <w:rPr>
                <w:sz w:val="16"/>
              </w:rPr>
              <w:t>at:</w:t>
            </w:r>
          </w:p>
          <w:p w:rsidR="00A56FE9" w:rsidRDefault="00000000">
            <w:pPr>
              <w:pStyle w:val="TableParagraph"/>
              <w:spacing w:before="1"/>
              <w:ind w:left="57" w:right="95"/>
              <w:rPr>
                <w:sz w:val="16"/>
              </w:rPr>
            </w:pPr>
            <w:r>
              <w:rPr>
                <w:sz w:val="16"/>
              </w:rPr>
              <w:t>-Making healthcare more accessible and</w:t>
            </w:r>
            <w:r>
              <w:rPr>
                <w:spacing w:val="1"/>
                <w:sz w:val="16"/>
              </w:rPr>
              <w:t xml:space="preserve"> </w:t>
            </w:r>
            <w:r>
              <w:rPr>
                <w:sz w:val="16"/>
              </w:rPr>
              <w:t>timely</w:t>
            </w:r>
            <w:r>
              <w:rPr>
                <w:spacing w:val="-5"/>
                <w:sz w:val="16"/>
              </w:rPr>
              <w:t xml:space="preserve"> </w:t>
            </w:r>
            <w:r>
              <w:rPr>
                <w:sz w:val="16"/>
              </w:rPr>
              <w:t>for</w:t>
            </w:r>
            <w:r>
              <w:rPr>
                <w:spacing w:val="-3"/>
                <w:sz w:val="16"/>
              </w:rPr>
              <w:t xml:space="preserve"> </w:t>
            </w:r>
            <w:r>
              <w:rPr>
                <w:sz w:val="16"/>
              </w:rPr>
              <w:t>insured</w:t>
            </w:r>
            <w:r>
              <w:rPr>
                <w:spacing w:val="-3"/>
                <w:sz w:val="16"/>
              </w:rPr>
              <w:t xml:space="preserve"> </w:t>
            </w:r>
            <w:r>
              <w:rPr>
                <w:sz w:val="16"/>
              </w:rPr>
              <w:t>persons</w:t>
            </w:r>
            <w:r>
              <w:rPr>
                <w:spacing w:val="-2"/>
                <w:sz w:val="16"/>
              </w:rPr>
              <w:t xml:space="preserve"> </w:t>
            </w:r>
            <w:r>
              <w:rPr>
                <w:sz w:val="16"/>
              </w:rPr>
              <w:t>when</w:t>
            </w:r>
            <w:r>
              <w:rPr>
                <w:spacing w:val="-3"/>
                <w:sz w:val="16"/>
              </w:rPr>
              <w:t xml:space="preserve"> </w:t>
            </w:r>
            <w:r>
              <w:rPr>
                <w:sz w:val="16"/>
              </w:rPr>
              <w:t>they</w:t>
            </w:r>
            <w:r>
              <w:rPr>
                <w:spacing w:val="-4"/>
                <w:sz w:val="16"/>
              </w:rPr>
              <w:t xml:space="preserve"> </w:t>
            </w:r>
            <w:r>
              <w:rPr>
                <w:sz w:val="16"/>
              </w:rPr>
              <w:t>need</w:t>
            </w:r>
            <w:r>
              <w:rPr>
                <w:spacing w:val="-1"/>
                <w:sz w:val="16"/>
              </w:rPr>
              <w:t xml:space="preserve"> </w:t>
            </w:r>
            <w:r>
              <w:rPr>
                <w:sz w:val="16"/>
              </w:rPr>
              <w:t>it;</w:t>
            </w:r>
          </w:p>
          <w:p w:rsidR="00A56FE9" w:rsidRDefault="00000000">
            <w:pPr>
              <w:pStyle w:val="TableParagraph"/>
              <w:ind w:left="57" w:right="140"/>
              <w:rPr>
                <w:sz w:val="16"/>
              </w:rPr>
            </w:pPr>
            <w:r>
              <w:rPr>
                <w:sz w:val="16"/>
              </w:rPr>
              <w:t>-Reduction of waiting lists for individual</w:t>
            </w:r>
            <w:r>
              <w:rPr>
                <w:spacing w:val="1"/>
                <w:sz w:val="16"/>
              </w:rPr>
              <w:t xml:space="preserve"> </w:t>
            </w:r>
            <w:r>
              <w:rPr>
                <w:sz w:val="16"/>
              </w:rPr>
              <w:t>medical services, optimisation and, in this</w:t>
            </w:r>
            <w:r>
              <w:rPr>
                <w:spacing w:val="1"/>
                <w:sz w:val="16"/>
              </w:rPr>
              <w:t xml:space="preserve"> </w:t>
            </w:r>
            <w:r>
              <w:rPr>
                <w:sz w:val="16"/>
              </w:rPr>
              <w:t>connection, better distribution of available</w:t>
            </w:r>
            <w:r>
              <w:rPr>
                <w:spacing w:val="1"/>
                <w:sz w:val="16"/>
              </w:rPr>
              <w:t xml:space="preserve"> </w:t>
            </w:r>
            <w:r>
              <w:rPr>
                <w:sz w:val="16"/>
              </w:rPr>
              <w:t>healthcare resources from compulsory health</w:t>
            </w:r>
            <w:r>
              <w:rPr>
                <w:spacing w:val="-38"/>
                <w:sz w:val="16"/>
              </w:rPr>
              <w:t xml:space="preserve"> </w:t>
            </w:r>
            <w:r>
              <w:rPr>
                <w:sz w:val="16"/>
              </w:rPr>
              <w:t>insurance</w:t>
            </w:r>
          </w:p>
          <w:p w:rsidR="00A56FE9" w:rsidRDefault="00000000">
            <w:pPr>
              <w:pStyle w:val="TableParagraph"/>
              <w:ind w:left="57" w:right="32"/>
              <w:rPr>
                <w:sz w:val="16"/>
              </w:rPr>
            </w:pPr>
            <w:r>
              <w:rPr>
                <w:sz w:val="16"/>
              </w:rPr>
              <w:t>-Provide finance for the purpose of achieving</w:t>
            </w:r>
            <w:r>
              <w:rPr>
                <w:spacing w:val="1"/>
                <w:sz w:val="16"/>
              </w:rPr>
              <w:t xml:space="preserve"> </w:t>
            </w:r>
            <w:r>
              <w:rPr>
                <w:sz w:val="16"/>
              </w:rPr>
              <w:t>financial stability, its sustainability and, in this</w:t>
            </w:r>
            <w:r>
              <w:rPr>
                <w:spacing w:val="-37"/>
                <w:sz w:val="16"/>
              </w:rPr>
              <w:t xml:space="preserve"> </w:t>
            </w:r>
            <w:r>
              <w:rPr>
                <w:sz w:val="16"/>
              </w:rPr>
              <w:t>connection, improving the situation of insured</w:t>
            </w:r>
            <w:r>
              <w:rPr>
                <w:spacing w:val="-37"/>
                <w:sz w:val="16"/>
              </w:rPr>
              <w:t xml:space="preserve"> </w:t>
            </w:r>
            <w:r>
              <w:rPr>
                <w:sz w:val="16"/>
              </w:rPr>
              <w:t>persons in the exercise of statutory health</w:t>
            </w:r>
            <w:r>
              <w:rPr>
                <w:spacing w:val="1"/>
                <w:sz w:val="16"/>
              </w:rPr>
              <w:t xml:space="preserve"> </w:t>
            </w:r>
            <w:r>
              <w:rPr>
                <w:sz w:val="16"/>
              </w:rPr>
              <w:t>insurance;</w:t>
            </w:r>
          </w:p>
          <w:p w:rsidR="00A56FE9" w:rsidRDefault="00000000">
            <w:pPr>
              <w:pStyle w:val="TableParagraph"/>
              <w:spacing w:before="1"/>
              <w:ind w:left="57"/>
              <w:rPr>
                <w:sz w:val="16"/>
              </w:rPr>
            </w:pPr>
            <w:r>
              <w:rPr>
                <w:sz w:val="16"/>
              </w:rPr>
              <w:t>-Insert provision to favour the contracting</w:t>
            </w:r>
            <w:r>
              <w:rPr>
                <w:spacing w:val="1"/>
                <w:sz w:val="16"/>
              </w:rPr>
              <w:t xml:space="preserve"> </w:t>
            </w:r>
            <w:r>
              <w:rPr>
                <w:sz w:val="16"/>
              </w:rPr>
              <w:t>entities</w:t>
            </w:r>
            <w:r>
              <w:rPr>
                <w:spacing w:val="-4"/>
                <w:sz w:val="16"/>
              </w:rPr>
              <w:t xml:space="preserve"> </w:t>
            </w:r>
            <w:r>
              <w:rPr>
                <w:sz w:val="16"/>
              </w:rPr>
              <w:t>of</w:t>
            </w:r>
            <w:r>
              <w:rPr>
                <w:spacing w:val="-4"/>
                <w:sz w:val="16"/>
              </w:rPr>
              <w:t xml:space="preserve"> </w:t>
            </w:r>
            <w:r>
              <w:rPr>
                <w:sz w:val="16"/>
              </w:rPr>
              <w:t>the</w:t>
            </w:r>
            <w:r>
              <w:rPr>
                <w:spacing w:val="-5"/>
                <w:sz w:val="16"/>
              </w:rPr>
              <w:t xml:space="preserve"> </w:t>
            </w:r>
            <w:r>
              <w:rPr>
                <w:sz w:val="16"/>
              </w:rPr>
              <w:t>HZZO</w:t>
            </w:r>
            <w:r>
              <w:rPr>
                <w:spacing w:val="-4"/>
                <w:sz w:val="16"/>
              </w:rPr>
              <w:t xml:space="preserve"> </w:t>
            </w:r>
            <w:r>
              <w:rPr>
                <w:sz w:val="16"/>
              </w:rPr>
              <w:t>as</w:t>
            </w:r>
            <w:r>
              <w:rPr>
                <w:spacing w:val="-3"/>
                <w:sz w:val="16"/>
              </w:rPr>
              <w:t xml:space="preserve"> </w:t>
            </w:r>
            <w:r>
              <w:rPr>
                <w:sz w:val="16"/>
              </w:rPr>
              <w:t>healthcare</w:t>
            </w:r>
            <w:r>
              <w:rPr>
                <w:spacing w:val="-5"/>
                <w:sz w:val="16"/>
              </w:rPr>
              <w:t xml:space="preserve"> </w:t>
            </w:r>
            <w:r>
              <w:rPr>
                <w:sz w:val="16"/>
              </w:rPr>
              <w:t>providers</w:t>
            </w:r>
          </w:p>
          <w:p w:rsidR="00A56FE9" w:rsidRDefault="00000000">
            <w:pPr>
              <w:pStyle w:val="TableParagraph"/>
              <w:spacing w:line="167" w:lineRule="exact"/>
              <w:ind w:left="57"/>
              <w:rPr>
                <w:sz w:val="16"/>
              </w:rPr>
            </w:pPr>
            <w:r>
              <w:rPr>
                <w:sz w:val="16"/>
              </w:rPr>
              <w:t>from</w:t>
            </w:r>
            <w:r>
              <w:rPr>
                <w:spacing w:val="-3"/>
                <w:sz w:val="16"/>
              </w:rPr>
              <w:t xml:space="preserve"> </w:t>
            </w:r>
            <w:r>
              <w:rPr>
                <w:sz w:val="16"/>
              </w:rPr>
              <w:t>compulsory</w:t>
            </w:r>
            <w:r>
              <w:rPr>
                <w:spacing w:val="-6"/>
                <w:sz w:val="16"/>
              </w:rPr>
              <w:t xml:space="preserve"> </w:t>
            </w:r>
            <w:r>
              <w:rPr>
                <w:sz w:val="16"/>
              </w:rPr>
              <w:t>health</w:t>
            </w:r>
            <w:r>
              <w:rPr>
                <w:spacing w:val="-2"/>
                <w:sz w:val="16"/>
              </w:rPr>
              <w:t xml:space="preserve"> </w:t>
            </w:r>
            <w:r>
              <w:rPr>
                <w:sz w:val="16"/>
              </w:rPr>
              <w:t>insurance,</w:t>
            </w:r>
            <w:r>
              <w:rPr>
                <w:spacing w:val="-2"/>
                <w:sz w:val="16"/>
              </w:rPr>
              <w:t xml:space="preserve"> </w:t>
            </w:r>
            <w:r>
              <w:rPr>
                <w:sz w:val="16"/>
              </w:rPr>
              <w:t>as</w:t>
            </w:r>
            <w:r>
              <w:rPr>
                <w:spacing w:val="-7"/>
                <w:sz w:val="16"/>
              </w:rPr>
              <w:t xml:space="preserve"> </w:t>
            </w:r>
            <w:r>
              <w:rPr>
                <w:sz w:val="16"/>
              </w:rPr>
              <w:t>regards</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729"/>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the</w:t>
            </w:r>
            <w:r>
              <w:rPr>
                <w:spacing w:val="-7"/>
                <w:sz w:val="16"/>
              </w:rPr>
              <w:t xml:space="preserve"> </w:t>
            </w:r>
            <w:r>
              <w:rPr>
                <w:sz w:val="16"/>
              </w:rPr>
              <w:t>payment</w:t>
            </w:r>
            <w:r>
              <w:rPr>
                <w:spacing w:val="-1"/>
                <w:sz w:val="16"/>
              </w:rPr>
              <w:t xml:space="preserve"> </w:t>
            </w:r>
            <w:r>
              <w:rPr>
                <w:sz w:val="16"/>
              </w:rPr>
              <w:t>of</w:t>
            </w:r>
            <w:r>
              <w:rPr>
                <w:spacing w:val="-4"/>
                <w:sz w:val="16"/>
              </w:rPr>
              <w:t xml:space="preserve"> </w:t>
            </w:r>
            <w:r>
              <w:rPr>
                <w:sz w:val="16"/>
              </w:rPr>
              <w:t>the</w:t>
            </w:r>
            <w:r>
              <w:rPr>
                <w:spacing w:val="-4"/>
                <w:sz w:val="16"/>
              </w:rPr>
              <w:t xml:space="preserve"> </w:t>
            </w:r>
            <w:r>
              <w:rPr>
                <w:sz w:val="16"/>
              </w:rPr>
              <w:t>HZZO’s</w:t>
            </w:r>
            <w:r>
              <w:rPr>
                <w:spacing w:val="-3"/>
                <w:sz w:val="16"/>
              </w:rPr>
              <w:t xml:space="preserve"> </w:t>
            </w:r>
            <w:r>
              <w:rPr>
                <w:sz w:val="16"/>
              </w:rPr>
              <w:t>obligations</w:t>
            </w:r>
          </w:p>
          <w:p w:rsidR="00A56FE9" w:rsidRDefault="00000000">
            <w:pPr>
              <w:pStyle w:val="TableParagraph"/>
              <w:spacing w:before="1"/>
              <w:ind w:left="57"/>
              <w:rPr>
                <w:sz w:val="16"/>
              </w:rPr>
            </w:pPr>
            <w:r>
              <w:rPr>
                <w:sz w:val="16"/>
              </w:rPr>
              <w:t>towards</w:t>
            </w:r>
            <w:r>
              <w:rPr>
                <w:spacing w:val="-3"/>
                <w:sz w:val="16"/>
              </w:rPr>
              <w:t xml:space="preserve"> </w:t>
            </w:r>
            <w:r>
              <w:rPr>
                <w:sz w:val="16"/>
              </w:rPr>
              <w:t>them</w:t>
            </w:r>
            <w:r>
              <w:rPr>
                <w:spacing w:val="-2"/>
                <w:sz w:val="16"/>
              </w:rPr>
              <w:t xml:space="preserve"> </w:t>
            </w:r>
            <w:r>
              <w:rPr>
                <w:sz w:val="16"/>
              </w:rPr>
              <w:t>within</w:t>
            </w:r>
            <w:r>
              <w:rPr>
                <w:spacing w:val="-3"/>
                <w:sz w:val="16"/>
              </w:rPr>
              <w:t xml:space="preserve"> </w:t>
            </w:r>
            <w:r>
              <w:rPr>
                <w:sz w:val="16"/>
              </w:rPr>
              <w:t>the</w:t>
            </w:r>
            <w:r>
              <w:rPr>
                <w:spacing w:val="-5"/>
                <w:sz w:val="16"/>
              </w:rPr>
              <w:t xml:space="preserve"> </w:t>
            </w:r>
            <w:r>
              <w:rPr>
                <w:sz w:val="16"/>
              </w:rPr>
              <w:t>time</w:t>
            </w:r>
            <w:r>
              <w:rPr>
                <w:spacing w:val="-4"/>
                <w:sz w:val="16"/>
              </w:rPr>
              <w:t xml:space="preserve"> </w:t>
            </w:r>
            <w:r>
              <w:rPr>
                <w:sz w:val="16"/>
              </w:rPr>
              <w:t>limits</w:t>
            </w:r>
            <w:r>
              <w:rPr>
                <w:spacing w:val="-4"/>
                <w:sz w:val="16"/>
              </w:rPr>
              <w:t xml:space="preserve"> </w:t>
            </w:r>
            <w:r>
              <w:rPr>
                <w:sz w:val="16"/>
              </w:rPr>
              <w:t>prescribed</w:t>
            </w:r>
          </w:p>
          <w:p w:rsidR="00A56FE9" w:rsidRDefault="00000000">
            <w:pPr>
              <w:pStyle w:val="TableParagraph"/>
              <w:spacing w:line="182" w:lineRule="exact"/>
              <w:ind w:left="57" w:right="437"/>
              <w:rPr>
                <w:sz w:val="16"/>
              </w:rPr>
            </w:pPr>
            <w:r>
              <w:rPr>
                <w:sz w:val="16"/>
              </w:rPr>
              <w:t>by law, in order to guarantee the right to</w:t>
            </w:r>
            <w:r>
              <w:rPr>
                <w:spacing w:val="-37"/>
                <w:sz w:val="16"/>
              </w:rPr>
              <w:t xml:space="preserve"> </w:t>
            </w:r>
            <w:r>
              <w:rPr>
                <w:sz w:val="16"/>
              </w:rPr>
              <w:t>health</w:t>
            </w:r>
            <w:r>
              <w:rPr>
                <w:spacing w:val="-2"/>
                <w:sz w:val="16"/>
              </w:rPr>
              <w:t xml:space="preserve"> </w:t>
            </w:r>
            <w:r>
              <w:rPr>
                <w:sz w:val="16"/>
              </w:rPr>
              <w:t>care</w:t>
            </w:r>
            <w:r>
              <w:rPr>
                <w:spacing w:val="-2"/>
                <w:sz w:val="16"/>
              </w:rPr>
              <w:t xml:space="preserve"> </w:t>
            </w:r>
            <w:r>
              <w:rPr>
                <w:sz w:val="16"/>
              </w:rPr>
              <w:t>for</w:t>
            </w:r>
            <w:r>
              <w:rPr>
                <w:spacing w:val="-2"/>
                <w:sz w:val="16"/>
              </w:rPr>
              <w:t xml:space="preserve"> </w:t>
            </w:r>
            <w:r>
              <w:rPr>
                <w:sz w:val="16"/>
              </w:rPr>
              <w:t>insured</w:t>
            </w:r>
            <w:r>
              <w:rPr>
                <w:spacing w:val="-1"/>
                <w:sz w:val="16"/>
              </w:rPr>
              <w:t xml:space="preserve"> </w:t>
            </w:r>
            <w:r>
              <w:rPr>
                <w:sz w:val="16"/>
              </w:rPr>
              <w:t>persons.</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4234"/>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86</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75"/>
              <w:jc w:val="right"/>
              <w:rPr>
                <w:sz w:val="16"/>
              </w:rPr>
            </w:pPr>
            <w:r>
              <w:rPr>
                <w:sz w:val="16"/>
              </w:rPr>
              <w:t>343</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2020.CSR1</w:t>
            </w:r>
          </w:p>
          <w:p w:rsidR="00A56FE9" w:rsidRDefault="00000000">
            <w:pPr>
              <w:pStyle w:val="TableParagraph"/>
              <w:spacing w:before="1"/>
              <w:ind w:left="50" w:right="38"/>
              <w:rPr>
                <w:sz w:val="16"/>
              </w:rPr>
            </w:pPr>
            <w:r>
              <w:rPr>
                <w:sz w:val="16"/>
              </w:rPr>
              <w:t>.subpart2,</w:t>
            </w:r>
            <w:r>
              <w:rPr>
                <w:spacing w:val="1"/>
                <w:sz w:val="16"/>
              </w:rPr>
              <w:t xml:space="preserve"> </w:t>
            </w:r>
            <w:r>
              <w:rPr>
                <w:spacing w:val="-1"/>
                <w:sz w:val="16"/>
              </w:rPr>
              <w:t>2020.CSR2</w:t>
            </w:r>
          </w:p>
          <w:p w:rsidR="00A56FE9" w:rsidRDefault="00000000">
            <w:pPr>
              <w:pStyle w:val="TableParagraph"/>
              <w:ind w:left="50"/>
              <w:rPr>
                <w:sz w:val="16"/>
              </w:rPr>
            </w:pPr>
            <w:r>
              <w:rPr>
                <w:sz w:val="16"/>
              </w:rPr>
              <w:t>.subpart3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5</w:t>
            </w:r>
            <w:r>
              <w:rPr>
                <w:spacing w:val="-2"/>
                <w:sz w:val="16"/>
              </w:rPr>
              <w:t xml:space="preserve"> </w:t>
            </w:r>
            <w:r>
              <w:rPr>
                <w:sz w:val="16"/>
              </w:rPr>
              <w:t>–</w:t>
            </w:r>
            <w:r>
              <w:rPr>
                <w:spacing w:val="1"/>
                <w:sz w:val="16"/>
              </w:rPr>
              <w:t xml:space="preserve"> </w:t>
            </w:r>
            <w:r>
              <w:rPr>
                <w:sz w:val="16"/>
              </w:rPr>
              <w:t>HEALTH</w:t>
            </w:r>
            <w:r>
              <w:rPr>
                <w:spacing w:val="-2"/>
                <w:sz w:val="16"/>
              </w:rPr>
              <w:t xml:space="preserve"> </w:t>
            </w:r>
            <w:r>
              <w:rPr>
                <w:sz w:val="16"/>
              </w:rPr>
              <w:t>CARE -</w:t>
            </w:r>
          </w:p>
          <w:p w:rsidR="00A56FE9" w:rsidRDefault="00000000">
            <w:pPr>
              <w:pStyle w:val="TableParagraph"/>
              <w:spacing w:before="1"/>
              <w:ind w:left="50" w:right="86"/>
              <w:rPr>
                <w:sz w:val="16"/>
              </w:rPr>
            </w:pPr>
            <w:r>
              <w:rPr>
                <w:sz w:val="16"/>
              </w:rPr>
              <w:t>C5.1. R5-I5 Digitalisation</w:t>
            </w:r>
            <w:r>
              <w:rPr>
                <w:spacing w:val="-38"/>
                <w:sz w:val="16"/>
              </w:rPr>
              <w:t xml:space="preserve"> </w:t>
            </w:r>
            <w:r>
              <w:rPr>
                <w:sz w:val="16"/>
              </w:rPr>
              <w:t>and equipping of Clinical</w:t>
            </w:r>
            <w:r>
              <w:rPr>
                <w:spacing w:val="1"/>
                <w:sz w:val="16"/>
              </w:rPr>
              <w:t xml:space="preserve"> </w:t>
            </w:r>
            <w:r>
              <w:rPr>
                <w:sz w:val="16"/>
              </w:rPr>
              <w:t>Hospital ‘KB Merkur’</w:t>
            </w:r>
            <w:r>
              <w:rPr>
                <w:spacing w:val="1"/>
                <w:sz w:val="16"/>
              </w:rPr>
              <w:t xml:space="preserve"> </w:t>
            </w:r>
            <w:r>
              <w:rPr>
                <w:sz w:val="16"/>
              </w:rPr>
              <w:t>diagnostic</w:t>
            </w:r>
            <w:r>
              <w:rPr>
                <w:spacing w:val="-3"/>
                <w:sz w:val="16"/>
              </w:rPr>
              <w:t xml:space="preserve"> </w:t>
            </w:r>
            <w:r>
              <w:rPr>
                <w:sz w:val="16"/>
              </w:rPr>
              <w:t>units</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10"/>
              <w:rPr>
                <w:sz w:val="16"/>
              </w:rPr>
            </w:pPr>
            <w:r>
              <w:rPr>
                <w:sz w:val="16"/>
              </w:rPr>
              <w:t>Diagnostic units Clinical</w:t>
            </w:r>
            <w:r>
              <w:rPr>
                <w:spacing w:val="-37"/>
                <w:sz w:val="16"/>
              </w:rPr>
              <w:t xml:space="preserve"> </w:t>
            </w:r>
            <w:r>
              <w:rPr>
                <w:sz w:val="16"/>
              </w:rPr>
              <w:t>Hospital Centre (KBC)</w:t>
            </w:r>
            <w:r>
              <w:rPr>
                <w:spacing w:val="1"/>
                <w:sz w:val="16"/>
              </w:rPr>
              <w:t xml:space="preserve"> </w:t>
            </w:r>
            <w:r>
              <w:rPr>
                <w:sz w:val="16"/>
              </w:rPr>
              <w:t>Merkur</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8"/>
              <w:jc w:val="center"/>
              <w:rPr>
                <w:sz w:val="16"/>
              </w:rPr>
            </w:pPr>
            <w:r>
              <w:rPr>
                <w:sz w:val="16"/>
              </w:rPr>
              <w:t>4</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KB</w:t>
            </w:r>
            <w:r>
              <w:rPr>
                <w:spacing w:val="-1"/>
                <w:sz w:val="16"/>
              </w:rPr>
              <w:t xml:space="preserve"> </w:t>
            </w:r>
            <w:r>
              <w:rPr>
                <w:sz w:val="16"/>
              </w:rPr>
              <w:t>Merkur</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42"/>
              <w:rPr>
                <w:sz w:val="16"/>
              </w:rPr>
            </w:pPr>
            <w:r>
              <w:rPr>
                <w:sz w:val="16"/>
              </w:rPr>
              <w:t>To improve the quality of the service, increase</w:t>
            </w:r>
            <w:r>
              <w:rPr>
                <w:spacing w:val="-37"/>
                <w:sz w:val="16"/>
              </w:rPr>
              <w:t xml:space="preserve"> </w:t>
            </w:r>
            <w:r>
              <w:rPr>
                <w:sz w:val="16"/>
              </w:rPr>
              <w:t>the</w:t>
            </w:r>
            <w:r>
              <w:rPr>
                <w:spacing w:val="-6"/>
                <w:sz w:val="16"/>
              </w:rPr>
              <w:t xml:space="preserve"> </w:t>
            </w:r>
            <w:r>
              <w:rPr>
                <w:sz w:val="16"/>
              </w:rPr>
              <w:t>number</w:t>
            </w:r>
            <w:r>
              <w:rPr>
                <w:spacing w:val="-4"/>
                <w:sz w:val="16"/>
              </w:rPr>
              <w:t xml:space="preserve"> </w:t>
            </w:r>
            <w:r>
              <w:rPr>
                <w:sz w:val="16"/>
              </w:rPr>
              <w:t>of</w:t>
            </w:r>
            <w:r>
              <w:rPr>
                <w:spacing w:val="-3"/>
                <w:sz w:val="16"/>
              </w:rPr>
              <w:t xml:space="preserve"> </w:t>
            </w:r>
            <w:r>
              <w:rPr>
                <w:sz w:val="16"/>
              </w:rPr>
              <w:t>patient</w:t>
            </w:r>
            <w:r>
              <w:rPr>
                <w:spacing w:val="-3"/>
                <w:sz w:val="16"/>
              </w:rPr>
              <w:t xml:space="preserve"> </w:t>
            </w:r>
            <w:r>
              <w:rPr>
                <w:sz w:val="16"/>
              </w:rPr>
              <w:t>treatments,</w:t>
            </w:r>
            <w:r>
              <w:rPr>
                <w:spacing w:val="-1"/>
                <w:sz w:val="16"/>
              </w:rPr>
              <w:t xml:space="preserve"> </w:t>
            </w:r>
            <w:r>
              <w:rPr>
                <w:sz w:val="16"/>
              </w:rPr>
              <w:t>speed</w:t>
            </w:r>
            <w:r>
              <w:rPr>
                <w:spacing w:val="-3"/>
                <w:sz w:val="16"/>
              </w:rPr>
              <w:t xml:space="preserve"> </w:t>
            </w:r>
            <w:r>
              <w:rPr>
                <w:sz w:val="16"/>
              </w:rPr>
              <w:t>up</w:t>
            </w:r>
            <w:r>
              <w:rPr>
                <w:spacing w:val="-4"/>
                <w:sz w:val="16"/>
              </w:rPr>
              <w:t xml:space="preserve"> </w:t>
            </w:r>
            <w:r>
              <w:rPr>
                <w:sz w:val="16"/>
              </w:rPr>
              <w:t>and</w:t>
            </w:r>
            <w:r>
              <w:rPr>
                <w:spacing w:val="-37"/>
                <w:sz w:val="16"/>
              </w:rPr>
              <w:t xml:space="preserve"> </w:t>
            </w:r>
            <w:r>
              <w:rPr>
                <w:sz w:val="16"/>
              </w:rPr>
              <w:t>increase the availability and quality of</w:t>
            </w:r>
            <w:r>
              <w:rPr>
                <w:spacing w:val="1"/>
                <w:sz w:val="16"/>
              </w:rPr>
              <w:t xml:space="preserve"> </w:t>
            </w:r>
            <w:r>
              <w:rPr>
                <w:sz w:val="16"/>
              </w:rPr>
              <w:t>healthcare for all categories of patients the</w:t>
            </w:r>
            <w:r>
              <w:rPr>
                <w:spacing w:val="1"/>
                <w:sz w:val="16"/>
              </w:rPr>
              <w:t xml:space="preserve"> </w:t>
            </w:r>
            <w:r>
              <w:rPr>
                <w:sz w:val="16"/>
              </w:rPr>
              <w:t>equipment shall be installed for at least 4</w:t>
            </w:r>
            <w:r>
              <w:rPr>
                <w:spacing w:val="1"/>
                <w:sz w:val="16"/>
              </w:rPr>
              <w:t xml:space="preserve"> </w:t>
            </w:r>
            <w:r>
              <w:rPr>
                <w:sz w:val="16"/>
              </w:rPr>
              <w:t>diagnostic units at Clinical Hospital Centre</w:t>
            </w:r>
            <w:r>
              <w:rPr>
                <w:spacing w:val="1"/>
                <w:sz w:val="16"/>
              </w:rPr>
              <w:t xml:space="preserve"> </w:t>
            </w:r>
            <w:r>
              <w:rPr>
                <w:sz w:val="16"/>
              </w:rPr>
              <w:t>(KBC) Merkur. The installed equipment shall</w:t>
            </w:r>
            <w:r>
              <w:rPr>
                <w:spacing w:val="1"/>
                <w:sz w:val="16"/>
              </w:rPr>
              <w:t xml:space="preserve"> </w:t>
            </w:r>
            <w:r>
              <w:rPr>
                <w:sz w:val="16"/>
              </w:rPr>
              <w:t>consist of:</w:t>
            </w:r>
          </w:p>
          <w:p w:rsidR="00A56FE9" w:rsidRDefault="00000000">
            <w:pPr>
              <w:pStyle w:val="TableParagraph"/>
              <w:ind w:left="57" w:right="855"/>
              <w:rPr>
                <w:sz w:val="16"/>
              </w:rPr>
            </w:pPr>
            <w:r>
              <w:rPr>
                <w:sz w:val="16"/>
              </w:rPr>
              <w:t>-Apparatus for transthoracic and</w:t>
            </w:r>
            <w:r>
              <w:rPr>
                <w:spacing w:val="1"/>
                <w:sz w:val="16"/>
              </w:rPr>
              <w:t xml:space="preserve"> </w:t>
            </w:r>
            <w:r>
              <w:rPr>
                <w:spacing w:val="-1"/>
                <w:sz w:val="16"/>
              </w:rPr>
              <w:t>transesogastric</w:t>
            </w:r>
            <w:r>
              <w:rPr>
                <w:spacing w:val="-3"/>
                <w:sz w:val="16"/>
              </w:rPr>
              <w:t xml:space="preserve"> </w:t>
            </w:r>
            <w:r>
              <w:rPr>
                <w:sz w:val="16"/>
              </w:rPr>
              <w:t>echocardiography;</w:t>
            </w:r>
          </w:p>
          <w:p w:rsidR="00A56FE9" w:rsidRDefault="00000000">
            <w:pPr>
              <w:pStyle w:val="TableParagraph"/>
              <w:spacing w:line="183" w:lineRule="exact"/>
              <w:ind w:left="57"/>
              <w:rPr>
                <w:sz w:val="16"/>
              </w:rPr>
            </w:pPr>
            <w:r>
              <w:rPr>
                <w:sz w:val="16"/>
              </w:rPr>
              <w:t>-Three</w:t>
            </w:r>
            <w:r>
              <w:rPr>
                <w:spacing w:val="-5"/>
                <w:sz w:val="16"/>
              </w:rPr>
              <w:t xml:space="preserve"> </w:t>
            </w:r>
            <w:r>
              <w:rPr>
                <w:sz w:val="16"/>
              </w:rPr>
              <w:t>monitors</w:t>
            </w:r>
            <w:r>
              <w:rPr>
                <w:spacing w:val="-3"/>
                <w:sz w:val="16"/>
              </w:rPr>
              <w:t xml:space="preserve"> </w:t>
            </w:r>
            <w:r>
              <w:rPr>
                <w:sz w:val="16"/>
              </w:rPr>
              <w:t>for</w:t>
            </w:r>
            <w:r>
              <w:rPr>
                <w:spacing w:val="-4"/>
                <w:sz w:val="16"/>
              </w:rPr>
              <w:t xml:space="preserve"> </w:t>
            </w:r>
            <w:r>
              <w:rPr>
                <w:sz w:val="16"/>
              </w:rPr>
              <w:t>coronary</w:t>
            </w:r>
            <w:r>
              <w:rPr>
                <w:spacing w:val="-5"/>
                <w:sz w:val="16"/>
              </w:rPr>
              <w:t xml:space="preserve"> </w:t>
            </w:r>
            <w:r>
              <w:rPr>
                <w:sz w:val="16"/>
              </w:rPr>
              <w:t>unit</w:t>
            </w:r>
            <w:r>
              <w:rPr>
                <w:spacing w:val="-4"/>
                <w:sz w:val="16"/>
              </w:rPr>
              <w:t xml:space="preserve"> </w:t>
            </w:r>
            <w:r>
              <w:rPr>
                <w:sz w:val="16"/>
              </w:rPr>
              <w:t>purposes;</w:t>
            </w:r>
          </w:p>
          <w:p w:rsidR="00A56FE9" w:rsidRDefault="00000000">
            <w:pPr>
              <w:pStyle w:val="TableParagraph"/>
              <w:ind w:left="57"/>
              <w:rPr>
                <w:sz w:val="16"/>
              </w:rPr>
            </w:pPr>
            <w:r>
              <w:rPr>
                <w:sz w:val="16"/>
              </w:rPr>
              <w:t>-System</w:t>
            </w:r>
            <w:r>
              <w:rPr>
                <w:spacing w:val="-2"/>
                <w:sz w:val="16"/>
              </w:rPr>
              <w:t xml:space="preserve"> </w:t>
            </w:r>
            <w:r>
              <w:rPr>
                <w:sz w:val="16"/>
              </w:rPr>
              <w:t>for</w:t>
            </w:r>
            <w:r>
              <w:rPr>
                <w:spacing w:val="-3"/>
                <w:sz w:val="16"/>
              </w:rPr>
              <w:t xml:space="preserve"> </w:t>
            </w:r>
            <w:r>
              <w:rPr>
                <w:sz w:val="16"/>
              </w:rPr>
              <w:t>telemetry</w:t>
            </w:r>
            <w:r>
              <w:rPr>
                <w:spacing w:val="-5"/>
                <w:sz w:val="16"/>
              </w:rPr>
              <w:t xml:space="preserve"> </w:t>
            </w:r>
            <w:r>
              <w:rPr>
                <w:sz w:val="16"/>
              </w:rPr>
              <w:t>of</w:t>
            </w:r>
            <w:r>
              <w:rPr>
                <w:spacing w:val="-2"/>
                <w:sz w:val="16"/>
              </w:rPr>
              <w:t xml:space="preserve"> </w:t>
            </w:r>
            <w:r>
              <w:rPr>
                <w:sz w:val="16"/>
              </w:rPr>
              <w:t>patients</w:t>
            </w:r>
            <w:r>
              <w:rPr>
                <w:spacing w:val="-4"/>
                <w:sz w:val="16"/>
              </w:rPr>
              <w:t xml:space="preserve"> </w:t>
            </w:r>
            <w:r>
              <w:rPr>
                <w:sz w:val="16"/>
              </w:rPr>
              <w:t>in</w:t>
            </w:r>
            <w:r>
              <w:rPr>
                <w:spacing w:val="-3"/>
                <w:sz w:val="16"/>
              </w:rPr>
              <w:t xml:space="preserve"> </w:t>
            </w:r>
            <w:r>
              <w:rPr>
                <w:sz w:val="16"/>
              </w:rPr>
              <w:t>the</w:t>
            </w:r>
            <w:r>
              <w:rPr>
                <w:spacing w:val="-4"/>
                <w:sz w:val="16"/>
              </w:rPr>
              <w:t xml:space="preserve"> </w:t>
            </w:r>
            <w:r>
              <w:rPr>
                <w:sz w:val="16"/>
              </w:rPr>
              <w:t>open</w:t>
            </w:r>
            <w:r>
              <w:rPr>
                <w:spacing w:val="-37"/>
                <w:sz w:val="16"/>
              </w:rPr>
              <w:t xml:space="preserve"> </w:t>
            </w:r>
            <w:r>
              <w:rPr>
                <w:sz w:val="16"/>
              </w:rPr>
              <w:t>ward;</w:t>
            </w:r>
          </w:p>
          <w:p w:rsidR="00A56FE9" w:rsidRDefault="00000000">
            <w:pPr>
              <w:pStyle w:val="TableParagraph"/>
              <w:spacing w:line="183" w:lineRule="exact"/>
              <w:ind w:left="57"/>
              <w:rPr>
                <w:sz w:val="16"/>
              </w:rPr>
            </w:pPr>
            <w:r>
              <w:rPr>
                <w:sz w:val="16"/>
              </w:rPr>
              <w:t>-Stronger</w:t>
            </w:r>
            <w:r>
              <w:rPr>
                <w:spacing w:val="-5"/>
                <w:sz w:val="16"/>
              </w:rPr>
              <w:t xml:space="preserve"> </w:t>
            </w:r>
            <w:r>
              <w:rPr>
                <w:sz w:val="16"/>
              </w:rPr>
              <w:t>power</w:t>
            </w:r>
            <w:r>
              <w:rPr>
                <w:spacing w:val="-4"/>
                <w:sz w:val="16"/>
              </w:rPr>
              <w:t xml:space="preserve"> </w:t>
            </w:r>
            <w:r>
              <w:rPr>
                <w:sz w:val="16"/>
              </w:rPr>
              <w:t>ultrasound;</w:t>
            </w:r>
          </w:p>
          <w:p w:rsidR="00A56FE9" w:rsidRDefault="00000000">
            <w:pPr>
              <w:pStyle w:val="TableParagraph"/>
              <w:spacing w:line="183" w:lineRule="exact"/>
              <w:ind w:left="57"/>
              <w:rPr>
                <w:sz w:val="16"/>
              </w:rPr>
            </w:pPr>
            <w:r>
              <w:rPr>
                <w:sz w:val="16"/>
              </w:rPr>
              <w:t>-Lower</w:t>
            </w:r>
            <w:r>
              <w:rPr>
                <w:spacing w:val="-5"/>
                <w:sz w:val="16"/>
              </w:rPr>
              <w:t xml:space="preserve"> </w:t>
            </w:r>
            <w:r>
              <w:rPr>
                <w:sz w:val="16"/>
              </w:rPr>
              <w:t>power</w:t>
            </w:r>
            <w:r>
              <w:rPr>
                <w:spacing w:val="-5"/>
                <w:sz w:val="16"/>
              </w:rPr>
              <w:t xml:space="preserve"> </w:t>
            </w:r>
            <w:r>
              <w:rPr>
                <w:sz w:val="16"/>
              </w:rPr>
              <w:t>ultrasound;</w:t>
            </w:r>
          </w:p>
          <w:p w:rsidR="00A56FE9" w:rsidRDefault="00000000">
            <w:pPr>
              <w:pStyle w:val="TableParagraph"/>
              <w:ind w:left="57"/>
              <w:rPr>
                <w:sz w:val="16"/>
              </w:rPr>
            </w:pPr>
            <w:r>
              <w:rPr>
                <w:sz w:val="16"/>
              </w:rPr>
              <w:t>-Magnetic</w:t>
            </w:r>
            <w:r>
              <w:rPr>
                <w:spacing w:val="-1"/>
                <w:sz w:val="16"/>
              </w:rPr>
              <w:t xml:space="preserve"> </w:t>
            </w:r>
            <w:r>
              <w:rPr>
                <w:sz w:val="16"/>
              </w:rPr>
              <w:t>resonance</w:t>
            </w:r>
            <w:r>
              <w:rPr>
                <w:spacing w:val="-6"/>
                <w:sz w:val="16"/>
              </w:rPr>
              <w:t xml:space="preserve"> </w:t>
            </w:r>
            <w:r>
              <w:rPr>
                <w:sz w:val="16"/>
              </w:rPr>
              <w:t>MR</w:t>
            </w:r>
            <w:r>
              <w:rPr>
                <w:spacing w:val="-3"/>
                <w:sz w:val="16"/>
              </w:rPr>
              <w:t xml:space="preserve"> </w:t>
            </w:r>
            <w:r>
              <w:rPr>
                <w:sz w:val="16"/>
              </w:rPr>
              <w:t>3T;</w:t>
            </w:r>
          </w:p>
          <w:p w:rsidR="00A56FE9" w:rsidRDefault="00000000">
            <w:pPr>
              <w:pStyle w:val="TableParagraph"/>
              <w:spacing w:before="1" w:line="183" w:lineRule="exact"/>
              <w:ind w:left="57"/>
              <w:rPr>
                <w:sz w:val="16"/>
              </w:rPr>
            </w:pPr>
            <w:r>
              <w:rPr>
                <w:sz w:val="16"/>
              </w:rPr>
              <w:t>-Mammography</w:t>
            </w:r>
            <w:r>
              <w:rPr>
                <w:spacing w:val="-6"/>
                <w:sz w:val="16"/>
              </w:rPr>
              <w:t xml:space="preserve"> </w:t>
            </w:r>
            <w:r>
              <w:rPr>
                <w:sz w:val="16"/>
              </w:rPr>
              <w:t>scanner;</w:t>
            </w:r>
          </w:p>
          <w:p w:rsidR="00A56FE9" w:rsidRDefault="00000000">
            <w:pPr>
              <w:pStyle w:val="TableParagraph"/>
              <w:spacing w:line="183" w:lineRule="exact"/>
              <w:ind w:left="57"/>
              <w:rPr>
                <w:sz w:val="16"/>
              </w:rPr>
            </w:pPr>
            <w:r>
              <w:rPr>
                <w:sz w:val="16"/>
              </w:rPr>
              <w:t>-Multi-slice</w:t>
            </w:r>
            <w:r>
              <w:rPr>
                <w:spacing w:val="-6"/>
                <w:sz w:val="16"/>
              </w:rPr>
              <w:t xml:space="preserve"> </w:t>
            </w:r>
            <w:r>
              <w:rPr>
                <w:sz w:val="16"/>
              </w:rPr>
              <w:t>computer</w:t>
            </w:r>
            <w:r>
              <w:rPr>
                <w:spacing w:val="-5"/>
                <w:sz w:val="16"/>
              </w:rPr>
              <w:t xml:space="preserve"> </w:t>
            </w:r>
            <w:r>
              <w:rPr>
                <w:sz w:val="16"/>
              </w:rPr>
              <w:t>tomography</w:t>
            </w:r>
            <w:r>
              <w:rPr>
                <w:spacing w:val="-7"/>
                <w:sz w:val="16"/>
              </w:rPr>
              <w:t xml:space="preserve"> </w:t>
            </w:r>
            <w:r>
              <w:rPr>
                <w:sz w:val="16"/>
              </w:rPr>
              <w:t>(MSCT);</w:t>
            </w:r>
          </w:p>
          <w:p w:rsidR="00A56FE9" w:rsidRDefault="00000000">
            <w:pPr>
              <w:pStyle w:val="TableParagraph"/>
              <w:ind w:left="57"/>
              <w:rPr>
                <w:sz w:val="16"/>
              </w:rPr>
            </w:pPr>
            <w:r>
              <w:rPr>
                <w:sz w:val="16"/>
              </w:rPr>
              <w:t>-Ultrasound;</w:t>
            </w:r>
          </w:p>
          <w:p w:rsidR="00A56FE9" w:rsidRDefault="00000000">
            <w:pPr>
              <w:pStyle w:val="TableParagraph"/>
              <w:spacing w:before="1"/>
              <w:ind w:left="57"/>
              <w:rPr>
                <w:sz w:val="16"/>
              </w:rPr>
            </w:pPr>
            <w:r>
              <w:rPr>
                <w:sz w:val="16"/>
              </w:rPr>
              <w:t>-Ultrasound with 3D/4D convex, 3D/4D</w:t>
            </w:r>
            <w:r>
              <w:rPr>
                <w:spacing w:val="1"/>
                <w:sz w:val="16"/>
              </w:rPr>
              <w:t xml:space="preserve"> </w:t>
            </w:r>
            <w:r>
              <w:rPr>
                <w:sz w:val="16"/>
              </w:rPr>
              <w:t>vaginal,</w:t>
            </w:r>
            <w:r>
              <w:rPr>
                <w:spacing w:val="-4"/>
                <w:sz w:val="16"/>
              </w:rPr>
              <w:t xml:space="preserve"> </w:t>
            </w:r>
            <w:r>
              <w:rPr>
                <w:sz w:val="16"/>
              </w:rPr>
              <w:t>2</w:t>
            </w:r>
            <w:r>
              <w:rPr>
                <w:spacing w:val="-1"/>
                <w:sz w:val="16"/>
              </w:rPr>
              <w:t xml:space="preserve"> </w:t>
            </w:r>
            <w:r>
              <w:rPr>
                <w:sz w:val="16"/>
              </w:rPr>
              <w:t>D</w:t>
            </w:r>
            <w:r>
              <w:rPr>
                <w:spacing w:val="-4"/>
                <w:sz w:val="16"/>
              </w:rPr>
              <w:t xml:space="preserve"> </w:t>
            </w:r>
            <w:r>
              <w:rPr>
                <w:sz w:val="16"/>
              </w:rPr>
              <w:t>vaginal</w:t>
            </w:r>
            <w:r>
              <w:rPr>
                <w:spacing w:val="-3"/>
                <w:sz w:val="16"/>
              </w:rPr>
              <w:t xml:space="preserve"> </w:t>
            </w:r>
            <w:r>
              <w:rPr>
                <w:sz w:val="16"/>
              </w:rPr>
              <w:t>and</w:t>
            </w:r>
            <w:r>
              <w:rPr>
                <w:spacing w:val="-2"/>
                <w:sz w:val="16"/>
              </w:rPr>
              <w:t xml:space="preserve"> </w:t>
            </w:r>
            <w:r>
              <w:rPr>
                <w:sz w:val="16"/>
              </w:rPr>
              <w:t>2D</w:t>
            </w:r>
            <w:r>
              <w:rPr>
                <w:spacing w:val="-5"/>
                <w:sz w:val="16"/>
              </w:rPr>
              <w:t xml:space="preserve"> </w:t>
            </w:r>
            <w:r>
              <w:rPr>
                <w:sz w:val="16"/>
              </w:rPr>
              <w:t>convex</w:t>
            </w:r>
            <w:r>
              <w:rPr>
                <w:spacing w:val="-3"/>
                <w:sz w:val="16"/>
              </w:rPr>
              <w:t xml:space="preserve"> </w:t>
            </w:r>
            <w:r>
              <w:rPr>
                <w:sz w:val="16"/>
              </w:rPr>
              <w:t>probe</w:t>
            </w:r>
            <w:r>
              <w:rPr>
                <w:spacing w:val="-3"/>
                <w:sz w:val="16"/>
              </w:rPr>
              <w:t xml:space="preserve"> </w:t>
            </w:r>
            <w:r>
              <w:rPr>
                <w:sz w:val="16"/>
              </w:rPr>
              <w:t>and</w:t>
            </w:r>
            <w:r>
              <w:rPr>
                <w:spacing w:val="-37"/>
                <w:sz w:val="16"/>
              </w:rPr>
              <w:t xml:space="preserve"> </w:t>
            </w:r>
            <w:r>
              <w:rPr>
                <w:sz w:val="16"/>
              </w:rPr>
              <w:t>printer;</w:t>
            </w:r>
          </w:p>
          <w:p w:rsidR="00A56FE9" w:rsidRDefault="00000000">
            <w:pPr>
              <w:pStyle w:val="TableParagraph"/>
              <w:spacing w:line="168" w:lineRule="exact"/>
              <w:ind w:left="57"/>
              <w:rPr>
                <w:sz w:val="16"/>
              </w:rPr>
            </w:pPr>
            <w:r>
              <w:rPr>
                <w:sz w:val="16"/>
              </w:rPr>
              <w:t>-Ultrasound</w:t>
            </w:r>
            <w:r>
              <w:rPr>
                <w:spacing w:val="-3"/>
                <w:sz w:val="16"/>
              </w:rPr>
              <w:t xml:space="preserve"> </w:t>
            </w:r>
            <w:r>
              <w:rPr>
                <w:sz w:val="16"/>
              </w:rPr>
              <w:t>High</w:t>
            </w:r>
            <w:r>
              <w:rPr>
                <w:spacing w:val="-2"/>
                <w:sz w:val="16"/>
              </w:rPr>
              <w:t xml:space="preserve"> </w:t>
            </w:r>
            <w:r>
              <w:rPr>
                <w:sz w:val="16"/>
              </w:rPr>
              <w:t>Class</w:t>
            </w:r>
            <w:r>
              <w:rPr>
                <w:spacing w:val="-6"/>
                <w:sz w:val="16"/>
              </w:rPr>
              <w:t xml:space="preserve"> </w:t>
            </w:r>
            <w:r>
              <w:rPr>
                <w:sz w:val="16"/>
              </w:rPr>
              <w:t>Color</w:t>
            </w:r>
            <w:r>
              <w:rPr>
                <w:spacing w:val="-4"/>
                <w:sz w:val="16"/>
              </w:rPr>
              <w:t xml:space="preserve"> </w:t>
            </w:r>
            <w:r>
              <w:rPr>
                <w:sz w:val="16"/>
              </w:rPr>
              <w:t>Doppler.</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304"/>
              <w:rPr>
                <w:sz w:val="16"/>
              </w:rPr>
            </w:pPr>
            <w:r>
              <w:rPr>
                <w:sz w:val="16"/>
              </w:rPr>
              <w:t>30,550,000</w:t>
            </w:r>
          </w:p>
        </w:tc>
      </w:tr>
      <w:tr w:rsidR="00A56FE9">
        <w:trPr>
          <w:trHeight w:val="2944"/>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87</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75"/>
              <w:jc w:val="right"/>
              <w:rPr>
                <w:sz w:val="16"/>
              </w:rPr>
            </w:pPr>
            <w:r>
              <w:rPr>
                <w:sz w:val="16"/>
              </w:rPr>
              <w:t>346</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2020.CSR1</w:t>
            </w:r>
          </w:p>
          <w:p w:rsidR="00A56FE9" w:rsidRDefault="00000000">
            <w:pPr>
              <w:pStyle w:val="TableParagraph"/>
              <w:ind w:left="50" w:right="38"/>
              <w:rPr>
                <w:sz w:val="16"/>
              </w:rPr>
            </w:pPr>
            <w:r>
              <w:rPr>
                <w:sz w:val="16"/>
              </w:rPr>
              <w:t>.subpart2,</w:t>
            </w:r>
            <w:r>
              <w:rPr>
                <w:spacing w:val="1"/>
                <w:sz w:val="16"/>
              </w:rPr>
              <w:t xml:space="preserve"> </w:t>
            </w:r>
            <w:r>
              <w:rPr>
                <w:spacing w:val="-1"/>
                <w:sz w:val="16"/>
              </w:rPr>
              <w:t>2020.CSR2</w:t>
            </w:r>
          </w:p>
          <w:p w:rsidR="00A56FE9" w:rsidRDefault="00000000">
            <w:pPr>
              <w:pStyle w:val="TableParagraph"/>
              <w:spacing w:before="1"/>
              <w:ind w:left="50"/>
              <w:rPr>
                <w:sz w:val="16"/>
              </w:rPr>
            </w:pPr>
            <w:r>
              <w:rPr>
                <w:sz w:val="16"/>
              </w:rPr>
              <w:t>.subpart3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0" w:lineRule="exact"/>
              <w:ind w:left="50"/>
              <w:rPr>
                <w:sz w:val="16"/>
              </w:rPr>
            </w:pPr>
            <w:r>
              <w:rPr>
                <w:sz w:val="16"/>
              </w:rPr>
              <w:t>5</w:t>
            </w:r>
            <w:r>
              <w:rPr>
                <w:spacing w:val="1"/>
                <w:sz w:val="16"/>
              </w:rPr>
              <w:t xml:space="preserve"> </w:t>
            </w:r>
            <w:r>
              <w:rPr>
                <w:sz w:val="16"/>
              </w:rPr>
              <w:t>-</w:t>
            </w:r>
            <w:r>
              <w:rPr>
                <w:spacing w:val="-1"/>
                <w:sz w:val="16"/>
              </w:rPr>
              <w:t xml:space="preserve"> </w:t>
            </w:r>
            <w:r>
              <w:rPr>
                <w:sz w:val="16"/>
              </w:rPr>
              <w:t>HEALTH</w:t>
            </w:r>
            <w:r>
              <w:rPr>
                <w:spacing w:val="-2"/>
                <w:sz w:val="16"/>
              </w:rPr>
              <w:t xml:space="preserve"> </w:t>
            </w:r>
            <w:r>
              <w:rPr>
                <w:sz w:val="16"/>
              </w:rPr>
              <w:t>CARE -</w:t>
            </w:r>
          </w:p>
          <w:p w:rsidR="00A56FE9" w:rsidRDefault="00000000">
            <w:pPr>
              <w:pStyle w:val="TableParagraph"/>
              <w:spacing w:line="183" w:lineRule="exact"/>
              <w:ind w:left="50"/>
              <w:rPr>
                <w:sz w:val="16"/>
              </w:rPr>
            </w:pPr>
            <w:r>
              <w:rPr>
                <w:sz w:val="16"/>
              </w:rPr>
              <w:t>C5.1.</w:t>
            </w:r>
            <w:r>
              <w:rPr>
                <w:spacing w:val="-2"/>
                <w:sz w:val="16"/>
              </w:rPr>
              <w:t xml:space="preserve"> </w:t>
            </w:r>
            <w:r>
              <w:rPr>
                <w:sz w:val="16"/>
              </w:rPr>
              <w:t>R5</w:t>
            </w:r>
            <w:r>
              <w:rPr>
                <w:spacing w:val="-1"/>
                <w:sz w:val="16"/>
              </w:rPr>
              <w:t xml:space="preserve"> </w:t>
            </w:r>
            <w:r>
              <w:rPr>
                <w:sz w:val="16"/>
              </w:rPr>
              <w:t>eHealth</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37"/>
              <w:rPr>
                <w:sz w:val="16"/>
              </w:rPr>
            </w:pPr>
            <w:r>
              <w:rPr>
                <w:sz w:val="16"/>
              </w:rPr>
              <w:t>Improvement and</w:t>
            </w:r>
            <w:r>
              <w:rPr>
                <w:spacing w:val="1"/>
                <w:sz w:val="16"/>
              </w:rPr>
              <w:t xml:space="preserve"> </w:t>
            </w:r>
            <w:r>
              <w:rPr>
                <w:sz w:val="16"/>
              </w:rPr>
              <w:t>extension of telemedical</w:t>
            </w:r>
            <w:r>
              <w:rPr>
                <w:spacing w:val="-37"/>
                <w:sz w:val="16"/>
              </w:rPr>
              <w:t xml:space="preserve"> </w:t>
            </w:r>
            <w:r>
              <w:rPr>
                <w:sz w:val="16"/>
              </w:rPr>
              <w:t>services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30"/>
              <w:rPr>
                <w:sz w:val="16"/>
              </w:rPr>
            </w:pPr>
            <w:r>
              <w:rPr>
                <w:sz w:val="16"/>
              </w:rPr>
              <w:t>Entry into</w:t>
            </w:r>
            <w:r>
              <w:rPr>
                <w:spacing w:val="1"/>
                <w:sz w:val="16"/>
              </w:rPr>
              <w:t xml:space="preserve"> </w:t>
            </w:r>
            <w:r>
              <w:rPr>
                <w:sz w:val="16"/>
              </w:rPr>
              <w:t>force of a</w:t>
            </w:r>
            <w:r>
              <w:rPr>
                <w:spacing w:val="1"/>
                <w:sz w:val="16"/>
              </w:rPr>
              <w:t xml:space="preserve"> </w:t>
            </w:r>
            <w:r>
              <w:rPr>
                <w:sz w:val="16"/>
              </w:rPr>
              <w:t>national</w:t>
            </w:r>
            <w:r>
              <w:rPr>
                <w:spacing w:val="1"/>
                <w:sz w:val="16"/>
              </w:rPr>
              <w:t xml:space="preserve"> </w:t>
            </w:r>
            <w:r>
              <w:rPr>
                <w:sz w:val="16"/>
              </w:rPr>
              <w:t>telemedical</w:t>
            </w:r>
            <w:r>
              <w:rPr>
                <w:spacing w:val="1"/>
                <w:sz w:val="16"/>
              </w:rPr>
              <w:t xml:space="preserve"> </w:t>
            </w:r>
            <w:r>
              <w:rPr>
                <w:sz w:val="16"/>
              </w:rPr>
              <w:t>framework</w:t>
            </w:r>
            <w:r>
              <w:rPr>
                <w:spacing w:val="1"/>
                <w:sz w:val="16"/>
              </w:rPr>
              <w:t xml:space="preserve"> </w:t>
            </w:r>
            <w:r>
              <w:rPr>
                <w:sz w:val="16"/>
              </w:rPr>
              <w:t>extending the</w:t>
            </w:r>
            <w:r>
              <w:rPr>
                <w:spacing w:val="-37"/>
                <w:sz w:val="16"/>
              </w:rPr>
              <w:t xml:space="preserve"> </w:t>
            </w:r>
            <w:r>
              <w:rPr>
                <w:sz w:val="16"/>
              </w:rPr>
              <w:t>scope of</w:t>
            </w:r>
            <w:r>
              <w:rPr>
                <w:spacing w:val="1"/>
                <w:sz w:val="16"/>
              </w:rPr>
              <w:t xml:space="preserve"> </w:t>
            </w:r>
            <w:r>
              <w:rPr>
                <w:sz w:val="16"/>
              </w:rPr>
              <w:t>telemedical</w:t>
            </w:r>
            <w:r>
              <w:rPr>
                <w:spacing w:val="1"/>
                <w:sz w:val="16"/>
              </w:rPr>
              <w:t xml:space="preserve"> </w:t>
            </w:r>
            <w:r>
              <w:rPr>
                <w:sz w:val="16"/>
              </w:rPr>
              <w:t>services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9"/>
              <w:rPr>
                <w:sz w:val="16"/>
              </w:rPr>
            </w:pPr>
            <w:r>
              <w:rPr>
                <w:sz w:val="16"/>
              </w:rPr>
              <w:t>Croatian</w:t>
            </w:r>
            <w:r>
              <w:rPr>
                <w:spacing w:val="1"/>
                <w:sz w:val="16"/>
              </w:rPr>
              <w:t xml:space="preserve"> </w:t>
            </w:r>
            <w:r>
              <w:rPr>
                <w:sz w:val="16"/>
              </w:rPr>
              <w:t>Institute of</w:t>
            </w:r>
            <w:r>
              <w:rPr>
                <w:spacing w:val="-37"/>
                <w:sz w:val="16"/>
              </w:rPr>
              <w:t xml:space="preserve"> </w:t>
            </w:r>
            <w:r>
              <w:rPr>
                <w:sz w:val="16"/>
              </w:rPr>
              <w:t>Emergency</w:t>
            </w:r>
            <w:r>
              <w:rPr>
                <w:spacing w:val="-37"/>
                <w:sz w:val="16"/>
              </w:rPr>
              <w:t xml:space="preserve"> </w:t>
            </w:r>
            <w:r>
              <w:rPr>
                <w:sz w:val="16"/>
              </w:rPr>
              <w:t>Medicine</w:t>
            </w:r>
            <w:r>
              <w:rPr>
                <w:spacing w:val="1"/>
                <w:sz w:val="16"/>
              </w:rPr>
              <w:t xml:space="preserve"> </w:t>
            </w:r>
            <w:r>
              <w:rPr>
                <w:sz w:val="16"/>
              </w:rPr>
              <w:t>(CIEM)</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55"/>
              <w:rPr>
                <w:sz w:val="16"/>
              </w:rPr>
            </w:pPr>
            <w:r>
              <w:rPr>
                <w:sz w:val="16"/>
              </w:rPr>
              <w:t>The reform shall introduce provisions for the</w:t>
            </w:r>
            <w:r>
              <w:rPr>
                <w:spacing w:val="1"/>
                <w:sz w:val="16"/>
              </w:rPr>
              <w:t xml:space="preserve"> </w:t>
            </w:r>
            <w:r>
              <w:rPr>
                <w:sz w:val="16"/>
              </w:rPr>
              <w:t>establishment of a functional national</w:t>
            </w:r>
            <w:r>
              <w:rPr>
                <w:spacing w:val="1"/>
                <w:sz w:val="16"/>
              </w:rPr>
              <w:t xml:space="preserve"> </w:t>
            </w:r>
            <w:r>
              <w:rPr>
                <w:sz w:val="16"/>
              </w:rPr>
              <w:t>telemedical framework for the transmission of</w:t>
            </w:r>
            <w:r>
              <w:rPr>
                <w:spacing w:val="-38"/>
                <w:sz w:val="16"/>
              </w:rPr>
              <w:t xml:space="preserve"> </w:t>
            </w:r>
            <w:r>
              <w:rPr>
                <w:sz w:val="16"/>
              </w:rPr>
              <w:t>patient vital parameters from Emergency</w:t>
            </w:r>
            <w:r>
              <w:rPr>
                <w:spacing w:val="1"/>
                <w:sz w:val="16"/>
              </w:rPr>
              <w:t xml:space="preserve"> </w:t>
            </w:r>
            <w:r>
              <w:rPr>
                <w:sz w:val="16"/>
              </w:rPr>
              <w:t>Health Service (HMS) to Joint Emergency</w:t>
            </w:r>
            <w:r>
              <w:rPr>
                <w:spacing w:val="1"/>
                <w:sz w:val="16"/>
              </w:rPr>
              <w:t xml:space="preserve"> </w:t>
            </w:r>
            <w:r>
              <w:rPr>
                <w:sz w:val="16"/>
              </w:rPr>
              <w:t>Hospital Service (OHBP) and remote</w:t>
            </w:r>
            <w:r>
              <w:rPr>
                <w:spacing w:val="1"/>
                <w:sz w:val="16"/>
              </w:rPr>
              <w:t xml:space="preserve"> </w:t>
            </w:r>
            <w:r>
              <w:rPr>
                <w:sz w:val="16"/>
              </w:rPr>
              <w:t>monitoring of outpatient Emergency Health</w:t>
            </w:r>
            <w:r>
              <w:rPr>
                <w:spacing w:val="1"/>
                <w:sz w:val="16"/>
              </w:rPr>
              <w:t xml:space="preserve"> </w:t>
            </w:r>
            <w:r>
              <w:rPr>
                <w:sz w:val="16"/>
              </w:rPr>
              <w:t>Service (HMS). The project shall deliver: i).</w:t>
            </w:r>
            <w:r>
              <w:rPr>
                <w:spacing w:val="1"/>
                <w:sz w:val="16"/>
              </w:rPr>
              <w:t xml:space="preserve"> </w:t>
            </w:r>
            <w:r>
              <w:rPr>
                <w:sz w:val="16"/>
              </w:rPr>
              <w:t>Situational analysis; ii) National framework</w:t>
            </w:r>
            <w:r>
              <w:rPr>
                <w:spacing w:val="1"/>
                <w:sz w:val="16"/>
              </w:rPr>
              <w:t xml:space="preserve"> </w:t>
            </w:r>
            <w:r>
              <w:rPr>
                <w:sz w:val="16"/>
              </w:rPr>
              <w:t>for establishing remote Emergency Health</w:t>
            </w:r>
            <w:r>
              <w:rPr>
                <w:spacing w:val="1"/>
                <w:sz w:val="16"/>
              </w:rPr>
              <w:t xml:space="preserve"> </w:t>
            </w:r>
            <w:r>
              <w:rPr>
                <w:sz w:val="16"/>
              </w:rPr>
              <w:t>Service (HMS) surveillance and iii) An action</w:t>
            </w:r>
            <w:r>
              <w:rPr>
                <w:spacing w:val="-37"/>
                <w:sz w:val="16"/>
              </w:rPr>
              <w:t xml:space="preserve"> </w:t>
            </w:r>
            <w:r>
              <w:rPr>
                <w:sz w:val="16"/>
              </w:rPr>
              <w:t>plan for the introduction of supervision and a</w:t>
            </w:r>
            <w:r>
              <w:rPr>
                <w:spacing w:val="1"/>
                <w:sz w:val="16"/>
              </w:rPr>
              <w:t xml:space="preserve"> </w:t>
            </w:r>
            <w:r>
              <w:rPr>
                <w:sz w:val="16"/>
              </w:rPr>
              <w:t>framework</w:t>
            </w:r>
            <w:r>
              <w:rPr>
                <w:spacing w:val="-2"/>
                <w:sz w:val="16"/>
              </w:rPr>
              <w:t xml:space="preserve"> </w:t>
            </w:r>
            <w:r>
              <w:rPr>
                <w:sz w:val="16"/>
              </w:rPr>
              <w:t>for</w:t>
            </w:r>
            <w:r>
              <w:rPr>
                <w:spacing w:val="-3"/>
                <w:sz w:val="16"/>
              </w:rPr>
              <w:t xml:space="preserve"> </w:t>
            </w:r>
            <w:r>
              <w:rPr>
                <w:sz w:val="16"/>
              </w:rPr>
              <w:t>monitoring</w:t>
            </w:r>
            <w:r>
              <w:rPr>
                <w:spacing w:val="-5"/>
                <w:sz w:val="16"/>
              </w:rPr>
              <w:t xml:space="preserve"> </w:t>
            </w:r>
            <w:r>
              <w:rPr>
                <w:sz w:val="16"/>
              </w:rPr>
              <w:t>implementation.</w:t>
            </w:r>
          </w:p>
          <w:p w:rsidR="00A56FE9" w:rsidRDefault="00000000">
            <w:pPr>
              <w:pStyle w:val="TableParagraph"/>
              <w:spacing w:line="183" w:lineRule="exact"/>
              <w:ind w:left="57"/>
              <w:rPr>
                <w:sz w:val="16"/>
              </w:rPr>
            </w:pPr>
            <w:r>
              <w:rPr>
                <w:sz w:val="16"/>
              </w:rPr>
              <w:t>Given</w:t>
            </w:r>
            <w:r>
              <w:rPr>
                <w:spacing w:val="-3"/>
                <w:sz w:val="16"/>
              </w:rPr>
              <w:t xml:space="preserve"> </w:t>
            </w:r>
            <w:r>
              <w:rPr>
                <w:sz w:val="16"/>
              </w:rPr>
              <w:t>the</w:t>
            </w:r>
            <w:r>
              <w:rPr>
                <w:spacing w:val="-5"/>
                <w:sz w:val="16"/>
              </w:rPr>
              <w:t xml:space="preserve"> </w:t>
            </w:r>
            <w:r>
              <w:rPr>
                <w:sz w:val="16"/>
              </w:rPr>
              <w:t>limited</w:t>
            </w:r>
            <w:r>
              <w:rPr>
                <w:spacing w:val="-5"/>
                <w:sz w:val="16"/>
              </w:rPr>
              <w:t xml:space="preserve"> </w:t>
            </w:r>
            <w:r>
              <w:rPr>
                <w:sz w:val="16"/>
              </w:rPr>
              <w:t>resources</w:t>
            </w:r>
            <w:r>
              <w:rPr>
                <w:spacing w:val="-3"/>
                <w:sz w:val="16"/>
              </w:rPr>
              <w:t xml:space="preserve"> </w:t>
            </w:r>
            <w:r>
              <w:rPr>
                <w:sz w:val="16"/>
              </w:rPr>
              <w:t>and</w:t>
            </w:r>
            <w:r>
              <w:rPr>
                <w:spacing w:val="-4"/>
                <w:sz w:val="16"/>
              </w:rPr>
              <w:t xml:space="preserve"> </w:t>
            </w:r>
            <w:r>
              <w:rPr>
                <w:sz w:val="16"/>
              </w:rPr>
              <w:t>duration</w:t>
            </w:r>
            <w:r>
              <w:rPr>
                <w:spacing w:val="-3"/>
                <w:sz w:val="16"/>
              </w:rPr>
              <w:t xml:space="preserve"> </w:t>
            </w:r>
            <w:r>
              <w:rPr>
                <w:sz w:val="16"/>
              </w:rPr>
              <w:t>of</w:t>
            </w:r>
          </w:p>
          <w:p w:rsidR="00A56FE9" w:rsidRDefault="00000000">
            <w:pPr>
              <w:pStyle w:val="TableParagraph"/>
              <w:spacing w:line="182" w:lineRule="exact"/>
              <w:ind w:left="57"/>
              <w:rPr>
                <w:sz w:val="16"/>
              </w:rPr>
            </w:pPr>
            <w:r>
              <w:rPr>
                <w:sz w:val="16"/>
              </w:rPr>
              <w:t>technical assistance, the teleradiology</w:t>
            </w:r>
            <w:r>
              <w:rPr>
                <w:spacing w:val="1"/>
                <w:sz w:val="16"/>
              </w:rPr>
              <w:t xml:space="preserve"> </w:t>
            </w:r>
            <w:r>
              <w:rPr>
                <w:sz w:val="16"/>
              </w:rPr>
              <w:t>component</w:t>
            </w:r>
            <w:r>
              <w:rPr>
                <w:spacing w:val="-2"/>
                <w:sz w:val="16"/>
              </w:rPr>
              <w:t xml:space="preserve"> </w:t>
            </w:r>
            <w:r>
              <w:rPr>
                <w:sz w:val="16"/>
              </w:rPr>
              <w:t>shall</w:t>
            </w:r>
            <w:r>
              <w:rPr>
                <w:spacing w:val="-4"/>
                <w:sz w:val="16"/>
              </w:rPr>
              <w:t xml:space="preserve"> </w:t>
            </w:r>
            <w:r>
              <w:rPr>
                <w:sz w:val="16"/>
              </w:rPr>
              <w:t>only</w:t>
            </w:r>
            <w:r>
              <w:rPr>
                <w:spacing w:val="-6"/>
                <w:sz w:val="16"/>
              </w:rPr>
              <w:t xml:space="preserve"> </w:t>
            </w:r>
            <w:r>
              <w:rPr>
                <w:sz w:val="16"/>
              </w:rPr>
              <w:t>be</w:t>
            </w:r>
            <w:r>
              <w:rPr>
                <w:spacing w:val="-4"/>
                <w:sz w:val="16"/>
              </w:rPr>
              <w:t xml:space="preserve"> </w:t>
            </w:r>
            <w:r>
              <w:rPr>
                <w:sz w:val="16"/>
              </w:rPr>
              <w:t>an</w:t>
            </w:r>
            <w:r>
              <w:rPr>
                <w:spacing w:val="-4"/>
                <w:sz w:val="16"/>
              </w:rPr>
              <w:t xml:space="preserve"> </w:t>
            </w:r>
            <w:r>
              <w:rPr>
                <w:sz w:val="16"/>
              </w:rPr>
              <w:t>introductory</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362"/>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4" w:lineRule="exact"/>
              <w:ind w:left="57"/>
              <w:rPr>
                <w:sz w:val="16"/>
              </w:rPr>
            </w:pPr>
            <w:r>
              <w:rPr>
                <w:sz w:val="16"/>
              </w:rPr>
              <w:t>component</w:t>
            </w:r>
            <w:r>
              <w:rPr>
                <w:spacing w:val="-2"/>
                <w:sz w:val="16"/>
              </w:rPr>
              <w:t xml:space="preserve"> </w:t>
            </w:r>
            <w:r>
              <w:rPr>
                <w:sz w:val="16"/>
              </w:rPr>
              <w:t>at</w:t>
            </w:r>
            <w:r>
              <w:rPr>
                <w:spacing w:val="-3"/>
                <w:sz w:val="16"/>
              </w:rPr>
              <w:t xml:space="preserve"> </w:t>
            </w:r>
            <w:r>
              <w:rPr>
                <w:sz w:val="16"/>
              </w:rPr>
              <w:t>the</w:t>
            </w:r>
            <w:r>
              <w:rPr>
                <w:spacing w:val="-4"/>
                <w:sz w:val="16"/>
              </w:rPr>
              <w:t xml:space="preserve"> </w:t>
            </w:r>
            <w:r>
              <w:rPr>
                <w:sz w:val="16"/>
              </w:rPr>
              <w:t>level</w:t>
            </w:r>
            <w:r>
              <w:rPr>
                <w:spacing w:val="-4"/>
                <w:sz w:val="16"/>
              </w:rPr>
              <w:t xml:space="preserve"> </w:t>
            </w:r>
            <w:r>
              <w:rPr>
                <w:sz w:val="16"/>
              </w:rPr>
              <w:t>of</w:t>
            </w:r>
            <w:r>
              <w:rPr>
                <w:spacing w:val="-3"/>
                <w:sz w:val="16"/>
              </w:rPr>
              <w:t xml:space="preserve"> </w:t>
            </w:r>
            <w:r>
              <w:rPr>
                <w:sz w:val="16"/>
              </w:rPr>
              <w:t>best</w:t>
            </w:r>
            <w:r>
              <w:rPr>
                <w:spacing w:val="-1"/>
                <w:sz w:val="16"/>
              </w:rPr>
              <w:t xml:space="preserve"> </w:t>
            </w:r>
            <w:r>
              <w:rPr>
                <w:sz w:val="16"/>
              </w:rPr>
              <w:t>practice</w:t>
            </w:r>
          </w:p>
          <w:p w:rsidR="00A56FE9" w:rsidRDefault="00000000">
            <w:pPr>
              <w:pStyle w:val="TableParagraph"/>
              <w:spacing w:before="1" w:line="168" w:lineRule="exact"/>
              <w:ind w:left="57"/>
              <w:rPr>
                <w:sz w:val="16"/>
              </w:rPr>
            </w:pPr>
            <w:r>
              <w:rPr>
                <w:sz w:val="16"/>
              </w:rPr>
              <w:t>mapping.</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r w:rsidR="00A56FE9">
        <w:trPr>
          <w:trHeight w:val="2575"/>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88</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75"/>
              <w:jc w:val="right"/>
              <w:rPr>
                <w:sz w:val="16"/>
              </w:rPr>
            </w:pPr>
            <w:r>
              <w:rPr>
                <w:sz w:val="16"/>
              </w:rPr>
              <w:t>348</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2020.CSR1</w:t>
            </w:r>
          </w:p>
          <w:p w:rsidR="00A56FE9" w:rsidRDefault="00000000">
            <w:pPr>
              <w:pStyle w:val="TableParagraph"/>
              <w:spacing w:before="1"/>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344"/>
              <w:rPr>
                <w:sz w:val="16"/>
              </w:rPr>
            </w:pPr>
            <w:r>
              <w:rPr>
                <w:sz w:val="16"/>
              </w:rPr>
              <w:t>5 - HEALTH CARE -</w:t>
            </w:r>
            <w:r>
              <w:rPr>
                <w:spacing w:val="-37"/>
                <w:sz w:val="16"/>
              </w:rPr>
              <w:t xml:space="preserve"> </w:t>
            </w:r>
            <w:r>
              <w:rPr>
                <w:sz w:val="16"/>
              </w:rPr>
              <w:t>C5.1. R5-I2</w:t>
            </w:r>
            <w:r>
              <w:rPr>
                <w:spacing w:val="1"/>
                <w:sz w:val="16"/>
              </w:rPr>
              <w:t xml:space="preserve"> </w:t>
            </w:r>
            <w:r>
              <w:rPr>
                <w:sz w:val="16"/>
              </w:rPr>
              <w:t>TELECORDIS</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598"/>
              <w:rPr>
                <w:sz w:val="16"/>
              </w:rPr>
            </w:pPr>
            <w:r>
              <w:rPr>
                <w:spacing w:val="-1"/>
                <w:sz w:val="16"/>
              </w:rPr>
              <w:t>Telecardiological</w:t>
            </w:r>
            <w:r>
              <w:rPr>
                <w:spacing w:val="-37"/>
                <w:sz w:val="16"/>
              </w:rPr>
              <w:t xml:space="preserve"> </w:t>
            </w:r>
            <w:r>
              <w:rPr>
                <w:sz w:val="16"/>
              </w:rPr>
              <w:t>services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0" w:right="41"/>
              <w:jc w:val="center"/>
              <w:rPr>
                <w:sz w:val="16"/>
              </w:rPr>
            </w:pPr>
            <w:r>
              <w:rPr>
                <w:sz w:val="16"/>
              </w:rPr>
              <w:t>40</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Q1</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2023</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9"/>
              <w:rPr>
                <w:sz w:val="16"/>
              </w:rPr>
            </w:pPr>
            <w:r>
              <w:rPr>
                <w:sz w:val="16"/>
              </w:rPr>
              <w:t>Croatian</w:t>
            </w:r>
            <w:r>
              <w:rPr>
                <w:spacing w:val="1"/>
                <w:sz w:val="16"/>
              </w:rPr>
              <w:t xml:space="preserve"> </w:t>
            </w:r>
            <w:r>
              <w:rPr>
                <w:sz w:val="16"/>
              </w:rPr>
              <w:t>Institute of</w:t>
            </w:r>
            <w:r>
              <w:rPr>
                <w:spacing w:val="-37"/>
                <w:sz w:val="16"/>
              </w:rPr>
              <w:t xml:space="preserve"> </w:t>
            </w:r>
            <w:r>
              <w:rPr>
                <w:sz w:val="16"/>
              </w:rPr>
              <w:t>Emergency</w:t>
            </w:r>
            <w:r>
              <w:rPr>
                <w:spacing w:val="-37"/>
                <w:sz w:val="16"/>
              </w:rPr>
              <w:t xml:space="preserve"> </w:t>
            </w:r>
            <w:r>
              <w:rPr>
                <w:sz w:val="16"/>
              </w:rPr>
              <w:t>Medicine</w:t>
            </w:r>
            <w:r>
              <w:rPr>
                <w:spacing w:val="1"/>
                <w:sz w:val="16"/>
              </w:rPr>
              <w:t xml:space="preserve"> </w:t>
            </w:r>
            <w:r>
              <w:rPr>
                <w:sz w:val="16"/>
              </w:rPr>
              <w:t>(CIEM)</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188"/>
              <w:rPr>
                <w:sz w:val="16"/>
              </w:rPr>
            </w:pPr>
            <w:r>
              <w:rPr>
                <w:sz w:val="16"/>
              </w:rPr>
              <w:t>The objective of the TeleCordis project is to</w:t>
            </w:r>
            <w:r>
              <w:rPr>
                <w:spacing w:val="-37"/>
                <w:sz w:val="16"/>
              </w:rPr>
              <w:t xml:space="preserve"> </w:t>
            </w:r>
            <w:r>
              <w:rPr>
                <w:sz w:val="16"/>
              </w:rPr>
              <w:t>install the medical and computer equipment</w:t>
            </w:r>
            <w:r>
              <w:rPr>
                <w:spacing w:val="-37"/>
                <w:sz w:val="16"/>
              </w:rPr>
              <w:t xml:space="preserve"> </w:t>
            </w:r>
            <w:r>
              <w:rPr>
                <w:sz w:val="16"/>
              </w:rPr>
              <w:t>necessary for the performance of</w:t>
            </w:r>
            <w:r>
              <w:rPr>
                <w:spacing w:val="1"/>
                <w:sz w:val="16"/>
              </w:rPr>
              <w:t xml:space="preserve"> </w:t>
            </w:r>
            <w:r>
              <w:rPr>
                <w:sz w:val="16"/>
              </w:rPr>
              <w:t>electrocardiogram (ECG) holter, pressure</w:t>
            </w:r>
            <w:r>
              <w:rPr>
                <w:spacing w:val="1"/>
                <w:sz w:val="16"/>
              </w:rPr>
              <w:t xml:space="preserve"> </w:t>
            </w:r>
            <w:r>
              <w:rPr>
                <w:sz w:val="16"/>
              </w:rPr>
              <w:t>holter and 12 channel electrocardiogram</w:t>
            </w:r>
            <w:r>
              <w:rPr>
                <w:spacing w:val="1"/>
                <w:sz w:val="16"/>
              </w:rPr>
              <w:t xml:space="preserve"> </w:t>
            </w:r>
            <w:r>
              <w:rPr>
                <w:sz w:val="16"/>
              </w:rPr>
              <w:t>(ECG) services in remote and rural areas</w:t>
            </w:r>
            <w:r>
              <w:rPr>
                <w:spacing w:val="1"/>
                <w:sz w:val="16"/>
              </w:rPr>
              <w:t xml:space="preserve"> </w:t>
            </w:r>
            <w:r>
              <w:rPr>
                <w:sz w:val="16"/>
              </w:rPr>
              <w:t>which are insufficiently covered by those</w:t>
            </w:r>
            <w:r>
              <w:rPr>
                <w:spacing w:val="1"/>
                <w:sz w:val="16"/>
              </w:rPr>
              <w:t xml:space="preserve"> </w:t>
            </w:r>
            <w:r>
              <w:rPr>
                <w:sz w:val="16"/>
              </w:rPr>
              <w:t>services, such as not having a cardiology</w:t>
            </w:r>
            <w:r>
              <w:rPr>
                <w:spacing w:val="1"/>
                <w:sz w:val="16"/>
              </w:rPr>
              <w:t xml:space="preserve"> </w:t>
            </w:r>
            <w:r>
              <w:rPr>
                <w:sz w:val="16"/>
              </w:rPr>
              <w:t>specialist at their disposal. The equipment</w:t>
            </w:r>
            <w:r>
              <w:rPr>
                <w:spacing w:val="1"/>
                <w:sz w:val="16"/>
              </w:rPr>
              <w:t xml:space="preserve"> </w:t>
            </w:r>
            <w:r>
              <w:rPr>
                <w:sz w:val="16"/>
              </w:rPr>
              <w:t>shall be purchased (package per centre) and</w:t>
            </w:r>
            <w:r>
              <w:rPr>
                <w:spacing w:val="1"/>
                <w:sz w:val="16"/>
              </w:rPr>
              <w:t xml:space="preserve"> </w:t>
            </w:r>
            <w:r>
              <w:rPr>
                <w:sz w:val="16"/>
              </w:rPr>
              <w:t>placed in at least 40 telemedical access</w:t>
            </w:r>
            <w:r>
              <w:rPr>
                <w:spacing w:val="1"/>
                <w:sz w:val="16"/>
              </w:rPr>
              <w:t xml:space="preserve"> </w:t>
            </w:r>
            <w:r>
              <w:rPr>
                <w:sz w:val="16"/>
              </w:rPr>
              <w:t>centres.</w:t>
            </w:r>
            <w:r>
              <w:rPr>
                <w:spacing w:val="-2"/>
                <w:sz w:val="16"/>
              </w:rPr>
              <w:t xml:space="preserve"> </w:t>
            </w:r>
            <w:r>
              <w:rPr>
                <w:sz w:val="16"/>
              </w:rPr>
              <w:t>The</w:t>
            </w:r>
            <w:r>
              <w:rPr>
                <w:spacing w:val="-4"/>
                <w:sz w:val="16"/>
              </w:rPr>
              <w:t xml:space="preserve"> </w:t>
            </w:r>
            <w:r>
              <w:rPr>
                <w:sz w:val="16"/>
              </w:rPr>
              <w:t>programme</w:t>
            </w:r>
            <w:r>
              <w:rPr>
                <w:spacing w:val="-4"/>
                <w:sz w:val="16"/>
              </w:rPr>
              <w:t xml:space="preserve"> </w:t>
            </w:r>
            <w:r>
              <w:rPr>
                <w:sz w:val="16"/>
              </w:rPr>
              <w:t>shall</w:t>
            </w:r>
            <w:r>
              <w:rPr>
                <w:spacing w:val="-3"/>
                <w:sz w:val="16"/>
              </w:rPr>
              <w:t xml:space="preserve"> </w:t>
            </w:r>
            <w:r>
              <w:rPr>
                <w:sz w:val="16"/>
              </w:rPr>
              <w:t>connect</w:t>
            </w:r>
            <w:r>
              <w:rPr>
                <w:spacing w:val="-3"/>
                <w:sz w:val="16"/>
              </w:rPr>
              <w:t xml:space="preserve"> </w:t>
            </w:r>
            <w:r>
              <w:rPr>
                <w:sz w:val="16"/>
              </w:rPr>
              <w:t>with</w:t>
            </w:r>
          </w:p>
          <w:p w:rsidR="00A56FE9" w:rsidRDefault="00000000">
            <w:pPr>
              <w:pStyle w:val="TableParagraph"/>
              <w:spacing w:line="182" w:lineRule="exact"/>
              <w:ind w:left="57" w:right="180"/>
              <w:rPr>
                <w:sz w:val="16"/>
              </w:rPr>
            </w:pPr>
            <w:r>
              <w:rPr>
                <w:sz w:val="16"/>
              </w:rPr>
              <w:t>telemedical specialist centres and provides a</w:t>
            </w:r>
            <w:r>
              <w:rPr>
                <w:spacing w:val="-38"/>
                <w:sz w:val="16"/>
              </w:rPr>
              <w:t xml:space="preserve"> </w:t>
            </w:r>
            <w:r>
              <w:rPr>
                <w:sz w:val="16"/>
              </w:rPr>
              <w:t>telecardiology</w:t>
            </w:r>
            <w:r>
              <w:rPr>
                <w:spacing w:val="-4"/>
                <w:sz w:val="16"/>
              </w:rPr>
              <w:t xml:space="preserve"> </w:t>
            </w:r>
            <w:r>
              <w:rPr>
                <w:sz w:val="16"/>
              </w:rPr>
              <w:t>service.</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5,224,800</w:t>
            </w:r>
          </w:p>
        </w:tc>
      </w:tr>
      <w:tr w:rsidR="00A56FE9">
        <w:trPr>
          <w:trHeight w:val="276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89</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75"/>
              <w:jc w:val="right"/>
              <w:rPr>
                <w:sz w:val="16"/>
              </w:rPr>
            </w:pPr>
            <w:r>
              <w:rPr>
                <w:sz w:val="16"/>
              </w:rPr>
              <w:t>349</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2020.CSR1</w:t>
            </w:r>
          </w:p>
          <w:p w:rsidR="00A56FE9" w:rsidRDefault="00000000">
            <w:pPr>
              <w:pStyle w:val="TableParagraph"/>
              <w:spacing w:before="1"/>
              <w:ind w:left="50"/>
              <w:rPr>
                <w:sz w:val="16"/>
              </w:rPr>
            </w:pPr>
            <w:r>
              <w:rPr>
                <w:sz w:val="16"/>
              </w:rPr>
              <w:t>.subpart2</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344"/>
              <w:rPr>
                <w:sz w:val="16"/>
              </w:rPr>
            </w:pPr>
            <w:r>
              <w:rPr>
                <w:sz w:val="16"/>
              </w:rPr>
              <w:t>5 - HEALTH CARE -</w:t>
            </w:r>
            <w:r>
              <w:rPr>
                <w:spacing w:val="-37"/>
                <w:sz w:val="16"/>
              </w:rPr>
              <w:t xml:space="preserve"> </w:t>
            </w:r>
            <w:r>
              <w:rPr>
                <w:sz w:val="16"/>
              </w:rPr>
              <w:t>C5.1.</w:t>
            </w:r>
            <w:r>
              <w:rPr>
                <w:spacing w:val="-1"/>
                <w:sz w:val="16"/>
              </w:rPr>
              <w:t xml:space="preserve"> </w:t>
            </w:r>
            <w:r>
              <w:rPr>
                <w:sz w:val="16"/>
              </w:rPr>
              <w:t>R5-I3 Tele-</w:t>
            </w:r>
          </w:p>
          <w:p w:rsidR="00A56FE9" w:rsidRDefault="00000000">
            <w:pPr>
              <w:pStyle w:val="TableParagraph"/>
              <w:ind w:left="50"/>
              <w:rPr>
                <w:sz w:val="16"/>
              </w:rPr>
            </w:pPr>
            <w:r>
              <w:rPr>
                <w:sz w:val="16"/>
              </w:rPr>
              <w:t>transfusion</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09"/>
              <w:rPr>
                <w:sz w:val="16"/>
              </w:rPr>
            </w:pPr>
            <w:r>
              <w:rPr>
                <w:sz w:val="16"/>
              </w:rPr>
              <w:t>Teletransfusion</w:t>
            </w:r>
            <w:r>
              <w:rPr>
                <w:spacing w:val="-6"/>
                <w:sz w:val="16"/>
              </w:rPr>
              <w:t xml:space="preserve"> </w:t>
            </w:r>
            <w:r>
              <w:rPr>
                <w:sz w:val="16"/>
              </w:rPr>
              <w:t>services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0" w:right="41"/>
              <w:jc w:val="center"/>
              <w:rPr>
                <w:sz w:val="16"/>
              </w:rPr>
            </w:pPr>
            <w:r>
              <w:rPr>
                <w:sz w:val="16"/>
              </w:rPr>
              <w:t>35</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9"/>
              <w:rPr>
                <w:sz w:val="16"/>
              </w:rPr>
            </w:pPr>
            <w:r>
              <w:rPr>
                <w:sz w:val="16"/>
              </w:rPr>
              <w:t>Croatian</w:t>
            </w:r>
            <w:r>
              <w:rPr>
                <w:spacing w:val="1"/>
                <w:sz w:val="16"/>
              </w:rPr>
              <w:t xml:space="preserve"> </w:t>
            </w:r>
            <w:r>
              <w:rPr>
                <w:sz w:val="16"/>
              </w:rPr>
              <w:t>Institute of</w:t>
            </w:r>
            <w:r>
              <w:rPr>
                <w:spacing w:val="-37"/>
                <w:sz w:val="16"/>
              </w:rPr>
              <w:t xml:space="preserve"> </w:t>
            </w:r>
            <w:r>
              <w:rPr>
                <w:sz w:val="16"/>
              </w:rPr>
              <w:t>Emergency</w:t>
            </w:r>
            <w:r>
              <w:rPr>
                <w:spacing w:val="-37"/>
                <w:sz w:val="16"/>
              </w:rPr>
              <w:t xml:space="preserve"> </w:t>
            </w:r>
            <w:r>
              <w:rPr>
                <w:sz w:val="16"/>
              </w:rPr>
              <w:t>Medicine</w:t>
            </w:r>
            <w:r>
              <w:rPr>
                <w:spacing w:val="1"/>
                <w:sz w:val="16"/>
              </w:rPr>
              <w:t xml:space="preserve"> </w:t>
            </w:r>
            <w:r>
              <w:rPr>
                <w:sz w:val="16"/>
              </w:rPr>
              <w:t>(CIEM)</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95"/>
              <w:rPr>
                <w:sz w:val="16"/>
              </w:rPr>
            </w:pPr>
            <w:r>
              <w:rPr>
                <w:sz w:val="16"/>
              </w:rPr>
              <w:t>The Teletransfusion project shall support the</w:t>
            </w:r>
            <w:r>
              <w:rPr>
                <w:spacing w:val="-37"/>
                <w:sz w:val="16"/>
              </w:rPr>
              <w:t xml:space="preserve"> </w:t>
            </w:r>
            <w:r>
              <w:rPr>
                <w:sz w:val="16"/>
              </w:rPr>
              <w:t>existing digital treatment process</w:t>
            </w:r>
            <w:r>
              <w:rPr>
                <w:spacing w:val="1"/>
                <w:sz w:val="16"/>
              </w:rPr>
              <w:t xml:space="preserve"> </w:t>
            </w:r>
            <w:r>
              <w:rPr>
                <w:sz w:val="16"/>
              </w:rPr>
              <w:t>infrastructure where it uses the patient data</w:t>
            </w:r>
            <w:r>
              <w:rPr>
                <w:spacing w:val="1"/>
                <w:sz w:val="16"/>
              </w:rPr>
              <w:t xml:space="preserve"> </w:t>
            </w:r>
            <w:r>
              <w:rPr>
                <w:sz w:val="16"/>
              </w:rPr>
              <w:t>obtained</w:t>
            </w:r>
            <w:r>
              <w:rPr>
                <w:spacing w:val="-5"/>
                <w:sz w:val="16"/>
              </w:rPr>
              <w:t xml:space="preserve"> </w:t>
            </w:r>
            <w:r>
              <w:rPr>
                <w:sz w:val="16"/>
              </w:rPr>
              <w:t>from</w:t>
            </w:r>
            <w:r>
              <w:rPr>
                <w:spacing w:val="-4"/>
                <w:sz w:val="16"/>
              </w:rPr>
              <w:t xml:space="preserve"> </w:t>
            </w:r>
            <w:r>
              <w:rPr>
                <w:sz w:val="16"/>
              </w:rPr>
              <w:t>the</w:t>
            </w:r>
            <w:r>
              <w:rPr>
                <w:spacing w:val="-5"/>
                <w:sz w:val="16"/>
              </w:rPr>
              <w:t xml:space="preserve"> </w:t>
            </w:r>
            <w:r>
              <w:rPr>
                <w:sz w:val="16"/>
              </w:rPr>
              <w:t>ePrescription</w:t>
            </w:r>
            <w:r>
              <w:rPr>
                <w:spacing w:val="-3"/>
                <w:sz w:val="16"/>
              </w:rPr>
              <w:t xml:space="preserve"> </w:t>
            </w:r>
            <w:r>
              <w:rPr>
                <w:sz w:val="16"/>
              </w:rPr>
              <w:t>and</w:t>
            </w:r>
            <w:r>
              <w:rPr>
                <w:spacing w:val="-2"/>
                <w:sz w:val="16"/>
              </w:rPr>
              <w:t xml:space="preserve"> </w:t>
            </w:r>
            <w:r>
              <w:rPr>
                <w:sz w:val="16"/>
              </w:rPr>
              <w:t>eDossier</w:t>
            </w:r>
            <w:r>
              <w:rPr>
                <w:spacing w:val="-37"/>
                <w:sz w:val="16"/>
              </w:rPr>
              <w:t xml:space="preserve"> </w:t>
            </w:r>
            <w:r>
              <w:rPr>
                <w:sz w:val="16"/>
              </w:rPr>
              <w:t>needed to start treatment in a secondary or</w:t>
            </w:r>
            <w:r>
              <w:rPr>
                <w:spacing w:val="1"/>
                <w:sz w:val="16"/>
              </w:rPr>
              <w:t xml:space="preserve"> </w:t>
            </w:r>
            <w:r>
              <w:rPr>
                <w:sz w:val="16"/>
              </w:rPr>
              <w:t>tertiary</w:t>
            </w:r>
            <w:r>
              <w:rPr>
                <w:spacing w:val="-4"/>
                <w:sz w:val="16"/>
              </w:rPr>
              <w:t xml:space="preserve"> </w:t>
            </w:r>
            <w:r>
              <w:rPr>
                <w:sz w:val="16"/>
              </w:rPr>
              <w:t>healthcare</w:t>
            </w:r>
            <w:r>
              <w:rPr>
                <w:spacing w:val="-2"/>
                <w:sz w:val="16"/>
              </w:rPr>
              <w:t xml:space="preserve"> </w:t>
            </w:r>
            <w:r>
              <w:rPr>
                <w:sz w:val="16"/>
              </w:rPr>
              <w:t>facility.</w:t>
            </w:r>
          </w:p>
          <w:p w:rsidR="00A56FE9" w:rsidRDefault="00000000">
            <w:pPr>
              <w:pStyle w:val="TableParagraph"/>
              <w:ind w:left="57" w:right="108"/>
              <w:rPr>
                <w:sz w:val="16"/>
              </w:rPr>
            </w:pPr>
            <w:r>
              <w:rPr>
                <w:sz w:val="16"/>
              </w:rPr>
              <w:t>The project shall connect hospital transfusion</w:t>
            </w:r>
            <w:r>
              <w:rPr>
                <w:spacing w:val="-38"/>
                <w:sz w:val="16"/>
              </w:rPr>
              <w:t xml:space="preserve"> </w:t>
            </w:r>
            <w:r>
              <w:rPr>
                <w:sz w:val="16"/>
              </w:rPr>
              <w:t>centres in Croatia’s territory (at least 35</w:t>
            </w:r>
            <w:r>
              <w:rPr>
                <w:spacing w:val="1"/>
                <w:sz w:val="16"/>
              </w:rPr>
              <w:t xml:space="preserve"> </w:t>
            </w:r>
            <w:r>
              <w:rPr>
                <w:sz w:val="16"/>
              </w:rPr>
              <w:t>hospital transfusion centres) and shall make</w:t>
            </w:r>
            <w:r>
              <w:rPr>
                <w:spacing w:val="1"/>
                <w:sz w:val="16"/>
              </w:rPr>
              <w:t xml:space="preserve"> </w:t>
            </w:r>
            <w:r>
              <w:rPr>
                <w:sz w:val="16"/>
              </w:rPr>
              <w:t>the service available 24 hours a day seven</w:t>
            </w:r>
            <w:r>
              <w:rPr>
                <w:spacing w:val="1"/>
                <w:sz w:val="16"/>
              </w:rPr>
              <w:t xml:space="preserve"> </w:t>
            </w:r>
            <w:r>
              <w:rPr>
                <w:sz w:val="16"/>
              </w:rPr>
              <w:t>days a week. The equipment shall be</w:t>
            </w:r>
            <w:r>
              <w:rPr>
                <w:spacing w:val="1"/>
                <w:sz w:val="16"/>
              </w:rPr>
              <w:t xml:space="preserve"> </w:t>
            </w:r>
            <w:r>
              <w:rPr>
                <w:sz w:val="16"/>
              </w:rPr>
              <w:t>purchased (package per centre) and placed in</w:t>
            </w:r>
            <w:r>
              <w:rPr>
                <w:spacing w:val="-37"/>
                <w:sz w:val="16"/>
              </w:rPr>
              <w:t xml:space="preserve"> </w:t>
            </w:r>
            <w:r>
              <w:rPr>
                <w:sz w:val="16"/>
              </w:rPr>
              <w:t>telemedical access centres, the programme</w:t>
            </w:r>
            <w:r>
              <w:rPr>
                <w:spacing w:val="1"/>
                <w:sz w:val="16"/>
              </w:rPr>
              <w:t xml:space="preserve"> </w:t>
            </w:r>
            <w:r>
              <w:rPr>
                <w:sz w:val="16"/>
              </w:rPr>
              <w:t>shall</w:t>
            </w:r>
            <w:r>
              <w:rPr>
                <w:spacing w:val="-3"/>
                <w:sz w:val="16"/>
              </w:rPr>
              <w:t xml:space="preserve"> </w:t>
            </w:r>
            <w:r>
              <w:rPr>
                <w:sz w:val="16"/>
              </w:rPr>
              <w:t>connect with</w:t>
            </w:r>
            <w:r>
              <w:rPr>
                <w:spacing w:val="-2"/>
                <w:sz w:val="16"/>
              </w:rPr>
              <w:t xml:space="preserve"> </w:t>
            </w:r>
            <w:r>
              <w:rPr>
                <w:sz w:val="16"/>
              </w:rPr>
              <w:t>telemedical</w:t>
            </w:r>
            <w:r>
              <w:rPr>
                <w:spacing w:val="-3"/>
                <w:sz w:val="16"/>
              </w:rPr>
              <w:t xml:space="preserve"> </w:t>
            </w:r>
            <w:r>
              <w:rPr>
                <w:sz w:val="16"/>
              </w:rPr>
              <w:t>specialist</w:t>
            </w:r>
          </w:p>
          <w:p w:rsidR="00A56FE9" w:rsidRDefault="00000000">
            <w:pPr>
              <w:pStyle w:val="TableParagraph"/>
              <w:spacing w:line="168" w:lineRule="exact"/>
              <w:ind w:left="57"/>
              <w:rPr>
                <w:sz w:val="16"/>
              </w:rPr>
            </w:pPr>
            <w:r>
              <w:rPr>
                <w:sz w:val="16"/>
              </w:rPr>
              <w:t>centres</w:t>
            </w:r>
            <w:r>
              <w:rPr>
                <w:spacing w:val="-4"/>
                <w:sz w:val="16"/>
              </w:rPr>
              <w:t xml:space="preserve"> </w:t>
            </w:r>
            <w:r>
              <w:rPr>
                <w:sz w:val="16"/>
              </w:rPr>
              <w:t>and</w:t>
            </w:r>
            <w:r>
              <w:rPr>
                <w:spacing w:val="-4"/>
                <w:sz w:val="16"/>
              </w:rPr>
              <w:t xml:space="preserve"> </w:t>
            </w:r>
            <w:r>
              <w:rPr>
                <w:sz w:val="16"/>
              </w:rPr>
              <w:t>provides</w:t>
            </w:r>
            <w:r>
              <w:rPr>
                <w:spacing w:val="-4"/>
                <w:sz w:val="16"/>
              </w:rPr>
              <w:t xml:space="preserve"> </w:t>
            </w:r>
            <w:r>
              <w:rPr>
                <w:sz w:val="16"/>
              </w:rPr>
              <w:t>a</w:t>
            </w:r>
            <w:r>
              <w:rPr>
                <w:spacing w:val="-4"/>
                <w:sz w:val="16"/>
              </w:rPr>
              <w:t xml:space="preserve"> </w:t>
            </w:r>
            <w:r>
              <w:rPr>
                <w:sz w:val="16"/>
              </w:rPr>
              <w:t>teletransfusion</w:t>
            </w:r>
            <w:r>
              <w:rPr>
                <w:spacing w:val="-4"/>
                <w:sz w:val="16"/>
              </w:rPr>
              <w:t xml:space="preserve"> </w:t>
            </w:r>
            <w:r>
              <w:rPr>
                <w:sz w:val="16"/>
              </w:rPr>
              <w:t>service.</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15,091,000</w:t>
            </w:r>
          </w:p>
        </w:tc>
      </w:tr>
      <w:tr w:rsidR="00A56FE9">
        <w:trPr>
          <w:trHeight w:val="2023"/>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right="115"/>
              <w:jc w:val="right"/>
              <w:rPr>
                <w:sz w:val="16"/>
              </w:rPr>
            </w:pPr>
            <w:r>
              <w:rPr>
                <w:sz w:val="16"/>
              </w:rPr>
              <w:t>90</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48"/>
              <w:rPr>
                <w:sz w:val="16"/>
              </w:rPr>
            </w:pPr>
            <w:r>
              <w:rPr>
                <w:sz w:val="16"/>
              </w:rPr>
              <w:t>3</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50"/>
              <w:rPr>
                <w:sz w:val="16"/>
              </w:rPr>
            </w:pPr>
            <w:r>
              <w:rPr>
                <w:sz w:val="16"/>
              </w:rPr>
              <w:t>16</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50"/>
              <w:rPr>
                <w:sz w:val="16"/>
              </w:rPr>
            </w:pPr>
            <w:r>
              <w:rPr>
                <w:sz w:val="16"/>
              </w:rPr>
              <w:t>5</w:t>
            </w:r>
            <w:r>
              <w:rPr>
                <w:spacing w:val="1"/>
                <w:sz w:val="16"/>
              </w:rPr>
              <w:t xml:space="preserve"> </w:t>
            </w:r>
            <w:r>
              <w:rPr>
                <w:sz w:val="16"/>
              </w:rPr>
              <w:t>-</w:t>
            </w:r>
            <w:r>
              <w:rPr>
                <w:spacing w:val="-1"/>
                <w:sz w:val="16"/>
              </w:rPr>
              <w:t xml:space="preserve"> </w:t>
            </w:r>
            <w:r>
              <w:rPr>
                <w:sz w:val="16"/>
              </w:rPr>
              <w:t>HEALTH</w:t>
            </w:r>
            <w:r>
              <w:rPr>
                <w:spacing w:val="-2"/>
                <w:sz w:val="16"/>
              </w:rPr>
              <w:t xml:space="preserve"> </w:t>
            </w:r>
            <w:r>
              <w:rPr>
                <w:sz w:val="16"/>
              </w:rPr>
              <w:t>CARE -</w:t>
            </w:r>
          </w:p>
          <w:p w:rsidR="00A56FE9" w:rsidRDefault="00000000">
            <w:pPr>
              <w:pStyle w:val="TableParagraph"/>
              <w:spacing w:before="1"/>
              <w:ind w:left="50" w:right="407"/>
              <w:rPr>
                <w:sz w:val="16"/>
              </w:rPr>
            </w:pPr>
            <w:r>
              <w:rPr>
                <w:sz w:val="16"/>
              </w:rPr>
              <w:t>Promoting healthy</w:t>
            </w:r>
            <w:r>
              <w:rPr>
                <w:spacing w:val="1"/>
                <w:sz w:val="16"/>
              </w:rPr>
              <w:t xml:space="preserve"> </w:t>
            </w:r>
            <w:r>
              <w:rPr>
                <w:sz w:val="16"/>
              </w:rPr>
              <w:t>lifestyles and disease</w:t>
            </w:r>
            <w:r>
              <w:rPr>
                <w:spacing w:val="-37"/>
                <w:sz w:val="16"/>
              </w:rPr>
              <w:t xml:space="preserve"> </w:t>
            </w:r>
            <w:r>
              <w:rPr>
                <w:sz w:val="16"/>
              </w:rPr>
              <w:t>prevention</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109" w:right="96"/>
              <w:rPr>
                <w:sz w:val="16"/>
              </w:rPr>
            </w:pPr>
            <w:r>
              <w:rPr>
                <w:sz w:val="16"/>
              </w:rPr>
              <w:t>Adoption of the National</w:t>
            </w:r>
            <w:r>
              <w:rPr>
                <w:spacing w:val="-37"/>
                <w:sz w:val="16"/>
              </w:rPr>
              <w:t xml:space="preserve"> </w:t>
            </w:r>
            <w:r>
              <w:rPr>
                <w:sz w:val="16"/>
              </w:rPr>
              <w:t>Strategy For Action in</w:t>
            </w:r>
            <w:r>
              <w:rPr>
                <w:spacing w:val="1"/>
                <w:sz w:val="16"/>
              </w:rPr>
              <w:t xml:space="preserve"> </w:t>
            </w:r>
            <w:r>
              <w:rPr>
                <w:sz w:val="16"/>
              </w:rPr>
              <w:t>the Area of Addition for</w:t>
            </w:r>
            <w:r>
              <w:rPr>
                <w:spacing w:val="1"/>
                <w:sz w:val="16"/>
              </w:rPr>
              <w:t xml:space="preserve"> </w:t>
            </w:r>
            <w:r>
              <w:rPr>
                <w:sz w:val="16"/>
              </w:rPr>
              <w:t>the</w:t>
            </w:r>
            <w:r>
              <w:rPr>
                <w:spacing w:val="-5"/>
                <w:sz w:val="16"/>
              </w:rPr>
              <w:t xml:space="preserve"> </w:t>
            </w:r>
            <w:r>
              <w:rPr>
                <w:sz w:val="16"/>
              </w:rPr>
              <w:t>period</w:t>
            </w:r>
            <w:r>
              <w:rPr>
                <w:spacing w:val="-2"/>
                <w:sz w:val="16"/>
              </w:rPr>
              <w:t xml:space="preserve"> </w:t>
            </w:r>
            <w:r>
              <w:rPr>
                <w:sz w:val="16"/>
              </w:rPr>
              <w:t>2022-2030</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18"/>
              <w:jc w:val="center"/>
              <w:rPr>
                <w:sz w:val="16"/>
              </w:rPr>
            </w:pPr>
            <w:r>
              <w:rPr>
                <w:sz w:val="16"/>
              </w:rPr>
              <w:t>1</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78" w:lineRule="exact"/>
              <w:ind w:left="57"/>
              <w:rPr>
                <w:sz w:val="16"/>
              </w:rPr>
            </w:pPr>
            <w:r>
              <w:rPr>
                <w:sz w:val="16"/>
              </w:rPr>
              <w:t>MH</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99"/>
              <w:rPr>
                <w:sz w:val="16"/>
              </w:rPr>
            </w:pPr>
            <w:r>
              <w:rPr>
                <w:sz w:val="16"/>
              </w:rPr>
              <w:t>National Strategy for Action in the Area of</w:t>
            </w:r>
            <w:r>
              <w:rPr>
                <w:spacing w:val="1"/>
                <w:sz w:val="16"/>
              </w:rPr>
              <w:t xml:space="preserve"> </w:t>
            </w:r>
            <w:r>
              <w:rPr>
                <w:sz w:val="16"/>
              </w:rPr>
              <w:t>Addiction for 2022-2030 contains strategic</w:t>
            </w:r>
            <w:r>
              <w:rPr>
                <w:spacing w:val="1"/>
                <w:sz w:val="16"/>
              </w:rPr>
              <w:t xml:space="preserve"> </w:t>
            </w:r>
            <w:r>
              <w:rPr>
                <w:sz w:val="16"/>
              </w:rPr>
              <w:t>goals, priorities and measures, which will</w:t>
            </w:r>
            <w:r>
              <w:rPr>
                <w:spacing w:val="1"/>
                <w:sz w:val="16"/>
              </w:rPr>
              <w:t xml:space="preserve"> </w:t>
            </w:r>
            <w:r>
              <w:rPr>
                <w:sz w:val="16"/>
              </w:rPr>
              <w:t>effectively ensure responsibility for the</w:t>
            </w:r>
            <w:r>
              <w:rPr>
                <w:spacing w:val="1"/>
                <w:sz w:val="16"/>
              </w:rPr>
              <w:t xml:space="preserve"> </w:t>
            </w:r>
            <w:r>
              <w:rPr>
                <w:sz w:val="16"/>
              </w:rPr>
              <w:t>implementation of the general national policy</w:t>
            </w:r>
            <w:r>
              <w:rPr>
                <w:spacing w:val="-38"/>
                <w:sz w:val="16"/>
              </w:rPr>
              <w:t xml:space="preserve"> </w:t>
            </w:r>
            <w:r>
              <w:rPr>
                <w:sz w:val="16"/>
              </w:rPr>
              <w:t>on addictions and behavioural addictions and</w:t>
            </w:r>
            <w:r>
              <w:rPr>
                <w:spacing w:val="-37"/>
                <w:sz w:val="16"/>
              </w:rPr>
              <w:t xml:space="preserve"> </w:t>
            </w:r>
            <w:r>
              <w:rPr>
                <w:sz w:val="16"/>
              </w:rPr>
              <w:t>establish a multidisciplinary and integrated</w:t>
            </w:r>
            <w:r>
              <w:rPr>
                <w:spacing w:val="1"/>
                <w:sz w:val="16"/>
              </w:rPr>
              <w:t xml:space="preserve"> </w:t>
            </w:r>
            <w:r>
              <w:rPr>
                <w:sz w:val="16"/>
              </w:rPr>
              <w:t>approach on national, local and international</w:t>
            </w:r>
            <w:r>
              <w:rPr>
                <w:spacing w:val="1"/>
                <w:sz w:val="16"/>
              </w:rPr>
              <w:t xml:space="preserve"> </w:t>
            </w:r>
            <w:r>
              <w:rPr>
                <w:sz w:val="16"/>
              </w:rPr>
              <w:t>levels.</w:t>
            </w:r>
            <w:r>
              <w:rPr>
                <w:spacing w:val="-1"/>
                <w:sz w:val="16"/>
              </w:rPr>
              <w:t xml:space="preserve"> </w:t>
            </w:r>
            <w:r>
              <w:rPr>
                <w:sz w:val="16"/>
              </w:rPr>
              <w:t>Also,</w:t>
            </w:r>
            <w:r>
              <w:rPr>
                <w:spacing w:val="-1"/>
                <w:sz w:val="16"/>
              </w:rPr>
              <w:t xml:space="preserve"> </w:t>
            </w:r>
            <w:r>
              <w:rPr>
                <w:sz w:val="16"/>
              </w:rPr>
              <w:t>the</w:t>
            </w:r>
            <w:r>
              <w:rPr>
                <w:spacing w:val="-4"/>
                <w:sz w:val="16"/>
              </w:rPr>
              <w:t xml:space="preserve"> </w:t>
            </w:r>
            <w:r>
              <w:rPr>
                <w:sz w:val="16"/>
              </w:rPr>
              <w:t>National</w:t>
            </w:r>
            <w:r>
              <w:rPr>
                <w:spacing w:val="-3"/>
                <w:sz w:val="16"/>
              </w:rPr>
              <w:t xml:space="preserve"> </w:t>
            </w:r>
            <w:r>
              <w:rPr>
                <w:sz w:val="16"/>
              </w:rPr>
              <w:t>Strategy</w:t>
            </w:r>
            <w:r>
              <w:rPr>
                <w:spacing w:val="-5"/>
                <w:sz w:val="16"/>
              </w:rPr>
              <w:t xml:space="preserve"> </w:t>
            </w:r>
            <w:r>
              <w:rPr>
                <w:sz w:val="16"/>
              </w:rPr>
              <w:t>contains</w:t>
            </w:r>
          </w:p>
          <w:p w:rsidR="00A56FE9" w:rsidRDefault="00000000">
            <w:pPr>
              <w:pStyle w:val="TableParagraph"/>
              <w:spacing w:line="180" w:lineRule="atLeast"/>
              <w:ind w:left="57"/>
              <w:rPr>
                <w:sz w:val="16"/>
              </w:rPr>
            </w:pPr>
            <w:r>
              <w:rPr>
                <w:sz w:val="16"/>
              </w:rPr>
              <w:t>guidelines</w:t>
            </w:r>
            <w:r>
              <w:rPr>
                <w:spacing w:val="-4"/>
                <w:sz w:val="16"/>
              </w:rPr>
              <w:t xml:space="preserve"> </w:t>
            </w:r>
            <w:r>
              <w:rPr>
                <w:sz w:val="16"/>
              </w:rPr>
              <w:t>that</w:t>
            </w:r>
            <w:r>
              <w:rPr>
                <w:spacing w:val="-3"/>
                <w:sz w:val="16"/>
              </w:rPr>
              <w:t xml:space="preserve"> </w:t>
            </w:r>
            <w:r>
              <w:rPr>
                <w:sz w:val="16"/>
              </w:rPr>
              <w:t>to</w:t>
            </w:r>
            <w:r>
              <w:rPr>
                <w:spacing w:val="-5"/>
                <w:sz w:val="16"/>
              </w:rPr>
              <w:t xml:space="preserve"> </w:t>
            </w:r>
            <w:r>
              <w:rPr>
                <w:sz w:val="16"/>
              </w:rPr>
              <w:t>identify</w:t>
            </w:r>
            <w:r>
              <w:rPr>
                <w:spacing w:val="-5"/>
                <w:sz w:val="16"/>
              </w:rPr>
              <w:t xml:space="preserve"> </w:t>
            </w:r>
            <w:r>
              <w:rPr>
                <w:sz w:val="16"/>
              </w:rPr>
              <w:t>the</w:t>
            </w:r>
            <w:r>
              <w:rPr>
                <w:spacing w:val="-4"/>
                <w:sz w:val="16"/>
              </w:rPr>
              <w:t xml:space="preserve"> </w:t>
            </w:r>
            <w:r>
              <w:rPr>
                <w:sz w:val="16"/>
              </w:rPr>
              <w:t>most</w:t>
            </w:r>
            <w:r>
              <w:rPr>
                <w:spacing w:val="-2"/>
                <w:sz w:val="16"/>
              </w:rPr>
              <w:t xml:space="preserve"> </w:t>
            </w:r>
            <w:r>
              <w:rPr>
                <w:sz w:val="16"/>
              </w:rPr>
              <w:t>effective</w:t>
            </w:r>
            <w:r>
              <w:rPr>
                <w:spacing w:val="-37"/>
                <w:sz w:val="16"/>
              </w:rPr>
              <w:t xml:space="preserve"> </w:t>
            </w:r>
            <w:r>
              <w:rPr>
                <w:sz w:val="16"/>
              </w:rPr>
              <w:t>response</w:t>
            </w:r>
            <w:r>
              <w:rPr>
                <w:spacing w:val="-4"/>
                <w:sz w:val="16"/>
              </w:rPr>
              <w:t xml:space="preserve"> </w:t>
            </w:r>
            <w:r>
              <w:rPr>
                <w:sz w:val="16"/>
              </w:rPr>
              <w:t>from</w:t>
            </w:r>
            <w:r>
              <w:rPr>
                <w:spacing w:val="-2"/>
                <w:sz w:val="16"/>
              </w:rPr>
              <w:t xml:space="preserve"> </w:t>
            </w:r>
            <w:r>
              <w:rPr>
                <w:sz w:val="16"/>
              </w:rPr>
              <w:t>society</w:t>
            </w:r>
            <w:r>
              <w:rPr>
                <w:spacing w:val="-5"/>
                <w:sz w:val="16"/>
              </w:rPr>
              <w:t xml:space="preserve"> </w:t>
            </w:r>
            <w:r>
              <w:rPr>
                <w:sz w:val="16"/>
              </w:rPr>
              <w:t>to</w:t>
            </w:r>
            <w:r>
              <w:rPr>
                <w:spacing w:val="-2"/>
                <w:sz w:val="16"/>
              </w:rPr>
              <w:t xml:space="preserve"> </w:t>
            </w:r>
            <w:r>
              <w:rPr>
                <w:sz w:val="16"/>
              </w:rPr>
              <w:t>the</w:t>
            </w:r>
            <w:r>
              <w:rPr>
                <w:spacing w:val="-4"/>
                <w:sz w:val="16"/>
              </w:rPr>
              <w:t xml:space="preserve"> </w:t>
            </w:r>
            <w:r>
              <w:rPr>
                <w:sz w:val="16"/>
              </w:rPr>
              <w:t>modalities</w:t>
            </w:r>
            <w:r>
              <w:rPr>
                <w:spacing w:val="-2"/>
                <w:sz w:val="16"/>
              </w:rPr>
              <w:t xml:space="preserve"> </w:t>
            </w:r>
            <w:r>
              <w:rPr>
                <w:sz w:val="16"/>
              </w:rPr>
              <w:t>and</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361"/>
        </w:trPr>
        <w:tc>
          <w:tcPr>
            <w:tcW w:w="42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183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569"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840"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1137"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45"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c>
          <w:tcPr>
            <w:tcW w:w="3106" w:type="dxa"/>
            <w:tcBorders>
              <w:top w:val="nil"/>
              <w:left w:val="single" w:sz="4" w:space="0" w:color="2C398A"/>
              <w:bottom w:val="single" w:sz="4" w:space="0" w:color="2C398A"/>
              <w:right w:val="single" w:sz="4" w:space="0" w:color="2C398A"/>
            </w:tcBorders>
          </w:tcPr>
          <w:p w:rsidR="00A56FE9" w:rsidRDefault="00000000">
            <w:pPr>
              <w:pStyle w:val="TableParagraph"/>
              <w:spacing w:line="174" w:lineRule="exact"/>
              <w:ind w:left="57"/>
              <w:rPr>
                <w:sz w:val="16"/>
              </w:rPr>
            </w:pPr>
            <w:r>
              <w:rPr>
                <w:sz w:val="16"/>
              </w:rPr>
              <w:t>trends</w:t>
            </w:r>
            <w:r>
              <w:rPr>
                <w:spacing w:val="-3"/>
                <w:sz w:val="16"/>
              </w:rPr>
              <w:t xml:space="preserve"> </w:t>
            </w:r>
            <w:r>
              <w:rPr>
                <w:sz w:val="16"/>
              </w:rPr>
              <w:t>of</w:t>
            </w:r>
            <w:r>
              <w:rPr>
                <w:spacing w:val="-5"/>
                <w:sz w:val="16"/>
              </w:rPr>
              <w:t xml:space="preserve"> </w:t>
            </w:r>
            <w:r>
              <w:rPr>
                <w:sz w:val="16"/>
              </w:rPr>
              <w:t>consumption and</w:t>
            </w:r>
            <w:r>
              <w:rPr>
                <w:spacing w:val="-3"/>
                <w:sz w:val="16"/>
              </w:rPr>
              <w:t xml:space="preserve"> </w:t>
            </w:r>
            <w:r>
              <w:rPr>
                <w:sz w:val="16"/>
              </w:rPr>
              <w:t>abuse</w:t>
            </w:r>
            <w:r>
              <w:rPr>
                <w:spacing w:val="-5"/>
                <w:sz w:val="16"/>
              </w:rPr>
              <w:t xml:space="preserve"> </w:t>
            </w:r>
            <w:r>
              <w:rPr>
                <w:sz w:val="16"/>
              </w:rPr>
              <w:t>of</w:t>
            </w:r>
            <w:r>
              <w:rPr>
                <w:spacing w:val="-3"/>
                <w:sz w:val="16"/>
              </w:rPr>
              <w:t xml:space="preserve"> </w:t>
            </w:r>
            <w:r>
              <w:rPr>
                <w:sz w:val="16"/>
              </w:rPr>
              <w:t>addictive</w:t>
            </w:r>
          </w:p>
          <w:p w:rsidR="00A56FE9" w:rsidRDefault="00000000">
            <w:pPr>
              <w:pStyle w:val="TableParagraph"/>
              <w:spacing w:before="1" w:line="168" w:lineRule="exact"/>
              <w:ind w:left="57"/>
              <w:rPr>
                <w:sz w:val="16"/>
              </w:rPr>
            </w:pPr>
            <w:r>
              <w:rPr>
                <w:sz w:val="16"/>
              </w:rPr>
              <w:t>substances</w:t>
            </w:r>
            <w:r>
              <w:rPr>
                <w:spacing w:val="-5"/>
                <w:sz w:val="16"/>
              </w:rPr>
              <w:t xml:space="preserve"> </w:t>
            </w:r>
            <w:r>
              <w:rPr>
                <w:sz w:val="16"/>
              </w:rPr>
              <w:t>in</w:t>
            </w:r>
            <w:r>
              <w:rPr>
                <w:spacing w:val="-4"/>
                <w:sz w:val="16"/>
              </w:rPr>
              <w:t xml:space="preserve"> </w:t>
            </w:r>
            <w:r>
              <w:rPr>
                <w:sz w:val="16"/>
              </w:rPr>
              <w:t>society.</w:t>
            </w:r>
          </w:p>
        </w:tc>
        <w:tc>
          <w:tcPr>
            <w:tcW w:w="1128" w:type="dxa"/>
            <w:tcBorders>
              <w:top w:val="nil"/>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2392"/>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91</w:t>
            </w:r>
          </w:p>
        </w:tc>
        <w:tc>
          <w:tcPr>
            <w:tcW w:w="43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852"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48"/>
              <w:rPr>
                <w:sz w:val="16"/>
              </w:rPr>
            </w:pPr>
            <w:r>
              <w:rPr>
                <w:sz w:val="16"/>
              </w:rPr>
              <w:t>3</w:t>
            </w:r>
          </w:p>
        </w:tc>
        <w:tc>
          <w:tcPr>
            <w:tcW w:w="28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16</w:t>
            </w:r>
          </w:p>
        </w:tc>
        <w:tc>
          <w:tcPr>
            <w:tcW w:w="183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0"/>
              <w:rPr>
                <w:sz w:val="16"/>
              </w:rPr>
            </w:pPr>
            <w:r>
              <w:rPr>
                <w:sz w:val="16"/>
              </w:rPr>
              <w:t>5</w:t>
            </w:r>
            <w:r>
              <w:rPr>
                <w:spacing w:val="-2"/>
                <w:sz w:val="16"/>
              </w:rPr>
              <w:t xml:space="preserve"> </w:t>
            </w:r>
            <w:r>
              <w:rPr>
                <w:sz w:val="16"/>
              </w:rPr>
              <w:t>–</w:t>
            </w:r>
            <w:r>
              <w:rPr>
                <w:spacing w:val="1"/>
                <w:sz w:val="16"/>
              </w:rPr>
              <w:t xml:space="preserve"> </w:t>
            </w:r>
            <w:r>
              <w:rPr>
                <w:sz w:val="16"/>
              </w:rPr>
              <w:t>HEALTH</w:t>
            </w:r>
            <w:r>
              <w:rPr>
                <w:spacing w:val="-2"/>
                <w:sz w:val="16"/>
              </w:rPr>
              <w:t xml:space="preserve"> </w:t>
            </w:r>
            <w:r>
              <w:rPr>
                <w:sz w:val="16"/>
              </w:rPr>
              <w:t>CARE -</w:t>
            </w:r>
          </w:p>
          <w:p w:rsidR="00A56FE9" w:rsidRDefault="00000000">
            <w:pPr>
              <w:pStyle w:val="TableParagraph"/>
              <w:spacing w:before="1"/>
              <w:ind w:left="50" w:right="407"/>
              <w:rPr>
                <w:sz w:val="16"/>
              </w:rPr>
            </w:pPr>
            <w:r>
              <w:rPr>
                <w:sz w:val="16"/>
              </w:rPr>
              <w:t>Promoting healthy</w:t>
            </w:r>
            <w:r>
              <w:rPr>
                <w:spacing w:val="1"/>
                <w:sz w:val="16"/>
              </w:rPr>
              <w:t xml:space="preserve"> </w:t>
            </w:r>
            <w:r>
              <w:rPr>
                <w:sz w:val="16"/>
              </w:rPr>
              <w:t>lifestyles and disease</w:t>
            </w:r>
            <w:r>
              <w:rPr>
                <w:spacing w:val="-37"/>
                <w:sz w:val="16"/>
              </w:rPr>
              <w:t xml:space="preserve"> </w:t>
            </w:r>
            <w:r>
              <w:rPr>
                <w:sz w:val="16"/>
              </w:rPr>
              <w:t>prevention</w:t>
            </w:r>
          </w:p>
        </w:tc>
        <w:tc>
          <w:tcPr>
            <w:tcW w:w="569"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09"/>
              <w:rPr>
                <w:sz w:val="16"/>
              </w:rPr>
            </w:pPr>
            <w:r>
              <w:rPr>
                <w:sz w:val="16"/>
              </w:rPr>
              <w:t>2022.-2030.</w:t>
            </w:r>
          </w:p>
          <w:p w:rsidR="00A56FE9" w:rsidRDefault="00000000">
            <w:pPr>
              <w:pStyle w:val="TableParagraph"/>
              <w:spacing w:before="1"/>
              <w:ind w:left="109" w:right="113"/>
              <w:rPr>
                <w:sz w:val="16"/>
              </w:rPr>
            </w:pPr>
            <w:r>
              <w:rPr>
                <w:sz w:val="16"/>
              </w:rPr>
              <w:t>Adoption of the National</w:t>
            </w:r>
            <w:r>
              <w:rPr>
                <w:spacing w:val="-37"/>
                <w:sz w:val="16"/>
              </w:rPr>
              <w:t xml:space="preserve"> </w:t>
            </w:r>
            <w:r>
              <w:rPr>
                <w:sz w:val="16"/>
              </w:rPr>
              <w:t>Strategy for Mental</w:t>
            </w:r>
            <w:r>
              <w:rPr>
                <w:spacing w:val="1"/>
                <w:sz w:val="16"/>
              </w:rPr>
              <w:t xml:space="preserve"> </w:t>
            </w:r>
            <w:r>
              <w:rPr>
                <w:sz w:val="16"/>
              </w:rPr>
              <w:t>Health Development</w:t>
            </w:r>
            <w:r>
              <w:rPr>
                <w:spacing w:val="1"/>
                <w:sz w:val="16"/>
              </w:rPr>
              <w:t xml:space="preserve"> </w:t>
            </w:r>
            <w:r>
              <w:rPr>
                <w:sz w:val="16"/>
              </w:rPr>
              <w:t>2022-2030</w:t>
            </w:r>
          </w:p>
        </w:tc>
        <w:tc>
          <w:tcPr>
            <w:tcW w:w="1137"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8"/>
              <w:jc w:val="center"/>
              <w:rPr>
                <w:sz w:val="16"/>
              </w:rPr>
            </w:pPr>
            <w:r>
              <w:rPr>
                <w:sz w:val="16"/>
              </w:rPr>
              <w:t>1</w:t>
            </w:r>
          </w:p>
        </w:tc>
        <w:tc>
          <w:tcPr>
            <w:tcW w:w="5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left="57"/>
              <w:rPr>
                <w:sz w:val="16"/>
              </w:rPr>
            </w:pPr>
            <w:r>
              <w:rPr>
                <w:sz w:val="16"/>
              </w:rPr>
              <w:t>MH</w:t>
            </w:r>
          </w:p>
        </w:tc>
        <w:tc>
          <w:tcPr>
            <w:tcW w:w="3106"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ind w:left="57" w:right="55"/>
              <w:rPr>
                <w:sz w:val="16"/>
              </w:rPr>
            </w:pPr>
            <w:r>
              <w:rPr>
                <w:sz w:val="16"/>
              </w:rPr>
              <w:t>Strategic goals of the National Strategy for the</w:t>
            </w:r>
            <w:r>
              <w:rPr>
                <w:spacing w:val="-38"/>
                <w:sz w:val="16"/>
              </w:rPr>
              <w:t xml:space="preserve"> </w:t>
            </w:r>
            <w:r>
              <w:rPr>
                <w:sz w:val="16"/>
              </w:rPr>
              <w:t>Development</w:t>
            </w:r>
            <w:r>
              <w:rPr>
                <w:spacing w:val="5"/>
                <w:sz w:val="16"/>
              </w:rPr>
              <w:t xml:space="preserve"> </w:t>
            </w:r>
            <w:r>
              <w:rPr>
                <w:sz w:val="16"/>
              </w:rPr>
              <w:t>of</w:t>
            </w:r>
            <w:r>
              <w:rPr>
                <w:spacing w:val="2"/>
                <w:sz w:val="16"/>
              </w:rPr>
              <w:t xml:space="preserve"> </w:t>
            </w:r>
            <w:r>
              <w:rPr>
                <w:sz w:val="16"/>
              </w:rPr>
              <w:t>Mental</w:t>
            </w:r>
            <w:r>
              <w:rPr>
                <w:spacing w:val="4"/>
                <w:sz w:val="16"/>
              </w:rPr>
              <w:t xml:space="preserve"> </w:t>
            </w:r>
            <w:r>
              <w:rPr>
                <w:sz w:val="16"/>
              </w:rPr>
              <w:t>Health</w:t>
            </w:r>
            <w:r>
              <w:rPr>
                <w:spacing w:val="4"/>
                <w:sz w:val="16"/>
              </w:rPr>
              <w:t xml:space="preserve"> </w:t>
            </w:r>
            <w:r>
              <w:rPr>
                <w:sz w:val="16"/>
              </w:rPr>
              <w:t>2022-2030</w:t>
            </w:r>
            <w:r>
              <w:rPr>
                <w:spacing w:val="1"/>
                <w:sz w:val="16"/>
              </w:rPr>
              <w:t xml:space="preserve"> </w:t>
            </w:r>
            <w:r>
              <w:rPr>
                <w:sz w:val="16"/>
              </w:rPr>
              <w:t>aim to improve the health of citizens</w:t>
            </w:r>
            <w:r>
              <w:rPr>
                <w:spacing w:val="1"/>
                <w:sz w:val="16"/>
              </w:rPr>
              <w:t xml:space="preserve"> </w:t>
            </w:r>
            <w:r>
              <w:rPr>
                <w:sz w:val="16"/>
              </w:rPr>
              <w:t>throughout life and reduce the incidence of</w:t>
            </w:r>
            <w:r>
              <w:rPr>
                <w:spacing w:val="1"/>
                <w:sz w:val="16"/>
              </w:rPr>
              <w:t xml:space="preserve"> </w:t>
            </w:r>
            <w:r>
              <w:rPr>
                <w:sz w:val="16"/>
              </w:rPr>
              <w:t>mental disorders. Specific goals in</w:t>
            </w:r>
            <w:r>
              <w:rPr>
                <w:spacing w:val="1"/>
                <w:sz w:val="16"/>
              </w:rPr>
              <w:t xml:space="preserve"> </w:t>
            </w:r>
            <w:r>
              <w:rPr>
                <w:sz w:val="16"/>
              </w:rPr>
              <w:t>implementation of the National Strategy are in</w:t>
            </w:r>
            <w:r>
              <w:rPr>
                <w:spacing w:val="-37"/>
                <w:sz w:val="16"/>
              </w:rPr>
              <w:t xml:space="preserve"> </w:t>
            </w:r>
            <w:r>
              <w:rPr>
                <w:sz w:val="16"/>
              </w:rPr>
              <w:t>the areas of mental health promotion,</w:t>
            </w:r>
            <w:r>
              <w:rPr>
                <w:spacing w:val="1"/>
                <w:sz w:val="16"/>
              </w:rPr>
              <w:t xml:space="preserve"> </w:t>
            </w:r>
            <w:r>
              <w:rPr>
                <w:sz w:val="16"/>
              </w:rPr>
              <w:t>prevention and</w:t>
            </w:r>
            <w:r>
              <w:rPr>
                <w:spacing w:val="2"/>
                <w:sz w:val="16"/>
              </w:rPr>
              <w:t xml:space="preserve"> </w:t>
            </w:r>
            <w:r>
              <w:rPr>
                <w:sz w:val="16"/>
              </w:rPr>
              <w:t>early</w:t>
            </w:r>
            <w:r>
              <w:rPr>
                <w:spacing w:val="-2"/>
                <w:sz w:val="16"/>
              </w:rPr>
              <w:t xml:space="preserve"> </w:t>
            </w:r>
            <w:r>
              <w:rPr>
                <w:sz w:val="16"/>
              </w:rPr>
              <w:t>detection</w:t>
            </w:r>
            <w:r>
              <w:rPr>
                <w:spacing w:val="2"/>
                <w:sz w:val="16"/>
              </w:rPr>
              <w:t xml:space="preserve"> </w:t>
            </w:r>
            <w:r>
              <w:rPr>
                <w:sz w:val="16"/>
              </w:rPr>
              <w:t>of mental</w:t>
            </w:r>
            <w:r>
              <w:rPr>
                <w:spacing w:val="1"/>
                <w:sz w:val="16"/>
              </w:rPr>
              <w:t xml:space="preserve"> </w:t>
            </w:r>
            <w:r>
              <w:rPr>
                <w:sz w:val="16"/>
              </w:rPr>
              <w:t>health problems, improvement of treatment</w:t>
            </w:r>
            <w:r>
              <w:rPr>
                <w:spacing w:val="1"/>
                <w:sz w:val="16"/>
              </w:rPr>
              <w:t xml:space="preserve"> </w:t>
            </w:r>
            <w:r>
              <w:rPr>
                <w:sz w:val="16"/>
              </w:rPr>
              <w:t>and rehabilitation with a contribution to the</w:t>
            </w:r>
            <w:r>
              <w:rPr>
                <w:spacing w:val="1"/>
                <w:sz w:val="16"/>
              </w:rPr>
              <w:t xml:space="preserve"> </w:t>
            </w:r>
            <w:r>
              <w:rPr>
                <w:sz w:val="16"/>
              </w:rPr>
              <w:t>protection of human rights of people with</w:t>
            </w:r>
            <w:r>
              <w:rPr>
                <w:spacing w:val="1"/>
                <w:sz w:val="16"/>
              </w:rPr>
              <w:t xml:space="preserve"> </w:t>
            </w:r>
            <w:r>
              <w:rPr>
                <w:sz w:val="16"/>
              </w:rPr>
              <w:t>mental</w:t>
            </w:r>
            <w:r>
              <w:rPr>
                <w:spacing w:val="-4"/>
                <w:sz w:val="16"/>
              </w:rPr>
              <w:t xml:space="preserve"> </w:t>
            </w:r>
            <w:r>
              <w:rPr>
                <w:sz w:val="16"/>
              </w:rPr>
              <w:t>health</w:t>
            </w:r>
            <w:r>
              <w:rPr>
                <w:spacing w:val="-2"/>
                <w:sz w:val="16"/>
              </w:rPr>
              <w:t xml:space="preserve"> </w:t>
            </w:r>
            <w:r>
              <w:rPr>
                <w:sz w:val="16"/>
              </w:rPr>
              <w:t>problems</w:t>
            </w:r>
            <w:r>
              <w:rPr>
                <w:spacing w:val="-1"/>
                <w:sz w:val="16"/>
              </w:rPr>
              <w:t xml:space="preserve"> </w:t>
            </w:r>
            <w:r>
              <w:rPr>
                <w:sz w:val="16"/>
              </w:rPr>
              <w:t>and</w:t>
            </w:r>
            <w:r>
              <w:rPr>
                <w:spacing w:val="-2"/>
                <w:sz w:val="16"/>
              </w:rPr>
              <w:t xml:space="preserve"> </w:t>
            </w:r>
            <w:r>
              <w:rPr>
                <w:sz w:val="16"/>
              </w:rPr>
              <w:t>community</w:t>
            </w:r>
          </w:p>
          <w:p w:rsidR="00A56FE9" w:rsidRDefault="00000000">
            <w:pPr>
              <w:pStyle w:val="TableParagraph"/>
              <w:spacing w:line="168" w:lineRule="exact"/>
              <w:ind w:left="57"/>
              <w:rPr>
                <w:sz w:val="16"/>
              </w:rPr>
            </w:pPr>
            <w:r>
              <w:rPr>
                <w:sz w:val="16"/>
              </w:rPr>
              <w:t>mental</w:t>
            </w:r>
            <w:r>
              <w:rPr>
                <w:spacing w:val="-5"/>
                <w:sz w:val="16"/>
              </w:rPr>
              <w:t xml:space="preserve"> </w:t>
            </w:r>
            <w:r>
              <w:rPr>
                <w:sz w:val="16"/>
              </w:rPr>
              <w:t>health</w:t>
            </w:r>
            <w:r>
              <w:rPr>
                <w:spacing w:val="-3"/>
                <w:sz w:val="16"/>
              </w:rPr>
              <w:t xml:space="preserve"> </w:t>
            </w:r>
            <w:r>
              <w:rPr>
                <w:sz w:val="16"/>
              </w:rPr>
              <w:t>activities.</w:t>
            </w:r>
          </w:p>
        </w:tc>
        <w:tc>
          <w:tcPr>
            <w:tcW w:w="1128" w:type="dxa"/>
            <w:tcBorders>
              <w:top w:val="single" w:sz="4" w:space="0" w:color="2C398A"/>
              <w:left w:val="single" w:sz="4" w:space="0" w:color="2C398A"/>
              <w:bottom w:val="single" w:sz="4" w:space="0" w:color="2C398A"/>
              <w:right w:val="single" w:sz="4" w:space="0" w:color="2C398A"/>
            </w:tcBorders>
          </w:tcPr>
          <w:p w:rsidR="00A56FE9" w:rsidRDefault="00A56FE9">
            <w:pPr>
              <w:pStyle w:val="TableParagraph"/>
              <w:rPr>
                <w:sz w:val="16"/>
              </w:rPr>
            </w:pPr>
          </w:p>
        </w:tc>
      </w:tr>
      <w:tr w:rsidR="00A56FE9">
        <w:trPr>
          <w:trHeight w:val="395"/>
        </w:trPr>
        <w:tc>
          <w:tcPr>
            <w:tcW w:w="15763" w:type="dxa"/>
            <w:gridSpan w:val="17"/>
            <w:tcBorders>
              <w:top w:val="single" w:sz="4" w:space="0" w:color="2C398A"/>
              <w:left w:val="single" w:sz="4" w:space="0" w:color="2C398A"/>
              <w:bottom w:val="single" w:sz="4" w:space="0" w:color="2C398A"/>
              <w:right w:val="single" w:sz="4" w:space="0" w:color="2C398A"/>
            </w:tcBorders>
            <w:shd w:val="clear" w:color="auto" w:fill="F1F1F1"/>
          </w:tcPr>
          <w:p w:rsidR="00A56FE9" w:rsidRDefault="00000000">
            <w:pPr>
              <w:pStyle w:val="TableParagraph"/>
              <w:spacing w:before="59"/>
              <w:ind w:left="50"/>
              <w:rPr>
                <w:b/>
                <w:sz w:val="18"/>
              </w:rPr>
            </w:pPr>
            <w:r>
              <w:rPr>
                <w:b/>
                <w:color w:val="DA1F2C"/>
                <w:spacing w:val="-1"/>
                <w:sz w:val="24"/>
              </w:rPr>
              <w:t>6</w:t>
            </w:r>
            <w:r>
              <w:rPr>
                <w:b/>
                <w:color w:val="DA1F2C"/>
                <w:spacing w:val="-20"/>
                <w:sz w:val="24"/>
              </w:rPr>
              <w:t xml:space="preserve"> </w:t>
            </w:r>
            <w:r>
              <w:rPr>
                <w:b/>
                <w:color w:val="2C398A"/>
                <w:spacing w:val="-1"/>
                <w:sz w:val="16"/>
              </w:rPr>
              <w:t>-</w:t>
            </w:r>
            <w:r>
              <w:rPr>
                <w:b/>
                <w:color w:val="2C398A"/>
                <w:spacing w:val="1"/>
                <w:sz w:val="16"/>
              </w:rPr>
              <w:t xml:space="preserve"> </w:t>
            </w:r>
            <w:r>
              <w:rPr>
                <w:b/>
                <w:color w:val="003399"/>
                <w:spacing w:val="-1"/>
                <w:sz w:val="18"/>
              </w:rPr>
              <w:t>RENOVATION</w:t>
            </w:r>
            <w:r>
              <w:rPr>
                <w:b/>
                <w:color w:val="003399"/>
                <w:spacing w:val="1"/>
                <w:sz w:val="18"/>
              </w:rPr>
              <w:t xml:space="preserve"> </w:t>
            </w:r>
            <w:r>
              <w:rPr>
                <w:b/>
                <w:color w:val="003399"/>
                <w:sz w:val="18"/>
              </w:rPr>
              <w:t>OF</w:t>
            </w:r>
            <w:r>
              <w:rPr>
                <w:b/>
                <w:color w:val="003399"/>
                <w:spacing w:val="2"/>
                <w:sz w:val="18"/>
              </w:rPr>
              <w:t xml:space="preserve"> </w:t>
            </w:r>
            <w:r>
              <w:rPr>
                <w:b/>
                <w:color w:val="003399"/>
                <w:sz w:val="18"/>
              </w:rPr>
              <w:t>BUILDINGS</w:t>
            </w:r>
          </w:p>
        </w:tc>
      </w:tr>
      <w:tr w:rsidR="00A56FE9">
        <w:trPr>
          <w:trHeight w:val="2944"/>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92</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353</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.subpart8</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7,</w:t>
            </w:r>
          </w:p>
          <w:p w:rsidR="00A56FE9" w:rsidRDefault="00000000">
            <w:pPr>
              <w:pStyle w:val="TableParagraph"/>
              <w:spacing w:before="1"/>
              <w:ind w:left="48"/>
              <w:rPr>
                <w:sz w:val="16"/>
              </w:rPr>
            </w:pPr>
            <w:r>
              <w:rPr>
                <w:sz w:val="16"/>
              </w:rPr>
              <w:t>11,</w:t>
            </w:r>
          </w:p>
          <w:p w:rsidR="00A56FE9" w:rsidRDefault="00000000">
            <w:pPr>
              <w:pStyle w:val="TableParagraph"/>
              <w:spacing w:line="183" w:lineRule="exact"/>
              <w:ind w:left="48"/>
              <w:rPr>
                <w:sz w:val="16"/>
              </w:rPr>
            </w:pPr>
            <w:r>
              <w:rPr>
                <w:sz w:val="16"/>
              </w:rPr>
              <w:t>12,</w:t>
            </w:r>
          </w:p>
          <w:p w:rsidR="00A56FE9" w:rsidRDefault="00000000">
            <w:pPr>
              <w:pStyle w:val="TableParagraph"/>
              <w:spacing w:line="183" w:lineRule="exact"/>
              <w:ind w:left="48"/>
              <w:rPr>
                <w:sz w:val="16"/>
              </w:rPr>
            </w:pPr>
            <w:r>
              <w:rPr>
                <w:sz w:val="16"/>
              </w:rPr>
              <w:t>13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3,</w:t>
            </w:r>
          </w:p>
          <w:p w:rsidR="00A56FE9" w:rsidRDefault="00000000">
            <w:pPr>
              <w:pStyle w:val="TableParagraph"/>
              <w:spacing w:before="1"/>
              <w:ind w:left="50"/>
              <w:rPr>
                <w:sz w:val="16"/>
              </w:rPr>
            </w:pPr>
            <w:r>
              <w:rPr>
                <w:sz w:val="16"/>
              </w:rPr>
              <w:t>17,</w:t>
            </w:r>
          </w:p>
          <w:p w:rsidR="00A56FE9" w:rsidRDefault="00000000">
            <w:pPr>
              <w:pStyle w:val="TableParagraph"/>
              <w:ind w:left="50"/>
              <w:rPr>
                <w:sz w:val="16"/>
              </w:rPr>
            </w:pPr>
            <w:r>
              <w:rPr>
                <w:sz w:val="16"/>
              </w:rPr>
              <w:t>19</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142"/>
              <w:rPr>
                <w:sz w:val="16"/>
              </w:rPr>
            </w:pPr>
            <w:r>
              <w:rPr>
                <w:sz w:val="16"/>
              </w:rPr>
              <w:t>6 - RENOVATION OF</w:t>
            </w:r>
            <w:r>
              <w:rPr>
                <w:spacing w:val="1"/>
                <w:sz w:val="16"/>
              </w:rPr>
              <w:t xml:space="preserve"> </w:t>
            </w:r>
            <w:r>
              <w:rPr>
                <w:sz w:val="16"/>
              </w:rPr>
              <w:t>BUILDINGS</w:t>
            </w:r>
            <w:r>
              <w:rPr>
                <w:spacing w:val="-1"/>
                <w:sz w:val="16"/>
              </w:rPr>
              <w:t xml:space="preserve"> </w:t>
            </w:r>
            <w:r>
              <w:rPr>
                <w:sz w:val="16"/>
              </w:rPr>
              <w:t>-</w:t>
            </w:r>
            <w:r>
              <w:rPr>
                <w:spacing w:val="-2"/>
                <w:sz w:val="16"/>
              </w:rPr>
              <w:t xml:space="preserve"> </w:t>
            </w:r>
            <w:r>
              <w:rPr>
                <w:sz w:val="16"/>
              </w:rPr>
              <w:t>C6.1.</w:t>
            </w:r>
            <w:r>
              <w:rPr>
                <w:spacing w:val="-4"/>
                <w:sz w:val="16"/>
              </w:rPr>
              <w:t xml:space="preserve"> </w:t>
            </w:r>
            <w:r>
              <w:rPr>
                <w:sz w:val="16"/>
              </w:rPr>
              <w:t>R1-</w:t>
            </w:r>
          </w:p>
          <w:p w:rsidR="00A56FE9" w:rsidRDefault="00000000">
            <w:pPr>
              <w:pStyle w:val="TableParagraph"/>
              <w:ind w:left="50" w:right="225"/>
              <w:rPr>
                <w:sz w:val="16"/>
              </w:rPr>
            </w:pPr>
            <w:r>
              <w:rPr>
                <w:sz w:val="16"/>
              </w:rPr>
              <w:t>I1 Energy renovation of</w:t>
            </w:r>
            <w:r>
              <w:rPr>
                <w:spacing w:val="-37"/>
                <w:sz w:val="16"/>
              </w:rPr>
              <w:t xml:space="preserve"> </w:t>
            </w:r>
            <w:r>
              <w:rPr>
                <w:sz w:val="16"/>
              </w:rPr>
              <w:t>buildings</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1"/>
              <w:rPr>
                <w:sz w:val="16"/>
              </w:rPr>
            </w:pPr>
            <w:r>
              <w:rPr>
                <w:sz w:val="16"/>
              </w:rPr>
              <w:t>Target</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68"/>
              <w:rPr>
                <w:sz w:val="16"/>
              </w:rPr>
            </w:pPr>
            <w:r>
              <w:rPr>
                <w:sz w:val="16"/>
              </w:rPr>
              <w:t>Contracts signed for the</w:t>
            </w:r>
            <w:r>
              <w:rPr>
                <w:spacing w:val="-37"/>
                <w:sz w:val="16"/>
              </w:rPr>
              <w:t xml:space="preserve"> </w:t>
            </w:r>
            <w:r>
              <w:rPr>
                <w:sz w:val="16"/>
              </w:rPr>
              <w:t>energy renovation of</w:t>
            </w:r>
            <w:r>
              <w:rPr>
                <w:spacing w:val="1"/>
                <w:sz w:val="16"/>
              </w:rPr>
              <w:t xml:space="preserve"> </w:t>
            </w:r>
            <w:r>
              <w:rPr>
                <w:sz w:val="16"/>
              </w:rPr>
              <w:t>public and multi-</w:t>
            </w:r>
            <w:r>
              <w:rPr>
                <w:spacing w:val="1"/>
                <w:sz w:val="16"/>
              </w:rPr>
              <w:t xml:space="preserve"> </w:t>
            </w:r>
            <w:r>
              <w:rPr>
                <w:sz w:val="16"/>
              </w:rPr>
              <w:t>dwelling</w:t>
            </w:r>
            <w:r>
              <w:rPr>
                <w:spacing w:val="-2"/>
                <w:sz w:val="16"/>
              </w:rPr>
              <w:t xml:space="preserve"> </w:t>
            </w:r>
            <w:r>
              <w:rPr>
                <w:sz w:val="16"/>
              </w:rPr>
              <w:t>buildings</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61" w:right="40"/>
              <w:jc w:val="center"/>
              <w:rPr>
                <w:sz w:val="16"/>
              </w:rPr>
            </w:pPr>
            <w:r>
              <w:rPr>
                <w:sz w:val="16"/>
              </w:rPr>
              <w:t>66.361.</w:t>
            </w:r>
          </w:p>
          <w:p w:rsidR="00A56FE9" w:rsidRDefault="00000000">
            <w:pPr>
              <w:pStyle w:val="TableParagraph"/>
              <w:spacing w:before="1"/>
              <w:ind w:left="61" w:right="41"/>
              <w:jc w:val="center"/>
              <w:rPr>
                <w:sz w:val="16"/>
              </w:rPr>
            </w:pPr>
            <w:r>
              <w:rPr>
                <w:sz w:val="16"/>
              </w:rPr>
              <w:t>404</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59"/>
              <w:rPr>
                <w:sz w:val="16"/>
              </w:rPr>
            </w:pPr>
            <w:r>
              <w:rPr>
                <w:sz w:val="16"/>
              </w:rPr>
              <w:t>MPPCDA, APN,</w:t>
            </w:r>
            <w:r>
              <w:rPr>
                <w:spacing w:val="1"/>
                <w:sz w:val="16"/>
              </w:rPr>
              <w:t xml:space="preserve"> </w:t>
            </w:r>
            <w:r>
              <w:rPr>
                <w:sz w:val="16"/>
              </w:rPr>
              <w:t>SDUSZ</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42"/>
              <w:rPr>
                <w:sz w:val="16"/>
              </w:rPr>
            </w:pPr>
            <w:r>
              <w:rPr>
                <w:sz w:val="16"/>
              </w:rPr>
              <w:t>Contracts signed providing EUR 66,361,404</w:t>
            </w:r>
            <w:r>
              <w:rPr>
                <w:spacing w:val="1"/>
                <w:sz w:val="16"/>
              </w:rPr>
              <w:t xml:space="preserve"> </w:t>
            </w:r>
            <w:r>
              <w:rPr>
                <w:sz w:val="16"/>
              </w:rPr>
              <w:t>for energy renovation of buildings. All</w:t>
            </w:r>
            <w:r>
              <w:rPr>
                <w:spacing w:val="1"/>
                <w:sz w:val="16"/>
              </w:rPr>
              <w:t xml:space="preserve"> </w:t>
            </w:r>
            <w:r>
              <w:rPr>
                <w:sz w:val="16"/>
              </w:rPr>
              <w:t>contracts</w:t>
            </w:r>
            <w:r>
              <w:rPr>
                <w:spacing w:val="2"/>
                <w:sz w:val="16"/>
              </w:rPr>
              <w:t xml:space="preserve"> </w:t>
            </w:r>
            <w:r>
              <w:rPr>
                <w:sz w:val="16"/>
              </w:rPr>
              <w:t>to</w:t>
            </w:r>
            <w:r>
              <w:rPr>
                <w:spacing w:val="3"/>
                <w:sz w:val="16"/>
              </w:rPr>
              <w:t xml:space="preserve"> </w:t>
            </w:r>
            <w:r>
              <w:rPr>
                <w:sz w:val="16"/>
              </w:rPr>
              <w:t>state</w:t>
            </w:r>
            <w:r>
              <w:rPr>
                <w:spacing w:val="3"/>
                <w:sz w:val="16"/>
              </w:rPr>
              <w:t xml:space="preserve"> </w:t>
            </w:r>
            <w:r>
              <w:rPr>
                <w:sz w:val="16"/>
              </w:rPr>
              <w:t>the</w:t>
            </w:r>
            <w:r>
              <w:rPr>
                <w:spacing w:val="2"/>
                <w:sz w:val="16"/>
              </w:rPr>
              <w:t xml:space="preserve"> </w:t>
            </w:r>
            <w:r>
              <w:rPr>
                <w:sz w:val="16"/>
              </w:rPr>
              <w:t>relevant</w:t>
            </w:r>
            <w:r>
              <w:rPr>
                <w:spacing w:val="6"/>
                <w:sz w:val="16"/>
              </w:rPr>
              <w:t xml:space="preserve"> </w:t>
            </w:r>
            <w:r>
              <w:rPr>
                <w:sz w:val="16"/>
              </w:rPr>
              <w:t>energy</w:t>
            </w:r>
            <w:r>
              <w:rPr>
                <w:spacing w:val="1"/>
                <w:sz w:val="16"/>
              </w:rPr>
              <w:t xml:space="preserve"> </w:t>
            </w:r>
            <w:r>
              <w:rPr>
                <w:sz w:val="16"/>
              </w:rPr>
              <w:t>efficiency requirement of a minimum</w:t>
            </w:r>
            <w:r>
              <w:rPr>
                <w:spacing w:val="1"/>
                <w:sz w:val="16"/>
              </w:rPr>
              <w:t xml:space="preserve"> </w:t>
            </w:r>
            <w:r>
              <w:rPr>
                <w:sz w:val="16"/>
              </w:rPr>
              <w:t>reduction of energy consumption for heating</w:t>
            </w:r>
            <w:r>
              <w:rPr>
                <w:spacing w:val="1"/>
                <w:sz w:val="16"/>
              </w:rPr>
              <w:t xml:space="preserve"> </w:t>
            </w:r>
            <w:r>
              <w:rPr>
                <w:sz w:val="16"/>
              </w:rPr>
              <w:t>by at least 50% compared to the annual energy</w:t>
            </w:r>
            <w:r>
              <w:rPr>
                <w:spacing w:val="-38"/>
                <w:sz w:val="16"/>
              </w:rPr>
              <w:t xml:space="preserve"> </w:t>
            </w:r>
            <w:r>
              <w:rPr>
                <w:sz w:val="16"/>
              </w:rPr>
              <w:t>consumption for heating prior to the</w:t>
            </w:r>
            <w:r>
              <w:rPr>
                <w:spacing w:val="1"/>
                <w:sz w:val="16"/>
              </w:rPr>
              <w:t xml:space="preserve"> </w:t>
            </w:r>
            <w:r>
              <w:rPr>
                <w:sz w:val="16"/>
              </w:rPr>
              <w:t>renovation for each building (expect for</w:t>
            </w:r>
            <w:r>
              <w:rPr>
                <w:spacing w:val="1"/>
                <w:sz w:val="16"/>
              </w:rPr>
              <w:t xml:space="preserve"> </w:t>
            </w:r>
            <w:r>
              <w:rPr>
                <w:sz w:val="16"/>
              </w:rPr>
              <w:t>building with a status of a cultural good),</w:t>
            </w:r>
            <w:r>
              <w:rPr>
                <w:spacing w:val="1"/>
                <w:sz w:val="16"/>
              </w:rPr>
              <w:t xml:space="preserve"> </w:t>
            </w:r>
            <w:r>
              <w:rPr>
                <w:sz w:val="16"/>
              </w:rPr>
              <w:t>which</w:t>
            </w:r>
            <w:r>
              <w:rPr>
                <w:spacing w:val="3"/>
                <w:sz w:val="16"/>
              </w:rPr>
              <w:t xml:space="preserve"> </w:t>
            </w:r>
            <w:r>
              <w:rPr>
                <w:sz w:val="16"/>
              </w:rPr>
              <w:t>shall</w:t>
            </w:r>
            <w:r>
              <w:rPr>
                <w:spacing w:val="1"/>
                <w:sz w:val="16"/>
              </w:rPr>
              <w:t xml:space="preserve"> </w:t>
            </w:r>
            <w:r>
              <w:rPr>
                <w:sz w:val="16"/>
              </w:rPr>
              <w:t>deliver</w:t>
            </w:r>
            <w:r>
              <w:rPr>
                <w:spacing w:val="2"/>
                <w:sz w:val="16"/>
              </w:rPr>
              <w:t xml:space="preserve"> </w:t>
            </w:r>
            <w:r>
              <w:rPr>
                <w:sz w:val="16"/>
              </w:rPr>
              <w:t>an</w:t>
            </w:r>
            <w:r>
              <w:rPr>
                <w:spacing w:val="3"/>
                <w:sz w:val="16"/>
              </w:rPr>
              <w:t xml:space="preserve"> </w:t>
            </w:r>
            <w:r>
              <w:rPr>
                <w:sz w:val="16"/>
              </w:rPr>
              <w:t>increase</w:t>
            </w:r>
            <w:r>
              <w:rPr>
                <w:spacing w:val="1"/>
                <w:sz w:val="16"/>
              </w:rPr>
              <w:t xml:space="preserve"> </w:t>
            </w:r>
            <w:r>
              <w:rPr>
                <w:sz w:val="16"/>
              </w:rPr>
              <w:t>of</w:t>
            </w:r>
            <w:r>
              <w:rPr>
                <w:spacing w:val="1"/>
                <w:sz w:val="16"/>
              </w:rPr>
              <w:t xml:space="preserve"> </w:t>
            </w:r>
            <w:r>
              <w:rPr>
                <w:sz w:val="16"/>
              </w:rPr>
              <w:t>30%</w:t>
            </w:r>
            <w:r>
              <w:rPr>
                <w:spacing w:val="1"/>
                <w:sz w:val="16"/>
              </w:rPr>
              <w:t xml:space="preserve"> </w:t>
            </w:r>
            <w:r>
              <w:rPr>
                <w:sz w:val="16"/>
              </w:rPr>
              <w:t>primary energy savings compared to pre-</w:t>
            </w:r>
            <w:r>
              <w:rPr>
                <w:spacing w:val="1"/>
                <w:sz w:val="16"/>
              </w:rPr>
              <w:t xml:space="preserve"> </w:t>
            </w:r>
            <w:r>
              <w:rPr>
                <w:sz w:val="16"/>
              </w:rPr>
              <w:t>renovation state and respecting the “do no</w:t>
            </w:r>
            <w:r>
              <w:rPr>
                <w:spacing w:val="1"/>
                <w:sz w:val="16"/>
              </w:rPr>
              <w:t xml:space="preserve"> </w:t>
            </w:r>
            <w:r>
              <w:rPr>
                <w:sz w:val="16"/>
              </w:rPr>
              <w:t>significant</w:t>
            </w:r>
            <w:r>
              <w:rPr>
                <w:spacing w:val="4"/>
                <w:sz w:val="16"/>
              </w:rPr>
              <w:t xml:space="preserve"> </w:t>
            </w:r>
            <w:r>
              <w:rPr>
                <w:sz w:val="16"/>
              </w:rPr>
              <w:t>harm</w:t>
            </w:r>
            <w:r>
              <w:rPr>
                <w:spacing w:val="4"/>
                <w:sz w:val="16"/>
              </w:rPr>
              <w:t xml:space="preserve"> </w:t>
            </w:r>
            <w:r>
              <w:rPr>
                <w:sz w:val="16"/>
              </w:rPr>
              <w:t>principle”</w:t>
            </w:r>
            <w:r>
              <w:rPr>
                <w:spacing w:val="6"/>
                <w:sz w:val="16"/>
              </w:rPr>
              <w:t xml:space="preserve"> </w:t>
            </w:r>
            <w:r>
              <w:rPr>
                <w:sz w:val="16"/>
              </w:rPr>
              <w:t>as</w:t>
            </w:r>
            <w:r>
              <w:rPr>
                <w:spacing w:val="4"/>
                <w:sz w:val="16"/>
              </w:rPr>
              <w:t xml:space="preserve"> </w:t>
            </w:r>
            <w:r>
              <w:rPr>
                <w:sz w:val="16"/>
              </w:rPr>
              <w:t>set</w:t>
            </w:r>
            <w:r>
              <w:rPr>
                <w:spacing w:val="6"/>
                <w:sz w:val="16"/>
              </w:rPr>
              <w:t xml:space="preserve"> </w:t>
            </w:r>
            <w:r>
              <w:rPr>
                <w:sz w:val="16"/>
              </w:rPr>
              <w:t>out</w:t>
            </w:r>
            <w:r>
              <w:rPr>
                <w:spacing w:val="5"/>
                <w:sz w:val="16"/>
              </w:rPr>
              <w:t xml:space="preserve"> </w:t>
            </w:r>
            <w:r>
              <w:rPr>
                <w:sz w:val="16"/>
              </w:rPr>
              <w:t>in</w:t>
            </w:r>
            <w:r>
              <w:rPr>
                <w:spacing w:val="1"/>
                <w:sz w:val="16"/>
              </w:rPr>
              <w:t xml:space="preserve"> </w:t>
            </w:r>
            <w:r>
              <w:rPr>
                <w:sz w:val="16"/>
              </w:rPr>
              <w:t>Article 17 of Regulation (EU) 2020/852 on</w:t>
            </w:r>
            <w:r>
              <w:rPr>
                <w:spacing w:val="1"/>
                <w:sz w:val="16"/>
              </w:rPr>
              <w:t xml:space="preserve"> </w:t>
            </w:r>
            <w:r>
              <w:rPr>
                <w:sz w:val="16"/>
              </w:rPr>
              <w:t>establishing</w:t>
            </w:r>
            <w:r>
              <w:rPr>
                <w:spacing w:val="-2"/>
                <w:sz w:val="16"/>
              </w:rPr>
              <w:t xml:space="preserve"> </w:t>
            </w:r>
            <w:r>
              <w:rPr>
                <w:sz w:val="16"/>
              </w:rPr>
              <w:t>a</w:t>
            </w:r>
            <w:r>
              <w:rPr>
                <w:spacing w:val="-3"/>
                <w:sz w:val="16"/>
              </w:rPr>
              <w:t xml:space="preserve"> </w:t>
            </w:r>
            <w:r>
              <w:rPr>
                <w:sz w:val="16"/>
              </w:rPr>
              <w:t>framework to</w:t>
            </w:r>
            <w:r>
              <w:rPr>
                <w:spacing w:val="-1"/>
                <w:sz w:val="16"/>
              </w:rPr>
              <w:t xml:space="preserve"> </w:t>
            </w:r>
            <w:r>
              <w:rPr>
                <w:sz w:val="16"/>
              </w:rPr>
              <w:t>facilitate</w:t>
            </w:r>
          </w:p>
          <w:p w:rsidR="00A56FE9" w:rsidRDefault="00000000">
            <w:pPr>
              <w:pStyle w:val="TableParagraph"/>
              <w:spacing w:line="168" w:lineRule="exact"/>
              <w:ind w:left="57"/>
              <w:rPr>
                <w:sz w:val="16"/>
              </w:rPr>
            </w:pPr>
            <w:r>
              <w:rPr>
                <w:sz w:val="16"/>
              </w:rPr>
              <w:t>sustainable</w:t>
            </w:r>
            <w:r>
              <w:rPr>
                <w:spacing w:val="-7"/>
                <w:sz w:val="16"/>
              </w:rPr>
              <w:t xml:space="preserve"> </w:t>
            </w:r>
            <w:r>
              <w:rPr>
                <w:sz w:val="16"/>
              </w:rPr>
              <w:t>investment.</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3" w:lineRule="exact"/>
              <w:ind w:left="57"/>
              <w:rPr>
                <w:sz w:val="16"/>
              </w:rPr>
            </w:pPr>
            <w:r>
              <w:rPr>
                <w:sz w:val="16"/>
              </w:rPr>
              <w:t>1,843,929,591</w:t>
            </w:r>
          </w:p>
        </w:tc>
      </w:tr>
      <w:tr w:rsidR="00A56FE9">
        <w:trPr>
          <w:trHeight w:val="1840"/>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93</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359</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2020.CSR2</w:t>
            </w:r>
          </w:p>
          <w:p w:rsidR="00A56FE9" w:rsidRDefault="00000000">
            <w:pPr>
              <w:pStyle w:val="TableParagraph"/>
              <w:spacing w:before="1"/>
              <w:ind w:left="50" w:right="38"/>
              <w:rPr>
                <w:sz w:val="16"/>
              </w:rPr>
            </w:pPr>
            <w:r>
              <w:rPr>
                <w:sz w:val="16"/>
              </w:rPr>
              <w:t>.subpart4,</w:t>
            </w:r>
            <w:r>
              <w:rPr>
                <w:spacing w:val="1"/>
                <w:sz w:val="16"/>
              </w:rPr>
              <w:t xml:space="preserve"> </w:t>
            </w:r>
            <w:r>
              <w:rPr>
                <w:spacing w:val="-1"/>
                <w:sz w:val="16"/>
              </w:rPr>
              <w:t>2020.CSR2</w:t>
            </w:r>
          </w:p>
          <w:p w:rsidR="00A56FE9" w:rsidRDefault="00000000">
            <w:pPr>
              <w:pStyle w:val="TableParagraph"/>
              <w:ind w:left="50"/>
              <w:rPr>
                <w:sz w:val="16"/>
              </w:rPr>
            </w:pPr>
            <w:r>
              <w:rPr>
                <w:sz w:val="16"/>
              </w:rPr>
              <w:t>.subpart1</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48"/>
              <w:rPr>
                <w:sz w:val="16"/>
              </w:rPr>
            </w:pPr>
            <w:r>
              <w:rPr>
                <w:sz w:val="16"/>
              </w:rPr>
              <w:t>4,</w:t>
            </w:r>
          </w:p>
          <w:p w:rsidR="00A56FE9" w:rsidRDefault="00000000">
            <w:pPr>
              <w:pStyle w:val="TableParagraph"/>
              <w:spacing w:before="1" w:line="183" w:lineRule="exact"/>
              <w:ind w:left="48"/>
              <w:rPr>
                <w:sz w:val="16"/>
              </w:rPr>
            </w:pPr>
            <w:r>
              <w:rPr>
                <w:sz w:val="16"/>
              </w:rPr>
              <w:t>7,</w:t>
            </w:r>
          </w:p>
          <w:p w:rsidR="00A56FE9" w:rsidRDefault="00000000">
            <w:pPr>
              <w:pStyle w:val="TableParagraph"/>
              <w:spacing w:line="183" w:lineRule="exact"/>
              <w:ind w:left="48"/>
              <w:rPr>
                <w:sz w:val="16"/>
              </w:rPr>
            </w:pPr>
            <w:r>
              <w:rPr>
                <w:sz w:val="16"/>
              </w:rPr>
              <w:t>11,</w:t>
            </w:r>
          </w:p>
          <w:p w:rsidR="00A56FE9" w:rsidRDefault="00000000">
            <w:pPr>
              <w:pStyle w:val="TableParagraph"/>
              <w:ind w:left="48"/>
              <w:rPr>
                <w:sz w:val="16"/>
              </w:rPr>
            </w:pPr>
            <w:r>
              <w:rPr>
                <w:sz w:val="16"/>
              </w:rPr>
              <w:t>13</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0"/>
              <w:rPr>
                <w:sz w:val="16"/>
              </w:rPr>
            </w:pPr>
            <w:r>
              <w:rPr>
                <w:sz w:val="16"/>
              </w:rPr>
              <w:t>1,</w:t>
            </w:r>
          </w:p>
          <w:p w:rsidR="00A56FE9" w:rsidRDefault="00000000">
            <w:pPr>
              <w:pStyle w:val="TableParagraph"/>
              <w:spacing w:before="1" w:line="183" w:lineRule="exact"/>
              <w:ind w:left="50"/>
              <w:rPr>
                <w:sz w:val="16"/>
              </w:rPr>
            </w:pPr>
            <w:r>
              <w:rPr>
                <w:sz w:val="16"/>
              </w:rPr>
              <w:t>3,</w:t>
            </w:r>
          </w:p>
          <w:p w:rsidR="00A56FE9" w:rsidRDefault="00000000">
            <w:pPr>
              <w:pStyle w:val="TableParagraph"/>
              <w:spacing w:line="183" w:lineRule="exact"/>
              <w:ind w:left="50"/>
              <w:rPr>
                <w:sz w:val="16"/>
              </w:rPr>
            </w:pPr>
            <w:r>
              <w:rPr>
                <w:sz w:val="16"/>
              </w:rPr>
              <w:t>5</w:t>
            </w: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0" w:right="251"/>
              <w:rPr>
                <w:sz w:val="16"/>
              </w:rPr>
            </w:pPr>
            <w:r>
              <w:rPr>
                <w:sz w:val="16"/>
              </w:rPr>
              <w:t>6 - RENOVATION OF</w:t>
            </w:r>
            <w:r>
              <w:rPr>
                <w:spacing w:val="-37"/>
                <w:sz w:val="16"/>
              </w:rPr>
              <w:t xml:space="preserve"> </w:t>
            </w:r>
            <w:r>
              <w:rPr>
                <w:sz w:val="16"/>
              </w:rPr>
              <w:t>BUILDINGS -</w:t>
            </w:r>
          </w:p>
          <w:p w:rsidR="00A56FE9" w:rsidRDefault="00000000">
            <w:pPr>
              <w:pStyle w:val="TableParagraph"/>
              <w:ind w:left="50" w:right="179"/>
              <w:rPr>
                <w:sz w:val="16"/>
              </w:rPr>
            </w:pPr>
            <w:r>
              <w:rPr>
                <w:sz w:val="16"/>
              </w:rPr>
              <w:t>Developing</w:t>
            </w:r>
            <w:r>
              <w:rPr>
                <w:spacing w:val="-8"/>
                <w:sz w:val="16"/>
              </w:rPr>
              <w:t xml:space="preserve"> </w:t>
            </w:r>
            <w:r>
              <w:rPr>
                <w:sz w:val="16"/>
              </w:rPr>
              <w:t>a</w:t>
            </w:r>
            <w:r>
              <w:rPr>
                <w:spacing w:val="-4"/>
                <w:sz w:val="16"/>
              </w:rPr>
              <w:t xml:space="preserve"> </w:t>
            </w:r>
            <w:r>
              <w:rPr>
                <w:sz w:val="16"/>
              </w:rPr>
              <w:t>framework</w:t>
            </w:r>
            <w:r>
              <w:rPr>
                <w:spacing w:val="-37"/>
                <w:sz w:val="16"/>
              </w:rPr>
              <w:t xml:space="preserve"> </w:t>
            </w:r>
            <w:r>
              <w:rPr>
                <w:sz w:val="16"/>
              </w:rPr>
              <w:t>for ensuring adequate</w:t>
            </w:r>
            <w:r>
              <w:rPr>
                <w:spacing w:val="1"/>
                <w:sz w:val="16"/>
              </w:rPr>
              <w:t xml:space="preserve"> </w:t>
            </w:r>
            <w:r>
              <w:rPr>
                <w:sz w:val="16"/>
              </w:rPr>
              <w:t>skills in the context of</w:t>
            </w:r>
            <w:r>
              <w:rPr>
                <w:spacing w:val="1"/>
                <w:sz w:val="16"/>
              </w:rPr>
              <w:t xml:space="preserve"> </w:t>
            </w:r>
            <w:r>
              <w:rPr>
                <w:sz w:val="16"/>
              </w:rPr>
              <w:t>green jobs needed for</w:t>
            </w:r>
            <w:r>
              <w:rPr>
                <w:spacing w:val="1"/>
                <w:sz w:val="16"/>
              </w:rPr>
              <w:t xml:space="preserve"> </w:t>
            </w:r>
            <w:r>
              <w:rPr>
                <w:sz w:val="16"/>
              </w:rPr>
              <w:t>post-earthquake</w:t>
            </w:r>
            <w:r>
              <w:rPr>
                <w:spacing w:val="1"/>
                <w:sz w:val="16"/>
              </w:rPr>
              <w:t xml:space="preserve"> </w:t>
            </w:r>
            <w:r>
              <w:rPr>
                <w:sz w:val="16"/>
              </w:rPr>
              <w:t>reconstruction</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1" w:right="79"/>
              <w:rPr>
                <w:sz w:val="16"/>
              </w:rPr>
            </w:pPr>
            <w:r>
              <w:rPr>
                <w:sz w:val="16"/>
              </w:rPr>
              <w:t>Milest</w:t>
            </w:r>
            <w:r>
              <w:rPr>
                <w:spacing w:val="-37"/>
                <w:sz w:val="16"/>
              </w:rPr>
              <w:t xml:space="preserve"> </w:t>
            </w:r>
            <w:r>
              <w:rPr>
                <w:sz w:val="16"/>
              </w:rPr>
              <w:t>one</w:t>
            </w: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09" w:right="114"/>
              <w:rPr>
                <w:sz w:val="16"/>
              </w:rPr>
            </w:pPr>
            <w:r>
              <w:rPr>
                <w:sz w:val="16"/>
              </w:rPr>
              <w:t>Publication of the</w:t>
            </w:r>
            <w:r>
              <w:rPr>
                <w:spacing w:val="1"/>
                <w:sz w:val="16"/>
              </w:rPr>
              <w:t xml:space="preserve"> </w:t>
            </w:r>
            <w:r>
              <w:rPr>
                <w:sz w:val="16"/>
              </w:rPr>
              <w:t>National Skills</w:t>
            </w:r>
            <w:r>
              <w:rPr>
                <w:spacing w:val="1"/>
                <w:sz w:val="16"/>
              </w:rPr>
              <w:t xml:space="preserve"> </w:t>
            </w:r>
            <w:r>
              <w:rPr>
                <w:sz w:val="16"/>
              </w:rPr>
              <w:t>Development Plan in the</w:t>
            </w:r>
            <w:r>
              <w:rPr>
                <w:spacing w:val="-38"/>
                <w:sz w:val="16"/>
              </w:rPr>
              <w:t xml:space="preserve"> </w:t>
            </w:r>
            <w:r>
              <w:rPr>
                <w:sz w:val="16"/>
              </w:rPr>
              <w:t>context of green jobs</w:t>
            </w:r>
            <w:r>
              <w:rPr>
                <w:spacing w:val="1"/>
                <w:sz w:val="16"/>
              </w:rPr>
              <w:t xml:space="preserve"> </w:t>
            </w:r>
            <w:r>
              <w:rPr>
                <w:sz w:val="16"/>
              </w:rPr>
              <w:t>related to energy</w:t>
            </w:r>
            <w:r>
              <w:rPr>
                <w:spacing w:val="1"/>
                <w:sz w:val="16"/>
              </w:rPr>
              <w:t xml:space="preserve"> </w:t>
            </w:r>
            <w:r>
              <w:rPr>
                <w:sz w:val="16"/>
              </w:rPr>
              <w:t>efficiency and post-</w:t>
            </w:r>
            <w:r>
              <w:rPr>
                <w:spacing w:val="1"/>
                <w:sz w:val="16"/>
              </w:rPr>
              <w:t xml:space="preserve"> </w:t>
            </w:r>
            <w:r>
              <w:rPr>
                <w:sz w:val="16"/>
              </w:rPr>
              <w:t>earthquake</w:t>
            </w:r>
            <w:r>
              <w:rPr>
                <w:spacing w:val="1"/>
                <w:sz w:val="16"/>
              </w:rPr>
              <w:t xml:space="preserve"> </w:t>
            </w:r>
            <w:r>
              <w:rPr>
                <w:sz w:val="16"/>
              </w:rPr>
              <w:t>reconstruction</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110" w:right="116"/>
              <w:rPr>
                <w:sz w:val="16"/>
              </w:rPr>
            </w:pPr>
            <w:r>
              <w:rPr>
                <w:sz w:val="16"/>
              </w:rPr>
              <w:t>Publication</w:t>
            </w:r>
            <w:r>
              <w:rPr>
                <w:spacing w:val="1"/>
                <w:sz w:val="16"/>
              </w:rPr>
              <w:t xml:space="preserve"> </w:t>
            </w:r>
            <w:r>
              <w:rPr>
                <w:sz w:val="16"/>
              </w:rPr>
              <w:t>on the official</w:t>
            </w:r>
            <w:r>
              <w:rPr>
                <w:spacing w:val="-37"/>
                <w:sz w:val="16"/>
              </w:rPr>
              <w:t xml:space="preserve"> </w:t>
            </w:r>
            <w:r>
              <w:rPr>
                <w:sz w:val="16"/>
              </w:rPr>
              <w:t>website of the</w:t>
            </w:r>
            <w:r>
              <w:rPr>
                <w:spacing w:val="-37"/>
                <w:sz w:val="16"/>
              </w:rPr>
              <w:t xml:space="preserve"> </w:t>
            </w:r>
            <w:r>
              <w:rPr>
                <w:sz w:val="16"/>
              </w:rPr>
              <w:t>Ministry of</w:t>
            </w:r>
            <w:r>
              <w:rPr>
                <w:spacing w:val="1"/>
                <w:sz w:val="16"/>
              </w:rPr>
              <w:t xml:space="preserve"> </w:t>
            </w:r>
            <w:r>
              <w:rPr>
                <w:sz w:val="16"/>
              </w:rPr>
              <w:t>Physical</w:t>
            </w:r>
            <w:r>
              <w:rPr>
                <w:spacing w:val="1"/>
                <w:sz w:val="16"/>
              </w:rPr>
              <w:t xml:space="preserve"> </w:t>
            </w:r>
            <w:r>
              <w:rPr>
                <w:sz w:val="16"/>
              </w:rPr>
              <w:t>Planning,</w:t>
            </w:r>
            <w:r>
              <w:rPr>
                <w:spacing w:val="1"/>
                <w:sz w:val="16"/>
              </w:rPr>
              <w:t xml:space="preserve"> </w:t>
            </w:r>
            <w:r>
              <w:rPr>
                <w:sz w:val="16"/>
              </w:rPr>
              <w:t>Construction</w:t>
            </w:r>
            <w:r>
              <w:rPr>
                <w:spacing w:val="1"/>
                <w:sz w:val="16"/>
              </w:rPr>
              <w:t xml:space="preserve"> </w:t>
            </w:r>
            <w:r>
              <w:rPr>
                <w:sz w:val="16"/>
              </w:rPr>
              <w:t>and State</w:t>
            </w:r>
            <w:r>
              <w:rPr>
                <w:spacing w:val="1"/>
                <w:sz w:val="16"/>
              </w:rPr>
              <w:t xml:space="preserve"> </w:t>
            </w:r>
            <w:r>
              <w:rPr>
                <w:sz w:val="16"/>
              </w:rPr>
              <w:t>Assets</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MPPCDA</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29"/>
              <w:rPr>
                <w:sz w:val="16"/>
              </w:rPr>
            </w:pPr>
            <w:r>
              <w:rPr>
                <w:sz w:val="16"/>
              </w:rPr>
              <w:t>The publication of the National Skills</w:t>
            </w:r>
            <w:r>
              <w:rPr>
                <w:spacing w:val="1"/>
                <w:sz w:val="16"/>
              </w:rPr>
              <w:t xml:space="preserve"> </w:t>
            </w:r>
            <w:r>
              <w:rPr>
                <w:sz w:val="16"/>
              </w:rPr>
              <w:t>Development</w:t>
            </w:r>
            <w:r>
              <w:rPr>
                <w:spacing w:val="-3"/>
                <w:sz w:val="16"/>
              </w:rPr>
              <w:t xml:space="preserve"> </w:t>
            </w:r>
            <w:r>
              <w:rPr>
                <w:sz w:val="16"/>
              </w:rPr>
              <w:t>Plan</w:t>
            </w:r>
            <w:r>
              <w:rPr>
                <w:spacing w:val="-3"/>
                <w:sz w:val="16"/>
              </w:rPr>
              <w:t xml:space="preserve"> </w:t>
            </w:r>
            <w:r>
              <w:rPr>
                <w:sz w:val="16"/>
              </w:rPr>
              <w:t>that</w:t>
            </w:r>
            <w:r>
              <w:rPr>
                <w:spacing w:val="-3"/>
                <w:sz w:val="16"/>
              </w:rPr>
              <w:t xml:space="preserve"> </w:t>
            </w:r>
            <w:r>
              <w:rPr>
                <w:sz w:val="16"/>
              </w:rPr>
              <w:t>shall</w:t>
            </w:r>
            <w:r>
              <w:rPr>
                <w:spacing w:val="-3"/>
                <w:sz w:val="16"/>
              </w:rPr>
              <w:t xml:space="preserve"> </w:t>
            </w:r>
            <w:r>
              <w:rPr>
                <w:sz w:val="16"/>
              </w:rPr>
              <w:t>improve</w:t>
            </w:r>
            <w:r>
              <w:rPr>
                <w:spacing w:val="-6"/>
                <w:sz w:val="16"/>
              </w:rPr>
              <w:t xml:space="preserve"> </w:t>
            </w:r>
            <w:r>
              <w:rPr>
                <w:sz w:val="16"/>
              </w:rPr>
              <w:t>the</w:t>
            </w:r>
            <w:r>
              <w:rPr>
                <w:spacing w:val="-5"/>
                <w:sz w:val="16"/>
              </w:rPr>
              <w:t xml:space="preserve"> </w:t>
            </w:r>
            <w:r>
              <w:rPr>
                <w:sz w:val="16"/>
              </w:rPr>
              <w:t>skills</w:t>
            </w:r>
            <w:r>
              <w:rPr>
                <w:spacing w:val="-37"/>
                <w:sz w:val="16"/>
              </w:rPr>
              <w:t xml:space="preserve"> </w:t>
            </w:r>
            <w:r>
              <w:rPr>
                <w:sz w:val="16"/>
              </w:rPr>
              <w:t>of green jobs in the context of energy</w:t>
            </w:r>
            <w:r>
              <w:rPr>
                <w:spacing w:val="1"/>
                <w:sz w:val="16"/>
              </w:rPr>
              <w:t xml:space="preserve"> </w:t>
            </w:r>
            <w:r>
              <w:rPr>
                <w:sz w:val="16"/>
              </w:rPr>
              <w:t>renovation, post-earthquake renovation, green</w:t>
            </w:r>
            <w:r>
              <w:rPr>
                <w:spacing w:val="1"/>
                <w:sz w:val="16"/>
              </w:rPr>
              <w:t xml:space="preserve"> </w:t>
            </w:r>
            <w:r>
              <w:rPr>
                <w:sz w:val="16"/>
              </w:rPr>
              <w:t>infrastructure, application of nature-based</w:t>
            </w:r>
            <w:r>
              <w:rPr>
                <w:spacing w:val="1"/>
                <w:sz w:val="16"/>
              </w:rPr>
              <w:t xml:space="preserve"> </w:t>
            </w:r>
            <w:r>
              <w:rPr>
                <w:sz w:val="16"/>
              </w:rPr>
              <w:t>solutions and circular management of space</w:t>
            </w:r>
            <w:r>
              <w:rPr>
                <w:spacing w:val="1"/>
                <w:sz w:val="16"/>
              </w:rPr>
              <w:t xml:space="preserve"> </w:t>
            </w:r>
            <w:r>
              <w:rPr>
                <w:sz w:val="16"/>
              </w:rPr>
              <w:t>and building, based on a review of existing</w:t>
            </w:r>
            <w:r>
              <w:rPr>
                <w:spacing w:val="1"/>
                <w:sz w:val="16"/>
              </w:rPr>
              <w:t xml:space="preserve"> </w:t>
            </w:r>
            <w:r>
              <w:rPr>
                <w:sz w:val="16"/>
              </w:rPr>
              <w:t>programmes and preparation and adaptation of</w:t>
            </w:r>
            <w:r>
              <w:rPr>
                <w:spacing w:val="-37"/>
                <w:sz w:val="16"/>
              </w:rPr>
              <w:t xml:space="preserve"> </w:t>
            </w:r>
            <w:r>
              <w:rPr>
                <w:sz w:val="16"/>
              </w:rPr>
              <w:t>educational</w:t>
            </w:r>
            <w:r>
              <w:rPr>
                <w:spacing w:val="-4"/>
                <w:sz w:val="16"/>
              </w:rPr>
              <w:t xml:space="preserve"> </w:t>
            </w:r>
            <w:r>
              <w:rPr>
                <w:sz w:val="16"/>
              </w:rPr>
              <w:t>programmes</w:t>
            </w:r>
            <w:r>
              <w:rPr>
                <w:spacing w:val="-1"/>
                <w:sz w:val="16"/>
              </w:rPr>
              <w:t xml:space="preserve"> </w:t>
            </w:r>
            <w:r>
              <w:rPr>
                <w:sz w:val="16"/>
              </w:rPr>
              <w:t>defined</w:t>
            </w:r>
            <w:r>
              <w:rPr>
                <w:spacing w:val="-2"/>
                <w:sz w:val="16"/>
              </w:rPr>
              <w:t xml:space="preserve"> </w:t>
            </w:r>
            <w:r>
              <w:rPr>
                <w:sz w:val="16"/>
              </w:rPr>
              <w:t>by</w:t>
            </w:r>
            <w:r>
              <w:rPr>
                <w:spacing w:val="-3"/>
                <w:sz w:val="16"/>
              </w:rPr>
              <w:t xml:space="preserve"> </w:t>
            </w:r>
            <w:r>
              <w:rPr>
                <w:sz w:val="16"/>
              </w:rPr>
              <w:t>the</w:t>
            </w:r>
          </w:p>
          <w:p w:rsidR="00A56FE9" w:rsidRDefault="00000000">
            <w:pPr>
              <w:pStyle w:val="TableParagraph"/>
              <w:spacing w:line="168" w:lineRule="exact"/>
              <w:ind w:left="57"/>
              <w:rPr>
                <w:sz w:val="16"/>
              </w:rPr>
            </w:pPr>
            <w:r>
              <w:rPr>
                <w:sz w:val="16"/>
              </w:rPr>
              <w:t>reform.</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r>
    </w:tbl>
    <w:p w:rsidR="00A56FE9" w:rsidRDefault="00A56FE9">
      <w:pPr>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432"/>
        <w:gridCol w:w="852"/>
        <w:gridCol w:w="283"/>
        <w:gridCol w:w="283"/>
        <w:gridCol w:w="1838"/>
        <w:gridCol w:w="569"/>
        <w:gridCol w:w="1840"/>
        <w:gridCol w:w="1137"/>
        <w:gridCol w:w="633"/>
        <w:gridCol w:w="604"/>
        <w:gridCol w:w="633"/>
        <w:gridCol w:w="508"/>
        <w:gridCol w:w="652"/>
        <w:gridCol w:w="845"/>
        <w:gridCol w:w="3106"/>
        <w:gridCol w:w="1128"/>
      </w:tblGrid>
      <w:tr w:rsidR="00A56FE9">
        <w:trPr>
          <w:trHeight w:val="394"/>
        </w:trPr>
        <w:tc>
          <w:tcPr>
            <w:tcW w:w="420" w:type="dxa"/>
            <w:vMerge w:val="restart"/>
            <w:tcBorders>
              <w:bottom w:val="nil"/>
              <w:right w:val="single" w:sz="4" w:space="0" w:color="FFFFFF"/>
            </w:tcBorders>
            <w:shd w:val="clear" w:color="auto" w:fill="2C398A"/>
          </w:tcPr>
          <w:p w:rsidR="00A56FE9" w:rsidRDefault="00A56FE9">
            <w:pPr>
              <w:pStyle w:val="TableParagraph"/>
              <w:rPr>
                <w:sz w:val="18"/>
              </w:rPr>
            </w:pPr>
          </w:p>
          <w:p w:rsidR="00A56FE9" w:rsidRDefault="00A56FE9">
            <w:pPr>
              <w:pStyle w:val="TableParagraph"/>
              <w:spacing w:before="6"/>
              <w:rPr>
                <w:sz w:val="15"/>
              </w:rPr>
            </w:pPr>
          </w:p>
          <w:p w:rsidR="00A56FE9" w:rsidRDefault="00000000">
            <w:pPr>
              <w:pStyle w:val="TableParagraph"/>
              <w:ind w:left="95"/>
              <w:rPr>
                <w:b/>
                <w:sz w:val="16"/>
              </w:rPr>
            </w:pPr>
            <w:r>
              <w:rPr>
                <w:b/>
                <w:color w:val="FFFFFF"/>
                <w:sz w:val="16"/>
              </w:rPr>
              <w:t>RB</w:t>
            </w:r>
          </w:p>
        </w:tc>
        <w:tc>
          <w:tcPr>
            <w:tcW w:w="1850"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spacing w:before="105"/>
              <w:ind w:left="583"/>
              <w:rPr>
                <w:b/>
                <w:sz w:val="16"/>
              </w:rPr>
            </w:pPr>
            <w:r>
              <w:rPr>
                <w:b/>
                <w:color w:val="FFFFFF"/>
                <w:sz w:val="16"/>
              </w:rPr>
              <w:t>Reference</w:t>
            </w:r>
          </w:p>
        </w:tc>
        <w:tc>
          <w:tcPr>
            <w:tcW w:w="5384" w:type="dxa"/>
            <w:gridSpan w:val="4"/>
            <w:tcBorders>
              <w:left w:val="single" w:sz="4" w:space="0" w:color="FFFFFF"/>
              <w:bottom w:val="single" w:sz="6" w:space="0" w:color="FFFFFF"/>
              <w:right w:val="single" w:sz="4" w:space="0" w:color="FFFFFF"/>
            </w:tcBorders>
            <w:shd w:val="clear" w:color="auto" w:fill="2C398A"/>
          </w:tcPr>
          <w:p w:rsidR="00A56FE9" w:rsidRDefault="00000000">
            <w:pPr>
              <w:pStyle w:val="TableParagraph"/>
              <w:tabs>
                <w:tab w:val="left" w:pos="4433"/>
              </w:tabs>
              <w:spacing w:before="131" w:line="153" w:lineRule="auto"/>
              <w:ind w:left="1903"/>
              <w:rPr>
                <w:b/>
                <w:sz w:val="16"/>
              </w:rPr>
            </w:pPr>
            <w:r>
              <w:rPr>
                <w:b/>
                <w:color w:val="FFFFFF"/>
                <w:position w:val="-8"/>
                <w:sz w:val="16"/>
              </w:rPr>
              <w:t>Milesto</w:t>
            </w:r>
            <w:r>
              <w:rPr>
                <w:b/>
                <w:color w:val="FFFFFF"/>
                <w:position w:val="-8"/>
                <w:sz w:val="16"/>
              </w:rPr>
              <w:tab/>
            </w:r>
            <w:r>
              <w:rPr>
                <w:b/>
                <w:color w:val="FFFFFF"/>
                <w:sz w:val="16"/>
              </w:rPr>
              <w:t>Qualitative</w:t>
            </w:r>
          </w:p>
          <w:p w:rsidR="00A56FE9" w:rsidRDefault="00000000">
            <w:pPr>
              <w:pStyle w:val="TableParagraph"/>
              <w:tabs>
                <w:tab w:val="left" w:pos="4474"/>
              </w:tabs>
              <w:spacing w:line="36" w:lineRule="exact"/>
              <w:ind w:left="238"/>
              <w:rPr>
                <w:b/>
                <w:sz w:val="16"/>
              </w:rPr>
            </w:pPr>
            <w:r>
              <w:rPr>
                <w:b/>
                <w:color w:val="FFFFFF"/>
                <w:sz w:val="16"/>
              </w:rPr>
              <w:t>Measure (reform</w:t>
            </w:r>
            <w:r>
              <w:rPr>
                <w:b/>
                <w:color w:val="FFFFFF"/>
                <w:spacing w:val="-5"/>
                <w:sz w:val="16"/>
              </w:rPr>
              <w:t xml:space="preserve"> </w:t>
            </w:r>
            <w:r>
              <w:rPr>
                <w:b/>
                <w:color w:val="FFFFFF"/>
                <w:sz w:val="16"/>
              </w:rPr>
              <w:t>or</w:t>
            </w:r>
            <w:r>
              <w:rPr>
                <w:b/>
                <w:color w:val="FFFFFF"/>
                <w:sz w:val="16"/>
              </w:rPr>
              <w:tab/>
              <w:t>indicators</w:t>
            </w:r>
          </w:p>
        </w:tc>
        <w:tc>
          <w:tcPr>
            <w:tcW w:w="1870" w:type="dxa"/>
            <w:gridSpan w:val="3"/>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528" w:right="157" w:hanging="334"/>
              <w:rPr>
                <w:b/>
                <w:i/>
                <w:sz w:val="16"/>
              </w:rPr>
            </w:pPr>
            <w:r>
              <w:rPr>
                <w:b/>
                <w:color w:val="FFFFFF"/>
                <w:sz w:val="16"/>
              </w:rPr>
              <w:t>Qualitative indicators</w:t>
            </w:r>
            <w:r>
              <w:rPr>
                <w:b/>
                <w:color w:val="FFFFFF"/>
                <w:spacing w:val="-37"/>
                <w:sz w:val="16"/>
              </w:rPr>
              <w:t xml:space="preserve"> </w:t>
            </w:r>
            <w:r>
              <w:rPr>
                <w:b/>
                <w:color w:val="FFFFFF"/>
                <w:sz w:val="16"/>
              </w:rPr>
              <w:t>(for targets</w:t>
            </w:r>
            <w:r>
              <w:rPr>
                <w:b/>
                <w:i/>
                <w:color w:val="FFFFFF"/>
                <w:sz w:val="16"/>
              </w:rPr>
              <w:t>)</w:t>
            </w:r>
          </w:p>
        </w:tc>
        <w:tc>
          <w:tcPr>
            <w:tcW w:w="1160" w:type="dxa"/>
            <w:gridSpan w:val="2"/>
            <w:tcBorders>
              <w:left w:val="single" w:sz="4" w:space="0" w:color="FFFFFF"/>
              <w:bottom w:val="single" w:sz="6" w:space="0" w:color="FFFFFF"/>
              <w:right w:val="single" w:sz="4" w:space="0" w:color="FFFFFF"/>
            </w:tcBorders>
            <w:shd w:val="clear" w:color="auto" w:fill="2C398A"/>
          </w:tcPr>
          <w:p w:rsidR="00A56FE9" w:rsidRDefault="00000000">
            <w:pPr>
              <w:pStyle w:val="TableParagraph"/>
              <w:ind w:left="297" w:right="55" w:hanging="214"/>
              <w:rPr>
                <w:b/>
                <w:sz w:val="16"/>
              </w:rPr>
            </w:pPr>
            <w:r>
              <w:rPr>
                <w:b/>
                <w:color w:val="FFFFFF"/>
                <w:spacing w:val="-1"/>
                <w:sz w:val="16"/>
              </w:rPr>
              <w:t>Implementatio</w:t>
            </w:r>
            <w:r>
              <w:rPr>
                <w:b/>
                <w:color w:val="FFFFFF"/>
                <w:spacing w:val="-37"/>
                <w:sz w:val="16"/>
              </w:rPr>
              <w:t xml:space="preserve"> </w:t>
            </w:r>
            <w:r>
              <w:rPr>
                <w:b/>
                <w:color w:val="FFFFFF"/>
                <w:sz w:val="16"/>
              </w:rPr>
              <w:t>n</w:t>
            </w:r>
            <w:r>
              <w:rPr>
                <w:b/>
                <w:color w:val="FFFFFF"/>
                <w:spacing w:val="-1"/>
                <w:sz w:val="16"/>
              </w:rPr>
              <w:t xml:space="preserve"> </w:t>
            </w:r>
            <w:r>
              <w:rPr>
                <w:b/>
                <w:color w:val="FFFFFF"/>
                <w:sz w:val="16"/>
              </w:rPr>
              <w:t>period</w:t>
            </w:r>
          </w:p>
        </w:tc>
        <w:tc>
          <w:tcPr>
            <w:tcW w:w="5079" w:type="dxa"/>
            <w:gridSpan w:val="3"/>
            <w:tcBorders>
              <w:left w:val="single" w:sz="4" w:space="0" w:color="FFFFFF"/>
              <w:bottom w:val="single" w:sz="6" w:space="0" w:color="FFFFFF"/>
            </w:tcBorders>
            <w:shd w:val="clear" w:color="auto" w:fill="2C398A"/>
          </w:tcPr>
          <w:p w:rsidR="00A56FE9" w:rsidRDefault="00000000">
            <w:pPr>
              <w:pStyle w:val="TableParagraph"/>
              <w:spacing w:before="10" w:line="182" w:lineRule="exact"/>
              <w:ind w:left="4025" w:right="172" w:firstLine="187"/>
              <w:rPr>
                <w:b/>
                <w:sz w:val="16"/>
              </w:rPr>
            </w:pPr>
            <w:r>
              <w:rPr>
                <w:b/>
                <w:color w:val="FFFFFF"/>
                <w:sz w:val="16"/>
              </w:rPr>
              <w:t>Cost of</w:t>
            </w:r>
            <w:r>
              <w:rPr>
                <w:b/>
                <w:color w:val="FFFFFF"/>
                <w:spacing w:val="1"/>
                <w:sz w:val="16"/>
              </w:rPr>
              <w:t xml:space="preserve"> </w:t>
            </w:r>
            <w:r>
              <w:rPr>
                <w:b/>
                <w:color w:val="FFFFFF"/>
                <w:spacing w:val="-1"/>
                <w:sz w:val="16"/>
              </w:rPr>
              <w:t>implementat</w:t>
            </w:r>
          </w:p>
        </w:tc>
      </w:tr>
      <w:tr w:rsidR="00A56FE9">
        <w:trPr>
          <w:trHeight w:val="555"/>
        </w:trPr>
        <w:tc>
          <w:tcPr>
            <w:tcW w:w="420" w:type="dxa"/>
            <w:vMerge/>
            <w:tcBorders>
              <w:top w:val="nil"/>
              <w:bottom w:val="nil"/>
              <w:right w:val="single" w:sz="4" w:space="0" w:color="FFFFFF"/>
            </w:tcBorders>
            <w:shd w:val="clear" w:color="auto" w:fill="2C398A"/>
          </w:tcPr>
          <w:p w:rsidR="00A56FE9" w:rsidRDefault="00A56FE9">
            <w:pPr>
              <w:rPr>
                <w:sz w:val="2"/>
                <w:szCs w:val="2"/>
              </w:rPr>
            </w:pPr>
          </w:p>
        </w:tc>
        <w:tc>
          <w:tcPr>
            <w:tcW w:w="432"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07" w:right="71" w:hanging="8"/>
              <w:rPr>
                <w:b/>
                <w:sz w:val="16"/>
              </w:rPr>
            </w:pPr>
            <w:r>
              <w:rPr>
                <w:b/>
                <w:color w:val="FFFFFF"/>
                <w:sz w:val="16"/>
              </w:rPr>
              <w:t>NR</w:t>
            </w:r>
            <w:r>
              <w:rPr>
                <w:b/>
                <w:color w:val="FFFFFF"/>
                <w:spacing w:val="-38"/>
                <w:sz w:val="16"/>
              </w:rPr>
              <w:t xml:space="preserve"> </w:t>
            </w:r>
            <w:r>
              <w:rPr>
                <w:b/>
                <w:color w:val="FFFFFF"/>
                <w:sz w:val="16"/>
              </w:rPr>
              <w:t>RP</w:t>
            </w:r>
          </w:p>
        </w:tc>
        <w:tc>
          <w:tcPr>
            <w:tcW w:w="852" w:type="dxa"/>
            <w:tcBorders>
              <w:top w:val="single" w:sz="6" w:space="0" w:color="FFFFFF"/>
              <w:left w:val="single" w:sz="4" w:space="0" w:color="FFFFFF"/>
              <w:bottom w:val="nil"/>
              <w:right w:val="single" w:sz="4" w:space="0" w:color="FFFFFF"/>
            </w:tcBorders>
            <w:shd w:val="clear" w:color="auto" w:fill="2C398A"/>
          </w:tcPr>
          <w:p w:rsidR="00A56FE9" w:rsidRDefault="00A56FE9">
            <w:pPr>
              <w:pStyle w:val="TableParagraph"/>
              <w:spacing w:before="7"/>
              <w:rPr>
                <w:sz w:val="15"/>
              </w:rPr>
            </w:pPr>
          </w:p>
          <w:p w:rsidR="00A56FE9" w:rsidRDefault="00000000">
            <w:pPr>
              <w:pStyle w:val="TableParagraph"/>
              <w:spacing w:before="1"/>
              <w:ind w:left="264"/>
              <w:rPr>
                <w:b/>
                <w:sz w:val="16"/>
              </w:rPr>
            </w:pPr>
            <w:r>
              <w:rPr>
                <w:b/>
                <w:color w:val="FFFFFF"/>
                <w:sz w:val="16"/>
              </w:rPr>
              <w:t>CSR</w:t>
            </w:r>
          </w:p>
        </w:tc>
        <w:tc>
          <w:tcPr>
            <w:tcW w:w="28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81" w:right="56" w:firstLine="12"/>
              <w:rPr>
                <w:b/>
                <w:sz w:val="16"/>
              </w:rPr>
            </w:pPr>
            <w:r>
              <w:rPr>
                <w:b/>
                <w:color w:val="FFFFFF"/>
                <w:sz w:val="16"/>
              </w:rPr>
              <w:t>S</w:t>
            </w:r>
            <w:r>
              <w:rPr>
                <w:b/>
                <w:color w:val="FFFFFF"/>
                <w:spacing w:val="-37"/>
                <w:sz w:val="16"/>
              </w:rPr>
              <w:t xml:space="preserve"> </w:t>
            </w:r>
            <w:r>
              <w:rPr>
                <w:b/>
                <w:color w:val="FFFFFF"/>
                <w:sz w:val="16"/>
              </w:rPr>
              <w:t>D</w:t>
            </w:r>
          </w:p>
          <w:p w:rsidR="00A56FE9" w:rsidRDefault="00000000">
            <w:pPr>
              <w:pStyle w:val="TableParagraph"/>
              <w:spacing w:line="170" w:lineRule="exact"/>
              <w:ind w:left="76"/>
              <w:rPr>
                <w:b/>
                <w:sz w:val="16"/>
              </w:rPr>
            </w:pPr>
            <w:r>
              <w:rPr>
                <w:b/>
                <w:color w:val="FFFFFF"/>
                <w:sz w:val="16"/>
              </w:rPr>
              <w:t>G</w:t>
            </w:r>
          </w:p>
        </w:tc>
        <w:tc>
          <w:tcPr>
            <w:tcW w:w="5667" w:type="dxa"/>
            <w:gridSpan w:val="5"/>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tabs>
                <w:tab w:val="left" w:pos="801"/>
                <w:tab w:val="left" w:pos="2301"/>
                <w:tab w:val="left" w:pos="3411"/>
                <w:tab w:val="left" w:pos="4971"/>
              </w:tabs>
              <w:spacing w:line="207" w:lineRule="exact"/>
              <w:ind w:left="89"/>
              <w:rPr>
                <w:b/>
                <w:sz w:val="16"/>
              </w:rPr>
            </w:pPr>
            <w:r>
              <w:rPr>
                <w:b/>
                <w:color w:val="FFFFFF"/>
                <w:position w:val="7"/>
                <w:sz w:val="16"/>
              </w:rPr>
              <w:t>E</w:t>
            </w:r>
            <w:r>
              <w:rPr>
                <w:b/>
                <w:color w:val="FFFFFF"/>
                <w:position w:val="7"/>
                <w:sz w:val="16"/>
              </w:rPr>
              <w:tab/>
            </w:r>
            <w:r>
              <w:rPr>
                <w:b/>
                <w:color w:val="FFFFFF"/>
                <w:sz w:val="16"/>
              </w:rPr>
              <w:t>investment)</w:t>
            </w:r>
            <w:r>
              <w:rPr>
                <w:b/>
                <w:color w:val="FFFFFF"/>
                <w:sz w:val="16"/>
              </w:rPr>
              <w:tab/>
            </w:r>
            <w:r>
              <w:rPr>
                <w:b/>
                <w:color w:val="FFFFFF"/>
                <w:spacing w:val="-4"/>
                <w:position w:val="9"/>
                <w:sz w:val="16"/>
              </w:rPr>
              <w:t>ne</w:t>
            </w:r>
            <w:r>
              <w:rPr>
                <w:b/>
                <w:color w:val="FFFFFF"/>
                <w:spacing w:val="-21"/>
                <w:position w:val="9"/>
                <w:sz w:val="16"/>
              </w:rPr>
              <w:t xml:space="preserve"> </w:t>
            </w:r>
            <w:r>
              <w:rPr>
                <w:b/>
                <w:color w:val="FFFFFF"/>
                <w:spacing w:val="-3"/>
                <w:position w:val="9"/>
                <w:sz w:val="16"/>
              </w:rPr>
              <w:t>/</w:t>
            </w:r>
            <w:r>
              <w:rPr>
                <w:b/>
                <w:color w:val="FFFFFF"/>
                <w:spacing w:val="-3"/>
                <w:position w:val="9"/>
                <w:sz w:val="16"/>
              </w:rPr>
              <w:tab/>
            </w:r>
            <w:r>
              <w:rPr>
                <w:b/>
                <w:color w:val="FFFFFF"/>
                <w:position w:val="9"/>
                <w:sz w:val="16"/>
              </w:rPr>
              <w:t>Name</w:t>
            </w:r>
            <w:r>
              <w:rPr>
                <w:b/>
                <w:color w:val="FFFFFF"/>
                <w:position w:val="9"/>
                <w:sz w:val="16"/>
              </w:rPr>
              <w:tab/>
            </w:r>
            <w:r>
              <w:rPr>
                <w:b/>
                <w:color w:val="FFFFFF"/>
                <w:sz w:val="16"/>
              </w:rPr>
              <w:t>(for</w:t>
            </w:r>
          </w:p>
          <w:p w:rsidR="00A56FE9" w:rsidRDefault="00000000">
            <w:pPr>
              <w:pStyle w:val="TableParagraph"/>
              <w:tabs>
                <w:tab w:val="left" w:pos="2203"/>
                <w:tab w:val="left" w:pos="4719"/>
              </w:tabs>
              <w:spacing w:before="13" w:line="146" w:lineRule="auto"/>
              <w:ind w:left="91" w:right="169" w:hanging="39"/>
              <w:rPr>
                <w:b/>
                <w:sz w:val="16"/>
              </w:rPr>
            </w:pPr>
            <w:r>
              <w:rPr>
                <w:b/>
                <w:color w:val="FFFFFF"/>
                <w:position w:val="7"/>
                <w:sz w:val="16"/>
              </w:rPr>
              <w:t>SS</w:t>
            </w:r>
            <w:r>
              <w:rPr>
                <w:b/>
                <w:color w:val="FFFFFF"/>
                <w:position w:val="7"/>
                <w:sz w:val="16"/>
              </w:rPr>
              <w:tab/>
            </w:r>
            <w:r>
              <w:rPr>
                <w:b/>
                <w:color w:val="FFFFFF"/>
                <w:position w:val="9"/>
                <w:sz w:val="16"/>
              </w:rPr>
              <w:t>Target</w:t>
            </w:r>
            <w:r>
              <w:rPr>
                <w:b/>
                <w:color w:val="FFFFFF"/>
                <w:position w:val="9"/>
                <w:sz w:val="16"/>
              </w:rPr>
              <w:tab/>
            </w:r>
            <w:r>
              <w:rPr>
                <w:b/>
                <w:color w:val="FFFFFF"/>
                <w:spacing w:val="-1"/>
                <w:sz w:val="16"/>
              </w:rPr>
              <w:t>milestones</w:t>
            </w:r>
            <w:r>
              <w:rPr>
                <w:b/>
                <w:i/>
                <w:color w:val="FFFFFF"/>
                <w:spacing w:val="-1"/>
                <w:sz w:val="16"/>
              </w:rPr>
              <w:t>)</w:t>
            </w:r>
            <w:r>
              <w:rPr>
                <w:b/>
                <w:i/>
                <w:color w:val="FFFFFF"/>
                <w:spacing w:val="-37"/>
                <w:sz w:val="16"/>
              </w:rPr>
              <w:t xml:space="preserve"> </w:t>
            </w:r>
            <w:r>
              <w:rPr>
                <w:b/>
                <w:color w:val="FFFFFF"/>
                <w:sz w:val="16"/>
              </w:rPr>
              <w:t>P</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72" w:right="54" w:firstLine="3"/>
              <w:jc w:val="center"/>
              <w:rPr>
                <w:b/>
                <w:sz w:val="16"/>
              </w:rPr>
            </w:pPr>
            <w:r>
              <w:rPr>
                <w:b/>
                <w:color w:val="FFFFFF"/>
                <w:sz w:val="16"/>
              </w:rPr>
              <w:t>Unit</w:t>
            </w:r>
            <w:r>
              <w:rPr>
                <w:b/>
                <w:color w:val="FFFFFF"/>
                <w:spacing w:val="1"/>
                <w:sz w:val="16"/>
              </w:rPr>
              <w:t xml:space="preserve"> </w:t>
            </w:r>
            <w:r>
              <w:rPr>
                <w:b/>
                <w:color w:val="FFFFFF"/>
                <w:spacing w:val="-2"/>
                <w:sz w:val="16"/>
              </w:rPr>
              <w:t>measur</w:t>
            </w:r>
          </w:p>
          <w:p w:rsidR="00A56FE9" w:rsidRDefault="00000000">
            <w:pPr>
              <w:pStyle w:val="TableParagraph"/>
              <w:spacing w:line="170" w:lineRule="exact"/>
              <w:ind w:left="58" w:right="41"/>
              <w:jc w:val="center"/>
              <w:rPr>
                <w:b/>
                <w:sz w:val="16"/>
              </w:rPr>
            </w:pPr>
            <w:r>
              <w:rPr>
                <w:b/>
                <w:color w:val="FFFFFF"/>
                <w:sz w:val="16"/>
              </w:rPr>
              <w:t>es</w:t>
            </w:r>
          </w:p>
        </w:tc>
        <w:tc>
          <w:tcPr>
            <w:tcW w:w="604"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38" w:right="80" w:hanging="20"/>
              <w:rPr>
                <w:b/>
                <w:sz w:val="16"/>
              </w:rPr>
            </w:pPr>
            <w:r>
              <w:rPr>
                <w:b/>
                <w:color w:val="FFFFFF"/>
                <w:spacing w:val="-6"/>
                <w:sz w:val="16"/>
              </w:rPr>
              <w:t>Initial</w:t>
            </w:r>
            <w:r>
              <w:rPr>
                <w:b/>
                <w:color w:val="FFFFFF"/>
                <w:spacing w:val="-37"/>
                <w:sz w:val="16"/>
              </w:rPr>
              <w:t xml:space="preserve"> </w:t>
            </w:r>
            <w:r>
              <w:rPr>
                <w:b/>
                <w:color w:val="FFFFFF"/>
                <w:spacing w:val="-2"/>
                <w:sz w:val="16"/>
              </w:rPr>
              <w:t>value</w:t>
            </w:r>
          </w:p>
        </w:tc>
        <w:tc>
          <w:tcPr>
            <w:tcW w:w="633"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ind w:left="239" w:right="53" w:hanging="152"/>
              <w:rPr>
                <w:b/>
                <w:sz w:val="16"/>
              </w:rPr>
            </w:pPr>
            <w:r>
              <w:rPr>
                <w:b/>
                <w:color w:val="FFFFFF"/>
                <w:sz w:val="16"/>
              </w:rPr>
              <w:t>Target</w:t>
            </w:r>
            <w:r>
              <w:rPr>
                <w:b/>
                <w:color w:val="FFFFFF"/>
                <w:spacing w:val="-37"/>
                <w:sz w:val="16"/>
              </w:rPr>
              <w:t xml:space="preserve"> </w:t>
            </w:r>
            <w:r>
              <w:rPr>
                <w:b/>
                <w:color w:val="FFFFFF"/>
                <w:sz w:val="16"/>
              </w:rPr>
              <w:t>ed</w:t>
            </w:r>
          </w:p>
          <w:p w:rsidR="00A56FE9" w:rsidRDefault="00000000">
            <w:pPr>
              <w:pStyle w:val="TableParagraph"/>
              <w:spacing w:line="170" w:lineRule="exact"/>
              <w:ind w:left="138"/>
              <w:rPr>
                <w:b/>
                <w:sz w:val="16"/>
              </w:rPr>
            </w:pPr>
            <w:r>
              <w:rPr>
                <w:b/>
                <w:color w:val="FFFFFF"/>
                <w:sz w:val="16"/>
              </w:rPr>
              <w:t>value</w:t>
            </w:r>
          </w:p>
        </w:tc>
        <w:tc>
          <w:tcPr>
            <w:tcW w:w="508" w:type="dxa"/>
            <w:tcBorders>
              <w:top w:val="single" w:sz="6" w:space="0" w:color="FFFFFF"/>
              <w:left w:val="single" w:sz="4" w:space="0" w:color="FFFFFF"/>
              <w:bottom w:val="nil"/>
              <w:right w:val="single" w:sz="4" w:space="0" w:color="FFFFFF"/>
            </w:tcBorders>
            <w:shd w:val="clear" w:color="auto" w:fill="2C398A"/>
          </w:tcPr>
          <w:p w:rsidR="00A56FE9" w:rsidRDefault="00000000">
            <w:pPr>
              <w:pStyle w:val="TableParagraph"/>
              <w:spacing w:before="89"/>
              <w:ind w:left="161" w:right="39" w:hanging="87"/>
              <w:rPr>
                <w:b/>
                <w:sz w:val="16"/>
              </w:rPr>
            </w:pPr>
            <w:r>
              <w:rPr>
                <w:b/>
                <w:color w:val="FFFFFF"/>
                <w:sz w:val="16"/>
              </w:rPr>
              <w:t>Quar</w:t>
            </w:r>
            <w:r>
              <w:rPr>
                <w:b/>
                <w:color w:val="FFFFFF"/>
                <w:spacing w:val="-37"/>
                <w:sz w:val="16"/>
              </w:rPr>
              <w:t xml:space="preserve"> </w:t>
            </w:r>
            <w:r>
              <w:rPr>
                <w:b/>
                <w:color w:val="FFFFFF"/>
                <w:sz w:val="16"/>
              </w:rPr>
              <w:t>ter</w:t>
            </w:r>
          </w:p>
        </w:tc>
        <w:tc>
          <w:tcPr>
            <w:tcW w:w="5731" w:type="dxa"/>
            <w:gridSpan w:val="4"/>
            <w:tcBorders>
              <w:top w:val="single" w:sz="6" w:space="0" w:color="FFFFFF"/>
              <w:left w:val="single" w:sz="4" w:space="0" w:color="FFFFFF"/>
              <w:bottom w:val="nil"/>
            </w:tcBorders>
            <w:shd w:val="clear" w:color="auto" w:fill="2C398A"/>
          </w:tcPr>
          <w:p w:rsidR="00A56FE9" w:rsidRDefault="00000000">
            <w:pPr>
              <w:pStyle w:val="TableParagraph"/>
              <w:tabs>
                <w:tab w:val="left" w:pos="1856"/>
                <w:tab w:val="left" w:pos="4869"/>
              </w:tabs>
              <w:spacing w:line="160" w:lineRule="exact"/>
              <w:ind w:left="742"/>
              <w:rPr>
                <w:b/>
                <w:sz w:val="16"/>
              </w:rPr>
            </w:pPr>
            <w:r>
              <w:rPr>
                <w:b/>
                <w:color w:val="FFFFFF"/>
                <w:sz w:val="16"/>
              </w:rPr>
              <w:t>Authority</w:t>
            </w:r>
            <w:r>
              <w:rPr>
                <w:b/>
                <w:color w:val="FFFFFF"/>
                <w:sz w:val="16"/>
              </w:rPr>
              <w:tab/>
              <w:t>Description</w:t>
            </w:r>
            <w:r>
              <w:rPr>
                <w:b/>
                <w:color w:val="FFFFFF"/>
                <w:spacing w:val="-5"/>
                <w:sz w:val="16"/>
              </w:rPr>
              <w:t xml:space="preserve"> </w:t>
            </w:r>
            <w:r>
              <w:rPr>
                <w:b/>
                <w:color w:val="FFFFFF"/>
                <w:sz w:val="16"/>
              </w:rPr>
              <w:t>of</w:t>
            </w:r>
            <w:r>
              <w:rPr>
                <w:b/>
                <w:color w:val="FFFFFF"/>
                <w:spacing w:val="-2"/>
                <w:sz w:val="16"/>
              </w:rPr>
              <w:t xml:space="preserve"> </w:t>
            </w:r>
            <w:r>
              <w:rPr>
                <w:b/>
                <w:color w:val="FFFFFF"/>
                <w:sz w:val="16"/>
              </w:rPr>
              <w:t>milestone</w:t>
            </w:r>
            <w:r>
              <w:rPr>
                <w:b/>
                <w:color w:val="FFFFFF"/>
                <w:spacing w:val="-2"/>
                <w:sz w:val="16"/>
              </w:rPr>
              <w:t xml:space="preserve"> </w:t>
            </w:r>
            <w:r>
              <w:rPr>
                <w:b/>
                <w:color w:val="FFFFFF"/>
                <w:sz w:val="16"/>
              </w:rPr>
              <w:t>and</w:t>
            </w:r>
            <w:r>
              <w:rPr>
                <w:b/>
                <w:color w:val="FFFFFF"/>
                <w:spacing w:val="-2"/>
                <w:sz w:val="16"/>
              </w:rPr>
              <w:t xml:space="preserve"> </w:t>
            </w:r>
            <w:r>
              <w:rPr>
                <w:b/>
                <w:color w:val="FFFFFF"/>
                <w:sz w:val="16"/>
              </w:rPr>
              <w:t>target</w:t>
            </w:r>
            <w:r>
              <w:rPr>
                <w:b/>
                <w:color w:val="FFFFFF"/>
                <w:sz w:val="16"/>
              </w:rPr>
              <w:tab/>
              <w:t>ion</w:t>
            </w:r>
            <w:r>
              <w:rPr>
                <w:b/>
                <w:color w:val="FFFFFF"/>
                <w:spacing w:val="-1"/>
                <w:sz w:val="16"/>
              </w:rPr>
              <w:t xml:space="preserve"> </w:t>
            </w:r>
            <w:r>
              <w:rPr>
                <w:b/>
                <w:color w:val="FFFFFF"/>
                <w:sz w:val="16"/>
              </w:rPr>
              <w:t>(all</w:t>
            </w:r>
          </w:p>
          <w:p w:rsidR="00A56FE9" w:rsidRDefault="00000000">
            <w:pPr>
              <w:pStyle w:val="TableParagraph"/>
              <w:tabs>
                <w:tab w:val="left" w:pos="4768"/>
              </w:tabs>
              <w:spacing w:line="194" w:lineRule="exact"/>
              <w:ind w:left="162"/>
              <w:rPr>
                <w:b/>
                <w:sz w:val="16"/>
              </w:rPr>
            </w:pPr>
            <w:r>
              <w:rPr>
                <w:b/>
                <w:color w:val="FFFFFF"/>
                <w:sz w:val="16"/>
              </w:rPr>
              <w:t>Year</w:t>
            </w:r>
            <w:r>
              <w:rPr>
                <w:b/>
                <w:color w:val="FFFFFF"/>
                <w:sz w:val="16"/>
              </w:rPr>
              <w:tab/>
            </w:r>
            <w:r>
              <w:rPr>
                <w:b/>
                <w:color w:val="FFFFFF"/>
                <w:position w:val="2"/>
                <w:sz w:val="16"/>
              </w:rPr>
              <w:t>sources</w:t>
            </w:r>
            <w:r>
              <w:rPr>
                <w:b/>
                <w:color w:val="FFFFFF"/>
                <w:spacing w:val="-2"/>
                <w:position w:val="2"/>
                <w:sz w:val="16"/>
              </w:rPr>
              <w:t xml:space="preserve"> </w:t>
            </w:r>
            <w:r>
              <w:rPr>
                <w:b/>
                <w:color w:val="FFFFFF"/>
                <w:position w:val="2"/>
                <w:sz w:val="16"/>
              </w:rPr>
              <w:t>in</w:t>
            </w:r>
          </w:p>
          <w:p w:rsidR="00A56FE9" w:rsidRDefault="00000000">
            <w:pPr>
              <w:pStyle w:val="TableParagraph"/>
              <w:spacing w:line="174" w:lineRule="exact"/>
              <w:ind w:left="4907"/>
              <w:rPr>
                <w:b/>
                <w:sz w:val="16"/>
              </w:rPr>
            </w:pPr>
            <w:r>
              <w:rPr>
                <w:b/>
                <w:color w:val="FFFFFF"/>
                <w:sz w:val="16"/>
              </w:rPr>
              <w:t>kuna)</w:t>
            </w:r>
          </w:p>
        </w:tc>
      </w:tr>
      <w:tr w:rsidR="00A56FE9">
        <w:trPr>
          <w:trHeight w:val="2570"/>
        </w:trPr>
        <w:tc>
          <w:tcPr>
            <w:tcW w:w="420" w:type="dxa"/>
            <w:tcBorders>
              <w:top w:val="nil"/>
              <w:left w:val="single" w:sz="4" w:space="0" w:color="2C398A"/>
              <w:bottom w:val="single" w:sz="4" w:space="0" w:color="2C398A"/>
              <w:right w:val="single" w:sz="4" w:space="0" w:color="2C398A"/>
            </w:tcBorders>
          </w:tcPr>
          <w:p w:rsidR="00A56FE9" w:rsidRDefault="00000000">
            <w:pPr>
              <w:pStyle w:val="TableParagraph"/>
              <w:spacing w:line="173" w:lineRule="exact"/>
              <w:ind w:right="115"/>
              <w:jc w:val="right"/>
              <w:rPr>
                <w:sz w:val="16"/>
              </w:rPr>
            </w:pPr>
            <w:r>
              <w:rPr>
                <w:sz w:val="16"/>
              </w:rPr>
              <w:t>94</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right="83"/>
              <w:jc w:val="right"/>
              <w:rPr>
                <w:sz w:val="16"/>
              </w:rPr>
            </w:pPr>
            <w:r>
              <w:rPr>
                <w:sz w:val="16"/>
              </w:rPr>
              <w:t>363</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0"/>
              <w:rPr>
                <w:sz w:val="16"/>
              </w:rPr>
            </w:pPr>
            <w:r>
              <w:rPr>
                <w:sz w:val="16"/>
              </w:rPr>
              <w:t>2019.CSR3</w:t>
            </w:r>
          </w:p>
          <w:p w:rsidR="00A56FE9" w:rsidRDefault="00000000">
            <w:pPr>
              <w:pStyle w:val="TableParagraph"/>
              <w:spacing w:before="1"/>
              <w:ind w:left="50" w:right="38"/>
              <w:rPr>
                <w:sz w:val="16"/>
              </w:rPr>
            </w:pPr>
            <w:r>
              <w:rPr>
                <w:sz w:val="16"/>
              </w:rPr>
              <w:t>.subpart3,</w:t>
            </w:r>
            <w:r>
              <w:rPr>
                <w:spacing w:val="1"/>
                <w:sz w:val="16"/>
              </w:rPr>
              <w:t xml:space="preserve"> </w:t>
            </w:r>
            <w:r>
              <w:rPr>
                <w:spacing w:val="-1"/>
                <w:sz w:val="16"/>
              </w:rPr>
              <w:t>2020.CSR3</w:t>
            </w:r>
          </w:p>
          <w:p w:rsidR="00A56FE9" w:rsidRDefault="00000000">
            <w:pPr>
              <w:pStyle w:val="TableParagraph"/>
              <w:spacing w:line="183" w:lineRule="exact"/>
              <w:ind w:left="50"/>
              <w:rPr>
                <w:sz w:val="16"/>
              </w:rPr>
            </w:pPr>
            <w:r>
              <w:rPr>
                <w:sz w:val="16"/>
              </w:rPr>
              <w:t>.subpart8</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48"/>
              <w:rPr>
                <w:sz w:val="16"/>
              </w:rPr>
            </w:pPr>
            <w:r>
              <w:rPr>
                <w:sz w:val="16"/>
              </w:rPr>
              <w:t>7,</w:t>
            </w:r>
          </w:p>
          <w:p w:rsidR="00A56FE9" w:rsidRDefault="00000000">
            <w:pPr>
              <w:pStyle w:val="TableParagraph"/>
              <w:spacing w:before="1"/>
              <w:ind w:left="48"/>
              <w:rPr>
                <w:sz w:val="16"/>
              </w:rPr>
            </w:pPr>
            <w:r>
              <w:rPr>
                <w:sz w:val="16"/>
              </w:rPr>
              <w:t>11,</w:t>
            </w:r>
          </w:p>
          <w:p w:rsidR="00A56FE9" w:rsidRDefault="00000000">
            <w:pPr>
              <w:pStyle w:val="TableParagraph"/>
              <w:spacing w:line="183" w:lineRule="exact"/>
              <w:ind w:left="48"/>
              <w:rPr>
                <w:sz w:val="16"/>
              </w:rPr>
            </w:pPr>
            <w:r>
              <w:rPr>
                <w:sz w:val="16"/>
              </w:rPr>
              <w:t>13,</w:t>
            </w:r>
          </w:p>
          <w:p w:rsidR="00A56FE9" w:rsidRDefault="00000000">
            <w:pPr>
              <w:pStyle w:val="TableParagraph"/>
              <w:spacing w:line="183" w:lineRule="exact"/>
              <w:ind w:left="48"/>
              <w:rPr>
                <w:sz w:val="16"/>
              </w:rPr>
            </w:pPr>
            <w:r>
              <w:rPr>
                <w:sz w:val="16"/>
              </w:rPr>
              <w:t>16</w:t>
            </w: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0"/>
              <w:rPr>
                <w:sz w:val="16"/>
              </w:rPr>
            </w:pPr>
            <w:r>
              <w:rPr>
                <w:sz w:val="16"/>
              </w:rPr>
              <w:t>3,</w:t>
            </w:r>
          </w:p>
          <w:p w:rsidR="00A56FE9" w:rsidRDefault="00000000">
            <w:pPr>
              <w:pStyle w:val="TableParagraph"/>
              <w:spacing w:before="1"/>
              <w:ind w:left="50"/>
              <w:rPr>
                <w:sz w:val="16"/>
              </w:rPr>
            </w:pPr>
            <w:r>
              <w:rPr>
                <w:sz w:val="16"/>
              </w:rPr>
              <w:t>10</w:t>
            </w:r>
          </w:p>
        </w:tc>
        <w:tc>
          <w:tcPr>
            <w:tcW w:w="1838"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0"/>
              <w:rPr>
                <w:sz w:val="16"/>
              </w:rPr>
            </w:pPr>
            <w:r>
              <w:rPr>
                <w:sz w:val="16"/>
              </w:rPr>
              <w:t>6</w:t>
            </w:r>
            <w:r>
              <w:rPr>
                <w:spacing w:val="1"/>
                <w:sz w:val="16"/>
              </w:rPr>
              <w:t xml:space="preserve"> </w:t>
            </w:r>
            <w:r>
              <w:rPr>
                <w:sz w:val="16"/>
              </w:rPr>
              <w:t>-</w:t>
            </w:r>
            <w:r>
              <w:rPr>
                <w:spacing w:val="-4"/>
                <w:sz w:val="16"/>
              </w:rPr>
              <w:t xml:space="preserve"> </w:t>
            </w:r>
            <w:r>
              <w:rPr>
                <w:sz w:val="16"/>
              </w:rPr>
              <w:t>RENOVATION</w:t>
            </w:r>
            <w:r>
              <w:rPr>
                <w:spacing w:val="-1"/>
                <w:sz w:val="16"/>
              </w:rPr>
              <w:t xml:space="preserve"> </w:t>
            </w:r>
            <w:r>
              <w:rPr>
                <w:sz w:val="16"/>
              </w:rPr>
              <w:t>OF</w:t>
            </w:r>
          </w:p>
          <w:p w:rsidR="00A56FE9" w:rsidRDefault="00000000">
            <w:pPr>
              <w:pStyle w:val="TableParagraph"/>
              <w:spacing w:before="1"/>
              <w:ind w:left="50" w:right="87"/>
              <w:rPr>
                <w:sz w:val="16"/>
              </w:rPr>
            </w:pPr>
            <w:r>
              <w:rPr>
                <w:sz w:val="16"/>
              </w:rPr>
              <w:t>BUILDINGS - Increasing</w:t>
            </w:r>
            <w:r>
              <w:rPr>
                <w:spacing w:val="-37"/>
                <w:sz w:val="16"/>
              </w:rPr>
              <w:t xml:space="preserve"> </w:t>
            </w:r>
            <w:r>
              <w:rPr>
                <w:sz w:val="16"/>
              </w:rPr>
              <w:t>efficiency, reduction of</w:t>
            </w:r>
            <w:r>
              <w:rPr>
                <w:spacing w:val="1"/>
                <w:sz w:val="16"/>
              </w:rPr>
              <w:t xml:space="preserve"> </w:t>
            </w:r>
            <w:r>
              <w:rPr>
                <w:sz w:val="16"/>
              </w:rPr>
              <w:t>administrative burden and</w:t>
            </w:r>
            <w:r>
              <w:rPr>
                <w:spacing w:val="-38"/>
                <w:sz w:val="16"/>
              </w:rPr>
              <w:t xml:space="preserve"> </w:t>
            </w:r>
            <w:r>
              <w:rPr>
                <w:sz w:val="16"/>
              </w:rPr>
              <w:t>digitalisation of the</w:t>
            </w:r>
            <w:r>
              <w:rPr>
                <w:spacing w:val="1"/>
                <w:sz w:val="16"/>
              </w:rPr>
              <w:t xml:space="preserve"> </w:t>
            </w:r>
            <w:r>
              <w:rPr>
                <w:sz w:val="16"/>
              </w:rPr>
              <w:t>renovation</w:t>
            </w:r>
            <w:r>
              <w:rPr>
                <w:spacing w:val="-2"/>
                <w:sz w:val="16"/>
              </w:rPr>
              <w:t xml:space="preserve"> </w:t>
            </w:r>
            <w:r>
              <w:rPr>
                <w:sz w:val="16"/>
              </w:rPr>
              <w:t>process</w:t>
            </w:r>
          </w:p>
        </w:tc>
        <w:tc>
          <w:tcPr>
            <w:tcW w:w="569"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1"/>
              <w:rPr>
                <w:sz w:val="16"/>
              </w:rPr>
            </w:pPr>
            <w:r>
              <w:rPr>
                <w:sz w:val="16"/>
              </w:rPr>
              <w:t>Milest</w:t>
            </w:r>
          </w:p>
          <w:p w:rsidR="00A56FE9" w:rsidRDefault="00000000">
            <w:pPr>
              <w:pStyle w:val="TableParagraph"/>
              <w:spacing w:before="1"/>
              <w:ind w:left="51"/>
              <w:rPr>
                <w:sz w:val="16"/>
              </w:rPr>
            </w:pPr>
            <w:r>
              <w:rPr>
                <w:sz w:val="16"/>
              </w:rPr>
              <w:t>one</w:t>
            </w:r>
          </w:p>
        </w:tc>
        <w:tc>
          <w:tcPr>
            <w:tcW w:w="1840"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09"/>
              <w:rPr>
                <w:sz w:val="16"/>
              </w:rPr>
            </w:pPr>
            <w:r>
              <w:rPr>
                <w:sz w:val="16"/>
              </w:rPr>
              <w:t>On-line</w:t>
            </w:r>
            <w:r>
              <w:rPr>
                <w:spacing w:val="-6"/>
                <w:sz w:val="16"/>
              </w:rPr>
              <w:t xml:space="preserve"> </w:t>
            </w:r>
            <w:r>
              <w:rPr>
                <w:sz w:val="16"/>
              </w:rPr>
              <w:t>one-stop-shop</w:t>
            </w:r>
          </w:p>
          <w:p w:rsidR="00A56FE9" w:rsidRDefault="00000000">
            <w:pPr>
              <w:pStyle w:val="TableParagraph"/>
              <w:spacing w:before="1"/>
              <w:ind w:left="109" w:right="114"/>
              <w:rPr>
                <w:sz w:val="16"/>
              </w:rPr>
            </w:pPr>
            <w:r>
              <w:rPr>
                <w:sz w:val="16"/>
              </w:rPr>
              <w:t>for energy renovation</w:t>
            </w:r>
            <w:r>
              <w:rPr>
                <w:spacing w:val="1"/>
                <w:sz w:val="16"/>
              </w:rPr>
              <w:t xml:space="preserve"> </w:t>
            </w:r>
            <w:r>
              <w:rPr>
                <w:sz w:val="16"/>
              </w:rPr>
              <w:t>and seismic</w:t>
            </w:r>
            <w:r>
              <w:rPr>
                <w:spacing w:val="1"/>
                <w:sz w:val="16"/>
              </w:rPr>
              <w:t xml:space="preserve"> </w:t>
            </w:r>
            <w:r>
              <w:rPr>
                <w:sz w:val="16"/>
              </w:rPr>
              <w:t>reinforcement set up and</w:t>
            </w:r>
            <w:r>
              <w:rPr>
                <w:spacing w:val="-38"/>
                <w:sz w:val="16"/>
              </w:rPr>
              <w:t xml:space="preserve"> </w:t>
            </w:r>
            <w:r>
              <w:rPr>
                <w:sz w:val="16"/>
              </w:rPr>
              <w:t>operational</w:t>
            </w:r>
          </w:p>
        </w:tc>
        <w:tc>
          <w:tcPr>
            <w:tcW w:w="1137"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10"/>
              <w:rPr>
                <w:sz w:val="16"/>
              </w:rPr>
            </w:pPr>
            <w:r>
              <w:rPr>
                <w:sz w:val="16"/>
              </w:rPr>
              <w:t>On-line</w:t>
            </w:r>
            <w:r>
              <w:rPr>
                <w:spacing w:val="-4"/>
                <w:sz w:val="16"/>
              </w:rPr>
              <w:t xml:space="preserve"> </w:t>
            </w:r>
            <w:r>
              <w:rPr>
                <w:sz w:val="16"/>
              </w:rPr>
              <w:t>one-</w:t>
            </w:r>
          </w:p>
          <w:p w:rsidR="00A56FE9" w:rsidRDefault="00000000">
            <w:pPr>
              <w:pStyle w:val="TableParagraph"/>
              <w:spacing w:before="1"/>
              <w:ind w:left="110" w:right="277"/>
              <w:rPr>
                <w:sz w:val="16"/>
              </w:rPr>
            </w:pPr>
            <w:r>
              <w:rPr>
                <w:sz w:val="16"/>
              </w:rPr>
              <w:t>stop-shop</w:t>
            </w:r>
            <w:r>
              <w:rPr>
                <w:spacing w:val="1"/>
                <w:sz w:val="16"/>
              </w:rPr>
              <w:t xml:space="preserve"> </w:t>
            </w:r>
            <w:r>
              <w:rPr>
                <w:sz w:val="16"/>
              </w:rPr>
              <w:t>operational</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151" w:right="130"/>
              <w:jc w:val="center"/>
              <w:rPr>
                <w:sz w:val="16"/>
              </w:rPr>
            </w:pPr>
            <w:r>
              <w:rPr>
                <w:sz w:val="16"/>
              </w:rPr>
              <w:t>2022</w:t>
            </w:r>
          </w:p>
        </w:tc>
        <w:tc>
          <w:tcPr>
            <w:tcW w:w="845"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7"/>
              <w:rPr>
                <w:sz w:val="16"/>
              </w:rPr>
            </w:pPr>
            <w:r>
              <w:rPr>
                <w:sz w:val="16"/>
              </w:rPr>
              <w:t>MPPCDA</w:t>
            </w:r>
          </w:p>
        </w:tc>
        <w:tc>
          <w:tcPr>
            <w:tcW w:w="3106"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left="57"/>
              <w:rPr>
                <w:sz w:val="16"/>
              </w:rPr>
            </w:pPr>
            <w:r>
              <w:rPr>
                <w:sz w:val="16"/>
              </w:rPr>
              <w:t>Putting</w:t>
            </w:r>
            <w:r>
              <w:rPr>
                <w:spacing w:val="-4"/>
                <w:sz w:val="16"/>
              </w:rPr>
              <w:t xml:space="preserve"> </w:t>
            </w:r>
            <w:r>
              <w:rPr>
                <w:sz w:val="16"/>
              </w:rPr>
              <w:t>into</w:t>
            </w:r>
            <w:r>
              <w:rPr>
                <w:spacing w:val="-4"/>
                <w:sz w:val="16"/>
              </w:rPr>
              <w:t xml:space="preserve"> </w:t>
            </w:r>
            <w:r>
              <w:rPr>
                <w:sz w:val="16"/>
              </w:rPr>
              <w:t>operation</w:t>
            </w:r>
            <w:r>
              <w:rPr>
                <w:spacing w:val="-2"/>
                <w:sz w:val="16"/>
              </w:rPr>
              <w:t xml:space="preserve"> </w:t>
            </w:r>
            <w:r>
              <w:rPr>
                <w:sz w:val="16"/>
              </w:rPr>
              <w:t>of</w:t>
            </w:r>
            <w:r>
              <w:rPr>
                <w:spacing w:val="-4"/>
                <w:sz w:val="16"/>
              </w:rPr>
              <w:t xml:space="preserve"> </w:t>
            </w:r>
            <w:r>
              <w:rPr>
                <w:sz w:val="16"/>
              </w:rPr>
              <w:t>an</w:t>
            </w:r>
            <w:r>
              <w:rPr>
                <w:spacing w:val="-2"/>
                <w:sz w:val="16"/>
              </w:rPr>
              <w:t xml:space="preserve"> </w:t>
            </w:r>
            <w:r>
              <w:rPr>
                <w:sz w:val="16"/>
              </w:rPr>
              <w:t>on-line</w:t>
            </w:r>
            <w:r>
              <w:rPr>
                <w:spacing w:val="-4"/>
                <w:sz w:val="16"/>
              </w:rPr>
              <w:t xml:space="preserve"> </w:t>
            </w:r>
            <w:r>
              <w:rPr>
                <w:sz w:val="16"/>
              </w:rPr>
              <w:t>one-stop-</w:t>
            </w:r>
          </w:p>
          <w:p w:rsidR="00A56FE9" w:rsidRDefault="00000000">
            <w:pPr>
              <w:pStyle w:val="TableParagraph"/>
              <w:spacing w:before="1"/>
              <w:ind w:left="57" w:right="175"/>
              <w:rPr>
                <w:sz w:val="16"/>
              </w:rPr>
            </w:pPr>
            <w:r>
              <w:rPr>
                <w:sz w:val="16"/>
              </w:rPr>
              <w:t>shop system bringing together all the</w:t>
            </w:r>
            <w:r>
              <w:rPr>
                <w:spacing w:val="1"/>
                <w:sz w:val="16"/>
              </w:rPr>
              <w:t xml:space="preserve"> </w:t>
            </w:r>
            <w:r>
              <w:rPr>
                <w:sz w:val="16"/>
              </w:rPr>
              <w:t>necessary information for energy renovation</w:t>
            </w:r>
            <w:r>
              <w:rPr>
                <w:spacing w:val="-38"/>
                <w:sz w:val="16"/>
              </w:rPr>
              <w:t xml:space="preserve"> </w:t>
            </w:r>
            <w:r>
              <w:rPr>
                <w:sz w:val="16"/>
              </w:rPr>
              <w:t>and</w:t>
            </w:r>
            <w:r>
              <w:rPr>
                <w:spacing w:val="-3"/>
                <w:sz w:val="16"/>
              </w:rPr>
              <w:t xml:space="preserve"> </w:t>
            </w:r>
            <w:r>
              <w:rPr>
                <w:sz w:val="16"/>
              </w:rPr>
              <w:t>post-earthquake</w:t>
            </w:r>
            <w:r>
              <w:rPr>
                <w:spacing w:val="-2"/>
                <w:sz w:val="16"/>
              </w:rPr>
              <w:t xml:space="preserve"> </w:t>
            </w:r>
            <w:r>
              <w:rPr>
                <w:sz w:val="16"/>
              </w:rPr>
              <w:t>reconstruction.</w:t>
            </w:r>
          </w:p>
          <w:p w:rsidR="00A56FE9" w:rsidRDefault="00000000">
            <w:pPr>
              <w:pStyle w:val="TableParagraph"/>
              <w:ind w:left="57" w:right="60"/>
              <w:rPr>
                <w:sz w:val="16"/>
              </w:rPr>
            </w:pPr>
            <w:r>
              <w:rPr>
                <w:sz w:val="16"/>
              </w:rPr>
              <w:t>The one-stop-shop shall be implemented in</w:t>
            </w:r>
            <w:r>
              <w:rPr>
                <w:spacing w:val="1"/>
                <w:sz w:val="16"/>
              </w:rPr>
              <w:t xml:space="preserve"> </w:t>
            </w:r>
            <w:r>
              <w:rPr>
                <w:sz w:val="16"/>
              </w:rPr>
              <w:t>two phases: (i) emergency services necessary</w:t>
            </w:r>
            <w:r>
              <w:rPr>
                <w:spacing w:val="1"/>
                <w:sz w:val="16"/>
              </w:rPr>
              <w:t xml:space="preserve"> </w:t>
            </w:r>
            <w:r>
              <w:rPr>
                <w:sz w:val="16"/>
              </w:rPr>
              <w:t>for the urgent structural renovation and</w:t>
            </w:r>
            <w:r>
              <w:rPr>
                <w:spacing w:val="1"/>
                <w:sz w:val="16"/>
              </w:rPr>
              <w:t xml:space="preserve"> </w:t>
            </w:r>
            <w:r>
              <w:rPr>
                <w:sz w:val="16"/>
              </w:rPr>
              <w:t>necessary restoration of damage in order to</w:t>
            </w:r>
            <w:r>
              <w:rPr>
                <w:spacing w:val="1"/>
                <w:sz w:val="16"/>
              </w:rPr>
              <w:t xml:space="preserve"> </w:t>
            </w:r>
            <w:r>
              <w:rPr>
                <w:sz w:val="16"/>
              </w:rPr>
              <w:t>ensure a level of safety for citizens and</w:t>
            </w:r>
            <w:r>
              <w:rPr>
                <w:spacing w:val="1"/>
                <w:sz w:val="16"/>
              </w:rPr>
              <w:t xml:space="preserve"> </w:t>
            </w:r>
            <w:r>
              <w:rPr>
                <w:sz w:val="16"/>
              </w:rPr>
              <w:t>facilities; (ii) integrating all other services and</w:t>
            </w:r>
            <w:r>
              <w:rPr>
                <w:spacing w:val="-38"/>
                <w:sz w:val="16"/>
              </w:rPr>
              <w:t xml:space="preserve"> </w:t>
            </w:r>
            <w:r>
              <w:rPr>
                <w:sz w:val="16"/>
              </w:rPr>
              <w:t>information needed for comprehensive and</w:t>
            </w:r>
            <w:r>
              <w:rPr>
                <w:spacing w:val="1"/>
                <w:sz w:val="16"/>
              </w:rPr>
              <w:t xml:space="preserve"> </w:t>
            </w:r>
            <w:r>
              <w:rPr>
                <w:sz w:val="16"/>
              </w:rPr>
              <w:t>energy renovation with the services and</w:t>
            </w:r>
            <w:r>
              <w:rPr>
                <w:spacing w:val="1"/>
                <w:sz w:val="16"/>
              </w:rPr>
              <w:t xml:space="preserve"> </w:t>
            </w:r>
            <w:r>
              <w:rPr>
                <w:sz w:val="16"/>
              </w:rPr>
              <w:t>information</w:t>
            </w:r>
            <w:r>
              <w:rPr>
                <w:spacing w:val="-3"/>
                <w:sz w:val="16"/>
              </w:rPr>
              <w:t xml:space="preserve"> </w:t>
            </w:r>
            <w:r>
              <w:rPr>
                <w:sz w:val="16"/>
              </w:rPr>
              <w:t>included for</w:t>
            </w:r>
            <w:r>
              <w:rPr>
                <w:spacing w:val="-2"/>
                <w:sz w:val="16"/>
              </w:rPr>
              <w:t xml:space="preserve"> </w:t>
            </w:r>
            <w:r>
              <w:rPr>
                <w:sz w:val="16"/>
              </w:rPr>
              <w:t>the</w:t>
            </w:r>
            <w:r>
              <w:rPr>
                <w:spacing w:val="-3"/>
                <w:sz w:val="16"/>
              </w:rPr>
              <w:t xml:space="preserve"> </w:t>
            </w:r>
            <w:r>
              <w:rPr>
                <w:sz w:val="16"/>
              </w:rPr>
              <w:t>‘build</w:t>
            </w:r>
            <w:r>
              <w:rPr>
                <w:spacing w:val="-2"/>
                <w:sz w:val="16"/>
              </w:rPr>
              <w:t xml:space="preserve"> </w:t>
            </w:r>
            <w:r>
              <w:rPr>
                <w:sz w:val="16"/>
              </w:rPr>
              <w:t>back</w:t>
            </w:r>
          </w:p>
          <w:p w:rsidR="00A56FE9" w:rsidRDefault="00000000">
            <w:pPr>
              <w:pStyle w:val="TableParagraph"/>
              <w:spacing w:line="168" w:lineRule="exact"/>
              <w:ind w:left="57"/>
              <w:rPr>
                <w:sz w:val="16"/>
              </w:rPr>
            </w:pPr>
            <w:r>
              <w:rPr>
                <w:sz w:val="16"/>
              </w:rPr>
              <w:t>better’</w:t>
            </w:r>
            <w:r>
              <w:rPr>
                <w:spacing w:val="-4"/>
                <w:sz w:val="16"/>
              </w:rPr>
              <w:t xml:space="preserve"> </w:t>
            </w:r>
            <w:r>
              <w:rPr>
                <w:sz w:val="16"/>
              </w:rPr>
              <w:t>concept.</w:t>
            </w:r>
          </w:p>
        </w:tc>
        <w:tc>
          <w:tcPr>
            <w:tcW w:w="1128" w:type="dxa"/>
            <w:tcBorders>
              <w:top w:val="nil"/>
              <w:left w:val="single" w:sz="4" w:space="0" w:color="2C398A"/>
              <w:bottom w:val="single" w:sz="4" w:space="0" w:color="2C398A"/>
              <w:right w:val="single" w:sz="4" w:space="0" w:color="2C398A"/>
            </w:tcBorders>
            <w:shd w:val="clear" w:color="auto" w:fill="C5EECE"/>
          </w:tcPr>
          <w:p w:rsidR="00A56FE9" w:rsidRDefault="00000000">
            <w:pPr>
              <w:pStyle w:val="TableParagraph"/>
              <w:spacing w:line="173" w:lineRule="exact"/>
              <w:ind w:right="90"/>
              <w:jc w:val="right"/>
              <w:rPr>
                <w:sz w:val="16"/>
              </w:rPr>
            </w:pPr>
            <w:r>
              <w:rPr>
                <w:sz w:val="16"/>
              </w:rPr>
              <w:t>11,500,000</w:t>
            </w:r>
          </w:p>
        </w:tc>
      </w:tr>
      <w:tr w:rsidR="00A56FE9">
        <w:trPr>
          <w:trHeight w:val="2208"/>
        </w:trPr>
        <w:tc>
          <w:tcPr>
            <w:tcW w:w="42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181" w:lineRule="exact"/>
              <w:ind w:right="115"/>
              <w:jc w:val="right"/>
              <w:rPr>
                <w:sz w:val="16"/>
              </w:rPr>
            </w:pPr>
            <w:r>
              <w:rPr>
                <w:sz w:val="16"/>
              </w:rPr>
              <w:t>95</w:t>
            </w:r>
          </w:p>
        </w:tc>
        <w:tc>
          <w:tcPr>
            <w:tcW w:w="43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83"/>
              <w:jc w:val="right"/>
              <w:rPr>
                <w:sz w:val="16"/>
              </w:rPr>
            </w:pPr>
            <w:r>
              <w:rPr>
                <w:sz w:val="16"/>
              </w:rPr>
              <w:t>366</w:t>
            </w:r>
          </w:p>
        </w:tc>
        <w:tc>
          <w:tcPr>
            <w:tcW w:w="8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28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3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50" w:right="53"/>
              <w:rPr>
                <w:sz w:val="16"/>
              </w:rPr>
            </w:pPr>
            <w:r>
              <w:rPr>
                <w:sz w:val="16"/>
              </w:rPr>
              <w:t>6 - RENOVATION OF</w:t>
            </w:r>
            <w:r>
              <w:rPr>
                <w:spacing w:val="1"/>
                <w:sz w:val="16"/>
              </w:rPr>
              <w:t xml:space="preserve"> </w:t>
            </w:r>
            <w:r>
              <w:rPr>
                <w:sz w:val="16"/>
              </w:rPr>
              <w:t>BUILDINGS</w:t>
            </w:r>
            <w:r>
              <w:rPr>
                <w:spacing w:val="-6"/>
                <w:sz w:val="16"/>
              </w:rPr>
              <w:t xml:space="preserve"> </w:t>
            </w:r>
            <w:r>
              <w:rPr>
                <w:sz w:val="16"/>
              </w:rPr>
              <w:t>-</w:t>
            </w:r>
            <w:r>
              <w:rPr>
                <w:spacing w:val="-5"/>
                <w:sz w:val="16"/>
              </w:rPr>
              <w:t xml:space="preserve"> </w:t>
            </w:r>
            <w:r>
              <w:rPr>
                <w:sz w:val="16"/>
              </w:rPr>
              <w:t>C6.1.R4-I1</w:t>
            </w:r>
          </w:p>
          <w:p w:rsidR="00A56FE9" w:rsidRDefault="00000000">
            <w:pPr>
              <w:pStyle w:val="TableParagraph"/>
              <w:ind w:left="50" w:right="376"/>
              <w:rPr>
                <w:sz w:val="16"/>
              </w:rPr>
            </w:pPr>
            <w:r>
              <w:rPr>
                <w:sz w:val="16"/>
              </w:rPr>
              <w:t>– Seismological data</w:t>
            </w:r>
            <w:r>
              <w:rPr>
                <w:spacing w:val="1"/>
                <w:sz w:val="16"/>
              </w:rPr>
              <w:t xml:space="preserve"> </w:t>
            </w:r>
            <w:r>
              <w:rPr>
                <w:sz w:val="16"/>
              </w:rPr>
              <w:t>network</w:t>
            </w:r>
            <w:r>
              <w:rPr>
                <w:spacing w:val="-9"/>
                <w:sz w:val="16"/>
              </w:rPr>
              <w:t xml:space="preserve"> </w:t>
            </w:r>
            <w:r>
              <w:rPr>
                <w:sz w:val="16"/>
              </w:rPr>
              <w:t>development</w:t>
            </w:r>
          </w:p>
        </w:tc>
        <w:tc>
          <w:tcPr>
            <w:tcW w:w="569"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1840"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237" w:lineRule="auto"/>
              <w:ind w:left="109" w:right="474"/>
              <w:rPr>
                <w:sz w:val="16"/>
              </w:rPr>
            </w:pPr>
            <w:r>
              <w:rPr>
                <w:sz w:val="16"/>
              </w:rPr>
              <w:t>Acquisition of new</w:t>
            </w:r>
            <w:r>
              <w:rPr>
                <w:spacing w:val="-38"/>
                <w:sz w:val="16"/>
              </w:rPr>
              <w:t xml:space="preserve"> </w:t>
            </w:r>
            <w:r>
              <w:rPr>
                <w:sz w:val="16"/>
              </w:rPr>
              <w:t>seismic</w:t>
            </w:r>
            <w:r>
              <w:rPr>
                <w:spacing w:val="-3"/>
                <w:sz w:val="16"/>
              </w:rPr>
              <w:t xml:space="preserve"> </w:t>
            </w:r>
            <w:r>
              <w:rPr>
                <w:sz w:val="16"/>
              </w:rPr>
              <w:t>equipment</w:t>
            </w:r>
          </w:p>
        </w:tc>
        <w:tc>
          <w:tcPr>
            <w:tcW w:w="1137"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A56FE9">
            <w:pPr>
              <w:pStyle w:val="TableParagraph"/>
              <w:rPr>
                <w:sz w:val="16"/>
              </w:rPr>
            </w:pP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3"/>
              <w:rPr>
                <w:sz w:val="16"/>
              </w:rPr>
            </w:pPr>
            <w:r>
              <w:rPr>
                <w:sz w:val="16"/>
              </w:rPr>
              <w:t>Number</w:t>
            </w:r>
          </w:p>
        </w:tc>
        <w:tc>
          <w:tcPr>
            <w:tcW w:w="604"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7"/>
              <w:jc w:val="center"/>
              <w:rPr>
                <w:sz w:val="16"/>
              </w:rPr>
            </w:pPr>
            <w:r>
              <w:rPr>
                <w:sz w:val="16"/>
              </w:rPr>
              <w:t>0</w:t>
            </w:r>
          </w:p>
        </w:tc>
        <w:tc>
          <w:tcPr>
            <w:tcW w:w="633"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201"/>
              <w:rPr>
                <w:sz w:val="16"/>
              </w:rPr>
            </w:pPr>
            <w:r>
              <w:rPr>
                <w:sz w:val="16"/>
              </w:rPr>
              <w:t>300</w:t>
            </w:r>
          </w:p>
        </w:tc>
        <w:tc>
          <w:tcPr>
            <w:tcW w:w="50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38" w:right="119"/>
              <w:jc w:val="center"/>
              <w:rPr>
                <w:sz w:val="16"/>
              </w:rPr>
            </w:pPr>
            <w:r>
              <w:rPr>
                <w:sz w:val="16"/>
              </w:rPr>
              <w:t>Q4</w:t>
            </w:r>
          </w:p>
        </w:tc>
        <w:tc>
          <w:tcPr>
            <w:tcW w:w="652"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151" w:right="130"/>
              <w:jc w:val="center"/>
              <w:rPr>
                <w:sz w:val="16"/>
              </w:rPr>
            </w:pPr>
            <w:r>
              <w:rPr>
                <w:sz w:val="16"/>
              </w:rPr>
              <w:t>2022</w:t>
            </w:r>
          </w:p>
        </w:tc>
        <w:tc>
          <w:tcPr>
            <w:tcW w:w="845"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left="57"/>
              <w:rPr>
                <w:sz w:val="16"/>
              </w:rPr>
            </w:pPr>
            <w:r>
              <w:rPr>
                <w:sz w:val="16"/>
              </w:rPr>
              <w:t>MSE</w:t>
            </w:r>
          </w:p>
        </w:tc>
        <w:tc>
          <w:tcPr>
            <w:tcW w:w="3106"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ind w:left="57" w:right="95"/>
              <w:rPr>
                <w:sz w:val="16"/>
              </w:rPr>
            </w:pPr>
            <w:r>
              <w:rPr>
                <w:sz w:val="16"/>
              </w:rPr>
              <w:t>The investment shall strengthen the</w:t>
            </w:r>
            <w:r>
              <w:rPr>
                <w:spacing w:val="1"/>
                <w:sz w:val="16"/>
              </w:rPr>
              <w:t xml:space="preserve"> </w:t>
            </w:r>
            <w:r>
              <w:rPr>
                <w:sz w:val="16"/>
              </w:rPr>
              <w:t>organisational and infrastructure capacity of</w:t>
            </w:r>
            <w:r>
              <w:rPr>
                <w:spacing w:val="1"/>
                <w:sz w:val="16"/>
              </w:rPr>
              <w:t xml:space="preserve"> </w:t>
            </w:r>
            <w:r>
              <w:rPr>
                <w:sz w:val="16"/>
              </w:rPr>
              <w:t>the Seismological Survey of the Republic of</w:t>
            </w:r>
            <w:r>
              <w:rPr>
                <w:spacing w:val="1"/>
                <w:sz w:val="16"/>
              </w:rPr>
              <w:t xml:space="preserve"> </w:t>
            </w:r>
            <w:r>
              <w:rPr>
                <w:sz w:val="16"/>
              </w:rPr>
              <w:t>Croatia through the purchase of at least 300</w:t>
            </w:r>
            <w:r>
              <w:rPr>
                <w:spacing w:val="1"/>
                <w:sz w:val="16"/>
              </w:rPr>
              <w:t xml:space="preserve"> </w:t>
            </w:r>
            <w:r>
              <w:rPr>
                <w:sz w:val="16"/>
              </w:rPr>
              <w:t>equipment units in order to increase the</w:t>
            </w:r>
            <w:r>
              <w:rPr>
                <w:spacing w:val="1"/>
                <w:sz w:val="16"/>
              </w:rPr>
              <w:t xml:space="preserve"> </w:t>
            </w:r>
            <w:r>
              <w:rPr>
                <w:sz w:val="16"/>
              </w:rPr>
              <w:t>quality of the collection, processing and</w:t>
            </w:r>
            <w:r>
              <w:rPr>
                <w:spacing w:val="1"/>
                <w:sz w:val="16"/>
              </w:rPr>
              <w:t xml:space="preserve"> </w:t>
            </w:r>
            <w:r>
              <w:rPr>
                <w:sz w:val="16"/>
              </w:rPr>
              <w:t>application of the seismic data needed for the</w:t>
            </w:r>
            <w:r>
              <w:rPr>
                <w:spacing w:val="-37"/>
                <w:sz w:val="16"/>
              </w:rPr>
              <w:t xml:space="preserve"> </w:t>
            </w:r>
            <w:r>
              <w:rPr>
                <w:sz w:val="16"/>
              </w:rPr>
              <w:t>renovation process of buildings, planning for</w:t>
            </w:r>
            <w:r>
              <w:rPr>
                <w:spacing w:val="1"/>
                <w:sz w:val="16"/>
              </w:rPr>
              <w:t xml:space="preserve"> </w:t>
            </w:r>
            <w:r>
              <w:rPr>
                <w:sz w:val="16"/>
              </w:rPr>
              <w:t>the development of new facilities and</w:t>
            </w:r>
            <w:r>
              <w:rPr>
                <w:spacing w:val="1"/>
                <w:sz w:val="16"/>
              </w:rPr>
              <w:t xml:space="preserve"> </w:t>
            </w:r>
            <w:r>
              <w:rPr>
                <w:sz w:val="16"/>
              </w:rPr>
              <w:t>monitoring</w:t>
            </w:r>
            <w:r>
              <w:rPr>
                <w:spacing w:val="-5"/>
                <w:sz w:val="16"/>
              </w:rPr>
              <w:t xml:space="preserve"> </w:t>
            </w:r>
            <w:r>
              <w:rPr>
                <w:sz w:val="16"/>
              </w:rPr>
              <w:t>of</w:t>
            </w:r>
            <w:r>
              <w:rPr>
                <w:spacing w:val="-4"/>
                <w:sz w:val="16"/>
              </w:rPr>
              <w:t xml:space="preserve"> </w:t>
            </w:r>
            <w:r>
              <w:rPr>
                <w:sz w:val="16"/>
              </w:rPr>
              <w:t>public</w:t>
            </w:r>
            <w:r>
              <w:rPr>
                <w:spacing w:val="-6"/>
                <w:sz w:val="16"/>
              </w:rPr>
              <w:t xml:space="preserve"> </w:t>
            </w:r>
            <w:r>
              <w:rPr>
                <w:sz w:val="16"/>
              </w:rPr>
              <w:t>infrastructure,</w:t>
            </w:r>
            <w:r>
              <w:rPr>
                <w:spacing w:val="-2"/>
                <w:sz w:val="16"/>
              </w:rPr>
              <w:t xml:space="preserve"> </w:t>
            </w:r>
            <w:r>
              <w:rPr>
                <w:sz w:val="16"/>
              </w:rPr>
              <w:t>as</w:t>
            </w:r>
            <w:r>
              <w:rPr>
                <w:spacing w:val="-5"/>
                <w:sz w:val="16"/>
              </w:rPr>
              <w:t xml:space="preserve"> </w:t>
            </w:r>
            <w:r>
              <w:rPr>
                <w:sz w:val="16"/>
              </w:rPr>
              <w:t>well</w:t>
            </w:r>
            <w:r>
              <w:rPr>
                <w:spacing w:val="-5"/>
                <w:sz w:val="16"/>
              </w:rPr>
              <w:t xml:space="preserve"> </w:t>
            </w:r>
            <w:r>
              <w:rPr>
                <w:sz w:val="16"/>
              </w:rPr>
              <w:t>as</w:t>
            </w:r>
            <w:r>
              <w:rPr>
                <w:spacing w:val="-37"/>
                <w:sz w:val="16"/>
              </w:rPr>
              <w:t xml:space="preserve"> </w:t>
            </w:r>
            <w:r>
              <w:rPr>
                <w:sz w:val="16"/>
              </w:rPr>
              <w:t>strengthening</w:t>
            </w:r>
            <w:r>
              <w:rPr>
                <w:spacing w:val="-4"/>
                <w:sz w:val="16"/>
              </w:rPr>
              <w:t xml:space="preserve"> </w:t>
            </w:r>
            <w:r>
              <w:rPr>
                <w:sz w:val="16"/>
              </w:rPr>
              <w:t>Croatia’s</w:t>
            </w:r>
            <w:r>
              <w:rPr>
                <w:spacing w:val="-1"/>
                <w:sz w:val="16"/>
              </w:rPr>
              <w:t xml:space="preserve"> </w:t>
            </w:r>
            <w:r>
              <w:rPr>
                <w:sz w:val="16"/>
              </w:rPr>
              <w:t>resilience</w:t>
            </w:r>
            <w:r>
              <w:rPr>
                <w:spacing w:val="-3"/>
                <w:sz w:val="16"/>
              </w:rPr>
              <w:t xml:space="preserve"> </w:t>
            </w:r>
            <w:r>
              <w:rPr>
                <w:sz w:val="16"/>
              </w:rPr>
              <w:t>to</w:t>
            </w:r>
          </w:p>
          <w:p w:rsidR="00A56FE9" w:rsidRDefault="00000000">
            <w:pPr>
              <w:pStyle w:val="TableParagraph"/>
              <w:spacing w:line="167" w:lineRule="exact"/>
              <w:ind w:left="57"/>
              <w:rPr>
                <w:sz w:val="16"/>
              </w:rPr>
            </w:pPr>
            <w:r>
              <w:rPr>
                <w:sz w:val="16"/>
              </w:rPr>
              <w:t>earthquakes</w:t>
            </w:r>
            <w:r>
              <w:rPr>
                <w:spacing w:val="-5"/>
                <w:sz w:val="16"/>
              </w:rPr>
              <w:t xml:space="preserve"> </w:t>
            </w:r>
            <w:r>
              <w:rPr>
                <w:sz w:val="16"/>
              </w:rPr>
              <w:t>and</w:t>
            </w:r>
            <w:r>
              <w:rPr>
                <w:spacing w:val="-3"/>
                <w:sz w:val="16"/>
              </w:rPr>
              <w:t xml:space="preserve"> </w:t>
            </w:r>
            <w:r>
              <w:rPr>
                <w:sz w:val="16"/>
              </w:rPr>
              <w:t>associated</w:t>
            </w:r>
            <w:r>
              <w:rPr>
                <w:spacing w:val="-4"/>
                <w:sz w:val="16"/>
              </w:rPr>
              <w:t xml:space="preserve"> </w:t>
            </w:r>
            <w:r>
              <w:rPr>
                <w:sz w:val="16"/>
              </w:rPr>
              <w:t>risks.</w:t>
            </w:r>
          </w:p>
        </w:tc>
        <w:tc>
          <w:tcPr>
            <w:tcW w:w="1128" w:type="dxa"/>
            <w:tcBorders>
              <w:top w:val="single" w:sz="4" w:space="0" w:color="2C398A"/>
              <w:left w:val="single" w:sz="4" w:space="0" w:color="2C398A"/>
              <w:bottom w:val="single" w:sz="4" w:space="0" w:color="2C398A"/>
              <w:right w:val="single" w:sz="4" w:space="0" w:color="2C398A"/>
            </w:tcBorders>
            <w:shd w:val="clear" w:color="auto" w:fill="C5EECE"/>
          </w:tcPr>
          <w:p w:rsidR="00A56FE9" w:rsidRDefault="00000000">
            <w:pPr>
              <w:pStyle w:val="TableParagraph"/>
              <w:spacing w:line="181" w:lineRule="exact"/>
              <w:ind w:right="90"/>
              <w:jc w:val="right"/>
              <w:rPr>
                <w:sz w:val="16"/>
              </w:rPr>
            </w:pPr>
            <w:r>
              <w:rPr>
                <w:sz w:val="16"/>
              </w:rPr>
              <w:t>38,868,000</w:t>
            </w:r>
          </w:p>
        </w:tc>
      </w:tr>
    </w:tbl>
    <w:p w:rsidR="00A56FE9" w:rsidRDefault="00A56FE9">
      <w:pPr>
        <w:spacing w:line="181" w:lineRule="exact"/>
        <w:jc w:val="right"/>
        <w:rPr>
          <w:sz w:val="16"/>
        </w:rPr>
        <w:sectPr w:rsidR="00A56FE9" w:rsidSect="00AB1E70">
          <w:pgSz w:w="16840" w:h="11910" w:orient="landscape"/>
          <w:pgMar w:top="1100" w:right="380" w:bottom="880" w:left="460" w:header="0" w:footer="700" w:gutter="0"/>
          <w:cols w:space="720"/>
        </w:sectPr>
      </w:pPr>
    </w:p>
    <w:p w:rsidR="00A56FE9" w:rsidRDefault="00A56FE9">
      <w:pPr>
        <w:pStyle w:val="Tijeloteksta"/>
        <w:spacing w:before="9"/>
        <w:ind w:left="0"/>
        <w:jc w:val="left"/>
        <w:rPr>
          <w:sz w:val="18"/>
        </w:rPr>
      </w:pPr>
    </w:p>
    <w:p w:rsidR="00A56FE9" w:rsidRDefault="00000000">
      <w:pPr>
        <w:pStyle w:val="Naslov5"/>
        <w:spacing w:before="90" w:line="244" w:lineRule="auto"/>
        <w:ind w:left="958" w:right="355"/>
        <w:jc w:val="left"/>
      </w:pPr>
      <w:r>
        <w:rPr>
          <w:b w:val="0"/>
          <w:color w:val="003399"/>
        </w:rPr>
        <w:t>Appendix</w:t>
      </w:r>
      <w:r>
        <w:rPr>
          <w:b w:val="0"/>
          <w:color w:val="003399"/>
          <w:spacing w:val="12"/>
        </w:rPr>
        <w:t xml:space="preserve"> </w:t>
      </w:r>
      <w:r>
        <w:rPr>
          <w:b w:val="0"/>
          <w:color w:val="003399"/>
        </w:rPr>
        <w:t>4.</w:t>
      </w:r>
      <w:r>
        <w:rPr>
          <w:b w:val="0"/>
          <w:color w:val="003399"/>
          <w:spacing w:val="11"/>
        </w:rPr>
        <w:t xml:space="preserve"> </w:t>
      </w:r>
      <w:r>
        <w:rPr>
          <w:color w:val="003399"/>
        </w:rPr>
        <w:t>Report</w:t>
      </w:r>
      <w:r>
        <w:rPr>
          <w:color w:val="003399"/>
          <w:spacing w:val="9"/>
        </w:rPr>
        <w:t xml:space="preserve"> </w:t>
      </w:r>
      <w:r>
        <w:rPr>
          <w:color w:val="003399"/>
        </w:rPr>
        <w:t>on</w:t>
      </w:r>
      <w:r>
        <w:rPr>
          <w:color w:val="003399"/>
          <w:spacing w:val="14"/>
        </w:rPr>
        <w:t xml:space="preserve"> </w:t>
      </w:r>
      <w:r>
        <w:rPr>
          <w:color w:val="003399"/>
        </w:rPr>
        <w:t>the</w:t>
      </w:r>
      <w:r>
        <w:rPr>
          <w:color w:val="003399"/>
          <w:spacing w:val="10"/>
        </w:rPr>
        <w:t xml:space="preserve"> </w:t>
      </w:r>
      <w:r>
        <w:rPr>
          <w:color w:val="003399"/>
        </w:rPr>
        <w:t>implementation</w:t>
      </w:r>
      <w:r>
        <w:rPr>
          <w:color w:val="003399"/>
          <w:spacing w:val="10"/>
        </w:rPr>
        <w:t xml:space="preserve"> </w:t>
      </w:r>
      <w:r>
        <w:rPr>
          <w:color w:val="003399"/>
        </w:rPr>
        <w:t>of</w:t>
      </w:r>
      <w:r>
        <w:rPr>
          <w:color w:val="003399"/>
          <w:spacing w:val="12"/>
        </w:rPr>
        <w:t xml:space="preserve"> </w:t>
      </w:r>
      <w:r>
        <w:rPr>
          <w:color w:val="003399"/>
        </w:rPr>
        <w:t>the</w:t>
      </w:r>
      <w:r>
        <w:rPr>
          <w:color w:val="003399"/>
          <w:spacing w:val="9"/>
        </w:rPr>
        <w:t xml:space="preserve"> </w:t>
      </w:r>
      <w:r>
        <w:rPr>
          <w:color w:val="003399"/>
        </w:rPr>
        <w:t>European</w:t>
      </w:r>
      <w:r>
        <w:rPr>
          <w:color w:val="003399"/>
          <w:spacing w:val="11"/>
        </w:rPr>
        <w:t xml:space="preserve"> </w:t>
      </w:r>
      <w:r>
        <w:rPr>
          <w:color w:val="003399"/>
        </w:rPr>
        <w:t>Pillar</w:t>
      </w:r>
      <w:r>
        <w:rPr>
          <w:color w:val="003399"/>
          <w:spacing w:val="9"/>
        </w:rPr>
        <w:t xml:space="preserve"> </w:t>
      </w:r>
      <w:r>
        <w:rPr>
          <w:color w:val="003399"/>
        </w:rPr>
        <w:t>of</w:t>
      </w:r>
      <w:r>
        <w:rPr>
          <w:color w:val="003399"/>
          <w:spacing w:val="12"/>
        </w:rPr>
        <w:t xml:space="preserve"> </w:t>
      </w:r>
      <w:r>
        <w:rPr>
          <w:color w:val="003399"/>
        </w:rPr>
        <w:t>Social</w:t>
      </w:r>
      <w:r>
        <w:rPr>
          <w:color w:val="003399"/>
          <w:spacing w:val="11"/>
        </w:rPr>
        <w:t xml:space="preserve"> </w:t>
      </w:r>
      <w:r>
        <w:rPr>
          <w:color w:val="003399"/>
        </w:rPr>
        <w:t>Rights:</w:t>
      </w:r>
      <w:r>
        <w:rPr>
          <w:color w:val="003399"/>
          <w:spacing w:val="8"/>
        </w:rPr>
        <w:t xml:space="preserve"> </w:t>
      </w:r>
      <w:r>
        <w:rPr>
          <w:color w:val="003399"/>
        </w:rPr>
        <w:t>Description</w:t>
      </w:r>
      <w:r>
        <w:rPr>
          <w:color w:val="003399"/>
          <w:spacing w:val="11"/>
        </w:rPr>
        <w:t xml:space="preserve"> </w:t>
      </w:r>
      <w:r>
        <w:rPr>
          <w:color w:val="003399"/>
        </w:rPr>
        <w:t>of</w:t>
      </w:r>
      <w:r>
        <w:rPr>
          <w:color w:val="003399"/>
          <w:spacing w:val="12"/>
        </w:rPr>
        <w:t xml:space="preserve"> </w:t>
      </w:r>
      <w:r>
        <w:rPr>
          <w:color w:val="003399"/>
        </w:rPr>
        <w:t>Main</w:t>
      </w:r>
      <w:r>
        <w:rPr>
          <w:color w:val="003399"/>
          <w:spacing w:val="10"/>
        </w:rPr>
        <w:t xml:space="preserve"> </w:t>
      </w:r>
      <w:r>
        <w:rPr>
          <w:color w:val="003399"/>
        </w:rPr>
        <w:t>Measures</w:t>
      </w:r>
      <w:r>
        <w:rPr>
          <w:color w:val="003399"/>
          <w:spacing w:val="11"/>
        </w:rPr>
        <w:t xml:space="preserve"> </w:t>
      </w:r>
      <w:r>
        <w:rPr>
          <w:color w:val="003399"/>
        </w:rPr>
        <w:t>and</w:t>
      </w:r>
      <w:r>
        <w:rPr>
          <w:color w:val="003399"/>
          <w:spacing w:val="11"/>
        </w:rPr>
        <w:t xml:space="preserve"> </w:t>
      </w:r>
      <w:r>
        <w:rPr>
          <w:color w:val="003399"/>
        </w:rPr>
        <w:t>Their</w:t>
      </w:r>
      <w:r>
        <w:rPr>
          <w:color w:val="003399"/>
          <w:spacing w:val="21"/>
        </w:rPr>
        <w:t xml:space="preserve"> </w:t>
      </w:r>
      <w:r>
        <w:rPr>
          <w:color w:val="003399"/>
        </w:rPr>
        <w:t>Estimated</w:t>
      </w:r>
      <w:r>
        <w:rPr>
          <w:color w:val="003399"/>
          <w:spacing w:val="-57"/>
        </w:rPr>
        <w:t xml:space="preserve"> </w:t>
      </w:r>
      <w:r>
        <w:rPr>
          <w:color w:val="003399"/>
        </w:rPr>
        <w:t>Impact</w:t>
      </w:r>
    </w:p>
    <w:p w:rsidR="00A56FE9" w:rsidRDefault="00A56FE9">
      <w:pPr>
        <w:pStyle w:val="Tijeloteksta"/>
        <w:spacing w:before="10"/>
        <w:ind w:left="0"/>
        <w:jc w:val="left"/>
        <w:rPr>
          <w:b/>
          <w:sz w:val="20"/>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132"/>
        <w:gridCol w:w="3352"/>
        <w:gridCol w:w="9055"/>
      </w:tblGrid>
      <w:tr w:rsidR="00A56FE9">
        <w:trPr>
          <w:trHeight w:val="355"/>
        </w:trPr>
        <w:tc>
          <w:tcPr>
            <w:tcW w:w="2132" w:type="dxa"/>
            <w:tcBorders>
              <w:top w:val="nil"/>
              <w:left w:val="nil"/>
              <w:bottom w:val="nil"/>
              <w:right w:val="nil"/>
            </w:tcBorders>
            <w:shd w:val="clear" w:color="auto" w:fill="2C398A"/>
          </w:tcPr>
          <w:p w:rsidR="00A56FE9" w:rsidRDefault="00000000">
            <w:pPr>
              <w:pStyle w:val="TableParagraph"/>
              <w:spacing w:before="60"/>
              <w:ind w:left="677"/>
              <w:rPr>
                <w:b/>
                <w:sz w:val="20"/>
              </w:rPr>
            </w:pPr>
            <w:r>
              <w:rPr>
                <w:b/>
                <w:color w:val="FFFFFF"/>
                <w:sz w:val="20"/>
              </w:rPr>
              <w:t>Principle</w:t>
            </w:r>
          </w:p>
        </w:tc>
        <w:tc>
          <w:tcPr>
            <w:tcW w:w="3352" w:type="dxa"/>
            <w:tcBorders>
              <w:top w:val="nil"/>
              <w:left w:val="nil"/>
              <w:bottom w:val="nil"/>
              <w:right w:val="nil"/>
            </w:tcBorders>
            <w:shd w:val="clear" w:color="auto" w:fill="2C398A"/>
          </w:tcPr>
          <w:p w:rsidR="00A56FE9" w:rsidRDefault="00000000">
            <w:pPr>
              <w:pStyle w:val="TableParagraph"/>
              <w:spacing w:before="60"/>
              <w:ind w:left="733"/>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9055" w:type="dxa"/>
            <w:tcBorders>
              <w:top w:val="nil"/>
              <w:left w:val="nil"/>
              <w:bottom w:val="nil"/>
              <w:right w:val="nil"/>
            </w:tcBorders>
            <w:shd w:val="clear" w:color="auto" w:fill="2C398A"/>
          </w:tcPr>
          <w:p w:rsidR="00A56FE9" w:rsidRDefault="00000000">
            <w:pPr>
              <w:pStyle w:val="TableParagraph"/>
              <w:spacing w:before="60"/>
              <w:ind w:left="2013" w:right="2017"/>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621"/>
        </w:trPr>
        <w:tc>
          <w:tcPr>
            <w:tcW w:w="2132" w:type="dxa"/>
            <w:vMerge w:val="restart"/>
            <w:tcBorders>
              <w:top w:val="nil"/>
            </w:tcBorders>
            <w:shd w:val="clear" w:color="auto" w:fill="F1F1F1"/>
          </w:tcPr>
          <w:p w:rsidR="00A56FE9" w:rsidRDefault="00000000">
            <w:pPr>
              <w:pStyle w:val="TableParagraph"/>
              <w:spacing w:line="237" w:lineRule="auto"/>
              <w:ind w:left="105" w:right="280"/>
              <w:rPr>
                <w:sz w:val="20"/>
              </w:rPr>
            </w:pPr>
            <w:r>
              <w:rPr>
                <w:b/>
                <w:sz w:val="20"/>
              </w:rPr>
              <w:t>1.</w:t>
            </w:r>
            <w:r>
              <w:rPr>
                <w:b/>
                <w:spacing w:val="-8"/>
                <w:sz w:val="20"/>
              </w:rPr>
              <w:t xml:space="preserve"> </w:t>
            </w:r>
            <w:r>
              <w:rPr>
                <w:sz w:val="20"/>
              </w:rPr>
              <w:t>Education,</w:t>
            </w:r>
            <w:r>
              <w:rPr>
                <w:spacing w:val="-8"/>
                <w:sz w:val="20"/>
              </w:rPr>
              <w:t xml:space="preserve"> </w:t>
            </w:r>
            <w:r>
              <w:rPr>
                <w:sz w:val="20"/>
              </w:rPr>
              <w:t>training</w:t>
            </w:r>
            <w:r>
              <w:rPr>
                <w:spacing w:val="-47"/>
                <w:sz w:val="20"/>
              </w:rPr>
              <w:t xml:space="preserve"> </w:t>
            </w:r>
            <w:r>
              <w:rPr>
                <w:sz w:val="20"/>
              </w:rPr>
              <w:t>and</w:t>
            </w:r>
            <w:r>
              <w:rPr>
                <w:spacing w:val="-7"/>
                <w:sz w:val="20"/>
              </w:rPr>
              <w:t xml:space="preserve"> </w:t>
            </w:r>
            <w:r>
              <w:rPr>
                <w:sz w:val="20"/>
              </w:rPr>
              <w:t>life-long</w:t>
            </w:r>
            <w:r>
              <w:rPr>
                <w:spacing w:val="-9"/>
                <w:sz w:val="20"/>
              </w:rPr>
              <w:t xml:space="preserve"> </w:t>
            </w:r>
            <w:r>
              <w:rPr>
                <w:sz w:val="20"/>
              </w:rPr>
              <w:t>learning</w:t>
            </w:r>
          </w:p>
        </w:tc>
        <w:tc>
          <w:tcPr>
            <w:tcW w:w="3352" w:type="dxa"/>
            <w:tcBorders>
              <w:top w:val="nil"/>
            </w:tcBorders>
            <w:shd w:val="clear" w:color="auto" w:fill="C5EECE"/>
          </w:tcPr>
          <w:p w:rsidR="00A56FE9" w:rsidRDefault="00000000">
            <w:pPr>
              <w:pStyle w:val="TableParagraph"/>
              <w:ind w:left="100" w:right="98"/>
              <w:rPr>
                <w:sz w:val="18"/>
              </w:rPr>
            </w:pPr>
            <w:r>
              <w:rPr>
                <w:sz w:val="18"/>
              </w:rPr>
              <w:t>Adoption of</w:t>
            </w:r>
            <w:r>
              <w:rPr>
                <w:spacing w:val="-3"/>
                <w:sz w:val="18"/>
              </w:rPr>
              <w:t xml:space="preserve"> </w:t>
            </w:r>
            <w:r>
              <w:rPr>
                <w:sz w:val="18"/>
              </w:rPr>
              <w:t>the</w:t>
            </w:r>
            <w:r>
              <w:rPr>
                <w:spacing w:val="-4"/>
                <w:sz w:val="18"/>
              </w:rPr>
              <w:t xml:space="preserve"> </w:t>
            </w:r>
            <w:r>
              <w:rPr>
                <w:sz w:val="18"/>
              </w:rPr>
              <w:t>Model for</w:t>
            </w:r>
            <w:r>
              <w:rPr>
                <w:spacing w:val="-1"/>
                <w:sz w:val="18"/>
              </w:rPr>
              <w:t xml:space="preserve"> </w:t>
            </w:r>
            <w:r>
              <w:rPr>
                <w:sz w:val="18"/>
              </w:rPr>
              <w:t>the</w:t>
            </w:r>
            <w:r>
              <w:rPr>
                <w:spacing w:val="-2"/>
                <w:sz w:val="18"/>
              </w:rPr>
              <w:t xml:space="preserve"> </w:t>
            </w:r>
            <w:r>
              <w:rPr>
                <w:sz w:val="18"/>
              </w:rPr>
              <w:t>Financing</w:t>
            </w:r>
            <w:r>
              <w:rPr>
                <w:spacing w:val="-1"/>
                <w:sz w:val="18"/>
              </w:rPr>
              <w:t xml:space="preserve"> </w:t>
            </w:r>
            <w:r>
              <w:rPr>
                <w:sz w:val="18"/>
              </w:rPr>
              <w:t>of</w:t>
            </w:r>
            <w:r>
              <w:rPr>
                <w:spacing w:val="-42"/>
                <w:sz w:val="18"/>
              </w:rPr>
              <w:t xml:space="preserve"> </w:t>
            </w:r>
            <w:r>
              <w:rPr>
                <w:sz w:val="18"/>
              </w:rPr>
              <w:t>Early</w:t>
            </w:r>
            <w:r>
              <w:rPr>
                <w:spacing w:val="-5"/>
                <w:sz w:val="18"/>
              </w:rPr>
              <w:t xml:space="preserve"> </w:t>
            </w:r>
            <w:r>
              <w:rPr>
                <w:sz w:val="18"/>
              </w:rPr>
              <w:t>Childhood</w:t>
            </w:r>
            <w:r>
              <w:rPr>
                <w:spacing w:val="-1"/>
                <w:sz w:val="18"/>
              </w:rPr>
              <w:t xml:space="preserve"> </w:t>
            </w:r>
            <w:r>
              <w:rPr>
                <w:sz w:val="18"/>
              </w:rPr>
              <w:t>Education</w:t>
            </w:r>
            <w:r>
              <w:rPr>
                <w:spacing w:val="-1"/>
                <w:sz w:val="18"/>
              </w:rPr>
              <w:t xml:space="preserve"> </w:t>
            </w:r>
            <w:r>
              <w:rPr>
                <w:sz w:val="18"/>
              </w:rPr>
              <w:t>and Care</w:t>
            </w:r>
          </w:p>
        </w:tc>
        <w:tc>
          <w:tcPr>
            <w:tcW w:w="9055" w:type="dxa"/>
            <w:tcBorders>
              <w:top w:val="nil"/>
            </w:tcBorders>
            <w:shd w:val="clear" w:color="auto" w:fill="C5EECE"/>
          </w:tcPr>
          <w:p w:rsidR="00A56FE9" w:rsidRDefault="00000000">
            <w:pPr>
              <w:pStyle w:val="TableParagraph"/>
              <w:spacing w:line="202" w:lineRule="exact"/>
              <w:ind w:left="106"/>
              <w:rPr>
                <w:sz w:val="18"/>
              </w:rPr>
            </w:pPr>
            <w:r>
              <w:rPr>
                <w:sz w:val="18"/>
              </w:rPr>
              <w:t>The</w:t>
            </w:r>
            <w:r>
              <w:rPr>
                <w:spacing w:val="-3"/>
                <w:sz w:val="18"/>
              </w:rPr>
              <w:t xml:space="preserve"> </w:t>
            </w:r>
            <w:r>
              <w:rPr>
                <w:sz w:val="18"/>
              </w:rPr>
              <w:t>Croatian</w:t>
            </w:r>
            <w:r>
              <w:rPr>
                <w:spacing w:val="-1"/>
                <w:sz w:val="18"/>
              </w:rPr>
              <w:t xml:space="preserve"> </w:t>
            </w:r>
            <w:r>
              <w:rPr>
                <w:sz w:val="18"/>
              </w:rPr>
              <w:t>Government</w:t>
            </w:r>
            <w:r>
              <w:rPr>
                <w:spacing w:val="-1"/>
                <w:sz w:val="18"/>
              </w:rPr>
              <w:t xml:space="preserve"> </w:t>
            </w:r>
            <w:r>
              <w:rPr>
                <w:sz w:val="18"/>
              </w:rPr>
              <w:t>shall</w:t>
            </w:r>
            <w:r>
              <w:rPr>
                <w:spacing w:val="-2"/>
                <w:sz w:val="18"/>
              </w:rPr>
              <w:t xml:space="preserve"> </w:t>
            </w:r>
            <w:r>
              <w:rPr>
                <w:sz w:val="18"/>
              </w:rPr>
              <w:t>adopt</w:t>
            </w:r>
            <w:r>
              <w:rPr>
                <w:spacing w:val="-2"/>
                <w:sz w:val="18"/>
              </w:rPr>
              <w:t xml:space="preserve"> </w:t>
            </w:r>
            <w:r>
              <w:rPr>
                <w:sz w:val="18"/>
              </w:rPr>
              <w:t>a</w:t>
            </w:r>
            <w:r>
              <w:rPr>
                <w:spacing w:val="-2"/>
                <w:sz w:val="18"/>
              </w:rPr>
              <w:t xml:space="preserve"> </w:t>
            </w:r>
            <w:r>
              <w:rPr>
                <w:sz w:val="18"/>
              </w:rPr>
              <w:t>model</w:t>
            </w:r>
            <w:r>
              <w:rPr>
                <w:spacing w:val="-2"/>
                <w:sz w:val="18"/>
              </w:rPr>
              <w:t xml:space="preserve"> </w:t>
            </w:r>
            <w:r>
              <w:rPr>
                <w:sz w:val="18"/>
              </w:rPr>
              <w:t>for</w:t>
            </w:r>
            <w:r>
              <w:rPr>
                <w:spacing w:val="-2"/>
                <w:sz w:val="18"/>
              </w:rPr>
              <w:t xml:space="preserve"> </w:t>
            </w:r>
            <w:r>
              <w:rPr>
                <w:sz w:val="18"/>
              </w:rPr>
              <w:t>financing</w:t>
            </w:r>
            <w:r>
              <w:rPr>
                <w:spacing w:val="-2"/>
                <w:sz w:val="18"/>
              </w:rPr>
              <w:t xml:space="preserve"> </w:t>
            </w:r>
            <w:r>
              <w:rPr>
                <w:sz w:val="18"/>
              </w:rPr>
              <w:t>the</w:t>
            </w:r>
            <w:r>
              <w:rPr>
                <w:spacing w:val="-5"/>
                <w:sz w:val="18"/>
              </w:rPr>
              <w:t xml:space="preserve"> </w:t>
            </w:r>
            <w:r>
              <w:rPr>
                <w:sz w:val="18"/>
              </w:rPr>
              <w:t>operating</w:t>
            </w:r>
            <w:r>
              <w:rPr>
                <w:spacing w:val="-2"/>
                <w:sz w:val="18"/>
              </w:rPr>
              <w:t xml:space="preserve"> </w:t>
            </w:r>
            <w:r>
              <w:rPr>
                <w:sz w:val="18"/>
              </w:rPr>
              <w:t>costs</w:t>
            </w:r>
            <w:r>
              <w:rPr>
                <w:spacing w:val="-2"/>
                <w:sz w:val="18"/>
              </w:rPr>
              <w:t xml:space="preserve"> </w:t>
            </w:r>
            <w:r>
              <w:rPr>
                <w:sz w:val="18"/>
              </w:rPr>
              <w:t>of</w:t>
            </w:r>
            <w:r>
              <w:rPr>
                <w:spacing w:val="-4"/>
                <w:sz w:val="18"/>
              </w:rPr>
              <w:t xml:space="preserve"> </w:t>
            </w:r>
            <w:r>
              <w:rPr>
                <w:sz w:val="18"/>
              </w:rPr>
              <w:t>ECEC</w:t>
            </w:r>
            <w:r>
              <w:rPr>
                <w:spacing w:val="-1"/>
                <w:sz w:val="18"/>
              </w:rPr>
              <w:t xml:space="preserve"> </w:t>
            </w:r>
            <w:r>
              <w:rPr>
                <w:sz w:val="18"/>
              </w:rPr>
              <w:t>facilities</w:t>
            </w:r>
            <w:r>
              <w:rPr>
                <w:spacing w:val="-3"/>
                <w:sz w:val="18"/>
              </w:rPr>
              <w:t xml:space="preserve"> </w:t>
            </w:r>
            <w:r>
              <w:rPr>
                <w:sz w:val="18"/>
              </w:rPr>
              <w:t>for</w:t>
            </w:r>
            <w:r>
              <w:rPr>
                <w:spacing w:val="-1"/>
                <w:sz w:val="18"/>
              </w:rPr>
              <w:t xml:space="preserve"> </w:t>
            </w:r>
            <w:r>
              <w:rPr>
                <w:sz w:val="18"/>
              </w:rPr>
              <w:t>municipalities/local</w:t>
            </w:r>
          </w:p>
          <w:p w:rsidR="00A56FE9" w:rsidRDefault="00000000">
            <w:pPr>
              <w:pStyle w:val="TableParagraph"/>
              <w:spacing w:line="206" w:lineRule="exact"/>
              <w:ind w:left="106"/>
              <w:rPr>
                <w:sz w:val="18"/>
              </w:rPr>
            </w:pPr>
            <w:r>
              <w:rPr>
                <w:sz w:val="18"/>
              </w:rPr>
              <w:t>government</w:t>
            </w:r>
            <w:r>
              <w:rPr>
                <w:spacing w:val="-2"/>
                <w:sz w:val="18"/>
              </w:rPr>
              <w:t xml:space="preserve"> </w:t>
            </w:r>
            <w:r>
              <w:rPr>
                <w:sz w:val="18"/>
              </w:rPr>
              <w:t>units</w:t>
            </w:r>
            <w:r>
              <w:rPr>
                <w:spacing w:val="-2"/>
                <w:sz w:val="18"/>
              </w:rPr>
              <w:t xml:space="preserve"> </w:t>
            </w:r>
            <w:r>
              <w:rPr>
                <w:sz w:val="18"/>
              </w:rPr>
              <w:t>with less</w:t>
            </w:r>
            <w:r>
              <w:rPr>
                <w:spacing w:val="-2"/>
                <w:sz w:val="18"/>
              </w:rPr>
              <w:t xml:space="preserve"> </w:t>
            </w:r>
            <w:r>
              <w:rPr>
                <w:sz w:val="18"/>
              </w:rPr>
              <w:t>financial</w:t>
            </w:r>
            <w:r>
              <w:rPr>
                <w:spacing w:val="-1"/>
                <w:sz w:val="18"/>
              </w:rPr>
              <w:t xml:space="preserve"> </w:t>
            </w:r>
            <w:r>
              <w:rPr>
                <w:sz w:val="18"/>
              </w:rPr>
              <w:t>capacity,</w:t>
            </w:r>
            <w:r>
              <w:rPr>
                <w:spacing w:val="-2"/>
                <w:sz w:val="18"/>
              </w:rPr>
              <w:t xml:space="preserve"> </w:t>
            </w:r>
            <w:r>
              <w:rPr>
                <w:sz w:val="18"/>
              </w:rPr>
              <w:t>in order</w:t>
            </w:r>
            <w:r>
              <w:rPr>
                <w:spacing w:val="2"/>
                <w:sz w:val="18"/>
              </w:rPr>
              <w:t xml:space="preserve"> </w:t>
            </w:r>
            <w:r>
              <w:rPr>
                <w:sz w:val="18"/>
              </w:rPr>
              <w:t>to</w:t>
            </w:r>
            <w:r>
              <w:rPr>
                <w:spacing w:val="-2"/>
                <w:sz w:val="18"/>
              </w:rPr>
              <w:t xml:space="preserve"> </w:t>
            </w:r>
            <w:r>
              <w:rPr>
                <w:sz w:val="18"/>
              </w:rPr>
              <w:t>ensure</w:t>
            </w:r>
            <w:r>
              <w:rPr>
                <w:spacing w:val="-3"/>
                <w:sz w:val="18"/>
              </w:rPr>
              <w:t xml:space="preserve"> </w:t>
            </w:r>
            <w:r>
              <w:rPr>
                <w:sz w:val="18"/>
              </w:rPr>
              <w:t>the</w:t>
            </w:r>
            <w:r>
              <w:rPr>
                <w:spacing w:val="-4"/>
                <w:sz w:val="18"/>
              </w:rPr>
              <w:t xml:space="preserve"> </w:t>
            </w:r>
            <w:r>
              <w:rPr>
                <w:sz w:val="18"/>
              </w:rPr>
              <w:t>sustainability</w:t>
            </w:r>
            <w:r>
              <w:rPr>
                <w:spacing w:val="-6"/>
                <w:sz w:val="18"/>
              </w:rPr>
              <w:t xml:space="preserve"> </w:t>
            </w:r>
            <w:r>
              <w:rPr>
                <w:sz w:val="18"/>
              </w:rPr>
              <w:t>of</w:t>
            </w:r>
            <w:r>
              <w:rPr>
                <w:spacing w:val="-3"/>
                <w:sz w:val="18"/>
              </w:rPr>
              <w:t xml:space="preserve"> </w:t>
            </w:r>
            <w:r>
              <w:rPr>
                <w:sz w:val="18"/>
              </w:rPr>
              <w:t>the</w:t>
            </w:r>
            <w:r>
              <w:rPr>
                <w:spacing w:val="-3"/>
                <w:sz w:val="18"/>
              </w:rPr>
              <w:t xml:space="preserve"> </w:t>
            </w:r>
            <w:r>
              <w:rPr>
                <w:sz w:val="18"/>
              </w:rPr>
              <w:t>investment</w:t>
            </w:r>
            <w:r>
              <w:rPr>
                <w:spacing w:val="-1"/>
                <w:sz w:val="18"/>
              </w:rPr>
              <w:t xml:space="preserve"> </w:t>
            </w:r>
            <w:r>
              <w:rPr>
                <w:sz w:val="18"/>
              </w:rPr>
              <w:t>after</w:t>
            </w:r>
            <w:r>
              <w:rPr>
                <w:spacing w:val="-2"/>
                <w:sz w:val="18"/>
              </w:rPr>
              <w:t xml:space="preserve"> </w:t>
            </w:r>
            <w:r>
              <w:rPr>
                <w:sz w:val="18"/>
              </w:rPr>
              <w:t>the</w:t>
            </w:r>
            <w:r>
              <w:rPr>
                <w:spacing w:val="-2"/>
                <w:sz w:val="18"/>
              </w:rPr>
              <w:t xml:space="preserve"> </w:t>
            </w:r>
            <w:r>
              <w:rPr>
                <w:sz w:val="18"/>
              </w:rPr>
              <w:t>renovation</w:t>
            </w:r>
            <w:r>
              <w:rPr>
                <w:spacing w:val="-3"/>
                <w:sz w:val="18"/>
              </w:rPr>
              <w:t xml:space="preserve"> </w:t>
            </w:r>
            <w:r>
              <w:rPr>
                <w:sz w:val="18"/>
              </w:rPr>
              <w:t>of</w:t>
            </w:r>
            <w:r>
              <w:rPr>
                <w:spacing w:val="-42"/>
                <w:sz w:val="18"/>
              </w:rPr>
              <w:t xml:space="preserve"> </w:t>
            </w:r>
            <w:r>
              <w:rPr>
                <w:sz w:val="18"/>
              </w:rPr>
              <w:t>existing</w:t>
            </w:r>
            <w:r>
              <w:rPr>
                <w:spacing w:val="-2"/>
                <w:sz w:val="18"/>
              </w:rPr>
              <w:t xml:space="preserve"> </w:t>
            </w:r>
            <w:r>
              <w:rPr>
                <w:sz w:val="18"/>
              </w:rPr>
              <w:t>or construction</w:t>
            </w:r>
            <w:r>
              <w:rPr>
                <w:spacing w:val="1"/>
                <w:sz w:val="18"/>
              </w:rPr>
              <w:t xml:space="preserve"> </w:t>
            </w:r>
            <w:r>
              <w:rPr>
                <w:sz w:val="18"/>
              </w:rPr>
              <w:t>of</w:t>
            </w:r>
            <w:r>
              <w:rPr>
                <w:spacing w:val="-2"/>
                <w:sz w:val="18"/>
              </w:rPr>
              <w:t xml:space="preserve"> </w:t>
            </w:r>
            <w:r>
              <w:rPr>
                <w:sz w:val="18"/>
              </w:rPr>
              <w:t>new</w:t>
            </w:r>
            <w:r>
              <w:rPr>
                <w:spacing w:val="-3"/>
                <w:sz w:val="18"/>
              </w:rPr>
              <w:t xml:space="preserve"> </w:t>
            </w:r>
            <w:r>
              <w:rPr>
                <w:sz w:val="18"/>
              </w:rPr>
              <w:t>ECEC facilities.</w:t>
            </w:r>
          </w:p>
        </w:tc>
      </w:tr>
      <w:tr w:rsidR="00A56FE9">
        <w:trPr>
          <w:trHeight w:val="619"/>
        </w:trPr>
        <w:tc>
          <w:tcPr>
            <w:tcW w:w="2132" w:type="dxa"/>
            <w:vMerge/>
            <w:tcBorders>
              <w:top w:val="nil"/>
            </w:tcBorders>
            <w:shd w:val="clear" w:color="auto" w:fill="F1F1F1"/>
          </w:tcPr>
          <w:p w:rsidR="00A56FE9" w:rsidRDefault="00A56FE9">
            <w:pPr>
              <w:rPr>
                <w:sz w:val="2"/>
                <w:szCs w:val="2"/>
              </w:rPr>
            </w:pPr>
          </w:p>
        </w:tc>
        <w:tc>
          <w:tcPr>
            <w:tcW w:w="3352" w:type="dxa"/>
            <w:shd w:val="clear" w:color="auto" w:fill="C5EECE"/>
          </w:tcPr>
          <w:p w:rsidR="00A56FE9" w:rsidRDefault="00000000">
            <w:pPr>
              <w:pStyle w:val="TableParagraph"/>
              <w:spacing w:line="202" w:lineRule="exact"/>
              <w:ind w:left="100"/>
              <w:rPr>
                <w:sz w:val="18"/>
              </w:rPr>
            </w:pPr>
            <w:r>
              <w:rPr>
                <w:sz w:val="18"/>
              </w:rPr>
              <w:t>Inclusion</w:t>
            </w:r>
            <w:r>
              <w:rPr>
                <w:spacing w:val="-3"/>
                <w:sz w:val="18"/>
              </w:rPr>
              <w:t xml:space="preserve"> </w:t>
            </w:r>
            <w:r>
              <w:rPr>
                <w:sz w:val="18"/>
              </w:rPr>
              <w:t>of</w:t>
            </w:r>
            <w:r>
              <w:rPr>
                <w:spacing w:val="-4"/>
                <w:sz w:val="18"/>
              </w:rPr>
              <w:t xml:space="preserve"> </w:t>
            </w:r>
            <w:r>
              <w:rPr>
                <w:sz w:val="18"/>
              </w:rPr>
              <w:t>the</w:t>
            </w:r>
            <w:r>
              <w:rPr>
                <w:spacing w:val="-3"/>
                <w:sz w:val="18"/>
              </w:rPr>
              <w:t xml:space="preserve"> </w:t>
            </w:r>
            <w:r>
              <w:rPr>
                <w:sz w:val="18"/>
              </w:rPr>
              <w:t>unemployed and</w:t>
            </w:r>
            <w:r>
              <w:rPr>
                <w:spacing w:val="-3"/>
                <w:sz w:val="18"/>
              </w:rPr>
              <w:t xml:space="preserve"> </w:t>
            </w:r>
            <w:r>
              <w:rPr>
                <w:sz w:val="18"/>
              </w:rPr>
              <w:t>employed</w:t>
            </w:r>
          </w:p>
          <w:p w:rsidR="00A56FE9" w:rsidRDefault="00000000">
            <w:pPr>
              <w:pStyle w:val="TableParagraph"/>
              <w:spacing w:line="206" w:lineRule="exact"/>
              <w:ind w:left="100" w:right="115"/>
              <w:rPr>
                <w:sz w:val="18"/>
              </w:rPr>
            </w:pPr>
            <w:r>
              <w:rPr>
                <w:sz w:val="18"/>
              </w:rPr>
              <w:t>in</w:t>
            </w:r>
            <w:r>
              <w:rPr>
                <w:spacing w:val="-1"/>
                <w:sz w:val="18"/>
              </w:rPr>
              <w:t xml:space="preserve"> </w:t>
            </w:r>
            <w:r>
              <w:rPr>
                <w:sz w:val="18"/>
              </w:rPr>
              <w:t>education</w:t>
            </w:r>
            <w:r>
              <w:rPr>
                <w:spacing w:val="-3"/>
                <w:sz w:val="18"/>
              </w:rPr>
              <w:t xml:space="preserve"> </w:t>
            </w:r>
            <w:r>
              <w:rPr>
                <w:sz w:val="18"/>
              </w:rPr>
              <w:t>for</w:t>
            </w:r>
            <w:r>
              <w:rPr>
                <w:spacing w:val="-2"/>
                <w:sz w:val="18"/>
              </w:rPr>
              <w:t xml:space="preserve"> </w:t>
            </w:r>
            <w:r>
              <w:rPr>
                <w:sz w:val="18"/>
              </w:rPr>
              <w:t>acquiring</w:t>
            </w:r>
            <w:r>
              <w:rPr>
                <w:spacing w:val="-2"/>
                <w:sz w:val="18"/>
              </w:rPr>
              <w:t xml:space="preserve"> </w:t>
            </w:r>
            <w:r>
              <w:rPr>
                <w:sz w:val="18"/>
              </w:rPr>
              <w:t>green</w:t>
            </w:r>
            <w:r>
              <w:rPr>
                <w:spacing w:val="-1"/>
                <w:sz w:val="18"/>
              </w:rPr>
              <w:t xml:space="preserve"> </w:t>
            </w:r>
            <w:r>
              <w:rPr>
                <w:sz w:val="18"/>
              </w:rPr>
              <w:t>and</w:t>
            </w:r>
            <w:r>
              <w:rPr>
                <w:spacing w:val="-3"/>
                <w:sz w:val="18"/>
              </w:rPr>
              <w:t xml:space="preserve"> </w:t>
            </w:r>
            <w:r>
              <w:rPr>
                <w:sz w:val="18"/>
              </w:rPr>
              <w:t>digital</w:t>
            </w:r>
            <w:r>
              <w:rPr>
                <w:spacing w:val="-42"/>
                <w:sz w:val="18"/>
              </w:rPr>
              <w:t xml:space="preserve"> </w:t>
            </w:r>
            <w:r>
              <w:rPr>
                <w:sz w:val="18"/>
              </w:rPr>
              <w:t>skills</w:t>
            </w:r>
          </w:p>
        </w:tc>
        <w:tc>
          <w:tcPr>
            <w:tcW w:w="9055" w:type="dxa"/>
            <w:shd w:val="clear" w:color="auto" w:fill="C5EECE"/>
          </w:tcPr>
          <w:p w:rsidR="00A56FE9" w:rsidRDefault="00000000">
            <w:pPr>
              <w:pStyle w:val="TableParagraph"/>
              <w:ind w:left="106" w:right="412"/>
              <w:rPr>
                <w:sz w:val="18"/>
              </w:rPr>
            </w:pPr>
            <w:r>
              <w:rPr>
                <w:sz w:val="18"/>
              </w:rPr>
              <w:t>From</w:t>
            </w:r>
            <w:r>
              <w:rPr>
                <w:spacing w:val="-5"/>
                <w:sz w:val="18"/>
              </w:rPr>
              <w:t xml:space="preserve"> </w:t>
            </w:r>
            <w:r>
              <w:rPr>
                <w:sz w:val="18"/>
              </w:rPr>
              <w:t>2022,</w:t>
            </w:r>
            <w:r>
              <w:rPr>
                <w:spacing w:val="-1"/>
                <w:sz w:val="18"/>
              </w:rPr>
              <w:t xml:space="preserve"> </w:t>
            </w:r>
            <w:r>
              <w:rPr>
                <w:sz w:val="18"/>
              </w:rPr>
              <w:t>it</w:t>
            </w:r>
            <w:r>
              <w:rPr>
                <w:spacing w:val="-1"/>
                <w:sz w:val="18"/>
              </w:rPr>
              <w:t xml:space="preserve"> </w:t>
            </w:r>
            <w:r>
              <w:rPr>
                <w:sz w:val="18"/>
              </w:rPr>
              <w:t>will</w:t>
            </w:r>
            <w:r>
              <w:rPr>
                <w:spacing w:val="-1"/>
                <w:sz w:val="18"/>
              </w:rPr>
              <w:t xml:space="preserve"> </w:t>
            </w:r>
            <w:r>
              <w:rPr>
                <w:sz w:val="18"/>
              </w:rPr>
              <w:t>be</w:t>
            </w:r>
            <w:r>
              <w:rPr>
                <w:spacing w:val="-3"/>
                <w:sz w:val="18"/>
              </w:rPr>
              <w:t xml:space="preserve"> </w:t>
            </w:r>
            <w:r>
              <w:rPr>
                <w:sz w:val="18"/>
              </w:rPr>
              <w:t>possible</w:t>
            </w:r>
            <w:r>
              <w:rPr>
                <w:spacing w:val="-1"/>
                <w:sz w:val="18"/>
              </w:rPr>
              <w:t xml:space="preserve"> </w:t>
            </w:r>
            <w:r>
              <w:rPr>
                <w:sz w:val="18"/>
              </w:rPr>
              <w:t>to</w:t>
            </w:r>
            <w:r>
              <w:rPr>
                <w:spacing w:val="-2"/>
                <w:sz w:val="18"/>
              </w:rPr>
              <w:t xml:space="preserve"> </w:t>
            </w:r>
            <w:r>
              <w:rPr>
                <w:sz w:val="18"/>
              </w:rPr>
              <w:t>use</w:t>
            </w:r>
            <w:r>
              <w:rPr>
                <w:spacing w:val="1"/>
                <w:sz w:val="18"/>
              </w:rPr>
              <w:t xml:space="preserve"> </w:t>
            </w:r>
            <w:r>
              <w:rPr>
                <w:sz w:val="18"/>
              </w:rPr>
              <w:t>education</w:t>
            </w:r>
            <w:r>
              <w:rPr>
                <w:spacing w:val="-1"/>
                <w:sz w:val="18"/>
              </w:rPr>
              <w:t xml:space="preserve"> </w:t>
            </w:r>
            <w:r>
              <w:rPr>
                <w:sz w:val="18"/>
              </w:rPr>
              <w:t>vouchers</w:t>
            </w:r>
            <w:r>
              <w:rPr>
                <w:spacing w:val="-1"/>
                <w:sz w:val="18"/>
              </w:rPr>
              <w:t xml:space="preserve"> </w:t>
            </w:r>
            <w:r>
              <w:rPr>
                <w:sz w:val="18"/>
              </w:rPr>
              <w:t>in</w:t>
            </w:r>
            <w:r>
              <w:rPr>
                <w:spacing w:val="-2"/>
                <w:sz w:val="18"/>
              </w:rPr>
              <w:t xml:space="preserve"> </w:t>
            </w:r>
            <w:r>
              <w:rPr>
                <w:sz w:val="18"/>
              </w:rPr>
              <w:t>order</w:t>
            </w:r>
            <w:r>
              <w:rPr>
                <w:spacing w:val="-3"/>
                <w:sz w:val="18"/>
              </w:rPr>
              <w:t xml:space="preserve"> </w:t>
            </w:r>
            <w:r>
              <w:rPr>
                <w:sz w:val="18"/>
              </w:rPr>
              <w:t>to adapt</w:t>
            </w:r>
            <w:r>
              <w:rPr>
                <w:spacing w:val="-4"/>
                <w:sz w:val="18"/>
              </w:rPr>
              <w:t xml:space="preserve"> </w:t>
            </w:r>
            <w:r>
              <w:rPr>
                <w:sz w:val="18"/>
              </w:rPr>
              <w:t>the</w:t>
            </w:r>
            <w:r>
              <w:rPr>
                <w:spacing w:val="-4"/>
                <w:sz w:val="18"/>
              </w:rPr>
              <w:t xml:space="preserve"> </w:t>
            </w:r>
            <w:r>
              <w:rPr>
                <w:sz w:val="18"/>
              </w:rPr>
              <w:t>unemployed and employed</w:t>
            </w:r>
            <w:r>
              <w:rPr>
                <w:spacing w:val="-1"/>
                <w:sz w:val="18"/>
              </w:rPr>
              <w:t xml:space="preserve"> </w:t>
            </w:r>
            <w:r>
              <w:rPr>
                <w:sz w:val="18"/>
              </w:rPr>
              <w:t>to the</w:t>
            </w:r>
            <w:r>
              <w:rPr>
                <w:spacing w:val="-42"/>
                <w:sz w:val="18"/>
              </w:rPr>
              <w:t xml:space="preserve"> </w:t>
            </w:r>
            <w:r>
              <w:rPr>
                <w:sz w:val="18"/>
              </w:rPr>
              <w:t>green/digital</w:t>
            </w:r>
            <w:r>
              <w:rPr>
                <w:spacing w:val="-1"/>
                <w:sz w:val="18"/>
              </w:rPr>
              <w:t xml:space="preserve"> </w:t>
            </w:r>
            <w:r>
              <w:rPr>
                <w:sz w:val="18"/>
              </w:rPr>
              <w:t>transition</w:t>
            </w:r>
            <w:r>
              <w:rPr>
                <w:spacing w:val="-1"/>
                <w:sz w:val="18"/>
              </w:rPr>
              <w:t xml:space="preserve"> </w:t>
            </w:r>
            <w:r>
              <w:rPr>
                <w:sz w:val="18"/>
              </w:rPr>
              <w:t>of</w:t>
            </w:r>
            <w:r>
              <w:rPr>
                <w:spacing w:val="-2"/>
                <w:sz w:val="18"/>
              </w:rPr>
              <w:t xml:space="preserve"> </w:t>
            </w:r>
            <w:r>
              <w:rPr>
                <w:sz w:val="18"/>
              </w:rPr>
              <w:t>the</w:t>
            </w:r>
            <w:r>
              <w:rPr>
                <w:spacing w:val="-1"/>
                <w:sz w:val="18"/>
              </w:rPr>
              <w:t xml:space="preserve"> </w:t>
            </w:r>
            <w:r>
              <w:rPr>
                <w:sz w:val="18"/>
              </w:rPr>
              <w:t>economy.</w:t>
            </w:r>
          </w:p>
        </w:tc>
      </w:tr>
      <w:tr w:rsidR="00A56FE9">
        <w:trPr>
          <w:trHeight w:val="1242"/>
        </w:trPr>
        <w:tc>
          <w:tcPr>
            <w:tcW w:w="2132" w:type="dxa"/>
            <w:vMerge/>
            <w:tcBorders>
              <w:top w:val="nil"/>
            </w:tcBorders>
            <w:shd w:val="clear" w:color="auto" w:fill="F1F1F1"/>
          </w:tcPr>
          <w:p w:rsidR="00A56FE9" w:rsidRDefault="00A56FE9">
            <w:pPr>
              <w:rPr>
                <w:sz w:val="2"/>
                <w:szCs w:val="2"/>
              </w:rPr>
            </w:pPr>
          </w:p>
        </w:tc>
        <w:tc>
          <w:tcPr>
            <w:tcW w:w="3352" w:type="dxa"/>
            <w:shd w:val="clear" w:color="auto" w:fill="C5EECE"/>
          </w:tcPr>
          <w:p w:rsidR="00A56FE9" w:rsidRDefault="00000000">
            <w:pPr>
              <w:pStyle w:val="TableParagraph"/>
              <w:ind w:left="100" w:right="193"/>
              <w:rPr>
                <w:sz w:val="18"/>
              </w:rPr>
            </w:pPr>
            <w:r>
              <w:rPr>
                <w:sz w:val="18"/>
              </w:rPr>
              <w:t>Publication of the National Skills</w:t>
            </w:r>
            <w:r>
              <w:rPr>
                <w:spacing w:val="1"/>
                <w:sz w:val="18"/>
              </w:rPr>
              <w:t xml:space="preserve"> </w:t>
            </w:r>
            <w:r>
              <w:rPr>
                <w:sz w:val="18"/>
              </w:rPr>
              <w:t>Development Plan in the context of green</w:t>
            </w:r>
            <w:r>
              <w:rPr>
                <w:spacing w:val="-42"/>
                <w:sz w:val="18"/>
              </w:rPr>
              <w:t xml:space="preserve"> </w:t>
            </w:r>
            <w:r>
              <w:rPr>
                <w:sz w:val="18"/>
              </w:rPr>
              <w:t>jobs related to energy efficiency and post-</w:t>
            </w:r>
            <w:r>
              <w:rPr>
                <w:spacing w:val="-42"/>
                <w:sz w:val="18"/>
              </w:rPr>
              <w:t xml:space="preserve"> </w:t>
            </w:r>
            <w:r>
              <w:rPr>
                <w:sz w:val="18"/>
              </w:rPr>
              <w:t>earthquake</w:t>
            </w:r>
            <w:r>
              <w:rPr>
                <w:spacing w:val="-1"/>
                <w:sz w:val="18"/>
              </w:rPr>
              <w:t xml:space="preserve"> </w:t>
            </w:r>
            <w:r>
              <w:rPr>
                <w:sz w:val="18"/>
              </w:rPr>
              <w:t>reconstruction</w:t>
            </w:r>
          </w:p>
          <w:p w:rsidR="00A56FE9" w:rsidRDefault="00A56FE9">
            <w:pPr>
              <w:pStyle w:val="TableParagraph"/>
              <w:spacing w:before="8"/>
              <w:rPr>
                <w:b/>
                <w:sz w:val="17"/>
              </w:rPr>
            </w:pPr>
          </w:p>
          <w:p w:rsidR="00A56FE9" w:rsidRDefault="00000000">
            <w:pPr>
              <w:pStyle w:val="TableParagraph"/>
              <w:spacing w:line="191" w:lineRule="exact"/>
              <w:ind w:left="100"/>
              <w:rPr>
                <w:i/>
                <w:sz w:val="18"/>
              </w:rPr>
            </w:pPr>
            <w:r>
              <w:rPr>
                <w:i/>
                <w:sz w:val="18"/>
              </w:rPr>
              <w:t>Contributes</w:t>
            </w:r>
            <w:r>
              <w:rPr>
                <w:i/>
                <w:spacing w:val="-3"/>
                <w:sz w:val="18"/>
              </w:rPr>
              <w:t xml:space="preserve"> </w:t>
            </w:r>
            <w:r>
              <w:rPr>
                <w:i/>
                <w:sz w:val="18"/>
              </w:rPr>
              <w:t>to achieving</w:t>
            </w:r>
            <w:r>
              <w:rPr>
                <w:i/>
                <w:spacing w:val="-3"/>
                <w:sz w:val="18"/>
              </w:rPr>
              <w:t xml:space="preserve"> </w:t>
            </w:r>
            <w:r>
              <w:rPr>
                <w:i/>
                <w:sz w:val="18"/>
              </w:rPr>
              <w:t>Principles</w:t>
            </w:r>
            <w:r>
              <w:rPr>
                <w:i/>
                <w:spacing w:val="1"/>
                <w:sz w:val="18"/>
              </w:rPr>
              <w:t xml:space="preserve"> </w:t>
            </w:r>
            <w:r>
              <w:rPr>
                <w:i/>
                <w:sz w:val="18"/>
              </w:rPr>
              <w:t>3 and</w:t>
            </w:r>
            <w:r>
              <w:rPr>
                <w:i/>
                <w:spacing w:val="-3"/>
                <w:sz w:val="18"/>
              </w:rPr>
              <w:t xml:space="preserve"> </w:t>
            </w:r>
            <w:r>
              <w:rPr>
                <w:i/>
                <w:sz w:val="18"/>
              </w:rPr>
              <w:t>5</w:t>
            </w:r>
          </w:p>
        </w:tc>
        <w:tc>
          <w:tcPr>
            <w:tcW w:w="9055" w:type="dxa"/>
            <w:shd w:val="clear" w:color="auto" w:fill="C5EECE"/>
          </w:tcPr>
          <w:p w:rsidR="00A56FE9" w:rsidRDefault="00000000">
            <w:pPr>
              <w:pStyle w:val="TableParagraph"/>
              <w:ind w:left="106" w:right="412"/>
              <w:rPr>
                <w:sz w:val="18"/>
              </w:rPr>
            </w:pPr>
            <w:r>
              <w:rPr>
                <w:sz w:val="18"/>
              </w:rPr>
              <w:t>The publication of the National Skills Development Plan that shall improve the skills of green jobs in the context of</w:t>
            </w:r>
            <w:r>
              <w:rPr>
                <w:spacing w:val="1"/>
                <w:sz w:val="18"/>
              </w:rPr>
              <w:t xml:space="preserve"> </w:t>
            </w:r>
            <w:r>
              <w:rPr>
                <w:sz w:val="18"/>
              </w:rPr>
              <w:t>energy renovation, post-earthquake renovation, green infrastructure, application of nature-based solutions and circular</w:t>
            </w:r>
            <w:r>
              <w:rPr>
                <w:spacing w:val="-42"/>
                <w:sz w:val="18"/>
              </w:rPr>
              <w:t xml:space="preserve"> </w:t>
            </w:r>
            <w:r>
              <w:rPr>
                <w:sz w:val="18"/>
              </w:rPr>
              <w:t>management of space and building, based on a review of existing programmes and preparation and adaptation of</w:t>
            </w:r>
            <w:r>
              <w:rPr>
                <w:spacing w:val="1"/>
                <w:sz w:val="18"/>
              </w:rPr>
              <w:t xml:space="preserve"> </w:t>
            </w:r>
            <w:r>
              <w:rPr>
                <w:sz w:val="18"/>
              </w:rPr>
              <w:t>educational</w:t>
            </w:r>
            <w:r>
              <w:rPr>
                <w:spacing w:val="-3"/>
                <w:sz w:val="18"/>
              </w:rPr>
              <w:t xml:space="preserve"> </w:t>
            </w:r>
            <w:r>
              <w:rPr>
                <w:sz w:val="18"/>
              </w:rPr>
              <w:t>programmes defined</w:t>
            </w:r>
            <w:r>
              <w:rPr>
                <w:spacing w:val="1"/>
                <w:sz w:val="18"/>
              </w:rPr>
              <w:t xml:space="preserve"> </w:t>
            </w:r>
            <w:r>
              <w:rPr>
                <w:sz w:val="18"/>
              </w:rPr>
              <w:t>by</w:t>
            </w:r>
            <w:r>
              <w:rPr>
                <w:spacing w:val="-4"/>
                <w:sz w:val="18"/>
              </w:rPr>
              <w:t xml:space="preserve"> </w:t>
            </w:r>
            <w:r>
              <w:rPr>
                <w:sz w:val="18"/>
              </w:rPr>
              <w:t>the</w:t>
            </w:r>
            <w:r>
              <w:rPr>
                <w:spacing w:val="-1"/>
                <w:sz w:val="18"/>
              </w:rPr>
              <w:t xml:space="preserve"> </w:t>
            </w:r>
            <w:r>
              <w:rPr>
                <w:sz w:val="18"/>
              </w:rPr>
              <w:t>reform.</w:t>
            </w:r>
          </w:p>
        </w:tc>
      </w:tr>
      <w:tr w:rsidR="00A56FE9">
        <w:trPr>
          <w:trHeight w:val="621"/>
        </w:trPr>
        <w:tc>
          <w:tcPr>
            <w:tcW w:w="2132" w:type="dxa"/>
            <w:vMerge/>
            <w:tcBorders>
              <w:top w:val="nil"/>
            </w:tcBorders>
            <w:shd w:val="clear" w:color="auto" w:fill="F1F1F1"/>
          </w:tcPr>
          <w:p w:rsidR="00A56FE9" w:rsidRDefault="00A56FE9">
            <w:pPr>
              <w:rPr>
                <w:sz w:val="2"/>
                <w:szCs w:val="2"/>
              </w:rPr>
            </w:pPr>
          </w:p>
        </w:tc>
        <w:tc>
          <w:tcPr>
            <w:tcW w:w="3352" w:type="dxa"/>
          </w:tcPr>
          <w:p w:rsidR="00A56FE9" w:rsidRDefault="00000000">
            <w:pPr>
              <w:pStyle w:val="TableParagraph"/>
              <w:ind w:left="100" w:right="127"/>
              <w:rPr>
                <w:sz w:val="18"/>
              </w:rPr>
            </w:pPr>
            <w:r>
              <w:rPr>
                <w:sz w:val="18"/>
              </w:rPr>
              <w:t>Drafting and development of vocational</w:t>
            </w:r>
            <w:r>
              <w:rPr>
                <w:spacing w:val="1"/>
                <w:sz w:val="18"/>
              </w:rPr>
              <w:t xml:space="preserve"> </w:t>
            </w:r>
            <w:r>
              <w:rPr>
                <w:sz w:val="18"/>
              </w:rPr>
              <w:t>curricula</w:t>
            </w:r>
            <w:r>
              <w:rPr>
                <w:spacing w:val="-3"/>
                <w:sz w:val="18"/>
              </w:rPr>
              <w:t xml:space="preserve"> </w:t>
            </w:r>
            <w:r>
              <w:rPr>
                <w:sz w:val="18"/>
              </w:rPr>
              <w:t>harmonised</w:t>
            </w:r>
            <w:r>
              <w:rPr>
                <w:spacing w:val="-1"/>
                <w:sz w:val="18"/>
              </w:rPr>
              <w:t xml:space="preserve"> </w:t>
            </w:r>
            <w:r>
              <w:rPr>
                <w:sz w:val="18"/>
              </w:rPr>
              <w:t>with</w:t>
            </w:r>
            <w:r>
              <w:rPr>
                <w:spacing w:val="-1"/>
                <w:sz w:val="18"/>
              </w:rPr>
              <w:t xml:space="preserve"> </w:t>
            </w:r>
            <w:r>
              <w:rPr>
                <w:sz w:val="18"/>
              </w:rPr>
              <w:t>the</w:t>
            </w:r>
            <w:r>
              <w:rPr>
                <w:spacing w:val="-3"/>
                <w:sz w:val="18"/>
              </w:rPr>
              <w:t xml:space="preserve"> </w:t>
            </w:r>
            <w:r>
              <w:rPr>
                <w:sz w:val="18"/>
              </w:rPr>
              <w:t>CROQF</w:t>
            </w:r>
            <w:r>
              <w:rPr>
                <w:spacing w:val="-2"/>
                <w:sz w:val="18"/>
              </w:rPr>
              <w:t xml:space="preserve"> </w:t>
            </w:r>
            <w:r>
              <w:rPr>
                <w:sz w:val="18"/>
              </w:rPr>
              <w:t>and</w:t>
            </w:r>
          </w:p>
          <w:p w:rsidR="00A56FE9" w:rsidRDefault="00000000">
            <w:pPr>
              <w:pStyle w:val="TableParagraph"/>
              <w:spacing w:line="191" w:lineRule="exact"/>
              <w:ind w:left="100"/>
              <w:rPr>
                <w:sz w:val="18"/>
              </w:rPr>
            </w:pPr>
            <w:r>
              <w:rPr>
                <w:sz w:val="18"/>
              </w:rPr>
              <w:t>the</w:t>
            </w:r>
            <w:r>
              <w:rPr>
                <w:spacing w:val="-2"/>
                <w:sz w:val="18"/>
              </w:rPr>
              <w:t xml:space="preserve"> </w:t>
            </w:r>
            <w:r>
              <w:rPr>
                <w:sz w:val="18"/>
              </w:rPr>
              <w:t>needs</w:t>
            </w:r>
            <w:r>
              <w:rPr>
                <w:spacing w:val="-4"/>
                <w:sz w:val="18"/>
              </w:rPr>
              <w:t xml:space="preserve"> </w:t>
            </w:r>
            <w:r>
              <w:rPr>
                <w:sz w:val="18"/>
              </w:rPr>
              <w:t>of</w:t>
            </w:r>
            <w:r>
              <w:rPr>
                <w:spacing w:val="-3"/>
                <w:sz w:val="18"/>
              </w:rPr>
              <w:t xml:space="preserve"> </w:t>
            </w:r>
            <w:r>
              <w:rPr>
                <w:sz w:val="18"/>
              </w:rPr>
              <w:t>the</w:t>
            </w:r>
            <w:r>
              <w:rPr>
                <w:spacing w:val="-2"/>
                <w:sz w:val="18"/>
              </w:rPr>
              <w:t xml:space="preserve"> </w:t>
            </w:r>
            <w:r>
              <w:rPr>
                <w:sz w:val="18"/>
              </w:rPr>
              <w:t>labour</w:t>
            </w:r>
            <w:r>
              <w:rPr>
                <w:spacing w:val="-1"/>
                <w:sz w:val="18"/>
              </w:rPr>
              <w:t xml:space="preserve"> </w:t>
            </w:r>
            <w:r>
              <w:rPr>
                <w:sz w:val="18"/>
              </w:rPr>
              <w:t>market</w:t>
            </w:r>
          </w:p>
        </w:tc>
        <w:tc>
          <w:tcPr>
            <w:tcW w:w="9055" w:type="dxa"/>
          </w:tcPr>
          <w:p w:rsidR="00A56FE9" w:rsidRDefault="00000000">
            <w:pPr>
              <w:pStyle w:val="TableParagraph"/>
              <w:ind w:left="106"/>
              <w:rPr>
                <w:sz w:val="18"/>
              </w:rPr>
            </w:pPr>
            <w:r>
              <w:rPr>
                <w:sz w:val="18"/>
              </w:rPr>
              <w:t>The</w:t>
            </w:r>
            <w:r>
              <w:rPr>
                <w:spacing w:val="-2"/>
                <w:sz w:val="18"/>
              </w:rPr>
              <w:t xml:space="preserve"> </w:t>
            </w:r>
            <w:r>
              <w:rPr>
                <w:sz w:val="18"/>
              </w:rPr>
              <w:t>development</w:t>
            </w:r>
            <w:r>
              <w:rPr>
                <w:spacing w:val="-1"/>
                <w:sz w:val="18"/>
              </w:rPr>
              <w:t xml:space="preserve"> </w:t>
            </w:r>
            <w:r>
              <w:rPr>
                <w:sz w:val="18"/>
              </w:rPr>
              <w:t>of</w:t>
            </w:r>
            <w:r>
              <w:rPr>
                <w:spacing w:val="-3"/>
                <w:sz w:val="18"/>
              </w:rPr>
              <w:t xml:space="preserve"> </w:t>
            </w:r>
            <w:r>
              <w:rPr>
                <w:sz w:val="18"/>
              </w:rPr>
              <w:t>vocational</w:t>
            </w:r>
            <w:r>
              <w:rPr>
                <w:spacing w:val="-1"/>
                <w:sz w:val="18"/>
              </w:rPr>
              <w:t xml:space="preserve"> </w:t>
            </w:r>
            <w:r>
              <w:rPr>
                <w:sz w:val="18"/>
              </w:rPr>
              <w:t>curricula in line</w:t>
            </w:r>
            <w:r>
              <w:rPr>
                <w:spacing w:val="-2"/>
                <w:sz w:val="18"/>
              </w:rPr>
              <w:t xml:space="preserve"> </w:t>
            </w:r>
            <w:r>
              <w:rPr>
                <w:sz w:val="18"/>
              </w:rPr>
              <w:t>with the</w:t>
            </w:r>
            <w:r>
              <w:rPr>
                <w:spacing w:val="-2"/>
                <w:sz w:val="18"/>
              </w:rPr>
              <w:t xml:space="preserve"> </w:t>
            </w:r>
            <w:r>
              <w:rPr>
                <w:sz w:val="18"/>
              </w:rPr>
              <w:t>CROQF</w:t>
            </w:r>
            <w:r>
              <w:rPr>
                <w:spacing w:val="-2"/>
                <w:sz w:val="18"/>
              </w:rPr>
              <w:t xml:space="preserve"> </w:t>
            </w:r>
            <w:r>
              <w:rPr>
                <w:sz w:val="18"/>
              </w:rPr>
              <w:t>concept</w:t>
            </w:r>
            <w:r>
              <w:rPr>
                <w:spacing w:val="-1"/>
                <w:sz w:val="18"/>
              </w:rPr>
              <w:t xml:space="preserve"> </w:t>
            </w:r>
            <w:r>
              <w:rPr>
                <w:sz w:val="18"/>
              </w:rPr>
              <w:t>will</w:t>
            </w:r>
            <w:r>
              <w:rPr>
                <w:spacing w:val="-1"/>
                <w:sz w:val="18"/>
              </w:rPr>
              <w:t xml:space="preserve"> </w:t>
            </w:r>
            <w:r>
              <w:rPr>
                <w:sz w:val="18"/>
              </w:rPr>
              <w:t>achieve</w:t>
            </w:r>
            <w:r>
              <w:rPr>
                <w:spacing w:val="-2"/>
                <w:sz w:val="18"/>
              </w:rPr>
              <w:t xml:space="preserve"> </w:t>
            </w:r>
            <w:r>
              <w:rPr>
                <w:sz w:val="18"/>
              </w:rPr>
              <w:t>a</w:t>
            </w:r>
            <w:r>
              <w:rPr>
                <w:spacing w:val="-2"/>
                <w:sz w:val="18"/>
              </w:rPr>
              <w:t xml:space="preserve"> </w:t>
            </w:r>
            <w:r>
              <w:rPr>
                <w:sz w:val="18"/>
              </w:rPr>
              <w:t>strong</w:t>
            </w:r>
            <w:r>
              <w:rPr>
                <w:spacing w:val="-1"/>
                <w:sz w:val="18"/>
              </w:rPr>
              <w:t xml:space="preserve"> </w:t>
            </w:r>
            <w:r>
              <w:rPr>
                <w:sz w:val="18"/>
              </w:rPr>
              <w:t>link</w:t>
            </w:r>
            <w:r>
              <w:rPr>
                <w:spacing w:val="-5"/>
                <w:sz w:val="18"/>
              </w:rPr>
              <w:t xml:space="preserve"> </w:t>
            </w:r>
            <w:r>
              <w:rPr>
                <w:sz w:val="18"/>
              </w:rPr>
              <w:t>with the</w:t>
            </w:r>
            <w:r>
              <w:rPr>
                <w:spacing w:val="-2"/>
                <w:sz w:val="18"/>
              </w:rPr>
              <w:t xml:space="preserve"> </w:t>
            </w:r>
            <w:r>
              <w:rPr>
                <w:sz w:val="18"/>
              </w:rPr>
              <w:t>needs</w:t>
            </w:r>
            <w:r>
              <w:rPr>
                <w:spacing w:val="-3"/>
                <w:sz w:val="18"/>
              </w:rPr>
              <w:t xml:space="preserve"> </w:t>
            </w:r>
            <w:r>
              <w:rPr>
                <w:sz w:val="18"/>
              </w:rPr>
              <w:t>of</w:t>
            </w:r>
            <w:r>
              <w:rPr>
                <w:spacing w:val="-3"/>
                <w:sz w:val="18"/>
              </w:rPr>
              <w:t xml:space="preserve"> </w:t>
            </w:r>
            <w:r>
              <w:rPr>
                <w:sz w:val="18"/>
              </w:rPr>
              <w:t>the</w:t>
            </w:r>
            <w:r>
              <w:rPr>
                <w:spacing w:val="-42"/>
                <w:sz w:val="18"/>
              </w:rPr>
              <w:t xml:space="preserve"> </w:t>
            </w:r>
            <w:r>
              <w:rPr>
                <w:sz w:val="18"/>
              </w:rPr>
              <w:t>labour</w:t>
            </w:r>
            <w:r>
              <w:rPr>
                <w:spacing w:val="-3"/>
                <w:sz w:val="18"/>
              </w:rPr>
              <w:t xml:space="preserve"> </w:t>
            </w:r>
            <w:r>
              <w:rPr>
                <w:sz w:val="18"/>
              </w:rPr>
              <w:t>market through</w:t>
            </w:r>
            <w:r>
              <w:rPr>
                <w:spacing w:val="-1"/>
                <w:sz w:val="18"/>
              </w:rPr>
              <w:t xml:space="preserve"> </w:t>
            </w:r>
            <w:r>
              <w:rPr>
                <w:sz w:val="18"/>
              </w:rPr>
              <w:t>developed</w:t>
            </w:r>
            <w:r>
              <w:rPr>
                <w:spacing w:val="-5"/>
                <w:sz w:val="18"/>
              </w:rPr>
              <w:t xml:space="preserve"> </w:t>
            </w:r>
            <w:r>
              <w:rPr>
                <w:sz w:val="18"/>
              </w:rPr>
              <w:t>occupational standards and</w:t>
            </w:r>
            <w:r>
              <w:rPr>
                <w:spacing w:val="1"/>
                <w:sz w:val="18"/>
              </w:rPr>
              <w:t xml:space="preserve"> </w:t>
            </w:r>
            <w:r>
              <w:rPr>
                <w:sz w:val="18"/>
              </w:rPr>
              <w:t>qualification standards.</w:t>
            </w:r>
          </w:p>
        </w:tc>
      </w:tr>
      <w:tr w:rsidR="00A56FE9">
        <w:trPr>
          <w:trHeight w:val="414"/>
        </w:trPr>
        <w:tc>
          <w:tcPr>
            <w:tcW w:w="2132" w:type="dxa"/>
            <w:vMerge/>
            <w:tcBorders>
              <w:top w:val="nil"/>
            </w:tcBorders>
            <w:shd w:val="clear" w:color="auto" w:fill="F1F1F1"/>
          </w:tcPr>
          <w:p w:rsidR="00A56FE9" w:rsidRDefault="00A56FE9">
            <w:pPr>
              <w:rPr>
                <w:sz w:val="2"/>
                <w:szCs w:val="2"/>
              </w:rPr>
            </w:pPr>
          </w:p>
        </w:tc>
        <w:tc>
          <w:tcPr>
            <w:tcW w:w="3352" w:type="dxa"/>
          </w:tcPr>
          <w:p w:rsidR="00A56FE9" w:rsidRDefault="00000000">
            <w:pPr>
              <w:pStyle w:val="TableParagraph"/>
              <w:spacing w:line="202" w:lineRule="exact"/>
              <w:ind w:left="100"/>
              <w:rPr>
                <w:sz w:val="18"/>
              </w:rPr>
            </w:pPr>
            <w:r>
              <w:rPr>
                <w:sz w:val="18"/>
              </w:rPr>
              <w:t>Development</w:t>
            </w:r>
            <w:r>
              <w:rPr>
                <w:spacing w:val="-3"/>
                <w:sz w:val="18"/>
              </w:rPr>
              <w:t xml:space="preserve"> </w:t>
            </w:r>
            <w:r>
              <w:rPr>
                <w:sz w:val="18"/>
              </w:rPr>
              <w:t>of</w:t>
            </w:r>
            <w:r>
              <w:rPr>
                <w:spacing w:val="-4"/>
                <w:sz w:val="18"/>
              </w:rPr>
              <w:t xml:space="preserve"> </w:t>
            </w:r>
            <w:r>
              <w:rPr>
                <w:sz w:val="18"/>
              </w:rPr>
              <w:t>formal</w:t>
            </w:r>
            <w:r>
              <w:rPr>
                <w:spacing w:val="-3"/>
                <w:sz w:val="18"/>
              </w:rPr>
              <w:t xml:space="preserve"> </w:t>
            </w:r>
            <w:r>
              <w:rPr>
                <w:sz w:val="18"/>
              </w:rPr>
              <w:t>adult</w:t>
            </w:r>
            <w:r>
              <w:rPr>
                <w:spacing w:val="-3"/>
                <w:sz w:val="18"/>
              </w:rPr>
              <w:t xml:space="preserve"> </w:t>
            </w:r>
            <w:r>
              <w:rPr>
                <w:sz w:val="18"/>
              </w:rPr>
              <w:t>education</w:t>
            </w:r>
          </w:p>
          <w:p w:rsidR="00A56FE9" w:rsidRDefault="00000000">
            <w:pPr>
              <w:pStyle w:val="TableParagraph"/>
              <w:spacing w:line="193" w:lineRule="exact"/>
              <w:ind w:left="100"/>
              <w:rPr>
                <w:sz w:val="18"/>
              </w:rPr>
            </w:pPr>
            <w:r>
              <w:rPr>
                <w:sz w:val="18"/>
              </w:rPr>
              <w:t>programs</w:t>
            </w:r>
            <w:r>
              <w:rPr>
                <w:spacing w:val="-4"/>
                <w:sz w:val="18"/>
              </w:rPr>
              <w:t xml:space="preserve"> </w:t>
            </w:r>
            <w:r>
              <w:rPr>
                <w:sz w:val="18"/>
              </w:rPr>
              <w:t>harmonised</w:t>
            </w:r>
            <w:r>
              <w:rPr>
                <w:spacing w:val="-2"/>
                <w:sz w:val="18"/>
              </w:rPr>
              <w:t xml:space="preserve"> </w:t>
            </w:r>
            <w:r>
              <w:rPr>
                <w:sz w:val="18"/>
              </w:rPr>
              <w:t>with</w:t>
            </w:r>
            <w:r>
              <w:rPr>
                <w:spacing w:val="-2"/>
                <w:sz w:val="18"/>
              </w:rPr>
              <w:t xml:space="preserve"> </w:t>
            </w:r>
            <w:r>
              <w:rPr>
                <w:sz w:val="18"/>
              </w:rPr>
              <w:t>the</w:t>
            </w:r>
            <w:r>
              <w:rPr>
                <w:spacing w:val="-4"/>
                <w:sz w:val="18"/>
              </w:rPr>
              <w:t xml:space="preserve"> </w:t>
            </w:r>
            <w:r>
              <w:rPr>
                <w:sz w:val="18"/>
              </w:rPr>
              <w:t>CROQF</w:t>
            </w:r>
          </w:p>
        </w:tc>
        <w:tc>
          <w:tcPr>
            <w:tcW w:w="9055" w:type="dxa"/>
          </w:tcPr>
          <w:p w:rsidR="00A56FE9" w:rsidRDefault="00000000">
            <w:pPr>
              <w:pStyle w:val="TableParagraph"/>
              <w:spacing w:line="202" w:lineRule="exact"/>
              <w:ind w:left="106"/>
              <w:rPr>
                <w:sz w:val="18"/>
              </w:rPr>
            </w:pPr>
            <w:r>
              <w:rPr>
                <w:sz w:val="18"/>
              </w:rPr>
              <w:t>To</w:t>
            </w:r>
            <w:r>
              <w:rPr>
                <w:spacing w:val="-2"/>
                <w:sz w:val="18"/>
              </w:rPr>
              <w:t xml:space="preserve"> </w:t>
            </w:r>
            <w:r>
              <w:rPr>
                <w:sz w:val="18"/>
              </w:rPr>
              <w:t>fully</w:t>
            </w:r>
            <w:r>
              <w:rPr>
                <w:spacing w:val="-6"/>
                <w:sz w:val="18"/>
              </w:rPr>
              <w:t xml:space="preserve"> </w:t>
            </w:r>
            <w:r>
              <w:rPr>
                <w:sz w:val="18"/>
              </w:rPr>
              <w:t>harmonise</w:t>
            </w:r>
            <w:r>
              <w:rPr>
                <w:spacing w:val="-3"/>
                <w:sz w:val="18"/>
              </w:rPr>
              <w:t xml:space="preserve"> </w:t>
            </w:r>
            <w:r>
              <w:rPr>
                <w:sz w:val="18"/>
              </w:rPr>
              <w:t>formal</w:t>
            </w:r>
            <w:r>
              <w:rPr>
                <w:spacing w:val="-2"/>
                <w:sz w:val="18"/>
              </w:rPr>
              <w:t xml:space="preserve"> </w:t>
            </w:r>
            <w:r>
              <w:rPr>
                <w:sz w:val="18"/>
              </w:rPr>
              <w:t>adult</w:t>
            </w:r>
            <w:r>
              <w:rPr>
                <w:spacing w:val="-2"/>
                <w:sz w:val="18"/>
              </w:rPr>
              <w:t xml:space="preserve"> </w:t>
            </w:r>
            <w:r>
              <w:rPr>
                <w:sz w:val="18"/>
              </w:rPr>
              <w:t>education</w:t>
            </w:r>
            <w:r>
              <w:rPr>
                <w:spacing w:val="-2"/>
                <w:sz w:val="18"/>
              </w:rPr>
              <w:t xml:space="preserve"> </w:t>
            </w:r>
            <w:r>
              <w:rPr>
                <w:sz w:val="18"/>
              </w:rPr>
              <w:t>programs with</w:t>
            </w:r>
            <w:r>
              <w:rPr>
                <w:spacing w:val="-1"/>
                <w:sz w:val="18"/>
              </w:rPr>
              <w:t xml:space="preserve"> </w:t>
            </w:r>
            <w:r>
              <w:rPr>
                <w:sz w:val="18"/>
              </w:rPr>
              <w:t>the</w:t>
            </w:r>
            <w:r>
              <w:rPr>
                <w:spacing w:val="-4"/>
                <w:sz w:val="18"/>
              </w:rPr>
              <w:t xml:space="preserve"> </w:t>
            </w:r>
            <w:r>
              <w:rPr>
                <w:sz w:val="18"/>
              </w:rPr>
              <w:t>Croatian</w:t>
            </w:r>
            <w:r>
              <w:rPr>
                <w:spacing w:val="-1"/>
                <w:sz w:val="18"/>
              </w:rPr>
              <w:t xml:space="preserve"> </w:t>
            </w:r>
            <w:r>
              <w:rPr>
                <w:sz w:val="18"/>
              </w:rPr>
              <w:t>Qualifications</w:t>
            </w:r>
            <w:r>
              <w:rPr>
                <w:spacing w:val="-2"/>
                <w:sz w:val="18"/>
              </w:rPr>
              <w:t xml:space="preserve"> </w:t>
            </w:r>
            <w:r>
              <w:rPr>
                <w:sz w:val="18"/>
              </w:rPr>
              <w:t>Framework,</w:t>
            </w:r>
            <w:r>
              <w:rPr>
                <w:spacing w:val="-2"/>
                <w:sz w:val="18"/>
              </w:rPr>
              <w:t xml:space="preserve"> </w:t>
            </w:r>
            <w:r>
              <w:rPr>
                <w:sz w:val="18"/>
              </w:rPr>
              <w:t>thus</w:t>
            </w:r>
            <w:r>
              <w:rPr>
                <w:spacing w:val="-3"/>
                <w:sz w:val="18"/>
              </w:rPr>
              <w:t xml:space="preserve"> </w:t>
            </w:r>
            <w:r>
              <w:rPr>
                <w:sz w:val="18"/>
              </w:rPr>
              <w:t>increasing</w:t>
            </w:r>
            <w:r>
              <w:rPr>
                <w:spacing w:val="-3"/>
                <w:sz w:val="18"/>
              </w:rPr>
              <w:t xml:space="preserve"> </w:t>
            </w:r>
            <w:r>
              <w:rPr>
                <w:sz w:val="18"/>
              </w:rPr>
              <w:t>the</w:t>
            </w:r>
          </w:p>
          <w:p w:rsidR="00A56FE9" w:rsidRDefault="00000000">
            <w:pPr>
              <w:pStyle w:val="TableParagraph"/>
              <w:spacing w:line="193" w:lineRule="exact"/>
              <w:ind w:left="106"/>
              <w:rPr>
                <w:sz w:val="18"/>
              </w:rPr>
            </w:pPr>
            <w:r>
              <w:rPr>
                <w:sz w:val="18"/>
              </w:rPr>
              <w:t>quality</w:t>
            </w:r>
            <w:r>
              <w:rPr>
                <w:spacing w:val="-4"/>
                <w:sz w:val="18"/>
              </w:rPr>
              <w:t xml:space="preserve"> </w:t>
            </w:r>
            <w:r>
              <w:rPr>
                <w:sz w:val="18"/>
              </w:rPr>
              <w:t>of</w:t>
            </w:r>
            <w:r>
              <w:rPr>
                <w:spacing w:val="-2"/>
                <w:sz w:val="18"/>
              </w:rPr>
              <w:t xml:space="preserve"> </w:t>
            </w:r>
            <w:r>
              <w:rPr>
                <w:sz w:val="18"/>
              </w:rPr>
              <w:t>programs and their</w:t>
            </w:r>
            <w:r>
              <w:rPr>
                <w:spacing w:val="-2"/>
                <w:sz w:val="18"/>
              </w:rPr>
              <w:t xml:space="preserve"> </w:t>
            </w:r>
            <w:r>
              <w:rPr>
                <w:sz w:val="18"/>
              </w:rPr>
              <w:t>implementation.</w:t>
            </w:r>
          </w:p>
        </w:tc>
      </w:tr>
      <w:tr w:rsidR="00A56FE9">
        <w:trPr>
          <w:trHeight w:val="827"/>
        </w:trPr>
        <w:tc>
          <w:tcPr>
            <w:tcW w:w="2132" w:type="dxa"/>
            <w:vMerge/>
            <w:tcBorders>
              <w:top w:val="nil"/>
            </w:tcBorders>
            <w:shd w:val="clear" w:color="auto" w:fill="F1F1F1"/>
          </w:tcPr>
          <w:p w:rsidR="00A56FE9" w:rsidRDefault="00A56FE9">
            <w:pPr>
              <w:rPr>
                <w:sz w:val="2"/>
                <w:szCs w:val="2"/>
              </w:rPr>
            </w:pPr>
          </w:p>
        </w:tc>
        <w:tc>
          <w:tcPr>
            <w:tcW w:w="3352" w:type="dxa"/>
          </w:tcPr>
          <w:p w:rsidR="00A56FE9" w:rsidRDefault="00000000">
            <w:pPr>
              <w:pStyle w:val="TableParagraph"/>
              <w:ind w:left="100" w:right="117"/>
              <w:rPr>
                <w:sz w:val="18"/>
              </w:rPr>
            </w:pPr>
            <w:r>
              <w:rPr>
                <w:sz w:val="18"/>
              </w:rPr>
              <w:t>Awarding</w:t>
            </w:r>
            <w:r>
              <w:rPr>
                <w:spacing w:val="-5"/>
                <w:sz w:val="18"/>
              </w:rPr>
              <w:t xml:space="preserve"> </w:t>
            </w:r>
            <w:r>
              <w:rPr>
                <w:sz w:val="18"/>
              </w:rPr>
              <w:t>scholarships</w:t>
            </w:r>
            <w:r>
              <w:rPr>
                <w:spacing w:val="-3"/>
                <w:sz w:val="18"/>
              </w:rPr>
              <w:t xml:space="preserve"> </w:t>
            </w:r>
            <w:r>
              <w:rPr>
                <w:sz w:val="18"/>
              </w:rPr>
              <w:t>to</w:t>
            </w:r>
            <w:r>
              <w:rPr>
                <w:spacing w:val="-4"/>
                <w:sz w:val="18"/>
              </w:rPr>
              <w:t xml:space="preserve"> </w:t>
            </w:r>
            <w:r>
              <w:rPr>
                <w:sz w:val="18"/>
              </w:rPr>
              <w:t>students</w:t>
            </w:r>
            <w:r>
              <w:rPr>
                <w:spacing w:val="-3"/>
                <w:sz w:val="18"/>
              </w:rPr>
              <w:t xml:space="preserve"> </w:t>
            </w:r>
            <w:r>
              <w:rPr>
                <w:sz w:val="18"/>
              </w:rPr>
              <w:t>of</w:t>
            </w:r>
            <w:r>
              <w:rPr>
                <w:spacing w:val="-5"/>
                <w:sz w:val="18"/>
              </w:rPr>
              <w:t xml:space="preserve"> </w:t>
            </w:r>
            <w:r>
              <w:rPr>
                <w:sz w:val="18"/>
              </w:rPr>
              <w:t>lower</w:t>
            </w:r>
            <w:r>
              <w:rPr>
                <w:spacing w:val="-42"/>
                <w:sz w:val="18"/>
              </w:rPr>
              <w:t xml:space="preserve"> </w:t>
            </w:r>
            <w:r>
              <w:rPr>
                <w:sz w:val="18"/>
              </w:rPr>
              <w:t>socioeconomic</w:t>
            </w:r>
            <w:r>
              <w:rPr>
                <w:spacing w:val="-1"/>
                <w:sz w:val="18"/>
              </w:rPr>
              <w:t xml:space="preserve"> </w:t>
            </w:r>
            <w:r>
              <w:rPr>
                <w:sz w:val="18"/>
              </w:rPr>
              <w:t>status</w:t>
            </w:r>
          </w:p>
        </w:tc>
        <w:tc>
          <w:tcPr>
            <w:tcW w:w="9055" w:type="dxa"/>
          </w:tcPr>
          <w:p w:rsidR="00A56FE9" w:rsidRDefault="00000000">
            <w:pPr>
              <w:pStyle w:val="TableParagraph"/>
              <w:ind w:left="106" w:right="152"/>
              <w:rPr>
                <w:sz w:val="18"/>
              </w:rPr>
            </w:pPr>
            <w:r>
              <w:rPr>
                <w:sz w:val="18"/>
              </w:rPr>
              <w:t>Scholarships for Students of Lower Socio-Economic Status aim to increase the availability of higher education, improve</w:t>
            </w:r>
            <w:r>
              <w:rPr>
                <w:spacing w:val="1"/>
                <w:sz w:val="18"/>
              </w:rPr>
              <w:t xml:space="preserve"> </w:t>
            </w:r>
            <w:r>
              <w:rPr>
                <w:sz w:val="18"/>
              </w:rPr>
              <w:t>the</w:t>
            </w:r>
            <w:r>
              <w:rPr>
                <w:spacing w:val="-2"/>
                <w:sz w:val="18"/>
              </w:rPr>
              <w:t xml:space="preserve"> </w:t>
            </w:r>
            <w:r>
              <w:rPr>
                <w:sz w:val="18"/>
              </w:rPr>
              <w:t>social dimension of</w:t>
            </w:r>
            <w:r>
              <w:rPr>
                <w:spacing w:val="-2"/>
                <w:sz w:val="18"/>
              </w:rPr>
              <w:t xml:space="preserve"> </w:t>
            </w:r>
            <w:r>
              <w:rPr>
                <w:sz w:val="18"/>
              </w:rPr>
              <w:t>higher</w:t>
            </w:r>
            <w:r>
              <w:rPr>
                <w:spacing w:val="-1"/>
                <w:sz w:val="18"/>
              </w:rPr>
              <w:t xml:space="preserve"> </w:t>
            </w:r>
            <w:r>
              <w:rPr>
                <w:sz w:val="18"/>
              </w:rPr>
              <w:t>education</w:t>
            </w:r>
            <w:r>
              <w:rPr>
                <w:spacing w:val="1"/>
                <w:sz w:val="18"/>
              </w:rPr>
              <w:t xml:space="preserve"> </w:t>
            </w:r>
            <w:r>
              <w:rPr>
                <w:sz w:val="18"/>
              </w:rPr>
              <w:t>and</w:t>
            </w:r>
            <w:r>
              <w:rPr>
                <w:spacing w:val="-2"/>
                <w:sz w:val="18"/>
              </w:rPr>
              <w:t xml:space="preserve"> </w:t>
            </w:r>
            <w:r>
              <w:rPr>
                <w:sz w:val="18"/>
              </w:rPr>
              <w:t>increase</w:t>
            </w:r>
            <w:r>
              <w:rPr>
                <w:spacing w:val="-1"/>
                <w:sz w:val="18"/>
              </w:rPr>
              <w:t xml:space="preserve"> </w:t>
            </w:r>
            <w:r>
              <w:rPr>
                <w:sz w:val="18"/>
              </w:rPr>
              <w:t>the</w:t>
            </w:r>
            <w:r>
              <w:rPr>
                <w:spacing w:val="-2"/>
                <w:sz w:val="18"/>
              </w:rPr>
              <w:t xml:space="preserve"> </w:t>
            </w:r>
            <w:r>
              <w:rPr>
                <w:sz w:val="18"/>
              </w:rPr>
              <w:t>completion</w:t>
            </w:r>
            <w:r>
              <w:rPr>
                <w:spacing w:val="1"/>
                <w:sz w:val="18"/>
              </w:rPr>
              <w:t xml:space="preserve"> </w:t>
            </w:r>
            <w:r>
              <w:rPr>
                <w:sz w:val="18"/>
              </w:rPr>
              <w:t>rate</w:t>
            </w:r>
            <w:r>
              <w:rPr>
                <w:spacing w:val="-1"/>
                <w:sz w:val="18"/>
              </w:rPr>
              <w:t xml:space="preserve"> </w:t>
            </w:r>
            <w:r>
              <w:rPr>
                <w:sz w:val="18"/>
              </w:rPr>
              <w:t>in</w:t>
            </w:r>
            <w:r>
              <w:rPr>
                <w:spacing w:val="1"/>
                <w:sz w:val="18"/>
              </w:rPr>
              <w:t xml:space="preserve"> </w:t>
            </w:r>
            <w:r>
              <w:rPr>
                <w:sz w:val="18"/>
              </w:rPr>
              <w:t>higher</w:t>
            </w:r>
            <w:r>
              <w:rPr>
                <w:spacing w:val="-1"/>
                <w:sz w:val="18"/>
              </w:rPr>
              <w:t xml:space="preserve"> </w:t>
            </w:r>
            <w:r>
              <w:rPr>
                <w:sz w:val="18"/>
              </w:rPr>
              <w:t>education</w:t>
            </w:r>
            <w:r>
              <w:rPr>
                <w:spacing w:val="-1"/>
                <w:sz w:val="18"/>
              </w:rPr>
              <w:t xml:space="preserve"> </w:t>
            </w:r>
            <w:r>
              <w:rPr>
                <w:sz w:val="18"/>
              </w:rPr>
              <w:t>by</w:t>
            </w:r>
            <w:r>
              <w:rPr>
                <w:spacing w:val="-5"/>
                <w:sz w:val="18"/>
              </w:rPr>
              <w:t xml:space="preserve"> </w:t>
            </w:r>
            <w:r>
              <w:rPr>
                <w:sz w:val="18"/>
              </w:rPr>
              <w:t>providing</w:t>
            </w:r>
            <w:r>
              <w:rPr>
                <w:spacing w:val="-1"/>
                <w:sz w:val="18"/>
              </w:rPr>
              <w:t xml:space="preserve"> </w:t>
            </w:r>
            <w:r>
              <w:rPr>
                <w:sz w:val="18"/>
              </w:rPr>
              <w:t>state</w:t>
            </w:r>
          </w:p>
          <w:p w:rsidR="00A56FE9" w:rsidRDefault="00000000">
            <w:pPr>
              <w:pStyle w:val="TableParagraph"/>
              <w:spacing w:line="206" w:lineRule="exact"/>
              <w:ind w:left="106"/>
              <w:rPr>
                <w:sz w:val="18"/>
              </w:rPr>
            </w:pPr>
            <w:r>
              <w:rPr>
                <w:sz w:val="18"/>
              </w:rPr>
              <w:t>scholarships</w:t>
            </w:r>
            <w:r>
              <w:rPr>
                <w:spacing w:val="-2"/>
                <w:sz w:val="18"/>
              </w:rPr>
              <w:t xml:space="preserve"> </w:t>
            </w:r>
            <w:r>
              <w:rPr>
                <w:sz w:val="18"/>
              </w:rPr>
              <w:t>for</w:t>
            </w:r>
            <w:r>
              <w:rPr>
                <w:spacing w:val="-1"/>
                <w:sz w:val="18"/>
              </w:rPr>
              <w:t xml:space="preserve"> </w:t>
            </w:r>
            <w:r>
              <w:rPr>
                <w:sz w:val="18"/>
              </w:rPr>
              <w:t>students</w:t>
            </w:r>
            <w:r>
              <w:rPr>
                <w:spacing w:val="-1"/>
                <w:sz w:val="18"/>
              </w:rPr>
              <w:t xml:space="preserve"> </w:t>
            </w:r>
            <w:r>
              <w:rPr>
                <w:sz w:val="18"/>
              </w:rPr>
              <w:t>of</w:t>
            </w:r>
            <w:r>
              <w:rPr>
                <w:spacing w:val="-4"/>
                <w:sz w:val="18"/>
              </w:rPr>
              <w:t xml:space="preserve"> </w:t>
            </w:r>
            <w:r>
              <w:rPr>
                <w:sz w:val="18"/>
              </w:rPr>
              <w:t>lower</w:t>
            </w:r>
            <w:r>
              <w:rPr>
                <w:spacing w:val="-1"/>
                <w:sz w:val="18"/>
              </w:rPr>
              <w:t xml:space="preserve"> </w:t>
            </w:r>
            <w:r>
              <w:rPr>
                <w:sz w:val="18"/>
              </w:rPr>
              <w:t>socioeconomic</w:t>
            </w:r>
            <w:r>
              <w:rPr>
                <w:spacing w:val="-1"/>
                <w:sz w:val="18"/>
              </w:rPr>
              <w:t xml:space="preserve"> </w:t>
            </w:r>
            <w:r>
              <w:rPr>
                <w:sz w:val="18"/>
              </w:rPr>
              <w:t>status.</w:t>
            </w:r>
            <w:r>
              <w:rPr>
                <w:spacing w:val="-2"/>
                <w:sz w:val="18"/>
              </w:rPr>
              <w:t xml:space="preserve"> </w:t>
            </w:r>
            <w:r>
              <w:rPr>
                <w:sz w:val="18"/>
              </w:rPr>
              <w:t>The</w:t>
            </w:r>
            <w:r>
              <w:rPr>
                <w:spacing w:val="-2"/>
                <w:sz w:val="18"/>
              </w:rPr>
              <w:t xml:space="preserve"> </w:t>
            </w:r>
            <w:r>
              <w:rPr>
                <w:sz w:val="18"/>
              </w:rPr>
              <w:t>project</w:t>
            </w:r>
            <w:r>
              <w:rPr>
                <w:spacing w:val="-1"/>
                <w:sz w:val="18"/>
              </w:rPr>
              <w:t xml:space="preserve"> </w:t>
            </w:r>
            <w:r>
              <w:rPr>
                <w:sz w:val="18"/>
              </w:rPr>
              <w:t>annually</w:t>
            </w:r>
            <w:r>
              <w:rPr>
                <w:spacing w:val="-5"/>
                <w:sz w:val="18"/>
              </w:rPr>
              <w:t xml:space="preserve"> </w:t>
            </w:r>
            <w:r>
              <w:rPr>
                <w:sz w:val="18"/>
              </w:rPr>
              <w:t>awards</w:t>
            </w:r>
            <w:r>
              <w:rPr>
                <w:spacing w:val="-2"/>
                <w:sz w:val="18"/>
              </w:rPr>
              <w:t xml:space="preserve"> </w:t>
            </w:r>
            <w:r>
              <w:rPr>
                <w:sz w:val="18"/>
              </w:rPr>
              <w:t>10,000 grants</w:t>
            </w:r>
            <w:r>
              <w:rPr>
                <w:spacing w:val="-3"/>
                <w:sz w:val="18"/>
              </w:rPr>
              <w:t xml:space="preserve"> </w:t>
            </w:r>
            <w:r>
              <w:rPr>
                <w:sz w:val="18"/>
              </w:rPr>
              <w:t>directly</w:t>
            </w:r>
            <w:r>
              <w:rPr>
                <w:spacing w:val="-5"/>
                <w:sz w:val="18"/>
              </w:rPr>
              <w:t xml:space="preserve"> </w:t>
            </w:r>
            <w:r>
              <w:rPr>
                <w:sz w:val="18"/>
              </w:rPr>
              <w:t>to</w:t>
            </w:r>
            <w:r>
              <w:rPr>
                <w:spacing w:val="-1"/>
                <w:sz w:val="18"/>
              </w:rPr>
              <w:t xml:space="preserve"> </w:t>
            </w:r>
            <w:r>
              <w:rPr>
                <w:sz w:val="18"/>
              </w:rPr>
              <w:t>students</w:t>
            </w:r>
            <w:r>
              <w:rPr>
                <w:spacing w:val="-1"/>
                <w:sz w:val="18"/>
              </w:rPr>
              <w:t xml:space="preserve"> </w:t>
            </w:r>
            <w:r>
              <w:rPr>
                <w:sz w:val="18"/>
              </w:rPr>
              <w:t>of</w:t>
            </w:r>
            <w:r>
              <w:rPr>
                <w:spacing w:val="-42"/>
                <w:sz w:val="18"/>
              </w:rPr>
              <w:t xml:space="preserve"> </w:t>
            </w:r>
            <w:r>
              <w:rPr>
                <w:sz w:val="18"/>
              </w:rPr>
              <w:t>lower</w:t>
            </w:r>
            <w:r>
              <w:rPr>
                <w:spacing w:val="-1"/>
                <w:sz w:val="18"/>
              </w:rPr>
              <w:t xml:space="preserve"> </w:t>
            </w:r>
            <w:r>
              <w:rPr>
                <w:sz w:val="18"/>
              </w:rPr>
              <w:t>socioeconomic status.</w:t>
            </w:r>
          </w:p>
        </w:tc>
      </w:tr>
      <w:tr w:rsidR="00A56FE9">
        <w:trPr>
          <w:trHeight w:val="1033"/>
        </w:trPr>
        <w:tc>
          <w:tcPr>
            <w:tcW w:w="2132" w:type="dxa"/>
            <w:vMerge/>
            <w:tcBorders>
              <w:top w:val="nil"/>
            </w:tcBorders>
            <w:shd w:val="clear" w:color="auto" w:fill="F1F1F1"/>
          </w:tcPr>
          <w:p w:rsidR="00A56FE9" w:rsidRDefault="00A56FE9">
            <w:pPr>
              <w:rPr>
                <w:sz w:val="2"/>
                <w:szCs w:val="2"/>
              </w:rPr>
            </w:pPr>
          </w:p>
        </w:tc>
        <w:tc>
          <w:tcPr>
            <w:tcW w:w="3352" w:type="dxa"/>
          </w:tcPr>
          <w:p w:rsidR="00A56FE9" w:rsidRDefault="00000000">
            <w:pPr>
              <w:pStyle w:val="TableParagraph"/>
              <w:ind w:left="100" w:right="580"/>
              <w:rPr>
                <w:sz w:val="18"/>
              </w:rPr>
            </w:pPr>
            <w:r>
              <w:rPr>
                <w:sz w:val="18"/>
              </w:rPr>
              <w:t>Awarding</w:t>
            </w:r>
            <w:r>
              <w:rPr>
                <w:spacing w:val="-5"/>
                <w:sz w:val="18"/>
              </w:rPr>
              <w:t xml:space="preserve"> </w:t>
            </w:r>
            <w:r>
              <w:rPr>
                <w:sz w:val="18"/>
              </w:rPr>
              <w:t>scholarships</w:t>
            </w:r>
            <w:r>
              <w:rPr>
                <w:spacing w:val="-4"/>
                <w:sz w:val="18"/>
              </w:rPr>
              <w:t xml:space="preserve"> </w:t>
            </w:r>
            <w:r>
              <w:rPr>
                <w:sz w:val="18"/>
              </w:rPr>
              <w:t>to</w:t>
            </w:r>
            <w:r>
              <w:rPr>
                <w:spacing w:val="-5"/>
                <w:sz w:val="18"/>
              </w:rPr>
              <w:t xml:space="preserve"> </w:t>
            </w:r>
            <w:r>
              <w:rPr>
                <w:sz w:val="18"/>
              </w:rPr>
              <w:t>students</w:t>
            </w:r>
            <w:r>
              <w:rPr>
                <w:spacing w:val="-4"/>
                <w:sz w:val="18"/>
              </w:rPr>
              <w:t xml:space="preserve"> </w:t>
            </w:r>
            <w:r>
              <w:rPr>
                <w:sz w:val="18"/>
              </w:rPr>
              <w:t>in</w:t>
            </w:r>
            <w:r>
              <w:rPr>
                <w:spacing w:val="-42"/>
                <w:sz w:val="18"/>
              </w:rPr>
              <w:t xml:space="preserve"> </w:t>
            </w:r>
            <w:r>
              <w:rPr>
                <w:sz w:val="18"/>
              </w:rPr>
              <w:t>STEM priority</w:t>
            </w:r>
            <w:r>
              <w:rPr>
                <w:spacing w:val="-4"/>
                <w:sz w:val="18"/>
              </w:rPr>
              <w:t xml:space="preserve"> </w:t>
            </w:r>
            <w:r>
              <w:rPr>
                <w:sz w:val="18"/>
              </w:rPr>
              <w:t>areas</w:t>
            </w:r>
          </w:p>
        </w:tc>
        <w:tc>
          <w:tcPr>
            <w:tcW w:w="9055" w:type="dxa"/>
          </w:tcPr>
          <w:p w:rsidR="00A56FE9" w:rsidRDefault="00000000">
            <w:pPr>
              <w:pStyle w:val="TableParagraph"/>
              <w:ind w:left="106" w:right="412"/>
              <w:rPr>
                <w:sz w:val="18"/>
              </w:rPr>
            </w:pPr>
            <w:r>
              <w:rPr>
                <w:sz w:val="18"/>
              </w:rPr>
              <w:t>The procedure for awarding state scholarships in STEM areas of science is carried out within the project Awarding</w:t>
            </w:r>
            <w:r>
              <w:rPr>
                <w:spacing w:val="1"/>
                <w:sz w:val="18"/>
              </w:rPr>
              <w:t xml:space="preserve"> </w:t>
            </w:r>
            <w:r>
              <w:rPr>
                <w:sz w:val="18"/>
              </w:rPr>
              <w:t>Scholarships</w:t>
            </w:r>
            <w:r>
              <w:rPr>
                <w:spacing w:val="-1"/>
                <w:sz w:val="18"/>
              </w:rPr>
              <w:t xml:space="preserve"> </w:t>
            </w:r>
            <w:r>
              <w:rPr>
                <w:sz w:val="18"/>
              </w:rPr>
              <w:t>to Students</w:t>
            </w:r>
            <w:r>
              <w:rPr>
                <w:spacing w:val="-1"/>
                <w:sz w:val="18"/>
              </w:rPr>
              <w:t xml:space="preserve"> </w:t>
            </w:r>
            <w:r>
              <w:rPr>
                <w:sz w:val="18"/>
              </w:rPr>
              <w:t>in</w:t>
            </w:r>
            <w:r>
              <w:rPr>
                <w:spacing w:val="-5"/>
                <w:sz w:val="18"/>
              </w:rPr>
              <w:t xml:space="preserve"> </w:t>
            </w:r>
            <w:r>
              <w:rPr>
                <w:sz w:val="18"/>
              </w:rPr>
              <w:t>Priority</w:t>
            </w:r>
            <w:r>
              <w:rPr>
                <w:spacing w:val="-1"/>
                <w:sz w:val="18"/>
              </w:rPr>
              <w:t xml:space="preserve"> </w:t>
            </w:r>
            <w:r>
              <w:rPr>
                <w:sz w:val="18"/>
              </w:rPr>
              <w:t>Areas</w:t>
            </w:r>
            <w:r>
              <w:rPr>
                <w:spacing w:val="-1"/>
                <w:sz w:val="18"/>
              </w:rPr>
              <w:t xml:space="preserve"> </w:t>
            </w:r>
            <w:r>
              <w:rPr>
                <w:sz w:val="18"/>
              </w:rPr>
              <w:t>of</w:t>
            </w:r>
            <w:r>
              <w:rPr>
                <w:spacing w:val="-3"/>
                <w:sz w:val="18"/>
              </w:rPr>
              <w:t xml:space="preserve"> </w:t>
            </w:r>
            <w:r>
              <w:rPr>
                <w:sz w:val="18"/>
              </w:rPr>
              <w:t>STEM.</w:t>
            </w:r>
            <w:r>
              <w:rPr>
                <w:spacing w:val="-1"/>
                <w:sz w:val="18"/>
              </w:rPr>
              <w:t xml:space="preserve"> </w:t>
            </w:r>
            <w:r>
              <w:rPr>
                <w:sz w:val="18"/>
              </w:rPr>
              <w:t>The</w:t>
            </w:r>
            <w:r>
              <w:rPr>
                <w:spacing w:val="-2"/>
                <w:sz w:val="18"/>
              </w:rPr>
              <w:t xml:space="preserve"> </w:t>
            </w:r>
            <w:r>
              <w:rPr>
                <w:sz w:val="18"/>
              </w:rPr>
              <w:t>goal of</w:t>
            </w:r>
            <w:r>
              <w:rPr>
                <w:spacing w:val="-3"/>
                <w:sz w:val="18"/>
              </w:rPr>
              <w:t xml:space="preserve"> </w:t>
            </w:r>
            <w:r>
              <w:rPr>
                <w:sz w:val="18"/>
              </w:rPr>
              <w:t>the</w:t>
            </w:r>
            <w:r>
              <w:rPr>
                <w:spacing w:val="-2"/>
                <w:sz w:val="18"/>
              </w:rPr>
              <w:t xml:space="preserve"> </w:t>
            </w:r>
            <w:r>
              <w:rPr>
                <w:sz w:val="18"/>
              </w:rPr>
              <w:t>annual</w:t>
            </w:r>
            <w:r>
              <w:rPr>
                <w:spacing w:val="-1"/>
                <w:sz w:val="18"/>
              </w:rPr>
              <w:t xml:space="preserve"> </w:t>
            </w:r>
            <w:r>
              <w:rPr>
                <w:sz w:val="18"/>
              </w:rPr>
              <w:t>award of</w:t>
            </w:r>
            <w:r>
              <w:rPr>
                <w:spacing w:val="-2"/>
                <w:sz w:val="18"/>
              </w:rPr>
              <w:t xml:space="preserve"> </w:t>
            </w:r>
            <w:r>
              <w:rPr>
                <w:sz w:val="18"/>
              </w:rPr>
              <w:t>3,400</w:t>
            </w:r>
            <w:r>
              <w:rPr>
                <w:spacing w:val="-2"/>
                <w:sz w:val="18"/>
              </w:rPr>
              <w:t xml:space="preserve"> </w:t>
            </w:r>
            <w:r>
              <w:rPr>
                <w:sz w:val="18"/>
              </w:rPr>
              <w:t>scholarships</w:t>
            </w:r>
            <w:r>
              <w:rPr>
                <w:spacing w:val="-1"/>
                <w:sz w:val="18"/>
              </w:rPr>
              <w:t xml:space="preserve"> </w:t>
            </w:r>
            <w:r>
              <w:rPr>
                <w:sz w:val="18"/>
              </w:rPr>
              <w:t>is</w:t>
            </w:r>
            <w:r>
              <w:rPr>
                <w:spacing w:val="-3"/>
                <w:sz w:val="18"/>
              </w:rPr>
              <w:t xml:space="preserve"> </w:t>
            </w:r>
            <w:r>
              <w:rPr>
                <w:sz w:val="18"/>
              </w:rPr>
              <w:t>to focus</w:t>
            </w:r>
            <w:r>
              <w:rPr>
                <w:spacing w:val="-3"/>
                <w:sz w:val="18"/>
              </w:rPr>
              <w:t xml:space="preserve"> </w:t>
            </w:r>
            <w:r>
              <w:rPr>
                <w:sz w:val="18"/>
              </w:rPr>
              <w:t>on</w:t>
            </w:r>
            <w:r>
              <w:rPr>
                <w:spacing w:val="-42"/>
                <w:sz w:val="18"/>
              </w:rPr>
              <w:t xml:space="preserve"> </w:t>
            </w:r>
            <w:r>
              <w:rPr>
                <w:sz w:val="18"/>
              </w:rPr>
              <w:t>study</w:t>
            </w:r>
            <w:r>
              <w:rPr>
                <w:spacing w:val="-5"/>
                <w:sz w:val="18"/>
              </w:rPr>
              <w:t xml:space="preserve"> </w:t>
            </w:r>
            <w:r>
              <w:rPr>
                <w:sz w:val="18"/>
              </w:rPr>
              <w:t>programs</w:t>
            </w:r>
            <w:r>
              <w:rPr>
                <w:spacing w:val="-1"/>
                <w:sz w:val="18"/>
              </w:rPr>
              <w:t xml:space="preserve"> </w:t>
            </w:r>
            <w:r>
              <w:rPr>
                <w:sz w:val="18"/>
              </w:rPr>
              <w:t>that have</w:t>
            </w:r>
            <w:r>
              <w:rPr>
                <w:spacing w:val="-2"/>
                <w:sz w:val="18"/>
              </w:rPr>
              <w:t xml:space="preserve"> </w:t>
            </w:r>
            <w:r>
              <w:rPr>
                <w:sz w:val="18"/>
              </w:rPr>
              <w:t>the</w:t>
            </w:r>
            <w:r>
              <w:rPr>
                <w:spacing w:val="-1"/>
                <w:sz w:val="18"/>
              </w:rPr>
              <w:t xml:space="preserve"> </w:t>
            </w:r>
            <w:r>
              <w:rPr>
                <w:sz w:val="18"/>
              </w:rPr>
              <w:t>greatest</w:t>
            </w:r>
            <w:r>
              <w:rPr>
                <w:spacing w:val="-1"/>
                <w:sz w:val="18"/>
              </w:rPr>
              <w:t xml:space="preserve"> </w:t>
            </w:r>
            <w:r>
              <w:rPr>
                <w:sz w:val="18"/>
              </w:rPr>
              <w:t>prospects</w:t>
            </w:r>
            <w:r>
              <w:rPr>
                <w:spacing w:val="-3"/>
                <w:sz w:val="18"/>
              </w:rPr>
              <w:t xml:space="preserve"> </w:t>
            </w:r>
            <w:r>
              <w:rPr>
                <w:sz w:val="18"/>
              </w:rPr>
              <w:t>of</w:t>
            </w:r>
            <w:r>
              <w:rPr>
                <w:spacing w:val="-2"/>
                <w:sz w:val="18"/>
              </w:rPr>
              <w:t xml:space="preserve"> </w:t>
            </w:r>
            <w:r>
              <w:rPr>
                <w:sz w:val="18"/>
              </w:rPr>
              <w:t>generating</w:t>
            </w:r>
            <w:r>
              <w:rPr>
                <w:spacing w:val="-2"/>
                <w:sz w:val="18"/>
              </w:rPr>
              <w:t xml:space="preserve"> </w:t>
            </w:r>
            <w:r>
              <w:rPr>
                <w:sz w:val="18"/>
              </w:rPr>
              <w:t>economic</w:t>
            </w:r>
            <w:r>
              <w:rPr>
                <w:spacing w:val="1"/>
                <w:sz w:val="18"/>
              </w:rPr>
              <w:t xml:space="preserve"> </w:t>
            </w:r>
            <w:r>
              <w:rPr>
                <w:sz w:val="18"/>
              </w:rPr>
              <w:t>growth</w:t>
            </w:r>
            <w:r>
              <w:rPr>
                <w:spacing w:val="1"/>
                <w:sz w:val="18"/>
              </w:rPr>
              <w:t xml:space="preserve"> </w:t>
            </w:r>
            <w:r>
              <w:rPr>
                <w:sz w:val="18"/>
              </w:rPr>
              <w:t>in the</w:t>
            </w:r>
            <w:r>
              <w:rPr>
                <w:spacing w:val="-1"/>
                <w:sz w:val="18"/>
              </w:rPr>
              <w:t xml:space="preserve"> </w:t>
            </w:r>
            <w:r>
              <w:rPr>
                <w:sz w:val="18"/>
              </w:rPr>
              <w:t>Republic</w:t>
            </w:r>
            <w:r>
              <w:rPr>
                <w:spacing w:val="-1"/>
                <w:sz w:val="18"/>
              </w:rPr>
              <w:t xml:space="preserve"> </w:t>
            </w:r>
            <w:r>
              <w:rPr>
                <w:sz w:val="18"/>
              </w:rPr>
              <w:t>of</w:t>
            </w:r>
            <w:r>
              <w:rPr>
                <w:spacing w:val="-3"/>
                <w:sz w:val="18"/>
              </w:rPr>
              <w:t xml:space="preserve"> </w:t>
            </w:r>
            <w:r>
              <w:rPr>
                <w:sz w:val="18"/>
              </w:rPr>
              <w:t>Croatia</w:t>
            </w:r>
            <w:r>
              <w:rPr>
                <w:spacing w:val="-1"/>
                <w:sz w:val="18"/>
              </w:rPr>
              <w:t xml:space="preserve"> </w:t>
            </w:r>
            <w:r>
              <w:rPr>
                <w:sz w:val="18"/>
              </w:rPr>
              <w:t>while</w:t>
            </w:r>
          </w:p>
          <w:p w:rsidR="00A56FE9" w:rsidRDefault="00000000">
            <w:pPr>
              <w:pStyle w:val="TableParagraph"/>
              <w:spacing w:line="206" w:lineRule="exact"/>
              <w:ind w:left="106"/>
              <w:rPr>
                <w:sz w:val="18"/>
              </w:rPr>
            </w:pPr>
            <w:r>
              <w:rPr>
                <w:sz w:val="18"/>
              </w:rPr>
              <w:t>encouraging structural harmonisation of education and qualifications with labour market needs and employment of</w:t>
            </w:r>
            <w:r>
              <w:rPr>
                <w:spacing w:val="1"/>
                <w:sz w:val="18"/>
              </w:rPr>
              <w:t xml:space="preserve"> </w:t>
            </w:r>
            <w:r>
              <w:rPr>
                <w:sz w:val="18"/>
              </w:rPr>
              <w:t>graduates,</w:t>
            </w:r>
            <w:r>
              <w:rPr>
                <w:spacing w:val="-1"/>
                <w:sz w:val="18"/>
              </w:rPr>
              <w:t xml:space="preserve"> </w:t>
            </w:r>
            <w:r>
              <w:rPr>
                <w:sz w:val="18"/>
              </w:rPr>
              <w:t>in the</w:t>
            </w:r>
            <w:r>
              <w:rPr>
                <w:spacing w:val="-2"/>
                <w:sz w:val="18"/>
              </w:rPr>
              <w:t xml:space="preserve"> </w:t>
            </w:r>
            <w:r>
              <w:rPr>
                <w:sz w:val="18"/>
              </w:rPr>
              <w:t>continuation of</w:t>
            </w:r>
            <w:r>
              <w:rPr>
                <w:spacing w:val="-6"/>
                <w:sz w:val="18"/>
              </w:rPr>
              <w:t xml:space="preserve"> </w:t>
            </w:r>
            <w:r>
              <w:rPr>
                <w:sz w:val="18"/>
              </w:rPr>
              <w:t>dominance</w:t>
            </w:r>
            <w:r>
              <w:rPr>
                <w:spacing w:val="-2"/>
                <w:sz w:val="18"/>
              </w:rPr>
              <w:t xml:space="preserve"> </w:t>
            </w:r>
            <w:r>
              <w:rPr>
                <w:sz w:val="18"/>
              </w:rPr>
              <w:t>of</w:t>
            </w:r>
            <w:r>
              <w:rPr>
                <w:spacing w:val="-3"/>
                <w:sz w:val="18"/>
              </w:rPr>
              <w:t xml:space="preserve"> </w:t>
            </w:r>
            <w:r>
              <w:rPr>
                <w:sz w:val="18"/>
              </w:rPr>
              <w:t>study</w:t>
            </w:r>
            <w:r>
              <w:rPr>
                <w:spacing w:val="-4"/>
                <w:sz w:val="18"/>
              </w:rPr>
              <w:t xml:space="preserve"> </w:t>
            </w:r>
            <w:r>
              <w:rPr>
                <w:sz w:val="18"/>
              </w:rPr>
              <w:t>programs</w:t>
            </w:r>
            <w:r>
              <w:rPr>
                <w:spacing w:val="-1"/>
                <w:sz w:val="18"/>
              </w:rPr>
              <w:t xml:space="preserve"> </w:t>
            </w:r>
            <w:r>
              <w:rPr>
                <w:sz w:val="18"/>
              </w:rPr>
              <w:t>in</w:t>
            </w:r>
            <w:r>
              <w:rPr>
                <w:spacing w:val="1"/>
                <w:sz w:val="18"/>
              </w:rPr>
              <w:t xml:space="preserve"> </w:t>
            </w:r>
            <w:r>
              <w:rPr>
                <w:sz w:val="18"/>
              </w:rPr>
              <w:t>social</w:t>
            </w:r>
            <w:r>
              <w:rPr>
                <w:spacing w:val="6"/>
                <w:sz w:val="18"/>
              </w:rPr>
              <w:t xml:space="preserve"> </w:t>
            </w:r>
            <w:r>
              <w:rPr>
                <w:sz w:val="18"/>
              </w:rPr>
              <w:t>sciences</w:t>
            </w:r>
            <w:r>
              <w:rPr>
                <w:spacing w:val="-1"/>
                <w:sz w:val="18"/>
              </w:rPr>
              <w:t xml:space="preserve"> </w:t>
            </w:r>
            <w:r>
              <w:rPr>
                <w:sz w:val="18"/>
              </w:rPr>
              <w:t>and the</w:t>
            </w:r>
            <w:r>
              <w:rPr>
                <w:spacing w:val="-4"/>
                <w:sz w:val="18"/>
              </w:rPr>
              <w:t xml:space="preserve"> </w:t>
            </w:r>
            <w:r>
              <w:rPr>
                <w:sz w:val="18"/>
              </w:rPr>
              <w:t>humanities</w:t>
            </w:r>
            <w:r>
              <w:rPr>
                <w:spacing w:val="-4"/>
                <w:sz w:val="18"/>
              </w:rPr>
              <w:t xml:space="preserve"> </w:t>
            </w:r>
            <w:r>
              <w:rPr>
                <w:sz w:val="18"/>
              </w:rPr>
              <w:t>at</w:t>
            </w:r>
            <w:r>
              <w:rPr>
                <w:spacing w:val="-1"/>
                <w:sz w:val="18"/>
              </w:rPr>
              <w:t xml:space="preserve"> </w:t>
            </w:r>
            <w:r>
              <w:rPr>
                <w:sz w:val="18"/>
              </w:rPr>
              <w:t>a</w:t>
            </w:r>
            <w:r>
              <w:rPr>
                <w:spacing w:val="-1"/>
                <w:sz w:val="18"/>
              </w:rPr>
              <w:t xml:space="preserve"> </w:t>
            </w:r>
            <w:r>
              <w:rPr>
                <w:sz w:val="18"/>
              </w:rPr>
              <w:t>ratio of</w:t>
            </w:r>
            <w:r>
              <w:rPr>
                <w:spacing w:val="-3"/>
                <w:sz w:val="18"/>
              </w:rPr>
              <w:t xml:space="preserve"> </w:t>
            </w:r>
            <w:r>
              <w:rPr>
                <w:sz w:val="18"/>
              </w:rPr>
              <w:t>60:40.</w:t>
            </w:r>
          </w:p>
        </w:tc>
      </w:tr>
      <w:tr w:rsidR="00A56FE9">
        <w:trPr>
          <w:trHeight w:val="827"/>
        </w:trPr>
        <w:tc>
          <w:tcPr>
            <w:tcW w:w="2132" w:type="dxa"/>
            <w:vMerge/>
            <w:tcBorders>
              <w:top w:val="nil"/>
            </w:tcBorders>
            <w:shd w:val="clear" w:color="auto" w:fill="F1F1F1"/>
          </w:tcPr>
          <w:p w:rsidR="00A56FE9" w:rsidRDefault="00A56FE9">
            <w:pPr>
              <w:rPr>
                <w:sz w:val="2"/>
                <w:szCs w:val="2"/>
              </w:rPr>
            </w:pPr>
          </w:p>
        </w:tc>
        <w:tc>
          <w:tcPr>
            <w:tcW w:w="3352" w:type="dxa"/>
          </w:tcPr>
          <w:p w:rsidR="00A56FE9" w:rsidRDefault="00000000">
            <w:pPr>
              <w:pStyle w:val="TableParagraph"/>
              <w:ind w:left="100" w:right="462"/>
              <w:rPr>
                <w:sz w:val="18"/>
              </w:rPr>
            </w:pPr>
            <w:r>
              <w:rPr>
                <w:sz w:val="18"/>
              </w:rPr>
              <w:t>Adoption of the National Plan for the</w:t>
            </w:r>
            <w:r>
              <w:rPr>
                <w:spacing w:val="1"/>
                <w:sz w:val="18"/>
              </w:rPr>
              <w:t xml:space="preserve"> </w:t>
            </w:r>
            <w:r>
              <w:rPr>
                <w:sz w:val="18"/>
              </w:rPr>
              <w:t>Development</w:t>
            </w:r>
            <w:r>
              <w:rPr>
                <w:spacing w:val="-2"/>
                <w:sz w:val="18"/>
              </w:rPr>
              <w:t xml:space="preserve"> </w:t>
            </w:r>
            <w:r>
              <w:rPr>
                <w:sz w:val="18"/>
              </w:rPr>
              <w:t>of</w:t>
            </w:r>
            <w:r>
              <w:rPr>
                <w:spacing w:val="-3"/>
                <w:sz w:val="18"/>
              </w:rPr>
              <w:t xml:space="preserve"> </w:t>
            </w:r>
            <w:r>
              <w:rPr>
                <w:sz w:val="18"/>
              </w:rPr>
              <w:t>the</w:t>
            </w:r>
            <w:r>
              <w:rPr>
                <w:spacing w:val="-3"/>
                <w:sz w:val="18"/>
              </w:rPr>
              <w:t xml:space="preserve"> </w:t>
            </w:r>
            <w:r>
              <w:rPr>
                <w:sz w:val="18"/>
              </w:rPr>
              <w:t>Education</w:t>
            </w:r>
            <w:r>
              <w:rPr>
                <w:spacing w:val="-2"/>
                <w:sz w:val="18"/>
              </w:rPr>
              <w:t xml:space="preserve"> </w:t>
            </w:r>
            <w:r>
              <w:rPr>
                <w:sz w:val="18"/>
              </w:rPr>
              <w:t>System</w:t>
            </w:r>
            <w:r>
              <w:rPr>
                <w:spacing w:val="-42"/>
                <w:sz w:val="18"/>
              </w:rPr>
              <w:t xml:space="preserve"> </w:t>
            </w:r>
            <w:r>
              <w:rPr>
                <w:sz w:val="18"/>
              </w:rPr>
              <w:t>2021-2027</w:t>
            </w:r>
          </w:p>
        </w:tc>
        <w:tc>
          <w:tcPr>
            <w:tcW w:w="9055" w:type="dxa"/>
          </w:tcPr>
          <w:p w:rsidR="00A56FE9" w:rsidRDefault="00000000">
            <w:pPr>
              <w:pStyle w:val="TableParagraph"/>
              <w:spacing w:line="242" w:lineRule="auto"/>
              <w:ind w:left="106" w:right="152"/>
              <w:rPr>
                <w:sz w:val="18"/>
              </w:rPr>
            </w:pPr>
            <w:r>
              <w:rPr>
                <w:sz w:val="18"/>
              </w:rPr>
              <w:t>In the National Plan for the Development of the Education System 2021-2027 will include an indicator on the basis of</w:t>
            </w:r>
            <w:r>
              <w:rPr>
                <w:spacing w:val="1"/>
                <w:sz w:val="18"/>
              </w:rPr>
              <w:t xml:space="preserve"> </w:t>
            </w:r>
            <w:r>
              <w:rPr>
                <w:sz w:val="18"/>
              </w:rPr>
              <w:t>which</w:t>
            </w:r>
            <w:r>
              <w:rPr>
                <w:spacing w:val="-1"/>
                <w:sz w:val="18"/>
              </w:rPr>
              <w:t xml:space="preserve"> </w:t>
            </w:r>
            <w:r>
              <w:rPr>
                <w:sz w:val="18"/>
              </w:rPr>
              <w:t>the</w:t>
            </w:r>
            <w:r>
              <w:rPr>
                <w:spacing w:val="-2"/>
                <w:sz w:val="18"/>
              </w:rPr>
              <w:t xml:space="preserve"> </w:t>
            </w:r>
            <w:r>
              <w:rPr>
                <w:sz w:val="18"/>
              </w:rPr>
              <w:t>Action</w:t>
            </w:r>
            <w:r>
              <w:rPr>
                <w:spacing w:val="-3"/>
                <w:sz w:val="18"/>
              </w:rPr>
              <w:t xml:space="preserve"> </w:t>
            </w:r>
            <w:r>
              <w:rPr>
                <w:sz w:val="18"/>
              </w:rPr>
              <w:t>Plan</w:t>
            </w:r>
            <w:r>
              <w:rPr>
                <w:spacing w:val="-3"/>
                <w:sz w:val="18"/>
              </w:rPr>
              <w:t xml:space="preserve"> </w:t>
            </w:r>
            <w:r>
              <w:rPr>
                <w:sz w:val="18"/>
              </w:rPr>
              <w:t>for</w:t>
            </w:r>
            <w:r>
              <w:rPr>
                <w:spacing w:val="-1"/>
                <w:sz w:val="18"/>
              </w:rPr>
              <w:t xml:space="preserve"> </w:t>
            </w:r>
            <w:r>
              <w:rPr>
                <w:sz w:val="18"/>
              </w:rPr>
              <w:t>the</w:t>
            </w:r>
            <w:r>
              <w:rPr>
                <w:spacing w:val="-3"/>
                <w:sz w:val="18"/>
              </w:rPr>
              <w:t xml:space="preserve"> </w:t>
            </w:r>
            <w:r>
              <w:rPr>
                <w:sz w:val="18"/>
              </w:rPr>
              <w:t>Implementation of</w:t>
            </w:r>
            <w:r>
              <w:rPr>
                <w:spacing w:val="-4"/>
                <w:sz w:val="18"/>
              </w:rPr>
              <w:t xml:space="preserve"> </w:t>
            </w:r>
            <w:r>
              <w:rPr>
                <w:sz w:val="18"/>
              </w:rPr>
              <w:t>the</w:t>
            </w:r>
            <w:r>
              <w:rPr>
                <w:spacing w:val="-2"/>
                <w:sz w:val="18"/>
              </w:rPr>
              <w:t xml:space="preserve"> </w:t>
            </w:r>
            <w:r>
              <w:rPr>
                <w:sz w:val="18"/>
              </w:rPr>
              <w:t>European</w:t>
            </w:r>
            <w:r>
              <w:rPr>
                <w:spacing w:val="-2"/>
                <w:sz w:val="18"/>
              </w:rPr>
              <w:t xml:space="preserve"> </w:t>
            </w:r>
            <w:r>
              <w:rPr>
                <w:sz w:val="18"/>
              </w:rPr>
              <w:t>Pillar</w:t>
            </w:r>
            <w:r>
              <w:rPr>
                <w:spacing w:val="-2"/>
                <w:sz w:val="18"/>
              </w:rPr>
              <w:t xml:space="preserve"> </w:t>
            </w:r>
            <w:r>
              <w:rPr>
                <w:sz w:val="18"/>
              </w:rPr>
              <w:t>of</w:t>
            </w:r>
            <w:r>
              <w:rPr>
                <w:spacing w:val="-3"/>
                <w:sz w:val="18"/>
              </w:rPr>
              <w:t xml:space="preserve"> </w:t>
            </w:r>
            <w:r>
              <w:rPr>
                <w:sz w:val="18"/>
              </w:rPr>
              <w:t>Social</w:t>
            </w:r>
            <w:r>
              <w:rPr>
                <w:spacing w:val="-2"/>
                <w:sz w:val="18"/>
              </w:rPr>
              <w:t xml:space="preserve"> </w:t>
            </w:r>
            <w:r>
              <w:rPr>
                <w:sz w:val="18"/>
              </w:rPr>
              <w:t>Rights</w:t>
            </w:r>
            <w:r>
              <w:rPr>
                <w:spacing w:val="-1"/>
                <w:sz w:val="18"/>
              </w:rPr>
              <w:t xml:space="preserve"> </w:t>
            </w:r>
            <w:r>
              <w:rPr>
                <w:sz w:val="18"/>
              </w:rPr>
              <w:t>(Involvement</w:t>
            </w:r>
            <w:r>
              <w:rPr>
                <w:spacing w:val="-1"/>
                <w:sz w:val="18"/>
              </w:rPr>
              <w:t xml:space="preserve"> </w:t>
            </w:r>
            <w:r>
              <w:rPr>
                <w:sz w:val="18"/>
              </w:rPr>
              <w:t>in</w:t>
            </w:r>
            <w:r>
              <w:rPr>
                <w:spacing w:val="-1"/>
                <w:sz w:val="18"/>
              </w:rPr>
              <w:t xml:space="preserve"> </w:t>
            </w:r>
            <w:r>
              <w:rPr>
                <w:sz w:val="18"/>
              </w:rPr>
              <w:t>Adult</w:t>
            </w:r>
            <w:r>
              <w:rPr>
                <w:spacing w:val="-1"/>
                <w:sz w:val="18"/>
              </w:rPr>
              <w:t xml:space="preserve"> </w:t>
            </w:r>
            <w:r>
              <w:rPr>
                <w:sz w:val="18"/>
              </w:rPr>
              <w:t>Education</w:t>
            </w:r>
            <w:r>
              <w:rPr>
                <w:spacing w:val="-1"/>
                <w:sz w:val="18"/>
              </w:rPr>
              <w:t xml:space="preserve"> </w:t>
            </w:r>
            <w:r>
              <w:rPr>
                <w:sz w:val="18"/>
              </w:rPr>
              <w:t>in</w:t>
            </w:r>
          </w:p>
          <w:p w:rsidR="00A56FE9" w:rsidRDefault="00000000">
            <w:pPr>
              <w:pStyle w:val="TableParagraph"/>
              <w:spacing w:line="206" w:lineRule="exact"/>
              <w:ind w:left="106" w:right="152"/>
              <w:rPr>
                <w:sz w:val="18"/>
              </w:rPr>
            </w:pPr>
            <w:r>
              <w:rPr>
                <w:sz w:val="18"/>
              </w:rPr>
              <w:t>the</w:t>
            </w:r>
            <w:r>
              <w:rPr>
                <w:spacing w:val="-2"/>
                <w:sz w:val="18"/>
              </w:rPr>
              <w:t xml:space="preserve"> </w:t>
            </w:r>
            <w:r>
              <w:rPr>
                <w:sz w:val="18"/>
              </w:rPr>
              <w:t>Last Year)</w:t>
            </w:r>
            <w:r>
              <w:rPr>
                <w:spacing w:val="2"/>
                <w:sz w:val="18"/>
              </w:rPr>
              <w:t xml:space="preserve"> </w:t>
            </w:r>
            <w:r>
              <w:rPr>
                <w:sz w:val="18"/>
              </w:rPr>
              <w:t>will</w:t>
            </w:r>
            <w:r>
              <w:rPr>
                <w:spacing w:val="-1"/>
                <w:sz w:val="18"/>
              </w:rPr>
              <w:t xml:space="preserve"> </w:t>
            </w:r>
            <w:r>
              <w:rPr>
                <w:sz w:val="18"/>
              </w:rPr>
              <w:t>increase</w:t>
            </w:r>
            <w:r>
              <w:rPr>
                <w:spacing w:val="-1"/>
                <w:sz w:val="18"/>
              </w:rPr>
              <w:t xml:space="preserve"> </w:t>
            </w:r>
            <w:r>
              <w:rPr>
                <w:sz w:val="18"/>
              </w:rPr>
              <w:t>the</w:t>
            </w:r>
            <w:r>
              <w:rPr>
                <w:spacing w:val="-1"/>
                <w:sz w:val="18"/>
              </w:rPr>
              <w:t xml:space="preserve"> </w:t>
            </w:r>
            <w:r>
              <w:rPr>
                <w:sz w:val="18"/>
              </w:rPr>
              <w:t>rate of</w:t>
            </w:r>
            <w:r>
              <w:rPr>
                <w:spacing w:val="-3"/>
                <w:sz w:val="18"/>
              </w:rPr>
              <w:t xml:space="preserve"> </w:t>
            </w:r>
            <w:r>
              <w:rPr>
                <w:sz w:val="18"/>
              </w:rPr>
              <w:t>adults (age</w:t>
            </w:r>
            <w:r>
              <w:rPr>
                <w:spacing w:val="-1"/>
                <w:sz w:val="18"/>
              </w:rPr>
              <w:t xml:space="preserve"> </w:t>
            </w:r>
            <w:r>
              <w:rPr>
                <w:sz w:val="18"/>
              </w:rPr>
              <w:t>groups</w:t>
            </w:r>
            <w:r>
              <w:rPr>
                <w:spacing w:val="-3"/>
                <w:sz w:val="18"/>
              </w:rPr>
              <w:t xml:space="preserve"> </w:t>
            </w:r>
            <w:r>
              <w:rPr>
                <w:sz w:val="18"/>
              </w:rPr>
              <w:t>25-64)</w:t>
            </w:r>
            <w:r>
              <w:rPr>
                <w:spacing w:val="-3"/>
                <w:sz w:val="18"/>
              </w:rPr>
              <w:t xml:space="preserve"> </w:t>
            </w:r>
            <w:r>
              <w:rPr>
                <w:sz w:val="18"/>
              </w:rPr>
              <w:t>in</w:t>
            </w:r>
            <w:r>
              <w:rPr>
                <w:spacing w:val="-1"/>
                <w:sz w:val="18"/>
              </w:rPr>
              <w:t xml:space="preserve"> </w:t>
            </w:r>
            <w:r>
              <w:rPr>
                <w:sz w:val="18"/>
              </w:rPr>
              <w:t>education</w:t>
            </w:r>
            <w:r>
              <w:rPr>
                <w:spacing w:val="-1"/>
                <w:sz w:val="18"/>
              </w:rPr>
              <w:t xml:space="preserve"> </w:t>
            </w:r>
            <w:r>
              <w:rPr>
                <w:sz w:val="18"/>
              </w:rPr>
              <w:t>and</w:t>
            </w:r>
            <w:r>
              <w:rPr>
                <w:spacing w:val="-1"/>
                <w:sz w:val="18"/>
              </w:rPr>
              <w:t xml:space="preserve"> </w:t>
            </w:r>
            <w:r>
              <w:rPr>
                <w:sz w:val="18"/>
              </w:rPr>
              <w:t>training</w:t>
            </w:r>
            <w:r>
              <w:rPr>
                <w:spacing w:val="-2"/>
                <w:sz w:val="18"/>
              </w:rPr>
              <w:t xml:space="preserve"> </w:t>
            </w:r>
            <w:r>
              <w:rPr>
                <w:sz w:val="18"/>
              </w:rPr>
              <w:t>in</w:t>
            </w:r>
            <w:r>
              <w:rPr>
                <w:spacing w:val="-1"/>
                <w:sz w:val="18"/>
              </w:rPr>
              <w:t xml:space="preserve"> </w:t>
            </w:r>
            <w:r>
              <w:rPr>
                <w:sz w:val="18"/>
              </w:rPr>
              <w:t>the</w:t>
            </w:r>
            <w:r>
              <w:rPr>
                <w:spacing w:val="-1"/>
                <w:sz w:val="18"/>
              </w:rPr>
              <w:t xml:space="preserve"> </w:t>
            </w:r>
            <w:r>
              <w:rPr>
                <w:sz w:val="18"/>
              </w:rPr>
              <w:t>last</w:t>
            </w:r>
            <w:r>
              <w:rPr>
                <w:spacing w:val="-2"/>
                <w:sz w:val="18"/>
              </w:rPr>
              <w:t xml:space="preserve"> </w:t>
            </w:r>
            <w:r>
              <w:rPr>
                <w:sz w:val="18"/>
              </w:rPr>
              <w:t>year</w:t>
            </w:r>
            <w:r>
              <w:rPr>
                <w:spacing w:val="-1"/>
                <w:sz w:val="18"/>
              </w:rPr>
              <w:t xml:space="preserve"> </w:t>
            </w:r>
            <w:r>
              <w:rPr>
                <w:sz w:val="18"/>
              </w:rPr>
              <w:t>and</w:t>
            </w:r>
            <w:r>
              <w:rPr>
                <w:spacing w:val="1"/>
                <w:sz w:val="18"/>
              </w:rPr>
              <w:t xml:space="preserve"> </w:t>
            </w:r>
            <w:r>
              <w:rPr>
                <w:sz w:val="18"/>
              </w:rPr>
              <w:t>2027</w:t>
            </w:r>
            <w:r>
              <w:rPr>
                <w:spacing w:val="-1"/>
                <w:sz w:val="18"/>
              </w:rPr>
              <w:t xml:space="preserve"> </w:t>
            </w:r>
            <w:r>
              <w:rPr>
                <w:sz w:val="18"/>
              </w:rPr>
              <w:t>to</w:t>
            </w:r>
            <w:r>
              <w:rPr>
                <w:spacing w:val="-2"/>
                <w:sz w:val="18"/>
              </w:rPr>
              <w:t xml:space="preserve"> </w:t>
            </w:r>
            <w:r>
              <w:rPr>
                <w:sz w:val="18"/>
              </w:rPr>
              <w:t>be</w:t>
            </w:r>
            <w:r>
              <w:rPr>
                <w:spacing w:val="-42"/>
                <w:sz w:val="18"/>
              </w:rPr>
              <w:t xml:space="preserve"> </w:t>
            </w:r>
            <w:r>
              <w:rPr>
                <w:sz w:val="18"/>
              </w:rPr>
              <w:t>at</w:t>
            </w:r>
            <w:r>
              <w:rPr>
                <w:spacing w:val="-1"/>
                <w:sz w:val="18"/>
              </w:rPr>
              <w:t xml:space="preserve"> </w:t>
            </w:r>
            <w:r>
              <w:rPr>
                <w:sz w:val="18"/>
              </w:rPr>
              <w:t>least 45%.</w:t>
            </w:r>
          </w:p>
        </w:tc>
      </w:tr>
      <w:tr w:rsidR="00A56FE9">
        <w:trPr>
          <w:trHeight w:val="618"/>
        </w:trPr>
        <w:tc>
          <w:tcPr>
            <w:tcW w:w="2132" w:type="dxa"/>
            <w:vMerge/>
            <w:tcBorders>
              <w:top w:val="nil"/>
            </w:tcBorders>
            <w:shd w:val="clear" w:color="auto" w:fill="F1F1F1"/>
          </w:tcPr>
          <w:p w:rsidR="00A56FE9" w:rsidRDefault="00A56FE9">
            <w:pPr>
              <w:rPr>
                <w:sz w:val="2"/>
                <w:szCs w:val="2"/>
              </w:rPr>
            </w:pPr>
          </w:p>
        </w:tc>
        <w:tc>
          <w:tcPr>
            <w:tcW w:w="3352" w:type="dxa"/>
          </w:tcPr>
          <w:p w:rsidR="00A56FE9" w:rsidRDefault="00000000">
            <w:pPr>
              <w:pStyle w:val="TableParagraph"/>
              <w:spacing w:line="200" w:lineRule="exact"/>
              <w:ind w:left="100"/>
              <w:rPr>
                <w:sz w:val="18"/>
              </w:rPr>
            </w:pPr>
            <w:r>
              <w:rPr>
                <w:sz w:val="18"/>
              </w:rPr>
              <w:t>Model</w:t>
            </w:r>
            <w:r>
              <w:rPr>
                <w:spacing w:val="-3"/>
                <w:sz w:val="18"/>
              </w:rPr>
              <w:t xml:space="preserve"> </w:t>
            </w:r>
            <w:r>
              <w:rPr>
                <w:sz w:val="18"/>
              </w:rPr>
              <w:t>of</w:t>
            </w:r>
            <w:r>
              <w:rPr>
                <w:spacing w:val="-2"/>
                <w:sz w:val="18"/>
              </w:rPr>
              <w:t xml:space="preserve"> </w:t>
            </w:r>
            <w:r>
              <w:rPr>
                <w:sz w:val="18"/>
              </w:rPr>
              <w:t>all-day</w:t>
            </w:r>
            <w:r>
              <w:rPr>
                <w:spacing w:val="-4"/>
                <w:sz w:val="18"/>
              </w:rPr>
              <w:t xml:space="preserve"> </w:t>
            </w:r>
            <w:r>
              <w:rPr>
                <w:sz w:val="18"/>
              </w:rPr>
              <w:t>school devised</w:t>
            </w:r>
          </w:p>
        </w:tc>
        <w:tc>
          <w:tcPr>
            <w:tcW w:w="9055" w:type="dxa"/>
          </w:tcPr>
          <w:p w:rsidR="00A56FE9" w:rsidRDefault="00000000">
            <w:pPr>
              <w:pStyle w:val="TableParagraph"/>
              <w:spacing w:line="200" w:lineRule="exact"/>
              <w:ind w:left="106"/>
              <w:rPr>
                <w:sz w:val="18"/>
              </w:rPr>
            </w:pPr>
            <w:r>
              <w:rPr>
                <w:sz w:val="18"/>
              </w:rPr>
              <w:t>The</w:t>
            </w:r>
            <w:r>
              <w:rPr>
                <w:spacing w:val="-3"/>
                <w:sz w:val="18"/>
              </w:rPr>
              <w:t xml:space="preserve"> </w:t>
            </w:r>
            <w:r>
              <w:rPr>
                <w:sz w:val="18"/>
              </w:rPr>
              <w:t>all-day</w:t>
            </w:r>
            <w:r>
              <w:rPr>
                <w:spacing w:val="-4"/>
                <w:sz w:val="18"/>
              </w:rPr>
              <w:t xml:space="preserve"> </w:t>
            </w:r>
            <w:r>
              <w:rPr>
                <w:sz w:val="18"/>
              </w:rPr>
              <w:t>school</w:t>
            </w:r>
            <w:r>
              <w:rPr>
                <w:spacing w:val="-2"/>
                <w:sz w:val="18"/>
              </w:rPr>
              <w:t xml:space="preserve"> </w:t>
            </w:r>
            <w:r>
              <w:rPr>
                <w:sz w:val="18"/>
              </w:rPr>
              <w:t>model</w:t>
            </w:r>
            <w:r>
              <w:rPr>
                <w:spacing w:val="-1"/>
                <w:sz w:val="18"/>
              </w:rPr>
              <w:t xml:space="preserve"> </w:t>
            </w:r>
            <w:r>
              <w:rPr>
                <w:sz w:val="18"/>
              </w:rPr>
              <w:t>will</w:t>
            </w:r>
            <w:r>
              <w:rPr>
                <w:spacing w:val="-1"/>
                <w:sz w:val="18"/>
              </w:rPr>
              <w:t xml:space="preserve"> </w:t>
            </w:r>
            <w:r>
              <w:rPr>
                <w:sz w:val="18"/>
              </w:rPr>
              <w:t>be</w:t>
            </w:r>
            <w:r>
              <w:rPr>
                <w:spacing w:val="-4"/>
                <w:sz w:val="18"/>
              </w:rPr>
              <w:t xml:space="preserve"> </w:t>
            </w:r>
            <w:r>
              <w:rPr>
                <w:sz w:val="18"/>
              </w:rPr>
              <w:t>prepared based</w:t>
            </w:r>
            <w:r>
              <w:rPr>
                <w:spacing w:val="-2"/>
                <w:sz w:val="18"/>
              </w:rPr>
              <w:t xml:space="preserve"> </w:t>
            </w:r>
            <w:r>
              <w:rPr>
                <w:sz w:val="18"/>
              </w:rPr>
              <w:t>on</w:t>
            </w:r>
            <w:r>
              <w:rPr>
                <w:spacing w:val="-2"/>
                <w:sz w:val="18"/>
              </w:rPr>
              <w:t xml:space="preserve"> </w:t>
            </w:r>
            <w:r>
              <w:rPr>
                <w:sz w:val="18"/>
              </w:rPr>
              <w:t>available</w:t>
            </w:r>
            <w:r>
              <w:rPr>
                <w:spacing w:val="-1"/>
                <w:sz w:val="18"/>
              </w:rPr>
              <w:t xml:space="preserve"> </w:t>
            </w:r>
            <w:r>
              <w:rPr>
                <w:sz w:val="18"/>
              </w:rPr>
              <w:t>analyses</w:t>
            </w:r>
            <w:r>
              <w:rPr>
                <w:spacing w:val="-1"/>
                <w:sz w:val="18"/>
              </w:rPr>
              <w:t xml:space="preserve"> </w:t>
            </w:r>
            <w:r>
              <w:rPr>
                <w:sz w:val="18"/>
              </w:rPr>
              <w:t>from</w:t>
            </w:r>
            <w:r>
              <w:rPr>
                <w:spacing w:val="-4"/>
                <w:sz w:val="18"/>
              </w:rPr>
              <w:t xml:space="preserve"> </w:t>
            </w:r>
            <w:r>
              <w:rPr>
                <w:sz w:val="18"/>
              </w:rPr>
              <w:t>European comparative</w:t>
            </w:r>
            <w:r>
              <w:rPr>
                <w:spacing w:val="-2"/>
                <w:sz w:val="18"/>
              </w:rPr>
              <w:t xml:space="preserve"> </w:t>
            </w:r>
            <w:r>
              <w:rPr>
                <w:sz w:val="18"/>
              </w:rPr>
              <w:t>reports</w:t>
            </w:r>
            <w:r>
              <w:rPr>
                <w:spacing w:val="-1"/>
                <w:sz w:val="18"/>
              </w:rPr>
              <w:t xml:space="preserve"> </w:t>
            </w:r>
            <w:r>
              <w:rPr>
                <w:sz w:val="18"/>
              </w:rPr>
              <w:t>and a</w:t>
            </w:r>
            <w:r>
              <w:rPr>
                <w:spacing w:val="-2"/>
                <w:sz w:val="18"/>
              </w:rPr>
              <w:t xml:space="preserve"> </w:t>
            </w:r>
            <w:r>
              <w:rPr>
                <w:sz w:val="18"/>
              </w:rPr>
              <w:t>detailed</w:t>
            </w:r>
          </w:p>
          <w:p w:rsidR="00A56FE9" w:rsidRDefault="00000000">
            <w:pPr>
              <w:pStyle w:val="TableParagraph"/>
              <w:spacing w:line="206" w:lineRule="exact"/>
              <w:ind w:left="106" w:right="840"/>
              <w:rPr>
                <w:sz w:val="18"/>
              </w:rPr>
            </w:pPr>
            <w:r>
              <w:rPr>
                <w:sz w:val="18"/>
              </w:rPr>
              <w:t>analysis of standards and norms related to school buildings, class formation, teacher norms and the like, in close</w:t>
            </w:r>
            <w:r>
              <w:rPr>
                <w:spacing w:val="-42"/>
                <w:sz w:val="18"/>
              </w:rPr>
              <w:t xml:space="preserve"> </w:t>
            </w:r>
            <w:r>
              <w:rPr>
                <w:sz w:val="18"/>
              </w:rPr>
              <w:t>cooperation with</w:t>
            </w:r>
            <w:r>
              <w:rPr>
                <w:spacing w:val="1"/>
                <w:sz w:val="18"/>
              </w:rPr>
              <w:t xml:space="preserve"> </w:t>
            </w:r>
            <w:r>
              <w:rPr>
                <w:sz w:val="18"/>
              </w:rPr>
              <w:t>stakeholders</w:t>
            </w:r>
            <w:r>
              <w:rPr>
                <w:spacing w:val="-1"/>
                <w:sz w:val="18"/>
              </w:rPr>
              <w:t xml:space="preserve"> </w:t>
            </w:r>
            <w:r>
              <w:rPr>
                <w:sz w:val="18"/>
              </w:rPr>
              <w:t>through</w:t>
            </w:r>
            <w:r>
              <w:rPr>
                <w:spacing w:val="1"/>
                <w:sz w:val="18"/>
              </w:rPr>
              <w:t xml:space="preserve"> </w:t>
            </w:r>
            <w:r>
              <w:rPr>
                <w:sz w:val="18"/>
              </w:rPr>
              <w:t>established</w:t>
            </w:r>
            <w:r>
              <w:rPr>
                <w:spacing w:val="1"/>
                <w:sz w:val="18"/>
              </w:rPr>
              <w:t xml:space="preserve"> </w:t>
            </w:r>
            <w:r>
              <w:rPr>
                <w:sz w:val="18"/>
              </w:rPr>
              <w:t>consultation procedures.</w:t>
            </w:r>
          </w:p>
        </w:tc>
      </w:tr>
      <w:tr w:rsidR="00A56FE9">
        <w:trPr>
          <w:trHeight w:val="930"/>
        </w:trPr>
        <w:tc>
          <w:tcPr>
            <w:tcW w:w="2132" w:type="dxa"/>
            <w:shd w:val="clear" w:color="auto" w:fill="F1F1F1"/>
          </w:tcPr>
          <w:p w:rsidR="00A56FE9" w:rsidRDefault="00000000">
            <w:pPr>
              <w:pStyle w:val="TableParagraph"/>
              <w:spacing w:line="225" w:lineRule="exact"/>
              <w:ind w:left="105"/>
              <w:rPr>
                <w:sz w:val="20"/>
              </w:rPr>
            </w:pPr>
            <w:r>
              <w:rPr>
                <w:b/>
                <w:sz w:val="20"/>
              </w:rPr>
              <w:t>2.</w:t>
            </w:r>
            <w:r>
              <w:rPr>
                <w:b/>
                <w:spacing w:val="-1"/>
                <w:sz w:val="20"/>
              </w:rPr>
              <w:t xml:space="preserve"> </w:t>
            </w:r>
            <w:r>
              <w:rPr>
                <w:sz w:val="20"/>
              </w:rPr>
              <w:t>Gender equality</w:t>
            </w:r>
          </w:p>
        </w:tc>
        <w:tc>
          <w:tcPr>
            <w:tcW w:w="3352" w:type="dxa"/>
          </w:tcPr>
          <w:p w:rsidR="00A56FE9" w:rsidRDefault="00000000">
            <w:pPr>
              <w:pStyle w:val="TableParagraph"/>
              <w:spacing w:before="47"/>
              <w:ind w:left="100" w:right="117"/>
              <w:rPr>
                <w:sz w:val="18"/>
              </w:rPr>
            </w:pPr>
            <w:r>
              <w:rPr>
                <w:sz w:val="18"/>
              </w:rPr>
              <w:t>Article 3. The Gender Equality Act obliges</w:t>
            </w:r>
            <w:r>
              <w:rPr>
                <w:spacing w:val="-43"/>
                <w:sz w:val="18"/>
              </w:rPr>
              <w:t xml:space="preserve"> </w:t>
            </w:r>
            <w:r>
              <w:rPr>
                <w:sz w:val="18"/>
              </w:rPr>
              <w:t>making assessments and evaluations of the</w:t>
            </w:r>
            <w:r>
              <w:rPr>
                <w:spacing w:val="-42"/>
                <w:sz w:val="18"/>
              </w:rPr>
              <w:t xml:space="preserve"> </w:t>
            </w:r>
            <w:r>
              <w:rPr>
                <w:sz w:val="18"/>
              </w:rPr>
              <w:t>effects acts, decisions or actions on the</w:t>
            </w:r>
            <w:r>
              <w:rPr>
                <w:spacing w:val="1"/>
                <w:sz w:val="18"/>
              </w:rPr>
              <w:t xml:space="preserve"> </w:t>
            </w:r>
            <w:r>
              <w:rPr>
                <w:sz w:val="18"/>
              </w:rPr>
              <w:t>position</w:t>
            </w:r>
            <w:r>
              <w:rPr>
                <w:spacing w:val="-2"/>
                <w:sz w:val="18"/>
              </w:rPr>
              <w:t xml:space="preserve"> </w:t>
            </w:r>
            <w:r>
              <w:rPr>
                <w:sz w:val="18"/>
              </w:rPr>
              <w:t>of</w:t>
            </w:r>
            <w:r>
              <w:rPr>
                <w:spacing w:val="-3"/>
                <w:sz w:val="18"/>
              </w:rPr>
              <w:t xml:space="preserve"> </w:t>
            </w:r>
            <w:r>
              <w:rPr>
                <w:sz w:val="18"/>
              </w:rPr>
              <w:t>women or</w:t>
            </w:r>
            <w:r>
              <w:rPr>
                <w:spacing w:val="-1"/>
                <w:sz w:val="18"/>
              </w:rPr>
              <w:t xml:space="preserve"> </w:t>
            </w:r>
            <w:r>
              <w:rPr>
                <w:sz w:val="18"/>
              </w:rPr>
              <w:t>men, in all</w:t>
            </w:r>
            <w:r>
              <w:rPr>
                <w:spacing w:val="-3"/>
                <w:sz w:val="18"/>
              </w:rPr>
              <w:t xml:space="preserve"> </w:t>
            </w:r>
            <w:r>
              <w:rPr>
                <w:sz w:val="18"/>
              </w:rPr>
              <w:t>phases</w:t>
            </w:r>
            <w:r>
              <w:rPr>
                <w:spacing w:val="-1"/>
                <w:sz w:val="18"/>
              </w:rPr>
              <w:t xml:space="preserve"> </w:t>
            </w:r>
            <w:r>
              <w:rPr>
                <w:sz w:val="18"/>
              </w:rPr>
              <w:t>of</w:t>
            </w:r>
          </w:p>
        </w:tc>
        <w:tc>
          <w:tcPr>
            <w:tcW w:w="9055" w:type="dxa"/>
          </w:tcPr>
          <w:p w:rsidR="00A56FE9" w:rsidRDefault="00000000">
            <w:pPr>
              <w:pStyle w:val="TableParagraph"/>
              <w:spacing w:before="47"/>
              <w:ind w:left="106" w:right="131"/>
              <w:rPr>
                <w:sz w:val="18"/>
              </w:rPr>
            </w:pPr>
            <w:r>
              <w:rPr>
                <w:sz w:val="18"/>
              </w:rPr>
              <w:t>This is a horizontal principle that is an integral part of the activities carried out by Croatia and, and depends on the type of</w:t>
            </w:r>
            <w:r>
              <w:rPr>
                <w:spacing w:val="-42"/>
                <w:sz w:val="18"/>
              </w:rPr>
              <w:t xml:space="preserve"> </w:t>
            </w:r>
            <w:r>
              <w:rPr>
                <w:sz w:val="18"/>
              </w:rPr>
              <w:t>project, with the need to include all groups related to gender equality and equal opportunities is taken into account. A</w:t>
            </w:r>
            <w:r>
              <w:rPr>
                <w:spacing w:val="1"/>
                <w:sz w:val="18"/>
              </w:rPr>
              <w:t xml:space="preserve"> </w:t>
            </w:r>
            <w:r>
              <w:rPr>
                <w:sz w:val="18"/>
              </w:rPr>
              <w:t>detailed explanations of the planned reforms and investments related to the contribution to this principle are contained in</w:t>
            </w:r>
            <w:r>
              <w:rPr>
                <w:spacing w:val="1"/>
                <w:sz w:val="18"/>
              </w:rPr>
              <w:t xml:space="preserve"> </w:t>
            </w:r>
            <w:r>
              <w:rPr>
                <w:sz w:val="18"/>
              </w:rPr>
              <w:t>the</w:t>
            </w:r>
            <w:r>
              <w:rPr>
                <w:spacing w:val="-1"/>
                <w:sz w:val="18"/>
              </w:rPr>
              <w:t xml:space="preserve"> </w:t>
            </w:r>
            <w:r>
              <w:rPr>
                <w:sz w:val="18"/>
              </w:rPr>
              <w:t>NRRP,</w:t>
            </w:r>
            <w:r>
              <w:rPr>
                <w:spacing w:val="-1"/>
                <w:sz w:val="18"/>
              </w:rPr>
              <w:t xml:space="preserve"> </w:t>
            </w:r>
            <w:r>
              <w:rPr>
                <w:sz w:val="18"/>
              </w:rPr>
              <w:t>subchapters</w:t>
            </w:r>
            <w:r>
              <w:rPr>
                <w:spacing w:val="-1"/>
                <w:sz w:val="18"/>
              </w:rPr>
              <w:t xml:space="preserve"> </w:t>
            </w:r>
            <w:r>
              <w:rPr>
                <w:sz w:val="18"/>
              </w:rPr>
              <w:t>Gender</w:t>
            </w:r>
            <w:r>
              <w:rPr>
                <w:spacing w:val="1"/>
                <w:sz w:val="18"/>
              </w:rPr>
              <w:t xml:space="preserve"> </w:t>
            </w:r>
            <w:r>
              <w:rPr>
                <w:sz w:val="18"/>
              </w:rPr>
              <w:t>Equality</w:t>
            </w:r>
            <w:r>
              <w:rPr>
                <w:spacing w:val="-3"/>
                <w:sz w:val="18"/>
              </w:rPr>
              <w:t xml:space="preserve"> </w:t>
            </w:r>
            <w:r>
              <w:rPr>
                <w:sz w:val="18"/>
              </w:rPr>
              <w:t>and</w:t>
            </w:r>
            <w:r>
              <w:rPr>
                <w:spacing w:val="1"/>
                <w:sz w:val="18"/>
              </w:rPr>
              <w:t xml:space="preserve"> </w:t>
            </w:r>
            <w:r>
              <w:rPr>
                <w:sz w:val="18"/>
              </w:rPr>
              <w:t>Equal</w:t>
            </w:r>
            <w:r>
              <w:rPr>
                <w:spacing w:val="1"/>
                <w:sz w:val="18"/>
              </w:rPr>
              <w:t xml:space="preserve"> </w:t>
            </w:r>
            <w:r>
              <w:rPr>
                <w:sz w:val="18"/>
              </w:rPr>
              <w:t>Opportunities</w:t>
            </w:r>
            <w:r>
              <w:rPr>
                <w:spacing w:val="-2"/>
                <w:sz w:val="18"/>
              </w:rPr>
              <w:t xml:space="preserve"> </w:t>
            </w:r>
            <w:r>
              <w:rPr>
                <w:sz w:val="18"/>
              </w:rPr>
              <w:t>for</w:t>
            </w:r>
            <w:r>
              <w:rPr>
                <w:spacing w:val="2"/>
                <w:sz w:val="18"/>
              </w:rPr>
              <w:t xml:space="preserve"> </w:t>
            </w:r>
            <w:r>
              <w:rPr>
                <w:sz w:val="18"/>
              </w:rPr>
              <w:t>All"</w:t>
            </w:r>
            <w:r>
              <w:rPr>
                <w:spacing w:val="-3"/>
                <w:sz w:val="18"/>
              </w:rPr>
              <w:t xml:space="preserve"> </w:t>
            </w:r>
            <w:r>
              <w:rPr>
                <w:sz w:val="18"/>
              </w:rPr>
              <w:t>(pp.</w:t>
            </w:r>
            <w:r>
              <w:rPr>
                <w:spacing w:val="-2"/>
                <w:sz w:val="18"/>
              </w:rPr>
              <w:t xml:space="preserve"> </w:t>
            </w:r>
            <w:r>
              <w:rPr>
                <w:sz w:val="18"/>
              </w:rPr>
              <w:t>52,</w:t>
            </w:r>
            <w:r>
              <w:rPr>
                <w:spacing w:val="-3"/>
                <w:sz w:val="18"/>
              </w:rPr>
              <w:t xml:space="preserve"> </w:t>
            </w:r>
            <w:r>
              <w:rPr>
                <w:sz w:val="18"/>
              </w:rPr>
              <w:t>449,</w:t>
            </w:r>
            <w:r>
              <w:rPr>
                <w:spacing w:val="-2"/>
                <w:sz w:val="18"/>
              </w:rPr>
              <w:t xml:space="preserve"> </w:t>
            </w:r>
            <w:r>
              <w:rPr>
                <w:sz w:val="18"/>
              </w:rPr>
              <w:t>816,</w:t>
            </w:r>
            <w:r>
              <w:rPr>
                <w:spacing w:val="-3"/>
                <w:sz w:val="18"/>
              </w:rPr>
              <w:t xml:space="preserve"> </w:t>
            </w:r>
            <w:r>
              <w:rPr>
                <w:sz w:val="18"/>
              </w:rPr>
              <w:t>903,</w:t>
            </w:r>
            <w:r>
              <w:rPr>
                <w:spacing w:val="-2"/>
                <w:sz w:val="18"/>
              </w:rPr>
              <w:t xml:space="preserve"> </w:t>
            </w:r>
            <w:r>
              <w:rPr>
                <w:sz w:val="18"/>
              </w:rPr>
              <w:t>973,</w:t>
            </w:r>
            <w:r>
              <w:rPr>
                <w:spacing w:val="-1"/>
                <w:sz w:val="18"/>
              </w:rPr>
              <w:t xml:space="preserve"> </w:t>
            </w:r>
            <w:r>
              <w:rPr>
                <w:sz w:val="18"/>
              </w:rPr>
              <w:t>1090,</w:t>
            </w:r>
            <w:r>
              <w:rPr>
                <w:spacing w:val="-2"/>
                <w:sz w:val="18"/>
              </w:rPr>
              <w:t xml:space="preserve"> </w:t>
            </w:r>
            <w:r>
              <w:rPr>
                <w:sz w:val="18"/>
              </w:rPr>
              <w:t>1141</w:t>
            </w:r>
            <w:r>
              <w:rPr>
                <w:spacing w:val="3"/>
                <w:sz w:val="18"/>
              </w:rPr>
              <w:t xml:space="preserve"> </w:t>
            </w:r>
            <w:r>
              <w:rPr>
                <w:sz w:val="18"/>
              </w:rPr>
              <w:t>-</w:t>
            </w:r>
          </w:p>
        </w:tc>
      </w:tr>
    </w:tbl>
    <w:p w:rsidR="00A56FE9" w:rsidRDefault="00A56FE9">
      <w:pPr>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127"/>
        <w:gridCol w:w="3356"/>
        <w:gridCol w:w="9054"/>
      </w:tblGrid>
      <w:tr w:rsidR="00A56FE9">
        <w:trPr>
          <w:trHeight w:val="360"/>
        </w:trPr>
        <w:tc>
          <w:tcPr>
            <w:tcW w:w="2127" w:type="dxa"/>
            <w:tcBorders>
              <w:top w:val="nil"/>
              <w:left w:val="nil"/>
              <w:bottom w:val="nil"/>
              <w:right w:val="nil"/>
            </w:tcBorders>
            <w:shd w:val="clear" w:color="auto" w:fill="2C398A"/>
          </w:tcPr>
          <w:p w:rsidR="00A56FE9" w:rsidRDefault="00000000">
            <w:pPr>
              <w:pStyle w:val="TableParagraph"/>
              <w:spacing w:before="65"/>
              <w:ind w:left="677"/>
              <w:rPr>
                <w:b/>
                <w:sz w:val="20"/>
              </w:rPr>
            </w:pPr>
            <w:r>
              <w:rPr>
                <w:b/>
                <w:color w:val="FFFFFF"/>
                <w:sz w:val="20"/>
              </w:rPr>
              <w:t>Principle</w:t>
            </w:r>
          </w:p>
        </w:tc>
        <w:tc>
          <w:tcPr>
            <w:tcW w:w="3356" w:type="dxa"/>
            <w:tcBorders>
              <w:top w:val="nil"/>
              <w:left w:val="nil"/>
              <w:bottom w:val="nil"/>
              <w:right w:val="nil"/>
            </w:tcBorders>
            <w:shd w:val="clear" w:color="auto" w:fill="2C398A"/>
          </w:tcPr>
          <w:p w:rsidR="00A56FE9" w:rsidRDefault="00000000">
            <w:pPr>
              <w:pStyle w:val="TableParagraph"/>
              <w:spacing w:before="65"/>
              <w:ind w:left="738"/>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9054" w:type="dxa"/>
            <w:tcBorders>
              <w:top w:val="nil"/>
              <w:left w:val="nil"/>
              <w:bottom w:val="nil"/>
              <w:right w:val="nil"/>
            </w:tcBorders>
            <w:shd w:val="clear" w:color="auto" w:fill="2C398A"/>
          </w:tcPr>
          <w:p w:rsidR="00A56FE9" w:rsidRDefault="00000000">
            <w:pPr>
              <w:pStyle w:val="TableParagraph"/>
              <w:spacing w:before="65"/>
              <w:ind w:left="2014" w:right="2015"/>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621"/>
        </w:trPr>
        <w:tc>
          <w:tcPr>
            <w:tcW w:w="2127" w:type="dxa"/>
            <w:tcBorders>
              <w:top w:val="nil"/>
            </w:tcBorders>
            <w:shd w:val="clear" w:color="auto" w:fill="F1F1F1"/>
          </w:tcPr>
          <w:p w:rsidR="00A56FE9" w:rsidRDefault="00A56FE9">
            <w:pPr>
              <w:pStyle w:val="TableParagraph"/>
              <w:rPr>
                <w:sz w:val="18"/>
              </w:rPr>
            </w:pPr>
          </w:p>
        </w:tc>
        <w:tc>
          <w:tcPr>
            <w:tcW w:w="3356" w:type="dxa"/>
            <w:tcBorders>
              <w:top w:val="nil"/>
            </w:tcBorders>
          </w:tcPr>
          <w:p w:rsidR="00A56FE9" w:rsidRDefault="00000000">
            <w:pPr>
              <w:pStyle w:val="TableParagraph"/>
              <w:ind w:left="105" w:right="205"/>
              <w:rPr>
                <w:sz w:val="18"/>
              </w:rPr>
            </w:pPr>
            <w:r>
              <w:rPr>
                <w:sz w:val="18"/>
              </w:rPr>
              <w:t>planning,</w:t>
            </w:r>
            <w:r>
              <w:rPr>
                <w:spacing w:val="-2"/>
                <w:sz w:val="18"/>
              </w:rPr>
              <w:t xml:space="preserve"> </w:t>
            </w:r>
            <w:r>
              <w:rPr>
                <w:sz w:val="18"/>
              </w:rPr>
              <w:t>adoption</w:t>
            </w:r>
            <w:r>
              <w:rPr>
                <w:spacing w:val="-1"/>
                <w:sz w:val="18"/>
              </w:rPr>
              <w:t xml:space="preserve"> </w:t>
            </w:r>
            <w:r>
              <w:rPr>
                <w:sz w:val="18"/>
              </w:rPr>
              <w:t>and</w:t>
            </w:r>
            <w:r>
              <w:rPr>
                <w:spacing w:val="-3"/>
                <w:sz w:val="18"/>
              </w:rPr>
              <w:t xml:space="preserve"> </w:t>
            </w:r>
            <w:r>
              <w:rPr>
                <w:sz w:val="18"/>
              </w:rPr>
              <w:t>implementation</w:t>
            </w:r>
            <w:r>
              <w:rPr>
                <w:spacing w:val="-3"/>
                <w:sz w:val="18"/>
              </w:rPr>
              <w:t xml:space="preserve"> </w:t>
            </w:r>
            <w:r>
              <w:rPr>
                <w:sz w:val="18"/>
              </w:rPr>
              <w:t>of</w:t>
            </w:r>
            <w:r>
              <w:rPr>
                <w:spacing w:val="-42"/>
                <w:sz w:val="18"/>
              </w:rPr>
              <w:t xml:space="preserve"> </w:t>
            </w:r>
            <w:r>
              <w:rPr>
                <w:sz w:val="18"/>
              </w:rPr>
              <w:t>legal</w:t>
            </w:r>
            <w:r>
              <w:rPr>
                <w:spacing w:val="-2"/>
                <w:sz w:val="18"/>
              </w:rPr>
              <w:t xml:space="preserve"> </w:t>
            </w:r>
            <w:r>
              <w:rPr>
                <w:sz w:val="18"/>
              </w:rPr>
              <w:t>acts,</w:t>
            </w:r>
            <w:r>
              <w:rPr>
                <w:spacing w:val="-1"/>
                <w:sz w:val="18"/>
              </w:rPr>
              <w:t xml:space="preserve"> </w:t>
            </w:r>
            <w:r>
              <w:rPr>
                <w:sz w:val="18"/>
              </w:rPr>
              <w:t>decisions</w:t>
            </w:r>
            <w:r>
              <w:rPr>
                <w:spacing w:val="-1"/>
                <w:sz w:val="18"/>
              </w:rPr>
              <w:t xml:space="preserve"> </w:t>
            </w:r>
            <w:r>
              <w:rPr>
                <w:sz w:val="18"/>
              </w:rPr>
              <w:t>or</w:t>
            </w:r>
            <w:r>
              <w:rPr>
                <w:spacing w:val="-2"/>
                <w:sz w:val="18"/>
              </w:rPr>
              <w:t xml:space="preserve"> </w:t>
            </w:r>
            <w:r>
              <w:rPr>
                <w:sz w:val="18"/>
              </w:rPr>
              <w:t>actions,</w:t>
            </w:r>
            <w:r>
              <w:rPr>
                <w:spacing w:val="-1"/>
                <w:sz w:val="18"/>
              </w:rPr>
              <w:t xml:space="preserve"> </w:t>
            </w:r>
            <w:r>
              <w:rPr>
                <w:sz w:val="18"/>
              </w:rPr>
              <w:t>in</w:t>
            </w:r>
            <w:r>
              <w:rPr>
                <w:spacing w:val="-2"/>
                <w:sz w:val="18"/>
              </w:rPr>
              <w:t xml:space="preserve"> </w:t>
            </w:r>
            <w:r>
              <w:rPr>
                <w:sz w:val="18"/>
              </w:rPr>
              <w:t>order</w:t>
            </w:r>
            <w:r>
              <w:rPr>
                <w:spacing w:val="-1"/>
                <w:sz w:val="18"/>
              </w:rPr>
              <w:t xml:space="preserve"> </w:t>
            </w:r>
            <w:r>
              <w:rPr>
                <w:sz w:val="18"/>
              </w:rPr>
              <w:t>to</w:t>
            </w:r>
          </w:p>
          <w:p w:rsidR="00A56FE9" w:rsidRDefault="00000000">
            <w:pPr>
              <w:pStyle w:val="TableParagraph"/>
              <w:spacing w:line="192" w:lineRule="exact"/>
              <w:ind w:left="105"/>
              <w:rPr>
                <w:sz w:val="18"/>
              </w:rPr>
            </w:pPr>
            <w:r>
              <w:rPr>
                <w:sz w:val="18"/>
              </w:rPr>
              <w:t>achieve</w:t>
            </w:r>
            <w:r>
              <w:rPr>
                <w:spacing w:val="-4"/>
                <w:sz w:val="18"/>
              </w:rPr>
              <w:t xml:space="preserve"> </w:t>
            </w:r>
            <w:r>
              <w:rPr>
                <w:sz w:val="18"/>
              </w:rPr>
              <w:t>real</w:t>
            </w:r>
            <w:r>
              <w:rPr>
                <w:spacing w:val="-2"/>
                <w:sz w:val="18"/>
              </w:rPr>
              <w:t xml:space="preserve"> </w:t>
            </w:r>
            <w:r>
              <w:rPr>
                <w:sz w:val="18"/>
              </w:rPr>
              <w:t>equality.</w:t>
            </w:r>
          </w:p>
        </w:tc>
        <w:tc>
          <w:tcPr>
            <w:tcW w:w="9054" w:type="dxa"/>
            <w:tcBorders>
              <w:top w:val="nil"/>
            </w:tcBorders>
          </w:tcPr>
          <w:p w:rsidR="00A56FE9" w:rsidRDefault="00000000">
            <w:pPr>
              <w:pStyle w:val="TableParagraph"/>
              <w:ind w:left="107" w:right="161"/>
              <w:rPr>
                <w:sz w:val="18"/>
              </w:rPr>
            </w:pPr>
            <w:r>
              <w:rPr>
                <w:sz w:val="18"/>
              </w:rPr>
              <w:t>https://bit.ly/3KCiOAz) which</w:t>
            </w:r>
            <w:r>
              <w:rPr>
                <w:spacing w:val="-1"/>
                <w:sz w:val="18"/>
              </w:rPr>
              <w:t xml:space="preserve"> </w:t>
            </w:r>
            <w:r>
              <w:rPr>
                <w:sz w:val="18"/>
              </w:rPr>
              <w:t>describe</w:t>
            </w:r>
            <w:r>
              <w:rPr>
                <w:spacing w:val="-3"/>
                <w:sz w:val="18"/>
              </w:rPr>
              <w:t xml:space="preserve"> </w:t>
            </w:r>
            <w:r>
              <w:rPr>
                <w:sz w:val="18"/>
              </w:rPr>
              <w:t>the</w:t>
            </w:r>
            <w:r>
              <w:rPr>
                <w:spacing w:val="-2"/>
                <w:sz w:val="18"/>
              </w:rPr>
              <w:t xml:space="preserve"> </w:t>
            </w:r>
            <w:r>
              <w:rPr>
                <w:sz w:val="18"/>
              </w:rPr>
              <w:t>compliance</w:t>
            </w:r>
            <w:r>
              <w:rPr>
                <w:spacing w:val="-3"/>
                <w:sz w:val="18"/>
              </w:rPr>
              <w:t xml:space="preserve"> </w:t>
            </w:r>
            <w:r>
              <w:rPr>
                <w:sz w:val="18"/>
              </w:rPr>
              <w:t>of</w:t>
            </w:r>
            <w:r>
              <w:rPr>
                <w:spacing w:val="-4"/>
                <w:sz w:val="18"/>
              </w:rPr>
              <w:t xml:space="preserve"> </w:t>
            </w:r>
            <w:r>
              <w:rPr>
                <w:sz w:val="18"/>
              </w:rPr>
              <w:t>planned</w:t>
            </w:r>
            <w:r>
              <w:rPr>
                <w:spacing w:val="-2"/>
                <w:sz w:val="18"/>
              </w:rPr>
              <w:t xml:space="preserve"> </w:t>
            </w:r>
            <w:r>
              <w:rPr>
                <w:sz w:val="18"/>
              </w:rPr>
              <w:t>reforms</w:t>
            </w:r>
            <w:r>
              <w:rPr>
                <w:spacing w:val="-2"/>
                <w:sz w:val="18"/>
              </w:rPr>
              <w:t xml:space="preserve"> </w:t>
            </w:r>
            <w:r>
              <w:rPr>
                <w:sz w:val="18"/>
              </w:rPr>
              <w:t>and</w:t>
            </w:r>
            <w:r>
              <w:rPr>
                <w:spacing w:val="-1"/>
                <w:sz w:val="18"/>
              </w:rPr>
              <w:t xml:space="preserve"> </w:t>
            </w:r>
            <w:r>
              <w:rPr>
                <w:sz w:val="18"/>
              </w:rPr>
              <w:t>investments</w:t>
            </w:r>
            <w:r>
              <w:rPr>
                <w:spacing w:val="-1"/>
                <w:sz w:val="18"/>
              </w:rPr>
              <w:t xml:space="preserve"> </w:t>
            </w:r>
            <w:r>
              <w:rPr>
                <w:sz w:val="18"/>
              </w:rPr>
              <w:t>with</w:t>
            </w:r>
            <w:r>
              <w:rPr>
                <w:spacing w:val="-1"/>
                <w:sz w:val="18"/>
              </w:rPr>
              <w:t xml:space="preserve"> </w:t>
            </w:r>
            <w:r>
              <w:rPr>
                <w:sz w:val="18"/>
              </w:rPr>
              <w:t>the</w:t>
            </w:r>
            <w:r>
              <w:rPr>
                <w:spacing w:val="-3"/>
                <w:sz w:val="18"/>
              </w:rPr>
              <w:t xml:space="preserve"> </w:t>
            </w:r>
            <w:r>
              <w:rPr>
                <w:sz w:val="18"/>
              </w:rPr>
              <w:t>principles</w:t>
            </w:r>
            <w:r>
              <w:rPr>
                <w:spacing w:val="-2"/>
                <w:sz w:val="18"/>
              </w:rPr>
              <w:t xml:space="preserve"> </w:t>
            </w:r>
            <w:r>
              <w:rPr>
                <w:sz w:val="18"/>
              </w:rPr>
              <w:t>of</w:t>
            </w:r>
            <w:r>
              <w:rPr>
                <w:spacing w:val="-4"/>
                <w:sz w:val="18"/>
              </w:rPr>
              <w:t xml:space="preserve"> </w:t>
            </w:r>
            <w:r>
              <w:rPr>
                <w:sz w:val="18"/>
              </w:rPr>
              <w:t>the</w:t>
            </w:r>
            <w:r>
              <w:rPr>
                <w:spacing w:val="-3"/>
                <w:sz w:val="18"/>
              </w:rPr>
              <w:t xml:space="preserve"> </w:t>
            </w:r>
            <w:r>
              <w:rPr>
                <w:sz w:val="18"/>
              </w:rPr>
              <w:t>2nd</w:t>
            </w:r>
            <w:r>
              <w:rPr>
                <w:spacing w:val="-42"/>
                <w:sz w:val="18"/>
              </w:rPr>
              <w:t xml:space="preserve"> </w:t>
            </w:r>
            <w:r>
              <w:rPr>
                <w:sz w:val="18"/>
              </w:rPr>
              <w:t>and 3rd</w:t>
            </w:r>
            <w:r>
              <w:rPr>
                <w:spacing w:val="1"/>
                <w:sz w:val="18"/>
              </w:rPr>
              <w:t xml:space="preserve"> </w:t>
            </w:r>
            <w:r>
              <w:rPr>
                <w:sz w:val="18"/>
              </w:rPr>
              <w:t>European</w:t>
            </w:r>
            <w:r>
              <w:rPr>
                <w:spacing w:val="-1"/>
                <w:sz w:val="18"/>
              </w:rPr>
              <w:t xml:space="preserve"> </w:t>
            </w:r>
            <w:r>
              <w:rPr>
                <w:sz w:val="18"/>
              </w:rPr>
              <w:t>Pillars</w:t>
            </w:r>
            <w:r>
              <w:rPr>
                <w:spacing w:val="-1"/>
                <w:sz w:val="18"/>
              </w:rPr>
              <w:t xml:space="preserve"> </w:t>
            </w:r>
            <w:r>
              <w:rPr>
                <w:sz w:val="18"/>
              </w:rPr>
              <w:t>of</w:t>
            </w:r>
            <w:r>
              <w:rPr>
                <w:spacing w:val="-2"/>
                <w:sz w:val="18"/>
              </w:rPr>
              <w:t xml:space="preserve"> </w:t>
            </w:r>
            <w:r>
              <w:rPr>
                <w:sz w:val="18"/>
              </w:rPr>
              <w:t>Social Rights.</w:t>
            </w:r>
          </w:p>
        </w:tc>
      </w:tr>
      <w:tr w:rsidR="00A56FE9">
        <w:trPr>
          <w:trHeight w:val="230"/>
        </w:trPr>
        <w:tc>
          <w:tcPr>
            <w:tcW w:w="2127" w:type="dxa"/>
            <w:shd w:val="clear" w:color="auto" w:fill="F1F1F1"/>
          </w:tcPr>
          <w:p w:rsidR="00A56FE9" w:rsidRDefault="00000000">
            <w:pPr>
              <w:pStyle w:val="TableParagraph"/>
              <w:spacing w:line="210" w:lineRule="exact"/>
              <w:ind w:left="105"/>
              <w:rPr>
                <w:sz w:val="20"/>
              </w:rPr>
            </w:pPr>
            <w:r>
              <w:rPr>
                <w:b/>
                <w:sz w:val="20"/>
              </w:rPr>
              <w:t>3.</w:t>
            </w:r>
            <w:r>
              <w:rPr>
                <w:b/>
                <w:spacing w:val="-2"/>
                <w:sz w:val="20"/>
              </w:rPr>
              <w:t xml:space="preserve"> </w:t>
            </w:r>
            <w:r>
              <w:rPr>
                <w:sz w:val="20"/>
              </w:rPr>
              <w:t>Equal</w:t>
            </w:r>
            <w:r>
              <w:rPr>
                <w:spacing w:val="-3"/>
                <w:sz w:val="20"/>
              </w:rPr>
              <w:t xml:space="preserve"> </w:t>
            </w:r>
            <w:r>
              <w:rPr>
                <w:sz w:val="20"/>
              </w:rPr>
              <w:t>opportunities</w:t>
            </w:r>
          </w:p>
        </w:tc>
        <w:tc>
          <w:tcPr>
            <w:tcW w:w="3356" w:type="dxa"/>
          </w:tcPr>
          <w:p w:rsidR="00A56FE9" w:rsidRDefault="00000000">
            <w:pPr>
              <w:pStyle w:val="TableParagraph"/>
              <w:spacing w:line="202" w:lineRule="exact"/>
              <w:ind w:left="105"/>
              <w:rPr>
                <w:sz w:val="18"/>
              </w:rPr>
            </w:pPr>
            <w:r>
              <w:rPr>
                <w:sz w:val="18"/>
              </w:rPr>
              <w:t>As</w:t>
            </w:r>
            <w:r>
              <w:rPr>
                <w:spacing w:val="-1"/>
                <w:sz w:val="18"/>
              </w:rPr>
              <w:t xml:space="preserve"> </w:t>
            </w:r>
            <w:r>
              <w:rPr>
                <w:sz w:val="18"/>
              </w:rPr>
              <w:t>in</w:t>
            </w:r>
            <w:r>
              <w:rPr>
                <w:spacing w:val="2"/>
                <w:sz w:val="18"/>
              </w:rPr>
              <w:t xml:space="preserve"> </w:t>
            </w:r>
            <w:r>
              <w:rPr>
                <w:sz w:val="18"/>
              </w:rPr>
              <w:t>the</w:t>
            </w:r>
            <w:r>
              <w:rPr>
                <w:spacing w:val="-2"/>
                <w:sz w:val="18"/>
              </w:rPr>
              <w:t xml:space="preserve"> </w:t>
            </w:r>
            <w:r>
              <w:rPr>
                <w:sz w:val="18"/>
              </w:rPr>
              <w:t>previous</w:t>
            </w:r>
          </w:p>
        </w:tc>
        <w:tc>
          <w:tcPr>
            <w:tcW w:w="9054" w:type="dxa"/>
          </w:tcPr>
          <w:p w:rsidR="00A56FE9" w:rsidRDefault="00A56FE9">
            <w:pPr>
              <w:pStyle w:val="TableParagraph"/>
              <w:rPr>
                <w:sz w:val="16"/>
              </w:rPr>
            </w:pPr>
          </w:p>
        </w:tc>
      </w:tr>
      <w:tr w:rsidR="00A56FE9">
        <w:trPr>
          <w:trHeight w:val="618"/>
        </w:trPr>
        <w:tc>
          <w:tcPr>
            <w:tcW w:w="2127" w:type="dxa"/>
            <w:shd w:val="clear" w:color="auto" w:fill="F1F1F1"/>
          </w:tcPr>
          <w:p w:rsidR="00A56FE9" w:rsidRDefault="00000000">
            <w:pPr>
              <w:pStyle w:val="TableParagraph"/>
              <w:spacing w:line="237" w:lineRule="auto"/>
              <w:ind w:left="105" w:right="421"/>
              <w:rPr>
                <w:sz w:val="20"/>
              </w:rPr>
            </w:pPr>
            <w:r>
              <w:rPr>
                <w:b/>
                <w:sz w:val="20"/>
              </w:rPr>
              <w:t>4.</w:t>
            </w:r>
            <w:r>
              <w:rPr>
                <w:b/>
                <w:spacing w:val="-6"/>
                <w:sz w:val="20"/>
              </w:rPr>
              <w:t xml:space="preserve"> </w:t>
            </w:r>
            <w:r>
              <w:rPr>
                <w:sz w:val="20"/>
              </w:rPr>
              <w:t>Active</w:t>
            </w:r>
            <w:r>
              <w:rPr>
                <w:spacing w:val="-4"/>
                <w:sz w:val="20"/>
              </w:rPr>
              <w:t xml:space="preserve"> </w:t>
            </w:r>
            <w:r>
              <w:rPr>
                <w:sz w:val="20"/>
              </w:rPr>
              <w:t>support</w:t>
            </w:r>
            <w:r>
              <w:rPr>
                <w:spacing w:val="-8"/>
                <w:sz w:val="20"/>
              </w:rPr>
              <w:t xml:space="preserve"> </w:t>
            </w:r>
            <w:r>
              <w:rPr>
                <w:sz w:val="20"/>
              </w:rPr>
              <w:t>to</w:t>
            </w:r>
            <w:r>
              <w:rPr>
                <w:spacing w:val="-47"/>
                <w:sz w:val="20"/>
              </w:rPr>
              <w:t xml:space="preserve"> </w:t>
            </w:r>
            <w:r>
              <w:rPr>
                <w:sz w:val="20"/>
              </w:rPr>
              <w:t>employment</w:t>
            </w:r>
          </w:p>
        </w:tc>
        <w:tc>
          <w:tcPr>
            <w:tcW w:w="3356" w:type="dxa"/>
            <w:shd w:val="clear" w:color="auto" w:fill="C5EECE"/>
          </w:tcPr>
          <w:p w:rsidR="00A56FE9" w:rsidRDefault="00000000">
            <w:pPr>
              <w:pStyle w:val="TableParagraph"/>
              <w:ind w:left="105" w:right="546"/>
              <w:rPr>
                <w:sz w:val="18"/>
              </w:rPr>
            </w:pPr>
            <w:r>
              <w:rPr>
                <w:sz w:val="18"/>
              </w:rPr>
              <w:t>Including</w:t>
            </w:r>
            <w:r>
              <w:rPr>
                <w:spacing w:val="-6"/>
                <w:sz w:val="18"/>
              </w:rPr>
              <w:t xml:space="preserve"> </w:t>
            </w:r>
            <w:r>
              <w:rPr>
                <w:sz w:val="18"/>
              </w:rPr>
              <w:t>unemployed</w:t>
            </w:r>
            <w:r>
              <w:rPr>
                <w:spacing w:val="-3"/>
                <w:sz w:val="18"/>
              </w:rPr>
              <w:t xml:space="preserve"> </w:t>
            </w:r>
            <w:r>
              <w:rPr>
                <w:sz w:val="18"/>
              </w:rPr>
              <w:t>and</w:t>
            </w:r>
            <w:r>
              <w:rPr>
                <w:spacing w:val="-1"/>
                <w:sz w:val="18"/>
              </w:rPr>
              <w:t xml:space="preserve"> </w:t>
            </w:r>
            <w:r>
              <w:rPr>
                <w:sz w:val="18"/>
              </w:rPr>
              <w:t>employed</w:t>
            </w:r>
            <w:r>
              <w:rPr>
                <w:spacing w:val="-42"/>
                <w:sz w:val="18"/>
              </w:rPr>
              <w:t xml:space="preserve"> </w:t>
            </w:r>
            <w:r>
              <w:rPr>
                <w:sz w:val="18"/>
              </w:rPr>
              <w:t>persons</w:t>
            </w:r>
            <w:r>
              <w:rPr>
                <w:spacing w:val="-3"/>
                <w:sz w:val="18"/>
              </w:rPr>
              <w:t xml:space="preserve"> </w:t>
            </w:r>
            <w:r>
              <w:rPr>
                <w:sz w:val="18"/>
              </w:rPr>
              <w:t>in</w:t>
            </w:r>
            <w:r>
              <w:rPr>
                <w:spacing w:val="-1"/>
                <w:sz w:val="18"/>
              </w:rPr>
              <w:t xml:space="preserve"> </w:t>
            </w:r>
            <w:r>
              <w:rPr>
                <w:sz w:val="18"/>
              </w:rPr>
              <w:t>active</w:t>
            </w:r>
            <w:r>
              <w:rPr>
                <w:spacing w:val="-3"/>
                <w:sz w:val="18"/>
              </w:rPr>
              <w:t xml:space="preserve"> </w:t>
            </w:r>
            <w:r>
              <w:rPr>
                <w:sz w:val="18"/>
              </w:rPr>
              <w:t>employment</w:t>
            </w:r>
            <w:r>
              <w:rPr>
                <w:spacing w:val="-2"/>
                <w:sz w:val="18"/>
              </w:rPr>
              <w:t xml:space="preserve"> </w:t>
            </w:r>
            <w:r>
              <w:rPr>
                <w:sz w:val="18"/>
              </w:rPr>
              <w:t>policy</w:t>
            </w:r>
          </w:p>
          <w:p w:rsidR="00A56FE9" w:rsidRDefault="00000000">
            <w:pPr>
              <w:pStyle w:val="TableParagraph"/>
              <w:spacing w:line="190" w:lineRule="exact"/>
              <w:ind w:left="105"/>
              <w:rPr>
                <w:sz w:val="18"/>
              </w:rPr>
            </w:pPr>
            <w:r>
              <w:rPr>
                <w:sz w:val="18"/>
              </w:rPr>
              <w:t>measures</w:t>
            </w:r>
          </w:p>
        </w:tc>
        <w:tc>
          <w:tcPr>
            <w:tcW w:w="9054" w:type="dxa"/>
            <w:shd w:val="clear" w:color="auto" w:fill="C5EECE"/>
          </w:tcPr>
          <w:p w:rsidR="00A56FE9" w:rsidRDefault="00000000">
            <w:pPr>
              <w:pStyle w:val="TableParagraph"/>
              <w:ind w:left="107" w:right="161"/>
              <w:rPr>
                <w:sz w:val="18"/>
              </w:rPr>
            </w:pPr>
            <w:r>
              <w:rPr>
                <w:sz w:val="18"/>
              </w:rPr>
              <w:t>In</w:t>
            </w:r>
            <w:r>
              <w:rPr>
                <w:spacing w:val="-1"/>
                <w:sz w:val="18"/>
              </w:rPr>
              <w:t xml:space="preserve"> </w:t>
            </w:r>
            <w:r>
              <w:rPr>
                <w:sz w:val="18"/>
              </w:rPr>
              <w:t>2022,</w:t>
            </w:r>
            <w:r>
              <w:rPr>
                <w:spacing w:val="-2"/>
                <w:sz w:val="18"/>
              </w:rPr>
              <w:t xml:space="preserve"> </w:t>
            </w:r>
            <w:r>
              <w:rPr>
                <w:sz w:val="18"/>
              </w:rPr>
              <w:t>special</w:t>
            </w:r>
            <w:r>
              <w:rPr>
                <w:spacing w:val="-1"/>
                <w:sz w:val="18"/>
              </w:rPr>
              <w:t xml:space="preserve"> </w:t>
            </w:r>
            <w:r>
              <w:rPr>
                <w:sz w:val="18"/>
              </w:rPr>
              <w:t>active</w:t>
            </w:r>
            <w:r>
              <w:rPr>
                <w:spacing w:val="-3"/>
                <w:sz w:val="18"/>
              </w:rPr>
              <w:t xml:space="preserve"> </w:t>
            </w:r>
            <w:r>
              <w:rPr>
                <w:sz w:val="18"/>
              </w:rPr>
              <w:t>employment</w:t>
            </w:r>
            <w:r>
              <w:rPr>
                <w:spacing w:val="-1"/>
                <w:sz w:val="18"/>
              </w:rPr>
              <w:t xml:space="preserve"> </w:t>
            </w:r>
            <w:r>
              <w:rPr>
                <w:sz w:val="18"/>
              </w:rPr>
              <w:t>policy</w:t>
            </w:r>
            <w:r>
              <w:rPr>
                <w:spacing w:val="-3"/>
                <w:sz w:val="18"/>
              </w:rPr>
              <w:t xml:space="preserve"> </w:t>
            </w:r>
            <w:r>
              <w:rPr>
                <w:sz w:val="18"/>
              </w:rPr>
              <w:t>measures will</w:t>
            </w:r>
            <w:r>
              <w:rPr>
                <w:spacing w:val="-1"/>
                <w:sz w:val="18"/>
              </w:rPr>
              <w:t xml:space="preserve"> </w:t>
            </w:r>
            <w:r>
              <w:rPr>
                <w:sz w:val="18"/>
              </w:rPr>
              <w:t>be</w:t>
            </w:r>
            <w:r>
              <w:rPr>
                <w:spacing w:val="-3"/>
                <w:sz w:val="18"/>
              </w:rPr>
              <w:t xml:space="preserve"> </w:t>
            </w:r>
            <w:r>
              <w:rPr>
                <w:sz w:val="18"/>
              </w:rPr>
              <w:t>implemented with</w:t>
            </w:r>
            <w:r>
              <w:rPr>
                <w:spacing w:val="-1"/>
                <w:sz w:val="18"/>
              </w:rPr>
              <w:t xml:space="preserve"> </w:t>
            </w:r>
            <w:r>
              <w:rPr>
                <w:sz w:val="18"/>
              </w:rPr>
              <w:t>the</w:t>
            </w:r>
            <w:r>
              <w:rPr>
                <w:spacing w:val="-3"/>
                <w:sz w:val="18"/>
              </w:rPr>
              <w:t xml:space="preserve"> </w:t>
            </w:r>
            <w:r>
              <w:rPr>
                <w:sz w:val="18"/>
              </w:rPr>
              <w:t>aim</w:t>
            </w:r>
            <w:r>
              <w:rPr>
                <w:spacing w:val="-4"/>
                <w:sz w:val="18"/>
              </w:rPr>
              <w:t xml:space="preserve"> </w:t>
            </w:r>
            <w:r>
              <w:rPr>
                <w:sz w:val="18"/>
              </w:rPr>
              <w:t>of</w:t>
            </w:r>
            <w:r>
              <w:rPr>
                <w:spacing w:val="-4"/>
                <w:sz w:val="18"/>
              </w:rPr>
              <w:t xml:space="preserve"> </w:t>
            </w:r>
            <w:r>
              <w:rPr>
                <w:sz w:val="18"/>
              </w:rPr>
              <w:t>a</w:t>
            </w:r>
            <w:r>
              <w:rPr>
                <w:spacing w:val="-2"/>
                <w:sz w:val="18"/>
              </w:rPr>
              <w:t xml:space="preserve"> </w:t>
            </w:r>
            <w:r>
              <w:rPr>
                <w:sz w:val="18"/>
              </w:rPr>
              <w:t>green</w:t>
            </w:r>
            <w:r>
              <w:rPr>
                <w:spacing w:val="-1"/>
                <w:sz w:val="18"/>
              </w:rPr>
              <w:t xml:space="preserve"> </w:t>
            </w:r>
            <w:r>
              <w:rPr>
                <w:sz w:val="18"/>
              </w:rPr>
              <w:t>and digital</w:t>
            </w:r>
            <w:r>
              <w:rPr>
                <w:spacing w:val="-4"/>
                <w:sz w:val="18"/>
              </w:rPr>
              <w:t xml:space="preserve"> </w:t>
            </w:r>
            <w:r>
              <w:rPr>
                <w:sz w:val="18"/>
              </w:rPr>
              <w:t>transition</w:t>
            </w:r>
            <w:r>
              <w:rPr>
                <w:spacing w:val="-3"/>
                <w:sz w:val="18"/>
              </w:rPr>
              <w:t xml:space="preserve"> </w:t>
            </w:r>
            <w:r>
              <w:rPr>
                <w:sz w:val="18"/>
              </w:rPr>
              <w:t>of</w:t>
            </w:r>
            <w:r>
              <w:rPr>
                <w:spacing w:val="-42"/>
                <w:sz w:val="18"/>
              </w:rPr>
              <w:t xml:space="preserve"> </w:t>
            </w:r>
            <w:r>
              <w:rPr>
                <w:sz w:val="18"/>
              </w:rPr>
              <w:t>the</w:t>
            </w:r>
            <w:r>
              <w:rPr>
                <w:spacing w:val="-2"/>
                <w:sz w:val="18"/>
              </w:rPr>
              <w:t xml:space="preserve"> </w:t>
            </w:r>
            <w:r>
              <w:rPr>
                <w:sz w:val="18"/>
              </w:rPr>
              <w:t>economy,</w:t>
            </w:r>
            <w:r>
              <w:rPr>
                <w:spacing w:val="-1"/>
                <w:sz w:val="18"/>
              </w:rPr>
              <w:t xml:space="preserve"> </w:t>
            </w:r>
            <w:r>
              <w:rPr>
                <w:sz w:val="18"/>
              </w:rPr>
              <w:t>based on employment</w:t>
            </w:r>
            <w:r>
              <w:rPr>
                <w:spacing w:val="-1"/>
                <w:sz w:val="18"/>
              </w:rPr>
              <w:t xml:space="preserve"> </w:t>
            </w:r>
            <w:r>
              <w:rPr>
                <w:sz w:val="18"/>
              </w:rPr>
              <w:t>support measures,</w:t>
            </w:r>
            <w:r>
              <w:rPr>
                <w:spacing w:val="-1"/>
                <w:sz w:val="18"/>
              </w:rPr>
              <w:t xml:space="preserve"> </w:t>
            </w:r>
            <w:r>
              <w:rPr>
                <w:sz w:val="18"/>
              </w:rPr>
              <w:t>traineeship support</w:t>
            </w:r>
            <w:r>
              <w:rPr>
                <w:spacing w:val="-1"/>
                <w:sz w:val="18"/>
              </w:rPr>
              <w:t xml:space="preserve"> </w:t>
            </w:r>
            <w:r>
              <w:rPr>
                <w:sz w:val="18"/>
              </w:rPr>
              <w:t>and self-employment support.</w:t>
            </w:r>
          </w:p>
        </w:tc>
      </w:tr>
      <w:tr w:rsidR="00A56FE9">
        <w:trPr>
          <w:trHeight w:val="2071"/>
        </w:trPr>
        <w:tc>
          <w:tcPr>
            <w:tcW w:w="2127" w:type="dxa"/>
            <w:vMerge w:val="restart"/>
            <w:shd w:val="clear" w:color="auto" w:fill="F1F1F1"/>
          </w:tcPr>
          <w:p w:rsidR="00A56FE9" w:rsidRDefault="00000000">
            <w:pPr>
              <w:pStyle w:val="TableParagraph"/>
              <w:ind w:left="105" w:right="92"/>
              <w:rPr>
                <w:sz w:val="20"/>
              </w:rPr>
            </w:pPr>
            <w:r>
              <w:rPr>
                <w:b/>
                <w:sz w:val="20"/>
              </w:rPr>
              <w:t xml:space="preserve">5. </w:t>
            </w:r>
            <w:r>
              <w:rPr>
                <w:sz w:val="20"/>
              </w:rPr>
              <w:t>Secure and adaptable</w:t>
            </w:r>
            <w:r>
              <w:rPr>
                <w:spacing w:val="-48"/>
                <w:sz w:val="20"/>
              </w:rPr>
              <w:t xml:space="preserve"> </w:t>
            </w:r>
            <w:r>
              <w:rPr>
                <w:sz w:val="20"/>
              </w:rPr>
              <w:t>employment</w:t>
            </w:r>
          </w:p>
        </w:tc>
        <w:tc>
          <w:tcPr>
            <w:tcW w:w="3356" w:type="dxa"/>
            <w:shd w:val="clear" w:color="auto" w:fill="C5EECE"/>
          </w:tcPr>
          <w:p w:rsidR="00A56FE9" w:rsidRDefault="00000000">
            <w:pPr>
              <w:pStyle w:val="TableParagraph"/>
              <w:ind w:left="105" w:right="103"/>
              <w:rPr>
                <w:sz w:val="18"/>
              </w:rPr>
            </w:pPr>
            <w:r>
              <w:rPr>
                <w:sz w:val="18"/>
              </w:rPr>
              <w:t>Adoption of the Act on Suppression of</w:t>
            </w:r>
            <w:r>
              <w:rPr>
                <w:spacing w:val="1"/>
                <w:sz w:val="18"/>
              </w:rPr>
              <w:t xml:space="preserve"> </w:t>
            </w:r>
            <w:r>
              <w:rPr>
                <w:sz w:val="18"/>
              </w:rPr>
              <w:t>Undeclared</w:t>
            </w:r>
            <w:r>
              <w:rPr>
                <w:spacing w:val="-1"/>
                <w:sz w:val="18"/>
              </w:rPr>
              <w:t xml:space="preserve"> </w:t>
            </w:r>
            <w:r>
              <w:rPr>
                <w:sz w:val="18"/>
              </w:rPr>
              <w:t>Work</w:t>
            </w:r>
            <w:r>
              <w:rPr>
                <w:spacing w:val="-2"/>
                <w:sz w:val="18"/>
              </w:rPr>
              <w:t xml:space="preserve"> </w:t>
            </w:r>
            <w:r>
              <w:rPr>
                <w:sz w:val="18"/>
              </w:rPr>
              <w:t>and the</w:t>
            </w:r>
            <w:r>
              <w:rPr>
                <w:spacing w:val="-2"/>
                <w:sz w:val="18"/>
              </w:rPr>
              <w:t xml:space="preserve"> </w:t>
            </w:r>
            <w:r>
              <w:rPr>
                <w:sz w:val="18"/>
              </w:rPr>
              <w:t>new</w:t>
            </w:r>
            <w:r>
              <w:rPr>
                <w:spacing w:val="-4"/>
                <w:sz w:val="18"/>
              </w:rPr>
              <w:t xml:space="preserve"> </w:t>
            </w:r>
            <w:r>
              <w:rPr>
                <w:sz w:val="18"/>
              </w:rPr>
              <w:t>Labour</w:t>
            </w:r>
            <w:r>
              <w:rPr>
                <w:spacing w:val="-2"/>
                <w:sz w:val="18"/>
              </w:rPr>
              <w:t xml:space="preserve"> </w:t>
            </w:r>
            <w:r>
              <w:rPr>
                <w:sz w:val="18"/>
              </w:rPr>
              <w:t>Law</w:t>
            </w:r>
          </w:p>
          <w:p w:rsidR="00A56FE9" w:rsidRDefault="00A56FE9">
            <w:pPr>
              <w:pStyle w:val="TableParagraph"/>
              <w:spacing w:before="7"/>
              <w:rPr>
                <w:b/>
                <w:sz w:val="17"/>
              </w:rPr>
            </w:pPr>
          </w:p>
          <w:p w:rsidR="00A56FE9" w:rsidRDefault="00000000">
            <w:pPr>
              <w:pStyle w:val="TableParagraph"/>
              <w:ind w:left="105"/>
              <w:rPr>
                <w:i/>
                <w:sz w:val="18"/>
              </w:rPr>
            </w:pPr>
            <w:r>
              <w:rPr>
                <w:i/>
                <w:sz w:val="18"/>
              </w:rPr>
              <w:t>Also</w:t>
            </w:r>
            <w:r>
              <w:rPr>
                <w:i/>
                <w:spacing w:val="-1"/>
                <w:sz w:val="18"/>
              </w:rPr>
              <w:t xml:space="preserve"> </w:t>
            </w:r>
            <w:r>
              <w:rPr>
                <w:i/>
                <w:sz w:val="18"/>
              </w:rPr>
              <w:t>contributes</w:t>
            </w:r>
            <w:r>
              <w:rPr>
                <w:i/>
                <w:spacing w:val="-1"/>
                <w:sz w:val="18"/>
              </w:rPr>
              <w:t xml:space="preserve"> </w:t>
            </w:r>
            <w:r>
              <w:rPr>
                <w:i/>
                <w:sz w:val="18"/>
              </w:rPr>
              <w:t>to</w:t>
            </w:r>
            <w:r>
              <w:rPr>
                <w:i/>
                <w:spacing w:val="1"/>
                <w:sz w:val="18"/>
              </w:rPr>
              <w:t xml:space="preserve"> </w:t>
            </w:r>
            <w:r>
              <w:rPr>
                <w:i/>
                <w:sz w:val="18"/>
              </w:rPr>
              <w:t>Principles</w:t>
            </w:r>
            <w:r>
              <w:rPr>
                <w:i/>
                <w:spacing w:val="-1"/>
                <w:sz w:val="18"/>
              </w:rPr>
              <w:t xml:space="preserve"> </w:t>
            </w:r>
            <w:r>
              <w:rPr>
                <w:i/>
                <w:sz w:val="18"/>
              </w:rPr>
              <w:t>2,</w:t>
            </w:r>
            <w:r>
              <w:rPr>
                <w:i/>
                <w:spacing w:val="-4"/>
                <w:sz w:val="18"/>
              </w:rPr>
              <w:t xml:space="preserve"> </w:t>
            </w:r>
            <w:r>
              <w:rPr>
                <w:i/>
                <w:sz w:val="18"/>
              </w:rPr>
              <w:t>6, 7 and</w:t>
            </w:r>
            <w:r>
              <w:rPr>
                <w:i/>
                <w:spacing w:val="-2"/>
                <w:sz w:val="18"/>
              </w:rPr>
              <w:t xml:space="preserve"> </w:t>
            </w:r>
            <w:r>
              <w:rPr>
                <w:i/>
                <w:sz w:val="18"/>
              </w:rPr>
              <w:t>9</w:t>
            </w:r>
          </w:p>
        </w:tc>
        <w:tc>
          <w:tcPr>
            <w:tcW w:w="9054" w:type="dxa"/>
            <w:shd w:val="clear" w:color="auto" w:fill="C5EECE"/>
          </w:tcPr>
          <w:p w:rsidR="00A56FE9" w:rsidRDefault="00000000">
            <w:pPr>
              <w:pStyle w:val="TableParagraph"/>
              <w:ind w:left="107" w:right="161"/>
              <w:rPr>
                <w:sz w:val="18"/>
              </w:rPr>
            </w:pPr>
            <w:r>
              <w:rPr>
                <w:sz w:val="18"/>
              </w:rPr>
              <w:t>The amended or new Labour Act shall regulate outplace work and platform work, limit the number of successive</w:t>
            </w:r>
            <w:r>
              <w:rPr>
                <w:spacing w:val="1"/>
                <w:sz w:val="18"/>
              </w:rPr>
              <w:t xml:space="preserve"> </w:t>
            </w:r>
            <w:r>
              <w:rPr>
                <w:sz w:val="18"/>
              </w:rPr>
              <w:t>temporary contracts, strengthen the right to work for other employers and revise the 65-year retirement clause, change the</w:t>
            </w:r>
            <w:r>
              <w:rPr>
                <w:spacing w:val="-42"/>
                <w:sz w:val="18"/>
              </w:rPr>
              <w:t xml:space="preserve"> </w:t>
            </w:r>
            <w:r>
              <w:rPr>
                <w:sz w:val="18"/>
              </w:rPr>
              <w:t>provisions on financing of sick leave and severance for workers at retirement age, encourage additional employment and</w:t>
            </w:r>
            <w:r>
              <w:rPr>
                <w:spacing w:val="1"/>
                <w:sz w:val="18"/>
              </w:rPr>
              <w:t xml:space="preserve"> </w:t>
            </w:r>
            <w:r>
              <w:rPr>
                <w:sz w:val="18"/>
              </w:rPr>
              <w:t>part-time employment, redefine the provisions on wages so that their determination is transparent and predictable,</w:t>
            </w:r>
            <w:r>
              <w:rPr>
                <w:spacing w:val="1"/>
                <w:sz w:val="18"/>
              </w:rPr>
              <w:t xml:space="preserve"> </w:t>
            </w:r>
            <w:r>
              <w:rPr>
                <w:sz w:val="18"/>
              </w:rPr>
              <w:t>respecting the autonomy of the social partners, and include provisions to allow flexibility in working time and place of</w:t>
            </w:r>
            <w:r>
              <w:rPr>
                <w:spacing w:val="1"/>
                <w:sz w:val="18"/>
              </w:rPr>
              <w:t xml:space="preserve"> </w:t>
            </w:r>
            <w:r>
              <w:rPr>
                <w:sz w:val="18"/>
              </w:rPr>
              <w:t>work and reduce the gender pay gap. Alignment of the new Act with the EU Directive on work-life balance and the EU</w:t>
            </w:r>
            <w:r>
              <w:rPr>
                <w:spacing w:val="1"/>
                <w:sz w:val="18"/>
              </w:rPr>
              <w:t xml:space="preserve"> </w:t>
            </w:r>
            <w:r>
              <w:rPr>
                <w:sz w:val="18"/>
              </w:rPr>
              <w:t>Directive on Transparent and Predictable Working Conditions will increase women's employment and reduce the gender</w:t>
            </w:r>
            <w:r>
              <w:rPr>
                <w:spacing w:val="1"/>
                <w:sz w:val="18"/>
              </w:rPr>
              <w:t xml:space="preserve"> </w:t>
            </w:r>
            <w:r>
              <w:rPr>
                <w:sz w:val="18"/>
              </w:rPr>
              <w:t>gap,</w:t>
            </w:r>
            <w:r>
              <w:rPr>
                <w:spacing w:val="-2"/>
                <w:sz w:val="18"/>
              </w:rPr>
              <w:t xml:space="preserve"> </w:t>
            </w:r>
            <w:r>
              <w:rPr>
                <w:sz w:val="18"/>
              </w:rPr>
              <w:t>as</w:t>
            </w:r>
            <w:r>
              <w:rPr>
                <w:spacing w:val="-1"/>
                <w:sz w:val="18"/>
              </w:rPr>
              <w:t xml:space="preserve"> </w:t>
            </w:r>
            <w:r>
              <w:rPr>
                <w:sz w:val="18"/>
              </w:rPr>
              <w:t>well</w:t>
            </w:r>
            <w:r>
              <w:rPr>
                <w:spacing w:val="-2"/>
                <w:sz w:val="18"/>
              </w:rPr>
              <w:t xml:space="preserve"> </w:t>
            </w:r>
            <w:r>
              <w:rPr>
                <w:sz w:val="18"/>
              </w:rPr>
              <w:t>as</w:t>
            </w:r>
            <w:r>
              <w:rPr>
                <w:spacing w:val="-1"/>
                <w:sz w:val="18"/>
              </w:rPr>
              <w:t xml:space="preserve"> </w:t>
            </w:r>
            <w:r>
              <w:rPr>
                <w:sz w:val="18"/>
              </w:rPr>
              <w:t>job</w:t>
            </w:r>
            <w:r>
              <w:rPr>
                <w:spacing w:val="-1"/>
                <w:sz w:val="18"/>
              </w:rPr>
              <w:t xml:space="preserve"> </w:t>
            </w:r>
            <w:r>
              <w:rPr>
                <w:sz w:val="18"/>
              </w:rPr>
              <w:t>stability</w:t>
            </w:r>
            <w:r>
              <w:rPr>
                <w:spacing w:val="-2"/>
                <w:sz w:val="18"/>
              </w:rPr>
              <w:t xml:space="preserve"> </w:t>
            </w:r>
            <w:r>
              <w:rPr>
                <w:sz w:val="18"/>
              </w:rPr>
              <w:t>and information</w:t>
            </w:r>
            <w:r>
              <w:rPr>
                <w:spacing w:val="-1"/>
                <w:sz w:val="18"/>
              </w:rPr>
              <w:t xml:space="preserve"> </w:t>
            </w:r>
            <w:r>
              <w:rPr>
                <w:sz w:val="18"/>
              </w:rPr>
              <w:t>on</w:t>
            </w:r>
            <w:r>
              <w:rPr>
                <w:spacing w:val="-2"/>
                <w:sz w:val="18"/>
              </w:rPr>
              <w:t xml:space="preserve"> </w:t>
            </w:r>
            <w:r>
              <w:rPr>
                <w:sz w:val="18"/>
              </w:rPr>
              <w:t>working</w:t>
            </w:r>
            <w:r>
              <w:rPr>
                <w:spacing w:val="-3"/>
                <w:sz w:val="18"/>
              </w:rPr>
              <w:t xml:space="preserve"> </w:t>
            </w:r>
            <w:r>
              <w:rPr>
                <w:sz w:val="18"/>
              </w:rPr>
              <w:t>conditions.</w:t>
            </w:r>
            <w:r>
              <w:rPr>
                <w:spacing w:val="-3"/>
                <w:sz w:val="18"/>
              </w:rPr>
              <w:t xml:space="preserve"> </w:t>
            </w:r>
            <w:r>
              <w:rPr>
                <w:sz w:val="18"/>
              </w:rPr>
              <w:t>The</w:t>
            </w:r>
            <w:r>
              <w:rPr>
                <w:spacing w:val="-2"/>
                <w:sz w:val="18"/>
              </w:rPr>
              <w:t xml:space="preserve"> </w:t>
            </w:r>
            <w:r>
              <w:rPr>
                <w:sz w:val="18"/>
              </w:rPr>
              <w:t>new</w:t>
            </w:r>
            <w:r>
              <w:rPr>
                <w:spacing w:val="-5"/>
                <w:sz w:val="18"/>
              </w:rPr>
              <w:t xml:space="preserve"> </w:t>
            </w:r>
            <w:r>
              <w:rPr>
                <w:sz w:val="18"/>
              </w:rPr>
              <w:t>or</w:t>
            </w:r>
            <w:r>
              <w:rPr>
                <w:spacing w:val="-1"/>
                <w:sz w:val="18"/>
              </w:rPr>
              <w:t xml:space="preserve"> </w:t>
            </w:r>
            <w:r>
              <w:rPr>
                <w:sz w:val="18"/>
              </w:rPr>
              <w:t>amended</w:t>
            </w:r>
            <w:r>
              <w:rPr>
                <w:spacing w:val="-1"/>
                <w:sz w:val="18"/>
              </w:rPr>
              <w:t xml:space="preserve"> </w:t>
            </w:r>
            <w:r>
              <w:rPr>
                <w:sz w:val="18"/>
              </w:rPr>
              <w:t>Act</w:t>
            </w:r>
            <w:r>
              <w:rPr>
                <w:spacing w:val="-1"/>
                <w:sz w:val="18"/>
              </w:rPr>
              <w:t xml:space="preserve"> </w:t>
            </w:r>
            <w:r>
              <w:rPr>
                <w:sz w:val="18"/>
              </w:rPr>
              <w:t>on</w:t>
            </w:r>
            <w:r>
              <w:rPr>
                <w:spacing w:val="-1"/>
                <w:sz w:val="18"/>
              </w:rPr>
              <w:t xml:space="preserve"> </w:t>
            </w:r>
            <w:r>
              <w:rPr>
                <w:sz w:val="18"/>
              </w:rPr>
              <w:t>Suppressing</w:t>
            </w:r>
            <w:r>
              <w:rPr>
                <w:spacing w:val="-2"/>
                <w:sz w:val="18"/>
              </w:rPr>
              <w:t xml:space="preserve"> </w:t>
            </w:r>
            <w:r>
              <w:rPr>
                <w:sz w:val="18"/>
              </w:rPr>
              <w:t>Undeclared</w:t>
            </w:r>
          </w:p>
          <w:p w:rsidR="00A56FE9" w:rsidRDefault="00000000">
            <w:pPr>
              <w:pStyle w:val="TableParagraph"/>
              <w:spacing w:line="206" w:lineRule="exact"/>
              <w:ind w:left="107" w:right="161"/>
              <w:rPr>
                <w:sz w:val="18"/>
              </w:rPr>
            </w:pPr>
            <w:r>
              <w:rPr>
                <w:sz w:val="18"/>
              </w:rPr>
              <w:t>Work</w:t>
            </w:r>
            <w:r>
              <w:rPr>
                <w:spacing w:val="-4"/>
                <w:sz w:val="18"/>
              </w:rPr>
              <w:t xml:space="preserve"> </w:t>
            </w:r>
            <w:r>
              <w:rPr>
                <w:sz w:val="18"/>
              </w:rPr>
              <w:t>shall</w:t>
            </w:r>
            <w:r>
              <w:rPr>
                <w:spacing w:val="-2"/>
                <w:sz w:val="18"/>
              </w:rPr>
              <w:t xml:space="preserve"> </w:t>
            </w:r>
            <w:r>
              <w:rPr>
                <w:sz w:val="18"/>
              </w:rPr>
              <w:t>define</w:t>
            </w:r>
            <w:r>
              <w:rPr>
                <w:spacing w:val="-4"/>
                <w:sz w:val="18"/>
              </w:rPr>
              <w:t xml:space="preserve"> </w:t>
            </w:r>
            <w:r>
              <w:rPr>
                <w:sz w:val="18"/>
              </w:rPr>
              <w:t>undeclared</w:t>
            </w:r>
            <w:r>
              <w:rPr>
                <w:spacing w:val="-1"/>
                <w:sz w:val="18"/>
              </w:rPr>
              <w:t xml:space="preserve"> </w:t>
            </w:r>
            <w:r>
              <w:rPr>
                <w:sz w:val="18"/>
              </w:rPr>
              <w:t>work</w:t>
            </w:r>
            <w:r>
              <w:rPr>
                <w:spacing w:val="-3"/>
                <w:sz w:val="18"/>
              </w:rPr>
              <w:t xml:space="preserve"> </w:t>
            </w:r>
            <w:r>
              <w:rPr>
                <w:sz w:val="18"/>
              </w:rPr>
              <w:t>and</w:t>
            </w:r>
            <w:r>
              <w:rPr>
                <w:spacing w:val="-2"/>
                <w:sz w:val="18"/>
              </w:rPr>
              <w:t xml:space="preserve"> </w:t>
            </w:r>
            <w:r>
              <w:rPr>
                <w:sz w:val="18"/>
              </w:rPr>
              <w:t>all</w:t>
            </w:r>
            <w:r>
              <w:rPr>
                <w:spacing w:val="-2"/>
                <w:sz w:val="18"/>
              </w:rPr>
              <w:t xml:space="preserve"> </w:t>
            </w:r>
            <w:r>
              <w:rPr>
                <w:sz w:val="18"/>
              </w:rPr>
              <w:t>its</w:t>
            </w:r>
            <w:r>
              <w:rPr>
                <w:spacing w:val="-3"/>
                <w:sz w:val="18"/>
              </w:rPr>
              <w:t xml:space="preserve"> </w:t>
            </w:r>
            <w:r>
              <w:rPr>
                <w:sz w:val="18"/>
              </w:rPr>
              <w:t>manifestations,</w:t>
            </w:r>
            <w:r>
              <w:rPr>
                <w:spacing w:val="-2"/>
                <w:sz w:val="18"/>
              </w:rPr>
              <w:t xml:space="preserve"> </w:t>
            </w:r>
            <w:r>
              <w:rPr>
                <w:sz w:val="18"/>
              </w:rPr>
              <w:t>strengthen</w:t>
            </w:r>
            <w:r>
              <w:rPr>
                <w:spacing w:val="-2"/>
                <w:sz w:val="18"/>
              </w:rPr>
              <w:t xml:space="preserve"> </w:t>
            </w:r>
            <w:r>
              <w:rPr>
                <w:sz w:val="18"/>
              </w:rPr>
              <w:t>inspections</w:t>
            </w:r>
            <w:r>
              <w:rPr>
                <w:spacing w:val="-2"/>
                <w:sz w:val="18"/>
              </w:rPr>
              <w:t xml:space="preserve"> </w:t>
            </w:r>
            <w:r>
              <w:rPr>
                <w:sz w:val="18"/>
              </w:rPr>
              <w:t>and</w:t>
            </w:r>
            <w:r>
              <w:rPr>
                <w:spacing w:val="-1"/>
                <w:sz w:val="18"/>
              </w:rPr>
              <w:t xml:space="preserve"> </w:t>
            </w:r>
            <w:r>
              <w:rPr>
                <w:sz w:val="18"/>
              </w:rPr>
              <w:t>laying</w:t>
            </w:r>
            <w:r>
              <w:rPr>
                <w:spacing w:val="-4"/>
                <w:sz w:val="18"/>
              </w:rPr>
              <w:t xml:space="preserve"> </w:t>
            </w:r>
            <w:r>
              <w:rPr>
                <w:sz w:val="18"/>
              </w:rPr>
              <w:t>down</w:t>
            </w:r>
            <w:r>
              <w:rPr>
                <w:spacing w:val="-1"/>
                <w:sz w:val="18"/>
              </w:rPr>
              <w:t xml:space="preserve"> </w:t>
            </w:r>
            <w:r>
              <w:rPr>
                <w:sz w:val="18"/>
              </w:rPr>
              <w:t>misdemeanour</w:t>
            </w:r>
            <w:r>
              <w:rPr>
                <w:spacing w:val="-42"/>
                <w:sz w:val="18"/>
              </w:rPr>
              <w:t xml:space="preserve"> </w:t>
            </w:r>
            <w:r>
              <w:rPr>
                <w:sz w:val="18"/>
              </w:rPr>
              <w:t>provisions,</w:t>
            </w:r>
            <w:r>
              <w:rPr>
                <w:spacing w:val="-1"/>
                <w:sz w:val="18"/>
              </w:rPr>
              <w:t xml:space="preserve"> </w:t>
            </w:r>
            <w:r>
              <w:rPr>
                <w:sz w:val="18"/>
              </w:rPr>
              <w:t>regulate</w:t>
            </w:r>
            <w:r>
              <w:rPr>
                <w:spacing w:val="-1"/>
                <w:sz w:val="18"/>
              </w:rPr>
              <w:t xml:space="preserve"> </w:t>
            </w:r>
            <w:r>
              <w:rPr>
                <w:sz w:val="18"/>
              </w:rPr>
              <w:t>the</w:t>
            </w:r>
            <w:r>
              <w:rPr>
                <w:spacing w:val="-3"/>
                <w:sz w:val="18"/>
              </w:rPr>
              <w:t xml:space="preserve"> </w:t>
            </w:r>
            <w:r>
              <w:rPr>
                <w:sz w:val="18"/>
              </w:rPr>
              <w:t>process</w:t>
            </w:r>
            <w:r>
              <w:rPr>
                <w:spacing w:val="-2"/>
                <w:sz w:val="18"/>
              </w:rPr>
              <w:t xml:space="preserve"> </w:t>
            </w:r>
            <w:r>
              <w:rPr>
                <w:sz w:val="18"/>
              </w:rPr>
              <w:t>of</w:t>
            </w:r>
            <w:r>
              <w:rPr>
                <w:spacing w:val="-2"/>
                <w:sz w:val="18"/>
              </w:rPr>
              <w:t xml:space="preserve"> </w:t>
            </w:r>
            <w:r>
              <w:rPr>
                <w:sz w:val="18"/>
              </w:rPr>
              <w:t>transferring</w:t>
            </w:r>
            <w:r>
              <w:rPr>
                <w:spacing w:val="1"/>
                <w:sz w:val="18"/>
              </w:rPr>
              <w:t xml:space="preserve"> </w:t>
            </w:r>
            <w:r>
              <w:rPr>
                <w:sz w:val="18"/>
              </w:rPr>
              <w:t>workers</w:t>
            </w:r>
            <w:r>
              <w:rPr>
                <w:spacing w:val="1"/>
                <w:sz w:val="18"/>
              </w:rPr>
              <w:t xml:space="preserve"> </w:t>
            </w:r>
            <w:r>
              <w:rPr>
                <w:sz w:val="18"/>
              </w:rPr>
              <w:t>from</w:t>
            </w:r>
            <w:r>
              <w:rPr>
                <w:spacing w:val="-3"/>
                <w:sz w:val="18"/>
              </w:rPr>
              <w:t xml:space="preserve"> </w:t>
            </w:r>
            <w:r>
              <w:rPr>
                <w:sz w:val="18"/>
              </w:rPr>
              <w:t>undeclared</w:t>
            </w:r>
            <w:r>
              <w:rPr>
                <w:spacing w:val="1"/>
                <w:sz w:val="18"/>
              </w:rPr>
              <w:t xml:space="preserve"> </w:t>
            </w:r>
            <w:r>
              <w:rPr>
                <w:sz w:val="18"/>
              </w:rPr>
              <w:t>to</w:t>
            </w:r>
            <w:r>
              <w:rPr>
                <w:spacing w:val="-2"/>
                <w:sz w:val="18"/>
              </w:rPr>
              <w:t xml:space="preserve"> </w:t>
            </w:r>
            <w:r>
              <w:rPr>
                <w:sz w:val="18"/>
              </w:rPr>
              <w:t>declared</w:t>
            </w:r>
            <w:r>
              <w:rPr>
                <w:spacing w:val="1"/>
                <w:sz w:val="18"/>
              </w:rPr>
              <w:t xml:space="preserve"> </w:t>
            </w:r>
            <w:r>
              <w:rPr>
                <w:sz w:val="18"/>
              </w:rPr>
              <w:t>work.</w:t>
            </w:r>
          </w:p>
        </w:tc>
      </w:tr>
      <w:tr w:rsidR="00A56FE9">
        <w:trPr>
          <w:trHeight w:val="827"/>
        </w:trPr>
        <w:tc>
          <w:tcPr>
            <w:tcW w:w="2127" w:type="dxa"/>
            <w:vMerge/>
            <w:tcBorders>
              <w:top w:val="nil"/>
            </w:tcBorders>
            <w:shd w:val="clear" w:color="auto" w:fill="F1F1F1"/>
          </w:tcPr>
          <w:p w:rsidR="00A56FE9" w:rsidRDefault="00A56FE9">
            <w:pPr>
              <w:rPr>
                <w:sz w:val="2"/>
                <w:szCs w:val="2"/>
              </w:rPr>
            </w:pPr>
          </w:p>
        </w:tc>
        <w:tc>
          <w:tcPr>
            <w:tcW w:w="3356" w:type="dxa"/>
          </w:tcPr>
          <w:p w:rsidR="00A56FE9" w:rsidRDefault="00000000">
            <w:pPr>
              <w:pStyle w:val="TableParagraph"/>
              <w:ind w:left="105" w:right="346"/>
              <w:rPr>
                <w:sz w:val="18"/>
              </w:rPr>
            </w:pPr>
            <w:r>
              <w:rPr>
                <w:sz w:val="18"/>
              </w:rPr>
              <w:t>Contribution by Croatia to EU emission</w:t>
            </w:r>
            <w:r>
              <w:rPr>
                <w:spacing w:val="-43"/>
                <w:sz w:val="18"/>
              </w:rPr>
              <w:t xml:space="preserve"> </w:t>
            </w:r>
            <w:r>
              <w:rPr>
                <w:sz w:val="18"/>
              </w:rPr>
              <w:t>reduction</w:t>
            </w:r>
            <w:r>
              <w:rPr>
                <w:spacing w:val="1"/>
                <w:sz w:val="18"/>
              </w:rPr>
              <w:t xml:space="preserve"> </w:t>
            </w:r>
            <w:r>
              <w:rPr>
                <w:sz w:val="18"/>
              </w:rPr>
              <w:t>by</w:t>
            </w:r>
            <w:r>
              <w:rPr>
                <w:spacing w:val="-4"/>
                <w:sz w:val="18"/>
              </w:rPr>
              <w:t xml:space="preserve"> </w:t>
            </w:r>
            <w:r>
              <w:rPr>
                <w:sz w:val="18"/>
              </w:rPr>
              <w:t>55%</w:t>
            </w:r>
            <w:r>
              <w:rPr>
                <w:spacing w:val="-3"/>
                <w:sz w:val="18"/>
              </w:rPr>
              <w:t xml:space="preserve"> </w:t>
            </w:r>
            <w:r>
              <w:rPr>
                <w:sz w:val="18"/>
              </w:rPr>
              <w:t>by</w:t>
            </w:r>
            <w:r>
              <w:rPr>
                <w:spacing w:val="-4"/>
                <w:sz w:val="18"/>
              </w:rPr>
              <w:t xml:space="preserve"> </w:t>
            </w:r>
            <w:r>
              <w:rPr>
                <w:sz w:val="18"/>
              </w:rPr>
              <w:t>2030</w:t>
            </w:r>
          </w:p>
          <w:p w:rsidR="00A56FE9" w:rsidRDefault="00A56FE9">
            <w:pPr>
              <w:pStyle w:val="TableParagraph"/>
              <w:spacing w:before="7"/>
              <w:rPr>
                <w:b/>
                <w:sz w:val="17"/>
              </w:rPr>
            </w:pPr>
          </w:p>
          <w:p w:rsidR="00A56FE9" w:rsidRDefault="00000000">
            <w:pPr>
              <w:pStyle w:val="TableParagraph"/>
              <w:spacing w:line="191" w:lineRule="exact"/>
              <w:ind w:left="105"/>
              <w:rPr>
                <w:i/>
                <w:sz w:val="18"/>
              </w:rPr>
            </w:pPr>
            <w:r>
              <w:rPr>
                <w:i/>
                <w:sz w:val="18"/>
              </w:rPr>
              <w:t>Also</w:t>
            </w:r>
            <w:r>
              <w:rPr>
                <w:i/>
                <w:spacing w:val="-1"/>
                <w:sz w:val="18"/>
              </w:rPr>
              <w:t xml:space="preserve"> </w:t>
            </w:r>
            <w:r>
              <w:rPr>
                <w:i/>
                <w:sz w:val="18"/>
              </w:rPr>
              <w:t>contributes</w:t>
            </w:r>
            <w:r>
              <w:rPr>
                <w:i/>
                <w:spacing w:val="-2"/>
                <w:sz w:val="18"/>
              </w:rPr>
              <w:t xml:space="preserve"> </w:t>
            </w:r>
            <w:r>
              <w:rPr>
                <w:i/>
                <w:sz w:val="18"/>
              </w:rPr>
              <w:t>to</w:t>
            </w:r>
            <w:r>
              <w:rPr>
                <w:i/>
                <w:spacing w:val="-2"/>
                <w:sz w:val="18"/>
              </w:rPr>
              <w:t xml:space="preserve"> </w:t>
            </w:r>
            <w:r>
              <w:rPr>
                <w:i/>
                <w:sz w:val="18"/>
              </w:rPr>
              <w:t>achieving Principle</w:t>
            </w:r>
            <w:r>
              <w:rPr>
                <w:i/>
                <w:spacing w:val="-1"/>
                <w:sz w:val="18"/>
              </w:rPr>
              <w:t xml:space="preserve"> </w:t>
            </w:r>
            <w:r>
              <w:rPr>
                <w:i/>
                <w:sz w:val="18"/>
              </w:rPr>
              <w:t>8</w:t>
            </w:r>
          </w:p>
        </w:tc>
        <w:tc>
          <w:tcPr>
            <w:tcW w:w="9054" w:type="dxa"/>
          </w:tcPr>
          <w:p w:rsidR="00A56FE9" w:rsidRDefault="00000000">
            <w:pPr>
              <w:pStyle w:val="TableParagraph"/>
              <w:ind w:left="107" w:right="161"/>
              <w:rPr>
                <w:sz w:val="18"/>
              </w:rPr>
            </w:pPr>
            <w:r>
              <w:rPr>
                <w:sz w:val="18"/>
              </w:rPr>
              <w:t>For 2019, Croatia was allowed a national annual quota of 19,105,632 tCO2-eq, while actual emissions for 2019 (outside</w:t>
            </w:r>
            <w:r>
              <w:rPr>
                <w:spacing w:val="1"/>
                <w:sz w:val="18"/>
              </w:rPr>
              <w:t xml:space="preserve"> </w:t>
            </w:r>
            <w:r>
              <w:rPr>
                <w:sz w:val="18"/>
              </w:rPr>
              <w:t>the</w:t>
            </w:r>
            <w:r>
              <w:rPr>
                <w:spacing w:val="-3"/>
                <w:sz w:val="18"/>
              </w:rPr>
              <w:t xml:space="preserve"> </w:t>
            </w:r>
            <w:r>
              <w:rPr>
                <w:sz w:val="18"/>
              </w:rPr>
              <w:t>trading</w:t>
            </w:r>
            <w:r>
              <w:rPr>
                <w:spacing w:val="-3"/>
                <w:sz w:val="18"/>
              </w:rPr>
              <w:t xml:space="preserve"> </w:t>
            </w:r>
            <w:r>
              <w:rPr>
                <w:sz w:val="18"/>
              </w:rPr>
              <w:t>system) were</w:t>
            </w:r>
            <w:r>
              <w:rPr>
                <w:spacing w:val="-3"/>
                <w:sz w:val="18"/>
              </w:rPr>
              <w:t xml:space="preserve"> </w:t>
            </w:r>
            <w:r>
              <w:rPr>
                <w:sz w:val="18"/>
              </w:rPr>
              <w:t>16,058,241</w:t>
            </w:r>
            <w:r>
              <w:rPr>
                <w:spacing w:val="-1"/>
                <w:sz w:val="18"/>
              </w:rPr>
              <w:t xml:space="preserve"> </w:t>
            </w:r>
            <w:r>
              <w:rPr>
                <w:sz w:val="18"/>
              </w:rPr>
              <w:t>tCO2-eq.</w:t>
            </w:r>
            <w:r>
              <w:rPr>
                <w:spacing w:val="-3"/>
                <w:sz w:val="18"/>
              </w:rPr>
              <w:t xml:space="preserve"> </w:t>
            </w:r>
            <w:r>
              <w:rPr>
                <w:sz w:val="18"/>
              </w:rPr>
              <w:t>Following</w:t>
            </w:r>
            <w:r>
              <w:rPr>
                <w:spacing w:val="-3"/>
                <w:sz w:val="18"/>
              </w:rPr>
              <w:t xml:space="preserve"> </w:t>
            </w:r>
            <w:r>
              <w:rPr>
                <w:sz w:val="18"/>
              </w:rPr>
              <w:t>the</w:t>
            </w:r>
            <w:r>
              <w:rPr>
                <w:spacing w:val="-3"/>
                <w:sz w:val="18"/>
              </w:rPr>
              <w:t xml:space="preserve"> </w:t>
            </w:r>
            <w:r>
              <w:rPr>
                <w:sz w:val="18"/>
              </w:rPr>
              <w:t>European</w:t>
            </w:r>
            <w:r>
              <w:rPr>
                <w:spacing w:val="-1"/>
                <w:sz w:val="18"/>
              </w:rPr>
              <w:t xml:space="preserve"> </w:t>
            </w:r>
            <w:r>
              <w:rPr>
                <w:sz w:val="18"/>
              </w:rPr>
              <w:t>Commission's</w:t>
            </w:r>
            <w:r>
              <w:rPr>
                <w:spacing w:val="-2"/>
                <w:sz w:val="18"/>
              </w:rPr>
              <w:t xml:space="preserve"> </w:t>
            </w:r>
            <w:r>
              <w:rPr>
                <w:sz w:val="18"/>
              </w:rPr>
              <w:t>audit</w:t>
            </w:r>
            <w:r>
              <w:rPr>
                <w:spacing w:val="-1"/>
                <w:sz w:val="18"/>
              </w:rPr>
              <w:t xml:space="preserve"> </w:t>
            </w:r>
            <w:r>
              <w:rPr>
                <w:sz w:val="18"/>
              </w:rPr>
              <w:t>in</w:t>
            </w:r>
            <w:r>
              <w:rPr>
                <w:spacing w:val="-3"/>
                <w:sz w:val="18"/>
              </w:rPr>
              <w:t xml:space="preserve"> </w:t>
            </w:r>
            <w:r>
              <w:rPr>
                <w:sz w:val="18"/>
              </w:rPr>
              <w:t>2022,</w:t>
            </w:r>
            <w:r>
              <w:rPr>
                <w:spacing w:val="-2"/>
                <w:sz w:val="18"/>
              </w:rPr>
              <w:t xml:space="preserve"> </w:t>
            </w:r>
            <w:r>
              <w:rPr>
                <w:sz w:val="18"/>
              </w:rPr>
              <w:t>the</w:t>
            </w:r>
            <w:r>
              <w:rPr>
                <w:spacing w:val="-3"/>
                <w:sz w:val="18"/>
              </w:rPr>
              <w:t xml:space="preserve"> </w:t>
            </w:r>
            <w:r>
              <w:rPr>
                <w:sz w:val="18"/>
              </w:rPr>
              <w:t>actual</w:t>
            </w:r>
            <w:r>
              <w:rPr>
                <w:spacing w:val="-2"/>
                <w:sz w:val="18"/>
              </w:rPr>
              <w:t xml:space="preserve"> </w:t>
            </w:r>
            <w:r>
              <w:rPr>
                <w:sz w:val="18"/>
              </w:rPr>
              <w:t>emissions</w:t>
            </w:r>
            <w:r>
              <w:rPr>
                <w:spacing w:val="-42"/>
                <w:sz w:val="18"/>
              </w:rPr>
              <w:t xml:space="preserve"> </w:t>
            </w:r>
            <w:r>
              <w:rPr>
                <w:sz w:val="18"/>
              </w:rPr>
              <w:t>will</w:t>
            </w:r>
            <w:r>
              <w:rPr>
                <w:spacing w:val="-1"/>
                <w:sz w:val="18"/>
              </w:rPr>
              <w:t xml:space="preserve"> </w:t>
            </w:r>
            <w:r>
              <w:rPr>
                <w:sz w:val="18"/>
              </w:rPr>
              <w:t>be</w:t>
            </w:r>
            <w:r>
              <w:rPr>
                <w:spacing w:val="-1"/>
                <w:sz w:val="18"/>
              </w:rPr>
              <w:t xml:space="preserve"> </w:t>
            </w:r>
            <w:r>
              <w:rPr>
                <w:sz w:val="18"/>
              </w:rPr>
              <w:t>known</w:t>
            </w:r>
            <w:r>
              <w:rPr>
                <w:spacing w:val="1"/>
                <w:sz w:val="18"/>
              </w:rPr>
              <w:t xml:space="preserve"> </w:t>
            </w:r>
            <w:r>
              <w:rPr>
                <w:sz w:val="18"/>
              </w:rPr>
              <w:t>for 2020</w:t>
            </w:r>
            <w:r>
              <w:rPr>
                <w:spacing w:val="1"/>
                <w:sz w:val="18"/>
              </w:rPr>
              <w:t xml:space="preserve"> </w:t>
            </w:r>
            <w:r>
              <w:rPr>
                <w:sz w:val="18"/>
              </w:rPr>
              <w:t>and</w:t>
            </w:r>
            <w:r>
              <w:rPr>
                <w:spacing w:val="1"/>
                <w:sz w:val="18"/>
              </w:rPr>
              <w:t xml:space="preserve"> </w:t>
            </w:r>
            <w:r>
              <w:rPr>
                <w:sz w:val="18"/>
              </w:rPr>
              <w:t>in</w:t>
            </w:r>
            <w:r>
              <w:rPr>
                <w:spacing w:val="1"/>
                <w:sz w:val="18"/>
              </w:rPr>
              <w:t xml:space="preserve"> </w:t>
            </w:r>
            <w:r>
              <w:rPr>
                <w:sz w:val="18"/>
              </w:rPr>
              <w:t>2023</w:t>
            </w:r>
            <w:r>
              <w:rPr>
                <w:spacing w:val="1"/>
                <w:sz w:val="18"/>
              </w:rPr>
              <w:t xml:space="preserve"> </w:t>
            </w:r>
            <w:r>
              <w:rPr>
                <w:sz w:val="18"/>
              </w:rPr>
              <w:t>for</w:t>
            </w:r>
            <w:r>
              <w:rPr>
                <w:spacing w:val="-3"/>
                <w:sz w:val="18"/>
              </w:rPr>
              <w:t xml:space="preserve"> </w:t>
            </w:r>
            <w:r>
              <w:rPr>
                <w:sz w:val="18"/>
              </w:rPr>
              <w:t>2021.</w:t>
            </w:r>
          </w:p>
        </w:tc>
      </w:tr>
      <w:tr w:rsidR="00A56FE9">
        <w:trPr>
          <w:trHeight w:val="621"/>
        </w:trPr>
        <w:tc>
          <w:tcPr>
            <w:tcW w:w="2127" w:type="dxa"/>
            <w:vMerge/>
            <w:tcBorders>
              <w:top w:val="nil"/>
            </w:tcBorders>
            <w:shd w:val="clear" w:color="auto" w:fill="F1F1F1"/>
          </w:tcPr>
          <w:p w:rsidR="00A56FE9" w:rsidRDefault="00A56FE9">
            <w:pPr>
              <w:rPr>
                <w:sz w:val="2"/>
                <w:szCs w:val="2"/>
              </w:rPr>
            </w:pPr>
          </w:p>
        </w:tc>
        <w:tc>
          <w:tcPr>
            <w:tcW w:w="3356" w:type="dxa"/>
          </w:tcPr>
          <w:p w:rsidR="00A56FE9" w:rsidRDefault="00000000">
            <w:pPr>
              <w:pStyle w:val="TableParagraph"/>
              <w:spacing w:line="202" w:lineRule="exact"/>
              <w:ind w:left="105"/>
              <w:rPr>
                <w:sz w:val="18"/>
              </w:rPr>
            </w:pPr>
            <w:r>
              <w:rPr>
                <w:sz w:val="18"/>
              </w:rPr>
              <w:t>year Action</w:t>
            </w:r>
            <w:r>
              <w:rPr>
                <w:spacing w:val="-3"/>
                <w:sz w:val="18"/>
              </w:rPr>
              <w:t xml:space="preserve"> </w:t>
            </w:r>
            <w:r>
              <w:rPr>
                <w:sz w:val="18"/>
              </w:rPr>
              <w:t>Plan for</w:t>
            </w:r>
            <w:r>
              <w:rPr>
                <w:spacing w:val="-2"/>
                <w:sz w:val="18"/>
              </w:rPr>
              <w:t xml:space="preserve"> </w:t>
            </w:r>
            <w:r>
              <w:rPr>
                <w:sz w:val="18"/>
              </w:rPr>
              <w:t>the</w:t>
            </w:r>
            <w:r>
              <w:rPr>
                <w:spacing w:val="-2"/>
                <w:sz w:val="18"/>
              </w:rPr>
              <w:t xml:space="preserve"> </w:t>
            </w:r>
            <w:r>
              <w:rPr>
                <w:sz w:val="18"/>
              </w:rPr>
              <w:t>implementation</w:t>
            </w:r>
            <w:r>
              <w:rPr>
                <w:spacing w:val="-1"/>
                <w:sz w:val="18"/>
              </w:rPr>
              <w:t xml:space="preserve"> </w:t>
            </w:r>
            <w:r>
              <w:rPr>
                <w:sz w:val="18"/>
              </w:rPr>
              <w:t>of</w:t>
            </w:r>
          </w:p>
          <w:p w:rsidR="00A56FE9" w:rsidRDefault="00000000">
            <w:pPr>
              <w:pStyle w:val="TableParagraph"/>
              <w:spacing w:line="206" w:lineRule="exact"/>
              <w:ind w:left="105" w:right="374"/>
              <w:rPr>
                <w:sz w:val="18"/>
              </w:rPr>
            </w:pPr>
            <w:r>
              <w:rPr>
                <w:sz w:val="18"/>
              </w:rPr>
              <w:t>priority</w:t>
            </w:r>
            <w:r>
              <w:rPr>
                <w:spacing w:val="-4"/>
                <w:sz w:val="18"/>
              </w:rPr>
              <w:t xml:space="preserve"> </w:t>
            </w:r>
            <w:r>
              <w:rPr>
                <w:sz w:val="18"/>
              </w:rPr>
              <w:t>measures from</w:t>
            </w:r>
            <w:r>
              <w:rPr>
                <w:spacing w:val="-5"/>
                <w:sz w:val="18"/>
              </w:rPr>
              <w:t xml:space="preserve"> </w:t>
            </w:r>
            <w:r>
              <w:rPr>
                <w:sz w:val="18"/>
              </w:rPr>
              <w:t>the</w:t>
            </w:r>
            <w:r>
              <w:rPr>
                <w:spacing w:val="-4"/>
                <w:sz w:val="18"/>
              </w:rPr>
              <w:t xml:space="preserve"> </w:t>
            </w:r>
            <w:r>
              <w:rPr>
                <w:sz w:val="18"/>
              </w:rPr>
              <w:t>Low</w:t>
            </w:r>
            <w:r>
              <w:rPr>
                <w:spacing w:val="-5"/>
                <w:sz w:val="18"/>
              </w:rPr>
              <w:t xml:space="preserve"> </w:t>
            </w:r>
            <w:r>
              <w:rPr>
                <w:sz w:val="18"/>
              </w:rPr>
              <w:t>Carbon</w:t>
            </w:r>
            <w:r>
              <w:rPr>
                <w:spacing w:val="-42"/>
                <w:sz w:val="18"/>
              </w:rPr>
              <w:t xml:space="preserve"> </w:t>
            </w:r>
            <w:r>
              <w:rPr>
                <w:sz w:val="18"/>
              </w:rPr>
              <w:t>Development</w:t>
            </w:r>
            <w:r>
              <w:rPr>
                <w:spacing w:val="-1"/>
                <w:sz w:val="18"/>
              </w:rPr>
              <w:t xml:space="preserve"> </w:t>
            </w:r>
            <w:r>
              <w:rPr>
                <w:sz w:val="18"/>
              </w:rPr>
              <w:t>Strategy</w:t>
            </w:r>
          </w:p>
        </w:tc>
        <w:tc>
          <w:tcPr>
            <w:tcW w:w="9054" w:type="dxa"/>
          </w:tcPr>
          <w:p w:rsidR="00A56FE9" w:rsidRDefault="00000000">
            <w:pPr>
              <w:pStyle w:val="TableParagraph"/>
              <w:spacing w:line="202" w:lineRule="exact"/>
              <w:ind w:left="107"/>
              <w:rPr>
                <w:sz w:val="18"/>
              </w:rPr>
            </w:pPr>
            <w:r>
              <w:rPr>
                <w:sz w:val="18"/>
              </w:rPr>
              <w:t>An</w:t>
            </w:r>
            <w:r>
              <w:rPr>
                <w:spacing w:val="-1"/>
                <w:sz w:val="18"/>
              </w:rPr>
              <w:t xml:space="preserve"> </w:t>
            </w:r>
            <w:r>
              <w:rPr>
                <w:sz w:val="18"/>
              </w:rPr>
              <w:t>action plan</w:t>
            </w:r>
            <w:r>
              <w:rPr>
                <w:spacing w:val="-4"/>
                <w:sz w:val="18"/>
              </w:rPr>
              <w:t xml:space="preserve"> </w:t>
            </w:r>
            <w:r>
              <w:rPr>
                <w:sz w:val="18"/>
              </w:rPr>
              <w:t>will</w:t>
            </w:r>
            <w:r>
              <w:rPr>
                <w:spacing w:val="-1"/>
                <w:sz w:val="18"/>
              </w:rPr>
              <w:t xml:space="preserve"> </w:t>
            </w:r>
            <w:r>
              <w:rPr>
                <w:sz w:val="18"/>
              </w:rPr>
              <w:t>be</w:t>
            </w:r>
            <w:r>
              <w:rPr>
                <w:spacing w:val="-2"/>
                <w:sz w:val="18"/>
              </w:rPr>
              <w:t xml:space="preserve"> </w:t>
            </w:r>
            <w:r>
              <w:rPr>
                <w:sz w:val="18"/>
              </w:rPr>
              <w:t>drawn</w:t>
            </w:r>
            <w:r>
              <w:rPr>
                <w:spacing w:val="-1"/>
                <w:sz w:val="18"/>
              </w:rPr>
              <w:t xml:space="preserve"> </w:t>
            </w:r>
            <w:r>
              <w:rPr>
                <w:sz w:val="18"/>
              </w:rPr>
              <w:t>up</w:t>
            </w:r>
            <w:r>
              <w:rPr>
                <w:spacing w:val="-2"/>
                <w:sz w:val="18"/>
              </w:rPr>
              <w:t xml:space="preserve"> </w:t>
            </w:r>
            <w:r>
              <w:rPr>
                <w:sz w:val="18"/>
              </w:rPr>
              <w:t>to implement</w:t>
            </w:r>
            <w:r>
              <w:rPr>
                <w:spacing w:val="-2"/>
                <w:sz w:val="18"/>
              </w:rPr>
              <w:t xml:space="preserve"> </w:t>
            </w:r>
            <w:r>
              <w:rPr>
                <w:sz w:val="18"/>
              </w:rPr>
              <w:t>the</w:t>
            </w:r>
            <w:r>
              <w:rPr>
                <w:spacing w:val="-2"/>
                <w:sz w:val="18"/>
              </w:rPr>
              <w:t xml:space="preserve"> </w:t>
            </w:r>
            <w:r>
              <w:rPr>
                <w:sz w:val="18"/>
              </w:rPr>
              <w:t>priority</w:t>
            </w:r>
            <w:r>
              <w:rPr>
                <w:spacing w:val="-5"/>
                <w:sz w:val="18"/>
              </w:rPr>
              <w:t xml:space="preserve"> </w:t>
            </w:r>
            <w:r>
              <w:rPr>
                <w:sz w:val="18"/>
              </w:rPr>
              <w:t>measures</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Low</w:t>
            </w:r>
            <w:r>
              <w:rPr>
                <w:spacing w:val="-4"/>
                <w:sz w:val="18"/>
              </w:rPr>
              <w:t xml:space="preserve"> </w:t>
            </w:r>
            <w:r>
              <w:rPr>
                <w:sz w:val="18"/>
              </w:rPr>
              <w:t>Carbon</w:t>
            </w:r>
            <w:r>
              <w:rPr>
                <w:spacing w:val="-1"/>
                <w:sz w:val="18"/>
              </w:rPr>
              <w:t xml:space="preserve"> </w:t>
            </w:r>
            <w:r>
              <w:rPr>
                <w:sz w:val="18"/>
              </w:rPr>
              <w:t>Development</w:t>
            </w:r>
            <w:r>
              <w:rPr>
                <w:spacing w:val="-1"/>
                <w:sz w:val="18"/>
              </w:rPr>
              <w:t xml:space="preserve"> </w:t>
            </w:r>
            <w:r>
              <w:rPr>
                <w:sz w:val="18"/>
              </w:rPr>
              <w:t>Strategy,</w:t>
            </w:r>
            <w:r>
              <w:rPr>
                <w:spacing w:val="-2"/>
                <w:sz w:val="18"/>
              </w:rPr>
              <w:t xml:space="preserve"> </w:t>
            </w:r>
            <w:r>
              <w:rPr>
                <w:sz w:val="18"/>
              </w:rPr>
              <w:t>which will</w:t>
            </w:r>
          </w:p>
          <w:p w:rsidR="00A56FE9" w:rsidRDefault="00000000">
            <w:pPr>
              <w:pStyle w:val="TableParagraph"/>
              <w:spacing w:line="206" w:lineRule="exact"/>
              <w:ind w:left="107" w:right="161"/>
              <w:rPr>
                <w:sz w:val="18"/>
              </w:rPr>
            </w:pPr>
            <w:r>
              <w:rPr>
                <w:sz w:val="18"/>
              </w:rPr>
              <w:t>include</w:t>
            </w:r>
            <w:r>
              <w:rPr>
                <w:spacing w:val="-2"/>
                <w:sz w:val="18"/>
              </w:rPr>
              <w:t xml:space="preserve"> </w:t>
            </w:r>
            <w:r>
              <w:rPr>
                <w:sz w:val="18"/>
              </w:rPr>
              <w:t>new</w:t>
            </w:r>
            <w:r>
              <w:rPr>
                <w:spacing w:val="-4"/>
                <w:sz w:val="18"/>
              </w:rPr>
              <w:t xml:space="preserve"> </w:t>
            </w:r>
            <w:r>
              <w:rPr>
                <w:sz w:val="18"/>
              </w:rPr>
              <w:t>national</w:t>
            </w:r>
            <w:r>
              <w:rPr>
                <w:spacing w:val="-1"/>
                <w:sz w:val="18"/>
              </w:rPr>
              <w:t xml:space="preserve"> </w:t>
            </w:r>
            <w:r>
              <w:rPr>
                <w:sz w:val="18"/>
              </w:rPr>
              <w:t>commitments</w:t>
            </w:r>
            <w:r>
              <w:rPr>
                <w:spacing w:val="-1"/>
                <w:sz w:val="18"/>
              </w:rPr>
              <w:t xml:space="preserve"> </w:t>
            </w:r>
            <w:r>
              <w:rPr>
                <w:sz w:val="18"/>
              </w:rPr>
              <w:t>to</w:t>
            </w:r>
            <w:r>
              <w:rPr>
                <w:spacing w:val="1"/>
                <w:sz w:val="18"/>
              </w:rPr>
              <w:t xml:space="preserve"> </w:t>
            </w:r>
            <w:r>
              <w:rPr>
                <w:sz w:val="18"/>
              </w:rPr>
              <w:t>achieve</w:t>
            </w:r>
            <w:r>
              <w:rPr>
                <w:spacing w:val="-2"/>
                <w:sz w:val="18"/>
              </w:rPr>
              <w:t xml:space="preserve"> </w:t>
            </w:r>
            <w:r>
              <w:rPr>
                <w:sz w:val="18"/>
              </w:rPr>
              <w:t>the</w:t>
            </w:r>
            <w:r>
              <w:rPr>
                <w:spacing w:val="-2"/>
                <w:sz w:val="18"/>
              </w:rPr>
              <w:t xml:space="preserve"> </w:t>
            </w:r>
            <w:r>
              <w:rPr>
                <w:sz w:val="18"/>
              </w:rPr>
              <w:t>EU's</w:t>
            </w:r>
            <w:r>
              <w:rPr>
                <w:spacing w:val="-1"/>
                <w:sz w:val="18"/>
              </w:rPr>
              <w:t xml:space="preserve"> </w:t>
            </w:r>
            <w:r>
              <w:rPr>
                <w:sz w:val="18"/>
              </w:rPr>
              <w:t>common goal</w:t>
            </w:r>
            <w:r>
              <w:rPr>
                <w:spacing w:val="-1"/>
                <w:sz w:val="18"/>
              </w:rPr>
              <w:t xml:space="preserve"> </w:t>
            </w:r>
            <w:r>
              <w:rPr>
                <w:sz w:val="18"/>
              </w:rPr>
              <w:t>of</w:t>
            </w:r>
            <w:r>
              <w:rPr>
                <w:spacing w:val="-3"/>
                <w:sz w:val="18"/>
              </w:rPr>
              <w:t xml:space="preserve"> </w:t>
            </w:r>
            <w:r>
              <w:rPr>
                <w:sz w:val="18"/>
              </w:rPr>
              <w:t>reducing</w:t>
            </w:r>
            <w:r>
              <w:rPr>
                <w:spacing w:val="-2"/>
                <w:sz w:val="18"/>
              </w:rPr>
              <w:t xml:space="preserve"> </w:t>
            </w:r>
            <w:r>
              <w:rPr>
                <w:sz w:val="18"/>
              </w:rPr>
              <w:t>greenhouse</w:t>
            </w:r>
            <w:r>
              <w:rPr>
                <w:spacing w:val="-2"/>
                <w:sz w:val="18"/>
              </w:rPr>
              <w:t xml:space="preserve"> </w:t>
            </w:r>
            <w:r>
              <w:rPr>
                <w:sz w:val="18"/>
              </w:rPr>
              <w:t>gas emissions</w:t>
            </w:r>
            <w:r>
              <w:rPr>
                <w:spacing w:val="-1"/>
                <w:sz w:val="18"/>
              </w:rPr>
              <w:t xml:space="preserve"> </w:t>
            </w:r>
            <w:r>
              <w:rPr>
                <w:sz w:val="18"/>
              </w:rPr>
              <w:t>by</w:t>
            </w:r>
            <w:r>
              <w:rPr>
                <w:spacing w:val="-5"/>
                <w:sz w:val="18"/>
              </w:rPr>
              <w:t xml:space="preserve"> </w:t>
            </w:r>
            <w:r>
              <w:rPr>
                <w:sz w:val="18"/>
              </w:rPr>
              <w:t>55%</w:t>
            </w:r>
            <w:r>
              <w:rPr>
                <w:spacing w:val="-2"/>
                <w:sz w:val="18"/>
              </w:rPr>
              <w:t xml:space="preserve"> </w:t>
            </w:r>
            <w:r>
              <w:rPr>
                <w:sz w:val="18"/>
              </w:rPr>
              <w:t>by</w:t>
            </w:r>
            <w:r>
              <w:rPr>
                <w:spacing w:val="-42"/>
                <w:sz w:val="18"/>
              </w:rPr>
              <w:t xml:space="preserve"> </w:t>
            </w:r>
            <w:r>
              <w:rPr>
                <w:sz w:val="18"/>
              </w:rPr>
              <w:t>2030</w:t>
            </w:r>
            <w:r>
              <w:rPr>
                <w:spacing w:val="1"/>
                <w:sz w:val="18"/>
              </w:rPr>
              <w:t xml:space="preserve"> </w:t>
            </w:r>
            <w:r>
              <w:rPr>
                <w:sz w:val="18"/>
              </w:rPr>
              <w:t>and</w:t>
            </w:r>
            <w:r>
              <w:rPr>
                <w:spacing w:val="1"/>
                <w:sz w:val="18"/>
              </w:rPr>
              <w:t xml:space="preserve"> </w:t>
            </w:r>
            <w:r>
              <w:rPr>
                <w:sz w:val="18"/>
              </w:rPr>
              <w:t>achieving</w:t>
            </w:r>
            <w:r>
              <w:rPr>
                <w:spacing w:val="-1"/>
                <w:sz w:val="18"/>
              </w:rPr>
              <w:t xml:space="preserve"> </w:t>
            </w:r>
            <w:r>
              <w:rPr>
                <w:sz w:val="18"/>
              </w:rPr>
              <w:t>EU climate neutrality</w:t>
            </w:r>
            <w:r>
              <w:rPr>
                <w:spacing w:val="-4"/>
                <w:sz w:val="18"/>
              </w:rPr>
              <w:t xml:space="preserve"> </w:t>
            </w:r>
            <w:r>
              <w:rPr>
                <w:sz w:val="18"/>
              </w:rPr>
              <w:t>by</w:t>
            </w:r>
            <w:r>
              <w:rPr>
                <w:spacing w:val="-4"/>
                <w:sz w:val="18"/>
              </w:rPr>
              <w:t xml:space="preserve"> </w:t>
            </w:r>
            <w:r>
              <w:rPr>
                <w:sz w:val="18"/>
              </w:rPr>
              <w:t>2050.</w:t>
            </w:r>
          </w:p>
        </w:tc>
      </w:tr>
      <w:tr w:rsidR="00A56FE9">
        <w:trPr>
          <w:trHeight w:val="1034"/>
        </w:trPr>
        <w:tc>
          <w:tcPr>
            <w:tcW w:w="2127" w:type="dxa"/>
            <w:vMerge/>
            <w:tcBorders>
              <w:top w:val="nil"/>
            </w:tcBorders>
            <w:shd w:val="clear" w:color="auto" w:fill="F1F1F1"/>
          </w:tcPr>
          <w:p w:rsidR="00A56FE9" w:rsidRDefault="00A56FE9">
            <w:pPr>
              <w:rPr>
                <w:sz w:val="2"/>
                <w:szCs w:val="2"/>
              </w:rPr>
            </w:pPr>
          </w:p>
        </w:tc>
        <w:tc>
          <w:tcPr>
            <w:tcW w:w="3356" w:type="dxa"/>
          </w:tcPr>
          <w:p w:rsidR="00A56FE9" w:rsidRDefault="00000000">
            <w:pPr>
              <w:pStyle w:val="TableParagraph"/>
              <w:ind w:left="105" w:right="168"/>
              <w:rPr>
                <w:sz w:val="18"/>
              </w:rPr>
            </w:pPr>
            <w:r>
              <w:rPr>
                <w:sz w:val="18"/>
              </w:rPr>
              <w:t>Drawing up the planning framework for</w:t>
            </w:r>
            <w:r>
              <w:rPr>
                <w:spacing w:val="1"/>
                <w:sz w:val="18"/>
              </w:rPr>
              <w:t xml:space="preserve"> </w:t>
            </w:r>
            <w:r>
              <w:rPr>
                <w:sz w:val="18"/>
              </w:rPr>
              <w:t>the</w:t>
            </w:r>
            <w:r>
              <w:rPr>
                <w:spacing w:val="-3"/>
                <w:sz w:val="18"/>
              </w:rPr>
              <w:t xml:space="preserve"> </w:t>
            </w:r>
            <w:r>
              <w:rPr>
                <w:sz w:val="18"/>
              </w:rPr>
              <w:t>implementation</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Climate</w:t>
            </w:r>
            <w:r>
              <w:rPr>
                <w:spacing w:val="-2"/>
                <w:sz w:val="18"/>
              </w:rPr>
              <w:t xml:space="preserve"> </w:t>
            </w:r>
            <w:r>
              <w:rPr>
                <w:sz w:val="18"/>
              </w:rPr>
              <w:t>Change</w:t>
            </w:r>
            <w:r>
              <w:rPr>
                <w:spacing w:val="-42"/>
                <w:sz w:val="18"/>
              </w:rPr>
              <w:t xml:space="preserve"> </w:t>
            </w:r>
            <w:r>
              <w:rPr>
                <w:sz w:val="18"/>
              </w:rPr>
              <w:t>Adaptation Strategy</w:t>
            </w:r>
          </w:p>
          <w:p w:rsidR="00A56FE9" w:rsidRDefault="00A56FE9">
            <w:pPr>
              <w:pStyle w:val="TableParagraph"/>
              <w:spacing w:before="6"/>
              <w:rPr>
                <w:b/>
                <w:sz w:val="17"/>
              </w:rPr>
            </w:pPr>
          </w:p>
          <w:p w:rsidR="00A56FE9" w:rsidRDefault="00000000">
            <w:pPr>
              <w:pStyle w:val="TableParagraph"/>
              <w:spacing w:line="191" w:lineRule="exact"/>
              <w:ind w:left="105"/>
              <w:rPr>
                <w:i/>
                <w:sz w:val="18"/>
              </w:rPr>
            </w:pPr>
            <w:r>
              <w:rPr>
                <w:i/>
                <w:sz w:val="18"/>
              </w:rPr>
              <w:t>Also</w:t>
            </w:r>
            <w:r>
              <w:rPr>
                <w:i/>
                <w:spacing w:val="-1"/>
                <w:sz w:val="18"/>
              </w:rPr>
              <w:t xml:space="preserve"> </w:t>
            </w:r>
            <w:r>
              <w:rPr>
                <w:i/>
                <w:sz w:val="18"/>
              </w:rPr>
              <w:t>contributes</w:t>
            </w:r>
            <w:r>
              <w:rPr>
                <w:i/>
                <w:spacing w:val="-2"/>
                <w:sz w:val="18"/>
              </w:rPr>
              <w:t xml:space="preserve"> </w:t>
            </w:r>
            <w:r>
              <w:rPr>
                <w:i/>
                <w:sz w:val="18"/>
              </w:rPr>
              <w:t>to</w:t>
            </w:r>
            <w:r>
              <w:rPr>
                <w:i/>
                <w:spacing w:val="-2"/>
                <w:sz w:val="18"/>
              </w:rPr>
              <w:t xml:space="preserve"> </w:t>
            </w:r>
            <w:r>
              <w:rPr>
                <w:i/>
                <w:sz w:val="18"/>
              </w:rPr>
              <w:t>achieving Principle</w:t>
            </w:r>
            <w:r>
              <w:rPr>
                <w:i/>
                <w:spacing w:val="-1"/>
                <w:sz w:val="18"/>
              </w:rPr>
              <w:t xml:space="preserve"> </w:t>
            </w:r>
            <w:r>
              <w:rPr>
                <w:i/>
                <w:sz w:val="18"/>
              </w:rPr>
              <w:t>8</w:t>
            </w:r>
          </w:p>
        </w:tc>
        <w:tc>
          <w:tcPr>
            <w:tcW w:w="9054" w:type="dxa"/>
          </w:tcPr>
          <w:p w:rsidR="00A56FE9" w:rsidRDefault="00000000">
            <w:pPr>
              <w:pStyle w:val="TableParagraph"/>
              <w:ind w:left="107" w:right="474"/>
              <w:rPr>
                <w:sz w:val="18"/>
              </w:rPr>
            </w:pPr>
            <w:r>
              <w:rPr>
                <w:sz w:val="18"/>
              </w:rPr>
              <w:t>An</w:t>
            </w:r>
            <w:r>
              <w:rPr>
                <w:spacing w:val="-1"/>
                <w:sz w:val="18"/>
              </w:rPr>
              <w:t xml:space="preserve"> </w:t>
            </w:r>
            <w:r>
              <w:rPr>
                <w:sz w:val="18"/>
              </w:rPr>
              <w:t>action plan</w:t>
            </w:r>
            <w:r>
              <w:rPr>
                <w:spacing w:val="-4"/>
                <w:sz w:val="18"/>
              </w:rPr>
              <w:t xml:space="preserve"> </w:t>
            </w:r>
            <w:r>
              <w:rPr>
                <w:sz w:val="18"/>
              </w:rPr>
              <w:t>for</w:t>
            </w:r>
            <w:r>
              <w:rPr>
                <w:spacing w:val="-1"/>
                <w:sz w:val="18"/>
              </w:rPr>
              <w:t xml:space="preserve"> </w:t>
            </w:r>
            <w:r>
              <w:rPr>
                <w:sz w:val="18"/>
              </w:rPr>
              <w:t>the</w:t>
            </w:r>
            <w:r>
              <w:rPr>
                <w:spacing w:val="-2"/>
                <w:sz w:val="18"/>
              </w:rPr>
              <w:t xml:space="preserve"> </w:t>
            </w:r>
            <w:r>
              <w:rPr>
                <w:sz w:val="18"/>
              </w:rPr>
              <w:t>implementation</w:t>
            </w:r>
            <w:r>
              <w:rPr>
                <w:spacing w:val="-3"/>
                <w:sz w:val="18"/>
              </w:rPr>
              <w:t xml:space="preserve"> </w:t>
            </w:r>
            <w:r>
              <w:rPr>
                <w:sz w:val="18"/>
              </w:rPr>
              <w:t>of</w:t>
            </w:r>
            <w:r>
              <w:rPr>
                <w:spacing w:val="-3"/>
                <w:sz w:val="18"/>
              </w:rPr>
              <w:t xml:space="preserve"> </w:t>
            </w:r>
            <w:r>
              <w:rPr>
                <w:sz w:val="18"/>
              </w:rPr>
              <w:t>priority</w:t>
            </w:r>
            <w:r>
              <w:rPr>
                <w:spacing w:val="-2"/>
                <w:sz w:val="18"/>
              </w:rPr>
              <w:t xml:space="preserve"> </w:t>
            </w:r>
            <w:r>
              <w:rPr>
                <w:sz w:val="18"/>
              </w:rPr>
              <w:t>measures</w:t>
            </w:r>
            <w:r>
              <w:rPr>
                <w:spacing w:val="-2"/>
                <w:sz w:val="18"/>
              </w:rPr>
              <w:t xml:space="preserve"> </w:t>
            </w:r>
            <w:r>
              <w:rPr>
                <w:sz w:val="18"/>
              </w:rPr>
              <w:t>from</w:t>
            </w:r>
            <w:r>
              <w:rPr>
                <w:spacing w:val="-4"/>
                <w:sz w:val="18"/>
              </w:rPr>
              <w:t xml:space="preserve"> </w:t>
            </w:r>
            <w:r>
              <w:rPr>
                <w:sz w:val="18"/>
              </w:rPr>
              <w:t>the</w:t>
            </w:r>
            <w:r>
              <w:rPr>
                <w:spacing w:val="4"/>
                <w:sz w:val="18"/>
              </w:rPr>
              <w:t xml:space="preserve"> </w:t>
            </w:r>
            <w:r>
              <w:rPr>
                <w:sz w:val="18"/>
              </w:rPr>
              <w:t>Climate</w:t>
            </w:r>
            <w:r>
              <w:rPr>
                <w:spacing w:val="-2"/>
                <w:sz w:val="18"/>
              </w:rPr>
              <w:t xml:space="preserve"> </w:t>
            </w:r>
            <w:r>
              <w:rPr>
                <w:sz w:val="18"/>
              </w:rPr>
              <w:t>Change</w:t>
            </w:r>
            <w:r>
              <w:rPr>
                <w:spacing w:val="-2"/>
                <w:sz w:val="18"/>
              </w:rPr>
              <w:t xml:space="preserve"> </w:t>
            </w:r>
            <w:r>
              <w:rPr>
                <w:sz w:val="18"/>
              </w:rPr>
              <w:t>Adaptation</w:t>
            </w:r>
            <w:r>
              <w:rPr>
                <w:spacing w:val="-1"/>
                <w:sz w:val="18"/>
              </w:rPr>
              <w:t xml:space="preserve"> </w:t>
            </w:r>
            <w:r>
              <w:rPr>
                <w:sz w:val="18"/>
              </w:rPr>
              <w:t>Strategy</w:t>
            </w:r>
            <w:r>
              <w:rPr>
                <w:spacing w:val="-2"/>
                <w:sz w:val="18"/>
              </w:rPr>
              <w:t xml:space="preserve"> </w:t>
            </w:r>
            <w:r>
              <w:rPr>
                <w:sz w:val="18"/>
              </w:rPr>
              <w:t>for</w:t>
            </w:r>
            <w:r>
              <w:rPr>
                <w:spacing w:val="-1"/>
                <w:sz w:val="18"/>
              </w:rPr>
              <w:t xml:space="preserve"> </w:t>
            </w:r>
            <w:r>
              <w:rPr>
                <w:sz w:val="18"/>
              </w:rPr>
              <w:t>the</w:t>
            </w:r>
            <w:r>
              <w:rPr>
                <w:spacing w:val="-3"/>
                <w:sz w:val="18"/>
              </w:rPr>
              <w:t xml:space="preserve"> </w:t>
            </w:r>
            <w:r>
              <w:rPr>
                <w:sz w:val="18"/>
              </w:rPr>
              <w:t>first</w:t>
            </w:r>
            <w:r>
              <w:rPr>
                <w:spacing w:val="-42"/>
                <w:sz w:val="18"/>
              </w:rPr>
              <w:t xml:space="preserve"> </w:t>
            </w:r>
            <w:r>
              <w:rPr>
                <w:sz w:val="18"/>
              </w:rPr>
              <w:t>five-year</w:t>
            </w:r>
            <w:r>
              <w:rPr>
                <w:spacing w:val="-1"/>
                <w:sz w:val="18"/>
              </w:rPr>
              <w:t xml:space="preserve"> </w:t>
            </w:r>
            <w:r>
              <w:rPr>
                <w:sz w:val="18"/>
              </w:rPr>
              <w:t>period</w:t>
            </w:r>
            <w:r>
              <w:rPr>
                <w:spacing w:val="1"/>
                <w:sz w:val="18"/>
              </w:rPr>
              <w:t xml:space="preserve"> </w:t>
            </w:r>
            <w:r>
              <w:rPr>
                <w:sz w:val="18"/>
              </w:rPr>
              <w:t>will be</w:t>
            </w:r>
            <w:r>
              <w:rPr>
                <w:spacing w:val="-3"/>
                <w:sz w:val="18"/>
              </w:rPr>
              <w:t xml:space="preserve"> </w:t>
            </w:r>
            <w:r>
              <w:rPr>
                <w:sz w:val="18"/>
              </w:rPr>
              <w:t>developed.</w:t>
            </w:r>
          </w:p>
        </w:tc>
      </w:tr>
      <w:tr w:rsidR="00A56FE9">
        <w:trPr>
          <w:trHeight w:val="830"/>
        </w:trPr>
        <w:tc>
          <w:tcPr>
            <w:tcW w:w="2127" w:type="dxa"/>
            <w:vMerge/>
            <w:tcBorders>
              <w:top w:val="nil"/>
            </w:tcBorders>
            <w:shd w:val="clear" w:color="auto" w:fill="F1F1F1"/>
          </w:tcPr>
          <w:p w:rsidR="00A56FE9" w:rsidRDefault="00A56FE9">
            <w:pPr>
              <w:rPr>
                <w:sz w:val="2"/>
                <w:szCs w:val="2"/>
              </w:rPr>
            </w:pPr>
          </w:p>
        </w:tc>
        <w:tc>
          <w:tcPr>
            <w:tcW w:w="3356" w:type="dxa"/>
          </w:tcPr>
          <w:p w:rsidR="00A56FE9" w:rsidRDefault="00000000">
            <w:pPr>
              <w:pStyle w:val="TableParagraph"/>
              <w:ind w:left="105" w:right="483"/>
              <w:rPr>
                <w:sz w:val="18"/>
              </w:rPr>
            </w:pPr>
            <w:r>
              <w:rPr>
                <w:sz w:val="18"/>
              </w:rPr>
              <w:t>Drafting</w:t>
            </w:r>
            <w:r>
              <w:rPr>
                <w:spacing w:val="-4"/>
                <w:sz w:val="18"/>
              </w:rPr>
              <w:t xml:space="preserve"> </w:t>
            </w:r>
            <w:r>
              <w:rPr>
                <w:sz w:val="18"/>
              </w:rPr>
              <w:t>the</w:t>
            </w:r>
            <w:r>
              <w:rPr>
                <w:spacing w:val="-3"/>
                <w:sz w:val="18"/>
              </w:rPr>
              <w:t xml:space="preserve"> </w:t>
            </w:r>
            <w:r>
              <w:rPr>
                <w:sz w:val="18"/>
              </w:rPr>
              <w:t>legislative</w:t>
            </w:r>
            <w:r>
              <w:rPr>
                <w:spacing w:val="-1"/>
                <w:sz w:val="18"/>
              </w:rPr>
              <w:t xml:space="preserve"> </w:t>
            </w:r>
            <w:r>
              <w:rPr>
                <w:sz w:val="18"/>
              </w:rPr>
              <w:t>framework</w:t>
            </w:r>
            <w:r>
              <w:rPr>
                <w:spacing w:val="-3"/>
                <w:sz w:val="18"/>
              </w:rPr>
              <w:t xml:space="preserve"> </w:t>
            </w:r>
            <w:r>
              <w:rPr>
                <w:sz w:val="18"/>
              </w:rPr>
              <w:t>for</w:t>
            </w:r>
            <w:r>
              <w:rPr>
                <w:spacing w:val="-42"/>
                <w:sz w:val="18"/>
              </w:rPr>
              <w:t xml:space="preserve"> </w:t>
            </w:r>
            <w:r>
              <w:rPr>
                <w:sz w:val="18"/>
              </w:rPr>
              <w:t>investing funds from the EU</w:t>
            </w:r>
            <w:r>
              <w:rPr>
                <w:spacing w:val="1"/>
                <w:sz w:val="18"/>
              </w:rPr>
              <w:t xml:space="preserve"> </w:t>
            </w:r>
            <w:r>
              <w:rPr>
                <w:sz w:val="18"/>
              </w:rPr>
              <w:t>Modernization</w:t>
            </w:r>
            <w:r>
              <w:rPr>
                <w:spacing w:val="-2"/>
                <w:sz w:val="18"/>
              </w:rPr>
              <w:t xml:space="preserve"> </w:t>
            </w:r>
            <w:r>
              <w:rPr>
                <w:sz w:val="18"/>
              </w:rPr>
              <w:t>Fund</w:t>
            </w:r>
            <w:r>
              <w:rPr>
                <w:spacing w:val="-1"/>
                <w:sz w:val="18"/>
              </w:rPr>
              <w:t xml:space="preserve"> </w:t>
            </w:r>
            <w:r>
              <w:rPr>
                <w:sz w:val="18"/>
              </w:rPr>
              <w:t>2021-2030</w:t>
            </w:r>
          </w:p>
          <w:p w:rsidR="00A56FE9" w:rsidRDefault="00000000">
            <w:pPr>
              <w:pStyle w:val="TableParagraph"/>
              <w:spacing w:line="192" w:lineRule="exact"/>
              <w:ind w:left="105"/>
              <w:rPr>
                <w:i/>
                <w:sz w:val="18"/>
              </w:rPr>
            </w:pPr>
            <w:r>
              <w:rPr>
                <w:i/>
                <w:sz w:val="18"/>
              </w:rPr>
              <w:t>Also</w:t>
            </w:r>
            <w:r>
              <w:rPr>
                <w:i/>
                <w:spacing w:val="-1"/>
                <w:sz w:val="18"/>
              </w:rPr>
              <w:t xml:space="preserve"> </w:t>
            </w:r>
            <w:r>
              <w:rPr>
                <w:i/>
                <w:sz w:val="18"/>
              </w:rPr>
              <w:t>contributes</w:t>
            </w:r>
            <w:r>
              <w:rPr>
                <w:i/>
                <w:spacing w:val="-2"/>
                <w:sz w:val="18"/>
              </w:rPr>
              <w:t xml:space="preserve"> </w:t>
            </w:r>
            <w:r>
              <w:rPr>
                <w:i/>
                <w:sz w:val="18"/>
              </w:rPr>
              <w:t>to</w:t>
            </w:r>
            <w:r>
              <w:rPr>
                <w:i/>
                <w:spacing w:val="-2"/>
                <w:sz w:val="18"/>
              </w:rPr>
              <w:t xml:space="preserve"> </w:t>
            </w:r>
            <w:r>
              <w:rPr>
                <w:i/>
                <w:sz w:val="18"/>
              </w:rPr>
              <w:t>achieving Principle</w:t>
            </w:r>
            <w:r>
              <w:rPr>
                <w:i/>
                <w:spacing w:val="-1"/>
                <w:sz w:val="18"/>
              </w:rPr>
              <w:t xml:space="preserve"> </w:t>
            </w:r>
            <w:r>
              <w:rPr>
                <w:i/>
                <w:sz w:val="18"/>
              </w:rPr>
              <w:t>8</w:t>
            </w:r>
          </w:p>
        </w:tc>
        <w:tc>
          <w:tcPr>
            <w:tcW w:w="9054" w:type="dxa"/>
          </w:tcPr>
          <w:p w:rsidR="00A56FE9" w:rsidRDefault="00000000">
            <w:pPr>
              <w:pStyle w:val="TableParagraph"/>
              <w:ind w:left="107" w:right="134"/>
              <w:rPr>
                <w:sz w:val="18"/>
              </w:rPr>
            </w:pPr>
            <w:r>
              <w:rPr>
                <w:sz w:val="18"/>
              </w:rPr>
              <w:t>The</w:t>
            </w:r>
            <w:r>
              <w:rPr>
                <w:spacing w:val="-3"/>
                <w:sz w:val="18"/>
              </w:rPr>
              <w:t xml:space="preserve"> </w:t>
            </w:r>
            <w:r>
              <w:rPr>
                <w:sz w:val="18"/>
              </w:rPr>
              <w:t>regulation</w:t>
            </w:r>
            <w:r>
              <w:rPr>
                <w:spacing w:val="-1"/>
                <w:sz w:val="18"/>
              </w:rPr>
              <w:t xml:space="preserve"> </w:t>
            </w:r>
            <w:r>
              <w:rPr>
                <w:sz w:val="18"/>
              </w:rPr>
              <w:t>will</w:t>
            </w:r>
            <w:r>
              <w:rPr>
                <w:spacing w:val="-1"/>
                <w:sz w:val="18"/>
              </w:rPr>
              <w:t xml:space="preserve"> </w:t>
            </w:r>
            <w:r>
              <w:rPr>
                <w:sz w:val="18"/>
              </w:rPr>
              <w:t>be</w:t>
            </w:r>
            <w:r>
              <w:rPr>
                <w:spacing w:val="-3"/>
                <w:sz w:val="18"/>
              </w:rPr>
              <w:t xml:space="preserve"> </w:t>
            </w:r>
            <w:r>
              <w:rPr>
                <w:sz w:val="18"/>
              </w:rPr>
              <w:t>drafted</w:t>
            </w:r>
            <w:r>
              <w:rPr>
                <w:spacing w:val="3"/>
                <w:sz w:val="18"/>
              </w:rPr>
              <w:t xml:space="preserve"> </w:t>
            </w:r>
            <w:r>
              <w:rPr>
                <w:sz w:val="18"/>
              </w:rPr>
              <w:t>which</w:t>
            </w:r>
            <w:r>
              <w:rPr>
                <w:spacing w:val="-1"/>
                <w:sz w:val="18"/>
              </w:rPr>
              <w:t xml:space="preserve"> </w:t>
            </w:r>
            <w:r>
              <w:rPr>
                <w:sz w:val="18"/>
              </w:rPr>
              <w:t>will</w:t>
            </w:r>
            <w:r>
              <w:rPr>
                <w:spacing w:val="-2"/>
                <w:sz w:val="18"/>
              </w:rPr>
              <w:t xml:space="preserve"> </w:t>
            </w:r>
            <w:r>
              <w:rPr>
                <w:sz w:val="18"/>
              </w:rPr>
              <w:t>prescribe</w:t>
            </w:r>
            <w:r>
              <w:rPr>
                <w:spacing w:val="-2"/>
                <w:sz w:val="18"/>
              </w:rPr>
              <w:t xml:space="preserve"> </w:t>
            </w:r>
            <w:r>
              <w:rPr>
                <w:sz w:val="18"/>
              </w:rPr>
              <w:t>the</w:t>
            </w:r>
            <w:r>
              <w:rPr>
                <w:spacing w:val="-3"/>
                <w:sz w:val="18"/>
              </w:rPr>
              <w:t xml:space="preserve"> </w:t>
            </w:r>
            <w:r>
              <w:rPr>
                <w:sz w:val="18"/>
              </w:rPr>
              <w:t>competent</w:t>
            </w:r>
            <w:r>
              <w:rPr>
                <w:spacing w:val="-1"/>
                <w:sz w:val="18"/>
              </w:rPr>
              <w:t xml:space="preserve"> </w:t>
            </w:r>
            <w:r>
              <w:rPr>
                <w:sz w:val="18"/>
              </w:rPr>
              <w:t>authorities</w:t>
            </w:r>
            <w:r>
              <w:rPr>
                <w:spacing w:val="-3"/>
                <w:sz w:val="18"/>
              </w:rPr>
              <w:t xml:space="preserve"> </w:t>
            </w:r>
            <w:r>
              <w:rPr>
                <w:sz w:val="18"/>
              </w:rPr>
              <w:t>and other</w:t>
            </w:r>
            <w:r>
              <w:rPr>
                <w:spacing w:val="-2"/>
                <w:sz w:val="18"/>
              </w:rPr>
              <w:t xml:space="preserve"> </w:t>
            </w:r>
            <w:r>
              <w:rPr>
                <w:sz w:val="18"/>
              </w:rPr>
              <w:t>rules</w:t>
            </w:r>
            <w:r>
              <w:rPr>
                <w:spacing w:val="-2"/>
                <w:sz w:val="18"/>
              </w:rPr>
              <w:t xml:space="preserve"> </w:t>
            </w:r>
            <w:r>
              <w:rPr>
                <w:sz w:val="18"/>
              </w:rPr>
              <w:t>for</w:t>
            </w:r>
            <w:r>
              <w:rPr>
                <w:spacing w:val="-2"/>
                <w:sz w:val="18"/>
              </w:rPr>
              <w:t xml:space="preserve"> </w:t>
            </w:r>
            <w:r>
              <w:rPr>
                <w:sz w:val="18"/>
              </w:rPr>
              <w:t>the</w:t>
            </w:r>
            <w:r>
              <w:rPr>
                <w:spacing w:val="-3"/>
                <w:sz w:val="18"/>
              </w:rPr>
              <w:t xml:space="preserve"> </w:t>
            </w:r>
            <w:r>
              <w:rPr>
                <w:sz w:val="18"/>
              </w:rPr>
              <w:t>implementation</w:t>
            </w:r>
            <w:r>
              <w:rPr>
                <w:spacing w:val="-2"/>
                <w:sz w:val="18"/>
              </w:rPr>
              <w:t xml:space="preserve"> </w:t>
            </w:r>
            <w:r>
              <w:rPr>
                <w:sz w:val="18"/>
              </w:rPr>
              <w:t>of</w:t>
            </w:r>
            <w:r>
              <w:rPr>
                <w:spacing w:val="-4"/>
                <w:sz w:val="18"/>
              </w:rPr>
              <w:t xml:space="preserve"> </w:t>
            </w:r>
            <w:r>
              <w:rPr>
                <w:sz w:val="18"/>
              </w:rPr>
              <w:t>the</w:t>
            </w:r>
            <w:r>
              <w:rPr>
                <w:spacing w:val="-42"/>
                <w:sz w:val="18"/>
              </w:rPr>
              <w:t xml:space="preserve"> </w:t>
            </w:r>
            <w:r>
              <w:rPr>
                <w:sz w:val="18"/>
              </w:rPr>
              <w:t>EU Modernisation Fund 2021-2030. Funds are available to Croatia for 100% of the financing of decarbonisation in</w:t>
            </w:r>
            <w:r>
              <w:rPr>
                <w:spacing w:val="1"/>
                <w:sz w:val="18"/>
              </w:rPr>
              <w:t xml:space="preserve"> </w:t>
            </w:r>
            <w:r>
              <w:rPr>
                <w:sz w:val="18"/>
              </w:rPr>
              <w:t>Croatia</w:t>
            </w:r>
            <w:r>
              <w:rPr>
                <w:spacing w:val="-2"/>
                <w:sz w:val="18"/>
              </w:rPr>
              <w:t xml:space="preserve"> </w:t>
            </w:r>
            <w:r>
              <w:rPr>
                <w:sz w:val="18"/>
              </w:rPr>
              <w:t>(total funds available for Croatia</w:t>
            </w:r>
            <w:r>
              <w:rPr>
                <w:spacing w:val="-1"/>
                <w:sz w:val="18"/>
              </w:rPr>
              <w:t xml:space="preserve"> </w:t>
            </w:r>
            <w:r>
              <w:rPr>
                <w:sz w:val="18"/>
              </w:rPr>
              <w:t>are</w:t>
            </w:r>
            <w:r>
              <w:rPr>
                <w:spacing w:val="-1"/>
                <w:sz w:val="18"/>
              </w:rPr>
              <w:t xml:space="preserve"> </w:t>
            </w:r>
            <w:r>
              <w:rPr>
                <w:sz w:val="18"/>
              </w:rPr>
              <w:t>at</w:t>
            </w:r>
            <w:r>
              <w:rPr>
                <w:spacing w:val="4"/>
                <w:sz w:val="18"/>
              </w:rPr>
              <w:t xml:space="preserve"> </w:t>
            </w:r>
            <w:r>
              <w:rPr>
                <w:sz w:val="18"/>
              </w:rPr>
              <w:t>least</w:t>
            </w:r>
            <w:r>
              <w:rPr>
                <w:spacing w:val="-1"/>
                <w:sz w:val="18"/>
              </w:rPr>
              <w:t xml:space="preserve"> </w:t>
            </w:r>
            <w:r>
              <w:rPr>
                <w:sz w:val="18"/>
              </w:rPr>
              <w:t>HRK 5.9bn</w:t>
            </w:r>
            <w:r>
              <w:rPr>
                <w:spacing w:val="-1"/>
                <w:sz w:val="18"/>
              </w:rPr>
              <w:t xml:space="preserve"> </w:t>
            </w:r>
            <w:r>
              <w:rPr>
                <w:sz w:val="18"/>
              </w:rPr>
              <w:t>/</w:t>
            </w:r>
            <w:r>
              <w:rPr>
                <w:spacing w:val="-2"/>
                <w:sz w:val="18"/>
              </w:rPr>
              <w:t xml:space="preserve"> </w:t>
            </w:r>
            <w:r>
              <w:rPr>
                <w:sz w:val="18"/>
              </w:rPr>
              <w:t>EUR 782.51m</w:t>
            </w:r>
            <w:r>
              <w:rPr>
                <w:spacing w:val="-3"/>
                <w:sz w:val="18"/>
              </w:rPr>
              <w:t xml:space="preserve"> </w:t>
            </w:r>
            <w:r>
              <w:rPr>
                <w:sz w:val="18"/>
              </w:rPr>
              <w:t>by</w:t>
            </w:r>
            <w:r>
              <w:rPr>
                <w:spacing w:val="-4"/>
                <w:sz w:val="18"/>
              </w:rPr>
              <w:t xml:space="preserve"> </w:t>
            </w:r>
            <w:r>
              <w:rPr>
                <w:sz w:val="18"/>
              </w:rPr>
              <w:t>2030).</w:t>
            </w:r>
          </w:p>
        </w:tc>
      </w:tr>
      <w:tr w:rsidR="00A56FE9">
        <w:trPr>
          <w:trHeight w:val="230"/>
        </w:trPr>
        <w:tc>
          <w:tcPr>
            <w:tcW w:w="2127" w:type="dxa"/>
            <w:shd w:val="clear" w:color="auto" w:fill="F1F1F1"/>
          </w:tcPr>
          <w:p w:rsidR="00A56FE9" w:rsidRDefault="00000000">
            <w:pPr>
              <w:pStyle w:val="TableParagraph"/>
              <w:spacing w:line="211" w:lineRule="exact"/>
              <w:ind w:left="105"/>
              <w:rPr>
                <w:sz w:val="20"/>
              </w:rPr>
            </w:pPr>
            <w:r>
              <w:rPr>
                <w:b/>
                <w:sz w:val="20"/>
              </w:rPr>
              <w:t xml:space="preserve">6. </w:t>
            </w:r>
            <w:r>
              <w:rPr>
                <w:sz w:val="20"/>
              </w:rPr>
              <w:t>Wages</w:t>
            </w:r>
          </w:p>
        </w:tc>
        <w:tc>
          <w:tcPr>
            <w:tcW w:w="3356" w:type="dxa"/>
          </w:tcPr>
          <w:p w:rsidR="00A56FE9" w:rsidRDefault="00A56FE9">
            <w:pPr>
              <w:pStyle w:val="TableParagraph"/>
              <w:rPr>
                <w:sz w:val="16"/>
              </w:rPr>
            </w:pPr>
          </w:p>
        </w:tc>
        <w:tc>
          <w:tcPr>
            <w:tcW w:w="9054" w:type="dxa"/>
          </w:tcPr>
          <w:p w:rsidR="00A56FE9" w:rsidRDefault="00A56FE9">
            <w:pPr>
              <w:pStyle w:val="TableParagraph"/>
              <w:rPr>
                <w:sz w:val="16"/>
              </w:rPr>
            </w:pPr>
          </w:p>
        </w:tc>
      </w:tr>
      <w:tr w:rsidR="00A56FE9">
        <w:trPr>
          <w:trHeight w:val="918"/>
        </w:trPr>
        <w:tc>
          <w:tcPr>
            <w:tcW w:w="2127" w:type="dxa"/>
            <w:shd w:val="clear" w:color="auto" w:fill="F1F1F1"/>
          </w:tcPr>
          <w:p w:rsidR="00A56FE9" w:rsidRDefault="00000000">
            <w:pPr>
              <w:pStyle w:val="TableParagraph"/>
              <w:ind w:left="105" w:right="119"/>
              <w:rPr>
                <w:sz w:val="20"/>
              </w:rPr>
            </w:pPr>
            <w:r>
              <w:rPr>
                <w:b/>
                <w:sz w:val="20"/>
              </w:rPr>
              <w:t xml:space="preserve">7. </w:t>
            </w:r>
            <w:r>
              <w:rPr>
                <w:sz w:val="20"/>
              </w:rPr>
              <w:t>Information about</w:t>
            </w:r>
            <w:r>
              <w:rPr>
                <w:spacing w:val="1"/>
                <w:sz w:val="20"/>
              </w:rPr>
              <w:t xml:space="preserve"> </w:t>
            </w:r>
            <w:r>
              <w:rPr>
                <w:spacing w:val="-1"/>
                <w:sz w:val="20"/>
              </w:rPr>
              <w:t xml:space="preserve">employment </w:t>
            </w:r>
            <w:r>
              <w:rPr>
                <w:sz w:val="20"/>
              </w:rPr>
              <w:t>conditions</w:t>
            </w:r>
            <w:r>
              <w:rPr>
                <w:spacing w:val="-47"/>
                <w:sz w:val="20"/>
              </w:rPr>
              <w:t xml:space="preserve"> </w:t>
            </w:r>
            <w:r>
              <w:rPr>
                <w:sz w:val="20"/>
              </w:rPr>
              <w:t>and protection</w:t>
            </w:r>
            <w:r>
              <w:rPr>
                <w:spacing w:val="-2"/>
                <w:sz w:val="20"/>
              </w:rPr>
              <w:t xml:space="preserve"> </w:t>
            </w:r>
            <w:r>
              <w:rPr>
                <w:sz w:val="20"/>
              </w:rPr>
              <w:t>in</w:t>
            </w:r>
            <w:r>
              <w:rPr>
                <w:spacing w:val="-3"/>
                <w:sz w:val="20"/>
              </w:rPr>
              <w:t xml:space="preserve"> </w:t>
            </w:r>
            <w:r>
              <w:rPr>
                <w:sz w:val="20"/>
              </w:rPr>
              <w:t>case</w:t>
            </w:r>
          </w:p>
          <w:p w:rsidR="00A56FE9" w:rsidRDefault="00000000">
            <w:pPr>
              <w:pStyle w:val="TableParagraph"/>
              <w:spacing w:line="213" w:lineRule="exact"/>
              <w:ind w:left="105"/>
              <w:rPr>
                <w:sz w:val="20"/>
              </w:rPr>
            </w:pPr>
            <w:r>
              <w:rPr>
                <w:sz w:val="20"/>
              </w:rPr>
              <w:t>of</w:t>
            </w:r>
            <w:r>
              <w:rPr>
                <w:spacing w:val="-4"/>
                <w:sz w:val="20"/>
              </w:rPr>
              <w:t xml:space="preserve"> </w:t>
            </w:r>
            <w:r>
              <w:rPr>
                <w:sz w:val="20"/>
              </w:rPr>
              <w:t>dismissals</w:t>
            </w:r>
          </w:p>
        </w:tc>
        <w:tc>
          <w:tcPr>
            <w:tcW w:w="3356" w:type="dxa"/>
          </w:tcPr>
          <w:p w:rsidR="00A56FE9" w:rsidRDefault="00A56FE9">
            <w:pPr>
              <w:pStyle w:val="TableParagraph"/>
              <w:rPr>
                <w:sz w:val="18"/>
              </w:rPr>
            </w:pPr>
          </w:p>
        </w:tc>
        <w:tc>
          <w:tcPr>
            <w:tcW w:w="9054" w:type="dxa"/>
          </w:tcPr>
          <w:p w:rsidR="00A56FE9" w:rsidRDefault="00A56FE9">
            <w:pPr>
              <w:pStyle w:val="TableParagraph"/>
              <w:rPr>
                <w:sz w:val="18"/>
              </w:rPr>
            </w:pPr>
          </w:p>
        </w:tc>
      </w:tr>
      <w:tr w:rsidR="00A56FE9">
        <w:trPr>
          <w:trHeight w:val="460"/>
        </w:trPr>
        <w:tc>
          <w:tcPr>
            <w:tcW w:w="2127" w:type="dxa"/>
            <w:shd w:val="clear" w:color="auto" w:fill="F1F1F1"/>
          </w:tcPr>
          <w:p w:rsidR="00A56FE9" w:rsidRDefault="00000000">
            <w:pPr>
              <w:pStyle w:val="TableParagraph"/>
              <w:spacing w:line="225" w:lineRule="exact"/>
              <w:ind w:left="105"/>
              <w:rPr>
                <w:sz w:val="20"/>
              </w:rPr>
            </w:pPr>
            <w:r>
              <w:rPr>
                <w:b/>
                <w:sz w:val="20"/>
              </w:rPr>
              <w:t>8.</w:t>
            </w:r>
            <w:r>
              <w:rPr>
                <w:b/>
                <w:spacing w:val="-1"/>
                <w:sz w:val="20"/>
              </w:rPr>
              <w:t xml:space="preserve"> </w:t>
            </w:r>
            <w:r>
              <w:rPr>
                <w:sz w:val="20"/>
              </w:rPr>
              <w:t>Social</w:t>
            </w:r>
            <w:r>
              <w:rPr>
                <w:spacing w:val="-2"/>
                <w:sz w:val="20"/>
              </w:rPr>
              <w:t xml:space="preserve"> </w:t>
            </w:r>
            <w:r>
              <w:rPr>
                <w:sz w:val="20"/>
              </w:rPr>
              <w:t>dialogue</w:t>
            </w:r>
            <w:r>
              <w:rPr>
                <w:spacing w:val="-2"/>
                <w:sz w:val="20"/>
              </w:rPr>
              <w:t xml:space="preserve"> </w:t>
            </w:r>
            <w:r>
              <w:rPr>
                <w:sz w:val="20"/>
              </w:rPr>
              <w:t>and</w:t>
            </w:r>
          </w:p>
          <w:p w:rsidR="00A56FE9" w:rsidRDefault="00000000">
            <w:pPr>
              <w:pStyle w:val="TableParagraph"/>
              <w:spacing w:line="215" w:lineRule="exact"/>
              <w:ind w:left="105"/>
              <w:rPr>
                <w:sz w:val="20"/>
              </w:rPr>
            </w:pPr>
            <w:r>
              <w:rPr>
                <w:sz w:val="20"/>
              </w:rPr>
              <w:t>involvement</w:t>
            </w:r>
            <w:r>
              <w:rPr>
                <w:spacing w:val="-5"/>
                <w:sz w:val="20"/>
              </w:rPr>
              <w:t xml:space="preserve"> </w:t>
            </w:r>
            <w:r>
              <w:rPr>
                <w:sz w:val="20"/>
              </w:rPr>
              <w:t>of</w:t>
            </w:r>
            <w:r>
              <w:rPr>
                <w:spacing w:val="-2"/>
                <w:sz w:val="20"/>
              </w:rPr>
              <w:t xml:space="preserve"> </w:t>
            </w:r>
            <w:r>
              <w:rPr>
                <w:sz w:val="20"/>
              </w:rPr>
              <w:t>workers</w:t>
            </w:r>
          </w:p>
        </w:tc>
        <w:tc>
          <w:tcPr>
            <w:tcW w:w="3356" w:type="dxa"/>
          </w:tcPr>
          <w:p w:rsidR="00A56FE9" w:rsidRDefault="00A56FE9">
            <w:pPr>
              <w:pStyle w:val="TableParagraph"/>
              <w:rPr>
                <w:sz w:val="18"/>
              </w:rPr>
            </w:pPr>
          </w:p>
        </w:tc>
        <w:tc>
          <w:tcPr>
            <w:tcW w:w="9054" w:type="dxa"/>
          </w:tcPr>
          <w:p w:rsidR="00A56FE9" w:rsidRDefault="00A56FE9">
            <w:pPr>
              <w:pStyle w:val="TableParagraph"/>
              <w:rPr>
                <w:sz w:val="18"/>
              </w:rPr>
            </w:pPr>
          </w:p>
        </w:tc>
      </w:tr>
    </w:tbl>
    <w:p w:rsidR="00A56FE9" w:rsidRDefault="00A56FE9">
      <w:pPr>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127"/>
        <w:gridCol w:w="3356"/>
        <w:gridCol w:w="9054"/>
      </w:tblGrid>
      <w:tr w:rsidR="00A56FE9">
        <w:trPr>
          <w:trHeight w:val="360"/>
        </w:trPr>
        <w:tc>
          <w:tcPr>
            <w:tcW w:w="2127" w:type="dxa"/>
            <w:tcBorders>
              <w:top w:val="nil"/>
              <w:left w:val="nil"/>
              <w:bottom w:val="nil"/>
              <w:right w:val="nil"/>
            </w:tcBorders>
            <w:shd w:val="clear" w:color="auto" w:fill="2C398A"/>
          </w:tcPr>
          <w:p w:rsidR="00A56FE9" w:rsidRDefault="00000000">
            <w:pPr>
              <w:pStyle w:val="TableParagraph"/>
              <w:spacing w:before="65"/>
              <w:ind w:left="677"/>
              <w:rPr>
                <w:b/>
                <w:sz w:val="20"/>
              </w:rPr>
            </w:pPr>
            <w:r>
              <w:rPr>
                <w:b/>
                <w:color w:val="FFFFFF"/>
                <w:sz w:val="20"/>
              </w:rPr>
              <w:t>Principle</w:t>
            </w:r>
          </w:p>
        </w:tc>
        <w:tc>
          <w:tcPr>
            <w:tcW w:w="3356" w:type="dxa"/>
            <w:tcBorders>
              <w:top w:val="nil"/>
              <w:left w:val="nil"/>
              <w:bottom w:val="nil"/>
              <w:right w:val="nil"/>
            </w:tcBorders>
            <w:shd w:val="clear" w:color="auto" w:fill="2C398A"/>
          </w:tcPr>
          <w:p w:rsidR="00A56FE9" w:rsidRDefault="00000000">
            <w:pPr>
              <w:pStyle w:val="TableParagraph"/>
              <w:spacing w:before="65"/>
              <w:ind w:left="738"/>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9054" w:type="dxa"/>
            <w:tcBorders>
              <w:top w:val="nil"/>
              <w:left w:val="nil"/>
              <w:bottom w:val="nil"/>
              <w:right w:val="nil"/>
            </w:tcBorders>
            <w:shd w:val="clear" w:color="auto" w:fill="2C398A"/>
          </w:tcPr>
          <w:p w:rsidR="00A56FE9" w:rsidRDefault="00000000">
            <w:pPr>
              <w:pStyle w:val="TableParagraph"/>
              <w:spacing w:before="65"/>
              <w:ind w:left="2014" w:right="2015"/>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230"/>
        </w:trPr>
        <w:tc>
          <w:tcPr>
            <w:tcW w:w="2127" w:type="dxa"/>
            <w:tcBorders>
              <w:top w:val="nil"/>
            </w:tcBorders>
            <w:shd w:val="clear" w:color="auto" w:fill="F1F1F1"/>
          </w:tcPr>
          <w:p w:rsidR="00A56FE9" w:rsidRDefault="00000000">
            <w:pPr>
              <w:pStyle w:val="TableParagraph"/>
              <w:spacing w:line="210" w:lineRule="exact"/>
              <w:ind w:left="105"/>
              <w:rPr>
                <w:sz w:val="20"/>
              </w:rPr>
            </w:pPr>
            <w:r>
              <w:rPr>
                <w:b/>
                <w:sz w:val="20"/>
              </w:rPr>
              <w:t>9.</w:t>
            </w:r>
            <w:r>
              <w:rPr>
                <w:b/>
                <w:spacing w:val="-3"/>
                <w:sz w:val="20"/>
              </w:rPr>
              <w:t xml:space="preserve"> </w:t>
            </w:r>
            <w:r>
              <w:rPr>
                <w:sz w:val="20"/>
              </w:rPr>
              <w:t>Work-life</w:t>
            </w:r>
            <w:r>
              <w:rPr>
                <w:spacing w:val="-3"/>
                <w:sz w:val="20"/>
              </w:rPr>
              <w:t xml:space="preserve"> </w:t>
            </w:r>
            <w:r>
              <w:rPr>
                <w:sz w:val="20"/>
              </w:rPr>
              <w:t>balance</w:t>
            </w:r>
          </w:p>
        </w:tc>
        <w:tc>
          <w:tcPr>
            <w:tcW w:w="3356" w:type="dxa"/>
            <w:tcBorders>
              <w:top w:val="nil"/>
            </w:tcBorders>
          </w:tcPr>
          <w:p w:rsidR="00A56FE9" w:rsidRDefault="00A56FE9">
            <w:pPr>
              <w:pStyle w:val="TableParagraph"/>
              <w:rPr>
                <w:sz w:val="16"/>
              </w:rPr>
            </w:pPr>
          </w:p>
        </w:tc>
        <w:tc>
          <w:tcPr>
            <w:tcW w:w="9054" w:type="dxa"/>
            <w:tcBorders>
              <w:top w:val="nil"/>
            </w:tcBorders>
          </w:tcPr>
          <w:p w:rsidR="00A56FE9" w:rsidRDefault="00A56FE9">
            <w:pPr>
              <w:pStyle w:val="TableParagraph"/>
              <w:rPr>
                <w:sz w:val="16"/>
              </w:rPr>
            </w:pPr>
          </w:p>
        </w:tc>
      </w:tr>
      <w:tr w:rsidR="00A56FE9">
        <w:trPr>
          <w:trHeight w:val="1240"/>
        </w:trPr>
        <w:tc>
          <w:tcPr>
            <w:tcW w:w="2127" w:type="dxa"/>
            <w:vMerge w:val="restart"/>
            <w:shd w:val="clear" w:color="auto" w:fill="F1F1F1"/>
          </w:tcPr>
          <w:p w:rsidR="00A56FE9" w:rsidRDefault="00000000">
            <w:pPr>
              <w:pStyle w:val="TableParagraph"/>
              <w:ind w:left="105" w:right="279"/>
              <w:rPr>
                <w:sz w:val="20"/>
              </w:rPr>
            </w:pPr>
            <w:r>
              <w:rPr>
                <w:b/>
                <w:sz w:val="20"/>
              </w:rPr>
              <w:t xml:space="preserve">10. </w:t>
            </w:r>
            <w:r>
              <w:rPr>
                <w:sz w:val="20"/>
              </w:rPr>
              <w:t>Healthy, safe and</w:t>
            </w:r>
            <w:r>
              <w:rPr>
                <w:spacing w:val="-47"/>
                <w:sz w:val="20"/>
              </w:rPr>
              <w:t xml:space="preserve"> </w:t>
            </w:r>
            <w:r>
              <w:rPr>
                <w:sz w:val="20"/>
              </w:rPr>
              <w:t>well-adapted</w:t>
            </w:r>
            <w:r>
              <w:rPr>
                <w:spacing w:val="1"/>
                <w:sz w:val="20"/>
              </w:rPr>
              <w:t xml:space="preserve"> </w:t>
            </w:r>
            <w:r>
              <w:rPr>
                <w:sz w:val="20"/>
              </w:rPr>
              <w:t>work</w:t>
            </w:r>
            <w:r>
              <w:rPr>
                <w:spacing w:val="1"/>
                <w:sz w:val="20"/>
              </w:rPr>
              <w:t xml:space="preserve"> </w:t>
            </w:r>
            <w:r>
              <w:rPr>
                <w:sz w:val="20"/>
              </w:rPr>
              <w:t>environment</w:t>
            </w:r>
            <w:r>
              <w:rPr>
                <w:spacing w:val="-10"/>
                <w:sz w:val="20"/>
              </w:rPr>
              <w:t xml:space="preserve"> </w:t>
            </w:r>
            <w:r>
              <w:rPr>
                <w:sz w:val="20"/>
              </w:rPr>
              <w:t>and</w:t>
            </w:r>
            <w:r>
              <w:rPr>
                <w:spacing w:val="-7"/>
                <w:sz w:val="20"/>
              </w:rPr>
              <w:t xml:space="preserve"> </w:t>
            </w:r>
            <w:r>
              <w:rPr>
                <w:sz w:val="20"/>
              </w:rPr>
              <w:t>data</w:t>
            </w:r>
            <w:r>
              <w:rPr>
                <w:spacing w:val="-47"/>
                <w:sz w:val="20"/>
              </w:rPr>
              <w:t xml:space="preserve"> </w:t>
            </w:r>
            <w:r>
              <w:rPr>
                <w:sz w:val="20"/>
              </w:rPr>
              <w:t>protection</w:t>
            </w:r>
          </w:p>
        </w:tc>
        <w:tc>
          <w:tcPr>
            <w:tcW w:w="3356" w:type="dxa"/>
            <w:shd w:val="clear" w:color="auto" w:fill="C5EECE"/>
          </w:tcPr>
          <w:p w:rsidR="00A56FE9" w:rsidRDefault="00000000">
            <w:pPr>
              <w:pStyle w:val="TableParagraph"/>
              <w:ind w:left="105" w:right="275"/>
              <w:rPr>
                <w:sz w:val="18"/>
              </w:rPr>
            </w:pPr>
            <w:r>
              <w:rPr>
                <w:sz w:val="18"/>
              </w:rPr>
              <w:t>On-line one-stop-shop for energy</w:t>
            </w:r>
            <w:r>
              <w:rPr>
                <w:spacing w:val="1"/>
                <w:sz w:val="18"/>
              </w:rPr>
              <w:t xml:space="preserve"> </w:t>
            </w:r>
            <w:r>
              <w:rPr>
                <w:sz w:val="18"/>
              </w:rPr>
              <w:t>renovation</w:t>
            </w:r>
            <w:r>
              <w:rPr>
                <w:spacing w:val="-3"/>
                <w:sz w:val="18"/>
              </w:rPr>
              <w:t xml:space="preserve"> </w:t>
            </w:r>
            <w:r>
              <w:rPr>
                <w:sz w:val="18"/>
              </w:rPr>
              <w:t>and</w:t>
            </w:r>
            <w:r>
              <w:rPr>
                <w:spacing w:val="-3"/>
                <w:sz w:val="18"/>
              </w:rPr>
              <w:t xml:space="preserve"> </w:t>
            </w:r>
            <w:r>
              <w:rPr>
                <w:sz w:val="18"/>
              </w:rPr>
              <w:t>seismic</w:t>
            </w:r>
            <w:r>
              <w:rPr>
                <w:spacing w:val="-3"/>
                <w:sz w:val="18"/>
              </w:rPr>
              <w:t xml:space="preserve"> </w:t>
            </w:r>
            <w:r>
              <w:rPr>
                <w:sz w:val="18"/>
              </w:rPr>
              <w:t>reinforcement</w:t>
            </w:r>
            <w:r>
              <w:rPr>
                <w:spacing w:val="-4"/>
                <w:sz w:val="18"/>
              </w:rPr>
              <w:t xml:space="preserve"> </w:t>
            </w:r>
            <w:r>
              <w:rPr>
                <w:sz w:val="18"/>
              </w:rPr>
              <w:t>set</w:t>
            </w:r>
            <w:r>
              <w:rPr>
                <w:spacing w:val="-42"/>
                <w:sz w:val="18"/>
              </w:rPr>
              <w:t xml:space="preserve"> </w:t>
            </w:r>
            <w:r>
              <w:rPr>
                <w:sz w:val="18"/>
              </w:rPr>
              <w:t>up and</w:t>
            </w:r>
            <w:r>
              <w:rPr>
                <w:spacing w:val="-1"/>
                <w:sz w:val="18"/>
              </w:rPr>
              <w:t xml:space="preserve"> </w:t>
            </w:r>
            <w:r>
              <w:rPr>
                <w:sz w:val="18"/>
              </w:rPr>
              <w:t>operational</w:t>
            </w:r>
          </w:p>
          <w:p w:rsidR="00A56FE9" w:rsidRDefault="00A56FE9">
            <w:pPr>
              <w:pStyle w:val="TableParagraph"/>
              <w:spacing w:before="6"/>
              <w:rPr>
                <w:b/>
                <w:sz w:val="17"/>
              </w:rPr>
            </w:pPr>
          </w:p>
          <w:p w:rsidR="00A56FE9" w:rsidRDefault="00000000">
            <w:pPr>
              <w:pStyle w:val="TableParagraph"/>
              <w:ind w:left="105"/>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Principle</w:t>
            </w:r>
            <w:r>
              <w:rPr>
                <w:i/>
                <w:spacing w:val="-1"/>
                <w:sz w:val="18"/>
              </w:rPr>
              <w:t xml:space="preserve"> </w:t>
            </w:r>
            <w:r>
              <w:rPr>
                <w:i/>
                <w:sz w:val="18"/>
              </w:rPr>
              <w:t>3</w:t>
            </w:r>
          </w:p>
        </w:tc>
        <w:tc>
          <w:tcPr>
            <w:tcW w:w="9054" w:type="dxa"/>
            <w:shd w:val="clear" w:color="auto" w:fill="C5EECE"/>
          </w:tcPr>
          <w:p w:rsidR="00A56FE9" w:rsidRDefault="00000000">
            <w:pPr>
              <w:pStyle w:val="TableParagraph"/>
              <w:ind w:left="107" w:right="563"/>
              <w:rPr>
                <w:sz w:val="18"/>
              </w:rPr>
            </w:pPr>
            <w:r>
              <w:rPr>
                <w:sz w:val="18"/>
              </w:rPr>
              <w:t>Putting into operation of an on-line one-stop-shop system bringing together all the necessary information for energy</w:t>
            </w:r>
            <w:r>
              <w:rPr>
                <w:spacing w:val="-42"/>
                <w:sz w:val="18"/>
              </w:rPr>
              <w:t xml:space="preserve"> </w:t>
            </w:r>
            <w:r>
              <w:rPr>
                <w:sz w:val="18"/>
              </w:rPr>
              <w:t>renovation and</w:t>
            </w:r>
            <w:r>
              <w:rPr>
                <w:spacing w:val="-1"/>
                <w:sz w:val="18"/>
              </w:rPr>
              <w:t xml:space="preserve"> </w:t>
            </w:r>
            <w:r>
              <w:rPr>
                <w:sz w:val="18"/>
              </w:rPr>
              <w:t>post-earthquake</w:t>
            </w:r>
            <w:r>
              <w:rPr>
                <w:spacing w:val="-1"/>
                <w:sz w:val="18"/>
              </w:rPr>
              <w:t xml:space="preserve"> </w:t>
            </w:r>
            <w:r>
              <w:rPr>
                <w:sz w:val="18"/>
              </w:rPr>
              <w:t>reconstruction.</w:t>
            </w:r>
          </w:p>
          <w:p w:rsidR="00A56FE9" w:rsidRDefault="00000000">
            <w:pPr>
              <w:pStyle w:val="TableParagraph"/>
              <w:ind w:left="107" w:right="161"/>
              <w:rPr>
                <w:sz w:val="18"/>
              </w:rPr>
            </w:pPr>
            <w:r>
              <w:rPr>
                <w:sz w:val="18"/>
              </w:rPr>
              <w:t>The one-stop-shop shall be implemented in two phases: (i) emergency services necessary for the urgent structural</w:t>
            </w:r>
            <w:r>
              <w:rPr>
                <w:spacing w:val="1"/>
                <w:sz w:val="18"/>
              </w:rPr>
              <w:t xml:space="preserve"> </w:t>
            </w:r>
            <w:r>
              <w:rPr>
                <w:sz w:val="18"/>
              </w:rPr>
              <w:t>renovation and</w:t>
            </w:r>
            <w:r>
              <w:rPr>
                <w:spacing w:val="-2"/>
                <w:sz w:val="18"/>
              </w:rPr>
              <w:t xml:space="preserve"> </w:t>
            </w:r>
            <w:r>
              <w:rPr>
                <w:sz w:val="18"/>
              </w:rPr>
              <w:t>necessary</w:t>
            </w:r>
            <w:r>
              <w:rPr>
                <w:spacing w:val="-5"/>
                <w:sz w:val="18"/>
              </w:rPr>
              <w:t xml:space="preserve"> </w:t>
            </w:r>
            <w:r>
              <w:rPr>
                <w:sz w:val="18"/>
              </w:rPr>
              <w:t>restoration</w:t>
            </w:r>
            <w:r>
              <w:rPr>
                <w:spacing w:val="-2"/>
                <w:sz w:val="18"/>
              </w:rPr>
              <w:t xml:space="preserve"> </w:t>
            </w:r>
            <w:r>
              <w:rPr>
                <w:sz w:val="18"/>
              </w:rPr>
              <w:t>of</w:t>
            </w:r>
            <w:r>
              <w:rPr>
                <w:spacing w:val="-2"/>
                <w:sz w:val="18"/>
              </w:rPr>
              <w:t xml:space="preserve"> </w:t>
            </w:r>
            <w:r>
              <w:rPr>
                <w:sz w:val="18"/>
              </w:rPr>
              <w:t>damage</w:t>
            </w:r>
            <w:r>
              <w:rPr>
                <w:spacing w:val="-2"/>
                <w:sz w:val="18"/>
              </w:rPr>
              <w:t xml:space="preserve"> </w:t>
            </w:r>
            <w:r>
              <w:rPr>
                <w:sz w:val="18"/>
              </w:rPr>
              <w:t>in order</w:t>
            </w:r>
            <w:r>
              <w:rPr>
                <w:spacing w:val="-1"/>
                <w:sz w:val="18"/>
              </w:rPr>
              <w:t xml:space="preserve"> </w:t>
            </w:r>
            <w:r>
              <w:rPr>
                <w:sz w:val="18"/>
              </w:rPr>
              <w:t>to ensure</w:t>
            </w:r>
            <w:r>
              <w:rPr>
                <w:spacing w:val="5"/>
                <w:sz w:val="18"/>
              </w:rPr>
              <w:t xml:space="preserve"> </w:t>
            </w:r>
            <w:r>
              <w:rPr>
                <w:sz w:val="18"/>
              </w:rPr>
              <w:t>a</w:t>
            </w:r>
            <w:r>
              <w:rPr>
                <w:spacing w:val="-4"/>
                <w:sz w:val="18"/>
              </w:rPr>
              <w:t xml:space="preserve"> </w:t>
            </w:r>
            <w:r>
              <w:rPr>
                <w:sz w:val="18"/>
              </w:rPr>
              <w:t>level of</w:t>
            </w:r>
            <w:r>
              <w:rPr>
                <w:spacing w:val="-3"/>
                <w:sz w:val="18"/>
              </w:rPr>
              <w:t xml:space="preserve"> </w:t>
            </w:r>
            <w:r>
              <w:rPr>
                <w:sz w:val="18"/>
              </w:rPr>
              <w:t>safety</w:t>
            </w:r>
            <w:r>
              <w:rPr>
                <w:spacing w:val="-2"/>
                <w:sz w:val="18"/>
              </w:rPr>
              <w:t xml:space="preserve"> </w:t>
            </w:r>
            <w:r>
              <w:rPr>
                <w:sz w:val="18"/>
              </w:rPr>
              <w:t>for</w:t>
            </w:r>
            <w:r>
              <w:rPr>
                <w:spacing w:val="-1"/>
                <w:sz w:val="18"/>
              </w:rPr>
              <w:t xml:space="preserve"> </w:t>
            </w:r>
            <w:r>
              <w:rPr>
                <w:sz w:val="18"/>
              </w:rPr>
              <w:t>citizens</w:t>
            </w:r>
            <w:r>
              <w:rPr>
                <w:spacing w:val="-1"/>
                <w:sz w:val="18"/>
              </w:rPr>
              <w:t xml:space="preserve"> </w:t>
            </w:r>
            <w:r>
              <w:rPr>
                <w:sz w:val="18"/>
              </w:rPr>
              <w:t>and</w:t>
            </w:r>
            <w:r>
              <w:rPr>
                <w:spacing w:val="1"/>
                <w:sz w:val="18"/>
              </w:rPr>
              <w:t xml:space="preserve"> </w:t>
            </w:r>
            <w:r>
              <w:rPr>
                <w:sz w:val="18"/>
              </w:rPr>
              <w:t>facilities;</w:t>
            </w:r>
            <w:r>
              <w:rPr>
                <w:spacing w:val="-1"/>
                <w:sz w:val="18"/>
              </w:rPr>
              <w:t xml:space="preserve"> </w:t>
            </w:r>
            <w:r>
              <w:rPr>
                <w:sz w:val="18"/>
              </w:rPr>
              <w:t>(ii)</w:t>
            </w:r>
          </w:p>
          <w:p w:rsidR="00A56FE9" w:rsidRDefault="00000000">
            <w:pPr>
              <w:pStyle w:val="TableParagraph"/>
              <w:spacing w:line="206" w:lineRule="exact"/>
              <w:ind w:left="107" w:right="161"/>
              <w:rPr>
                <w:sz w:val="18"/>
              </w:rPr>
            </w:pPr>
            <w:r>
              <w:rPr>
                <w:sz w:val="18"/>
              </w:rPr>
              <w:t>integrating</w:t>
            </w:r>
            <w:r>
              <w:rPr>
                <w:spacing w:val="-4"/>
                <w:sz w:val="18"/>
              </w:rPr>
              <w:t xml:space="preserve"> </w:t>
            </w:r>
            <w:r>
              <w:rPr>
                <w:sz w:val="18"/>
              </w:rPr>
              <w:t>all</w:t>
            </w:r>
            <w:r>
              <w:rPr>
                <w:spacing w:val="-2"/>
                <w:sz w:val="18"/>
              </w:rPr>
              <w:t xml:space="preserve"> </w:t>
            </w:r>
            <w:r>
              <w:rPr>
                <w:sz w:val="18"/>
              </w:rPr>
              <w:t>other</w:t>
            </w:r>
            <w:r>
              <w:rPr>
                <w:spacing w:val="-2"/>
                <w:sz w:val="18"/>
              </w:rPr>
              <w:t xml:space="preserve"> </w:t>
            </w:r>
            <w:r>
              <w:rPr>
                <w:sz w:val="18"/>
              </w:rPr>
              <w:t>services</w:t>
            </w:r>
            <w:r>
              <w:rPr>
                <w:spacing w:val="-2"/>
                <w:sz w:val="18"/>
              </w:rPr>
              <w:t xml:space="preserve"> </w:t>
            </w:r>
            <w:r>
              <w:rPr>
                <w:sz w:val="18"/>
              </w:rPr>
              <w:t>and</w:t>
            </w:r>
            <w:r>
              <w:rPr>
                <w:spacing w:val="-2"/>
                <w:sz w:val="18"/>
              </w:rPr>
              <w:t xml:space="preserve"> </w:t>
            </w:r>
            <w:r>
              <w:rPr>
                <w:sz w:val="18"/>
              </w:rPr>
              <w:t>information</w:t>
            </w:r>
            <w:r>
              <w:rPr>
                <w:spacing w:val="-1"/>
                <w:sz w:val="18"/>
              </w:rPr>
              <w:t xml:space="preserve"> </w:t>
            </w:r>
            <w:r>
              <w:rPr>
                <w:sz w:val="18"/>
              </w:rPr>
              <w:t>needed</w:t>
            </w:r>
            <w:r>
              <w:rPr>
                <w:spacing w:val="-1"/>
                <w:sz w:val="18"/>
              </w:rPr>
              <w:t xml:space="preserve"> </w:t>
            </w:r>
            <w:r>
              <w:rPr>
                <w:sz w:val="18"/>
              </w:rPr>
              <w:t>for</w:t>
            </w:r>
            <w:r>
              <w:rPr>
                <w:spacing w:val="-3"/>
                <w:sz w:val="18"/>
              </w:rPr>
              <w:t xml:space="preserve"> </w:t>
            </w:r>
            <w:r>
              <w:rPr>
                <w:sz w:val="18"/>
              </w:rPr>
              <w:t>comprehensive</w:t>
            </w:r>
            <w:r>
              <w:rPr>
                <w:spacing w:val="-3"/>
                <w:sz w:val="18"/>
              </w:rPr>
              <w:t xml:space="preserve"> </w:t>
            </w:r>
            <w:r>
              <w:rPr>
                <w:sz w:val="18"/>
              </w:rPr>
              <w:t>and</w:t>
            </w:r>
            <w:r>
              <w:rPr>
                <w:spacing w:val="-1"/>
                <w:sz w:val="18"/>
              </w:rPr>
              <w:t xml:space="preserve"> </w:t>
            </w:r>
            <w:r>
              <w:rPr>
                <w:sz w:val="18"/>
              </w:rPr>
              <w:t>energy</w:t>
            </w:r>
            <w:r>
              <w:rPr>
                <w:spacing w:val="-6"/>
                <w:sz w:val="18"/>
              </w:rPr>
              <w:t xml:space="preserve"> </w:t>
            </w:r>
            <w:r>
              <w:rPr>
                <w:sz w:val="18"/>
              </w:rPr>
              <w:t>renovation</w:t>
            </w:r>
            <w:r>
              <w:rPr>
                <w:spacing w:val="-1"/>
                <w:sz w:val="18"/>
              </w:rPr>
              <w:t xml:space="preserve"> </w:t>
            </w:r>
            <w:r>
              <w:rPr>
                <w:sz w:val="18"/>
              </w:rPr>
              <w:t>with</w:t>
            </w:r>
            <w:r>
              <w:rPr>
                <w:spacing w:val="-2"/>
                <w:sz w:val="18"/>
              </w:rPr>
              <w:t xml:space="preserve"> </w:t>
            </w:r>
            <w:r>
              <w:rPr>
                <w:sz w:val="18"/>
              </w:rPr>
              <w:t>the</w:t>
            </w:r>
            <w:r>
              <w:rPr>
                <w:spacing w:val="-3"/>
                <w:sz w:val="18"/>
              </w:rPr>
              <w:t xml:space="preserve"> </w:t>
            </w:r>
            <w:r>
              <w:rPr>
                <w:sz w:val="18"/>
              </w:rPr>
              <w:t>services</w:t>
            </w:r>
            <w:r>
              <w:rPr>
                <w:spacing w:val="-2"/>
                <w:sz w:val="18"/>
              </w:rPr>
              <w:t xml:space="preserve"> </w:t>
            </w:r>
            <w:r>
              <w:rPr>
                <w:sz w:val="18"/>
              </w:rPr>
              <w:t>and</w:t>
            </w:r>
            <w:r>
              <w:rPr>
                <w:spacing w:val="-42"/>
                <w:sz w:val="18"/>
              </w:rPr>
              <w:t xml:space="preserve"> </w:t>
            </w:r>
            <w:r>
              <w:rPr>
                <w:sz w:val="18"/>
              </w:rPr>
              <w:t>information included</w:t>
            </w:r>
            <w:r>
              <w:rPr>
                <w:spacing w:val="1"/>
                <w:sz w:val="18"/>
              </w:rPr>
              <w:t xml:space="preserve"> </w:t>
            </w:r>
            <w:r>
              <w:rPr>
                <w:sz w:val="18"/>
              </w:rPr>
              <w:t>for the</w:t>
            </w:r>
            <w:r>
              <w:rPr>
                <w:spacing w:val="-1"/>
                <w:sz w:val="18"/>
              </w:rPr>
              <w:t xml:space="preserve"> </w:t>
            </w:r>
            <w:r>
              <w:rPr>
                <w:sz w:val="18"/>
              </w:rPr>
              <w:t>‘build</w:t>
            </w:r>
            <w:r>
              <w:rPr>
                <w:spacing w:val="1"/>
                <w:sz w:val="18"/>
              </w:rPr>
              <w:t xml:space="preserve"> </w:t>
            </w:r>
            <w:r>
              <w:rPr>
                <w:sz w:val="18"/>
              </w:rPr>
              <w:t>back</w:t>
            </w:r>
            <w:r>
              <w:rPr>
                <w:spacing w:val="-1"/>
                <w:sz w:val="18"/>
              </w:rPr>
              <w:t xml:space="preserve"> </w:t>
            </w:r>
            <w:r>
              <w:rPr>
                <w:sz w:val="18"/>
              </w:rPr>
              <w:t>better’</w:t>
            </w:r>
            <w:r>
              <w:rPr>
                <w:spacing w:val="-1"/>
                <w:sz w:val="18"/>
              </w:rPr>
              <w:t xml:space="preserve"> </w:t>
            </w:r>
            <w:r>
              <w:rPr>
                <w:sz w:val="18"/>
              </w:rPr>
              <w:t>concept.</w:t>
            </w:r>
          </w:p>
        </w:tc>
      </w:tr>
      <w:tr w:rsidR="00A56FE9">
        <w:trPr>
          <w:trHeight w:val="1243"/>
        </w:trPr>
        <w:tc>
          <w:tcPr>
            <w:tcW w:w="2127" w:type="dxa"/>
            <w:vMerge/>
            <w:tcBorders>
              <w:top w:val="nil"/>
            </w:tcBorders>
            <w:shd w:val="clear" w:color="auto" w:fill="F1F1F1"/>
          </w:tcPr>
          <w:p w:rsidR="00A56FE9" w:rsidRDefault="00A56FE9">
            <w:pPr>
              <w:rPr>
                <w:sz w:val="2"/>
                <w:szCs w:val="2"/>
              </w:rPr>
            </w:pPr>
          </w:p>
        </w:tc>
        <w:tc>
          <w:tcPr>
            <w:tcW w:w="3356" w:type="dxa"/>
          </w:tcPr>
          <w:p w:rsidR="00A56FE9" w:rsidRDefault="00000000">
            <w:pPr>
              <w:pStyle w:val="TableParagraph"/>
              <w:ind w:left="105" w:right="141"/>
              <w:rPr>
                <w:sz w:val="18"/>
              </w:rPr>
            </w:pPr>
            <w:r>
              <w:rPr>
                <w:sz w:val="18"/>
              </w:rPr>
              <w:t>A five-year action plan for the operational</w:t>
            </w:r>
            <w:r>
              <w:rPr>
                <w:spacing w:val="-42"/>
                <w:sz w:val="18"/>
              </w:rPr>
              <w:t xml:space="preserve"> </w:t>
            </w:r>
            <w:r>
              <w:rPr>
                <w:sz w:val="18"/>
              </w:rPr>
              <w:t>implementation of the Low Carbon</w:t>
            </w:r>
            <w:r>
              <w:rPr>
                <w:spacing w:val="1"/>
                <w:sz w:val="18"/>
              </w:rPr>
              <w:t xml:space="preserve"> </w:t>
            </w:r>
            <w:r>
              <w:rPr>
                <w:sz w:val="18"/>
              </w:rPr>
              <w:t>Development Strategy with new ambitious</w:t>
            </w:r>
            <w:r>
              <w:rPr>
                <w:spacing w:val="-43"/>
                <w:sz w:val="18"/>
              </w:rPr>
              <w:t xml:space="preserve"> </w:t>
            </w:r>
            <w:r>
              <w:rPr>
                <w:sz w:val="18"/>
              </w:rPr>
              <w:t>targets for reducing greenhouse gas</w:t>
            </w:r>
            <w:r>
              <w:rPr>
                <w:spacing w:val="1"/>
                <w:sz w:val="18"/>
              </w:rPr>
              <w:t xml:space="preserve"> </w:t>
            </w:r>
            <w:r>
              <w:rPr>
                <w:sz w:val="18"/>
              </w:rPr>
              <w:t>emissions.</w:t>
            </w:r>
          </w:p>
          <w:p w:rsidR="00A56FE9" w:rsidRDefault="00000000">
            <w:pPr>
              <w:pStyle w:val="TableParagraph"/>
              <w:spacing w:line="191" w:lineRule="exact"/>
              <w:ind w:left="105"/>
              <w:rPr>
                <w:i/>
                <w:sz w:val="18"/>
              </w:rPr>
            </w:pPr>
            <w:r>
              <w:rPr>
                <w:i/>
                <w:sz w:val="18"/>
              </w:rPr>
              <w:t>Also</w:t>
            </w:r>
            <w:r>
              <w:rPr>
                <w:i/>
                <w:spacing w:val="-1"/>
                <w:sz w:val="18"/>
              </w:rPr>
              <w:t xml:space="preserve"> </w:t>
            </w:r>
            <w:r>
              <w:rPr>
                <w:i/>
                <w:sz w:val="18"/>
              </w:rPr>
              <w:t>contributes</w:t>
            </w:r>
            <w:r>
              <w:rPr>
                <w:i/>
                <w:spacing w:val="-2"/>
                <w:sz w:val="18"/>
              </w:rPr>
              <w:t xml:space="preserve"> </w:t>
            </w:r>
            <w:r>
              <w:rPr>
                <w:i/>
                <w:sz w:val="18"/>
              </w:rPr>
              <w:t>to</w:t>
            </w:r>
            <w:r>
              <w:rPr>
                <w:i/>
                <w:spacing w:val="-3"/>
                <w:sz w:val="18"/>
              </w:rPr>
              <w:t xml:space="preserve"> </w:t>
            </w:r>
            <w:r>
              <w:rPr>
                <w:i/>
                <w:sz w:val="18"/>
              </w:rPr>
              <w:t>achieving Principle 16</w:t>
            </w:r>
          </w:p>
        </w:tc>
        <w:tc>
          <w:tcPr>
            <w:tcW w:w="9054" w:type="dxa"/>
          </w:tcPr>
          <w:p w:rsidR="00A56FE9" w:rsidRDefault="00000000">
            <w:pPr>
              <w:pStyle w:val="TableParagraph"/>
              <w:ind w:left="107" w:right="419"/>
              <w:rPr>
                <w:sz w:val="18"/>
              </w:rPr>
            </w:pPr>
            <w:r>
              <w:rPr>
                <w:sz w:val="18"/>
              </w:rPr>
              <w:t>Development and implementation of an action plan for planting an additional million trees per year, which will define</w:t>
            </w:r>
            <w:r>
              <w:rPr>
                <w:spacing w:val="-43"/>
                <w:sz w:val="18"/>
              </w:rPr>
              <w:t xml:space="preserve"> </w:t>
            </w:r>
            <w:r>
              <w:rPr>
                <w:sz w:val="18"/>
              </w:rPr>
              <w:t>implementation activities, available and areas suitable for planting, types and approximate quantities of forest and</w:t>
            </w:r>
            <w:r>
              <w:rPr>
                <w:spacing w:val="1"/>
                <w:sz w:val="18"/>
              </w:rPr>
              <w:t xml:space="preserve"> </w:t>
            </w:r>
            <w:r>
              <w:rPr>
                <w:sz w:val="18"/>
              </w:rPr>
              <w:t>ornamental reproductive material according to climate, stakeholders and sources of financing and total estimated</w:t>
            </w:r>
            <w:r>
              <w:rPr>
                <w:spacing w:val="1"/>
                <w:sz w:val="18"/>
              </w:rPr>
              <w:t xml:space="preserve"> </w:t>
            </w:r>
            <w:r>
              <w:rPr>
                <w:sz w:val="18"/>
              </w:rPr>
              <w:t>implementation costs.</w:t>
            </w:r>
          </w:p>
        </w:tc>
      </w:tr>
      <w:tr w:rsidR="00A56FE9">
        <w:trPr>
          <w:trHeight w:val="827"/>
        </w:trPr>
        <w:tc>
          <w:tcPr>
            <w:tcW w:w="2127" w:type="dxa"/>
            <w:vMerge w:val="restart"/>
            <w:shd w:val="clear" w:color="auto" w:fill="F1F1F1"/>
          </w:tcPr>
          <w:p w:rsidR="00A56FE9" w:rsidRDefault="00000000">
            <w:pPr>
              <w:pStyle w:val="TableParagraph"/>
              <w:ind w:left="105" w:right="497"/>
              <w:rPr>
                <w:sz w:val="20"/>
              </w:rPr>
            </w:pPr>
            <w:r>
              <w:rPr>
                <w:b/>
                <w:sz w:val="20"/>
              </w:rPr>
              <w:t xml:space="preserve">11. </w:t>
            </w:r>
            <w:r>
              <w:rPr>
                <w:sz w:val="20"/>
              </w:rPr>
              <w:t>Childcare and</w:t>
            </w:r>
            <w:r>
              <w:rPr>
                <w:spacing w:val="1"/>
                <w:sz w:val="20"/>
              </w:rPr>
              <w:t xml:space="preserve"> </w:t>
            </w:r>
            <w:r>
              <w:rPr>
                <w:sz w:val="20"/>
              </w:rPr>
              <w:t>support</w:t>
            </w:r>
            <w:r>
              <w:rPr>
                <w:spacing w:val="-9"/>
                <w:sz w:val="20"/>
              </w:rPr>
              <w:t xml:space="preserve"> </w:t>
            </w:r>
            <w:r>
              <w:rPr>
                <w:sz w:val="20"/>
              </w:rPr>
              <w:t>to</w:t>
            </w:r>
            <w:r>
              <w:rPr>
                <w:spacing w:val="-7"/>
                <w:sz w:val="20"/>
              </w:rPr>
              <w:t xml:space="preserve"> </w:t>
            </w:r>
            <w:r>
              <w:rPr>
                <w:sz w:val="20"/>
              </w:rPr>
              <w:t>children</w:t>
            </w:r>
          </w:p>
        </w:tc>
        <w:tc>
          <w:tcPr>
            <w:tcW w:w="3356" w:type="dxa"/>
          </w:tcPr>
          <w:p w:rsidR="00A56FE9" w:rsidRDefault="00000000">
            <w:pPr>
              <w:pStyle w:val="TableParagraph"/>
              <w:ind w:left="105" w:right="290"/>
              <w:rPr>
                <w:sz w:val="18"/>
              </w:rPr>
            </w:pPr>
            <w:r>
              <w:rPr>
                <w:sz w:val="18"/>
              </w:rPr>
              <w:t>Adoption</w:t>
            </w:r>
            <w:r>
              <w:rPr>
                <w:spacing w:val="-1"/>
                <w:sz w:val="18"/>
              </w:rPr>
              <w:t xml:space="preserve"> </w:t>
            </w:r>
            <w:r>
              <w:rPr>
                <w:sz w:val="18"/>
              </w:rPr>
              <w:t>of</w:t>
            </w:r>
            <w:r>
              <w:rPr>
                <w:spacing w:val="-3"/>
                <w:sz w:val="18"/>
              </w:rPr>
              <w:t xml:space="preserve"> </w:t>
            </w:r>
            <w:r>
              <w:rPr>
                <w:sz w:val="18"/>
              </w:rPr>
              <w:t>the</w:t>
            </w:r>
            <w:r>
              <w:rPr>
                <w:spacing w:val="-4"/>
                <w:sz w:val="18"/>
              </w:rPr>
              <w:t xml:space="preserve"> </w:t>
            </w:r>
            <w:r>
              <w:rPr>
                <w:sz w:val="18"/>
              </w:rPr>
              <w:t>national</w:t>
            </w:r>
            <w:r>
              <w:rPr>
                <w:spacing w:val="-1"/>
                <w:sz w:val="18"/>
              </w:rPr>
              <w:t xml:space="preserve"> </w:t>
            </w:r>
            <w:r>
              <w:rPr>
                <w:sz w:val="18"/>
              </w:rPr>
              <w:t>implementation</w:t>
            </w:r>
            <w:r>
              <w:rPr>
                <w:spacing w:val="-42"/>
                <w:sz w:val="18"/>
              </w:rPr>
              <w:t xml:space="preserve"> </w:t>
            </w:r>
            <w:r>
              <w:rPr>
                <w:sz w:val="18"/>
              </w:rPr>
              <w:t>plan for the</w:t>
            </w:r>
            <w:r>
              <w:rPr>
                <w:spacing w:val="-1"/>
                <w:sz w:val="18"/>
              </w:rPr>
              <w:t xml:space="preserve"> </w:t>
            </w:r>
            <w:r>
              <w:rPr>
                <w:sz w:val="18"/>
              </w:rPr>
              <w:t>Child Guarantee</w:t>
            </w:r>
          </w:p>
        </w:tc>
        <w:tc>
          <w:tcPr>
            <w:tcW w:w="9054" w:type="dxa"/>
          </w:tcPr>
          <w:p w:rsidR="00A56FE9" w:rsidRDefault="00000000">
            <w:pPr>
              <w:pStyle w:val="TableParagraph"/>
              <w:ind w:left="107" w:right="161"/>
              <w:rPr>
                <w:sz w:val="18"/>
              </w:rPr>
            </w:pPr>
            <w:r>
              <w:rPr>
                <w:sz w:val="18"/>
              </w:rPr>
              <w:t>To establish the Child Guarantee in Croatia, a draft National Implementation Plan is being prepared based on an in-depth</w:t>
            </w:r>
            <w:r>
              <w:rPr>
                <w:spacing w:val="-42"/>
                <w:sz w:val="18"/>
              </w:rPr>
              <w:t xml:space="preserve"> </w:t>
            </w:r>
            <w:r>
              <w:rPr>
                <w:sz w:val="18"/>
              </w:rPr>
              <w:t>analysis</w:t>
            </w:r>
            <w:r>
              <w:rPr>
                <w:spacing w:val="-3"/>
                <w:sz w:val="18"/>
              </w:rPr>
              <w:t xml:space="preserve"> </w:t>
            </w:r>
            <w:r>
              <w:rPr>
                <w:sz w:val="18"/>
              </w:rPr>
              <w:t>of</w:t>
            </w:r>
            <w:r>
              <w:rPr>
                <w:spacing w:val="-4"/>
                <w:sz w:val="18"/>
              </w:rPr>
              <w:t xml:space="preserve"> </w:t>
            </w:r>
            <w:r>
              <w:rPr>
                <w:sz w:val="18"/>
              </w:rPr>
              <w:t>policies,</w:t>
            </w:r>
            <w:r>
              <w:rPr>
                <w:spacing w:val="-2"/>
                <w:sz w:val="18"/>
              </w:rPr>
              <w:t xml:space="preserve"> </w:t>
            </w:r>
            <w:r>
              <w:rPr>
                <w:sz w:val="18"/>
              </w:rPr>
              <w:t>programs,</w:t>
            </w:r>
            <w:r>
              <w:rPr>
                <w:spacing w:val="-2"/>
                <w:sz w:val="18"/>
              </w:rPr>
              <w:t xml:space="preserve"> </w:t>
            </w:r>
            <w:r>
              <w:rPr>
                <w:sz w:val="18"/>
              </w:rPr>
              <w:t>services,</w:t>
            </w:r>
            <w:r>
              <w:rPr>
                <w:spacing w:val="-2"/>
                <w:sz w:val="18"/>
              </w:rPr>
              <w:t xml:space="preserve"> </w:t>
            </w:r>
            <w:r>
              <w:rPr>
                <w:sz w:val="18"/>
              </w:rPr>
              <w:t>budgets</w:t>
            </w:r>
            <w:r>
              <w:rPr>
                <w:spacing w:val="-2"/>
                <w:sz w:val="18"/>
              </w:rPr>
              <w:t xml:space="preserve"> </w:t>
            </w:r>
            <w:r>
              <w:rPr>
                <w:sz w:val="18"/>
              </w:rPr>
              <w:t>and</w:t>
            </w:r>
            <w:r>
              <w:rPr>
                <w:spacing w:val="-2"/>
                <w:sz w:val="18"/>
              </w:rPr>
              <w:t xml:space="preserve"> </w:t>
            </w:r>
            <w:r>
              <w:rPr>
                <w:sz w:val="18"/>
              </w:rPr>
              <w:t>mechanisms</w:t>
            </w:r>
            <w:r>
              <w:rPr>
                <w:spacing w:val="-2"/>
                <w:sz w:val="18"/>
              </w:rPr>
              <w:t xml:space="preserve"> </w:t>
            </w:r>
            <w:r>
              <w:rPr>
                <w:sz w:val="18"/>
              </w:rPr>
              <w:t>dealing</w:t>
            </w:r>
            <w:r>
              <w:rPr>
                <w:spacing w:val="-3"/>
                <w:sz w:val="18"/>
              </w:rPr>
              <w:t xml:space="preserve"> </w:t>
            </w:r>
            <w:r>
              <w:rPr>
                <w:sz w:val="18"/>
              </w:rPr>
              <w:t>with</w:t>
            </w:r>
            <w:r>
              <w:rPr>
                <w:spacing w:val="-1"/>
                <w:sz w:val="18"/>
              </w:rPr>
              <w:t xml:space="preserve"> </w:t>
            </w:r>
            <w:r>
              <w:rPr>
                <w:sz w:val="18"/>
              </w:rPr>
              <w:t>child</w:t>
            </w:r>
            <w:r>
              <w:rPr>
                <w:spacing w:val="-3"/>
                <w:sz w:val="18"/>
              </w:rPr>
              <w:t xml:space="preserve"> </w:t>
            </w:r>
            <w:r>
              <w:rPr>
                <w:sz w:val="18"/>
              </w:rPr>
              <w:t>poverty,</w:t>
            </w:r>
            <w:r>
              <w:rPr>
                <w:spacing w:val="-2"/>
                <w:sz w:val="18"/>
              </w:rPr>
              <w:t xml:space="preserve"> </w:t>
            </w:r>
            <w:r>
              <w:rPr>
                <w:sz w:val="18"/>
              </w:rPr>
              <w:t>social</w:t>
            </w:r>
            <w:r>
              <w:rPr>
                <w:spacing w:val="-3"/>
                <w:sz w:val="18"/>
              </w:rPr>
              <w:t xml:space="preserve"> </w:t>
            </w:r>
            <w:r>
              <w:rPr>
                <w:sz w:val="18"/>
              </w:rPr>
              <w:t>exclusion</w:t>
            </w:r>
            <w:r>
              <w:rPr>
                <w:spacing w:val="-1"/>
                <w:sz w:val="18"/>
              </w:rPr>
              <w:t xml:space="preserve"> </w:t>
            </w:r>
            <w:r>
              <w:rPr>
                <w:sz w:val="18"/>
              </w:rPr>
              <w:t>and</w:t>
            </w:r>
            <w:r>
              <w:rPr>
                <w:spacing w:val="-1"/>
                <w:sz w:val="18"/>
              </w:rPr>
              <w:t xml:space="preserve"> </w:t>
            </w:r>
            <w:r>
              <w:rPr>
                <w:sz w:val="18"/>
              </w:rPr>
              <w:t>access</w:t>
            </w:r>
          </w:p>
          <w:p w:rsidR="00A56FE9" w:rsidRDefault="00000000">
            <w:pPr>
              <w:pStyle w:val="TableParagraph"/>
              <w:spacing w:line="206" w:lineRule="exact"/>
              <w:ind w:left="107" w:right="161"/>
              <w:rPr>
                <w:sz w:val="18"/>
              </w:rPr>
            </w:pPr>
            <w:r>
              <w:rPr>
                <w:sz w:val="18"/>
              </w:rPr>
              <w:t>to</w:t>
            </w:r>
            <w:r>
              <w:rPr>
                <w:spacing w:val="-2"/>
                <w:sz w:val="18"/>
              </w:rPr>
              <w:t xml:space="preserve"> </w:t>
            </w:r>
            <w:r>
              <w:rPr>
                <w:sz w:val="18"/>
              </w:rPr>
              <w:t>services</w:t>
            </w:r>
            <w:r>
              <w:rPr>
                <w:spacing w:val="-2"/>
                <w:sz w:val="18"/>
              </w:rPr>
              <w:t xml:space="preserve"> </w:t>
            </w:r>
            <w:r>
              <w:rPr>
                <w:sz w:val="18"/>
              </w:rPr>
              <w:t>in Croatia,</w:t>
            </w:r>
            <w:r>
              <w:rPr>
                <w:spacing w:val="-2"/>
                <w:sz w:val="18"/>
              </w:rPr>
              <w:t xml:space="preserve"> </w:t>
            </w:r>
            <w:r>
              <w:rPr>
                <w:sz w:val="18"/>
              </w:rPr>
              <w:t>which</w:t>
            </w:r>
            <w:r>
              <w:rPr>
                <w:spacing w:val="-1"/>
                <w:sz w:val="18"/>
              </w:rPr>
              <w:t xml:space="preserve"> </w:t>
            </w:r>
            <w:r>
              <w:rPr>
                <w:sz w:val="18"/>
              </w:rPr>
              <w:t>will</w:t>
            </w:r>
            <w:r>
              <w:rPr>
                <w:spacing w:val="-4"/>
                <w:sz w:val="18"/>
              </w:rPr>
              <w:t xml:space="preserve"> </w:t>
            </w:r>
            <w:r>
              <w:rPr>
                <w:sz w:val="18"/>
              </w:rPr>
              <w:t>improve</w:t>
            </w:r>
            <w:r>
              <w:rPr>
                <w:spacing w:val="-3"/>
                <w:sz w:val="18"/>
              </w:rPr>
              <w:t xml:space="preserve"> </w:t>
            </w:r>
            <w:r>
              <w:rPr>
                <w:sz w:val="18"/>
              </w:rPr>
              <w:t>national</w:t>
            </w:r>
            <w:r>
              <w:rPr>
                <w:spacing w:val="-2"/>
                <w:sz w:val="18"/>
              </w:rPr>
              <w:t xml:space="preserve"> </w:t>
            </w:r>
            <w:r>
              <w:rPr>
                <w:sz w:val="18"/>
              </w:rPr>
              <w:t>policies</w:t>
            </w:r>
            <w:r>
              <w:rPr>
                <w:spacing w:val="-3"/>
                <w:sz w:val="18"/>
              </w:rPr>
              <w:t xml:space="preserve"> </w:t>
            </w:r>
            <w:r>
              <w:rPr>
                <w:sz w:val="18"/>
              </w:rPr>
              <w:t>and</w:t>
            </w:r>
            <w:r>
              <w:rPr>
                <w:spacing w:val="-1"/>
                <w:sz w:val="18"/>
              </w:rPr>
              <w:t xml:space="preserve"> </w:t>
            </w:r>
            <w:r>
              <w:rPr>
                <w:sz w:val="18"/>
              </w:rPr>
              <w:t>programs</w:t>
            </w:r>
            <w:r>
              <w:rPr>
                <w:spacing w:val="-3"/>
                <w:sz w:val="18"/>
              </w:rPr>
              <w:t xml:space="preserve"> </w:t>
            </w:r>
            <w:r>
              <w:rPr>
                <w:sz w:val="18"/>
              </w:rPr>
              <w:t>in relation</w:t>
            </w:r>
            <w:r>
              <w:rPr>
                <w:spacing w:val="-1"/>
                <w:sz w:val="18"/>
              </w:rPr>
              <w:t xml:space="preserve"> </w:t>
            </w:r>
            <w:r>
              <w:rPr>
                <w:sz w:val="18"/>
              </w:rPr>
              <w:t>to</w:t>
            </w:r>
            <w:r>
              <w:rPr>
                <w:spacing w:val="-1"/>
                <w:sz w:val="18"/>
              </w:rPr>
              <w:t xml:space="preserve"> </w:t>
            </w:r>
            <w:r>
              <w:rPr>
                <w:sz w:val="18"/>
              </w:rPr>
              <w:t>child</w:t>
            </w:r>
            <w:r>
              <w:rPr>
                <w:spacing w:val="-3"/>
                <w:sz w:val="18"/>
              </w:rPr>
              <w:t xml:space="preserve"> </w:t>
            </w:r>
            <w:r>
              <w:rPr>
                <w:sz w:val="18"/>
              </w:rPr>
              <w:t>poverty</w:t>
            </w:r>
            <w:r>
              <w:rPr>
                <w:spacing w:val="-3"/>
                <w:sz w:val="18"/>
              </w:rPr>
              <w:t xml:space="preserve"> </w:t>
            </w:r>
            <w:r>
              <w:rPr>
                <w:sz w:val="18"/>
              </w:rPr>
              <w:t>and</w:t>
            </w:r>
            <w:r>
              <w:rPr>
                <w:spacing w:val="-1"/>
                <w:sz w:val="18"/>
              </w:rPr>
              <w:t xml:space="preserve"> </w:t>
            </w:r>
            <w:r>
              <w:rPr>
                <w:sz w:val="18"/>
              </w:rPr>
              <w:t>social</w:t>
            </w:r>
            <w:r>
              <w:rPr>
                <w:spacing w:val="-2"/>
                <w:sz w:val="18"/>
              </w:rPr>
              <w:t xml:space="preserve"> </w:t>
            </w:r>
            <w:r>
              <w:rPr>
                <w:sz w:val="18"/>
              </w:rPr>
              <w:t>exclusion</w:t>
            </w:r>
            <w:r>
              <w:rPr>
                <w:spacing w:val="-42"/>
                <w:sz w:val="18"/>
              </w:rPr>
              <w:t xml:space="preserve"> </w:t>
            </w:r>
            <w:r>
              <w:rPr>
                <w:sz w:val="18"/>
              </w:rPr>
              <w:t>issues</w:t>
            </w:r>
            <w:r>
              <w:rPr>
                <w:spacing w:val="-1"/>
                <w:sz w:val="18"/>
              </w:rPr>
              <w:t xml:space="preserve"> </w:t>
            </w:r>
            <w:r>
              <w:rPr>
                <w:sz w:val="18"/>
              </w:rPr>
              <w:t>and</w:t>
            </w:r>
            <w:r>
              <w:rPr>
                <w:spacing w:val="1"/>
                <w:sz w:val="18"/>
              </w:rPr>
              <w:t xml:space="preserve"> </w:t>
            </w:r>
            <w:r>
              <w:rPr>
                <w:sz w:val="18"/>
              </w:rPr>
              <w:t>their monitoring</w:t>
            </w:r>
            <w:r>
              <w:rPr>
                <w:spacing w:val="-1"/>
                <w:sz w:val="18"/>
              </w:rPr>
              <w:t xml:space="preserve"> </w:t>
            </w:r>
            <w:r>
              <w:rPr>
                <w:sz w:val="18"/>
              </w:rPr>
              <w:t>and</w:t>
            </w:r>
            <w:r>
              <w:rPr>
                <w:spacing w:val="-1"/>
                <w:sz w:val="18"/>
              </w:rPr>
              <w:t xml:space="preserve"> </w:t>
            </w:r>
            <w:r>
              <w:rPr>
                <w:sz w:val="18"/>
              </w:rPr>
              <w:t>evaluation.</w:t>
            </w:r>
          </w:p>
        </w:tc>
      </w:tr>
      <w:tr w:rsidR="00A56FE9">
        <w:trPr>
          <w:trHeight w:val="827"/>
        </w:trPr>
        <w:tc>
          <w:tcPr>
            <w:tcW w:w="2127" w:type="dxa"/>
            <w:vMerge/>
            <w:tcBorders>
              <w:top w:val="nil"/>
            </w:tcBorders>
            <w:shd w:val="clear" w:color="auto" w:fill="F1F1F1"/>
          </w:tcPr>
          <w:p w:rsidR="00A56FE9" w:rsidRDefault="00A56FE9">
            <w:pPr>
              <w:rPr>
                <w:sz w:val="2"/>
                <w:szCs w:val="2"/>
              </w:rPr>
            </w:pPr>
          </w:p>
        </w:tc>
        <w:tc>
          <w:tcPr>
            <w:tcW w:w="3356" w:type="dxa"/>
          </w:tcPr>
          <w:p w:rsidR="00A56FE9" w:rsidRDefault="00000000">
            <w:pPr>
              <w:pStyle w:val="TableParagraph"/>
              <w:ind w:left="105" w:right="676"/>
              <w:rPr>
                <w:sz w:val="18"/>
              </w:rPr>
            </w:pPr>
            <w:r>
              <w:rPr>
                <w:sz w:val="18"/>
              </w:rPr>
              <w:t>New</w:t>
            </w:r>
            <w:r>
              <w:rPr>
                <w:spacing w:val="-4"/>
                <w:sz w:val="18"/>
              </w:rPr>
              <w:t xml:space="preserve"> </w:t>
            </w:r>
            <w:r>
              <w:rPr>
                <w:sz w:val="18"/>
              </w:rPr>
              <w:t>Act</w:t>
            </w:r>
            <w:r>
              <w:rPr>
                <w:spacing w:val="-3"/>
                <w:sz w:val="18"/>
              </w:rPr>
              <w:t xml:space="preserve"> </w:t>
            </w:r>
            <w:r>
              <w:rPr>
                <w:sz w:val="18"/>
              </w:rPr>
              <w:t>on</w:t>
            </w:r>
            <w:r>
              <w:rPr>
                <w:spacing w:val="-3"/>
                <w:sz w:val="18"/>
              </w:rPr>
              <w:t xml:space="preserve"> </w:t>
            </w:r>
            <w:r>
              <w:rPr>
                <w:sz w:val="18"/>
              </w:rPr>
              <w:t>Maternity</w:t>
            </w:r>
            <w:r>
              <w:rPr>
                <w:spacing w:val="-6"/>
                <w:sz w:val="18"/>
              </w:rPr>
              <w:t xml:space="preserve"> </w:t>
            </w:r>
            <w:r>
              <w:rPr>
                <w:sz w:val="18"/>
              </w:rPr>
              <w:t>and</w:t>
            </w:r>
            <w:r>
              <w:rPr>
                <w:spacing w:val="-4"/>
                <w:sz w:val="18"/>
              </w:rPr>
              <w:t xml:space="preserve"> </w:t>
            </w:r>
            <w:r>
              <w:rPr>
                <w:sz w:val="18"/>
              </w:rPr>
              <w:t>Parental</w:t>
            </w:r>
            <w:r>
              <w:rPr>
                <w:spacing w:val="-42"/>
                <w:sz w:val="18"/>
              </w:rPr>
              <w:t xml:space="preserve"> </w:t>
            </w:r>
            <w:r>
              <w:rPr>
                <w:sz w:val="18"/>
              </w:rPr>
              <w:t>Benefits</w:t>
            </w:r>
          </w:p>
          <w:p w:rsidR="00A56FE9" w:rsidRDefault="00A56FE9">
            <w:pPr>
              <w:pStyle w:val="TableParagraph"/>
              <w:spacing w:before="7"/>
              <w:rPr>
                <w:b/>
                <w:sz w:val="17"/>
              </w:rPr>
            </w:pPr>
          </w:p>
          <w:p w:rsidR="00A56FE9" w:rsidRDefault="00000000">
            <w:pPr>
              <w:pStyle w:val="TableParagraph"/>
              <w:spacing w:line="191" w:lineRule="exact"/>
              <w:ind w:left="105"/>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Principle</w:t>
            </w:r>
            <w:r>
              <w:rPr>
                <w:i/>
                <w:spacing w:val="1"/>
                <w:sz w:val="18"/>
              </w:rPr>
              <w:t xml:space="preserve"> </w:t>
            </w:r>
            <w:r>
              <w:rPr>
                <w:i/>
                <w:sz w:val="18"/>
              </w:rPr>
              <w:t>3</w:t>
            </w:r>
          </w:p>
        </w:tc>
        <w:tc>
          <w:tcPr>
            <w:tcW w:w="9054" w:type="dxa"/>
          </w:tcPr>
          <w:p w:rsidR="00A56FE9" w:rsidRDefault="00000000">
            <w:pPr>
              <w:pStyle w:val="TableParagraph"/>
              <w:ind w:left="107" w:right="267"/>
              <w:rPr>
                <w:sz w:val="18"/>
              </w:rPr>
            </w:pPr>
            <w:r>
              <w:rPr>
                <w:sz w:val="18"/>
              </w:rPr>
              <w:t>Aligning legislation with Directive (EU) 2019/1158 of the European Parliament and of the Council of 20 June 2019 on</w:t>
            </w:r>
            <w:r>
              <w:rPr>
                <w:spacing w:val="1"/>
                <w:sz w:val="18"/>
              </w:rPr>
              <w:t xml:space="preserve"> </w:t>
            </w:r>
            <w:r>
              <w:rPr>
                <w:sz w:val="18"/>
              </w:rPr>
              <w:t>work-life</w:t>
            </w:r>
            <w:r>
              <w:rPr>
                <w:spacing w:val="-3"/>
                <w:sz w:val="18"/>
              </w:rPr>
              <w:t xml:space="preserve"> </w:t>
            </w:r>
            <w:r>
              <w:rPr>
                <w:sz w:val="18"/>
              </w:rPr>
              <w:t>balance for</w:t>
            </w:r>
            <w:r>
              <w:rPr>
                <w:spacing w:val="-2"/>
                <w:sz w:val="18"/>
              </w:rPr>
              <w:t xml:space="preserve"> </w:t>
            </w:r>
            <w:r>
              <w:rPr>
                <w:sz w:val="18"/>
              </w:rPr>
              <w:t>parents</w:t>
            </w:r>
            <w:r>
              <w:rPr>
                <w:spacing w:val="-2"/>
                <w:sz w:val="18"/>
              </w:rPr>
              <w:t xml:space="preserve"> </w:t>
            </w:r>
            <w:r>
              <w:rPr>
                <w:sz w:val="18"/>
              </w:rPr>
              <w:t>and</w:t>
            </w:r>
            <w:r>
              <w:rPr>
                <w:spacing w:val="-3"/>
                <w:sz w:val="18"/>
              </w:rPr>
              <w:t xml:space="preserve"> </w:t>
            </w:r>
            <w:r>
              <w:rPr>
                <w:sz w:val="18"/>
              </w:rPr>
              <w:t>carers</w:t>
            </w:r>
            <w:r>
              <w:rPr>
                <w:spacing w:val="-2"/>
                <w:sz w:val="18"/>
              </w:rPr>
              <w:t xml:space="preserve"> </w:t>
            </w:r>
            <w:r>
              <w:rPr>
                <w:sz w:val="18"/>
              </w:rPr>
              <w:t>and</w:t>
            </w:r>
            <w:r>
              <w:rPr>
                <w:spacing w:val="-1"/>
                <w:sz w:val="18"/>
              </w:rPr>
              <w:t xml:space="preserve"> </w:t>
            </w:r>
            <w:r>
              <w:rPr>
                <w:sz w:val="18"/>
              </w:rPr>
              <w:t>repealing</w:t>
            </w:r>
            <w:r>
              <w:rPr>
                <w:spacing w:val="-2"/>
                <w:sz w:val="18"/>
              </w:rPr>
              <w:t xml:space="preserve"> </w:t>
            </w:r>
            <w:r>
              <w:rPr>
                <w:sz w:val="18"/>
              </w:rPr>
              <w:t>Council</w:t>
            </w:r>
            <w:r>
              <w:rPr>
                <w:spacing w:val="-2"/>
                <w:sz w:val="18"/>
              </w:rPr>
              <w:t xml:space="preserve"> </w:t>
            </w:r>
            <w:r>
              <w:rPr>
                <w:sz w:val="18"/>
              </w:rPr>
              <w:t>Directive</w:t>
            </w:r>
            <w:r>
              <w:rPr>
                <w:spacing w:val="-3"/>
                <w:sz w:val="18"/>
              </w:rPr>
              <w:t xml:space="preserve"> </w:t>
            </w:r>
            <w:r>
              <w:rPr>
                <w:sz w:val="18"/>
              </w:rPr>
              <w:t>2010/18/EU.</w:t>
            </w:r>
            <w:r>
              <w:rPr>
                <w:spacing w:val="-2"/>
                <w:sz w:val="18"/>
              </w:rPr>
              <w:t xml:space="preserve"> </w:t>
            </w:r>
            <w:r>
              <w:rPr>
                <w:sz w:val="18"/>
              </w:rPr>
              <w:t>The</w:t>
            </w:r>
            <w:r>
              <w:rPr>
                <w:spacing w:val="-3"/>
                <w:sz w:val="18"/>
              </w:rPr>
              <w:t xml:space="preserve"> </w:t>
            </w:r>
            <w:r>
              <w:rPr>
                <w:sz w:val="18"/>
              </w:rPr>
              <w:t>plan</w:t>
            </w:r>
            <w:r>
              <w:rPr>
                <w:spacing w:val="-1"/>
                <w:sz w:val="18"/>
              </w:rPr>
              <w:t xml:space="preserve"> </w:t>
            </w:r>
            <w:r>
              <w:rPr>
                <w:sz w:val="18"/>
              </w:rPr>
              <w:t>is</w:t>
            </w:r>
            <w:r>
              <w:rPr>
                <w:spacing w:val="-2"/>
                <w:sz w:val="18"/>
              </w:rPr>
              <w:t xml:space="preserve"> </w:t>
            </w:r>
            <w:r>
              <w:rPr>
                <w:sz w:val="18"/>
              </w:rPr>
              <w:t>to</w:t>
            </w:r>
            <w:r>
              <w:rPr>
                <w:spacing w:val="-1"/>
                <w:sz w:val="18"/>
              </w:rPr>
              <w:t xml:space="preserve"> </w:t>
            </w:r>
            <w:r>
              <w:rPr>
                <w:sz w:val="18"/>
              </w:rPr>
              <w:t>introduce</w:t>
            </w:r>
            <w:r>
              <w:rPr>
                <w:spacing w:val="-2"/>
                <w:sz w:val="18"/>
              </w:rPr>
              <w:t xml:space="preserve"> </w:t>
            </w:r>
            <w:r>
              <w:rPr>
                <w:sz w:val="18"/>
              </w:rPr>
              <w:t>maternity</w:t>
            </w:r>
            <w:r>
              <w:rPr>
                <w:spacing w:val="-42"/>
                <w:sz w:val="18"/>
              </w:rPr>
              <w:t xml:space="preserve"> </w:t>
            </w:r>
            <w:r>
              <w:rPr>
                <w:sz w:val="18"/>
              </w:rPr>
              <w:t>leave</w:t>
            </w:r>
            <w:r>
              <w:rPr>
                <w:spacing w:val="1"/>
                <w:sz w:val="18"/>
              </w:rPr>
              <w:t xml:space="preserve"> </w:t>
            </w:r>
            <w:r>
              <w:rPr>
                <w:sz w:val="18"/>
              </w:rPr>
              <w:t>for</w:t>
            </w:r>
            <w:r>
              <w:rPr>
                <w:spacing w:val="-1"/>
                <w:sz w:val="18"/>
              </w:rPr>
              <w:t xml:space="preserve"> </w:t>
            </w:r>
            <w:r>
              <w:rPr>
                <w:sz w:val="18"/>
              </w:rPr>
              <w:t>father</w:t>
            </w:r>
            <w:r>
              <w:rPr>
                <w:spacing w:val="-1"/>
                <w:sz w:val="18"/>
              </w:rPr>
              <w:t xml:space="preserve"> </w:t>
            </w:r>
            <w:r>
              <w:rPr>
                <w:sz w:val="18"/>
              </w:rPr>
              <w:t>as</w:t>
            </w:r>
            <w:r>
              <w:rPr>
                <w:spacing w:val="-1"/>
                <w:sz w:val="18"/>
              </w:rPr>
              <w:t xml:space="preserve"> </w:t>
            </w:r>
            <w:r>
              <w:rPr>
                <w:sz w:val="18"/>
              </w:rPr>
              <w:t>a</w:t>
            </w:r>
            <w:r>
              <w:rPr>
                <w:spacing w:val="-2"/>
                <w:sz w:val="18"/>
              </w:rPr>
              <w:t xml:space="preserve"> </w:t>
            </w:r>
            <w:r>
              <w:rPr>
                <w:sz w:val="18"/>
              </w:rPr>
              <w:t>new</w:t>
            </w:r>
            <w:r>
              <w:rPr>
                <w:spacing w:val="-4"/>
                <w:sz w:val="18"/>
              </w:rPr>
              <w:t xml:space="preserve"> </w:t>
            </w:r>
            <w:r>
              <w:rPr>
                <w:sz w:val="18"/>
              </w:rPr>
              <w:t>right</w:t>
            </w:r>
            <w:r>
              <w:rPr>
                <w:spacing w:val="-1"/>
                <w:sz w:val="18"/>
              </w:rPr>
              <w:t xml:space="preserve"> </w:t>
            </w:r>
            <w:r>
              <w:rPr>
                <w:sz w:val="18"/>
              </w:rPr>
              <w:t>in the</w:t>
            </w:r>
            <w:r>
              <w:rPr>
                <w:spacing w:val="-1"/>
                <w:sz w:val="18"/>
              </w:rPr>
              <w:t xml:space="preserve"> </w:t>
            </w:r>
            <w:r>
              <w:rPr>
                <w:sz w:val="18"/>
              </w:rPr>
              <w:t>system</w:t>
            </w:r>
            <w:r>
              <w:rPr>
                <w:spacing w:val="-4"/>
                <w:sz w:val="18"/>
              </w:rPr>
              <w:t xml:space="preserve"> </w:t>
            </w:r>
            <w:r>
              <w:rPr>
                <w:sz w:val="18"/>
              </w:rPr>
              <w:t>of</w:t>
            </w:r>
            <w:r>
              <w:rPr>
                <w:spacing w:val="-1"/>
                <w:sz w:val="18"/>
              </w:rPr>
              <w:t xml:space="preserve"> </w:t>
            </w:r>
            <w:r>
              <w:rPr>
                <w:sz w:val="18"/>
              </w:rPr>
              <w:t>maternity</w:t>
            </w:r>
            <w:r>
              <w:rPr>
                <w:spacing w:val="-5"/>
                <w:sz w:val="18"/>
              </w:rPr>
              <w:t xml:space="preserve"> </w:t>
            </w:r>
            <w:r>
              <w:rPr>
                <w:sz w:val="18"/>
              </w:rPr>
              <w:t>and parental</w:t>
            </w:r>
            <w:r>
              <w:rPr>
                <w:spacing w:val="-1"/>
                <w:sz w:val="18"/>
              </w:rPr>
              <w:t xml:space="preserve"> </w:t>
            </w:r>
            <w:r>
              <w:rPr>
                <w:sz w:val="18"/>
              </w:rPr>
              <w:t>benefits</w:t>
            </w:r>
            <w:r>
              <w:rPr>
                <w:spacing w:val="-1"/>
                <w:sz w:val="18"/>
              </w:rPr>
              <w:t xml:space="preserve"> </w:t>
            </w:r>
            <w:r>
              <w:rPr>
                <w:sz w:val="18"/>
              </w:rPr>
              <w:t>amounting</w:t>
            </w:r>
            <w:r>
              <w:rPr>
                <w:spacing w:val="-1"/>
                <w:sz w:val="18"/>
              </w:rPr>
              <w:t xml:space="preserve"> </w:t>
            </w:r>
            <w:r>
              <w:rPr>
                <w:sz w:val="18"/>
              </w:rPr>
              <w:t>to a</w:t>
            </w:r>
            <w:r>
              <w:rPr>
                <w:spacing w:val="-4"/>
                <w:sz w:val="18"/>
              </w:rPr>
              <w:t xml:space="preserve"> </w:t>
            </w:r>
            <w:r>
              <w:rPr>
                <w:sz w:val="18"/>
              </w:rPr>
              <w:t>duration of</w:t>
            </w:r>
            <w:r>
              <w:rPr>
                <w:spacing w:val="-3"/>
                <w:sz w:val="18"/>
              </w:rPr>
              <w:t xml:space="preserve"> </w:t>
            </w:r>
            <w:r>
              <w:rPr>
                <w:sz w:val="18"/>
              </w:rPr>
              <w:t>10 working</w:t>
            </w:r>
          </w:p>
          <w:p w:rsidR="00A56FE9" w:rsidRDefault="00000000">
            <w:pPr>
              <w:pStyle w:val="TableParagraph"/>
              <w:spacing w:line="191" w:lineRule="exact"/>
              <w:ind w:left="107"/>
              <w:rPr>
                <w:sz w:val="18"/>
              </w:rPr>
            </w:pPr>
            <w:r>
              <w:rPr>
                <w:sz w:val="18"/>
              </w:rPr>
              <w:t>days.</w:t>
            </w:r>
            <w:r>
              <w:rPr>
                <w:spacing w:val="1"/>
                <w:sz w:val="18"/>
              </w:rPr>
              <w:t xml:space="preserve"> </w:t>
            </w:r>
            <w:r>
              <w:rPr>
                <w:sz w:val="18"/>
              </w:rPr>
              <w:t>The</w:t>
            </w:r>
            <w:r>
              <w:rPr>
                <w:spacing w:val="-3"/>
                <w:sz w:val="18"/>
              </w:rPr>
              <w:t xml:space="preserve"> </w:t>
            </w:r>
            <w:r>
              <w:rPr>
                <w:sz w:val="18"/>
              </w:rPr>
              <w:t>plan is</w:t>
            </w:r>
            <w:r>
              <w:rPr>
                <w:spacing w:val="-1"/>
                <w:sz w:val="18"/>
              </w:rPr>
              <w:t xml:space="preserve"> </w:t>
            </w:r>
            <w:r>
              <w:rPr>
                <w:sz w:val="18"/>
              </w:rPr>
              <w:t>also</w:t>
            </w:r>
            <w:r>
              <w:rPr>
                <w:spacing w:val="-3"/>
                <w:sz w:val="18"/>
              </w:rPr>
              <w:t xml:space="preserve"> </w:t>
            </w:r>
            <w:r>
              <w:rPr>
                <w:sz w:val="18"/>
              </w:rPr>
              <w:t>to raise</w:t>
            </w:r>
            <w:r>
              <w:rPr>
                <w:spacing w:val="-3"/>
                <w:sz w:val="18"/>
              </w:rPr>
              <w:t xml:space="preserve"> </w:t>
            </w:r>
            <w:r>
              <w:rPr>
                <w:sz w:val="18"/>
              </w:rPr>
              <w:t>the</w:t>
            </w:r>
            <w:r>
              <w:rPr>
                <w:spacing w:val="-4"/>
                <w:sz w:val="18"/>
              </w:rPr>
              <w:t xml:space="preserve"> </w:t>
            </w:r>
            <w:r>
              <w:rPr>
                <w:sz w:val="18"/>
              </w:rPr>
              <w:t>maximum</w:t>
            </w:r>
            <w:r>
              <w:rPr>
                <w:spacing w:val="-3"/>
                <w:sz w:val="18"/>
              </w:rPr>
              <w:t xml:space="preserve"> </w:t>
            </w:r>
            <w:r>
              <w:rPr>
                <w:sz w:val="18"/>
              </w:rPr>
              <w:t>wage</w:t>
            </w:r>
            <w:r>
              <w:rPr>
                <w:spacing w:val="-3"/>
                <w:sz w:val="18"/>
              </w:rPr>
              <w:t xml:space="preserve"> </w:t>
            </w:r>
            <w:r>
              <w:rPr>
                <w:sz w:val="18"/>
              </w:rPr>
              <w:t>amount</w:t>
            </w:r>
            <w:r>
              <w:rPr>
                <w:spacing w:val="-1"/>
                <w:sz w:val="18"/>
              </w:rPr>
              <w:t xml:space="preserve"> </w:t>
            </w:r>
            <w:r>
              <w:rPr>
                <w:sz w:val="18"/>
              </w:rPr>
              <w:t>for</w:t>
            </w:r>
            <w:r>
              <w:rPr>
                <w:spacing w:val="-2"/>
                <w:sz w:val="18"/>
              </w:rPr>
              <w:t xml:space="preserve"> </w:t>
            </w:r>
            <w:r>
              <w:rPr>
                <w:sz w:val="18"/>
              </w:rPr>
              <w:t>employed and</w:t>
            </w:r>
            <w:r>
              <w:rPr>
                <w:spacing w:val="-1"/>
                <w:sz w:val="18"/>
              </w:rPr>
              <w:t xml:space="preserve"> </w:t>
            </w:r>
            <w:r>
              <w:rPr>
                <w:sz w:val="18"/>
              </w:rPr>
              <w:t>self-employed</w:t>
            </w:r>
            <w:r>
              <w:rPr>
                <w:spacing w:val="-1"/>
                <w:sz w:val="18"/>
              </w:rPr>
              <w:t xml:space="preserve"> </w:t>
            </w:r>
            <w:r>
              <w:rPr>
                <w:sz w:val="18"/>
              </w:rPr>
              <w:t>beneficiaries</w:t>
            </w:r>
            <w:r>
              <w:rPr>
                <w:spacing w:val="-2"/>
                <w:sz w:val="18"/>
              </w:rPr>
              <w:t xml:space="preserve"> </w:t>
            </w:r>
            <w:r>
              <w:rPr>
                <w:sz w:val="18"/>
              </w:rPr>
              <w:t>of</w:t>
            </w:r>
            <w:r>
              <w:rPr>
                <w:spacing w:val="-4"/>
                <w:sz w:val="18"/>
              </w:rPr>
              <w:t xml:space="preserve"> </w:t>
            </w:r>
            <w:r>
              <w:rPr>
                <w:sz w:val="18"/>
              </w:rPr>
              <w:t>parental</w:t>
            </w:r>
            <w:r>
              <w:rPr>
                <w:spacing w:val="-2"/>
                <w:sz w:val="18"/>
              </w:rPr>
              <w:t xml:space="preserve"> </w:t>
            </w:r>
            <w:r>
              <w:rPr>
                <w:sz w:val="18"/>
              </w:rPr>
              <w:t>leave.</w:t>
            </w:r>
          </w:p>
        </w:tc>
      </w:tr>
      <w:tr w:rsidR="00A56FE9">
        <w:trPr>
          <w:trHeight w:val="1036"/>
        </w:trPr>
        <w:tc>
          <w:tcPr>
            <w:tcW w:w="2127" w:type="dxa"/>
            <w:vMerge w:val="restart"/>
            <w:shd w:val="clear" w:color="auto" w:fill="F1F1F1"/>
          </w:tcPr>
          <w:p w:rsidR="00A56FE9" w:rsidRDefault="00000000">
            <w:pPr>
              <w:pStyle w:val="TableParagraph"/>
              <w:spacing w:line="226" w:lineRule="exact"/>
              <w:ind w:left="105"/>
              <w:rPr>
                <w:sz w:val="20"/>
              </w:rPr>
            </w:pPr>
            <w:r>
              <w:rPr>
                <w:b/>
                <w:sz w:val="20"/>
              </w:rPr>
              <w:t xml:space="preserve">12. </w:t>
            </w:r>
            <w:r>
              <w:rPr>
                <w:sz w:val="20"/>
              </w:rPr>
              <w:t>Social</w:t>
            </w:r>
            <w:r>
              <w:rPr>
                <w:spacing w:val="-1"/>
                <w:sz w:val="20"/>
              </w:rPr>
              <w:t xml:space="preserve"> </w:t>
            </w:r>
            <w:r>
              <w:rPr>
                <w:sz w:val="20"/>
              </w:rPr>
              <w:t>protection</w:t>
            </w:r>
          </w:p>
        </w:tc>
        <w:tc>
          <w:tcPr>
            <w:tcW w:w="3356" w:type="dxa"/>
            <w:shd w:val="clear" w:color="auto" w:fill="C5EECE"/>
          </w:tcPr>
          <w:p w:rsidR="00A56FE9" w:rsidRDefault="00000000">
            <w:pPr>
              <w:pStyle w:val="TableParagraph"/>
              <w:spacing w:line="242" w:lineRule="auto"/>
              <w:ind w:left="105" w:right="309"/>
              <w:rPr>
                <w:sz w:val="18"/>
              </w:rPr>
            </w:pPr>
            <w:r>
              <w:rPr>
                <w:sz w:val="18"/>
              </w:rPr>
              <w:t>Training</w:t>
            </w:r>
            <w:r>
              <w:rPr>
                <w:spacing w:val="-4"/>
                <w:sz w:val="18"/>
              </w:rPr>
              <w:t xml:space="preserve"> </w:t>
            </w:r>
            <w:r>
              <w:rPr>
                <w:sz w:val="18"/>
              </w:rPr>
              <w:t>of</w:t>
            </w:r>
            <w:r>
              <w:rPr>
                <w:spacing w:val="-4"/>
                <w:sz w:val="18"/>
              </w:rPr>
              <w:t xml:space="preserve"> </w:t>
            </w:r>
            <w:r>
              <w:rPr>
                <w:sz w:val="18"/>
              </w:rPr>
              <w:t>at</w:t>
            </w:r>
            <w:r>
              <w:rPr>
                <w:spacing w:val="-3"/>
                <w:sz w:val="18"/>
              </w:rPr>
              <w:t xml:space="preserve"> </w:t>
            </w:r>
            <w:r>
              <w:rPr>
                <w:sz w:val="18"/>
              </w:rPr>
              <w:t>least</w:t>
            </w:r>
            <w:r>
              <w:rPr>
                <w:spacing w:val="-2"/>
                <w:sz w:val="18"/>
              </w:rPr>
              <w:t xml:space="preserve"> </w:t>
            </w:r>
            <w:r>
              <w:rPr>
                <w:sz w:val="18"/>
              </w:rPr>
              <w:t>220</w:t>
            </w:r>
            <w:r>
              <w:rPr>
                <w:spacing w:val="-2"/>
                <w:sz w:val="18"/>
              </w:rPr>
              <w:t xml:space="preserve"> </w:t>
            </w:r>
            <w:r>
              <w:rPr>
                <w:sz w:val="18"/>
              </w:rPr>
              <w:t>social</w:t>
            </w:r>
            <w:r>
              <w:rPr>
                <w:spacing w:val="-3"/>
                <w:sz w:val="18"/>
              </w:rPr>
              <w:t xml:space="preserve"> </w:t>
            </w:r>
            <w:r>
              <w:rPr>
                <w:sz w:val="18"/>
              </w:rPr>
              <w:t>mentoring</w:t>
            </w:r>
            <w:r>
              <w:rPr>
                <w:spacing w:val="-42"/>
                <w:sz w:val="18"/>
              </w:rPr>
              <w:t xml:space="preserve"> </w:t>
            </w:r>
            <w:r>
              <w:rPr>
                <w:sz w:val="18"/>
              </w:rPr>
              <w:t>professionals</w:t>
            </w:r>
          </w:p>
        </w:tc>
        <w:tc>
          <w:tcPr>
            <w:tcW w:w="9054" w:type="dxa"/>
            <w:shd w:val="clear" w:color="auto" w:fill="C5EECE"/>
          </w:tcPr>
          <w:p w:rsidR="00A56FE9" w:rsidRDefault="00000000">
            <w:pPr>
              <w:pStyle w:val="TableParagraph"/>
              <w:ind w:left="107" w:right="161"/>
              <w:rPr>
                <w:sz w:val="18"/>
              </w:rPr>
            </w:pPr>
            <w:r>
              <w:rPr>
                <w:sz w:val="18"/>
              </w:rPr>
              <w:t>The</w:t>
            </w:r>
            <w:r>
              <w:rPr>
                <w:spacing w:val="-3"/>
                <w:sz w:val="18"/>
              </w:rPr>
              <w:t xml:space="preserve"> </w:t>
            </w:r>
            <w:r>
              <w:rPr>
                <w:sz w:val="18"/>
              </w:rPr>
              <w:t>training</w:t>
            </w:r>
            <w:r>
              <w:rPr>
                <w:spacing w:val="-2"/>
                <w:sz w:val="18"/>
              </w:rPr>
              <w:t xml:space="preserve"> </w:t>
            </w:r>
            <w:r>
              <w:rPr>
                <w:sz w:val="18"/>
              </w:rPr>
              <w:t>of</w:t>
            </w:r>
            <w:r>
              <w:rPr>
                <w:spacing w:val="-3"/>
                <w:sz w:val="18"/>
              </w:rPr>
              <w:t xml:space="preserve"> </w:t>
            </w:r>
            <w:r>
              <w:rPr>
                <w:sz w:val="18"/>
              </w:rPr>
              <w:t>social</w:t>
            </w:r>
            <w:r>
              <w:rPr>
                <w:spacing w:val="-1"/>
                <w:sz w:val="18"/>
              </w:rPr>
              <w:t xml:space="preserve"> </w:t>
            </w:r>
            <w:r>
              <w:rPr>
                <w:sz w:val="18"/>
              </w:rPr>
              <w:t>workers</w:t>
            </w:r>
            <w:r>
              <w:rPr>
                <w:spacing w:val="-2"/>
                <w:sz w:val="18"/>
              </w:rPr>
              <w:t xml:space="preserve"> </w:t>
            </w:r>
            <w:r>
              <w:rPr>
                <w:sz w:val="18"/>
              </w:rPr>
              <w:t>to provide</w:t>
            </w:r>
            <w:r>
              <w:rPr>
                <w:spacing w:val="-2"/>
                <w:sz w:val="18"/>
              </w:rPr>
              <w:t xml:space="preserve"> </w:t>
            </w:r>
            <w:r>
              <w:rPr>
                <w:sz w:val="18"/>
              </w:rPr>
              <w:t>social</w:t>
            </w:r>
            <w:r>
              <w:rPr>
                <w:spacing w:val="-2"/>
                <w:sz w:val="18"/>
              </w:rPr>
              <w:t xml:space="preserve"> </w:t>
            </w:r>
            <w:r>
              <w:rPr>
                <w:sz w:val="18"/>
              </w:rPr>
              <w:t>mentorship services</w:t>
            </w:r>
            <w:r>
              <w:rPr>
                <w:spacing w:val="-1"/>
                <w:sz w:val="18"/>
              </w:rPr>
              <w:t xml:space="preserve"> </w:t>
            </w:r>
            <w:r>
              <w:rPr>
                <w:sz w:val="18"/>
              </w:rPr>
              <w:t>will</w:t>
            </w:r>
            <w:r>
              <w:rPr>
                <w:spacing w:val="4"/>
                <w:sz w:val="18"/>
              </w:rPr>
              <w:t xml:space="preserve"> </w:t>
            </w:r>
            <w:r>
              <w:rPr>
                <w:sz w:val="18"/>
              </w:rPr>
              <w:t>allow</w:t>
            </w:r>
            <w:r>
              <w:rPr>
                <w:spacing w:val="-4"/>
                <w:sz w:val="18"/>
              </w:rPr>
              <w:t xml:space="preserve"> </w:t>
            </w:r>
            <w:r>
              <w:rPr>
                <w:sz w:val="18"/>
              </w:rPr>
              <w:t>the</w:t>
            </w:r>
            <w:r>
              <w:rPr>
                <w:spacing w:val="-2"/>
                <w:sz w:val="18"/>
              </w:rPr>
              <w:t xml:space="preserve"> </w:t>
            </w:r>
            <w:r>
              <w:rPr>
                <w:sz w:val="18"/>
              </w:rPr>
              <w:t>introduction and</w:t>
            </w:r>
            <w:r>
              <w:rPr>
                <w:spacing w:val="-3"/>
                <w:sz w:val="18"/>
              </w:rPr>
              <w:t xml:space="preserve"> </w:t>
            </w:r>
            <w:r>
              <w:rPr>
                <w:sz w:val="18"/>
              </w:rPr>
              <w:t>availability</w:t>
            </w:r>
            <w:r>
              <w:rPr>
                <w:spacing w:val="-5"/>
                <w:sz w:val="18"/>
              </w:rPr>
              <w:t xml:space="preserve"> </w:t>
            </w:r>
            <w:r>
              <w:rPr>
                <w:sz w:val="18"/>
              </w:rPr>
              <w:t>of</w:t>
            </w:r>
            <w:r>
              <w:rPr>
                <w:spacing w:val="-3"/>
                <w:sz w:val="18"/>
              </w:rPr>
              <w:t xml:space="preserve"> </w:t>
            </w:r>
            <w:r>
              <w:rPr>
                <w:sz w:val="18"/>
              </w:rPr>
              <w:t>social</w:t>
            </w:r>
            <w:r>
              <w:rPr>
                <w:spacing w:val="-42"/>
                <w:sz w:val="18"/>
              </w:rPr>
              <w:t xml:space="preserve"> </w:t>
            </w:r>
            <w:r>
              <w:rPr>
                <w:sz w:val="18"/>
              </w:rPr>
              <w:t>mentorship services to potential users with the aim of their return or entry on the labour market, and strengthening their</w:t>
            </w:r>
            <w:r>
              <w:rPr>
                <w:spacing w:val="1"/>
                <w:sz w:val="18"/>
              </w:rPr>
              <w:t xml:space="preserve"> </w:t>
            </w:r>
            <w:r>
              <w:rPr>
                <w:sz w:val="18"/>
              </w:rPr>
              <w:t>social</w:t>
            </w:r>
            <w:r>
              <w:rPr>
                <w:spacing w:val="-2"/>
                <w:sz w:val="18"/>
              </w:rPr>
              <w:t xml:space="preserve"> </w:t>
            </w:r>
            <w:r>
              <w:rPr>
                <w:sz w:val="18"/>
              </w:rPr>
              <w:t>and life</w:t>
            </w:r>
            <w:r>
              <w:rPr>
                <w:spacing w:val="-2"/>
                <w:sz w:val="18"/>
              </w:rPr>
              <w:t xml:space="preserve"> </w:t>
            </w:r>
            <w:r>
              <w:rPr>
                <w:sz w:val="18"/>
              </w:rPr>
              <w:t>skills,</w:t>
            </w:r>
            <w:r>
              <w:rPr>
                <w:spacing w:val="-1"/>
                <w:sz w:val="18"/>
              </w:rPr>
              <w:t xml:space="preserve"> </w:t>
            </w:r>
            <w:r>
              <w:rPr>
                <w:sz w:val="18"/>
              </w:rPr>
              <w:t>and social</w:t>
            </w:r>
            <w:r>
              <w:rPr>
                <w:spacing w:val="-1"/>
                <w:sz w:val="18"/>
              </w:rPr>
              <w:t xml:space="preserve"> </w:t>
            </w:r>
            <w:r>
              <w:rPr>
                <w:sz w:val="18"/>
              </w:rPr>
              <w:t>integration and</w:t>
            </w:r>
            <w:r>
              <w:rPr>
                <w:spacing w:val="-2"/>
                <w:sz w:val="18"/>
              </w:rPr>
              <w:t xml:space="preserve"> </w:t>
            </w:r>
            <w:r>
              <w:rPr>
                <w:sz w:val="18"/>
              </w:rPr>
              <w:t>activation</w:t>
            </w:r>
            <w:r>
              <w:rPr>
                <w:spacing w:val="-2"/>
                <w:sz w:val="18"/>
              </w:rPr>
              <w:t xml:space="preserve"> </w:t>
            </w:r>
            <w:r>
              <w:rPr>
                <w:sz w:val="18"/>
              </w:rPr>
              <w:t>of</w:t>
            </w:r>
            <w:r>
              <w:rPr>
                <w:spacing w:val="-3"/>
                <w:sz w:val="18"/>
              </w:rPr>
              <w:t xml:space="preserve"> </w:t>
            </w:r>
            <w:r>
              <w:rPr>
                <w:sz w:val="18"/>
              </w:rPr>
              <w:t>inactive</w:t>
            </w:r>
            <w:r>
              <w:rPr>
                <w:spacing w:val="-2"/>
                <w:sz w:val="18"/>
              </w:rPr>
              <w:t xml:space="preserve"> </w:t>
            </w:r>
            <w:r>
              <w:rPr>
                <w:sz w:val="18"/>
              </w:rPr>
              <w:t>part</w:t>
            </w:r>
            <w:r>
              <w:rPr>
                <w:spacing w:val="-1"/>
                <w:sz w:val="18"/>
              </w:rPr>
              <w:t xml:space="preserve"> </w:t>
            </w:r>
            <w:r>
              <w:rPr>
                <w:sz w:val="18"/>
              </w:rPr>
              <w:t>gravitating</w:t>
            </w:r>
            <w:r>
              <w:rPr>
                <w:spacing w:val="-2"/>
                <w:sz w:val="18"/>
              </w:rPr>
              <w:t xml:space="preserve"> </w:t>
            </w:r>
            <w:r>
              <w:rPr>
                <w:sz w:val="18"/>
              </w:rPr>
              <w:t>towards</w:t>
            </w:r>
            <w:r>
              <w:rPr>
                <w:spacing w:val="-1"/>
                <w:sz w:val="18"/>
              </w:rPr>
              <w:t xml:space="preserve"> </w:t>
            </w:r>
            <w:r>
              <w:rPr>
                <w:sz w:val="18"/>
              </w:rPr>
              <w:t>employable</w:t>
            </w:r>
            <w:r>
              <w:rPr>
                <w:spacing w:val="-1"/>
                <w:sz w:val="18"/>
              </w:rPr>
              <w:t xml:space="preserve"> </w:t>
            </w:r>
            <w:r>
              <w:rPr>
                <w:sz w:val="18"/>
              </w:rPr>
              <w:t>groups</w:t>
            </w:r>
            <w:r>
              <w:rPr>
                <w:spacing w:val="-4"/>
                <w:sz w:val="18"/>
              </w:rPr>
              <w:t xml:space="preserve"> </w:t>
            </w:r>
            <w:r>
              <w:rPr>
                <w:sz w:val="18"/>
              </w:rPr>
              <w:t>on</w:t>
            </w:r>
            <w:r>
              <w:rPr>
                <w:spacing w:val="-2"/>
                <w:sz w:val="18"/>
              </w:rPr>
              <w:t xml:space="preserve"> </w:t>
            </w:r>
            <w:r>
              <w:rPr>
                <w:sz w:val="18"/>
              </w:rPr>
              <w:t>the</w:t>
            </w:r>
          </w:p>
          <w:p w:rsidR="00A56FE9" w:rsidRDefault="00000000">
            <w:pPr>
              <w:pStyle w:val="TableParagraph"/>
              <w:spacing w:line="206" w:lineRule="exact"/>
              <w:ind w:left="107" w:right="161"/>
              <w:rPr>
                <w:sz w:val="18"/>
              </w:rPr>
            </w:pPr>
            <w:r>
              <w:rPr>
                <w:sz w:val="18"/>
              </w:rPr>
              <w:t>labour</w:t>
            </w:r>
            <w:r>
              <w:rPr>
                <w:spacing w:val="-4"/>
                <w:sz w:val="18"/>
              </w:rPr>
              <w:t xml:space="preserve"> </w:t>
            </w:r>
            <w:r>
              <w:rPr>
                <w:sz w:val="18"/>
              </w:rPr>
              <w:t>market,</w:t>
            </w:r>
            <w:r>
              <w:rPr>
                <w:spacing w:val="-1"/>
                <w:sz w:val="18"/>
              </w:rPr>
              <w:t xml:space="preserve"> </w:t>
            </w:r>
            <w:r>
              <w:rPr>
                <w:sz w:val="18"/>
              </w:rPr>
              <w:t>improving</w:t>
            </w:r>
            <w:r>
              <w:rPr>
                <w:spacing w:val="-3"/>
                <w:sz w:val="18"/>
              </w:rPr>
              <w:t xml:space="preserve"> </w:t>
            </w:r>
            <w:r>
              <w:rPr>
                <w:sz w:val="18"/>
              </w:rPr>
              <w:t>capacities</w:t>
            </w:r>
            <w:r>
              <w:rPr>
                <w:spacing w:val="-1"/>
                <w:sz w:val="18"/>
              </w:rPr>
              <w:t xml:space="preserve"> </w:t>
            </w:r>
            <w:r>
              <w:rPr>
                <w:sz w:val="18"/>
              </w:rPr>
              <w:t>of</w:t>
            </w:r>
            <w:r>
              <w:rPr>
                <w:spacing w:val="-4"/>
                <w:sz w:val="18"/>
              </w:rPr>
              <w:t xml:space="preserve"> </w:t>
            </w:r>
            <w:r>
              <w:rPr>
                <w:sz w:val="18"/>
              </w:rPr>
              <w:t>social</w:t>
            </w:r>
            <w:r>
              <w:rPr>
                <w:spacing w:val="-2"/>
                <w:sz w:val="18"/>
              </w:rPr>
              <w:t xml:space="preserve"> </w:t>
            </w:r>
            <w:r>
              <w:rPr>
                <w:sz w:val="18"/>
              </w:rPr>
              <w:t>welfare</w:t>
            </w:r>
            <w:r>
              <w:rPr>
                <w:spacing w:val="-3"/>
                <w:sz w:val="18"/>
              </w:rPr>
              <w:t xml:space="preserve"> </w:t>
            </w:r>
            <w:r>
              <w:rPr>
                <w:sz w:val="18"/>
              </w:rPr>
              <w:t>centres</w:t>
            </w:r>
            <w:r>
              <w:rPr>
                <w:spacing w:val="-2"/>
                <w:sz w:val="18"/>
              </w:rPr>
              <w:t xml:space="preserve"> </w:t>
            </w:r>
            <w:r>
              <w:rPr>
                <w:sz w:val="18"/>
              </w:rPr>
              <w:t>and</w:t>
            </w:r>
            <w:r>
              <w:rPr>
                <w:spacing w:val="-1"/>
                <w:sz w:val="18"/>
              </w:rPr>
              <w:t xml:space="preserve"> </w:t>
            </w:r>
            <w:r>
              <w:rPr>
                <w:sz w:val="18"/>
              </w:rPr>
              <w:t>services for</w:t>
            </w:r>
            <w:r>
              <w:rPr>
                <w:spacing w:val="-2"/>
                <w:sz w:val="18"/>
              </w:rPr>
              <w:t xml:space="preserve"> </w:t>
            </w:r>
            <w:r>
              <w:rPr>
                <w:sz w:val="18"/>
              </w:rPr>
              <w:t>employment</w:t>
            </w:r>
            <w:r>
              <w:rPr>
                <w:spacing w:val="-2"/>
                <w:sz w:val="18"/>
              </w:rPr>
              <w:t xml:space="preserve"> </w:t>
            </w:r>
            <w:r>
              <w:rPr>
                <w:sz w:val="18"/>
              </w:rPr>
              <w:t>to</w:t>
            </w:r>
            <w:r>
              <w:rPr>
                <w:spacing w:val="-2"/>
                <w:sz w:val="18"/>
              </w:rPr>
              <w:t xml:space="preserve"> </w:t>
            </w:r>
            <w:r>
              <w:rPr>
                <w:sz w:val="18"/>
              </w:rPr>
              <w:t>handle</w:t>
            </w:r>
            <w:r>
              <w:rPr>
                <w:spacing w:val="-2"/>
                <w:sz w:val="18"/>
              </w:rPr>
              <w:t xml:space="preserve"> </w:t>
            </w:r>
            <w:r>
              <w:rPr>
                <w:sz w:val="18"/>
              </w:rPr>
              <w:t>cases</w:t>
            </w:r>
            <w:r>
              <w:rPr>
                <w:spacing w:val="-2"/>
                <w:sz w:val="18"/>
              </w:rPr>
              <w:t xml:space="preserve"> </w:t>
            </w:r>
            <w:r>
              <w:rPr>
                <w:sz w:val="18"/>
              </w:rPr>
              <w:t>together</w:t>
            </w:r>
            <w:r>
              <w:rPr>
                <w:spacing w:val="-2"/>
                <w:sz w:val="18"/>
              </w:rPr>
              <w:t xml:space="preserve"> </w:t>
            </w:r>
            <w:r>
              <w:rPr>
                <w:sz w:val="18"/>
              </w:rPr>
              <w:t>and</w:t>
            </w:r>
            <w:r>
              <w:rPr>
                <w:spacing w:val="-42"/>
                <w:sz w:val="18"/>
              </w:rPr>
              <w:t xml:space="preserve"> </w:t>
            </w:r>
            <w:r>
              <w:rPr>
                <w:sz w:val="18"/>
              </w:rPr>
              <w:t>their</w:t>
            </w:r>
            <w:r>
              <w:rPr>
                <w:spacing w:val="-1"/>
                <w:sz w:val="18"/>
              </w:rPr>
              <w:t xml:space="preserve"> </w:t>
            </w:r>
            <w:r>
              <w:rPr>
                <w:sz w:val="18"/>
              </w:rPr>
              <w:t>better cooperation</w:t>
            </w:r>
            <w:r>
              <w:rPr>
                <w:spacing w:val="-1"/>
                <w:sz w:val="18"/>
              </w:rPr>
              <w:t xml:space="preserve"> </w:t>
            </w:r>
            <w:r>
              <w:rPr>
                <w:sz w:val="18"/>
              </w:rPr>
              <w:t>and</w:t>
            </w:r>
            <w:r>
              <w:rPr>
                <w:spacing w:val="1"/>
                <w:sz w:val="18"/>
              </w:rPr>
              <w:t xml:space="preserve"> </w:t>
            </w:r>
            <w:r>
              <w:rPr>
                <w:sz w:val="18"/>
              </w:rPr>
              <w:t>exchanging</w:t>
            </w:r>
            <w:r>
              <w:rPr>
                <w:spacing w:val="-1"/>
                <w:sz w:val="18"/>
              </w:rPr>
              <w:t xml:space="preserve"> </w:t>
            </w:r>
            <w:r>
              <w:rPr>
                <w:sz w:val="18"/>
              </w:rPr>
              <w:t>of</w:t>
            </w:r>
            <w:r>
              <w:rPr>
                <w:spacing w:val="-2"/>
                <w:sz w:val="18"/>
              </w:rPr>
              <w:t xml:space="preserve"> </w:t>
            </w:r>
            <w:r>
              <w:rPr>
                <w:sz w:val="18"/>
              </w:rPr>
              <w:t>data.</w:t>
            </w:r>
          </w:p>
        </w:tc>
      </w:tr>
      <w:tr w:rsidR="00A56FE9">
        <w:trPr>
          <w:trHeight w:val="827"/>
        </w:trPr>
        <w:tc>
          <w:tcPr>
            <w:tcW w:w="2127" w:type="dxa"/>
            <w:vMerge/>
            <w:tcBorders>
              <w:top w:val="nil"/>
            </w:tcBorders>
            <w:shd w:val="clear" w:color="auto" w:fill="F1F1F1"/>
          </w:tcPr>
          <w:p w:rsidR="00A56FE9" w:rsidRDefault="00A56FE9">
            <w:pPr>
              <w:rPr>
                <w:sz w:val="2"/>
                <w:szCs w:val="2"/>
              </w:rPr>
            </w:pPr>
          </w:p>
        </w:tc>
        <w:tc>
          <w:tcPr>
            <w:tcW w:w="3356" w:type="dxa"/>
            <w:shd w:val="clear" w:color="auto" w:fill="C5EECE"/>
          </w:tcPr>
          <w:p w:rsidR="00A56FE9" w:rsidRDefault="00000000">
            <w:pPr>
              <w:pStyle w:val="TableParagraph"/>
              <w:ind w:left="105" w:right="465"/>
              <w:rPr>
                <w:sz w:val="18"/>
              </w:rPr>
            </w:pPr>
            <w:r>
              <w:rPr>
                <w:sz w:val="18"/>
              </w:rPr>
              <w:t>Adoption</w:t>
            </w:r>
            <w:r>
              <w:rPr>
                <w:spacing w:val="-3"/>
                <w:sz w:val="18"/>
              </w:rPr>
              <w:t xml:space="preserve"> </w:t>
            </w:r>
            <w:r>
              <w:rPr>
                <w:sz w:val="18"/>
              </w:rPr>
              <w:t>of</w:t>
            </w:r>
            <w:r>
              <w:rPr>
                <w:spacing w:val="-5"/>
                <w:sz w:val="18"/>
              </w:rPr>
              <w:t xml:space="preserve"> </w:t>
            </w:r>
            <w:r>
              <w:rPr>
                <w:sz w:val="18"/>
              </w:rPr>
              <w:t>standards</w:t>
            </w:r>
            <w:r>
              <w:rPr>
                <w:spacing w:val="-3"/>
                <w:sz w:val="18"/>
              </w:rPr>
              <w:t xml:space="preserve"> </w:t>
            </w:r>
            <w:r>
              <w:rPr>
                <w:sz w:val="18"/>
              </w:rPr>
              <w:t>of</w:t>
            </w:r>
            <w:r>
              <w:rPr>
                <w:spacing w:val="-5"/>
                <w:sz w:val="18"/>
              </w:rPr>
              <w:t xml:space="preserve"> </w:t>
            </w:r>
            <w:r>
              <w:rPr>
                <w:sz w:val="18"/>
              </w:rPr>
              <w:t>treatment</w:t>
            </w:r>
            <w:r>
              <w:rPr>
                <w:spacing w:val="-3"/>
                <w:sz w:val="18"/>
              </w:rPr>
              <w:t xml:space="preserve"> </w:t>
            </w:r>
            <w:r>
              <w:rPr>
                <w:sz w:val="18"/>
              </w:rPr>
              <w:t>for</w:t>
            </w:r>
            <w:r>
              <w:rPr>
                <w:spacing w:val="-42"/>
                <w:sz w:val="18"/>
              </w:rPr>
              <w:t xml:space="preserve"> </w:t>
            </w:r>
            <w:r>
              <w:rPr>
                <w:sz w:val="18"/>
              </w:rPr>
              <w:t>family</w:t>
            </w:r>
            <w:r>
              <w:rPr>
                <w:spacing w:val="-2"/>
                <w:sz w:val="18"/>
              </w:rPr>
              <w:t xml:space="preserve"> </w:t>
            </w:r>
            <w:r>
              <w:rPr>
                <w:sz w:val="18"/>
              </w:rPr>
              <w:t>assistants</w:t>
            </w:r>
          </w:p>
          <w:p w:rsidR="00A56FE9" w:rsidRDefault="00A56FE9">
            <w:pPr>
              <w:pStyle w:val="TableParagraph"/>
              <w:spacing w:before="4"/>
              <w:rPr>
                <w:b/>
                <w:sz w:val="17"/>
              </w:rPr>
            </w:pPr>
          </w:p>
          <w:p w:rsidR="00A56FE9" w:rsidRDefault="00000000">
            <w:pPr>
              <w:pStyle w:val="TableParagraph"/>
              <w:spacing w:line="193" w:lineRule="exact"/>
              <w:ind w:left="105"/>
              <w:rPr>
                <w:i/>
                <w:sz w:val="18"/>
              </w:rPr>
            </w:pPr>
            <w:r>
              <w:rPr>
                <w:i/>
                <w:sz w:val="18"/>
              </w:rPr>
              <w:t>Also</w:t>
            </w:r>
            <w:r>
              <w:rPr>
                <w:i/>
                <w:spacing w:val="-1"/>
                <w:sz w:val="18"/>
              </w:rPr>
              <w:t xml:space="preserve"> </w:t>
            </w:r>
            <w:r>
              <w:rPr>
                <w:i/>
                <w:sz w:val="18"/>
              </w:rPr>
              <w:t>contributes</w:t>
            </w:r>
            <w:r>
              <w:rPr>
                <w:i/>
                <w:spacing w:val="-2"/>
                <w:sz w:val="18"/>
              </w:rPr>
              <w:t xml:space="preserve"> </w:t>
            </w:r>
            <w:r>
              <w:rPr>
                <w:i/>
                <w:sz w:val="18"/>
              </w:rPr>
              <w:t>to</w:t>
            </w:r>
            <w:r>
              <w:rPr>
                <w:i/>
                <w:spacing w:val="-3"/>
                <w:sz w:val="18"/>
              </w:rPr>
              <w:t xml:space="preserve"> </w:t>
            </w:r>
            <w:r>
              <w:rPr>
                <w:i/>
                <w:sz w:val="18"/>
              </w:rPr>
              <w:t>achieving Principle 17</w:t>
            </w:r>
          </w:p>
        </w:tc>
        <w:tc>
          <w:tcPr>
            <w:tcW w:w="9054" w:type="dxa"/>
            <w:shd w:val="clear" w:color="auto" w:fill="C5EECE"/>
          </w:tcPr>
          <w:p w:rsidR="00A56FE9" w:rsidRDefault="00000000">
            <w:pPr>
              <w:pStyle w:val="TableParagraph"/>
              <w:ind w:left="107" w:right="639"/>
              <w:rPr>
                <w:sz w:val="18"/>
              </w:rPr>
            </w:pPr>
            <w:r>
              <w:rPr>
                <w:sz w:val="18"/>
              </w:rPr>
              <w:t>Developed standards to regulate activities of family assistants shall enable the harmonised provision of on-the-spot</w:t>
            </w:r>
            <w:r>
              <w:rPr>
                <w:spacing w:val="-42"/>
                <w:sz w:val="18"/>
              </w:rPr>
              <w:t xml:space="preserve"> </w:t>
            </w:r>
            <w:r>
              <w:rPr>
                <w:sz w:val="18"/>
              </w:rPr>
              <w:t>services</w:t>
            </w:r>
            <w:r>
              <w:rPr>
                <w:spacing w:val="-2"/>
                <w:sz w:val="18"/>
              </w:rPr>
              <w:t xml:space="preserve"> </w:t>
            </w:r>
            <w:r>
              <w:rPr>
                <w:sz w:val="18"/>
              </w:rPr>
              <w:t>in</w:t>
            </w:r>
            <w:r>
              <w:rPr>
                <w:spacing w:val="1"/>
                <w:sz w:val="18"/>
              </w:rPr>
              <w:t xml:space="preserve"> </w:t>
            </w:r>
            <w:r>
              <w:rPr>
                <w:sz w:val="18"/>
              </w:rPr>
              <w:t>the</w:t>
            </w:r>
            <w:r>
              <w:rPr>
                <w:spacing w:val="-4"/>
                <w:sz w:val="18"/>
              </w:rPr>
              <w:t xml:space="preserve"> </w:t>
            </w:r>
            <w:r>
              <w:rPr>
                <w:sz w:val="18"/>
              </w:rPr>
              <w:t>beneficiary’s</w:t>
            </w:r>
            <w:r>
              <w:rPr>
                <w:spacing w:val="-1"/>
                <w:sz w:val="18"/>
              </w:rPr>
              <w:t xml:space="preserve"> </w:t>
            </w:r>
            <w:r>
              <w:rPr>
                <w:sz w:val="18"/>
              </w:rPr>
              <w:t>home</w:t>
            </w:r>
            <w:r>
              <w:rPr>
                <w:spacing w:val="-2"/>
                <w:sz w:val="18"/>
              </w:rPr>
              <w:t xml:space="preserve"> </w:t>
            </w:r>
            <w:r>
              <w:rPr>
                <w:sz w:val="18"/>
              </w:rPr>
              <w:t>in cooperation</w:t>
            </w:r>
            <w:r>
              <w:rPr>
                <w:spacing w:val="1"/>
                <w:sz w:val="18"/>
              </w:rPr>
              <w:t xml:space="preserve"> </w:t>
            </w:r>
            <w:r>
              <w:rPr>
                <w:sz w:val="18"/>
              </w:rPr>
              <w:t>with other</w:t>
            </w:r>
            <w:r>
              <w:rPr>
                <w:spacing w:val="-1"/>
                <w:sz w:val="18"/>
              </w:rPr>
              <w:t xml:space="preserve"> </w:t>
            </w:r>
            <w:r>
              <w:rPr>
                <w:sz w:val="18"/>
              </w:rPr>
              <w:t>stakeholders</w:t>
            </w:r>
            <w:r>
              <w:rPr>
                <w:spacing w:val="-1"/>
                <w:sz w:val="18"/>
              </w:rPr>
              <w:t xml:space="preserve"> </w:t>
            </w:r>
            <w:r>
              <w:rPr>
                <w:sz w:val="18"/>
              </w:rPr>
              <w:t>at</w:t>
            </w:r>
            <w:r>
              <w:rPr>
                <w:spacing w:val="-1"/>
                <w:sz w:val="18"/>
              </w:rPr>
              <w:t xml:space="preserve"> </w:t>
            </w:r>
            <w:r>
              <w:rPr>
                <w:sz w:val="18"/>
              </w:rPr>
              <w:t>the</w:t>
            </w:r>
            <w:r>
              <w:rPr>
                <w:spacing w:val="4"/>
                <w:sz w:val="18"/>
              </w:rPr>
              <w:t xml:space="preserve"> </w:t>
            </w:r>
            <w:r>
              <w:rPr>
                <w:sz w:val="18"/>
              </w:rPr>
              <w:t>local</w:t>
            </w:r>
            <w:r>
              <w:rPr>
                <w:spacing w:val="-1"/>
                <w:sz w:val="18"/>
              </w:rPr>
              <w:t xml:space="preserve"> </w:t>
            </w:r>
            <w:r>
              <w:rPr>
                <w:sz w:val="18"/>
              </w:rPr>
              <w:t>community</w:t>
            </w:r>
            <w:r>
              <w:rPr>
                <w:spacing w:val="-4"/>
                <w:sz w:val="18"/>
              </w:rPr>
              <w:t xml:space="preserve"> </w:t>
            </w:r>
            <w:r>
              <w:rPr>
                <w:sz w:val="18"/>
              </w:rPr>
              <w:t>level.</w:t>
            </w:r>
          </w:p>
        </w:tc>
      </w:tr>
      <w:tr w:rsidR="00A56FE9">
        <w:trPr>
          <w:trHeight w:val="621"/>
        </w:trPr>
        <w:tc>
          <w:tcPr>
            <w:tcW w:w="2127" w:type="dxa"/>
            <w:vMerge/>
            <w:tcBorders>
              <w:top w:val="nil"/>
            </w:tcBorders>
            <w:shd w:val="clear" w:color="auto" w:fill="F1F1F1"/>
          </w:tcPr>
          <w:p w:rsidR="00A56FE9" w:rsidRDefault="00A56FE9">
            <w:pPr>
              <w:rPr>
                <w:sz w:val="2"/>
                <w:szCs w:val="2"/>
              </w:rPr>
            </w:pPr>
          </w:p>
        </w:tc>
        <w:tc>
          <w:tcPr>
            <w:tcW w:w="3356" w:type="dxa"/>
          </w:tcPr>
          <w:p w:rsidR="00A56FE9" w:rsidRDefault="00000000">
            <w:pPr>
              <w:pStyle w:val="TableParagraph"/>
              <w:spacing w:line="202" w:lineRule="exact"/>
              <w:ind w:left="105"/>
              <w:rPr>
                <w:sz w:val="18"/>
              </w:rPr>
            </w:pPr>
            <w:r>
              <w:rPr>
                <w:sz w:val="18"/>
              </w:rPr>
              <w:t>Providing</w:t>
            </w:r>
            <w:r>
              <w:rPr>
                <w:spacing w:val="-2"/>
                <w:sz w:val="18"/>
              </w:rPr>
              <w:t xml:space="preserve"> </w:t>
            </w:r>
            <w:r>
              <w:rPr>
                <w:sz w:val="18"/>
              </w:rPr>
              <w:t>assistance</w:t>
            </w:r>
            <w:r>
              <w:rPr>
                <w:spacing w:val="-1"/>
                <w:sz w:val="18"/>
              </w:rPr>
              <w:t xml:space="preserve"> </w:t>
            </w:r>
            <w:r>
              <w:rPr>
                <w:sz w:val="18"/>
              </w:rPr>
              <w:t>of</w:t>
            </w:r>
            <w:r>
              <w:rPr>
                <w:spacing w:val="-3"/>
                <w:sz w:val="18"/>
              </w:rPr>
              <w:t xml:space="preserve"> </w:t>
            </w:r>
            <w:r>
              <w:rPr>
                <w:sz w:val="18"/>
              </w:rPr>
              <w:t>the</w:t>
            </w:r>
            <w:r>
              <w:rPr>
                <w:spacing w:val="-1"/>
                <w:sz w:val="18"/>
              </w:rPr>
              <w:t xml:space="preserve"> </w:t>
            </w:r>
            <w:r>
              <w:rPr>
                <w:sz w:val="18"/>
              </w:rPr>
              <w:t>most</w:t>
            </w:r>
            <w:r>
              <w:rPr>
                <w:spacing w:val="1"/>
                <w:sz w:val="18"/>
              </w:rPr>
              <w:t xml:space="preserve"> </w:t>
            </w:r>
            <w:r>
              <w:rPr>
                <w:sz w:val="18"/>
              </w:rPr>
              <w:t>needy</w:t>
            </w:r>
            <w:r>
              <w:rPr>
                <w:spacing w:val="-4"/>
                <w:sz w:val="18"/>
              </w:rPr>
              <w:t xml:space="preserve"> </w:t>
            </w:r>
            <w:r>
              <w:rPr>
                <w:sz w:val="18"/>
              </w:rPr>
              <w:t>by</w:t>
            </w:r>
          </w:p>
          <w:p w:rsidR="00A56FE9" w:rsidRDefault="00000000">
            <w:pPr>
              <w:pStyle w:val="TableParagraph"/>
              <w:spacing w:line="206" w:lineRule="exact"/>
              <w:ind w:left="105" w:right="471"/>
              <w:rPr>
                <w:sz w:val="18"/>
              </w:rPr>
            </w:pPr>
            <w:r>
              <w:rPr>
                <w:sz w:val="18"/>
              </w:rPr>
              <w:t>distributing</w:t>
            </w:r>
            <w:r>
              <w:rPr>
                <w:spacing w:val="-4"/>
                <w:sz w:val="18"/>
              </w:rPr>
              <w:t xml:space="preserve"> </w:t>
            </w:r>
            <w:r>
              <w:rPr>
                <w:sz w:val="18"/>
              </w:rPr>
              <w:t>food</w:t>
            </w:r>
            <w:r>
              <w:rPr>
                <w:spacing w:val="-1"/>
                <w:sz w:val="18"/>
              </w:rPr>
              <w:t xml:space="preserve"> </w:t>
            </w:r>
            <w:r>
              <w:rPr>
                <w:sz w:val="18"/>
              </w:rPr>
              <w:t>and/or</w:t>
            </w:r>
            <w:r>
              <w:rPr>
                <w:spacing w:val="-2"/>
                <w:sz w:val="18"/>
              </w:rPr>
              <w:t xml:space="preserve"> </w:t>
            </w:r>
            <w:r>
              <w:rPr>
                <w:sz w:val="18"/>
              </w:rPr>
              <w:t>basic</w:t>
            </w:r>
            <w:r>
              <w:rPr>
                <w:spacing w:val="-3"/>
                <w:sz w:val="18"/>
              </w:rPr>
              <w:t xml:space="preserve"> </w:t>
            </w:r>
            <w:r>
              <w:rPr>
                <w:sz w:val="18"/>
              </w:rPr>
              <w:t>material</w:t>
            </w:r>
            <w:r>
              <w:rPr>
                <w:spacing w:val="-42"/>
                <w:sz w:val="18"/>
              </w:rPr>
              <w:t xml:space="preserve"> </w:t>
            </w:r>
            <w:r>
              <w:rPr>
                <w:sz w:val="18"/>
              </w:rPr>
              <w:t>assistance</w:t>
            </w:r>
          </w:p>
        </w:tc>
        <w:tc>
          <w:tcPr>
            <w:tcW w:w="9054" w:type="dxa"/>
          </w:tcPr>
          <w:p w:rsidR="00A56FE9" w:rsidRDefault="00000000">
            <w:pPr>
              <w:pStyle w:val="TableParagraph"/>
              <w:ind w:left="107" w:right="161"/>
              <w:rPr>
                <w:sz w:val="18"/>
              </w:rPr>
            </w:pPr>
            <w:r>
              <w:rPr>
                <w:sz w:val="18"/>
              </w:rPr>
              <w:t>Implementation</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Call</w:t>
            </w:r>
            <w:r>
              <w:rPr>
                <w:spacing w:val="-1"/>
                <w:sz w:val="18"/>
              </w:rPr>
              <w:t xml:space="preserve"> </w:t>
            </w:r>
            <w:r>
              <w:rPr>
                <w:sz w:val="18"/>
              </w:rPr>
              <w:t>for</w:t>
            </w:r>
            <w:r>
              <w:rPr>
                <w:spacing w:val="-3"/>
                <w:sz w:val="18"/>
              </w:rPr>
              <w:t xml:space="preserve"> </w:t>
            </w:r>
            <w:r>
              <w:rPr>
                <w:sz w:val="18"/>
              </w:rPr>
              <w:t>Poverty</w:t>
            </w:r>
            <w:r>
              <w:rPr>
                <w:spacing w:val="-5"/>
                <w:sz w:val="18"/>
              </w:rPr>
              <w:t xml:space="preserve"> </w:t>
            </w:r>
            <w:r>
              <w:rPr>
                <w:sz w:val="18"/>
              </w:rPr>
              <w:t>Reduction Call</w:t>
            </w:r>
            <w:r>
              <w:rPr>
                <w:spacing w:val="-2"/>
                <w:sz w:val="18"/>
              </w:rPr>
              <w:t xml:space="preserve"> </w:t>
            </w:r>
            <w:r>
              <w:rPr>
                <w:sz w:val="18"/>
              </w:rPr>
              <w:t>by</w:t>
            </w:r>
            <w:r>
              <w:rPr>
                <w:spacing w:val="-5"/>
                <w:sz w:val="18"/>
              </w:rPr>
              <w:t xml:space="preserve"> </w:t>
            </w:r>
            <w:r>
              <w:rPr>
                <w:sz w:val="18"/>
              </w:rPr>
              <w:t>providing</w:t>
            </w:r>
            <w:r>
              <w:rPr>
                <w:spacing w:val="-2"/>
                <w:sz w:val="18"/>
              </w:rPr>
              <w:t xml:space="preserve"> </w:t>
            </w:r>
            <w:r>
              <w:rPr>
                <w:sz w:val="18"/>
              </w:rPr>
              <w:t>assistance</w:t>
            </w:r>
            <w:r>
              <w:rPr>
                <w:spacing w:val="-2"/>
                <w:sz w:val="18"/>
              </w:rPr>
              <w:t xml:space="preserve"> </w:t>
            </w:r>
            <w:r>
              <w:rPr>
                <w:sz w:val="18"/>
              </w:rPr>
              <w:t>to the</w:t>
            </w:r>
            <w:r>
              <w:rPr>
                <w:spacing w:val="-2"/>
                <w:sz w:val="18"/>
              </w:rPr>
              <w:t xml:space="preserve"> </w:t>
            </w:r>
            <w:r>
              <w:rPr>
                <w:sz w:val="18"/>
              </w:rPr>
              <w:t>most</w:t>
            </w:r>
            <w:r>
              <w:rPr>
                <w:spacing w:val="-1"/>
                <w:sz w:val="18"/>
              </w:rPr>
              <w:t xml:space="preserve"> </w:t>
            </w:r>
            <w:r>
              <w:rPr>
                <w:sz w:val="18"/>
              </w:rPr>
              <w:t>deprived</w:t>
            </w:r>
            <w:r>
              <w:rPr>
                <w:spacing w:val="-1"/>
                <w:sz w:val="18"/>
              </w:rPr>
              <w:t xml:space="preserve"> </w:t>
            </w:r>
            <w:r>
              <w:rPr>
                <w:sz w:val="18"/>
              </w:rPr>
              <w:t>persons</w:t>
            </w:r>
            <w:r>
              <w:rPr>
                <w:spacing w:val="-1"/>
                <w:sz w:val="18"/>
              </w:rPr>
              <w:t xml:space="preserve"> </w:t>
            </w:r>
            <w:r>
              <w:rPr>
                <w:sz w:val="18"/>
              </w:rPr>
              <w:t>through the</w:t>
            </w:r>
            <w:r>
              <w:rPr>
                <w:spacing w:val="-42"/>
                <w:sz w:val="18"/>
              </w:rPr>
              <w:t xml:space="preserve"> </w:t>
            </w:r>
            <w:r>
              <w:rPr>
                <w:sz w:val="18"/>
              </w:rPr>
              <w:t>distribution</w:t>
            </w:r>
            <w:r>
              <w:rPr>
                <w:spacing w:val="-2"/>
                <w:sz w:val="18"/>
              </w:rPr>
              <w:t xml:space="preserve"> </w:t>
            </w:r>
            <w:r>
              <w:rPr>
                <w:sz w:val="18"/>
              </w:rPr>
              <w:t>of</w:t>
            </w:r>
            <w:r>
              <w:rPr>
                <w:spacing w:val="-2"/>
                <w:sz w:val="18"/>
              </w:rPr>
              <w:t xml:space="preserve"> </w:t>
            </w:r>
            <w:r>
              <w:rPr>
                <w:sz w:val="18"/>
              </w:rPr>
              <w:t>food</w:t>
            </w:r>
            <w:r>
              <w:rPr>
                <w:spacing w:val="1"/>
                <w:sz w:val="18"/>
              </w:rPr>
              <w:t xml:space="preserve"> </w:t>
            </w:r>
            <w:r>
              <w:rPr>
                <w:sz w:val="18"/>
              </w:rPr>
              <w:t>and/or</w:t>
            </w:r>
            <w:r>
              <w:rPr>
                <w:spacing w:val="-3"/>
                <w:sz w:val="18"/>
              </w:rPr>
              <w:t xml:space="preserve"> </w:t>
            </w:r>
            <w:r>
              <w:rPr>
                <w:sz w:val="18"/>
              </w:rPr>
              <w:t>basic</w:t>
            </w:r>
            <w:r>
              <w:rPr>
                <w:spacing w:val="-4"/>
                <w:sz w:val="18"/>
              </w:rPr>
              <w:t xml:space="preserve"> </w:t>
            </w:r>
            <w:r>
              <w:rPr>
                <w:sz w:val="18"/>
              </w:rPr>
              <w:t>material assistance</w:t>
            </w:r>
            <w:r>
              <w:rPr>
                <w:spacing w:val="1"/>
                <w:sz w:val="18"/>
              </w:rPr>
              <w:t xml:space="preserve"> </w:t>
            </w:r>
            <w:r>
              <w:rPr>
                <w:sz w:val="18"/>
              </w:rPr>
              <w:t>-</w:t>
            </w:r>
            <w:r>
              <w:rPr>
                <w:spacing w:val="-1"/>
                <w:sz w:val="18"/>
              </w:rPr>
              <w:t xml:space="preserve"> </w:t>
            </w:r>
            <w:r>
              <w:rPr>
                <w:sz w:val="18"/>
              </w:rPr>
              <w:t>Phase</w:t>
            </w:r>
            <w:r>
              <w:rPr>
                <w:spacing w:val="-1"/>
                <w:sz w:val="18"/>
              </w:rPr>
              <w:t xml:space="preserve"> </w:t>
            </w:r>
            <w:r>
              <w:rPr>
                <w:sz w:val="18"/>
              </w:rPr>
              <w:t>IV,</w:t>
            </w:r>
            <w:r>
              <w:rPr>
                <w:spacing w:val="-1"/>
                <w:sz w:val="18"/>
              </w:rPr>
              <w:t xml:space="preserve"> </w:t>
            </w:r>
            <w:r>
              <w:rPr>
                <w:sz w:val="18"/>
              </w:rPr>
              <w:t>REACT</w:t>
            </w:r>
            <w:r>
              <w:rPr>
                <w:spacing w:val="-3"/>
                <w:sz w:val="18"/>
              </w:rPr>
              <w:t xml:space="preserve"> </w:t>
            </w:r>
            <w:r>
              <w:rPr>
                <w:sz w:val="18"/>
              </w:rPr>
              <w:t>EU FEAD</w:t>
            </w:r>
            <w:r>
              <w:rPr>
                <w:spacing w:val="-1"/>
                <w:sz w:val="18"/>
              </w:rPr>
              <w:t xml:space="preserve"> </w:t>
            </w:r>
            <w:r>
              <w:rPr>
                <w:sz w:val="18"/>
              </w:rPr>
              <w:t>Operational</w:t>
            </w:r>
            <w:r>
              <w:rPr>
                <w:spacing w:val="-3"/>
                <w:sz w:val="18"/>
              </w:rPr>
              <w:t xml:space="preserve"> </w:t>
            </w:r>
            <w:r>
              <w:rPr>
                <w:sz w:val="18"/>
              </w:rPr>
              <w:t>Programme.</w:t>
            </w:r>
          </w:p>
        </w:tc>
      </w:tr>
      <w:tr w:rsidR="00A56FE9">
        <w:trPr>
          <w:trHeight w:val="828"/>
        </w:trPr>
        <w:tc>
          <w:tcPr>
            <w:tcW w:w="2127" w:type="dxa"/>
            <w:shd w:val="clear" w:color="auto" w:fill="F1F1F1"/>
          </w:tcPr>
          <w:p w:rsidR="00A56FE9" w:rsidRDefault="00000000">
            <w:pPr>
              <w:pStyle w:val="TableParagraph"/>
              <w:spacing w:line="237" w:lineRule="auto"/>
              <w:ind w:left="105" w:right="463"/>
              <w:rPr>
                <w:sz w:val="20"/>
              </w:rPr>
            </w:pPr>
            <w:r>
              <w:rPr>
                <w:b/>
                <w:spacing w:val="-1"/>
                <w:sz w:val="20"/>
              </w:rPr>
              <w:t xml:space="preserve">13. </w:t>
            </w:r>
            <w:r>
              <w:rPr>
                <w:spacing w:val="-1"/>
                <w:sz w:val="20"/>
              </w:rPr>
              <w:t>Unemployment</w:t>
            </w:r>
            <w:r>
              <w:rPr>
                <w:spacing w:val="-47"/>
                <w:sz w:val="20"/>
              </w:rPr>
              <w:t xml:space="preserve"> </w:t>
            </w:r>
            <w:r>
              <w:rPr>
                <w:sz w:val="20"/>
              </w:rPr>
              <w:t>benefits</w:t>
            </w:r>
          </w:p>
        </w:tc>
        <w:tc>
          <w:tcPr>
            <w:tcW w:w="3356" w:type="dxa"/>
          </w:tcPr>
          <w:p w:rsidR="00A56FE9" w:rsidRDefault="00000000">
            <w:pPr>
              <w:pStyle w:val="TableParagraph"/>
              <w:ind w:left="105" w:right="122"/>
              <w:rPr>
                <w:sz w:val="18"/>
              </w:rPr>
            </w:pPr>
            <w:r>
              <w:rPr>
                <w:sz w:val="18"/>
              </w:rPr>
              <w:t>Conducting</w:t>
            </w:r>
            <w:r>
              <w:rPr>
                <w:spacing w:val="-2"/>
                <w:sz w:val="18"/>
              </w:rPr>
              <w:t xml:space="preserve"> </w:t>
            </w:r>
            <w:r>
              <w:rPr>
                <w:sz w:val="18"/>
              </w:rPr>
              <w:t>the</w:t>
            </w:r>
            <w:r>
              <w:rPr>
                <w:spacing w:val="-1"/>
                <w:sz w:val="18"/>
              </w:rPr>
              <w:t xml:space="preserve"> </w:t>
            </w:r>
            <w:r>
              <w:rPr>
                <w:sz w:val="18"/>
              </w:rPr>
              <w:t>analysis of</w:t>
            </w:r>
            <w:r>
              <w:rPr>
                <w:spacing w:val="-3"/>
                <w:sz w:val="18"/>
              </w:rPr>
              <w:t xml:space="preserve"> </w:t>
            </w:r>
            <w:r>
              <w:rPr>
                <w:sz w:val="18"/>
              </w:rPr>
              <w:t>the</w:t>
            </w:r>
            <w:r>
              <w:rPr>
                <w:spacing w:val="-1"/>
                <w:sz w:val="18"/>
              </w:rPr>
              <w:t xml:space="preserve"> </w:t>
            </w:r>
            <w:r>
              <w:rPr>
                <w:sz w:val="18"/>
              </w:rPr>
              <w:t>adequacy</w:t>
            </w:r>
            <w:r>
              <w:rPr>
                <w:spacing w:val="-4"/>
                <w:sz w:val="18"/>
              </w:rPr>
              <w:t xml:space="preserve"> </w:t>
            </w:r>
            <w:r>
              <w:rPr>
                <w:sz w:val="18"/>
              </w:rPr>
              <w:t>of</w:t>
            </w:r>
            <w:r>
              <w:rPr>
                <w:spacing w:val="-42"/>
                <w:sz w:val="18"/>
              </w:rPr>
              <w:t xml:space="preserve"> </w:t>
            </w:r>
            <w:r>
              <w:rPr>
                <w:sz w:val="18"/>
              </w:rPr>
              <w:t>monetary assistance during a period of</w:t>
            </w:r>
            <w:r>
              <w:rPr>
                <w:spacing w:val="1"/>
                <w:sz w:val="18"/>
              </w:rPr>
              <w:t xml:space="preserve"> </w:t>
            </w:r>
            <w:r>
              <w:rPr>
                <w:sz w:val="18"/>
              </w:rPr>
              <w:t>unemployment</w:t>
            </w:r>
          </w:p>
        </w:tc>
        <w:tc>
          <w:tcPr>
            <w:tcW w:w="9054" w:type="dxa"/>
          </w:tcPr>
          <w:p w:rsidR="00A56FE9" w:rsidRDefault="00000000">
            <w:pPr>
              <w:pStyle w:val="TableParagraph"/>
              <w:ind w:left="107" w:right="161"/>
              <w:rPr>
                <w:sz w:val="18"/>
              </w:rPr>
            </w:pPr>
            <w:r>
              <w:rPr>
                <w:sz w:val="18"/>
              </w:rPr>
              <w:t>To provide adequate material and legal protection for the unemployed, an analysis of unemployment benefits will be</w:t>
            </w:r>
            <w:r>
              <w:rPr>
                <w:spacing w:val="1"/>
                <w:sz w:val="18"/>
              </w:rPr>
              <w:t xml:space="preserve"> </w:t>
            </w:r>
            <w:r>
              <w:rPr>
                <w:sz w:val="18"/>
              </w:rPr>
              <w:t>conducted. The content of the analysis will include the amount, duration and conditions for exercising the right to</w:t>
            </w:r>
            <w:r>
              <w:rPr>
                <w:spacing w:val="1"/>
                <w:sz w:val="18"/>
              </w:rPr>
              <w:t xml:space="preserve"> </w:t>
            </w:r>
            <w:r>
              <w:rPr>
                <w:sz w:val="18"/>
              </w:rPr>
              <w:t>monetary</w:t>
            </w:r>
            <w:r>
              <w:rPr>
                <w:spacing w:val="-6"/>
                <w:sz w:val="18"/>
              </w:rPr>
              <w:t xml:space="preserve"> </w:t>
            </w:r>
            <w:r>
              <w:rPr>
                <w:sz w:val="18"/>
              </w:rPr>
              <w:t>assistance</w:t>
            </w:r>
            <w:r>
              <w:rPr>
                <w:spacing w:val="-2"/>
                <w:sz w:val="18"/>
              </w:rPr>
              <w:t xml:space="preserve"> </w:t>
            </w:r>
            <w:r>
              <w:rPr>
                <w:sz w:val="18"/>
              </w:rPr>
              <w:t>at</w:t>
            </w:r>
            <w:r>
              <w:rPr>
                <w:spacing w:val="-1"/>
                <w:sz w:val="18"/>
              </w:rPr>
              <w:t xml:space="preserve"> </w:t>
            </w:r>
            <w:r>
              <w:rPr>
                <w:sz w:val="18"/>
              </w:rPr>
              <w:t>the</w:t>
            </w:r>
            <w:r>
              <w:rPr>
                <w:spacing w:val="-2"/>
                <w:sz w:val="18"/>
              </w:rPr>
              <w:t xml:space="preserve"> </w:t>
            </w:r>
            <w:r>
              <w:rPr>
                <w:sz w:val="18"/>
              </w:rPr>
              <w:t>level</w:t>
            </w:r>
            <w:r>
              <w:rPr>
                <w:spacing w:val="-1"/>
                <w:sz w:val="18"/>
              </w:rPr>
              <w:t xml:space="preserve"> </w:t>
            </w:r>
            <w:r>
              <w:rPr>
                <w:sz w:val="18"/>
              </w:rPr>
              <w:t>of</w:t>
            </w:r>
            <w:r>
              <w:rPr>
                <w:spacing w:val="-3"/>
                <w:sz w:val="18"/>
              </w:rPr>
              <w:t xml:space="preserve"> </w:t>
            </w:r>
            <w:r>
              <w:rPr>
                <w:sz w:val="18"/>
              </w:rPr>
              <w:t>comparable</w:t>
            </w:r>
            <w:r>
              <w:rPr>
                <w:spacing w:val="-1"/>
                <w:sz w:val="18"/>
              </w:rPr>
              <w:t xml:space="preserve"> </w:t>
            </w:r>
            <w:r>
              <w:rPr>
                <w:sz w:val="18"/>
              </w:rPr>
              <w:t>EU</w:t>
            </w:r>
            <w:r>
              <w:rPr>
                <w:spacing w:val="-1"/>
                <w:sz w:val="18"/>
              </w:rPr>
              <w:t xml:space="preserve"> </w:t>
            </w:r>
            <w:r>
              <w:rPr>
                <w:sz w:val="18"/>
              </w:rPr>
              <w:t>countries</w:t>
            </w:r>
            <w:r>
              <w:rPr>
                <w:spacing w:val="-1"/>
                <w:sz w:val="18"/>
              </w:rPr>
              <w:t xml:space="preserve"> </w:t>
            </w:r>
            <w:r>
              <w:rPr>
                <w:sz w:val="18"/>
              </w:rPr>
              <w:t>and</w:t>
            </w:r>
            <w:r>
              <w:rPr>
                <w:spacing w:val="4"/>
                <w:sz w:val="18"/>
              </w:rPr>
              <w:t xml:space="preserve"> </w:t>
            </w:r>
            <w:r>
              <w:rPr>
                <w:sz w:val="18"/>
              </w:rPr>
              <w:t>the</w:t>
            </w:r>
            <w:r>
              <w:rPr>
                <w:spacing w:val="-2"/>
                <w:sz w:val="18"/>
              </w:rPr>
              <w:t xml:space="preserve"> </w:t>
            </w:r>
            <w:r>
              <w:rPr>
                <w:sz w:val="18"/>
              </w:rPr>
              <w:t>structure</w:t>
            </w:r>
            <w:r>
              <w:rPr>
                <w:spacing w:val="-2"/>
                <w:sz w:val="18"/>
              </w:rPr>
              <w:t xml:space="preserve"> </w:t>
            </w:r>
            <w:r>
              <w:rPr>
                <w:sz w:val="18"/>
              </w:rPr>
              <w:t>of</w:t>
            </w:r>
            <w:r>
              <w:rPr>
                <w:spacing w:val="-3"/>
                <w:sz w:val="18"/>
              </w:rPr>
              <w:t xml:space="preserve"> </w:t>
            </w:r>
            <w:r>
              <w:rPr>
                <w:sz w:val="18"/>
              </w:rPr>
              <w:t>beneficiaries</w:t>
            </w:r>
            <w:r>
              <w:rPr>
                <w:spacing w:val="-2"/>
                <w:sz w:val="18"/>
              </w:rPr>
              <w:t xml:space="preserve"> </w:t>
            </w:r>
            <w:r>
              <w:rPr>
                <w:sz w:val="18"/>
              </w:rPr>
              <w:t>of</w:t>
            </w:r>
            <w:r>
              <w:rPr>
                <w:spacing w:val="-1"/>
                <w:sz w:val="18"/>
              </w:rPr>
              <w:t xml:space="preserve"> </w:t>
            </w:r>
            <w:r>
              <w:rPr>
                <w:sz w:val="18"/>
              </w:rPr>
              <w:t>monetary</w:t>
            </w:r>
            <w:r>
              <w:rPr>
                <w:spacing w:val="-5"/>
                <w:sz w:val="18"/>
              </w:rPr>
              <w:t xml:space="preserve"> </w:t>
            </w:r>
            <w:r>
              <w:rPr>
                <w:sz w:val="18"/>
              </w:rPr>
              <w:t>assistance.</w:t>
            </w:r>
          </w:p>
          <w:p w:rsidR="00A56FE9" w:rsidRDefault="00000000">
            <w:pPr>
              <w:pStyle w:val="TableParagraph"/>
              <w:spacing w:line="192" w:lineRule="exact"/>
              <w:ind w:left="107"/>
              <w:rPr>
                <w:sz w:val="18"/>
              </w:rPr>
            </w:pPr>
            <w:r>
              <w:rPr>
                <w:sz w:val="18"/>
              </w:rPr>
              <w:t>Based</w:t>
            </w:r>
            <w:r>
              <w:rPr>
                <w:spacing w:val="-1"/>
                <w:sz w:val="18"/>
              </w:rPr>
              <w:t xml:space="preserve"> </w:t>
            </w:r>
            <w:r>
              <w:rPr>
                <w:sz w:val="18"/>
              </w:rPr>
              <w:t>on the</w:t>
            </w:r>
            <w:r>
              <w:rPr>
                <w:spacing w:val="-3"/>
                <w:sz w:val="18"/>
              </w:rPr>
              <w:t xml:space="preserve"> </w:t>
            </w:r>
            <w:r>
              <w:rPr>
                <w:sz w:val="18"/>
              </w:rPr>
              <w:t>results</w:t>
            </w:r>
            <w:r>
              <w:rPr>
                <w:spacing w:val="-4"/>
                <w:sz w:val="18"/>
              </w:rPr>
              <w:t xml:space="preserve"> </w:t>
            </w:r>
            <w:r>
              <w:rPr>
                <w:sz w:val="18"/>
              </w:rPr>
              <w:t>of</w:t>
            </w:r>
            <w:r>
              <w:rPr>
                <w:spacing w:val="-4"/>
                <w:sz w:val="18"/>
              </w:rPr>
              <w:t xml:space="preserve"> </w:t>
            </w:r>
            <w:r>
              <w:rPr>
                <w:sz w:val="18"/>
              </w:rPr>
              <w:t>the</w:t>
            </w:r>
            <w:r>
              <w:rPr>
                <w:spacing w:val="-2"/>
                <w:sz w:val="18"/>
              </w:rPr>
              <w:t xml:space="preserve"> </w:t>
            </w:r>
            <w:r>
              <w:rPr>
                <w:sz w:val="18"/>
              </w:rPr>
              <w:t>analysis,</w:t>
            </w:r>
            <w:r>
              <w:rPr>
                <w:spacing w:val="-2"/>
                <w:sz w:val="18"/>
              </w:rPr>
              <w:t xml:space="preserve"> </w:t>
            </w:r>
            <w:r>
              <w:rPr>
                <w:sz w:val="18"/>
              </w:rPr>
              <w:t>appropriate</w:t>
            </w:r>
            <w:r>
              <w:rPr>
                <w:spacing w:val="-2"/>
                <w:sz w:val="18"/>
              </w:rPr>
              <w:t xml:space="preserve"> </w:t>
            </w:r>
            <w:r>
              <w:rPr>
                <w:sz w:val="18"/>
              </w:rPr>
              <w:t>legislative</w:t>
            </w:r>
            <w:r>
              <w:rPr>
                <w:spacing w:val="-2"/>
                <w:sz w:val="18"/>
              </w:rPr>
              <w:t xml:space="preserve"> </w:t>
            </w:r>
            <w:r>
              <w:rPr>
                <w:sz w:val="18"/>
              </w:rPr>
              <w:t>changes</w:t>
            </w:r>
            <w:r>
              <w:rPr>
                <w:spacing w:val="-2"/>
                <w:sz w:val="18"/>
              </w:rPr>
              <w:t xml:space="preserve"> </w:t>
            </w:r>
            <w:r>
              <w:rPr>
                <w:sz w:val="18"/>
              </w:rPr>
              <w:t>will</w:t>
            </w:r>
            <w:r>
              <w:rPr>
                <w:spacing w:val="-1"/>
                <w:sz w:val="18"/>
              </w:rPr>
              <w:t xml:space="preserve"> </w:t>
            </w:r>
            <w:r>
              <w:rPr>
                <w:sz w:val="18"/>
              </w:rPr>
              <w:t>be</w:t>
            </w:r>
            <w:r>
              <w:rPr>
                <w:spacing w:val="-3"/>
                <w:sz w:val="18"/>
              </w:rPr>
              <w:t xml:space="preserve"> </w:t>
            </w:r>
            <w:r>
              <w:rPr>
                <w:sz w:val="18"/>
              </w:rPr>
              <w:t>made.</w:t>
            </w:r>
          </w:p>
        </w:tc>
      </w:tr>
      <w:tr w:rsidR="00A56FE9">
        <w:trPr>
          <w:trHeight w:val="230"/>
        </w:trPr>
        <w:tc>
          <w:tcPr>
            <w:tcW w:w="2127" w:type="dxa"/>
            <w:shd w:val="clear" w:color="auto" w:fill="F1F1F1"/>
          </w:tcPr>
          <w:p w:rsidR="00A56FE9" w:rsidRDefault="00000000">
            <w:pPr>
              <w:pStyle w:val="TableParagraph"/>
              <w:spacing w:line="210" w:lineRule="exact"/>
              <w:ind w:left="105"/>
              <w:rPr>
                <w:sz w:val="20"/>
              </w:rPr>
            </w:pPr>
            <w:r>
              <w:rPr>
                <w:b/>
                <w:sz w:val="20"/>
              </w:rPr>
              <w:t>14.</w:t>
            </w:r>
            <w:r>
              <w:rPr>
                <w:b/>
                <w:spacing w:val="-1"/>
                <w:sz w:val="20"/>
              </w:rPr>
              <w:t xml:space="preserve"> </w:t>
            </w:r>
            <w:r>
              <w:rPr>
                <w:sz w:val="20"/>
              </w:rPr>
              <w:t>Minimum</w:t>
            </w:r>
            <w:r>
              <w:rPr>
                <w:spacing w:val="-5"/>
                <w:sz w:val="20"/>
              </w:rPr>
              <w:t xml:space="preserve"> </w:t>
            </w:r>
            <w:r>
              <w:rPr>
                <w:sz w:val="20"/>
              </w:rPr>
              <w:t>income</w:t>
            </w:r>
          </w:p>
        </w:tc>
        <w:tc>
          <w:tcPr>
            <w:tcW w:w="3356" w:type="dxa"/>
          </w:tcPr>
          <w:p w:rsidR="00A56FE9" w:rsidRDefault="00A56FE9">
            <w:pPr>
              <w:pStyle w:val="TableParagraph"/>
              <w:rPr>
                <w:sz w:val="16"/>
              </w:rPr>
            </w:pPr>
          </w:p>
        </w:tc>
        <w:tc>
          <w:tcPr>
            <w:tcW w:w="9054" w:type="dxa"/>
          </w:tcPr>
          <w:p w:rsidR="00A56FE9" w:rsidRDefault="00A56FE9">
            <w:pPr>
              <w:pStyle w:val="TableParagraph"/>
              <w:rPr>
                <w:sz w:val="16"/>
              </w:rPr>
            </w:pPr>
          </w:p>
        </w:tc>
      </w:tr>
      <w:tr w:rsidR="00A56FE9">
        <w:trPr>
          <w:trHeight w:val="621"/>
        </w:trPr>
        <w:tc>
          <w:tcPr>
            <w:tcW w:w="2127" w:type="dxa"/>
            <w:shd w:val="clear" w:color="auto" w:fill="F1F1F1"/>
          </w:tcPr>
          <w:p w:rsidR="00A56FE9" w:rsidRDefault="00000000">
            <w:pPr>
              <w:pStyle w:val="TableParagraph"/>
              <w:ind w:left="105" w:right="106"/>
              <w:rPr>
                <w:sz w:val="20"/>
              </w:rPr>
            </w:pPr>
            <w:r>
              <w:rPr>
                <w:b/>
                <w:sz w:val="20"/>
              </w:rPr>
              <w:t>15.</w:t>
            </w:r>
            <w:r>
              <w:rPr>
                <w:b/>
                <w:spacing w:val="-5"/>
                <w:sz w:val="20"/>
              </w:rPr>
              <w:t xml:space="preserve"> </w:t>
            </w:r>
            <w:r>
              <w:rPr>
                <w:sz w:val="20"/>
              </w:rPr>
              <w:t>Old</w:t>
            </w:r>
            <w:r>
              <w:rPr>
                <w:spacing w:val="-4"/>
                <w:sz w:val="20"/>
              </w:rPr>
              <w:t xml:space="preserve"> </w:t>
            </w:r>
            <w:r>
              <w:rPr>
                <w:sz w:val="20"/>
              </w:rPr>
              <w:t>age</w:t>
            </w:r>
            <w:r>
              <w:rPr>
                <w:spacing w:val="-5"/>
                <w:sz w:val="20"/>
              </w:rPr>
              <w:t xml:space="preserve"> </w:t>
            </w:r>
            <w:r>
              <w:rPr>
                <w:sz w:val="20"/>
              </w:rPr>
              <w:t>income</w:t>
            </w:r>
            <w:r>
              <w:rPr>
                <w:spacing w:val="-5"/>
                <w:sz w:val="20"/>
              </w:rPr>
              <w:t xml:space="preserve"> </w:t>
            </w:r>
            <w:r>
              <w:rPr>
                <w:sz w:val="20"/>
              </w:rPr>
              <w:t>and</w:t>
            </w:r>
            <w:r>
              <w:rPr>
                <w:spacing w:val="-47"/>
                <w:sz w:val="20"/>
              </w:rPr>
              <w:t xml:space="preserve"> </w:t>
            </w:r>
            <w:r>
              <w:rPr>
                <w:sz w:val="20"/>
              </w:rPr>
              <w:t>pensions</w:t>
            </w:r>
          </w:p>
        </w:tc>
        <w:tc>
          <w:tcPr>
            <w:tcW w:w="3356" w:type="dxa"/>
            <w:shd w:val="clear" w:color="auto" w:fill="C5EECE"/>
          </w:tcPr>
          <w:p w:rsidR="00A56FE9" w:rsidRDefault="00000000">
            <w:pPr>
              <w:pStyle w:val="TableParagraph"/>
              <w:ind w:left="105" w:right="337"/>
              <w:rPr>
                <w:sz w:val="18"/>
              </w:rPr>
            </w:pPr>
            <w:r>
              <w:rPr>
                <w:sz w:val="18"/>
              </w:rPr>
              <w:t>Adoption</w:t>
            </w:r>
            <w:r>
              <w:rPr>
                <w:spacing w:val="-1"/>
                <w:sz w:val="18"/>
              </w:rPr>
              <w:t xml:space="preserve"> </w:t>
            </w:r>
            <w:r>
              <w:rPr>
                <w:sz w:val="18"/>
              </w:rPr>
              <w:t>of</w:t>
            </w:r>
            <w:r>
              <w:rPr>
                <w:spacing w:val="-4"/>
                <w:sz w:val="18"/>
              </w:rPr>
              <w:t xml:space="preserve"> </w:t>
            </w:r>
            <w:r>
              <w:rPr>
                <w:sz w:val="18"/>
              </w:rPr>
              <w:t>amendments</w:t>
            </w:r>
            <w:r>
              <w:rPr>
                <w:spacing w:val="-1"/>
                <w:sz w:val="18"/>
              </w:rPr>
              <w:t xml:space="preserve"> </w:t>
            </w:r>
            <w:r>
              <w:rPr>
                <w:sz w:val="18"/>
              </w:rPr>
              <w:t>to</w:t>
            </w:r>
            <w:r>
              <w:rPr>
                <w:spacing w:val="-1"/>
                <w:sz w:val="18"/>
              </w:rPr>
              <w:t xml:space="preserve"> </w:t>
            </w:r>
            <w:r>
              <w:rPr>
                <w:sz w:val="18"/>
              </w:rPr>
              <w:t>the</w:t>
            </w:r>
            <w:r>
              <w:rPr>
                <w:spacing w:val="-4"/>
                <w:sz w:val="18"/>
              </w:rPr>
              <w:t xml:space="preserve"> </w:t>
            </w:r>
            <w:r>
              <w:rPr>
                <w:sz w:val="18"/>
              </w:rPr>
              <w:t>Pension</w:t>
            </w:r>
            <w:r>
              <w:rPr>
                <w:spacing w:val="-42"/>
                <w:sz w:val="18"/>
              </w:rPr>
              <w:t xml:space="preserve"> </w:t>
            </w:r>
            <w:r>
              <w:rPr>
                <w:sz w:val="18"/>
              </w:rPr>
              <w:t>Insurance</w:t>
            </w:r>
            <w:r>
              <w:rPr>
                <w:spacing w:val="-2"/>
                <w:sz w:val="18"/>
              </w:rPr>
              <w:t xml:space="preserve"> </w:t>
            </w:r>
            <w:r>
              <w:rPr>
                <w:sz w:val="18"/>
              </w:rPr>
              <w:t>Act</w:t>
            </w:r>
          </w:p>
        </w:tc>
        <w:tc>
          <w:tcPr>
            <w:tcW w:w="9054" w:type="dxa"/>
            <w:shd w:val="clear" w:color="auto" w:fill="C5EECE"/>
          </w:tcPr>
          <w:p w:rsidR="00A56FE9" w:rsidRDefault="00000000">
            <w:pPr>
              <w:pStyle w:val="TableParagraph"/>
              <w:ind w:left="107" w:right="161"/>
              <w:rPr>
                <w:sz w:val="18"/>
              </w:rPr>
            </w:pPr>
            <w:r>
              <w:rPr>
                <w:sz w:val="18"/>
              </w:rPr>
              <w:t>The amendments to the Pension Insurance Act shall increase the minimum pension and the pension factor used to</w:t>
            </w:r>
            <w:r>
              <w:rPr>
                <w:spacing w:val="1"/>
                <w:sz w:val="18"/>
              </w:rPr>
              <w:t xml:space="preserve"> </w:t>
            </w:r>
            <w:r>
              <w:rPr>
                <w:sz w:val="18"/>
              </w:rPr>
              <w:t>calculate</w:t>
            </w:r>
            <w:r>
              <w:rPr>
                <w:spacing w:val="-3"/>
                <w:sz w:val="18"/>
              </w:rPr>
              <w:t xml:space="preserve"> </w:t>
            </w:r>
            <w:r>
              <w:rPr>
                <w:sz w:val="18"/>
              </w:rPr>
              <w:t>the</w:t>
            </w:r>
            <w:r>
              <w:rPr>
                <w:spacing w:val="-2"/>
                <w:sz w:val="18"/>
              </w:rPr>
              <w:t xml:space="preserve"> </w:t>
            </w:r>
            <w:r>
              <w:rPr>
                <w:sz w:val="18"/>
              </w:rPr>
              <w:t>amount</w:t>
            </w:r>
            <w:r>
              <w:rPr>
                <w:spacing w:val="-1"/>
                <w:sz w:val="18"/>
              </w:rPr>
              <w:t xml:space="preserve"> </w:t>
            </w:r>
            <w:r>
              <w:rPr>
                <w:sz w:val="18"/>
              </w:rPr>
              <w:t>of</w:t>
            </w:r>
            <w:r>
              <w:rPr>
                <w:spacing w:val="-3"/>
                <w:sz w:val="18"/>
              </w:rPr>
              <w:t xml:space="preserve"> </w:t>
            </w:r>
            <w:r>
              <w:rPr>
                <w:sz w:val="18"/>
              </w:rPr>
              <w:t>the</w:t>
            </w:r>
            <w:r>
              <w:rPr>
                <w:spacing w:val="-2"/>
                <w:sz w:val="18"/>
              </w:rPr>
              <w:t xml:space="preserve"> </w:t>
            </w:r>
            <w:r>
              <w:rPr>
                <w:sz w:val="18"/>
              </w:rPr>
              <w:t>survivor’s</w:t>
            </w:r>
            <w:r>
              <w:rPr>
                <w:spacing w:val="-2"/>
                <w:sz w:val="18"/>
              </w:rPr>
              <w:t xml:space="preserve"> </w:t>
            </w:r>
            <w:r>
              <w:rPr>
                <w:sz w:val="18"/>
              </w:rPr>
              <w:t>pension</w:t>
            </w:r>
            <w:r>
              <w:rPr>
                <w:spacing w:val="-2"/>
                <w:sz w:val="18"/>
              </w:rPr>
              <w:t xml:space="preserve"> </w:t>
            </w:r>
            <w:r>
              <w:rPr>
                <w:sz w:val="18"/>
              </w:rPr>
              <w:t>to make</w:t>
            </w:r>
            <w:r>
              <w:rPr>
                <w:spacing w:val="-2"/>
                <w:sz w:val="18"/>
              </w:rPr>
              <w:t xml:space="preserve"> </w:t>
            </w:r>
            <w:r>
              <w:rPr>
                <w:sz w:val="18"/>
              </w:rPr>
              <w:t>it</w:t>
            </w:r>
            <w:r>
              <w:rPr>
                <w:spacing w:val="-1"/>
                <w:sz w:val="18"/>
              </w:rPr>
              <w:t xml:space="preserve"> </w:t>
            </w:r>
            <w:r>
              <w:rPr>
                <w:sz w:val="18"/>
              </w:rPr>
              <w:t>possible</w:t>
            </w:r>
            <w:r>
              <w:rPr>
                <w:spacing w:val="-2"/>
                <w:sz w:val="18"/>
              </w:rPr>
              <w:t xml:space="preserve"> </w:t>
            </w:r>
            <w:r>
              <w:rPr>
                <w:sz w:val="18"/>
              </w:rPr>
              <w:t>to use</w:t>
            </w:r>
            <w:r>
              <w:rPr>
                <w:spacing w:val="-4"/>
                <w:sz w:val="18"/>
              </w:rPr>
              <w:t xml:space="preserve"> </w:t>
            </w:r>
            <w:r>
              <w:rPr>
                <w:sz w:val="18"/>
              </w:rPr>
              <w:t>part</w:t>
            </w:r>
            <w:r>
              <w:rPr>
                <w:spacing w:val="-1"/>
                <w:sz w:val="18"/>
              </w:rPr>
              <w:t xml:space="preserve"> </w:t>
            </w:r>
            <w:r>
              <w:rPr>
                <w:sz w:val="18"/>
              </w:rPr>
              <w:t>of</w:t>
            </w:r>
            <w:r>
              <w:rPr>
                <w:spacing w:val="-3"/>
                <w:sz w:val="18"/>
              </w:rPr>
              <w:t xml:space="preserve"> </w:t>
            </w:r>
            <w:r>
              <w:rPr>
                <w:sz w:val="18"/>
              </w:rPr>
              <w:t>the</w:t>
            </w:r>
            <w:r>
              <w:rPr>
                <w:spacing w:val="-3"/>
                <w:sz w:val="18"/>
              </w:rPr>
              <w:t xml:space="preserve"> </w:t>
            </w:r>
            <w:r>
              <w:rPr>
                <w:sz w:val="18"/>
              </w:rPr>
              <w:t>survivor’s</w:t>
            </w:r>
            <w:r>
              <w:rPr>
                <w:spacing w:val="-4"/>
                <w:sz w:val="18"/>
              </w:rPr>
              <w:t xml:space="preserve"> </w:t>
            </w:r>
            <w:r>
              <w:rPr>
                <w:sz w:val="18"/>
              </w:rPr>
              <w:t>pension in</w:t>
            </w:r>
            <w:r>
              <w:rPr>
                <w:spacing w:val="-2"/>
                <w:sz w:val="18"/>
              </w:rPr>
              <w:t xml:space="preserve"> </w:t>
            </w:r>
            <w:r>
              <w:rPr>
                <w:sz w:val="18"/>
              </w:rPr>
              <w:t>addition to</w:t>
            </w:r>
            <w:r>
              <w:rPr>
                <w:spacing w:val="-1"/>
                <w:sz w:val="18"/>
              </w:rPr>
              <w:t xml:space="preserve"> </w:t>
            </w:r>
            <w:r>
              <w:rPr>
                <w:sz w:val="18"/>
              </w:rPr>
              <w:t>a</w:t>
            </w:r>
          </w:p>
          <w:p w:rsidR="00A56FE9" w:rsidRDefault="00000000">
            <w:pPr>
              <w:pStyle w:val="TableParagraph"/>
              <w:spacing w:line="192" w:lineRule="exact"/>
              <w:ind w:left="107"/>
              <w:rPr>
                <w:sz w:val="18"/>
              </w:rPr>
            </w:pPr>
            <w:r>
              <w:rPr>
                <w:sz w:val="18"/>
              </w:rPr>
              <w:t>personal</w:t>
            </w:r>
            <w:r>
              <w:rPr>
                <w:spacing w:val="-5"/>
                <w:sz w:val="18"/>
              </w:rPr>
              <w:t xml:space="preserve"> </w:t>
            </w:r>
            <w:r>
              <w:rPr>
                <w:sz w:val="18"/>
              </w:rPr>
              <w:t>pension</w:t>
            </w:r>
            <w:r>
              <w:rPr>
                <w:spacing w:val="-1"/>
                <w:sz w:val="18"/>
              </w:rPr>
              <w:t xml:space="preserve"> </w:t>
            </w:r>
            <w:r>
              <w:rPr>
                <w:sz w:val="18"/>
              </w:rPr>
              <w:t>(old/invalidity)</w:t>
            </w:r>
            <w:r>
              <w:rPr>
                <w:spacing w:val="-2"/>
                <w:sz w:val="18"/>
              </w:rPr>
              <w:t xml:space="preserve"> </w:t>
            </w:r>
            <w:r>
              <w:rPr>
                <w:sz w:val="18"/>
              </w:rPr>
              <w:t>under</w:t>
            </w:r>
            <w:r>
              <w:rPr>
                <w:spacing w:val="-2"/>
                <w:sz w:val="18"/>
              </w:rPr>
              <w:t xml:space="preserve"> </w:t>
            </w:r>
            <w:r>
              <w:rPr>
                <w:sz w:val="18"/>
              </w:rPr>
              <w:t>conditions</w:t>
            </w:r>
            <w:r>
              <w:rPr>
                <w:spacing w:val="-2"/>
                <w:sz w:val="18"/>
              </w:rPr>
              <w:t xml:space="preserve"> </w:t>
            </w:r>
            <w:r>
              <w:rPr>
                <w:sz w:val="18"/>
              </w:rPr>
              <w:t>related</w:t>
            </w:r>
            <w:r>
              <w:rPr>
                <w:spacing w:val="-4"/>
                <w:sz w:val="18"/>
              </w:rPr>
              <w:t xml:space="preserve"> </w:t>
            </w:r>
            <w:r>
              <w:rPr>
                <w:sz w:val="18"/>
              </w:rPr>
              <w:t>to</w:t>
            </w:r>
            <w:r>
              <w:rPr>
                <w:spacing w:val="-1"/>
                <w:sz w:val="18"/>
              </w:rPr>
              <w:t xml:space="preserve"> </w:t>
            </w:r>
            <w:r>
              <w:rPr>
                <w:sz w:val="18"/>
              </w:rPr>
              <w:t>age</w:t>
            </w:r>
            <w:r>
              <w:rPr>
                <w:spacing w:val="-3"/>
                <w:sz w:val="18"/>
              </w:rPr>
              <w:t xml:space="preserve"> </w:t>
            </w:r>
            <w:r>
              <w:rPr>
                <w:sz w:val="18"/>
              </w:rPr>
              <w:t>and</w:t>
            </w:r>
            <w:r>
              <w:rPr>
                <w:spacing w:val="-1"/>
                <w:sz w:val="18"/>
              </w:rPr>
              <w:t xml:space="preserve"> </w:t>
            </w:r>
            <w:r>
              <w:rPr>
                <w:sz w:val="18"/>
              </w:rPr>
              <w:t>income, for</w:t>
            </w:r>
            <w:r>
              <w:rPr>
                <w:spacing w:val="-2"/>
                <w:sz w:val="18"/>
              </w:rPr>
              <w:t xml:space="preserve"> </w:t>
            </w:r>
            <w:r>
              <w:rPr>
                <w:sz w:val="18"/>
              </w:rPr>
              <w:t>lower</w:t>
            </w:r>
            <w:r>
              <w:rPr>
                <w:spacing w:val="-2"/>
                <w:sz w:val="18"/>
              </w:rPr>
              <w:t xml:space="preserve"> </w:t>
            </w:r>
            <w:r>
              <w:rPr>
                <w:sz w:val="18"/>
              </w:rPr>
              <w:t>income</w:t>
            </w:r>
            <w:r>
              <w:rPr>
                <w:spacing w:val="-3"/>
                <w:sz w:val="18"/>
              </w:rPr>
              <w:t xml:space="preserve"> </w:t>
            </w:r>
            <w:r>
              <w:rPr>
                <w:sz w:val="18"/>
              </w:rPr>
              <w:t>pensioners.</w:t>
            </w:r>
          </w:p>
        </w:tc>
      </w:tr>
    </w:tbl>
    <w:p w:rsidR="00A56FE9" w:rsidRDefault="00A56FE9">
      <w:pPr>
        <w:spacing w:line="192" w:lineRule="exac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127"/>
        <w:gridCol w:w="3356"/>
        <w:gridCol w:w="9054"/>
      </w:tblGrid>
      <w:tr w:rsidR="00A56FE9">
        <w:trPr>
          <w:trHeight w:val="360"/>
        </w:trPr>
        <w:tc>
          <w:tcPr>
            <w:tcW w:w="2127" w:type="dxa"/>
            <w:tcBorders>
              <w:top w:val="nil"/>
              <w:left w:val="nil"/>
              <w:bottom w:val="nil"/>
              <w:right w:val="nil"/>
            </w:tcBorders>
            <w:shd w:val="clear" w:color="auto" w:fill="2C398A"/>
          </w:tcPr>
          <w:p w:rsidR="00A56FE9" w:rsidRDefault="00000000">
            <w:pPr>
              <w:pStyle w:val="TableParagraph"/>
              <w:spacing w:before="65"/>
              <w:ind w:left="677"/>
              <w:rPr>
                <w:b/>
                <w:sz w:val="20"/>
              </w:rPr>
            </w:pPr>
            <w:r>
              <w:rPr>
                <w:b/>
                <w:color w:val="FFFFFF"/>
                <w:sz w:val="20"/>
              </w:rPr>
              <w:t>Principle</w:t>
            </w:r>
          </w:p>
        </w:tc>
        <w:tc>
          <w:tcPr>
            <w:tcW w:w="3356" w:type="dxa"/>
            <w:tcBorders>
              <w:top w:val="nil"/>
              <w:left w:val="nil"/>
              <w:bottom w:val="nil"/>
              <w:right w:val="nil"/>
            </w:tcBorders>
            <w:shd w:val="clear" w:color="auto" w:fill="2C398A"/>
          </w:tcPr>
          <w:p w:rsidR="00A56FE9" w:rsidRDefault="00000000">
            <w:pPr>
              <w:pStyle w:val="TableParagraph"/>
              <w:spacing w:before="65"/>
              <w:ind w:left="738"/>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9054" w:type="dxa"/>
            <w:tcBorders>
              <w:top w:val="nil"/>
              <w:left w:val="nil"/>
              <w:bottom w:val="nil"/>
              <w:right w:val="nil"/>
            </w:tcBorders>
            <w:shd w:val="clear" w:color="auto" w:fill="2C398A"/>
          </w:tcPr>
          <w:p w:rsidR="00A56FE9" w:rsidRDefault="00000000">
            <w:pPr>
              <w:pStyle w:val="TableParagraph"/>
              <w:spacing w:before="65"/>
              <w:ind w:left="2014" w:right="2015"/>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827"/>
        </w:trPr>
        <w:tc>
          <w:tcPr>
            <w:tcW w:w="2127" w:type="dxa"/>
            <w:vMerge w:val="restart"/>
            <w:tcBorders>
              <w:top w:val="nil"/>
            </w:tcBorders>
            <w:shd w:val="clear" w:color="auto" w:fill="F1F1F1"/>
          </w:tcPr>
          <w:p w:rsidR="00A56FE9" w:rsidRDefault="00000000">
            <w:pPr>
              <w:pStyle w:val="TableParagraph"/>
              <w:spacing w:line="226" w:lineRule="exact"/>
              <w:ind w:left="105"/>
              <w:rPr>
                <w:sz w:val="20"/>
              </w:rPr>
            </w:pPr>
            <w:r>
              <w:rPr>
                <w:b/>
                <w:sz w:val="20"/>
              </w:rPr>
              <w:t xml:space="preserve">16. </w:t>
            </w:r>
            <w:r>
              <w:rPr>
                <w:sz w:val="20"/>
              </w:rPr>
              <w:t>Health</w:t>
            </w:r>
            <w:r>
              <w:rPr>
                <w:spacing w:val="-3"/>
                <w:sz w:val="20"/>
              </w:rPr>
              <w:t xml:space="preserve"> </w:t>
            </w:r>
            <w:r>
              <w:rPr>
                <w:sz w:val="20"/>
              </w:rPr>
              <w:t>care</w:t>
            </w:r>
          </w:p>
        </w:tc>
        <w:tc>
          <w:tcPr>
            <w:tcW w:w="3356" w:type="dxa"/>
            <w:tcBorders>
              <w:top w:val="nil"/>
            </w:tcBorders>
            <w:shd w:val="clear" w:color="auto" w:fill="C5EECE"/>
          </w:tcPr>
          <w:p w:rsidR="00A56FE9" w:rsidRDefault="00000000">
            <w:pPr>
              <w:pStyle w:val="TableParagraph"/>
              <w:ind w:left="105" w:right="533"/>
              <w:rPr>
                <w:sz w:val="18"/>
              </w:rPr>
            </w:pPr>
            <w:r>
              <w:rPr>
                <w:sz w:val="18"/>
              </w:rPr>
              <w:t>Entry</w:t>
            </w:r>
            <w:r>
              <w:rPr>
                <w:spacing w:val="-5"/>
                <w:sz w:val="18"/>
              </w:rPr>
              <w:t xml:space="preserve"> </w:t>
            </w:r>
            <w:r>
              <w:rPr>
                <w:sz w:val="18"/>
              </w:rPr>
              <w:t>into force</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Health System</w:t>
            </w:r>
            <w:r>
              <w:rPr>
                <w:spacing w:val="-42"/>
                <w:sz w:val="18"/>
              </w:rPr>
              <w:t xml:space="preserve"> </w:t>
            </w:r>
            <w:r>
              <w:rPr>
                <w:sz w:val="18"/>
              </w:rPr>
              <w:t>Performance</w:t>
            </w:r>
            <w:r>
              <w:rPr>
                <w:spacing w:val="-3"/>
                <w:sz w:val="18"/>
              </w:rPr>
              <w:t xml:space="preserve"> </w:t>
            </w:r>
            <w:r>
              <w:rPr>
                <w:sz w:val="18"/>
              </w:rPr>
              <w:t>Assessment</w:t>
            </w:r>
            <w:r>
              <w:rPr>
                <w:spacing w:val="-5"/>
                <w:sz w:val="18"/>
              </w:rPr>
              <w:t xml:space="preserve"> </w:t>
            </w:r>
            <w:r>
              <w:rPr>
                <w:sz w:val="18"/>
              </w:rPr>
              <w:t>Framework</w:t>
            </w:r>
          </w:p>
        </w:tc>
        <w:tc>
          <w:tcPr>
            <w:tcW w:w="9054" w:type="dxa"/>
            <w:tcBorders>
              <w:top w:val="nil"/>
            </w:tcBorders>
            <w:shd w:val="clear" w:color="auto" w:fill="C5EECE"/>
          </w:tcPr>
          <w:p w:rsidR="00A56FE9" w:rsidRDefault="00000000">
            <w:pPr>
              <w:pStyle w:val="TableParagraph"/>
              <w:ind w:left="107" w:right="194"/>
              <w:rPr>
                <w:sz w:val="18"/>
              </w:rPr>
            </w:pPr>
            <w:r>
              <w:rPr>
                <w:sz w:val="18"/>
              </w:rPr>
              <w:t>The Health System Performance Assessment (HSPA), shall establish a health performance measurement framework, set-</w:t>
            </w:r>
            <w:r>
              <w:rPr>
                <w:spacing w:val="-42"/>
                <w:sz w:val="18"/>
              </w:rPr>
              <w:t xml:space="preserve"> </w:t>
            </w:r>
            <w:r>
              <w:rPr>
                <w:sz w:val="18"/>
              </w:rPr>
              <w:t>out of key performance indicators according to a defined assessment methodology, linked to the process of linking</w:t>
            </w:r>
            <w:r>
              <w:rPr>
                <w:spacing w:val="1"/>
                <w:sz w:val="18"/>
              </w:rPr>
              <w:t xml:space="preserve"> </w:t>
            </w:r>
            <w:r>
              <w:rPr>
                <w:sz w:val="18"/>
              </w:rPr>
              <w:t>measures</w:t>
            </w:r>
            <w:r>
              <w:rPr>
                <w:spacing w:val="-2"/>
                <w:sz w:val="18"/>
              </w:rPr>
              <w:t xml:space="preserve"> </w:t>
            </w:r>
            <w:r>
              <w:rPr>
                <w:sz w:val="18"/>
              </w:rPr>
              <w:t>to</w:t>
            </w:r>
            <w:r>
              <w:rPr>
                <w:spacing w:val="1"/>
                <w:sz w:val="18"/>
              </w:rPr>
              <w:t xml:space="preserve"> </w:t>
            </w:r>
            <w:r>
              <w:rPr>
                <w:sz w:val="18"/>
              </w:rPr>
              <w:t>the</w:t>
            </w:r>
            <w:r>
              <w:rPr>
                <w:spacing w:val="-2"/>
                <w:sz w:val="18"/>
              </w:rPr>
              <w:t xml:space="preserve"> </w:t>
            </w:r>
            <w:r>
              <w:rPr>
                <w:sz w:val="18"/>
              </w:rPr>
              <w:t>objectives</w:t>
            </w:r>
            <w:r>
              <w:rPr>
                <w:spacing w:val="-1"/>
                <w:sz w:val="18"/>
              </w:rPr>
              <w:t xml:space="preserve"> </w:t>
            </w:r>
            <w:r>
              <w:rPr>
                <w:sz w:val="18"/>
              </w:rPr>
              <w:t>set</w:t>
            </w:r>
            <w:r>
              <w:rPr>
                <w:spacing w:val="-1"/>
                <w:sz w:val="18"/>
              </w:rPr>
              <w:t xml:space="preserve"> </w:t>
            </w:r>
            <w:r>
              <w:rPr>
                <w:sz w:val="18"/>
              </w:rPr>
              <w:t>out</w:t>
            </w:r>
            <w:r>
              <w:rPr>
                <w:spacing w:val="-3"/>
                <w:sz w:val="18"/>
              </w:rPr>
              <w:t xml:space="preserve"> </w:t>
            </w:r>
            <w:r>
              <w:rPr>
                <w:sz w:val="18"/>
              </w:rPr>
              <w:t>in the</w:t>
            </w:r>
            <w:r>
              <w:rPr>
                <w:spacing w:val="-2"/>
                <w:sz w:val="18"/>
              </w:rPr>
              <w:t xml:space="preserve"> </w:t>
            </w:r>
            <w:r>
              <w:rPr>
                <w:sz w:val="18"/>
              </w:rPr>
              <w:t>national</w:t>
            </w:r>
            <w:r>
              <w:rPr>
                <w:spacing w:val="-1"/>
                <w:sz w:val="18"/>
              </w:rPr>
              <w:t xml:space="preserve"> </w:t>
            </w:r>
            <w:r>
              <w:rPr>
                <w:sz w:val="18"/>
              </w:rPr>
              <w:t>strategy</w:t>
            </w:r>
            <w:r>
              <w:rPr>
                <w:spacing w:val="-5"/>
                <w:sz w:val="18"/>
              </w:rPr>
              <w:t xml:space="preserve"> </w:t>
            </w:r>
            <w:r>
              <w:rPr>
                <w:sz w:val="18"/>
              </w:rPr>
              <w:t>papers</w:t>
            </w:r>
            <w:r>
              <w:rPr>
                <w:spacing w:val="-1"/>
                <w:sz w:val="18"/>
              </w:rPr>
              <w:t xml:space="preserve"> </w:t>
            </w:r>
            <w:r>
              <w:rPr>
                <w:sz w:val="18"/>
              </w:rPr>
              <w:t>and reforms,</w:t>
            </w:r>
            <w:r>
              <w:rPr>
                <w:spacing w:val="-1"/>
                <w:sz w:val="18"/>
              </w:rPr>
              <w:t xml:space="preserve"> </w:t>
            </w:r>
            <w:r>
              <w:rPr>
                <w:sz w:val="18"/>
              </w:rPr>
              <w:t>the</w:t>
            </w:r>
            <w:r>
              <w:rPr>
                <w:spacing w:val="-2"/>
                <w:sz w:val="18"/>
              </w:rPr>
              <w:t xml:space="preserve"> </w:t>
            </w:r>
            <w:r>
              <w:rPr>
                <w:sz w:val="18"/>
              </w:rPr>
              <w:t>timeliness</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data,</w:t>
            </w:r>
            <w:r>
              <w:rPr>
                <w:spacing w:val="-1"/>
                <w:sz w:val="18"/>
              </w:rPr>
              <w:t xml:space="preserve"> </w:t>
            </w:r>
            <w:r>
              <w:rPr>
                <w:sz w:val="18"/>
              </w:rPr>
              <w:t>and to</w:t>
            </w:r>
            <w:r>
              <w:rPr>
                <w:spacing w:val="10"/>
                <w:sz w:val="18"/>
              </w:rPr>
              <w:t xml:space="preserve"> </w:t>
            </w:r>
            <w:r>
              <w:rPr>
                <w:sz w:val="18"/>
              </w:rPr>
              <w:t>improve</w:t>
            </w:r>
          </w:p>
          <w:p w:rsidR="00A56FE9" w:rsidRDefault="00000000">
            <w:pPr>
              <w:pStyle w:val="TableParagraph"/>
              <w:spacing w:line="191" w:lineRule="exact"/>
              <w:ind w:left="107"/>
              <w:rPr>
                <w:sz w:val="18"/>
              </w:rPr>
            </w:pPr>
            <w:r>
              <w:rPr>
                <w:sz w:val="18"/>
              </w:rPr>
              <w:t>the</w:t>
            </w:r>
            <w:r>
              <w:rPr>
                <w:spacing w:val="-2"/>
                <w:sz w:val="18"/>
              </w:rPr>
              <w:t xml:space="preserve"> </w:t>
            </w:r>
            <w:r>
              <w:rPr>
                <w:sz w:val="18"/>
              </w:rPr>
              <w:t>monitoring</w:t>
            </w:r>
            <w:r>
              <w:rPr>
                <w:spacing w:val="-2"/>
                <w:sz w:val="18"/>
              </w:rPr>
              <w:t xml:space="preserve"> </w:t>
            </w:r>
            <w:r>
              <w:rPr>
                <w:sz w:val="18"/>
              </w:rPr>
              <w:t>of</w:t>
            </w:r>
            <w:r>
              <w:rPr>
                <w:spacing w:val="-3"/>
                <w:sz w:val="18"/>
              </w:rPr>
              <w:t xml:space="preserve"> </w:t>
            </w:r>
            <w:r>
              <w:rPr>
                <w:sz w:val="18"/>
              </w:rPr>
              <w:t>health</w:t>
            </w:r>
            <w:r>
              <w:rPr>
                <w:spacing w:val="-1"/>
                <w:sz w:val="18"/>
              </w:rPr>
              <w:t xml:space="preserve"> </w:t>
            </w:r>
            <w:r>
              <w:rPr>
                <w:sz w:val="18"/>
              </w:rPr>
              <w:t>outcomes.</w:t>
            </w:r>
          </w:p>
        </w:tc>
      </w:tr>
      <w:tr w:rsidR="00A56FE9">
        <w:trPr>
          <w:trHeight w:val="1034"/>
        </w:trPr>
        <w:tc>
          <w:tcPr>
            <w:tcW w:w="2127" w:type="dxa"/>
            <w:vMerge/>
            <w:tcBorders>
              <w:top w:val="nil"/>
            </w:tcBorders>
            <w:shd w:val="clear" w:color="auto" w:fill="F1F1F1"/>
          </w:tcPr>
          <w:p w:rsidR="00A56FE9" w:rsidRDefault="00A56FE9">
            <w:pPr>
              <w:rPr>
                <w:sz w:val="2"/>
                <w:szCs w:val="2"/>
              </w:rPr>
            </w:pPr>
          </w:p>
        </w:tc>
        <w:tc>
          <w:tcPr>
            <w:tcW w:w="3356" w:type="dxa"/>
          </w:tcPr>
          <w:p w:rsidR="00A56FE9" w:rsidRDefault="00000000">
            <w:pPr>
              <w:pStyle w:val="TableParagraph"/>
              <w:ind w:left="105" w:right="493"/>
              <w:jc w:val="both"/>
              <w:rPr>
                <w:sz w:val="18"/>
              </w:rPr>
            </w:pPr>
            <w:r>
              <w:rPr>
                <w:sz w:val="18"/>
              </w:rPr>
              <w:t>Adoption of the National Strategy For</w:t>
            </w:r>
            <w:r>
              <w:rPr>
                <w:spacing w:val="-42"/>
                <w:sz w:val="18"/>
              </w:rPr>
              <w:t xml:space="preserve"> </w:t>
            </w:r>
            <w:r>
              <w:rPr>
                <w:sz w:val="18"/>
              </w:rPr>
              <w:t>Action in the Area of Addition for the</w:t>
            </w:r>
            <w:r>
              <w:rPr>
                <w:spacing w:val="-42"/>
                <w:sz w:val="18"/>
              </w:rPr>
              <w:t xml:space="preserve"> </w:t>
            </w:r>
            <w:r>
              <w:rPr>
                <w:sz w:val="18"/>
              </w:rPr>
              <w:t>period</w:t>
            </w:r>
            <w:r>
              <w:rPr>
                <w:spacing w:val="-2"/>
                <w:sz w:val="18"/>
              </w:rPr>
              <w:t xml:space="preserve"> </w:t>
            </w:r>
            <w:r>
              <w:rPr>
                <w:sz w:val="18"/>
              </w:rPr>
              <w:t>2022-2030</w:t>
            </w:r>
          </w:p>
        </w:tc>
        <w:tc>
          <w:tcPr>
            <w:tcW w:w="9054" w:type="dxa"/>
          </w:tcPr>
          <w:p w:rsidR="00A56FE9" w:rsidRDefault="00000000">
            <w:pPr>
              <w:pStyle w:val="TableParagraph"/>
              <w:ind w:left="107" w:right="161"/>
              <w:rPr>
                <w:sz w:val="18"/>
              </w:rPr>
            </w:pPr>
            <w:r>
              <w:rPr>
                <w:sz w:val="18"/>
              </w:rPr>
              <w:t>National</w:t>
            </w:r>
            <w:r>
              <w:rPr>
                <w:spacing w:val="-2"/>
                <w:sz w:val="18"/>
              </w:rPr>
              <w:t xml:space="preserve"> </w:t>
            </w:r>
            <w:r>
              <w:rPr>
                <w:sz w:val="18"/>
              </w:rPr>
              <w:t>Strategy</w:t>
            </w:r>
            <w:r>
              <w:rPr>
                <w:spacing w:val="-3"/>
                <w:sz w:val="18"/>
              </w:rPr>
              <w:t xml:space="preserve"> </w:t>
            </w:r>
            <w:r>
              <w:rPr>
                <w:sz w:val="18"/>
              </w:rPr>
              <w:t>for</w:t>
            </w:r>
            <w:r>
              <w:rPr>
                <w:spacing w:val="-2"/>
                <w:sz w:val="18"/>
              </w:rPr>
              <w:t xml:space="preserve"> </w:t>
            </w:r>
            <w:r>
              <w:rPr>
                <w:sz w:val="18"/>
              </w:rPr>
              <w:t>Action</w:t>
            </w:r>
            <w:r>
              <w:rPr>
                <w:spacing w:val="-1"/>
                <w:sz w:val="18"/>
              </w:rPr>
              <w:t xml:space="preserve"> </w:t>
            </w:r>
            <w:r>
              <w:rPr>
                <w:sz w:val="18"/>
              </w:rPr>
              <w:t>in</w:t>
            </w:r>
            <w:r>
              <w:rPr>
                <w:spacing w:val="-1"/>
                <w:sz w:val="18"/>
              </w:rPr>
              <w:t xml:space="preserve"> </w:t>
            </w:r>
            <w:r>
              <w:rPr>
                <w:sz w:val="18"/>
              </w:rPr>
              <w:t>the</w:t>
            </w:r>
            <w:r>
              <w:rPr>
                <w:spacing w:val="-3"/>
                <w:sz w:val="18"/>
              </w:rPr>
              <w:t xml:space="preserve"> </w:t>
            </w:r>
            <w:r>
              <w:rPr>
                <w:sz w:val="18"/>
              </w:rPr>
              <w:t>Area</w:t>
            </w:r>
            <w:r>
              <w:rPr>
                <w:spacing w:val="-3"/>
                <w:sz w:val="18"/>
              </w:rPr>
              <w:t xml:space="preserve"> </w:t>
            </w:r>
            <w:r>
              <w:rPr>
                <w:sz w:val="18"/>
              </w:rPr>
              <w:t>of</w:t>
            </w:r>
            <w:r>
              <w:rPr>
                <w:spacing w:val="-1"/>
                <w:sz w:val="18"/>
              </w:rPr>
              <w:t xml:space="preserve"> </w:t>
            </w:r>
            <w:r>
              <w:rPr>
                <w:sz w:val="18"/>
              </w:rPr>
              <w:t>Addiction</w:t>
            </w:r>
            <w:r>
              <w:rPr>
                <w:spacing w:val="-3"/>
                <w:sz w:val="18"/>
              </w:rPr>
              <w:t xml:space="preserve"> </w:t>
            </w:r>
            <w:r>
              <w:rPr>
                <w:sz w:val="18"/>
              </w:rPr>
              <w:t>for</w:t>
            </w:r>
            <w:r>
              <w:rPr>
                <w:spacing w:val="-2"/>
                <w:sz w:val="18"/>
              </w:rPr>
              <w:t xml:space="preserve"> </w:t>
            </w:r>
            <w:r>
              <w:rPr>
                <w:sz w:val="18"/>
              </w:rPr>
              <w:t>2022-2030</w:t>
            </w:r>
            <w:r>
              <w:rPr>
                <w:spacing w:val="-1"/>
                <w:sz w:val="18"/>
              </w:rPr>
              <w:t xml:space="preserve"> </w:t>
            </w:r>
            <w:r>
              <w:rPr>
                <w:sz w:val="18"/>
              </w:rPr>
              <w:t>contains</w:t>
            </w:r>
            <w:r>
              <w:rPr>
                <w:spacing w:val="-2"/>
                <w:sz w:val="18"/>
              </w:rPr>
              <w:t xml:space="preserve"> </w:t>
            </w:r>
            <w:r>
              <w:rPr>
                <w:sz w:val="18"/>
              </w:rPr>
              <w:t>strategic</w:t>
            </w:r>
            <w:r>
              <w:rPr>
                <w:spacing w:val="-2"/>
                <w:sz w:val="18"/>
              </w:rPr>
              <w:t xml:space="preserve"> </w:t>
            </w:r>
            <w:r>
              <w:rPr>
                <w:sz w:val="18"/>
              </w:rPr>
              <w:t>goals,</w:t>
            </w:r>
            <w:r>
              <w:rPr>
                <w:spacing w:val="-2"/>
                <w:sz w:val="18"/>
              </w:rPr>
              <w:t xml:space="preserve"> </w:t>
            </w:r>
            <w:r>
              <w:rPr>
                <w:sz w:val="18"/>
              </w:rPr>
              <w:t>priorities</w:t>
            </w:r>
            <w:r>
              <w:rPr>
                <w:spacing w:val="-2"/>
                <w:sz w:val="18"/>
              </w:rPr>
              <w:t xml:space="preserve"> </w:t>
            </w:r>
            <w:r>
              <w:rPr>
                <w:sz w:val="18"/>
              </w:rPr>
              <w:t>and</w:t>
            </w:r>
            <w:r>
              <w:rPr>
                <w:spacing w:val="2"/>
                <w:sz w:val="18"/>
              </w:rPr>
              <w:t xml:space="preserve"> </w:t>
            </w:r>
            <w:r>
              <w:rPr>
                <w:sz w:val="18"/>
              </w:rPr>
              <w:t>measures,</w:t>
            </w:r>
            <w:r>
              <w:rPr>
                <w:spacing w:val="-42"/>
                <w:sz w:val="18"/>
              </w:rPr>
              <w:t xml:space="preserve"> </w:t>
            </w:r>
            <w:r>
              <w:rPr>
                <w:sz w:val="18"/>
              </w:rPr>
              <w:t>which will effectively ensure responsibility for the implementation of the general national policy on addictions and</w:t>
            </w:r>
            <w:r>
              <w:rPr>
                <w:spacing w:val="1"/>
                <w:sz w:val="18"/>
              </w:rPr>
              <w:t xml:space="preserve"> </w:t>
            </w:r>
            <w:r>
              <w:rPr>
                <w:sz w:val="18"/>
              </w:rPr>
              <w:t>behavioural addictions and establish a multidisciplinary and integrated approach on national, local and international</w:t>
            </w:r>
            <w:r>
              <w:rPr>
                <w:spacing w:val="1"/>
                <w:sz w:val="18"/>
              </w:rPr>
              <w:t xml:space="preserve"> </w:t>
            </w:r>
            <w:r>
              <w:rPr>
                <w:sz w:val="18"/>
              </w:rPr>
              <w:t>levels.</w:t>
            </w:r>
            <w:r>
              <w:rPr>
                <w:spacing w:val="1"/>
                <w:sz w:val="18"/>
              </w:rPr>
              <w:t xml:space="preserve"> </w:t>
            </w:r>
            <w:r>
              <w:rPr>
                <w:sz w:val="18"/>
              </w:rPr>
              <w:t>Also,</w:t>
            </w:r>
            <w:r>
              <w:rPr>
                <w:spacing w:val="-1"/>
                <w:sz w:val="18"/>
              </w:rPr>
              <w:t xml:space="preserve"> </w:t>
            </w:r>
            <w:r>
              <w:rPr>
                <w:sz w:val="18"/>
              </w:rPr>
              <w:t>the</w:t>
            </w:r>
            <w:r>
              <w:rPr>
                <w:spacing w:val="-2"/>
                <w:sz w:val="18"/>
              </w:rPr>
              <w:t xml:space="preserve"> </w:t>
            </w:r>
            <w:r>
              <w:rPr>
                <w:sz w:val="18"/>
              </w:rPr>
              <w:t>National</w:t>
            </w:r>
            <w:r>
              <w:rPr>
                <w:spacing w:val="-1"/>
                <w:sz w:val="18"/>
              </w:rPr>
              <w:t xml:space="preserve"> </w:t>
            </w:r>
            <w:r>
              <w:rPr>
                <w:sz w:val="18"/>
              </w:rPr>
              <w:t>Strategy</w:t>
            </w:r>
            <w:r>
              <w:rPr>
                <w:spacing w:val="-2"/>
                <w:sz w:val="18"/>
              </w:rPr>
              <w:t xml:space="preserve"> </w:t>
            </w:r>
            <w:r>
              <w:rPr>
                <w:sz w:val="18"/>
              </w:rPr>
              <w:t>contains</w:t>
            </w:r>
            <w:r>
              <w:rPr>
                <w:spacing w:val="-1"/>
                <w:sz w:val="18"/>
              </w:rPr>
              <w:t xml:space="preserve"> </w:t>
            </w:r>
            <w:r>
              <w:rPr>
                <w:sz w:val="18"/>
              </w:rPr>
              <w:t>guidelines</w:t>
            </w:r>
            <w:r>
              <w:rPr>
                <w:spacing w:val="-1"/>
                <w:sz w:val="18"/>
              </w:rPr>
              <w:t xml:space="preserve"> </w:t>
            </w:r>
            <w:r>
              <w:rPr>
                <w:sz w:val="18"/>
              </w:rPr>
              <w:t>that</w:t>
            </w:r>
            <w:r>
              <w:rPr>
                <w:spacing w:val="-2"/>
                <w:sz w:val="18"/>
              </w:rPr>
              <w:t xml:space="preserve"> </w:t>
            </w:r>
            <w:r>
              <w:rPr>
                <w:sz w:val="18"/>
              </w:rPr>
              <w:t>to</w:t>
            </w:r>
            <w:r>
              <w:rPr>
                <w:spacing w:val="-2"/>
                <w:sz w:val="18"/>
              </w:rPr>
              <w:t xml:space="preserve"> </w:t>
            </w:r>
            <w:r>
              <w:rPr>
                <w:sz w:val="18"/>
              </w:rPr>
              <w:t>identify</w:t>
            </w:r>
            <w:r>
              <w:rPr>
                <w:spacing w:val="-4"/>
                <w:sz w:val="18"/>
              </w:rPr>
              <w:t xml:space="preserve"> </w:t>
            </w:r>
            <w:r>
              <w:rPr>
                <w:sz w:val="18"/>
              </w:rPr>
              <w:t>the</w:t>
            </w:r>
            <w:r>
              <w:rPr>
                <w:spacing w:val="1"/>
                <w:sz w:val="18"/>
              </w:rPr>
              <w:t xml:space="preserve"> </w:t>
            </w:r>
            <w:r>
              <w:rPr>
                <w:sz w:val="18"/>
              </w:rPr>
              <w:t>most</w:t>
            </w:r>
            <w:r>
              <w:rPr>
                <w:spacing w:val="-1"/>
                <w:sz w:val="18"/>
              </w:rPr>
              <w:t xml:space="preserve"> </w:t>
            </w:r>
            <w:r>
              <w:rPr>
                <w:sz w:val="18"/>
              </w:rPr>
              <w:t>effective</w:t>
            </w:r>
            <w:r>
              <w:rPr>
                <w:spacing w:val="-2"/>
                <w:sz w:val="18"/>
              </w:rPr>
              <w:t xml:space="preserve"> </w:t>
            </w:r>
            <w:r>
              <w:rPr>
                <w:sz w:val="18"/>
              </w:rPr>
              <w:t>response</w:t>
            </w:r>
            <w:r>
              <w:rPr>
                <w:spacing w:val="-2"/>
                <w:sz w:val="18"/>
              </w:rPr>
              <w:t xml:space="preserve"> </w:t>
            </w:r>
            <w:r>
              <w:rPr>
                <w:sz w:val="18"/>
              </w:rPr>
              <w:t>from</w:t>
            </w:r>
            <w:r>
              <w:rPr>
                <w:spacing w:val="-4"/>
                <w:sz w:val="18"/>
              </w:rPr>
              <w:t xml:space="preserve"> </w:t>
            </w:r>
            <w:r>
              <w:rPr>
                <w:sz w:val="18"/>
              </w:rPr>
              <w:t>society</w:t>
            </w:r>
            <w:r>
              <w:rPr>
                <w:spacing w:val="-5"/>
                <w:sz w:val="18"/>
              </w:rPr>
              <w:t xml:space="preserve"> </w:t>
            </w:r>
            <w:r>
              <w:rPr>
                <w:sz w:val="18"/>
              </w:rPr>
              <w:t>to</w:t>
            </w:r>
            <w:r>
              <w:rPr>
                <w:spacing w:val="-1"/>
                <w:sz w:val="18"/>
              </w:rPr>
              <w:t xml:space="preserve"> </w:t>
            </w:r>
            <w:r>
              <w:rPr>
                <w:sz w:val="18"/>
              </w:rPr>
              <w:t>the</w:t>
            </w:r>
          </w:p>
          <w:p w:rsidR="00A56FE9" w:rsidRDefault="00000000">
            <w:pPr>
              <w:pStyle w:val="TableParagraph"/>
              <w:spacing w:line="191" w:lineRule="exact"/>
              <w:ind w:left="107"/>
              <w:rPr>
                <w:sz w:val="18"/>
              </w:rPr>
            </w:pPr>
            <w:r>
              <w:rPr>
                <w:sz w:val="18"/>
              </w:rPr>
              <w:t>modalities</w:t>
            </w:r>
            <w:r>
              <w:rPr>
                <w:spacing w:val="-2"/>
                <w:sz w:val="18"/>
              </w:rPr>
              <w:t xml:space="preserve"> </w:t>
            </w:r>
            <w:r>
              <w:rPr>
                <w:sz w:val="18"/>
              </w:rPr>
              <w:t>and</w:t>
            </w:r>
            <w:r>
              <w:rPr>
                <w:spacing w:val="-1"/>
                <w:sz w:val="18"/>
              </w:rPr>
              <w:t xml:space="preserve"> </w:t>
            </w:r>
            <w:r>
              <w:rPr>
                <w:sz w:val="18"/>
              </w:rPr>
              <w:t>trends</w:t>
            </w:r>
            <w:r>
              <w:rPr>
                <w:spacing w:val="-1"/>
                <w:sz w:val="18"/>
              </w:rPr>
              <w:t xml:space="preserve"> </w:t>
            </w:r>
            <w:r>
              <w:rPr>
                <w:sz w:val="18"/>
              </w:rPr>
              <w:t>of</w:t>
            </w:r>
            <w:r>
              <w:rPr>
                <w:spacing w:val="-3"/>
                <w:sz w:val="18"/>
              </w:rPr>
              <w:t xml:space="preserve"> </w:t>
            </w:r>
            <w:r>
              <w:rPr>
                <w:sz w:val="18"/>
              </w:rPr>
              <w:t>consumption</w:t>
            </w:r>
            <w:r>
              <w:rPr>
                <w:spacing w:val="-3"/>
                <w:sz w:val="18"/>
              </w:rPr>
              <w:t xml:space="preserve"> </w:t>
            </w:r>
            <w:r>
              <w:rPr>
                <w:sz w:val="18"/>
              </w:rPr>
              <w:t>and</w:t>
            </w:r>
            <w:r>
              <w:rPr>
                <w:spacing w:val="-2"/>
                <w:sz w:val="18"/>
              </w:rPr>
              <w:t xml:space="preserve"> </w:t>
            </w:r>
            <w:r>
              <w:rPr>
                <w:sz w:val="18"/>
              </w:rPr>
              <w:t>abuse</w:t>
            </w:r>
            <w:r>
              <w:rPr>
                <w:spacing w:val="-3"/>
                <w:sz w:val="18"/>
              </w:rPr>
              <w:t xml:space="preserve"> </w:t>
            </w:r>
            <w:r>
              <w:rPr>
                <w:sz w:val="18"/>
              </w:rPr>
              <w:t>of</w:t>
            </w:r>
            <w:r>
              <w:rPr>
                <w:spacing w:val="-3"/>
                <w:sz w:val="18"/>
              </w:rPr>
              <w:t xml:space="preserve"> </w:t>
            </w:r>
            <w:r>
              <w:rPr>
                <w:sz w:val="18"/>
              </w:rPr>
              <w:t>addictive</w:t>
            </w:r>
            <w:r>
              <w:rPr>
                <w:spacing w:val="-3"/>
                <w:sz w:val="18"/>
              </w:rPr>
              <w:t xml:space="preserve"> </w:t>
            </w:r>
            <w:r>
              <w:rPr>
                <w:sz w:val="18"/>
              </w:rPr>
              <w:t>substances</w:t>
            </w:r>
            <w:r>
              <w:rPr>
                <w:spacing w:val="-1"/>
                <w:sz w:val="18"/>
              </w:rPr>
              <w:t xml:space="preserve"> </w:t>
            </w:r>
            <w:r>
              <w:rPr>
                <w:sz w:val="18"/>
              </w:rPr>
              <w:t>in society.</w:t>
            </w:r>
          </w:p>
        </w:tc>
      </w:tr>
      <w:tr w:rsidR="00A56FE9">
        <w:trPr>
          <w:trHeight w:val="1037"/>
        </w:trPr>
        <w:tc>
          <w:tcPr>
            <w:tcW w:w="2127" w:type="dxa"/>
            <w:vMerge/>
            <w:tcBorders>
              <w:top w:val="nil"/>
            </w:tcBorders>
            <w:shd w:val="clear" w:color="auto" w:fill="F1F1F1"/>
          </w:tcPr>
          <w:p w:rsidR="00A56FE9" w:rsidRDefault="00A56FE9">
            <w:pPr>
              <w:rPr>
                <w:sz w:val="2"/>
                <w:szCs w:val="2"/>
              </w:rPr>
            </w:pPr>
          </w:p>
        </w:tc>
        <w:tc>
          <w:tcPr>
            <w:tcW w:w="3356" w:type="dxa"/>
          </w:tcPr>
          <w:p w:rsidR="00A56FE9" w:rsidRDefault="00000000">
            <w:pPr>
              <w:pStyle w:val="TableParagraph"/>
              <w:spacing w:line="242" w:lineRule="auto"/>
              <w:ind w:left="105" w:right="354"/>
              <w:rPr>
                <w:sz w:val="18"/>
              </w:rPr>
            </w:pPr>
            <w:r>
              <w:rPr>
                <w:sz w:val="18"/>
              </w:rPr>
              <w:t>Adoption of the National Strategy for</w:t>
            </w:r>
            <w:r>
              <w:rPr>
                <w:spacing w:val="1"/>
                <w:sz w:val="18"/>
              </w:rPr>
              <w:t xml:space="preserve"> </w:t>
            </w:r>
            <w:r>
              <w:rPr>
                <w:sz w:val="18"/>
              </w:rPr>
              <w:t>Mental</w:t>
            </w:r>
            <w:r>
              <w:rPr>
                <w:spacing w:val="-4"/>
                <w:sz w:val="18"/>
              </w:rPr>
              <w:t xml:space="preserve"> </w:t>
            </w:r>
            <w:r>
              <w:rPr>
                <w:sz w:val="18"/>
              </w:rPr>
              <w:t>Health</w:t>
            </w:r>
            <w:r>
              <w:rPr>
                <w:spacing w:val="-1"/>
                <w:sz w:val="18"/>
              </w:rPr>
              <w:t xml:space="preserve"> </w:t>
            </w:r>
            <w:r>
              <w:rPr>
                <w:sz w:val="18"/>
              </w:rPr>
              <w:t>Development</w:t>
            </w:r>
            <w:r>
              <w:rPr>
                <w:spacing w:val="-3"/>
                <w:sz w:val="18"/>
              </w:rPr>
              <w:t xml:space="preserve"> </w:t>
            </w:r>
            <w:r>
              <w:rPr>
                <w:sz w:val="18"/>
              </w:rPr>
              <w:t>2022-2030</w:t>
            </w:r>
          </w:p>
        </w:tc>
        <w:tc>
          <w:tcPr>
            <w:tcW w:w="9054" w:type="dxa"/>
          </w:tcPr>
          <w:p w:rsidR="00A56FE9" w:rsidRDefault="00000000">
            <w:pPr>
              <w:pStyle w:val="TableParagraph"/>
              <w:ind w:left="107" w:right="313"/>
              <w:jc w:val="both"/>
              <w:rPr>
                <w:sz w:val="18"/>
              </w:rPr>
            </w:pPr>
            <w:r>
              <w:rPr>
                <w:sz w:val="18"/>
              </w:rPr>
              <w:t>Strategic goals of the National Strategy for the Development of Mental Health 2022-2030 aim to improve the health of</w:t>
            </w:r>
            <w:r>
              <w:rPr>
                <w:spacing w:val="1"/>
                <w:sz w:val="18"/>
              </w:rPr>
              <w:t xml:space="preserve"> </w:t>
            </w:r>
            <w:r>
              <w:rPr>
                <w:sz w:val="18"/>
              </w:rPr>
              <w:t>citizens throughout life and reduce the incidence of mental disorders. Specific goals in implementation of the National</w:t>
            </w:r>
            <w:r>
              <w:rPr>
                <w:spacing w:val="1"/>
                <w:sz w:val="18"/>
              </w:rPr>
              <w:t xml:space="preserve"> </w:t>
            </w:r>
            <w:r>
              <w:rPr>
                <w:sz w:val="18"/>
              </w:rPr>
              <w:t>Strategy</w:t>
            </w:r>
            <w:r>
              <w:rPr>
                <w:spacing w:val="-5"/>
                <w:sz w:val="18"/>
              </w:rPr>
              <w:t xml:space="preserve"> </w:t>
            </w:r>
            <w:r>
              <w:rPr>
                <w:sz w:val="18"/>
              </w:rPr>
              <w:t>are</w:t>
            </w:r>
            <w:r>
              <w:rPr>
                <w:spacing w:val="-2"/>
                <w:sz w:val="18"/>
              </w:rPr>
              <w:t xml:space="preserve"> </w:t>
            </w:r>
            <w:r>
              <w:rPr>
                <w:sz w:val="18"/>
              </w:rPr>
              <w:t>in the</w:t>
            </w:r>
            <w:r>
              <w:rPr>
                <w:spacing w:val="-2"/>
                <w:sz w:val="18"/>
              </w:rPr>
              <w:t xml:space="preserve"> </w:t>
            </w:r>
            <w:r>
              <w:rPr>
                <w:sz w:val="18"/>
              </w:rPr>
              <w:t>areas</w:t>
            </w:r>
            <w:r>
              <w:rPr>
                <w:spacing w:val="-1"/>
                <w:sz w:val="18"/>
              </w:rPr>
              <w:t xml:space="preserve"> </w:t>
            </w:r>
            <w:r>
              <w:rPr>
                <w:sz w:val="18"/>
              </w:rPr>
              <w:t>of mental</w:t>
            </w:r>
            <w:r>
              <w:rPr>
                <w:spacing w:val="-1"/>
                <w:sz w:val="18"/>
              </w:rPr>
              <w:t xml:space="preserve"> </w:t>
            </w:r>
            <w:r>
              <w:rPr>
                <w:sz w:val="18"/>
              </w:rPr>
              <w:t>health</w:t>
            </w:r>
            <w:r>
              <w:rPr>
                <w:spacing w:val="-2"/>
                <w:sz w:val="18"/>
              </w:rPr>
              <w:t xml:space="preserve"> </w:t>
            </w:r>
            <w:r>
              <w:rPr>
                <w:sz w:val="18"/>
              </w:rPr>
              <w:t>promotion,</w:t>
            </w:r>
            <w:r>
              <w:rPr>
                <w:spacing w:val="-3"/>
                <w:sz w:val="18"/>
              </w:rPr>
              <w:t xml:space="preserve"> </w:t>
            </w:r>
            <w:r>
              <w:rPr>
                <w:sz w:val="18"/>
              </w:rPr>
              <w:t>prevention and early</w:t>
            </w:r>
            <w:r>
              <w:rPr>
                <w:spacing w:val="-4"/>
                <w:sz w:val="18"/>
              </w:rPr>
              <w:t xml:space="preserve"> </w:t>
            </w:r>
            <w:r>
              <w:rPr>
                <w:sz w:val="18"/>
              </w:rPr>
              <w:t>detection</w:t>
            </w:r>
            <w:r>
              <w:rPr>
                <w:spacing w:val="1"/>
                <w:sz w:val="18"/>
              </w:rPr>
              <w:t xml:space="preserve"> </w:t>
            </w:r>
            <w:r>
              <w:rPr>
                <w:sz w:val="18"/>
              </w:rPr>
              <w:t>of</w:t>
            </w:r>
            <w:r>
              <w:rPr>
                <w:spacing w:val="-3"/>
                <w:sz w:val="18"/>
              </w:rPr>
              <w:t xml:space="preserve"> </w:t>
            </w:r>
            <w:r>
              <w:rPr>
                <w:sz w:val="18"/>
              </w:rPr>
              <w:t>mental</w:t>
            </w:r>
            <w:r>
              <w:rPr>
                <w:spacing w:val="-1"/>
                <w:sz w:val="18"/>
              </w:rPr>
              <w:t xml:space="preserve"> </w:t>
            </w:r>
            <w:r>
              <w:rPr>
                <w:sz w:val="18"/>
              </w:rPr>
              <w:t>health problems,</w:t>
            </w:r>
          </w:p>
          <w:p w:rsidR="00A56FE9" w:rsidRDefault="00000000">
            <w:pPr>
              <w:pStyle w:val="TableParagraph"/>
              <w:spacing w:line="206" w:lineRule="exact"/>
              <w:ind w:left="107" w:right="313"/>
              <w:jc w:val="both"/>
              <w:rPr>
                <w:sz w:val="18"/>
              </w:rPr>
            </w:pPr>
            <w:r>
              <w:rPr>
                <w:sz w:val="18"/>
              </w:rPr>
              <w:t>improvement</w:t>
            </w:r>
            <w:r>
              <w:rPr>
                <w:spacing w:val="-2"/>
                <w:sz w:val="18"/>
              </w:rPr>
              <w:t xml:space="preserve"> </w:t>
            </w:r>
            <w:r>
              <w:rPr>
                <w:sz w:val="18"/>
              </w:rPr>
              <w:t>of</w:t>
            </w:r>
            <w:r>
              <w:rPr>
                <w:spacing w:val="-4"/>
                <w:sz w:val="18"/>
              </w:rPr>
              <w:t xml:space="preserve"> </w:t>
            </w:r>
            <w:r>
              <w:rPr>
                <w:sz w:val="18"/>
              </w:rPr>
              <w:t>treatment</w:t>
            </w:r>
            <w:r>
              <w:rPr>
                <w:spacing w:val="-2"/>
                <w:sz w:val="18"/>
              </w:rPr>
              <w:t xml:space="preserve"> </w:t>
            </w:r>
            <w:r>
              <w:rPr>
                <w:sz w:val="18"/>
              </w:rPr>
              <w:t>and</w:t>
            </w:r>
            <w:r>
              <w:rPr>
                <w:spacing w:val="-1"/>
                <w:sz w:val="18"/>
              </w:rPr>
              <w:t xml:space="preserve"> </w:t>
            </w:r>
            <w:r>
              <w:rPr>
                <w:sz w:val="18"/>
              </w:rPr>
              <w:t>rehabilitation</w:t>
            </w:r>
            <w:r>
              <w:rPr>
                <w:spacing w:val="-2"/>
                <w:sz w:val="18"/>
              </w:rPr>
              <w:t xml:space="preserve"> </w:t>
            </w:r>
            <w:r>
              <w:rPr>
                <w:sz w:val="18"/>
              </w:rPr>
              <w:t>with</w:t>
            </w:r>
            <w:r>
              <w:rPr>
                <w:spacing w:val="-1"/>
                <w:sz w:val="18"/>
              </w:rPr>
              <w:t xml:space="preserve"> </w:t>
            </w:r>
            <w:r>
              <w:rPr>
                <w:sz w:val="18"/>
              </w:rPr>
              <w:t>a</w:t>
            </w:r>
            <w:r>
              <w:rPr>
                <w:spacing w:val="-3"/>
                <w:sz w:val="18"/>
              </w:rPr>
              <w:t xml:space="preserve"> </w:t>
            </w:r>
            <w:r>
              <w:rPr>
                <w:sz w:val="18"/>
              </w:rPr>
              <w:t>contribution</w:t>
            </w:r>
            <w:r>
              <w:rPr>
                <w:spacing w:val="-1"/>
                <w:sz w:val="18"/>
              </w:rPr>
              <w:t xml:space="preserve"> </w:t>
            </w:r>
            <w:r>
              <w:rPr>
                <w:sz w:val="18"/>
              </w:rPr>
              <w:t>to</w:t>
            </w:r>
            <w:r>
              <w:rPr>
                <w:spacing w:val="-2"/>
                <w:sz w:val="18"/>
              </w:rPr>
              <w:t xml:space="preserve"> </w:t>
            </w:r>
            <w:r>
              <w:rPr>
                <w:sz w:val="18"/>
              </w:rPr>
              <w:t>the</w:t>
            </w:r>
            <w:r>
              <w:rPr>
                <w:spacing w:val="-3"/>
                <w:sz w:val="18"/>
              </w:rPr>
              <w:t xml:space="preserve"> </w:t>
            </w:r>
            <w:r>
              <w:rPr>
                <w:sz w:val="18"/>
              </w:rPr>
              <w:t>protection</w:t>
            </w:r>
            <w:r>
              <w:rPr>
                <w:spacing w:val="-3"/>
                <w:sz w:val="18"/>
              </w:rPr>
              <w:t xml:space="preserve"> </w:t>
            </w:r>
            <w:r>
              <w:rPr>
                <w:sz w:val="18"/>
              </w:rPr>
              <w:t>of</w:t>
            </w:r>
            <w:r>
              <w:rPr>
                <w:spacing w:val="-4"/>
                <w:sz w:val="18"/>
              </w:rPr>
              <w:t xml:space="preserve"> </w:t>
            </w:r>
            <w:r>
              <w:rPr>
                <w:sz w:val="18"/>
              </w:rPr>
              <w:t>human rights</w:t>
            </w:r>
            <w:r>
              <w:rPr>
                <w:spacing w:val="-2"/>
                <w:sz w:val="18"/>
              </w:rPr>
              <w:t xml:space="preserve"> </w:t>
            </w:r>
            <w:r>
              <w:rPr>
                <w:sz w:val="18"/>
              </w:rPr>
              <w:t>of</w:t>
            </w:r>
            <w:r>
              <w:rPr>
                <w:spacing w:val="-4"/>
                <w:sz w:val="18"/>
              </w:rPr>
              <w:t xml:space="preserve"> </w:t>
            </w:r>
            <w:r>
              <w:rPr>
                <w:sz w:val="18"/>
              </w:rPr>
              <w:t>people</w:t>
            </w:r>
            <w:r>
              <w:rPr>
                <w:spacing w:val="-2"/>
                <w:sz w:val="18"/>
              </w:rPr>
              <w:t xml:space="preserve"> </w:t>
            </w:r>
            <w:r>
              <w:rPr>
                <w:sz w:val="18"/>
              </w:rPr>
              <w:t>with mental</w:t>
            </w:r>
            <w:r>
              <w:rPr>
                <w:spacing w:val="-43"/>
                <w:sz w:val="18"/>
              </w:rPr>
              <w:t xml:space="preserve"> </w:t>
            </w:r>
            <w:r>
              <w:rPr>
                <w:sz w:val="18"/>
              </w:rPr>
              <w:t>health problems and</w:t>
            </w:r>
            <w:r>
              <w:rPr>
                <w:spacing w:val="1"/>
                <w:sz w:val="18"/>
              </w:rPr>
              <w:t xml:space="preserve"> </w:t>
            </w:r>
            <w:r>
              <w:rPr>
                <w:sz w:val="18"/>
              </w:rPr>
              <w:t>community</w:t>
            </w:r>
            <w:r>
              <w:rPr>
                <w:spacing w:val="-4"/>
                <w:sz w:val="18"/>
              </w:rPr>
              <w:t xml:space="preserve"> </w:t>
            </w:r>
            <w:r>
              <w:rPr>
                <w:sz w:val="18"/>
              </w:rPr>
              <w:t>mental health</w:t>
            </w:r>
            <w:r>
              <w:rPr>
                <w:spacing w:val="1"/>
                <w:sz w:val="18"/>
              </w:rPr>
              <w:t xml:space="preserve"> </w:t>
            </w:r>
            <w:r>
              <w:rPr>
                <w:sz w:val="18"/>
              </w:rPr>
              <w:t>activities.</w:t>
            </w:r>
          </w:p>
        </w:tc>
      </w:tr>
      <w:tr w:rsidR="00A56FE9">
        <w:trPr>
          <w:trHeight w:val="457"/>
        </w:trPr>
        <w:tc>
          <w:tcPr>
            <w:tcW w:w="2127" w:type="dxa"/>
            <w:shd w:val="clear" w:color="auto" w:fill="F1F1F1"/>
          </w:tcPr>
          <w:p w:rsidR="00A56FE9" w:rsidRDefault="00000000">
            <w:pPr>
              <w:pStyle w:val="TableParagraph"/>
              <w:spacing w:line="228" w:lineRule="exact"/>
              <w:ind w:left="105" w:right="165"/>
              <w:rPr>
                <w:sz w:val="20"/>
              </w:rPr>
            </w:pPr>
            <w:r>
              <w:rPr>
                <w:b/>
                <w:sz w:val="20"/>
              </w:rPr>
              <w:t>17.</w:t>
            </w:r>
            <w:r>
              <w:rPr>
                <w:b/>
                <w:spacing w:val="-5"/>
                <w:sz w:val="20"/>
              </w:rPr>
              <w:t xml:space="preserve"> </w:t>
            </w:r>
            <w:r>
              <w:rPr>
                <w:sz w:val="20"/>
              </w:rPr>
              <w:t>Inclusion</w:t>
            </w:r>
            <w:r>
              <w:rPr>
                <w:spacing w:val="-6"/>
                <w:sz w:val="20"/>
              </w:rPr>
              <w:t xml:space="preserve"> </w:t>
            </w:r>
            <w:r>
              <w:rPr>
                <w:sz w:val="20"/>
              </w:rPr>
              <w:t>of</w:t>
            </w:r>
            <w:r>
              <w:rPr>
                <w:spacing w:val="-7"/>
                <w:sz w:val="20"/>
              </w:rPr>
              <w:t xml:space="preserve"> </w:t>
            </w:r>
            <w:r>
              <w:rPr>
                <w:sz w:val="20"/>
              </w:rPr>
              <w:t>people</w:t>
            </w:r>
            <w:r>
              <w:rPr>
                <w:spacing w:val="-47"/>
                <w:sz w:val="20"/>
              </w:rPr>
              <w:t xml:space="preserve"> </w:t>
            </w:r>
            <w:r>
              <w:rPr>
                <w:sz w:val="20"/>
              </w:rPr>
              <w:t>with</w:t>
            </w:r>
            <w:r>
              <w:rPr>
                <w:spacing w:val="-2"/>
                <w:sz w:val="20"/>
              </w:rPr>
              <w:t xml:space="preserve"> </w:t>
            </w:r>
            <w:r>
              <w:rPr>
                <w:sz w:val="20"/>
              </w:rPr>
              <w:t>disabilities</w:t>
            </w:r>
          </w:p>
        </w:tc>
        <w:tc>
          <w:tcPr>
            <w:tcW w:w="3356" w:type="dxa"/>
          </w:tcPr>
          <w:p w:rsidR="00A56FE9" w:rsidRDefault="00A56FE9">
            <w:pPr>
              <w:pStyle w:val="TableParagraph"/>
              <w:rPr>
                <w:sz w:val="18"/>
              </w:rPr>
            </w:pPr>
          </w:p>
        </w:tc>
        <w:tc>
          <w:tcPr>
            <w:tcW w:w="9054" w:type="dxa"/>
          </w:tcPr>
          <w:p w:rsidR="00A56FE9" w:rsidRDefault="00A56FE9">
            <w:pPr>
              <w:pStyle w:val="TableParagraph"/>
              <w:rPr>
                <w:sz w:val="18"/>
              </w:rPr>
            </w:pPr>
          </w:p>
        </w:tc>
      </w:tr>
      <w:tr w:rsidR="00A56FE9">
        <w:trPr>
          <w:trHeight w:val="230"/>
        </w:trPr>
        <w:tc>
          <w:tcPr>
            <w:tcW w:w="2127" w:type="dxa"/>
            <w:shd w:val="clear" w:color="auto" w:fill="F1F1F1"/>
          </w:tcPr>
          <w:p w:rsidR="00A56FE9" w:rsidRDefault="00000000">
            <w:pPr>
              <w:pStyle w:val="TableParagraph"/>
              <w:spacing w:line="210" w:lineRule="exact"/>
              <w:ind w:left="105"/>
              <w:rPr>
                <w:sz w:val="20"/>
              </w:rPr>
            </w:pPr>
            <w:r>
              <w:rPr>
                <w:b/>
                <w:sz w:val="20"/>
              </w:rPr>
              <w:t>18.</w:t>
            </w:r>
            <w:r>
              <w:rPr>
                <w:b/>
                <w:spacing w:val="-1"/>
                <w:sz w:val="20"/>
              </w:rPr>
              <w:t xml:space="preserve"> </w:t>
            </w:r>
            <w:r>
              <w:rPr>
                <w:sz w:val="20"/>
              </w:rPr>
              <w:t>Long-term</w:t>
            </w:r>
            <w:r>
              <w:rPr>
                <w:spacing w:val="-5"/>
                <w:sz w:val="20"/>
              </w:rPr>
              <w:t xml:space="preserve"> </w:t>
            </w:r>
            <w:r>
              <w:rPr>
                <w:sz w:val="20"/>
              </w:rPr>
              <w:t>care</w:t>
            </w:r>
          </w:p>
        </w:tc>
        <w:tc>
          <w:tcPr>
            <w:tcW w:w="3356" w:type="dxa"/>
          </w:tcPr>
          <w:p w:rsidR="00A56FE9" w:rsidRDefault="00A56FE9">
            <w:pPr>
              <w:pStyle w:val="TableParagraph"/>
              <w:rPr>
                <w:sz w:val="16"/>
              </w:rPr>
            </w:pPr>
          </w:p>
        </w:tc>
        <w:tc>
          <w:tcPr>
            <w:tcW w:w="9054" w:type="dxa"/>
          </w:tcPr>
          <w:p w:rsidR="00A56FE9" w:rsidRDefault="00A56FE9">
            <w:pPr>
              <w:pStyle w:val="TableParagraph"/>
              <w:rPr>
                <w:sz w:val="16"/>
              </w:rPr>
            </w:pPr>
          </w:p>
        </w:tc>
      </w:tr>
      <w:tr w:rsidR="00A56FE9">
        <w:trPr>
          <w:trHeight w:val="830"/>
        </w:trPr>
        <w:tc>
          <w:tcPr>
            <w:tcW w:w="2127" w:type="dxa"/>
            <w:shd w:val="clear" w:color="auto" w:fill="F1F1F1"/>
          </w:tcPr>
          <w:p w:rsidR="00A56FE9" w:rsidRDefault="00000000">
            <w:pPr>
              <w:pStyle w:val="TableParagraph"/>
              <w:ind w:left="105" w:right="631"/>
              <w:rPr>
                <w:sz w:val="20"/>
              </w:rPr>
            </w:pPr>
            <w:r>
              <w:rPr>
                <w:b/>
                <w:sz w:val="20"/>
              </w:rPr>
              <w:t xml:space="preserve">19. </w:t>
            </w:r>
            <w:r>
              <w:rPr>
                <w:sz w:val="20"/>
              </w:rPr>
              <w:t>Housing and</w:t>
            </w:r>
            <w:r>
              <w:rPr>
                <w:spacing w:val="1"/>
                <w:sz w:val="20"/>
              </w:rPr>
              <w:t xml:space="preserve"> </w:t>
            </w:r>
            <w:r>
              <w:rPr>
                <w:sz w:val="20"/>
              </w:rPr>
              <w:t>assistance</w:t>
            </w:r>
            <w:r>
              <w:rPr>
                <w:spacing w:val="-8"/>
                <w:sz w:val="20"/>
              </w:rPr>
              <w:t xml:space="preserve"> </w:t>
            </w:r>
            <w:r>
              <w:rPr>
                <w:sz w:val="20"/>
              </w:rPr>
              <w:t>for</w:t>
            </w:r>
            <w:r>
              <w:rPr>
                <w:spacing w:val="-9"/>
                <w:sz w:val="20"/>
              </w:rPr>
              <w:t xml:space="preserve"> </w:t>
            </w:r>
            <w:r>
              <w:rPr>
                <w:sz w:val="20"/>
              </w:rPr>
              <w:t>the</w:t>
            </w:r>
            <w:r>
              <w:rPr>
                <w:spacing w:val="-47"/>
                <w:sz w:val="20"/>
              </w:rPr>
              <w:t xml:space="preserve"> </w:t>
            </w:r>
            <w:r>
              <w:rPr>
                <w:sz w:val="20"/>
              </w:rPr>
              <w:t>homeless</w:t>
            </w:r>
          </w:p>
        </w:tc>
        <w:tc>
          <w:tcPr>
            <w:tcW w:w="3356" w:type="dxa"/>
            <w:shd w:val="clear" w:color="auto" w:fill="C5EECE"/>
          </w:tcPr>
          <w:p w:rsidR="00A56FE9" w:rsidRDefault="00000000">
            <w:pPr>
              <w:pStyle w:val="TableParagraph"/>
              <w:ind w:left="105" w:right="176"/>
              <w:rPr>
                <w:sz w:val="18"/>
              </w:rPr>
            </w:pPr>
            <w:r>
              <w:rPr>
                <w:sz w:val="18"/>
              </w:rPr>
              <w:t>The online platform for food waste</w:t>
            </w:r>
            <w:r>
              <w:rPr>
                <w:spacing w:val="1"/>
                <w:sz w:val="18"/>
              </w:rPr>
              <w:t xml:space="preserve"> </w:t>
            </w:r>
            <w:r>
              <w:rPr>
                <w:sz w:val="18"/>
              </w:rPr>
              <w:t>prevention</w:t>
            </w:r>
            <w:r>
              <w:rPr>
                <w:spacing w:val="-1"/>
                <w:sz w:val="18"/>
              </w:rPr>
              <w:t xml:space="preserve"> </w:t>
            </w:r>
            <w:r>
              <w:rPr>
                <w:sz w:val="18"/>
              </w:rPr>
              <w:t>and</w:t>
            </w:r>
            <w:r>
              <w:rPr>
                <w:spacing w:val="-3"/>
                <w:sz w:val="18"/>
              </w:rPr>
              <w:t xml:space="preserve"> </w:t>
            </w:r>
            <w:r>
              <w:rPr>
                <w:sz w:val="18"/>
              </w:rPr>
              <w:t>upgraded</w:t>
            </w:r>
            <w:r>
              <w:rPr>
                <w:spacing w:val="-3"/>
                <w:sz w:val="18"/>
              </w:rPr>
              <w:t xml:space="preserve"> </w:t>
            </w:r>
            <w:r>
              <w:rPr>
                <w:sz w:val="18"/>
              </w:rPr>
              <w:t>food</w:t>
            </w:r>
            <w:r>
              <w:rPr>
                <w:spacing w:val="-2"/>
                <w:sz w:val="18"/>
              </w:rPr>
              <w:t xml:space="preserve"> </w:t>
            </w:r>
            <w:r>
              <w:rPr>
                <w:sz w:val="18"/>
              </w:rPr>
              <w:t>donation</w:t>
            </w:r>
            <w:r>
              <w:rPr>
                <w:spacing w:val="-1"/>
                <w:sz w:val="18"/>
              </w:rPr>
              <w:t xml:space="preserve"> </w:t>
            </w:r>
            <w:r>
              <w:rPr>
                <w:sz w:val="18"/>
              </w:rPr>
              <w:t>IT</w:t>
            </w:r>
            <w:r>
              <w:rPr>
                <w:spacing w:val="-42"/>
                <w:sz w:val="18"/>
              </w:rPr>
              <w:t xml:space="preserve"> </w:t>
            </w:r>
            <w:r>
              <w:rPr>
                <w:sz w:val="18"/>
              </w:rPr>
              <w:t>system</w:t>
            </w:r>
          </w:p>
          <w:p w:rsidR="00A56FE9" w:rsidRDefault="00000000">
            <w:pPr>
              <w:pStyle w:val="TableParagraph"/>
              <w:spacing w:line="192" w:lineRule="exact"/>
              <w:ind w:left="105"/>
              <w:rPr>
                <w:i/>
                <w:sz w:val="18"/>
              </w:rPr>
            </w:pPr>
            <w:r>
              <w:rPr>
                <w:i/>
                <w:spacing w:val="-6"/>
                <w:sz w:val="18"/>
              </w:rPr>
              <w:t>Also</w:t>
            </w:r>
            <w:r>
              <w:rPr>
                <w:i/>
                <w:spacing w:val="-11"/>
                <w:sz w:val="18"/>
              </w:rPr>
              <w:t xml:space="preserve"> </w:t>
            </w:r>
            <w:r>
              <w:rPr>
                <w:i/>
                <w:spacing w:val="-5"/>
                <w:sz w:val="18"/>
              </w:rPr>
              <w:t>contributes</w:t>
            </w:r>
            <w:r>
              <w:rPr>
                <w:i/>
                <w:spacing w:val="-15"/>
                <w:sz w:val="18"/>
              </w:rPr>
              <w:t xml:space="preserve"> </w:t>
            </w:r>
            <w:r>
              <w:rPr>
                <w:i/>
                <w:spacing w:val="-5"/>
                <w:sz w:val="18"/>
              </w:rPr>
              <w:t>to</w:t>
            </w:r>
            <w:r>
              <w:rPr>
                <w:i/>
                <w:spacing w:val="-13"/>
                <w:sz w:val="18"/>
              </w:rPr>
              <w:t xml:space="preserve"> </w:t>
            </w:r>
            <w:r>
              <w:rPr>
                <w:i/>
                <w:spacing w:val="-5"/>
                <w:sz w:val="18"/>
              </w:rPr>
              <w:t>achieving</w:t>
            </w:r>
            <w:r>
              <w:rPr>
                <w:i/>
                <w:spacing w:val="-11"/>
                <w:sz w:val="18"/>
              </w:rPr>
              <w:t xml:space="preserve"> </w:t>
            </w:r>
            <w:r>
              <w:rPr>
                <w:i/>
                <w:spacing w:val="-5"/>
                <w:sz w:val="18"/>
              </w:rPr>
              <w:t>Principles</w:t>
            </w:r>
            <w:r>
              <w:rPr>
                <w:i/>
                <w:spacing w:val="-14"/>
                <w:sz w:val="18"/>
              </w:rPr>
              <w:t xml:space="preserve"> </w:t>
            </w:r>
            <w:r>
              <w:rPr>
                <w:i/>
                <w:spacing w:val="-5"/>
                <w:sz w:val="18"/>
              </w:rPr>
              <w:t>2</w:t>
            </w:r>
            <w:r>
              <w:rPr>
                <w:i/>
                <w:spacing w:val="-13"/>
                <w:sz w:val="18"/>
              </w:rPr>
              <w:t xml:space="preserve"> </w:t>
            </w:r>
            <w:r>
              <w:rPr>
                <w:i/>
                <w:spacing w:val="-5"/>
                <w:sz w:val="18"/>
              </w:rPr>
              <w:t>and</w:t>
            </w:r>
            <w:r>
              <w:rPr>
                <w:i/>
                <w:spacing w:val="-11"/>
                <w:sz w:val="18"/>
              </w:rPr>
              <w:t xml:space="preserve"> </w:t>
            </w:r>
            <w:r>
              <w:rPr>
                <w:i/>
                <w:spacing w:val="-5"/>
                <w:sz w:val="18"/>
              </w:rPr>
              <w:t>3</w:t>
            </w:r>
          </w:p>
        </w:tc>
        <w:tc>
          <w:tcPr>
            <w:tcW w:w="9054" w:type="dxa"/>
            <w:shd w:val="clear" w:color="auto" w:fill="C5EECE"/>
          </w:tcPr>
          <w:p w:rsidR="00A56FE9" w:rsidRDefault="00000000">
            <w:pPr>
              <w:pStyle w:val="TableParagraph"/>
              <w:spacing w:line="206" w:lineRule="exact"/>
              <w:ind w:left="107" w:right="161"/>
              <w:rPr>
                <w:sz w:val="18"/>
              </w:rPr>
            </w:pPr>
            <w:r>
              <w:rPr>
                <w:sz w:val="18"/>
              </w:rPr>
              <w:t>The online platform on food waste prevention and reduction shall be launched to disseminate best practices, raise</w:t>
            </w:r>
            <w:r>
              <w:rPr>
                <w:spacing w:val="1"/>
                <w:sz w:val="18"/>
              </w:rPr>
              <w:t xml:space="preserve"> </w:t>
            </w:r>
            <w:r>
              <w:rPr>
                <w:sz w:val="18"/>
              </w:rPr>
              <w:t>awareness</w:t>
            </w:r>
            <w:r>
              <w:rPr>
                <w:spacing w:val="-3"/>
                <w:sz w:val="18"/>
              </w:rPr>
              <w:t xml:space="preserve"> </w:t>
            </w:r>
            <w:r>
              <w:rPr>
                <w:sz w:val="18"/>
              </w:rPr>
              <w:t>and educate</w:t>
            </w:r>
            <w:r>
              <w:rPr>
                <w:spacing w:val="-1"/>
                <w:sz w:val="18"/>
              </w:rPr>
              <w:t xml:space="preserve"> </w:t>
            </w:r>
            <w:r>
              <w:rPr>
                <w:sz w:val="18"/>
              </w:rPr>
              <w:t>about</w:t>
            </w:r>
            <w:r>
              <w:rPr>
                <w:spacing w:val="-1"/>
                <w:sz w:val="18"/>
              </w:rPr>
              <w:t xml:space="preserve"> </w:t>
            </w:r>
            <w:r>
              <w:rPr>
                <w:sz w:val="18"/>
              </w:rPr>
              <w:t>the</w:t>
            </w:r>
            <w:r>
              <w:rPr>
                <w:spacing w:val="-2"/>
                <w:sz w:val="18"/>
              </w:rPr>
              <w:t xml:space="preserve"> </w:t>
            </w:r>
            <w:r>
              <w:rPr>
                <w:sz w:val="18"/>
              </w:rPr>
              <w:t>issue</w:t>
            </w:r>
            <w:r>
              <w:rPr>
                <w:spacing w:val="-2"/>
                <w:sz w:val="18"/>
              </w:rPr>
              <w:t xml:space="preserve"> </w:t>
            </w:r>
            <w:r>
              <w:rPr>
                <w:sz w:val="18"/>
              </w:rPr>
              <w:t>of</w:t>
            </w:r>
            <w:r>
              <w:rPr>
                <w:spacing w:val="-3"/>
                <w:sz w:val="18"/>
              </w:rPr>
              <w:t xml:space="preserve"> </w:t>
            </w:r>
            <w:r>
              <w:rPr>
                <w:sz w:val="18"/>
              </w:rPr>
              <w:t>food waste</w:t>
            </w:r>
            <w:r>
              <w:rPr>
                <w:spacing w:val="-2"/>
                <w:sz w:val="18"/>
              </w:rPr>
              <w:t xml:space="preserve"> </w:t>
            </w:r>
            <w:r>
              <w:rPr>
                <w:sz w:val="18"/>
              </w:rPr>
              <w:t>and food donation.</w:t>
            </w:r>
            <w:r>
              <w:rPr>
                <w:spacing w:val="-1"/>
                <w:sz w:val="18"/>
              </w:rPr>
              <w:t xml:space="preserve"> </w:t>
            </w:r>
            <w:r>
              <w:rPr>
                <w:sz w:val="18"/>
              </w:rPr>
              <w:t>The</w:t>
            </w:r>
            <w:r>
              <w:rPr>
                <w:spacing w:val="-3"/>
                <w:sz w:val="18"/>
              </w:rPr>
              <w:t xml:space="preserve"> </w:t>
            </w:r>
            <w:r>
              <w:rPr>
                <w:sz w:val="18"/>
              </w:rPr>
              <w:t>food</w:t>
            </w:r>
            <w:r>
              <w:rPr>
                <w:spacing w:val="-2"/>
                <w:sz w:val="18"/>
              </w:rPr>
              <w:t xml:space="preserve"> </w:t>
            </w:r>
            <w:r>
              <w:rPr>
                <w:sz w:val="18"/>
              </w:rPr>
              <w:t>donation IT</w:t>
            </w:r>
            <w:r>
              <w:rPr>
                <w:spacing w:val="-3"/>
                <w:sz w:val="18"/>
              </w:rPr>
              <w:t xml:space="preserve"> </w:t>
            </w:r>
            <w:r>
              <w:rPr>
                <w:sz w:val="18"/>
              </w:rPr>
              <w:t>system,</w:t>
            </w:r>
            <w:r>
              <w:rPr>
                <w:spacing w:val="2"/>
                <w:sz w:val="18"/>
              </w:rPr>
              <w:t xml:space="preserve"> </w:t>
            </w:r>
            <w:r>
              <w:rPr>
                <w:sz w:val="18"/>
              </w:rPr>
              <w:t>which is</w:t>
            </w:r>
            <w:r>
              <w:rPr>
                <w:spacing w:val="-1"/>
                <w:sz w:val="18"/>
              </w:rPr>
              <w:t xml:space="preserve"> </w:t>
            </w:r>
            <w:r>
              <w:rPr>
                <w:sz w:val="18"/>
              </w:rPr>
              <w:t>already</w:t>
            </w:r>
            <w:r>
              <w:rPr>
                <w:spacing w:val="-5"/>
                <w:sz w:val="18"/>
              </w:rPr>
              <w:t xml:space="preserve"> </w:t>
            </w:r>
            <w:r>
              <w:rPr>
                <w:sz w:val="18"/>
              </w:rPr>
              <w:t>in</w:t>
            </w:r>
            <w:r>
              <w:rPr>
                <w:spacing w:val="-42"/>
                <w:sz w:val="18"/>
              </w:rPr>
              <w:t xml:space="preserve"> </w:t>
            </w:r>
            <w:r>
              <w:rPr>
                <w:sz w:val="18"/>
              </w:rPr>
              <w:t>operation, shall be upgraded with new functionalities, of which the possibility of regional governance of the system and</w:t>
            </w:r>
            <w:r>
              <w:rPr>
                <w:spacing w:val="1"/>
                <w:sz w:val="18"/>
              </w:rPr>
              <w:t xml:space="preserve"> </w:t>
            </w:r>
            <w:r>
              <w:rPr>
                <w:sz w:val="18"/>
              </w:rPr>
              <w:t>statistical</w:t>
            </w:r>
            <w:r>
              <w:rPr>
                <w:spacing w:val="-1"/>
                <w:sz w:val="18"/>
              </w:rPr>
              <w:t xml:space="preserve"> </w:t>
            </w:r>
            <w:r>
              <w:rPr>
                <w:sz w:val="18"/>
              </w:rPr>
              <w:t>representation</w:t>
            </w:r>
            <w:r>
              <w:rPr>
                <w:spacing w:val="-1"/>
                <w:sz w:val="18"/>
              </w:rPr>
              <w:t xml:space="preserve"> </w:t>
            </w:r>
            <w:r>
              <w:rPr>
                <w:sz w:val="18"/>
              </w:rPr>
              <w:t>of</w:t>
            </w:r>
            <w:r>
              <w:rPr>
                <w:spacing w:val="-2"/>
                <w:sz w:val="18"/>
              </w:rPr>
              <w:t xml:space="preserve"> </w:t>
            </w:r>
            <w:r>
              <w:rPr>
                <w:sz w:val="18"/>
              </w:rPr>
              <w:t>data are</w:t>
            </w:r>
            <w:r>
              <w:rPr>
                <w:spacing w:val="-1"/>
                <w:sz w:val="18"/>
              </w:rPr>
              <w:t xml:space="preserve"> </w:t>
            </w:r>
            <w:r>
              <w:rPr>
                <w:sz w:val="18"/>
              </w:rPr>
              <w:t>highlighted.</w:t>
            </w:r>
          </w:p>
        </w:tc>
      </w:tr>
      <w:tr w:rsidR="00A56FE9">
        <w:trPr>
          <w:trHeight w:val="1034"/>
        </w:trPr>
        <w:tc>
          <w:tcPr>
            <w:tcW w:w="2127" w:type="dxa"/>
            <w:vMerge w:val="restart"/>
            <w:shd w:val="clear" w:color="auto" w:fill="F1F1F1"/>
          </w:tcPr>
          <w:p w:rsidR="00A56FE9" w:rsidRDefault="00000000">
            <w:pPr>
              <w:pStyle w:val="TableParagraph"/>
              <w:spacing w:line="237" w:lineRule="auto"/>
              <w:ind w:left="105" w:right="201"/>
              <w:rPr>
                <w:sz w:val="20"/>
              </w:rPr>
            </w:pPr>
            <w:r>
              <w:rPr>
                <w:b/>
                <w:sz w:val="20"/>
              </w:rPr>
              <w:t>20.</w:t>
            </w:r>
            <w:r>
              <w:rPr>
                <w:b/>
                <w:spacing w:val="-6"/>
                <w:sz w:val="20"/>
              </w:rPr>
              <w:t xml:space="preserve"> </w:t>
            </w:r>
            <w:r>
              <w:rPr>
                <w:sz w:val="20"/>
              </w:rPr>
              <w:t>Access</w:t>
            </w:r>
            <w:r>
              <w:rPr>
                <w:spacing w:val="-8"/>
                <w:sz w:val="20"/>
              </w:rPr>
              <w:t xml:space="preserve"> </w:t>
            </w:r>
            <w:r>
              <w:rPr>
                <w:sz w:val="20"/>
              </w:rPr>
              <w:t>to</w:t>
            </w:r>
            <w:r>
              <w:rPr>
                <w:spacing w:val="-6"/>
                <w:sz w:val="20"/>
              </w:rPr>
              <w:t xml:space="preserve"> </w:t>
            </w:r>
            <w:r>
              <w:rPr>
                <w:sz w:val="20"/>
              </w:rPr>
              <w:t>essential</w:t>
            </w:r>
            <w:r>
              <w:rPr>
                <w:spacing w:val="-47"/>
                <w:sz w:val="20"/>
              </w:rPr>
              <w:t xml:space="preserve"> </w:t>
            </w:r>
            <w:r>
              <w:rPr>
                <w:sz w:val="20"/>
              </w:rPr>
              <w:t>services</w:t>
            </w:r>
          </w:p>
        </w:tc>
        <w:tc>
          <w:tcPr>
            <w:tcW w:w="3356" w:type="dxa"/>
            <w:shd w:val="clear" w:color="auto" w:fill="C5EECE"/>
          </w:tcPr>
          <w:p w:rsidR="00A56FE9" w:rsidRDefault="00000000">
            <w:pPr>
              <w:pStyle w:val="TableParagraph"/>
              <w:ind w:left="105" w:right="152"/>
              <w:rPr>
                <w:sz w:val="18"/>
              </w:rPr>
            </w:pPr>
            <w:r>
              <w:rPr>
                <w:sz w:val="18"/>
              </w:rPr>
              <w:t>Entry into force of legislation and/or</w:t>
            </w:r>
            <w:r>
              <w:rPr>
                <w:spacing w:val="1"/>
                <w:sz w:val="18"/>
              </w:rPr>
              <w:t xml:space="preserve"> </w:t>
            </w:r>
            <w:r>
              <w:rPr>
                <w:sz w:val="18"/>
              </w:rPr>
              <w:t>regulation to improve uptake of renewable</w:t>
            </w:r>
            <w:r>
              <w:rPr>
                <w:spacing w:val="-42"/>
                <w:sz w:val="18"/>
              </w:rPr>
              <w:t xml:space="preserve"> </w:t>
            </w:r>
            <w:r>
              <w:rPr>
                <w:sz w:val="18"/>
              </w:rPr>
              <w:t>energy</w:t>
            </w:r>
            <w:r>
              <w:rPr>
                <w:spacing w:val="-5"/>
                <w:sz w:val="18"/>
              </w:rPr>
              <w:t xml:space="preserve"> </w:t>
            </w:r>
            <w:r>
              <w:rPr>
                <w:sz w:val="18"/>
              </w:rPr>
              <w:t>sources,</w:t>
            </w:r>
            <w:r>
              <w:rPr>
                <w:spacing w:val="-1"/>
                <w:sz w:val="18"/>
              </w:rPr>
              <w:t xml:space="preserve"> </w:t>
            </w:r>
            <w:r>
              <w:rPr>
                <w:sz w:val="18"/>
              </w:rPr>
              <w:t>including</w:t>
            </w:r>
            <w:r>
              <w:rPr>
                <w:spacing w:val="-1"/>
                <w:sz w:val="18"/>
              </w:rPr>
              <w:t xml:space="preserve"> </w:t>
            </w:r>
            <w:r>
              <w:rPr>
                <w:sz w:val="18"/>
              </w:rPr>
              <w:t>introduction</w:t>
            </w:r>
            <w:r>
              <w:rPr>
                <w:spacing w:val="-2"/>
                <w:sz w:val="18"/>
              </w:rPr>
              <w:t xml:space="preserve"> </w:t>
            </w:r>
            <w:r>
              <w:rPr>
                <w:sz w:val="18"/>
              </w:rPr>
              <w:t>of</w:t>
            </w:r>
            <w:r>
              <w:rPr>
                <w:spacing w:val="-2"/>
                <w:sz w:val="18"/>
              </w:rPr>
              <w:t xml:space="preserve"> </w:t>
            </w:r>
            <w:r>
              <w:rPr>
                <w:sz w:val="18"/>
              </w:rPr>
              <w:t>a</w:t>
            </w:r>
            <w:r>
              <w:rPr>
                <w:spacing w:val="-42"/>
                <w:sz w:val="18"/>
              </w:rPr>
              <w:t xml:space="preserve"> </w:t>
            </w:r>
            <w:r>
              <w:rPr>
                <w:sz w:val="18"/>
              </w:rPr>
              <w:t>premium-based</w:t>
            </w:r>
            <w:r>
              <w:rPr>
                <w:spacing w:val="-1"/>
                <w:sz w:val="18"/>
              </w:rPr>
              <w:t xml:space="preserve"> </w:t>
            </w:r>
            <w:r>
              <w:rPr>
                <w:sz w:val="18"/>
              </w:rPr>
              <w:t>system</w:t>
            </w:r>
            <w:r>
              <w:rPr>
                <w:spacing w:val="-2"/>
                <w:sz w:val="18"/>
              </w:rPr>
              <w:t xml:space="preserve"> </w:t>
            </w:r>
            <w:r>
              <w:rPr>
                <w:sz w:val="18"/>
              </w:rPr>
              <w:t>for</w:t>
            </w:r>
            <w:r>
              <w:rPr>
                <w:spacing w:val="-1"/>
                <w:sz w:val="18"/>
              </w:rPr>
              <w:t xml:space="preserve"> </w:t>
            </w:r>
            <w:r>
              <w:rPr>
                <w:sz w:val="18"/>
              </w:rPr>
              <w:t>the</w:t>
            </w:r>
            <w:r>
              <w:rPr>
                <w:spacing w:val="-2"/>
                <w:sz w:val="18"/>
              </w:rPr>
              <w:t xml:space="preserve"> </w:t>
            </w:r>
            <w:r>
              <w:rPr>
                <w:sz w:val="18"/>
              </w:rPr>
              <w:t>support</w:t>
            </w:r>
            <w:r>
              <w:rPr>
                <w:spacing w:val="-1"/>
                <w:sz w:val="18"/>
              </w:rPr>
              <w:t xml:space="preserve"> </w:t>
            </w:r>
            <w:r>
              <w:rPr>
                <w:sz w:val="18"/>
              </w:rPr>
              <w:t>of</w:t>
            </w:r>
          </w:p>
          <w:p w:rsidR="00A56FE9" w:rsidRDefault="00000000">
            <w:pPr>
              <w:pStyle w:val="TableParagraph"/>
              <w:spacing w:line="191" w:lineRule="exact"/>
              <w:ind w:left="105"/>
              <w:rPr>
                <w:sz w:val="18"/>
              </w:rPr>
            </w:pPr>
            <w:r>
              <w:rPr>
                <w:sz w:val="18"/>
              </w:rPr>
              <w:t>renewable</w:t>
            </w:r>
            <w:r>
              <w:rPr>
                <w:spacing w:val="-1"/>
                <w:sz w:val="18"/>
              </w:rPr>
              <w:t xml:space="preserve"> </w:t>
            </w:r>
            <w:r>
              <w:rPr>
                <w:sz w:val="18"/>
              </w:rPr>
              <w:t>energy</w:t>
            </w:r>
            <w:r>
              <w:rPr>
                <w:spacing w:val="-5"/>
                <w:sz w:val="18"/>
              </w:rPr>
              <w:t xml:space="preserve"> </w:t>
            </w:r>
            <w:r>
              <w:rPr>
                <w:sz w:val="18"/>
              </w:rPr>
              <w:t>sources.</w:t>
            </w:r>
          </w:p>
        </w:tc>
        <w:tc>
          <w:tcPr>
            <w:tcW w:w="9054" w:type="dxa"/>
            <w:shd w:val="clear" w:color="auto" w:fill="C5EECE"/>
          </w:tcPr>
          <w:p w:rsidR="00A56FE9" w:rsidRDefault="00000000">
            <w:pPr>
              <w:pStyle w:val="TableParagraph"/>
              <w:ind w:left="107" w:right="117"/>
              <w:rPr>
                <w:sz w:val="18"/>
              </w:rPr>
            </w:pPr>
            <w:r>
              <w:rPr>
                <w:sz w:val="18"/>
              </w:rPr>
              <w:t>Revised Electricity Market Act and High-Efficiency Cogeneration Act shall alleviate barriers and administrative</w:t>
            </w:r>
            <w:r>
              <w:rPr>
                <w:spacing w:val="1"/>
                <w:sz w:val="18"/>
              </w:rPr>
              <w:t xml:space="preserve"> </w:t>
            </w:r>
            <w:r>
              <w:rPr>
                <w:sz w:val="18"/>
              </w:rPr>
              <w:t>procedures restraining higher uptake of renewable energy sources, including measures to promote the renewable energy</w:t>
            </w:r>
            <w:r>
              <w:rPr>
                <w:spacing w:val="1"/>
                <w:sz w:val="18"/>
              </w:rPr>
              <w:t xml:space="preserve"> </w:t>
            </w:r>
            <w:r>
              <w:rPr>
                <w:sz w:val="18"/>
              </w:rPr>
              <w:t>self-consumption and renewable energy communities. Premium-based system for the support of renewable energy sources</w:t>
            </w:r>
            <w:r>
              <w:rPr>
                <w:spacing w:val="-43"/>
                <w:sz w:val="18"/>
              </w:rPr>
              <w:t xml:space="preserve"> </w:t>
            </w:r>
            <w:r>
              <w:rPr>
                <w:sz w:val="18"/>
              </w:rPr>
              <w:t>will be</w:t>
            </w:r>
            <w:r>
              <w:rPr>
                <w:spacing w:val="-2"/>
                <w:sz w:val="18"/>
              </w:rPr>
              <w:t xml:space="preserve"> </w:t>
            </w:r>
            <w:r>
              <w:rPr>
                <w:sz w:val="18"/>
              </w:rPr>
              <w:t>fully</w:t>
            </w:r>
            <w:r>
              <w:rPr>
                <w:spacing w:val="-4"/>
                <w:sz w:val="18"/>
              </w:rPr>
              <w:t xml:space="preserve"> </w:t>
            </w:r>
            <w:r>
              <w:rPr>
                <w:sz w:val="18"/>
              </w:rPr>
              <w:t>operational.</w:t>
            </w:r>
          </w:p>
        </w:tc>
      </w:tr>
      <w:tr w:rsidR="00A56FE9">
        <w:trPr>
          <w:trHeight w:val="827"/>
        </w:trPr>
        <w:tc>
          <w:tcPr>
            <w:tcW w:w="2127" w:type="dxa"/>
            <w:vMerge/>
            <w:tcBorders>
              <w:top w:val="nil"/>
            </w:tcBorders>
            <w:shd w:val="clear" w:color="auto" w:fill="F1F1F1"/>
          </w:tcPr>
          <w:p w:rsidR="00A56FE9" w:rsidRDefault="00A56FE9">
            <w:pPr>
              <w:rPr>
                <w:sz w:val="2"/>
                <w:szCs w:val="2"/>
              </w:rPr>
            </w:pPr>
          </w:p>
        </w:tc>
        <w:tc>
          <w:tcPr>
            <w:tcW w:w="3356" w:type="dxa"/>
            <w:shd w:val="clear" w:color="auto" w:fill="C5EECE"/>
          </w:tcPr>
          <w:p w:rsidR="00A56FE9" w:rsidRDefault="00000000">
            <w:pPr>
              <w:pStyle w:val="TableParagraph"/>
              <w:ind w:left="105" w:right="194"/>
              <w:rPr>
                <w:sz w:val="18"/>
              </w:rPr>
            </w:pPr>
            <w:r>
              <w:rPr>
                <w:sz w:val="18"/>
              </w:rPr>
              <w:t>The</w:t>
            </w:r>
            <w:r>
              <w:rPr>
                <w:spacing w:val="-3"/>
                <w:sz w:val="18"/>
              </w:rPr>
              <w:t xml:space="preserve"> </w:t>
            </w:r>
            <w:r>
              <w:rPr>
                <w:sz w:val="18"/>
              </w:rPr>
              <w:t>National</w:t>
            </w:r>
            <w:r>
              <w:rPr>
                <w:spacing w:val="-3"/>
                <w:sz w:val="18"/>
              </w:rPr>
              <w:t xml:space="preserve"> </w:t>
            </w:r>
            <w:r>
              <w:rPr>
                <w:sz w:val="18"/>
              </w:rPr>
              <w:t>Plan</w:t>
            </w:r>
            <w:r>
              <w:rPr>
                <w:spacing w:val="-3"/>
                <w:sz w:val="18"/>
              </w:rPr>
              <w:t xml:space="preserve"> </w:t>
            </w:r>
            <w:r>
              <w:rPr>
                <w:sz w:val="18"/>
              </w:rPr>
              <w:t>for</w:t>
            </w:r>
            <w:r>
              <w:rPr>
                <w:spacing w:val="-1"/>
                <w:sz w:val="18"/>
              </w:rPr>
              <w:t xml:space="preserve"> </w:t>
            </w:r>
            <w:r>
              <w:rPr>
                <w:sz w:val="18"/>
              </w:rPr>
              <w:t>the</w:t>
            </w:r>
            <w:r>
              <w:rPr>
                <w:spacing w:val="-2"/>
                <w:sz w:val="18"/>
              </w:rPr>
              <w:t xml:space="preserve"> </w:t>
            </w:r>
            <w:r>
              <w:rPr>
                <w:sz w:val="18"/>
              </w:rPr>
              <w:t>Development</w:t>
            </w:r>
            <w:r>
              <w:rPr>
                <w:spacing w:val="-1"/>
                <w:sz w:val="18"/>
              </w:rPr>
              <w:t xml:space="preserve"> </w:t>
            </w:r>
            <w:r>
              <w:rPr>
                <w:sz w:val="18"/>
              </w:rPr>
              <w:t>of</w:t>
            </w:r>
            <w:r>
              <w:rPr>
                <w:spacing w:val="-42"/>
                <w:sz w:val="18"/>
              </w:rPr>
              <w:t xml:space="preserve"> </w:t>
            </w:r>
            <w:r>
              <w:rPr>
                <w:sz w:val="18"/>
              </w:rPr>
              <w:t>Railway Infrastructure and the National</w:t>
            </w:r>
            <w:r>
              <w:rPr>
                <w:spacing w:val="1"/>
                <w:sz w:val="18"/>
              </w:rPr>
              <w:t xml:space="preserve"> </w:t>
            </w:r>
            <w:r>
              <w:rPr>
                <w:sz w:val="18"/>
              </w:rPr>
              <w:t>Management</w:t>
            </w:r>
            <w:r>
              <w:rPr>
                <w:spacing w:val="-1"/>
                <w:sz w:val="18"/>
              </w:rPr>
              <w:t xml:space="preserve"> </w:t>
            </w:r>
            <w:r>
              <w:rPr>
                <w:sz w:val="18"/>
              </w:rPr>
              <w:t>Plan</w:t>
            </w:r>
            <w:r>
              <w:rPr>
                <w:spacing w:val="-2"/>
                <w:sz w:val="18"/>
              </w:rPr>
              <w:t xml:space="preserve"> </w:t>
            </w:r>
            <w:r>
              <w:rPr>
                <w:sz w:val="18"/>
              </w:rPr>
              <w:t>for</w:t>
            </w:r>
            <w:r>
              <w:rPr>
                <w:spacing w:val="-1"/>
                <w:sz w:val="18"/>
              </w:rPr>
              <w:t xml:space="preserve"> </w:t>
            </w:r>
            <w:r>
              <w:rPr>
                <w:sz w:val="18"/>
              </w:rPr>
              <w:t>Railway</w:t>
            </w:r>
          </w:p>
          <w:p w:rsidR="00A56FE9" w:rsidRDefault="00000000">
            <w:pPr>
              <w:pStyle w:val="TableParagraph"/>
              <w:spacing w:line="191" w:lineRule="exact"/>
              <w:ind w:left="105"/>
              <w:rPr>
                <w:sz w:val="18"/>
              </w:rPr>
            </w:pPr>
            <w:r>
              <w:rPr>
                <w:sz w:val="18"/>
              </w:rPr>
              <w:t>Infrastructure</w:t>
            </w:r>
            <w:r>
              <w:rPr>
                <w:spacing w:val="-4"/>
                <w:sz w:val="18"/>
              </w:rPr>
              <w:t xml:space="preserve"> </w:t>
            </w:r>
            <w:r>
              <w:rPr>
                <w:sz w:val="18"/>
              </w:rPr>
              <w:t>and</w:t>
            </w:r>
            <w:r>
              <w:rPr>
                <w:spacing w:val="-1"/>
                <w:sz w:val="18"/>
              </w:rPr>
              <w:t xml:space="preserve"> </w:t>
            </w:r>
            <w:r>
              <w:rPr>
                <w:sz w:val="18"/>
              </w:rPr>
              <w:t>Service</w:t>
            </w:r>
            <w:r>
              <w:rPr>
                <w:spacing w:val="-3"/>
                <w:sz w:val="18"/>
              </w:rPr>
              <w:t xml:space="preserve"> </w:t>
            </w:r>
            <w:r>
              <w:rPr>
                <w:sz w:val="18"/>
              </w:rPr>
              <w:t>Facilities</w:t>
            </w:r>
          </w:p>
        </w:tc>
        <w:tc>
          <w:tcPr>
            <w:tcW w:w="9054" w:type="dxa"/>
            <w:shd w:val="clear" w:color="auto" w:fill="C5EECE"/>
          </w:tcPr>
          <w:p w:rsidR="00A56FE9" w:rsidRDefault="00000000">
            <w:pPr>
              <w:pStyle w:val="TableParagraph"/>
              <w:ind w:left="107" w:right="180"/>
              <w:rPr>
                <w:sz w:val="18"/>
              </w:rPr>
            </w:pPr>
            <w:r>
              <w:rPr>
                <w:sz w:val="18"/>
              </w:rPr>
              <w:t>The National Plan for the Development of Railway Infrastructure shall determine projects and activities necessary for the</w:t>
            </w:r>
            <w:r>
              <w:rPr>
                <w:spacing w:val="-42"/>
                <w:sz w:val="18"/>
              </w:rPr>
              <w:t xml:space="preserve"> </w:t>
            </w:r>
            <w:r>
              <w:rPr>
                <w:sz w:val="18"/>
              </w:rPr>
              <w:t>development of railway infrastructure. The National Management Plan for Railway Infrastructure and Service Facilities</w:t>
            </w:r>
            <w:r>
              <w:rPr>
                <w:spacing w:val="1"/>
                <w:sz w:val="18"/>
              </w:rPr>
              <w:t xml:space="preserve"> </w:t>
            </w:r>
            <w:r>
              <w:rPr>
                <w:sz w:val="18"/>
              </w:rPr>
              <w:t>shall</w:t>
            </w:r>
            <w:r>
              <w:rPr>
                <w:spacing w:val="-1"/>
                <w:sz w:val="18"/>
              </w:rPr>
              <w:t xml:space="preserve"> </w:t>
            </w:r>
            <w:r>
              <w:rPr>
                <w:sz w:val="18"/>
              </w:rPr>
              <w:t>determine</w:t>
            </w:r>
            <w:r>
              <w:rPr>
                <w:spacing w:val="-2"/>
                <w:sz w:val="18"/>
              </w:rPr>
              <w:t xml:space="preserve"> </w:t>
            </w:r>
            <w:r>
              <w:rPr>
                <w:sz w:val="18"/>
              </w:rPr>
              <w:t>projects</w:t>
            </w:r>
            <w:r>
              <w:rPr>
                <w:spacing w:val="-1"/>
                <w:sz w:val="18"/>
              </w:rPr>
              <w:t xml:space="preserve"> </w:t>
            </w:r>
            <w:r>
              <w:rPr>
                <w:sz w:val="18"/>
              </w:rPr>
              <w:t>and</w:t>
            </w:r>
            <w:r>
              <w:rPr>
                <w:spacing w:val="-2"/>
                <w:sz w:val="18"/>
              </w:rPr>
              <w:t xml:space="preserve"> </w:t>
            </w:r>
            <w:r>
              <w:rPr>
                <w:sz w:val="18"/>
              </w:rPr>
              <w:t>activities</w:t>
            </w:r>
            <w:r>
              <w:rPr>
                <w:spacing w:val="-2"/>
                <w:sz w:val="18"/>
              </w:rPr>
              <w:t xml:space="preserve"> </w:t>
            </w:r>
            <w:r>
              <w:rPr>
                <w:sz w:val="18"/>
              </w:rPr>
              <w:t>for</w:t>
            </w:r>
            <w:r>
              <w:rPr>
                <w:spacing w:val="-1"/>
                <w:sz w:val="18"/>
              </w:rPr>
              <w:t xml:space="preserve"> </w:t>
            </w:r>
            <w:r>
              <w:rPr>
                <w:sz w:val="18"/>
              </w:rPr>
              <w:t>management, organization of</w:t>
            </w:r>
            <w:r>
              <w:rPr>
                <w:spacing w:val="-3"/>
                <w:sz w:val="18"/>
              </w:rPr>
              <w:t xml:space="preserve"> </w:t>
            </w:r>
            <w:r>
              <w:rPr>
                <w:sz w:val="18"/>
              </w:rPr>
              <w:t>railway</w:t>
            </w:r>
            <w:r>
              <w:rPr>
                <w:spacing w:val="-5"/>
                <w:sz w:val="18"/>
              </w:rPr>
              <w:t xml:space="preserve"> </w:t>
            </w:r>
            <w:r>
              <w:rPr>
                <w:sz w:val="18"/>
              </w:rPr>
              <w:t>traffic</w:t>
            </w:r>
            <w:r>
              <w:rPr>
                <w:spacing w:val="-2"/>
                <w:sz w:val="18"/>
              </w:rPr>
              <w:t xml:space="preserve"> </w:t>
            </w:r>
            <w:r>
              <w:rPr>
                <w:sz w:val="18"/>
              </w:rPr>
              <w:t>regulation and</w:t>
            </w:r>
            <w:r>
              <w:rPr>
                <w:spacing w:val="-2"/>
                <w:sz w:val="18"/>
              </w:rPr>
              <w:t xml:space="preserve"> </w:t>
            </w:r>
            <w:r>
              <w:rPr>
                <w:sz w:val="18"/>
              </w:rPr>
              <w:t>development</w:t>
            </w:r>
            <w:r>
              <w:rPr>
                <w:spacing w:val="-1"/>
                <w:sz w:val="18"/>
              </w:rPr>
              <w:t xml:space="preserve"> </w:t>
            </w:r>
            <w:r>
              <w:rPr>
                <w:sz w:val="18"/>
              </w:rPr>
              <w:t>of</w:t>
            </w:r>
          </w:p>
          <w:p w:rsidR="00A56FE9" w:rsidRDefault="00000000">
            <w:pPr>
              <w:pStyle w:val="TableParagraph"/>
              <w:spacing w:line="191" w:lineRule="exact"/>
              <w:ind w:left="107"/>
              <w:rPr>
                <w:sz w:val="18"/>
              </w:rPr>
            </w:pPr>
            <w:r>
              <w:rPr>
                <w:sz w:val="18"/>
              </w:rPr>
              <w:t>railway</w:t>
            </w:r>
            <w:r>
              <w:rPr>
                <w:spacing w:val="-4"/>
                <w:sz w:val="18"/>
              </w:rPr>
              <w:t xml:space="preserve"> </w:t>
            </w:r>
            <w:r>
              <w:rPr>
                <w:sz w:val="18"/>
              </w:rPr>
              <w:t>transport</w:t>
            </w:r>
            <w:r>
              <w:rPr>
                <w:spacing w:val="-2"/>
                <w:sz w:val="18"/>
              </w:rPr>
              <w:t xml:space="preserve"> </w:t>
            </w:r>
            <w:r>
              <w:rPr>
                <w:sz w:val="18"/>
              </w:rPr>
              <w:t>services.</w:t>
            </w:r>
          </w:p>
        </w:tc>
      </w:tr>
      <w:tr w:rsidR="00A56FE9">
        <w:trPr>
          <w:trHeight w:val="621"/>
        </w:trPr>
        <w:tc>
          <w:tcPr>
            <w:tcW w:w="2127" w:type="dxa"/>
            <w:vMerge/>
            <w:tcBorders>
              <w:top w:val="nil"/>
            </w:tcBorders>
            <w:shd w:val="clear" w:color="auto" w:fill="F1F1F1"/>
          </w:tcPr>
          <w:p w:rsidR="00A56FE9" w:rsidRDefault="00A56FE9">
            <w:pPr>
              <w:rPr>
                <w:sz w:val="2"/>
                <w:szCs w:val="2"/>
              </w:rPr>
            </w:pPr>
          </w:p>
        </w:tc>
        <w:tc>
          <w:tcPr>
            <w:tcW w:w="3356" w:type="dxa"/>
            <w:shd w:val="clear" w:color="auto" w:fill="C5EECE"/>
          </w:tcPr>
          <w:p w:rsidR="00A56FE9" w:rsidRDefault="00000000">
            <w:pPr>
              <w:pStyle w:val="TableParagraph"/>
              <w:ind w:left="105" w:right="297"/>
              <w:rPr>
                <w:sz w:val="18"/>
              </w:rPr>
            </w:pPr>
            <w:r>
              <w:rPr>
                <w:sz w:val="18"/>
              </w:rPr>
              <w:t>The</w:t>
            </w:r>
            <w:r>
              <w:rPr>
                <w:spacing w:val="-3"/>
                <w:sz w:val="18"/>
              </w:rPr>
              <w:t xml:space="preserve"> </w:t>
            </w:r>
            <w:r>
              <w:rPr>
                <w:sz w:val="18"/>
              </w:rPr>
              <w:t>new</w:t>
            </w:r>
            <w:r>
              <w:rPr>
                <w:spacing w:val="-4"/>
                <w:sz w:val="18"/>
              </w:rPr>
              <w:t xml:space="preserve"> </w:t>
            </w:r>
            <w:r>
              <w:rPr>
                <w:sz w:val="18"/>
              </w:rPr>
              <w:t>Maritime</w:t>
            </w:r>
            <w:r>
              <w:rPr>
                <w:spacing w:val="-3"/>
                <w:sz w:val="18"/>
              </w:rPr>
              <w:t xml:space="preserve"> </w:t>
            </w:r>
            <w:r>
              <w:rPr>
                <w:sz w:val="18"/>
              </w:rPr>
              <w:t>Domain</w:t>
            </w:r>
            <w:r>
              <w:rPr>
                <w:spacing w:val="-1"/>
                <w:sz w:val="18"/>
              </w:rPr>
              <w:t xml:space="preserve"> </w:t>
            </w:r>
            <w:r>
              <w:rPr>
                <w:sz w:val="18"/>
              </w:rPr>
              <w:t>and Seaports</w:t>
            </w:r>
            <w:r>
              <w:rPr>
                <w:spacing w:val="-42"/>
                <w:sz w:val="18"/>
              </w:rPr>
              <w:t xml:space="preserve"> </w:t>
            </w:r>
            <w:r>
              <w:rPr>
                <w:sz w:val="18"/>
              </w:rPr>
              <w:t>Act</w:t>
            </w:r>
          </w:p>
        </w:tc>
        <w:tc>
          <w:tcPr>
            <w:tcW w:w="9054" w:type="dxa"/>
            <w:shd w:val="clear" w:color="auto" w:fill="C5EECE"/>
          </w:tcPr>
          <w:p w:rsidR="00A56FE9" w:rsidRDefault="00000000">
            <w:pPr>
              <w:pStyle w:val="TableParagraph"/>
              <w:ind w:left="107"/>
              <w:rPr>
                <w:sz w:val="18"/>
              </w:rPr>
            </w:pPr>
            <w:r>
              <w:rPr>
                <w:sz w:val="18"/>
              </w:rPr>
              <w:t>The</w:t>
            </w:r>
            <w:r>
              <w:rPr>
                <w:spacing w:val="-3"/>
                <w:sz w:val="18"/>
              </w:rPr>
              <w:t xml:space="preserve"> </w:t>
            </w:r>
            <w:r>
              <w:rPr>
                <w:sz w:val="18"/>
              </w:rPr>
              <w:t>new</w:t>
            </w:r>
            <w:r>
              <w:rPr>
                <w:spacing w:val="-4"/>
                <w:sz w:val="18"/>
              </w:rPr>
              <w:t xml:space="preserve"> </w:t>
            </w:r>
            <w:r>
              <w:rPr>
                <w:sz w:val="18"/>
              </w:rPr>
              <w:t>Maritime</w:t>
            </w:r>
            <w:r>
              <w:rPr>
                <w:spacing w:val="-2"/>
                <w:sz w:val="18"/>
              </w:rPr>
              <w:t xml:space="preserve"> </w:t>
            </w:r>
            <w:r>
              <w:rPr>
                <w:sz w:val="18"/>
              </w:rPr>
              <w:t>Domain and Seaports</w:t>
            </w:r>
            <w:r>
              <w:rPr>
                <w:spacing w:val="-1"/>
                <w:sz w:val="18"/>
              </w:rPr>
              <w:t xml:space="preserve"> </w:t>
            </w:r>
            <w:r>
              <w:rPr>
                <w:sz w:val="18"/>
              </w:rPr>
              <w:t>Act</w:t>
            </w:r>
            <w:r>
              <w:rPr>
                <w:spacing w:val="-2"/>
                <w:sz w:val="18"/>
              </w:rPr>
              <w:t xml:space="preserve"> </w:t>
            </w:r>
            <w:r>
              <w:rPr>
                <w:sz w:val="18"/>
              </w:rPr>
              <w:t>shall</w:t>
            </w:r>
            <w:r>
              <w:rPr>
                <w:spacing w:val="-1"/>
                <w:sz w:val="18"/>
              </w:rPr>
              <w:t xml:space="preserve"> </w:t>
            </w:r>
            <w:r>
              <w:rPr>
                <w:sz w:val="18"/>
              </w:rPr>
              <w:t>reorganise</w:t>
            </w:r>
            <w:r>
              <w:rPr>
                <w:spacing w:val="-2"/>
                <w:sz w:val="18"/>
              </w:rPr>
              <w:t xml:space="preserve"> </w:t>
            </w:r>
            <w:r>
              <w:rPr>
                <w:sz w:val="18"/>
              </w:rPr>
              <w:t>the</w:t>
            </w:r>
            <w:r>
              <w:rPr>
                <w:spacing w:val="-2"/>
                <w:sz w:val="18"/>
              </w:rPr>
              <w:t xml:space="preserve"> </w:t>
            </w:r>
            <w:r>
              <w:rPr>
                <w:sz w:val="18"/>
              </w:rPr>
              <w:t>structure</w:t>
            </w:r>
            <w:r>
              <w:rPr>
                <w:spacing w:val="-2"/>
                <w:sz w:val="18"/>
              </w:rPr>
              <w:t xml:space="preserve"> </w:t>
            </w:r>
            <w:r>
              <w:rPr>
                <w:sz w:val="18"/>
              </w:rPr>
              <w:t>of</w:t>
            </w:r>
            <w:r>
              <w:rPr>
                <w:spacing w:val="-3"/>
                <w:sz w:val="18"/>
              </w:rPr>
              <w:t xml:space="preserve"> </w:t>
            </w:r>
            <w:r>
              <w:rPr>
                <w:sz w:val="18"/>
              </w:rPr>
              <w:t>the</w:t>
            </w:r>
            <w:r>
              <w:rPr>
                <w:spacing w:val="-4"/>
                <w:sz w:val="18"/>
              </w:rPr>
              <w:t xml:space="preserve"> </w:t>
            </w:r>
            <w:r>
              <w:rPr>
                <w:sz w:val="18"/>
              </w:rPr>
              <w:t>port</w:t>
            </w:r>
            <w:r>
              <w:rPr>
                <w:spacing w:val="-3"/>
                <w:sz w:val="18"/>
              </w:rPr>
              <w:t xml:space="preserve"> </w:t>
            </w:r>
            <w:r>
              <w:rPr>
                <w:sz w:val="18"/>
              </w:rPr>
              <w:t>system</w:t>
            </w:r>
            <w:r>
              <w:rPr>
                <w:spacing w:val="-4"/>
                <w:sz w:val="18"/>
              </w:rPr>
              <w:t xml:space="preserve"> </w:t>
            </w:r>
            <w:r>
              <w:rPr>
                <w:sz w:val="18"/>
              </w:rPr>
              <w:t>open</w:t>
            </w:r>
            <w:r>
              <w:rPr>
                <w:spacing w:val="-1"/>
                <w:sz w:val="18"/>
              </w:rPr>
              <w:t xml:space="preserve"> </w:t>
            </w:r>
            <w:r>
              <w:rPr>
                <w:sz w:val="18"/>
              </w:rPr>
              <w:t>to</w:t>
            </w:r>
            <w:r>
              <w:rPr>
                <w:spacing w:val="-2"/>
                <w:sz w:val="18"/>
              </w:rPr>
              <w:t xml:space="preserve"> </w:t>
            </w:r>
            <w:r>
              <w:rPr>
                <w:sz w:val="18"/>
              </w:rPr>
              <w:t>public</w:t>
            </w:r>
            <w:r>
              <w:rPr>
                <w:spacing w:val="-2"/>
                <w:sz w:val="18"/>
              </w:rPr>
              <w:t xml:space="preserve"> </w:t>
            </w:r>
            <w:r>
              <w:rPr>
                <w:sz w:val="18"/>
              </w:rPr>
              <w:t>traffic,</w:t>
            </w:r>
            <w:r>
              <w:rPr>
                <w:spacing w:val="2"/>
                <w:sz w:val="18"/>
              </w:rPr>
              <w:t xml:space="preserve"> </w:t>
            </w:r>
            <w:r>
              <w:rPr>
                <w:sz w:val="18"/>
              </w:rPr>
              <w:t>which</w:t>
            </w:r>
            <w:r>
              <w:rPr>
                <w:spacing w:val="-42"/>
                <w:sz w:val="18"/>
              </w:rPr>
              <w:t xml:space="preserve"> </w:t>
            </w:r>
            <w:r>
              <w:rPr>
                <w:sz w:val="18"/>
              </w:rPr>
              <w:t>aims</w:t>
            </w:r>
            <w:r>
              <w:rPr>
                <w:spacing w:val="-2"/>
                <w:sz w:val="18"/>
              </w:rPr>
              <w:t xml:space="preserve"> </w:t>
            </w:r>
            <w:r>
              <w:rPr>
                <w:sz w:val="18"/>
              </w:rPr>
              <w:t>to</w:t>
            </w:r>
            <w:r>
              <w:rPr>
                <w:spacing w:val="1"/>
                <w:sz w:val="18"/>
              </w:rPr>
              <w:t xml:space="preserve"> </w:t>
            </w:r>
            <w:r>
              <w:rPr>
                <w:sz w:val="18"/>
              </w:rPr>
              <w:t>ensure</w:t>
            </w:r>
            <w:r>
              <w:rPr>
                <w:spacing w:val="-2"/>
                <w:sz w:val="18"/>
              </w:rPr>
              <w:t xml:space="preserve"> </w:t>
            </w:r>
            <w:r>
              <w:rPr>
                <w:sz w:val="18"/>
              </w:rPr>
              <w:t>uniformity</w:t>
            </w:r>
            <w:r>
              <w:rPr>
                <w:spacing w:val="-4"/>
                <w:sz w:val="18"/>
              </w:rPr>
              <w:t xml:space="preserve"> </w:t>
            </w:r>
            <w:r>
              <w:rPr>
                <w:sz w:val="18"/>
              </w:rPr>
              <w:t>in the</w:t>
            </w:r>
            <w:r>
              <w:rPr>
                <w:spacing w:val="3"/>
                <w:sz w:val="18"/>
              </w:rPr>
              <w:t xml:space="preserve"> </w:t>
            </w:r>
            <w:r>
              <w:rPr>
                <w:sz w:val="18"/>
              </w:rPr>
              <w:t>implementation</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legal obligations</w:t>
            </w:r>
            <w:r>
              <w:rPr>
                <w:spacing w:val="-3"/>
                <w:sz w:val="18"/>
              </w:rPr>
              <w:t xml:space="preserve"> </w:t>
            </w:r>
            <w:r>
              <w:rPr>
                <w:sz w:val="18"/>
              </w:rPr>
              <w:t>to</w:t>
            </w:r>
            <w:r>
              <w:rPr>
                <w:spacing w:val="-2"/>
                <w:sz w:val="18"/>
              </w:rPr>
              <w:t xml:space="preserve"> </w:t>
            </w:r>
            <w:r>
              <w:rPr>
                <w:sz w:val="18"/>
              </w:rPr>
              <w:t>operate public</w:t>
            </w:r>
            <w:r>
              <w:rPr>
                <w:spacing w:val="-1"/>
                <w:sz w:val="18"/>
              </w:rPr>
              <w:t xml:space="preserve"> </w:t>
            </w:r>
            <w:r>
              <w:rPr>
                <w:sz w:val="18"/>
              </w:rPr>
              <w:t>ports and rationalise</w:t>
            </w:r>
          </w:p>
          <w:p w:rsidR="00A56FE9" w:rsidRDefault="00000000">
            <w:pPr>
              <w:pStyle w:val="TableParagraph"/>
              <w:spacing w:line="191" w:lineRule="exact"/>
              <w:ind w:left="107"/>
              <w:rPr>
                <w:sz w:val="18"/>
              </w:rPr>
            </w:pPr>
            <w:r>
              <w:rPr>
                <w:sz w:val="18"/>
              </w:rPr>
              <w:t>management</w:t>
            </w:r>
            <w:r>
              <w:rPr>
                <w:spacing w:val="-2"/>
                <w:sz w:val="18"/>
              </w:rPr>
              <w:t xml:space="preserve"> </w:t>
            </w:r>
            <w:r>
              <w:rPr>
                <w:sz w:val="18"/>
              </w:rPr>
              <w:t>costs.</w:t>
            </w:r>
          </w:p>
        </w:tc>
      </w:tr>
      <w:tr w:rsidR="00A56FE9">
        <w:trPr>
          <w:trHeight w:val="621"/>
        </w:trPr>
        <w:tc>
          <w:tcPr>
            <w:tcW w:w="2127" w:type="dxa"/>
            <w:vMerge/>
            <w:tcBorders>
              <w:top w:val="nil"/>
            </w:tcBorders>
            <w:shd w:val="clear" w:color="auto" w:fill="F1F1F1"/>
          </w:tcPr>
          <w:p w:rsidR="00A56FE9" w:rsidRDefault="00A56FE9">
            <w:pPr>
              <w:rPr>
                <w:sz w:val="2"/>
                <w:szCs w:val="2"/>
              </w:rPr>
            </w:pPr>
          </w:p>
        </w:tc>
        <w:tc>
          <w:tcPr>
            <w:tcW w:w="3356" w:type="dxa"/>
            <w:shd w:val="clear" w:color="auto" w:fill="C5EECE"/>
          </w:tcPr>
          <w:p w:rsidR="00A56FE9" w:rsidRDefault="00000000">
            <w:pPr>
              <w:pStyle w:val="TableParagraph"/>
              <w:ind w:left="105" w:right="160"/>
              <w:rPr>
                <w:sz w:val="18"/>
              </w:rPr>
            </w:pPr>
            <w:r>
              <w:rPr>
                <w:sz w:val="18"/>
              </w:rPr>
              <w:t>New cable ferry ‘Križnica’ operational</w:t>
            </w:r>
            <w:r>
              <w:rPr>
                <w:spacing w:val="1"/>
                <w:sz w:val="18"/>
              </w:rPr>
              <w:t xml:space="preserve"> </w:t>
            </w:r>
            <w:r>
              <w:rPr>
                <w:sz w:val="18"/>
              </w:rPr>
              <w:t>across</w:t>
            </w:r>
            <w:r>
              <w:rPr>
                <w:spacing w:val="-2"/>
                <w:sz w:val="18"/>
              </w:rPr>
              <w:t xml:space="preserve"> </w:t>
            </w:r>
            <w:r>
              <w:rPr>
                <w:sz w:val="18"/>
              </w:rPr>
              <w:t>the</w:t>
            </w:r>
            <w:r>
              <w:rPr>
                <w:spacing w:val="-2"/>
                <w:sz w:val="18"/>
              </w:rPr>
              <w:t xml:space="preserve"> </w:t>
            </w:r>
            <w:r>
              <w:rPr>
                <w:sz w:val="18"/>
              </w:rPr>
              <w:t>River</w:t>
            </w:r>
            <w:r>
              <w:rPr>
                <w:spacing w:val="-1"/>
                <w:sz w:val="18"/>
              </w:rPr>
              <w:t xml:space="preserve"> </w:t>
            </w:r>
            <w:r>
              <w:rPr>
                <w:sz w:val="18"/>
              </w:rPr>
              <w:t>Drava</w:t>
            </w:r>
            <w:r>
              <w:rPr>
                <w:spacing w:val="-2"/>
                <w:sz w:val="18"/>
              </w:rPr>
              <w:t xml:space="preserve"> </w:t>
            </w:r>
            <w:r>
              <w:rPr>
                <w:sz w:val="18"/>
              </w:rPr>
              <w:t>in the</w:t>
            </w:r>
            <w:r>
              <w:rPr>
                <w:spacing w:val="-2"/>
                <w:sz w:val="18"/>
              </w:rPr>
              <w:t xml:space="preserve"> </w:t>
            </w:r>
            <w:r>
              <w:rPr>
                <w:sz w:val="18"/>
              </w:rPr>
              <w:t>Municipality</w:t>
            </w:r>
          </w:p>
          <w:p w:rsidR="00A56FE9" w:rsidRDefault="00000000">
            <w:pPr>
              <w:pStyle w:val="TableParagraph"/>
              <w:spacing w:line="191" w:lineRule="exact"/>
              <w:ind w:left="105"/>
              <w:rPr>
                <w:sz w:val="18"/>
              </w:rPr>
            </w:pPr>
            <w:r>
              <w:rPr>
                <w:sz w:val="18"/>
              </w:rPr>
              <w:t>of</w:t>
            </w:r>
            <w:r>
              <w:rPr>
                <w:spacing w:val="-4"/>
                <w:sz w:val="18"/>
              </w:rPr>
              <w:t xml:space="preserve"> </w:t>
            </w:r>
            <w:r>
              <w:rPr>
                <w:sz w:val="18"/>
              </w:rPr>
              <w:t>Pitomača</w:t>
            </w:r>
          </w:p>
        </w:tc>
        <w:tc>
          <w:tcPr>
            <w:tcW w:w="9054" w:type="dxa"/>
            <w:shd w:val="clear" w:color="auto" w:fill="C5EECE"/>
          </w:tcPr>
          <w:p w:rsidR="00A56FE9" w:rsidRDefault="00000000">
            <w:pPr>
              <w:pStyle w:val="TableParagraph"/>
              <w:ind w:left="107" w:right="494"/>
              <w:rPr>
                <w:sz w:val="18"/>
              </w:rPr>
            </w:pPr>
            <w:r>
              <w:rPr>
                <w:sz w:val="18"/>
              </w:rPr>
              <w:t>This investment shall result in the construction of a solar-powered electric cable ferry connecting the mainland to the</w:t>
            </w:r>
            <w:r>
              <w:rPr>
                <w:spacing w:val="-42"/>
                <w:sz w:val="18"/>
              </w:rPr>
              <w:t xml:space="preserve"> </w:t>
            </w:r>
            <w:r>
              <w:rPr>
                <w:sz w:val="18"/>
              </w:rPr>
              <w:t>island</w:t>
            </w:r>
            <w:r>
              <w:rPr>
                <w:spacing w:val="-2"/>
                <w:sz w:val="18"/>
              </w:rPr>
              <w:t xml:space="preserve"> </w:t>
            </w:r>
            <w:r>
              <w:rPr>
                <w:sz w:val="18"/>
              </w:rPr>
              <w:t>of</w:t>
            </w:r>
            <w:r>
              <w:rPr>
                <w:spacing w:val="-2"/>
                <w:sz w:val="18"/>
              </w:rPr>
              <w:t xml:space="preserve"> </w:t>
            </w:r>
            <w:r>
              <w:rPr>
                <w:sz w:val="18"/>
              </w:rPr>
              <w:t>Križnica, in</w:t>
            </w:r>
            <w:r>
              <w:rPr>
                <w:spacing w:val="-2"/>
                <w:sz w:val="18"/>
              </w:rPr>
              <w:t xml:space="preserve"> </w:t>
            </w:r>
            <w:r>
              <w:rPr>
                <w:sz w:val="18"/>
              </w:rPr>
              <w:t>operation</w:t>
            </w:r>
            <w:r>
              <w:rPr>
                <w:spacing w:val="1"/>
                <w:sz w:val="18"/>
              </w:rPr>
              <w:t xml:space="preserve"> </w:t>
            </w:r>
            <w:r>
              <w:rPr>
                <w:sz w:val="18"/>
              </w:rPr>
              <w:t>with the</w:t>
            </w:r>
            <w:r>
              <w:rPr>
                <w:spacing w:val="-1"/>
                <w:sz w:val="18"/>
              </w:rPr>
              <w:t xml:space="preserve"> </w:t>
            </w:r>
            <w:r>
              <w:rPr>
                <w:sz w:val="18"/>
              </w:rPr>
              <w:t>approval of</w:t>
            </w:r>
            <w:r>
              <w:rPr>
                <w:spacing w:val="-3"/>
                <w:sz w:val="18"/>
              </w:rPr>
              <w:t xml:space="preserve"> </w:t>
            </w:r>
            <w:r>
              <w:rPr>
                <w:sz w:val="18"/>
              </w:rPr>
              <w:t>the</w:t>
            </w:r>
            <w:r>
              <w:rPr>
                <w:spacing w:val="-1"/>
                <w:sz w:val="18"/>
              </w:rPr>
              <w:t xml:space="preserve"> </w:t>
            </w:r>
            <w:r>
              <w:rPr>
                <w:sz w:val="18"/>
              </w:rPr>
              <w:t>Croatian</w:t>
            </w:r>
            <w:r>
              <w:rPr>
                <w:spacing w:val="1"/>
                <w:sz w:val="18"/>
              </w:rPr>
              <w:t xml:space="preserve"> </w:t>
            </w:r>
            <w:r>
              <w:rPr>
                <w:sz w:val="18"/>
              </w:rPr>
              <w:t>Register</w:t>
            </w:r>
            <w:r>
              <w:rPr>
                <w:spacing w:val="-1"/>
                <w:sz w:val="18"/>
              </w:rPr>
              <w:t xml:space="preserve"> </w:t>
            </w:r>
            <w:r>
              <w:rPr>
                <w:sz w:val="18"/>
              </w:rPr>
              <w:t>of</w:t>
            </w:r>
            <w:r>
              <w:rPr>
                <w:spacing w:val="-2"/>
                <w:sz w:val="18"/>
              </w:rPr>
              <w:t xml:space="preserve"> </w:t>
            </w:r>
            <w:r>
              <w:rPr>
                <w:sz w:val="18"/>
              </w:rPr>
              <w:t>Shipping.</w:t>
            </w:r>
          </w:p>
        </w:tc>
      </w:tr>
      <w:tr w:rsidR="00A56FE9">
        <w:trPr>
          <w:trHeight w:val="621"/>
        </w:trPr>
        <w:tc>
          <w:tcPr>
            <w:tcW w:w="2127" w:type="dxa"/>
            <w:vMerge/>
            <w:tcBorders>
              <w:top w:val="nil"/>
            </w:tcBorders>
            <w:shd w:val="clear" w:color="auto" w:fill="F1F1F1"/>
          </w:tcPr>
          <w:p w:rsidR="00A56FE9" w:rsidRDefault="00A56FE9">
            <w:pPr>
              <w:rPr>
                <w:sz w:val="2"/>
                <w:szCs w:val="2"/>
              </w:rPr>
            </w:pPr>
          </w:p>
        </w:tc>
        <w:tc>
          <w:tcPr>
            <w:tcW w:w="3356" w:type="dxa"/>
            <w:shd w:val="clear" w:color="auto" w:fill="C5EECE"/>
          </w:tcPr>
          <w:p w:rsidR="00A56FE9" w:rsidRDefault="00000000">
            <w:pPr>
              <w:pStyle w:val="TableParagraph"/>
              <w:spacing w:line="202" w:lineRule="exact"/>
              <w:ind w:left="105"/>
              <w:rPr>
                <w:sz w:val="18"/>
              </w:rPr>
            </w:pPr>
            <w:r>
              <w:rPr>
                <w:sz w:val="18"/>
              </w:rPr>
              <w:t>Grant</w:t>
            </w:r>
            <w:r>
              <w:rPr>
                <w:spacing w:val="-2"/>
                <w:sz w:val="18"/>
              </w:rPr>
              <w:t xml:space="preserve"> </w:t>
            </w:r>
            <w:r>
              <w:rPr>
                <w:sz w:val="18"/>
              </w:rPr>
              <w:t>agreement</w:t>
            </w:r>
            <w:r>
              <w:rPr>
                <w:spacing w:val="-2"/>
                <w:sz w:val="18"/>
              </w:rPr>
              <w:t xml:space="preserve"> </w:t>
            </w:r>
            <w:r>
              <w:rPr>
                <w:sz w:val="18"/>
              </w:rPr>
              <w:t>signed</w:t>
            </w:r>
            <w:r>
              <w:rPr>
                <w:spacing w:val="-2"/>
                <w:sz w:val="18"/>
              </w:rPr>
              <w:t xml:space="preserve"> </w:t>
            </w:r>
            <w:r>
              <w:rPr>
                <w:sz w:val="18"/>
              </w:rPr>
              <w:t>for</w:t>
            </w:r>
            <w:r>
              <w:rPr>
                <w:spacing w:val="-2"/>
                <w:sz w:val="18"/>
              </w:rPr>
              <w:t xml:space="preserve"> </w:t>
            </w:r>
            <w:r>
              <w:rPr>
                <w:sz w:val="18"/>
              </w:rPr>
              <w:t>the</w:t>
            </w:r>
          </w:p>
          <w:p w:rsidR="00A56FE9" w:rsidRDefault="00000000">
            <w:pPr>
              <w:pStyle w:val="TableParagraph"/>
              <w:spacing w:line="206" w:lineRule="exact"/>
              <w:ind w:left="105" w:right="823"/>
              <w:rPr>
                <w:sz w:val="18"/>
              </w:rPr>
            </w:pPr>
            <w:r>
              <w:rPr>
                <w:sz w:val="18"/>
              </w:rPr>
              <w:t>construction</w:t>
            </w:r>
            <w:r>
              <w:rPr>
                <w:spacing w:val="-6"/>
                <w:sz w:val="18"/>
              </w:rPr>
              <w:t xml:space="preserve"> </w:t>
            </w:r>
            <w:r>
              <w:rPr>
                <w:sz w:val="18"/>
              </w:rPr>
              <w:t>of</w:t>
            </w:r>
            <w:r>
              <w:rPr>
                <w:spacing w:val="-6"/>
                <w:sz w:val="18"/>
              </w:rPr>
              <w:t xml:space="preserve"> </w:t>
            </w:r>
            <w:r>
              <w:rPr>
                <w:sz w:val="18"/>
              </w:rPr>
              <w:t>passive</w:t>
            </w:r>
            <w:r>
              <w:rPr>
                <w:spacing w:val="-5"/>
                <w:sz w:val="18"/>
              </w:rPr>
              <w:t xml:space="preserve"> </w:t>
            </w:r>
            <w:r>
              <w:rPr>
                <w:sz w:val="18"/>
              </w:rPr>
              <w:t>electronic</w:t>
            </w:r>
            <w:r>
              <w:rPr>
                <w:spacing w:val="-42"/>
                <w:sz w:val="18"/>
              </w:rPr>
              <w:t xml:space="preserve"> </w:t>
            </w:r>
            <w:r>
              <w:rPr>
                <w:sz w:val="18"/>
              </w:rPr>
              <w:t>communications</w:t>
            </w:r>
            <w:r>
              <w:rPr>
                <w:spacing w:val="-1"/>
                <w:sz w:val="18"/>
              </w:rPr>
              <w:t xml:space="preserve"> </w:t>
            </w:r>
            <w:r>
              <w:rPr>
                <w:sz w:val="18"/>
              </w:rPr>
              <w:t>infrastructure</w:t>
            </w:r>
          </w:p>
        </w:tc>
        <w:tc>
          <w:tcPr>
            <w:tcW w:w="9054" w:type="dxa"/>
            <w:shd w:val="clear" w:color="auto" w:fill="C5EECE"/>
          </w:tcPr>
          <w:p w:rsidR="00A56FE9" w:rsidRDefault="00000000">
            <w:pPr>
              <w:pStyle w:val="TableParagraph"/>
              <w:ind w:left="107" w:right="161"/>
              <w:rPr>
                <w:sz w:val="18"/>
              </w:rPr>
            </w:pPr>
            <w:r>
              <w:rPr>
                <w:sz w:val="18"/>
              </w:rPr>
              <w:t>Signature</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Grant</w:t>
            </w:r>
            <w:r>
              <w:rPr>
                <w:spacing w:val="-2"/>
                <w:sz w:val="18"/>
              </w:rPr>
              <w:t xml:space="preserve"> </w:t>
            </w:r>
            <w:r>
              <w:rPr>
                <w:sz w:val="18"/>
              </w:rPr>
              <w:t>Agreement</w:t>
            </w:r>
            <w:r>
              <w:rPr>
                <w:spacing w:val="1"/>
                <w:sz w:val="18"/>
              </w:rPr>
              <w:t xml:space="preserve"> </w:t>
            </w:r>
            <w:r>
              <w:rPr>
                <w:sz w:val="18"/>
              </w:rPr>
              <w:t>and start</w:t>
            </w:r>
            <w:r>
              <w:rPr>
                <w:spacing w:val="-4"/>
                <w:sz w:val="18"/>
              </w:rPr>
              <w:t xml:space="preserve"> </w:t>
            </w:r>
            <w:r>
              <w:rPr>
                <w:sz w:val="18"/>
              </w:rPr>
              <w:t>of</w:t>
            </w:r>
            <w:r>
              <w:rPr>
                <w:spacing w:val="-3"/>
                <w:sz w:val="18"/>
              </w:rPr>
              <w:t xml:space="preserve"> </w:t>
            </w:r>
            <w:r>
              <w:rPr>
                <w:sz w:val="18"/>
              </w:rPr>
              <w:t>project</w:t>
            </w:r>
            <w:r>
              <w:rPr>
                <w:spacing w:val="-1"/>
                <w:sz w:val="18"/>
              </w:rPr>
              <w:t xml:space="preserve"> </w:t>
            </w:r>
            <w:r>
              <w:rPr>
                <w:sz w:val="18"/>
              </w:rPr>
              <w:t>implementation</w:t>
            </w:r>
            <w:r>
              <w:rPr>
                <w:spacing w:val="-1"/>
                <w:sz w:val="18"/>
              </w:rPr>
              <w:t xml:space="preserve"> </w:t>
            </w:r>
            <w:r>
              <w:rPr>
                <w:sz w:val="18"/>
              </w:rPr>
              <w:t>for</w:t>
            </w:r>
            <w:r>
              <w:rPr>
                <w:spacing w:val="-1"/>
                <w:sz w:val="18"/>
              </w:rPr>
              <w:t xml:space="preserve"> </w:t>
            </w:r>
            <w:r>
              <w:rPr>
                <w:sz w:val="18"/>
              </w:rPr>
              <w:t>the</w:t>
            </w:r>
            <w:r>
              <w:rPr>
                <w:spacing w:val="-2"/>
                <w:sz w:val="18"/>
              </w:rPr>
              <w:t xml:space="preserve"> </w:t>
            </w:r>
            <w:r>
              <w:rPr>
                <w:sz w:val="18"/>
              </w:rPr>
              <w:t>construction</w:t>
            </w:r>
            <w:r>
              <w:rPr>
                <w:spacing w:val="-2"/>
                <w:sz w:val="18"/>
              </w:rPr>
              <w:t xml:space="preserve"> </w:t>
            </w:r>
            <w:r>
              <w:rPr>
                <w:sz w:val="18"/>
              </w:rPr>
              <w:t>of</w:t>
            </w:r>
            <w:r>
              <w:rPr>
                <w:spacing w:val="-4"/>
                <w:sz w:val="18"/>
              </w:rPr>
              <w:t xml:space="preserve"> </w:t>
            </w:r>
            <w:r>
              <w:rPr>
                <w:sz w:val="18"/>
              </w:rPr>
              <w:t>passive</w:t>
            </w:r>
            <w:r>
              <w:rPr>
                <w:spacing w:val="1"/>
                <w:sz w:val="18"/>
              </w:rPr>
              <w:t xml:space="preserve"> </w:t>
            </w:r>
            <w:r>
              <w:rPr>
                <w:sz w:val="18"/>
              </w:rPr>
              <w:t>electronic</w:t>
            </w:r>
            <w:r>
              <w:rPr>
                <w:spacing w:val="-42"/>
                <w:sz w:val="18"/>
              </w:rPr>
              <w:t xml:space="preserve"> </w:t>
            </w:r>
            <w:r>
              <w:rPr>
                <w:sz w:val="18"/>
              </w:rPr>
              <w:t>communications</w:t>
            </w:r>
            <w:r>
              <w:rPr>
                <w:spacing w:val="-1"/>
                <w:sz w:val="18"/>
              </w:rPr>
              <w:t xml:space="preserve"> </w:t>
            </w:r>
            <w:r>
              <w:rPr>
                <w:sz w:val="18"/>
              </w:rPr>
              <w:t>infrastructure</w:t>
            </w:r>
          </w:p>
        </w:tc>
      </w:tr>
    </w:tbl>
    <w:p w:rsidR="00A56FE9" w:rsidRDefault="00A56FE9">
      <w:pPr>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9"/>
        <w:ind w:left="0"/>
        <w:jc w:val="left"/>
        <w:rPr>
          <w:b/>
          <w:sz w:val="18"/>
        </w:rPr>
      </w:pPr>
    </w:p>
    <w:p w:rsidR="00A56FE9" w:rsidRDefault="00000000">
      <w:pPr>
        <w:pStyle w:val="Naslov5"/>
        <w:spacing w:before="90"/>
        <w:ind w:left="958"/>
        <w:jc w:val="left"/>
      </w:pPr>
      <w:r>
        <w:rPr>
          <w:b w:val="0"/>
          <w:color w:val="003399"/>
        </w:rPr>
        <w:t>Appendix 5.</w:t>
      </w:r>
      <w:r>
        <w:rPr>
          <w:b w:val="0"/>
          <w:color w:val="003399"/>
          <w:spacing w:val="-2"/>
        </w:rPr>
        <w:t xml:space="preserve"> </w:t>
      </w:r>
      <w:r>
        <w:rPr>
          <w:color w:val="003399"/>
        </w:rPr>
        <w:t>Report</w:t>
      </w:r>
      <w:r>
        <w:rPr>
          <w:color w:val="003399"/>
          <w:spacing w:val="-1"/>
        </w:rPr>
        <w:t xml:space="preserve"> </w:t>
      </w:r>
      <w:r>
        <w:rPr>
          <w:color w:val="003399"/>
        </w:rPr>
        <w:t>on</w:t>
      </w:r>
      <w:r>
        <w:rPr>
          <w:color w:val="003399"/>
          <w:spacing w:val="-2"/>
        </w:rPr>
        <w:t xml:space="preserve"> </w:t>
      </w:r>
      <w:r>
        <w:rPr>
          <w:color w:val="003399"/>
        </w:rPr>
        <w:t>SDGs:</w:t>
      </w:r>
      <w:r>
        <w:rPr>
          <w:color w:val="003399"/>
          <w:spacing w:val="-1"/>
        </w:rPr>
        <w:t xml:space="preserve"> </w:t>
      </w:r>
      <w:r>
        <w:rPr>
          <w:color w:val="003399"/>
        </w:rPr>
        <w:t>Description</w:t>
      </w:r>
      <w:r>
        <w:rPr>
          <w:color w:val="003399"/>
          <w:spacing w:val="-2"/>
        </w:rPr>
        <w:t xml:space="preserve"> </w:t>
      </w:r>
      <w:r>
        <w:rPr>
          <w:color w:val="003399"/>
        </w:rPr>
        <w:t>of Main</w:t>
      </w:r>
      <w:r>
        <w:rPr>
          <w:color w:val="003399"/>
          <w:spacing w:val="-1"/>
        </w:rPr>
        <w:t xml:space="preserve"> </w:t>
      </w:r>
      <w:r>
        <w:rPr>
          <w:color w:val="003399"/>
        </w:rPr>
        <w:t>Measures</w:t>
      </w:r>
      <w:r>
        <w:rPr>
          <w:color w:val="003399"/>
          <w:spacing w:val="-1"/>
        </w:rPr>
        <w:t xml:space="preserve"> </w:t>
      </w:r>
      <w:r>
        <w:rPr>
          <w:color w:val="003399"/>
        </w:rPr>
        <w:t>in</w:t>
      </w:r>
      <w:r>
        <w:rPr>
          <w:color w:val="003399"/>
          <w:spacing w:val="-1"/>
        </w:rPr>
        <w:t xml:space="preserve"> </w:t>
      </w:r>
      <w:r>
        <w:rPr>
          <w:color w:val="003399"/>
        </w:rPr>
        <w:t>the Future</w:t>
      </w:r>
      <w:r>
        <w:rPr>
          <w:color w:val="003399"/>
          <w:spacing w:val="-3"/>
        </w:rPr>
        <w:t xml:space="preserve"> </w:t>
      </w:r>
      <w:r>
        <w:rPr>
          <w:color w:val="003399"/>
        </w:rPr>
        <w:t>and</w:t>
      </w:r>
      <w:r>
        <w:rPr>
          <w:color w:val="003399"/>
          <w:spacing w:val="-1"/>
        </w:rPr>
        <w:t xml:space="preserve"> </w:t>
      </w:r>
      <w:r>
        <w:rPr>
          <w:color w:val="003399"/>
        </w:rPr>
        <w:t>Their</w:t>
      </w:r>
      <w:r>
        <w:rPr>
          <w:color w:val="003399"/>
          <w:spacing w:val="-2"/>
        </w:rPr>
        <w:t xml:space="preserve"> </w:t>
      </w:r>
      <w:r>
        <w:rPr>
          <w:color w:val="003399"/>
        </w:rPr>
        <w:t>Estimated</w:t>
      </w:r>
      <w:r>
        <w:rPr>
          <w:color w:val="003399"/>
          <w:spacing w:val="-1"/>
        </w:rPr>
        <w:t xml:space="preserve"> </w:t>
      </w:r>
      <w:r>
        <w:rPr>
          <w:color w:val="003399"/>
        </w:rPr>
        <w:t>Impact</w:t>
      </w:r>
    </w:p>
    <w:p w:rsidR="00A56FE9" w:rsidRDefault="00A56FE9">
      <w:pPr>
        <w:pStyle w:val="Tijeloteksta"/>
        <w:spacing w:before="4" w:after="1"/>
        <w:ind w:left="0"/>
        <w:jc w:val="left"/>
        <w:rPr>
          <w:b/>
          <w:sz w:val="21"/>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4"/>
        <w:gridCol w:w="3469"/>
        <w:gridCol w:w="8927"/>
      </w:tblGrid>
      <w:tr w:rsidR="00A56FE9">
        <w:trPr>
          <w:trHeight w:val="249"/>
        </w:trPr>
        <w:tc>
          <w:tcPr>
            <w:tcW w:w="2064" w:type="dxa"/>
            <w:tcBorders>
              <w:top w:val="nil"/>
              <w:left w:val="nil"/>
              <w:bottom w:val="nil"/>
              <w:right w:val="nil"/>
            </w:tcBorders>
            <w:shd w:val="clear" w:color="auto" w:fill="2C398A"/>
          </w:tcPr>
          <w:p w:rsidR="00A56FE9" w:rsidRDefault="00000000">
            <w:pPr>
              <w:pStyle w:val="TableParagraph"/>
              <w:spacing w:before="10" w:line="220" w:lineRule="exact"/>
              <w:ind w:left="806" w:right="806"/>
              <w:jc w:val="center"/>
              <w:rPr>
                <w:b/>
                <w:sz w:val="20"/>
              </w:rPr>
            </w:pPr>
            <w:r>
              <w:rPr>
                <w:b/>
                <w:color w:val="FFFFFF"/>
                <w:sz w:val="20"/>
              </w:rPr>
              <w:t>SDG</w:t>
            </w:r>
          </w:p>
        </w:tc>
        <w:tc>
          <w:tcPr>
            <w:tcW w:w="3469" w:type="dxa"/>
            <w:tcBorders>
              <w:top w:val="nil"/>
              <w:left w:val="nil"/>
              <w:bottom w:val="nil"/>
              <w:right w:val="nil"/>
            </w:tcBorders>
            <w:shd w:val="clear" w:color="auto" w:fill="2C398A"/>
          </w:tcPr>
          <w:p w:rsidR="00A56FE9" w:rsidRDefault="00000000">
            <w:pPr>
              <w:pStyle w:val="TableParagraph"/>
              <w:spacing w:before="10" w:line="220" w:lineRule="exact"/>
              <w:ind w:left="792"/>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7" w:type="dxa"/>
            <w:tcBorders>
              <w:top w:val="nil"/>
              <w:left w:val="nil"/>
              <w:bottom w:val="nil"/>
              <w:right w:val="nil"/>
            </w:tcBorders>
            <w:shd w:val="clear" w:color="auto" w:fill="2C398A"/>
          </w:tcPr>
          <w:p w:rsidR="00A56FE9" w:rsidRDefault="00000000">
            <w:pPr>
              <w:pStyle w:val="TableParagraph"/>
              <w:spacing w:before="10" w:line="220" w:lineRule="exact"/>
              <w:ind w:left="1951" w:right="1951"/>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618"/>
        </w:trPr>
        <w:tc>
          <w:tcPr>
            <w:tcW w:w="2064" w:type="dxa"/>
            <w:vMerge w:val="restart"/>
            <w:tcBorders>
              <w:top w:val="nil"/>
              <w:bottom w:val="single" w:sz="6" w:space="0" w:color="2C398A"/>
            </w:tcBorders>
            <w:shd w:val="clear" w:color="auto" w:fill="F1F1F1"/>
          </w:tcPr>
          <w:p w:rsidR="00A56FE9" w:rsidRDefault="00000000">
            <w:pPr>
              <w:pStyle w:val="TableParagraph"/>
              <w:ind w:left="105" w:right="258"/>
              <w:rPr>
                <w:sz w:val="20"/>
              </w:rPr>
            </w:pPr>
            <w:r>
              <w:rPr>
                <w:b/>
                <w:sz w:val="20"/>
              </w:rPr>
              <w:t xml:space="preserve">1. </w:t>
            </w:r>
            <w:r>
              <w:rPr>
                <w:sz w:val="20"/>
              </w:rPr>
              <w:t>End poverty in all</w:t>
            </w:r>
            <w:r>
              <w:rPr>
                <w:spacing w:val="-47"/>
                <w:sz w:val="20"/>
              </w:rPr>
              <w:t xml:space="preserve"> </w:t>
            </w:r>
            <w:r>
              <w:rPr>
                <w:sz w:val="20"/>
              </w:rPr>
              <w:t>its</w:t>
            </w:r>
            <w:r>
              <w:rPr>
                <w:spacing w:val="-9"/>
                <w:sz w:val="20"/>
              </w:rPr>
              <w:t xml:space="preserve"> </w:t>
            </w:r>
            <w:r>
              <w:rPr>
                <w:sz w:val="20"/>
              </w:rPr>
              <w:t>forms</w:t>
            </w:r>
            <w:r>
              <w:rPr>
                <w:spacing w:val="-9"/>
                <w:sz w:val="20"/>
              </w:rPr>
              <w:t xml:space="preserve"> </w:t>
            </w:r>
            <w:r>
              <w:rPr>
                <w:sz w:val="20"/>
              </w:rPr>
              <w:t>everywhere</w:t>
            </w:r>
          </w:p>
        </w:tc>
        <w:tc>
          <w:tcPr>
            <w:tcW w:w="3469" w:type="dxa"/>
            <w:tcBorders>
              <w:top w:val="nil"/>
            </w:tcBorders>
            <w:shd w:val="clear" w:color="auto" w:fill="C5EECE"/>
          </w:tcPr>
          <w:p w:rsidR="00A56FE9" w:rsidRDefault="00000000">
            <w:pPr>
              <w:pStyle w:val="TableParagraph"/>
              <w:ind w:left="100" w:right="455"/>
              <w:rPr>
                <w:sz w:val="18"/>
              </w:rPr>
            </w:pPr>
            <w:r>
              <w:rPr>
                <w:sz w:val="18"/>
              </w:rPr>
              <w:t>Adoption</w:t>
            </w:r>
            <w:r>
              <w:rPr>
                <w:spacing w:val="-1"/>
                <w:sz w:val="18"/>
              </w:rPr>
              <w:t xml:space="preserve"> </w:t>
            </w:r>
            <w:r>
              <w:rPr>
                <w:sz w:val="18"/>
              </w:rPr>
              <w:t>of</w:t>
            </w:r>
            <w:r>
              <w:rPr>
                <w:spacing w:val="-4"/>
                <w:sz w:val="18"/>
              </w:rPr>
              <w:t xml:space="preserve"> </w:t>
            </w:r>
            <w:r>
              <w:rPr>
                <w:sz w:val="18"/>
              </w:rPr>
              <w:t>amendments</w:t>
            </w:r>
            <w:r>
              <w:rPr>
                <w:spacing w:val="-1"/>
                <w:sz w:val="18"/>
              </w:rPr>
              <w:t xml:space="preserve"> </w:t>
            </w:r>
            <w:r>
              <w:rPr>
                <w:sz w:val="18"/>
              </w:rPr>
              <w:t>to</w:t>
            </w:r>
            <w:r>
              <w:rPr>
                <w:spacing w:val="-1"/>
                <w:sz w:val="18"/>
              </w:rPr>
              <w:t xml:space="preserve"> </w:t>
            </w:r>
            <w:r>
              <w:rPr>
                <w:sz w:val="18"/>
              </w:rPr>
              <w:t>the</w:t>
            </w:r>
            <w:r>
              <w:rPr>
                <w:spacing w:val="-4"/>
                <w:sz w:val="18"/>
              </w:rPr>
              <w:t xml:space="preserve"> </w:t>
            </w:r>
            <w:r>
              <w:rPr>
                <w:sz w:val="18"/>
              </w:rPr>
              <w:t>Pension</w:t>
            </w:r>
            <w:r>
              <w:rPr>
                <w:spacing w:val="-42"/>
                <w:sz w:val="18"/>
              </w:rPr>
              <w:t xml:space="preserve"> </w:t>
            </w:r>
            <w:r>
              <w:rPr>
                <w:sz w:val="18"/>
              </w:rPr>
              <w:t>Insurance</w:t>
            </w:r>
            <w:r>
              <w:rPr>
                <w:spacing w:val="-2"/>
                <w:sz w:val="18"/>
              </w:rPr>
              <w:t xml:space="preserve"> </w:t>
            </w:r>
            <w:r>
              <w:rPr>
                <w:sz w:val="18"/>
              </w:rPr>
              <w:t>Act</w:t>
            </w:r>
          </w:p>
        </w:tc>
        <w:tc>
          <w:tcPr>
            <w:tcW w:w="8927" w:type="dxa"/>
            <w:tcBorders>
              <w:top w:val="nil"/>
            </w:tcBorders>
            <w:shd w:val="clear" w:color="auto" w:fill="C5EECE"/>
          </w:tcPr>
          <w:p w:rsidR="00A56FE9" w:rsidRDefault="00000000">
            <w:pPr>
              <w:pStyle w:val="TableParagraph"/>
              <w:ind w:left="105" w:right="142"/>
              <w:rPr>
                <w:sz w:val="18"/>
              </w:rPr>
            </w:pPr>
            <w:r>
              <w:rPr>
                <w:sz w:val="18"/>
              </w:rPr>
              <w:t>The amendments to the Pension Insurance Act shall increase the minimum pension and the pension factor used to</w:t>
            </w:r>
            <w:r>
              <w:rPr>
                <w:spacing w:val="1"/>
                <w:sz w:val="18"/>
              </w:rPr>
              <w:t xml:space="preserve"> </w:t>
            </w:r>
            <w:r>
              <w:rPr>
                <w:sz w:val="18"/>
              </w:rPr>
              <w:t>calculate</w:t>
            </w:r>
            <w:r>
              <w:rPr>
                <w:spacing w:val="-3"/>
                <w:sz w:val="18"/>
              </w:rPr>
              <w:t xml:space="preserve"> </w:t>
            </w:r>
            <w:r>
              <w:rPr>
                <w:sz w:val="18"/>
              </w:rPr>
              <w:t>the</w:t>
            </w:r>
            <w:r>
              <w:rPr>
                <w:spacing w:val="-2"/>
                <w:sz w:val="18"/>
              </w:rPr>
              <w:t xml:space="preserve"> </w:t>
            </w:r>
            <w:r>
              <w:rPr>
                <w:sz w:val="18"/>
              </w:rPr>
              <w:t>amount</w:t>
            </w:r>
            <w:r>
              <w:rPr>
                <w:spacing w:val="-1"/>
                <w:sz w:val="18"/>
              </w:rPr>
              <w:t xml:space="preserve"> </w:t>
            </w:r>
            <w:r>
              <w:rPr>
                <w:sz w:val="18"/>
              </w:rPr>
              <w:t>of</w:t>
            </w:r>
            <w:r>
              <w:rPr>
                <w:spacing w:val="-3"/>
                <w:sz w:val="18"/>
              </w:rPr>
              <w:t xml:space="preserve"> </w:t>
            </w:r>
            <w:r>
              <w:rPr>
                <w:sz w:val="18"/>
              </w:rPr>
              <w:t>the</w:t>
            </w:r>
            <w:r>
              <w:rPr>
                <w:spacing w:val="-2"/>
                <w:sz w:val="18"/>
              </w:rPr>
              <w:t xml:space="preserve"> </w:t>
            </w:r>
            <w:r>
              <w:rPr>
                <w:sz w:val="18"/>
              </w:rPr>
              <w:t>survivor’s</w:t>
            </w:r>
            <w:r>
              <w:rPr>
                <w:spacing w:val="-2"/>
                <w:sz w:val="18"/>
              </w:rPr>
              <w:t xml:space="preserve"> </w:t>
            </w:r>
            <w:r>
              <w:rPr>
                <w:sz w:val="18"/>
              </w:rPr>
              <w:t>pension</w:t>
            </w:r>
            <w:r>
              <w:rPr>
                <w:spacing w:val="-2"/>
                <w:sz w:val="18"/>
              </w:rPr>
              <w:t xml:space="preserve"> </w:t>
            </w:r>
            <w:r>
              <w:rPr>
                <w:sz w:val="18"/>
              </w:rPr>
              <w:t>to make</w:t>
            </w:r>
            <w:r>
              <w:rPr>
                <w:spacing w:val="-2"/>
                <w:sz w:val="18"/>
              </w:rPr>
              <w:t xml:space="preserve"> </w:t>
            </w:r>
            <w:r>
              <w:rPr>
                <w:sz w:val="18"/>
              </w:rPr>
              <w:t>it</w:t>
            </w:r>
            <w:r>
              <w:rPr>
                <w:spacing w:val="-1"/>
                <w:sz w:val="18"/>
              </w:rPr>
              <w:t xml:space="preserve"> </w:t>
            </w:r>
            <w:r>
              <w:rPr>
                <w:sz w:val="18"/>
              </w:rPr>
              <w:t>possible</w:t>
            </w:r>
            <w:r>
              <w:rPr>
                <w:spacing w:val="-2"/>
                <w:sz w:val="18"/>
              </w:rPr>
              <w:t xml:space="preserve"> </w:t>
            </w:r>
            <w:r>
              <w:rPr>
                <w:sz w:val="18"/>
              </w:rPr>
              <w:t>to use</w:t>
            </w:r>
            <w:r>
              <w:rPr>
                <w:spacing w:val="-4"/>
                <w:sz w:val="18"/>
              </w:rPr>
              <w:t xml:space="preserve"> </w:t>
            </w:r>
            <w:r>
              <w:rPr>
                <w:sz w:val="18"/>
              </w:rPr>
              <w:t>part</w:t>
            </w:r>
            <w:r>
              <w:rPr>
                <w:spacing w:val="-1"/>
                <w:sz w:val="18"/>
              </w:rPr>
              <w:t xml:space="preserve"> </w:t>
            </w:r>
            <w:r>
              <w:rPr>
                <w:sz w:val="18"/>
              </w:rPr>
              <w:t>of</w:t>
            </w:r>
            <w:r>
              <w:rPr>
                <w:spacing w:val="-3"/>
                <w:sz w:val="18"/>
              </w:rPr>
              <w:t xml:space="preserve"> </w:t>
            </w:r>
            <w:r>
              <w:rPr>
                <w:sz w:val="18"/>
              </w:rPr>
              <w:t>the</w:t>
            </w:r>
            <w:r>
              <w:rPr>
                <w:spacing w:val="-3"/>
                <w:sz w:val="18"/>
              </w:rPr>
              <w:t xml:space="preserve"> </w:t>
            </w:r>
            <w:r>
              <w:rPr>
                <w:sz w:val="18"/>
              </w:rPr>
              <w:t>survivor’s</w:t>
            </w:r>
            <w:r>
              <w:rPr>
                <w:spacing w:val="-4"/>
                <w:sz w:val="18"/>
              </w:rPr>
              <w:t xml:space="preserve"> </w:t>
            </w:r>
            <w:r>
              <w:rPr>
                <w:sz w:val="18"/>
              </w:rPr>
              <w:t>pension in</w:t>
            </w:r>
            <w:r>
              <w:rPr>
                <w:spacing w:val="-2"/>
                <w:sz w:val="18"/>
              </w:rPr>
              <w:t xml:space="preserve"> </w:t>
            </w:r>
            <w:r>
              <w:rPr>
                <w:sz w:val="18"/>
              </w:rPr>
              <w:t>addition to</w:t>
            </w:r>
            <w:r>
              <w:rPr>
                <w:spacing w:val="-1"/>
                <w:sz w:val="18"/>
              </w:rPr>
              <w:t xml:space="preserve"> </w:t>
            </w:r>
            <w:r>
              <w:rPr>
                <w:sz w:val="18"/>
              </w:rPr>
              <w:t>a</w:t>
            </w:r>
          </w:p>
          <w:p w:rsidR="00A56FE9" w:rsidRDefault="00000000">
            <w:pPr>
              <w:pStyle w:val="TableParagraph"/>
              <w:spacing w:line="190" w:lineRule="exact"/>
              <w:ind w:left="105"/>
              <w:rPr>
                <w:sz w:val="18"/>
              </w:rPr>
            </w:pPr>
            <w:r>
              <w:rPr>
                <w:sz w:val="18"/>
              </w:rPr>
              <w:t>personal</w:t>
            </w:r>
            <w:r>
              <w:rPr>
                <w:spacing w:val="-5"/>
                <w:sz w:val="18"/>
              </w:rPr>
              <w:t xml:space="preserve"> </w:t>
            </w:r>
            <w:r>
              <w:rPr>
                <w:sz w:val="18"/>
              </w:rPr>
              <w:t>pension</w:t>
            </w:r>
            <w:r>
              <w:rPr>
                <w:spacing w:val="-1"/>
                <w:sz w:val="18"/>
              </w:rPr>
              <w:t xml:space="preserve"> </w:t>
            </w:r>
            <w:r>
              <w:rPr>
                <w:sz w:val="18"/>
              </w:rPr>
              <w:t>(old/invalidity)</w:t>
            </w:r>
            <w:r>
              <w:rPr>
                <w:spacing w:val="-2"/>
                <w:sz w:val="18"/>
              </w:rPr>
              <w:t xml:space="preserve"> </w:t>
            </w:r>
            <w:r>
              <w:rPr>
                <w:sz w:val="18"/>
              </w:rPr>
              <w:t>under</w:t>
            </w:r>
            <w:r>
              <w:rPr>
                <w:spacing w:val="-2"/>
                <w:sz w:val="18"/>
              </w:rPr>
              <w:t xml:space="preserve"> </w:t>
            </w:r>
            <w:r>
              <w:rPr>
                <w:sz w:val="18"/>
              </w:rPr>
              <w:t>conditions</w:t>
            </w:r>
            <w:r>
              <w:rPr>
                <w:spacing w:val="-3"/>
                <w:sz w:val="18"/>
              </w:rPr>
              <w:t xml:space="preserve"> </w:t>
            </w:r>
            <w:r>
              <w:rPr>
                <w:sz w:val="18"/>
              </w:rPr>
              <w:t>related</w:t>
            </w:r>
            <w:r>
              <w:rPr>
                <w:spacing w:val="-4"/>
                <w:sz w:val="18"/>
              </w:rPr>
              <w:t xml:space="preserve"> </w:t>
            </w:r>
            <w:r>
              <w:rPr>
                <w:sz w:val="18"/>
              </w:rPr>
              <w:t>to</w:t>
            </w:r>
            <w:r>
              <w:rPr>
                <w:spacing w:val="-1"/>
                <w:sz w:val="18"/>
              </w:rPr>
              <w:t xml:space="preserve"> </w:t>
            </w:r>
            <w:r>
              <w:rPr>
                <w:sz w:val="18"/>
              </w:rPr>
              <w:t>age</w:t>
            </w:r>
            <w:r>
              <w:rPr>
                <w:spacing w:val="-3"/>
                <w:sz w:val="18"/>
              </w:rPr>
              <w:t xml:space="preserve"> </w:t>
            </w:r>
            <w:r>
              <w:rPr>
                <w:sz w:val="18"/>
              </w:rPr>
              <w:t>and</w:t>
            </w:r>
            <w:r>
              <w:rPr>
                <w:spacing w:val="-2"/>
                <w:sz w:val="18"/>
              </w:rPr>
              <w:t xml:space="preserve"> </w:t>
            </w:r>
            <w:r>
              <w:rPr>
                <w:sz w:val="18"/>
              </w:rPr>
              <w:t>income,</w:t>
            </w:r>
            <w:r>
              <w:rPr>
                <w:spacing w:val="1"/>
                <w:sz w:val="18"/>
              </w:rPr>
              <w:t xml:space="preserve"> </w:t>
            </w:r>
            <w:r>
              <w:rPr>
                <w:sz w:val="18"/>
              </w:rPr>
              <w:t>for</w:t>
            </w:r>
            <w:r>
              <w:rPr>
                <w:spacing w:val="-2"/>
                <w:sz w:val="18"/>
              </w:rPr>
              <w:t xml:space="preserve"> </w:t>
            </w:r>
            <w:r>
              <w:rPr>
                <w:sz w:val="18"/>
              </w:rPr>
              <w:t>lower</w:t>
            </w:r>
            <w:r>
              <w:rPr>
                <w:spacing w:val="-2"/>
                <w:sz w:val="18"/>
              </w:rPr>
              <w:t xml:space="preserve"> </w:t>
            </w:r>
            <w:r>
              <w:rPr>
                <w:sz w:val="18"/>
              </w:rPr>
              <w:t>income</w:t>
            </w:r>
            <w:r>
              <w:rPr>
                <w:spacing w:val="-4"/>
                <w:sz w:val="18"/>
              </w:rPr>
              <w:t xml:space="preserve"> </w:t>
            </w:r>
            <w:r>
              <w:rPr>
                <w:sz w:val="18"/>
              </w:rPr>
              <w:t>pensioners.</w:t>
            </w:r>
          </w:p>
        </w:tc>
      </w:tr>
      <w:tr w:rsidR="00A56FE9">
        <w:trPr>
          <w:trHeight w:val="1029"/>
        </w:trPr>
        <w:tc>
          <w:tcPr>
            <w:tcW w:w="2064" w:type="dxa"/>
            <w:vMerge/>
            <w:tcBorders>
              <w:top w:val="nil"/>
              <w:bottom w:val="single" w:sz="6" w:space="0" w:color="2C398A"/>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ind w:left="100" w:right="409"/>
              <w:rPr>
                <w:sz w:val="18"/>
              </w:rPr>
            </w:pPr>
            <w:r>
              <w:rPr>
                <w:sz w:val="18"/>
              </w:rPr>
              <w:t>Training of at least 220 social mentoring</w:t>
            </w:r>
            <w:r>
              <w:rPr>
                <w:spacing w:val="-42"/>
                <w:sz w:val="18"/>
              </w:rPr>
              <w:t xml:space="preserve"> </w:t>
            </w:r>
            <w:r>
              <w:rPr>
                <w:sz w:val="18"/>
              </w:rPr>
              <w:t>professionals</w:t>
            </w:r>
          </w:p>
          <w:p w:rsidR="00A56FE9" w:rsidRDefault="00A56FE9">
            <w:pPr>
              <w:pStyle w:val="TableParagraph"/>
              <w:spacing w:before="4"/>
              <w:rPr>
                <w:b/>
                <w:sz w:val="17"/>
              </w:rPr>
            </w:pPr>
          </w:p>
          <w:p w:rsidR="00A56FE9" w:rsidRDefault="00000000">
            <w:pPr>
              <w:pStyle w:val="TableParagraph"/>
              <w:ind w:left="100"/>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8</w:t>
            </w:r>
          </w:p>
        </w:tc>
        <w:tc>
          <w:tcPr>
            <w:tcW w:w="8927" w:type="dxa"/>
            <w:shd w:val="clear" w:color="auto" w:fill="C5EECE"/>
          </w:tcPr>
          <w:p w:rsidR="00A56FE9" w:rsidRDefault="00000000">
            <w:pPr>
              <w:pStyle w:val="TableParagraph"/>
              <w:ind w:left="105" w:right="142"/>
              <w:rPr>
                <w:sz w:val="18"/>
              </w:rPr>
            </w:pPr>
            <w:r>
              <w:rPr>
                <w:sz w:val="18"/>
              </w:rPr>
              <w:t>The</w:t>
            </w:r>
            <w:r>
              <w:rPr>
                <w:spacing w:val="-3"/>
                <w:sz w:val="18"/>
              </w:rPr>
              <w:t xml:space="preserve"> </w:t>
            </w:r>
            <w:r>
              <w:rPr>
                <w:sz w:val="18"/>
              </w:rPr>
              <w:t>training</w:t>
            </w:r>
            <w:r>
              <w:rPr>
                <w:spacing w:val="-2"/>
                <w:sz w:val="18"/>
              </w:rPr>
              <w:t xml:space="preserve"> </w:t>
            </w:r>
            <w:r>
              <w:rPr>
                <w:sz w:val="18"/>
              </w:rPr>
              <w:t>of</w:t>
            </w:r>
            <w:r>
              <w:rPr>
                <w:spacing w:val="-3"/>
                <w:sz w:val="18"/>
              </w:rPr>
              <w:t xml:space="preserve"> </w:t>
            </w:r>
            <w:r>
              <w:rPr>
                <w:sz w:val="18"/>
              </w:rPr>
              <w:t>social</w:t>
            </w:r>
            <w:r>
              <w:rPr>
                <w:spacing w:val="-2"/>
                <w:sz w:val="18"/>
              </w:rPr>
              <w:t xml:space="preserve"> </w:t>
            </w:r>
            <w:r>
              <w:rPr>
                <w:sz w:val="18"/>
              </w:rPr>
              <w:t>workers</w:t>
            </w:r>
            <w:r>
              <w:rPr>
                <w:spacing w:val="-1"/>
                <w:sz w:val="18"/>
              </w:rPr>
              <w:t xml:space="preserve"> </w:t>
            </w:r>
            <w:r>
              <w:rPr>
                <w:sz w:val="18"/>
              </w:rPr>
              <w:t>to provide</w:t>
            </w:r>
            <w:r>
              <w:rPr>
                <w:spacing w:val="-2"/>
                <w:sz w:val="18"/>
              </w:rPr>
              <w:t xml:space="preserve"> </w:t>
            </w:r>
            <w:r>
              <w:rPr>
                <w:sz w:val="18"/>
              </w:rPr>
              <w:t>social</w:t>
            </w:r>
            <w:r>
              <w:rPr>
                <w:spacing w:val="-2"/>
                <w:sz w:val="18"/>
              </w:rPr>
              <w:t xml:space="preserve"> </w:t>
            </w:r>
            <w:r>
              <w:rPr>
                <w:sz w:val="18"/>
              </w:rPr>
              <w:t>mentorship services</w:t>
            </w:r>
            <w:r>
              <w:rPr>
                <w:spacing w:val="-1"/>
                <w:sz w:val="18"/>
              </w:rPr>
              <w:t xml:space="preserve"> </w:t>
            </w:r>
            <w:r>
              <w:rPr>
                <w:sz w:val="18"/>
              </w:rPr>
              <w:t>will</w:t>
            </w:r>
            <w:r>
              <w:rPr>
                <w:spacing w:val="-2"/>
                <w:sz w:val="18"/>
              </w:rPr>
              <w:t xml:space="preserve"> </w:t>
            </w:r>
            <w:r>
              <w:rPr>
                <w:sz w:val="18"/>
              </w:rPr>
              <w:t>allow</w:t>
            </w:r>
            <w:r>
              <w:rPr>
                <w:spacing w:val="-4"/>
                <w:sz w:val="18"/>
              </w:rPr>
              <w:t xml:space="preserve"> </w:t>
            </w:r>
            <w:r>
              <w:rPr>
                <w:sz w:val="18"/>
              </w:rPr>
              <w:t>the</w:t>
            </w:r>
            <w:r>
              <w:rPr>
                <w:spacing w:val="-2"/>
                <w:sz w:val="18"/>
              </w:rPr>
              <w:t xml:space="preserve"> </w:t>
            </w:r>
            <w:r>
              <w:rPr>
                <w:sz w:val="18"/>
              </w:rPr>
              <w:t>introduction and</w:t>
            </w:r>
            <w:r>
              <w:rPr>
                <w:spacing w:val="-3"/>
                <w:sz w:val="18"/>
              </w:rPr>
              <w:t xml:space="preserve"> </w:t>
            </w:r>
            <w:r>
              <w:rPr>
                <w:sz w:val="18"/>
              </w:rPr>
              <w:t>availability</w:t>
            </w:r>
            <w:r>
              <w:rPr>
                <w:spacing w:val="-5"/>
                <w:sz w:val="18"/>
              </w:rPr>
              <w:t xml:space="preserve"> </w:t>
            </w:r>
            <w:r>
              <w:rPr>
                <w:sz w:val="18"/>
              </w:rPr>
              <w:t>of</w:t>
            </w:r>
            <w:r>
              <w:rPr>
                <w:spacing w:val="-3"/>
                <w:sz w:val="18"/>
              </w:rPr>
              <w:t xml:space="preserve"> </w:t>
            </w:r>
            <w:r>
              <w:rPr>
                <w:sz w:val="18"/>
              </w:rPr>
              <w:t>social</w:t>
            </w:r>
            <w:r>
              <w:rPr>
                <w:spacing w:val="-42"/>
                <w:sz w:val="18"/>
              </w:rPr>
              <w:t xml:space="preserve"> </w:t>
            </w:r>
            <w:r>
              <w:rPr>
                <w:sz w:val="18"/>
              </w:rPr>
              <w:t>mentorship services to potential users with the aim of their return or entry on the labour market, and strengthening their</w:t>
            </w:r>
            <w:r>
              <w:rPr>
                <w:spacing w:val="1"/>
                <w:sz w:val="18"/>
              </w:rPr>
              <w:t xml:space="preserve"> </w:t>
            </w:r>
            <w:r>
              <w:rPr>
                <w:sz w:val="18"/>
              </w:rPr>
              <w:t>social and life skills, and social integration and activation of inactive part gravitating towards employable groups on the</w:t>
            </w:r>
            <w:r>
              <w:rPr>
                <w:spacing w:val="1"/>
                <w:sz w:val="18"/>
              </w:rPr>
              <w:t xml:space="preserve"> </w:t>
            </w:r>
            <w:r>
              <w:rPr>
                <w:sz w:val="18"/>
              </w:rPr>
              <w:t>labour</w:t>
            </w:r>
            <w:r>
              <w:rPr>
                <w:spacing w:val="-4"/>
                <w:sz w:val="18"/>
              </w:rPr>
              <w:t xml:space="preserve"> </w:t>
            </w:r>
            <w:r>
              <w:rPr>
                <w:sz w:val="18"/>
              </w:rPr>
              <w:t>market, improving</w:t>
            </w:r>
            <w:r>
              <w:rPr>
                <w:spacing w:val="-3"/>
                <w:sz w:val="18"/>
              </w:rPr>
              <w:t xml:space="preserve"> </w:t>
            </w:r>
            <w:r>
              <w:rPr>
                <w:sz w:val="18"/>
              </w:rPr>
              <w:t>capacities</w:t>
            </w:r>
            <w:r>
              <w:rPr>
                <w:spacing w:val="-1"/>
                <w:sz w:val="18"/>
              </w:rPr>
              <w:t xml:space="preserve"> </w:t>
            </w:r>
            <w:r>
              <w:rPr>
                <w:sz w:val="18"/>
              </w:rPr>
              <w:t>of</w:t>
            </w:r>
            <w:r>
              <w:rPr>
                <w:spacing w:val="-3"/>
                <w:sz w:val="18"/>
              </w:rPr>
              <w:t xml:space="preserve"> </w:t>
            </w:r>
            <w:r>
              <w:rPr>
                <w:sz w:val="18"/>
              </w:rPr>
              <w:t>social</w:t>
            </w:r>
            <w:r>
              <w:rPr>
                <w:spacing w:val="-2"/>
                <w:sz w:val="18"/>
              </w:rPr>
              <w:t xml:space="preserve"> </w:t>
            </w:r>
            <w:r>
              <w:rPr>
                <w:sz w:val="18"/>
              </w:rPr>
              <w:t>welfare</w:t>
            </w:r>
            <w:r>
              <w:rPr>
                <w:spacing w:val="-2"/>
                <w:sz w:val="18"/>
              </w:rPr>
              <w:t xml:space="preserve"> </w:t>
            </w:r>
            <w:r>
              <w:rPr>
                <w:sz w:val="18"/>
              </w:rPr>
              <w:t>centres</w:t>
            </w:r>
            <w:r>
              <w:rPr>
                <w:spacing w:val="-3"/>
                <w:sz w:val="18"/>
              </w:rPr>
              <w:t xml:space="preserve"> </w:t>
            </w:r>
            <w:r>
              <w:rPr>
                <w:sz w:val="18"/>
              </w:rPr>
              <w:t>and services</w:t>
            </w:r>
            <w:r>
              <w:rPr>
                <w:spacing w:val="1"/>
                <w:sz w:val="18"/>
              </w:rPr>
              <w:t xml:space="preserve"> </w:t>
            </w:r>
            <w:r>
              <w:rPr>
                <w:sz w:val="18"/>
              </w:rPr>
              <w:t>for</w:t>
            </w:r>
            <w:r>
              <w:rPr>
                <w:spacing w:val="-2"/>
                <w:sz w:val="18"/>
              </w:rPr>
              <w:t xml:space="preserve"> </w:t>
            </w:r>
            <w:r>
              <w:rPr>
                <w:sz w:val="18"/>
              </w:rPr>
              <w:t>employment</w:t>
            </w:r>
            <w:r>
              <w:rPr>
                <w:spacing w:val="-1"/>
                <w:sz w:val="18"/>
              </w:rPr>
              <w:t xml:space="preserve"> </w:t>
            </w:r>
            <w:r>
              <w:rPr>
                <w:sz w:val="18"/>
              </w:rPr>
              <w:t>to</w:t>
            </w:r>
            <w:r>
              <w:rPr>
                <w:spacing w:val="-3"/>
                <w:sz w:val="18"/>
              </w:rPr>
              <w:t xml:space="preserve"> </w:t>
            </w:r>
            <w:r>
              <w:rPr>
                <w:sz w:val="18"/>
              </w:rPr>
              <w:t>handle</w:t>
            </w:r>
            <w:r>
              <w:rPr>
                <w:spacing w:val="-1"/>
                <w:sz w:val="18"/>
              </w:rPr>
              <w:t xml:space="preserve"> </w:t>
            </w:r>
            <w:r>
              <w:rPr>
                <w:sz w:val="18"/>
              </w:rPr>
              <w:t>cases</w:t>
            </w:r>
            <w:r>
              <w:rPr>
                <w:spacing w:val="-1"/>
                <w:sz w:val="18"/>
              </w:rPr>
              <w:t xml:space="preserve"> </w:t>
            </w:r>
            <w:r>
              <w:rPr>
                <w:sz w:val="18"/>
              </w:rPr>
              <w:t>together</w:t>
            </w:r>
            <w:r>
              <w:rPr>
                <w:spacing w:val="-2"/>
                <w:sz w:val="18"/>
              </w:rPr>
              <w:t xml:space="preserve"> </w:t>
            </w:r>
            <w:r>
              <w:rPr>
                <w:sz w:val="18"/>
              </w:rPr>
              <w:t>and</w:t>
            </w:r>
          </w:p>
          <w:p w:rsidR="00A56FE9" w:rsidRDefault="00000000">
            <w:pPr>
              <w:pStyle w:val="TableParagraph"/>
              <w:spacing w:line="189" w:lineRule="exact"/>
              <w:ind w:left="105"/>
              <w:rPr>
                <w:sz w:val="18"/>
              </w:rPr>
            </w:pPr>
            <w:r>
              <w:rPr>
                <w:sz w:val="18"/>
              </w:rPr>
              <w:t>their</w:t>
            </w:r>
            <w:r>
              <w:rPr>
                <w:spacing w:val="-2"/>
                <w:sz w:val="18"/>
              </w:rPr>
              <w:t xml:space="preserve"> </w:t>
            </w:r>
            <w:r>
              <w:rPr>
                <w:sz w:val="18"/>
              </w:rPr>
              <w:t>better</w:t>
            </w:r>
            <w:r>
              <w:rPr>
                <w:spacing w:val="-2"/>
                <w:sz w:val="18"/>
              </w:rPr>
              <w:t xml:space="preserve"> </w:t>
            </w:r>
            <w:r>
              <w:rPr>
                <w:sz w:val="18"/>
              </w:rPr>
              <w:t>cooperation</w:t>
            </w:r>
            <w:r>
              <w:rPr>
                <w:spacing w:val="-2"/>
                <w:sz w:val="18"/>
              </w:rPr>
              <w:t xml:space="preserve"> </w:t>
            </w:r>
            <w:r>
              <w:rPr>
                <w:sz w:val="18"/>
              </w:rPr>
              <w:t>and</w:t>
            </w:r>
            <w:r>
              <w:rPr>
                <w:spacing w:val="-1"/>
                <w:sz w:val="18"/>
              </w:rPr>
              <w:t xml:space="preserve"> </w:t>
            </w:r>
            <w:r>
              <w:rPr>
                <w:sz w:val="18"/>
              </w:rPr>
              <w:t>exchanging</w:t>
            </w:r>
            <w:r>
              <w:rPr>
                <w:spacing w:val="-3"/>
                <w:sz w:val="18"/>
              </w:rPr>
              <w:t xml:space="preserve"> </w:t>
            </w:r>
            <w:r>
              <w:rPr>
                <w:sz w:val="18"/>
              </w:rPr>
              <w:t>of</w:t>
            </w:r>
            <w:r>
              <w:rPr>
                <w:spacing w:val="-3"/>
                <w:sz w:val="18"/>
              </w:rPr>
              <w:t xml:space="preserve"> </w:t>
            </w:r>
            <w:r>
              <w:rPr>
                <w:sz w:val="18"/>
              </w:rPr>
              <w:t>data.</w:t>
            </w:r>
          </w:p>
        </w:tc>
      </w:tr>
      <w:tr w:rsidR="00A56FE9">
        <w:trPr>
          <w:trHeight w:val="409"/>
        </w:trPr>
        <w:tc>
          <w:tcPr>
            <w:tcW w:w="2064" w:type="dxa"/>
            <w:vMerge/>
            <w:tcBorders>
              <w:top w:val="nil"/>
              <w:bottom w:val="single" w:sz="6" w:space="0" w:color="2C398A"/>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spacing w:line="199" w:lineRule="exact"/>
              <w:ind w:left="100"/>
              <w:rPr>
                <w:sz w:val="18"/>
              </w:rPr>
            </w:pPr>
            <w:r>
              <w:rPr>
                <w:sz w:val="18"/>
              </w:rPr>
              <w:t>Adoption</w:t>
            </w:r>
            <w:r>
              <w:rPr>
                <w:spacing w:val="-1"/>
                <w:sz w:val="18"/>
              </w:rPr>
              <w:t xml:space="preserve"> </w:t>
            </w:r>
            <w:r>
              <w:rPr>
                <w:sz w:val="18"/>
              </w:rPr>
              <w:t>of</w:t>
            </w:r>
            <w:r>
              <w:rPr>
                <w:spacing w:val="-3"/>
                <w:sz w:val="18"/>
              </w:rPr>
              <w:t xml:space="preserve"> </w:t>
            </w:r>
            <w:r>
              <w:rPr>
                <w:sz w:val="18"/>
              </w:rPr>
              <w:t>standards</w:t>
            </w:r>
            <w:r>
              <w:rPr>
                <w:spacing w:val="-1"/>
                <w:sz w:val="18"/>
              </w:rPr>
              <w:t xml:space="preserve"> </w:t>
            </w:r>
            <w:r>
              <w:rPr>
                <w:sz w:val="18"/>
              </w:rPr>
              <w:t>of</w:t>
            </w:r>
            <w:r>
              <w:rPr>
                <w:spacing w:val="-3"/>
                <w:sz w:val="18"/>
              </w:rPr>
              <w:t xml:space="preserve"> </w:t>
            </w:r>
            <w:r>
              <w:rPr>
                <w:sz w:val="18"/>
              </w:rPr>
              <w:t>treatment</w:t>
            </w:r>
            <w:r>
              <w:rPr>
                <w:spacing w:val="-1"/>
                <w:sz w:val="18"/>
              </w:rPr>
              <w:t xml:space="preserve"> </w:t>
            </w:r>
            <w:r>
              <w:rPr>
                <w:sz w:val="18"/>
              </w:rPr>
              <w:t>for</w:t>
            </w:r>
          </w:p>
          <w:p w:rsidR="00A56FE9" w:rsidRDefault="00000000">
            <w:pPr>
              <w:pStyle w:val="TableParagraph"/>
              <w:spacing w:line="191" w:lineRule="exact"/>
              <w:ind w:left="100"/>
              <w:rPr>
                <w:sz w:val="18"/>
              </w:rPr>
            </w:pPr>
            <w:r>
              <w:rPr>
                <w:sz w:val="18"/>
              </w:rPr>
              <w:t>family</w:t>
            </w:r>
            <w:r>
              <w:rPr>
                <w:spacing w:val="-4"/>
                <w:sz w:val="18"/>
              </w:rPr>
              <w:t xml:space="preserve"> </w:t>
            </w:r>
            <w:r>
              <w:rPr>
                <w:sz w:val="18"/>
              </w:rPr>
              <w:t>assistants</w:t>
            </w:r>
          </w:p>
        </w:tc>
        <w:tc>
          <w:tcPr>
            <w:tcW w:w="8927" w:type="dxa"/>
            <w:shd w:val="clear" w:color="auto" w:fill="C5EECE"/>
          </w:tcPr>
          <w:p w:rsidR="00A56FE9" w:rsidRDefault="00000000">
            <w:pPr>
              <w:pStyle w:val="TableParagraph"/>
              <w:spacing w:line="199" w:lineRule="exact"/>
              <w:ind w:left="105"/>
              <w:rPr>
                <w:sz w:val="18"/>
              </w:rPr>
            </w:pPr>
            <w:r>
              <w:rPr>
                <w:sz w:val="18"/>
              </w:rPr>
              <w:t>Developed standards</w:t>
            </w:r>
            <w:r>
              <w:rPr>
                <w:spacing w:val="-1"/>
                <w:sz w:val="18"/>
              </w:rPr>
              <w:t xml:space="preserve"> </w:t>
            </w:r>
            <w:r>
              <w:rPr>
                <w:sz w:val="18"/>
              </w:rPr>
              <w:t>to regulate</w:t>
            </w:r>
            <w:r>
              <w:rPr>
                <w:spacing w:val="-2"/>
                <w:sz w:val="18"/>
              </w:rPr>
              <w:t xml:space="preserve"> </w:t>
            </w:r>
            <w:r>
              <w:rPr>
                <w:sz w:val="18"/>
              </w:rPr>
              <w:t>activities</w:t>
            </w:r>
            <w:r>
              <w:rPr>
                <w:spacing w:val="-2"/>
                <w:sz w:val="18"/>
              </w:rPr>
              <w:t xml:space="preserve"> </w:t>
            </w:r>
            <w:r>
              <w:rPr>
                <w:sz w:val="18"/>
              </w:rPr>
              <w:t>of</w:t>
            </w:r>
            <w:r>
              <w:rPr>
                <w:spacing w:val="-3"/>
                <w:sz w:val="18"/>
              </w:rPr>
              <w:t xml:space="preserve"> </w:t>
            </w:r>
            <w:r>
              <w:rPr>
                <w:sz w:val="18"/>
              </w:rPr>
              <w:t>family</w:t>
            </w:r>
            <w:r>
              <w:rPr>
                <w:spacing w:val="-5"/>
                <w:sz w:val="18"/>
              </w:rPr>
              <w:t xml:space="preserve"> </w:t>
            </w:r>
            <w:r>
              <w:rPr>
                <w:sz w:val="18"/>
              </w:rPr>
              <w:t>assistants</w:t>
            </w:r>
            <w:r>
              <w:rPr>
                <w:spacing w:val="-1"/>
                <w:sz w:val="18"/>
              </w:rPr>
              <w:t xml:space="preserve"> </w:t>
            </w:r>
            <w:r>
              <w:rPr>
                <w:sz w:val="18"/>
              </w:rPr>
              <w:t>shall</w:t>
            </w:r>
            <w:r>
              <w:rPr>
                <w:spacing w:val="-1"/>
                <w:sz w:val="18"/>
              </w:rPr>
              <w:t xml:space="preserve"> </w:t>
            </w:r>
            <w:r>
              <w:rPr>
                <w:sz w:val="18"/>
              </w:rPr>
              <w:t>enable</w:t>
            </w:r>
            <w:r>
              <w:rPr>
                <w:spacing w:val="-1"/>
                <w:sz w:val="18"/>
              </w:rPr>
              <w:t xml:space="preserve"> </w:t>
            </w:r>
            <w:r>
              <w:rPr>
                <w:sz w:val="18"/>
              </w:rPr>
              <w:t>the</w:t>
            </w:r>
            <w:r>
              <w:rPr>
                <w:spacing w:val="2"/>
                <w:sz w:val="18"/>
              </w:rPr>
              <w:t xml:space="preserve"> </w:t>
            </w:r>
            <w:r>
              <w:rPr>
                <w:sz w:val="18"/>
              </w:rPr>
              <w:t>harmonised provision</w:t>
            </w:r>
            <w:r>
              <w:rPr>
                <w:spacing w:val="-2"/>
                <w:sz w:val="18"/>
              </w:rPr>
              <w:t xml:space="preserve"> </w:t>
            </w:r>
            <w:r>
              <w:rPr>
                <w:sz w:val="18"/>
              </w:rPr>
              <w:t>of</w:t>
            </w:r>
            <w:r>
              <w:rPr>
                <w:spacing w:val="-3"/>
                <w:sz w:val="18"/>
              </w:rPr>
              <w:t xml:space="preserve"> </w:t>
            </w:r>
            <w:r>
              <w:rPr>
                <w:sz w:val="18"/>
              </w:rPr>
              <w:t>on-the-spot</w:t>
            </w:r>
          </w:p>
          <w:p w:rsidR="00A56FE9" w:rsidRDefault="00000000">
            <w:pPr>
              <w:pStyle w:val="TableParagraph"/>
              <w:spacing w:line="191" w:lineRule="exact"/>
              <w:ind w:left="105"/>
              <w:rPr>
                <w:sz w:val="18"/>
              </w:rPr>
            </w:pPr>
            <w:r>
              <w:rPr>
                <w:sz w:val="18"/>
              </w:rPr>
              <w:t>services</w:t>
            </w:r>
            <w:r>
              <w:rPr>
                <w:spacing w:val="-3"/>
                <w:sz w:val="18"/>
              </w:rPr>
              <w:t xml:space="preserve"> </w:t>
            </w:r>
            <w:r>
              <w:rPr>
                <w:sz w:val="18"/>
              </w:rPr>
              <w:t>in the</w:t>
            </w:r>
            <w:r>
              <w:rPr>
                <w:spacing w:val="-5"/>
                <w:sz w:val="18"/>
              </w:rPr>
              <w:t xml:space="preserve"> </w:t>
            </w:r>
            <w:r>
              <w:rPr>
                <w:sz w:val="18"/>
              </w:rPr>
              <w:t>beneficiary’s</w:t>
            </w:r>
            <w:r>
              <w:rPr>
                <w:spacing w:val="-2"/>
                <w:sz w:val="18"/>
              </w:rPr>
              <w:t xml:space="preserve"> </w:t>
            </w:r>
            <w:r>
              <w:rPr>
                <w:sz w:val="18"/>
              </w:rPr>
              <w:t>home</w:t>
            </w:r>
            <w:r>
              <w:rPr>
                <w:spacing w:val="-3"/>
                <w:sz w:val="18"/>
              </w:rPr>
              <w:t xml:space="preserve"> </w:t>
            </w:r>
            <w:r>
              <w:rPr>
                <w:sz w:val="18"/>
              </w:rPr>
              <w:t>in</w:t>
            </w:r>
            <w:r>
              <w:rPr>
                <w:spacing w:val="-1"/>
                <w:sz w:val="18"/>
              </w:rPr>
              <w:t xml:space="preserve"> </w:t>
            </w:r>
            <w:r>
              <w:rPr>
                <w:sz w:val="18"/>
              </w:rPr>
              <w:t>cooperation</w:t>
            </w:r>
            <w:r>
              <w:rPr>
                <w:spacing w:val="-1"/>
                <w:sz w:val="18"/>
              </w:rPr>
              <w:t xml:space="preserve"> </w:t>
            </w:r>
            <w:r>
              <w:rPr>
                <w:sz w:val="18"/>
              </w:rPr>
              <w:t>with</w:t>
            </w:r>
            <w:r>
              <w:rPr>
                <w:spacing w:val="-1"/>
                <w:sz w:val="18"/>
              </w:rPr>
              <w:t xml:space="preserve"> </w:t>
            </w:r>
            <w:r>
              <w:rPr>
                <w:sz w:val="18"/>
              </w:rPr>
              <w:t>other</w:t>
            </w:r>
            <w:r>
              <w:rPr>
                <w:spacing w:val="-2"/>
                <w:sz w:val="18"/>
              </w:rPr>
              <w:t xml:space="preserve"> </w:t>
            </w:r>
            <w:r>
              <w:rPr>
                <w:sz w:val="18"/>
              </w:rPr>
              <w:t>stakeholders</w:t>
            </w:r>
            <w:r>
              <w:rPr>
                <w:spacing w:val="-2"/>
                <w:sz w:val="18"/>
              </w:rPr>
              <w:t xml:space="preserve"> </w:t>
            </w:r>
            <w:r>
              <w:rPr>
                <w:sz w:val="18"/>
              </w:rPr>
              <w:t>at</w:t>
            </w:r>
            <w:r>
              <w:rPr>
                <w:spacing w:val="-1"/>
                <w:sz w:val="18"/>
              </w:rPr>
              <w:t xml:space="preserve"> </w:t>
            </w:r>
            <w:r>
              <w:rPr>
                <w:sz w:val="18"/>
              </w:rPr>
              <w:t>the</w:t>
            </w:r>
            <w:r>
              <w:rPr>
                <w:spacing w:val="-3"/>
                <w:sz w:val="18"/>
              </w:rPr>
              <w:t xml:space="preserve"> </w:t>
            </w:r>
            <w:r>
              <w:rPr>
                <w:sz w:val="18"/>
              </w:rPr>
              <w:t>local</w:t>
            </w:r>
            <w:r>
              <w:rPr>
                <w:spacing w:val="-2"/>
                <w:sz w:val="18"/>
              </w:rPr>
              <w:t xml:space="preserve"> </w:t>
            </w:r>
            <w:r>
              <w:rPr>
                <w:sz w:val="18"/>
              </w:rPr>
              <w:t>community</w:t>
            </w:r>
            <w:r>
              <w:rPr>
                <w:spacing w:val="-6"/>
                <w:sz w:val="18"/>
              </w:rPr>
              <w:t xml:space="preserve"> </w:t>
            </w:r>
            <w:r>
              <w:rPr>
                <w:sz w:val="18"/>
              </w:rPr>
              <w:t>level.</w:t>
            </w:r>
          </w:p>
        </w:tc>
      </w:tr>
      <w:tr w:rsidR="00A56FE9">
        <w:trPr>
          <w:trHeight w:val="1650"/>
        </w:trPr>
        <w:tc>
          <w:tcPr>
            <w:tcW w:w="2064" w:type="dxa"/>
            <w:vMerge/>
            <w:tcBorders>
              <w:top w:val="nil"/>
              <w:bottom w:val="single" w:sz="6" w:space="0" w:color="2C398A"/>
            </w:tcBorders>
            <w:shd w:val="clear" w:color="auto" w:fill="F1F1F1"/>
          </w:tcPr>
          <w:p w:rsidR="00A56FE9" w:rsidRDefault="00A56FE9">
            <w:pPr>
              <w:rPr>
                <w:sz w:val="2"/>
                <w:szCs w:val="2"/>
              </w:rPr>
            </w:pPr>
          </w:p>
        </w:tc>
        <w:tc>
          <w:tcPr>
            <w:tcW w:w="3469" w:type="dxa"/>
          </w:tcPr>
          <w:p w:rsidR="00A56FE9" w:rsidRDefault="00000000">
            <w:pPr>
              <w:pStyle w:val="TableParagraph"/>
              <w:ind w:left="100" w:right="397"/>
              <w:rPr>
                <w:sz w:val="18"/>
              </w:rPr>
            </w:pPr>
            <w:r>
              <w:rPr>
                <w:sz w:val="18"/>
              </w:rPr>
              <w:t>Amendments</w:t>
            </w:r>
            <w:r>
              <w:rPr>
                <w:spacing w:val="-3"/>
                <w:sz w:val="18"/>
              </w:rPr>
              <w:t xml:space="preserve"> </w:t>
            </w:r>
            <w:r>
              <w:rPr>
                <w:sz w:val="18"/>
              </w:rPr>
              <w:t>to</w:t>
            </w:r>
            <w:r>
              <w:rPr>
                <w:spacing w:val="-2"/>
                <w:sz w:val="18"/>
              </w:rPr>
              <w:t xml:space="preserve"> </w:t>
            </w:r>
            <w:r>
              <w:rPr>
                <w:sz w:val="18"/>
              </w:rPr>
              <w:t>the</w:t>
            </w:r>
            <w:r>
              <w:rPr>
                <w:spacing w:val="-3"/>
                <w:sz w:val="18"/>
              </w:rPr>
              <w:t xml:space="preserve"> </w:t>
            </w:r>
            <w:r>
              <w:rPr>
                <w:sz w:val="18"/>
              </w:rPr>
              <w:t>Act</w:t>
            </w:r>
            <w:r>
              <w:rPr>
                <w:spacing w:val="-3"/>
                <w:sz w:val="18"/>
              </w:rPr>
              <w:t xml:space="preserve"> </w:t>
            </w:r>
            <w:r>
              <w:rPr>
                <w:sz w:val="18"/>
              </w:rPr>
              <w:t>on</w:t>
            </w:r>
            <w:r>
              <w:rPr>
                <w:spacing w:val="-2"/>
                <w:sz w:val="18"/>
              </w:rPr>
              <w:t xml:space="preserve"> </w:t>
            </w:r>
            <w:r>
              <w:rPr>
                <w:sz w:val="18"/>
              </w:rPr>
              <w:t>Development</w:t>
            </w:r>
            <w:r>
              <w:rPr>
                <w:spacing w:val="-42"/>
                <w:sz w:val="18"/>
              </w:rPr>
              <w:t xml:space="preserve"> </w:t>
            </w:r>
            <w:r>
              <w:rPr>
                <w:sz w:val="18"/>
              </w:rPr>
              <w:t>Cooperation and Humanitarian Aid for</w:t>
            </w:r>
            <w:r>
              <w:rPr>
                <w:spacing w:val="1"/>
                <w:sz w:val="18"/>
              </w:rPr>
              <w:t xml:space="preserve"> </w:t>
            </w:r>
            <w:r>
              <w:rPr>
                <w:sz w:val="18"/>
              </w:rPr>
              <w:t>Abroad</w:t>
            </w:r>
          </w:p>
          <w:p w:rsidR="00A56FE9" w:rsidRDefault="00000000">
            <w:pPr>
              <w:pStyle w:val="TableParagraph"/>
              <w:ind w:left="100" w:right="115"/>
              <w:rPr>
                <w:sz w:val="18"/>
              </w:rPr>
            </w:pPr>
            <w:r>
              <w:rPr>
                <w:sz w:val="18"/>
              </w:rPr>
              <w:t>Adoption of the National Plan for</w:t>
            </w:r>
            <w:r>
              <w:rPr>
                <w:spacing w:val="1"/>
                <w:sz w:val="18"/>
              </w:rPr>
              <w:t xml:space="preserve"> </w:t>
            </w:r>
            <w:r>
              <w:rPr>
                <w:sz w:val="18"/>
              </w:rPr>
              <w:t>Development</w:t>
            </w:r>
            <w:r>
              <w:rPr>
                <w:spacing w:val="-4"/>
                <w:sz w:val="18"/>
              </w:rPr>
              <w:t xml:space="preserve"> </w:t>
            </w:r>
            <w:r>
              <w:rPr>
                <w:sz w:val="18"/>
              </w:rPr>
              <w:t>Cooperation</w:t>
            </w:r>
            <w:r>
              <w:rPr>
                <w:spacing w:val="-4"/>
                <w:sz w:val="18"/>
              </w:rPr>
              <w:t xml:space="preserve"> </w:t>
            </w:r>
            <w:r>
              <w:rPr>
                <w:sz w:val="18"/>
              </w:rPr>
              <w:t>and</w:t>
            </w:r>
            <w:r>
              <w:rPr>
                <w:spacing w:val="-5"/>
                <w:sz w:val="18"/>
              </w:rPr>
              <w:t xml:space="preserve"> </w:t>
            </w:r>
            <w:r>
              <w:rPr>
                <w:sz w:val="18"/>
              </w:rPr>
              <w:t>Humanitarian</w:t>
            </w:r>
            <w:r>
              <w:rPr>
                <w:spacing w:val="-42"/>
                <w:sz w:val="18"/>
              </w:rPr>
              <w:t xml:space="preserve"> </w:t>
            </w:r>
            <w:r>
              <w:rPr>
                <w:sz w:val="18"/>
              </w:rPr>
              <w:t>Aid of the Republic of Croatia for the period</w:t>
            </w:r>
            <w:r>
              <w:rPr>
                <w:spacing w:val="-42"/>
                <w:sz w:val="18"/>
              </w:rPr>
              <w:t xml:space="preserve"> </w:t>
            </w:r>
            <w:r>
              <w:rPr>
                <w:sz w:val="18"/>
              </w:rPr>
              <w:t>2022-2026.</w:t>
            </w:r>
          </w:p>
          <w:p w:rsidR="00A56FE9" w:rsidRDefault="00000000">
            <w:pPr>
              <w:pStyle w:val="TableParagraph"/>
              <w:spacing w:line="189" w:lineRule="exact"/>
              <w:ind w:left="100"/>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17</w:t>
            </w:r>
          </w:p>
        </w:tc>
        <w:tc>
          <w:tcPr>
            <w:tcW w:w="8927" w:type="dxa"/>
          </w:tcPr>
          <w:p w:rsidR="00A56FE9" w:rsidRDefault="00000000">
            <w:pPr>
              <w:pStyle w:val="TableParagraph"/>
              <w:ind w:left="105" w:right="179"/>
              <w:rPr>
                <w:sz w:val="18"/>
              </w:rPr>
            </w:pPr>
            <w:r>
              <w:rPr>
                <w:sz w:val="18"/>
              </w:rPr>
              <w:t>Development cooperation and humanitarian aid from the Republic of Croatia is based on the Development Cooperation</w:t>
            </w:r>
            <w:r>
              <w:rPr>
                <w:spacing w:val="-42"/>
                <w:sz w:val="18"/>
              </w:rPr>
              <w:t xml:space="preserve"> </w:t>
            </w:r>
            <w:r>
              <w:rPr>
                <w:sz w:val="18"/>
              </w:rPr>
              <w:t>and Humanitarian Aid Abroad Act of 2008 and the National Strategy for Development Cooperation of the Republic of</w:t>
            </w:r>
            <w:r>
              <w:rPr>
                <w:spacing w:val="1"/>
                <w:sz w:val="18"/>
              </w:rPr>
              <w:t xml:space="preserve"> </w:t>
            </w:r>
            <w:r>
              <w:rPr>
                <w:sz w:val="18"/>
              </w:rPr>
              <w:t>Croatia</w:t>
            </w:r>
            <w:r>
              <w:rPr>
                <w:spacing w:val="-3"/>
                <w:sz w:val="18"/>
              </w:rPr>
              <w:t xml:space="preserve"> </w:t>
            </w:r>
            <w:r>
              <w:rPr>
                <w:sz w:val="18"/>
              </w:rPr>
              <w:t>for</w:t>
            </w:r>
            <w:r>
              <w:rPr>
                <w:spacing w:val="-1"/>
                <w:sz w:val="18"/>
              </w:rPr>
              <w:t xml:space="preserve"> </w:t>
            </w:r>
            <w:r>
              <w:rPr>
                <w:sz w:val="18"/>
              </w:rPr>
              <w:t>the</w:t>
            </w:r>
            <w:r>
              <w:rPr>
                <w:spacing w:val="-2"/>
                <w:sz w:val="18"/>
              </w:rPr>
              <w:t xml:space="preserve"> </w:t>
            </w:r>
            <w:r>
              <w:rPr>
                <w:sz w:val="18"/>
              </w:rPr>
              <w:t>period</w:t>
            </w:r>
            <w:r>
              <w:rPr>
                <w:spacing w:val="-3"/>
                <w:sz w:val="18"/>
              </w:rPr>
              <w:t xml:space="preserve"> </w:t>
            </w:r>
            <w:r>
              <w:rPr>
                <w:sz w:val="18"/>
              </w:rPr>
              <w:t>2017-2021.</w:t>
            </w:r>
            <w:r>
              <w:rPr>
                <w:spacing w:val="-3"/>
                <w:sz w:val="18"/>
              </w:rPr>
              <w:t xml:space="preserve"> </w:t>
            </w:r>
            <w:r>
              <w:rPr>
                <w:sz w:val="18"/>
              </w:rPr>
              <w:t>We</w:t>
            </w:r>
            <w:r>
              <w:rPr>
                <w:spacing w:val="-2"/>
                <w:sz w:val="18"/>
              </w:rPr>
              <w:t xml:space="preserve"> </w:t>
            </w:r>
            <w:r>
              <w:rPr>
                <w:sz w:val="18"/>
              </w:rPr>
              <w:t>are</w:t>
            </w:r>
            <w:r>
              <w:rPr>
                <w:spacing w:val="-3"/>
                <w:sz w:val="18"/>
              </w:rPr>
              <w:t xml:space="preserve"> </w:t>
            </w:r>
            <w:r>
              <w:rPr>
                <w:sz w:val="18"/>
              </w:rPr>
              <w:t>currently</w:t>
            </w:r>
            <w:r>
              <w:rPr>
                <w:spacing w:val="-2"/>
                <w:sz w:val="18"/>
              </w:rPr>
              <w:t xml:space="preserve"> </w:t>
            </w:r>
            <w:r>
              <w:rPr>
                <w:sz w:val="18"/>
              </w:rPr>
              <w:t>working</w:t>
            </w:r>
            <w:r>
              <w:rPr>
                <w:spacing w:val="-2"/>
                <w:sz w:val="18"/>
              </w:rPr>
              <w:t xml:space="preserve"> </w:t>
            </w:r>
            <w:r>
              <w:rPr>
                <w:sz w:val="18"/>
              </w:rPr>
              <w:t>on</w:t>
            </w:r>
            <w:r>
              <w:rPr>
                <w:spacing w:val="-1"/>
                <w:sz w:val="18"/>
              </w:rPr>
              <w:t xml:space="preserve"> </w:t>
            </w:r>
            <w:r>
              <w:rPr>
                <w:sz w:val="18"/>
              </w:rPr>
              <w:t>amendments</w:t>
            </w:r>
            <w:r>
              <w:rPr>
                <w:spacing w:val="-1"/>
                <w:sz w:val="18"/>
              </w:rPr>
              <w:t xml:space="preserve"> </w:t>
            </w:r>
            <w:r>
              <w:rPr>
                <w:sz w:val="18"/>
              </w:rPr>
              <w:t>to the</w:t>
            </w:r>
            <w:r>
              <w:rPr>
                <w:spacing w:val="-3"/>
                <w:sz w:val="18"/>
              </w:rPr>
              <w:t xml:space="preserve"> </w:t>
            </w:r>
            <w:r>
              <w:rPr>
                <w:sz w:val="18"/>
              </w:rPr>
              <w:t>existing</w:t>
            </w:r>
            <w:r>
              <w:rPr>
                <w:spacing w:val="-2"/>
                <w:sz w:val="18"/>
              </w:rPr>
              <w:t xml:space="preserve"> </w:t>
            </w:r>
            <w:r>
              <w:rPr>
                <w:sz w:val="18"/>
              </w:rPr>
              <w:t>Act</w:t>
            </w:r>
            <w:r>
              <w:rPr>
                <w:spacing w:val="-1"/>
                <w:sz w:val="18"/>
              </w:rPr>
              <w:t xml:space="preserve"> </w:t>
            </w:r>
            <w:r>
              <w:rPr>
                <w:sz w:val="18"/>
              </w:rPr>
              <w:t>in</w:t>
            </w:r>
            <w:r>
              <w:rPr>
                <w:spacing w:val="-1"/>
                <w:sz w:val="18"/>
              </w:rPr>
              <w:t xml:space="preserve"> </w:t>
            </w:r>
            <w:r>
              <w:rPr>
                <w:sz w:val="18"/>
              </w:rPr>
              <w:t>order</w:t>
            </w:r>
            <w:r>
              <w:rPr>
                <w:spacing w:val="-1"/>
                <w:sz w:val="18"/>
              </w:rPr>
              <w:t xml:space="preserve"> </w:t>
            </w:r>
            <w:r>
              <w:rPr>
                <w:sz w:val="18"/>
              </w:rPr>
              <w:t>to comply</w:t>
            </w:r>
            <w:r>
              <w:rPr>
                <w:spacing w:val="-3"/>
                <w:sz w:val="18"/>
              </w:rPr>
              <w:t xml:space="preserve"> </w:t>
            </w:r>
            <w:r>
              <w:rPr>
                <w:sz w:val="18"/>
              </w:rPr>
              <w:t>with</w:t>
            </w:r>
            <w:r>
              <w:rPr>
                <w:spacing w:val="-42"/>
                <w:sz w:val="18"/>
              </w:rPr>
              <w:t xml:space="preserve"> </w:t>
            </w:r>
            <w:r>
              <w:rPr>
                <w:sz w:val="18"/>
              </w:rPr>
              <w:t>national strategic priorities and global goals of sustainable development, as well as on the new National Plan for</w:t>
            </w:r>
            <w:r>
              <w:rPr>
                <w:spacing w:val="1"/>
                <w:sz w:val="18"/>
              </w:rPr>
              <w:t xml:space="preserve"> </w:t>
            </w:r>
            <w:r>
              <w:rPr>
                <w:sz w:val="18"/>
              </w:rPr>
              <w:t>Development</w:t>
            </w:r>
            <w:r>
              <w:rPr>
                <w:spacing w:val="-1"/>
                <w:sz w:val="18"/>
              </w:rPr>
              <w:t xml:space="preserve"> </w:t>
            </w:r>
            <w:r>
              <w:rPr>
                <w:sz w:val="18"/>
              </w:rPr>
              <w:t>Cooperation</w:t>
            </w:r>
            <w:r>
              <w:rPr>
                <w:spacing w:val="-1"/>
                <w:sz w:val="18"/>
              </w:rPr>
              <w:t xml:space="preserve"> </w:t>
            </w:r>
            <w:r>
              <w:rPr>
                <w:sz w:val="18"/>
              </w:rPr>
              <w:t>and</w:t>
            </w:r>
            <w:r>
              <w:rPr>
                <w:spacing w:val="-2"/>
                <w:sz w:val="18"/>
              </w:rPr>
              <w:t xml:space="preserve"> </w:t>
            </w:r>
            <w:r>
              <w:rPr>
                <w:sz w:val="18"/>
              </w:rPr>
              <w:t>Humanitarian</w:t>
            </w:r>
            <w:r>
              <w:rPr>
                <w:spacing w:val="1"/>
                <w:sz w:val="18"/>
              </w:rPr>
              <w:t xml:space="preserve"> </w:t>
            </w:r>
            <w:r>
              <w:rPr>
                <w:sz w:val="18"/>
              </w:rPr>
              <w:t>Aid</w:t>
            </w:r>
            <w:r>
              <w:rPr>
                <w:spacing w:val="1"/>
                <w:sz w:val="18"/>
              </w:rPr>
              <w:t xml:space="preserve"> </w:t>
            </w:r>
            <w:r>
              <w:rPr>
                <w:sz w:val="18"/>
              </w:rPr>
              <w:t>of</w:t>
            </w:r>
            <w:r>
              <w:rPr>
                <w:spacing w:val="-3"/>
                <w:sz w:val="18"/>
              </w:rPr>
              <w:t xml:space="preserve"> </w:t>
            </w:r>
            <w:r>
              <w:rPr>
                <w:sz w:val="18"/>
              </w:rPr>
              <w:t>the</w:t>
            </w:r>
            <w:r>
              <w:rPr>
                <w:spacing w:val="-1"/>
                <w:sz w:val="18"/>
              </w:rPr>
              <w:t xml:space="preserve"> </w:t>
            </w:r>
            <w:r>
              <w:rPr>
                <w:sz w:val="18"/>
              </w:rPr>
              <w:t>Republic</w:t>
            </w:r>
            <w:r>
              <w:rPr>
                <w:spacing w:val="-3"/>
                <w:sz w:val="18"/>
              </w:rPr>
              <w:t xml:space="preserve"> </w:t>
            </w:r>
            <w:r>
              <w:rPr>
                <w:sz w:val="18"/>
              </w:rPr>
              <w:t>of</w:t>
            </w:r>
            <w:r>
              <w:rPr>
                <w:spacing w:val="-3"/>
                <w:sz w:val="18"/>
              </w:rPr>
              <w:t xml:space="preserve"> </w:t>
            </w:r>
            <w:r>
              <w:rPr>
                <w:sz w:val="18"/>
              </w:rPr>
              <w:t>Croatia</w:t>
            </w:r>
            <w:r>
              <w:rPr>
                <w:spacing w:val="-1"/>
                <w:sz w:val="18"/>
              </w:rPr>
              <w:t xml:space="preserve"> </w:t>
            </w:r>
            <w:r>
              <w:rPr>
                <w:sz w:val="18"/>
              </w:rPr>
              <w:t>for the</w:t>
            </w:r>
            <w:r>
              <w:rPr>
                <w:spacing w:val="-2"/>
                <w:sz w:val="18"/>
              </w:rPr>
              <w:t xml:space="preserve"> </w:t>
            </w:r>
            <w:r>
              <w:rPr>
                <w:sz w:val="18"/>
              </w:rPr>
              <w:t>period</w:t>
            </w:r>
            <w:r>
              <w:rPr>
                <w:spacing w:val="-1"/>
                <w:sz w:val="18"/>
              </w:rPr>
              <w:t xml:space="preserve"> </w:t>
            </w:r>
            <w:r>
              <w:rPr>
                <w:sz w:val="18"/>
              </w:rPr>
              <w:t>2022-2026.</w:t>
            </w:r>
            <w:r>
              <w:rPr>
                <w:spacing w:val="-1"/>
                <w:sz w:val="18"/>
              </w:rPr>
              <w:t xml:space="preserve"> </w:t>
            </w:r>
            <w:r>
              <w:rPr>
                <w:sz w:val="18"/>
              </w:rPr>
              <w:t>year.</w:t>
            </w:r>
          </w:p>
        </w:tc>
      </w:tr>
      <w:tr w:rsidR="00A56FE9">
        <w:trPr>
          <w:trHeight w:val="1235"/>
        </w:trPr>
        <w:tc>
          <w:tcPr>
            <w:tcW w:w="2064" w:type="dxa"/>
            <w:vMerge/>
            <w:tcBorders>
              <w:top w:val="nil"/>
              <w:bottom w:val="single" w:sz="6" w:space="0" w:color="2C398A"/>
            </w:tcBorders>
            <w:shd w:val="clear" w:color="auto" w:fill="F1F1F1"/>
          </w:tcPr>
          <w:p w:rsidR="00A56FE9" w:rsidRDefault="00A56FE9">
            <w:pPr>
              <w:rPr>
                <w:sz w:val="2"/>
                <w:szCs w:val="2"/>
              </w:rPr>
            </w:pPr>
          </w:p>
        </w:tc>
        <w:tc>
          <w:tcPr>
            <w:tcW w:w="3469" w:type="dxa"/>
          </w:tcPr>
          <w:p w:rsidR="00A56FE9" w:rsidRDefault="00000000">
            <w:pPr>
              <w:pStyle w:val="TableParagraph"/>
              <w:ind w:left="100" w:right="185"/>
              <w:rPr>
                <w:sz w:val="18"/>
              </w:rPr>
            </w:pPr>
            <w:r>
              <w:rPr>
                <w:sz w:val="18"/>
              </w:rPr>
              <w:t>Announcement</w:t>
            </w:r>
            <w:r>
              <w:rPr>
                <w:spacing w:val="-2"/>
                <w:sz w:val="18"/>
              </w:rPr>
              <w:t xml:space="preserve"> </w:t>
            </w:r>
            <w:r>
              <w:rPr>
                <w:sz w:val="18"/>
              </w:rPr>
              <w:t>of</w:t>
            </w:r>
            <w:r>
              <w:rPr>
                <w:spacing w:val="-4"/>
                <w:sz w:val="18"/>
              </w:rPr>
              <w:t xml:space="preserve"> </w:t>
            </w:r>
            <w:r>
              <w:rPr>
                <w:sz w:val="18"/>
              </w:rPr>
              <w:t>the</w:t>
            </w:r>
            <w:r>
              <w:rPr>
                <w:spacing w:val="-3"/>
                <w:sz w:val="18"/>
              </w:rPr>
              <w:t xml:space="preserve"> </w:t>
            </w:r>
            <w:r>
              <w:rPr>
                <w:sz w:val="18"/>
              </w:rPr>
              <w:t>second</w:t>
            </w:r>
            <w:r>
              <w:rPr>
                <w:spacing w:val="-2"/>
                <w:sz w:val="18"/>
              </w:rPr>
              <w:t xml:space="preserve"> </w:t>
            </w:r>
            <w:r>
              <w:rPr>
                <w:sz w:val="18"/>
              </w:rPr>
              <w:t>Public</w:t>
            </w:r>
            <w:r>
              <w:rPr>
                <w:spacing w:val="-3"/>
                <w:sz w:val="18"/>
              </w:rPr>
              <w:t xml:space="preserve"> </w:t>
            </w:r>
            <w:r>
              <w:rPr>
                <w:sz w:val="18"/>
              </w:rPr>
              <w:t>call</w:t>
            </w:r>
            <w:r>
              <w:rPr>
                <w:spacing w:val="-2"/>
                <w:sz w:val="18"/>
              </w:rPr>
              <w:t xml:space="preserve"> </w:t>
            </w:r>
            <w:r>
              <w:rPr>
                <w:sz w:val="18"/>
              </w:rPr>
              <w:t>for</w:t>
            </w:r>
            <w:r>
              <w:rPr>
                <w:spacing w:val="-42"/>
                <w:sz w:val="18"/>
              </w:rPr>
              <w:t xml:space="preserve"> </w:t>
            </w:r>
            <w:r>
              <w:rPr>
                <w:sz w:val="18"/>
              </w:rPr>
              <w:t>financing international development</w:t>
            </w:r>
            <w:r>
              <w:rPr>
                <w:spacing w:val="1"/>
                <w:sz w:val="18"/>
              </w:rPr>
              <w:t xml:space="preserve"> </w:t>
            </w:r>
            <w:r>
              <w:rPr>
                <w:sz w:val="18"/>
              </w:rPr>
              <w:t>cooperation projects with civil society</w:t>
            </w:r>
            <w:r>
              <w:rPr>
                <w:spacing w:val="1"/>
                <w:sz w:val="18"/>
              </w:rPr>
              <w:t xml:space="preserve"> </w:t>
            </w:r>
            <w:r>
              <w:rPr>
                <w:sz w:val="18"/>
              </w:rPr>
              <w:t>organizations</w:t>
            </w:r>
          </w:p>
          <w:p w:rsidR="00A56FE9" w:rsidRDefault="00A56FE9">
            <w:pPr>
              <w:pStyle w:val="TableParagraph"/>
              <w:spacing w:before="3"/>
              <w:rPr>
                <w:b/>
                <w:sz w:val="17"/>
              </w:rPr>
            </w:pPr>
          </w:p>
          <w:p w:rsidR="00A56FE9" w:rsidRDefault="00000000">
            <w:pPr>
              <w:pStyle w:val="TableParagraph"/>
              <w:spacing w:before="1" w:line="189" w:lineRule="exact"/>
              <w:ind w:left="100"/>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17</w:t>
            </w:r>
          </w:p>
        </w:tc>
        <w:tc>
          <w:tcPr>
            <w:tcW w:w="8927" w:type="dxa"/>
          </w:tcPr>
          <w:p w:rsidR="00A56FE9" w:rsidRDefault="00000000">
            <w:pPr>
              <w:pStyle w:val="TableParagraph"/>
              <w:ind w:left="105" w:right="142"/>
              <w:rPr>
                <w:sz w:val="18"/>
              </w:rPr>
            </w:pPr>
            <w:r>
              <w:rPr>
                <w:sz w:val="18"/>
              </w:rPr>
              <w:t>In 2021, a Public Call was announced to finance international development cooperation projects aimed at empowering</w:t>
            </w:r>
            <w:r>
              <w:rPr>
                <w:spacing w:val="1"/>
                <w:sz w:val="18"/>
              </w:rPr>
              <w:t xml:space="preserve"> </w:t>
            </w:r>
            <w:r>
              <w:rPr>
                <w:sz w:val="18"/>
              </w:rPr>
              <w:t>vulnerable groups in society, fostering economic development and strengthening democracy in neighbouring countries,</w:t>
            </w:r>
            <w:r>
              <w:rPr>
                <w:spacing w:val="-42"/>
                <w:sz w:val="18"/>
              </w:rPr>
              <w:t xml:space="preserve"> </w:t>
            </w:r>
            <w:r>
              <w:rPr>
                <w:sz w:val="18"/>
              </w:rPr>
              <w:t>Eastern Europe and Africa. The funds were awarded to civil society organisations with experience in implementing</w:t>
            </w:r>
            <w:r>
              <w:rPr>
                <w:spacing w:val="1"/>
                <w:sz w:val="18"/>
              </w:rPr>
              <w:t xml:space="preserve"> </w:t>
            </w:r>
            <w:r>
              <w:rPr>
                <w:sz w:val="18"/>
              </w:rPr>
              <w:t>humanitarian</w:t>
            </w:r>
            <w:r>
              <w:rPr>
                <w:spacing w:val="-2"/>
                <w:sz w:val="18"/>
              </w:rPr>
              <w:t xml:space="preserve"> </w:t>
            </w:r>
            <w:r>
              <w:rPr>
                <w:sz w:val="18"/>
              </w:rPr>
              <w:t>development</w:t>
            </w:r>
            <w:r>
              <w:rPr>
                <w:spacing w:val="-2"/>
                <w:sz w:val="18"/>
              </w:rPr>
              <w:t xml:space="preserve"> </w:t>
            </w:r>
            <w:r>
              <w:rPr>
                <w:sz w:val="18"/>
              </w:rPr>
              <w:t>projects</w:t>
            </w:r>
            <w:r>
              <w:rPr>
                <w:spacing w:val="-2"/>
                <w:sz w:val="18"/>
              </w:rPr>
              <w:t xml:space="preserve"> </w:t>
            </w:r>
            <w:r>
              <w:rPr>
                <w:sz w:val="18"/>
              </w:rPr>
              <w:t>abroad.</w:t>
            </w:r>
            <w:r>
              <w:rPr>
                <w:spacing w:val="-4"/>
                <w:sz w:val="18"/>
              </w:rPr>
              <w:t xml:space="preserve"> </w:t>
            </w:r>
            <w:r>
              <w:rPr>
                <w:sz w:val="18"/>
              </w:rPr>
              <w:t>In</w:t>
            </w:r>
            <w:r>
              <w:rPr>
                <w:spacing w:val="-1"/>
                <w:sz w:val="18"/>
              </w:rPr>
              <w:t xml:space="preserve"> </w:t>
            </w:r>
            <w:r>
              <w:rPr>
                <w:sz w:val="18"/>
              </w:rPr>
              <w:t>all,</w:t>
            </w:r>
            <w:r>
              <w:rPr>
                <w:spacing w:val="2"/>
                <w:sz w:val="18"/>
              </w:rPr>
              <w:t xml:space="preserve"> </w:t>
            </w:r>
            <w:r>
              <w:rPr>
                <w:sz w:val="18"/>
              </w:rPr>
              <w:t>11</w:t>
            </w:r>
            <w:r>
              <w:rPr>
                <w:spacing w:val="-2"/>
                <w:sz w:val="18"/>
              </w:rPr>
              <w:t xml:space="preserve"> </w:t>
            </w:r>
            <w:r>
              <w:rPr>
                <w:sz w:val="18"/>
              </w:rPr>
              <w:t>associations,</w:t>
            </w:r>
            <w:r>
              <w:rPr>
                <w:spacing w:val="-4"/>
                <w:sz w:val="18"/>
              </w:rPr>
              <w:t xml:space="preserve"> </w:t>
            </w:r>
            <w:r>
              <w:rPr>
                <w:sz w:val="18"/>
              </w:rPr>
              <w:t>which</w:t>
            </w:r>
            <w:r>
              <w:rPr>
                <w:spacing w:val="-1"/>
                <w:sz w:val="18"/>
              </w:rPr>
              <w:t xml:space="preserve"> </w:t>
            </w:r>
            <w:r>
              <w:rPr>
                <w:sz w:val="18"/>
              </w:rPr>
              <w:t>received</w:t>
            </w:r>
            <w:r>
              <w:rPr>
                <w:spacing w:val="-1"/>
                <w:sz w:val="18"/>
              </w:rPr>
              <w:t xml:space="preserve"> </w:t>
            </w:r>
            <w:r>
              <w:rPr>
                <w:sz w:val="18"/>
              </w:rPr>
              <w:t>funding,</w:t>
            </w:r>
            <w:r>
              <w:rPr>
                <w:spacing w:val="-4"/>
                <w:sz w:val="18"/>
              </w:rPr>
              <w:t xml:space="preserve"> </w:t>
            </w:r>
            <w:r>
              <w:rPr>
                <w:sz w:val="18"/>
              </w:rPr>
              <w:t>began</w:t>
            </w:r>
            <w:r>
              <w:rPr>
                <w:spacing w:val="-1"/>
                <w:sz w:val="18"/>
              </w:rPr>
              <w:t xml:space="preserve"> </w:t>
            </w:r>
            <w:r>
              <w:rPr>
                <w:sz w:val="18"/>
              </w:rPr>
              <w:t>implementing</w:t>
            </w:r>
            <w:r>
              <w:rPr>
                <w:spacing w:val="-3"/>
                <w:sz w:val="18"/>
              </w:rPr>
              <w:t xml:space="preserve"> </w:t>
            </w:r>
            <w:r>
              <w:rPr>
                <w:sz w:val="18"/>
              </w:rPr>
              <w:t>project</w:t>
            </w:r>
            <w:r>
              <w:rPr>
                <w:spacing w:val="-42"/>
                <w:sz w:val="18"/>
              </w:rPr>
              <w:t xml:space="preserve"> </w:t>
            </w:r>
            <w:r>
              <w:rPr>
                <w:sz w:val="18"/>
              </w:rPr>
              <w:t>activities</w:t>
            </w:r>
            <w:r>
              <w:rPr>
                <w:spacing w:val="-2"/>
                <w:sz w:val="18"/>
              </w:rPr>
              <w:t xml:space="preserve"> </w:t>
            </w:r>
            <w:r>
              <w:rPr>
                <w:sz w:val="18"/>
              </w:rPr>
              <w:t>in the</w:t>
            </w:r>
            <w:r>
              <w:rPr>
                <w:spacing w:val="-2"/>
                <w:sz w:val="18"/>
              </w:rPr>
              <w:t xml:space="preserve"> </w:t>
            </w:r>
            <w:r>
              <w:rPr>
                <w:sz w:val="18"/>
              </w:rPr>
              <w:t>second half</w:t>
            </w:r>
            <w:r>
              <w:rPr>
                <w:spacing w:val="-3"/>
                <w:sz w:val="18"/>
              </w:rPr>
              <w:t xml:space="preserve"> </w:t>
            </w:r>
            <w:r>
              <w:rPr>
                <w:sz w:val="18"/>
              </w:rPr>
              <w:t>of</w:t>
            </w:r>
            <w:r>
              <w:rPr>
                <w:spacing w:val="-3"/>
                <w:sz w:val="18"/>
              </w:rPr>
              <w:t xml:space="preserve"> </w:t>
            </w:r>
            <w:r>
              <w:rPr>
                <w:sz w:val="18"/>
              </w:rPr>
              <w:t>2021 and are</w:t>
            </w:r>
            <w:r>
              <w:rPr>
                <w:spacing w:val="-2"/>
                <w:sz w:val="18"/>
              </w:rPr>
              <w:t xml:space="preserve"> </w:t>
            </w:r>
            <w:r>
              <w:rPr>
                <w:sz w:val="18"/>
              </w:rPr>
              <w:t>expected</w:t>
            </w:r>
            <w:r>
              <w:rPr>
                <w:spacing w:val="1"/>
                <w:sz w:val="18"/>
              </w:rPr>
              <w:t xml:space="preserve"> </w:t>
            </w:r>
            <w:r>
              <w:rPr>
                <w:sz w:val="18"/>
              </w:rPr>
              <w:t>to</w:t>
            </w:r>
            <w:r>
              <w:rPr>
                <w:spacing w:val="-2"/>
                <w:sz w:val="18"/>
              </w:rPr>
              <w:t xml:space="preserve"> </w:t>
            </w:r>
            <w:r>
              <w:rPr>
                <w:sz w:val="18"/>
              </w:rPr>
              <w:t>be</w:t>
            </w:r>
            <w:r>
              <w:rPr>
                <w:spacing w:val="-2"/>
                <w:sz w:val="18"/>
              </w:rPr>
              <w:t xml:space="preserve"> </w:t>
            </w:r>
            <w:r>
              <w:rPr>
                <w:sz w:val="18"/>
              </w:rPr>
              <w:t>completed in</w:t>
            </w:r>
            <w:r>
              <w:rPr>
                <w:spacing w:val="-2"/>
                <w:sz w:val="18"/>
              </w:rPr>
              <w:t xml:space="preserve"> </w:t>
            </w:r>
            <w:r>
              <w:rPr>
                <w:sz w:val="18"/>
              </w:rPr>
              <w:t>2022.</w:t>
            </w:r>
            <w:r>
              <w:rPr>
                <w:spacing w:val="-1"/>
                <w:sz w:val="18"/>
              </w:rPr>
              <w:t xml:space="preserve"> </w:t>
            </w:r>
            <w:r>
              <w:rPr>
                <w:sz w:val="18"/>
              </w:rPr>
              <w:t>Also in</w:t>
            </w:r>
            <w:r>
              <w:rPr>
                <w:spacing w:val="-2"/>
                <w:sz w:val="18"/>
              </w:rPr>
              <w:t xml:space="preserve"> </w:t>
            </w:r>
            <w:r>
              <w:rPr>
                <w:sz w:val="18"/>
              </w:rPr>
              <w:t>the</w:t>
            </w:r>
            <w:r>
              <w:rPr>
                <w:spacing w:val="-2"/>
                <w:sz w:val="18"/>
              </w:rPr>
              <w:t xml:space="preserve"> </w:t>
            </w:r>
            <w:r>
              <w:rPr>
                <w:sz w:val="18"/>
              </w:rPr>
              <w:t>second</w:t>
            </w:r>
            <w:r>
              <w:rPr>
                <w:spacing w:val="-1"/>
                <w:sz w:val="18"/>
              </w:rPr>
              <w:t xml:space="preserve"> </w:t>
            </w:r>
            <w:r>
              <w:rPr>
                <w:sz w:val="18"/>
              </w:rPr>
              <w:t>half,</w:t>
            </w:r>
            <w:r>
              <w:rPr>
                <w:spacing w:val="-1"/>
                <w:sz w:val="18"/>
              </w:rPr>
              <w:t xml:space="preserve"> </w:t>
            </w:r>
            <w:r>
              <w:rPr>
                <w:sz w:val="18"/>
              </w:rPr>
              <w:t>a</w:t>
            </w:r>
            <w:r>
              <w:rPr>
                <w:spacing w:val="-2"/>
                <w:sz w:val="18"/>
              </w:rPr>
              <w:t xml:space="preserve"> </w:t>
            </w:r>
            <w:r>
              <w:rPr>
                <w:sz w:val="18"/>
              </w:rPr>
              <w:t>new</w:t>
            </w:r>
            <w:r>
              <w:rPr>
                <w:spacing w:val="-4"/>
                <w:sz w:val="18"/>
              </w:rPr>
              <w:t xml:space="preserve"> </w:t>
            </w:r>
            <w:r>
              <w:rPr>
                <w:sz w:val="18"/>
              </w:rPr>
              <w:t>Public</w:t>
            </w:r>
          </w:p>
          <w:p w:rsidR="00A56FE9" w:rsidRDefault="00000000">
            <w:pPr>
              <w:pStyle w:val="TableParagraph"/>
              <w:spacing w:line="188" w:lineRule="exact"/>
              <w:ind w:left="105"/>
              <w:rPr>
                <w:sz w:val="18"/>
              </w:rPr>
            </w:pPr>
            <w:r>
              <w:rPr>
                <w:sz w:val="18"/>
              </w:rPr>
              <w:t>Call</w:t>
            </w:r>
            <w:r>
              <w:rPr>
                <w:spacing w:val="-2"/>
                <w:sz w:val="18"/>
              </w:rPr>
              <w:t xml:space="preserve"> </w:t>
            </w:r>
            <w:r>
              <w:rPr>
                <w:sz w:val="18"/>
              </w:rPr>
              <w:t>for</w:t>
            </w:r>
            <w:r>
              <w:rPr>
                <w:spacing w:val="-2"/>
                <w:sz w:val="18"/>
              </w:rPr>
              <w:t xml:space="preserve"> </w:t>
            </w:r>
            <w:r>
              <w:rPr>
                <w:sz w:val="18"/>
              </w:rPr>
              <w:t>funding</w:t>
            </w:r>
            <w:r>
              <w:rPr>
                <w:spacing w:val="-2"/>
                <w:sz w:val="18"/>
              </w:rPr>
              <w:t xml:space="preserve"> </w:t>
            </w:r>
            <w:r>
              <w:rPr>
                <w:sz w:val="18"/>
              </w:rPr>
              <w:t>international</w:t>
            </w:r>
            <w:r>
              <w:rPr>
                <w:spacing w:val="-4"/>
                <w:sz w:val="18"/>
              </w:rPr>
              <w:t xml:space="preserve"> </w:t>
            </w:r>
            <w:r>
              <w:rPr>
                <w:sz w:val="18"/>
              </w:rPr>
              <w:t>development</w:t>
            </w:r>
            <w:r>
              <w:rPr>
                <w:spacing w:val="-2"/>
                <w:sz w:val="18"/>
              </w:rPr>
              <w:t xml:space="preserve"> </w:t>
            </w:r>
            <w:r>
              <w:rPr>
                <w:sz w:val="18"/>
              </w:rPr>
              <w:t>cooperation</w:t>
            </w:r>
            <w:r>
              <w:rPr>
                <w:spacing w:val="-2"/>
                <w:sz w:val="18"/>
              </w:rPr>
              <w:t xml:space="preserve"> </w:t>
            </w:r>
            <w:r>
              <w:rPr>
                <w:sz w:val="18"/>
              </w:rPr>
              <w:t>projects</w:t>
            </w:r>
            <w:r>
              <w:rPr>
                <w:spacing w:val="-2"/>
                <w:sz w:val="18"/>
              </w:rPr>
              <w:t xml:space="preserve"> </w:t>
            </w:r>
            <w:r>
              <w:rPr>
                <w:sz w:val="18"/>
              </w:rPr>
              <w:t>abroad</w:t>
            </w:r>
            <w:r>
              <w:rPr>
                <w:spacing w:val="4"/>
                <w:sz w:val="18"/>
              </w:rPr>
              <w:t xml:space="preserve"> </w:t>
            </w:r>
            <w:r>
              <w:rPr>
                <w:sz w:val="18"/>
              </w:rPr>
              <w:t>is</w:t>
            </w:r>
            <w:r>
              <w:rPr>
                <w:spacing w:val="-1"/>
                <w:sz w:val="18"/>
              </w:rPr>
              <w:t xml:space="preserve"> </w:t>
            </w:r>
            <w:r>
              <w:rPr>
                <w:sz w:val="18"/>
              </w:rPr>
              <w:t>expected.</w:t>
            </w:r>
          </w:p>
        </w:tc>
      </w:tr>
      <w:tr w:rsidR="00A56FE9">
        <w:trPr>
          <w:trHeight w:val="825"/>
        </w:trPr>
        <w:tc>
          <w:tcPr>
            <w:tcW w:w="2064" w:type="dxa"/>
            <w:vMerge/>
            <w:tcBorders>
              <w:top w:val="nil"/>
              <w:bottom w:val="single" w:sz="6" w:space="0" w:color="2C398A"/>
            </w:tcBorders>
            <w:shd w:val="clear" w:color="auto" w:fill="F1F1F1"/>
          </w:tcPr>
          <w:p w:rsidR="00A56FE9" w:rsidRDefault="00A56FE9">
            <w:pPr>
              <w:rPr>
                <w:sz w:val="2"/>
                <w:szCs w:val="2"/>
              </w:rPr>
            </w:pPr>
          </w:p>
        </w:tc>
        <w:tc>
          <w:tcPr>
            <w:tcW w:w="3469" w:type="dxa"/>
          </w:tcPr>
          <w:p w:rsidR="00A56FE9" w:rsidRDefault="00000000">
            <w:pPr>
              <w:pStyle w:val="TableParagraph"/>
              <w:ind w:left="100" w:right="399"/>
              <w:rPr>
                <w:sz w:val="18"/>
              </w:rPr>
            </w:pPr>
            <w:r>
              <w:rPr>
                <w:sz w:val="18"/>
              </w:rPr>
              <w:t>Adoption of the national implementation</w:t>
            </w:r>
            <w:r>
              <w:rPr>
                <w:spacing w:val="-43"/>
                <w:sz w:val="18"/>
              </w:rPr>
              <w:t xml:space="preserve"> </w:t>
            </w:r>
            <w:r>
              <w:rPr>
                <w:sz w:val="18"/>
              </w:rPr>
              <w:t>plan for the</w:t>
            </w:r>
            <w:r>
              <w:rPr>
                <w:spacing w:val="-1"/>
                <w:sz w:val="18"/>
              </w:rPr>
              <w:t xml:space="preserve"> </w:t>
            </w:r>
            <w:r>
              <w:rPr>
                <w:sz w:val="18"/>
              </w:rPr>
              <w:t>Child Guarantee</w:t>
            </w:r>
          </w:p>
        </w:tc>
        <w:tc>
          <w:tcPr>
            <w:tcW w:w="8927" w:type="dxa"/>
          </w:tcPr>
          <w:p w:rsidR="00A56FE9" w:rsidRDefault="00000000">
            <w:pPr>
              <w:pStyle w:val="TableParagraph"/>
              <w:ind w:left="105" w:right="142"/>
              <w:rPr>
                <w:sz w:val="18"/>
              </w:rPr>
            </w:pPr>
            <w:r>
              <w:rPr>
                <w:sz w:val="18"/>
              </w:rPr>
              <w:t>To establish the Child Guarantee in Croatia, a draft National Implementation Plan is being prepared based on an in-</w:t>
            </w:r>
            <w:r>
              <w:rPr>
                <w:spacing w:val="1"/>
                <w:sz w:val="18"/>
              </w:rPr>
              <w:t xml:space="preserve"> </w:t>
            </w:r>
            <w:r>
              <w:rPr>
                <w:sz w:val="18"/>
              </w:rPr>
              <w:t>depth</w:t>
            </w:r>
            <w:r>
              <w:rPr>
                <w:spacing w:val="-4"/>
                <w:sz w:val="18"/>
              </w:rPr>
              <w:t xml:space="preserve"> </w:t>
            </w:r>
            <w:r>
              <w:rPr>
                <w:sz w:val="18"/>
              </w:rPr>
              <w:t>analysis</w:t>
            </w:r>
            <w:r>
              <w:rPr>
                <w:spacing w:val="-2"/>
                <w:sz w:val="18"/>
              </w:rPr>
              <w:t xml:space="preserve"> </w:t>
            </w:r>
            <w:r>
              <w:rPr>
                <w:sz w:val="18"/>
              </w:rPr>
              <w:t>of</w:t>
            </w:r>
            <w:r>
              <w:rPr>
                <w:spacing w:val="-4"/>
                <w:sz w:val="18"/>
              </w:rPr>
              <w:t xml:space="preserve"> </w:t>
            </w:r>
            <w:r>
              <w:rPr>
                <w:sz w:val="18"/>
              </w:rPr>
              <w:t>policies,</w:t>
            </w:r>
            <w:r>
              <w:rPr>
                <w:spacing w:val="-2"/>
                <w:sz w:val="18"/>
              </w:rPr>
              <w:t xml:space="preserve"> </w:t>
            </w:r>
            <w:r>
              <w:rPr>
                <w:sz w:val="18"/>
              </w:rPr>
              <w:t>programs,</w:t>
            </w:r>
            <w:r>
              <w:rPr>
                <w:spacing w:val="-2"/>
                <w:sz w:val="18"/>
              </w:rPr>
              <w:t xml:space="preserve"> </w:t>
            </w:r>
            <w:r>
              <w:rPr>
                <w:sz w:val="18"/>
              </w:rPr>
              <w:t>services,</w:t>
            </w:r>
            <w:r>
              <w:rPr>
                <w:spacing w:val="-2"/>
                <w:sz w:val="18"/>
              </w:rPr>
              <w:t xml:space="preserve"> </w:t>
            </w:r>
            <w:r>
              <w:rPr>
                <w:sz w:val="18"/>
              </w:rPr>
              <w:t>budgets</w:t>
            </w:r>
            <w:r>
              <w:rPr>
                <w:spacing w:val="2"/>
                <w:sz w:val="18"/>
              </w:rPr>
              <w:t xml:space="preserve"> </w:t>
            </w:r>
            <w:r>
              <w:rPr>
                <w:sz w:val="18"/>
              </w:rPr>
              <w:t>and</w:t>
            </w:r>
            <w:r>
              <w:rPr>
                <w:spacing w:val="-1"/>
                <w:sz w:val="18"/>
              </w:rPr>
              <w:t xml:space="preserve"> </w:t>
            </w:r>
            <w:r>
              <w:rPr>
                <w:sz w:val="18"/>
              </w:rPr>
              <w:t>mechanisms</w:t>
            </w:r>
            <w:r>
              <w:rPr>
                <w:spacing w:val="-2"/>
                <w:sz w:val="18"/>
              </w:rPr>
              <w:t xml:space="preserve"> </w:t>
            </w:r>
            <w:r>
              <w:rPr>
                <w:sz w:val="18"/>
              </w:rPr>
              <w:t>dealing</w:t>
            </w:r>
            <w:r>
              <w:rPr>
                <w:spacing w:val="-3"/>
                <w:sz w:val="18"/>
              </w:rPr>
              <w:t xml:space="preserve"> </w:t>
            </w:r>
            <w:r>
              <w:rPr>
                <w:sz w:val="18"/>
              </w:rPr>
              <w:t>with</w:t>
            </w:r>
            <w:r>
              <w:rPr>
                <w:spacing w:val="-1"/>
                <w:sz w:val="18"/>
              </w:rPr>
              <w:t xml:space="preserve"> </w:t>
            </w:r>
            <w:r>
              <w:rPr>
                <w:sz w:val="18"/>
              </w:rPr>
              <w:t>child</w:t>
            </w:r>
            <w:r>
              <w:rPr>
                <w:spacing w:val="-3"/>
                <w:sz w:val="18"/>
              </w:rPr>
              <w:t xml:space="preserve"> </w:t>
            </w:r>
            <w:r>
              <w:rPr>
                <w:sz w:val="18"/>
              </w:rPr>
              <w:t>poverty,</w:t>
            </w:r>
            <w:r>
              <w:rPr>
                <w:spacing w:val="-2"/>
                <w:sz w:val="18"/>
              </w:rPr>
              <w:t xml:space="preserve"> </w:t>
            </w:r>
            <w:r>
              <w:rPr>
                <w:sz w:val="18"/>
              </w:rPr>
              <w:t>social</w:t>
            </w:r>
            <w:r>
              <w:rPr>
                <w:spacing w:val="-2"/>
                <w:sz w:val="18"/>
              </w:rPr>
              <w:t xml:space="preserve"> </w:t>
            </w:r>
            <w:r>
              <w:rPr>
                <w:sz w:val="18"/>
              </w:rPr>
              <w:t>exclusion</w:t>
            </w:r>
            <w:r>
              <w:rPr>
                <w:spacing w:val="-1"/>
                <w:sz w:val="18"/>
              </w:rPr>
              <w:t xml:space="preserve"> </w:t>
            </w:r>
            <w:r>
              <w:rPr>
                <w:sz w:val="18"/>
              </w:rPr>
              <w:t>and</w:t>
            </w:r>
            <w:r>
              <w:rPr>
                <w:spacing w:val="-42"/>
                <w:sz w:val="18"/>
              </w:rPr>
              <w:t xml:space="preserve"> </w:t>
            </w:r>
            <w:r>
              <w:rPr>
                <w:sz w:val="18"/>
              </w:rPr>
              <w:t>access</w:t>
            </w:r>
            <w:r>
              <w:rPr>
                <w:spacing w:val="-2"/>
                <w:sz w:val="18"/>
              </w:rPr>
              <w:t xml:space="preserve"> </w:t>
            </w:r>
            <w:r>
              <w:rPr>
                <w:sz w:val="18"/>
              </w:rPr>
              <w:t>to services</w:t>
            </w:r>
            <w:r>
              <w:rPr>
                <w:spacing w:val="-1"/>
                <w:sz w:val="18"/>
              </w:rPr>
              <w:t xml:space="preserve"> </w:t>
            </w:r>
            <w:r>
              <w:rPr>
                <w:sz w:val="18"/>
              </w:rPr>
              <w:t>in Croatia,</w:t>
            </w:r>
            <w:r>
              <w:rPr>
                <w:spacing w:val="-1"/>
                <w:sz w:val="18"/>
              </w:rPr>
              <w:t xml:space="preserve"> </w:t>
            </w:r>
            <w:r>
              <w:rPr>
                <w:sz w:val="18"/>
              </w:rPr>
              <w:t>which</w:t>
            </w:r>
            <w:r>
              <w:rPr>
                <w:spacing w:val="-1"/>
                <w:sz w:val="18"/>
              </w:rPr>
              <w:t xml:space="preserve"> </w:t>
            </w:r>
            <w:r>
              <w:rPr>
                <w:sz w:val="18"/>
              </w:rPr>
              <w:t>will</w:t>
            </w:r>
            <w:r>
              <w:rPr>
                <w:spacing w:val="-2"/>
                <w:sz w:val="18"/>
              </w:rPr>
              <w:t xml:space="preserve"> </w:t>
            </w:r>
            <w:r>
              <w:rPr>
                <w:sz w:val="18"/>
              </w:rPr>
              <w:t>improve</w:t>
            </w:r>
            <w:r>
              <w:rPr>
                <w:spacing w:val="-2"/>
                <w:sz w:val="18"/>
              </w:rPr>
              <w:t xml:space="preserve"> </w:t>
            </w:r>
            <w:r>
              <w:rPr>
                <w:sz w:val="18"/>
              </w:rPr>
              <w:t>national</w:t>
            </w:r>
            <w:r>
              <w:rPr>
                <w:spacing w:val="-2"/>
                <w:sz w:val="18"/>
              </w:rPr>
              <w:t xml:space="preserve"> </w:t>
            </w:r>
            <w:r>
              <w:rPr>
                <w:sz w:val="18"/>
              </w:rPr>
              <w:t>policies</w:t>
            </w:r>
            <w:r>
              <w:rPr>
                <w:spacing w:val="-4"/>
                <w:sz w:val="18"/>
              </w:rPr>
              <w:t xml:space="preserve"> </w:t>
            </w:r>
            <w:r>
              <w:rPr>
                <w:sz w:val="18"/>
              </w:rPr>
              <w:t>and</w:t>
            </w:r>
            <w:r>
              <w:rPr>
                <w:spacing w:val="-1"/>
                <w:sz w:val="18"/>
              </w:rPr>
              <w:t xml:space="preserve"> </w:t>
            </w:r>
            <w:r>
              <w:rPr>
                <w:sz w:val="18"/>
              </w:rPr>
              <w:t>programs</w:t>
            </w:r>
            <w:r>
              <w:rPr>
                <w:spacing w:val="-1"/>
                <w:sz w:val="18"/>
              </w:rPr>
              <w:t xml:space="preserve"> </w:t>
            </w:r>
            <w:r>
              <w:rPr>
                <w:sz w:val="18"/>
              </w:rPr>
              <w:t>in relation to</w:t>
            </w:r>
            <w:r>
              <w:rPr>
                <w:spacing w:val="-1"/>
                <w:sz w:val="18"/>
              </w:rPr>
              <w:t xml:space="preserve"> </w:t>
            </w:r>
            <w:r>
              <w:rPr>
                <w:sz w:val="18"/>
              </w:rPr>
              <w:t>child</w:t>
            </w:r>
            <w:r>
              <w:rPr>
                <w:spacing w:val="-3"/>
                <w:sz w:val="18"/>
              </w:rPr>
              <w:t xml:space="preserve"> </w:t>
            </w:r>
            <w:r>
              <w:rPr>
                <w:sz w:val="18"/>
              </w:rPr>
              <w:t>poverty</w:t>
            </w:r>
            <w:r>
              <w:rPr>
                <w:spacing w:val="-4"/>
                <w:sz w:val="18"/>
              </w:rPr>
              <w:t xml:space="preserve"> </w:t>
            </w:r>
            <w:r>
              <w:rPr>
                <w:sz w:val="18"/>
              </w:rPr>
              <w:t>and</w:t>
            </w:r>
            <w:r>
              <w:rPr>
                <w:spacing w:val="-1"/>
                <w:sz w:val="18"/>
              </w:rPr>
              <w:t xml:space="preserve"> </w:t>
            </w:r>
            <w:r>
              <w:rPr>
                <w:sz w:val="18"/>
              </w:rPr>
              <w:t>social</w:t>
            </w:r>
          </w:p>
          <w:p w:rsidR="00A56FE9" w:rsidRDefault="00000000">
            <w:pPr>
              <w:pStyle w:val="TableParagraph"/>
              <w:spacing w:line="189" w:lineRule="exact"/>
              <w:ind w:left="105"/>
              <w:rPr>
                <w:sz w:val="18"/>
              </w:rPr>
            </w:pPr>
            <w:r>
              <w:rPr>
                <w:sz w:val="18"/>
              </w:rPr>
              <w:t>exclusion</w:t>
            </w:r>
            <w:r>
              <w:rPr>
                <w:spacing w:val="-2"/>
                <w:sz w:val="18"/>
              </w:rPr>
              <w:t xml:space="preserve"> </w:t>
            </w:r>
            <w:r>
              <w:rPr>
                <w:sz w:val="18"/>
              </w:rPr>
              <w:t>issues</w:t>
            </w:r>
            <w:r>
              <w:rPr>
                <w:spacing w:val="-2"/>
                <w:sz w:val="18"/>
              </w:rPr>
              <w:t xml:space="preserve"> </w:t>
            </w:r>
            <w:r>
              <w:rPr>
                <w:sz w:val="18"/>
              </w:rPr>
              <w:t>and</w:t>
            </w:r>
            <w:r>
              <w:rPr>
                <w:spacing w:val="-1"/>
                <w:sz w:val="18"/>
              </w:rPr>
              <w:t xml:space="preserve"> </w:t>
            </w:r>
            <w:r>
              <w:rPr>
                <w:sz w:val="18"/>
              </w:rPr>
              <w:t>their</w:t>
            </w:r>
            <w:r>
              <w:rPr>
                <w:spacing w:val="-4"/>
                <w:sz w:val="18"/>
              </w:rPr>
              <w:t xml:space="preserve"> </w:t>
            </w:r>
            <w:r>
              <w:rPr>
                <w:sz w:val="18"/>
              </w:rPr>
              <w:t>monitoring</w:t>
            </w:r>
            <w:r>
              <w:rPr>
                <w:spacing w:val="-3"/>
                <w:sz w:val="18"/>
              </w:rPr>
              <w:t xml:space="preserve"> </w:t>
            </w:r>
            <w:r>
              <w:rPr>
                <w:sz w:val="18"/>
              </w:rPr>
              <w:t>and</w:t>
            </w:r>
            <w:r>
              <w:rPr>
                <w:spacing w:val="-1"/>
                <w:sz w:val="18"/>
              </w:rPr>
              <w:t xml:space="preserve"> </w:t>
            </w:r>
            <w:r>
              <w:rPr>
                <w:sz w:val="18"/>
              </w:rPr>
              <w:t>evaluation.</w:t>
            </w:r>
          </w:p>
        </w:tc>
      </w:tr>
      <w:tr w:rsidR="00A56FE9">
        <w:trPr>
          <w:trHeight w:val="822"/>
        </w:trPr>
        <w:tc>
          <w:tcPr>
            <w:tcW w:w="2064" w:type="dxa"/>
            <w:vMerge/>
            <w:tcBorders>
              <w:top w:val="nil"/>
              <w:bottom w:val="single" w:sz="6" w:space="0" w:color="2C398A"/>
            </w:tcBorders>
            <w:shd w:val="clear" w:color="auto" w:fill="F1F1F1"/>
          </w:tcPr>
          <w:p w:rsidR="00A56FE9" w:rsidRDefault="00A56FE9">
            <w:pPr>
              <w:rPr>
                <w:sz w:val="2"/>
                <w:szCs w:val="2"/>
              </w:rPr>
            </w:pPr>
          </w:p>
        </w:tc>
        <w:tc>
          <w:tcPr>
            <w:tcW w:w="3469" w:type="dxa"/>
            <w:tcBorders>
              <w:bottom w:val="single" w:sz="6" w:space="0" w:color="2C398A"/>
            </w:tcBorders>
          </w:tcPr>
          <w:p w:rsidR="00A56FE9" w:rsidRDefault="00000000">
            <w:pPr>
              <w:pStyle w:val="TableParagraph"/>
              <w:ind w:left="100" w:right="309"/>
              <w:rPr>
                <w:sz w:val="18"/>
              </w:rPr>
            </w:pPr>
            <w:r>
              <w:rPr>
                <w:sz w:val="18"/>
              </w:rPr>
              <w:t>Providing assistance of the most needy by</w:t>
            </w:r>
            <w:r>
              <w:rPr>
                <w:spacing w:val="-42"/>
                <w:sz w:val="18"/>
              </w:rPr>
              <w:t xml:space="preserve"> </w:t>
            </w:r>
            <w:r>
              <w:rPr>
                <w:sz w:val="18"/>
              </w:rPr>
              <w:t>distributing food and/or basic material</w:t>
            </w:r>
            <w:r>
              <w:rPr>
                <w:spacing w:val="1"/>
                <w:sz w:val="18"/>
              </w:rPr>
              <w:t xml:space="preserve"> </w:t>
            </w:r>
            <w:r>
              <w:rPr>
                <w:sz w:val="18"/>
              </w:rPr>
              <w:t>assistance</w:t>
            </w:r>
          </w:p>
          <w:p w:rsidR="00A56FE9" w:rsidRDefault="00000000">
            <w:pPr>
              <w:pStyle w:val="TableParagraph"/>
              <w:spacing w:line="189" w:lineRule="exact"/>
              <w:ind w:left="100"/>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2</w:t>
            </w:r>
          </w:p>
        </w:tc>
        <w:tc>
          <w:tcPr>
            <w:tcW w:w="8927" w:type="dxa"/>
            <w:tcBorders>
              <w:bottom w:val="single" w:sz="6" w:space="0" w:color="2C398A"/>
            </w:tcBorders>
          </w:tcPr>
          <w:p w:rsidR="00A56FE9" w:rsidRDefault="00000000">
            <w:pPr>
              <w:pStyle w:val="TableParagraph"/>
              <w:ind w:left="105" w:right="142"/>
              <w:rPr>
                <w:sz w:val="18"/>
              </w:rPr>
            </w:pPr>
            <w:r>
              <w:rPr>
                <w:sz w:val="18"/>
              </w:rPr>
              <w:t>Implementation</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Call</w:t>
            </w:r>
            <w:r>
              <w:rPr>
                <w:spacing w:val="-1"/>
                <w:sz w:val="18"/>
              </w:rPr>
              <w:t xml:space="preserve"> </w:t>
            </w:r>
            <w:r>
              <w:rPr>
                <w:sz w:val="18"/>
              </w:rPr>
              <w:t>for</w:t>
            </w:r>
            <w:r>
              <w:rPr>
                <w:spacing w:val="-3"/>
                <w:sz w:val="18"/>
              </w:rPr>
              <w:t xml:space="preserve"> </w:t>
            </w:r>
            <w:r>
              <w:rPr>
                <w:sz w:val="18"/>
              </w:rPr>
              <w:t>Poverty</w:t>
            </w:r>
            <w:r>
              <w:rPr>
                <w:spacing w:val="-5"/>
                <w:sz w:val="18"/>
              </w:rPr>
              <w:t xml:space="preserve"> </w:t>
            </w:r>
            <w:r>
              <w:rPr>
                <w:sz w:val="18"/>
              </w:rPr>
              <w:t>Reduction Call</w:t>
            </w:r>
            <w:r>
              <w:rPr>
                <w:spacing w:val="-2"/>
                <w:sz w:val="18"/>
              </w:rPr>
              <w:t xml:space="preserve"> </w:t>
            </w:r>
            <w:r>
              <w:rPr>
                <w:sz w:val="18"/>
              </w:rPr>
              <w:t>by</w:t>
            </w:r>
            <w:r>
              <w:rPr>
                <w:spacing w:val="-5"/>
                <w:sz w:val="18"/>
              </w:rPr>
              <w:t xml:space="preserve"> </w:t>
            </w:r>
            <w:r>
              <w:rPr>
                <w:sz w:val="18"/>
              </w:rPr>
              <w:t>providing</w:t>
            </w:r>
            <w:r>
              <w:rPr>
                <w:spacing w:val="-2"/>
                <w:sz w:val="18"/>
              </w:rPr>
              <w:t xml:space="preserve"> </w:t>
            </w:r>
            <w:r>
              <w:rPr>
                <w:sz w:val="18"/>
              </w:rPr>
              <w:t>assistance</w:t>
            </w:r>
            <w:r>
              <w:rPr>
                <w:spacing w:val="-2"/>
                <w:sz w:val="18"/>
              </w:rPr>
              <w:t xml:space="preserve"> </w:t>
            </w:r>
            <w:r>
              <w:rPr>
                <w:sz w:val="18"/>
              </w:rPr>
              <w:t>to the</w:t>
            </w:r>
            <w:r>
              <w:rPr>
                <w:spacing w:val="-2"/>
                <w:sz w:val="18"/>
              </w:rPr>
              <w:t xml:space="preserve"> </w:t>
            </w:r>
            <w:r>
              <w:rPr>
                <w:sz w:val="18"/>
              </w:rPr>
              <w:t>most</w:t>
            </w:r>
            <w:r>
              <w:rPr>
                <w:spacing w:val="-1"/>
                <w:sz w:val="18"/>
              </w:rPr>
              <w:t xml:space="preserve"> </w:t>
            </w:r>
            <w:r>
              <w:rPr>
                <w:sz w:val="18"/>
              </w:rPr>
              <w:t>deprived</w:t>
            </w:r>
            <w:r>
              <w:rPr>
                <w:spacing w:val="-1"/>
                <w:sz w:val="18"/>
              </w:rPr>
              <w:t xml:space="preserve"> </w:t>
            </w:r>
            <w:r>
              <w:rPr>
                <w:sz w:val="18"/>
              </w:rPr>
              <w:t>persons</w:t>
            </w:r>
            <w:r>
              <w:rPr>
                <w:spacing w:val="-1"/>
                <w:sz w:val="18"/>
              </w:rPr>
              <w:t xml:space="preserve"> </w:t>
            </w:r>
            <w:r>
              <w:rPr>
                <w:sz w:val="18"/>
              </w:rPr>
              <w:t>through the</w:t>
            </w:r>
            <w:r>
              <w:rPr>
                <w:spacing w:val="-42"/>
                <w:sz w:val="18"/>
              </w:rPr>
              <w:t xml:space="preserve"> </w:t>
            </w:r>
            <w:r>
              <w:rPr>
                <w:sz w:val="18"/>
              </w:rPr>
              <w:t>distribution</w:t>
            </w:r>
            <w:r>
              <w:rPr>
                <w:spacing w:val="-2"/>
                <w:sz w:val="18"/>
              </w:rPr>
              <w:t xml:space="preserve"> </w:t>
            </w:r>
            <w:r>
              <w:rPr>
                <w:sz w:val="18"/>
              </w:rPr>
              <w:t>of</w:t>
            </w:r>
            <w:r>
              <w:rPr>
                <w:spacing w:val="-3"/>
                <w:sz w:val="18"/>
              </w:rPr>
              <w:t xml:space="preserve"> </w:t>
            </w:r>
            <w:r>
              <w:rPr>
                <w:sz w:val="18"/>
              </w:rPr>
              <w:t>food</w:t>
            </w:r>
            <w:r>
              <w:rPr>
                <w:spacing w:val="1"/>
                <w:sz w:val="18"/>
              </w:rPr>
              <w:t xml:space="preserve"> </w:t>
            </w:r>
            <w:r>
              <w:rPr>
                <w:sz w:val="18"/>
              </w:rPr>
              <w:t>and/or</w:t>
            </w:r>
            <w:r>
              <w:rPr>
                <w:spacing w:val="-3"/>
                <w:sz w:val="18"/>
              </w:rPr>
              <w:t xml:space="preserve"> </w:t>
            </w:r>
            <w:r>
              <w:rPr>
                <w:sz w:val="18"/>
              </w:rPr>
              <w:t>basic</w:t>
            </w:r>
            <w:r>
              <w:rPr>
                <w:spacing w:val="-4"/>
                <w:sz w:val="18"/>
              </w:rPr>
              <w:t xml:space="preserve"> </w:t>
            </w:r>
            <w:r>
              <w:rPr>
                <w:sz w:val="18"/>
              </w:rPr>
              <w:t>material assistance</w:t>
            </w:r>
            <w:r>
              <w:rPr>
                <w:spacing w:val="1"/>
                <w:sz w:val="18"/>
              </w:rPr>
              <w:t xml:space="preserve"> </w:t>
            </w:r>
            <w:r>
              <w:rPr>
                <w:sz w:val="18"/>
              </w:rPr>
              <w:t>- Phase</w:t>
            </w:r>
            <w:r>
              <w:rPr>
                <w:spacing w:val="-2"/>
                <w:sz w:val="18"/>
              </w:rPr>
              <w:t xml:space="preserve"> </w:t>
            </w:r>
            <w:r>
              <w:rPr>
                <w:sz w:val="18"/>
              </w:rPr>
              <w:t>IV,</w:t>
            </w:r>
            <w:r>
              <w:rPr>
                <w:spacing w:val="-1"/>
                <w:sz w:val="18"/>
              </w:rPr>
              <w:t xml:space="preserve"> </w:t>
            </w:r>
            <w:r>
              <w:rPr>
                <w:sz w:val="18"/>
              </w:rPr>
              <w:t>REACT</w:t>
            </w:r>
            <w:r>
              <w:rPr>
                <w:spacing w:val="-2"/>
                <w:sz w:val="18"/>
              </w:rPr>
              <w:t xml:space="preserve"> </w:t>
            </w:r>
            <w:r>
              <w:rPr>
                <w:sz w:val="18"/>
              </w:rPr>
              <w:t>EU</w:t>
            </w:r>
            <w:r>
              <w:rPr>
                <w:spacing w:val="-1"/>
                <w:sz w:val="18"/>
              </w:rPr>
              <w:t xml:space="preserve"> </w:t>
            </w:r>
            <w:r>
              <w:rPr>
                <w:sz w:val="18"/>
              </w:rPr>
              <w:t>FEAD</w:t>
            </w:r>
            <w:r>
              <w:rPr>
                <w:spacing w:val="-1"/>
                <w:sz w:val="18"/>
              </w:rPr>
              <w:t xml:space="preserve"> </w:t>
            </w:r>
            <w:r>
              <w:rPr>
                <w:sz w:val="18"/>
              </w:rPr>
              <w:t>Operational</w:t>
            </w:r>
            <w:r>
              <w:rPr>
                <w:spacing w:val="-2"/>
                <w:sz w:val="18"/>
              </w:rPr>
              <w:t xml:space="preserve"> </w:t>
            </w:r>
            <w:r>
              <w:rPr>
                <w:sz w:val="18"/>
              </w:rPr>
              <w:t>Programme.</w:t>
            </w:r>
          </w:p>
        </w:tc>
      </w:tr>
      <w:tr w:rsidR="00A56FE9">
        <w:trPr>
          <w:trHeight w:val="1377"/>
        </w:trPr>
        <w:tc>
          <w:tcPr>
            <w:tcW w:w="2064" w:type="dxa"/>
            <w:tcBorders>
              <w:top w:val="single" w:sz="6" w:space="0" w:color="2C398A"/>
            </w:tcBorders>
            <w:shd w:val="clear" w:color="auto" w:fill="F1F1F1"/>
          </w:tcPr>
          <w:p w:rsidR="00A56FE9" w:rsidRDefault="00000000">
            <w:pPr>
              <w:pStyle w:val="TableParagraph"/>
              <w:ind w:left="105" w:right="104"/>
              <w:rPr>
                <w:sz w:val="20"/>
              </w:rPr>
            </w:pPr>
            <w:r>
              <w:rPr>
                <w:b/>
                <w:sz w:val="20"/>
              </w:rPr>
              <w:t>2.</w:t>
            </w:r>
            <w:r>
              <w:rPr>
                <w:b/>
                <w:spacing w:val="-4"/>
                <w:sz w:val="20"/>
              </w:rPr>
              <w:t xml:space="preserve"> </w:t>
            </w:r>
            <w:r>
              <w:rPr>
                <w:sz w:val="20"/>
              </w:rPr>
              <w:t>End</w:t>
            </w:r>
            <w:r>
              <w:rPr>
                <w:spacing w:val="-3"/>
                <w:sz w:val="20"/>
              </w:rPr>
              <w:t xml:space="preserve"> </w:t>
            </w:r>
            <w:r>
              <w:rPr>
                <w:sz w:val="20"/>
              </w:rPr>
              <w:t>hunger,</w:t>
            </w:r>
            <w:r>
              <w:rPr>
                <w:spacing w:val="-4"/>
                <w:sz w:val="20"/>
              </w:rPr>
              <w:t xml:space="preserve"> </w:t>
            </w:r>
            <w:r>
              <w:rPr>
                <w:sz w:val="20"/>
              </w:rPr>
              <w:t>achieve</w:t>
            </w:r>
            <w:r>
              <w:rPr>
                <w:spacing w:val="-47"/>
                <w:sz w:val="20"/>
              </w:rPr>
              <w:t xml:space="preserve"> </w:t>
            </w:r>
            <w:r>
              <w:rPr>
                <w:sz w:val="20"/>
              </w:rPr>
              <w:t>food security and</w:t>
            </w:r>
            <w:r>
              <w:rPr>
                <w:spacing w:val="1"/>
                <w:sz w:val="20"/>
              </w:rPr>
              <w:t xml:space="preserve"> </w:t>
            </w:r>
            <w:r>
              <w:rPr>
                <w:sz w:val="20"/>
              </w:rPr>
              <w:t>improved</w:t>
            </w:r>
            <w:r>
              <w:rPr>
                <w:spacing w:val="50"/>
                <w:sz w:val="20"/>
              </w:rPr>
              <w:t xml:space="preserve"> </w:t>
            </w:r>
            <w:r>
              <w:rPr>
                <w:sz w:val="20"/>
              </w:rPr>
              <w:t>nutrition</w:t>
            </w:r>
            <w:r>
              <w:rPr>
                <w:spacing w:val="1"/>
                <w:sz w:val="20"/>
              </w:rPr>
              <w:t xml:space="preserve"> </w:t>
            </w:r>
            <w:r>
              <w:rPr>
                <w:sz w:val="20"/>
              </w:rPr>
              <w:t>and</w:t>
            </w:r>
          </w:p>
          <w:p w:rsidR="00A56FE9" w:rsidRDefault="00000000">
            <w:pPr>
              <w:pStyle w:val="TableParagraph"/>
              <w:spacing w:line="230" w:lineRule="exact"/>
              <w:ind w:left="105" w:right="331"/>
              <w:rPr>
                <w:sz w:val="20"/>
              </w:rPr>
            </w:pPr>
            <w:r>
              <w:rPr>
                <w:spacing w:val="-1"/>
                <w:sz w:val="20"/>
              </w:rPr>
              <w:t xml:space="preserve">promote </w:t>
            </w:r>
            <w:r>
              <w:rPr>
                <w:sz w:val="20"/>
              </w:rPr>
              <w:t>sustainable</w:t>
            </w:r>
            <w:r>
              <w:rPr>
                <w:spacing w:val="-47"/>
                <w:sz w:val="20"/>
              </w:rPr>
              <w:t xml:space="preserve"> </w:t>
            </w:r>
            <w:r>
              <w:rPr>
                <w:sz w:val="20"/>
              </w:rPr>
              <w:t>agriculture</w:t>
            </w:r>
          </w:p>
        </w:tc>
        <w:tc>
          <w:tcPr>
            <w:tcW w:w="3469" w:type="dxa"/>
            <w:tcBorders>
              <w:top w:val="single" w:sz="6" w:space="0" w:color="2C398A"/>
            </w:tcBorders>
            <w:shd w:val="clear" w:color="auto" w:fill="C5EECE"/>
          </w:tcPr>
          <w:p w:rsidR="00A56FE9" w:rsidRDefault="00000000">
            <w:pPr>
              <w:pStyle w:val="TableParagraph"/>
              <w:ind w:left="100" w:right="284"/>
              <w:rPr>
                <w:sz w:val="18"/>
              </w:rPr>
            </w:pPr>
            <w:r>
              <w:rPr>
                <w:sz w:val="18"/>
              </w:rPr>
              <w:t>The online platform for food waste</w:t>
            </w:r>
            <w:r>
              <w:rPr>
                <w:spacing w:val="1"/>
                <w:sz w:val="18"/>
              </w:rPr>
              <w:t xml:space="preserve"> </w:t>
            </w:r>
            <w:r>
              <w:rPr>
                <w:sz w:val="18"/>
              </w:rPr>
              <w:t>prevention and upgraded food donation IT</w:t>
            </w:r>
            <w:r>
              <w:rPr>
                <w:spacing w:val="-42"/>
                <w:sz w:val="18"/>
              </w:rPr>
              <w:t xml:space="preserve"> </w:t>
            </w:r>
            <w:r>
              <w:rPr>
                <w:sz w:val="18"/>
              </w:rPr>
              <w:t>system</w:t>
            </w:r>
          </w:p>
        </w:tc>
        <w:tc>
          <w:tcPr>
            <w:tcW w:w="8927" w:type="dxa"/>
            <w:tcBorders>
              <w:top w:val="single" w:sz="6" w:space="0" w:color="2C398A"/>
            </w:tcBorders>
            <w:shd w:val="clear" w:color="auto" w:fill="C5EECE"/>
          </w:tcPr>
          <w:p w:rsidR="00A56FE9" w:rsidRDefault="00000000">
            <w:pPr>
              <w:pStyle w:val="TableParagraph"/>
              <w:ind w:left="105" w:right="142"/>
              <w:rPr>
                <w:sz w:val="18"/>
              </w:rPr>
            </w:pPr>
            <w:r>
              <w:rPr>
                <w:sz w:val="18"/>
              </w:rPr>
              <w:t>The online platform on food waste prevention and reduction shall be launched to disseminate best practices, raise</w:t>
            </w:r>
            <w:r>
              <w:rPr>
                <w:spacing w:val="1"/>
                <w:sz w:val="18"/>
              </w:rPr>
              <w:t xml:space="preserve"> </w:t>
            </w:r>
            <w:r>
              <w:rPr>
                <w:sz w:val="18"/>
              </w:rPr>
              <w:t>awareness</w:t>
            </w:r>
            <w:r>
              <w:rPr>
                <w:spacing w:val="-3"/>
                <w:sz w:val="18"/>
              </w:rPr>
              <w:t xml:space="preserve"> </w:t>
            </w:r>
            <w:r>
              <w:rPr>
                <w:sz w:val="18"/>
              </w:rPr>
              <w:t>and</w:t>
            </w:r>
            <w:r>
              <w:rPr>
                <w:spacing w:val="-1"/>
                <w:sz w:val="18"/>
              </w:rPr>
              <w:t xml:space="preserve"> </w:t>
            </w:r>
            <w:r>
              <w:rPr>
                <w:sz w:val="18"/>
              </w:rPr>
              <w:t>educate</w:t>
            </w:r>
            <w:r>
              <w:rPr>
                <w:spacing w:val="-1"/>
                <w:sz w:val="18"/>
              </w:rPr>
              <w:t xml:space="preserve"> </w:t>
            </w:r>
            <w:r>
              <w:rPr>
                <w:sz w:val="18"/>
              </w:rPr>
              <w:t>about</w:t>
            </w:r>
            <w:r>
              <w:rPr>
                <w:spacing w:val="-2"/>
                <w:sz w:val="18"/>
              </w:rPr>
              <w:t xml:space="preserve"> </w:t>
            </w:r>
            <w:r>
              <w:rPr>
                <w:sz w:val="18"/>
              </w:rPr>
              <w:t>the</w:t>
            </w:r>
            <w:r>
              <w:rPr>
                <w:spacing w:val="-3"/>
                <w:sz w:val="18"/>
              </w:rPr>
              <w:t xml:space="preserve"> </w:t>
            </w:r>
            <w:r>
              <w:rPr>
                <w:sz w:val="18"/>
              </w:rPr>
              <w:t>issue</w:t>
            </w:r>
            <w:r>
              <w:rPr>
                <w:spacing w:val="-2"/>
                <w:sz w:val="18"/>
              </w:rPr>
              <w:t xml:space="preserve"> </w:t>
            </w:r>
            <w:r>
              <w:rPr>
                <w:sz w:val="18"/>
              </w:rPr>
              <w:t>of</w:t>
            </w:r>
            <w:r>
              <w:rPr>
                <w:spacing w:val="-4"/>
                <w:sz w:val="18"/>
              </w:rPr>
              <w:t xml:space="preserve"> </w:t>
            </w:r>
            <w:r>
              <w:rPr>
                <w:sz w:val="18"/>
              </w:rPr>
              <w:t>food</w:t>
            </w:r>
            <w:r>
              <w:rPr>
                <w:spacing w:val="-1"/>
                <w:sz w:val="18"/>
              </w:rPr>
              <w:t xml:space="preserve"> </w:t>
            </w:r>
            <w:r>
              <w:rPr>
                <w:sz w:val="18"/>
              </w:rPr>
              <w:t>waste</w:t>
            </w:r>
            <w:r>
              <w:rPr>
                <w:spacing w:val="-2"/>
                <w:sz w:val="18"/>
              </w:rPr>
              <w:t xml:space="preserve"> </w:t>
            </w:r>
            <w:r>
              <w:rPr>
                <w:sz w:val="18"/>
              </w:rPr>
              <w:t>and</w:t>
            </w:r>
            <w:r>
              <w:rPr>
                <w:spacing w:val="-1"/>
                <w:sz w:val="18"/>
              </w:rPr>
              <w:t xml:space="preserve"> </w:t>
            </w:r>
            <w:r>
              <w:rPr>
                <w:sz w:val="18"/>
              </w:rPr>
              <w:t>food</w:t>
            </w:r>
            <w:r>
              <w:rPr>
                <w:spacing w:val="-1"/>
                <w:sz w:val="18"/>
              </w:rPr>
              <w:t xml:space="preserve"> </w:t>
            </w:r>
            <w:r>
              <w:rPr>
                <w:sz w:val="18"/>
              </w:rPr>
              <w:t>donation.</w:t>
            </w:r>
            <w:r>
              <w:rPr>
                <w:spacing w:val="-1"/>
                <w:sz w:val="18"/>
              </w:rPr>
              <w:t xml:space="preserve"> </w:t>
            </w:r>
            <w:r>
              <w:rPr>
                <w:sz w:val="18"/>
              </w:rPr>
              <w:t>The</w:t>
            </w:r>
            <w:r>
              <w:rPr>
                <w:spacing w:val="-3"/>
                <w:sz w:val="18"/>
              </w:rPr>
              <w:t xml:space="preserve"> </w:t>
            </w:r>
            <w:r>
              <w:rPr>
                <w:sz w:val="18"/>
              </w:rPr>
              <w:t>food</w:t>
            </w:r>
            <w:r>
              <w:rPr>
                <w:spacing w:val="-2"/>
                <w:sz w:val="18"/>
              </w:rPr>
              <w:t xml:space="preserve"> </w:t>
            </w:r>
            <w:r>
              <w:rPr>
                <w:sz w:val="18"/>
              </w:rPr>
              <w:t>donation</w:t>
            </w:r>
            <w:r>
              <w:rPr>
                <w:spacing w:val="-1"/>
                <w:sz w:val="18"/>
              </w:rPr>
              <w:t xml:space="preserve"> </w:t>
            </w:r>
            <w:r>
              <w:rPr>
                <w:sz w:val="18"/>
              </w:rPr>
              <w:t>IT</w:t>
            </w:r>
            <w:r>
              <w:rPr>
                <w:spacing w:val="-4"/>
                <w:sz w:val="18"/>
              </w:rPr>
              <w:t xml:space="preserve"> </w:t>
            </w:r>
            <w:r>
              <w:rPr>
                <w:sz w:val="18"/>
              </w:rPr>
              <w:t>system,</w:t>
            </w:r>
            <w:r>
              <w:rPr>
                <w:spacing w:val="2"/>
                <w:sz w:val="18"/>
              </w:rPr>
              <w:t xml:space="preserve"> </w:t>
            </w:r>
            <w:r>
              <w:rPr>
                <w:sz w:val="18"/>
              </w:rPr>
              <w:t>which</w:t>
            </w:r>
            <w:r>
              <w:rPr>
                <w:spacing w:val="-1"/>
                <w:sz w:val="18"/>
              </w:rPr>
              <w:t xml:space="preserve"> </w:t>
            </w:r>
            <w:r>
              <w:rPr>
                <w:sz w:val="18"/>
              </w:rPr>
              <w:t>is</w:t>
            </w:r>
            <w:r>
              <w:rPr>
                <w:spacing w:val="-2"/>
                <w:sz w:val="18"/>
              </w:rPr>
              <w:t xml:space="preserve"> </w:t>
            </w:r>
            <w:r>
              <w:rPr>
                <w:sz w:val="18"/>
              </w:rPr>
              <w:t>already</w:t>
            </w:r>
            <w:r>
              <w:rPr>
                <w:spacing w:val="-42"/>
                <w:sz w:val="18"/>
              </w:rPr>
              <w:t xml:space="preserve"> </w:t>
            </w:r>
            <w:r>
              <w:rPr>
                <w:sz w:val="18"/>
              </w:rPr>
              <w:t>in operation, shall be upgraded with new functionalities, of which the possibility of regional governance of the system</w:t>
            </w:r>
            <w:r>
              <w:rPr>
                <w:spacing w:val="1"/>
                <w:sz w:val="18"/>
              </w:rPr>
              <w:t xml:space="preserve"> </w:t>
            </w:r>
            <w:r>
              <w:rPr>
                <w:sz w:val="18"/>
              </w:rPr>
              <w:t>and statistical representation</w:t>
            </w:r>
            <w:r>
              <w:rPr>
                <w:spacing w:val="-1"/>
                <w:sz w:val="18"/>
              </w:rPr>
              <w:t xml:space="preserve"> </w:t>
            </w:r>
            <w:r>
              <w:rPr>
                <w:sz w:val="18"/>
              </w:rPr>
              <w:t>of</w:t>
            </w:r>
            <w:r>
              <w:rPr>
                <w:spacing w:val="-2"/>
                <w:sz w:val="18"/>
              </w:rPr>
              <w:t xml:space="preserve"> </w:t>
            </w:r>
            <w:r>
              <w:rPr>
                <w:sz w:val="18"/>
              </w:rPr>
              <w:t>data are</w:t>
            </w:r>
            <w:r>
              <w:rPr>
                <w:spacing w:val="-1"/>
                <w:sz w:val="18"/>
              </w:rPr>
              <w:t xml:space="preserve"> </w:t>
            </w:r>
            <w:r>
              <w:rPr>
                <w:sz w:val="18"/>
              </w:rPr>
              <w:t>highlighted.</w:t>
            </w:r>
          </w:p>
        </w:tc>
      </w:tr>
    </w:tbl>
    <w:p w:rsidR="00A56FE9" w:rsidRDefault="00A56FE9">
      <w:pPr>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4"/>
        <w:gridCol w:w="3469"/>
        <w:gridCol w:w="8927"/>
      </w:tblGrid>
      <w:tr w:rsidR="00A56FE9">
        <w:trPr>
          <w:trHeight w:val="249"/>
        </w:trPr>
        <w:tc>
          <w:tcPr>
            <w:tcW w:w="2064" w:type="dxa"/>
            <w:tcBorders>
              <w:top w:val="nil"/>
              <w:left w:val="nil"/>
              <w:bottom w:val="nil"/>
              <w:right w:val="nil"/>
            </w:tcBorders>
            <w:shd w:val="clear" w:color="auto" w:fill="2C398A"/>
          </w:tcPr>
          <w:p w:rsidR="00A56FE9" w:rsidRDefault="00000000">
            <w:pPr>
              <w:pStyle w:val="TableParagraph"/>
              <w:spacing w:before="10" w:line="220" w:lineRule="exact"/>
              <w:ind w:left="806" w:right="806"/>
              <w:jc w:val="center"/>
              <w:rPr>
                <w:b/>
                <w:sz w:val="20"/>
              </w:rPr>
            </w:pPr>
            <w:r>
              <w:rPr>
                <w:b/>
                <w:color w:val="FFFFFF"/>
                <w:sz w:val="20"/>
              </w:rPr>
              <w:t>SDG</w:t>
            </w:r>
          </w:p>
        </w:tc>
        <w:tc>
          <w:tcPr>
            <w:tcW w:w="3469" w:type="dxa"/>
            <w:tcBorders>
              <w:top w:val="nil"/>
              <w:left w:val="nil"/>
              <w:bottom w:val="nil"/>
              <w:right w:val="nil"/>
            </w:tcBorders>
            <w:shd w:val="clear" w:color="auto" w:fill="2C398A"/>
          </w:tcPr>
          <w:p w:rsidR="00A56FE9" w:rsidRDefault="00000000">
            <w:pPr>
              <w:pStyle w:val="TableParagraph"/>
              <w:spacing w:before="10" w:line="220" w:lineRule="exact"/>
              <w:ind w:left="792"/>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7" w:type="dxa"/>
            <w:tcBorders>
              <w:top w:val="nil"/>
              <w:left w:val="nil"/>
              <w:bottom w:val="nil"/>
              <w:right w:val="nil"/>
            </w:tcBorders>
            <w:shd w:val="clear" w:color="auto" w:fill="2C398A"/>
          </w:tcPr>
          <w:p w:rsidR="00A56FE9" w:rsidRDefault="00000000">
            <w:pPr>
              <w:pStyle w:val="TableParagraph"/>
              <w:spacing w:before="10" w:line="220" w:lineRule="exact"/>
              <w:ind w:left="1951" w:right="1951"/>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827"/>
        </w:trPr>
        <w:tc>
          <w:tcPr>
            <w:tcW w:w="2064" w:type="dxa"/>
            <w:vMerge w:val="restart"/>
            <w:tcBorders>
              <w:top w:val="nil"/>
            </w:tcBorders>
            <w:shd w:val="clear" w:color="auto" w:fill="F1F1F1"/>
          </w:tcPr>
          <w:p w:rsidR="00A56FE9" w:rsidRDefault="00000000">
            <w:pPr>
              <w:pStyle w:val="TableParagraph"/>
              <w:ind w:left="105" w:right="107"/>
              <w:rPr>
                <w:sz w:val="20"/>
              </w:rPr>
            </w:pPr>
            <w:r>
              <w:rPr>
                <w:b/>
                <w:sz w:val="20"/>
              </w:rPr>
              <w:t xml:space="preserve">3. </w:t>
            </w:r>
            <w:r>
              <w:rPr>
                <w:sz w:val="20"/>
              </w:rPr>
              <w:t>Ensure healthy lives</w:t>
            </w:r>
            <w:r>
              <w:rPr>
                <w:spacing w:val="-47"/>
                <w:sz w:val="20"/>
              </w:rPr>
              <w:t xml:space="preserve"> </w:t>
            </w:r>
            <w:r>
              <w:rPr>
                <w:sz w:val="20"/>
              </w:rPr>
              <w:t>and promote</w:t>
            </w:r>
            <w:r>
              <w:rPr>
                <w:spacing w:val="1"/>
                <w:sz w:val="20"/>
              </w:rPr>
              <w:t xml:space="preserve"> </w:t>
            </w:r>
            <w:r>
              <w:rPr>
                <w:sz w:val="20"/>
              </w:rPr>
              <w:t>well-</w:t>
            </w:r>
            <w:r>
              <w:rPr>
                <w:spacing w:val="1"/>
                <w:sz w:val="20"/>
              </w:rPr>
              <w:t xml:space="preserve"> </w:t>
            </w:r>
            <w:r>
              <w:rPr>
                <w:sz w:val="20"/>
              </w:rPr>
              <w:t>being</w:t>
            </w:r>
            <w:r>
              <w:rPr>
                <w:spacing w:val="-4"/>
                <w:sz w:val="20"/>
              </w:rPr>
              <w:t xml:space="preserve"> </w:t>
            </w:r>
            <w:r>
              <w:rPr>
                <w:sz w:val="20"/>
              </w:rPr>
              <w:t>for</w:t>
            </w:r>
            <w:r>
              <w:rPr>
                <w:spacing w:val="-4"/>
                <w:sz w:val="20"/>
              </w:rPr>
              <w:t xml:space="preserve"> </w:t>
            </w:r>
            <w:r>
              <w:rPr>
                <w:sz w:val="20"/>
              </w:rPr>
              <w:t>all</w:t>
            </w:r>
            <w:r>
              <w:rPr>
                <w:spacing w:val="-4"/>
                <w:sz w:val="20"/>
              </w:rPr>
              <w:t xml:space="preserve"> </w:t>
            </w:r>
            <w:r>
              <w:rPr>
                <w:sz w:val="20"/>
              </w:rPr>
              <w:t>at</w:t>
            </w:r>
            <w:r>
              <w:rPr>
                <w:spacing w:val="-4"/>
                <w:sz w:val="20"/>
              </w:rPr>
              <w:t xml:space="preserve"> </w:t>
            </w:r>
            <w:r>
              <w:rPr>
                <w:sz w:val="20"/>
              </w:rPr>
              <w:t>all</w:t>
            </w:r>
            <w:r>
              <w:rPr>
                <w:spacing w:val="-4"/>
                <w:sz w:val="20"/>
              </w:rPr>
              <w:t xml:space="preserve"> </w:t>
            </w:r>
            <w:r>
              <w:rPr>
                <w:sz w:val="20"/>
              </w:rPr>
              <w:t>ages</w:t>
            </w:r>
          </w:p>
        </w:tc>
        <w:tc>
          <w:tcPr>
            <w:tcW w:w="3469" w:type="dxa"/>
            <w:tcBorders>
              <w:top w:val="nil"/>
            </w:tcBorders>
            <w:shd w:val="clear" w:color="auto" w:fill="C5EECE"/>
          </w:tcPr>
          <w:p w:rsidR="00A56FE9" w:rsidRDefault="00000000">
            <w:pPr>
              <w:pStyle w:val="TableParagraph"/>
              <w:ind w:left="100" w:right="639"/>
              <w:rPr>
                <w:sz w:val="18"/>
              </w:rPr>
            </w:pPr>
            <w:r>
              <w:rPr>
                <w:sz w:val="18"/>
              </w:rPr>
              <w:t>Entry into force of the Health System</w:t>
            </w:r>
            <w:r>
              <w:rPr>
                <w:spacing w:val="-43"/>
                <w:sz w:val="18"/>
              </w:rPr>
              <w:t xml:space="preserve"> </w:t>
            </w:r>
            <w:r>
              <w:rPr>
                <w:sz w:val="18"/>
              </w:rPr>
              <w:t>Performance</w:t>
            </w:r>
            <w:r>
              <w:rPr>
                <w:spacing w:val="-3"/>
                <w:sz w:val="18"/>
              </w:rPr>
              <w:t xml:space="preserve"> </w:t>
            </w:r>
            <w:r>
              <w:rPr>
                <w:sz w:val="18"/>
              </w:rPr>
              <w:t>Assessment</w:t>
            </w:r>
            <w:r>
              <w:rPr>
                <w:spacing w:val="-5"/>
                <w:sz w:val="18"/>
              </w:rPr>
              <w:t xml:space="preserve"> </w:t>
            </w:r>
            <w:r>
              <w:rPr>
                <w:sz w:val="18"/>
              </w:rPr>
              <w:t>Framework</w:t>
            </w:r>
          </w:p>
        </w:tc>
        <w:tc>
          <w:tcPr>
            <w:tcW w:w="8927" w:type="dxa"/>
            <w:tcBorders>
              <w:top w:val="nil"/>
            </w:tcBorders>
            <w:shd w:val="clear" w:color="auto" w:fill="C5EECE"/>
          </w:tcPr>
          <w:p w:rsidR="00A56FE9" w:rsidRDefault="00000000">
            <w:pPr>
              <w:pStyle w:val="TableParagraph"/>
              <w:ind w:left="105" w:right="218"/>
              <w:rPr>
                <w:sz w:val="18"/>
              </w:rPr>
            </w:pPr>
            <w:r>
              <w:rPr>
                <w:sz w:val="18"/>
              </w:rPr>
              <w:t>The Health System Performance Assessment (HSPA), shall establish a health performance measurement framework,</w:t>
            </w:r>
            <w:r>
              <w:rPr>
                <w:spacing w:val="1"/>
                <w:sz w:val="18"/>
              </w:rPr>
              <w:t xml:space="preserve"> </w:t>
            </w:r>
            <w:r>
              <w:rPr>
                <w:sz w:val="18"/>
              </w:rPr>
              <w:t>set-out of key performance indicators according to a defined assessment methodology, linked to the process of linking</w:t>
            </w:r>
            <w:r>
              <w:rPr>
                <w:spacing w:val="1"/>
                <w:sz w:val="18"/>
              </w:rPr>
              <w:t xml:space="preserve"> </w:t>
            </w:r>
            <w:r>
              <w:rPr>
                <w:sz w:val="18"/>
              </w:rPr>
              <w:t>measures</w:t>
            </w:r>
            <w:r>
              <w:rPr>
                <w:spacing w:val="-2"/>
                <w:sz w:val="18"/>
              </w:rPr>
              <w:t xml:space="preserve"> </w:t>
            </w:r>
            <w:r>
              <w:rPr>
                <w:sz w:val="18"/>
              </w:rPr>
              <w:t>to</w:t>
            </w:r>
            <w:r>
              <w:rPr>
                <w:spacing w:val="1"/>
                <w:sz w:val="18"/>
              </w:rPr>
              <w:t xml:space="preserve"> </w:t>
            </w:r>
            <w:r>
              <w:rPr>
                <w:sz w:val="18"/>
              </w:rPr>
              <w:t>the</w:t>
            </w:r>
            <w:r>
              <w:rPr>
                <w:spacing w:val="-2"/>
                <w:sz w:val="18"/>
              </w:rPr>
              <w:t xml:space="preserve"> </w:t>
            </w:r>
            <w:r>
              <w:rPr>
                <w:sz w:val="18"/>
              </w:rPr>
              <w:t>objectives</w:t>
            </w:r>
            <w:r>
              <w:rPr>
                <w:spacing w:val="-1"/>
                <w:sz w:val="18"/>
              </w:rPr>
              <w:t xml:space="preserve"> </w:t>
            </w:r>
            <w:r>
              <w:rPr>
                <w:sz w:val="18"/>
              </w:rPr>
              <w:t>set</w:t>
            </w:r>
            <w:r>
              <w:rPr>
                <w:spacing w:val="-1"/>
                <w:sz w:val="18"/>
              </w:rPr>
              <w:t xml:space="preserve"> </w:t>
            </w:r>
            <w:r>
              <w:rPr>
                <w:sz w:val="18"/>
              </w:rPr>
              <w:t>out</w:t>
            </w:r>
            <w:r>
              <w:rPr>
                <w:spacing w:val="-4"/>
                <w:sz w:val="18"/>
              </w:rPr>
              <w:t xml:space="preserve"> </w:t>
            </w:r>
            <w:r>
              <w:rPr>
                <w:sz w:val="18"/>
              </w:rPr>
              <w:t>in the</w:t>
            </w:r>
            <w:r>
              <w:rPr>
                <w:spacing w:val="-2"/>
                <w:sz w:val="18"/>
              </w:rPr>
              <w:t xml:space="preserve"> </w:t>
            </w:r>
            <w:r>
              <w:rPr>
                <w:sz w:val="18"/>
              </w:rPr>
              <w:t>national</w:t>
            </w:r>
            <w:r>
              <w:rPr>
                <w:spacing w:val="-1"/>
                <w:sz w:val="18"/>
              </w:rPr>
              <w:t xml:space="preserve"> </w:t>
            </w:r>
            <w:r>
              <w:rPr>
                <w:sz w:val="18"/>
              </w:rPr>
              <w:t>strategy</w:t>
            </w:r>
            <w:r>
              <w:rPr>
                <w:spacing w:val="-5"/>
                <w:sz w:val="18"/>
              </w:rPr>
              <w:t xml:space="preserve"> </w:t>
            </w:r>
            <w:r>
              <w:rPr>
                <w:sz w:val="18"/>
              </w:rPr>
              <w:t>papers</w:t>
            </w:r>
            <w:r>
              <w:rPr>
                <w:spacing w:val="-1"/>
                <w:sz w:val="18"/>
              </w:rPr>
              <w:t xml:space="preserve"> </w:t>
            </w:r>
            <w:r>
              <w:rPr>
                <w:sz w:val="18"/>
              </w:rPr>
              <w:t>and</w:t>
            </w:r>
            <w:r>
              <w:rPr>
                <w:spacing w:val="-1"/>
                <w:sz w:val="18"/>
              </w:rPr>
              <w:t xml:space="preserve"> </w:t>
            </w:r>
            <w:r>
              <w:rPr>
                <w:sz w:val="18"/>
              </w:rPr>
              <w:t>reforms,</w:t>
            </w:r>
            <w:r>
              <w:rPr>
                <w:spacing w:val="-1"/>
                <w:sz w:val="18"/>
              </w:rPr>
              <w:t xml:space="preserve"> </w:t>
            </w:r>
            <w:r>
              <w:rPr>
                <w:sz w:val="18"/>
              </w:rPr>
              <w:t>the</w:t>
            </w:r>
            <w:r>
              <w:rPr>
                <w:spacing w:val="-2"/>
                <w:sz w:val="18"/>
              </w:rPr>
              <w:t xml:space="preserve"> </w:t>
            </w:r>
            <w:r>
              <w:rPr>
                <w:sz w:val="18"/>
              </w:rPr>
              <w:t>timeliness</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data,</w:t>
            </w:r>
            <w:r>
              <w:rPr>
                <w:spacing w:val="-2"/>
                <w:sz w:val="18"/>
              </w:rPr>
              <w:t xml:space="preserve"> </w:t>
            </w:r>
            <w:r>
              <w:rPr>
                <w:sz w:val="18"/>
              </w:rPr>
              <w:t>and to improve</w:t>
            </w:r>
          </w:p>
          <w:p w:rsidR="00A56FE9" w:rsidRDefault="00000000">
            <w:pPr>
              <w:pStyle w:val="TableParagraph"/>
              <w:spacing w:line="191" w:lineRule="exact"/>
              <w:ind w:left="105"/>
              <w:rPr>
                <w:sz w:val="18"/>
              </w:rPr>
            </w:pPr>
            <w:r>
              <w:rPr>
                <w:sz w:val="18"/>
              </w:rPr>
              <w:t>the</w:t>
            </w:r>
            <w:r>
              <w:rPr>
                <w:spacing w:val="-2"/>
                <w:sz w:val="18"/>
              </w:rPr>
              <w:t xml:space="preserve"> </w:t>
            </w:r>
            <w:r>
              <w:rPr>
                <w:sz w:val="18"/>
              </w:rPr>
              <w:t>monitoring</w:t>
            </w:r>
            <w:r>
              <w:rPr>
                <w:spacing w:val="-2"/>
                <w:sz w:val="18"/>
              </w:rPr>
              <w:t xml:space="preserve"> </w:t>
            </w:r>
            <w:r>
              <w:rPr>
                <w:sz w:val="18"/>
              </w:rPr>
              <w:t>of</w:t>
            </w:r>
            <w:r>
              <w:rPr>
                <w:spacing w:val="-3"/>
                <w:sz w:val="18"/>
              </w:rPr>
              <w:t xml:space="preserve"> </w:t>
            </w:r>
            <w:r>
              <w:rPr>
                <w:sz w:val="18"/>
              </w:rPr>
              <w:t>health</w:t>
            </w:r>
            <w:r>
              <w:rPr>
                <w:spacing w:val="-1"/>
                <w:sz w:val="18"/>
              </w:rPr>
              <w:t xml:space="preserve"> </w:t>
            </w:r>
            <w:r>
              <w:rPr>
                <w:sz w:val="18"/>
              </w:rPr>
              <w:t>outcomes.</w:t>
            </w:r>
          </w:p>
        </w:tc>
      </w:tr>
      <w:tr w:rsidR="00A56FE9">
        <w:trPr>
          <w:trHeight w:val="1033"/>
        </w:trPr>
        <w:tc>
          <w:tcPr>
            <w:tcW w:w="2064" w:type="dxa"/>
            <w:vMerge/>
            <w:tcBorders>
              <w:top w:val="nil"/>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ind w:left="100" w:right="196"/>
              <w:rPr>
                <w:sz w:val="18"/>
              </w:rPr>
            </w:pPr>
            <w:r>
              <w:rPr>
                <w:sz w:val="18"/>
              </w:rPr>
              <w:t>Modernisation</w:t>
            </w:r>
            <w:r>
              <w:rPr>
                <w:spacing w:val="-2"/>
                <w:sz w:val="18"/>
              </w:rPr>
              <w:t xml:space="preserve"> </w:t>
            </w:r>
            <w:r>
              <w:rPr>
                <w:sz w:val="18"/>
              </w:rPr>
              <w:t>of</w:t>
            </w:r>
            <w:r>
              <w:rPr>
                <w:spacing w:val="-4"/>
                <w:sz w:val="18"/>
              </w:rPr>
              <w:t xml:space="preserve"> </w:t>
            </w:r>
            <w:r>
              <w:rPr>
                <w:sz w:val="18"/>
              </w:rPr>
              <w:t>health</w:t>
            </w:r>
            <w:r>
              <w:rPr>
                <w:spacing w:val="-3"/>
                <w:sz w:val="18"/>
              </w:rPr>
              <w:t xml:space="preserve"> </w:t>
            </w:r>
            <w:r>
              <w:rPr>
                <w:sz w:val="18"/>
              </w:rPr>
              <w:t>services</w:t>
            </w:r>
            <w:r>
              <w:rPr>
                <w:spacing w:val="-2"/>
                <w:sz w:val="18"/>
              </w:rPr>
              <w:t xml:space="preserve"> </w:t>
            </w:r>
            <w:r>
              <w:rPr>
                <w:sz w:val="18"/>
              </w:rPr>
              <w:t>in</w:t>
            </w:r>
            <w:r>
              <w:rPr>
                <w:spacing w:val="-1"/>
                <w:sz w:val="18"/>
              </w:rPr>
              <w:t xml:space="preserve"> </w:t>
            </w:r>
            <w:r>
              <w:rPr>
                <w:sz w:val="18"/>
              </w:rPr>
              <w:t>Clinical</w:t>
            </w:r>
            <w:r>
              <w:rPr>
                <w:spacing w:val="-42"/>
                <w:sz w:val="18"/>
              </w:rPr>
              <w:t xml:space="preserve"> </w:t>
            </w:r>
            <w:r>
              <w:rPr>
                <w:sz w:val="18"/>
              </w:rPr>
              <w:t>Hospital</w:t>
            </w:r>
            <w:r>
              <w:rPr>
                <w:spacing w:val="-1"/>
                <w:sz w:val="18"/>
              </w:rPr>
              <w:t xml:space="preserve"> </w:t>
            </w:r>
            <w:r>
              <w:rPr>
                <w:sz w:val="18"/>
              </w:rPr>
              <w:t>Centre KBC</w:t>
            </w:r>
            <w:r>
              <w:rPr>
                <w:spacing w:val="-2"/>
                <w:sz w:val="18"/>
              </w:rPr>
              <w:t xml:space="preserve"> </w:t>
            </w:r>
            <w:r>
              <w:rPr>
                <w:sz w:val="18"/>
              </w:rPr>
              <w:t>Split</w:t>
            </w:r>
          </w:p>
        </w:tc>
        <w:tc>
          <w:tcPr>
            <w:tcW w:w="8927" w:type="dxa"/>
            <w:shd w:val="clear" w:color="auto" w:fill="C5EECE"/>
          </w:tcPr>
          <w:p w:rsidR="00A56FE9" w:rsidRDefault="00000000">
            <w:pPr>
              <w:pStyle w:val="TableParagraph"/>
              <w:ind w:left="105" w:right="84"/>
              <w:rPr>
                <w:sz w:val="18"/>
              </w:rPr>
            </w:pPr>
            <w:r>
              <w:rPr>
                <w:sz w:val="18"/>
              </w:rPr>
              <w:t>Installing of equipment for the Clinical Institute for Diagnostic and Intervention Radiology and at the Clinical Nuclear</w:t>
            </w:r>
            <w:r>
              <w:rPr>
                <w:spacing w:val="1"/>
                <w:sz w:val="18"/>
              </w:rPr>
              <w:t xml:space="preserve"> </w:t>
            </w:r>
            <w:r>
              <w:rPr>
                <w:sz w:val="18"/>
              </w:rPr>
              <w:t>Medicine Institute and construction and equipment of a hybrid endoscopic room at the Gastroenterology Institute, to</w:t>
            </w:r>
            <w:r>
              <w:rPr>
                <w:spacing w:val="1"/>
                <w:sz w:val="18"/>
              </w:rPr>
              <w:t xml:space="preserve"> </w:t>
            </w:r>
            <w:r>
              <w:rPr>
                <w:sz w:val="18"/>
              </w:rPr>
              <w:t>allow for the introduction of new diagnostic and therapeutic procedures in Clinical Hospital Centre KBC Split. The</w:t>
            </w:r>
            <w:r>
              <w:rPr>
                <w:spacing w:val="1"/>
                <w:sz w:val="18"/>
              </w:rPr>
              <w:t xml:space="preserve"> </w:t>
            </w:r>
            <w:r>
              <w:rPr>
                <w:sz w:val="18"/>
              </w:rPr>
              <w:t>installed</w:t>
            </w:r>
            <w:r>
              <w:rPr>
                <w:spacing w:val="-1"/>
                <w:sz w:val="18"/>
              </w:rPr>
              <w:t xml:space="preserve"> </w:t>
            </w:r>
            <w:r>
              <w:rPr>
                <w:sz w:val="18"/>
              </w:rPr>
              <w:t>equipment</w:t>
            </w:r>
            <w:r>
              <w:rPr>
                <w:spacing w:val="-2"/>
                <w:sz w:val="18"/>
              </w:rPr>
              <w:t xml:space="preserve"> </w:t>
            </w:r>
            <w:r>
              <w:rPr>
                <w:sz w:val="18"/>
              </w:rPr>
              <w:t>shall</w:t>
            </w:r>
            <w:r>
              <w:rPr>
                <w:spacing w:val="-4"/>
                <w:sz w:val="18"/>
              </w:rPr>
              <w:t xml:space="preserve"> </w:t>
            </w:r>
            <w:r>
              <w:rPr>
                <w:sz w:val="18"/>
              </w:rPr>
              <w:t>be</w:t>
            </w:r>
            <w:r>
              <w:rPr>
                <w:spacing w:val="-3"/>
                <w:sz w:val="18"/>
              </w:rPr>
              <w:t xml:space="preserve"> </w:t>
            </w:r>
            <w:r>
              <w:rPr>
                <w:sz w:val="18"/>
              </w:rPr>
              <w:t>at</w:t>
            </w:r>
            <w:r>
              <w:rPr>
                <w:spacing w:val="-2"/>
                <w:sz w:val="18"/>
              </w:rPr>
              <w:t xml:space="preserve"> </w:t>
            </w:r>
            <w:r>
              <w:rPr>
                <w:sz w:val="18"/>
              </w:rPr>
              <w:t>least</w:t>
            </w:r>
            <w:r>
              <w:rPr>
                <w:spacing w:val="-2"/>
                <w:sz w:val="18"/>
              </w:rPr>
              <w:t xml:space="preserve"> </w:t>
            </w:r>
            <w:r>
              <w:rPr>
                <w:sz w:val="18"/>
              </w:rPr>
              <w:t>magnetic</w:t>
            </w:r>
            <w:r>
              <w:rPr>
                <w:spacing w:val="-3"/>
                <w:sz w:val="18"/>
              </w:rPr>
              <w:t xml:space="preserve"> </w:t>
            </w:r>
            <w:r>
              <w:rPr>
                <w:sz w:val="18"/>
              </w:rPr>
              <w:t>resonance</w:t>
            </w:r>
            <w:r>
              <w:rPr>
                <w:spacing w:val="-2"/>
                <w:sz w:val="18"/>
              </w:rPr>
              <w:t xml:space="preserve"> </w:t>
            </w:r>
            <w:r>
              <w:rPr>
                <w:sz w:val="18"/>
              </w:rPr>
              <w:t>3T,</w:t>
            </w:r>
            <w:r>
              <w:rPr>
                <w:spacing w:val="-2"/>
                <w:sz w:val="18"/>
              </w:rPr>
              <w:t xml:space="preserve"> </w:t>
            </w:r>
            <w:r>
              <w:rPr>
                <w:sz w:val="18"/>
              </w:rPr>
              <w:t>neurointervention</w:t>
            </w:r>
            <w:r>
              <w:rPr>
                <w:spacing w:val="-3"/>
                <w:sz w:val="18"/>
              </w:rPr>
              <w:t xml:space="preserve"> </w:t>
            </w:r>
            <w:r>
              <w:rPr>
                <w:sz w:val="18"/>
              </w:rPr>
              <w:t>digital</w:t>
            </w:r>
            <w:r>
              <w:rPr>
                <w:spacing w:val="-2"/>
                <w:sz w:val="18"/>
              </w:rPr>
              <w:t xml:space="preserve"> </w:t>
            </w:r>
            <w:r>
              <w:rPr>
                <w:sz w:val="18"/>
              </w:rPr>
              <w:t>DSA</w:t>
            </w:r>
            <w:r>
              <w:rPr>
                <w:spacing w:val="-4"/>
                <w:sz w:val="18"/>
              </w:rPr>
              <w:t xml:space="preserve"> </w:t>
            </w:r>
            <w:r>
              <w:rPr>
                <w:sz w:val="18"/>
              </w:rPr>
              <w:t>angio</w:t>
            </w:r>
            <w:r>
              <w:rPr>
                <w:spacing w:val="-1"/>
                <w:sz w:val="18"/>
              </w:rPr>
              <w:t xml:space="preserve"> </w:t>
            </w:r>
            <w:r>
              <w:rPr>
                <w:sz w:val="18"/>
              </w:rPr>
              <w:t>room,</w:t>
            </w:r>
            <w:r>
              <w:rPr>
                <w:spacing w:val="-2"/>
                <w:sz w:val="18"/>
              </w:rPr>
              <w:t xml:space="preserve"> </w:t>
            </w:r>
            <w:r>
              <w:rPr>
                <w:sz w:val="18"/>
              </w:rPr>
              <w:t>digital</w:t>
            </w:r>
            <w:r>
              <w:rPr>
                <w:spacing w:val="-1"/>
                <w:sz w:val="18"/>
              </w:rPr>
              <w:t xml:space="preserve"> </w:t>
            </w:r>
            <w:r>
              <w:rPr>
                <w:sz w:val="18"/>
              </w:rPr>
              <w:t>diascopic</w:t>
            </w:r>
          </w:p>
          <w:p w:rsidR="00A56FE9" w:rsidRDefault="00000000">
            <w:pPr>
              <w:pStyle w:val="TableParagraph"/>
              <w:spacing w:line="191" w:lineRule="exact"/>
              <w:ind w:left="105"/>
              <w:rPr>
                <w:sz w:val="18"/>
              </w:rPr>
            </w:pPr>
            <w:r>
              <w:rPr>
                <w:sz w:val="18"/>
              </w:rPr>
              <w:t>X-ray</w:t>
            </w:r>
            <w:r>
              <w:rPr>
                <w:spacing w:val="-4"/>
                <w:sz w:val="18"/>
              </w:rPr>
              <w:t xml:space="preserve"> </w:t>
            </w:r>
            <w:r>
              <w:rPr>
                <w:sz w:val="18"/>
              </w:rPr>
              <w:t>machine,</w:t>
            </w:r>
            <w:r>
              <w:rPr>
                <w:spacing w:val="-2"/>
                <w:sz w:val="18"/>
              </w:rPr>
              <w:t xml:space="preserve"> </w:t>
            </w:r>
            <w:r>
              <w:rPr>
                <w:sz w:val="18"/>
              </w:rPr>
              <w:t>endoscopic</w:t>
            </w:r>
            <w:r>
              <w:rPr>
                <w:spacing w:val="-2"/>
                <w:sz w:val="18"/>
              </w:rPr>
              <w:t xml:space="preserve"> </w:t>
            </w:r>
            <w:r>
              <w:rPr>
                <w:sz w:val="18"/>
              </w:rPr>
              <w:t>gastroenterological</w:t>
            </w:r>
            <w:r>
              <w:rPr>
                <w:spacing w:val="-3"/>
                <w:sz w:val="18"/>
              </w:rPr>
              <w:t xml:space="preserve"> </w:t>
            </w:r>
            <w:r>
              <w:rPr>
                <w:sz w:val="18"/>
              </w:rPr>
              <w:t>room.</w:t>
            </w:r>
          </w:p>
        </w:tc>
      </w:tr>
      <w:tr w:rsidR="00A56FE9">
        <w:trPr>
          <w:trHeight w:val="4822"/>
        </w:trPr>
        <w:tc>
          <w:tcPr>
            <w:tcW w:w="2064" w:type="dxa"/>
            <w:vMerge/>
            <w:tcBorders>
              <w:top w:val="nil"/>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ind w:left="100" w:right="481"/>
              <w:rPr>
                <w:sz w:val="18"/>
              </w:rPr>
            </w:pPr>
            <w:r>
              <w:rPr>
                <w:sz w:val="18"/>
              </w:rPr>
              <w:t>Amendment</w:t>
            </w:r>
            <w:r>
              <w:rPr>
                <w:spacing w:val="-2"/>
                <w:sz w:val="18"/>
              </w:rPr>
              <w:t xml:space="preserve"> </w:t>
            </w:r>
            <w:r>
              <w:rPr>
                <w:sz w:val="18"/>
              </w:rPr>
              <w:t>of</w:t>
            </w:r>
            <w:r>
              <w:rPr>
                <w:spacing w:val="-3"/>
                <w:sz w:val="18"/>
              </w:rPr>
              <w:t xml:space="preserve"> </w:t>
            </w:r>
            <w:r>
              <w:rPr>
                <w:sz w:val="18"/>
              </w:rPr>
              <w:t>the</w:t>
            </w:r>
            <w:r>
              <w:rPr>
                <w:spacing w:val="-3"/>
                <w:sz w:val="18"/>
              </w:rPr>
              <w:t xml:space="preserve"> </w:t>
            </w:r>
            <w:r>
              <w:rPr>
                <w:sz w:val="18"/>
              </w:rPr>
              <w:t>Health Care</w:t>
            </w:r>
            <w:r>
              <w:rPr>
                <w:spacing w:val="-3"/>
                <w:sz w:val="18"/>
              </w:rPr>
              <w:t xml:space="preserve"> </w:t>
            </w:r>
            <w:r>
              <w:rPr>
                <w:sz w:val="18"/>
              </w:rPr>
              <w:t>Act</w:t>
            </w:r>
            <w:r>
              <w:rPr>
                <w:spacing w:val="-1"/>
                <w:sz w:val="18"/>
              </w:rPr>
              <w:t xml:space="preserve"> </w:t>
            </w:r>
            <w:r>
              <w:rPr>
                <w:sz w:val="18"/>
              </w:rPr>
              <w:t>and</w:t>
            </w:r>
            <w:r>
              <w:rPr>
                <w:spacing w:val="-42"/>
                <w:sz w:val="18"/>
              </w:rPr>
              <w:t xml:space="preserve"> </w:t>
            </w:r>
            <w:r>
              <w:rPr>
                <w:sz w:val="18"/>
              </w:rPr>
              <w:t>Compulsory</w:t>
            </w:r>
            <w:r>
              <w:rPr>
                <w:spacing w:val="-5"/>
                <w:sz w:val="18"/>
              </w:rPr>
              <w:t xml:space="preserve"> </w:t>
            </w:r>
            <w:r>
              <w:rPr>
                <w:sz w:val="18"/>
              </w:rPr>
              <w:t>Health Insurance</w:t>
            </w:r>
            <w:r>
              <w:rPr>
                <w:spacing w:val="-1"/>
                <w:sz w:val="18"/>
              </w:rPr>
              <w:t xml:space="preserve"> </w:t>
            </w:r>
            <w:r>
              <w:rPr>
                <w:sz w:val="18"/>
              </w:rPr>
              <w:t>Act</w:t>
            </w:r>
          </w:p>
        </w:tc>
        <w:tc>
          <w:tcPr>
            <w:tcW w:w="8927" w:type="dxa"/>
            <w:shd w:val="clear" w:color="auto" w:fill="C5EECE"/>
          </w:tcPr>
          <w:p w:rsidR="00A56FE9" w:rsidRDefault="00000000">
            <w:pPr>
              <w:pStyle w:val="TableParagraph"/>
              <w:ind w:left="105" w:right="142"/>
              <w:rPr>
                <w:sz w:val="18"/>
              </w:rPr>
            </w:pPr>
            <w:r>
              <w:rPr>
                <w:sz w:val="18"/>
              </w:rPr>
              <w:t>The</w:t>
            </w:r>
            <w:r>
              <w:rPr>
                <w:spacing w:val="-2"/>
                <w:sz w:val="18"/>
              </w:rPr>
              <w:t xml:space="preserve"> </w:t>
            </w:r>
            <w:r>
              <w:rPr>
                <w:sz w:val="18"/>
              </w:rPr>
              <w:t>amendments</w:t>
            </w:r>
            <w:r>
              <w:rPr>
                <w:spacing w:val="-1"/>
                <w:sz w:val="18"/>
              </w:rPr>
              <w:t xml:space="preserve"> </w:t>
            </w:r>
            <w:r>
              <w:rPr>
                <w:sz w:val="18"/>
              </w:rPr>
              <w:t>to the</w:t>
            </w:r>
            <w:r>
              <w:rPr>
                <w:spacing w:val="-2"/>
                <w:sz w:val="18"/>
              </w:rPr>
              <w:t xml:space="preserve"> </w:t>
            </w:r>
            <w:r>
              <w:rPr>
                <w:sz w:val="18"/>
              </w:rPr>
              <w:t>Health</w:t>
            </w:r>
            <w:r>
              <w:rPr>
                <w:spacing w:val="-2"/>
                <w:sz w:val="18"/>
              </w:rPr>
              <w:t xml:space="preserve"> </w:t>
            </w:r>
            <w:r>
              <w:rPr>
                <w:sz w:val="18"/>
              </w:rPr>
              <w:t>Care</w:t>
            </w:r>
            <w:r>
              <w:rPr>
                <w:spacing w:val="-2"/>
                <w:sz w:val="18"/>
              </w:rPr>
              <w:t xml:space="preserve"> </w:t>
            </w:r>
            <w:r>
              <w:rPr>
                <w:sz w:val="18"/>
              </w:rPr>
              <w:t>Act</w:t>
            </w:r>
            <w:r>
              <w:rPr>
                <w:spacing w:val="-1"/>
                <w:sz w:val="18"/>
              </w:rPr>
              <w:t xml:space="preserve"> </w:t>
            </w:r>
            <w:r>
              <w:rPr>
                <w:sz w:val="18"/>
              </w:rPr>
              <w:t>shall</w:t>
            </w:r>
            <w:r>
              <w:rPr>
                <w:spacing w:val="-1"/>
                <w:sz w:val="18"/>
              </w:rPr>
              <w:t xml:space="preserve"> </w:t>
            </w:r>
            <w:r>
              <w:rPr>
                <w:sz w:val="18"/>
              </w:rPr>
              <w:t>allow</w:t>
            </w:r>
            <w:r>
              <w:rPr>
                <w:spacing w:val="-4"/>
                <w:sz w:val="18"/>
              </w:rPr>
              <w:t xml:space="preserve"> </w:t>
            </w:r>
            <w:r>
              <w:rPr>
                <w:sz w:val="18"/>
              </w:rPr>
              <w:t>the</w:t>
            </w:r>
            <w:r>
              <w:rPr>
                <w:spacing w:val="-2"/>
                <w:sz w:val="18"/>
              </w:rPr>
              <w:t xml:space="preserve"> </w:t>
            </w:r>
            <w:r>
              <w:rPr>
                <w:sz w:val="18"/>
              </w:rPr>
              <w:t>new</w:t>
            </w:r>
            <w:r>
              <w:rPr>
                <w:spacing w:val="-4"/>
                <w:sz w:val="18"/>
              </w:rPr>
              <w:t xml:space="preserve"> </w:t>
            </w:r>
            <w:r>
              <w:rPr>
                <w:sz w:val="18"/>
              </w:rPr>
              <w:t>Joint</w:t>
            </w:r>
            <w:r>
              <w:rPr>
                <w:spacing w:val="-3"/>
                <w:sz w:val="18"/>
              </w:rPr>
              <w:t xml:space="preserve"> </w:t>
            </w:r>
            <w:r>
              <w:rPr>
                <w:sz w:val="18"/>
              </w:rPr>
              <w:t>Procurement</w:t>
            </w:r>
            <w:r>
              <w:rPr>
                <w:spacing w:val="-1"/>
                <w:sz w:val="18"/>
              </w:rPr>
              <w:t xml:space="preserve"> </w:t>
            </w:r>
            <w:r>
              <w:rPr>
                <w:sz w:val="18"/>
              </w:rPr>
              <w:t>Decision to</w:t>
            </w:r>
            <w:r>
              <w:rPr>
                <w:spacing w:val="-2"/>
                <w:sz w:val="18"/>
              </w:rPr>
              <w:t xml:space="preserve"> </w:t>
            </w:r>
            <w:r>
              <w:rPr>
                <w:sz w:val="18"/>
              </w:rPr>
              <w:t>be</w:t>
            </w:r>
            <w:r>
              <w:rPr>
                <w:spacing w:val="-2"/>
                <w:sz w:val="18"/>
              </w:rPr>
              <w:t xml:space="preserve"> </w:t>
            </w:r>
            <w:r>
              <w:rPr>
                <w:sz w:val="18"/>
              </w:rPr>
              <w:t>binding</w:t>
            </w:r>
            <w:r>
              <w:rPr>
                <w:spacing w:val="-2"/>
                <w:sz w:val="18"/>
              </w:rPr>
              <w:t xml:space="preserve"> </w:t>
            </w:r>
            <w:r>
              <w:rPr>
                <w:sz w:val="18"/>
              </w:rPr>
              <w:t>also on</w:t>
            </w:r>
            <w:r>
              <w:rPr>
                <w:spacing w:val="-2"/>
                <w:sz w:val="18"/>
              </w:rPr>
              <w:t xml:space="preserve"> </w:t>
            </w:r>
            <w:r>
              <w:rPr>
                <w:sz w:val="18"/>
              </w:rPr>
              <w:t>those</w:t>
            </w:r>
            <w:r>
              <w:rPr>
                <w:spacing w:val="-42"/>
                <w:sz w:val="18"/>
              </w:rPr>
              <w:t xml:space="preserve"> </w:t>
            </w:r>
            <w:r>
              <w:rPr>
                <w:sz w:val="18"/>
              </w:rPr>
              <w:t>health institutions whose participation has so far been voluntary and shall consequently increase the number of</w:t>
            </w:r>
            <w:r>
              <w:rPr>
                <w:spacing w:val="1"/>
                <w:sz w:val="18"/>
              </w:rPr>
              <w:t xml:space="preserve"> </w:t>
            </w:r>
            <w:r>
              <w:rPr>
                <w:sz w:val="18"/>
              </w:rPr>
              <w:t>stakeholders</w:t>
            </w:r>
            <w:r>
              <w:rPr>
                <w:spacing w:val="-1"/>
                <w:sz w:val="18"/>
              </w:rPr>
              <w:t xml:space="preserve"> </w:t>
            </w:r>
            <w:r>
              <w:rPr>
                <w:sz w:val="18"/>
              </w:rPr>
              <w:t>covered</w:t>
            </w:r>
            <w:r>
              <w:rPr>
                <w:spacing w:val="1"/>
                <w:sz w:val="18"/>
              </w:rPr>
              <w:t xml:space="preserve"> </w:t>
            </w:r>
            <w:r>
              <w:rPr>
                <w:sz w:val="18"/>
              </w:rPr>
              <w:t>by</w:t>
            </w:r>
            <w:r>
              <w:rPr>
                <w:spacing w:val="-4"/>
                <w:sz w:val="18"/>
              </w:rPr>
              <w:t xml:space="preserve"> </w:t>
            </w:r>
            <w:r>
              <w:rPr>
                <w:sz w:val="18"/>
              </w:rPr>
              <w:t>the</w:t>
            </w:r>
            <w:r>
              <w:rPr>
                <w:spacing w:val="-1"/>
                <w:sz w:val="18"/>
              </w:rPr>
              <w:t xml:space="preserve"> </w:t>
            </w:r>
            <w:r>
              <w:rPr>
                <w:sz w:val="18"/>
              </w:rPr>
              <w:t>joint</w:t>
            </w:r>
            <w:r>
              <w:rPr>
                <w:spacing w:val="-2"/>
                <w:sz w:val="18"/>
              </w:rPr>
              <w:t xml:space="preserve"> </w:t>
            </w:r>
            <w:r>
              <w:rPr>
                <w:sz w:val="18"/>
              </w:rPr>
              <w:t>procurement.</w:t>
            </w:r>
          </w:p>
          <w:p w:rsidR="00A56FE9" w:rsidRDefault="00000000">
            <w:pPr>
              <w:pStyle w:val="TableParagraph"/>
              <w:ind w:left="105" w:right="142"/>
              <w:rPr>
                <w:sz w:val="18"/>
              </w:rPr>
            </w:pPr>
            <w:r>
              <w:rPr>
                <w:sz w:val="18"/>
              </w:rPr>
              <w:t>-The</w:t>
            </w:r>
            <w:r>
              <w:rPr>
                <w:spacing w:val="-3"/>
                <w:sz w:val="18"/>
              </w:rPr>
              <w:t xml:space="preserve"> </w:t>
            </w:r>
            <w:r>
              <w:rPr>
                <w:sz w:val="18"/>
              </w:rPr>
              <w:t>Single</w:t>
            </w:r>
            <w:r>
              <w:rPr>
                <w:spacing w:val="-1"/>
                <w:sz w:val="18"/>
              </w:rPr>
              <w:t xml:space="preserve"> </w:t>
            </w:r>
            <w:r>
              <w:rPr>
                <w:sz w:val="18"/>
              </w:rPr>
              <w:t>Office for</w:t>
            </w:r>
            <w:r>
              <w:rPr>
                <w:spacing w:val="-1"/>
                <w:sz w:val="18"/>
              </w:rPr>
              <w:t xml:space="preserve"> </w:t>
            </w:r>
            <w:r>
              <w:rPr>
                <w:sz w:val="18"/>
              </w:rPr>
              <w:t>Emergency</w:t>
            </w:r>
            <w:r>
              <w:rPr>
                <w:spacing w:val="-5"/>
                <w:sz w:val="18"/>
              </w:rPr>
              <w:t xml:space="preserve"> </w:t>
            </w:r>
            <w:r>
              <w:rPr>
                <w:sz w:val="18"/>
              </w:rPr>
              <w:t>Medicine</w:t>
            </w:r>
            <w:r>
              <w:rPr>
                <w:spacing w:val="-2"/>
                <w:sz w:val="18"/>
              </w:rPr>
              <w:t xml:space="preserve"> </w:t>
            </w:r>
            <w:r>
              <w:rPr>
                <w:sz w:val="18"/>
              </w:rPr>
              <w:t>improves</w:t>
            </w:r>
            <w:r>
              <w:rPr>
                <w:spacing w:val="-1"/>
                <w:sz w:val="18"/>
              </w:rPr>
              <w:t xml:space="preserve"> </w:t>
            </w:r>
            <w:r>
              <w:rPr>
                <w:sz w:val="18"/>
              </w:rPr>
              <w:t>the</w:t>
            </w:r>
            <w:r>
              <w:rPr>
                <w:spacing w:val="-2"/>
                <w:sz w:val="18"/>
              </w:rPr>
              <w:t xml:space="preserve"> </w:t>
            </w:r>
            <w:r>
              <w:rPr>
                <w:sz w:val="18"/>
              </w:rPr>
              <w:t>organisation</w:t>
            </w:r>
            <w:r>
              <w:rPr>
                <w:spacing w:val="-2"/>
                <w:sz w:val="18"/>
              </w:rPr>
              <w:t xml:space="preserve"> </w:t>
            </w:r>
            <w:r>
              <w:rPr>
                <w:sz w:val="18"/>
              </w:rPr>
              <w:t>of</w:t>
            </w:r>
            <w:r>
              <w:rPr>
                <w:spacing w:val="-3"/>
                <w:sz w:val="18"/>
              </w:rPr>
              <w:t xml:space="preserve"> </w:t>
            </w:r>
            <w:r>
              <w:rPr>
                <w:sz w:val="18"/>
              </w:rPr>
              <w:t>emergency</w:t>
            </w:r>
            <w:r>
              <w:rPr>
                <w:spacing w:val="-3"/>
                <w:sz w:val="18"/>
              </w:rPr>
              <w:t xml:space="preserve"> </w:t>
            </w:r>
            <w:r>
              <w:rPr>
                <w:sz w:val="18"/>
              </w:rPr>
              <w:t>medicine</w:t>
            </w:r>
            <w:r>
              <w:rPr>
                <w:spacing w:val="-2"/>
                <w:sz w:val="18"/>
              </w:rPr>
              <w:t xml:space="preserve"> </w:t>
            </w:r>
            <w:r>
              <w:rPr>
                <w:sz w:val="18"/>
              </w:rPr>
              <w:t>activities</w:t>
            </w:r>
            <w:r>
              <w:rPr>
                <w:spacing w:val="-2"/>
                <w:sz w:val="18"/>
              </w:rPr>
              <w:t xml:space="preserve"> </w:t>
            </w:r>
            <w:r>
              <w:rPr>
                <w:sz w:val="18"/>
              </w:rPr>
              <w:t>and carries</w:t>
            </w:r>
            <w:r>
              <w:rPr>
                <w:spacing w:val="-2"/>
                <w:sz w:val="18"/>
              </w:rPr>
              <w:t xml:space="preserve"> </w:t>
            </w:r>
            <w:r>
              <w:rPr>
                <w:sz w:val="18"/>
              </w:rPr>
              <w:t>out</w:t>
            </w:r>
            <w:r>
              <w:rPr>
                <w:spacing w:val="-42"/>
                <w:sz w:val="18"/>
              </w:rPr>
              <w:t xml:space="preserve"> </w:t>
            </w:r>
            <w:r>
              <w:rPr>
                <w:sz w:val="18"/>
              </w:rPr>
              <w:t>operational</w:t>
            </w:r>
            <w:r>
              <w:rPr>
                <w:spacing w:val="-1"/>
                <w:sz w:val="18"/>
              </w:rPr>
              <w:t xml:space="preserve"> </w:t>
            </w:r>
            <w:r>
              <w:rPr>
                <w:sz w:val="18"/>
              </w:rPr>
              <w:t>tasks throughout the</w:t>
            </w:r>
            <w:r>
              <w:rPr>
                <w:spacing w:val="-1"/>
                <w:sz w:val="18"/>
              </w:rPr>
              <w:t xml:space="preserve"> </w:t>
            </w:r>
            <w:r>
              <w:rPr>
                <w:sz w:val="18"/>
              </w:rPr>
              <w:t>territory</w:t>
            </w:r>
            <w:r>
              <w:rPr>
                <w:spacing w:val="-5"/>
                <w:sz w:val="18"/>
              </w:rPr>
              <w:t xml:space="preserve"> </w:t>
            </w:r>
            <w:r>
              <w:rPr>
                <w:sz w:val="18"/>
              </w:rPr>
              <w:t>of</w:t>
            </w:r>
            <w:r>
              <w:rPr>
                <w:spacing w:val="-2"/>
                <w:sz w:val="18"/>
              </w:rPr>
              <w:t xml:space="preserve"> </w:t>
            </w:r>
            <w:r>
              <w:rPr>
                <w:sz w:val="18"/>
              </w:rPr>
              <w:t>the</w:t>
            </w:r>
            <w:r>
              <w:rPr>
                <w:spacing w:val="-1"/>
                <w:sz w:val="18"/>
              </w:rPr>
              <w:t xml:space="preserve"> </w:t>
            </w:r>
            <w:r>
              <w:rPr>
                <w:sz w:val="18"/>
              </w:rPr>
              <w:t>Republic</w:t>
            </w:r>
            <w:r>
              <w:rPr>
                <w:spacing w:val="-3"/>
                <w:sz w:val="18"/>
              </w:rPr>
              <w:t xml:space="preserve"> </w:t>
            </w:r>
            <w:r>
              <w:rPr>
                <w:sz w:val="18"/>
              </w:rPr>
              <w:t>of</w:t>
            </w:r>
            <w:r>
              <w:rPr>
                <w:spacing w:val="-3"/>
                <w:sz w:val="18"/>
              </w:rPr>
              <w:t xml:space="preserve"> </w:t>
            </w:r>
            <w:r>
              <w:rPr>
                <w:sz w:val="18"/>
              </w:rPr>
              <w:t>Croatia</w:t>
            </w:r>
            <w:r>
              <w:rPr>
                <w:spacing w:val="-1"/>
                <w:sz w:val="18"/>
              </w:rPr>
              <w:t xml:space="preserve"> </w:t>
            </w:r>
            <w:r>
              <w:rPr>
                <w:sz w:val="18"/>
              </w:rPr>
              <w:t>through</w:t>
            </w:r>
            <w:r>
              <w:rPr>
                <w:spacing w:val="1"/>
                <w:sz w:val="18"/>
              </w:rPr>
              <w:t xml:space="preserve"> </w:t>
            </w:r>
            <w:r>
              <w:rPr>
                <w:sz w:val="18"/>
              </w:rPr>
              <w:t>certain</w:t>
            </w:r>
            <w:r>
              <w:rPr>
                <w:spacing w:val="-1"/>
                <w:sz w:val="18"/>
              </w:rPr>
              <w:t xml:space="preserve"> </w:t>
            </w:r>
            <w:r>
              <w:rPr>
                <w:sz w:val="18"/>
              </w:rPr>
              <w:t>organisational</w:t>
            </w:r>
            <w:r>
              <w:rPr>
                <w:spacing w:val="-3"/>
                <w:sz w:val="18"/>
              </w:rPr>
              <w:t xml:space="preserve"> </w:t>
            </w:r>
            <w:r>
              <w:rPr>
                <w:sz w:val="18"/>
              </w:rPr>
              <w:t>units;</w:t>
            </w:r>
          </w:p>
          <w:p w:rsidR="00A56FE9" w:rsidRDefault="00000000">
            <w:pPr>
              <w:pStyle w:val="TableParagraph"/>
              <w:ind w:left="105" w:right="142"/>
              <w:rPr>
                <w:sz w:val="18"/>
              </w:rPr>
            </w:pPr>
            <w:r>
              <w:rPr>
                <w:sz w:val="18"/>
              </w:rPr>
              <w:t>-The</w:t>
            </w:r>
            <w:r>
              <w:rPr>
                <w:spacing w:val="-3"/>
                <w:sz w:val="18"/>
              </w:rPr>
              <w:t xml:space="preserve"> </w:t>
            </w:r>
            <w:r>
              <w:rPr>
                <w:sz w:val="18"/>
              </w:rPr>
              <w:t>reorganisation of</w:t>
            </w:r>
            <w:r>
              <w:rPr>
                <w:spacing w:val="-3"/>
                <w:sz w:val="18"/>
              </w:rPr>
              <w:t xml:space="preserve"> </w:t>
            </w:r>
            <w:r>
              <w:rPr>
                <w:sz w:val="18"/>
              </w:rPr>
              <w:t>the</w:t>
            </w:r>
            <w:r>
              <w:rPr>
                <w:spacing w:val="-5"/>
                <w:sz w:val="18"/>
              </w:rPr>
              <w:t xml:space="preserve"> </w:t>
            </w:r>
            <w:r>
              <w:rPr>
                <w:sz w:val="18"/>
              </w:rPr>
              <w:t>public</w:t>
            </w:r>
            <w:r>
              <w:rPr>
                <w:spacing w:val="-4"/>
                <w:sz w:val="18"/>
              </w:rPr>
              <w:t xml:space="preserve"> </w:t>
            </w:r>
            <w:r>
              <w:rPr>
                <w:sz w:val="18"/>
              </w:rPr>
              <w:t>health service</w:t>
            </w:r>
            <w:r>
              <w:rPr>
                <w:spacing w:val="-2"/>
                <w:sz w:val="18"/>
              </w:rPr>
              <w:t xml:space="preserve"> </w:t>
            </w:r>
            <w:r>
              <w:rPr>
                <w:sz w:val="18"/>
              </w:rPr>
              <w:t>shall</w:t>
            </w:r>
            <w:r>
              <w:rPr>
                <w:spacing w:val="-2"/>
                <w:sz w:val="18"/>
              </w:rPr>
              <w:t xml:space="preserve"> </w:t>
            </w:r>
            <w:r>
              <w:rPr>
                <w:sz w:val="18"/>
              </w:rPr>
              <w:t>contribute</w:t>
            </w:r>
            <w:r>
              <w:rPr>
                <w:spacing w:val="-1"/>
                <w:sz w:val="18"/>
              </w:rPr>
              <w:t xml:space="preserve"> </w:t>
            </w:r>
            <w:r>
              <w:rPr>
                <w:sz w:val="18"/>
              </w:rPr>
              <w:t>to</w:t>
            </w:r>
            <w:r>
              <w:rPr>
                <w:spacing w:val="-2"/>
                <w:sz w:val="18"/>
              </w:rPr>
              <w:t xml:space="preserve"> </w:t>
            </w:r>
            <w:r>
              <w:rPr>
                <w:sz w:val="18"/>
              </w:rPr>
              <w:t>increasing</w:t>
            </w:r>
            <w:r>
              <w:rPr>
                <w:spacing w:val="-2"/>
                <w:sz w:val="18"/>
              </w:rPr>
              <w:t xml:space="preserve"> </w:t>
            </w:r>
            <w:r>
              <w:rPr>
                <w:sz w:val="18"/>
              </w:rPr>
              <w:t>efficiency</w:t>
            </w:r>
            <w:r>
              <w:rPr>
                <w:spacing w:val="-6"/>
                <w:sz w:val="18"/>
              </w:rPr>
              <w:t xml:space="preserve"> </w:t>
            </w:r>
            <w:r>
              <w:rPr>
                <w:sz w:val="18"/>
              </w:rPr>
              <w:t>and strengthen the</w:t>
            </w:r>
            <w:r>
              <w:rPr>
                <w:spacing w:val="-5"/>
                <w:sz w:val="18"/>
              </w:rPr>
              <w:t xml:space="preserve"> </w:t>
            </w:r>
            <w:r>
              <w:rPr>
                <w:sz w:val="18"/>
              </w:rPr>
              <w:t>public</w:t>
            </w:r>
            <w:r>
              <w:rPr>
                <w:spacing w:val="-2"/>
                <w:sz w:val="18"/>
              </w:rPr>
              <w:t xml:space="preserve"> </w:t>
            </w:r>
            <w:r>
              <w:rPr>
                <w:sz w:val="18"/>
              </w:rPr>
              <w:t>health</w:t>
            </w:r>
            <w:r>
              <w:rPr>
                <w:spacing w:val="-42"/>
                <w:sz w:val="18"/>
              </w:rPr>
              <w:t xml:space="preserve"> </w:t>
            </w:r>
            <w:r>
              <w:rPr>
                <w:sz w:val="18"/>
              </w:rPr>
              <w:t>system, with a particular focus on prevention and early diagnosis, improved response in emergency and special</w:t>
            </w:r>
            <w:r>
              <w:rPr>
                <w:spacing w:val="1"/>
                <w:sz w:val="18"/>
              </w:rPr>
              <w:t xml:space="preserve"> </w:t>
            </w:r>
            <w:r>
              <w:rPr>
                <w:sz w:val="18"/>
              </w:rPr>
              <w:t>circumstances</w:t>
            </w:r>
            <w:r>
              <w:rPr>
                <w:spacing w:val="-1"/>
                <w:sz w:val="18"/>
              </w:rPr>
              <w:t xml:space="preserve"> </w:t>
            </w:r>
            <w:r>
              <w:rPr>
                <w:sz w:val="18"/>
              </w:rPr>
              <w:t>(pandemics);</w:t>
            </w:r>
          </w:p>
          <w:p w:rsidR="00A56FE9" w:rsidRDefault="00000000">
            <w:pPr>
              <w:pStyle w:val="TableParagraph"/>
              <w:ind w:left="105" w:right="142"/>
              <w:rPr>
                <w:sz w:val="18"/>
              </w:rPr>
            </w:pPr>
            <w:r>
              <w:rPr>
                <w:sz w:val="18"/>
              </w:rPr>
              <w:t>-Transferring</w:t>
            </w:r>
            <w:r>
              <w:rPr>
                <w:spacing w:val="-2"/>
                <w:sz w:val="18"/>
              </w:rPr>
              <w:t xml:space="preserve"> </w:t>
            </w:r>
            <w:r>
              <w:rPr>
                <w:sz w:val="18"/>
              </w:rPr>
              <w:t>the</w:t>
            </w:r>
            <w:r>
              <w:rPr>
                <w:spacing w:val="-2"/>
                <w:sz w:val="18"/>
              </w:rPr>
              <w:t xml:space="preserve"> </w:t>
            </w:r>
            <w:r>
              <w:rPr>
                <w:sz w:val="18"/>
              </w:rPr>
              <w:t>management</w:t>
            </w:r>
            <w:r>
              <w:rPr>
                <w:spacing w:val="-1"/>
                <w:sz w:val="18"/>
              </w:rPr>
              <w:t xml:space="preserve"> </w:t>
            </w:r>
            <w:r>
              <w:rPr>
                <w:sz w:val="18"/>
              </w:rPr>
              <w:t>rights</w:t>
            </w:r>
            <w:r>
              <w:rPr>
                <w:spacing w:val="-1"/>
                <w:sz w:val="18"/>
              </w:rPr>
              <w:t xml:space="preserve"> </w:t>
            </w:r>
            <w:r>
              <w:rPr>
                <w:sz w:val="18"/>
              </w:rPr>
              <w:t>of</w:t>
            </w:r>
            <w:r>
              <w:rPr>
                <w:spacing w:val="-3"/>
                <w:sz w:val="18"/>
              </w:rPr>
              <w:t xml:space="preserve"> </w:t>
            </w:r>
            <w:r>
              <w:rPr>
                <w:sz w:val="18"/>
              </w:rPr>
              <w:t>the</w:t>
            </w:r>
            <w:r>
              <w:rPr>
                <w:spacing w:val="-3"/>
                <w:sz w:val="18"/>
              </w:rPr>
              <w:t xml:space="preserve"> </w:t>
            </w:r>
            <w:r>
              <w:rPr>
                <w:sz w:val="18"/>
              </w:rPr>
              <w:t>hospitals</w:t>
            </w:r>
            <w:r>
              <w:rPr>
                <w:spacing w:val="-1"/>
                <w:sz w:val="18"/>
              </w:rPr>
              <w:t xml:space="preserve"> </w:t>
            </w:r>
            <w:r>
              <w:rPr>
                <w:sz w:val="18"/>
              </w:rPr>
              <w:t>currently</w:t>
            </w:r>
            <w:r>
              <w:rPr>
                <w:spacing w:val="-5"/>
                <w:sz w:val="18"/>
              </w:rPr>
              <w:t xml:space="preserve"> </w:t>
            </w:r>
            <w:r>
              <w:rPr>
                <w:sz w:val="18"/>
              </w:rPr>
              <w:t>managed by</w:t>
            </w:r>
            <w:r>
              <w:rPr>
                <w:spacing w:val="-5"/>
                <w:sz w:val="18"/>
              </w:rPr>
              <w:t xml:space="preserve"> </w:t>
            </w:r>
            <w:r>
              <w:rPr>
                <w:sz w:val="18"/>
              </w:rPr>
              <w:t>the</w:t>
            </w:r>
            <w:r>
              <w:rPr>
                <w:spacing w:val="-1"/>
                <w:sz w:val="18"/>
              </w:rPr>
              <w:t xml:space="preserve"> </w:t>
            </w:r>
            <w:r>
              <w:rPr>
                <w:sz w:val="18"/>
              </w:rPr>
              <w:t>counties</w:t>
            </w:r>
            <w:r>
              <w:rPr>
                <w:spacing w:val="-1"/>
                <w:sz w:val="18"/>
              </w:rPr>
              <w:t xml:space="preserve"> </w:t>
            </w:r>
            <w:r>
              <w:rPr>
                <w:sz w:val="18"/>
              </w:rPr>
              <w:t>and the</w:t>
            </w:r>
            <w:r>
              <w:rPr>
                <w:spacing w:val="-2"/>
                <w:sz w:val="18"/>
              </w:rPr>
              <w:t xml:space="preserve"> </w:t>
            </w:r>
            <w:r>
              <w:rPr>
                <w:sz w:val="18"/>
              </w:rPr>
              <w:t>City</w:t>
            </w:r>
            <w:r>
              <w:rPr>
                <w:spacing w:val="-2"/>
                <w:sz w:val="18"/>
              </w:rPr>
              <w:t xml:space="preserve"> </w:t>
            </w:r>
            <w:r>
              <w:rPr>
                <w:sz w:val="18"/>
              </w:rPr>
              <w:t>of</w:t>
            </w:r>
            <w:r>
              <w:rPr>
                <w:spacing w:val="-2"/>
                <w:sz w:val="18"/>
              </w:rPr>
              <w:t xml:space="preserve"> </w:t>
            </w:r>
            <w:r>
              <w:rPr>
                <w:sz w:val="18"/>
              </w:rPr>
              <w:t>Zagreb to the</w:t>
            </w:r>
            <w:r>
              <w:rPr>
                <w:spacing w:val="-42"/>
                <w:sz w:val="18"/>
              </w:rPr>
              <w:t xml:space="preserve"> </w:t>
            </w:r>
            <w:r>
              <w:rPr>
                <w:sz w:val="18"/>
              </w:rPr>
              <w:t>Republic of Croatia in order to achieve rational and quality use of existing capacities, improve the availability and</w:t>
            </w:r>
            <w:r>
              <w:rPr>
                <w:spacing w:val="1"/>
                <w:sz w:val="18"/>
              </w:rPr>
              <w:t xml:space="preserve"> </w:t>
            </w:r>
            <w:r>
              <w:rPr>
                <w:sz w:val="18"/>
              </w:rPr>
              <w:t>quality</w:t>
            </w:r>
            <w:r>
              <w:rPr>
                <w:spacing w:val="-4"/>
                <w:sz w:val="18"/>
              </w:rPr>
              <w:t xml:space="preserve"> </w:t>
            </w:r>
            <w:r>
              <w:rPr>
                <w:sz w:val="18"/>
              </w:rPr>
              <w:t>of</w:t>
            </w:r>
            <w:r>
              <w:rPr>
                <w:spacing w:val="-2"/>
                <w:sz w:val="18"/>
              </w:rPr>
              <w:t xml:space="preserve"> </w:t>
            </w:r>
            <w:r>
              <w:rPr>
                <w:sz w:val="18"/>
              </w:rPr>
              <w:t>healthcare</w:t>
            </w:r>
            <w:r>
              <w:rPr>
                <w:spacing w:val="-1"/>
                <w:sz w:val="18"/>
              </w:rPr>
              <w:t xml:space="preserve"> </w:t>
            </w:r>
            <w:r>
              <w:rPr>
                <w:sz w:val="18"/>
              </w:rPr>
              <w:t>by</w:t>
            </w:r>
            <w:r>
              <w:rPr>
                <w:spacing w:val="-4"/>
                <w:sz w:val="18"/>
              </w:rPr>
              <w:t xml:space="preserve"> </w:t>
            </w:r>
            <w:r>
              <w:rPr>
                <w:sz w:val="18"/>
              </w:rPr>
              <w:t>reorganising</w:t>
            </w:r>
            <w:r>
              <w:rPr>
                <w:spacing w:val="-1"/>
                <w:sz w:val="18"/>
              </w:rPr>
              <w:t xml:space="preserve"> </w:t>
            </w:r>
            <w:r>
              <w:rPr>
                <w:sz w:val="18"/>
              </w:rPr>
              <w:t>the</w:t>
            </w:r>
            <w:r>
              <w:rPr>
                <w:spacing w:val="-3"/>
                <w:sz w:val="18"/>
              </w:rPr>
              <w:t xml:space="preserve"> </w:t>
            </w:r>
            <w:r>
              <w:rPr>
                <w:sz w:val="18"/>
              </w:rPr>
              <w:t>hospital management</w:t>
            </w:r>
            <w:r>
              <w:rPr>
                <w:spacing w:val="3"/>
                <w:sz w:val="18"/>
              </w:rPr>
              <w:t xml:space="preserve"> </w:t>
            </w:r>
            <w:r>
              <w:rPr>
                <w:sz w:val="18"/>
              </w:rPr>
              <w:t>model.</w:t>
            </w:r>
          </w:p>
          <w:p w:rsidR="00A56FE9" w:rsidRDefault="00000000">
            <w:pPr>
              <w:pStyle w:val="TableParagraph"/>
              <w:spacing w:before="56"/>
              <w:ind w:left="105"/>
              <w:rPr>
                <w:sz w:val="18"/>
              </w:rPr>
            </w:pPr>
            <w:r>
              <w:rPr>
                <w:sz w:val="18"/>
              </w:rPr>
              <w:t>The amendments to the Compulsory Health Insurance Act shall establish a clear and transparent criteria for determining</w:t>
            </w:r>
            <w:r>
              <w:rPr>
                <w:spacing w:val="-42"/>
                <w:sz w:val="18"/>
              </w:rPr>
              <w:t xml:space="preserve"> </w:t>
            </w:r>
            <w:r>
              <w:rPr>
                <w:sz w:val="18"/>
              </w:rPr>
              <w:t>the programme of health care measures under compulsory health insurance, the bodies that shall establish and adopt a</w:t>
            </w:r>
            <w:r>
              <w:rPr>
                <w:spacing w:val="1"/>
                <w:sz w:val="18"/>
              </w:rPr>
              <w:t xml:space="preserve"> </w:t>
            </w:r>
            <w:r>
              <w:rPr>
                <w:sz w:val="18"/>
              </w:rPr>
              <w:t>programme</w:t>
            </w:r>
            <w:r>
              <w:rPr>
                <w:spacing w:val="-3"/>
                <w:sz w:val="18"/>
              </w:rPr>
              <w:t xml:space="preserve"> </w:t>
            </w:r>
            <w:r>
              <w:rPr>
                <w:sz w:val="18"/>
              </w:rPr>
              <w:t>of</w:t>
            </w:r>
            <w:r>
              <w:rPr>
                <w:spacing w:val="-1"/>
                <w:sz w:val="18"/>
              </w:rPr>
              <w:t xml:space="preserve"> </w:t>
            </w:r>
            <w:r>
              <w:rPr>
                <w:sz w:val="18"/>
              </w:rPr>
              <w:t>measures</w:t>
            </w:r>
            <w:r>
              <w:rPr>
                <w:spacing w:val="-1"/>
                <w:sz w:val="18"/>
              </w:rPr>
              <w:t xml:space="preserve"> </w:t>
            </w:r>
            <w:r>
              <w:rPr>
                <w:sz w:val="18"/>
              </w:rPr>
              <w:t>and</w:t>
            </w:r>
            <w:r>
              <w:rPr>
                <w:spacing w:val="-1"/>
                <w:sz w:val="18"/>
              </w:rPr>
              <w:t xml:space="preserve"> </w:t>
            </w:r>
            <w:r>
              <w:rPr>
                <w:sz w:val="18"/>
              </w:rPr>
              <w:t>the</w:t>
            </w:r>
            <w:r>
              <w:rPr>
                <w:spacing w:val="-2"/>
                <w:sz w:val="18"/>
              </w:rPr>
              <w:t xml:space="preserve"> </w:t>
            </w:r>
            <w:r>
              <w:rPr>
                <w:sz w:val="18"/>
              </w:rPr>
              <w:t>scope</w:t>
            </w:r>
            <w:r>
              <w:rPr>
                <w:spacing w:val="-2"/>
                <w:sz w:val="18"/>
              </w:rPr>
              <w:t xml:space="preserve"> </w:t>
            </w:r>
            <w:r>
              <w:rPr>
                <w:sz w:val="18"/>
              </w:rPr>
              <w:t>of</w:t>
            </w:r>
            <w:r>
              <w:rPr>
                <w:spacing w:val="-3"/>
                <w:sz w:val="18"/>
              </w:rPr>
              <w:t xml:space="preserve"> </w:t>
            </w:r>
            <w:r>
              <w:rPr>
                <w:sz w:val="18"/>
              </w:rPr>
              <w:t>health</w:t>
            </w:r>
            <w:r>
              <w:rPr>
                <w:spacing w:val="-1"/>
                <w:sz w:val="18"/>
              </w:rPr>
              <w:t xml:space="preserve"> </w:t>
            </w:r>
            <w:r>
              <w:rPr>
                <w:sz w:val="18"/>
              </w:rPr>
              <w:t>care</w:t>
            </w:r>
            <w:r>
              <w:rPr>
                <w:spacing w:val="-2"/>
                <w:sz w:val="18"/>
              </w:rPr>
              <w:t xml:space="preserve"> </w:t>
            </w:r>
            <w:r>
              <w:rPr>
                <w:sz w:val="18"/>
              </w:rPr>
              <w:t>to</w:t>
            </w:r>
            <w:r>
              <w:rPr>
                <w:spacing w:val="-2"/>
                <w:sz w:val="18"/>
              </w:rPr>
              <w:t xml:space="preserve"> </w:t>
            </w:r>
            <w:r>
              <w:rPr>
                <w:sz w:val="18"/>
              </w:rPr>
              <w:t>be</w:t>
            </w:r>
            <w:r>
              <w:rPr>
                <w:spacing w:val="-2"/>
                <w:sz w:val="18"/>
              </w:rPr>
              <w:t xml:space="preserve"> </w:t>
            </w:r>
            <w:r>
              <w:rPr>
                <w:sz w:val="18"/>
              </w:rPr>
              <w:t>covered</w:t>
            </w:r>
            <w:r>
              <w:rPr>
                <w:spacing w:val="-2"/>
                <w:sz w:val="18"/>
              </w:rPr>
              <w:t xml:space="preserve"> </w:t>
            </w:r>
            <w:r>
              <w:rPr>
                <w:sz w:val="18"/>
              </w:rPr>
              <w:t>by</w:t>
            </w:r>
            <w:r>
              <w:rPr>
                <w:spacing w:val="-6"/>
                <w:sz w:val="18"/>
              </w:rPr>
              <w:t xml:space="preserve"> </w:t>
            </w:r>
            <w:r>
              <w:rPr>
                <w:sz w:val="18"/>
              </w:rPr>
              <w:t>compulsory</w:t>
            </w:r>
            <w:r>
              <w:rPr>
                <w:spacing w:val="-5"/>
                <w:sz w:val="18"/>
              </w:rPr>
              <w:t xml:space="preserve"> </w:t>
            </w:r>
            <w:r>
              <w:rPr>
                <w:sz w:val="18"/>
              </w:rPr>
              <w:t>health insurance</w:t>
            </w:r>
            <w:r>
              <w:rPr>
                <w:spacing w:val="-2"/>
                <w:sz w:val="18"/>
              </w:rPr>
              <w:t xml:space="preserve"> </w:t>
            </w:r>
            <w:r>
              <w:rPr>
                <w:sz w:val="18"/>
              </w:rPr>
              <w:t>and</w:t>
            </w:r>
            <w:r>
              <w:rPr>
                <w:spacing w:val="-1"/>
                <w:sz w:val="18"/>
              </w:rPr>
              <w:t xml:space="preserve"> </w:t>
            </w:r>
            <w:r>
              <w:rPr>
                <w:sz w:val="18"/>
              </w:rPr>
              <w:t>compliance</w:t>
            </w:r>
            <w:r>
              <w:rPr>
                <w:spacing w:val="-2"/>
                <w:sz w:val="18"/>
              </w:rPr>
              <w:t xml:space="preserve"> </w:t>
            </w:r>
            <w:r>
              <w:rPr>
                <w:sz w:val="18"/>
              </w:rPr>
              <w:t>with</w:t>
            </w:r>
            <w:r>
              <w:rPr>
                <w:spacing w:val="-42"/>
                <w:sz w:val="18"/>
              </w:rPr>
              <w:t xml:space="preserve"> </w:t>
            </w:r>
            <w:r>
              <w:rPr>
                <w:sz w:val="18"/>
              </w:rPr>
              <w:t>other</w:t>
            </w:r>
            <w:r>
              <w:rPr>
                <w:spacing w:val="-1"/>
                <w:sz w:val="18"/>
              </w:rPr>
              <w:t xml:space="preserve"> </w:t>
            </w:r>
            <w:r>
              <w:rPr>
                <w:sz w:val="18"/>
              </w:rPr>
              <w:t>legislation. The</w:t>
            </w:r>
            <w:r>
              <w:rPr>
                <w:spacing w:val="-1"/>
                <w:sz w:val="18"/>
              </w:rPr>
              <w:t xml:space="preserve"> </w:t>
            </w:r>
            <w:r>
              <w:rPr>
                <w:sz w:val="18"/>
              </w:rPr>
              <w:t>Act shall aims at:</w:t>
            </w:r>
          </w:p>
          <w:p w:rsidR="00A56FE9" w:rsidRDefault="00000000">
            <w:pPr>
              <w:pStyle w:val="TableParagraph"/>
              <w:spacing w:before="1" w:line="207" w:lineRule="exact"/>
              <w:ind w:left="105"/>
              <w:rPr>
                <w:sz w:val="18"/>
              </w:rPr>
            </w:pPr>
            <w:r>
              <w:rPr>
                <w:sz w:val="18"/>
              </w:rPr>
              <w:t>-Making</w:t>
            </w:r>
            <w:r>
              <w:rPr>
                <w:spacing w:val="-3"/>
                <w:sz w:val="18"/>
              </w:rPr>
              <w:t xml:space="preserve"> </w:t>
            </w:r>
            <w:r>
              <w:rPr>
                <w:sz w:val="18"/>
              </w:rPr>
              <w:t>healthcare</w:t>
            </w:r>
            <w:r>
              <w:rPr>
                <w:spacing w:val="-2"/>
                <w:sz w:val="18"/>
              </w:rPr>
              <w:t xml:space="preserve"> </w:t>
            </w:r>
            <w:r>
              <w:rPr>
                <w:sz w:val="18"/>
              </w:rPr>
              <w:t>more</w:t>
            </w:r>
            <w:r>
              <w:rPr>
                <w:spacing w:val="-2"/>
                <w:sz w:val="18"/>
              </w:rPr>
              <w:t xml:space="preserve"> </w:t>
            </w:r>
            <w:r>
              <w:rPr>
                <w:sz w:val="18"/>
              </w:rPr>
              <w:t>accessible</w:t>
            </w:r>
            <w:r>
              <w:rPr>
                <w:spacing w:val="-1"/>
                <w:sz w:val="18"/>
              </w:rPr>
              <w:t xml:space="preserve"> </w:t>
            </w:r>
            <w:r>
              <w:rPr>
                <w:sz w:val="18"/>
              </w:rPr>
              <w:t>and</w:t>
            </w:r>
            <w:r>
              <w:rPr>
                <w:spacing w:val="-2"/>
                <w:sz w:val="18"/>
              </w:rPr>
              <w:t xml:space="preserve"> </w:t>
            </w:r>
            <w:r>
              <w:rPr>
                <w:sz w:val="18"/>
              </w:rPr>
              <w:t>timely</w:t>
            </w:r>
            <w:r>
              <w:rPr>
                <w:spacing w:val="-2"/>
                <w:sz w:val="18"/>
              </w:rPr>
              <w:t xml:space="preserve"> </w:t>
            </w:r>
            <w:r>
              <w:rPr>
                <w:sz w:val="18"/>
              </w:rPr>
              <w:t>for</w:t>
            </w:r>
            <w:r>
              <w:rPr>
                <w:spacing w:val="-1"/>
                <w:sz w:val="18"/>
              </w:rPr>
              <w:t xml:space="preserve"> </w:t>
            </w:r>
            <w:r>
              <w:rPr>
                <w:sz w:val="18"/>
              </w:rPr>
              <w:t>insured</w:t>
            </w:r>
            <w:r>
              <w:rPr>
                <w:spacing w:val="-3"/>
                <w:sz w:val="18"/>
              </w:rPr>
              <w:t xml:space="preserve"> </w:t>
            </w:r>
            <w:r>
              <w:rPr>
                <w:sz w:val="18"/>
              </w:rPr>
              <w:t>persons</w:t>
            </w:r>
            <w:r>
              <w:rPr>
                <w:spacing w:val="-4"/>
                <w:sz w:val="18"/>
              </w:rPr>
              <w:t xml:space="preserve"> </w:t>
            </w:r>
            <w:r>
              <w:rPr>
                <w:sz w:val="18"/>
              </w:rPr>
              <w:t>when they</w:t>
            </w:r>
            <w:r>
              <w:rPr>
                <w:spacing w:val="-5"/>
                <w:sz w:val="18"/>
              </w:rPr>
              <w:t xml:space="preserve"> </w:t>
            </w:r>
            <w:r>
              <w:rPr>
                <w:sz w:val="18"/>
              </w:rPr>
              <w:t>need it;</w:t>
            </w:r>
          </w:p>
          <w:p w:rsidR="00A56FE9" w:rsidRDefault="00000000">
            <w:pPr>
              <w:pStyle w:val="TableParagraph"/>
              <w:ind w:left="105" w:right="142"/>
              <w:rPr>
                <w:sz w:val="18"/>
              </w:rPr>
            </w:pPr>
            <w:r>
              <w:rPr>
                <w:sz w:val="18"/>
              </w:rPr>
              <w:t>-Reduction</w:t>
            </w:r>
            <w:r>
              <w:rPr>
                <w:spacing w:val="-1"/>
                <w:sz w:val="18"/>
              </w:rPr>
              <w:t xml:space="preserve"> </w:t>
            </w:r>
            <w:r>
              <w:rPr>
                <w:sz w:val="18"/>
              </w:rPr>
              <w:t>of</w:t>
            </w:r>
            <w:r>
              <w:rPr>
                <w:spacing w:val="-3"/>
                <w:sz w:val="18"/>
              </w:rPr>
              <w:t xml:space="preserve"> </w:t>
            </w:r>
            <w:r>
              <w:rPr>
                <w:sz w:val="18"/>
              </w:rPr>
              <w:t>waiting</w:t>
            </w:r>
            <w:r>
              <w:rPr>
                <w:spacing w:val="-3"/>
                <w:sz w:val="18"/>
              </w:rPr>
              <w:t xml:space="preserve"> </w:t>
            </w:r>
            <w:r>
              <w:rPr>
                <w:sz w:val="18"/>
              </w:rPr>
              <w:t>lists</w:t>
            </w:r>
            <w:r>
              <w:rPr>
                <w:spacing w:val="-1"/>
                <w:sz w:val="18"/>
              </w:rPr>
              <w:t xml:space="preserve"> </w:t>
            </w:r>
            <w:r>
              <w:rPr>
                <w:sz w:val="18"/>
              </w:rPr>
              <w:t>for</w:t>
            </w:r>
            <w:r>
              <w:rPr>
                <w:spacing w:val="-2"/>
                <w:sz w:val="18"/>
              </w:rPr>
              <w:t xml:space="preserve"> </w:t>
            </w:r>
            <w:r>
              <w:rPr>
                <w:sz w:val="18"/>
              </w:rPr>
              <w:t>individual</w:t>
            </w:r>
            <w:r>
              <w:rPr>
                <w:spacing w:val="-1"/>
                <w:sz w:val="18"/>
              </w:rPr>
              <w:t xml:space="preserve"> </w:t>
            </w:r>
            <w:r>
              <w:rPr>
                <w:sz w:val="18"/>
              </w:rPr>
              <w:t>medical</w:t>
            </w:r>
            <w:r>
              <w:rPr>
                <w:spacing w:val="-2"/>
                <w:sz w:val="18"/>
              </w:rPr>
              <w:t xml:space="preserve"> </w:t>
            </w:r>
            <w:r>
              <w:rPr>
                <w:sz w:val="18"/>
              </w:rPr>
              <w:t>services,</w:t>
            </w:r>
            <w:r>
              <w:rPr>
                <w:spacing w:val="-1"/>
                <w:sz w:val="18"/>
              </w:rPr>
              <w:t xml:space="preserve"> </w:t>
            </w:r>
            <w:r>
              <w:rPr>
                <w:sz w:val="18"/>
              </w:rPr>
              <w:t>optimisation</w:t>
            </w:r>
            <w:r>
              <w:rPr>
                <w:spacing w:val="-3"/>
                <w:sz w:val="18"/>
              </w:rPr>
              <w:t xml:space="preserve"> </w:t>
            </w:r>
            <w:r>
              <w:rPr>
                <w:sz w:val="18"/>
              </w:rPr>
              <w:t>and,</w:t>
            </w:r>
            <w:r>
              <w:rPr>
                <w:spacing w:val="-1"/>
                <w:sz w:val="18"/>
              </w:rPr>
              <w:t xml:space="preserve"> </w:t>
            </w:r>
            <w:r>
              <w:rPr>
                <w:sz w:val="18"/>
              </w:rPr>
              <w:t>in</w:t>
            </w:r>
            <w:r>
              <w:rPr>
                <w:spacing w:val="-3"/>
                <w:sz w:val="18"/>
              </w:rPr>
              <w:t xml:space="preserve"> </w:t>
            </w:r>
            <w:r>
              <w:rPr>
                <w:sz w:val="18"/>
              </w:rPr>
              <w:t>this</w:t>
            </w:r>
            <w:r>
              <w:rPr>
                <w:spacing w:val="-4"/>
                <w:sz w:val="18"/>
              </w:rPr>
              <w:t xml:space="preserve"> </w:t>
            </w:r>
            <w:r>
              <w:rPr>
                <w:sz w:val="18"/>
              </w:rPr>
              <w:t>connection,</w:t>
            </w:r>
            <w:r>
              <w:rPr>
                <w:spacing w:val="-2"/>
                <w:sz w:val="18"/>
              </w:rPr>
              <w:t xml:space="preserve"> </w:t>
            </w:r>
            <w:r>
              <w:rPr>
                <w:sz w:val="18"/>
              </w:rPr>
              <w:t>better</w:t>
            </w:r>
            <w:r>
              <w:rPr>
                <w:spacing w:val="-1"/>
                <w:sz w:val="18"/>
              </w:rPr>
              <w:t xml:space="preserve"> </w:t>
            </w:r>
            <w:r>
              <w:rPr>
                <w:sz w:val="18"/>
              </w:rPr>
              <w:t>distribution</w:t>
            </w:r>
            <w:r>
              <w:rPr>
                <w:spacing w:val="-3"/>
                <w:sz w:val="18"/>
              </w:rPr>
              <w:t xml:space="preserve"> </w:t>
            </w:r>
            <w:r>
              <w:rPr>
                <w:sz w:val="18"/>
              </w:rPr>
              <w:t>of</w:t>
            </w:r>
            <w:r>
              <w:rPr>
                <w:spacing w:val="-42"/>
                <w:sz w:val="18"/>
              </w:rPr>
              <w:t xml:space="preserve"> </w:t>
            </w:r>
            <w:r>
              <w:rPr>
                <w:sz w:val="18"/>
              </w:rPr>
              <w:t>available</w:t>
            </w:r>
            <w:r>
              <w:rPr>
                <w:spacing w:val="-1"/>
                <w:sz w:val="18"/>
              </w:rPr>
              <w:t xml:space="preserve"> </w:t>
            </w:r>
            <w:r>
              <w:rPr>
                <w:sz w:val="18"/>
              </w:rPr>
              <w:t>healthcare</w:t>
            </w:r>
            <w:r>
              <w:rPr>
                <w:spacing w:val="-1"/>
                <w:sz w:val="18"/>
              </w:rPr>
              <w:t xml:space="preserve"> </w:t>
            </w:r>
            <w:r>
              <w:rPr>
                <w:sz w:val="18"/>
              </w:rPr>
              <w:t>resources from</w:t>
            </w:r>
            <w:r>
              <w:rPr>
                <w:spacing w:val="-3"/>
                <w:sz w:val="18"/>
              </w:rPr>
              <w:t xml:space="preserve"> </w:t>
            </w:r>
            <w:r>
              <w:rPr>
                <w:sz w:val="18"/>
              </w:rPr>
              <w:t>compulsory</w:t>
            </w:r>
            <w:r>
              <w:rPr>
                <w:spacing w:val="-4"/>
                <w:sz w:val="18"/>
              </w:rPr>
              <w:t xml:space="preserve"> </w:t>
            </w:r>
            <w:r>
              <w:rPr>
                <w:sz w:val="18"/>
              </w:rPr>
              <w:t>health</w:t>
            </w:r>
            <w:r>
              <w:rPr>
                <w:spacing w:val="1"/>
                <w:sz w:val="18"/>
              </w:rPr>
              <w:t xml:space="preserve"> </w:t>
            </w:r>
            <w:r>
              <w:rPr>
                <w:sz w:val="18"/>
              </w:rPr>
              <w:t>insurance</w:t>
            </w:r>
          </w:p>
          <w:p w:rsidR="00A56FE9" w:rsidRDefault="00000000">
            <w:pPr>
              <w:pStyle w:val="TableParagraph"/>
              <w:ind w:left="105" w:right="142"/>
              <w:rPr>
                <w:sz w:val="18"/>
              </w:rPr>
            </w:pPr>
            <w:r>
              <w:rPr>
                <w:sz w:val="18"/>
              </w:rPr>
              <w:t>-Provide</w:t>
            </w:r>
            <w:r>
              <w:rPr>
                <w:spacing w:val="-3"/>
                <w:sz w:val="18"/>
              </w:rPr>
              <w:t xml:space="preserve"> </w:t>
            </w:r>
            <w:r>
              <w:rPr>
                <w:sz w:val="18"/>
              </w:rPr>
              <w:t>finance</w:t>
            </w:r>
            <w:r>
              <w:rPr>
                <w:spacing w:val="-2"/>
                <w:sz w:val="18"/>
              </w:rPr>
              <w:t xml:space="preserve"> </w:t>
            </w:r>
            <w:r>
              <w:rPr>
                <w:sz w:val="18"/>
              </w:rPr>
              <w:t>for</w:t>
            </w:r>
            <w:r>
              <w:rPr>
                <w:spacing w:val="-1"/>
                <w:sz w:val="18"/>
              </w:rPr>
              <w:t xml:space="preserve"> </w:t>
            </w:r>
            <w:r>
              <w:rPr>
                <w:sz w:val="18"/>
              </w:rPr>
              <w:t>the</w:t>
            </w:r>
            <w:r>
              <w:rPr>
                <w:spacing w:val="-2"/>
                <w:sz w:val="18"/>
              </w:rPr>
              <w:t xml:space="preserve"> </w:t>
            </w:r>
            <w:r>
              <w:rPr>
                <w:sz w:val="18"/>
              </w:rPr>
              <w:t>purpose</w:t>
            </w:r>
            <w:r>
              <w:rPr>
                <w:spacing w:val="-4"/>
                <w:sz w:val="18"/>
              </w:rPr>
              <w:t xml:space="preserve"> </w:t>
            </w:r>
            <w:r>
              <w:rPr>
                <w:sz w:val="18"/>
              </w:rPr>
              <w:t>of</w:t>
            </w:r>
            <w:r>
              <w:rPr>
                <w:spacing w:val="-3"/>
                <w:sz w:val="18"/>
              </w:rPr>
              <w:t xml:space="preserve"> </w:t>
            </w:r>
            <w:r>
              <w:rPr>
                <w:sz w:val="18"/>
              </w:rPr>
              <w:t>achieving</w:t>
            </w:r>
            <w:r>
              <w:rPr>
                <w:spacing w:val="-1"/>
                <w:sz w:val="18"/>
              </w:rPr>
              <w:t xml:space="preserve"> </w:t>
            </w:r>
            <w:r>
              <w:rPr>
                <w:sz w:val="18"/>
              </w:rPr>
              <w:t>financial</w:t>
            </w:r>
            <w:r>
              <w:rPr>
                <w:spacing w:val="-1"/>
                <w:sz w:val="18"/>
              </w:rPr>
              <w:t xml:space="preserve"> </w:t>
            </w:r>
            <w:r>
              <w:rPr>
                <w:sz w:val="18"/>
              </w:rPr>
              <w:t>stability,</w:t>
            </w:r>
            <w:r>
              <w:rPr>
                <w:spacing w:val="-1"/>
                <w:sz w:val="18"/>
              </w:rPr>
              <w:t xml:space="preserve"> </w:t>
            </w:r>
            <w:r>
              <w:rPr>
                <w:sz w:val="18"/>
              </w:rPr>
              <w:t>its</w:t>
            </w:r>
            <w:r>
              <w:rPr>
                <w:spacing w:val="-1"/>
                <w:sz w:val="18"/>
              </w:rPr>
              <w:t xml:space="preserve"> </w:t>
            </w:r>
            <w:r>
              <w:rPr>
                <w:sz w:val="18"/>
              </w:rPr>
              <w:t>sustainability</w:t>
            </w:r>
            <w:r>
              <w:rPr>
                <w:spacing w:val="-5"/>
                <w:sz w:val="18"/>
              </w:rPr>
              <w:t xml:space="preserve"> </w:t>
            </w:r>
            <w:r>
              <w:rPr>
                <w:sz w:val="18"/>
              </w:rPr>
              <w:t>and,</w:t>
            </w:r>
            <w:r>
              <w:rPr>
                <w:spacing w:val="-1"/>
                <w:sz w:val="18"/>
              </w:rPr>
              <w:t xml:space="preserve"> </w:t>
            </w:r>
            <w:r>
              <w:rPr>
                <w:sz w:val="18"/>
              </w:rPr>
              <w:t>in</w:t>
            </w:r>
            <w:r>
              <w:rPr>
                <w:spacing w:val="-2"/>
                <w:sz w:val="18"/>
              </w:rPr>
              <w:t xml:space="preserve"> </w:t>
            </w:r>
            <w:r>
              <w:rPr>
                <w:sz w:val="18"/>
              </w:rPr>
              <w:t>this</w:t>
            </w:r>
            <w:r>
              <w:rPr>
                <w:spacing w:val="-2"/>
                <w:sz w:val="18"/>
              </w:rPr>
              <w:t xml:space="preserve"> </w:t>
            </w:r>
            <w:r>
              <w:rPr>
                <w:sz w:val="18"/>
              </w:rPr>
              <w:t>connection,</w:t>
            </w:r>
            <w:r>
              <w:rPr>
                <w:spacing w:val="-3"/>
                <w:sz w:val="18"/>
              </w:rPr>
              <w:t xml:space="preserve"> </w:t>
            </w:r>
            <w:r>
              <w:rPr>
                <w:sz w:val="18"/>
              </w:rPr>
              <w:t>improving</w:t>
            </w:r>
            <w:r>
              <w:rPr>
                <w:spacing w:val="-2"/>
                <w:sz w:val="18"/>
              </w:rPr>
              <w:t xml:space="preserve"> </w:t>
            </w:r>
            <w:r>
              <w:rPr>
                <w:sz w:val="18"/>
              </w:rPr>
              <w:t>the</w:t>
            </w:r>
            <w:r>
              <w:rPr>
                <w:spacing w:val="-42"/>
                <w:sz w:val="18"/>
              </w:rPr>
              <w:t xml:space="preserve"> </w:t>
            </w:r>
            <w:r>
              <w:rPr>
                <w:sz w:val="18"/>
              </w:rPr>
              <w:t>situation of</w:t>
            </w:r>
            <w:r>
              <w:rPr>
                <w:spacing w:val="-2"/>
                <w:sz w:val="18"/>
              </w:rPr>
              <w:t xml:space="preserve"> </w:t>
            </w:r>
            <w:r>
              <w:rPr>
                <w:sz w:val="18"/>
              </w:rPr>
              <w:t>insured</w:t>
            </w:r>
            <w:r>
              <w:rPr>
                <w:spacing w:val="-1"/>
                <w:sz w:val="18"/>
              </w:rPr>
              <w:t xml:space="preserve"> </w:t>
            </w:r>
            <w:r>
              <w:rPr>
                <w:sz w:val="18"/>
              </w:rPr>
              <w:t>persons in</w:t>
            </w:r>
            <w:r>
              <w:rPr>
                <w:spacing w:val="1"/>
                <w:sz w:val="18"/>
              </w:rPr>
              <w:t xml:space="preserve"> </w:t>
            </w:r>
            <w:r>
              <w:rPr>
                <w:sz w:val="18"/>
              </w:rPr>
              <w:t>the</w:t>
            </w:r>
            <w:r>
              <w:rPr>
                <w:spacing w:val="-1"/>
                <w:sz w:val="18"/>
              </w:rPr>
              <w:t xml:space="preserve"> </w:t>
            </w:r>
            <w:r>
              <w:rPr>
                <w:sz w:val="18"/>
              </w:rPr>
              <w:t>exercise</w:t>
            </w:r>
            <w:r>
              <w:rPr>
                <w:spacing w:val="-1"/>
                <w:sz w:val="18"/>
              </w:rPr>
              <w:t xml:space="preserve"> </w:t>
            </w:r>
            <w:r>
              <w:rPr>
                <w:sz w:val="18"/>
              </w:rPr>
              <w:t>of</w:t>
            </w:r>
            <w:r>
              <w:rPr>
                <w:spacing w:val="-3"/>
                <w:sz w:val="18"/>
              </w:rPr>
              <w:t xml:space="preserve"> </w:t>
            </w:r>
            <w:r>
              <w:rPr>
                <w:sz w:val="18"/>
              </w:rPr>
              <w:t>statutory</w:t>
            </w:r>
            <w:r>
              <w:rPr>
                <w:spacing w:val="-4"/>
                <w:sz w:val="18"/>
              </w:rPr>
              <w:t xml:space="preserve"> </w:t>
            </w:r>
            <w:r>
              <w:rPr>
                <w:sz w:val="18"/>
              </w:rPr>
              <w:t>health</w:t>
            </w:r>
            <w:r>
              <w:rPr>
                <w:spacing w:val="1"/>
                <w:sz w:val="18"/>
              </w:rPr>
              <w:t xml:space="preserve"> </w:t>
            </w:r>
            <w:r>
              <w:rPr>
                <w:sz w:val="18"/>
              </w:rPr>
              <w:t>insurance;</w:t>
            </w:r>
          </w:p>
          <w:p w:rsidR="00A56FE9" w:rsidRDefault="00000000">
            <w:pPr>
              <w:pStyle w:val="TableParagraph"/>
              <w:spacing w:line="206" w:lineRule="exact"/>
              <w:ind w:left="105"/>
              <w:rPr>
                <w:sz w:val="18"/>
              </w:rPr>
            </w:pPr>
            <w:r>
              <w:rPr>
                <w:sz w:val="18"/>
              </w:rPr>
              <w:t>-Insert</w:t>
            </w:r>
            <w:r>
              <w:rPr>
                <w:spacing w:val="-2"/>
                <w:sz w:val="18"/>
              </w:rPr>
              <w:t xml:space="preserve"> </w:t>
            </w:r>
            <w:r>
              <w:rPr>
                <w:sz w:val="18"/>
              </w:rPr>
              <w:t>provision</w:t>
            </w:r>
            <w:r>
              <w:rPr>
                <w:spacing w:val="-2"/>
                <w:sz w:val="18"/>
              </w:rPr>
              <w:t xml:space="preserve"> </w:t>
            </w:r>
            <w:r>
              <w:rPr>
                <w:sz w:val="18"/>
              </w:rPr>
              <w:t>to favour</w:t>
            </w:r>
            <w:r>
              <w:rPr>
                <w:spacing w:val="-2"/>
                <w:sz w:val="18"/>
              </w:rPr>
              <w:t xml:space="preserve"> </w:t>
            </w:r>
            <w:r>
              <w:rPr>
                <w:sz w:val="18"/>
              </w:rPr>
              <w:t>the</w:t>
            </w:r>
            <w:r>
              <w:rPr>
                <w:spacing w:val="1"/>
                <w:sz w:val="18"/>
              </w:rPr>
              <w:t xml:space="preserve"> </w:t>
            </w:r>
            <w:r>
              <w:rPr>
                <w:sz w:val="18"/>
              </w:rPr>
              <w:t>contracting</w:t>
            </w:r>
            <w:r>
              <w:rPr>
                <w:spacing w:val="-2"/>
                <w:sz w:val="18"/>
              </w:rPr>
              <w:t xml:space="preserve"> </w:t>
            </w:r>
            <w:r>
              <w:rPr>
                <w:sz w:val="18"/>
              </w:rPr>
              <w:t>entities</w:t>
            </w:r>
            <w:r>
              <w:rPr>
                <w:spacing w:val="-2"/>
                <w:sz w:val="18"/>
              </w:rPr>
              <w:t xml:space="preserve"> </w:t>
            </w:r>
            <w:r>
              <w:rPr>
                <w:sz w:val="18"/>
              </w:rPr>
              <w:t>of</w:t>
            </w:r>
            <w:r>
              <w:rPr>
                <w:spacing w:val="-4"/>
                <w:sz w:val="18"/>
              </w:rPr>
              <w:t xml:space="preserve"> </w:t>
            </w:r>
            <w:r>
              <w:rPr>
                <w:sz w:val="18"/>
              </w:rPr>
              <w:t>the</w:t>
            </w:r>
            <w:r>
              <w:rPr>
                <w:spacing w:val="-2"/>
                <w:sz w:val="18"/>
              </w:rPr>
              <w:t xml:space="preserve"> </w:t>
            </w:r>
            <w:r>
              <w:rPr>
                <w:sz w:val="18"/>
              </w:rPr>
              <w:t>HZZO</w:t>
            </w:r>
            <w:r>
              <w:rPr>
                <w:spacing w:val="-1"/>
                <w:sz w:val="18"/>
              </w:rPr>
              <w:t xml:space="preserve"> </w:t>
            </w:r>
            <w:r>
              <w:rPr>
                <w:sz w:val="18"/>
              </w:rPr>
              <w:t>as</w:t>
            </w:r>
            <w:r>
              <w:rPr>
                <w:spacing w:val="-4"/>
                <w:sz w:val="18"/>
              </w:rPr>
              <w:t xml:space="preserve"> </w:t>
            </w:r>
            <w:r>
              <w:rPr>
                <w:sz w:val="18"/>
              </w:rPr>
              <w:t>healthcare</w:t>
            </w:r>
            <w:r>
              <w:rPr>
                <w:spacing w:val="-2"/>
                <w:sz w:val="18"/>
              </w:rPr>
              <w:t xml:space="preserve"> </w:t>
            </w:r>
            <w:r>
              <w:rPr>
                <w:sz w:val="18"/>
              </w:rPr>
              <w:t>providers</w:t>
            </w:r>
            <w:r>
              <w:rPr>
                <w:spacing w:val="-2"/>
                <w:sz w:val="18"/>
              </w:rPr>
              <w:t xml:space="preserve"> </w:t>
            </w:r>
            <w:r>
              <w:rPr>
                <w:sz w:val="18"/>
              </w:rPr>
              <w:t>from</w:t>
            </w:r>
            <w:r>
              <w:rPr>
                <w:spacing w:val="-4"/>
                <w:sz w:val="18"/>
              </w:rPr>
              <w:t xml:space="preserve"> </w:t>
            </w:r>
            <w:r>
              <w:rPr>
                <w:sz w:val="18"/>
              </w:rPr>
              <w:t>compulsory</w:t>
            </w:r>
            <w:r>
              <w:rPr>
                <w:spacing w:val="-5"/>
                <w:sz w:val="18"/>
              </w:rPr>
              <w:t xml:space="preserve"> </w:t>
            </w:r>
            <w:r>
              <w:rPr>
                <w:sz w:val="18"/>
              </w:rPr>
              <w:t>health</w:t>
            </w:r>
          </w:p>
          <w:p w:rsidR="00A56FE9" w:rsidRDefault="00000000">
            <w:pPr>
              <w:pStyle w:val="TableParagraph"/>
              <w:spacing w:line="206" w:lineRule="exact"/>
              <w:ind w:left="105" w:right="142"/>
              <w:rPr>
                <w:sz w:val="18"/>
              </w:rPr>
            </w:pPr>
            <w:r>
              <w:rPr>
                <w:sz w:val="18"/>
              </w:rPr>
              <w:t>insurance,</w:t>
            </w:r>
            <w:r>
              <w:rPr>
                <w:spacing w:val="-2"/>
                <w:sz w:val="18"/>
              </w:rPr>
              <w:t xml:space="preserve"> </w:t>
            </w:r>
            <w:r>
              <w:rPr>
                <w:sz w:val="18"/>
              </w:rPr>
              <w:t>as</w:t>
            </w:r>
            <w:r>
              <w:rPr>
                <w:spacing w:val="-3"/>
                <w:sz w:val="18"/>
              </w:rPr>
              <w:t xml:space="preserve"> </w:t>
            </w:r>
            <w:r>
              <w:rPr>
                <w:sz w:val="18"/>
              </w:rPr>
              <w:t>regards</w:t>
            </w:r>
            <w:r>
              <w:rPr>
                <w:spacing w:val="-2"/>
                <w:sz w:val="18"/>
              </w:rPr>
              <w:t xml:space="preserve"> </w:t>
            </w:r>
            <w:r>
              <w:rPr>
                <w:sz w:val="18"/>
              </w:rPr>
              <w:t>the</w:t>
            </w:r>
            <w:r>
              <w:rPr>
                <w:spacing w:val="-5"/>
                <w:sz w:val="18"/>
              </w:rPr>
              <w:t xml:space="preserve"> </w:t>
            </w:r>
            <w:r>
              <w:rPr>
                <w:sz w:val="18"/>
              </w:rPr>
              <w:t>payment</w:t>
            </w:r>
            <w:r>
              <w:rPr>
                <w:spacing w:val="-2"/>
                <w:sz w:val="18"/>
              </w:rPr>
              <w:t xml:space="preserve"> </w:t>
            </w:r>
            <w:r>
              <w:rPr>
                <w:sz w:val="18"/>
              </w:rPr>
              <w:t>of</w:t>
            </w:r>
            <w:r>
              <w:rPr>
                <w:spacing w:val="-3"/>
                <w:sz w:val="18"/>
              </w:rPr>
              <w:t xml:space="preserve"> </w:t>
            </w:r>
            <w:r>
              <w:rPr>
                <w:sz w:val="18"/>
              </w:rPr>
              <w:t>the</w:t>
            </w:r>
            <w:r>
              <w:rPr>
                <w:spacing w:val="-3"/>
                <w:sz w:val="18"/>
              </w:rPr>
              <w:t xml:space="preserve"> </w:t>
            </w:r>
            <w:r>
              <w:rPr>
                <w:sz w:val="18"/>
              </w:rPr>
              <w:t>HZZO’s</w:t>
            </w:r>
            <w:r>
              <w:rPr>
                <w:spacing w:val="-3"/>
                <w:sz w:val="18"/>
              </w:rPr>
              <w:t xml:space="preserve"> </w:t>
            </w:r>
            <w:r>
              <w:rPr>
                <w:sz w:val="18"/>
              </w:rPr>
              <w:t>obligations</w:t>
            </w:r>
            <w:r>
              <w:rPr>
                <w:spacing w:val="-2"/>
                <w:sz w:val="18"/>
              </w:rPr>
              <w:t xml:space="preserve"> </w:t>
            </w:r>
            <w:r>
              <w:rPr>
                <w:sz w:val="18"/>
              </w:rPr>
              <w:t>towards</w:t>
            </w:r>
            <w:r>
              <w:rPr>
                <w:spacing w:val="-3"/>
                <w:sz w:val="18"/>
              </w:rPr>
              <w:t xml:space="preserve"> </w:t>
            </w:r>
            <w:r>
              <w:rPr>
                <w:sz w:val="18"/>
              </w:rPr>
              <w:t>them</w:t>
            </w:r>
            <w:r>
              <w:rPr>
                <w:spacing w:val="-4"/>
                <w:sz w:val="18"/>
              </w:rPr>
              <w:t xml:space="preserve"> </w:t>
            </w:r>
            <w:r>
              <w:rPr>
                <w:sz w:val="18"/>
              </w:rPr>
              <w:t>within</w:t>
            </w:r>
            <w:r>
              <w:rPr>
                <w:spacing w:val="-1"/>
                <w:sz w:val="18"/>
              </w:rPr>
              <w:t xml:space="preserve"> </w:t>
            </w:r>
            <w:r>
              <w:rPr>
                <w:sz w:val="18"/>
              </w:rPr>
              <w:t>the</w:t>
            </w:r>
            <w:r>
              <w:rPr>
                <w:spacing w:val="-3"/>
                <w:sz w:val="18"/>
              </w:rPr>
              <w:t xml:space="preserve"> </w:t>
            </w:r>
            <w:r>
              <w:rPr>
                <w:sz w:val="18"/>
              </w:rPr>
              <w:t>time</w:t>
            </w:r>
            <w:r>
              <w:rPr>
                <w:spacing w:val="-2"/>
                <w:sz w:val="18"/>
              </w:rPr>
              <w:t xml:space="preserve"> </w:t>
            </w:r>
            <w:r>
              <w:rPr>
                <w:sz w:val="18"/>
              </w:rPr>
              <w:t>limits</w:t>
            </w:r>
            <w:r>
              <w:rPr>
                <w:spacing w:val="-3"/>
                <w:sz w:val="18"/>
              </w:rPr>
              <w:t xml:space="preserve"> </w:t>
            </w:r>
            <w:r>
              <w:rPr>
                <w:sz w:val="18"/>
              </w:rPr>
              <w:t>prescribed</w:t>
            </w:r>
            <w:r>
              <w:rPr>
                <w:spacing w:val="-1"/>
                <w:sz w:val="18"/>
              </w:rPr>
              <w:t xml:space="preserve"> </w:t>
            </w:r>
            <w:r>
              <w:rPr>
                <w:sz w:val="18"/>
              </w:rPr>
              <w:t>by</w:t>
            </w:r>
            <w:r>
              <w:rPr>
                <w:spacing w:val="-5"/>
                <w:sz w:val="18"/>
              </w:rPr>
              <w:t xml:space="preserve"> </w:t>
            </w:r>
            <w:r>
              <w:rPr>
                <w:sz w:val="18"/>
              </w:rPr>
              <w:t>law,</w:t>
            </w:r>
            <w:r>
              <w:rPr>
                <w:spacing w:val="-2"/>
                <w:sz w:val="18"/>
              </w:rPr>
              <w:t xml:space="preserve"> </w:t>
            </w:r>
            <w:r>
              <w:rPr>
                <w:sz w:val="18"/>
              </w:rPr>
              <w:t>in</w:t>
            </w:r>
            <w:r>
              <w:rPr>
                <w:spacing w:val="-42"/>
                <w:sz w:val="18"/>
              </w:rPr>
              <w:t xml:space="preserve"> </w:t>
            </w:r>
            <w:r>
              <w:rPr>
                <w:sz w:val="18"/>
              </w:rPr>
              <w:t>order</w:t>
            </w:r>
            <w:r>
              <w:rPr>
                <w:spacing w:val="-1"/>
                <w:sz w:val="18"/>
              </w:rPr>
              <w:t xml:space="preserve"> </w:t>
            </w:r>
            <w:r>
              <w:rPr>
                <w:sz w:val="18"/>
              </w:rPr>
              <w:t>to</w:t>
            </w:r>
            <w:r>
              <w:rPr>
                <w:spacing w:val="1"/>
                <w:sz w:val="18"/>
              </w:rPr>
              <w:t xml:space="preserve"> </w:t>
            </w:r>
            <w:r>
              <w:rPr>
                <w:sz w:val="18"/>
              </w:rPr>
              <w:t>guarantee</w:t>
            </w:r>
            <w:r>
              <w:rPr>
                <w:spacing w:val="-1"/>
                <w:sz w:val="18"/>
              </w:rPr>
              <w:t xml:space="preserve"> </w:t>
            </w:r>
            <w:r>
              <w:rPr>
                <w:sz w:val="18"/>
              </w:rPr>
              <w:t>the</w:t>
            </w:r>
            <w:r>
              <w:rPr>
                <w:spacing w:val="-1"/>
                <w:sz w:val="18"/>
              </w:rPr>
              <w:t xml:space="preserve"> </w:t>
            </w:r>
            <w:r>
              <w:rPr>
                <w:sz w:val="18"/>
              </w:rPr>
              <w:t>right to</w:t>
            </w:r>
            <w:r>
              <w:rPr>
                <w:spacing w:val="1"/>
                <w:sz w:val="18"/>
              </w:rPr>
              <w:t xml:space="preserve"> </w:t>
            </w:r>
            <w:r>
              <w:rPr>
                <w:sz w:val="18"/>
              </w:rPr>
              <w:t>health</w:t>
            </w:r>
            <w:r>
              <w:rPr>
                <w:spacing w:val="1"/>
                <w:sz w:val="18"/>
              </w:rPr>
              <w:t xml:space="preserve"> </w:t>
            </w:r>
            <w:r>
              <w:rPr>
                <w:sz w:val="18"/>
              </w:rPr>
              <w:t>care</w:t>
            </w:r>
            <w:r>
              <w:rPr>
                <w:spacing w:val="-1"/>
                <w:sz w:val="18"/>
              </w:rPr>
              <w:t xml:space="preserve"> </w:t>
            </w:r>
            <w:r>
              <w:rPr>
                <w:sz w:val="18"/>
              </w:rPr>
              <w:t>for insured</w:t>
            </w:r>
            <w:r>
              <w:rPr>
                <w:spacing w:val="-2"/>
                <w:sz w:val="18"/>
              </w:rPr>
              <w:t xml:space="preserve"> </w:t>
            </w:r>
            <w:r>
              <w:rPr>
                <w:sz w:val="18"/>
              </w:rPr>
              <w:t>persons.</w:t>
            </w:r>
          </w:p>
        </w:tc>
      </w:tr>
      <w:tr w:rsidR="00A56FE9">
        <w:trPr>
          <w:trHeight w:val="2071"/>
        </w:trPr>
        <w:tc>
          <w:tcPr>
            <w:tcW w:w="2064" w:type="dxa"/>
            <w:vMerge/>
            <w:tcBorders>
              <w:top w:val="nil"/>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ind w:left="100" w:right="369"/>
              <w:rPr>
                <w:sz w:val="18"/>
              </w:rPr>
            </w:pPr>
            <w:r>
              <w:rPr>
                <w:sz w:val="18"/>
              </w:rPr>
              <w:t>Diagnostic units Clinical Hospital Centre</w:t>
            </w:r>
            <w:r>
              <w:rPr>
                <w:spacing w:val="-42"/>
                <w:sz w:val="18"/>
              </w:rPr>
              <w:t xml:space="preserve"> </w:t>
            </w:r>
            <w:r>
              <w:rPr>
                <w:sz w:val="18"/>
              </w:rPr>
              <w:t>(KBC)</w:t>
            </w:r>
            <w:r>
              <w:rPr>
                <w:spacing w:val="-1"/>
                <w:sz w:val="18"/>
              </w:rPr>
              <w:t xml:space="preserve"> </w:t>
            </w:r>
            <w:r>
              <w:rPr>
                <w:sz w:val="18"/>
              </w:rPr>
              <w:t>Merkur</w:t>
            </w:r>
          </w:p>
        </w:tc>
        <w:tc>
          <w:tcPr>
            <w:tcW w:w="8927" w:type="dxa"/>
            <w:shd w:val="clear" w:color="auto" w:fill="C5EECE"/>
          </w:tcPr>
          <w:p w:rsidR="00A56FE9" w:rsidRDefault="00000000">
            <w:pPr>
              <w:pStyle w:val="TableParagraph"/>
              <w:ind w:left="105" w:right="142"/>
              <w:rPr>
                <w:sz w:val="18"/>
              </w:rPr>
            </w:pPr>
            <w:r>
              <w:rPr>
                <w:sz w:val="18"/>
              </w:rPr>
              <w:t>To</w:t>
            </w:r>
            <w:r>
              <w:rPr>
                <w:spacing w:val="-1"/>
                <w:sz w:val="18"/>
              </w:rPr>
              <w:t xml:space="preserve"> </w:t>
            </w:r>
            <w:r>
              <w:rPr>
                <w:sz w:val="18"/>
              </w:rPr>
              <w:t>improve</w:t>
            </w:r>
            <w:r>
              <w:rPr>
                <w:spacing w:val="-2"/>
                <w:sz w:val="18"/>
              </w:rPr>
              <w:t xml:space="preserve"> </w:t>
            </w:r>
            <w:r>
              <w:rPr>
                <w:sz w:val="18"/>
              </w:rPr>
              <w:t>the</w:t>
            </w:r>
            <w:r>
              <w:rPr>
                <w:spacing w:val="-2"/>
                <w:sz w:val="18"/>
              </w:rPr>
              <w:t xml:space="preserve"> </w:t>
            </w:r>
            <w:r>
              <w:rPr>
                <w:sz w:val="18"/>
              </w:rPr>
              <w:t>quality</w:t>
            </w:r>
            <w:r>
              <w:rPr>
                <w:spacing w:val="-4"/>
                <w:sz w:val="18"/>
              </w:rPr>
              <w:t xml:space="preserve"> </w:t>
            </w:r>
            <w:r>
              <w:rPr>
                <w:sz w:val="18"/>
              </w:rPr>
              <w:t>of</w:t>
            </w:r>
            <w:r>
              <w:rPr>
                <w:spacing w:val="-3"/>
                <w:sz w:val="18"/>
              </w:rPr>
              <w:t xml:space="preserve"> </w:t>
            </w:r>
            <w:r>
              <w:rPr>
                <w:sz w:val="18"/>
              </w:rPr>
              <w:t>the</w:t>
            </w:r>
            <w:r>
              <w:rPr>
                <w:spacing w:val="-2"/>
                <w:sz w:val="18"/>
              </w:rPr>
              <w:t xml:space="preserve"> </w:t>
            </w:r>
            <w:r>
              <w:rPr>
                <w:sz w:val="18"/>
              </w:rPr>
              <w:t>service,</w:t>
            </w:r>
            <w:r>
              <w:rPr>
                <w:spacing w:val="-1"/>
                <w:sz w:val="18"/>
              </w:rPr>
              <w:t xml:space="preserve"> </w:t>
            </w:r>
            <w:r>
              <w:rPr>
                <w:sz w:val="18"/>
              </w:rPr>
              <w:t>increase</w:t>
            </w:r>
            <w:r>
              <w:rPr>
                <w:spacing w:val="-2"/>
                <w:sz w:val="18"/>
              </w:rPr>
              <w:t xml:space="preserve"> </w:t>
            </w:r>
            <w:r>
              <w:rPr>
                <w:sz w:val="18"/>
              </w:rPr>
              <w:t>the</w:t>
            </w:r>
            <w:r>
              <w:rPr>
                <w:spacing w:val="-2"/>
                <w:sz w:val="18"/>
              </w:rPr>
              <w:t xml:space="preserve"> </w:t>
            </w:r>
            <w:r>
              <w:rPr>
                <w:sz w:val="18"/>
              </w:rPr>
              <w:t>number</w:t>
            </w:r>
            <w:r>
              <w:rPr>
                <w:spacing w:val="-1"/>
                <w:sz w:val="18"/>
              </w:rPr>
              <w:t xml:space="preserve"> </w:t>
            </w:r>
            <w:r>
              <w:rPr>
                <w:sz w:val="18"/>
              </w:rPr>
              <w:t>of</w:t>
            </w:r>
            <w:r>
              <w:rPr>
                <w:spacing w:val="-3"/>
                <w:sz w:val="18"/>
              </w:rPr>
              <w:t xml:space="preserve"> </w:t>
            </w:r>
            <w:r>
              <w:rPr>
                <w:sz w:val="18"/>
              </w:rPr>
              <w:t>patient</w:t>
            </w:r>
            <w:r>
              <w:rPr>
                <w:spacing w:val="-1"/>
                <w:sz w:val="18"/>
              </w:rPr>
              <w:t xml:space="preserve"> </w:t>
            </w:r>
            <w:r>
              <w:rPr>
                <w:sz w:val="18"/>
              </w:rPr>
              <w:t>treatments,</w:t>
            </w:r>
            <w:r>
              <w:rPr>
                <w:spacing w:val="-2"/>
                <w:sz w:val="18"/>
              </w:rPr>
              <w:t xml:space="preserve"> </w:t>
            </w:r>
            <w:r>
              <w:rPr>
                <w:sz w:val="18"/>
              </w:rPr>
              <w:t>speed up</w:t>
            </w:r>
            <w:r>
              <w:rPr>
                <w:spacing w:val="-2"/>
                <w:sz w:val="18"/>
              </w:rPr>
              <w:t xml:space="preserve"> </w:t>
            </w:r>
            <w:r>
              <w:rPr>
                <w:sz w:val="18"/>
              </w:rPr>
              <w:t>and</w:t>
            </w:r>
            <w:r>
              <w:rPr>
                <w:spacing w:val="-2"/>
                <w:sz w:val="18"/>
              </w:rPr>
              <w:t xml:space="preserve"> </w:t>
            </w:r>
            <w:r>
              <w:rPr>
                <w:sz w:val="18"/>
              </w:rPr>
              <w:t>increase</w:t>
            </w:r>
            <w:r>
              <w:rPr>
                <w:spacing w:val="-2"/>
                <w:sz w:val="18"/>
              </w:rPr>
              <w:t xml:space="preserve"> </w:t>
            </w:r>
            <w:r>
              <w:rPr>
                <w:sz w:val="18"/>
              </w:rPr>
              <w:t>the</w:t>
            </w:r>
            <w:r>
              <w:rPr>
                <w:spacing w:val="-2"/>
                <w:sz w:val="18"/>
              </w:rPr>
              <w:t xml:space="preserve"> </w:t>
            </w:r>
            <w:r>
              <w:rPr>
                <w:sz w:val="18"/>
              </w:rPr>
              <w:t>availability</w:t>
            </w:r>
            <w:r>
              <w:rPr>
                <w:spacing w:val="-42"/>
                <w:sz w:val="18"/>
              </w:rPr>
              <w:t xml:space="preserve"> </w:t>
            </w:r>
            <w:r>
              <w:rPr>
                <w:sz w:val="18"/>
              </w:rPr>
              <w:t>and quality of healthcare for all categories of patients the equipment shall be installed for at least 4 diagnostic units at</w:t>
            </w:r>
            <w:r>
              <w:rPr>
                <w:spacing w:val="1"/>
                <w:sz w:val="18"/>
              </w:rPr>
              <w:t xml:space="preserve"> </w:t>
            </w:r>
            <w:r>
              <w:rPr>
                <w:sz w:val="18"/>
              </w:rPr>
              <w:t>Clinical</w:t>
            </w:r>
            <w:r>
              <w:rPr>
                <w:spacing w:val="-1"/>
                <w:sz w:val="18"/>
              </w:rPr>
              <w:t xml:space="preserve"> </w:t>
            </w:r>
            <w:r>
              <w:rPr>
                <w:sz w:val="18"/>
              </w:rPr>
              <w:t>Hospital Centre (KBC)</w:t>
            </w:r>
            <w:r>
              <w:rPr>
                <w:spacing w:val="-2"/>
                <w:sz w:val="18"/>
              </w:rPr>
              <w:t xml:space="preserve"> </w:t>
            </w:r>
            <w:r>
              <w:rPr>
                <w:sz w:val="18"/>
              </w:rPr>
              <w:t>Merkur.</w:t>
            </w:r>
            <w:r>
              <w:rPr>
                <w:spacing w:val="-1"/>
                <w:sz w:val="18"/>
              </w:rPr>
              <w:t xml:space="preserve"> </w:t>
            </w:r>
            <w:r>
              <w:rPr>
                <w:sz w:val="18"/>
              </w:rPr>
              <w:t>The</w:t>
            </w:r>
            <w:r>
              <w:rPr>
                <w:spacing w:val="-1"/>
                <w:sz w:val="18"/>
              </w:rPr>
              <w:t xml:space="preserve"> </w:t>
            </w:r>
            <w:r>
              <w:rPr>
                <w:sz w:val="18"/>
              </w:rPr>
              <w:t>installed</w:t>
            </w:r>
            <w:r>
              <w:rPr>
                <w:spacing w:val="1"/>
                <w:sz w:val="18"/>
              </w:rPr>
              <w:t xml:space="preserve"> </w:t>
            </w:r>
            <w:r>
              <w:rPr>
                <w:sz w:val="18"/>
              </w:rPr>
              <w:t>equipment shall</w:t>
            </w:r>
            <w:r>
              <w:rPr>
                <w:spacing w:val="-1"/>
                <w:sz w:val="18"/>
              </w:rPr>
              <w:t xml:space="preserve"> </w:t>
            </w:r>
            <w:r>
              <w:rPr>
                <w:sz w:val="18"/>
              </w:rPr>
              <w:t>consist</w:t>
            </w:r>
            <w:r>
              <w:rPr>
                <w:spacing w:val="-2"/>
                <w:sz w:val="18"/>
              </w:rPr>
              <w:t xml:space="preserve"> </w:t>
            </w:r>
            <w:r>
              <w:rPr>
                <w:sz w:val="18"/>
              </w:rPr>
              <w:t>of:</w:t>
            </w:r>
          </w:p>
          <w:p w:rsidR="00A56FE9" w:rsidRDefault="00000000">
            <w:pPr>
              <w:pStyle w:val="TableParagraph"/>
              <w:spacing w:line="207" w:lineRule="exact"/>
              <w:ind w:left="105"/>
              <w:rPr>
                <w:sz w:val="18"/>
              </w:rPr>
            </w:pPr>
            <w:r>
              <w:rPr>
                <w:sz w:val="18"/>
              </w:rPr>
              <w:t>-Apparatus</w:t>
            </w:r>
            <w:r>
              <w:rPr>
                <w:spacing w:val="-3"/>
                <w:sz w:val="18"/>
              </w:rPr>
              <w:t xml:space="preserve"> </w:t>
            </w:r>
            <w:r>
              <w:rPr>
                <w:sz w:val="18"/>
              </w:rPr>
              <w:t>for</w:t>
            </w:r>
            <w:r>
              <w:rPr>
                <w:spacing w:val="-3"/>
                <w:sz w:val="18"/>
              </w:rPr>
              <w:t xml:space="preserve"> </w:t>
            </w:r>
            <w:r>
              <w:rPr>
                <w:sz w:val="18"/>
              </w:rPr>
              <w:t>transthoracic</w:t>
            </w:r>
            <w:r>
              <w:rPr>
                <w:spacing w:val="-3"/>
                <w:sz w:val="18"/>
              </w:rPr>
              <w:t xml:space="preserve"> </w:t>
            </w:r>
            <w:r>
              <w:rPr>
                <w:sz w:val="18"/>
              </w:rPr>
              <w:t>and</w:t>
            </w:r>
            <w:r>
              <w:rPr>
                <w:spacing w:val="-3"/>
                <w:sz w:val="18"/>
              </w:rPr>
              <w:t xml:space="preserve"> </w:t>
            </w:r>
            <w:r>
              <w:rPr>
                <w:sz w:val="18"/>
              </w:rPr>
              <w:t>transesogastric</w:t>
            </w:r>
            <w:r>
              <w:rPr>
                <w:spacing w:val="-3"/>
                <w:sz w:val="18"/>
              </w:rPr>
              <w:t xml:space="preserve"> </w:t>
            </w:r>
            <w:r>
              <w:rPr>
                <w:sz w:val="18"/>
              </w:rPr>
              <w:t>echocardiography;</w:t>
            </w:r>
          </w:p>
          <w:p w:rsidR="00A56FE9" w:rsidRDefault="00000000">
            <w:pPr>
              <w:pStyle w:val="TableParagraph"/>
              <w:spacing w:line="206" w:lineRule="exact"/>
              <w:ind w:left="105"/>
              <w:rPr>
                <w:sz w:val="18"/>
              </w:rPr>
            </w:pPr>
            <w:r>
              <w:rPr>
                <w:sz w:val="18"/>
              </w:rPr>
              <w:t>-Three monitors for</w:t>
            </w:r>
            <w:r>
              <w:rPr>
                <w:spacing w:val="-1"/>
                <w:sz w:val="18"/>
              </w:rPr>
              <w:t xml:space="preserve"> </w:t>
            </w:r>
            <w:r>
              <w:rPr>
                <w:sz w:val="18"/>
              </w:rPr>
              <w:t>coronary</w:t>
            </w:r>
            <w:r>
              <w:rPr>
                <w:spacing w:val="-5"/>
                <w:sz w:val="18"/>
              </w:rPr>
              <w:t xml:space="preserve"> </w:t>
            </w:r>
            <w:r>
              <w:rPr>
                <w:sz w:val="18"/>
              </w:rPr>
              <w:t>unit</w:t>
            </w:r>
            <w:r>
              <w:rPr>
                <w:spacing w:val="-3"/>
                <w:sz w:val="18"/>
              </w:rPr>
              <w:t xml:space="preserve"> </w:t>
            </w:r>
            <w:r>
              <w:rPr>
                <w:sz w:val="18"/>
              </w:rPr>
              <w:t>purposes;</w:t>
            </w:r>
          </w:p>
          <w:p w:rsidR="00A56FE9" w:rsidRDefault="00000000">
            <w:pPr>
              <w:pStyle w:val="TableParagraph"/>
              <w:spacing w:line="207" w:lineRule="exact"/>
              <w:ind w:left="105"/>
              <w:rPr>
                <w:sz w:val="18"/>
              </w:rPr>
            </w:pPr>
            <w:r>
              <w:rPr>
                <w:sz w:val="18"/>
              </w:rPr>
              <w:t>-System</w:t>
            </w:r>
            <w:r>
              <w:rPr>
                <w:spacing w:val="-1"/>
                <w:sz w:val="18"/>
              </w:rPr>
              <w:t xml:space="preserve"> </w:t>
            </w:r>
            <w:r>
              <w:rPr>
                <w:sz w:val="18"/>
              </w:rPr>
              <w:t>for</w:t>
            </w:r>
            <w:r>
              <w:rPr>
                <w:spacing w:val="-1"/>
                <w:sz w:val="18"/>
              </w:rPr>
              <w:t xml:space="preserve"> </w:t>
            </w:r>
            <w:r>
              <w:rPr>
                <w:sz w:val="18"/>
              </w:rPr>
              <w:t>telemetry</w:t>
            </w:r>
            <w:r>
              <w:rPr>
                <w:spacing w:val="-5"/>
                <w:sz w:val="18"/>
              </w:rPr>
              <w:t xml:space="preserve"> </w:t>
            </w:r>
            <w:r>
              <w:rPr>
                <w:sz w:val="18"/>
              </w:rPr>
              <w:t>of</w:t>
            </w:r>
            <w:r>
              <w:rPr>
                <w:spacing w:val="-3"/>
                <w:sz w:val="18"/>
              </w:rPr>
              <w:t xml:space="preserve"> </w:t>
            </w:r>
            <w:r>
              <w:rPr>
                <w:sz w:val="18"/>
              </w:rPr>
              <w:t>patients</w:t>
            </w:r>
            <w:r>
              <w:rPr>
                <w:spacing w:val="-1"/>
                <w:sz w:val="18"/>
              </w:rPr>
              <w:t xml:space="preserve"> </w:t>
            </w:r>
            <w:r>
              <w:rPr>
                <w:sz w:val="18"/>
              </w:rPr>
              <w:t>in the</w:t>
            </w:r>
            <w:r>
              <w:rPr>
                <w:spacing w:val="-2"/>
                <w:sz w:val="18"/>
              </w:rPr>
              <w:t xml:space="preserve"> </w:t>
            </w:r>
            <w:r>
              <w:rPr>
                <w:sz w:val="18"/>
              </w:rPr>
              <w:t>open ward;</w:t>
            </w:r>
          </w:p>
          <w:p w:rsidR="00A56FE9" w:rsidRDefault="00000000">
            <w:pPr>
              <w:pStyle w:val="TableParagraph"/>
              <w:spacing w:line="207" w:lineRule="exact"/>
              <w:ind w:left="105"/>
              <w:rPr>
                <w:sz w:val="18"/>
              </w:rPr>
            </w:pPr>
            <w:r>
              <w:rPr>
                <w:sz w:val="18"/>
              </w:rPr>
              <w:t>-Stronger</w:t>
            </w:r>
            <w:r>
              <w:rPr>
                <w:spacing w:val="-2"/>
                <w:sz w:val="18"/>
              </w:rPr>
              <w:t xml:space="preserve"> </w:t>
            </w:r>
            <w:r>
              <w:rPr>
                <w:sz w:val="18"/>
              </w:rPr>
              <w:t>power</w:t>
            </w:r>
            <w:r>
              <w:rPr>
                <w:spacing w:val="-2"/>
                <w:sz w:val="18"/>
              </w:rPr>
              <w:t xml:space="preserve"> </w:t>
            </w:r>
            <w:r>
              <w:rPr>
                <w:sz w:val="18"/>
              </w:rPr>
              <w:t>ultrasound;</w:t>
            </w:r>
          </w:p>
          <w:p w:rsidR="00A56FE9" w:rsidRDefault="00000000">
            <w:pPr>
              <w:pStyle w:val="TableParagraph"/>
              <w:spacing w:line="206" w:lineRule="exact"/>
              <w:ind w:left="105"/>
              <w:rPr>
                <w:sz w:val="18"/>
              </w:rPr>
            </w:pPr>
            <w:r>
              <w:rPr>
                <w:sz w:val="18"/>
              </w:rPr>
              <w:t>-Lower</w:t>
            </w:r>
            <w:r>
              <w:rPr>
                <w:spacing w:val="-2"/>
                <w:sz w:val="18"/>
              </w:rPr>
              <w:t xml:space="preserve"> </w:t>
            </w:r>
            <w:r>
              <w:rPr>
                <w:sz w:val="18"/>
              </w:rPr>
              <w:t>power</w:t>
            </w:r>
            <w:r>
              <w:rPr>
                <w:spacing w:val="-2"/>
                <w:sz w:val="18"/>
              </w:rPr>
              <w:t xml:space="preserve"> </w:t>
            </w:r>
            <w:r>
              <w:rPr>
                <w:sz w:val="18"/>
              </w:rPr>
              <w:t>ultrasound;</w:t>
            </w:r>
          </w:p>
          <w:p w:rsidR="00A56FE9" w:rsidRDefault="00000000">
            <w:pPr>
              <w:pStyle w:val="TableParagraph"/>
              <w:spacing w:line="206" w:lineRule="exact"/>
              <w:ind w:left="105"/>
              <w:rPr>
                <w:sz w:val="18"/>
              </w:rPr>
            </w:pPr>
            <w:r>
              <w:rPr>
                <w:sz w:val="18"/>
              </w:rPr>
              <w:t>-Magnetic</w:t>
            </w:r>
            <w:r>
              <w:rPr>
                <w:spacing w:val="-3"/>
                <w:sz w:val="18"/>
              </w:rPr>
              <w:t xml:space="preserve"> </w:t>
            </w:r>
            <w:r>
              <w:rPr>
                <w:sz w:val="18"/>
              </w:rPr>
              <w:t>resonance</w:t>
            </w:r>
            <w:r>
              <w:rPr>
                <w:spacing w:val="-2"/>
                <w:sz w:val="18"/>
              </w:rPr>
              <w:t xml:space="preserve"> </w:t>
            </w:r>
            <w:r>
              <w:rPr>
                <w:sz w:val="18"/>
              </w:rPr>
              <w:t>MR</w:t>
            </w:r>
            <w:r>
              <w:rPr>
                <w:spacing w:val="-1"/>
                <w:sz w:val="18"/>
              </w:rPr>
              <w:t xml:space="preserve"> </w:t>
            </w:r>
            <w:r>
              <w:rPr>
                <w:sz w:val="18"/>
              </w:rPr>
              <w:t>3T;</w:t>
            </w:r>
          </w:p>
          <w:p w:rsidR="00A56FE9" w:rsidRDefault="00000000">
            <w:pPr>
              <w:pStyle w:val="TableParagraph"/>
              <w:spacing w:line="193" w:lineRule="exact"/>
              <w:ind w:left="105"/>
              <w:rPr>
                <w:sz w:val="18"/>
              </w:rPr>
            </w:pPr>
            <w:r>
              <w:rPr>
                <w:sz w:val="18"/>
              </w:rPr>
              <w:t>-Mammography</w:t>
            </w:r>
            <w:r>
              <w:rPr>
                <w:spacing w:val="-6"/>
                <w:sz w:val="18"/>
              </w:rPr>
              <w:t xml:space="preserve"> </w:t>
            </w:r>
            <w:r>
              <w:rPr>
                <w:sz w:val="18"/>
              </w:rPr>
              <w:t>scanner;</w:t>
            </w:r>
          </w:p>
        </w:tc>
      </w:tr>
    </w:tbl>
    <w:p w:rsidR="00A56FE9" w:rsidRDefault="00A56FE9">
      <w:pPr>
        <w:spacing w:line="193" w:lineRule="exac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0"/>
        <w:gridCol w:w="3474"/>
        <w:gridCol w:w="8928"/>
      </w:tblGrid>
      <w:tr w:rsidR="00A56FE9">
        <w:trPr>
          <w:trHeight w:val="249"/>
        </w:trPr>
        <w:tc>
          <w:tcPr>
            <w:tcW w:w="2060" w:type="dxa"/>
            <w:tcBorders>
              <w:top w:val="nil"/>
              <w:left w:val="nil"/>
              <w:bottom w:val="nil"/>
              <w:right w:val="nil"/>
            </w:tcBorders>
            <w:shd w:val="clear" w:color="auto" w:fill="2C398A"/>
          </w:tcPr>
          <w:p w:rsidR="00A56FE9" w:rsidRDefault="00000000">
            <w:pPr>
              <w:pStyle w:val="TableParagraph"/>
              <w:spacing w:before="10" w:line="220" w:lineRule="exact"/>
              <w:ind w:left="804" w:right="803"/>
              <w:jc w:val="center"/>
              <w:rPr>
                <w:b/>
                <w:sz w:val="20"/>
              </w:rPr>
            </w:pPr>
            <w:r>
              <w:rPr>
                <w:b/>
                <w:color w:val="FFFFFF"/>
                <w:sz w:val="20"/>
              </w:rPr>
              <w:t>SDG</w:t>
            </w:r>
          </w:p>
        </w:tc>
        <w:tc>
          <w:tcPr>
            <w:tcW w:w="3474" w:type="dxa"/>
            <w:tcBorders>
              <w:top w:val="nil"/>
              <w:left w:val="nil"/>
              <w:bottom w:val="nil"/>
              <w:right w:val="nil"/>
            </w:tcBorders>
            <w:shd w:val="clear" w:color="auto" w:fill="2C398A"/>
          </w:tcPr>
          <w:p w:rsidR="00A56FE9" w:rsidRDefault="00000000">
            <w:pPr>
              <w:pStyle w:val="TableParagraph"/>
              <w:spacing w:before="10" w:line="220" w:lineRule="exact"/>
              <w:ind w:left="796"/>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8" w:type="dxa"/>
            <w:tcBorders>
              <w:top w:val="nil"/>
              <w:left w:val="nil"/>
              <w:bottom w:val="nil"/>
              <w:right w:val="nil"/>
            </w:tcBorders>
            <w:shd w:val="clear" w:color="auto" w:fill="2C398A"/>
          </w:tcPr>
          <w:p w:rsidR="00A56FE9" w:rsidRDefault="00000000">
            <w:pPr>
              <w:pStyle w:val="TableParagraph"/>
              <w:spacing w:before="10" w:line="220" w:lineRule="exact"/>
              <w:ind w:left="1951" w:right="1952"/>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827"/>
        </w:trPr>
        <w:tc>
          <w:tcPr>
            <w:tcW w:w="2060" w:type="dxa"/>
            <w:vMerge w:val="restart"/>
            <w:tcBorders>
              <w:top w:val="nil"/>
            </w:tcBorders>
            <w:shd w:val="clear" w:color="auto" w:fill="F1F1F1"/>
          </w:tcPr>
          <w:p w:rsidR="00A56FE9" w:rsidRDefault="00A56FE9">
            <w:pPr>
              <w:pStyle w:val="TableParagraph"/>
              <w:rPr>
                <w:sz w:val="18"/>
              </w:rPr>
            </w:pPr>
          </w:p>
        </w:tc>
        <w:tc>
          <w:tcPr>
            <w:tcW w:w="3474" w:type="dxa"/>
            <w:tcBorders>
              <w:top w:val="nil"/>
            </w:tcBorders>
            <w:shd w:val="clear" w:color="auto" w:fill="C5EECE"/>
          </w:tcPr>
          <w:p w:rsidR="00A56FE9" w:rsidRDefault="00A56FE9">
            <w:pPr>
              <w:pStyle w:val="TableParagraph"/>
              <w:rPr>
                <w:sz w:val="18"/>
              </w:rPr>
            </w:pPr>
          </w:p>
        </w:tc>
        <w:tc>
          <w:tcPr>
            <w:tcW w:w="8928" w:type="dxa"/>
            <w:tcBorders>
              <w:top w:val="nil"/>
            </w:tcBorders>
            <w:shd w:val="clear" w:color="auto" w:fill="C5EECE"/>
          </w:tcPr>
          <w:p w:rsidR="00A56FE9" w:rsidRDefault="00000000">
            <w:pPr>
              <w:pStyle w:val="TableParagraph"/>
              <w:spacing w:line="202" w:lineRule="exact"/>
              <w:ind w:left="104"/>
              <w:rPr>
                <w:sz w:val="18"/>
              </w:rPr>
            </w:pPr>
            <w:r>
              <w:rPr>
                <w:sz w:val="18"/>
              </w:rPr>
              <w:t>-Multi-slice</w:t>
            </w:r>
            <w:r>
              <w:rPr>
                <w:spacing w:val="-3"/>
                <w:sz w:val="18"/>
              </w:rPr>
              <w:t xml:space="preserve"> </w:t>
            </w:r>
            <w:r>
              <w:rPr>
                <w:sz w:val="18"/>
              </w:rPr>
              <w:t>computer</w:t>
            </w:r>
            <w:r>
              <w:rPr>
                <w:spacing w:val="-2"/>
                <w:sz w:val="18"/>
              </w:rPr>
              <w:t xml:space="preserve"> </w:t>
            </w:r>
            <w:r>
              <w:rPr>
                <w:sz w:val="18"/>
              </w:rPr>
              <w:t>tomography</w:t>
            </w:r>
            <w:r>
              <w:rPr>
                <w:spacing w:val="-6"/>
                <w:sz w:val="18"/>
              </w:rPr>
              <w:t xml:space="preserve"> </w:t>
            </w:r>
            <w:r>
              <w:rPr>
                <w:sz w:val="18"/>
              </w:rPr>
              <w:t>(MSCT);</w:t>
            </w:r>
          </w:p>
          <w:p w:rsidR="00A56FE9" w:rsidRDefault="00000000">
            <w:pPr>
              <w:pStyle w:val="TableParagraph"/>
              <w:spacing w:line="206" w:lineRule="exact"/>
              <w:ind w:left="104"/>
              <w:rPr>
                <w:sz w:val="18"/>
              </w:rPr>
            </w:pPr>
            <w:r>
              <w:rPr>
                <w:sz w:val="18"/>
              </w:rPr>
              <w:t>-Ultrasound;</w:t>
            </w:r>
          </w:p>
          <w:p w:rsidR="00A56FE9" w:rsidRDefault="00000000">
            <w:pPr>
              <w:pStyle w:val="TableParagraph"/>
              <w:spacing w:line="207" w:lineRule="exact"/>
              <w:ind w:left="104"/>
              <w:rPr>
                <w:sz w:val="18"/>
              </w:rPr>
            </w:pPr>
            <w:r>
              <w:rPr>
                <w:sz w:val="18"/>
              </w:rPr>
              <w:t>-Ultrasound</w:t>
            </w:r>
            <w:r>
              <w:rPr>
                <w:spacing w:val="-1"/>
                <w:sz w:val="18"/>
              </w:rPr>
              <w:t xml:space="preserve"> </w:t>
            </w:r>
            <w:r>
              <w:rPr>
                <w:sz w:val="18"/>
              </w:rPr>
              <w:t>with 3D/4D</w:t>
            </w:r>
            <w:r>
              <w:rPr>
                <w:spacing w:val="-2"/>
                <w:sz w:val="18"/>
              </w:rPr>
              <w:t xml:space="preserve"> </w:t>
            </w:r>
            <w:r>
              <w:rPr>
                <w:sz w:val="18"/>
              </w:rPr>
              <w:t>convex,</w:t>
            </w:r>
            <w:r>
              <w:rPr>
                <w:spacing w:val="-1"/>
                <w:sz w:val="18"/>
              </w:rPr>
              <w:t xml:space="preserve"> </w:t>
            </w:r>
            <w:r>
              <w:rPr>
                <w:sz w:val="18"/>
              </w:rPr>
              <w:t>3D/4D</w:t>
            </w:r>
            <w:r>
              <w:rPr>
                <w:spacing w:val="-1"/>
                <w:sz w:val="18"/>
              </w:rPr>
              <w:t xml:space="preserve"> </w:t>
            </w:r>
            <w:r>
              <w:rPr>
                <w:sz w:val="18"/>
              </w:rPr>
              <w:t>vaginal, 2</w:t>
            </w:r>
            <w:r>
              <w:rPr>
                <w:spacing w:val="-3"/>
                <w:sz w:val="18"/>
              </w:rPr>
              <w:t xml:space="preserve"> </w:t>
            </w:r>
            <w:r>
              <w:rPr>
                <w:sz w:val="18"/>
              </w:rPr>
              <w:t>D</w:t>
            </w:r>
            <w:r>
              <w:rPr>
                <w:spacing w:val="2"/>
                <w:sz w:val="18"/>
              </w:rPr>
              <w:t xml:space="preserve"> </w:t>
            </w:r>
            <w:r>
              <w:rPr>
                <w:sz w:val="18"/>
              </w:rPr>
              <w:t>vaginal</w:t>
            </w:r>
            <w:r>
              <w:rPr>
                <w:spacing w:val="-2"/>
                <w:sz w:val="18"/>
              </w:rPr>
              <w:t xml:space="preserve"> </w:t>
            </w:r>
            <w:r>
              <w:rPr>
                <w:sz w:val="18"/>
              </w:rPr>
              <w:t>and</w:t>
            </w:r>
            <w:r>
              <w:rPr>
                <w:spacing w:val="-2"/>
                <w:sz w:val="18"/>
              </w:rPr>
              <w:t xml:space="preserve"> </w:t>
            </w:r>
            <w:r>
              <w:rPr>
                <w:sz w:val="18"/>
              </w:rPr>
              <w:t>2D</w:t>
            </w:r>
            <w:r>
              <w:rPr>
                <w:spacing w:val="-1"/>
                <w:sz w:val="18"/>
              </w:rPr>
              <w:t xml:space="preserve"> </w:t>
            </w:r>
            <w:r>
              <w:rPr>
                <w:sz w:val="18"/>
              </w:rPr>
              <w:t>convex</w:t>
            </w:r>
            <w:r>
              <w:rPr>
                <w:spacing w:val="-2"/>
                <w:sz w:val="18"/>
              </w:rPr>
              <w:t xml:space="preserve"> </w:t>
            </w:r>
            <w:r>
              <w:rPr>
                <w:sz w:val="18"/>
              </w:rPr>
              <w:t>probe</w:t>
            </w:r>
            <w:r>
              <w:rPr>
                <w:spacing w:val="-3"/>
                <w:sz w:val="18"/>
              </w:rPr>
              <w:t xml:space="preserve"> </w:t>
            </w:r>
            <w:r>
              <w:rPr>
                <w:sz w:val="18"/>
              </w:rPr>
              <w:t>and</w:t>
            </w:r>
            <w:r>
              <w:rPr>
                <w:spacing w:val="-2"/>
                <w:sz w:val="18"/>
              </w:rPr>
              <w:t xml:space="preserve"> </w:t>
            </w:r>
            <w:r>
              <w:rPr>
                <w:sz w:val="18"/>
              </w:rPr>
              <w:t>printer;</w:t>
            </w:r>
          </w:p>
          <w:p w:rsidR="00A56FE9" w:rsidRDefault="00000000">
            <w:pPr>
              <w:pStyle w:val="TableParagraph"/>
              <w:spacing w:before="2" w:line="191" w:lineRule="exact"/>
              <w:ind w:left="104"/>
              <w:rPr>
                <w:sz w:val="18"/>
              </w:rPr>
            </w:pPr>
            <w:r>
              <w:rPr>
                <w:sz w:val="18"/>
              </w:rPr>
              <w:t>-Ultrasound</w:t>
            </w:r>
            <w:r>
              <w:rPr>
                <w:spacing w:val="-1"/>
                <w:sz w:val="18"/>
              </w:rPr>
              <w:t xml:space="preserve"> </w:t>
            </w:r>
            <w:r>
              <w:rPr>
                <w:sz w:val="18"/>
              </w:rPr>
              <w:t>High</w:t>
            </w:r>
            <w:r>
              <w:rPr>
                <w:spacing w:val="-1"/>
                <w:sz w:val="18"/>
              </w:rPr>
              <w:t xml:space="preserve"> </w:t>
            </w:r>
            <w:r>
              <w:rPr>
                <w:sz w:val="18"/>
              </w:rPr>
              <w:t>Class</w:t>
            </w:r>
            <w:r>
              <w:rPr>
                <w:spacing w:val="-1"/>
                <w:sz w:val="18"/>
              </w:rPr>
              <w:t xml:space="preserve"> </w:t>
            </w:r>
            <w:r>
              <w:rPr>
                <w:sz w:val="18"/>
              </w:rPr>
              <w:t>Color</w:t>
            </w:r>
            <w:r>
              <w:rPr>
                <w:spacing w:val="-2"/>
                <w:sz w:val="18"/>
              </w:rPr>
              <w:t xml:space="preserve"> </w:t>
            </w:r>
            <w:r>
              <w:rPr>
                <w:sz w:val="18"/>
              </w:rPr>
              <w:t>Doppler.</w:t>
            </w:r>
          </w:p>
        </w:tc>
      </w:tr>
      <w:tr w:rsidR="00A56FE9">
        <w:trPr>
          <w:trHeight w:val="1449"/>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ind w:left="105" w:right="275"/>
              <w:rPr>
                <w:sz w:val="18"/>
              </w:rPr>
            </w:pPr>
            <w:r>
              <w:rPr>
                <w:sz w:val="18"/>
              </w:rPr>
              <w:t>Improvement</w:t>
            </w:r>
            <w:r>
              <w:rPr>
                <w:spacing w:val="-4"/>
                <w:sz w:val="18"/>
              </w:rPr>
              <w:t xml:space="preserve"> </w:t>
            </w:r>
            <w:r>
              <w:rPr>
                <w:sz w:val="18"/>
              </w:rPr>
              <w:t>and</w:t>
            </w:r>
            <w:r>
              <w:rPr>
                <w:spacing w:val="-3"/>
                <w:sz w:val="18"/>
              </w:rPr>
              <w:t xml:space="preserve"> </w:t>
            </w:r>
            <w:r>
              <w:rPr>
                <w:sz w:val="18"/>
              </w:rPr>
              <w:t>extension</w:t>
            </w:r>
            <w:r>
              <w:rPr>
                <w:spacing w:val="-3"/>
                <w:sz w:val="18"/>
              </w:rPr>
              <w:t xml:space="preserve"> </w:t>
            </w:r>
            <w:r>
              <w:rPr>
                <w:sz w:val="18"/>
              </w:rPr>
              <w:t>of</w:t>
            </w:r>
            <w:r>
              <w:rPr>
                <w:spacing w:val="-5"/>
                <w:sz w:val="18"/>
              </w:rPr>
              <w:t xml:space="preserve"> </w:t>
            </w:r>
            <w:r>
              <w:rPr>
                <w:sz w:val="18"/>
              </w:rPr>
              <w:t>telemedical</w:t>
            </w:r>
            <w:r>
              <w:rPr>
                <w:spacing w:val="-42"/>
                <w:sz w:val="18"/>
              </w:rPr>
              <w:t xml:space="preserve"> </w:t>
            </w:r>
            <w:r>
              <w:rPr>
                <w:sz w:val="18"/>
              </w:rPr>
              <w:t>services</w:t>
            </w:r>
          </w:p>
        </w:tc>
        <w:tc>
          <w:tcPr>
            <w:tcW w:w="8928" w:type="dxa"/>
            <w:shd w:val="clear" w:color="auto" w:fill="C5EECE"/>
          </w:tcPr>
          <w:p w:rsidR="00A56FE9" w:rsidRDefault="00000000">
            <w:pPr>
              <w:pStyle w:val="TableParagraph"/>
              <w:ind w:left="104" w:right="92"/>
              <w:rPr>
                <w:sz w:val="18"/>
              </w:rPr>
            </w:pPr>
            <w:r>
              <w:rPr>
                <w:sz w:val="18"/>
              </w:rPr>
              <w:t>The reform shall introduce provisions for the establishment of a functional national telemedical framework for the</w:t>
            </w:r>
            <w:r>
              <w:rPr>
                <w:spacing w:val="1"/>
                <w:sz w:val="18"/>
              </w:rPr>
              <w:t xml:space="preserve"> </w:t>
            </w:r>
            <w:r>
              <w:rPr>
                <w:sz w:val="18"/>
              </w:rPr>
              <w:t>transmission of patient vital parameters from Emergency Health Service (HMS) to Joint Emergency Hospital Service</w:t>
            </w:r>
            <w:r>
              <w:rPr>
                <w:spacing w:val="1"/>
                <w:sz w:val="18"/>
              </w:rPr>
              <w:t xml:space="preserve"> </w:t>
            </w:r>
            <w:r>
              <w:rPr>
                <w:sz w:val="18"/>
              </w:rPr>
              <w:t>(OHBP)</w:t>
            </w:r>
            <w:r>
              <w:rPr>
                <w:spacing w:val="-2"/>
                <w:sz w:val="18"/>
              </w:rPr>
              <w:t xml:space="preserve"> </w:t>
            </w:r>
            <w:r>
              <w:rPr>
                <w:sz w:val="18"/>
              </w:rPr>
              <w:t>and</w:t>
            </w:r>
            <w:r>
              <w:rPr>
                <w:spacing w:val="-1"/>
                <w:sz w:val="18"/>
              </w:rPr>
              <w:t xml:space="preserve"> </w:t>
            </w:r>
            <w:r>
              <w:rPr>
                <w:sz w:val="18"/>
              </w:rPr>
              <w:t>remote</w:t>
            </w:r>
            <w:r>
              <w:rPr>
                <w:spacing w:val="-1"/>
                <w:sz w:val="18"/>
              </w:rPr>
              <w:t xml:space="preserve"> </w:t>
            </w:r>
            <w:r>
              <w:rPr>
                <w:sz w:val="18"/>
              </w:rPr>
              <w:t>monitoring</w:t>
            </w:r>
            <w:r>
              <w:rPr>
                <w:spacing w:val="-6"/>
                <w:sz w:val="18"/>
              </w:rPr>
              <w:t xml:space="preserve"> </w:t>
            </w:r>
            <w:r>
              <w:rPr>
                <w:sz w:val="18"/>
              </w:rPr>
              <w:t>of</w:t>
            </w:r>
            <w:r>
              <w:rPr>
                <w:spacing w:val="-4"/>
                <w:sz w:val="18"/>
              </w:rPr>
              <w:t xml:space="preserve"> </w:t>
            </w:r>
            <w:r>
              <w:rPr>
                <w:sz w:val="18"/>
              </w:rPr>
              <w:t>outpatient</w:t>
            </w:r>
            <w:r>
              <w:rPr>
                <w:spacing w:val="-3"/>
                <w:sz w:val="18"/>
              </w:rPr>
              <w:t xml:space="preserve"> </w:t>
            </w:r>
            <w:r>
              <w:rPr>
                <w:sz w:val="18"/>
              </w:rPr>
              <w:t>Emergency</w:t>
            </w:r>
            <w:r>
              <w:rPr>
                <w:spacing w:val="-6"/>
                <w:sz w:val="18"/>
              </w:rPr>
              <w:t xml:space="preserve"> </w:t>
            </w:r>
            <w:r>
              <w:rPr>
                <w:sz w:val="18"/>
              </w:rPr>
              <w:t>Health Service</w:t>
            </w:r>
            <w:r>
              <w:rPr>
                <w:spacing w:val="-3"/>
                <w:sz w:val="18"/>
              </w:rPr>
              <w:t xml:space="preserve"> </w:t>
            </w:r>
            <w:r>
              <w:rPr>
                <w:sz w:val="18"/>
              </w:rPr>
              <w:t>(HMS).</w:t>
            </w:r>
            <w:r>
              <w:rPr>
                <w:spacing w:val="-2"/>
                <w:sz w:val="18"/>
              </w:rPr>
              <w:t xml:space="preserve"> </w:t>
            </w:r>
            <w:r>
              <w:rPr>
                <w:sz w:val="18"/>
              </w:rPr>
              <w:t>The</w:t>
            </w:r>
            <w:r>
              <w:rPr>
                <w:spacing w:val="-2"/>
                <w:sz w:val="18"/>
              </w:rPr>
              <w:t xml:space="preserve"> </w:t>
            </w:r>
            <w:r>
              <w:rPr>
                <w:sz w:val="18"/>
              </w:rPr>
              <w:t>project</w:t>
            </w:r>
            <w:r>
              <w:rPr>
                <w:spacing w:val="-2"/>
                <w:sz w:val="18"/>
              </w:rPr>
              <w:t xml:space="preserve"> </w:t>
            </w:r>
            <w:r>
              <w:rPr>
                <w:sz w:val="18"/>
              </w:rPr>
              <w:t>shall</w:t>
            </w:r>
            <w:r>
              <w:rPr>
                <w:spacing w:val="-3"/>
                <w:sz w:val="18"/>
              </w:rPr>
              <w:t xml:space="preserve"> </w:t>
            </w:r>
            <w:r>
              <w:rPr>
                <w:sz w:val="18"/>
              </w:rPr>
              <w:t>deliver:</w:t>
            </w:r>
            <w:r>
              <w:rPr>
                <w:spacing w:val="-2"/>
                <w:sz w:val="18"/>
              </w:rPr>
              <w:t xml:space="preserve"> </w:t>
            </w:r>
            <w:r>
              <w:rPr>
                <w:sz w:val="18"/>
              </w:rPr>
              <w:t>i).</w:t>
            </w:r>
            <w:r>
              <w:rPr>
                <w:spacing w:val="-1"/>
                <w:sz w:val="18"/>
              </w:rPr>
              <w:t xml:space="preserve"> </w:t>
            </w:r>
            <w:r>
              <w:rPr>
                <w:sz w:val="18"/>
              </w:rPr>
              <w:t>Situational</w:t>
            </w:r>
            <w:r>
              <w:rPr>
                <w:spacing w:val="-42"/>
                <w:sz w:val="18"/>
              </w:rPr>
              <w:t xml:space="preserve"> </w:t>
            </w:r>
            <w:r>
              <w:rPr>
                <w:sz w:val="18"/>
              </w:rPr>
              <w:t>analysis; ii) National framework for establishing remote Emergency Health Service (HMS) surveillance and iii) An</w:t>
            </w:r>
            <w:r>
              <w:rPr>
                <w:spacing w:val="1"/>
                <w:sz w:val="18"/>
              </w:rPr>
              <w:t xml:space="preserve"> </w:t>
            </w:r>
            <w:r>
              <w:rPr>
                <w:sz w:val="18"/>
              </w:rPr>
              <w:t>action plan</w:t>
            </w:r>
            <w:r>
              <w:rPr>
                <w:spacing w:val="1"/>
                <w:sz w:val="18"/>
              </w:rPr>
              <w:t xml:space="preserve"> </w:t>
            </w:r>
            <w:r>
              <w:rPr>
                <w:sz w:val="18"/>
              </w:rPr>
              <w:t>for</w:t>
            </w:r>
            <w:r>
              <w:rPr>
                <w:spacing w:val="-1"/>
                <w:sz w:val="18"/>
              </w:rPr>
              <w:t xml:space="preserve"> </w:t>
            </w:r>
            <w:r>
              <w:rPr>
                <w:sz w:val="18"/>
              </w:rPr>
              <w:t>the</w:t>
            </w:r>
            <w:r>
              <w:rPr>
                <w:spacing w:val="-1"/>
                <w:sz w:val="18"/>
              </w:rPr>
              <w:t xml:space="preserve"> </w:t>
            </w:r>
            <w:r>
              <w:rPr>
                <w:sz w:val="18"/>
              </w:rPr>
              <w:t>introduction</w:t>
            </w:r>
            <w:r>
              <w:rPr>
                <w:spacing w:val="-1"/>
                <w:sz w:val="18"/>
              </w:rPr>
              <w:t xml:space="preserve"> </w:t>
            </w:r>
            <w:r>
              <w:rPr>
                <w:sz w:val="18"/>
              </w:rPr>
              <w:t>of</w:t>
            </w:r>
            <w:r>
              <w:rPr>
                <w:spacing w:val="-3"/>
                <w:sz w:val="18"/>
              </w:rPr>
              <w:t xml:space="preserve"> </w:t>
            </w:r>
            <w:r>
              <w:rPr>
                <w:sz w:val="18"/>
              </w:rPr>
              <w:t>supervision</w:t>
            </w:r>
            <w:r>
              <w:rPr>
                <w:spacing w:val="-1"/>
                <w:sz w:val="18"/>
              </w:rPr>
              <w:t xml:space="preserve"> </w:t>
            </w:r>
            <w:r>
              <w:rPr>
                <w:sz w:val="18"/>
              </w:rPr>
              <w:t>and</w:t>
            </w:r>
            <w:r>
              <w:rPr>
                <w:spacing w:val="-2"/>
                <w:sz w:val="18"/>
              </w:rPr>
              <w:t xml:space="preserve"> </w:t>
            </w:r>
            <w:r>
              <w:rPr>
                <w:sz w:val="18"/>
              </w:rPr>
              <w:t>a</w:t>
            </w:r>
            <w:r>
              <w:rPr>
                <w:spacing w:val="-1"/>
                <w:sz w:val="18"/>
              </w:rPr>
              <w:t xml:space="preserve"> </w:t>
            </w:r>
            <w:r>
              <w:rPr>
                <w:sz w:val="18"/>
              </w:rPr>
              <w:t>framework</w:t>
            </w:r>
            <w:r>
              <w:rPr>
                <w:spacing w:val="1"/>
                <w:sz w:val="18"/>
              </w:rPr>
              <w:t xml:space="preserve"> </w:t>
            </w:r>
            <w:r>
              <w:rPr>
                <w:sz w:val="18"/>
              </w:rPr>
              <w:t>for</w:t>
            </w:r>
            <w:r>
              <w:rPr>
                <w:spacing w:val="-1"/>
                <w:sz w:val="18"/>
              </w:rPr>
              <w:t xml:space="preserve"> </w:t>
            </w:r>
            <w:r>
              <w:rPr>
                <w:sz w:val="18"/>
              </w:rPr>
              <w:t>monitoring</w:t>
            </w:r>
            <w:r>
              <w:rPr>
                <w:spacing w:val="-1"/>
                <w:sz w:val="18"/>
              </w:rPr>
              <w:t xml:space="preserve"> </w:t>
            </w:r>
            <w:r>
              <w:rPr>
                <w:sz w:val="18"/>
              </w:rPr>
              <w:t>implementation.</w:t>
            </w:r>
          </w:p>
          <w:p w:rsidR="00A56FE9" w:rsidRDefault="00000000">
            <w:pPr>
              <w:pStyle w:val="TableParagraph"/>
              <w:spacing w:line="210" w:lineRule="exact"/>
              <w:ind w:left="104" w:right="92"/>
              <w:rPr>
                <w:sz w:val="18"/>
              </w:rPr>
            </w:pPr>
            <w:r>
              <w:rPr>
                <w:sz w:val="18"/>
              </w:rPr>
              <w:t>Given</w:t>
            </w:r>
            <w:r>
              <w:rPr>
                <w:spacing w:val="-1"/>
                <w:sz w:val="18"/>
              </w:rPr>
              <w:t xml:space="preserve"> </w:t>
            </w:r>
            <w:r>
              <w:rPr>
                <w:sz w:val="18"/>
              </w:rPr>
              <w:t>the</w:t>
            </w:r>
            <w:r>
              <w:rPr>
                <w:spacing w:val="-3"/>
                <w:sz w:val="18"/>
              </w:rPr>
              <w:t xml:space="preserve"> </w:t>
            </w:r>
            <w:r>
              <w:rPr>
                <w:sz w:val="18"/>
              </w:rPr>
              <w:t>limited resources</w:t>
            </w:r>
            <w:r>
              <w:rPr>
                <w:spacing w:val="-2"/>
                <w:sz w:val="18"/>
              </w:rPr>
              <w:t xml:space="preserve"> </w:t>
            </w:r>
            <w:r>
              <w:rPr>
                <w:sz w:val="18"/>
              </w:rPr>
              <w:t>and</w:t>
            </w:r>
            <w:r>
              <w:rPr>
                <w:spacing w:val="-2"/>
                <w:sz w:val="18"/>
              </w:rPr>
              <w:t xml:space="preserve"> </w:t>
            </w:r>
            <w:r>
              <w:rPr>
                <w:sz w:val="18"/>
              </w:rPr>
              <w:t>duration</w:t>
            </w:r>
            <w:r>
              <w:rPr>
                <w:spacing w:val="-1"/>
                <w:sz w:val="18"/>
              </w:rPr>
              <w:t xml:space="preserve"> </w:t>
            </w:r>
            <w:r>
              <w:rPr>
                <w:sz w:val="18"/>
              </w:rPr>
              <w:t>of</w:t>
            </w:r>
            <w:r>
              <w:rPr>
                <w:spacing w:val="-3"/>
                <w:sz w:val="18"/>
              </w:rPr>
              <w:t xml:space="preserve"> </w:t>
            </w:r>
            <w:r>
              <w:rPr>
                <w:sz w:val="18"/>
              </w:rPr>
              <w:t>technical</w:t>
            </w:r>
            <w:r>
              <w:rPr>
                <w:spacing w:val="-2"/>
                <w:sz w:val="18"/>
              </w:rPr>
              <w:t xml:space="preserve"> </w:t>
            </w:r>
            <w:r>
              <w:rPr>
                <w:sz w:val="18"/>
              </w:rPr>
              <w:t>assistance,</w:t>
            </w:r>
            <w:r>
              <w:rPr>
                <w:spacing w:val="-2"/>
                <w:sz w:val="18"/>
              </w:rPr>
              <w:t xml:space="preserve"> </w:t>
            </w:r>
            <w:r>
              <w:rPr>
                <w:sz w:val="18"/>
              </w:rPr>
              <w:t>the</w:t>
            </w:r>
            <w:r>
              <w:rPr>
                <w:spacing w:val="-2"/>
                <w:sz w:val="18"/>
              </w:rPr>
              <w:t xml:space="preserve"> </w:t>
            </w:r>
            <w:r>
              <w:rPr>
                <w:sz w:val="18"/>
              </w:rPr>
              <w:t>teleradiology</w:t>
            </w:r>
            <w:r>
              <w:rPr>
                <w:spacing w:val="2"/>
                <w:sz w:val="18"/>
              </w:rPr>
              <w:t xml:space="preserve"> </w:t>
            </w:r>
            <w:r>
              <w:rPr>
                <w:sz w:val="18"/>
              </w:rPr>
              <w:t>component</w:t>
            </w:r>
            <w:r>
              <w:rPr>
                <w:spacing w:val="-1"/>
                <w:sz w:val="18"/>
              </w:rPr>
              <w:t xml:space="preserve"> </w:t>
            </w:r>
            <w:r>
              <w:rPr>
                <w:sz w:val="18"/>
              </w:rPr>
              <w:t>shall</w:t>
            </w:r>
            <w:r>
              <w:rPr>
                <w:spacing w:val="-4"/>
                <w:sz w:val="18"/>
              </w:rPr>
              <w:t xml:space="preserve"> </w:t>
            </w:r>
            <w:r>
              <w:rPr>
                <w:sz w:val="18"/>
              </w:rPr>
              <w:t>only</w:t>
            </w:r>
            <w:r>
              <w:rPr>
                <w:spacing w:val="-4"/>
                <w:sz w:val="18"/>
              </w:rPr>
              <w:t xml:space="preserve"> </w:t>
            </w:r>
            <w:r>
              <w:rPr>
                <w:sz w:val="18"/>
              </w:rPr>
              <w:t>be</w:t>
            </w:r>
            <w:r>
              <w:rPr>
                <w:spacing w:val="-3"/>
                <w:sz w:val="18"/>
              </w:rPr>
              <w:t xml:space="preserve"> </w:t>
            </w:r>
            <w:r>
              <w:rPr>
                <w:sz w:val="18"/>
              </w:rPr>
              <w:t>an</w:t>
            </w:r>
            <w:r>
              <w:rPr>
                <w:spacing w:val="-42"/>
                <w:sz w:val="18"/>
              </w:rPr>
              <w:t xml:space="preserve"> </w:t>
            </w:r>
            <w:r>
              <w:rPr>
                <w:sz w:val="18"/>
              </w:rPr>
              <w:t>introductory</w:t>
            </w:r>
            <w:r>
              <w:rPr>
                <w:spacing w:val="-5"/>
                <w:sz w:val="18"/>
              </w:rPr>
              <w:t xml:space="preserve"> </w:t>
            </w:r>
            <w:r>
              <w:rPr>
                <w:sz w:val="18"/>
              </w:rPr>
              <w:t>component at</w:t>
            </w:r>
            <w:r>
              <w:rPr>
                <w:spacing w:val="-2"/>
                <w:sz w:val="18"/>
              </w:rPr>
              <w:t xml:space="preserve"> </w:t>
            </w:r>
            <w:r>
              <w:rPr>
                <w:sz w:val="18"/>
              </w:rPr>
              <w:t>the</w:t>
            </w:r>
            <w:r>
              <w:rPr>
                <w:spacing w:val="-1"/>
                <w:sz w:val="18"/>
              </w:rPr>
              <w:t xml:space="preserve"> </w:t>
            </w:r>
            <w:r>
              <w:rPr>
                <w:sz w:val="18"/>
              </w:rPr>
              <w:t>level of</w:t>
            </w:r>
            <w:r>
              <w:rPr>
                <w:spacing w:val="-2"/>
                <w:sz w:val="18"/>
              </w:rPr>
              <w:t xml:space="preserve"> </w:t>
            </w:r>
            <w:r>
              <w:rPr>
                <w:sz w:val="18"/>
              </w:rPr>
              <w:t>best practice</w:t>
            </w:r>
            <w:r>
              <w:rPr>
                <w:spacing w:val="-1"/>
                <w:sz w:val="18"/>
              </w:rPr>
              <w:t xml:space="preserve"> </w:t>
            </w:r>
            <w:r>
              <w:rPr>
                <w:sz w:val="18"/>
              </w:rPr>
              <w:t>mapping.</w:t>
            </w:r>
          </w:p>
        </w:tc>
      </w:tr>
      <w:tr w:rsidR="00A56FE9">
        <w:trPr>
          <w:trHeight w:val="1028"/>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spacing w:line="197" w:lineRule="exact"/>
              <w:ind w:left="105"/>
              <w:rPr>
                <w:sz w:val="18"/>
              </w:rPr>
            </w:pPr>
            <w:r>
              <w:rPr>
                <w:sz w:val="18"/>
              </w:rPr>
              <w:t>Telecardiological</w:t>
            </w:r>
            <w:r>
              <w:rPr>
                <w:spacing w:val="-5"/>
                <w:sz w:val="18"/>
              </w:rPr>
              <w:t xml:space="preserve"> </w:t>
            </w:r>
            <w:r>
              <w:rPr>
                <w:sz w:val="18"/>
              </w:rPr>
              <w:t>services</w:t>
            </w:r>
          </w:p>
        </w:tc>
        <w:tc>
          <w:tcPr>
            <w:tcW w:w="8928" w:type="dxa"/>
            <w:shd w:val="clear" w:color="auto" w:fill="C5EECE"/>
          </w:tcPr>
          <w:p w:rsidR="00A56FE9" w:rsidRDefault="00000000">
            <w:pPr>
              <w:pStyle w:val="TableParagraph"/>
              <w:ind w:left="104" w:right="92"/>
              <w:rPr>
                <w:sz w:val="18"/>
              </w:rPr>
            </w:pPr>
            <w:r>
              <w:rPr>
                <w:sz w:val="18"/>
              </w:rPr>
              <w:t>The objective of the TeleCordis project is to install the medical and computer equipment necessary for the performance</w:t>
            </w:r>
            <w:r>
              <w:rPr>
                <w:spacing w:val="1"/>
                <w:sz w:val="18"/>
              </w:rPr>
              <w:t xml:space="preserve"> </w:t>
            </w:r>
            <w:r>
              <w:rPr>
                <w:sz w:val="18"/>
              </w:rPr>
              <w:t>of</w:t>
            </w:r>
            <w:r>
              <w:rPr>
                <w:spacing w:val="-4"/>
                <w:sz w:val="18"/>
              </w:rPr>
              <w:t xml:space="preserve"> </w:t>
            </w:r>
            <w:r>
              <w:rPr>
                <w:sz w:val="18"/>
              </w:rPr>
              <w:t>electrocardiogram</w:t>
            </w:r>
            <w:r>
              <w:rPr>
                <w:spacing w:val="-4"/>
                <w:sz w:val="18"/>
              </w:rPr>
              <w:t xml:space="preserve"> </w:t>
            </w:r>
            <w:r>
              <w:rPr>
                <w:sz w:val="18"/>
              </w:rPr>
              <w:t>(ECG)</w:t>
            </w:r>
            <w:r>
              <w:rPr>
                <w:spacing w:val="-2"/>
                <w:sz w:val="18"/>
              </w:rPr>
              <w:t xml:space="preserve"> </w:t>
            </w:r>
            <w:r>
              <w:rPr>
                <w:sz w:val="18"/>
              </w:rPr>
              <w:t>holter,</w:t>
            </w:r>
            <w:r>
              <w:rPr>
                <w:spacing w:val="-1"/>
                <w:sz w:val="18"/>
              </w:rPr>
              <w:t xml:space="preserve"> </w:t>
            </w:r>
            <w:r>
              <w:rPr>
                <w:sz w:val="18"/>
              </w:rPr>
              <w:t>pressure</w:t>
            </w:r>
            <w:r>
              <w:rPr>
                <w:spacing w:val="-2"/>
                <w:sz w:val="18"/>
              </w:rPr>
              <w:t xml:space="preserve"> </w:t>
            </w:r>
            <w:r>
              <w:rPr>
                <w:sz w:val="18"/>
              </w:rPr>
              <w:t>holter</w:t>
            </w:r>
            <w:r>
              <w:rPr>
                <w:spacing w:val="-2"/>
                <w:sz w:val="18"/>
              </w:rPr>
              <w:t xml:space="preserve"> </w:t>
            </w:r>
            <w:r>
              <w:rPr>
                <w:sz w:val="18"/>
              </w:rPr>
              <w:t>and</w:t>
            </w:r>
            <w:r>
              <w:rPr>
                <w:spacing w:val="-2"/>
                <w:sz w:val="18"/>
              </w:rPr>
              <w:t xml:space="preserve"> </w:t>
            </w:r>
            <w:r>
              <w:rPr>
                <w:sz w:val="18"/>
              </w:rPr>
              <w:t>12</w:t>
            </w:r>
            <w:r>
              <w:rPr>
                <w:spacing w:val="-1"/>
                <w:sz w:val="18"/>
              </w:rPr>
              <w:t xml:space="preserve"> </w:t>
            </w:r>
            <w:r>
              <w:rPr>
                <w:sz w:val="18"/>
              </w:rPr>
              <w:t>channel</w:t>
            </w:r>
            <w:r>
              <w:rPr>
                <w:spacing w:val="-3"/>
                <w:sz w:val="18"/>
              </w:rPr>
              <w:t xml:space="preserve"> </w:t>
            </w:r>
            <w:r>
              <w:rPr>
                <w:sz w:val="18"/>
              </w:rPr>
              <w:t>electrocardiogram</w:t>
            </w:r>
            <w:r>
              <w:rPr>
                <w:spacing w:val="-4"/>
                <w:sz w:val="18"/>
              </w:rPr>
              <w:t xml:space="preserve"> </w:t>
            </w:r>
            <w:r>
              <w:rPr>
                <w:sz w:val="18"/>
              </w:rPr>
              <w:t>(ECG)</w:t>
            </w:r>
            <w:r>
              <w:rPr>
                <w:spacing w:val="-2"/>
                <w:sz w:val="18"/>
              </w:rPr>
              <w:t xml:space="preserve"> </w:t>
            </w:r>
            <w:r>
              <w:rPr>
                <w:sz w:val="18"/>
              </w:rPr>
              <w:t>services</w:t>
            </w:r>
            <w:r>
              <w:rPr>
                <w:spacing w:val="-1"/>
                <w:sz w:val="18"/>
              </w:rPr>
              <w:t xml:space="preserve"> </w:t>
            </w:r>
            <w:r>
              <w:rPr>
                <w:sz w:val="18"/>
              </w:rPr>
              <w:t>in remote</w:t>
            </w:r>
            <w:r>
              <w:rPr>
                <w:spacing w:val="-1"/>
                <w:sz w:val="18"/>
              </w:rPr>
              <w:t xml:space="preserve"> </w:t>
            </w:r>
            <w:r>
              <w:rPr>
                <w:sz w:val="18"/>
              </w:rPr>
              <w:t>and</w:t>
            </w:r>
            <w:r>
              <w:rPr>
                <w:spacing w:val="-1"/>
                <w:sz w:val="18"/>
              </w:rPr>
              <w:t xml:space="preserve"> </w:t>
            </w:r>
            <w:r>
              <w:rPr>
                <w:sz w:val="18"/>
              </w:rPr>
              <w:t>rural</w:t>
            </w:r>
            <w:r>
              <w:rPr>
                <w:spacing w:val="-42"/>
                <w:sz w:val="18"/>
              </w:rPr>
              <w:t xml:space="preserve"> </w:t>
            </w:r>
            <w:r>
              <w:rPr>
                <w:sz w:val="18"/>
              </w:rPr>
              <w:t>areas which are insufficiently covered by those services, such as not having a cardiology specialist at their disposal. The</w:t>
            </w:r>
            <w:r>
              <w:rPr>
                <w:spacing w:val="1"/>
                <w:sz w:val="18"/>
              </w:rPr>
              <w:t xml:space="preserve"> </w:t>
            </w:r>
            <w:r>
              <w:rPr>
                <w:sz w:val="18"/>
              </w:rPr>
              <w:t>equipment</w:t>
            </w:r>
            <w:r>
              <w:rPr>
                <w:spacing w:val="-2"/>
                <w:sz w:val="18"/>
              </w:rPr>
              <w:t xml:space="preserve"> </w:t>
            </w:r>
            <w:r>
              <w:rPr>
                <w:sz w:val="18"/>
              </w:rPr>
              <w:t>shall</w:t>
            </w:r>
            <w:r>
              <w:rPr>
                <w:spacing w:val="-4"/>
                <w:sz w:val="18"/>
              </w:rPr>
              <w:t xml:space="preserve"> </w:t>
            </w:r>
            <w:r>
              <w:rPr>
                <w:sz w:val="18"/>
              </w:rPr>
              <w:t>be</w:t>
            </w:r>
            <w:r>
              <w:rPr>
                <w:spacing w:val="-3"/>
                <w:sz w:val="18"/>
              </w:rPr>
              <w:t xml:space="preserve"> </w:t>
            </w:r>
            <w:r>
              <w:rPr>
                <w:sz w:val="18"/>
              </w:rPr>
              <w:t>purchased (package</w:t>
            </w:r>
            <w:r>
              <w:rPr>
                <w:spacing w:val="-3"/>
                <w:sz w:val="18"/>
              </w:rPr>
              <w:t xml:space="preserve"> </w:t>
            </w:r>
            <w:r>
              <w:rPr>
                <w:sz w:val="18"/>
              </w:rPr>
              <w:t>per</w:t>
            </w:r>
            <w:r>
              <w:rPr>
                <w:spacing w:val="-2"/>
                <w:sz w:val="18"/>
              </w:rPr>
              <w:t xml:space="preserve"> </w:t>
            </w:r>
            <w:r>
              <w:rPr>
                <w:sz w:val="18"/>
              </w:rPr>
              <w:t>centre)</w:t>
            </w:r>
            <w:r>
              <w:rPr>
                <w:spacing w:val="-2"/>
                <w:sz w:val="18"/>
              </w:rPr>
              <w:t xml:space="preserve"> </w:t>
            </w:r>
            <w:r>
              <w:rPr>
                <w:sz w:val="18"/>
              </w:rPr>
              <w:t>and placed</w:t>
            </w:r>
            <w:r>
              <w:rPr>
                <w:spacing w:val="-1"/>
                <w:sz w:val="18"/>
              </w:rPr>
              <w:t xml:space="preserve"> </w:t>
            </w:r>
            <w:r>
              <w:rPr>
                <w:sz w:val="18"/>
              </w:rPr>
              <w:t>in</w:t>
            </w:r>
            <w:r>
              <w:rPr>
                <w:spacing w:val="-1"/>
                <w:sz w:val="18"/>
              </w:rPr>
              <w:t xml:space="preserve"> </w:t>
            </w:r>
            <w:r>
              <w:rPr>
                <w:sz w:val="18"/>
              </w:rPr>
              <w:t>at</w:t>
            </w:r>
            <w:r>
              <w:rPr>
                <w:spacing w:val="-4"/>
                <w:sz w:val="18"/>
              </w:rPr>
              <w:t xml:space="preserve"> </w:t>
            </w:r>
            <w:r>
              <w:rPr>
                <w:sz w:val="18"/>
              </w:rPr>
              <w:t>least</w:t>
            </w:r>
            <w:r>
              <w:rPr>
                <w:spacing w:val="-2"/>
                <w:sz w:val="18"/>
              </w:rPr>
              <w:t xml:space="preserve"> </w:t>
            </w:r>
            <w:r>
              <w:rPr>
                <w:sz w:val="18"/>
              </w:rPr>
              <w:t>40 telemedical</w:t>
            </w:r>
            <w:r>
              <w:rPr>
                <w:spacing w:val="-2"/>
                <w:sz w:val="18"/>
              </w:rPr>
              <w:t xml:space="preserve"> </w:t>
            </w:r>
            <w:r>
              <w:rPr>
                <w:sz w:val="18"/>
              </w:rPr>
              <w:t>access</w:t>
            </w:r>
            <w:r>
              <w:rPr>
                <w:spacing w:val="-2"/>
                <w:sz w:val="18"/>
              </w:rPr>
              <w:t xml:space="preserve"> </w:t>
            </w:r>
            <w:r>
              <w:rPr>
                <w:sz w:val="18"/>
              </w:rPr>
              <w:t>centres.</w:t>
            </w:r>
            <w:r>
              <w:rPr>
                <w:spacing w:val="-2"/>
                <w:sz w:val="18"/>
              </w:rPr>
              <w:t xml:space="preserve"> </w:t>
            </w:r>
            <w:r>
              <w:rPr>
                <w:sz w:val="18"/>
              </w:rPr>
              <w:t>The</w:t>
            </w:r>
            <w:r>
              <w:rPr>
                <w:spacing w:val="-2"/>
                <w:sz w:val="18"/>
              </w:rPr>
              <w:t xml:space="preserve"> </w:t>
            </w:r>
            <w:r>
              <w:rPr>
                <w:sz w:val="18"/>
              </w:rPr>
              <w:t>programme</w:t>
            </w:r>
          </w:p>
          <w:p w:rsidR="00A56FE9" w:rsidRDefault="00000000">
            <w:pPr>
              <w:pStyle w:val="TableParagraph"/>
              <w:spacing w:line="191" w:lineRule="exact"/>
              <w:ind w:left="104"/>
              <w:rPr>
                <w:sz w:val="18"/>
              </w:rPr>
            </w:pPr>
            <w:r>
              <w:rPr>
                <w:sz w:val="18"/>
              </w:rPr>
              <w:t>shall</w:t>
            </w:r>
            <w:r>
              <w:rPr>
                <w:spacing w:val="-3"/>
                <w:sz w:val="18"/>
              </w:rPr>
              <w:t xml:space="preserve"> </w:t>
            </w:r>
            <w:r>
              <w:rPr>
                <w:sz w:val="18"/>
              </w:rPr>
              <w:t>connect</w:t>
            </w:r>
            <w:r>
              <w:rPr>
                <w:spacing w:val="-2"/>
                <w:sz w:val="18"/>
              </w:rPr>
              <w:t xml:space="preserve"> </w:t>
            </w:r>
            <w:r>
              <w:rPr>
                <w:sz w:val="18"/>
              </w:rPr>
              <w:t>with</w:t>
            </w:r>
            <w:r>
              <w:rPr>
                <w:spacing w:val="-2"/>
                <w:sz w:val="18"/>
              </w:rPr>
              <w:t xml:space="preserve"> </w:t>
            </w:r>
            <w:r>
              <w:rPr>
                <w:sz w:val="18"/>
              </w:rPr>
              <w:t>telemedical</w:t>
            </w:r>
            <w:r>
              <w:rPr>
                <w:spacing w:val="-2"/>
                <w:sz w:val="18"/>
              </w:rPr>
              <w:t xml:space="preserve"> </w:t>
            </w:r>
            <w:r>
              <w:rPr>
                <w:sz w:val="18"/>
              </w:rPr>
              <w:t>specialist</w:t>
            </w:r>
            <w:r>
              <w:rPr>
                <w:spacing w:val="-2"/>
                <w:sz w:val="18"/>
              </w:rPr>
              <w:t xml:space="preserve"> </w:t>
            </w:r>
            <w:r>
              <w:rPr>
                <w:sz w:val="18"/>
              </w:rPr>
              <w:t>centres</w:t>
            </w:r>
            <w:r>
              <w:rPr>
                <w:spacing w:val="-3"/>
                <w:sz w:val="18"/>
              </w:rPr>
              <w:t xml:space="preserve"> </w:t>
            </w:r>
            <w:r>
              <w:rPr>
                <w:sz w:val="18"/>
              </w:rPr>
              <w:t>and</w:t>
            </w:r>
            <w:r>
              <w:rPr>
                <w:spacing w:val="-2"/>
                <w:sz w:val="18"/>
              </w:rPr>
              <w:t xml:space="preserve"> </w:t>
            </w:r>
            <w:r>
              <w:rPr>
                <w:sz w:val="18"/>
              </w:rPr>
              <w:t>provides</w:t>
            </w:r>
            <w:r>
              <w:rPr>
                <w:spacing w:val="-2"/>
                <w:sz w:val="18"/>
              </w:rPr>
              <w:t xml:space="preserve"> </w:t>
            </w:r>
            <w:r>
              <w:rPr>
                <w:sz w:val="18"/>
              </w:rPr>
              <w:t>a</w:t>
            </w:r>
            <w:r>
              <w:rPr>
                <w:spacing w:val="-3"/>
                <w:sz w:val="18"/>
              </w:rPr>
              <w:t xml:space="preserve"> </w:t>
            </w:r>
            <w:r>
              <w:rPr>
                <w:sz w:val="18"/>
              </w:rPr>
              <w:t>telecardiology</w:t>
            </w:r>
            <w:r>
              <w:rPr>
                <w:spacing w:val="-7"/>
                <w:sz w:val="18"/>
              </w:rPr>
              <w:t xml:space="preserve"> </w:t>
            </w:r>
            <w:r>
              <w:rPr>
                <w:sz w:val="18"/>
              </w:rPr>
              <w:t>service.</w:t>
            </w:r>
          </w:p>
        </w:tc>
      </w:tr>
      <w:tr w:rsidR="00A56FE9">
        <w:trPr>
          <w:trHeight w:val="1242"/>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spacing w:line="202" w:lineRule="exact"/>
              <w:ind w:left="105"/>
              <w:rPr>
                <w:sz w:val="18"/>
              </w:rPr>
            </w:pPr>
            <w:r>
              <w:rPr>
                <w:sz w:val="18"/>
              </w:rPr>
              <w:t>Teletransfusion</w:t>
            </w:r>
            <w:r>
              <w:rPr>
                <w:spacing w:val="-4"/>
                <w:sz w:val="18"/>
              </w:rPr>
              <w:t xml:space="preserve"> </w:t>
            </w:r>
            <w:r>
              <w:rPr>
                <w:sz w:val="18"/>
              </w:rPr>
              <w:t>services</w:t>
            </w:r>
          </w:p>
        </w:tc>
        <w:tc>
          <w:tcPr>
            <w:tcW w:w="8928" w:type="dxa"/>
            <w:shd w:val="clear" w:color="auto" w:fill="C5EECE"/>
          </w:tcPr>
          <w:p w:rsidR="00A56FE9" w:rsidRDefault="00000000">
            <w:pPr>
              <w:pStyle w:val="TableParagraph"/>
              <w:ind w:left="104" w:right="92"/>
              <w:rPr>
                <w:sz w:val="18"/>
              </w:rPr>
            </w:pPr>
            <w:r>
              <w:rPr>
                <w:sz w:val="18"/>
              </w:rPr>
              <w:t>The Teletransfusion project shall support the existing digital treatment process infrastructure where it uses the patient</w:t>
            </w:r>
            <w:r>
              <w:rPr>
                <w:spacing w:val="1"/>
                <w:sz w:val="18"/>
              </w:rPr>
              <w:t xml:space="preserve"> </w:t>
            </w:r>
            <w:r>
              <w:rPr>
                <w:sz w:val="18"/>
              </w:rPr>
              <w:t>data</w:t>
            </w:r>
            <w:r>
              <w:rPr>
                <w:spacing w:val="-2"/>
                <w:sz w:val="18"/>
              </w:rPr>
              <w:t xml:space="preserve"> </w:t>
            </w:r>
            <w:r>
              <w:rPr>
                <w:sz w:val="18"/>
              </w:rPr>
              <w:t>obtained</w:t>
            </w:r>
            <w:r>
              <w:rPr>
                <w:spacing w:val="-1"/>
                <w:sz w:val="18"/>
              </w:rPr>
              <w:t xml:space="preserve"> </w:t>
            </w:r>
            <w:r>
              <w:rPr>
                <w:sz w:val="18"/>
              </w:rPr>
              <w:t>from</w:t>
            </w:r>
            <w:r>
              <w:rPr>
                <w:spacing w:val="-5"/>
                <w:sz w:val="18"/>
              </w:rPr>
              <w:t xml:space="preserve"> </w:t>
            </w:r>
            <w:r>
              <w:rPr>
                <w:sz w:val="18"/>
              </w:rPr>
              <w:t>the</w:t>
            </w:r>
            <w:r>
              <w:rPr>
                <w:spacing w:val="-3"/>
                <w:sz w:val="18"/>
              </w:rPr>
              <w:t xml:space="preserve"> </w:t>
            </w:r>
            <w:r>
              <w:rPr>
                <w:sz w:val="18"/>
              </w:rPr>
              <w:t>ePrescription</w:t>
            </w:r>
            <w:r>
              <w:rPr>
                <w:spacing w:val="-1"/>
                <w:sz w:val="18"/>
              </w:rPr>
              <w:t xml:space="preserve"> </w:t>
            </w:r>
            <w:r>
              <w:rPr>
                <w:sz w:val="18"/>
              </w:rPr>
              <w:t>and</w:t>
            </w:r>
            <w:r>
              <w:rPr>
                <w:spacing w:val="-1"/>
                <w:sz w:val="18"/>
              </w:rPr>
              <w:t xml:space="preserve"> </w:t>
            </w:r>
            <w:r>
              <w:rPr>
                <w:sz w:val="18"/>
              </w:rPr>
              <w:t>eDossier</w:t>
            </w:r>
            <w:r>
              <w:rPr>
                <w:spacing w:val="-2"/>
                <w:sz w:val="18"/>
              </w:rPr>
              <w:t xml:space="preserve"> </w:t>
            </w:r>
            <w:r>
              <w:rPr>
                <w:sz w:val="18"/>
              </w:rPr>
              <w:t>needed</w:t>
            </w:r>
            <w:r>
              <w:rPr>
                <w:spacing w:val="-1"/>
                <w:sz w:val="18"/>
              </w:rPr>
              <w:t xml:space="preserve"> </w:t>
            </w:r>
            <w:r>
              <w:rPr>
                <w:sz w:val="18"/>
              </w:rPr>
              <w:t>to</w:t>
            </w:r>
            <w:r>
              <w:rPr>
                <w:spacing w:val="-1"/>
                <w:sz w:val="18"/>
              </w:rPr>
              <w:t xml:space="preserve"> </w:t>
            </w:r>
            <w:r>
              <w:rPr>
                <w:sz w:val="18"/>
              </w:rPr>
              <w:t>start</w:t>
            </w:r>
            <w:r>
              <w:rPr>
                <w:spacing w:val="-1"/>
                <w:sz w:val="18"/>
              </w:rPr>
              <w:t xml:space="preserve"> </w:t>
            </w:r>
            <w:r>
              <w:rPr>
                <w:sz w:val="18"/>
              </w:rPr>
              <w:t>treatment</w:t>
            </w:r>
            <w:r>
              <w:rPr>
                <w:spacing w:val="-2"/>
                <w:sz w:val="18"/>
              </w:rPr>
              <w:t xml:space="preserve"> </w:t>
            </w:r>
            <w:r>
              <w:rPr>
                <w:sz w:val="18"/>
              </w:rPr>
              <w:t>in</w:t>
            </w:r>
            <w:r>
              <w:rPr>
                <w:spacing w:val="-1"/>
                <w:sz w:val="18"/>
              </w:rPr>
              <w:t xml:space="preserve"> </w:t>
            </w:r>
            <w:r>
              <w:rPr>
                <w:sz w:val="18"/>
              </w:rPr>
              <w:t>a</w:t>
            </w:r>
            <w:r>
              <w:rPr>
                <w:spacing w:val="-3"/>
                <w:sz w:val="18"/>
              </w:rPr>
              <w:t xml:space="preserve"> </w:t>
            </w:r>
            <w:r>
              <w:rPr>
                <w:sz w:val="18"/>
              </w:rPr>
              <w:t>secondary</w:t>
            </w:r>
            <w:r>
              <w:rPr>
                <w:spacing w:val="-6"/>
                <w:sz w:val="18"/>
              </w:rPr>
              <w:t xml:space="preserve"> </w:t>
            </w:r>
            <w:r>
              <w:rPr>
                <w:sz w:val="18"/>
              </w:rPr>
              <w:t>or</w:t>
            </w:r>
            <w:r>
              <w:rPr>
                <w:spacing w:val="-2"/>
                <w:sz w:val="18"/>
              </w:rPr>
              <w:t xml:space="preserve"> </w:t>
            </w:r>
            <w:r>
              <w:rPr>
                <w:sz w:val="18"/>
              </w:rPr>
              <w:t>tertiary</w:t>
            </w:r>
            <w:r>
              <w:rPr>
                <w:spacing w:val="-4"/>
                <w:sz w:val="18"/>
              </w:rPr>
              <w:t xml:space="preserve"> </w:t>
            </w:r>
            <w:r>
              <w:rPr>
                <w:sz w:val="18"/>
              </w:rPr>
              <w:t>healthcare</w:t>
            </w:r>
            <w:r>
              <w:rPr>
                <w:spacing w:val="-2"/>
                <w:sz w:val="18"/>
              </w:rPr>
              <w:t xml:space="preserve"> </w:t>
            </w:r>
            <w:r>
              <w:rPr>
                <w:sz w:val="18"/>
              </w:rPr>
              <w:t>facility.</w:t>
            </w:r>
            <w:r>
              <w:rPr>
                <w:spacing w:val="-42"/>
                <w:sz w:val="18"/>
              </w:rPr>
              <w:t xml:space="preserve"> </w:t>
            </w:r>
            <w:r>
              <w:rPr>
                <w:sz w:val="18"/>
              </w:rPr>
              <w:t>The project shall connect hospital transfusion centres in Croatia’s territory (at least 35 hospital transfusion centres) and</w:t>
            </w:r>
            <w:r>
              <w:rPr>
                <w:spacing w:val="1"/>
                <w:sz w:val="18"/>
              </w:rPr>
              <w:t xml:space="preserve"> </w:t>
            </w:r>
            <w:r>
              <w:rPr>
                <w:sz w:val="18"/>
              </w:rPr>
              <w:t>shall make the service available 24 hours a day seven days a week. The equipment shall be purchased (package per</w:t>
            </w:r>
            <w:r>
              <w:rPr>
                <w:spacing w:val="1"/>
                <w:sz w:val="18"/>
              </w:rPr>
              <w:t xml:space="preserve"> </w:t>
            </w:r>
            <w:r>
              <w:rPr>
                <w:sz w:val="18"/>
              </w:rPr>
              <w:t>centre)</w:t>
            </w:r>
            <w:r>
              <w:rPr>
                <w:spacing w:val="-2"/>
                <w:sz w:val="18"/>
              </w:rPr>
              <w:t xml:space="preserve"> </w:t>
            </w:r>
            <w:r>
              <w:rPr>
                <w:sz w:val="18"/>
              </w:rPr>
              <w:t>and</w:t>
            </w:r>
            <w:r>
              <w:rPr>
                <w:spacing w:val="-2"/>
                <w:sz w:val="18"/>
              </w:rPr>
              <w:t xml:space="preserve"> </w:t>
            </w:r>
            <w:r>
              <w:rPr>
                <w:sz w:val="18"/>
              </w:rPr>
              <w:t>placed</w:t>
            </w:r>
            <w:r>
              <w:rPr>
                <w:spacing w:val="-1"/>
                <w:sz w:val="18"/>
              </w:rPr>
              <w:t xml:space="preserve"> </w:t>
            </w:r>
            <w:r>
              <w:rPr>
                <w:sz w:val="18"/>
              </w:rPr>
              <w:t>in</w:t>
            </w:r>
            <w:r>
              <w:rPr>
                <w:spacing w:val="-2"/>
                <w:sz w:val="18"/>
              </w:rPr>
              <w:t xml:space="preserve"> </w:t>
            </w:r>
            <w:r>
              <w:rPr>
                <w:sz w:val="18"/>
              </w:rPr>
              <w:t>telemedical</w:t>
            </w:r>
            <w:r>
              <w:rPr>
                <w:spacing w:val="1"/>
                <w:sz w:val="18"/>
              </w:rPr>
              <w:t xml:space="preserve"> </w:t>
            </w:r>
            <w:r>
              <w:rPr>
                <w:sz w:val="18"/>
              </w:rPr>
              <w:t>access</w:t>
            </w:r>
            <w:r>
              <w:rPr>
                <w:spacing w:val="-1"/>
                <w:sz w:val="18"/>
              </w:rPr>
              <w:t xml:space="preserve"> </w:t>
            </w:r>
            <w:r>
              <w:rPr>
                <w:sz w:val="18"/>
              </w:rPr>
              <w:t>centres,</w:t>
            </w:r>
            <w:r>
              <w:rPr>
                <w:spacing w:val="-2"/>
                <w:sz w:val="18"/>
              </w:rPr>
              <w:t xml:space="preserve"> </w:t>
            </w:r>
            <w:r>
              <w:rPr>
                <w:sz w:val="18"/>
              </w:rPr>
              <w:t>the</w:t>
            </w:r>
            <w:r>
              <w:rPr>
                <w:spacing w:val="-2"/>
                <w:sz w:val="18"/>
              </w:rPr>
              <w:t xml:space="preserve"> </w:t>
            </w:r>
            <w:r>
              <w:rPr>
                <w:sz w:val="18"/>
              </w:rPr>
              <w:t>programme</w:t>
            </w:r>
            <w:r>
              <w:rPr>
                <w:spacing w:val="-2"/>
                <w:sz w:val="18"/>
              </w:rPr>
              <w:t xml:space="preserve"> </w:t>
            </w:r>
            <w:r>
              <w:rPr>
                <w:sz w:val="18"/>
              </w:rPr>
              <w:t>shall</w:t>
            </w:r>
            <w:r>
              <w:rPr>
                <w:spacing w:val="-2"/>
                <w:sz w:val="18"/>
              </w:rPr>
              <w:t xml:space="preserve"> </w:t>
            </w:r>
            <w:r>
              <w:rPr>
                <w:sz w:val="18"/>
              </w:rPr>
              <w:t>connect</w:t>
            </w:r>
            <w:r>
              <w:rPr>
                <w:spacing w:val="-1"/>
                <w:sz w:val="18"/>
              </w:rPr>
              <w:t xml:space="preserve"> </w:t>
            </w:r>
            <w:r>
              <w:rPr>
                <w:sz w:val="18"/>
              </w:rPr>
              <w:t>with</w:t>
            </w:r>
            <w:r>
              <w:rPr>
                <w:spacing w:val="-1"/>
                <w:sz w:val="18"/>
              </w:rPr>
              <w:t xml:space="preserve"> </w:t>
            </w:r>
            <w:r>
              <w:rPr>
                <w:sz w:val="18"/>
              </w:rPr>
              <w:t>telemedical</w:t>
            </w:r>
            <w:r>
              <w:rPr>
                <w:spacing w:val="-1"/>
                <w:sz w:val="18"/>
              </w:rPr>
              <w:t xml:space="preserve"> </w:t>
            </w:r>
            <w:r>
              <w:rPr>
                <w:sz w:val="18"/>
              </w:rPr>
              <w:t>specialist</w:t>
            </w:r>
            <w:r>
              <w:rPr>
                <w:spacing w:val="-2"/>
                <w:sz w:val="18"/>
              </w:rPr>
              <w:t xml:space="preserve"> </w:t>
            </w:r>
            <w:r>
              <w:rPr>
                <w:sz w:val="18"/>
              </w:rPr>
              <w:t>centres</w:t>
            </w:r>
            <w:r>
              <w:rPr>
                <w:spacing w:val="-2"/>
                <w:sz w:val="18"/>
              </w:rPr>
              <w:t xml:space="preserve"> </w:t>
            </w:r>
            <w:r>
              <w:rPr>
                <w:sz w:val="18"/>
              </w:rPr>
              <w:t>and</w:t>
            </w:r>
          </w:p>
          <w:p w:rsidR="00A56FE9" w:rsidRDefault="00000000">
            <w:pPr>
              <w:pStyle w:val="TableParagraph"/>
              <w:spacing w:line="191" w:lineRule="exact"/>
              <w:ind w:left="104"/>
              <w:rPr>
                <w:sz w:val="18"/>
              </w:rPr>
            </w:pPr>
            <w:r>
              <w:rPr>
                <w:sz w:val="18"/>
              </w:rPr>
              <w:t>provides</w:t>
            </w:r>
            <w:r>
              <w:rPr>
                <w:spacing w:val="-3"/>
                <w:sz w:val="18"/>
              </w:rPr>
              <w:t xml:space="preserve"> </w:t>
            </w:r>
            <w:r>
              <w:rPr>
                <w:sz w:val="18"/>
              </w:rPr>
              <w:t>a</w:t>
            </w:r>
            <w:r>
              <w:rPr>
                <w:spacing w:val="-3"/>
                <w:sz w:val="18"/>
              </w:rPr>
              <w:t xml:space="preserve"> </w:t>
            </w:r>
            <w:r>
              <w:rPr>
                <w:sz w:val="18"/>
              </w:rPr>
              <w:t>teletransfusion</w:t>
            </w:r>
            <w:r>
              <w:rPr>
                <w:spacing w:val="-3"/>
                <w:sz w:val="18"/>
              </w:rPr>
              <w:t xml:space="preserve"> </w:t>
            </w:r>
            <w:r>
              <w:rPr>
                <w:sz w:val="18"/>
              </w:rPr>
              <w:t>service.</w:t>
            </w:r>
          </w:p>
        </w:tc>
      </w:tr>
      <w:tr w:rsidR="00A56FE9">
        <w:trPr>
          <w:trHeight w:val="1034"/>
        </w:trPr>
        <w:tc>
          <w:tcPr>
            <w:tcW w:w="2060" w:type="dxa"/>
            <w:vMerge/>
            <w:tcBorders>
              <w:top w:val="nil"/>
            </w:tcBorders>
            <w:shd w:val="clear" w:color="auto" w:fill="F1F1F1"/>
          </w:tcPr>
          <w:p w:rsidR="00A56FE9" w:rsidRDefault="00A56FE9">
            <w:pPr>
              <w:rPr>
                <w:sz w:val="2"/>
                <w:szCs w:val="2"/>
              </w:rPr>
            </w:pPr>
          </w:p>
        </w:tc>
        <w:tc>
          <w:tcPr>
            <w:tcW w:w="3474" w:type="dxa"/>
          </w:tcPr>
          <w:p w:rsidR="00A56FE9" w:rsidRDefault="00000000">
            <w:pPr>
              <w:pStyle w:val="TableParagraph"/>
              <w:ind w:left="105" w:right="119"/>
              <w:rPr>
                <w:sz w:val="18"/>
              </w:rPr>
            </w:pPr>
            <w:r>
              <w:rPr>
                <w:sz w:val="18"/>
              </w:rPr>
              <w:t>Adoption</w:t>
            </w:r>
            <w:r>
              <w:rPr>
                <w:spacing w:val="3"/>
                <w:sz w:val="18"/>
              </w:rPr>
              <w:t xml:space="preserve"> </w:t>
            </w:r>
            <w:r>
              <w:rPr>
                <w:sz w:val="18"/>
              </w:rPr>
              <w:t>of the</w:t>
            </w:r>
            <w:r>
              <w:rPr>
                <w:spacing w:val="1"/>
                <w:sz w:val="18"/>
              </w:rPr>
              <w:t xml:space="preserve"> </w:t>
            </w:r>
            <w:r>
              <w:rPr>
                <w:sz w:val="18"/>
              </w:rPr>
              <w:t>National Strategy</w:t>
            </w:r>
            <w:r>
              <w:rPr>
                <w:spacing w:val="1"/>
                <w:sz w:val="18"/>
              </w:rPr>
              <w:t xml:space="preserve"> </w:t>
            </w:r>
            <w:r>
              <w:rPr>
                <w:sz w:val="18"/>
              </w:rPr>
              <w:t>For</w:t>
            </w:r>
            <w:r>
              <w:rPr>
                <w:spacing w:val="1"/>
                <w:sz w:val="18"/>
              </w:rPr>
              <w:t xml:space="preserve"> </w:t>
            </w:r>
            <w:r>
              <w:rPr>
                <w:sz w:val="18"/>
              </w:rPr>
              <w:t>Action</w:t>
            </w:r>
            <w:r>
              <w:rPr>
                <w:spacing w:val="-1"/>
                <w:sz w:val="18"/>
              </w:rPr>
              <w:t xml:space="preserve"> </w:t>
            </w:r>
            <w:r>
              <w:rPr>
                <w:sz w:val="18"/>
              </w:rPr>
              <w:t>in the</w:t>
            </w:r>
            <w:r>
              <w:rPr>
                <w:spacing w:val="-3"/>
                <w:sz w:val="18"/>
              </w:rPr>
              <w:t xml:space="preserve"> </w:t>
            </w:r>
            <w:r>
              <w:rPr>
                <w:sz w:val="18"/>
              </w:rPr>
              <w:t>Area</w:t>
            </w:r>
            <w:r>
              <w:rPr>
                <w:spacing w:val="-2"/>
                <w:sz w:val="18"/>
              </w:rPr>
              <w:t xml:space="preserve"> </w:t>
            </w:r>
            <w:r>
              <w:rPr>
                <w:sz w:val="18"/>
              </w:rPr>
              <w:t>of</w:t>
            </w:r>
            <w:r>
              <w:rPr>
                <w:spacing w:val="-2"/>
                <w:sz w:val="18"/>
              </w:rPr>
              <w:t xml:space="preserve"> </w:t>
            </w:r>
            <w:r>
              <w:rPr>
                <w:sz w:val="18"/>
              </w:rPr>
              <w:t>Addition for</w:t>
            </w:r>
            <w:r>
              <w:rPr>
                <w:spacing w:val="-2"/>
                <w:sz w:val="18"/>
              </w:rPr>
              <w:t xml:space="preserve"> </w:t>
            </w:r>
            <w:r>
              <w:rPr>
                <w:sz w:val="18"/>
              </w:rPr>
              <w:t>the</w:t>
            </w:r>
            <w:r>
              <w:rPr>
                <w:spacing w:val="-2"/>
                <w:sz w:val="18"/>
              </w:rPr>
              <w:t xml:space="preserve"> </w:t>
            </w:r>
            <w:r>
              <w:rPr>
                <w:sz w:val="18"/>
              </w:rPr>
              <w:t>period</w:t>
            </w:r>
            <w:r>
              <w:rPr>
                <w:spacing w:val="-42"/>
                <w:sz w:val="18"/>
              </w:rPr>
              <w:t xml:space="preserve"> </w:t>
            </w:r>
            <w:r>
              <w:rPr>
                <w:sz w:val="18"/>
              </w:rPr>
              <w:t>2022-2030</w:t>
            </w:r>
          </w:p>
        </w:tc>
        <w:tc>
          <w:tcPr>
            <w:tcW w:w="8928" w:type="dxa"/>
          </w:tcPr>
          <w:p w:rsidR="00A56FE9" w:rsidRDefault="00000000">
            <w:pPr>
              <w:pStyle w:val="TableParagraph"/>
              <w:ind w:left="104"/>
              <w:rPr>
                <w:sz w:val="18"/>
              </w:rPr>
            </w:pPr>
            <w:r>
              <w:rPr>
                <w:sz w:val="18"/>
              </w:rPr>
              <w:t>National</w:t>
            </w:r>
            <w:r>
              <w:rPr>
                <w:spacing w:val="-3"/>
                <w:sz w:val="18"/>
              </w:rPr>
              <w:t xml:space="preserve"> </w:t>
            </w:r>
            <w:r>
              <w:rPr>
                <w:sz w:val="18"/>
              </w:rPr>
              <w:t>Strategy</w:t>
            </w:r>
            <w:r>
              <w:rPr>
                <w:spacing w:val="-3"/>
                <w:sz w:val="18"/>
              </w:rPr>
              <w:t xml:space="preserve"> </w:t>
            </w:r>
            <w:r>
              <w:rPr>
                <w:sz w:val="18"/>
              </w:rPr>
              <w:t>for</w:t>
            </w:r>
            <w:r>
              <w:rPr>
                <w:spacing w:val="-2"/>
                <w:sz w:val="18"/>
              </w:rPr>
              <w:t xml:space="preserve"> </w:t>
            </w:r>
            <w:r>
              <w:rPr>
                <w:sz w:val="18"/>
              </w:rPr>
              <w:t>Action</w:t>
            </w:r>
            <w:r>
              <w:rPr>
                <w:spacing w:val="-1"/>
                <w:sz w:val="18"/>
              </w:rPr>
              <w:t xml:space="preserve"> </w:t>
            </w:r>
            <w:r>
              <w:rPr>
                <w:sz w:val="18"/>
              </w:rPr>
              <w:t>in</w:t>
            </w:r>
            <w:r>
              <w:rPr>
                <w:spacing w:val="-1"/>
                <w:sz w:val="18"/>
              </w:rPr>
              <w:t xml:space="preserve"> </w:t>
            </w:r>
            <w:r>
              <w:rPr>
                <w:sz w:val="18"/>
              </w:rPr>
              <w:t>the</w:t>
            </w:r>
            <w:r>
              <w:rPr>
                <w:spacing w:val="-4"/>
                <w:sz w:val="18"/>
              </w:rPr>
              <w:t xml:space="preserve"> </w:t>
            </w:r>
            <w:r>
              <w:rPr>
                <w:sz w:val="18"/>
              </w:rPr>
              <w:t>Area</w:t>
            </w:r>
            <w:r>
              <w:rPr>
                <w:spacing w:val="-3"/>
                <w:sz w:val="18"/>
              </w:rPr>
              <w:t xml:space="preserve"> </w:t>
            </w:r>
            <w:r>
              <w:rPr>
                <w:sz w:val="18"/>
              </w:rPr>
              <w:t>of</w:t>
            </w:r>
            <w:r>
              <w:rPr>
                <w:spacing w:val="-2"/>
                <w:sz w:val="18"/>
              </w:rPr>
              <w:t xml:space="preserve"> </w:t>
            </w:r>
            <w:r>
              <w:rPr>
                <w:sz w:val="18"/>
              </w:rPr>
              <w:t>Addiction</w:t>
            </w:r>
            <w:r>
              <w:rPr>
                <w:spacing w:val="1"/>
                <w:sz w:val="18"/>
              </w:rPr>
              <w:t xml:space="preserve"> </w:t>
            </w:r>
            <w:r>
              <w:rPr>
                <w:sz w:val="18"/>
              </w:rPr>
              <w:t>for</w:t>
            </w:r>
            <w:r>
              <w:rPr>
                <w:spacing w:val="-2"/>
                <w:sz w:val="18"/>
              </w:rPr>
              <w:t xml:space="preserve"> </w:t>
            </w:r>
            <w:r>
              <w:rPr>
                <w:sz w:val="18"/>
              </w:rPr>
              <w:t>2022-2030</w:t>
            </w:r>
            <w:r>
              <w:rPr>
                <w:spacing w:val="-1"/>
                <w:sz w:val="18"/>
              </w:rPr>
              <w:t xml:space="preserve"> </w:t>
            </w:r>
            <w:r>
              <w:rPr>
                <w:sz w:val="18"/>
              </w:rPr>
              <w:t>contains</w:t>
            </w:r>
            <w:r>
              <w:rPr>
                <w:spacing w:val="-3"/>
                <w:sz w:val="18"/>
              </w:rPr>
              <w:t xml:space="preserve"> </w:t>
            </w:r>
            <w:r>
              <w:rPr>
                <w:sz w:val="18"/>
              </w:rPr>
              <w:t>strategic</w:t>
            </w:r>
            <w:r>
              <w:rPr>
                <w:spacing w:val="-2"/>
                <w:sz w:val="18"/>
              </w:rPr>
              <w:t xml:space="preserve"> </w:t>
            </w:r>
            <w:r>
              <w:rPr>
                <w:sz w:val="18"/>
              </w:rPr>
              <w:t>goals,</w:t>
            </w:r>
            <w:r>
              <w:rPr>
                <w:spacing w:val="-2"/>
                <w:sz w:val="18"/>
              </w:rPr>
              <w:t xml:space="preserve"> </w:t>
            </w:r>
            <w:r>
              <w:rPr>
                <w:sz w:val="18"/>
              </w:rPr>
              <w:t>priorities</w:t>
            </w:r>
            <w:r>
              <w:rPr>
                <w:spacing w:val="-2"/>
                <w:sz w:val="18"/>
              </w:rPr>
              <w:t xml:space="preserve"> </w:t>
            </w:r>
            <w:r>
              <w:rPr>
                <w:sz w:val="18"/>
              </w:rPr>
              <w:t>and</w:t>
            </w:r>
            <w:r>
              <w:rPr>
                <w:spacing w:val="-1"/>
                <w:sz w:val="18"/>
              </w:rPr>
              <w:t xml:space="preserve"> </w:t>
            </w:r>
            <w:r>
              <w:rPr>
                <w:sz w:val="18"/>
              </w:rPr>
              <w:t>measures,</w:t>
            </w:r>
            <w:r>
              <w:rPr>
                <w:spacing w:val="-42"/>
                <w:sz w:val="18"/>
              </w:rPr>
              <w:t xml:space="preserve"> </w:t>
            </w:r>
            <w:r>
              <w:rPr>
                <w:sz w:val="18"/>
              </w:rPr>
              <w:t>which will effectively ensure responsibility for the implementation of the general national policy on addictions and</w:t>
            </w:r>
            <w:r>
              <w:rPr>
                <w:spacing w:val="1"/>
                <w:sz w:val="18"/>
              </w:rPr>
              <w:t xml:space="preserve"> </w:t>
            </w:r>
            <w:r>
              <w:rPr>
                <w:sz w:val="18"/>
              </w:rPr>
              <w:t>behavioural</w:t>
            </w:r>
            <w:r>
              <w:rPr>
                <w:spacing w:val="-2"/>
                <w:sz w:val="18"/>
              </w:rPr>
              <w:t xml:space="preserve"> </w:t>
            </w:r>
            <w:r>
              <w:rPr>
                <w:sz w:val="18"/>
              </w:rPr>
              <w:t>addictions</w:t>
            </w:r>
            <w:r>
              <w:rPr>
                <w:spacing w:val="-2"/>
                <w:sz w:val="18"/>
              </w:rPr>
              <w:t xml:space="preserve"> </w:t>
            </w:r>
            <w:r>
              <w:rPr>
                <w:sz w:val="18"/>
              </w:rPr>
              <w:t>and establish</w:t>
            </w:r>
            <w:r>
              <w:rPr>
                <w:spacing w:val="-2"/>
                <w:sz w:val="18"/>
              </w:rPr>
              <w:t xml:space="preserve"> </w:t>
            </w:r>
            <w:r>
              <w:rPr>
                <w:sz w:val="18"/>
              </w:rPr>
              <w:t>a</w:t>
            </w:r>
            <w:r>
              <w:rPr>
                <w:spacing w:val="-3"/>
                <w:sz w:val="18"/>
              </w:rPr>
              <w:t xml:space="preserve"> </w:t>
            </w:r>
            <w:r>
              <w:rPr>
                <w:sz w:val="18"/>
              </w:rPr>
              <w:t>multidisciplinary</w:t>
            </w:r>
            <w:r>
              <w:rPr>
                <w:spacing w:val="-5"/>
                <w:sz w:val="18"/>
              </w:rPr>
              <w:t xml:space="preserve"> </w:t>
            </w:r>
            <w:r>
              <w:rPr>
                <w:sz w:val="18"/>
              </w:rPr>
              <w:t>and</w:t>
            </w:r>
            <w:r>
              <w:rPr>
                <w:spacing w:val="-1"/>
                <w:sz w:val="18"/>
              </w:rPr>
              <w:t xml:space="preserve"> </w:t>
            </w:r>
            <w:r>
              <w:rPr>
                <w:sz w:val="18"/>
              </w:rPr>
              <w:t>integrated</w:t>
            </w:r>
            <w:r>
              <w:rPr>
                <w:spacing w:val="-1"/>
                <w:sz w:val="18"/>
              </w:rPr>
              <w:t xml:space="preserve"> </w:t>
            </w:r>
            <w:r>
              <w:rPr>
                <w:sz w:val="18"/>
              </w:rPr>
              <w:t>approach on</w:t>
            </w:r>
            <w:r>
              <w:rPr>
                <w:spacing w:val="-3"/>
                <w:sz w:val="18"/>
              </w:rPr>
              <w:t xml:space="preserve"> </w:t>
            </w:r>
            <w:r>
              <w:rPr>
                <w:sz w:val="18"/>
              </w:rPr>
              <w:t>national,</w:t>
            </w:r>
            <w:r>
              <w:rPr>
                <w:spacing w:val="-1"/>
                <w:sz w:val="18"/>
              </w:rPr>
              <w:t xml:space="preserve"> </w:t>
            </w:r>
            <w:r>
              <w:rPr>
                <w:sz w:val="18"/>
              </w:rPr>
              <w:t>local</w:t>
            </w:r>
            <w:r>
              <w:rPr>
                <w:spacing w:val="-1"/>
                <w:sz w:val="18"/>
              </w:rPr>
              <w:t xml:space="preserve"> </w:t>
            </w:r>
            <w:r>
              <w:rPr>
                <w:sz w:val="18"/>
              </w:rPr>
              <w:t>and</w:t>
            </w:r>
            <w:r>
              <w:rPr>
                <w:spacing w:val="-1"/>
                <w:sz w:val="18"/>
              </w:rPr>
              <w:t xml:space="preserve"> </w:t>
            </w:r>
            <w:r>
              <w:rPr>
                <w:sz w:val="18"/>
              </w:rPr>
              <w:t>international</w:t>
            </w:r>
          </w:p>
          <w:p w:rsidR="00A56FE9" w:rsidRDefault="00000000">
            <w:pPr>
              <w:pStyle w:val="TableParagraph"/>
              <w:spacing w:line="206" w:lineRule="exact"/>
              <w:ind w:left="104"/>
              <w:rPr>
                <w:sz w:val="18"/>
              </w:rPr>
            </w:pPr>
            <w:r>
              <w:rPr>
                <w:sz w:val="18"/>
              </w:rPr>
              <w:t>levels.</w:t>
            </w:r>
            <w:r>
              <w:rPr>
                <w:spacing w:val="1"/>
                <w:sz w:val="18"/>
              </w:rPr>
              <w:t xml:space="preserve"> </w:t>
            </w:r>
            <w:r>
              <w:rPr>
                <w:sz w:val="18"/>
              </w:rPr>
              <w:t>Also,</w:t>
            </w:r>
            <w:r>
              <w:rPr>
                <w:spacing w:val="-1"/>
                <w:sz w:val="18"/>
              </w:rPr>
              <w:t xml:space="preserve"> </w:t>
            </w:r>
            <w:r>
              <w:rPr>
                <w:sz w:val="18"/>
              </w:rPr>
              <w:t>the</w:t>
            </w:r>
            <w:r>
              <w:rPr>
                <w:spacing w:val="-2"/>
                <w:sz w:val="18"/>
              </w:rPr>
              <w:t xml:space="preserve"> </w:t>
            </w:r>
            <w:r>
              <w:rPr>
                <w:sz w:val="18"/>
              </w:rPr>
              <w:t>National</w:t>
            </w:r>
            <w:r>
              <w:rPr>
                <w:spacing w:val="-2"/>
                <w:sz w:val="18"/>
              </w:rPr>
              <w:t xml:space="preserve"> </w:t>
            </w:r>
            <w:r>
              <w:rPr>
                <w:sz w:val="18"/>
              </w:rPr>
              <w:t>Strategy</w:t>
            </w:r>
            <w:r>
              <w:rPr>
                <w:spacing w:val="-2"/>
                <w:sz w:val="18"/>
              </w:rPr>
              <w:t xml:space="preserve"> </w:t>
            </w:r>
            <w:r>
              <w:rPr>
                <w:sz w:val="18"/>
              </w:rPr>
              <w:t>contains</w:t>
            </w:r>
            <w:r>
              <w:rPr>
                <w:spacing w:val="-1"/>
                <w:sz w:val="18"/>
              </w:rPr>
              <w:t xml:space="preserve"> </w:t>
            </w:r>
            <w:r>
              <w:rPr>
                <w:sz w:val="18"/>
              </w:rPr>
              <w:t>guidelines</w:t>
            </w:r>
            <w:r>
              <w:rPr>
                <w:spacing w:val="-1"/>
                <w:sz w:val="18"/>
              </w:rPr>
              <w:t xml:space="preserve"> </w:t>
            </w:r>
            <w:r>
              <w:rPr>
                <w:sz w:val="18"/>
              </w:rPr>
              <w:t>that</w:t>
            </w:r>
            <w:r>
              <w:rPr>
                <w:spacing w:val="-2"/>
                <w:sz w:val="18"/>
              </w:rPr>
              <w:t xml:space="preserve"> </w:t>
            </w:r>
            <w:r>
              <w:rPr>
                <w:sz w:val="18"/>
              </w:rPr>
              <w:t>to</w:t>
            </w:r>
            <w:r>
              <w:rPr>
                <w:spacing w:val="-2"/>
                <w:sz w:val="18"/>
              </w:rPr>
              <w:t xml:space="preserve"> </w:t>
            </w:r>
            <w:r>
              <w:rPr>
                <w:sz w:val="18"/>
              </w:rPr>
              <w:t>identify</w:t>
            </w:r>
            <w:r>
              <w:rPr>
                <w:spacing w:val="-4"/>
                <w:sz w:val="18"/>
              </w:rPr>
              <w:t xml:space="preserve"> </w:t>
            </w:r>
            <w:r>
              <w:rPr>
                <w:sz w:val="18"/>
              </w:rPr>
              <w:t>the most</w:t>
            </w:r>
            <w:r>
              <w:rPr>
                <w:spacing w:val="-1"/>
                <w:sz w:val="18"/>
              </w:rPr>
              <w:t xml:space="preserve"> </w:t>
            </w:r>
            <w:r>
              <w:rPr>
                <w:sz w:val="18"/>
              </w:rPr>
              <w:t>effective</w:t>
            </w:r>
            <w:r>
              <w:rPr>
                <w:spacing w:val="-2"/>
                <w:sz w:val="18"/>
              </w:rPr>
              <w:t xml:space="preserve"> </w:t>
            </w:r>
            <w:r>
              <w:rPr>
                <w:sz w:val="18"/>
              </w:rPr>
              <w:t>response</w:t>
            </w:r>
            <w:r>
              <w:rPr>
                <w:spacing w:val="-2"/>
                <w:sz w:val="18"/>
              </w:rPr>
              <w:t xml:space="preserve"> </w:t>
            </w:r>
            <w:r>
              <w:rPr>
                <w:sz w:val="18"/>
              </w:rPr>
              <w:t>from</w:t>
            </w:r>
            <w:r>
              <w:rPr>
                <w:spacing w:val="-5"/>
                <w:sz w:val="18"/>
              </w:rPr>
              <w:t xml:space="preserve"> </w:t>
            </w:r>
            <w:r>
              <w:rPr>
                <w:sz w:val="18"/>
              </w:rPr>
              <w:t>society</w:t>
            </w:r>
            <w:r>
              <w:rPr>
                <w:spacing w:val="-5"/>
                <w:sz w:val="18"/>
              </w:rPr>
              <w:t xml:space="preserve"> </w:t>
            </w:r>
            <w:r>
              <w:rPr>
                <w:sz w:val="18"/>
              </w:rPr>
              <w:t>to the</w:t>
            </w:r>
            <w:r>
              <w:rPr>
                <w:spacing w:val="-42"/>
                <w:sz w:val="18"/>
              </w:rPr>
              <w:t xml:space="preserve"> </w:t>
            </w:r>
            <w:r>
              <w:rPr>
                <w:sz w:val="18"/>
              </w:rPr>
              <w:t>modalities</w:t>
            </w:r>
            <w:r>
              <w:rPr>
                <w:spacing w:val="-1"/>
                <w:sz w:val="18"/>
              </w:rPr>
              <w:t xml:space="preserve"> </w:t>
            </w:r>
            <w:r>
              <w:rPr>
                <w:sz w:val="18"/>
              </w:rPr>
              <w:t>and</w:t>
            </w:r>
            <w:r>
              <w:rPr>
                <w:spacing w:val="1"/>
                <w:sz w:val="18"/>
              </w:rPr>
              <w:t xml:space="preserve"> </w:t>
            </w:r>
            <w:r>
              <w:rPr>
                <w:sz w:val="18"/>
              </w:rPr>
              <w:t>trends of</w:t>
            </w:r>
            <w:r>
              <w:rPr>
                <w:spacing w:val="-3"/>
                <w:sz w:val="18"/>
              </w:rPr>
              <w:t xml:space="preserve"> </w:t>
            </w:r>
            <w:r>
              <w:rPr>
                <w:sz w:val="18"/>
              </w:rPr>
              <w:t>consumption</w:t>
            </w:r>
            <w:r>
              <w:rPr>
                <w:spacing w:val="-1"/>
                <w:sz w:val="18"/>
              </w:rPr>
              <w:t xml:space="preserve"> </w:t>
            </w:r>
            <w:r>
              <w:rPr>
                <w:sz w:val="18"/>
              </w:rPr>
              <w:t>and</w:t>
            </w:r>
            <w:r>
              <w:rPr>
                <w:spacing w:val="-1"/>
                <w:sz w:val="18"/>
              </w:rPr>
              <w:t xml:space="preserve"> </w:t>
            </w:r>
            <w:r>
              <w:rPr>
                <w:sz w:val="18"/>
              </w:rPr>
              <w:t>abuse</w:t>
            </w:r>
            <w:r>
              <w:rPr>
                <w:spacing w:val="-1"/>
                <w:sz w:val="18"/>
              </w:rPr>
              <w:t xml:space="preserve"> </w:t>
            </w:r>
            <w:r>
              <w:rPr>
                <w:sz w:val="18"/>
              </w:rPr>
              <w:t>of</w:t>
            </w:r>
            <w:r>
              <w:rPr>
                <w:spacing w:val="-3"/>
                <w:sz w:val="18"/>
              </w:rPr>
              <w:t xml:space="preserve"> </w:t>
            </w:r>
            <w:r>
              <w:rPr>
                <w:sz w:val="18"/>
              </w:rPr>
              <w:t>addictive</w:t>
            </w:r>
            <w:r>
              <w:rPr>
                <w:spacing w:val="-1"/>
                <w:sz w:val="18"/>
              </w:rPr>
              <w:t xml:space="preserve"> </w:t>
            </w:r>
            <w:r>
              <w:rPr>
                <w:sz w:val="18"/>
              </w:rPr>
              <w:t>substances in</w:t>
            </w:r>
            <w:r>
              <w:rPr>
                <w:spacing w:val="1"/>
                <w:sz w:val="18"/>
              </w:rPr>
              <w:t xml:space="preserve"> </w:t>
            </w:r>
            <w:r>
              <w:rPr>
                <w:sz w:val="18"/>
              </w:rPr>
              <w:t>society.</w:t>
            </w:r>
          </w:p>
        </w:tc>
      </w:tr>
      <w:tr w:rsidR="00A56FE9">
        <w:trPr>
          <w:trHeight w:val="1036"/>
        </w:trPr>
        <w:tc>
          <w:tcPr>
            <w:tcW w:w="2060" w:type="dxa"/>
            <w:vMerge/>
            <w:tcBorders>
              <w:top w:val="nil"/>
            </w:tcBorders>
            <w:shd w:val="clear" w:color="auto" w:fill="F1F1F1"/>
          </w:tcPr>
          <w:p w:rsidR="00A56FE9" w:rsidRDefault="00A56FE9">
            <w:pPr>
              <w:rPr>
                <w:sz w:val="2"/>
                <w:szCs w:val="2"/>
              </w:rPr>
            </w:pPr>
          </w:p>
        </w:tc>
        <w:tc>
          <w:tcPr>
            <w:tcW w:w="3474" w:type="dxa"/>
          </w:tcPr>
          <w:p w:rsidR="00A56FE9" w:rsidRDefault="00000000">
            <w:pPr>
              <w:pStyle w:val="TableParagraph"/>
              <w:spacing w:line="242" w:lineRule="auto"/>
              <w:ind w:left="105" w:right="472"/>
              <w:rPr>
                <w:sz w:val="18"/>
              </w:rPr>
            </w:pPr>
            <w:r>
              <w:rPr>
                <w:sz w:val="18"/>
              </w:rPr>
              <w:t>Adoption of the National Strategy for</w:t>
            </w:r>
            <w:r>
              <w:rPr>
                <w:spacing w:val="1"/>
                <w:sz w:val="18"/>
              </w:rPr>
              <w:t xml:space="preserve"> </w:t>
            </w:r>
            <w:r>
              <w:rPr>
                <w:sz w:val="18"/>
              </w:rPr>
              <w:t>Mental</w:t>
            </w:r>
            <w:r>
              <w:rPr>
                <w:spacing w:val="-3"/>
                <w:sz w:val="18"/>
              </w:rPr>
              <w:t xml:space="preserve"> </w:t>
            </w:r>
            <w:r>
              <w:rPr>
                <w:sz w:val="18"/>
              </w:rPr>
              <w:t>Health</w:t>
            </w:r>
            <w:r>
              <w:rPr>
                <w:spacing w:val="-2"/>
                <w:sz w:val="18"/>
              </w:rPr>
              <w:t xml:space="preserve"> </w:t>
            </w:r>
            <w:r>
              <w:rPr>
                <w:sz w:val="18"/>
              </w:rPr>
              <w:t>Development</w:t>
            </w:r>
            <w:r>
              <w:rPr>
                <w:spacing w:val="-3"/>
                <w:sz w:val="18"/>
              </w:rPr>
              <w:t xml:space="preserve"> </w:t>
            </w:r>
            <w:r>
              <w:rPr>
                <w:sz w:val="18"/>
              </w:rPr>
              <w:t>2022-2030</w:t>
            </w:r>
          </w:p>
        </w:tc>
        <w:tc>
          <w:tcPr>
            <w:tcW w:w="8928" w:type="dxa"/>
          </w:tcPr>
          <w:p w:rsidR="00A56FE9" w:rsidRDefault="00000000">
            <w:pPr>
              <w:pStyle w:val="TableParagraph"/>
              <w:ind w:left="104"/>
              <w:rPr>
                <w:sz w:val="18"/>
              </w:rPr>
            </w:pPr>
            <w:r>
              <w:rPr>
                <w:sz w:val="18"/>
              </w:rPr>
              <w:t>Strategic goals of the National Strategy for the Development of Mental Health 2022-2030 aim to improve the health of</w:t>
            </w:r>
            <w:r>
              <w:rPr>
                <w:spacing w:val="1"/>
                <w:sz w:val="18"/>
              </w:rPr>
              <w:t xml:space="preserve"> </w:t>
            </w:r>
            <w:r>
              <w:rPr>
                <w:sz w:val="18"/>
              </w:rPr>
              <w:t>citizens throughout life and reduce the incidence of mental disorders. Specific goals in implementation of the National</w:t>
            </w:r>
            <w:r>
              <w:rPr>
                <w:spacing w:val="1"/>
                <w:sz w:val="18"/>
              </w:rPr>
              <w:t xml:space="preserve"> </w:t>
            </w:r>
            <w:r>
              <w:rPr>
                <w:sz w:val="18"/>
              </w:rPr>
              <w:t>Strategy</w:t>
            </w:r>
            <w:r>
              <w:rPr>
                <w:spacing w:val="-5"/>
                <w:sz w:val="18"/>
              </w:rPr>
              <w:t xml:space="preserve"> </w:t>
            </w:r>
            <w:r>
              <w:rPr>
                <w:sz w:val="18"/>
              </w:rPr>
              <w:t>are</w:t>
            </w:r>
            <w:r>
              <w:rPr>
                <w:spacing w:val="-2"/>
                <w:sz w:val="18"/>
              </w:rPr>
              <w:t xml:space="preserve"> </w:t>
            </w:r>
            <w:r>
              <w:rPr>
                <w:sz w:val="18"/>
              </w:rPr>
              <w:t>in the</w:t>
            </w:r>
            <w:r>
              <w:rPr>
                <w:spacing w:val="-2"/>
                <w:sz w:val="18"/>
              </w:rPr>
              <w:t xml:space="preserve"> </w:t>
            </w:r>
            <w:r>
              <w:rPr>
                <w:sz w:val="18"/>
              </w:rPr>
              <w:t>areas</w:t>
            </w:r>
            <w:r>
              <w:rPr>
                <w:spacing w:val="-1"/>
                <w:sz w:val="18"/>
              </w:rPr>
              <w:t xml:space="preserve"> </w:t>
            </w:r>
            <w:r>
              <w:rPr>
                <w:sz w:val="18"/>
              </w:rPr>
              <w:t>of mental</w:t>
            </w:r>
            <w:r>
              <w:rPr>
                <w:spacing w:val="-1"/>
                <w:sz w:val="18"/>
              </w:rPr>
              <w:t xml:space="preserve"> </w:t>
            </w:r>
            <w:r>
              <w:rPr>
                <w:sz w:val="18"/>
              </w:rPr>
              <w:t>health</w:t>
            </w:r>
            <w:r>
              <w:rPr>
                <w:spacing w:val="-2"/>
                <w:sz w:val="18"/>
              </w:rPr>
              <w:t xml:space="preserve"> </w:t>
            </w:r>
            <w:r>
              <w:rPr>
                <w:sz w:val="18"/>
              </w:rPr>
              <w:t>promotion,</w:t>
            </w:r>
            <w:r>
              <w:rPr>
                <w:spacing w:val="-3"/>
                <w:sz w:val="18"/>
              </w:rPr>
              <w:t xml:space="preserve"> </w:t>
            </w:r>
            <w:r>
              <w:rPr>
                <w:sz w:val="18"/>
              </w:rPr>
              <w:t>prevention and early</w:t>
            </w:r>
            <w:r>
              <w:rPr>
                <w:spacing w:val="-3"/>
                <w:sz w:val="18"/>
              </w:rPr>
              <w:t xml:space="preserve"> </w:t>
            </w:r>
            <w:r>
              <w:rPr>
                <w:sz w:val="18"/>
              </w:rPr>
              <w:t>detection of</w:t>
            </w:r>
            <w:r>
              <w:rPr>
                <w:spacing w:val="-3"/>
                <w:sz w:val="18"/>
              </w:rPr>
              <w:t xml:space="preserve"> </w:t>
            </w:r>
            <w:r>
              <w:rPr>
                <w:sz w:val="18"/>
              </w:rPr>
              <w:t>mental</w:t>
            </w:r>
            <w:r>
              <w:rPr>
                <w:spacing w:val="-1"/>
                <w:sz w:val="18"/>
              </w:rPr>
              <w:t xml:space="preserve"> </w:t>
            </w:r>
            <w:r>
              <w:rPr>
                <w:sz w:val="18"/>
              </w:rPr>
              <w:t>health problems,</w:t>
            </w:r>
          </w:p>
          <w:p w:rsidR="00A56FE9" w:rsidRDefault="00000000">
            <w:pPr>
              <w:pStyle w:val="TableParagraph"/>
              <w:spacing w:line="206" w:lineRule="exact"/>
              <w:ind w:left="104"/>
              <w:rPr>
                <w:sz w:val="18"/>
              </w:rPr>
            </w:pPr>
            <w:r>
              <w:rPr>
                <w:sz w:val="18"/>
              </w:rPr>
              <w:t>improvement</w:t>
            </w:r>
            <w:r>
              <w:rPr>
                <w:spacing w:val="-2"/>
                <w:sz w:val="18"/>
              </w:rPr>
              <w:t xml:space="preserve"> </w:t>
            </w:r>
            <w:r>
              <w:rPr>
                <w:sz w:val="18"/>
              </w:rPr>
              <w:t>of</w:t>
            </w:r>
            <w:r>
              <w:rPr>
                <w:spacing w:val="-3"/>
                <w:sz w:val="18"/>
              </w:rPr>
              <w:t xml:space="preserve"> </w:t>
            </w:r>
            <w:r>
              <w:rPr>
                <w:sz w:val="18"/>
              </w:rPr>
              <w:t>treatment</w:t>
            </w:r>
            <w:r>
              <w:rPr>
                <w:spacing w:val="-1"/>
                <w:sz w:val="18"/>
              </w:rPr>
              <w:t xml:space="preserve"> </w:t>
            </w:r>
            <w:r>
              <w:rPr>
                <w:sz w:val="18"/>
              </w:rPr>
              <w:t>and</w:t>
            </w:r>
            <w:r>
              <w:rPr>
                <w:spacing w:val="-1"/>
                <w:sz w:val="18"/>
              </w:rPr>
              <w:t xml:space="preserve"> </w:t>
            </w:r>
            <w:r>
              <w:rPr>
                <w:sz w:val="18"/>
              </w:rPr>
              <w:t>rehabilitation</w:t>
            </w:r>
            <w:r>
              <w:rPr>
                <w:spacing w:val="-2"/>
                <w:sz w:val="18"/>
              </w:rPr>
              <w:t xml:space="preserve"> </w:t>
            </w:r>
            <w:r>
              <w:rPr>
                <w:sz w:val="18"/>
              </w:rPr>
              <w:t>with a</w:t>
            </w:r>
            <w:r>
              <w:rPr>
                <w:spacing w:val="-3"/>
                <w:sz w:val="18"/>
              </w:rPr>
              <w:t xml:space="preserve"> </w:t>
            </w:r>
            <w:r>
              <w:rPr>
                <w:sz w:val="18"/>
              </w:rPr>
              <w:t>contribution to</w:t>
            </w:r>
            <w:r>
              <w:rPr>
                <w:spacing w:val="-2"/>
                <w:sz w:val="18"/>
              </w:rPr>
              <w:t xml:space="preserve"> </w:t>
            </w:r>
            <w:r>
              <w:rPr>
                <w:sz w:val="18"/>
              </w:rPr>
              <w:t>the</w:t>
            </w:r>
            <w:r>
              <w:rPr>
                <w:spacing w:val="-3"/>
                <w:sz w:val="18"/>
              </w:rPr>
              <w:t xml:space="preserve"> </w:t>
            </w:r>
            <w:r>
              <w:rPr>
                <w:sz w:val="18"/>
              </w:rPr>
              <w:t>protection</w:t>
            </w:r>
            <w:r>
              <w:rPr>
                <w:spacing w:val="-2"/>
                <w:sz w:val="18"/>
              </w:rPr>
              <w:t xml:space="preserve"> </w:t>
            </w:r>
            <w:r>
              <w:rPr>
                <w:sz w:val="18"/>
              </w:rPr>
              <w:t>of</w:t>
            </w:r>
            <w:r>
              <w:rPr>
                <w:spacing w:val="-3"/>
                <w:sz w:val="18"/>
              </w:rPr>
              <w:t xml:space="preserve"> </w:t>
            </w:r>
            <w:r>
              <w:rPr>
                <w:sz w:val="18"/>
              </w:rPr>
              <w:t>human rights</w:t>
            </w:r>
            <w:r>
              <w:rPr>
                <w:spacing w:val="-2"/>
                <w:sz w:val="18"/>
              </w:rPr>
              <w:t xml:space="preserve"> </w:t>
            </w:r>
            <w:r>
              <w:rPr>
                <w:sz w:val="18"/>
              </w:rPr>
              <w:t>of</w:t>
            </w:r>
            <w:r>
              <w:rPr>
                <w:spacing w:val="-3"/>
                <w:sz w:val="18"/>
              </w:rPr>
              <w:t xml:space="preserve"> </w:t>
            </w:r>
            <w:r>
              <w:rPr>
                <w:sz w:val="18"/>
              </w:rPr>
              <w:t>people</w:t>
            </w:r>
            <w:r>
              <w:rPr>
                <w:spacing w:val="-1"/>
                <w:sz w:val="18"/>
              </w:rPr>
              <w:t xml:space="preserve"> </w:t>
            </w:r>
            <w:r>
              <w:rPr>
                <w:sz w:val="18"/>
              </w:rPr>
              <w:t>with</w:t>
            </w:r>
            <w:r>
              <w:rPr>
                <w:spacing w:val="-1"/>
                <w:sz w:val="18"/>
              </w:rPr>
              <w:t xml:space="preserve"> </w:t>
            </w:r>
            <w:r>
              <w:rPr>
                <w:sz w:val="18"/>
              </w:rPr>
              <w:t>mental</w:t>
            </w:r>
            <w:r>
              <w:rPr>
                <w:spacing w:val="-42"/>
                <w:sz w:val="18"/>
              </w:rPr>
              <w:t xml:space="preserve"> </w:t>
            </w:r>
            <w:r>
              <w:rPr>
                <w:sz w:val="18"/>
              </w:rPr>
              <w:t>health problems and</w:t>
            </w:r>
            <w:r>
              <w:rPr>
                <w:spacing w:val="1"/>
                <w:sz w:val="18"/>
              </w:rPr>
              <w:t xml:space="preserve"> </w:t>
            </w:r>
            <w:r>
              <w:rPr>
                <w:sz w:val="18"/>
              </w:rPr>
              <w:t>community</w:t>
            </w:r>
            <w:r>
              <w:rPr>
                <w:spacing w:val="-4"/>
                <w:sz w:val="18"/>
              </w:rPr>
              <w:t xml:space="preserve"> </w:t>
            </w:r>
            <w:r>
              <w:rPr>
                <w:sz w:val="18"/>
              </w:rPr>
              <w:t>mental health</w:t>
            </w:r>
            <w:r>
              <w:rPr>
                <w:spacing w:val="1"/>
                <w:sz w:val="18"/>
              </w:rPr>
              <w:t xml:space="preserve"> </w:t>
            </w:r>
            <w:r>
              <w:rPr>
                <w:sz w:val="18"/>
              </w:rPr>
              <w:t>activities.</w:t>
            </w:r>
          </w:p>
        </w:tc>
      </w:tr>
      <w:tr w:rsidR="00A56FE9">
        <w:trPr>
          <w:trHeight w:val="619"/>
        </w:trPr>
        <w:tc>
          <w:tcPr>
            <w:tcW w:w="2060" w:type="dxa"/>
            <w:vMerge w:val="restart"/>
            <w:shd w:val="clear" w:color="auto" w:fill="F1F1F1"/>
          </w:tcPr>
          <w:p w:rsidR="00A56FE9" w:rsidRDefault="00000000">
            <w:pPr>
              <w:pStyle w:val="TableParagraph"/>
              <w:ind w:left="105" w:right="113"/>
              <w:rPr>
                <w:sz w:val="20"/>
              </w:rPr>
            </w:pPr>
            <w:r>
              <w:rPr>
                <w:b/>
                <w:sz w:val="20"/>
              </w:rPr>
              <w:t>4.</w:t>
            </w:r>
            <w:r>
              <w:rPr>
                <w:b/>
                <w:spacing w:val="8"/>
                <w:sz w:val="20"/>
              </w:rPr>
              <w:t xml:space="preserve"> </w:t>
            </w:r>
            <w:r>
              <w:rPr>
                <w:sz w:val="20"/>
              </w:rPr>
              <w:t>Ensure</w:t>
            </w:r>
            <w:r>
              <w:rPr>
                <w:spacing w:val="7"/>
                <w:sz w:val="20"/>
              </w:rPr>
              <w:t xml:space="preserve"> </w:t>
            </w:r>
            <w:r>
              <w:rPr>
                <w:sz w:val="20"/>
              </w:rPr>
              <w:t>inclusive</w:t>
            </w:r>
            <w:r>
              <w:rPr>
                <w:spacing w:val="1"/>
                <w:sz w:val="20"/>
              </w:rPr>
              <w:t xml:space="preserve"> </w:t>
            </w:r>
            <w:r>
              <w:rPr>
                <w:sz w:val="20"/>
              </w:rPr>
              <w:t>and equitable quality</w:t>
            </w:r>
            <w:r>
              <w:rPr>
                <w:spacing w:val="1"/>
                <w:sz w:val="20"/>
              </w:rPr>
              <w:t xml:space="preserve"> </w:t>
            </w:r>
            <w:r>
              <w:rPr>
                <w:sz w:val="20"/>
              </w:rPr>
              <w:t>education</w:t>
            </w:r>
            <w:r>
              <w:rPr>
                <w:spacing w:val="-10"/>
                <w:sz w:val="20"/>
              </w:rPr>
              <w:t xml:space="preserve"> </w:t>
            </w:r>
            <w:r>
              <w:rPr>
                <w:sz w:val="20"/>
              </w:rPr>
              <w:t>and</w:t>
            </w:r>
            <w:r>
              <w:rPr>
                <w:spacing w:val="-8"/>
                <w:sz w:val="20"/>
              </w:rPr>
              <w:t xml:space="preserve"> </w:t>
            </w:r>
            <w:r>
              <w:rPr>
                <w:sz w:val="20"/>
              </w:rPr>
              <w:t>promote</w:t>
            </w:r>
            <w:r>
              <w:rPr>
                <w:spacing w:val="-47"/>
                <w:sz w:val="20"/>
              </w:rPr>
              <w:t xml:space="preserve"> </w:t>
            </w:r>
            <w:r>
              <w:rPr>
                <w:sz w:val="20"/>
              </w:rPr>
              <w:t>lifelong learning</w:t>
            </w:r>
            <w:r>
              <w:rPr>
                <w:spacing w:val="1"/>
                <w:sz w:val="20"/>
              </w:rPr>
              <w:t xml:space="preserve"> </w:t>
            </w:r>
            <w:r>
              <w:rPr>
                <w:sz w:val="20"/>
              </w:rPr>
              <w:t>opportunities</w:t>
            </w:r>
            <w:r>
              <w:rPr>
                <w:spacing w:val="-3"/>
                <w:sz w:val="20"/>
              </w:rPr>
              <w:t xml:space="preserve"> </w:t>
            </w:r>
            <w:r>
              <w:rPr>
                <w:sz w:val="20"/>
              </w:rPr>
              <w:t>for</w:t>
            </w:r>
            <w:r>
              <w:rPr>
                <w:spacing w:val="-1"/>
                <w:sz w:val="20"/>
              </w:rPr>
              <w:t xml:space="preserve"> </w:t>
            </w:r>
            <w:r>
              <w:rPr>
                <w:sz w:val="20"/>
              </w:rPr>
              <w:t>all</w:t>
            </w:r>
          </w:p>
        </w:tc>
        <w:tc>
          <w:tcPr>
            <w:tcW w:w="3474" w:type="dxa"/>
            <w:shd w:val="clear" w:color="auto" w:fill="C5EECE"/>
          </w:tcPr>
          <w:p w:rsidR="00A56FE9" w:rsidRDefault="00000000">
            <w:pPr>
              <w:pStyle w:val="TableParagraph"/>
              <w:ind w:left="105" w:right="215"/>
              <w:rPr>
                <w:sz w:val="18"/>
              </w:rPr>
            </w:pPr>
            <w:r>
              <w:rPr>
                <w:sz w:val="18"/>
              </w:rPr>
              <w:t>Adoption of</w:t>
            </w:r>
            <w:r>
              <w:rPr>
                <w:spacing w:val="-3"/>
                <w:sz w:val="18"/>
              </w:rPr>
              <w:t xml:space="preserve"> </w:t>
            </w:r>
            <w:r>
              <w:rPr>
                <w:sz w:val="18"/>
              </w:rPr>
              <w:t>the</w:t>
            </w:r>
            <w:r>
              <w:rPr>
                <w:spacing w:val="-4"/>
                <w:sz w:val="18"/>
              </w:rPr>
              <w:t xml:space="preserve"> </w:t>
            </w:r>
            <w:r>
              <w:rPr>
                <w:sz w:val="18"/>
              </w:rPr>
              <w:t>Model for</w:t>
            </w:r>
            <w:r>
              <w:rPr>
                <w:spacing w:val="-1"/>
                <w:sz w:val="18"/>
              </w:rPr>
              <w:t xml:space="preserve"> </w:t>
            </w:r>
            <w:r>
              <w:rPr>
                <w:sz w:val="18"/>
              </w:rPr>
              <w:t>the</w:t>
            </w:r>
            <w:r>
              <w:rPr>
                <w:spacing w:val="-2"/>
                <w:sz w:val="18"/>
              </w:rPr>
              <w:t xml:space="preserve"> </w:t>
            </w:r>
            <w:r>
              <w:rPr>
                <w:sz w:val="18"/>
              </w:rPr>
              <w:t>Financing</w:t>
            </w:r>
            <w:r>
              <w:rPr>
                <w:spacing w:val="-1"/>
                <w:sz w:val="18"/>
              </w:rPr>
              <w:t xml:space="preserve"> </w:t>
            </w:r>
            <w:r>
              <w:rPr>
                <w:sz w:val="18"/>
              </w:rPr>
              <w:t>of</w:t>
            </w:r>
            <w:r>
              <w:rPr>
                <w:spacing w:val="-42"/>
                <w:sz w:val="18"/>
              </w:rPr>
              <w:t xml:space="preserve"> </w:t>
            </w:r>
            <w:r>
              <w:rPr>
                <w:sz w:val="18"/>
              </w:rPr>
              <w:t>Early</w:t>
            </w:r>
            <w:r>
              <w:rPr>
                <w:spacing w:val="-5"/>
                <w:sz w:val="18"/>
              </w:rPr>
              <w:t xml:space="preserve"> </w:t>
            </w:r>
            <w:r>
              <w:rPr>
                <w:sz w:val="18"/>
              </w:rPr>
              <w:t>Childhood Education</w:t>
            </w:r>
            <w:r>
              <w:rPr>
                <w:spacing w:val="-1"/>
                <w:sz w:val="18"/>
              </w:rPr>
              <w:t xml:space="preserve"> </w:t>
            </w:r>
            <w:r>
              <w:rPr>
                <w:sz w:val="18"/>
              </w:rPr>
              <w:t>and Care</w:t>
            </w:r>
          </w:p>
        </w:tc>
        <w:tc>
          <w:tcPr>
            <w:tcW w:w="8928" w:type="dxa"/>
            <w:shd w:val="clear" w:color="auto" w:fill="C5EECE"/>
          </w:tcPr>
          <w:p w:rsidR="00A56FE9" w:rsidRDefault="00000000">
            <w:pPr>
              <w:pStyle w:val="TableParagraph"/>
              <w:ind w:left="104" w:right="92"/>
              <w:rPr>
                <w:sz w:val="18"/>
              </w:rPr>
            </w:pPr>
            <w:r>
              <w:rPr>
                <w:sz w:val="18"/>
              </w:rPr>
              <w:t>The Croatian Government shall adopt a model for financing the operating costs of ECEC facilities for</w:t>
            </w:r>
            <w:r>
              <w:rPr>
                <w:spacing w:val="1"/>
                <w:sz w:val="18"/>
              </w:rPr>
              <w:t xml:space="preserve"> </w:t>
            </w:r>
            <w:r>
              <w:rPr>
                <w:sz w:val="18"/>
              </w:rPr>
              <w:t>municipalities/local</w:t>
            </w:r>
            <w:r>
              <w:rPr>
                <w:spacing w:val="-3"/>
                <w:sz w:val="18"/>
              </w:rPr>
              <w:t xml:space="preserve"> </w:t>
            </w:r>
            <w:r>
              <w:rPr>
                <w:sz w:val="18"/>
              </w:rPr>
              <w:t>government</w:t>
            </w:r>
            <w:r>
              <w:rPr>
                <w:spacing w:val="-2"/>
                <w:sz w:val="18"/>
              </w:rPr>
              <w:t xml:space="preserve"> </w:t>
            </w:r>
            <w:r>
              <w:rPr>
                <w:sz w:val="18"/>
              </w:rPr>
              <w:t>units</w:t>
            </w:r>
            <w:r>
              <w:rPr>
                <w:spacing w:val="-2"/>
                <w:sz w:val="18"/>
              </w:rPr>
              <w:t xml:space="preserve"> </w:t>
            </w:r>
            <w:r>
              <w:rPr>
                <w:sz w:val="18"/>
              </w:rPr>
              <w:t>with</w:t>
            </w:r>
            <w:r>
              <w:rPr>
                <w:spacing w:val="-1"/>
                <w:sz w:val="18"/>
              </w:rPr>
              <w:t xml:space="preserve"> </w:t>
            </w:r>
            <w:r>
              <w:rPr>
                <w:sz w:val="18"/>
              </w:rPr>
              <w:t>less</w:t>
            </w:r>
            <w:r>
              <w:rPr>
                <w:spacing w:val="-2"/>
                <w:sz w:val="18"/>
              </w:rPr>
              <w:t xml:space="preserve"> </w:t>
            </w:r>
            <w:r>
              <w:rPr>
                <w:sz w:val="18"/>
              </w:rPr>
              <w:t>financial</w:t>
            </w:r>
            <w:r>
              <w:rPr>
                <w:spacing w:val="-2"/>
                <w:sz w:val="18"/>
              </w:rPr>
              <w:t xml:space="preserve"> </w:t>
            </w:r>
            <w:r>
              <w:rPr>
                <w:sz w:val="18"/>
              </w:rPr>
              <w:t>capacity,</w:t>
            </w:r>
            <w:r>
              <w:rPr>
                <w:spacing w:val="-2"/>
                <w:sz w:val="18"/>
              </w:rPr>
              <w:t xml:space="preserve"> </w:t>
            </w:r>
            <w:r>
              <w:rPr>
                <w:sz w:val="18"/>
              </w:rPr>
              <w:t>in</w:t>
            </w:r>
            <w:r>
              <w:rPr>
                <w:spacing w:val="-1"/>
                <w:sz w:val="18"/>
              </w:rPr>
              <w:t xml:space="preserve"> </w:t>
            </w:r>
            <w:r>
              <w:rPr>
                <w:sz w:val="18"/>
              </w:rPr>
              <w:t>order</w:t>
            </w:r>
            <w:r>
              <w:rPr>
                <w:spacing w:val="-2"/>
                <w:sz w:val="18"/>
              </w:rPr>
              <w:t xml:space="preserve"> </w:t>
            </w:r>
            <w:r>
              <w:rPr>
                <w:sz w:val="18"/>
              </w:rPr>
              <w:t>to</w:t>
            </w:r>
            <w:r>
              <w:rPr>
                <w:spacing w:val="-1"/>
                <w:sz w:val="18"/>
              </w:rPr>
              <w:t xml:space="preserve"> </w:t>
            </w:r>
            <w:r>
              <w:rPr>
                <w:sz w:val="18"/>
              </w:rPr>
              <w:t>ensure</w:t>
            </w:r>
            <w:r>
              <w:rPr>
                <w:spacing w:val="-3"/>
                <w:sz w:val="18"/>
              </w:rPr>
              <w:t xml:space="preserve"> </w:t>
            </w:r>
            <w:r>
              <w:rPr>
                <w:sz w:val="18"/>
              </w:rPr>
              <w:t>the</w:t>
            </w:r>
            <w:r>
              <w:rPr>
                <w:spacing w:val="-3"/>
                <w:sz w:val="18"/>
              </w:rPr>
              <w:t xml:space="preserve"> </w:t>
            </w:r>
            <w:r>
              <w:rPr>
                <w:sz w:val="18"/>
              </w:rPr>
              <w:t>sustainability</w:t>
            </w:r>
            <w:r>
              <w:rPr>
                <w:spacing w:val="-6"/>
                <w:sz w:val="18"/>
              </w:rPr>
              <w:t xml:space="preserve"> </w:t>
            </w:r>
            <w:r>
              <w:rPr>
                <w:sz w:val="18"/>
              </w:rPr>
              <w:t>of</w:t>
            </w:r>
            <w:r>
              <w:rPr>
                <w:spacing w:val="-3"/>
                <w:sz w:val="18"/>
              </w:rPr>
              <w:t xml:space="preserve"> </w:t>
            </w:r>
            <w:r>
              <w:rPr>
                <w:sz w:val="18"/>
              </w:rPr>
              <w:t>the</w:t>
            </w:r>
            <w:r>
              <w:rPr>
                <w:spacing w:val="-3"/>
                <w:sz w:val="18"/>
              </w:rPr>
              <w:t xml:space="preserve"> </w:t>
            </w:r>
            <w:r>
              <w:rPr>
                <w:sz w:val="18"/>
              </w:rPr>
              <w:t>investment</w:t>
            </w:r>
          </w:p>
          <w:p w:rsidR="00A56FE9" w:rsidRDefault="00000000">
            <w:pPr>
              <w:pStyle w:val="TableParagraph"/>
              <w:spacing w:line="190" w:lineRule="exact"/>
              <w:ind w:left="104"/>
              <w:rPr>
                <w:sz w:val="18"/>
              </w:rPr>
            </w:pPr>
            <w:r>
              <w:rPr>
                <w:sz w:val="18"/>
              </w:rPr>
              <w:t>after</w:t>
            </w:r>
            <w:r>
              <w:rPr>
                <w:spacing w:val="-1"/>
                <w:sz w:val="18"/>
              </w:rPr>
              <w:t xml:space="preserve"> </w:t>
            </w:r>
            <w:r>
              <w:rPr>
                <w:sz w:val="18"/>
              </w:rPr>
              <w:t>the</w:t>
            </w:r>
            <w:r>
              <w:rPr>
                <w:spacing w:val="-2"/>
                <w:sz w:val="18"/>
              </w:rPr>
              <w:t xml:space="preserve"> </w:t>
            </w:r>
            <w:r>
              <w:rPr>
                <w:sz w:val="18"/>
              </w:rPr>
              <w:t>renovation</w:t>
            </w:r>
            <w:r>
              <w:rPr>
                <w:spacing w:val="1"/>
                <w:sz w:val="18"/>
              </w:rPr>
              <w:t xml:space="preserve"> </w:t>
            </w:r>
            <w:r>
              <w:rPr>
                <w:sz w:val="18"/>
              </w:rPr>
              <w:t>of</w:t>
            </w:r>
            <w:r>
              <w:rPr>
                <w:spacing w:val="-3"/>
                <w:sz w:val="18"/>
              </w:rPr>
              <w:t xml:space="preserve"> </w:t>
            </w:r>
            <w:r>
              <w:rPr>
                <w:sz w:val="18"/>
              </w:rPr>
              <w:t>existing</w:t>
            </w:r>
            <w:r>
              <w:rPr>
                <w:spacing w:val="-1"/>
                <w:sz w:val="18"/>
              </w:rPr>
              <w:t xml:space="preserve"> </w:t>
            </w:r>
            <w:r>
              <w:rPr>
                <w:sz w:val="18"/>
              </w:rPr>
              <w:t>or</w:t>
            </w:r>
            <w:r>
              <w:rPr>
                <w:spacing w:val="-3"/>
                <w:sz w:val="18"/>
              </w:rPr>
              <w:t xml:space="preserve"> </w:t>
            </w:r>
            <w:r>
              <w:rPr>
                <w:sz w:val="18"/>
              </w:rPr>
              <w:t>construction</w:t>
            </w:r>
            <w:r>
              <w:rPr>
                <w:spacing w:val="-1"/>
                <w:sz w:val="18"/>
              </w:rPr>
              <w:t xml:space="preserve"> </w:t>
            </w:r>
            <w:r>
              <w:rPr>
                <w:sz w:val="18"/>
              </w:rPr>
              <w:t>of</w:t>
            </w:r>
            <w:r>
              <w:rPr>
                <w:spacing w:val="-3"/>
                <w:sz w:val="18"/>
              </w:rPr>
              <w:t xml:space="preserve"> </w:t>
            </w:r>
            <w:r>
              <w:rPr>
                <w:sz w:val="18"/>
              </w:rPr>
              <w:t>new</w:t>
            </w:r>
            <w:r>
              <w:rPr>
                <w:spacing w:val="-3"/>
                <w:sz w:val="18"/>
              </w:rPr>
              <w:t xml:space="preserve"> </w:t>
            </w:r>
            <w:r>
              <w:rPr>
                <w:sz w:val="18"/>
              </w:rPr>
              <w:t>ECEC</w:t>
            </w:r>
            <w:r>
              <w:rPr>
                <w:spacing w:val="-1"/>
                <w:sz w:val="18"/>
              </w:rPr>
              <w:t xml:space="preserve"> </w:t>
            </w:r>
            <w:r>
              <w:rPr>
                <w:sz w:val="18"/>
              </w:rPr>
              <w:t>facilities</w:t>
            </w:r>
          </w:p>
        </w:tc>
      </w:tr>
      <w:tr w:rsidR="00A56FE9">
        <w:trPr>
          <w:trHeight w:val="414"/>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spacing w:line="206" w:lineRule="exact"/>
              <w:ind w:left="105" w:right="601"/>
              <w:rPr>
                <w:sz w:val="18"/>
              </w:rPr>
            </w:pPr>
            <w:r>
              <w:rPr>
                <w:sz w:val="18"/>
              </w:rPr>
              <w:t>Adoption</w:t>
            </w:r>
            <w:r>
              <w:rPr>
                <w:spacing w:val="-1"/>
                <w:sz w:val="18"/>
              </w:rPr>
              <w:t xml:space="preserve"> </w:t>
            </w:r>
            <w:r>
              <w:rPr>
                <w:sz w:val="18"/>
              </w:rPr>
              <w:t>of</w:t>
            </w:r>
            <w:r>
              <w:rPr>
                <w:spacing w:val="-3"/>
                <w:sz w:val="18"/>
              </w:rPr>
              <w:t xml:space="preserve"> </w:t>
            </w:r>
            <w:r>
              <w:rPr>
                <w:sz w:val="18"/>
              </w:rPr>
              <w:t>the</w:t>
            </w:r>
            <w:r>
              <w:rPr>
                <w:spacing w:val="-5"/>
                <w:sz w:val="18"/>
              </w:rPr>
              <w:t xml:space="preserve"> </w:t>
            </w:r>
            <w:r>
              <w:rPr>
                <w:sz w:val="18"/>
              </w:rPr>
              <w:t>new</w:t>
            </w:r>
            <w:r>
              <w:rPr>
                <w:spacing w:val="-1"/>
                <w:sz w:val="18"/>
              </w:rPr>
              <w:t xml:space="preserve"> </w:t>
            </w:r>
            <w:r>
              <w:rPr>
                <w:sz w:val="18"/>
              </w:rPr>
              <w:t>Act</w:t>
            </w:r>
            <w:r>
              <w:rPr>
                <w:spacing w:val="-2"/>
                <w:sz w:val="18"/>
              </w:rPr>
              <w:t xml:space="preserve"> </w:t>
            </w:r>
            <w:r>
              <w:rPr>
                <w:sz w:val="18"/>
              </w:rPr>
              <w:t>on Scientific</w:t>
            </w:r>
            <w:r>
              <w:rPr>
                <w:spacing w:val="-42"/>
                <w:sz w:val="18"/>
              </w:rPr>
              <w:t xml:space="preserve"> </w:t>
            </w:r>
            <w:r>
              <w:rPr>
                <w:sz w:val="18"/>
              </w:rPr>
              <w:t>Activity</w:t>
            </w:r>
            <w:r>
              <w:rPr>
                <w:spacing w:val="-5"/>
                <w:sz w:val="18"/>
              </w:rPr>
              <w:t xml:space="preserve"> </w:t>
            </w:r>
            <w:r>
              <w:rPr>
                <w:sz w:val="18"/>
              </w:rPr>
              <w:t>and</w:t>
            </w:r>
            <w:r>
              <w:rPr>
                <w:spacing w:val="1"/>
                <w:sz w:val="18"/>
              </w:rPr>
              <w:t xml:space="preserve"> </w:t>
            </w:r>
            <w:r>
              <w:rPr>
                <w:sz w:val="18"/>
              </w:rPr>
              <w:t>Higher Education</w:t>
            </w:r>
          </w:p>
        </w:tc>
        <w:tc>
          <w:tcPr>
            <w:tcW w:w="8928" w:type="dxa"/>
            <w:shd w:val="clear" w:color="auto" w:fill="C5EECE"/>
          </w:tcPr>
          <w:p w:rsidR="00A56FE9" w:rsidRDefault="00000000">
            <w:pPr>
              <w:pStyle w:val="TableParagraph"/>
              <w:spacing w:line="206" w:lineRule="exact"/>
              <w:ind w:left="104" w:right="435"/>
              <w:rPr>
                <w:sz w:val="18"/>
              </w:rPr>
            </w:pPr>
            <w:r>
              <w:rPr>
                <w:sz w:val="18"/>
              </w:rPr>
              <w:t>The</w:t>
            </w:r>
            <w:r>
              <w:rPr>
                <w:spacing w:val="-3"/>
                <w:sz w:val="18"/>
              </w:rPr>
              <w:t xml:space="preserve"> </w:t>
            </w:r>
            <w:r>
              <w:rPr>
                <w:sz w:val="18"/>
              </w:rPr>
              <w:t>new</w:t>
            </w:r>
            <w:r>
              <w:rPr>
                <w:spacing w:val="-1"/>
                <w:sz w:val="18"/>
              </w:rPr>
              <w:t xml:space="preserve"> </w:t>
            </w:r>
            <w:r>
              <w:rPr>
                <w:sz w:val="18"/>
              </w:rPr>
              <w:t>framework</w:t>
            </w:r>
            <w:r>
              <w:rPr>
                <w:spacing w:val="-2"/>
                <w:sz w:val="18"/>
              </w:rPr>
              <w:t xml:space="preserve"> </w:t>
            </w:r>
            <w:r>
              <w:rPr>
                <w:sz w:val="18"/>
              </w:rPr>
              <w:t>shall</w:t>
            </w:r>
            <w:r>
              <w:rPr>
                <w:spacing w:val="-1"/>
                <w:sz w:val="18"/>
              </w:rPr>
              <w:t xml:space="preserve"> </w:t>
            </w:r>
            <w:r>
              <w:rPr>
                <w:sz w:val="18"/>
              </w:rPr>
              <w:t>enable</w:t>
            </w:r>
            <w:r>
              <w:rPr>
                <w:spacing w:val="-2"/>
                <w:sz w:val="18"/>
              </w:rPr>
              <w:t xml:space="preserve"> </w:t>
            </w:r>
            <w:r>
              <w:rPr>
                <w:sz w:val="18"/>
              </w:rPr>
              <w:t>organisational</w:t>
            </w:r>
            <w:r>
              <w:rPr>
                <w:spacing w:val="-1"/>
                <w:sz w:val="18"/>
              </w:rPr>
              <w:t xml:space="preserve"> </w:t>
            </w:r>
            <w:r>
              <w:rPr>
                <w:sz w:val="18"/>
              </w:rPr>
              <w:t>reform</w:t>
            </w:r>
            <w:r>
              <w:rPr>
                <w:spacing w:val="-4"/>
                <w:sz w:val="18"/>
              </w:rPr>
              <w:t xml:space="preserve"> </w:t>
            </w:r>
            <w:r>
              <w:rPr>
                <w:sz w:val="18"/>
              </w:rPr>
              <w:t>of</w:t>
            </w:r>
            <w:r>
              <w:rPr>
                <w:spacing w:val="-3"/>
                <w:sz w:val="18"/>
              </w:rPr>
              <w:t xml:space="preserve"> </w:t>
            </w:r>
            <w:r>
              <w:rPr>
                <w:sz w:val="18"/>
              </w:rPr>
              <w:t>public</w:t>
            </w:r>
            <w:r>
              <w:rPr>
                <w:spacing w:val="-5"/>
                <w:sz w:val="18"/>
              </w:rPr>
              <w:t xml:space="preserve"> </w:t>
            </w:r>
            <w:r>
              <w:rPr>
                <w:sz w:val="18"/>
              </w:rPr>
              <w:t>universities</w:t>
            </w:r>
            <w:r>
              <w:rPr>
                <w:spacing w:val="-1"/>
                <w:sz w:val="18"/>
              </w:rPr>
              <w:t xml:space="preserve"> </w:t>
            </w:r>
            <w:r>
              <w:rPr>
                <w:sz w:val="18"/>
              </w:rPr>
              <w:t>and scientific</w:t>
            </w:r>
            <w:r>
              <w:rPr>
                <w:spacing w:val="-1"/>
                <w:sz w:val="18"/>
              </w:rPr>
              <w:t xml:space="preserve"> </w:t>
            </w:r>
            <w:r>
              <w:rPr>
                <w:sz w:val="18"/>
              </w:rPr>
              <w:t>institutes</w:t>
            </w:r>
            <w:r>
              <w:rPr>
                <w:spacing w:val="-3"/>
                <w:sz w:val="18"/>
              </w:rPr>
              <w:t xml:space="preserve"> </w:t>
            </w:r>
            <w:r>
              <w:rPr>
                <w:sz w:val="18"/>
              </w:rPr>
              <w:t>and introduce</w:t>
            </w:r>
            <w:r>
              <w:rPr>
                <w:spacing w:val="-2"/>
                <w:sz w:val="18"/>
              </w:rPr>
              <w:t xml:space="preserve"> </w:t>
            </w:r>
            <w:r>
              <w:rPr>
                <w:sz w:val="18"/>
              </w:rPr>
              <w:t>a</w:t>
            </w:r>
            <w:r>
              <w:rPr>
                <w:spacing w:val="-42"/>
                <w:sz w:val="18"/>
              </w:rPr>
              <w:t xml:space="preserve"> </w:t>
            </w:r>
            <w:r>
              <w:rPr>
                <w:sz w:val="18"/>
              </w:rPr>
              <w:t>performance-based funding</w:t>
            </w:r>
            <w:r>
              <w:rPr>
                <w:spacing w:val="-1"/>
                <w:sz w:val="18"/>
              </w:rPr>
              <w:t xml:space="preserve"> </w:t>
            </w:r>
            <w:r>
              <w:rPr>
                <w:sz w:val="18"/>
              </w:rPr>
              <w:t>model.</w:t>
            </w:r>
          </w:p>
        </w:tc>
      </w:tr>
      <w:tr w:rsidR="00A56FE9">
        <w:trPr>
          <w:trHeight w:val="1036"/>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ind w:left="105" w:right="310"/>
              <w:rPr>
                <w:sz w:val="18"/>
              </w:rPr>
            </w:pPr>
            <w:r>
              <w:rPr>
                <w:sz w:val="18"/>
              </w:rPr>
              <w:t>Publication of the National Skills</w:t>
            </w:r>
            <w:r>
              <w:rPr>
                <w:spacing w:val="1"/>
                <w:sz w:val="18"/>
              </w:rPr>
              <w:t xml:space="preserve"> </w:t>
            </w:r>
            <w:r>
              <w:rPr>
                <w:sz w:val="18"/>
              </w:rPr>
              <w:t>Development Plan in the context of green</w:t>
            </w:r>
            <w:r>
              <w:rPr>
                <w:spacing w:val="-42"/>
                <w:sz w:val="18"/>
              </w:rPr>
              <w:t xml:space="preserve"> </w:t>
            </w:r>
            <w:r>
              <w:rPr>
                <w:sz w:val="18"/>
              </w:rPr>
              <w:t>jobs related to energy efficiency and post-</w:t>
            </w:r>
            <w:r>
              <w:rPr>
                <w:spacing w:val="-42"/>
                <w:sz w:val="18"/>
              </w:rPr>
              <w:t xml:space="preserve"> </w:t>
            </w:r>
            <w:r>
              <w:rPr>
                <w:sz w:val="18"/>
              </w:rPr>
              <w:t>earthquake</w:t>
            </w:r>
            <w:r>
              <w:rPr>
                <w:spacing w:val="-2"/>
                <w:sz w:val="18"/>
              </w:rPr>
              <w:t xml:space="preserve"> </w:t>
            </w:r>
            <w:r>
              <w:rPr>
                <w:sz w:val="18"/>
              </w:rPr>
              <w:t>reconstruction</w:t>
            </w:r>
          </w:p>
          <w:p w:rsidR="00A56FE9" w:rsidRDefault="00000000">
            <w:pPr>
              <w:pStyle w:val="TableParagraph"/>
              <w:spacing w:line="193" w:lineRule="exact"/>
              <w:ind w:left="105"/>
              <w:rPr>
                <w:i/>
                <w:sz w:val="18"/>
              </w:rPr>
            </w:pPr>
            <w:r>
              <w:rPr>
                <w:i/>
                <w:spacing w:val="-4"/>
                <w:sz w:val="18"/>
              </w:rPr>
              <w:t>Also</w:t>
            </w:r>
            <w:r>
              <w:rPr>
                <w:i/>
                <w:spacing w:val="-8"/>
                <w:sz w:val="18"/>
              </w:rPr>
              <w:t xml:space="preserve"> </w:t>
            </w:r>
            <w:r>
              <w:rPr>
                <w:i/>
                <w:spacing w:val="-4"/>
                <w:sz w:val="18"/>
              </w:rPr>
              <w:t>contributes</w:t>
            </w:r>
            <w:r>
              <w:rPr>
                <w:i/>
                <w:spacing w:val="-9"/>
                <w:sz w:val="18"/>
              </w:rPr>
              <w:t xml:space="preserve"> </w:t>
            </w:r>
            <w:r>
              <w:rPr>
                <w:i/>
                <w:spacing w:val="-4"/>
                <w:sz w:val="18"/>
              </w:rPr>
              <w:t>to</w:t>
            </w:r>
            <w:r>
              <w:rPr>
                <w:i/>
                <w:spacing w:val="-7"/>
                <w:sz w:val="18"/>
              </w:rPr>
              <w:t xml:space="preserve"> </w:t>
            </w:r>
            <w:r>
              <w:rPr>
                <w:i/>
                <w:spacing w:val="-4"/>
                <w:sz w:val="18"/>
              </w:rPr>
              <w:t>achieving</w:t>
            </w:r>
            <w:r>
              <w:rPr>
                <w:i/>
                <w:spacing w:val="-6"/>
                <w:sz w:val="18"/>
              </w:rPr>
              <w:t xml:space="preserve"> </w:t>
            </w:r>
            <w:r>
              <w:rPr>
                <w:i/>
                <w:spacing w:val="-3"/>
                <w:sz w:val="18"/>
              </w:rPr>
              <w:t>SDG</w:t>
            </w:r>
            <w:r>
              <w:rPr>
                <w:i/>
                <w:spacing w:val="-7"/>
                <w:sz w:val="18"/>
              </w:rPr>
              <w:t xml:space="preserve"> </w:t>
            </w:r>
            <w:r>
              <w:rPr>
                <w:i/>
                <w:spacing w:val="-3"/>
                <w:sz w:val="18"/>
              </w:rPr>
              <w:t>7,</w:t>
            </w:r>
            <w:r>
              <w:rPr>
                <w:i/>
                <w:spacing w:val="-9"/>
                <w:sz w:val="18"/>
              </w:rPr>
              <w:t xml:space="preserve"> </w:t>
            </w:r>
            <w:r>
              <w:rPr>
                <w:i/>
                <w:spacing w:val="-3"/>
                <w:sz w:val="18"/>
              </w:rPr>
              <w:t>11</w:t>
            </w:r>
            <w:r>
              <w:rPr>
                <w:i/>
                <w:spacing w:val="-7"/>
                <w:sz w:val="18"/>
              </w:rPr>
              <w:t xml:space="preserve"> </w:t>
            </w:r>
            <w:r>
              <w:rPr>
                <w:i/>
                <w:spacing w:val="-3"/>
                <w:sz w:val="18"/>
              </w:rPr>
              <w:t>and</w:t>
            </w:r>
            <w:r>
              <w:rPr>
                <w:i/>
                <w:spacing w:val="-7"/>
                <w:sz w:val="18"/>
              </w:rPr>
              <w:t xml:space="preserve"> </w:t>
            </w:r>
            <w:r>
              <w:rPr>
                <w:i/>
                <w:spacing w:val="-3"/>
                <w:sz w:val="18"/>
              </w:rPr>
              <w:t>13</w:t>
            </w:r>
          </w:p>
        </w:tc>
        <w:tc>
          <w:tcPr>
            <w:tcW w:w="8928" w:type="dxa"/>
            <w:shd w:val="clear" w:color="auto" w:fill="C5EECE"/>
          </w:tcPr>
          <w:p w:rsidR="00A56FE9" w:rsidRDefault="00000000">
            <w:pPr>
              <w:pStyle w:val="TableParagraph"/>
              <w:ind w:left="104" w:right="287"/>
              <w:rPr>
                <w:sz w:val="18"/>
              </w:rPr>
            </w:pPr>
            <w:r>
              <w:rPr>
                <w:sz w:val="18"/>
              </w:rPr>
              <w:t>The publication of the National Skills Development Plan that shall improve the skills of green jobs in the context of</w:t>
            </w:r>
            <w:r>
              <w:rPr>
                <w:spacing w:val="1"/>
                <w:sz w:val="18"/>
              </w:rPr>
              <w:t xml:space="preserve"> </w:t>
            </w:r>
            <w:r>
              <w:rPr>
                <w:sz w:val="18"/>
              </w:rPr>
              <w:t>energy renovation, post-earthquake renovation, green infrastructure, application of nature-based solutions and circular</w:t>
            </w:r>
            <w:r>
              <w:rPr>
                <w:spacing w:val="-42"/>
                <w:sz w:val="18"/>
              </w:rPr>
              <w:t xml:space="preserve"> </w:t>
            </w:r>
            <w:r>
              <w:rPr>
                <w:sz w:val="18"/>
              </w:rPr>
              <w:t>management of space and building, based on a review of existing programmes and preparation and adaptation of</w:t>
            </w:r>
            <w:r>
              <w:rPr>
                <w:spacing w:val="1"/>
                <w:sz w:val="18"/>
              </w:rPr>
              <w:t xml:space="preserve"> </w:t>
            </w:r>
            <w:r>
              <w:rPr>
                <w:sz w:val="18"/>
              </w:rPr>
              <w:t>educational</w:t>
            </w:r>
            <w:r>
              <w:rPr>
                <w:spacing w:val="-3"/>
                <w:sz w:val="18"/>
              </w:rPr>
              <w:t xml:space="preserve"> </w:t>
            </w:r>
            <w:r>
              <w:rPr>
                <w:sz w:val="18"/>
              </w:rPr>
              <w:t>programmes defined</w:t>
            </w:r>
            <w:r>
              <w:rPr>
                <w:spacing w:val="1"/>
                <w:sz w:val="18"/>
              </w:rPr>
              <w:t xml:space="preserve"> </w:t>
            </w:r>
            <w:r>
              <w:rPr>
                <w:sz w:val="18"/>
              </w:rPr>
              <w:t>by</w:t>
            </w:r>
            <w:r>
              <w:rPr>
                <w:spacing w:val="-4"/>
                <w:sz w:val="18"/>
              </w:rPr>
              <w:t xml:space="preserve"> </w:t>
            </w:r>
            <w:r>
              <w:rPr>
                <w:sz w:val="18"/>
              </w:rPr>
              <w:t>the</w:t>
            </w:r>
            <w:r>
              <w:rPr>
                <w:spacing w:val="-1"/>
                <w:sz w:val="18"/>
              </w:rPr>
              <w:t xml:space="preserve"> </w:t>
            </w:r>
            <w:r>
              <w:rPr>
                <w:sz w:val="18"/>
              </w:rPr>
              <w:t>reform.</w:t>
            </w:r>
          </w:p>
        </w:tc>
      </w:tr>
    </w:tbl>
    <w:p w:rsidR="00A56FE9" w:rsidRDefault="00A56FE9">
      <w:pPr>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4"/>
        <w:gridCol w:w="3468"/>
        <w:gridCol w:w="8926"/>
      </w:tblGrid>
      <w:tr w:rsidR="00A56FE9">
        <w:trPr>
          <w:trHeight w:val="249"/>
        </w:trPr>
        <w:tc>
          <w:tcPr>
            <w:tcW w:w="2064" w:type="dxa"/>
            <w:tcBorders>
              <w:top w:val="nil"/>
              <w:left w:val="nil"/>
              <w:bottom w:val="nil"/>
              <w:right w:val="nil"/>
            </w:tcBorders>
            <w:shd w:val="clear" w:color="auto" w:fill="2C398A"/>
          </w:tcPr>
          <w:p w:rsidR="00A56FE9" w:rsidRDefault="00000000">
            <w:pPr>
              <w:pStyle w:val="TableParagraph"/>
              <w:spacing w:before="10" w:line="220" w:lineRule="exact"/>
              <w:ind w:left="806" w:right="806"/>
              <w:jc w:val="center"/>
              <w:rPr>
                <w:b/>
                <w:sz w:val="20"/>
              </w:rPr>
            </w:pPr>
            <w:r>
              <w:rPr>
                <w:b/>
                <w:color w:val="FFFFFF"/>
                <w:sz w:val="20"/>
              </w:rPr>
              <w:t>SDG</w:t>
            </w:r>
          </w:p>
        </w:tc>
        <w:tc>
          <w:tcPr>
            <w:tcW w:w="3468" w:type="dxa"/>
            <w:tcBorders>
              <w:top w:val="nil"/>
              <w:left w:val="nil"/>
              <w:bottom w:val="nil"/>
              <w:right w:val="nil"/>
            </w:tcBorders>
            <w:shd w:val="clear" w:color="auto" w:fill="2C398A"/>
          </w:tcPr>
          <w:p w:rsidR="00A56FE9" w:rsidRDefault="00000000">
            <w:pPr>
              <w:pStyle w:val="TableParagraph"/>
              <w:spacing w:before="10" w:line="220" w:lineRule="exact"/>
              <w:ind w:left="792"/>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6" w:type="dxa"/>
            <w:tcBorders>
              <w:top w:val="nil"/>
              <w:left w:val="nil"/>
              <w:bottom w:val="nil"/>
              <w:right w:val="nil"/>
            </w:tcBorders>
            <w:shd w:val="clear" w:color="auto" w:fill="2C398A"/>
          </w:tcPr>
          <w:p w:rsidR="00A56FE9" w:rsidRDefault="00000000">
            <w:pPr>
              <w:pStyle w:val="TableParagraph"/>
              <w:spacing w:before="10" w:line="220" w:lineRule="exact"/>
              <w:ind w:left="1951" w:right="1949"/>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621"/>
        </w:trPr>
        <w:tc>
          <w:tcPr>
            <w:tcW w:w="2064" w:type="dxa"/>
            <w:vMerge w:val="restart"/>
            <w:tcBorders>
              <w:top w:val="nil"/>
            </w:tcBorders>
            <w:shd w:val="clear" w:color="auto" w:fill="F1F1F1"/>
          </w:tcPr>
          <w:p w:rsidR="00A56FE9" w:rsidRDefault="00A56FE9">
            <w:pPr>
              <w:pStyle w:val="TableParagraph"/>
              <w:rPr>
                <w:sz w:val="18"/>
              </w:rPr>
            </w:pPr>
          </w:p>
        </w:tc>
        <w:tc>
          <w:tcPr>
            <w:tcW w:w="3468" w:type="dxa"/>
            <w:tcBorders>
              <w:top w:val="nil"/>
            </w:tcBorders>
          </w:tcPr>
          <w:p w:rsidR="00A56FE9" w:rsidRDefault="00000000">
            <w:pPr>
              <w:pStyle w:val="TableParagraph"/>
              <w:ind w:left="100" w:right="243"/>
              <w:rPr>
                <w:sz w:val="18"/>
              </w:rPr>
            </w:pPr>
            <w:r>
              <w:rPr>
                <w:sz w:val="18"/>
              </w:rPr>
              <w:t>Drafting and development of vocational</w:t>
            </w:r>
            <w:r>
              <w:rPr>
                <w:spacing w:val="1"/>
                <w:sz w:val="18"/>
              </w:rPr>
              <w:t xml:space="preserve"> </w:t>
            </w:r>
            <w:r>
              <w:rPr>
                <w:sz w:val="18"/>
              </w:rPr>
              <w:t>curricula</w:t>
            </w:r>
            <w:r>
              <w:rPr>
                <w:spacing w:val="-3"/>
                <w:sz w:val="18"/>
              </w:rPr>
              <w:t xml:space="preserve"> </w:t>
            </w:r>
            <w:r>
              <w:rPr>
                <w:sz w:val="18"/>
              </w:rPr>
              <w:t>harmonised</w:t>
            </w:r>
            <w:r>
              <w:rPr>
                <w:spacing w:val="-1"/>
                <w:sz w:val="18"/>
              </w:rPr>
              <w:t xml:space="preserve"> </w:t>
            </w:r>
            <w:r>
              <w:rPr>
                <w:sz w:val="18"/>
              </w:rPr>
              <w:t>with</w:t>
            </w:r>
            <w:r>
              <w:rPr>
                <w:spacing w:val="-1"/>
                <w:sz w:val="18"/>
              </w:rPr>
              <w:t xml:space="preserve"> </w:t>
            </w:r>
            <w:r>
              <w:rPr>
                <w:sz w:val="18"/>
              </w:rPr>
              <w:t>the</w:t>
            </w:r>
            <w:r>
              <w:rPr>
                <w:spacing w:val="-3"/>
                <w:sz w:val="18"/>
              </w:rPr>
              <w:t xml:space="preserve"> </w:t>
            </w:r>
            <w:r>
              <w:rPr>
                <w:sz w:val="18"/>
              </w:rPr>
              <w:t>CROQF</w:t>
            </w:r>
            <w:r>
              <w:rPr>
                <w:spacing w:val="-2"/>
                <w:sz w:val="18"/>
              </w:rPr>
              <w:t xml:space="preserve"> </w:t>
            </w:r>
            <w:r>
              <w:rPr>
                <w:sz w:val="18"/>
              </w:rPr>
              <w:t>and</w:t>
            </w:r>
          </w:p>
          <w:p w:rsidR="00A56FE9" w:rsidRDefault="00000000">
            <w:pPr>
              <w:pStyle w:val="TableParagraph"/>
              <w:spacing w:line="192" w:lineRule="exact"/>
              <w:ind w:left="100"/>
              <w:rPr>
                <w:sz w:val="18"/>
              </w:rPr>
            </w:pPr>
            <w:r>
              <w:rPr>
                <w:sz w:val="18"/>
              </w:rPr>
              <w:t>the</w:t>
            </w:r>
            <w:r>
              <w:rPr>
                <w:spacing w:val="-2"/>
                <w:sz w:val="18"/>
              </w:rPr>
              <w:t xml:space="preserve"> </w:t>
            </w:r>
            <w:r>
              <w:rPr>
                <w:sz w:val="18"/>
              </w:rPr>
              <w:t>needs</w:t>
            </w:r>
            <w:r>
              <w:rPr>
                <w:spacing w:val="-4"/>
                <w:sz w:val="18"/>
              </w:rPr>
              <w:t xml:space="preserve"> </w:t>
            </w:r>
            <w:r>
              <w:rPr>
                <w:sz w:val="18"/>
              </w:rPr>
              <w:t>of</w:t>
            </w:r>
            <w:r>
              <w:rPr>
                <w:spacing w:val="-3"/>
                <w:sz w:val="18"/>
              </w:rPr>
              <w:t xml:space="preserve"> </w:t>
            </w:r>
            <w:r>
              <w:rPr>
                <w:sz w:val="18"/>
              </w:rPr>
              <w:t>the</w:t>
            </w:r>
            <w:r>
              <w:rPr>
                <w:spacing w:val="-2"/>
                <w:sz w:val="18"/>
              </w:rPr>
              <w:t xml:space="preserve"> </w:t>
            </w:r>
            <w:r>
              <w:rPr>
                <w:sz w:val="18"/>
              </w:rPr>
              <w:t>labour</w:t>
            </w:r>
            <w:r>
              <w:rPr>
                <w:spacing w:val="-1"/>
                <w:sz w:val="18"/>
              </w:rPr>
              <w:t xml:space="preserve"> </w:t>
            </w:r>
            <w:r>
              <w:rPr>
                <w:sz w:val="18"/>
              </w:rPr>
              <w:t>market</w:t>
            </w:r>
          </w:p>
        </w:tc>
        <w:tc>
          <w:tcPr>
            <w:tcW w:w="8926" w:type="dxa"/>
            <w:tcBorders>
              <w:top w:val="nil"/>
            </w:tcBorders>
          </w:tcPr>
          <w:p w:rsidR="00A56FE9" w:rsidRDefault="00000000">
            <w:pPr>
              <w:pStyle w:val="TableParagraph"/>
              <w:ind w:left="106" w:right="242"/>
              <w:rPr>
                <w:sz w:val="18"/>
              </w:rPr>
            </w:pPr>
            <w:r>
              <w:rPr>
                <w:sz w:val="18"/>
              </w:rPr>
              <w:t>The</w:t>
            </w:r>
            <w:r>
              <w:rPr>
                <w:spacing w:val="-2"/>
                <w:sz w:val="18"/>
              </w:rPr>
              <w:t xml:space="preserve"> </w:t>
            </w:r>
            <w:r>
              <w:rPr>
                <w:sz w:val="18"/>
              </w:rPr>
              <w:t>development</w:t>
            </w:r>
            <w:r>
              <w:rPr>
                <w:spacing w:val="-1"/>
                <w:sz w:val="18"/>
              </w:rPr>
              <w:t xml:space="preserve"> </w:t>
            </w:r>
            <w:r>
              <w:rPr>
                <w:sz w:val="18"/>
              </w:rPr>
              <w:t>of</w:t>
            </w:r>
            <w:r>
              <w:rPr>
                <w:spacing w:val="-3"/>
                <w:sz w:val="18"/>
              </w:rPr>
              <w:t xml:space="preserve"> </w:t>
            </w:r>
            <w:r>
              <w:rPr>
                <w:sz w:val="18"/>
              </w:rPr>
              <w:t>vocational</w:t>
            </w:r>
            <w:r>
              <w:rPr>
                <w:spacing w:val="2"/>
                <w:sz w:val="18"/>
              </w:rPr>
              <w:t xml:space="preserve"> </w:t>
            </w:r>
            <w:r>
              <w:rPr>
                <w:sz w:val="18"/>
              </w:rPr>
              <w:t>curricula</w:t>
            </w:r>
            <w:r>
              <w:rPr>
                <w:spacing w:val="-1"/>
                <w:sz w:val="18"/>
              </w:rPr>
              <w:t xml:space="preserve"> </w:t>
            </w:r>
            <w:r>
              <w:rPr>
                <w:sz w:val="18"/>
              </w:rPr>
              <w:t>in line</w:t>
            </w:r>
            <w:r>
              <w:rPr>
                <w:spacing w:val="-2"/>
                <w:sz w:val="18"/>
              </w:rPr>
              <w:t xml:space="preserve"> </w:t>
            </w:r>
            <w:r>
              <w:rPr>
                <w:sz w:val="18"/>
              </w:rPr>
              <w:t>with the</w:t>
            </w:r>
            <w:r>
              <w:rPr>
                <w:spacing w:val="-1"/>
                <w:sz w:val="18"/>
              </w:rPr>
              <w:t xml:space="preserve"> </w:t>
            </w:r>
            <w:r>
              <w:rPr>
                <w:sz w:val="18"/>
              </w:rPr>
              <w:t>CROQF</w:t>
            </w:r>
            <w:r>
              <w:rPr>
                <w:spacing w:val="-3"/>
                <w:sz w:val="18"/>
              </w:rPr>
              <w:t xml:space="preserve"> </w:t>
            </w:r>
            <w:r>
              <w:rPr>
                <w:sz w:val="18"/>
              </w:rPr>
              <w:t>concept</w:t>
            </w:r>
            <w:r>
              <w:rPr>
                <w:spacing w:val="-1"/>
                <w:sz w:val="18"/>
              </w:rPr>
              <w:t xml:space="preserve"> </w:t>
            </w:r>
            <w:r>
              <w:rPr>
                <w:sz w:val="18"/>
              </w:rPr>
              <w:t>will</w:t>
            </w:r>
            <w:r>
              <w:rPr>
                <w:spacing w:val="-1"/>
                <w:sz w:val="18"/>
              </w:rPr>
              <w:t xml:space="preserve"> </w:t>
            </w:r>
            <w:r>
              <w:rPr>
                <w:sz w:val="18"/>
              </w:rPr>
              <w:t>achieve</w:t>
            </w:r>
            <w:r>
              <w:rPr>
                <w:spacing w:val="-2"/>
                <w:sz w:val="18"/>
              </w:rPr>
              <w:t xml:space="preserve"> </w:t>
            </w:r>
            <w:r>
              <w:rPr>
                <w:sz w:val="18"/>
              </w:rPr>
              <w:t>a</w:t>
            </w:r>
            <w:r>
              <w:rPr>
                <w:spacing w:val="-2"/>
                <w:sz w:val="18"/>
              </w:rPr>
              <w:t xml:space="preserve"> </w:t>
            </w:r>
            <w:r>
              <w:rPr>
                <w:sz w:val="18"/>
              </w:rPr>
              <w:t>strong</w:t>
            </w:r>
            <w:r>
              <w:rPr>
                <w:spacing w:val="-2"/>
                <w:sz w:val="18"/>
              </w:rPr>
              <w:t xml:space="preserve"> </w:t>
            </w:r>
            <w:r>
              <w:rPr>
                <w:sz w:val="18"/>
              </w:rPr>
              <w:t>link</w:t>
            </w:r>
            <w:r>
              <w:rPr>
                <w:spacing w:val="-5"/>
                <w:sz w:val="18"/>
              </w:rPr>
              <w:t xml:space="preserve"> </w:t>
            </w:r>
            <w:r>
              <w:rPr>
                <w:sz w:val="18"/>
              </w:rPr>
              <w:t>with</w:t>
            </w:r>
            <w:r>
              <w:rPr>
                <w:spacing w:val="1"/>
                <w:sz w:val="18"/>
              </w:rPr>
              <w:t xml:space="preserve"> </w:t>
            </w:r>
            <w:r>
              <w:rPr>
                <w:sz w:val="18"/>
              </w:rPr>
              <w:t>the</w:t>
            </w:r>
            <w:r>
              <w:rPr>
                <w:spacing w:val="-2"/>
                <w:sz w:val="18"/>
              </w:rPr>
              <w:t xml:space="preserve"> </w:t>
            </w:r>
            <w:r>
              <w:rPr>
                <w:sz w:val="18"/>
              </w:rPr>
              <w:t>needs</w:t>
            </w:r>
            <w:r>
              <w:rPr>
                <w:spacing w:val="-4"/>
                <w:sz w:val="18"/>
              </w:rPr>
              <w:t xml:space="preserve"> </w:t>
            </w:r>
            <w:r>
              <w:rPr>
                <w:sz w:val="18"/>
              </w:rPr>
              <w:t>of</w:t>
            </w:r>
            <w:r>
              <w:rPr>
                <w:spacing w:val="-42"/>
                <w:sz w:val="18"/>
              </w:rPr>
              <w:t xml:space="preserve"> </w:t>
            </w:r>
            <w:r>
              <w:rPr>
                <w:sz w:val="18"/>
              </w:rPr>
              <w:t>the</w:t>
            </w:r>
            <w:r>
              <w:rPr>
                <w:spacing w:val="-2"/>
                <w:sz w:val="18"/>
              </w:rPr>
              <w:t xml:space="preserve"> </w:t>
            </w:r>
            <w:r>
              <w:rPr>
                <w:sz w:val="18"/>
              </w:rPr>
              <w:t>labour market</w:t>
            </w:r>
            <w:r>
              <w:rPr>
                <w:spacing w:val="-1"/>
                <w:sz w:val="18"/>
              </w:rPr>
              <w:t xml:space="preserve"> </w:t>
            </w:r>
            <w:r>
              <w:rPr>
                <w:sz w:val="18"/>
              </w:rPr>
              <w:t>through</w:t>
            </w:r>
            <w:r>
              <w:rPr>
                <w:spacing w:val="-1"/>
                <w:sz w:val="18"/>
              </w:rPr>
              <w:t xml:space="preserve"> </w:t>
            </w:r>
            <w:r>
              <w:rPr>
                <w:sz w:val="18"/>
              </w:rPr>
              <w:t>developed occupational standards</w:t>
            </w:r>
            <w:r>
              <w:rPr>
                <w:spacing w:val="-1"/>
                <w:sz w:val="18"/>
              </w:rPr>
              <w:t xml:space="preserve"> </w:t>
            </w:r>
            <w:r>
              <w:rPr>
                <w:sz w:val="18"/>
              </w:rPr>
              <w:t>and</w:t>
            </w:r>
            <w:r>
              <w:rPr>
                <w:spacing w:val="1"/>
                <w:sz w:val="18"/>
              </w:rPr>
              <w:t xml:space="preserve"> </w:t>
            </w:r>
            <w:r>
              <w:rPr>
                <w:sz w:val="18"/>
              </w:rPr>
              <w:t>qualification standards.</w:t>
            </w:r>
          </w:p>
        </w:tc>
      </w:tr>
      <w:tr w:rsidR="00A56FE9">
        <w:trPr>
          <w:trHeight w:val="412"/>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spacing w:line="202" w:lineRule="exact"/>
              <w:ind w:left="100"/>
              <w:rPr>
                <w:sz w:val="18"/>
              </w:rPr>
            </w:pPr>
            <w:r>
              <w:rPr>
                <w:sz w:val="18"/>
              </w:rPr>
              <w:t>Development</w:t>
            </w:r>
            <w:r>
              <w:rPr>
                <w:spacing w:val="-3"/>
                <w:sz w:val="18"/>
              </w:rPr>
              <w:t xml:space="preserve"> </w:t>
            </w:r>
            <w:r>
              <w:rPr>
                <w:sz w:val="18"/>
              </w:rPr>
              <w:t>of</w:t>
            </w:r>
            <w:r>
              <w:rPr>
                <w:spacing w:val="-4"/>
                <w:sz w:val="18"/>
              </w:rPr>
              <w:t xml:space="preserve"> </w:t>
            </w:r>
            <w:r>
              <w:rPr>
                <w:sz w:val="18"/>
              </w:rPr>
              <w:t>formal</w:t>
            </w:r>
            <w:r>
              <w:rPr>
                <w:spacing w:val="-3"/>
                <w:sz w:val="18"/>
              </w:rPr>
              <w:t xml:space="preserve"> </w:t>
            </w:r>
            <w:r>
              <w:rPr>
                <w:sz w:val="18"/>
              </w:rPr>
              <w:t>adult</w:t>
            </w:r>
            <w:r>
              <w:rPr>
                <w:spacing w:val="-3"/>
                <w:sz w:val="18"/>
              </w:rPr>
              <w:t xml:space="preserve"> </w:t>
            </w:r>
            <w:r>
              <w:rPr>
                <w:sz w:val="18"/>
              </w:rPr>
              <w:t>education</w:t>
            </w:r>
          </w:p>
          <w:p w:rsidR="00A56FE9" w:rsidRDefault="00000000">
            <w:pPr>
              <w:pStyle w:val="TableParagraph"/>
              <w:spacing w:line="191" w:lineRule="exact"/>
              <w:ind w:left="100"/>
              <w:rPr>
                <w:sz w:val="18"/>
              </w:rPr>
            </w:pPr>
            <w:r>
              <w:rPr>
                <w:sz w:val="18"/>
              </w:rPr>
              <w:t>programs</w:t>
            </w:r>
            <w:r>
              <w:rPr>
                <w:spacing w:val="-4"/>
                <w:sz w:val="18"/>
              </w:rPr>
              <w:t xml:space="preserve"> </w:t>
            </w:r>
            <w:r>
              <w:rPr>
                <w:sz w:val="18"/>
              </w:rPr>
              <w:t>harmonised</w:t>
            </w:r>
            <w:r>
              <w:rPr>
                <w:spacing w:val="-2"/>
                <w:sz w:val="18"/>
              </w:rPr>
              <w:t xml:space="preserve"> </w:t>
            </w:r>
            <w:r>
              <w:rPr>
                <w:sz w:val="18"/>
              </w:rPr>
              <w:t>with</w:t>
            </w:r>
            <w:r>
              <w:rPr>
                <w:spacing w:val="-2"/>
                <w:sz w:val="18"/>
              </w:rPr>
              <w:t xml:space="preserve"> </w:t>
            </w:r>
            <w:r>
              <w:rPr>
                <w:sz w:val="18"/>
              </w:rPr>
              <w:t>the</w:t>
            </w:r>
            <w:r>
              <w:rPr>
                <w:spacing w:val="-4"/>
                <w:sz w:val="18"/>
              </w:rPr>
              <w:t xml:space="preserve"> </w:t>
            </w:r>
            <w:r>
              <w:rPr>
                <w:sz w:val="18"/>
              </w:rPr>
              <w:t>CROQF</w:t>
            </w:r>
          </w:p>
        </w:tc>
        <w:tc>
          <w:tcPr>
            <w:tcW w:w="8926" w:type="dxa"/>
          </w:tcPr>
          <w:p w:rsidR="00A56FE9" w:rsidRDefault="00000000">
            <w:pPr>
              <w:pStyle w:val="TableParagraph"/>
              <w:spacing w:line="202" w:lineRule="exact"/>
              <w:ind w:left="106"/>
              <w:rPr>
                <w:sz w:val="18"/>
              </w:rPr>
            </w:pPr>
            <w:r>
              <w:rPr>
                <w:sz w:val="18"/>
              </w:rPr>
              <w:t>To</w:t>
            </w:r>
            <w:r>
              <w:rPr>
                <w:spacing w:val="-2"/>
                <w:sz w:val="18"/>
              </w:rPr>
              <w:t xml:space="preserve"> </w:t>
            </w:r>
            <w:r>
              <w:rPr>
                <w:sz w:val="18"/>
              </w:rPr>
              <w:t>fully</w:t>
            </w:r>
            <w:r>
              <w:rPr>
                <w:spacing w:val="-6"/>
                <w:sz w:val="18"/>
              </w:rPr>
              <w:t xml:space="preserve"> </w:t>
            </w:r>
            <w:r>
              <w:rPr>
                <w:sz w:val="18"/>
              </w:rPr>
              <w:t>harmonise</w:t>
            </w:r>
            <w:r>
              <w:rPr>
                <w:spacing w:val="-3"/>
                <w:sz w:val="18"/>
              </w:rPr>
              <w:t xml:space="preserve"> </w:t>
            </w:r>
            <w:r>
              <w:rPr>
                <w:sz w:val="18"/>
              </w:rPr>
              <w:t>formal</w:t>
            </w:r>
            <w:r>
              <w:rPr>
                <w:spacing w:val="-2"/>
                <w:sz w:val="18"/>
              </w:rPr>
              <w:t xml:space="preserve"> </w:t>
            </w:r>
            <w:r>
              <w:rPr>
                <w:sz w:val="18"/>
              </w:rPr>
              <w:t>adult</w:t>
            </w:r>
            <w:r>
              <w:rPr>
                <w:spacing w:val="-2"/>
                <w:sz w:val="18"/>
              </w:rPr>
              <w:t xml:space="preserve"> </w:t>
            </w:r>
            <w:r>
              <w:rPr>
                <w:sz w:val="18"/>
              </w:rPr>
              <w:t>education</w:t>
            </w:r>
            <w:r>
              <w:rPr>
                <w:spacing w:val="-2"/>
                <w:sz w:val="18"/>
              </w:rPr>
              <w:t xml:space="preserve"> </w:t>
            </w:r>
            <w:r>
              <w:rPr>
                <w:sz w:val="18"/>
              </w:rPr>
              <w:t>programs with</w:t>
            </w:r>
            <w:r>
              <w:rPr>
                <w:spacing w:val="-1"/>
                <w:sz w:val="18"/>
              </w:rPr>
              <w:t xml:space="preserve"> </w:t>
            </w:r>
            <w:r>
              <w:rPr>
                <w:sz w:val="18"/>
              </w:rPr>
              <w:t>the</w:t>
            </w:r>
            <w:r>
              <w:rPr>
                <w:spacing w:val="-4"/>
                <w:sz w:val="18"/>
              </w:rPr>
              <w:t xml:space="preserve"> </w:t>
            </w:r>
            <w:r>
              <w:rPr>
                <w:sz w:val="18"/>
              </w:rPr>
              <w:t>Croatian</w:t>
            </w:r>
            <w:r>
              <w:rPr>
                <w:spacing w:val="-1"/>
                <w:sz w:val="18"/>
              </w:rPr>
              <w:t xml:space="preserve"> </w:t>
            </w:r>
            <w:r>
              <w:rPr>
                <w:sz w:val="18"/>
              </w:rPr>
              <w:t>Qualifications</w:t>
            </w:r>
            <w:r>
              <w:rPr>
                <w:spacing w:val="-2"/>
                <w:sz w:val="18"/>
              </w:rPr>
              <w:t xml:space="preserve"> </w:t>
            </w:r>
            <w:r>
              <w:rPr>
                <w:sz w:val="18"/>
              </w:rPr>
              <w:t>Framework,</w:t>
            </w:r>
            <w:r>
              <w:rPr>
                <w:spacing w:val="-2"/>
                <w:sz w:val="18"/>
              </w:rPr>
              <w:t xml:space="preserve"> </w:t>
            </w:r>
            <w:r>
              <w:rPr>
                <w:sz w:val="18"/>
              </w:rPr>
              <w:t>thus</w:t>
            </w:r>
            <w:r>
              <w:rPr>
                <w:spacing w:val="-3"/>
                <w:sz w:val="18"/>
              </w:rPr>
              <w:t xml:space="preserve"> </w:t>
            </w:r>
            <w:r>
              <w:rPr>
                <w:sz w:val="18"/>
              </w:rPr>
              <w:t>increasing</w:t>
            </w:r>
            <w:r>
              <w:rPr>
                <w:spacing w:val="-3"/>
                <w:sz w:val="18"/>
              </w:rPr>
              <w:t xml:space="preserve"> </w:t>
            </w:r>
            <w:r>
              <w:rPr>
                <w:sz w:val="18"/>
              </w:rPr>
              <w:t>the</w:t>
            </w:r>
          </w:p>
          <w:p w:rsidR="00A56FE9" w:rsidRDefault="00000000">
            <w:pPr>
              <w:pStyle w:val="TableParagraph"/>
              <w:spacing w:line="191" w:lineRule="exact"/>
              <w:ind w:left="106"/>
              <w:rPr>
                <w:sz w:val="18"/>
              </w:rPr>
            </w:pPr>
            <w:r>
              <w:rPr>
                <w:sz w:val="18"/>
              </w:rPr>
              <w:t>quality</w:t>
            </w:r>
            <w:r>
              <w:rPr>
                <w:spacing w:val="-4"/>
                <w:sz w:val="18"/>
              </w:rPr>
              <w:t xml:space="preserve"> </w:t>
            </w:r>
            <w:r>
              <w:rPr>
                <w:sz w:val="18"/>
              </w:rPr>
              <w:t>of</w:t>
            </w:r>
            <w:r>
              <w:rPr>
                <w:spacing w:val="-2"/>
                <w:sz w:val="18"/>
              </w:rPr>
              <w:t xml:space="preserve"> </w:t>
            </w:r>
            <w:r>
              <w:rPr>
                <w:sz w:val="18"/>
              </w:rPr>
              <w:t>programs and their</w:t>
            </w:r>
            <w:r>
              <w:rPr>
                <w:spacing w:val="-2"/>
                <w:sz w:val="18"/>
              </w:rPr>
              <w:t xml:space="preserve"> </w:t>
            </w:r>
            <w:r>
              <w:rPr>
                <w:sz w:val="18"/>
              </w:rPr>
              <w:t>implementation.</w:t>
            </w:r>
          </w:p>
        </w:tc>
      </w:tr>
      <w:tr w:rsidR="00A56FE9">
        <w:trPr>
          <w:trHeight w:val="830"/>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233"/>
              <w:rPr>
                <w:sz w:val="18"/>
              </w:rPr>
            </w:pPr>
            <w:r>
              <w:rPr>
                <w:sz w:val="18"/>
              </w:rPr>
              <w:t>Awarding</w:t>
            </w:r>
            <w:r>
              <w:rPr>
                <w:spacing w:val="-5"/>
                <w:sz w:val="18"/>
              </w:rPr>
              <w:t xml:space="preserve"> </w:t>
            </w:r>
            <w:r>
              <w:rPr>
                <w:sz w:val="18"/>
              </w:rPr>
              <w:t>scholarships</w:t>
            </w:r>
            <w:r>
              <w:rPr>
                <w:spacing w:val="-3"/>
                <w:sz w:val="18"/>
              </w:rPr>
              <w:t xml:space="preserve"> </w:t>
            </w:r>
            <w:r>
              <w:rPr>
                <w:sz w:val="18"/>
              </w:rPr>
              <w:t>to</w:t>
            </w:r>
            <w:r>
              <w:rPr>
                <w:spacing w:val="-4"/>
                <w:sz w:val="18"/>
              </w:rPr>
              <w:t xml:space="preserve"> </w:t>
            </w:r>
            <w:r>
              <w:rPr>
                <w:sz w:val="18"/>
              </w:rPr>
              <w:t>students</w:t>
            </w:r>
            <w:r>
              <w:rPr>
                <w:spacing w:val="-3"/>
                <w:sz w:val="18"/>
              </w:rPr>
              <w:t xml:space="preserve"> </w:t>
            </w:r>
            <w:r>
              <w:rPr>
                <w:sz w:val="18"/>
              </w:rPr>
              <w:t>of</w:t>
            </w:r>
            <w:r>
              <w:rPr>
                <w:spacing w:val="-5"/>
                <w:sz w:val="18"/>
              </w:rPr>
              <w:t xml:space="preserve"> </w:t>
            </w:r>
            <w:r>
              <w:rPr>
                <w:sz w:val="18"/>
              </w:rPr>
              <w:t>lower</w:t>
            </w:r>
            <w:r>
              <w:rPr>
                <w:spacing w:val="-42"/>
                <w:sz w:val="18"/>
              </w:rPr>
              <w:t xml:space="preserve"> </w:t>
            </w:r>
            <w:r>
              <w:rPr>
                <w:sz w:val="18"/>
              </w:rPr>
              <w:t>socioeconomic</w:t>
            </w:r>
            <w:r>
              <w:rPr>
                <w:spacing w:val="-1"/>
                <w:sz w:val="18"/>
              </w:rPr>
              <w:t xml:space="preserve"> </w:t>
            </w:r>
            <w:r>
              <w:rPr>
                <w:sz w:val="18"/>
              </w:rPr>
              <w:t>status</w:t>
            </w:r>
          </w:p>
        </w:tc>
        <w:tc>
          <w:tcPr>
            <w:tcW w:w="8926" w:type="dxa"/>
          </w:tcPr>
          <w:p w:rsidR="00A56FE9" w:rsidRDefault="00000000">
            <w:pPr>
              <w:pStyle w:val="TableParagraph"/>
              <w:spacing w:line="206" w:lineRule="exact"/>
              <w:ind w:left="106" w:right="133"/>
              <w:rPr>
                <w:sz w:val="18"/>
              </w:rPr>
            </w:pPr>
            <w:r>
              <w:rPr>
                <w:sz w:val="18"/>
              </w:rPr>
              <w:t>Scholarships</w:t>
            </w:r>
            <w:r>
              <w:rPr>
                <w:spacing w:val="-2"/>
                <w:sz w:val="18"/>
              </w:rPr>
              <w:t xml:space="preserve"> </w:t>
            </w:r>
            <w:r>
              <w:rPr>
                <w:sz w:val="18"/>
              </w:rPr>
              <w:t>for</w:t>
            </w:r>
            <w:r>
              <w:rPr>
                <w:spacing w:val="-1"/>
                <w:sz w:val="18"/>
              </w:rPr>
              <w:t xml:space="preserve"> </w:t>
            </w:r>
            <w:r>
              <w:rPr>
                <w:sz w:val="18"/>
              </w:rPr>
              <w:t>Students</w:t>
            </w:r>
            <w:r>
              <w:rPr>
                <w:spacing w:val="-1"/>
                <w:sz w:val="18"/>
              </w:rPr>
              <w:t xml:space="preserve"> </w:t>
            </w:r>
            <w:r>
              <w:rPr>
                <w:sz w:val="18"/>
              </w:rPr>
              <w:t>of</w:t>
            </w:r>
            <w:r>
              <w:rPr>
                <w:spacing w:val="-3"/>
                <w:sz w:val="18"/>
              </w:rPr>
              <w:t xml:space="preserve"> </w:t>
            </w:r>
            <w:r>
              <w:rPr>
                <w:sz w:val="18"/>
              </w:rPr>
              <w:t>Lower</w:t>
            </w:r>
            <w:r>
              <w:rPr>
                <w:spacing w:val="-2"/>
                <w:sz w:val="18"/>
              </w:rPr>
              <w:t xml:space="preserve"> </w:t>
            </w:r>
            <w:r>
              <w:rPr>
                <w:sz w:val="18"/>
              </w:rPr>
              <w:t>Socio-Economic</w:t>
            </w:r>
            <w:r>
              <w:rPr>
                <w:spacing w:val="-1"/>
                <w:sz w:val="18"/>
              </w:rPr>
              <w:t xml:space="preserve"> </w:t>
            </w:r>
            <w:r>
              <w:rPr>
                <w:sz w:val="18"/>
              </w:rPr>
              <w:t>Status</w:t>
            </w:r>
            <w:r>
              <w:rPr>
                <w:spacing w:val="-1"/>
                <w:sz w:val="18"/>
              </w:rPr>
              <w:t xml:space="preserve"> </w:t>
            </w:r>
            <w:r>
              <w:rPr>
                <w:sz w:val="18"/>
              </w:rPr>
              <w:t>aim</w:t>
            </w:r>
            <w:r>
              <w:rPr>
                <w:spacing w:val="-4"/>
                <w:sz w:val="18"/>
              </w:rPr>
              <w:t xml:space="preserve"> </w:t>
            </w:r>
            <w:r>
              <w:rPr>
                <w:sz w:val="18"/>
              </w:rPr>
              <w:t>to</w:t>
            </w:r>
            <w:r>
              <w:rPr>
                <w:spacing w:val="-1"/>
                <w:sz w:val="18"/>
              </w:rPr>
              <w:t xml:space="preserve"> </w:t>
            </w:r>
            <w:r>
              <w:rPr>
                <w:sz w:val="18"/>
              </w:rPr>
              <w:t>increase</w:t>
            </w:r>
            <w:r>
              <w:rPr>
                <w:spacing w:val="-2"/>
                <w:sz w:val="18"/>
              </w:rPr>
              <w:t xml:space="preserve"> </w:t>
            </w:r>
            <w:r>
              <w:rPr>
                <w:sz w:val="18"/>
              </w:rPr>
              <w:t>the</w:t>
            </w:r>
            <w:r>
              <w:rPr>
                <w:spacing w:val="-2"/>
                <w:sz w:val="18"/>
              </w:rPr>
              <w:t xml:space="preserve"> </w:t>
            </w:r>
            <w:r>
              <w:rPr>
                <w:sz w:val="18"/>
              </w:rPr>
              <w:t>availability</w:t>
            </w:r>
            <w:r>
              <w:rPr>
                <w:spacing w:val="-5"/>
                <w:sz w:val="18"/>
              </w:rPr>
              <w:t xml:space="preserve"> </w:t>
            </w:r>
            <w:r>
              <w:rPr>
                <w:sz w:val="18"/>
              </w:rPr>
              <w:t>of</w:t>
            </w:r>
            <w:r>
              <w:rPr>
                <w:spacing w:val="-3"/>
                <w:sz w:val="18"/>
              </w:rPr>
              <w:t xml:space="preserve"> </w:t>
            </w:r>
            <w:r>
              <w:rPr>
                <w:sz w:val="18"/>
              </w:rPr>
              <w:t>higher education,</w:t>
            </w:r>
            <w:r>
              <w:rPr>
                <w:spacing w:val="-1"/>
                <w:sz w:val="18"/>
              </w:rPr>
              <w:t xml:space="preserve"> </w:t>
            </w:r>
            <w:r>
              <w:rPr>
                <w:sz w:val="18"/>
              </w:rPr>
              <w:t>improve</w:t>
            </w:r>
            <w:r>
              <w:rPr>
                <w:spacing w:val="-42"/>
                <w:sz w:val="18"/>
              </w:rPr>
              <w:t xml:space="preserve"> </w:t>
            </w:r>
            <w:r>
              <w:rPr>
                <w:sz w:val="18"/>
              </w:rPr>
              <w:t>the social dimension of higher education and increase the completion rate in higher education by providing state</w:t>
            </w:r>
            <w:r>
              <w:rPr>
                <w:spacing w:val="1"/>
                <w:sz w:val="18"/>
              </w:rPr>
              <w:t xml:space="preserve"> </w:t>
            </w:r>
            <w:r>
              <w:rPr>
                <w:sz w:val="18"/>
              </w:rPr>
              <w:t>scholarships for students of lower socioeconomic status. The project annually awards 10,000 grants directly to students</w:t>
            </w:r>
            <w:r>
              <w:rPr>
                <w:spacing w:val="1"/>
                <w:sz w:val="18"/>
              </w:rPr>
              <w:t xml:space="preserve"> </w:t>
            </w:r>
            <w:r>
              <w:rPr>
                <w:sz w:val="18"/>
              </w:rPr>
              <w:t>of</w:t>
            </w:r>
            <w:r>
              <w:rPr>
                <w:spacing w:val="-3"/>
                <w:sz w:val="18"/>
              </w:rPr>
              <w:t xml:space="preserve"> </w:t>
            </w:r>
            <w:r>
              <w:rPr>
                <w:sz w:val="18"/>
              </w:rPr>
              <w:t>lower socioeconomic status.</w:t>
            </w:r>
          </w:p>
        </w:tc>
      </w:tr>
      <w:tr w:rsidR="00A56FE9">
        <w:trPr>
          <w:trHeight w:val="1034"/>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153"/>
              <w:rPr>
                <w:sz w:val="18"/>
              </w:rPr>
            </w:pPr>
            <w:r>
              <w:rPr>
                <w:sz w:val="18"/>
              </w:rPr>
              <w:t>Awarding scholarships to students in STEM</w:t>
            </w:r>
            <w:r>
              <w:rPr>
                <w:spacing w:val="-43"/>
                <w:sz w:val="18"/>
              </w:rPr>
              <w:t xml:space="preserve"> </w:t>
            </w:r>
            <w:r>
              <w:rPr>
                <w:sz w:val="18"/>
              </w:rPr>
              <w:t>priority</w:t>
            </w:r>
            <w:r>
              <w:rPr>
                <w:spacing w:val="-4"/>
                <w:sz w:val="18"/>
              </w:rPr>
              <w:t xml:space="preserve"> </w:t>
            </w:r>
            <w:r>
              <w:rPr>
                <w:sz w:val="18"/>
              </w:rPr>
              <w:t>areas</w:t>
            </w:r>
          </w:p>
        </w:tc>
        <w:tc>
          <w:tcPr>
            <w:tcW w:w="8926" w:type="dxa"/>
          </w:tcPr>
          <w:p w:rsidR="00A56FE9" w:rsidRDefault="00000000">
            <w:pPr>
              <w:pStyle w:val="TableParagraph"/>
              <w:ind w:left="106" w:right="242"/>
              <w:rPr>
                <w:sz w:val="18"/>
              </w:rPr>
            </w:pPr>
            <w:r>
              <w:rPr>
                <w:sz w:val="18"/>
              </w:rPr>
              <w:t>The procedure for awarding state scholarships in STEM areas of science is carried out within the project Awarding</w:t>
            </w:r>
            <w:r>
              <w:rPr>
                <w:spacing w:val="1"/>
                <w:sz w:val="18"/>
              </w:rPr>
              <w:t xml:space="preserve"> </w:t>
            </w:r>
            <w:r>
              <w:rPr>
                <w:sz w:val="18"/>
              </w:rPr>
              <w:t>Scholarships</w:t>
            </w:r>
            <w:r>
              <w:rPr>
                <w:spacing w:val="-1"/>
                <w:sz w:val="18"/>
              </w:rPr>
              <w:t xml:space="preserve"> </w:t>
            </w:r>
            <w:r>
              <w:rPr>
                <w:sz w:val="18"/>
              </w:rPr>
              <w:t>to Students</w:t>
            </w:r>
            <w:r>
              <w:rPr>
                <w:spacing w:val="-1"/>
                <w:sz w:val="18"/>
              </w:rPr>
              <w:t xml:space="preserve"> </w:t>
            </w:r>
            <w:r>
              <w:rPr>
                <w:sz w:val="18"/>
              </w:rPr>
              <w:t>in</w:t>
            </w:r>
            <w:r>
              <w:rPr>
                <w:spacing w:val="-5"/>
                <w:sz w:val="18"/>
              </w:rPr>
              <w:t xml:space="preserve"> </w:t>
            </w:r>
            <w:r>
              <w:rPr>
                <w:sz w:val="18"/>
              </w:rPr>
              <w:t>Priority</w:t>
            </w:r>
            <w:r>
              <w:rPr>
                <w:spacing w:val="-1"/>
                <w:sz w:val="18"/>
              </w:rPr>
              <w:t xml:space="preserve"> </w:t>
            </w:r>
            <w:r>
              <w:rPr>
                <w:sz w:val="18"/>
              </w:rPr>
              <w:t>Areas</w:t>
            </w:r>
            <w:r>
              <w:rPr>
                <w:spacing w:val="-1"/>
                <w:sz w:val="18"/>
              </w:rPr>
              <w:t xml:space="preserve"> </w:t>
            </w:r>
            <w:r>
              <w:rPr>
                <w:sz w:val="18"/>
              </w:rPr>
              <w:t>of</w:t>
            </w:r>
            <w:r>
              <w:rPr>
                <w:spacing w:val="-3"/>
                <w:sz w:val="18"/>
              </w:rPr>
              <w:t xml:space="preserve"> </w:t>
            </w:r>
            <w:r>
              <w:rPr>
                <w:sz w:val="18"/>
              </w:rPr>
              <w:t>STEM.</w:t>
            </w:r>
            <w:r>
              <w:rPr>
                <w:spacing w:val="-1"/>
                <w:sz w:val="18"/>
              </w:rPr>
              <w:t xml:space="preserve"> </w:t>
            </w:r>
            <w:r>
              <w:rPr>
                <w:sz w:val="18"/>
              </w:rPr>
              <w:t>The</w:t>
            </w:r>
            <w:r>
              <w:rPr>
                <w:spacing w:val="-2"/>
                <w:sz w:val="18"/>
              </w:rPr>
              <w:t xml:space="preserve"> </w:t>
            </w:r>
            <w:r>
              <w:rPr>
                <w:sz w:val="18"/>
              </w:rPr>
              <w:t>goal of</w:t>
            </w:r>
            <w:r>
              <w:rPr>
                <w:spacing w:val="-3"/>
                <w:sz w:val="18"/>
              </w:rPr>
              <w:t xml:space="preserve"> </w:t>
            </w:r>
            <w:r>
              <w:rPr>
                <w:sz w:val="18"/>
              </w:rPr>
              <w:t>the</w:t>
            </w:r>
            <w:r>
              <w:rPr>
                <w:spacing w:val="-2"/>
                <w:sz w:val="18"/>
              </w:rPr>
              <w:t xml:space="preserve"> </w:t>
            </w:r>
            <w:r>
              <w:rPr>
                <w:sz w:val="18"/>
              </w:rPr>
              <w:t>annual</w:t>
            </w:r>
            <w:r>
              <w:rPr>
                <w:spacing w:val="-1"/>
                <w:sz w:val="18"/>
              </w:rPr>
              <w:t xml:space="preserve"> </w:t>
            </w:r>
            <w:r>
              <w:rPr>
                <w:sz w:val="18"/>
              </w:rPr>
              <w:t>award of</w:t>
            </w:r>
            <w:r>
              <w:rPr>
                <w:spacing w:val="-2"/>
                <w:sz w:val="18"/>
              </w:rPr>
              <w:t xml:space="preserve"> </w:t>
            </w:r>
            <w:r>
              <w:rPr>
                <w:sz w:val="18"/>
              </w:rPr>
              <w:t>3,400</w:t>
            </w:r>
            <w:r>
              <w:rPr>
                <w:spacing w:val="-2"/>
                <w:sz w:val="18"/>
              </w:rPr>
              <w:t xml:space="preserve"> </w:t>
            </w:r>
            <w:r>
              <w:rPr>
                <w:sz w:val="18"/>
              </w:rPr>
              <w:t>scholarships</w:t>
            </w:r>
            <w:r>
              <w:rPr>
                <w:spacing w:val="-1"/>
                <w:sz w:val="18"/>
              </w:rPr>
              <w:t xml:space="preserve"> </w:t>
            </w:r>
            <w:r>
              <w:rPr>
                <w:sz w:val="18"/>
              </w:rPr>
              <w:t>is</w:t>
            </w:r>
            <w:r>
              <w:rPr>
                <w:spacing w:val="-3"/>
                <w:sz w:val="18"/>
              </w:rPr>
              <w:t xml:space="preserve"> </w:t>
            </w:r>
            <w:r>
              <w:rPr>
                <w:sz w:val="18"/>
              </w:rPr>
              <w:t>to focus</w:t>
            </w:r>
            <w:r>
              <w:rPr>
                <w:spacing w:val="-3"/>
                <w:sz w:val="18"/>
              </w:rPr>
              <w:t xml:space="preserve"> </w:t>
            </w:r>
            <w:r>
              <w:rPr>
                <w:sz w:val="18"/>
              </w:rPr>
              <w:t>on</w:t>
            </w:r>
            <w:r>
              <w:rPr>
                <w:spacing w:val="-42"/>
                <w:sz w:val="18"/>
              </w:rPr>
              <w:t xml:space="preserve"> </w:t>
            </w:r>
            <w:r>
              <w:rPr>
                <w:sz w:val="18"/>
              </w:rPr>
              <w:t>study programs that have the greatest prospects of generating economic growth in the Republic of Croatia while</w:t>
            </w:r>
            <w:r>
              <w:rPr>
                <w:spacing w:val="1"/>
                <w:sz w:val="18"/>
              </w:rPr>
              <w:t xml:space="preserve"> </w:t>
            </w:r>
            <w:r>
              <w:rPr>
                <w:sz w:val="18"/>
              </w:rPr>
              <w:t>encouraging</w:t>
            </w:r>
            <w:r>
              <w:rPr>
                <w:spacing w:val="-3"/>
                <w:sz w:val="18"/>
              </w:rPr>
              <w:t xml:space="preserve"> </w:t>
            </w:r>
            <w:r>
              <w:rPr>
                <w:sz w:val="18"/>
              </w:rPr>
              <w:t>structural</w:t>
            </w:r>
            <w:r>
              <w:rPr>
                <w:spacing w:val="-3"/>
                <w:sz w:val="18"/>
              </w:rPr>
              <w:t xml:space="preserve"> </w:t>
            </w:r>
            <w:r>
              <w:rPr>
                <w:sz w:val="18"/>
              </w:rPr>
              <w:t>harmonisation</w:t>
            </w:r>
            <w:r>
              <w:rPr>
                <w:spacing w:val="-3"/>
                <w:sz w:val="18"/>
              </w:rPr>
              <w:t xml:space="preserve"> </w:t>
            </w:r>
            <w:r>
              <w:rPr>
                <w:sz w:val="18"/>
              </w:rPr>
              <w:t>of</w:t>
            </w:r>
            <w:r>
              <w:rPr>
                <w:spacing w:val="-3"/>
                <w:sz w:val="18"/>
              </w:rPr>
              <w:t xml:space="preserve"> </w:t>
            </w:r>
            <w:r>
              <w:rPr>
                <w:sz w:val="18"/>
              </w:rPr>
              <w:t>education</w:t>
            </w:r>
            <w:r>
              <w:rPr>
                <w:spacing w:val="-1"/>
                <w:sz w:val="18"/>
              </w:rPr>
              <w:t xml:space="preserve"> </w:t>
            </w:r>
            <w:r>
              <w:rPr>
                <w:sz w:val="18"/>
              </w:rPr>
              <w:t>and qualifications</w:t>
            </w:r>
            <w:r>
              <w:rPr>
                <w:spacing w:val="-2"/>
                <w:sz w:val="18"/>
              </w:rPr>
              <w:t xml:space="preserve"> </w:t>
            </w:r>
            <w:r>
              <w:rPr>
                <w:sz w:val="18"/>
              </w:rPr>
              <w:t>with labour</w:t>
            </w:r>
            <w:r>
              <w:rPr>
                <w:spacing w:val="-2"/>
                <w:sz w:val="18"/>
              </w:rPr>
              <w:t xml:space="preserve"> </w:t>
            </w:r>
            <w:r>
              <w:rPr>
                <w:sz w:val="18"/>
              </w:rPr>
              <w:t>market</w:t>
            </w:r>
            <w:r>
              <w:rPr>
                <w:spacing w:val="-1"/>
                <w:sz w:val="18"/>
              </w:rPr>
              <w:t xml:space="preserve"> </w:t>
            </w:r>
            <w:r>
              <w:rPr>
                <w:sz w:val="18"/>
              </w:rPr>
              <w:t>needs</w:t>
            </w:r>
            <w:r>
              <w:rPr>
                <w:spacing w:val="-2"/>
                <w:sz w:val="18"/>
              </w:rPr>
              <w:t xml:space="preserve"> </w:t>
            </w:r>
            <w:r>
              <w:rPr>
                <w:sz w:val="18"/>
              </w:rPr>
              <w:t>and</w:t>
            </w:r>
            <w:r>
              <w:rPr>
                <w:spacing w:val="-2"/>
                <w:sz w:val="18"/>
              </w:rPr>
              <w:t xml:space="preserve"> </w:t>
            </w:r>
            <w:r>
              <w:rPr>
                <w:sz w:val="18"/>
              </w:rPr>
              <w:t>employment</w:t>
            </w:r>
            <w:r>
              <w:rPr>
                <w:spacing w:val="-2"/>
                <w:sz w:val="18"/>
              </w:rPr>
              <w:t xml:space="preserve"> </w:t>
            </w:r>
            <w:r>
              <w:rPr>
                <w:sz w:val="18"/>
              </w:rPr>
              <w:t>of</w:t>
            </w:r>
          </w:p>
          <w:p w:rsidR="00A56FE9" w:rsidRDefault="00000000">
            <w:pPr>
              <w:pStyle w:val="TableParagraph"/>
              <w:spacing w:line="191" w:lineRule="exact"/>
              <w:ind w:left="106"/>
              <w:rPr>
                <w:sz w:val="18"/>
              </w:rPr>
            </w:pPr>
            <w:r>
              <w:rPr>
                <w:sz w:val="18"/>
              </w:rPr>
              <w:t>graduates,</w:t>
            </w:r>
            <w:r>
              <w:rPr>
                <w:spacing w:val="-1"/>
                <w:sz w:val="18"/>
              </w:rPr>
              <w:t xml:space="preserve"> </w:t>
            </w:r>
            <w:r>
              <w:rPr>
                <w:sz w:val="18"/>
              </w:rPr>
              <w:t>in the</w:t>
            </w:r>
            <w:r>
              <w:rPr>
                <w:spacing w:val="-2"/>
                <w:sz w:val="18"/>
              </w:rPr>
              <w:t xml:space="preserve"> </w:t>
            </w:r>
            <w:r>
              <w:rPr>
                <w:sz w:val="18"/>
              </w:rPr>
              <w:t>continuation of</w:t>
            </w:r>
            <w:r>
              <w:rPr>
                <w:spacing w:val="-6"/>
                <w:sz w:val="18"/>
              </w:rPr>
              <w:t xml:space="preserve"> </w:t>
            </w:r>
            <w:r>
              <w:rPr>
                <w:sz w:val="18"/>
              </w:rPr>
              <w:t>dominance</w:t>
            </w:r>
            <w:r>
              <w:rPr>
                <w:spacing w:val="-2"/>
                <w:sz w:val="18"/>
              </w:rPr>
              <w:t xml:space="preserve"> </w:t>
            </w:r>
            <w:r>
              <w:rPr>
                <w:sz w:val="18"/>
              </w:rPr>
              <w:t>of</w:t>
            </w:r>
            <w:r>
              <w:rPr>
                <w:spacing w:val="-2"/>
                <w:sz w:val="18"/>
              </w:rPr>
              <w:t xml:space="preserve"> </w:t>
            </w:r>
            <w:r>
              <w:rPr>
                <w:sz w:val="18"/>
              </w:rPr>
              <w:t>study</w:t>
            </w:r>
            <w:r>
              <w:rPr>
                <w:spacing w:val="-5"/>
                <w:sz w:val="18"/>
              </w:rPr>
              <w:t xml:space="preserve"> </w:t>
            </w:r>
            <w:r>
              <w:rPr>
                <w:sz w:val="18"/>
              </w:rPr>
              <w:t>programs</w:t>
            </w:r>
            <w:r>
              <w:rPr>
                <w:spacing w:val="-1"/>
                <w:sz w:val="18"/>
              </w:rPr>
              <w:t xml:space="preserve"> </w:t>
            </w:r>
            <w:r>
              <w:rPr>
                <w:sz w:val="18"/>
              </w:rPr>
              <w:t>in</w:t>
            </w:r>
            <w:r>
              <w:rPr>
                <w:spacing w:val="1"/>
                <w:sz w:val="18"/>
              </w:rPr>
              <w:t xml:space="preserve"> </w:t>
            </w:r>
            <w:r>
              <w:rPr>
                <w:sz w:val="18"/>
              </w:rPr>
              <w:t>social</w:t>
            </w:r>
            <w:r>
              <w:rPr>
                <w:spacing w:val="-1"/>
                <w:sz w:val="18"/>
              </w:rPr>
              <w:t xml:space="preserve"> </w:t>
            </w:r>
            <w:r>
              <w:rPr>
                <w:sz w:val="18"/>
              </w:rPr>
              <w:t>sciences</w:t>
            </w:r>
            <w:r>
              <w:rPr>
                <w:spacing w:val="-1"/>
                <w:sz w:val="18"/>
              </w:rPr>
              <w:t xml:space="preserve"> </w:t>
            </w:r>
            <w:r>
              <w:rPr>
                <w:sz w:val="18"/>
              </w:rPr>
              <w:t>and the</w:t>
            </w:r>
            <w:r>
              <w:rPr>
                <w:spacing w:val="-3"/>
                <w:sz w:val="18"/>
              </w:rPr>
              <w:t xml:space="preserve"> </w:t>
            </w:r>
            <w:r>
              <w:rPr>
                <w:sz w:val="18"/>
              </w:rPr>
              <w:t>humanities</w:t>
            </w:r>
            <w:r>
              <w:rPr>
                <w:spacing w:val="-4"/>
                <w:sz w:val="18"/>
              </w:rPr>
              <w:t xml:space="preserve"> </w:t>
            </w:r>
            <w:r>
              <w:rPr>
                <w:sz w:val="18"/>
              </w:rPr>
              <w:t>at</w:t>
            </w:r>
            <w:r>
              <w:rPr>
                <w:spacing w:val="-1"/>
                <w:sz w:val="18"/>
              </w:rPr>
              <w:t xml:space="preserve"> </w:t>
            </w:r>
            <w:r>
              <w:rPr>
                <w:sz w:val="18"/>
              </w:rPr>
              <w:t>a</w:t>
            </w:r>
            <w:r>
              <w:rPr>
                <w:spacing w:val="-2"/>
                <w:sz w:val="18"/>
              </w:rPr>
              <w:t xml:space="preserve"> </w:t>
            </w:r>
            <w:r>
              <w:rPr>
                <w:sz w:val="18"/>
              </w:rPr>
              <w:t>ratio of</w:t>
            </w:r>
            <w:r>
              <w:rPr>
                <w:spacing w:val="-3"/>
                <w:sz w:val="18"/>
              </w:rPr>
              <w:t xml:space="preserve"> </w:t>
            </w:r>
            <w:r>
              <w:rPr>
                <w:sz w:val="18"/>
              </w:rPr>
              <w:t>60:40.</w:t>
            </w:r>
          </w:p>
        </w:tc>
      </w:tr>
      <w:tr w:rsidR="00A56FE9">
        <w:trPr>
          <w:trHeight w:val="827"/>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93"/>
              <w:rPr>
                <w:sz w:val="18"/>
              </w:rPr>
            </w:pPr>
            <w:r>
              <w:rPr>
                <w:sz w:val="18"/>
              </w:rPr>
              <w:t>Adoption of the National Plan for the</w:t>
            </w:r>
            <w:r>
              <w:rPr>
                <w:spacing w:val="1"/>
                <w:sz w:val="18"/>
              </w:rPr>
              <w:t xml:space="preserve"> </w:t>
            </w:r>
            <w:r>
              <w:rPr>
                <w:sz w:val="18"/>
              </w:rPr>
              <w:t>Development of the Education System 2021-</w:t>
            </w:r>
            <w:r>
              <w:rPr>
                <w:spacing w:val="-42"/>
                <w:sz w:val="18"/>
              </w:rPr>
              <w:t xml:space="preserve"> </w:t>
            </w:r>
            <w:r>
              <w:rPr>
                <w:sz w:val="18"/>
              </w:rPr>
              <w:t>2027</w:t>
            </w:r>
          </w:p>
        </w:tc>
        <w:tc>
          <w:tcPr>
            <w:tcW w:w="8926" w:type="dxa"/>
          </w:tcPr>
          <w:p w:rsidR="00A56FE9" w:rsidRDefault="00000000">
            <w:pPr>
              <w:pStyle w:val="TableParagraph"/>
              <w:ind w:left="106" w:right="133"/>
              <w:rPr>
                <w:sz w:val="18"/>
              </w:rPr>
            </w:pPr>
            <w:r>
              <w:rPr>
                <w:sz w:val="18"/>
              </w:rPr>
              <w:t>In the National Plan for the Development of the Education System 2021-2027 will include an indicator on the basis of</w:t>
            </w:r>
            <w:r>
              <w:rPr>
                <w:spacing w:val="1"/>
                <w:sz w:val="18"/>
              </w:rPr>
              <w:t xml:space="preserve"> </w:t>
            </w:r>
            <w:r>
              <w:rPr>
                <w:sz w:val="18"/>
              </w:rPr>
              <w:t>which the Action Plan for the Implementation of the European Pillar of Social Rights (Involvement in Adult Education</w:t>
            </w:r>
            <w:r>
              <w:rPr>
                <w:spacing w:val="1"/>
                <w:sz w:val="18"/>
              </w:rPr>
              <w:t xml:space="preserve"> </w:t>
            </w:r>
            <w:r>
              <w:rPr>
                <w:sz w:val="18"/>
              </w:rPr>
              <w:t>in the</w:t>
            </w:r>
            <w:r>
              <w:rPr>
                <w:spacing w:val="-2"/>
                <w:sz w:val="18"/>
              </w:rPr>
              <w:t xml:space="preserve"> </w:t>
            </w:r>
            <w:r>
              <w:rPr>
                <w:sz w:val="18"/>
              </w:rPr>
              <w:t>Last Year)</w:t>
            </w:r>
            <w:r>
              <w:rPr>
                <w:spacing w:val="1"/>
                <w:sz w:val="18"/>
              </w:rPr>
              <w:t xml:space="preserve"> </w:t>
            </w:r>
            <w:r>
              <w:rPr>
                <w:sz w:val="18"/>
              </w:rPr>
              <w:t>will increase</w:t>
            </w:r>
            <w:r>
              <w:rPr>
                <w:spacing w:val="-2"/>
                <w:sz w:val="18"/>
              </w:rPr>
              <w:t xml:space="preserve"> </w:t>
            </w:r>
            <w:r>
              <w:rPr>
                <w:sz w:val="18"/>
              </w:rPr>
              <w:t>the</w:t>
            </w:r>
            <w:r>
              <w:rPr>
                <w:spacing w:val="-1"/>
                <w:sz w:val="18"/>
              </w:rPr>
              <w:t xml:space="preserve"> </w:t>
            </w:r>
            <w:r>
              <w:rPr>
                <w:sz w:val="18"/>
              </w:rPr>
              <w:t>rate</w:t>
            </w:r>
            <w:r>
              <w:rPr>
                <w:spacing w:val="-1"/>
                <w:sz w:val="18"/>
              </w:rPr>
              <w:t xml:space="preserve"> </w:t>
            </w:r>
            <w:r>
              <w:rPr>
                <w:sz w:val="18"/>
              </w:rPr>
              <w:t>of</w:t>
            </w:r>
            <w:r>
              <w:rPr>
                <w:spacing w:val="-3"/>
                <w:sz w:val="18"/>
              </w:rPr>
              <w:t xml:space="preserve"> </w:t>
            </w:r>
            <w:r>
              <w:rPr>
                <w:sz w:val="18"/>
              </w:rPr>
              <w:t>adults (age</w:t>
            </w:r>
            <w:r>
              <w:rPr>
                <w:spacing w:val="-2"/>
                <w:sz w:val="18"/>
              </w:rPr>
              <w:t xml:space="preserve"> </w:t>
            </w:r>
            <w:r>
              <w:rPr>
                <w:sz w:val="18"/>
              </w:rPr>
              <w:t>groups</w:t>
            </w:r>
            <w:r>
              <w:rPr>
                <w:spacing w:val="-3"/>
                <w:sz w:val="18"/>
              </w:rPr>
              <w:t xml:space="preserve"> </w:t>
            </w:r>
            <w:r>
              <w:rPr>
                <w:sz w:val="18"/>
              </w:rPr>
              <w:t>25-64)</w:t>
            </w:r>
            <w:r>
              <w:rPr>
                <w:spacing w:val="-3"/>
                <w:sz w:val="18"/>
              </w:rPr>
              <w:t xml:space="preserve"> </w:t>
            </w:r>
            <w:r>
              <w:rPr>
                <w:sz w:val="18"/>
              </w:rPr>
              <w:t>in</w:t>
            </w:r>
            <w:r>
              <w:rPr>
                <w:spacing w:val="1"/>
                <w:sz w:val="18"/>
              </w:rPr>
              <w:t xml:space="preserve"> </w:t>
            </w:r>
            <w:r>
              <w:rPr>
                <w:sz w:val="18"/>
              </w:rPr>
              <w:t>education</w:t>
            </w:r>
            <w:r>
              <w:rPr>
                <w:spacing w:val="-2"/>
                <w:sz w:val="18"/>
              </w:rPr>
              <w:t xml:space="preserve"> </w:t>
            </w:r>
            <w:r>
              <w:rPr>
                <w:sz w:val="18"/>
              </w:rPr>
              <w:t>and</w:t>
            </w:r>
            <w:r>
              <w:rPr>
                <w:spacing w:val="-1"/>
                <w:sz w:val="18"/>
              </w:rPr>
              <w:t xml:space="preserve"> </w:t>
            </w:r>
            <w:r>
              <w:rPr>
                <w:sz w:val="18"/>
              </w:rPr>
              <w:t>training</w:t>
            </w:r>
            <w:r>
              <w:rPr>
                <w:spacing w:val="-2"/>
                <w:sz w:val="18"/>
              </w:rPr>
              <w:t xml:space="preserve"> </w:t>
            </w:r>
            <w:r>
              <w:rPr>
                <w:sz w:val="18"/>
              </w:rPr>
              <w:t>in</w:t>
            </w:r>
            <w:r>
              <w:rPr>
                <w:spacing w:val="-2"/>
                <w:sz w:val="18"/>
              </w:rPr>
              <w:t xml:space="preserve"> </w:t>
            </w:r>
            <w:r>
              <w:rPr>
                <w:sz w:val="18"/>
              </w:rPr>
              <w:t>the</w:t>
            </w:r>
            <w:r>
              <w:rPr>
                <w:spacing w:val="-1"/>
                <w:sz w:val="18"/>
              </w:rPr>
              <w:t xml:space="preserve"> </w:t>
            </w:r>
            <w:r>
              <w:rPr>
                <w:sz w:val="18"/>
              </w:rPr>
              <w:t>last</w:t>
            </w:r>
            <w:r>
              <w:rPr>
                <w:spacing w:val="-1"/>
                <w:sz w:val="18"/>
              </w:rPr>
              <w:t xml:space="preserve"> </w:t>
            </w:r>
            <w:r>
              <w:rPr>
                <w:sz w:val="18"/>
              </w:rPr>
              <w:t>year and 2027</w:t>
            </w:r>
            <w:r>
              <w:rPr>
                <w:spacing w:val="-1"/>
                <w:sz w:val="18"/>
              </w:rPr>
              <w:t xml:space="preserve"> </w:t>
            </w:r>
            <w:r>
              <w:rPr>
                <w:sz w:val="18"/>
              </w:rPr>
              <w:t>to</w:t>
            </w:r>
          </w:p>
          <w:p w:rsidR="00A56FE9" w:rsidRDefault="00000000">
            <w:pPr>
              <w:pStyle w:val="TableParagraph"/>
              <w:spacing w:line="191" w:lineRule="exact"/>
              <w:ind w:left="106"/>
              <w:rPr>
                <w:sz w:val="18"/>
              </w:rPr>
            </w:pPr>
            <w:r>
              <w:rPr>
                <w:sz w:val="18"/>
              </w:rPr>
              <w:t>be</w:t>
            </w:r>
            <w:r>
              <w:rPr>
                <w:spacing w:val="-2"/>
                <w:sz w:val="18"/>
              </w:rPr>
              <w:t xml:space="preserve"> </w:t>
            </w:r>
            <w:r>
              <w:rPr>
                <w:sz w:val="18"/>
              </w:rPr>
              <w:t>at least</w:t>
            </w:r>
            <w:r>
              <w:rPr>
                <w:spacing w:val="-1"/>
                <w:sz w:val="18"/>
              </w:rPr>
              <w:t xml:space="preserve"> </w:t>
            </w:r>
            <w:r>
              <w:rPr>
                <w:sz w:val="18"/>
              </w:rPr>
              <w:t>45%.</w:t>
            </w:r>
          </w:p>
        </w:tc>
      </w:tr>
      <w:tr w:rsidR="00A56FE9">
        <w:trPr>
          <w:trHeight w:val="1449"/>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spacing w:line="202" w:lineRule="exact"/>
              <w:ind w:left="100"/>
              <w:rPr>
                <w:sz w:val="18"/>
              </w:rPr>
            </w:pPr>
            <w:r>
              <w:rPr>
                <w:sz w:val="18"/>
              </w:rPr>
              <w:t>Digital</w:t>
            </w:r>
            <w:r>
              <w:rPr>
                <w:spacing w:val="-3"/>
                <w:sz w:val="18"/>
              </w:rPr>
              <w:t xml:space="preserve"> </w:t>
            </w:r>
            <w:r>
              <w:rPr>
                <w:sz w:val="18"/>
              </w:rPr>
              <w:t>transformation</w:t>
            </w:r>
            <w:r>
              <w:rPr>
                <w:spacing w:val="-1"/>
                <w:sz w:val="18"/>
              </w:rPr>
              <w:t xml:space="preserve"> </w:t>
            </w:r>
            <w:r>
              <w:rPr>
                <w:sz w:val="18"/>
              </w:rPr>
              <w:t>of</w:t>
            </w:r>
            <w:r>
              <w:rPr>
                <w:spacing w:val="-4"/>
                <w:sz w:val="18"/>
              </w:rPr>
              <w:t xml:space="preserve"> </w:t>
            </w:r>
            <w:r>
              <w:rPr>
                <w:sz w:val="18"/>
              </w:rPr>
              <w:t>higher</w:t>
            </w:r>
            <w:r>
              <w:rPr>
                <w:spacing w:val="-3"/>
                <w:sz w:val="18"/>
              </w:rPr>
              <w:t xml:space="preserve"> </w:t>
            </w:r>
            <w:r>
              <w:rPr>
                <w:sz w:val="18"/>
              </w:rPr>
              <w:t>education</w:t>
            </w:r>
          </w:p>
        </w:tc>
        <w:tc>
          <w:tcPr>
            <w:tcW w:w="8926" w:type="dxa"/>
          </w:tcPr>
          <w:p w:rsidR="00A56FE9" w:rsidRDefault="00000000">
            <w:pPr>
              <w:pStyle w:val="TableParagraph"/>
              <w:ind w:left="106" w:right="116"/>
              <w:rPr>
                <w:sz w:val="18"/>
              </w:rPr>
            </w:pPr>
            <w:r>
              <w:rPr>
                <w:sz w:val="18"/>
              </w:rPr>
              <w:t>A prerequisite for the introduction of a new funding model is the existence of reliable data in records in higher</w:t>
            </w:r>
            <w:r>
              <w:rPr>
                <w:spacing w:val="1"/>
                <w:sz w:val="18"/>
              </w:rPr>
              <w:t xml:space="preserve"> </w:t>
            </w:r>
            <w:r>
              <w:rPr>
                <w:sz w:val="18"/>
              </w:rPr>
              <w:t>education. Devising the Central Records of Higher Education of the Republic of Croatia, as the central information</w:t>
            </w:r>
            <w:r>
              <w:rPr>
                <w:spacing w:val="1"/>
                <w:sz w:val="18"/>
              </w:rPr>
              <w:t xml:space="preserve"> </w:t>
            </w:r>
            <w:r>
              <w:rPr>
                <w:sz w:val="18"/>
              </w:rPr>
              <w:t>system</w:t>
            </w:r>
            <w:r>
              <w:rPr>
                <w:spacing w:val="-5"/>
                <w:sz w:val="18"/>
              </w:rPr>
              <w:t xml:space="preserve"> </w:t>
            </w:r>
            <w:r>
              <w:rPr>
                <w:sz w:val="18"/>
              </w:rPr>
              <w:t>in</w:t>
            </w:r>
            <w:r>
              <w:rPr>
                <w:spacing w:val="-1"/>
                <w:sz w:val="18"/>
              </w:rPr>
              <w:t xml:space="preserve"> </w:t>
            </w:r>
            <w:r>
              <w:rPr>
                <w:sz w:val="18"/>
              </w:rPr>
              <w:t>higher</w:t>
            </w:r>
            <w:r>
              <w:rPr>
                <w:spacing w:val="-1"/>
                <w:sz w:val="18"/>
              </w:rPr>
              <w:t xml:space="preserve"> </w:t>
            </w:r>
            <w:r>
              <w:rPr>
                <w:sz w:val="18"/>
              </w:rPr>
              <w:t>education,</w:t>
            </w:r>
            <w:r>
              <w:rPr>
                <w:spacing w:val="-2"/>
                <w:sz w:val="18"/>
              </w:rPr>
              <w:t xml:space="preserve"> </w:t>
            </w:r>
            <w:r>
              <w:rPr>
                <w:sz w:val="18"/>
              </w:rPr>
              <w:t>will</w:t>
            </w:r>
            <w:r>
              <w:rPr>
                <w:spacing w:val="-2"/>
                <w:sz w:val="18"/>
              </w:rPr>
              <w:t xml:space="preserve"> </w:t>
            </w:r>
            <w:r>
              <w:rPr>
                <w:sz w:val="18"/>
              </w:rPr>
              <w:t>connect</w:t>
            </w:r>
            <w:r>
              <w:rPr>
                <w:spacing w:val="-2"/>
                <w:sz w:val="18"/>
              </w:rPr>
              <w:t xml:space="preserve"> </w:t>
            </w:r>
            <w:r>
              <w:rPr>
                <w:sz w:val="18"/>
              </w:rPr>
              <w:t>individual</w:t>
            </w:r>
            <w:r>
              <w:rPr>
                <w:spacing w:val="-3"/>
                <w:sz w:val="18"/>
              </w:rPr>
              <w:t xml:space="preserve"> </w:t>
            </w:r>
            <w:r>
              <w:rPr>
                <w:sz w:val="18"/>
              </w:rPr>
              <w:t>information</w:t>
            </w:r>
            <w:r>
              <w:rPr>
                <w:spacing w:val="-1"/>
                <w:sz w:val="18"/>
              </w:rPr>
              <w:t xml:space="preserve"> </w:t>
            </w:r>
            <w:r>
              <w:rPr>
                <w:sz w:val="18"/>
              </w:rPr>
              <w:t>systems</w:t>
            </w:r>
            <w:r>
              <w:rPr>
                <w:spacing w:val="-2"/>
                <w:sz w:val="18"/>
              </w:rPr>
              <w:t xml:space="preserve"> </w:t>
            </w:r>
            <w:r>
              <w:rPr>
                <w:sz w:val="18"/>
              </w:rPr>
              <w:t>(records)</w:t>
            </w:r>
            <w:r>
              <w:rPr>
                <w:spacing w:val="-1"/>
                <w:sz w:val="18"/>
              </w:rPr>
              <w:t xml:space="preserve"> </w:t>
            </w:r>
            <w:r>
              <w:rPr>
                <w:sz w:val="18"/>
              </w:rPr>
              <w:t>in</w:t>
            </w:r>
            <w:r>
              <w:rPr>
                <w:spacing w:val="-3"/>
                <w:sz w:val="18"/>
              </w:rPr>
              <w:t xml:space="preserve"> </w:t>
            </w:r>
            <w:r>
              <w:rPr>
                <w:sz w:val="18"/>
              </w:rPr>
              <w:t>higher</w:t>
            </w:r>
            <w:r>
              <w:rPr>
                <w:spacing w:val="-2"/>
                <w:sz w:val="18"/>
              </w:rPr>
              <w:t xml:space="preserve"> </w:t>
            </w:r>
            <w:r>
              <w:rPr>
                <w:sz w:val="18"/>
              </w:rPr>
              <w:t>education,</w:t>
            </w:r>
            <w:r>
              <w:rPr>
                <w:spacing w:val="-1"/>
                <w:sz w:val="18"/>
              </w:rPr>
              <w:t xml:space="preserve"> </w:t>
            </w:r>
            <w:r>
              <w:rPr>
                <w:sz w:val="18"/>
              </w:rPr>
              <w:t>which</w:t>
            </w:r>
            <w:r>
              <w:rPr>
                <w:spacing w:val="-1"/>
                <w:sz w:val="18"/>
              </w:rPr>
              <w:t xml:space="preserve"> </w:t>
            </w:r>
            <w:r>
              <w:rPr>
                <w:sz w:val="18"/>
              </w:rPr>
              <w:t>will</w:t>
            </w:r>
            <w:r>
              <w:rPr>
                <w:spacing w:val="-2"/>
                <w:sz w:val="18"/>
              </w:rPr>
              <w:t xml:space="preserve"> </w:t>
            </w:r>
            <w:r>
              <w:rPr>
                <w:sz w:val="18"/>
              </w:rPr>
              <w:t>enable</w:t>
            </w:r>
            <w:r>
              <w:rPr>
                <w:spacing w:val="-42"/>
                <w:sz w:val="18"/>
              </w:rPr>
              <w:t xml:space="preserve"> </w:t>
            </w:r>
            <w:r>
              <w:rPr>
                <w:sz w:val="18"/>
              </w:rPr>
              <w:t>better analysis of data from higher education systems and their connection with other national information systems. This</w:t>
            </w:r>
            <w:r>
              <w:rPr>
                <w:spacing w:val="-42"/>
                <w:sz w:val="18"/>
              </w:rPr>
              <w:t xml:space="preserve"> </w:t>
            </w:r>
            <w:r>
              <w:rPr>
                <w:sz w:val="18"/>
              </w:rPr>
              <w:t>will enable quality monitoring of indicators important for the adoption of national policies, including mobility, progress</w:t>
            </w:r>
            <w:r>
              <w:rPr>
                <w:spacing w:val="1"/>
                <w:sz w:val="18"/>
              </w:rPr>
              <w:t xml:space="preserve"> </w:t>
            </w:r>
            <w:r>
              <w:rPr>
                <w:sz w:val="18"/>
              </w:rPr>
              <w:t>through</w:t>
            </w:r>
            <w:r>
              <w:rPr>
                <w:spacing w:val="-1"/>
                <w:sz w:val="18"/>
              </w:rPr>
              <w:t xml:space="preserve"> </w:t>
            </w:r>
            <w:r>
              <w:rPr>
                <w:sz w:val="18"/>
              </w:rPr>
              <w:t>studies,</w:t>
            </w:r>
            <w:r>
              <w:rPr>
                <w:spacing w:val="-1"/>
                <w:sz w:val="18"/>
              </w:rPr>
              <w:t xml:space="preserve"> </w:t>
            </w:r>
            <w:r>
              <w:rPr>
                <w:sz w:val="18"/>
              </w:rPr>
              <w:t>graduation</w:t>
            </w:r>
            <w:r>
              <w:rPr>
                <w:spacing w:val="-2"/>
                <w:sz w:val="18"/>
              </w:rPr>
              <w:t xml:space="preserve"> </w:t>
            </w:r>
            <w:r>
              <w:rPr>
                <w:sz w:val="18"/>
              </w:rPr>
              <w:t>and</w:t>
            </w:r>
            <w:r>
              <w:rPr>
                <w:spacing w:val="-2"/>
                <w:sz w:val="18"/>
              </w:rPr>
              <w:t xml:space="preserve"> </w:t>
            </w:r>
            <w:r>
              <w:rPr>
                <w:sz w:val="18"/>
              </w:rPr>
              <w:t>employability</w:t>
            </w:r>
            <w:r>
              <w:rPr>
                <w:spacing w:val="-5"/>
                <w:sz w:val="18"/>
              </w:rPr>
              <w:t xml:space="preserve"> </w:t>
            </w:r>
            <w:r>
              <w:rPr>
                <w:sz w:val="18"/>
              </w:rPr>
              <w:t>of</w:t>
            </w:r>
            <w:r>
              <w:rPr>
                <w:spacing w:val="-3"/>
                <w:sz w:val="18"/>
              </w:rPr>
              <w:t xml:space="preserve"> </w:t>
            </w:r>
            <w:r>
              <w:rPr>
                <w:sz w:val="18"/>
              </w:rPr>
              <w:t>students</w:t>
            </w:r>
            <w:r>
              <w:rPr>
                <w:spacing w:val="-1"/>
                <w:sz w:val="18"/>
              </w:rPr>
              <w:t xml:space="preserve"> </w:t>
            </w:r>
            <w:r>
              <w:rPr>
                <w:sz w:val="18"/>
              </w:rPr>
              <w:t>in certain</w:t>
            </w:r>
            <w:r>
              <w:rPr>
                <w:spacing w:val="-1"/>
                <w:sz w:val="18"/>
              </w:rPr>
              <w:t xml:space="preserve"> </w:t>
            </w:r>
            <w:r>
              <w:rPr>
                <w:sz w:val="18"/>
              </w:rPr>
              <w:t>studies,</w:t>
            </w:r>
            <w:r>
              <w:rPr>
                <w:spacing w:val="-1"/>
                <w:sz w:val="18"/>
              </w:rPr>
              <w:t xml:space="preserve"> </w:t>
            </w:r>
            <w:r>
              <w:rPr>
                <w:sz w:val="18"/>
              </w:rPr>
              <w:t>employment, promotion and</w:t>
            </w:r>
            <w:r>
              <w:rPr>
                <w:spacing w:val="-2"/>
                <w:sz w:val="18"/>
              </w:rPr>
              <w:t xml:space="preserve"> </w:t>
            </w:r>
            <w:r>
              <w:rPr>
                <w:sz w:val="18"/>
              </w:rPr>
              <w:t>mobility</w:t>
            </w:r>
            <w:r>
              <w:rPr>
                <w:spacing w:val="-5"/>
                <w:sz w:val="18"/>
              </w:rPr>
              <w:t xml:space="preserve"> </w:t>
            </w:r>
            <w:r>
              <w:rPr>
                <w:sz w:val="18"/>
              </w:rPr>
              <w:t>of</w:t>
            </w:r>
          </w:p>
          <w:p w:rsidR="00A56FE9" w:rsidRDefault="00000000">
            <w:pPr>
              <w:pStyle w:val="TableParagraph"/>
              <w:spacing w:line="191" w:lineRule="exact"/>
              <w:ind w:left="106"/>
              <w:rPr>
                <w:sz w:val="18"/>
              </w:rPr>
            </w:pPr>
            <w:r>
              <w:rPr>
                <w:sz w:val="18"/>
              </w:rPr>
              <w:t>teachers</w:t>
            </w:r>
            <w:r>
              <w:rPr>
                <w:spacing w:val="-3"/>
                <w:sz w:val="18"/>
              </w:rPr>
              <w:t xml:space="preserve"> </w:t>
            </w:r>
            <w:r>
              <w:rPr>
                <w:sz w:val="18"/>
              </w:rPr>
              <w:t>and</w:t>
            </w:r>
            <w:r>
              <w:rPr>
                <w:spacing w:val="-1"/>
                <w:sz w:val="18"/>
              </w:rPr>
              <w:t xml:space="preserve"> </w:t>
            </w:r>
            <w:r>
              <w:rPr>
                <w:sz w:val="18"/>
              </w:rPr>
              <w:t>more.</w:t>
            </w:r>
          </w:p>
        </w:tc>
      </w:tr>
      <w:tr w:rsidR="00A56FE9">
        <w:trPr>
          <w:trHeight w:val="1034"/>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spacing w:line="202" w:lineRule="exact"/>
              <w:ind w:left="100"/>
              <w:rPr>
                <w:sz w:val="18"/>
              </w:rPr>
            </w:pPr>
            <w:r>
              <w:rPr>
                <w:sz w:val="18"/>
              </w:rPr>
              <w:t>Digital</w:t>
            </w:r>
            <w:r>
              <w:rPr>
                <w:spacing w:val="-3"/>
                <w:sz w:val="18"/>
              </w:rPr>
              <w:t xml:space="preserve"> </w:t>
            </w:r>
            <w:r>
              <w:rPr>
                <w:sz w:val="18"/>
              </w:rPr>
              <w:t>transformation</w:t>
            </w:r>
            <w:r>
              <w:rPr>
                <w:spacing w:val="-1"/>
                <w:sz w:val="18"/>
              </w:rPr>
              <w:t xml:space="preserve"> </w:t>
            </w:r>
            <w:r>
              <w:rPr>
                <w:sz w:val="18"/>
              </w:rPr>
              <w:t>of</w:t>
            </w:r>
            <w:r>
              <w:rPr>
                <w:spacing w:val="-4"/>
                <w:sz w:val="18"/>
              </w:rPr>
              <w:t xml:space="preserve"> </w:t>
            </w:r>
            <w:r>
              <w:rPr>
                <w:sz w:val="18"/>
              </w:rPr>
              <w:t>higher</w:t>
            </w:r>
            <w:r>
              <w:rPr>
                <w:spacing w:val="-3"/>
                <w:sz w:val="18"/>
              </w:rPr>
              <w:t xml:space="preserve"> </w:t>
            </w:r>
            <w:r>
              <w:rPr>
                <w:sz w:val="18"/>
              </w:rPr>
              <w:t>education</w:t>
            </w:r>
          </w:p>
        </w:tc>
        <w:tc>
          <w:tcPr>
            <w:tcW w:w="8926" w:type="dxa"/>
          </w:tcPr>
          <w:p w:rsidR="00A56FE9" w:rsidRDefault="00000000">
            <w:pPr>
              <w:pStyle w:val="TableParagraph"/>
              <w:ind w:left="106" w:right="133"/>
              <w:rPr>
                <w:sz w:val="18"/>
              </w:rPr>
            </w:pPr>
            <w:r>
              <w:rPr>
                <w:sz w:val="18"/>
              </w:rPr>
              <w:t>The</w:t>
            </w:r>
            <w:r>
              <w:rPr>
                <w:spacing w:val="-3"/>
                <w:sz w:val="18"/>
              </w:rPr>
              <w:t xml:space="preserve"> </w:t>
            </w:r>
            <w:r>
              <w:rPr>
                <w:sz w:val="18"/>
              </w:rPr>
              <w:t>Technical</w:t>
            </w:r>
            <w:r>
              <w:rPr>
                <w:spacing w:val="-1"/>
                <w:sz w:val="18"/>
              </w:rPr>
              <w:t xml:space="preserve"> </w:t>
            </w:r>
            <w:r>
              <w:rPr>
                <w:sz w:val="18"/>
              </w:rPr>
              <w:t>Assistance</w:t>
            </w:r>
            <w:r>
              <w:rPr>
                <w:spacing w:val="-3"/>
                <w:sz w:val="18"/>
              </w:rPr>
              <w:t xml:space="preserve"> </w:t>
            </w:r>
            <w:r>
              <w:rPr>
                <w:sz w:val="18"/>
              </w:rPr>
              <w:t>Project</w:t>
            </w:r>
            <w:r>
              <w:rPr>
                <w:spacing w:val="1"/>
                <w:sz w:val="18"/>
              </w:rPr>
              <w:t xml:space="preserve"> </w:t>
            </w:r>
            <w:r>
              <w:rPr>
                <w:sz w:val="18"/>
              </w:rPr>
              <w:t>(OECD)</w:t>
            </w:r>
            <w:r>
              <w:rPr>
                <w:spacing w:val="-1"/>
                <w:sz w:val="18"/>
              </w:rPr>
              <w:t xml:space="preserve"> </w:t>
            </w:r>
            <w:r>
              <w:rPr>
                <w:sz w:val="18"/>
              </w:rPr>
              <w:t>will</w:t>
            </w:r>
            <w:r>
              <w:rPr>
                <w:spacing w:val="-2"/>
                <w:sz w:val="18"/>
              </w:rPr>
              <w:t xml:space="preserve"> </w:t>
            </w:r>
            <w:r>
              <w:rPr>
                <w:sz w:val="18"/>
              </w:rPr>
              <w:t>conduct</w:t>
            </w:r>
            <w:r>
              <w:rPr>
                <w:spacing w:val="-3"/>
                <w:sz w:val="18"/>
              </w:rPr>
              <w:t xml:space="preserve"> </w:t>
            </w:r>
            <w:r>
              <w:rPr>
                <w:sz w:val="18"/>
              </w:rPr>
              <w:t>research on</w:t>
            </w:r>
            <w:r>
              <w:rPr>
                <w:spacing w:val="-3"/>
                <w:sz w:val="18"/>
              </w:rPr>
              <w:t xml:space="preserve"> </w:t>
            </w:r>
            <w:r>
              <w:rPr>
                <w:sz w:val="18"/>
              </w:rPr>
              <w:t>the</w:t>
            </w:r>
            <w:r>
              <w:rPr>
                <w:spacing w:val="-2"/>
                <w:sz w:val="18"/>
              </w:rPr>
              <w:t xml:space="preserve"> </w:t>
            </w:r>
            <w:r>
              <w:rPr>
                <w:sz w:val="18"/>
              </w:rPr>
              <w:t>digital</w:t>
            </w:r>
            <w:r>
              <w:rPr>
                <w:spacing w:val="-2"/>
                <w:sz w:val="18"/>
              </w:rPr>
              <w:t xml:space="preserve"> </w:t>
            </w:r>
            <w:r>
              <w:rPr>
                <w:sz w:val="18"/>
              </w:rPr>
              <w:t>maturity</w:t>
            </w:r>
            <w:r>
              <w:rPr>
                <w:spacing w:val="-5"/>
                <w:sz w:val="18"/>
              </w:rPr>
              <w:t xml:space="preserve"> </w:t>
            </w:r>
            <w:r>
              <w:rPr>
                <w:sz w:val="18"/>
              </w:rPr>
              <w:t>of</w:t>
            </w:r>
            <w:r>
              <w:rPr>
                <w:spacing w:val="-4"/>
                <w:sz w:val="18"/>
              </w:rPr>
              <w:t xml:space="preserve"> </w:t>
            </w:r>
            <w:r>
              <w:rPr>
                <w:sz w:val="18"/>
              </w:rPr>
              <w:t>higher</w:t>
            </w:r>
            <w:r>
              <w:rPr>
                <w:spacing w:val="-1"/>
                <w:sz w:val="18"/>
              </w:rPr>
              <w:t xml:space="preserve"> </w:t>
            </w:r>
            <w:r>
              <w:rPr>
                <w:sz w:val="18"/>
              </w:rPr>
              <w:t>education</w:t>
            </w:r>
            <w:r>
              <w:rPr>
                <w:spacing w:val="-1"/>
                <w:sz w:val="18"/>
              </w:rPr>
              <w:t xml:space="preserve"> </w:t>
            </w:r>
            <w:r>
              <w:rPr>
                <w:sz w:val="18"/>
              </w:rPr>
              <w:t>institutions,</w:t>
            </w:r>
            <w:r>
              <w:rPr>
                <w:spacing w:val="-42"/>
                <w:sz w:val="18"/>
              </w:rPr>
              <w:t xml:space="preserve"> </w:t>
            </w:r>
            <w:r>
              <w:rPr>
                <w:sz w:val="18"/>
              </w:rPr>
              <w:t>which will be the basis for the development of methodology and proposals for investing in digital infrastructure</w:t>
            </w:r>
            <w:r>
              <w:rPr>
                <w:spacing w:val="1"/>
                <w:sz w:val="18"/>
              </w:rPr>
              <w:t xml:space="preserve"> </w:t>
            </w:r>
            <w:r>
              <w:rPr>
                <w:sz w:val="18"/>
              </w:rPr>
              <w:t>belonging</w:t>
            </w:r>
            <w:r>
              <w:rPr>
                <w:spacing w:val="-3"/>
                <w:sz w:val="18"/>
              </w:rPr>
              <w:t xml:space="preserve"> </w:t>
            </w:r>
            <w:r>
              <w:rPr>
                <w:sz w:val="18"/>
              </w:rPr>
              <w:t>to</w:t>
            </w:r>
            <w:r>
              <w:rPr>
                <w:spacing w:val="-2"/>
                <w:sz w:val="18"/>
              </w:rPr>
              <w:t xml:space="preserve"> </w:t>
            </w:r>
            <w:r>
              <w:rPr>
                <w:sz w:val="18"/>
              </w:rPr>
              <w:t>higher</w:t>
            </w:r>
            <w:r>
              <w:rPr>
                <w:spacing w:val="-1"/>
                <w:sz w:val="18"/>
              </w:rPr>
              <w:t xml:space="preserve"> </w:t>
            </w:r>
            <w:r>
              <w:rPr>
                <w:sz w:val="18"/>
              </w:rPr>
              <w:t>education</w:t>
            </w:r>
            <w:r>
              <w:rPr>
                <w:spacing w:val="-2"/>
                <w:sz w:val="18"/>
              </w:rPr>
              <w:t xml:space="preserve"> </w:t>
            </w:r>
            <w:r>
              <w:rPr>
                <w:sz w:val="18"/>
              </w:rPr>
              <w:t>institutions</w:t>
            </w:r>
            <w:r>
              <w:rPr>
                <w:spacing w:val="-2"/>
                <w:sz w:val="18"/>
              </w:rPr>
              <w:t xml:space="preserve"> </w:t>
            </w:r>
            <w:r>
              <w:rPr>
                <w:sz w:val="18"/>
              </w:rPr>
              <w:t>(Document:</w:t>
            </w:r>
            <w:r>
              <w:rPr>
                <w:spacing w:val="-1"/>
                <w:sz w:val="18"/>
              </w:rPr>
              <w:t xml:space="preserve"> </w:t>
            </w:r>
            <w:r>
              <w:rPr>
                <w:sz w:val="18"/>
              </w:rPr>
              <w:t>technical</w:t>
            </w:r>
            <w:r>
              <w:rPr>
                <w:spacing w:val="-1"/>
                <w:sz w:val="18"/>
              </w:rPr>
              <w:t xml:space="preserve"> </w:t>
            </w:r>
            <w:r>
              <w:rPr>
                <w:sz w:val="18"/>
              </w:rPr>
              <w:t>report</w:t>
            </w:r>
            <w:r>
              <w:rPr>
                <w:spacing w:val="-3"/>
                <w:sz w:val="18"/>
              </w:rPr>
              <w:t xml:space="preserve"> </w:t>
            </w:r>
            <w:r>
              <w:rPr>
                <w:sz w:val="18"/>
              </w:rPr>
              <w:t>on</w:t>
            </w:r>
            <w:r>
              <w:rPr>
                <w:spacing w:val="-2"/>
                <w:sz w:val="18"/>
              </w:rPr>
              <w:t xml:space="preserve"> </w:t>
            </w:r>
            <w:r>
              <w:rPr>
                <w:sz w:val="18"/>
              </w:rPr>
              <w:t>investment</w:t>
            </w:r>
            <w:r>
              <w:rPr>
                <w:spacing w:val="-2"/>
                <w:sz w:val="18"/>
              </w:rPr>
              <w:t xml:space="preserve"> </w:t>
            </w:r>
            <w:r>
              <w:rPr>
                <w:sz w:val="18"/>
              </w:rPr>
              <w:t>in digital</w:t>
            </w:r>
            <w:r>
              <w:rPr>
                <w:spacing w:val="-1"/>
                <w:sz w:val="18"/>
              </w:rPr>
              <w:t xml:space="preserve"> </w:t>
            </w:r>
            <w:r>
              <w:rPr>
                <w:sz w:val="18"/>
              </w:rPr>
              <w:t>infrastructure</w:t>
            </w:r>
            <w:r>
              <w:rPr>
                <w:spacing w:val="-2"/>
                <w:sz w:val="18"/>
              </w:rPr>
              <w:t xml:space="preserve"> </w:t>
            </w:r>
            <w:r>
              <w:rPr>
                <w:sz w:val="18"/>
              </w:rPr>
              <w:t>of</w:t>
            </w:r>
            <w:r>
              <w:rPr>
                <w:spacing w:val="-3"/>
                <w:sz w:val="18"/>
              </w:rPr>
              <w:t xml:space="preserve"> </w:t>
            </w:r>
            <w:r>
              <w:rPr>
                <w:sz w:val="18"/>
              </w:rPr>
              <w:t>higher</w:t>
            </w:r>
          </w:p>
          <w:p w:rsidR="00A56FE9" w:rsidRDefault="00000000">
            <w:pPr>
              <w:pStyle w:val="TableParagraph"/>
              <w:spacing w:line="206" w:lineRule="exact"/>
              <w:ind w:left="106" w:right="242"/>
              <w:rPr>
                <w:sz w:val="18"/>
              </w:rPr>
            </w:pPr>
            <w:r>
              <w:rPr>
                <w:sz w:val="18"/>
              </w:rPr>
              <w:t>education</w:t>
            </w:r>
            <w:r>
              <w:rPr>
                <w:spacing w:val="-3"/>
                <w:sz w:val="18"/>
              </w:rPr>
              <w:t xml:space="preserve"> </w:t>
            </w:r>
            <w:r>
              <w:rPr>
                <w:sz w:val="18"/>
              </w:rPr>
              <w:t>institutions).</w:t>
            </w:r>
            <w:r>
              <w:rPr>
                <w:spacing w:val="-1"/>
                <w:sz w:val="18"/>
              </w:rPr>
              <w:t xml:space="preserve"> </w:t>
            </w:r>
            <w:r>
              <w:rPr>
                <w:sz w:val="18"/>
              </w:rPr>
              <w:t>According</w:t>
            </w:r>
            <w:r>
              <w:rPr>
                <w:spacing w:val="-2"/>
                <w:sz w:val="18"/>
              </w:rPr>
              <w:t xml:space="preserve"> </w:t>
            </w:r>
            <w:r>
              <w:rPr>
                <w:sz w:val="18"/>
              </w:rPr>
              <w:t>to the</w:t>
            </w:r>
            <w:r>
              <w:rPr>
                <w:spacing w:val="-2"/>
                <w:sz w:val="18"/>
              </w:rPr>
              <w:t xml:space="preserve"> </w:t>
            </w:r>
            <w:r>
              <w:rPr>
                <w:sz w:val="18"/>
              </w:rPr>
              <w:t>report, the</w:t>
            </w:r>
            <w:r>
              <w:rPr>
                <w:spacing w:val="-2"/>
                <w:sz w:val="18"/>
              </w:rPr>
              <w:t xml:space="preserve"> </w:t>
            </w:r>
            <w:r>
              <w:rPr>
                <w:sz w:val="18"/>
              </w:rPr>
              <w:t>digital</w:t>
            </w:r>
            <w:r>
              <w:rPr>
                <w:spacing w:val="-3"/>
                <w:sz w:val="18"/>
              </w:rPr>
              <w:t xml:space="preserve"> </w:t>
            </w:r>
            <w:r>
              <w:rPr>
                <w:sz w:val="18"/>
              </w:rPr>
              <w:t>infrastructure</w:t>
            </w:r>
            <w:r>
              <w:rPr>
                <w:spacing w:val="-3"/>
                <w:sz w:val="18"/>
              </w:rPr>
              <w:t xml:space="preserve"> </w:t>
            </w:r>
            <w:r>
              <w:rPr>
                <w:sz w:val="18"/>
              </w:rPr>
              <w:t>of</w:t>
            </w:r>
            <w:r>
              <w:rPr>
                <w:spacing w:val="-3"/>
                <w:sz w:val="18"/>
              </w:rPr>
              <w:t xml:space="preserve"> </w:t>
            </w:r>
            <w:r>
              <w:rPr>
                <w:sz w:val="18"/>
              </w:rPr>
              <w:t>higher</w:t>
            </w:r>
            <w:r>
              <w:rPr>
                <w:spacing w:val="-1"/>
                <w:sz w:val="18"/>
              </w:rPr>
              <w:t xml:space="preserve"> </w:t>
            </w:r>
            <w:r>
              <w:rPr>
                <w:sz w:val="18"/>
              </w:rPr>
              <w:t>education</w:t>
            </w:r>
            <w:r>
              <w:rPr>
                <w:spacing w:val="-2"/>
                <w:sz w:val="18"/>
              </w:rPr>
              <w:t xml:space="preserve"> </w:t>
            </w:r>
            <w:r>
              <w:rPr>
                <w:sz w:val="18"/>
              </w:rPr>
              <w:t>institutions</w:t>
            </w:r>
            <w:r>
              <w:rPr>
                <w:spacing w:val="-1"/>
                <w:sz w:val="18"/>
              </w:rPr>
              <w:t xml:space="preserve"> </w:t>
            </w:r>
            <w:r>
              <w:rPr>
                <w:sz w:val="18"/>
              </w:rPr>
              <w:t>will</w:t>
            </w:r>
            <w:r>
              <w:rPr>
                <w:spacing w:val="-1"/>
                <w:sz w:val="18"/>
              </w:rPr>
              <w:t xml:space="preserve"> </w:t>
            </w:r>
            <w:r>
              <w:rPr>
                <w:sz w:val="18"/>
              </w:rPr>
              <w:t>be</w:t>
            </w:r>
            <w:r>
              <w:rPr>
                <w:spacing w:val="-42"/>
                <w:sz w:val="18"/>
              </w:rPr>
              <w:t xml:space="preserve"> </w:t>
            </w:r>
            <w:r>
              <w:rPr>
                <w:sz w:val="18"/>
              </w:rPr>
              <w:t>improved as envisaged</w:t>
            </w:r>
            <w:r>
              <w:rPr>
                <w:spacing w:val="1"/>
                <w:sz w:val="18"/>
              </w:rPr>
              <w:t xml:space="preserve"> </w:t>
            </w:r>
            <w:r>
              <w:rPr>
                <w:sz w:val="18"/>
              </w:rPr>
              <w:t>by</w:t>
            </w:r>
            <w:r>
              <w:rPr>
                <w:spacing w:val="-4"/>
                <w:sz w:val="18"/>
              </w:rPr>
              <w:t xml:space="preserve"> </w:t>
            </w:r>
            <w:r>
              <w:rPr>
                <w:sz w:val="18"/>
              </w:rPr>
              <w:t>the</w:t>
            </w:r>
            <w:r>
              <w:rPr>
                <w:spacing w:val="-1"/>
                <w:sz w:val="18"/>
              </w:rPr>
              <w:t xml:space="preserve"> </w:t>
            </w:r>
            <w:r>
              <w:rPr>
                <w:sz w:val="18"/>
              </w:rPr>
              <w:t>National Recovery</w:t>
            </w:r>
            <w:r>
              <w:rPr>
                <w:spacing w:val="-4"/>
                <w:sz w:val="18"/>
              </w:rPr>
              <w:t xml:space="preserve"> </w:t>
            </w:r>
            <w:r>
              <w:rPr>
                <w:sz w:val="18"/>
              </w:rPr>
              <w:t>and Resilience</w:t>
            </w:r>
            <w:r>
              <w:rPr>
                <w:spacing w:val="-1"/>
                <w:sz w:val="18"/>
              </w:rPr>
              <w:t xml:space="preserve"> </w:t>
            </w:r>
            <w:r>
              <w:rPr>
                <w:sz w:val="18"/>
              </w:rPr>
              <w:t>Plan</w:t>
            </w:r>
            <w:r>
              <w:rPr>
                <w:spacing w:val="1"/>
                <w:sz w:val="18"/>
              </w:rPr>
              <w:t xml:space="preserve"> </w:t>
            </w:r>
            <w:r>
              <w:rPr>
                <w:sz w:val="18"/>
              </w:rPr>
              <w:t>(NRRP).</w:t>
            </w:r>
          </w:p>
        </w:tc>
      </w:tr>
      <w:tr w:rsidR="00A56FE9">
        <w:trPr>
          <w:trHeight w:val="621"/>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spacing w:line="202" w:lineRule="exact"/>
              <w:ind w:left="100"/>
              <w:rPr>
                <w:sz w:val="18"/>
              </w:rPr>
            </w:pPr>
            <w:r>
              <w:rPr>
                <w:sz w:val="18"/>
              </w:rPr>
              <w:t>Model</w:t>
            </w:r>
            <w:r>
              <w:rPr>
                <w:spacing w:val="-3"/>
                <w:sz w:val="18"/>
              </w:rPr>
              <w:t xml:space="preserve"> </w:t>
            </w:r>
            <w:r>
              <w:rPr>
                <w:sz w:val="18"/>
              </w:rPr>
              <w:t>of</w:t>
            </w:r>
            <w:r>
              <w:rPr>
                <w:spacing w:val="-2"/>
                <w:sz w:val="18"/>
              </w:rPr>
              <w:t xml:space="preserve"> </w:t>
            </w:r>
            <w:r>
              <w:rPr>
                <w:sz w:val="18"/>
              </w:rPr>
              <w:t>all-day</w:t>
            </w:r>
            <w:r>
              <w:rPr>
                <w:spacing w:val="-4"/>
                <w:sz w:val="18"/>
              </w:rPr>
              <w:t xml:space="preserve"> </w:t>
            </w:r>
            <w:r>
              <w:rPr>
                <w:sz w:val="18"/>
              </w:rPr>
              <w:t>school devised</w:t>
            </w:r>
          </w:p>
        </w:tc>
        <w:tc>
          <w:tcPr>
            <w:tcW w:w="8926" w:type="dxa"/>
          </w:tcPr>
          <w:p w:rsidR="00A56FE9" w:rsidRDefault="00000000">
            <w:pPr>
              <w:pStyle w:val="TableParagraph"/>
              <w:spacing w:line="202" w:lineRule="exact"/>
              <w:ind w:left="106"/>
              <w:rPr>
                <w:sz w:val="18"/>
              </w:rPr>
            </w:pPr>
            <w:r>
              <w:rPr>
                <w:sz w:val="18"/>
              </w:rPr>
              <w:t>The</w:t>
            </w:r>
            <w:r>
              <w:rPr>
                <w:spacing w:val="-3"/>
                <w:sz w:val="18"/>
              </w:rPr>
              <w:t xml:space="preserve"> </w:t>
            </w:r>
            <w:r>
              <w:rPr>
                <w:sz w:val="18"/>
              </w:rPr>
              <w:t>all-day</w:t>
            </w:r>
            <w:r>
              <w:rPr>
                <w:spacing w:val="-5"/>
                <w:sz w:val="18"/>
              </w:rPr>
              <w:t xml:space="preserve"> </w:t>
            </w:r>
            <w:r>
              <w:rPr>
                <w:sz w:val="18"/>
              </w:rPr>
              <w:t>school</w:t>
            </w:r>
            <w:r>
              <w:rPr>
                <w:spacing w:val="-1"/>
                <w:sz w:val="18"/>
              </w:rPr>
              <w:t xml:space="preserve"> </w:t>
            </w:r>
            <w:r>
              <w:rPr>
                <w:sz w:val="18"/>
              </w:rPr>
              <w:t>model</w:t>
            </w:r>
            <w:r>
              <w:rPr>
                <w:spacing w:val="-1"/>
                <w:sz w:val="18"/>
              </w:rPr>
              <w:t xml:space="preserve"> </w:t>
            </w:r>
            <w:r>
              <w:rPr>
                <w:sz w:val="18"/>
              </w:rPr>
              <w:t>will</w:t>
            </w:r>
            <w:r>
              <w:rPr>
                <w:spacing w:val="-1"/>
                <w:sz w:val="18"/>
              </w:rPr>
              <w:t xml:space="preserve"> </w:t>
            </w:r>
            <w:r>
              <w:rPr>
                <w:sz w:val="18"/>
              </w:rPr>
              <w:t>be</w:t>
            </w:r>
            <w:r>
              <w:rPr>
                <w:spacing w:val="-4"/>
                <w:sz w:val="18"/>
              </w:rPr>
              <w:t xml:space="preserve"> </w:t>
            </w:r>
            <w:r>
              <w:rPr>
                <w:sz w:val="18"/>
              </w:rPr>
              <w:t>prepared based</w:t>
            </w:r>
            <w:r>
              <w:rPr>
                <w:spacing w:val="-2"/>
                <w:sz w:val="18"/>
              </w:rPr>
              <w:t xml:space="preserve"> </w:t>
            </w:r>
            <w:r>
              <w:rPr>
                <w:sz w:val="18"/>
              </w:rPr>
              <w:t>on</w:t>
            </w:r>
            <w:r>
              <w:rPr>
                <w:spacing w:val="-2"/>
                <w:sz w:val="18"/>
              </w:rPr>
              <w:t xml:space="preserve"> </w:t>
            </w:r>
            <w:r>
              <w:rPr>
                <w:sz w:val="18"/>
              </w:rPr>
              <w:t>available</w:t>
            </w:r>
            <w:r>
              <w:rPr>
                <w:spacing w:val="-1"/>
                <w:sz w:val="18"/>
              </w:rPr>
              <w:t xml:space="preserve"> </w:t>
            </w:r>
            <w:r>
              <w:rPr>
                <w:sz w:val="18"/>
              </w:rPr>
              <w:t>analyses</w:t>
            </w:r>
            <w:r>
              <w:rPr>
                <w:spacing w:val="-2"/>
                <w:sz w:val="18"/>
              </w:rPr>
              <w:t xml:space="preserve"> </w:t>
            </w:r>
            <w:r>
              <w:rPr>
                <w:sz w:val="18"/>
              </w:rPr>
              <w:t>from</w:t>
            </w:r>
            <w:r>
              <w:rPr>
                <w:spacing w:val="-4"/>
                <w:sz w:val="18"/>
              </w:rPr>
              <w:t xml:space="preserve"> </w:t>
            </w:r>
            <w:r>
              <w:rPr>
                <w:sz w:val="18"/>
              </w:rPr>
              <w:t>European comparative</w:t>
            </w:r>
            <w:r>
              <w:rPr>
                <w:spacing w:val="-2"/>
                <w:sz w:val="18"/>
              </w:rPr>
              <w:t xml:space="preserve"> </w:t>
            </w:r>
            <w:r>
              <w:rPr>
                <w:sz w:val="18"/>
              </w:rPr>
              <w:t>reports</w:t>
            </w:r>
            <w:r>
              <w:rPr>
                <w:spacing w:val="-1"/>
                <w:sz w:val="18"/>
              </w:rPr>
              <w:t xml:space="preserve"> </w:t>
            </w:r>
            <w:r>
              <w:rPr>
                <w:sz w:val="18"/>
              </w:rPr>
              <w:t>and a</w:t>
            </w:r>
          </w:p>
          <w:p w:rsidR="00A56FE9" w:rsidRDefault="00000000">
            <w:pPr>
              <w:pStyle w:val="TableParagraph"/>
              <w:spacing w:line="206" w:lineRule="exact"/>
              <w:ind w:left="106" w:right="97"/>
              <w:rPr>
                <w:sz w:val="18"/>
              </w:rPr>
            </w:pPr>
            <w:r>
              <w:rPr>
                <w:sz w:val="18"/>
              </w:rPr>
              <w:t>detailed analysis of standards and norms related to school buildings, class formation, teacher norms and the like, in close</w:t>
            </w:r>
            <w:r>
              <w:rPr>
                <w:spacing w:val="-42"/>
                <w:sz w:val="18"/>
              </w:rPr>
              <w:t xml:space="preserve"> </w:t>
            </w:r>
            <w:r>
              <w:rPr>
                <w:sz w:val="18"/>
              </w:rPr>
              <w:t>cooperation with</w:t>
            </w:r>
            <w:r>
              <w:rPr>
                <w:spacing w:val="1"/>
                <w:sz w:val="18"/>
              </w:rPr>
              <w:t xml:space="preserve"> </w:t>
            </w:r>
            <w:r>
              <w:rPr>
                <w:sz w:val="18"/>
              </w:rPr>
              <w:t>stakeholders through established</w:t>
            </w:r>
            <w:r>
              <w:rPr>
                <w:spacing w:val="1"/>
                <w:sz w:val="18"/>
              </w:rPr>
              <w:t xml:space="preserve"> </w:t>
            </w:r>
            <w:r>
              <w:rPr>
                <w:sz w:val="18"/>
              </w:rPr>
              <w:t>consultation</w:t>
            </w:r>
            <w:r>
              <w:rPr>
                <w:spacing w:val="1"/>
                <w:sz w:val="18"/>
              </w:rPr>
              <w:t xml:space="preserve"> </w:t>
            </w:r>
            <w:r>
              <w:rPr>
                <w:sz w:val="18"/>
              </w:rPr>
              <w:t>procedures.</w:t>
            </w:r>
          </w:p>
        </w:tc>
      </w:tr>
      <w:tr w:rsidR="00A56FE9">
        <w:trPr>
          <w:trHeight w:val="415"/>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spacing w:line="202" w:lineRule="exact"/>
              <w:ind w:left="100"/>
              <w:rPr>
                <w:sz w:val="18"/>
              </w:rPr>
            </w:pPr>
            <w:r>
              <w:rPr>
                <w:sz w:val="18"/>
              </w:rPr>
              <w:t>Proportion</w:t>
            </w:r>
            <w:r>
              <w:rPr>
                <w:spacing w:val="-2"/>
                <w:sz w:val="18"/>
              </w:rPr>
              <w:t xml:space="preserve"> </w:t>
            </w:r>
            <w:r>
              <w:rPr>
                <w:sz w:val="18"/>
              </w:rPr>
              <w:t>of</w:t>
            </w:r>
            <w:r>
              <w:rPr>
                <w:spacing w:val="-2"/>
                <w:sz w:val="18"/>
              </w:rPr>
              <w:t xml:space="preserve"> </w:t>
            </w:r>
            <w:r>
              <w:rPr>
                <w:sz w:val="18"/>
              </w:rPr>
              <w:t>primary</w:t>
            </w:r>
            <w:r>
              <w:rPr>
                <w:spacing w:val="-5"/>
                <w:sz w:val="18"/>
              </w:rPr>
              <w:t xml:space="preserve"> </w:t>
            </w:r>
            <w:r>
              <w:rPr>
                <w:sz w:val="18"/>
              </w:rPr>
              <w:t>and</w:t>
            </w:r>
            <w:r>
              <w:rPr>
                <w:spacing w:val="1"/>
                <w:sz w:val="18"/>
              </w:rPr>
              <w:t xml:space="preserve"> </w:t>
            </w:r>
            <w:r>
              <w:rPr>
                <w:sz w:val="18"/>
              </w:rPr>
              <w:t>secondary</w:t>
            </w:r>
            <w:r>
              <w:rPr>
                <w:spacing w:val="-5"/>
                <w:sz w:val="18"/>
              </w:rPr>
              <w:t xml:space="preserve"> </w:t>
            </w:r>
            <w:r>
              <w:rPr>
                <w:sz w:val="18"/>
              </w:rPr>
              <w:t>schools</w:t>
            </w:r>
          </w:p>
          <w:p w:rsidR="00A56FE9" w:rsidRDefault="00000000">
            <w:pPr>
              <w:pStyle w:val="TableParagraph"/>
              <w:spacing w:before="2" w:line="191" w:lineRule="exact"/>
              <w:ind w:left="100"/>
              <w:rPr>
                <w:sz w:val="18"/>
              </w:rPr>
            </w:pPr>
            <w:r>
              <w:rPr>
                <w:sz w:val="18"/>
              </w:rPr>
              <w:t>at</w:t>
            </w:r>
            <w:r>
              <w:rPr>
                <w:spacing w:val="-1"/>
                <w:sz w:val="18"/>
              </w:rPr>
              <w:t xml:space="preserve"> </w:t>
            </w:r>
            <w:r>
              <w:rPr>
                <w:sz w:val="18"/>
              </w:rPr>
              <w:t>the</w:t>
            </w:r>
            <w:r>
              <w:rPr>
                <w:spacing w:val="-2"/>
                <w:sz w:val="18"/>
              </w:rPr>
              <w:t xml:space="preserve"> </w:t>
            </w:r>
            <w:r>
              <w:rPr>
                <w:sz w:val="18"/>
              </w:rPr>
              <w:t>level</w:t>
            </w:r>
            <w:r>
              <w:rPr>
                <w:spacing w:val="-1"/>
                <w:sz w:val="18"/>
              </w:rPr>
              <w:t xml:space="preserve"> </w:t>
            </w:r>
            <w:r>
              <w:rPr>
                <w:sz w:val="18"/>
              </w:rPr>
              <w:t>of</w:t>
            </w:r>
            <w:r>
              <w:rPr>
                <w:spacing w:val="-3"/>
                <w:sz w:val="18"/>
              </w:rPr>
              <w:t xml:space="preserve"> </w:t>
            </w:r>
            <w:r>
              <w:rPr>
                <w:sz w:val="18"/>
              </w:rPr>
              <w:t>e-enabled digital</w:t>
            </w:r>
            <w:r>
              <w:rPr>
                <w:spacing w:val="-1"/>
                <w:sz w:val="18"/>
              </w:rPr>
              <w:t xml:space="preserve"> </w:t>
            </w:r>
            <w:r>
              <w:rPr>
                <w:sz w:val="18"/>
              </w:rPr>
              <w:t>maturity</w:t>
            </w:r>
          </w:p>
        </w:tc>
        <w:tc>
          <w:tcPr>
            <w:tcW w:w="8926" w:type="dxa"/>
          </w:tcPr>
          <w:p w:rsidR="00A56FE9" w:rsidRDefault="00000000">
            <w:pPr>
              <w:pStyle w:val="TableParagraph"/>
              <w:spacing w:line="202" w:lineRule="exact"/>
              <w:ind w:left="106"/>
              <w:rPr>
                <w:sz w:val="18"/>
              </w:rPr>
            </w:pPr>
            <w:r>
              <w:rPr>
                <w:sz w:val="18"/>
              </w:rPr>
              <w:t>Proportion</w:t>
            </w:r>
            <w:r>
              <w:rPr>
                <w:spacing w:val="-2"/>
                <w:sz w:val="18"/>
              </w:rPr>
              <w:t xml:space="preserve"> </w:t>
            </w:r>
            <w:r>
              <w:rPr>
                <w:sz w:val="18"/>
              </w:rPr>
              <w:t>of</w:t>
            </w:r>
            <w:r>
              <w:rPr>
                <w:spacing w:val="-3"/>
                <w:sz w:val="18"/>
              </w:rPr>
              <w:t xml:space="preserve"> </w:t>
            </w:r>
            <w:r>
              <w:rPr>
                <w:sz w:val="18"/>
              </w:rPr>
              <w:t>primary</w:t>
            </w:r>
            <w:r>
              <w:rPr>
                <w:spacing w:val="-5"/>
                <w:sz w:val="18"/>
              </w:rPr>
              <w:t xml:space="preserve"> </w:t>
            </w:r>
            <w:r>
              <w:rPr>
                <w:sz w:val="18"/>
              </w:rPr>
              <w:t>schools</w:t>
            </w:r>
            <w:r>
              <w:rPr>
                <w:spacing w:val="-1"/>
                <w:sz w:val="18"/>
              </w:rPr>
              <w:t xml:space="preserve"> </w:t>
            </w:r>
            <w:r>
              <w:rPr>
                <w:sz w:val="18"/>
              </w:rPr>
              <w:t>at</w:t>
            </w:r>
            <w:r>
              <w:rPr>
                <w:spacing w:val="-1"/>
                <w:sz w:val="18"/>
              </w:rPr>
              <w:t xml:space="preserve"> </w:t>
            </w:r>
            <w:r>
              <w:rPr>
                <w:sz w:val="18"/>
              </w:rPr>
              <w:t>the</w:t>
            </w:r>
            <w:r>
              <w:rPr>
                <w:spacing w:val="-1"/>
                <w:sz w:val="18"/>
              </w:rPr>
              <w:t xml:space="preserve"> </w:t>
            </w:r>
            <w:r>
              <w:rPr>
                <w:sz w:val="18"/>
              </w:rPr>
              <w:t>middle</w:t>
            </w:r>
            <w:r>
              <w:rPr>
                <w:spacing w:val="-1"/>
                <w:sz w:val="18"/>
              </w:rPr>
              <w:t xml:space="preserve"> </w:t>
            </w:r>
            <w:r>
              <w:rPr>
                <w:sz w:val="18"/>
              </w:rPr>
              <w:t>level</w:t>
            </w:r>
            <w:r>
              <w:rPr>
                <w:spacing w:val="-1"/>
                <w:sz w:val="18"/>
              </w:rPr>
              <w:t xml:space="preserve"> </w:t>
            </w:r>
            <w:r>
              <w:rPr>
                <w:sz w:val="18"/>
              </w:rPr>
              <w:t>of</w:t>
            </w:r>
            <w:r>
              <w:rPr>
                <w:spacing w:val="-3"/>
                <w:sz w:val="18"/>
              </w:rPr>
              <w:t xml:space="preserve"> </w:t>
            </w:r>
            <w:r>
              <w:rPr>
                <w:sz w:val="18"/>
              </w:rPr>
              <w:t>digital</w:t>
            </w:r>
            <w:r>
              <w:rPr>
                <w:spacing w:val="-1"/>
                <w:sz w:val="18"/>
              </w:rPr>
              <w:t xml:space="preserve"> </w:t>
            </w:r>
            <w:r>
              <w:rPr>
                <w:sz w:val="18"/>
              </w:rPr>
              <w:t>maturity</w:t>
            </w:r>
            <w:r>
              <w:rPr>
                <w:spacing w:val="-5"/>
                <w:sz w:val="18"/>
              </w:rPr>
              <w:t xml:space="preserve"> </w:t>
            </w:r>
            <w:r>
              <w:rPr>
                <w:sz w:val="18"/>
              </w:rPr>
              <w:t>(level</w:t>
            </w:r>
            <w:r>
              <w:rPr>
                <w:spacing w:val="7"/>
                <w:sz w:val="18"/>
              </w:rPr>
              <w:t xml:space="preserve"> </w:t>
            </w:r>
            <w:r>
              <w:rPr>
                <w:sz w:val="18"/>
              </w:rPr>
              <w:t>3).</w:t>
            </w:r>
          </w:p>
        </w:tc>
      </w:tr>
      <w:tr w:rsidR="00A56FE9">
        <w:trPr>
          <w:trHeight w:val="827"/>
        </w:trPr>
        <w:tc>
          <w:tcPr>
            <w:tcW w:w="2064" w:type="dxa"/>
            <w:vMerge w:val="restart"/>
            <w:shd w:val="clear" w:color="auto" w:fill="F1F1F1"/>
          </w:tcPr>
          <w:p w:rsidR="00A56FE9" w:rsidRDefault="00000000">
            <w:pPr>
              <w:pStyle w:val="TableParagraph"/>
              <w:ind w:left="105" w:right="169"/>
              <w:rPr>
                <w:sz w:val="20"/>
              </w:rPr>
            </w:pPr>
            <w:r>
              <w:rPr>
                <w:b/>
                <w:sz w:val="20"/>
              </w:rPr>
              <w:t xml:space="preserve">5. </w:t>
            </w:r>
            <w:r>
              <w:rPr>
                <w:sz w:val="20"/>
              </w:rPr>
              <w:t>Achieve gender</w:t>
            </w:r>
            <w:r>
              <w:rPr>
                <w:spacing w:val="1"/>
                <w:sz w:val="20"/>
              </w:rPr>
              <w:t xml:space="preserve"> </w:t>
            </w:r>
            <w:r>
              <w:rPr>
                <w:sz w:val="20"/>
              </w:rPr>
              <w:t>equality</w:t>
            </w:r>
            <w:r>
              <w:rPr>
                <w:spacing w:val="-12"/>
                <w:sz w:val="20"/>
              </w:rPr>
              <w:t xml:space="preserve"> </w:t>
            </w:r>
            <w:r>
              <w:rPr>
                <w:sz w:val="20"/>
              </w:rPr>
              <w:t>and</w:t>
            </w:r>
            <w:r>
              <w:rPr>
                <w:spacing w:val="-6"/>
                <w:sz w:val="20"/>
              </w:rPr>
              <w:t xml:space="preserve"> </w:t>
            </w:r>
            <w:r>
              <w:rPr>
                <w:sz w:val="20"/>
              </w:rPr>
              <w:t>empower</w:t>
            </w:r>
            <w:r>
              <w:rPr>
                <w:spacing w:val="-47"/>
                <w:sz w:val="20"/>
              </w:rPr>
              <w:t xml:space="preserve"> </w:t>
            </w:r>
            <w:r>
              <w:rPr>
                <w:sz w:val="20"/>
              </w:rPr>
              <w:t>all women</w:t>
            </w:r>
            <w:r>
              <w:rPr>
                <w:spacing w:val="-2"/>
                <w:sz w:val="20"/>
              </w:rPr>
              <w:t xml:space="preserve"> </w:t>
            </w:r>
            <w:r>
              <w:rPr>
                <w:sz w:val="20"/>
              </w:rPr>
              <w:t>and</w:t>
            </w:r>
            <w:r>
              <w:rPr>
                <w:spacing w:val="-1"/>
                <w:sz w:val="20"/>
              </w:rPr>
              <w:t xml:space="preserve"> </w:t>
            </w:r>
            <w:r>
              <w:rPr>
                <w:sz w:val="20"/>
              </w:rPr>
              <w:t>girls</w:t>
            </w:r>
          </w:p>
        </w:tc>
        <w:tc>
          <w:tcPr>
            <w:tcW w:w="3468" w:type="dxa"/>
          </w:tcPr>
          <w:p w:rsidR="00A56FE9" w:rsidRDefault="00000000">
            <w:pPr>
              <w:pStyle w:val="TableParagraph"/>
              <w:ind w:left="100" w:right="333"/>
              <w:jc w:val="both"/>
              <w:rPr>
                <w:sz w:val="18"/>
              </w:rPr>
            </w:pPr>
            <w:r>
              <w:rPr>
                <w:sz w:val="18"/>
              </w:rPr>
              <w:t>Adoption of the National Plan for Gender</w:t>
            </w:r>
            <w:r>
              <w:rPr>
                <w:spacing w:val="-42"/>
                <w:sz w:val="18"/>
              </w:rPr>
              <w:t xml:space="preserve"> </w:t>
            </w:r>
            <w:r>
              <w:rPr>
                <w:sz w:val="18"/>
              </w:rPr>
              <w:t>Equality for the period from 2022 to 2027</w:t>
            </w:r>
            <w:r>
              <w:rPr>
                <w:spacing w:val="-43"/>
                <w:sz w:val="18"/>
              </w:rPr>
              <w:t xml:space="preserve"> </w:t>
            </w:r>
            <w:r>
              <w:rPr>
                <w:sz w:val="18"/>
              </w:rPr>
              <w:t>and the</w:t>
            </w:r>
            <w:r>
              <w:rPr>
                <w:spacing w:val="-2"/>
                <w:sz w:val="18"/>
              </w:rPr>
              <w:t xml:space="preserve"> </w:t>
            </w:r>
            <w:r>
              <w:rPr>
                <w:sz w:val="18"/>
              </w:rPr>
              <w:t>Action</w:t>
            </w:r>
            <w:r>
              <w:rPr>
                <w:spacing w:val="-2"/>
                <w:sz w:val="18"/>
              </w:rPr>
              <w:t xml:space="preserve"> </w:t>
            </w:r>
            <w:r>
              <w:rPr>
                <w:sz w:val="18"/>
              </w:rPr>
              <w:t>Plan</w:t>
            </w:r>
            <w:r>
              <w:rPr>
                <w:spacing w:val="-2"/>
                <w:sz w:val="18"/>
              </w:rPr>
              <w:t xml:space="preserve"> </w:t>
            </w:r>
            <w:r>
              <w:rPr>
                <w:sz w:val="18"/>
              </w:rPr>
              <w:t>for</w:t>
            </w:r>
            <w:r>
              <w:rPr>
                <w:spacing w:val="-1"/>
                <w:sz w:val="18"/>
              </w:rPr>
              <w:t xml:space="preserve"> </w:t>
            </w:r>
            <w:r>
              <w:rPr>
                <w:sz w:val="18"/>
              </w:rPr>
              <w:t>Gender</w:t>
            </w:r>
            <w:r>
              <w:rPr>
                <w:spacing w:val="-1"/>
                <w:sz w:val="18"/>
              </w:rPr>
              <w:t xml:space="preserve"> </w:t>
            </w:r>
            <w:r>
              <w:rPr>
                <w:sz w:val="18"/>
              </w:rPr>
              <w:t>Equality</w:t>
            </w:r>
          </w:p>
          <w:p w:rsidR="00A56FE9" w:rsidRDefault="00000000">
            <w:pPr>
              <w:pStyle w:val="TableParagraph"/>
              <w:spacing w:line="191" w:lineRule="exact"/>
              <w:ind w:left="100"/>
              <w:rPr>
                <w:sz w:val="18"/>
              </w:rPr>
            </w:pPr>
            <w:r>
              <w:rPr>
                <w:sz w:val="18"/>
              </w:rPr>
              <w:t>2022-2024</w:t>
            </w:r>
          </w:p>
        </w:tc>
        <w:tc>
          <w:tcPr>
            <w:tcW w:w="8926" w:type="dxa"/>
          </w:tcPr>
          <w:p w:rsidR="00A56FE9" w:rsidRDefault="00000000">
            <w:pPr>
              <w:pStyle w:val="TableParagraph"/>
              <w:ind w:left="106" w:right="147"/>
              <w:rPr>
                <w:sz w:val="18"/>
              </w:rPr>
            </w:pPr>
            <w:r>
              <w:rPr>
                <w:sz w:val="18"/>
              </w:rPr>
              <w:t>This is a national act on strategic planning that aims to establish a higher level of equality between women and men,</w:t>
            </w:r>
            <w:r>
              <w:rPr>
                <w:spacing w:val="1"/>
                <w:sz w:val="18"/>
              </w:rPr>
              <w:t xml:space="preserve"> </w:t>
            </w:r>
            <w:r>
              <w:rPr>
                <w:sz w:val="18"/>
              </w:rPr>
              <w:t>with</w:t>
            </w:r>
            <w:r>
              <w:rPr>
                <w:spacing w:val="-1"/>
                <w:sz w:val="18"/>
              </w:rPr>
              <w:t xml:space="preserve"> </w:t>
            </w:r>
            <w:r>
              <w:rPr>
                <w:sz w:val="18"/>
              </w:rPr>
              <w:t>the</w:t>
            </w:r>
            <w:r>
              <w:rPr>
                <w:spacing w:val="-3"/>
                <w:sz w:val="18"/>
              </w:rPr>
              <w:t xml:space="preserve"> </w:t>
            </w:r>
            <w:r>
              <w:rPr>
                <w:sz w:val="18"/>
              </w:rPr>
              <w:t>emphasis</w:t>
            </w:r>
            <w:r>
              <w:rPr>
                <w:spacing w:val="-1"/>
                <w:sz w:val="18"/>
              </w:rPr>
              <w:t xml:space="preserve"> </w:t>
            </w:r>
            <w:r>
              <w:rPr>
                <w:sz w:val="18"/>
              </w:rPr>
              <w:t>on</w:t>
            </w:r>
            <w:r>
              <w:rPr>
                <w:spacing w:val="-1"/>
                <w:sz w:val="18"/>
              </w:rPr>
              <w:t xml:space="preserve"> </w:t>
            </w:r>
            <w:r>
              <w:rPr>
                <w:sz w:val="18"/>
              </w:rPr>
              <w:t>action</w:t>
            </w:r>
            <w:r>
              <w:rPr>
                <w:spacing w:val="-1"/>
                <w:sz w:val="18"/>
              </w:rPr>
              <w:t xml:space="preserve"> </w:t>
            </w:r>
            <w:r>
              <w:rPr>
                <w:sz w:val="18"/>
              </w:rPr>
              <w:t>in</w:t>
            </w:r>
            <w:r>
              <w:rPr>
                <w:spacing w:val="-2"/>
                <w:sz w:val="18"/>
              </w:rPr>
              <w:t xml:space="preserve"> </w:t>
            </w:r>
            <w:r>
              <w:rPr>
                <w:sz w:val="18"/>
              </w:rPr>
              <w:t>the</w:t>
            </w:r>
            <w:r>
              <w:rPr>
                <w:spacing w:val="-3"/>
                <w:sz w:val="18"/>
              </w:rPr>
              <w:t xml:space="preserve"> </w:t>
            </w:r>
            <w:r>
              <w:rPr>
                <w:sz w:val="18"/>
              </w:rPr>
              <w:t>field of</w:t>
            </w:r>
            <w:r>
              <w:rPr>
                <w:spacing w:val="-4"/>
                <w:sz w:val="18"/>
              </w:rPr>
              <w:t xml:space="preserve"> </w:t>
            </w:r>
            <w:r>
              <w:rPr>
                <w:sz w:val="18"/>
              </w:rPr>
              <w:t>human</w:t>
            </w:r>
            <w:r>
              <w:rPr>
                <w:spacing w:val="-1"/>
                <w:sz w:val="18"/>
              </w:rPr>
              <w:t xml:space="preserve"> </w:t>
            </w:r>
            <w:r>
              <w:rPr>
                <w:sz w:val="18"/>
              </w:rPr>
              <w:t>rights,</w:t>
            </w:r>
            <w:r>
              <w:rPr>
                <w:spacing w:val="-1"/>
                <w:sz w:val="18"/>
              </w:rPr>
              <w:t xml:space="preserve"> </w:t>
            </w:r>
            <w:r>
              <w:rPr>
                <w:sz w:val="18"/>
              </w:rPr>
              <w:t>work</w:t>
            </w:r>
            <w:r>
              <w:rPr>
                <w:spacing w:val="-3"/>
                <w:sz w:val="18"/>
              </w:rPr>
              <w:t xml:space="preserve"> </w:t>
            </w:r>
            <w:r>
              <w:rPr>
                <w:sz w:val="18"/>
              </w:rPr>
              <w:t>environment,</w:t>
            </w:r>
            <w:r>
              <w:rPr>
                <w:spacing w:val="-1"/>
                <w:sz w:val="18"/>
              </w:rPr>
              <w:t xml:space="preserve"> </w:t>
            </w:r>
            <w:r>
              <w:rPr>
                <w:sz w:val="18"/>
              </w:rPr>
              <w:t>combating</w:t>
            </w:r>
            <w:r>
              <w:rPr>
                <w:spacing w:val="-2"/>
                <w:sz w:val="18"/>
              </w:rPr>
              <w:t xml:space="preserve"> </w:t>
            </w:r>
            <w:r>
              <w:rPr>
                <w:sz w:val="18"/>
              </w:rPr>
              <w:t>all</w:t>
            </w:r>
            <w:r>
              <w:rPr>
                <w:spacing w:val="-2"/>
                <w:sz w:val="18"/>
              </w:rPr>
              <w:t xml:space="preserve"> </w:t>
            </w:r>
            <w:r>
              <w:rPr>
                <w:sz w:val="18"/>
              </w:rPr>
              <w:t>forms</w:t>
            </w:r>
            <w:r>
              <w:rPr>
                <w:spacing w:val="-1"/>
                <w:sz w:val="18"/>
              </w:rPr>
              <w:t xml:space="preserve"> </w:t>
            </w:r>
            <w:r>
              <w:rPr>
                <w:sz w:val="18"/>
              </w:rPr>
              <w:t>of</w:t>
            </w:r>
            <w:r>
              <w:rPr>
                <w:spacing w:val="-2"/>
                <w:sz w:val="18"/>
              </w:rPr>
              <w:t xml:space="preserve"> </w:t>
            </w:r>
            <w:r>
              <w:rPr>
                <w:sz w:val="18"/>
              </w:rPr>
              <w:t>violence,</w:t>
            </w:r>
            <w:r>
              <w:rPr>
                <w:spacing w:val="-2"/>
                <w:sz w:val="18"/>
              </w:rPr>
              <w:t xml:space="preserve"> </w:t>
            </w:r>
            <w:r>
              <w:rPr>
                <w:sz w:val="18"/>
              </w:rPr>
              <w:t>education,</w:t>
            </w:r>
            <w:r>
              <w:rPr>
                <w:spacing w:val="-42"/>
                <w:sz w:val="18"/>
              </w:rPr>
              <w:t xml:space="preserve"> </w:t>
            </w:r>
            <w:r>
              <w:rPr>
                <w:sz w:val="18"/>
              </w:rPr>
              <w:t>equal</w:t>
            </w:r>
            <w:r>
              <w:rPr>
                <w:spacing w:val="-1"/>
                <w:sz w:val="18"/>
              </w:rPr>
              <w:t xml:space="preserve"> </w:t>
            </w:r>
            <w:r>
              <w:rPr>
                <w:sz w:val="18"/>
              </w:rPr>
              <w:t>participation in decision-making, greater</w:t>
            </w:r>
            <w:r>
              <w:rPr>
                <w:spacing w:val="-1"/>
                <w:sz w:val="18"/>
              </w:rPr>
              <w:t xml:space="preserve"> </w:t>
            </w:r>
            <w:r>
              <w:rPr>
                <w:sz w:val="18"/>
              </w:rPr>
              <w:t>sensitivity</w:t>
            </w:r>
            <w:r>
              <w:rPr>
                <w:spacing w:val="-2"/>
                <w:sz w:val="18"/>
              </w:rPr>
              <w:t xml:space="preserve"> </w:t>
            </w:r>
            <w:r>
              <w:rPr>
                <w:sz w:val="18"/>
              </w:rPr>
              <w:t>for</w:t>
            </w:r>
            <w:r>
              <w:rPr>
                <w:spacing w:val="-1"/>
                <w:sz w:val="18"/>
              </w:rPr>
              <w:t xml:space="preserve"> </w:t>
            </w:r>
            <w:r>
              <w:rPr>
                <w:sz w:val="18"/>
              </w:rPr>
              <w:t>the</w:t>
            </w:r>
            <w:r>
              <w:rPr>
                <w:spacing w:val="-1"/>
                <w:sz w:val="18"/>
              </w:rPr>
              <w:t xml:space="preserve"> </w:t>
            </w:r>
            <w:r>
              <w:rPr>
                <w:sz w:val="18"/>
              </w:rPr>
              <w:t>diversity</w:t>
            </w:r>
            <w:r>
              <w:rPr>
                <w:spacing w:val="-5"/>
                <w:sz w:val="18"/>
              </w:rPr>
              <w:t xml:space="preserve"> </w:t>
            </w:r>
            <w:r>
              <w:rPr>
                <w:sz w:val="18"/>
              </w:rPr>
              <w:t>of</w:t>
            </w:r>
            <w:r>
              <w:rPr>
                <w:spacing w:val="-3"/>
                <w:sz w:val="18"/>
              </w:rPr>
              <w:t xml:space="preserve"> </w:t>
            </w:r>
            <w:r>
              <w:rPr>
                <w:sz w:val="18"/>
              </w:rPr>
              <w:t>needs in</w:t>
            </w:r>
            <w:r>
              <w:rPr>
                <w:spacing w:val="1"/>
                <w:sz w:val="18"/>
              </w:rPr>
              <w:t xml:space="preserve"> </w:t>
            </w:r>
            <w:r>
              <w:rPr>
                <w:sz w:val="18"/>
              </w:rPr>
              <w:t>public</w:t>
            </w:r>
            <w:r>
              <w:rPr>
                <w:spacing w:val="-4"/>
                <w:sz w:val="18"/>
              </w:rPr>
              <w:t xml:space="preserve"> </w:t>
            </w:r>
            <w:r>
              <w:rPr>
                <w:sz w:val="18"/>
              </w:rPr>
              <w:t>policies</w:t>
            </w:r>
            <w:r>
              <w:rPr>
                <w:spacing w:val="-4"/>
                <w:sz w:val="18"/>
              </w:rPr>
              <w:t xml:space="preserve"> </w:t>
            </w:r>
            <w:r>
              <w:rPr>
                <w:sz w:val="18"/>
              </w:rPr>
              <w:t>and</w:t>
            </w:r>
            <w:r>
              <w:rPr>
                <w:spacing w:val="1"/>
                <w:sz w:val="18"/>
              </w:rPr>
              <w:t xml:space="preserve"> </w:t>
            </w:r>
            <w:r>
              <w:rPr>
                <w:sz w:val="18"/>
              </w:rPr>
              <w:t>assistance</w:t>
            </w:r>
          </w:p>
          <w:p w:rsidR="00A56FE9" w:rsidRDefault="00000000">
            <w:pPr>
              <w:pStyle w:val="TableParagraph"/>
              <w:spacing w:line="191" w:lineRule="exact"/>
              <w:ind w:left="106"/>
              <w:rPr>
                <w:sz w:val="18"/>
              </w:rPr>
            </w:pPr>
            <w:r>
              <w:rPr>
                <w:sz w:val="18"/>
              </w:rPr>
              <w:t>provided</w:t>
            </w:r>
            <w:r>
              <w:rPr>
                <w:spacing w:val="-3"/>
                <w:sz w:val="18"/>
              </w:rPr>
              <w:t xml:space="preserve"> </w:t>
            </w:r>
            <w:r>
              <w:rPr>
                <w:sz w:val="18"/>
              </w:rPr>
              <w:t>by</w:t>
            </w:r>
            <w:r>
              <w:rPr>
                <w:spacing w:val="-5"/>
                <w:sz w:val="18"/>
              </w:rPr>
              <w:t xml:space="preserve"> </w:t>
            </w:r>
            <w:r>
              <w:rPr>
                <w:sz w:val="18"/>
              </w:rPr>
              <w:t>the</w:t>
            </w:r>
            <w:r>
              <w:rPr>
                <w:spacing w:val="-2"/>
                <w:sz w:val="18"/>
              </w:rPr>
              <w:t xml:space="preserve"> </w:t>
            </w:r>
            <w:r>
              <w:rPr>
                <w:sz w:val="18"/>
              </w:rPr>
              <w:t>Republic</w:t>
            </w:r>
            <w:r>
              <w:rPr>
                <w:spacing w:val="-3"/>
                <w:sz w:val="18"/>
              </w:rPr>
              <w:t xml:space="preserve"> </w:t>
            </w:r>
            <w:r>
              <w:rPr>
                <w:sz w:val="18"/>
              </w:rPr>
              <w:t>of</w:t>
            </w:r>
            <w:r>
              <w:rPr>
                <w:spacing w:val="-3"/>
                <w:sz w:val="18"/>
              </w:rPr>
              <w:t xml:space="preserve"> </w:t>
            </w:r>
            <w:r>
              <w:rPr>
                <w:sz w:val="18"/>
              </w:rPr>
              <w:t>Croatia</w:t>
            </w:r>
            <w:r>
              <w:rPr>
                <w:spacing w:val="-2"/>
                <w:sz w:val="18"/>
              </w:rPr>
              <w:t xml:space="preserve"> </w:t>
            </w:r>
            <w:r>
              <w:rPr>
                <w:sz w:val="18"/>
              </w:rPr>
              <w:t>to</w:t>
            </w:r>
            <w:r>
              <w:rPr>
                <w:spacing w:val="-1"/>
                <w:sz w:val="18"/>
              </w:rPr>
              <w:t xml:space="preserve"> </w:t>
            </w:r>
            <w:r>
              <w:rPr>
                <w:sz w:val="18"/>
              </w:rPr>
              <w:t>women through</w:t>
            </w:r>
            <w:r>
              <w:rPr>
                <w:spacing w:val="-2"/>
                <w:sz w:val="18"/>
              </w:rPr>
              <w:t xml:space="preserve"> </w:t>
            </w:r>
            <w:r>
              <w:rPr>
                <w:sz w:val="18"/>
              </w:rPr>
              <w:t>development</w:t>
            </w:r>
            <w:r>
              <w:rPr>
                <w:spacing w:val="-2"/>
                <w:sz w:val="18"/>
              </w:rPr>
              <w:t xml:space="preserve"> </w:t>
            </w:r>
            <w:r>
              <w:rPr>
                <w:sz w:val="18"/>
              </w:rPr>
              <w:t>cooperation</w:t>
            </w:r>
          </w:p>
        </w:tc>
      </w:tr>
      <w:tr w:rsidR="00A56FE9">
        <w:trPr>
          <w:trHeight w:val="621"/>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233"/>
              <w:rPr>
                <w:sz w:val="18"/>
              </w:rPr>
            </w:pPr>
            <w:r>
              <w:rPr>
                <w:sz w:val="18"/>
              </w:rPr>
              <w:t>Article 3. The Gender Equality Act obliges</w:t>
            </w:r>
            <w:r>
              <w:rPr>
                <w:spacing w:val="-43"/>
                <w:sz w:val="18"/>
              </w:rPr>
              <w:t xml:space="preserve"> </w:t>
            </w:r>
            <w:r>
              <w:rPr>
                <w:sz w:val="18"/>
              </w:rPr>
              <w:t>making</w:t>
            </w:r>
            <w:r>
              <w:rPr>
                <w:spacing w:val="-3"/>
                <w:sz w:val="18"/>
              </w:rPr>
              <w:t xml:space="preserve"> </w:t>
            </w:r>
            <w:r>
              <w:rPr>
                <w:sz w:val="18"/>
              </w:rPr>
              <w:t>assessments</w:t>
            </w:r>
            <w:r>
              <w:rPr>
                <w:spacing w:val="-1"/>
                <w:sz w:val="18"/>
              </w:rPr>
              <w:t xml:space="preserve"> </w:t>
            </w:r>
            <w:r>
              <w:rPr>
                <w:sz w:val="18"/>
              </w:rPr>
              <w:t>and evaluations</w:t>
            </w:r>
            <w:r>
              <w:rPr>
                <w:spacing w:val="-4"/>
                <w:sz w:val="18"/>
              </w:rPr>
              <w:t xml:space="preserve"> </w:t>
            </w:r>
            <w:r>
              <w:rPr>
                <w:sz w:val="18"/>
              </w:rPr>
              <w:t>of</w:t>
            </w:r>
            <w:r>
              <w:rPr>
                <w:spacing w:val="-3"/>
                <w:sz w:val="18"/>
              </w:rPr>
              <w:t xml:space="preserve"> </w:t>
            </w:r>
            <w:r>
              <w:rPr>
                <w:sz w:val="18"/>
              </w:rPr>
              <w:t>the</w:t>
            </w:r>
          </w:p>
          <w:p w:rsidR="00A56FE9" w:rsidRDefault="00000000">
            <w:pPr>
              <w:pStyle w:val="TableParagraph"/>
              <w:spacing w:line="191" w:lineRule="exact"/>
              <w:ind w:left="100"/>
              <w:rPr>
                <w:sz w:val="18"/>
              </w:rPr>
            </w:pPr>
            <w:r>
              <w:rPr>
                <w:sz w:val="18"/>
              </w:rPr>
              <w:t>effects</w:t>
            </w:r>
            <w:r>
              <w:rPr>
                <w:spacing w:val="-1"/>
                <w:sz w:val="18"/>
              </w:rPr>
              <w:t xml:space="preserve"> </w:t>
            </w:r>
            <w:r>
              <w:rPr>
                <w:sz w:val="18"/>
              </w:rPr>
              <w:t>acts,</w:t>
            </w:r>
            <w:r>
              <w:rPr>
                <w:spacing w:val="-1"/>
                <w:sz w:val="18"/>
              </w:rPr>
              <w:t xml:space="preserve"> </w:t>
            </w:r>
            <w:r>
              <w:rPr>
                <w:sz w:val="18"/>
              </w:rPr>
              <w:t>decisions</w:t>
            </w:r>
            <w:r>
              <w:rPr>
                <w:spacing w:val="-1"/>
                <w:sz w:val="18"/>
              </w:rPr>
              <w:t xml:space="preserve"> </w:t>
            </w:r>
            <w:r>
              <w:rPr>
                <w:sz w:val="18"/>
              </w:rPr>
              <w:t>or</w:t>
            </w:r>
            <w:r>
              <w:rPr>
                <w:spacing w:val="-1"/>
                <w:sz w:val="18"/>
              </w:rPr>
              <w:t xml:space="preserve"> </w:t>
            </w:r>
            <w:r>
              <w:rPr>
                <w:sz w:val="18"/>
              </w:rPr>
              <w:t>actions</w:t>
            </w:r>
            <w:r>
              <w:rPr>
                <w:spacing w:val="-1"/>
                <w:sz w:val="18"/>
              </w:rPr>
              <w:t xml:space="preserve"> </w:t>
            </w:r>
            <w:r>
              <w:rPr>
                <w:sz w:val="18"/>
              </w:rPr>
              <w:t>on the</w:t>
            </w:r>
          </w:p>
        </w:tc>
        <w:tc>
          <w:tcPr>
            <w:tcW w:w="8926" w:type="dxa"/>
          </w:tcPr>
          <w:p w:rsidR="00A56FE9" w:rsidRDefault="00000000">
            <w:pPr>
              <w:pStyle w:val="TableParagraph"/>
              <w:ind w:left="106" w:right="133"/>
              <w:rPr>
                <w:sz w:val="18"/>
              </w:rPr>
            </w:pPr>
            <w:r>
              <w:rPr>
                <w:sz w:val="18"/>
              </w:rPr>
              <w:t>This is a horizontal principle that is an integral part of the activities carried out by Croatia and, and depends on the type</w:t>
            </w:r>
            <w:r>
              <w:rPr>
                <w:spacing w:val="-42"/>
                <w:sz w:val="18"/>
              </w:rPr>
              <w:t xml:space="preserve"> </w:t>
            </w:r>
            <w:r>
              <w:rPr>
                <w:sz w:val="18"/>
              </w:rPr>
              <w:t>of</w:t>
            </w:r>
            <w:r>
              <w:rPr>
                <w:spacing w:val="-4"/>
                <w:sz w:val="18"/>
              </w:rPr>
              <w:t xml:space="preserve"> </w:t>
            </w:r>
            <w:r>
              <w:rPr>
                <w:sz w:val="18"/>
              </w:rPr>
              <w:t>project, with the</w:t>
            </w:r>
            <w:r>
              <w:rPr>
                <w:spacing w:val="-3"/>
                <w:sz w:val="18"/>
              </w:rPr>
              <w:t xml:space="preserve"> </w:t>
            </w:r>
            <w:r>
              <w:rPr>
                <w:sz w:val="18"/>
              </w:rPr>
              <w:t>need to include</w:t>
            </w:r>
            <w:r>
              <w:rPr>
                <w:spacing w:val="-2"/>
                <w:sz w:val="18"/>
              </w:rPr>
              <w:t xml:space="preserve"> </w:t>
            </w:r>
            <w:r>
              <w:rPr>
                <w:sz w:val="18"/>
              </w:rPr>
              <w:t>all</w:t>
            </w:r>
            <w:r>
              <w:rPr>
                <w:spacing w:val="-2"/>
                <w:sz w:val="18"/>
              </w:rPr>
              <w:t xml:space="preserve"> </w:t>
            </w:r>
            <w:r>
              <w:rPr>
                <w:sz w:val="18"/>
              </w:rPr>
              <w:t>groups</w:t>
            </w:r>
            <w:r>
              <w:rPr>
                <w:spacing w:val="-1"/>
                <w:sz w:val="18"/>
              </w:rPr>
              <w:t xml:space="preserve"> </w:t>
            </w:r>
            <w:r>
              <w:rPr>
                <w:sz w:val="18"/>
              </w:rPr>
              <w:t>related</w:t>
            </w:r>
            <w:r>
              <w:rPr>
                <w:spacing w:val="-3"/>
                <w:sz w:val="18"/>
              </w:rPr>
              <w:t xml:space="preserve"> </w:t>
            </w:r>
            <w:r>
              <w:rPr>
                <w:sz w:val="18"/>
              </w:rPr>
              <w:t>to gender</w:t>
            </w:r>
            <w:r>
              <w:rPr>
                <w:spacing w:val="-2"/>
                <w:sz w:val="18"/>
              </w:rPr>
              <w:t xml:space="preserve"> </w:t>
            </w:r>
            <w:r>
              <w:rPr>
                <w:sz w:val="18"/>
              </w:rPr>
              <w:t>equality</w:t>
            </w:r>
            <w:r>
              <w:rPr>
                <w:spacing w:val="-4"/>
                <w:sz w:val="18"/>
              </w:rPr>
              <w:t xml:space="preserve"> </w:t>
            </w:r>
            <w:r>
              <w:rPr>
                <w:sz w:val="18"/>
              </w:rPr>
              <w:t>and equal</w:t>
            </w:r>
            <w:r>
              <w:rPr>
                <w:spacing w:val="-2"/>
                <w:sz w:val="18"/>
              </w:rPr>
              <w:t xml:space="preserve"> </w:t>
            </w:r>
            <w:r>
              <w:rPr>
                <w:sz w:val="18"/>
              </w:rPr>
              <w:t>opportunities</w:t>
            </w:r>
            <w:r>
              <w:rPr>
                <w:spacing w:val="-2"/>
                <w:sz w:val="18"/>
              </w:rPr>
              <w:t xml:space="preserve"> </w:t>
            </w:r>
            <w:r>
              <w:rPr>
                <w:sz w:val="18"/>
              </w:rPr>
              <w:t>is</w:t>
            </w:r>
            <w:r>
              <w:rPr>
                <w:spacing w:val="-3"/>
                <w:sz w:val="18"/>
              </w:rPr>
              <w:t xml:space="preserve"> </w:t>
            </w:r>
            <w:r>
              <w:rPr>
                <w:sz w:val="18"/>
              </w:rPr>
              <w:t>taken into</w:t>
            </w:r>
            <w:r>
              <w:rPr>
                <w:spacing w:val="-3"/>
                <w:sz w:val="18"/>
              </w:rPr>
              <w:t xml:space="preserve"> </w:t>
            </w:r>
            <w:r>
              <w:rPr>
                <w:sz w:val="18"/>
              </w:rPr>
              <w:t>account.</w:t>
            </w:r>
            <w:r>
              <w:rPr>
                <w:spacing w:val="-1"/>
                <w:sz w:val="18"/>
              </w:rPr>
              <w:t xml:space="preserve"> </w:t>
            </w:r>
            <w:r>
              <w:rPr>
                <w:sz w:val="18"/>
              </w:rPr>
              <w:t>A</w:t>
            </w:r>
          </w:p>
          <w:p w:rsidR="00A56FE9" w:rsidRDefault="00000000">
            <w:pPr>
              <w:pStyle w:val="TableParagraph"/>
              <w:spacing w:line="191" w:lineRule="exact"/>
              <w:ind w:left="106"/>
              <w:rPr>
                <w:sz w:val="18"/>
              </w:rPr>
            </w:pPr>
            <w:r>
              <w:rPr>
                <w:sz w:val="18"/>
              </w:rPr>
              <w:t>detailed</w:t>
            </w:r>
            <w:r>
              <w:rPr>
                <w:spacing w:val="-1"/>
                <w:sz w:val="18"/>
              </w:rPr>
              <w:t xml:space="preserve"> </w:t>
            </w:r>
            <w:r>
              <w:rPr>
                <w:sz w:val="18"/>
              </w:rPr>
              <w:t>explanations</w:t>
            </w:r>
            <w:r>
              <w:rPr>
                <w:spacing w:val="-4"/>
                <w:sz w:val="18"/>
              </w:rPr>
              <w:t xml:space="preserve"> </w:t>
            </w:r>
            <w:r>
              <w:rPr>
                <w:sz w:val="18"/>
              </w:rPr>
              <w:t>of</w:t>
            </w:r>
            <w:r>
              <w:rPr>
                <w:spacing w:val="-3"/>
                <w:sz w:val="18"/>
              </w:rPr>
              <w:t xml:space="preserve"> </w:t>
            </w:r>
            <w:r>
              <w:rPr>
                <w:sz w:val="18"/>
              </w:rPr>
              <w:t>the</w:t>
            </w:r>
            <w:r>
              <w:rPr>
                <w:spacing w:val="-2"/>
                <w:sz w:val="18"/>
              </w:rPr>
              <w:t xml:space="preserve"> </w:t>
            </w:r>
            <w:r>
              <w:rPr>
                <w:sz w:val="18"/>
              </w:rPr>
              <w:t>planned</w:t>
            </w:r>
            <w:r>
              <w:rPr>
                <w:spacing w:val="-1"/>
                <w:sz w:val="18"/>
              </w:rPr>
              <w:t xml:space="preserve"> </w:t>
            </w:r>
            <w:r>
              <w:rPr>
                <w:sz w:val="18"/>
              </w:rPr>
              <w:t>reforms</w:t>
            </w:r>
            <w:r>
              <w:rPr>
                <w:spacing w:val="-1"/>
                <w:sz w:val="18"/>
              </w:rPr>
              <w:t xml:space="preserve"> </w:t>
            </w:r>
            <w:r>
              <w:rPr>
                <w:sz w:val="18"/>
              </w:rPr>
              <w:t>and investments</w:t>
            </w:r>
            <w:r>
              <w:rPr>
                <w:spacing w:val="-2"/>
                <w:sz w:val="18"/>
              </w:rPr>
              <w:t xml:space="preserve"> </w:t>
            </w:r>
            <w:r>
              <w:rPr>
                <w:sz w:val="18"/>
              </w:rPr>
              <w:t>related to</w:t>
            </w:r>
            <w:r>
              <w:rPr>
                <w:spacing w:val="-2"/>
                <w:sz w:val="18"/>
              </w:rPr>
              <w:t xml:space="preserve"> </w:t>
            </w:r>
            <w:r>
              <w:rPr>
                <w:sz w:val="18"/>
              </w:rPr>
              <w:t>the</w:t>
            </w:r>
            <w:r>
              <w:rPr>
                <w:spacing w:val="-2"/>
                <w:sz w:val="18"/>
              </w:rPr>
              <w:t xml:space="preserve"> </w:t>
            </w:r>
            <w:r>
              <w:rPr>
                <w:sz w:val="18"/>
              </w:rPr>
              <w:t>contribution</w:t>
            </w:r>
            <w:r>
              <w:rPr>
                <w:spacing w:val="-1"/>
                <w:sz w:val="18"/>
              </w:rPr>
              <w:t xml:space="preserve"> </w:t>
            </w:r>
            <w:r>
              <w:rPr>
                <w:sz w:val="18"/>
              </w:rPr>
              <w:t>to this</w:t>
            </w:r>
            <w:r>
              <w:rPr>
                <w:spacing w:val="-1"/>
                <w:sz w:val="18"/>
              </w:rPr>
              <w:t xml:space="preserve"> </w:t>
            </w:r>
            <w:r>
              <w:rPr>
                <w:sz w:val="18"/>
              </w:rPr>
              <w:t>principle</w:t>
            </w:r>
            <w:r>
              <w:rPr>
                <w:spacing w:val="-1"/>
                <w:sz w:val="18"/>
              </w:rPr>
              <w:t xml:space="preserve"> </w:t>
            </w:r>
            <w:r>
              <w:rPr>
                <w:sz w:val="18"/>
              </w:rPr>
              <w:t>are</w:t>
            </w:r>
            <w:r>
              <w:rPr>
                <w:spacing w:val="-3"/>
                <w:sz w:val="18"/>
              </w:rPr>
              <w:t xml:space="preserve"> </w:t>
            </w:r>
            <w:r>
              <w:rPr>
                <w:sz w:val="18"/>
              </w:rPr>
              <w:t>contained in</w:t>
            </w:r>
          </w:p>
        </w:tc>
      </w:tr>
    </w:tbl>
    <w:p w:rsidR="00A56FE9" w:rsidRDefault="00A56FE9">
      <w:pPr>
        <w:spacing w:line="191" w:lineRule="exac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4"/>
        <w:gridCol w:w="3468"/>
        <w:gridCol w:w="8926"/>
      </w:tblGrid>
      <w:tr w:rsidR="00A56FE9">
        <w:trPr>
          <w:trHeight w:val="249"/>
        </w:trPr>
        <w:tc>
          <w:tcPr>
            <w:tcW w:w="2064" w:type="dxa"/>
            <w:tcBorders>
              <w:top w:val="nil"/>
              <w:left w:val="nil"/>
              <w:bottom w:val="nil"/>
              <w:right w:val="nil"/>
            </w:tcBorders>
            <w:shd w:val="clear" w:color="auto" w:fill="2C398A"/>
          </w:tcPr>
          <w:p w:rsidR="00A56FE9" w:rsidRDefault="00000000">
            <w:pPr>
              <w:pStyle w:val="TableParagraph"/>
              <w:spacing w:before="10" w:line="220" w:lineRule="exact"/>
              <w:ind w:left="806" w:right="806"/>
              <w:jc w:val="center"/>
              <w:rPr>
                <w:b/>
                <w:sz w:val="20"/>
              </w:rPr>
            </w:pPr>
            <w:r>
              <w:rPr>
                <w:b/>
                <w:color w:val="FFFFFF"/>
                <w:sz w:val="20"/>
              </w:rPr>
              <w:t>SDG</w:t>
            </w:r>
          </w:p>
        </w:tc>
        <w:tc>
          <w:tcPr>
            <w:tcW w:w="3468" w:type="dxa"/>
            <w:tcBorders>
              <w:top w:val="nil"/>
              <w:left w:val="nil"/>
              <w:bottom w:val="nil"/>
              <w:right w:val="nil"/>
            </w:tcBorders>
            <w:shd w:val="clear" w:color="auto" w:fill="2C398A"/>
          </w:tcPr>
          <w:p w:rsidR="00A56FE9" w:rsidRDefault="00000000">
            <w:pPr>
              <w:pStyle w:val="TableParagraph"/>
              <w:spacing w:before="10" w:line="220" w:lineRule="exact"/>
              <w:ind w:left="792"/>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6" w:type="dxa"/>
            <w:tcBorders>
              <w:top w:val="nil"/>
              <w:left w:val="nil"/>
              <w:bottom w:val="nil"/>
              <w:right w:val="nil"/>
            </w:tcBorders>
            <w:shd w:val="clear" w:color="auto" w:fill="2C398A"/>
          </w:tcPr>
          <w:p w:rsidR="00A56FE9" w:rsidRDefault="00000000">
            <w:pPr>
              <w:pStyle w:val="TableParagraph"/>
              <w:spacing w:before="10" w:line="220" w:lineRule="exact"/>
              <w:ind w:left="1951" w:right="1949"/>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827"/>
        </w:trPr>
        <w:tc>
          <w:tcPr>
            <w:tcW w:w="2064" w:type="dxa"/>
            <w:vMerge w:val="restart"/>
            <w:tcBorders>
              <w:top w:val="nil"/>
            </w:tcBorders>
            <w:shd w:val="clear" w:color="auto" w:fill="F1F1F1"/>
          </w:tcPr>
          <w:p w:rsidR="00A56FE9" w:rsidRDefault="00A56FE9">
            <w:pPr>
              <w:pStyle w:val="TableParagraph"/>
              <w:rPr>
                <w:sz w:val="18"/>
              </w:rPr>
            </w:pPr>
          </w:p>
        </w:tc>
        <w:tc>
          <w:tcPr>
            <w:tcW w:w="3468" w:type="dxa"/>
            <w:tcBorders>
              <w:top w:val="nil"/>
            </w:tcBorders>
          </w:tcPr>
          <w:p w:rsidR="00A56FE9" w:rsidRDefault="00000000">
            <w:pPr>
              <w:pStyle w:val="TableParagraph"/>
              <w:ind w:left="100" w:right="281"/>
              <w:jc w:val="both"/>
              <w:rPr>
                <w:sz w:val="18"/>
              </w:rPr>
            </w:pPr>
            <w:r>
              <w:rPr>
                <w:sz w:val="18"/>
              </w:rPr>
              <w:t>position of women or men, in all phases of</w:t>
            </w:r>
            <w:r>
              <w:rPr>
                <w:spacing w:val="-43"/>
                <w:sz w:val="18"/>
              </w:rPr>
              <w:t xml:space="preserve"> </w:t>
            </w:r>
            <w:r>
              <w:rPr>
                <w:sz w:val="18"/>
              </w:rPr>
              <w:t>planning, adoption and implementation of</w:t>
            </w:r>
            <w:r>
              <w:rPr>
                <w:spacing w:val="1"/>
                <w:sz w:val="18"/>
              </w:rPr>
              <w:t xml:space="preserve"> </w:t>
            </w:r>
            <w:r>
              <w:rPr>
                <w:sz w:val="18"/>
              </w:rPr>
              <w:t>legal</w:t>
            </w:r>
            <w:r>
              <w:rPr>
                <w:spacing w:val="-2"/>
                <w:sz w:val="18"/>
              </w:rPr>
              <w:t xml:space="preserve"> </w:t>
            </w:r>
            <w:r>
              <w:rPr>
                <w:sz w:val="18"/>
              </w:rPr>
              <w:t>acts,</w:t>
            </w:r>
            <w:r>
              <w:rPr>
                <w:spacing w:val="-1"/>
                <w:sz w:val="18"/>
              </w:rPr>
              <w:t xml:space="preserve"> </w:t>
            </w:r>
            <w:r>
              <w:rPr>
                <w:sz w:val="18"/>
              </w:rPr>
              <w:t>decisions</w:t>
            </w:r>
            <w:r>
              <w:rPr>
                <w:spacing w:val="-1"/>
                <w:sz w:val="18"/>
              </w:rPr>
              <w:t xml:space="preserve"> </w:t>
            </w:r>
            <w:r>
              <w:rPr>
                <w:sz w:val="18"/>
              </w:rPr>
              <w:t>or</w:t>
            </w:r>
            <w:r>
              <w:rPr>
                <w:spacing w:val="-1"/>
                <w:sz w:val="18"/>
              </w:rPr>
              <w:t xml:space="preserve"> </w:t>
            </w:r>
            <w:r>
              <w:rPr>
                <w:sz w:val="18"/>
              </w:rPr>
              <w:t>actions,</w:t>
            </w:r>
            <w:r>
              <w:rPr>
                <w:spacing w:val="-1"/>
                <w:sz w:val="18"/>
              </w:rPr>
              <w:t xml:space="preserve"> </w:t>
            </w:r>
            <w:r>
              <w:rPr>
                <w:sz w:val="18"/>
              </w:rPr>
              <w:t>in</w:t>
            </w:r>
            <w:r>
              <w:rPr>
                <w:spacing w:val="-2"/>
                <w:sz w:val="18"/>
              </w:rPr>
              <w:t xml:space="preserve"> </w:t>
            </w:r>
            <w:r>
              <w:rPr>
                <w:sz w:val="18"/>
              </w:rPr>
              <w:t>order</w:t>
            </w:r>
            <w:r>
              <w:rPr>
                <w:spacing w:val="-1"/>
                <w:sz w:val="18"/>
              </w:rPr>
              <w:t xml:space="preserve"> </w:t>
            </w:r>
            <w:r>
              <w:rPr>
                <w:sz w:val="18"/>
              </w:rPr>
              <w:t>to</w:t>
            </w:r>
          </w:p>
          <w:p w:rsidR="00A56FE9" w:rsidRDefault="00000000">
            <w:pPr>
              <w:pStyle w:val="TableParagraph"/>
              <w:spacing w:line="191" w:lineRule="exact"/>
              <w:ind w:left="100"/>
              <w:jc w:val="both"/>
              <w:rPr>
                <w:sz w:val="18"/>
              </w:rPr>
            </w:pPr>
            <w:r>
              <w:rPr>
                <w:sz w:val="18"/>
              </w:rPr>
              <w:t>achieve</w:t>
            </w:r>
            <w:r>
              <w:rPr>
                <w:spacing w:val="-4"/>
                <w:sz w:val="18"/>
              </w:rPr>
              <w:t xml:space="preserve"> </w:t>
            </w:r>
            <w:r>
              <w:rPr>
                <w:sz w:val="18"/>
              </w:rPr>
              <w:t>real</w:t>
            </w:r>
            <w:r>
              <w:rPr>
                <w:spacing w:val="-2"/>
                <w:sz w:val="18"/>
              </w:rPr>
              <w:t xml:space="preserve"> </w:t>
            </w:r>
            <w:r>
              <w:rPr>
                <w:sz w:val="18"/>
              </w:rPr>
              <w:t>equality.</w:t>
            </w:r>
          </w:p>
        </w:tc>
        <w:tc>
          <w:tcPr>
            <w:tcW w:w="8926" w:type="dxa"/>
            <w:tcBorders>
              <w:top w:val="nil"/>
            </w:tcBorders>
          </w:tcPr>
          <w:p w:rsidR="00A56FE9" w:rsidRDefault="00000000">
            <w:pPr>
              <w:pStyle w:val="TableParagraph"/>
              <w:ind w:left="106" w:right="242"/>
              <w:rPr>
                <w:sz w:val="18"/>
              </w:rPr>
            </w:pPr>
            <w:r>
              <w:rPr>
                <w:sz w:val="18"/>
              </w:rPr>
              <w:t>the NRRP, subchapters Gender Equality and Equal Opportunities for All" (pp. 52, 449, 816, 903, 973, 1090, 1141 -</w:t>
            </w:r>
            <w:r>
              <w:rPr>
                <w:spacing w:val="1"/>
                <w:sz w:val="18"/>
              </w:rPr>
              <w:t xml:space="preserve"> </w:t>
            </w:r>
            <w:r>
              <w:rPr>
                <w:sz w:val="18"/>
              </w:rPr>
              <w:t>https://bit.ly/3KCiOAz) which</w:t>
            </w:r>
            <w:r>
              <w:rPr>
                <w:spacing w:val="-1"/>
                <w:sz w:val="18"/>
              </w:rPr>
              <w:t xml:space="preserve"> </w:t>
            </w:r>
            <w:r>
              <w:rPr>
                <w:sz w:val="18"/>
              </w:rPr>
              <w:t>describe</w:t>
            </w:r>
            <w:r>
              <w:rPr>
                <w:spacing w:val="-3"/>
                <w:sz w:val="18"/>
              </w:rPr>
              <w:t xml:space="preserve"> </w:t>
            </w:r>
            <w:r>
              <w:rPr>
                <w:sz w:val="18"/>
              </w:rPr>
              <w:t>the</w:t>
            </w:r>
            <w:r>
              <w:rPr>
                <w:spacing w:val="-3"/>
                <w:sz w:val="18"/>
              </w:rPr>
              <w:t xml:space="preserve"> </w:t>
            </w:r>
            <w:r>
              <w:rPr>
                <w:sz w:val="18"/>
              </w:rPr>
              <w:t>compliance</w:t>
            </w:r>
            <w:r>
              <w:rPr>
                <w:spacing w:val="-3"/>
                <w:sz w:val="18"/>
              </w:rPr>
              <w:t xml:space="preserve"> </w:t>
            </w:r>
            <w:r>
              <w:rPr>
                <w:sz w:val="18"/>
              </w:rPr>
              <w:t>of</w:t>
            </w:r>
            <w:r>
              <w:rPr>
                <w:spacing w:val="-3"/>
                <w:sz w:val="18"/>
              </w:rPr>
              <w:t xml:space="preserve"> </w:t>
            </w:r>
            <w:r>
              <w:rPr>
                <w:sz w:val="18"/>
              </w:rPr>
              <w:t>planned</w:t>
            </w:r>
            <w:r>
              <w:rPr>
                <w:spacing w:val="-3"/>
                <w:sz w:val="18"/>
              </w:rPr>
              <w:t xml:space="preserve"> </w:t>
            </w:r>
            <w:r>
              <w:rPr>
                <w:sz w:val="18"/>
              </w:rPr>
              <w:t>reforms</w:t>
            </w:r>
            <w:r>
              <w:rPr>
                <w:spacing w:val="-2"/>
                <w:sz w:val="18"/>
              </w:rPr>
              <w:t xml:space="preserve"> </w:t>
            </w:r>
            <w:r>
              <w:rPr>
                <w:sz w:val="18"/>
              </w:rPr>
              <w:t>and</w:t>
            </w:r>
            <w:r>
              <w:rPr>
                <w:spacing w:val="-1"/>
                <w:sz w:val="18"/>
              </w:rPr>
              <w:t xml:space="preserve"> </w:t>
            </w:r>
            <w:r>
              <w:rPr>
                <w:sz w:val="18"/>
              </w:rPr>
              <w:t>investments</w:t>
            </w:r>
            <w:r>
              <w:rPr>
                <w:spacing w:val="-2"/>
                <w:sz w:val="18"/>
              </w:rPr>
              <w:t xml:space="preserve"> </w:t>
            </w:r>
            <w:r>
              <w:rPr>
                <w:sz w:val="18"/>
              </w:rPr>
              <w:t>with the</w:t>
            </w:r>
            <w:r>
              <w:rPr>
                <w:spacing w:val="-3"/>
                <w:sz w:val="18"/>
              </w:rPr>
              <w:t xml:space="preserve"> </w:t>
            </w:r>
            <w:r>
              <w:rPr>
                <w:sz w:val="18"/>
              </w:rPr>
              <w:t>principles</w:t>
            </w:r>
            <w:r>
              <w:rPr>
                <w:spacing w:val="-3"/>
                <w:sz w:val="18"/>
              </w:rPr>
              <w:t xml:space="preserve"> </w:t>
            </w:r>
            <w:r>
              <w:rPr>
                <w:sz w:val="18"/>
              </w:rPr>
              <w:t>of</w:t>
            </w:r>
            <w:r>
              <w:rPr>
                <w:spacing w:val="-4"/>
                <w:sz w:val="18"/>
              </w:rPr>
              <w:t xml:space="preserve"> </w:t>
            </w:r>
            <w:r>
              <w:rPr>
                <w:sz w:val="18"/>
              </w:rPr>
              <w:t>the</w:t>
            </w:r>
            <w:r>
              <w:rPr>
                <w:spacing w:val="-42"/>
                <w:sz w:val="18"/>
              </w:rPr>
              <w:t xml:space="preserve"> </w:t>
            </w:r>
            <w:r>
              <w:rPr>
                <w:sz w:val="18"/>
              </w:rPr>
              <w:t>2nd</w:t>
            </w:r>
            <w:r>
              <w:rPr>
                <w:spacing w:val="-2"/>
                <w:sz w:val="18"/>
              </w:rPr>
              <w:t xml:space="preserve"> </w:t>
            </w:r>
            <w:r>
              <w:rPr>
                <w:sz w:val="18"/>
              </w:rPr>
              <w:t>and</w:t>
            </w:r>
            <w:r>
              <w:rPr>
                <w:spacing w:val="-1"/>
                <w:sz w:val="18"/>
              </w:rPr>
              <w:t xml:space="preserve"> </w:t>
            </w:r>
            <w:r>
              <w:rPr>
                <w:sz w:val="18"/>
              </w:rPr>
              <w:t>3rd</w:t>
            </w:r>
            <w:r>
              <w:rPr>
                <w:spacing w:val="2"/>
                <w:sz w:val="18"/>
              </w:rPr>
              <w:t xml:space="preserve"> </w:t>
            </w:r>
            <w:r>
              <w:rPr>
                <w:sz w:val="18"/>
              </w:rPr>
              <w:t>European</w:t>
            </w:r>
            <w:r>
              <w:rPr>
                <w:spacing w:val="-1"/>
                <w:sz w:val="18"/>
              </w:rPr>
              <w:t xml:space="preserve"> </w:t>
            </w:r>
            <w:r>
              <w:rPr>
                <w:sz w:val="18"/>
              </w:rPr>
              <w:t>Pillars</w:t>
            </w:r>
            <w:r>
              <w:rPr>
                <w:spacing w:val="-1"/>
                <w:sz w:val="18"/>
              </w:rPr>
              <w:t xml:space="preserve"> </w:t>
            </w:r>
            <w:r>
              <w:rPr>
                <w:sz w:val="18"/>
              </w:rPr>
              <w:t>of</w:t>
            </w:r>
            <w:r>
              <w:rPr>
                <w:spacing w:val="-2"/>
                <w:sz w:val="18"/>
              </w:rPr>
              <w:t xml:space="preserve"> </w:t>
            </w:r>
            <w:r>
              <w:rPr>
                <w:sz w:val="18"/>
              </w:rPr>
              <w:t>Social Rights.</w:t>
            </w:r>
          </w:p>
        </w:tc>
      </w:tr>
      <w:tr w:rsidR="00A56FE9">
        <w:trPr>
          <w:trHeight w:val="621"/>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122"/>
              <w:rPr>
                <w:sz w:val="18"/>
              </w:rPr>
            </w:pPr>
            <w:r>
              <w:rPr>
                <w:sz w:val="18"/>
              </w:rPr>
              <w:t>Adoption</w:t>
            </w:r>
            <w:r>
              <w:rPr>
                <w:spacing w:val="-1"/>
                <w:sz w:val="18"/>
              </w:rPr>
              <w:t xml:space="preserve"> </w:t>
            </w:r>
            <w:r>
              <w:rPr>
                <w:sz w:val="18"/>
              </w:rPr>
              <w:t>of</w:t>
            </w:r>
            <w:r>
              <w:rPr>
                <w:spacing w:val="-3"/>
                <w:sz w:val="18"/>
              </w:rPr>
              <w:t xml:space="preserve"> </w:t>
            </w:r>
            <w:r>
              <w:rPr>
                <w:sz w:val="18"/>
              </w:rPr>
              <w:t>the</w:t>
            </w:r>
            <w:r>
              <w:rPr>
                <w:spacing w:val="-5"/>
                <w:sz w:val="18"/>
              </w:rPr>
              <w:t xml:space="preserve"> </w:t>
            </w:r>
            <w:r>
              <w:rPr>
                <w:sz w:val="18"/>
              </w:rPr>
              <w:t>national</w:t>
            </w:r>
            <w:r>
              <w:rPr>
                <w:spacing w:val="-1"/>
                <w:sz w:val="18"/>
              </w:rPr>
              <w:t xml:space="preserve"> </w:t>
            </w:r>
            <w:r>
              <w:rPr>
                <w:sz w:val="18"/>
              </w:rPr>
              <w:t>plan</w:t>
            </w:r>
            <w:r>
              <w:rPr>
                <w:spacing w:val="-1"/>
                <w:sz w:val="18"/>
              </w:rPr>
              <w:t xml:space="preserve"> </w:t>
            </w:r>
            <w:r>
              <w:rPr>
                <w:sz w:val="18"/>
              </w:rPr>
              <w:t>for</w:t>
            </w:r>
            <w:r>
              <w:rPr>
                <w:spacing w:val="-3"/>
                <w:sz w:val="18"/>
              </w:rPr>
              <w:t xml:space="preserve"> </w:t>
            </w:r>
            <w:r>
              <w:rPr>
                <w:sz w:val="18"/>
              </w:rPr>
              <w:t>combatting</w:t>
            </w:r>
            <w:r>
              <w:rPr>
                <w:spacing w:val="-42"/>
                <w:sz w:val="18"/>
              </w:rPr>
              <w:t xml:space="preserve"> </w:t>
            </w:r>
            <w:r>
              <w:rPr>
                <w:sz w:val="18"/>
              </w:rPr>
              <w:t>human trafficking</w:t>
            </w:r>
          </w:p>
          <w:p w:rsidR="00A56FE9" w:rsidRDefault="00000000">
            <w:pPr>
              <w:pStyle w:val="TableParagraph"/>
              <w:spacing w:line="191" w:lineRule="exact"/>
              <w:ind w:left="100"/>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8</w:t>
            </w:r>
          </w:p>
        </w:tc>
        <w:tc>
          <w:tcPr>
            <w:tcW w:w="8926" w:type="dxa"/>
          </w:tcPr>
          <w:p w:rsidR="00A56FE9" w:rsidRDefault="00000000">
            <w:pPr>
              <w:pStyle w:val="TableParagraph"/>
              <w:ind w:left="106" w:right="133"/>
              <w:rPr>
                <w:sz w:val="18"/>
              </w:rPr>
            </w:pPr>
            <w:r>
              <w:rPr>
                <w:sz w:val="18"/>
              </w:rPr>
              <w:t>Establish better and more effective international cooperation with other police forces via Interpol, Europol, etc., in order</w:t>
            </w:r>
            <w:r>
              <w:rPr>
                <w:spacing w:val="-42"/>
                <w:sz w:val="18"/>
              </w:rPr>
              <w:t xml:space="preserve"> </w:t>
            </w:r>
            <w:r>
              <w:rPr>
                <w:sz w:val="18"/>
              </w:rPr>
              <w:t>to prevent trafficking</w:t>
            </w:r>
            <w:r>
              <w:rPr>
                <w:spacing w:val="-1"/>
                <w:sz w:val="18"/>
              </w:rPr>
              <w:t xml:space="preserve"> </w:t>
            </w:r>
            <w:r>
              <w:rPr>
                <w:sz w:val="18"/>
              </w:rPr>
              <w:t>of</w:t>
            </w:r>
            <w:r>
              <w:rPr>
                <w:spacing w:val="-2"/>
                <w:sz w:val="18"/>
              </w:rPr>
              <w:t xml:space="preserve"> </w:t>
            </w:r>
            <w:r>
              <w:rPr>
                <w:sz w:val="18"/>
              </w:rPr>
              <w:t>children</w:t>
            </w:r>
            <w:r>
              <w:rPr>
                <w:spacing w:val="-1"/>
                <w:sz w:val="18"/>
              </w:rPr>
              <w:t xml:space="preserve"> </w:t>
            </w:r>
            <w:r>
              <w:rPr>
                <w:sz w:val="18"/>
              </w:rPr>
              <w:t>and all</w:t>
            </w:r>
            <w:r>
              <w:rPr>
                <w:spacing w:val="-2"/>
                <w:sz w:val="18"/>
              </w:rPr>
              <w:t xml:space="preserve"> </w:t>
            </w:r>
            <w:r>
              <w:rPr>
                <w:sz w:val="18"/>
              </w:rPr>
              <w:t>other forms of</w:t>
            </w:r>
            <w:r>
              <w:rPr>
                <w:spacing w:val="-2"/>
                <w:sz w:val="18"/>
              </w:rPr>
              <w:t xml:space="preserve"> </w:t>
            </w:r>
            <w:r>
              <w:rPr>
                <w:sz w:val="18"/>
              </w:rPr>
              <w:t>violence</w:t>
            </w:r>
            <w:r>
              <w:rPr>
                <w:spacing w:val="-2"/>
                <w:sz w:val="18"/>
              </w:rPr>
              <w:t xml:space="preserve"> </w:t>
            </w:r>
            <w:r>
              <w:rPr>
                <w:sz w:val="18"/>
              </w:rPr>
              <w:t>against children</w:t>
            </w:r>
          </w:p>
        </w:tc>
      </w:tr>
      <w:tr w:rsidR="00A56FE9">
        <w:trPr>
          <w:trHeight w:val="828"/>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spacing w:line="202" w:lineRule="exact"/>
              <w:ind w:left="100"/>
              <w:rPr>
                <w:sz w:val="18"/>
              </w:rPr>
            </w:pPr>
            <w:r>
              <w:rPr>
                <w:sz w:val="18"/>
              </w:rPr>
              <w:t>New</w:t>
            </w:r>
            <w:r>
              <w:rPr>
                <w:spacing w:val="-2"/>
                <w:sz w:val="18"/>
              </w:rPr>
              <w:t xml:space="preserve"> </w:t>
            </w:r>
            <w:r>
              <w:rPr>
                <w:sz w:val="18"/>
              </w:rPr>
              <w:t>Act</w:t>
            </w:r>
            <w:r>
              <w:rPr>
                <w:spacing w:val="-2"/>
                <w:sz w:val="18"/>
              </w:rPr>
              <w:t xml:space="preserve"> </w:t>
            </w:r>
            <w:r>
              <w:rPr>
                <w:sz w:val="18"/>
              </w:rPr>
              <w:t>on Maternity</w:t>
            </w:r>
            <w:r>
              <w:rPr>
                <w:spacing w:val="-5"/>
                <w:sz w:val="18"/>
              </w:rPr>
              <w:t xml:space="preserve"> </w:t>
            </w:r>
            <w:r>
              <w:rPr>
                <w:sz w:val="18"/>
              </w:rPr>
              <w:t>and</w:t>
            </w:r>
            <w:r>
              <w:rPr>
                <w:spacing w:val="-2"/>
                <w:sz w:val="18"/>
              </w:rPr>
              <w:t xml:space="preserve"> </w:t>
            </w:r>
            <w:r>
              <w:rPr>
                <w:sz w:val="18"/>
              </w:rPr>
              <w:t>Parental</w:t>
            </w:r>
            <w:r>
              <w:rPr>
                <w:spacing w:val="-2"/>
                <w:sz w:val="18"/>
              </w:rPr>
              <w:t xml:space="preserve"> </w:t>
            </w:r>
            <w:r>
              <w:rPr>
                <w:sz w:val="18"/>
              </w:rPr>
              <w:t>Benefits</w:t>
            </w:r>
          </w:p>
        </w:tc>
        <w:tc>
          <w:tcPr>
            <w:tcW w:w="8926" w:type="dxa"/>
          </w:tcPr>
          <w:p w:rsidR="00A56FE9" w:rsidRDefault="00000000">
            <w:pPr>
              <w:pStyle w:val="TableParagraph"/>
              <w:ind w:left="106" w:right="119"/>
              <w:rPr>
                <w:sz w:val="18"/>
              </w:rPr>
            </w:pPr>
            <w:r>
              <w:rPr>
                <w:spacing w:val="-1"/>
                <w:sz w:val="18"/>
              </w:rPr>
              <w:t xml:space="preserve">Aligning legislation with Directive (EU) 2019/1158 of the European Parliament and of the Council of 20 June </w:t>
            </w:r>
            <w:r>
              <w:rPr>
                <w:sz w:val="18"/>
              </w:rPr>
              <w:t>2019 on</w:t>
            </w:r>
            <w:r>
              <w:rPr>
                <w:spacing w:val="1"/>
                <w:sz w:val="18"/>
              </w:rPr>
              <w:t xml:space="preserve"> </w:t>
            </w:r>
            <w:r>
              <w:rPr>
                <w:spacing w:val="-2"/>
                <w:sz w:val="18"/>
              </w:rPr>
              <w:t xml:space="preserve">work-life balance </w:t>
            </w:r>
            <w:r>
              <w:rPr>
                <w:spacing w:val="-1"/>
                <w:sz w:val="18"/>
              </w:rPr>
              <w:t>for parents and carers and repealing Council Directive 2010/18/EU. The plan is to introduce maternity</w:t>
            </w:r>
            <w:r>
              <w:rPr>
                <w:sz w:val="18"/>
              </w:rPr>
              <w:t xml:space="preserve"> </w:t>
            </w:r>
            <w:r>
              <w:rPr>
                <w:spacing w:val="-2"/>
                <w:sz w:val="18"/>
              </w:rPr>
              <w:t>leave</w:t>
            </w:r>
            <w:r>
              <w:rPr>
                <w:spacing w:val="-5"/>
                <w:sz w:val="18"/>
              </w:rPr>
              <w:t xml:space="preserve"> </w:t>
            </w:r>
            <w:r>
              <w:rPr>
                <w:spacing w:val="-2"/>
                <w:sz w:val="18"/>
              </w:rPr>
              <w:t>for</w:t>
            </w:r>
            <w:r>
              <w:rPr>
                <w:spacing w:val="-3"/>
                <w:sz w:val="18"/>
              </w:rPr>
              <w:t xml:space="preserve"> </w:t>
            </w:r>
            <w:r>
              <w:rPr>
                <w:spacing w:val="-2"/>
                <w:sz w:val="18"/>
              </w:rPr>
              <w:t>fathers</w:t>
            </w:r>
            <w:r>
              <w:rPr>
                <w:spacing w:val="-6"/>
                <w:sz w:val="18"/>
              </w:rPr>
              <w:t xml:space="preserve"> </w:t>
            </w:r>
            <w:r>
              <w:rPr>
                <w:spacing w:val="-2"/>
                <w:sz w:val="18"/>
              </w:rPr>
              <w:t>as</w:t>
            </w:r>
            <w:r>
              <w:rPr>
                <w:spacing w:val="-6"/>
                <w:sz w:val="18"/>
              </w:rPr>
              <w:t xml:space="preserve"> </w:t>
            </w:r>
            <w:r>
              <w:rPr>
                <w:spacing w:val="-2"/>
                <w:sz w:val="18"/>
              </w:rPr>
              <w:t>a</w:t>
            </w:r>
            <w:r>
              <w:rPr>
                <w:spacing w:val="-6"/>
                <w:sz w:val="18"/>
              </w:rPr>
              <w:t xml:space="preserve"> </w:t>
            </w:r>
            <w:r>
              <w:rPr>
                <w:spacing w:val="-2"/>
                <w:sz w:val="18"/>
              </w:rPr>
              <w:t>new</w:t>
            </w:r>
            <w:r>
              <w:rPr>
                <w:spacing w:val="-6"/>
                <w:sz w:val="18"/>
              </w:rPr>
              <w:t xml:space="preserve"> </w:t>
            </w:r>
            <w:r>
              <w:rPr>
                <w:spacing w:val="-2"/>
                <w:sz w:val="18"/>
              </w:rPr>
              <w:t>right</w:t>
            </w:r>
            <w:r>
              <w:rPr>
                <w:spacing w:val="-5"/>
                <w:sz w:val="18"/>
              </w:rPr>
              <w:t xml:space="preserve"> </w:t>
            </w:r>
            <w:r>
              <w:rPr>
                <w:spacing w:val="-2"/>
                <w:sz w:val="18"/>
              </w:rPr>
              <w:t>in</w:t>
            </w:r>
            <w:r>
              <w:rPr>
                <w:spacing w:val="-5"/>
                <w:sz w:val="18"/>
              </w:rPr>
              <w:t xml:space="preserve"> </w:t>
            </w:r>
            <w:r>
              <w:rPr>
                <w:spacing w:val="-2"/>
                <w:sz w:val="18"/>
              </w:rPr>
              <w:t>the</w:t>
            </w:r>
            <w:r>
              <w:rPr>
                <w:spacing w:val="-6"/>
                <w:sz w:val="18"/>
              </w:rPr>
              <w:t xml:space="preserve"> </w:t>
            </w:r>
            <w:r>
              <w:rPr>
                <w:spacing w:val="-2"/>
                <w:sz w:val="18"/>
              </w:rPr>
              <w:t>system</w:t>
            </w:r>
            <w:r>
              <w:rPr>
                <w:spacing w:val="-9"/>
                <w:sz w:val="18"/>
              </w:rPr>
              <w:t xml:space="preserve"> </w:t>
            </w:r>
            <w:r>
              <w:rPr>
                <w:spacing w:val="-2"/>
                <w:sz w:val="18"/>
              </w:rPr>
              <w:t>of</w:t>
            </w:r>
            <w:r>
              <w:rPr>
                <w:spacing w:val="-6"/>
                <w:sz w:val="18"/>
              </w:rPr>
              <w:t xml:space="preserve"> </w:t>
            </w:r>
            <w:r>
              <w:rPr>
                <w:spacing w:val="-2"/>
                <w:sz w:val="18"/>
              </w:rPr>
              <w:t>maternity</w:t>
            </w:r>
            <w:r>
              <w:rPr>
                <w:spacing w:val="-9"/>
                <w:sz w:val="18"/>
              </w:rPr>
              <w:t xml:space="preserve"> </w:t>
            </w:r>
            <w:r>
              <w:rPr>
                <w:spacing w:val="-2"/>
                <w:sz w:val="18"/>
              </w:rPr>
              <w:t>and</w:t>
            </w:r>
            <w:r>
              <w:rPr>
                <w:spacing w:val="-5"/>
                <w:sz w:val="18"/>
              </w:rPr>
              <w:t xml:space="preserve"> </w:t>
            </w:r>
            <w:r>
              <w:rPr>
                <w:spacing w:val="-2"/>
                <w:sz w:val="18"/>
              </w:rPr>
              <w:t>parental</w:t>
            </w:r>
            <w:r>
              <w:rPr>
                <w:spacing w:val="-5"/>
                <w:sz w:val="18"/>
              </w:rPr>
              <w:t xml:space="preserve"> </w:t>
            </w:r>
            <w:r>
              <w:rPr>
                <w:spacing w:val="-2"/>
                <w:sz w:val="18"/>
              </w:rPr>
              <w:t>benefits</w:t>
            </w:r>
            <w:r>
              <w:rPr>
                <w:spacing w:val="-6"/>
                <w:sz w:val="18"/>
              </w:rPr>
              <w:t xml:space="preserve"> </w:t>
            </w:r>
            <w:r>
              <w:rPr>
                <w:spacing w:val="-1"/>
                <w:sz w:val="18"/>
              </w:rPr>
              <w:t>amounting</w:t>
            </w:r>
            <w:r>
              <w:rPr>
                <w:spacing w:val="-7"/>
                <w:sz w:val="18"/>
              </w:rPr>
              <w:t xml:space="preserve"> </w:t>
            </w:r>
            <w:r>
              <w:rPr>
                <w:spacing w:val="-1"/>
                <w:sz w:val="18"/>
              </w:rPr>
              <w:t>to</w:t>
            </w:r>
            <w:r>
              <w:rPr>
                <w:spacing w:val="-5"/>
                <w:sz w:val="18"/>
              </w:rPr>
              <w:t xml:space="preserve"> </w:t>
            </w:r>
            <w:r>
              <w:rPr>
                <w:spacing w:val="-1"/>
                <w:sz w:val="18"/>
              </w:rPr>
              <w:t>a</w:t>
            </w:r>
            <w:r>
              <w:rPr>
                <w:spacing w:val="-6"/>
                <w:sz w:val="18"/>
              </w:rPr>
              <w:t xml:space="preserve"> </w:t>
            </w:r>
            <w:r>
              <w:rPr>
                <w:spacing w:val="-1"/>
                <w:sz w:val="18"/>
              </w:rPr>
              <w:t>duration</w:t>
            </w:r>
            <w:r>
              <w:rPr>
                <w:spacing w:val="-5"/>
                <w:sz w:val="18"/>
              </w:rPr>
              <w:t xml:space="preserve"> </w:t>
            </w:r>
            <w:r>
              <w:rPr>
                <w:spacing w:val="-1"/>
                <w:sz w:val="18"/>
              </w:rPr>
              <w:t>of</w:t>
            </w:r>
            <w:r>
              <w:rPr>
                <w:spacing w:val="-8"/>
                <w:sz w:val="18"/>
              </w:rPr>
              <w:t xml:space="preserve"> </w:t>
            </w:r>
            <w:r>
              <w:rPr>
                <w:spacing w:val="-1"/>
                <w:sz w:val="18"/>
              </w:rPr>
              <w:t>10</w:t>
            </w:r>
            <w:r>
              <w:rPr>
                <w:spacing w:val="-5"/>
                <w:sz w:val="18"/>
              </w:rPr>
              <w:t xml:space="preserve"> </w:t>
            </w:r>
            <w:r>
              <w:rPr>
                <w:spacing w:val="-1"/>
                <w:sz w:val="18"/>
              </w:rPr>
              <w:t>working</w:t>
            </w:r>
            <w:r>
              <w:rPr>
                <w:spacing w:val="-7"/>
                <w:sz w:val="18"/>
              </w:rPr>
              <w:t xml:space="preserve"> </w:t>
            </w:r>
            <w:r>
              <w:rPr>
                <w:spacing w:val="-1"/>
                <w:sz w:val="18"/>
              </w:rPr>
              <w:t>days.</w:t>
            </w:r>
          </w:p>
          <w:p w:rsidR="00A56FE9" w:rsidRDefault="00000000">
            <w:pPr>
              <w:pStyle w:val="TableParagraph"/>
              <w:spacing w:line="191" w:lineRule="exact"/>
              <w:ind w:left="106"/>
              <w:rPr>
                <w:sz w:val="18"/>
              </w:rPr>
            </w:pPr>
            <w:r>
              <w:rPr>
                <w:spacing w:val="-2"/>
                <w:sz w:val="18"/>
              </w:rPr>
              <w:t>The</w:t>
            </w:r>
            <w:r>
              <w:rPr>
                <w:spacing w:val="-9"/>
                <w:sz w:val="18"/>
              </w:rPr>
              <w:t xml:space="preserve"> </w:t>
            </w:r>
            <w:r>
              <w:rPr>
                <w:spacing w:val="-2"/>
                <w:sz w:val="18"/>
              </w:rPr>
              <w:t>plan</w:t>
            </w:r>
            <w:r>
              <w:rPr>
                <w:spacing w:val="-7"/>
                <w:sz w:val="18"/>
              </w:rPr>
              <w:t xml:space="preserve"> </w:t>
            </w:r>
            <w:r>
              <w:rPr>
                <w:spacing w:val="-2"/>
                <w:sz w:val="18"/>
              </w:rPr>
              <w:t>is</w:t>
            </w:r>
            <w:r>
              <w:rPr>
                <w:spacing w:val="-9"/>
                <w:sz w:val="18"/>
              </w:rPr>
              <w:t xml:space="preserve"> </w:t>
            </w:r>
            <w:r>
              <w:rPr>
                <w:spacing w:val="-2"/>
                <w:sz w:val="18"/>
              </w:rPr>
              <w:t>also</w:t>
            </w:r>
            <w:r>
              <w:rPr>
                <w:spacing w:val="-7"/>
                <w:sz w:val="18"/>
              </w:rPr>
              <w:t xml:space="preserve"> </w:t>
            </w:r>
            <w:r>
              <w:rPr>
                <w:spacing w:val="-2"/>
                <w:sz w:val="18"/>
              </w:rPr>
              <w:t>to</w:t>
            </w:r>
            <w:r>
              <w:rPr>
                <w:spacing w:val="-7"/>
                <w:sz w:val="18"/>
              </w:rPr>
              <w:t xml:space="preserve"> </w:t>
            </w:r>
            <w:r>
              <w:rPr>
                <w:spacing w:val="-2"/>
                <w:sz w:val="18"/>
              </w:rPr>
              <w:t>raise</w:t>
            </w:r>
            <w:r>
              <w:rPr>
                <w:spacing w:val="-9"/>
                <w:sz w:val="18"/>
              </w:rPr>
              <w:t xml:space="preserve"> </w:t>
            </w:r>
            <w:r>
              <w:rPr>
                <w:spacing w:val="-2"/>
                <w:sz w:val="18"/>
              </w:rPr>
              <w:t>the</w:t>
            </w:r>
            <w:r>
              <w:rPr>
                <w:spacing w:val="-6"/>
                <w:sz w:val="18"/>
              </w:rPr>
              <w:t xml:space="preserve"> </w:t>
            </w:r>
            <w:r>
              <w:rPr>
                <w:spacing w:val="-2"/>
                <w:sz w:val="18"/>
              </w:rPr>
              <w:t>maximum</w:t>
            </w:r>
            <w:r>
              <w:rPr>
                <w:spacing w:val="-9"/>
                <w:sz w:val="18"/>
              </w:rPr>
              <w:t xml:space="preserve"> </w:t>
            </w:r>
            <w:r>
              <w:rPr>
                <w:spacing w:val="-2"/>
                <w:sz w:val="18"/>
              </w:rPr>
              <w:t>wage</w:t>
            </w:r>
            <w:r>
              <w:rPr>
                <w:spacing w:val="-9"/>
                <w:sz w:val="18"/>
              </w:rPr>
              <w:t xml:space="preserve"> </w:t>
            </w:r>
            <w:r>
              <w:rPr>
                <w:spacing w:val="-1"/>
                <w:sz w:val="18"/>
              </w:rPr>
              <w:t>amount</w:t>
            </w:r>
            <w:r>
              <w:rPr>
                <w:spacing w:val="-7"/>
                <w:sz w:val="18"/>
              </w:rPr>
              <w:t xml:space="preserve"> </w:t>
            </w:r>
            <w:r>
              <w:rPr>
                <w:spacing w:val="-1"/>
                <w:sz w:val="18"/>
              </w:rPr>
              <w:t>for</w:t>
            </w:r>
            <w:r>
              <w:rPr>
                <w:spacing w:val="-9"/>
                <w:sz w:val="18"/>
              </w:rPr>
              <w:t xml:space="preserve"> </w:t>
            </w:r>
            <w:r>
              <w:rPr>
                <w:spacing w:val="-1"/>
                <w:sz w:val="18"/>
              </w:rPr>
              <w:t>employed</w:t>
            </w:r>
            <w:r>
              <w:rPr>
                <w:spacing w:val="-7"/>
                <w:sz w:val="18"/>
              </w:rPr>
              <w:t xml:space="preserve"> </w:t>
            </w:r>
            <w:r>
              <w:rPr>
                <w:spacing w:val="-1"/>
                <w:sz w:val="18"/>
              </w:rPr>
              <w:t>and</w:t>
            </w:r>
            <w:r>
              <w:rPr>
                <w:spacing w:val="-7"/>
                <w:sz w:val="18"/>
              </w:rPr>
              <w:t xml:space="preserve"> </w:t>
            </w:r>
            <w:r>
              <w:rPr>
                <w:spacing w:val="-1"/>
                <w:sz w:val="18"/>
              </w:rPr>
              <w:t>self-employed</w:t>
            </w:r>
            <w:r>
              <w:rPr>
                <w:spacing w:val="-8"/>
                <w:sz w:val="18"/>
              </w:rPr>
              <w:t xml:space="preserve"> </w:t>
            </w:r>
            <w:r>
              <w:rPr>
                <w:spacing w:val="-1"/>
                <w:sz w:val="18"/>
              </w:rPr>
              <w:t>beneficiaries</w:t>
            </w:r>
            <w:r>
              <w:rPr>
                <w:spacing w:val="-8"/>
                <w:sz w:val="18"/>
              </w:rPr>
              <w:t xml:space="preserve"> </w:t>
            </w:r>
            <w:r>
              <w:rPr>
                <w:spacing w:val="-1"/>
                <w:sz w:val="18"/>
              </w:rPr>
              <w:t>of</w:t>
            </w:r>
            <w:r>
              <w:rPr>
                <w:spacing w:val="-10"/>
                <w:sz w:val="18"/>
              </w:rPr>
              <w:t xml:space="preserve"> </w:t>
            </w:r>
            <w:r>
              <w:rPr>
                <w:spacing w:val="-1"/>
                <w:sz w:val="18"/>
              </w:rPr>
              <w:t>parental</w:t>
            </w:r>
            <w:r>
              <w:rPr>
                <w:spacing w:val="-8"/>
                <w:sz w:val="18"/>
              </w:rPr>
              <w:t xml:space="preserve"> </w:t>
            </w:r>
            <w:r>
              <w:rPr>
                <w:spacing w:val="-1"/>
                <w:sz w:val="18"/>
              </w:rPr>
              <w:t>leave.</w:t>
            </w:r>
          </w:p>
        </w:tc>
      </w:tr>
      <w:tr w:rsidR="00A56FE9">
        <w:trPr>
          <w:trHeight w:val="1242"/>
        </w:trPr>
        <w:tc>
          <w:tcPr>
            <w:tcW w:w="2064" w:type="dxa"/>
            <w:vMerge w:val="restart"/>
            <w:shd w:val="clear" w:color="auto" w:fill="F1F1F1"/>
          </w:tcPr>
          <w:p w:rsidR="00A56FE9" w:rsidRDefault="00000000">
            <w:pPr>
              <w:pStyle w:val="TableParagraph"/>
              <w:ind w:left="105" w:right="207"/>
              <w:rPr>
                <w:sz w:val="20"/>
              </w:rPr>
            </w:pPr>
            <w:r>
              <w:rPr>
                <w:b/>
                <w:sz w:val="20"/>
              </w:rPr>
              <w:t xml:space="preserve">6. </w:t>
            </w:r>
            <w:r>
              <w:rPr>
                <w:sz w:val="20"/>
              </w:rPr>
              <w:t>Ensure availability</w:t>
            </w:r>
            <w:r>
              <w:rPr>
                <w:spacing w:val="-47"/>
                <w:sz w:val="20"/>
              </w:rPr>
              <w:t xml:space="preserve"> </w:t>
            </w:r>
            <w:r>
              <w:rPr>
                <w:sz w:val="20"/>
              </w:rPr>
              <w:t>and sustainable</w:t>
            </w:r>
            <w:r>
              <w:rPr>
                <w:spacing w:val="1"/>
                <w:sz w:val="20"/>
              </w:rPr>
              <w:t xml:space="preserve"> </w:t>
            </w:r>
            <w:r>
              <w:rPr>
                <w:sz w:val="20"/>
              </w:rPr>
              <w:t>management</w:t>
            </w:r>
            <w:r>
              <w:rPr>
                <w:spacing w:val="-7"/>
                <w:sz w:val="20"/>
              </w:rPr>
              <w:t xml:space="preserve"> </w:t>
            </w:r>
            <w:r>
              <w:rPr>
                <w:sz w:val="20"/>
              </w:rPr>
              <w:t>of</w:t>
            </w:r>
            <w:r>
              <w:rPr>
                <w:spacing w:val="-4"/>
                <w:sz w:val="20"/>
              </w:rPr>
              <w:t xml:space="preserve"> </w:t>
            </w:r>
            <w:r>
              <w:rPr>
                <w:sz w:val="20"/>
              </w:rPr>
              <w:t>water</w:t>
            </w:r>
            <w:r>
              <w:rPr>
                <w:spacing w:val="-47"/>
                <w:sz w:val="20"/>
              </w:rPr>
              <w:t xml:space="preserve"> </w:t>
            </w:r>
            <w:r>
              <w:rPr>
                <w:sz w:val="20"/>
              </w:rPr>
              <w:t>and</w:t>
            </w:r>
            <w:r>
              <w:rPr>
                <w:spacing w:val="-1"/>
                <w:sz w:val="20"/>
              </w:rPr>
              <w:t xml:space="preserve"> </w:t>
            </w:r>
            <w:r>
              <w:rPr>
                <w:sz w:val="20"/>
              </w:rPr>
              <w:t>sanitation</w:t>
            </w:r>
            <w:r>
              <w:rPr>
                <w:spacing w:val="-1"/>
                <w:sz w:val="20"/>
              </w:rPr>
              <w:t xml:space="preserve"> </w:t>
            </w:r>
            <w:r>
              <w:rPr>
                <w:sz w:val="20"/>
              </w:rPr>
              <w:t>for</w:t>
            </w:r>
            <w:r>
              <w:rPr>
                <w:spacing w:val="-2"/>
                <w:sz w:val="20"/>
              </w:rPr>
              <w:t xml:space="preserve"> </w:t>
            </w:r>
            <w:r>
              <w:rPr>
                <w:sz w:val="20"/>
              </w:rPr>
              <w:t>all</w:t>
            </w:r>
          </w:p>
        </w:tc>
        <w:tc>
          <w:tcPr>
            <w:tcW w:w="3468" w:type="dxa"/>
            <w:shd w:val="clear" w:color="auto" w:fill="C5EECE"/>
          </w:tcPr>
          <w:p w:rsidR="00A56FE9" w:rsidRDefault="00000000">
            <w:pPr>
              <w:pStyle w:val="TableParagraph"/>
              <w:ind w:left="100" w:right="248"/>
              <w:rPr>
                <w:sz w:val="18"/>
              </w:rPr>
            </w:pPr>
            <w:r>
              <w:rPr>
                <w:sz w:val="18"/>
              </w:rPr>
              <w:t>Amendments to the legal framework in the</w:t>
            </w:r>
            <w:r>
              <w:rPr>
                <w:spacing w:val="-43"/>
                <w:sz w:val="18"/>
              </w:rPr>
              <w:t xml:space="preserve"> </w:t>
            </w:r>
            <w:r>
              <w:rPr>
                <w:sz w:val="18"/>
              </w:rPr>
              <w:t>water</w:t>
            </w:r>
            <w:r>
              <w:rPr>
                <w:spacing w:val="-1"/>
                <w:sz w:val="18"/>
              </w:rPr>
              <w:t xml:space="preserve"> </w:t>
            </w:r>
            <w:r>
              <w:rPr>
                <w:sz w:val="18"/>
              </w:rPr>
              <w:t>sector</w:t>
            </w:r>
          </w:p>
        </w:tc>
        <w:tc>
          <w:tcPr>
            <w:tcW w:w="8926" w:type="dxa"/>
            <w:shd w:val="clear" w:color="auto" w:fill="C5EECE"/>
          </w:tcPr>
          <w:p w:rsidR="00A56FE9" w:rsidRDefault="00000000">
            <w:pPr>
              <w:pStyle w:val="TableParagraph"/>
              <w:ind w:left="106" w:right="242"/>
              <w:rPr>
                <w:sz w:val="18"/>
              </w:rPr>
            </w:pPr>
            <w:r>
              <w:rPr>
                <w:sz w:val="18"/>
              </w:rPr>
              <w:t>The Services Areas Regulation, the Regulation on performance evaluation of water operators, the Regulation on the</w:t>
            </w:r>
            <w:r>
              <w:rPr>
                <w:spacing w:val="1"/>
                <w:sz w:val="18"/>
              </w:rPr>
              <w:t xml:space="preserve"> </w:t>
            </w:r>
            <w:r>
              <w:rPr>
                <w:sz w:val="18"/>
              </w:rPr>
              <w:t>methodology</w:t>
            </w:r>
            <w:r>
              <w:rPr>
                <w:spacing w:val="-2"/>
                <w:sz w:val="18"/>
              </w:rPr>
              <w:t xml:space="preserve"> </w:t>
            </w:r>
            <w:r>
              <w:rPr>
                <w:sz w:val="18"/>
              </w:rPr>
              <w:t>for</w:t>
            </w:r>
            <w:r>
              <w:rPr>
                <w:spacing w:val="-1"/>
                <w:sz w:val="18"/>
              </w:rPr>
              <w:t xml:space="preserve"> </w:t>
            </w:r>
            <w:r>
              <w:rPr>
                <w:sz w:val="18"/>
              </w:rPr>
              <w:t>determining</w:t>
            </w:r>
            <w:r>
              <w:rPr>
                <w:spacing w:val="-2"/>
                <w:sz w:val="18"/>
              </w:rPr>
              <w:t xml:space="preserve"> </w:t>
            </w:r>
            <w:r>
              <w:rPr>
                <w:sz w:val="18"/>
              </w:rPr>
              <w:t>the</w:t>
            </w:r>
            <w:r>
              <w:rPr>
                <w:spacing w:val="-2"/>
                <w:sz w:val="18"/>
              </w:rPr>
              <w:t xml:space="preserve"> </w:t>
            </w:r>
            <w:r>
              <w:rPr>
                <w:sz w:val="18"/>
              </w:rPr>
              <w:t>pricing</w:t>
            </w:r>
            <w:r>
              <w:rPr>
                <w:spacing w:val="-2"/>
                <w:sz w:val="18"/>
              </w:rPr>
              <w:t xml:space="preserve"> </w:t>
            </w:r>
            <w:r>
              <w:rPr>
                <w:sz w:val="18"/>
              </w:rPr>
              <w:t>of</w:t>
            </w:r>
            <w:r>
              <w:rPr>
                <w:spacing w:val="-3"/>
                <w:sz w:val="18"/>
              </w:rPr>
              <w:t xml:space="preserve"> </w:t>
            </w:r>
            <w:r>
              <w:rPr>
                <w:sz w:val="18"/>
              </w:rPr>
              <w:t>water</w:t>
            </w:r>
            <w:r>
              <w:rPr>
                <w:spacing w:val="-1"/>
                <w:sz w:val="18"/>
              </w:rPr>
              <w:t xml:space="preserve"> </w:t>
            </w:r>
            <w:r>
              <w:rPr>
                <w:sz w:val="18"/>
              </w:rPr>
              <w:t>services,</w:t>
            </w:r>
            <w:r>
              <w:rPr>
                <w:spacing w:val="-1"/>
                <w:sz w:val="18"/>
              </w:rPr>
              <w:t xml:space="preserve"> </w:t>
            </w:r>
            <w:r>
              <w:rPr>
                <w:sz w:val="18"/>
              </w:rPr>
              <w:t>and the</w:t>
            </w:r>
            <w:r>
              <w:rPr>
                <w:spacing w:val="-4"/>
                <w:sz w:val="18"/>
              </w:rPr>
              <w:t xml:space="preserve"> </w:t>
            </w:r>
            <w:r>
              <w:rPr>
                <w:sz w:val="18"/>
              </w:rPr>
              <w:t>Regulation</w:t>
            </w:r>
            <w:r>
              <w:rPr>
                <w:spacing w:val="-2"/>
                <w:sz w:val="18"/>
              </w:rPr>
              <w:t xml:space="preserve"> </w:t>
            </w:r>
            <w:r>
              <w:rPr>
                <w:sz w:val="18"/>
              </w:rPr>
              <w:t>on specific conditions</w:t>
            </w:r>
            <w:r>
              <w:rPr>
                <w:spacing w:val="-4"/>
                <w:sz w:val="18"/>
              </w:rPr>
              <w:t xml:space="preserve"> </w:t>
            </w:r>
            <w:r>
              <w:rPr>
                <w:sz w:val="18"/>
              </w:rPr>
              <w:t>for</w:t>
            </w:r>
            <w:r>
              <w:rPr>
                <w:spacing w:val="-1"/>
                <w:sz w:val="18"/>
              </w:rPr>
              <w:t xml:space="preserve"> </w:t>
            </w:r>
            <w:r>
              <w:rPr>
                <w:sz w:val="18"/>
              </w:rPr>
              <w:t>the</w:t>
            </w:r>
            <w:r>
              <w:rPr>
                <w:spacing w:val="-2"/>
                <w:sz w:val="18"/>
              </w:rPr>
              <w:t xml:space="preserve"> </w:t>
            </w:r>
            <w:r>
              <w:rPr>
                <w:sz w:val="18"/>
              </w:rPr>
              <w:t>provision</w:t>
            </w:r>
            <w:r>
              <w:rPr>
                <w:spacing w:val="-42"/>
                <w:sz w:val="18"/>
              </w:rPr>
              <w:t xml:space="preserve"> </w:t>
            </w:r>
            <w:r>
              <w:rPr>
                <w:sz w:val="18"/>
              </w:rPr>
              <w:t>of</w:t>
            </w:r>
            <w:r>
              <w:rPr>
                <w:spacing w:val="-3"/>
                <w:sz w:val="18"/>
              </w:rPr>
              <w:t xml:space="preserve"> </w:t>
            </w:r>
            <w:r>
              <w:rPr>
                <w:sz w:val="18"/>
              </w:rPr>
              <w:t>water</w:t>
            </w:r>
            <w:r>
              <w:rPr>
                <w:spacing w:val="-1"/>
                <w:sz w:val="18"/>
              </w:rPr>
              <w:t xml:space="preserve"> </w:t>
            </w:r>
            <w:r>
              <w:rPr>
                <w:sz w:val="18"/>
              </w:rPr>
              <w:t>services, shall</w:t>
            </w:r>
            <w:r>
              <w:rPr>
                <w:spacing w:val="-1"/>
                <w:sz w:val="18"/>
              </w:rPr>
              <w:t xml:space="preserve"> </w:t>
            </w:r>
            <w:r>
              <w:rPr>
                <w:sz w:val="18"/>
              </w:rPr>
              <w:t>be</w:t>
            </w:r>
            <w:r>
              <w:rPr>
                <w:spacing w:val="-1"/>
                <w:sz w:val="18"/>
              </w:rPr>
              <w:t xml:space="preserve"> </w:t>
            </w:r>
            <w:r>
              <w:rPr>
                <w:sz w:val="18"/>
              </w:rPr>
              <w:t>amended to</w:t>
            </w:r>
            <w:r>
              <w:rPr>
                <w:spacing w:val="1"/>
                <w:sz w:val="18"/>
              </w:rPr>
              <w:t xml:space="preserve"> </w:t>
            </w:r>
            <w:r>
              <w:rPr>
                <w:sz w:val="18"/>
              </w:rPr>
              <w:t>create</w:t>
            </w:r>
            <w:r>
              <w:rPr>
                <w:spacing w:val="-1"/>
                <w:sz w:val="18"/>
              </w:rPr>
              <w:t xml:space="preserve"> </w:t>
            </w:r>
            <w:r>
              <w:rPr>
                <w:sz w:val="18"/>
              </w:rPr>
              <w:t>the</w:t>
            </w:r>
            <w:r>
              <w:rPr>
                <w:spacing w:val="-1"/>
                <w:sz w:val="18"/>
              </w:rPr>
              <w:t xml:space="preserve"> </w:t>
            </w:r>
            <w:r>
              <w:rPr>
                <w:sz w:val="18"/>
              </w:rPr>
              <w:t>legal</w:t>
            </w:r>
            <w:r>
              <w:rPr>
                <w:spacing w:val="-1"/>
                <w:sz w:val="18"/>
              </w:rPr>
              <w:t xml:space="preserve"> </w:t>
            </w:r>
            <w:r>
              <w:rPr>
                <w:sz w:val="18"/>
              </w:rPr>
              <w:t>precondition</w:t>
            </w:r>
            <w:r>
              <w:rPr>
                <w:spacing w:val="-1"/>
                <w:sz w:val="18"/>
              </w:rPr>
              <w:t xml:space="preserve"> </w:t>
            </w:r>
            <w:r>
              <w:rPr>
                <w:sz w:val="18"/>
              </w:rPr>
              <w:t>for</w:t>
            </w:r>
            <w:r>
              <w:rPr>
                <w:spacing w:val="-1"/>
                <w:sz w:val="18"/>
              </w:rPr>
              <w:t xml:space="preserve"> </w:t>
            </w:r>
            <w:r>
              <w:rPr>
                <w:sz w:val="18"/>
              </w:rPr>
              <w:t>consolidation</w:t>
            </w:r>
            <w:r>
              <w:rPr>
                <w:spacing w:val="-1"/>
                <w:sz w:val="18"/>
              </w:rPr>
              <w:t xml:space="preserve"> </w:t>
            </w:r>
            <w:r>
              <w:rPr>
                <w:sz w:val="18"/>
              </w:rPr>
              <w:t>of</w:t>
            </w:r>
            <w:r>
              <w:rPr>
                <w:spacing w:val="-3"/>
                <w:sz w:val="18"/>
              </w:rPr>
              <w:t xml:space="preserve"> </w:t>
            </w:r>
            <w:r>
              <w:rPr>
                <w:sz w:val="18"/>
              </w:rPr>
              <w:t>water operators.</w:t>
            </w:r>
          </w:p>
          <w:p w:rsidR="00A56FE9" w:rsidRDefault="00000000">
            <w:pPr>
              <w:pStyle w:val="TableParagraph"/>
              <w:spacing w:line="206" w:lineRule="exact"/>
              <w:ind w:left="106" w:right="242"/>
              <w:rPr>
                <w:sz w:val="18"/>
              </w:rPr>
            </w:pPr>
            <w:r>
              <w:rPr>
                <w:sz w:val="18"/>
              </w:rPr>
              <w:t>The Regulation on performance evaluation of water operators shall also include the legal basis for the creation of</w:t>
            </w:r>
            <w:r>
              <w:rPr>
                <w:spacing w:val="1"/>
                <w:sz w:val="18"/>
              </w:rPr>
              <w:t xml:space="preserve"> </w:t>
            </w:r>
            <w:r>
              <w:rPr>
                <w:sz w:val="18"/>
              </w:rPr>
              <w:t>mandatory</w:t>
            </w:r>
            <w:r>
              <w:rPr>
                <w:spacing w:val="-6"/>
                <w:sz w:val="18"/>
              </w:rPr>
              <w:t xml:space="preserve"> </w:t>
            </w:r>
            <w:r>
              <w:rPr>
                <w:sz w:val="18"/>
              </w:rPr>
              <w:t>benchmarking</w:t>
            </w:r>
            <w:r>
              <w:rPr>
                <w:spacing w:val="-2"/>
                <w:sz w:val="18"/>
              </w:rPr>
              <w:t xml:space="preserve"> </w:t>
            </w:r>
            <w:r>
              <w:rPr>
                <w:sz w:val="18"/>
              </w:rPr>
              <w:t>system</w:t>
            </w:r>
            <w:r>
              <w:rPr>
                <w:spacing w:val="-3"/>
                <w:sz w:val="18"/>
              </w:rPr>
              <w:t xml:space="preserve"> </w:t>
            </w:r>
            <w:r>
              <w:rPr>
                <w:sz w:val="18"/>
              </w:rPr>
              <w:t>of</w:t>
            </w:r>
            <w:r>
              <w:rPr>
                <w:spacing w:val="-4"/>
                <w:sz w:val="18"/>
              </w:rPr>
              <w:t xml:space="preserve"> </w:t>
            </w:r>
            <w:r>
              <w:rPr>
                <w:sz w:val="18"/>
              </w:rPr>
              <w:t>utility</w:t>
            </w:r>
            <w:r>
              <w:rPr>
                <w:spacing w:val="-4"/>
                <w:sz w:val="18"/>
              </w:rPr>
              <w:t xml:space="preserve"> </w:t>
            </w:r>
            <w:r>
              <w:rPr>
                <w:sz w:val="18"/>
              </w:rPr>
              <w:t>companies,</w:t>
            </w:r>
            <w:r>
              <w:rPr>
                <w:spacing w:val="1"/>
                <w:sz w:val="18"/>
              </w:rPr>
              <w:t xml:space="preserve"> </w:t>
            </w:r>
            <w:r>
              <w:rPr>
                <w:sz w:val="18"/>
              </w:rPr>
              <w:t>made</w:t>
            </w:r>
            <w:r>
              <w:rPr>
                <w:spacing w:val="-2"/>
                <w:sz w:val="18"/>
              </w:rPr>
              <w:t xml:space="preserve"> </w:t>
            </w:r>
            <w:r>
              <w:rPr>
                <w:sz w:val="18"/>
              </w:rPr>
              <w:t>publicly</w:t>
            </w:r>
            <w:r>
              <w:rPr>
                <w:spacing w:val="-5"/>
                <w:sz w:val="18"/>
              </w:rPr>
              <w:t xml:space="preserve"> </w:t>
            </w:r>
            <w:r>
              <w:rPr>
                <w:sz w:val="18"/>
              </w:rPr>
              <w:t>available,</w:t>
            </w:r>
            <w:r>
              <w:rPr>
                <w:spacing w:val="-1"/>
                <w:sz w:val="18"/>
              </w:rPr>
              <w:t xml:space="preserve"> </w:t>
            </w:r>
            <w:r>
              <w:rPr>
                <w:sz w:val="18"/>
              </w:rPr>
              <w:t>as well</w:t>
            </w:r>
            <w:r>
              <w:rPr>
                <w:spacing w:val="-2"/>
                <w:sz w:val="18"/>
              </w:rPr>
              <w:t xml:space="preserve"> </w:t>
            </w:r>
            <w:r>
              <w:rPr>
                <w:sz w:val="18"/>
              </w:rPr>
              <w:t>as</w:t>
            </w:r>
            <w:r>
              <w:rPr>
                <w:spacing w:val="1"/>
                <w:sz w:val="18"/>
              </w:rPr>
              <w:t xml:space="preserve"> </w:t>
            </w:r>
            <w:r>
              <w:rPr>
                <w:sz w:val="18"/>
              </w:rPr>
              <w:t>for</w:t>
            </w:r>
            <w:r>
              <w:rPr>
                <w:spacing w:val="-2"/>
                <w:sz w:val="18"/>
              </w:rPr>
              <w:t xml:space="preserve"> </w:t>
            </w:r>
            <w:r>
              <w:rPr>
                <w:sz w:val="18"/>
              </w:rPr>
              <w:t>ensuring</w:t>
            </w:r>
            <w:r>
              <w:rPr>
                <w:spacing w:val="-2"/>
                <w:sz w:val="18"/>
              </w:rPr>
              <w:t xml:space="preserve"> </w:t>
            </w:r>
            <w:r>
              <w:rPr>
                <w:sz w:val="18"/>
              </w:rPr>
              <w:t>that</w:t>
            </w:r>
            <w:r>
              <w:rPr>
                <w:spacing w:val="-2"/>
                <w:sz w:val="18"/>
              </w:rPr>
              <w:t xml:space="preserve"> </w:t>
            </w:r>
            <w:r>
              <w:rPr>
                <w:sz w:val="18"/>
              </w:rPr>
              <w:t>at</w:t>
            </w:r>
            <w:r>
              <w:rPr>
                <w:spacing w:val="-2"/>
                <w:sz w:val="18"/>
              </w:rPr>
              <w:t xml:space="preserve"> </w:t>
            </w:r>
            <w:r>
              <w:rPr>
                <w:sz w:val="18"/>
              </w:rPr>
              <w:t>least</w:t>
            </w:r>
            <w:r>
              <w:rPr>
                <w:spacing w:val="-42"/>
                <w:sz w:val="18"/>
              </w:rPr>
              <w:t xml:space="preserve"> </w:t>
            </w:r>
            <w:r>
              <w:rPr>
                <w:sz w:val="18"/>
              </w:rPr>
              <w:t>summaries</w:t>
            </w:r>
            <w:r>
              <w:rPr>
                <w:spacing w:val="-2"/>
                <w:sz w:val="18"/>
              </w:rPr>
              <w:t xml:space="preserve"> </w:t>
            </w:r>
            <w:r>
              <w:rPr>
                <w:sz w:val="18"/>
              </w:rPr>
              <w:t>of</w:t>
            </w:r>
            <w:r>
              <w:rPr>
                <w:spacing w:val="-2"/>
                <w:sz w:val="18"/>
              </w:rPr>
              <w:t xml:space="preserve"> </w:t>
            </w:r>
            <w:r>
              <w:rPr>
                <w:sz w:val="18"/>
              </w:rPr>
              <w:t>annual audited reports of</w:t>
            </w:r>
            <w:r>
              <w:rPr>
                <w:spacing w:val="-2"/>
                <w:sz w:val="18"/>
              </w:rPr>
              <w:t xml:space="preserve"> </w:t>
            </w:r>
            <w:r>
              <w:rPr>
                <w:sz w:val="18"/>
              </w:rPr>
              <w:t>utility</w:t>
            </w:r>
            <w:r>
              <w:rPr>
                <w:spacing w:val="-4"/>
                <w:sz w:val="18"/>
              </w:rPr>
              <w:t xml:space="preserve"> </w:t>
            </w:r>
            <w:r>
              <w:rPr>
                <w:sz w:val="18"/>
              </w:rPr>
              <w:t>companies</w:t>
            </w:r>
            <w:r>
              <w:rPr>
                <w:spacing w:val="-1"/>
                <w:sz w:val="18"/>
              </w:rPr>
              <w:t xml:space="preserve"> </w:t>
            </w:r>
            <w:r>
              <w:rPr>
                <w:sz w:val="18"/>
              </w:rPr>
              <w:t>are</w:t>
            </w:r>
            <w:r>
              <w:rPr>
                <w:spacing w:val="2"/>
                <w:sz w:val="18"/>
              </w:rPr>
              <w:t xml:space="preserve"> </w:t>
            </w:r>
            <w:r>
              <w:rPr>
                <w:sz w:val="18"/>
              </w:rPr>
              <w:t>made</w:t>
            </w:r>
            <w:r>
              <w:rPr>
                <w:spacing w:val="2"/>
                <w:sz w:val="18"/>
              </w:rPr>
              <w:t xml:space="preserve"> </w:t>
            </w:r>
            <w:r>
              <w:rPr>
                <w:sz w:val="18"/>
              </w:rPr>
              <w:t>publicly</w:t>
            </w:r>
            <w:r>
              <w:rPr>
                <w:spacing w:val="-4"/>
                <w:sz w:val="18"/>
              </w:rPr>
              <w:t xml:space="preserve"> </w:t>
            </w:r>
            <w:r>
              <w:rPr>
                <w:sz w:val="18"/>
              </w:rPr>
              <w:t>available.</w:t>
            </w:r>
          </w:p>
        </w:tc>
      </w:tr>
      <w:tr w:rsidR="00A56FE9">
        <w:trPr>
          <w:trHeight w:val="621"/>
        </w:trPr>
        <w:tc>
          <w:tcPr>
            <w:tcW w:w="2064" w:type="dxa"/>
            <w:vMerge/>
            <w:tcBorders>
              <w:top w:val="nil"/>
            </w:tcBorders>
            <w:shd w:val="clear" w:color="auto" w:fill="F1F1F1"/>
          </w:tcPr>
          <w:p w:rsidR="00A56FE9" w:rsidRDefault="00A56FE9">
            <w:pPr>
              <w:rPr>
                <w:sz w:val="2"/>
                <w:szCs w:val="2"/>
              </w:rPr>
            </w:pPr>
          </w:p>
        </w:tc>
        <w:tc>
          <w:tcPr>
            <w:tcW w:w="3468" w:type="dxa"/>
            <w:shd w:val="clear" w:color="auto" w:fill="C5EECE"/>
          </w:tcPr>
          <w:p w:rsidR="00A56FE9" w:rsidRDefault="00000000">
            <w:pPr>
              <w:pStyle w:val="TableParagraph"/>
              <w:ind w:left="100" w:right="458"/>
              <w:rPr>
                <w:sz w:val="18"/>
              </w:rPr>
            </w:pPr>
            <w:r>
              <w:rPr>
                <w:sz w:val="18"/>
              </w:rPr>
              <w:t>Public sewerage network constructed or</w:t>
            </w:r>
            <w:r>
              <w:rPr>
                <w:spacing w:val="-43"/>
                <w:sz w:val="18"/>
              </w:rPr>
              <w:t xml:space="preserve"> </w:t>
            </w:r>
            <w:r>
              <w:rPr>
                <w:sz w:val="18"/>
              </w:rPr>
              <w:t>reconstructed</w:t>
            </w:r>
          </w:p>
        </w:tc>
        <w:tc>
          <w:tcPr>
            <w:tcW w:w="8926" w:type="dxa"/>
            <w:shd w:val="clear" w:color="auto" w:fill="C5EECE"/>
          </w:tcPr>
          <w:p w:rsidR="00A56FE9" w:rsidRDefault="00000000">
            <w:pPr>
              <w:pStyle w:val="TableParagraph"/>
              <w:spacing w:line="202" w:lineRule="exact"/>
              <w:ind w:left="106"/>
              <w:rPr>
                <w:sz w:val="18"/>
              </w:rPr>
            </w:pPr>
            <w:r>
              <w:rPr>
                <w:sz w:val="18"/>
              </w:rPr>
              <w:t>At</w:t>
            </w:r>
            <w:r>
              <w:rPr>
                <w:spacing w:val="-2"/>
                <w:sz w:val="18"/>
              </w:rPr>
              <w:t xml:space="preserve"> </w:t>
            </w:r>
            <w:r>
              <w:rPr>
                <w:sz w:val="18"/>
              </w:rPr>
              <w:t>least</w:t>
            </w:r>
            <w:r>
              <w:rPr>
                <w:spacing w:val="-1"/>
                <w:sz w:val="18"/>
              </w:rPr>
              <w:t xml:space="preserve"> </w:t>
            </w:r>
            <w:r>
              <w:rPr>
                <w:sz w:val="18"/>
              </w:rPr>
              <w:t>115 km</w:t>
            </w:r>
            <w:r>
              <w:rPr>
                <w:spacing w:val="-4"/>
                <w:sz w:val="18"/>
              </w:rPr>
              <w:t xml:space="preserve"> </w:t>
            </w:r>
            <w:r>
              <w:rPr>
                <w:sz w:val="18"/>
              </w:rPr>
              <w:t>of</w:t>
            </w:r>
            <w:r>
              <w:rPr>
                <w:spacing w:val="-3"/>
                <w:sz w:val="18"/>
              </w:rPr>
              <w:t xml:space="preserve"> </w:t>
            </w:r>
            <w:r>
              <w:rPr>
                <w:sz w:val="18"/>
              </w:rPr>
              <w:t>public</w:t>
            </w:r>
            <w:r>
              <w:rPr>
                <w:spacing w:val="-2"/>
                <w:sz w:val="18"/>
              </w:rPr>
              <w:t xml:space="preserve"> </w:t>
            </w:r>
            <w:r>
              <w:rPr>
                <w:sz w:val="18"/>
              </w:rPr>
              <w:t>sewerage</w:t>
            </w:r>
            <w:r>
              <w:rPr>
                <w:spacing w:val="-2"/>
                <w:sz w:val="18"/>
              </w:rPr>
              <w:t xml:space="preserve"> </w:t>
            </w:r>
            <w:r>
              <w:rPr>
                <w:sz w:val="18"/>
              </w:rPr>
              <w:t>(drainage)</w:t>
            </w:r>
            <w:r>
              <w:rPr>
                <w:spacing w:val="-1"/>
                <w:sz w:val="18"/>
              </w:rPr>
              <w:t xml:space="preserve"> </w:t>
            </w:r>
            <w:r>
              <w:rPr>
                <w:sz w:val="18"/>
              </w:rPr>
              <w:t>network</w:t>
            </w:r>
            <w:r>
              <w:rPr>
                <w:spacing w:val="-2"/>
                <w:sz w:val="18"/>
              </w:rPr>
              <w:t xml:space="preserve"> </w:t>
            </w:r>
            <w:r>
              <w:rPr>
                <w:sz w:val="18"/>
              </w:rPr>
              <w:t>built</w:t>
            </w:r>
            <w:r>
              <w:rPr>
                <w:spacing w:val="-1"/>
                <w:sz w:val="18"/>
              </w:rPr>
              <w:t xml:space="preserve"> </w:t>
            </w:r>
            <w:r>
              <w:rPr>
                <w:sz w:val="18"/>
              </w:rPr>
              <w:t>or</w:t>
            </w:r>
            <w:r>
              <w:rPr>
                <w:spacing w:val="-3"/>
                <w:sz w:val="18"/>
              </w:rPr>
              <w:t xml:space="preserve"> </w:t>
            </w:r>
            <w:r>
              <w:rPr>
                <w:sz w:val="18"/>
              </w:rPr>
              <w:t>reconstructed</w:t>
            </w:r>
          </w:p>
          <w:p w:rsidR="00A56FE9" w:rsidRDefault="00000000">
            <w:pPr>
              <w:pStyle w:val="TableParagraph"/>
              <w:spacing w:line="206" w:lineRule="exact"/>
              <w:ind w:left="106" w:right="242"/>
              <w:rPr>
                <w:sz w:val="18"/>
              </w:rPr>
            </w:pPr>
            <w:r>
              <w:rPr>
                <w:sz w:val="18"/>
              </w:rPr>
              <w:t>The</w:t>
            </w:r>
            <w:r>
              <w:rPr>
                <w:spacing w:val="-3"/>
                <w:sz w:val="18"/>
              </w:rPr>
              <w:t xml:space="preserve"> </w:t>
            </w:r>
            <w:r>
              <w:rPr>
                <w:sz w:val="18"/>
              </w:rPr>
              <w:t>investment</w:t>
            </w:r>
            <w:r>
              <w:rPr>
                <w:spacing w:val="-2"/>
                <w:sz w:val="18"/>
              </w:rPr>
              <w:t xml:space="preserve"> </w:t>
            </w:r>
            <w:r>
              <w:rPr>
                <w:sz w:val="18"/>
              </w:rPr>
              <w:t>shall</w:t>
            </w:r>
            <w:r>
              <w:rPr>
                <w:spacing w:val="-2"/>
                <w:sz w:val="18"/>
              </w:rPr>
              <w:t xml:space="preserve"> </w:t>
            </w:r>
            <w:r>
              <w:rPr>
                <w:sz w:val="18"/>
              </w:rPr>
              <w:t>ensure</w:t>
            </w:r>
            <w:r>
              <w:rPr>
                <w:spacing w:val="-3"/>
                <w:sz w:val="18"/>
              </w:rPr>
              <w:t xml:space="preserve"> </w:t>
            </w:r>
            <w:r>
              <w:rPr>
                <w:sz w:val="18"/>
              </w:rPr>
              <w:t>compliance</w:t>
            </w:r>
            <w:r>
              <w:rPr>
                <w:spacing w:val="-3"/>
                <w:sz w:val="18"/>
              </w:rPr>
              <w:t xml:space="preserve"> </w:t>
            </w:r>
            <w:r>
              <w:rPr>
                <w:sz w:val="18"/>
              </w:rPr>
              <w:t>with</w:t>
            </w:r>
            <w:r>
              <w:rPr>
                <w:spacing w:val="-1"/>
                <w:sz w:val="18"/>
              </w:rPr>
              <w:t xml:space="preserve"> </w:t>
            </w:r>
            <w:r>
              <w:rPr>
                <w:sz w:val="18"/>
              </w:rPr>
              <w:t>the</w:t>
            </w:r>
            <w:r>
              <w:rPr>
                <w:spacing w:val="-3"/>
                <w:sz w:val="18"/>
              </w:rPr>
              <w:t xml:space="preserve"> </w:t>
            </w:r>
            <w:r>
              <w:rPr>
                <w:sz w:val="18"/>
              </w:rPr>
              <w:t>Urban</w:t>
            </w:r>
            <w:r>
              <w:rPr>
                <w:spacing w:val="-1"/>
                <w:sz w:val="18"/>
              </w:rPr>
              <w:t xml:space="preserve"> </w:t>
            </w:r>
            <w:r>
              <w:rPr>
                <w:sz w:val="18"/>
              </w:rPr>
              <w:t>Wastewater</w:t>
            </w:r>
            <w:r>
              <w:rPr>
                <w:spacing w:val="-2"/>
                <w:sz w:val="18"/>
              </w:rPr>
              <w:t xml:space="preserve"> </w:t>
            </w:r>
            <w:r>
              <w:rPr>
                <w:sz w:val="18"/>
              </w:rPr>
              <w:t>Treatment</w:t>
            </w:r>
            <w:r>
              <w:rPr>
                <w:spacing w:val="-2"/>
                <w:sz w:val="18"/>
              </w:rPr>
              <w:t xml:space="preserve"> </w:t>
            </w:r>
            <w:r>
              <w:rPr>
                <w:sz w:val="18"/>
              </w:rPr>
              <w:t>Directive</w:t>
            </w:r>
            <w:r>
              <w:rPr>
                <w:spacing w:val="-3"/>
                <w:sz w:val="18"/>
              </w:rPr>
              <w:t xml:space="preserve"> </w:t>
            </w:r>
            <w:r>
              <w:rPr>
                <w:sz w:val="18"/>
              </w:rPr>
              <w:t>in</w:t>
            </w:r>
            <w:r>
              <w:rPr>
                <w:spacing w:val="-1"/>
                <w:sz w:val="18"/>
              </w:rPr>
              <w:t xml:space="preserve"> </w:t>
            </w:r>
            <w:r>
              <w:rPr>
                <w:sz w:val="18"/>
              </w:rPr>
              <w:t>subject</w:t>
            </w:r>
            <w:r>
              <w:rPr>
                <w:spacing w:val="-4"/>
                <w:sz w:val="18"/>
              </w:rPr>
              <w:t xml:space="preserve"> </w:t>
            </w:r>
            <w:r>
              <w:rPr>
                <w:sz w:val="18"/>
              </w:rPr>
              <w:t>areas,</w:t>
            </w:r>
            <w:r>
              <w:rPr>
                <w:spacing w:val="-2"/>
                <w:sz w:val="18"/>
              </w:rPr>
              <w:t xml:space="preserve"> </w:t>
            </w:r>
            <w:r>
              <w:rPr>
                <w:sz w:val="18"/>
              </w:rPr>
              <w:t>in</w:t>
            </w:r>
            <w:r>
              <w:rPr>
                <w:spacing w:val="-1"/>
                <w:sz w:val="18"/>
              </w:rPr>
              <w:t xml:space="preserve"> </w:t>
            </w:r>
            <w:r>
              <w:rPr>
                <w:sz w:val="18"/>
              </w:rPr>
              <w:t>line</w:t>
            </w:r>
            <w:r>
              <w:rPr>
                <w:spacing w:val="-3"/>
                <w:sz w:val="18"/>
              </w:rPr>
              <w:t xml:space="preserve"> </w:t>
            </w:r>
            <w:r>
              <w:rPr>
                <w:sz w:val="18"/>
              </w:rPr>
              <w:t>with</w:t>
            </w:r>
            <w:r>
              <w:rPr>
                <w:spacing w:val="-42"/>
                <w:sz w:val="18"/>
              </w:rPr>
              <w:t xml:space="preserve"> </w:t>
            </w:r>
            <w:r>
              <w:rPr>
                <w:sz w:val="18"/>
              </w:rPr>
              <w:t>the</w:t>
            </w:r>
            <w:r>
              <w:rPr>
                <w:spacing w:val="-2"/>
                <w:sz w:val="18"/>
              </w:rPr>
              <w:t xml:space="preserve"> </w:t>
            </w:r>
            <w:r>
              <w:rPr>
                <w:sz w:val="18"/>
              </w:rPr>
              <w:t>Multiannual Water and</w:t>
            </w:r>
            <w:r>
              <w:rPr>
                <w:spacing w:val="1"/>
                <w:sz w:val="18"/>
              </w:rPr>
              <w:t xml:space="preserve"> </w:t>
            </w:r>
            <w:r>
              <w:rPr>
                <w:sz w:val="18"/>
              </w:rPr>
              <w:t>Wastewater Construction</w:t>
            </w:r>
            <w:r>
              <w:rPr>
                <w:spacing w:val="-2"/>
                <w:sz w:val="18"/>
              </w:rPr>
              <w:t xml:space="preserve"> </w:t>
            </w:r>
            <w:r>
              <w:rPr>
                <w:sz w:val="18"/>
              </w:rPr>
              <w:t>Programme.</w:t>
            </w:r>
          </w:p>
        </w:tc>
      </w:tr>
      <w:tr w:rsidR="00A56FE9">
        <w:trPr>
          <w:trHeight w:val="828"/>
        </w:trPr>
        <w:tc>
          <w:tcPr>
            <w:tcW w:w="2064" w:type="dxa"/>
            <w:vMerge/>
            <w:tcBorders>
              <w:top w:val="nil"/>
            </w:tcBorders>
            <w:shd w:val="clear" w:color="auto" w:fill="F1F1F1"/>
          </w:tcPr>
          <w:p w:rsidR="00A56FE9" w:rsidRDefault="00A56FE9">
            <w:pPr>
              <w:rPr>
                <w:sz w:val="2"/>
                <w:szCs w:val="2"/>
              </w:rPr>
            </w:pPr>
          </w:p>
        </w:tc>
        <w:tc>
          <w:tcPr>
            <w:tcW w:w="3468" w:type="dxa"/>
            <w:shd w:val="clear" w:color="auto" w:fill="C5EECE"/>
          </w:tcPr>
          <w:p w:rsidR="00A56FE9" w:rsidRDefault="00000000">
            <w:pPr>
              <w:pStyle w:val="TableParagraph"/>
              <w:ind w:left="100" w:right="203"/>
              <w:rPr>
                <w:sz w:val="18"/>
              </w:rPr>
            </w:pPr>
            <w:r>
              <w:rPr>
                <w:sz w:val="18"/>
              </w:rPr>
              <w:t>Public water supply network constructed or</w:t>
            </w:r>
            <w:r>
              <w:rPr>
                <w:spacing w:val="-42"/>
                <w:sz w:val="18"/>
              </w:rPr>
              <w:t xml:space="preserve"> </w:t>
            </w:r>
            <w:r>
              <w:rPr>
                <w:sz w:val="18"/>
              </w:rPr>
              <w:t>reconstructed</w:t>
            </w:r>
          </w:p>
        </w:tc>
        <w:tc>
          <w:tcPr>
            <w:tcW w:w="8926" w:type="dxa"/>
            <w:shd w:val="clear" w:color="auto" w:fill="C5EECE"/>
          </w:tcPr>
          <w:p w:rsidR="00A56FE9" w:rsidRDefault="00000000">
            <w:pPr>
              <w:pStyle w:val="TableParagraph"/>
              <w:spacing w:line="202" w:lineRule="exact"/>
              <w:ind w:left="48"/>
              <w:rPr>
                <w:sz w:val="18"/>
              </w:rPr>
            </w:pPr>
            <w:r>
              <w:rPr>
                <w:sz w:val="18"/>
              </w:rPr>
              <w:t>At</w:t>
            </w:r>
            <w:r>
              <w:rPr>
                <w:spacing w:val="-1"/>
                <w:sz w:val="18"/>
              </w:rPr>
              <w:t xml:space="preserve"> </w:t>
            </w:r>
            <w:r>
              <w:rPr>
                <w:sz w:val="18"/>
              </w:rPr>
              <w:t>least</w:t>
            </w:r>
            <w:r>
              <w:rPr>
                <w:spacing w:val="-1"/>
                <w:sz w:val="18"/>
              </w:rPr>
              <w:t xml:space="preserve"> </w:t>
            </w:r>
            <w:r>
              <w:rPr>
                <w:sz w:val="18"/>
              </w:rPr>
              <w:t>226 km</w:t>
            </w:r>
            <w:r>
              <w:rPr>
                <w:spacing w:val="-3"/>
                <w:sz w:val="18"/>
              </w:rPr>
              <w:t xml:space="preserve"> </w:t>
            </w:r>
            <w:r>
              <w:rPr>
                <w:sz w:val="18"/>
              </w:rPr>
              <w:t>of</w:t>
            </w:r>
            <w:r>
              <w:rPr>
                <w:spacing w:val="-3"/>
                <w:sz w:val="18"/>
              </w:rPr>
              <w:t xml:space="preserve"> </w:t>
            </w:r>
            <w:r>
              <w:rPr>
                <w:sz w:val="18"/>
              </w:rPr>
              <w:t>public</w:t>
            </w:r>
            <w:r>
              <w:rPr>
                <w:spacing w:val="-1"/>
                <w:sz w:val="18"/>
              </w:rPr>
              <w:t xml:space="preserve"> </w:t>
            </w:r>
            <w:r>
              <w:rPr>
                <w:sz w:val="18"/>
              </w:rPr>
              <w:t>water</w:t>
            </w:r>
            <w:r>
              <w:rPr>
                <w:spacing w:val="-1"/>
                <w:sz w:val="18"/>
              </w:rPr>
              <w:t xml:space="preserve"> </w:t>
            </w:r>
            <w:r>
              <w:rPr>
                <w:sz w:val="18"/>
              </w:rPr>
              <w:t>supply</w:t>
            </w:r>
            <w:r>
              <w:rPr>
                <w:spacing w:val="-4"/>
                <w:sz w:val="18"/>
              </w:rPr>
              <w:t xml:space="preserve"> </w:t>
            </w:r>
            <w:r>
              <w:rPr>
                <w:sz w:val="18"/>
              </w:rPr>
              <w:t>network</w:t>
            </w:r>
            <w:r>
              <w:rPr>
                <w:spacing w:val="-1"/>
                <w:sz w:val="18"/>
              </w:rPr>
              <w:t xml:space="preserve"> </w:t>
            </w:r>
            <w:r>
              <w:rPr>
                <w:sz w:val="18"/>
              </w:rPr>
              <w:t>constructed or</w:t>
            </w:r>
            <w:r>
              <w:rPr>
                <w:spacing w:val="-1"/>
                <w:sz w:val="18"/>
              </w:rPr>
              <w:t xml:space="preserve"> </w:t>
            </w:r>
            <w:r>
              <w:rPr>
                <w:sz w:val="18"/>
              </w:rPr>
              <w:t>reconstructed.</w:t>
            </w:r>
          </w:p>
          <w:p w:rsidR="00A56FE9" w:rsidRDefault="00000000">
            <w:pPr>
              <w:pStyle w:val="TableParagraph"/>
              <w:spacing w:line="206" w:lineRule="exact"/>
              <w:ind w:left="106"/>
              <w:rPr>
                <w:sz w:val="18"/>
              </w:rPr>
            </w:pPr>
            <w:r>
              <w:rPr>
                <w:sz w:val="18"/>
              </w:rPr>
              <w:t>The</w:t>
            </w:r>
            <w:r>
              <w:rPr>
                <w:spacing w:val="-3"/>
                <w:sz w:val="18"/>
              </w:rPr>
              <w:t xml:space="preserve"> </w:t>
            </w:r>
            <w:r>
              <w:rPr>
                <w:sz w:val="18"/>
              </w:rPr>
              <w:t>investment</w:t>
            </w:r>
            <w:r>
              <w:rPr>
                <w:spacing w:val="-1"/>
                <w:sz w:val="18"/>
              </w:rPr>
              <w:t xml:space="preserve"> </w:t>
            </w:r>
            <w:r>
              <w:rPr>
                <w:sz w:val="18"/>
              </w:rPr>
              <w:t>consists</w:t>
            </w:r>
            <w:r>
              <w:rPr>
                <w:spacing w:val="-2"/>
                <w:sz w:val="18"/>
              </w:rPr>
              <w:t xml:space="preserve"> </w:t>
            </w:r>
            <w:r>
              <w:rPr>
                <w:sz w:val="18"/>
              </w:rPr>
              <w:t>in</w:t>
            </w:r>
            <w:r>
              <w:rPr>
                <w:spacing w:val="-2"/>
                <w:sz w:val="18"/>
              </w:rPr>
              <w:t xml:space="preserve"> </w:t>
            </w:r>
            <w:r>
              <w:rPr>
                <w:sz w:val="18"/>
              </w:rPr>
              <w:t>building</w:t>
            </w:r>
            <w:r>
              <w:rPr>
                <w:spacing w:val="-3"/>
                <w:sz w:val="18"/>
              </w:rPr>
              <w:t xml:space="preserve"> </w:t>
            </w:r>
            <w:r>
              <w:rPr>
                <w:sz w:val="18"/>
              </w:rPr>
              <w:t>drinking</w:t>
            </w:r>
            <w:r>
              <w:rPr>
                <w:spacing w:val="-2"/>
                <w:sz w:val="18"/>
              </w:rPr>
              <w:t xml:space="preserve"> </w:t>
            </w:r>
            <w:r>
              <w:rPr>
                <w:sz w:val="18"/>
              </w:rPr>
              <w:t>water</w:t>
            </w:r>
            <w:r>
              <w:rPr>
                <w:spacing w:val="-1"/>
                <w:sz w:val="18"/>
              </w:rPr>
              <w:t xml:space="preserve"> </w:t>
            </w:r>
            <w:r>
              <w:rPr>
                <w:sz w:val="18"/>
              </w:rPr>
              <w:t>supply</w:t>
            </w:r>
            <w:r>
              <w:rPr>
                <w:spacing w:val="-4"/>
                <w:sz w:val="18"/>
              </w:rPr>
              <w:t xml:space="preserve"> </w:t>
            </w:r>
            <w:r>
              <w:rPr>
                <w:sz w:val="18"/>
              </w:rPr>
              <w:t>systems</w:t>
            </w:r>
            <w:r>
              <w:rPr>
                <w:spacing w:val="6"/>
                <w:sz w:val="18"/>
              </w:rPr>
              <w:t xml:space="preserve"> </w:t>
            </w:r>
            <w:r>
              <w:rPr>
                <w:sz w:val="18"/>
              </w:rPr>
              <w:t>with an average</w:t>
            </w:r>
            <w:r>
              <w:rPr>
                <w:spacing w:val="-3"/>
                <w:sz w:val="18"/>
              </w:rPr>
              <w:t xml:space="preserve"> </w:t>
            </w:r>
            <w:r>
              <w:rPr>
                <w:sz w:val="18"/>
              </w:rPr>
              <w:t>energy</w:t>
            </w:r>
            <w:r>
              <w:rPr>
                <w:spacing w:val="-5"/>
                <w:sz w:val="18"/>
              </w:rPr>
              <w:t xml:space="preserve"> </w:t>
            </w:r>
            <w:r>
              <w:rPr>
                <w:sz w:val="18"/>
              </w:rPr>
              <w:t>consumption</w:t>
            </w:r>
            <w:r>
              <w:rPr>
                <w:spacing w:val="-2"/>
                <w:sz w:val="18"/>
              </w:rPr>
              <w:t xml:space="preserve"> </w:t>
            </w:r>
            <w:r>
              <w:rPr>
                <w:sz w:val="18"/>
              </w:rPr>
              <w:t>of</w:t>
            </w:r>
            <w:r>
              <w:rPr>
                <w:spacing w:val="-3"/>
                <w:sz w:val="18"/>
              </w:rPr>
              <w:t xml:space="preserve"> </w:t>
            </w:r>
            <w:r>
              <w:rPr>
                <w:sz w:val="18"/>
              </w:rPr>
              <w:t>≤</w:t>
            </w:r>
            <w:r>
              <w:rPr>
                <w:spacing w:val="-1"/>
                <w:sz w:val="18"/>
              </w:rPr>
              <w:t xml:space="preserve"> </w:t>
            </w:r>
            <w:r>
              <w:rPr>
                <w:sz w:val="18"/>
              </w:rPr>
              <w:t>0,5</w:t>
            </w:r>
            <w:r>
              <w:rPr>
                <w:spacing w:val="-1"/>
                <w:sz w:val="18"/>
              </w:rPr>
              <w:t xml:space="preserve"> </w:t>
            </w:r>
            <w:r>
              <w:rPr>
                <w:sz w:val="18"/>
              </w:rPr>
              <w:t>kWh or</w:t>
            </w:r>
            <w:r>
              <w:rPr>
                <w:spacing w:val="-42"/>
                <w:sz w:val="18"/>
              </w:rPr>
              <w:t xml:space="preserve"> </w:t>
            </w:r>
            <w:r>
              <w:rPr>
                <w:sz w:val="18"/>
              </w:rPr>
              <w:t>an Infrastructure Leakage Index (ILI) of ≤ 1,5, and in renovating existing drinking water supply systems to decrease the</w:t>
            </w:r>
            <w:r>
              <w:rPr>
                <w:spacing w:val="1"/>
                <w:sz w:val="18"/>
              </w:rPr>
              <w:t xml:space="preserve"> </w:t>
            </w:r>
            <w:r>
              <w:rPr>
                <w:sz w:val="18"/>
              </w:rPr>
              <w:t>average</w:t>
            </w:r>
            <w:r>
              <w:rPr>
                <w:spacing w:val="-2"/>
                <w:sz w:val="18"/>
              </w:rPr>
              <w:t xml:space="preserve"> </w:t>
            </w:r>
            <w:r>
              <w:rPr>
                <w:sz w:val="18"/>
              </w:rPr>
              <w:t>energy</w:t>
            </w:r>
            <w:r>
              <w:rPr>
                <w:spacing w:val="-1"/>
                <w:sz w:val="18"/>
              </w:rPr>
              <w:t xml:space="preserve"> </w:t>
            </w:r>
            <w:r>
              <w:rPr>
                <w:sz w:val="18"/>
              </w:rPr>
              <w:t>consumption</w:t>
            </w:r>
            <w:r>
              <w:rPr>
                <w:spacing w:val="-1"/>
                <w:sz w:val="18"/>
              </w:rPr>
              <w:t xml:space="preserve"> </w:t>
            </w:r>
            <w:r>
              <w:rPr>
                <w:sz w:val="18"/>
              </w:rPr>
              <w:t>by</w:t>
            </w:r>
            <w:r>
              <w:rPr>
                <w:spacing w:val="-1"/>
                <w:sz w:val="18"/>
              </w:rPr>
              <w:t xml:space="preserve"> </w:t>
            </w:r>
            <w:r>
              <w:rPr>
                <w:sz w:val="18"/>
              </w:rPr>
              <w:t>more</w:t>
            </w:r>
            <w:r>
              <w:rPr>
                <w:spacing w:val="-2"/>
                <w:sz w:val="18"/>
              </w:rPr>
              <w:t xml:space="preserve"> </w:t>
            </w:r>
            <w:r>
              <w:rPr>
                <w:sz w:val="18"/>
              </w:rPr>
              <w:t>than</w:t>
            </w:r>
            <w:r>
              <w:rPr>
                <w:spacing w:val="1"/>
                <w:sz w:val="18"/>
              </w:rPr>
              <w:t xml:space="preserve"> </w:t>
            </w:r>
            <w:r>
              <w:rPr>
                <w:sz w:val="18"/>
              </w:rPr>
              <w:t>20%</w:t>
            </w:r>
            <w:r>
              <w:rPr>
                <w:spacing w:val="-3"/>
                <w:sz w:val="18"/>
              </w:rPr>
              <w:t xml:space="preserve"> </w:t>
            </w:r>
            <w:r>
              <w:rPr>
                <w:sz w:val="18"/>
              </w:rPr>
              <w:t>or decrease</w:t>
            </w:r>
            <w:r>
              <w:rPr>
                <w:spacing w:val="-2"/>
                <w:sz w:val="18"/>
              </w:rPr>
              <w:t xml:space="preserve"> </w:t>
            </w:r>
            <w:r>
              <w:rPr>
                <w:sz w:val="18"/>
              </w:rPr>
              <w:t>leakage</w:t>
            </w:r>
            <w:r>
              <w:rPr>
                <w:spacing w:val="-1"/>
                <w:sz w:val="18"/>
              </w:rPr>
              <w:t xml:space="preserve"> </w:t>
            </w:r>
            <w:r>
              <w:rPr>
                <w:sz w:val="18"/>
              </w:rPr>
              <w:t>by</w:t>
            </w:r>
            <w:r>
              <w:rPr>
                <w:spacing w:val="-1"/>
                <w:sz w:val="18"/>
              </w:rPr>
              <w:t xml:space="preserve"> </w:t>
            </w:r>
            <w:r>
              <w:rPr>
                <w:sz w:val="18"/>
              </w:rPr>
              <w:t>more</w:t>
            </w:r>
            <w:r>
              <w:rPr>
                <w:spacing w:val="-1"/>
                <w:sz w:val="18"/>
              </w:rPr>
              <w:t xml:space="preserve"> </w:t>
            </w:r>
            <w:r>
              <w:rPr>
                <w:sz w:val="18"/>
              </w:rPr>
              <w:t>than 20%.</w:t>
            </w:r>
          </w:p>
        </w:tc>
      </w:tr>
      <w:tr w:rsidR="00A56FE9">
        <w:trPr>
          <w:trHeight w:val="412"/>
        </w:trPr>
        <w:tc>
          <w:tcPr>
            <w:tcW w:w="2064" w:type="dxa"/>
            <w:vMerge/>
            <w:tcBorders>
              <w:top w:val="nil"/>
            </w:tcBorders>
            <w:shd w:val="clear" w:color="auto" w:fill="F1F1F1"/>
          </w:tcPr>
          <w:p w:rsidR="00A56FE9" w:rsidRDefault="00A56FE9">
            <w:pPr>
              <w:rPr>
                <w:sz w:val="2"/>
                <w:szCs w:val="2"/>
              </w:rPr>
            </w:pPr>
          </w:p>
        </w:tc>
        <w:tc>
          <w:tcPr>
            <w:tcW w:w="3468" w:type="dxa"/>
            <w:shd w:val="clear" w:color="auto" w:fill="C5EECE"/>
          </w:tcPr>
          <w:p w:rsidR="00A56FE9" w:rsidRDefault="00000000">
            <w:pPr>
              <w:pStyle w:val="TableParagraph"/>
              <w:spacing w:line="202" w:lineRule="exact"/>
              <w:ind w:left="100"/>
              <w:rPr>
                <w:sz w:val="18"/>
              </w:rPr>
            </w:pPr>
            <w:r>
              <w:rPr>
                <w:sz w:val="18"/>
              </w:rPr>
              <w:t>Water</w:t>
            </w:r>
            <w:r>
              <w:rPr>
                <w:spacing w:val="-1"/>
                <w:sz w:val="18"/>
              </w:rPr>
              <w:t xml:space="preserve"> </w:t>
            </w:r>
            <w:r>
              <w:rPr>
                <w:sz w:val="18"/>
              </w:rPr>
              <w:t>metering</w:t>
            </w:r>
            <w:r>
              <w:rPr>
                <w:spacing w:val="-3"/>
                <w:sz w:val="18"/>
              </w:rPr>
              <w:t xml:space="preserve"> </w:t>
            </w:r>
            <w:r>
              <w:rPr>
                <w:sz w:val="18"/>
              </w:rPr>
              <w:t>devices</w:t>
            </w:r>
            <w:r>
              <w:rPr>
                <w:spacing w:val="-2"/>
                <w:sz w:val="18"/>
              </w:rPr>
              <w:t xml:space="preserve"> </w:t>
            </w:r>
            <w:r>
              <w:rPr>
                <w:sz w:val="18"/>
              </w:rPr>
              <w:t>installed</w:t>
            </w:r>
            <w:r>
              <w:rPr>
                <w:spacing w:val="-1"/>
                <w:sz w:val="18"/>
              </w:rPr>
              <w:t xml:space="preserve"> </w:t>
            </w:r>
            <w:r>
              <w:rPr>
                <w:sz w:val="18"/>
              </w:rPr>
              <w:t>at</w:t>
            </w:r>
            <w:r>
              <w:rPr>
                <w:spacing w:val="-3"/>
                <w:sz w:val="18"/>
              </w:rPr>
              <w:t xml:space="preserve"> </w:t>
            </w:r>
            <w:r>
              <w:rPr>
                <w:sz w:val="18"/>
              </w:rPr>
              <w:t>water</w:t>
            </w:r>
          </w:p>
          <w:p w:rsidR="00A56FE9" w:rsidRDefault="00000000">
            <w:pPr>
              <w:pStyle w:val="TableParagraph"/>
              <w:spacing w:line="191" w:lineRule="exact"/>
              <w:ind w:left="100"/>
              <w:rPr>
                <w:sz w:val="18"/>
              </w:rPr>
            </w:pPr>
            <w:r>
              <w:rPr>
                <w:sz w:val="18"/>
              </w:rPr>
              <w:t>abstraction sites</w:t>
            </w:r>
          </w:p>
        </w:tc>
        <w:tc>
          <w:tcPr>
            <w:tcW w:w="8926" w:type="dxa"/>
            <w:shd w:val="clear" w:color="auto" w:fill="C5EECE"/>
          </w:tcPr>
          <w:p w:rsidR="00A56FE9" w:rsidRDefault="00000000">
            <w:pPr>
              <w:pStyle w:val="TableParagraph"/>
              <w:spacing w:line="202" w:lineRule="exact"/>
              <w:ind w:left="106"/>
              <w:rPr>
                <w:sz w:val="18"/>
              </w:rPr>
            </w:pPr>
            <w:r>
              <w:rPr>
                <w:sz w:val="18"/>
              </w:rPr>
              <w:t>At</w:t>
            </w:r>
            <w:r>
              <w:rPr>
                <w:spacing w:val="-2"/>
                <w:sz w:val="18"/>
              </w:rPr>
              <w:t xml:space="preserve"> </w:t>
            </w:r>
            <w:r>
              <w:rPr>
                <w:sz w:val="18"/>
              </w:rPr>
              <w:t>least</w:t>
            </w:r>
            <w:r>
              <w:rPr>
                <w:spacing w:val="-2"/>
                <w:sz w:val="18"/>
              </w:rPr>
              <w:t xml:space="preserve"> </w:t>
            </w:r>
            <w:r>
              <w:rPr>
                <w:sz w:val="18"/>
              </w:rPr>
              <w:t>526</w:t>
            </w:r>
            <w:r>
              <w:rPr>
                <w:spacing w:val="-1"/>
                <w:sz w:val="18"/>
              </w:rPr>
              <w:t xml:space="preserve"> </w:t>
            </w:r>
            <w:r>
              <w:rPr>
                <w:sz w:val="18"/>
              </w:rPr>
              <w:t>metering</w:t>
            </w:r>
            <w:r>
              <w:rPr>
                <w:spacing w:val="-3"/>
                <w:sz w:val="18"/>
              </w:rPr>
              <w:t xml:space="preserve"> </w:t>
            </w:r>
            <w:r>
              <w:rPr>
                <w:sz w:val="18"/>
              </w:rPr>
              <w:t>devices</w:t>
            </w:r>
            <w:r>
              <w:rPr>
                <w:spacing w:val="-1"/>
                <w:sz w:val="18"/>
              </w:rPr>
              <w:t xml:space="preserve"> </w:t>
            </w:r>
            <w:r>
              <w:rPr>
                <w:sz w:val="18"/>
              </w:rPr>
              <w:t>installed</w:t>
            </w:r>
            <w:r>
              <w:rPr>
                <w:spacing w:val="-1"/>
                <w:sz w:val="18"/>
              </w:rPr>
              <w:t xml:space="preserve"> </w:t>
            </w:r>
            <w:r>
              <w:rPr>
                <w:sz w:val="18"/>
              </w:rPr>
              <w:t>at</w:t>
            </w:r>
            <w:r>
              <w:rPr>
                <w:spacing w:val="-2"/>
                <w:sz w:val="18"/>
              </w:rPr>
              <w:t xml:space="preserve"> </w:t>
            </w:r>
            <w:r>
              <w:rPr>
                <w:sz w:val="18"/>
              </w:rPr>
              <w:t>water</w:t>
            </w:r>
            <w:r>
              <w:rPr>
                <w:spacing w:val="-2"/>
                <w:sz w:val="18"/>
              </w:rPr>
              <w:t xml:space="preserve"> </w:t>
            </w:r>
            <w:r>
              <w:rPr>
                <w:sz w:val="18"/>
              </w:rPr>
              <w:t>abstraction sites,</w:t>
            </w:r>
            <w:r>
              <w:rPr>
                <w:spacing w:val="-2"/>
                <w:sz w:val="18"/>
              </w:rPr>
              <w:t xml:space="preserve"> </w:t>
            </w:r>
            <w:r>
              <w:rPr>
                <w:sz w:val="18"/>
              </w:rPr>
              <w:t>for</w:t>
            </w:r>
            <w:r>
              <w:rPr>
                <w:spacing w:val="-2"/>
                <w:sz w:val="18"/>
              </w:rPr>
              <w:t xml:space="preserve"> </w:t>
            </w:r>
            <w:r>
              <w:rPr>
                <w:sz w:val="18"/>
              </w:rPr>
              <w:t>measuring</w:t>
            </w:r>
            <w:r>
              <w:rPr>
                <w:spacing w:val="-3"/>
                <w:sz w:val="18"/>
              </w:rPr>
              <w:t xml:space="preserve"> </w:t>
            </w:r>
            <w:r>
              <w:rPr>
                <w:sz w:val="18"/>
              </w:rPr>
              <w:t>water</w:t>
            </w:r>
            <w:r>
              <w:rPr>
                <w:spacing w:val="-1"/>
                <w:sz w:val="18"/>
              </w:rPr>
              <w:t xml:space="preserve"> </w:t>
            </w:r>
            <w:r>
              <w:rPr>
                <w:sz w:val="18"/>
              </w:rPr>
              <w:t>quantities</w:t>
            </w:r>
          </w:p>
        </w:tc>
      </w:tr>
      <w:tr w:rsidR="00A56FE9">
        <w:trPr>
          <w:trHeight w:val="2693"/>
        </w:trPr>
        <w:tc>
          <w:tcPr>
            <w:tcW w:w="2064" w:type="dxa"/>
            <w:vMerge/>
            <w:tcBorders>
              <w:top w:val="nil"/>
            </w:tcBorders>
            <w:shd w:val="clear" w:color="auto" w:fill="F1F1F1"/>
          </w:tcPr>
          <w:p w:rsidR="00A56FE9" w:rsidRDefault="00A56FE9">
            <w:pPr>
              <w:rPr>
                <w:sz w:val="2"/>
                <w:szCs w:val="2"/>
              </w:rPr>
            </w:pPr>
          </w:p>
        </w:tc>
        <w:tc>
          <w:tcPr>
            <w:tcW w:w="3468" w:type="dxa"/>
            <w:shd w:val="clear" w:color="auto" w:fill="C5EECE"/>
          </w:tcPr>
          <w:p w:rsidR="00A56FE9" w:rsidRDefault="00000000">
            <w:pPr>
              <w:pStyle w:val="TableParagraph"/>
              <w:spacing w:line="242" w:lineRule="auto"/>
              <w:ind w:left="100" w:right="698"/>
              <w:rPr>
                <w:sz w:val="18"/>
              </w:rPr>
            </w:pPr>
            <w:r>
              <w:rPr>
                <w:sz w:val="18"/>
              </w:rPr>
              <w:t>Works contracts concluded for flood</w:t>
            </w:r>
            <w:r>
              <w:rPr>
                <w:spacing w:val="-42"/>
                <w:sz w:val="18"/>
              </w:rPr>
              <w:t xml:space="preserve"> </w:t>
            </w:r>
            <w:r>
              <w:rPr>
                <w:sz w:val="18"/>
              </w:rPr>
              <w:t>protection</w:t>
            </w:r>
            <w:r>
              <w:rPr>
                <w:spacing w:val="-2"/>
                <w:sz w:val="18"/>
              </w:rPr>
              <w:t xml:space="preserve"> </w:t>
            </w:r>
            <w:r>
              <w:rPr>
                <w:sz w:val="18"/>
              </w:rPr>
              <w:t>projects</w:t>
            </w:r>
          </w:p>
        </w:tc>
        <w:tc>
          <w:tcPr>
            <w:tcW w:w="8926" w:type="dxa"/>
            <w:shd w:val="clear" w:color="auto" w:fill="C5EECE"/>
          </w:tcPr>
          <w:p w:rsidR="00A56FE9" w:rsidRDefault="00000000">
            <w:pPr>
              <w:pStyle w:val="TableParagraph"/>
              <w:spacing w:line="242" w:lineRule="auto"/>
              <w:ind w:left="106" w:right="242"/>
              <w:rPr>
                <w:sz w:val="18"/>
              </w:rPr>
            </w:pPr>
            <w:r>
              <w:rPr>
                <w:sz w:val="18"/>
              </w:rPr>
              <w:t>At</w:t>
            </w:r>
            <w:r>
              <w:rPr>
                <w:spacing w:val="-2"/>
                <w:sz w:val="18"/>
              </w:rPr>
              <w:t xml:space="preserve"> </w:t>
            </w:r>
            <w:r>
              <w:rPr>
                <w:sz w:val="18"/>
              </w:rPr>
              <w:t>least</w:t>
            </w:r>
            <w:r>
              <w:rPr>
                <w:spacing w:val="-1"/>
                <w:sz w:val="18"/>
              </w:rPr>
              <w:t xml:space="preserve"> </w:t>
            </w:r>
            <w:r>
              <w:rPr>
                <w:sz w:val="18"/>
              </w:rPr>
              <w:t>20</w:t>
            </w:r>
            <w:r>
              <w:rPr>
                <w:spacing w:val="-1"/>
                <w:sz w:val="18"/>
              </w:rPr>
              <w:t xml:space="preserve"> </w:t>
            </w:r>
            <w:r>
              <w:rPr>
                <w:sz w:val="18"/>
              </w:rPr>
              <w:t>works</w:t>
            </w:r>
            <w:r>
              <w:rPr>
                <w:spacing w:val="-1"/>
                <w:sz w:val="18"/>
              </w:rPr>
              <w:t xml:space="preserve"> </w:t>
            </w:r>
            <w:r>
              <w:rPr>
                <w:sz w:val="18"/>
              </w:rPr>
              <w:t>contracts</w:t>
            </w:r>
            <w:r>
              <w:rPr>
                <w:spacing w:val="-1"/>
                <w:sz w:val="18"/>
              </w:rPr>
              <w:t xml:space="preserve"> </w:t>
            </w:r>
            <w:r>
              <w:rPr>
                <w:sz w:val="18"/>
              </w:rPr>
              <w:t>concluded</w:t>
            </w:r>
            <w:r>
              <w:rPr>
                <w:spacing w:val="1"/>
                <w:sz w:val="18"/>
              </w:rPr>
              <w:t xml:space="preserve"> </w:t>
            </w:r>
            <w:r>
              <w:rPr>
                <w:sz w:val="18"/>
              </w:rPr>
              <w:t>for</w:t>
            </w:r>
            <w:r>
              <w:rPr>
                <w:spacing w:val="-3"/>
                <w:sz w:val="18"/>
              </w:rPr>
              <w:t xml:space="preserve"> </w:t>
            </w:r>
            <w:r>
              <w:rPr>
                <w:sz w:val="18"/>
              </w:rPr>
              <w:t>projects</w:t>
            </w:r>
            <w:r>
              <w:rPr>
                <w:spacing w:val="-1"/>
                <w:sz w:val="18"/>
              </w:rPr>
              <w:t xml:space="preserve"> </w:t>
            </w:r>
            <w:r>
              <w:rPr>
                <w:sz w:val="18"/>
              </w:rPr>
              <w:t>in</w:t>
            </w:r>
            <w:r>
              <w:rPr>
                <w:spacing w:val="-1"/>
                <w:sz w:val="18"/>
              </w:rPr>
              <w:t xml:space="preserve"> </w:t>
            </w:r>
            <w:r>
              <w:rPr>
                <w:sz w:val="18"/>
              </w:rPr>
              <w:t>the</w:t>
            </w:r>
            <w:r>
              <w:rPr>
                <w:spacing w:val="-2"/>
                <w:sz w:val="18"/>
              </w:rPr>
              <w:t xml:space="preserve"> </w:t>
            </w:r>
            <w:r>
              <w:rPr>
                <w:sz w:val="18"/>
              </w:rPr>
              <w:t>flood</w:t>
            </w:r>
            <w:r>
              <w:rPr>
                <w:spacing w:val="-2"/>
                <w:sz w:val="18"/>
              </w:rPr>
              <w:t xml:space="preserve"> </w:t>
            </w:r>
            <w:r>
              <w:rPr>
                <w:sz w:val="18"/>
              </w:rPr>
              <w:t>protection</w:t>
            </w:r>
            <w:r>
              <w:rPr>
                <w:spacing w:val="-1"/>
                <w:sz w:val="18"/>
              </w:rPr>
              <w:t xml:space="preserve"> </w:t>
            </w:r>
            <w:r>
              <w:rPr>
                <w:sz w:val="18"/>
              </w:rPr>
              <w:t>sector,</w:t>
            </w:r>
            <w:r>
              <w:rPr>
                <w:spacing w:val="-1"/>
                <w:sz w:val="18"/>
              </w:rPr>
              <w:t xml:space="preserve"> </w:t>
            </w:r>
            <w:r>
              <w:rPr>
                <w:sz w:val="18"/>
              </w:rPr>
              <w:t>related</w:t>
            </w:r>
            <w:r>
              <w:rPr>
                <w:spacing w:val="-2"/>
                <w:sz w:val="18"/>
              </w:rPr>
              <w:t xml:space="preserve"> </w:t>
            </w:r>
            <w:r>
              <w:rPr>
                <w:sz w:val="18"/>
              </w:rPr>
              <w:t>to</w:t>
            </w:r>
            <w:r>
              <w:rPr>
                <w:spacing w:val="-3"/>
                <w:sz w:val="18"/>
              </w:rPr>
              <w:t xml:space="preserve"> </w:t>
            </w:r>
            <w:r>
              <w:rPr>
                <w:sz w:val="18"/>
              </w:rPr>
              <w:t>contracts</w:t>
            </w:r>
            <w:r>
              <w:rPr>
                <w:spacing w:val="-3"/>
                <w:sz w:val="18"/>
              </w:rPr>
              <w:t xml:space="preserve"> </w:t>
            </w:r>
            <w:r>
              <w:rPr>
                <w:sz w:val="18"/>
              </w:rPr>
              <w:t>to be</w:t>
            </w:r>
            <w:r>
              <w:rPr>
                <w:spacing w:val="-3"/>
                <w:sz w:val="18"/>
              </w:rPr>
              <w:t xml:space="preserve"> </w:t>
            </w:r>
            <w:r>
              <w:rPr>
                <w:sz w:val="18"/>
              </w:rPr>
              <w:t>awarded by</w:t>
            </w:r>
            <w:r>
              <w:rPr>
                <w:spacing w:val="-42"/>
                <w:sz w:val="18"/>
              </w:rPr>
              <w:t xml:space="preserve"> </w:t>
            </w:r>
            <w:r>
              <w:rPr>
                <w:sz w:val="18"/>
              </w:rPr>
              <w:t>the</w:t>
            </w:r>
            <w:r>
              <w:rPr>
                <w:spacing w:val="-1"/>
                <w:sz w:val="18"/>
              </w:rPr>
              <w:t xml:space="preserve"> </w:t>
            </w:r>
            <w:r>
              <w:rPr>
                <w:sz w:val="18"/>
              </w:rPr>
              <w:t>end</w:t>
            </w:r>
            <w:r>
              <w:rPr>
                <w:spacing w:val="-1"/>
                <w:sz w:val="18"/>
              </w:rPr>
              <w:t xml:space="preserve"> </w:t>
            </w:r>
            <w:r>
              <w:rPr>
                <w:sz w:val="18"/>
              </w:rPr>
              <w:t>of</w:t>
            </w:r>
            <w:r>
              <w:rPr>
                <w:spacing w:val="-2"/>
                <w:sz w:val="18"/>
              </w:rPr>
              <w:t xml:space="preserve"> </w:t>
            </w:r>
            <w:r>
              <w:rPr>
                <w:sz w:val="18"/>
              </w:rPr>
              <w:t>2022.</w:t>
            </w:r>
          </w:p>
          <w:p w:rsidR="00A56FE9" w:rsidRDefault="00000000">
            <w:pPr>
              <w:pStyle w:val="TableParagraph"/>
              <w:ind w:left="106" w:right="242"/>
              <w:rPr>
                <w:sz w:val="18"/>
              </w:rPr>
            </w:pPr>
            <w:r>
              <w:rPr>
                <w:sz w:val="18"/>
              </w:rPr>
              <w:t>Tender</w:t>
            </w:r>
            <w:r>
              <w:rPr>
                <w:spacing w:val="-2"/>
                <w:sz w:val="18"/>
              </w:rPr>
              <w:t xml:space="preserve"> </w:t>
            </w:r>
            <w:r>
              <w:rPr>
                <w:sz w:val="18"/>
              </w:rPr>
              <w:t>criteria</w:t>
            </w:r>
            <w:r>
              <w:rPr>
                <w:spacing w:val="-2"/>
                <w:sz w:val="18"/>
              </w:rPr>
              <w:t xml:space="preserve"> </w:t>
            </w:r>
            <w:r>
              <w:rPr>
                <w:sz w:val="18"/>
              </w:rPr>
              <w:t>shall</w:t>
            </w:r>
            <w:r>
              <w:rPr>
                <w:spacing w:val="-2"/>
                <w:sz w:val="18"/>
              </w:rPr>
              <w:t xml:space="preserve"> </w:t>
            </w:r>
            <w:r>
              <w:rPr>
                <w:sz w:val="18"/>
              </w:rPr>
              <w:t>focus</w:t>
            </w:r>
            <w:r>
              <w:rPr>
                <w:spacing w:val="-2"/>
                <w:sz w:val="18"/>
              </w:rPr>
              <w:t xml:space="preserve"> </w:t>
            </w:r>
            <w:r>
              <w:rPr>
                <w:sz w:val="18"/>
              </w:rPr>
              <w:t>on</w:t>
            </w:r>
            <w:r>
              <w:rPr>
                <w:spacing w:val="-2"/>
                <w:sz w:val="18"/>
              </w:rPr>
              <w:t xml:space="preserve"> </w:t>
            </w:r>
            <w:r>
              <w:rPr>
                <w:sz w:val="18"/>
              </w:rPr>
              <w:t>nature</w:t>
            </w:r>
            <w:r>
              <w:rPr>
                <w:spacing w:val="-3"/>
                <w:sz w:val="18"/>
              </w:rPr>
              <w:t xml:space="preserve"> </w:t>
            </w:r>
            <w:r>
              <w:rPr>
                <w:sz w:val="18"/>
              </w:rPr>
              <w:t>based</w:t>
            </w:r>
            <w:r>
              <w:rPr>
                <w:spacing w:val="-1"/>
                <w:sz w:val="18"/>
              </w:rPr>
              <w:t xml:space="preserve"> </w:t>
            </w:r>
            <w:r>
              <w:rPr>
                <w:sz w:val="18"/>
              </w:rPr>
              <w:t>solution</w:t>
            </w:r>
            <w:r>
              <w:rPr>
                <w:spacing w:val="-1"/>
                <w:sz w:val="18"/>
              </w:rPr>
              <w:t xml:space="preserve"> </w:t>
            </w:r>
            <w:r>
              <w:rPr>
                <w:sz w:val="18"/>
              </w:rPr>
              <w:t>measures</w:t>
            </w:r>
            <w:r>
              <w:rPr>
                <w:spacing w:val="-1"/>
                <w:sz w:val="18"/>
              </w:rPr>
              <w:t xml:space="preserve"> </w:t>
            </w:r>
            <w:r>
              <w:rPr>
                <w:sz w:val="18"/>
              </w:rPr>
              <w:t>and</w:t>
            </w:r>
            <w:r>
              <w:rPr>
                <w:spacing w:val="-3"/>
                <w:sz w:val="18"/>
              </w:rPr>
              <w:t xml:space="preserve"> </w:t>
            </w:r>
            <w:r>
              <w:rPr>
                <w:sz w:val="18"/>
              </w:rPr>
              <w:t>green</w:t>
            </w:r>
            <w:r>
              <w:rPr>
                <w:spacing w:val="-1"/>
                <w:sz w:val="18"/>
              </w:rPr>
              <w:t xml:space="preserve"> </w:t>
            </w:r>
            <w:r>
              <w:rPr>
                <w:sz w:val="18"/>
              </w:rPr>
              <w:t>infrastructure.</w:t>
            </w:r>
            <w:r>
              <w:rPr>
                <w:spacing w:val="-2"/>
                <w:sz w:val="18"/>
              </w:rPr>
              <w:t xml:space="preserve"> </w:t>
            </w:r>
            <w:r>
              <w:rPr>
                <w:sz w:val="18"/>
              </w:rPr>
              <w:t>The</w:t>
            </w:r>
            <w:r>
              <w:rPr>
                <w:spacing w:val="-2"/>
                <w:sz w:val="18"/>
              </w:rPr>
              <w:t xml:space="preserve"> </w:t>
            </w:r>
            <w:r>
              <w:rPr>
                <w:sz w:val="18"/>
              </w:rPr>
              <w:t>contracts</w:t>
            </w:r>
            <w:r>
              <w:rPr>
                <w:spacing w:val="-2"/>
                <w:sz w:val="18"/>
              </w:rPr>
              <w:t xml:space="preserve"> </w:t>
            </w:r>
            <w:r>
              <w:rPr>
                <w:sz w:val="18"/>
              </w:rPr>
              <w:t>shall</w:t>
            </w:r>
            <w:r>
              <w:rPr>
                <w:spacing w:val="-2"/>
                <w:sz w:val="18"/>
              </w:rPr>
              <w:t xml:space="preserve"> </w:t>
            </w:r>
            <w:r>
              <w:rPr>
                <w:sz w:val="18"/>
              </w:rPr>
              <w:t>ensure</w:t>
            </w:r>
            <w:r>
              <w:rPr>
                <w:spacing w:val="-3"/>
                <w:sz w:val="18"/>
              </w:rPr>
              <w:t xml:space="preserve"> </w:t>
            </w:r>
            <w:r>
              <w:rPr>
                <w:sz w:val="18"/>
              </w:rPr>
              <w:t>that</w:t>
            </w:r>
            <w:r>
              <w:rPr>
                <w:spacing w:val="-42"/>
                <w:sz w:val="18"/>
              </w:rPr>
              <w:t xml:space="preserve"> </w:t>
            </w:r>
            <w:r>
              <w:rPr>
                <w:sz w:val="18"/>
              </w:rPr>
              <w:t>projects will be implemented in accordance with the EU acquis and environmental regulations and the annexes to</w:t>
            </w:r>
            <w:r>
              <w:rPr>
                <w:spacing w:val="1"/>
                <w:sz w:val="18"/>
              </w:rPr>
              <w:t xml:space="preserve"> </w:t>
            </w:r>
            <w:r>
              <w:rPr>
                <w:sz w:val="18"/>
              </w:rPr>
              <w:t>Commission Delegated Regulation (C(2021)2800 final) supplementing</w:t>
            </w:r>
            <w:r>
              <w:rPr>
                <w:spacing w:val="-2"/>
                <w:sz w:val="18"/>
              </w:rPr>
              <w:t xml:space="preserve"> </w:t>
            </w:r>
            <w:r>
              <w:rPr>
                <w:sz w:val="18"/>
              </w:rPr>
              <w:t>Regulation</w:t>
            </w:r>
            <w:r>
              <w:rPr>
                <w:spacing w:val="-2"/>
                <w:sz w:val="18"/>
              </w:rPr>
              <w:t xml:space="preserve"> </w:t>
            </w:r>
            <w:r>
              <w:rPr>
                <w:sz w:val="18"/>
              </w:rPr>
              <w:t>(EU)</w:t>
            </w:r>
            <w:r>
              <w:rPr>
                <w:spacing w:val="-1"/>
                <w:sz w:val="18"/>
              </w:rPr>
              <w:t xml:space="preserve"> </w:t>
            </w:r>
            <w:r>
              <w:rPr>
                <w:sz w:val="18"/>
              </w:rPr>
              <w:t>2020/852.</w:t>
            </w:r>
          </w:p>
          <w:p w:rsidR="00A56FE9" w:rsidRDefault="00000000">
            <w:pPr>
              <w:pStyle w:val="TableParagraph"/>
              <w:ind w:left="106" w:right="107"/>
              <w:rPr>
                <w:sz w:val="18"/>
              </w:rPr>
            </w:pPr>
            <w:r>
              <w:rPr>
                <w:sz w:val="18"/>
              </w:rPr>
              <w:t>It is expected that this measure does no significant harm to environmental objectives within the meaning of Article 17 of</w:t>
            </w:r>
            <w:r>
              <w:rPr>
                <w:spacing w:val="-42"/>
                <w:sz w:val="18"/>
              </w:rPr>
              <w:t xml:space="preserve"> </w:t>
            </w:r>
            <w:r>
              <w:rPr>
                <w:sz w:val="18"/>
              </w:rPr>
              <w:t>Regulation (EU) 2020/852, taking into account the description of the measures and the mitigating steps set out in the</w:t>
            </w:r>
            <w:r>
              <w:rPr>
                <w:spacing w:val="1"/>
                <w:sz w:val="18"/>
              </w:rPr>
              <w:t xml:space="preserve"> </w:t>
            </w:r>
            <w:r>
              <w:rPr>
                <w:sz w:val="18"/>
              </w:rPr>
              <w:t>recovery and resilience plan in accordance with the DNSH Technical Guidance (2021/C58/01). All activities shall</w:t>
            </w:r>
            <w:r>
              <w:rPr>
                <w:spacing w:val="1"/>
                <w:sz w:val="18"/>
              </w:rPr>
              <w:t xml:space="preserve"> </w:t>
            </w:r>
            <w:r>
              <w:rPr>
                <w:sz w:val="18"/>
              </w:rPr>
              <w:t>comply with the requirements of EU water legislation as incorporated into the Croatian law. Environmental impact</w:t>
            </w:r>
            <w:r>
              <w:rPr>
                <w:spacing w:val="1"/>
                <w:sz w:val="18"/>
              </w:rPr>
              <w:t xml:space="preserve"> </w:t>
            </w:r>
            <w:r>
              <w:rPr>
                <w:sz w:val="18"/>
              </w:rPr>
              <w:t>assessment shall be conducted in compliance with authorization procedures under EIA in accordance with Directive</w:t>
            </w:r>
            <w:r>
              <w:rPr>
                <w:spacing w:val="1"/>
                <w:sz w:val="18"/>
              </w:rPr>
              <w:t xml:space="preserve"> </w:t>
            </w:r>
            <w:r>
              <w:rPr>
                <w:sz w:val="18"/>
              </w:rPr>
              <w:t>2011/92/EU</w:t>
            </w:r>
            <w:r>
              <w:rPr>
                <w:spacing w:val="-4"/>
                <w:sz w:val="18"/>
              </w:rPr>
              <w:t xml:space="preserve"> </w:t>
            </w:r>
            <w:r>
              <w:rPr>
                <w:sz w:val="18"/>
              </w:rPr>
              <w:t>and</w:t>
            </w:r>
            <w:r>
              <w:rPr>
                <w:spacing w:val="-2"/>
                <w:sz w:val="18"/>
              </w:rPr>
              <w:t xml:space="preserve"> </w:t>
            </w:r>
            <w:r>
              <w:rPr>
                <w:sz w:val="18"/>
              </w:rPr>
              <w:t>with screening</w:t>
            </w:r>
            <w:r>
              <w:rPr>
                <w:spacing w:val="-1"/>
                <w:sz w:val="18"/>
              </w:rPr>
              <w:t xml:space="preserve"> </w:t>
            </w:r>
            <w:r>
              <w:rPr>
                <w:sz w:val="18"/>
              </w:rPr>
              <w:t>and/or</w:t>
            </w:r>
            <w:r>
              <w:rPr>
                <w:spacing w:val="-1"/>
                <w:sz w:val="18"/>
              </w:rPr>
              <w:t xml:space="preserve"> </w:t>
            </w:r>
            <w:r>
              <w:rPr>
                <w:sz w:val="18"/>
              </w:rPr>
              <w:t>appropriate</w:t>
            </w:r>
            <w:r>
              <w:rPr>
                <w:spacing w:val="-2"/>
                <w:sz w:val="18"/>
              </w:rPr>
              <w:t xml:space="preserve"> </w:t>
            </w:r>
            <w:r>
              <w:rPr>
                <w:sz w:val="18"/>
              </w:rPr>
              <w:t>assessment</w:t>
            </w:r>
            <w:r>
              <w:rPr>
                <w:spacing w:val="-1"/>
                <w:sz w:val="18"/>
              </w:rPr>
              <w:t xml:space="preserve"> </w:t>
            </w:r>
            <w:r>
              <w:rPr>
                <w:sz w:val="18"/>
              </w:rPr>
              <w:t>pursuant to Article</w:t>
            </w:r>
            <w:r>
              <w:rPr>
                <w:spacing w:val="-1"/>
                <w:sz w:val="18"/>
              </w:rPr>
              <w:t xml:space="preserve"> </w:t>
            </w:r>
            <w:r>
              <w:rPr>
                <w:sz w:val="18"/>
              </w:rPr>
              <w:t>6(3)</w:t>
            </w:r>
            <w:r>
              <w:rPr>
                <w:spacing w:val="-3"/>
                <w:sz w:val="18"/>
              </w:rPr>
              <w:t xml:space="preserve"> </w:t>
            </w:r>
            <w:r>
              <w:rPr>
                <w:sz w:val="18"/>
              </w:rPr>
              <w:t>of</w:t>
            </w:r>
            <w:r>
              <w:rPr>
                <w:spacing w:val="-2"/>
                <w:sz w:val="18"/>
              </w:rPr>
              <w:t xml:space="preserve"> </w:t>
            </w:r>
            <w:r>
              <w:rPr>
                <w:sz w:val="18"/>
              </w:rPr>
              <w:t>the</w:t>
            </w:r>
            <w:r>
              <w:rPr>
                <w:spacing w:val="-2"/>
                <w:sz w:val="18"/>
              </w:rPr>
              <w:t xml:space="preserve"> </w:t>
            </w:r>
            <w:r>
              <w:rPr>
                <w:sz w:val="18"/>
              </w:rPr>
              <w:t>Habitats</w:t>
            </w:r>
            <w:r>
              <w:rPr>
                <w:spacing w:val="-1"/>
                <w:sz w:val="18"/>
              </w:rPr>
              <w:t xml:space="preserve"> </w:t>
            </w:r>
            <w:r>
              <w:rPr>
                <w:sz w:val="18"/>
              </w:rPr>
              <w:t>Directive.</w:t>
            </w:r>
          </w:p>
          <w:p w:rsidR="00A56FE9" w:rsidRDefault="00000000">
            <w:pPr>
              <w:pStyle w:val="TableParagraph"/>
              <w:spacing w:line="206" w:lineRule="exact"/>
              <w:ind w:left="106" w:right="242"/>
              <w:rPr>
                <w:sz w:val="18"/>
              </w:rPr>
            </w:pPr>
            <w:r>
              <w:rPr>
                <w:sz w:val="18"/>
              </w:rPr>
              <w:t>Evidence</w:t>
            </w:r>
            <w:r>
              <w:rPr>
                <w:spacing w:val="-2"/>
                <w:sz w:val="18"/>
              </w:rPr>
              <w:t xml:space="preserve"> </w:t>
            </w:r>
            <w:r>
              <w:rPr>
                <w:sz w:val="18"/>
              </w:rPr>
              <w:t>shall</w:t>
            </w:r>
            <w:r>
              <w:rPr>
                <w:spacing w:val="-1"/>
                <w:sz w:val="18"/>
              </w:rPr>
              <w:t xml:space="preserve"> </w:t>
            </w:r>
            <w:r>
              <w:rPr>
                <w:sz w:val="18"/>
              </w:rPr>
              <w:t>be</w:t>
            </w:r>
            <w:r>
              <w:rPr>
                <w:spacing w:val="-3"/>
                <w:sz w:val="18"/>
              </w:rPr>
              <w:t xml:space="preserve"> </w:t>
            </w:r>
            <w:r>
              <w:rPr>
                <w:sz w:val="18"/>
              </w:rPr>
              <w:t>provided that</w:t>
            </w:r>
            <w:r>
              <w:rPr>
                <w:spacing w:val="-1"/>
                <w:sz w:val="18"/>
              </w:rPr>
              <w:t xml:space="preserve"> </w:t>
            </w:r>
            <w:r>
              <w:rPr>
                <w:sz w:val="18"/>
              </w:rPr>
              <w:t>the</w:t>
            </w:r>
            <w:r>
              <w:rPr>
                <w:spacing w:val="-1"/>
                <w:sz w:val="18"/>
              </w:rPr>
              <w:t xml:space="preserve"> </w:t>
            </w:r>
            <w:r>
              <w:rPr>
                <w:sz w:val="18"/>
              </w:rPr>
              <w:t>project</w:t>
            </w:r>
            <w:r>
              <w:rPr>
                <w:spacing w:val="-1"/>
                <w:sz w:val="18"/>
              </w:rPr>
              <w:t xml:space="preserve"> </w:t>
            </w:r>
            <w:r>
              <w:rPr>
                <w:sz w:val="18"/>
              </w:rPr>
              <w:t>does</w:t>
            </w:r>
            <w:r>
              <w:rPr>
                <w:spacing w:val="-1"/>
                <w:sz w:val="18"/>
              </w:rPr>
              <w:t xml:space="preserve"> </w:t>
            </w:r>
            <w:r>
              <w:rPr>
                <w:sz w:val="18"/>
              </w:rPr>
              <w:t>not</w:t>
            </w:r>
            <w:r>
              <w:rPr>
                <w:spacing w:val="-2"/>
                <w:sz w:val="18"/>
              </w:rPr>
              <w:t xml:space="preserve"> </w:t>
            </w:r>
            <w:r>
              <w:rPr>
                <w:sz w:val="18"/>
              </w:rPr>
              <w:t>have</w:t>
            </w:r>
            <w:r>
              <w:rPr>
                <w:spacing w:val="-2"/>
                <w:sz w:val="18"/>
              </w:rPr>
              <w:t xml:space="preserve"> </w:t>
            </w:r>
            <w:r>
              <w:rPr>
                <w:sz w:val="18"/>
              </w:rPr>
              <w:t>a</w:t>
            </w:r>
            <w:r>
              <w:rPr>
                <w:spacing w:val="-2"/>
                <w:sz w:val="18"/>
              </w:rPr>
              <w:t xml:space="preserve"> </w:t>
            </w:r>
            <w:r>
              <w:rPr>
                <w:sz w:val="18"/>
              </w:rPr>
              <w:t>significant effect</w:t>
            </w:r>
            <w:r>
              <w:rPr>
                <w:spacing w:val="-1"/>
                <w:sz w:val="18"/>
              </w:rPr>
              <w:t xml:space="preserve"> </w:t>
            </w:r>
            <w:r>
              <w:rPr>
                <w:sz w:val="18"/>
              </w:rPr>
              <w:t>of</w:t>
            </w:r>
            <w:r>
              <w:rPr>
                <w:spacing w:val="-3"/>
                <w:sz w:val="18"/>
              </w:rPr>
              <w:t xml:space="preserve"> </w:t>
            </w:r>
            <w:r>
              <w:rPr>
                <w:sz w:val="18"/>
              </w:rPr>
              <w:t>the</w:t>
            </w:r>
            <w:r>
              <w:rPr>
                <w:spacing w:val="-1"/>
                <w:sz w:val="18"/>
              </w:rPr>
              <w:t xml:space="preserve"> </w:t>
            </w:r>
            <w:r>
              <w:rPr>
                <w:sz w:val="18"/>
              </w:rPr>
              <w:t>integrity</w:t>
            </w:r>
            <w:r>
              <w:rPr>
                <w:spacing w:val="-5"/>
                <w:sz w:val="18"/>
              </w:rPr>
              <w:t xml:space="preserve"> </w:t>
            </w:r>
            <w:r>
              <w:rPr>
                <w:sz w:val="18"/>
              </w:rPr>
              <w:t>of</w:t>
            </w:r>
            <w:r>
              <w:rPr>
                <w:spacing w:val="-3"/>
                <w:sz w:val="18"/>
              </w:rPr>
              <w:t xml:space="preserve"> </w:t>
            </w:r>
            <w:r>
              <w:rPr>
                <w:sz w:val="18"/>
              </w:rPr>
              <w:t>the</w:t>
            </w:r>
            <w:r>
              <w:rPr>
                <w:spacing w:val="-1"/>
                <w:sz w:val="18"/>
              </w:rPr>
              <w:t xml:space="preserve"> </w:t>
            </w:r>
            <w:r>
              <w:rPr>
                <w:sz w:val="18"/>
              </w:rPr>
              <w:t>Natura</w:t>
            </w:r>
            <w:r>
              <w:rPr>
                <w:spacing w:val="-2"/>
                <w:sz w:val="18"/>
              </w:rPr>
              <w:t xml:space="preserve"> </w:t>
            </w:r>
            <w:r>
              <w:rPr>
                <w:sz w:val="18"/>
              </w:rPr>
              <w:t>2</w:t>
            </w:r>
            <w:r>
              <w:rPr>
                <w:spacing w:val="-2"/>
                <w:sz w:val="18"/>
              </w:rPr>
              <w:t xml:space="preserve"> </w:t>
            </w:r>
            <w:r>
              <w:rPr>
                <w:sz w:val="18"/>
              </w:rPr>
              <w:t>000</w:t>
            </w:r>
            <w:r>
              <w:rPr>
                <w:spacing w:val="1"/>
                <w:sz w:val="18"/>
              </w:rPr>
              <w:t xml:space="preserve"> </w:t>
            </w:r>
            <w:r>
              <w:rPr>
                <w:sz w:val="18"/>
              </w:rPr>
              <w:t>sites</w:t>
            </w:r>
            <w:r>
              <w:rPr>
                <w:spacing w:val="-42"/>
                <w:sz w:val="18"/>
              </w:rPr>
              <w:t xml:space="preserve"> </w:t>
            </w:r>
            <w:r>
              <w:rPr>
                <w:sz w:val="18"/>
              </w:rPr>
              <w:t>concerned.</w:t>
            </w:r>
          </w:p>
        </w:tc>
      </w:tr>
      <w:tr w:rsidR="00A56FE9">
        <w:trPr>
          <w:trHeight w:val="205"/>
        </w:trPr>
        <w:tc>
          <w:tcPr>
            <w:tcW w:w="2064" w:type="dxa"/>
            <w:vMerge/>
            <w:tcBorders>
              <w:top w:val="nil"/>
            </w:tcBorders>
            <w:shd w:val="clear" w:color="auto" w:fill="F1F1F1"/>
          </w:tcPr>
          <w:p w:rsidR="00A56FE9" w:rsidRDefault="00A56FE9">
            <w:pPr>
              <w:rPr>
                <w:sz w:val="2"/>
                <w:szCs w:val="2"/>
              </w:rPr>
            </w:pPr>
          </w:p>
        </w:tc>
        <w:tc>
          <w:tcPr>
            <w:tcW w:w="3468" w:type="dxa"/>
            <w:shd w:val="clear" w:color="auto" w:fill="C5EECE"/>
          </w:tcPr>
          <w:p w:rsidR="00A56FE9" w:rsidRDefault="00000000">
            <w:pPr>
              <w:pStyle w:val="TableParagraph"/>
              <w:spacing w:line="186" w:lineRule="exact"/>
              <w:ind w:left="100"/>
              <w:rPr>
                <w:sz w:val="18"/>
              </w:rPr>
            </w:pPr>
            <w:r>
              <w:rPr>
                <w:sz w:val="18"/>
              </w:rPr>
              <w:t>Flood</w:t>
            </w:r>
            <w:r>
              <w:rPr>
                <w:spacing w:val="-2"/>
                <w:sz w:val="18"/>
              </w:rPr>
              <w:t xml:space="preserve"> </w:t>
            </w:r>
            <w:r>
              <w:rPr>
                <w:sz w:val="18"/>
              </w:rPr>
              <w:t>protective</w:t>
            </w:r>
            <w:r>
              <w:rPr>
                <w:spacing w:val="-1"/>
                <w:sz w:val="18"/>
              </w:rPr>
              <w:t xml:space="preserve"> </w:t>
            </w:r>
            <w:r>
              <w:rPr>
                <w:sz w:val="18"/>
              </w:rPr>
              <w:t>structures</w:t>
            </w:r>
            <w:r>
              <w:rPr>
                <w:spacing w:val="-3"/>
                <w:sz w:val="18"/>
              </w:rPr>
              <w:t xml:space="preserve"> </w:t>
            </w:r>
            <w:r>
              <w:rPr>
                <w:sz w:val="18"/>
              </w:rPr>
              <w:t>built</w:t>
            </w:r>
          </w:p>
        </w:tc>
        <w:tc>
          <w:tcPr>
            <w:tcW w:w="8926" w:type="dxa"/>
            <w:shd w:val="clear" w:color="auto" w:fill="C5EECE"/>
          </w:tcPr>
          <w:p w:rsidR="00A56FE9" w:rsidRDefault="00000000">
            <w:pPr>
              <w:pStyle w:val="TableParagraph"/>
              <w:spacing w:line="186" w:lineRule="exact"/>
              <w:ind w:left="106"/>
              <w:rPr>
                <w:sz w:val="18"/>
              </w:rPr>
            </w:pPr>
            <w:r>
              <w:rPr>
                <w:sz w:val="18"/>
              </w:rPr>
              <w:t>At</w:t>
            </w:r>
            <w:r>
              <w:rPr>
                <w:spacing w:val="-2"/>
                <w:sz w:val="18"/>
              </w:rPr>
              <w:t xml:space="preserve"> </w:t>
            </w:r>
            <w:r>
              <w:rPr>
                <w:sz w:val="18"/>
              </w:rPr>
              <w:t>least</w:t>
            </w:r>
            <w:r>
              <w:rPr>
                <w:spacing w:val="-1"/>
                <w:sz w:val="18"/>
              </w:rPr>
              <w:t xml:space="preserve"> </w:t>
            </w:r>
            <w:r>
              <w:rPr>
                <w:sz w:val="18"/>
              </w:rPr>
              <w:t>13</w:t>
            </w:r>
            <w:r>
              <w:rPr>
                <w:spacing w:val="-1"/>
                <w:sz w:val="18"/>
              </w:rPr>
              <w:t xml:space="preserve"> </w:t>
            </w:r>
            <w:r>
              <w:rPr>
                <w:sz w:val="18"/>
              </w:rPr>
              <w:t>km</w:t>
            </w:r>
            <w:r>
              <w:rPr>
                <w:spacing w:val="-4"/>
                <w:sz w:val="18"/>
              </w:rPr>
              <w:t xml:space="preserve"> </w:t>
            </w:r>
            <w:r>
              <w:rPr>
                <w:sz w:val="18"/>
              </w:rPr>
              <w:t>of</w:t>
            </w:r>
            <w:r>
              <w:rPr>
                <w:spacing w:val="-2"/>
                <w:sz w:val="18"/>
              </w:rPr>
              <w:t xml:space="preserve"> </w:t>
            </w:r>
            <w:r>
              <w:rPr>
                <w:sz w:val="18"/>
              </w:rPr>
              <w:t>flood</w:t>
            </w:r>
            <w:r>
              <w:rPr>
                <w:spacing w:val="-2"/>
                <w:sz w:val="18"/>
              </w:rPr>
              <w:t xml:space="preserve"> </w:t>
            </w:r>
            <w:r>
              <w:rPr>
                <w:sz w:val="18"/>
              </w:rPr>
              <w:t>protective</w:t>
            </w:r>
            <w:r>
              <w:rPr>
                <w:spacing w:val="-2"/>
                <w:sz w:val="18"/>
              </w:rPr>
              <w:t xml:space="preserve"> </w:t>
            </w:r>
            <w:r>
              <w:rPr>
                <w:sz w:val="18"/>
              </w:rPr>
              <w:t>structures</w:t>
            </w:r>
            <w:r>
              <w:rPr>
                <w:spacing w:val="-2"/>
                <w:sz w:val="18"/>
              </w:rPr>
              <w:t xml:space="preserve"> </w:t>
            </w:r>
            <w:r>
              <w:rPr>
                <w:sz w:val="18"/>
              </w:rPr>
              <w:t>built</w:t>
            </w:r>
            <w:r>
              <w:rPr>
                <w:spacing w:val="-3"/>
                <w:sz w:val="18"/>
              </w:rPr>
              <w:t xml:space="preserve"> </w:t>
            </w:r>
            <w:r>
              <w:rPr>
                <w:sz w:val="18"/>
              </w:rPr>
              <w:t>in</w:t>
            </w:r>
            <w:r>
              <w:rPr>
                <w:spacing w:val="-2"/>
                <w:sz w:val="18"/>
              </w:rPr>
              <w:t xml:space="preserve"> </w:t>
            </w:r>
            <w:r>
              <w:rPr>
                <w:sz w:val="18"/>
              </w:rPr>
              <w:t>order</w:t>
            </w:r>
            <w:r>
              <w:rPr>
                <w:spacing w:val="-2"/>
                <w:sz w:val="18"/>
              </w:rPr>
              <w:t xml:space="preserve"> </w:t>
            </w:r>
            <w:r>
              <w:rPr>
                <w:sz w:val="18"/>
              </w:rPr>
              <w:t>to</w:t>
            </w:r>
            <w:r>
              <w:rPr>
                <w:spacing w:val="-2"/>
                <w:sz w:val="18"/>
              </w:rPr>
              <w:t xml:space="preserve"> </w:t>
            </w:r>
            <w:r>
              <w:rPr>
                <w:sz w:val="18"/>
              </w:rPr>
              <w:t>protect</w:t>
            </w:r>
            <w:r>
              <w:rPr>
                <w:spacing w:val="-2"/>
                <w:sz w:val="18"/>
              </w:rPr>
              <w:t xml:space="preserve"> </w:t>
            </w:r>
            <w:r>
              <w:rPr>
                <w:sz w:val="18"/>
              </w:rPr>
              <w:t>against</w:t>
            </w:r>
            <w:r>
              <w:rPr>
                <w:spacing w:val="-1"/>
                <w:sz w:val="18"/>
              </w:rPr>
              <w:t xml:space="preserve"> </w:t>
            </w:r>
            <w:r>
              <w:rPr>
                <w:sz w:val="18"/>
              </w:rPr>
              <w:t>the</w:t>
            </w:r>
            <w:r>
              <w:rPr>
                <w:spacing w:val="-3"/>
                <w:sz w:val="18"/>
              </w:rPr>
              <w:t xml:space="preserve"> </w:t>
            </w:r>
            <w:r>
              <w:rPr>
                <w:sz w:val="18"/>
              </w:rPr>
              <w:t>harmful</w:t>
            </w:r>
            <w:r>
              <w:rPr>
                <w:spacing w:val="-1"/>
                <w:sz w:val="18"/>
              </w:rPr>
              <w:t xml:space="preserve"> </w:t>
            </w:r>
            <w:r>
              <w:rPr>
                <w:sz w:val="18"/>
              </w:rPr>
              <w:t>effects</w:t>
            </w:r>
            <w:r>
              <w:rPr>
                <w:spacing w:val="-1"/>
                <w:sz w:val="18"/>
              </w:rPr>
              <w:t xml:space="preserve"> </w:t>
            </w:r>
            <w:r>
              <w:rPr>
                <w:sz w:val="18"/>
              </w:rPr>
              <w:t>of</w:t>
            </w:r>
            <w:r>
              <w:rPr>
                <w:spacing w:val="-2"/>
                <w:sz w:val="18"/>
              </w:rPr>
              <w:t xml:space="preserve"> </w:t>
            </w:r>
            <w:r>
              <w:rPr>
                <w:sz w:val="18"/>
              </w:rPr>
              <w:t>water;</w:t>
            </w:r>
          </w:p>
        </w:tc>
      </w:tr>
      <w:tr w:rsidR="00A56FE9">
        <w:trPr>
          <w:trHeight w:val="414"/>
        </w:trPr>
        <w:tc>
          <w:tcPr>
            <w:tcW w:w="2064" w:type="dxa"/>
            <w:vMerge/>
            <w:tcBorders>
              <w:top w:val="nil"/>
            </w:tcBorders>
            <w:shd w:val="clear" w:color="auto" w:fill="F1F1F1"/>
          </w:tcPr>
          <w:p w:rsidR="00A56FE9" w:rsidRDefault="00A56FE9">
            <w:pPr>
              <w:rPr>
                <w:sz w:val="2"/>
                <w:szCs w:val="2"/>
              </w:rPr>
            </w:pPr>
          </w:p>
        </w:tc>
        <w:tc>
          <w:tcPr>
            <w:tcW w:w="3468" w:type="dxa"/>
            <w:shd w:val="clear" w:color="auto" w:fill="C5EECE"/>
          </w:tcPr>
          <w:p w:rsidR="00A56FE9" w:rsidRDefault="00000000">
            <w:pPr>
              <w:pStyle w:val="TableParagraph"/>
              <w:spacing w:line="202" w:lineRule="exact"/>
              <w:ind w:left="100"/>
              <w:rPr>
                <w:sz w:val="18"/>
              </w:rPr>
            </w:pPr>
            <w:r>
              <w:rPr>
                <w:sz w:val="18"/>
              </w:rPr>
              <w:t>Revitalised</w:t>
            </w:r>
            <w:r>
              <w:rPr>
                <w:spacing w:val="-4"/>
                <w:sz w:val="18"/>
              </w:rPr>
              <w:t xml:space="preserve"> </w:t>
            </w:r>
            <w:r>
              <w:rPr>
                <w:sz w:val="18"/>
              </w:rPr>
              <w:t>watercourses</w:t>
            </w:r>
          </w:p>
        </w:tc>
        <w:tc>
          <w:tcPr>
            <w:tcW w:w="8926" w:type="dxa"/>
            <w:shd w:val="clear" w:color="auto" w:fill="C5EECE"/>
          </w:tcPr>
          <w:p w:rsidR="00A56FE9" w:rsidRDefault="00000000">
            <w:pPr>
              <w:pStyle w:val="TableParagraph"/>
              <w:spacing w:line="202" w:lineRule="exact"/>
              <w:ind w:left="106"/>
              <w:rPr>
                <w:sz w:val="18"/>
              </w:rPr>
            </w:pPr>
            <w:r>
              <w:rPr>
                <w:sz w:val="18"/>
              </w:rPr>
              <w:t>At</w:t>
            </w:r>
            <w:r>
              <w:rPr>
                <w:spacing w:val="-2"/>
                <w:sz w:val="18"/>
              </w:rPr>
              <w:t xml:space="preserve"> </w:t>
            </w:r>
            <w:r>
              <w:rPr>
                <w:sz w:val="18"/>
              </w:rPr>
              <w:t>least</w:t>
            </w:r>
            <w:r>
              <w:rPr>
                <w:spacing w:val="-2"/>
                <w:sz w:val="18"/>
              </w:rPr>
              <w:t xml:space="preserve"> </w:t>
            </w:r>
            <w:r>
              <w:rPr>
                <w:sz w:val="18"/>
              </w:rPr>
              <w:t>2 km</w:t>
            </w:r>
            <w:r>
              <w:rPr>
                <w:spacing w:val="-5"/>
                <w:sz w:val="18"/>
              </w:rPr>
              <w:t xml:space="preserve"> </w:t>
            </w:r>
            <w:r>
              <w:rPr>
                <w:sz w:val="18"/>
              </w:rPr>
              <w:t>of</w:t>
            </w:r>
            <w:r>
              <w:rPr>
                <w:spacing w:val="-3"/>
                <w:sz w:val="18"/>
              </w:rPr>
              <w:t xml:space="preserve"> </w:t>
            </w:r>
            <w:r>
              <w:rPr>
                <w:sz w:val="18"/>
              </w:rPr>
              <w:t>restored</w:t>
            </w:r>
            <w:r>
              <w:rPr>
                <w:spacing w:val="1"/>
                <w:sz w:val="18"/>
              </w:rPr>
              <w:t xml:space="preserve"> </w:t>
            </w:r>
            <w:r>
              <w:rPr>
                <w:sz w:val="18"/>
              </w:rPr>
              <w:t>watercourses</w:t>
            </w:r>
            <w:r>
              <w:rPr>
                <w:spacing w:val="-1"/>
                <w:sz w:val="18"/>
              </w:rPr>
              <w:t xml:space="preserve"> </w:t>
            </w:r>
            <w:r>
              <w:rPr>
                <w:sz w:val="18"/>
              </w:rPr>
              <w:t>including</w:t>
            </w:r>
            <w:r>
              <w:rPr>
                <w:spacing w:val="-3"/>
                <w:sz w:val="18"/>
              </w:rPr>
              <w:t xml:space="preserve"> </w:t>
            </w:r>
            <w:r>
              <w:rPr>
                <w:sz w:val="18"/>
              </w:rPr>
              <w:t>revitalisation</w:t>
            </w:r>
            <w:r>
              <w:rPr>
                <w:spacing w:val="-3"/>
                <w:sz w:val="18"/>
              </w:rPr>
              <w:t xml:space="preserve"> </w:t>
            </w:r>
            <w:r>
              <w:rPr>
                <w:sz w:val="18"/>
              </w:rPr>
              <w:t>of</w:t>
            </w:r>
            <w:r>
              <w:rPr>
                <w:spacing w:val="-3"/>
                <w:sz w:val="18"/>
              </w:rPr>
              <w:t xml:space="preserve"> </w:t>
            </w:r>
            <w:r>
              <w:rPr>
                <w:sz w:val="18"/>
              </w:rPr>
              <w:t>abandoned</w:t>
            </w:r>
            <w:r>
              <w:rPr>
                <w:spacing w:val="-3"/>
                <w:sz w:val="18"/>
              </w:rPr>
              <w:t xml:space="preserve"> </w:t>
            </w:r>
            <w:r>
              <w:rPr>
                <w:sz w:val="18"/>
              </w:rPr>
              <w:t>sleeves,</w:t>
            </w:r>
            <w:r>
              <w:rPr>
                <w:spacing w:val="-1"/>
                <w:sz w:val="18"/>
              </w:rPr>
              <w:t xml:space="preserve"> </w:t>
            </w:r>
            <w:r>
              <w:rPr>
                <w:sz w:val="18"/>
              </w:rPr>
              <w:t>permanent</w:t>
            </w:r>
            <w:r>
              <w:rPr>
                <w:spacing w:val="-2"/>
                <w:sz w:val="18"/>
              </w:rPr>
              <w:t xml:space="preserve"> </w:t>
            </w:r>
            <w:r>
              <w:rPr>
                <w:sz w:val="18"/>
              </w:rPr>
              <w:t>river</w:t>
            </w:r>
            <w:r>
              <w:rPr>
                <w:spacing w:val="-1"/>
                <w:sz w:val="18"/>
              </w:rPr>
              <w:t xml:space="preserve"> </w:t>
            </w:r>
            <w:r>
              <w:rPr>
                <w:sz w:val="18"/>
              </w:rPr>
              <w:t>and</w:t>
            </w:r>
            <w:r>
              <w:rPr>
                <w:spacing w:val="-1"/>
                <w:sz w:val="18"/>
              </w:rPr>
              <w:t xml:space="preserve"> </w:t>
            </w:r>
            <w:r>
              <w:rPr>
                <w:sz w:val="18"/>
              </w:rPr>
              <w:t>sleeve</w:t>
            </w:r>
            <w:r>
              <w:rPr>
                <w:spacing w:val="6"/>
                <w:sz w:val="18"/>
              </w:rPr>
              <w:t xml:space="preserve"> </w:t>
            </w:r>
            <w:r>
              <w:rPr>
                <w:sz w:val="18"/>
              </w:rPr>
              <w:t>contact</w:t>
            </w:r>
          </w:p>
          <w:p w:rsidR="00A56FE9" w:rsidRDefault="00000000">
            <w:pPr>
              <w:pStyle w:val="TableParagraph"/>
              <w:spacing w:line="193" w:lineRule="exact"/>
              <w:ind w:left="106"/>
              <w:rPr>
                <w:sz w:val="18"/>
              </w:rPr>
            </w:pPr>
            <w:r>
              <w:rPr>
                <w:sz w:val="18"/>
              </w:rPr>
              <w:t>and</w:t>
            </w:r>
            <w:r>
              <w:rPr>
                <w:spacing w:val="-2"/>
                <w:sz w:val="18"/>
              </w:rPr>
              <w:t xml:space="preserve"> </w:t>
            </w:r>
            <w:r>
              <w:rPr>
                <w:sz w:val="18"/>
              </w:rPr>
              <w:t>investment</w:t>
            </w:r>
            <w:r>
              <w:rPr>
                <w:spacing w:val="-2"/>
                <w:sz w:val="18"/>
              </w:rPr>
              <w:t xml:space="preserve"> </w:t>
            </w:r>
            <w:r>
              <w:rPr>
                <w:sz w:val="18"/>
              </w:rPr>
              <w:t>in</w:t>
            </w:r>
            <w:r>
              <w:rPr>
                <w:spacing w:val="-1"/>
                <w:sz w:val="18"/>
              </w:rPr>
              <w:t xml:space="preserve"> </w:t>
            </w:r>
            <w:r>
              <w:rPr>
                <w:sz w:val="18"/>
              </w:rPr>
              <w:t>related</w:t>
            </w:r>
            <w:r>
              <w:rPr>
                <w:spacing w:val="-2"/>
                <w:sz w:val="18"/>
              </w:rPr>
              <w:t xml:space="preserve"> </w:t>
            </w:r>
            <w:r>
              <w:rPr>
                <w:sz w:val="18"/>
              </w:rPr>
              <w:t>infrastructure</w:t>
            </w:r>
          </w:p>
        </w:tc>
      </w:tr>
    </w:tbl>
    <w:p w:rsidR="00A56FE9" w:rsidRDefault="00A56FE9">
      <w:pPr>
        <w:spacing w:line="193" w:lineRule="exac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4"/>
        <w:gridCol w:w="3469"/>
        <w:gridCol w:w="8927"/>
      </w:tblGrid>
      <w:tr w:rsidR="00A56FE9">
        <w:trPr>
          <w:trHeight w:val="249"/>
        </w:trPr>
        <w:tc>
          <w:tcPr>
            <w:tcW w:w="2064" w:type="dxa"/>
            <w:tcBorders>
              <w:top w:val="nil"/>
              <w:left w:val="nil"/>
              <w:bottom w:val="nil"/>
              <w:right w:val="nil"/>
            </w:tcBorders>
            <w:shd w:val="clear" w:color="auto" w:fill="2C398A"/>
          </w:tcPr>
          <w:p w:rsidR="00A56FE9" w:rsidRDefault="00000000">
            <w:pPr>
              <w:pStyle w:val="TableParagraph"/>
              <w:spacing w:before="10" w:line="220" w:lineRule="exact"/>
              <w:ind w:left="806" w:right="806"/>
              <w:jc w:val="center"/>
              <w:rPr>
                <w:b/>
                <w:sz w:val="20"/>
              </w:rPr>
            </w:pPr>
            <w:r>
              <w:rPr>
                <w:b/>
                <w:color w:val="FFFFFF"/>
                <w:sz w:val="20"/>
              </w:rPr>
              <w:t>SDG</w:t>
            </w:r>
          </w:p>
        </w:tc>
        <w:tc>
          <w:tcPr>
            <w:tcW w:w="3469" w:type="dxa"/>
            <w:tcBorders>
              <w:top w:val="nil"/>
              <w:left w:val="nil"/>
              <w:bottom w:val="nil"/>
              <w:right w:val="nil"/>
            </w:tcBorders>
            <w:shd w:val="clear" w:color="auto" w:fill="2C398A"/>
          </w:tcPr>
          <w:p w:rsidR="00A56FE9" w:rsidRDefault="00000000">
            <w:pPr>
              <w:pStyle w:val="TableParagraph"/>
              <w:spacing w:before="10" w:line="220" w:lineRule="exact"/>
              <w:ind w:left="792"/>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7" w:type="dxa"/>
            <w:tcBorders>
              <w:top w:val="nil"/>
              <w:left w:val="nil"/>
              <w:bottom w:val="nil"/>
              <w:right w:val="nil"/>
            </w:tcBorders>
            <w:shd w:val="clear" w:color="auto" w:fill="2C398A"/>
          </w:tcPr>
          <w:p w:rsidR="00A56FE9" w:rsidRDefault="00000000">
            <w:pPr>
              <w:pStyle w:val="TableParagraph"/>
              <w:spacing w:before="10" w:line="220" w:lineRule="exact"/>
              <w:ind w:left="1951" w:right="1951"/>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1034"/>
        </w:trPr>
        <w:tc>
          <w:tcPr>
            <w:tcW w:w="2064" w:type="dxa"/>
            <w:tcBorders>
              <w:top w:val="nil"/>
            </w:tcBorders>
            <w:shd w:val="clear" w:color="auto" w:fill="F1F1F1"/>
          </w:tcPr>
          <w:p w:rsidR="00A56FE9" w:rsidRDefault="00A56FE9">
            <w:pPr>
              <w:pStyle w:val="TableParagraph"/>
              <w:rPr>
                <w:sz w:val="18"/>
              </w:rPr>
            </w:pPr>
          </w:p>
        </w:tc>
        <w:tc>
          <w:tcPr>
            <w:tcW w:w="3469" w:type="dxa"/>
            <w:tcBorders>
              <w:top w:val="nil"/>
            </w:tcBorders>
          </w:tcPr>
          <w:p w:rsidR="00A56FE9" w:rsidRDefault="00000000">
            <w:pPr>
              <w:pStyle w:val="TableParagraph"/>
              <w:ind w:left="100" w:right="-8"/>
              <w:rPr>
                <w:sz w:val="18"/>
              </w:rPr>
            </w:pPr>
            <w:r>
              <w:rPr>
                <w:sz w:val="18"/>
              </w:rPr>
              <w:t>A five-year action plan for the operational</w:t>
            </w:r>
            <w:r>
              <w:rPr>
                <w:spacing w:val="1"/>
                <w:sz w:val="18"/>
              </w:rPr>
              <w:t xml:space="preserve"> </w:t>
            </w:r>
            <w:r>
              <w:rPr>
                <w:sz w:val="18"/>
              </w:rPr>
              <w:t>implementation of the Low Carbon</w:t>
            </w:r>
            <w:r>
              <w:rPr>
                <w:spacing w:val="1"/>
                <w:sz w:val="18"/>
              </w:rPr>
              <w:t xml:space="preserve"> </w:t>
            </w:r>
            <w:r>
              <w:rPr>
                <w:sz w:val="18"/>
              </w:rPr>
              <w:t>Development Strategy with new ambitious</w:t>
            </w:r>
            <w:r>
              <w:rPr>
                <w:spacing w:val="1"/>
                <w:sz w:val="18"/>
              </w:rPr>
              <w:t xml:space="preserve"> </w:t>
            </w:r>
            <w:r>
              <w:rPr>
                <w:sz w:val="18"/>
              </w:rPr>
              <w:t>targets</w:t>
            </w:r>
            <w:r>
              <w:rPr>
                <w:spacing w:val="-1"/>
                <w:sz w:val="18"/>
              </w:rPr>
              <w:t xml:space="preserve"> </w:t>
            </w:r>
            <w:r>
              <w:rPr>
                <w:sz w:val="18"/>
              </w:rPr>
              <w:t>for</w:t>
            </w:r>
            <w:r>
              <w:rPr>
                <w:spacing w:val="-2"/>
                <w:sz w:val="18"/>
              </w:rPr>
              <w:t xml:space="preserve"> </w:t>
            </w:r>
            <w:r>
              <w:rPr>
                <w:sz w:val="18"/>
              </w:rPr>
              <w:t>reducing</w:t>
            </w:r>
            <w:r>
              <w:rPr>
                <w:spacing w:val="-4"/>
                <w:sz w:val="18"/>
              </w:rPr>
              <w:t xml:space="preserve"> </w:t>
            </w:r>
            <w:r>
              <w:rPr>
                <w:sz w:val="18"/>
              </w:rPr>
              <w:t>greenhouse</w:t>
            </w:r>
            <w:r>
              <w:rPr>
                <w:spacing w:val="-3"/>
                <w:sz w:val="18"/>
              </w:rPr>
              <w:t xml:space="preserve"> </w:t>
            </w:r>
            <w:r>
              <w:rPr>
                <w:sz w:val="18"/>
              </w:rPr>
              <w:t>gas</w:t>
            </w:r>
            <w:r>
              <w:rPr>
                <w:spacing w:val="-3"/>
                <w:sz w:val="18"/>
              </w:rPr>
              <w:t xml:space="preserve"> </w:t>
            </w:r>
            <w:r>
              <w:rPr>
                <w:sz w:val="18"/>
              </w:rPr>
              <w:t>emissions.</w:t>
            </w:r>
          </w:p>
          <w:p w:rsidR="00A56FE9" w:rsidRDefault="00000000">
            <w:pPr>
              <w:pStyle w:val="TableParagraph"/>
              <w:spacing w:line="191" w:lineRule="exact"/>
              <w:ind w:left="100"/>
              <w:rPr>
                <w:i/>
                <w:sz w:val="18"/>
              </w:rPr>
            </w:pPr>
            <w:r>
              <w:rPr>
                <w:i/>
                <w:spacing w:val="-4"/>
                <w:sz w:val="18"/>
              </w:rPr>
              <w:t>Also</w:t>
            </w:r>
            <w:r>
              <w:rPr>
                <w:i/>
                <w:spacing w:val="-8"/>
                <w:sz w:val="18"/>
              </w:rPr>
              <w:t xml:space="preserve"> </w:t>
            </w:r>
            <w:r>
              <w:rPr>
                <w:i/>
                <w:spacing w:val="-4"/>
                <w:sz w:val="18"/>
              </w:rPr>
              <w:t>contributes</w:t>
            </w:r>
            <w:r>
              <w:rPr>
                <w:i/>
                <w:spacing w:val="-9"/>
                <w:sz w:val="18"/>
              </w:rPr>
              <w:t xml:space="preserve"> </w:t>
            </w:r>
            <w:r>
              <w:rPr>
                <w:i/>
                <w:spacing w:val="-4"/>
                <w:sz w:val="18"/>
              </w:rPr>
              <w:t>to</w:t>
            </w:r>
            <w:r>
              <w:rPr>
                <w:i/>
                <w:spacing w:val="-7"/>
                <w:sz w:val="18"/>
              </w:rPr>
              <w:t xml:space="preserve"> </w:t>
            </w:r>
            <w:r>
              <w:rPr>
                <w:i/>
                <w:spacing w:val="-4"/>
                <w:sz w:val="18"/>
              </w:rPr>
              <w:t>achieving</w:t>
            </w:r>
            <w:r>
              <w:rPr>
                <w:i/>
                <w:spacing w:val="-6"/>
                <w:sz w:val="18"/>
              </w:rPr>
              <w:t xml:space="preserve"> </w:t>
            </w:r>
            <w:r>
              <w:rPr>
                <w:i/>
                <w:spacing w:val="-3"/>
                <w:sz w:val="18"/>
              </w:rPr>
              <w:t>SDG</w:t>
            </w:r>
            <w:r>
              <w:rPr>
                <w:i/>
                <w:spacing w:val="-7"/>
                <w:sz w:val="18"/>
              </w:rPr>
              <w:t xml:space="preserve"> </w:t>
            </w:r>
            <w:r>
              <w:rPr>
                <w:i/>
                <w:spacing w:val="-3"/>
                <w:sz w:val="18"/>
              </w:rPr>
              <w:t>13,</w:t>
            </w:r>
            <w:r>
              <w:rPr>
                <w:i/>
                <w:spacing w:val="-8"/>
                <w:sz w:val="18"/>
              </w:rPr>
              <w:t xml:space="preserve"> </w:t>
            </w:r>
            <w:r>
              <w:rPr>
                <w:i/>
                <w:spacing w:val="-3"/>
                <w:sz w:val="18"/>
              </w:rPr>
              <w:t>15</w:t>
            </w:r>
            <w:r>
              <w:rPr>
                <w:i/>
                <w:spacing w:val="-8"/>
                <w:sz w:val="18"/>
              </w:rPr>
              <w:t xml:space="preserve"> </w:t>
            </w:r>
            <w:r>
              <w:rPr>
                <w:i/>
                <w:spacing w:val="-3"/>
                <w:sz w:val="18"/>
              </w:rPr>
              <w:t>and</w:t>
            </w:r>
            <w:r>
              <w:rPr>
                <w:i/>
                <w:spacing w:val="-7"/>
                <w:sz w:val="18"/>
              </w:rPr>
              <w:t xml:space="preserve"> </w:t>
            </w:r>
            <w:r>
              <w:rPr>
                <w:i/>
                <w:spacing w:val="-3"/>
                <w:sz w:val="18"/>
              </w:rPr>
              <w:t>17</w:t>
            </w:r>
          </w:p>
        </w:tc>
        <w:tc>
          <w:tcPr>
            <w:tcW w:w="8927" w:type="dxa"/>
            <w:tcBorders>
              <w:top w:val="nil"/>
            </w:tcBorders>
          </w:tcPr>
          <w:p w:rsidR="00A56FE9" w:rsidRDefault="00000000">
            <w:pPr>
              <w:pStyle w:val="TableParagraph"/>
              <w:ind w:left="105" w:right="142"/>
              <w:rPr>
                <w:sz w:val="18"/>
              </w:rPr>
            </w:pPr>
            <w:r>
              <w:rPr>
                <w:sz w:val="18"/>
              </w:rPr>
              <w:t>Development</w:t>
            </w:r>
            <w:r>
              <w:rPr>
                <w:spacing w:val="-2"/>
                <w:sz w:val="18"/>
              </w:rPr>
              <w:t xml:space="preserve"> </w:t>
            </w:r>
            <w:r>
              <w:rPr>
                <w:sz w:val="18"/>
              </w:rPr>
              <w:t>and</w:t>
            </w:r>
            <w:r>
              <w:rPr>
                <w:spacing w:val="-1"/>
                <w:sz w:val="18"/>
              </w:rPr>
              <w:t xml:space="preserve"> </w:t>
            </w:r>
            <w:r>
              <w:rPr>
                <w:sz w:val="18"/>
              </w:rPr>
              <w:t>implementation</w:t>
            </w:r>
            <w:r>
              <w:rPr>
                <w:spacing w:val="-1"/>
                <w:sz w:val="18"/>
              </w:rPr>
              <w:t xml:space="preserve"> </w:t>
            </w:r>
            <w:r>
              <w:rPr>
                <w:sz w:val="18"/>
              </w:rPr>
              <w:t>of</w:t>
            </w:r>
            <w:r>
              <w:rPr>
                <w:spacing w:val="-4"/>
                <w:sz w:val="18"/>
              </w:rPr>
              <w:t xml:space="preserve"> </w:t>
            </w:r>
            <w:r>
              <w:rPr>
                <w:sz w:val="18"/>
              </w:rPr>
              <w:t>an</w:t>
            </w:r>
            <w:r>
              <w:rPr>
                <w:spacing w:val="-1"/>
                <w:sz w:val="18"/>
              </w:rPr>
              <w:t xml:space="preserve"> </w:t>
            </w:r>
            <w:r>
              <w:rPr>
                <w:sz w:val="18"/>
              </w:rPr>
              <w:t>action</w:t>
            </w:r>
            <w:r>
              <w:rPr>
                <w:spacing w:val="-3"/>
                <w:sz w:val="18"/>
              </w:rPr>
              <w:t xml:space="preserve"> </w:t>
            </w:r>
            <w:r>
              <w:rPr>
                <w:sz w:val="18"/>
              </w:rPr>
              <w:t>plan</w:t>
            </w:r>
            <w:r>
              <w:rPr>
                <w:spacing w:val="-4"/>
                <w:sz w:val="18"/>
              </w:rPr>
              <w:t xml:space="preserve"> </w:t>
            </w:r>
            <w:r>
              <w:rPr>
                <w:sz w:val="18"/>
              </w:rPr>
              <w:t>for</w:t>
            </w:r>
            <w:r>
              <w:rPr>
                <w:spacing w:val="-1"/>
                <w:sz w:val="18"/>
              </w:rPr>
              <w:t xml:space="preserve"> </w:t>
            </w:r>
            <w:r>
              <w:rPr>
                <w:sz w:val="18"/>
              </w:rPr>
              <w:t>planting</w:t>
            </w:r>
            <w:r>
              <w:rPr>
                <w:spacing w:val="-3"/>
                <w:sz w:val="18"/>
              </w:rPr>
              <w:t xml:space="preserve"> </w:t>
            </w:r>
            <w:r>
              <w:rPr>
                <w:sz w:val="18"/>
              </w:rPr>
              <w:t>an</w:t>
            </w:r>
            <w:r>
              <w:rPr>
                <w:spacing w:val="-3"/>
                <w:sz w:val="18"/>
              </w:rPr>
              <w:t xml:space="preserve"> </w:t>
            </w:r>
            <w:r>
              <w:rPr>
                <w:sz w:val="18"/>
              </w:rPr>
              <w:t>additional</w:t>
            </w:r>
            <w:r>
              <w:rPr>
                <w:spacing w:val="-2"/>
                <w:sz w:val="18"/>
              </w:rPr>
              <w:t xml:space="preserve"> </w:t>
            </w:r>
            <w:r>
              <w:rPr>
                <w:sz w:val="18"/>
              </w:rPr>
              <w:t>million</w:t>
            </w:r>
            <w:r>
              <w:rPr>
                <w:spacing w:val="-1"/>
                <w:sz w:val="18"/>
              </w:rPr>
              <w:t xml:space="preserve"> </w:t>
            </w:r>
            <w:r>
              <w:rPr>
                <w:sz w:val="18"/>
              </w:rPr>
              <w:t>trees</w:t>
            </w:r>
            <w:r>
              <w:rPr>
                <w:spacing w:val="-2"/>
                <w:sz w:val="18"/>
              </w:rPr>
              <w:t xml:space="preserve"> </w:t>
            </w:r>
            <w:r>
              <w:rPr>
                <w:sz w:val="18"/>
              </w:rPr>
              <w:t>per</w:t>
            </w:r>
            <w:r>
              <w:rPr>
                <w:spacing w:val="-2"/>
                <w:sz w:val="18"/>
              </w:rPr>
              <w:t xml:space="preserve"> </w:t>
            </w:r>
            <w:r>
              <w:rPr>
                <w:sz w:val="18"/>
              </w:rPr>
              <w:t>year,</w:t>
            </w:r>
            <w:r>
              <w:rPr>
                <w:spacing w:val="1"/>
                <w:sz w:val="18"/>
              </w:rPr>
              <w:t xml:space="preserve"> </w:t>
            </w:r>
            <w:r>
              <w:rPr>
                <w:sz w:val="18"/>
              </w:rPr>
              <w:t>which</w:t>
            </w:r>
            <w:r>
              <w:rPr>
                <w:spacing w:val="-1"/>
                <w:sz w:val="18"/>
              </w:rPr>
              <w:t xml:space="preserve"> </w:t>
            </w:r>
            <w:r>
              <w:rPr>
                <w:sz w:val="18"/>
              </w:rPr>
              <w:t>will</w:t>
            </w:r>
            <w:r>
              <w:rPr>
                <w:spacing w:val="-1"/>
                <w:sz w:val="18"/>
              </w:rPr>
              <w:t xml:space="preserve"> </w:t>
            </w:r>
            <w:r>
              <w:rPr>
                <w:sz w:val="18"/>
              </w:rPr>
              <w:t>define</w:t>
            </w:r>
            <w:r>
              <w:rPr>
                <w:spacing w:val="-42"/>
                <w:sz w:val="18"/>
              </w:rPr>
              <w:t xml:space="preserve"> </w:t>
            </w:r>
            <w:r>
              <w:rPr>
                <w:sz w:val="18"/>
              </w:rPr>
              <w:t>implementation activities, available and areas suitable for planting, types and approximate quantities of forest and</w:t>
            </w:r>
            <w:r>
              <w:rPr>
                <w:spacing w:val="1"/>
                <w:sz w:val="18"/>
              </w:rPr>
              <w:t xml:space="preserve"> </w:t>
            </w:r>
            <w:r>
              <w:rPr>
                <w:sz w:val="18"/>
              </w:rPr>
              <w:t>ornamental reproductive material according to climate, stakeholders and sources of financing and total estimated</w:t>
            </w:r>
            <w:r>
              <w:rPr>
                <w:spacing w:val="1"/>
                <w:sz w:val="18"/>
              </w:rPr>
              <w:t xml:space="preserve"> </w:t>
            </w:r>
            <w:r>
              <w:rPr>
                <w:sz w:val="18"/>
              </w:rPr>
              <w:t>implementation costs.</w:t>
            </w:r>
          </w:p>
        </w:tc>
      </w:tr>
      <w:tr w:rsidR="00A56FE9">
        <w:trPr>
          <w:trHeight w:val="3312"/>
        </w:trPr>
        <w:tc>
          <w:tcPr>
            <w:tcW w:w="2064" w:type="dxa"/>
            <w:vMerge w:val="restart"/>
            <w:shd w:val="clear" w:color="auto" w:fill="F1F1F1"/>
          </w:tcPr>
          <w:p w:rsidR="00A56FE9" w:rsidRDefault="00000000">
            <w:pPr>
              <w:pStyle w:val="TableParagraph"/>
              <w:ind w:left="105" w:right="208"/>
              <w:rPr>
                <w:sz w:val="20"/>
              </w:rPr>
            </w:pPr>
            <w:r>
              <w:rPr>
                <w:b/>
                <w:sz w:val="20"/>
              </w:rPr>
              <w:t xml:space="preserve">7. </w:t>
            </w:r>
            <w:r>
              <w:rPr>
                <w:sz w:val="20"/>
              </w:rPr>
              <w:t>Ensure access to</w:t>
            </w:r>
            <w:r>
              <w:rPr>
                <w:spacing w:val="1"/>
                <w:sz w:val="20"/>
              </w:rPr>
              <w:t xml:space="preserve"> </w:t>
            </w:r>
            <w:r>
              <w:rPr>
                <w:sz w:val="20"/>
              </w:rPr>
              <w:t>affordable, reliable,</w:t>
            </w:r>
            <w:r>
              <w:rPr>
                <w:spacing w:val="1"/>
                <w:sz w:val="20"/>
              </w:rPr>
              <w:t xml:space="preserve"> </w:t>
            </w:r>
            <w:r>
              <w:rPr>
                <w:sz w:val="20"/>
              </w:rPr>
              <w:t>sustainable and</w:t>
            </w:r>
            <w:r>
              <w:rPr>
                <w:spacing w:val="1"/>
                <w:sz w:val="20"/>
              </w:rPr>
              <w:t xml:space="preserve"> </w:t>
            </w:r>
            <w:r>
              <w:rPr>
                <w:sz w:val="20"/>
              </w:rPr>
              <w:t>modern</w:t>
            </w:r>
            <w:r>
              <w:rPr>
                <w:spacing w:val="-7"/>
                <w:sz w:val="20"/>
              </w:rPr>
              <w:t xml:space="preserve"> </w:t>
            </w:r>
            <w:r>
              <w:rPr>
                <w:sz w:val="20"/>
              </w:rPr>
              <w:t>energy</w:t>
            </w:r>
            <w:r>
              <w:rPr>
                <w:spacing w:val="-5"/>
                <w:sz w:val="20"/>
              </w:rPr>
              <w:t xml:space="preserve"> </w:t>
            </w:r>
            <w:r>
              <w:rPr>
                <w:sz w:val="20"/>
              </w:rPr>
              <w:t>for</w:t>
            </w:r>
            <w:r>
              <w:rPr>
                <w:spacing w:val="-6"/>
                <w:sz w:val="20"/>
              </w:rPr>
              <w:t xml:space="preserve"> </w:t>
            </w:r>
            <w:r>
              <w:rPr>
                <w:sz w:val="20"/>
              </w:rPr>
              <w:t>all</w:t>
            </w:r>
          </w:p>
        </w:tc>
        <w:tc>
          <w:tcPr>
            <w:tcW w:w="3469" w:type="dxa"/>
            <w:shd w:val="clear" w:color="auto" w:fill="C5EECE"/>
          </w:tcPr>
          <w:p w:rsidR="00A56FE9" w:rsidRDefault="00000000">
            <w:pPr>
              <w:pStyle w:val="TableParagraph"/>
              <w:spacing w:line="242" w:lineRule="auto"/>
              <w:ind w:left="100" w:right="574"/>
              <w:rPr>
                <w:sz w:val="18"/>
              </w:rPr>
            </w:pPr>
            <w:r>
              <w:rPr>
                <w:sz w:val="18"/>
              </w:rPr>
              <w:t>Creation of an equity and quasi-equity</w:t>
            </w:r>
            <w:r>
              <w:rPr>
                <w:spacing w:val="-42"/>
                <w:sz w:val="18"/>
              </w:rPr>
              <w:t xml:space="preserve"> </w:t>
            </w:r>
            <w:r>
              <w:rPr>
                <w:sz w:val="18"/>
              </w:rPr>
              <w:t>financing</w:t>
            </w:r>
            <w:r>
              <w:rPr>
                <w:spacing w:val="-2"/>
                <w:sz w:val="18"/>
              </w:rPr>
              <w:t xml:space="preserve"> </w:t>
            </w:r>
            <w:r>
              <w:rPr>
                <w:sz w:val="18"/>
              </w:rPr>
              <w:t>instrument (PE)</w:t>
            </w:r>
          </w:p>
          <w:p w:rsidR="00A56FE9" w:rsidRDefault="00A56FE9">
            <w:pPr>
              <w:pStyle w:val="TableParagraph"/>
              <w:spacing w:before="2"/>
              <w:rPr>
                <w:b/>
                <w:sz w:val="17"/>
              </w:rPr>
            </w:pPr>
          </w:p>
          <w:p w:rsidR="00A56FE9" w:rsidRDefault="00000000">
            <w:pPr>
              <w:pStyle w:val="TableParagraph"/>
              <w:spacing w:before="1" w:line="207" w:lineRule="exact"/>
              <w:ind w:left="100"/>
              <w:rPr>
                <w:i/>
                <w:sz w:val="18"/>
              </w:rPr>
            </w:pPr>
            <w:r>
              <w:rPr>
                <w:i/>
                <w:sz w:val="18"/>
              </w:rPr>
              <w:t>Also contributes</w:t>
            </w:r>
            <w:r>
              <w:rPr>
                <w:i/>
                <w:spacing w:val="-1"/>
                <w:sz w:val="18"/>
              </w:rPr>
              <w:t xml:space="preserve"> </w:t>
            </w:r>
            <w:r>
              <w:rPr>
                <w:i/>
                <w:sz w:val="18"/>
              </w:rPr>
              <w:t>to</w:t>
            </w:r>
            <w:r>
              <w:rPr>
                <w:i/>
                <w:spacing w:val="-2"/>
                <w:sz w:val="18"/>
              </w:rPr>
              <w:t xml:space="preserve"> </w:t>
            </w:r>
            <w:r>
              <w:rPr>
                <w:i/>
                <w:sz w:val="18"/>
              </w:rPr>
              <w:t>achieving</w:t>
            </w:r>
            <w:r>
              <w:rPr>
                <w:i/>
                <w:spacing w:val="1"/>
                <w:sz w:val="18"/>
              </w:rPr>
              <w:t xml:space="preserve"> </w:t>
            </w:r>
            <w:r>
              <w:rPr>
                <w:i/>
                <w:sz w:val="18"/>
              </w:rPr>
              <w:t>SDG 8,</w:t>
            </w:r>
            <w:r>
              <w:rPr>
                <w:i/>
                <w:spacing w:val="-3"/>
                <w:sz w:val="18"/>
              </w:rPr>
              <w:t xml:space="preserve"> </w:t>
            </w:r>
            <w:r>
              <w:rPr>
                <w:i/>
                <w:sz w:val="18"/>
              </w:rPr>
              <w:t>9,</w:t>
            </w:r>
            <w:r>
              <w:rPr>
                <w:i/>
                <w:spacing w:val="-2"/>
                <w:sz w:val="18"/>
              </w:rPr>
              <w:t xml:space="preserve"> </w:t>
            </w:r>
            <w:r>
              <w:rPr>
                <w:i/>
                <w:sz w:val="18"/>
              </w:rPr>
              <w:t>11</w:t>
            </w:r>
          </w:p>
          <w:p w:rsidR="00A56FE9" w:rsidRDefault="00000000">
            <w:pPr>
              <w:pStyle w:val="TableParagraph"/>
              <w:spacing w:line="207" w:lineRule="exact"/>
              <w:ind w:left="100"/>
              <w:rPr>
                <w:i/>
                <w:sz w:val="18"/>
              </w:rPr>
            </w:pPr>
            <w:r>
              <w:rPr>
                <w:i/>
                <w:sz w:val="18"/>
              </w:rPr>
              <w:t>and</w:t>
            </w:r>
            <w:r>
              <w:rPr>
                <w:i/>
                <w:spacing w:val="-2"/>
                <w:sz w:val="18"/>
              </w:rPr>
              <w:t xml:space="preserve"> </w:t>
            </w:r>
            <w:r>
              <w:rPr>
                <w:i/>
                <w:sz w:val="18"/>
              </w:rPr>
              <w:t>13</w:t>
            </w:r>
          </w:p>
        </w:tc>
        <w:tc>
          <w:tcPr>
            <w:tcW w:w="8927" w:type="dxa"/>
            <w:shd w:val="clear" w:color="auto" w:fill="C5EECE"/>
          </w:tcPr>
          <w:p w:rsidR="00A56FE9" w:rsidRDefault="00000000">
            <w:pPr>
              <w:pStyle w:val="TableParagraph"/>
              <w:ind w:left="105" w:right="142"/>
              <w:rPr>
                <w:sz w:val="18"/>
              </w:rPr>
            </w:pPr>
            <w:r>
              <w:rPr>
                <w:sz w:val="18"/>
              </w:rPr>
              <w:t>As</w:t>
            </w:r>
            <w:r>
              <w:rPr>
                <w:spacing w:val="-2"/>
                <w:sz w:val="18"/>
              </w:rPr>
              <w:t xml:space="preserve"> </w:t>
            </w:r>
            <w:r>
              <w:rPr>
                <w:sz w:val="18"/>
              </w:rPr>
              <w:t>part</w:t>
            </w:r>
            <w:r>
              <w:rPr>
                <w:spacing w:val="-2"/>
                <w:sz w:val="18"/>
              </w:rPr>
              <w:t xml:space="preserve"> </w:t>
            </w:r>
            <w:r>
              <w:rPr>
                <w:sz w:val="18"/>
              </w:rPr>
              <w:t>of</w:t>
            </w:r>
            <w:r>
              <w:rPr>
                <w:spacing w:val="-3"/>
                <w:sz w:val="18"/>
              </w:rPr>
              <w:t xml:space="preserve"> </w:t>
            </w:r>
            <w:r>
              <w:rPr>
                <w:sz w:val="18"/>
              </w:rPr>
              <w:t>the</w:t>
            </w:r>
            <w:r>
              <w:rPr>
                <w:spacing w:val="-3"/>
                <w:sz w:val="18"/>
              </w:rPr>
              <w:t xml:space="preserve"> </w:t>
            </w:r>
            <w:r>
              <w:rPr>
                <w:sz w:val="18"/>
              </w:rPr>
              <w:t>existing</w:t>
            </w:r>
            <w:r>
              <w:rPr>
                <w:spacing w:val="-3"/>
                <w:sz w:val="18"/>
              </w:rPr>
              <w:t xml:space="preserve"> </w:t>
            </w:r>
            <w:r>
              <w:rPr>
                <w:sz w:val="18"/>
              </w:rPr>
              <w:t>cooperation with</w:t>
            </w:r>
            <w:r>
              <w:rPr>
                <w:spacing w:val="-1"/>
                <w:sz w:val="18"/>
              </w:rPr>
              <w:t xml:space="preserve"> </w:t>
            </w:r>
            <w:r>
              <w:rPr>
                <w:sz w:val="18"/>
              </w:rPr>
              <w:t>the</w:t>
            </w:r>
            <w:r>
              <w:rPr>
                <w:spacing w:val="-3"/>
                <w:sz w:val="18"/>
              </w:rPr>
              <w:t xml:space="preserve"> </w:t>
            </w:r>
            <w:r>
              <w:rPr>
                <w:sz w:val="18"/>
              </w:rPr>
              <w:t>European Investment</w:t>
            </w:r>
            <w:r>
              <w:rPr>
                <w:spacing w:val="-2"/>
                <w:sz w:val="18"/>
              </w:rPr>
              <w:t xml:space="preserve"> </w:t>
            </w:r>
            <w:r>
              <w:rPr>
                <w:sz w:val="18"/>
              </w:rPr>
              <w:t>Fund</w:t>
            </w:r>
            <w:r>
              <w:rPr>
                <w:spacing w:val="-3"/>
                <w:sz w:val="18"/>
              </w:rPr>
              <w:t xml:space="preserve"> </w:t>
            </w:r>
            <w:r>
              <w:rPr>
                <w:sz w:val="18"/>
              </w:rPr>
              <w:t>(EIF),</w:t>
            </w:r>
            <w:r>
              <w:rPr>
                <w:spacing w:val="-1"/>
                <w:sz w:val="18"/>
              </w:rPr>
              <w:t xml:space="preserve"> </w:t>
            </w:r>
            <w:r>
              <w:rPr>
                <w:sz w:val="18"/>
              </w:rPr>
              <w:t>HBOR</w:t>
            </w:r>
            <w:r>
              <w:rPr>
                <w:spacing w:val="-2"/>
                <w:sz w:val="18"/>
              </w:rPr>
              <w:t xml:space="preserve"> </w:t>
            </w:r>
            <w:r>
              <w:rPr>
                <w:sz w:val="18"/>
              </w:rPr>
              <w:t>shall</w:t>
            </w:r>
            <w:r>
              <w:rPr>
                <w:spacing w:val="-2"/>
                <w:sz w:val="18"/>
              </w:rPr>
              <w:t xml:space="preserve"> </w:t>
            </w:r>
            <w:r>
              <w:rPr>
                <w:sz w:val="18"/>
              </w:rPr>
              <w:t>set</w:t>
            </w:r>
            <w:r>
              <w:rPr>
                <w:spacing w:val="-3"/>
                <w:sz w:val="18"/>
              </w:rPr>
              <w:t xml:space="preserve"> </w:t>
            </w:r>
            <w:r>
              <w:rPr>
                <w:sz w:val="18"/>
              </w:rPr>
              <w:t>up</w:t>
            </w:r>
            <w:r>
              <w:rPr>
                <w:spacing w:val="-1"/>
                <w:sz w:val="18"/>
              </w:rPr>
              <w:t xml:space="preserve"> </w:t>
            </w:r>
            <w:r>
              <w:rPr>
                <w:sz w:val="18"/>
              </w:rPr>
              <w:t>financial</w:t>
            </w:r>
            <w:r>
              <w:rPr>
                <w:spacing w:val="-2"/>
                <w:sz w:val="18"/>
              </w:rPr>
              <w:t xml:space="preserve"> </w:t>
            </w:r>
            <w:r>
              <w:rPr>
                <w:sz w:val="18"/>
              </w:rPr>
              <w:t>instrument</w:t>
            </w:r>
            <w:r>
              <w:rPr>
                <w:spacing w:val="-42"/>
                <w:sz w:val="18"/>
              </w:rPr>
              <w:t xml:space="preserve"> </w:t>
            </w:r>
            <w:r>
              <w:rPr>
                <w:sz w:val="18"/>
              </w:rPr>
              <w:t>aimed at increasing or reaching the maximum size of private equity and venture capital funds active in the Croatian</w:t>
            </w:r>
            <w:r>
              <w:rPr>
                <w:spacing w:val="1"/>
                <w:sz w:val="18"/>
              </w:rPr>
              <w:t xml:space="preserve"> </w:t>
            </w:r>
            <w:r>
              <w:rPr>
                <w:sz w:val="18"/>
              </w:rPr>
              <w:t>market</w:t>
            </w:r>
            <w:r>
              <w:rPr>
                <w:spacing w:val="-1"/>
                <w:sz w:val="18"/>
              </w:rPr>
              <w:t xml:space="preserve"> </w:t>
            </w:r>
            <w:r>
              <w:rPr>
                <w:sz w:val="18"/>
              </w:rPr>
              <w:t>and</w:t>
            </w:r>
            <w:r>
              <w:rPr>
                <w:spacing w:val="1"/>
                <w:sz w:val="18"/>
              </w:rPr>
              <w:t xml:space="preserve"> </w:t>
            </w:r>
            <w:r>
              <w:rPr>
                <w:sz w:val="18"/>
              </w:rPr>
              <w:t>setting</w:t>
            </w:r>
            <w:r>
              <w:rPr>
                <w:spacing w:val="-1"/>
                <w:sz w:val="18"/>
              </w:rPr>
              <w:t xml:space="preserve"> </w:t>
            </w:r>
            <w:r>
              <w:rPr>
                <w:sz w:val="18"/>
              </w:rPr>
              <w:t>up</w:t>
            </w:r>
            <w:r>
              <w:rPr>
                <w:spacing w:val="-1"/>
                <w:sz w:val="18"/>
              </w:rPr>
              <w:t xml:space="preserve"> </w:t>
            </w:r>
            <w:r>
              <w:rPr>
                <w:sz w:val="18"/>
              </w:rPr>
              <w:t>new</w:t>
            </w:r>
            <w:r>
              <w:rPr>
                <w:spacing w:val="-3"/>
                <w:sz w:val="18"/>
              </w:rPr>
              <w:t xml:space="preserve"> </w:t>
            </w:r>
            <w:r>
              <w:rPr>
                <w:sz w:val="18"/>
              </w:rPr>
              <w:t>funds and/or</w:t>
            </w:r>
            <w:r>
              <w:rPr>
                <w:spacing w:val="-2"/>
                <w:sz w:val="18"/>
              </w:rPr>
              <w:t xml:space="preserve"> </w:t>
            </w:r>
            <w:r>
              <w:rPr>
                <w:sz w:val="18"/>
              </w:rPr>
              <w:t>co-investments.</w:t>
            </w:r>
          </w:p>
          <w:p w:rsidR="00A56FE9" w:rsidRDefault="00000000">
            <w:pPr>
              <w:pStyle w:val="TableParagraph"/>
              <w:ind w:left="105" w:right="142"/>
              <w:rPr>
                <w:sz w:val="18"/>
              </w:rPr>
            </w:pPr>
            <w:r>
              <w:rPr>
                <w:sz w:val="18"/>
              </w:rPr>
              <w:t>Private</w:t>
            </w:r>
            <w:r>
              <w:rPr>
                <w:spacing w:val="-2"/>
                <w:sz w:val="18"/>
              </w:rPr>
              <w:t xml:space="preserve"> </w:t>
            </w:r>
            <w:r>
              <w:rPr>
                <w:sz w:val="18"/>
              </w:rPr>
              <w:t>equity</w:t>
            </w:r>
            <w:r>
              <w:rPr>
                <w:spacing w:val="-5"/>
                <w:sz w:val="18"/>
              </w:rPr>
              <w:t xml:space="preserve"> </w:t>
            </w:r>
            <w:r>
              <w:rPr>
                <w:sz w:val="18"/>
              </w:rPr>
              <w:t>and</w:t>
            </w:r>
            <w:r>
              <w:rPr>
                <w:spacing w:val="-1"/>
                <w:sz w:val="18"/>
              </w:rPr>
              <w:t xml:space="preserve"> </w:t>
            </w:r>
            <w:r>
              <w:rPr>
                <w:sz w:val="18"/>
              </w:rPr>
              <w:t>venture</w:t>
            </w:r>
            <w:r>
              <w:rPr>
                <w:spacing w:val="-2"/>
                <w:sz w:val="18"/>
              </w:rPr>
              <w:t xml:space="preserve"> </w:t>
            </w:r>
            <w:r>
              <w:rPr>
                <w:sz w:val="18"/>
              </w:rPr>
              <w:t>capital</w:t>
            </w:r>
            <w:r>
              <w:rPr>
                <w:spacing w:val="-4"/>
                <w:sz w:val="18"/>
              </w:rPr>
              <w:t xml:space="preserve"> </w:t>
            </w:r>
            <w:r>
              <w:rPr>
                <w:sz w:val="18"/>
              </w:rPr>
              <w:t>funds</w:t>
            </w:r>
            <w:r>
              <w:rPr>
                <w:spacing w:val="-1"/>
                <w:sz w:val="18"/>
              </w:rPr>
              <w:t xml:space="preserve"> </w:t>
            </w:r>
            <w:r>
              <w:rPr>
                <w:sz w:val="18"/>
              </w:rPr>
              <w:t>shall</w:t>
            </w:r>
            <w:r>
              <w:rPr>
                <w:spacing w:val="-4"/>
                <w:sz w:val="18"/>
              </w:rPr>
              <w:t xml:space="preserve"> </w:t>
            </w:r>
            <w:r>
              <w:rPr>
                <w:sz w:val="18"/>
              </w:rPr>
              <w:t>be</w:t>
            </w:r>
            <w:r>
              <w:rPr>
                <w:spacing w:val="-2"/>
                <w:sz w:val="18"/>
              </w:rPr>
              <w:t xml:space="preserve"> </w:t>
            </w:r>
            <w:r>
              <w:rPr>
                <w:sz w:val="18"/>
              </w:rPr>
              <w:t>set</w:t>
            </w:r>
            <w:r>
              <w:rPr>
                <w:spacing w:val="-1"/>
                <w:sz w:val="18"/>
              </w:rPr>
              <w:t xml:space="preserve"> </w:t>
            </w:r>
            <w:r>
              <w:rPr>
                <w:sz w:val="18"/>
              </w:rPr>
              <w:t>up</w:t>
            </w:r>
            <w:r>
              <w:rPr>
                <w:spacing w:val="-1"/>
                <w:sz w:val="18"/>
              </w:rPr>
              <w:t xml:space="preserve"> </w:t>
            </w:r>
            <w:r>
              <w:rPr>
                <w:sz w:val="18"/>
              </w:rPr>
              <w:t>with the</w:t>
            </w:r>
            <w:r>
              <w:rPr>
                <w:spacing w:val="-3"/>
                <w:sz w:val="18"/>
              </w:rPr>
              <w:t xml:space="preserve"> </w:t>
            </w:r>
            <w:r>
              <w:rPr>
                <w:sz w:val="18"/>
              </w:rPr>
              <w:t>participation 30%</w:t>
            </w:r>
            <w:r>
              <w:rPr>
                <w:spacing w:val="-3"/>
                <w:sz w:val="18"/>
              </w:rPr>
              <w:t xml:space="preserve"> </w:t>
            </w:r>
            <w:r>
              <w:rPr>
                <w:sz w:val="18"/>
              </w:rPr>
              <w:t>of</w:t>
            </w:r>
            <w:r>
              <w:rPr>
                <w:spacing w:val="-3"/>
                <w:sz w:val="18"/>
              </w:rPr>
              <w:t xml:space="preserve"> </w:t>
            </w:r>
            <w:r>
              <w:rPr>
                <w:sz w:val="18"/>
              </w:rPr>
              <w:t>private</w:t>
            </w:r>
            <w:r>
              <w:rPr>
                <w:spacing w:val="-2"/>
                <w:sz w:val="18"/>
              </w:rPr>
              <w:t xml:space="preserve"> </w:t>
            </w:r>
            <w:r>
              <w:rPr>
                <w:sz w:val="18"/>
              </w:rPr>
              <w:t>investors</w:t>
            </w:r>
            <w:r>
              <w:rPr>
                <w:spacing w:val="-1"/>
                <w:sz w:val="18"/>
              </w:rPr>
              <w:t xml:space="preserve"> </w:t>
            </w:r>
            <w:r>
              <w:rPr>
                <w:sz w:val="18"/>
              </w:rPr>
              <w:t>in relation to</w:t>
            </w:r>
            <w:r>
              <w:rPr>
                <w:spacing w:val="-1"/>
                <w:sz w:val="18"/>
              </w:rPr>
              <w:t xml:space="preserve"> </w:t>
            </w:r>
            <w:r>
              <w:rPr>
                <w:sz w:val="18"/>
              </w:rPr>
              <w:t>the</w:t>
            </w:r>
            <w:r>
              <w:rPr>
                <w:spacing w:val="-42"/>
                <w:sz w:val="18"/>
              </w:rPr>
              <w:t xml:space="preserve"> </w:t>
            </w:r>
            <w:r>
              <w:rPr>
                <w:sz w:val="18"/>
              </w:rPr>
              <w:t>target size</w:t>
            </w:r>
            <w:r>
              <w:rPr>
                <w:spacing w:val="-1"/>
                <w:sz w:val="18"/>
              </w:rPr>
              <w:t xml:space="preserve"> </w:t>
            </w:r>
            <w:r>
              <w:rPr>
                <w:sz w:val="18"/>
              </w:rPr>
              <w:t>of</w:t>
            </w:r>
            <w:r>
              <w:rPr>
                <w:spacing w:val="-2"/>
                <w:sz w:val="18"/>
              </w:rPr>
              <w:t xml:space="preserve"> </w:t>
            </w:r>
            <w:r>
              <w:rPr>
                <w:sz w:val="18"/>
              </w:rPr>
              <w:t>the</w:t>
            </w:r>
            <w:r>
              <w:rPr>
                <w:spacing w:val="-1"/>
                <w:sz w:val="18"/>
              </w:rPr>
              <w:t xml:space="preserve"> </w:t>
            </w:r>
            <w:r>
              <w:rPr>
                <w:sz w:val="18"/>
              </w:rPr>
              <w:t>individual</w:t>
            </w:r>
            <w:r>
              <w:rPr>
                <w:spacing w:val="-2"/>
                <w:sz w:val="18"/>
              </w:rPr>
              <w:t xml:space="preserve"> </w:t>
            </w:r>
            <w:r>
              <w:rPr>
                <w:sz w:val="18"/>
              </w:rPr>
              <w:t>fund.</w:t>
            </w:r>
          </w:p>
          <w:p w:rsidR="00A56FE9" w:rsidRDefault="00000000">
            <w:pPr>
              <w:pStyle w:val="TableParagraph"/>
              <w:ind w:left="105" w:right="146"/>
              <w:rPr>
                <w:sz w:val="18"/>
              </w:rPr>
            </w:pPr>
            <w:r>
              <w:rPr>
                <w:sz w:val="18"/>
              </w:rPr>
              <w:t>The</w:t>
            </w:r>
            <w:r>
              <w:rPr>
                <w:spacing w:val="-4"/>
                <w:sz w:val="18"/>
              </w:rPr>
              <w:t xml:space="preserve"> </w:t>
            </w:r>
            <w:r>
              <w:rPr>
                <w:sz w:val="18"/>
              </w:rPr>
              <w:t>financial</w:t>
            </w:r>
            <w:r>
              <w:rPr>
                <w:spacing w:val="-2"/>
                <w:sz w:val="18"/>
              </w:rPr>
              <w:t xml:space="preserve"> </w:t>
            </w:r>
            <w:r>
              <w:rPr>
                <w:sz w:val="18"/>
              </w:rPr>
              <w:t>instruments</w:t>
            </w:r>
            <w:r>
              <w:rPr>
                <w:spacing w:val="-3"/>
                <w:sz w:val="18"/>
              </w:rPr>
              <w:t xml:space="preserve"> </w:t>
            </w:r>
            <w:r>
              <w:rPr>
                <w:sz w:val="18"/>
              </w:rPr>
              <w:t>shall</w:t>
            </w:r>
            <w:r>
              <w:rPr>
                <w:spacing w:val="-2"/>
                <w:sz w:val="18"/>
              </w:rPr>
              <w:t xml:space="preserve"> </w:t>
            </w:r>
            <w:r>
              <w:rPr>
                <w:sz w:val="18"/>
              </w:rPr>
              <w:t>ensure</w:t>
            </w:r>
            <w:r>
              <w:rPr>
                <w:spacing w:val="-4"/>
                <w:sz w:val="18"/>
              </w:rPr>
              <w:t xml:space="preserve"> </w:t>
            </w:r>
            <w:r>
              <w:rPr>
                <w:sz w:val="18"/>
              </w:rPr>
              <w:t>compliance</w:t>
            </w:r>
            <w:r>
              <w:rPr>
                <w:spacing w:val="-3"/>
                <w:sz w:val="18"/>
              </w:rPr>
              <w:t xml:space="preserve"> </w:t>
            </w:r>
            <w:r>
              <w:rPr>
                <w:sz w:val="18"/>
              </w:rPr>
              <w:t>with</w:t>
            </w:r>
            <w:r>
              <w:rPr>
                <w:spacing w:val="-1"/>
                <w:sz w:val="18"/>
              </w:rPr>
              <w:t xml:space="preserve"> </w:t>
            </w:r>
            <w:r>
              <w:rPr>
                <w:sz w:val="18"/>
              </w:rPr>
              <w:t>the</w:t>
            </w:r>
            <w:r>
              <w:rPr>
                <w:spacing w:val="-4"/>
                <w:sz w:val="18"/>
              </w:rPr>
              <w:t xml:space="preserve"> </w:t>
            </w:r>
            <w:r>
              <w:rPr>
                <w:sz w:val="18"/>
              </w:rPr>
              <w:t>‘Do</w:t>
            </w:r>
            <w:r>
              <w:rPr>
                <w:spacing w:val="-1"/>
                <w:sz w:val="18"/>
              </w:rPr>
              <w:t xml:space="preserve"> </w:t>
            </w:r>
            <w:r>
              <w:rPr>
                <w:sz w:val="18"/>
              </w:rPr>
              <w:t>no</w:t>
            </w:r>
            <w:r>
              <w:rPr>
                <w:spacing w:val="-4"/>
                <w:sz w:val="18"/>
              </w:rPr>
              <w:t xml:space="preserve"> </w:t>
            </w:r>
            <w:r>
              <w:rPr>
                <w:sz w:val="18"/>
              </w:rPr>
              <w:t>significant</w:t>
            </w:r>
            <w:r>
              <w:rPr>
                <w:spacing w:val="-2"/>
                <w:sz w:val="18"/>
              </w:rPr>
              <w:t xml:space="preserve"> </w:t>
            </w:r>
            <w:r>
              <w:rPr>
                <w:sz w:val="18"/>
              </w:rPr>
              <w:t>harm’</w:t>
            </w:r>
            <w:r>
              <w:rPr>
                <w:spacing w:val="-1"/>
                <w:sz w:val="18"/>
              </w:rPr>
              <w:t xml:space="preserve"> </w:t>
            </w:r>
            <w:r>
              <w:rPr>
                <w:sz w:val="18"/>
              </w:rPr>
              <w:t>Technical</w:t>
            </w:r>
            <w:r>
              <w:rPr>
                <w:spacing w:val="-2"/>
                <w:sz w:val="18"/>
              </w:rPr>
              <w:t xml:space="preserve"> </w:t>
            </w:r>
            <w:r>
              <w:rPr>
                <w:sz w:val="18"/>
              </w:rPr>
              <w:t>Guidance</w:t>
            </w:r>
            <w:r>
              <w:rPr>
                <w:spacing w:val="-4"/>
                <w:sz w:val="18"/>
              </w:rPr>
              <w:t xml:space="preserve"> </w:t>
            </w:r>
            <w:r>
              <w:rPr>
                <w:sz w:val="18"/>
              </w:rPr>
              <w:t>(2021/C58/01)</w:t>
            </w:r>
            <w:r>
              <w:rPr>
                <w:spacing w:val="-42"/>
                <w:sz w:val="18"/>
              </w:rPr>
              <w:t xml:space="preserve"> </w:t>
            </w:r>
            <w:r>
              <w:rPr>
                <w:sz w:val="18"/>
              </w:rPr>
              <w:t>of supported beneficiaries under this measure through the use of sustainability proofing, the requirement of compliance</w:t>
            </w:r>
            <w:r>
              <w:rPr>
                <w:spacing w:val="1"/>
                <w:sz w:val="18"/>
              </w:rPr>
              <w:t xml:space="preserve"> </w:t>
            </w:r>
            <w:r>
              <w:rPr>
                <w:sz w:val="18"/>
              </w:rPr>
              <w:t>with the relevant EU and national environmental legislation, and the requirement for beneficiaries that derived more</w:t>
            </w:r>
            <w:r>
              <w:rPr>
                <w:spacing w:val="1"/>
                <w:sz w:val="18"/>
              </w:rPr>
              <w:t xml:space="preserve"> </w:t>
            </w:r>
            <w:r>
              <w:rPr>
                <w:sz w:val="18"/>
              </w:rPr>
              <w:t>than 10% of their revenues during the preceding financial year from activities or assets in the exclusion list to adopt and</w:t>
            </w:r>
            <w:r>
              <w:rPr>
                <w:spacing w:val="-42"/>
                <w:sz w:val="18"/>
              </w:rPr>
              <w:t xml:space="preserve"> </w:t>
            </w:r>
            <w:r>
              <w:rPr>
                <w:sz w:val="18"/>
              </w:rPr>
              <w:t>publish</w:t>
            </w:r>
            <w:r>
              <w:rPr>
                <w:spacing w:val="-1"/>
                <w:sz w:val="18"/>
              </w:rPr>
              <w:t xml:space="preserve"> </w:t>
            </w:r>
            <w:r>
              <w:rPr>
                <w:sz w:val="18"/>
              </w:rPr>
              <w:t>green</w:t>
            </w:r>
            <w:r>
              <w:rPr>
                <w:spacing w:val="1"/>
                <w:sz w:val="18"/>
              </w:rPr>
              <w:t xml:space="preserve"> </w:t>
            </w:r>
            <w:r>
              <w:rPr>
                <w:sz w:val="18"/>
              </w:rPr>
              <w:t>transition</w:t>
            </w:r>
            <w:r>
              <w:rPr>
                <w:spacing w:val="1"/>
                <w:sz w:val="18"/>
              </w:rPr>
              <w:t xml:space="preserve"> </w:t>
            </w:r>
            <w:r>
              <w:rPr>
                <w:sz w:val="18"/>
              </w:rPr>
              <w:t>plan.</w:t>
            </w:r>
          </w:p>
          <w:p w:rsidR="00A56FE9" w:rsidRDefault="00000000">
            <w:pPr>
              <w:pStyle w:val="TableParagraph"/>
              <w:ind w:left="105" w:right="142"/>
              <w:rPr>
                <w:sz w:val="18"/>
              </w:rPr>
            </w:pPr>
            <w:r>
              <w:rPr>
                <w:sz w:val="18"/>
              </w:rPr>
              <w:t>This</w:t>
            </w:r>
            <w:r>
              <w:rPr>
                <w:spacing w:val="-2"/>
                <w:sz w:val="18"/>
              </w:rPr>
              <w:t xml:space="preserve"> </w:t>
            </w:r>
            <w:r>
              <w:rPr>
                <w:sz w:val="18"/>
              </w:rPr>
              <w:t>measure</w:t>
            </w:r>
            <w:r>
              <w:rPr>
                <w:spacing w:val="-2"/>
                <w:sz w:val="18"/>
              </w:rPr>
              <w:t xml:space="preserve"> </w:t>
            </w:r>
            <w:r>
              <w:rPr>
                <w:sz w:val="18"/>
              </w:rPr>
              <w:t>shall</w:t>
            </w:r>
            <w:r>
              <w:rPr>
                <w:spacing w:val="-2"/>
                <w:sz w:val="18"/>
              </w:rPr>
              <w:t xml:space="preserve"> </w:t>
            </w:r>
            <w:r>
              <w:rPr>
                <w:sz w:val="18"/>
              </w:rPr>
              <w:t>not</w:t>
            </w:r>
            <w:r>
              <w:rPr>
                <w:spacing w:val="-1"/>
                <w:sz w:val="18"/>
              </w:rPr>
              <w:t xml:space="preserve"> </w:t>
            </w:r>
            <w:r>
              <w:rPr>
                <w:sz w:val="18"/>
              </w:rPr>
              <w:t>support</w:t>
            </w:r>
            <w:r>
              <w:rPr>
                <w:spacing w:val="-4"/>
                <w:sz w:val="18"/>
              </w:rPr>
              <w:t xml:space="preserve"> </w:t>
            </w:r>
            <w:r>
              <w:rPr>
                <w:sz w:val="18"/>
              </w:rPr>
              <w:t>investments</w:t>
            </w:r>
            <w:r>
              <w:rPr>
                <w:spacing w:val="-1"/>
                <w:sz w:val="18"/>
              </w:rPr>
              <w:t xml:space="preserve"> </w:t>
            </w:r>
            <w:r>
              <w:rPr>
                <w:sz w:val="18"/>
              </w:rPr>
              <w:t>in</w:t>
            </w:r>
            <w:r>
              <w:rPr>
                <w:spacing w:val="-1"/>
                <w:sz w:val="18"/>
              </w:rPr>
              <w:t xml:space="preserve"> </w:t>
            </w:r>
            <w:r>
              <w:rPr>
                <w:sz w:val="18"/>
              </w:rPr>
              <w:t>installations</w:t>
            </w:r>
            <w:r>
              <w:rPr>
                <w:spacing w:val="-1"/>
                <w:sz w:val="18"/>
              </w:rPr>
              <w:t xml:space="preserve"> </w:t>
            </w:r>
            <w:r>
              <w:rPr>
                <w:sz w:val="18"/>
              </w:rPr>
              <w:t>falling</w:t>
            </w:r>
            <w:r>
              <w:rPr>
                <w:spacing w:val="-3"/>
                <w:sz w:val="18"/>
              </w:rPr>
              <w:t xml:space="preserve"> </w:t>
            </w:r>
            <w:r>
              <w:rPr>
                <w:sz w:val="18"/>
              </w:rPr>
              <w:t>within the</w:t>
            </w:r>
            <w:r>
              <w:rPr>
                <w:spacing w:val="-2"/>
                <w:sz w:val="18"/>
              </w:rPr>
              <w:t xml:space="preserve"> </w:t>
            </w:r>
            <w:r>
              <w:rPr>
                <w:sz w:val="18"/>
              </w:rPr>
              <w:t>scope</w:t>
            </w:r>
            <w:r>
              <w:rPr>
                <w:spacing w:val="-3"/>
                <w:sz w:val="18"/>
              </w:rPr>
              <w:t xml:space="preserve"> </w:t>
            </w:r>
            <w:r>
              <w:rPr>
                <w:sz w:val="18"/>
              </w:rPr>
              <w:t>of</w:t>
            </w:r>
            <w:r>
              <w:rPr>
                <w:spacing w:val="-3"/>
                <w:sz w:val="18"/>
              </w:rPr>
              <w:t xml:space="preserve"> </w:t>
            </w:r>
            <w:r>
              <w:rPr>
                <w:sz w:val="18"/>
              </w:rPr>
              <w:t>the</w:t>
            </w:r>
            <w:r>
              <w:rPr>
                <w:spacing w:val="-3"/>
                <w:sz w:val="18"/>
              </w:rPr>
              <w:t xml:space="preserve"> </w:t>
            </w:r>
            <w:r>
              <w:rPr>
                <w:sz w:val="18"/>
              </w:rPr>
              <w:t>EU</w:t>
            </w:r>
            <w:r>
              <w:rPr>
                <w:spacing w:val="-1"/>
                <w:sz w:val="18"/>
              </w:rPr>
              <w:t xml:space="preserve"> </w:t>
            </w:r>
            <w:r>
              <w:rPr>
                <w:sz w:val="18"/>
              </w:rPr>
              <w:t>Emission</w:t>
            </w:r>
            <w:r>
              <w:rPr>
                <w:spacing w:val="-1"/>
                <w:sz w:val="18"/>
              </w:rPr>
              <w:t xml:space="preserve"> </w:t>
            </w:r>
            <w:r>
              <w:rPr>
                <w:sz w:val="18"/>
              </w:rPr>
              <w:t>Trading</w:t>
            </w:r>
            <w:r>
              <w:rPr>
                <w:spacing w:val="-5"/>
                <w:sz w:val="18"/>
              </w:rPr>
              <w:t xml:space="preserve"> </w:t>
            </w:r>
            <w:r>
              <w:rPr>
                <w:sz w:val="18"/>
              </w:rPr>
              <w:t>System</w:t>
            </w:r>
            <w:r>
              <w:rPr>
                <w:spacing w:val="-42"/>
                <w:sz w:val="18"/>
              </w:rPr>
              <w:t xml:space="preserve"> </w:t>
            </w:r>
            <w:r>
              <w:rPr>
                <w:sz w:val="18"/>
              </w:rPr>
              <w:t>(ETS).</w:t>
            </w:r>
          </w:p>
          <w:p w:rsidR="00A56FE9" w:rsidRDefault="00000000">
            <w:pPr>
              <w:pStyle w:val="TableParagraph"/>
              <w:ind w:left="105" w:right="142"/>
              <w:rPr>
                <w:sz w:val="18"/>
              </w:rPr>
            </w:pPr>
            <w:r>
              <w:rPr>
                <w:sz w:val="18"/>
              </w:rPr>
              <w:t>All activities are directed towards ‘financially viable’ projects, the financial viability of which is determined by fund</w:t>
            </w:r>
            <w:r>
              <w:rPr>
                <w:spacing w:val="1"/>
                <w:sz w:val="18"/>
              </w:rPr>
              <w:t xml:space="preserve"> </w:t>
            </w:r>
            <w:r>
              <w:rPr>
                <w:sz w:val="18"/>
              </w:rPr>
              <w:t>management</w:t>
            </w:r>
            <w:r>
              <w:rPr>
                <w:spacing w:val="-2"/>
                <w:sz w:val="18"/>
              </w:rPr>
              <w:t xml:space="preserve"> </w:t>
            </w:r>
            <w:r>
              <w:rPr>
                <w:sz w:val="18"/>
              </w:rPr>
              <w:t>companies</w:t>
            </w:r>
            <w:r>
              <w:rPr>
                <w:spacing w:val="-3"/>
                <w:sz w:val="18"/>
              </w:rPr>
              <w:t xml:space="preserve"> </w:t>
            </w:r>
            <w:r>
              <w:rPr>
                <w:sz w:val="18"/>
              </w:rPr>
              <w:t>in accordance</w:t>
            </w:r>
            <w:r>
              <w:rPr>
                <w:spacing w:val="-3"/>
                <w:sz w:val="18"/>
              </w:rPr>
              <w:t xml:space="preserve"> </w:t>
            </w:r>
            <w:r>
              <w:rPr>
                <w:sz w:val="18"/>
              </w:rPr>
              <w:t>with the</w:t>
            </w:r>
            <w:r>
              <w:rPr>
                <w:spacing w:val="-3"/>
                <w:sz w:val="18"/>
              </w:rPr>
              <w:t xml:space="preserve"> </w:t>
            </w:r>
            <w:r>
              <w:rPr>
                <w:sz w:val="18"/>
              </w:rPr>
              <w:t>investment</w:t>
            </w:r>
            <w:r>
              <w:rPr>
                <w:spacing w:val="-1"/>
                <w:sz w:val="18"/>
              </w:rPr>
              <w:t xml:space="preserve"> </w:t>
            </w:r>
            <w:r>
              <w:rPr>
                <w:sz w:val="18"/>
              </w:rPr>
              <w:t>policies</w:t>
            </w:r>
            <w:r>
              <w:rPr>
                <w:spacing w:val="-3"/>
                <w:sz w:val="18"/>
              </w:rPr>
              <w:t xml:space="preserve"> </w:t>
            </w:r>
            <w:r>
              <w:rPr>
                <w:sz w:val="18"/>
              </w:rPr>
              <w:t>set</w:t>
            </w:r>
            <w:r>
              <w:rPr>
                <w:spacing w:val="-1"/>
                <w:sz w:val="18"/>
              </w:rPr>
              <w:t xml:space="preserve"> </w:t>
            </w:r>
            <w:r>
              <w:rPr>
                <w:sz w:val="18"/>
              </w:rPr>
              <w:t>out</w:t>
            </w:r>
            <w:r>
              <w:rPr>
                <w:spacing w:val="-4"/>
                <w:sz w:val="18"/>
              </w:rPr>
              <w:t xml:space="preserve"> </w:t>
            </w:r>
            <w:r>
              <w:rPr>
                <w:sz w:val="18"/>
              </w:rPr>
              <w:t>by</w:t>
            </w:r>
            <w:r>
              <w:rPr>
                <w:spacing w:val="-5"/>
                <w:sz w:val="18"/>
              </w:rPr>
              <w:t xml:space="preserve"> </w:t>
            </w:r>
            <w:r>
              <w:rPr>
                <w:sz w:val="18"/>
              </w:rPr>
              <w:t>the</w:t>
            </w:r>
            <w:r>
              <w:rPr>
                <w:spacing w:val="-3"/>
                <w:sz w:val="18"/>
              </w:rPr>
              <w:t xml:space="preserve"> </w:t>
            </w:r>
            <w:r>
              <w:rPr>
                <w:sz w:val="18"/>
              </w:rPr>
              <w:t>EIF and</w:t>
            </w:r>
            <w:r>
              <w:rPr>
                <w:spacing w:val="-1"/>
                <w:sz w:val="18"/>
              </w:rPr>
              <w:t xml:space="preserve"> </w:t>
            </w:r>
            <w:r>
              <w:rPr>
                <w:sz w:val="18"/>
              </w:rPr>
              <w:t>HBOR.</w:t>
            </w:r>
            <w:r>
              <w:rPr>
                <w:spacing w:val="-1"/>
                <w:sz w:val="18"/>
              </w:rPr>
              <w:t xml:space="preserve"> </w:t>
            </w:r>
            <w:r>
              <w:rPr>
                <w:sz w:val="18"/>
              </w:rPr>
              <w:t>In</w:t>
            </w:r>
            <w:r>
              <w:rPr>
                <w:spacing w:val="-3"/>
                <w:sz w:val="18"/>
              </w:rPr>
              <w:t xml:space="preserve"> </w:t>
            </w:r>
            <w:r>
              <w:rPr>
                <w:sz w:val="18"/>
              </w:rPr>
              <w:t>implementing</w:t>
            </w:r>
            <w:r>
              <w:rPr>
                <w:spacing w:val="-2"/>
                <w:sz w:val="18"/>
              </w:rPr>
              <w:t xml:space="preserve"> </w:t>
            </w:r>
            <w:r>
              <w:rPr>
                <w:sz w:val="18"/>
              </w:rPr>
              <w:t>the</w:t>
            </w:r>
          </w:p>
          <w:p w:rsidR="00A56FE9" w:rsidRDefault="00000000">
            <w:pPr>
              <w:pStyle w:val="TableParagraph"/>
              <w:spacing w:line="206" w:lineRule="exact"/>
              <w:ind w:left="105" w:right="142"/>
              <w:rPr>
                <w:sz w:val="18"/>
              </w:rPr>
            </w:pPr>
            <w:r>
              <w:rPr>
                <w:sz w:val="18"/>
              </w:rPr>
              <w:t>investment,</w:t>
            </w:r>
            <w:r>
              <w:rPr>
                <w:spacing w:val="-1"/>
                <w:sz w:val="18"/>
              </w:rPr>
              <w:t xml:space="preserve"> </w:t>
            </w:r>
            <w:r>
              <w:rPr>
                <w:sz w:val="18"/>
              </w:rPr>
              <w:t>HBOR</w:t>
            </w:r>
            <w:r>
              <w:rPr>
                <w:spacing w:val="-2"/>
                <w:sz w:val="18"/>
              </w:rPr>
              <w:t xml:space="preserve"> </w:t>
            </w:r>
            <w:r>
              <w:rPr>
                <w:sz w:val="18"/>
              </w:rPr>
              <w:t>shall</w:t>
            </w:r>
            <w:r>
              <w:rPr>
                <w:spacing w:val="-2"/>
                <w:sz w:val="18"/>
              </w:rPr>
              <w:t xml:space="preserve"> </w:t>
            </w:r>
            <w:r>
              <w:rPr>
                <w:sz w:val="18"/>
              </w:rPr>
              <w:t>ensure</w:t>
            </w:r>
            <w:r>
              <w:rPr>
                <w:spacing w:val="-2"/>
                <w:sz w:val="18"/>
              </w:rPr>
              <w:t xml:space="preserve"> </w:t>
            </w:r>
            <w:r>
              <w:rPr>
                <w:sz w:val="18"/>
              </w:rPr>
              <w:t>that</w:t>
            </w:r>
            <w:r>
              <w:rPr>
                <w:spacing w:val="-2"/>
                <w:sz w:val="18"/>
              </w:rPr>
              <w:t xml:space="preserve"> </w:t>
            </w:r>
            <w:r>
              <w:rPr>
                <w:sz w:val="18"/>
              </w:rPr>
              <w:t>resources</w:t>
            </w:r>
            <w:r>
              <w:rPr>
                <w:spacing w:val="-2"/>
                <w:sz w:val="18"/>
              </w:rPr>
              <w:t xml:space="preserve"> </w:t>
            </w:r>
            <w:r>
              <w:rPr>
                <w:sz w:val="18"/>
              </w:rPr>
              <w:t>are</w:t>
            </w:r>
            <w:r>
              <w:rPr>
                <w:spacing w:val="-2"/>
                <w:sz w:val="18"/>
              </w:rPr>
              <w:t xml:space="preserve"> </w:t>
            </w:r>
            <w:r>
              <w:rPr>
                <w:sz w:val="18"/>
              </w:rPr>
              <w:t>used</w:t>
            </w:r>
            <w:r>
              <w:rPr>
                <w:spacing w:val="-1"/>
                <w:sz w:val="18"/>
              </w:rPr>
              <w:t xml:space="preserve"> </w:t>
            </w:r>
            <w:r>
              <w:rPr>
                <w:sz w:val="18"/>
              </w:rPr>
              <w:t>in</w:t>
            </w:r>
            <w:r>
              <w:rPr>
                <w:spacing w:val="-1"/>
                <w:sz w:val="18"/>
              </w:rPr>
              <w:t xml:space="preserve"> </w:t>
            </w:r>
            <w:r>
              <w:rPr>
                <w:sz w:val="18"/>
              </w:rPr>
              <w:t>accordance</w:t>
            </w:r>
            <w:r>
              <w:rPr>
                <w:spacing w:val="-2"/>
                <w:sz w:val="18"/>
              </w:rPr>
              <w:t xml:space="preserve"> </w:t>
            </w:r>
            <w:r>
              <w:rPr>
                <w:sz w:val="18"/>
              </w:rPr>
              <w:t>with</w:t>
            </w:r>
            <w:r>
              <w:rPr>
                <w:spacing w:val="-1"/>
                <w:sz w:val="18"/>
              </w:rPr>
              <w:t xml:space="preserve"> </w:t>
            </w:r>
            <w:r>
              <w:rPr>
                <w:sz w:val="18"/>
              </w:rPr>
              <w:t>the</w:t>
            </w:r>
            <w:r>
              <w:rPr>
                <w:spacing w:val="-3"/>
                <w:sz w:val="18"/>
              </w:rPr>
              <w:t xml:space="preserve"> </w:t>
            </w:r>
            <w:r>
              <w:rPr>
                <w:sz w:val="18"/>
              </w:rPr>
              <w:t>limits</w:t>
            </w:r>
            <w:r>
              <w:rPr>
                <w:spacing w:val="-1"/>
                <w:sz w:val="18"/>
              </w:rPr>
              <w:t xml:space="preserve"> </w:t>
            </w:r>
            <w:r>
              <w:rPr>
                <w:sz w:val="18"/>
              </w:rPr>
              <w:t>described</w:t>
            </w:r>
            <w:r>
              <w:rPr>
                <w:spacing w:val="-1"/>
                <w:sz w:val="18"/>
              </w:rPr>
              <w:t xml:space="preserve"> </w:t>
            </w:r>
            <w:r>
              <w:rPr>
                <w:sz w:val="18"/>
              </w:rPr>
              <w:t>in</w:t>
            </w:r>
            <w:r>
              <w:rPr>
                <w:spacing w:val="-1"/>
                <w:sz w:val="18"/>
              </w:rPr>
              <w:t xml:space="preserve"> </w:t>
            </w:r>
            <w:r>
              <w:rPr>
                <w:sz w:val="18"/>
              </w:rPr>
              <w:t>the</w:t>
            </w:r>
            <w:r>
              <w:rPr>
                <w:spacing w:val="-2"/>
                <w:sz w:val="18"/>
              </w:rPr>
              <w:t xml:space="preserve"> </w:t>
            </w:r>
            <w:r>
              <w:rPr>
                <w:sz w:val="18"/>
              </w:rPr>
              <w:t>description</w:t>
            </w:r>
            <w:r>
              <w:rPr>
                <w:spacing w:val="-1"/>
                <w:sz w:val="18"/>
              </w:rPr>
              <w:t xml:space="preserve"> </w:t>
            </w:r>
            <w:r>
              <w:rPr>
                <w:sz w:val="18"/>
              </w:rPr>
              <w:t>of</w:t>
            </w:r>
            <w:r>
              <w:rPr>
                <w:spacing w:val="-4"/>
                <w:sz w:val="18"/>
              </w:rPr>
              <w:t xml:space="preserve"> </w:t>
            </w:r>
            <w:r>
              <w:rPr>
                <w:sz w:val="18"/>
              </w:rPr>
              <w:t>the</w:t>
            </w:r>
            <w:r>
              <w:rPr>
                <w:spacing w:val="-42"/>
                <w:sz w:val="18"/>
              </w:rPr>
              <w:t xml:space="preserve"> </w:t>
            </w:r>
            <w:r>
              <w:rPr>
                <w:sz w:val="18"/>
              </w:rPr>
              <w:t>measure</w:t>
            </w:r>
            <w:r>
              <w:rPr>
                <w:spacing w:val="-2"/>
                <w:sz w:val="18"/>
              </w:rPr>
              <w:t xml:space="preserve"> </w:t>
            </w:r>
            <w:r>
              <w:rPr>
                <w:sz w:val="18"/>
              </w:rPr>
              <w:t>as</w:t>
            </w:r>
            <w:r>
              <w:rPr>
                <w:spacing w:val="2"/>
                <w:sz w:val="18"/>
              </w:rPr>
              <w:t xml:space="preserve"> </w:t>
            </w:r>
            <w:r>
              <w:rPr>
                <w:sz w:val="18"/>
              </w:rPr>
              <w:t>well</w:t>
            </w:r>
            <w:r>
              <w:rPr>
                <w:spacing w:val="-1"/>
                <w:sz w:val="18"/>
              </w:rPr>
              <w:t xml:space="preserve"> </w:t>
            </w:r>
            <w:r>
              <w:rPr>
                <w:sz w:val="18"/>
              </w:rPr>
              <w:t>as</w:t>
            </w:r>
            <w:r>
              <w:rPr>
                <w:spacing w:val="-1"/>
                <w:sz w:val="18"/>
              </w:rPr>
              <w:t xml:space="preserve"> </w:t>
            </w:r>
            <w:r>
              <w:rPr>
                <w:sz w:val="18"/>
              </w:rPr>
              <w:t>the</w:t>
            </w:r>
            <w:r>
              <w:rPr>
                <w:spacing w:val="-2"/>
                <w:sz w:val="18"/>
              </w:rPr>
              <w:t xml:space="preserve"> </w:t>
            </w:r>
            <w:r>
              <w:rPr>
                <w:sz w:val="18"/>
              </w:rPr>
              <w:t>‘exclusion’ list</w:t>
            </w:r>
            <w:r>
              <w:rPr>
                <w:spacing w:val="-1"/>
                <w:sz w:val="18"/>
              </w:rPr>
              <w:t xml:space="preserve"> </w:t>
            </w:r>
            <w:r>
              <w:rPr>
                <w:sz w:val="18"/>
              </w:rPr>
              <w:t>described</w:t>
            </w:r>
            <w:r>
              <w:rPr>
                <w:spacing w:val="-2"/>
                <w:sz w:val="18"/>
              </w:rPr>
              <w:t xml:space="preserve"> </w:t>
            </w:r>
            <w:r>
              <w:rPr>
                <w:sz w:val="18"/>
              </w:rPr>
              <w:t>in</w:t>
            </w:r>
            <w:r>
              <w:rPr>
                <w:spacing w:val="-1"/>
                <w:sz w:val="18"/>
              </w:rPr>
              <w:t xml:space="preserve"> </w:t>
            </w:r>
            <w:r>
              <w:rPr>
                <w:sz w:val="18"/>
              </w:rPr>
              <w:t>the</w:t>
            </w:r>
            <w:r>
              <w:rPr>
                <w:spacing w:val="-2"/>
                <w:sz w:val="18"/>
              </w:rPr>
              <w:t xml:space="preserve"> </w:t>
            </w:r>
            <w:r>
              <w:rPr>
                <w:sz w:val="18"/>
              </w:rPr>
              <w:t>FI for</w:t>
            </w:r>
            <w:r>
              <w:rPr>
                <w:spacing w:val="-1"/>
                <w:sz w:val="18"/>
              </w:rPr>
              <w:t xml:space="preserve"> </w:t>
            </w:r>
            <w:r>
              <w:rPr>
                <w:sz w:val="18"/>
              </w:rPr>
              <w:t>SME,</w:t>
            </w:r>
            <w:r>
              <w:rPr>
                <w:spacing w:val="-2"/>
                <w:sz w:val="18"/>
              </w:rPr>
              <w:t xml:space="preserve"> </w:t>
            </w:r>
            <w:r>
              <w:rPr>
                <w:sz w:val="18"/>
              </w:rPr>
              <w:t>Mid-cap</w:t>
            </w:r>
            <w:r>
              <w:rPr>
                <w:spacing w:val="1"/>
                <w:sz w:val="18"/>
              </w:rPr>
              <w:t xml:space="preserve"> </w:t>
            </w:r>
            <w:r>
              <w:rPr>
                <w:sz w:val="18"/>
              </w:rPr>
              <w:t>and Large</w:t>
            </w:r>
            <w:r>
              <w:rPr>
                <w:spacing w:val="-1"/>
                <w:sz w:val="18"/>
              </w:rPr>
              <w:t xml:space="preserve"> </w:t>
            </w:r>
            <w:r>
              <w:rPr>
                <w:sz w:val="18"/>
              </w:rPr>
              <w:t>Entities.</w:t>
            </w:r>
          </w:p>
        </w:tc>
      </w:tr>
      <w:tr w:rsidR="00A56FE9">
        <w:trPr>
          <w:trHeight w:val="1036"/>
        </w:trPr>
        <w:tc>
          <w:tcPr>
            <w:tcW w:w="2064" w:type="dxa"/>
            <w:vMerge/>
            <w:tcBorders>
              <w:top w:val="nil"/>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ind w:left="100" w:right="260"/>
              <w:rPr>
                <w:sz w:val="18"/>
              </w:rPr>
            </w:pPr>
            <w:r>
              <w:rPr>
                <w:sz w:val="18"/>
              </w:rPr>
              <w:t>Entry into force of legislation and/or</w:t>
            </w:r>
            <w:r>
              <w:rPr>
                <w:spacing w:val="1"/>
                <w:sz w:val="18"/>
              </w:rPr>
              <w:t xml:space="preserve"> </w:t>
            </w:r>
            <w:r>
              <w:rPr>
                <w:sz w:val="18"/>
              </w:rPr>
              <w:t>regulation to improve uptake of renewable</w:t>
            </w:r>
            <w:r>
              <w:rPr>
                <w:spacing w:val="-42"/>
                <w:sz w:val="18"/>
              </w:rPr>
              <w:t xml:space="preserve"> </w:t>
            </w:r>
            <w:r>
              <w:rPr>
                <w:sz w:val="18"/>
              </w:rPr>
              <w:t>energy</w:t>
            </w:r>
            <w:r>
              <w:rPr>
                <w:spacing w:val="-5"/>
                <w:sz w:val="18"/>
              </w:rPr>
              <w:t xml:space="preserve"> </w:t>
            </w:r>
            <w:r>
              <w:rPr>
                <w:sz w:val="18"/>
              </w:rPr>
              <w:t>sources,</w:t>
            </w:r>
            <w:r>
              <w:rPr>
                <w:spacing w:val="-1"/>
                <w:sz w:val="18"/>
              </w:rPr>
              <w:t xml:space="preserve"> </w:t>
            </w:r>
            <w:r>
              <w:rPr>
                <w:sz w:val="18"/>
              </w:rPr>
              <w:t>including</w:t>
            </w:r>
            <w:r>
              <w:rPr>
                <w:spacing w:val="-1"/>
                <w:sz w:val="18"/>
              </w:rPr>
              <w:t xml:space="preserve"> </w:t>
            </w:r>
            <w:r>
              <w:rPr>
                <w:sz w:val="18"/>
              </w:rPr>
              <w:t>introduction</w:t>
            </w:r>
            <w:r>
              <w:rPr>
                <w:spacing w:val="-2"/>
                <w:sz w:val="18"/>
              </w:rPr>
              <w:t xml:space="preserve"> </w:t>
            </w:r>
            <w:r>
              <w:rPr>
                <w:sz w:val="18"/>
              </w:rPr>
              <w:t>of</w:t>
            </w:r>
            <w:r>
              <w:rPr>
                <w:spacing w:val="-2"/>
                <w:sz w:val="18"/>
              </w:rPr>
              <w:t xml:space="preserve"> </w:t>
            </w:r>
            <w:r>
              <w:rPr>
                <w:sz w:val="18"/>
              </w:rPr>
              <w:t>a</w:t>
            </w:r>
          </w:p>
          <w:p w:rsidR="00A56FE9" w:rsidRDefault="00000000">
            <w:pPr>
              <w:pStyle w:val="TableParagraph"/>
              <w:spacing w:line="206" w:lineRule="exact"/>
              <w:ind w:left="100" w:right="374"/>
              <w:rPr>
                <w:sz w:val="18"/>
              </w:rPr>
            </w:pPr>
            <w:r>
              <w:rPr>
                <w:sz w:val="18"/>
              </w:rPr>
              <w:t>premium-based system for the support of</w:t>
            </w:r>
            <w:r>
              <w:rPr>
                <w:spacing w:val="-42"/>
                <w:sz w:val="18"/>
              </w:rPr>
              <w:t xml:space="preserve"> </w:t>
            </w:r>
            <w:r>
              <w:rPr>
                <w:sz w:val="18"/>
              </w:rPr>
              <w:t>renewable</w:t>
            </w:r>
            <w:r>
              <w:rPr>
                <w:spacing w:val="-1"/>
                <w:sz w:val="18"/>
              </w:rPr>
              <w:t xml:space="preserve"> </w:t>
            </w:r>
            <w:r>
              <w:rPr>
                <w:sz w:val="18"/>
              </w:rPr>
              <w:t>energy</w:t>
            </w:r>
            <w:r>
              <w:rPr>
                <w:spacing w:val="-3"/>
                <w:sz w:val="18"/>
              </w:rPr>
              <w:t xml:space="preserve"> </w:t>
            </w:r>
            <w:r>
              <w:rPr>
                <w:sz w:val="18"/>
              </w:rPr>
              <w:t>sources.</w:t>
            </w:r>
          </w:p>
        </w:tc>
        <w:tc>
          <w:tcPr>
            <w:tcW w:w="8927" w:type="dxa"/>
            <w:shd w:val="clear" w:color="auto" w:fill="C5EECE"/>
          </w:tcPr>
          <w:p w:rsidR="00A56FE9" w:rsidRDefault="00000000">
            <w:pPr>
              <w:pStyle w:val="TableParagraph"/>
              <w:ind w:left="105" w:right="185"/>
              <w:rPr>
                <w:sz w:val="18"/>
              </w:rPr>
            </w:pPr>
            <w:r>
              <w:rPr>
                <w:sz w:val="18"/>
              </w:rPr>
              <w:t>Revised Electricity Market Act and High-Efficiency Cogeneration Act shall alleviate barriers and administrative</w:t>
            </w:r>
            <w:r>
              <w:rPr>
                <w:spacing w:val="1"/>
                <w:sz w:val="18"/>
              </w:rPr>
              <w:t xml:space="preserve"> </w:t>
            </w:r>
            <w:r>
              <w:rPr>
                <w:sz w:val="18"/>
              </w:rPr>
              <w:t>procedures</w:t>
            </w:r>
            <w:r>
              <w:rPr>
                <w:spacing w:val="-2"/>
                <w:sz w:val="18"/>
              </w:rPr>
              <w:t xml:space="preserve"> </w:t>
            </w:r>
            <w:r>
              <w:rPr>
                <w:sz w:val="18"/>
              </w:rPr>
              <w:t>restraining</w:t>
            </w:r>
            <w:r>
              <w:rPr>
                <w:spacing w:val="-2"/>
                <w:sz w:val="18"/>
              </w:rPr>
              <w:t xml:space="preserve"> </w:t>
            </w:r>
            <w:r>
              <w:rPr>
                <w:sz w:val="18"/>
              </w:rPr>
              <w:t>higher</w:t>
            </w:r>
            <w:r>
              <w:rPr>
                <w:spacing w:val="-3"/>
                <w:sz w:val="18"/>
              </w:rPr>
              <w:t xml:space="preserve"> </w:t>
            </w:r>
            <w:r>
              <w:rPr>
                <w:sz w:val="18"/>
              </w:rPr>
              <w:t>uptake</w:t>
            </w:r>
            <w:r>
              <w:rPr>
                <w:spacing w:val="-2"/>
                <w:sz w:val="18"/>
              </w:rPr>
              <w:t xml:space="preserve"> </w:t>
            </w:r>
            <w:r>
              <w:rPr>
                <w:sz w:val="18"/>
              </w:rPr>
              <w:t>of</w:t>
            </w:r>
            <w:r>
              <w:rPr>
                <w:spacing w:val="-3"/>
                <w:sz w:val="18"/>
              </w:rPr>
              <w:t xml:space="preserve"> </w:t>
            </w:r>
            <w:r>
              <w:rPr>
                <w:sz w:val="18"/>
              </w:rPr>
              <w:t>renewable</w:t>
            </w:r>
            <w:r>
              <w:rPr>
                <w:spacing w:val="-2"/>
                <w:sz w:val="18"/>
              </w:rPr>
              <w:t xml:space="preserve"> </w:t>
            </w:r>
            <w:r>
              <w:rPr>
                <w:sz w:val="18"/>
              </w:rPr>
              <w:t>energy</w:t>
            </w:r>
            <w:r>
              <w:rPr>
                <w:spacing w:val="-5"/>
                <w:sz w:val="18"/>
              </w:rPr>
              <w:t xml:space="preserve"> </w:t>
            </w:r>
            <w:r>
              <w:rPr>
                <w:sz w:val="18"/>
              </w:rPr>
              <w:t>sources,</w:t>
            </w:r>
            <w:r>
              <w:rPr>
                <w:spacing w:val="-1"/>
                <w:sz w:val="18"/>
              </w:rPr>
              <w:t xml:space="preserve"> </w:t>
            </w:r>
            <w:r>
              <w:rPr>
                <w:sz w:val="18"/>
              </w:rPr>
              <w:t>including</w:t>
            </w:r>
            <w:r>
              <w:rPr>
                <w:spacing w:val="-2"/>
                <w:sz w:val="18"/>
              </w:rPr>
              <w:t xml:space="preserve"> </w:t>
            </w:r>
            <w:r>
              <w:rPr>
                <w:sz w:val="18"/>
              </w:rPr>
              <w:t>measures</w:t>
            </w:r>
            <w:r>
              <w:rPr>
                <w:spacing w:val="-1"/>
                <w:sz w:val="18"/>
              </w:rPr>
              <w:t xml:space="preserve"> </w:t>
            </w:r>
            <w:r>
              <w:rPr>
                <w:sz w:val="18"/>
              </w:rPr>
              <w:t>to promote</w:t>
            </w:r>
            <w:r>
              <w:rPr>
                <w:spacing w:val="-1"/>
                <w:sz w:val="18"/>
              </w:rPr>
              <w:t xml:space="preserve"> </w:t>
            </w:r>
            <w:r>
              <w:rPr>
                <w:sz w:val="18"/>
              </w:rPr>
              <w:t>the</w:t>
            </w:r>
            <w:r>
              <w:rPr>
                <w:spacing w:val="-2"/>
                <w:sz w:val="18"/>
              </w:rPr>
              <w:t xml:space="preserve"> </w:t>
            </w:r>
            <w:r>
              <w:rPr>
                <w:sz w:val="18"/>
              </w:rPr>
              <w:t>renewable</w:t>
            </w:r>
            <w:r>
              <w:rPr>
                <w:spacing w:val="-1"/>
                <w:sz w:val="18"/>
              </w:rPr>
              <w:t xml:space="preserve"> </w:t>
            </w:r>
            <w:r>
              <w:rPr>
                <w:sz w:val="18"/>
              </w:rPr>
              <w:t>energy</w:t>
            </w:r>
            <w:r>
              <w:rPr>
                <w:spacing w:val="-42"/>
                <w:sz w:val="18"/>
              </w:rPr>
              <w:t xml:space="preserve"> </w:t>
            </w:r>
            <w:r>
              <w:rPr>
                <w:sz w:val="18"/>
              </w:rPr>
              <w:t>self-consumption and renewable energy communities. Premium-based system for the support of renewable energy</w:t>
            </w:r>
            <w:r>
              <w:rPr>
                <w:spacing w:val="1"/>
                <w:sz w:val="18"/>
              </w:rPr>
              <w:t xml:space="preserve"> </w:t>
            </w:r>
            <w:r>
              <w:rPr>
                <w:sz w:val="18"/>
              </w:rPr>
              <w:t>sources</w:t>
            </w:r>
            <w:r>
              <w:rPr>
                <w:spacing w:val="-1"/>
                <w:sz w:val="18"/>
              </w:rPr>
              <w:t xml:space="preserve"> </w:t>
            </w:r>
            <w:r>
              <w:rPr>
                <w:sz w:val="18"/>
              </w:rPr>
              <w:t>will be</w:t>
            </w:r>
            <w:r>
              <w:rPr>
                <w:spacing w:val="-1"/>
                <w:sz w:val="18"/>
              </w:rPr>
              <w:t xml:space="preserve"> </w:t>
            </w:r>
            <w:r>
              <w:rPr>
                <w:sz w:val="18"/>
              </w:rPr>
              <w:t>fully</w:t>
            </w:r>
            <w:r>
              <w:rPr>
                <w:spacing w:val="-4"/>
                <w:sz w:val="18"/>
              </w:rPr>
              <w:t xml:space="preserve"> </w:t>
            </w:r>
            <w:r>
              <w:rPr>
                <w:sz w:val="18"/>
              </w:rPr>
              <w:t>operational.</w:t>
            </w:r>
          </w:p>
        </w:tc>
      </w:tr>
      <w:tr w:rsidR="00A56FE9">
        <w:trPr>
          <w:trHeight w:val="1240"/>
        </w:trPr>
        <w:tc>
          <w:tcPr>
            <w:tcW w:w="2064" w:type="dxa"/>
            <w:vMerge/>
            <w:tcBorders>
              <w:top w:val="nil"/>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ind w:left="100" w:right="278"/>
              <w:rPr>
                <w:i/>
                <w:sz w:val="18"/>
              </w:rPr>
            </w:pPr>
            <w:r>
              <w:rPr>
                <w:sz w:val="18"/>
              </w:rPr>
              <w:t>Contracts</w:t>
            </w:r>
            <w:r>
              <w:rPr>
                <w:spacing w:val="-2"/>
                <w:sz w:val="18"/>
              </w:rPr>
              <w:t xml:space="preserve"> </w:t>
            </w:r>
            <w:r>
              <w:rPr>
                <w:sz w:val="18"/>
              </w:rPr>
              <w:t>signed</w:t>
            </w:r>
            <w:r>
              <w:rPr>
                <w:spacing w:val="-1"/>
                <w:sz w:val="18"/>
              </w:rPr>
              <w:t xml:space="preserve"> </w:t>
            </w:r>
            <w:r>
              <w:rPr>
                <w:sz w:val="18"/>
              </w:rPr>
              <w:t>for</w:t>
            </w:r>
            <w:r>
              <w:rPr>
                <w:spacing w:val="-2"/>
                <w:sz w:val="18"/>
              </w:rPr>
              <w:t xml:space="preserve"> </w:t>
            </w:r>
            <w:r>
              <w:rPr>
                <w:sz w:val="18"/>
              </w:rPr>
              <w:t>the</w:t>
            </w:r>
            <w:r>
              <w:rPr>
                <w:spacing w:val="-3"/>
                <w:sz w:val="18"/>
              </w:rPr>
              <w:t xml:space="preserve"> </w:t>
            </w:r>
            <w:r>
              <w:rPr>
                <w:sz w:val="18"/>
              </w:rPr>
              <w:t>energy</w:t>
            </w:r>
            <w:r>
              <w:rPr>
                <w:spacing w:val="-6"/>
                <w:sz w:val="18"/>
              </w:rPr>
              <w:t xml:space="preserve"> </w:t>
            </w:r>
            <w:r>
              <w:rPr>
                <w:sz w:val="18"/>
              </w:rPr>
              <w:t>renovation</w:t>
            </w:r>
            <w:r>
              <w:rPr>
                <w:spacing w:val="-42"/>
                <w:sz w:val="18"/>
              </w:rPr>
              <w:t xml:space="preserve"> </w:t>
            </w:r>
            <w:r>
              <w:rPr>
                <w:sz w:val="18"/>
              </w:rPr>
              <w:t>of public and multi-dwelling buildings</w:t>
            </w:r>
            <w:r>
              <w:rPr>
                <w:spacing w:val="1"/>
                <w:sz w:val="18"/>
              </w:rPr>
              <w:t xml:space="preserve"> </w:t>
            </w:r>
            <w:r>
              <w:rPr>
                <w:i/>
                <w:sz w:val="18"/>
              </w:rPr>
              <w:t>Also contributes to achieving SDG 11, 12</w:t>
            </w:r>
            <w:r>
              <w:rPr>
                <w:i/>
                <w:spacing w:val="1"/>
                <w:sz w:val="18"/>
              </w:rPr>
              <w:t xml:space="preserve"> </w:t>
            </w:r>
            <w:r>
              <w:rPr>
                <w:i/>
                <w:sz w:val="18"/>
              </w:rPr>
              <w:t>and</w:t>
            </w:r>
            <w:r>
              <w:rPr>
                <w:i/>
                <w:spacing w:val="-2"/>
                <w:sz w:val="18"/>
              </w:rPr>
              <w:t xml:space="preserve"> </w:t>
            </w:r>
            <w:r>
              <w:rPr>
                <w:i/>
                <w:sz w:val="18"/>
              </w:rPr>
              <w:t>13</w:t>
            </w:r>
          </w:p>
        </w:tc>
        <w:tc>
          <w:tcPr>
            <w:tcW w:w="8927" w:type="dxa"/>
            <w:shd w:val="clear" w:color="auto" w:fill="C5EECE"/>
          </w:tcPr>
          <w:p w:rsidR="00A56FE9" w:rsidRDefault="00000000">
            <w:pPr>
              <w:pStyle w:val="TableParagraph"/>
              <w:ind w:left="105" w:right="154"/>
              <w:rPr>
                <w:sz w:val="18"/>
              </w:rPr>
            </w:pPr>
            <w:r>
              <w:rPr>
                <w:sz w:val="18"/>
              </w:rPr>
              <w:t>Contracts signed providing EUR 66,361,404 for energy renovation of buildings. All contracts to state the relevant</w:t>
            </w:r>
            <w:r>
              <w:rPr>
                <w:spacing w:val="1"/>
                <w:sz w:val="18"/>
              </w:rPr>
              <w:t xml:space="preserve"> </w:t>
            </w:r>
            <w:r>
              <w:rPr>
                <w:sz w:val="18"/>
              </w:rPr>
              <w:t>energy efficiency requirement of a minimum reduction of energy consumption for heating by at least 50% compared to</w:t>
            </w:r>
            <w:r>
              <w:rPr>
                <w:spacing w:val="1"/>
                <w:sz w:val="18"/>
              </w:rPr>
              <w:t xml:space="preserve"> </w:t>
            </w:r>
            <w:r>
              <w:rPr>
                <w:sz w:val="18"/>
              </w:rPr>
              <w:t>the</w:t>
            </w:r>
            <w:r>
              <w:rPr>
                <w:spacing w:val="-3"/>
                <w:sz w:val="18"/>
              </w:rPr>
              <w:t xml:space="preserve"> </w:t>
            </w:r>
            <w:r>
              <w:rPr>
                <w:sz w:val="18"/>
              </w:rPr>
              <w:t>annual</w:t>
            </w:r>
            <w:r>
              <w:rPr>
                <w:spacing w:val="-1"/>
                <w:sz w:val="18"/>
              </w:rPr>
              <w:t xml:space="preserve"> </w:t>
            </w:r>
            <w:r>
              <w:rPr>
                <w:sz w:val="18"/>
              </w:rPr>
              <w:t>energy</w:t>
            </w:r>
            <w:r>
              <w:rPr>
                <w:spacing w:val="-5"/>
                <w:sz w:val="18"/>
              </w:rPr>
              <w:t xml:space="preserve"> </w:t>
            </w:r>
            <w:r>
              <w:rPr>
                <w:sz w:val="18"/>
              </w:rPr>
              <w:t>consumption</w:t>
            </w:r>
            <w:r>
              <w:rPr>
                <w:spacing w:val="-1"/>
                <w:sz w:val="18"/>
              </w:rPr>
              <w:t xml:space="preserve"> </w:t>
            </w:r>
            <w:r>
              <w:rPr>
                <w:sz w:val="18"/>
              </w:rPr>
              <w:t>for</w:t>
            </w:r>
            <w:r>
              <w:rPr>
                <w:spacing w:val="-1"/>
                <w:sz w:val="18"/>
              </w:rPr>
              <w:t xml:space="preserve"> </w:t>
            </w:r>
            <w:r>
              <w:rPr>
                <w:sz w:val="18"/>
              </w:rPr>
              <w:t>heating</w:t>
            </w:r>
            <w:r>
              <w:rPr>
                <w:spacing w:val="-3"/>
                <w:sz w:val="18"/>
              </w:rPr>
              <w:t xml:space="preserve"> </w:t>
            </w:r>
            <w:r>
              <w:rPr>
                <w:sz w:val="18"/>
              </w:rPr>
              <w:t>prior</w:t>
            </w:r>
            <w:r>
              <w:rPr>
                <w:spacing w:val="-1"/>
                <w:sz w:val="18"/>
              </w:rPr>
              <w:t xml:space="preserve"> </w:t>
            </w:r>
            <w:r>
              <w:rPr>
                <w:sz w:val="18"/>
              </w:rPr>
              <w:t>to the</w:t>
            </w:r>
            <w:r>
              <w:rPr>
                <w:spacing w:val="-3"/>
                <w:sz w:val="18"/>
              </w:rPr>
              <w:t xml:space="preserve"> </w:t>
            </w:r>
            <w:r>
              <w:rPr>
                <w:sz w:val="18"/>
              </w:rPr>
              <w:t>renovation for</w:t>
            </w:r>
            <w:r>
              <w:rPr>
                <w:spacing w:val="-2"/>
                <w:sz w:val="18"/>
              </w:rPr>
              <w:t xml:space="preserve"> </w:t>
            </w:r>
            <w:r>
              <w:rPr>
                <w:sz w:val="18"/>
              </w:rPr>
              <w:t>each building</w:t>
            </w:r>
            <w:r>
              <w:rPr>
                <w:spacing w:val="-2"/>
                <w:sz w:val="18"/>
              </w:rPr>
              <w:t xml:space="preserve"> </w:t>
            </w:r>
            <w:r>
              <w:rPr>
                <w:sz w:val="18"/>
              </w:rPr>
              <w:t>(expect</w:t>
            </w:r>
            <w:r>
              <w:rPr>
                <w:spacing w:val="-2"/>
                <w:sz w:val="18"/>
              </w:rPr>
              <w:t xml:space="preserve"> </w:t>
            </w:r>
            <w:r>
              <w:rPr>
                <w:sz w:val="18"/>
              </w:rPr>
              <w:t>for</w:t>
            </w:r>
            <w:r>
              <w:rPr>
                <w:spacing w:val="-1"/>
                <w:sz w:val="18"/>
              </w:rPr>
              <w:t xml:space="preserve"> </w:t>
            </w:r>
            <w:r>
              <w:rPr>
                <w:sz w:val="18"/>
              </w:rPr>
              <w:t>building</w:t>
            </w:r>
            <w:r>
              <w:rPr>
                <w:spacing w:val="-2"/>
                <w:sz w:val="18"/>
              </w:rPr>
              <w:t xml:space="preserve"> </w:t>
            </w:r>
            <w:r>
              <w:rPr>
                <w:sz w:val="18"/>
              </w:rPr>
              <w:t>with</w:t>
            </w:r>
            <w:r>
              <w:rPr>
                <w:spacing w:val="-1"/>
                <w:sz w:val="18"/>
              </w:rPr>
              <w:t xml:space="preserve"> </w:t>
            </w:r>
            <w:r>
              <w:rPr>
                <w:sz w:val="18"/>
              </w:rPr>
              <w:t>a</w:t>
            </w:r>
            <w:r>
              <w:rPr>
                <w:spacing w:val="-2"/>
                <w:sz w:val="18"/>
              </w:rPr>
              <w:t xml:space="preserve"> </w:t>
            </w:r>
            <w:r>
              <w:rPr>
                <w:sz w:val="18"/>
              </w:rPr>
              <w:t>status</w:t>
            </w:r>
            <w:r>
              <w:rPr>
                <w:spacing w:val="-2"/>
                <w:sz w:val="18"/>
              </w:rPr>
              <w:t xml:space="preserve"> </w:t>
            </w:r>
            <w:r>
              <w:rPr>
                <w:sz w:val="18"/>
              </w:rPr>
              <w:t>of</w:t>
            </w:r>
            <w:r>
              <w:rPr>
                <w:spacing w:val="-42"/>
                <w:sz w:val="18"/>
              </w:rPr>
              <w:t xml:space="preserve"> </w:t>
            </w:r>
            <w:r>
              <w:rPr>
                <w:sz w:val="18"/>
              </w:rPr>
              <w:t>a cultural good), which shall deliver an increase of 30% primary energy savings compared to pre-renovation state and</w:t>
            </w:r>
            <w:r>
              <w:rPr>
                <w:spacing w:val="1"/>
                <w:sz w:val="18"/>
              </w:rPr>
              <w:t xml:space="preserve"> </w:t>
            </w:r>
            <w:r>
              <w:rPr>
                <w:sz w:val="18"/>
              </w:rPr>
              <w:t>respecting</w:t>
            </w:r>
            <w:r>
              <w:rPr>
                <w:spacing w:val="-2"/>
                <w:sz w:val="18"/>
              </w:rPr>
              <w:t xml:space="preserve"> </w:t>
            </w:r>
            <w:r>
              <w:rPr>
                <w:sz w:val="18"/>
              </w:rPr>
              <w:t>the</w:t>
            </w:r>
            <w:r>
              <w:rPr>
                <w:spacing w:val="-2"/>
                <w:sz w:val="18"/>
              </w:rPr>
              <w:t xml:space="preserve"> </w:t>
            </w:r>
            <w:r>
              <w:rPr>
                <w:sz w:val="18"/>
              </w:rPr>
              <w:t>“do</w:t>
            </w:r>
            <w:r>
              <w:rPr>
                <w:spacing w:val="-2"/>
                <w:sz w:val="18"/>
              </w:rPr>
              <w:t xml:space="preserve"> </w:t>
            </w:r>
            <w:r>
              <w:rPr>
                <w:sz w:val="18"/>
              </w:rPr>
              <w:t>no significant</w:t>
            </w:r>
            <w:r>
              <w:rPr>
                <w:spacing w:val="-1"/>
                <w:sz w:val="18"/>
              </w:rPr>
              <w:t xml:space="preserve"> </w:t>
            </w:r>
            <w:r>
              <w:rPr>
                <w:sz w:val="18"/>
              </w:rPr>
              <w:t>harm</w:t>
            </w:r>
            <w:r>
              <w:rPr>
                <w:spacing w:val="-3"/>
                <w:sz w:val="18"/>
              </w:rPr>
              <w:t xml:space="preserve"> </w:t>
            </w:r>
            <w:r>
              <w:rPr>
                <w:sz w:val="18"/>
              </w:rPr>
              <w:t>principle”</w:t>
            </w:r>
            <w:r>
              <w:rPr>
                <w:spacing w:val="-2"/>
                <w:sz w:val="18"/>
              </w:rPr>
              <w:t xml:space="preserve"> </w:t>
            </w:r>
            <w:r>
              <w:rPr>
                <w:sz w:val="18"/>
              </w:rPr>
              <w:t>as</w:t>
            </w:r>
            <w:r>
              <w:rPr>
                <w:spacing w:val="-2"/>
                <w:sz w:val="18"/>
              </w:rPr>
              <w:t xml:space="preserve"> </w:t>
            </w:r>
            <w:r>
              <w:rPr>
                <w:sz w:val="18"/>
              </w:rPr>
              <w:t>set</w:t>
            </w:r>
            <w:r>
              <w:rPr>
                <w:spacing w:val="-1"/>
                <w:sz w:val="18"/>
              </w:rPr>
              <w:t xml:space="preserve"> </w:t>
            </w:r>
            <w:r>
              <w:rPr>
                <w:sz w:val="18"/>
              </w:rPr>
              <w:t>out</w:t>
            </w:r>
            <w:r>
              <w:rPr>
                <w:spacing w:val="-3"/>
                <w:sz w:val="18"/>
              </w:rPr>
              <w:t xml:space="preserve"> </w:t>
            </w:r>
            <w:r>
              <w:rPr>
                <w:sz w:val="18"/>
              </w:rPr>
              <w:t>in</w:t>
            </w:r>
            <w:r>
              <w:rPr>
                <w:spacing w:val="-2"/>
                <w:sz w:val="18"/>
              </w:rPr>
              <w:t xml:space="preserve"> </w:t>
            </w:r>
            <w:r>
              <w:rPr>
                <w:sz w:val="18"/>
              </w:rPr>
              <w:t>Article 17</w:t>
            </w:r>
            <w:r>
              <w:rPr>
                <w:spacing w:val="-2"/>
                <w:sz w:val="18"/>
              </w:rPr>
              <w:t xml:space="preserve"> </w:t>
            </w:r>
            <w:r>
              <w:rPr>
                <w:sz w:val="18"/>
              </w:rPr>
              <w:t>of</w:t>
            </w:r>
            <w:r>
              <w:rPr>
                <w:spacing w:val="-3"/>
                <w:sz w:val="18"/>
              </w:rPr>
              <w:t xml:space="preserve"> </w:t>
            </w:r>
            <w:r>
              <w:rPr>
                <w:sz w:val="18"/>
              </w:rPr>
              <w:t>Regulation (EU)</w:t>
            </w:r>
            <w:r>
              <w:rPr>
                <w:spacing w:val="-3"/>
                <w:sz w:val="18"/>
              </w:rPr>
              <w:t xml:space="preserve"> </w:t>
            </w:r>
            <w:r>
              <w:rPr>
                <w:sz w:val="18"/>
              </w:rPr>
              <w:t>2020/852 on establishing</w:t>
            </w:r>
            <w:r>
              <w:rPr>
                <w:spacing w:val="-1"/>
                <w:sz w:val="18"/>
              </w:rPr>
              <w:t xml:space="preserve"> </w:t>
            </w:r>
            <w:r>
              <w:rPr>
                <w:sz w:val="18"/>
              </w:rPr>
              <w:t>a</w:t>
            </w:r>
          </w:p>
          <w:p w:rsidR="00A56FE9" w:rsidRDefault="00000000">
            <w:pPr>
              <w:pStyle w:val="TableParagraph"/>
              <w:spacing w:line="191" w:lineRule="exact"/>
              <w:ind w:left="105"/>
              <w:rPr>
                <w:sz w:val="18"/>
              </w:rPr>
            </w:pPr>
            <w:r>
              <w:rPr>
                <w:sz w:val="18"/>
              </w:rPr>
              <w:t>framework</w:t>
            </w:r>
            <w:r>
              <w:rPr>
                <w:spacing w:val="-4"/>
                <w:sz w:val="18"/>
              </w:rPr>
              <w:t xml:space="preserve"> </w:t>
            </w:r>
            <w:r>
              <w:rPr>
                <w:sz w:val="18"/>
              </w:rPr>
              <w:t>to</w:t>
            </w:r>
            <w:r>
              <w:rPr>
                <w:spacing w:val="-2"/>
                <w:sz w:val="18"/>
              </w:rPr>
              <w:t xml:space="preserve"> </w:t>
            </w:r>
            <w:r>
              <w:rPr>
                <w:sz w:val="18"/>
              </w:rPr>
              <w:t>facilitate</w:t>
            </w:r>
            <w:r>
              <w:rPr>
                <w:spacing w:val="-2"/>
                <w:sz w:val="18"/>
              </w:rPr>
              <w:t xml:space="preserve"> </w:t>
            </w:r>
            <w:r>
              <w:rPr>
                <w:sz w:val="18"/>
              </w:rPr>
              <w:t>sustainable</w:t>
            </w:r>
            <w:r>
              <w:rPr>
                <w:spacing w:val="-3"/>
                <w:sz w:val="18"/>
              </w:rPr>
              <w:t xml:space="preserve"> </w:t>
            </w:r>
            <w:r>
              <w:rPr>
                <w:sz w:val="18"/>
              </w:rPr>
              <w:t>investment.</w:t>
            </w:r>
          </w:p>
        </w:tc>
      </w:tr>
      <w:tr w:rsidR="00A56FE9">
        <w:trPr>
          <w:trHeight w:val="1243"/>
        </w:trPr>
        <w:tc>
          <w:tcPr>
            <w:tcW w:w="2064" w:type="dxa"/>
            <w:vMerge/>
            <w:tcBorders>
              <w:top w:val="nil"/>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ind w:left="100" w:right="119"/>
              <w:rPr>
                <w:sz w:val="18"/>
              </w:rPr>
            </w:pPr>
            <w:r>
              <w:rPr>
                <w:sz w:val="18"/>
              </w:rPr>
              <w:t>On-line one-stop-shop for energy renovation</w:t>
            </w:r>
            <w:r>
              <w:rPr>
                <w:spacing w:val="-42"/>
                <w:sz w:val="18"/>
              </w:rPr>
              <w:t xml:space="preserve"> </w:t>
            </w:r>
            <w:r>
              <w:rPr>
                <w:sz w:val="18"/>
              </w:rPr>
              <w:t>and seismic reinforcement set up and</w:t>
            </w:r>
            <w:r>
              <w:rPr>
                <w:spacing w:val="1"/>
                <w:sz w:val="18"/>
              </w:rPr>
              <w:t xml:space="preserve"> </w:t>
            </w:r>
            <w:r>
              <w:rPr>
                <w:sz w:val="18"/>
              </w:rPr>
              <w:t>operational</w:t>
            </w:r>
          </w:p>
          <w:p w:rsidR="00A56FE9" w:rsidRDefault="00000000">
            <w:pPr>
              <w:pStyle w:val="TableParagraph"/>
              <w:ind w:left="100" w:right="344"/>
              <w:rPr>
                <w:i/>
                <w:sz w:val="18"/>
              </w:rPr>
            </w:pPr>
            <w:r>
              <w:rPr>
                <w:i/>
                <w:sz w:val="18"/>
              </w:rPr>
              <w:t>Also contributes to achieving SDG 11, 13</w:t>
            </w:r>
            <w:r>
              <w:rPr>
                <w:i/>
                <w:spacing w:val="-43"/>
                <w:sz w:val="18"/>
              </w:rPr>
              <w:t xml:space="preserve"> </w:t>
            </w:r>
            <w:r>
              <w:rPr>
                <w:i/>
                <w:sz w:val="18"/>
              </w:rPr>
              <w:t>and</w:t>
            </w:r>
            <w:r>
              <w:rPr>
                <w:i/>
                <w:spacing w:val="-2"/>
                <w:sz w:val="18"/>
              </w:rPr>
              <w:t xml:space="preserve"> </w:t>
            </w:r>
            <w:r>
              <w:rPr>
                <w:i/>
                <w:sz w:val="18"/>
              </w:rPr>
              <w:t>16</w:t>
            </w:r>
          </w:p>
        </w:tc>
        <w:tc>
          <w:tcPr>
            <w:tcW w:w="8927" w:type="dxa"/>
            <w:shd w:val="clear" w:color="auto" w:fill="C5EECE"/>
          </w:tcPr>
          <w:p w:rsidR="00A56FE9" w:rsidRDefault="00000000">
            <w:pPr>
              <w:pStyle w:val="TableParagraph"/>
              <w:spacing w:line="242" w:lineRule="auto"/>
              <w:ind w:left="105" w:right="142"/>
              <w:rPr>
                <w:sz w:val="18"/>
              </w:rPr>
            </w:pPr>
            <w:r>
              <w:rPr>
                <w:sz w:val="18"/>
              </w:rPr>
              <w:t>Putting</w:t>
            </w:r>
            <w:r>
              <w:rPr>
                <w:spacing w:val="-2"/>
                <w:sz w:val="18"/>
              </w:rPr>
              <w:t xml:space="preserve"> </w:t>
            </w:r>
            <w:r>
              <w:rPr>
                <w:sz w:val="18"/>
              </w:rPr>
              <w:t>into</w:t>
            </w:r>
            <w:r>
              <w:rPr>
                <w:spacing w:val="-2"/>
                <w:sz w:val="18"/>
              </w:rPr>
              <w:t xml:space="preserve"> </w:t>
            </w:r>
            <w:r>
              <w:rPr>
                <w:sz w:val="18"/>
              </w:rPr>
              <w:t>operation</w:t>
            </w:r>
            <w:r>
              <w:rPr>
                <w:spacing w:val="-2"/>
                <w:sz w:val="18"/>
              </w:rPr>
              <w:t xml:space="preserve"> </w:t>
            </w:r>
            <w:r>
              <w:rPr>
                <w:sz w:val="18"/>
              </w:rPr>
              <w:t>of</w:t>
            </w:r>
            <w:r>
              <w:rPr>
                <w:spacing w:val="-3"/>
                <w:sz w:val="18"/>
              </w:rPr>
              <w:t xml:space="preserve"> </w:t>
            </w:r>
            <w:r>
              <w:rPr>
                <w:sz w:val="18"/>
              </w:rPr>
              <w:t>an on-line</w:t>
            </w:r>
            <w:r>
              <w:rPr>
                <w:spacing w:val="-2"/>
                <w:sz w:val="18"/>
              </w:rPr>
              <w:t xml:space="preserve"> </w:t>
            </w:r>
            <w:r>
              <w:rPr>
                <w:sz w:val="18"/>
              </w:rPr>
              <w:t>one-stop-shop system</w:t>
            </w:r>
            <w:r>
              <w:rPr>
                <w:spacing w:val="-4"/>
                <w:sz w:val="18"/>
              </w:rPr>
              <w:t xml:space="preserve"> </w:t>
            </w:r>
            <w:r>
              <w:rPr>
                <w:sz w:val="18"/>
              </w:rPr>
              <w:t>bringing</w:t>
            </w:r>
            <w:r>
              <w:rPr>
                <w:spacing w:val="-2"/>
                <w:sz w:val="18"/>
              </w:rPr>
              <w:t xml:space="preserve"> </w:t>
            </w:r>
            <w:r>
              <w:rPr>
                <w:sz w:val="18"/>
              </w:rPr>
              <w:t>together</w:t>
            </w:r>
            <w:r>
              <w:rPr>
                <w:spacing w:val="-1"/>
                <w:sz w:val="18"/>
              </w:rPr>
              <w:t xml:space="preserve"> </w:t>
            </w:r>
            <w:r>
              <w:rPr>
                <w:sz w:val="18"/>
              </w:rPr>
              <w:t>all</w:t>
            </w:r>
            <w:r>
              <w:rPr>
                <w:spacing w:val="-1"/>
                <w:sz w:val="18"/>
              </w:rPr>
              <w:t xml:space="preserve"> </w:t>
            </w:r>
            <w:r>
              <w:rPr>
                <w:sz w:val="18"/>
              </w:rPr>
              <w:t>the</w:t>
            </w:r>
            <w:r>
              <w:rPr>
                <w:spacing w:val="-4"/>
                <w:sz w:val="18"/>
              </w:rPr>
              <w:t xml:space="preserve"> </w:t>
            </w:r>
            <w:r>
              <w:rPr>
                <w:sz w:val="18"/>
              </w:rPr>
              <w:t>necessary</w:t>
            </w:r>
            <w:r>
              <w:rPr>
                <w:spacing w:val="-5"/>
                <w:sz w:val="18"/>
              </w:rPr>
              <w:t xml:space="preserve"> </w:t>
            </w:r>
            <w:r>
              <w:rPr>
                <w:sz w:val="18"/>
              </w:rPr>
              <w:t>information for</w:t>
            </w:r>
            <w:r>
              <w:rPr>
                <w:spacing w:val="-1"/>
                <w:sz w:val="18"/>
              </w:rPr>
              <w:t xml:space="preserve"> </w:t>
            </w:r>
            <w:r>
              <w:rPr>
                <w:sz w:val="18"/>
              </w:rPr>
              <w:t>energy</w:t>
            </w:r>
            <w:r>
              <w:rPr>
                <w:spacing w:val="-42"/>
                <w:sz w:val="18"/>
              </w:rPr>
              <w:t xml:space="preserve"> </w:t>
            </w:r>
            <w:r>
              <w:rPr>
                <w:sz w:val="18"/>
              </w:rPr>
              <w:t>renovation and</w:t>
            </w:r>
            <w:r>
              <w:rPr>
                <w:spacing w:val="-1"/>
                <w:sz w:val="18"/>
              </w:rPr>
              <w:t xml:space="preserve"> </w:t>
            </w:r>
            <w:r>
              <w:rPr>
                <w:sz w:val="18"/>
              </w:rPr>
              <w:t>post-earthquake</w:t>
            </w:r>
            <w:r>
              <w:rPr>
                <w:spacing w:val="-1"/>
                <w:sz w:val="18"/>
              </w:rPr>
              <w:t xml:space="preserve"> </w:t>
            </w:r>
            <w:r>
              <w:rPr>
                <w:sz w:val="18"/>
              </w:rPr>
              <w:t>reconstruction.</w:t>
            </w:r>
          </w:p>
          <w:p w:rsidR="00A56FE9" w:rsidRDefault="00000000">
            <w:pPr>
              <w:pStyle w:val="TableParagraph"/>
              <w:ind w:left="105" w:right="142"/>
              <w:rPr>
                <w:sz w:val="18"/>
              </w:rPr>
            </w:pPr>
            <w:r>
              <w:rPr>
                <w:sz w:val="18"/>
              </w:rPr>
              <w:t>The one-stop-shop shall be implemented in two phases: (i) emergency services necessary for the urgent structural</w:t>
            </w:r>
            <w:r>
              <w:rPr>
                <w:spacing w:val="1"/>
                <w:sz w:val="18"/>
              </w:rPr>
              <w:t xml:space="preserve"> </w:t>
            </w:r>
            <w:r>
              <w:rPr>
                <w:sz w:val="18"/>
              </w:rPr>
              <w:t>renovation and necessary restoration of damage in order to ensure a level of safety for citizens and facilities; (ii)</w:t>
            </w:r>
            <w:r>
              <w:rPr>
                <w:spacing w:val="1"/>
                <w:sz w:val="18"/>
              </w:rPr>
              <w:t xml:space="preserve"> </w:t>
            </w:r>
            <w:r>
              <w:rPr>
                <w:sz w:val="18"/>
              </w:rPr>
              <w:t>integrating</w:t>
            </w:r>
            <w:r>
              <w:rPr>
                <w:spacing w:val="-4"/>
                <w:sz w:val="18"/>
              </w:rPr>
              <w:t xml:space="preserve"> </w:t>
            </w:r>
            <w:r>
              <w:rPr>
                <w:sz w:val="18"/>
              </w:rPr>
              <w:t>all</w:t>
            </w:r>
            <w:r>
              <w:rPr>
                <w:spacing w:val="-2"/>
                <w:sz w:val="18"/>
              </w:rPr>
              <w:t xml:space="preserve"> </w:t>
            </w:r>
            <w:r>
              <w:rPr>
                <w:sz w:val="18"/>
              </w:rPr>
              <w:t>other</w:t>
            </w:r>
            <w:r>
              <w:rPr>
                <w:spacing w:val="-2"/>
                <w:sz w:val="18"/>
              </w:rPr>
              <w:t xml:space="preserve"> </w:t>
            </w:r>
            <w:r>
              <w:rPr>
                <w:sz w:val="18"/>
              </w:rPr>
              <w:t>services</w:t>
            </w:r>
            <w:r>
              <w:rPr>
                <w:spacing w:val="-2"/>
                <w:sz w:val="18"/>
              </w:rPr>
              <w:t xml:space="preserve"> </w:t>
            </w:r>
            <w:r>
              <w:rPr>
                <w:sz w:val="18"/>
              </w:rPr>
              <w:t>and</w:t>
            </w:r>
            <w:r>
              <w:rPr>
                <w:spacing w:val="-2"/>
                <w:sz w:val="18"/>
              </w:rPr>
              <w:t xml:space="preserve"> </w:t>
            </w:r>
            <w:r>
              <w:rPr>
                <w:sz w:val="18"/>
              </w:rPr>
              <w:t>information</w:t>
            </w:r>
            <w:r>
              <w:rPr>
                <w:spacing w:val="-1"/>
                <w:sz w:val="18"/>
              </w:rPr>
              <w:t xml:space="preserve"> </w:t>
            </w:r>
            <w:r>
              <w:rPr>
                <w:sz w:val="18"/>
              </w:rPr>
              <w:t>needed</w:t>
            </w:r>
            <w:r>
              <w:rPr>
                <w:spacing w:val="-1"/>
                <w:sz w:val="18"/>
              </w:rPr>
              <w:t xml:space="preserve"> </w:t>
            </w:r>
            <w:r>
              <w:rPr>
                <w:sz w:val="18"/>
              </w:rPr>
              <w:t>for</w:t>
            </w:r>
            <w:r>
              <w:rPr>
                <w:spacing w:val="-2"/>
                <w:sz w:val="18"/>
              </w:rPr>
              <w:t xml:space="preserve"> </w:t>
            </w:r>
            <w:r>
              <w:rPr>
                <w:sz w:val="18"/>
              </w:rPr>
              <w:t>comprehensive</w:t>
            </w:r>
            <w:r>
              <w:rPr>
                <w:spacing w:val="-4"/>
                <w:sz w:val="18"/>
              </w:rPr>
              <w:t xml:space="preserve"> </w:t>
            </w:r>
            <w:r>
              <w:rPr>
                <w:sz w:val="18"/>
              </w:rPr>
              <w:t>and</w:t>
            </w:r>
            <w:r>
              <w:rPr>
                <w:spacing w:val="-1"/>
                <w:sz w:val="18"/>
              </w:rPr>
              <w:t xml:space="preserve"> </w:t>
            </w:r>
            <w:r>
              <w:rPr>
                <w:sz w:val="18"/>
              </w:rPr>
              <w:t>energy</w:t>
            </w:r>
            <w:r>
              <w:rPr>
                <w:spacing w:val="-6"/>
                <w:sz w:val="18"/>
              </w:rPr>
              <w:t xml:space="preserve"> </w:t>
            </w:r>
            <w:r>
              <w:rPr>
                <w:sz w:val="18"/>
              </w:rPr>
              <w:t>renovation</w:t>
            </w:r>
            <w:r>
              <w:rPr>
                <w:spacing w:val="-1"/>
                <w:sz w:val="18"/>
              </w:rPr>
              <w:t xml:space="preserve"> </w:t>
            </w:r>
            <w:r>
              <w:rPr>
                <w:sz w:val="18"/>
              </w:rPr>
              <w:t>with</w:t>
            </w:r>
            <w:r>
              <w:rPr>
                <w:spacing w:val="6"/>
                <w:sz w:val="18"/>
              </w:rPr>
              <w:t xml:space="preserve"> </w:t>
            </w:r>
            <w:r>
              <w:rPr>
                <w:sz w:val="18"/>
              </w:rPr>
              <w:t>the</w:t>
            </w:r>
            <w:r>
              <w:rPr>
                <w:spacing w:val="-3"/>
                <w:sz w:val="18"/>
              </w:rPr>
              <w:t xml:space="preserve"> </w:t>
            </w:r>
            <w:r>
              <w:rPr>
                <w:sz w:val="18"/>
              </w:rPr>
              <w:t>services</w:t>
            </w:r>
            <w:r>
              <w:rPr>
                <w:spacing w:val="-2"/>
                <w:sz w:val="18"/>
              </w:rPr>
              <w:t xml:space="preserve"> </w:t>
            </w:r>
            <w:r>
              <w:rPr>
                <w:sz w:val="18"/>
              </w:rPr>
              <w:t>and</w:t>
            </w:r>
          </w:p>
          <w:p w:rsidR="00A56FE9" w:rsidRDefault="00000000">
            <w:pPr>
              <w:pStyle w:val="TableParagraph"/>
              <w:spacing w:line="191" w:lineRule="exact"/>
              <w:ind w:left="105"/>
              <w:rPr>
                <w:sz w:val="18"/>
              </w:rPr>
            </w:pPr>
            <w:r>
              <w:rPr>
                <w:sz w:val="18"/>
              </w:rPr>
              <w:t>information</w:t>
            </w:r>
            <w:r>
              <w:rPr>
                <w:spacing w:val="-2"/>
                <w:sz w:val="18"/>
              </w:rPr>
              <w:t xml:space="preserve"> </w:t>
            </w:r>
            <w:r>
              <w:rPr>
                <w:sz w:val="18"/>
              </w:rPr>
              <w:t>included</w:t>
            </w:r>
            <w:r>
              <w:rPr>
                <w:spacing w:val="-1"/>
                <w:sz w:val="18"/>
              </w:rPr>
              <w:t xml:space="preserve"> </w:t>
            </w:r>
            <w:r>
              <w:rPr>
                <w:sz w:val="18"/>
              </w:rPr>
              <w:t>for</w:t>
            </w:r>
            <w:r>
              <w:rPr>
                <w:spacing w:val="-2"/>
                <w:sz w:val="18"/>
              </w:rPr>
              <w:t xml:space="preserve"> </w:t>
            </w:r>
            <w:r>
              <w:rPr>
                <w:sz w:val="18"/>
              </w:rPr>
              <w:t>the</w:t>
            </w:r>
            <w:r>
              <w:rPr>
                <w:spacing w:val="-3"/>
                <w:sz w:val="18"/>
              </w:rPr>
              <w:t xml:space="preserve"> </w:t>
            </w:r>
            <w:r>
              <w:rPr>
                <w:sz w:val="18"/>
              </w:rPr>
              <w:t>‘build</w:t>
            </w:r>
            <w:r>
              <w:rPr>
                <w:spacing w:val="-1"/>
                <w:sz w:val="18"/>
              </w:rPr>
              <w:t xml:space="preserve"> </w:t>
            </w:r>
            <w:r>
              <w:rPr>
                <w:sz w:val="18"/>
              </w:rPr>
              <w:t>back</w:t>
            </w:r>
            <w:r>
              <w:rPr>
                <w:spacing w:val="-3"/>
                <w:sz w:val="18"/>
              </w:rPr>
              <w:t xml:space="preserve"> </w:t>
            </w:r>
            <w:r>
              <w:rPr>
                <w:sz w:val="18"/>
              </w:rPr>
              <w:t>better’</w:t>
            </w:r>
            <w:r>
              <w:rPr>
                <w:spacing w:val="-2"/>
                <w:sz w:val="18"/>
              </w:rPr>
              <w:t xml:space="preserve"> </w:t>
            </w:r>
            <w:r>
              <w:rPr>
                <w:sz w:val="18"/>
              </w:rPr>
              <w:t>concept.</w:t>
            </w:r>
          </w:p>
        </w:tc>
      </w:tr>
      <w:tr w:rsidR="00A56FE9">
        <w:trPr>
          <w:trHeight w:val="827"/>
        </w:trPr>
        <w:tc>
          <w:tcPr>
            <w:tcW w:w="2064" w:type="dxa"/>
            <w:shd w:val="clear" w:color="auto" w:fill="F1F1F1"/>
          </w:tcPr>
          <w:p w:rsidR="00A56FE9" w:rsidRDefault="00000000">
            <w:pPr>
              <w:pStyle w:val="TableParagraph"/>
              <w:ind w:left="105" w:right="219"/>
              <w:rPr>
                <w:sz w:val="20"/>
              </w:rPr>
            </w:pPr>
            <w:r>
              <w:rPr>
                <w:b/>
                <w:sz w:val="20"/>
              </w:rPr>
              <w:t>8.</w:t>
            </w:r>
            <w:r>
              <w:rPr>
                <w:b/>
                <w:spacing w:val="-8"/>
                <w:sz w:val="20"/>
              </w:rPr>
              <w:t xml:space="preserve"> </w:t>
            </w:r>
            <w:r>
              <w:rPr>
                <w:sz w:val="20"/>
              </w:rPr>
              <w:t>Promote</w:t>
            </w:r>
            <w:r>
              <w:rPr>
                <w:spacing w:val="-9"/>
                <w:sz w:val="20"/>
              </w:rPr>
              <w:t xml:space="preserve"> </w:t>
            </w:r>
            <w:r>
              <w:rPr>
                <w:sz w:val="20"/>
              </w:rPr>
              <w:t>sustained,</w:t>
            </w:r>
            <w:r>
              <w:rPr>
                <w:spacing w:val="-47"/>
                <w:sz w:val="20"/>
              </w:rPr>
              <w:t xml:space="preserve"> </w:t>
            </w:r>
            <w:r>
              <w:rPr>
                <w:sz w:val="20"/>
              </w:rPr>
              <w:t>inclusive and</w:t>
            </w:r>
            <w:r>
              <w:rPr>
                <w:spacing w:val="1"/>
                <w:sz w:val="20"/>
              </w:rPr>
              <w:t xml:space="preserve"> </w:t>
            </w:r>
            <w:r>
              <w:rPr>
                <w:sz w:val="20"/>
              </w:rPr>
              <w:t>sustainable</w:t>
            </w:r>
            <w:r>
              <w:rPr>
                <w:spacing w:val="-7"/>
                <w:sz w:val="20"/>
              </w:rPr>
              <w:t xml:space="preserve"> </w:t>
            </w:r>
            <w:r>
              <w:rPr>
                <w:sz w:val="20"/>
              </w:rPr>
              <w:t>economic</w:t>
            </w:r>
          </w:p>
        </w:tc>
        <w:tc>
          <w:tcPr>
            <w:tcW w:w="3469" w:type="dxa"/>
            <w:shd w:val="clear" w:color="auto" w:fill="C5EECE"/>
          </w:tcPr>
          <w:p w:rsidR="00A56FE9" w:rsidRDefault="00000000">
            <w:pPr>
              <w:pStyle w:val="TableParagraph"/>
              <w:ind w:left="100" w:right="131"/>
              <w:rPr>
                <w:sz w:val="18"/>
              </w:rPr>
            </w:pPr>
            <w:r>
              <w:rPr>
                <w:sz w:val="18"/>
              </w:rPr>
              <w:t>Publication of a call for grants for</w:t>
            </w:r>
            <w:r>
              <w:rPr>
                <w:spacing w:val="1"/>
                <w:sz w:val="18"/>
              </w:rPr>
              <w:t xml:space="preserve"> </w:t>
            </w:r>
            <w:r>
              <w:rPr>
                <w:sz w:val="18"/>
              </w:rPr>
              <w:t>investments focused on environmentally</w:t>
            </w:r>
            <w:r>
              <w:rPr>
                <w:spacing w:val="1"/>
                <w:sz w:val="18"/>
              </w:rPr>
              <w:t xml:space="preserve"> </w:t>
            </w:r>
            <w:r>
              <w:rPr>
                <w:sz w:val="18"/>
              </w:rPr>
              <w:t>friendly</w:t>
            </w:r>
            <w:r>
              <w:rPr>
                <w:spacing w:val="-6"/>
                <w:sz w:val="18"/>
              </w:rPr>
              <w:t xml:space="preserve"> </w:t>
            </w:r>
            <w:r>
              <w:rPr>
                <w:sz w:val="18"/>
              </w:rPr>
              <w:t>activities</w:t>
            </w:r>
            <w:r>
              <w:rPr>
                <w:spacing w:val="-1"/>
                <w:sz w:val="18"/>
              </w:rPr>
              <w:t xml:space="preserve"> </w:t>
            </w:r>
            <w:r>
              <w:rPr>
                <w:sz w:val="18"/>
              </w:rPr>
              <w:t>with</w:t>
            </w:r>
            <w:r>
              <w:rPr>
                <w:spacing w:val="-3"/>
                <w:sz w:val="18"/>
              </w:rPr>
              <w:t xml:space="preserve"> </w:t>
            </w:r>
            <w:r>
              <w:rPr>
                <w:sz w:val="18"/>
              </w:rPr>
              <w:t>established</w:t>
            </w:r>
            <w:r>
              <w:rPr>
                <w:spacing w:val="-2"/>
                <w:sz w:val="18"/>
              </w:rPr>
              <w:t xml:space="preserve"> </w:t>
            </w:r>
            <w:r>
              <w:rPr>
                <w:sz w:val="18"/>
              </w:rPr>
              <w:t>eligibility</w:t>
            </w:r>
          </w:p>
          <w:p w:rsidR="00A56FE9" w:rsidRDefault="00000000">
            <w:pPr>
              <w:pStyle w:val="TableParagraph"/>
              <w:spacing w:line="191" w:lineRule="exact"/>
              <w:ind w:left="100"/>
              <w:rPr>
                <w:sz w:val="18"/>
              </w:rPr>
            </w:pPr>
            <w:r>
              <w:rPr>
                <w:sz w:val="18"/>
              </w:rPr>
              <w:t>criteria</w:t>
            </w:r>
            <w:r>
              <w:rPr>
                <w:spacing w:val="-2"/>
                <w:sz w:val="18"/>
              </w:rPr>
              <w:t xml:space="preserve"> </w:t>
            </w:r>
            <w:r>
              <w:rPr>
                <w:sz w:val="18"/>
              </w:rPr>
              <w:t>for</w:t>
            </w:r>
            <w:r>
              <w:rPr>
                <w:spacing w:val="-2"/>
                <w:sz w:val="18"/>
              </w:rPr>
              <w:t xml:space="preserve"> </w:t>
            </w:r>
            <w:r>
              <w:rPr>
                <w:sz w:val="18"/>
              </w:rPr>
              <w:t>applicants</w:t>
            </w:r>
            <w:r>
              <w:rPr>
                <w:spacing w:val="-1"/>
                <w:sz w:val="18"/>
              </w:rPr>
              <w:t xml:space="preserve"> </w:t>
            </w:r>
            <w:r>
              <w:rPr>
                <w:sz w:val="18"/>
              </w:rPr>
              <w:t>and</w:t>
            </w:r>
            <w:r>
              <w:rPr>
                <w:spacing w:val="-1"/>
                <w:sz w:val="18"/>
              </w:rPr>
              <w:t xml:space="preserve"> </w:t>
            </w:r>
            <w:r>
              <w:rPr>
                <w:sz w:val="18"/>
              </w:rPr>
              <w:t>projects</w:t>
            </w:r>
            <w:r>
              <w:rPr>
                <w:spacing w:val="-1"/>
                <w:sz w:val="18"/>
              </w:rPr>
              <w:t xml:space="preserve"> </w:t>
            </w:r>
            <w:r>
              <w:rPr>
                <w:sz w:val="18"/>
              </w:rPr>
              <w:t>(in</w:t>
            </w:r>
          </w:p>
        </w:tc>
        <w:tc>
          <w:tcPr>
            <w:tcW w:w="8927" w:type="dxa"/>
            <w:shd w:val="clear" w:color="auto" w:fill="C5EECE"/>
          </w:tcPr>
          <w:p w:rsidR="00A56FE9" w:rsidRDefault="00000000">
            <w:pPr>
              <w:pStyle w:val="TableParagraph"/>
              <w:ind w:left="105" w:right="129"/>
              <w:rPr>
                <w:sz w:val="18"/>
              </w:rPr>
            </w:pPr>
            <w:r>
              <w:rPr>
                <w:sz w:val="18"/>
              </w:rPr>
              <w:t>Publication of a call for proposals for grants to support the green transition of SMEs and mid-caps to an energy-efficient</w:t>
            </w:r>
            <w:r>
              <w:rPr>
                <w:spacing w:val="-43"/>
                <w:sz w:val="18"/>
              </w:rPr>
              <w:t xml:space="preserve"> </w:t>
            </w:r>
            <w:r>
              <w:rPr>
                <w:sz w:val="18"/>
              </w:rPr>
              <w:t>economy. The grant will support the development and application of green technologies in business processes with the</w:t>
            </w:r>
            <w:r>
              <w:rPr>
                <w:spacing w:val="1"/>
                <w:sz w:val="18"/>
              </w:rPr>
              <w:t xml:space="preserve"> </w:t>
            </w:r>
            <w:r>
              <w:rPr>
                <w:sz w:val="18"/>
              </w:rPr>
              <w:t>aim</w:t>
            </w:r>
            <w:r>
              <w:rPr>
                <w:spacing w:val="-4"/>
                <w:sz w:val="18"/>
              </w:rPr>
              <w:t xml:space="preserve"> </w:t>
            </w:r>
            <w:r>
              <w:rPr>
                <w:sz w:val="18"/>
              </w:rPr>
              <w:t>of</w:t>
            </w:r>
            <w:r>
              <w:rPr>
                <w:spacing w:val="-3"/>
                <w:sz w:val="18"/>
              </w:rPr>
              <w:t xml:space="preserve"> </w:t>
            </w:r>
            <w:r>
              <w:rPr>
                <w:sz w:val="18"/>
              </w:rPr>
              <w:t>reducing</w:t>
            </w:r>
            <w:r>
              <w:rPr>
                <w:spacing w:val="-2"/>
                <w:sz w:val="18"/>
              </w:rPr>
              <w:t xml:space="preserve"> </w:t>
            </w:r>
            <w:r>
              <w:rPr>
                <w:sz w:val="18"/>
              </w:rPr>
              <w:t>negative</w:t>
            </w:r>
            <w:r>
              <w:rPr>
                <w:spacing w:val="-1"/>
                <w:sz w:val="18"/>
              </w:rPr>
              <w:t xml:space="preserve"> </w:t>
            </w:r>
            <w:r>
              <w:rPr>
                <w:sz w:val="18"/>
              </w:rPr>
              <w:t>effects</w:t>
            </w:r>
            <w:r>
              <w:rPr>
                <w:spacing w:val="-1"/>
                <w:sz w:val="18"/>
              </w:rPr>
              <w:t xml:space="preserve"> </w:t>
            </w:r>
            <w:r>
              <w:rPr>
                <w:sz w:val="18"/>
              </w:rPr>
              <w:t>on the</w:t>
            </w:r>
            <w:r>
              <w:rPr>
                <w:spacing w:val="-1"/>
                <w:sz w:val="18"/>
              </w:rPr>
              <w:t xml:space="preserve"> </w:t>
            </w:r>
            <w:r>
              <w:rPr>
                <w:sz w:val="18"/>
              </w:rPr>
              <w:t>climate</w:t>
            </w:r>
            <w:r>
              <w:rPr>
                <w:spacing w:val="-1"/>
                <w:sz w:val="18"/>
              </w:rPr>
              <w:t xml:space="preserve"> </w:t>
            </w:r>
            <w:r>
              <w:rPr>
                <w:sz w:val="18"/>
              </w:rPr>
              <w:t>and environment, promoting</w:t>
            </w:r>
            <w:r>
              <w:rPr>
                <w:spacing w:val="-1"/>
                <w:sz w:val="18"/>
              </w:rPr>
              <w:t xml:space="preserve"> </w:t>
            </w:r>
            <w:r>
              <w:rPr>
                <w:sz w:val="18"/>
              </w:rPr>
              <w:t>sustainable</w:t>
            </w:r>
            <w:r>
              <w:rPr>
                <w:spacing w:val="-4"/>
                <w:sz w:val="18"/>
              </w:rPr>
              <w:t xml:space="preserve"> </w:t>
            </w:r>
            <w:r>
              <w:rPr>
                <w:sz w:val="18"/>
              </w:rPr>
              <w:t>production,</w:t>
            </w:r>
            <w:r>
              <w:rPr>
                <w:spacing w:val="-3"/>
                <w:sz w:val="18"/>
              </w:rPr>
              <w:t xml:space="preserve"> </w:t>
            </w:r>
            <w:r>
              <w:rPr>
                <w:sz w:val="18"/>
              </w:rPr>
              <w:t>increasing</w:t>
            </w:r>
            <w:r>
              <w:rPr>
                <w:spacing w:val="-1"/>
                <w:sz w:val="18"/>
              </w:rPr>
              <w:t xml:space="preserve"> </w:t>
            </w:r>
            <w:r>
              <w:rPr>
                <w:sz w:val="18"/>
              </w:rPr>
              <w:t>the</w:t>
            </w:r>
          </w:p>
          <w:p w:rsidR="00A56FE9" w:rsidRDefault="00000000">
            <w:pPr>
              <w:pStyle w:val="TableParagraph"/>
              <w:spacing w:line="191" w:lineRule="exact"/>
              <w:ind w:left="105"/>
              <w:rPr>
                <w:sz w:val="18"/>
              </w:rPr>
            </w:pPr>
            <w:r>
              <w:rPr>
                <w:sz w:val="18"/>
              </w:rPr>
              <w:t>number</w:t>
            </w:r>
            <w:r>
              <w:rPr>
                <w:spacing w:val="-2"/>
                <w:sz w:val="18"/>
              </w:rPr>
              <w:t xml:space="preserve"> </w:t>
            </w:r>
            <w:r>
              <w:rPr>
                <w:sz w:val="18"/>
              </w:rPr>
              <w:t>of</w:t>
            </w:r>
            <w:r>
              <w:rPr>
                <w:spacing w:val="-4"/>
                <w:sz w:val="18"/>
              </w:rPr>
              <w:t xml:space="preserve"> </w:t>
            </w:r>
            <w:r>
              <w:rPr>
                <w:sz w:val="18"/>
              </w:rPr>
              <w:t>employees</w:t>
            </w:r>
            <w:r>
              <w:rPr>
                <w:spacing w:val="-2"/>
                <w:sz w:val="18"/>
              </w:rPr>
              <w:t xml:space="preserve"> </w:t>
            </w:r>
            <w:r>
              <w:rPr>
                <w:sz w:val="18"/>
              </w:rPr>
              <w:t>in more</w:t>
            </w:r>
            <w:r>
              <w:rPr>
                <w:spacing w:val="-2"/>
                <w:sz w:val="18"/>
              </w:rPr>
              <w:t xml:space="preserve"> </w:t>
            </w:r>
            <w:r>
              <w:rPr>
                <w:sz w:val="18"/>
              </w:rPr>
              <w:t>sustainable</w:t>
            </w:r>
            <w:r>
              <w:rPr>
                <w:spacing w:val="-2"/>
                <w:sz w:val="18"/>
              </w:rPr>
              <w:t xml:space="preserve"> </w:t>
            </w:r>
            <w:r>
              <w:rPr>
                <w:sz w:val="18"/>
              </w:rPr>
              <w:t>jobs</w:t>
            </w:r>
            <w:r>
              <w:rPr>
                <w:spacing w:val="-2"/>
                <w:sz w:val="18"/>
              </w:rPr>
              <w:t xml:space="preserve"> </w:t>
            </w:r>
            <w:r>
              <w:rPr>
                <w:sz w:val="18"/>
              </w:rPr>
              <w:t>and</w:t>
            </w:r>
            <w:r>
              <w:rPr>
                <w:spacing w:val="-1"/>
                <w:sz w:val="18"/>
              </w:rPr>
              <w:t xml:space="preserve"> </w:t>
            </w:r>
            <w:r>
              <w:rPr>
                <w:sz w:val="18"/>
              </w:rPr>
              <w:t>strengthening</w:t>
            </w:r>
            <w:r>
              <w:rPr>
                <w:spacing w:val="-3"/>
                <w:sz w:val="18"/>
              </w:rPr>
              <w:t xml:space="preserve"> </w:t>
            </w:r>
            <w:r>
              <w:rPr>
                <w:sz w:val="18"/>
              </w:rPr>
              <w:t>local</w:t>
            </w:r>
            <w:r>
              <w:rPr>
                <w:spacing w:val="-1"/>
                <w:sz w:val="18"/>
              </w:rPr>
              <w:t xml:space="preserve"> </w:t>
            </w:r>
            <w:r>
              <w:rPr>
                <w:sz w:val="18"/>
              </w:rPr>
              <w:t>and</w:t>
            </w:r>
            <w:r>
              <w:rPr>
                <w:spacing w:val="-1"/>
                <w:sz w:val="18"/>
              </w:rPr>
              <w:t xml:space="preserve"> </w:t>
            </w:r>
            <w:r>
              <w:rPr>
                <w:sz w:val="18"/>
              </w:rPr>
              <w:t>regional</w:t>
            </w:r>
            <w:r>
              <w:rPr>
                <w:spacing w:val="-2"/>
                <w:sz w:val="18"/>
              </w:rPr>
              <w:t xml:space="preserve"> </w:t>
            </w:r>
            <w:r>
              <w:rPr>
                <w:sz w:val="18"/>
              </w:rPr>
              <w:t>competitiveness</w:t>
            </w:r>
            <w:r>
              <w:rPr>
                <w:spacing w:val="-3"/>
                <w:sz w:val="18"/>
              </w:rPr>
              <w:t xml:space="preserve"> </w:t>
            </w:r>
            <w:r>
              <w:rPr>
                <w:sz w:val="18"/>
              </w:rPr>
              <w:t>(according</w:t>
            </w:r>
            <w:r>
              <w:rPr>
                <w:spacing w:val="-3"/>
                <w:sz w:val="18"/>
              </w:rPr>
              <w:t xml:space="preserve"> </w:t>
            </w:r>
            <w:r>
              <w:rPr>
                <w:sz w:val="18"/>
              </w:rPr>
              <w:t>to</w:t>
            </w:r>
            <w:r>
              <w:rPr>
                <w:spacing w:val="-2"/>
                <w:sz w:val="18"/>
              </w:rPr>
              <w:t xml:space="preserve"> </w:t>
            </w:r>
            <w:r>
              <w:rPr>
                <w:sz w:val="18"/>
              </w:rPr>
              <w:t>the</w:t>
            </w:r>
          </w:p>
        </w:tc>
      </w:tr>
    </w:tbl>
    <w:p w:rsidR="00A56FE9" w:rsidRDefault="00A56FE9">
      <w:pPr>
        <w:spacing w:line="191" w:lineRule="exac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4"/>
        <w:gridCol w:w="3469"/>
        <w:gridCol w:w="8927"/>
      </w:tblGrid>
      <w:tr w:rsidR="00A56FE9">
        <w:trPr>
          <w:trHeight w:val="249"/>
        </w:trPr>
        <w:tc>
          <w:tcPr>
            <w:tcW w:w="2064" w:type="dxa"/>
            <w:tcBorders>
              <w:top w:val="nil"/>
              <w:left w:val="nil"/>
              <w:bottom w:val="nil"/>
              <w:right w:val="nil"/>
            </w:tcBorders>
            <w:shd w:val="clear" w:color="auto" w:fill="2C398A"/>
          </w:tcPr>
          <w:p w:rsidR="00A56FE9" w:rsidRDefault="00000000">
            <w:pPr>
              <w:pStyle w:val="TableParagraph"/>
              <w:spacing w:before="10" w:line="220" w:lineRule="exact"/>
              <w:ind w:left="806" w:right="806"/>
              <w:jc w:val="center"/>
              <w:rPr>
                <w:b/>
                <w:sz w:val="20"/>
              </w:rPr>
            </w:pPr>
            <w:r>
              <w:rPr>
                <w:b/>
                <w:color w:val="FFFFFF"/>
                <w:sz w:val="20"/>
              </w:rPr>
              <w:t>SDG</w:t>
            </w:r>
          </w:p>
        </w:tc>
        <w:tc>
          <w:tcPr>
            <w:tcW w:w="3469" w:type="dxa"/>
            <w:tcBorders>
              <w:top w:val="nil"/>
              <w:left w:val="nil"/>
              <w:bottom w:val="nil"/>
              <w:right w:val="nil"/>
            </w:tcBorders>
            <w:shd w:val="clear" w:color="auto" w:fill="2C398A"/>
          </w:tcPr>
          <w:p w:rsidR="00A56FE9" w:rsidRDefault="00000000">
            <w:pPr>
              <w:pStyle w:val="TableParagraph"/>
              <w:spacing w:before="10" w:line="220" w:lineRule="exact"/>
              <w:ind w:left="792"/>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7" w:type="dxa"/>
            <w:tcBorders>
              <w:top w:val="nil"/>
              <w:left w:val="nil"/>
              <w:bottom w:val="nil"/>
              <w:right w:val="nil"/>
            </w:tcBorders>
            <w:shd w:val="clear" w:color="auto" w:fill="2C398A"/>
          </w:tcPr>
          <w:p w:rsidR="00A56FE9" w:rsidRDefault="00000000">
            <w:pPr>
              <w:pStyle w:val="TableParagraph"/>
              <w:spacing w:before="10" w:line="220" w:lineRule="exact"/>
              <w:ind w:left="1951" w:right="1951"/>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1862"/>
        </w:trPr>
        <w:tc>
          <w:tcPr>
            <w:tcW w:w="2064" w:type="dxa"/>
            <w:vMerge w:val="restart"/>
            <w:tcBorders>
              <w:top w:val="nil"/>
            </w:tcBorders>
            <w:shd w:val="clear" w:color="auto" w:fill="F1F1F1"/>
          </w:tcPr>
          <w:p w:rsidR="00A56FE9" w:rsidRDefault="00000000">
            <w:pPr>
              <w:pStyle w:val="TableParagraph"/>
              <w:ind w:left="105" w:right="431"/>
              <w:rPr>
                <w:sz w:val="20"/>
              </w:rPr>
            </w:pPr>
            <w:r>
              <w:rPr>
                <w:sz w:val="20"/>
              </w:rPr>
              <w:t>growth, full and</w:t>
            </w:r>
            <w:r>
              <w:rPr>
                <w:spacing w:val="1"/>
                <w:sz w:val="20"/>
              </w:rPr>
              <w:t xml:space="preserve"> </w:t>
            </w:r>
            <w:r>
              <w:rPr>
                <w:sz w:val="20"/>
              </w:rPr>
              <w:t>productive</w:t>
            </w:r>
            <w:r>
              <w:rPr>
                <w:spacing w:val="1"/>
                <w:sz w:val="20"/>
              </w:rPr>
              <w:t xml:space="preserve"> </w:t>
            </w:r>
            <w:r>
              <w:rPr>
                <w:sz w:val="20"/>
              </w:rPr>
              <w:t>employment and</w:t>
            </w:r>
            <w:r>
              <w:rPr>
                <w:spacing w:val="1"/>
                <w:sz w:val="20"/>
              </w:rPr>
              <w:t xml:space="preserve"> </w:t>
            </w:r>
            <w:r>
              <w:rPr>
                <w:sz w:val="20"/>
              </w:rPr>
              <w:t>decent</w:t>
            </w:r>
            <w:r>
              <w:rPr>
                <w:spacing w:val="-5"/>
                <w:sz w:val="20"/>
              </w:rPr>
              <w:t xml:space="preserve"> </w:t>
            </w:r>
            <w:r>
              <w:rPr>
                <w:sz w:val="20"/>
              </w:rPr>
              <w:t>work</w:t>
            </w:r>
            <w:r>
              <w:rPr>
                <w:spacing w:val="-7"/>
                <w:sz w:val="20"/>
              </w:rPr>
              <w:t xml:space="preserve"> </w:t>
            </w:r>
            <w:r>
              <w:rPr>
                <w:sz w:val="20"/>
              </w:rPr>
              <w:t>for</w:t>
            </w:r>
            <w:r>
              <w:rPr>
                <w:spacing w:val="-7"/>
                <w:sz w:val="20"/>
              </w:rPr>
              <w:t xml:space="preserve"> </w:t>
            </w:r>
            <w:r>
              <w:rPr>
                <w:sz w:val="20"/>
              </w:rPr>
              <w:t>all</w:t>
            </w:r>
          </w:p>
        </w:tc>
        <w:tc>
          <w:tcPr>
            <w:tcW w:w="3469" w:type="dxa"/>
            <w:tcBorders>
              <w:top w:val="nil"/>
            </w:tcBorders>
            <w:shd w:val="clear" w:color="auto" w:fill="C5EECE"/>
          </w:tcPr>
          <w:p w:rsidR="00A56FE9" w:rsidRDefault="00000000">
            <w:pPr>
              <w:pStyle w:val="TableParagraph"/>
              <w:ind w:left="100" w:right="390"/>
              <w:rPr>
                <w:sz w:val="18"/>
              </w:rPr>
            </w:pPr>
            <w:r>
              <w:rPr>
                <w:sz w:val="18"/>
              </w:rPr>
              <w:t>addition, criteria for compliance with the</w:t>
            </w:r>
            <w:r>
              <w:rPr>
                <w:spacing w:val="-43"/>
                <w:sz w:val="18"/>
              </w:rPr>
              <w:t xml:space="preserve"> </w:t>
            </w:r>
            <w:r>
              <w:rPr>
                <w:sz w:val="18"/>
              </w:rPr>
              <w:t>principle</w:t>
            </w:r>
            <w:r>
              <w:rPr>
                <w:spacing w:val="-1"/>
                <w:sz w:val="18"/>
              </w:rPr>
              <w:t xml:space="preserve"> </w:t>
            </w:r>
            <w:r>
              <w:rPr>
                <w:sz w:val="18"/>
              </w:rPr>
              <w:t>of</w:t>
            </w:r>
            <w:r>
              <w:rPr>
                <w:spacing w:val="-3"/>
                <w:sz w:val="18"/>
              </w:rPr>
              <w:t xml:space="preserve"> </w:t>
            </w:r>
            <w:r>
              <w:rPr>
                <w:sz w:val="18"/>
              </w:rPr>
              <w:t>do</w:t>
            </w:r>
            <w:r>
              <w:rPr>
                <w:spacing w:val="-2"/>
                <w:sz w:val="18"/>
              </w:rPr>
              <w:t xml:space="preserve"> </w:t>
            </w:r>
            <w:r>
              <w:rPr>
                <w:sz w:val="18"/>
              </w:rPr>
              <w:t>no significant harm)</w:t>
            </w:r>
          </w:p>
        </w:tc>
        <w:tc>
          <w:tcPr>
            <w:tcW w:w="8927" w:type="dxa"/>
            <w:tcBorders>
              <w:top w:val="nil"/>
            </w:tcBorders>
            <w:shd w:val="clear" w:color="auto" w:fill="C5EECE"/>
          </w:tcPr>
          <w:p w:rsidR="00A56FE9" w:rsidRDefault="00000000">
            <w:pPr>
              <w:pStyle w:val="TableParagraph"/>
              <w:ind w:left="105" w:right="84"/>
              <w:rPr>
                <w:sz w:val="18"/>
              </w:rPr>
            </w:pPr>
            <w:r>
              <w:rPr>
                <w:sz w:val="18"/>
              </w:rPr>
              <w:t>EU</w:t>
            </w:r>
            <w:r>
              <w:rPr>
                <w:spacing w:val="-2"/>
                <w:sz w:val="18"/>
              </w:rPr>
              <w:t xml:space="preserve"> </w:t>
            </w:r>
            <w:r>
              <w:rPr>
                <w:sz w:val="18"/>
              </w:rPr>
              <w:t>Taxonomy).</w:t>
            </w:r>
            <w:r>
              <w:rPr>
                <w:spacing w:val="-1"/>
                <w:sz w:val="18"/>
              </w:rPr>
              <w:t xml:space="preserve"> </w:t>
            </w:r>
            <w:r>
              <w:rPr>
                <w:sz w:val="18"/>
              </w:rPr>
              <w:t>The</w:t>
            </w:r>
            <w:r>
              <w:rPr>
                <w:spacing w:val="-3"/>
                <w:sz w:val="18"/>
              </w:rPr>
              <w:t xml:space="preserve"> </w:t>
            </w:r>
            <w:r>
              <w:rPr>
                <w:sz w:val="18"/>
              </w:rPr>
              <w:t>selection/eligibility</w:t>
            </w:r>
            <w:r>
              <w:rPr>
                <w:spacing w:val="-5"/>
                <w:sz w:val="18"/>
              </w:rPr>
              <w:t xml:space="preserve"> </w:t>
            </w:r>
            <w:r>
              <w:rPr>
                <w:sz w:val="18"/>
              </w:rPr>
              <w:t>criteria will</w:t>
            </w:r>
            <w:r>
              <w:rPr>
                <w:spacing w:val="-1"/>
                <w:sz w:val="18"/>
              </w:rPr>
              <w:t xml:space="preserve"> </w:t>
            </w:r>
            <w:r>
              <w:rPr>
                <w:sz w:val="18"/>
              </w:rPr>
              <w:t>reflect</w:t>
            </w:r>
            <w:r>
              <w:rPr>
                <w:spacing w:val="-1"/>
                <w:sz w:val="18"/>
              </w:rPr>
              <w:t xml:space="preserve"> </w:t>
            </w:r>
            <w:r>
              <w:rPr>
                <w:sz w:val="18"/>
              </w:rPr>
              <w:t>the</w:t>
            </w:r>
            <w:r>
              <w:rPr>
                <w:spacing w:val="-3"/>
                <w:sz w:val="18"/>
              </w:rPr>
              <w:t xml:space="preserve"> </w:t>
            </w:r>
            <w:r>
              <w:rPr>
                <w:sz w:val="18"/>
              </w:rPr>
              <w:t>requirements</w:t>
            </w:r>
            <w:r>
              <w:rPr>
                <w:spacing w:val="-1"/>
                <w:sz w:val="18"/>
              </w:rPr>
              <w:t xml:space="preserve"> </w:t>
            </w:r>
            <w:r>
              <w:rPr>
                <w:sz w:val="18"/>
              </w:rPr>
              <w:t>of</w:t>
            </w:r>
            <w:r>
              <w:rPr>
                <w:spacing w:val="-4"/>
                <w:sz w:val="18"/>
              </w:rPr>
              <w:t xml:space="preserve"> </w:t>
            </w:r>
            <w:r>
              <w:rPr>
                <w:sz w:val="18"/>
              </w:rPr>
              <w:t>the</w:t>
            </w:r>
            <w:r>
              <w:rPr>
                <w:spacing w:val="-2"/>
                <w:sz w:val="18"/>
              </w:rPr>
              <w:t xml:space="preserve"> </w:t>
            </w:r>
            <w:r>
              <w:rPr>
                <w:sz w:val="18"/>
              </w:rPr>
              <w:t>applicable</w:t>
            </w:r>
            <w:r>
              <w:rPr>
                <w:spacing w:val="-1"/>
                <w:sz w:val="18"/>
              </w:rPr>
              <w:t xml:space="preserve"> </w:t>
            </w:r>
            <w:r>
              <w:rPr>
                <w:sz w:val="18"/>
              </w:rPr>
              <w:t>intervention</w:t>
            </w:r>
            <w:r>
              <w:rPr>
                <w:spacing w:val="-1"/>
                <w:sz w:val="18"/>
              </w:rPr>
              <w:t xml:space="preserve"> </w:t>
            </w:r>
            <w:r>
              <w:rPr>
                <w:sz w:val="18"/>
              </w:rPr>
              <w:t>fields</w:t>
            </w:r>
            <w:r>
              <w:rPr>
                <w:spacing w:val="-1"/>
                <w:sz w:val="18"/>
              </w:rPr>
              <w:t xml:space="preserve"> </w:t>
            </w:r>
            <w:r>
              <w:rPr>
                <w:sz w:val="18"/>
              </w:rPr>
              <w:t>set</w:t>
            </w:r>
            <w:r>
              <w:rPr>
                <w:spacing w:val="-2"/>
                <w:sz w:val="18"/>
              </w:rPr>
              <w:t xml:space="preserve"> </w:t>
            </w:r>
            <w:r>
              <w:rPr>
                <w:sz w:val="18"/>
              </w:rPr>
              <w:t>out</w:t>
            </w:r>
            <w:r>
              <w:rPr>
                <w:spacing w:val="-42"/>
                <w:sz w:val="18"/>
              </w:rPr>
              <w:t xml:space="preserve"> </w:t>
            </w:r>
            <w:r>
              <w:rPr>
                <w:sz w:val="18"/>
              </w:rPr>
              <w:t>in Annex VI and VII of the Regulation on the RRF and ensure that supported projects comply with the the ‘Do no</w:t>
            </w:r>
            <w:r>
              <w:rPr>
                <w:spacing w:val="1"/>
                <w:sz w:val="18"/>
              </w:rPr>
              <w:t xml:space="preserve"> </w:t>
            </w:r>
            <w:r>
              <w:rPr>
                <w:sz w:val="18"/>
              </w:rPr>
              <w:t>significant harm’ Technical Guidance (2021/C58/01), the application of the list of ineligible activities and investments</w:t>
            </w:r>
            <w:r>
              <w:rPr>
                <w:spacing w:val="1"/>
                <w:sz w:val="18"/>
              </w:rPr>
              <w:t xml:space="preserve"> </w:t>
            </w:r>
            <w:r>
              <w:rPr>
                <w:sz w:val="18"/>
              </w:rPr>
              <w:t>and the requirements for compliance with relevant environmental legislation at the EU level and national level. The</w:t>
            </w:r>
            <w:r>
              <w:rPr>
                <w:spacing w:val="1"/>
                <w:sz w:val="18"/>
              </w:rPr>
              <w:t xml:space="preserve"> </w:t>
            </w:r>
            <w:r>
              <w:rPr>
                <w:sz w:val="18"/>
              </w:rPr>
              <w:t>measure excludes support for investments in installations covered by the EU Emissions Trading Scheme (ETS). The</w:t>
            </w:r>
            <w:r>
              <w:rPr>
                <w:spacing w:val="1"/>
                <w:sz w:val="18"/>
              </w:rPr>
              <w:t xml:space="preserve"> </w:t>
            </w:r>
            <w:r>
              <w:rPr>
                <w:sz w:val="18"/>
              </w:rPr>
              <w:t>grant will support private sector investment for projects: to promote a circular economy by introducing resource</w:t>
            </w:r>
            <w:r>
              <w:rPr>
                <w:spacing w:val="1"/>
                <w:sz w:val="18"/>
              </w:rPr>
              <w:t xml:space="preserve"> </w:t>
            </w:r>
            <w:r>
              <w:rPr>
                <w:sz w:val="18"/>
              </w:rPr>
              <w:t>efficiency in the production cycle and life cycle of products, including the sustainable supply of primary and secondary</w:t>
            </w:r>
            <w:r>
              <w:rPr>
                <w:spacing w:val="1"/>
                <w:sz w:val="18"/>
              </w:rPr>
              <w:t xml:space="preserve"> </w:t>
            </w:r>
            <w:r>
              <w:rPr>
                <w:sz w:val="18"/>
              </w:rPr>
              <w:t>raw</w:t>
            </w:r>
            <w:r>
              <w:rPr>
                <w:spacing w:val="-2"/>
                <w:sz w:val="18"/>
              </w:rPr>
              <w:t xml:space="preserve"> </w:t>
            </w:r>
            <w:r>
              <w:rPr>
                <w:sz w:val="18"/>
              </w:rPr>
              <w:t>materials,</w:t>
            </w:r>
            <w:r>
              <w:rPr>
                <w:spacing w:val="-1"/>
                <w:sz w:val="18"/>
              </w:rPr>
              <w:t xml:space="preserve"> </w:t>
            </w:r>
            <w:r>
              <w:rPr>
                <w:sz w:val="18"/>
              </w:rPr>
              <w:t>and/or</w:t>
            </w:r>
            <w:r>
              <w:rPr>
                <w:spacing w:val="-1"/>
                <w:sz w:val="18"/>
              </w:rPr>
              <w:t xml:space="preserve"> </w:t>
            </w:r>
            <w:r>
              <w:rPr>
                <w:sz w:val="18"/>
              </w:rPr>
              <w:t>-</w:t>
            </w:r>
            <w:r>
              <w:rPr>
                <w:spacing w:val="-3"/>
                <w:sz w:val="18"/>
              </w:rPr>
              <w:t xml:space="preserve"> </w:t>
            </w:r>
            <w:r>
              <w:rPr>
                <w:sz w:val="18"/>
              </w:rPr>
              <w:t>decarbonisation and</w:t>
            </w:r>
            <w:r>
              <w:rPr>
                <w:spacing w:val="-1"/>
                <w:sz w:val="18"/>
              </w:rPr>
              <w:t xml:space="preserve"> </w:t>
            </w:r>
            <w:r>
              <w:rPr>
                <w:sz w:val="18"/>
              </w:rPr>
              <w:t>emission reduction</w:t>
            </w:r>
            <w:r>
              <w:rPr>
                <w:spacing w:val="-1"/>
                <w:sz w:val="18"/>
              </w:rPr>
              <w:t xml:space="preserve"> </w:t>
            </w:r>
            <w:r>
              <w:rPr>
                <w:sz w:val="18"/>
              </w:rPr>
              <w:t>of</w:t>
            </w:r>
            <w:r>
              <w:rPr>
                <w:spacing w:val="-3"/>
                <w:sz w:val="18"/>
              </w:rPr>
              <w:t xml:space="preserve"> </w:t>
            </w:r>
            <w:r>
              <w:rPr>
                <w:sz w:val="18"/>
              </w:rPr>
              <w:t>energy-intensive</w:t>
            </w:r>
            <w:r>
              <w:rPr>
                <w:spacing w:val="-2"/>
                <w:sz w:val="18"/>
              </w:rPr>
              <w:t xml:space="preserve"> </w:t>
            </w:r>
            <w:r>
              <w:rPr>
                <w:sz w:val="18"/>
              </w:rPr>
              <w:t>industries,</w:t>
            </w:r>
            <w:r>
              <w:rPr>
                <w:spacing w:val="-2"/>
                <w:sz w:val="18"/>
              </w:rPr>
              <w:t xml:space="preserve"> </w:t>
            </w:r>
            <w:r>
              <w:rPr>
                <w:sz w:val="18"/>
              </w:rPr>
              <w:t>including</w:t>
            </w:r>
            <w:r>
              <w:rPr>
                <w:spacing w:val="-2"/>
                <w:sz w:val="18"/>
              </w:rPr>
              <w:t xml:space="preserve"> </w:t>
            </w:r>
            <w:r>
              <w:rPr>
                <w:sz w:val="18"/>
              </w:rPr>
              <w:t>demonstration</w:t>
            </w:r>
          </w:p>
          <w:p w:rsidR="00A56FE9" w:rsidRDefault="00000000">
            <w:pPr>
              <w:pStyle w:val="TableParagraph"/>
              <w:spacing w:line="191" w:lineRule="exact"/>
              <w:ind w:left="105"/>
              <w:rPr>
                <w:sz w:val="18"/>
              </w:rPr>
            </w:pPr>
            <w:r>
              <w:rPr>
                <w:sz w:val="18"/>
              </w:rPr>
              <w:t>and</w:t>
            </w:r>
            <w:r>
              <w:rPr>
                <w:spacing w:val="-2"/>
                <w:sz w:val="18"/>
              </w:rPr>
              <w:t xml:space="preserve"> </w:t>
            </w:r>
            <w:r>
              <w:rPr>
                <w:sz w:val="18"/>
              </w:rPr>
              <w:t>deployment</w:t>
            </w:r>
            <w:r>
              <w:rPr>
                <w:spacing w:val="-2"/>
                <w:sz w:val="18"/>
              </w:rPr>
              <w:t xml:space="preserve"> </w:t>
            </w:r>
            <w:r>
              <w:rPr>
                <w:sz w:val="18"/>
              </w:rPr>
              <w:t>of</w:t>
            </w:r>
            <w:r>
              <w:rPr>
                <w:spacing w:val="-4"/>
                <w:sz w:val="18"/>
              </w:rPr>
              <w:t xml:space="preserve"> </w:t>
            </w:r>
            <w:r>
              <w:rPr>
                <w:sz w:val="18"/>
              </w:rPr>
              <w:t>innovative</w:t>
            </w:r>
            <w:r>
              <w:rPr>
                <w:spacing w:val="-3"/>
                <w:sz w:val="18"/>
              </w:rPr>
              <w:t xml:space="preserve"> </w:t>
            </w:r>
            <w:r>
              <w:rPr>
                <w:sz w:val="18"/>
              </w:rPr>
              <w:t>low-emission</w:t>
            </w:r>
            <w:r>
              <w:rPr>
                <w:spacing w:val="-2"/>
                <w:sz w:val="18"/>
              </w:rPr>
              <w:t xml:space="preserve"> </w:t>
            </w:r>
            <w:r>
              <w:rPr>
                <w:sz w:val="18"/>
              </w:rPr>
              <w:t>technologies.</w:t>
            </w:r>
          </w:p>
        </w:tc>
      </w:tr>
      <w:tr w:rsidR="00A56FE9">
        <w:trPr>
          <w:trHeight w:val="1449"/>
        </w:trPr>
        <w:tc>
          <w:tcPr>
            <w:tcW w:w="2064" w:type="dxa"/>
            <w:vMerge/>
            <w:tcBorders>
              <w:top w:val="nil"/>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ind w:left="100" w:right="224"/>
              <w:rPr>
                <w:sz w:val="18"/>
              </w:rPr>
            </w:pPr>
            <w:r>
              <w:rPr>
                <w:sz w:val="18"/>
              </w:rPr>
              <w:t>Adoption of the Strategy for the</w:t>
            </w:r>
            <w:r>
              <w:rPr>
                <w:spacing w:val="1"/>
                <w:sz w:val="18"/>
              </w:rPr>
              <w:t xml:space="preserve"> </w:t>
            </w:r>
            <w:r>
              <w:rPr>
                <w:sz w:val="18"/>
              </w:rPr>
              <w:t>Development of Sustainable Tourism by</w:t>
            </w:r>
            <w:r>
              <w:rPr>
                <w:spacing w:val="1"/>
                <w:sz w:val="18"/>
              </w:rPr>
              <w:t xml:space="preserve"> </w:t>
            </w:r>
            <w:r>
              <w:rPr>
                <w:sz w:val="18"/>
              </w:rPr>
              <w:t>2030 of the Government of the Republic of</w:t>
            </w:r>
            <w:r>
              <w:rPr>
                <w:spacing w:val="-42"/>
                <w:sz w:val="18"/>
              </w:rPr>
              <w:t xml:space="preserve"> </w:t>
            </w:r>
            <w:r>
              <w:rPr>
                <w:sz w:val="18"/>
              </w:rPr>
              <w:t>Croatia</w:t>
            </w:r>
          </w:p>
          <w:p w:rsidR="00A56FE9" w:rsidRDefault="00A56FE9">
            <w:pPr>
              <w:pStyle w:val="TableParagraph"/>
              <w:spacing w:before="8"/>
              <w:rPr>
                <w:b/>
                <w:sz w:val="17"/>
              </w:rPr>
            </w:pPr>
          </w:p>
          <w:p w:rsidR="00A56FE9" w:rsidRDefault="00000000">
            <w:pPr>
              <w:pStyle w:val="TableParagraph"/>
              <w:spacing w:before="1"/>
              <w:ind w:left="100"/>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12</w:t>
            </w:r>
          </w:p>
        </w:tc>
        <w:tc>
          <w:tcPr>
            <w:tcW w:w="8927" w:type="dxa"/>
            <w:shd w:val="clear" w:color="auto" w:fill="C5EECE"/>
          </w:tcPr>
          <w:p w:rsidR="00A56FE9" w:rsidRDefault="00000000">
            <w:pPr>
              <w:pStyle w:val="TableParagraph"/>
              <w:ind w:left="105" w:right="179"/>
              <w:rPr>
                <w:sz w:val="18"/>
              </w:rPr>
            </w:pPr>
            <w:r>
              <w:rPr>
                <w:sz w:val="18"/>
              </w:rPr>
              <w:t>As part of this reform, the process of transforming the tourism development model towards sustainability will be</w:t>
            </w:r>
            <w:r>
              <w:rPr>
                <w:spacing w:val="1"/>
                <w:sz w:val="18"/>
              </w:rPr>
              <w:t xml:space="preserve"> </w:t>
            </w:r>
            <w:r>
              <w:rPr>
                <w:sz w:val="18"/>
              </w:rPr>
              <w:t>implemented</w:t>
            </w:r>
            <w:r>
              <w:rPr>
                <w:spacing w:val="-1"/>
                <w:sz w:val="18"/>
              </w:rPr>
              <w:t xml:space="preserve"> </w:t>
            </w:r>
            <w:r>
              <w:rPr>
                <w:sz w:val="18"/>
              </w:rPr>
              <w:t>through</w:t>
            </w:r>
            <w:r>
              <w:rPr>
                <w:spacing w:val="-3"/>
                <w:sz w:val="18"/>
              </w:rPr>
              <w:t xml:space="preserve"> </w:t>
            </w:r>
            <w:r>
              <w:rPr>
                <w:sz w:val="18"/>
              </w:rPr>
              <w:t>the</w:t>
            </w:r>
            <w:r>
              <w:rPr>
                <w:spacing w:val="-4"/>
                <w:sz w:val="18"/>
              </w:rPr>
              <w:t xml:space="preserve"> </w:t>
            </w:r>
            <w:r>
              <w:rPr>
                <w:sz w:val="18"/>
              </w:rPr>
              <w:t>development</w:t>
            </w:r>
            <w:r>
              <w:rPr>
                <w:spacing w:val="-2"/>
                <w:sz w:val="18"/>
              </w:rPr>
              <w:t xml:space="preserve"> </w:t>
            </w:r>
            <w:r>
              <w:rPr>
                <w:sz w:val="18"/>
              </w:rPr>
              <w:t>of</w:t>
            </w:r>
            <w:r>
              <w:rPr>
                <w:spacing w:val="-3"/>
                <w:sz w:val="18"/>
              </w:rPr>
              <w:t xml:space="preserve"> </w:t>
            </w:r>
            <w:r>
              <w:rPr>
                <w:sz w:val="18"/>
              </w:rPr>
              <w:t>the</w:t>
            </w:r>
            <w:r>
              <w:rPr>
                <w:spacing w:val="-3"/>
                <w:sz w:val="18"/>
              </w:rPr>
              <w:t xml:space="preserve"> </w:t>
            </w:r>
            <w:r>
              <w:rPr>
                <w:sz w:val="18"/>
              </w:rPr>
              <w:t>2030</w:t>
            </w:r>
            <w:r>
              <w:rPr>
                <w:spacing w:val="-1"/>
                <w:sz w:val="18"/>
              </w:rPr>
              <w:t xml:space="preserve"> </w:t>
            </w:r>
            <w:r>
              <w:rPr>
                <w:sz w:val="18"/>
              </w:rPr>
              <w:t>Sustainable</w:t>
            </w:r>
            <w:r>
              <w:rPr>
                <w:spacing w:val="4"/>
                <w:sz w:val="18"/>
              </w:rPr>
              <w:t xml:space="preserve"> </w:t>
            </w:r>
            <w:r>
              <w:rPr>
                <w:sz w:val="18"/>
              </w:rPr>
              <w:t>Tourism</w:t>
            </w:r>
            <w:r>
              <w:rPr>
                <w:spacing w:val="-5"/>
                <w:sz w:val="18"/>
              </w:rPr>
              <w:t xml:space="preserve"> </w:t>
            </w:r>
            <w:r>
              <w:rPr>
                <w:sz w:val="18"/>
              </w:rPr>
              <w:t>Development</w:t>
            </w:r>
            <w:r>
              <w:rPr>
                <w:spacing w:val="-2"/>
                <w:sz w:val="18"/>
              </w:rPr>
              <w:t xml:space="preserve"> </w:t>
            </w:r>
            <w:r>
              <w:rPr>
                <w:sz w:val="18"/>
              </w:rPr>
              <w:t>Strategy,</w:t>
            </w:r>
            <w:r>
              <w:rPr>
                <w:spacing w:val="-1"/>
                <w:sz w:val="18"/>
              </w:rPr>
              <w:t xml:space="preserve"> </w:t>
            </w:r>
            <w:r>
              <w:rPr>
                <w:sz w:val="18"/>
              </w:rPr>
              <w:t>from</w:t>
            </w:r>
            <w:r>
              <w:rPr>
                <w:spacing w:val="-3"/>
                <w:sz w:val="18"/>
              </w:rPr>
              <w:t xml:space="preserve"> </w:t>
            </w:r>
            <w:r>
              <w:rPr>
                <w:sz w:val="18"/>
              </w:rPr>
              <w:t>the</w:t>
            </w:r>
            <w:r>
              <w:rPr>
                <w:spacing w:val="-2"/>
                <w:sz w:val="18"/>
              </w:rPr>
              <w:t xml:space="preserve"> </w:t>
            </w:r>
            <w:r>
              <w:rPr>
                <w:sz w:val="18"/>
              </w:rPr>
              <w:t>point</w:t>
            </w:r>
            <w:r>
              <w:rPr>
                <w:spacing w:val="-2"/>
                <w:sz w:val="18"/>
              </w:rPr>
              <w:t xml:space="preserve"> </w:t>
            </w:r>
            <w:r>
              <w:rPr>
                <w:sz w:val="18"/>
              </w:rPr>
              <w:t>of</w:t>
            </w:r>
            <w:r>
              <w:rPr>
                <w:spacing w:val="-4"/>
                <w:sz w:val="18"/>
              </w:rPr>
              <w:t xml:space="preserve"> </w:t>
            </w:r>
            <w:r>
              <w:rPr>
                <w:sz w:val="18"/>
              </w:rPr>
              <w:t>view</w:t>
            </w:r>
            <w:r>
              <w:rPr>
                <w:spacing w:val="-42"/>
                <w:sz w:val="18"/>
              </w:rPr>
              <w:t xml:space="preserve"> </w:t>
            </w:r>
            <w:r>
              <w:rPr>
                <w:sz w:val="18"/>
              </w:rPr>
              <w:t>of</w:t>
            </w:r>
            <w:r>
              <w:rPr>
                <w:spacing w:val="-3"/>
                <w:sz w:val="18"/>
              </w:rPr>
              <w:t xml:space="preserve"> </w:t>
            </w:r>
            <w:r>
              <w:rPr>
                <w:sz w:val="18"/>
              </w:rPr>
              <w:t>socio-economic sustainability, environmental</w:t>
            </w:r>
            <w:r>
              <w:rPr>
                <w:spacing w:val="-1"/>
                <w:sz w:val="18"/>
              </w:rPr>
              <w:t xml:space="preserve"> </w:t>
            </w:r>
            <w:r>
              <w:rPr>
                <w:sz w:val="18"/>
              </w:rPr>
              <w:t>and</w:t>
            </w:r>
            <w:r>
              <w:rPr>
                <w:spacing w:val="1"/>
                <w:sz w:val="18"/>
              </w:rPr>
              <w:t xml:space="preserve"> </w:t>
            </w:r>
            <w:r>
              <w:rPr>
                <w:sz w:val="18"/>
              </w:rPr>
              <w:t>territorial sustainability.</w:t>
            </w:r>
          </w:p>
          <w:p w:rsidR="00A56FE9" w:rsidRDefault="00000000">
            <w:pPr>
              <w:pStyle w:val="TableParagraph"/>
              <w:ind w:left="105" w:right="84"/>
              <w:rPr>
                <w:sz w:val="18"/>
              </w:rPr>
            </w:pPr>
            <w:r>
              <w:rPr>
                <w:sz w:val="18"/>
              </w:rPr>
              <w:t>The strategy, as a long-term act of strategic planning of national significance, will also pay particular attention to the</w:t>
            </w:r>
            <w:r>
              <w:rPr>
                <w:spacing w:val="1"/>
                <w:sz w:val="18"/>
              </w:rPr>
              <w:t xml:space="preserve"> </w:t>
            </w:r>
            <w:r>
              <w:rPr>
                <w:sz w:val="18"/>
              </w:rPr>
              <w:t>issues</w:t>
            </w:r>
            <w:r>
              <w:rPr>
                <w:spacing w:val="-1"/>
                <w:sz w:val="18"/>
              </w:rPr>
              <w:t xml:space="preserve"> </w:t>
            </w:r>
            <w:r>
              <w:rPr>
                <w:sz w:val="18"/>
              </w:rPr>
              <w:t>of</w:t>
            </w:r>
            <w:r>
              <w:rPr>
                <w:spacing w:val="-3"/>
                <w:sz w:val="18"/>
              </w:rPr>
              <w:t xml:space="preserve"> </w:t>
            </w:r>
            <w:r>
              <w:rPr>
                <w:sz w:val="18"/>
              </w:rPr>
              <w:t>land use</w:t>
            </w:r>
            <w:r>
              <w:rPr>
                <w:spacing w:val="-1"/>
                <w:sz w:val="18"/>
              </w:rPr>
              <w:t xml:space="preserve"> </w:t>
            </w:r>
            <w:r>
              <w:rPr>
                <w:sz w:val="18"/>
              </w:rPr>
              <w:t>so far,</w:t>
            </w:r>
            <w:r>
              <w:rPr>
                <w:spacing w:val="-1"/>
                <w:sz w:val="18"/>
              </w:rPr>
              <w:t xml:space="preserve"> </w:t>
            </w:r>
            <w:r>
              <w:rPr>
                <w:sz w:val="18"/>
              </w:rPr>
              <w:t>i.e.,</w:t>
            </w:r>
            <w:r>
              <w:rPr>
                <w:spacing w:val="-1"/>
                <w:sz w:val="18"/>
              </w:rPr>
              <w:t xml:space="preserve"> </w:t>
            </w:r>
            <w:r>
              <w:rPr>
                <w:sz w:val="18"/>
              </w:rPr>
              <w:t>overtourism</w:t>
            </w:r>
            <w:r>
              <w:rPr>
                <w:spacing w:val="-3"/>
                <w:sz w:val="18"/>
              </w:rPr>
              <w:t xml:space="preserve"> </w:t>
            </w:r>
            <w:r>
              <w:rPr>
                <w:sz w:val="18"/>
              </w:rPr>
              <w:t>in individual</w:t>
            </w:r>
            <w:r>
              <w:rPr>
                <w:spacing w:val="-3"/>
                <w:sz w:val="18"/>
              </w:rPr>
              <w:t xml:space="preserve"> </w:t>
            </w:r>
            <w:r>
              <w:rPr>
                <w:sz w:val="18"/>
              </w:rPr>
              <w:t>destinations,</w:t>
            </w:r>
            <w:r>
              <w:rPr>
                <w:spacing w:val="-1"/>
                <w:sz w:val="18"/>
              </w:rPr>
              <w:t xml:space="preserve"> </w:t>
            </w:r>
            <w:r>
              <w:rPr>
                <w:sz w:val="18"/>
              </w:rPr>
              <w:t>as one</w:t>
            </w:r>
            <w:r>
              <w:rPr>
                <w:spacing w:val="-4"/>
                <w:sz w:val="18"/>
              </w:rPr>
              <w:t xml:space="preserve"> </w:t>
            </w:r>
            <w:r>
              <w:rPr>
                <w:sz w:val="18"/>
              </w:rPr>
              <w:t>of</w:t>
            </w:r>
            <w:r>
              <w:rPr>
                <w:spacing w:val="-3"/>
                <w:sz w:val="18"/>
              </w:rPr>
              <w:t xml:space="preserve"> </w:t>
            </w:r>
            <w:r>
              <w:rPr>
                <w:sz w:val="18"/>
              </w:rPr>
              <w:t>the</w:t>
            </w:r>
            <w:r>
              <w:rPr>
                <w:spacing w:val="-1"/>
                <w:sz w:val="18"/>
              </w:rPr>
              <w:t xml:space="preserve"> </w:t>
            </w:r>
            <w:r>
              <w:rPr>
                <w:sz w:val="18"/>
              </w:rPr>
              <w:t>key</w:t>
            </w:r>
            <w:r>
              <w:rPr>
                <w:spacing w:val="-5"/>
                <w:sz w:val="18"/>
              </w:rPr>
              <w:t xml:space="preserve"> </w:t>
            </w:r>
            <w:r>
              <w:rPr>
                <w:sz w:val="18"/>
              </w:rPr>
              <w:t>problems</w:t>
            </w:r>
            <w:r>
              <w:rPr>
                <w:spacing w:val="-1"/>
                <w:sz w:val="18"/>
              </w:rPr>
              <w:t xml:space="preserve"> </w:t>
            </w:r>
            <w:r>
              <w:rPr>
                <w:sz w:val="18"/>
              </w:rPr>
              <w:t>of</w:t>
            </w:r>
            <w:r>
              <w:rPr>
                <w:spacing w:val="-3"/>
                <w:sz w:val="18"/>
              </w:rPr>
              <w:t xml:space="preserve"> </w:t>
            </w:r>
            <w:r>
              <w:rPr>
                <w:sz w:val="18"/>
              </w:rPr>
              <w:t>tourism</w:t>
            </w:r>
            <w:r>
              <w:rPr>
                <w:spacing w:val="-3"/>
                <w:sz w:val="18"/>
              </w:rPr>
              <w:t xml:space="preserve"> </w:t>
            </w:r>
            <w:r>
              <w:rPr>
                <w:sz w:val="18"/>
              </w:rPr>
              <w:t>development.</w:t>
            </w:r>
          </w:p>
          <w:p w:rsidR="00A56FE9" w:rsidRDefault="00000000">
            <w:pPr>
              <w:pStyle w:val="TableParagraph"/>
              <w:spacing w:line="206" w:lineRule="exact"/>
              <w:ind w:left="105" w:right="142"/>
              <w:rPr>
                <w:sz w:val="18"/>
              </w:rPr>
            </w:pPr>
            <w:r>
              <w:rPr>
                <w:sz w:val="18"/>
              </w:rPr>
              <w:t>The</w:t>
            </w:r>
            <w:r>
              <w:rPr>
                <w:spacing w:val="-2"/>
                <w:sz w:val="18"/>
              </w:rPr>
              <w:t xml:space="preserve"> </w:t>
            </w:r>
            <w:r>
              <w:rPr>
                <w:sz w:val="18"/>
              </w:rPr>
              <w:t>Strategy</w:t>
            </w:r>
            <w:r>
              <w:rPr>
                <w:spacing w:val="-2"/>
                <w:sz w:val="18"/>
              </w:rPr>
              <w:t xml:space="preserve"> </w:t>
            </w:r>
            <w:r>
              <w:rPr>
                <w:sz w:val="18"/>
              </w:rPr>
              <w:t>will</w:t>
            </w:r>
            <w:r>
              <w:rPr>
                <w:spacing w:val="-1"/>
                <w:sz w:val="18"/>
              </w:rPr>
              <w:t xml:space="preserve"> </w:t>
            </w:r>
            <w:r>
              <w:rPr>
                <w:sz w:val="18"/>
              </w:rPr>
              <w:t>also provide</w:t>
            </w:r>
            <w:r>
              <w:rPr>
                <w:spacing w:val="-2"/>
                <w:sz w:val="18"/>
              </w:rPr>
              <w:t xml:space="preserve"> </w:t>
            </w:r>
            <w:r>
              <w:rPr>
                <w:sz w:val="18"/>
              </w:rPr>
              <w:t>a</w:t>
            </w:r>
            <w:r>
              <w:rPr>
                <w:spacing w:val="-2"/>
                <w:sz w:val="18"/>
              </w:rPr>
              <w:t xml:space="preserve"> </w:t>
            </w:r>
            <w:r>
              <w:rPr>
                <w:sz w:val="18"/>
              </w:rPr>
              <w:t>response</w:t>
            </w:r>
            <w:r>
              <w:rPr>
                <w:spacing w:val="-2"/>
                <w:sz w:val="18"/>
              </w:rPr>
              <w:t xml:space="preserve"> </w:t>
            </w:r>
            <w:r>
              <w:rPr>
                <w:sz w:val="18"/>
              </w:rPr>
              <w:t>to</w:t>
            </w:r>
            <w:r>
              <w:rPr>
                <w:spacing w:val="-2"/>
                <w:sz w:val="18"/>
              </w:rPr>
              <w:t xml:space="preserve"> </w:t>
            </w:r>
            <w:r>
              <w:rPr>
                <w:sz w:val="18"/>
              </w:rPr>
              <w:t>how</w:t>
            </w:r>
            <w:r>
              <w:rPr>
                <w:spacing w:val="-4"/>
                <w:sz w:val="18"/>
              </w:rPr>
              <w:t xml:space="preserve"> </w:t>
            </w:r>
            <w:r>
              <w:rPr>
                <w:sz w:val="18"/>
              </w:rPr>
              <w:t>to better</w:t>
            </w:r>
            <w:r>
              <w:rPr>
                <w:spacing w:val="-3"/>
                <w:sz w:val="18"/>
              </w:rPr>
              <w:t xml:space="preserve"> </w:t>
            </w:r>
            <w:r>
              <w:rPr>
                <w:sz w:val="18"/>
              </w:rPr>
              <w:t>promote</w:t>
            </w:r>
            <w:r>
              <w:rPr>
                <w:spacing w:val="-1"/>
                <w:sz w:val="18"/>
              </w:rPr>
              <w:t xml:space="preserve"> </w:t>
            </w:r>
            <w:r>
              <w:rPr>
                <w:sz w:val="18"/>
              </w:rPr>
              <w:t>the</w:t>
            </w:r>
            <w:r>
              <w:rPr>
                <w:spacing w:val="-2"/>
                <w:sz w:val="18"/>
              </w:rPr>
              <w:t xml:space="preserve"> </w:t>
            </w:r>
            <w:r>
              <w:rPr>
                <w:sz w:val="18"/>
              </w:rPr>
              <w:t>reduction</w:t>
            </w:r>
            <w:r>
              <w:rPr>
                <w:spacing w:val="-1"/>
                <w:sz w:val="18"/>
              </w:rPr>
              <w:t xml:space="preserve"> </w:t>
            </w:r>
            <w:r>
              <w:rPr>
                <w:sz w:val="18"/>
              </w:rPr>
              <w:t>of</w:t>
            </w:r>
            <w:r>
              <w:rPr>
                <w:spacing w:val="-3"/>
                <w:sz w:val="18"/>
              </w:rPr>
              <w:t xml:space="preserve"> </w:t>
            </w:r>
            <w:r>
              <w:rPr>
                <w:sz w:val="18"/>
              </w:rPr>
              <w:t>uneven regional</w:t>
            </w:r>
            <w:r>
              <w:rPr>
                <w:spacing w:val="-5"/>
                <w:sz w:val="18"/>
              </w:rPr>
              <w:t xml:space="preserve"> </w:t>
            </w:r>
            <w:r>
              <w:rPr>
                <w:sz w:val="18"/>
              </w:rPr>
              <w:t>development</w:t>
            </w:r>
            <w:r>
              <w:rPr>
                <w:spacing w:val="-1"/>
                <w:sz w:val="18"/>
              </w:rPr>
              <w:t xml:space="preserve"> </w:t>
            </w:r>
            <w:r>
              <w:rPr>
                <w:sz w:val="18"/>
              </w:rPr>
              <w:t>in</w:t>
            </w:r>
            <w:r>
              <w:rPr>
                <w:spacing w:val="-42"/>
                <w:sz w:val="18"/>
              </w:rPr>
              <w:t xml:space="preserve"> </w:t>
            </w:r>
            <w:r>
              <w:rPr>
                <w:sz w:val="18"/>
              </w:rPr>
              <w:t>Croatia.</w:t>
            </w:r>
          </w:p>
        </w:tc>
      </w:tr>
      <w:tr w:rsidR="00A56FE9">
        <w:trPr>
          <w:trHeight w:val="1655"/>
        </w:trPr>
        <w:tc>
          <w:tcPr>
            <w:tcW w:w="2064" w:type="dxa"/>
            <w:vMerge/>
            <w:tcBorders>
              <w:top w:val="nil"/>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ind w:left="100" w:right="135"/>
              <w:rPr>
                <w:sz w:val="18"/>
              </w:rPr>
            </w:pPr>
            <w:r>
              <w:rPr>
                <w:sz w:val="18"/>
              </w:rPr>
              <w:t>Launching public calls for the green and</w:t>
            </w:r>
            <w:r>
              <w:rPr>
                <w:spacing w:val="1"/>
                <w:sz w:val="18"/>
              </w:rPr>
              <w:t xml:space="preserve"> </w:t>
            </w:r>
            <w:r>
              <w:rPr>
                <w:sz w:val="18"/>
              </w:rPr>
              <w:t>digital transition of existing public tourism</w:t>
            </w:r>
            <w:r>
              <w:rPr>
                <w:spacing w:val="1"/>
                <w:sz w:val="18"/>
              </w:rPr>
              <w:t xml:space="preserve"> </w:t>
            </w:r>
            <w:r>
              <w:rPr>
                <w:sz w:val="18"/>
              </w:rPr>
              <w:t>infrastructure and the development of public</w:t>
            </w:r>
            <w:r>
              <w:rPr>
                <w:spacing w:val="-42"/>
                <w:sz w:val="18"/>
              </w:rPr>
              <w:t xml:space="preserve"> </w:t>
            </w:r>
            <w:r>
              <w:rPr>
                <w:sz w:val="18"/>
              </w:rPr>
              <w:t>tourism infrastructure beyond the main</w:t>
            </w:r>
            <w:r>
              <w:rPr>
                <w:spacing w:val="1"/>
                <w:sz w:val="18"/>
              </w:rPr>
              <w:t xml:space="preserve"> </w:t>
            </w:r>
            <w:r>
              <w:rPr>
                <w:sz w:val="18"/>
              </w:rPr>
              <w:t>tourist</w:t>
            </w:r>
            <w:r>
              <w:rPr>
                <w:spacing w:val="-3"/>
                <w:sz w:val="18"/>
              </w:rPr>
              <w:t xml:space="preserve"> </w:t>
            </w:r>
            <w:r>
              <w:rPr>
                <w:sz w:val="18"/>
              </w:rPr>
              <w:t>and</w:t>
            </w:r>
            <w:r>
              <w:rPr>
                <w:spacing w:val="-1"/>
                <w:sz w:val="18"/>
              </w:rPr>
              <w:t xml:space="preserve"> </w:t>
            </w:r>
            <w:r>
              <w:rPr>
                <w:sz w:val="18"/>
              </w:rPr>
              <w:t>coastal areas</w:t>
            </w:r>
          </w:p>
          <w:p w:rsidR="00A56FE9" w:rsidRDefault="00A56FE9">
            <w:pPr>
              <w:pStyle w:val="TableParagraph"/>
              <w:spacing w:before="5"/>
              <w:rPr>
                <w:b/>
                <w:sz w:val="16"/>
              </w:rPr>
            </w:pPr>
          </w:p>
          <w:p w:rsidR="00A56FE9" w:rsidRDefault="00000000">
            <w:pPr>
              <w:pStyle w:val="TableParagraph"/>
              <w:spacing w:line="206" w:lineRule="exact"/>
              <w:ind w:left="100" w:right="299"/>
              <w:rPr>
                <w:i/>
                <w:sz w:val="18"/>
              </w:rPr>
            </w:pPr>
            <w:r>
              <w:rPr>
                <w:i/>
                <w:sz w:val="18"/>
              </w:rPr>
              <w:t>Also contributes to achieving SDG 11 and</w:t>
            </w:r>
            <w:r>
              <w:rPr>
                <w:i/>
                <w:spacing w:val="-42"/>
                <w:sz w:val="18"/>
              </w:rPr>
              <w:t xml:space="preserve"> </w:t>
            </w:r>
            <w:r>
              <w:rPr>
                <w:i/>
                <w:sz w:val="18"/>
              </w:rPr>
              <w:t>12</w:t>
            </w:r>
          </w:p>
        </w:tc>
        <w:tc>
          <w:tcPr>
            <w:tcW w:w="8927" w:type="dxa"/>
            <w:shd w:val="clear" w:color="auto" w:fill="C5EECE"/>
          </w:tcPr>
          <w:p w:rsidR="00A56FE9" w:rsidRDefault="00000000">
            <w:pPr>
              <w:pStyle w:val="TableParagraph"/>
              <w:ind w:left="105" w:right="142"/>
              <w:rPr>
                <w:sz w:val="18"/>
              </w:rPr>
            </w:pPr>
            <w:r>
              <w:rPr>
                <w:sz w:val="18"/>
              </w:rPr>
              <w:t>The tender documentation shall specify that investments shall focus on projects that can increase the green and digital</w:t>
            </w:r>
            <w:r>
              <w:rPr>
                <w:spacing w:val="1"/>
                <w:sz w:val="18"/>
              </w:rPr>
              <w:t xml:space="preserve"> </w:t>
            </w:r>
            <w:r>
              <w:rPr>
                <w:sz w:val="18"/>
              </w:rPr>
              <w:t>quality of tourism infrastructure and reduce the environmental impact and consequently the concentration of guests in</w:t>
            </w:r>
            <w:r>
              <w:rPr>
                <w:spacing w:val="1"/>
                <w:sz w:val="18"/>
              </w:rPr>
              <w:t xml:space="preserve"> </w:t>
            </w:r>
            <w:r>
              <w:rPr>
                <w:sz w:val="18"/>
              </w:rPr>
              <w:t>the season. In the main tourist and coastal areas, according to the Tourism Development Index, only investments in the</w:t>
            </w:r>
            <w:r>
              <w:rPr>
                <w:spacing w:val="1"/>
                <w:sz w:val="18"/>
              </w:rPr>
              <w:t xml:space="preserve"> </w:t>
            </w:r>
            <w:r>
              <w:rPr>
                <w:sz w:val="18"/>
              </w:rPr>
              <w:t>green and digital transition of existing tourism infrastructure and up to EUR 29,623,731 of the total budget of the</w:t>
            </w:r>
            <w:r>
              <w:rPr>
                <w:spacing w:val="1"/>
                <w:sz w:val="18"/>
              </w:rPr>
              <w:t xml:space="preserve"> </w:t>
            </w:r>
            <w:r>
              <w:rPr>
                <w:sz w:val="18"/>
              </w:rPr>
              <w:t>investment</w:t>
            </w:r>
            <w:r>
              <w:rPr>
                <w:spacing w:val="-3"/>
                <w:sz w:val="18"/>
              </w:rPr>
              <w:t xml:space="preserve"> </w:t>
            </w:r>
            <w:r>
              <w:rPr>
                <w:sz w:val="18"/>
              </w:rPr>
              <w:t>shall</w:t>
            </w:r>
            <w:r>
              <w:rPr>
                <w:spacing w:val="-2"/>
                <w:sz w:val="18"/>
              </w:rPr>
              <w:t xml:space="preserve"> </w:t>
            </w:r>
            <w:r>
              <w:rPr>
                <w:sz w:val="18"/>
              </w:rPr>
              <w:t>be</w:t>
            </w:r>
            <w:r>
              <w:rPr>
                <w:spacing w:val="-2"/>
                <w:sz w:val="18"/>
              </w:rPr>
              <w:t xml:space="preserve"> </w:t>
            </w:r>
            <w:r>
              <w:rPr>
                <w:sz w:val="18"/>
              </w:rPr>
              <w:t>eligible</w:t>
            </w:r>
            <w:r>
              <w:rPr>
                <w:spacing w:val="-3"/>
                <w:sz w:val="18"/>
              </w:rPr>
              <w:t xml:space="preserve"> </w:t>
            </w:r>
            <w:r>
              <w:rPr>
                <w:sz w:val="18"/>
              </w:rPr>
              <w:t>contributing</w:t>
            </w:r>
            <w:r>
              <w:rPr>
                <w:spacing w:val="-2"/>
                <w:sz w:val="18"/>
              </w:rPr>
              <w:t xml:space="preserve"> </w:t>
            </w:r>
            <w:r>
              <w:rPr>
                <w:sz w:val="18"/>
              </w:rPr>
              <w:t>to</w:t>
            </w:r>
            <w:r>
              <w:rPr>
                <w:spacing w:val="-3"/>
                <w:sz w:val="18"/>
              </w:rPr>
              <w:t xml:space="preserve"> </w:t>
            </w:r>
            <w:r>
              <w:rPr>
                <w:sz w:val="18"/>
              </w:rPr>
              <w:t>the</w:t>
            </w:r>
            <w:r>
              <w:rPr>
                <w:spacing w:val="-3"/>
                <w:sz w:val="18"/>
              </w:rPr>
              <w:t xml:space="preserve"> </w:t>
            </w:r>
            <w:r>
              <w:rPr>
                <w:sz w:val="18"/>
              </w:rPr>
              <w:t>sustainable</w:t>
            </w:r>
            <w:r>
              <w:rPr>
                <w:spacing w:val="-2"/>
                <w:sz w:val="18"/>
              </w:rPr>
              <w:t xml:space="preserve"> </w:t>
            </w:r>
            <w:r>
              <w:rPr>
                <w:sz w:val="18"/>
              </w:rPr>
              <w:t>management</w:t>
            </w:r>
            <w:r>
              <w:rPr>
                <w:spacing w:val="-2"/>
                <w:sz w:val="18"/>
              </w:rPr>
              <w:t xml:space="preserve"> </w:t>
            </w:r>
            <w:r>
              <w:rPr>
                <w:sz w:val="18"/>
              </w:rPr>
              <w:t>of</w:t>
            </w:r>
            <w:r>
              <w:rPr>
                <w:spacing w:val="-4"/>
                <w:sz w:val="18"/>
              </w:rPr>
              <w:t xml:space="preserve"> </w:t>
            </w:r>
            <w:r>
              <w:rPr>
                <w:sz w:val="18"/>
              </w:rPr>
              <w:t>destinations,</w:t>
            </w:r>
            <w:r>
              <w:rPr>
                <w:spacing w:val="-2"/>
                <w:sz w:val="18"/>
              </w:rPr>
              <w:t xml:space="preserve"> </w:t>
            </w:r>
            <w:r>
              <w:rPr>
                <w:sz w:val="18"/>
              </w:rPr>
              <w:t>reducing</w:t>
            </w:r>
            <w:r>
              <w:rPr>
                <w:spacing w:val="-3"/>
                <w:sz w:val="18"/>
              </w:rPr>
              <w:t xml:space="preserve"> </w:t>
            </w:r>
            <w:r>
              <w:rPr>
                <w:sz w:val="18"/>
              </w:rPr>
              <w:t>environmental</w:t>
            </w:r>
            <w:r>
              <w:rPr>
                <w:spacing w:val="-2"/>
                <w:sz w:val="18"/>
              </w:rPr>
              <w:t xml:space="preserve"> </w:t>
            </w:r>
            <w:r>
              <w:rPr>
                <w:sz w:val="18"/>
              </w:rPr>
              <w:t>impacts</w:t>
            </w:r>
            <w:r>
              <w:rPr>
                <w:spacing w:val="-42"/>
                <w:sz w:val="18"/>
              </w:rPr>
              <w:t xml:space="preserve"> </w:t>
            </w:r>
            <w:r>
              <w:rPr>
                <w:sz w:val="18"/>
              </w:rPr>
              <w:t>during the tourist season. Eligibility criteria shall include compliance with the Do No Significant Harm Technical</w:t>
            </w:r>
            <w:r>
              <w:rPr>
                <w:spacing w:val="1"/>
                <w:sz w:val="18"/>
              </w:rPr>
              <w:t xml:space="preserve"> </w:t>
            </w:r>
            <w:r>
              <w:rPr>
                <w:sz w:val="18"/>
              </w:rPr>
              <w:t>Guidance</w:t>
            </w:r>
            <w:r>
              <w:rPr>
                <w:spacing w:val="-2"/>
                <w:sz w:val="18"/>
              </w:rPr>
              <w:t xml:space="preserve"> </w:t>
            </w:r>
            <w:r>
              <w:rPr>
                <w:sz w:val="18"/>
              </w:rPr>
              <w:t>(2021/C58/01).</w:t>
            </w:r>
          </w:p>
        </w:tc>
      </w:tr>
      <w:tr w:rsidR="00A56FE9">
        <w:trPr>
          <w:trHeight w:val="3105"/>
        </w:trPr>
        <w:tc>
          <w:tcPr>
            <w:tcW w:w="2064" w:type="dxa"/>
            <w:vMerge/>
            <w:tcBorders>
              <w:top w:val="nil"/>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ind w:left="100" w:right="89"/>
              <w:rPr>
                <w:sz w:val="18"/>
              </w:rPr>
            </w:pPr>
            <w:r>
              <w:rPr>
                <w:sz w:val="18"/>
              </w:rPr>
              <w:t>Launch public calls to strengthen</w:t>
            </w:r>
            <w:r>
              <w:rPr>
                <w:spacing w:val="1"/>
                <w:sz w:val="18"/>
              </w:rPr>
              <w:t xml:space="preserve"> </w:t>
            </w:r>
            <w:r>
              <w:rPr>
                <w:sz w:val="18"/>
              </w:rPr>
              <w:t>sustainability and boost the green and digital</w:t>
            </w:r>
            <w:r>
              <w:rPr>
                <w:spacing w:val="-42"/>
                <w:sz w:val="18"/>
              </w:rPr>
              <w:t xml:space="preserve"> </w:t>
            </w:r>
            <w:r>
              <w:rPr>
                <w:sz w:val="18"/>
              </w:rPr>
              <w:t>transition of tourism entrepreneurs, with at</w:t>
            </w:r>
            <w:r>
              <w:rPr>
                <w:spacing w:val="1"/>
                <w:sz w:val="18"/>
              </w:rPr>
              <w:t xml:space="preserve"> </w:t>
            </w:r>
            <w:r>
              <w:rPr>
                <w:sz w:val="18"/>
              </w:rPr>
              <w:t>least 50% of total investments supporting the</w:t>
            </w:r>
            <w:r>
              <w:rPr>
                <w:spacing w:val="-42"/>
                <w:sz w:val="18"/>
              </w:rPr>
              <w:t xml:space="preserve"> </w:t>
            </w:r>
            <w:r>
              <w:rPr>
                <w:sz w:val="18"/>
              </w:rPr>
              <w:t>green transition</w:t>
            </w:r>
          </w:p>
          <w:p w:rsidR="00A56FE9" w:rsidRDefault="00A56FE9">
            <w:pPr>
              <w:pStyle w:val="TableParagraph"/>
              <w:spacing w:before="7"/>
              <w:rPr>
                <w:b/>
                <w:sz w:val="17"/>
              </w:rPr>
            </w:pPr>
          </w:p>
          <w:p w:rsidR="00A56FE9" w:rsidRDefault="00000000">
            <w:pPr>
              <w:pStyle w:val="TableParagraph"/>
              <w:ind w:left="100"/>
              <w:rPr>
                <w:i/>
                <w:sz w:val="18"/>
              </w:rPr>
            </w:pPr>
            <w:r>
              <w:rPr>
                <w:i/>
                <w:sz w:val="18"/>
              </w:rPr>
              <w:t>Also</w:t>
            </w:r>
            <w:r>
              <w:rPr>
                <w:i/>
                <w:spacing w:val="-1"/>
                <w:sz w:val="18"/>
              </w:rPr>
              <w:t xml:space="preserve"> </w:t>
            </w:r>
            <w:r>
              <w:rPr>
                <w:i/>
                <w:sz w:val="18"/>
              </w:rPr>
              <w:t>contributes</w:t>
            </w:r>
            <w:r>
              <w:rPr>
                <w:i/>
                <w:spacing w:val="-2"/>
                <w:sz w:val="18"/>
              </w:rPr>
              <w:t xml:space="preserve"> </w:t>
            </w:r>
            <w:r>
              <w:rPr>
                <w:i/>
                <w:sz w:val="18"/>
              </w:rPr>
              <w:t>to</w:t>
            </w:r>
            <w:r>
              <w:rPr>
                <w:i/>
                <w:spacing w:val="-2"/>
                <w:sz w:val="18"/>
              </w:rPr>
              <w:t xml:space="preserve"> </w:t>
            </w:r>
            <w:r>
              <w:rPr>
                <w:i/>
                <w:sz w:val="18"/>
              </w:rPr>
              <w:t>achieving</w:t>
            </w:r>
            <w:r>
              <w:rPr>
                <w:i/>
                <w:spacing w:val="-1"/>
                <w:sz w:val="18"/>
              </w:rPr>
              <w:t xml:space="preserve"> </w:t>
            </w:r>
            <w:r>
              <w:rPr>
                <w:i/>
                <w:sz w:val="18"/>
              </w:rPr>
              <w:t>SDG</w:t>
            </w:r>
            <w:r>
              <w:rPr>
                <w:i/>
                <w:spacing w:val="-1"/>
                <w:sz w:val="18"/>
              </w:rPr>
              <w:t xml:space="preserve"> </w:t>
            </w:r>
            <w:r>
              <w:rPr>
                <w:i/>
                <w:sz w:val="18"/>
              </w:rPr>
              <w:t>9 and</w:t>
            </w:r>
            <w:r>
              <w:rPr>
                <w:i/>
                <w:spacing w:val="-2"/>
                <w:sz w:val="18"/>
              </w:rPr>
              <w:t xml:space="preserve"> </w:t>
            </w:r>
            <w:r>
              <w:rPr>
                <w:i/>
                <w:sz w:val="18"/>
              </w:rPr>
              <w:t>12</w:t>
            </w:r>
          </w:p>
        </w:tc>
        <w:tc>
          <w:tcPr>
            <w:tcW w:w="8927" w:type="dxa"/>
            <w:shd w:val="clear" w:color="auto" w:fill="C5EECE"/>
          </w:tcPr>
          <w:p w:rsidR="00A56FE9" w:rsidRDefault="00000000">
            <w:pPr>
              <w:pStyle w:val="TableParagraph"/>
              <w:ind w:left="105" w:right="142"/>
              <w:rPr>
                <w:sz w:val="18"/>
              </w:rPr>
            </w:pPr>
            <w:r>
              <w:rPr>
                <w:sz w:val="18"/>
              </w:rPr>
              <w:t>The tender documentation shall specify that at least EUR 29,862,632 of the total investments will be awarded to</w:t>
            </w:r>
            <w:r>
              <w:rPr>
                <w:spacing w:val="1"/>
                <w:sz w:val="18"/>
              </w:rPr>
              <w:t xml:space="preserve"> </w:t>
            </w:r>
            <w:r>
              <w:rPr>
                <w:sz w:val="18"/>
              </w:rPr>
              <w:t>investment</w:t>
            </w:r>
            <w:r>
              <w:rPr>
                <w:spacing w:val="-2"/>
                <w:sz w:val="18"/>
              </w:rPr>
              <w:t xml:space="preserve"> </w:t>
            </w:r>
            <w:r>
              <w:rPr>
                <w:sz w:val="18"/>
              </w:rPr>
              <w:t>focussed</w:t>
            </w:r>
            <w:r>
              <w:rPr>
                <w:spacing w:val="-1"/>
                <w:sz w:val="18"/>
              </w:rPr>
              <w:t xml:space="preserve"> </w:t>
            </w:r>
            <w:r>
              <w:rPr>
                <w:sz w:val="18"/>
              </w:rPr>
              <w:t>on</w:t>
            </w:r>
            <w:r>
              <w:rPr>
                <w:spacing w:val="-1"/>
                <w:sz w:val="18"/>
              </w:rPr>
              <w:t xml:space="preserve"> </w:t>
            </w:r>
            <w:r>
              <w:rPr>
                <w:sz w:val="18"/>
              </w:rPr>
              <w:t>climate</w:t>
            </w:r>
            <w:r>
              <w:rPr>
                <w:spacing w:val="-2"/>
                <w:sz w:val="18"/>
              </w:rPr>
              <w:t xml:space="preserve"> </w:t>
            </w:r>
            <w:r>
              <w:rPr>
                <w:sz w:val="18"/>
              </w:rPr>
              <w:t>change</w:t>
            </w:r>
            <w:r>
              <w:rPr>
                <w:spacing w:val="-3"/>
                <w:sz w:val="18"/>
              </w:rPr>
              <w:t xml:space="preserve"> </w:t>
            </w:r>
            <w:r>
              <w:rPr>
                <w:sz w:val="18"/>
              </w:rPr>
              <w:t>mitigation</w:t>
            </w:r>
            <w:r>
              <w:rPr>
                <w:spacing w:val="-1"/>
                <w:sz w:val="18"/>
              </w:rPr>
              <w:t xml:space="preserve"> </w:t>
            </w:r>
            <w:r>
              <w:rPr>
                <w:sz w:val="18"/>
              </w:rPr>
              <w:t>or</w:t>
            </w:r>
            <w:r>
              <w:rPr>
                <w:spacing w:val="-2"/>
                <w:sz w:val="18"/>
              </w:rPr>
              <w:t xml:space="preserve"> </w:t>
            </w:r>
            <w:r>
              <w:rPr>
                <w:sz w:val="18"/>
              </w:rPr>
              <w:t>adaptation,</w:t>
            </w:r>
            <w:r>
              <w:rPr>
                <w:spacing w:val="-2"/>
                <w:sz w:val="18"/>
              </w:rPr>
              <w:t xml:space="preserve"> </w:t>
            </w:r>
            <w:r>
              <w:rPr>
                <w:sz w:val="18"/>
              </w:rPr>
              <w:t>the</w:t>
            </w:r>
            <w:r>
              <w:rPr>
                <w:spacing w:val="-2"/>
                <w:sz w:val="18"/>
              </w:rPr>
              <w:t xml:space="preserve"> </w:t>
            </w:r>
            <w:r>
              <w:rPr>
                <w:sz w:val="18"/>
              </w:rPr>
              <w:t>digitalisation</w:t>
            </w:r>
            <w:r>
              <w:rPr>
                <w:spacing w:val="-3"/>
                <w:sz w:val="18"/>
              </w:rPr>
              <w:t xml:space="preserve"> </w:t>
            </w:r>
            <w:r>
              <w:rPr>
                <w:sz w:val="18"/>
              </w:rPr>
              <w:t>of</w:t>
            </w:r>
            <w:r>
              <w:rPr>
                <w:spacing w:val="-4"/>
                <w:sz w:val="18"/>
              </w:rPr>
              <w:t xml:space="preserve"> </w:t>
            </w:r>
            <w:r>
              <w:rPr>
                <w:sz w:val="18"/>
              </w:rPr>
              <w:t>activities</w:t>
            </w:r>
            <w:r>
              <w:rPr>
                <w:spacing w:val="-3"/>
                <w:sz w:val="18"/>
              </w:rPr>
              <w:t xml:space="preserve"> </w:t>
            </w:r>
            <w:r>
              <w:rPr>
                <w:sz w:val="18"/>
              </w:rPr>
              <w:t>in</w:t>
            </w:r>
            <w:r>
              <w:rPr>
                <w:spacing w:val="-1"/>
                <w:sz w:val="18"/>
              </w:rPr>
              <w:t xml:space="preserve"> </w:t>
            </w:r>
            <w:r>
              <w:rPr>
                <w:sz w:val="18"/>
              </w:rPr>
              <w:t>line</w:t>
            </w:r>
            <w:r>
              <w:rPr>
                <w:spacing w:val="-3"/>
                <w:sz w:val="18"/>
              </w:rPr>
              <w:t xml:space="preserve"> </w:t>
            </w:r>
            <w:r>
              <w:rPr>
                <w:sz w:val="18"/>
              </w:rPr>
              <w:t>with</w:t>
            </w:r>
            <w:r>
              <w:rPr>
                <w:spacing w:val="-1"/>
                <w:sz w:val="18"/>
              </w:rPr>
              <w:t xml:space="preserve"> </w:t>
            </w:r>
            <w:r>
              <w:rPr>
                <w:sz w:val="18"/>
              </w:rPr>
              <w:t>the</w:t>
            </w:r>
            <w:r>
              <w:rPr>
                <w:spacing w:val="-2"/>
                <w:sz w:val="18"/>
              </w:rPr>
              <w:t xml:space="preserve"> </w:t>
            </w:r>
            <w:r>
              <w:rPr>
                <w:sz w:val="18"/>
              </w:rPr>
              <w:t>criteria</w:t>
            </w:r>
            <w:r>
              <w:rPr>
                <w:spacing w:val="-2"/>
                <w:sz w:val="18"/>
              </w:rPr>
              <w:t xml:space="preserve"> </w:t>
            </w:r>
            <w:r>
              <w:rPr>
                <w:sz w:val="18"/>
              </w:rPr>
              <w:t>of</w:t>
            </w:r>
            <w:r>
              <w:rPr>
                <w:spacing w:val="-42"/>
                <w:sz w:val="18"/>
              </w:rPr>
              <w:t xml:space="preserve"> </w:t>
            </w:r>
            <w:r>
              <w:rPr>
                <w:sz w:val="18"/>
              </w:rPr>
              <w:t>reducing greenhouse gas emissions or energy efficiency and waste reduction, as well as the transition to a circular</w:t>
            </w:r>
            <w:r>
              <w:rPr>
                <w:spacing w:val="1"/>
                <w:sz w:val="18"/>
              </w:rPr>
              <w:t xml:space="preserve"> </w:t>
            </w:r>
            <w:r>
              <w:rPr>
                <w:sz w:val="18"/>
              </w:rPr>
              <w:t>economy.</w:t>
            </w:r>
          </w:p>
          <w:p w:rsidR="00A56FE9" w:rsidRDefault="00000000">
            <w:pPr>
              <w:pStyle w:val="TableParagraph"/>
              <w:ind w:left="105" w:right="278"/>
              <w:jc w:val="both"/>
              <w:rPr>
                <w:sz w:val="18"/>
              </w:rPr>
            </w:pPr>
            <w:r>
              <w:rPr>
                <w:sz w:val="18"/>
              </w:rPr>
              <w:t>Project</w:t>
            </w:r>
            <w:r>
              <w:rPr>
                <w:spacing w:val="-2"/>
                <w:sz w:val="18"/>
              </w:rPr>
              <w:t xml:space="preserve"> </w:t>
            </w:r>
            <w:r>
              <w:rPr>
                <w:sz w:val="18"/>
              </w:rPr>
              <w:t>selection criteria</w:t>
            </w:r>
            <w:r>
              <w:rPr>
                <w:spacing w:val="-3"/>
                <w:sz w:val="18"/>
              </w:rPr>
              <w:t xml:space="preserve"> </w:t>
            </w:r>
            <w:r>
              <w:rPr>
                <w:sz w:val="18"/>
              </w:rPr>
              <w:t>shall</w:t>
            </w:r>
            <w:r>
              <w:rPr>
                <w:spacing w:val="-1"/>
                <w:sz w:val="18"/>
              </w:rPr>
              <w:t xml:space="preserve"> </w:t>
            </w:r>
            <w:r>
              <w:rPr>
                <w:sz w:val="18"/>
              </w:rPr>
              <w:t>contribute</w:t>
            </w:r>
            <w:r>
              <w:rPr>
                <w:spacing w:val="-4"/>
                <w:sz w:val="18"/>
              </w:rPr>
              <w:t xml:space="preserve"> </w:t>
            </w:r>
            <w:r>
              <w:rPr>
                <w:sz w:val="18"/>
              </w:rPr>
              <w:t>to</w:t>
            </w:r>
            <w:r>
              <w:rPr>
                <w:spacing w:val="-2"/>
                <w:sz w:val="18"/>
              </w:rPr>
              <w:t xml:space="preserve"> </w:t>
            </w:r>
            <w:r>
              <w:rPr>
                <w:sz w:val="18"/>
              </w:rPr>
              <w:t>the</w:t>
            </w:r>
            <w:r>
              <w:rPr>
                <w:spacing w:val="-3"/>
                <w:sz w:val="18"/>
              </w:rPr>
              <w:t xml:space="preserve"> </w:t>
            </w:r>
            <w:r>
              <w:rPr>
                <w:sz w:val="18"/>
              </w:rPr>
              <w:t>green transition,</w:t>
            </w:r>
            <w:r>
              <w:rPr>
                <w:spacing w:val="-1"/>
                <w:sz w:val="18"/>
              </w:rPr>
              <w:t xml:space="preserve"> </w:t>
            </w:r>
            <w:r>
              <w:rPr>
                <w:sz w:val="18"/>
              </w:rPr>
              <w:t>in</w:t>
            </w:r>
            <w:r>
              <w:rPr>
                <w:spacing w:val="-3"/>
                <w:sz w:val="18"/>
              </w:rPr>
              <w:t xml:space="preserve"> </w:t>
            </w:r>
            <w:r>
              <w:rPr>
                <w:sz w:val="18"/>
              </w:rPr>
              <w:t>line</w:t>
            </w:r>
            <w:r>
              <w:rPr>
                <w:spacing w:val="-2"/>
                <w:sz w:val="18"/>
              </w:rPr>
              <w:t xml:space="preserve"> </w:t>
            </w:r>
            <w:r>
              <w:rPr>
                <w:sz w:val="18"/>
              </w:rPr>
              <w:t>with the</w:t>
            </w:r>
            <w:r>
              <w:rPr>
                <w:spacing w:val="-3"/>
                <w:sz w:val="18"/>
              </w:rPr>
              <w:t xml:space="preserve"> </w:t>
            </w:r>
            <w:r>
              <w:rPr>
                <w:sz w:val="18"/>
              </w:rPr>
              <w:t>NRS,</w:t>
            </w:r>
            <w:r>
              <w:rPr>
                <w:spacing w:val="-3"/>
                <w:sz w:val="18"/>
              </w:rPr>
              <w:t xml:space="preserve"> </w:t>
            </w:r>
            <w:r>
              <w:rPr>
                <w:sz w:val="18"/>
              </w:rPr>
              <w:t>the</w:t>
            </w:r>
            <w:r>
              <w:rPr>
                <w:spacing w:val="-2"/>
                <w:sz w:val="18"/>
              </w:rPr>
              <w:t xml:space="preserve"> </w:t>
            </w:r>
            <w:r>
              <w:rPr>
                <w:sz w:val="18"/>
              </w:rPr>
              <w:t>Green</w:t>
            </w:r>
            <w:r>
              <w:rPr>
                <w:spacing w:val="-1"/>
                <w:sz w:val="18"/>
              </w:rPr>
              <w:t xml:space="preserve"> </w:t>
            </w:r>
            <w:r>
              <w:rPr>
                <w:sz w:val="18"/>
              </w:rPr>
              <w:t>Treaty</w:t>
            </w:r>
            <w:r>
              <w:rPr>
                <w:spacing w:val="-2"/>
                <w:sz w:val="18"/>
              </w:rPr>
              <w:t xml:space="preserve"> </w:t>
            </w:r>
            <w:r>
              <w:rPr>
                <w:sz w:val="18"/>
              </w:rPr>
              <w:t>for</w:t>
            </w:r>
            <w:r>
              <w:rPr>
                <w:spacing w:val="-1"/>
                <w:sz w:val="18"/>
              </w:rPr>
              <w:t xml:space="preserve"> </w:t>
            </w:r>
            <w:r>
              <w:rPr>
                <w:sz w:val="18"/>
              </w:rPr>
              <w:t>Europe,</w:t>
            </w:r>
            <w:r>
              <w:rPr>
                <w:spacing w:val="-4"/>
                <w:sz w:val="18"/>
              </w:rPr>
              <w:t xml:space="preserve"> </w:t>
            </w:r>
            <w:r>
              <w:rPr>
                <w:sz w:val="18"/>
              </w:rPr>
              <w:t>the</w:t>
            </w:r>
            <w:r>
              <w:rPr>
                <w:spacing w:val="-42"/>
                <w:sz w:val="18"/>
              </w:rPr>
              <w:t xml:space="preserve"> </w:t>
            </w:r>
            <w:r>
              <w:rPr>
                <w:sz w:val="18"/>
              </w:rPr>
              <w:t>sustainability indicators defined in the feasibility study for the creation of a sustainable tourism satellite account of the</w:t>
            </w:r>
            <w:r>
              <w:rPr>
                <w:spacing w:val="-42"/>
                <w:sz w:val="18"/>
              </w:rPr>
              <w:t xml:space="preserve"> </w:t>
            </w:r>
            <w:r>
              <w:rPr>
                <w:sz w:val="18"/>
              </w:rPr>
              <w:t>Republic</w:t>
            </w:r>
            <w:r>
              <w:rPr>
                <w:spacing w:val="-4"/>
                <w:sz w:val="18"/>
              </w:rPr>
              <w:t xml:space="preserve"> </w:t>
            </w:r>
            <w:r>
              <w:rPr>
                <w:sz w:val="18"/>
              </w:rPr>
              <w:t>of</w:t>
            </w:r>
            <w:r>
              <w:rPr>
                <w:spacing w:val="-3"/>
                <w:sz w:val="18"/>
              </w:rPr>
              <w:t xml:space="preserve"> </w:t>
            </w:r>
            <w:r>
              <w:rPr>
                <w:sz w:val="18"/>
              </w:rPr>
              <w:t>Croatia</w:t>
            </w:r>
            <w:r>
              <w:rPr>
                <w:spacing w:val="-1"/>
                <w:sz w:val="18"/>
              </w:rPr>
              <w:t xml:space="preserve"> </w:t>
            </w:r>
            <w:r>
              <w:rPr>
                <w:sz w:val="18"/>
              </w:rPr>
              <w:t>and</w:t>
            </w:r>
            <w:r>
              <w:rPr>
                <w:spacing w:val="-2"/>
                <w:sz w:val="18"/>
              </w:rPr>
              <w:t xml:space="preserve"> </w:t>
            </w:r>
            <w:r>
              <w:rPr>
                <w:sz w:val="18"/>
              </w:rPr>
              <w:t>the</w:t>
            </w:r>
            <w:r>
              <w:rPr>
                <w:spacing w:val="-1"/>
                <w:sz w:val="18"/>
              </w:rPr>
              <w:t xml:space="preserve"> </w:t>
            </w:r>
            <w:r>
              <w:rPr>
                <w:sz w:val="18"/>
              </w:rPr>
              <w:t>guidelines</w:t>
            </w:r>
            <w:r>
              <w:rPr>
                <w:spacing w:val="-1"/>
                <w:sz w:val="18"/>
              </w:rPr>
              <w:t xml:space="preserve"> </w:t>
            </w:r>
            <w:r>
              <w:rPr>
                <w:sz w:val="18"/>
              </w:rPr>
              <w:t>for drawing</w:t>
            </w:r>
            <w:r>
              <w:rPr>
                <w:spacing w:val="-2"/>
                <w:sz w:val="18"/>
              </w:rPr>
              <w:t xml:space="preserve"> </w:t>
            </w:r>
            <w:r>
              <w:rPr>
                <w:sz w:val="18"/>
              </w:rPr>
              <w:t>up the</w:t>
            </w:r>
            <w:r>
              <w:rPr>
                <w:spacing w:val="-1"/>
                <w:sz w:val="18"/>
              </w:rPr>
              <w:t xml:space="preserve"> </w:t>
            </w:r>
            <w:r>
              <w:rPr>
                <w:sz w:val="18"/>
              </w:rPr>
              <w:t>Sustainable</w:t>
            </w:r>
            <w:r>
              <w:rPr>
                <w:spacing w:val="-1"/>
                <w:sz w:val="18"/>
              </w:rPr>
              <w:t xml:space="preserve"> </w:t>
            </w:r>
            <w:r>
              <w:rPr>
                <w:sz w:val="18"/>
              </w:rPr>
              <w:t>Tourism</w:t>
            </w:r>
            <w:r>
              <w:rPr>
                <w:spacing w:val="-3"/>
                <w:sz w:val="18"/>
              </w:rPr>
              <w:t xml:space="preserve"> </w:t>
            </w:r>
            <w:r>
              <w:rPr>
                <w:sz w:val="18"/>
              </w:rPr>
              <w:t>Development</w:t>
            </w:r>
            <w:r>
              <w:rPr>
                <w:spacing w:val="-1"/>
                <w:sz w:val="18"/>
              </w:rPr>
              <w:t xml:space="preserve"> </w:t>
            </w:r>
            <w:r>
              <w:rPr>
                <w:sz w:val="18"/>
              </w:rPr>
              <w:t>Strategy</w:t>
            </w:r>
            <w:r>
              <w:rPr>
                <w:spacing w:val="-1"/>
                <w:sz w:val="18"/>
              </w:rPr>
              <w:t xml:space="preserve"> </w:t>
            </w:r>
            <w:r>
              <w:rPr>
                <w:sz w:val="18"/>
              </w:rPr>
              <w:t>for</w:t>
            </w:r>
            <w:r>
              <w:rPr>
                <w:spacing w:val="-1"/>
                <w:sz w:val="18"/>
              </w:rPr>
              <w:t xml:space="preserve"> </w:t>
            </w:r>
            <w:r>
              <w:rPr>
                <w:sz w:val="18"/>
              </w:rPr>
              <w:t>2030.</w:t>
            </w:r>
          </w:p>
          <w:p w:rsidR="00A56FE9" w:rsidRDefault="00000000">
            <w:pPr>
              <w:pStyle w:val="TableParagraph"/>
              <w:ind w:left="105" w:right="208"/>
              <w:jc w:val="both"/>
              <w:rPr>
                <w:sz w:val="18"/>
              </w:rPr>
            </w:pPr>
            <w:r>
              <w:rPr>
                <w:sz w:val="18"/>
              </w:rPr>
              <w:t>Consistently with the principles of ‘Do no significant harm’ Technical Guidance applicants shall demonstrate how they</w:t>
            </w:r>
            <w:r>
              <w:rPr>
                <w:spacing w:val="-42"/>
                <w:sz w:val="18"/>
              </w:rPr>
              <w:t xml:space="preserve"> </w:t>
            </w:r>
            <w:r>
              <w:rPr>
                <w:sz w:val="18"/>
              </w:rPr>
              <w:t>will</w:t>
            </w:r>
            <w:r>
              <w:rPr>
                <w:spacing w:val="1"/>
                <w:sz w:val="18"/>
              </w:rPr>
              <w:t xml:space="preserve"> </w:t>
            </w:r>
            <w:r>
              <w:rPr>
                <w:sz w:val="18"/>
              </w:rPr>
              <w:t>mitigate</w:t>
            </w:r>
            <w:r>
              <w:rPr>
                <w:spacing w:val="-2"/>
                <w:sz w:val="18"/>
              </w:rPr>
              <w:t xml:space="preserve"> </w:t>
            </w:r>
            <w:r>
              <w:rPr>
                <w:sz w:val="18"/>
              </w:rPr>
              <w:t>the</w:t>
            </w:r>
            <w:r>
              <w:rPr>
                <w:spacing w:val="-3"/>
                <w:sz w:val="18"/>
              </w:rPr>
              <w:t xml:space="preserve"> </w:t>
            </w:r>
            <w:r>
              <w:rPr>
                <w:sz w:val="18"/>
              </w:rPr>
              <w:t>negative</w:t>
            </w:r>
            <w:r>
              <w:rPr>
                <w:spacing w:val="-3"/>
                <w:sz w:val="18"/>
              </w:rPr>
              <w:t xml:space="preserve"> </w:t>
            </w:r>
            <w:r>
              <w:rPr>
                <w:sz w:val="18"/>
              </w:rPr>
              <w:t>environmental</w:t>
            </w:r>
            <w:r>
              <w:rPr>
                <w:spacing w:val="-2"/>
                <w:sz w:val="18"/>
              </w:rPr>
              <w:t xml:space="preserve"> </w:t>
            </w:r>
            <w:r>
              <w:rPr>
                <w:sz w:val="18"/>
              </w:rPr>
              <w:t>impacts</w:t>
            </w:r>
            <w:r>
              <w:rPr>
                <w:spacing w:val="-2"/>
                <w:sz w:val="18"/>
              </w:rPr>
              <w:t xml:space="preserve"> </w:t>
            </w:r>
            <w:r>
              <w:rPr>
                <w:sz w:val="18"/>
              </w:rPr>
              <w:t>that</w:t>
            </w:r>
            <w:r>
              <w:rPr>
                <w:spacing w:val="-1"/>
                <w:sz w:val="18"/>
              </w:rPr>
              <w:t xml:space="preserve"> </w:t>
            </w:r>
            <w:r>
              <w:rPr>
                <w:sz w:val="18"/>
              </w:rPr>
              <w:t>can</w:t>
            </w:r>
            <w:r>
              <w:rPr>
                <w:spacing w:val="-1"/>
                <w:sz w:val="18"/>
              </w:rPr>
              <w:t xml:space="preserve"> </w:t>
            </w:r>
            <w:r>
              <w:rPr>
                <w:sz w:val="18"/>
              </w:rPr>
              <w:t>be</w:t>
            </w:r>
            <w:r>
              <w:rPr>
                <w:spacing w:val="-3"/>
                <w:sz w:val="18"/>
              </w:rPr>
              <w:t xml:space="preserve"> </w:t>
            </w:r>
            <w:r>
              <w:rPr>
                <w:sz w:val="18"/>
              </w:rPr>
              <w:t>associated</w:t>
            </w:r>
            <w:r>
              <w:rPr>
                <w:spacing w:val="-1"/>
                <w:sz w:val="18"/>
              </w:rPr>
              <w:t xml:space="preserve"> </w:t>
            </w:r>
            <w:r>
              <w:rPr>
                <w:sz w:val="18"/>
              </w:rPr>
              <w:t>with</w:t>
            </w:r>
            <w:r>
              <w:rPr>
                <w:spacing w:val="-1"/>
                <w:sz w:val="18"/>
              </w:rPr>
              <w:t xml:space="preserve"> </w:t>
            </w:r>
            <w:r>
              <w:rPr>
                <w:sz w:val="18"/>
              </w:rPr>
              <w:t>the</w:t>
            </w:r>
            <w:r>
              <w:rPr>
                <w:spacing w:val="-3"/>
                <w:sz w:val="18"/>
              </w:rPr>
              <w:t xml:space="preserve"> </w:t>
            </w:r>
            <w:r>
              <w:rPr>
                <w:sz w:val="18"/>
              </w:rPr>
              <w:t>project</w:t>
            </w:r>
            <w:r>
              <w:rPr>
                <w:spacing w:val="-1"/>
                <w:sz w:val="18"/>
              </w:rPr>
              <w:t xml:space="preserve"> </w:t>
            </w:r>
            <w:r>
              <w:rPr>
                <w:sz w:val="18"/>
              </w:rPr>
              <w:t>and</w:t>
            </w:r>
            <w:r>
              <w:rPr>
                <w:spacing w:val="-1"/>
                <w:sz w:val="18"/>
              </w:rPr>
              <w:t xml:space="preserve"> </w:t>
            </w:r>
            <w:r>
              <w:rPr>
                <w:sz w:val="18"/>
              </w:rPr>
              <w:t>how</w:t>
            </w:r>
            <w:r>
              <w:rPr>
                <w:spacing w:val="-5"/>
                <w:sz w:val="18"/>
              </w:rPr>
              <w:t xml:space="preserve"> </w:t>
            </w:r>
            <w:r>
              <w:rPr>
                <w:sz w:val="18"/>
              </w:rPr>
              <w:t>they</w:t>
            </w:r>
            <w:r>
              <w:rPr>
                <w:spacing w:val="-3"/>
                <w:sz w:val="18"/>
              </w:rPr>
              <w:t xml:space="preserve"> </w:t>
            </w:r>
            <w:r>
              <w:rPr>
                <w:sz w:val="18"/>
              </w:rPr>
              <w:t>will</w:t>
            </w:r>
            <w:r>
              <w:rPr>
                <w:spacing w:val="-2"/>
                <w:sz w:val="18"/>
              </w:rPr>
              <w:t xml:space="preserve"> </w:t>
            </w:r>
            <w:r>
              <w:rPr>
                <w:sz w:val="18"/>
              </w:rPr>
              <w:t>contribute</w:t>
            </w:r>
            <w:r>
              <w:rPr>
                <w:spacing w:val="-1"/>
                <w:sz w:val="18"/>
              </w:rPr>
              <w:t xml:space="preserve"> </w:t>
            </w:r>
            <w:r>
              <w:rPr>
                <w:sz w:val="18"/>
              </w:rPr>
              <w:t>to</w:t>
            </w:r>
            <w:r>
              <w:rPr>
                <w:spacing w:val="-43"/>
                <w:sz w:val="18"/>
              </w:rPr>
              <w:t xml:space="preserve"> </w:t>
            </w:r>
            <w:r>
              <w:rPr>
                <w:sz w:val="18"/>
              </w:rPr>
              <w:t>positive</w:t>
            </w:r>
            <w:r>
              <w:rPr>
                <w:spacing w:val="-2"/>
                <w:sz w:val="18"/>
              </w:rPr>
              <w:t xml:space="preserve"> </w:t>
            </w:r>
            <w:r>
              <w:rPr>
                <w:sz w:val="18"/>
              </w:rPr>
              <w:t>impacts during</w:t>
            </w:r>
            <w:r>
              <w:rPr>
                <w:spacing w:val="-1"/>
                <w:sz w:val="18"/>
              </w:rPr>
              <w:t xml:space="preserve"> </w:t>
            </w:r>
            <w:r>
              <w:rPr>
                <w:sz w:val="18"/>
              </w:rPr>
              <w:t>the</w:t>
            </w:r>
            <w:r>
              <w:rPr>
                <w:spacing w:val="-1"/>
                <w:sz w:val="18"/>
              </w:rPr>
              <w:t xml:space="preserve"> </w:t>
            </w:r>
            <w:r>
              <w:rPr>
                <w:sz w:val="18"/>
              </w:rPr>
              <w:t>implementation</w:t>
            </w:r>
            <w:r>
              <w:rPr>
                <w:spacing w:val="-1"/>
                <w:sz w:val="18"/>
              </w:rPr>
              <w:t xml:space="preserve"> </w:t>
            </w:r>
            <w:r>
              <w:rPr>
                <w:sz w:val="18"/>
              </w:rPr>
              <w:t>of</w:t>
            </w:r>
            <w:r>
              <w:rPr>
                <w:spacing w:val="-2"/>
                <w:sz w:val="18"/>
              </w:rPr>
              <w:t xml:space="preserve"> </w:t>
            </w:r>
            <w:r>
              <w:rPr>
                <w:sz w:val="18"/>
              </w:rPr>
              <w:t>the</w:t>
            </w:r>
            <w:r>
              <w:rPr>
                <w:spacing w:val="-1"/>
                <w:sz w:val="18"/>
              </w:rPr>
              <w:t xml:space="preserve"> </w:t>
            </w:r>
            <w:r>
              <w:rPr>
                <w:sz w:val="18"/>
              </w:rPr>
              <w:t>project.</w:t>
            </w:r>
          </w:p>
          <w:p w:rsidR="00A56FE9" w:rsidRDefault="00A56FE9">
            <w:pPr>
              <w:pStyle w:val="TableParagraph"/>
              <w:spacing w:before="7"/>
              <w:rPr>
                <w:b/>
                <w:sz w:val="17"/>
              </w:rPr>
            </w:pPr>
          </w:p>
          <w:p w:rsidR="00A56FE9" w:rsidRDefault="00000000">
            <w:pPr>
              <w:pStyle w:val="TableParagraph"/>
              <w:spacing w:before="1"/>
              <w:ind w:left="105" w:right="288"/>
              <w:rPr>
                <w:sz w:val="18"/>
              </w:rPr>
            </w:pPr>
            <w:r>
              <w:rPr>
                <w:sz w:val="18"/>
              </w:rPr>
              <w:t>The tender document shall assign at least EUR 29,862,632 of the total investments to support the green transition, and</w:t>
            </w:r>
            <w:r>
              <w:rPr>
                <w:spacing w:val="-42"/>
                <w:sz w:val="18"/>
              </w:rPr>
              <w:t xml:space="preserve"> </w:t>
            </w:r>
            <w:r>
              <w:rPr>
                <w:sz w:val="18"/>
              </w:rPr>
              <w:t>shall specify for those investment the selection/eligibility criteria reflecting the requirements of the applicable</w:t>
            </w:r>
            <w:r>
              <w:rPr>
                <w:spacing w:val="1"/>
                <w:sz w:val="18"/>
              </w:rPr>
              <w:t xml:space="preserve"> </w:t>
            </w:r>
            <w:r>
              <w:rPr>
                <w:sz w:val="18"/>
              </w:rPr>
              <w:t>intervention</w:t>
            </w:r>
            <w:r>
              <w:rPr>
                <w:spacing w:val="-1"/>
                <w:sz w:val="18"/>
              </w:rPr>
              <w:t xml:space="preserve"> </w:t>
            </w:r>
            <w:r>
              <w:rPr>
                <w:sz w:val="18"/>
              </w:rPr>
              <w:t>areas</w:t>
            </w:r>
            <w:r>
              <w:rPr>
                <w:spacing w:val="-1"/>
                <w:sz w:val="18"/>
              </w:rPr>
              <w:t xml:space="preserve"> </w:t>
            </w:r>
            <w:r>
              <w:rPr>
                <w:sz w:val="18"/>
              </w:rPr>
              <w:t>[3-100]</w:t>
            </w:r>
            <w:r>
              <w:rPr>
                <w:spacing w:val="-2"/>
                <w:sz w:val="18"/>
              </w:rPr>
              <w:t xml:space="preserve"> </w:t>
            </w:r>
            <w:r>
              <w:rPr>
                <w:sz w:val="18"/>
              </w:rPr>
              <w:t>of</w:t>
            </w:r>
            <w:r>
              <w:rPr>
                <w:spacing w:val="-3"/>
                <w:sz w:val="18"/>
              </w:rPr>
              <w:t xml:space="preserve"> </w:t>
            </w:r>
            <w:r>
              <w:rPr>
                <w:sz w:val="18"/>
              </w:rPr>
              <w:t>Annex</w:t>
            </w:r>
            <w:r>
              <w:rPr>
                <w:spacing w:val="-2"/>
                <w:sz w:val="18"/>
              </w:rPr>
              <w:t xml:space="preserve"> </w:t>
            </w:r>
            <w:r>
              <w:rPr>
                <w:sz w:val="18"/>
              </w:rPr>
              <w:t>[VI/VII]</w:t>
            </w:r>
            <w:r>
              <w:rPr>
                <w:spacing w:val="-2"/>
                <w:sz w:val="18"/>
              </w:rPr>
              <w:t xml:space="preserve"> </w:t>
            </w:r>
            <w:r>
              <w:rPr>
                <w:sz w:val="18"/>
              </w:rPr>
              <w:t>and</w:t>
            </w:r>
            <w:r>
              <w:rPr>
                <w:spacing w:val="-2"/>
                <w:sz w:val="18"/>
              </w:rPr>
              <w:t xml:space="preserve"> </w:t>
            </w:r>
            <w:r>
              <w:rPr>
                <w:sz w:val="18"/>
              </w:rPr>
              <w:t>compliance</w:t>
            </w:r>
            <w:r>
              <w:rPr>
                <w:spacing w:val="-2"/>
                <w:sz w:val="18"/>
              </w:rPr>
              <w:t xml:space="preserve"> </w:t>
            </w:r>
            <w:r>
              <w:rPr>
                <w:sz w:val="18"/>
              </w:rPr>
              <w:t>with</w:t>
            </w:r>
            <w:r>
              <w:rPr>
                <w:spacing w:val="-1"/>
                <w:sz w:val="18"/>
              </w:rPr>
              <w:t xml:space="preserve"> </w:t>
            </w:r>
            <w:r>
              <w:rPr>
                <w:sz w:val="18"/>
              </w:rPr>
              <w:t>the</w:t>
            </w:r>
            <w:r>
              <w:rPr>
                <w:spacing w:val="-2"/>
                <w:sz w:val="18"/>
              </w:rPr>
              <w:t xml:space="preserve"> </w:t>
            </w:r>
            <w:r>
              <w:rPr>
                <w:sz w:val="18"/>
              </w:rPr>
              <w:t>‘Do</w:t>
            </w:r>
            <w:r>
              <w:rPr>
                <w:spacing w:val="-3"/>
                <w:sz w:val="18"/>
              </w:rPr>
              <w:t xml:space="preserve"> </w:t>
            </w:r>
            <w:r>
              <w:rPr>
                <w:sz w:val="18"/>
              </w:rPr>
              <w:t>no</w:t>
            </w:r>
            <w:r>
              <w:rPr>
                <w:spacing w:val="-1"/>
                <w:sz w:val="18"/>
              </w:rPr>
              <w:t xml:space="preserve"> </w:t>
            </w:r>
            <w:r>
              <w:rPr>
                <w:sz w:val="18"/>
              </w:rPr>
              <w:t>significant</w:t>
            </w:r>
            <w:r>
              <w:rPr>
                <w:spacing w:val="-1"/>
                <w:sz w:val="18"/>
              </w:rPr>
              <w:t xml:space="preserve"> </w:t>
            </w:r>
            <w:r>
              <w:rPr>
                <w:sz w:val="18"/>
              </w:rPr>
              <w:t>harm’</w:t>
            </w:r>
            <w:r>
              <w:rPr>
                <w:spacing w:val="1"/>
                <w:sz w:val="18"/>
              </w:rPr>
              <w:t xml:space="preserve"> </w:t>
            </w:r>
            <w:r>
              <w:rPr>
                <w:sz w:val="18"/>
              </w:rPr>
              <w:t>Technical</w:t>
            </w:r>
            <w:r>
              <w:rPr>
                <w:spacing w:val="-2"/>
                <w:sz w:val="18"/>
              </w:rPr>
              <w:t xml:space="preserve"> </w:t>
            </w:r>
            <w:r>
              <w:rPr>
                <w:sz w:val="18"/>
              </w:rPr>
              <w:t>Guidance</w:t>
            </w:r>
          </w:p>
          <w:p w:rsidR="00A56FE9" w:rsidRDefault="00000000">
            <w:pPr>
              <w:pStyle w:val="TableParagraph"/>
              <w:spacing w:line="191" w:lineRule="exact"/>
              <w:ind w:left="105"/>
              <w:rPr>
                <w:sz w:val="18"/>
              </w:rPr>
            </w:pPr>
            <w:r>
              <w:rPr>
                <w:sz w:val="18"/>
              </w:rPr>
              <w:t>(2021/C58/01)</w:t>
            </w:r>
            <w:r>
              <w:rPr>
                <w:spacing w:val="-4"/>
                <w:sz w:val="18"/>
              </w:rPr>
              <w:t xml:space="preserve"> </w:t>
            </w:r>
            <w:r>
              <w:rPr>
                <w:sz w:val="18"/>
              </w:rPr>
              <w:t>and</w:t>
            </w:r>
            <w:r>
              <w:rPr>
                <w:spacing w:val="-2"/>
                <w:sz w:val="18"/>
              </w:rPr>
              <w:t xml:space="preserve"> </w:t>
            </w:r>
            <w:r>
              <w:rPr>
                <w:sz w:val="18"/>
              </w:rPr>
              <w:t>the</w:t>
            </w:r>
            <w:r>
              <w:rPr>
                <w:spacing w:val="-2"/>
                <w:sz w:val="18"/>
              </w:rPr>
              <w:t xml:space="preserve"> </w:t>
            </w:r>
            <w:r>
              <w:rPr>
                <w:sz w:val="18"/>
              </w:rPr>
              <w:t>compliance</w:t>
            </w:r>
            <w:r>
              <w:rPr>
                <w:spacing w:val="-3"/>
                <w:sz w:val="18"/>
              </w:rPr>
              <w:t xml:space="preserve"> </w:t>
            </w:r>
            <w:r>
              <w:rPr>
                <w:sz w:val="18"/>
              </w:rPr>
              <w:t>of</w:t>
            </w:r>
            <w:r>
              <w:rPr>
                <w:spacing w:val="-3"/>
                <w:sz w:val="18"/>
              </w:rPr>
              <w:t xml:space="preserve"> </w:t>
            </w:r>
            <w:r>
              <w:rPr>
                <w:sz w:val="18"/>
              </w:rPr>
              <w:t>supported</w:t>
            </w:r>
            <w:r>
              <w:rPr>
                <w:spacing w:val="-3"/>
                <w:sz w:val="18"/>
              </w:rPr>
              <w:t xml:space="preserve"> </w:t>
            </w:r>
            <w:r>
              <w:rPr>
                <w:sz w:val="18"/>
              </w:rPr>
              <w:t>projects</w:t>
            </w:r>
            <w:r>
              <w:rPr>
                <w:spacing w:val="-2"/>
                <w:sz w:val="18"/>
              </w:rPr>
              <w:t xml:space="preserve"> </w:t>
            </w:r>
            <w:r>
              <w:rPr>
                <w:sz w:val="18"/>
              </w:rPr>
              <w:t>with the</w:t>
            </w:r>
            <w:r>
              <w:rPr>
                <w:spacing w:val="-2"/>
                <w:sz w:val="18"/>
              </w:rPr>
              <w:t xml:space="preserve"> </w:t>
            </w:r>
            <w:r>
              <w:rPr>
                <w:sz w:val="18"/>
              </w:rPr>
              <w:t>relevant</w:t>
            </w:r>
            <w:r>
              <w:rPr>
                <w:spacing w:val="-2"/>
                <w:sz w:val="18"/>
              </w:rPr>
              <w:t xml:space="preserve"> </w:t>
            </w:r>
            <w:r>
              <w:rPr>
                <w:sz w:val="18"/>
              </w:rPr>
              <w:t>EU</w:t>
            </w:r>
            <w:r>
              <w:rPr>
                <w:spacing w:val="-1"/>
                <w:sz w:val="18"/>
              </w:rPr>
              <w:t xml:space="preserve"> </w:t>
            </w:r>
            <w:r>
              <w:rPr>
                <w:sz w:val="18"/>
              </w:rPr>
              <w:t>and national</w:t>
            </w:r>
            <w:r>
              <w:rPr>
                <w:spacing w:val="-4"/>
                <w:sz w:val="18"/>
              </w:rPr>
              <w:t xml:space="preserve"> </w:t>
            </w:r>
            <w:r>
              <w:rPr>
                <w:sz w:val="18"/>
              </w:rPr>
              <w:t>environmental</w:t>
            </w:r>
            <w:r>
              <w:rPr>
                <w:spacing w:val="-1"/>
                <w:sz w:val="18"/>
              </w:rPr>
              <w:t xml:space="preserve"> </w:t>
            </w:r>
            <w:r>
              <w:rPr>
                <w:sz w:val="18"/>
              </w:rPr>
              <w:t>acquis.</w:t>
            </w:r>
          </w:p>
        </w:tc>
      </w:tr>
      <w:tr w:rsidR="00A56FE9">
        <w:trPr>
          <w:trHeight w:val="621"/>
        </w:trPr>
        <w:tc>
          <w:tcPr>
            <w:tcW w:w="2064" w:type="dxa"/>
            <w:vMerge/>
            <w:tcBorders>
              <w:top w:val="nil"/>
            </w:tcBorders>
            <w:shd w:val="clear" w:color="auto" w:fill="F1F1F1"/>
          </w:tcPr>
          <w:p w:rsidR="00A56FE9" w:rsidRDefault="00A56FE9">
            <w:pPr>
              <w:rPr>
                <w:sz w:val="2"/>
                <w:szCs w:val="2"/>
              </w:rPr>
            </w:pPr>
          </w:p>
        </w:tc>
        <w:tc>
          <w:tcPr>
            <w:tcW w:w="3469" w:type="dxa"/>
            <w:shd w:val="clear" w:color="auto" w:fill="C5EECE"/>
          </w:tcPr>
          <w:p w:rsidR="00A56FE9" w:rsidRDefault="00000000">
            <w:pPr>
              <w:pStyle w:val="TableParagraph"/>
              <w:spacing w:line="202" w:lineRule="exact"/>
              <w:ind w:left="100"/>
              <w:rPr>
                <w:sz w:val="18"/>
              </w:rPr>
            </w:pPr>
            <w:r>
              <w:rPr>
                <w:sz w:val="18"/>
              </w:rPr>
              <w:t>New</w:t>
            </w:r>
            <w:r>
              <w:rPr>
                <w:spacing w:val="-5"/>
                <w:sz w:val="18"/>
              </w:rPr>
              <w:t xml:space="preserve"> </w:t>
            </w:r>
            <w:r>
              <w:rPr>
                <w:sz w:val="18"/>
              </w:rPr>
              <w:t>Science</w:t>
            </w:r>
            <w:r>
              <w:rPr>
                <w:spacing w:val="-2"/>
                <w:sz w:val="18"/>
              </w:rPr>
              <w:t xml:space="preserve"> </w:t>
            </w:r>
            <w:r>
              <w:rPr>
                <w:sz w:val="18"/>
              </w:rPr>
              <w:t>and Higher</w:t>
            </w:r>
            <w:r>
              <w:rPr>
                <w:spacing w:val="-2"/>
                <w:sz w:val="18"/>
              </w:rPr>
              <w:t xml:space="preserve"> </w:t>
            </w:r>
            <w:r>
              <w:rPr>
                <w:sz w:val="18"/>
              </w:rPr>
              <w:t>Education Act</w:t>
            </w:r>
          </w:p>
          <w:p w:rsidR="00A56FE9" w:rsidRDefault="00A56FE9">
            <w:pPr>
              <w:pStyle w:val="TableParagraph"/>
              <w:spacing w:before="1"/>
              <w:rPr>
                <w:b/>
                <w:sz w:val="18"/>
              </w:rPr>
            </w:pPr>
          </w:p>
          <w:p w:rsidR="00A56FE9" w:rsidRDefault="00000000">
            <w:pPr>
              <w:pStyle w:val="TableParagraph"/>
              <w:spacing w:line="191" w:lineRule="exact"/>
              <w:ind w:left="100"/>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9</w:t>
            </w:r>
          </w:p>
        </w:tc>
        <w:tc>
          <w:tcPr>
            <w:tcW w:w="8927" w:type="dxa"/>
            <w:shd w:val="clear" w:color="auto" w:fill="C5EECE"/>
          </w:tcPr>
          <w:p w:rsidR="00A56FE9" w:rsidRDefault="00000000">
            <w:pPr>
              <w:pStyle w:val="TableParagraph"/>
              <w:ind w:left="105" w:right="142"/>
              <w:rPr>
                <w:sz w:val="18"/>
              </w:rPr>
            </w:pPr>
            <w:r>
              <w:rPr>
                <w:sz w:val="18"/>
              </w:rPr>
              <w:t>The</w:t>
            </w:r>
            <w:r>
              <w:rPr>
                <w:spacing w:val="-3"/>
                <w:sz w:val="18"/>
              </w:rPr>
              <w:t xml:space="preserve"> </w:t>
            </w:r>
            <w:r>
              <w:rPr>
                <w:sz w:val="18"/>
              </w:rPr>
              <w:t>new</w:t>
            </w:r>
            <w:r>
              <w:rPr>
                <w:spacing w:val="-4"/>
                <w:sz w:val="18"/>
              </w:rPr>
              <w:t xml:space="preserve"> </w:t>
            </w:r>
            <w:r>
              <w:rPr>
                <w:sz w:val="18"/>
              </w:rPr>
              <w:t>legislative</w:t>
            </w:r>
            <w:r>
              <w:rPr>
                <w:spacing w:val="-2"/>
                <w:sz w:val="18"/>
              </w:rPr>
              <w:t xml:space="preserve"> </w:t>
            </w:r>
            <w:r>
              <w:rPr>
                <w:sz w:val="18"/>
              </w:rPr>
              <w:t>act</w:t>
            </w:r>
            <w:r>
              <w:rPr>
                <w:spacing w:val="-1"/>
                <w:sz w:val="18"/>
              </w:rPr>
              <w:t xml:space="preserve"> </w:t>
            </w:r>
            <w:r>
              <w:rPr>
                <w:sz w:val="18"/>
              </w:rPr>
              <w:t>shall</w:t>
            </w:r>
            <w:r>
              <w:rPr>
                <w:spacing w:val="-2"/>
                <w:sz w:val="18"/>
              </w:rPr>
              <w:t xml:space="preserve"> </w:t>
            </w:r>
            <w:r>
              <w:rPr>
                <w:sz w:val="18"/>
              </w:rPr>
              <w:t>create</w:t>
            </w:r>
            <w:r>
              <w:rPr>
                <w:spacing w:val="-1"/>
                <w:sz w:val="18"/>
              </w:rPr>
              <w:t xml:space="preserve"> </w:t>
            </w:r>
            <w:r>
              <w:rPr>
                <w:sz w:val="18"/>
              </w:rPr>
              <w:t>legal</w:t>
            </w:r>
            <w:r>
              <w:rPr>
                <w:spacing w:val="-1"/>
                <w:sz w:val="18"/>
              </w:rPr>
              <w:t xml:space="preserve"> </w:t>
            </w:r>
            <w:r>
              <w:rPr>
                <w:sz w:val="18"/>
              </w:rPr>
              <w:t>and</w:t>
            </w:r>
            <w:r>
              <w:rPr>
                <w:spacing w:val="3"/>
                <w:sz w:val="18"/>
              </w:rPr>
              <w:t xml:space="preserve"> </w:t>
            </w:r>
            <w:r>
              <w:rPr>
                <w:sz w:val="18"/>
              </w:rPr>
              <w:t>financial</w:t>
            </w:r>
            <w:r>
              <w:rPr>
                <w:spacing w:val="-1"/>
                <w:sz w:val="18"/>
              </w:rPr>
              <w:t xml:space="preserve"> </w:t>
            </w:r>
            <w:r>
              <w:rPr>
                <w:sz w:val="18"/>
              </w:rPr>
              <w:t>conditions</w:t>
            </w:r>
            <w:r>
              <w:rPr>
                <w:spacing w:val="-1"/>
                <w:sz w:val="18"/>
              </w:rPr>
              <w:t xml:space="preserve"> </w:t>
            </w:r>
            <w:r>
              <w:rPr>
                <w:sz w:val="18"/>
              </w:rPr>
              <w:t>for</w:t>
            </w:r>
            <w:r>
              <w:rPr>
                <w:spacing w:val="-2"/>
                <w:sz w:val="18"/>
              </w:rPr>
              <w:t xml:space="preserve"> </w:t>
            </w:r>
            <w:r>
              <w:rPr>
                <w:sz w:val="18"/>
              </w:rPr>
              <w:t>organisational</w:t>
            </w:r>
            <w:r>
              <w:rPr>
                <w:spacing w:val="-3"/>
                <w:sz w:val="18"/>
              </w:rPr>
              <w:t xml:space="preserve"> </w:t>
            </w:r>
            <w:r>
              <w:rPr>
                <w:sz w:val="18"/>
              </w:rPr>
              <w:t>and</w:t>
            </w:r>
            <w:r>
              <w:rPr>
                <w:spacing w:val="-2"/>
                <w:sz w:val="18"/>
              </w:rPr>
              <w:t xml:space="preserve"> </w:t>
            </w:r>
            <w:r>
              <w:rPr>
                <w:sz w:val="18"/>
              </w:rPr>
              <w:t>functional</w:t>
            </w:r>
            <w:r>
              <w:rPr>
                <w:spacing w:val="-1"/>
                <w:sz w:val="18"/>
              </w:rPr>
              <w:t xml:space="preserve"> </w:t>
            </w:r>
            <w:r>
              <w:rPr>
                <w:sz w:val="18"/>
              </w:rPr>
              <w:t>reform</w:t>
            </w:r>
            <w:r>
              <w:rPr>
                <w:spacing w:val="-5"/>
                <w:sz w:val="18"/>
              </w:rPr>
              <w:t xml:space="preserve"> </w:t>
            </w:r>
            <w:r>
              <w:rPr>
                <w:sz w:val="18"/>
              </w:rPr>
              <w:t>of</w:t>
            </w:r>
            <w:r>
              <w:rPr>
                <w:spacing w:val="-3"/>
                <w:sz w:val="18"/>
              </w:rPr>
              <w:t xml:space="preserve"> </w:t>
            </w:r>
            <w:r>
              <w:rPr>
                <w:sz w:val="18"/>
              </w:rPr>
              <w:t>public</w:t>
            </w:r>
            <w:r>
              <w:rPr>
                <w:spacing w:val="-42"/>
                <w:sz w:val="18"/>
              </w:rPr>
              <w:t xml:space="preserve"> </w:t>
            </w:r>
            <w:r>
              <w:rPr>
                <w:sz w:val="18"/>
              </w:rPr>
              <w:t>universities</w:t>
            </w:r>
            <w:r>
              <w:rPr>
                <w:spacing w:val="-2"/>
                <w:sz w:val="18"/>
              </w:rPr>
              <w:t xml:space="preserve"> </w:t>
            </w:r>
            <w:r>
              <w:rPr>
                <w:sz w:val="18"/>
              </w:rPr>
              <w:t>and scientific</w:t>
            </w:r>
            <w:r>
              <w:rPr>
                <w:spacing w:val="-1"/>
                <w:sz w:val="18"/>
              </w:rPr>
              <w:t xml:space="preserve"> </w:t>
            </w:r>
            <w:r>
              <w:rPr>
                <w:sz w:val="18"/>
              </w:rPr>
              <w:t>institutes</w:t>
            </w:r>
            <w:r>
              <w:rPr>
                <w:spacing w:val="-1"/>
                <w:sz w:val="18"/>
              </w:rPr>
              <w:t xml:space="preserve"> </w:t>
            </w:r>
            <w:r>
              <w:rPr>
                <w:sz w:val="18"/>
              </w:rPr>
              <w:t>and funding</w:t>
            </w:r>
            <w:r>
              <w:rPr>
                <w:spacing w:val="-2"/>
                <w:sz w:val="18"/>
              </w:rPr>
              <w:t xml:space="preserve"> </w:t>
            </w:r>
            <w:r>
              <w:rPr>
                <w:sz w:val="18"/>
              </w:rPr>
              <w:t>aimed at</w:t>
            </w:r>
            <w:r>
              <w:rPr>
                <w:spacing w:val="-1"/>
                <w:sz w:val="18"/>
              </w:rPr>
              <w:t xml:space="preserve"> </w:t>
            </w:r>
            <w:r>
              <w:rPr>
                <w:sz w:val="18"/>
              </w:rPr>
              <w:t>achieving</w:t>
            </w:r>
            <w:r>
              <w:rPr>
                <w:spacing w:val="-2"/>
                <w:sz w:val="18"/>
              </w:rPr>
              <w:t xml:space="preserve"> </w:t>
            </w:r>
            <w:r>
              <w:rPr>
                <w:sz w:val="18"/>
              </w:rPr>
              <w:t>institutional</w:t>
            </w:r>
            <w:r>
              <w:rPr>
                <w:spacing w:val="-1"/>
                <w:sz w:val="18"/>
              </w:rPr>
              <w:t xml:space="preserve"> </w:t>
            </w:r>
            <w:r>
              <w:rPr>
                <w:sz w:val="18"/>
              </w:rPr>
              <w:t>development</w:t>
            </w:r>
            <w:r>
              <w:rPr>
                <w:spacing w:val="-1"/>
                <w:sz w:val="18"/>
              </w:rPr>
              <w:t xml:space="preserve"> </w:t>
            </w:r>
            <w:r>
              <w:rPr>
                <w:sz w:val="18"/>
              </w:rPr>
              <w:t>objectives.</w:t>
            </w:r>
          </w:p>
        </w:tc>
      </w:tr>
    </w:tbl>
    <w:p w:rsidR="00A56FE9" w:rsidRDefault="00A56FE9">
      <w:pPr>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3"/>
        <w:gridCol w:w="3470"/>
        <w:gridCol w:w="8927"/>
      </w:tblGrid>
      <w:tr w:rsidR="00A56FE9">
        <w:trPr>
          <w:trHeight w:val="249"/>
        </w:trPr>
        <w:tc>
          <w:tcPr>
            <w:tcW w:w="2063" w:type="dxa"/>
            <w:tcBorders>
              <w:top w:val="nil"/>
              <w:left w:val="nil"/>
              <w:bottom w:val="nil"/>
              <w:right w:val="nil"/>
            </w:tcBorders>
            <w:shd w:val="clear" w:color="auto" w:fill="2C398A"/>
          </w:tcPr>
          <w:p w:rsidR="00A56FE9" w:rsidRDefault="00000000">
            <w:pPr>
              <w:pStyle w:val="TableParagraph"/>
              <w:spacing w:before="10" w:line="220" w:lineRule="exact"/>
              <w:ind w:left="805" w:right="806"/>
              <w:jc w:val="center"/>
              <w:rPr>
                <w:b/>
                <w:sz w:val="20"/>
              </w:rPr>
            </w:pPr>
            <w:r>
              <w:rPr>
                <w:b/>
                <w:color w:val="FFFFFF"/>
                <w:sz w:val="20"/>
              </w:rPr>
              <w:t>SDG</w:t>
            </w:r>
          </w:p>
        </w:tc>
        <w:tc>
          <w:tcPr>
            <w:tcW w:w="3470" w:type="dxa"/>
            <w:tcBorders>
              <w:top w:val="nil"/>
              <w:left w:val="nil"/>
              <w:bottom w:val="nil"/>
              <w:right w:val="nil"/>
            </w:tcBorders>
            <w:shd w:val="clear" w:color="auto" w:fill="2C398A"/>
          </w:tcPr>
          <w:p w:rsidR="00A56FE9" w:rsidRDefault="00000000">
            <w:pPr>
              <w:pStyle w:val="TableParagraph"/>
              <w:spacing w:before="10" w:line="220" w:lineRule="exact"/>
              <w:ind w:left="793"/>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7" w:type="dxa"/>
            <w:tcBorders>
              <w:top w:val="nil"/>
              <w:left w:val="nil"/>
              <w:bottom w:val="nil"/>
              <w:right w:val="nil"/>
            </w:tcBorders>
            <w:shd w:val="clear" w:color="auto" w:fill="2C398A"/>
          </w:tcPr>
          <w:p w:rsidR="00A56FE9" w:rsidRDefault="00000000">
            <w:pPr>
              <w:pStyle w:val="TableParagraph"/>
              <w:spacing w:before="10" w:line="220" w:lineRule="exact"/>
              <w:ind w:left="1951" w:right="1951"/>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1240"/>
        </w:trPr>
        <w:tc>
          <w:tcPr>
            <w:tcW w:w="2063" w:type="dxa"/>
            <w:vMerge w:val="restart"/>
            <w:tcBorders>
              <w:top w:val="nil"/>
            </w:tcBorders>
            <w:shd w:val="clear" w:color="auto" w:fill="F1F1F1"/>
          </w:tcPr>
          <w:p w:rsidR="00A56FE9" w:rsidRDefault="00A56FE9">
            <w:pPr>
              <w:pStyle w:val="TableParagraph"/>
              <w:rPr>
                <w:sz w:val="18"/>
              </w:rPr>
            </w:pPr>
          </w:p>
        </w:tc>
        <w:tc>
          <w:tcPr>
            <w:tcW w:w="3470" w:type="dxa"/>
            <w:tcBorders>
              <w:top w:val="nil"/>
            </w:tcBorders>
            <w:shd w:val="clear" w:color="auto" w:fill="C5EECE"/>
          </w:tcPr>
          <w:p w:rsidR="00A56FE9" w:rsidRDefault="00000000">
            <w:pPr>
              <w:pStyle w:val="TableParagraph"/>
              <w:ind w:left="101" w:right="158"/>
              <w:rPr>
                <w:sz w:val="18"/>
              </w:rPr>
            </w:pPr>
            <w:r>
              <w:rPr>
                <w:sz w:val="18"/>
              </w:rPr>
              <w:t>Funding</w:t>
            </w:r>
            <w:r>
              <w:rPr>
                <w:spacing w:val="-4"/>
                <w:sz w:val="18"/>
              </w:rPr>
              <w:t xml:space="preserve"> </w:t>
            </w:r>
            <w:r>
              <w:rPr>
                <w:sz w:val="18"/>
              </w:rPr>
              <w:t>allocated</w:t>
            </w:r>
            <w:r>
              <w:rPr>
                <w:spacing w:val="-1"/>
                <w:sz w:val="18"/>
              </w:rPr>
              <w:t xml:space="preserve"> </w:t>
            </w:r>
            <w:r>
              <w:rPr>
                <w:sz w:val="18"/>
              </w:rPr>
              <w:t>to</w:t>
            </w:r>
            <w:r>
              <w:rPr>
                <w:spacing w:val="-4"/>
                <w:sz w:val="18"/>
              </w:rPr>
              <w:t xml:space="preserve"> </w:t>
            </w:r>
            <w:r>
              <w:rPr>
                <w:sz w:val="18"/>
              </w:rPr>
              <w:t>research</w:t>
            </w:r>
            <w:r>
              <w:rPr>
                <w:spacing w:val="-1"/>
                <w:sz w:val="18"/>
              </w:rPr>
              <w:t xml:space="preserve"> </w:t>
            </w:r>
            <w:r>
              <w:rPr>
                <w:sz w:val="18"/>
              </w:rPr>
              <w:t>projects</w:t>
            </w:r>
            <w:r>
              <w:rPr>
                <w:spacing w:val="-3"/>
                <w:sz w:val="18"/>
              </w:rPr>
              <w:t xml:space="preserve"> </w:t>
            </w:r>
            <w:r>
              <w:rPr>
                <w:sz w:val="18"/>
              </w:rPr>
              <w:t>based</w:t>
            </w:r>
            <w:r>
              <w:rPr>
                <w:spacing w:val="-42"/>
                <w:sz w:val="18"/>
              </w:rPr>
              <w:t xml:space="preserve"> </w:t>
            </w:r>
            <w:r>
              <w:rPr>
                <w:sz w:val="18"/>
              </w:rPr>
              <w:t>on internal calls by research organisations</w:t>
            </w:r>
            <w:r>
              <w:rPr>
                <w:spacing w:val="1"/>
                <w:sz w:val="18"/>
              </w:rPr>
              <w:t xml:space="preserve"> </w:t>
            </w:r>
            <w:r>
              <w:rPr>
                <w:sz w:val="18"/>
              </w:rPr>
              <w:t>during the first two-year cycle of program</w:t>
            </w:r>
            <w:r>
              <w:rPr>
                <w:spacing w:val="1"/>
                <w:sz w:val="18"/>
              </w:rPr>
              <w:t xml:space="preserve"> </w:t>
            </w:r>
            <w:r>
              <w:rPr>
                <w:sz w:val="18"/>
              </w:rPr>
              <w:t>agreements</w:t>
            </w:r>
            <w:r>
              <w:rPr>
                <w:spacing w:val="-1"/>
                <w:sz w:val="18"/>
              </w:rPr>
              <w:t xml:space="preserve"> </w:t>
            </w:r>
            <w:r>
              <w:rPr>
                <w:sz w:val="18"/>
              </w:rPr>
              <w:t>implementation</w:t>
            </w:r>
          </w:p>
          <w:p w:rsidR="00A56FE9" w:rsidRDefault="00A56FE9">
            <w:pPr>
              <w:pStyle w:val="TableParagraph"/>
              <w:spacing w:before="6"/>
              <w:rPr>
                <w:b/>
                <w:sz w:val="17"/>
              </w:rPr>
            </w:pPr>
          </w:p>
          <w:p w:rsidR="00A56FE9" w:rsidRDefault="00000000">
            <w:pPr>
              <w:pStyle w:val="TableParagraph"/>
              <w:spacing w:line="191" w:lineRule="exact"/>
              <w:ind w:left="101"/>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9</w:t>
            </w:r>
          </w:p>
        </w:tc>
        <w:tc>
          <w:tcPr>
            <w:tcW w:w="8927" w:type="dxa"/>
            <w:tcBorders>
              <w:top w:val="nil"/>
            </w:tcBorders>
            <w:shd w:val="clear" w:color="auto" w:fill="C5EECE"/>
          </w:tcPr>
          <w:p w:rsidR="00A56FE9" w:rsidRDefault="00000000">
            <w:pPr>
              <w:pStyle w:val="TableParagraph"/>
              <w:ind w:left="105" w:right="274"/>
              <w:rPr>
                <w:sz w:val="18"/>
              </w:rPr>
            </w:pPr>
            <w:r>
              <w:rPr>
                <w:sz w:val="18"/>
              </w:rPr>
              <w:t>EUR 17 619 079 shall have been awarded to research projects carried out by universities and research institutes which</w:t>
            </w:r>
            <w:r>
              <w:rPr>
                <w:spacing w:val="-42"/>
                <w:sz w:val="18"/>
              </w:rPr>
              <w:t xml:space="preserve"> </w:t>
            </w:r>
            <w:r>
              <w:rPr>
                <w:sz w:val="18"/>
              </w:rPr>
              <w:t>have signed the programme agreements. The projects shall support direct scientific and research activities (research</w:t>
            </w:r>
            <w:r>
              <w:rPr>
                <w:spacing w:val="1"/>
                <w:sz w:val="18"/>
              </w:rPr>
              <w:t xml:space="preserve"> </w:t>
            </w:r>
            <w:r>
              <w:rPr>
                <w:sz w:val="18"/>
              </w:rPr>
              <w:t>projects) and be based on published tender specifications, with terms of reference including eligibility criteria that</w:t>
            </w:r>
            <w:r>
              <w:rPr>
                <w:spacing w:val="1"/>
                <w:sz w:val="18"/>
              </w:rPr>
              <w:t xml:space="preserve"> </w:t>
            </w:r>
            <w:r>
              <w:rPr>
                <w:sz w:val="18"/>
              </w:rPr>
              <w:t>ensure</w:t>
            </w:r>
            <w:r>
              <w:rPr>
                <w:spacing w:val="-3"/>
                <w:sz w:val="18"/>
              </w:rPr>
              <w:t xml:space="preserve"> </w:t>
            </w:r>
            <w:r>
              <w:rPr>
                <w:sz w:val="18"/>
              </w:rPr>
              <w:t>that</w:t>
            </w:r>
            <w:r>
              <w:rPr>
                <w:spacing w:val="-2"/>
                <w:sz w:val="18"/>
              </w:rPr>
              <w:t xml:space="preserve"> </w:t>
            </w:r>
            <w:r>
              <w:rPr>
                <w:sz w:val="18"/>
              </w:rPr>
              <w:t>the</w:t>
            </w:r>
            <w:r>
              <w:rPr>
                <w:spacing w:val="-2"/>
                <w:sz w:val="18"/>
              </w:rPr>
              <w:t xml:space="preserve"> </w:t>
            </w:r>
            <w:r>
              <w:rPr>
                <w:sz w:val="18"/>
              </w:rPr>
              <w:t>selected</w:t>
            </w:r>
            <w:r>
              <w:rPr>
                <w:spacing w:val="-1"/>
                <w:sz w:val="18"/>
              </w:rPr>
              <w:t xml:space="preserve"> </w:t>
            </w:r>
            <w:r>
              <w:rPr>
                <w:sz w:val="18"/>
              </w:rPr>
              <w:t>projects</w:t>
            </w:r>
            <w:r>
              <w:rPr>
                <w:spacing w:val="-2"/>
                <w:sz w:val="18"/>
              </w:rPr>
              <w:t xml:space="preserve"> </w:t>
            </w:r>
            <w:r>
              <w:rPr>
                <w:sz w:val="18"/>
              </w:rPr>
              <w:t>comply</w:t>
            </w:r>
            <w:r>
              <w:rPr>
                <w:spacing w:val="-2"/>
                <w:sz w:val="18"/>
              </w:rPr>
              <w:t xml:space="preserve"> </w:t>
            </w:r>
            <w:r>
              <w:rPr>
                <w:sz w:val="18"/>
              </w:rPr>
              <w:t>with</w:t>
            </w:r>
            <w:r>
              <w:rPr>
                <w:spacing w:val="-1"/>
                <w:sz w:val="18"/>
              </w:rPr>
              <w:t xml:space="preserve"> </w:t>
            </w:r>
            <w:r>
              <w:rPr>
                <w:sz w:val="18"/>
              </w:rPr>
              <w:t>the</w:t>
            </w:r>
            <w:r>
              <w:rPr>
                <w:spacing w:val="-3"/>
                <w:sz w:val="18"/>
              </w:rPr>
              <w:t xml:space="preserve"> </w:t>
            </w:r>
            <w:r>
              <w:rPr>
                <w:sz w:val="18"/>
              </w:rPr>
              <w:t>‘Do</w:t>
            </w:r>
            <w:r>
              <w:rPr>
                <w:spacing w:val="-3"/>
                <w:sz w:val="18"/>
              </w:rPr>
              <w:t xml:space="preserve"> </w:t>
            </w:r>
            <w:r>
              <w:rPr>
                <w:sz w:val="18"/>
              </w:rPr>
              <w:t>no</w:t>
            </w:r>
            <w:r>
              <w:rPr>
                <w:spacing w:val="-1"/>
                <w:sz w:val="18"/>
              </w:rPr>
              <w:t xml:space="preserve"> </w:t>
            </w:r>
            <w:r>
              <w:rPr>
                <w:sz w:val="18"/>
              </w:rPr>
              <w:t>significant</w:t>
            </w:r>
            <w:r>
              <w:rPr>
                <w:spacing w:val="-2"/>
                <w:sz w:val="18"/>
              </w:rPr>
              <w:t xml:space="preserve"> </w:t>
            </w:r>
            <w:r>
              <w:rPr>
                <w:sz w:val="18"/>
              </w:rPr>
              <w:t>harm’</w:t>
            </w:r>
            <w:r>
              <w:rPr>
                <w:spacing w:val="-1"/>
                <w:sz w:val="18"/>
              </w:rPr>
              <w:t xml:space="preserve"> </w:t>
            </w:r>
            <w:r>
              <w:rPr>
                <w:sz w:val="18"/>
              </w:rPr>
              <w:t>Technical</w:t>
            </w:r>
            <w:r>
              <w:rPr>
                <w:spacing w:val="-2"/>
                <w:sz w:val="18"/>
              </w:rPr>
              <w:t xml:space="preserve"> </w:t>
            </w:r>
            <w:r>
              <w:rPr>
                <w:sz w:val="18"/>
              </w:rPr>
              <w:t>Guidance</w:t>
            </w:r>
            <w:r>
              <w:rPr>
                <w:spacing w:val="-3"/>
                <w:sz w:val="18"/>
              </w:rPr>
              <w:t xml:space="preserve"> </w:t>
            </w:r>
            <w:r>
              <w:rPr>
                <w:sz w:val="18"/>
              </w:rPr>
              <w:t>(2021/C58/01)</w:t>
            </w:r>
            <w:r>
              <w:rPr>
                <w:spacing w:val="-3"/>
                <w:sz w:val="18"/>
              </w:rPr>
              <w:t xml:space="preserve"> </w:t>
            </w:r>
            <w:r>
              <w:rPr>
                <w:sz w:val="18"/>
              </w:rPr>
              <w:t>through</w:t>
            </w:r>
            <w:r>
              <w:rPr>
                <w:spacing w:val="-42"/>
                <w:sz w:val="18"/>
              </w:rPr>
              <w:t xml:space="preserve"> </w:t>
            </w:r>
            <w:r>
              <w:rPr>
                <w:sz w:val="18"/>
              </w:rPr>
              <w:t>the</w:t>
            </w:r>
            <w:r>
              <w:rPr>
                <w:spacing w:val="-2"/>
                <w:sz w:val="18"/>
              </w:rPr>
              <w:t xml:space="preserve"> </w:t>
            </w:r>
            <w:r>
              <w:rPr>
                <w:sz w:val="18"/>
              </w:rPr>
              <w:t>use</w:t>
            </w:r>
            <w:r>
              <w:rPr>
                <w:spacing w:val="-2"/>
                <w:sz w:val="18"/>
              </w:rPr>
              <w:t xml:space="preserve"> </w:t>
            </w:r>
            <w:r>
              <w:rPr>
                <w:sz w:val="18"/>
              </w:rPr>
              <w:t>of</w:t>
            </w:r>
            <w:r>
              <w:rPr>
                <w:spacing w:val="-3"/>
                <w:sz w:val="18"/>
              </w:rPr>
              <w:t xml:space="preserve"> </w:t>
            </w:r>
            <w:r>
              <w:rPr>
                <w:sz w:val="18"/>
              </w:rPr>
              <w:t>an exclusion list</w:t>
            </w:r>
            <w:r>
              <w:rPr>
                <w:spacing w:val="-1"/>
                <w:sz w:val="18"/>
              </w:rPr>
              <w:t xml:space="preserve"> </w:t>
            </w:r>
            <w:r>
              <w:rPr>
                <w:sz w:val="18"/>
              </w:rPr>
              <w:t>and</w:t>
            </w:r>
            <w:r>
              <w:rPr>
                <w:spacing w:val="-2"/>
                <w:sz w:val="18"/>
              </w:rPr>
              <w:t xml:space="preserve"> </w:t>
            </w:r>
            <w:r>
              <w:rPr>
                <w:sz w:val="18"/>
              </w:rPr>
              <w:t>the</w:t>
            </w:r>
            <w:r>
              <w:rPr>
                <w:spacing w:val="-2"/>
                <w:sz w:val="18"/>
              </w:rPr>
              <w:t xml:space="preserve"> </w:t>
            </w:r>
            <w:r>
              <w:rPr>
                <w:sz w:val="18"/>
              </w:rPr>
              <w:t>requirement</w:t>
            </w:r>
            <w:r>
              <w:rPr>
                <w:spacing w:val="-1"/>
                <w:sz w:val="18"/>
              </w:rPr>
              <w:t xml:space="preserve"> </w:t>
            </w:r>
            <w:r>
              <w:rPr>
                <w:sz w:val="18"/>
              </w:rPr>
              <w:t>of</w:t>
            </w:r>
            <w:r>
              <w:rPr>
                <w:spacing w:val="-2"/>
                <w:sz w:val="18"/>
              </w:rPr>
              <w:t xml:space="preserve"> </w:t>
            </w:r>
            <w:r>
              <w:rPr>
                <w:sz w:val="18"/>
              </w:rPr>
              <w:t>compliance</w:t>
            </w:r>
            <w:r>
              <w:rPr>
                <w:spacing w:val="-2"/>
                <w:sz w:val="18"/>
              </w:rPr>
              <w:t xml:space="preserve"> </w:t>
            </w:r>
            <w:r>
              <w:rPr>
                <w:sz w:val="18"/>
              </w:rPr>
              <w:t>with the</w:t>
            </w:r>
            <w:r>
              <w:rPr>
                <w:spacing w:val="-2"/>
                <w:sz w:val="18"/>
              </w:rPr>
              <w:t xml:space="preserve"> </w:t>
            </w:r>
            <w:r>
              <w:rPr>
                <w:sz w:val="18"/>
              </w:rPr>
              <w:t>relevant</w:t>
            </w:r>
            <w:r>
              <w:rPr>
                <w:spacing w:val="-1"/>
                <w:sz w:val="18"/>
              </w:rPr>
              <w:t xml:space="preserve"> </w:t>
            </w:r>
            <w:r>
              <w:rPr>
                <w:sz w:val="18"/>
              </w:rPr>
              <w:t>EU</w:t>
            </w:r>
            <w:r>
              <w:rPr>
                <w:spacing w:val="-1"/>
                <w:sz w:val="18"/>
              </w:rPr>
              <w:t xml:space="preserve"> </w:t>
            </w:r>
            <w:r>
              <w:rPr>
                <w:sz w:val="18"/>
              </w:rPr>
              <w:t>and national</w:t>
            </w:r>
            <w:r>
              <w:rPr>
                <w:spacing w:val="-1"/>
                <w:sz w:val="18"/>
              </w:rPr>
              <w:t xml:space="preserve"> </w:t>
            </w:r>
            <w:r>
              <w:rPr>
                <w:sz w:val="18"/>
              </w:rPr>
              <w:t>environmental</w:t>
            </w:r>
          </w:p>
          <w:p w:rsidR="00A56FE9" w:rsidRDefault="00000000">
            <w:pPr>
              <w:pStyle w:val="TableParagraph"/>
              <w:spacing w:line="191" w:lineRule="exact"/>
              <w:ind w:left="105"/>
              <w:rPr>
                <w:sz w:val="18"/>
              </w:rPr>
            </w:pPr>
            <w:r>
              <w:rPr>
                <w:sz w:val="18"/>
              </w:rPr>
              <w:t>legislation.</w:t>
            </w:r>
          </w:p>
        </w:tc>
      </w:tr>
      <w:tr w:rsidR="00A56FE9">
        <w:trPr>
          <w:trHeight w:val="1658"/>
        </w:trPr>
        <w:tc>
          <w:tcPr>
            <w:tcW w:w="2063" w:type="dxa"/>
            <w:vMerge/>
            <w:tcBorders>
              <w:top w:val="nil"/>
            </w:tcBorders>
            <w:shd w:val="clear" w:color="auto" w:fill="F1F1F1"/>
          </w:tcPr>
          <w:p w:rsidR="00A56FE9" w:rsidRDefault="00A56FE9">
            <w:pPr>
              <w:rPr>
                <w:sz w:val="2"/>
                <w:szCs w:val="2"/>
              </w:rPr>
            </w:pPr>
          </w:p>
        </w:tc>
        <w:tc>
          <w:tcPr>
            <w:tcW w:w="3470" w:type="dxa"/>
            <w:shd w:val="clear" w:color="auto" w:fill="C5EECE"/>
          </w:tcPr>
          <w:p w:rsidR="00A56FE9" w:rsidRDefault="00000000">
            <w:pPr>
              <w:pStyle w:val="TableParagraph"/>
              <w:ind w:left="101" w:right="84"/>
              <w:rPr>
                <w:sz w:val="18"/>
              </w:rPr>
            </w:pPr>
            <w:r>
              <w:rPr>
                <w:sz w:val="18"/>
              </w:rPr>
              <w:t>New legal framework regulating quality</w:t>
            </w:r>
            <w:r>
              <w:rPr>
                <w:spacing w:val="1"/>
                <w:sz w:val="18"/>
              </w:rPr>
              <w:t xml:space="preserve"> </w:t>
            </w:r>
            <w:r>
              <w:rPr>
                <w:sz w:val="18"/>
              </w:rPr>
              <w:t>requirements for study programmes, doctoral</w:t>
            </w:r>
            <w:r>
              <w:rPr>
                <w:spacing w:val="-42"/>
                <w:sz w:val="18"/>
              </w:rPr>
              <w:t xml:space="preserve"> </w:t>
            </w:r>
            <w:r>
              <w:rPr>
                <w:sz w:val="18"/>
              </w:rPr>
              <w:t>studies and working conditions for scientific</w:t>
            </w:r>
            <w:r>
              <w:rPr>
                <w:spacing w:val="1"/>
                <w:sz w:val="18"/>
              </w:rPr>
              <w:t xml:space="preserve"> </w:t>
            </w:r>
            <w:r>
              <w:rPr>
                <w:sz w:val="18"/>
              </w:rPr>
              <w:t>institutions</w:t>
            </w:r>
          </w:p>
          <w:p w:rsidR="00A56FE9" w:rsidRDefault="00A56FE9">
            <w:pPr>
              <w:pStyle w:val="TableParagraph"/>
              <w:spacing w:before="8"/>
              <w:rPr>
                <w:b/>
                <w:sz w:val="17"/>
              </w:rPr>
            </w:pPr>
          </w:p>
          <w:p w:rsidR="00A56FE9" w:rsidRDefault="00000000">
            <w:pPr>
              <w:pStyle w:val="TableParagraph"/>
              <w:spacing w:before="1"/>
              <w:ind w:left="101"/>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9</w:t>
            </w:r>
          </w:p>
        </w:tc>
        <w:tc>
          <w:tcPr>
            <w:tcW w:w="8927" w:type="dxa"/>
            <w:shd w:val="clear" w:color="auto" w:fill="C5EECE"/>
          </w:tcPr>
          <w:p w:rsidR="00A56FE9" w:rsidRDefault="00000000">
            <w:pPr>
              <w:pStyle w:val="TableParagraph"/>
              <w:ind w:left="105" w:right="142"/>
              <w:rPr>
                <w:sz w:val="18"/>
              </w:rPr>
            </w:pPr>
            <w:r>
              <w:rPr>
                <w:sz w:val="18"/>
              </w:rPr>
              <w:t>The</w:t>
            </w:r>
            <w:r>
              <w:rPr>
                <w:spacing w:val="-3"/>
                <w:sz w:val="18"/>
              </w:rPr>
              <w:t xml:space="preserve"> </w:t>
            </w:r>
            <w:r>
              <w:rPr>
                <w:sz w:val="18"/>
              </w:rPr>
              <w:t>new</w:t>
            </w:r>
            <w:r>
              <w:rPr>
                <w:spacing w:val="-4"/>
                <w:sz w:val="18"/>
              </w:rPr>
              <w:t xml:space="preserve"> </w:t>
            </w:r>
            <w:r>
              <w:rPr>
                <w:sz w:val="18"/>
              </w:rPr>
              <w:t>legal</w:t>
            </w:r>
            <w:r>
              <w:rPr>
                <w:spacing w:val="2"/>
                <w:sz w:val="18"/>
              </w:rPr>
              <w:t xml:space="preserve"> </w:t>
            </w:r>
            <w:r>
              <w:rPr>
                <w:sz w:val="18"/>
              </w:rPr>
              <w:t>framework</w:t>
            </w:r>
            <w:r>
              <w:rPr>
                <w:spacing w:val="-2"/>
                <w:sz w:val="18"/>
              </w:rPr>
              <w:t xml:space="preserve"> </w:t>
            </w:r>
            <w:r>
              <w:rPr>
                <w:sz w:val="18"/>
              </w:rPr>
              <w:t>shall</w:t>
            </w:r>
            <w:r>
              <w:rPr>
                <w:spacing w:val="-1"/>
                <w:sz w:val="18"/>
              </w:rPr>
              <w:t xml:space="preserve"> </w:t>
            </w:r>
            <w:r>
              <w:rPr>
                <w:sz w:val="18"/>
              </w:rPr>
              <w:t>provide</w:t>
            </w:r>
            <w:r>
              <w:rPr>
                <w:spacing w:val="-2"/>
                <w:sz w:val="18"/>
              </w:rPr>
              <w:t xml:space="preserve"> </w:t>
            </w:r>
            <w:r>
              <w:rPr>
                <w:sz w:val="18"/>
              </w:rPr>
              <w:t>a</w:t>
            </w:r>
            <w:r>
              <w:rPr>
                <w:spacing w:val="-2"/>
                <w:sz w:val="18"/>
              </w:rPr>
              <w:t xml:space="preserve"> </w:t>
            </w:r>
            <w:r>
              <w:rPr>
                <w:sz w:val="18"/>
              </w:rPr>
              <w:t>basis</w:t>
            </w:r>
            <w:r>
              <w:rPr>
                <w:spacing w:val="-2"/>
                <w:sz w:val="18"/>
              </w:rPr>
              <w:t xml:space="preserve"> </w:t>
            </w:r>
            <w:r>
              <w:rPr>
                <w:sz w:val="18"/>
              </w:rPr>
              <w:t>for</w:t>
            </w:r>
            <w:r>
              <w:rPr>
                <w:spacing w:val="-1"/>
                <w:sz w:val="18"/>
              </w:rPr>
              <w:t xml:space="preserve"> </w:t>
            </w:r>
            <w:r>
              <w:rPr>
                <w:sz w:val="18"/>
              </w:rPr>
              <w:t>a</w:t>
            </w:r>
            <w:r>
              <w:rPr>
                <w:spacing w:val="-2"/>
                <w:sz w:val="18"/>
              </w:rPr>
              <w:t xml:space="preserve"> </w:t>
            </w:r>
            <w:r>
              <w:rPr>
                <w:sz w:val="18"/>
              </w:rPr>
              <w:t>new</w:t>
            </w:r>
            <w:r>
              <w:rPr>
                <w:spacing w:val="-4"/>
                <w:sz w:val="18"/>
              </w:rPr>
              <w:t xml:space="preserve"> </w:t>
            </w:r>
            <w:r>
              <w:rPr>
                <w:sz w:val="18"/>
              </w:rPr>
              <w:t>promotion</w:t>
            </w:r>
            <w:r>
              <w:rPr>
                <w:spacing w:val="-2"/>
                <w:sz w:val="18"/>
              </w:rPr>
              <w:t xml:space="preserve"> </w:t>
            </w:r>
            <w:r>
              <w:rPr>
                <w:sz w:val="18"/>
              </w:rPr>
              <w:t>system</w:t>
            </w:r>
            <w:r>
              <w:rPr>
                <w:spacing w:val="-4"/>
                <w:sz w:val="18"/>
              </w:rPr>
              <w:t xml:space="preserve"> </w:t>
            </w:r>
            <w:r>
              <w:rPr>
                <w:sz w:val="18"/>
              </w:rPr>
              <w:t>based on excellence</w:t>
            </w:r>
            <w:r>
              <w:rPr>
                <w:spacing w:val="-3"/>
                <w:sz w:val="18"/>
              </w:rPr>
              <w:t xml:space="preserve"> </w:t>
            </w:r>
            <w:r>
              <w:rPr>
                <w:sz w:val="18"/>
              </w:rPr>
              <w:t>and</w:t>
            </w:r>
            <w:r>
              <w:rPr>
                <w:spacing w:val="-2"/>
                <w:sz w:val="18"/>
              </w:rPr>
              <w:t xml:space="preserve"> </w:t>
            </w:r>
            <w:r>
              <w:rPr>
                <w:sz w:val="18"/>
              </w:rPr>
              <w:t>better</w:t>
            </w:r>
            <w:r>
              <w:rPr>
                <w:spacing w:val="-1"/>
                <w:sz w:val="18"/>
              </w:rPr>
              <w:t xml:space="preserve"> </w:t>
            </w:r>
            <w:r>
              <w:rPr>
                <w:sz w:val="18"/>
              </w:rPr>
              <w:t>regulation</w:t>
            </w:r>
            <w:r>
              <w:rPr>
                <w:spacing w:val="-2"/>
                <w:sz w:val="18"/>
              </w:rPr>
              <w:t xml:space="preserve"> </w:t>
            </w:r>
            <w:r>
              <w:rPr>
                <w:sz w:val="18"/>
              </w:rPr>
              <w:t>of</w:t>
            </w:r>
            <w:r>
              <w:rPr>
                <w:spacing w:val="-42"/>
                <w:sz w:val="18"/>
              </w:rPr>
              <w:t xml:space="preserve"> </w:t>
            </w:r>
            <w:r>
              <w:rPr>
                <w:sz w:val="18"/>
              </w:rPr>
              <w:t>career development, thus enabling conditions for attracting and retaining quality researchers. The new legal framework</w:t>
            </w:r>
            <w:r>
              <w:rPr>
                <w:spacing w:val="1"/>
                <w:sz w:val="18"/>
              </w:rPr>
              <w:t xml:space="preserve"> </w:t>
            </w:r>
            <w:r>
              <w:rPr>
                <w:sz w:val="18"/>
              </w:rPr>
              <w:t>shall allow young scientists to thrive on the basis of internationally recognised scientific quality criteria and with less</w:t>
            </w:r>
            <w:r>
              <w:rPr>
                <w:spacing w:val="1"/>
                <w:sz w:val="18"/>
              </w:rPr>
              <w:t xml:space="preserve"> </w:t>
            </w:r>
            <w:r>
              <w:rPr>
                <w:sz w:val="18"/>
              </w:rPr>
              <w:t>administrative barriers. It shall include flexible working arrangements to promote the recruitment of researchers with</w:t>
            </w:r>
            <w:r>
              <w:rPr>
                <w:spacing w:val="1"/>
                <w:sz w:val="18"/>
              </w:rPr>
              <w:t xml:space="preserve"> </w:t>
            </w:r>
            <w:r>
              <w:rPr>
                <w:sz w:val="18"/>
              </w:rPr>
              <w:t>care</w:t>
            </w:r>
            <w:r>
              <w:rPr>
                <w:spacing w:val="-2"/>
                <w:sz w:val="18"/>
              </w:rPr>
              <w:t xml:space="preserve"> </w:t>
            </w:r>
            <w:r>
              <w:rPr>
                <w:sz w:val="18"/>
              </w:rPr>
              <w:t>responsibilities.</w:t>
            </w:r>
          </w:p>
          <w:p w:rsidR="00A56FE9" w:rsidRDefault="00000000">
            <w:pPr>
              <w:pStyle w:val="TableParagraph"/>
              <w:spacing w:line="207" w:lineRule="exact"/>
              <w:ind w:left="105"/>
              <w:rPr>
                <w:sz w:val="18"/>
              </w:rPr>
            </w:pPr>
            <w:r>
              <w:rPr>
                <w:sz w:val="18"/>
              </w:rPr>
              <w:t>The</w:t>
            </w:r>
            <w:r>
              <w:rPr>
                <w:spacing w:val="-3"/>
                <w:sz w:val="18"/>
              </w:rPr>
              <w:t xml:space="preserve"> </w:t>
            </w:r>
            <w:r>
              <w:rPr>
                <w:sz w:val="18"/>
              </w:rPr>
              <w:t>new</w:t>
            </w:r>
            <w:r>
              <w:rPr>
                <w:spacing w:val="-4"/>
                <w:sz w:val="18"/>
              </w:rPr>
              <w:t xml:space="preserve"> </w:t>
            </w:r>
            <w:r>
              <w:rPr>
                <w:sz w:val="18"/>
              </w:rPr>
              <w:t>legal</w:t>
            </w:r>
            <w:r>
              <w:rPr>
                <w:spacing w:val="1"/>
                <w:sz w:val="18"/>
              </w:rPr>
              <w:t xml:space="preserve"> </w:t>
            </w:r>
            <w:r>
              <w:rPr>
                <w:sz w:val="18"/>
              </w:rPr>
              <w:t>framework</w:t>
            </w:r>
            <w:r>
              <w:rPr>
                <w:spacing w:val="-2"/>
                <w:sz w:val="18"/>
              </w:rPr>
              <w:t xml:space="preserve"> </w:t>
            </w:r>
            <w:r>
              <w:rPr>
                <w:sz w:val="18"/>
              </w:rPr>
              <w:t>consists</w:t>
            </w:r>
            <w:r>
              <w:rPr>
                <w:spacing w:val="-3"/>
                <w:sz w:val="18"/>
              </w:rPr>
              <w:t xml:space="preserve"> </w:t>
            </w:r>
            <w:r>
              <w:rPr>
                <w:sz w:val="18"/>
              </w:rPr>
              <w:t>of:</w:t>
            </w:r>
          </w:p>
          <w:p w:rsidR="00A56FE9" w:rsidRDefault="00000000">
            <w:pPr>
              <w:pStyle w:val="TableParagraph"/>
              <w:numPr>
                <w:ilvl w:val="0"/>
                <w:numId w:val="1"/>
              </w:numPr>
              <w:tabs>
                <w:tab w:val="left" w:pos="302"/>
              </w:tabs>
              <w:spacing w:line="206" w:lineRule="exact"/>
              <w:rPr>
                <w:sz w:val="18"/>
              </w:rPr>
            </w:pPr>
            <w:r>
              <w:rPr>
                <w:sz w:val="18"/>
              </w:rPr>
              <w:t>New</w:t>
            </w:r>
            <w:r>
              <w:rPr>
                <w:spacing w:val="-5"/>
                <w:sz w:val="18"/>
              </w:rPr>
              <w:t xml:space="preserve"> </w:t>
            </w:r>
            <w:r>
              <w:rPr>
                <w:sz w:val="18"/>
              </w:rPr>
              <w:t>Quality</w:t>
            </w:r>
            <w:r>
              <w:rPr>
                <w:spacing w:val="-3"/>
                <w:sz w:val="18"/>
              </w:rPr>
              <w:t xml:space="preserve"> </w:t>
            </w:r>
            <w:r>
              <w:rPr>
                <w:sz w:val="18"/>
              </w:rPr>
              <w:t>Assurance</w:t>
            </w:r>
            <w:r>
              <w:rPr>
                <w:spacing w:val="-3"/>
                <w:sz w:val="18"/>
              </w:rPr>
              <w:t xml:space="preserve"> </w:t>
            </w:r>
            <w:r>
              <w:rPr>
                <w:sz w:val="18"/>
              </w:rPr>
              <w:t>in</w:t>
            </w:r>
            <w:r>
              <w:rPr>
                <w:spacing w:val="-1"/>
                <w:sz w:val="18"/>
              </w:rPr>
              <w:t xml:space="preserve"> </w:t>
            </w:r>
            <w:r>
              <w:rPr>
                <w:sz w:val="18"/>
              </w:rPr>
              <w:t>Science</w:t>
            </w:r>
            <w:r>
              <w:rPr>
                <w:spacing w:val="-3"/>
                <w:sz w:val="18"/>
              </w:rPr>
              <w:t xml:space="preserve"> </w:t>
            </w:r>
            <w:r>
              <w:rPr>
                <w:sz w:val="18"/>
              </w:rPr>
              <w:t>and Higher</w:t>
            </w:r>
            <w:r>
              <w:rPr>
                <w:spacing w:val="-2"/>
                <w:sz w:val="18"/>
              </w:rPr>
              <w:t xml:space="preserve"> </w:t>
            </w:r>
            <w:r>
              <w:rPr>
                <w:sz w:val="18"/>
              </w:rPr>
              <w:t>Education</w:t>
            </w:r>
            <w:r>
              <w:rPr>
                <w:spacing w:val="-1"/>
                <w:sz w:val="18"/>
              </w:rPr>
              <w:t xml:space="preserve"> </w:t>
            </w:r>
            <w:r>
              <w:rPr>
                <w:sz w:val="18"/>
              </w:rPr>
              <w:t>Act</w:t>
            </w:r>
          </w:p>
          <w:p w:rsidR="00A56FE9" w:rsidRDefault="00000000">
            <w:pPr>
              <w:pStyle w:val="TableParagraph"/>
              <w:numPr>
                <w:ilvl w:val="0"/>
                <w:numId w:val="1"/>
              </w:numPr>
              <w:tabs>
                <w:tab w:val="left" w:pos="302"/>
              </w:tabs>
              <w:spacing w:line="193" w:lineRule="exact"/>
              <w:rPr>
                <w:sz w:val="18"/>
              </w:rPr>
            </w:pPr>
            <w:r>
              <w:rPr>
                <w:sz w:val="18"/>
              </w:rPr>
              <w:t>Ordinance</w:t>
            </w:r>
            <w:r>
              <w:rPr>
                <w:spacing w:val="-3"/>
                <w:sz w:val="18"/>
              </w:rPr>
              <w:t xml:space="preserve"> </w:t>
            </w:r>
            <w:r>
              <w:rPr>
                <w:sz w:val="18"/>
              </w:rPr>
              <w:t>on</w:t>
            </w:r>
            <w:r>
              <w:rPr>
                <w:spacing w:val="-1"/>
                <w:sz w:val="18"/>
              </w:rPr>
              <w:t xml:space="preserve"> </w:t>
            </w:r>
            <w:r>
              <w:rPr>
                <w:sz w:val="18"/>
              </w:rPr>
              <w:t>the</w:t>
            </w:r>
            <w:r>
              <w:rPr>
                <w:spacing w:val="-3"/>
                <w:sz w:val="18"/>
              </w:rPr>
              <w:t xml:space="preserve"> </w:t>
            </w:r>
            <w:r>
              <w:rPr>
                <w:sz w:val="18"/>
              </w:rPr>
              <w:t>conditions</w:t>
            </w:r>
            <w:r>
              <w:rPr>
                <w:spacing w:val="-2"/>
                <w:sz w:val="18"/>
              </w:rPr>
              <w:t xml:space="preserve"> </w:t>
            </w:r>
            <w:r>
              <w:rPr>
                <w:sz w:val="18"/>
              </w:rPr>
              <w:t>for</w:t>
            </w:r>
            <w:r>
              <w:rPr>
                <w:spacing w:val="-2"/>
                <w:sz w:val="18"/>
              </w:rPr>
              <w:t xml:space="preserve"> </w:t>
            </w:r>
            <w:r>
              <w:rPr>
                <w:sz w:val="18"/>
              </w:rPr>
              <w:t>selection</w:t>
            </w:r>
            <w:r>
              <w:rPr>
                <w:spacing w:val="-1"/>
                <w:sz w:val="18"/>
              </w:rPr>
              <w:t xml:space="preserve"> </w:t>
            </w:r>
            <w:r>
              <w:rPr>
                <w:sz w:val="18"/>
              </w:rPr>
              <w:t>in</w:t>
            </w:r>
            <w:r>
              <w:rPr>
                <w:spacing w:val="-1"/>
                <w:sz w:val="18"/>
              </w:rPr>
              <w:t xml:space="preserve"> </w:t>
            </w:r>
            <w:r>
              <w:rPr>
                <w:sz w:val="18"/>
              </w:rPr>
              <w:t>scientific</w:t>
            </w:r>
            <w:r>
              <w:rPr>
                <w:spacing w:val="-2"/>
                <w:sz w:val="18"/>
              </w:rPr>
              <w:t xml:space="preserve"> </w:t>
            </w:r>
            <w:r>
              <w:rPr>
                <w:sz w:val="18"/>
              </w:rPr>
              <w:t>titles</w:t>
            </w:r>
          </w:p>
        </w:tc>
      </w:tr>
      <w:tr w:rsidR="00A56FE9">
        <w:trPr>
          <w:trHeight w:val="827"/>
        </w:trPr>
        <w:tc>
          <w:tcPr>
            <w:tcW w:w="2063" w:type="dxa"/>
            <w:vMerge/>
            <w:tcBorders>
              <w:top w:val="nil"/>
            </w:tcBorders>
            <w:shd w:val="clear" w:color="auto" w:fill="F1F1F1"/>
          </w:tcPr>
          <w:p w:rsidR="00A56FE9" w:rsidRDefault="00A56FE9">
            <w:pPr>
              <w:rPr>
                <w:sz w:val="2"/>
                <w:szCs w:val="2"/>
              </w:rPr>
            </w:pPr>
          </w:p>
        </w:tc>
        <w:tc>
          <w:tcPr>
            <w:tcW w:w="3470" w:type="dxa"/>
            <w:shd w:val="clear" w:color="auto" w:fill="C5EECE"/>
          </w:tcPr>
          <w:p w:rsidR="00A56FE9" w:rsidRDefault="00000000">
            <w:pPr>
              <w:pStyle w:val="TableParagraph"/>
              <w:ind w:left="101" w:right="885"/>
              <w:rPr>
                <w:sz w:val="18"/>
              </w:rPr>
            </w:pPr>
            <w:r>
              <w:rPr>
                <w:sz w:val="18"/>
              </w:rPr>
              <w:t>New</w:t>
            </w:r>
            <w:r>
              <w:rPr>
                <w:spacing w:val="-4"/>
                <w:sz w:val="18"/>
              </w:rPr>
              <w:t xml:space="preserve"> </w:t>
            </w:r>
            <w:r>
              <w:rPr>
                <w:sz w:val="18"/>
              </w:rPr>
              <w:t>Law</w:t>
            </w:r>
            <w:r>
              <w:rPr>
                <w:spacing w:val="-4"/>
                <w:sz w:val="18"/>
              </w:rPr>
              <w:t xml:space="preserve"> </w:t>
            </w:r>
            <w:r>
              <w:rPr>
                <w:sz w:val="18"/>
              </w:rPr>
              <w:t>on the</w:t>
            </w:r>
            <w:r>
              <w:rPr>
                <w:spacing w:val="-2"/>
                <w:sz w:val="18"/>
              </w:rPr>
              <w:t xml:space="preserve"> </w:t>
            </w:r>
            <w:r>
              <w:rPr>
                <w:sz w:val="18"/>
              </w:rPr>
              <w:t>Croatian</w:t>
            </w:r>
            <w:r>
              <w:rPr>
                <w:spacing w:val="-1"/>
                <w:sz w:val="18"/>
              </w:rPr>
              <w:t xml:space="preserve"> </w:t>
            </w:r>
            <w:r>
              <w:rPr>
                <w:sz w:val="18"/>
              </w:rPr>
              <w:t>Science</w:t>
            </w:r>
            <w:r>
              <w:rPr>
                <w:spacing w:val="-42"/>
                <w:sz w:val="18"/>
              </w:rPr>
              <w:t xml:space="preserve"> </w:t>
            </w:r>
            <w:r>
              <w:rPr>
                <w:sz w:val="18"/>
              </w:rPr>
              <w:t>Foundation</w:t>
            </w:r>
          </w:p>
        </w:tc>
        <w:tc>
          <w:tcPr>
            <w:tcW w:w="8927" w:type="dxa"/>
            <w:shd w:val="clear" w:color="auto" w:fill="C5EECE"/>
          </w:tcPr>
          <w:p w:rsidR="00A56FE9" w:rsidRDefault="00000000">
            <w:pPr>
              <w:pStyle w:val="TableParagraph"/>
              <w:ind w:left="105" w:right="723"/>
              <w:rPr>
                <w:sz w:val="18"/>
              </w:rPr>
            </w:pPr>
            <w:r>
              <w:rPr>
                <w:sz w:val="18"/>
              </w:rPr>
              <w:t>The new Act on the Croatian Science Foundation shall define a clear mission of the Foundation for Conducting,</w:t>
            </w:r>
            <w:r>
              <w:rPr>
                <w:spacing w:val="-42"/>
                <w:sz w:val="18"/>
              </w:rPr>
              <w:t xml:space="preserve"> </w:t>
            </w:r>
            <w:r>
              <w:rPr>
                <w:sz w:val="18"/>
              </w:rPr>
              <w:t>Coordination, Design, Monitoring and Evaluation of the Programme and Evaluation of R &amp; D project funding</w:t>
            </w:r>
            <w:r>
              <w:rPr>
                <w:spacing w:val="1"/>
                <w:sz w:val="18"/>
              </w:rPr>
              <w:t xml:space="preserve"> </w:t>
            </w:r>
            <w:r>
              <w:rPr>
                <w:sz w:val="18"/>
              </w:rPr>
              <w:t>programmes</w:t>
            </w:r>
            <w:r>
              <w:rPr>
                <w:spacing w:val="-2"/>
                <w:sz w:val="18"/>
              </w:rPr>
              <w:t xml:space="preserve"> </w:t>
            </w:r>
            <w:r>
              <w:rPr>
                <w:sz w:val="18"/>
              </w:rPr>
              <w:t>and policies,</w:t>
            </w:r>
            <w:r>
              <w:rPr>
                <w:spacing w:val="-2"/>
                <w:sz w:val="18"/>
              </w:rPr>
              <w:t xml:space="preserve"> </w:t>
            </w:r>
            <w:r>
              <w:rPr>
                <w:sz w:val="18"/>
              </w:rPr>
              <w:t>creating</w:t>
            </w:r>
            <w:r>
              <w:rPr>
                <w:spacing w:val="-2"/>
                <w:sz w:val="18"/>
              </w:rPr>
              <w:t xml:space="preserve"> </w:t>
            </w:r>
            <w:r>
              <w:rPr>
                <w:sz w:val="18"/>
              </w:rPr>
              <w:t>a</w:t>
            </w:r>
            <w:r>
              <w:rPr>
                <w:spacing w:val="-2"/>
                <w:sz w:val="18"/>
              </w:rPr>
              <w:t xml:space="preserve"> </w:t>
            </w:r>
            <w:r>
              <w:rPr>
                <w:sz w:val="18"/>
              </w:rPr>
              <w:t>strong</w:t>
            </w:r>
            <w:r>
              <w:rPr>
                <w:spacing w:val="-2"/>
                <w:sz w:val="18"/>
              </w:rPr>
              <w:t xml:space="preserve"> </w:t>
            </w:r>
            <w:r>
              <w:rPr>
                <w:sz w:val="18"/>
              </w:rPr>
              <w:t>and</w:t>
            </w:r>
            <w:r>
              <w:rPr>
                <w:spacing w:val="-3"/>
                <w:sz w:val="18"/>
              </w:rPr>
              <w:t xml:space="preserve"> </w:t>
            </w:r>
            <w:r>
              <w:rPr>
                <w:sz w:val="18"/>
              </w:rPr>
              <w:t>independent</w:t>
            </w:r>
            <w:r>
              <w:rPr>
                <w:spacing w:val="-1"/>
                <w:sz w:val="18"/>
              </w:rPr>
              <w:t xml:space="preserve"> </w:t>
            </w:r>
            <w:r>
              <w:rPr>
                <w:sz w:val="18"/>
              </w:rPr>
              <w:t>system</w:t>
            </w:r>
            <w:r>
              <w:rPr>
                <w:spacing w:val="-2"/>
                <w:sz w:val="18"/>
              </w:rPr>
              <w:t xml:space="preserve"> </w:t>
            </w:r>
            <w:r>
              <w:rPr>
                <w:sz w:val="18"/>
              </w:rPr>
              <w:t>for</w:t>
            </w:r>
            <w:r>
              <w:rPr>
                <w:spacing w:val="-2"/>
                <w:sz w:val="18"/>
              </w:rPr>
              <w:t xml:space="preserve"> </w:t>
            </w:r>
            <w:r>
              <w:rPr>
                <w:sz w:val="18"/>
              </w:rPr>
              <w:t>implementing</w:t>
            </w:r>
            <w:r>
              <w:rPr>
                <w:spacing w:val="-2"/>
                <w:sz w:val="18"/>
              </w:rPr>
              <w:t xml:space="preserve"> </w:t>
            </w:r>
            <w:r>
              <w:rPr>
                <w:sz w:val="18"/>
              </w:rPr>
              <w:t>the</w:t>
            </w:r>
            <w:r>
              <w:rPr>
                <w:spacing w:val="-2"/>
                <w:sz w:val="18"/>
              </w:rPr>
              <w:t xml:space="preserve"> </w:t>
            </w:r>
            <w:r>
              <w:rPr>
                <w:sz w:val="18"/>
              </w:rPr>
              <w:t>selection,</w:t>
            </w:r>
            <w:r>
              <w:rPr>
                <w:spacing w:val="-4"/>
                <w:sz w:val="18"/>
              </w:rPr>
              <w:t xml:space="preserve"> </w:t>
            </w:r>
            <w:r>
              <w:rPr>
                <w:sz w:val="18"/>
              </w:rPr>
              <w:t>funding</w:t>
            </w:r>
            <w:r>
              <w:rPr>
                <w:spacing w:val="-2"/>
                <w:sz w:val="18"/>
              </w:rPr>
              <w:t xml:space="preserve"> </w:t>
            </w:r>
            <w:r>
              <w:rPr>
                <w:sz w:val="18"/>
              </w:rPr>
              <w:t>and</w:t>
            </w:r>
          </w:p>
          <w:p w:rsidR="00A56FE9" w:rsidRDefault="00000000">
            <w:pPr>
              <w:pStyle w:val="TableParagraph"/>
              <w:spacing w:line="192" w:lineRule="exact"/>
              <w:ind w:left="105"/>
              <w:rPr>
                <w:sz w:val="18"/>
              </w:rPr>
            </w:pPr>
            <w:r>
              <w:rPr>
                <w:sz w:val="18"/>
              </w:rPr>
              <w:t>monitoring</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effects of</w:t>
            </w:r>
            <w:r>
              <w:rPr>
                <w:spacing w:val="-3"/>
                <w:sz w:val="18"/>
              </w:rPr>
              <w:t xml:space="preserve"> </w:t>
            </w:r>
            <w:r>
              <w:rPr>
                <w:sz w:val="18"/>
              </w:rPr>
              <w:t>R &amp;</w:t>
            </w:r>
            <w:r>
              <w:rPr>
                <w:spacing w:val="-2"/>
                <w:sz w:val="18"/>
              </w:rPr>
              <w:t xml:space="preserve"> </w:t>
            </w:r>
            <w:r>
              <w:rPr>
                <w:sz w:val="18"/>
              </w:rPr>
              <w:t>D projects.</w:t>
            </w:r>
          </w:p>
        </w:tc>
      </w:tr>
      <w:tr w:rsidR="00A56FE9">
        <w:trPr>
          <w:trHeight w:val="621"/>
        </w:trPr>
        <w:tc>
          <w:tcPr>
            <w:tcW w:w="2063" w:type="dxa"/>
            <w:vMerge/>
            <w:tcBorders>
              <w:top w:val="nil"/>
            </w:tcBorders>
            <w:shd w:val="clear" w:color="auto" w:fill="F1F1F1"/>
          </w:tcPr>
          <w:p w:rsidR="00A56FE9" w:rsidRDefault="00A56FE9">
            <w:pPr>
              <w:rPr>
                <w:sz w:val="2"/>
                <w:szCs w:val="2"/>
              </w:rPr>
            </w:pPr>
          </w:p>
        </w:tc>
        <w:tc>
          <w:tcPr>
            <w:tcW w:w="3470" w:type="dxa"/>
            <w:shd w:val="clear" w:color="auto" w:fill="C5EECE"/>
          </w:tcPr>
          <w:p w:rsidR="00A56FE9" w:rsidRDefault="00000000">
            <w:pPr>
              <w:pStyle w:val="TableParagraph"/>
              <w:ind w:left="101" w:right="667"/>
              <w:rPr>
                <w:sz w:val="18"/>
              </w:rPr>
            </w:pPr>
            <w:r>
              <w:rPr>
                <w:sz w:val="18"/>
              </w:rPr>
              <w:t>Including</w:t>
            </w:r>
            <w:r>
              <w:rPr>
                <w:spacing w:val="-6"/>
                <w:sz w:val="18"/>
              </w:rPr>
              <w:t xml:space="preserve"> </w:t>
            </w:r>
            <w:r>
              <w:rPr>
                <w:sz w:val="18"/>
              </w:rPr>
              <w:t>unemployed</w:t>
            </w:r>
            <w:r>
              <w:rPr>
                <w:spacing w:val="-4"/>
                <w:sz w:val="18"/>
              </w:rPr>
              <w:t xml:space="preserve"> </w:t>
            </w:r>
            <w:r>
              <w:rPr>
                <w:sz w:val="18"/>
              </w:rPr>
              <w:t>and</w:t>
            </w:r>
            <w:r>
              <w:rPr>
                <w:spacing w:val="-3"/>
                <w:sz w:val="18"/>
              </w:rPr>
              <w:t xml:space="preserve"> </w:t>
            </w:r>
            <w:r>
              <w:rPr>
                <w:sz w:val="18"/>
              </w:rPr>
              <w:t>employed</w:t>
            </w:r>
            <w:r>
              <w:rPr>
                <w:spacing w:val="-42"/>
                <w:sz w:val="18"/>
              </w:rPr>
              <w:t xml:space="preserve"> </w:t>
            </w:r>
            <w:r>
              <w:rPr>
                <w:sz w:val="18"/>
              </w:rPr>
              <w:t>persons</w:t>
            </w:r>
            <w:r>
              <w:rPr>
                <w:spacing w:val="-3"/>
                <w:sz w:val="18"/>
              </w:rPr>
              <w:t xml:space="preserve"> </w:t>
            </w:r>
            <w:r>
              <w:rPr>
                <w:sz w:val="18"/>
              </w:rPr>
              <w:t>in</w:t>
            </w:r>
            <w:r>
              <w:rPr>
                <w:spacing w:val="-1"/>
                <w:sz w:val="18"/>
              </w:rPr>
              <w:t xml:space="preserve"> </w:t>
            </w:r>
            <w:r>
              <w:rPr>
                <w:sz w:val="18"/>
              </w:rPr>
              <w:t>active</w:t>
            </w:r>
            <w:r>
              <w:rPr>
                <w:spacing w:val="-3"/>
                <w:sz w:val="18"/>
              </w:rPr>
              <w:t xml:space="preserve"> </w:t>
            </w:r>
            <w:r>
              <w:rPr>
                <w:sz w:val="18"/>
              </w:rPr>
              <w:t>employment</w:t>
            </w:r>
            <w:r>
              <w:rPr>
                <w:spacing w:val="1"/>
                <w:sz w:val="18"/>
              </w:rPr>
              <w:t xml:space="preserve"> </w:t>
            </w:r>
            <w:r>
              <w:rPr>
                <w:sz w:val="18"/>
              </w:rPr>
              <w:t>policy</w:t>
            </w:r>
          </w:p>
          <w:p w:rsidR="00A56FE9" w:rsidRDefault="00000000">
            <w:pPr>
              <w:pStyle w:val="TableParagraph"/>
              <w:spacing w:line="192" w:lineRule="exact"/>
              <w:ind w:left="101"/>
              <w:rPr>
                <w:sz w:val="18"/>
              </w:rPr>
            </w:pPr>
            <w:r>
              <w:rPr>
                <w:sz w:val="18"/>
              </w:rPr>
              <w:t>measures</w:t>
            </w:r>
          </w:p>
        </w:tc>
        <w:tc>
          <w:tcPr>
            <w:tcW w:w="8927" w:type="dxa"/>
            <w:shd w:val="clear" w:color="auto" w:fill="C5EECE"/>
          </w:tcPr>
          <w:p w:rsidR="00A56FE9" w:rsidRDefault="00000000">
            <w:pPr>
              <w:pStyle w:val="TableParagraph"/>
              <w:ind w:left="105" w:right="179"/>
              <w:rPr>
                <w:sz w:val="18"/>
              </w:rPr>
            </w:pPr>
            <w:r>
              <w:rPr>
                <w:sz w:val="18"/>
              </w:rPr>
              <w:t>In</w:t>
            </w:r>
            <w:r>
              <w:rPr>
                <w:spacing w:val="-1"/>
                <w:sz w:val="18"/>
              </w:rPr>
              <w:t xml:space="preserve"> </w:t>
            </w:r>
            <w:r>
              <w:rPr>
                <w:sz w:val="18"/>
              </w:rPr>
              <w:t>2022,</w:t>
            </w:r>
            <w:r>
              <w:rPr>
                <w:spacing w:val="-2"/>
                <w:sz w:val="18"/>
              </w:rPr>
              <w:t xml:space="preserve"> </w:t>
            </w:r>
            <w:r>
              <w:rPr>
                <w:sz w:val="18"/>
              </w:rPr>
              <w:t>special</w:t>
            </w:r>
            <w:r>
              <w:rPr>
                <w:spacing w:val="-2"/>
                <w:sz w:val="18"/>
              </w:rPr>
              <w:t xml:space="preserve"> </w:t>
            </w:r>
            <w:r>
              <w:rPr>
                <w:sz w:val="18"/>
              </w:rPr>
              <w:t>active</w:t>
            </w:r>
            <w:r>
              <w:rPr>
                <w:spacing w:val="-2"/>
                <w:sz w:val="18"/>
              </w:rPr>
              <w:t xml:space="preserve"> </w:t>
            </w:r>
            <w:r>
              <w:rPr>
                <w:sz w:val="18"/>
              </w:rPr>
              <w:t>employment</w:t>
            </w:r>
            <w:r>
              <w:rPr>
                <w:spacing w:val="-2"/>
                <w:sz w:val="18"/>
              </w:rPr>
              <w:t xml:space="preserve"> </w:t>
            </w:r>
            <w:r>
              <w:rPr>
                <w:sz w:val="18"/>
              </w:rPr>
              <w:t>policy</w:t>
            </w:r>
            <w:r>
              <w:rPr>
                <w:spacing w:val="-3"/>
                <w:sz w:val="18"/>
              </w:rPr>
              <w:t xml:space="preserve"> </w:t>
            </w:r>
            <w:r>
              <w:rPr>
                <w:sz w:val="18"/>
              </w:rPr>
              <w:t>measures will</w:t>
            </w:r>
            <w:r>
              <w:rPr>
                <w:spacing w:val="-1"/>
                <w:sz w:val="18"/>
              </w:rPr>
              <w:t xml:space="preserve"> </w:t>
            </w:r>
            <w:r>
              <w:rPr>
                <w:sz w:val="18"/>
              </w:rPr>
              <w:t>be</w:t>
            </w:r>
            <w:r>
              <w:rPr>
                <w:spacing w:val="-3"/>
                <w:sz w:val="18"/>
              </w:rPr>
              <w:t xml:space="preserve"> </w:t>
            </w:r>
            <w:r>
              <w:rPr>
                <w:sz w:val="18"/>
              </w:rPr>
              <w:t>implemented</w:t>
            </w:r>
            <w:r>
              <w:rPr>
                <w:spacing w:val="-1"/>
                <w:sz w:val="18"/>
              </w:rPr>
              <w:t xml:space="preserve"> </w:t>
            </w:r>
            <w:r>
              <w:rPr>
                <w:sz w:val="18"/>
              </w:rPr>
              <w:t>with</w:t>
            </w:r>
            <w:r>
              <w:rPr>
                <w:spacing w:val="-1"/>
                <w:sz w:val="18"/>
              </w:rPr>
              <w:t xml:space="preserve"> </w:t>
            </w:r>
            <w:r>
              <w:rPr>
                <w:sz w:val="18"/>
              </w:rPr>
              <w:t>the</w:t>
            </w:r>
            <w:r>
              <w:rPr>
                <w:spacing w:val="-2"/>
                <w:sz w:val="18"/>
              </w:rPr>
              <w:t xml:space="preserve"> </w:t>
            </w:r>
            <w:r>
              <w:rPr>
                <w:sz w:val="18"/>
              </w:rPr>
              <w:t>aim</w:t>
            </w:r>
            <w:r>
              <w:rPr>
                <w:spacing w:val="-5"/>
                <w:sz w:val="18"/>
              </w:rPr>
              <w:t xml:space="preserve"> </w:t>
            </w:r>
            <w:r>
              <w:rPr>
                <w:sz w:val="18"/>
              </w:rPr>
              <w:t>of</w:t>
            </w:r>
            <w:r>
              <w:rPr>
                <w:spacing w:val="-4"/>
                <w:sz w:val="18"/>
              </w:rPr>
              <w:t xml:space="preserve"> </w:t>
            </w:r>
            <w:r>
              <w:rPr>
                <w:sz w:val="18"/>
              </w:rPr>
              <w:t>a</w:t>
            </w:r>
            <w:r>
              <w:rPr>
                <w:spacing w:val="-2"/>
                <w:sz w:val="18"/>
              </w:rPr>
              <w:t xml:space="preserve"> </w:t>
            </w:r>
            <w:r>
              <w:rPr>
                <w:sz w:val="18"/>
              </w:rPr>
              <w:t>green</w:t>
            </w:r>
            <w:r>
              <w:rPr>
                <w:spacing w:val="-1"/>
                <w:sz w:val="18"/>
              </w:rPr>
              <w:t xml:space="preserve"> </w:t>
            </w:r>
            <w:r>
              <w:rPr>
                <w:sz w:val="18"/>
              </w:rPr>
              <w:t>and</w:t>
            </w:r>
            <w:r>
              <w:rPr>
                <w:spacing w:val="-1"/>
                <w:sz w:val="18"/>
              </w:rPr>
              <w:t xml:space="preserve"> </w:t>
            </w:r>
            <w:r>
              <w:rPr>
                <w:sz w:val="18"/>
              </w:rPr>
              <w:t>digital</w:t>
            </w:r>
            <w:r>
              <w:rPr>
                <w:spacing w:val="-3"/>
                <w:sz w:val="18"/>
              </w:rPr>
              <w:t xml:space="preserve"> </w:t>
            </w:r>
            <w:r>
              <w:rPr>
                <w:sz w:val="18"/>
              </w:rPr>
              <w:t>transition</w:t>
            </w:r>
            <w:r>
              <w:rPr>
                <w:spacing w:val="-42"/>
                <w:sz w:val="18"/>
              </w:rPr>
              <w:t xml:space="preserve"> </w:t>
            </w:r>
            <w:r>
              <w:rPr>
                <w:sz w:val="18"/>
              </w:rPr>
              <w:t>of</w:t>
            </w:r>
            <w:r>
              <w:rPr>
                <w:spacing w:val="-3"/>
                <w:sz w:val="18"/>
              </w:rPr>
              <w:t xml:space="preserve"> </w:t>
            </w:r>
            <w:r>
              <w:rPr>
                <w:sz w:val="18"/>
              </w:rPr>
              <w:t>the</w:t>
            </w:r>
            <w:r>
              <w:rPr>
                <w:spacing w:val="-2"/>
                <w:sz w:val="18"/>
              </w:rPr>
              <w:t xml:space="preserve"> </w:t>
            </w:r>
            <w:r>
              <w:rPr>
                <w:sz w:val="18"/>
              </w:rPr>
              <w:t>economy,</w:t>
            </w:r>
            <w:r>
              <w:rPr>
                <w:spacing w:val="-1"/>
                <w:sz w:val="18"/>
              </w:rPr>
              <w:t xml:space="preserve"> </w:t>
            </w:r>
            <w:r>
              <w:rPr>
                <w:sz w:val="18"/>
              </w:rPr>
              <w:t>based</w:t>
            </w:r>
            <w:r>
              <w:rPr>
                <w:spacing w:val="1"/>
                <w:sz w:val="18"/>
              </w:rPr>
              <w:t xml:space="preserve"> </w:t>
            </w:r>
            <w:r>
              <w:rPr>
                <w:sz w:val="18"/>
              </w:rPr>
              <w:t>on</w:t>
            </w:r>
            <w:r>
              <w:rPr>
                <w:spacing w:val="-2"/>
                <w:sz w:val="18"/>
              </w:rPr>
              <w:t xml:space="preserve"> </w:t>
            </w:r>
            <w:r>
              <w:rPr>
                <w:sz w:val="18"/>
              </w:rPr>
              <w:t>employment</w:t>
            </w:r>
            <w:r>
              <w:rPr>
                <w:spacing w:val="-1"/>
                <w:sz w:val="18"/>
              </w:rPr>
              <w:t xml:space="preserve"> </w:t>
            </w:r>
            <w:r>
              <w:rPr>
                <w:sz w:val="18"/>
              </w:rPr>
              <w:t>support</w:t>
            </w:r>
            <w:r>
              <w:rPr>
                <w:spacing w:val="-2"/>
                <w:sz w:val="18"/>
              </w:rPr>
              <w:t xml:space="preserve"> </w:t>
            </w:r>
            <w:r>
              <w:rPr>
                <w:sz w:val="18"/>
              </w:rPr>
              <w:t>measures,</w:t>
            </w:r>
            <w:r>
              <w:rPr>
                <w:spacing w:val="-1"/>
                <w:sz w:val="18"/>
              </w:rPr>
              <w:t xml:space="preserve"> </w:t>
            </w:r>
            <w:r>
              <w:rPr>
                <w:sz w:val="18"/>
              </w:rPr>
              <w:t>traineeship support</w:t>
            </w:r>
            <w:r>
              <w:rPr>
                <w:spacing w:val="-1"/>
                <w:sz w:val="18"/>
              </w:rPr>
              <w:t xml:space="preserve"> </w:t>
            </w:r>
            <w:r>
              <w:rPr>
                <w:sz w:val="18"/>
              </w:rPr>
              <w:t>and</w:t>
            </w:r>
            <w:r>
              <w:rPr>
                <w:spacing w:val="1"/>
                <w:sz w:val="18"/>
              </w:rPr>
              <w:t xml:space="preserve"> </w:t>
            </w:r>
            <w:r>
              <w:rPr>
                <w:sz w:val="18"/>
              </w:rPr>
              <w:t>self-employment</w:t>
            </w:r>
            <w:r>
              <w:rPr>
                <w:spacing w:val="-1"/>
                <w:sz w:val="18"/>
              </w:rPr>
              <w:t xml:space="preserve"> </w:t>
            </w:r>
            <w:r>
              <w:rPr>
                <w:sz w:val="18"/>
              </w:rPr>
              <w:t>support.</w:t>
            </w:r>
          </w:p>
        </w:tc>
      </w:tr>
      <w:tr w:rsidR="00A56FE9">
        <w:trPr>
          <w:trHeight w:val="619"/>
        </w:trPr>
        <w:tc>
          <w:tcPr>
            <w:tcW w:w="2063" w:type="dxa"/>
            <w:vMerge/>
            <w:tcBorders>
              <w:top w:val="nil"/>
            </w:tcBorders>
            <w:shd w:val="clear" w:color="auto" w:fill="F1F1F1"/>
          </w:tcPr>
          <w:p w:rsidR="00A56FE9" w:rsidRDefault="00A56FE9">
            <w:pPr>
              <w:rPr>
                <w:sz w:val="2"/>
                <w:szCs w:val="2"/>
              </w:rPr>
            </w:pPr>
          </w:p>
        </w:tc>
        <w:tc>
          <w:tcPr>
            <w:tcW w:w="3470" w:type="dxa"/>
            <w:shd w:val="clear" w:color="auto" w:fill="C5EECE"/>
          </w:tcPr>
          <w:p w:rsidR="00A56FE9" w:rsidRDefault="00000000">
            <w:pPr>
              <w:pStyle w:val="TableParagraph"/>
              <w:spacing w:line="202" w:lineRule="exact"/>
              <w:ind w:left="101"/>
              <w:rPr>
                <w:sz w:val="18"/>
              </w:rPr>
            </w:pPr>
            <w:r>
              <w:rPr>
                <w:sz w:val="18"/>
              </w:rPr>
              <w:t>Inclusion</w:t>
            </w:r>
            <w:r>
              <w:rPr>
                <w:spacing w:val="-3"/>
                <w:sz w:val="18"/>
              </w:rPr>
              <w:t xml:space="preserve"> </w:t>
            </w:r>
            <w:r>
              <w:rPr>
                <w:sz w:val="18"/>
              </w:rPr>
              <w:t>of</w:t>
            </w:r>
            <w:r>
              <w:rPr>
                <w:spacing w:val="-4"/>
                <w:sz w:val="18"/>
              </w:rPr>
              <w:t xml:space="preserve"> </w:t>
            </w:r>
            <w:r>
              <w:rPr>
                <w:sz w:val="18"/>
              </w:rPr>
              <w:t>the</w:t>
            </w:r>
            <w:r>
              <w:rPr>
                <w:spacing w:val="-2"/>
                <w:sz w:val="18"/>
              </w:rPr>
              <w:t xml:space="preserve"> </w:t>
            </w:r>
            <w:r>
              <w:rPr>
                <w:sz w:val="18"/>
              </w:rPr>
              <w:t>unemployed and</w:t>
            </w:r>
            <w:r>
              <w:rPr>
                <w:spacing w:val="-3"/>
                <w:sz w:val="18"/>
              </w:rPr>
              <w:t xml:space="preserve"> </w:t>
            </w:r>
            <w:r>
              <w:rPr>
                <w:sz w:val="18"/>
              </w:rPr>
              <w:t>employed</w:t>
            </w:r>
          </w:p>
          <w:p w:rsidR="00A56FE9" w:rsidRDefault="00000000">
            <w:pPr>
              <w:pStyle w:val="TableParagraph"/>
              <w:spacing w:line="206" w:lineRule="exact"/>
              <w:ind w:left="101" w:right="232"/>
              <w:rPr>
                <w:sz w:val="18"/>
              </w:rPr>
            </w:pPr>
            <w:r>
              <w:rPr>
                <w:sz w:val="18"/>
              </w:rPr>
              <w:t>in</w:t>
            </w:r>
            <w:r>
              <w:rPr>
                <w:spacing w:val="-1"/>
                <w:sz w:val="18"/>
              </w:rPr>
              <w:t xml:space="preserve"> </w:t>
            </w:r>
            <w:r>
              <w:rPr>
                <w:sz w:val="18"/>
              </w:rPr>
              <w:t>education</w:t>
            </w:r>
            <w:r>
              <w:rPr>
                <w:spacing w:val="-3"/>
                <w:sz w:val="18"/>
              </w:rPr>
              <w:t xml:space="preserve"> </w:t>
            </w:r>
            <w:r>
              <w:rPr>
                <w:sz w:val="18"/>
              </w:rPr>
              <w:t>for</w:t>
            </w:r>
            <w:r>
              <w:rPr>
                <w:spacing w:val="-2"/>
                <w:sz w:val="18"/>
              </w:rPr>
              <w:t xml:space="preserve"> </w:t>
            </w:r>
            <w:r>
              <w:rPr>
                <w:sz w:val="18"/>
              </w:rPr>
              <w:t>acquiring</w:t>
            </w:r>
            <w:r>
              <w:rPr>
                <w:spacing w:val="-2"/>
                <w:sz w:val="18"/>
              </w:rPr>
              <w:t xml:space="preserve"> </w:t>
            </w:r>
            <w:r>
              <w:rPr>
                <w:sz w:val="18"/>
              </w:rPr>
              <w:t>green</w:t>
            </w:r>
            <w:r>
              <w:rPr>
                <w:spacing w:val="-1"/>
                <w:sz w:val="18"/>
              </w:rPr>
              <w:t xml:space="preserve"> </w:t>
            </w:r>
            <w:r>
              <w:rPr>
                <w:sz w:val="18"/>
              </w:rPr>
              <w:t>and</w:t>
            </w:r>
            <w:r>
              <w:rPr>
                <w:spacing w:val="-3"/>
                <w:sz w:val="18"/>
              </w:rPr>
              <w:t xml:space="preserve"> </w:t>
            </w:r>
            <w:r>
              <w:rPr>
                <w:sz w:val="18"/>
              </w:rPr>
              <w:t>digital</w:t>
            </w:r>
            <w:r>
              <w:rPr>
                <w:spacing w:val="-42"/>
                <w:sz w:val="18"/>
              </w:rPr>
              <w:t xml:space="preserve"> </w:t>
            </w:r>
            <w:r>
              <w:rPr>
                <w:sz w:val="18"/>
              </w:rPr>
              <w:t>skills</w:t>
            </w:r>
          </w:p>
        </w:tc>
        <w:tc>
          <w:tcPr>
            <w:tcW w:w="8927" w:type="dxa"/>
            <w:shd w:val="clear" w:color="auto" w:fill="C5EECE"/>
          </w:tcPr>
          <w:p w:rsidR="00A56FE9" w:rsidRDefault="00000000">
            <w:pPr>
              <w:pStyle w:val="TableParagraph"/>
              <w:ind w:left="105" w:right="142"/>
              <w:rPr>
                <w:sz w:val="18"/>
              </w:rPr>
            </w:pPr>
            <w:r>
              <w:rPr>
                <w:sz w:val="18"/>
              </w:rPr>
              <w:t>From</w:t>
            </w:r>
            <w:r>
              <w:rPr>
                <w:spacing w:val="-5"/>
                <w:sz w:val="18"/>
              </w:rPr>
              <w:t xml:space="preserve"> </w:t>
            </w:r>
            <w:r>
              <w:rPr>
                <w:sz w:val="18"/>
              </w:rPr>
              <w:t>2022,</w:t>
            </w:r>
            <w:r>
              <w:rPr>
                <w:spacing w:val="-1"/>
                <w:sz w:val="18"/>
              </w:rPr>
              <w:t xml:space="preserve"> </w:t>
            </w:r>
            <w:r>
              <w:rPr>
                <w:sz w:val="18"/>
              </w:rPr>
              <w:t>it</w:t>
            </w:r>
            <w:r>
              <w:rPr>
                <w:spacing w:val="-1"/>
                <w:sz w:val="18"/>
              </w:rPr>
              <w:t xml:space="preserve"> </w:t>
            </w:r>
            <w:r>
              <w:rPr>
                <w:sz w:val="18"/>
              </w:rPr>
              <w:t>will</w:t>
            </w:r>
            <w:r>
              <w:rPr>
                <w:spacing w:val="-1"/>
                <w:sz w:val="18"/>
              </w:rPr>
              <w:t xml:space="preserve"> </w:t>
            </w:r>
            <w:r>
              <w:rPr>
                <w:sz w:val="18"/>
              </w:rPr>
              <w:t>be</w:t>
            </w:r>
            <w:r>
              <w:rPr>
                <w:spacing w:val="-3"/>
                <w:sz w:val="18"/>
              </w:rPr>
              <w:t xml:space="preserve"> </w:t>
            </w:r>
            <w:r>
              <w:rPr>
                <w:sz w:val="18"/>
              </w:rPr>
              <w:t>possible</w:t>
            </w:r>
            <w:r>
              <w:rPr>
                <w:spacing w:val="-1"/>
                <w:sz w:val="18"/>
              </w:rPr>
              <w:t xml:space="preserve"> </w:t>
            </w:r>
            <w:r>
              <w:rPr>
                <w:sz w:val="18"/>
              </w:rPr>
              <w:t>to</w:t>
            </w:r>
            <w:r>
              <w:rPr>
                <w:spacing w:val="-2"/>
                <w:sz w:val="18"/>
              </w:rPr>
              <w:t xml:space="preserve"> </w:t>
            </w:r>
            <w:r>
              <w:rPr>
                <w:sz w:val="18"/>
              </w:rPr>
              <w:t>use</w:t>
            </w:r>
            <w:r>
              <w:rPr>
                <w:spacing w:val="-2"/>
                <w:sz w:val="18"/>
              </w:rPr>
              <w:t xml:space="preserve"> </w:t>
            </w:r>
            <w:r>
              <w:rPr>
                <w:sz w:val="18"/>
              </w:rPr>
              <w:t>education</w:t>
            </w:r>
            <w:r>
              <w:rPr>
                <w:spacing w:val="-1"/>
                <w:sz w:val="18"/>
              </w:rPr>
              <w:t xml:space="preserve"> </w:t>
            </w:r>
            <w:r>
              <w:rPr>
                <w:sz w:val="18"/>
              </w:rPr>
              <w:t>vouchers</w:t>
            </w:r>
            <w:r>
              <w:rPr>
                <w:spacing w:val="-1"/>
                <w:sz w:val="18"/>
              </w:rPr>
              <w:t xml:space="preserve"> </w:t>
            </w:r>
            <w:r>
              <w:rPr>
                <w:sz w:val="18"/>
              </w:rPr>
              <w:t>in</w:t>
            </w:r>
            <w:r>
              <w:rPr>
                <w:spacing w:val="-2"/>
                <w:sz w:val="18"/>
              </w:rPr>
              <w:t xml:space="preserve"> </w:t>
            </w:r>
            <w:r>
              <w:rPr>
                <w:sz w:val="18"/>
              </w:rPr>
              <w:t>order</w:t>
            </w:r>
            <w:r>
              <w:rPr>
                <w:spacing w:val="-3"/>
                <w:sz w:val="18"/>
              </w:rPr>
              <w:t xml:space="preserve"> </w:t>
            </w:r>
            <w:r>
              <w:rPr>
                <w:sz w:val="18"/>
              </w:rPr>
              <w:t>to adapt</w:t>
            </w:r>
            <w:r>
              <w:rPr>
                <w:spacing w:val="-4"/>
                <w:sz w:val="18"/>
              </w:rPr>
              <w:t xml:space="preserve"> </w:t>
            </w:r>
            <w:r>
              <w:rPr>
                <w:sz w:val="18"/>
              </w:rPr>
              <w:t>the</w:t>
            </w:r>
            <w:r>
              <w:rPr>
                <w:spacing w:val="-4"/>
                <w:sz w:val="18"/>
              </w:rPr>
              <w:t xml:space="preserve"> </w:t>
            </w:r>
            <w:r>
              <w:rPr>
                <w:sz w:val="18"/>
              </w:rPr>
              <w:t>unemployed and employed</w:t>
            </w:r>
            <w:r>
              <w:rPr>
                <w:spacing w:val="-1"/>
                <w:sz w:val="18"/>
              </w:rPr>
              <w:t xml:space="preserve"> </w:t>
            </w:r>
            <w:r>
              <w:rPr>
                <w:sz w:val="18"/>
              </w:rPr>
              <w:t>to the</w:t>
            </w:r>
            <w:r>
              <w:rPr>
                <w:spacing w:val="-42"/>
                <w:sz w:val="18"/>
              </w:rPr>
              <w:t xml:space="preserve"> </w:t>
            </w:r>
            <w:r>
              <w:rPr>
                <w:sz w:val="18"/>
              </w:rPr>
              <w:t>green/digital</w:t>
            </w:r>
            <w:r>
              <w:rPr>
                <w:spacing w:val="-1"/>
                <w:sz w:val="18"/>
              </w:rPr>
              <w:t xml:space="preserve"> </w:t>
            </w:r>
            <w:r>
              <w:rPr>
                <w:sz w:val="18"/>
              </w:rPr>
              <w:t>transition</w:t>
            </w:r>
            <w:r>
              <w:rPr>
                <w:spacing w:val="-1"/>
                <w:sz w:val="18"/>
              </w:rPr>
              <w:t xml:space="preserve"> </w:t>
            </w:r>
            <w:r>
              <w:rPr>
                <w:sz w:val="18"/>
              </w:rPr>
              <w:t>of</w:t>
            </w:r>
            <w:r>
              <w:rPr>
                <w:spacing w:val="-2"/>
                <w:sz w:val="18"/>
              </w:rPr>
              <w:t xml:space="preserve"> </w:t>
            </w:r>
            <w:r>
              <w:rPr>
                <w:sz w:val="18"/>
              </w:rPr>
              <w:t>the</w:t>
            </w:r>
            <w:r>
              <w:rPr>
                <w:spacing w:val="-1"/>
                <w:sz w:val="18"/>
              </w:rPr>
              <w:t xml:space="preserve"> </w:t>
            </w:r>
            <w:r>
              <w:rPr>
                <w:sz w:val="18"/>
              </w:rPr>
              <w:t>economy.</w:t>
            </w:r>
          </w:p>
        </w:tc>
      </w:tr>
      <w:tr w:rsidR="00A56FE9">
        <w:trPr>
          <w:trHeight w:val="2070"/>
        </w:trPr>
        <w:tc>
          <w:tcPr>
            <w:tcW w:w="2063" w:type="dxa"/>
            <w:vMerge/>
            <w:tcBorders>
              <w:top w:val="nil"/>
            </w:tcBorders>
            <w:shd w:val="clear" w:color="auto" w:fill="F1F1F1"/>
          </w:tcPr>
          <w:p w:rsidR="00A56FE9" w:rsidRDefault="00A56FE9">
            <w:pPr>
              <w:rPr>
                <w:sz w:val="2"/>
                <w:szCs w:val="2"/>
              </w:rPr>
            </w:pPr>
          </w:p>
        </w:tc>
        <w:tc>
          <w:tcPr>
            <w:tcW w:w="3470" w:type="dxa"/>
            <w:shd w:val="clear" w:color="auto" w:fill="C5EECE"/>
          </w:tcPr>
          <w:p w:rsidR="00A56FE9" w:rsidRDefault="00000000">
            <w:pPr>
              <w:pStyle w:val="TableParagraph"/>
              <w:ind w:left="101" w:right="220"/>
              <w:rPr>
                <w:sz w:val="18"/>
              </w:rPr>
            </w:pPr>
            <w:r>
              <w:rPr>
                <w:sz w:val="18"/>
              </w:rPr>
              <w:t>Adoption of the Act on Suppression of</w:t>
            </w:r>
            <w:r>
              <w:rPr>
                <w:spacing w:val="1"/>
                <w:sz w:val="18"/>
              </w:rPr>
              <w:t xml:space="preserve"> </w:t>
            </w:r>
            <w:r>
              <w:rPr>
                <w:sz w:val="18"/>
              </w:rPr>
              <w:t>Undeclared</w:t>
            </w:r>
            <w:r>
              <w:rPr>
                <w:spacing w:val="-1"/>
                <w:sz w:val="18"/>
              </w:rPr>
              <w:t xml:space="preserve"> </w:t>
            </w:r>
            <w:r>
              <w:rPr>
                <w:sz w:val="18"/>
              </w:rPr>
              <w:t>Work</w:t>
            </w:r>
            <w:r>
              <w:rPr>
                <w:spacing w:val="-2"/>
                <w:sz w:val="18"/>
              </w:rPr>
              <w:t xml:space="preserve"> </w:t>
            </w:r>
            <w:r>
              <w:rPr>
                <w:sz w:val="18"/>
              </w:rPr>
              <w:t>and the</w:t>
            </w:r>
            <w:r>
              <w:rPr>
                <w:spacing w:val="-2"/>
                <w:sz w:val="18"/>
              </w:rPr>
              <w:t xml:space="preserve"> </w:t>
            </w:r>
            <w:r>
              <w:rPr>
                <w:sz w:val="18"/>
              </w:rPr>
              <w:t>new</w:t>
            </w:r>
            <w:r>
              <w:rPr>
                <w:spacing w:val="-4"/>
                <w:sz w:val="18"/>
              </w:rPr>
              <w:t xml:space="preserve"> </w:t>
            </w:r>
            <w:r>
              <w:rPr>
                <w:sz w:val="18"/>
              </w:rPr>
              <w:t>Labour</w:t>
            </w:r>
            <w:r>
              <w:rPr>
                <w:spacing w:val="-1"/>
                <w:sz w:val="18"/>
              </w:rPr>
              <w:t xml:space="preserve"> </w:t>
            </w:r>
            <w:r>
              <w:rPr>
                <w:sz w:val="18"/>
              </w:rPr>
              <w:t>Law</w:t>
            </w:r>
          </w:p>
          <w:p w:rsidR="00A56FE9" w:rsidRDefault="00A56FE9">
            <w:pPr>
              <w:pStyle w:val="TableParagraph"/>
              <w:spacing w:before="7"/>
              <w:rPr>
                <w:b/>
                <w:sz w:val="17"/>
              </w:rPr>
            </w:pPr>
          </w:p>
          <w:p w:rsidR="00A56FE9" w:rsidRDefault="00000000">
            <w:pPr>
              <w:pStyle w:val="TableParagraph"/>
              <w:ind w:left="101"/>
              <w:rPr>
                <w:i/>
                <w:sz w:val="18"/>
              </w:rPr>
            </w:pPr>
            <w:r>
              <w:rPr>
                <w:i/>
                <w:sz w:val="18"/>
              </w:rPr>
              <w:t>Also</w:t>
            </w:r>
            <w:r>
              <w:rPr>
                <w:i/>
                <w:spacing w:val="-1"/>
                <w:sz w:val="18"/>
              </w:rPr>
              <w:t xml:space="preserve"> </w:t>
            </w:r>
            <w:r>
              <w:rPr>
                <w:i/>
                <w:sz w:val="18"/>
              </w:rPr>
              <w:t>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10</w:t>
            </w:r>
          </w:p>
        </w:tc>
        <w:tc>
          <w:tcPr>
            <w:tcW w:w="8927" w:type="dxa"/>
            <w:shd w:val="clear" w:color="auto" w:fill="C5EECE"/>
          </w:tcPr>
          <w:p w:rsidR="00A56FE9" w:rsidRDefault="00000000">
            <w:pPr>
              <w:pStyle w:val="TableParagraph"/>
              <w:ind w:left="105" w:right="124"/>
              <w:rPr>
                <w:sz w:val="18"/>
              </w:rPr>
            </w:pPr>
            <w:r>
              <w:rPr>
                <w:sz w:val="18"/>
              </w:rPr>
              <w:t>The amended or new Labour Act shall regulate outplace work and platform work, limit the number of successive</w:t>
            </w:r>
            <w:r>
              <w:rPr>
                <w:spacing w:val="1"/>
                <w:sz w:val="18"/>
              </w:rPr>
              <w:t xml:space="preserve"> </w:t>
            </w:r>
            <w:r>
              <w:rPr>
                <w:sz w:val="18"/>
              </w:rPr>
              <w:t>temporary contracts, strengthen the right to work for other employers and revise the 65-year retirement clause, change</w:t>
            </w:r>
            <w:r>
              <w:rPr>
                <w:spacing w:val="1"/>
                <w:sz w:val="18"/>
              </w:rPr>
              <w:t xml:space="preserve"> </w:t>
            </w:r>
            <w:r>
              <w:rPr>
                <w:sz w:val="18"/>
              </w:rPr>
              <w:t>the provisions on financing of sick leave and severance for workers at retirement age, encourage additional employment</w:t>
            </w:r>
            <w:r>
              <w:rPr>
                <w:spacing w:val="-42"/>
                <w:sz w:val="18"/>
              </w:rPr>
              <w:t xml:space="preserve"> </w:t>
            </w:r>
            <w:r>
              <w:rPr>
                <w:sz w:val="18"/>
              </w:rPr>
              <w:t>and part-time employment, redefine the provisions on wages so that their determination is transparent and predictable,</w:t>
            </w:r>
            <w:r>
              <w:rPr>
                <w:spacing w:val="1"/>
                <w:sz w:val="18"/>
              </w:rPr>
              <w:t xml:space="preserve"> </w:t>
            </w:r>
            <w:r>
              <w:rPr>
                <w:sz w:val="18"/>
              </w:rPr>
              <w:t>respecting the autonomy of the social partners, and include provisions to allow flexibility in working time and place of</w:t>
            </w:r>
            <w:r>
              <w:rPr>
                <w:spacing w:val="1"/>
                <w:sz w:val="18"/>
              </w:rPr>
              <w:t xml:space="preserve"> </w:t>
            </w:r>
            <w:r>
              <w:rPr>
                <w:sz w:val="18"/>
              </w:rPr>
              <w:t>work and reduce the gender pay gap. Alignment of the new Act with the EU Directive on work-life balance and the EU</w:t>
            </w:r>
            <w:r>
              <w:rPr>
                <w:spacing w:val="1"/>
                <w:sz w:val="18"/>
              </w:rPr>
              <w:t xml:space="preserve"> </w:t>
            </w:r>
            <w:r>
              <w:rPr>
                <w:sz w:val="18"/>
              </w:rPr>
              <w:t>Directive</w:t>
            </w:r>
            <w:r>
              <w:rPr>
                <w:spacing w:val="-3"/>
                <w:sz w:val="18"/>
              </w:rPr>
              <w:t xml:space="preserve"> </w:t>
            </w:r>
            <w:r>
              <w:rPr>
                <w:sz w:val="18"/>
              </w:rPr>
              <w:t>on</w:t>
            </w:r>
            <w:r>
              <w:rPr>
                <w:spacing w:val="-1"/>
                <w:sz w:val="18"/>
              </w:rPr>
              <w:t xml:space="preserve"> </w:t>
            </w:r>
            <w:r>
              <w:rPr>
                <w:sz w:val="18"/>
              </w:rPr>
              <w:t>Transparent</w:t>
            </w:r>
            <w:r>
              <w:rPr>
                <w:spacing w:val="-2"/>
                <w:sz w:val="18"/>
              </w:rPr>
              <w:t xml:space="preserve"> </w:t>
            </w:r>
            <w:r>
              <w:rPr>
                <w:sz w:val="18"/>
              </w:rPr>
              <w:t>and</w:t>
            </w:r>
            <w:r>
              <w:rPr>
                <w:spacing w:val="-2"/>
                <w:sz w:val="18"/>
              </w:rPr>
              <w:t xml:space="preserve"> </w:t>
            </w:r>
            <w:r>
              <w:rPr>
                <w:sz w:val="18"/>
              </w:rPr>
              <w:t>Predictable</w:t>
            </w:r>
            <w:r>
              <w:rPr>
                <w:spacing w:val="-2"/>
                <w:sz w:val="18"/>
              </w:rPr>
              <w:t xml:space="preserve"> </w:t>
            </w:r>
            <w:r>
              <w:rPr>
                <w:sz w:val="18"/>
              </w:rPr>
              <w:t>Working</w:t>
            </w:r>
            <w:r>
              <w:rPr>
                <w:spacing w:val="-3"/>
                <w:sz w:val="18"/>
              </w:rPr>
              <w:t xml:space="preserve"> </w:t>
            </w:r>
            <w:r>
              <w:rPr>
                <w:sz w:val="18"/>
              </w:rPr>
              <w:t>Conditions</w:t>
            </w:r>
            <w:r>
              <w:rPr>
                <w:spacing w:val="-2"/>
                <w:sz w:val="18"/>
              </w:rPr>
              <w:t xml:space="preserve"> </w:t>
            </w:r>
            <w:r>
              <w:rPr>
                <w:sz w:val="18"/>
              </w:rPr>
              <w:t>will</w:t>
            </w:r>
            <w:r>
              <w:rPr>
                <w:spacing w:val="-3"/>
                <w:sz w:val="18"/>
              </w:rPr>
              <w:t xml:space="preserve"> </w:t>
            </w:r>
            <w:r>
              <w:rPr>
                <w:sz w:val="18"/>
              </w:rPr>
              <w:t>increase</w:t>
            </w:r>
            <w:r>
              <w:rPr>
                <w:spacing w:val="-3"/>
                <w:sz w:val="18"/>
              </w:rPr>
              <w:t xml:space="preserve"> </w:t>
            </w:r>
            <w:r>
              <w:rPr>
                <w:sz w:val="18"/>
              </w:rPr>
              <w:t>women's</w:t>
            </w:r>
            <w:r>
              <w:rPr>
                <w:spacing w:val="-2"/>
                <w:sz w:val="18"/>
              </w:rPr>
              <w:t xml:space="preserve"> </w:t>
            </w:r>
            <w:r>
              <w:rPr>
                <w:sz w:val="18"/>
              </w:rPr>
              <w:t>employment</w:t>
            </w:r>
            <w:r>
              <w:rPr>
                <w:spacing w:val="-1"/>
                <w:sz w:val="18"/>
              </w:rPr>
              <w:t xml:space="preserve"> </w:t>
            </w:r>
            <w:r>
              <w:rPr>
                <w:sz w:val="18"/>
              </w:rPr>
              <w:t>and</w:t>
            </w:r>
            <w:r>
              <w:rPr>
                <w:spacing w:val="-1"/>
                <w:sz w:val="18"/>
              </w:rPr>
              <w:t xml:space="preserve"> </w:t>
            </w:r>
            <w:r>
              <w:rPr>
                <w:sz w:val="18"/>
              </w:rPr>
              <w:t>reduce</w:t>
            </w:r>
            <w:r>
              <w:rPr>
                <w:spacing w:val="-3"/>
                <w:sz w:val="18"/>
              </w:rPr>
              <w:t xml:space="preserve"> </w:t>
            </w:r>
            <w:r>
              <w:rPr>
                <w:sz w:val="18"/>
              </w:rPr>
              <w:t>the</w:t>
            </w:r>
            <w:r>
              <w:rPr>
                <w:spacing w:val="-3"/>
                <w:sz w:val="18"/>
              </w:rPr>
              <w:t xml:space="preserve"> </w:t>
            </w:r>
            <w:r>
              <w:rPr>
                <w:sz w:val="18"/>
              </w:rPr>
              <w:t>gender</w:t>
            </w:r>
            <w:r>
              <w:rPr>
                <w:spacing w:val="-42"/>
                <w:sz w:val="18"/>
              </w:rPr>
              <w:t xml:space="preserve"> </w:t>
            </w:r>
            <w:r>
              <w:rPr>
                <w:sz w:val="18"/>
              </w:rPr>
              <w:t>gap, as well as job stability and information on working conditions. The new or amended Act on Suppressing</w:t>
            </w:r>
            <w:r>
              <w:rPr>
                <w:spacing w:val="1"/>
                <w:sz w:val="18"/>
              </w:rPr>
              <w:t xml:space="preserve"> </w:t>
            </w:r>
            <w:r>
              <w:rPr>
                <w:sz w:val="18"/>
              </w:rPr>
              <w:t>Undeclared</w:t>
            </w:r>
            <w:r>
              <w:rPr>
                <w:spacing w:val="-1"/>
                <w:sz w:val="18"/>
              </w:rPr>
              <w:t xml:space="preserve"> </w:t>
            </w:r>
            <w:r>
              <w:rPr>
                <w:sz w:val="18"/>
              </w:rPr>
              <w:t>Work</w:t>
            </w:r>
            <w:r>
              <w:rPr>
                <w:spacing w:val="-2"/>
                <w:sz w:val="18"/>
              </w:rPr>
              <w:t xml:space="preserve"> </w:t>
            </w:r>
            <w:r>
              <w:rPr>
                <w:sz w:val="18"/>
              </w:rPr>
              <w:t>shall</w:t>
            </w:r>
            <w:r>
              <w:rPr>
                <w:spacing w:val="-1"/>
                <w:sz w:val="18"/>
              </w:rPr>
              <w:t xml:space="preserve"> </w:t>
            </w:r>
            <w:r>
              <w:rPr>
                <w:sz w:val="18"/>
              </w:rPr>
              <w:t>define</w:t>
            </w:r>
            <w:r>
              <w:rPr>
                <w:spacing w:val="-3"/>
                <w:sz w:val="18"/>
              </w:rPr>
              <w:t xml:space="preserve"> </w:t>
            </w:r>
            <w:r>
              <w:rPr>
                <w:sz w:val="18"/>
              </w:rPr>
              <w:t>undeclared work</w:t>
            </w:r>
            <w:r>
              <w:rPr>
                <w:spacing w:val="-2"/>
                <w:sz w:val="18"/>
              </w:rPr>
              <w:t xml:space="preserve"> </w:t>
            </w:r>
            <w:r>
              <w:rPr>
                <w:sz w:val="18"/>
              </w:rPr>
              <w:t>and</w:t>
            </w:r>
            <w:r>
              <w:rPr>
                <w:spacing w:val="-1"/>
                <w:sz w:val="18"/>
              </w:rPr>
              <w:t xml:space="preserve"> </w:t>
            </w:r>
            <w:r>
              <w:rPr>
                <w:sz w:val="18"/>
              </w:rPr>
              <w:t>all</w:t>
            </w:r>
            <w:r>
              <w:rPr>
                <w:spacing w:val="-1"/>
                <w:sz w:val="18"/>
              </w:rPr>
              <w:t xml:space="preserve"> </w:t>
            </w:r>
            <w:r>
              <w:rPr>
                <w:sz w:val="18"/>
              </w:rPr>
              <w:t>its</w:t>
            </w:r>
            <w:r>
              <w:rPr>
                <w:spacing w:val="-1"/>
                <w:sz w:val="18"/>
              </w:rPr>
              <w:t xml:space="preserve"> </w:t>
            </w:r>
            <w:r>
              <w:rPr>
                <w:sz w:val="18"/>
              </w:rPr>
              <w:t>manifestations,</w:t>
            </w:r>
            <w:r>
              <w:rPr>
                <w:spacing w:val="-2"/>
                <w:sz w:val="18"/>
              </w:rPr>
              <w:t xml:space="preserve"> </w:t>
            </w:r>
            <w:r>
              <w:rPr>
                <w:sz w:val="18"/>
              </w:rPr>
              <w:t>strengthen inspections</w:t>
            </w:r>
            <w:r>
              <w:rPr>
                <w:spacing w:val="-1"/>
                <w:sz w:val="18"/>
              </w:rPr>
              <w:t xml:space="preserve"> </w:t>
            </w:r>
            <w:r>
              <w:rPr>
                <w:sz w:val="18"/>
              </w:rPr>
              <w:t>and</w:t>
            </w:r>
            <w:r>
              <w:rPr>
                <w:spacing w:val="-3"/>
                <w:sz w:val="18"/>
              </w:rPr>
              <w:t xml:space="preserve"> </w:t>
            </w:r>
            <w:r>
              <w:rPr>
                <w:sz w:val="18"/>
              </w:rPr>
              <w:t>laying</w:t>
            </w:r>
            <w:r>
              <w:rPr>
                <w:spacing w:val="-2"/>
                <w:sz w:val="18"/>
              </w:rPr>
              <w:t xml:space="preserve"> </w:t>
            </w:r>
            <w:r>
              <w:rPr>
                <w:sz w:val="18"/>
              </w:rPr>
              <w:t>down</w:t>
            </w:r>
          </w:p>
          <w:p w:rsidR="00A56FE9" w:rsidRDefault="00000000">
            <w:pPr>
              <w:pStyle w:val="TableParagraph"/>
              <w:spacing w:line="191" w:lineRule="exact"/>
              <w:ind w:left="105"/>
              <w:rPr>
                <w:sz w:val="18"/>
              </w:rPr>
            </w:pPr>
            <w:r>
              <w:rPr>
                <w:sz w:val="18"/>
              </w:rPr>
              <w:t>misdemeanour</w:t>
            </w:r>
            <w:r>
              <w:rPr>
                <w:spacing w:val="-2"/>
                <w:sz w:val="18"/>
              </w:rPr>
              <w:t xml:space="preserve"> </w:t>
            </w:r>
            <w:r>
              <w:rPr>
                <w:sz w:val="18"/>
              </w:rPr>
              <w:t>provisions,</w:t>
            </w:r>
            <w:r>
              <w:rPr>
                <w:spacing w:val="-3"/>
                <w:sz w:val="18"/>
              </w:rPr>
              <w:t xml:space="preserve"> </w:t>
            </w:r>
            <w:r>
              <w:rPr>
                <w:sz w:val="18"/>
              </w:rPr>
              <w:t>regulate</w:t>
            </w:r>
            <w:r>
              <w:rPr>
                <w:spacing w:val="-3"/>
                <w:sz w:val="18"/>
              </w:rPr>
              <w:t xml:space="preserve"> </w:t>
            </w:r>
            <w:r>
              <w:rPr>
                <w:sz w:val="18"/>
              </w:rPr>
              <w:t>the</w:t>
            </w:r>
            <w:r>
              <w:rPr>
                <w:spacing w:val="-2"/>
                <w:sz w:val="18"/>
              </w:rPr>
              <w:t xml:space="preserve"> </w:t>
            </w:r>
            <w:r>
              <w:rPr>
                <w:sz w:val="18"/>
              </w:rPr>
              <w:t>process</w:t>
            </w:r>
            <w:r>
              <w:rPr>
                <w:spacing w:val="-2"/>
                <w:sz w:val="18"/>
              </w:rPr>
              <w:t xml:space="preserve"> </w:t>
            </w:r>
            <w:r>
              <w:rPr>
                <w:sz w:val="18"/>
              </w:rPr>
              <w:t>of</w:t>
            </w:r>
            <w:r>
              <w:rPr>
                <w:spacing w:val="-4"/>
                <w:sz w:val="18"/>
              </w:rPr>
              <w:t xml:space="preserve"> </w:t>
            </w:r>
            <w:r>
              <w:rPr>
                <w:sz w:val="18"/>
              </w:rPr>
              <w:t>transferring workers</w:t>
            </w:r>
            <w:r>
              <w:rPr>
                <w:spacing w:val="-1"/>
                <w:sz w:val="18"/>
              </w:rPr>
              <w:t xml:space="preserve"> </w:t>
            </w:r>
            <w:r>
              <w:rPr>
                <w:sz w:val="18"/>
              </w:rPr>
              <w:t>from</w:t>
            </w:r>
            <w:r>
              <w:rPr>
                <w:spacing w:val="-5"/>
                <w:sz w:val="18"/>
              </w:rPr>
              <w:t xml:space="preserve"> </w:t>
            </w:r>
            <w:r>
              <w:rPr>
                <w:sz w:val="18"/>
              </w:rPr>
              <w:t>undeclared to</w:t>
            </w:r>
            <w:r>
              <w:rPr>
                <w:spacing w:val="-2"/>
                <w:sz w:val="18"/>
              </w:rPr>
              <w:t xml:space="preserve"> </w:t>
            </w:r>
            <w:r>
              <w:rPr>
                <w:sz w:val="18"/>
              </w:rPr>
              <w:t>declared</w:t>
            </w:r>
            <w:r>
              <w:rPr>
                <w:spacing w:val="-1"/>
                <w:sz w:val="18"/>
              </w:rPr>
              <w:t xml:space="preserve"> </w:t>
            </w:r>
            <w:r>
              <w:rPr>
                <w:sz w:val="18"/>
              </w:rPr>
              <w:t>work.</w:t>
            </w:r>
          </w:p>
        </w:tc>
      </w:tr>
      <w:tr w:rsidR="00A56FE9">
        <w:trPr>
          <w:trHeight w:val="828"/>
        </w:trPr>
        <w:tc>
          <w:tcPr>
            <w:tcW w:w="2063" w:type="dxa"/>
            <w:vMerge/>
            <w:tcBorders>
              <w:top w:val="nil"/>
            </w:tcBorders>
            <w:shd w:val="clear" w:color="auto" w:fill="F1F1F1"/>
          </w:tcPr>
          <w:p w:rsidR="00A56FE9" w:rsidRDefault="00A56FE9">
            <w:pPr>
              <w:rPr>
                <w:sz w:val="2"/>
                <w:szCs w:val="2"/>
              </w:rPr>
            </w:pPr>
          </w:p>
        </w:tc>
        <w:tc>
          <w:tcPr>
            <w:tcW w:w="3470" w:type="dxa"/>
          </w:tcPr>
          <w:p w:rsidR="00A56FE9" w:rsidRDefault="00000000">
            <w:pPr>
              <w:pStyle w:val="TableParagraph"/>
              <w:ind w:left="101" w:right="240"/>
              <w:rPr>
                <w:sz w:val="18"/>
              </w:rPr>
            </w:pPr>
            <w:r>
              <w:rPr>
                <w:sz w:val="18"/>
              </w:rPr>
              <w:t>Conducting</w:t>
            </w:r>
            <w:r>
              <w:rPr>
                <w:spacing w:val="-2"/>
                <w:sz w:val="18"/>
              </w:rPr>
              <w:t xml:space="preserve"> </w:t>
            </w:r>
            <w:r>
              <w:rPr>
                <w:sz w:val="18"/>
              </w:rPr>
              <w:t>the</w:t>
            </w:r>
            <w:r>
              <w:rPr>
                <w:spacing w:val="-1"/>
                <w:sz w:val="18"/>
              </w:rPr>
              <w:t xml:space="preserve"> </w:t>
            </w:r>
            <w:r>
              <w:rPr>
                <w:sz w:val="18"/>
              </w:rPr>
              <w:t>analysis of</w:t>
            </w:r>
            <w:r>
              <w:rPr>
                <w:spacing w:val="-3"/>
                <w:sz w:val="18"/>
              </w:rPr>
              <w:t xml:space="preserve"> </w:t>
            </w:r>
            <w:r>
              <w:rPr>
                <w:sz w:val="18"/>
              </w:rPr>
              <w:t>the</w:t>
            </w:r>
            <w:r>
              <w:rPr>
                <w:spacing w:val="-1"/>
                <w:sz w:val="18"/>
              </w:rPr>
              <w:t xml:space="preserve"> </w:t>
            </w:r>
            <w:r>
              <w:rPr>
                <w:sz w:val="18"/>
              </w:rPr>
              <w:t>adequacy</w:t>
            </w:r>
            <w:r>
              <w:rPr>
                <w:spacing w:val="-4"/>
                <w:sz w:val="18"/>
              </w:rPr>
              <w:t xml:space="preserve"> </w:t>
            </w:r>
            <w:r>
              <w:rPr>
                <w:sz w:val="18"/>
              </w:rPr>
              <w:t>of</w:t>
            </w:r>
            <w:r>
              <w:rPr>
                <w:spacing w:val="-42"/>
                <w:sz w:val="18"/>
              </w:rPr>
              <w:t xml:space="preserve"> </w:t>
            </w:r>
            <w:r>
              <w:rPr>
                <w:sz w:val="18"/>
              </w:rPr>
              <w:t>monetary assistance during a period of</w:t>
            </w:r>
            <w:r>
              <w:rPr>
                <w:spacing w:val="1"/>
                <w:sz w:val="18"/>
              </w:rPr>
              <w:t xml:space="preserve"> </w:t>
            </w:r>
            <w:r>
              <w:rPr>
                <w:sz w:val="18"/>
              </w:rPr>
              <w:t>unemployment</w:t>
            </w:r>
          </w:p>
        </w:tc>
        <w:tc>
          <w:tcPr>
            <w:tcW w:w="8927" w:type="dxa"/>
          </w:tcPr>
          <w:p w:rsidR="00A56FE9" w:rsidRDefault="00000000">
            <w:pPr>
              <w:pStyle w:val="TableParagraph"/>
              <w:ind w:left="105" w:right="142"/>
              <w:rPr>
                <w:sz w:val="18"/>
              </w:rPr>
            </w:pPr>
            <w:r>
              <w:rPr>
                <w:sz w:val="18"/>
              </w:rPr>
              <w:t>To provide adequate material and legal protection for the unemployed, an analysis of unemployment benefits will be</w:t>
            </w:r>
            <w:r>
              <w:rPr>
                <w:spacing w:val="1"/>
                <w:sz w:val="18"/>
              </w:rPr>
              <w:t xml:space="preserve"> </w:t>
            </w:r>
            <w:r>
              <w:rPr>
                <w:sz w:val="18"/>
              </w:rPr>
              <w:t>conducted.</w:t>
            </w:r>
            <w:r>
              <w:rPr>
                <w:spacing w:val="-2"/>
                <w:sz w:val="18"/>
              </w:rPr>
              <w:t xml:space="preserve"> </w:t>
            </w:r>
            <w:r>
              <w:rPr>
                <w:sz w:val="18"/>
              </w:rPr>
              <w:t>The</w:t>
            </w:r>
            <w:r>
              <w:rPr>
                <w:spacing w:val="-2"/>
                <w:sz w:val="18"/>
              </w:rPr>
              <w:t xml:space="preserve"> </w:t>
            </w:r>
            <w:r>
              <w:rPr>
                <w:sz w:val="18"/>
              </w:rPr>
              <w:t>content</w:t>
            </w:r>
            <w:r>
              <w:rPr>
                <w:spacing w:val="-3"/>
                <w:sz w:val="18"/>
              </w:rPr>
              <w:t xml:space="preserve"> </w:t>
            </w:r>
            <w:r>
              <w:rPr>
                <w:sz w:val="18"/>
              </w:rPr>
              <w:t>of</w:t>
            </w:r>
            <w:r>
              <w:rPr>
                <w:spacing w:val="-3"/>
                <w:sz w:val="18"/>
              </w:rPr>
              <w:t xml:space="preserve"> </w:t>
            </w:r>
            <w:r>
              <w:rPr>
                <w:sz w:val="18"/>
              </w:rPr>
              <w:t>the</w:t>
            </w:r>
            <w:r>
              <w:rPr>
                <w:spacing w:val="-2"/>
                <w:sz w:val="18"/>
              </w:rPr>
              <w:t xml:space="preserve"> </w:t>
            </w:r>
            <w:r>
              <w:rPr>
                <w:sz w:val="18"/>
              </w:rPr>
              <w:t>analysis</w:t>
            </w:r>
            <w:r>
              <w:rPr>
                <w:spacing w:val="-2"/>
                <w:sz w:val="18"/>
              </w:rPr>
              <w:t xml:space="preserve"> </w:t>
            </w:r>
            <w:r>
              <w:rPr>
                <w:sz w:val="18"/>
              </w:rPr>
              <w:t>will</w:t>
            </w:r>
            <w:r>
              <w:rPr>
                <w:spacing w:val="-1"/>
                <w:sz w:val="18"/>
              </w:rPr>
              <w:t xml:space="preserve"> </w:t>
            </w:r>
            <w:r>
              <w:rPr>
                <w:sz w:val="18"/>
              </w:rPr>
              <w:t>include</w:t>
            </w:r>
            <w:r>
              <w:rPr>
                <w:spacing w:val="-2"/>
                <w:sz w:val="18"/>
              </w:rPr>
              <w:t xml:space="preserve"> </w:t>
            </w:r>
            <w:r>
              <w:rPr>
                <w:sz w:val="18"/>
              </w:rPr>
              <w:t>the</w:t>
            </w:r>
            <w:r>
              <w:rPr>
                <w:spacing w:val="-2"/>
                <w:sz w:val="18"/>
              </w:rPr>
              <w:t xml:space="preserve"> </w:t>
            </w:r>
            <w:r>
              <w:rPr>
                <w:sz w:val="18"/>
              </w:rPr>
              <w:t>amount,</w:t>
            </w:r>
            <w:r>
              <w:rPr>
                <w:spacing w:val="-1"/>
                <w:sz w:val="18"/>
              </w:rPr>
              <w:t xml:space="preserve"> </w:t>
            </w:r>
            <w:r>
              <w:rPr>
                <w:sz w:val="18"/>
              </w:rPr>
              <w:t>duration</w:t>
            </w:r>
            <w:r>
              <w:rPr>
                <w:spacing w:val="-1"/>
                <w:sz w:val="18"/>
              </w:rPr>
              <w:t xml:space="preserve"> </w:t>
            </w:r>
            <w:r>
              <w:rPr>
                <w:sz w:val="18"/>
              </w:rPr>
              <w:t>and conditions</w:t>
            </w:r>
            <w:r>
              <w:rPr>
                <w:spacing w:val="-1"/>
                <w:sz w:val="18"/>
              </w:rPr>
              <w:t xml:space="preserve"> </w:t>
            </w:r>
            <w:r>
              <w:rPr>
                <w:sz w:val="18"/>
              </w:rPr>
              <w:t>for</w:t>
            </w:r>
            <w:r>
              <w:rPr>
                <w:spacing w:val="7"/>
                <w:sz w:val="18"/>
              </w:rPr>
              <w:t xml:space="preserve"> </w:t>
            </w:r>
            <w:r>
              <w:rPr>
                <w:sz w:val="18"/>
              </w:rPr>
              <w:t>exercising</w:t>
            </w:r>
            <w:r>
              <w:rPr>
                <w:spacing w:val="-3"/>
                <w:sz w:val="18"/>
              </w:rPr>
              <w:t xml:space="preserve"> </w:t>
            </w:r>
            <w:r>
              <w:rPr>
                <w:sz w:val="18"/>
              </w:rPr>
              <w:t>the</w:t>
            </w:r>
            <w:r>
              <w:rPr>
                <w:spacing w:val="-2"/>
                <w:sz w:val="18"/>
              </w:rPr>
              <w:t xml:space="preserve"> </w:t>
            </w:r>
            <w:r>
              <w:rPr>
                <w:sz w:val="18"/>
              </w:rPr>
              <w:t>right</w:t>
            </w:r>
            <w:r>
              <w:rPr>
                <w:spacing w:val="-1"/>
                <w:sz w:val="18"/>
              </w:rPr>
              <w:t xml:space="preserve"> </w:t>
            </w:r>
            <w:r>
              <w:rPr>
                <w:sz w:val="18"/>
              </w:rPr>
              <w:t>to</w:t>
            </w:r>
          </w:p>
          <w:p w:rsidR="00A56FE9" w:rsidRDefault="00000000">
            <w:pPr>
              <w:pStyle w:val="TableParagraph"/>
              <w:spacing w:line="206" w:lineRule="exact"/>
              <w:ind w:left="105" w:right="142"/>
              <w:rPr>
                <w:sz w:val="18"/>
              </w:rPr>
            </w:pPr>
            <w:r>
              <w:rPr>
                <w:sz w:val="18"/>
              </w:rPr>
              <w:t>monetary</w:t>
            </w:r>
            <w:r>
              <w:rPr>
                <w:spacing w:val="-6"/>
                <w:sz w:val="18"/>
              </w:rPr>
              <w:t xml:space="preserve"> </w:t>
            </w:r>
            <w:r>
              <w:rPr>
                <w:sz w:val="18"/>
              </w:rPr>
              <w:t>assistance</w:t>
            </w:r>
            <w:r>
              <w:rPr>
                <w:spacing w:val="-2"/>
                <w:sz w:val="18"/>
              </w:rPr>
              <w:t xml:space="preserve"> </w:t>
            </w:r>
            <w:r>
              <w:rPr>
                <w:sz w:val="18"/>
              </w:rPr>
              <w:t>at</w:t>
            </w:r>
            <w:r>
              <w:rPr>
                <w:spacing w:val="-1"/>
                <w:sz w:val="18"/>
              </w:rPr>
              <w:t xml:space="preserve"> </w:t>
            </w:r>
            <w:r>
              <w:rPr>
                <w:sz w:val="18"/>
              </w:rPr>
              <w:t>the</w:t>
            </w:r>
            <w:r>
              <w:rPr>
                <w:spacing w:val="-2"/>
                <w:sz w:val="18"/>
              </w:rPr>
              <w:t xml:space="preserve"> </w:t>
            </w:r>
            <w:r>
              <w:rPr>
                <w:sz w:val="18"/>
              </w:rPr>
              <w:t>level</w:t>
            </w:r>
            <w:r>
              <w:rPr>
                <w:spacing w:val="-1"/>
                <w:sz w:val="18"/>
              </w:rPr>
              <w:t xml:space="preserve"> </w:t>
            </w:r>
            <w:r>
              <w:rPr>
                <w:sz w:val="18"/>
              </w:rPr>
              <w:t>of</w:t>
            </w:r>
            <w:r>
              <w:rPr>
                <w:spacing w:val="-3"/>
                <w:sz w:val="18"/>
              </w:rPr>
              <w:t xml:space="preserve"> </w:t>
            </w:r>
            <w:r>
              <w:rPr>
                <w:sz w:val="18"/>
              </w:rPr>
              <w:t>comparable</w:t>
            </w:r>
            <w:r>
              <w:rPr>
                <w:spacing w:val="-1"/>
                <w:sz w:val="18"/>
              </w:rPr>
              <w:t xml:space="preserve"> </w:t>
            </w:r>
            <w:r>
              <w:rPr>
                <w:sz w:val="18"/>
              </w:rPr>
              <w:t>EU</w:t>
            </w:r>
            <w:r>
              <w:rPr>
                <w:spacing w:val="-1"/>
                <w:sz w:val="18"/>
              </w:rPr>
              <w:t xml:space="preserve"> </w:t>
            </w:r>
            <w:r>
              <w:rPr>
                <w:sz w:val="18"/>
              </w:rPr>
              <w:t>countries</w:t>
            </w:r>
            <w:r>
              <w:rPr>
                <w:spacing w:val="-1"/>
                <w:sz w:val="18"/>
              </w:rPr>
              <w:t xml:space="preserve"> </w:t>
            </w:r>
            <w:r>
              <w:rPr>
                <w:sz w:val="18"/>
              </w:rPr>
              <w:t>and</w:t>
            </w:r>
            <w:r>
              <w:rPr>
                <w:spacing w:val="-1"/>
                <w:sz w:val="18"/>
              </w:rPr>
              <w:t xml:space="preserve"> </w:t>
            </w:r>
            <w:r>
              <w:rPr>
                <w:sz w:val="18"/>
              </w:rPr>
              <w:t>the</w:t>
            </w:r>
            <w:r>
              <w:rPr>
                <w:spacing w:val="-2"/>
                <w:sz w:val="18"/>
              </w:rPr>
              <w:t xml:space="preserve"> </w:t>
            </w:r>
            <w:r>
              <w:rPr>
                <w:sz w:val="18"/>
              </w:rPr>
              <w:t>structure</w:t>
            </w:r>
            <w:r>
              <w:rPr>
                <w:spacing w:val="-2"/>
                <w:sz w:val="18"/>
              </w:rPr>
              <w:t xml:space="preserve"> </w:t>
            </w:r>
            <w:r>
              <w:rPr>
                <w:sz w:val="18"/>
              </w:rPr>
              <w:t>of</w:t>
            </w:r>
            <w:r>
              <w:rPr>
                <w:spacing w:val="-3"/>
                <w:sz w:val="18"/>
              </w:rPr>
              <w:t xml:space="preserve"> </w:t>
            </w:r>
            <w:r>
              <w:rPr>
                <w:sz w:val="18"/>
              </w:rPr>
              <w:t>beneficiaries</w:t>
            </w:r>
            <w:r>
              <w:rPr>
                <w:spacing w:val="-2"/>
                <w:sz w:val="18"/>
              </w:rPr>
              <w:t xml:space="preserve"> </w:t>
            </w:r>
            <w:r>
              <w:rPr>
                <w:sz w:val="18"/>
              </w:rPr>
              <w:t>of</w:t>
            </w:r>
            <w:r>
              <w:rPr>
                <w:spacing w:val="-1"/>
                <w:sz w:val="18"/>
              </w:rPr>
              <w:t xml:space="preserve"> </w:t>
            </w:r>
            <w:r>
              <w:rPr>
                <w:sz w:val="18"/>
              </w:rPr>
              <w:t>monetary</w:t>
            </w:r>
            <w:r>
              <w:rPr>
                <w:spacing w:val="-5"/>
                <w:sz w:val="18"/>
              </w:rPr>
              <w:t xml:space="preserve"> </w:t>
            </w:r>
            <w:r>
              <w:rPr>
                <w:sz w:val="18"/>
              </w:rPr>
              <w:t>assistance.</w:t>
            </w:r>
            <w:r>
              <w:rPr>
                <w:spacing w:val="-42"/>
                <w:sz w:val="18"/>
              </w:rPr>
              <w:t xml:space="preserve"> </w:t>
            </w:r>
            <w:r>
              <w:rPr>
                <w:sz w:val="18"/>
              </w:rPr>
              <w:t>Based on</w:t>
            </w:r>
            <w:r>
              <w:rPr>
                <w:spacing w:val="1"/>
                <w:sz w:val="18"/>
              </w:rPr>
              <w:t xml:space="preserve"> </w:t>
            </w:r>
            <w:r>
              <w:rPr>
                <w:sz w:val="18"/>
              </w:rPr>
              <w:t>the</w:t>
            </w:r>
            <w:r>
              <w:rPr>
                <w:spacing w:val="-1"/>
                <w:sz w:val="18"/>
              </w:rPr>
              <w:t xml:space="preserve"> </w:t>
            </w:r>
            <w:r>
              <w:rPr>
                <w:sz w:val="18"/>
              </w:rPr>
              <w:t>results</w:t>
            </w:r>
            <w:r>
              <w:rPr>
                <w:spacing w:val="-4"/>
                <w:sz w:val="18"/>
              </w:rPr>
              <w:t xml:space="preserve"> </w:t>
            </w:r>
            <w:r>
              <w:rPr>
                <w:sz w:val="18"/>
              </w:rPr>
              <w:t>of</w:t>
            </w:r>
            <w:r>
              <w:rPr>
                <w:spacing w:val="-2"/>
                <w:sz w:val="18"/>
              </w:rPr>
              <w:t xml:space="preserve"> </w:t>
            </w:r>
            <w:r>
              <w:rPr>
                <w:sz w:val="18"/>
              </w:rPr>
              <w:t>the</w:t>
            </w:r>
            <w:r>
              <w:rPr>
                <w:spacing w:val="-1"/>
                <w:sz w:val="18"/>
              </w:rPr>
              <w:t xml:space="preserve"> </w:t>
            </w:r>
            <w:r>
              <w:rPr>
                <w:sz w:val="18"/>
              </w:rPr>
              <w:t>analysis, appropriate</w:t>
            </w:r>
            <w:r>
              <w:rPr>
                <w:spacing w:val="-2"/>
                <w:sz w:val="18"/>
              </w:rPr>
              <w:t xml:space="preserve"> </w:t>
            </w:r>
            <w:r>
              <w:rPr>
                <w:sz w:val="18"/>
              </w:rPr>
              <w:t>legislative</w:t>
            </w:r>
            <w:r>
              <w:rPr>
                <w:spacing w:val="-1"/>
                <w:sz w:val="18"/>
              </w:rPr>
              <w:t xml:space="preserve"> </w:t>
            </w:r>
            <w:r>
              <w:rPr>
                <w:sz w:val="18"/>
              </w:rPr>
              <w:t>changes will be</w:t>
            </w:r>
            <w:r>
              <w:rPr>
                <w:spacing w:val="-2"/>
                <w:sz w:val="18"/>
              </w:rPr>
              <w:t xml:space="preserve"> </w:t>
            </w:r>
            <w:r>
              <w:rPr>
                <w:sz w:val="18"/>
              </w:rPr>
              <w:t>made.</w:t>
            </w:r>
          </w:p>
        </w:tc>
      </w:tr>
      <w:tr w:rsidR="00A56FE9">
        <w:trPr>
          <w:trHeight w:val="829"/>
        </w:trPr>
        <w:tc>
          <w:tcPr>
            <w:tcW w:w="2063" w:type="dxa"/>
            <w:shd w:val="clear" w:color="auto" w:fill="F1F1F1"/>
          </w:tcPr>
          <w:p w:rsidR="00A56FE9" w:rsidRDefault="00000000">
            <w:pPr>
              <w:pStyle w:val="TableParagraph"/>
              <w:ind w:left="105" w:right="606"/>
              <w:rPr>
                <w:sz w:val="20"/>
              </w:rPr>
            </w:pPr>
            <w:r>
              <w:rPr>
                <w:b/>
                <w:sz w:val="20"/>
              </w:rPr>
              <w:t>9.</w:t>
            </w:r>
            <w:r>
              <w:rPr>
                <w:b/>
                <w:spacing w:val="-8"/>
                <w:sz w:val="20"/>
              </w:rPr>
              <w:t xml:space="preserve"> </w:t>
            </w:r>
            <w:r>
              <w:rPr>
                <w:sz w:val="20"/>
              </w:rPr>
              <w:t>Build</w:t>
            </w:r>
            <w:r>
              <w:rPr>
                <w:spacing w:val="-9"/>
                <w:sz w:val="20"/>
              </w:rPr>
              <w:t xml:space="preserve"> </w:t>
            </w:r>
            <w:r>
              <w:rPr>
                <w:sz w:val="20"/>
              </w:rPr>
              <w:t>resilient</w:t>
            </w:r>
            <w:r>
              <w:rPr>
                <w:spacing w:val="-47"/>
                <w:sz w:val="20"/>
              </w:rPr>
              <w:t xml:space="preserve"> </w:t>
            </w:r>
            <w:r>
              <w:rPr>
                <w:sz w:val="20"/>
              </w:rPr>
              <w:t>infrastructure,</w:t>
            </w:r>
          </w:p>
        </w:tc>
        <w:tc>
          <w:tcPr>
            <w:tcW w:w="3470" w:type="dxa"/>
            <w:shd w:val="clear" w:color="auto" w:fill="C5EECE"/>
          </w:tcPr>
          <w:p w:rsidR="00A56FE9" w:rsidRDefault="00000000">
            <w:pPr>
              <w:pStyle w:val="TableParagraph"/>
              <w:spacing w:line="242" w:lineRule="auto"/>
              <w:ind w:left="101" w:right="312"/>
              <w:rPr>
                <w:sz w:val="18"/>
              </w:rPr>
            </w:pPr>
            <w:r>
              <w:rPr>
                <w:sz w:val="18"/>
              </w:rPr>
              <w:t>The</w:t>
            </w:r>
            <w:r>
              <w:rPr>
                <w:spacing w:val="-3"/>
                <w:sz w:val="18"/>
              </w:rPr>
              <w:t xml:space="preserve"> </w:t>
            </w:r>
            <w:r>
              <w:rPr>
                <w:sz w:val="18"/>
              </w:rPr>
              <w:t>National</w:t>
            </w:r>
            <w:r>
              <w:rPr>
                <w:spacing w:val="-3"/>
                <w:sz w:val="18"/>
              </w:rPr>
              <w:t xml:space="preserve"> </w:t>
            </w:r>
            <w:r>
              <w:rPr>
                <w:sz w:val="18"/>
              </w:rPr>
              <w:t>Plan</w:t>
            </w:r>
            <w:r>
              <w:rPr>
                <w:spacing w:val="-3"/>
                <w:sz w:val="18"/>
              </w:rPr>
              <w:t xml:space="preserve"> </w:t>
            </w:r>
            <w:r>
              <w:rPr>
                <w:sz w:val="18"/>
              </w:rPr>
              <w:t>for</w:t>
            </w:r>
            <w:r>
              <w:rPr>
                <w:spacing w:val="-1"/>
                <w:sz w:val="18"/>
              </w:rPr>
              <w:t xml:space="preserve"> </w:t>
            </w:r>
            <w:r>
              <w:rPr>
                <w:sz w:val="18"/>
              </w:rPr>
              <w:t>the</w:t>
            </w:r>
            <w:r>
              <w:rPr>
                <w:spacing w:val="-2"/>
                <w:sz w:val="18"/>
              </w:rPr>
              <w:t xml:space="preserve"> </w:t>
            </w:r>
            <w:r>
              <w:rPr>
                <w:sz w:val="18"/>
              </w:rPr>
              <w:t>Development</w:t>
            </w:r>
            <w:r>
              <w:rPr>
                <w:spacing w:val="-1"/>
                <w:sz w:val="18"/>
              </w:rPr>
              <w:t xml:space="preserve"> </w:t>
            </w:r>
            <w:r>
              <w:rPr>
                <w:sz w:val="18"/>
              </w:rPr>
              <w:t>of</w:t>
            </w:r>
            <w:r>
              <w:rPr>
                <w:spacing w:val="-42"/>
                <w:sz w:val="18"/>
              </w:rPr>
              <w:t xml:space="preserve"> </w:t>
            </w:r>
            <w:r>
              <w:rPr>
                <w:sz w:val="18"/>
              </w:rPr>
              <w:t>Railway</w:t>
            </w:r>
            <w:r>
              <w:rPr>
                <w:spacing w:val="-2"/>
                <w:sz w:val="18"/>
              </w:rPr>
              <w:t xml:space="preserve"> </w:t>
            </w:r>
            <w:r>
              <w:rPr>
                <w:sz w:val="18"/>
              </w:rPr>
              <w:t>Infrastructure</w:t>
            </w:r>
            <w:r>
              <w:rPr>
                <w:spacing w:val="-2"/>
                <w:sz w:val="18"/>
              </w:rPr>
              <w:t xml:space="preserve"> </w:t>
            </w:r>
            <w:r>
              <w:rPr>
                <w:sz w:val="18"/>
              </w:rPr>
              <w:t>and</w:t>
            </w:r>
            <w:r>
              <w:rPr>
                <w:spacing w:val="-1"/>
                <w:sz w:val="18"/>
              </w:rPr>
              <w:t xml:space="preserve"> </w:t>
            </w:r>
            <w:r>
              <w:rPr>
                <w:sz w:val="18"/>
              </w:rPr>
              <w:t>the</w:t>
            </w:r>
            <w:r>
              <w:rPr>
                <w:spacing w:val="-2"/>
                <w:sz w:val="18"/>
              </w:rPr>
              <w:t xml:space="preserve"> </w:t>
            </w:r>
            <w:r>
              <w:rPr>
                <w:sz w:val="18"/>
              </w:rPr>
              <w:t>National</w:t>
            </w:r>
          </w:p>
        </w:tc>
        <w:tc>
          <w:tcPr>
            <w:tcW w:w="8927" w:type="dxa"/>
            <w:shd w:val="clear" w:color="auto" w:fill="C5EECE"/>
          </w:tcPr>
          <w:p w:rsidR="00A56FE9" w:rsidRDefault="00000000">
            <w:pPr>
              <w:pStyle w:val="TableParagraph"/>
              <w:spacing w:line="242" w:lineRule="auto"/>
              <w:ind w:left="105" w:right="179"/>
              <w:rPr>
                <w:sz w:val="18"/>
              </w:rPr>
            </w:pPr>
            <w:r>
              <w:rPr>
                <w:sz w:val="18"/>
              </w:rPr>
              <w:t>The</w:t>
            </w:r>
            <w:r>
              <w:rPr>
                <w:spacing w:val="-2"/>
                <w:sz w:val="18"/>
              </w:rPr>
              <w:t xml:space="preserve"> </w:t>
            </w:r>
            <w:r>
              <w:rPr>
                <w:sz w:val="18"/>
              </w:rPr>
              <w:t>National</w:t>
            </w:r>
            <w:r>
              <w:rPr>
                <w:spacing w:val="-3"/>
                <w:sz w:val="18"/>
              </w:rPr>
              <w:t xml:space="preserve"> </w:t>
            </w:r>
            <w:r>
              <w:rPr>
                <w:sz w:val="18"/>
              </w:rPr>
              <w:t>Plan</w:t>
            </w:r>
            <w:r>
              <w:rPr>
                <w:spacing w:val="-4"/>
                <w:sz w:val="18"/>
              </w:rPr>
              <w:t xml:space="preserve"> </w:t>
            </w:r>
            <w:r>
              <w:rPr>
                <w:sz w:val="18"/>
              </w:rPr>
              <w:t>for</w:t>
            </w:r>
            <w:r>
              <w:rPr>
                <w:spacing w:val="-1"/>
                <w:sz w:val="18"/>
              </w:rPr>
              <w:t xml:space="preserve"> </w:t>
            </w:r>
            <w:r>
              <w:rPr>
                <w:sz w:val="18"/>
              </w:rPr>
              <w:t>the</w:t>
            </w:r>
            <w:r>
              <w:rPr>
                <w:spacing w:val="-3"/>
                <w:sz w:val="18"/>
              </w:rPr>
              <w:t xml:space="preserve"> </w:t>
            </w:r>
            <w:r>
              <w:rPr>
                <w:sz w:val="18"/>
              </w:rPr>
              <w:t>Development</w:t>
            </w:r>
            <w:r>
              <w:rPr>
                <w:spacing w:val="-1"/>
                <w:sz w:val="18"/>
              </w:rPr>
              <w:t xml:space="preserve"> </w:t>
            </w:r>
            <w:r>
              <w:rPr>
                <w:sz w:val="18"/>
              </w:rPr>
              <w:t>of</w:t>
            </w:r>
            <w:r>
              <w:rPr>
                <w:spacing w:val="-3"/>
                <w:sz w:val="18"/>
              </w:rPr>
              <w:t xml:space="preserve"> </w:t>
            </w:r>
            <w:r>
              <w:rPr>
                <w:sz w:val="18"/>
              </w:rPr>
              <w:t>Railway</w:t>
            </w:r>
            <w:r>
              <w:rPr>
                <w:spacing w:val="-6"/>
                <w:sz w:val="18"/>
              </w:rPr>
              <w:t xml:space="preserve"> </w:t>
            </w:r>
            <w:r>
              <w:rPr>
                <w:sz w:val="18"/>
              </w:rPr>
              <w:t>Infrastructure</w:t>
            </w:r>
            <w:r>
              <w:rPr>
                <w:spacing w:val="-2"/>
                <w:sz w:val="18"/>
              </w:rPr>
              <w:t xml:space="preserve"> </w:t>
            </w:r>
            <w:r>
              <w:rPr>
                <w:sz w:val="18"/>
              </w:rPr>
              <w:t>shall</w:t>
            </w:r>
            <w:r>
              <w:rPr>
                <w:spacing w:val="-2"/>
                <w:sz w:val="18"/>
              </w:rPr>
              <w:t xml:space="preserve"> </w:t>
            </w:r>
            <w:r>
              <w:rPr>
                <w:sz w:val="18"/>
              </w:rPr>
              <w:t>determine</w:t>
            </w:r>
            <w:r>
              <w:rPr>
                <w:spacing w:val="-2"/>
                <w:sz w:val="18"/>
              </w:rPr>
              <w:t xml:space="preserve"> </w:t>
            </w:r>
            <w:r>
              <w:rPr>
                <w:sz w:val="18"/>
              </w:rPr>
              <w:t>projects</w:t>
            </w:r>
            <w:r>
              <w:rPr>
                <w:spacing w:val="-1"/>
                <w:sz w:val="18"/>
              </w:rPr>
              <w:t xml:space="preserve"> </w:t>
            </w:r>
            <w:r>
              <w:rPr>
                <w:sz w:val="18"/>
              </w:rPr>
              <w:t>and</w:t>
            </w:r>
            <w:r>
              <w:rPr>
                <w:spacing w:val="-1"/>
                <w:sz w:val="18"/>
              </w:rPr>
              <w:t xml:space="preserve"> </w:t>
            </w:r>
            <w:r>
              <w:rPr>
                <w:sz w:val="18"/>
              </w:rPr>
              <w:t>activities</w:t>
            </w:r>
            <w:r>
              <w:rPr>
                <w:spacing w:val="-2"/>
                <w:sz w:val="18"/>
              </w:rPr>
              <w:t xml:space="preserve"> </w:t>
            </w:r>
            <w:r>
              <w:rPr>
                <w:sz w:val="18"/>
              </w:rPr>
              <w:t>necessary</w:t>
            </w:r>
            <w:r>
              <w:rPr>
                <w:spacing w:val="-3"/>
                <w:sz w:val="18"/>
              </w:rPr>
              <w:t xml:space="preserve"> </w:t>
            </w:r>
            <w:r>
              <w:rPr>
                <w:sz w:val="18"/>
              </w:rPr>
              <w:t>for</w:t>
            </w:r>
            <w:r>
              <w:rPr>
                <w:spacing w:val="-42"/>
                <w:sz w:val="18"/>
              </w:rPr>
              <w:t xml:space="preserve"> </w:t>
            </w:r>
            <w:r>
              <w:rPr>
                <w:sz w:val="18"/>
              </w:rPr>
              <w:t>the</w:t>
            </w:r>
            <w:r>
              <w:rPr>
                <w:spacing w:val="-3"/>
                <w:sz w:val="18"/>
              </w:rPr>
              <w:t xml:space="preserve"> </w:t>
            </w:r>
            <w:r>
              <w:rPr>
                <w:sz w:val="18"/>
              </w:rPr>
              <w:t>development</w:t>
            </w:r>
            <w:r>
              <w:rPr>
                <w:spacing w:val="-1"/>
                <w:sz w:val="18"/>
              </w:rPr>
              <w:t xml:space="preserve"> </w:t>
            </w:r>
            <w:r>
              <w:rPr>
                <w:sz w:val="18"/>
              </w:rPr>
              <w:t>of</w:t>
            </w:r>
            <w:r>
              <w:rPr>
                <w:spacing w:val="-3"/>
                <w:sz w:val="18"/>
              </w:rPr>
              <w:t xml:space="preserve"> </w:t>
            </w:r>
            <w:r>
              <w:rPr>
                <w:sz w:val="18"/>
              </w:rPr>
              <w:t>railway</w:t>
            </w:r>
            <w:r>
              <w:rPr>
                <w:spacing w:val="-6"/>
                <w:sz w:val="18"/>
              </w:rPr>
              <w:t xml:space="preserve"> </w:t>
            </w:r>
            <w:r>
              <w:rPr>
                <w:sz w:val="18"/>
              </w:rPr>
              <w:t>infrastructure.</w:t>
            </w:r>
            <w:r>
              <w:rPr>
                <w:spacing w:val="-1"/>
                <w:sz w:val="18"/>
              </w:rPr>
              <w:t xml:space="preserve"> </w:t>
            </w:r>
            <w:r>
              <w:rPr>
                <w:sz w:val="18"/>
              </w:rPr>
              <w:t>The</w:t>
            </w:r>
            <w:r>
              <w:rPr>
                <w:spacing w:val="-2"/>
                <w:sz w:val="18"/>
              </w:rPr>
              <w:t xml:space="preserve"> </w:t>
            </w:r>
            <w:r>
              <w:rPr>
                <w:sz w:val="18"/>
              </w:rPr>
              <w:t>National</w:t>
            </w:r>
            <w:r>
              <w:rPr>
                <w:spacing w:val="-2"/>
                <w:sz w:val="18"/>
              </w:rPr>
              <w:t xml:space="preserve"> </w:t>
            </w:r>
            <w:r>
              <w:rPr>
                <w:sz w:val="18"/>
              </w:rPr>
              <w:t>Management</w:t>
            </w:r>
            <w:r>
              <w:rPr>
                <w:spacing w:val="-3"/>
                <w:sz w:val="18"/>
              </w:rPr>
              <w:t xml:space="preserve"> </w:t>
            </w:r>
            <w:r>
              <w:rPr>
                <w:sz w:val="18"/>
              </w:rPr>
              <w:t>Plan for</w:t>
            </w:r>
            <w:r>
              <w:rPr>
                <w:spacing w:val="-1"/>
                <w:sz w:val="18"/>
              </w:rPr>
              <w:t xml:space="preserve"> </w:t>
            </w:r>
            <w:r>
              <w:rPr>
                <w:sz w:val="18"/>
              </w:rPr>
              <w:t>Railway</w:t>
            </w:r>
            <w:r>
              <w:rPr>
                <w:spacing w:val="-6"/>
                <w:sz w:val="18"/>
              </w:rPr>
              <w:t xml:space="preserve"> </w:t>
            </w:r>
            <w:r>
              <w:rPr>
                <w:sz w:val="18"/>
              </w:rPr>
              <w:t>Infrastructure</w:t>
            </w:r>
            <w:r>
              <w:rPr>
                <w:spacing w:val="-2"/>
                <w:sz w:val="18"/>
              </w:rPr>
              <w:t xml:space="preserve"> </w:t>
            </w:r>
            <w:r>
              <w:rPr>
                <w:sz w:val="18"/>
              </w:rPr>
              <w:t>and Service</w:t>
            </w:r>
          </w:p>
          <w:p w:rsidR="00A56FE9" w:rsidRDefault="00000000">
            <w:pPr>
              <w:pStyle w:val="TableParagraph"/>
              <w:spacing w:line="206" w:lineRule="exact"/>
              <w:ind w:left="105" w:right="142"/>
              <w:rPr>
                <w:sz w:val="18"/>
              </w:rPr>
            </w:pPr>
            <w:r>
              <w:rPr>
                <w:sz w:val="18"/>
              </w:rPr>
              <w:t>Facilities</w:t>
            </w:r>
            <w:r>
              <w:rPr>
                <w:spacing w:val="-3"/>
                <w:sz w:val="18"/>
              </w:rPr>
              <w:t xml:space="preserve"> </w:t>
            </w:r>
            <w:r>
              <w:rPr>
                <w:sz w:val="18"/>
              </w:rPr>
              <w:t>shall</w:t>
            </w:r>
            <w:r>
              <w:rPr>
                <w:spacing w:val="-2"/>
                <w:sz w:val="18"/>
              </w:rPr>
              <w:t xml:space="preserve"> </w:t>
            </w:r>
            <w:r>
              <w:rPr>
                <w:sz w:val="18"/>
              </w:rPr>
              <w:t>determine</w:t>
            </w:r>
            <w:r>
              <w:rPr>
                <w:spacing w:val="-3"/>
                <w:sz w:val="18"/>
              </w:rPr>
              <w:t xml:space="preserve"> </w:t>
            </w:r>
            <w:r>
              <w:rPr>
                <w:sz w:val="18"/>
              </w:rPr>
              <w:t>projects</w:t>
            </w:r>
            <w:r>
              <w:rPr>
                <w:spacing w:val="-4"/>
                <w:sz w:val="18"/>
              </w:rPr>
              <w:t xml:space="preserve"> </w:t>
            </w:r>
            <w:r>
              <w:rPr>
                <w:sz w:val="18"/>
              </w:rPr>
              <w:t>and</w:t>
            </w:r>
            <w:r>
              <w:rPr>
                <w:spacing w:val="-1"/>
                <w:sz w:val="18"/>
              </w:rPr>
              <w:t xml:space="preserve"> </w:t>
            </w:r>
            <w:r>
              <w:rPr>
                <w:sz w:val="18"/>
              </w:rPr>
              <w:t>activities</w:t>
            </w:r>
            <w:r>
              <w:rPr>
                <w:spacing w:val="-3"/>
                <w:sz w:val="18"/>
              </w:rPr>
              <w:t xml:space="preserve"> </w:t>
            </w:r>
            <w:r>
              <w:rPr>
                <w:sz w:val="18"/>
              </w:rPr>
              <w:t>for</w:t>
            </w:r>
            <w:r>
              <w:rPr>
                <w:spacing w:val="-2"/>
                <w:sz w:val="18"/>
              </w:rPr>
              <w:t xml:space="preserve"> </w:t>
            </w:r>
            <w:r>
              <w:rPr>
                <w:sz w:val="18"/>
              </w:rPr>
              <w:t>management,</w:t>
            </w:r>
            <w:r>
              <w:rPr>
                <w:spacing w:val="-1"/>
                <w:sz w:val="18"/>
              </w:rPr>
              <w:t xml:space="preserve"> </w:t>
            </w:r>
            <w:r>
              <w:rPr>
                <w:sz w:val="18"/>
              </w:rPr>
              <w:t>organization of</w:t>
            </w:r>
            <w:r>
              <w:rPr>
                <w:spacing w:val="-4"/>
                <w:sz w:val="18"/>
              </w:rPr>
              <w:t xml:space="preserve"> </w:t>
            </w:r>
            <w:r>
              <w:rPr>
                <w:sz w:val="18"/>
              </w:rPr>
              <w:t>railway</w:t>
            </w:r>
            <w:r>
              <w:rPr>
                <w:spacing w:val="-6"/>
                <w:sz w:val="18"/>
              </w:rPr>
              <w:t xml:space="preserve"> </w:t>
            </w:r>
            <w:r>
              <w:rPr>
                <w:sz w:val="18"/>
              </w:rPr>
              <w:t>traffic</w:t>
            </w:r>
            <w:r>
              <w:rPr>
                <w:spacing w:val="-2"/>
                <w:sz w:val="18"/>
              </w:rPr>
              <w:t xml:space="preserve"> </w:t>
            </w:r>
            <w:r>
              <w:rPr>
                <w:sz w:val="18"/>
              </w:rPr>
              <w:t>regulation and</w:t>
            </w:r>
            <w:r>
              <w:rPr>
                <w:spacing w:val="-42"/>
                <w:sz w:val="18"/>
              </w:rPr>
              <w:t xml:space="preserve"> </w:t>
            </w:r>
            <w:r>
              <w:rPr>
                <w:sz w:val="18"/>
              </w:rPr>
              <w:t>development</w:t>
            </w:r>
            <w:r>
              <w:rPr>
                <w:spacing w:val="-1"/>
                <w:sz w:val="18"/>
              </w:rPr>
              <w:t xml:space="preserve"> </w:t>
            </w:r>
            <w:r>
              <w:rPr>
                <w:sz w:val="18"/>
              </w:rPr>
              <w:t>of</w:t>
            </w:r>
            <w:r>
              <w:rPr>
                <w:spacing w:val="-2"/>
                <w:sz w:val="18"/>
              </w:rPr>
              <w:t xml:space="preserve"> </w:t>
            </w:r>
            <w:r>
              <w:rPr>
                <w:sz w:val="18"/>
              </w:rPr>
              <w:t>railway</w:t>
            </w:r>
            <w:r>
              <w:rPr>
                <w:spacing w:val="-4"/>
                <w:sz w:val="18"/>
              </w:rPr>
              <w:t xml:space="preserve"> </w:t>
            </w:r>
            <w:r>
              <w:rPr>
                <w:sz w:val="18"/>
              </w:rPr>
              <w:t>transport</w:t>
            </w:r>
            <w:r>
              <w:rPr>
                <w:spacing w:val="-2"/>
                <w:sz w:val="18"/>
              </w:rPr>
              <w:t xml:space="preserve"> </w:t>
            </w:r>
            <w:r>
              <w:rPr>
                <w:sz w:val="18"/>
              </w:rPr>
              <w:t>services.</w:t>
            </w:r>
          </w:p>
        </w:tc>
      </w:tr>
    </w:tbl>
    <w:p w:rsidR="00A56FE9" w:rsidRDefault="00A56FE9">
      <w:pPr>
        <w:spacing w:line="206" w:lineRule="exac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4"/>
        <w:gridCol w:w="3468"/>
        <w:gridCol w:w="8926"/>
      </w:tblGrid>
      <w:tr w:rsidR="00A56FE9">
        <w:trPr>
          <w:trHeight w:val="249"/>
        </w:trPr>
        <w:tc>
          <w:tcPr>
            <w:tcW w:w="2064" w:type="dxa"/>
            <w:tcBorders>
              <w:top w:val="nil"/>
              <w:left w:val="nil"/>
              <w:bottom w:val="nil"/>
              <w:right w:val="nil"/>
            </w:tcBorders>
            <w:shd w:val="clear" w:color="auto" w:fill="2C398A"/>
          </w:tcPr>
          <w:p w:rsidR="00A56FE9" w:rsidRDefault="00000000">
            <w:pPr>
              <w:pStyle w:val="TableParagraph"/>
              <w:spacing w:before="10" w:line="220" w:lineRule="exact"/>
              <w:ind w:left="806" w:right="806"/>
              <w:jc w:val="center"/>
              <w:rPr>
                <w:b/>
                <w:sz w:val="20"/>
              </w:rPr>
            </w:pPr>
            <w:r>
              <w:rPr>
                <w:b/>
                <w:color w:val="FFFFFF"/>
                <w:sz w:val="20"/>
              </w:rPr>
              <w:t>SDG</w:t>
            </w:r>
          </w:p>
        </w:tc>
        <w:tc>
          <w:tcPr>
            <w:tcW w:w="3468" w:type="dxa"/>
            <w:tcBorders>
              <w:top w:val="nil"/>
              <w:left w:val="nil"/>
              <w:bottom w:val="nil"/>
              <w:right w:val="nil"/>
            </w:tcBorders>
            <w:shd w:val="clear" w:color="auto" w:fill="2C398A"/>
          </w:tcPr>
          <w:p w:rsidR="00A56FE9" w:rsidRDefault="00000000">
            <w:pPr>
              <w:pStyle w:val="TableParagraph"/>
              <w:spacing w:before="10" w:line="220" w:lineRule="exact"/>
              <w:ind w:left="773" w:right="774"/>
              <w:jc w:val="center"/>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6" w:type="dxa"/>
            <w:tcBorders>
              <w:top w:val="nil"/>
              <w:left w:val="nil"/>
              <w:bottom w:val="nil"/>
              <w:right w:val="nil"/>
            </w:tcBorders>
            <w:shd w:val="clear" w:color="auto" w:fill="2C398A"/>
          </w:tcPr>
          <w:p w:rsidR="00A56FE9" w:rsidRDefault="00000000">
            <w:pPr>
              <w:pStyle w:val="TableParagraph"/>
              <w:spacing w:before="10" w:line="220" w:lineRule="exact"/>
              <w:ind w:left="1951" w:right="1949"/>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532"/>
        </w:trPr>
        <w:tc>
          <w:tcPr>
            <w:tcW w:w="2064" w:type="dxa"/>
            <w:vMerge w:val="restart"/>
            <w:tcBorders>
              <w:top w:val="nil"/>
            </w:tcBorders>
            <w:shd w:val="clear" w:color="auto" w:fill="F1F1F1"/>
          </w:tcPr>
          <w:p w:rsidR="00A56FE9" w:rsidRDefault="00000000">
            <w:pPr>
              <w:pStyle w:val="TableParagraph"/>
              <w:ind w:left="105" w:right="169"/>
              <w:rPr>
                <w:sz w:val="20"/>
              </w:rPr>
            </w:pPr>
            <w:r>
              <w:rPr>
                <w:sz w:val="20"/>
              </w:rPr>
              <w:t>promote</w:t>
            </w:r>
            <w:r>
              <w:rPr>
                <w:spacing w:val="-9"/>
                <w:sz w:val="20"/>
              </w:rPr>
              <w:t xml:space="preserve"> </w:t>
            </w:r>
            <w:r>
              <w:rPr>
                <w:sz w:val="20"/>
              </w:rPr>
              <w:t>inclusive</w:t>
            </w:r>
            <w:r>
              <w:rPr>
                <w:spacing w:val="-9"/>
                <w:sz w:val="20"/>
              </w:rPr>
              <w:t xml:space="preserve"> </w:t>
            </w:r>
            <w:r>
              <w:rPr>
                <w:sz w:val="20"/>
              </w:rPr>
              <w:t>and</w:t>
            </w:r>
            <w:r>
              <w:rPr>
                <w:spacing w:val="-47"/>
                <w:sz w:val="20"/>
              </w:rPr>
              <w:t xml:space="preserve"> </w:t>
            </w:r>
            <w:r>
              <w:rPr>
                <w:sz w:val="20"/>
              </w:rPr>
              <w:t>sustainable</w:t>
            </w:r>
            <w:r>
              <w:rPr>
                <w:spacing w:val="1"/>
                <w:sz w:val="20"/>
              </w:rPr>
              <w:t xml:space="preserve"> </w:t>
            </w:r>
            <w:r>
              <w:rPr>
                <w:sz w:val="20"/>
              </w:rPr>
              <w:t>industrialization and</w:t>
            </w:r>
            <w:r>
              <w:rPr>
                <w:spacing w:val="1"/>
                <w:sz w:val="20"/>
              </w:rPr>
              <w:t xml:space="preserve"> </w:t>
            </w:r>
            <w:r>
              <w:rPr>
                <w:sz w:val="20"/>
              </w:rPr>
              <w:t>foster innovation</w:t>
            </w:r>
          </w:p>
        </w:tc>
        <w:tc>
          <w:tcPr>
            <w:tcW w:w="3468" w:type="dxa"/>
            <w:tcBorders>
              <w:top w:val="nil"/>
            </w:tcBorders>
            <w:shd w:val="clear" w:color="auto" w:fill="C5EECE"/>
          </w:tcPr>
          <w:p w:rsidR="00A56FE9" w:rsidRDefault="00000000">
            <w:pPr>
              <w:pStyle w:val="TableParagraph"/>
              <w:ind w:left="100" w:right="124"/>
              <w:rPr>
                <w:sz w:val="18"/>
              </w:rPr>
            </w:pPr>
            <w:r>
              <w:rPr>
                <w:sz w:val="18"/>
              </w:rPr>
              <w:t>Management</w:t>
            </w:r>
            <w:r>
              <w:rPr>
                <w:spacing w:val="-3"/>
                <w:sz w:val="18"/>
              </w:rPr>
              <w:t xml:space="preserve"> </w:t>
            </w:r>
            <w:r>
              <w:rPr>
                <w:sz w:val="18"/>
              </w:rPr>
              <w:t>Plan</w:t>
            </w:r>
            <w:r>
              <w:rPr>
                <w:spacing w:val="-4"/>
                <w:sz w:val="18"/>
              </w:rPr>
              <w:t xml:space="preserve"> </w:t>
            </w:r>
            <w:r>
              <w:rPr>
                <w:sz w:val="18"/>
              </w:rPr>
              <w:t>for</w:t>
            </w:r>
            <w:r>
              <w:rPr>
                <w:spacing w:val="-2"/>
                <w:sz w:val="18"/>
              </w:rPr>
              <w:t xml:space="preserve"> </w:t>
            </w:r>
            <w:r>
              <w:rPr>
                <w:sz w:val="18"/>
              </w:rPr>
              <w:t>Railway</w:t>
            </w:r>
            <w:r>
              <w:rPr>
                <w:spacing w:val="-6"/>
                <w:sz w:val="18"/>
              </w:rPr>
              <w:t xml:space="preserve"> </w:t>
            </w:r>
            <w:r>
              <w:rPr>
                <w:sz w:val="18"/>
              </w:rPr>
              <w:t>Infrastructure</w:t>
            </w:r>
            <w:r>
              <w:rPr>
                <w:spacing w:val="-42"/>
                <w:sz w:val="18"/>
              </w:rPr>
              <w:t xml:space="preserve"> </w:t>
            </w:r>
            <w:r>
              <w:rPr>
                <w:sz w:val="18"/>
              </w:rPr>
              <w:t>and Service</w:t>
            </w:r>
            <w:r>
              <w:rPr>
                <w:spacing w:val="-1"/>
                <w:sz w:val="18"/>
              </w:rPr>
              <w:t xml:space="preserve"> </w:t>
            </w:r>
            <w:r>
              <w:rPr>
                <w:sz w:val="18"/>
              </w:rPr>
              <w:t>Facilities</w:t>
            </w:r>
          </w:p>
        </w:tc>
        <w:tc>
          <w:tcPr>
            <w:tcW w:w="8926" w:type="dxa"/>
            <w:tcBorders>
              <w:top w:val="nil"/>
            </w:tcBorders>
            <w:shd w:val="clear" w:color="auto" w:fill="C5EECE"/>
          </w:tcPr>
          <w:p w:rsidR="00A56FE9" w:rsidRDefault="00A56FE9">
            <w:pPr>
              <w:pStyle w:val="TableParagraph"/>
              <w:rPr>
                <w:sz w:val="18"/>
              </w:rPr>
            </w:pPr>
          </w:p>
        </w:tc>
      </w:tr>
      <w:tr w:rsidR="00A56FE9">
        <w:trPr>
          <w:trHeight w:val="621"/>
        </w:trPr>
        <w:tc>
          <w:tcPr>
            <w:tcW w:w="2064" w:type="dxa"/>
            <w:vMerge/>
            <w:tcBorders>
              <w:top w:val="nil"/>
            </w:tcBorders>
            <w:shd w:val="clear" w:color="auto" w:fill="F1F1F1"/>
          </w:tcPr>
          <w:p w:rsidR="00A56FE9" w:rsidRDefault="00A56FE9">
            <w:pPr>
              <w:rPr>
                <w:sz w:val="2"/>
                <w:szCs w:val="2"/>
              </w:rPr>
            </w:pPr>
          </w:p>
        </w:tc>
        <w:tc>
          <w:tcPr>
            <w:tcW w:w="3468" w:type="dxa"/>
            <w:shd w:val="clear" w:color="auto" w:fill="C5EECE"/>
          </w:tcPr>
          <w:p w:rsidR="00A56FE9" w:rsidRDefault="00000000">
            <w:pPr>
              <w:pStyle w:val="TableParagraph"/>
              <w:spacing w:line="204" w:lineRule="exact"/>
              <w:ind w:left="85" w:right="105"/>
              <w:jc w:val="center"/>
              <w:rPr>
                <w:sz w:val="18"/>
              </w:rPr>
            </w:pPr>
            <w:r>
              <w:rPr>
                <w:sz w:val="18"/>
              </w:rPr>
              <w:t>The</w:t>
            </w:r>
            <w:r>
              <w:rPr>
                <w:spacing w:val="-3"/>
                <w:sz w:val="18"/>
              </w:rPr>
              <w:t xml:space="preserve"> </w:t>
            </w:r>
            <w:r>
              <w:rPr>
                <w:sz w:val="18"/>
              </w:rPr>
              <w:t>new</w:t>
            </w:r>
            <w:r>
              <w:rPr>
                <w:spacing w:val="-5"/>
                <w:sz w:val="18"/>
              </w:rPr>
              <w:t xml:space="preserve"> </w:t>
            </w:r>
            <w:r>
              <w:rPr>
                <w:sz w:val="18"/>
              </w:rPr>
              <w:t>Maritime</w:t>
            </w:r>
            <w:r>
              <w:rPr>
                <w:spacing w:val="-2"/>
                <w:sz w:val="18"/>
              </w:rPr>
              <w:t xml:space="preserve"> </w:t>
            </w:r>
            <w:r>
              <w:rPr>
                <w:sz w:val="18"/>
              </w:rPr>
              <w:t>Domain</w:t>
            </w:r>
            <w:r>
              <w:rPr>
                <w:spacing w:val="-1"/>
                <w:sz w:val="18"/>
              </w:rPr>
              <w:t xml:space="preserve"> </w:t>
            </w:r>
            <w:r>
              <w:rPr>
                <w:sz w:val="18"/>
              </w:rPr>
              <w:t>and</w:t>
            </w:r>
            <w:r>
              <w:rPr>
                <w:spacing w:val="-1"/>
                <w:sz w:val="18"/>
              </w:rPr>
              <w:t xml:space="preserve"> </w:t>
            </w:r>
            <w:r>
              <w:rPr>
                <w:sz w:val="18"/>
              </w:rPr>
              <w:t>Seaports</w:t>
            </w:r>
            <w:r>
              <w:rPr>
                <w:spacing w:val="-1"/>
                <w:sz w:val="18"/>
              </w:rPr>
              <w:t xml:space="preserve"> </w:t>
            </w:r>
            <w:r>
              <w:rPr>
                <w:sz w:val="18"/>
              </w:rPr>
              <w:t>Act</w:t>
            </w:r>
          </w:p>
        </w:tc>
        <w:tc>
          <w:tcPr>
            <w:tcW w:w="8926" w:type="dxa"/>
            <w:shd w:val="clear" w:color="auto" w:fill="C5EECE"/>
          </w:tcPr>
          <w:p w:rsidR="00A56FE9" w:rsidRDefault="00000000">
            <w:pPr>
              <w:pStyle w:val="TableParagraph"/>
              <w:spacing w:line="206" w:lineRule="exact"/>
              <w:ind w:left="106" w:right="242"/>
              <w:rPr>
                <w:sz w:val="18"/>
              </w:rPr>
            </w:pPr>
            <w:r>
              <w:rPr>
                <w:sz w:val="18"/>
              </w:rPr>
              <w:t>The new Maritime Domain and Seaports Act shall reorganise the structure of the port system open to public traffic,</w:t>
            </w:r>
            <w:r>
              <w:rPr>
                <w:spacing w:val="1"/>
                <w:sz w:val="18"/>
              </w:rPr>
              <w:t xml:space="preserve"> </w:t>
            </w:r>
            <w:r>
              <w:rPr>
                <w:sz w:val="18"/>
              </w:rPr>
              <w:t>which</w:t>
            </w:r>
            <w:r>
              <w:rPr>
                <w:spacing w:val="-1"/>
                <w:sz w:val="18"/>
              </w:rPr>
              <w:t xml:space="preserve"> </w:t>
            </w:r>
            <w:r>
              <w:rPr>
                <w:sz w:val="18"/>
              </w:rPr>
              <w:t>aims</w:t>
            </w:r>
            <w:r>
              <w:rPr>
                <w:spacing w:val="-1"/>
                <w:sz w:val="18"/>
              </w:rPr>
              <w:t xml:space="preserve"> </w:t>
            </w:r>
            <w:r>
              <w:rPr>
                <w:sz w:val="18"/>
              </w:rPr>
              <w:t>to</w:t>
            </w:r>
            <w:r>
              <w:rPr>
                <w:spacing w:val="1"/>
                <w:sz w:val="18"/>
              </w:rPr>
              <w:t xml:space="preserve"> </w:t>
            </w:r>
            <w:r>
              <w:rPr>
                <w:sz w:val="18"/>
              </w:rPr>
              <w:t>ensure</w:t>
            </w:r>
            <w:r>
              <w:rPr>
                <w:spacing w:val="-3"/>
                <w:sz w:val="18"/>
              </w:rPr>
              <w:t xml:space="preserve"> </w:t>
            </w:r>
            <w:r>
              <w:rPr>
                <w:sz w:val="18"/>
              </w:rPr>
              <w:t>uniformity</w:t>
            </w:r>
            <w:r>
              <w:rPr>
                <w:spacing w:val="-5"/>
                <w:sz w:val="18"/>
              </w:rPr>
              <w:t xml:space="preserve"> </w:t>
            </w:r>
            <w:r>
              <w:rPr>
                <w:sz w:val="18"/>
              </w:rPr>
              <w:t>in the</w:t>
            </w:r>
            <w:r>
              <w:rPr>
                <w:spacing w:val="-4"/>
                <w:sz w:val="18"/>
              </w:rPr>
              <w:t xml:space="preserve"> </w:t>
            </w:r>
            <w:r>
              <w:rPr>
                <w:sz w:val="18"/>
              </w:rPr>
              <w:t>implementation</w:t>
            </w:r>
            <w:r>
              <w:rPr>
                <w:spacing w:val="-1"/>
                <w:sz w:val="18"/>
              </w:rPr>
              <w:t xml:space="preserve"> </w:t>
            </w:r>
            <w:r>
              <w:rPr>
                <w:sz w:val="18"/>
              </w:rPr>
              <w:t>of</w:t>
            </w:r>
            <w:r>
              <w:rPr>
                <w:spacing w:val="-3"/>
                <w:sz w:val="18"/>
              </w:rPr>
              <w:t xml:space="preserve"> </w:t>
            </w:r>
            <w:r>
              <w:rPr>
                <w:sz w:val="18"/>
              </w:rPr>
              <w:t>the</w:t>
            </w:r>
            <w:r>
              <w:rPr>
                <w:spacing w:val="-2"/>
                <w:sz w:val="18"/>
              </w:rPr>
              <w:t xml:space="preserve"> </w:t>
            </w:r>
            <w:r>
              <w:rPr>
                <w:sz w:val="18"/>
              </w:rPr>
              <w:t>legal</w:t>
            </w:r>
            <w:r>
              <w:rPr>
                <w:spacing w:val="-3"/>
                <w:sz w:val="18"/>
              </w:rPr>
              <w:t xml:space="preserve"> </w:t>
            </w:r>
            <w:r>
              <w:rPr>
                <w:sz w:val="18"/>
              </w:rPr>
              <w:t>obligations</w:t>
            </w:r>
            <w:r>
              <w:rPr>
                <w:spacing w:val="-2"/>
                <w:sz w:val="18"/>
              </w:rPr>
              <w:t xml:space="preserve"> </w:t>
            </w:r>
            <w:r>
              <w:rPr>
                <w:sz w:val="18"/>
              </w:rPr>
              <w:t>to operate</w:t>
            </w:r>
            <w:r>
              <w:rPr>
                <w:spacing w:val="-1"/>
                <w:sz w:val="18"/>
              </w:rPr>
              <w:t xml:space="preserve"> </w:t>
            </w:r>
            <w:r>
              <w:rPr>
                <w:sz w:val="18"/>
              </w:rPr>
              <w:t>public</w:t>
            </w:r>
            <w:r>
              <w:rPr>
                <w:spacing w:val="-4"/>
                <w:sz w:val="18"/>
              </w:rPr>
              <w:t xml:space="preserve"> </w:t>
            </w:r>
            <w:r>
              <w:rPr>
                <w:sz w:val="18"/>
              </w:rPr>
              <w:t>ports</w:t>
            </w:r>
            <w:r>
              <w:rPr>
                <w:spacing w:val="-2"/>
                <w:sz w:val="18"/>
              </w:rPr>
              <w:t xml:space="preserve"> </w:t>
            </w:r>
            <w:r>
              <w:rPr>
                <w:sz w:val="18"/>
              </w:rPr>
              <w:t>and rationalise</w:t>
            </w:r>
            <w:r>
              <w:rPr>
                <w:spacing w:val="-42"/>
                <w:sz w:val="18"/>
              </w:rPr>
              <w:t xml:space="preserve"> </w:t>
            </w:r>
            <w:r>
              <w:rPr>
                <w:sz w:val="18"/>
              </w:rPr>
              <w:t>management</w:t>
            </w:r>
            <w:r>
              <w:rPr>
                <w:spacing w:val="-1"/>
                <w:sz w:val="18"/>
              </w:rPr>
              <w:t xml:space="preserve"> </w:t>
            </w:r>
            <w:r>
              <w:rPr>
                <w:sz w:val="18"/>
              </w:rPr>
              <w:t>costs.</w:t>
            </w:r>
          </w:p>
        </w:tc>
      </w:tr>
      <w:tr w:rsidR="00A56FE9">
        <w:trPr>
          <w:trHeight w:val="621"/>
        </w:trPr>
        <w:tc>
          <w:tcPr>
            <w:tcW w:w="2064" w:type="dxa"/>
            <w:vMerge/>
            <w:tcBorders>
              <w:top w:val="nil"/>
            </w:tcBorders>
            <w:shd w:val="clear" w:color="auto" w:fill="F1F1F1"/>
          </w:tcPr>
          <w:p w:rsidR="00A56FE9" w:rsidRDefault="00A56FE9">
            <w:pPr>
              <w:rPr>
                <w:sz w:val="2"/>
                <w:szCs w:val="2"/>
              </w:rPr>
            </w:pPr>
          </w:p>
        </w:tc>
        <w:tc>
          <w:tcPr>
            <w:tcW w:w="3468" w:type="dxa"/>
            <w:shd w:val="clear" w:color="auto" w:fill="C5EECE"/>
          </w:tcPr>
          <w:p w:rsidR="00A56FE9" w:rsidRDefault="00000000">
            <w:pPr>
              <w:pStyle w:val="TableParagraph"/>
              <w:spacing w:line="206" w:lineRule="exact"/>
              <w:ind w:left="100" w:right="268"/>
              <w:rPr>
                <w:sz w:val="18"/>
              </w:rPr>
            </w:pPr>
            <w:r>
              <w:rPr>
                <w:sz w:val="18"/>
              </w:rPr>
              <w:t>New cable ferry ‘Križnica’ operational</w:t>
            </w:r>
            <w:r>
              <w:rPr>
                <w:spacing w:val="1"/>
                <w:sz w:val="18"/>
              </w:rPr>
              <w:t xml:space="preserve"> </w:t>
            </w:r>
            <w:r>
              <w:rPr>
                <w:sz w:val="18"/>
              </w:rPr>
              <w:t>across the River Drava in the Municipality</w:t>
            </w:r>
            <w:r>
              <w:rPr>
                <w:spacing w:val="-42"/>
                <w:sz w:val="18"/>
              </w:rPr>
              <w:t xml:space="preserve"> </w:t>
            </w:r>
            <w:r>
              <w:rPr>
                <w:sz w:val="18"/>
              </w:rPr>
              <w:t>of</w:t>
            </w:r>
            <w:r>
              <w:rPr>
                <w:spacing w:val="-3"/>
                <w:sz w:val="18"/>
              </w:rPr>
              <w:t xml:space="preserve"> </w:t>
            </w:r>
            <w:r>
              <w:rPr>
                <w:sz w:val="18"/>
              </w:rPr>
              <w:t>Pitomača</w:t>
            </w:r>
          </w:p>
        </w:tc>
        <w:tc>
          <w:tcPr>
            <w:tcW w:w="8926" w:type="dxa"/>
            <w:shd w:val="clear" w:color="auto" w:fill="C5EECE"/>
          </w:tcPr>
          <w:p w:rsidR="00A56FE9" w:rsidRDefault="00000000">
            <w:pPr>
              <w:pStyle w:val="TableParagraph"/>
              <w:ind w:left="106" w:right="367"/>
              <w:rPr>
                <w:sz w:val="18"/>
              </w:rPr>
            </w:pPr>
            <w:r>
              <w:rPr>
                <w:sz w:val="18"/>
              </w:rPr>
              <w:t>This investment shall result in the construction of a solar-powered electric cable ferry connecting the mainland to the</w:t>
            </w:r>
            <w:r>
              <w:rPr>
                <w:spacing w:val="-42"/>
                <w:sz w:val="18"/>
              </w:rPr>
              <w:t xml:space="preserve"> </w:t>
            </w:r>
            <w:r>
              <w:rPr>
                <w:sz w:val="18"/>
              </w:rPr>
              <w:t>island</w:t>
            </w:r>
            <w:r>
              <w:rPr>
                <w:spacing w:val="-2"/>
                <w:sz w:val="18"/>
              </w:rPr>
              <w:t xml:space="preserve"> </w:t>
            </w:r>
            <w:r>
              <w:rPr>
                <w:sz w:val="18"/>
              </w:rPr>
              <w:t>of</w:t>
            </w:r>
            <w:r>
              <w:rPr>
                <w:spacing w:val="-2"/>
                <w:sz w:val="18"/>
              </w:rPr>
              <w:t xml:space="preserve"> </w:t>
            </w:r>
            <w:r>
              <w:rPr>
                <w:sz w:val="18"/>
              </w:rPr>
              <w:t>Križnica, in</w:t>
            </w:r>
            <w:r>
              <w:rPr>
                <w:spacing w:val="-2"/>
                <w:sz w:val="18"/>
              </w:rPr>
              <w:t xml:space="preserve"> </w:t>
            </w:r>
            <w:r>
              <w:rPr>
                <w:sz w:val="18"/>
              </w:rPr>
              <w:t>operation</w:t>
            </w:r>
            <w:r>
              <w:rPr>
                <w:spacing w:val="1"/>
                <w:sz w:val="18"/>
              </w:rPr>
              <w:t xml:space="preserve"> </w:t>
            </w:r>
            <w:r>
              <w:rPr>
                <w:sz w:val="18"/>
              </w:rPr>
              <w:t>with the</w:t>
            </w:r>
            <w:r>
              <w:rPr>
                <w:spacing w:val="-1"/>
                <w:sz w:val="18"/>
              </w:rPr>
              <w:t xml:space="preserve"> </w:t>
            </w:r>
            <w:r>
              <w:rPr>
                <w:sz w:val="18"/>
              </w:rPr>
              <w:t>approval of</w:t>
            </w:r>
            <w:r>
              <w:rPr>
                <w:spacing w:val="-3"/>
                <w:sz w:val="18"/>
              </w:rPr>
              <w:t xml:space="preserve"> </w:t>
            </w:r>
            <w:r>
              <w:rPr>
                <w:sz w:val="18"/>
              </w:rPr>
              <w:t>the</w:t>
            </w:r>
            <w:r>
              <w:rPr>
                <w:spacing w:val="-1"/>
                <w:sz w:val="18"/>
              </w:rPr>
              <w:t xml:space="preserve"> </w:t>
            </w:r>
            <w:r>
              <w:rPr>
                <w:sz w:val="18"/>
              </w:rPr>
              <w:t>Croatian</w:t>
            </w:r>
            <w:r>
              <w:rPr>
                <w:spacing w:val="1"/>
                <w:sz w:val="18"/>
              </w:rPr>
              <w:t xml:space="preserve"> </w:t>
            </w:r>
            <w:r>
              <w:rPr>
                <w:sz w:val="18"/>
              </w:rPr>
              <w:t>Register</w:t>
            </w:r>
            <w:r>
              <w:rPr>
                <w:spacing w:val="-1"/>
                <w:sz w:val="18"/>
              </w:rPr>
              <w:t xml:space="preserve"> </w:t>
            </w:r>
            <w:r>
              <w:rPr>
                <w:sz w:val="18"/>
              </w:rPr>
              <w:t>of</w:t>
            </w:r>
            <w:r>
              <w:rPr>
                <w:spacing w:val="-2"/>
                <w:sz w:val="18"/>
              </w:rPr>
              <w:t xml:space="preserve"> </w:t>
            </w:r>
            <w:r>
              <w:rPr>
                <w:sz w:val="18"/>
              </w:rPr>
              <w:t>Shipping.</w:t>
            </w:r>
          </w:p>
        </w:tc>
      </w:tr>
      <w:tr w:rsidR="00A56FE9">
        <w:trPr>
          <w:trHeight w:val="1037"/>
        </w:trPr>
        <w:tc>
          <w:tcPr>
            <w:tcW w:w="2064" w:type="dxa"/>
            <w:vMerge w:val="restart"/>
            <w:shd w:val="clear" w:color="auto" w:fill="F1F1F1"/>
          </w:tcPr>
          <w:p w:rsidR="00A56FE9" w:rsidRDefault="00000000">
            <w:pPr>
              <w:pStyle w:val="TableParagraph"/>
              <w:ind w:left="105" w:right="196"/>
              <w:rPr>
                <w:sz w:val="20"/>
              </w:rPr>
            </w:pPr>
            <w:r>
              <w:rPr>
                <w:b/>
                <w:sz w:val="20"/>
              </w:rPr>
              <w:t>10.</w:t>
            </w:r>
            <w:r>
              <w:rPr>
                <w:b/>
                <w:spacing w:val="-8"/>
                <w:sz w:val="20"/>
              </w:rPr>
              <w:t xml:space="preserve"> </w:t>
            </w:r>
            <w:r>
              <w:rPr>
                <w:sz w:val="20"/>
              </w:rPr>
              <w:t>Reduce</w:t>
            </w:r>
            <w:r>
              <w:rPr>
                <w:spacing w:val="-9"/>
                <w:sz w:val="20"/>
              </w:rPr>
              <w:t xml:space="preserve"> </w:t>
            </w:r>
            <w:r>
              <w:rPr>
                <w:sz w:val="20"/>
              </w:rPr>
              <w:t>inequality</w:t>
            </w:r>
            <w:r>
              <w:rPr>
                <w:spacing w:val="-47"/>
                <w:sz w:val="20"/>
              </w:rPr>
              <w:t xml:space="preserve"> </w:t>
            </w:r>
            <w:r>
              <w:rPr>
                <w:sz w:val="20"/>
              </w:rPr>
              <w:t>within and among</w:t>
            </w:r>
            <w:r>
              <w:rPr>
                <w:spacing w:val="1"/>
                <w:sz w:val="20"/>
              </w:rPr>
              <w:t xml:space="preserve"> </w:t>
            </w:r>
            <w:r>
              <w:rPr>
                <w:sz w:val="20"/>
              </w:rPr>
              <w:t>countries</w:t>
            </w:r>
          </w:p>
        </w:tc>
        <w:tc>
          <w:tcPr>
            <w:tcW w:w="3468" w:type="dxa"/>
          </w:tcPr>
          <w:p w:rsidR="00A56FE9" w:rsidRDefault="00000000">
            <w:pPr>
              <w:pStyle w:val="TableParagraph"/>
              <w:ind w:left="100" w:right="118"/>
              <w:rPr>
                <w:sz w:val="18"/>
              </w:rPr>
            </w:pPr>
            <w:r>
              <w:rPr>
                <w:sz w:val="18"/>
              </w:rPr>
              <w:t>Procurement of IT equipment for police</w:t>
            </w:r>
            <w:r>
              <w:rPr>
                <w:spacing w:val="1"/>
                <w:sz w:val="18"/>
              </w:rPr>
              <w:t xml:space="preserve"> </w:t>
            </w:r>
            <w:r>
              <w:rPr>
                <w:sz w:val="18"/>
              </w:rPr>
              <w:t>departments and police stations using EU</w:t>
            </w:r>
            <w:r>
              <w:rPr>
                <w:spacing w:val="1"/>
                <w:sz w:val="18"/>
              </w:rPr>
              <w:t xml:space="preserve"> </w:t>
            </w:r>
            <w:r>
              <w:rPr>
                <w:sz w:val="18"/>
              </w:rPr>
              <w:t>funds</w:t>
            </w:r>
            <w:r>
              <w:rPr>
                <w:spacing w:val="-4"/>
                <w:sz w:val="18"/>
              </w:rPr>
              <w:t xml:space="preserve"> </w:t>
            </w:r>
            <w:r>
              <w:rPr>
                <w:sz w:val="18"/>
              </w:rPr>
              <w:t>for</w:t>
            </w:r>
            <w:r>
              <w:rPr>
                <w:spacing w:val="-3"/>
                <w:sz w:val="18"/>
              </w:rPr>
              <w:t xml:space="preserve"> </w:t>
            </w:r>
            <w:r>
              <w:rPr>
                <w:sz w:val="18"/>
              </w:rPr>
              <w:t>officials</w:t>
            </w:r>
            <w:r>
              <w:rPr>
                <w:spacing w:val="-1"/>
                <w:sz w:val="18"/>
              </w:rPr>
              <w:t xml:space="preserve"> </w:t>
            </w:r>
            <w:r>
              <w:rPr>
                <w:sz w:val="18"/>
              </w:rPr>
              <w:t>working</w:t>
            </w:r>
            <w:r>
              <w:rPr>
                <w:spacing w:val="-4"/>
                <w:sz w:val="18"/>
              </w:rPr>
              <w:t xml:space="preserve"> </w:t>
            </w:r>
            <w:r>
              <w:rPr>
                <w:sz w:val="18"/>
              </w:rPr>
              <w:t>on</w:t>
            </w:r>
            <w:r>
              <w:rPr>
                <w:spacing w:val="-3"/>
                <w:sz w:val="18"/>
              </w:rPr>
              <w:t xml:space="preserve"> </w:t>
            </w:r>
            <w:r>
              <w:rPr>
                <w:sz w:val="18"/>
              </w:rPr>
              <w:t>administrative</w:t>
            </w:r>
            <w:r>
              <w:rPr>
                <w:spacing w:val="-42"/>
                <w:sz w:val="18"/>
              </w:rPr>
              <w:t xml:space="preserve"> </w:t>
            </w:r>
            <w:r>
              <w:rPr>
                <w:sz w:val="18"/>
              </w:rPr>
              <w:t>affairs</w:t>
            </w:r>
            <w:r>
              <w:rPr>
                <w:spacing w:val="-1"/>
                <w:sz w:val="18"/>
              </w:rPr>
              <w:t xml:space="preserve"> </w:t>
            </w:r>
            <w:r>
              <w:rPr>
                <w:sz w:val="18"/>
              </w:rPr>
              <w:t>with</w:t>
            </w:r>
            <w:r>
              <w:rPr>
                <w:spacing w:val="1"/>
                <w:sz w:val="18"/>
              </w:rPr>
              <w:t xml:space="preserve"> </w:t>
            </w:r>
            <w:r>
              <w:rPr>
                <w:sz w:val="18"/>
              </w:rPr>
              <w:t>foreigners</w:t>
            </w:r>
          </w:p>
        </w:tc>
        <w:tc>
          <w:tcPr>
            <w:tcW w:w="8926" w:type="dxa"/>
          </w:tcPr>
          <w:p w:rsidR="00A56FE9" w:rsidRDefault="00000000">
            <w:pPr>
              <w:pStyle w:val="TableParagraph"/>
              <w:ind w:left="106" w:right="242"/>
              <w:rPr>
                <w:sz w:val="18"/>
              </w:rPr>
            </w:pPr>
            <w:r>
              <w:rPr>
                <w:sz w:val="18"/>
              </w:rPr>
              <w:t>Due to a significant increase in the number of third-country nationals with regulated stays in the Republic of Croatia, a</w:t>
            </w:r>
            <w:r>
              <w:rPr>
                <w:spacing w:val="-42"/>
                <w:sz w:val="18"/>
              </w:rPr>
              <w:t xml:space="preserve"> </w:t>
            </w:r>
            <w:r>
              <w:rPr>
                <w:sz w:val="18"/>
              </w:rPr>
              <w:t>specific challenge is the processing of requests for regulating residency in the Republic of Croatia, given the level of</w:t>
            </w:r>
            <w:r>
              <w:rPr>
                <w:spacing w:val="1"/>
                <w:sz w:val="18"/>
              </w:rPr>
              <w:t xml:space="preserve"> </w:t>
            </w:r>
            <w:r>
              <w:rPr>
                <w:sz w:val="18"/>
              </w:rPr>
              <w:t>equipment</w:t>
            </w:r>
            <w:r>
              <w:rPr>
                <w:spacing w:val="-2"/>
                <w:sz w:val="18"/>
              </w:rPr>
              <w:t xml:space="preserve"> </w:t>
            </w:r>
            <w:r>
              <w:rPr>
                <w:sz w:val="18"/>
              </w:rPr>
              <w:t>and</w:t>
            </w:r>
            <w:r>
              <w:rPr>
                <w:spacing w:val="-2"/>
                <w:sz w:val="18"/>
              </w:rPr>
              <w:t xml:space="preserve"> </w:t>
            </w:r>
            <w:r>
              <w:rPr>
                <w:sz w:val="18"/>
              </w:rPr>
              <w:t>obsolete</w:t>
            </w:r>
            <w:r>
              <w:rPr>
                <w:spacing w:val="-2"/>
                <w:sz w:val="18"/>
              </w:rPr>
              <w:t xml:space="preserve"> </w:t>
            </w:r>
            <w:r>
              <w:rPr>
                <w:sz w:val="18"/>
              </w:rPr>
              <w:t>equipment. Therefore,</w:t>
            </w:r>
            <w:r>
              <w:rPr>
                <w:spacing w:val="-1"/>
                <w:sz w:val="18"/>
              </w:rPr>
              <w:t xml:space="preserve"> </w:t>
            </w:r>
            <w:r>
              <w:rPr>
                <w:sz w:val="18"/>
              </w:rPr>
              <w:t>the</w:t>
            </w:r>
            <w:r>
              <w:rPr>
                <w:spacing w:val="-3"/>
                <w:sz w:val="18"/>
              </w:rPr>
              <w:t xml:space="preserve"> </w:t>
            </w:r>
            <w:r>
              <w:rPr>
                <w:sz w:val="18"/>
              </w:rPr>
              <w:t>project</w:t>
            </w:r>
            <w:r>
              <w:rPr>
                <w:spacing w:val="-1"/>
                <w:sz w:val="18"/>
              </w:rPr>
              <w:t xml:space="preserve"> </w:t>
            </w:r>
            <w:r>
              <w:rPr>
                <w:sz w:val="18"/>
              </w:rPr>
              <w:t>of</w:t>
            </w:r>
            <w:r>
              <w:rPr>
                <w:spacing w:val="-3"/>
                <w:sz w:val="18"/>
              </w:rPr>
              <w:t xml:space="preserve"> </w:t>
            </w:r>
            <w:r>
              <w:rPr>
                <w:sz w:val="18"/>
              </w:rPr>
              <w:t>purchasing</w:t>
            </w:r>
            <w:r>
              <w:rPr>
                <w:spacing w:val="-2"/>
                <w:sz w:val="18"/>
              </w:rPr>
              <w:t xml:space="preserve"> </w:t>
            </w:r>
            <w:r>
              <w:rPr>
                <w:sz w:val="18"/>
              </w:rPr>
              <w:t>IT</w:t>
            </w:r>
            <w:r>
              <w:rPr>
                <w:spacing w:val="-3"/>
                <w:sz w:val="18"/>
              </w:rPr>
              <w:t xml:space="preserve"> </w:t>
            </w:r>
            <w:r>
              <w:rPr>
                <w:sz w:val="18"/>
              </w:rPr>
              <w:t>equipment</w:t>
            </w:r>
            <w:r>
              <w:rPr>
                <w:spacing w:val="-1"/>
                <w:sz w:val="18"/>
              </w:rPr>
              <w:t xml:space="preserve"> </w:t>
            </w:r>
            <w:r>
              <w:rPr>
                <w:sz w:val="18"/>
              </w:rPr>
              <w:t>for</w:t>
            </w:r>
            <w:r>
              <w:rPr>
                <w:spacing w:val="-1"/>
                <w:sz w:val="18"/>
              </w:rPr>
              <w:t xml:space="preserve"> </w:t>
            </w:r>
            <w:r>
              <w:rPr>
                <w:sz w:val="18"/>
              </w:rPr>
              <w:t>regulating</w:t>
            </w:r>
            <w:r>
              <w:rPr>
                <w:spacing w:val="-3"/>
                <w:sz w:val="18"/>
              </w:rPr>
              <w:t xml:space="preserve"> </w:t>
            </w:r>
            <w:r>
              <w:rPr>
                <w:sz w:val="18"/>
              </w:rPr>
              <w:t>the</w:t>
            </w:r>
            <w:r>
              <w:rPr>
                <w:spacing w:val="-2"/>
                <w:sz w:val="18"/>
              </w:rPr>
              <w:t xml:space="preserve"> </w:t>
            </w:r>
            <w:r>
              <w:rPr>
                <w:sz w:val="18"/>
              </w:rPr>
              <w:t>stay</w:t>
            </w:r>
            <w:r>
              <w:rPr>
                <w:spacing w:val="5"/>
                <w:sz w:val="18"/>
              </w:rPr>
              <w:t xml:space="preserve"> </w:t>
            </w:r>
            <w:r>
              <w:rPr>
                <w:sz w:val="18"/>
              </w:rPr>
              <w:t>of</w:t>
            </w:r>
            <w:r>
              <w:rPr>
                <w:spacing w:val="-3"/>
                <w:sz w:val="18"/>
              </w:rPr>
              <w:t xml:space="preserve"> </w:t>
            </w:r>
            <w:r>
              <w:rPr>
                <w:sz w:val="18"/>
              </w:rPr>
              <w:t>third-</w:t>
            </w:r>
          </w:p>
          <w:p w:rsidR="00A56FE9" w:rsidRDefault="00000000">
            <w:pPr>
              <w:pStyle w:val="TableParagraph"/>
              <w:spacing w:line="206" w:lineRule="exact"/>
              <w:ind w:left="106" w:right="242"/>
              <w:rPr>
                <w:sz w:val="18"/>
              </w:rPr>
            </w:pPr>
            <w:r>
              <w:rPr>
                <w:sz w:val="18"/>
              </w:rPr>
              <w:t>country</w:t>
            </w:r>
            <w:r>
              <w:rPr>
                <w:spacing w:val="-5"/>
                <w:sz w:val="18"/>
              </w:rPr>
              <w:t xml:space="preserve"> </w:t>
            </w:r>
            <w:r>
              <w:rPr>
                <w:sz w:val="18"/>
              </w:rPr>
              <w:t>nationals</w:t>
            </w:r>
            <w:r>
              <w:rPr>
                <w:spacing w:val="-1"/>
                <w:sz w:val="18"/>
              </w:rPr>
              <w:t xml:space="preserve"> </w:t>
            </w:r>
            <w:r>
              <w:rPr>
                <w:sz w:val="18"/>
              </w:rPr>
              <w:t>was</w:t>
            </w:r>
            <w:r>
              <w:rPr>
                <w:spacing w:val="-1"/>
                <w:sz w:val="18"/>
              </w:rPr>
              <w:t xml:space="preserve"> </w:t>
            </w:r>
            <w:r>
              <w:rPr>
                <w:sz w:val="18"/>
              </w:rPr>
              <w:t>developed.</w:t>
            </w:r>
            <w:r>
              <w:rPr>
                <w:spacing w:val="-1"/>
                <w:sz w:val="18"/>
              </w:rPr>
              <w:t xml:space="preserve"> </w:t>
            </w:r>
            <w:r>
              <w:rPr>
                <w:sz w:val="18"/>
              </w:rPr>
              <w:t>In this</w:t>
            </w:r>
            <w:r>
              <w:rPr>
                <w:spacing w:val="-1"/>
                <w:sz w:val="18"/>
              </w:rPr>
              <w:t xml:space="preserve"> </w:t>
            </w:r>
            <w:r>
              <w:rPr>
                <w:sz w:val="18"/>
              </w:rPr>
              <w:t>regard,</w:t>
            </w:r>
            <w:r>
              <w:rPr>
                <w:spacing w:val="-2"/>
                <w:sz w:val="18"/>
              </w:rPr>
              <w:t xml:space="preserve"> </w:t>
            </w:r>
            <w:r>
              <w:rPr>
                <w:sz w:val="18"/>
              </w:rPr>
              <w:t>a</w:t>
            </w:r>
            <w:r>
              <w:rPr>
                <w:spacing w:val="-2"/>
                <w:sz w:val="18"/>
              </w:rPr>
              <w:t xml:space="preserve"> </w:t>
            </w:r>
            <w:r>
              <w:rPr>
                <w:sz w:val="18"/>
              </w:rPr>
              <w:t>project</w:t>
            </w:r>
            <w:r>
              <w:rPr>
                <w:spacing w:val="-1"/>
                <w:sz w:val="18"/>
              </w:rPr>
              <w:t xml:space="preserve"> </w:t>
            </w:r>
            <w:r>
              <w:rPr>
                <w:sz w:val="18"/>
              </w:rPr>
              <w:t>for</w:t>
            </w:r>
            <w:r>
              <w:rPr>
                <w:spacing w:val="-1"/>
                <w:sz w:val="18"/>
              </w:rPr>
              <w:t xml:space="preserve"> </w:t>
            </w:r>
            <w:r>
              <w:rPr>
                <w:sz w:val="18"/>
              </w:rPr>
              <w:t>the</w:t>
            </w:r>
            <w:r>
              <w:rPr>
                <w:spacing w:val="-2"/>
                <w:sz w:val="18"/>
              </w:rPr>
              <w:t xml:space="preserve"> </w:t>
            </w:r>
            <w:r>
              <w:rPr>
                <w:sz w:val="18"/>
              </w:rPr>
              <w:t>procurement</w:t>
            </w:r>
            <w:r>
              <w:rPr>
                <w:spacing w:val="-1"/>
                <w:sz w:val="18"/>
              </w:rPr>
              <w:t xml:space="preserve"> </w:t>
            </w:r>
            <w:r>
              <w:rPr>
                <w:sz w:val="18"/>
              </w:rPr>
              <w:t>of</w:t>
            </w:r>
            <w:r>
              <w:rPr>
                <w:spacing w:val="-3"/>
                <w:sz w:val="18"/>
              </w:rPr>
              <w:t xml:space="preserve"> </w:t>
            </w:r>
            <w:r>
              <w:rPr>
                <w:sz w:val="18"/>
              </w:rPr>
              <w:t>IT</w:t>
            </w:r>
            <w:r>
              <w:rPr>
                <w:spacing w:val="-3"/>
                <w:sz w:val="18"/>
              </w:rPr>
              <w:t xml:space="preserve"> </w:t>
            </w:r>
            <w:r>
              <w:rPr>
                <w:sz w:val="18"/>
              </w:rPr>
              <w:t>equipment</w:t>
            </w:r>
            <w:r>
              <w:rPr>
                <w:spacing w:val="-2"/>
                <w:sz w:val="18"/>
              </w:rPr>
              <w:t xml:space="preserve"> </w:t>
            </w:r>
            <w:r>
              <w:rPr>
                <w:sz w:val="18"/>
              </w:rPr>
              <w:t>from</w:t>
            </w:r>
            <w:r>
              <w:rPr>
                <w:spacing w:val="-2"/>
                <w:sz w:val="18"/>
              </w:rPr>
              <w:t xml:space="preserve"> </w:t>
            </w:r>
            <w:r>
              <w:rPr>
                <w:sz w:val="18"/>
              </w:rPr>
              <w:t>the</w:t>
            </w:r>
            <w:r>
              <w:rPr>
                <w:spacing w:val="-2"/>
                <w:sz w:val="18"/>
              </w:rPr>
              <w:t xml:space="preserve"> </w:t>
            </w:r>
            <w:r>
              <w:rPr>
                <w:sz w:val="18"/>
              </w:rPr>
              <w:t>national</w:t>
            </w:r>
            <w:r>
              <w:rPr>
                <w:spacing w:val="-42"/>
                <w:sz w:val="18"/>
              </w:rPr>
              <w:t xml:space="preserve"> </w:t>
            </w:r>
            <w:r>
              <w:rPr>
                <w:sz w:val="18"/>
              </w:rPr>
              <w:t>Asylum,</w:t>
            </w:r>
            <w:r>
              <w:rPr>
                <w:spacing w:val="-1"/>
                <w:sz w:val="18"/>
              </w:rPr>
              <w:t xml:space="preserve"> </w:t>
            </w:r>
            <w:r>
              <w:rPr>
                <w:sz w:val="18"/>
              </w:rPr>
              <w:t>Migration</w:t>
            </w:r>
            <w:r>
              <w:rPr>
                <w:spacing w:val="1"/>
                <w:sz w:val="18"/>
              </w:rPr>
              <w:t xml:space="preserve"> </w:t>
            </w:r>
            <w:r>
              <w:rPr>
                <w:sz w:val="18"/>
              </w:rPr>
              <w:t>and Integration</w:t>
            </w:r>
            <w:r>
              <w:rPr>
                <w:spacing w:val="1"/>
                <w:sz w:val="18"/>
              </w:rPr>
              <w:t xml:space="preserve"> </w:t>
            </w:r>
            <w:r>
              <w:rPr>
                <w:sz w:val="18"/>
              </w:rPr>
              <w:t>Fund</w:t>
            </w:r>
            <w:r>
              <w:rPr>
                <w:spacing w:val="1"/>
                <w:sz w:val="18"/>
              </w:rPr>
              <w:t xml:space="preserve"> </w:t>
            </w:r>
            <w:r>
              <w:rPr>
                <w:sz w:val="18"/>
              </w:rPr>
              <w:t>(AMIF)</w:t>
            </w:r>
            <w:r>
              <w:rPr>
                <w:spacing w:val="-1"/>
                <w:sz w:val="18"/>
              </w:rPr>
              <w:t xml:space="preserve"> </w:t>
            </w:r>
            <w:r>
              <w:rPr>
                <w:sz w:val="18"/>
              </w:rPr>
              <w:t>will be</w:t>
            </w:r>
            <w:r>
              <w:rPr>
                <w:spacing w:val="-1"/>
                <w:sz w:val="18"/>
              </w:rPr>
              <w:t xml:space="preserve"> </w:t>
            </w:r>
            <w:r>
              <w:rPr>
                <w:sz w:val="18"/>
              </w:rPr>
              <w:t>developed.</w:t>
            </w:r>
          </w:p>
        </w:tc>
      </w:tr>
      <w:tr w:rsidR="00A56FE9">
        <w:trPr>
          <w:trHeight w:val="1862"/>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239"/>
              <w:rPr>
                <w:sz w:val="18"/>
              </w:rPr>
            </w:pPr>
            <w:r>
              <w:rPr>
                <w:sz w:val="18"/>
              </w:rPr>
              <w:t>Improving the information of stakeholders</w:t>
            </w:r>
            <w:r>
              <w:rPr>
                <w:spacing w:val="-42"/>
                <w:sz w:val="18"/>
              </w:rPr>
              <w:t xml:space="preserve"> </w:t>
            </w:r>
            <w:r>
              <w:rPr>
                <w:sz w:val="18"/>
              </w:rPr>
              <w:t>on the implementation of the procedure for</w:t>
            </w:r>
            <w:r>
              <w:rPr>
                <w:spacing w:val="-42"/>
                <w:sz w:val="18"/>
              </w:rPr>
              <w:t xml:space="preserve"> </w:t>
            </w:r>
            <w:r>
              <w:rPr>
                <w:sz w:val="18"/>
              </w:rPr>
              <w:t>regulating residence and work permits by</w:t>
            </w:r>
            <w:r>
              <w:rPr>
                <w:spacing w:val="1"/>
                <w:sz w:val="18"/>
              </w:rPr>
              <w:t xml:space="preserve"> </w:t>
            </w:r>
            <w:r>
              <w:rPr>
                <w:sz w:val="18"/>
              </w:rPr>
              <w:t>holding seminars with representatives of</w:t>
            </w:r>
            <w:r>
              <w:rPr>
                <w:spacing w:val="1"/>
                <w:sz w:val="18"/>
              </w:rPr>
              <w:t xml:space="preserve"> </w:t>
            </w:r>
            <w:r>
              <w:rPr>
                <w:sz w:val="18"/>
              </w:rPr>
              <w:t>professional associations of employers</w:t>
            </w:r>
            <w:r>
              <w:rPr>
                <w:spacing w:val="1"/>
                <w:sz w:val="18"/>
              </w:rPr>
              <w:t xml:space="preserve"> </w:t>
            </w:r>
            <w:r>
              <w:rPr>
                <w:sz w:val="18"/>
              </w:rPr>
              <w:t>(Croatian Employer’s Association - HUP,</w:t>
            </w:r>
            <w:r>
              <w:rPr>
                <w:spacing w:val="1"/>
                <w:sz w:val="18"/>
              </w:rPr>
              <w:t xml:space="preserve"> </w:t>
            </w:r>
            <w:r>
              <w:rPr>
                <w:sz w:val="18"/>
              </w:rPr>
              <w:t>Croatian Chamber of Trades and Crafts -</w:t>
            </w:r>
            <w:r>
              <w:rPr>
                <w:spacing w:val="1"/>
                <w:sz w:val="18"/>
              </w:rPr>
              <w:t xml:space="preserve"> </w:t>
            </w:r>
            <w:r>
              <w:rPr>
                <w:sz w:val="18"/>
              </w:rPr>
              <w:t>HOK,</w:t>
            </w:r>
            <w:r>
              <w:rPr>
                <w:spacing w:val="-1"/>
                <w:sz w:val="18"/>
              </w:rPr>
              <w:t xml:space="preserve"> </w:t>
            </w:r>
            <w:r>
              <w:rPr>
                <w:sz w:val="18"/>
              </w:rPr>
              <w:t>Croatian Chamber</w:t>
            </w:r>
            <w:r>
              <w:rPr>
                <w:spacing w:val="-1"/>
                <w:sz w:val="18"/>
              </w:rPr>
              <w:t xml:space="preserve"> </w:t>
            </w:r>
            <w:r>
              <w:rPr>
                <w:sz w:val="18"/>
              </w:rPr>
              <w:t>of</w:t>
            </w:r>
            <w:r>
              <w:rPr>
                <w:spacing w:val="-2"/>
                <w:sz w:val="18"/>
              </w:rPr>
              <w:t xml:space="preserve"> </w:t>
            </w:r>
            <w:r>
              <w:rPr>
                <w:sz w:val="18"/>
              </w:rPr>
              <w:t>Economy</w:t>
            </w:r>
            <w:r>
              <w:rPr>
                <w:spacing w:val="-2"/>
                <w:sz w:val="18"/>
              </w:rPr>
              <w:t xml:space="preserve"> </w:t>
            </w:r>
            <w:r>
              <w:rPr>
                <w:sz w:val="18"/>
              </w:rPr>
              <w:t>-</w:t>
            </w:r>
          </w:p>
          <w:p w:rsidR="00A56FE9" w:rsidRDefault="00000000">
            <w:pPr>
              <w:pStyle w:val="TableParagraph"/>
              <w:spacing w:line="191" w:lineRule="exact"/>
              <w:ind w:left="100"/>
              <w:rPr>
                <w:sz w:val="18"/>
              </w:rPr>
            </w:pPr>
            <w:r>
              <w:rPr>
                <w:sz w:val="18"/>
              </w:rPr>
              <w:t>HGK)</w:t>
            </w:r>
          </w:p>
        </w:tc>
        <w:tc>
          <w:tcPr>
            <w:tcW w:w="8926" w:type="dxa"/>
          </w:tcPr>
          <w:p w:rsidR="00A56FE9" w:rsidRDefault="00000000">
            <w:pPr>
              <w:pStyle w:val="TableParagraph"/>
              <w:ind w:left="106" w:right="147"/>
              <w:rPr>
                <w:sz w:val="18"/>
              </w:rPr>
            </w:pPr>
            <w:r>
              <w:rPr>
                <w:sz w:val="18"/>
              </w:rPr>
              <w:t>Given the complexity of the legislative framework related to the employment of third-country nationals and to further</w:t>
            </w:r>
            <w:r>
              <w:rPr>
                <w:spacing w:val="1"/>
                <w:sz w:val="18"/>
              </w:rPr>
              <w:t xml:space="preserve"> </w:t>
            </w:r>
            <w:r>
              <w:rPr>
                <w:sz w:val="18"/>
              </w:rPr>
              <w:t>sensitise employers of the conditions and documentation related to the implementation of the procedure for regulating</w:t>
            </w:r>
            <w:r>
              <w:rPr>
                <w:spacing w:val="1"/>
                <w:sz w:val="18"/>
              </w:rPr>
              <w:t xml:space="preserve"> </w:t>
            </w:r>
            <w:r>
              <w:rPr>
                <w:sz w:val="18"/>
              </w:rPr>
              <w:t>stays and work permits, a seminar will be held in cooperation with representatives of professional associations on the</w:t>
            </w:r>
            <w:r>
              <w:rPr>
                <w:spacing w:val="1"/>
                <w:sz w:val="18"/>
              </w:rPr>
              <w:t xml:space="preserve"> </w:t>
            </w:r>
            <w:r>
              <w:rPr>
                <w:sz w:val="18"/>
              </w:rPr>
              <w:t>specified matter. Better informing of employers will enable faster and more efficient procedures in terms of submitting</w:t>
            </w:r>
            <w:r>
              <w:rPr>
                <w:spacing w:val="1"/>
                <w:sz w:val="18"/>
              </w:rPr>
              <w:t xml:space="preserve"> </w:t>
            </w:r>
            <w:r>
              <w:rPr>
                <w:sz w:val="18"/>
              </w:rPr>
              <w:t>complete</w:t>
            </w:r>
            <w:r>
              <w:rPr>
                <w:spacing w:val="-3"/>
                <w:sz w:val="18"/>
              </w:rPr>
              <w:t xml:space="preserve"> </w:t>
            </w:r>
            <w:r>
              <w:rPr>
                <w:sz w:val="18"/>
              </w:rPr>
              <w:t>and adequate</w:t>
            </w:r>
            <w:r>
              <w:rPr>
                <w:spacing w:val="-4"/>
                <w:sz w:val="18"/>
              </w:rPr>
              <w:t xml:space="preserve"> </w:t>
            </w:r>
            <w:r>
              <w:rPr>
                <w:sz w:val="18"/>
              </w:rPr>
              <w:t>documentation,</w:t>
            </w:r>
            <w:r>
              <w:rPr>
                <w:spacing w:val="-3"/>
                <w:sz w:val="18"/>
              </w:rPr>
              <w:t xml:space="preserve"> </w:t>
            </w:r>
            <w:r>
              <w:rPr>
                <w:sz w:val="18"/>
              </w:rPr>
              <w:t>which will</w:t>
            </w:r>
            <w:r>
              <w:rPr>
                <w:spacing w:val="-1"/>
                <w:sz w:val="18"/>
              </w:rPr>
              <w:t xml:space="preserve"> </w:t>
            </w:r>
            <w:r>
              <w:rPr>
                <w:sz w:val="18"/>
              </w:rPr>
              <w:t>reduce</w:t>
            </w:r>
            <w:r>
              <w:rPr>
                <w:spacing w:val="-2"/>
                <w:sz w:val="18"/>
              </w:rPr>
              <w:t xml:space="preserve"> </w:t>
            </w:r>
            <w:r>
              <w:rPr>
                <w:sz w:val="18"/>
              </w:rPr>
              <w:t>the</w:t>
            </w:r>
            <w:r>
              <w:rPr>
                <w:spacing w:val="-4"/>
                <w:sz w:val="18"/>
              </w:rPr>
              <w:t xml:space="preserve"> </w:t>
            </w:r>
            <w:r>
              <w:rPr>
                <w:sz w:val="18"/>
              </w:rPr>
              <w:t>processing</w:t>
            </w:r>
            <w:r>
              <w:rPr>
                <w:spacing w:val="-2"/>
                <w:sz w:val="18"/>
              </w:rPr>
              <w:t xml:space="preserve"> </w:t>
            </w:r>
            <w:r>
              <w:rPr>
                <w:sz w:val="18"/>
              </w:rPr>
              <w:t>time</w:t>
            </w:r>
            <w:r>
              <w:rPr>
                <w:spacing w:val="-2"/>
                <w:sz w:val="18"/>
              </w:rPr>
              <w:t xml:space="preserve"> </w:t>
            </w:r>
            <w:r>
              <w:rPr>
                <w:sz w:val="18"/>
              </w:rPr>
              <w:t>of</w:t>
            </w:r>
            <w:r>
              <w:rPr>
                <w:spacing w:val="-3"/>
                <w:sz w:val="18"/>
              </w:rPr>
              <w:t xml:space="preserve"> </w:t>
            </w:r>
            <w:r>
              <w:rPr>
                <w:sz w:val="18"/>
              </w:rPr>
              <w:t>individual</w:t>
            </w:r>
            <w:r>
              <w:rPr>
                <w:spacing w:val="-1"/>
                <w:sz w:val="18"/>
              </w:rPr>
              <w:t xml:space="preserve"> </w:t>
            </w:r>
            <w:r>
              <w:rPr>
                <w:sz w:val="18"/>
              </w:rPr>
              <w:t>applications</w:t>
            </w:r>
            <w:r>
              <w:rPr>
                <w:spacing w:val="-1"/>
                <w:sz w:val="18"/>
              </w:rPr>
              <w:t xml:space="preserve"> </w:t>
            </w:r>
            <w:r>
              <w:rPr>
                <w:sz w:val="18"/>
              </w:rPr>
              <w:t>and the</w:t>
            </w:r>
            <w:r>
              <w:rPr>
                <w:spacing w:val="-2"/>
                <w:sz w:val="18"/>
              </w:rPr>
              <w:t xml:space="preserve"> </w:t>
            </w:r>
            <w:r>
              <w:rPr>
                <w:sz w:val="18"/>
              </w:rPr>
              <w:t>need to</w:t>
            </w:r>
            <w:r>
              <w:rPr>
                <w:spacing w:val="-42"/>
                <w:sz w:val="18"/>
              </w:rPr>
              <w:t xml:space="preserve"> </w:t>
            </w:r>
            <w:r>
              <w:rPr>
                <w:sz w:val="18"/>
              </w:rPr>
              <w:t>supplement the application with additional documentation. 100% of employers who attended the seminar will be</w:t>
            </w:r>
            <w:r>
              <w:rPr>
                <w:spacing w:val="1"/>
                <w:sz w:val="18"/>
              </w:rPr>
              <w:t xml:space="preserve"> </w:t>
            </w:r>
            <w:r>
              <w:rPr>
                <w:sz w:val="18"/>
              </w:rPr>
              <w:t>familiar</w:t>
            </w:r>
            <w:r>
              <w:rPr>
                <w:spacing w:val="1"/>
                <w:sz w:val="18"/>
              </w:rPr>
              <w:t xml:space="preserve"> </w:t>
            </w:r>
            <w:r>
              <w:rPr>
                <w:sz w:val="18"/>
              </w:rPr>
              <w:t>with</w:t>
            </w:r>
            <w:r>
              <w:rPr>
                <w:spacing w:val="1"/>
                <w:sz w:val="18"/>
              </w:rPr>
              <w:t xml:space="preserve"> </w:t>
            </w:r>
            <w:r>
              <w:rPr>
                <w:sz w:val="18"/>
              </w:rPr>
              <w:t>the</w:t>
            </w:r>
            <w:r>
              <w:rPr>
                <w:spacing w:val="-1"/>
                <w:sz w:val="18"/>
              </w:rPr>
              <w:t xml:space="preserve"> </w:t>
            </w:r>
            <w:r>
              <w:rPr>
                <w:sz w:val="18"/>
              </w:rPr>
              <w:t>process</w:t>
            </w:r>
            <w:r>
              <w:rPr>
                <w:spacing w:val="-1"/>
                <w:sz w:val="18"/>
              </w:rPr>
              <w:t xml:space="preserve"> </w:t>
            </w:r>
            <w:r>
              <w:rPr>
                <w:sz w:val="18"/>
              </w:rPr>
              <w:t>of</w:t>
            </w:r>
            <w:r>
              <w:rPr>
                <w:spacing w:val="-2"/>
                <w:sz w:val="18"/>
              </w:rPr>
              <w:t xml:space="preserve"> </w:t>
            </w:r>
            <w:r>
              <w:rPr>
                <w:sz w:val="18"/>
              </w:rPr>
              <w:t>regulating</w:t>
            </w:r>
            <w:r>
              <w:rPr>
                <w:spacing w:val="-1"/>
                <w:sz w:val="18"/>
              </w:rPr>
              <w:t xml:space="preserve"> </w:t>
            </w:r>
            <w:r>
              <w:rPr>
                <w:sz w:val="18"/>
              </w:rPr>
              <w:t>residence</w:t>
            </w:r>
            <w:r>
              <w:rPr>
                <w:spacing w:val="-1"/>
                <w:sz w:val="18"/>
              </w:rPr>
              <w:t xml:space="preserve"> </w:t>
            </w:r>
            <w:r>
              <w:rPr>
                <w:sz w:val="18"/>
              </w:rPr>
              <w:t>and</w:t>
            </w:r>
            <w:r>
              <w:rPr>
                <w:spacing w:val="1"/>
                <w:sz w:val="18"/>
              </w:rPr>
              <w:t xml:space="preserve"> </w:t>
            </w:r>
            <w:r>
              <w:rPr>
                <w:sz w:val="18"/>
              </w:rPr>
              <w:t>work</w:t>
            </w:r>
            <w:r>
              <w:rPr>
                <w:spacing w:val="-2"/>
                <w:sz w:val="18"/>
              </w:rPr>
              <w:t xml:space="preserve"> </w:t>
            </w:r>
            <w:r>
              <w:rPr>
                <w:sz w:val="18"/>
              </w:rPr>
              <w:t>permits.</w:t>
            </w:r>
          </w:p>
        </w:tc>
      </w:tr>
      <w:tr w:rsidR="00A56FE9">
        <w:trPr>
          <w:trHeight w:val="1242"/>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313"/>
              <w:rPr>
                <w:sz w:val="18"/>
              </w:rPr>
            </w:pPr>
            <w:r>
              <w:rPr>
                <w:sz w:val="18"/>
              </w:rPr>
              <w:t>Holding seminars with officers of police</w:t>
            </w:r>
            <w:r>
              <w:rPr>
                <w:spacing w:val="1"/>
                <w:sz w:val="18"/>
              </w:rPr>
              <w:t xml:space="preserve"> </w:t>
            </w:r>
            <w:r>
              <w:rPr>
                <w:sz w:val="18"/>
              </w:rPr>
              <w:t>departments</w:t>
            </w:r>
            <w:r>
              <w:rPr>
                <w:spacing w:val="-3"/>
                <w:sz w:val="18"/>
              </w:rPr>
              <w:t xml:space="preserve"> </w:t>
            </w:r>
            <w:r>
              <w:rPr>
                <w:sz w:val="18"/>
              </w:rPr>
              <w:t>and</w:t>
            </w:r>
            <w:r>
              <w:rPr>
                <w:spacing w:val="-1"/>
                <w:sz w:val="18"/>
              </w:rPr>
              <w:t xml:space="preserve"> </w:t>
            </w:r>
            <w:r>
              <w:rPr>
                <w:sz w:val="18"/>
              </w:rPr>
              <w:t>police</w:t>
            </w:r>
            <w:r>
              <w:rPr>
                <w:spacing w:val="-3"/>
                <w:sz w:val="18"/>
              </w:rPr>
              <w:t xml:space="preserve"> </w:t>
            </w:r>
            <w:r>
              <w:rPr>
                <w:sz w:val="18"/>
              </w:rPr>
              <w:t>stations</w:t>
            </w:r>
            <w:r>
              <w:rPr>
                <w:spacing w:val="-2"/>
                <w:sz w:val="18"/>
              </w:rPr>
              <w:t xml:space="preserve"> </w:t>
            </w:r>
            <w:r>
              <w:rPr>
                <w:sz w:val="18"/>
              </w:rPr>
              <w:t>who</w:t>
            </w:r>
            <w:r>
              <w:rPr>
                <w:spacing w:val="-1"/>
                <w:sz w:val="18"/>
              </w:rPr>
              <w:t xml:space="preserve"> </w:t>
            </w:r>
            <w:r>
              <w:rPr>
                <w:sz w:val="18"/>
              </w:rPr>
              <w:t>work</w:t>
            </w:r>
            <w:r>
              <w:rPr>
                <w:spacing w:val="-42"/>
                <w:sz w:val="18"/>
              </w:rPr>
              <w:t xml:space="preserve"> </w:t>
            </w:r>
            <w:r>
              <w:rPr>
                <w:sz w:val="18"/>
              </w:rPr>
              <w:t>on issuing residence and work permits in</w:t>
            </w:r>
            <w:r>
              <w:rPr>
                <w:spacing w:val="1"/>
                <w:sz w:val="18"/>
              </w:rPr>
              <w:t xml:space="preserve"> </w:t>
            </w:r>
            <w:r>
              <w:rPr>
                <w:sz w:val="18"/>
              </w:rPr>
              <w:t>order to standardise the process and share</w:t>
            </w:r>
            <w:r>
              <w:rPr>
                <w:spacing w:val="-42"/>
                <w:sz w:val="18"/>
              </w:rPr>
              <w:t xml:space="preserve"> </w:t>
            </w:r>
            <w:r>
              <w:rPr>
                <w:sz w:val="18"/>
              </w:rPr>
              <w:t>best</w:t>
            </w:r>
            <w:r>
              <w:rPr>
                <w:spacing w:val="-1"/>
                <w:sz w:val="18"/>
              </w:rPr>
              <w:t xml:space="preserve"> </w:t>
            </w:r>
            <w:r>
              <w:rPr>
                <w:sz w:val="18"/>
              </w:rPr>
              <w:t>practices</w:t>
            </w:r>
          </w:p>
        </w:tc>
        <w:tc>
          <w:tcPr>
            <w:tcW w:w="8926" w:type="dxa"/>
          </w:tcPr>
          <w:p w:rsidR="00A56FE9" w:rsidRDefault="00000000">
            <w:pPr>
              <w:pStyle w:val="TableParagraph"/>
              <w:ind w:left="106" w:right="116"/>
              <w:rPr>
                <w:sz w:val="18"/>
              </w:rPr>
            </w:pPr>
            <w:r>
              <w:rPr>
                <w:sz w:val="18"/>
              </w:rPr>
              <w:t>Given the complexity of the legislative framework relating to the employment of third-country nationals and the</w:t>
            </w:r>
            <w:r>
              <w:rPr>
                <w:spacing w:val="1"/>
                <w:sz w:val="18"/>
              </w:rPr>
              <w:t xml:space="preserve"> </w:t>
            </w:r>
            <w:r>
              <w:rPr>
                <w:sz w:val="18"/>
              </w:rPr>
              <w:t>provision of additional support and capacity building to police officers at police departments / police stations to regulate</w:t>
            </w:r>
            <w:r>
              <w:rPr>
                <w:spacing w:val="-42"/>
                <w:sz w:val="18"/>
              </w:rPr>
              <w:t xml:space="preserve"> </w:t>
            </w:r>
            <w:r>
              <w:rPr>
                <w:sz w:val="18"/>
              </w:rPr>
              <w:t>the residence of foreigners, in particular the issuance of residence and work permits, a seminar will be held with officers</w:t>
            </w:r>
            <w:r>
              <w:rPr>
                <w:spacing w:val="-42"/>
                <w:sz w:val="18"/>
              </w:rPr>
              <w:t xml:space="preserve"> </w:t>
            </w:r>
            <w:r>
              <w:rPr>
                <w:sz w:val="18"/>
              </w:rPr>
              <w:t>of</w:t>
            </w:r>
            <w:r>
              <w:rPr>
                <w:spacing w:val="-3"/>
                <w:sz w:val="18"/>
              </w:rPr>
              <w:t xml:space="preserve"> </w:t>
            </w:r>
            <w:r>
              <w:rPr>
                <w:sz w:val="18"/>
              </w:rPr>
              <w:t>police</w:t>
            </w:r>
            <w:r>
              <w:rPr>
                <w:spacing w:val="-2"/>
                <w:sz w:val="18"/>
              </w:rPr>
              <w:t xml:space="preserve"> </w:t>
            </w:r>
            <w:r>
              <w:rPr>
                <w:sz w:val="18"/>
              </w:rPr>
              <w:t>administrations</w:t>
            </w:r>
            <w:r>
              <w:rPr>
                <w:spacing w:val="-4"/>
                <w:sz w:val="18"/>
              </w:rPr>
              <w:t xml:space="preserve"> </w:t>
            </w:r>
            <w:r>
              <w:rPr>
                <w:sz w:val="18"/>
              </w:rPr>
              <w:t>and</w:t>
            </w:r>
            <w:r>
              <w:rPr>
                <w:spacing w:val="-2"/>
                <w:sz w:val="18"/>
              </w:rPr>
              <w:t xml:space="preserve"> </w:t>
            </w:r>
            <w:r>
              <w:rPr>
                <w:sz w:val="18"/>
              </w:rPr>
              <w:t>police</w:t>
            </w:r>
            <w:r>
              <w:rPr>
                <w:spacing w:val="-2"/>
                <w:sz w:val="18"/>
              </w:rPr>
              <w:t xml:space="preserve"> </w:t>
            </w:r>
            <w:r>
              <w:rPr>
                <w:sz w:val="18"/>
              </w:rPr>
              <w:t>stations.</w:t>
            </w:r>
            <w:r>
              <w:rPr>
                <w:spacing w:val="-1"/>
                <w:sz w:val="18"/>
              </w:rPr>
              <w:t xml:space="preserve"> </w:t>
            </w:r>
            <w:r>
              <w:rPr>
                <w:sz w:val="18"/>
              </w:rPr>
              <w:t>By</w:t>
            </w:r>
            <w:r>
              <w:rPr>
                <w:spacing w:val="-5"/>
                <w:sz w:val="18"/>
              </w:rPr>
              <w:t xml:space="preserve"> </w:t>
            </w:r>
            <w:r>
              <w:rPr>
                <w:sz w:val="18"/>
              </w:rPr>
              <w:t>participating</w:t>
            </w:r>
            <w:r>
              <w:rPr>
                <w:spacing w:val="-2"/>
                <w:sz w:val="18"/>
              </w:rPr>
              <w:t xml:space="preserve"> </w:t>
            </w:r>
            <w:r>
              <w:rPr>
                <w:sz w:val="18"/>
              </w:rPr>
              <w:t>in the</w:t>
            </w:r>
            <w:r>
              <w:rPr>
                <w:spacing w:val="-2"/>
                <w:sz w:val="18"/>
              </w:rPr>
              <w:t xml:space="preserve"> </w:t>
            </w:r>
            <w:r>
              <w:rPr>
                <w:sz w:val="18"/>
              </w:rPr>
              <w:t>seminar,</w:t>
            </w:r>
            <w:r>
              <w:rPr>
                <w:spacing w:val="-1"/>
                <w:sz w:val="18"/>
              </w:rPr>
              <w:t xml:space="preserve"> </w:t>
            </w:r>
            <w:r>
              <w:rPr>
                <w:sz w:val="18"/>
              </w:rPr>
              <w:t>all</w:t>
            </w:r>
            <w:r>
              <w:rPr>
                <w:spacing w:val="-1"/>
                <w:sz w:val="18"/>
              </w:rPr>
              <w:t xml:space="preserve"> </w:t>
            </w:r>
            <w:r>
              <w:rPr>
                <w:sz w:val="18"/>
              </w:rPr>
              <w:t>participants</w:t>
            </w:r>
            <w:r>
              <w:rPr>
                <w:spacing w:val="-1"/>
                <w:sz w:val="18"/>
              </w:rPr>
              <w:t xml:space="preserve"> </w:t>
            </w:r>
            <w:r>
              <w:rPr>
                <w:sz w:val="18"/>
              </w:rPr>
              <w:t>will</w:t>
            </w:r>
            <w:r>
              <w:rPr>
                <w:spacing w:val="-1"/>
                <w:sz w:val="18"/>
              </w:rPr>
              <w:t xml:space="preserve"> </w:t>
            </w:r>
            <w:r>
              <w:rPr>
                <w:sz w:val="18"/>
              </w:rPr>
              <w:t>have</w:t>
            </w:r>
            <w:r>
              <w:rPr>
                <w:spacing w:val="-2"/>
                <w:sz w:val="18"/>
              </w:rPr>
              <w:t xml:space="preserve"> </w:t>
            </w:r>
            <w:r>
              <w:rPr>
                <w:sz w:val="18"/>
              </w:rPr>
              <w:t>the</w:t>
            </w:r>
            <w:r>
              <w:rPr>
                <w:spacing w:val="-2"/>
                <w:sz w:val="18"/>
              </w:rPr>
              <w:t xml:space="preserve"> </w:t>
            </w:r>
            <w:r>
              <w:rPr>
                <w:sz w:val="18"/>
              </w:rPr>
              <w:t>opportunity</w:t>
            </w:r>
            <w:r>
              <w:rPr>
                <w:spacing w:val="-4"/>
                <w:sz w:val="18"/>
              </w:rPr>
              <w:t xml:space="preserve"> </w:t>
            </w:r>
            <w:r>
              <w:rPr>
                <w:sz w:val="18"/>
              </w:rPr>
              <w:t>to</w:t>
            </w:r>
            <w:r>
              <w:rPr>
                <w:spacing w:val="-42"/>
                <w:sz w:val="18"/>
              </w:rPr>
              <w:t xml:space="preserve"> </w:t>
            </w:r>
            <w:r>
              <w:rPr>
                <w:sz w:val="18"/>
              </w:rPr>
              <w:t>share</w:t>
            </w:r>
            <w:r>
              <w:rPr>
                <w:spacing w:val="-3"/>
                <w:sz w:val="18"/>
              </w:rPr>
              <w:t xml:space="preserve"> </w:t>
            </w:r>
            <w:r>
              <w:rPr>
                <w:sz w:val="18"/>
              </w:rPr>
              <w:t>the</w:t>
            </w:r>
            <w:r>
              <w:rPr>
                <w:spacing w:val="-2"/>
                <w:sz w:val="18"/>
              </w:rPr>
              <w:t xml:space="preserve"> </w:t>
            </w:r>
            <w:r>
              <w:rPr>
                <w:sz w:val="18"/>
              </w:rPr>
              <w:t>challenges</w:t>
            </w:r>
            <w:r>
              <w:rPr>
                <w:spacing w:val="-2"/>
                <w:sz w:val="18"/>
              </w:rPr>
              <w:t xml:space="preserve"> </w:t>
            </w:r>
            <w:r>
              <w:rPr>
                <w:sz w:val="18"/>
              </w:rPr>
              <w:t>they</w:t>
            </w:r>
            <w:r>
              <w:rPr>
                <w:spacing w:val="-3"/>
                <w:sz w:val="18"/>
              </w:rPr>
              <w:t xml:space="preserve"> </w:t>
            </w:r>
            <w:r>
              <w:rPr>
                <w:sz w:val="18"/>
              </w:rPr>
              <w:t>face</w:t>
            </w:r>
            <w:r>
              <w:rPr>
                <w:spacing w:val="-2"/>
                <w:sz w:val="18"/>
              </w:rPr>
              <w:t xml:space="preserve"> </w:t>
            </w:r>
            <w:r>
              <w:rPr>
                <w:sz w:val="18"/>
              </w:rPr>
              <w:t>in</w:t>
            </w:r>
            <w:r>
              <w:rPr>
                <w:spacing w:val="-1"/>
                <w:sz w:val="18"/>
              </w:rPr>
              <w:t xml:space="preserve"> </w:t>
            </w:r>
            <w:r>
              <w:rPr>
                <w:sz w:val="18"/>
              </w:rPr>
              <w:t>their</w:t>
            </w:r>
            <w:r>
              <w:rPr>
                <w:spacing w:val="-1"/>
                <w:sz w:val="18"/>
              </w:rPr>
              <w:t xml:space="preserve"> </w:t>
            </w:r>
            <w:r>
              <w:rPr>
                <w:sz w:val="18"/>
              </w:rPr>
              <w:t>daily</w:t>
            </w:r>
            <w:r>
              <w:rPr>
                <w:spacing w:val="-5"/>
                <w:sz w:val="18"/>
              </w:rPr>
              <w:t xml:space="preserve"> </w:t>
            </w:r>
            <w:r>
              <w:rPr>
                <w:sz w:val="18"/>
              </w:rPr>
              <w:t>work,</w:t>
            </w:r>
            <w:r>
              <w:rPr>
                <w:spacing w:val="1"/>
                <w:sz w:val="18"/>
              </w:rPr>
              <w:t xml:space="preserve"> </w:t>
            </w:r>
            <w:r>
              <w:rPr>
                <w:sz w:val="18"/>
              </w:rPr>
              <w:t>with</w:t>
            </w:r>
            <w:r>
              <w:rPr>
                <w:spacing w:val="-1"/>
                <w:sz w:val="18"/>
              </w:rPr>
              <w:t xml:space="preserve"> </w:t>
            </w:r>
            <w:r>
              <w:rPr>
                <w:sz w:val="18"/>
              </w:rPr>
              <w:t>an emphasis on</w:t>
            </w:r>
            <w:r>
              <w:rPr>
                <w:spacing w:val="-2"/>
                <w:sz w:val="18"/>
              </w:rPr>
              <w:t xml:space="preserve"> </w:t>
            </w:r>
            <w:r>
              <w:rPr>
                <w:sz w:val="18"/>
              </w:rPr>
              <w:t>practical</w:t>
            </w:r>
            <w:r>
              <w:rPr>
                <w:spacing w:val="-2"/>
                <w:sz w:val="18"/>
              </w:rPr>
              <w:t xml:space="preserve"> </w:t>
            </w:r>
            <w:r>
              <w:rPr>
                <w:sz w:val="18"/>
              </w:rPr>
              <w:t>solutions</w:t>
            </w:r>
            <w:r>
              <w:rPr>
                <w:spacing w:val="5"/>
                <w:sz w:val="18"/>
              </w:rPr>
              <w:t xml:space="preserve"> </w:t>
            </w:r>
            <w:r>
              <w:rPr>
                <w:sz w:val="18"/>
              </w:rPr>
              <w:t>to these</w:t>
            </w:r>
            <w:r>
              <w:rPr>
                <w:spacing w:val="-3"/>
                <w:sz w:val="18"/>
              </w:rPr>
              <w:t xml:space="preserve"> </w:t>
            </w:r>
            <w:r>
              <w:rPr>
                <w:sz w:val="18"/>
              </w:rPr>
              <w:t>challenges</w:t>
            </w:r>
            <w:r>
              <w:rPr>
                <w:spacing w:val="-1"/>
                <w:sz w:val="18"/>
              </w:rPr>
              <w:t xml:space="preserve"> </w:t>
            </w:r>
            <w:r>
              <w:rPr>
                <w:sz w:val="18"/>
              </w:rPr>
              <w:t>and</w:t>
            </w:r>
            <w:r>
              <w:rPr>
                <w:spacing w:val="-1"/>
                <w:sz w:val="18"/>
              </w:rPr>
              <w:t xml:space="preserve"> </w:t>
            </w:r>
            <w:r>
              <w:rPr>
                <w:sz w:val="18"/>
              </w:rPr>
              <w:t>good</w:t>
            </w:r>
          </w:p>
          <w:p w:rsidR="00A56FE9" w:rsidRDefault="00000000">
            <w:pPr>
              <w:pStyle w:val="TableParagraph"/>
              <w:spacing w:line="193" w:lineRule="exact"/>
              <w:ind w:left="106"/>
              <w:rPr>
                <w:sz w:val="18"/>
              </w:rPr>
            </w:pPr>
            <w:r>
              <w:rPr>
                <w:sz w:val="18"/>
              </w:rPr>
              <w:t>practice,</w:t>
            </w:r>
            <w:r>
              <w:rPr>
                <w:spacing w:val="-2"/>
                <w:sz w:val="18"/>
              </w:rPr>
              <w:t xml:space="preserve"> </w:t>
            </w:r>
            <w:r>
              <w:rPr>
                <w:sz w:val="18"/>
              </w:rPr>
              <w:t>which</w:t>
            </w:r>
            <w:r>
              <w:rPr>
                <w:spacing w:val="-1"/>
                <w:sz w:val="18"/>
              </w:rPr>
              <w:t xml:space="preserve"> </w:t>
            </w:r>
            <w:r>
              <w:rPr>
                <w:sz w:val="18"/>
              </w:rPr>
              <w:t>will</w:t>
            </w:r>
            <w:r>
              <w:rPr>
                <w:spacing w:val="-1"/>
                <w:sz w:val="18"/>
              </w:rPr>
              <w:t xml:space="preserve"> </w:t>
            </w:r>
            <w:r>
              <w:rPr>
                <w:sz w:val="18"/>
              </w:rPr>
              <w:t>contribute</w:t>
            </w:r>
            <w:r>
              <w:rPr>
                <w:spacing w:val="-2"/>
                <w:sz w:val="18"/>
              </w:rPr>
              <w:t xml:space="preserve"> </w:t>
            </w:r>
            <w:r>
              <w:rPr>
                <w:sz w:val="18"/>
              </w:rPr>
              <w:t>to</w:t>
            </w:r>
            <w:r>
              <w:rPr>
                <w:spacing w:val="-2"/>
                <w:sz w:val="18"/>
              </w:rPr>
              <w:t xml:space="preserve"> </w:t>
            </w:r>
            <w:r>
              <w:rPr>
                <w:sz w:val="18"/>
              </w:rPr>
              <w:t>the</w:t>
            </w:r>
            <w:r>
              <w:rPr>
                <w:spacing w:val="-3"/>
                <w:sz w:val="18"/>
              </w:rPr>
              <w:t xml:space="preserve"> </w:t>
            </w:r>
            <w:r>
              <w:rPr>
                <w:sz w:val="18"/>
              </w:rPr>
              <w:t>standardisation of</w:t>
            </w:r>
            <w:r>
              <w:rPr>
                <w:spacing w:val="-4"/>
                <w:sz w:val="18"/>
              </w:rPr>
              <w:t xml:space="preserve"> </w:t>
            </w:r>
            <w:r>
              <w:rPr>
                <w:sz w:val="18"/>
              </w:rPr>
              <w:t>procedures</w:t>
            </w:r>
            <w:r>
              <w:rPr>
                <w:spacing w:val="-4"/>
                <w:sz w:val="18"/>
              </w:rPr>
              <w:t xml:space="preserve"> </w:t>
            </w:r>
            <w:r>
              <w:rPr>
                <w:sz w:val="18"/>
              </w:rPr>
              <w:t>and</w:t>
            </w:r>
            <w:r>
              <w:rPr>
                <w:spacing w:val="-1"/>
                <w:sz w:val="18"/>
              </w:rPr>
              <w:t xml:space="preserve"> </w:t>
            </w:r>
            <w:r>
              <w:rPr>
                <w:sz w:val="18"/>
              </w:rPr>
              <w:t>faster</w:t>
            </w:r>
            <w:r>
              <w:rPr>
                <w:spacing w:val="-2"/>
                <w:sz w:val="18"/>
              </w:rPr>
              <w:t xml:space="preserve"> </w:t>
            </w:r>
            <w:r>
              <w:rPr>
                <w:sz w:val="18"/>
              </w:rPr>
              <w:t>procedures.</w:t>
            </w:r>
          </w:p>
        </w:tc>
      </w:tr>
      <w:tr w:rsidR="00A56FE9">
        <w:trPr>
          <w:trHeight w:val="827"/>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146"/>
              <w:rPr>
                <w:sz w:val="18"/>
              </w:rPr>
            </w:pPr>
            <w:r>
              <w:rPr>
                <w:sz w:val="18"/>
              </w:rPr>
              <w:t>Implementation of applications that will</w:t>
            </w:r>
            <w:r>
              <w:rPr>
                <w:spacing w:val="1"/>
                <w:sz w:val="18"/>
              </w:rPr>
              <w:t xml:space="preserve"> </w:t>
            </w:r>
            <w:r>
              <w:rPr>
                <w:sz w:val="18"/>
              </w:rPr>
              <w:t>enable the quality collection, management,</w:t>
            </w:r>
            <w:r>
              <w:rPr>
                <w:spacing w:val="1"/>
                <w:sz w:val="18"/>
              </w:rPr>
              <w:t xml:space="preserve"> </w:t>
            </w:r>
            <w:r>
              <w:rPr>
                <w:sz w:val="18"/>
              </w:rPr>
              <w:t>processing,</w:t>
            </w:r>
            <w:r>
              <w:rPr>
                <w:spacing w:val="-3"/>
                <w:sz w:val="18"/>
              </w:rPr>
              <w:t xml:space="preserve"> </w:t>
            </w:r>
            <w:r>
              <w:rPr>
                <w:sz w:val="18"/>
              </w:rPr>
              <w:t>monitoring</w:t>
            </w:r>
            <w:r>
              <w:rPr>
                <w:spacing w:val="-3"/>
                <w:sz w:val="18"/>
              </w:rPr>
              <w:t xml:space="preserve"> </w:t>
            </w:r>
            <w:r>
              <w:rPr>
                <w:sz w:val="18"/>
              </w:rPr>
              <w:t>and</w:t>
            </w:r>
            <w:r>
              <w:rPr>
                <w:spacing w:val="-4"/>
                <w:sz w:val="18"/>
              </w:rPr>
              <w:t xml:space="preserve"> </w:t>
            </w:r>
            <w:r>
              <w:rPr>
                <w:sz w:val="18"/>
              </w:rPr>
              <w:t>reporting</w:t>
            </w:r>
            <w:r>
              <w:rPr>
                <w:spacing w:val="-3"/>
                <w:sz w:val="18"/>
              </w:rPr>
              <w:t xml:space="preserve"> </w:t>
            </w:r>
            <w:r>
              <w:rPr>
                <w:sz w:val="18"/>
              </w:rPr>
              <w:t>of</w:t>
            </w:r>
            <w:r>
              <w:rPr>
                <w:spacing w:val="-5"/>
                <w:sz w:val="18"/>
              </w:rPr>
              <w:t xml:space="preserve"> </w:t>
            </w:r>
            <w:r>
              <w:rPr>
                <w:sz w:val="18"/>
              </w:rPr>
              <w:t>data</w:t>
            </w:r>
          </w:p>
          <w:p w:rsidR="00A56FE9" w:rsidRDefault="00000000">
            <w:pPr>
              <w:pStyle w:val="TableParagraph"/>
              <w:spacing w:line="191" w:lineRule="exact"/>
              <w:ind w:left="100"/>
              <w:rPr>
                <w:sz w:val="18"/>
              </w:rPr>
            </w:pPr>
            <w:r>
              <w:rPr>
                <w:sz w:val="18"/>
              </w:rPr>
              <w:t>in</w:t>
            </w:r>
            <w:r>
              <w:rPr>
                <w:spacing w:val="1"/>
                <w:sz w:val="18"/>
              </w:rPr>
              <w:t xml:space="preserve"> </w:t>
            </w:r>
            <w:r>
              <w:rPr>
                <w:sz w:val="18"/>
              </w:rPr>
              <w:t>the</w:t>
            </w:r>
            <w:r>
              <w:rPr>
                <w:spacing w:val="-2"/>
                <w:sz w:val="18"/>
              </w:rPr>
              <w:t xml:space="preserve"> </w:t>
            </w:r>
            <w:r>
              <w:rPr>
                <w:sz w:val="18"/>
              </w:rPr>
              <w:t>field of</w:t>
            </w:r>
            <w:r>
              <w:rPr>
                <w:spacing w:val="-3"/>
                <w:sz w:val="18"/>
              </w:rPr>
              <w:t xml:space="preserve"> </w:t>
            </w:r>
            <w:r>
              <w:rPr>
                <w:sz w:val="18"/>
              </w:rPr>
              <w:t>international</w:t>
            </w:r>
            <w:r>
              <w:rPr>
                <w:spacing w:val="-2"/>
                <w:sz w:val="18"/>
              </w:rPr>
              <w:t xml:space="preserve"> </w:t>
            </w:r>
            <w:r>
              <w:rPr>
                <w:sz w:val="18"/>
              </w:rPr>
              <w:t>protection</w:t>
            </w:r>
          </w:p>
        </w:tc>
        <w:tc>
          <w:tcPr>
            <w:tcW w:w="8926" w:type="dxa"/>
          </w:tcPr>
          <w:p w:rsidR="00A56FE9" w:rsidRDefault="00000000">
            <w:pPr>
              <w:pStyle w:val="TableParagraph"/>
              <w:ind w:left="106" w:right="167"/>
              <w:rPr>
                <w:sz w:val="18"/>
              </w:rPr>
            </w:pPr>
            <w:r>
              <w:rPr>
                <w:sz w:val="18"/>
              </w:rPr>
              <w:t>The implementation of the application that will enable the quality of collection, management, processing, monitoring</w:t>
            </w:r>
            <w:r>
              <w:rPr>
                <w:spacing w:val="1"/>
                <w:sz w:val="18"/>
              </w:rPr>
              <w:t xml:space="preserve"> </w:t>
            </w:r>
            <w:r>
              <w:rPr>
                <w:sz w:val="18"/>
              </w:rPr>
              <w:t>and reporting on data in the field of international protection, to improve the management of databases and generation of</w:t>
            </w:r>
            <w:r>
              <w:rPr>
                <w:spacing w:val="-42"/>
                <w:sz w:val="18"/>
              </w:rPr>
              <w:t xml:space="preserve"> </w:t>
            </w:r>
            <w:r>
              <w:rPr>
                <w:sz w:val="18"/>
              </w:rPr>
              <w:t>statistical</w:t>
            </w:r>
            <w:r>
              <w:rPr>
                <w:spacing w:val="-1"/>
                <w:sz w:val="18"/>
              </w:rPr>
              <w:t xml:space="preserve"> </w:t>
            </w:r>
            <w:r>
              <w:rPr>
                <w:sz w:val="18"/>
              </w:rPr>
              <w:t>reports, as well as digitisation</w:t>
            </w:r>
            <w:r>
              <w:rPr>
                <w:spacing w:val="-1"/>
                <w:sz w:val="18"/>
              </w:rPr>
              <w:t xml:space="preserve"> </w:t>
            </w:r>
            <w:r>
              <w:rPr>
                <w:sz w:val="18"/>
              </w:rPr>
              <w:t>of</w:t>
            </w:r>
            <w:r>
              <w:rPr>
                <w:spacing w:val="-2"/>
                <w:sz w:val="18"/>
              </w:rPr>
              <w:t xml:space="preserve"> </w:t>
            </w:r>
            <w:r>
              <w:rPr>
                <w:sz w:val="18"/>
              </w:rPr>
              <w:t>certain business</w:t>
            </w:r>
            <w:r>
              <w:rPr>
                <w:spacing w:val="-1"/>
                <w:sz w:val="18"/>
              </w:rPr>
              <w:t xml:space="preserve"> </w:t>
            </w:r>
            <w:r>
              <w:rPr>
                <w:sz w:val="18"/>
              </w:rPr>
              <w:t>processes.</w:t>
            </w:r>
          </w:p>
        </w:tc>
      </w:tr>
      <w:tr w:rsidR="00A56FE9">
        <w:trPr>
          <w:trHeight w:val="621"/>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503"/>
              <w:rPr>
                <w:sz w:val="18"/>
              </w:rPr>
            </w:pPr>
            <w:r>
              <w:rPr>
                <w:sz w:val="18"/>
              </w:rPr>
              <w:t>Completion</w:t>
            </w:r>
            <w:r>
              <w:rPr>
                <w:spacing w:val="-1"/>
                <w:sz w:val="18"/>
              </w:rPr>
              <w:t xml:space="preserve"> </w:t>
            </w:r>
            <w:r>
              <w:rPr>
                <w:sz w:val="18"/>
              </w:rPr>
              <w:t>of</w:t>
            </w:r>
            <w:r>
              <w:rPr>
                <w:spacing w:val="-2"/>
                <w:sz w:val="18"/>
              </w:rPr>
              <w:t xml:space="preserve"> </w:t>
            </w:r>
            <w:r>
              <w:rPr>
                <w:sz w:val="18"/>
              </w:rPr>
              <w:t>the</w:t>
            </w:r>
            <w:r>
              <w:rPr>
                <w:spacing w:val="-1"/>
                <w:sz w:val="18"/>
              </w:rPr>
              <w:t xml:space="preserve"> </w:t>
            </w:r>
            <w:r>
              <w:rPr>
                <w:sz w:val="18"/>
              </w:rPr>
              <w:t>reconstruction</w:t>
            </w:r>
            <w:r>
              <w:rPr>
                <w:spacing w:val="-4"/>
                <w:sz w:val="18"/>
              </w:rPr>
              <w:t xml:space="preserve"> </w:t>
            </w:r>
            <w:r>
              <w:rPr>
                <w:sz w:val="18"/>
              </w:rPr>
              <w:t>of</w:t>
            </w:r>
            <w:r>
              <w:rPr>
                <w:spacing w:val="-2"/>
                <w:sz w:val="18"/>
              </w:rPr>
              <w:t xml:space="preserve"> </w:t>
            </w:r>
            <w:r>
              <w:rPr>
                <w:sz w:val="18"/>
              </w:rPr>
              <w:t>the</w:t>
            </w:r>
            <w:r>
              <w:rPr>
                <w:spacing w:val="-42"/>
                <w:sz w:val="18"/>
              </w:rPr>
              <w:t xml:space="preserve"> </w:t>
            </w:r>
            <w:r>
              <w:rPr>
                <w:sz w:val="18"/>
              </w:rPr>
              <w:t>Reception</w:t>
            </w:r>
            <w:r>
              <w:rPr>
                <w:spacing w:val="-1"/>
                <w:sz w:val="18"/>
              </w:rPr>
              <w:t xml:space="preserve"> </w:t>
            </w:r>
            <w:r>
              <w:rPr>
                <w:sz w:val="18"/>
              </w:rPr>
              <w:t>Centres</w:t>
            </w:r>
            <w:r>
              <w:rPr>
                <w:spacing w:val="-1"/>
                <w:sz w:val="18"/>
              </w:rPr>
              <w:t xml:space="preserve"> </w:t>
            </w:r>
            <w:r>
              <w:rPr>
                <w:sz w:val="18"/>
              </w:rPr>
              <w:t>for</w:t>
            </w:r>
            <w:r>
              <w:rPr>
                <w:spacing w:val="-1"/>
                <w:sz w:val="18"/>
              </w:rPr>
              <w:t xml:space="preserve"> </w:t>
            </w:r>
            <w:r>
              <w:rPr>
                <w:sz w:val="18"/>
              </w:rPr>
              <w:t>International</w:t>
            </w:r>
          </w:p>
          <w:p w:rsidR="00A56FE9" w:rsidRDefault="00000000">
            <w:pPr>
              <w:pStyle w:val="TableParagraph"/>
              <w:spacing w:line="193" w:lineRule="exact"/>
              <w:ind w:left="100"/>
              <w:rPr>
                <w:sz w:val="18"/>
              </w:rPr>
            </w:pPr>
            <w:r>
              <w:rPr>
                <w:sz w:val="18"/>
              </w:rPr>
              <w:t>Protection</w:t>
            </w:r>
            <w:r>
              <w:rPr>
                <w:spacing w:val="-2"/>
                <w:sz w:val="18"/>
              </w:rPr>
              <w:t xml:space="preserve"> </w:t>
            </w:r>
            <w:r>
              <w:rPr>
                <w:sz w:val="18"/>
              </w:rPr>
              <w:t>Seekers</w:t>
            </w:r>
            <w:r>
              <w:rPr>
                <w:spacing w:val="-2"/>
                <w:sz w:val="18"/>
              </w:rPr>
              <w:t xml:space="preserve"> </w:t>
            </w:r>
            <w:r>
              <w:rPr>
                <w:sz w:val="18"/>
              </w:rPr>
              <w:t>in</w:t>
            </w:r>
            <w:r>
              <w:rPr>
                <w:spacing w:val="-2"/>
                <w:sz w:val="18"/>
              </w:rPr>
              <w:t xml:space="preserve"> </w:t>
            </w:r>
            <w:r>
              <w:rPr>
                <w:sz w:val="18"/>
              </w:rPr>
              <w:t>Kutina</w:t>
            </w:r>
          </w:p>
        </w:tc>
        <w:tc>
          <w:tcPr>
            <w:tcW w:w="8926" w:type="dxa"/>
          </w:tcPr>
          <w:p w:rsidR="00A56FE9" w:rsidRDefault="00000000">
            <w:pPr>
              <w:pStyle w:val="TableParagraph"/>
              <w:ind w:left="106"/>
              <w:rPr>
                <w:sz w:val="18"/>
              </w:rPr>
            </w:pPr>
            <w:r>
              <w:rPr>
                <w:sz w:val="18"/>
              </w:rPr>
              <w:t>The renovation of the Reception Centre for International Protection Seekers in Kutina will ensure better reception and</w:t>
            </w:r>
            <w:r>
              <w:rPr>
                <w:spacing w:val="1"/>
                <w:sz w:val="18"/>
              </w:rPr>
              <w:t xml:space="preserve"> </w:t>
            </w:r>
            <w:r>
              <w:rPr>
                <w:sz w:val="18"/>
              </w:rPr>
              <w:t>accommodation</w:t>
            </w:r>
            <w:r>
              <w:rPr>
                <w:spacing w:val="-1"/>
                <w:sz w:val="18"/>
              </w:rPr>
              <w:t xml:space="preserve"> </w:t>
            </w:r>
            <w:r>
              <w:rPr>
                <w:sz w:val="18"/>
              </w:rPr>
              <w:t>conditions</w:t>
            </w:r>
            <w:r>
              <w:rPr>
                <w:spacing w:val="-2"/>
                <w:sz w:val="18"/>
              </w:rPr>
              <w:t xml:space="preserve"> </w:t>
            </w:r>
            <w:r>
              <w:rPr>
                <w:sz w:val="18"/>
              </w:rPr>
              <w:t>for</w:t>
            </w:r>
            <w:r>
              <w:rPr>
                <w:spacing w:val="-2"/>
                <w:sz w:val="18"/>
              </w:rPr>
              <w:t xml:space="preserve"> </w:t>
            </w:r>
            <w:r>
              <w:rPr>
                <w:sz w:val="18"/>
              </w:rPr>
              <w:t>international</w:t>
            </w:r>
            <w:r>
              <w:rPr>
                <w:spacing w:val="-4"/>
                <w:sz w:val="18"/>
              </w:rPr>
              <w:t xml:space="preserve"> </w:t>
            </w:r>
            <w:r>
              <w:rPr>
                <w:sz w:val="18"/>
              </w:rPr>
              <w:t>protection</w:t>
            </w:r>
            <w:r>
              <w:rPr>
                <w:spacing w:val="-3"/>
                <w:sz w:val="18"/>
              </w:rPr>
              <w:t xml:space="preserve"> </w:t>
            </w:r>
            <w:r>
              <w:rPr>
                <w:sz w:val="18"/>
              </w:rPr>
              <w:t>seekers,</w:t>
            </w:r>
            <w:r>
              <w:rPr>
                <w:spacing w:val="-2"/>
                <w:sz w:val="18"/>
              </w:rPr>
              <w:t xml:space="preserve"> </w:t>
            </w:r>
            <w:r>
              <w:rPr>
                <w:sz w:val="18"/>
              </w:rPr>
              <w:t>as well</w:t>
            </w:r>
            <w:r>
              <w:rPr>
                <w:spacing w:val="-2"/>
                <w:sz w:val="18"/>
              </w:rPr>
              <w:t xml:space="preserve"> </w:t>
            </w:r>
            <w:r>
              <w:rPr>
                <w:sz w:val="18"/>
              </w:rPr>
              <w:t>as</w:t>
            </w:r>
            <w:r>
              <w:rPr>
                <w:spacing w:val="-1"/>
                <w:sz w:val="18"/>
              </w:rPr>
              <w:t xml:space="preserve"> </w:t>
            </w:r>
            <w:r>
              <w:rPr>
                <w:sz w:val="18"/>
              </w:rPr>
              <w:t>all</w:t>
            </w:r>
            <w:r>
              <w:rPr>
                <w:spacing w:val="-2"/>
                <w:sz w:val="18"/>
              </w:rPr>
              <w:t xml:space="preserve"> </w:t>
            </w:r>
            <w:r>
              <w:rPr>
                <w:sz w:val="18"/>
              </w:rPr>
              <w:t>persons</w:t>
            </w:r>
            <w:r>
              <w:rPr>
                <w:spacing w:val="-2"/>
                <w:sz w:val="18"/>
              </w:rPr>
              <w:t xml:space="preserve"> </w:t>
            </w:r>
            <w:r>
              <w:rPr>
                <w:sz w:val="18"/>
              </w:rPr>
              <w:t>involved</w:t>
            </w:r>
            <w:r>
              <w:rPr>
                <w:spacing w:val="-1"/>
                <w:sz w:val="18"/>
              </w:rPr>
              <w:t xml:space="preserve"> </w:t>
            </w:r>
            <w:r>
              <w:rPr>
                <w:sz w:val="18"/>
              </w:rPr>
              <w:t>in</w:t>
            </w:r>
            <w:r>
              <w:rPr>
                <w:spacing w:val="-1"/>
                <w:sz w:val="18"/>
              </w:rPr>
              <w:t xml:space="preserve"> </w:t>
            </w:r>
            <w:r>
              <w:rPr>
                <w:sz w:val="18"/>
              </w:rPr>
              <w:t>the</w:t>
            </w:r>
            <w:r>
              <w:rPr>
                <w:spacing w:val="-3"/>
                <w:sz w:val="18"/>
              </w:rPr>
              <w:t xml:space="preserve"> </w:t>
            </w:r>
            <w:r>
              <w:rPr>
                <w:sz w:val="18"/>
              </w:rPr>
              <w:t>process</w:t>
            </w:r>
            <w:r>
              <w:rPr>
                <w:spacing w:val="-3"/>
                <w:sz w:val="18"/>
              </w:rPr>
              <w:t xml:space="preserve"> </w:t>
            </w:r>
            <w:r>
              <w:rPr>
                <w:sz w:val="18"/>
              </w:rPr>
              <w:t>of</w:t>
            </w:r>
            <w:r>
              <w:rPr>
                <w:spacing w:val="-4"/>
                <w:sz w:val="18"/>
              </w:rPr>
              <w:t xml:space="preserve"> </w:t>
            </w:r>
            <w:r>
              <w:rPr>
                <w:sz w:val="18"/>
              </w:rPr>
              <w:t>granting</w:t>
            </w:r>
          </w:p>
          <w:p w:rsidR="00A56FE9" w:rsidRDefault="00000000">
            <w:pPr>
              <w:pStyle w:val="TableParagraph"/>
              <w:spacing w:line="193" w:lineRule="exact"/>
              <w:ind w:left="106"/>
              <w:rPr>
                <w:sz w:val="18"/>
              </w:rPr>
            </w:pPr>
            <w:r>
              <w:rPr>
                <w:sz w:val="18"/>
              </w:rPr>
              <w:t>international</w:t>
            </w:r>
            <w:r>
              <w:rPr>
                <w:spacing w:val="-3"/>
                <w:sz w:val="18"/>
              </w:rPr>
              <w:t xml:space="preserve"> </w:t>
            </w:r>
            <w:r>
              <w:rPr>
                <w:sz w:val="18"/>
              </w:rPr>
              <w:t>protection.</w:t>
            </w:r>
          </w:p>
        </w:tc>
      </w:tr>
      <w:tr w:rsidR="00A56FE9">
        <w:trPr>
          <w:trHeight w:val="621"/>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570"/>
              <w:rPr>
                <w:sz w:val="18"/>
              </w:rPr>
            </w:pPr>
            <w:r>
              <w:rPr>
                <w:sz w:val="18"/>
              </w:rPr>
              <w:t>The</w:t>
            </w:r>
            <w:r>
              <w:rPr>
                <w:spacing w:val="-2"/>
                <w:sz w:val="18"/>
              </w:rPr>
              <w:t xml:space="preserve"> </w:t>
            </w:r>
            <w:r>
              <w:rPr>
                <w:sz w:val="18"/>
              </w:rPr>
              <w:t>beginning</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renovation of</w:t>
            </w:r>
            <w:r>
              <w:rPr>
                <w:spacing w:val="-3"/>
                <w:sz w:val="18"/>
              </w:rPr>
              <w:t xml:space="preserve"> </w:t>
            </w:r>
            <w:r>
              <w:rPr>
                <w:sz w:val="18"/>
              </w:rPr>
              <w:t>the</w:t>
            </w:r>
            <w:r>
              <w:rPr>
                <w:spacing w:val="-42"/>
                <w:sz w:val="18"/>
              </w:rPr>
              <w:t xml:space="preserve"> </w:t>
            </w:r>
            <w:r>
              <w:rPr>
                <w:sz w:val="18"/>
              </w:rPr>
              <w:t>Reception Centre</w:t>
            </w:r>
            <w:r>
              <w:rPr>
                <w:spacing w:val="-2"/>
                <w:sz w:val="18"/>
              </w:rPr>
              <w:t xml:space="preserve"> </w:t>
            </w:r>
            <w:r>
              <w:rPr>
                <w:sz w:val="18"/>
              </w:rPr>
              <w:t>for</w:t>
            </w:r>
            <w:r>
              <w:rPr>
                <w:spacing w:val="-1"/>
                <w:sz w:val="18"/>
              </w:rPr>
              <w:t xml:space="preserve"> </w:t>
            </w:r>
            <w:r>
              <w:rPr>
                <w:sz w:val="18"/>
              </w:rPr>
              <w:t>International</w:t>
            </w:r>
          </w:p>
          <w:p w:rsidR="00A56FE9" w:rsidRDefault="00000000">
            <w:pPr>
              <w:pStyle w:val="TableParagraph"/>
              <w:spacing w:line="192" w:lineRule="exact"/>
              <w:ind w:left="100"/>
              <w:rPr>
                <w:sz w:val="18"/>
              </w:rPr>
            </w:pPr>
            <w:r>
              <w:rPr>
                <w:sz w:val="18"/>
              </w:rPr>
              <w:t>Protection</w:t>
            </w:r>
            <w:r>
              <w:rPr>
                <w:spacing w:val="-2"/>
                <w:sz w:val="18"/>
              </w:rPr>
              <w:t xml:space="preserve"> </w:t>
            </w:r>
            <w:r>
              <w:rPr>
                <w:sz w:val="18"/>
              </w:rPr>
              <w:t>Seekers</w:t>
            </w:r>
            <w:r>
              <w:rPr>
                <w:spacing w:val="-3"/>
                <w:sz w:val="18"/>
              </w:rPr>
              <w:t xml:space="preserve"> </w:t>
            </w:r>
            <w:r>
              <w:rPr>
                <w:sz w:val="18"/>
              </w:rPr>
              <w:t>in</w:t>
            </w:r>
            <w:r>
              <w:rPr>
                <w:spacing w:val="-2"/>
                <w:sz w:val="18"/>
              </w:rPr>
              <w:t xml:space="preserve"> </w:t>
            </w:r>
            <w:r>
              <w:rPr>
                <w:sz w:val="18"/>
              </w:rPr>
              <w:t>Zagreb</w:t>
            </w:r>
          </w:p>
        </w:tc>
        <w:tc>
          <w:tcPr>
            <w:tcW w:w="8926" w:type="dxa"/>
          </w:tcPr>
          <w:p w:rsidR="00A56FE9" w:rsidRDefault="00000000">
            <w:pPr>
              <w:pStyle w:val="TableParagraph"/>
              <w:ind w:left="106"/>
              <w:rPr>
                <w:sz w:val="18"/>
              </w:rPr>
            </w:pPr>
            <w:r>
              <w:rPr>
                <w:sz w:val="18"/>
              </w:rPr>
              <w:t>The renovation of the Reception Centre for International Protection Seekers in Zagreb will ensure better reception and</w:t>
            </w:r>
            <w:r>
              <w:rPr>
                <w:spacing w:val="1"/>
                <w:sz w:val="18"/>
              </w:rPr>
              <w:t xml:space="preserve"> </w:t>
            </w:r>
            <w:r>
              <w:rPr>
                <w:sz w:val="18"/>
              </w:rPr>
              <w:t>accommodation</w:t>
            </w:r>
            <w:r>
              <w:rPr>
                <w:spacing w:val="-1"/>
                <w:sz w:val="18"/>
              </w:rPr>
              <w:t xml:space="preserve"> </w:t>
            </w:r>
            <w:r>
              <w:rPr>
                <w:sz w:val="18"/>
              </w:rPr>
              <w:t>conditions</w:t>
            </w:r>
            <w:r>
              <w:rPr>
                <w:spacing w:val="-2"/>
                <w:sz w:val="18"/>
              </w:rPr>
              <w:t xml:space="preserve"> </w:t>
            </w:r>
            <w:r>
              <w:rPr>
                <w:sz w:val="18"/>
              </w:rPr>
              <w:t>for</w:t>
            </w:r>
            <w:r>
              <w:rPr>
                <w:spacing w:val="-2"/>
                <w:sz w:val="18"/>
              </w:rPr>
              <w:t xml:space="preserve"> </w:t>
            </w:r>
            <w:r>
              <w:rPr>
                <w:sz w:val="18"/>
              </w:rPr>
              <w:t>international</w:t>
            </w:r>
            <w:r>
              <w:rPr>
                <w:spacing w:val="-4"/>
                <w:sz w:val="18"/>
              </w:rPr>
              <w:t xml:space="preserve"> </w:t>
            </w:r>
            <w:r>
              <w:rPr>
                <w:sz w:val="18"/>
              </w:rPr>
              <w:t>protection</w:t>
            </w:r>
            <w:r>
              <w:rPr>
                <w:spacing w:val="-3"/>
                <w:sz w:val="18"/>
              </w:rPr>
              <w:t xml:space="preserve"> </w:t>
            </w:r>
            <w:r>
              <w:rPr>
                <w:sz w:val="18"/>
              </w:rPr>
              <w:t>seekers,</w:t>
            </w:r>
            <w:r>
              <w:rPr>
                <w:spacing w:val="-1"/>
                <w:sz w:val="18"/>
              </w:rPr>
              <w:t xml:space="preserve"> </w:t>
            </w:r>
            <w:r>
              <w:rPr>
                <w:sz w:val="18"/>
              </w:rPr>
              <w:t>as well</w:t>
            </w:r>
            <w:r>
              <w:rPr>
                <w:spacing w:val="-2"/>
                <w:sz w:val="18"/>
              </w:rPr>
              <w:t xml:space="preserve"> </w:t>
            </w:r>
            <w:r>
              <w:rPr>
                <w:sz w:val="18"/>
              </w:rPr>
              <w:t>as</w:t>
            </w:r>
            <w:r>
              <w:rPr>
                <w:spacing w:val="-2"/>
                <w:sz w:val="18"/>
              </w:rPr>
              <w:t xml:space="preserve"> </w:t>
            </w:r>
            <w:r>
              <w:rPr>
                <w:sz w:val="18"/>
              </w:rPr>
              <w:t>all</w:t>
            </w:r>
            <w:r>
              <w:rPr>
                <w:spacing w:val="-2"/>
                <w:sz w:val="18"/>
              </w:rPr>
              <w:t xml:space="preserve"> </w:t>
            </w:r>
            <w:r>
              <w:rPr>
                <w:sz w:val="18"/>
              </w:rPr>
              <w:t>persons</w:t>
            </w:r>
            <w:r>
              <w:rPr>
                <w:spacing w:val="-2"/>
                <w:sz w:val="18"/>
              </w:rPr>
              <w:t xml:space="preserve"> </w:t>
            </w:r>
            <w:r>
              <w:rPr>
                <w:sz w:val="18"/>
              </w:rPr>
              <w:t>involved in</w:t>
            </w:r>
            <w:r>
              <w:rPr>
                <w:spacing w:val="-1"/>
                <w:sz w:val="18"/>
              </w:rPr>
              <w:t xml:space="preserve"> </w:t>
            </w:r>
            <w:r>
              <w:rPr>
                <w:sz w:val="18"/>
              </w:rPr>
              <w:t>the</w:t>
            </w:r>
            <w:r>
              <w:rPr>
                <w:spacing w:val="-3"/>
                <w:sz w:val="18"/>
              </w:rPr>
              <w:t xml:space="preserve"> </w:t>
            </w:r>
            <w:r>
              <w:rPr>
                <w:sz w:val="18"/>
              </w:rPr>
              <w:t>process</w:t>
            </w:r>
            <w:r>
              <w:rPr>
                <w:spacing w:val="-3"/>
                <w:sz w:val="18"/>
              </w:rPr>
              <w:t xml:space="preserve"> </w:t>
            </w:r>
            <w:r>
              <w:rPr>
                <w:sz w:val="18"/>
              </w:rPr>
              <w:t>of</w:t>
            </w:r>
            <w:r>
              <w:rPr>
                <w:spacing w:val="-4"/>
                <w:sz w:val="18"/>
              </w:rPr>
              <w:t xml:space="preserve"> </w:t>
            </w:r>
            <w:r>
              <w:rPr>
                <w:sz w:val="18"/>
              </w:rPr>
              <w:t>granting</w:t>
            </w:r>
          </w:p>
          <w:p w:rsidR="00A56FE9" w:rsidRDefault="00000000">
            <w:pPr>
              <w:pStyle w:val="TableParagraph"/>
              <w:spacing w:line="192" w:lineRule="exact"/>
              <w:ind w:left="106"/>
              <w:rPr>
                <w:sz w:val="18"/>
              </w:rPr>
            </w:pPr>
            <w:r>
              <w:rPr>
                <w:sz w:val="18"/>
              </w:rPr>
              <w:t>international</w:t>
            </w:r>
            <w:r>
              <w:rPr>
                <w:spacing w:val="-3"/>
                <w:sz w:val="18"/>
              </w:rPr>
              <w:t xml:space="preserve"> </w:t>
            </w:r>
            <w:r>
              <w:rPr>
                <w:sz w:val="18"/>
              </w:rPr>
              <w:t>protection.</w:t>
            </w:r>
          </w:p>
        </w:tc>
      </w:tr>
      <w:tr w:rsidR="00A56FE9">
        <w:trPr>
          <w:trHeight w:val="621"/>
        </w:trPr>
        <w:tc>
          <w:tcPr>
            <w:tcW w:w="2064" w:type="dxa"/>
            <w:vMerge/>
            <w:tcBorders>
              <w:top w:val="nil"/>
            </w:tcBorders>
            <w:shd w:val="clear" w:color="auto" w:fill="F1F1F1"/>
          </w:tcPr>
          <w:p w:rsidR="00A56FE9" w:rsidRDefault="00A56FE9">
            <w:pPr>
              <w:rPr>
                <w:sz w:val="2"/>
                <w:szCs w:val="2"/>
              </w:rPr>
            </w:pPr>
          </w:p>
        </w:tc>
        <w:tc>
          <w:tcPr>
            <w:tcW w:w="3468" w:type="dxa"/>
          </w:tcPr>
          <w:p w:rsidR="00A56FE9" w:rsidRDefault="00000000">
            <w:pPr>
              <w:pStyle w:val="TableParagraph"/>
              <w:ind w:left="100" w:right="130"/>
              <w:rPr>
                <w:sz w:val="18"/>
              </w:rPr>
            </w:pPr>
            <w:r>
              <w:rPr>
                <w:sz w:val="18"/>
              </w:rPr>
              <w:t>Adoption</w:t>
            </w:r>
            <w:r>
              <w:rPr>
                <w:spacing w:val="-1"/>
                <w:sz w:val="18"/>
              </w:rPr>
              <w:t xml:space="preserve"> </w:t>
            </w:r>
            <w:r>
              <w:rPr>
                <w:sz w:val="18"/>
              </w:rPr>
              <w:t>of</w:t>
            </w:r>
            <w:r>
              <w:rPr>
                <w:spacing w:val="-3"/>
                <w:sz w:val="18"/>
              </w:rPr>
              <w:t xml:space="preserve"> </w:t>
            </w:r>
            <w:r>
              <w:rPr>
                <w:sz w:val="18"/>
              </w:rPr>
              <w:t>the</w:t>
            </w:r>
            <w:r>
              <w:rPr>
                <w:spacing w:val="-4"/>
                <w:sz w:val="18"/>
              </w:rPr>
              <w:t xml:space="preserve"> </w:t>
            </w:r>
            <w:r>
              <w:rPr>
                <w:sz w:val="18"/>
              </w:rPr>
              <w:t>2030</w:t>
            </w:r>
            <w:r>
              <w:rPr>
                <w:spacing w:val="-2"/>
                <w:sz w:val="18"/>
              </w:rPr>
              <w:t xml:space="preserve"> </w:t>
            </w:r>
            <w:r>
              <w:rPr>
                <w:sz w:val="18"/>
              </w:rPr>
              <w:t>National</w:t>
            </w:r>
            <w:r>
              <w:rPr>
                <w:spacing w:val="-1"/>
                <w:sz w:val="18"/>
              </w:rPr>
              <w:t xml:space="preserve"> </w:t>
            </w:r>
            <w:r>
              <w:rPr>
                <w:sz w:val="18"/>
              </w:rPr>
              <w:t>Disaster</w:t>
            </w:r>
            <w:r>
              <w:rPr>
                <w:spacing w:val="-1"/>
                <w:sz w:val="18"/>
              </w:rPr>
              <w:t xml:space="preserve"> </w:t>
            </w:r>
            <w:r>
              <w:rPr>
                <w:sz w:val="18"/>
              </w:rPr>
              <w:t>Risk</w:t>
            </w:r>
            <w:r>
              <w:rPr>
                <w:spacing w:val="-42"/>
                <w:sz w:val="18"/>
              </w:rPr>
              <w:t xml:space="preserve"> </w:t>
            </w:r>
            <w:r>
              <w:rPr>
                <w:sz w:val="18"/>
              </w:rPr>
              <w:t>Management</w:t>
            </w:r>
            <w:r>
              <w:rPr>
                <w:spacing w:val="-1"/>
                <w:sz w:val="18"/>
              </w:rPr>
              <w:t xml:space="preserve"> </w:t>
            </w:r>
            <w:r>
              <w:rPr>
                <w:sz w:val="18"/>
              </w:rPr>
              <w:t>Strategy</w:t>
            </w:r>
          </w:p>
        </w:tc>
        <w:tc>
          <w:tcPr>
            <w:tcW w:w="8926" w:type="dxa"/>
          </w:tcPr>
          <w:p w:rsidR="00A56FE9" w:rsidRDefault="00000000">
            <w:pPr>
              <w:pStyle w:val="TableParagraph"/>
              <w:ind w:left="106" w:right="242"/>
              <w:rPr>
                <w:sz w:val="18"/>
              </w:rPr>
            </w:pPr>
            <w:r>
              <w:rPr>
                <w:sz w:val="18"/>
              </w:rPr>
              <w:t>Publication</w:t>
            </w:r>
            <w:r>
              <w:rPr>
                <w:spacing w:val="-2"/>
                <w:sz w:val="18"/>
              </w:rPr>
              <w:t xml:space="preserve"> </w:t>
            </w:r>
            <w:r>
              <w:rPr>
                <w:sz w:val="18"/>
              </w:rPr>
              <w:t>of</w:t>
            </w:r>
            <w:r>
              <w:rPr>
                <w:spacing w:val="-2"/>
                <w:sz w:val="18"/>
              </w:rPr>
              <w:t xml:space="preserve"> </w:t>
            </w:r>
            <w:r>
              <w:rPr>
                <w:sz w:val="18"/>
              </w:rPr>
              <w:t>the</w:t>
            </w:r>
            <w:r>
              <w:rPr>
                <w:spacing w:val="-1"/>
                <w:sz w:val="18"/>
              </w:rPr>
              <w:t xml:space="preserve"> </w:t>
            </w:r>
            <w:r>
              <w:rPr>
                <w:sz w:val="18"/>
              </w:rPr>
              <w:t>of</w:t>
            </w:r>
            <w:r>
              <w:rPr>
                <w:spacing w:val="-2"/>
                <w:sz w:val="18"/>
              </w:rPr>
              <w:t xml:space="preserve"> </w:t>
            </w:r>
            <w:r>
              <w:rPr>
                <w:sz w:val="18"/>
              </w:rPr>
              <w:t>the</w:t>
            </w:r>
            <w:r>
              <w:rPr>
                <w:spacing w:val="-1"/>
                <w:sz w:val="18"/>
              </w:rPr>
              <w:t xml:space="preserve"> </w:t>
            </w:r>
            <w:r>
              <w:rPr>
                <w:sz w:val="18"/>
              </w:rPr>
              <w:t>Disaster</w:t>
            </w:r>
            <w:r>
              <w:rPr>
                <w:spacing w:val="-2"/>
                <w:sz w:val="18"/>
              </w:rPr>
              <w:t xml:space="preserve"> </w:t>
            </w:r>
            <w:r>
              <w:rPr>
                <w:sz w:val="18"/>
              </w:rPr>
              <w:t>Risk</w:t>
            </w:r>
            <w:r>
              <w:rPr>
                <w:spacing w:val="-1"/>
                <w:sz w:val="18"/>
              </w:rPr>
              <w:t xml:space="preserve"> </w:t>
            </w:r>
            <w:r>
              <w:rPr>
                <w:sz w:val="18"/>
              </w:rPr>
              <w:t>Management Strategy</w:t>
            </w:r>
            <w:r>
              <w:rPr>
                <w:spacing w:val="-5"/>
                <w:sz w:val="18"/>
              </w:rPr>
              <w:t xml:space="preserve"> </w:t>
            </w:r>
            <w:r>
              <w:rPr>
                <w:sz w:val="18"/>
              </w:rPr>
              <w:t>until</w:t>
            </w:r>
            <w:r>
              <w:rPr>
                <w:spacing w:val="-2"/>
                <w:sz w:val="18"/>
              </w:rPr>
              <w:t xml:space="preserve"> </w:t>
            </w:r>
            <w:r>
              <w:rPr>
                <w:sz w:val="18"/>
              </w:rPr>
              <w:t>2030</w:t>
            </w:r>
            <w:r>
              <w:rPr>
                <w:spacing w:val="-1"/>
                <w:sz w:val="18"/>
              </w:rPr>
              <w:t xml:space="preserve"> </w:t>
            </w:r>
            <w:r>
              <w:rPr>
                <w:sz w:val="18"/>
              </w:rPr>
              <w:t>on</w:t>
            </w:r>
            <w:r>
              <w:rPr>
                <w:spacing w:val="-1"/>
                <w:sz w:val="18"/>
              </w:rPr>
              <w:t xml:space="preserve"> </w:t>
            </w:r>
            <w:r>
              <w:rPr>
                <w:sz w:val="18"/>
              </w:rPr>
              <w:t>the</w:t>
            </w:r>
            <w:r>
              <w:rPr>
                <w:spacing w:val="-3"/>
                <w:sz w:val="18"/>
              </w:rPr>
              <w:t xml:space="preserve"> </w:t>
            </w:r>
            <w:r>
              <w:rPr>
                <w:sz w:val="18"/>
              </w:rPr>
              <w:t>official websites</w:t>
            </w:r>
            <w:r>
              <w:rPr>
                <w:spacing w:val="-1"/>
                <w:sz w:val="18"/>
              </w:rPr>
              <w:t xml:space="preserve"> </w:t>
            </w:r>
            <w:r>
              <w:rPr>
                <w:sz w:val="18"/>
              </w:rPr>
              <w:t>of</w:t>
            </w:r>
            <w:r>
              <w:rPr>
                <w:spacing w:val="-2"/>
                <w:sz w:val="18"/>
              </w:rPr>
              <w:t xml:space="preserve"> </w:t>
            </w:r>
            <w:r>
              <w:rPr>
                <w:sz w:val="18"/>
              </w:rPr>
              <w:t>the</w:t>
            </w:r>
            <w:r>
              <w:rPr>
                <w:spacing w:val="-2"/>
                <w:sz w:val="18"/>
              </w:rPr>
              <w:t xml:space="preserve"> </w:t>
            </w:r>
            <w:r>
              <w:rPr>
                <w:sz w:val="18"/>
              </w:rPr>
              <w:t>Government of</w:t>
            </w:r>
            <w:r>
              <w:rPr>
                <w:spacing w:val="-42"/>
                <w:sz w:val="18"/>
              </w:rPr>
              <w:t xml:space="preserve"> </w:t>
            </w:r>
            <w:r>
              <w:rPr>
                <w:sz w:val="18"/>
              </w:rPr>
              <w:t>the</w:t>
            </w:r>
            <w:r>
              <w:rPr>
                <w:spacing w:val="-2"/>
                <w:sz w:val="18"/>
              </w:rPr>
              <w:t xml:space="preserve"> </w:t>
            </w:r>
            <w:r>
              <w:rPr>
                <w:sz w:val="18"/>
              </w:rPr>
              <w:t>Republic</w:t>
            </w:r>
            <w:r>
              <w:rPr>
                <w:spacing w:val="-3"/>
                <w:sz w:val="18"/>
              </w:rPr>
              <w:t xml:space="preserve"> </w:t>
            </w:r>
            <w:r>
              <w:rPr>
                <w:sz w:val="18"/>
              </w:rPr>
              <w:t>of</w:t>
            </w:r>
            <w:r>
              <w:rPr>
                <w:spacing w:val="-3"/>
                <w:sz w:val="18"/>
              </w:rPr>
              <w:t xml:space="preserve"> </w:t>
            </w:r>
            <w:r>
              <w:rPr>
                <w:sz w:val="18"/>
              </w:rPr>
              <w:t>Croatia</w:t>
            </w:r>
            <w:r>
              <w:rPr>
                <w:spacing w:val="-1"/>
                <w:sz w:val="18"/>
              </w:rPr>
              <w:t xml:space="preserve"> </w:t>
            </w:r>
            <w:r>
              <w:rPr>
                <w:sz w:val="18"/>
              </w:rPr>
              <w:t>and the</w:t>
            </w:r>
            <w:r>
              <w:rPr>
                <w:spacing w:val="-3"/>
                <w:sz w:val="18"/>
              </w:rPr>
              <w:t xml:space="preserve"> </w:t>
            </w:r>
            <w:r>
              <w:rPr>
                <w:sz w:val="18"/>
              </w:rPr>
              <w:t>Ministry</w:t>
            </w:r>
            <w:r>
              <w:rPr>
                <w:spacing w:val="-3"/>
                <w:sz w:val="18"/>
              </w:rPr>
              <w:t xml:space="preserve"> </w:t>
            </w:r>
            <w:r>
              <w:rPr>
                <w:sz w:val="18"/>
              </w:rPr>
              <w:t>of</w:t>
            </w:r>
            <w:r>
              <w:rPr>
                <w:spacing w:val="-3"/>
                <w:sz w:val="18"/>
              </w:rPr>
              <w:t xml:space="preserve"> </w:t>
            </w:r>
            <w:r>
              <w:rPr>
                <w:sz w:val="18"/>
              </w:rPr>
              <w:t>the</w:t>
            </w:r>
            <w:r>
              <w:rPr>
                <w:spacing w:val="-1"/>
                <w:sz w:val="18"/>
              </w:rPr>
              <w:t xml:space="preserve"> </w:t>
            </w:r>
            <w:r>
              <w:rPr>
                <w:sz w:val="18"/>
              </w:rPr>
              <w:t>Interior,</w:t>
            </w:r>
            <w:r>
              <w:rPr>
                <w:spacing w:val="-1"/>
                <w:sz w:val="18"/>
              </w:rPr>
              <w:t xml:space="preserve"> </w:t>
            </w:r>
            <w:r>
              <w:rPr>
                <w:sz w:val="18"/>
              </w:rPr>
              <w:t>which</w:t>
            </w:r>
            <w:r>
              <w:rPr>
                <w:spacing w:val="1"/>
                <w:sz w:val="18"/>
              </w:rPr>
              <w:t xml:space="preserve"> </w:t>
            </w:r>
            <w:r>
              <w:rPr>
                <w:sz w:val="18"/>
              </w:rPr>
              <w:t>is</w:t>
            </w:r>
            <w:r>
              <w:rPr>
                <w:spacing w:val="-3"/>
                <w:sz w:val="18"/>
              </w:rPr>
              <w:t xml:space="preserve"> </w:t>
            </w:r>
            <w:r>
              <w:rPr>
                <w:sz w:val="18"/>
              </w:rPr>
              <w:t>adopted</w:t>
            </w:r>
            <w:r>
              <w:rPr>
                <w:spacing w:val="1"/>
                <w:sz w:val="18"/>
              </w:rPr>
              <w:t xml:space="preserve"> </w:t>
            </w:r>
            <w:r>
              <w:rPr>
                <w:sz w:val="18"/>
              </w:rPr>
              <w:t>by</w:t>
            </w:r>
            <w:r>
              <w:rPr>
                <w:spacing w:val="-5"/>
                <w:sz w:val="18"/>
              </w:rPr>
              <w:t xml:space="preserve"> </w:t>
            </w:r>
            <w:r>
              <w:rPr>
                <w:sz w:val="18"/>
              </w:rPr>
              <w:t>the</w:t>
            </w:r>
            <w:r>
              <w:rPr>
                <w:spacing w:val="-1"/>
                <w:sz w:val="18"/>
              </w:rPr>
              <w:t xml:space="preserve"> </w:t>
            </w:r>
            <w:r>
              <w:rPr>
                <w:sz w:val="18"/>
              </w:rPr>
              <w:t>Government according</w:t>
            </w:r>
            <w:r>
              <w:rPr>
                <w:spacing w:val="-2"/>
                <w:sz w:val="18"/>
              </w:rPr>
              <w:t xml:space="preserve"> </w:t>
            </w:r>
            <w:r>
              <w:rPr>
                <w:sz w:val="18"/>
              </w:rPr>
              <w:t>to</w:t>
            </w:r>
            <w:r>
              <w:rPr>
                <w:spacing w:val="1"/>
                <w:sz w:val="18"/>
              </w:rPr>
              <w:t xml:space="preserve"> </w:t>
            </w:r>
            <w:r>
              <w:rPr>
                <w:sz w:val="18"/>
              </w:rPr>
              <w:t>the</w:t>
            </w:r>
            <w:r>
              <w:rPr>
                <w:spacing w:val="-2"/>
                <w:sz w:val="18"/>
              </w:rPr>
              <w:t xml:space="preserve"> </w:t>
            </w:r>
            <w:r>
              <w:rPr>
                <w:sz w:val="18"/>
              </w:rPr>
              <w:t>Civil</w:t>
            </w:r>
          </w:p>
          <w:p w:rsidR="00A56FE9" w:rsidRDefault="00000000">
            <w:pPr>
              <w:pStyle w:val="TableParagraph"/>
              <w:spacing w:line="192" w:lineRule="exact"/>
              <w:ind w:left="106"/>
              <w:rPr>
                <w:sz w:val="18"/>
              </w:rPr>
            </w:pPr>
            <w:r>
              <w:rPr>
                <w:sz w:val="18"/>
              </w:rPr>
              <w:t>Protection System</w:t>
            </w:r>
            <w:r>
              <w:rPr>
                <w:spacing w:val="-2"/>
                <w:sz w:val="18"/>
              </w:rPr>
              <w:t xml:space="preserve"> </w:t>
            </w:r>
            <w:r>
              <w:rPr>
                <w:sz w:val="18"/>
              </w:rPr>
              <w:t>Act.</w:t>
            </w:r>
            <w:r>
              <w:rPr>
                <w:spacing w:val="1"/>
                <w:sz w:val="18"/>
              </w:rPr>
              <w:t xml:space="preserve"> </w:t>
            </w:r>
            <w:r>
              <w:rPr>
                <w:sz w:val="18"/>
              </w:rPr>
              <w:t>The</w:t>
            </w:r>
            <w:r>
              <w:rPr>
                <w:spacing w:val="-2"/>
                <w:sz w:val="18"/>
              </w:rPr>
              <w:t xml:space="preserve"> </w:t>
            </w:r>
            <w:r>
              <w:rPr>
                <w:sz w:val="18"/>
              </w:rPr>
              <w:t>goal</w:t>
            </w:r>
            <w:r>
              <w:rPr>
                <w:spacing w:val="3"/>
                <w:sz w:val="18"/>
              </w:rPr>
              <w:t xml:space="preserve"> </w:t>
            </w:r>
            <w:r>
              <w:rPr>
                <w:sz w:val="18"/>
              </w:rPr>
              <w:t>of</w:t>
            </w:r>
            <w:r>
              <w:rPr>
                <w:spacing w:val="-3"/>
                <w:sz w:val="18"/>
              </w:rPr>
              <w:t xml:space="preserve"> </w:t>
            </w:r>
            <w:r>
              <w:rPr>
                <w:sz w:val="18"/>
              </w:rPr>
              <w:t>the</w:t>
            </w:r>
            <w:r>
              <w:rPr>
                <w:spacing w:val="-1"/>
                <w:sz w:val="18"/>
              </w:rPr>
              <w:t xml:space="preserve"> </w:t>
            </w:r>
            <w:r>
              <w:rPr>
                <w:sz w:val="18"/>
              </w:rPr>
              <w:t>Strategy</w:t>
            </w:r>
            <w:r>
              <w:rPr>
                <w:spacing w:val="-5"/>
                <w:sz w:val="18"/>
              </w:rPr>
              <w:t xml:space="preserve"> </w:t>
            </w:r>
            <w:r>
              <w:rPr>
                <w:sz w:val="18"/>
              </w:rPr>
              <w:t>is</w:t>
            </w:r>
            <w:r>
              <w:rPr>
                <w:spacing w:val="-1"/>
                <w:sz w:val="18"/>
              </w:rPr>
              <w:t xml:space="preserve"> </w:t>
            </w:r>
            <w:r>
              <w:rPr>
                <w:sz w:val="18"/>
              </w:rPr>
              <w:t>to</w:t>
            </w:r>
            <w:r>
              <w:rPr>
                <w:spacing w:val="1"/>
                <w:sz w:val="18"/>
              </w:rPr>
              <w:t xml:space="preserve"> </w:t>
            </w:r>
            <w:r>
              <w:rPr>
                <w:sz w:val="18"/>
              </w:rPr>
              <w:t>make</w:t>
            </w:r>
            <w:r>
              <w:rPr>
                <w:spacing w:val="-2"/>
                <w:sz w:val="18"/>
              </w:rPr>
              <w:t xml:space="preserve"> </w:t>
            </w:r>
            <w:r>
              <w:rPr>
                <w:sz w:val="18"/>
              </w:rPr>
              <w:t>the</w:t>
            </w:r>
            <w:r>
              <w:rPr>
                <w:spacing w:val="-1"/>
                <w:sz w:val="18"/>
              </w:rPr>
              <w:t xml:space="preserve"> </w:t>
            </w:r>
            <w:r>
              <w:rPr>
                <w:sz w:val="18"/>
              </w:rPr>
              <w:t>Republic</w:t>
            </w:r>
            <w:r>
              <w:rPr>
                <w:spacing w:val="-4"/>
                <w:sz w:val="18"/>
              </w:rPr>
              <w:t xml:space="preserve"> </w:t>
            </w:r>
            <w:r>
              <w:rPr>
                <w:sz w:val="18"/>
              </w:rPr>
              <w:t>of</w:t>
            </w:r>
            <w:r>
              <w:rPr>
                <w:spacing w:val="-2"/>
                <w:sz w:val="18"/>
              </w:rPr>
              <w:t xml:space="preserve"> </w:t>
            </w:r>
            <w:r>
              <w:rPr>
                <w:sz w:val="18"/>
              </w:rPr>
              <w:t>Croatia</w:t>
            </w:r>
            <w:r>
              <w:rPr>
                <w:spacing w:val="-2"/>
                <w:sz w:val="18"/>
              </w:rPr>
              <w:t xml:space="preserve"> </w:t>
            </w:r>
            <w:r>
              <w:rPr>
                <w:sz w:val="18"/>
              </w:rPr>
              <w:t>more</w:t>
            </w:r>
            <w:r>
              <w:rPr>
                <w:spacing w:val="-1"/>
                <w:sz w:val="18"/>
              </w:rPr>
              <w:t xml:space="preserve"> </w:t>
            </w:r>
            <w:r>
              <w:rPr>
                <w:sz w:val="18"/>
              </w:rPr>
              <w:t>resilient</w:t>
            </w:r>
            <w:r>
              <w:rPr>
                <w:spacing w:val="-1"/>
                <w:sz w:val="18"/>
              </w:rPr>
              <w:t xml:space="preserve"> </w:t>
            </w:r>
            <w:r>
              <w:rPr>
                <w:sz w:val="18"/>
              </w:rPr>
              <w:t>to</w:t>
            </w:r>
            <w:r>
              <w:rPr>
                <w:spacing w:val="-1"/>
                <w:sz w:val="18"/>
              </w:rPr>
              <w:t xml:space="preserve"> </w:t>
            </w:r>
            <w:r>
              <w:rPr>
                <w:sz w:val="18"/>
              </w:rPr>
              <w:t>disasters,</w:t>
            </w:r>
            <w:r>
              <w:rPr>
                <w:spacing w:val="-1"/>
                <w:sz w:val="18"/>
              </w:rPr>
              <w:t xml:space="preserve"> </w:t>
            </w:r>
            <w:r>
              <w:rPr>
                <w:sz w:val="18"/>
              </w:rPr>
              <w:t>through</w:t>
            </w:r>
          </w:p>
        </w:tc>
      </w:tr>
    </w:tbl>
    <w:p w:rsidR="00A56FE9" w:rsidRDefault="00A56FE9">
      <w:pPr>
        <w:spacing w:line="192" w:lineRule="exac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0"/>
        <w:gridCol w:w="3474"/>
        <w:gridCol w:w="8928"/>
      </w:tblGrid>
      <w:tr w:rsidR="00A56FE9">
        <w:trPr>
          <w:trHeight w:val="249"/>
        </w:trPr>
        <w:tc>
          <w:tcPr>
            <w:tcW w:w="2060" w:type="dxa"/>
            <w:tcBorders>
              <w:top w:val="nil"/>
              <w:left w:val="nil"/>
              <w:bottom w:val="nil"/>
              <w:right w:val="nil"/>
            </w:tcBorders>
            <w:shd w:val="clear" w:color="auto" w:fill="2C398A"/>
          </w:tcPr>
          <w:p w:rsidR="00A56FE9" w:rsidRDefault="00000000">
            <w:pPr>
              <w:pStyle w:val="TableParagraph"/>
              <w:spacing w:before="10" w:line="220" w:lineRule="exact"/>
              <w:ind w:left="804" w:right="803"/>
              <w:jc w:val="center"/>
              <w:rPr>
                <w:b/>
                <w:sz w:val="20"/>
              </w:rPr>
            </w:pPr>
            <w:r>
              <w:rPr>
                <w:b/>
                <w:color w:val="FFFFFF"/>
                <w:sz w:val="20"/>
              </w:rPr>
              <w:t>SDG</w:t>
            </w:r>
          </w:p>
        </w:tc>
        <w:tc>
          <w:tcPr>
            <w:tcW w:w="3474" w:type="dxa"/>
            <w:tcBorders>
              <w:top w:val="nil"/>
              <w:left w:val="nil"/>
              <w:bottom w:val="nil"/>
              <w:right w:val="nil"/>
            </w:tcBorders>
            <w:shd w:val="clear" w:color="auto" w:fill="2C398A"/>
          </w:tcPr>
          <w:p w:rsidR="00A56FE9" w:rsidRDefault="00000000">
            <w:pPr>
              <w:pStyle w:val="TableParagraph"/>
              <w:spacing w:before="10" w:line="220" w:lineRule="exact"/>
              <w:ind w:left="796"/>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8" w:type="dxa"/>
            <w:tcBorders>
              <w:top w:val="nil"/>
              <w:left w:val="nil"/>
              <w:bottom w:val="nil"/>
              <w:right w:val="nil"/>
            </w:tcBorders>
            <w:shd w:val="clear" w:color="auto" w:fill="2C398A"/>
          </w:tcPr>
          <w:p w:rsidR="00A56FE9" w:rsidRDefault="00000000">
            <w:pPr>
              <w:pStyle w:val="TableParagraph"/>
              <w:spacing w:before="10" w:line="220" w:lineRule="exact"/>
              <w:ind w:left="1951" w:right="1952"/>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412"/>
        </w:trPr>
        <w:tc>
          <w:tcPr>
            <w:tcW w:w="2060" w:type="dxa"/>
            <w:vMerge w:val="restart"/>
            <w:tcBorders>
              <w:top w:val="nil"/>
            </w:tcBorders>
            <w:shd w:val="clear" w:color="auto" w:fill="F1F1F1"/>
          </w:tcPr>
          <w:p w:rsidR="00A56FE9" w:rsidRDefault="00A56FE9">
            <w:pPr>
              <w:pStyle w:val="TableParagraph"/>
              <w:rPr>
                <w:sz w:val="18"/>
              </w:rPr>
            </w:pPr>
          </w:p>
        </w:tc>
        <w:tc>
          <w:tcPr>
            <w:tcW w:w="3474" w:type="dxa"/>
            <w:tcBorders>
              <w:top w:val="nil"/>
            </w:tcBorders>
          </w:tcPr>
          <w:p w:rsidR="00A56FE9" w:rsidRDefault="00A56FE9">
            <w:pPr>
              <w:pStyle w:val="TableParagraph"/>
              <w:rPr>
                <w:sz w:val="18"/>
              </w:rPr>
            </w:pPr>
          </w:p>
        </w:tc>
        <w:tc>
          <w:tcPr>
            <w:tcW w:w="8928" w:type="dxa"/>
            <w:tcBorders>
              <w:top w:val="nil"/>
            </w:tcBorders>
          </w:tcPr>
          <w:p w:rsidR="00A56FE9" w:rsidRDefault="00000000">
            <w:pPr>
              <w:pStyle w:val="TableParagraph"/>
              <w:spacing w:line="202" w:lineRule="exact"/>
              <w:ind w:left="104"/>
              <w:rPr>
                <w:sz w:val="18"/>
              </w:rPr>
            </w:pPr>
            <w:r>
              <w:rPr>
                <w:sz w:val="18"/>
              </w:rPr>
              <w:t>the</w:t>
            </w:r>
            <w:r>
              <w:rPr>
                <w:spacing w:val="-3"/>
                <w:sz w:val="18"/>
              </w:rPr>
              <w:t xml:space="preserve"> </w:t>
            </w:r>
            <w:r>
              <w:rPr>
                <w:sz w:val="18"/>
              </w:rPr>
              <w:t>realization</w:t>
            </w:r>
            <w:r>
              <w:rPr>
                <w:spacing w:val="-2"/>
                <w:sz w:val="18"/>
              </w:rPr>
              <w:t xml:space="preserve"> </w:t>
            </w:r>
            <w:r>
              <w:rPr>
                <w:sz w:val="18"/>
              </w:rPr>
              <w:t>of</w:t>
            </w:r>
            <w:r>
              <w:rPr>
                <w:spacing w:val="-3"/>
                <w:sz w:val="18"/>
              </w:rPr>
              <w:t xml:space="preserve"> </w:t>
            </w:r>
            <w:r>
              <w:rPr>
                <w:sz w:val="18"/>
              </w:rPr>
              <w:t>two strategic</w:t>
            </w:r>
            <w:r>
              <w:rPr>
                <w:spacing w:val="-2"/>
                <w:sz w:val="18"/>
              </w:rPr>
              <w:t xml:space="preserve"> </w:t>
            </w:r>
            <w:r>
              <w:rPr>
                <w:sz w:val="18"/>
              </w:rPr>
              <w:t>goals:</w:t>
            </w:r>
            <w:r>
              <w:rPr>
                <w:spacing w:val="-1"/>
                <w:sz w:val="18"/>
              </w:rPr>
              <w:t xml:space="preserve"> </w:t>
            </w:r>
            <w:r>
              <w:rPr>
                <w:sz w:val="18"/>
              </w:rPr>
              <w:t>1.</w:t>
            </w:r>
            <w:r>
              <w:rPr>
                <w:spacing w:val="-1"/>
                <w:sz w:val="18"/>
              </w:rPr>
              <w:t xml:space="preserve"> </w:t>
            </w:r>
            <w:r>
              <w:rPr>
                <w:sz w:val="18"/>
              </w:rPr>
              <w:t>Reducing</w:t>
            </w:r>
            <w:r>
              <w:rPr>
                <w:spacing w:val="-2"/>
                <w:sz w:val="18"/>
              </w:rPr>
              <w:t xml:space="preserve"> </w:t>
            </w:r>
            <w:r>
              <w:rPr>
                <w:sz w:val="18"/>
              </w:rPr>
              <w:t>the</w:t>
            </w:r>
            <w:r>
              <w:rPr>
                <w:spacing w:val="-2"/>
                <w:sz w:val="18"/>
              </w:rPr>
              <w:t xml:space="preserve"> </w:t>
            </w:r>
            <w:r>
              <w:rPr>
                <w:sz w:val="18"/>
              </w:rPr>
              <w:t>greatest</w:t>
            </w:r>
            <w:r>
              <w:rPr>
                <w:spacing w:val="-2"/>
                <w:sz w:val="18"/>
              </w:rPr>
              <w:t xml:space="preserve"> </w:t>
            </w:r>
            <w:r>
              <w:rPr>
                <w:sz w:val="18"/>
              </w:rPr>
              <w:t>risks</w:t>
            </w:r>
            <w:r>
              <w:rPr>
                <w:spacing w:val="1"/>
                <w:sz w:val="18"/>
              </w:rPr>
              <w:t xml:space="preserve"> </w:t>
            </w:r>
            <w:r>
              <w:rPr>
                <w:sz w:val="18"/>
              </w:rPr>
              <w:t>from</w:t>
            </w:r>
            <w:r>
              <w:rPr>
                <w:spacing w:val="-4"/>
                <w:sz w:val="18"/>
              </w:rPr>
              <w:t xml:space="preserve"> </w:t>
            </w:r>
            <w:r>
              <w:rPr>
                <w:sz w:val="18"/>
              </w:rPr>
              <w:t>disasters,</w:t>
            </w:r>
            <w:r>
              <w:rPr>
                <w:spacing w:val="-1"/>
                <w:sz w:val="18"/>
              </w:rPr>
              <w:t xml:space="preserve"> </w:t>
            </w:r>
            <w:r>
              <w:rPr>
                <w:sz w:val="18"/>
              </w:rPr>
              <w:t>and</w:t>
            </w:r>
            <w:r>
              <w:rPr>
                <w:spacing w:val="-1"/>
                <w:sz w:val="18"/>
              </w:rPr>
              <w:t xml:space="preserve"> </w:t>
            </w:r>
            <w:r>
              <w:rPr>
                <w:sz w:val="18"/>
              </w:rPr>
              <w:t>2.</w:t>
            </w:r>
            <w:r>
              <w:rPr>
                <w:spacing w:val="-1"/>
                <w:sz w:val="18"/>
              </w:rPr>
              <w:t xml:space="preserve"> </w:t>
            </w:r>
            <w:r>
              <w:rPr>
                <w:sz w:val="18"/>
              </w:rPr>
              <w:t>Increasing</w:t>
            </w:r>
            <w:r>
              <w:rPr>
                <w:spacing w:val="-5"/>
                <w:sz w:val="18"/>
              </w:rPr>
              <w:t xml:space="preserve"> </w:t>
            </w:r>
            <w:r>
              <w:rPr>
                <w:sz w:val="18"/>
              </w:rPr>
              <w:t>preparedness</w:t>
            </w:r>
            <w:r>
              <w:rPr>
                <w:spacing w:val="-2"/>
                <w:sz w:val="18"/>
              </w:rPr>
              <w:t xml:space="preserve"> </w:t>
            </w:r>
            <w:r>
              <w:rPr>
                <w:sz w:val="18"/>
              </w:rPr>
              <w:t>for</w:t>
            </w:r>
          </w:p>
          <w:p w:rsidR="00A56FE9" w:rsidRDefault="00000000">
            <w:pPr>
              <w:pStyle w:val="TableParagraph"/>
              <w:spacing w:line="191" w:lineRule="exact"/>
              <w:ind w:left="104"/>
              <w:rPr>
                <w:sz w:val="18"/>
              </w:rPr>
            </w:pPr>
            <w:r>
              <w:rPr>
                <w:sz w:val="18"/>
              </w:rPr>
              <w:t>disaster</w:t>
            </w:r>
            <w:r>
              <w:rPr>
                <w:spacing w:val="-3"/>
                <w:sz w:val="18"/>
              </w:rPr>
              <w:t xml:space="preserve"> </w:t>
            </w:r>
            <w:r>
              <w:rPr>
                <w:sz w:val="18"/>
              </w:rPr>
              <w:t>management.</w:t>
            </w:r>
          </w:p>
        </w:tc>
      </w:tr>
      <w:tr w:rsidR="00A56FE9">
        <w:trPr>
          <w:trHeight w:val="1657"/>
        </w:trPr>
        <w:tc>
          <w:tcPr>
            <w:tcW w:w="2060" w:type="dxa"/>
            <w:vMerge/>
            <w:tcBorders>
              <w:top w:val="nil"/>
            </w:tcBorders>
            <w:shd w:val="clear" w:color="auto" w:fill="F1F1F1"/>
          </w:tcPr>
          <w:p w:rsidR="00A56FE9" w:rsidRDefault="00A56FE9">
            <w:pPr>
              <w:rPr>
                <w:sz w:val="2"/>
                <w:szCs w:val="2"/>
              </w:rPr>
            </w:pPr>
          </w:p>
        </w:tc>
        <w:tc>
          <w:tcPr>
            <w:tcW w:w="3474" w:type="dxa"/>
          </w:tcPr>
          <w:p w:rsidR="00A56FE9" w:rsidRDefault="00000000">
            <w:pPr>
              <w:pStyle w:val="TableParagraph"/>
              <w:ind w:left="105" w:right="395"/>
              <w:rPr>
                <w:sz w:val="18"/>
              </w:rPr>
            </w:pPr>
            <w:r>
              <w:rPr>
                <w:sz w:val="18"/>
              </w:rPr>
              <w:t>Implementation of the early warning and</w:t>
            </w:r>
            <w:r>
              <w:rPr>
                <w:spacing w:val="-43"/>
                <w:sz w:val="18"/>
              </w:rPr>
              <w:t xml:space="preserve"> </w:t>
            </w:r>
            <w:r>
              <w:rPr>
                <w:sz w:val="18"/>
              </w:rPr>
              <w:t>crisis</w:t>
            </w:r>
            <w:r>
              <w:rPr>
                <w:spacing w:val="-1"/>
                <w:sz w:val="18"/>
              </w:rPr>
              <w:t xml:space="preserve"> </w:t>
            </w:r>
            <w:r>
              <w:rPr>
                <w:sz w:val="18"/>
              </w:rPr>
              <w:t>management system</w:t>
            </w:r>
          </w:p>
        </w:tc>
        <w:tc>
          <w:tcPr>
            <w:tcW w:w="8928" w:type="dxa"/>
          </w:tcPr>
          <w:p w:rsidR="00A56FE9" w:rsidRDefault="00000000">
            <w:pPr>
              <w:pStyle w:val="TableParagraph"/>
              <w:ind w:left="104" w:right="92"/>
              <w:rPr>
                <w:sz w:val="18"/>
              </w:rPr>
            </w:pPr>
            <w:r>
              <w:rPr>
                <w:sz w:val="18"/>
              </w:rPr>
              <w:t>The implementation of the project Early Warning and Crisis Management System will ensure fast and reliable</w:t>
            </w:r>
            <w:r>
              <w:rPr>
                <w:spacing w:val="1"/>
                <w:sz w:val="18"/>
              </w:rPr>
              <w:t xml:space="preserve"> </w:t>
            </w:r>
            <w:r>
              <w:rPr>
                <w:sz w:val="18"/>
              </w:rPr>
              <w:t>communication for crisis management using modern technologies. The establishment of new communication channels</w:t>
            </w:r>
            <w:r>
              <w:rPr>
                <w:spacing w:val="1"/>
                <w:sz w:val="18"/>
              </w:rPr>
              <w:t xml:space="preserve"> </w:t>
            </w:r>
            <w:r>
              <w:rPr>
                <w:sz w:val="18"/>
              </w:rPr>
              <w:t>and the improvement of the communication process will significantly contribute to the rapid and reliable distribution of</w:t>
            </w:r>
            <w:r>
              <w:rPr>
                <w:spacing w:val="1"/>
                <w:sz w:val="18"/>
              </w:rPr>
              <w:t xml:space="preserve"> </w:t>
            </w:r>
            <w:r>
              <w:rPr>
                <w:sz w:val="18"/>
              </w:rPr>
              <w:t>credible,</w:t>
            </w:r>
            <w:r>
              <w:rPr>
                <w:spacing w:val="-3"/>
                <w:sz w:val="18"/>
              </w:rPr>
              <w:t xml:space="preserve"> </w:t>
            </w:r>
            <w:r>
              <w:rPr>
                <w:sz w:val="18"/>
              </w:rPr>
              <w:t>timely,</w:t>
            </w:r>
            <w:r>
              <w:rPr>
                <w:spacing w:val="-2"/>
                <w:sz w:val="18"/>
              </w:rPr>
              <w:t xml:space="preserve"> </w:t>
            </w:r>
            <w:r>
              <w:rPr>
                <w:sz w:val="18"/>
              </w:rPr>
              <w:t>accurate</w:t>
            </w:r>
            <w:r>
              <w:rPr>
                <w:spacing w:val="-2"/>
                <w:sz w:val="18"/>
              </w:rPr>
              <w:t xml:space="preserve"> </w:t>
            </w:r>
            <w:r>
              <w:rPr>
                <w:sz w:val="18"/>
              </w:rPr>
              <w:t>and</w:t>
            </w:r>
            <w:r>
              <w:rPr>
                <w:spacing w:val="-2"/>
                <w:sz w:val="18"/>
              </w:rPr>
              <w:t xml:space="preserve"> </w:t>
            </w:r>
            <w:r>
              <w:rPr>
                <w:sz w:val="18"/>
              </w:rPr>
              <w:t>effective</w:t>
            </w:r>
            <w:r>
              <w:rPr>
                <w:spacing w:val="-3"/>
                <w:sz w:val="18"/>
              </w:rPr>
              <w:t xml:space="preserve"> </w:t>
            </w:r>
            <w:r>
              <w:rPr>
                <w:sz w:val="18"/>
              </w:rPr>
              <w:t>information</w:t>
            </w:r>
            <w:r>
              <w:rPr>
                <w:spacing w:val="-1"/>
                <w:sz w:val="18"/>
              </w:rPr>
              <w:t xml:space="preserve"> </w:t>
            </w:r>
            <w:r>
              <w:rPr>
                <w:sz w:val="18"/>
              </w:rPr>
              <w:t>on</w:t>
            </w:r>
            <w:r>
              <w:rPr>
                <w:spacing w:val="-1"/>
                <w:sz w:val="18"/>
              </w:rPr>
              <w:t xml:space="preserve"> </w:t>
            </w:r>
            <w:r>
              <w:rPr>
                <w:sz w:val="18"/>
              </w:rPr>
              <w:t>hazards</w:t>
            </w:r>
            <w:r>
              <w:rPr>
                <w:spacing w:val="-3"/>
                <w:sz w:val="18"/>
              </w:rPr>
              <w:t xml:space="preserve"> </w:t>
            </w:r>
            <w:r>
              <w:rPr>
                <w:sz w:val="18"/>
              </w:rPr>
              <w:t>and</w:t>
            </w:r>
            <w:r>
              <w:rPr>
                <w:spacing w:val="-3"/>
                <w:sz w:val="18"/>
              </w:rPr>
              <w:t xml:space="preserve"> </w:t>
            </w:r>
            <w:r>
              <w:rPr>
                <w:sz w:val="18"/>
              </w:rPr>
              <w:t>related</w:t>
            </w:r>
            <w:r>
              <w:rPr>
                <w:spacing w:val="-1"/>
                <w:sz w:val="18"/>
              </w:rPr>
              <w:t xml:space="preserve"> </w:t>
            </w:r>
            <w:r>
              <w:rPr>
                <w:sz w:val="18"/>
              </w:rPr>
              <w:t>information.</w:t>
            </w:r>
            <w:r>
              <w:rPr>
                <w:spacing w:val="-2"/>
                <w:sz w:val="18"/>
              </w:rPr>
              <w:t xml:space="preserve"> </w:t>
            </w:r>
            <w:r>
              <w:rPr>
                <w:sz w:val="18"/>
              </w:rPr>
              <w:t>Timely</w:t>
            </w:r>
            <w:r>
              <w:rPr>
                <w:spacing w:val="-7"/>
                <w:sz w:val="18"/>
              </w:rPr>
              <w:t xml:space="preserve"> </w:t>
            </w:r>
            <w:r>
              <w:rPr>
                <w:sz w:val="18"/>
              </w:rPr>
              <w:t>issuance</w:t>
            </w:r>
            <w:r>
              <w:rPr>
                <w:spacing w:val="-3"/>
                <w:sz w:val="18"/>
              </w:rPr>
              <w:t xml:space="preserve"> </w:t>
            </w:r>
            <w:r>
              <w:rPr>
                <w:sz w:val="18"/>
              </w:rPr>
              <w:t>and</w:t>
            </w:r>
            <w:r>
              <w:rPr>
                <w:spacing w:val="-3"/>
                <w:sz w:val="18"/>
              </w:rPr>
              <w:t xml:space="preserve"> </w:t>
            </w:r>
            <w:r>
              <w:rPr>
                <w:sz w:val="18"/>
              </w:rPr>
              <w:t>distribution</w:t>
            </w:r>
            <w:r>
              <w:rPr>
                <w:spacing w:val="-42"/>
                <w:sz w:val="18"/>
              </w:rPr>
              <w:t xml:space="preserve"> </w:t>
            </w:r>
            <w:r>
              <w:rPr>
                <w:sz w:val="18"/>
              </w:rPr>
              <w:t>of these notices, as essential components of a comprehensive early warning system, will contribute to raising the overall</w:t>
            </w:r>
            <w:r>
              <w:rPr>
                <w:spacing w:val="-42"/>
                <w:sz w:val="18"/>
              </w:rPr>
              <w:t xml:space="preserve"> </w:t>
            </w:r>
            <w:r>
              <w:rPr>
                <w:sz w:val="18"/>
              </w:rPr>
              <w:t>ability</w:t>
            </w:r>
            <w:r>
              <w:rPr>
                <w:spacing w:val="-5"/>
                <w:sz w:val="18"/>
              </w:rPr>
              <w:t xml:space="preserve"> </w:t>
            </w:r>
            <w:r>
              <w:rPr>
                <w:sz w:val="18"/>
              </w:rPr>
              <w:t>to</w:t>
            </w:r>
            <w:r>
              <w:rPr>
                <w:spacing w:val="1"/>
                <w:sz w:val="18"/>
              </w:rPr>
              <w:t xml:space="preserve"> </w:t>
            </w:r>
            <w:r>
              <w:rPr>
                <w:sz w:val="18"/>
              </w:rPr>
              <w:t>respond to</w:t>
            </w:r>
            <w:r>
              <w:rPr>
                <w:spacing w:val="1"/>
                <w:sz w:val="18"/>
              </w:rPr>
              <w:t xml:space="preserve"> </w:t>
            </w:r>
            <w:r>
              <w:rPr>
                <w:sz w:val="18"/>
              </w:rPr>
              <w:t>crisis situations</w:t>
            </w:r>
            <w:r>
              <w:rPr>
                <w:spacing w:val="-1"/>
                <w:sz w:val="18"/>
              </w:rPr>
              <w:t xml:space="preserve"> </w:t>
            </w:r>
            <w:r>
              <w:rPr>
                <w:sz w:val="18"/>
              </w:rPr>
              <w:t>in</w:t>
            </w:r>
            <w:r>
              <w:rPr>
                <w:spacing w:val="-1"/>
                <w:sz w:val="18"/>
              </w:rPr>
              <w:t xml:space="preserve"> </w:t>
            </w:r>
            <w:r>
              <w:rPr>
                <w:sz w:val="18"/>
              </w:rPr>
              <w:t>the</w:t>
            </w:r>
            <w:r>
              <w:rPr>
                <w:spacing w:val="-2"/>
                <w:sz w:val="18"/>
              </w:rPr>
              <w:t xml:space="preserve"> </w:t>
            </w:r>
            <w:r>
              <w:rPr>
                <w:sz w:val="18"/>
              </w:rPr>
              <w:t>Republic of</w:t>
            </w:r>
            <w:r>
              <w:rPr>
                <w:spacing w:val="-2"/>
                <w:sz w:val="18"/>
              </w:rPr>
              <w:t xml:space="preserve"> </w:t>
            </w:r>
            <w:r>
              <w:rPr>
                <w:sz w:val="18"/>
              </w:rPr>
              <w:t>Croatia.</w:t>
            </w:r>
            <w:r>
              <w:rPr>
                <w:spacing w:val="-1"/>
                <w:sz w:val="18"/>
              </w:rPr>
              <w:t xml:space="preserve"> </w:t>
            </w:r>
            <w:r>
              <w:rPr>
                <w:sz w:val="18"/>
              </w:rPr>
              <w:t>The</w:t>
            </w:r>
            <w:r>
              <w:rPr>
                <w:spacing w:val="-1"/>
                <w:sz w:val="18"/>
              </w:rPr>
              <w:t xml:space="preserve"> </w:t>
            </w:r>
            <w:r>
              <w:rPr>
                <w:sz w:val="18"/>
              </w:rPr>
              <w:t>ultimate</w:t>
            </w:r>
            <w:r>
              <w:rPr>
                <w:spacing w:val="-1"/>
                <w:sz w:val="18"/>
              </w:rPr>
              <w:t xml:space="preserve"> </w:t>
            </w:r>
            <w:r>
              <w:rPr>
                <w:sz w:val="18"/>
              </w:rPr>
              <w:t>goal of</w:t>
            </w:r>
            <w:r>
              <w:rPr>
                <w:spacing w:val="-2"/>
                <w:sz w:val="18"/>
              </w:rPr>
              <w:t xml:space="preserve"> </w:t>
            </w:r>
            <w:r>
              <w:rPr>
                <w:sz w:val="18"/>
              </w:rPr>
              <w:t>the</w:t>
            </w:r>
            <w:r>
              <w:rPr>
                <w:spacing w:val="-2"/>
                <w:sz w:val="18"/>
              </w:rPr>
              <w:t xml:space="preserve"> </w:t>
            </w:r>
            <w:r>
              <w:rPr>
                <w:sz w:val="18"/>
              </w:rPr>
              <w:t>project is</w:t>
            </w:r>
            <w:r>
              <w:rPr>
                <w:spacing w:val="-3"/>
                <w:sz w:val="18"/>
              </w:rPr>
              <w:t xml:space="preserve"> </w:t>
            </w:r>
            <w:r>
              <w:rPr>
                <w:sz w:val="18"/>
              </w:rPr>
              <w:t>to</w:t>
            </w:r>
            <w:r>
              <w:rPr>
                <w:spacing w:val="-1"/>
                <w:sz w:val="18"/>
              </w:rPr>
              <w:t xml:space="preserve"> </w:t>
            </w:r>
            <w:r>
              <w:rPr>
                <w:sz w:val="18"/>
              </w:rPr>
              <w:t>quickly</w:t>
            </w:r>
            <w:r>
              <w:rPr>
                <w:spacing w:val="-3"/>
                <w:sz w:val="18"/>
              </w:rPr>
              <w:t xml:space="preserve"> </w:t>
            </w:r>
            <w:r>
              <w:rPr>
                <w:sz w:val="18"/>
              </w:rPr>
              <w:t>and</w:t>
            </w:r>
          </w:p>
          <w:p w:rsidR="00A56FE9" w:rsidRDefault="00000000">
            <w:pPr>
              <w:pStyle w:val="TableParagraph"/>
              <w:spacing w:line="206" w:lineRule="exact"/>
              <w:ind w:left="104" w:right="221"/>
              <w:rPr>
                <w:sz w:val="18"/>
              </w:rPr>
            </w:pPr>
            <w:r>
              <w:rPr>
                <w:sz w:val="18"/>
              </w:rPr>
              <w:t>effectively inform civil protection participants and citizens via mobile phones and other modern technologies about the</w:t>
            </w:r>
            <w:r>
              <w:rPr>
                <w:spacing w:val="-43"/>
                <w:sz w:val="18"/>
              </w:rPr>
              <w:t xml:space="preserve"> </w:t>
            </w:r>
            <w:r>
              <w:rPr>
                <w:sz w:val="18"/>
              </w:rPr>
              <w:t>dangers</w:t>
            </w:r>
            <w:r>
              <w:rPr>
                <w:spacing w:val="-2"/>
                <w:sz w:val="18"/>
              </w:rPr>
              <w:t xml:space="preserve"> </w:t>
            </w:r>
            <w:r>
              <w:rPr>
                <w:sz w:val="18"/>
              </w:rPr>
              <w:t>that</w:t>
            </w:r>
            <w:r>
              <w:rPr>
                <w:spacing w:val="-1"/>
                <w:sz w:val="18"/>
              </w:rPr>
              <w:t xml:space="preserve"> </w:t>
            </w:r>
            <w:r>
              <w:rPr>
                <w:sz w:val="18"/>
              </w:rPr>
              <w:t>threaten and</w:t>
            </w:r>
            <w:r>
              <w:rPr>
                <w:spacing w:val="-2"/>
                <w:sz w:val="18"/>
              </w:rPr>
              <w:t xml:space="preserve"> </w:t>
            </w:r>
            <w:r>
              <w:rPr>
                <w:sz w:val="18"/>
              </w:rPr>
              <w:t>the</w:t>
            </w:r>
            <w:r>
              <w:rPr>
                <w:spacing w:val="-2"/>
                <w:sz w:val="18"/>
              </w:rPr>
              <w:t xml:space="preserve"> </w:t>
            </w:r>
            <w:r>
              <w:rPr>
                <w:sz w:val="18"/>
              </w:rPr>
              <w:t>measures</w:t>
            </w:r>
            <w:r>
              <w:rPr>
                <w:spacing w:val="-1"/>
                <w:sz w:val="18"/>
              </w:rPr>
              <w:t xml:space="preserve"> </w:t>
            </w:r>
            <w:r>
              <w:rPr>
                <w:sz w:val="18"/>
              </w:rPr>
              <w:t>that</w:t>
            </w:r>
            <w:r>
              <w:rPr>
                <w:spacing w:val="-1"/>
                <w:sz w:val="18"/>
              </w:rPr>
              <w:t xml:space="preserve"> </w:t>
            </w:r>
            <w:r>
              <w:rPr>
                <w:sz w:val="18"/>
              </w:rPr>
              <w:t>need</w:t>
            </w:r>
            <w:r>
              <w:rPr>
                <w:spacing w:val="-2"/>
                <w:sz w:val="18"/>
              </w:rPr>
              <w:t xml:space="preserve"> </w:t>
            </w:r>
            <w:r>
              <w:rPr>
                <w:sz w:val="18"/>
              </w:rPr>
              <w:t>to</w:t>
            </w:r>
            <w:r>
              <w:rPr>
                <w:spacing w:val="-2"/>
                <w:sz w:val="18"/>
              </w:rPr>
              <w:t xml:space="preserve"> </w:t>
            </w:r>
            <w:r>
              <w:rPr>
                <w:sz w:val="18"/>
              </w:rPr>
              <w:t>be</w:t>
            </w:r>
            <w:r>
              <w:rPr>
                <w:spacing w:val="-2"/>
                <w:sz w:val="18"/>
              </w:rPr>
              <w:t xml:space="preserve"> </w:t>
            </w:r>
            <w:r>
              <w:rPr>
                <w:sz w:val="18"/>
              </w:rPr>
              <w:t>taken to</w:t>
            </w:r>
            <w:r>
              <w:rPr>
                <w:spacing w:val="-2"/>
                <w:sz w:val="18"/>
              </w:rPr>
              <w:t xml:space="preserve"> </w:t>
            </w:r>
            <w:r>
              <w:rPr>
                <w:sz w:val="18"/>
              </w:rPr>
              <w:t>reduce</w:t>
            </w:r>
            <w:r>
              <w:rPr>
                <w:spacing w:val="-2"/>
                <w:sz w:val="18"/>
              </w:rPr>
              <w:t xml:space="preserve"> </w:t>
            </w:r>
            <w:r>
              <w:rPr>
                <w:sz w:val="18"/>
              </w:rPr>
              <w:t>human casualties</w:t>
            </w:r>
            <w:r>
              <w:rPr>
                <w:spacing w:val="-2"/>
                <w:sz w:val="18"/>
              </w:rPr>
              <w:t xml:space="preserve"> </w:t>
            </w:r>
            <w:r>
              <w:rPr>
                <w:sz w:val="18"/>
              </w:rPr>
              <w:t>and material</w:t>
            </w:r>
            <w:r>
              <w:rPr>
                <w:spacing w:val="2"/>
                <w:sz w:val="18"/>
              </w:rPr>
              <w:t xml:space="preserve"> </w:t>
            </w:r>
            <w:r>
              <w:rPr>
                <w:sz w:val="18"/>
              </w:rPr>
              <w:t>damage.</w:t>
            </w:r>
          </w:p>
        </w:tc>
      </w:tr>
      <w:tr w:rsidR="00A56FE9">
        <w:trPr>
          <w:trHeight w:val="828"/>
        </w:trPr>
        <w:tc>
          <w:tcPr>
            <w:tcW w:w="2060" w:type="dxa"/>
            <w:vMerge w:val="restart"/>
            <w:shd w:val="clear" w:color="auto" w:fill="F1F1F1"/>
          </w:tcPr>
          <w:p w:rsidR="00A56FE9" w:rsidRDefault="00000000">
            <w:pPr>
              <w:pStyle w:val="TableParagraph"/>
              <w:ind w:left="105" w:right="376"/>
              <w:rPr>
                <w:sz w:val="20"/>
              </w:rPr>
            </w:pPr>
            <w:r>
              <w:rPr>
                <w:b/>
                <w:sz w:val="20"/>
              </w:rPr>
              <w:t>11.</w:t>
            </w:r>
            <w:r>
              <w:rPr>
                <w:b/>
                <w:spacing w:val="-6"/>
                <w:sz w:val="20"/>
              </w:rPr>
              <w:t xml:space="preserve"> </w:t>
            </w:r>
            <w:r>
              <w:rPr>
                <w:sz w:val="20"/>
              </w:rPr>
              <w:t>Make</w:t>
            </w:r>
            <w:r>
              <w:rPr>
                <w:spacing w:val="-6"/>
                <w:sz w:val="20"/>
              </w:rPr>
              <w:t xml:space="preserve"> </w:t>
            </w:r>
            <w:r>
              <w:rPr>
                <w:sz w:val="20"/>
              </w:rPr>
              <w:t>cities</w:t>
            </w:r>
            <w:r>
              <w:rPr>
                <w:spacing w:val="-6"/>
                <w:sz w:val="20"/>
              </w:rPr>
              <w:t xml:space="preserve"> </w:t>
            </w:r>
            <w:r>
              <w:rPr>
                <w:sz w:val="20"/>
              </w:rPr>
              <w:t>and</w:t>
            </w:r>
            <w:r>
              <w:rPr>
                <w:spacing w:val="-47"/>
                <w:sz w:val="20"/>
              </w:rPr>
              <w:t xml:space="preserve"> </w:t>
            </w:r>
            <w:r>
              <w:rPr>
                <w:sz w:val="20"/>
              </w:rPr>
              <w:t>human settlements</w:t>
            </w:r>
            <w:r>
              <w:rPr>
                <w:spacing w:val="1"/>
                <w:sz w:val="20"/>
              </w:rPr>
              <w:t xml:space="preserve"> </w:t>
            </w:r>
            <w:r>
              <w:rPr>
                <w:sz w:val="20"/>
              </w:rPr>
              <w:t>inclusive, safe,</w:t>
            </w:r>
            <w:r>
              <w:rPr>
                <w:spacing w:val="1"/>
                <w:sz w:val="20"/>
              </w:rPr>
              <w:t xml:space="preserve"> </w:t>
            </w:r>
            <w:r>
              <w:rPr>
                <w:sz w:val="20"/>
              </w:rPr>
              <w:t>resilient and</w:t>
            </w:r>
            <w:r>
              <w:rPr>
                <w:spacing w:val="1"/>
                <w:sz w:val="20"/>
              </w:rPr>
              <w:t xml:space="preserve"> </w:t>
            </w:r>
            <w:r>
              <w:rPr>
                <w:sz w:val="20"/>
              </w:rPr>
              <w:t>sustainable</w:t>
            </w:r>
          </w:p>
        </w:tc>
        <w:tc>
          <w:tcPr>
            <w:tcW w:w="3474" w:type="dxa"/>
            <w:shd w:val="clear" w:color="auto" w:fill="C5EECE"/>
          </w:tcPr>
          <w:p w:rsidR="00A56FE9" w:rsidRDefault="00000000">
            <w:pPr>
              <w:pStyle w:val="TableParagraph"/>
              <w:ind w:left="105" w:right="176"/>
              <w:jc w:val="both"/>
              <w:rPr>
                <w:sz w:val="18"/>
              </w:rPr>
            </w:pPr>
            <w:r>
              <w:rPr>
                <w:sz w:val="18"/>
              </w:rPr>
              <w:t>Adoption of the Waste Management Plan of</w:t>
            </w:r>
            <w:r>
              <w:rPr>
                <w:spacing w:val="-42"/>
                <w:sz w:val="18"/>
              </w:rPr>
              <w:t xml:space="preserve"> </w:t>
            </w:r>
            <w:r>
              <w:rPr>
                <w:sz w:val="18"/>
              </w:rPr>
              <w:t>the Republic of Croatia for the period 2022-</w:t>
            </w:r>
            <w:r>
              <w:rPr>
                <w:spacing w:val="-42"/>
                <w:sz w:val="18"/>
              </w:rPr>
              <w:t xml:space="preserve"> </w:t>
            </w:r>
            <w:r>
              <w:rPr>
                <w:sz w:val="18"/>
              </w:rPr>
              <w:t>2028</w:t>
            </w:r>
          </w:p>
          <w:p w:rsidR="00A56FE9" w:rsidRDefault="00000000">
            <w:pPr>
              <w:pStyle w:val="TableParagraph"/>
              <w:spacing w:line="192" w:lineRule="exact"/>
              <w:ind w:left="105"/>
              <w:jc w:val="both"/>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12</w:t>
            </w:r>
          </w:p>
        </w:tc>
        <w:tc>
          <w:tcPr>
            <w:tcW w:w="8928" w:type="dxa"/>
            <w:shd w:val="clear" w:color="auto" w:fill="C5EECE"/>
          </w:tcPr>
          <w:p w:rsidR="00A56FE9" w:rsidRDefault="00000000">
            <w:pPr>
              <w:pStyle w:val="TableParagraph"/>
              <w:ind w:left="104"/>
              <w:rPr>
                <w:sz w:val="18"/>
              </w:rPr>
            </w:pPr>
            <w:r>
              <w:rPr>
                <w:sz w:val="18"/>
              </w:rPr>
              <w:t>Adoption and publication of Croatia’s Waste Management Plan for the period 2022-2028 in conjunction with the new</w:t>
            </w:r>
            <w:r>
              <w:rPr>
                <w:spacing w:val="1"/>
                <w:sz w:val="18"/>
              </w:rPr>
              <w:t xml:space="preserve"> </w:t>
            </w:r>
            <w:r>
              <w:rPr>
                <w:sz w:val="18"/>
              </w:rPr>
              <w:t>objectives</w:t>
            </w:r>
            <w:r>
              <w:rPr>
                <w:spacing w:val="-1"/>
                <w:sz w:val="18"/>
              </w:rPr>
              <w:t xml:space="preserve"> </w:t>
            </w:r>
            <w:r>
              <w:rPr>
                <w:sz w:val="18"/>
              </w:rPr>
              <w:t>laid down in</w:t>
            </w:r>
            <w:r>
              <w:rPr>
                <w:spacing w:val="-2"/>
                <w:sz w:val="18"/>
              </w:rPr>
              <w:t xml:space="preserve"> </w:t>
            </w:r>
            <w:r>
              <w:rPr>
                <w:sz w:val="18"/>
              </w:rPr>
              <w:t>the</w:t>
            </w:r>
            <w:r>
              <w:rPr>
                <w:spacing w:val="-2"/>
                <w:sz w:val="18"/>
              </w:rPr>
              <w:t xml:space="preserve"> </w:t>
            </w:r>
            <w:r>
              <w:rPr>
                <w:sz w:val="18"/>
              </w:rPr>
              <w:t>Waste</w:t>
            </w:r>
            <w:r>
              <w:rPr>
                <w:spacing w:val="-1"/>
                <w:sz w:val="18"/>
              </w:rPr>
              <w:t xml:space="preserve"> </w:t>
            </w:r>
            <w:r>
              <w:rPr>
                <w:sz w:val="18"/>
              </w:rPr>
              <w:t>Management Act</w:t>
            </w:r>
            <w:r>
              <w:rPr>
                <w:spacing w:val="-1"/>
                <w:sz w:val="18"/>
              </w:rPr>
              <w:t xml:space="preserve"> </w:t>
            </w:r>
            <w:r>
              <w:rPr>
                <w:sz w:val="18"/>
              </w:rPr>
              <w:t>and the</w:t>
            </w:r>
            <w:r>
              <w:rPr>
                <w:spacing w:val="-2"/>
                <w:sz w:val="18"/>
              </w:rPr>
              <w:t xml:space="preserve"> </w:t>
            </w:r>
            <w:r>
              <w:rPr>
                <w:sz w:val="18"/>
              </w:rPr>
              <w:t>Circular</w:t>
            </w:r>
            <w:r>
              <w:rPr>
                <w:spacing w:val="-1"/>
                <w:sz w:val="18"/>
              </w:rPr>
              <w:t xml:space="preserve"> </w:t>
            </w:r>
            <w:r>
              <w:rPr>
                <w:sz w:val="18"/>
              </w:rPr>
              <w:t>Economy</w:t>
            </w:r>
            <w:r>
              <w:rPr>
                <w:spacing w:val="-2"/>
                <w:sz w:val="18"/>
              </w:rPr>
              <w:t xml:space="preserve"> </w:t>
            </w:r>
            <w:r>
              <w:rPr>
                <w:sz w:val="18"/>
              </w:rPr>
              <w:t>Action Plan, following</w:t>
            </w:r>
            <w:r>
              <w:rPr>
                <w:spacing w:val="-2"/>
                <w:sz w:val="18"/>
              </w:rPr>
              <w:t xml:space="preserve"> </w:t>
            </w:r>
            <w:r>
              <w:rPr>
                <w:sz w:val="18"/>
              </w:rPr>
              <w:t>public</w:t>
            </w:r>
          </w:p>
          <w:p w:rsidR="00A56FE9" w:rsidRDefault="00000000">
            <w:pPr>
              <w:pStyle w:val="TableParagraph"/>
              <w:spacing w:line="206" w:lineRule="exact"/>
              <w:ind w:left="104"/>
              <w:rPr>
                <w:sz w:val="18"/>
              </w:rPr>
            </w:pPr>
            <w:r>
              <w:rPr>
                <w:sz w:val="18"/>
              </w:rPr>
              <w:t>consultations.</w:t>
            </w:r>
            <w:r>
              <w:rPr>
                <w:spacing w:val="-4"/>
                <w:sz w:val="18"/>
              </w:rPr>
              <w:t xml:space="preserve"> </w:t>
            </w:r>
            <w:r>
              <w:rPr>
                <w:sz w:val="18"/>
              </w:rPr>
              <w:t>The</w:t>
            </w:r>
            <w:r>
              <w:rPr>
                <w:spacing w:val="-2"/>
                <w:sz w:val="18"/>
              </w:rPr>
              <w:t xml:space="preserve"> </w:t>
            </w:r>
            <w:r>
              <w:rPr>
                <w:sz w:val="18"/>
              </w:rPr>
              <w:t>plan shall</w:t>
            </w:r>
            <w:r>
              <w:rPr>
                <w:spacing w:val="-1"/>
                <w:sz w:val="18"/>
              </w:rPr>
              <w:t xml:space="preserve"> </w:t>
            </w:r>
            <w:r>
              <w:rPr>
                <w:sz w:val="18"/>
              </w:rPr>
              <w:t>specify</w:t>
            </w:r>
            <w:r>
              <w:rPr>
                <w:spacing w:val="-4"/>
                <w:sz w:val="18"/>
              </w:rPr>
              <w:t xml:space="preserve"> </w:t>
            </w:r>
            <w:r>
              <w:rPr>
                <w:sz w:val="18"/>
              </w:rPr>
              <w:t>a</w:t>
            </w:r>
            <w:r>
              <w:rPr>
                <w:spacing w:val="-2"/>
                <w:sz w:val="18"/>
              </w:rPr>
              <w:t xml:space="preserve"> </w:t>
            </w:r>
            <w:r>
              <w:rPr>
                <w:sz w:val="18"/>
              </w:rPr>
              <w:t>target</w:t>
            </w:r>
            <w:r>
              <w:rPr>
                <w:spacing w:val="-1"/>
                <w:sz w:val="18"/>
              </w:rPr>
              <w:t xml:space="preserve"> </w:t>
            </w:r>
            <w:r>
              <w:rPr>
                <w:sz w:val="18"/>
              </w:rPr>
              <w:t>of</w:t>
            </w:r>
            <w:r>
              <w:rPr>
                <w:spacing w:val="-3"/>
                <w:sz w:val="18"/>
              </w:rPr>
              <w:t xml:space="preserve"> </w:t>
            </w:r>
            <w:r>
              <w:rPr>
                <w:sz w:val="18"/>
              </w:rPr>
              <w:t>at</w:t>
            </w:r>
            <w:r>
              <w:rPr>
                <w:spacing w:val="-1"/>
                <w:sz w:val="18"/>
              </w:rPr>
              <w:t xml:space="preserve"> </w:t>
            </w:r>
            <w:r>
              <w:rPr>
                <w:sz w:val="18"/>
              </w:rPr>
              <w:t>least</w:t>
            </w:r>
            <w:r>
              <w:rPr>
                <w:spacing w:val="-1"/>
                <w:sz w:val="18"/>
              </w:rPr>
              <w:t xml:space="preserve"> </w:t>
            </w:r>
            <w:r>
              <w:rPr>
                <w:sz w:val="18"/>
              </w:rPr>
              <w:t>55%</w:t>
            </w:r>
            <w:r>
              <w:rPr>
                <w:spacing w:val="-2"/>
                <w:sz w:val="18"/>
              </w:rPr>
              <w:t xml:space="preserve"> </w:t>
            </w:r>
            <w:r>
              <w:rPr>
                <w:sz w:val="18"/>
              </w:rPr>
              <w:t>for waste</w:t>
            </w:r>
            <w:r>
              <w:rPr>
                <w:spacing w:val="-2"/>
                <w:sz w:val="18"/>
              </w:rPr>
              <w:t xml:space="preserve"> </w:t>
            </w:r>
            <w:r>
              <w:rPr>
                <w:sz w:val="18"/>
              </w:rPr>
              <w:t>recycling,</w:t>
            </w:r>
            <w:r>
              <w:rPr>
                <w:spacing w:val="-1"/>
                <w:sz w:val="18"/>
              </w:rPr>
              <w:t xml:space="preserve"> </w:t>
            </w:r>
            <w:r>
              <w:rPr>
                <w:sz w:val="18"/>
              </w:rPr>
              <w:t>sorting,</w:t>
            </w:r>
            <w:r>
              <w:rPr>
                <w:spacing w:val="-1"/>
                <w:sz w:val="18"/>
              </w:rPr>
              <w:t xml:space="preserve"> </w:t>
            </w:r>
            <w:r>
              <w:rPr>
                <w:sz w:val="18"/>
              </w:rPr>
              <w:t>reusing</w:t>
            </w:r>
            <w:r>
              <w:rPr>
                <w:spacing w:val="-2"/>
                <w:sz w:val="18"/>
              </w:rPr>
              <w:t xml:space="preserve"> </w:t>
            </w:r>
            <w:r>
              <w:rPr>
                <w:sz w:val="18"/>
              </w:rPr>
              <w:t>and</w:t>
            </w:r>
            <w:r>
              <w:rPr>
                <w:spacing w:val="-2"/>
                <w:sz w:val="18"/>
              </w:rPr>
              <w:t xml:space="preserve"> </w:t>
            </w:r>
            <w:r>
              <w:rPr>
                <w:sz w:val="18"/>
              </w:rPr>
              <w:t>repairing</w:t>
            </w:r>
            <w:r>
              <w:rPr>
                <w:spacing w:val="-2"/>
                <w:sz w:val="18"/>
              </w:rPr>
              <w:t xml:space="preserve"> </w:t>
            </w:r>
            <w:r>
              <w:rPr>
                <w:sz w:val="18"/>
              </w:rPr>
              <w:t>by</w:t>
            </w:r>
            <w:r>
              <w:rPr>
                <w:spacing w:val="-5"/>
                <w:sz w:val="18"/>
              </w:rPr>
              <w:t xml:space="preserve"> </w:t>
            </w:r>
            <w:r>
              <w:rPr>
                <w:sz w:val="18"/>
              </w:rPr>
              <w:t>2025,</w:t>
            </w:r>
            <w:r>
              <w:rPr>
                <w:spacing w:val="-42"/>
                <w:sz w:val="18"/>
              </w:rPr>
              <w:t xml:space="preserve"> </w:t>
            </w:r>
            <w:r>
              <w:rPr>
                <w:sz w:val="18"/>
              </w:rPr>
              <w:t>and a</w:t>
            </w:r>
            <w:r>
              <w:rPr>
                <w:spacing w:val="-1"/>
                <w:sz w:val="18"/>
              </w:rPr>
              <w:t xml:space="preserve"> </w:t>
            </w:r>
            <w:r>
              <w:rPr>
                <w:sz w:val="18"/>
              </w:rPr>
              <w:t>target for collection</w:t>
            </w:r>
            <w:r>
              <w:rPr>
                <w:spacing w:val="-1"/>
                <w:sz w:val="18"/>
              </w:rPr>
              <w:t xml:space="preserve"> </w:t>
            </w:r>
            <w:r>
              <w:rPr>
                <w:sz w:val="18"/>
              </w:rPr>
              <w:t>and</w:t>
            </w:r>
            <w:r>
              <w:rPr>
                <w:spacing w:val="-1"/>
                <w:sz w:val="18"/>
              </w:rPr>
              <w:t xml:space="preserve"> </w:t>
            </w:r>
            <w:r>
              <w:rPr>
                <w:sz w:val="18"/>
              </w:rPr>
              <w:t>recycling</w:t>
            </w:r>
            <w:r>
              <w:rPr>
                <w:spacing w:val="-1"/>
                <w:sz w:val="18"/>
              </w:rPr>
              <w:t xml:space="preserve"> </w:t>
            </w:r>
            <w:r>
              <w:rPr>
                <w:sz w:val="18"/>
              </w:rPr>
              <w:t>of</w:t>
            </w:r>
            <w:r>
              <w:rPr>
                <w:spacing w:val="-2"/>
                <w:sz w:val="18"/>
              </w:rPr>
              <w:t xml:space="preserve"> </w:t>
            </w:r>
            <w:r>
              <w:rPr>
                <w:sz w:val="18"/>
              </w:rPr>
              <w:t>biowaste.</w:t>
            </w:r>
          </w:p>
        </w:tc>
      </w:tr>
      <w:tr w:rsidR="00A56FE9">
        <w:trPr>
          <w:trHeight w:val="1034"/>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ind w:left="105" w:right="310"/>
              <w:rPr>
                <w:sz w:val="18"/>
              </w:rPr>
            </w:pPr>
            <w:r>
              <w:rPr>
                <w:sz w:val="18"/>
              </w:rPr>
              <w:t>Reduction</w:t>
            </w:r>
            <w:r>
              <w:rPr>
                <w:spacing w:val="-1"/>
                <w:sz w:val="18"/>
              </w:rPr>
              <w:t xml:space="preserve"> </w:t>
            </w:r>
            <w:r>
              <w:rPr>
                <w:sz w:val="18"/>
              </w:rPr>
              <w:t>of</w:t>
            </w:r>
            <w:r>
              <w:rPr>
                <w:spacing w:val="-2"/>
                <w:sz w:val="18"/>
              </w:rPr>
              <w:t xml:space="preserve"> </w:t>
            </w:r>
            <w:r>
              <w:rPr>
                <w:sz w:val="18"/>
              </w:rPr>
              <w:t>the</w:t>
            </w:r>
            <w:r>
              <w:rPr>
                <w:spacing w:val="-2"/>
                <w:sz w:val="18"/>
              </w:rPr>
              <w:t xml:space="preserve"> </w:t>
            </w:r>
            <w:r>
              <w:rPr>
                <w:sz w:val="18"/>
              </w:rPr>
              <w:t>share</w:t>
            </w:r>
            <w:r>
              <w:rPr>
                <w:spacing w:val="-2"/>
                <w:sz w:val="18"/>
              </w:rPr>
              <w:t xml:space="preserve"> </w:t>
            </w:r>
            <w:r>
              <w:rPr>
                <w:sz w:val="18"/>
              </w:rPr>
              <w:t>of</w:t>
            </w:r>
            <w:r>
              <w:rPr>
                <w:spacing w:val="-3"/>
                <w:sz w:val="18"/>
              </w:rPr>
              <w:t xml:space="preserve"> </w:t>
            </w:r>
            <w:r>
              <w:rPr>
                <w:sz w:val="18"/>
              </w:rPr>
              <w:t>municipal</w:t>
            </w:r>
            <w:r>
              <w:rPr>
                <w:spacing w:val="-1"/>
                <w:sz w:val="18"/>
              </w:rPr>
              <w:t xml:space="preserve"> </w:t>
            </w:r>
            <w:r>
              <w:rPr>
                <w:sz w:val="18"/>
              </w:rPr>
              <w:t>waste</w:t>
            </w:r>
            <w:r>
              <w:rPr>
                <w:spacing w:val="-42"/>
                <w:sz w:val="18"/>
              </w:rPr>
              <w:t xml:space="preserve"> </w:t>
            </w:r>
            <w:r>
              <w:rPr>
                <w:sz w:val="18"/>
              </w:rPr>
              <w:t>sent</w:t>
            </w:r>
            <w:r>
              <w:rPr>
                <w:spacing w:val="-1"/>
                <w:sz w:val="18"/>
              </w:rPr>
              <w:t xml:space="preserve"> </w:t>
            </w:r>
            <w:r>
              <w:rPr>
                <w:sz w:val="18"/>
              </w:rPr>
              <w:t>for disposal (49%)</w:t>
            </w:r>
          </w:p>
          <w:p w:rsidR="00A56FE9" w:rsidRDefault="00A56FE9">
            <w:pPr>
              <w:pStyle w:val="TableParagraph"/>
              <w:spacing w:before="7"/>
              <w:rPr>
                <w:b/>
                <w:sz w:val="17"/>
              </w:rPr>
            </w:pPr>
          </w:p>
          <w:p w:rsidR="00A56FE9" w:rsidRDefault="00000000">
            <w:pPr>
              <w:pStyle w:val="TableParagraph"/>
              <w:ind w:left="105"/>
              <w:rPr>
                <w:i/>
                <w:sz w:val="18"/>
              </w:rPr>
            </w:pPr>
            <w:r>
              <w:rPr>
                <w:i/>
                <w:sz w:val="18"/>
              </w:rPr>
              <w:t>Also contributes</w:t>
            </w:r>
            <w:r>
              <w:rPr>
                <w:i/>
                <w:spacing w:val="-2"/>
                <w:sz w:val="18"/>
              </w:rPr>
              <w:t xml:space="preserve"> </w:t>
            </w:r>
            <w:r>
              <w:rPr>
                <w:i/>
                <w:sz w:val="18"/>
              </w:rPr>
              <w:t>to</w:t>
            </w:r>
            <w:r>
              <w:rPr>
                <w:i/>
                <w:spacing w:val="-2"/>
                <w:sz w:val="18"/>
              </w:rPr>
              <w:t xml:space="preserve"> </w:t>
            </w:r>
            <w:r>
              <w:rPr>
                <w:i/>
                <w:sz w:val="18"/>
              </w:rPr>
              <w:t>achieving SDG</w:t>
            </w:r>
            <w:r>
              <w:rPr>
                <w:i/>
                <w:spacing w:val="-1"/>
                <w:sz w:val="18"/>
              </w:rPr>
              <w:t xml:space="preserve"> </w:t>
            </w:r>
            <w:r>
              <w:rPr>
                <w:i/>
                <w:sz w:val="18"/>
              </w:rPr>
              <w:t>12</w:t>
            </w:r>
          </w:p>
        </w:tc>
        <w:tc>
          <w:tcPr>
            <w:tcW w:w="8928" w:type="dxa"/>
            <w:shd w:val="clear" w:color="auto" w:fill="C5EECE"/>
          </w:tcPr>
          <w:p w:rsidR="00A56FE9" w:rsidRDefault="00000000">
            <w:pPr>
              <w:pStyle w:val="TableParagraph"/>
              <w:ind w:left="104" w:right="92"/>
              <w:rPr>
                <w:sz w:val="18"/>
              </w:rPr>
            </w:pPr>
            <w:r>
              <w:rPr>
                <w:sz w:val="18"/>
              </w:rPr>
              <w:t>The share of municipal waste sent for disposal shall be reduced to 41% as a result of investments in infrastructure to</w:t>
            </w:r>
            <w:r>
              <w:rPr>
                <w:spacing w:val="1"/>
                <w:sz w:val="18"/>
              </w:rPr>
              <w:t xml:space="preserve"> </w:t>
            </w:r>
            <w:r>
              <w:rPr>
                <w:sz w:val="18"/>
              </w:rPr>
              <w:t>reduce landfilling, including the establishment of re-use centres, the construction of sorting facilities for separately</w:t>
            </w:r>
            <w:r>
              <w:rPr>
                <w:spacing w:val="1"/>
                <w:sz w:val="18"/>
              </w:rPr>
              <w:t xml:space="preserve"> </w:t>
            </w:r>
            <w:r>
              <w:rPr>
                <w:sz w:val="18"/>
              </w:rPr>
              <w:t>collected municipal waste, the construction of bio-treatment facilities for separately collected bio-waste, the construction</w:t>
            </w:r>
            <w:r>
              <w:rPr>
                <w:spacing w:val="-42"/>
                <w:sz w:val="18"/>
              </w:rPr>
              <w:t xml:space="preserve"> </w:t>
            </w:r>
            <w:r>
              <w:rPr>
                <w:sz w:val="18"/>
              </w:rPr>
              <w:t>and equipment</w:t>
            </w:r>
            <w:r>
              <w:rPr>
                <w:spacing w:val="-1"/>
                <w:sz w:val="18"/>
              </w:rPr>
              <w:t xml:space="preserve"> </w:t>
            </w:r>
            <w:r>
              <w:rPr>
                <w:sz w:val="18"/>
              </w:rPr>
              <w:t>of</w:t>
            </w:r>
            <w:r>
              <w:rPr>
                <w:spacing w:val="-3"/>
                <w:sz w:val="18"/>
              </w:rPr>
              <w:t xml:space="preserve"> </w:t>
            </w:r>
            <w:r>
              <w:rPr>
                <w:sz w:val="18"/>
              </w:rPr>
              <w:t>civic</w:t>
            </w:r>
            <w:r>
              <w:rPr>
                <w:spacing w:val="-1"/>
                <w:sz w:val="18"/>
              </w:rPr>
              <w:t xml:space="preserve"> </w:t>
            </w:r>
            <w:r>
              <w:rPr>
                <w:sz w:val="18"/>
              </w:rPr>
              <w:t>amenity</w:t>
            </w:r>
            <w:r>
              <w:rPr>
                <w:spacing w:val="-5"/>
                <w:sz w:val="18"/>
              </w:rPr>
              <w:t xml:space="preserve"> </w:t>
            </w:r>
            <w:r>
              <w:rPr>
                <w:sz w:val="18"/>
              </w:rPr>
              <w:t>sites</w:t>
            </w:r>
            <w:r>
              <w:rPr>
                <w:spacing w:val="-2"/>
                <w:sz w:val="18"/>
              </w:rPr>
              <w:t xml:space="preserve"> </w:t>
            </w:r>
            <w:r>
              <w:rPr>
                <w:sz w:val="18"/>
              </w:rPr>
              <w:t>and recycling</w:t>
            </w:r>
            <w:r>
              <w:rPr>
                <w:spacing w:val="1"/>
                <w:sz w:val="18"/>
              </w:rPr>
              <w:t xml:space="preserve"> </w:t>
            </w:r>
            <w:r>
              <w:rPr>
                <w:sz w:val="18"/>
              </w:rPr>
              <w:t>yards</w:t>
            </w:r>
            <w:r>
              <w:rPr>
                <w:spacing w:val="-1"/>
                <w:sz w:val="18"/>
              </w:rPr>
              <w:t xml:space="preserve"> </w:t>
            </w:r>
            <w:r>
              <w:rPr>
                <w:sz w:val="18"/>
              </w:rPr>
              <w:t>for</w:t>
            </w:r>
            <w:r>
              <w:rPr>
                <w:spacing w:val="-1"/>
                <w:sz w:val="18"/>
              </w:rPr>
              <w:t xml:space="preserve"> </w:t>
            </w:r>
            <w:r>
              <w:rPr>
                <w:sz w:val="18"/>
              </w:rPr>
              <w:t>construction waste,</w:t>
            </w:r>
            <w:r>
              <w:rPr>
                <w:spacing w:val="-1"/>
                <w:sz w:val="18"/>
              </w:rPr>
              <w:t xml:space="preserve"> </w:t>
            </w:r>
            <w:r>
              <w:rPr>
                <w:sz w:val="18"/>
              </w:rPr>
              <w:t>the</w:t>
            </w:r>
            <w:r>
              <w:rPr>
                <w:spacing w:val="-2"/>
                <w:sz w:val="18"/>
              </w:rPr>
              <w:t xml:space="preserve"> </w:t>
            </w:r>
            <w:r>
              <w:rPr>
                <w:sz w:val="18"/>
              </w:rPr>
              <w:t>acquisition</w:t>
            </w:r>
            <w:r>
              <w:rPr>
                <w:spacing w:val="-2"/>
                <w:sz w:val="18"/>
              </w:rPr>
              <w:t xml:space="preserve"> </w:t>
            </w:r>
            <w:r>
              <w:rPr>
                <w:sz w:val="18"/>
              </w:rPr>
              <w:t>of</w:t>
            </w:r>
            <w:r>
              <w:rPr>
                <w:spacing w:val="-3"/>
                <w:sz w:val="18"/>
              </w:rPr>
              <w:t xml:space="preserve"> </w:t>
            </w:r>
            <w:r>
              <w:rPr>
                <w:sz w:val="18"/>
              </w:rPr>
              <w:t>equipment for</w:t>
            </w:r>
            <w:r>
              <w:rPr>
                <w:spacing w:val="-1"/>
                <w:sz w:val="18"/>
              </w:rPr>
              <w:t xml:space="preserve"> </w:t>
            </w:r>
            <w:r>
              <w:rPr>
                <w:sz w:val="18"/>
              </w:rPr>
              <w:t>the</w:t>
            </w:r>
          </w:p>
          <w:p w:rsidR="00A56FE9" w:rsidRDefault="00000000">
            <w:pPr>
              <w:pStyle w:val="TableParagraph"/>
              <w:spacing w:line="191" w:lineRule="exact"/>
              <w:ind w:left="104"/>
              <w:rPr>
                <w:sz w:val="18"/>
              </w:rPr>
            </w:pPr>
            <w:r>
              <w:rPr>
                <w:sz w:val="18"/>
              </w:rPr>
              <w:t>separate</w:t>
            </w:r>
            <w:r>
              <w:rPr>
                <w:spacing w:val="-2"/>
                <w:sz w:val="18"/>
              </w:rPr>
              <w:t xml:space="preserve"> </w:t>
            </w:r>
            <w:r>
              <w:rPr>
                <w:sz w:val="18"/>
              </w:rPr>
              <w:t>collection</w:t>
            </w:r>
            <w:r>
              <w:rPr>
                <w:spacing w:val="-3"/>
                <w:sz w:val="18"/>
              </w:rPr>
              <w:t xml:space="preserve"> </w:t>
            </w:r>
            <w:r>
              <w:rPr>
                <w:sz w:val="18"/>
              </w:rPr>
              <w:t>of</w:t>
            </w:r>
            <w:r>
              <w:rPr>
                <w:spacing w:val="-3"/>
                <w:sz w:val="18"/>
              </w:rPr>
              <w:t xml:space="preserve"> </w:t>
            </w:r>
            <w:r>
              <w:rPr>
                <w:sz w:val="18"/>
              </w:rPr>
              <w:t>useful</w:t>
            </w:r>
            <w:r>
              <w:rPr>
                <w:spacing w:val="-2"/>
                <w:sz w:val="18"/>
              </w:rPr>
              <w:t xml:space="preserve"> </w:t>
            </w:r>
            <w:r>
              <w:rPr>
                <w:sz w:val="18"/>
              </w:rPr>
              <w:t>fractions</w:t>
            </w:r>
            <w:r>
              <w:rPr>
                <w:spacing w:val="-4"/>
                <w:sz w:val="18"/>
              </w:rPr>
              <w:t xml:space="preserve"> </w:t>
            </w:r>
            <w:r>
              <w:rPr>
                <w:sz w:val="18"/>
              </w:rPr>
              <w:t>of</w:t>
            </w:r>
            <w:r>
              <w:rPr>
                <w:spacing w:val="-2"/>
                <w:sz w:val="18"/>
              </w:rPr>
              <w:t xml:space="preserve"> </w:t>
            </w:r>
            <w:r>
              <w:rPr>
                <w:sz w:val="18"/>
              </w:rPr>
              <w:t>municipal</w:t>
            </w:r>
            <w:r>
              <w:rPr>
                <w:spacing w:val="-2"/>
                <w:sz w:val="18"/>
              </w:rPr>
              <w:t xml:space="preserve"> </w:t>
            </w:r>
            <w:r>
              <w:rPr>
                <w:sz w:val="18"/>
              </w:rPr>
              <w:t>waste.</w:t>
            </w:r>
          </w:p>
        </w:tc>
      </w:tr>
      <w:tr w:rsidR="00A56FE9">
        <w:trPr>
          <w:trHeight w:val="1656"/>
        </w:trPr>
        <w:tc>
          <w:tcPr>
            <w:tcW w:w="2060" w:type="dxa"/>
            <w:vMerge/>
            <w:tcBorders>
              <w:top w:val="nil"/>
            </w:tcBorders>
            <w:shd w:val="clear" w:color="auto" w:fill="F1F1F1"/>
          </w:tcPr>
          <w:p w:rsidR="00A56FE9" w:rsidRDefault="00A56FE9">
            <w:pPr>
              <w:rPr>
                <w:sz w:val="2"/>
                <w:szCs w:val="2"/>
              </w:rPr>
            </w:pPr>
          </w:p>
        </w:tc>
        <w:tc>
          <w:tcPr>
            <w:tcW w:w="3474" w:type="dxa"/>
          </w:tcPr>
          <w:p w:rsidR="00A56FE9" w:rsidRDefault="00000000">
            <w:pPr>
              <w:pStyle w:val="TableParagraph"/>
              <w:spacing w:line="242" w:lineRule="auto"/>
              <w:ind w:left="105" w:right="355"/>
              <w:rPr>
                <w:sz w:val="18"/>
              </w:rPr>
            </w:pPr>
            <w:r>
              <w:rPr>
                <w:sz w:val="18"/>
              </w:rPr>
              <w:t>Drafting the project Modernization of the</w:t>
            </w:r>
            <w:r>
              <w:rPr>
                <w:spacing w:val="-42"/>
                <w:sz w:val="18"/>
              </w:rPr>
              <w:t xml:space="preserve"> </w:t>
            </w:r>
            <w:r>
              <w:rPr>
                <w:sz w:val="18"/>
              </w:rPr>
              <w:t>warning</w:t>
            </w:r>
            <w:r>
              <w:rPr>
                <w:spacing w:val="-2"/>
                <w:sz w:val="18"/>
              </w:rPr>
              <w:t xml:space="preserve"> </w:t>
            </w:r>
            <w:r>
              <w:rPr>
                <w:sz w:val="18"/>
              </w:rPr>
              <w:t>system</w:t>
            </w:r>
          </w:p>
          <w:p w:rsidR="00A56FE9" w:rsidRDefault="00A56FE9">
            <w:pPr>
              <w:pStyle w:val="TableParagraph"/>
              <w:spacing w:before="3"/>
              <w:rPr>
                <w:b/>
                <w:sz w:val="17"/>
              </w:rPr>
            </w:pPr>
          </w:p>
          <w:p w:rsidR="00A56FE9" w:rsidRDefault="00000000">
            <w:pPr>
              <w:pStyle w:val="TableParagraph"/>
              <w:ind w:left="105"/>
              <w:rPr>
                <w:sz w:val="18"/>
              </w:rPr>
            </w:pPr>
            <w:r>
              <w:rPr>
                <w:i/>
                <w:sz w:val="18"/>
              </w:rPr>
              <w:t>Also contributes</w:t>
            </w:r>
            <w:r>
              <w:rPr>
                <w:i/>
                <w:spacing w:val="-2"/>
                <w:sz w:val="18"/>
              </w:rPr>
              <w:t xml:space="preserve"> </w:t>
            </w:r>
            <w:r>
              <w:rPr>
                <w:i/>
                <w:sz w:val="18"/>
              </w:rPr>
              <w:t>to</w:t>
            </w:r>
            <w:r>
              <w:rPr>
                <w:i/>
                <w:spacing w:val="-1"/>
                <w:sz w:val="18"/>
              </w:rPr>
              <w:t xml:space="preserve"> </w:t>
            </w:r>
            <w:r>
              <w:rPr>
                <w:i/>
                <w:sz w:val="18"/>
              </w:rPr>
              <w:t xml:space="preserve">achieving </w:t>
            </w:r>
            <w:r>
              <w:rPr>
                <w:sz w:val="18"/>
              </w:rPr>
              <w:t>SDG</w:t>
            </w:r>
            <w:r>
              <w:rPr>
                <w:spacing w:val="-3"/>
                <w:sz w:val="18"/>
              </w:rPr>
              <w:t xml:space="preserve"> </w:t>
            </w:r>
            <w:r>
              <w:rPr>
                <w:sz w:val="18"/>
              </w:rPr>
              <w:t>13</w:t>
            </w:r>
          </w:p>
        </w:tc>
        <w:tc>
          <w:tcPr>
            <w:tcW w:w="8928" w:type="dxa"/>
          </w:tcPr>
          <w:p w:rsidR="00A56FE9" w:rsidRDefault="00000000">
            <w:pPr>
              <w:pStyle w:val="TableParagraph"/>
              <w:ind w:left="104" w:right="129"/>
              <w:rPr>
                <w:sz w:val="18"/>
              </w:rPr>
            </w:pPr>
            <w:r>
              <w:rPr>
                <w:sz w:val="18"/>
              </w:rPr>
              <w:t>The</w:t>
            </w:r>
            <w:r>
              <w:rPr>
                <w:spacing w:val="-3"/>
                <w:sz w:val="18"/>
              </w:rPr>
              <w:t xml:space="preserve"> </w:t>
            </w:r>
            <w:r>
              <w:rPr>
                <w:sz w:val="18"/>
              </w:rPr>
              <w:t>project</w:t>
            </w:r>
            <w:r>
              <w:rPr>
                <w:spacing w:val="-2"/>
                <w:sz w:val="18"/>
              </w:rPr>
              <w:t xml:space="preserve"> </w:t>
            </w:r>
            <w:r>
              <w:rPr>
                <w:sz w:val="18"/>
              </w:rPr>
              <w:t>will establish</w:t>
            </w:r>
            <w:r>
              <w:rPr>
                <w:spacing w:val="-2"/>
                <w:sz w:val="18"/>
              </w:rPr>
              <w:t xml:space="preserve"> </w:t>
            </w:r>
            <w:r>
              <w:rPr>
                <w:sz w:val="18"/>
              </w:rPr>
              <w:t>a</w:t>
            </w:r>
            <w:r>
              <w:rPr>
                <w:spacing w:val="-3"/>
                <w:sz w:val="18"/>
              </w:rPr>
              <w:t xml:space="preserve"> </w:t>
            </w:r>
            <w:r>
              <w:rPr>
                <w:sz w:val="18"/>
              </w:rPr>
              <w:t>reliable</w:t>
            </w:r>
            <w:r>
              <w:rPr>
                <w:spacing w:val="-3"/>
                <w:sz w:val="18"/>
              </w:rPr>
              <w:t xml:space="preserve"> </w:t>
            </w:r>
            <w:r>
              <w:rPr>
                <w:sz w:val="18"/>
              </w:rPr>
              <w:t>alert</w:t>
            </w:r>
            <w:r>
              <w:rPr>
                <w:spacing w:val="-2"/>
                <w:sz w:val="18"/>
              </w:rPr>
              <w:t xml:space="preserve"> </w:t>
            </w:r>
            <w:r>
              <w:rPr>
                <w:sz w:val="18"/>
              </w:rPr>
              <w:t>and</w:t>
            </w:r>
            <w:r>
              <w:rPr>
                <w:spacing w:val="-1"/>
                <w:sz w:val="18"/>
              </w:rPr>
              <w:t xml:space="preserve"> </w:t>
            </w:r>
            <w:r>
              <w:rPr>
                <w:sz w:val="18"/>
              </w:rPr>
              <w:t>information system.</w:t>
            </w:r>
            <w:r>
              <w:rPr>
                <w:spacing w:val="1"/>
                <w:sz w:val="18"/>
              </w:rPr>
              <w:t xml:space="preserve"> </w:t>
            </w:r>
            <w:r>
              <w:rPr>
                <w:sz w:val="18"/>
              </w:rPr>
              <w:t>The</w:t>
            </w:r>
            <w:r>
              <w:rPr>
                <w:spacing w:val="-3"/>
                <w:sz w:val="18"/>
              </w:rPr>
              <w:t xml:space="preserve"> </w:t>
            </w:r>
            <w:r>
              <w:rPr>
                <w:sz w:val="18"/>
              </w:rPr>
              <w:t>technical</w:t>
            </w:r>
            <w:r>
              <w:rPr>
                <w:spacing w:val="-2"/>
                <w:sz w:val="18"/>
              </w:rPr>
              <w:t xml:space="preserve"> </w:t>
            </w:r>
            <w:r>
              <w:rPr>
                <w:sz w:val="18"/>
              </w:rPr>
              <w:t>conditions</w:t>
            </w:r>
            <w:r>
              <w:rPr>
                <w:spacing w:val="-2"/>
                <w:sz w:val="18"/>
              </w:rPr>
              <w:t xml:space="preserve"> </w:t>
            </w:r>
            <w:r>
              <w:rPr>
                <w:sz w:val="18"/>
              </w:rPr>
              <w:t>for</w:t>
            </w:r>
            <w:r>
              <w:rPr>
                <w:spacing w:val="-2"/>
                <w:sz w:val="18"/>
              </w:rPr>
              <w:t xml:space="preserve"> </w:t>
            </w:r>
            <w:r>
              <w:rPr>
                <w:sz w:val="18"/>
              </w:rPr>
              <w:t>early</w:t>
            </w:r>
            <w:r>
              <w:rPr>
                <w:spacing w:val="-5"/>
                <w:sz w:val="18"/>
              </w:rPr>
              <w:t xml:space="preserve"> </w:t>
            </w:r>
            <w:r>
              <w:rPr>
                <w:sz w:val="18"/>
              </w:rPr>
              <w:t>and</w:t>
            </w:r>
            <w:r>
              <w:rPr>
                <w:spacing w:val="-1"/>
                <w:sz w:val="18"/>
              </w:rPr>
              <w:t xml:space="preserve"> </w:t>
            </w:r>
            <w:r>
              <w:rPr>
                <w:sz w:val="18"/>
              </w:rPr>
              <w:t>reliable</w:t>
            </w:r>
            <w:r>
              <w:rPr>
                <w:spacing w:val="-1"/>
                <w:sz w:val="18"/>
              </w:rPr>
              <w:t xml:space="preserve"> </w:t>
            </w:r>
            <w:r>
              <w:rPr>
                <w:sz w:val="18"/>
              </w:rPr>
              <w:t>warning</w:t>
            </w:r>
            <w:r>
              <w:rPr>
                <w:spacing w:val="-42"/>
                <w:sz w:val="18"/>
              </w:rPr>
              <w:t xml:space="preserve"> </w:t>
            </w:r>
            <w:r>
              <w:rPr>
                <w:sz w:val="18"/>
              </w:rPr>
              <w:t>and alerting of citizens and the communication of instructions on how to behave in the event of an emergency will be</w:t>
            </w:r>
            <w:r>
              <w:rPr>
                <w:spacing w:val="1"/>
                <w:sz w:val="18"/>
              </w:rPr>
              <w:t xml:space="preserve"> </w:t>
            </w:r>
            <w:r>
              <w:rPr>
                <w:sz w:val="18"/>
              </w:rPr>
              <w:t>significantly improved in order to reduce the consequences, which will strengthen the overall social capacity in crisis</w:t>
            </w:r>
            <w:r>
              <w:rPr>
                <w:spacing w:val="1"/>
                <w:sz w:val="18"/>
              </w:rPr>
              <w:t xml:space="preserve"> </w:t>
            </w:r>
            <w:r>
              <w:rPr>
                <w:sz w:val="18"/>
              </w:rPr>
              <w:t>situations. The project idea is being developed within the project Technical Assistance for the Preparation of Projects in</w:t>
            </w:r>
            <w:r>
              <w:rPr>
                <w:spacing w:val="1"/>
                <w:sz w:val="18"/>
              </w:rPr>
              <w:t xml:space="preserve"> </w:t>
            </w:r>
            <w:r>
              <w:rPr>
                <w:sz w:val="18"/>
              </w:rPr>
              <w:t>the Field of Disaster</w:t>
            </w:r>
            <w:r>
              <w:rPr>
                <w:spacing w:val="1"/>
                <w:sz w:val="18"/>
              </w:rPr>
              <w:t xml:space="preserve"> </w:t>
            </w:r>
            <w:r>
              <w:rPr>
                <w:sz w:val="18"/>
              </w:rPr>
              <w:t>Risk</w:t>
            </w:r>
            <w:r>
              <w:rPr>
                <w:spacing w:val="1"/>
                <w:sz w:val="18"/>
              </w:rPr>
              <w:t xml:space="preserve"> </w:t>
            </w:r>
            <w:r>
              <w:rPr>
                <w:sz w:val="18"/>
              </w:rPr>
              <w:t>Management,</w:t>
            </w:r>
            <w:r>
              <w:rPr>
                <w:spacing w:val="2"/>
                <w:sz w:val="18"/>
              </w:rPr>
              <w:t xml:space="preserve"> </w:t>
            </w:r>
            <w:r>
              <w:rPr>
                <w:sz w:val="18"/>
              </w:rPr>
              <w:t>funded</w:t>
            </w:r>
            <w:r>
              <w:rPr>
                <w:spacing w:val="5"/>
                <w:sz w:val="18"/>
              </w:rPr>
              <w:t xml:space="preserve"> </w:t>
            </w:r>
            <w:r>
              <w:rPr>
                <w:sz w:val="18"/>
              </w:rPr>
              <w:t>by</w:t>
            </w:r>
            <w:r>
              <w:rPr>
                <w:spacing w:val="-3"/>
                <w:sz w:val="18"/>
              </w:rPr>
              <w:t xml:space="preserve"> </w:t>
            </w:r>
            <w:r>
              <w:rPr>
                <w:sz w:val="18"/>
              </w:rPr>
              <w:t>the</w:t>
            </w:r>
            <w:r>
              <w:rPr>
                <w:spacing w:val="1"/>
                <w:sz w:val="18"/>
              </w:rPr>
              <w:t xml:space="preserve"> </w:t>
            </w:r>
            <w:r>
              <w:rPr>
                <w:sz w:val="18"/>
              </w:rPr>
              <w:t>Union</w:t>
            </w:r>
            <w:r>
              <w:rPr>
                <w:spacing w:val="2"/>
                <w:sz w:val="18"/>
              </w:rPr>
              <w:t xml:space="preserve"> </w:t>
            </w:r>
            <w:r>
              <w:rPr>
                <w:sz w:val="18"/>
              </w:rPr>
              <w:t>Civil</w:t>
            </w:r>
            <w:r>
              <w:rPr>
                <w:spacing w:val="-2"/>
                <w:sz w:val="18"/>
              </w:rPr>
              <w:t xml:space="preserve"> </w:t>
            </w:r>
            <w:r>
              <w:rPr>
                <w:sz w:val="18"/>
              </w:rPr>
              <w:t>Protection Mechanism,</w:t>
            </w:r>
            <w:r>
              <w:rPr>
                <w:spacing w:val="2"/>
                <w:sz w:val="18"/>
              </w:rPr>
              <w:t xml:space="preserve"> </w:t>
            </w:r>
            <w:r>
              <w:rPr>
                <w:sz w:val="18"/>
              </w:rPr>
              <w:t>for</w:t>
            </w:r>
            <w:r>
              <w:rPr>
                <w:spacing w:val="1"/>
                <w:sz w:val="18"/>
              </w:rPr>
              <w:t xml:space="preserve"> </w:t>
            </w:r>
            <w:r>
              <w:rPr>
                <w:sz w:val="18"/>
              </w:rPr>
              <w:t>funding</w:t>
            </w:r>
            <w:r>
              <w:rPr>
                <w:spacing w:val="1"/>
                <w:sz w:val="18"/>
              </w:rPr>
              <w:t xml:space="preserve"> </w:t>
            </w:r>
            <w:r>
              <w:rPr>
                <w:sz w:val="18"/>
              </w:rPr>
              <w:t>from</w:t>
            </w:r>
            <w:r>
              <w:rPr>
                <w:spacing w:val="-2"/>
                <w:sz w:val="18"/>
              </w:rPr>
              <w:t xml:space="preserve"> </w:t>
            </w:r>
            <w:r>
              <w:rPr>
                <w:sz w:val="18"/>
              </w:rPr>
              <w:t>ESI</w:t>
            </w:r>
            <w:r>
              <w:rPr>
                <w:spacing w:val="2"/>
                <w:sz w:val="18"/>
              </w:rPr>
              <w:t xml:space="preserve"> </w:t>
            </w:r>
            <w:r>
              <w:rPr>
                <w:sz w:val="18"/>
              </w:rPr>
              <w:t>funds</w:t>
            </w:r>
            <w:r>
              <w:rPr>
                <w:spacing w:val="1"/>
                <w:sz w:val="18"/>
              </w:rPr>
              <w:t xml:space="preserve"> </w:t>
            </w:r>
            <w:r>
              <w:rPr>
                <w:sz w:val="18"/>
              </w:rPr>
              <w:t>in the</w:t>
            </w:r>
            <w:r>
              <w:rPr>
                <w:spacing w:val="-1"/>
                <w:sz w:val="18"/>
              </w:rPr>
              <w:t xml:space="preserve"> </w:t>
            </w:r>
            <w:r>
              <w:rPr>
                <w:sz w:val="18"/>
              </w:rPr>
              <w:t>new</w:t>
            </w:r>
            <w:r>
              <w:rPr>
                <w:spacing w:val="-4"/>
                <w:sz w:val="18"/>
              </w:rPr>
              <w:t xml:space="preserve"> </w:t>
            </w:r>
            <w:r>
              <w:rPr>
                <w:sz w:val="18"/>
              </w:rPr>
              <w:t>EU programming</w:t>
            </w:r>
            <w:r>
              <w:rPr>
                <w:spacing w:val="-1"/>
                <w:sz w:val="18"/>
              </w:rPr>
              <w:t xml:space="preserve"> </w:t>
            </w:r>
            <w:r>
              <w:rPr>
                <w:sz w:val="18"/>
              </w:rPr>
              <w:t>period</w:t>
            </w:r>
            <w:r>
              <w:rPr>
                <w:spacing w:val="-2"/>
                <w:sz w:val="18"/>
              </w:rPr>
              <w:t xml:space="preserve"> </w:t>
            </w:r>
            <w:r>
              <w:rPr>
                <w:sz w:val="18"/>
              </w:rPr>
              <w:t>2021-2027,</w:t>
            </w:r>
            <w:r>
              <w:rPr>
                <w:spacing w:val="-2"/>
                <w:sz w:val="18"/>
              </w:rPr>
              <w:t xml:space="preserve"> </w:t>
            </w:r>
            <w:r>
              <w:rPr>
                <w:sz w:val="18"/>
              </w:rPr>
              <w:t>according</w:t>
            </w:r>
            <w:r>
              <w:rPr>
                <w:spacing w:val="-1"/>
                <w:sz w:val="18"/>
              </w:rPr>
              <w:t xml:space="preserve"> </w:t>
            </w:r>
            <w:r>
              <w:rPr>
                <w:sz w:val="18"/>
              </w:rPr>
              <w:t>to a</w:t>
            </w:r>
            <w:r>
              <w:rPr>
                <w:spacing w:val="-3"/>
                <w:sz w:val="18"/>
              </w:rPr>
              <w:t xml:space="preserve"> </w:t>
            </w:r>
            <w:r>
              <w:rPr>
                <w:sz w:val="18"/>
              </w:rPr>
              <w:t>pre-feasibility</w:t>
            </w:r>
            <w:r>
              <w:rPr>
                <w:spacing w:val="-4"/>
                <w:sz w:val="18"/>
              </w:rPr>
              <w:t xml:space="preserve"> </w:t>
            </w:r>
            <w:r>
              <w:rPr>
                <w:sz w:val="18"/>
              </w:rPr>
              <w:t>study,</w:t>
            </w:r>
            <w:r>
              <w:rPr>
                <w:spacing w:val="-1"/>
                <w:sz w:val="18"/>
              </w:rPr>
              <w:t xml:space="preserve"> </w:t>
            </w:r>
            <w:r>
              <w:rPr>
                <w:sz w:val="18"/>
              </w:rPr>
              <w:t>the</w:t>
            </w:r>
            <w:r>
              <w:rPr>
                <w:spacing w:val="-1"/>
                <w:sz w:val="18"/>
              </w:rPr>
              <w:t xml:space="preserve"> </w:t>
            </w:r>
            <w:r>
              <w:rPr>
                <w:sz w:val="18"/>
              </w:rPr>
              <w:t>project Modernization</w:t>
            </w:r>
            <w:r>
              <w:rPr>
                <w:spacing w:val="-2"/>
                <w:sz w:val="18"/>
              </w:rPr>
              <w:t xml:space="preserve"> </w:t>
            </w:r>
            <w:r>
              <w:rPr>
                <w:sz w:val="18"/>
              </w:rPr>
              <w:t>of</w:t>
            </w:r>
            <w:r>
              <w:rPr>
                <w:spacing w:val="-2"/>
                <w:sz w:val="18"/>
              </w:rPr>
              <w:t xml:space="preserve"> </w:t>
            </w:r>
            <w:r>
              <w:rPr>
                <w:sz w:val="18"/>
              </w:rPr>
              <w:t>the</w:t>
            </w:r>
          </w:p>
          <w:p w:rsidR="00A56FE9" w:rsidRDefault="00000000">
            <w:pPr>
              <w:pStyle w:val="TableParagraph"/>
              <w:spacing w:line="206" w:lineRule="exact"/>
              <w:ind w:left="104" w:right="416"/>
              <w:rPr>
                <w:sz w:val="18"/>
              </w:rPr>
            </w:pPr>
            <w:r>
              <w:rPr>
                <w:sz w:val="18"/>
              </w:rPr>
              <w:t>Warning System will be launched, i.e., the first activities of the project Drafting the Project for Modernisation of the</w:t>
            </w:r>
            <w:r>
              <w:rPr>
                <w:spacing w:val="-42"/>
                <w:sz w:val="18"/>
              </w:rPr>
              <w:t xml:space="preserve"> </w:t>
            </w:r>
            <w:r>
              <w:rPr>
                <w:sz w:val="18"/>
              </w:rPr>
              <w:t>Warning</w:t>
            </w:r>
            <w:r>
              <w:rPr>
                <w:spacing w:val="-2"/>
                <w:sz w:val="18"/>
              </w:rPr>
              <w:t xml:space="preserve"> </w:t>
            </w:r>
            <w:r>
              <w:rPr>
                <w:sz w:val="18"/>
              </w:rPr>
              <w:t>System.</w:t>
            </w:r>
          </w:p>
        </w:tc>
      </w:tr>
      <w:tr w:rsidR="00A56FE9">
        <w:trPr>
          <w:trHeight w:val="690"/>
        </w:trPr>
        <w:tc>
          <w:tcPr>
            <w:tcW w:w="2060" w:type="dxa"/>
            <w:shd w:val="clear" w:color="auto" w:fill="F1F1F1"/>
          </w:tcPr>
          <w:p w:rsidR="00A56FE9" w:rsidRDefault="00000000">
            <w:pPr>
              <w:pStyle w:val="TableParagraph"/>
              <w:ind w:left="105" w:right="147"/>
              <w:rPr>
                <w:sz w:val="20"/>
              </w:rPr>
            </w:pPr>
            <w:r>
              <w:rPr>
                <w:b/>
                <w:sz w:val="20"/>
              </w:rPr>
              <w:t>12.</w:t>
            </w:r>
            <w:r>
              <w:rPr>
                <w:b/>
                <w:spacing w:val="-8"/>
                <w:sz w:val="20"/>
              </w:rPr>
              <w:t xml:space="preserve"> </w:t>
            </w:r>
            <w:r>
              <w:rPr>
                <w:sz w:val="20"/>
              </w:rPr>
              <w:t>Ensure</w:t>
            </w:r>
            <w:r>
              <w:rPr>
                <w:spacing w:val="-9"/>
                <w:sz w:val="20"/>
              </w:rPr>
              <w:t xml:space="preserve"> </w:t>
            </w:r>
            <w:r>
              <w:rPr>
                <w:sz w:val="20"/>
              </w:rPr>
              <w:t>sustainable</w:t>
            </w:r>
            <w:r>
              <w:rPr>
                <w:spacing w:val="-47"/>
                <w:sz w:val="20"/>
              </w:rPr>
              <w:t xml:space="preserve"> </w:t>
            </w:r>
            <w:r>
              <w:rPr>
                <w:sz w:val="20"/>
              </w:rPr>
              <w:t>consumption</w:t>
            </w:r>
            <w:r>
              <w:rPr>
                <w:spacing w:val="-2"/>
                <w:sz w:val="20"/>
              </w:rPr>
              <w:t xml:space="preserve"> </w:t>
            </w:r>
            <w:r>
              <w:rPr>
                <w:sz w:val="20"/>
              </w:rPr>
              <w:t>and</w:t>
            </w:r>
          </w:p>
          <w:p w:rsidR="00A56FE9" w:rsidRDefault="00000000">
            <w:pPr>
              <w:pStyle w:val="TableParagraph"/>
              <w:spacing w:line="215" w:lineRule="exact"/>
              <w:ind w:left="105"/>
              <w:rPr>
                <w:sz w:val="20"/>
              </w:rPr>
            </w:pPr>
            <w:r>
              <w:rPr>
                <w:sz w:val="20"/>
              </w:rPr>
              <w:t>production</w:t>
            </w:r>
            <w:r>
              <w:rPr>
                <w:spacing w:val="-3"/>
                <w:sz w:val="20"/>
              </w:rPr>
              <w:t xml:space="preserve"> </w:t>
            </w:r>
            <w:r>
              <w:rPr>
                <w:sz w:val="20"/>
              </w:rPr>
              <w:t>patterns</w:t>
            </w:r>
          </w:p>
        </w:tc>
        <w:tc>
          <w:tcPr>
            <w:tcW w:w="3474" w:type="dxa"/>
          </w:tcPr>
          <w:p w:rsidR="00A56FE9" w:rsidRDefault="00A56FE9">
            <w:pPr>
              <w:pStyle w:val="TableParagraph"/>
              <w:rPr>
                <w:sz w:val="18"/>
              </w:rPr>
            </w:pPr>
          </w:p>
        </w:tc>
        <w:tc>
          <w:tcPr>
            <w:tcW w:w="8928" w:type="dxa"/>
          </w:tcPr>
          <w:p w:rsidR="00A56FE9" w:rsidRDefault="00A56FE9">
            <w:pPr>
              <w:pStyle w:val="TableParagraph"/>
              <w:rPr>
                <w:sz w:val="18"/>
              </w:rPr>
            </w:pPr>
          </w:p>
        </w:tc>
      </w:tr>
      <w:tr w:rsidR="00A56FE9">
        <w:trPr>
          <w:trHeight w:val="621"/>
        </w:trPr>
        <w:tc>
          <w:tcPr>
            <w:tcW w:w="2060" w:type="dxa"/>
            <w:vMerge w:val="restart"/>
            <w:shd w:val="clear" w:color="auto" w:fill="F1F1F1"/>
          </w:tcPr>
          <w:p w:rsidR="00A56FE9" w:rsidRDefault="00000000">
            <w:pPr>
              <w:pStyle w:val="TableParagraph"/>
              <w:ind w:left="105" w:right="125"/>
              <w:rPr>
                <w:sz w:val="20"/>
              </w:rPr>
            </w:pPr>
            <w:r>
              <w:rPr>
                <w:b/>
                <w:sz w:val="20"/>
              </w:rPr>
              <w:t xml:space="preserve">13. </w:t>
            </w:r>
            <w:r>
              <w:rPr>
                <w:sz w:val="20"/>
              </w:rPr>
              <w:t>Take urgent action</w:t>
            </w:r>
            <w:r>
              <w:rPr>
                <w:spacing w:val="-47"/>
                <w:sz w:val="20"/>
              </w:rPr>
              <w:t xml:space="preserve"> </w:t>
            </w:r>
            <w:r>
              <w:rPr>
                <w:sz w:val="20"/>
              </w:rPr>
              <w:t>to combat climate</w:t>
            </w:r>
            <w:r>
              <w:rPr>
                <w:spacing w:val="1"/>
                <w:sz w:val="20"/>
              </w:rPr>
              <w:t xml:space="preserve"> </w:t>
            </w:r>
            <w:r>
              <w:rPr>
                <w:sz w:val="20"/>
              </w:rPr>
              <w:t>change</w:t>
            </w:r>
            <w:r>
              <w:rPr>
                <w:spacing w:val="-6"/>
                <w:sz w:val="20"/>
              </w:rPr>
              <w:t xml:space="preserve"> </w:t>
            </w:r>
            <w:r>
              <w:rPr>
                <w:sz w:val="20"/>
              </w:rPr>
              <w:t>and</w:t>
            </w:r>
            <w:r>
              <w:rPr>
                <w:spacing w:val="-5"/>
                <w:sz w:val="20"/>
              </w:rPr>
              <w:t xml:space="preserve"> </w:t>
            </w:r>
            <w:r>
              <w:rPr>
                <w:sz w:val="20"/>
              </w:rPr>
              <w:t>its</w:t>
            </w:r>
            <w:r>
              <w:rPr>
                <w:spacing w:val="-7"/>
                <w:sz w:val="20"/>
              </w:rPr>
              <w:t xml:space="preserve"> </w:t>
            </w:r>
            <w:r>
              <w:rPr>
                <w:sz w:val="20"/>
              </w:rPr>
              <w:t>impacts</w:t>
            </w:r>
          </w:p>
        </w:tc>
        <w:tc>
          <w:tcPr>
            <w:tcW w:w="3474" w:type="dxa"/>
          </w:tcPr>
          <w:p w:rsidR="00A56FE9" w:rsidRDefault="00000000">
            <w:pPr>
              <w:pStyle w:val="TableParagraph"/>
              <w:ind w:left="105" w:right="482"/>
              <w:rPr>
                <w:sz w:val="18"/>
              </w:rPr>
            </w:pPr>
            <w:r>
              <w:rPr>
                <w:sz w:val="18"/>
              </w:rPr>
              <w:t>Contribution</w:t>
            </w:r>
            <w:r>
              <w:rPr>
                <w:spacing w:val="-2"/>
                <w:sz w:val="18"/>
              </w:rPr>
              <w:t xml:space="preserve"> </w:t>
            </w:r>
            <w:r>
              <w:rPr>
                <w:sz w:val="18"/>
              </w:rPr>
              <w:t>by</w:t>
            </w:r>
            <w:r>
              <w:rPr>
                <w:spacing w:val="-6"/>
                <w:sz w:val="18"/>
              </w:rPr>
              <w:t xml:space="preserve"> </w:t>
            </w:r>
            <w:r>
              <w:rPr>
                <w:sz w:val="18"/>
              </w:rPr>
              <w:t>Croatia</w:t>
            </w:r>
            <w:r>
              <w:rPr>
                <w:spacing w:val="-4"/>
                <w:sz w:val="18"/>
              </w:rPr>
              <w:t xml:space="preserve"> </w:t>
            </w:r>
            <w:r>
              <w:rPr>
                <w:sz w:val="18"/>
              </w:rPr>
              <w:t>to</w:t>
            </w:r>
            <w:r>
              <w:rPr>
                <w:spacing w:val="-4"/>
                <w:sz w:val="18"/>
              </w:rPr>
              <w:t xml:space="preserve"> </w:t>
            </w:r>
            <w:r>
              <w:rPr>
                <w:sz w:val="18"/>
              </w:rPr>
              <w:t>EU</w:t>
            </w:r>
            <w:r>
              <w:rPr>
                <w:spacing w:val="-2"/>
                <w:sz w:val="18"/>
              </w:rPr>
              <w:t xml:space="preserve"> </w:t>
            </w:r>
            <w:r>
              <w:rPr>
                <w:sz w:val="18"/>
              </w:rPr>
              <w:t>emission</w:t>
            </w:r>
            <w:r>
              <w:rPr>
                <w:spacing w:val="-42"/>
                <w:sz w:val="18"/>
              </w:rPr>
              <w:t xml:space="preserve"> </w:t>
            </w:r>
            <w:r>
              <w:rPr>
                <w:sz w:val="18"/>
              </w:rPr>
              <w:t>reduction</w:t>
            </w:r>
            <w:r>
              <w:rPr>
                <w:spacing w:val="1"/>
                <w:sz w:val="18"/>
              </w:rPr>
              <w:t xml:space="preserve"> </w:t>
            </w:r>
            <w:r>
              <w:rPr>
                <w:sz w:val="18"/>
              </w:rPr>
              <w:t>by</w:t>
            </w:r>
            <w:r>
              <w:rPr>
                <w:spacing w:val="-4"/>
                <w:sz w:val="18"/>
              </w:rPr>
              <w:t xml:space="preserve"> </w:t>
            </w:r>
            <w:r>
              <w:rPr>
                <w:sz w:val="18"/>
              </w:rPr>
              <w:t>55%</w:t>
            </w:r>
            <w:r>
              <w:rPr>
                <w:spacing w:val="-3"/>
                <w:sz w:val="18"/>
              </w:rPr>
              <w:t xml:space="preserve"> </w:t>
            </w:r>
            <w:r>
              <w:rPr>
                <w:sz w:val="18"/>
              </w:rPr>
              <w:t>by</w:t>
            </w:r>
            <w:r>
              <w:rPr>
                <w:spacing w:val="-4"/>
                <w:sz w:val="18"/>
              </w:rPr>
              <w:t xml:space="preserve"> </w:t>
            </w:r>
            <w:r>
              <w:rPr>
                <w:sz w:val="18"/>
              </w:rPr>
              <w:t>2030</w:t>
            </w:r>
          </w:p>
        </w:tc>
        <w:tc>
          <w:tcPr>
            <w:tcW w:w="8928" w:type="dxa"/>
          </w:tcPr>
          <w:p w:rsidR="00A56FE9" w:rsidRDefault="00000000">
            <w:pPr>
              <w:pStyle w:val="TableParagraph"/>
              <w:ind w:left="104" w:right="140"/>
              <w:rPr>
                <w:sz w:val="18"/>
              </w:rPr>
            </w:pPr>
            <w:r>
              <w:rPr>
                <w:sz w:val="18"/>
              </w:rPr>
              <w:t>For 2019, Croatia was allowed a national annual quota of 19,105,632 tCO2-eq, while actual emissions for 2019 (outside</w:t>
            </w:r>
            <w:r>
              <w:rPr>
                <w:spacing w:val="-42"/>
                <w:sz w:val="18"/>
              </w:rPr>
              <w:t xml:space="preserve"> </w:t>
            </w:r>
            <w:r>
              <w:rPr>
                <w:sz w:val="18"/>
              </w:rPr>
              <w:t>the</w:t>
            </w:r>
            <w:r>
              <w:rPr>
                <w:spacing w:val="-2"/>
                <w:sz w:val="18"/>
              </w:rPr>
              <w:t xml:space="preserve"> </w:t>
            </w:r>
            <w:r>
              <w:rPr>
                <w:sz w:val="18"/>
              </w:rPr>
              <w:t>trading</w:t>
            </w:r>
            <w:r>
              <w:rPr>
                <w:spacing w:val="-2"/>
                <w:sz w:val="18"/>
              </w:rPr>
              <w:t xml:space="preserve"> </w:t>
            </w:r>
            <w:r>
              <w:rPr>
                <w:sz w:val="18"/>
              </w:rPr>
              <w:t>system)</w:t>
            </w:r>
            <w:r>
              <w:rPr>
                <w:spacing w:val="1"/>
                <w:sz w:val="18"/>
              </w:rPr>
              <w:t xml:space="preserve"> </w:t>
            </w:r>
            <w:r>
              <w:rPr>
                <w:sz w:val="18"/>
              </w:rPr>
              <w:t>were</w:t>
            </w:r>
            <w:r>
              <w:rPr>
                <w:spacing w:val="-2"/>
                <w:sz w:val="18"/>
              </w:rPr>
              <w:t xml:space="preserve"> </w:t>
            </w:r>
            <w:r>
              <w:rPr>
                <w:sz w:val="18"/>
              </w:rPr>
              <w:t>16,058,241 tCO2-eq.</w:t>
            </w:r>
            <w:r>
              <w:rPr>
                <w:spacing w:val="-2"/>
                <w:sz w:val="18"/>
              </w:rPr>
              <w:t xml:space="preserve"> </w:t>
            </w:r>
            <w:r>
              <w:rPr>
                <w:sz w:val="18"/>
              </w:rPr>
              <w:t>Following</w:t>
            </w:r>
            <w:r>
              <w:rPr>
                <w:spacing w:val="-2"/>
                <w:sz w:val="18"/>
              </w:rPr>
              <w:t xml:space="preserve"> </w:t>
            </w:r>
            <w:r>
              <w:rPr>
                <w:sz w:val="18"/>
              </w:rPr>
              <w:t>the</w:t>
            </w:r>
            <w:r>
              <w:rPr>
                <w:spacing w:val="-2"/>
                <w:sz w:val="18"/>
              </w:rPr>
              <w:t xml:space="preserve"> </w:t>
            </w:r>
            <w:r>
              <w:rPr>
                <w:sz w:val="18"/>
              </w:rPr>
              <w:t>European Commission's</w:t>
            </w:r>
            <w:r>
              <w:rPr>
                <w:spacing w:val="-1"/>
                <w:sz w:val="18"/>
              </w:rPr>
              <w:t xml:space="preserve"> </w:t>
            </w:r>
            <w:r>
              <w:rPr>
                <w:sz w:val="18"/>
              </w:rPr>
              <w:t>audit in</w:t>
            </w:r>
            <w:r>
              <w:rPr>
                <w:spacing w:val="-2"/>
                <w:sz w:val="18"/>
              </w:rPr>
              <w:t xml:space="preserve"> </w:t>
            </w:r>
            <w:r>
              <w:rPr>
                <w:sz w:val="18"/>
              </w:rPr>
              <w:t>2022,</w:t>
            </w:r>
            <w:r>
              <w:rPr>
                <w:spacing w:val="-1"/>
                <w:sz w:val="18"/>
              </w:rPr>
              <w:t xml:space="preserve"> </w:t>
            </w:r>
            <w:r>
              <w:rPr>
                <w:sz w:val="18"/>
              </w:rPr>
              <w:t>the</w:t>
            </w:r>
            <w:r>
              <w:rPr>
                <w:spacing w:val="-2"/>
                <w:sz w:val="18"/>
              </w:rPr>
              <w:t xml:space="preserve"> </w:t>
            </w:r>
            <w:r>
              <w:rPr>
                <w:sz w:val="18"/>
              </w:rPr>
              <w:t>actual</w:t>
            </w:r>
          </w:p>
          <w:p w:rsidR="00A56FE9" w:rsidRDefault="00000000">
            <w:pPr>
              <w:pStyle w:val="TableParagraph"/>
              <w:spacing w:line="191" w:lineRule="exact"/>
              <w:ind w:left="104"/>
              <w:rPr>
                <w:sz w:val="18"/>
              </w:rPr>
            </w:pPr>
            <w:r>
              <w:rPr>
                <w:sz w:val="18"/>
              </w:rPr>
              <w:t>emissions</w:t>
            </w:r>
            <w:r>
              <w:rPr>
                <w:spacing w:val="-1"/>
                <w:sz w:val="18"/>
              </w:rPr>
              <w:t xml:space="preserve"> </w:t>
            </w:r>
            <w:r>
              <w:rPr>
                <w:sz w:val="18"/>
              </w:rPr>
              <w:t>will</w:t>
            </w:r>
            <w:r>
              <w:rPr>
                <w:spacing w:val="-1"/>
                <w:sz w:val="18"/>
              </w:rPr>
              <w:t xml:space="preserve"> </w:t>
            </w:r>
            <w:r>
              <w:rPr>
                <w:sz w:val="18"/>
              </w:rPr>
              <w:t>be</w:t>
            </w:r>
            <w:r>
              <w:rPr>
                <w:spacing w:val="-2"/>
                <w:sz w:val="18"/>
              </w:rPr>
              <w:t xml:space="preserve"> </w:t>
            </w:r>
            <w:r>
              <w:rPr>
                <w:sz w:val="18"/>
              </w:rPr>
              <w:t>known for</w:t>
            </w:r>
            <w:r>
              <w:rPr>
                <w:spacing w:val="-1"/>
                <w:sz w:val="18"/>
              </w:rPr>
              <w:t xml:space="preserve"> </w:t>
            </w:r>
            <w:r>
              <w:rPr>
                <w:sz w:val="18"/>
              </w:rPr>
              <w:t>2020</w:t>
            </w:r>
            <w:r>
              <w:rPr>
                <w:spacing w:val="-2"/>
                <w:sz w:val="18"/>
              </w:rPr>
              <w:t xml:space="preserve"> </w:t>
            </w:r>
            <w:r>
              <w:rPr>
                <w:sz w:val="18"/>
              </w:rPr>
              <w:t>and in</w:t>
            </w:r>
            <w:r>
              <w:rPr>
                <w:spacing w:val="-2"/>
                <w:sz w:val="18"/>
              </w:rPr>
              <w:t xml:space="preserve"> </w:t>
            </w:r>
            <w:r>
              <w:rPr>
                <w:sz w:val="18"/>
              </w:rPr>
              <w:t>2023 for</w:t>
            </w:r>
            <w:r>
              <w:rPr>
                <w:spacing w:val="-2"/>
                <w:sz w:val="18"/>
              </w:rPr>
              <w:t xml:space="preserve"> </w:t>
            </w:r>
            <w:r>
              <w:rPr>
                <w:sz w:val="18"/>
              </w:rPr>
              <w:t>2021.</w:t>
            </w:r>
          </w:p>
        </w:tc>
      </w:tr>
      <w:tr w:rsidR="00A56FE9">
        <w:trPr>
          <w:trHeight w:val="621"/>
        </w:trPr>
        <w:tc>
          <w:tcPr>
            <w:tcW w:w="2060" w:type="dxa"/>
            <w:vMerge/>
            <w:tcBorders>
              <w:top w:val="nil"/>
            </w:tcBorders>
            <w:shd w:val="clear" w:color="auto" w:fill="F1F1F1"/>
          </w:tcPr>
          <w:p w:rsidR="00A56FE9" w:rsidRDefault="00A56FE9">
            <w:pPr>
              <w:rPr>
                <w:sz w:val="2"/>
                <w:szCs w:val="2"/>
              </w:rPr>
            </w:pPr>
          </w:p>
        </w:tc>
        <w:tc>
          <w:tcPr>
            <w:tcW w:w="3474" w:type="dxa"/>
          </w:tcPr>
          <w:p w:rsidR="00A56FE9" w:rsidRDefault="00000000">
            <w:pPr>
              <w:pStyle w:val="TableParagraph"/>
              <w:spacing w:line="202" w:lineRule="exact"/>
              <w:ind w:left="105"/>
              <w:rPr>
                <w:sz w:val="18"/>
              </w:rPr>
            </w:pPr>
            <w:r>
              <w:rPr>
                <w:sz w:val="18"/>
              </w:rPr>
              <w:t>year Action</w:t>
            </w:r>
            <w:r>
              <w:rPr>
                <w:spacing w:val="-3"/>
                <w:sz w:val="18"/>
              </w:rPr>
              <w:t xml:space="preserve"> </w:t>
            </w:r>
            <w:r>
              <w:rPr>
                <w:sz w:val="18"/>
              </w:rPr>
              <w:t>Plan for</w:t>
            </w:r>
            <w:r>
              <w:rPr>
                <w:spacing w:val="-2"/>
                <w:sz w:val="18"/>
              </w:rPr>
              <w:t xml:space="preserve"> </w:t>
            </w:r>
            <w:r>
              <w:rPr>
                <w:sz w:val="18"/>
              </w:rPr>
              <w:t>the</w:t>
            </w:r>
            <w:r>
              <w:rPr>
                <w:spacing w:val="-2"/>
                <w:sz w:val="18"/>
              </w:rPr>
              <w:t xml:space="preserve"> </w:t>
            </w:r>
            <w:r>
              <w:rPr>
                <w:sz w:val="18"/>
              </w:rPr>
              <w:t>implementation</w:t>
            </w:r>
            <w:r>
              <w:rPr>
                <w:spacing w:val="-1"/>
                <w:sz w:val="18"/>
              </w:rPr>
              <w:t xml:space="preserve"> </w:t>
            </w:r>
            <w:r>
              <w:rPr>
                <w:sz w:val="18"/>
              </w:rPr>
              <w:t>of</w:t>
            </w:r>
          </w:p>
          <w:p w:rsidR="00A56FE9" w:rsidRDefault="00000000">
            <w:pPr>
              <w:pStyle w:val="TableParagraph"/>
              <w:spacing w:line="206" w:lineRule="exact"/>
              <w:ind w:left="105" w:right="492"/>
              <w:rPr>
                <w:sz w:val="18"/>
              </w:rPr>
            </w:pPr>
            <w:r>
              <w:rPr>
                <w:sz w:val="18"/>
              </w:rPr>
              <w:t>priority</w:t>
            </w:r>
            <w:r>
              <w:rPr>
                <w:spacing w:val="-4"/>
                <w:sz w:val="18"/>
              </w:rPr>
              <w:t xml:space="preserve"> </w:t>
            </w:r>
            <w:r>
              <w:rPr>
                <w:sz w:val="18"/>
              </w:rPr>
              <w:t>measures from</w:t>
            </w:r>
            <w:r>
              <w:rPr>
                <w:spacing w:val="-5"/>
                <w:sz w:val="18"/>
              </w:rPr>
              <w:t xml:space="preserve"> </w:t>
            </w:r>
            <w:r>
              <w:rPr>
                <w:sz w:val="18"/>
              </w:rPr>
              <w:t>the</w:t>
            </w:r>
            <w:r>
              <w:rPr>
                <w:spacing w:val="-4"/>
                <w:sz w:val="18"/>
              </w:rPr>
              <w:t xml:space="preserve"> </w:t>
            </w:r>
            <w:r>
              <w:rPr>
                <w:sz w:val="18"/>
              </w:rPr>
              <w:t>Low</w:t>
            </w:r>
            <w:r>
              <w:rPr>
                <w:spacing w:val="-5"/>
                <w:sz w:val="18"/>
              </w:rPr>
              <w:t xml:space="preserve"> </w:t>
            </w:r>
            <w:r>
              <w:rPr>
                <w:sz w:val="18"/>
              </w:rPr>
              <w:t>Carbon</w:t>
            </w:r>
            <w:r>
              <w:rPr>
                <w:spacing w:val="-42"/>
                <w:sz w:val="18"/>
              </w:rPr>
              <w:t xml:space="preserve"> </w:t>
            </w:r>
            <w:r>
              <w:rPr>
                <w:sz w:val="18"/>
              </w:rPr>
              <w:t>Development</w:t>
            </w:r>
            <w:r>
              <w:rPr>
                <w:spacing w:val="-1"/>
                <w:sz w:val="18"/>
              </w:rPr>
              <w:t xml:space="preserve"> </w:t>
            </w:r>
            <w:r>
              <w:rPr>
                <w:sz w:val="18"/>
              </w:rPr>
              <w:t>Strategy</w:t>
            </w:r>
          </w:p>
        </w:tc>
        <w:tc>
          <w:tcPr>
            <w:tcW w:w="8928" w:type="dxa"/>
          </w:tcPr>
          <w:p w:rsidR="00A56FE9" w:rsidRDefault="00000000">
            <w:pPr>
              <w:pStyle w:val="TableParagraph"/>
              <w:spacing w:line="202" w:lineRule="exact"/>
              <w:ind w:left="104"/>
              <w:rPr>
                <w:sz w:val="18"/>
              </w:rPr>
            </w:pPr>
            <w:r>
              <w:rPr>
                <w:sz w:val="18"/>
              </w:rPr>
              <w:t>An</w:t>
            </w:r>
            <w:r>
              <w:rPr>
                <w:spacing w:val="-1"/>
                <w:sz w:val="18"/>
              </w:rPr>
              <w:t xml:space="preserve"> </w:t>
            </w:r>
            <w:r>
              <w:rPr>
                <w:sz w:val="18"/>
              </w:rPr>
              <w:t>action plan</w:t>
            </w:r>
            <w:r>
              <w:rPr>
                <w:spacing w:val="-3"/>
                <w:sz w:val="18"/>
              </w:rPr>
              <w:t xml:space="preserve"> </w:t>
            </w:r>
            <w:r>
              <w:rPr>
                <w:sz w:val="18"/>
              </w:rPr>
              <w:t>will</w:t>
            </w:r>
            <w:r>
              <w:rPr>
                <w:spacing w:val="-2"/>
                <w:sz w:val="18"/>
              </w:rPr>
              <w:t xml:space="preserve"> </w:t>
            </w:r>
            <w:r>
              <w:rPr>
                <w:sz w:val="18"/>
              </w:rPr>
              <w:t>be</w:t>
            </w:r>
            <w:r>
              <w:rPr>
                <w:spacing w:val="-2"/>
                <w:sz w:val="18"/>
              </w:rPr>
              <w:t xml:space="preserve"> </w:t>
            </w:r>
            <w:r>
              <w:rPr>
                <w:sz w:val="18"/>
              </w:rPr>
              <w:t>drawn up</w:t>
            </w:r>
            <w:r>
              <w:rPr>
                <w:spacing w:val="-2"/>
                <w:sz w:val="18"/>
              </w:rPr>
              <w:t xml:space="preserve"> </w:t>
            </w:r>
            <w:r>
              <w:rPr>
                <w:sz w:val="18"/>
              </w:rPr>
              <w:t>to</w:t>
            </w:r>
            <w:r>
              <w:rPr>
                <w:spacing w:val="-1"/>
                <w:sz w:val="18"/>
              </w:rPr>
              <w:t xml:space="preserve"> </w:t>
            </w:r>
            <w:r>
              <w:rPr>
                <w:sz w:val="18"/>
              </w:rPr>
              <w:t>implement</w:t>
            </w:r>
            <w:r>
              <w:rPr>
                <w:spacing w:val="-1"/>
                <w:sz w:val="18"/>
              </w:rPr>
              <w:t xml:space="preserve"> </w:t>
            </w:r>
            <w:r>
              <w:rPr>
                <w:sz w:val="18"/>
              </w:rPr>
              <w:t>the</w:t>
            </w:r>
            <w:r>
              <w:rPr>
                <w:spacing w:val="-2"/>
                <w:sz w:val="18"/>
              </w:rPr>
              <w:t xml:space="preserve"> </w:t>
            </w:r>
            <w:r>
              <w:rPr>
                <w:sz w:val="18"/>
              </w:rPr>
              <w:t>priority</w:t>
            </w:r>
            <w:r>
              <w:rPr>
                <w:spacing w:val="-5"/>
                <w:sz w:val="18"/>
              </w:rPr>
              <w:t xml:space="preserve"> </w:t>
            </w:r>
            <w:r>
              <w:rPr>
                <w:sz w:val="18"/>
              </w:rPr>
              <w:t>measures</w:t>
            </w:r>
            <w:r>
              <w:rPr>
                <w:spacing w:val="-2"/>
                <w:sz w:val="18"/>
              </w:rPr>
              <w:t xml:space="preserve"> </w:t>
            </w:r>
            <w:r>
              <w:rPr>
                <w:sz w:val="18"/>
              </w:rPr>
              <w:t>of</w:t>
            </w:r>
            <w:r>
              <w:rPr>
                <w:spacing w:val="-3"/>
                <w:sz w:val="18"/>
              </w:rPr>
              <w:t xml:space="preserve"> </w:t>
            </w:r>
            <w:r>
              <w:rPr>
                <w:sz w:val="18"/>
              </w:rPr>
              <w:t>the</w:t>
            </w:r>
            <w:r>
              <w:rPr>
                <w:spacing w:val="-2"/>
                <w:sz w:val="18"/>
              </w:rPr>
              <w:t xml:space="preserve"> </w:t>
            </w:r>
            <w:r>
              <w:rPr>
                <w:sz w:val="18"/>
              </w:rPr>
              <w:t>Low</w:t>
            </w:r>
            <w:r>
              <w:rPr>
                <w:spacing w:val="-4"/>
                <w:sz w:val="18"/>
              </w:rPr>
              <w:t xml:space="preserve"> </w:t>
            </w:r>
            <w:r>
              <w:rPr>
                <w:sz w:val="18"/>
              </w:rPr>
              <w:t>Carbon</w:t>
            </w:r>
            <w:r>
              <w:rPr>
                <w:spacing w:val="-1"/>
                <w:sz w:val="18"/>
              </w:rPr>
              <w:t xml:space="preserve"> </w:t>
            </w:r>
            <w:r>
              <w:rPr>
                <w:sz w:val="18"/>
              </w:rPr>
              <w:t>Development</w:t>
            </w:r>
            <w:r>
              <w:rPr>
                <w:spacing w:val="-1"/>
                <w:sz w:val="18"/>
              </w:rPr>
              <w:t xml:space="preserve"> </w:t>
            </w:r>
            <w:r>
              <w:rPr>
                <w:sz w:val="18"/>
              </w:rPr>
              <w:t>Strategy,</w:t>
            </w:r>
            <w:r>
              <w:rPr>
                <w:spacing w:val="-1"/>
                <w:sz w:val="18"/>
              </w:rPr>
              <w:t xml:space="preserve"> </w:t>
            </w:r>
            <w:r>
              <w:rPr>
                <w:sz w:val="18"/>
              </w:rPr>
              <w:t>which</w:t>
            </w:r>
          </w:p>
          <w:p w:rsidR="00A56FE9" w:rsidRDefault="00000000">
            <w:pPr>
              <w:pStyle w:val="TableParagraph"/>
              <w:spacing w:line="206" w:lineRule="exact"/>
              <w:ind w:left="104"/>
              <w:rPr>
                <w:sz w:val="18"/>
              </w:rPr>
            </w:pPr>
            <w:r>
              <w:rPr>
                <w:sz w:val="18"/>
              </w:rPr>
              <w:t>will</w:t>
            </w:r>
            <w:r>
              <w:rPr>
                <w:spacing w:val="-1"/>
                <w:sz w:val="18"/>
              </w:rPr>
              <w:t xml:space="preserve"> </w:t>
            </w:r>
            <w:r>
              <w:rPr>
                <w:sz w:val="18"/>
              </w:rPr>
              <w:t>include</w:t>
            </w:r>
            <w:r>
              <w:rPr>
                <w:spacing w:val="-3"/>
                <w:sz w:val="18"/>
              </w:rPr>
              <w:t xml:space="preserve"> </w:t>
            </w:r>
            <w:r>
              <w:rPr>
                <w:sz w:val="18"/>
              </w:rPr>
              <w:t>new</w:t>
            </w:r>
            <w:r>
              <w:rPr>
                <w:spacing w:val="-4"/>
                <w:sz w:val="18"/>
              </w:rPr>
              <w:t xml:space="preserve"> </w:t>
            </w:r>
            <w:r>
              <w:rPr>
                <w:sz w:val="18"/>
              </w:rPr>
              <w:t>national</w:t>
            </w:r>
            <w:r>
              <w:rPr>
                <w:spacing w:val="-1"/>
                <w:sz w:val="18"/>
              </w:rPr>
              <w:t xml:space="preserve"> </w:t>
            </w:r>
            <w:r>
              <w:rPr>
                <w:sz w:val="18"/>
              </w:rPr>
              <w:t>commitments</w:t>
            </w:r>
            <w:r>
              <w:rPr>
                <w:spacing w:val="-1"/>
                <w:sz w:val="18"/>
              </w:rPr>
              <w:t xml:space="preserve"> </w:t>
            </w:r>
            <w:r>
              <w:rPr>
                <w:sz w:val="18"/>
              </w:rPr>
              <w:t>to achieve</w:t>
            </w:r>
            <w:r>
              <w:rPr>
                <w:spacing w:val="-2"/>
                <w:sz w:val="18"/>
              </w:rPr>
              <w:t xml:space="preserve"> </w:t>
            </w:r>
            <w:r>
              <w:rPr>
                <w:sz w:val="18"/>
              </w:rPr>
              <w:t>the</w:t>
            </w:r>
            <w:r>
              <w:rPr>
                <w:spacing w:val="-2"/>
                <w:sz w:val="18"/>
              </w:rPr>
              <w:t xml:space="preserve"> </w:t>
            </w:r>
            <w:r>
              <w:rPr>
                <w:sz w:val="18"/>
              </w:rPr>
              <w:t>EU's</w:t>
            </w:r>
            <w:r>
              <w:rPr>
                <w:spacing w:val="-1"/>
                <w:sz w:val="18"/>
              </w:rPr>
              <w:t xml:space="preserve"> </w:t>
            </w:r>
            <w:r>
              <w:rPr>
                <w:sz w:val="18"/>
              </w:rPr>
              <w:t>common goal</w:t>
            </w:r>
            <w:r>
              <w:rPr>
                <w:spacing w:val="-1"/>
                <w:sz w:val="18"/>
              </w:rPr>
              <w:t xml:space="preserve"> </w:t>
            </w:r>
            <w:r>
              <w:rPr>
                <w:sz w:val="18"/>
              </w:rPr>
              <w:t>of</w:t>
            </w:r>
            <w:r>
              <w:rPr>
                <w:spacing w:val="-3"/>
                <w:sz w:val="18"/>
              </w:rPr>
              <w:t xml:space="preserve"> </w:t>
            </w:r>
            <w:r>
              <w:rPr>
                <w:sz w:val="18"/>
              </w:rPr>
              <w:t>reducing</w:t>
            </w:r>
            <w:r>
              <w:rPr>
                <w:spacing w:val="-2"/>
                <w:sz w:val="18"/>
              </w:rPr>
              <w:t xml:space="preserve"> </w:t>
            </w:r>
            <w:r>
              <w:rPr>
                <w:sz w:val="18"/>
              </w:rPr>
              <w:t>greenhouse</w:t>
            </w:r>
            <w:r>
              <w:rPr>
                <w:spacing w:val="-1"/>
                <w:sz w:val="18"/>
              </w:rPr>
              <w:t xml:space="preserve"> </w:t>
            </w:r>
            <w:r>
              <w:rPr>
                <w:sz w:val="18"/>
              </w:rPr>
              <w:t>gas</w:t>
            </w:r>
            <w:r>
              <w:rPr>
                <w:spacing w:val="-1"/>
                <w:sz w:val="18"/>
              </w:rPr>
              <w:t xml:space="preserve"> </w:t>
            </w:r>
            <w:r>
              <w:rPr>
                <w:sz w:val="18"/>
              </w:rPr>
              <w:t>emissions</w:t>
            </w:r>
            <w:r>
              <w:rPr>
                <w:spacing w:val="-1"/>
                <w:sz w:val="18"/>
              </w:rPr>
              <w:t xml:space="preserve"> </w:t>
            </w:r>
            <w:r>
              <w:rPr>
                <w:sz w:val="18"/>
              </w:rPr>
              <w:t>by</w:t>
            </w:r>
            <w:r>
              <w:rPr>
                <w:spacing w:val="-5"/>
                <w:sz w:val="18"/>
              </w:rPr>
              <w:t xml:space="preserve"> </w:t>
            </w:r>
            <w:r>
              <w:rPr>
                <w:sz w:val="18"/>
              </w:rPr>
              <w:t>55%</w:t>
            </w:r>
            <w:r>
              <w:rPr>
                <w:spacing w:val="-42"/>
                <w:sz w:val="18"/>
              </w:rPr>
              <w:t xml:space="preserve"> </w:t>
            </w:r>
            <w:r>
              <w:rPr>
                <w:sz w:val="18"/>
              </w:rPr>
              <w:t>by</w:t>
            </w:r>
            <w:r>
              <w:rPr>
                <w:spacing w:val="-5"/>
                <w:sz w:val="18"/>
              </w:rPr>
              <w:t xml:space="preserve"> </w:t>
            </w:r>
            <w:r>
              <w:rPr>
                <w:sz w:val="18"/>
              </w:rPr>
              <w:t>2030</w:t>
            </w:r>
            <w:r>
              <w:rPr>
                <w:spacing w:val="1"/>
                <w:sz w:val="18"/>
              </w:rPr>
              <w:t xml:space="preserve"> </w:t>
            </w:r>
            <w:r>
              <w:rPr>
                <w:sz w:val="18"/>
              </w:rPr>
              <w:t>and</w:t>
            </w:r>
            <w:r>
              <w:rPr>
                <w:spacing w:val="1"/>
                <w:sz w:val="18"/>
              </w:rPr>
              <w:t xml:space="preserve"> </w:t>
            </w:r>
            <w:r>
              <w:rPr>
                <w:sz w:val="18"/>
              </w:rPr>
              <w:t>achieving</w:t>
            </w:r>
            <w:r>
              <w:rPr>
                <w:spacing w:val="-1"/>
                <w:sz w:val="18"/>
              </w:rPr>
              <w:t xml:space="preserve"> </w:t>
            </w:r>
            <w:r>
              <w:rPr>
                <w:sz w:val="18"/>
              </w:rPr>
              <w:t>EU climate</w:t>
            </w:r>
            <w:r>
              <w:rPr>
                <w:spacing w:val="-1"/>
                <w:sz w:val="18"/>
              </w:rPr>
              <w:t xml:space="preserve"> </w:t>
            </w:r>
            <w:r>
              <w:rPr>
                <w:sz w:val="18"/>
              </w:rPr>
              <w:t>neutrality</w:t>
            </w:r>
            <w:r>
              <w:rPr>
                <w:spacing w:val="-4"/>
                <w:sz w:val="18"/>
              </w:rPr>
              <w:t xml:space="preserve"> </w:t>
            </w:r>
            <w:r>
              <w:rPr>
                <w:sz w:val="18"/>
              </w:rPr>
              <w:t>by</w:t>
            </w:r>
            <w:r>
              <w:rPr>
                <w:spacing w:val="-4"/>
                <w:sz w:val="18"/>
              </w:rPr>
              <w:t xml:space="preserve"> </w:t>
            </w:r>
            <w:r>
              <w:rPr>
                <w:sz w:val="18"/>
              </w:rPr>
              <w:t>2050.</w:t>
            </w:r>
          </w:p>
        </w:tc>
      </w:tr>
      <w:tr w:rsidR="00A56FE9">
        <w:trPr>
          <w:trHeight w:val="621"/>
        </w:trPr>
        <w:tc>
          <w:tcPr>
            <w:tcW w:w="2060" w:type="dxa"/>
            <w:vMerge/>
            <w:tcBorders>
              <w:top w:val="nil"/>
            </w:tcBorders>
            <w:shd w:val="clear" w:color="auto" w:fill="F1F1F1"/>
          </w:tcPr>
          <w:p w:rsidR="00A56FE9" w:rsidRDefault="00A56FE9">
            <w:pPr>
              <w:rPr>
                <w:sz w:val="2"/>
                <w:szCs w:val="2"/>
              </w:rPr>
            </w:pPr>
          </w:p>
        </w:tc>
        <w:tc>
          <w:tcPr>
            <w:tcW w:w="3474" w:type="dxa"/>
          </w:tcPr>
          <w:p w:rsidR="00A56FE9" w:rsidRDefault="00000000">
            <w:pPr>
              <w:pStyle w:val="TableParagraph"/>
              <w:ind w:left="105" w:right="198"/>
              <w:rPr>
                <w:sz w:val="18"/>
              </w:rPr>
            </w:pPr>
            <w:r>
              <w:rPr>
                <w:sz w:val="18"/>
              </w:rPr>
              <w:t>Drawing</w:t>
            </w:r>
            <w:r>
              <w:rPr>
                <w:spacing w:val="-2"/>
                <w:sz w:val="18"/>
              </w:rPr>
              <w:t xml:space="preserve"> </w:t>
            </w:r>
            <w:r>
              <w:rPr>
                <w:sz w:val="18"/>
              </w:rPr>
              <w:t>up the</w:t>
            </w:r>
            <w:r>
              <w:rPr>
                <w:spacing w:val="-2"/>
                <w:sz w:val="18"/>
              </w:rPr>
              <w:t xml:space="preserve"> </w:t>
            </w:r>
            <w:r>
              <w:rPr>
                <w:sz w:val="18"/>
              </w:rPr>
              <w:t>planning</w:t>
            </w:r>
            <w:r>
              <w:rPr>
                <w:spacing w:val="-2"/>
                <w:sz w:val="18"/>
              </w:rPr>
              <w:t xml:space="preserve"> </w:t>
            </w:r>
            <w:r>
              <w:rPr>
                <w:sz w:val="18"/>
              </w:rPr>
              <w:t>framework</w:t>
            </w:r>
            <w:r>
              <w:rPr>
                <w:spacing w:val="-2"/>
                <w:sz w:val="18"/>
              </w:rPr>
              <w:t xml:space="preserve"> </w:t>
            </w:r>
            <w:r>
              <w:rPr>
                <w:sz w:val="18"/>
              </w:rPr>
              <w:t>for</w:t>
            </w:r>
            <w:r>
              <w:rPr>
                <w:spacing w:val="-1"/>
                <w:sz w:val="18"/>
              </w:rPr>
              <w:t xml:space="preserve"> </w:t>
            </w:r>
            <w:r>
              <w:rPr>
                <w:sz w:val="18"/>
              </w:rPr>
              <w:t>the</w:t>
            </w:r>
            <w:r>
              <w:rPr>
                <w:spacing w:val="-42"/>
                <w:sz w:val="18"/>
              </w:rPr>
              <w:t xml:space="preserve"> </w:t>
            </w:r>
            <w:r>
              <w:rPr>
                <w:sz w:val="18"/>
              </w:rPr>
              <w:t>implementation of</w:t>
            </w:r>
            <w:r>
              <w:rPr>
                <w:spacing w:val="-3"/>
                <w:sz w:val="18"/>
              </w:rPr>
              <w:t xml:space="preserve"> </w:t>
            </w:r>
            <w:r>
              <w:rPr>
                <w:sz w:val="18"/>
              </w:rPr>
              <w:t>the</w:t>
            </w:r>
            <w:r>
              <w:rPr>
                <w:spacing w:val="-1"/>
                <w:sz w:val="18"/>
              </w:rPr>
              <w:t xml:space="preserve"> </w:t>
            </w:r>
            <w:r>
              <w:rPr>
                <w:sz w:val="18"/>
              </w:rPr>
              <w:t>Climate</w:t>
            </w:r>
            <w:r>
              <w:rPr>
                <w:spacing w:val="-1"/>
                <w:sz w:val="18"/>
              </w:rPr>
              <w:t xml:space="preserve"> </w:t>
            </w:r>
            <w:r>
              <w:rPr>
                <w:sz w:val="18"/>
              </w:rPr>
              <w:t>Change</w:t>
            </w:r>
          </w:p>
          <w:p w:rsidR="00A56FE9" w:rsidRDefault="00000000">
            <w:pPr>
              <w:pStyle w:val="TableParagraph"/>
              <w:spacing w:line="192" w:lineRule="exact"/>
              <w:ind w:left="105"/>
              <w:rPr>
                <w:sz w:val="18"/>
              </w:rPr>
            </w:pPr>
            <w:r>
              <w:rPr>
                <w:sz w:val="18"/>
              </w:rPr>
              <w:t>Adaptation</w:t>
            </w:r>
            <w:r>
              <w:rPr>
                <w:spacing w:val="-1"/>
                <w:sz w:val="18"/>
              </w:rPr>
              <w:t xml:space="preserve"> </w:t>
            </w:r>
            <w:r>
              <w:rPr>
                <w:sz w:val="18"/>
              </w:rPr>
              <w:t>Strategy</w:t>
            </w:r>
          </w:p>
        </w:tc>
        <w:tc>
          <w:tcPr>
            <w:tcW w:w="8928" w:type="dxa"/>
          </w:tcPr>
          <w:p w:rsidR="00A56FE9" w:rsidRDefault="00000000">
            <w:pPr>
              <w:pStyle w:val="TableParagraph"/>
              <w:ind w:left="104" w:right="358"/>
              <w:rPr>
                <w:sz w:val="18"/>
              </w:rPr>
            </w:pPr>
            <w:r>
              <w:rPr>
                <w:sz w:val="18"/>
              </w:rPr>
              <w:t>An</w:t>
            </w:r>
            <w:r>
              <w:rPr>
                <w:spacing w:val="-1"/>
                <w:sz w:val="18"/>
              </w:rPr>
              <w:t xml:space="preserve"> </w:t>
            </w:r>
            <w:r>
              <w:rPr>
                <w:sz w:val="18"/>
              </w:rPr>
              <w:t>action plan</w:t>
            </w:r>
            <w:r>
              <w:rPr>
                <w:spacing w:val="-4"/>
                <w:sz w:val="18"/>
              </w:rPr>
              <w:t xml:space="preserve"> </w:t>
            </w:r>
            <w:r>
              <w:rPr>
                <w:sz w:val="18"/>
              </w:rPr>
              <w:t>for</w:t>
            </w:r>
            <w:r>
              <w:rPr>
                <w:spacing w:val="-1"/>
                <w:sz w:val="18"/>
              </w:rPr>
              <w:t xml:space="preserve"> </w:t>
            </w:r>
            <w:r>
              <w:rPr>
                <w:sz w:val="18"/>
              </w:rPr>
              <w:t>the</w:t>
            </w:r>
            <w:r>
              <w:rPr>
                <w:spacing w:val="-2"/>
                <w:sz w:val="18"/>
              </w:rPr>
              <w:t xml:space="preserve"> </w:t>
            </w:r>
            <w:r>
              <w:rPr>
                <w:sz w:val="18"/>
              </w:rPr>
              <w:t>implementation</w:t>
            </w:r>
            <w:r>
              <w:rPr>
                <w:spacing w:val="-3"/>
                <w:sz w:val="18"/>
              </w:rPr>
              <w:t xml:space="preserve"> </w:t>
            </w:r>
            <w:r>
              <w:rPr>
                <w:sz w:val="18"/>
              </w:rPr>
              <w:t>of</w:t>
            </w:r>
            <w:r>
              <w:rPr>
                <w:spacing w:val="-3"/>
                <w:sz w:val="18"/>
              </w:rPr>
              <w:t xml:space="preserve"> </w:t>
            </w:r>
            <w:r>
              <w:rPr>
                <w:sz w:val="18"/>
              </w:rPr>
              <w:t>priority</w:t>
            </w:r>
            <w:r>
              <w:rPr>
                <w:spacing w:val="-2"/>
                <w:sz w:val="18"/>
              </w:rPr>
              <w:t xml:space="preserve"> </w:t>
            </w:r>
            <w:r>
              <w:rPr>
                <w:sz w:val="18"/>
              </w:rPr>
              <w:t>measures</w:t>
            </w:r>
            <w:r>
              <w:rPr>
                <w:spacing w:val="-2"/>
                <w:sz w:val="18"/>
              </w:rPr>
              <w:t xml:space="preserve"> </w:t>
            </w:r>
            <w:r>
              <w:rPr>
                <w:sz w:val="18"/>
              </w:rPr>
              <w:t>from</w:t>
            </w:r>
            <w:r>
              <w:rPr>
                <w:spacing w:val="-4"/>
                <w:sz w:val="18"/>
              </w:rPr>
              <w:t xml:space="preserve"> </w:t>
            </w:r>
            <w:r>
              <w:rPr>
                <w:sz w:val="18"/>
              </w:rPr>
              <w:t>the</w:t>
            </w:r>
            <w:r>
              <w:rPr>
                <w:spacing w:val="-3"/>
                <w:sz w:val="18"/>
              </w:rPr>
              <w:t xml:space="preserve"> </w:t>
            </w:r>
            <w:r>
              <w:rPr>
                <w:sz w:val="18"/>
              </w:rPr>
              <w:t>Climate</w:t>
            </w:r>
            <w:r>
              <w:rPr>
                <w:spacing w:val="-2"/>
                <w:sz w:val="18"/>
              </w:rPr>
              <w:t xml:space="preserve"> </w:t>
            </w:r>
            <w:r>
              <w:rPr>
                <w:sz w:val="18"/>
              </w:rPr>
              <w:t>Change</w:t>
            </w:r>
            <w:r>
              <w:rPr>
                <w:spacing w:val="-2"/>
                <w:sz w:val="18"/>
              </w:rPr>
              <w:t xml:space="preserve"> </w:t>
            </w:r>
            <w:r>
              <w:rPr>
                <w:sz w:val="18"/>
              </w:rPr>
              <w:t>Adaptation</w:t>
            </w:r>
            <w:r>
              <w:rPr>
                <w:spacing w:val="-1"/>
                <w:sz w:val="18"/>
              </w:rPr>
              <w:t xml:space="preserve"> </w:t>
            </w:r>
            <w:r>
              <w:rPr>
                <w:sz w:val="18"/>
              </w:rPr>
              <w:t>Strategy</w:t>
            </w:r>
            <w:r>
              <w:rPr>
                <w:spacing w:val="-2"/>
                <w:sz w:val="18"/>
              </w:rPr>
              <w:t xml:space="preserve"> </w:t>
            </w:r>
            <w:r>
              <w:rPr>
                <w:sz w:val="18"/>
              </w:rPr>
              <w:t>for</w:t>
            </w:r>
            <w:r>
              <w:rPr>
                <w:spacing w:val="-1"/>
                <w:sz w:val="18"/>
              </w:rPr>
              <w:t xml:space="preserve"> </w:t>
            </w:r>
            <w:r>
              <w:rPr>
                <w:sz w:val="18"/>
              </w:rPr>
              <w:t>the</w:t>
            </w:r>
            <w:r>
              <w:rPr>
                <w:spacing w:val="-3"/>
                <w:sz w:val="18"/>
              </w:rPr>
              <w:t xml:space="preserve"> </w:t>
            </w:r>
            <w:r>
              <w:rPr>
                <w:sz w:val="18"/>
              </w:rPr>
              <w:t>first</w:t>
            </w:r>
            <w:r>
              <w:rPr>
                <w:spacing w:val="-42"/>
                <w:sz w:val="18"/>
              </w:rPr>
              <w:t xml:space="preserve"> </w:t>
            </w:r>
            <w:r>
              <w:rPr>
                <w:sz w:val="18"/>
              </w:rPr>
              <w:t>five-year</w:t>
            </w:r>
            <w:r>
              <w:rPr>
                <w:spacing w:val="-1"/>
                <w:sz w:val="18"/>
              </w:rPr>
              <w:t xml:space="preserve"> </w:t>
            </w:r>
            <w:r>
              <w:rPr>
                <w:sz w:val="18"/>
              </w:rPr>
              <w:t>period</w:t>
            </w:r>
            <w:r>
              <w:rPr>
                <w:spacing w:val="1"/>
                <w:sz w:val="18"/>
              </w:rPr>
              <w:t xml:space="preserve"> </w:t>
            </w:r>
            <w:r>
              <w:rPr>
                <w:sz w:val="18"/>
              </w:rPr>
              <w:t>will be</w:t>
            </w:r>
            <w:r>
              <w:rPr>
                <w:spacing w:val="-3"/>
                <w:sz w:val="18"/>
              </w:rPr>
              <w:t xml:space="preserve"> </w:t>
            </w:r>
            <w:r>
              <w:rPr>
                <w:sz w:val="18"/>
              </w:rPr>
              <w:t>developed.</w:t>
            </w:r>
          </w:p>
        </w:tc>
      </w:tr>
    </w:tbl>
    <w:p w:rsidR="00A56FE9" w:rsidRDefault="00A56FE9">
      <w:pPr>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0"/>
        <w:gridCol w:w="3474"/>
        <w:gridCol w:w="8928"/>
      </w:tblGrid>
      <w:tr w:rsidR="00A56FE9">
        <w:trPr>
          <w:trHeight w:val="249"/>
        </w:trPr>
        <w:tc>
          <w:tcPr>
            <w:tcW w:w="2060" w:type="dxa"/>
            <w:tcBorders>
              <w:top w:val="nil"/>
              <w:left w:val="nil"/>
              <w:bottom w:val="nil"/>
              <w:right w:val="nil"/>
            </w:tcBorders>
            <w:shd w:val="clear" w:color="auto" w:fill="2C398A"/>
          </w:tcPr>
          <w:p w:rsidR="00A56FE9" w:rsidRDefault="00000000">
            <w:pPr>
              <w:pStyle w:val="TableParagraph"/>
              <w:spacing w:before="10" w:line="220" w:lineRule="exact"/>
              <w:ind w:left="804" w:right="803"/>
              <w:jc w:val="center"/>
              <w:rPr>
                <w:b/>
                <w:sz w:val="20"/>
              </w:rPr>
            </w:pPr>
            <w:r>
              <w:rPr>
                <w:b/>
                <w:color w:val="FFFFFF"/>
                <w:sz w:val="20"/>
              </w:rPr>
              <w:t>SDG</w:t>
            </w:r>
          </w:p>
        </w:tc>
        <w:tc>
          <w:tcPr>
            <w:tcW w:w="3474" w:type="dxa"/>
            <w:tcBorders>
              <w:top w:val="nil"/>
              <w:left w:val="nil"/>
              <w:bottom w:val="nil"/>
              <w:right w:val="nil"/>
            </w:tcBorders>
            <w:shd w:val="clear" w:color="auto" w:fill="2C398A"/>
          </w:tcPr>
          <w:p w:rsidR="00A56FE9" w:rsidRDefault="00000000">
            <w:pPr>
              <w:pStyle w:val="TableParagraph"/>
              <w:spacing w:before="10" w:line="220" w:lineRule="exact"/>
              <w:ind w:left="796"/>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8" w:type="dxa"/>
            <w:tcBorders>
              <w:top w:val="nil"/>
              <w:left w:val="nil"/>
              <w:bottom w:val="nil"/>
              <w:right w:val="nil"/>
            </w:tcBorders>
            <w:shd w:val="clear" w:color="auto" w:fill="2C398A"/>
          </w:tcPr>
          <w:p w:rsidR="00A56FE9" w:rsidRDefault="00000000">
            <w:pPr>
              <w:pStyle w:val="TableParagraph"/>
              <w:spacing w:before="10" w:line="220" w:lineRule="exact"/>
              <w:ind w:left="1951" w:right="1952"/>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621"/>
        </w:trPr>
        <w:tc>
          <w:tcPr>
            <w:tcW w:w="2060" w:type="dxa"/>
            <w:tcBorders>
              <w:top w:val="nil"/>
            </w:tcBorders>
            <w:shd w:val="clear" w:color="auto" w:fill="F1F1F1"/>
          </w:tcPr>
          <w:p w:rsidR="00A56FE9" w:rsidRDefault="00A56FE9">
            <w:pPr>
              <w:pStyle w:val="TableParagraph"/>
              <w:rPr>
                <w:sz w:val="18"/>
              </w:rPr>
            </w:pPr>
          </w:p>
        </w:tc>
        <w:tc>
          <w:tcPr>
            <w:tcW w:w="3474" w:type="dxa"/>
            <w:tcBorders>
              <w:top w:val="nil"/>
            </w:tcBorders>
          </w:tcPr>
          <w:p w:rsidR="00A56FE9" w:rsidRDefault="00000000">
            <w:pPr>
              <w:pStyle w:val="TableParagraph"/>
              <w:ind w:left="105" w:right="193"/>
              <w:rPr>
                <w:sz w:val="18"/>
              </w:rPr>
            </w:pPr>
            <w:r>
              <w:rPr>
                <w:sz w:val="18"/>
              </w:rPr>
              <w:t>Drafting the legislative framework for</w:t>
            </w:r>
            <w:r>
              <w:rPr>
                <w:spacing w:val="1"/>
                <w:sz w:val="18"/>
              </w:rPr>
              <w:t xml:space="preserve"> </w:t>
            </w:r>
            <w:r>
              <w:rPr>
                <w:sz w:val="18"/>
              </w:rPr>
              <w:t>investing</w:t>
            </w:r>
            <w:r>
              <w:rPr>
                <w:spacing w:val="-2"/>
                <w:sz w:val="18"/>
              </w:rPr>
              <w:t xml:space="preserve"> </w:t>
            </w:r>
            <w:r>
              <w:rPr>
                <w:sz w:val="18"/>
              </w:rPr>
              <w:t>funds</w:t>
            </w:r>
            <w:r>
              <w:rPr>
                <w:spacing w:val="-1"/>
                <w:sz w:val="18"/>
              </w:rPr>
              <w:t xml:space="preserve"> </w:t>
            </w:r>
            <w:r>
              <w:rPr>
                <w:sz w:val="18"/>
              </w:rPr>
              <w:t>from</w:t>
            </w:r>
            <w:r>
              <w:rPr>
                <w:spacing w:val="-4"/>
                <w:sz w:val="18"/>
              </w:rPr>
              <w:t xml:space="preserve"> </w:t>
            </w:r>
            <w:r>
              <w:rPr>
                <w:sz w:val="18"/>
              </w:rPr>
              <w:t>the</w:t>
            </w:r>
            <w:r>
              <w:rPr>
                <w:spacing w:val="-2"/>
                <w:sz w:val="18"/>
              </w:rPr>
              <w:t xml:space="preserve"> </w:t>
            </w:r>
            <w:r>
              <w:rPr>
                <w:sz w:val="18"/>
              </w:rPr>
              <w:t>EU Modernization</w:t>
            </w:r>
          </w:p>
          <w:p w:rsidR="00A56FE9" w:rsidRDefault="00000000">
            <w:pPr>
              <w:pStyle w:val="TableParagraph"/>
              <w:spacing w:line="192" w:lineRule="exact"/>
              <w:ind w:left="105"/>
              <w:rPr>
                <w:sz w:val="18"/>
              </w:rPr>
            </w:pPr>
            <w:r>
              <w:rPr>
                <w:sz w:val="18"/>
              </w:rPr>
              <w:t>Fund</w:t>
            </w:r>
            <w:r>
              <w:rPr>
                <w:spacing w:val="-3"/>
                <w:sz w:val="18"/>
              </w:rPr>
              <w:t xml:space="preserve"> </w:t>
            </w:r>
            <w:r>
              <w:rPr>
                <w:sz w:val="18"/>
              </w:rPr>
              <w:t>2021-2030</w:t>
            </w:r>
          </w:p>
        </w:tc>
        <w:tc>
          <w:tcPr>
            <w:tcW w:w="8928" w:type="dxa"/>
            <w:tcBorders>
              <w:top w:val="nil"/>
            </w:tcBorders>
          </w:tcPr>
          <w:p w:rsidR="00A56FE9" w:rsidRDefault="00000000">
            <w:pPr>
              <w:pStyle w:val="TableParagraph"/>
              <w:ind w:left="104"/>
              <w:rPr>
                <w:sz w:val="16"/>
              </w:rPr>
            </w:pPr>
            <w:r>
              <w:rPr>
                <w:sz w:val="16"/>
              </w:rPr>
              <w:t>The regulation will be drafted which will prescribe the competent authorities and other rules for the implementation of the EU</w:t>
            </w:r>
            <w:r>
              <w:rPr>
                <w:spacing w:val="1"/>
                <w:sz w:val="16"/>
              </w:rPr>
              <w:t xml:space="preserve"> </w:t>
            </w:r>
            <w:r>
              <w:rPr>
                <w:sz w:val="16"/>
              </w:rPr>
              <w:t>Modernisation</w:t>
            </w:r>
            <w:r>
              <w:rPr>
                <w:spacing w:val="-3"/>
                <w:sz w:val="16"/>
              </w:rPr>
              <w:t xml:space="preserve"> </w:t>
            </w:r>
            <w:r>
              <w:rPr>
                <w:sz w:val="16"/>
              </w:rPr>
              <w:t>Fund</w:t>
            </w:r>
            <w:r>
              <w:rPr>
                <w:spacing w:val="-4"/>
                <w:sz w:val="16"/>
              </w:rPr>
              <w:t xml:space="preserve"> </w:t>
            </w:r>
            <w:r>
              <w:rPr>
                <w:sz w:val="16"/>
              </w:rPr>
              <w:t>2021-2030.</w:t>
            </w:r>
            <w:r>
              <w:rPr>
                <w:spacing w:val="-2"/>
                <w:sz w:val="16"/>
              </w:rPr>
              <w:t xml:space="preserve"> </w:t>
            </w:r>
            <w:r>
              <w:rPr>
                <w:sz w:val="16"/>
              </w:rPr>
              <w:t>Funds</w:t>
            </w:r>
            <w:r>
              <w:rPr>
                <w:spacing w:val="-3"/>
                <w:sz w:val="16"/>
              </w:rPr>
              <w:t xml:space="preserve"> </w:t>
            </w:r>
            <w:r>
              <w:rPr>
                <w:sz w:val="16"/>
              </w:rPr>
              <w:t>are</w:t>
            </w:r>
            <w:r>
              <w:rPr>
                <w:spacing w:val="-5"/>
                <w:sz w:val="16"/>
              </w:rPr>
              <w:t xml:space="preserve"> </w:t>
            </w:r>
            <w:r>
              <w:rPr>
                <w:sz w:val="16"/>
              </w:rPr>
              <w:t>available</w:t>
            </w:r>
            <w:r>
              <w:rPr>
                <w:spacing w:val="-5"/>
                <w:sz w:val="16"/>
              </w:rPr>
              <w:t xml:space="preserve"> </w:t>
            </w:r>
            <w:r>
              <w:rPr>
                <w:sz w:val="16"/>
              </w:rPr>
              <w:t>to</w:t>
            </w:r>
            <w:r>
              <w:rPr>
                <w:spacing w:val="-4"/>
                <w:sz w:val="16"/>
              </w:rPr>
              <w:t xml:space="preserve"> </w:t>
            </w:r>
            <w:r>
              <w:rPr>
                <w:sz w:val="16"/>
              </w:rPr>
              <w:t>Croatia</w:t>
            </w:r>
            <w:r>
              <w:rPr>
                <w:spacing w:val="-5"/>
                <w:sz w:val="16"/>
              </w:rPr>
              <w:t xml:space="preserve"> </w:t>
            </w:r>
            <w:r>
              <w:rPr>
                <w:sz w:val="16"/>
              </w:rPr>
              <w:t>for</w:t>
            </w:r>
            <w:r>
              <w:rPr>
                <w:spacing w:val="-4"/>
                <w:sz w:val="16"/>
              </w:rPr>
              <w:t xml:space="preserve"> </w:t>
            </w:r>
            <w:r>
              <w:rPr>
                <w:sz w:val="16"/>
              </w:rPr>
              <w:t>100%</w:t>
            </w:r>
            <w:r>
              <w:rPr>
                <w:spacing w:val="-2"/>
                <w:sz w:val="16"/>
              </w:rPr>
              <w:t xml:space="preserve"> </w:t>
            </w:r>
            <w:r>
              <w:rPr>
                <w:sz w:val="16"/>
              </w:rPr>
              <w:t>of</w:t>
            </w:r>
            <w:r>
              <w:rPr>
                <w:spacing w:val="-5"/>
                <w:sz w:val="16"/>
              </w:rPr>
              <w:t xml:space="preserve"> </w:t>
            </w:r>
            <w:r>
              <w:rPr>
                <w:sz w:val="16"/>
              </w:rPr>
              <w:t>the</w:t>
            </w:r>
            <w:r>
              <w:rPr>
                <w:spacing w:val="-5"/>
                <w:sz w:val="16"/>
              </w:rPr>
              <w:t xml:space="preserve"> </w:t>
            </w:r>
            <w:r>
              <w:rPr>
                <w:sz w:val="16"/>
              </w:rPr>
              <w:t>financing</w:t>
            </w:r>
            <w:r>
              <w:rPr>
                <w:spacing w:val="-4"/>
                <w:sz w:val="16"/>
              </w:rPr>
              <w:t xml:space="preserve"> </w:t>
            </w:r>
            <w:r>
              <w:rPr>
                <w:sz w:val="16"/>
              </w:rPr>
              <w:t>of</w:t>
            </w:r>
            <w:r>
              <w:rPr>
                <w:spacing w:val="-6"/>
                <w:sz w:val="16"/>
              </w:rPr>
              <w:t xml:space="preserve"> </w:t>
            </w:r>
            <w:r>
              <w:rPr>
                <w:sz w:val="16"/>
              </w:rPr>
              <w:t>decarbonisation</w:t>
            </w:r>
            <w:r>
              <w:rPr>
                <w:spacing w:val="-4"/>
                <w:sz w:val="16"/>
              </w:rPr>
              <w:t xml:space="preserve"> </w:t>
            </w:r>
            <w:r>
              <w:rPr>
                <w:sz w:val="16"/>
              </w:rPr>
              <w:t>in</w:t>
            </w:r>
            <w:r>
              <w:rPr>
                <w:spacing w:val="-2"/>
                <w:sz w:val="16"/>
              </w:rPr>
              <w:t xml:space="preserve"> </w:t>
            </w:r>
            <w:r>
              <w:rPr>
                <w:sz w:val="16"/>
              </w:rPr>
              <w:t>Croatia</w:t>
            </w:r>
            <w:r>
              <w:rPr>
                <w:spacing w:val="-5"/>
                <w:sz w:val="16"/>
              </w:rPr>
              <w:t xml:space="preserve"> </w:t>
            </w:r>
            <w:r>
              <w:rPr>
                <w:sz w:val="16"/>
              </w:rPr>
              <w:t>(total</w:t>
            </w:r>
            <w:r>
              <w:rPr>
                <w:spacing w:val="-4"/>
                <w:sz w:val="16"/>
              </w:rPr>
              <w:t xml:space="preserve"> </w:t>
            </w:r>
            <w:r>
              <w:rPr>
                <w:sz w:val="16"/>
              </w:rPr>
              <w:t>funds</w:t>
            </w:r>
            <w:r>
              <w:rPr>
                <w:spacing w:val="1"/>
                <w:sz w:val="16"/>
              </w:rPr>
              <w:t xml:space="preserve"> </w:t>
            </w:r>
            <w:r>
              <w:rPr>
                <w:sz w:val="16"/>
              </w:rPr>
              <w:t>available</w:t>
            </w:r>
            <w:r>
              <w:rPr>
                <w:spacing w:val="-3"/>
                <w:sz w:val="16"/>
              </w:rPr>
              <w:t xml:space="preserve"> </w:t>
            </w:r>
            <w:r>
              <w:rPr>
                <w:sz w:val="16"/>
              </w:rPr>
              <w:t>for</w:t>
            </w:r>
            <w:r>
              <w:rPr>
                <w:spacing w:val="-1"/>
                <w:sz w:val="16"/>
              </w:rPr>
              <w:t xml:space="preserve"> </w:t>
            </w:r>
            <w:r>
              <w:rPr>
                <w:sz w:val="16"/>
              </w:rPr>
              <w:t>Croatia</w:t>
            </w:r>
            <w:r>
              <w:rPr>
                <w:spacing w:val="-2"/>
                <w:sz w:val="16"/>
              </w:rPr>
              <w:t xml:space="preserve"> </w:t>
            </w:r>
            <w:r>
              <w:rPr>
                <w:sz w:val="16"/>
              </w:rPr>
              <w:t>are</w:t>
            </w:r>
            <w:r>
              <w:rPr>
                <w:spacing w:val="-2"/>
                <w:sz w:val="16"/>
              </w:rPr>
              <w:t xml:space="preserve"> </w:t>
            </w:r>
            <w:r>
              <w:rPr>
                <w:sz w:val="16"/>
              </w:rPr>
              <w:t>at</w:t>
            </w:r>
            <w:r>
              <w:rPr>
                <w:spacing w:val="-1"/>
                <w:sz w:val="16"/>
              </w:rPr>
              <w:t xml:space="preserve"> </w:t>
            </w:r>
            <w:r>
              <w:rPr>
                <w:sz w:val="16"/>
              </w:rPr>
              <w:t>least</w:t>
            </w:r>
            <w:r>
              <w:rPr>
                <w:spacing w:val="1"/>
                <w:sz w:val="16"/>
              </w:rPr>
              <w:t xml:space="preserve"> </w:t>
            </w:r>
            <w:r>
              <w:rPr>
                <w:sz w:val="16"/>
              </w:rPr>
              <w:t>HRK</w:t>
            </w:r>
            <w:r>
              <w:rPr>
                <w:spacing w:val="-3"/>
                <w:sz w:val="16"/>
              </w:rPr>
              <w:t xml:space="preserve"> </w:t>
            </w:r>
            <w:r>
              <w:rPr>
                <w:sz w:val="16"/>
              </w:rPr>
              <w:t>5.9bn</w:t>
            </w:r>
            <w:r>
              <w:rPr>
                <w:spacing w:val="-2"/>
                <w:sz w:val="16"/>
              </w:rPr>
              <w:t xml:space="preserve"> </w:t>
            </w:r>
            <w:r>
              <w:rPr>
                <w:sz w:val="16"/>
              </w:rPr>
              <w:t>/</w:t>
            </w:r>
            <w:r>
              <w:rPr>
                <w:spacing w:val="-1"/>
                <w:sz w:val="16"/>
              </w:rPr>
              <w:t xml:space="preserve"> </w:t>
            </w:r>
            <w:r>
              <w:rPr>
                <w:sz w:val="16"/>
              </w:rPr>
              <w:t>EUR</w:t>
            </w:r>
            <w:r>
              <w:rPr>
                <w:spacing w:val="-1"/>
                <w:sz w:val="16"/>
              </w:rPr>
              <w:t xml:space="preserve"> </w:t>
            </w:r>
            <w:r>
              <w:rPr>
                <w:sz w:val="16"/>
              </w:rPr>
              <w:t>782.51m</w:t>
            </w:r>
            <w:r>
              <w:rPr>
                <w:spacing w:val="-3"/>
                <w:sz w:val="16"/>
              </w:rPr>
              <w:t xml:space="preserve"> </w:t>
            </w:r>
            <w:r>
              <w:rPr>
                <w:sz w:val="16"/>
              </w:rPr>
              <w:t>by</w:t>
            </w:r>
            <w:r>
              <w:rPr>
                <w:spacing w:val="-3"/>
                <w:sz w:val="16"/>
              </w:rPr>
              <w:t xml:space="preserve"> </w:t>
            </w:r>
            <w:r>
              <w:rPr>
                <w:sz w:val="16"/>
              </w:rPr>
              <w:t>2030).</w:t>
            </w:r>
          </w:p>
        </w:tc>
      </w:tr>
      <w:tr w:rsidR="00A56FE9">
        <w:trPr>
          <w:trHeight w:val="1610"/>
        </w:trPr>
        <w:tc>
          <w:tcPr>
            <w:tcW w:w="2060" w:type="dxa"/>
            <w:shd w:val="clear" w:color="auto" w:fill="F1F1F1"/>
          </w:tcPr>
          <w:p w:rsidR="00A56FE9" w:rsidRDefault="00000000">
            <w:pPr>
              <w:pStyle w:val="TableParagraph"/>
              <w:ind w:left="105" w:right="432"/>
              <w:rPr>
                <w:sz w:val="20"/>
              </w:rPr>
            </w:pPr>
            <w:r>
              <w:rPr>
                <w:b/>
                <w:sz w:val="20"/>
              </w:rPr>
              <w:t xml:space="preserve">14. </w:t>
            </w:r>
            <w:r>
              <w:rPr>
                <w:sz w:val="20"/>
              </w:rPr>
              <w:t>Conserve and</w:t>
            </w:r>
            <w:r>
              <w:rPr>
                <w:spacing w:val="1"/>
                <w:sz w:val="20"/>
              </w:rPr>
              <w:t xml:space="preserve"> </w:t>
            </w:r>
            <w:r>
              <w:rPr>
                <w:sz w:val="20"/>
              </w:rPr>
              <w:t>sustainably</w:t>
            </w:r>
            <w:r>
              <w:rPr>
                <w:spacing w:val="-11"/>
                <w:sz w:val="20"/>
              </w:rPr>
              <w:t xml:space="preserve"> </w:t>
            </w:r>
            <w:r>
              <w:rPr>
                <w:sz w:val="20"/>
              </w:rPr>
              <w:t>use</w:t>
            </w:r>
            <w:r>
              <w:rPr>
                <w:spacing w:val="-7"/>
                <w:sz w:val="20"/>
              </w:rPr>
              <w:t xml:space="preserve"> </w:t>
            </w:r>
            <w:r>
              <w:rPr>
                <w:sz w:val="20"/>
              </w:rPr>
              <w:t>the</w:t>
            </w:r>
            <w:r>
              <w:rPr>
                <w:spacing w:val="-47"/>
                <w:sz w:val="20"/>
              </w:rPr>
              <w:t xml:space="preserve"> </w:t>
            </w:r>
            <w:r>
              <w:rPr>
                <w:sz w:val="20"/>
              </w:rPr>
              <w:t>oceans, seas and</w:t>
            </w:r>
            <w:r>
              <w:rPr>
                <w:spacing w:val="1"/>
                <w:sz w:val="20"/>
              </w:rPr>
              <w:t xml:space="preserve"> </w:t>
            </w:r>
            <w:r>
              <w:rPr>
                <w:sz w:val="20"/>
              </w:rPr>
              <w:t>marine</w:t>
            </w:r>
          </w:p>
          <w:p w:rsidR="00A56FE9" w:rsidRDefault="00000000">
            <w:pPr>
              <w:pStyle w:val="TableParagraph"/>
              <w:ind w:left="105" w:right="896"/>
              <w:rPr>
                <w:sz w:val="20"/>
              </w:rPr>
            </w:pPr>
            <w:r>
              <w:rPr>
                <w:spacing w:val="-1"/>
                <w:sz w:val="20"/>
              </w:rPr>
              <w:t xml:space="preserve">resources </w:t>
            </w:r>
            <w:r>
              <w:rPr>
                <w:sz w:val="20"/>
              </w:rPr>
              <w:t>for</w:t>
            </w:r>
            <w:r>
              <w:rPr>
                <w:spacing w:val="-47"/>
                <w:sz w:val="20"/>
              </w:rPr>
              <w:t xml:space="preserve"> </w:t>
            </w:r>
            <w:r>
              <w:rPr>
                <w:sz w:val="20"/>
              </w:rPr>
              <w:t>sustainable</w:t>
            </w:r>
          </w:p>
          <w:p w:rsidR="00A56FE9" w:rsidRDefault="00000000">
            <w:pPr>
              <w:pStyle w:val="TableParagraph"/>
              <w:spacing w:line="215" w:lineRule="exact"/>
              <w:ind w:left="105"/>
              <w:rPr>
                <w:sz w:val="20"/>
              </w:rPr>
            </w:pPr>
            <w:r>
              <w:rPr>
                <w:sz w:val="20"/>
              </w:rPr>
              <w:t>development</w:t>
            </w:r>
          </w:p>
        </w:tc>
        <w:tc>
          <w:tcPr>
            <w:tcW w:w="3474" w:type="dxa"/>
          </w:tcPr>
          <w:p w:rsidR="00A56FE9" w:rsidRDefault="00A56FE9">
            <w:pPr>
              <w:pStyle w:val="TableParagraph"/>
              <w:rPr>
                <w:sz w:val="18"/>
              </w:rPr>
            </w:pPr>
          </w:p>
        </w:tc>
        <w:tc>
          <w:tcPr>
            <w:tcW w:w="8928" w:type="dxa"/>
          </w:tcPr>
          <w:p w:rsidR="00A56FE9" w:rsidRDefault="00A56FE9">
            <w:pPr>
              <w:pStyle w:val="TableParagraph"/>
              <w:rPr>
                <w:sz w:val="18"/>
              </w:rPr>
            </w:pPr>
          </w:p>
        </w:tc>
      </w:tr>
      <w:tr w:rsidR="00A56FE9">
        <w:trPr>
          <w:trHeight w:val="2529"/>
        </w:trPr>
        <w:tc>
          <w:tcPr>
            <w:tcW w:w="2060" w:type="dxa"/>
            <w:shd w:val="clear" w:color="auto" w:fill="F1F1F1"/>
          </w:tcPr>
          <w:p w:rsidR="00A56FE9" w:rsidRDefault="00000000">
            <w:pPr>
              <w:pStyle w:val="TableParagraph"/>
              <w:ind w:left="105" w:right="365"/>
              <w:rPr>
                <w:sz w:val="20"/>
              </w:rPr>
            </w:pPr>
            <w:r>
              <w:rPr>
                <w:b/>
                <w:sz w:val="20"/>
              </w:rPr>
              <w:t xml:space="preserve">15. </w:t>
            </w:r>
            <w:r>
              <w:rPr>
                <w:sz w:val="20"/>
              </w:rPr>
              <w:t>Protect, restore</w:t>
            </w:r>
            <w:r>
              <w:rPr>
                <w:spacing w:val="1"/>
                <w:sz w:val="20"/>
              </w:rPr>
              <w:t xml:space="preserve"> </w:t>
            </w:r>
            <w:r>
              <w:rPr>
                <w:sz w:val="20"/>
              </w:rPr>
              <w:t>and promote</w:t>
            </w:r>
            <w:r>
              <w:rPr>
                <w:spacing w:val="1"/>
                <w:sz w:val="20"/>
              </w:rPr>
              <w:t xml:space="preserve"> </w:t>
            </w:r>
            <w:r>
              <w:rPr>
                <w:sz w:val="20"/>
              </w:rPr>
              <w:t>sustainable use of</w:t>
            </w:r>
            <w:r>
              <w:rPr>
                <w:spacing w:val="1"/>
                <w:sz w:val="20"/>
              </w:rPr>
              <w:t xml:space="preserve"> </w:t>
            </w:r>
            <w:r>
              <w:rPr>
                <w:sz w:val="20"/>
              </w:rPr>
              <w:t>terrestrial</w:t>
            </w:r>
            <w:r>
              <w:rPr>
                <w:spacing w:val="1"/>
                <w:sz w:val="20"/>
              </w:rPr>
              <w:t xml:space="preserve"> </w:t>
            </w:r>
            <w:r>
              <w:rPr>
                <w:sz w:val="20"/>
              </w:rPr>
              <w:t>ecosystems,</w:t>
            </w:r>
            <w:r>
              <w:rPr>
                <w:spacing w:val="1"/>
                <w:sz w:val="20"/>
              </w:rPr>
              <w:t xml:space="preserve"> </w:t>
            </w:r>
            <w:r>
              <w:rPr>
                <w:spacing w:val="-1"/>
                <w:sz w:val="20"/>
              </w:rPr>
              <w:t xml:space="preserve">sustainably </w:t>
            </w:r>
            <w:r>
              <w:rPr>
                <w:sz w:val="20"/>
              </w:rPr>
              <w:t>manage</w:t>
            </w:r>
            <w:r>
              <w:rPr>
                <w:spacing w:val="-47"/>
                <w:sz w:val="20"/>
              </w:rPr>
              <w:t xml:space="preserve"> </w:t>
            </w:r>
            <w:r>
              <w:rPr>
                <w:sz w:val="20"/>
              </w:rPr>
              <w:t>forests, combat</w:t>
            </w:r>
            <w:r>
              <w:rPr>
                <w:spacing w:val="1"/>
                <w:sz w:val="20"/>
              </w:rPr>
              <w:t xml:space="preserve"> </w:t>
            </w:r>
            <w:r>
              <w:rPr>
                <w:sz w:val="20"/>
              </w:rPr>
              <w:t>desertification,</w:t>
            </w:r>
          </w:p>
          <w:p w:rsidR="00A56FE9" w:rsidRDefault="00000000">
            <w:pPr>
              <w:pStyle w:val="TableParagraph"/>
              <w:ind w:left="105" w:right="147"/>
              <w:rPr>
                <w:sz w:val="20"/>
              </w:rPr>
            </w:pPr>
            <w:r>
              <w:rPr>
                <w:sz w:val="20"/>
              </w:rPr>
              <w:t>and halt and reverse</w:t>
            </w:r>
            <w:r>
              <w:rPr>
                <w:spacing w:val="1"/>
                <w:sz w:val="20"/>
              </w:rPr>
              <w:t xml:space="preserve"> </w:t>
            </w:r>
            <w:r>
              <w:rPr>
                <w:sz w:val="20"/>
              </w:rPr>
              <w:t>land</w:t>
            </w:r>
            <w:r>
              <w:rPr>
                <w:spacing w:val="-10"/>
                <w:sz w:val="20"/>
              </w:rPr>
              <w:t xml:space="preserve"> </w:t>
            </w:r>
            <w:r>
              <w:rPr>
                <w:sz w:val="20"/>
              </w:rPr>
              <w:t>degradation</w:t>
            </w:r>
            <w:r>
              <w:rPr>
                <w:spacing w:val="-12"/>
                <w:sz w:val="20"/>
              </w:rPr>
              <w:t xml:space="preserve"> </w:t>
            </w:r>
            <w:r>
              <w:rPr>
                <w:sz w:val="20"/>
              </w:rPr>
              <w:t>and</w:t>
            </w:r>
          </w:p>
          <w:p w:rsidR="00A56FE9" w:rsidRDefault="00000000">
            <w:pPr>
              <w:pStyle w:val="TableParagraph"/>
              <w:spacing w:line="215" w:lineRule="exact"/>
              <w:ind w:left="105"/>
              <w:rPr>
                <w:sz w:val="20"/>
              </w:rPr>
            </w:pPr>
            <w:r>
              <w:rPr>
                <w:sz w:val="20"/>
              </w:rPr>
              <w:t>halt</w:t>
            </w:r>
            <w:r>
              <w:rPr>
                <w:spacing w:val="-5"/>
                <w:sz w:val="20"/>
              </w:rPr>
              <w:t xml:space="preserve"> </w:t>
            </w:r>
            <w:r>
              <w:rPr>
                <w:sz w:val="20"/>
              </w:rPr>
              <w:t>biodiversity</w:t>
            </w:r>
            <w:r>
              <w:rPr>
                <w:spacing w:val="-5"/>
                <w:sz w:val="20"/>
              </w:rPr>
              <w:t xml:space="preserve"> </w:t>
            </w:r>
            <w:r>
              <w:rPr>
                <w:sz w:val="20"/>
              </w:rPr>
              <w:t>loss</w:t>
            </w:r>
          </w:p>
        </w:tc>
        <w:tc>
          <w:tcPr>
            <w:tcW w:w="3474" w:type="dxa"/>
          </w:tcPr>
          <w:p w:rsidR="00A56FE9" w:rsidRDefault="00A56FE9">
            <w:pPr>
              <w:pStyle w:val="TableParagraph"/>
              <w:rPr>
                <w:sz w:val="18"/>
              </w:rPr>
            </w:pPr>
          </w:p>
        </w:tc>
        <w:tc>
          <w:tcPr>
            <w:tcW w:w="8928" w:type="dxa"/>
          </w:tcPr>
          <w:p w:rsidR="00A56FE9" w:rsidRDefault="00A56FE9">
            <w:pPr>
              <w:pStyle w:val="TableParagraph"/>
              <w:rPr>
                <w:sz w:val="18"/>
              </w:rPr>
            </w:pPr>
          </w:p>
        </w:tc>
      </w:tr>
      <w:tr w:rsidR="00A56FE9">
        <w:trPr>
          <w:trHeight w:val="621"/>
        </w:trPr>
        <w:tc>
          <w:tcPr>
            <w:tcW w:w="2060" w:type="dxa"/>
            <w:vMerge w:val="restart"/>
            <w:shd w:val="clear" w:color="auto" w:fill="F1F1F1"/>
          </w:tcPr>
          <w:p w:rsidR="00A56FE9" w:rsidRDefault="00000000">
            <w:pPr>
              <w:pStyle w:val="TableParagraph"/>
              <w:ind w:left="105" w:right="123"/>
              <w:rPr>
                <w:sz w:val="20"/>
              </w:rPr>
            </w:pPr>
            <w:r>
              <w:rPr>
                <w:b/>
                <w:sz w:val="20"/>
              </w:rPr>
              <w:t xml:space="preserve">16. </w:t>
            </w:r>
            <w:r>
              <w:rPr>
                <w:sz w:val="20"/>
              </w:rPr>
              <w:t>Promote peaceful</w:t>
            </w:r>
            <w:r>
              <w:rPr>
                <w:spacing w:val="1"/>
                <w:sz w:val="20"/>
              </w:rPr>
              <w:t xml:space="preserve"> </w:t>
            </w:r>
            <w:r>
              <w:rPr>
                <w:sz w:val="20"/>
              </w:rPr>
              <w:t>and inclusive societies</w:t>
            </w:r>
            <w:r>
              <w:rPr>
                <w:spacing w:val="-47"/>
                <w:sz w:val="20"/>
              </w:rPr>
              <w:t xml:space="preserve"> </w:t>
            </w:r>
            <w:r>
              <w:rPr>
                <w:sz w:val="20"/>
              </w:rPr>
              <w:t>for sustainable</w:t>
            </w:r>
            <w:r>
              <w:rPr>
                <w:spacing w:val="1"/>
                <w:sz w:val="20"/>
              </w:rPr>
              <w:t xml:space="preserve"> </w:t>
            </w:r>
            <w:r>
              <w:rPr>
                <w:sz w:val="20"/>
              </w:rPr>
              <w:t>development, provide</w:t>
            </w:r>
            <w:r>
              <w:rPr>
                <w:spacing w:val="1"/>
                <w:sz w:val="20"/>
              </w:rPr>
              <w:t xml:space="preserve"> </w:t>
            </w:r>
            <w:r>
              <w:rPr>
                <w:sz w:val="20"/>
              </w:rPr>
              <w:t>access</w:t>
            </w:r>
            <w:r>
              <w:rPr>
                <w:spacing w:val="-6"/>
                <w:sz w:val="20"/>
              </w:rPr>
              <w:t xml:space="preserve"> </w:t>
            </w:r>
            <w:r>
              <w:rPr>
                <w:sz w:val="20"/>
              </w:rPr>
              <w:t>to</w:t>
            </w:r>
            <w:r>
              <w:rPr>
                <w:spacing w:val="-4"/>
                <w:sz w:val="20"/>
              </w:rPr>
              <w:t xml:space="preserve"> </w:t>
            </w:r>
            <w:r>
              <w:rPr>
                <w:sz w:val="20"/>
              </w:rPr>
              <w:t>justice</w:t>
            </w:r>
            <w:r>
              <w:rPr>
                <w:spacing w:val="-5"/>
                <w:sz w:val="20"/>
              </w:rPr>
              <w:t xml:space="preserve"> </w:t>
            </w:r>
            <w:r>
              <w:rPr>
                <w:sz w:val="20"/>
              </w:rPr>
              <w:t>for</w:t>
            </w:r>
            <w:r>
              <w:rPr>
                <w:spacing w:val="-5"/>
                <w:sz w:val="20"/>
              </w:rPr>
              <w:t xml:space="preserve"> </w:t>
            </w:r>
            <w:r>
              <w:rPr>
                <w:sz w:val="20"/>
              </w:rPr>
              <w:t>all</w:t>
            </w:r>
            <w:r>
              <w:rPr>
                <w:spacing w:val="-47"/>
                <w:sz w:val="20"/>
              </w:rPr>
              <w:t xml:space="preserve"> </w:t>
            </w:r>
            <w:r>
              <w:rPr>
                <w:sz w:val="20"/>
              </w:rPr>
              <w:t>and build</w:t>
            </w:r>
          </w:p>
          <w:p w:rsidR="00A56FE9" w:rsidRDefault="00000000">
            <w:pPr>
              <w:pStyle w:val="TableParagraph"/>
              <w:ind w:left="105" w:right="181"/>
              <w:rPr>
                <w:sz w:val="20"/>
              </w:rPr>
            </w:pPr>
            <w:r>
              <w:rPr>
                <w:spacing w:val="-1"/>
                <w:sz w:val="20"/>
              </w:rPr>
              <w:t xml:space="preserve">effective, </w:t>
            </w:r>
            <w:r>
              <w:rPr>
                <w:sz w:val="20"/>
              </w:rPr>
              <w:t>accountable</w:t>
            </w:r>
            <w:r>
              <w:rPr>
                <w:spacing w:val="-47"/>
                <w:sz w:val="20"/>
              </w:rPr>
              <w:t xml:space="preserve"> </w:t>
            </w:r>
            <w:r>
              <w:rPr>
                <w:sz w:val="20"/>
              </w:rPr>
              <w:t>and inclusive</w:t>
            </w:r>
            <w:r>
              <w:rPr>
                <w:spacing w:val="1"/>
                <w:sz w:val="20"/>
              </w:rPr>
              <w:t xml:space="preserve"> </w:t>
            </w:r>
            <w:r>
              <w:rPr>
                <w:sz w:val="20"/>
              </w:rPr>
              <w:t>institutions at all</w:t>
            </w:r>
            <w:r>
              <w:rPr>
                <w:spacing w:val="1"/>
                <w:sz w:val="20"/>
              </w:rPr>
              <w:t xml:space="preserve"> </w:t>
            </w:r>
            <w:r>
              <w:rPr>
                <w:sz w:val="20"/>
              </w:rPr>
              <w:t>levels</w:t>
            </w:r>
          </w:p>
        </w:tc>
        <w:tc>
          <w:tcPr>
            <w:tcW w:w="3474" w:type="dxa"/>
            <w:shd w:val="clear" w:color="auto" w:fill="C5EECE"/>
          </w:tcPr>
          <w:p w:rsidR="00A56FE9" w:rsidRDefault="00000000">
            <w:pPr>
              <w:pStyle w:val="TableParagraph"/>
              <w:ind w:left="105" w:right="165"/>
              <w:rPr>
                <w:sz w:val="18"/>
              </w:rPr>
            </w:pPr>
            <w:r>
              <w:rPr>
                <w:sz w:val="18"/>
              </w:rPr>
              <w:t>Grant agreement signed for the construction</w:t>
            </w:r>
            <w:r>
              <w:rPr>
                <w:spacing w:val="-43"/>
                <w:sz w:val="18"/>
              </w:rPr>
              <w:t xml:space="preserve"> </w:t>
            </w:r>
            <w:r>
              <w:rPr>
                <w:sz w:val="18"/>
              </w:rPr>
              <w:t>of</w:t>
            </w:r>
            <w:r>
              <w:rPr>
                <w:spacing w:val="-3"/>
                <w:sz w:val="18"/>
              </w:rPr>
              <w:t xml:space="preserve"> </w:t>
            </w:r>
            <w:r>
              <w:rPr>
                <w:sz w:val="18"/>
              </w:rPr>
              <w:t>passive</w:t>
            </w:r>
            <w:r>
              <w:rPr>
                <w:spacing w:val="-1"/>
                <w:sz w:val="18"/>
              </w:rPr>
              <w:t xml:space="preserve"> </w:t>
            </w:r>
            <w:r>
              <w:rPr>
                <w:sz w:val="18"/>
              </w:rPr>
              <w:t>electronic communications</w:t>
            </w:r>
          </w:p>
          <w:p w:rsidR="00A56FE9" w:rsidRDefault="00000000">
            <w:pPr>
              <w:pStyle w:val="TableParagraph"/>
              <w:spacing w:line="191" w:lineRule="exact"/>
              <w:ind w:left="105"/>
              <w:rPr>
                <w:sz w:val="18"/>
              </w:rPr>
            </w:pPr>
            <w:r>
              <w:rPr>
                <w:sz w:val="18"/>
              </w:rPr>
              <w:t>infrastructure</w:t>
            </w:r>
          </w:p>
        </w:tc>
        <w:tc>
          <w:tcPr>
            <w:tcW w:w="8928" w:type="dxa"/>
            <w:shd w:val="clear" w:color="auto" w:fill="C5EECE"/>
          </w:tcPr>
          <w:p w:rsidR="00A56FE9" w:rsidRDefault="00000000">
            <w:pPr>
              <w:pStyle w:val="TableParagraph"/>
              <w:ind w:left="104" w:right="791"/>
              <w:rPr>
                <w:sz w:val="18"/>
              </w:rPr>
            </w:pPr>
            <w:r>
              <w:rPr>
                <w:sz w:val="18"/>
              </w:rPr>
              <w:t>Signature of the Grant Agreement and start of project implementation for the construction of passive electronic</w:t>
            </w:r>
            <w:r>
              <w:rPr>
                <w:spacing w:val="-42"/>
                <w:sz w:val="18"/>
              </w:rPr>
              <w:t xml:space="preserve"> </w:t>
            </w:r>
            <w:r>
              <w:rPr>
                <w:sz w:val="18"/>
              </w:rPr>
              <w:t>communications</w:t>
            </w:r>
            <w:r>
              <w:rPr>
                <w:spacing w:val="-1"/>
                <w:sz w:val="18"/>
              </w:rPr>
              <w:t xml:space="preserve"> </w:t>
            </w:r>
            <w:r>
              <w:rPr>
                <w:sz w:val="18"/>
              </w:rPr>
              <w:t>infrastructure</w:t>
            </w:r>
          </w:p>
        </w:tc>
      </w:tr>
      <w:tr w:rsidR="00A56FE9">
        <w:trPr>
          <w:trHeight w:val="1240"/>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ind w:left="105" w:right="193"/>
              <w:rPr>
                <w:sz w:val="18"/>
              </w:rPr>
            </w:pPr>
            <w:r>
              <w:rPr>
                <w:sz w:val="18"/>
              </w:rPr>
              <w:t>New</w:t>
            </w:r>
            <w:r>
              <w:rPr>
                <w:spacing w:val="-5"/>
                <w:sz w:val="18"/>
              </w:rPr>
              <w:t xml:space="preserve"> </w:t>
            </w:r>
            <w:r>
              <w:rPr>
                <w:sz w:val="18"/>
              </w:rPr>
              <w:t>training</w:t>
            </w:r>
            <w:r>
              <w:rPr>
                <w:spacing w:val="-2"/>
                <w:sz w:val="18"/>
              </w:rPr>
              <w:t xml:space="preserve"> </w:t>
            </w:r>
            <w:r>
              <w:rPr>
                <w:sz w:val="18"/>
              </w:rPr>
              <w:t>programmes</w:t>
            </w:r>
            <w:r>
              <w:rPr>
                <w:spacing w:val="-1"/>
                <w:sz w:val="18"/>
              </w:rPr>
              <w:t xml:space="preserve"> </w:t>
            </w:r>
            <w:r>
              <w:rPr>
                <w:sz w:val="18"/>
              </w:rPr>
              <w:t>introduced</w:t>
            </w:r>
            <w:r>
              <w:rPr>
                <w:spacing w:val="-1"/>
                <w:sz w:val="18"/>
              </w:rPr>
              <w:t xml:space="preserve"> </w:t>
            </w:r>
            <w:r>
              <w:rPr>
                <w:sz w:val="18"/>
              </w:rPr>
              <w:t>in the</w:t>
            </w:r>
            <w:r>
              <w:rPr>
                <w:spacing w:val="-42"/>
                <w:sz w:val="18"/>
              </w:rPr>
              <w:t xml:space="preserve"> </w:t>
            </w:r>
            <w:r>
              <w:rPr>
                <w:sz w:val="18"/>
              </w:rPr>
              <w:t>framework of the judicial training</w:t>
            </w:r>
            <w:r>
              <w:rPr>
                <w:spacing w:val="1"/>
                <w:sz w:val="18"/>
              </w:rPr>
              <w:t xml:space="preserve"> </w:t>
            </w:r>
            <w:r>
              <w:rPr>
                <w:sz w:val="18"/>
              </w:rPr>
              <w:t>programme</w:t>
            </w:r>
            <w:r>
              <w:rPr>
                <w:spacing w:val="-2"/>
                <w:sz w:val="18"/>
              </w:rPr>
              <w:t xml:space="preserve"> </w:t>
            </w:r>
            <w:r>
              <w:rPr>
                <w:sz w:val="18"/>
              </w:rPr>
              <w:t>for judicial</w:t>
            </w:r>
            <w:r>
              <w:rPr>
                <w:spacing w:val="-1"/>
                <w:sz w:val="18"/>
              </w:rPr>
              <w:t xml:space="preserve"> </w:t>
            </w:r>
            <w:r>
              <w:rPr>
                <w:sz w:val="18"/>
              </w:rPr>
              <w:t>officials</w:t>
            </w:r>
          </w:p>
        </w:tc>
        <w:tc>
          <w:tcPr>
            <w:tcW w:w="8928" w:type="dxa"/>
            <w:shd w:val="clear" w:color="auto" w:fill="C5EECE"/>
          </w:tcPr>
          <w:p w:rsidR="00A56FE9" w:rsidRDefault="00000000">
            <w:pPr>
              <w:pStyle w:val="TableParagraph"/>
              <w:ind w:left="104" w:right="441"/>
              <w:rPr>
                <w:sz w:val="18"/>
              </w:rPr>
            </w:pPr>
            <w:r>
              <w:rPr>
                <w:sz w:val="18"/>
              </w:rPr>
              <w:t>Six new training programmes shall be completed as part of the judicial training programme for judicial officials and</w:t>
            </w:r>
            <w:r>
              <w:rPr>
                <w:spacing w:val="-42"/>
                <w:sz w:val="18"/>
              </w:rPr>
              <w:t xml:space="preserve"> </w:t>
            </w:r>
            <w:r>
              <w:rPr>
                <w:sz w:val="18"/>
              </w:rPr>
              <w:t>officers</w:t>
            </w:r>
            <w:r>
              <w:rPr>
                <w:spacing w:val="-1"/>
                <w:sz w:val="18"/>
              </w:rPr>
              <w:t xml:space="preserve"> </w:t>
            </w:r>
            <w:r>
              <w:rPr>
                <w:sz w:val="18"/>
              </w:rPr>
              <w:t>of</w:t>
            </w:r>
            <w:r>
              <w:rPr>
                <w:spacing w:val="-2"/>
                <w:sz w:val="18"/>
              </w:rPr>
              <w:t xml:space="preserve"> </w:t>
            </w:r>
            <w:r>
              <w:rPr>
                <w:sz w:val="18"/>
              </w:rPr>
              <w:t>the</w:t>
            </w:r>
            <w:r>
              <w:rPr>
                <w:spacing w:val="-1"/>
                <w:sz w:val="18"/>
              </w:rPr>
              <w:t xml:space="preserve"> </w:t>
            </w:r>
            <w:r>
              <w:rPr>
                <w:sz w:val="18"/>
              </w:rPr>
              <w:t>judicial authorities</w:t>
            </w:r>
            <w:r>
              <w:rPr>
                <w:spacing w:val="-3"/>
                <w:sz w:val="18"/>
              </w:rPr>
              <w:t xml:space="preserve"> </w:t>
            </w:r>
            <w:r>
              <w:rPr>
                <w:sz w:val="18"/>
              </w:rPr>
              <w:t>in</w:t>
            </w:r>
            <w:r>
              <w:rPr>
                <w:spacing w:val="1"/>
                <w:sz w:val="18"/>
              </w:rPr>
              <w:t xml:space="preserve"> </w:t>
            </w:r>
            <w:r>
              <w:rPr>
                <w:sz w:val="18"/>
              </w:rPr>
              <w:t>the</w:t>
            </w:r>
            <w:r>
              <w:rPr>
                <w:spacing w:val="-1"/>
                <w:sz w:val="18"/>
              </w:rPr>
              <w:t xml:space="preserve"> </w:t>
            </w:r>
            <w:r>
              <w:rPr>
                <w:sz w:val="18"/>
              </w:rPr>
              <w:t>Judicial</w:t>
            </w:r>
            <w:r>
              <w:rPr>
                <w:spacing w:val="-1"/>
                <w:sz w:val="18"/>
              </w:rPr>
              <w:t xml:space="preserve"> </w:t>
            </w:r>
            <w:r>
              <w:rPr>
                <w:sz w:val="18"/>
              </w:rPr>
              <w:t>Academy:</w:t>
            </w:r>
          </w:p>
          <w:p w:rsidR="00A56FE9" w:rsidRDefault="00000000">
            <w:pPr>
              <w:pStyle w:val="TableParagraph"/>
              <w:ind w:left="104" w:right="92"/>
              <w:rPr>
                <w:sz w:val="18"/>
              </w:rPr>
            </w:pPr>
            <w:r>
              <w:rPr>
                <w:sz w:val="18"/>
              </w:rPr>
              <w:t>-Developing</w:t>
            </w:r>
            <w:r>
              <w:rPr>
                <w:spacing w:val="-4"/>
                <w:sz w:val="18"/>
              </w:rPr>
              <w:t xml:space="preserve"> </w:t>
            </w:r>
            <w:r>
              <w:rPr>
                <w:sz w:val="18"/>
              </w:rPr>
              <w:t>different</w:t>
            </w:r>
            <w:r>
              <w:rPr>
                <w:spacing w:val="-2"/>
                <w:sz w:val="18"/>
              </w:rPr>
              <w:t xml:space="preserve"> </w:t>
            </w:r>
            <w:r>
              <w:rPr>
                <w:sz w:val="18"/>
              </w:rPr>
              <w:t>skills</w:t>
            </w:r>
            <w:r>
              <w:rPr>
                <w:spacing w:val="-2"/>
                <w:sz w:val="18"/>
              </w:rPr>
              <w:t xml:space="preserve"> </w:t>
            </w:r>
            <w:r>
              <w:rPr>
                <w:sz w:val="18"/>
              </w:rPr>
              <w:t>(management</w:t>
            </w:r>
            <w:r>
              <w:rPr>
                <w:spacing w:val="-3"/>
                <w:sz w:val="18"/>
              </w:rPr>
              <w:t xml:space="preserve"> </w:t>
            </w:r>
            <w:r>
              <w:rPr>
                <w:sz w:val="18"/>
              </w:rPr>
              <w:t>and</w:t>
            </w:r>
            <w:r>
              <w:rPr>
                <w:spacing w:val="-1"/>
                <w:sz w:val="18"/>
              </w:rPr>
              <w:t xml:space="preserve"> </w:t>
            </w:r>
            <w:r>
              <w:rPr>
                <w:sz w:val="18"/>
              </w:rPr>
              <w:t>management</w:t>
            </w:r>
            <w:r>
              <w:rPr>
                <w:spacing w:val="-2"/>
                <w:sz w:val="18"/>
              </w:rPr>
              <w:t xml:space="preserve"> </w:t>
            </w:r>
            <w:r>
              <w:rPr>
                <w:sz w:val="18"/>
              </w:rPr>
              <w:t>skills</w:t>
            </w:r>
            <w:r>
              <w:rPr>
                <w:spacing w:val="-3"/>
                <w:sz w:val="18"/>
              </w:rPr>
              <w:t xml:space="preserve"> </w:t>
            </w:r>
            <w:r>
              <w:rPr>
                <w:sz w:val="18"/>
              </w:rPr>
              <w:t>for</w:t>
            </w:r>
            <w:r>
              <w:rPr>
                <w:spacing w:val="-2"/>
                <w:sz w:val="18"/>
              </w:rPr>
              <w:t xml:space="preserve"> </w:t>
            </w:r>
            <w:r>
              <w:rPr>
                <w:sz w:val="18"/>
              </w:rPr>
              <w:t>court</w:t>
            </w:r>
            <w:r>
              <w:rPr>
                <w:spacing w:val="-2"/>
                <w:sz w:val="18"/>
              </w:rPr>
              <w:t xml:space="preserve"> </w:t>
            </w:r>
            <w:r>
              <w:rPr>
                <w:sz w:val="18"/>
              </w:rPr>
              <w:t>presidents,</w:t>
            </w:r>
            <w:r>
              <w:rPr>
                <w:spacing w:val="-3"/>
                <w:sz w:val="18"/>
              </w:rPr>
              <w:t xml:space="preserve"> </w:t>
            </w:r>
            <w:r>
              <w:rPr>
                <w:sz w:val="18"/>
              </w:rPr>
              <w:t>court</w:t>
            </w:r>
            <w:r>
              <w:rPr>
                <w:spacing w:val="-2"/>
                <w:sz w:val="18"/>
              </w:rPr>
              <w:t xml:space="preserve"> </w:t>
            </w:r>
            <w:r>
              <w:rPr>
                <w:sz w:val="18"/>
              </w:rPr>
              <w:t>management</w:t>
            </w:r>
            <w:r>
              <w:rPr>
                <w:spacing w:val="-2"/>
                <w:sz w:val="18"/>
              </w:rPr>
              <w:t xml:space="preserve"> </w:t>
            </w:r>
            <w:r>
              <w:rPr>
                <w:sz w:val="18"/>
              </w:rPr>
              <w:t>for</w:t>
            </w:r>
            <w:r>
              <w:rPr>
                <w:spacing w:val="-3"/>
                <w:sz w:val="18"/>
              </w:rPr>
              <w:t xml:space="preserve"> </w:t>
            </w:r>
            <w:r>
              <w:rPr>
                <w:sz w:val="18"/>
              </w:rPr>
              <w:t>heads</w:t>
            </w:r>
            <w:r>
              <w:rPr>
                <w:spacing w:val="-2"/>
                <w:sz w:val="18"/>
              </w:rPr>
              <w:t xml:space="preserve"> </w:t>
            </w:r>
            <w:r>
              <w:rPr>
                <w:sz w:val="18"/>
              </w:rPr>
              <w:t>of</w:t>
            </w:r>
            <w:r>
              <w:rPr>
                <w:spacing w:val="-42"/>
                <w:sz w:val="18"/>
              </w:rPr>
              <w:t xml:space="preserve"> </w:t>
            </w:r>
            <w:r>
              <w:rPr>
                <w:sz w:val="18"/>
              </w:rPr>
              <w:t>court</w:t>
            </w:r>
            <w:r>
              <w:rPr>
                <w:spacing w:val="-1"/>
                <w:sz w:val="18"/>
              </w:rPr>
              <w:t xml:space="preserve"> </w:t>
            </w:r>
            <w:r>
              <w:rPr>
                <w:sz w:val="18"/>
              </w:rPr>
              <w:t>administration</w:t>
            </w:r>
            <w:r>
              <w:rPr>
                <w:spacing w:val="1"/>
                <w:sz w:val="18"/>
              </w:rPr>
              <w:t xml:space="preserve"> </w:t>
            </w:r>
            <w:r>
              <w:rPr>
                <w:sz w:val="18"/>
              </w:rPr>
              <w:t>and communication</w:t>
            </w:r>
            <w:r>
              <w:rPr>
                <w:spacing w:val="1"/>
                <w:sz w:val="18"/>
              </w:rPr>
              <w:t xml:space="preserve"> </w:t>
            </w:r>
            <w:r>
              <w:rPr>
                <w:sz w:val="18"/>
              </w:rPr>
              <w:t>skills for</w:t>
            </w:r>
            <w:r>
              <w:rPr>
                <w:spacing w:val="-1"/>
                <w:sz w:val="18"/>
              </w:rPr>
              <w:t xml:space="preserve"> </w:t>
            </w:r>
            <w:r>
              <w:rPr>
                <w:sz w:val="18"/>
              </w:rPr>
              <w:t>court staff</w:t>
            </w:r>
            <w:r>
              <w:rPr>
                <w:spacing w:val="1"/>
                <w:sz w:val="18"/>
              </w:rPr>
              <w:t xml:space="preserve"> </w:t>
            </w:r>
            <w:r>
              <w:rPr>
                <w:sz w:val="18"/>
              </w:rPr>
              <w:t>–</w:t>
            </w:r>
            <w:r>
              <w:rPr>
                <w:spacing w:val="1"/>
                <w:sz w:val="18"/>
              </w:rPr>
              <w:t xml:space="preserve"> </w:t>
            </w:r>
            <w:r>
              <w:rPr>
                <w:sz w:val="18"/>
              </w:rPr>
              <w:t>three</w:t>
            </w:r>
            <w:r>
              <w:rPr>
                <w:spacing w:val="-1"/>
                <w:sz w:val="18"/>
              </w:rPr>
              <w:t xml:space="preserve"> </w:t>
            </w:r>
            <w:r>
              <w:rPr>
                <w:sz w:val="18"/>
              </w:rPr>
              <w:t>programmes).</w:t>
            </w:r>
          </w:p>
          <w:p w:rsidR="00A56FE9" w:rsidRDefault="00000000">
            <w:pPr>
              <w:pStyle w:val="TableParagraph"/>
              <w:spacing w:line="207" w:lineRule="exact"/>
              <w:ind w:left="104"/>
              <w:rPr>
                <w:sz w:val="18"/>
              </w:rPr>
            </w:pPr>
            <w:r>
              <w:rPr>
                <w:sz w:val="18"/>
              </w:rPr>
              <w:t>-Promoting</w:t>
            </w:r>
            <w:r>
              <w:rPr>
                <w:spacing w:val="-3"/>
                <w:sz w:val="18"/>
              </w:rPr>
              <w:t xml:space="preserve"> </w:t>
            </w:r>
            <w:r>
              <w:rPr>
                <w:sz w:val="18"/>
              </w:rPr>
              <w:t>the</w:t>
            </w:r>
            <w:r>
              <w:rPr>
                <w:spacing w:val="-2"/>
                <w:sz w:val="18"/>
              </w:rPr>
              <w:t xml:space="preserve"> </w:t>
            </w:r>
            <w:r>
              <w:rPr>
                <w:sz w:val="18"/>
              </w:rPr>
              <w:t>rule</w:t>
            </w:r>
            <w:r>
              <w:rPr>
                <w:spacing w:val="-1"/>
                <w:sz w:val="18"/>
              </w:rPr>
              <w:t xml:space="preserve"> </w:t>
            </w:r>
            <w:r>
              <w:rPr>
                <w:sz w:val="18"/>
              </w:rPr>
              <w:t>of</w:t>
            </w:r>
            <w:r>
              <w:rPr>
                <w:spacing w:val="-3"/>
                <w:sz w:val="18"/>
              </w:rPr>
              <w:t xml:space="preserve"> </w:t>
            </w:r>
            <w:r>
              <w:rPr>
                <w:sz w:val="18"/>
              </w:rPr>
              <w:t>law</w:t>
            </w:r>
            <w:r>
              <w:rPr>
                <w:spacing w:val="-4"/>
                <w:sz w:val="18"/>
              </w:rPr>
              <w:t xml:space="preserve"> </w:t>
            </w:r>
            <w:r>
              <w:rPr>
                <w:sz w:val="18"/>
              </w:rPr>
              <w:t>and</w:t>
            </w:r>
            <w:r>
              <w:rPr>
                <w:spacing w:val="-1"/>
                <w:sz w:val="18"/>
              </w:rPr>
              <w:t xml:space="preserve"> </w:t>
            </w:r>
            <w:r>
              <w:rPr>
                <w:sz w:val="18"/>
              </w:rPr>
              <w:t>fundamental</w:t>
            </w:r>
            <w:r>
              <w:rPr>
                <w:spacing w:val="-1"/>
                <w:sz w:val="18"/>
              </w:rPr>
              <w:t xml:space="preserve"> </w:t>
            </w:r>
            <w:r>
              <w:rPr>
                <w:sz w:val="18"/>
              </w:rPr>
              <w:t>rights</w:t>
            </w:r>
            <w:r>
              <w:rPr>
                <w:spacing w:val="-1"/>
                <w:sz w:val="18"/>
              </w:rPr>
              <w:t xml:space="preserve"> </w:t>
            </w:r>
            <w:r>
              <w:rPr>
                <w:sz w:val="18"/>
              </w:rPr>
              <w:t>through</w:t>
            </w:r>
            <w:r>
              <w:rPr>
                <w:spacing w:val="-2"/>
                <w:sz w:val="18"/>
              </w:rPr>
              <w:t xml:space="preserve"> </w:t>
            </w:r>
            <w:r>
              <w:rPr>
                <w:sz w:val="18"/>
              </w:rPr>
              <w:t>high-quality</w:t>
            </w:r>
            <w:r>
              <w:rPr>
                <w:spacing w:val="-4"/>
                <w:sz w:val="18"/>
              </w:rPr>
              <w:t xml:space="preserve"> </w:t>
            </w:r>
            <w:r>
              <w:rPr>
                <w:sz w:val="18"/>
              </w:rPr>
              <w:t>education in</w:t>
            </w:r>
            <w:r>
              <w:rPr>
                <w:spacing w:val="-3"/>
                <w:sz w:val="18"/>
              </w:rPr>
              <w:t xml:space="preserve"> </w:t>
            </w:r>
            <w:r>
              <w:rPr>
                <w:sz w:val="18"/>
              </w:rPr>
              <w:t>the</w:t>
            </w:r>
            <w:r>
              <w:rPr>
                <w:spacing w:val="-2"/>
                <w:sz w:val="18"/>
              </w:rPr>
              <w:t xml:space="preserve"> </w:t>
            </w:r>
            <w:r>
              <w:rPr>
                <w:sz w:val="18"/>
              </w:rPr>
              <w:t>Croatian judiciary.</w:t>
            </w:r>
          </w:p>
          <w:p w:rsidR="00A56FE9" w:rsidRDefault="00000000">
            <w:pPr>
              <w:pStyle w:val="TableParagraph"/>
              <w:spacing w:line="191" w:lineRule="exact"/>
              <w:ind w:left="104"/>
              <w:rPr>
                <w:sz w:val="18"/>
              </w:rPr>
            </w:pPr>
            <w:r>
              <w:rPr>
                <w:sz w:val="18"/>
              </w:rPr>
              <w:t>-Specialised</w:t>
            </w:r>
            <w:r>
              <w:rPr>
                <w:spacing w:val="-1"/>
                <w:sz w:val="18"/>
              </w:rPr>
              <w:t xml:space="preserve"> </w:t>
            </w:r>
            <w:r>
              <w:rPr>
                <w:sz w:val="18"/>
              </w:rPr>
              <w:t>training</w:t>
            </w:r>
            <w:r>
              <w:rPr>
                <w:spacing w:val="-3"/>
                <w:sz w:val="18"/>
              </w:rPr>
              <w:t xml:space="preserve"> </w:t>
            </w:r>
            <w:r>
              <w:rPr>
                <w:sz w:val="18"/>
              </w:rPr>
              <w:t>programmes</w:t>
            </w:r>
            <w:r>
              <w:rPr>
                <w:spacing w:val="1"/>
                <w:sz w:val="18"/>
              </w:rPr>
              <w:t xml:space="preserve"> </w:t>
            </w:r>
            <w:r>
              <w:rPr>
                <w:sz w:val="18"/>
              </w:rPr>
              <w:t>for</w:t>
            </w:r>
            <w:r>
              <w:rPr>
                <w:spacing w:val="-2"/>
                <w:sz w:val="18"/>
              </w:rPr>
              <w:t xml:space="preserve"> </w:t>
            </w:r>
            <w:r>
              <w:rPr>
                <w:sz w:val="18"/>
              </w:rPr>
              <w:t>insolvency</w:t>
            </w:r>
            <w:r>
              <w:rPr>
                <w:spacing w:val="-5"/>
                <w:sz w:val="18"/>
              </w:rPr>
              <w:t xml:space="preserve"> </w:t>
            </w:r>
            <w:r>
              <w:rPr>
                <w:sz w:val="18"/>
              </w:rPr>
              <w:t>judges</w:t>
            </w:r>
            <w:r>
              <w:rPr>
                <w:spacing w:val="-2"/>
                <w:sz w:val="18"/>
              </w:rPr>
              <w:t xml:space="preserve"> </w:t>
            </w:r>
            <w:r>
              <w:rPr>
                <w:sz w:val="18"/>
              </w:rPr>
              <w:t>and training</w:t>
            </w:r>
            <w:r>
              <w:rPr>
                <w:spacing w:val="-3"/>
                <w:sz w:val="18"/>
              </w:rPr>
              <w:t xml:space="preserve"> </w:t>
            </w:r>
            <w:r>
              <w:rPr>
                <w:sz w:val="18"/>
              </w:rPr>
              <w:t>courses</w:t>
            </w:r>
            <w:r>
              <w:rPr>
                <w:spacing w:val="-1"/>
                <w:sz w:val="18"/>
              </w:rPr>
              <w:t xml:space="preserve"> </w:t>
            </w:r>
            <w:r>
              <w:rPr>
                <w:sz w:val="18"/>
              </w:rPr>
              <w:t>for</w:t>
            </w:r>
            <w:r>
              <w:rPr>
                <w:spacing w:val="-2"/>
                <w:sz w:val="18"/>
              </w:rPr>
              <w:t xml:space="preserve"> </w:t>
            </w:r>
            <w:r>
              <w:rPr>
                <w:sz w:val="18"/>
              </w:rPr>
              <w:t>family</w:t>
            </w:r>
            <w:r>
              <w:rPr>
                <w:spacing w:val="-5"/>
                <w:sz w:val="18"/>
              </w:rPr>
              <w:t xml:space="preserve"> </w:t>
            </w:r>
            <w:r>
              <w:rPr>
                <w:sz w:val="18"/>
              </w:rPr>
              <w:t>law</w:t>
            </w:r>
            <w:r>
              <w:rPr>
                <w:spacing w:val="-5"/>
                <w:sz w:val="18"/>
              </w:rPr>
              <w:t xml:space="preserve"> </w:t>
            </w:r>
            <w:r>
              <w:rPr>
                <w:sz w:val="18"/>
              </w:rPr>
              <w:t>judges.</w:t>
            </w:r>
          </w:p>
        </w:tc>
      </w:tr>
      <w:tr w:rsidR="00A56FE9">
        <w:trPr>
          <w:trHeight w:val="414"/>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spacing w:line="206" w:lineRule="exact"/>
              <w:ind w:left="105" w:right="1059"/>
              <w:rPr>
                <w:sz w:val="18"/>
              </w:rPr>
            </w:pPr>
            <w:r>
              <w:rPr>
                <w:sz w:val="18"/>
              </w:rPr>
              <w:t>Adoption of amendments to the</w:t>
            </w:r>
            <w:r>
              <w:rPr>
                <w:spacing w:val="-42"/>
                <w:sz w:val="18"/>
              </w:rPr>
              <w:t xml:space="preserve"> </w:t>
            </w:r>
            <w:r>
              <w:rPr>
                <w:sz w:val="18"/>
              </w:rPr>
              <w:t>Whistleblower</w:t>
            </w:r>
            <w:r>
              <w:rPr>
                <w:spacing w:val="-1"/>
                <w:sz w:val="18"/>
              </w:rPr>
              <w:t xml:space="preserve"> </w:t>
            </w:r>
            <w:r>
              <w:rPr>
                <w:sz w:val="18"/>
              </w:rPr>
              <w:t>Act</w:t>
            </w:r>
          </w:p>
        </w:tc>
        <w:tc>
          <w:tcPr>
            <w:tcW w:w="8928" w:type="dxa"/>
            <w:shd w:val="clear" w:color="auto" w:fill="C5EECE"/>
          </w:tcPr>
          <w:p w:rsidR="00A56FE9" w:rsidRDefault="00000000">
            <w:pPr>
              <w:pStyle w:val="TableParagraph"/>
              <w:spacing w:line="206" w:lineRule="exact"/>
              <w:ind w:left="104"/>
              <w:rPr>
                <w:sz w:val="18"/>
              </w:rPr>
            </w:pPr>
            <w:r>
              <w:rPr>
                <w:sz w:val="18"/>
              </w:rPr>
              <w:t>The</w:t>
            </w:r>
            <w:r>
              <w:rPr>
                <w:spacing w:val="-3"/>
                <w:sz w:val="18"/>
              </w:rPr>
              <w:t xml:space="preserve"> </w:t>
            </w:r>
            <w:r>
              <w:rPr>
                <w:sz w:val="18"/>
              </w:rPr>
              <w:t>Whistleblower</w:t>
            </w:r>
            <w:r>
              <w:rPr>
                <w:spacing w:val="1"/>
                <w:sz w:val="18"/>
              </w:rPr>
              <w:t xml:space="preserve"> </w:t>
            </w:r>
            <w:r>
              <w:rPr>
                <w:sz w:val="18"/>
              </w:rPr>
              <w:t>Act</w:t>
            </w:r>
            <w:r>
              <w:rPr>
                <w:spacing w:val="2"/>
                <w:sz w:val="18"/>
              </w:rPr>
              <w:t xml:space="preserve"> </w:t>
            </w:r>
            <w:r>
              <w:rPr>
                <w:sz w:val="18"/>
              </w:rPr>
              <w:t>will</w:t>
            </w:r>
            <w:r>
              <w:rPr>
                <w:spacing w:val="-1"/>
                <w:sz w:val="18"/>
              </w:rPr>
              <w:t xml:space="preserve"> </w:t>
            </w:r>
            <w:r>
              <w:rPr>
                <w:sz w:val="18"/>
              </w:rPr>
              <w:t>be</w:t>
            </w:r>
            <w:r>
              <w:rPr>
                <w:spacing w:val="-2"/>
                <w:sz w:val="18"/>
              </w:rPr>
              <w:t xml:space="preserve"> </w:t>
            </w:r>
            <w:r>
              <w:rPr>
                <w:sz w:val="18"/>
              </w:rPr>
              <w:t>amended to:</w:t>
            </w:r>
            <w:r>
              <w:rPr>
                <w:spacing w:val="-2"/>
                <w:sz w:val="18"/>
              </w:rPr>
              <w:t xml:space="preserve"> </w:t>
            </w:r>
            <w:r>
              <w:rPr>
                <w:sz w:val="18"/>
              </w:rPr>
              <w:t>i)</w:t>
            </w:r>
            <w:r>
              <w:rPr>
                <w:spacing w:val="-1"/>
                <w:sz w:val="18"/>
              </w:rPr>
              <w:t xml:space="preserve"> </w:t>
            </w:r>
            <w:r>
              <w:rPr>
                <w:sz w:val="18"/>
              </w:rPr>
              <w:t>Improve</w:t>
            </w:r>
            <w:r>
              <w:rPr>
                <w:spacing w:val="-2"/>
                <w:sz w:val="18"/>
              </w:rPr>
              <w:t xml:space="preserve"> </w:t>
            </w:r>
            <w:r>
              <w:rPr>
                <w:sz w:val="18"/>
              </w:rPr>
              <w:t>the</w:t>
            </w:r>
            <w:r>
              <w:rPr>
                <w:spacing w:val="-4"/>
                <w:sz w:val="18"/>
              </w:rPr>
              <w:t xml:space="preserve"> </w:t>
            </w:r>
            <w:r>
              <w:rPr>
                <w:sz w:val="18"/>
              </w:rPr>
              <w:t>provisions</w:t>
            </w:r>
            <w:r>
              <w:rPr>
                <w:spacing w:val="-4"/>
                <w:sz w:val="18"/>
              </w:rPr>
              <w:t xml:space="preserve"> </w:t>
            </w:r>
            <w:r>
              <w:rPr>
                <w:sz w:val="18"/>
              </w:rPr>
              <w:t>of</w:t>
            </w:r>
            <w:r>
              <w:rPr>
                <w:spacing w:val="-3"/>
                <w:sz w:val="18"/>
              </w:rPr>
              <w:t xml:space="preserve"> </w:t>
            </w:r>
            <w:r>
              <w:rPr>
                <w:sz w:val="18"/>
              </w:rPr>
              <w:t>the</w:t>
            </w:r>
            <w:r>
              <w:rPr>
                <w:spacing w:val="-2"/>
                <w:sz w:val="18"/>
              </w:rPr>
              <w:t xml:space="preserve"> </w:t>
            </w:r>
            <w:r>
              <w:rPr>
                <w:sz w:val="18"/>
              </w:rPr>
              <w:t>Act, ii)</w:t>
            </w:r>
            <w:r>
              <w:rPr>
                <w:spacing w:val="-1"/>
                <w:sz w:val="18"/>
              </w:rPr>
              <w:t xml:space="preserve"> </w:t>
            </w:r>
            <w:r>
              <w:rPr>
                <w:sz w:val="18"/>
              </w:rPr>
              <w:t>clarified</w:t>
            </w:r>
            <w:r>
              <w:rPr>
                <w:spacing w:val="-1"/>
                <w:sz w:val="18"/>
              </w:rPr>
              <w:t xml:space="preserve"> </w:t>
            </w:r>
            <w:r>
              <w:rPr>
                <w:sz w:val="18"/>
              </w:rPr>
              <w:t>the</w:t>
            </w:r>
            <w:r>
              <w:rPr>
                <w:spacing w:val="-2"/>
                <w:sz w:val="18"/>
              </w:rPr>
              <w:t xml:space="preserve"> </w:t>
            </w:r>
            <w:r>
              <w:rPr>
                <w:sz w:val="18"/>
              </w:rPr>
              <w:t>notion</w:t>
            </w:r>
            <w:r>
              <w:rPr>
                <w:spacing w:val="-2"/>
                <w:sz w:val="18"/>
              </w:rPr>
              <w:t xml:space="preserve"> </w:t>
            </w:r>
            <w:r>
              <w:rPr>
                <w:sz w:val="18"/>
              </w:rPr>
              <w:t>of</w:t>
            </w:r>
            <w:r>
              <w:rPr>
                <w:spacing w:val="-3"/>
                <w:sz w:val="18"/>
              </w:rPr>
              <w:t xml:space="preserve"> </w:t>
            </w:r>
            <w:r>
              <w:rPr>
                <w:sz w:val="18"/>
              </w:rPr>
              <w:t>a</w:t>
            </w:r>
            <w:r>
              <w:rPr>
                <w:spacing w:val="-2"/>
                <w:sz w:val="18"/>
              </w:rPr>
              <w:t xml:space="preserve"> </w:t>
            </w:r>
            <w:r>
              <w:rPr>
                <w:sz w:val="18"/>
              </w:rPr>
              <w:t>confidential</w:t>
            </w:r>
            <w:r>
              <w:rPr>
                <w:spacing w:val="-42"/>
                <w:sz w:val="18"/>
              </w:rPr>
              <w:t xml:space="preserve"> </w:t>
            </w:r>
            <w:r>
              <w:rPr>
                <w:sz w:val="18"/>
              </w:rPr>
              <w:t>person and</w:t>
            </w:r>
            <w:r>
              <w:rPr>
                <w:spacing w:val="1"/>
                <w:sz w:val="18"/>
              </w:rPr>
              <w:t xml:space="preserve"> </w:t>
            </w:r>
            <w:r>
              <w:rPr>
                <w:sz w:val="18"/>
              </w:rPr>
              <w:t>iii) provided</w:t>
            </w:r>
            <w:r>
              <w:rPr>
                <w:spacing w:val="-1"/>
                <w:sz w:val="18"/>
              </w:rPr>
              <w:t xml:space="preserve"> </w:t>
            </w:r>
            <w:r>
              <w:rPr>
                <w:sz w:val="18"/>
              </w:rPr>
              <w:t>for</w:t>
            </w:r>
            <w:r>
              <w:rPr>
                <w:spacing w:val="-1"/>
                <w:sz w:val="18"/>
              </w:rPr>
              <w:t xml:space="preserve"> </w:t>
            </w:r>
            <w:r>
              <w:rPr>
                <w:sz w:val="18"/>
              </w:rPr>
              <w:t>the</w:t>
            </w:r>
            <w:r>
              <w:rPr>
                <w:spacing w:val="-3"/>
                <w:sz w:val="18"/>
              </w:rPr>
              <w:t xml:space="preserve"> </w:t>
            </w:r>
            <w:r>
              <w:rPr>
                <w:sz w:val="18"/>
              </w:rPr>
              <w:t>delivery</w:t>
            </w:r>
            <w:r>
              <w:rPr>
                <w:spacing w:val="-4"/>
                <w:sz w:val="18"/>
              </w:rPr>
              <w:t xml:space="preserve"> </w:t>
            </w:r>
            <w:r>
              <w:rPr>
                <w:sz w:val="18"/>
              </w:rPr>
              <w:t>of</w:t>
            </w:r>
            <w:r>
              <w:rPr>
                <w:spacing w:val="-2"/>
                <w:sz w:val="18"/>
              </w:rPr>
              <w:t xml:space="preserve"> </w:t>
            </w:r>
            <w:r>
              <w:rPr>
                <w:sz w:val="18"/>
              </w:rPr>
              <w:t>the</w:t>
            </w:r>
            <w:r>
              <w:rPr>
                <w:spacing w:val="-1"/>
                <w:sz w:val="18"/>
              </w:rPr>
              <w:t xml:space="preserve"> </w:t>
            </w:r>
            <w:r>
              <w:rPr>
                <w:sz w:val="18"/>
              </w:rPr>
              <w:t>registration certificate.</w:t>
            </w:r>
          </w:p>
        </w:tc>
      </w:tr>
      <w:tr w:rsidR="00A56FE9">
        <w:trPr>
          <w:trHeight w:val="828"/>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ind w:left="105" w:right="275"/>
              <w:rPr>
                <w:sz w:val="18"/>
              </w:rPr>
            </w:pPr>
            <w:r>
              <w:rPr>
                <w:sz w:val="18"/>
              </w:rPr>
              <w:t>Amendments to the Act on the System of</w:t>
            </w:r>
            <w:r>
              <w:rPr>
                <w:spacing w:val="1"/>
                <w:sz w:val="18"/>
              </w:rPr>
              <w:t xml:space="preserve"> </w:t>
            </w:r>
            <w:r>
              <w:rPr>
                <w:sz w:val="18"/>
              </w:rPr>
              <w:t>Strategic</w:t>
            </w:r>
            <w:r>
              <w:rPr>
                <w:spacing w:val="-1"/>
                <w:sz w:val="18"/>
              </w:rPr>
              <w:t xml:space="preserve"> </w:t>
            </w:r>
            <w:r>
              <w:rPr>
                <w:sz w:val="18"/>
              </w:rPr>
              <w:t>Planning</w:t>
            </w:r>
            <w:r>
              <w:rPr>
                <w:spacing w:val="-2"/>
                <w:sz w:val="18"/>
              </w:rPr>
              <w:t xml:space="preserve"> </w:t>
            </w:r>
            <w:r>
              <w:rPr>
                <w:sz w:val="18"/>
              </w:rPr>
              <w:t>and</w:t>
            </w:r>
            <w:r>
              <w:rPr>
                <w:spacing w:val="1"/>
                <w:sz w:val="18"/>
              </w:rPr>
              <w:t xml:space="preserve"> </w:t>
            </w:r>
            <w:r>
              <w:rPr>
                <w:sz w:val="18"/>
              </w:rPr>
              <w:t>Management</w:t>
            </w:r>
            <w:r>
              <w:rPr>
                <w:spacing w:val="-1"/>
                <w:sz w:val="18"/>
              </w:rPr>
              <w:t xml:space="preserve"> </w:t>
            </w:r>
            <w:r>
              <w:rPr>
                <w:sz w:val="18"/>
              </w:rPr>
              <w:t>of</w:t>
            </w:r>
          </w:p>
          <w:p w:rsidR="00A56FE9" w:rsidRDefault="00000000">
            <w:pPr>
              <w:pStyle w:val="TableParagraph"/>
              <w:spacing w:line="206" w:lineRule="exact"/>
              <w:ind w:left="105" w:right="150"/>
              <w:rPr>
                <w:sz w:val="18"/>
              </w:rPr>
            </w:pPr>
            <w:r>
              <w:rPr>
                <w:sz w:val="18"/>
              </w:rPr>
              <w:t>Development</w:t>
            </w:r>
            <w:r>
              <w:rPr>
                <w:spacing w:val="-1"/>
                <w:sz w:val="18"/>
              </w:rPr>
              <w:t xml:space="preserve"> </w:t>
            </w:r>
            <w:r>
              <w:rPr>
                <w:sz w:val="18"/>
              </w:rPr>
              <w:t>of</w:t>
            </w:r>
            <w:r>
              <w:rPr>
                <w:spacing w:val="-2"/>
                <w:sz w:val="18"/>
              </w:rPr>
              <w:t xml:space="preserve"> </w:t>
            </w:r>
            <w:r>
              <w:rPr>
                <w:sz w:val="18"/>
              </w:rPr>
              <w:t>the</w:t>
            </w:r>
            <w:r>
              <w:rPr>
                <w:spacing w:val="-1"/>
                <w:sz w:val="18"/>
              </w:rPr>
              <w:t xml:space="preserve"> </w:t>
            </w:r>
            <w:r>
              <w:rPr>
                <w:sz w:val="18"/>
              </w:rPr>
              <w:t>Republic</w:t>
            </w:r>
            <w:r>
              <w:rPr>
                <w:spacing w:val="-4"/>
                <w:sz w:val="18"/>
              </w:rPr>
              <w:t xml:space="preserve"> </w:t>
            </w:r>
            <w:r>
              <w:rPr>
                <w:sz w:val="18"/>
              </w:rPr>
              <w:t>of</w:t>
            </w:r>
            <w:r>
              <w:rPr>
                <w:spacing w:val="-2"/>
                <w:sz w:val="18"/>
              </w:rPr>
              <w:t xml:space="preserve"> </w:t>
            </w:r>
            <w:r>
              <w:rPr>
                <w:sz w:val="18"/>
              </w:rPr>
              <w:t>Croatia</w:t>
            </w:r>
            <w:r>
              <w:rPr>
                <w:spacing w:val="-1"/>
                <w:sz w:val="18"/>
              </w:rPr>
              <w:t xml:space="preserve"> </w:t>
            </w:r>
            <w:r>
              <w:rPr>
                <w:sz w:val="18"/>
              </w:rPr>
              <w:t>and</w:t>
            </w:r>
            <w:r>
              <w:rPr>
                <w:spacing w:val="-42"/>
                <w:sz w:val="18"/>
              </w:rPr>
              <w:t xml:space="preserve"> </w:t>
            </w:r>
            <w:r>
              <w:rPr>
                <w:sz w:val="18"/>
              </w:rPr>
              <w:t>bylaws</w:t>
            </w:r>
          </w:p>
        </w:tc>
        <w:tc>
          <w:tcPr>
            <w:tcW w:w="8928" w:type="dxa"/>
            <w:shd w:val="clear" w:color="auto" w:fill="C5EECE"/>
          </w:tcPr>
          <w:p w:rsidR="00A56FE9" w:rsidRDefault="00000000">
            <w:pPr>
              <w:pStyle w:val="TableParagraph"/>
              <w:ind w:left="104"/>
              <w:rPr>
                <w:sz w:val="18"/>
              </w:rPr>
            </w:pPr>
            <w:r>
              <w:rPr>
                <w:sz w:val="18"/>
              </w:rPr>
              <w:t>Amendments to the Act on Strategic Planning and Development Management System of the Republic of Croatia and</w:t>
            </w:r>
            <w:r>
              <w:rPr>
                <w:spacing w:val="1"/>
                <w:sz w:val="18"/>
              </w:rPr>
              <w:t xml:space="preserve"> </w:t>
            </w:r>
            <w:r>
              <w:rPr>
                <w:sz w:val="18"/>
              </w:rPr>
              <w:t>accompanying</w:t>
            </w:r>
            <w:r>
              <w:rPr>
                <w:spacing w:val="-3"/>
                <w:sz w:val="18"/>
              </w:rPr>
              <w:t xml:space="preserve"> </w:t>
            </w:r>
            <w:r>
              <w:rPr>
                <w:sz w:val="18"/>
              </w:rPr>
              <w:t>bylaws</w:t>
            </w:r>
            <w:r>
              <w:rPr>
                <w:spacing w:val="-2"/>
                <w:sz w:val="18"/>
              </w:rPr>
              <w:t xml:space="preserve"> </w:t>
            </w:r>
            <w:r>
              <w:rPr>
                <w:sz w:val="18"/>
              </w:rPr>
              <w:t>shall</w:t>
            </w:r>
            <w:r>
              <w:rPr>
                <w:spacing w:val="-1"/>
                <w:sz w:val="18"/>
              </w:rPr>
              <w:t xml:space="preserve"> </w:t>
            </w:r>
            <w:r>
              <w:rPr>
                <w:sz w:val="18"/>
              </w:rPr>
              <w:t>improve</w:t>
            </w:r>
            <w:r>
              <w:rPr>
                <w:spacing w:val="-2"/>
                <w:sz w:val="18"/>
              </w:rPr>
              <w:t xml:space="preserve"> </w:t>
            </w:r>
            <w:r>
              <w:rPr>
                <w:sz w:val="18"/>
              </w:rPr>
              <w:t>the</w:t>
            </w:r>
            <w:r>
              <w:rPr>
                <w:spacing w:val="-3"/>
                <w:sz w:val="18"/>
              </w:rPr>
              <w:t xml:space="preserve"> </w:t>
            </w:r>
            <w:r>
              <w:rPr>
                <w:sz w:val="18"/>
              </w:rPr>
              <w:t>effectiveness</w:t>
            </w:r>
            <w:r>
              <w:rPr>
                <w:spacing w:val="-2"/>
                <w:sz w:val="18"/>
              </w:rPr>
              <w:t xml:space="preserve"> </w:t>
            </w:r>
            <w:r>
              <w:rPr>
                <w:sz w:val="18"/>
              </w:rPr>
              <w:t>of</w:t>
            </w:r>
            <w:r>
              <w:rPr>
                <w:spacing w:val="-3"/>
                <w:sz w:val="18"/>
              </w:rPr>
              <w:t xml:space="preserve"> </w:t>
            </w:r>
            <w:r>
              <w:rPr>
                <w:sz w:val="18"/>
              </w:rPr>
              <w:t>strategic planning</w:t>
            </w:r>
            <w:r>
              <w:rPr>
                <w:spacing w:val="-2"/>
                <w:sz w:val="18"/>
              </w:rPr>
              <w:t xml:space="preserve"> </w:t>
            </w:r>
            <w:r>
              <w:rPr>
                <w:sz w:val="18"/>
              </w:rPr>
              <w:t>and</w:t>
            </w:r>
            <w:r>
              <w:rPr>
                <w:spacing w:val="-2"/>
                <w:sz w:val="18"/>
              </w:rPr>
              <w:t xml:space="preserve"> </w:t>
            </w:r>
            <w:r>
              <w:rPr>
                <w:sz w:val="18"/>
              </w:rPr>
              <w:t>the</w:t>
            </w:r>
            <w:r>
              <w:rPr>
                <w:spacing w:val="-4"/>
                <w:sz w:val="18"/>
              </w:rPr>
              <w:t xml:space="preserve"> </w:t>
            </w:r>
            <w:r>
              <w:rPr>
                <w:sz w:val="18"/>
              </w:rPr>
              <w:t>professionalisation</w:t>
            </w:r>
            <w:r>
              <w:rPr>
                <w:spacing w:val="-2"/>
                <w:sz w:val="18"/>
              </w:rPr>
              <w:t xml:space="preserve"> </w:t>
            </w:r>
            <w:r>
              <w:rPr>
                <w:sz w:val="18"/>
              </w:rPr>
              <w:t>of</w:t>
            </w:r>
            <w:r>
              <w:rPr>
                <w:spacing w:val="-4"/>
                <w:sz w:val="18"/>
              </w:rPr>
              <w:t xml:space="preserve"> </w:t>
            </w:r>
            <w:r>
              <w:rPr>
                <w:sz w:val="18"/>
              </w:rPr>
              <w:t>the</w:t>
            </w:r>
            <w:r>
              <w:rPr>
                <w:spacing w:val="-2"/>
                <w:sz w:val="18"/>
              </w:rPr>
              <w:t xml:space="preserve"> </w:t>
            </w:r>
            <w:r>
              <w:rPr>
                <w:sz w:val="18"/>
              </w:rPr>
              <w:t>preparation</w:t>
            </w:r>
          </w:p>
          <w:p w:rsidR="00A56FE9" w:rsidRDefault="00000000">
            <w:pPr>
              <w:pStyle w:val="TableParagraph"/>
              <w:spacing w:line="206" w:lineRule="exact"/>
              <w:ind w:left="104"/>
              <w:rPr>
                <w:sz w:val="18"/>
              </w:rPr>
            </w:pPr>
            <w:r>
              <w:rPr>
                <w:sz w:val="18"/>
              </w:rPr>
              <w:t>of</w:t>
            </w:r>
            <w:r>
              <w:rPr>
                <w:spacing w:val="-4"/>
                <w:sz w:val="18"/>
              </w:rPr>
              <w:t xml:space="preserve"> </w:t>
            </w:r>
            <w:r>
              <w:rPr>
                <w:sz w:val="18"/>
              </w:rPr>
              <w:t>strategic</w:t>
            </w:r>
            <w:r>
              <w:rPr>
                <w:spacing w:val="-1"/>
                <w:sz w:val="18"/>
              </w:rPr>
              <w:t xml:space="preserve"> </w:t>
            </w:r>
            <w:r>
              <w:rPr>
                <w:sz w:val="18"/>
              </w:rPr>
              <w:t>documents.</w:t>
            </w:r>
            <w:r>
              <w:rPr>
                <w:spacing w:val="-1"/>
                <w:sz w:val="18"/>
              </w:rPr>
              <w:t xml:space="preserve"> </w:t>
            </w:r>
            <w:r>
              <w:rPr>
                <w:sz w:val="18"/>
              </w:rPr>
              <w:t>It</w:t>
            </w:r>
            <w:r>
              <w:rPr>
                <w:spacing w:val="-2"/>
                <w:sz w:val="18"/>
              </w:rPr>
              <w:t xml:space="preserve"> </w:t>
            </w:r>
            <w:r>
              <w:rPr>
                <w:sz w:val="18"/>
              </w:rPr>
              <w:t>shall</w:t>
            </w:r>
            <w:r>
              <w:rPr>
                <w:spacing w:val="-1"/>
                <w:sz w:val="18"/>
              </w:rPr>
              <w:t xml:space="preserve"> </w:t>
            </w:r>
            <w:r>
              <w:rPr>
                <w:sz w:val="18"/>
              </w:rPr>
              <w:t>also include</w:t>
            </w:r>
            <w:r>
              <w:rPr>
                <w:spacing w:val="-3"/>
                <w:sz w:val="18"/>
              </w:rPr>
              <w:t xml:space="preserve"> </w:t>
            </w:r>
            <w:r>
              <w:rPr>
                <w:sz w:val="18"/>
              </w:rPr>
              <w:t>a</w:t>
            </w:r>
            <w:r>
              <w:rPr>
                <w:spacing w:val="-2"/>
                <w:sz w:val="18"/>
              </w:rPr>
              <w:t xml:space="preserve"> </w:t>
            </w:r>
            <w:r>
              <w:rPr>
                <w:sz w:val="18"/>
              </w:rPr>
              <w:t>basis</w:t>
            </w:r>
            <w:r>
              <w:rPr>
                <w:spacing w:val="-1"/>
                <w:sz w:val="18"/>
              </w:rPr>
              <w:t xml:space="preserve"> </w:t>
            </w:r>
            <w:r>
              <w:rPr>
                <w:sz w:val="18"/>
              </w:rPr>
              <w:t>for</w:t>
            </w:r>
            <w:r>
              <w:rPr>
                <w:spacing w:val="-2"/>
                <w:sz w:val="18"/>
              </w:rPr>
              <w:t xml:space="preserve"> </w:t>
            </w:r>
            <w:r>
              <w:rPr>
                <w:sz w:val="18"/>
              </w:rPr>
              <w:t>job</w:t>
            </w:r>
            <w:r>
              <w:rPr>
                <w:spacing w:val="-2"/>
                <w:sz w:val="18"/>
              </w:rPr>
              <w:t xml:space="preserve"> </w:t>
            </w:r>
            <w:r>
              <w:rPr>
                <w:sz w:val="18"/>
              </w:rPr>
              <w:t>descriptions</w:t>
            </w:r>
            <w:r>
              <w:rPr>
                <w:spacing w:val="-1"/>
                <w:sz w:val="18"/>
              </w:rPr>
              <w:t xml:space="preserve"> </w:t>
            </w:r>
            <w:r>
              <w:rPr>
                <w:sz w:val="18"/>
              </w:rPr>
              <w:t>and competences</w:t>
            </w:r>
            <w:r>
              <w:rPr>
                <w:spacing w:val="-2"/>
                <w:sz w:val="18"/>
              </w:rPr>
              <w:t xml:space="preserve"> </w:t>
            </w:r>
            <w:r>
              <w:rPr>
                <w:sz w:val="18"/>
              </w:rPr>
              <w:t>of</w:t>
            </w:r>
            <w:r>
              <w:rPr>
                <w:spacing w:val="-3"/>
                <w:sz w:val="18"/>
              </w:rPr>
              <w:t xml:space="preserve"> </w:t>
            </w:r>
            <w:r>
              <w:rPr>
                <w:sz w:val="18"/>
              </w:rPr>
              <w:t>civil</w:t>
            </w:r>
            <w:r>
              <w:rPr>
                <w:spacing w:val="-1"/>
                <w:sz w:val="18"/>
              </w:rPr>
              <w:t xml:space="preserve"> </w:t>
            </w:r>
            <w:r>
              <w:rPr>
                <w:sz w:val="18"/>
              </w:rPr>
              <w:t>servants</w:t>
            </w:r>
            <w:r>
              <w:rPr>
                <w:spacing w:val="-2"/>
                <w:sz w:val="18"/>
              </w:rPr>
              <w:t xml:space="preserve"> </w:t>
            </w:r>
            <w:r>
              <w:rPr>
                <w:sz w:val="18"/>
              </w:rPr>
              <w:t>related to</w:t>
            </w:r>
            <w:r>
              <w:rPr>
                <w:spacing w:val="-42"/>
                <w:sz w:val="18"/>
              </w:rPr>
              <w:t xml:space="preserve"> </w:t>
            </w:r>
            <w:r>
              <w:rPr>
                <w:sz w:val="18"/>
              </w:rPr>
              <w:t>strategic</w:t>
            </w:r>
            <w:r>
              <w:rPr>
                <w:spacing w:val="-1"/>
                <w:sz w:val="18"/>
              </w:rPr>
              <w:t xml:space="preserve"> </w:t>
            </w:r>
            <w:r>
              <w:rPr>
                <w:sz w:val="18"/>
              </w:rPr>
              <w:t>planning;</w:t>
            </w:r>
          </w:p>
        </w:tc>
      </w:tr>
      <w:tr w:rsidR="00A56FE9">
        <w:trPr>
          <w:trHeight w:val="414"/>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spacing w:line="202" w:lineRule="exact"/>
              <w:ind w:left="105"/>
              <w:rPr>
                <w:sz w:val="18"/>
              </w:rPr>
            </w:pPr>
            <w:r>
              <w:rPr>
                <w:sz w:val="18"/>
              </w:rPr>
              <w:t>Digital</w:t>
            </w:r>
            <w:r>
              <w:rPr>
                <w:spacing w:val="-1"/>
                <w:sz w:val="18"/>
              </w:rPr>
              <w:t xml:space="preserve"> </w:t>
            </w:r>
            <w:r>
              <w:rPr>
                <w:sz w:val="18"/>
              </w:rPr>
              <w:t>archives</w:t>
            </w:r>
            <w:r>
              <w:rPr>
                <w:spacing w:val="-1"/>
                <w:sz w:val="18"/>
              </w:rPr>
              <w:t xml:space="preserve"> </w:t>
            </w:r>
            <w:r>
              <w:rPr>
                <w:sz w:val="18"/>
              </w:rPr>
              <w:t>of</w:t>
            </w:r>
            <w:r>
              <w:rPr>
                <w:spacing w:val="-2"/>
                <w:sz w:val="18"/>
              </w:rPr>
              <w:t xml:space="preserve"> </w:t>
            </w:r>
            <w:r>
              <w:rPr>
                <w:sz w:val="18"/>
              </w:rPr>
              <w:t>the</w:t>
            </w:r>
            <w:r>
              <w:rPr>
                <w:spacing w:val="-2"/>
                <w:sz w:val="18"/>
              </w:rPr>
              <w:t xml:space="preserve"> </w:t>
            </w:r>
            <w:r>
              <w:rPr>
                <w:sz w:val="18"/>
              </w:rPr>
              <w:t>Croatian</w:t>
            </w:r>
            <w:r>
              <w:rPr>
                <w:spacing w:val="-2"/>
                <w:sz w:val="18"/>
              </w:rPr>
              <w:t xml:space="preserve"> </w:t>
            </w:r>
            <w:r>
              <w:rPr>
                <w:sz w:val="18"/>
              </w:rPr>
              <w:t>Pension</w:t>
            </w:r>
          </w:p>
          <w:p w:rsidR="00A56FE9" w:rsidRDefault="00000000">
            <w:pPr>
              <w:pStyle w:val="TableParagraph"/>
              <w:spacing w:before="1" w:line="191" w:lineRule="exact"/>
              <w:ind w:left="105"/>
              <w:rPr>
                <w:sz w:val="18"/>
              </w:rPr>
            </w:pPr>
            <w:r>
              <w:rPr>
                <w:sz w:val="18"/>
              </w:rPr>
              <w:t>Insurance</w:t>
            </w:r>
            <w:r>
              <w:rPr>
                <w:spacing w:val="-2"/>
                <w:sz w:val="18"/>
              </w:rPr>
              <w:t xml:space="preserve"> </w:t>
            </w:r>
            <w:r>
              <w:rPr>
                <w:sz w:val="18"/>
              </w:rPr>
              <w:t>Institute (HZMO)</w:t>
            </w:r>
          </w:p>
        </w:tc>
        <w:tc>
          <w:tcPr>
            <w:tcW w:w="8928" w:type="dxa"/>
            <w:shd w:val="clear" w:color="auto" w:fill="C5EECE"/>
          </w:tcPr>
          <w:p w:rsidR="00A56FE9" w:rsidRDefault="00000000">
            <w:pPr>
              <w:pStyle w:val="TableParagraph"/>
              <w:spacing w:line="202" w:lineRule="exact"/>
              <w:ind w:left="104"/>
              <w:rPr>
                <w:sz w:val="18"/>
              </w:rPr>
            </w:pPr>
            <w:r>
              <w:rPr>
                <w:sz w:val="18"/>
              </w:rPr>
              <w:t>The</w:t>
            </w:r>
            <w:r>
              <w:rPr>
                <w:spacing w:val="-4"/>
                <w:sz w:val="18"/>
              </w:rPr>
              <w:t xml:space="preserve"> </w:t>
            </w:r>
            <w:r>
              <w:rPr>
                <w:sz w:val="18"/>
              </w:rPr>
              <w:t>system</w:t>
            </w:r>
            <w:r>
              <w:rPr>
                <w:spacing w:val="-3"/>
                <w:sz w:val="18"/>
              </w:rPr>
              <w:t xml:space="preserve"> </w:t>
            </w:r>
            <w:r>
              <w:rPr>
                <w:sz w:val="18"/>
              </w:rPr>
              <w:t>for</w:t>
            </w:r>
            <w:r>
              <w:rPr>
                <w:spacing w:val="-1"/>
                <w:sz w:val="18"/>
              </w:rPr>
              <w:t xml:space="preserve"> </w:t>
            </w:r>
            <w:r>
              <w:rPr>
                <w:sz w:val="18"/>
              </w:rPr>
              <w:t>managing</w:t>
            </w:r>
            <w:r>
              <w:rPr>
                <w:spacing w:val="-3"/>
                <w:sz w:val="18"/>
              </w:rPr>
              <w:t xml:space="preserve"> </w:t>
            </w:r>
            <w:r>
              <w:rPr>
                <w:sz w:val="18"/>
              </w:rPr>
              <w:t>digital</w:t>
            </w:r>
            <w:r>
              <w:rPr>
                <w:spacing w:val="-3"/>
                <w:sz w:val="18"/>
              </w:rPr>
              <w:t xml:space="preserve"> </w:t>
            </w:r>
            <w:r>
              <w:rPr>
                <w:sz w:val="18"/>
              </w:rPr>
              <w:t>archives</w:t>
            </w:r>
            <w:r>
              <w:rPr>
                <w:spacing w:val="-2"/>
                <w:sz w:val="18"/>
              </w:rPr>
              <w:t xml:space="preserve"> </w:t>
            </w:r>
            <w:r>
              <w:rPr>
                <w:sz w:val="18"/>
              </w:rPr>
              <w:t>(Digital Archives</w:t>
            </w:r>
            <w:r>
              <w:rPr>
                <w:spacing w:val="-2"/>
                <w:sz w:val="18"/>
              </w:rPr>
              <w:t xml:space="preserve"> </w:t>
            </w:r>
            <w:r>
              <w:rPr>
                <w:sz w:val="18"/>
              </w:rPr>
              <w:t>Management</w:t>
            </w:r>
            <w:r>
              <w:rPr>
                <w:spacing w:val="-2"/>
                <w:sz w:val="18"/>
              </w:rPr>
              <w:t xml:space="preserve"> </w:t>
            </w:r>
            <w:r>
              <w:rPr>
                <w:sz w:val="18"/>
              </w:rPr>
              <w:t>System)</w:t>
            </w:r>
            <w:r>
              <w:rPr>
                <w:spacing w:val="-3"/>
                <w:sz w:val="18"/>
              </w:rPr>
              <w:t xml:space="preserve"> </w:t>
            </w:r>
            <w:r>
              <w:rPr>
                <w:sz w:val="18"/>
              </w:rPr>
              <w:t>shall</w:t>
            </w:r>
            <w:r>
              <w:rPr>
                <w:spacing w:val="-2"/>
                <w:sz w:val="18"/>
              </w:rPr>
              <w:t xml:space="preserve"> </w:t>
            </w:r>
            <w:r>
              <w:rPr>
                <w:sz w:val="18"/>
              </w:rPr>
              <w:t>be</w:t>
            </w:r>
            <w:r>
              <w:rPr>
                <w:spacing w:val="-4"/>
                <w:sz w:val="18"/>
              </w:rPr>
              <w:t xml:space="preserve"> </w:t>
            </w:r>
            <w:r>
              <w:rPr>
                <w:sz w:val="18"/>
              </w:rPr>
              <w:t>operational</w:t>
            </w:r>
          </w:p>
        </w:tc>
      </w:tr>
    </w:tbl>
    <w:p w:rsidR="00A56FE9" w:rsidRDefault="00A56FE9">
      <w:pPr>
        <w:spacing w:line="202" w:lineRule="exac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682"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2060"/>
        <w:gridCol w:w="3474"/>
        <w:gridCol w:w="8928"/>
      </w:tblGrid>
      <w:tr w:rsidR="00A56FE9">
        <w:trPr>
          <w:trHeight w:val="249"/>
        </w:trPr>
        <w:tc>
          <w:tcPr>
            <w:tcW w:w="2060" w:type="dxa"/>
            <w:tcBorders>
              <w:top w:val="nil"/>
              <w:left w:val="nil"/>
              <w:bottom w:val="nil"/>
              <w:right w:val="nil"/>
            </w:tcBorders>
            <w:shd w:val="clear" w:color="auto" w:fill="2C398A"/>
          </w:tcPr>
          <w:p w:rsidR="00A56FE9" w:rsidRDefault="00000000">
            <w:pPr>
              <w:pStyle w:val="TableParagraph"/>
              <w:spacing w:before="10" w:line="220" w:lineRule="exact"/>
              <w:ind w:left="804" w:right="803"/>
              <w:jc w:val="center"/>
              <w:rPr>
                <w:b/>
                <w:sz w:val="20"/>
              </w:rPr>
            </w:pPr>
            <w:r>
              <w:rPr>
                <w:b/>
                <w:color w:val="FFFFFF"/>
                <w:sz w:val="20"/>
              </w:rPr>
              <w:t>SDG</w:t>
            </w:r>
          </w:p>
        </w:tc>
        <w:tc>
          <w:tcPr>
            <w:tcW w:w="3474" w:type="dxa"/>
            <w:tcBorders>
              <w:top w:val="nil"/>
              <w:left w:val="nil"/>
              <w:bottom w:val="nil"/>
              <w:right w:val="nil"/>
            </w:tcBorders>
            <w:shd w:val="clear" w:color="auto" w:fill="2C398A"/>
          </w:tcPr>
          <w:p w:rsidR="00A56FE9" w:rsidRDefault="00000000">
            <w:pPr>
              <w:pStyle w:val="TableParagraph"/>
              <w:spacing w:before="10" w:line="220" w:lineRule="exact"/>
              <w:ind w:left="796"/>
              <w:rPr>
                <w:b/>
                <w:sz w:val="20"/>
              </w:rPr>
            </w:pPr>
            <w:r>
              <w:rPr>
                <w:b/>
                <w:color w:val="FFFFFF"/>
                <w:sz w:val="20"/>
              </w:rPr>
              <w:t>List</w:t>
            </w:r>
            <w:r>
              <w:rPr>
                <w:b/>
                <w:color w:val="FFFFFF"/>
                <w:spacing w:val="-3"/>
                <w:sz w:val="20"/>
              </w:rPr>
              <w:t xml:space="preserve"> </w:t>
            </w:r>
            <w:r>
              <w:rPr>
                <w:b/>
                <w:color w:val="FFFFFF"/>
                <w:sz w:val="20"/>
              </w:rPr>
              <w:t>of main</w:t>
            </w:r>
            <w:r>
              <w:rPr>
                <w:b/>
                <w:color w:val="FFFFFF"/>
                <w:spacing w:val="-1"/>
                <w:sz w:val="20"/>
              </w:rPr>
              <w:t xml:space="preserve"> </w:t>
            </w:r>
            <w:r>
              <w:rPr>
                <w:b/>
                <w:color w:val="FFFFFF"/>
                <w:sz w:val="20"/>
              </w:rPr>
              <w:t>measures</w:t>
            </w:r>
          </w:p>
        </w:tc>
        <w:tc>
          <w:tcPr>
            <w:tcW w:w="8928" w:type="dxa"/>
            <w:tcBorders>
              <w:top w:val="nil"/>
              <w:left w:val="nil"/>
              <w:bottom w:val="nil"/>
              <w:right w:val="nil"/>
            </w:tcBorders>
            <w:shd w:val="clear" w:color="auto" w:fill="2C398A"/>
          </w:tcPr>
          <w:p w:rsidR="00A56FE9" w:rsidRDefault="00000000">
            <w:pPr>
              <w:pStyle w:val="TableParagraph"/>
              <w:spacing w:before="10" w:line="220" w:lineRule="exact"/>
              <w:ind w:left="1951" w:right="1952"/>
              <w:jc w:val="center"/>
              <w:rPr>
                <w:b/>
                <w:sz w:val="20"/>
              </w:rPr>
            </w:pPr>
            <w:r>
              <w:rPr>
                <w:b/>
                <w:color w:val="FFFFFF"/>
                <w:sz w:val="20"/>
              </w:rPr>
              <w:t>Estimated</w:t>
            </w:r>
            <w:r>
              <w:rPr>
                <w:b/>
                <w:color w:val="FFFFFF"/>
                <w:spacing w:val="-3"/>
                <w:sz w:val="20"/>
              </w:rPr>
              <w:t xml:space="preserve"> </w:t>
            </w:r>
            <w:r>
              <w:rPr>
                <w:b/>
                <w:color w:val="FFFFFF"/>
                <w:sz w:val="20"/>
              </w:rPr>
              <w:t>effect</w:t>
            </w:r>
            <w:r>
              <w:rPr>
                <w:b/>
                <w:color w:val="FFFFFF"/>
                <w:spacing w:val="-3"/>
                <w:sz w:val="20"/>
              </w:rPr>
              <w:t xml:space="preserve"> </w:t>
            </w:r>
            <w:r>
              <w:rPr>
                <w:b/>
                <w:color w:val="FFFFFF"/>
                <w:sz w:val="20"/>
              </w:rPr>
              <w:t>of measures</w:t>
            </w:r>
            <w:r>
              <w:rPr>
                <w:b/>
                <w:color w:val="FFFFFF"/>
                <w:spacing w:val="-2"/>
                <w:sz w:val="20"/>
              </w:rPr>
              <w:t xml:space="preserve"> </w:t>
            </w:r>
            <w:r>
              <w:rPr>
                <w:b/>
                <w:color w:val="FFFFFF"/>
                <w:sz w:val="20"/>
              </w:rPr>
              <w:t>(qualitative</w:t>
            </w:r>
            <w:r>
              <w:rPr>
                <w:b/>
                <w:color w:val="FFFFFF"/>
                <w:spacing w:val="-3"/>
                <w:sz w:val="20"/>
              </w:rPr>
              <w:t xml:space="preserve"> </w:t>
            </w:r>
            <w:r>
              <w:rPr>
                <w:b/>
                <w:color w:val="FFFFFF"/>
                <w:sz w:val="20"/>
              </w:rPr>
              <w:t>and</w:t>
            </w:r>
            <w:r>
              <w:rPr>
                <w:b/>
                <w:color w:val="FFFFFF"/>
                <w:spacing w:val="-4"/>
                <w:sz w:val="20"/>
              </w:rPr>
              <w:t xml:space="preserve"> </w:t>
            </w:r>
            <w:r>
              <w:rPr>
                <w:b/>
                <w:color w:val="FFFFFF"/>
                <w:sz w:val="20"/>
              </w:rPr>
              <w:t>quantitative)</w:t>
            </w:r>
          </w:p>
        </w:tc>
      </w:tr>
      <w:tr w:rsidR="00A56FE9">
        <w:trPr>
          <w:trHeight w:val="621"/>
        </w:trPr>
        <w:tc>
          <w:tcPr>
            <w:tcW w:w="2060" w:type="dxa"/>
            <w:vMerge w:val="restart"/>
            <w:tcBorders>
              <w:top w:val="nil"/>
            </w:tcBorders>
            <w:shd w:val="clear" w:color="auto" w:fill="F1F1F1"/>
          </w:tcPr>
          <w:p w:rsidR="00A56FE9" w:rsidRDefault="00A56FE9">
            <w:pPr>
              <w:pStyle w:val="TableParagraph"/>
              <w:rPr>
                <w:sz w:val="18"/>
              </w:rPr>
            </w:pPr>
          </w:p>
        </w:tc>
        <w:tc>
          <w:tcPr>
            <w:tcW w:w="3474" w:type="dxa"/>
            <w:tcBorders>
              <w:top w:val="nil"/>
            </w:tcBorders>
            <w:shd w:val="clear" w:color="auto" w:fill="C5EECE"/>
          </w:tcPr>
          <w:p w:rsidR="00A56FE9" w:rsidRDefault="00000000">
            <w:pPr>
              <w:pStyle w:val="TableParagraph"/>
              <w:ind w:left="105" w:right="204"/>
              <w:rPr>
                <w:sz w:val="18"/>
              </w:rPr>
            </w:pPr>
            <w:r>
              <w:rPr>
                <w:sz w:val="18"/>
              </w:rPr>
              <w:t>Optimisation</w:t>
            </w:r>
            <w:r>
              <w:rPr>
                <w:spacing w:val="-1"/>
                <w:sz w:val="18"/>
              </w:rPr>
              <w:t xml:space="preserve"> </w:t>
            </w:r>
            <w:r>
              <w:rPr>
                <w:sz w:val="18"/>
              </w:rPr>
              <w:t>of</w:t>
            </w:r>
            <w:r>
              <w:rPr>
                <w:spacing w:val="-3"/>
                <w:sz w:val="18"/>
              </w:rPr>
              <w:t xml:space="preserve"> </w:t>
            </w:r>
            <w:r>
              <w:rPr>
                <w:sz w:val="18"/>
              </w:rPr>
              <w:t>the</w:t>
            </w:r>
            <w:r>
              <w:rPr>
                <w:spacing w:val="-3"/>
                <w:sz w:val="18"/>
              </w:rPr>
              <w:t xml:space="preserve"> </w:t>
            </w:r>
            <w:r>
              <w:rPr>
                <w:sz w:val="18"/>
              </w:rPr>
              <w:t>permit</w:t>
            </w:r>
            <w:r>
              <w:rPr>
                <w:spacing w:val="-1"/>
                <w:sz w:val="18"/>
              </w:rPr>
              <w:t xml:space="preserve"> </w:t>
            </w:r>
            <w:r>
              <w:rPr>
                <w:sz w:val="18"/>
              </w:rPr>
              <w:t>granting</w:t>
            </w:r>
            <w:r>
              <w:rPr>
                <w:spacing w:val="-2"/>
                <w:sz w:val="18"/>
              </w:rPr>
              <w:t xml:space="preserve"> </w:t>
            </w:r>
            <w:r>
              <w:rPr>
                <w:sz w:val="18"/>
              </w:rPr>
              <w:t>process</w:t>
            </w:r>
            <w:r>
              <w:rPr>
                <w:spacing w:val="-42"/>
                <w:sz w:val="18"/>
              </w:rPr>
              <w:t xml:space="preserve"> </w:t>
            </w:r>
            <w:r>
              <w:rPr>
                <w:sz w:val="18"/>
              </w:rPr>
              <w:t>for</w:t>
            </w:r>
            <w:r>
              <w:rPr>
                <w:spacing w:val="-1"/>
                <w:sz w:val="18"/>
              </w:rPr>
              <w:t xml:space="preserve"> </w:t>
            </w:r>
            <w:r>
              <w:rPr>
                <w:sz w:val="18"/>
              </w:rPr>
              <w:t>connectivity</w:t>
            </w:r>
            <w:r>
              <w:rPr>
                <w:spacing w:val="-4"/>
                <w:sz w:val="18"/>
              </w:rPr>
              <w:t xml:space="preserve"> </w:t>
            </w:r>
            <w:r>
              <w:rPr>
                <w:sz w:val="18"/>
              </w:rPr>
              <w:t>investments</w:t>
            </w:r>
          </w:p>
        </w:tc>
        <w:tc>
          <w:tcPr>
            <w:tcW w:w="8928" w:type="dxa"/>
            <w:tcBorders>
              <w:top w:val="nil"/>
            </w:tcBorders>
            <w:shd w:val="clear" w:color="auto" w:fill="C5EECE"/>
          </w:tcPr>
          <w:p w:rsidR="00A56FE9" w:rsidRDefault="00000000">
            <w:pPr>
              <w:pStyle w:val="TableParagraph"/>
              <w:ind w:left="104"/>
              <w:rPr>
                <w:sz w:val="18"/>
              </w:rPr>
            </w:pPr>
            <w:r>
              <w:rPr>
                <w:sz w:val="18"/>
              </w:rPr>
              <w:t>A revised legal framework shall support the optimisation of the licensing process and allow the presentation of the</w:t>
            </w:r>
            <w:r>
              <w:rPr>
                <w:spacing w:val="1"/>
                <w:sz w:val="18"/>
              </w:rPr>
              <w:t xml:space="preserve"> </w:t>
            </w:r>
            <w:r>
              <w:rPr>
                <w:sz w:val="18"/>
              </w:rPr>
              <w:t>electronic</w:t>
            </w:r>
            <w:r>
              <w:rPr>
                <w:spacing w:val="-2"/>
                <w:sz w:val="18"/>
              </w:rPr>
              <w:t xml:space="preserve"> </w:t>
            </w:r>
            <w:r>
              <w:rPr>
                <w:sz w:val="18"/>
              </w:rPr>
              <w:t>communication</w:t>
            </w:r>
            <w:r>
              <w:rPr>
                <w:spacing w:val="-1"/>
                <w:sz w:val="18"/>
              </w:rPr>
              <w:t xml:space="preserve"> </w:t>
            </w:r>
            <w:r>
              <w:rPr>
                <w:sz w:val="18"/>
              </w:rPr>
              <w:t>infrastructure</w:t>
            </w:r>
            <w:r>
              <w:rPr>
                <w:spacing w:val="-2"/>
                <w:sz w:val="18"/>
              </w:rPr>
              <w:t xml:space="preserve"> </w:t>
            </w:r>
            <w:r>
              <w:rPr>
                <w:sz w:val="18"/>
              </w:rPr>
              <w:t>in</w:t>
            </w:r>
            <w:r>
              <w:rPr>
                <w:spacing w:val="-1"/>
                <w:sz w:val="18"/>
              </w:rPr>
              <w:t xml:space="preserve"> </w:t>
            </w:r>
            <w:r>
              <w:rPr>
                <w:sz w:val="18"/>
              </w:rPr>
              <w:t>spatial</w:t>
            </w:r>
            <w:r>
              <w:rPr>
                <w:spacing w:val="-3"/>
                <w:sz w:val="18"/>
              </w:rPr>
              <w:t xml:space="preserve"> </w:t>
            </w:r>
            <w:r>
              <w:rPr>
                <w:sz w:val="18"/>
              </w:rPr>
              <w:t>plans.</w:t>
            </w:r>
            <w:r>
              <w:rPr>
                <w:spacing w:val="-2"/>
                <w:sz w:val="18"/>
              </w:rPr>
              <w:t xml:space="preserve"> </w:t>
            </w:r>
            <w:r>
              <w:rPr>
                <w:sz w:val="18"/>
              </w:rPr>
              <w:t>The</w:t>
            </w:r>
            <w:r>
              <w:rPr>
                <w:spacing w:val="-4"/>
                <w:sz w:val="18"/>
              </w:rPr>
              <w:t xml:space="preserve"> </w:t>
            </w:r>
            <w:r>
              <w:rPr>
                <w:sz w:val="18"/>
              </w:rPr>
              <w:t>new</w:t>
            </w:r>
            <w:r>
              <w:rPr>
                <w:spacing w:val="-2"/>
                <w:sz w:val="18"/>
              </w:rPr>
              <w:t xml:space="preserve"> </w:t>
            </w:r>
            <w:r>
              <w:rPr>
                <w:sz w:val="18"/>
              </w:rPr>
              <w:t>framework</w:t>
            </w:r>
            <w:r>
              <w:rPr>
                <w:spacing w:val="-3"/>
                <w:sz w:val="18"/>
              </w:rPr>
              <w:t xml:space="preserve"> </w:t>
            </w:r>
            <w:r>
              <w:rPr>
                <w:sz w:val="18"/>
              </w:rPr>
              <w:t>shall</w:t>
            </w:r>
            <w:r>
              <w:rPr>
                <w:spacing w:val="-1"/>
                <w:sz w:val="18"/>
              </w:rPr>
              <w:t xml:space="preserve"> </w:t>
            </w:r>
            <w:r>
              <w:rPr>
                <w:sz w:val="18"/>
              </w:rPr>
              <w:t>address</w:t>
            </w:r>
            <w:r>
              <w:rPr>
                <w:spacing w:val="-3"/>
                <w:sz w:val="18"/>
              </w:rPr>
              <w:t xml:space="preserve"> </w:t>
            </w:r>
            <w:r>
              <w:rPr>
                <w:sz w:val="18"/>
              </w:rPr>
              <w:t>administrative</w:t>
            </w:r>
            <w:r>
              <w:rPr>
                <w:spacing w:val="-2"/>
                <w:sz w:val="18"/>
              </w:rPr>
              <w:t xml:space="preserve"> </w:t>
            </w:r>
            <w:r>
              <w:rPr>
                <w:sz w:val="18"/>
              </w:rPr>
              <w:t>burden</w:t>
            </w:r>
            <w:r>
              <w:rPr>
                <w:spacing w:val="-3"/>
                <w:sz w:val="18"/>
              </w:rPr>
              <w:t xml:space="preserve"> </w:t>
            </w:r>
            <w:r>
              <w:rPr>
                <w:sz w:val="18"/>
              </w:rPr>
              <w:t>and</w:t>
            </w:r>
          </w:p>
          <w:p w:rsidR="00A56FE9" w:rsidRDefault="00000000">
            <w:pPr>
              <w:pStyle w:val="TableParagraph"/>
              <w:spacing w:line="192" w:lineRule="exact"/>
              <w:ind w:left="104"/>
              <w:rPr>
                <w:sz w:val="18"/>
              </w:rPr>
            </w:pPr>
            <w:r>
              <w:rPr>
                <w:sz w:val="18"/>
              </w:rPr>
              <w:t>regulatory</w:t>
            </w:r>
            <w:r>
              <w:rPr>
                <w:spacing w:val="-6"/>
                <w:sz w:val="18"/>
              </w:rPr>
              <w:t xml:space="preserve"> </w:t>
            </w:r>
            <w:r>
              <w:rPr>
                <w:sz w:val="18"/>
              </w:rPr>
              <w:t>barriers</w:t>
            </w:r>
            <w:r>
              <w:rPr>
                <w:spacing w:val="-2"/>
                <w:sz w:val="18"/>
              </w:rPr>
              <w:t xml:space="preserve"> </w:t>
            </w:r>
            <w:r>
              <w:rPr>
                <w:sz w:val="18"/>
              </w:rPr>
              <w:t>related to the</w:t>
            </w:r>
            <w:r>
              <w:rPr>
                <w:spacing w:val="-2"/>
                <w:sz w:val="18"/>
              </w:rPr>
              <w:t xml:space="preserve"> </w:t>
            </w:r>
            <w:r>
              <w:rPr>
                <w:sz w:val="18"/>
              </w:rPr>
              <w:t>construction of</w:t>
            </w:r>
            <w:r>
              <w:rPr>
                <w:spacing w:val="-3"/>
                <w:sz w:val="18"/>
              </w:rPr>
              <w:t xml:space="preserve"> </w:t>
            </w:r>
            <w:r>
              <w:rPr>
                <w:sz w:val="18"/>
              </w:rPr>
              <w:t>very</w:t>
            </w:r>
            <w:r>
              <w:rPr>
                <w:spacing w:val="-1"/>
                <w:sz w:val="18"/>
              </w:rPr>
              <w:t xml:space="preserve"> </w:t>
            </w:r>
            <w:r>
              <w:rPr>
                <w:sz w:val="18"/>
              </w:rPr>
              <w:t>high capacity</w:t>
            </w:r>
            <w:r>
              <w:rPr>
                <w:spacing w:val="-2"/>
                <w:sz w:val="18"/>
              </w:rPr>
              <w:t xml:space="preserve"> </w:t>
            </w:r>
            <w:r>
              <w:rPr>
                <w:sz w:val="18"/>
              </w:rPr>
              <w:t>networks,</w:t>
            </w:r>
            <w:r>
              <w:rPr>
                <w:spacing w:val="-1"/>
                <w:sz w:val="18"/>
              </w:rPr>
              <w:t xml:space="preserve"> </w:t>
            </w:r>
            <w:r>
              <w:rPr>
                <w:sz w:val="18"/>
              </w:rPr>
              <w:t>including</w:t>
            </w:r>
            <w:r>
              <w:rPr>
                <w:spacing w:val="-2"/>
                <w:sz w:val="18"/>
              </w:rPr>
              <w:t xml:space="preserve"> </w:t>
            </w:r>
            <w:r>
              <w:rPr>
                <w:sz w:val="18"/>
              </w:rPr>
              <w:t>5G</w:t>
            </w:r>
            <w:r>
              <w:rPr>
                <w:spacing w:val="-4"/>
                <w:sz w:val="18"/>
              </w:rPr>
              <w:t xml:space="preserve"> </w:t>
            </w:r>
            <w:r>
              <w:rPr>
                <w:sz w:val="18"/>
              </w:rPr>
              <w:t>networks.</w:t>
            </w:r>
          </w:p>
        </w:tc>
      </w:tr>
      <w:tr w:rsidR="00A56FE9">
        <w:trPr>
          <w:trHeight w:val="621"/>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spacing w:line="181" w:lineRule="exact"/>
              <w:ind w:left="105"/>
              <w:rPr>
                <w:sz w:val="16"/>
              </w:rPr>
            </w:pPr>
            <w:r>
              <w:rPr>
                <w:sz w:val="16"/>
              </w:rPr>
              <w:t>Digital</w:t>
            </w:r>
            <w:r>
              <w:rPr>
                <w:spacing w:val="-6"/>
                <w:sz w:val="16"/>
              </w:rPr>
              <w:t xml:space="preserve"> </w:t>
            </w:r>
            <w:r>
              <w:rPr>
                <w:sz w:val="16"/>
              </w:rPr>
              <w:t>Croatia</w:t>
            </w:r>
            <w:r>
              <w:rPr>
                <w:spacing w:val="-2"/>
                <w:sz w:val="16"/>
              </w:rPr>
              <w:t xml:space="preserve"> </w:t>
            </w:r>
            <w:r>
              <w:rPr>
                <w:sz w:val="16"/>
              </w:rPr>
              <w:t>Strategy</w:t>
            </w:r>
          </w:p>
        </w:tc>
        <w:tc>
          <w:tcPr>
            <w:tcW w:w="8928" w:type="dxa"/>
            <w:shd w:val="clear" w:color="auto" w:fill="C5EECE"/>
          </w:tcPr>
          <w:p w:rsidR="00A56FE9" w:rsidRDefault="00000000">
            <w:pPr>
              <w:pStyle w:val="TableParagraph"/>
              <w:spacing w:line="202" w:lineRule="exact"/>
              <w:ind w:left="104"/>
              <w:rPr>
                <w:sz w:val="18"/>
              </w:rPr>
            </w:pPr>
            <w:r>
              <w:rPr>
                <w:sz w:val="18"/>
              </w:rPr>
              <w:t>The</w:t>
            </w:r>
            <w:r>
              <w:rPr>
                <w:spacing w:val="-3"/>
                <w:sz w:val="18"/>
              </w:rPr>
              <w:t xml:space="preserve"> </w:t>
            </w:r>
            <w:r>
              <w:rPr>
                <w:sz w:val="18"/>
              </w:rPr>
              <w:t>2030 Digital</w:t>
            </w:r>
            <w:r>
              <w:rPr>
                <w:spacing w:val="-1"/>
                <w:sz w:val="18"/>
              </w:rPr>
              <w:t xml:space="preserve"> </w:t>
            </w:r>
            <w:r>
              <w:rPr>
                <w:sz w:val="18"/>
              </w:rPr>
              <w:t>Strategy</w:t>
            </w:r>
            <w:r>
              <w:rPr>
                <w:spacing w:val="-3"/>
                <w:sz w:val="18"/>
              </w:rPr>
              <w:t xml:space="preserve"> </w:t>
            </w:r>
            <w:r>
              <w:rPr>
                <w:sz w:val="18"/>
              </w:rPr>
              <w:t>for</w:t>
            </w:r>
            <w:r>
              <w:rPr>
                <w:spacing w:val="-1"/>
                <w:sz w:val="18"/>
              </w:rPr>
              <w:t xml:space="preserve"> </w:t>
            </w:r>
            <w:r>
              <w:rPr>
                <w:sz w:val="18"/>
              </w:rPr>
              <w:t>Croatia</w:t>
            </w:r>
            <w:r>
              <w:rPr>
                <w:spacing w:val="-2"/>
                <w:sz w:val="18"/>
              </w:rPr>
              <w:t xml:space="preserve"> </w:t>
            </w:r>
            <w:r>
              <w:rPr>
                <w:sz w:val="18"/>
              </w:rPr>
              <w:t>shall</w:t>
            </w:r>
            <w:r>
              <w:rPr>
                <w:spacing w:val="-1"/>
                <w:sz w:val="18"/>
              </w:rPr>
              <w:t xml:space="preserve"> </w:t>
            </w:r>
            <w:r>
              <w:rPr>
                <w:sz w:val="18"/>
              </w:rPr>
              <w:t>clearly</w:t>
            </w:r>
            <w:r>
              <w:rPr>
                <w:spacing w:val="-5"/>
                <w:sz w:val="18"/>
              </w:rPr>
              <w:t xml:space="preserve"> </w:t>
            </w:r>
            <w:r>
              <w:rPr>
                <w:sz w:val="18"/>
              </w:rPr>
              <w:t>define</w:t>
            </w:r>
            <w:r>
              <w:rPr>
                <w:spacing w:val="-2"/>
                <w:sz w:val="18"/>
              </w:rPr>
              <w:t xml:space="preserve"> </w:t>
            </w:r>
            <w:r>
              <w:rPr>
                <w:sz w:val="18"/>
              </w:rPr>
              <w:t>strategic</w:t>
            </w:r>
            <w:r>
              <w:rPr>
                <w:spacing w:val="1"/>
                <w:sz w:val="18"/>
              </w:rPr>
              <w:t xml:space="preserve"> </w:t>
            </w:r>
            <w:r>
              <w:rPr>
                <w:sz w:val="18"/>
              </w:rPr>
              <w:t>objectives</w:t>
            </w:r>
            <w:r>
              <w:rPr>
                <w:spacing w:val="-1"/>
                <w:sz w:val="18"/>
              </w:rPr>
              <w:t xml:space="preserve"> </w:t>
            </w:r>
            <w:r>
              <w:rPr>
                <w:sz w:val="18"/>
              </w:rPr>
              <w:t>and</w:t>
            </w:r>
            <w:r>
              <w:rPr>
                <w:spacing w:val="-3"/>
                <w:sz w:val="18"/>
              </w:rPr>
              <w:t xml:space="preserve"> </w:t>
            </w:r>
            <w:r>
              <w:rPr>
                <w:sz w:val="18"/>
              </w:rPr>
              <w:t>priorities</w:t>
            </w:r>
            <w:r>
              <w:rPr>
                <w:spacing w:val="-1"/>
                <w:sz w:val="18"/>
              </w:rPr>
              <w:t xml:space="preserve"> </w:t>
            </w:r>
            <w:r>
              <w:rPr>
                <w:sz w:val="18"/>
              </w:rPr>
              <w:t>that</w:t>
            </w:r>
            <w:r>
              <w:rPr>
                <w:spacing w:val="-1"/>
                <w:sz w:val="18"/>
              </w:rPr>
              <w:t xml:space="preserve"> </w:t>
            </w:r>
            <w:r>
              <w:rPr>
                <w:sz w:val="18"/>
              </w:rPr>
              <w:t>will</w:t>
            </w:r>
            <w:r>
              <w:rPr>
                <w:spacing w:val="-3"/>
                <w:sz w:val="18"/>
              </w:rPr>
              <w:t xml:space="preserve"> </w:t>
            </w:r>
            <w:r>
              <w:rPr>
                <w:sz w:val="18"/>
              </w:rPr>
              <w:t>form</w:t>
            </w:r>
            <w:r>
              <w:rPr>
                <w:spacing w:val="-5"/>
                <w:sz w:val="18"/>
              </w:rPr>
              <w:t xml:space="preserve"> </w:t>
            </w:r>
            <w:r>
              <w:rPr>
                <w:sz w:val="18"/>
              </w:rPr>
              <w:t>the</w:t>
            </w:r>
            <w:r>
              <w:rPr>
                <w:spacing w:val="-2"/>
                <w:sz w:val="18"/>
              </w:rPr>
              <w:t xml:space="preserve"> </w:t>
            </w:r>
            <w:r>
              <w:rPr>
                <w:sz w:val="18"/>
              </w:rPr>
              <w:t>basis</w:t>
            </w:r>
            <w:r>
              <w:rPr>
                <w:spacing w:val="-1"/>
                <w:sz w:val="18"/>
              </w:rPr>
              <w:t xml:space="preserve"> </w:t>
            </w:r>
            <w:r>
              <w:rPr>
                <w:sz w:val="18"/>
              </w:rPr>
              <w:t>for</w:t>
            </w:r>
          </w:p>
          <w:p w:rsidR="00A56FE9" w:rsidRDefault="00000000">
            <w:pPr>
              <w:pStyle w:val="TableParagraph"/>
              <w:spacing w:line="206" w:lineRule="exact"/>
              <w:ind w:left="104" w:right="206"/>
              <w:rPr>
                <w:sz w:val="18"/>
              </w:rPr>
            </w:pPr>
            <w:r>
              <w:rPr>
                <w:sz w:val="18"/>
              </w:rPr>
              <w:t>defining actions in the following areas: digitalisation of public administration and judiciary; development of broadband</w:t>
            </w:r>
            <w:r>
              <w:rPr>
                <w:spacing w:val="-42"/>
                <w:sz w:val="18"/>
              </w:rPr>
              <w:t xml:space="preserve"> </w:t>
            </w:r>
            <w:r>
              <w:rPr>
                <w:sz w:val="18"/>
              </w:rPr>
              <w:t>electronic</w:t>
            </w:r>
            <w:r>
              <w:rPr>
                <w:spacing w:val="-1"/>
                <w:sz w:val="18"/>
              </w:rPr>
              <w:t xml:space="preserve"> </w:t>
            </w:r>
            <w:r>
              <w:rPr>
                <w:sz w:val="18"/>
              </w:rPr>
              <w:t>communications</w:t>
            </w:r>
            <w:r>
              <w:rPr>
                <w:spacing w:val="-3"/>
                <w:sz w:val="18"/>
              </w:rPr>
              <w:t xml:space="preserve"> </w:t>
            </w:r>
            <w:r>
              <w:rPr>
                <w:sz w:val="18"/>
              </w:rPr>
              <w:t>networks; developing</w:t>
            </w:r>
            <w:r>
              <w:rPr>
                <w:spacing w:val="-2"/>
                <w:sz w:val="18"/>
              </w:rPr>
              <w:t xml:space="preserve"> </w:t>
            </w:r>
            <w:r>
              <w:rPr>
                <w:sz w:val="18"/>
              </w:rPr>
              <w:t>digital competences and digital jobs.</w:t>
            </w:r>
          </w:p>
        </w:tc>
      </w:tr>
      <w:tr w:rsidR="00A56FE9">
        <w:trPr>
          <w:trHeight w:val="412"/>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spacing w:line="202" w:lineRule="exact"/>
              <w:ind w:left="105"/>
              <w:rPr>
                <w:sz w:val="18"/>
              </w:rPr>
            </w:pPr>
            <w:r>
              <w:rPr>
                <w:sz w:val="18"/>
              </w:rPr>
              <w:t>Set-up</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platforms for</w:t>
            </w:r>
            <w:r>
              <w:rPr>
                <w:spacing w:val="-1"/>
                <w:sz w:val="18"/>
              </w:rPr>
              <w:t xml:space="preserve"> </w:t>
            </w:r>
            <w:r>
              <w:rPr>
                <w:sz w:val="18"/>
              </w:rPr>
              <w:t>the</w:t>
            </w:r>
            <w:r>
              <w:rPr>
                <w:spacing w:val="-1"/>
                <w:sz w:val="18"/>
              </w:rPr>
              <w:t xml:space="preserve"> </w:t>
            </w:r>
            <w:r>
              <w:rPr>
                <w:sz w:val="18"/>
              </w:rPr>
              <w:t>central</w:t>
            </w:r>
          </w:p>
          <w:p w:rsidR="00A56FE9" w:rsidRDefault="00000000">
            <w:pPr>
              <w:pStyle w:val="TableParagraph"/>
              <w:spacing w:line="191" w:lineRule="exact"/>
              <w:ind w:left="105"/>
              <w:rPr>
                <w:sz w:val="18"/>
              </w:rPr>
            </w:pPr>
            <w:r>
              <w:rPr>
                <w:sz w:val="18"/>
              </w:rPr>
              <w:t>interoperability</w:t>
            </w:r>
            <w:r>
              <w:rPr>
                <w:spacing w:val="-6"/>
                <w:sz w:val="18"/>
              </w:rPr>
              <w:t xml:space="preserve"> </w:t>
            </w:r>
            <w:r>
              <w:rPr>
                <w:sz w:val="18"/>
              </w:rPr>
              <w:t>system</w:t>
            </w:r>
          </w:p>
        </w:tc>
        <w:tc>
          <w:tcPr>
            <w:tcW w:w="8928" w:type="dxa"/>
            <w:shd w:val="clear" w:color="auto" w:fill="C5EECE"/>
          </w:tcPr>
          <w:p w:rsidR="00A56FE9" w:rsidRDefault="00000000">
            <w:pPr>
              <w:pStyle w:val="TableParagraph"/>
              <w:spacing w:line="202" w:lineRule="exact"/>
              <w:ind w:left="104"/>
              <w:rPr>
                <w:sz w:val="18"/>
              </w:rPr>
            </w:pPr>
            <w:r>
              <w:rPr>
                <w:sz w:val="18"/>
              </w:rPr>
              <w:t>Set-up</w:t>
            </w:r>
            <w:r>
              <w:rPr>
                <w:spacing w:val="-2"/>
                <w:sz w:val="18"/>
              </w:rPr>
              <w:t xml:space="preserve"> </w:t>
            </w:r>
            <w:r>
              <w:rPr>
                <w:sz w:val="18"/>
              </w:rPr>
              <w:t>of</w:t>
            </w:r>
            <w:r>
              <w:rPr>
                <w:spacing w:val="-3"/>
                <w:sz w:val="18"/>
              </w:rPr>
              <w:t xml:space="preserve"> </w:t>
            </w:r>
            <w:r>
              <w:rPr>
                <w:sz w:val="18"/>
              </w:rPr>
              <w:t>the</w:t>
            </w:r>
            <w:r>
              <w:rPr>
                <w:spacing w:val="-1"/>
                <w:sz w:val="18"/>
              </w:rPr>
              <w:t xml:space="preserve"> </w:t>
            </w:r>
            <w:r>
              <w:rPr>
                <w:sz w:val="18"/>
              </w:rPr>
              <w:t>platforms</w:t>
            </w:r>
            <w:r>
              <w:rPr>
                <w:spacing w:val="-1"/>
                <w:sz w:val="18"/>
              </w:rPr>
              <w:t xml:space="preserve"> </w:t>
            </w:r>
            <w:r>
              <w:rPr>
                <w:sz w:val="18"/>
              </w:rPr>
              <w:t>for the</w:t>
            </w:r>
            <w:r>
              <w:rPr>
                <w:spacing w:val="-2"/>
                <w:sz w:val="18"/>
              </w:rPr>
              <w:t xml:space="preserve"> </w:t>
            </w:r>
            <w:r>
              <w:rPr>
                <w:sz w:val="18"/>
              </w:rPr>
              <w:t>central interoperability</w:t>
            </w:r>
            <w:r>
              <w:rPr>
                <w:spacing w:val="-4"/>
                <w:sz w:val="18"/>
              </w:rPr>
              <w:t xml:space="preserve"> </w:t>
            </w:r>
            <w:r>
              <w:rPr>
                <w:sz w:val="18"/>
              </w:rPr>
              <w:t>system</w:t>
            </w:r>
          </w:p>
        </w:tc>
      </w:tr>
      <w:tr w:rsidR="00A56FE9">
        <w:trPr>
          <w:trHeight w:val="1449"/>
        </w:trPr>
        <w:tc>
          <w:tcPr>
            <w:tcW w:w="2060" w:type="dxa"/>
            <w:vMerge/>
            <w:tcBorders>
              <w:top w:val="nil"/>
            </w:tcBorders>
            <w:shd w:val="clear" w:color="auto" w:fill="F1F1F1"/>
          </w:tcPr>
          <w:p w:rsidR="00A56FE9" w:rsidRDefault="00A56FE9">
            <w:pPr>
              <w:rPr>
                <w:sz w:val="2"/>
                <w:szCs w:val="2"/>
              </w:rPr>
            </w:pPr>
          </w:p>
        </w:tc>
        <w:tc>
          <w:tcPr>
            <w:tcW w:w="3474" w:type="dxa"/>
            <w:shd w:val="clear" w:color="auto" w:fill="C5EECE"/>
          </w:tcPr>
          <w:p w:rsidR="00A56FE9" w:rsidRDefault="00000000">
            <w:pPr>
              <w:pStyle w:val="TableParagraph"/>
              <w:spacing w:line="202" w:lineRule="exact"/>
              <w:ind w:left="105"/>
              <w:rPr>
                <w:sz w:val="18"/>
              </w:rPr>
            </w:pPr>
            <w:r>
              <w:rPr>
                <w:sz w:val="18"/>
              </w:rPr>
              <w:t>Upgrade</w:t>
            </w:r>
            <w:r>
              <w:rPr>
                <w:spacing w:val="-2"/>
                <w:sz w:val="18"/>
              </w:rPr>
              <w:t xml:space="preserve"> </w:t>
            </w:r>
            <w:r>
              <w:rPr>
                <w:sz w:val="18"/>
              </w:rPr>
              <w:t>of</w:t>
            </w:r>
            <w:r>
              <w:rPr>
                <w:spacing w:val="-2"/>
                <w:sz w:val="18"/>
              </w:rPr>
              <w:t xml:space="preserve"> </w:t>
            </w:r>
            <w:r>
              <w:rPr>
                <w:sz w:val="18"/>
              </w:rPr>
              <w:t>the</w:t>
            </w:r>
            <w:r>
              <w:rPr>
                <w:spacing w:val="-1"/>
                <w:sz w:val="18"/>
              </w:rPr>
              <w:t xml:space="preserve"> </w:t>
            </w:r>
            <w:r>
              <w:rPr>
                <w:sz w:val="18"/>
              </w:rPr>
              <w:t>State</w:t>
            </w:r>
            <w:r>
              <w:rPr>
                <w:spacing w:val="-1"/>
                <w:sz w:val="18"/>
              </w:rPr>
              <w:t xml:space="preserve"> </w:t>
            </w:r>
            <w:r>
              <w:rPr>
                <w:sz w:val="18"/>
              </w:rPr>
              <w:t>Cloud</w:t>
            </w:r>
          </w:p>
        </w:tc>
        <w:tc>
          <w:tcPr>
            <w:tcW w:w="8928" w:type="dxa"/>
            <w:shd w:val="clear" w:color="auto" w:fill="C5EECE"/>
          </w:tcPr>
          <w:p w:rsidR="00A56FE9" w:rsidRDefault="00000000">
            <w:pPr>
              <w:pStyle w:val="TableParagraph"/>
              <w:spacing w:line="202" w:lineRule="exact"/>
              <w:ind w:left="104"/>
              <w:rPr>
                <w:sz w:val="18"/>
              </w:rPr>
            </w:pPr>
            <w:r>
              <w:rPr>
                <w:sz w:val="18"/>
              </w:rPr>
              <w:t>Six</w:t>
            </w:r>
            <w:r>
              <w:rPr>
                <w:spacing w:val="-3"/>
                <w:sz w:val="18"/>
              </w:rPr>
              <w:t xml:space="preserve"> </w:t>
            </w:r>
            <w:r>
              <w:rPr>
                <w:sz w:val="18"/>
              </w:rPr>
              <w:t>new</w:t>
            </w:r>
            <w:r>
              <w:rPr>
                <w:spacing w:val="-4"/>
                <w:sz w:val="18"/>
              </w:rPr>
              <w:t xml:space="preserve"> </w:t>
            </w:r>
            <w:r>
              <w:rPr>
                <w:sz w:val="18"/>
              </w:rPr>
              <w:t>functionalities</w:t>
            </w:r>
            <w:r>
              <w:rPr>
                <w:spacing w:val="-1"/>
                <w:sz w:val="18"/>
              </w:rPr>
              <w:t xml:space="preserve"> </w:t>
            </w:r>
            <w:r>
              <w:rPr>
                <w:sz w:val="18"/>
              </w:rPr>
              <w:t>shall</w:t>
            </w:r>
            <w:r>
              <w:rPr>
                <w:spacing w:val="-3"/>
                <w:sz w:val="18"/>
              </w:rPr>
              <w:t xml:space="preserve"> </w:t>
            </w:r>
            <w:r>
              <w:rPr>
                <w:sz w:val="18"/>
              </w:rPr>
              <w:t>be</w:t>
            </w:r>
            <w:r>
              <w:rPr>
                <w:spacing w:val="-2"/>
                <w:sz w:val="18"/>
              </w:rPr>
              <w:t xml:space="preserve"> </w:t>
            </w:r>
            <w:r>
              <w:rPr>
                <w:sz w:val="18"/>
              </w:rPr>
              <w:t>operational</w:t>
            </w:r>
            <w:r>
              <w:rPr>
                <w:spacing w:val="-1"/>
                <w:sz w:val="18"/>
              </w:rPr>
              <w:t xml:space="preserve"> </w:t>
            </w:r>
            <w:r>
              <w:rPr>
                <w:sz w:val="18"/>
              </w:rPr>
              <w:t>for</w:t>
            </w:r>
            <w:r>
              <w:rPr>
                <w:spacing w:val="-3"/>
                <w:sz w:val="18"/>
              </w:rPr>
              <w:t xml:space="preserve"> </w:t>
            </w:r>
            <w:r>
              <w:rPr>
                <w:sz w:val="18"/>
              </w:rPr>
              <w:t>use</w:t>
            </w:r>
            <w:r>
              <w:rPr>
                <w:spacing w:val="-2"/>
                <w:sz w:val="18"/>
              </w:rPr>
              <w:t xml:space="preserve"> </w:t>
            </w:r>
            <w:r>
              <w:rPr>
                <w:sz w:val="18"/>
              </w:rPr>
              <w:t>in the</w:t>
            </w:r>
            <w:r>
              <w:rPr>
                <w:spacing w:val="-3"/>
                <w:sz w:val="18"/>
              </w:rPr>
              <w:t xml:space="preserve"> </w:t>
            </w:r>
            <w:r>
              <w:rPr>
                <w:sz w:val="18"/>
              </w:rPr>
              <w:t>State</w:t>
            </w:r>
            <w:r>
              <w:rPr>
                <w:spacing w:val="-2"/>
                <w:sz w:val="18"/>
              </w:rPr>
              <w:t xml:space="preserve"> </w:t>
            </w:r>
            <w:r>
              <w:rPr>
                <w:sz w:val="18"/>
              </w:rPr>
              <w:t>cloud (CDU)</w:t>
            </w:r>
            <w:r>
              <w:rPr>
                <w:spacing w:val="-1"/>
                <w:sz w:val="18"/>
              </w:rPr>
              <w:t xml:space="preserve"> </w:t>
            </w:r>
            <w:r>
              <w:rPr>
                <w:sz w:val="18"/>
              </w:rPr>
              <w:t>and accessible</w:t>
            </w:r>
            <w:r>
              <w:rPr>
                <w:spacing w:val="-1"/>
                <w:sz w:val="18"/>
              </w:rPr>
              <w:t xml:space="preserve"> </w:t>
            </w:r>
            <w:r>
              <w:rPr>
                <w:sz w:val="18"/>
              </w:rPr>
              <w:t>to</w:t>
            </w:r>
            <w:r>
              <w:rPr>
                <w:spacing w:val="-2"/>
                <w:sz w:val="18"/>
              </w:rPr>
              <w:t xml:space="preserve"> </w:t>
            </w:r>
            <w:r>
              <w:rPr>
                <w:sz w:val="18"/>
              </w:rPr>
              <w:t>users:</w:t>
            </w:r>
          </w:p>
          <w:p w:rsidR="00A56FE9" w:rsidRDefault="00000000">
            <w:pPr>
              <w:pStyle w:val="TableParagraph"/>
              <w:spacing w:before="2"/>
              <w:ind w:left="104"/>
              <w:rPr>
                <w:sz w:val="18"/>
              </w:rPr>
            </w:pPr>
            <w:r>
              <w:rPr>
                <w:sz w:val="18"/>
              </w:rPr>
              <w:t>-A</w:t>
            </w:r>
            <w:r>
              <w:rPr>
                <w:spacing w:val="-5"/>
                <w:sz w:val="18"/>
              </w:rPr>
              <w:t xml:space="preserve"> </w:t>
            </w:r>
            <w:r>
              <w:rPr>
                <w:sz w:val="18"/>
              </w:rPr>
              <w:t>platform</w:t>
            </w:r>
            <w:r>
              <w:rPr>
                <w:spacing w:val="-2"/>
                <w:sz w:val="18"/>
              </w:rPr>
              <w:t xml:space="preserve"> </w:t>
            </w:r>
            <w:r>
              <w:rPr>
                <w:sz w:val="18"/>
              </w:rPr>
              <w:t>for</w:t>
            </w:r>
            <w:r>
              <w:rPr>
                <w:spacing w:val="-1"/>
                <w:sz w:val="18"/>
              </w:rPr>
              <w:t xml:space="preserve"> </w:t>
            </w:r>
            <w:r>
              <w:rPr>
                <w:sz w:val="18"/>
              </w:rPr>
              <w:t>the</w:t>
            </w:r>
            <w:r>
              <w:rPr>
                <w:spacing w:val="-3"/>
                <w:sz w:val="18"/>
              </w:rPr>
              <w:t xml:space="preserve"> </w:t>
            </w:r>
            <w:r>
              <w:rPr>
                <w:sz w:val="18"/>
              </w:rPr>
              <w:t>development,</w:t>
            </w:r>
            <w:r>
              <w:rPr>
                <w:spacing w:val="-3"/>
                <w:sz w:val="18"/>
              </w:rPr>
              <w:t xml:space="preserve"> </w:t>
            </w:r>
            <w:r>
              <w:rPr>
                <w:sz w:val="18"/>
              </w:rPr>
              <w:t>implementation and</w:t>
            </w:r>
            <w:r>
              <w:rPr>
                <w:spacing w:val="-3"/>
                <w:sz w:val="18"/>
              </w:rPr>
              <w:t xml:space="preserve"> </w:t>
            </w:r>
            <w:r>
              <w:rPr>
                <w:sz w:val="18"/>
              </w:rPr>
              <w:t>testing</w:t>
            </w:r>
            <w:r>
              <w:rPr>
                <w:spacing w:val="-2"/>
                <w:sz w:val="18"/>
              </w:rPr>
              <w:t xml:space="preserve"> </w:t>
            </w:r>
            <w:r>
              <w:rPr>
                <w:sz w:val="18"/>
              </w:rPr>
              <w:t>of</w:t>
            </w:r>
            <w:r>
              <w:rPr>
                <w:spacing w:val="-3"/>
                <w:sz w:val="18"/>
              </w:rPr>
              <w:t xml:space="preserve"> </w:t>
            </w:r>
            <w:r>
              <w:rPr>
                <w:sz w:val="18"/>
              </w:rPr>
              <w:t>applications</w:t>
            </w:r>
            <w:r>
              <w:rPr>
                <w:spacing w:val="-2"/>
                <w:sz w:val="18"/>
              </w:rPr>
              <w:t xml:space="preserve"> </w:t>
            </w:r>
            <w:r>
              <w:rPr>
                <w:sz w:val="18"/>
              </w:rPr>
              <w:t>for</w:t>
            </w:r>
            <w:r>
              <w:rPr>
                <w:spacing w:val="-1"/>
                <w:sz w:val="18"/>
              </w:rPr>
              <w:t xml:space="preserve"> </w:t>
            </w:r>
            <w:r>
              <w:rPr>
                <w:sz w:val="18"/>
              </w:rPr>
              <w:t>users,</w:t>
            </w:r>
          </w:p>
          <w:p w:rsidR="00A56FE9" w:rsidRDefault="00000000">
            <w:pPr>
              <w:pStyle w:val="TableParagraph"/>
              <w:spacing w:line="207" w:lineRule="exact"/>
              <w:ind w:left="104"/>
              <w:rPr>
                <w:sz w:val="18"/>
              </w:rPr>
            </w:pPr>
            <w:r>
              <w:rPr>
                <w:sz w:val="18"/>
              </w:rPr>
              <w:t>-A</w:t>
            </w:r>
            <w:r>
              <w:rPr>
                <w:spacing w:val="-4"/>
                <w:sz w:val="18"/>
              </w:rPr>
              <w:t xml:space="preserve"> </w:t>
            </w:r>
            <w:r>
              <w:rPr>
                <w:sz w:val="18"/>
              </w:rPr>
              <w:t>platform</w:t>
            </w:r>
            <w:r>
              <w:rPr>
                <w:spacing w:val="-1"/>
                <w:sz w:val="18"/>
              </w:rPr>
              <w:t xml:space="preserve"> </w:t>
            </w:r>
            <w:r>
              <w:rPr>
                <w:sz w:val="18"/>
              </w:rPr>
              <w:t>for</w:t>
            </w:r>
            <w:r>
              <w:rPr>
                <w:spacing w:val="1"/>
                <w:sz w:val="18"/>
              </w:rPr>
              <w:t xml:space="preserve"> </w:t>
            </w:r>
            <w:r>
              <w:rPr>
                <w:sz w:val="18"/>
              </w:rPr>
              <w:t>ICT</w:t>
            </w:r>
            <w:r>
              <w:rPr>
                <w:spacing w:val="-2"/>
                <w:sz w:val="18"/>
              </w:rPr>
              <w:t xml:space="preserve"> </w:t>
            </w:r>
            <w:r>
              <w:rPr>
                <w:sz w:val="18"/>
              </w:rPr>
              <w:t>support,</w:t>
            </w:r>
          </w:p>
          <w:p w:rsidR="00A56FE9" w:rsidRDefault="00000000">
            <w:pPr>
              <w:pStyle w:val="TableParagraph"/>
              <w:spacing w:line="206" w:lineRule="exact"/>
              <w:ind w:left="104"/>
              <w:rPr>
                <w:sz w:val="18"/>
              </w:rPr>
            </w:pPr>
            <w:r>
              <w:rPr>
                <w:sz w:val="18"/>
              </w:rPr>
              <w:t>-A</w:t>
            </w:r>
            <w:r>
              <w:rPr>
                <w:spacing w:val="-5"/>
                <w:sz w:val="18"/>
              </w:rPr>
              <w:t xml:space="preserve"> </w:t>
            </w:r>
            <w:r>
              <w:rPr>
                <w:sz w:val="18"/>
              </w:rPr>
              <w:t>central</w:t>
            </w:r>
            <w:r>
              <w:rPr>
                <w:spacing w:val="-1"/>
                <w:sz w:val="18"/>
              </w:rPr>
              <w:t xml:space="preserve"> </w:t>
            </w:r>
            <w:r>
              <w:rPr>
                <w:sz w:val="18"/>
              </w:rPr>
              <w:t>information</w:t>
            </w:r>
            <w:r>
              <w:rPr>
                <w:spacing w:val="-1"/>
                <w:sz w:val="18"/>
              </w:rPr>
              <w:t xml:space="preserve"> </w:t>
            </w:r>
            <w:r>
              <w:rPr>
                <w:sz w:val="18"/>
              </w:rPr>
              <w:t>security</w:t>
            </w:r>
            <w:r>
              <w:rPr>
                <w:spacing w:val="-3"/>
                <w:sz w:val="18"/>
              </w:rPr>
              <w:t xml:space="preserve"> </w:t>
            </w:r>
            <w:r>
              <w:rPr>
                <w:sz w:val="18"/>
              </w:rPr>
              <w:t>monitoring</w:t>
            </w:r>
            <w:r>
              <w:rPr>
                <w:spacing w:val="-2"/>
                <w:sz w:val="18"/>
              </w:rPr>
              <w:t xml:space="preserve"> </w:t>
            </w:r>
            <w:r>
              <w:rPr>
                <w:sz w:val="18"/>
              </w:rPr>
              <w:t>system</w:t>
            </w:r>
            <w:r>
              <w:rPr>
                <w:spacing w:val="-3"/>
                <w:sz w:val="18"/>
              </w:rPr>
              <w:t xml:space="preserve"> </w:t>
            </w:r>
            <w:r>
              <w:rPr>
                <w:sz w:val="18"/>
              </w:rPr>
              <w:t>for</w:t>
            </w:r>
            <w:r>
              <w:rPr>
                <w:spacing w:val="-1"/>
                <w:sz w:val="18"/>
              </w:rPr>
              <w:t xml:space="preserve"> </w:t>
            </w:r>
            <w:r>
              <w:rPr>
                <w:sz w:val="18"/>
              </w:rPr>
              <w:t>managing</w:t>
            </w:r>
            <w:r>
              <w:rPr>
                <w:spacing w:val="-3"/>
                <w:sz w:val="18"/>
              </w:rPr>
              <w:t xml:space="preserve"> </w:t>
            </w:r>
            <w:r>
              <w:rPr>
                <w:sz w:val="18"/>
              </w:rPr>
              <w:t>potential</w:t>
            </w:r>
            <w:r>
              <w:rPr>
                <w:spacing w:val="-1"/>
                <w:sz w:val="18"/>
              </w:rPr>
              <w:t xml:space="preserve"> </w:t>
            </w:r>
            <w:r>
              <w:rPr>
                <w:sz w:val="18"/>
              </w:rPr>
              <w:t>security</w:t>
            </w:r>
            <w:r>
              <w:rPr>
                <w:spacing w:val="-6"/>
                <w:sz w:val="18"/>
              </w:rPr>
              <w:t xml:space="preserve"> </w:t>
            </w:r>
            <w:r>
              <w:rPr>
                <w:sz w:val="18"/>
              </w:rPr>
              <w:t>events,</w:t>
            </w:r>
          </w:p>
          <w:p w:rsidR="00A56FE9" w:rsidRDefault="00000000">
            <w:pPr>
              <w:pStyle w:val="TableParagraph"/>
              <w:spacing w:line="207" w:lineRule="exact"/>
              <w:ind w:left="104"/>
              <w:rPr>
                <w:sz w:val="18"/>
              </w:rPr>
            </w:pPr>
            <w:r>
              <w:rPr>
                <w:sz w:val="18"/>
              </w:rPr>
              <w:t>-A</w:t>
            </w:r>
            <w:r>
              <w:rPr>
                <w:spacing w:val="-6"/>
                <w:sz w:val="18"/>
              </w:rPr>
              <w:t xml:space="preserve"> </w:t>
            </w:r>
            <w:r>
              <w:rPr>
                <w:sz w:val="18"/>
              </w:rPr>
              <w:t>Biometric</w:t>
            </w:r>
            <w:r>
              <w:rPr>
                <w:spacing w:val="-1"/>
                <w:sz w:val="18"/>
              </w:rPr>
              <w:t xml:space="preserve"> </w:t>
            </w:r>
            <w:r>
              <w:rPr>
                <w:sz w:val="18"/>
              </w:rPr>
              <w:t>Authentication</w:t>
            </w:r>
            <w:r>
              <w:rPr>
                <w:spacing w:val="-3"/>
                <w:sz w:val="18"/>
              </w:rPr>
              <w:t xml:space="preserve"> </w:t>
            </w:r>
            <w:r>
              <w:rPr>
                <w:sz w:val="18"/>
              </w:rPr>
              <w:t>Platform,</w:t>
            </w:r>
          </w:p>
          <w:p w:rsidR="00A56FE9" w:rsidRDefault="00000000">
            <w:pPr>
              <w:pStyle w:val="TableParagraph"/>
              <w:spacing w:before="1" w:line="207" w:lineRule="exact"/>
              <w:ind w:left="104"/>
              <w:rPr>
                <w:sz w:val="18"/>
              </w:rPr>
            </w:pPr>
            <w:r>
              <w:rPr>
                <w:sz w:val="18"/>
              </w:rPr>
              <w:t>-A</w:t>
            </w:r>
            <w:r>
              <w:rPr>
                <w:spacing w:val="-4"/>
                <w:sz w:val="18"/>
              </w:rPr>
              <w:t xml:space="preserve"> </w:t>
            </w:r>
            <w:r>
              <w:rPr>
                <w:sz w:val="18"/>
              </w:rPr>
              <w:t>platform</w:t>
            </w:r>
            <w:r>
              <w:rPr>
                <w:spacing w:val="-3"/>
                <w:sz w:val="18"/>
              </w:rPr>
              <w:t xml:space="preserve"> </w:t>
            </w:r>
            <w:r>
              <w:rPr>
                <w:sz w:val="18"/>
              </w:rPr>
              <w:t>to manage</w:t>
            </w:r>
            <w:r>
              <w:rPr>
                <w:spacing w:val="-1"/>
                <w:sz w:val="18"/>
              </w:rPr>
              <w:t xml:space="preserve"> </w:t>
            </w:r>
            <w:r>
              <w:rPr>
                <w:sz w:val="18"/>
              </w:rPr>
              <w:t>the</w:t>
            </w:r>
            <w:r>
              <w:rPr>
                <w:spacing w:val="-1"/>
                <w:sz w:val="18"/>
              </w:rPr>
              <w:t xml:space="preserve"> </w:t>
            </w:r>
            <w:r>
              <w:rPr>
                <w:sz w:val="18"/>
              </w:rPr>
              <w:t>digital</w:t>
            </w:r>
            <w:r>
              <w:rPr>
                <w:spacing w:val="-1"/>
                <w:sz w:val="18"/>
              </w:rPr>
              <w:t xml:space="preserve"> </w:t>
            </w:r>
            <w:r>
              <w:rPr>
                <w:sz w:val="18"/>
              </w:rPr>
              <w:t>content</w:t>
            </w:r>
            <w:r>
              <w:rPr>
                <w:spacing w:val="-2"/>
                <w:sz w:val="18"/>
              </w:rPr>
              <w:t xml:space="preserve"> </w:t>
            </w:r>
            <w:r>
              <w:rPr>
                <w:sz w:val="18"/>
              </w:rPr>
              <w:t>of</w:t>
            </w:r>
            <w:r>
              <w:rPr>
                <w:spacing w:val="-3"/>
                <w:sz w:val="18"/>
              </w:rPr>
              <w:t xml:space="preserve"> </w:t>
            </w:r>
            <w:r>
              <w:rPr>
                <w:sz w:val="18"/>
              </w:rPr>
              <w:t>the</w:t>
            </w:r>
            <w:r>
              <w:rPr>
                <w:spacing w:val="-1"/>
                <w:sz w:val="18"/>
              </w:rPr>
              <w:t xml:space="preserve"> </w:t>
            </w:r>
            <w:r>
              <w:rPr>
                <w:sz w:val="18"/>
              </w:rPr>
              <w:t>websites,</w:t>
            </w:r>
          </w:p>
          <w:p w:rsidR="00A56FE9" w:rsidRDefault="00000000">
            <w:pPr>
              <w:pStyle w:val="TableParagraph"/>
              <w:spacing w:line="191" w:lineRule="exact"/>
              <w:ind w:left="104"/>
              <w:rPr>
                <w:sz w:val="18"/>
              </w:rPr>
            </w:pPr>
            <w:r>
              <w:rPr>
                <w:sz w:val="18"/>
              </w:rPr>
              <w:t>-A</w:t>
            </w:r>
            <w:r>
              <w:rPr>
                <w:spacing w:val="-4"/>
                <w:sz w:val="18"/>
              </w:rPr>
              <w:t xml:space="preserve"> </w:t>
            </w:r>
            <w:r>
              <w:rPr>
                <w:sz w:val="18"/>
              </w:rPr>
              <w:t>platform</w:t>
            </w:r>
            <w:r>
              <w:rPr>
                <w:spacing w:val="-2"/>
                <w:sz w:val="18"/>
              </w:rPr>
              <w:t xml:space="preserve"> </w:t>
            </w:r>
            <w:r>
              <w:rPr>
                <w:sz w:val="18"/>
              </w:rPr>
              <w:t>for</w:t>
            </w:r>
            <w:r>
              <w:rPr>
                <w:spacing w:val="-1"/>
                <w:sz w:val="18"/>
              </w:rPr>
              <w:t xml:space="preserve"> </w:t>
            </w:r>
            <w:r>
              <w:rPr>
                <w:sz w:val="18"/>
              </w:rPr>
              <w:t>the</w:t>
            </w:r>
            <w:r>
              <w:rPr>
                <w:spacing w:val="-2"/>
                <w:sz w:val="18"/>
              </w:rPr>
              <w:t xml:space="preserve"> </w:t>
            </w:r>
            <w:r>
              <w:rPr>
                <w:sz w:val="18"/>
              </w:rPr>
              <w:t>development</w:t>
            </w:r>
            <w:r>
              <w:rPr>
                <w:spacing w:val="-1"/>
                <w:sz w:val="18"/>
              </w:rPr>
              <w:t xml:space="preserve"> </w:t>
            </w:r>
            <w:r>
              <w:rPr>
                <w:sz w:val="18"/>
              </w:rPr>
              <w:t>of</w:t>
            </w:r>
            <w:r>
              <w:rPr>
                <w:spacing w:val="-3"/>
                <w:sz w:val="18"/>
              </w:rPr>
              <w:t xml:space="preserve"> </w:t>
            </w:r>
            <w:r>
              <w:rPr>
                <w:sz w:val="18"/>
              </w:rPr>
              <w:t>block-chain technologies</w:t>
            </w:r>
            <w:r>
              <w:rPr>
                <w:spacing w:val="-2"/>
                <w:sz w:val="18"/>
              </w:rPr>
              <w:t xml:space="preserve"> </w:t>
            </w:r>
            <w:r>
              <w:rPr>
                <w:sz w:val="18"/>
              </w:rPr>
              <w:t>for</w:t>
            </w:r>
            <w:r>
              <w:rPr>
                <w:spacing w:val="-1"/>
                <w:sz w:val="18"/>
              </w:rPr>
              <w:t xml:space="preserve"> </w:t>
            </w:r>
            <w:r>
              <w:rPr>
                <w:sz w:val="18"/>
              </w:rPr>
              <w:t>the</w:t>
            </w:r>
            <w:r>
              <w:rPr>
                <w:spacing w:val="-1"/>
                <w:sz w:val="18"/>
              </w:rPr>
              <w:t xml:space="preserve"> </w:t>
            </w:r>
            <w:r>
              <w:rPr>
                <w:sz w:val="18"/>
              </w:rPr>
              <w:t>State</w:t>
            </w:r>
            <w:r>
              <w:rPr>
                <w:spacing w:val="-2"/>
                <w:sz w:val="18"/>
              </w:rPr>
              <w:t xml:space="preserve"> </w:t>
            </w:r>
            <w:r>
              <w:rPr>
                <w:sz w:val="18"/>
              </w:rPr>
              <w:t>cloud.</w:t>
            </w:r>
          </w:p>
        </w:tc>
      </w:tr>
      <w:tr w:rsidR="00A56FE9">
        <w:trPr>
          <w:trHeight w:val="621"/>
        </w:trPr>
        <w:tc>
          <w:tcPr>
            <w:tcW w:w="2060" w:type="dxa"/>
            <w:vMerge/>
            <w:tcBorders>
              <w:top w:val="nil"/>
            </w:tcBorders>
            <w:shd w:val="clear" w:color="auto" w:fill="F1F1F1"/>
          </w:tcPr>
          <w:p w:rsidR="00A56FE9" w:rsidRDefault="00A56FE9">
            <w:pPr>
              <w:rPr>
                <w:sz w:val="2"/>
                <w:szCs w:val="2"/>
              </w:rPr>
            </w:pPr>
          </w:p>
        </w:tc>
        <w:tc>
          <w:tcPr>
            <w:tcW w:w="3474" w:type="dxa"/>
          </w:tcPr>
          <w:p w:rsidR="00A56FE9" w:rsidRDefault="00000000">
            <w:pPr>
              <w:pStyle w:val="TableParagraph"/>
              <w:spacing w:line="242" w:lineRule="auto"/>
              <w:ind w:left="105" w:right="169"/>
              <w:rPr>
                <w:sz w:val="18"/>
              </w:rPr>
            </w:pPr>
            <w:r>
              <w:rPr>
                <w:sz w:val="18"/>
              </w:rPr>
              <w:t>Drafting of analysing and recommendations</w:t>
            </w:r>
            <w:r>
              <w:rPr>
                <w:spacing w:val="-43"/>
                <w:sz w:val="18"/>
              </w:rPr>
              <w:t xml:space="preserve"> </w:t>
            </w:r>
            <w:r>
              <w:rPr>
                <w:sz w:val="18"/>
              </w:rPr>
              <w:t>for</w:t>
            </w:r>
            <w:r>
              <w:rPr>
                <w:spacing w:val="-1"/>
                <w:sz w:val="18"/>
              </w:rPr>
              <w:t xml:space="preserve"> </w:t>
            </w:r>
            <w:r>
              <w:rPr>
                <w:sz w:val="18"/>
              </w:rPr>
              <w:t>the</w:t>
            </w:r>
            <w:r>
              <w:rPr>
                <w:spacing w:val="-2"/>
                <w:sz w:val="18"/>
              </w:rPr>
              <w:t xml:space="preserve"> </w:t>
            </w:r>
            <w:r>
              <w:rPr>
                <w:sz w:val="18"/>
              </w:rPr>
              <w:t>anonymisation</w:t>
            </w:r>
            <w:r>
              <w:rPr>
                <w:spacing w:val="-1"/>
                <w:sz w:val="18"/>
              </w:rPr>
              <w:t xml:space="preserve"> </w:t>
            </w:r>
            <w:r>
              <w:rPr>
                <w:sz w:val="18"/>
              </w:rPr>
              <w:t>of</w:t>
            </w:r>
            <w:r>
              <w:rPr>
                <w:spacing w:val="-3"/>
                <w:sz w:val="18"/>
              </w:rPr>
              <w:t xml:space="preserve"> </w:t>
            </w:r>
            <w:r>
              <w:rPr>
                <w:sz w:val="18"/>
              </w:rPr>
              <w:t>court decisions</w:t>
            </w:r>
          </w:p>
        </w:tc>
        <w:tc>
          <w:tcPr>
            <w:tcW w:w="8928" w:type="dxa"/>
          </w:tcPr>
          <w:p w:rsidR="00A56FE9" w:rsidRDefault="00000000">
            <w:pPr>
              <w:pStyle w:val="TableParagraph"/>
              <w:spacing w:line="202" w:lineRule="exact"/>
              <w:ind w:left="104"/>
              <w:rPr>
                <w:sz w:val="18"/>
              </w:rPr>
            </w:pPr>
            <w:r>
              <w:rPr>
                <w:sz w:val="18"/>
              </w:rPr>
              <w:t>Examples</w:t>
            </w:r>
            <w:r>
              <w:rPr>
                <w:spacing w:val="-3"/>
                <w:sz w:val="18"/>
              </w:rPr>
              <w:t xml:space="preserve"> </w:t>
            </w:r>
            <w:r>
              <w:rPr>
                <w:sz w:val="18"/>
              </w:rPr>
              <w:t>of</w:t>
            </w:r>
            <w:r>
              <w:rPr>
                <w:spacing w:val="-4"/>
                <w:sz w:val="18"/>
              </w:rPr>
              <w:t xml:space="preserve"> </w:t>
            </w:r>
            <w:r>
              <w:rPr>
                <w:sz w:val="18"/>
              </w:rPr>
              <w:t>good</w:t>
            </w:r>
            <w:r>
              <w:rPr>
                <w:spacing w:val="-1"/>
                <w:sz w:val="18"/>
              </w:rPr>
              <w:t xml:space="preserve"> </w:t>
            </w:r>
            <w:r>
              <w:rPr>
                <w:sz w:val="18"/>
              </w:rPr>
              <w:t>practice</w:t>
            </w:r>
            <w:r>
              <w:rPr>
                <w:spacing w:val="-2"/>
                <w:sz w:val="18"/>
              </w:rPr>
              <w:t xml:space="preserve"> </w:t>
            </w:r>
            <w:r>
              <w:rPr>
                <w:sz w:val="18"/>
              </w:rPr>
              <w:t>and</w:t>
            </w:r>
            <w:r>
              <w:rPr>
                <w:spacing w:val="-1"/>
                <w:sz w:val="18"/>
              </w:rPr>
              <w:t xml:space="preserve"> </w:t>
            </w:r>
            <w:r>
              <w:rPr>
                <w:sz w:val="18"/>
              </w:rPr>
              <w:t>existing</w:t>
            </w:r>
            <w:r>
              <w:rPr>
                <w:spacing w:val="-3"/>
                <w:sz w:val="18"/>
              </w:rPr>
              <w:t xml:space="preserve"> </w:t>
            </w:r>
            <w:r>
              <w:rPr>
                <w:sz w:val="18"/>
              </w:rPr>
              <w:t>solutions</w:t>
            </w:r>
            <w:r>
              <w:rPr>
                <w:spacing w:val="-1"/>
                <w:sz w:val="18"/>
              </w:rPr>
              <w:t xml:space="preserve"> </w:t>
            </w:r>
            <w:r>
              <w:rPr>
                <w:sz w:val="18"/>
              </w:rPr>
              <w:t>for</w:t>
            </w:r>
            <w:r>
              <w:rPr>
                <w:spacing w:val="-2"/>
                <w:sz w:val="18"/>
              </w:rPr>
              <w:t xml:space="preserve"> </w:t>
            </w:r>
            <w:r>
              <w:rPr>
                <w:sz w:val="18"/>
              </w:rPr>
              <w:t>the</w:t>
            </w:r>
            <w:r>
              <w:rPr>
                <w:spacing w:val="-3"/>
                <w:sz w:val="18"/>
              </w:rPr>
              <w:t xml:space="preserve"> </w:t>
            </w:r>
            <w:r>
              <w:rPr>
                <w:sz w:val="18"/>
              </w:rPr>
              <w:t>anonymisation</w:t>
            </w:r>
            <w:r>
              <w:rPr>
                <w:spacing w:val="-2"/>
                <w:sz w:val="18"/>
              </w:rPr>
              <w:t xml:space="preserve"> </w:t>
            </w:r>
            <w:r>
              <w:rPr>
                <w:sz w:val="18"/>
              </w:rPr>
              <w:t>will</w:t>
            </w:r>
            <w:r>
              <w:rPr>
                <w:spacing w:val="-2"/>
                <w:sz w:val="18"/>
              </w:rPr>
              <w:t xml:space="preserve"> </w:t>
            </w:r>
            <w:r>
              <w:rPr>
                <w:sz w:val="18"/>
              </w:rPr>
              <w:t>be</w:t>
            </w:r>
            <w:r>
              <w:rPr>
                <w:spacing w:val="-3"/>
                <w:sz w:val="18"/>
              </w:rPr>
              <w:t xml:space="preserve"> </w:t>
            </w:r>
            <w:r>
              <w:rPr>
                <w:sz w:val="18"/>
              </w:rPr>
              <w:t>analysed,</w:t>
            </w:r>
            <w:r>
              <w:rPr>
                <w:spacing w:val="-1"/>
                <w:sz w:val="18"/>
              </w:rPr>
              <w:t xml:space="preserve"> </w:t>
            </w:r>
            <w:r>
              <w:rPr>
                <w:sz w:val="18"/>
              </w:rPr>
              <w:t>as well</w:t>
            </w:r>
            <w:r>
              <w:rPr>
                <w:spacing w:val="-2"/>
                <w:sz w:val="18"/>
              </w:rPr>
              <w:t xml:space="preserve"> </w:t>
            </w:r>
            <w:r>
              <w:rPr>
                <w:sz w:val="18"/>
              </w:rPr>
              <w:t>as</w:t>
            </w:r>
            <w:r>
              <w:rPr>
                <w:spacing w:val="-2"/>
                <w:sz w:val="18"/>
              </w:rPr>
              <w:t xml:space="preserve"> </w:t>
            </w:r>
            <w:r>
              <w:rPr>
                <w:sz w:val="18"/>
              </w:rPr>
              <w:t>recommendations</w:t>
            </w:r>
          </w:p>
          <w:p w:rsidR="00A56FE9" w:rsidRDefault="00000000">
            <w:pPr>
              <w:pStyle w:val="TableParagraph"/>
              <w:spacing w:line="206" w:lineRule="exact"/>
              <w:ind w:left="104" w:right="186"/>
              <w:rPr>
                <w:sz w:val="18"/>
              </w:rPr>
            </w:pPr>
            <w:r>
              <w:rPr>
                <w:sz w:val="18"/>
              </w:rPr>
              <w:t>related to the anonymisation methodology and technical specification of solutions for anonymisation and publication of</w:t>
            </w:r>
            <w:r>
              <w:rPr>
                <w:spacing w:val="-43"/>
                <w:sz w:val="18"/>
              </w:rPr>
              <w:t xml:space="preserve"> </w:t>
            </w:r>
            <w:r>
              <w:rPr>
                <w:sz w:val="18"/>
              </w:rPr>
              <w:t>court</w:t>
            </w:r>
            <w:r>
              <w:rPr>
                <w:spacing w:val="-2"/>
                <w:sz w:val="18"/>
              </w:rPr>
              <w:t xml:space="preserve"> </w:t>
            </w:r>
            <w:r>
              <w:rPr>
                <w:sz w:val="18"/>
              </w:rPr>
              <w:t>decisions.</w:t>
            </w:r>
          </w:p>
        </w:tc>
      </w:tr>
      <w:tr w:rsidR="00A56FE9">
        <w:trPr>
          <w:trHeight w:val="827"/>
        </w:trPr>
        <w:tc>
          <w:tcPr>
            <w:tcW w:w="2060" w:type="dxa"/>
            <w:vMerge/>
            <w:tcBorders>
              <w:top w:val="nil"/>
            </w:tcBorders>
            <w:shd w:val="clear" w:color="auto" w:fill="F1F1F1"/>
          </w:tcPr>
          <w:p w:rsidR="00A56FE9" w:rsidRDefault="00A56FE9">
            <w:pPr>
              <w:rPr>
                <w:sz w:val="2"/>
                <w:szCs w:val="2"/>
              </w:rPr>
            </w:pPr>
          </w:p>
        </w:tc>
        <w:tc>
          <w:tcPr>
            <w:tcW w:w="3474" w:type="dxa"/>
          </w:tcPr>
          <w:p w:rsidR="00A56FE9" w:rsidRDefault="00000000">
            <w:pPr>
              <w:pStyle w:val="TableParagraph"/>
              <w:ind w:left="105" w:right="127"/>
              <w:rPr>
                <w:sz w:val="18"/>
              </w:rPr>
            </w:pPr>
            <w:r>
              <w:rPr>
                <w:sz w:val="18"/>
              </w:rPr>
              <w:t>Process of adopting of the Ordinance on the</w:t>
            </w:r>
            <w:r>
              <w:rPr>
                <w:spacing w:val="1"/>
                <w:sz w:val="18"/>
              </w:rPr>
              <w:t xml:space="preserve"> </w:t>
            </w:r>
            <w:r>
              <w:rPr>
                <w:sz w:val="18"/>
              </w:rPr>
              <w:t>Manner</w:t>
            </w:r>
            <w:r>
              <w:rPr>
                <w:spacing w:val="-2"/>
                <w:sz w:val="18"/>
              </w:rPr>
              <w:t xml:space="preserve"> </w:t>
            </w:r>
            <w:r>
              <w:rPr>
                <w:sz w:val="18"/>
              </w:rPr>
              <w:t>of</w:t>
            </w:r>
            <w:r>
              <w:rPr>
                <w:spacing w:val="-3"/>
                <w:sz w:val="18"/>
              </w:rPr>
              <w:t xml:space="preserve"> </w:t>
            </w:r>
            <w:r>
              <w:rPr>
                <w:sz w:val="18"/>
              </w:rPr>
              <w:t>Appointing</w:t>
            </w:r>
            <w:r>
              <w:rPr>
                <w:spacing w:val="-3"/>
                <w:sz w:val="18"/>
              </w:rPr>
              <w:t xml:space="preserve"> </w:t>
            </w:r>
            <w:r>
              <w:rPr>
                <w:sz w:val="18"/>
              </w:rPr>
              <w:t>a</w:t>
            </w:r>
            <w:r>
              <w:rPr>
                <w:spacing w:val="-2"/>
                <w:sz w:val="18"/>
              </w:rPr>
              <w:t xml:space="preserve"> </w:t>
            </w:r>
            <w:r>
              <w:rPr>
                <w:sz w:val="18"/>
              </w:rPr>
              <w:t>Confidential</w:t>
            </w:r>
            <w:r>
              <w:rPr>
                <w:spacing w:val="-3"/>
                <w:sz w:val="18"/>
              </w:rPr>
              <w:t xml:space="preserve"> </w:t>
            </w:r>
            <w:r>
              <w:rPr>
                <w:sz w:val="18"/>
              </w:rPr>
              <w:t>Person</w:t>
            </w:r>
            <w:r>
              <w:rPr>
                <w:spacing w:val="-42"/>
                <w:sz w:val="18"/>
              </w:rPr>
              <w:t xml:space="preserve"> </w:t>
            </w:r>
            <w:r>
              <w:rPr>
                <w:sz w:val="18"/>
              </w:rPr>
              <w:t>and the</w:t>
            </w:r>
            <w:r>
              <w:rPr>
                <w:spacing w:val="-3"/>
                <w:sz w:val="18"/>
              </w:rPr>
              <w:t xml:space="preserve"> </w:t>
            </w:r>
            <w:r>
              <w:rPr>
                <w:sz w:val="18"/>
              </w:rPr>
              <w:t>Procedure</w:t>
            </w:r>
            <w:r>
              <w:rPr>
                <w:spacing w:val="-2"/>
                <w:sz w:val="18"/>
              </w:rPr>
              <w:t xml:space="preserve"> </w:t>
            </w:r>
            <w:r>
              <w:rPr>
                <w:sz w:val="18"/>
              </w:rPr>
              <w:t>for Internal</w:t>
            </w:r>
            <w:r>
              <w:rPr>
                <w:spacing w:val="-2"/>
                <w:sz w:val="18"/>
              </w:rPr>
              <w:t xml:space="preserve"> </w:t>
            </w:r>
            <w:r>
              <w:rPr>
                <w:sz w:val="18"/>
              </w:rPr>
              <w:t>Reporting</w:t>
            </w:r>
            <w:r>
              <w:rPr>
                <w:spacing w:val="-2"/>
                <w:sz w:val="18"/>
              </w:rPr>
              <w:t xml:space="preserve"> </w:t>
            </w:r>
            <w:r>
              <w:rPr>
                <w:sz w:val="18"/>
              </w:rPr>
              <w:t>to</w:t>
            </w:r>
          </w:p>
          <w:p w:rsidR="00A56FE9" w:rsidRDefault="00000000">
            <w:pPr>
              <w:pStyle w:val="TableParagraph"/>
              <w:spacing w:line="191" w:lineRule="exact"/>
              <w:ind w:left="105"/>
              <w:rPr>
                <w:sz w:val="18"/>
              </w:rPr>
            </w:pPr>
            <w:r>
              <w:rPr>
                <w:sz w:val="18"/>
              </w:rPr>
              <w:t>the</w:t>
            </w:r>
            <w:r>
              <w:rPr>
                <w:spacing w:val="-2"/>
                <w:sz w:val="18"/>
              </w:rPr>
              <w:t xml:space="preserve"> </w:t>
            </w:r>
            <w:r>
              <w:rPr>
                <w:sz w:val="18"/>
              </w:rPr>
              <w:t>MJPA</w:t>
            </w:r>
          </w:p>
        </w:tc>
        <w:tc>
          <w:tcPr>
            <w:tcW w:w="8928" w:type="dxa"/>
          </w:tcPr>
          <w:p w:rsidR="00A56FE9" w:rsidRDefault="00000000">
            <w:pPr>
              <w:pStyle w:val="TableParagraph"/>
              <w:ind w:left="104"/>
              <w:rPr>
                <w:sz w:val="18"/>
              </w:rPr>
            </w:pPr>
            <w:r>
              <w:rPr>
                <w:sz w:val="18"/>
              </w:rPr>
              <w:t>Following</w:t>
            </w:r>
            <w:r>
              <w:rPr>
                <w:spacing w:val="-2"/>
                <w:sz w:val="18"/>
              </w:rPr>
              <w:t xml:space="preserve"> </w:t>
            </w:r>
            <w:r>
              <w:rPr>
                <w:sz w:val="18"/>
              </w:rPr>
              <w:t>the</w:t>
            </w:r>
            <w:r>
              <w:rPr>
                <w:spacing w:val="-2"/>
                <w:sz w:val="18"/>
              </w:rPr>
              <w:t xml:space="preserve"> </w:t>
            </w:r>
            <w:r>
              <w:rPr>
                <w:sz w:val="18"/>
              </w:rPr>
              <w:t>enactment</w:t>
            </w:r>
            <w:r>
              <w:rPr>
                <w:spacing w:val="-1"/>
                <w:sz w:val="18"/>
              </w:rPr>
              <w:t xml:space="preserve"> </w:t>
            </w:r>
            <w:r>
              <w:rPr>
                <w:sz w:val="18"/>
              </w:rPr>
              <w:t>of</w:t>
            </w:r>
            <w:r>
              <w:rPr>
                <w:spacing w:val="-3"/>
                <w:sz w:val="18"/>
              </w:rPr>
              <w:t xml:space="preserve"> </w:t>
            </w:r>
            <w:r>
              <w:rPr>
                <w:sz w:val="18"/>
              </w:rPr>
              <w:t>the</w:t>
            </w:r>
            <w:r>
              <w:rPr>
                <w:spacing w:val="-2"/>
                <w:sz w:val="18"/>
              </w:rPr>
              <w:t xml:space="preserve"> </w:t>
            </w:r>
            <w:r>
              <w:rPr>
                <w:sz w:val="18"/>
              </w:rPr>
              <w:t>Act</w:t>
            </w:r>
            <w:r>
              <w:rPr>
                <w:spacing w:val="-1"/>
                <w:sz w:val="18"/>
              </w:rPr>
              <w:t xml:space="preserve"> </w:t>
            </w:r>
            <w:r>
              <w:rPr>
                <w:sz w:val="18"/>
              </w:rPr>
              <w:t>on</w:t>
            </w:r>
            <w:r>
              <w:rPr>
                <w:spacing w:val="-2"/>
                <w:sz w:val="18"/>
              </w:rPr>
              <w:t xml:space="preserve"> </w:t>
            </w:r>
            <w:r>
              <w:rPr>
                <w:sz w:val="18"/>
              </w:rPr>
              <w:t>the</w:t>
            </w:r>
            <w:r>
              <w:rPr>
                <w:spacing w:val="-3"/>
                <w:sz w:val="18"/>
              </w:rPr>
              <w:t xml:space="preserve"> </w:t>
            </w:r>
            <w:r>
              <w:rPr>
                <w:sz w:val="18"/>
              </w:rPr>
              <w:t>Protection of</w:t>
            </w:r>
            <w:r>
              <w:rPr>
                <w:spacing w:val="-3"/>
                <w:sz w:val="18"/>
              </w:rPr>
              <w:t xml:space="preserve"> </w:t>
            </w:r>
            <w:r>
              <w:rPr>
                <w:sz w:val="18"/>
              </w:rPr>
              <w:t>Whistleblowers,</w:t>
            </w:r>
            <w:r>
              <w:rPr>
                <w:spacing w:val="-1"/>
                <w:sz w:val="18"/>
              </w:rPr>
              <w:t xml:space="preserve"> </w:t>
            </w:r>
            <w:r>
              <w:rPr>
                <w:sz w:val="18"/>
              </w:rPr>
              <w:t>the</w:t>
            </w:r>
            <w:r>
              <w:rPr>
                <w:spacing w:val="-2"/>
                <w:sz w:val="18"/>
              </w:rPr>
              <w:t xml:space="preserve"> </w:t>
            </w:r>
            <w:r>
              <w:rPr>
                <w:sz w:val="18"/>
              </w:rPr>
              <w:t>Ordinance</w:t>
            </w:r>
            <w:r>
              <w:rPr>
                <w:spacing w:val="-2"/>
                <w:sz w:val="18"/>
              </w:rPr>
              <w:t xml:space="preserve"> </w:t>
            </w:r>
            <w:r>
              <w:rPr>
                <w:sz w:val="18"/>
              </w:rPr>
              <w:t>on</w:t>
            </w:r>
            <w:r>
              <w:rPr>
                <w:spacing w:val="-2"/>
                <w:sz w:val="18"/>
              </w:rPr>
              <w:t xml:space="preserve"> </w:t>
            </w:r>
            <w:r>
              <w:rPr>
                <w:sz w:val="18"/>
              </w:rPr>
              <w:t>the</w:t>
            </w:r>
            <w:r>
              <w:rPr>
                <w:spacing w:val="-4"/>
                <w:sz w:val="18"/>
              </w:rPr>
              <w:t xml:space="preserve"> </w:t>
            </w:r>
            <w:r>
              <w:rPr>
                <w:sz w:val="18"/>
              </w:rPr>
              <w:t>Manner of</w:t>
            </w:r>
            <w:r>
              <w:rPr>
                <w:spacing w:val="-3"/>
                <w:sz w:val="18"/>
              </w:rPr>
              <w:t xml:space="preserve"> </w:t>
            </w:r>
            <w:r>
              <w:rPr>
                <w:sz w:val="18"/>
              </w:rPr>
              <w:t>Appointing</w:t>
            </w:r>
            <w:r>
              <w:rPr>
                <w:spacing w:val="-2"/>
                <w:sz w:val="18"/>
              </w:rPr>
              <w:t xml:space="preserve"> </w:t>
            </w:r>
            <w:r>
              <w:rPr>
                <w:sz w:val="18"/>
              </w:rPr>
              <w:t>a</w:t>
            </w:r>
            <w:r>
              <w:rPr>
                <w:spacing w:val="-42"/>
                <w:sz w:val="18"/>
              </w:rPr>
              <w:t xml:space="preserve"> </w:t>
            </w:r>
            <w:r>
              <w:rPr>
                <w:sz w:val="18"/>
              </w:rPr>
              <w:t>Confidential</w:t>
            </w:r>
            <w:r>
              <w:rPr>
                <w:spacing w:val="-3"/>
                <w:sz w:val="18"/>
              </w:rPr>
              <w:t xml:space="preserve"> </w:t>
            </w:r>
            <w:r>
              <w:rPr>
                <w:sz w:val="18"/>
              </w:rPr>
              <w:t>Person</w:t>
            </w:r>
            <w:r>
              <w:rPr>
                <w:spacing w:val="1"/>
                <w:sz w:val="18"/>
              </w:rPr>
              <w:t xml:space="preserve"> </w:t>
            </w:r>
            <w:r>
              <w:rPr>
                <w:sz w:val="18"/>
              </w:rPr>
              <w:t>for the</w:t>
            </w:r>
            <w:r>
              <w:rPr>
                <w:spacing w:val="-1"/>
                <w:sz w:val="18"/>
              </w:rPr>
              <w:t xml:space="preserve"> </w:t>
            </w:r>
            <w:r>
              <w:rPr>
                <w:sz w:val="18"/>
              </w:rPr>
              <w:t>Internal</w:t>
            </w:r>
            <w:r>
              <w:rPr>
                <w:spacing w:val="-1"/>
                <w:sz w:val="18"/>
              </w:rPr>
              <w:t xml:space="preserve"> </w:t>
            </w:r>
            <w:r>
              <w:rPr>
                <w:sz w:val="18"/>
              </w:rPr>
              <w:t>Reporting</w:t>
            </w:r>
            <w:r>
              <w:rPr>
                <w:spacing w:val="-4"/>
                <w:sz w:val="18"/>
              </w:rPr>
              <w:t xml:space="preserve"> </w:t>
            </w:r>
            <w:r>
              <w:rPr>
                <w:sz w:val="18"/>
              </w:rPr>
              <w:t>Procedure</w:t>
            </w:r>
            <w:r>
              <w:rPr>
                <w:spacing w:val="-1"/>
                <w:sz w:val="18"/>
              </w:rPr>
              <w:t xml:space="preserve"> </w:t>
            </w:r>
            <w:r>
              <w:rPr>
                <w:sz w:val="18"/>
              </w:rPr>
              <w:t>in</w:t>
            </w:r>
            <w:r>
              <w:rPr>
                <w:spacing w:val="-1"/>
                <w:sz w:val="18"/>
              </w:rPr>
              <w:t xml:space="preserve"> </w:t>
            </w:r>
            <w:r>
              <w:rPr>
                <w:sz w:val="18"/>
              </w:rPr>
              <w:t>the</w:t>
            </w:r>
            <w:r>
              <w:rPr>
                <w:spacing w:val="-1"/>
                <w:sz w:val="18"/>
              </w:rPr>
              <w:t xml:space="preserve"> </w:t>
            </w:r>
            <w:r>
              <w:rPr>
                <w:sz w:val="18"/>
              </w:rPr>
              <w:t>MJPA</w:t>
            </w:r>
            <w:r>
              <w:rPr>
                <w:spacing w:val="-4"/>
                <w:sz w:val="18"/>
              </w:rPr>
              <w:t xml:space="preserve"> </w:t>
            </w:r>
            <w:r>
              <w:rPr>
                <w:sz w:val="18"/>
              </w:rPr>
              <w:t>will be</w:t>
            </w:r>
            <w:r>
              <w:rPr>
                <w:spacing w:val="-1"/>
                <w:sz w:val="18"/>
              </w:rPr>
              <w:t xml:space="preserve"> </w:t>
            </w:r>
            <w:r>
              <w:rPr>
                <w:sz w:val="18"/>
              </w:rPr>
              <w:t>adopted.</w:t>
            </w:r>
          </w:p>
        </w:tc>
      </w:tr>
      <w:tr w:rsidR="00A56FE9">
        <w:trPr>
          <w:trHeight w:val="1243"/>
        </w:trPr>
        <w:tc>
          <w:tcPr>
            <w:tcW w:w="2060" w:type="dxa"/>
            <w:vMerge/>
            <w:tcBorders>
              <w:top w:val="nil"/>
            </w:tcBorders>
            <w:shd w:val="clear" w:color="auto" w:fill="F1F1F1"/>
          </w:tcPr>
          <w:p w:rsidR="00A56FE9" w:rsidRDefault="00A56FE9">
            <w:pPr>
              <w:rPr>
                <w:sz w:val="2"/>
                <w:szCs w:val="2"/>
              </w:rPr>
            </w:pPr>
          </w:p>
        </w:tc>
        <w:tc>
          <w:tcPr>
            <w:tcW w:w="3474" w:type="dxa"/>
          </w:tcPr>
          <w:p w:rsidR="00A56FE9" w:rsidRDefault="00000000">
            <w:pPr>
              <w:pStyle w:val="TableParagraph"/>
              <w:ind w:left="105" w:right="681"/>
              <w:rPr>
                <w:sz w:val="18"/>
              </w:rPr>
            </w:pPr>
            <w:r>
              <w:rPr>
                <w:sz w:val="18"/>
              </w:rPr>
              <w:t>Plan</w:t>
            </w:r>
            <w:r>
              <w:rPr>
                <w:spacing w:val="-5"/>
                <w:sz w:val="18"/>
              </w:rPr>
              <w:t xml:space="preserve"> </w:t>
            </w:r>
            <w:r>
              <w:rPr>
                <w:sz w:val="18"/>
              </w:rPr>
              <w:t>for</w:t>
            </w:r>
            <w:r>
              <w:rPr>
                <w:spacing w:val="-6"/>
                <w:sz w:val="18"/>
              </w:rPr>
              <w:t xml:space="preserve"> </w:t>
            </w:r>
            <w:r>
              <w:rPr>
                <w:sz w:val="18"/>
              </w:rPr>
              <w:t>strengthening</w:t>
            </w:r>
            <w:r>
              <w:rPr>
                <w:spacing w:val="-6"/>
                <w:sz w:val="18"/>
              </w:rPr>
              <w:t xml:space="preserve"> </w:t>
            </w:r>
            <w:r>
              <w:rPr>
                <w:sz w:val="18"/>
              </w:rPr>
              <w:t>administrative</w:t>
            </w:r>
            <w:r>
              <w:rPr>
                <w:spacing w:val="-42"/>
                <w:sz w:val="18"/>
              </w:rPr>
              <w:t xml:space="preserve"> </w:t>
            </w:r>
            <w:r>
              <w:rPr>
                <w:sz w:val="18"/>
              </w:rPr>
              <w:t>capacity for programming and</w:t>
            </w:r>
            <w:r>
              <w:rPr>
                <w:spacing w:val="1"/>
                <w:sz w:val="18"/>
              </w:rPr>
              <w:t xml:space="preserve"> </w:t>
            </w:r>
            <w:r>
              <w:rPr>
                <w:sz w:val="18"/>
              </w:rPr>
              <w:t>implementation of</w:t>
            </w:r>
            <w:r>
              <w:rPr>
                <w:spacing w:val="-2"/>
                <w:sz w:val="18"/>
              </w:rPr>
              <w:t xml:space="preserve"> </w:t>
            </w:r>
            <w:r>
              <w:rPr>
                <w:sz w:val="18"/>
              </w:rPr>
              <w:t>EU funds</w:t>
            </w:r>
          </w:p>
        </w:tc>
        <w:tc>
          <w:tcPr>
            <w:tcW w:w="8928" w:type="dxa"/>
          </w:tcPr>
          <w:p w:rsidR="00A56FE9" w:rsidRDefault="00000000">
            <w:pPr>
              <w:pStyle w:val="TableParagraph"/>
              <w:ind w:left="104" w:right="116"/>
              <w:rPr>
                <w:sz w:val="18"/>
              </w:rPr>
            </w:pPr>
            <w:r>
              <w:rPr>
                <w:sz w:val="18"/>
              </w:rPr>
              <w:t>Based on the implementation of a comprehensive analysis of the situation and needs related to administrative capacity</w:t>
            </w:r>
            <w:r>
              <w:rPr>
                <w:spacing w:val="1"/>
                <w:sz w:val="18"/>
              </w:rPr>
              <w:t xml:space="preserve"> </w:t>
            </w:r>
            <w:r>
              <w:rPr>
                <w:sz w:val="18"/>
              </w:rPr>
              <w:t>for the management of EU funds (covered through three categories: people and organization; strategic planning,</w:t>
            </w:r>
            <w:r>
              <w:rPr>
                <w:spacing w:val="1"/>
                <w:sz w:val="18"/>
              </w:rPr>
              <w:t xml:space="preserve"> </w:t>
            </w:r>
            <w:r>
              <w:rPr>
                <w:sz w:val="18"/>
              </w:rPr>
              <w:t>programming and implementation and beneficiaries and stakeholders), and taking into account the experience and</w:t>
            </w:r>
            <w:r>
              <w:rPr>
                <w:spacing w:val="1"/>
                <w:sz w:val="18"/>
              </w:rPr>
              <w:t xml:space="preserve"> </w:t>
            </w:r>
            <w:r>
              <w:rPr>
                <w:sz w:val="18"/>
              </w:rPr>
              <w:t>practices</w:t>
            </w:r>
            <w:r>
              <w:rPr>
                <w:spacing w:val="-1"/>
                <w:sz w:val="18"/>
              </w:rPr>
              <w:t xml:space="preserve"> </w:t>
            </w:r>
            <w:r>
              <w:rPr>
                <w:sz w:val="18"/>
              </w:rPr>
              <w:t>of</w:t>
            </w:r>
            <w:r>
              <w:rPr>
                <w:spacing w:val="-3"/>
                <w:sz w:val="18"/>
              </w:rPr>
              <w:t xml:space="preserve"> </w:t>
            </w:r>
            <w:r>
              <w:rPr>
                <w:sz w:val="18"/>
              </w:rPr>
              <w:t>existing management</w:t>
            </w:r>
            <w:r>
              <w:rPr>
                <w:spacing w:val="-1"/>
                <w:sz w:val="18"/>
              </w:rPr>
              <w:t xml:space="preserve"> </w:t>
            </w:r>
            <w:r>
              <w:rPr>
                <w:sz w:val="18"/>
              </w:rPr>
              <w:t>and control systems</w:t>
            </w:r>
            <w:r>
              <w:rPr>
                <w:spacing w:val="-1"/>
                <w:sz w:val="18"/>
              </w:rPr>
              <w:t xml:space="preserve"> </w:t>
            </w:r>
            <w:r>
              <w:rPr>
                <w:sz w:val="18"/>
              </w:rPr>
              <w:t>in</w:t>
            </w:r>
            <w:r>
              <w:rPr>
                <w:spacing w:val="1"/>
                <w:sz w:val="18"/>
              </w:rPr>
              <w:t xml:space="preserve"> </w:t>
            </w:r>
            <w:r>
              <w:rPr>
                <w:sz w:val="18"/>
              </w:rPr>
              <w:t>the</w:t>
            </w:r>
            <w:r>
              <w:rPr>
                <w:spacing w:val="-4"/>
                <w:sz w:val="18"/>
              </w:rPr>
              <w:t xml:space="preserve"> </w:t>
            </w:r>
            <w:r>
              <w:rPr>
                <w:sz w:val="18"/>
              </w:rPr>
              <w:t>use</w:t>
            </w:r>
            <w:r>
              <w:rPr>
                <w:spacing w:val="-2"/>
                <w:sz w:val="18"/>
              </w:rPr>
              <w:t xml:space="preserve"> </w:t>
            </w:r>
            <w:r>
              <w:rPr>
                <w:sz w:val="18"/>
              </w:rPr>
              <w:t>of</w:t>
            </w:r>
            <w:r>
              <w:rPr>
                <w:spacing w:val="-3"/>
                <w:sz w:val="18"/>
              </w:rPr>
              <w:t xml:space="preserve"> </w:t>
            </w:r>
            <w:r>
              <w:rPr>
                <w:sz w:val="18"/>
              </w:rPr>
              <w:t>EU funds</w:t>
            </w:r>
            <w:r>
              <w:rPr>
                <w:spacing w:val="-1"/>
                <w:sz w:val="18"/>
              </w:rPr>
              <w:t xml:space="preserve"> </w:t>
            </w:r>
            <w:r>
              <w:rPr>
                <w:sz w:val="18"/>
              </w:rPr>
              <w:t>2014-2020,</w:t>
            </w:r>
            <w:r>
              <w:rPr>
                <w:spacing w:val="-1"/>
                <w:sz w:val="18"/>
              </w:rPr>
              <w:t xml:space="preserve"> </w:t>
            </w:r>
            <w:r>
              <w:rPr>
                <w:sz w:val="18"/>
              </w:rPr>
              <w:t>the</w:t>
            </w:r>
            <w:r>
              <w:rPr>
                <w:spacing w:val="-2"/>
                <w:sz w:val="18"/>
              </w:rPr>
              <w:t xml:space="preserve"> </w:t>
            </w:r>
            <w:r>
              <w:rPr>
                <w:sz w:val="18"/>
              </w:rPr>
              <w:t>application</w:t>
            </w:r>
            <w:r>
              <w:rPr>
                <w:spacing w:val="-2"/>
                <w:sz w:val="18"/>
              </w:rPr>
              <w:t xml:space="preserve"> </w:t>
            </w:r>
            <w:r>
              <w:rPr>
                <w:sz w:val="18"/>
              </w:rPr>
              <w:t>of</w:t>
            </w:r>
            <w:r>
              <w:rPr>
                <w:spacing w:val="-2"/>
                <w:sz w:val="18"/>
              </w:rPr>
              <w:t xml:space="preserve"> </w:t>
            </w:r>
            <w:r>
              <w:rPr>
                <w:sz w:val="18"/>
              </w:rPr>
              <w:t>the</w:t>
            </w:r>
            <w:r>
              <w:rPr>
                <w:spacing w:val="-2"/>
                <w:sz w:val="18"/>
              </w:rPr>
              <w:t xml:space="preserve"> </w:t>
            </w:r>
            <w:r>
              <w:rPr>
                <w:sz w:val="18"/>
              </w:rPr>
              <w:t>principle</w:t>
            </w:r>
          </w:p>
          <w:p w:rsidR="00A56FE9" w:rsidRDefault="00000000">
            <w:pPr>
              <w:pStyle w:val="TableParagraph"/>
              <w:spacing w:line="208" w:lineRule="exact"/>
              <w:ind w:left="104"/>
              <w:rPr>
                <w:sz w:val="18"/>
              </w:rPr>
            </w:pPr>
            <w:r>
              <w:rPr>
                <w:sz w:val="18"/>
              </w:rPr>
              <w:t>of</w:t>
            </w:r>
            <w:r>
              <w:rPr>
                <w:spacing w:val="-4"/>
                <w:sz w:val="18"/>
              </w:rPr>
              <w:t xml:space="preserve"> </w:t>
            </w:r>
            <w:r>
              <w:rPr>
                <w:sz w:val="18"/>
              </w:rPr>
              <w:t>involvement</w:t>
            </w:r>
            <w:r>
              <w:rPr>
                <w:spacing w:val="-2"/>
                <w:sz w:val="18"/>
              </w:rPr>
              <w:t xml:space="preserve"> </w:t>
            </w:r>
            <w:r>
              <w:rPr>
                <w:sz w:val="18"/>
              </w:rPr>
              <w:t>of</w:t>
            </w:r>
            <w:r>
              <w:rPr>
                <w:spacing w:val="-4"/>
                <w:sz w:val="18"/>
              </w:rPr>
              <w:t xml:space="preserve"> </w:t>
            </w:r>
            <w:r>
              <w:rPr>
                <w:sz w:val="18"/>
              </w:rPr>
              <w:t>competent</w:t>
            </w:r>
            <w:r>
              <w:rPr>
                <w:spacing w:val="-1"/>
                <w:sz w:val="18"/>
              </w:rPr>
              <w:t xml:space="preserve"> </w:t>
            </w:r>
            <w:r>
              <w:rPr>
                <w:sz w:val="18"/>
              </w:rPr>
              <w:t>authorities</w:t>
            </w:r>
            <w:r>
              <w:rPr>
                <w:spacing w:val="-3"/>
                <w:sz w:val="18"/>
              </w:rPr>
              <w:t xml:space="preserve"> </w:t>
            </w:r>
            <w:r>
              <w:rPr>
                <w:sz w:val="18"/>
              </w:rPr>
              <w:t>and</w:t>
            </w:r>
            <w:r>
              <w:rPr>
                <w:spacing w:val="-3"/>
                <w:sz w:val="18"/>
              </w:rPr>
              <w:t xml:space="preserve"> </w:t>
            </w:r>
            <w:r>
              <w:rPr>
                <w:sz w:val="18"/>
              </w:rPr>
              <w:t>relevant</w:t>
            </w:r>
            <w:r>
              <w:rPr>
                <w:spacing w:val="-1"/>
                <w:sz w:val="18"/>
              </w:rPr>
              <w:t xml:space="preserve"> </w:t>
            </w:r>
            <w:r>
              <w:rPr>
                <w:sz w:val="18"/>
              </w:rPr>
              <w:t>stakeholders,</w:t>
            </w:r>
            <w:r>
              <w:rPr>
                <w:spacing w:val="-4"/>
                <w:sz w:val="18"/>
              </w:rPr>
              <w:t xml:space="preserve"> </w:t>
            </w:r>
            <w:r>
              <w:rPr>
                <w:sz w:val="18"/>
              </w:rPr>
              <w:t>goals,</w:t>
            </w:r>
            <w:r>
              <w:rPr>
                <w:spacing w:val="-2"/>
                <w:sz w:val="18"/>
              </w:rPr>
              <w:t xml:space="preserve"> </w:t>
            </w:r>
            <w:r>
              <w:rPr>
                <w:sz w:val="18"/>
              </w:rPr>
              <w:t>activities</w:t>
            </w:r>
            <w:r>
              <w:rPr>
                <w:spacing w:val="-3"/>
                <w:sz w:val="18"/>
              </w:rPr>
              <w:t xml:space="preserve"> </w:t>
            </w:r>
            <w:r>
              <w:rPr>
                <w:sz w:val="18"/>
              </w:rPr>
              <w:t>and measures</w:t>
            </w:r>
            <w:r>
              <w:rPr>
                <w:spacing w:val="-2"/>
                <w:sz w:val="18"/>
              </w:rPr>
              <w:t xml:space="preserve"> </w:t>
            </w:r>
            <w:r>
              <w:rPr>
                <w:sz w:val="18"/>
              </w:rPr>
              <w:t>aimed</w:t>
            </w:r>
            <w:r>
              <w:rPr>
                <w:spacing w:val="-1"/>
                <w:sz w:val="18"/>
              </w:rPr>
              <w:t xml:space="preserve"> </w:t>
            </w:r>
            <w:r>
              <w:rPr>
                <w:sz w:val="18"/>
              </w:rPr>
              <w:t>at</w:t>
            </w:r>
            <w:r>
              <w:rPr>
                <w:spacing w:val="-2"/>
                <w:sz w:val="18"/>
              </w:rPr>
              <w:t xml:space="preserve"> </w:t>
            </w:r>
            <w:r>
              <w:rPr>
                <w:sz w:val="18"/>
              </w:rPr>
              <w:t>strengthening</w:t>
            </w:r>
            <w:r>
              <w:rPr>
                <w:spacing w:val="-42"/>
                <w:sz w:val="18"/>
              </w:rPr>
              <w:t xml:space="preserve"> </w:t>
            </w:r>
            <w:r>
              <w:rPr>
                <w:sz w:val="18"/>
              </w:rPr>
              <w:t>administrative</w:t>
            </w:r>
            <w:r>
              <w:rPr>
                <w:spacing w:val="-2"/>
                <w:sz w:val="18"/>
              </w:rPr>
              <w:t xml:space="preserve"> </w:t>
            </w:r>
            <w:r>
              <w:rPr>
                <w:sz w:val="18"/>
              </w:rPr>
              <w:t>capacity</w:t>
            </w:r>
            <w:r>
              <w:rPr>
                <w:spacing w:val="-1"/>
                <w:sz w:val="18"/>
              </w:rPr>
              <w:t xml:space="preserve"> </w:t>
            </w:r>
            <w:r>
              <w:rPr>
                <w:sz w:val="18"/>
              </w:rPr>
              <w:t>will</w:t>
            </w:r>
            <w:r>
              <w:rPr>
                <w:spacing w:val="-1"/>
                <w:sz w:val="18"/>
              </w:rPr>
              <w:t xml:space="preserve"> </w:t>
            </w:r>
            <w:r>
              <w:rPr>
                <w:sz w:val="18"/>
              </w:rPr>
              <w:t>be</w:t>
            </w:r>
            <w:r>
              <w:rPr>
                <w:spacing w:val="-1"/>
                <w:sz w:val="18"/>
              </w:rPr>
              <w:t xml:space="preserve"> </w:t>
            </w:r>
            <w:r>
              <w:rPr>
                <w:sz w:val="18"/>
              </w:rPr>
              <w:t>defined</w:t>
            </w:r>
            <w:r>
              <w:rPr>
                <w:spacing w:val="1"/>
                <w:sz w:val="18"/>
              </w:rPr>
              <w:t xml:space="preserve"> </w:t>
            </w:r>
            <w:r>
              <w:rPr>
                <w:sz w:val="18"/>
              </w:rPr>
              <w:t>in the</w:t>
            </w:r>
            <w:r>
              <w:rPr>
                <w:spacing w:val="-1"/>
                <w:sz w:val="18"/>
              </w:rPr>
              <w:t xml:space="preserve"> </w:t>
            </w:r>
            <w:r>
              <w:rPr>
                <w:sz w:val="18"/>
              </w:rPr>
              <w:t>entire</w:t>
            </w:r>
            <w:r>
              <w:rPr>
                <w:spacing w:val="-2"/>
                <w:sz w:val="18"/>
              </w:rPr>
              <w:t xml:space="preserve"> </w:t>
            </w:r>
            <w:r>
              <w:rPr>
                <w:sz w:val="18"/>
              </w:rPr>
              <w:t>seven-year financial perspective</w:t>
            </w:r>
            <w:r>
              <w:rPr>
                <w:spacing w:val="-2"/>
                <w:sz w:val="18"/>
              </w:rPr>
              <w:t xml:space="preserve"> </w:t>
            </w:r>
            <w:r>
              <w:rPr>
                <w:sz w:val="18"/>
              </w:rPr>
              <w:t>2021-2027.</w:t>
            </w:r>
          </w:p>
        </w:tc>
      </w:tr>
      <w:tr w:rsidR="00A56FE9">
        <w:trPr>
          <w:trHeight w:val="1609"/>
        </w:trPr>
        <w:tc>
          <w:tcPr>
            <w:tcW w:w="2060" w:type="dxa"/>
            <w:shd w:val="clear" w:color="auto" w:fill="F1F1F1"/>
          </w:tcPr>
          <w:p w:rsidR="00A56FE9" w:rsidRDefault="00000000">
            <w:pPr>
              <w:pStyle w:val="TableParagraph"/>
              <w:ind w:left="105" w:right="345"/>
              <w:rPr>
                <w:sz w:val="20"/>
              </w:rPr>
            </w:pPr>
            <w:r>
              <w:rPr>
                <w:b/>
                <w:sz w:val="20"/>
              </w:rPr>
              <w:t xml:space="preserve">17. </w:t>
            </w:r>
            <w:r>
              <w:rPr>
                <w:sz w:val="20"/>
              </w:rPr>
              <w:t>Strengthen the</w:t>
            </w:r>
            <w:r>
              <w:rPr>
                <w:spacing w:val="1"/>
                <w:sz w:val="20"/>
              </w:rPr>
              <w:t xml:space="preserve"> </w:t>
            </w:r>
            <w:r>
              <w:rPr>
                <w:sz w:val="20"/>
              </w:rPr>
              <w:t>means of</w:t>
            </w:r>
            <w:r>
              <w:rPr>
                <w:spacing w:val="1"/>
                <w:sz w:val="20"/>
              </w:rPr>
              <w:t xml:space="preserve"> </w:t>
            </w:r>
            <w:r>
              <w:rPr>
                <w:spacing w:val="-1"/>
                <w:sz w:val="20"/>
              </w:rPr>
              <w:t xml:space="preserve">implementation </w:t>
            </w:r>
            <w:r>
              <w:rPr>
                <w:sz w:val="20"/>
              </w:rPr>
              <w:t>and</w:t>
            </w:r>
            <w:r>
              <w:rPr>
                <w:spacing w:val="-47"/>
                <w:sz w:val="20"/>
              </w:rPr>
              <w:t xml:space="preserve"> </w:t>
            </w:r>
            <w:r>
              <w:rPr>
                <w:sz w:val="20"/>
              </w:rPr>
              <w:t>revitalize</w:t>
            </w:r>
            <w:r>
              <w:rPr>
                <w:spacing w:val="-1"/>
                <w:sz w:val="20"/>
              </w:rPr>
              <w:t xml:space="preserve"> </w:t>
            </w:r>
            <w:r>
              <w:rPr>
                <w:sz w:val="20"/>
              </w:rPr>
              <w:t>the</w:t>
            </w:r>
          </w:p>
          <w:p w:rsidR="00A56FE9" w:rsidRDefault="00000000">
            <w:pPr>
              <w:pStyle w:val="TableParagraph"/>
              <w:ind w:left="105" w:right="153"/>
              <w:rPr>
                <w:sz w:val="20"/>
              </w:rPr>
            </w:pPr>
            <w:r>
              <w:rPr>
                <w:sz w:val="20"/>
              </w:rPr>
              <w:t>Global</w:t>
            </w:r>
            <w:r>
              <w:rPr>
                <w:spacing w:val="-9"/>
                <w:sz w:val="20"/>
              </w:rPr>
              <w:t xml:space="preserve"> </w:t>
            </w:r>
            <w:r>
              <w:rPr>
                <w:sz w:val="20"/>
              </w:rPr>
              <w:t>Partnership</w:t>
            </w:r>
            <w:r>
              <w:rPr>
                <w:spacing w:val="-8"/>
                <w:sz w:val="20"/>
              </w:rPr>
              <w:t xml:space="preserve"> </w:t>
            </w:r>
            <w:r>
              <w:rPr>
                <w:sz w:val="20"/>
              </w:rPr>
              <w:t>for</w:t>
            </w:r>
            <w:r>
              <w:rPr>
                <w:spacing w:val="-47"/>
                <w:sz w:val="20"/>
              </w:rPr>
              <w:t xml:space="preserve"> </w:t>
            </w:r>
            <w:r>
              <w:rPr>
                <w:sz w:val="20"/>
              </w:rPr>
              <w:t>Sustainable</w:t>
            </w:r>
          </w:p>
          <w:p w:rsidR="00A56FE9" w:rsidRDefault="00000000">
            <w:pPr>
              <w:pStyle w:val="TableParagraph"/>
              <w:spacing w:line="215" w:lineRule="exact"/>
              <w:ind w:left="105"/>
              <w:rPr>
                <w:sz w:val="20"/>
              </w:rPr>
            </w:pPr>
            <w:r>
              <w:rPr>
                <w:sz w:val="20"/>
              </w:rPr>
              <w:t>Development</w:t>
            </w:r>
          </w:p>
        </w:tc>
        <w:tc>
          <w:tcPr>
            <w:tcW w:w="3474" w:type="dxa"/>
          </w:tcPr>
          <w:p w:rsidR="00A56FE9" w:rsidRDefault="00A56FE9">
            <w:pPr>
              <w:pStyle w:val="TableParagraph"/>
              <w:rPr>
                <w:sz w:val="18"/>
              </w:rPr>
            </w:pPr>
          </w:p>
        </w:tc>
        <w:tc>
          <w:tcPr>
            <w:tcW w:w="8928" w:type="dxa"/>
          </w:tcPr>
          <w:p w:rsidR="00A56FE9" w:rsidRDefault="00A56FE9">
            <w:pPr>
              <w:pStyle w:val="TableParagraph"/>
              <w:rPr>
                <w:sz w:val="18"/>
              </w:rPr>
            </w:pPr>
          </w:p>
        </w:tc>
      </w:tr>
    </w:tbl>
    <w:p w:rsidR="00A56FE9" w:rsidRDefault="00A56FE9">
      <w:pPr>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ind w:left="0"/>
        <w:jc w:val="left"/>
        <w:rPr>
          <w:b/>
        </w:rPr>
      </w:pPr>
    </w:p>
    <w:p w:rsidR="00A56FE9" w:rsidRDefault="00000000">
      <w:pPr>
        <w:pStyle w:val="Naslov1"/>
        <w:spacing w:before="35" w:line="240" w:lineRule="auto"/>
        <w:ind w:left="958"/>
      </w:pPr>
      <w:bookmarkStart w:id="35" w:name="_bookmark35"/>
      <w:bookmarkEnd w:id="35"/>
      <w:r>
        <w:rPr>
          <w:color w:val="003399"/>
        </w:rPr>
        <w:t>Addendum</w:t>
      </w:r>
    </w:p>
    <w:p w:rsidR="00A56FE9" w:rsidRDefault="00A56FE9">
      <w:pPr>
        <w:pStyle w:val="Tijeloteksta"/>
        <w:spacing w:before="12"/>
        <w:ind w:left="0"/>
        <w:jc w:val="left"/>
        <w:rPr>
          <w:rFonts w:ascii="Calibri Light"/>
          <w:sz w:val="23"/>
        </w:rPr>
      </w:pPr>
    </w:p>
    <w:p w:rsidR="00A56FE9" w:rsidRDefault="00000000">
      <w:pPr>
        <w:pStyle w:val="Naslov5"/>
        <w:ind w:left="958"/>
        <w:jc w:val="left"/>
      </w:pPr>
      <w:r>
        <w:rPr>
          <w:b w:val="0"/>
          <w:color w:val="003399"/>
        </w:rPr>
        <w:t>Addendum</w:t>
      </w:r>
      <w:r>
        <w:rPr>
          <w:b w:val="0"/>
          <w:color w:val="003399"/>
          <w:spacing w:val="-2"/>
        </w:rPr>
        <w:t xml:space="preserve"> </w:t>
      </w:r>
      <w:r>
        <w:rPr>
          <w:b w:val="0"/>
          <w:color w:val="003399"/>
        </w:rPr>
        <w:t>1.</w:t>
      </w:r>
      <w:r>
        <w:rPr>
          <w:b w:val="0"/>
          <w:color w:val="003399"/>
          <w:spacing w:val="-1"/>
        </w:rPr>
        <w:t xml:space="preserve"> </w:t>
      </w:r>
      <w:r>
        <w:rPr>
          <w:color w:val="003399"/>
        </w:rPr>
        <w:t>Alignment</w:t>
      </w:r>
      <w:r>
        <w:rPr>
          <w:color w:val="003399"/>
          <w:spacing w:val="-1"/>
        </w:rPr>
        <w:t xml:space="preserve"> </w:t>
      </w:r>
      <w:r>
        <w:rPr>
          <w:color w:val="003399"/>
        </w:rPr>
        <w:t>of</w:t>
      </w:r>
      <w:r>
        <w:rPr>
          <w:color w:val="003399"/>
          <w:spacing w:val="-1"/>
        </w:rPr>
        <w:t xml:space="preserve"> </w:t>
      </w:r>
      <w:r>
        <w:rPr>
          <w:color w:val="003399"/>
        </w:rPr>
        <w:t>NRP</w:t>
      </w:r>
      <w:r>
        <w:rPr>
          <w:color w:val="003399"/>
          <w:spacing w:val="-5"/>
        </w:rPr>
        <w:t xml:space="preserve"> </w:t>
      </w:r>
      <w:r>
        <w:rPr>
          <w:color w:val="003399"/>
        </w:rPr>
        <w:t>with</w:t>
      </w:r>
      <w:r>
        <w:rPr>
          <w:color w:val="003399"/>
          <w:spacing w:val="-1"/>
        </w:rPr>
        <w:t xml:space="preserve"> </w:t>
      </w:r>
      <w:r>
        <w:rPr>
          <w:color w:val="003399"/>
        </w:rPr>
        <w:t>recommendations</w:t>
      </w:r>
      <w:r>
        <w:rPr>
          <w:color w:val="003399"/>
          <w:spacing w:val="-1"/>
        </w:rPr>
        <w:t xml:space="preserve"> </w:t>
      </w:r>
      <w:r>
        <w:rPr>
          <w:color w:val="003399"/>
        </w:rPr>
        <w:t>of the</w:t>
      </w:r>
      <w:r>
        <w:rPr>
          <w:color w:val="003399"/>
          <w:spacing w:val="-1"/>
        </w:rPr>
        <w:t xml:space="preserve"> </w:t>
      </w:r>
      <w:r>
        <w:rPr>
          <w:color w:val="003399"/>
        </w:rPr>
        <w:t>European</w:t>
      </w:r>
      <w:r>
        <w:rPr>
          <w:color w:val="003399"/>
          <w:spacing w:val="-2"/>
        </w:rPr>
        <w:t xml:space="preserve"> </w:t>
      </w:r>
      <w:r>
        <w:rPr>
          <w:color w:val="003399"/>
        </w:rPr>
        <w:t>Council</w:t>
      </w:r>
    </w:p>
    <w:p w:rsidR="00A56FE9" w:rsidRDefault="00A56FE9">
      <w:pPr>
        <w:pStyle w:val="Tijeloteksta"/>
        <w:spacing w:before="9"/>
        <w:ind w:left="0"/>
        <w:jc w:val="left"/>
        <w:rPr>
          <w:b/>
          <w:sz w:val="17"/>
        </w:rPr>
      </w:pPr>
    </w:p>
    <w:tbl>
      <w:tblPr>
        <w:tblStyle w:val="TableNormal"/>
        <w:tblW w:w="0" w:type="auto"/>
        <w:tblInd w:w="970"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3675"/>
        <w:gridCol w:w="415"/>
        <w:gridCol w:w="391"/>
        <w:gridCol w:w="401"/>
        <w:gridCol w:w="381"/>
        <w:gridCol w:w="383"/>
        <w:gridCol w:w="389"/>
        <w:gridCol w:w="396"/>
        <w:gridCol w:w="389"/>
        <w:gridCol w:w="396"/>
        <w:gridCol w:w="394"/>
        <w:gridCol w:w="399"/>
        <w:gridCol w:w="392"/>
        <w:gridCol w:w="392"/>
        <w:gridCol w:w="372"/>
        <w:gridCol w:w="404"/>
        <w:gridCol w:w="591"/>
        <w:gridCol w:w="604"/>
        <w:gridCol w:w="393"/>
        <w:gridCol w:w="398"/>
        <w:gridCol w:w="422"/>
        <w:gridCol w:w="986"/>
        <w:gridCol w:w="1049"/>
      </w:tblGrid>
      <w:tr w:rsidR="00A56FE9">
        <w:trPr>
          <w:trHeight w:val="783"/>
        </w:trPr>
        <w:tc>
          <w:tcPr>
            <w:tcW w:w="3675" w:type="dxa"/>
            <w:tcBorders>
              <w:bottom w:val="nil"/>
              <w:right w:val="single" w:sz="4" w:space="0" w:color="FFFFFF"/>
            </w:tcBorders>
            <w:shd w:val="clear" w:color="auto" w:fill="2C398A"/>
          </w:tcPr>
          <w:p w:rsidR="00A56FE9" w:rsidRDefault="00A56FE9">
            <w:pPr>
              <w:pStyle w:val="TableParagraph"/>
              <w:spacing w:before="7"/>
              <w:rPr>
                <w:b/>
                <w:sz w:val="26"/>
              </w:rPr>
            </w:pPr>
          </w:p>
          <w:p w:rsidR="00A56FE9" w:rsidRDefault="00000000">
            <w:pPr>
              <w:pStyle w:val="TableParagraph"/>
              <w:spacing w:before="1"/>
              <w:ind w:left="1363" w:right="1352"/>
              <w:jc w:val="center"/>
              <w:rPr>
                <w:sz w:val="18"/>
              </w:rPr>
            </w:pPr>
            <w:r>
              <w:rPr>
                <w:color w:val="FFFFFF"/>
                <w:sz w:val="18"/>
              </w:rPr>
              <w:t>Components</w:t>
            </w:r>
          </w:p>
        </w:tc>
        <w:tc>
          <w:tcPr>
            <w:tcW w:w="415" w:type="dxa"/>
            <w:tcBorders>
              <w:left w:val="single" w:sz="4" w:space="0" w:color="FFFFFF"/>
              <w:bottom w:val="nil"/>
              <w:right w:val="nil"/>
            </w:tcBorders>
            <w:shd w:val="clear" w:color="auto" w:fill="2C398A"/>
          </w:tcPr>
          <w:p w:rsidR="00A56FE9" w:rsidRDefault="00A56FE9">
            <w:pPr>
              <w:pStyle w:val="TableParagraph"/>
              <w:rPr>
                <w:sz w:val="18"/>
              </w:rPr>
            </w:pPr>
          </w:p>
        </w:tc>
        <w:tc>
          <w:tcPr>
            <w:tcW w:w="391" w:type="dxa"/>
            <w:tcBorders>
              <w:left w:val="nil"/>
              <w:bottom w:val="nil"/>
              <w:right w:val="nil"/>
            </w:tcBorders>
            <w:shd w:val="clear" w:color="auto" w:fill="2C398A"/>
          </w:tcPr>
          <w:p w:rsidR="00A56FE9" w:rsidRDefault="00A56FE9">
            <w:pPr>
              <w:pStyle w:val="TableParagraph"/>
              <w:rPr>
                <w:sz w:val="18"/>
              </w:rPr>
            </w:pPr>
          </w:p>
        </w:tc>
        <w:tc>
          <w:tcPr>
            <w:tcW w:w="782" w:type="dxa"/>
            <w:gridSpan w:val="2"/>
            <w:tcBorders>
              <w:left w:val="nil"/>
              <w:bottom w:val="nil"/>
              <w:right w:val="nil"/>
            </w:tcBorders>
            <w:shd w:val="clear" w:color="auto" w:fill="2C398A"/>
          </w:tcPr>
          <w:p w:rsidR="00A56FE9" w:rsidRDefault="00A56FE9">
            <w:pPr>
              <w:pStyle w:val="TableParagraph"/>
              <w:spacing w:before="7"/>
              <w:rPr>
                <w:b/>
                <w:sz w:val="26"/>
              </w:rPr>
            </w:pPr>
          </w:p>
          <w:p w:rsidR="00A56FE9" w:rsidRDefault="00000000">
            <w:pPr>
              <w:pStyle w:val="TableParagraph"/>
              <w:spacing w:before="1"/>
              <w:ind w:left="34"/>
              <w:rPr>
                <w:sz w:val="18"/>
              </w:rPr>
            </w:pPr>
            <w:r>
              <w:rPr>
                <w:color w:val="FFFFFF"/>
                <w:sz w:val="18"/>
              </w:rPr>
              <w:t>Economy</w:t>
            </w:r>
          </w:p>
        </w:tc>
        <w:tc>
          <w:tcPr>
            <w:tcW w:w="383" w:type="dxa"/>
            <w:tcBorders>
              <w:left w:val="nil"/>
              <w:bottom w:val="nil"/>
              <w:right w:val="nil"/>
            </w:tcBorders>
            <w:shd w:val="clear" w:color="auto" w:fill="2C398A"/>
          </w:tcPr>
          <w:p w:rsidR="00A56FE9" w:rsidRDefault="00A56FE9">
            <w:pPr>
              <w:pStyle w:val="TableParagraph"/>
              <w:rPr>
                <w:sz w:val="18"/>
              </w:rPr>
            </w:pPr>
          </w:p>
        </w:tc>
        <w:tc>
          <w:tcPr>
            <w:tcW w:w="389" w:type="dxa"/>
            <w:tcBorders>
              <w:left w:val="nil"/>
              <w:bottom w:val="nil"/>
              <w:right w:val="single" w:sz="4" w:space="0" w:color="FFFFFF"/>
            </w:tcBorders>
            <w:shd w:val="clear" w:color="auto" w:fill="2C398A"/>
          </w:tcPr>
          <w:p w:rsidR="00A56FE9" w:rsidRDefault="00A56FE9">
            <w:pPr>
              <w:pStyle w:val="TableParagraph"/>
              <w:rPr>
                <w:sz w:val="18"/>
              </w:rPr>
            </w:pPr>
          </w:p>
        </w:tc>
        <w:tc>
          <w:tcPr>
            <w:tcW w:w="3534" w:type="dxa"/>
            <w:gridSpan w:val="9"/>
            <w:tcBorders>
              <w:left w:val="single" w:sz="4" w:space="0" w:color="FFFFFF"/>
              <w:bottom w:val="nil"/>
              <w:right w:val="single" w:sz="6" w:space="0" w:color="FFFFFF"/>
            </w:tcBorders>
            <w:shd w:val="clear" w:color="auto" w:fill="2C398A"/>
          </w:tcPr>
          <w:p w:rsidR="00A56FE9" w:rsidRDefault="00A56FE9">
            <w:pPr>
              <w:pStyle w:val="TableParagraph"/>
              <w:spacing w:before="8"/>
              <w:rPr>
                <w:b/>
                <w:sz w:val="17"/>
              </w:rPr>
            </w:pPr>
          </w:p>
          <w:p w:rsidR="00A56FE9" w:rsidRDefault="00000000">
            <w:pPr>
              <w:pStyle w:val="TableParagraph"/>
              <w:ind w:left="1528" w:right="212" w:hanging="1294"/>
              <w:rPr>
                <w:sz w:val="18"/>
              </w:rPr>
            </w:pPr>
            <w:r>
              <w:rPr>
                <w:color w:val="FFFFFF"/>
                <w:sz w:val="18"/>
              </w:rPr>
              <w:t>Public Administration, Judiciary and State</w:t>
            </w:r>
            <w:r>
              <w:rPr>
                <w:color w:val="FFFFFF"/>
                <w:spacing w:val="-42"/>
                <w:sz w:val="18"/>
              </w:rPr>
              <w:t xml:space="preserve"> </w:t>
            </w:r>
            <w:r>
              <w:rPr>
                <w:color w:val="FFFFFF"/>
                <w:sz w:val="18"/>
              </w:rPr>
              <w:t>Assets</w:t>
            </w:r>
          </w:p>
        </w:tc>
        <w:tc>
          <w:tcPr>
            <w:tcW w:w="1195" w:type="dxa"/>
            <w:gridSpan w:val="2"/>
            <w:tcBorders>
              <w:left w:val="single" w:sz="6" w:space="0" w:color="FFFFFF"/>
              <w:bottom w:val="nil"/>
              <w:right w:val="single" w:sz="4" w:space="0" w:color="FFFFFF"/>
            </w:tcBorders>
            <w:shd w:val="clear" w:color="auto" w:fill="2C398A"/>
          </w:tcPr>
          <w:p w:rsidR="00A56FE9" w:rsidRDefault="00000000">
            <w:pPr>
              <w:pStyle w:val="TableParagraph"/>
              <w:spacing w:before="100"/>
              <w:ind w:left="152" w:right="163" w:firstLine="45"/>
              <w:jc w:val="both"/>
              <w:rPr>
                <w:sz w:val="18"/>
              </w:rPr>
            </w:pPr>
            <w:r>
              <w:rPr>
                <w:color w:val="FFFFFF"/>
                <w:sz w:val="18"/>
              </w:rPr>
              <w:t>Education,</w:t>
            </w:r>
            <w:r>
              <w:rPr>
                <w:color w:val="FFFFFF"/>
                <w:spacing w:val="1"/>
                <w:sz w:val="18"/>
              </w:rPr>
              <w:t xml:space="preserve"> </w:t>
            </w:r>
            <w:r>
              <w:rPr>
                <w:color w:val="FFFFFF"/>
                <w:spacing w:val="-1"/>
                <w:sz w:val="18"/>
              </w:rPr>
              <w:t xml:space="preserve">Science </w:t>
            </w:r>
            <w:r>
              <w:rPr>
                <w:color w:val="FFFFFF"/>
                <w:sz w:val="18"/>
              </w:rPr>
              <w:t>and</w:t>
            </w:r>
            <w:r>
              <w:rPr>
                <w:color w:val="FFFFFF"/>
                <w:spacing w:val="-42"/>
                <w:sz w:val="18"/>
              </w:rPr>
              <w:t xml:space="preserve"> </w:t>
            </w:r>
            <w:r>
              <w:rPr>
                <w:color w:val="FFFFFF"/>
                <w:sz w:val="18"/>
              </w:rPr>
              <w:t>Research</w:t>
            </w:r>
          </w:p>
        </w:tc>
        <w:tc>
          <w:tcPr>
            <w:tcW w:w="1213" w:type="dxa"/>
            <w:gridSpan w:val="3"/>
            <w:tcBorders>
              <w:left w:val="single" w:sz="4" w:space="0" w:color="FFFFFF"/>
              <w:bottom w:val="nil"/>
              <w:right w:val="single" w:sz="4" w:space="0" w:color="FFFFFF"/>
            </w:tcBorders>
            <w:shd w:val="clear" w:color="auto" w:fill="2C398A"/>
          </w:tcPr>
          <w:p w:rsidR="00A56FE9" w:rsidRDefault="00000000">
            <w:pPr>
              <w:pStyle w:val="TableParagraph"/>
              <w:spacing w:line="242" w:lineRule="auto"/>
              <w:ind w:left="181" w:right="195" w:firstLine="3"/>
              <w:jc w:val="center"/>
              <w:rPr>
                <w:sz w:val="18"/>
              </w:rPr>
            </w:pPr>
            <w:r>
              <w:rPr>
                <w:color w:val="FFFFFF"/>
                <w:sz w:val="18"/>
              </w:rPr>
              <w:t>Labour</w:t>
            </w:r>
            <w:r>
              <w:rPr>
                <w:color w:val="FFFFFF"/>
                <w:spacing w:val="1"/>
                <w:sz w:val="18"/>
              </w:rPr>
              <w:t xml:space="preserve"> </w:t>
            </w:r>
            <w:r>
              <w:rPr>
                <w:color w:val="FFFFFF"/>
                <w:spacing w:val="-1"/>
                <w:sz w:val="18"/>
              </w:rPr>
              <w:t>Market</w:t>
            </w:r>
            <w:r>
              <w:rPr>
                <w:color w:val="FFFFFF"/>
                <w:spacing w:val="-9"/>
                <w:sz w:val="18"/>
              </w:rPr>
              <w:t xml:space="preserve"> </w:t>
            </w:r>
            <w:r>
              <w:rPr>
                <w:color w:val="FFFFFF"/>
                <w:spacing w:val="-1"/>
                <w:sz w:val="18"/>
              </w:rPr>
              <w:t>and</w:t>
            </w:r>
          </w:p>
          <w:p w:rsidR="00A56FE9" w:rsidRDefault="00000000">
            <w:pPr>
              <w:pStyle w:val="TableParagraph"/>
              <w:spacing w:line="206" w:lineRule="exact"/>
              <w:ind w:left="225" w:right="236" w:hanging="1"/>
              <w:jc w:val="center"/>
              <w:rPr>
                <w:sz w:val="18"/>
              </w:rPr>
            </w:pPr>
            <w:r>
              <w:rPr>
                <w:color w:val="FFFFFF"/>
                <w:sz w:val="18"/>
              </w:rPr>
              <w:t>Social</w:t>
            </w:r>
            <w:r>
              <w:rPr>
                <w:color w:val="FFFFFF"/>
                <w:spacing w:val="1"/>
                <w:sz w:val="18"/>
              </w:rPr>
              <w:t xml:space="preserve"> </w:t>
            </w:r>
            <w:r>
              <w:rPr>
                <w:color w:val="FFFFFF"/>
                <w:sz w:val="18"/>
              </w:rPr>
              <w:t>Protection</w:t>
            </w:r>
          </w:p>
        </w:tc>
        <w:tc>
          <w:tcPr>
            <w:tcW w:w="986" w:type="dxa"/>
            <w:tcBorders>
              <w:left w:val="single" w:sz="4" w:space="0" w:color="FFFFFF"/>
              <w:bottom w:val="nil"/>
              <w:right w:val="single" w:sz="4" w:space="0" w:color="FFFFFF"/>
            </w:tcBorders>
            <w:shd w:val="clear" w:color="auto" w:fill="2C398A"/>
          </w:tcPr>
          <w:p w:rsidR="00A56FE9" w:rsidRDefault="00A56FE9">
            <w:pPr>
              <w:pStyle w:val="TableParagraph"/>
              <w:spacing w:before="8"/>
              <w:rPr>
                <w:b/>
                <w:sz w:val="17"/>
              </w:rPr>
            </w:pPr>
          </w:p>
          <w:p w:rsidR="00A56FE9" w:rsidRDefault="00000000">
            <w:pPr>
              <w:pStyle w:val="TableParagraph"/>
              <w:ind w:left="307" w:right="239" w:hanging="70"/>
              <w:rPr>
                <w:sz w:val="18"/>
              </w:rPr>
            </w:pPr>
            <w:r>
              <w:rPr>
                <w:color w:val="FFFFFF"/>
                <w:sz w:val="18"/>
              </w:rPr>
              <w:t>Health</w:t>
            </w:r>
            <w:r>
              <w:rPr>
                <w:color w:val="FFFFFF"/>
                <w:spacing w:val="-43"/>
                <w:sz w:val="18"/>
              </w:rPr>
              <w:t xml:space="preserve"> </w:t>
            </w:r>
            <w:r>
              <w:rPr>
                <w:color w:val="FFFFFF"/>
                <w:sz w:val="18"/>
              </w:rPr>
              <w:t>Care</w:t>
            </w:r>
          </w:p>
        </w:tc>
        <w:tc>
          <w:tcPr>
            <w:tcW w:w="1049" w:type="dxa"/>
            <w:tcBorders>
              <w:left w:val="single" w:sz="4" w:space="0" w:color="FFFFFF"/>
              <w:bottom w:val="nil"/>
            </w:tcBorders>
            <w:shd w:val="clear" w:color="auto" w:fill="2C398A"/>
          </w:tcPr>
          <w:p w:rsidR="00A56FE9" w:rsidRDefault="00000000">
            <w:pPr>
              <w:pStyle w:val="TableParagraph"/>
              <w:spacing w:before="100"/>
              <w:ind w:left="92" w:right="113"/>
              <w:jc w:val="center"/>
              <w:rPr>
                <w:sz w:val="18"/>
              </w:rPr>
            </w:pPr>
            <w:r>
              <w:rPr>
                <w:color w:val="FFFFFF"/>
                <w:sz w:val="18"/>
              </w:rPr>
              <w:t>Renovation</w:t>
            </w:r>
            <w:r>
              <w:rPr>
                <w:color w:val="FFFFFF"/>
                <w:spacing w:val="-42"/>
                <w:sz w:val="18"/>
              </w:rPr>
              <w:t xml:space="preserve"> </w:t>
            </w:r>
            <w:r>
              <w:rPr>
                <w:color w:val="FFFFFF"/>
                <w:sz w:val="18"/>
              </w:rPr>
              <w:t>of</w:t>
            </w:r>
            <w:r>
              <w:rPr>
                <w:color w:val="FFFFFF"/>
                <w:spacing w:val="1"/>
                <w:sz w:val="18"/>
              </w:rPr>
              <w:t xml:space="preserve"> </w:t>
            </w:r>
            <w:r>
              <w:rPr>
                <w:color w:val="FFFFFF"/>
                <w:sz w:val="18"/>
              </w:rPr>
              <w:t>Buildings</w:t>
            </w:r>
          </w:p>
        </w:tc>
      </w:tr>
      <w:tr w:rsidR="00A56FE9">
        <w:trPr>
          <w:trHeight w:val="447"/>
        </w:trPr>
        <w:tc>
          <w:tcPr>
            <w:tcW w:w="3675" w:type="dxa"/>
            <w:tcBorders>
              <w:top w:val="nil"/>
              <w:bottom w:val="single" w:sz="4" w:space="0" w:color="FFFFFF"/>
              <w:right w:val="single" w:sz="4" w:space="0" w:color="FFFFFF"/>
            </w:tcBorders>
            <w:shd w:val="clear" w:color="auto" w:fill="2C398A"/>
          </w:tcPr>
          <w:p w:rsidR="00A56FE9" w:rsidRDefault="00000000">
            <w:pPr>
              <w:pStyle w:val="TableParagraph"/>
              <w:spacing w:before="113"/>
              <w:ind w:left="1362" w:right="1352"/>
              <w:jc w:val="center"/>
              <w:rPr>
                <w:sz w:val="18"/>
              </w:rPr>
            </w:pPr>
            <w:r>
              <w:rPr>
                <w:color w:val="FFFFFF"/>
                <w:sz w:val="18"/>
              </w:rPr>
              <w:t>Code</w:t>
            </w:r>
          </w:p>
        </w:tc>
        <w:tc>
          <w:tcPr>
            <w:tcW w:w="415" w:type="dxa"/>
            <w:tcBorders>
              <w:top w:val="nil"/>
              <w:left w:val="single" w:sz="4" w:space="0" w:color="FFFFFF"/>
              <w:bottom w:val="single" w:sz="4" w:space="0" w:color="FFFFFF"/>
              <w:right w:val="nil"/>
            </w:tcBorders>
            <w:shd w:val="clear" w:color="auto" w:fill="2C398A"/>
          </w:tcPr>
          <w:p w:rsidR="00A56FE9" w:rsidRDefault="00A56FE9">
            <w:pPr>
              <w:pStyle w:val="TableParagraph"/>
              <w:rPr>
                <w:sz w:val="18"/>
              </w:rPr>
            </w:pPr>
          </w:p>
        </w:tc>
        <w:tc>
          <w:tcPr>
            <w:tcW w:w="391"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782" w:type="dxa"/>
            <w:gridSpan w:val="2"/>
            <w:tcBorders>
              <w:top w:val="nil"/>
              <w:left w:val="nil"/>
              <w:bottom w:val="single" w:sz="4" w:space="0" w:color="FFFFFF"/>
              <w:right w:val="nil"/>
            </w:tcBorders>
            <w:shd w:val="clear" w:color="auto" w:fill="2C398A"/>
          </w:tcPr>
          <w:p w:rsidR="00A56FE9" w:rsidRDefault="00000000">
            <w:pPr>
              <w:pStyle w:val="TableParagraph"/>
              <w:spacing w:before="113"/>
              <w:ind w:left="252" w:right="278"/>
              <w:jc w:val="center"/>
              <w:rPr>
                <w:sz w:val="18"/>
              </w:rPr>
            </w:pPr>
            <w:r>
              <w:rPr>
                <w:color w:val="FFFFFF"/>
                <w:sz w:val="18"/>
              </w:rPr>
              <w:t>C1</w:t>
            </w:r>
          </w:p>
        </w:tc>
        <w:tc>
          <w:tcPr>
            <w:tcW w:w="383"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89" w:type="dxa"/>
            <w:tcBorders>
              <w:top w:val="nil"/>
              <w:left w:val="nil"/>
              <w:bottom w:val="single" w:sz="4" w:space="0" w:color="FFFFFF"/>
              <w:right w:val="single" w:sz="4" w:space="0" w:color="FFFFFF"/>
            </w:tcBorders>
            <w:shd w:val="clear" w:color="auto" w:fill="2C398A"/>
          </w:tcPr>
          <w:p w:rsidR="00A56FE9" w:rsidRDefault="00A56FE9">
            <w:pPr>
              <w:pStyle w:val="TableParagraph"/>
              <w:rPr>
                <w:sz w:val="18"/>
              </w:rPr>
            </w:pPr>
          </w:p>
        </w:tc>
        <w:tc>
          <w:tcPr>
            <w:tcW w:w="396" w:type="dxa"/>
            <w:tcBorders>
              <w:top w:val="nil"/>
              <w:left w:val="single" w:sz="4" w:space="0" w:color="FFFFFF"/>
              <w:bottom w:val="single" w:sz="4" w:space="0" w:color="FFFFFF"/>
              <w:right w:val="nil"/>
            </w:tcBorders>
            <w:shd w:val="clear" w:color="auto" w:fill="2C398A"/>
          </w:tcPr>
          <w:p w:rsidR="00A56FE9" w:rsidRDefault="00A56FE9">
            <w:pPr>
              <w:pStyle w:val="TableParagraph"/>
              <w:rPr>
                <w:sz w:val="18"/>
              </w:rPr>
            </w:pPr>
          </w:p>
        </w:tc>
        <w:tc>
          <w:tcPr>
            <w:tcW w:w="389"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6"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4"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9" w:type="dxa"/>
            <w:tcBorders>
              <w:top w:val="nil"/>
              <w:left w:val="nil"/>
              <w:bottom w:val="single" w:sz="4" w:space="0" w:color="FFFFFF"/>
              <w:right w:val="nil"/>
            </w:tcBorders>
            <w:shd w:val="clear" w:color="auto" w:fill="2C398A"/>
          </w:tcPr>
          <w:p w:rsidR="00A56FE9" w:rsidRDefault="00000000">
            <w:pPr>
              <w:pStyle w:val="TableParagraph"/>
              <w:spacing w:before="113"/>
              <w:ind w:left="69" w:right="79"/>
              <w:jc w:val="center"/>
              <w:rPr>
                <w:sz w:val="18"/>
              </w:rPr>
            </w:pPr>
            <w:r>
              <w:rPr>
                <w:color w:val="FFFFFF"/>
                <w:sz w:val="18"/>
              </w:rPr>
              <w:t>C2</w:t>
            </w:r>
          </w:p>
        </w:tc>
        <w:tc>
          <w:tcPr>
            <w:tcW w:w="392"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2"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72"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04" w:type="dxa"/>
            <w:tcBorders>
              <w:top w:val="nil"/>
              <w:left w:val="nil"/>
              <w:bottom w:val="single" w:sz="4" w:space="0" w:color="FFFFFF"/>
              <w:right w:val="single" w:sz="6" w:space="0" w:color="FFFFFF"/>
            </w:tcBorders>
            <w:shd w:val="clear" w:color="auto" w:fill="2C398A"/>
          </w:tcPr>
          <w:p w:rsidR="00A56FE9" w:rsidRDefault="00A56FE9">
            <w:pPr>
              <w:pStyle w:val="TableParagraph"/>
              <w:rPr>
                <w:sz w:val="18"/>
              </w:rPr>
            </w:pPr>
          </w:p>
        </w:tc>
        <w:tc>
          <w:tcPr>
            <w:tcW w:w="1195" w:type="dxa"/>
            <w:gridSpan w:val="2"/>
            <w:tcBorders>
              <w:top w:val="nil"/>
              <w:left w:val="single" w:sz="6" w:space="0" w:color="FFFFFF"/>
              <w:bottom w:val="single" w:sz="4" w:space="0" w:color="FFFFFF"/>
              <w:right w:val="single" w:sz="4" w:space="0" w:color="FFFFFF"/>
            </w:tcBorders>
            <w:shd w:val="clear" w:color="auto" w:fill="2C398A"/>
          </w:tcPr>
          <w:p w:rsidR="00A56FE9" w:rsidRDefault="00000000">
            <w:pPr>
              <w:pStyle w:val="TableParagraph"/>
              <w:spacing w:before="113"/>
              <w:ind w:left="462" w:right="469"/>
              <w:jc w:val="center"/>
              <w:rPr>
                <w:sz w:val="18"/>
              </w:rPr>
            </w:pPr>
            <w:r>
              <w:rPr>
                <w:color w:val="FFFFFF"/>
                <w:sz w:val="18"/>
              </w:rPr>
              <w:t>C3</w:t>
            </w:r>
          </w:p>
        </w:tc>
        <w:tc>
          <w:tcPr>
            <w:tcW w:w="393" w:type="dxa"/>
            <w:tcBorders>
              <w:top w:val="nil"/>
              <w:left w:val="single" w:sz="4" w:space="0" w:color="FFFFFF"/>
              <w:bottom w:val="single" w:sz="4" w:space="0" w:color="FFFFFF"/>
              <w:right w:val="nil"/>
            </w:tcBorders>
            <w:shd w:val="clear" w:color="auto" w:fill="2C398A"/>
          </w:tcPr>
          <w:p w:rsidR="00A56FE9" w:rsidRDefault="00A56FE9">
            <w:pPr>
              <w:pStyle w:val="TableParagraph"/>
              <w:rPr>
                <w:sz w:val="18"/>
              </w:rPr>
            </w:pPr>
          </w:p>
        </w:tc>
        <w:tc>
          <w:tcPr>
            <w:tcW w:w="398" w:type="dxa"/>
            <w:tcBorders>
              <w:top w:val="nil"/>
              <w:left w:val="nil"/>
              <w:bottom w:val="single" w:sz="4" w:space="0" w:color="FFFFFF"/>
              <w:right w:val="nil"/>
            </w:tcBorders>
            <w:shd w:val="clear" w:color="auto" w:fill="2C398A"/>
          </w:tcPr>
          <w:p w:rsidR="00A56FE9" w:rsidRDefault="00000000">
            <w:pPr>
              <w:pStyle w:val="TableParagraph"/>
              <w:spacing w:before="113"/>
              <w:ind w:left="80" w:right="67"/>
              <w:jc w:val="center"/>
              <w:rPr>
                <w:sz w:val="18"/>
              </w:rPr>
            </w:pPr>
            <w:r>
              <w:rPr>
                <w:color w:val="FFFFFF"/>
                <w:sz w:val="18"/>
              </w:rPr>
              <w:t>C4</w:t>
            </w:r>
          </w:p>
        </w:tc>
        <w:tc>
          <w:tcPr>
            <w:tcW w:w="422" w:type="dxa"/>
            <w:tcBorders>
              <w:top w:val="nil"/>
              <w:left w:val="nil"/>
              <w:bottom w:val="single" w:sz="4" w:space="0" w:color="FFFFFF"/>
              <w:right w:val="single" w:sz="4" w:space="0" w:color="FFFFFF"/>
            </w:tcBorders>
            <w:shd w:val="clear" w:color="auto" w:fill="2C398A"/>
          </w:tcPr>
          <w:p w:rsidR="00A56FE9" w:rsidRDefault="00A56FE9">
            <w:pPr>
              <w:pStyle w:val="TableParagraph"/>
              <w:rPr>
                <w:sz w:val="18"/>
              </w:rPr>
            </w:pPr>
          </w:p>
        </w:tc>
        <w:tc>
          <w:tcPr>
            <w:tcW w:w="986" w:type="dxa"/>
            <w:tcBorders>
              <w:top w:val="nil"/>
              <w:left w:val="single" w:sz="4" w:space="0" w:color="FFFFFF"/>
              <w:bottom w:val="single" w:sz="4" w:space="0" w:color="FFFFFF"/>
              <w:right w:val="single" w:sz="4" w:space="0" w:color="FFFFFF"/>
            </w:tcBorders>
            <w:shd w:val="clear" w:color="auto" w:fill="2C398A"/>
          </w:tcPr>
          <w:p w:rsidR="00A56FE9" w:rsidRDefault="00000000">
            <w:pPr>
              <w:pStyle w:val="TableParagraph"/>
              <w:spacing w:before="113"/>
              <w:ind w:left="372"/>
              <w:rPr>
                <w:sz w:val="18"/>
              </w:rPr>
            </w:pPr>
            <w:r>
              <w:rPr>
                <w:color w:val="FFFFFF"/>
                <w:sz w:val="18"/>
              </w:rPr>
              <w:t>C5</w:t>
            </w:r>
          </w:p>
        </w:tc>
        <w:tc>
          <w:tcPr>
            <w:tcW w:w="1049" w:type="dxa"/>
            <w:tcBorders>
              <w:top w:val="nil"/>
              <w:left w:val="single" w:sz="4" w:space="0" w:color="FFFFFF"/>
              <w:bottom w:val="single" w:sz="4" w:space="0" w:color="FFFFFF"/>
            </w:tcBorders>
            <w:shd w:val="clear" w:color="auto" w:fill="2C398A"/>
          </w:tcPr>
          <w:p w:rsidR="00A56FE9" w:rsidRDefault="00000000">
            <w:pPr>
              <w:pStyle w:val="TableParagraph"/>
              <w:spacing w:before="113"/>
              <w:ind w:right="424"/>
              <w:jc w:val="right"/>
              <w:rPr>
                <w:sz w:val="18"/>
              </w:rPr>
            </w:pPr>
            <w:r>
              <w:rPr>
                <w:color w:val="FFFFFF"/>
                <w:sz w:val="18"/>
              </w:rPr>
              <w:t>C6</w:t>
            </w:r>
          </w:p>
        </w:tc>
      </w:tr>
      <w:tr w:rsidR="00A56FE9">
        <w:trPr>
          <w:trHeight w:val="369"/>
        </w:trPr>
        <w:tc>
          <w:tcPr>
            <w:tcW w:w="3675" w:type="dxa"/>
            <w:tcBorders>
              <w:top w:val="single" w:sz="4" w:space="0" w:color="FFFFFF"/>
              <w:left w:val="nil"/>
              <w:right w:val="single" w:sz="4" w:space="0" w:color="FFFFFF"/>
            </w:tcBorders>
            <w:shd w:val="clear" w:color="auto" w:fill="D9D9D9"/>
          </w:tcPr>
          <w:p w:rsidR="00A56FE9" w:rsidRDefault="00A56FE9">
            <w:pPr>
              <w:pStyle w:val="TableParagraph"/>
              <w:rPr>
                <w:sz w:val="18"/>
              </w:rPr>
            </w:pPr>
          </w:p>
        </w:tc>
        <w:tc>
          <w:tcPr>
            <w:tcW w:w="415" w:type="dxa"/>
            <w:tcBorders>
              <w:top w:val="single" w:sz="4" w:space="0" w:color="FFFFFF"/>
              <w:left w:val="single" w:sz="4" w:space="0" w:color="FFFFFF"/>
              <w:right w:val="nil"/>
            </w:tcBorders>
            <w:shd w:val="clear" w:color="auto" w:fill="DEEAF6"/>
          </w:tcPr>
          <w:p w:rsidR="00A56FE9" w:rsidRDefault="00000000">
            <w:pPr>
              <w:pStyle w:val="TableParagraph"/>
              <w:spacing w:before="45"/>
              <w:ind w:left="2"/>
              <w:jc w:val="center"/>
              <w:rPr>
                <w:sz w:val="18"/>
              </w:rPr>
            </w:pPr>
            <w:r>
              <w:rPr>
                <w:sz w:val="18"/>
              </w:rPr>
              <w:t>1</w:t>
            </w:r>
          </w:p>
        </w:tc>
        <w:tc>
          <w:tcPr>
            <w:tcW w:w="391" w:type="dxa"/>
            <w:tcBorders>
              <w:top w:val="single" w:sz="4" w:space="0" w:color="FFFFFF"/>
              <w:left w:val="nil"/>
              <w:right w:val="nil"/>
            </w:tcBorders>
            <w:shd w:val="clear" w:color="auto" w:fill="DEEAF6"/>
          </w:tcPr>
          <w:p w:rsidR="00A56FE9" w:rsidRDefault="00000000">
            <w:pPr>
              <w:pStyle w:val="TableParagraph"/>
              <w:spacing w:before="45"/>
              <w:ind w:left="7"/>
              <w:jc w:val="center"/>
              <w:rPr>
                <w:sz w:val="18"/>
              </w:rPr>
            </w:pPr>
            <w:r>
              <w:rPr>
                <w:sz w:val="18"/>
              </w:rPr>
              <w:t>2</w:t>
            </w:r>
          </w:p>
        </w:tc>
        <w:tc>
          <w:tcPr>
            <w:tcW w:w="401" w:type="dxa"/>
            <w:tcBorders>
              <w:top w:val="single" w:sz="4" w:space="0" w:color="FFFFFF"/>
              <w:left w:val="nil"/>
              <w:right w:val="nil"/>
            </w:tcBorders>
            <w:shd w:val="clear" w:color="auto" w:fill="DEEAF6"/>
          </w:tcPr>
          <w:p w:rsidR="00A56FE9" w:rsidRDefault="00000000">
            <w:pPr>
              <w:pStyle w:val="TableParagraph"/>
              <w:spacing w:before="45"/>
              <w:ind w:left="7"/>
              <w:jc w:val="center"/>
              <w:rPr>
                <w:sz w:val="18"/>
              </w:rPr>
            </w:pPr>
            <w:r>
              <w:rPr>
                <w:sz w:val="18"/>
              </w:rPr>
              <w:t>3</w:t>
            </w:r>
          </w:p>
        </w:tc>
        <w:tc>
          <w:tcPr>
            <w:tcW w:w="381" w:type="dxa"/>
            <w:tcBorders>
              <w:top w:val="single" w:sz="4" w:space="0" w:color="FFFFFF"/>
              <w:left w:val="nil"/>
              <w:right w:val="nil"/>
            </w:tcBorders>
            <w:shd w:val="clear" w:color="auto" w:fill="DEEAF6"/>
          </w:tcPr>
          <w:p w:rsidR="00A56FE9" w:rsidRDefault="00000000">
            <w:pPr>
              <w:pStyle w:val="TableParagraph"/>
              <w:spacing w:before="45"/>
              <w:ind w:left="7"/>
              <w:jc w:val="center"/>
              <w:rPr>
                <w:sz w:val="18"/>
              </w:rPr>
            </w:pPr>
            <w:r>
              <w:rPr>
                <w:sz w:val="18"/>
              </w:rPr>
              <w:t>4</w:t>
            </w:r>
          </w:p>
        </w:tc>
        <w:tc>
          <w:tcPr>
            <w:tcW w:w="383" w:type="dxa"/>
            <w:tcBorders>
              <w:top w:val="single" w:sz="4" w:space="0" w:color="FFFFFF"/>
              <w:left w:val="nil"/>
              <w:right w:val="nil"/>
            </w:tcBorders>
            <w:shd w:val="clear" w:color="auto" w:fill="DEEAF6"/>
          </w:tcPr>
          <w:p w:rsidR="00A56FE9" w:rsidRDefault="00000000">
            <w:pPr>
              <w:pStyle w:val="TableParagraph"/>
              <w:spacing w:before="45"/>
              <w:ind w:left="7"/>
              <w:jc w:val="center"/>
              <w:rPr>
                <w:sz w:val="18"/>
              </w:rPr>
            </w:pPr>
            <w:r>
              <w:rPr>
                <w:sz w:val="18"/>
              </w:rPr>
              <w:t>5</w:t>
            </w:r>
          </w:p>
        </w:tc>
        <w:tc>
          <w:tcPr>
            <w:tcW w:w="389" w:type="dxa"/>
            <w:tcBorders>
              <w:top w:val="single" w:sz="4" w:space="0" w:color="FFFFFF"/>
              <w:left w:val="nil"/>
              <w:right w:val="single" w:sz="4" w:space="0" w:color="FFFFFF"/>
            </w:tcBorders>
            <w:shd w:val="clear" w:color="auto" w:fill="DEEAF6"/>
          </w:tcPr>
          <w:p w:rsidR="00A56FE9" w:rsidRDefault="00000000">
            <w:pPr>
              <w:pStyle w:val="TableParagraph"/>
              <w:spacing w:before="45"/>
              <w:ind w:left="12"/>
              <w:jc w:val="center"/>
              <w:rPr>
                <w:sz w:val="18"/>
              </w:rPr>
            </w:pPr>
            <w:r>
              <w:rPr>
                <w:sz w:val="18"/>
              </w:rPr>
              <w:t>6</w:t>
            </w:r>
          </w:p>
        </w:tc>
        <w:tc>
          <w:tcPr>
            <w:tcW w:w="396" w:type="dxa"/>
            <w:tcBorders>
              <w:top w:val="single" w:sz="4" w:space="0" w:color="FFFFFF"/>
              <w:left w:val="single" w:sz="4" w:space="0" w:color="FFFFFF"/>
              <w:right w:val="nil"/>
            </w:tcBorders>
            <w:shd w:val="clear" w:color="auto" w:fill="FAE3D4"/>
          </w:tcPr>
          <w:p w:rsidR="00A56FE9" w:rsidRDefault="00000000">
            <w:pPr>
              <w:pStyle w:val="TableParagraph"/>
              <w:spacing w:before="45"/>
              <w:jc w:val="center"/>
              <w:rPr>
                <w:sz w:val="18"/>
              </w:rPr>
            </w:pPr>
            <w:r>
              <w:rPr>
                <w:sz w:val="18"/>
              </w:rPr>
              <w:t>1</w:t>
            </w:r>
          </w:p>
        </w:tc>
        <w:tc>
          <w:tcPr>
            <w:tcW w:w="389" w:type="dxa"/>
            <w:tcBorders>
              <w:top w:val="single" w:sz="4" w:space="0" w:color="FFFFFF"/>
              <w:left w:val="nil"/>
              <w:right w:val="nil"/>
            </w:tcBorders>
            <w:shd w:val="clear" w:color="auto" w:fill="FAE3D4"/>
          </w:tcPr>
          <w:p w:rsidR="00A56FE9" w:rsidRDefault="00000000">
            <w:pPr>
              <w:pStyle w:val="TableParagraph"/>
              <w:spacing w:before="45"/>
              <w:ind w:left="7"/>
              <w:jc w:val="center"/>
              <w:rPr>
                <w:sz w:val="18"/>
              </w:rPr>
            </w:pPr>
            <w:r>
              <w:rPr>
                <w:sz w:val="18"/>
              </w:rPr>
              <w:t>2</w:t>
            </w:r>
          </w:p>
        </w:tc>
        <w:tc>
          <w:tcPr>
            <w:tcW w:w="396" w:type="dxa"/>
            <w:tcBorders>
              <w:top w:val="single" w:sz="4" w:space="0" w:color="FFFFFF"/>
              <w:left w:val="nil"/>
              <w:right w:val="nil"/>
            </w:tcBorders>
            <w:shd w:val="clear" w:color="auto" w:fill="FAE3D4"/>
          </w:tcPr>
          <w:p w:rsidR="00A56FE9" w:rsidRDefault="00000000">
            <w:pPr>
              <w:pStyle w:val="TableParagraph"/>
              <w:spacing w:before="45"/>
              <w:ind w:left="5"/>
              <w:jc w:val="center"/>
              <w:rPr>
                <w:sz w:val="18"/>
              </w:rPr>
            </w:pPr>
            <w:r>
              <w:rPr>
                <w:sz w:val="18"/>
              </w:rPr>
              <w:t>3</w:t>
            </w:r>
          </w:p>
        </w:tc>
        <w:tc>
          <w:tcPr>
            <w:tcW w:w="394" w:type="dxa"/>
            <w:tcBorders>
              <w:top w:val="single" w:sz="4" w:space="0" w:color="FFFFFF"/>
              <w:left w:val="nil"/>
              <w:right w:val="nil"/>
            </w:tcBorders>
            <w:shd w:val="clear" w:color="auto" w:fill="FAE3D4"/>
          </w:tcPr>
          <w:p w:rsidR="00A56FE9" w:rsidRDefault="00000000">
            <w:pPr>
              <w:pStyle w:val="TableParagraph"/>
              <w:spacing w:before="45"/>
              <w:ind w:left="7"/>
              <w:jc w:val="center"/>
              <w:rPr>
                <w:sz w:val="18"/>
              </w:rPr>
            </w:pPr>
            <w:r>
              <w:rPr>
                <w:sz w:val="18"/>
              </w:rPr>
              <w:t>4</w:t>
            </w:r>
          </w:p>
        </w:tc>
        <w:tc>
          <w:tcPr>
            <w:tcW w:w="399" w:type="dxa"/>
            <w:tcBorders>
              <w:top w:val="single" w:sz="4" w:space="0" w:color="FFFFFF"/>
              <w:left w:val="nil"/>
              <w:right w:val="nil"/>
            </w:tcBorders>
            <w:shd w:val="clear" w:color="auto" w:fill="FAE3D4"/>
          </w:tcPr>
          <w:p w:rsidR="00A56FE9" w:rsidRDefault="00000000">
            <w:pPr>
              <w:pStyle w:val="TableParagraph"/>
              <w:spacing w:before="45"/>
              <w:ind w:left="1"/>
              <w:jc w:val="center"/>
              <w:rPr>
                <w:sz w:val="18"/>
              </w:rPr>
            </w:pPr>
            <w:r>
              <w:rPr>
                <w:sz w:val="18"/>
              </w:rPr>
              <w:t>5</w:t>
            </w:r>
          </w:p>
        </w:tc>
        <w:tc>
          <w:tcPr>
            <w:tcW w:w="392" w:type="dxa"/>
            <w:tcBorders>
              <w:top w:val="single" w:sz="4" w:space="0" w:color="FFFFFF"/>
              <w:left w:val="nil"/>
              <w:right w:val="nil"/>
            </w:tcBorders>
            <w:shd w:val="clear" w:color="auto" w:fill="FAE3D4"/>
          </w:tcPr>
          <w:p w:rsidR="00A56FE9" w:rsidRDefault="00000000">
            <w:pPr>
              <w:pStyle w:val="TableParagraph"/>
              <w:spacing w:before="45"/>
              <w:ind w:left="2"/>
              <w:jc w:val="center"/>
              <w:rPr>
                <w:sz w:val="18"/>
              </w:rPr>
            </w:pPr>
            <w:r>
              <w:rPr>
                <w:sz w:val="18"/>
              </w:rPr>
              <w:t>6</w:t>
            </w:r>
          </w:p>
        </w:tc>
        <w:tc>
          <w:tcPr>
            <w:tcW w:w="392" w:type="dxa"/>
            <w:tcBorders>
              <w:top w:val="single" w:sz="4" w:space="0" w:color="FFFFFF"/>
              <w:left w:val="nil"/>
              <w:right w:val="nil"/>
            </w:tcBorders>
            <w:shd w:val="clear" w:color="auto" w:fill="FAE3D4"/>
          </w:tcPr>
          <w:p w:rsidR="00A56FE9" w:rsidRDefault="00000000">
            <w:pPr>
              <w:pStyle w:val="TableParagraph"/>
              <w:spacing w:before="45"/>
              <w:ind w:left="1"/>
              <w:jc w:val="center"/>
              <w:rPr>
                <w:sz w:val="18"/>
              </w:rPr>
            </w:pPr>
            <w:r>
              <w:rPr>
                <w:sz w:val="18"/>
              </w:rPr>
              <w:t>7</w:t>
            </w:r>
          </w:p>
        </w:tc>
        <w:tc>
          <w:tcPr>
            <w:tcW w:w="372" w:type="dxa"/>
            <w:tcBorders>
              <w:top w:val="single" w:sz="4" w:space="0" w:color="FFFFFF"/>
              <w:left w:val="nil"/>
              <w:right w:val="nil"/>
            </w:tcBorders>
            <w:shd w:val="clear" w:color="auto" w:fill="FAE3D4"/>
          </w:tcPr>
          <w:p w:rsidR="00A56FE9" w:rsidRDefault="00000000">
            <w:pPr>
              <w:pStyle w:val="TableParagraph"/>
              <w:spacing w:before="45"/>
              <w:jc w:val="center"/>
              <w:rPr>
                <w:sz w:val="18"/>
              </w:rPr>
            </w:pPr>
            <w:r>
              <w:rPr>
                <w:sz w:val="18"/>
              </w:rPr>
              <w:t>8</w:t>
            </w:r>
          </w:p>
        </w:tc>
        <w:tc>
          <w:tcPr>
            <w:tcW w:w="404" w:type="dxa"/>
            <w:tcBorders>
              <w:top w:val="single" w:sz="4" w:space="0" w:color="FFFFFF"/>
              <w:left w:val="nil"/>
              <w:right w:val="single" w:sz="6" w:space="0" w:color="FFFFFF"/>
            </w:tcBorders>
            <w:shd w:val="clear" w:color="auto" w:fill="FAE3D4"/>
          </w:tcPr>
          <w:p w:rsidR="00A56FE9" w:rsidRDefault="00000000">
            <w:pPr>
              <w:pStyle w:val="TableParagraph"/>
              <w:spacing w:before="45"/>
              <w:ind w:left="9"/>
              <w:jc w:val="center"/>
              <w:rPr>
                <w:sz w:val="18"/>
              </w:rPr>
            </w:pPr>
            <w:r>
              <w:rPr>
                <w:sz w:val="18"/>
              </w:rPr>
              <w:t>9</w:t>
            </w:r>
          </w:p>
        </w:tc>
        <w:tc>
          <w:tcPr>
            <w:tcW w:w="591" w:type="dxa"/>
            <w:tcBorders>
              <w:top w:val="single" w:sz="4" w:space="0" w:color="FFFFFF"/>
              <w:left w:val="single" w:sz="6" w:space="0" w:color="FFFFFF"/>
              <w:right w:val="nil"/>
            </w:tcBorders>
            <w:shd w:val="clear" w:color="auto" w:fill="FFF1CC"/>
          </w:tcPr>
          <w:p w:rsidR="00A56FE9" w:rsidRDefault="00000000">
            <w:pPr>
              <w:pStyle w:val="TableParagraph"/>
              <w:spacing w:before="45"/>
              <w:ind w:right="9"/>
              <w:jc w:val="center"/>
              <w:rPr>
                <w:sz w:val="18"/>
              </w:rPr>
            </w:pPr>
            <w:r>
              <w:rPr>
                <w:sz w:val="18"/>
              </w:rPr>
              <w:t>1</w:t>
            </w:r>
          </w:p>
        </w:tc>
        <w:tc>
          <w:tcPr>
            <w:tcW w:w="604" w:type="dxa"/>
            <w:tcBorders>
              <w:top w:val="single" w:sz="4" w:space="0" w:color="FFFFFF"/>
              <w:left w:val="nil"/>
              <w:right w:val="single" w:sz="4" w:space="0" w:color="FFFFFF"/>
            </w:tcBorders>
            <w:shd w:val="clear" w:color="auto" w:fill="FFF1CC"/>
          </w:tcPr>
          <w:p w:rsidR="00A56FE9" w:rsidRDefault="00000000">
            <w:pPr>
              <w:pStyle w:val="TableParagraph"/>
              <w:spacing w:before="45"/>
              <w:jc w:val="center"/>
              <w:rPr>
                <w:sz w:val="18"/>
              </w:rPr>
            </w:pPr>
            <w:r>
              <w:rPr>
                <w:sz w:val="18"/>
              </w:rPr>
              <w:t>2</w:t>
            </w:r>
          </w:p>
        </w:tc>
        <w:tc>
          <w:tcPr>
            <w:tcW w:w="393" w:type="dxa"/>
            <w:tcBorders>
              <w:top w:val="single" w:sz="4" w:space="0" w:color="FFFFFF"/>
              <w:left w:val="single" w:sz="4" w:space="0" w:color="FFFFFF"/>
              <w:right w:val="nil"/>
            </w:tcBorders>
            <w:shd w:val="clear" w:color="auto" w:fill="FFFF66"/>
          </w:tcPr>
          <w:p w:rsidR="00A56FE9" w:rsidRDefault="00000000">
            <w:pPr>
              <w:pStyle w:val="TableParagraph"/>
              <w:spacing w:before="45"/>
              <w:ind w:right="15"/>
              <w:jc w:val="center"/>
              <w:rPr>
                <w:sz w:val="18"/>
              </w:rPr>
            </w:pPr>
            <w:r>
              <w:rPr>
                <w:sz w:val="18"/>
              </w:rPr>
              <w:t>1</w:t>
            </w:r>
          </w:p>
        </w:tc>
        <w:tc>
          <w:tcPr>
            <w:tcW w:w="398" w:type="dxa"/>
            <w:tcBorders>
              <w:top w:val="single" w:sz="4" w:space="0" w:color="FFFFFF"/>
              <w:left w:val="nil"/>
              <w:right w:val="nil"/>
            </w:tcBorders>
            <w:shd w:val="clear" w:color="auto" w:fill="FFFF66"/>
          </w:tcPr>
          <w:p w:rsidR="00A56FE9" w:rsidRDefault="00000000">
            <w:pPr>
              <w:pStyle w:val="TableParagraph"/>
              <w:spacing w:before="45"/>
              <w:ind w:right="12"/>
              <w:jc w:val="center"/>
              <w:rPr>
                <w:sz w:val="18"/>
              </w:rPr>
            </w:pPr>
            <w:r>
              <w:rPr>
                <w:sz w:val="18"/>
              </w:rPr>
              <w:t>2</w:t>
            </w:r>
          </w:p>
        </w:tc>
        <w:tc>
          <w:tcPr>
            <w:tcW w:w="422" w:type="dxa"/>
            <w:tcBorders>
              <w:top w:val="single" w:sz="4" w:space="0" w:color="FFFFFF"/>
              <w:left w:val="nil"/>
              <w:right w:val="single" w:sz="4" w:space="0" w:color="FFFFFF"/>
            </w:tcBorders>
            <w:shd w:val="clear" w:color="auto" w:fill="FFFF66"/>
          </w:tcPr>
          <w:p w:rsidR="00A56FE9" w:rsidRDefault="00000000">
            <w:pPr>
              <w:pStyle w:val="TableParagraph"/>
              <w:spacing w:before="45"/>
              <w:ind w:right="11"/>
              <w:jc w:val="center"/>
              <w:rPr>
                <w:sz w:val="18"/>
              </w:rPr>
            </w:pPr>
            <w:r>
              <w:rPr>
                <w:sz w:val="18"/>
              </w:rPr>
              <w:t>3</w:t>
            </w:r>
          </w:p>
        </w:tc>
        <w:tc>
          <w:tcPr>
            <w:tcW w:w="986" w:type="dxa"/>
            <w:tcBorders>
              <w:top w:val="single" w:sz="4" w:space="0" w:color="FFFFFF"/>
              <w:left w:val="single" w:sz="4" w:space="0" w:color="FFFFFF"/>
              <w:right w:val="single" w:sz="4" w:space="0" w:color="FFFFFF"/>
            </w:tcBorders>
            <w:shd w:val="clear" w:color="auto" w:fill="E1EED9"/>
          </w:tcPr>
          <w:p w:rsidR="00A56FE9" w:rsidRDefault="00000000">
            <w:pPr>
              <w:pStyle w:val="TableParagraph"/>
              <w:spacing w:before="45"/>
              <w:ind w:left="432"/>
              <w:rPr>
                <w:sz w:val="18"/>
              </w:rPr>
            </w:pPr>
            <w:r>
              <w:rPr>
                <w:sz w:val="18"/>
              </w:rPr>
              <w:t>1</w:t>
            </w:r>
          </w:p>
        </w:tc>
        <w:tc>
          <w:tcPr>
            <w:tcW w:w="1049" w:type="dxa"/>
            <w:tcBorders>
              <w:top w:val="single" w:sz="4" w:space="0" w:color="FFFFFF"/>
              <w:left w:val="single" w:sz="4" w:space="0" w:color="FFFFFF"/>
              <w:right w:val="nil"/>
            </w:tcBorders>
            <w:shd w:val="clear" w:color="auto" w:fill="D0CECE"/>
          </w:tcPr>
          <w:p w:rsidR="00A56FE9" w:rsidRDefault="00000000">
            <w:pPr>
              <w:pStyle w:val="TableParagraph"/>
              <w:spacing w:before="45"/>
              <w:ind w:right="489"/>
              <w:jc w:val="right"/>
              <w:rPr>
                <w:sz w:val="18"/>
              </w:rPr>
            </w:pPr>
            <w:r>
              <w:rPr>
                <w:sz w:val="18"/>
              </w:rPr>
              <w:t>1</w:t>
            </w:r>
          </w:p>
        </w:tc>
      </w:tr>
    </w:tbl>
    <w:p w:rsidR="00A56FE9" w:rsidRDefault="00000000">
      <w:pPr>
        <w:pStyle w:val="Naslov5"/>
        <w:spacing w:before="30" w:after="32"/>
        <w:ind w:left="1071"/>
        <w:jc w:val="left"/>
      </w:pPr>
      <w:r>
        <w:t>Special</w:t>
      </w:r>
      <w:r>
        <w:rPr>
          <w:spacing w:val="-2"/>
        </w:rPr>
        <w:t xml:space="preserve"> </w:t>
      </w:r>
      <w:r>
        <w:t>recommendations</w:t>
      </w:r>
      <w:r>
        <w:rPr>
          <w:spacing w:val="-1"/>
        </w:rPr>
        <w:t xml:space="preserve"> </w:t>
      </w:r>
      <w:r>
        <w:t>for</w:t>
      </w:r>
      <w:r>
        <w:rPr>
          <w:spacing w:val="-3"/>
        </w:rPr>
        <w:t xml:space="preserve"> </w:t>
      </w:r>
      <w:r>
        <w:t>Croatia</w:t>
      </w:r>
      <w:r>
        <w:rPr>
          <w:spacing w:val="-1"/>
        </w:rPr>
        <w:t xml:space="preserve"> </w:t>
      </w:r>
      <w:r>
        <w:t>2019</w:t>
      </w:r>
    </w:p>
    <w:tbl>
      <w:tblPr>
        <w:tblStyle w:val="TableNormal"/>
        <w:tblW w:w="0" w:type="auto"/>
        <w:tblInd w:w="970"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672"/>
        <w:gridCol w:w="3003"/>
        <w:gridCol w:w="415"/>
        <w:gridCol w:w="391"/>
        <w:gridCol w:w="401"/>
        <w:gridCol w:w="382"/>
        <w:gridCol w:w="382"/>
        <w:gridCol w:w="389"/>
        <w:gridCol w:w="396"/>
        <w:gridCol w:w="389"/>
        <w:gridCol w:w="396"/>
        <w:gridCol w:w="396"/>
        <w:gridCol w:w="396"/>
        <w:gridCol w:w="391"/>
        <w:gridCol w:w="393"/>
        <w:gridCol w:w="369"/>
        <w:gridCol w:w="403"/>
        <w:gridCol w:w="591"/>
        <w:gridCol w:w="600"/>
        <w:gridCol w:w="391"/>
        <w:gridCol w:w="396"/>
        <w:gridCol w:w="420"/>
        <w:gridCol w:w="984"/>
        <w:gridCol w:w="1047"/>
      </w:tblGrid>
      <w:tr w:rsidR="00A56FE9">
        <w:trPr>
          <w:trHeight w:val="849"/>
        </w:trPr>
        <w:tc>
          <w:tcPr>
            <w:tcW w:w="672" w:type="dxa"/>
            <w:vMerge w:val="restart"/>
            <w:tcBorders>
              <w:left w:val="nil"/>
            </w:tcBorders>
            <w:shd w:val="clear" w:color="auto" w:fill="F1F1F1"/>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000000">
            <w:pPr>
              <w:pStyle w:val="TableParagraph"/>
              <w:spacing w:before="135"/>
              <w:ind w:left="108"/>
              <w:rPr>
                <w:b/>
                <w:sz w:val="18"/>
              </w:rPr>
            </w:pPr>
            <w:r>
              <w:rPr>
                <w:b/>
                <w:sz w:val="18"/>
              </w:rPr>
              <w:t>CSR1</w:t>
            </w:r>
          </w:p>
        </w:tc>
        <w:tc>
          <w:tcPr>
            <w:tcW w:w="3003" w:type="dxa"/>
            <w:shd w:val="clear" w:color="auto" w:fill="F1F1F1"/>
          </w:tcPr>
          <w:p w:rsidR="00A56FE9" w:rsidRDefault="00000000">
            <w:pPr>
              <w:pStyle w:val="TableParagraph"/>
              <w:ind w:left="98" w:right="395"/>
              <w:rPr>
                <w:sz w:val="18"/>
              </w:rPr>
            </w:pPr>
            <w:r>
              <w:rPr>
                <w:b/>
                <w:sz w:val="18"/>
              </w:rPr>
              <w:t xml:space="preserve">1.1. </w:t>
            </w:r>
            <w:r>
              <w:rPr>
                <w:sz w:val="18"/>
              </w:rPr>
              <w:t>Reinforce the budgetary</w:t>
            </w:r>
            <w:r>
              <w:rPr>
                <w:spacing w:val="1"/>
                <w:sz w:val="18"/>
              </w:rPr>
              <w:t xml:space="preserve"> </w:t>
            </w:r>
            <w:r>
              <w:rPr>
                <w:sz w:val="18"/>
              </w:rPr>
              <w:t>framework and monitoring of</w:t>
            </w:r>
            <w:r>
              <w:rPr>
                <w:spacing w:val="1"/>
                <w:sz w:val="18"/>
              </w:rPr>
              <w:t xml:space="preserve"> </w:t>
            </w:r>
            <w:r>
              <w:rPr>
                <w:sz w:val="18"/>
              </w:rPr>
              <w:t>contingent</w:t>
            </w:r>
            <w:r>
              <w:rPr>
                <w:spacing w:val="-3"/>
                <w:sz w:val="18"/>
              </w:rPr>
              <w:t xml:space="preserve"> </w:t>
            </w:r>
            <w:r>
              <w:rPr>
                <w:sz w:val="18"/>
              </w:rPr>
              <w:t>liabilities</w:t>
            </w:r>
            <w:r>
              <w:rPr>
                <w:spacing w:val="-3"/>
                <w:sz w:val="18"/>
              </w:rPr>
              <w:t xml:space="preserve"> </w:t>
            </w:r>
            <w:r>
              <w:rPr>
                <w:sz w:val="18"/>
              </w:rPr>
              <w:t>at</w:t>
            </w:r>
            <w:r>
              <w:rPr>
                <w:spacing w:val="-2"/>
                <w:sz w:val="18"/>
              </w:rPr>
              <w:t xml:space="preserve"> </w:t>
            </w:r>
            <w:r>
              <w:rPr>
                <w:sz w:val="18"/>
              </w:rPr>
              <w:t>central</w:t>
            </w:r>
            <w:r>
              <w:rPr>
                <w:spacing w:val="-2"/>
                <w:sz w:val="18"/>
              </w:rPr>
              <w:t xml:space="preserve"> </w:t>
            </w:r>
            <w:r>
              <w:rPr>
                <w:sz w:val="18"/>
              </w:rPr>
              <w:t>and</w:t>
            </w:r>
            <w:r>
              <w:rPr>
                <w:spacing w:val="-42"/>
                <w:sz w:val="18"/>
              </w:rPr>
              <w:t xml:space="preserve"> </w:t>
            </w:r>
            <w:r>
              <w:rPr>
                <w:sz w:val="18"/>
              </w:rPr>
              <w:t>local</w:t>
            </w:r>
            <w:r>
              <w:rPr>
                <w:spacing w:val="-1"/>
                <w:sz w:val="18"/>
              </w:rPr>
              <w:t xml:space="preserve"> </w:t>
            </w:r>
            <w:r>
              <w:rPr>
                <w:sz w:val="18"/>
              </w:rPr>
              <w:t>level.</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89" w:type="dxa"/>
          </w:tcPr>
          <w:p w:rsidR="00A56FE9" w:rsidRDefault="00A56FE9">
            <w:pPr>
              <w:pStyle w:val="TableParagraph"/>
              <w:spacing w:before="5"/>
              <w:rPr>
                <w:b/>
                <w:sz w:val="27"/>
              </w:rPr>
            </w:pPr>
          </w:p>
          <w:p w:rsidR="00A56FE9" w:rsidRDefault="00000000">
            <w:pPr>
              <w:pStyle w:val="TableParagraph"/>
              <w:ind w:right="1"/>
              <w:jc w:val="center"/>
              <w:rPr>
                <w:rFonts w:ascii="Wingdings" w:hAnsi="Wingdings"/>
                <w:sz w:val="18"/>
              </w:rPr>
            </w:pPr>
            <w:r>
              <w:rPr>
                <w:rFonts w:ascii="Wingdings" w:hAnsi="Wingdings"/>
                <w:color w:val="C00000"/>
                <w:sz w:val="18"/>
              </w:rPr>
              <w:t></w:t>
            </w:r>
          </w:p>
        </w:tc>
        <w:tc>
          <w:tcPr>
            <w:tcW w:w="396" w:type="dxa"/>
          </w:tcPr>
          <w:p w:rsidR="00A56FE9" w:rsidRDefault="00A56FE9">
            <w:pPr>
              <w:pStyle w:val="TableParagraph"/>
              <w:spacing w:before="5"/>
              <w:rPr>
                <w:b/>
                <w:sz w:val="27"/>
              </w:rPr>
            </w:pPr>
          </w:p>
          <w:p w:rsidR="00A56FE9" w:rsidRDefault="00000000">
            <w:pPr>
              <w:pStyle w:val="TableParagraph"/>
              <w:jc w:val="center"/>
              <w:rPr>
                <w:rFonts w:ascii="Wingdings" w:hAnsi="Wingdings"/>
                <w:sz w:val="18"/>
              </w:rPr>
            </w:pPr>
            <w:r>
              <w:rPr>
                <w:rFonts w:ascii="Wingdings" w:hAnsi="Wingdings"/>
                <w:color w:val="C00000"/>
                <w:sz w:val="18"/>
              </w:rPr>
              <w:t></w:t>
            </w:r>
          </w:p>
        </w:tc>
        <w:tc>
          <w:tcPr>
            <w:tcW w:w="396" w:type="dxa"/>
          </w:tcPr>
          <w:p w:rsidR="00A56FE9" w:rsidRDefault="00A56FE9">
            <w:pPr>
              <w:pStyle w:val="TableParagraph"/>
              <w:spacing w:before="5"/>
              <w:rPr>
                <w:b/>
                <w:sz w:val="27"/>
              </w:rPr>
            </w:pPr>
          </w:p>
          <w:p w:rsidR="00A56FE9" w:rsidRDefault="00000000">
            <w:pPr>
              <w:pStyle w:val="TableParagraph"/>
              <w:ind w:left="124"/>
              <w:rPr>
                <w:rFonts w:ascii="Wingdings" w:hAnsi="Wingdings"/>
                <w:sz w:val="18"/>
              </w:rPr>
            </w:pPr>
            <w:r>
              <w:rPr>
                <w:rFonts w:ascii="Wingdings" w:hAnsi="Wingdings"/>
                <w:color w:val="C00000"/>
                <w:sz w:val="18"/>
              </w:rPr>
              <w:t></w:t>
            </w:r>
          </w:p>
        </w:tc>
        <w:tc>
          <w:tcPr>
            <w:tcW w:w="396"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3" w:type="dxa"/>
          </w:tcPr>
          <w:p w:rsidR="00A56FE9" w:rsidRDefault="00A56FE9">
            <w:pPr>
              <w:pStyle w:val="TableParagraph"/>
              <w:spacing w:before="5"/>
              <w:rPr>
                <w:b/>
                <w:sz w:val="27"/>
              </w:rPr>
            </w:pPr>
          </w:p>
          <w:p w:rsidR="00A56FE9" w:rsidRDefault="00000000">
            <w:pPr>
              <w:pStyle w:val="TableParagraph"/>
              <w:ind w:left="122"/>
              <w:rPr>
                <w:rFonts w:ascii="Wingdings" w:hAnsi="Wingdings"/>
                <w:sz w:val="18"/>
              </w:rPr>
            </w:pPr>
            <w:r>
              <w:rPr>
                <w:rFonts w:ascii="Wingdings" w:hAnsi="Wingdings"/>
                <w:color w:val="C00000"/>
                <w:sz w:val="18"/>
              </w:rPr>
              <w:t></w:t>
            </w: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rPr>
                <w:sz w:val="18"/>
              </w:rPr>
            </w:pPr>
          </w:p>
        </w:tc>
        <w:tc>
          <w:tcPr>
            <w:tcW w:w="600"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spacing w:before="5"/>
              <w:rPr>
                <w:b/>
                <w:sz w:val="27"/>
              </w:rPr>
            </w:pPr>
          </w:p>
          <w:p w:rsidR="00A56FE9" w:rsidRDefault="00000000">
            <w:pPr>
              <w:pStyle w:val="TableParagraph"/>
              <w:ind w:left="3"/>
              <w:jc w:val="center"/>
              <w:rPr>
                <w:rFonts w:ascii="Wingdings" w:hAnsi="Wingdings"/>
                <w:sz w:val="18"/>
              </w:rPr>
            </w:pPr>
            <w:r>
              <w:rPr>
                <w:rFonts w:ascii="Wingdings" w:hAnsi="Wingdings"/>
                <w:color w:val="92D050"/>
                <w:sz w:val="18"/>
              </w:rPr>
              <w:t></w:t>
            </w:r>
          </w:p>
        </w:tc>
        <w:tc>
          <w:tcPr>
            <w:tcW w:w="1047" w:type="dxa"/>
            <w:tcBorders>
              <w:right w:val="nil"/>
            </w:tcBorders>
          </w:tcPr>
          <w:p w:rsidR="00A56FE9" w:rsidRDefault="00A56FE9">
            <w:pPr>
              <w:pStyle w:val="TableParagraph"/>
              <w:rPr>
                <w:sz w:val="18"/>
              </w:rPr>
            </w:pPr>
          </w:p>
        </w:tc>
      </w:tr>
      <w:tr w:rsidR="00A56FE9">
        <w:trPr>
          <w:trHeight w:val="1055"/>
        </w:trPr>
        <w:tc>
          <w:tcPr>
            <w:tcW w:w="672" w:type="dxa"/>
            <w:vMerge/>
            <w:tcBorders>
              <w:top w:val="nil"/>
              <w:left w:val="nil"/>
            </w:tcBorders>
            <w:shd w:val="clear" w:color="auto" w:fill="F1F1F1"/>
          </w:tcPr>
          <w:p w:rsidR="00A56FE9" w:rsidRDefault="00A56FE9">
            <w:pPr>
              <w:rPr>
                <w:sz w:val="2"/>
                <w:szCs w:val="2"/>
              </w:rPr>
            </w:pPr>
          </w:p>
        </w:tc>
        <w:tc>
          <w:tcPr>
            <w:tcW w:w="3003" w:type="dxa"/>
            <w:shd w:val="clear" w:color="auto" w:fill="F1F1F1"/>
          </w:tcPr>
          <w:p w:rsidR="00A56FE9" w:rsidRDefault="00000000">
            <w:pPr>
              <w:pStyle w:val="TableParagraph"/>
              <w:ind w:left="98" w:right="470"/>
              <w:rPr>
                <w:sz w:val="18"/>
              </w:rPr>
            </w:pPr>
            <w:r>
              <w:rPr>
                <w:b/>
                <w:sz w:val="18"/>
              </w:rPr>
              <w:t xml:space="preserve">1.2. </w:t>
            </w:r>
            <w:r>
              <w:rPr>
                <w:sz w:val="18"/>
              </w:rPr>
              <w:t>Reduce the territorial</w:t>
            </w:r>
            <w:r>
              <w:rPr>
                <w:spacing w:val="1"/>
                <w:sz w:val="18"/>
              </w:rPr>
              <w:t xml:space="preserve"> </w:t>
            </w:r>
            <w:r>
              <w:rPr>
                <w:sz w:val="18"/>
              </w:rPr>
              <w:t>fragmentation of the public</w:t>
            </w:r>
            <w:r>
              <w:rPr>
                <w:spacing w:val="1"/>
                <w:sz w:val="18"/>
              </w:rPr>
              <w:t xml:space="preserve"> </w:t>
            </w:r>
            <w:r>
              <w:rPr>
                <w:sz w:val="18"/>
              </w:rPr>
              <w:t>administration and streamline the</w:t>
            </w:r>
            <w:r>
              <w:rPr>
                <w:spacing w:val="-43"/>
                <w:sz w:val="18"/>
              </w:rPr>
              <w:t xml:space="preserve"> </w:t>
            </w:r>
            <w:r>
              <w:rPr>
                <w:sz w:val="18"/>
              </w:rPr>
              <w:t>functional distribution of</w:t>
            </w:r>
            <w:r>
              <w:rPr>
                <w:spacing w:val="1"/>
                <w:sz w:val="18"/>
              </w:rPr>
              <w:t xml:space="preserve"> </w:t>
            </w:r>
            <w:r>
              <w:rPr>
                <w:sz w:val="18"/>
              </w:rPr>
              <w:t>competencies.</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89"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right="1"/>
              <w:jc w:val="center"/>
              <w:rPr>
                <w:rFonts w:ascii="Wingdings" w:hAnsi="Wingdings"/>
                <w:sz w:val="18"/>
              </w:rPr>
            </w:pPr>
            <w:r>
              <w:rPr>
                <w:rFonts w:ascii="Wingdings" w:hAnsi="Wingdings"/>
                <w:color w:val="C00000"/>
                <w:sz w:val="18"/>
              </w:rPr>
              <w:t></w:t>
            </w:r>
          </w:p>
        </w:tc>
        <w:tc>
          <w:tcPr>
            <w:tcW w:w="396"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jc w:val="center"/>
              <w:rPr>
                <w:rFonts w:ascii="Wingdings" w:hAnsi="Wingdings"/>
                <w:sz w:val="18"/>
              </w:rPr>
            </w:pPr>
            <w:r>
              <w:rPr>
                <w:rFonts w:ascii="Wingdings" w:hAnsi="Wingdings"/>
                <w:color w:val="C00000"/>
                <w:sz w:val="18"/>
              </w:rPr>
              <w:t></w:t>
            </w: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rPr>
                <w:sz w:val="18"/>
              </w:rPr>
            </w:pPr>
          </w:p>
        </w:tc>
        <w:tc>
          <w:tcPr>
            <w:tcW w:w="600"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left="3"/>
              <w:jc w:val="center"/>
              <w:rPr>
                <w:rFonts w:ascii="Wingdings" w:hAnsi="Wingdings"/>
                <w:sz w:val="18"/>
              </w:rPr>
            </w:pPr>
            <w:r>
              <w:rPr>
                <w:rFonts w:ascii="Wingdings" w:hAnsi="Wingdings"/>
                <w:color w:val="92D050"/>
                <w:sz w:val="18"/>
              </w:rPr>
              <w:t></w:t>
            </w:r>
          </w:p>
        </w:tc>
        <w:tc>
          <w:tcPr>
            <w:tcW w:w="1047" w:type="dxa"/>
            <w:tcBorders>
              <w:right w:val="nil"/>
            </w:tcBorders>
          </w:tcPr>
          <w:p w:rsidR="00A56FE9" w:rsidRDefault="00A56FE9">
            <w:pPr>
              <w:pStyle w:val="TableParagraph"/>
              <w:rPr>
                <w:sz w:val="18"/>
              </w:rPr>
            </w:pPr>
          </w:p>
        </w:tc>
      </w:tr>
      <w:tr w:rsidR="00A56FE9">
        <w:trPr>
          <w:trHeight w:val="846"/>
        </w:trPr>
        <w:tc>
          <w:tcPr>
            <w:tcW w:w="672" w:type="dxa"/>
            <w:vMerge w:val="restart"/>
            <w:tcBorders>
              <w:left w:val="nil"/>
            </w:tcBorders>
            <w:shd w:val="clear" w:color="auto" w:fill="F1F1F1"/>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1"/>
              <w:rPr>
                <w:b/>
                <w:sz w:val="19"/>
              </w:rPr>
            </w:pPr>
          </w:p>
          <w:p w:rsidR="00A56FE9" w:rsidRDefault="00000000">
            <w:pPr>
              <w:pStyle w:val="TableParagraph"/>
              <w:ind w:left="108"/>
              <w:rPr>
                <w:b/>
                <w:sz w:val="18"/>
              </w:rPr>
            </w:pPr>
            <w:r>
              <w:rPr>
                <w:b/>
                <w:sz w:val="18"/>
              </w:rPr>
              <w:t>CSR2</w:t>
            </w:r>
          </w:p>
        </w:tc>
        <w:tc>
          <w:tcPr>
            <w:tcW w:w="3003" w:type="dxa"/>
            <w:shd w:val="clear" w:color="auto" w:fill="F1F1F1"/>
          </w:tcPr>
          <w:p w:rsidR="00A56FE9" w:rsidRDefault="00000000">
            <w:pPr>
              <w:pStyle w:val="TableParagraph"/>
              <w:ind w:left="98" w:right="179"/>
              <w:rPr>
                <w:sz w:val="18"/>
              </w:rPr>
            </w:pPr>
            <w:r>
              <w:rPr>
                <w:b/>
                <w:sz w:val="18"/>
              </w:rPr>
              <w:t xml:space="preserve">2.1. </w:t>
            </w:r>
            <w:r>
              <w:rPr>
                <w:sz w:val="18"/>
              </w:rPr>
              <w:t>Deliver on the education reform</w:t>
            </w:r>
            <w:r>
              <w:rPr>
                <w:spacing w:val="1"/>
                <w:sz w:val="18"/>
              </w:rPr>
              <w:t xml:space="preserve"> </w:t>
            </w:r>
            <w:r>
              <w:rPr>
                <w:sz w:val="18"/>
              </w:rPr>
              <w:t>and</w:t>
            </w:r>
            <w:r>
              <w:rPr>
                <w:spacing w:val="-1"/>
                <w:sz w:val="18"/>
              </w:rPr>
              <w:t xml:space="preserve"> </w:t>
            </w:r>
            <w:r>
              <w:rPr>
                <w:sz w:val="18"/>
              </w:rPr>
              <w:t>improve</w:t>
            </w:r>
            <w:r>
              <w:rPr>
                <w:spacing w:val="-3"/>
                <w:sz w:val="18"/>
              </w:rPr>
              <w:t xml:space="preserve"> </w:t>
            </w:r>
            <w:r>
              <w:rPr>
                <w:sz w:val="18"/>
              </w:rPr>
              <w:t>both</w:t>
            </w:r>
            <w:r>
              <w:rPr>
                <w:spacing w:val="-1"/>
                <w:sz w:val="18"/>
              </w:rPr>
              <w:t xml:space="preserve"> </w:t>
            </w:r>
            <w:r>
              <w:rPr>
                <w:sz w:val="18"/>
              </w:rPr>
              <w:t>access</w:t>
            </w:r>
            <w:r>
              <w:rPr>
                <w:spacing w:val="-3"/>
                <w:sz w:val="18"/>
              </w:rPr>
              <w:t xml:space="preserve"> </w:t>
            </w:r>
            <w:r>
              <w:rPr>
                <w:sz w:val="18"/>
              </w:rPr>
              <w:t>to</w:t>
            </w:r>
            <w:r>
              <w:rPr>
                <w:spacing w:val="-1"/>
                <w:sz w:val="18"/>
              </w:rPr>
              <w:t xml:space="preserve"> </w:t>
            </w:r>
            <w:r>
              <w:rPr>
                <w:sz w:val="18"/>
              </w:rPr>
              <w:t>education</w:t>
            </w:r>
            <w:r>
              <w:rPr>
                <w:spacing w:val="-42"/>
                <w:sz w:val="18"/>
              </w:rPr>
              <w:t xml:space="preserve"> </w:t>
            </w:r>
            <w:r>
              <w:rPr>
                <w:sz w:val="18"/>
              </w:rPr>
              <w:t>and training at all levels and their</w:t>
            </w:r>
            <w:r>
              <w:rPr>
                <w:spacing w:val="1"/>
                <w:sz w:val="18"/>
              </w:rPr>
              <w:t xml:space="preserve"> </w:t>
            </w:r>
            <w:r>
              <w:rPr>
                <w:sz w:val="18"/>
              </w:rPr>
              <w:t>quality</w:t>
            </w:r>
            <w:r>
              <w:rPr>
                <w:spacing w:val="-5"/>
                <w:sz w:val="18"/>
              </w:rPr>
              <w:t xml:space="preserve"> </w:t>
            </w:r>
            <w:r>
              <w:rPr>
                <w:sz w:val="18"/>
              </w:rPr>
              <w:t>and labour</w:t>
            </w:r>
            <w:r>
              <w:rPr>
                <w:spacing w:val="-4"/>
                <w:sz w:val="18"/>
              </w:rPr>
              <w:t xml:space="preserve"> </w:t>
            </w:r>
            <w:r>
              <w:rPr>
                <w:sz w:val="18"/>
              </w:rPr>
              <w:t>market</w:t>
            </w:r>
            <w:r>
              <w:rPr>
                <w:spacing w:val="-1"/>
                <w:sz w:val="18"/>
              </w:rPr>
              <w:t xml:space="preserve"> </w:t>
            </w:r>
            <w:r>
              <w:rPr>
                <w:sz w:val="18"/>
              </w:rPr>
              <w:t>relevance.</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spacing w:before="5"/>
              <w:rPr>
                <w:b/>
                <w:sz w:val="27"/>
              </w:rPr>
            </w:pPr>
          </w:p>
          <w:p w:rsidR="00A56FE9" w:rsidRDefault="00000000">
            <w:pPr>
              <w:pStyle w:val="TableParagraph"/>
              <w:ind w:right="120"/>
              <w:jc w:val="right"/>
              <w:rPr>
                <w:rFonts w:ascii="Wingdings" w:hAnsi="Wingdings"/>
                <w:sz w:val="18"/>
              </w:rPr>
            </w:pPr>
            <w:r>
              <w:rPr>
                <w:rFonts w:ascii="Wingdings" w:hAnsi="Wingdings"/>
                <w:color w:val="006FC0"/>
                <w:sz w:val="18"/>
              </w:rPr>
              <w:t></w:t>
            </w:r>
          </w:p>
        </w:tc>
        <w:tc>
          <w:tcPr>
            <w:tcW w:w="396"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spacing w:before="5"/>
              <w:rPr>
                <w:b/>
                <w:sz w:val="27"/>
              </w:rPr>
            </w:pPr>
          </w:p>
          <w:p w:rsidR="00A56FE9" w:rsidRDefault="00000000">
            <w:pPr>
              <w:pStyle w:val="TableParagraph"/>
              <w:jc w:val="center"/>
              <w:rPr>
                <w:rFonts w:ascii="Wingdings" w:hAnsi="Wingdings"/>
                <w:sz w:val="18"/>
              </w:rPr>
            </w:pPr>
            <w:r>
              <w:rPr>
                <w:rFonts w:ascii="Wingdings" w:hAnsi="Wingdings"/>
                <w:color w:val="BE8F00"/>
                <w:sz w:val="18"/>
              </w:rPr>
              <w:t></w:t>
            </w:r>
          </w:p>
        </w:tc>
        <w:tc>
          <w:tcPr>
            <w:tcW w:w="600" w:type="dxa"/>
          </w:tcPr>
          <w:p w:rsidR="00A56FE9" w:rsidRDefault="00A56FE9">
            <w:pPr>
              <w:pStyle w:val="TableParagraph"/>
              <w:spacing w:before="5"/>
              <w:rPr>
                <w:b/>
                <w:sz w:val="27"/>
              </w:rPr>
            </w:pPr>
          </w:p>
          <w:p w:rsidR="00A56FE9" w:rsidRDefault="00000000">
            <w:pPr>
              <w:pStyle w:val="TableParagraph"/>
              <w:jc w:val="center"/>
              <w:rPr>
                <w:rFonts w:ascii="Wingdings" w:hAnsi="Wingdings"/>
                <w:sz w:val="18"/>
              </w:rPr>
            </w:pPr>
            <w:r>
              <w:rPr>
                <w:rFonts w:ascii="Wingdings" w:hAnsi="Wingdings"/>
                <w:color w:val="BE8F00"/>
                <w:sz w:val="18"/>
              </w:rPr>
              <w:t></w:t>
            </w:r>
          </w:p>
        </w:tc>
        <w:tc>
          <w:tcPr>
            <w:tcW w:w="391" w:type="dxa"/>
          </w:tcPr>
          <w:p w:rsidR="00A56FE9" w:rsidRDefault="00A56FE9">
            <w:pPr>
              <w:pStyle w:val="TableParagraph"/>
              <w:spacing w:before="5"/>
              <w:rPr>
                <w:b/>
                <w:sz w:val="27"/>
              </w:rPr>
            </w:pPr>
          </w:p>
          <w:p w:rsidR="00A56FE9" w:rsidRDefault="00000000">
            <w:pPr>
              <w:pStyle w:val="TableParagraph"/>
              <w:ind w:right="121"/>
              <w:jc w:val="right"/>
              <w:rPr>
                <w:rFonts w:ascii="Wingdings" w:hAnsi="Wingdings"/>
                <w:sz w:val="18"/>
              </w:rPr>
            </w:pPr>
            <w:r>
              <w:rPr>
                <w:rFonts w:ascii="Wingdings" w:hAnsi="Wingdings"/>
                <w:color w:val="FFCC00"/>
                <w:sz w:val="18"/>
              </w:rPr>
              <w:t></w:t>
            </w: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spacing w:before="5"/>
              <w:rPr>
                <w:b/>
                <w:sz w:val="27"/>
              </w:rPr>
            </w:pPr>
          </w:p>
          <w:p w:rsidR="00A56FE9" w:rsidRDefault="00000000">
            <w:pPr>
              <w:pStyle w:val="TableParagraph"/>
              <w:ind w:left="3"/>
              <w:jc w:val="center"/>
              <w:rPr>
                <w:rFonts w:ascii="Wingdings" w:hAnsi="Wingdings"/>
                <w:sz w:val="18"/>
              </w:rPr>
            </w:pPr>
            <w:r>
              <w:rPr>
                <w:rFonts w:ascii="Wingdings" w:hAnsi="Wingdings"/>
                <w:color w:val="92D050"/>
                <w:sz w:val="18"/>
              </w:rPr>
              <w:t></w:t>
            </w:r>
          </w:p>
        </w:tc>
        <w:tc>
          <w:tcPr>
            <w:tcW w:w="1047" w:type="dxa"/>
            <w:tcBorders>
              <w:right w:val="nil"/>
            </w:tcBorders>
          </w:tcPr>
          <w:p w:rsidR="00A56FE9" w:rsidRDefault="00A56FE9">
            <w:pPr>
              <w:pStyle w:val="TableParagraph"/>
              <w:rPr>
                <w:sz w:val="18"/>
              </w:rPr>
            </w:pPr>
          </w:p>
        </w:tc>
      </w:tr>
      <w:tr w:rsidR="00A56FE9">
        <w:trPr>
          <w:trHeight w:val="640"/>
        </w:trPr>
        <w:tc>
          <w:tcPr>
            <w:tcW w:w="672" w:type="dxa"/>
            <w:vMerge/>
            <w:tcBorders>
              <w:top w:val="nil"/>
              <w:left w:val="nil"/>
            </w:tcBorders>
            <w:shd w:val="clear" w:color="auto" w:fill="F1F1F1"/>
          </w:tcPr>
          <w:p w:rsidR="00A56FE9" w:rsidRDefault="00A56FE9">
            <w:pPr>
              <w:rPr>
                <w:sz w:val="2"/>
                <w:szCs w:val="2"/>
              </w:rPr>
            </w:pPr>
          </w:p>
        </w:tc>
        <w:tc>
          <w:tcPr>
            <w:tcW w:w="3003" w:type="dxa"/>
            <w:shd w:val="clear" w:color="auto" w:fill="F1F1F1"/>
          </w:tcPr>
          <w:p w:rsidR="00A56FE9" w:rsidRDefault="00000000">
            <w:pPr>
              <w:pStyle w:val="TableParagraph"/>
              <w:spacing w:line="202" w:lineRule="exact"/>
              <w:ind w:left="98"/>
              <w:rPr>
                <w:sz w:val="18"/>
              </w:rPr>
            </w:pPr>
            <w:r>
              <w:rPr>
                <w:b/>
                <w:sz w:val="18"/>
              </w:rPr>
              <w:t>2.2.</w:t>
            </w:r>
            <w:r>
              <w:rPr>
                <w:b/>
                <w:spacing w:val="-3"/>
                <w:sz w:val="18"/>
              </w:rPr>
              <w:t xml:space="preserve"> </w:t>
            </w:r>
            <w:r>
              <w:rPr>
                <w:sz w:val="18"/>
              </w:rPr>
              <w:t>Consolidate</w:t>
            </w:r>
            <w:r>
              <w:rPr>
                <w:spacing w:val="-1"/>
                <w:sz w:val="18"/>
              </w:rPr>
              <w:t xml:space="preserve"> </w:t>
            </w:r>
            <w:r>
              <w:rPr>
                <w:sz w:val="18"/>
              </w:rPr>
              <w:t>social</w:t>
            </w:r>
            <w:r>
              <w:rPr>
                <w:spacing w:val="-1"/>
                <w:sz w:val="18"/>
              </w:rPr>
              <w:t xml:space="preserve"> </w:t>
            </w:r>
            <w:r>
              <w:rPr>
                <w:sz w:val="18"/>
              </w:rPr>
              <w:t>benefits</w:t>
            </w:r>
            <w:r>
              <w:rPr>
                <w:spacing w:val="-1"/>
                <w:sz w:val="18"/>
              </w:rPr>
              <w:t xml:space="preserve"> </w:t>
            </w:r>
            <w:r>
              <w:rPr>
                <w:sz w:val="18"/>
              </w:rPr>
              <w:t>and</w:t>
            </w:r>
          </w:p>
          <w:p w:rsidR="00A56FE9" w:rsidRDefault="00000000">
            <w:pPr>
              <w:pStyle w:val="TableParagraph"/>
              <w:spacing w:before="2"/>
              <w:ind w:left="98" w:right="546"/>
              <w:rPr>
                <w:sz w:val="18"/>
              </w:rPr>
            </w:pPr>
            <w:r>
              <w:rPr>
                <w:sz w:val="18"/>
              </w:rPr>
              <w:t>improve their capacity to reduce</w:t>
            </w:r>
            <w:r>
              <w:rPr>
                <w:spacing w:val="-42"/>
                <w:sz w:val="18"/>
              </w:rPr>
              <w:t xml:space="preserve"> </w:t>
            </w:r>
            <w:r>
              <w:rPr>
                <w:sz w:val="18"/>
              </w:rPr>
              <w:t>poverty.</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rPr>
                <w:sz w:val="18"/>
              </w:rPr>
            </w:pPr>
          </w:p>
        </w:tc>
        <w:tc>
          <w:tcPr>
            <w:tcW w:w="600" w:type="dxa"/>
          </w:tcPr>
          <w:p w:rsidR="00A56FE9" w:rsidRDefault="00A56FE9">
            <w:pPr>
              <w:pStyle w:val="TableParagraph"/>
              <w:rPr>
                <w:sz w:val="18"/>
              </w:rPr>
            </w:pPr>
          </w:p>
        </w:tc>
        <w:tc>
          <w:tcPr>
            <w:tcW w:w="391" w:type="dxa"/>
          </w:tcPr>
          <w:p w:rsidR="00A56FE9" w:rsidRDefault="00A56FE9">
            <w:pPr>
              <w:pStyle w:val="TableParagraph"/>
              <w:spacing w:before="5"/>
              <w:rPr>
                <w:b/>
                <w:sz w:val="18"/>
              </w:rPr>
            </w:pPr>
          </w:p>
          <w:p w:rsidR="00A56FE9" w:rsidRDefault="00000000">
            <w:pPr>
              <w:pStyle w:val="TableParagraph"/>
              <w:ind w:right="121"/>
              <w:jc w:val="right"/>
              <w:rPr>
                <w:rFonts w:ascii="Wingdings" w:hAnsi="Wingdings"/>
                <w:sz w:val="18"/>
              </w:rPr>
            </w:pPr>
            <w:r>
              <w:rPr>
                <w:rFonts w:ascii="Wingdings" w:hAnsi="Wingdings"/>
                <w:color w:val="FFCC00"/>
                <w:sz w:val="18"/>
              </w:rPr>
              <w:t></w:t>
            </w:r>
          </w:p>
        </w:tc>
        <w:tc>
          <w:tcPr>
            <w:tcW w:w="396" w:type="dxa"/>
          </w:tcPr>
          <w:p w:rsidR="00A56FE9" w:rsidRDefault="00A56FE9">
            <w:pPr>
              <w:pStyle w:val="TableParagraph"/>
              <w:spacing w:before="5"/>
              <w:rPr>
                <w:b/>
                <w:sz w:val="18"/>
              </w:rPr>
            </w:pPr>
          </w:p>
          <w:p w:rsidR="00A56FE9" w:rsidRDefault="00000000">
            <w:pPr>
              <w:pStyle w:val="TableParagraph"/>
              <w:ind w:left="126"/>
              <w:rPr>
                <w:rFonts w:ascii="Wingdings" w:hAnsi="Wingdings"/>
                <w:sz w:val="18"/>
              </w:rPr>
            </w:pPr>
            <w:r>
              <w:rPr>
                <w:rFonts w:ascii="Wingdings" w:hAnsi="Wingdings"/>
                <w:color w:val="FFCC00"/>
                <w:sz w:val="18"/>
              </w:rPr>
              <w:t></w:t>
            </w:r>
          </w:p>
        </w:tc>
        <w:tc>
          <w:tcPr>
            <w:tcW w:w="420" w:type="dxa"/>
          </w:tcPr>
          <w:p w:rsidR="00A56FE9" w:rsidRDefault="00A56FE9">
            <w:pPr>
              <w:pStyle w:val="TableParagraph"/>
              <w:spacing w:before="5"/>
              <w:rPr>
                <w:b/>
                <w:sz w:val="18"/>
              </w:rPr>
            </w:pPr>
          </w:p>
          <w:p w:rsidR="00A56FE9" w:rsidRDefault="00000000">
            <w:pPr>
              <w:pStyle w:val="TableParagraph"/>
              <w:ind w:right="135"/>
              <w:jc w:val="right"/>
              <w:rPr>
                <w:rFonts w:ascii="Wingdings" w:hAnsi="Wingdings"/>
                <w:sz w:val="18"/>
              </w:rPr>
            </w:pPr>
            <w:r>
              <w:rPr>
                <w:rFonts w:ascii="Wingdings" w:hAnsi="Wingdings"/>
                <w:color w:val="FFCC00"/>
                <w:sz w:val="18"/>
              </w:rPr>
              <w:t></w:t>
            </w: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642"/>
        </w:trPr>
        <w:tc>
          <w:tcPr>
            <w:tcW w:w="672" w:type="dxa"/>
            <w:vMerge/>
            <w:tcBorders>
              <w:top w:val="nil"/>
              <w:left w:val="nil"/>
            </w:tcBorders>
            <w:shd w:val="clear" w:color="auto" w:fill="F1F1F1"/>
          </w:tcPr>
          <w:p w:rsidR="00A56FE9" w:rsidRDefault="00A56FE9">
            <w:pPr>
              <w:rPr>
                <w:sz w:val="2"/>
                <w:szCs w:val="2"/>
              </w:rPr>
            </w:pPr>
          </w:p>
        </w:tc>
        <w:tc>
          <w:tcPr>
            <w:tcW w:w="3003" w:type="dxa"/>
            <w:shd w:val="clear" w:color="auto" w:fill="F1F1F1"/>
          </w:tcPr>
          <w:p w:rsidR="00A56FE9" w:rsidRDefault="00000000">
            <w:pPr>
              <w:pStyle w:val="TableParagraph"/>
              <w:ind w:left="98" w:right="392"/>
              <w:rPr>
                <w:sz w:val="18"/>
              </w:rPr>
            </w:pPr>
            <w:r>
              <w:rPr>
                <w:b/>
                <w:sz w:val="18"/>
              </w:rPr>
              <w:t xml:space="preserve">2.3. </w:t>
            </w:r>
            <w:r>
              <w:rPr>
                <w:sz w:val="18"/>
              </w:rPr>
              <w:t>Strengthen labour market</w:t>
            </w:r>
            <w:r>
              <w:rPr>
                <w:spacing w:val="1"/>
                <w:sz w:val="18"/>
              </w:rPr>
              <w:t xml:space="preserve"> </w:t>
            </w:r>
            <w:r>
              <w:rPr>
                <w:sz w:val="18"/>
              </w:rPr>
              <w:t>measures</w:t>
            </w:r>
            <w:r>
              <w:rPr>
                <w:spacing w:val="-5"/>
                <w:sz w:val="18"/>
              </w:rPr>
              <w:t xml:space="preserve"> </w:t>
            </w:r>
            <w:r>
              <w:rPr>
                <w:sz w:val="18"/>
              </w:rPr>
              <w:t>and</w:t>
            </w:r>
            <w:r>
              <w:rPr>
                <w:spacing w:val="-4"/>
                <w:sz w:val="18"/>
              </w:rPr>
              <w:t xml:space="preserve"> </w:t>
            </w:r>
            <w:r>
              <w:rPr>
                <w:sz w:val="18"/>
              </w:rPr>
              <w:t>institutions</w:t>
            </w:r>
            <w:r>
              <w:rPr>
                <w:spacing w:val="-4"/>
                <w:sz w:val="18"/>
              </w:rPr>
              <w:t xml:space="preserve"> </w:t>
            </w:r>
            <w:r>
              <w:rPr>
                <w:sz w:val="18"/>
              </w:rPr>
              <w:t>and</w:t>
            </w:r>
            <w:r>
              <w:rPr>
                <w:spacing w:val="-4"/>
                <w:sz w:val="18"/>
              </w:rPr>
              <w:t xml:space="preserve"> </w:t>
            </w:r>
            <w:r>
              <w:rPr>
                <w:sz w:val="18"/>
              </w:rPr>
              <w:t>their</w:t>
            </w:r>
            <w:r>
              <w:rPr>
                <w:spacing w:val="-42"/>
                <w:sz w:val="18"/>
              </w:rPr>
              <w:t xml:space="preserve"> </w:t>
            </w:r>
            <w:r>
              <w:rPr>
                <w:sz w:val="18"/>
              </w:rPr>
              <w:t>coordination</w:t>
            </w:r>
            <w:r>
              <w:rPr>
                <w:spacing w:val="-2"/>
                <w:sz w:val="18"/>
              </w:rPr>
              <w:t xml:space="preserve"> </w:t>
            </w:r>
            <w:r>
              <w:rPr>
                <w:sz w:val="18"/>
              </w:rPr>
              <w:t>with</w:t>
            </w:r>
            <w:r>
              <w:rPr>
                <w:spacing w:val="-1"/>
                <w:sz w:val="18"/>
              </w:rPr>
              <w:t xml:space="preserve"> </w:t>
            </w:r>
            <w:r>
              <w:rPr>
                <w:sz w:val="18"/>
              </w:rPr>
              <w:t>social</w:t>
            </w:r>
            <w:r>
              <w:rPr>
                <w:spacing w:val="-2"/>
                <w:sz w:val="18"/>
              </w:rPr>
              <w:t xml:space="preserve"> </w:t>
            </w:r>
            <w:r>
              <w:rPr>
                <w:sz w:val="18"/>
              </w:rPr>
              <w:t>services.</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rPr>
                <w:sz w:val="18"/>
              </w:rPr>
            </w:pPr>
          </w:p>
        </w:tc>
        <w:tc>
          <w:tcPr>
            <w:tcW w:w="600" w:type="dxa"/>
          </w:tcPr>
          <w:p w:rsidR="00A56FE9" w:rsidRDefault="00A56FE9">
            <w:pPr>
              <w:pStyle w:val="TableParagraph"/>
              <w:rPr>
                <w:sz w:val="18"/>
              </w:rPr>
            </w:pPr>
          </w:p>
        </w:tc>
        <w:tc>
          <w:tcPr>
            <w:tcW w:w="391" w:type="dxa"/>
          </w:tcPr>
          <w:p w:rsidR="00A56FE9" w:rsidRDefault="00A56FE9">
            <w:pPr>
              <w:pStyle w:val="TableParagraph"/>
              <w:spacing w:before="5"/>
              <w:rPr>
                <w:b/>
                <w:sz w:val="18"/>
              </w:rPr>
            </w:pPr>
          </w:p>
          <w:p w:rsidR="00A56FE9" w:rsidRDefault="00000000">
            <w:pPr>
              <w:pStyle w:val="TableParagraph"/>
              <w:ind w:right="121"/>
              <w:jc w:val="right"/>
              <w:rPr>
                <w:rFonts w:ascii="Wingdings" w:hAnsi="Wingdings"/>
                <w:sz w:val="18"/>
              </w:rPr>
            </w:pPr>
            <w:r>
              <w:rPr>
                <w:rFonts w:ascii="Wingdings" w:hAnsi="Wingdings"/>
                <w:color w:val="FFCC00"/>
                <w:sz w:val="18"/>
              </w:rPr>
              <w:t></w:t>
            </w:r>
          </w:p>
        </w:tc>
        <w:tc>
          <w:tcPr>
            <w:tcW w:w="396" w:type="dxa"/>
          </w:tcPr>
          <w:p w:rsidR="00A56FE9" w:rsidRDefault="00A56FE9">
            <w:pPr>
              <w:pStyle w:val="TableParagraph"/>
              <w:rPr>
                <w:sz w:val="18"/>
              </w:rPr>
            </w:pPr>
          </w:p>
        </w:tc>
        <w:tc>
          <w:tcPr>
            <w:tcW w:w="420" w:type="dxa"/>
          </w:tcPr>
          <w:p w:rsidR="00A56FE9" w:rsidRDefault="00A56FE9">
            <w:pPr>
              <w:pStyle w:val="TableParagraph"/>
              <w:spacing w:before="5"/>
              <w:rPr>
                <w:b/>
                <w:sz w:val="18"/>
              </w:rPr>
            </w:pPr>
          </w:p>
          <w:p w:rsidR="00A56FE9" w:rsidRDefault="00000000">
            <w:pPr>
              <w:pStyle w:val="TableParagraph"/>
              <w:ind w:right="135"/>
              <w:jc w:val="right"/>
              <w:rPr>
                <w:rFonts w:ascii="Wingdings" w:hAnsi="Wingdings"/>
                <w:sz w:val="18"/>
              </w:rPr>
            </w:pPr>
            <w:r>
              <w:rPr>
                <w:rFonts w:ascii="Wingdings" w:hAnsi="Wingdings"/>
                <w:color w:val="FFCC00"/>
                <w:sz w:val="18"/>
              </w:rPr>
              <w:t></w:t>
            </w: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847"/>
        </w:trPr>
        <w:tc>
          <w:tcPr>
            <w:tcW w:w="672" w:type="dxa"/>
            <w:vMerge/>
            <w:tcBorders>
              <w:top w:val="nil"/>
              <w:left w:val="nil"/>
            </w:tcBorders>
            <w:shd w:val="clear" w:color="auto" w:fill="F1F1F1"/>
          </w:tcPr>
          <w:p w:rsidR="00A56FE9" w:rsidRDefault="00A56FE9">
            <w:pPr>
              <w:rPr>
                <w:sz w:val="2"/>
                <w:szCs w:val="2"/>
              </w:rPr>
            </w:pPr>
          </w:p>
        </w:tc>
        <w:tc>
          <w:tcPr>
            <w:tcW w:w="3003" w:type="dxa"/>
            <w:shd w:val="clear" w:color="auto" w:fill="F1F1F1"/>
          </w:tcPr>
          <w:p w:rsidR="00A56FE9" w:rsidRDefault="00000000">
            <w:pPr>
              <w:pStyle w:val="TableParagraph"/>
              <w:ind w:left="98" w:right="165"/>
              <w:rPr>
                <w:sz w:val="18"/>
              </w:rPr>
            </w:pPr>
            <w:r>
              <w:rPr>
                <w:b/>
                <w:sz w:val="18"/>
              </w:rPr>
              <w:t xml:space="preserve">2.4. </w:t>
            </w:r>
            <w:r>
              <w:rPr>
                <w:sz w:val="18"/>
              </w:rPr>
              <w:t>In consultation with the social</w:t>
            </w:r>
            <w:r>
              <w:rPr>
                <w:spacing w:val="1"/>
                <w:sz w:val="18"/>
              </w:rPr>
              <w:t xml:space="preserve"> </w:t>
            </w:r>
            <w:r>
              <w:rPr>
                <w:sz w:val="18"/>
              </w:rPr>
              <w:t>partners,</w:t>
            </w:r>
            <w:r>
              <w:rPr>
                <w:spacing w:val="-3"/>
                <w:sz w:val="18"/>
              </w:rPr>
              <w:t xml:space="preserve"> </w:t>
            </w:r>
            <w:r>
              <w:rPr>
                <w:sz w:val="18"/>
              </w:rPr>
              <w:t>introduce</w:t>
            </w:r>
            <w:r>
              <w:rPr>
                <w:spacing w:val="-4"/>
                <w:sz w:val="18"/>
              </w:rPr>
              <w:t xml:space="preserve"> </w:t>
            </w:r>
            <w:r>
              <w:rPr>
                <w:sz w:val="18"/>
              </w:rPr>
              <w:t>harmonised</w:t>
            </w:r>
            <w:r>
              <w:rPr>
                <w:spacing w:val="-2"/>
                <w:sz w:val="18"/>
              </w:rPr>
              <w:t xml:space="preserve"> </w:t>
            </w:r>
            <w:r>
              <w:rPr>
                <w:sz w:val="18"/>
              </w:rPr>
              <w:t>wage-</w:t>
            </w:r>
            <w:r>
              <w:rPr>
                <w:spacing w:val="-42"/>
                <w:sz w:val="18"/>
              </w:rPr>
              <w:t xml:space="preserve"> </w:t>
            </w:r>
            <w:r>
              <w:rPr>
                <w:sz w:val="18"/>
              </w:rPr>
              <w:t>setting frameworks across the public</w:t>
            </w:r>
            <w:r>
              <w:rPr>
                <w:spacing w:val="1"/>
                <w:sz w:val="18"/>
              </w:rPr>
              <w:t xml:space="preserve"> </w:t>
            </w:r>
            <w:r>
              <w:rPr>
                <w:sz w:val="18"/>
              </w:rPr>
              <w:t>administration</w:t>
            </w:r>
            <w:r>
              <w:rPr>
                <w:spacing w:val="-1"/>
                <w:sz w:val="18"/>
              </w:rPr>
              <w:t xml:space="preserve"> </w:t>
            </w:r>
            <w:r>
              <w:rPr>
                <w:sz w:val="18"/>
              </w:rPr>
              <w:t>and public</w:t>
            </w:r>
            <w:r>
              <w:rPr>
                <w:spacing w:val="-3"/>
                <w:sz w:val="18"/>
              </w:rPr>
              <w:t xml:space="preserve"> </w:t>
            </w:r>
            <w:r>
              <w:rPr>
                <w:sz w:val="18"/>
              </w:rPr>
              <w:t>services.</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89" w:type="dxa"/>
          </w:tcPr>
          <w:p w:rsidR="00A56FE9" w:rsidRDefault="00A56FE9">
            <w:pPr>
              <w:pStyle w:val="TableParagraph"/>
              <w:spacing w:before="5"/>
              <w:rPr>
                <w:b/>
                <w:sz w:val="27"/>
              </w:rPr>
            </w:pPr>
          </w:p>
          <w:p w:rsidR="00A56FE9" w:rsidRDefault="00000000">
            <w:pPr>
              <w:pStyle w:val="TableParagraph"/>
              <w:ind w:right="1"/>
              <w:jc w:val="center"/>
              <w:rPr>
                <w:rFonts w:ascii="Wingdings" w:hAnsi="Wingdings"/>
                <w:sz w:val="18"/>
              </w:rPr>
            </w:pPr>
            <w:r>
              <w:rPr>
                <w:rFonts w:ascii="Wingdings" w:hAnsi="Wingdings"/>
                <w:color w:val="C00000"/>
                <w:sz w:val="18"/>
              </w:rPr>
              <w:t></w:t>
            </w: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rPr>
                <w:sz w:val="18"/>
              </w:rPr>
            </w:pPr>
          </w:p>
        </w:tc>
        <w:tc>
          <w:tcPr>
            <w:tcW w:w="600"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827"/>
        </w:trPr>
        <w:tc>
          <w:tcPr>
            <w:tcW w:w="672" w:type="dxa"/>
            <w:tcBorders>
              <w:left w:val="nil"/>
            </w:tcBorders>
            <w:shd w:val="clear" w:color="auto" w:fill="F1F1F1"/>
          </w:tcPr>
          <w:p w:rsidR="00A56FE9" w:rsidRDefault="00A56FE9">
            <w:pPr>
              <w:pStyle w:val="TableParagraph"/>
              <w:spacing w:before="4"/>
              <w:rPr>
                <w:b/>
                <w:sz w:val="24"/>
              </w:rPr>
            </w:pPr>
          </w:p>
          <w:p w:rsidR="00A56FE9" w:rsidRDefault="00000000">
            <w:pPr>
              <w:pStyle w:val="TableParagraph"/>
              <w:ind w:left="108"/>
              <w:rPr>
                <w:b/>
                <w:sz w:val="18"/>
              </w:rPr>
            </w:pPr>
            <w:r>
              <w:rPr>
                <w:b/>
                <w:sz w:val="18"/>
              </w:rPr>
              <w:t>CSR3</w:t>
            </w:r>
          </w:p>
        </w:tc>
        <w:tc>
          <w:tcPr>
            <w:tcW w:w="3003" w:type="dxa"/>
            <w:shd w:val="clear" w:color="auto" w:fill="F1F1F1"/>
          </w:tcPr>
          <w:p w:rsidR="00A56FE9" w:rsidRDefault="00000000">
            <w:pPr>
              <w:pStyle w:val="TableParagraph"/>
              <w:ind w:left="98" w:right="465"/>
              <w:rPr>
                <w:sz w:val="18"/>
              </w:rPr>
            </w:pPr>
            <w:r>
              <w:rPr>
                <w:b/>
                <w:sz w:val="18"/>
              </w:rPr>
              <w:t xml:space="preserve">3.1. </w:t>
            </w:r>
            <w:r>
              <w:rPr>
                <w:sz w:val="18"/>
              </w:rPr>
              <w:t>Focus investment-related</w:t>
            </w:r>
            <w:r>
              <w:rPr>
                <w:spacing w:val="1"/>
                <w:sz w:val="18"/>
              </w:rPr>
              <w:t xml:space="preserve"> </w:t>
            </w:r>
            <w:r>
              <w:rPr>
                <w:sz w:val="18"/>
              </w:rPr>
              <w:t>economic policy on research and</w:t>
            </w:r>
            <w:r>
              <w:rPr>
                <w:spacing w:val="1"/>
                <w:sz w:val="18"/>
              </w:rPr>
              <w:t xml:space="preserve"> </w:t>
            </w:r>
            <w:r>
              <w:rPr>
                <w:sz w:val="18"/>
              </w:rPr>
              <w:t>innovation,</w:t>
            </w:r>
            <w:r>
              <w:rPr>
                <w:spacing w:val="-5"/>
                <w:sz w:val="18"/>
              </w:rPr>
              <w:t xml:space="preserve"> </w:t>
            </w:r>
            <w:r>
              <w:rPr>
                <w:sz w:val="18"/>
              </w:rPr>
              <w:t>sustainable</w:t>
            </w:r>
            <w:r>
              <w:rPr>
                <w:spacing w:val="-3"/>
                <w:sz w:val="18"/>
              </w:rPr>
              <w:t xml:space="preserve"> </w:t>
            </w:r>
            <w:r>
              <w:rPr>
                <w:sz w:val="18"/>
              </w:rPr>
              <w:t>urban</w:t>
            </w:r>
            <w:r>
              <w:rPr>
                <w:spacing w:val="-2"/>
                <w:sz w:val="18"/>
              </w:rPr>
              <w:t xml:space="preserve"> </w:t>
            </w:r>
            <w:r>
              <w:rPr>
                <w:sz w:val="18"/>
              </w:rPr>
              <w:t>and</w:t>
            </w:r>
          </w:p>
          <w:p w:rsidR="00A56FE9" w:rsidRDefault="00000000">
            <w:pPr>
              <w:pStyle w:val="TableParagraph"/>
              <w:spacing w:line="191" w:lineRule="exact"/>
              <w:ind w:left="98"/>
              <w:rPr>
                <w:sz w:val="18"/>
              </w:rPr>
            </w:pPr>
            <w:r>
              <w:rPr>
                <w:sz w:val="18"/>
              </w:rPr>
              <w:t>railway</w:t>
            </w:r>
            <w:r>
              <w:rPr>
                <w:spacing w:val="-3"/>
                <w:sz w:val="18"/>
              </w:rPr>
              <w:t xml:space="preserve"> </w:t>
            </w:r>
            <w:r>
              <w:rPr>
                <w:sz w:val="18"/>
              </w:rPr>
              <w:t>transport,</w:t>
            </w:r>
            <w:r>
              <w:rPr>
                <w:spacing w:val="-1"/>
                <w:sz w:val="18"/>
              </w:rPr>
              <w:t xml:space="preserve"> </w:t>
            </w:r>
            <w:r>
              <w:rPr>
                <w:sz w:val="18"/>
              </w:rPr>
              <w:t>energy</w:t>
            </w:r>
            <w:r>
              <w:rPr>
                <w:spacing w:val="-6"/>
                <w:sz w:val="18"/>
              </w:rPr>
              <w:t xml:space="preserve"> </w:t>
            </w:r>
            <w:r>
              <w:rPr>
                <w:sz w:val="18"/>
              </w:rPr>
              <w:t>efficiency,</w:t>
            </w:r>
          </w:p>
        </w:tc>
        <w:tc>
          <w:tcPr>
            <w:tcW w:w="415" w:type="dxa"/>
          </w:tcPr>
          <w:p w:rsidR="00A56FE9" w:rsidRDefault="00A56FE9">
            <w:pPr>
              <w:pStyle w:val="TableParagraph"/>
              <w:spacing w:before="6"/>
              <w:rPr>
                <w:b/>
                <w:sz w:val="26"/>
              </w:rPr>
            </w:pPr>
          </w:p>
          <w:p w:rsidR="00A56FE9" w:rsidRDefault="00000000">
            <w:pPr>
              <w:pStyle w:val="TableParagraph"/>
              <w:spacing w:before="1"/>
              <w:ind w:left="134"/>
              <w:rPr>
                <w:rFonts w:ascii="Wingdings" w:hAnsi="Wingdings"/>
                <w:sz w:val="18"/>
              </w:rPr>
            </w:pPr>
            <w:r>
              <w:rPr>
                <w:rFonts w:ascii="Wingdings" w:hAnsi="Wingdings"/>
                <w:color w:val="006FC0"/>
                <w:sz w:val="18"/>
              </w:rPr>
              <w:t></w:t>
            </w:r>
          </w:p>
        </w:tc>
        <w:tc>
          <w:tcPr>
            <w:tcW w:w="391" w:type="dxa"/>
          </w:tcPr>
          <w:p w:rsidR="00A56FE9" w:rsidRDefault="00A56FE9">
            <w:pPr>
              <w:pStyle w:val="TableParagraph"/>
              <w:spacing w:before="6"/>
              <w:rPr>
                <w:b/>
                <w:sz w:val="26"/>
              </w:rPr>
            </w:pPr>
          </w:p>
          <w:p w:rsidR="00A56FE9" w:rsidRDefault="00000000">
            <w:pPr>
              <w:pStyle w:val="TableParagraph"/>
              <w:spacing w:before="1"/>
              <w:ind w:left="122"/>
              <w:rPr>
                <w:rFonts w:ascii="Wingdings" w:hAnsi="Wingdings"/>
                <w:sz w:val="18"/>
              </w:rPr>
            </w:pPr>
            <w:r>
              <w:rPr>
                <w:rFonts w:ascii="Wingdings" w:hAnsi="Wingdings"/>
                <w:color w:val="006FC0"/>
                <w:sz w:val="18"/>
              </w:rPr>
              <w:t></w:t>
            </w:r>
          </w:p>
        </w:tc>
        <w:tc>
          <w:tcPr>
            <w:tcW w:w="401" w:type="dxa"/>
          </w:tcPr>
          <w:p w:rsidR="00A56FE9" w:rsidRDefault="00A56FE9">
            <w:pPr>
              <w:pStyle w:val="TableParagraph"/>
              <w:spacing w:before="6"/>
              <w:rPr>
                <w:b/>
                <w:sz w:val="26"/>
              </w:rPr>
            </w:pPr>
          </w:p>
          <w:p w:rsidR="00A56FE9" w:rsidRDefault="00000000">
            <w:pPr>
              <w:pStyle w:val="TableParagraph"/>
              <w:spacing w:before="1"/>
              <w:ind w:left="127"/>
              <w:rPr>
                <w:rFonts w:ascii="Wingdings" w:hAnsi="Wingdings"/>
                <w:sz w:val="18"/>
              </w:rPr>
            </w:pPr>
            <w:r>
              <w:rPr>
                <w:rFonts w:ascii="Wingdings" w:hAnsi="Wingdings"/>
                <w:color w:val="006FC0"/>
                <w:sz w:val="18"/>
              </w:rPr>
              <w:t></w:t>
            </w:r>
          </w:p>
        </w:tc>
        <w:tc>
          <w:tcPr>
            <w:tcW w:w="382" w:type="dxa"/>
          </w:tcPr>
          <w:p w:rsidR="00A56FE9" w:rsidRDefault="00A56FE9">
            <w:pPr>
              <w:pStyle w:val="TableParagraph"/>
              <w:spacing w:before="6"/>
              <w:rPr>
                <w:b/>
                <w:sz w:val="26"/>
              </w:rPr>
            </w:pPr>
          </w:p>
          <w:p w:rsidR="00A56FE9" w:rsidRDefault="00000000">
            <w:pPr>
              <w:pStyle w:val="TableParagraph"/>
              <w:spacing w:before="1"/>
              <w:ind w:left="118"/>
              <w:rPr>
                <w:rFonts w:ascii="Wingdings" w:hAnsi="Wingdings"/>
                <w:sz w:val="18"/>
              </w:rPr>
            </w:pPr>
            <w:r>
              <w:rPr>
                <w:rFonts w:ascii="Wingdings" w:hAnsi="Wingdings"/>
                <w:color w:val="006FC0"/>
                <w:sz w:val="18"/>
              </w:rPr>
              <w:t></w:t>
            </w:r>
          </w:p>
        </w:tc>
        <w:tc>
          <w:tcPr>
            <w:tcW w:w="382" w:type="dxa"/>
          </w:tcPr>
          <w:p w:rsidR="00A56FE9" w:rsidRDefault="00A56FE9">
            <w:pPr>
              <w:pStyle w:val="TableParagraph"/>
              <w:spacing w:before="6"/>
              <w:rPr>
                <w:b/>
                <w:sz w:val="26"/>
              </w:rPr>
            </w:pPr>
          </w:p>
          <w:p w:rsidR="00A56FE9" w:rsidRDefault="00000000">
            <w:pPr>
              <w:pStyle w:val="TableParagraph"/>
              <w:spacing w:before="1"/>
              <w:ind w:left="117"/>
              <w:rPr>
                <w:rFonts w:ascii="Wingdings" w:hAnsi="Wingdings"/>
                <w:sz w:val="18"/>
              </w:rPr>
            </w:pPr>
            <w:r>
              <w:rPr>
                <w:rFonts w:ascii="Wingdings" w:hAnsi="Wingdings"/>
                <w:color w:val="006FC0"/>
                <w:sz w:val="18"/>
              </w:rPr>
              <w:t></w:t>
            </w:r>
          </w:p>
        </w:tc>
        <w:tc>
          <w:tcPr>
            <w:tcW w:w="389" w:type="dxa"/>
          </w:tcPr>
          <w:p w:rsidR="00A56FE9" w:rsidRDefault="00A56FE9">
            <w:pPr>
              <w:pStyle w:val="TableParagraph"/>
              <w:spacing w:before="6"/>
              <w:rPr>
                <w:b/>
                <w:sz w:val="26"/>
              </w:rPr>
            </w:pPr>
          </w:p>
          <w:p w:rsidR="00A56FE9" w:rsidRDefault="00000000">
            <w:pPr>
              <w:pStyle w:val="TableParagraph"/>
              <w:spacing w:before="1"/>
              <w:ind w:right="120"/>
              <w:jc w:val="right"/>
              <w:rPr>
                <w:rFonts w:ascii="Wingdings" w:hAnsi="Wingdings"/>
                <w:sz w:val="18"/>
              </w:rPr>
            </w:pPr>
            <w:r>
              <w:rPr>
                <w:rFonts w:ascii="Wingdings" w:hAnsi="Wingdings"/>
                <w:color w:val="006FC0"/>
                <w:sz w:val="18"/>
              </w:rPr>
              <w:t></w:t>
            </w:r>
          </w:p>
        </w:tc>
        <w:tc>
          <w:tcPr>
            <w:tcW w:w="396"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rPr>
                <w:sz w:val="18"/>
              </w:rPr>
            </w:pPr>
          </w:p>
        </w:tc>
        <w:tc>
          <w:tcPr>
            <w:tcW w:w="600" w:type="dxa"/>
          </w:tcPr>
          <w:p w:rsidR="00A56FE9" w:rsidRDefault="00A56FE9">
            <w:pPr>
              <w:pStyle w:val="TableParagraph"/>
              <w:spacing w:before="6"/>
              <w:rPr>
                <w:b/>
                <w:sz w:val="26"/>
              </w:rPr>
            </w:pPr>
          </w:p>
          <w:p w:rsidR="00A56FE9" w:rsidRDefault="00000000">
            <w:pPr>
              <w:pStyle w:val="TableParagraph"/>
              <w:spacing w:before="1"/>
              <w:jc w:val="center"/>
              <w:rPr>
                <w:rFonts w:ascii="Wingdings" w:hAnsi="Wingdings"/>
                <w:sz w:val="18"/>
              </w:rPr>
            </w:pPr>
            <w:r>
              <w:rPr>
                <w:rFonts w:ascii="Wingdings" w:hAnsi="Wingdings"/>
                <w:color w:val="BE8F00"/>
                <w:sz w:val="18"/>
              </w:rPr>
              <w:t></w:t>
            </w:r>
          </w:p>
        </w:tc>
        <w:tc>
          <w:tcPr>
            <w:tcW w:w="391" w:type="dxa"/>
          </w:tcPr>
          <w:p w:rsidR="00A56FE9" w:rsidRDefault="00A56FE9">
            <w:pPr>
              <w:pStyle w:val="TableParagraph"/>
              <w:rPr>
                <w:sz w:val="18"/>
              </w:rPr>
            </w:pP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spacing w:before="6"/>
              <w:rPr>
                <w:b/>
                <w:sz w:val="26"/>
              </w:rPr>
            </w:pPr>
          </w:p>
          <w:p w:rsidR="00A56FE9" w:rsidRDefault="00000000">
            <w:pPr>
              <w:pStyle w:val="TableParagraph"/>
              <w:spacing w:before="1"/>
              <w:ind w:right="1"/>
              <w:jc w:val="center"/>
              <w:rPr>
                <w:rFonts w:ascii="Wingdings" w:hAnsi="Wingdings"/>
                <w:sz w:val="18"/>
              </w:rPr>
            </w:pPr>
            <w:r>
              <w:rPr>
                <w:rFonts w:ascii="Wingdings" w:hAnsi="Wingdings"/>
                <w:color w:val="585858"/>
                <w:sz w:val="18"/>
              </w:rPr>
              <w:t></w:t>
            </w:r>
          </w:p>
        </w:tc>
      </w:tr>
    </w:tbl>
    <w:p w:rsidR="00A56FE9" w:rsidRDefault="00A56FE9">
      <w:pPr>
        <w:jc w:val="center"/>
        <w:rPr>
          <w:rFonts w:ascii="Wingdings" w:hAnsi="Wingdings"/>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970"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668"/>
        <w:gridCol w:w="3008"/>
        <w:gridCol w:w="415"/>
        <w:gridCol w:w="391"/>
        <w:gridCol w:w="401"/>
        <w:gridCol w:w="382"/>
        <w:gridCol w:w="382"/>
        <w:gridCol w:w="389"/>
        <w:gridCol w:w="396"/>
        <w:gridCol w:w="389"/>
        <w:gridCol w:w="396"/>
        <w:gridCol w:w="396"/>
        <w:gridCol w:w="396"/>
        <w:gridCol w:w="391"/>
        <w:gridCol w:w="393"/>
        <w:gridCol w:w="369"/>
        <w:gridCol w:w="403"/>
        <w:gridCol w:w="591"/>
        <w:gridCol w:w="600"/>
        <w:gridCol w:w="391"/>
        <w:gridCol w:w="396"/>
        <w:gridCol w:w="420"/>
        <w:gridCol w:w="984"/>
        <w:gridCol w:w="1047"/>
      </w:tblGrid>
      <w:tr w:rsidR="00A56FE9">
        <w:trPr>
          <w:trHeight w:val="1273"/>
        </w:trPr>
        <w:tc>
          <w:tcPr>
            <w:tcW w:w="3676" w:type="dxa"/>
            <w:gridSpan w:val="2"/>
            <w:tcBorders>
              <w:bottom w:val="single" w:sz="4" w:space="0" w:color="FFFFFF"/>
              <w:right w:val="nil"/>
            </w:tcBorders>
            <w:shd w:val="clear" w:color="auto" w:fill="2C398A"/>
          </w:tcPr>
          <w:p w:rsidR="00A56FE9" w:rsidRDefault="00A56FE9">
            <w:pPr>
              <w:pStyle w:val="TableParagraph"/>
              <w:spacing w:before="5"/>
              <w:rPr>
                <w:b/>
                <w:sz w:val="26"/>
              </w:rPr>
            </w:pPr>
          </w:p>
          <w:p w:rsidR="00A56FE9" w:rsidRDefault="00000000">
            <w:pPr>
              <w:pStyle w:val="TableParagraph"/>
              <w:ind w:left="1363" w:right="1358"/>
              <w:jc w:val="center"/>
              <w:rPr>
                <w:sz w:val="18"/>
              </w:rPr>
            </w:pPr>
            <w:r>
              <w:rPr>
                <w:color w:val="FFFFFF"/>
                <w:sz w:val="18"/>
              </w:rPr>
              <w:t>Components</w:t>
            </w:r>
          </w:p>
          <w:p w:rsidR="00A56FE9" w:rsidRDefault="00A56FE9">
            <w:pPr>
              <w:pStyle w:val="TableParagraph"/>
              <w:rPr>
                <w:b/>
                <w:sz w:val="20"/>
              </w:rPr>
            </w:pPr>
          </w:p>
          <w:p w:rsidR="00A56FE9" w:rsidRDefault="00A56FE9">
            <w:pPr>
              <w:pStyle w:val="TableParagraph"/>
              <w:spacing w:before="6"/>
              <w:rPr>
                <w:b/>
                <w:sz w:val="17"/>
              </w:rPr>
            </w:pPr>
          </w:p>
          <w:p w:rsidR="00A56FE9" w:rsidRDefault="00000000">
            <w:pPr>
              <w:pStyle w:val="TableParagraph"/>
              <w:ind w:left="1362" w:right="1358"/>
              <w:jc w:val="center"/>
              <w:rPr>
                <w:sz w:val="18"/>
              </w:rPr>
            </w:pPr>
            <w:r>
              <w:rPr>
                <w:color w:val="FFFFFF"/>
                <w:sz w:val="18"/>
              </w:rPr>
              <w:t>Code</w:t>
            </w:r>
          </w:p>
        </w:tc>
        <w:tc>
          <w:tcPr>
            <w:tcW w:w="2360" w:type="dxa"/>
            <w:gridSpan w:val="6"/>
            <w:tcBorders>
              <w:left w:val="nil"/>
              <w:bottom w:val="single" w:sz="4" w:space="0" w:color="FFFFFF"/>
              <w:right w:val="nil"/>
            </w:tcBorders>
            <w:shd w:val="clear" w:color="auto" w:fill="2C398A"/>
          </w:tcPr>
          <w:p w:rsidR="00A56FE9" w:rsidRDefault="00A56FE9">
            <w:pPr>
              <w:pStyle w:val="TableParagraph"/>
              <w:spacing w:before="5"/>
              <w:rPr>
                <w:b/>
                <w:sz w:val="26"/>
              </w:rPr>
            </w:pPr>
          </w:p>
          <w:p w:rsidR="00A56FE9" w:rsidRDefault="00000000">
            <w:pPr>
              <w:pStyle w:val="TableParagraph"/>
              <w:ind w:left="819" w:right="811"/>
              <w:jc w:val="center"/>
              <w:rPr>
                <w:sz w:val="18"/>
              </w:rPr>
            </w:pPr>
            <w:r>
              <w:rPr>
                <w:color w:val="FFFFFF"/>
                <w:sz w:val="18"/>
              </w:rPr>
              <w:t>Economy</w:t>
            </w:r>
          </w:p>
          <w:p w:rsidR="00A56FE9" w:rsidRDefault="00A56FE9">
            <w:pPr>
              <w:pStyle w:val="TableParagraph"/>
              <w:rPr>
                <w:b/>
                <w:sz w:val="20"/>
              </w:rPr>
            </w:pPr>
          </w:p>
          <w:p w:rsidR="00A56FE9" w:rsidRDefault="00A56FE9">
            <w:pPr>
              <w:pStyle w:val="TableParagraph"/>
              <w:spacing w:before="6"/>
              <w:rPr>
                <w:b/>
                <w:sz w:val="17"/>
              </w:rPr>
            </w:pPr>
          </w:p>
          <w:p w:rsidR="00A56FE9" w:rsidRDefault="00000000">
            <w:pPr>
              <w:pStyle w:val="TableParagraph"/>
              <w:ind w:left="814" w:right="811"/>
              <w:jc w:val="center"/>
              <w:rPr>
                <w:sz w:val="18"/>
              </w:rPr>
            </w:pPr>
            <w:r>
              <w:rPr>
                <w:color w:val="FFFFFF"/>
                <w:sz w:val="18"/>
              </w:rPr>
              <w:t>C1</w:t>
            </w:r>
          </w:p>
        </w:tc>
        <w:tc>
          <w:tcPr>
            <w:tcW w:w="3529" w:type="dxa"/>
            <w:gridSpan w:val="9"/>
            <w:tcBorders>
              <w:left w:val="nil"/>
              <w:bottom w:val="single" w:sz="4" w:space="0" w:color="FFFFFF"/>
              <w:right w:val="nil"/>
            </w:tcBorders>
            <w:shd w:val="clear" w:color="auto" w:fill="2C398A"/>
          </w:tcPr>
          <w:p w:rsidR="00A56FE9" w:rsidRDefault="00A56FE9">
            <w:pPr>
              <w:pStyle w:val="TableParagraph"/>
              <w:spacing w:before="5"/>
              <w:rPr>
                <w:b/>
                <w:sz w:val="17"/>
              </w:rPr>
            </w:pPr>
          </w:p>
          <w:p w:rsidR="00A56FE9" w:rsidRDefault="00000000">
            <w:pPr>
              <w:pStyle w:val="TableParagraph"/>
              <w:spacing w:before="1"/>
              <w:ind w:left="238" w:right="232"/>
              <w:jc w:val="center"/>
              <w:rPr>
                <w:sz w:val="18"/>
              </w:rPr>
            </w:pPr>
            <w:r>
              <w:rPr>
                <w:color w:val="FFFFFF"/>
                <w:sz w:val="18"/>
              </w:rPr>
              <w:t>Public Administration, Judiciary and State</w:t>
            </w:r>
            <w:r>
              <w:rPr>
                <w:color w:val="FFFFFF"/>
                <w:spacing w:val="-42"/>
                <w:sz w:val="18"/>
              </w:rPr>
              <w:t xml:space="preserve"> </w:t>
            </w:r>
            <w:r>
              <w:rPr>
                <w:color w:val="FFFFFF"/>
                <w:sz w:val="18"/>
              </w:rPr>
              <w:t>Assets</w:t>
            </w:r>
          </w:p>
          <w:p w:rsidR="00A56FE9" w:rsidRDefault="00A56FE9">
            <w:pPr>
              <w:pStyle w:val="TableParagraph"/>
              <w:spacing w:before="5"/>
              <w:rPr>
                <w:b/>
                <w:sz w:val="28"/>
              </w:rPr>
            </w:pPr>
          </w:p>
          <w:p w:rsidR="00A56FE9" w:rsidRDefault="00000000">
            <w:pPr>
              <w:pStyle w:val="TableParagraph"/>
              <w:ind w:left="237" w:right="232"/>
              <w:jc w:val="center"/>
              <w:rPr>
                <w:sz w:val="18"/>
              </w:rPr>
            </w:pPr>
            <w:r>
              <w:rPr>
                <w:color w:val="FFFFFF"/>
                <w:sz w:val="18"/>
              </w:rPr>
              <w:t>C2</w:t>
            </w:r>
          </w:p>
        </w:tc>
        <w:tc>
          <w:tcPr>
            <w:tcW w:w="1191" w:type="dxa"/>
            <w:gridSpan w:val="2"/>
            <w:tcBorders>
              <w:left w:val="nil"/>
              <w:bottom w:val="single" w:sz="4" w:space="0" w:color="FFFFFF"/>
              <w:right w:val="nil"/>
            </w:tcBorders>
            <w:shd w:val="clear" w:color="auto" w:fill="2C398A"/>
          </w:tcPr>
          <w:p w:rsidR="00A56FE9" w:rsidRDefault="00000000">
            <w:pPr>
              <w:pStyle w:val="TableParagraph"/>
              <w:spacing w:before="98"/>
              <w:ind w:left="163" w:right="160" w:firstLine="45"/>
              <w:jc w:val="both"/>
              <w:rPr>
                <w:sz w:val="18"/>
              </w:rPr>
            </w:pPr>
            <w:r>
              <w:rPr>
                <w:color w:val="FFFFFF"/>
                <w:sz w:val="18"/>
              </w:rPr>
              <w:t>Education,</w:t>
            </w:r>
            <w:r>
              <w:rPr>
                <w:color w:val="FFFFFF"/>
                <w:spacing w:val="1"/>
                <w:sz w:val="18"/>
              </w:rPr>
              <w:t xml:space="preserve"> </w:t>
            </w:r>
            <w:r>
              <w:rPr>
                <w:color w:val="FFFFFF"/>
                <w:spacing w:val="-1"/>
                <w:sz w:val="18"/>
              </w:rPr>
              <w:t xml:space="preserve">Science </w:t>
            </w:r>
            <w:r>
              <w:rPr>
                <w:color w:val="FFFFFF"/>
                <w:sz w:val="18"/>
              </w:rPr>
              <w:t>and</w:t>
            </w:r>
            <w:r>
              <w:rPr>
                <w:color w:val="FFFFFF"/>
                <w:spacing w:val="-42"/>
                <w:sz w:val="18"/>
              </w:rPr>
              <w:t xml:space="preserve"> </w:t>
            </w:r>
            <w:r>
              <w:rPr>
                <w:color w:val="FFFFFF"/>
                <w:sz w:val="18"/>
              </w:rPr>
              <w:t>Research</w:t>
            </w:r>
          </w:p>
          <w:p w:rsidR="00A56FE9" w:rsidRDefault="00A56FE9">
            <w:pPr>
              <w:pStyle w:val="TableParagraph"/>
              <w:spacing w:before="5"/>
              <w:rPr>
                <w:b/>
                <w:sz w:val="19"/>
              </w:rPr>
            </w:pPr>
          </w:p>
          <w:p w:rsidR="00A56FE9" w:rsidRDefault="00000000">
            <w:pPr>
              <w:pStyle w:val="TableParagraph"/>
              <w:ind w:left="472" w:right="468"/>
              <w:jc w:val="center"/>
              <w:rPr>
                <w:sz w:val="18"/>
              </w:rPr>
            </w:pPr>
            <w:r>
              <w:rPr>
                <w:color w:val="FFFFFF"/>
                <w:sz w:val="18"/>
              </w:rPr>
              <w:t>C3</w:t>
            </w:r>
          </w:p>
        </w:tc>
        <w:tc>
          <w:tcPr>
            <w:tcW w:w="1207" w:type="dxa"/>
            <w:gridSpan w:val="3"/>
            <w:tcBorders>
              <w:left w:val="nil"/>
              <w:bottom w:val="single" w:sz="4" w:space="0" w:color="FFFFFF"/>
              <w:right w:val="nil"/>
            </w:tcBorders>
            <w:shd w:val="clear" w:color="auto" w:fill="2C398A"/>
          </w:tcPr>
          <w:p w:rsidR="00A56FE9" w:rsidRDefault="00000000">
            <w:pPr>
              <w:pStyle w:val="TableParagraph"/>
              <w:ind w:left="194" w:right="186" w:firstLine="3"/>
              <w:jc w:val="center"/>
              <w:rPr>
                <w:sz w:val="18"/>
              </w:rPr>
            </w:pPr>
            <w:r>
              <w:rPr>
                <w:color w:val="FFFFFF"/>
                <w:sz w:val="18"/>
              </w:rPr>
              <w:t>Labour</w:t>
            </w:r>
            <w:r>
              <w:rPr>
                <w:color w:val="FFFFFF"/>
                <w:spacing w:val="1"/>
                <w:sz w:val="18"/>
              </w:rPr>
              <w:t xml:space="preserve"> </w:t>
            </w:r>
            <w:r>
              <w:rPr>
                <w:color w:val="FFFFFF"/>
                <w:spacing w:val="-1"/>
                <w:sz w:val="18"/>
              </w:rPr>
              <w:t xml:space="preserve">Market </w:t>
            </w:r>
            <w:r>
              <w:rPr>
                <w:color w:val="FFFFFF"/>
                <w:sz w:val="18"/>
              </w:rPr>
              <w:t>and</w:t>
            </w:r>
            <w:r>
              <w:rPr>
                <w:color w:val="FFFFFF"/>
                <w:spacing w:val="-42"/>
                <w:sz w:val="18"/>
              </w:rPr>
              <w:t xml:space="preserve"> </w:t>
            </w:r>
            <w:r>
              <w:rPr>
                <w:color w:val="FFFFFF"/>
                <w:sz w:val="18"/>
              </w:rPr>
              <w:t>Social</w:t>
            </w:r>
            <w:r>
              <w:rPr>
                <w:color w:val="FFFFFF"/>
                <w:spacing w:val="1"/>
                <w:sz w:val="18"/>
              </w:rPr>
              <w:t xml:space="preserve"> </w:t>
            </w:r>
            <w:r>
              <w:rPr>
                <w:color w:val="FFFFFF"/>
                <w:sz w:val="18"/>
              </w:rPr>
              <w:t>Protection</w:t>
            </w:r>
          </w:p>
          <w:p w:rsidR="00A56FE9" w:rsidRDefault="00000000">
            <w:pPr>
              <w:pStyle w:val="TableParagraph"/>
              <w:spacing w:before="115"/>
              <w:ind w:left="481" w:right="475"/>
              <w:jc w:val="center"/>
              <w:rPr>
                <w:sz w:val="18"/>
              </w:rPr>
            </w:pPr>
            <w:r>
              <w:rPr>
                <w:color w:val="FFFFFF"/>
                <w:sz w:val="18"/>
              </w:rPr>
              <w:t>C4</w:t>
            </w:r>
          </w:p>
        </w:tc>
        <w:tc>
          <w:tcPr>
            <w:tcW w:w="984" w:type="dxa"/>
            <w:tcBorders>
              <w:left w:val="nil"/>
              <w:bottom w:val="single" w:sz="4" w:space="0" w:color="FFFFFF"/>
              <w:right w:val="nil"/>
            </w:tcBorders>
            <w:shd w:val="clear" w:color="auto" w:fill="2C398A"/>
          </w:tcPr>
          <w:p w:rsidR="00A56FE9" w:rsidRDefault="00A56FE9">
            <w:pPr>
              <w:pStyle w:val="TableParagraph"/>
              <w:spacing w:before="5"/>
              <w:rPr>
                <w:b/>
                <w:sz w:val="17"/>
              </w:rPr>
            </w:pPr>
          </w:p>
          <w:p w:rsidR="00A56FE9" w:rsidRDefault="00000000">
            <w:pPr>
              <w:pStyle w:val="TableParagraph"/>
              <w:spacing w:before="1"/>
              <w:ind w:left="257" w:right="246"/>
              <w:jc w:val="center"/>
              <w:rPr>
                <w:sz w:val="18"/>
              </w:rPr>
            </w:pPr>
            <w:r>
              <w:rPr>
                <w:color w:val="FFFFFF"/>
                <w:spacing w:val="-1"/>
                <w:sz w:val="18"/>
              </w:rPr>
              <w:t>Health</w:t>
            </w:r>
            <w:r>
              <w:rPr>
                <w:color w:val="FFFFFF"/>
                <w:spacing w:val="-42"/>
                <w:sz w:val="18"/>
              </w:rPr>
              <w:t xml:space="preserve"> </w:t>
            </w:r>
            <w:r>
              <w:rPr>
                <w:color w:val="FFFFFF"/>
                <w:sz w:val="18"/>
              </w:rPr>
              <w:t>Care</w:t>
            </w:r>
          </w:p>
          <w:p w:rsidR="00A56FE9" w:rsidRDefault="00A56FE9">
            <w:pPr>
              <w:pStyle w:val="TableParagraph"/>
              <w:spacing w:before="5"/>
              <w:rPr>
                <w:b/>
                <w:sz w:val="28"/>
              </w:rPr>
            </w:pPr>
          </w:p>
          <w:p w:rsidR="00A56FE9" w:rsidRDefault="00000000">
            <w:pPr>
              <w:pStyle w:val="TableParagraph"/>
              <w:ind w:left="255" w:right="246"/>
              <w:jc w:val="center"/>
              <w:rPr>
                <w:sz w:val="18"/>
              </w:rPr>
            </w:pPr>
            <w:r>
              <w:rPr>
                <w:color w:val="FFFFFF"/>
                <w:sz w:val="18"/>
              </w:rPr>
              <w:t>C5</w:t>
            </w:r>
          </w:p>
        </w:tc>
        <w:tc>
          <w:tcPr>
            <w:tcW w:w="1047" w:type="dxa"/>
            <w:tcBorders>
              <w:left w:val="nil"/>
              <w:bottom w:val="single" w:sz="4" w:space="0" w:color="FFFFFF"/>
            </w:tcBorders>
            <w:shd w:val="clear" w:color="auto" w:fill="2C398A"/>
          </w:tcPr>
          <w:p w:rsidR="00A56FE9" w:rsidRDefault="00000000">
            <w:pPr>
              <w:pStyle w:val="TableParagraph"/>
              <w:spacing w:before="98"/>
              <w:ind w:left="113" w:right="95"/>
              <w:jc w:val="center"/>
              <w:rPr>
                <w:sz w:val="18"/>
              </w:rPr>
            </w:pPr>
            <w:r>
              <w:rPr>
                <w:color w:val="FFFFFF"/>
                <w:sz w:val="18"/>
              </w:rPr>
              <w:t>Renovation</w:t>
            </w:r>
            <w:r>
              <w:rPr>
                <w:color w:val="FFFFFF"/>
                <w:spacing w:val="-42"/>
                <w:sz w:val="18"/>
              </w:rPr>
              <w:t xml:space="preserve"> </w:t>
            </w:r>
            <w:r>
              <w:rPr>
                <w:color w:val="FFFFFF"/>
                <w:sz w:val="18"/>
              </w:rPr>
              <w:t>of</w:t>
            </w:r>
            <w:r>
              <w:rPr>
                <w:color w:val="FFFFFF"/>
                <w:spacing w:val="1"/>
                <w:sz w:val="18"/>
              </w:rPr>
              <w:t xml:space="preserve"> </w:t>
            </w:r>
            <w:r>
              <w:rPr>
                <w:color w:val="FFFFFF"/>
                <w:sz w:val="18"/>
              </w:rPr>
              <w:t>Buildings</w:t>
            </w:r>
          </w:p>
          <w:p w:rsidR="00A56FE9" w:rsidRDefault="00A56FE9">
            <w:pPr>
              <w:pStyle w:val="TableParagraph"/>
              <w:spacing w:before="5"/>
              <w:rPr>
                <w:b/>
                <w:sz w:val="19"/>
              </w:rPr>
            </w:pPr>
          </w:p>
          <w:p w:rsidR="00A56FE9" w:rsidRDefault="00000000">
            <w:pPr>
              <w:pStyle w:val="TableParagraph"/>
              <w:ind w:left="109" w:right="95"/>
              <w:jc w:val="center"/>
              <w:rPr>
                <w:sz w:val="18"/>
              </w:rPr>
            </w:pPr>
            <w:r>
              <w:rPr>
                <w:color w:val="FFFFFF"/>
                <w:sz w:val="18"/>
              </w:rPr>
              <w:t>C6</w:t>
            </w:r>
          </w:p>
        </w:tc>
      </w:tr>
      <w:tr w:rsidR="00A56FE9">
        <w:trPr>
          <w:trHeight w:val="369"/>
        </w:trPr>
        <w:tc>
          <w:tcPr>
            <w:tcW w:w="3676" w:type="dxa"/>
            <w:gridSpan w:val="2"/>
            <w:tcBorders>
              <w:top w:val="single" w:sz="4" w:space="0" w:color="FFFFFF"/>
              <w:left w:val="nil"/>
              <w:right w:val="nil"/>
            </w:tcBorders>
            <w:shd w:val="clear" w:color="auto" w:fill="D9D9D9"/>
          </w:tcPr>
          <w:p w:rsidR="00A56FE9" w:rsidRDefault="00A56FE9">
            <w:pPr>
              <w:pStyle w:val="TableParagraph"/>
              <w:rPr>
                <w:sz w:val="18"/>
              </w:rPr>
            </w:pPr>
          </w:p>
        </w:tc>
        <w:tc>
          <w:tcPr>
            <w:tcW w:w="415" w:type="dxa"/>
            <w:tcBorders>
              <w:top w:val="single" w:sz="4" w:space="0" w:color="FFFFFF"/>
              <w:left w:val="nil"/>
              <w:right w:val="nil"/>
            </w:tcBorders>
            <w:shd w:val="clear" w:color="auto" w:fill="DEEAF6"/>
          </w:tcPr>
          <w:p w:rsidR="00A56FE9" w:rsidRDefault="00000000">
            <w:pPr>
              <w:pStyle w:val="TableParagraph"/>
              <w:spacing w:before="47"/>
              <w:ind w:left="165"/>
              <w:rPr>
                <w:sz w:val="18"/>
              </w:rPr>
            </w:pPr>
            <w:r>
              <w:rPr>
                <w:sz w:val="18"/>
              </w:rPr>
              <w:t>1</w:t>
            </w:r>
          </w:p>
        </w:tc>
        <w:tc>
          <w:tcPr>
            <w:tcW w:w="391" w:type="dxa"/>
            <w:tcBorders>
              <w:top w:val="single" w:sz="4" w:space="0" w:color="FFFFFF"/>
              <w:left w:val="nil"/>
              <w:right w:val="nil"/>
            </w:tcBorders>
            <w:shd w:val="clear" w:color="auto" w:fill="DEEAF6"/>
          </w:tcPr>
          <w:p w:rsidR="00A56FE9" w:rsidRDefault="00000000">
            <w:pPr>
              <w:pStyle w:val="TableParagraph"/>
              <w:spacing w:before="47"/>
              <w:ind w:left="5"/>
              <w:jc w:val="center"/>
              <w:rPr>
                <w:sz w:val="18"/>
              </w:rPr>
            </w:pPr>
            <w:r>
              <w:rPr>
                <w:sz w:val="18"/>
              </w:rPr>
              <w:t>2</w:t>
            </w:r>
          </w:p>
        </w:tc>
        <w:tc>
          <w:tcPr>
            <w:tcW w:w="401" w:type="dxa"/>
            <w:tcBorders>
              <w:top w:val="single" w:sz="4" w:space="0" w:color="FFFFFF"/>
              <w:left w:val="nil"/>
              <w:right w:val="nil"/>
            </w:tcBorders>
            <w:shd w:val="clear" w:color="auto" w:fill="DEEAF6"/>
          </w:tcPr>
          <w:p w:rsidR="00A56FE9" w:rsidRDefault="00000000">
            <w:pPr>
              <w:pStyle w:val="TableParagraph"/>
              <w:spacing w:before="47"/>
              <w:ind w:left="5"/>
              <w:jc w:val="center"/>
              <w:rPr>
                <w:sz w:val="18"/>
              </w:rPr>
            </w:pPr>
            <w:r>
              <w:rPr>
                <w:sz w:val="18"/>
              </w:rPr>
              <w:t>3</w:t>
            </w:r>
          </w:p>
        </w:tc>
        <w:tc>
          <w:tcPr>
            <w:tcW w:w="382" w:type="dxa"/>
            <w:tcBorders>
              <w:top w:val="single" w:sz="4" w:space="0" w:color="FFFFFF"/>
              <w:left w:val="nil"/>
              <w:right w:val="nil"/>
            </w:tcBorders>
            <w:shd w:val="clear" w:color="auto" w:fill="DEEAF6"/>
          </w:tcPr>
          <w:p w:rsidR="00A56FE9" w:rsidRDefault="00000000">
            <w:pPr>
              <w:pStyle w:val="TableParagraph"/>
              <w:spacing w:before="47"/>
              <w:ind w:left="4"/>
              <w:jc w:val="center"/>
              <w:rPr>
                <w:sz w:val="18"/>
              </w:rPr>
            </w:pPr>
            <w:r>
              <w:rPr>
                <w:sz w:val="18"/>
              </w:rPr>
              <w:t>4</w:t>
            </w:r>
          </w:p>
        </w:tc>
        <w:tc>
          <w:tcPr>
            <w:tcW w:w="382" w:type="dxa"/>
            <w:tcBorders>
              <w:top w:val="single" w:sz="4" w:space="0" w:color="FFFFFF"/>
              <w:left w:val="nil"/>
              <w:right w:val="nil"/>
            </w:tcBorders>
            <w:shd w:val="clear" w:color="auto" w:fill="DEEAF6"/>
          </w:tcPr>
          <w:p w:rsidR="00A56FE9" w:rsidRDefault="00000000">
            <w:pPr>
              <w:pStyle w:val="TableParagraph"/>
              <w:spacing w:before="47"/>
              <w:ind w:left="4"/>
              <w:jc w:val="center"/>
              <w:rPr>
                <w:sz w:val="18"/>
              </w:rPr>
            </w:pPr>
            <w:r>
              <w:rPr>
                <w:sz w:val="18"/>
              </w:rPr>
              <w:t>5</w:t>
            </w:r>
          </w:p>
        </w:tc>
        <w:tc>
          <w:tcPr>
            <w:tcW w:w="389" w:type="dxa"/>
            <w:tcBorders>
              <w:top w:val="single" w:sz="4" w:space="0" w:color="FFFFFF"/>
              <w:left w:val="nil"/>
              <w:right w:val="nil"/>
            </w:tcBorders>
            <w:shd w:val="clear" w:color="auto" w:fill="DEEAF6"/>
          </w:tcPr>
          <w:p w:rsidR="00A56FE9" w:rsidRDefault="00000000">
            <w:pPr>
              <w:pStyle w:val="TableParagraph"/>
              <w:spacing w:before="47"/>
              <w:ind w:left="5"/>
              <w:jc w:val="center"/>
              <w:rPr>
                <w:sz w:val="18"/>
              </w:rPr>
            </w:pPr>
            <w:r>
              <w:rPr>
                <w:sz w:val="18"/>
              </w:rPr>
              <w:t>6</w:t>
            </w:r>
          </w:p>
        </w:tc>
        <w:tc>
          <w:tcPr>
            <w:tcW w:w="396" w:type="dxa"/>
            <w:tcBorders>
              <w:top w:val="single" w:sz="4" w:space="0" w:color="FFFFFF"/>
              <w:left w:val="nil"/>
              <w:right w:val="nil"/>
            </w:tcBorders>
            <w:shd w:val="clear" w:color="auto" w:fill="FAE3D4"/>
          </w:tcPr>
          <w:p w:rsidR="00A56FE9" w:rsidRDefault="00000000">
            <w:pPr>
              <w:pStyle w:val="TableParagraph"/>
              <w:spacing w:before="47"/>
              <w:ind w:left="3"/>
              <w:jc w:val="center"/>
              <w:rPr>
                <w:sz w:val="18"/>
              </w:rPr>
            </w:pPr>
            <w:r>
              <w:rPr>
                <w:sz w:val="18"/>
              </w:rPr>
              <w:t>1</w:t>
            </w:r>
          </w:p>
        </w:tc>
        <w:tc>
          <w:tcPr>
            <w:tcW w:w="389" w:type="dxa"/>
            <w:tcBorders>
              <w:top w:val="single" w:sz="4" w:space="0" w:color="FFFFFF"/>
              <w:left w:val="nil"/>
              <w:right w:val="nil"/>
            </w:tcBorders>
            <w:shd w:val="clear" w:color="auto" w:fill="FAE3D4"/>
          </w:tcPr>
          <w:p w:rsidR="00A56FE9" w:rsidRDefault="00000000">
            <w:pPr>
              <w:pStyle w:val="TableParagraph"/>
              <w:spacing w:before="47"/>
              <w:ind w:left="5"/>
              <w:jc w:val="center"/>
              <w:rPr>
                <w:sz w:val="18"/>
              </w:rPr>
            </w:pPr>
            <w:r>
              <w:rPr>
                <w:sz w:val="18"/>
              </w:rPr>
              <w:t>2</w:t>
            </w:r>
          </w:p>
        </w:tc>
        <w:tc>
          <w:tcPr>
            <w:tcW w:w="396" w:type="dxa"/>
            <w:tcBorders>
              <w:top w:val="single" w:sz="4" w:space="0" w:color="FFFFFF"/>
              <w:left w:val="nil"/>
              <w:right w:val="nil"/>
            </w:tcBorders>
            <w:shd w:val="clear" w:color="auto" w:fill="FAE3D4"/>
          </w:tcPr>
          <w:p w:rsidR="00A56FE9" w:rsidRDefault="00000000">
            <w:pPr>
              <w:pStyle w:val="TableParagraph"/>
              <w:spacing w:before="47"/>
              <w:ind w:left="3"/>
              <w:jc w:val="center"/>
              <w:rPr>
                <w:sz w:val="18"/>
              </w:rPr>
            </w:pPr>
            <w:r>
              <w:rPr>
                <w:sz w:val="18"/>
              </w:rPr>
              <w:t>3</w:t>
            </w:r>
          </w:p>
        </w:tc>
        <w:tc>
          <w:tcPr>
            <w:tcW w:w="396" w:type="dxa"/>
            <w:tcBorders>
              <w:top w:val="single" w:sz="4" w:space="0" w:color="FFFFFF"/>
              <w:left w:val="nil"/>
              <w:right w:val="nil"/>
            </w:tcBorders>
            <w:shd w:val="clear" w:color="auto" w:fill="FAE3D4"/>
          </w:tcPr>
          <w:p w:rsidR="00A56FE9" w:rsidRDefault="00000000">
            <w:pPr>
              <w:pStyle w:val="TableParagraph"/>
              <w:spacing w:before="47"/>
              <w:ind w:left="3"/>
              <w:jc w:val="center"/>
              <w:rPr>
                <w:sz w:val="18"/>
              </w:rPr>
            </w:pPr>
            <w:r>
              <w:rPr>
                <w:sz w:val="18"/>
              </w:rPr>
              <w:t>4</w:t>
            </w:r>
          </w:p>
        </w:tc>
        <w:tc>
          <w:tcPr>
            <w:tcW w:w="396" w:type="dxa"/>
            <w:tcBorders>
              <w:top w:val="single" w:sz="4" w:space="0" w:color="FFFFFF"/>
              <w:left w:val="nil"/>
              <w:right w:val="nil"/>
            </w:tcBorders>
            <w:shd w:val="clear" w:color="auto" w:fill="FAE3D4"/>
          </w:tcPr>
          <w:p w:rsidR="00A56FE9" w:rsidRDefault="00000000">
            <w:pPr>
              <w:pStyle w:val="TableParagraph"/>
              <w:spacing w:before="47"/>
              <w:ind w:right="1"/>
              <w:jc w:val="center"/>
              <w:rPr>
                <w:sz w:val="18"/>
              </w:rPr>
            </w:pPr>
            <w:r>
              <w:rPr>
                <w:sz w:val="18"/>
              </w:rPr>
              <w:t>5</w:t>
            </w:r>
          </w:p>
        </w:tc>
        <w:tc>
          <w:tcPr>
            <w:tcW w:w="391" w:type="dxa"/>
            <w:tcBorders>
              <w:top w:val="single" w:sz="4" w:space="0" w:color="FFFFFF"/>
              <w:left w:val="nil"/>
              <w:right w:val="nil"/>
            </w:tcBorders>
            <w:shd w:val="clear" w:color="auto" w:fill="FAE3D4"/>
          </w:tcPr>
          <w:p w:rsidR="00A56FE9" w:rsidRDefault="00000000">
            <w:pPr>
              <w:pStyle w:val="TableParagraph"/>
              <w:spacing w:before="47"/>
              <w:ind w:left="152"/>
              <w:rPr>
                <w:sz w:val="18"/>
              </w:rPr>
            </w:pPr>
            <w:r>
              <w:rPr>
                <w:sz w:val="18"/>
              </w:rPr>
              <w:t>6</w:t>
            </w:r>
          </w:p>
        </w:tc>
        <w:tc>
          <w:tcPr>
            <w:tcW w:w="393" w:type="dxa"/>
            <w:tcBorders>
              <w:top w:val="single" w:sz="4" w:space="0" w:color="FFFFFF"/>
              <w:left w:val="nil"/>
              <w:right w:val="nil"/>
            </w:tcBorders>
            <w:shd w:val="clear" w:color="auto" w:fill="FAE3D4"/>
          </w:tcPr>
          <w:p w:rsidR="00A56FE9" w:rsidRDefault="00000000">
            <w:pPr>
              <w:pStyle w:val="TableParagraph"/>
              <w:spacing w:before="47"/>
              <w:ind w:left="2"/>
              <w:jc w:val="center"/>
              <w:rPr>
                <w:sz w:val="18"/>
              </w:rPr>
            </w:pPr>
            <w:r>
              <w:rPr>
                <w:sz w:val="18"/>
              </w:rPr>
              <w:t>7</w:t>
            </w:r>
          </w:p>
        </w:tc>
        <w:tc>
          <w:tcPr>
            <w:tcW w:w="369" w:type="dxa"/>
            <w:tcBorders>
              <w:top w:val="single" w:sz="4" w:space="0" w:color="FFFFFF"/>
              <w:left w:val="nil"/>
              <w:right w:val="nil"/>
            </w:tcBorders>
            <w:shd w:val="clear" w:color="auto" w:fill="FAE3D4"/>
          </w:tcPr>
          <w:p w:rsidR="00A56FE9" w:rsidRDefault="00000000">
            <w:pPr>
              <w:pStyle w:val="TableParagraph"/>
              <w:spacing w:before="47"/>
              <w:ind w:left="3"/>
              <w:jc w:val="center"/>
              <w:rPr>
                <w:sz w:val="18"/>
              </w:rPr>
            </w:pPr>
            <w:r>
              <w:rPr>
                <w:sz w:val="18"/>
              </w:rPr>
              <w:t>8</w:t>
            </w:r>
          </w:p>
        </w:tc>
        <w:tc>
          <w:tcPr>
            <w:tcW w:w="403" w:type="dxa"/>
            <w:tcBorders>
              <w:top w:val="single" w:sz="4" w:space="0" w:color="FFFFFF"/>
              <w:left w:val="nil"/>
              <w:right w:val="nil"/>
            </w:tcBorders>
            <w:shd w:val="clear" w:color="auto" w:fill="FAE3D4"/>
          </w:tcPr>
          <w:p w:rsidR="00A56FE9" w:rsidRDefault="00000000">
            <w:pPr>
              <w:pStyle w:val="TableParagraph"/>
              <w:spacing w:before="47"/>
              <w:ind w:left="9"/>
              <w:jc w:val="center"/>
              <w:rPr>
                <w:sz w:val="18"/>
              </w:rPr>
            </w:pPr>
            <w:r>
              <w:rPr>
                <w:sz w:val="18"/>
              </w:rPr>
              <w:t>9</w:t>
            </w:r>
          </w:p>
        </w:tc>
        <w:tc>
          <w:tcPr>
            <w:tcW w:w="1191" w:type="dxa"/>
            <w:gridSpan w:val="2"/>
            <w:tcBorders>
              <w:top w:val="single" w:sz="4" w:space="0" w:color="FFFFFF"/>
              <w:left w:val="nil"/>
              <w:right w:val="nil"/>
            </w:tcBorders>
            <w:shd w:val="clear" w:color="auto" w:fill="FFF1CC"/>
          </w:tcPr>
          <w:p w:rsidR="00A56FE9" w:rsidRDefault="00000000">
            <w:pPr>
              <w:pStyle w:val="TableParagraph"/>
              <w:tabs>
                <w:tab w:val="left" w:pos="848"/>
              </w:tabs>
              <w:spacing w:before="47"/>
              <w:ind w:left="252"/>
              <w:rPr>
                <w:sz w:val="18"/>
              </w:rPr>
            </w:pPr>
            <w:r>
              <w:rPr>
                <w:sz w:val="18"/>
              </w:rPr>
              <w:t>1</w:t>
            </w:r>
            <w:r>
              <w:rPr>
                <w:sz w:val="18"/>
              </w:rPr>
              <w:tab/>
              <w:t>2</w:t>
            </w:r>
          </w:p>
        </w:tc>
        <w:tc>
          <w:tcPr>
            <w:tcW w:w="1207" w:type="dxa"/>
            <w:gridSpan w:val="3"/>
            <w:tcBorders>
              <w:top w:val="single" w:sz="4" w:space="0" w:color="FFFFFF"/>
              <w:left w:val="nil"/>
              <w:right w:val="nil"/>
            </w:tcBorders>
            <w:shd w:val="clear" w:color="auto" w:fill="FFFF66"/>
          </w:tcPr>
          <w:p w:rsidR="00A56FE9" w:rsidRDefault="00000000">
            <w:pPr>
              <w:pStyle w:val="TableParagraph"/>
              <w:tabs>
                <w:tab w:val="left" w:pos="547"/>
                <w:tab w:val="left" w:pos="955"/>
              </w:tabs>
              <w:spacing w:before="47"/>
              <w:ind w:left="153"/>
              <w:rPr>
                <w:sz w:val="18"/>
              </w:rPr>
            </w:pPr>
            <w:r>
              <w:rPr>
                <w:sz w:val="18"/>
              </w:rPr>
              <w:t>1</w:t>
            </w:r>
            <w:r>
              <w:rPr>
                <w:sz w:val="18"/>
              </w:rPr>
              <w:tab/>
              <w:t>2</w:t>
            </w:r>
            <w:r>
              <w:rPr>
                <w:sz w:val="18"/>
              </w:rPr>
              <w:tab/>
              <w:t>3</w:t>
            </w:r>
          </w:p>
        </w:tc>
        <w:tc>
          <w:tcPr>
            <w:tcW w:w="984" w:type="dxa"/>
            <w:tcBorders>
              <w:top w:val="single" w:sz="4" w:space="0" w:color="FFFFFF"/>
              <w:left w:val="nil"/>
              <w:right w:val="nil"/>
            </w:tcBorders>
            <w:shd w:val="clear" w:color="auto" w:fill="E1EED9"/>
          </w:tcPr>
          <w:p w:rsidR="00A56FE9" w:rsidRDefault="00000000">
            <w:pPr>
              <w:pStyle w:val="TableParagraph"/>
              <w:spacing w:before="47"/>
              <w:ind w:left="9"/>
              <w:jc w:val="center"/>
              <w:rPr>
                <w:sz w:val="18"/>
              </w:rPr>
            </w:pPr>
            <w:r>
              <w:rPr>
                <w:sz w:val="18"/>
              </w:rPr>
              <w:t>1</w:t>
            </w:r>
          </w:p>
        </w:tc>
        <w:tc>
          <w:tcPr>
            <w:tcW w:w="1047" w:type="dxa"/>
            <w:tcBorders>
              <w:top w:val="single" w:sz="4" w:space="0" w:color="FFFFFF"/>
              <w:left w:val="nil"/>
              <w:right w:val="nil"/>
            </w:tcBorders>
            <w:shd w:val="clear" w:color="auto" w:fill="D0CECE"/>
          </w:tcPr>
          <w:p w:rsidR="00A56FE9" w:rsidRDefault="00000000">
            <w:pPr>
              <w:pStyle w:val="TableParagraph"/>
              <w:spacing w:before="47"/>
              <w:ind w:left="9"/>
              <w:jc w:val="center"/>
              <w:rPr>
                <w:sz w:val="18"/>
              </w:rPr>
            </w:pPr>
            <w:r>
              <w:rPr>
                <w:sz w:val="18"/>
              </w:rPr>
              <w:t>1</w:t>
            </w:r>
          </w:p>
        </w:tc>
      </w:tr>
      <w:tr w:rsidR="00A56FE9">
        <w:trPr>
          <w:trHeight w:val="640"/>
        </w:trPr>
        <w:tc>
          <w:tcPr>
            <w:tcW w:w="668" w:type="dxa"/>
            <w:vMerge w:val="restart"/>
            <w:tcBorders>
              <w:left w:val="nil"/>
            </w:tcBorders>
            <w:shd w:val="clear" w:color="auto" w:fill="F1F1F1"/>
          </w:tcPr>
          <w:p w:rsidR="00A56FE9" w:rsidRDefault="00A56FE9">
            <w:pPr>
              <w:pStyle w:val="TableParagraph"/>
              <w:rPr>
                <w:sz w:val="18"/>
              </w:rPr>
            </w:pPr>
          </w:p>
        </w:tc>
        <w:tc>
          <w:tcPr>
            <w:tcW w:w="3008" w:type="dxa"/>
            <w:shd w:val="clear" w:color="auto" w:fill="F1F1F1"/>
          </w:tcPr>
          <w:p w:rsidR="00A56FE9" w:rsidRDefault="00000000">
            <w:pPr>
              <w:pStyle w:val="TableParagraph"/>
              <w:spacing w:line="242" w:lineRule="auto"/>
              <w:ind w:left="107" w:right="447"/>
              <w:rPr>
                <w:sz w:val="18"/>
              </w:rPr>
            </w:pPr>
            <w:r>
              <w:rPr>
                <w:sz w:val="18"/>
              </w:rPr>
              <w:t>renewables and environmental</w:t>
            </w:r>
            <w:r>
              <w:rPr>
                <w:spacing w:val="1"/>
                <w:sz w:val="18"/>
              </w:rPr>
              <w:t xml:space="preserve"> </w:t>
            </w:r>
            <w:r>
              <w:rPr>
                <w:sz w:val="18"/>
              </w:rPr>
              <w:t>infrastructure,</w:t>
            </w:r>
            <w:r>
              <w:rPr>
                <w:spacing w:val="-6"/>
                <w:sz w:val="18"/>
              </w:rPr>
              <w:t xml:space="preserve"> </w:t>
            </w:r>
            <w:r>
              <w:rPr>
                <w:sz w:val="18"/>
              </w:rPr>
              <w:t>taking</w:t>
            </w:r>
            <w:r>
              <w:rPr>
                <w:spacing w:val="-6"/>
                <w:sz w:val="18"/>
              </w:rPr>
              <w:t xml:space="preserve"> </w:t>
            </w:r>
            <w:r>
              <w:rPr>
                <w:sz w:val="18"/>
              </w:rPr>
              <w:t>into</w:t>
            </w:r>
            <w:r>
              <w:rPr>
                <w:spacing w:val="-4"/>
                <w:sz w:val="18"/>
              </w:rPr>
              <w:t xml:space="preserve"> </w:t>
            </w:r>
            <w:r>
              <w:rPr>
                <w:sz w:val="18"/>
              </w:rPr>
              <w:t>account</w:t>
            </w:r>
          </w:p>
          <w:p w:rsidR="00A56FE9" w:rsidRDefault="00000000">
            <w:pPr>
              <w:pStyle w:val="TableParagraph"/>
              <w:spacing w:line="206" w:lineRule="exact"/>
              <w:ind w:left="107"/>
              <w:rPr>
                <w:sz w:val="18"/>
              </w:rPr>
            </w:pPr>
            <w:r>
              <w:rPr>
                <w:sz w:val="18"/>
              </w:rPr>
              <w:t>regional</w:t>
            </w:r>
            <w:r>
              <w:rPr>
                <w:spacing w:val="-3"/>
                <w:sz w:val="18"/>
              </w:rPr>
              <w:t xml:space="preserve"> </w:t>
            </w:r>
            <w:r>
              <w:rPr>
                <w:sz w:val="18"/>
              </w:rPr>
              <w:t>disparities.</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rPr>
                <w:sz w:val="18"/>
              </w:rPr>
            </w:pPr>
          </w:p>
        </w:tc>
        <w:tc>
          <w:tcPr>
            <w:tcW w:w="600"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643"/>
        </w:trPr>
        <w:tc>
          <w:tcPr>
            <w:tcW w:w="668" w:type="dxa"/>
            <w:vMerge/>
            <w:tcBorders>
              <w:top w:val="nil"/>
              <w:left w:val="nil"/>
            </w:tcBorders>
            <w:shd w:val="clear" w:color="auto" w:fill="F1F1F1"/>
          </w:tcPr>
          <w:p w:rsidR="00A56FE9" w:rsidRDefault="00A56FE9">
            <w:pPr>
              <w:rPr>
                <w:sz w:val="2"/>
                <w:szCs w:val="2"/>
              </w:rPr>
            </w:pPr>
          </w:p>
        </w:tc>
        <w:tc>
          <w:tcPr>
            <w:tcW w:w="3008" w:type="dxa"/>
            <w:shd w:val="clear" w:color="auto" w:fill="F1F1F1"/>
          </w:tcPr>
          <w:p w:rsidR="00A56FE9" w:rsidRDefault="00000000">
            <w:pPr>
              <w:pStyle w:val="TableParagraph"/>
              <w:ind w:left="107" w:right="472"/>
              <w:jc w:val="both"/>
              <w:rPr>
                <w:sz w:val="18"/>
              </w:rPr>
            </w:pPr>
            <w:r>
              <w:rPr>
                <w:b/>
                <w:sz w:val="18"/>
              </w:rPr>
              <w:t xml:space="preserve">3.2. </w:t>
            </w:r>
            <w:r>
              <w:rPr>
                <w:sz w:val="18"/>
              </w:rPr>
              <w:t>Increase the administration’s</w:t>
            </w:r>
            <w:r>
              <w:rPr>
                <w:spacing w:val="-42"/>
                <w:sz w:val="18"/>
              </w:rPr>
              <w:t xml:space="preserve"> </w:t>
            </w:r>
            <w:r>
              <w:rPr>
                <w:sz w:val="18"/>
              </w:rPr>
              <w:t>capacity</w:t>
            </w:r>
            <w:r>
              <w:rPr>
                <w:spacing w:val="-8"/>
                <w:sz w:val="18"/>
              </w:rPr>
              <w:t xml:space="preserve"> </w:t>
            </w:r>
            <w:r>
              <w:rPr>
                <w:sz w:val="18"/>
              </w:rPr>
              <w:t>to</w:t>
            </w:r>
            <w:r>
              <w:rPr>
                <w:spacing w:val="-3"/>
                <w:sz w:val="18"/>
              </w:rPr>
              <w:t xml:space="preserve"> </w:t>
            </w:r>
            <w:r>
              <w:rPr>
                <w:sz w:val="18"/>
              </w:rPr>
              <w:t>design</w:t>
            </w:r>
            <w:r>
              <w:rPr>
                <w:spacing w:val="-3"/>
                <w:sz w:val="18"/>
              </w:rPr>
              <w:t xml:space="preserve"> </w:t>
            </w:r>
            <w:r>
              <w:rPr>
                <w:sz w:val="18"/>
              </w:rPr>
              <w:t>and</w:t>
            </w:r>
            <w:r>
              <w:rPr>
                <w:spacing w:val="-5"/>
                <w:sz w:val="18"/>
              </w:rPr>
              <w:t xml:space="preserve"> </w:t>
            </w:r>
            <w:r>
              <w:rPr>
                <w:sz w:val="18"/>
              </w:rPr>
              <w:t>implement</w:t>
            </w:r>
            <w:r>
              <w:rPr>
                <w:spacing w:val="-43"/>
                <w:sz w:val="18"/>
              </w:rPr>
              <w:t xml:space="preserve"> </w:t>
            </w:r>
            <w:r>
              <w:rPr>
                <w:sz w:val="18"/>
              </w:rPr>
              <w:t>public</w:t>
            </w:r>
            <w:r>
              <w:rPr>
                <w:spacing w:val="-2"/>
                <w:sz w:val="18"/>
              </w:rPr>
              <w:t xml:space="preserve"> </w:t>
            </w:r>
            <w:r>
              <w:rPr>
                <w:sz w:val="18"/>
              </w:rPr>
              <w:t>projects and</w:t>
            </w:r>
            <w:r>
              <w:rPr>
                <w:spacing w:val="-2"/>
                <w:sz w:val="18"/>
              </w:rPr>
              <w:t xml:space="preserve"> </w:t>
            </w:r>
            <w:r>
              <w:rPr>
                <w:sz w:val="18"/>
              </w:rPr>
              <w:t>policies.</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spacing w:before="6"/>
              <w:rPr>
                <w:b/>
                <w:sz w:val="18"/>
              </w:rPr>
            </w:pPr>
          </w:p>
          <w:p w:rsidR="00A56FE9" w:rsidRDefault="00000000">
            <w:pPr>
              <w:pStyle w:val="TableParagraph"/>
              <w:ind w:left="6"/>
              <w:jc w:val="center"/>
              <w:rPr>
                <w:rFonts w:ascii="Wingdings" w:hAnsi="Wingdings"/>
                <w:sz w:val="18"/>
              </w:rPr>
            </w:pPr>
            <w:r>
              <w:rPr>
                <w:rFonts w:ascii="Wingdings" w:hAnsi="Wingdings"/>
                <w:color w:val="006FC0"/>
                <w:sz w:val="18"/>
              </w:rPr>
              <w:t></w:t>
            </w:r>
          </w:p>
        </w:tc>
        <w:tc>
          <w:tcPr>
            <w:tcW w:w="396" w:type="dxa"/>
          </w:tcPr>
          <w:p w:rsidR="00A56FE9" w:rsidRDefault="00A56FE9">
            <w:pPr>
              <w:pStyle w:val="TableParagraph"/>
              <w:spacing w:before="6"/>
              <w:rPr>
                <w:b/>
                <w:sz w:val="18"/>
              </w:rPr>
            </w:pPr>
          </w:p>
          <w:p w:rsidR="00A56FE9" w:rsidRDefault="00000000">
            <w:pPr>
              <w:pStyle w:val="TableParagraph"/>
              <w:ind w:left="4"/>
              <w:jc w:val="center"/>
              <w:rPr>
                <w:rFonts w:ascii="Wingdings" w:hAnsi="Wingdings"/>
                <w:sz w:val="18"/>
              </w:rPr>
            </w:pPr>
            <w:r>
              <w:rPr>
                <w:rFonts w:ascii="Wingdings" w:hAnsi="Wingdings"/>
                <w:color w:val="C00000"/>
                <w:sz w:val="18"/>
              </w:rPr>
              <w:t></w:t>
            </w:r>
          </w:p>
        </w:tc>
        <w:tc>
          <w:tcPr>
            <w:tcW w:w="389" w:type="dxa"/>
          </w:tcPr>
          <w:p w:rsidR="00A56FE9" w:rsidRDefault="00A56FE9">
            <w:pPr>
              <w:pStyle w:val="TableParagraph"/>
              <w:spacing w:before="6"/>
              <w:rPr>
                <w:b/>
                <w:sz w:val="18"/>
              </w:rPr>
            </w:pPr>
          </w:p>
          <w:p w:rsidR="00A56FE9" w:rsidRDefault="00000000">
            <w:pPr>
              <w:pStyle w:val="TableParagraph"/>
              <w:ind w:left="6"/>
              <w:jc w:val="center"/>
              <w:rPr>
                <w:rFonts w:ascii="Wingdings" w:hAnsi="Wingdings"/>
                <w:sz w:val="18"/>
              </w:rPr>
            </w:pPr>
            <w:r>
              <w:rPr>
                <w:rFonts w:ascii="Wingdings" w:hAnsi="Wingdings"/>
                <w:color w:val="C00000"/>
                <w:sz w:val="18"/>
              </w:rPr>
              <w:t></w:t>
            </w: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spacing w:before="6"/>
              <w:rPr>
                <w:b/>
                <w:sz w:val="18"/>
              </w:rPr>
            </w:pPr>
          </w:p>
          <w:p w:rsidR="00A56FE9" w:rsidRDefault="00000000">
            <w:pPr>
              <w:pStyle w:val="TableParagraph"/>
              <w:ind w:left="10"/>
              <w:jc w:val="center"/>
              <w:rPr>
                <w:rFonts w:ascii="Wingdings" w:hAnsi="Wingdings"/>
                <w:sz w:val="18"/>
              </w:rPr>
            </w:pPr>
            <w:r>
              <w:rPr>
                <w:rFonts w:ascii="Wingdings" w:hAnsi="Wingdings"/>
                <w:color w:val="C00000"/>
                <w:sz w:val="18"/>
              </w:rPr>
              <w:t></w:t>
            </w:r>
          </w:p>
        </w:tc>
        <w:tc>
          <w:tcPr>
            <w:tcW w:w="591" w:type="dxa"/>
          </w:tcPr>
          <w:p w:rsidR="00A56FE9" w:rsidRDefault="00A56FE9">
            <w:pPr>
              <w:pStyle w:val="TableParagraph"/>
              <w:rPr>
                <w:sz w:val="18"/>
              </w:rPr>
            </w:pPr>
          </w:p>
        </w:tc>
        <w:tc>
          <w:tcPr>
            <w:tcW w:w="600" w:type="dxa"/>
          </w:tcPr>
          <w:p w:rsidR="00A56FE9" w:rsidRDefault="00A56FE9">
            <w:pPr>
              <w:pStyle w:val="TableParagraph"/>
              <w:spacing w:before="6"/>
              <w:rPr>
                <w:b/>
                <w:sz w:val="18"/>
              </w:rPr>
            </w:pPr>
          </w:p>
          <w:p w:rsidR="00A56FE9" w:rsidRDefault="00000000">
            <w:pPr>
              <w:pStyle w:val="TableParagraph"/>
              <w:ind w:left="5"/>
              <w:jc w:val="center"/>
              <w:rPr>
                <w:rFonts w:ascii="Wingdings" w:hAnsi="Wingdings"/>
                <w:sz w:val="18"/>
              </w:rPr>
            </w:pPr>
            <w:r>
              <w:rPr>
                <w:rFonts w:ascii="Wingdings" w:hAnsi="Wingdings"/>
                <w:color w:val="BE8F00"/>
                <w:sz w:val="18"/>
              </w:rPr>
              <w:t></w:t>
            </w:r>
          </w:p>
        </w:tc>
        <w:tc>
          <w:tcPr>
            <w:tcW w:w="391" w:type="dxa"/>
          </w:tcPr>
          <w:p w:rsidR="00A56FE9" w:rsidRDefault="00A56FE9">
            <w:pPr>
              <w:pStyle w:val="TableParagraph"/>
              <w:rPr>
                <w:sz w:val="18"/>
              </w:rPr>
            </w:pP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846"/>
        </w:trPr>
        <w:tc>
          <w:tcPr>
            <w:tcW w:w="668" w:type="dxa"/>
            <w:vMerge w:val="restart"/>
            <w:tcBorders>
              <w:left w:val="nil"/>
            </w:tcBorders>
            <w:shd w:val="clear" w:color="auto" w:fill="F1F1F1"/>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1"/>
              <w:rPr>
                <w:b/>
                <w:sz w:val="19"/>
              </w:rPr>
            </w:pPr>
          </w:p>
          <w:p w:rsidR="00A56FE9" w:rsidRDefault="00000000">
            <w:pPr>
              <w:pStyle w:val="TableParagraph"/>
              <w:ind w:left="112"/>
              <w:rPr>
                <w:b/>
                <w:sz w:val="18"/>
              </w:rPr>
            </w:pPr>
            <w:r>
              <w:rPr>
                <w:b/>
                <w:sz w:val="18"/>
              </w:rPr>
              <w:t>CSR4</w:t>
            </w:r>
          </w:p>
        </w:tc>
        <w:tc>
          <w:tcPr>
            <w:tcW w:w="3008" w:type="dxa"/>
            <w:shd w:val="clear" w:color="auto" w:fill="F1F1F1"/>
          </w:tcPr>
          <w:p w:rsidR="00A56FE9" w:rsidRDefault="00000000">
            <w:pPr>
              <w:pStyle w:val="TableParagraph"/>
              <w:ind w:left="107" w:right="182"/>
              <w:rPr>
                <w:sz w:val="18"/>
              </w:rPr>
            </w:pPr>
            <w:r>
              <w:rPr>
                <w:b/>
                <w:sz w:val="18"/>
              </w:rPr>
              <w:t>4.1.</w:t>
            </w:r>
            <w:r>
              <w:rPr>
                <w:b/>
                <w:spacing w:val="-3"/>
                <w:sz w:val="18"/>
              </w:rPr>
              <w:t xml:space="preserve"> </w:t>
            </w:r>
            <w:r>
              <w:rPr>
                <w:sz w:val="18"/>
              </w:rPr>
              <w:t>Improve</w:t>
            </w:r>
            <w:r>
              <w:rPr>
                <w:spacing w:val="-3"/>
                <w:sz w:val="18"/>
              </w:rPr>
              <w:t xml:space="preserve"> </w:t>
            </w:r>
            <w:r>
              <w:rPr>
                <w:sz w:val="18"/>
              </w:rPr>
              <w:t>corporate</w:t>
            </w:r>
            <w:r>
              <w:rPr>
                <w:spacing w:val="-1"/>
                <w:sz w:val="18"/>
              </w:rPr>
              <w:t xml:space="preserve"> </w:t>
            </w:r>
            <w:r>
              <w:rPr>
                <w:sz w:val="18"/>
              </w:rPr>
              <w:t>governance</w:t>
            </w:r>
            <w:r>
              <w:rPr>
                <w:spacing w:val="-3"/>
                <w:sz w:val="18"/>
              </w:rPr>
              <w:t xml:space="preserve"> </w:t>
            </w:r>
            <w:r>
              <w:rPr>
                <w:sz w:val="18"/>
              </w:rPr>
              <w:t>in</w:t>
            </w:r>
            <w:r>
              <w:rPr>
                <w:spacing w:val="-42"/>
                <w:sz w:val="18"/>
              </w:rPr>
              <w:t xml:space="preserve"> </w:t>
            </w:r>
            <w:r>
              <w:rPr>
                <w:sz w:val="18"/>
              </w:rPr>
              <w:t>state-owned enterprises and intensify</w:t>
            </w:r>
            <w:r>
              <w:rPr>
                <w:spacing w:val="-42"/>
                <w:sz w:val="18"/>
              </w:rPr>
              <w:t xml:space="preserve"> </w:t>
            </w:r>
            <w:r>
              <w:rPr>
                <w:sz w:val="18"/>
              </w:rPr>
              <w:t>the sale of such enterprises and non-</w:t>
            </w:r>
            <w:r>
              <w:rPr>
                <w:spacing w:val="1"/>
                <w:sz w:val="18"/>
              </w:rPr>
              <w:t xml:space="preserve"> </w:t>
            </w:r>
            <w:r>
              <w:rPr>
                <w:sz w:val="18"/>
              </w:rPr>
              <w:t>productive</w:t>
            </w:r>
            <w:r>
              <w:rPr>
                <w:spacing w:val="-2"/>
                <w:sz w:val="18"/>
              </w:rPr>
              <w:t xml:space="preserve"> </w:t>
            </w:r>
            <w:r>
              <w:rPr>
                <w:sz w:val="18"/>
              </w:rPr>
              <w:t>assets.</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spacing w:before="5"/>
              <w:rPr>
                <w:b/>
                <w:sz w:val="27"/>
              </w:rPr>
            </w:pPr>
          </w:p>
          <w:p w:rsidR="00A56FE9" w:rsidRDefault="00000000">
            <w:pPr>
              <w:pStyle w:val="TableParagraph"/>
              <w:ind w:left="4"/>
              <w:jc w:val="center"/>
              <w:rPr>
                <w:rFonts w:ascii="Wingdings" w:hAnsi="Wingdings"/>
                <w:sz w:val="18"/>
              </w:rPr>
            </w:pPr>
            <w:r>
              <w:rPr>
                <w:rFonts w:ascii="Wingdings" w:hAnsi="Wingdings"/>
                <w:color w:val="C00000"/>
                <w:sz w:val="18"/>
              </w:rPr>
              <w:t></w:t>
            </w:r>
          </w:p>
        </w:tc>
        <w:tc>
          <w:tcPr>
            <w:tcW w:w="396" w:type="dxa"/>
          </w:tcPr>
          <w:p w:rsidR="00A56FE9" w:rsidRDefault="00A56FE9">
            <w:pPr>
              <w:pStyle w:val="TableParagraph"/>
              <w:rPr>
                <w:sz w:val="18"/>
              </w:rPr>
            </w:pPr>
          </w:p>
        </w:tc>
        <w:tc>
          <w:tcPr>
            <w:tcW w:w="391" w:type="dxa"/>
          </w:tcPr>
          <w:p w:rsidR="00A56FE9" w:rsidRDefault="00A56FE9">
            <w:pPr>
              <w:pStyle w:val="TableParagraph"/>
              <w:spacing w:before="5"/>
              <w:rPr>
                <w:b/>
                <w:sz w:val="27"/>
              </w:rPr>
            </w:pPr>
          </w:p>
          <w:p w:rsidR="00A56FE9" w:rsidRDefault="00000000">
            <w:pPr>
              <w:pStyle w:val="TableParagraph"/>
              <w:ind w:left="125"/>
              <w:rPr>
                <w:rFonts w:ascii="Wingdings" w:hAnsi="Wingdings"/>
                <w:sz w:val="18"/>
              </w:rPr>
            </w:pPr>
            <w:r>
              <w:rPr>
                <w:rFonts w:ascii="Wingdings" w:hAnsi="Wingdings"/>
                <w:color w:val="C00000"/>
                <w:sz w:val="18"/>
              </w:rPr>
              <w:t></w:t>
            </w: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rPr>
                <w:sz w:val="18"/>
              </w:rPr>
            </w:pPr>
          </w:p>
        </w:tc>
        <w:tc>
          <w:tcPr>
            <w:tcW w:w="600"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640"/>
        </w:trPr>
        <w:tc>
          <w:tcPr>
            <w:tcW w:w="668" w:type="dxa"/>
            <w:vMerge/>
            <w:tcBorders>
              <w:top w:val="nil"/>
              <w:left w:val="nil"/>
            </w:tcBorders>
            <w:shd w:val="clear" w:color="auto" w:fill="F1F1F1"/>
          </w:tcPr>
          <w:p w:rsidR="00A56FE9" w:rsidRDefault="00A56FE9">
            <w:pPr>
              <w:rPr>
                <w:sz w:val="2"/>
                <w:szCs w:val="2"/>
              </w:rPr>
            </w:pPr>
          </w:p>
        </w:tc>
        <w:tc>
          <w:tcPr>
            <w:tcW w:w="3008" w:type="dxa"/>
            <w:shd w:val="clear" w:color="auto" w:fill="F1F1F1"/>
          </w:tcPr>
          <w:p w:rsidR="00A56FE9" w:rsidRDefault="00000000">
            <w:pPr>
              <w:pStyle w:val="TableParagraph"/>
              <w:ind w:left="107" w:right="105"/>
              <w:rPr>
                <w:sz w:val="18"/>
              </w:rPr>
            </w:pPr>
            <w:r>
              <w:rPr>
                <w:b/>
                <w:sz w:val="18"/>
              </w:rPr>
              <w:t xml:space="preserve">4.2. </w:t>
            </w:r>
            <w:r>
              <w:rPr>
                <w:sz w:val="18"/>
              </w:rPr>
              <w:t>Enhance the prevention and</w:t>
            </w:r>
            <w:r>
              <w:rPr>
                <w:spacing w:val="1"/>
                <w:sz w:val="18"/>
              </w:rPr>
              <w:t xml:space="preserve"> </w:t>
            </w:r>
            <w:r>
              <w:rPr>
                <w:sz w:val="18"/>
              </w:rPr>
              <w:t>sanctioning</w:t>
            </w:r>
            <w:r>
              <w:rPr>
                <w:spacing w:val="-5"/>
                <w:sz w:val="18"/>
              </w:rPr>
              <w:t xml:space="preserve"> </w:t>
            </w:r>
            <w:r>
              <w:rPr>
                <w:sz w:val="18"/>
              </w:rPr>
              <w:t>of</w:t>
            </w:r>
            <w:r>
              <w:rPr>
                <w:spacing w:val="-6"/>
                <w:sz w:val="18"/>
              </w:rPr>
              <w:t xml:space="preserve"> </w:t>
            </w:r>
            <w:r>
              <w:rPr>
                <w:sz w:val="18"/>
              </w:rPr>
              <w:t>corruption,</w:t>
            </w:r>
            <w:r>
              <w:rPr>
                <w:spacing w:val="-3"/>
                <w:sz w:val="18"/>
              </w:rPr>
              <w:t xml:space="preserve"> </w:t>
            </w:r>
            <w:r>
              <w:rPr>
                <w:sz w:val="18"/>
              </w:rPr>
              <w:t>in</w:t>
            </w:r>
            <w:r>
              <w:rPr>
                <w:spacing w:val="-5"/>
                <w:sz w:val="18"/>
              </w:rPr>
              <w:t xml:space="preserve"> </w:t>
            </w:r>
            <w:r>
              <w:rPr>
                <w:sz w:val="18"/>
              </w:rPr>
              <w:t>particular</w:t>
            </w:r>
          </w:p>
          <w:p w:rsidR="00A56FE9" w:rsidRDefault="00000000">
            <w:pPr>
              <w:pStyle w:val="TableParagraph"/>
              <w:ind w:left="107"/>
              <w:rPr>
                <w:sz w:val="18"/>
              </w:rPr>
            </w:pPr>
            <w:r>
              <w:rPr>
                <w:sz w:val="18"/>
              </w:rPr>
              <w:t>at</w:t>
            </w:r>
            <w:r>
              <w:rPr>
                <w:spacing w:val="-1"/>
                <w:sz w:val="18"/>
              </w:rPr>
              <w:t xml:space="preserve"> </w:t>
            </w:r>
            <w:r>
              <w:rPr>
                <w:sz w:val="18"/>
              </w:rPr>
              <w:t>the</w:t>
            </w:r>
            <w:r>
              <w:rPr>
                <w:spacing w:val="-2"/>
                <w:sz w:val="18"/>
              </w:rPr>
              <w:t xml:space="preserve"> </w:t>
            </w:r>
            <w:r>
              <w:rPr>
                <w:sz w:val="18"/>
              </w:rPr>
              <w:t>local</w:t>
            </w:r>
            <w:r>
              <w:rPr>
                <w:spacing w:val="-1"/>
                <w:sz w:val="18"/>
              </w:rPr>
              <w:t xml:space="preserve"> </w:t>
            </w:r>
            <w:r>
              <w:rPr>
                <w:sz w:val="18"/>
              </w:rPr>
              <w:t>level.</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1" w:type="dxa"/>
          </w:tcPr>
          <w:p w:rsidR="00A56FE9" w:rsidRDefault="00A56FE9">
            <w:pPr>
              <w:pStyle w:val="TableParagraph"/>
              <w:spacing w:before="5"/>
              <w:rPr>
                <w:b/>
                <w:sz w:val="18"/>
              </w:rPr>
            </w:pPr>
          </w:p>
          <w:p w:rsidR="00A56FE9" w:rsidRDefault="00000000">
            <w:pPr>
              <w:pStyle w:val="TableParagraph"/>
              <w:ind w:left="125"/>
              <w:rPr>
                <w:rFonts w:ascii="Wingdings" w:hAnsi="Wingdings"/>
                <w:sz w:val="18"/>
              </w:rPr>
            </w:pPr>
            <w:r>
              <w:rPr>
                <w:rFonts w:ascii="Wingdings" w:hAnsi="Wingdings"/>
                <w:color w:val="C00000"/>
                <w:sz w:val="18"/>
              </w:rPr>
              <w:t></w:t>
            </w: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spacing w:before="5"/>
              <w:rPr>
                <w:b/>
                <w:sz w:val="18"/>
              </w:rPr>
            </w:pPr>
          </w:p>
          <w:p w:rsidR="00A56FE9" w:rsidRDefault="00000000">
            <w:pPr>
              <w:pStyle w:val="TableParagraph"/>
              <w:ind w:left="10"/>
              <w:jc w:val="center"/>
              <w:rPr>
                <w:rFonts w:ascii="Wingdings" w:hAnsi="Wingdings"/>
                <w:sz w:val="18"/>
              </w:rPr>
            </w:pPr>
            <w:r>
              <w:rPr>
                <w:rFonts w:ascii="Wingdings" w:hAnsi="Wingdings"/>
                <w:color w:val="C00000"/>
                <w:sz w:val="18"/>
              </w:rPr>
              <w:t></w:t>
            </w:r>
          </w:p>
        </w:tc>
        <w:tc>
          <w:tcPr>
            <w:tcW w:w="591" w:type="dxa"/>
          </w:tcPr>
          <w:p w:rsidR="00A56FE9" w:rsidRDefault="00A56FE9">
            <w:pPr>
              <w:pStyle w:val="TableParagraph"/>
              <w:rPr>
                <w:sz w:val="18"/>
              </w:rPr>
            </w:pPr>
          </w:p>
        </w:tc>
        <w:tc>
          <w:tcPr>
            <w:tcW w:w="600"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643"/>
        </w:trPr>
        <w:tc>
          <w:tcPr>
            <w:tcW w:w="668" w:type="dxa"/>
            <w:vMerge/>
            <w:tcBorders>
              <w:top w:val="nil"/>
              <w:left w:val="nil"/>
            </w:tcBorders>
            <w:shd w:val="clear" w:color="auto" w:fill="F1F1F1"/>
          </w:tcPr>
          <w:p w:rsidR="00A56FE9" w:rsidRDefault="00A56FE9">
            <w:pPr>
              <w:rPr>
                <w:sz w:val="2"/>
                <w:szCs w:val="2"/>
              </w:rPr>
            </w:pPr>
          </w:p>
        </w:tc>
        <w:tc>
          <w:tcPr>
            <w:tcW w:w="3008" w:type="dxa"/>
            <w:shd w:val="clear" w:color="auto" w:fill="F1F1F1"/>
          </w:tcPr>
          <w:p w:rsidR="00A56FE9" w:rsidRDefault="00000000">
            <w:pPr>
              <w:pStyle w:val="TableParagraph"/>
              <w:spacing w:line="242" w:lineRule="auto"/>
              <w:ind w:left="107" w:right="308"/>
              <w:rPr>
                <w:sz w:val="18"/>
              </w:rPr>
            </w:pPr>
            <w:r>
              <w:rPr>
                <w:b/>
                <w:sz w:val="18"/>
              </w:rPr>
              <w:t xml:space="preserve">4.3. </w:t>
            </w:r>
            <w:r>
              <w:rPr>
                <w:sz w:val="18"/>
              </w:rPr>
              <w:t>Reduce the duration of court</w:t>
            </w:r>
            <w:r>
              <w:rPr>
                <w:spacing w:val="1"/>
                <w:sz w:val="18"/>
              </w:rPr>
              <w:t xml:space="preserve"> </w:t>
            </w:r>
            <w:r>
              <w:rPr>
                <w:sz w:val="18"/>
              </w:rPr>
              <w:t>proceedings</w:t>
            </w:r>
            <w:r>
              <w:rPr>
                <w:spacing w:val="-4"/>
                <w:sz w:val="18"/>
              </w:rPr>
              <w:t xml:space="preserve"> </w:t>
            </w:r>
            <w:r>
              <w:rPr>
                <w:sz w:val="18"/>
              </w:rPr>
              <w:t>and</w:t>
            </w:r>
            <w:r>
              <w:rPr>
                <w:spacing w:val="-2"/>
                <w:sz w:val="18"/>
              </w:rPr>
              <w:t xml:space="preserve"> </w:t>
            </w:r>
            <w:r>
              <w:rPr>
                <w:sz w:val="18"/>
              </w:rPr>
              <w:t>improve</w:t>
            </w:r>
            <w:r>
              <w:rPr>
                <w:spacing w:val="-5"/>
                <w:sz w:val="18"/>
              </w:rPr>
              <w:t xml:space="preserve"> </w:t>
            </w:r>
            <w:r>
              <w:rPr>
                <w:sz w:val="18"/>
              </w:rPr>
              <w:t>electronic</w:t>
            </w:r>
            <w:r>
              <w:rPr>
                <w:spacing w:val="-42"/>
                <w:sz w:val="18"/>
              </w:rPr>
              <w:t xml:space="preserve"> </w:t>
            </w:r>
            <w:r>
              <w:rPr>
                <w:sz w:val="18"/>
              </w:rPr>
              <w:t>communication in</w:t>
            </w:r>
            <w:r>
              <w:rPr>
                <w:spacing w:val="-1"/>
                <w:sz w:val="18"/>
              </w:rPr>
              <w:t xml:space="preserve"> </w:t>
            </w:r>
            <w:r>
              <w:rPr>
                <w:sz w:val="18"/>
              </w:rPr>
              <w:t>courts.</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spacing w:before="5"/>
              <w:rPr>
                <w:b/>
                <w:sz w:val="18"/>
              </w:rPr>
            </w:pPr>
          </w:p>
          <w:p w:rsidR="00A56FE9" w:rsidRDefault="00000000">
            <w:pPr>
              <w:pStyle w:val="TableParagraph"/>
              <w:jc w:val="center"/>
              <w:rPr>
                <w:rFonts w:ascii="Wingdings" w:hAnsi="Wingdings"/>
                <w:sz w:val="18"/>
              </w:rPr>
            </w:pPr>
            <w:r>
              <w:rPr>
                <w:rFonts w:ascii="Wingdings" w:hAnsi="Wingdings"/>
                <w:color w:val="C00000"/>
                <w:sz w:val="18"/>
              </w:rPr>
              <w:t></w:t>
            </w:r>
          </w:p>
        </w:tc>
        <w:tc>
          <w:tcPr>
            <w:tcW w:w="391" w:type="dxa"/>
          </w:tcPr>
          <w:p w:rsidR="00A56FE9" w:rsidRDefault="00A56FE9">
            <w:pPr>
              <w:pStyle w:val="TableParagraph"/>
              <w:rPr>
                <w:sz w:val="18"/>
              </w:rPr>
            </w:pP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rPr>
                <w:sz w:val="18"/>
              </w:rPr>
            </w:pPr>
          </w:p>
        </w:tc>
        <w:tc>
          <w:tcPr>
            <w:tcW w:w="600"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846"/>
        </w:trPr>
        <w:tc>
          <w:tcPr>
            <w:tcW w:w="668" w:type="dxa"/>
            <w:vMerge/>
            <w:tcBorders>
              <w:top w:val="nil"/>
              <w:left w:val="nil"/>
            </w:tcBorders>
            <w:shd w:val="clear" w:color="auto" w:fill="F1F1F1"/>
          </w:tcPr>
          <w:p w:rsidR="00A56FE9" w:rsidRDefault="00A56FE9">
            <w:pPr>
              <w:rPr>
                <w:sz w:val="2"/>
                <w:szCs w:val="2"/>
              </w:rPr>
            </w:pPr>
          </w:p>
        </w:tc>
        <w:tc>
          <w:tcPr>
            <w:tcW w:w="3008" w:type="dxa"/>
            <w:shd w:val="clear" w:color="auto" w:fill="F1F1F1"/>
          </w:tcPr>
          <w:p w:rsidR="00A56FE9" w:rsidRDefault="00000000">
            <w:pPr>
              <w:pStyle w:val="TableParagraph"/>
              <w:ind w:left="107" w:right="441"/>
              <w:rPr>
                <w:sz w:val="18"/>
              </w:rPr>
            </w:pPr>
            <w:r>
              <w:rPr>
                <w:b/>
                <w:sz w:val="18"/>
              </w:rPr>
              <w:t>4.4</w:t>
            </w:r>
            <w:r>
              <w:rPr>
                <w:sz w:val="18"/>
              </w:rPr>
              <w:t>.</w:t>
            </w:r>
            <w:r>
              <w:rPr>
                <w:spacing w:val="-4"/>
                <w:sz w:val="18"/>
              </w:rPr>
              <w:t xml:space="preserve"> </w:t>
            </w:r>
            <w:r>
              <w:rPr>
                <w:sz w:val="18"/>
              </w:rPr>
              <w:t>Reduce</w:t>
            </w:r>
            <w:r>
              <w:rPr>
                <w:spacing w:val="-2"/>
                <w:sz w:val="18"/>
              </w:rPr>
              <w:t xml:space="preserve"> </w:t>
            </w:r>
            <w:r>
              <w:rPr>
                <w:sz w:val="18"/>
              </w:rPr>
              <w:t>the</w:t>
            </w:r>
            <w:r>
              <w:rPr>
                <w:spacing w:val="-3"/>
                <w:sz w:val="18"/>
              </w:rPr>
              <w:t xml:space="preserve"> </w:t>
            </w:r>
            <w:r>
              <w:rPr>
                <w:sz w:val="18"/>
              </w:rPr>
              <w:t>most</w:t>
            </w:r>
            <w:r>
              <w:rPr>
                <w:spacing w:val="-1"/>
                <w:sz w:val="18"/>
              </w:rPr>
              <w:t xml:space="preserve"> </w:t>
            </w:r>
            <w:r>
              <w:rPr>
                <w:sz w:val="18"/>
              </w:rPr>
              <w:t>burdensome</w:t>
            </w:r>
            <w:r>
              <w:rPr>
                <w:spacing w:val="-42"/>
                <w:sz w:val="18"/>
              </w:rPr>
              <w:t xml:space="preserve"> </w:t>
            </w:r>
            <w:r>
              <w:rPr>
                <w:sz w:val="18"/>
              </w:rPr>
              <w:t>parafiscal charges and excessive</w:t>
            </w:r>
            <w:r>
              <w:rPr>
                <w:spacing w:val="1"/>
                <w:sz w:val="18"/>
              </w:rPr>
              <w:t xml:space="preserve"> </w:t>
            </w:r>
            <w:r>
              <w:rPr>
                <w:sz w:val="18"/>
              </w:rPr>
              <w:t>product and services market</w:t>
            </w:r>
            <w:r>
              <w:rPr>
                <w:spacing w:val="1"/>
                <w:sz w:val="18"/>
              </w:rPr>
              <w:t xml:space="preserve"> </w:t>
            </w:r>
            <w:r>
              <w:rPr>
                <w:sz w:val="18"/>
              </w:rPr>
              <w:t>regulation.</w:t>
            </w:r>
          </w:p>
        </w:tc>
        <w:tc>
          <w:tcPr>
            <w:tcW w:w="415" w:type="dxa"/>
          </w:tcPr>
          <w:p w:rsidR="00A56FE9" w:rsidRDefault="00A56FE9">
            <w:pPr>
              <w:pStyle w:val="TableParagraph"/>
              <w:spacing w:before="5"/>
              <w:rPr>
                <w:b/>
                <w:sz w:val="27"/>
              </w:rPr>
            </w:pPr>
          </w:p>
          <w:p w:rsidR="00A56FE9" w:rsidRDefault="00000000">
            <w:pPr>
              <w:pStyle w:val="TableParagraph"/>
              <w:ind w:left="138"/>
              <w:rPr>
                <w:rFonts w:ascii="Wingdings" w:hAnsi="Wingdings"/>
                <w:sz w:val="18"/>
              </w:rPr>
            </w:pPr>
            <w:r>
              <w:rPr>
                <w:rFonts w:ascii="Wingdings" w:hAnsi="Wingdings"/>
                <w:color w:val="006FC0"/>
                <w:sz w:val="18"/>
              </w:rPr>
              <w:t></w:t>
            </w:r>
          </w:p>
        </w:tc>
        <w:tc>
          <w:tcPr>
            <w:tcW w:w="391" w:type="dxa"/>
          </w:tcPr>
          <w:p w:rsidR="00A56FE9" w:rsidRDefault="00A56FE9">
            <w:pPr>
              <w:pStyle w:val="TableParagraph"/>
              <w:rPr>
                <w:sz w:val="18"/>
              </w:rPr>
            </w:pPr>
          </w:p>
        </w:tc>
        <w:tc>
          <w:tcPr>
            <w:tcW w:w="401"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2" w:type="dxa"/>
          </w:tcPr>
          <w:p w:rsidR="00A56FE9" w:rsidRDefault="00A56FE9">
            <w:pPr>
              <w:pStyle w:val="TableParagraph"/>
              <w:rPr>
                <w:sz w:val="18"/>
              </w:rPr>
            </w:pPr>
          </w:p>
        </w:tc>
        <w:tc>
          <w:tcPr>
            <w:tcW w:w="389" w:type="dxa"/>
          </w:tcPr>
          <w:p w:rsidR="00A56FE9" w:rsidRDefault="00A56FE9">
            <w:pPr>
              <w:pStyle w:val="TableParagraph"/>
              <w:spacing w:before="5"/>
              <w:rPr>
                <w:b/>
                <w:sz w:val="27"/>
              </w:rPr>
            </w:pPr>
          </w:p>
          <w:p w:rsidR="00A56FE9" w:rsidRDefault="00000000">
            <w:pPr>
              <w:pStyle w:val="TableParagraph"/>
              <w:ind w:left="6"/>
              <w:jc w:val="center"/>
              <w:rPr>
                <w:rFonts w:ascii="Wingdings" w:hAnsi="Wingdings"/>
                <w:sz w:val="18"/>
              </w:rPr>
            </w:pPr>
            <w:r>
              <w:rPr>
                <w:rFonts w:ascii="Wingdings" w:hAnsi="Wingdings"/>
                <w:color w:val="006FC0"/>
                <w:sz w:val="18"/>
              </w:rPr>
              <w:t></w:t>
            </w:r>
          </w:p>
        </w:tc>
        <w:tc>
          <w:tcPr>
            <w:tcW w:w="396" w:type="dxa"/>
          </w:tcPr>
          <w:p w:rsidR="00A56FE9" w:rsidRDefault="00A56FE9">
            <w:pPr>
              <w:pStyle w:val="TableParagraph"/>
              <w:rPr>
                <w:sz w:val="18"/>
              </w:rPr>
            </w:pPr>
          </w:p>
        </w:tc>
        <w:tc>
          <w:tcPr>
            <w:tcW w:w="389"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6"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3" w:type="dxa"/>
          </w:tcPr>
          <w:p w:rsidR="00A56FE9" w:rsidRDefault="00A56FE9">
            <w:pPr>
              <w:pStyle w:val="TableParagraph"/>
              <w:rPr>
                <w:sz w:val="18"/>
              </w:rPr>
            </w:pPr>
          </w:p>
        </w:tc>
        <w:tc>
          <w:tcPr>
            <w:tcW w:w="369" w:type="dxa"/>
          </w:tcPr>
          <w:p w:rsidR="00A56FE9" w:rsidRDefault="00A56FE9">
            <w:pPr>
              <w:pStyle w:val="TableParagraph"/>
              <w:rPr>
                <w:sz w:val="18"/>
              </w:rPr>
            </w:pPr>
          </w:p>
        </w:tc>
        <w:tc>
          <w:tcPr>
            <w:tcW w:w="403" w:type="dxa"/>
          </w:tcPr>
          <w:p w:rsidR="00A56FE9" w:rsidRDefault="00A56FE9">
            <w:pPr>
              <w:pStyle w:val="TableParagraph"/>
              <w:rPr>
                <w:sz w:val="18"/>
              </w:rPr>
            </w:pPr>
          </w:p>
        </w:tc>
        <w:tc>
          <w:tcPr>
            <w:tcW w:w="591" w:type="dxa"/>
          </w:tcPr>
          <w:p w:rsidR="00A56FE9" w:rsidRDefault="00A56FE9">
            <w:pPr>
              <w:pStyle w:val="TableParagraph"/>
              <w:rPr>
                <w:sz w:val="18"/>
              </w:rPr>
            </w:pPr>
          </w:p>
        </w:tc>
        <w:tc>
          <w:tcPr>
            <w:tcW w:w="600"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96"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bl>
    <w:p w:rsidR="00A56FE9" w:rsidRDefault="00000000">
      <w:pPr>
        <w:pStyle w:val="Naslov5"/>
        <w:spacing w:before="30" w:after="35"/>
        <w:ind w:left="1071"/>
        <w:jc w:val="left"/>
      </w:pPr>
      <w:r>
        <w:t>Special</w:t>
      </w:r>
      <w:r>
        <w:rPr>
          <w:spacing w:val="-1"/>
        </w:rPr>
        <w:t xml:space="preserve"> </w:t>
      </w:r>
      <w:r>
        <w:t>recommendations</w:t>
      </w:r>
      <w:r>
        <w:rPr>
          <w:spacing w:val="-1"/>
        </w:rPr>
        <w:t xml:space="preserve"> </w:t>
      </w:r>
      <w:r>
        <w:t>for</w:t>
      </w:r>
      <w:r>
        <w:rPr>
          <w:spacing w:val="-2"/>
        </w:rPr>
        <w:t xml:space="preserve"> </w:t>
      </w:r>
      <w:r>
        <w:t>Croatia</w:t>
      </w:r>
      <w:r>
        <w:rPr>
          <w:spacing w:val="-1"/>
        </w:rPr>
        <w:t xml:space="preserve"> </w:t>
      </w:r>
      <w:r>
        <w:t>2020</w:t>
      </w:r>
    </w:p>
    <w:tbl>
      <w:tblPr>
        <w:tblStyle w:val="TableNormal"/>
        <w:tblW w:w="0" w:type="auto"/>
        <w:tblInd w:w="970"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668"/>
        <w:gridCol w:w="3008"/>
        <w:gridCol w:w="415"/>
        <w:gridCol w:w="391"/>
        <w:gridCol w:w="350"/>
        <w:gridCol w:w="381"/>
        <w:gridCol w:w="381"/>
        <w:gridCol w:w="388"/>
        <w:gridCol w:w="398"/>
        <w:gridCol w:w="398"/>
        <w:gridCol w:w="395"/>
        <w:gridCol w:w="383"/>
        <w:gridCol w:w="395"/>
        <w:gridCol w:w="397"/>
        <w:gridCol w:w="395"/>
        <w:gridCol w:w="376"/>
        <w:gridCol w:w="395"/>
        <w:gridCol w:w="588"/>
        <w:gridCol w:w="607"/>
        <w:gridCol w:w="403"/>
        <w:gridCol w:w="420"/>
        <w:gridCol w:w="420"/>
        <w:gridCol w:w="984"/>
        <w:gridCol w:w="1047"/>
      </w:tblGrid>
      <w:tr w:rsidR="00A56FE9">
        <w:trPr>
          <w:trHeight w:val="1055"/>
        </w:trPr>
        <w:tc>
          <w:tcPr>
            <w:tcW w:w="668" w:type="dxa"/>
            <w:vMerge w:val="restart"/>
            <w:tcBorders>
              <w:left w:val="nil"/>
            </w:tcBorders>
            <w:shd w:val="clear" w:color="auto" w:fill="F1F1F1"/>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6"/>
              <w:rPr>
                <w:b/>
                <w:sz w:val="29"/>
              </w:rPr>
            </w:pPr>
          </w:p>
          <w:p w:rsidR="00A56FE9" w:rsidRDefault="00000000">
            <w:pPr>
              <w:pStyle w:val="TableParagraph"/>
              <w:ind w:left="108"/>
              <w:rPr>
                <w:b/>
                <w:sz w:val="18"/>
              </w:rPr>
            </w:pPr>
            <w:r>
              <w:rPr>
                <w:b/>
                <w:sz w:val="18"/>
              </w:rPr>
              <w:t>CSR1</w:t>
            </w:r>
          </w:p>
        </w:tc>
        <w:tc>
          <w:tcPr>
            <w:tcW w:w="3008" w:type="dxa"/>
            <w:shd w:val="clear" w:color="auto" w:fill="F1F1F1"/>
          </w:tcPr>
          <w:p w:rsidR="00A56FE9" w:rsidRDefault="00000000">
            <w:pPr>
              <w:pStyle w:val="TableParagraph"/>
              <w:ind w:left="102" w:right="180"/>
              <w:rPr>
                <w:sz w:val="18"/>
              </w:rPr>
            </w:pPr>
            <w:r>
              <w:rPr>
                <w:b/>
                <w:sz w:val="18"/>
              </w:rPr>
              <w:t xml:space="preserve">1.1. </w:t>
            </w:r>
            <w:r>
              <w:rPr>
                <w:sz w:val="18"/>
              </w:rPr>
              <w:t>In line with the general escape</w:t>
            </w:r>
            <w:r>
              <w:rPr>
                <w:spacing w:val="1"/>
                <w:sz w:val="18"/>
              </w:rPr>
              <w:t xml:space="preserve"> </w:t>
            </w:r>
            <w:r>
              <w:rPr>
                <w:sz w:val="18"/>
              </w:rPr>
              <w:t>clause,</w:t>
            </w:r>
            <w:r>
              <w:rPr>
                <w:spacing w:val="-3"/>
                <w:sz w:val="18"/>
              </w:rPr>
              <w:t xml:space="preserve"> </w:t>
            </w:r>
            <w:r>
              <w:rPr>
                <w:sz w:val="18"/>
              </w:rPr>
              <w:t>take</w:t>
            </w:r>
            <w:r>
              <w:rPr>
                <w:spacing w:val="-3"/>
                <w:sz w:val="18"/>
              </w:rPr>
              <w:t xml:space="preserve"> </w:t>
            </w:r>
            <w:r>
              <w:rPr>
                <w:sz w:val="18"/>
              </w:rPr>
              <w:t>all</w:t>
            </w:r>
            <w:r>
              <w:rPr>
                <w:spacing w:val="-3"/>
                <w:sz w:val="18"/>
              </w:rPr>
              <w:t xml:space="preserve"> </w:t>
            </w:r>
            <w:r>
              <w:rPr>
                <w:sz w:val="18"/>
              </w:rPr>
              <w:t>necessary</w:t>
            </w:r>
            <w:r>
              <w:rPr>
                <w:spacing w:val="-1"/>
                <w:sz w:val="18"/>
              </w:rPr>
              <w:t xml:space="preserve"> </w:t>
            </w:r>
            <w:r>
              <w:rPr>
                <w:sz w:val="18"/>
              </w:rPr>
              <w:t>measures</w:t>
            </w:r>
            <w:r>
              <w:rPr>
                <w:spacing w:val="-3"/>
                <w:sz w:val="18"/>
              </w:rPr>
              <w:t xml:space="preserve"> </w:t>
            </w:r>
            <w:r>
              <w:rPr>
                <w:sz w:val="18"/>
              </w:rPr>
              <w:t>to</w:t>
            </w:r>
            <w:r>
              <w:rPr>
                <w:spacing w:val="-42"/>
                <w:sz w:val="18"/>
              </w:rPr>
              <w:t xml:space="preserve"> </w:t>
            </w:r>
            <w:r>
              <w:rPr>
                <w:sz w:val="18"/>
              </w:rPr>
              <w:t>effectively address the pandemic,</w:t>
            </w:r>
            <w:r>
              <w:rPr>
                <w:spacing w:val="1"/>
                <w:sz w:val="18"/>
              </w:rPr>
              <w:t xml:space="preserve"> </w:t>
            </w:r>
            <w:r>
              <w:rPr>
                <w:sz w:val="18"/>
              </w:rPr>
              <w:t>sustain the economy and support the</w:t>
            </w:r>
            <w:r>
              <w:rPr>
                <w:spacing w:val="1"/>
                <w:sz w:val="18"/>
              </w:rPr>
              <w:t xml:space="preserve"> </w:t>
            </w:r>
            <w:r>
              <w:rPr>
                <w:sz w:val="18"/>
              </w:rPr>
              <w:t>ensuing</w:t>
            </w:r>
            <w:r>
              <w:rPr>
                <w:spacing w:val="-2"/>
                <w:sz w:val="18"/>
              </w:rPr>
              <w:t xml:space="preserve"> </w:t>
            </w:r>
            <w:r>
              <w:rPr>
                <w:sz w:val="18"/>
              </w:rPr>
              <w:t>recovery.</w:t>
            </w:r>
          </w:p>
        </w:tc>
        <w:tc>
          <w:tcPr>
            <w:tcW w:w="415"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left="133"/>
              <w:rPr>
                <w:rFonts w:ascii="Wingdings" w:hAnsi="Wingdings"/>
                <w:sz w:val="18"/>
              </w:rPr>
            </w:pPr>
            <w:r>
              <w:rPr>
                <w:rFonts w:ascii="Wingdings" w:hAnsi="Wingdings"/>
                <w:color w:val="006FC0"/>
                <w:sz w:val="18"/>
              </w:rPr>
              <w:t></w:t>
            </w:r>
          </w:p>
        </w:tc>
        <w:tc>
          <w:tcPr>
            <w:tcW w:w="391" w:type="dxa"/>
          </w:tcPr>
          <w:p w:rsidR="00A56FE9" w:rsidRDefault="00A56FE9">
            <w:pPr>
              <w:pStyle w:val="TableParagraph"/>
              <w:rPr>
                <w:sz w:val="18"/>
              </w:rPr>
            </w:pPr>
          </w:p>
        </w:tc>
        <w:tc>
          <w:tcPr>
            <w:tcW w:w="350"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83"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97"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76" w:type="dxa"/>
          </w:tcPr>
          <w:p w:rsidR="00A56FE9" w:rsidRDefault="00A56FE9">
            <w:pPr>
              <w:pStyle w:val="TableParagraph"/>
              <w:rPr>
                <w:sz w:val="18"/>
              </w:rPr>
            </w:pPr>
          </w:p>
        </w:tc>
        <w:tc>
          <w:tcPr>
            <w:tcW w:w="395" w:type="dxa"/>
          </w:tcPr>
          <w:p w:rsidR="00A56FE9" w:rsidRDefault="00A56FE9">
            <w:pPr>
              <w:pStyle w:val="TableParagraph"/>
              <w:rPr>
                <w:sz w:val="18"/>
              </w:rPr>
            </w:pPr>
          </w:p>
        </w:tc>
        <w:tc>
          <w:tcPr>
            <w:tcW w:w="588" w:type="dxa"/>
          </w:tcPr>
          <w:p w:rsidR="00A56FE9" w:rsidRDefault="00A56FE9">
            <w:pPr>
              <w:pStyle w:val="TableParagraph"/>
              <w:rPr>
                <w:sz w:val="18"/>
              </w:rPr>
            </w:pPr>
          </w:p>
        </w:tc>
        <w:tc>
          <w:tcPr>
            <w:tcW w:w="607" w:type="dxa"/>
          </w:tcPr>
          <w:p w:rsidR="00A56FE9" w:rsidRDefault="00A56FE9">
            <w:pPr>
              <w:pStyle w:val="TableParagraph"/>
              <w:rPr>
                <w:sz w:val="18"/>
              </w:rPr>
            </w:pPr>
          </w:p>
        </w:tc>
        <w:tc>
          <w:tcPr>
            <w:tcW w:w="40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1262"/>
        </w:trPr>
        <w:tc>
          <w:tcPr>
            <w:tcW w:w="668" w:type="dxa"/>
            <w:vMerge/>
            <w:tcBorders>
              <w:top w:val="nil"/>
              <w:left w:val="nil"/>
            </w:tcBorders>
            <w:shd w:val="clear" w:color="auto" w:fill="F1F1F1"/>
          </w:tcPr>
          <w:p w:rsidR="00A56FE9" w:rsidRDefault="00A56FE9">
            <w:pPr>
              <w:rPr>
                <w:sz w:val="2"/>
                <w:szCs w:val="2"/>
              </w:rPr>
            </w:pPr>
          </w:p>
        </w:tc>
        <w:tc>
          <w:tcPr>
            <w:tcW w:w="3008" w:type="dxa"/>
            <w:shd w:val="clear" w:color="auto" w:fill="F1F1F1"/>
          </w:tcPr>
          <w:p w:rsidR="00A56FE9" w:rsidRDefault="00000000">
            <w:pPr>
              <w:pStyle w:val="TableParagraph"/>
              <w:ind w:left="102" w:right="119"/>
              <w:rPr>
                <w:sz w:val="18"/>
              </w:rPr>
            </w:pPr>
            <w:r>
              <w:rPr>
                <w:b/>
                <w:sz w:val="18"/>
              </w:rPr>
              <w:t>1.2.</w:t>
            </w:r>
            <w:r>
              <w:rPr>
                <w:b/>
                <w:spacing w:val="-6"/>
                <w:sz w:val="18"/>
              </w:rPr>
              <w:t xml:space="preserve"> </w:t>
            </w:r>
            <w:r>
              <w:rPr>
                <w:sz w:val="18"/>
              </w:rPr>
              <w:t>When</w:t>
            </w:r>
            <w:r>
              <w:rPr>
                <w:spacing w:val="-3"/>
                <w:sz w:val="18"/>
              </w:rPr>
              <w:t xml:space="preserve"> </w:t>
            </w:r>
            <w:r>
              <w:rPr>
                <w:sz w:val="18"/>
              </w:rPr>
              <w:t>economic</w:t>
            </w:r>
            <w:r>
              <w:rPr>
                <w:spacing w:val="-5"/>
                <w:sz w:val="18"/>
              </w:rPr>
              <w:t xml:space="preserve"> </w:t>
            </w:r>
            <w:r>
              <w:rPr>
                <w:sz w:val="18"/>
              </w:rPr>
              <w:t>conditions</w:t>
            </w:r>
            <w:r>
              <w:rPr>
                <w:spacing w:val="-4"/>
                <w:sz w:val="18"/>
              </w:rPr>
              <w:t xml:space="preserve"> </w:t>
            </w:r>
            <w:r>
              <w:rPr>
                <w:sz w:val="18"/>
              </w:rPr>
              <w:t>allow,</w:t>
            </w:r>
            <w:r>
              <w:rPr>
                <w:spacing w:val="-42"/>
                <w:sz w:val="18"/>
              </w:rPr>
              <w:t xml:space="preserve"> </w:t>
            </w:r>
            <w:r>
              <w:rPr>
                <w:sz w:val="18"/>
              </w:rPr>
              <w:t>pursue fiscal policies aimed at</w:t>
            </w:r>
            <w:r>
              <w:rPr>
                <w:spacing w:val="1"/>
                <w:sz w:val="18"/>
              </w:rPr>
              <w:t xml:space="preserve"> </w:t>
            </w:r>
            <w:r>
              <w:rPr>
                <w:sz w:val="18"/>
              </w:rPr>
              <w:t>achieving prudent medium-term fiscal</w:t>
            </w:r>
            <w:r>
              <w:rPr>
                <w:spacing w:val="-42"/>
                <w:sz w:val="18"/>
              </w:rPr>
              <w:t xml:space="preserve"> </w:t>
            </w:r>
            <w:r>
              <w:rPr>
                <w:sz w:val="18"/>
              </w:rPr>
              <w:t>positions and ensuring debt</w:t>
            </w:r>
            <w:r>
              <w:rPr>
                <w:spacing w:val="1"/>
                <w:sz w:val="18"/>
              </w:rPr>
              <w:t xml:space="preserve"> </w:t>
            </w:r>
            <w:r>
              <w:rPr>
                <w:sz w:val="18"/>
              </w:rPr>
              <w:t>sustainability, while enhancing</w:t>
            </w:r>
            <w:r>
              <w:rPr>
                <w:spacing w:val="1"/>
                <w:sz w:val="18"/>
              </w:rPr>
              <w:t xml:space="preserve"> </w:t>
            </w:r>
            <w:r>
              <w:rPr>
                <w:sz w:val="18"/>
              </w:rPr>
              <w:t>investment.</w:t>
            </w:r>
          </w:p>
        </w:tc>
        <w:tc>
          <w:tcPr>
            <w:tcW w:w="415" w:type="dxa"/>
          </w:tcPr>
          <w:p w:rsidR="00A56FE9" w:rsidRDefault="00A56FE9">
            <w:pPr>
              <w:pStyle w:val="TableParagraph"/>
              <w:rPr>
                <w:b/>
                <w:sz w:val="20"/>
              </w:rPr>
            </w:pPr>
          </w:p>
          <w:p w:rsidR="00A56FE9" w:rsidRDefault="00A56FE9">
            <w:pPr>
              <w:pStyle w:val="TableParagraph"/>
              <w:spacing w:before="5"/>
              <w:rPr>
                <w:b/>
                <w:sz w:val="25"/>
              </w:rPr>
            </w:pPr>
          </w:p>
          <w:p w:rsidR="00A56FE9" w:rsidRDefault="00000000">
            <w:pPr>
              <w:pStyle w:val="TableParagraph"/>
              <w:ind w:left="133"/>
              <w:rPr>
                <w:rFonts w:ascii="Wingdings" w:hAnsi="Wingdings"/>
                <w:sz w:val="18"/>
              </w:rPr>
            </w:pPr>
            <w:r>
              <w:rPr>
                <w:rFonts w:ascii="Wingdings" w:hAnsi="Wingdings"/>
                <w:color w:val="006FC0"/>
                <w:sz w:val="18"/>
              </w:rPr>
              <w:t></w:t>
            </w:r>
          </w:p>
        </w:tc>
        <w:tc>
          <w:tcPr>
            <w:tcW w:w="391" w:type="dxa"/>
          </w:tcPr>
          <w:p w:rsidR="00A56FE9" w:rsidRDefault="00A56FE9">
            <w:pPr>
              <w:pStyle w:val="TableParagraph"/>
              <w:rPr>
                <w:sz w:val="18"/>
              </w:rPr>
            </w:pPr>
          </w:p>
        </w:tc>
        <w:tc>
          <w:tcPr>
            <w:tcW w:w="350"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83"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97"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76" w:type="dxa"/>
          </w:tcPr>
          <w:p w:rsidR="00A56FE9" w:rsidRDefault="00A56FE9">
            <w:pPr>
              <w:pStyle w:val="TableParagraph"/>
              <w:rPr>
                <w:sz w:val="18"/>
              </w:rPr>
            </w:pPr>
          </w:p>
        </w:tc>
        <w:tc>
          <w:tcPr>
            <w:tcW w:w="395" w:type="dxa"/>
          </w:tcPr>
          <w:p w:rsidR="00A56FE9" w:rsidRDefault="00A56FE9">
            <w:pPr>
              <w:pStyle w:val="TableParagraph"/>
              <w:rPr>
                <w:sz w:val="18"/>
              </w:rPr>
            </w:pPr>
          </w:p>
        </w:tc>
        <w:tc>
          <w:tcPr>
            <w:tcW w:w="588" w:type="dxa"/>
          </w:tcPr>
          <w:p w:rsidR="00A56FE9" w:rsidRDefault="00A56FE9">
            <w:pPr>
              <w:pStyle w:val="TableParagraph"/>
              <w:rPr>
                <w:sz w:val="18"/>
              </w:rPr>
            </w:pPr>
          </w:p>
        </w:tc>
        <w:tc>
          <w:tcPr>
            <w:tcW w:w="607" w:type="dxa"/>
          </w:tcPr>
          <w:p w:rsidR="00A56FE9" w:rsidRDefault="00A56FE9">
            <w:pPr>
              <w:pStyle w:val="TableParagraph"/>
              <w:rPr>
                <w:sz w:val="18"/>
              </w:rPr>
            </w:pPr>
          </w:p>
        </w:tc>
        <w:tc>
          <w:tcPr>
            <w:tcW w:w="40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bl>
    <w:p w:rsidR="00A56FE9" w:rsidRDefault="00A56FE9">
      <w:pPr>
        <w:rPr>
          <w:sz w:val="18"/>
        </w:rPr>
        <w:sectPr w:rsidR="00A56FE9" w:rsidSect="00AB1E70">
          <w:pgSz w:w="16840" w:h="11910" w:orient="landscape"/>
          <w:pgMar w:top="1100" w:right="380" w:bottom="96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970"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668"/>
        <w:gridCol w:w="3008"/>
        <w:gridCol w:w="415"/>
        <w:gridCol w:w="391"/>
        <w:gridCol w:w="350"/>
        <w:gridCol w:w="381"/>
        <w:gridCol w:w="381"/>
        <w:gridCol w:w="388"/>
        <w:gridCol w:w="398"/>
        <w:gridCol w:w="398"/>
        <w:gridCol w:w="395"/>
        <w:gridCol w:w="383"/>
        <w:gridCol w:w="395"/>
        <w:gridCol w:w="397"/>
        <w:gridCol w:w="395"/>
        <w:gridCol w:w="376"/>
        <w:gridCol w:w="395"/>
        <w:gridCol w:w="588"/>
        <w:gridCol w:w="607"/>
        <w:gridCol w:w="403"/>
        <w:gridCol w:w="420"/>
        <w:gridCol w:w="420"/>
        <w:gridCol w:w="984"/>
        <w:gridCol w:w="1047"/>
      </w:tblGrid>
      <w:tr w:rsidR="00A56FE9">
        <w:trPr>
          <w:trHeight w:val="782"/>
        </w:trPr>
        <w:tc>
          <w:tcPr>
            <w:tcW w:w="668" w:type="dxa"/>
            <w:tcBorders>
              <w:bottom w:val="nil"/>
              <w:right w:val="nil"/>
            </w:tcBorders>
            <w:shd w:val="clear" w:color="auto" w:fill="2C398A"/>
          </w:tcPr>
          <w:p w:rsidR="00A56FE9" w:rsidRDefault="00A56FE9">
            <w:pPr>
              <w:pStyle w:val="TableParagraph"/>
              <w:rPr>
                <w:sz w:val="18"/>
              </w:rPr>
            </w:pPr>
          </w:p>
        </w:tc>
        <w:tc>
          <w:tcPr>
            <w:tcW w:w="3008" w:type="dxa"/>
            <w:tcBorders>
              <w:left w:val="nil"/>
              <w:bottom w:val="nil"/>
              <w:right w:val="nil"/>
            </w:tcBorders>
            <w:shd w:val="clear" w:color="auto" w:fill="2C398A"/>
          </w:tcPr>
          <w:p w:rsidR="00A56FE9" w:rsidRDefault="00A56FE9">
            <w:pPr>
              <w:pStyle w:val="TableParagraph"/>
              <w:spacing w:before="5"/>
              <w:rPr>
                <w:b/>
                <w:sz w:val="26"/>
              </w:rPr>
            </w:pPr>
          </w:p>
          <w:p w:rsidR="00A56FE9" w:rsidRDefault="00000000">
            <w:pPr>
              <w:pStyle w:val="TableParagraph"/>
              <w:ind w:left="719"/>
              <w:rPr>
                <w:sz w:val="18"/>
              </w:rPr>
            </w:pPr>
            <w:r>
              <w:rPr>
                <w:color w:val="FFFFFF"/>
                <w:sz w:val="18"/>
              </w:rPr>
              <w:t>Components</w:t>
            </w:r>
          </w:p>
        </w:tc>
        <w:tc>
          <w:tcPr>
            <w:tcW w:w="415" w:type="dxa"/>
            <w:tcBorders>
              <w:left w:val="nil"/>
              <w:bottom w:val="nil"/>
              <w:right w:val="nil"/>
            </w:tcBorders>
            <w:shd w:val="clear" w:color="auto" w:fill="2C398A"/>
          </w:tcPr>
          <w:p w:rsidR="00A56FE9" w:rsidRDefault="00A56FE9">
            <w:pPr>
              <w:pStyle w:val="TableParagraph"/>
              <w:rPr>
                <w:sz w:val="18"/>
              </w:rPr>
            </w:pPr>
          </w:p>
        </w:tc>
        <w:tc>
          <w:tcPr>
            <w:tcW w:w="391" w:type="dxa"/>
            <w:tcBorders>
              <w:left w:val="nil"/>
              <w:bottom w:val="nil"/>
              <w:right w:val="nil"/>
            </w:tcBorders>
            <w:shd w:val="clear" w:color="auto" w:fill="2C398A"/>
          </w:tcPr>
          <w:p w:rsidR="00A56FE9" w:rsidRDefault="00A56FE9">
            <w:pPr>
              <w:pStyle w:val="TableParagraph"/>
              <w:rPr>
                <w:sz w:val="18"/>
              </w:rPr>
            </w:pPr>
          </w:p>
        </w:tc>
        <w:tc>
          <w:tcPr>
            <w:tcW w:w="731" w:type="dxa"/>
            <w:gridSpan w:val="2"/>
            <w:tcBorders>
              <w:left w:val="nil"/>
              <w:bottom w:val="nil"/>
              <w:right w:val="nil"/>
            </w:tcBorders>
            <w:shd w:val="clear" w:color="auto" w:fill="2C398A"/>
          </w:tcPr>
          <w:p w:rsidR="00A56FE9" w:rsidRDefault="00A56FE9">
            <w:pPr>
              <w:pStyle w:val="TableParagraph"/>
              <w:spacing w:before="5"/>
              <w:rPr>
                <w:b/>
                <w:sz w:val="26"/>
              </w:rPr>
            </w:pPr>
          </w:p>
          <w:p w:rsidR="00A56FE9" w:rsidRDefault="00000000">
            <w:pPr>
              <w:pStyle w:val="TableParagraph"/>
              <w:ind w:left="33"/>
              <w:rPr>
                <w:sz w:val="18"/>
              </w:rPr>
            </w:pPr>
            <w:r>
              <w:rPr>
                <w:color w:val="FFFFFF"/>
                <w:sz w:val="18"/>
              </w:rPr>
              <w:t>Economy</w:t>
            </w:r>
          </w:p>
        </w:tc>
        <w:tc>
          <w:tcPr>
            <w:tcW w:w="381" w:type="dxa"/>
            <w:tcBorders>
              <w:left w:val="nil"/>
              <w:bottom w:val="nil"/>
              <w:right w:val="nil"/>
            </w:tcBorders>
            <w:shd w:val="clear" w:color="auto" w:fill="2C398A"/>
          </w:tcPr>
          <w:p w:rsidR="00A56FE9" w:rsidRDefault="00A56FE9">
            <w:pPr>
              <w:pStyle w:val="TableParagraph"/>
              <w:rPr>
                <w:sz w:val="18"/>
              </w:rPr>
            </w:pPr>
          </w:p>
        </w:tc>
        <w:tc>
          <w:tcPr>
            <w:tcW w:w="388" w:type="dxa"/>
            <w:tcBorders>
              <w:left w:val="nil"/>
              <w:bottom w:val="nil"/>
              <w:right w:val="nil"/>
            </w:tcBorders>
            <w:shd w:val="clear" w:color="auto" w:fill="2C398A"/>
          </w:tcPr>
          <w:p w:rsidR="00A56FE9" w:rsidRDefault="00A56FE9">
            <w:pPr>
              <w:pStyle w:val="TableParagraph"/>
              <w:rPr>
                <w:sz w:val="18"/>
              </w:rPr>
            </w:pPr>
          </w:p>
        </w:tc>
        <w:tc>
          <w:tcPr>
            <w:tcW w:w="3532" w:type="dxa"/>
            <w:gridSpan w:val="9"/>
            <w:tcBorders>
              <w:left w:val="nil"/>
              <w:bottom w:val="nil"/>
              <w:right w:val="nil"/>
            </w:tcBorders>
            <w:shd w:val="clear" w:color="auto" w:fill="2C398A"/>
          </w:tcPr>
          <w:p w:rsidR="00A56FE9" w:rsidRDefault="00A56FE9">
            <w:pPr>
              <w:pStyle w:val="TableParagraph"/>
              <w:spacing w:before="5"/>
              <w:rPr>
                <w:b/>
                <w:sz w:val="17"/>
              </w:rPr>
            </w:pPr>
          </w:p>
          <w:p w:rsidR="00A56FE9" w:rsidRDefault="00000000">
            <w:pPr>
              <w:pStyle w:val="TableParagraph"/>
              <w:spacing w:before="1"/>
              <w:ind w:left="1586" w:right="165" w:hanging="1294"/>
              <w:rPr>
                <w:sz w:val="18"/>
              </w:rPr>
            </w:pPr>
            <w:r>
              <w:rPr>
                <w:color w:val="FFFFFF"/>
                <w:sz w:val="18"/>
              </w:rPr>
              <w:t>Public Administration, Judiciary and State</w:t>
            </w:r>
            <w:r>
              <w:rPr>
                <w:color w:val="FFFFFF"/>
                <w:spacing w:val="-42"/>
                <w:sz w:val="18"/>
              </w:rPr>
              <w:t xml:space="preserve"> </w:t>
            </w:r>
            <w:r>
              <w:rPr>
                <w:color w:val="FFFFFF"/>
                <w:sz w:val="18"/>
              </w:rPr>
              <w:t>Assets</w:t>
            </w:r>
          </w:p>
        </w:tc>
        <w:tc>
          <w:tcPr>
            <w:tcW w:w="1195" w:type="dxa"/>
            <w:gridSpan w:val="2"/>
            <w:tcBorders>
              <w:left w:val="nil"/>
              <w:bottom w:val="nil"/>
              <w:right w:val="nil"/>
            </w:tcBorders>
            <w:shd w:val="clear" w:color="auto" w:fill="2C398A"/>
          </w:tcPr>
          <w:p w:rsidR="00A56FE9" w:rsidRDefault="00000000">
            <w:pPr>
              <w:pStyle w:val="TableParagraph"/>
              <w:spacing w:before="98"/>
              <w:ind w:left="214" w:right="113" w:firstLine="45"/>
              <w:jc w:val="both"/>
              <w:rPr>
                <w:sz w:val="18"/>
              </w:rPr>
            </w:pPr>
            <w:r>
              <w:rPr>
                <w:color w:val="FFFFFF"/>
                <w:sz w:val="18"/>
              </w:rPr>
              <w:t>Education,</w:t>
            </w:r>
            <w:r>
              <w:rPr>
                <w:color w:val="FFFFFF"/>
                <w:spacing w:val="1"/>
                <w:sz w:val="18"/>
              </w:rPr>
              <w:t xml:space="preserve"> </w:t>
            </w:r>
            <w:r>
              <w:rPr>
                <w:color w:val="FFFFFF"/>
                <w:spacing w:val="-1"/>
                <w:sz w:val="18"/>
              </w:rPr>
              <w:t xml:space="preserve">Science </w:t>
            </w:r>
            <w:r>
              <w:rPr>
                <w:color w:val="FFFFFF"/>
                <w:sz w:val="18"/>
              </w:rPr>
              <w:t>and</w:t>
            </w:r>
            <w:r>
              <w:rPr>
                <w:color w:val="FFFFFF"/>
                <w:spacing w:val="-42"/>
                <w:sz w:val="18"/>
              </w:rPr>
              <w:t xml:space="preserve"> </w:t>
            </w:r>
            <w:r>
              <w:rPr>
                <w:color w:val="FFFFFF"/>
                <w:sz w:val="18"/>
              </w:rPr>
              <w:t>Research</w:t>
            </w:r>
          </w:p>
        </w:tc>
        <w:tc>
          <w:tcPr>
            <w:tcW w:w="1243" w:type="dxa"/>
            <w:gridSpan w:val="3"/>
            <w:tcBorders>
              <w:left w:val="nil"/>
              <w:bottom w:val="nil"/>
              <w:right w:val="nil"/>
            </w:tcBorders>
            <w:shd w:val="clear" w:color="auto" w:fill="2C398A"/>
          </w:tcPr>
          <w:p w:rsidR="00A56FE9" w:rsidRDefault="00000000">
            <w:pPr>
              <w:pStyle w:val="TableParagraph"/>
              <w:ind w:left="241" w:right="175" w:firstLine="3"/>
              <w:jc w:val="center"/>
              <w:rPr>
                <w:sz w:val="18"/>
              </w:rPr>
            </w:pPr>
            <w:r>
              <w:rPr>
                <w:color w:val="FFFFFF"/>
                <w:sz w:val="18"/>
              </w:rPr>
              <w:t>Labour</w:t>
            </w:r>
            <w:r>
              <w:rPr>
                <w:color w:val="FFFFFF"/>
                <w:spacing w:val="1"/>
                <w:sz w:val="18"/>
              </w:rPr>
              <w:t xml:space="preserve"> </w:t>
            </w:r>
            <w:r>
              <w:rPr>
                <w:color w:val="FFFFFF"/>
                <w:spacing w:val="-1"/>
                <w:sz w:val="18"/>
              </w:rPr>
              <w:t xml:space="preserve">Market </w:t>
            </w:r>
            <w:r>
              <w:rPr>
                <w:color w:val="FFFFFF"/>
                <w:sz w:val="18"/>
              </w:rPr>
              <w:t>and</w:t>
            </w:r>
            <w:r>
              <w:rPr>
                <w:color w:val="FFFFFF"/>
                <w:spacing w:val="-42"/>
                <w:sz w:val="18"/>
              </w:rPr>
              <w:t xml:space="preserve"> </w:t>
            </w:r>
            <w:r>
              <w:rPr>
                <w:color w:val="FFFFFF"/>
                <w:sz w:val="18"/>
              </w:rPr>
              <w:t>Social</w:t>
            </w:r>
          </w:p>
          <w:p w:rsidR="00A56FE9" w:rsidRDefault="00000000">
            <w:pPr>
              <w:pStyle w:val="TableParagraph"/>
              <w:spacing w:line="146" w:lineRule="exact"/>
              <w:ind w:left="264" w:right="198"/>
              <w:jc w:val="center"/>
              <w:rPr>
                <w:sz w:val="18"/>
              </w:rPr>
            </w:pPr>
            <w:r>
              <w:rPr>
                <w:color w:val="FFFFFF"/>
                <w:sz w:val="18"/>
              </w:rPr>
              <w:t>Protection</w:t>
            </w:r>
          </w:p>
        </w:tc>
        <w:tc>
          <w:tcPr>
            <w:tcW w:w="984" w:type="dxa"/>
            <w:tcBorders>
              <w:left w:val="nil"/>
              <w:bottom w:val="nil"/>
              <w:right w:val="nil"/>
            </w:tcBorders>
            <w:shd w:val="clear" w:color="auto" w:fill="2C398A"/>
          </w:tcPr>
          <w:p w:rsidR="00A56FE9" w:rsidRDefault="00A56FE9">
            <w:pPr>
              <w:pStyle w:val="TableParagraph"/>
              <w:spacing w:before="5"/>
              <w:rPr>
                <w:b/>
                <w:sz w:val="17"/>
              </w:rPr>
            </w:pPr>
          </w:p>
          <w:p w:rsidR="00A56FE9" w:rsidRDefault="00000000">
            <w:pPr>
              <w:pStyle w:val="TableParagraph"/>
              <w:spacing w:before="1"/>
              <w:ind w:left="337" w:right="217" w:hanging="70"/>
              <w:rPr>
                <w:sz w:val="18"/>
              </w:rPr>
            </w:pPr>
            <w:r>
              <w:rPr>
                <w:color w:val="FFFFFF"/>
                <w:sz w:val="18"/>
              </w:rPr>
              <w:t>Health</w:t>
            </w:r>
            <w:r>
              <w:rPr>
                <w:color w:val="FFFFFF"/>
                <w:spacing w:val="-43"/>
                <w:sz w:val="18"/>
              </w:rPr>
              <w:t xml:space="preserve"> </w:t>
            </w:r>
            <w:r>
              <w:rPr>
                <w:color w:val="FFFFFF"/>
                <w:sz w:val="18"/>
              </w:rPr>
              <w:t>Care</w:t>
            </w:r>
          </w:p>
        </w:tc>
        <w:tc>
          <w:tcPr>
            <w:tcW w:w="1047" w:type="dxa"/>
            <w:tcBorders>
              <w:left w:val="nil"/>
              <w:bottom w:val="nil"/>
            </w:tcBorders>
            <w:shd w:val="clear" w:color="auto" w:fill="2C398A"/>
          </w:tcPr>
          <w:p w:rsidR="00A56FE9" w:rsidRDefault="00000000">
            <w:pPr>
              <w:pStyle w:val="TableParagraph"/>
              <w:spacing w:before="98"/>
              <w:ind w:left="124" w:right="84"/>
              <w:jc w:val="center"/>
              <w:rPr>
                <w:sz w:val="18"/>
              </w:rPr>
            </w:pPr>
            <w:r>
              <w:rPr>
                <w:color w:val="FFFFFF"/>
                <w:sz w:val="18"/>
              </w:rPr>
              <w:t>Renovation</w:t>
            </w:r>
            <w:r>
              <w:rPr>
                <w:color w:val="FFFFFF"/>
                <w:spacing w:val="-42"/>
                <w:sz w:val="18"/>
              </w:rPr>
              <w:t xml:space="preserve"> </w:t>
            </w:r>
            <w:r>
              <w:rPr>
                <w:color w:val="FFFFFF"/>
                <w:sz w:val="18"/>
              </w:rPr>
              <w:t>of</w:t>
            </w:r>
            <w:r>
              <w:rPr>
                <w:color w:val="FFFFFF"/>
                <w:spacing w:val="1"/>
                <w:sz w:val="18"/>
              </w:rPr>
              <w:t xml:space="preserve"> </w:t>
            </w:r>
            <w:r>
              <w:rPr>
                <w:color w:val="FFFFFF"/>
                <w:sz w:val="18"/>
              </w:rPr>
              <w:t>Buildings</w:t>
            </w:r>
          </w:p>
        </w:tc>
      </w:tr>
      <w:tr w:rsidR="00A56FE9">
        <w:trPr>
          <w:trHeight w:val="491"/>
        </w:trPr>
        <w:tc>
          <w:tcPr>
            <w:tcW w:w="668" w:type="dxa"/>
            <w:tcBorders>
              <w:top w:val="nil"/>
              <w:bottom w:val="single" w:sz="4" w:space="0" w:color="FFFFFF"/>
              <w:right w:val="nil"/>
            </w:tcBorders>
            <w:shd w:val="clear" w:color="auto" w:fill="2C398A"/>
          </w:tcPr>
          <w:p w:rsidR="00A56FE9" w:rsidRDefault="00A56FE9">
            <w:pPr>
              <w:pStyle w:val="TableParagraph"/>
              <w:rPr>
                <w:sz w:val="18"/>
              </w:rPr>
            </w:pPr>
          </w:p>
        </w:tc>
        <w:tc>
          <w:tcPr>
            <w:tcW w:w="3008" w:type="dxa"/>
            <w:tcBorders>
              <w:top w:val="nil"/>
              <w:left w:val="nil"/>
              <w:bottom w:val="single" w:sz="4" w:space="0" w:color="FFFFFF"/>
              <w:right w:val="nil"/>
            </w:tcBorders>
            <w:shd w:val="clear" w:color="auto" w:fill="2C398A"/>
          </w:tcPr>
          <w:p w:rsidR="00A56FE9" w:rsidRDefault="00000000">
            <w:pPr>
              <w:pStyle w:val="TableParagraph"/>
              <w:spacing w:before="160"/>
              <w:ind w:left="983"/>
              <w:rPr>
                <w:sz w:val="18"/>
              </w:rPr>
            </w:pPr>
            <w:r>
              <w:rPr>
                <w:color w:val="FFFFFF"/>
                <w:sz w:val="18"/>
              </w:rPr>
              <w:t>Code</w:t>
            </w:r>
          </w:p>
        </w:tc>
        <w:tc>
          <w:tcPr>
            <w:tcW w:w="415"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1"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731" w:type="dxa"/>
            <w:gridSpan w:val="2"/>
            <w:tcBorders>
              <w:top w:val="nil"/>
              <w:left w:val="nil"/>
              <w:bottom w:val="single" w:sz="4" w:space="0" w:color="FFFFFF"/>
              <w:right w:val="nil"/>
            </w:tcBorders>
            <w:shd w:val="clear" w:color="auto" w:fill="2C398A"/>
          </w:tcPr>
          <w:p w:rsidR="00A56FE9" w:rsidRDefault="00000000">
            <w:pPr>
              <w:pStyle w:val="TableParagraph"/>
              <w:spacing w:before="160"/>
              <w:ind w:left="250" w:right="230"/>
              <w:jc w:val="center"/>
              <w:rPr>
                <w:sz w:val="18"/>
              </w:rPr>
            </w:pPr>
            <w:r>
              <w:rPr>
                <w:color w:val="FFFFFF"/>
                <w:sz w:val="18"/>
              </w:rPr>
              <w:t>C1</w:t>
            </w:r>
          </w:p>
        </w:tc>
        <w:tc>
          <w:tcPr>
            <w:tcW w:w="381"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88"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8"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8"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5"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83"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5" w:type="dxa"/>
            <w:tcBorders>
              <w:top w:val="nil"/>
              <w:left w:val="nil"/>
              <w:bottom w:val="single" w:sz="4" w:space="0" w:color="FFFFFF"/>
              <w:right w:val="nil"/>
            </w:tcBorders>
            <w:shd w:val="clear" w:color="auto" w:fill="2C398A"/>
          </w:tcPr>
          <w:p w:rsidR="00A56FE9" w:rsidRDefault="00000000">
            <w:pPr>
              <w:pStyle w:val="TableParagraph"/>
              <w:spacing w:before="160"/>
              <w:ind w:left="142"/>
              <w:rPr>
                <w:sz w:val="18"/>
              </w:rPr>
            </w:pPr>
            <w:r>
              <w:rPr>
                <w:color w:val="FFFFFF"/>
                <w:sz w:val="18"/>
              </w:rPr>
              <w:t>C2</w:t>
            </w:r>
          </w:p>
        </w:tc>
        <w:tc>
          <w:tcPr>
            <w:tcW w:w="397"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5"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76"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5"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1195" w:type="dxa"/>
            <w:gridSpan w:val="2"/>
            <w:tcBorders>
              <w:top w:val="nil"/>
              <w:left w:val="nil"/>
              <w:bottom w:val="single" w:sz="4" w:space="0" w:color="FFFFFF"/>
              <w:right w:val="nil"/>
            </w:tcBorders>
            <w:shd w:val="clear" w:color="auto" w:fill="2C398A"/>
          </w:tcPr>
          <w:p w:rsidR="00A56FE9" w:rsidRDefault="00000000">
            <w:pPr>
              <w:pStyle w:val="TableParagraph"/>
              <w:spacing w:before="160"/>
              <w:ind w:left="523" w:right="421"/>
              <w:jc w:val="center"/>
              <w:rPr>
                <w:sz w:val="18"/>
              </w:rPr>
            </w:pPr>
            <w:r>
              <w:rPr>
                <w:color w:val="FFFFFF"/>
                <w:sz w:val="18"/>
              </w:rPr>
              <w:t>C3</w:t>
            </w:r>
          </w:p>
        </w:tc>
        <w:tc>
          <w:tcPr>
            <w:tcW w:w="403"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20" w:type="dxa"/>
            <w:tcBorders>
              <w:top w:val="nil"/>
              <w:left w:val="nil"/>
              <w:bottom w:val="single" w:sz="4" w:space="0" w:color="FFFFFF"/>
              <w:right w:val="nil"/>
            </w:tcBorders>
            <w:shd w:val="clear" w:color="auto" w:fill="2C398A"/>
          </w:tcPr>
          <w:p w:rsidR="00A56FE9" w:rsidRDefault="00000000">
            <w:pPr>
              <w:pStyle w:val="TableParagraph"/>
              <w:spacing w:before="160"/>
              <w:ind w:left="125" w:right="44"/>
              <w:jc w:val="center"/>
              <w:rPr>
                <w:sz w:val="18"/>
              </w:rPr>
            </w:pPr>
            <w:r>
              <w:rPr>
                <w:color w:val="FFFFFF"/>
                <w:sz w:val="18"/>
              </w:rPr>
              <w:t>C4</w:t>
            </w:r>
          </w:p>
        </w:tc>
        <w:tc>
          <w:tcPr>
            <w:tcW w:w="420"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984" w:type="dxa"/>
            <w:tcBorders>
              <w:top w:val="nil"/>
              <w:left w:val="nil"/>
              <w:bottom w:val="single" w:sz="4" w:space="0" w:color="FFFFFF"/>
              <w:right w:val="nil"/>
            </w:tcBorders>
            <w:shd w:val="clear" w:color="auto" w:fill="2C398A"/>
          </w:tcPr>
          <w:p w:rsidR="00A56FE9" w:rsidRDefault="00000000">
            <w:pPr>
              <w:pStyle w:val="TableParagraph"/>
              <w:spacing w:before="160"/>
              <w:ind w:left="402"/>
              <w:rPr>
                <w:sz w:val="18"/>
              </w:rPr>
            </w:pPr>
            <w:r>
              <w:rPr>
                <w:color w:val="FFFFFF"/>
                <w:sz w:val="18"/>
              </w:rPr>
              <w:t>C5</w:t>
            </w:r>
          </w:p>
        </w:tc>
        <w:tc>
          <w:tcPr>
            <w:tcW w:w="1047" w:type="dxa"/>
            <w:tcBorders>
              <w:top w:val="nil"/>
              <w:left w:val="nil"/>
              <w:bottom w:val="single" w:sz="4" w:space="0" w:color="FFFFFF"/>
            </w:tcBorders>
            <w:shd w:val="clear" w:color="auto" w:fill="2C398A"/>
          </w:tcPr>
          <w:p w:rsidR="00A56FE9" w:rsidRDefault="00000000">
            <w:pPr>
              <w:pStyle w:val="TableParagraph"/>
              <w:spacing w:before="160"/>
              <w:ind w:left="434"/>
              <w:rPr>
                <w:sz w:val="18"/>
              </w:rPr>
            </w:pPr>
            <w:r>
              <w:rPr>
                <w:color w:val="FFFFFF"/>
                <w:sz w:val="18"/>
              </w:rPr>
              <w:t>C6</w:t>
            </w:r>
          </w:p>
        </w:tc>
      </w:tr>
      <w:tr w:rsidR="00A56FE9">
        <w:trPr>
          <w:trHeight w:val="369"/>
        </w:trPr>
        <w:tc>
          <w:tcPr>
            <w:tcW w:w="3676" w:type="dxa"/>
            <w:gridSpan w:val="2"/>
            <w:tcBorders>
              <w:top w:val="single" w:sz="4" w:space="0" w:color="FFFFFF"/>
              <w:left w:val="nil"/>
              <w:right w:val="nil"/>
            </w:tcBorders>
            <w:shd w:val="clear" w:color="auto" w:fill="D9D9D9"/>
          </w:tcPr>
          <w:p w:rsidR="00A56FE9" w:rsidRDefault="00A56FE9">
            <w:pPr>
              <w:pStyle w:val="TableParagraph"/>
              <w:rPr>
                <w:sz w:val="18"/>
              </w:rPr>
            </w:pPr>
          </w:p>
        </w:tc>
        <w:tc>
          <w:tcPr>
            <w:tcW w:w="415" w:type="dxa"/>
            <w:tcBorders>
              <w:top w:val="single" w:sz="4" w:space="0" w:color="FFFFFF"/>
              <w:left w:val="nil"/>
              <w:right w:val="nil"/>
            </w:tcBorders>
            <w:shd w:val="clear" w:color="auto" w:fill="DEEAF6"/>
          </w:tcPr>
          <w:p w:rsidR="00A56FE9" w:rsidRDefault="00000000">
            <w:pPr>
              <w:pStyle w:val="TableParagraph"/>
              <w:spacing w:before="47"/>
              <w:ind w:left="165"/>
              <w:rPr>
                <w:sz w:val="18"/>
              </w:rPr>
            </w:pPr>
            <w:r>
              <w:rPr>
                <w:sz w:val="18"/>
              </w:rPr>
              <w:t>1</w:t>
            </w:r>
          </w:p>
        </w:tc>
        <w:tc>
          <w:tcPr>
            <w:tcW w:w="391" w:type="dxa"/>
            <w:tcBorders>
              <w:top w:val="single" w:sz="4" w:space="0" w:color="FFFFFF"/>
              <w:left w:val="nil"/>
              <w:right w:val="nil"/>
            </w:tcBorders>
            <w:shd w:val="clear" w:color="auto" w:fill="DEEAF6"/>
          </w:tcPr>
          <w:p w:rsidR="00A56FE9" w:rsidRDefault="00000000">
            <w:pPr>
              <w:pStyle w:val="TableParagraph"/>
              <w:spacing w:before="47"/>
              <w:ind w:left="5"/>
              <w:jc w:val="center"/>
              <w:rPr>
                <w:sz w:val="18"/>
              </w:rPr>
            </w:pPr>
            <w:r>
              <w:rPr>
                <w:sz w:val="18"/>
              </w:rPr>
              <w:t>2</w:t>
            </w:r>
          </w:p>
        </w:tc>
        <w:tc>
          <w:tcPr>
            <w:tcW w:w="350" w:type="dxa"/>
            <w:tcBorders>
              <w:top w:val="single" w:sz="4" w:space="0" w:color="FFFFFF"/>
              <w:left w:val="nil"/>
              <w:right w:val="nil"/>
            </w:tcBorders>
            <w:shd w:val="clear" w:color="auto" w:fill="DEEAF6"/>
          </w:tcPr>
          <w:p w:rsidR="00A56FE9" w:rsidRDefault="00000000">
            <w:pPr>
              <w:pStyle w:val="TableParagraph"/>
              <w:spacing w:before="47"/>
              <w:ind w:left="56"/>
              <w:jc w:val="center"/>
              <w:rPr>
                <w:sz w:val="18"/>
              </w:rPr>
            </w:pPr>
            <w:r>
              <w:rPr>
                <w:sz w:val="18"/>
              </w:rPr>
              <w:t>3</w:t>
            </w:r>
          </w:p>
        </w:tc>
        <w:tc>
          <w:tcPr>
            <w:tcW w:w="381" w:type="dxa"/>
            <w:tcBorders>
              <w:top w:val="single" w:sz="4" w:space="0" w:color="FFFFFF"/>
              <w:left w:val="nil"/>
              <w:right w:val="nil"/>
            </w:tcBorders>
            <w:shd w:val="clear" w:color="auto" w:fill="DEEAF6"/>
          </w:tcPr>
          <w:p w:rsidR="00A56FE9" w:rsidRDefault="00000000">
            <w:pPr>
              <w:pStyle w:val="TableParagraph"/>
              <w:spacing w:before="47"/>
              <w:ind w:left="107"/>
              <w:jc w:val="center"/>
              <w:rPr>
                <w:sz w:val="18"/>
              </w:rPr>
            </w:pPr>
            <w:r>
              <w:rPr>
                <w:sz w:val="18"/>
              </w:rPr>
              <w:t>4</w:t>
            </w:r>
          </w:p>
        </w:tc>
        <w:tc>
          <w:tcPr>
            <w:tcW w:w="381" w:type="dxa"/>
            <w:tcBorders>
              <w:top w:val="single" w:sz="4" w:space="0" w:color="FFFFFF"/>
              <w:left w:val="nil"/>
              <w:right w:val="nil"/>
            </w:tcBorders>
            <w:shd w:val="clear" w:color="auto" w:fill="DEEAF6"/>
          </w:tcPr>
          <w:p w:rsidR="00A56FE9" w:rsidRDefault="00000000">
            <w:pPr>
              <w:pStyle w:val="TableParagraph"/>
              <w:spacing w:before="47"/>
              <w:ind w:left="109"/>
              <w:jc w:val="center"/>
              <w:rPr>
                <w:sz w:val="18"/>
              </w:rPr>
            </w:pPr>
            <w:r>
              <w:rPr>
                <w:sz w:val="18"/>
              </w:rPr>
              <w:t>5</w:t>
            </w:r>
          </w:p>
        </w:tc>
        <w:tc>
          <w:tcPr>
            <w:tcW w:w="388" w:type="dxa"/>
            <w:tcBorders>
              <w:top w:val="single" w:sz="4" w:space="0" w:color="FFFFFF"/>
              <w:left w:val="nil"/>
              <w:right w:val="nil"/>
            </w:tcBorders>
            <w:shd w:val="clear" w:color="auto" w:fill="DEEAF6"/>
          </w:tcPr>
          <w:p w:rsidR="00A56FE9" w:rsidRDefault="00000000">
            <w:pPr>
              <w:pStyle w:val="TableParagraph"/>
              <w:spacing w:before="47"/>
              <w:ind w:right="90"/>
              <w:jc w:val="right"/>
              <w:rPr>
                <w:sz w:val="18"/>
              </w:rPr>
            </w:pPr>
            <w:r>
              <w:rPr>
                <w:sz w:val="18"/>
              </w:rPr>
              <w:t>6</w:t>
            </w:r>
          </w:p>
        </w:tc>
        <w:tc>
          <w:tcPr>
            <w:tcW w:w="398" w:type="dxa"/>
            <w:tcBorders>
              <w:top w:val="single" w:sz="4" w:space="0" w:color="FFFFFF"/>
              <w:left w:val="nil"/>
              <w:right w:val="nil"/>
            </w:tcBorders>
            <w:shd w:val="clear" w:color="auto" w:fill="FAE3D4"/>
          </w:tcPr>
          <w:p w:rsidR="00A56FE9" w:rsidRDefault="00000000">
            <w:pPr>
              <w:pStyle w:val="TableParagraph"/>
              <w:spacing w:before="47"/>
              <w:ind w:right="97"/>
              <w:jc w:val="right"/>
              <w:rPr>
                <w:sz w:val="18"/>
              </w:rPr>
            </w:pPr>
            <w:r>
              <w:rPr>
                <w:sz w:val="18"/>
              </w:rPr>
              <w:t>1</w:t>
            </w:r>
          </w:p>
        </w:tc>
        <w:tc>
          <w:tcPr>
            <w:tcW w:w="398" w:type="dxa"/>
            <w:tcBorders>
              <w:top w:val="single" w:sz="4" w:space="0" w:color="FFFFFF"/>
              <w:left w:val="nil"/>
              <w:right w:val="nil"/>
            </w:tcBorders>
            <w:shd w:val="clear" w:color="auto" w:fill="FAE3D4"/>
          </w:tcPr>
          <w:p w:rsidR="00A56FE9" w:rsidRDefault="00000000">
            <w:pPr>
              <w:pStyle w:val="TableParagraph"/>
              <w:spacing w:before="47"/>
              <w:ind w:right="101"/>
              <w:jc w:val="right"/>
              <w:rPr>
                <w:sz w:val="18"/>
              </w:rPr>
            </w:pPr>
            <w:r>
              <w:rPr>
                <w:sz w:val="18"/>
              </w:rPr>
              <w:t>2</w:t>
            </w:r>
          </w:p>
        </w:tc>
        <w:tc>
          <w:tcPr>
            <w:tcW w:w="395" w:type="dxa"/>
            <w:tcBorders>
              <w:top w:val="single" w:sz="4" w:space="0" w:color="FFFFFF"/>
              <w:left w:val="nil"/>
              <w:right w:val="nil"/>
            </w:tcBorders>
            <w:shd w:val="clear" w:color="auto" w:fill="FAE3D4"/>
          </w:tcPr>
          <w:p w:rsidR="00A56FE9" w:rsidRDefault="00000000">
            <w:pPr>
              <w:pStyle w:val="TableParagraph"/>
              <w:spacing w:before="47"/>
              <w:ind w:left="197"/>
              <w:rPr>
                <w:sz w:val="18"/>
              </w:rPr>
            </w:pPr>
            <w:r>
              <w:rPr>
                <w:sz w:val="18"/>
              </w:rPr>
              <w:t>3</w:t>
            </w:r>
          </w:p>
        </w:tc>
        <w:tc>
          <w:tcPr>
            <w:tcW w:w="383" w:type="dxa"/>
            <w:tcBorders>
              <w:top w:val="single" w:sz="4" w:space="0" w:color="FFFFFF"/>
              <w:left w:val="nil"/>
              <w:right w:val="nil"/>
            </w:tcBorders>
            <w:shd w:val="clear" w:color="auto" w:fill="FAE3D4"/>
          </w:tcPr>
          <w:p w:rsidR="00A56FE9" w:rsidRDefault="00000000">
            <w:pPr>
              <w:pStyle w:val="TableParagraph"/>
              <w:spacing w:before="47"/>
              <w:ind w:left="198"/>
              <w:rPr>
                <w:sz w:val="18"/>
              </w:rPr>
            </w:pPr>
            <w:r>
              <w:rPr>
                <w:sz w:val="18"/>
              </w:rPr>
              <w:t>4</w:t>
            </w:r>
          </w:p>
        </w:tc>
        <w:tc>
          <w:tcPr>
            <w:tcW w:w="395" w:type="dxa"/>
            <w:tcBorders>
              <w:top w:val="single" w:sz="4" w:space="0" w:color="FFFFFF"/>
              <w:left w:val="nil"/>
              <w:right w:val="nil"/>
            </w:tcBorders>
            <w:shd w:val="clear" w:color="auto" w:fill="FAE3D4"/>
          </w:tcPr>
          <w:p w:rsidR="00A56FE9" w:rsidRDefault="00000000">
            <w:pPr>
              <w:pStyle w:val="TableParagraph"/>
              <w:spacing w:before="47"/>
              <w:ind w:left="209"/>
              <w:rPr>
                <w:sz w:val="18"/>
              </w:rPr>
            </w:pPr>
            <w:r>
              <w:rPr>
                <w:sz w:val="18"/>
              </w:rPr>
              <w:t>5</w:t>
            </w:r>
          </w:p>
        </w:tc>
        <w:tc>
          <w:tcPr>
            <w:tcW w:w="397" w:type="dxa"/>
            <w:tcBorders>
              <w:top w:val="single" w:sz="4" w:space="0" w:color="FFFFFF"/>
              <w:left w:val="nil"/>
              <w:right w:val="nil"/>
            </w:tcBorders>
            <w:shd w:val="clear" w:color="auto" w:fill="FAE3D4"/>
          </w:tcPr>
          <w:p w:rsidR="00A56FE9" w:rsidRDefault="00000000">
            <w:pPr>
              <w:pStyle w:val="TableParagraph"/>
              <w:spacing w:before="47"/>
              <w:ind w:right="94"/>
              <w:jc w:val="right"/>
              <w:rPr>
                <w:sz w:val="18"/>
              </w:rPr>
            </w:pPr>
            <w:r>
              <w:rPr>
                <w:sz w:val="18"/>
              </w:rPr>
              <w:t>6</w:t>
            </w:r>
          </w:p>
        </w:tc>
        <w:tc>
          <w:tcPr>
            <w:tcW w:w="395" w:type="dxa"/>
            <w:tcBorders>
              <w:top w:val="single" w:sz="4" w:space="0" w:color="FFFFFF"/>
              <w:left w:val="nil"/>
              <w:right w:val="nil"/>
            </w:tcBorders>
            <w:shd w:val="clear" w:color="auto" w:fill="FAE3D4"/>
          </w:tcPr>
          <w:p w:rsidR="00A56FE9" w:rsidRDefault="00000000">
            <w:pPr>
              <w:pStyle w:val="TableParagraph"/>
              <w:spacing w:before="47"/>
              <w:ind w:left="204"/>
              <w:rPr>
                <w:sz w:val="18"/>
              </w:rPr>
            </w:pPr>
            <w:r>
              <w:rPr>
                <w:sz w:val="18"/>
              </w:rPr>
              <w:t>7</w:t>
            </w:r>
          </w:p>
        </w:tc>
        <w:tc>
          <w:tcPr>
            <w:tcW w:w="376" w:type="dxa"/>
            <w:tcBorders>
              <w:top w:val="single" w:sz="4" w:space="0" w:color="FFFFFF"/>
              <w:left w:val="nil"/>
              <w:right w:val="nil"/>
            </w:tcBorders>
            <w:shd w:val="clear" w:color="auto" w:fill="FAE3D4"/>
          </w:tcPr>
          <w:p w:rsidR="00A56FE9" w:rsidRDefault="00000000">
            <w:pPr>
              <w:pStyle w:val="TableParagraph"/>
              <w:spacing w:before="47"/>
              <w:ind w:left="191"/>
              <w:rPr>
                <w:sz w:val="18"/>
              </w:rPr>
            </w:pPr>
            <w:r>
              <w:rPr>
                <w:sz w:val="18"/>
              </w:rPr>
              <w:t>8</w:t>
            </w:r>
          </w:p>
        </w:tc>
        <w:tc>
          <w:tcPr>
            <w:tcW w:w="395" w:type="dxa"/>
            <w:tcBorders>
              <w:top w:val="single" w:sz="4" w:space="0" w:color="FFFFFF"/>
              <w:left w:val="nil"/>
              <w:right w:val="nil"/>
            </w:tcBorders>
            <w:shd w:val="clear" w:color="auto" w:fill="FAE3D4"/>
          </w:tcPr>
          <w:p w:rsidR="00A56FE9" w:rsidRDefault="00000000">
            <w:pPr>
              <w:pStyle w:val="TableParagraph"/>
              <w:spacing w:before="47"/>
              <w:ind w:left="103"/>
              <w:jc w:val="center"/>
              <w:rPr>
                <w:sz w:val="18"/>
              </w:rPr>
            </w:pPr>
            <w:r>
              <w:rPr>
                <w:sz w:val="18"/>
              </w:rPr>
              <w:t>9</w:t>
            </w:r>
          </w:p>
        </w:tc>
        <w:tc>
          <w:tcPr>
            <w:tcW w:w="588" w:type="dxa"/>
            <w:tcBorders>
              <w:top w:val="single" w:sz="4" w:space="0" w:color="FFFFFF"/>
              <w:left w:val="nil"/>
              <w:right w:val="nil"/>
            </w:tcBorders>
            <w:shd w:val="clear" w:color="auto" w:fill="FFF1CC"/>
          </w:tcPr>
          <w:p w:rsidR="00A56FE9" w:rsidRDefault="00000000">
            <w:pPr>
              <w:pStyle w:val="TableParagraph"/>
              <w:spacing w:before="47"/>
              <w:ind w:left="108"/>
              <w:jc w:val="center"/>
              <w:rPr>
                <w:sz w:val="18"/>
              </w:rPr>
            </w:pPr>
            <w:r>
              <w:rPr>
                <w:sz w:val="18"/>
              </w:rPr>
              <w:t>1</w:t>
            </w:r>
          </w:p>
        </w:tc>
        <w:tc>
          <w:tcPr>
            <w:tcW w:w="607" w:type="dxa"/>
            <w:tcBorders>
              <w:top w:val="single" w:sz="4" w:space="0" w:color="FFFFFF"/>
              <w:left w:val="nil"/>
              <w:right w:val="nil"/>
            </w:tcBorders>
            <w:shd w:val="clear" w:color="auto" w:fill="FFF1CC"/>
          </w:tcPr>
          <w:p w:rsidR="00A56FE9" w:rsidRDefault="00000000">
            <w:pPr>
              <w:pStyle w:val="TableParagraph"/>
              <w:spacing w:before="47"/>
              <w:ind w:left="105"/>
              <w:jc w:val="center"/>
              <w:rPr>
                <w:sz w:val="18"/>
              </w:rPr>
            </w:pPr>
            <w:r>
              <w:rPr>
                <w:sz w:val="18"/>
              </w:rPr>
              <w:t>2</w:t>
            </w:r>
          </w:p>
        </w:tc>
        <w:tc>
          <w:tcPr>
            <w:tcW w:w="403" w:type="dxa"/>
            <w:tcBorders>
              <w:top w:val="single" w:sz="4" w:space="0" w:color="FFFFFF"/>
              <w:left w:val="nil"/>
              <w:right w:val="nil"/>
            </w:tcBorders>
            <w:shd w:val="clear" w:color="auto" w:fill="FFFF66"/>
          </w:tcPr>
          <w:p w:rsidR="00A56FE9" w:rsidRDefault="00000000">
            <w:pPr>
              <w:pStyle w:val="TableParagraph"/>
              <w:spacing w:before="47"/>
              <w:ind w:right="111"/>
              <w:jc w:val="right"/>
              <w:rPr>
                <w:sz w:val="18"/>
              </w:rPr>
            </w:pPr>
            <w:r>
              <w:rPr>
                <w:sz w:val="18"/>
              </w:rPr>
              <w:t>1</w:t>
            </w:r>
          </w:p>
        </w:tc>
        <w:tc>
          <w:tcPr>
            <w:tcW w:w="420" w:type="dxa"/>
            <w:tcBorders>
              <w:top w:val="single" w:sz="4" w:space="0" w:color="FFFFFF"/>
              <w:left w:val="nil"/>
              <w:right w:val="nil"/>
            </w:tcBorders>
            <w:shd w:val="clear" w:color="auto" w:fill="FFFF66"/>
          </w:tcPr>
          <w:p w:rsidR="00A56FE9" w:rsidRDefault="00000000">
            <w:pPr>
              <w:pStyle w:val="TableParagraph"/>
              <w:spacing w:before="47"/>
              <w:ind w:left="53"/>
              <w:jc w:val="center"/>
              <w:rPr>
                <w:sz w:val="18"/>
              </w:rPr>
            </w:pPr>
            <w:r>
              <w:rPr>
                <w:sz w:val="18"/>
              </w:rPr>
              <w:t>2</w:t>
            </w:r>
          </w:p>
        </w:tc>
        <w:tc>
          <w:tcPr>
            <w:tcW w:w="420" w:type="dxa"/>
            <w:tcBorders>
              <w:top w:val="single" w:sz="4" w:space="0" w:color="FFFFFF"/>
              <w:left w:val="nil"/>
              <w:right w:val="nil"/>
            </w:tcBorders>
            <w:shd w:val="clear" w:color="auto" w:fill="FFFF66"/>
          </w:tcPr>
          <w:p w:rsidR="00A56FE9" w:rsidRDefault="00000000">
            <w:pPr>
              <w:pStyle w:val="TableParagraph"/>
              <w:spacing w:before="47"/>
              <w:ind w:left="29"/>
              <w:jc w:val="center"/>
              <w:rPr>
                <w:sz w:val="18"/>
              </w:rPr>
            </w:pPr>
            <w:r>
              <w:rPr>
                <w:sz w:val="18"/>
              </w:rPr>
              <w:t>3</w:t>
            </w:r>
          </w:p>
        </w:tc>
        <w:tc>
          <w:tcPr>
            <w:tcW w:w="984" w:type="dxa"/>
            <w:tcBorders>
              <w:top w:val="single" w:sz="4" w:space="0" w:color="FFFFFF"/>
              <w:left w:val="nil"/>
              <w:right w:val="nil"/>
            </w:tcBorders>
            <w:shd w:val="clear" w:color="auto" w:fill="E1EED9"/>
          </w:tcPr>
          <w:p w:rsidR="00A56FE9" w:rsidRDefault="00000000">
            <w:pPr>
              <w:pStyle w:val="TableParagraph"/>
              <w:spacing w:before="47"/>
              <w:ind w:left="462"/>
              <w:rPr>
                <w:sz w:val="18"/>
              </w:rPr>
            </w:pPr>
            <w:r>
              <w:rPr>
                <w:sz w:val="18"/>
              </w:rPr>
              <w:t>1</w:t>
            </w:r>
          </w:p>
        </w:tc>
        <w:tc>
          <w:tcPr>
            <w:tcW w:w="1047" w:type="dxa"/>
            <w:tcBorders>
              <w:top w:val="single" w:sz="4" w:space="0" w:color="FFFFFF"/>
              <w:left w:val="nil"/>
              <w:right w:val="nil"/>
            </w:tcBorders>
            <w:shd w:val="clear" w:color="auto" w:fill="D0CECE"/>
          </w:tcPr>
          <w:p w:rsidR="00A56FE9" w:rsidRDefault="00000000">
            <w:pPr>
              <w:pStyle w:val="TableParagraph"/>
              <w:spacing w:before="47"/>
              <w:ind w:left="494"/>
              <w:rPr>
                <w:sz w:val="18"/>
              </w:rPr>
            </w:pPr>
            <w:r>
              <w:rPr>
                <w:sz w:val="18"/>
              </w:rPr>
              <w:t>1</w:t>
            </w:r>
          </w:p>
        </w:tc>
      </w:tr>
      <w:tr w:rsidR="00A56FE9">
        <w:trPr>
          <w:trHeight w:val="433"/>
        </w:trPr>
        <w:tc>
          <w:tcPr>
            <w:tcW w:w="668" w:type="dxa"/>
            <w:vMerge w:val="restart"/>
            <w:tcBorders>
              <w:left w:val="nil"/>
            </w:tcBorders>
            <w:shd w:val="clear" w:color="auto" w:fill="F1F1F1"/>
          </w:tcPr>
          <w:p w:rsidR="00A56FE9" w:rsidRDefault="00A56FE9">
            <w:pPr>
              <w:pStyle w:val="TableParagraph"/>
              <w:rPr>
                <w:sz w:val="18"/>
              </w:rPr>
            </w:pPr>
          </w:p>
        </w:tc>
        <w:tc>
          <w:tcPr>
            <w:tcW w:w="3008" w:type="dxa"/>
            <w:shd w:val="clear" w:color="auto" w:fill="F1F1F1"/>
          </w:tcPr>
          <w:p w:rsidR="00A56FE9" w:rsidRDefault="00000000">
            <w:pPr>
              <w:pStyle w:val="TableParagraph"/>
              <w:spacing w:line="202" w:lineRule="exact"/>
              <w:ind w:left="107"/>
              <w:rPr>
                <w:sz w:val="18"/>
              </w:rPr>
            </w:pPr>
            <w:r>
              <w:rPr>
                <w:b/>
                <w:sz w:val="18"/>
              </w:rPr>
              <w:t>1.3.</w:t>
            </w:r>
            <w:r>
              <w:rPr>
                <w:b/>
                <w:spacing w:val="-2"/>
                <w:sz w:val="18"/>
              </w:rPr>
              <w:t xml:space="preserve"> </w:t>
            </w:r>
            <w:r>
              <w:rPr>
                <w:sz w:val="18"/>
              </w:rPr>
              <w:t>Enhance</w:t>
            </w:r>
            <w:r>
              <w:rPr>
                <w:spacing w:val="-1"/>
                <w:sz w:val="18"/>
              </w:rPr>
              <w:t xml:space="preserve"> </w:t>
            </w:r>
            <w:r>
              <w:rPr>
                <w:sz w:val="18"/>
              </w:rPr>
              <w:t>the</w:t>
            </w:r>
            <w:r>
              <w:rPr>
                <w:spacing w:val="-1"/>
                <w:sz w:val="18"/>
              </w:rPr>
              <w:t xml:space="preserve"> </w:t>
            </w:r>
            <w:r>
              <w:rPr>
                <w:sz w:val="18"/>
              </w:rPr>
              <w:t>resilience</w:t>
            </w:r>
            <w:r>
              <w:rPr>
                <w:spacing w:val="-1"/>
                <w:sz w:val="18"/>
              </w:rPr>
              <w:t xml:space="preserve"> </w:t>
            </w:r>
            <w:r>
              <w:rPr>
                <w:sz w:val="18"/>
              </w:rPr>
              <w:t>of</w:t>
            </w:r>
            <w:r>
              <w:rPr>
                <w:spacing w:val="-2"/>
                <w:sz w:val="18"/>
              </w:rPr>
              <w:t xml:space="preserve"> </w:t>
            </w:r>
            <w:r>
              <w:rPr>
                <w:sz w:val="18"/>
              </w:rPr>
              <w:t>the</w:t>
            </w:r>
          </w:p>
          <w:p w:rsidR="00A56FE9" w:rsidRDefault="00000000">
            <w:pPr>
              <w:pStyle w:val="TableParagraph"/>
              <w:spacing w:before="4"/>
              <w:ind w:left="107"/>
              <w:rPr>
                <w:sz w:val="18"/>
              </w:rPr>
            </w:pPr>
            <w:r>
              <w:rPr>
                <w:sz w:val="18"/>
              </w:rPr>
              <w:t>health</w:t>
            </w:r>
            <w:r>
              <w:rPr>
                <w:spacing w:val="-3"/>
                <w:sz w:val="18"/>
              </w:rPr>
              <w:t xml:space="preserve"> </w:t>
            </w:r>
            <w:r>
              <w:rPr>
                <w:sz w:val="18"/>
              </w:rPr>
              <w:t>system.</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50"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83"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97"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76" w:type="dxa"/>
          </w:tcPr>
          <w:p w:rsidR="00A56FE9" w:rsidRDefault="00A56FE9">
            <w:pPr>
              <w:pStyle w:val="TableParagraph"/>
              <w:rPr>
                <w:sz w:val="18"/>
              </w:rPr>
            </w:pPr>
          </w:p>
        </w:tc>
        <w:tc>
          <w:tcPr>
            <w:tcW w:w="395" w:type="dxa"/>
          </w:tcPr>
          <w:p w:rsidR="00A56FE9" w:rsidRDefault="00A56FE9">
            <w:pPr>
              <w:pStyle w:val="TableParagraph"/>
              <w:rPr>
                <w:sz w:val="18"/>
              </w:rPr>
            </w:pPr>
          </w:p>
        </w:tc>
        <w:tc>
          <w:tcPr>
            <w:tcW w:w="588" w:type="dxa"/>
          </w:tcPr>
          <w:p w:rsidR="00A56FE9" w:rsidRDefault="00A56FE9">
            <w:pPr>
              <w:pStyle w:val="TableParagraph"/>
              <w:rPr>
                <w:sz w:val="18"/>
              </w:rPr>
            </w:pPr>
          </w:p>
        </w:tc>
        <w:tc>
          <w:tcPr>
            <w:tcW w:w="607" w:type="dxa"/>
          </w:tcPr>
          <w:p w:rsidR="00A56FE9" w:rsidRDefault="00A56FE9">
            <w:pPr>
              <w:pStyle w:val="TableParagraph"/>
              <w:rPr>
                <w:sz w:val="18"/>
              </w:rPr>
            </w:pPr>
          </w:p>
        </w:tc>
        <w:tc>
          <w:tcPr>
            <w:tcW w:w="40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000000">
            <w:pPr>
              <w:pStyle w:val="TableParagraph"/>
              <w:spacing w:before="109"/>
              <w:ind w:left="436"/>
              <w:rPr>
                <w:rFonts w:ascii="Wingdings" w:hAnsi="Wingdings"/>
                <w:sz w:val="18"/>
              </w:rPr>
            </w:pPr>
            <w:r>
              <w:rPr>
                <w:rFonts w:ascii="Wingdings" w:hAnsi="Wingdings"/>
                <w:color w:val="6FAC46"/>
                <w:sz w:val="18"/>
              </w:rPr>
              <w:t></w:t>
            </w:r>
          </w:p>
        </w:tc>
        <w:tc>
          <w:tcPr>
            <w:tcW w:w="1047" w:type="dxa"/>
            <w:tcBorders>
              <w:right w:val="nil"/>
            </w:tcBorders>
          </w:tcPr>
          <w:p w:rsidR="00A56FE9" w:rsidRDefault="00A56FE9">
            <w:pPr>
              <w:pStyle w:val="TableParagraph"/>
              <w:rPr>
                <w:sz w:val="18"/>
              </w:rPr>
            </w:pPr>
          </w:p>
        </w:tc>
      </w:tr>
      <w:tr w:rsidR="00A56FE9">
        <w:trPr>
          <w:trHeight w:val="1056"/>
        </w:trPr>
        <w:tc>
          <w:tcPr>
            <w:tcW w:w="668" w:type="dxa"/>
            <w:vMerge/>
            <w:tcBorders>
              <w:top w:val="nil"/>
              <w:left w:val="nil"/>
            </w:tcBorders>
            <w:shd w:val="clear" w:color="auto" w:fill="F1F1F1"/>
          </w:tcPr>
          <w:p w:rsidR="00A56FE9" w:rsidRDefault="00A56FE9">
            <w:pPr>
              <w:rPr>
                <w:sz w:val="2"/>
                <w:szCs w:val="2"/>
              </w:rPr>
            </w:pPr>
          </w:p>
        </w:tc>
        <w:tc>
          <w:tcPr>
            <w:tcW w:w="3008" w:type="dxa"/>
            <w:shd w:val="clear" w:color="auto" w:fill="F1F1F1"/>
          </w:tcPr>
          <w:p w:rsidR="00A56FE9" w:rsidRDefault="00000000">
            <w:pPr>
              <w:pStyle w:val="TableParagraph"/>
              <w:ind w:left="107" w:right="205"/>
              <w:rPr>
                <w:sz w:val="18"/>
              </w:rPr>
            </w:pPr>
            <w:r>
              <w:rPr>
                <w:b/>
                <w:sz w:val="18"/>
              </w:rPr>
              <w:t>1.4</w:t>
            </w:r>
            <w:r>
              <w:rPr>
                <w:sz w:val="18"/>
              </w:rPr>
              <w:t>. Promote balanced geographical</w:t>
            </w:r>
            <w:r>
              <w:rPr>
                <w:spacing w:val="1"/>
                <w:sz w:val="18"/>
              </w:rPr>
              <w:t xml:space="preserve"> </w:t>
            </w:r>
            <w:r>
              <w:rPr>
                <w:sz w:val="18"/>
              </w:rPr>
              <w:t>distribution of health workers and</w:t>
            </w:r>
            <w:r>
              <w:rPr>
                <w:spacing w:val="1"/>
                <w:sz w:val="18"/>
              </w:rPr>
              <w:t xml:space="preserve"> </w:t>
            </w:r>
            <w:r>
              <w:rPr>
                <w:sz w:val="18"/>
              </w:rPr>
              <w:t>facilities,</w:t>
            </w:r>
            <w:r>
              <w:rPr>
                <w:spacing w:val="-4"/>
                <w:sz w:val="18"/>
              </w:rPr>
              <w:t xml:space="preserve"> </w:t>
            </w:r>
            <w:r>
              <w:rPr>
                <w:sz w:val="18"/>
              </w:rPr>
              <w:t>closer</w:t>
            </w:r>
            <w:r>
              <w:rPr>
                <w:spacing w:val="-5"/>
                <w:sz w:val="18"/>
              </w:rPr>
              <w:t xml:space="preserve"> </w:t>
            </w:r>
            <w:r>
              <w:rPr>
                <w:sz w:val="18"/>
              </w:rPr>
              <w:t>cooperation</w:t>
            </w:r>
            <w:r>
              <w:rPr>
                <w:spacing w:val="-4"/>
                <w:sz w:val="18"/>
              </w:rPr>
              <w:t xml:space="preserve"> </w:t>
            </w:r>
            <w:r>
              <w:rPr>
                <w:sz w:val="18"/>
              </w:rPr>
              <w:t>between</w:t>
            </w:r>
            <w:r>
              <w:rPr>
                <w:spacing w:val="-42"/>
                <w:sz w:val="18"/>
              </w:rPr>
              <w:t xml:space="preserve"> </w:t>
            </w:r>
            <w:r>
              <w:rPr>
                <w:sz w:val="18"/>
              </w:rPr>
              <w:t>all levels of administration and</w:t>
            </w:r>
            <w:r>
              <w:rPr>
                <w:spacing w:val="1"/>
                <w:sz w:val="18"/>
              </w:rPr>
              <w:t xml:space="preserve"> </w:t>
            </w:r>
            <w:r>
              <w:rPr>
                <w:sz w:val="18"/>
              </w:rPr>
              <w:t>investments</w:t>
            </w:r>
            <w:r>
              <w:rPr>
                <w:spacing w:val="-1"/>
                <w:sz w:val="18"/>
              </w:rPr>
              <w:t xml:space="preserve"> </w:t>
            </w:r>
            <w:r>
              <w:rPr>
                <w:sz w:val="18"/>
              </w:rPr>
              <w:t>in</w:t>
            </w:r>
            <w:r>
              <w:rPr>
                <w:spacing w:val="1"/>
                <w:sz w:val="18"/>
              </w:rPr>
              <w:t xml:space="preserve"> </w:t>
            </w:r>
            <w:r>
              <w:rPr>
                <w:sz w:val="18"/>
              </w:rPr>
              <w:t>e-health.</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50"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83"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97"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76" w:type="dxa"/>
          </w:tcPr>
          <w:p w:rsidR="00A56FE9" w:rsidRDefault="00A56FE9">
            <w:pPr>
              <w:pStyle w:val="TableParagraph"/>
              <w:rPr>
                <w:sz w:val="18"/>
              </w:rPr>
            </w:pPr>
          </w:p>
        </w:tc>
        <w:tc>
          <w:tcPr>
            <w:tcW w:w="395" w:type="dxa"/>
          </w:tcPr>
          <w:p w:rsidR="00A56FE9" w:rsidRDefault="00A56FE9">
            <w:pPr>
              <w:pStyle w:val="TableParagraph"/>
              <w:rPr>
                <w:sz w:val="18"/>
              </w:rPr>
            </w:pPr>
          </w:p>
        </w:tc>
        <w:tc>
          <w:tcPr>
            <w:tcW w:w="588" w:type="dxa"/>
          </w:tcPr>
          <w:p w:rsidR="00A56FE9" w:rsidRDefault="00A56FE9">
            <w:pPr>
              <w:pStyle w:val="TableParagraph"/>
              <w:rPr>
                <w:sz w:val="18"/>
              </w:rPr>
            </w:pPr>
          </w:p>
        </w:tc>
        <w:tc>
          <w:tcPr>
            <w:tcW w:w="607" w:type="dxa"/>
          </w:tcPr>
          <w:p w:rsidR="00A56FE9" w:rsidRDefault="00A56FE9">
            <w:pPr>
              <w:pStyle w:val="TableParagraph"/>
              <w:rPr>
                <w:sz w:val="18"/>
              </w:rPr>
            </w:pPr>
          </w:p>
        </w:tc>
        <w:tc>
          <w:tcPr>
            <w:tcW w:w="40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b/>
                <w:sz w:val="20"/>
              </w:rPr>
            </w:pPr>
          </w:p>
          <w:p w:rsidR="00A56FE9" w:rsidRDefault="00A56FE9">
            <w:pPr>
              <w:pStyle w:val="TableParagraph"/>
              <w:spacing w:before="5"/>
              <w:rPr>
                <w:b/>
                <w:sz w:val="16"/>
              </w:rPr>
            </w:pPr>
          </w:p>
          <w:p w:rsidR="00A56FE9" w:rsidRDefault="00000000">
            <w:pPr>
              <w:pStyle w:val="TableParagraph"/>
              <w:ind w:left="436"/>
              <w:rPr>
                <w:rFonts w:ascii="Wingdings" w:hAnsi="Wingdings"/>
                <w:sz w:val="18"/>
              </w:rPr>
            </w:pPr>
            <w:r>
              <w:rPr>
                <w:rFonts w:ascii="Wingdings" w:hAnsi="Wingdings"/>
                <w:color w:val="6FAC46"/>
                <w:sz w:val="18"/>
              </w:rPr>
              <w:t></w:t>
            </w:r>
          </w:p>
        </w:tc>
        <w:tc>
          <w:tcPr>
            <w:tcW w:w="1047" w:type="dxa"/>
            <w:tcBorders>
              <w:right w:val="nil"/>
            </w:tcBorders>
          </w:tcPr>
          <w:p w:rsidR="00A56FE9" w:rsidRDefault="00A56FE9">
            <w:pPr>
              <w:pStyle w:val="TableParagraph"/>
              <w:rPr>
                <w:sz w:val="18"/>
              </w:rPr>
            </w:pPr>
          </w:p>
        </w:tc>
      </w:tr>
      <w:tr w:rsidR="00A56FE9">
        <w:trPr>
          <w:trHeight w:val="1053"/>
        </w:trPr>
        <w:tc>
          <w:tcPr>
            <w:tcW w:w="668" w:type="dxa"/>
            <w:vMerge w:val="restart"/>
            <w:tcBorders>
              <w:left w:val="nil"/>
              <w:bottom w:val="single" w:sz="6" w:space="0" w:color="001F5F"/>
            </w:tcBorders>
            <w:shd w:val="clear" w:color="auto" w:fill="F1F1F1"/>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9"/>
              <w:rPr>
                <w:b/>
                <w:sz w:val="23"/>
              </w:rPr>
            </w:pPr>
          </w:p>
          <w:p w:rsidR="00A56FE9" w:rsidRDefault="00000000">
            <w:pPr>
              <w:pStyle w:val="TableParagraph"/>
              <w:ind w:left="112"/>
              <w:rPr>
                <w:b/>
                <w:sz w:val="18"/>
              </w:rPr>
            </w:pPr>
            <w:r>
              <w:rPr>
                <w:b/>
                <w:sz w:val="18"/>
              </w:rPr>
              <w:t>CSR2</w:t>
            </w:r>
          </w:p>
        </w:tc>
        <w:tc>
          <w:tcPr>
            <w:tcW w:w="3008" w:type="dxa"/>
            <w:shd w:val="clear" w:color="auto" w:fill="F1F1F1"/>
          </w:tcPr>
          <w:p w:rsidR="00A56FE9" w:rsidRDefault="00000000">
            <w:pPr>
              <w:pStyle w:val="TableParagraph"/>
              <w:ind w:left="107" w:right="110"/>
              <w:rPr>
                <w:sz w:val="18"/>
              </w:rPr>
            </w:pPr>
            <w:r>
              <w:rPr>
                <w:b/>
                <w:sz w:val="18"/>
              </w:rPr>
              <w:t xml:space="preserve">2.1. </w:t>
            </w:r>
            <w:r>
              <w:rPr>
                <w:sz w:val="18"/>
              </w:rPr>
              <w:t>Strengthen labour market</w:t>
            </w:r>
            <w:r>
              <w:rPr>
                <w:spacing w:val="1"/>
                <w:sz w:val="18"/>
              </w:rPr>
              <w:t xml:space="preserve"> </w:t>
            </w:r>
            <w:r>
              <w:rPr>
                <w:sz w:val="18"/>
              </w:rPr>
              <w:t>measures</w:t>
            </w:r>
            <w:r>
              <w:rPr>
                <w:spacing w:val="-3"/>
                <w:sz w:val="18"/>
              </w:rPr>
              <w:t xml:space="preserve"> </w:t>
            </w:r>
            <w:r>
              <w:rPr>
                <w:sz w:val="18"/>
              </w:rPr>
              <w:t>and</w:t>
            </w:r>
            <w:r>
              <w:rPr>
                <w:spacing w:val="-2"/>
                <w:sz w:val="18"/>
              </w:rPr>
              <w:t xml:space="preserve"> </w:t>
            </w:r>
            <w:r>
              <w:rPr>
                <w:sz w:val="18"/>
              </w:rPr>
              <w:t>institutions</w:t>
            </w:r>
            <w:r>
              <w:rPr>
                <w:spacing w:val="-2"/>
                <w:sz w:val="18"/>
              </w:rPr>
              <w:t xml:space="preserve"> </w:t>
            </w:r>
            <w:r>
              <w:rPr>
                <w:sz w:val="18"/>
              </w:rPr>
              <w:t>and</w:t>
            </w:r>
            <w:r>
              <w:rPr>
                <w:spacing w:val="-2"/>
                <w:sz w:val="18"/>
              </w:rPr>
              <w:t xml:space="preserve"> </w:t>
            </w:r>
            <w:r>
              <w:rPr>
                <w:sz w:val="18"/>
              </w:rPr>
              <w:t>improve</w:t>
            </w:r>
            <w:r>
              <w:rPr>
                <w:spacing w:val="-42"/>
                <w:sz w:val="18"/>
              </w:rPr>
              <w:t xml:space="preserve"> </w:t>
            </w:r>
            <w:r>
              <w:rPr>
                <w:sz w:val="18"/>
              </w:rPr>
              <w:t>the adequacy of unemployment</w:t>
            </w:r>
            <w:r>
              <w:rPr>
                <w:spacing w:val="1"/>
                <w:sz w:val="18"/>
              </w:rPr>
              <w:t xml:space="preserve"> </w:t>
            </w:r>
            <w:r>
              <w:rPr>
                <w:sz w:val="18"/>
              </w:rPr>
              <w:t>benefits and minimum income</w:t>
            </w:r>
            <w:r>
              <w:rPr>
                <w:spacing w:val="1"/>
                <w:sz w:val="18"/>
              </w:rPr>
              <w:t xml:space="preserve"> </w:t>
            </w:r>
            <w:r>
              <w:rPr>
                <w:sz w:val="18"/>
              </w:rPr>
              <w:t>schemes.</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50"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83"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97"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76" w:type="dxa"/>
          </w:tcPr>
          <w:p w:rsidR="00A56FE9" w:rsidRDefault="00A56FE9">
            <w:pPr>
              <w:pStyle w:val="TableParagraph"/>
              <w:rPr>
                <w:sz w:val="18"/>
              </w:rPr>
            </w:pPr>
          </w:p>
        </w:tc>
        <w:tc>
          <w:tcPr>
            <w:tcW w:w="395" w:type="dxa"/>
          </w:tcPr>
          <w:p w:rsidR="00A56FE9" w:rsidRDefault="00A56FE9">
            <w:pPr>
              <w:pStyle w:val="TableParagraph"/>
              <w:rPr>
                <w:sz w:val="18"/>
              </w:rPr>
            </w:pPr>
          </w:p>
        </w:tc>
        <w:tc>
          <w:tcPr>
            <w:tcW w:w="588" w:type="dxa"/>
          </w:tcPr>
          <w:p w:rsidR="00A56FE9" w:rsidRDefault="00A56FE9">
            <w:pPr>
              <w:pStyle w:val="TableParagraph"/>
              <w:rPr>
                <w:sz w:val="18"/>
              </w:rPr>
            </w:pPr>
          </w:p>
        </w:tc>
        <w:tc>
          <w:tcPr>
            <w:tcW w:w="607" w:type="dxa"/>
          </w:tcPr>
          <w:p w:rsidR="00A56FE9" w:rsidRDefault="00A56FE9">
            <w:pPr>
              <w:pStyle w:val="TableParagraph"/>
              <w:rPr>
                <w:sz w:val="18"/>
              </w:rPr>
            </w:pPr>
          </w:p>
        </w:tc>
        <w:tc>
          <w:tcPr>
            <w:tcW w:w="403"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right="111"/>
              <w:jc w:val="right"/>
              <w:rPr>
                <w:rFonts w:ascii="Wingdings" w:hAnsi="Wingdings"/>
                <w:sz w:val="18"/>
              </w:rPr>
            </w:pPr>
            <w:r>
              <w:rPr>
                <w:rFonts w:ascii="Wingdings" w:hAnsi="Wingdings"/>
                <w:color w:val="FFCC00"/>
                <w:sz w:val="18"/>
              </w:rPr>
              <w:t></w:t>
            </w:r>
          </w:p>
        </w:tc>
        <w:tc>
          <w:tcPr>
            <w:tcW w:w="420"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left="30"/>
              <w:jc w:val="center"/>
              <w:rPr>
                <w:rFonts w:ascii="Wingdings" w:hAnsi="Wingdings"/>
                <w:sz w:val="18"/>
              </w:rPr>
            </w:pPr>
            <w:r>
              <w:rPr>
                <w:rFonts w:ascii="Wingdings" w:hAnsi="Wingdings"/>
                <w:color w:val="FFCC00"/>
                <w:sz w:val="18"/>
              </w:rPr>
              <w:t></w:t>
            </w:r>
          </w:p>
        </w:tc>
        <w:tc>
          <w:tcPr>
            <w:tcW w:w="420"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left="30"/>
              <w:jc w:val="center"/>
              <w:rPr>
                <w:rFonts w:ascii="Wingdings" w:hAnsi="Wingdings"/>
                <w:sz w:val="18"/>
              </w:rPr>
            </w:pPr>
            <w:r>
              <w:rPr>
                <w:rFonts w:ascii="Wingdings" w:hAnsi="Wingdings"/>
                <w:color w:val="FFCC00"/>
                <w:sz w:val="18"/>
              </w:rPr>
              <w:t></w:t>
            </w: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429"/>
        </w:trPr>
        <w:tc>
          <w:tcPr>
            <w:tcW w:w="668" w:type="dxa"/>
            <w:vMerge/>
            <w:tcBorders>
              <w:top w:val="nil"/>
              <w:left w:val="nil"/>
              <w:bottom w:val="single" w:sz="6" w:space="0" w:color="001F5F"/>
            </w:tcBorders>
            <w:shd w:val="clear" w:color="auto" w:fill="F1F1F1"/>
          </w:tcPr>
          <w:p w:rsidR="00A56FE9" w:rsidRDefault="00A56FE9">
            <w:pPr>
              <w:rPr>
                <w:sz w:val="2"/>
                <w:szCs w:val="2"/>
              </w:rPr>
            </w:pPr>
          </w:p>
        </w:tc>
        <w:tc>
          <w:tcPr>
            <w:tcW w:w="3008" w:type="dxa"/>
            <w:shd w:val="clear" w:color="auto" w:fill="F1F1F1"/>
          </w:tcPr>
          <w:p w:rsidR="00A56FE9" w:rsidRDefault="00000000">
            <w:pPr>
              <w:pStyle w:val="TableParagraph"/>
              <w:spacing w:line="199" w:lineRule="exact"/>
              <w:ind w:left="107"/>
              <w:rPr>
                <w:sz w:val="18"/>
              </w:rPr>
            </w:pPr>
            <w:r>
              <w:rPr>
                <w:b/>
                <w:sz w:val="18"/>
              </w:rPr>
              <w:t>2.2.</w:t>
            </w:r>
            <w:r>
              <w:rPr>
                <w:b/>
                <w:spacing w:val="-2"/>
                <w:sz w:val="18"/>
              </w:rPr>
              <w:t xml:space="preserve"> </w:t>
            </w:r>
            <w:r>
              <w:rPr>
                <w:sz w:val="18"/>
              </w:rPr>
              <w:t>Increase</w:t>
            </w:r>
            <w:r>
              <w:rPr>
                <w:spacing w:val="-2"/>
                <w:sz w:val="18"/>
              </w:rPr>
              <w:t xml:space="preserve"> </w:t>
            </w:r>
            <w:r>
              <w:rPr>
                <w:sz w:val="18"/>
              </w:rPr>
              <w:t>access</w:t>
            </w:r>
            <w:r>
              <w:rPr>
                <w:spacing w:val="-2"/>
                <w:sz w:val="18"/>
              </w:rPr>
              <w:t xml:space="preserve"> </w:t>
            </w:r>
            <w:r>
              <w:rPr>
                <w:sz w:val="18"/>
              </w:rPr>
              <w:t>to digital</w:t>
            </w:r>
          </w:p>
          <w:p w:rsidR="00A56FE9" w:rsidRDefault="00000000">
            <w:pPr>
              <w:pStyle w:val="TableParagraph"/>
              <w:spacing w:before="2"/>
              <w:ind w:left="107"/>
              <w:rPr>
                <w:sz w:val="18"/>
              </w:rPr>
            </w:pPr>
            <w:r>
              <w:rPr>
                <w:sz w:val="18"/>
              </w:rPr>
              <w:t>infrastructure</w:t>
            </w:r>
            <w:r>
              <w:rPr>
                <w:spacing w:val="-4"/>
                <w:sz w:val="18"/>
              </w:rPr>
              <w:t xml:space="preserve"> </w:t>
            </w:r>
            <w:r>
              <w:rPr>
                <w:sz w:val="18"/>
              </w:rPr>
              <w:t>and</w:t>
            </w:r>
            <w:r>
              <w:rPr>
                <w:spacing w:val="-1"/>
                <w:sz w:val="18"/>
              </w:rPr>
              <w:t xml:space="preserve"> </w:t>
            </w:r>
            <w:r>
              <w:rPr>
                <w:sz w:val="18"/>
              </w:rPr>
              <w:t>services.</w:t>
            </w:r>
          </w:p>
        </w:tc>
        <w:tc>
          <w:tcPr>
            <w:tcW w:w="415" w:type="dxa"/>
          </w:tcPr>
          <w:p w:rsidR="00A56FE9" w:rsidRDefault="00000000">
            <w:pPr>
              <w:pStyle w:val="TableParagraph"/>
              <w:spacing w:before="104"/>
              <w:ind w:left="138"/>
              <w:rPr>
                <w:rFonts w:ascii="Wingdings" w:hAnsi="Wingdings"/>
                <w:sz w:val="18"/>
              </w:rPr>
            </w:pPr>
            <w:r>
              <w:rPr>
                <w:rFonts w:ascii="Wingdings" w:hAnsi="Wingdings"/>
                <w:color w:val="006FC0"/>
                <w:sz w:val="18"/>
              </w:rPr>
              <w:t></w:t>
            </w:r>
          </w:p>
        </w:tc>
        <w:tc>
          <w:tcPr>
            <w:tcW w:w="391" w:type="dxa"/>
          </w:tcPr>
          <w:p w:rsidR="00A56FE9" w:rsidRDefault="00A56FE9">
            <w:pPr>
              <w:pStyle w:val="TableParagraph"/>
              <w:rPr>
                <w:sz w:val="18"/>
              </w:rPr>
            </w:pPr>
          </w:p>
        </w:tc>
        <w:tc>
          <w:tcPr>
            <w:tcW w:w="350" w:type="dxa"/>
          </w:tcPr>
          <w:p w:rsidR="00A56FE9" w:rsidRDefault="00A56FE9">
            <w:pPr>
              <w:pStyle w:val="TableParagraph"/>
              <w:rPr>
                <w:sz w:val="18"/>
              </w:rPr>
            </w:pPr>
          </w:p>
        </w:tc>
        <w:tc>
          <w:tcPr>
            <w:tcW w:w="381" w:type="dxa"/>
          </w:tcPr>
          <w:p w:rsidR="00A56FE9" w:rsidRDefault="00000000">
            <w:pPr>
              <w:pStyle w:val="TableParagraph"/>
              <w:spacing w:before="104"/>
              <w:ind w:left="8"/>
              <w:jc w:val="center"/>
              <w:rPr>
                <w:rFonts w:ascii="Wingdings" w:hAnsi="Wingdings"/>
                <w:sz w:val="18"/>
              </w:rPr>
            </w:pPr>
            <w:r>
              <w:rPr>
                <w:rFonts w:ascii="Wingdings" w:hAnsi="Wingdings"/>
                <w:color w:val="006FC0"/>
                <w:sz w:val="18"/>
              </w:rPr>
              <w:t></w:t>
            </w:r>
          </w:p>
        </w:tc>
        <w:tc>
          <w:tcPr>
            <w:tcW w:w="381" w:type="dxa"/>
          </w:tcPr>
          <w:p w:rsidR="00A56FE9" w:rsidRDefault="00000000">
            <w:pPr>
              <w:pStyle w:val="TableParagraph"/>
              <w:spacing w:before="104"/>
              <w:ind w:left="14"/>
              <w:jc w:val="center"/>
              <w:rPr>
                <w:rFonts w:ascii="Wingdings" w:hAnsi="Wingdings"/>
                <w:sz w:val="18"/>
              </w:rPr>
            </w:pPr>
            <w:r>
              <w:rPr>
                <w:rFonts w:ascii="Wingdings" w:hAnsi="Wingdings"/>
                <w:color w:val="006FC0"/>
                <w:sz w:val="18"/>
              </w:rPr>
              <w:t></w:t>
            </w:r>
          </w:p>
        </w:tc>
        <w:tc>
          <w:tcPr>
            <w:tcW w:w="38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8" w:type="dxa"/>
          </w:tcPr>
          <w:p w:rsidR="00A56FE9" w:rsidRDefault="00000000">
            <w:pPr>
              <w:pStyle w:val="TableParagraph"/>
              <w:spacing w:before="104"/>
              <w:ind w:right="117"/>
              <w:jc w:val="right"/>
              <w:rPr>
                <w:rFonts w:ascii="Wingdings" w:hAnsi="Wingdings"/>
                <w:sz w:val="18"/>
              </w:rPr>
            </w:pPr>
            <w:r>
              <w:rPr>
                <w:rFonts w:ascii="Wingdings" w:hAnsi="Wingdings"/>
                <w:color w:val="C00000"/>
                <w:sz w:val="18"/>
              </w:rPr>
              <w:t></w:t>
            </w:r>
          </w:p>
        </w:tc>
        <w:tc>
          <w:tcPr>
            <w:tcW w:w="395" w:type="dxa"/>
          </w:tcPr>
          <w:p w:rsidR="00A56FE9" w:rsidRDefault="00000000">
            <w:pPr>
              <w:pStyle w:val="TableParagraph"/>
              <w:spacing w:before="104"/>
              <w:ind w:left="130"/>
              <w:rPr>
                <w:rFonts w:ascii="Wingdings" w:hAnsi="Wingdings"/>
                <w:sz w:val="18"/>
              </w:rPr>
            </w:pPr>
            <w:r>
              <w:rPr>
                <w:rFonts w:ascii="Wingdings" w:hAnsi="Wingdings"/>
                <w:color w:val="C00000"/>
                <w:sz w:val="18"/>
              </w:rPr>
              <w:t></w:t>
            </w:r>
          </w:p>
        </w:tc>
        <w:tc>
          <w:tcPr>
            <w:tcW w:w="383" w:type="dxa"/>
          </w:tcPr>
          <w:p w:rsidR="00A56FE9" w:rsidRDefault="00A56FE9">
            <w:pPr>
              <w:pStyle w:val="TableParagraph"/>
              <w:rPr>
                <w:sz w:val="18"/>
              </w:rPr>
            </w:pPr>
          </w:p>
        </w:tc>
        <w:tc>
          <w:tcPr>
            <w:tcW w:w="395" w:type="dxa"/>
          </w:tcPr>
          <w:p w:rsidR="00A56FE9" w:rsidRDefault="00000000">
            <w:pPr>
              <w:pStyle w:val="TableParagraph"/>
              <w:spacing w:before="104"/>
              <w:ind w:left="132"/>
              <w:rPr>
                <w:rFonts w:ascii="Wingdings" w:hAnsi="Wingdings"/>
                <w:sz w:val="18"/>
              </w:rPr>
            </w:pPr>
            <w:r>
              <w:rPr>
                <w:rFonts w:ascii="Wingdings" w:hAnsi="Wingdings"/>
                <w:color w:val="C00000"/>
                <w:sz w:val="18"/>
              </w:rPr>
              <w:t></w:t>
            </w:r>
          </w:p>
        </w:tc>
        <w:tc>
          <w:tcPr>
            <w:tcW w:w="397" w:type="dxa"/>
          </w:tcPr>
          <w:p w:rsidR="00A56FE9" w:rsidRDefault="00000000">
            <w:pPr>
              <w:pStyle w:val="TableParagraph"/>
              <w:spacing w:before="104"/>
              <w:ind w:right="114"/>
              <w:jc w:val="right"/>
              <w:rPr>
                <w:rFonts w:ascii="Wingdings" w:hAnsi="Wingdings"/>
                <w:sz w:val="18"/>
              </w:rPr>
            </w:pPr>
            <w:r>
              <w:rPr>
                <w:rFonts w:ascii="Wingdings" w:hAnsi="Wingdings"/>
                <w:color w:val="C00000"/>
                <w:sz w:val="18"/>
              </w:rPr>
              <w:t></w:t>
            </w:r>
          </w:p>
        </w:tc>
        <w:tc>
          <w:tcPr>
            <w:tcW w:w="395" w:type="dxa"/>
          </w:tcPr>
          <w:p w:rsidR="00A56FE9" w:rsidRDefault="00A56FE9">
            <w:pPr>
              <w:pStyle w:val="TableParagraph"/>
              <w:rPr>
                <w:sz w:val="18"/>
              </w:rPr>
            </w:pPr>
          </w:p>
        </w:tc>
        <w:tc>
          <w:tcPr>
            <w:tcW w:w="376" w:type="dxa"/>
          </w:tcPr>
          <w:p w:rsidR="00A56FE9" w:rsidRDefault="00A56FE9">
            <w:pPr>
              <w:pStyle w:val="TableParagraph"/>
              <w:rPr>
                <w:sz w:val="18"/>
              </w:rPr>
            </w:pPr>
          </w:p>
        </w:tc>
        <w:tc>
          <w:tcPr>
            <w:tcW w:w="395" w:type="dxa"/>
          </w:tcPr>
          <w:p w:rsidR="00A56FE9" w:rsidRDefault="00A56FE9">
            <w:pPr>
              <w:pStyle w:val="TableParagraph"/>
              <w:rPr>
                <w:sz w:val="18"/>
              </w:rPr>
            </w:pPr>
          </w:p>
        </w:tc>
        <w:tc>
          <w:tcPr>
            <w:tcW w:w="588" w:type="dxa"/>
          </w:tcPr>
          <w:p w:rsidR="00A56FE9" w:rsidRDefault="00000000">
            <w:pPr>
              <w:pStyle w:val="TableParagraph"/>
              <w:spacing w:before="104"/>
              <w:ind w:left="28"/>
              <w:jc w:val="center"/>
              <w:rPr>
                <w:rFonts w:ascii="Wingdings" w:hAnsi="Wingdings"/>
                <w:sz w:val="18"/>
              </w:rPr>
            </w:pPr>
            <w:r>
              <w:rPr>
                <w:rFonts w:ascii="Wingdings" w:hAnsi="Wingdings"/>
                <w:color w:val="BE8F00"/>
                <w:sz w:val="18"/>
              </w:rPr>
              <w:t></w:t>
            </w:r>
          </w:p>
        </w:tc>
        <w:tc>
          <w:tcPr>
            <w:tcW w:w="607" w:type="dxa"/>
          </w:tcPr>
          <w:p w:rsidR="00A56FE9" w:rsidRDefault="00000000">
            <w:pPr>
              <w:pStyle w:val="TableParagraph"/>
              <w:spacing w:before="104"/>
              <w:ind w:left="29"/>
              <w:jc w:val="center"/>
              <w:rPr>
                <w:rFonts w:ascii="Wingdings" w:hAnsi="Wingdings"/>
                <w:sz w:val="18"/>
              </w:rPr>
            </w:pPr>
            <w:r>
              <w:rPr>
                <w:rFonts w:ascii="Wingdings" w:hAnsi="Wingdings"/>
                <w:color w:val="BE8F00"/>
                <w:sz w:val="18"/>
              </w:rPr>
              <w:t></w:t>
            </w:r>
          </w:p>
        </w:tc>
        <w:tc>
          <w:tcPr>
            <w:tcW w:w="40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20" w:type="dxa"/>
          </w:tcPr>
          <w:p w:rsidR="00A56FE9" w:rsidRDefault="00000000">
            <w:pPr>
              <w:pStyle w:val="TableParagraph"/>
              <w:spacing w:before="104"/>
              <w:ind w:left="30"/>
              <w:jc w:val="center"/>
              <w:rPr>
                <w:rFonts w:ascii="Wingdings" w:hAnsi="Wingdings"/>
                <w:sz w:val="18"/>
              </w:rPr>
            </w:pPr>
            <w:r>
              <w:rPr>
                <w:rFonts w:ascii="Wingdings" w:hAnsi="Wingdings"/>
                <w:color w:val="FFCC00"/>
                <w:sz w:val="18"/>
              </w:rPr>
              <w:t></w:t>
            </w:r>
          </w:p>
        </w:tc>
        <w:tc>
          <w:tcPr>
            <w:tcW w:w="984" w:type="dxa"/>
          </w:tcPr>
          <w:p w:rsidR="00A56FE9" w:rsidRDefault="00000000">
            <w:pPr>
              <w:pStyle w:val="TableParagraph"/>
              <w:spacing w:before="104"/>
              <w:ind w:left="436"/>
              <w:rPr>
                <w:rFonts w:ascii="Wingdings" w:hAnsi="Wingdings"/>
                <w:sz w:val="18"/>
              </w:rPr>
            </w:pPr>
            <w:r>
              <w:rPr>
                <w:rFonts w:ascii="Wingdings" w:hAnsi="Wingdings"/>
                <w:color w:val="6FAC46"/>
                <w:sz w:val="18"/>
              </w:rPr>
              <w:t></w:t>
            </w:r>
          </w:p>
        </w:tc>
        <w:tc>
          <w:tcPr>
            <w:tcW w:w="1047" w:type="dxa"/>
            <w:tcBorders>
              <w:right w:val="nil"/>
            </w:tcBorders>
          </w:tcPr>
          <w:p w:rsidR="00A56FE9" w:rsidRDefault="00000000">
            <w:pPr>
              <w:pStyle w:val="TableParagraph"/>
              <w:spacing w:before="104"/>
              <w:ind w:left="467"/>
              <w:rPr>
                <w:rFonts w:ascii="Wingdings" w:hAnsi="Wingdings"/>
                <w:sz w:val="18"/>
              </w:rPr>
            </w:pPr>
            <w:r>
              <w:rPr>
                <w:rFonts w:ascii="Wingdings" w:hAnsi="Wingdings"/>
                <w:color w:val="585858"/>
                <w:sz w:val="18"/>
              </w:rPr>
              <w:t></w:t>
            </w:r>
          </w:p>
        </w:tc>
      </w:tr>
      <w:tr w:rsidR="00A56FE9">
        <w:trPr>
          <w:trHeight w:val="220"/>
        </w:trPr>
        <w:tc>
          <w:tcPr>
            <w:tcW w:w="668" w:type="dxa"/>
            <w:vMerge/>
            <w:tcBorders>
              <w:top w:val="nil"/>
              <w:left w:val="nil"/>
              <w:bottom w:val="single" w:sz="6" w:space="0" w:color="001F5F"/>
            </w:tcBorders>
            <w:shd w:val="clear" w:color="auto" w:fill="F1F1F1"/>
          </w:tcPr>
          <w:p w:rsidR="00A56FE9" w:rsidRDefault="00A56FE9">
            <w:pPr>
              <w:rPr>
                <w:sz w:val="2"/>
                <w:szCs w:val="2"/>
              </w:rPr>
            </w:pPr>
          </w:p>
        </w:tc>
        <w:tc>
          <w:tcPr>
            <w:tcW w:w="3008" w:type="dxa"/>
            <w:tcBorders>
              <w:bottom w:val="single" w:sz="6" w:space="0" w:color="001F5F"/>
            </w:tcBorders>
            <w:shd w:val="clear" w:color="auto" w:fill="F1F1F1"/>
          </w:tcPr>
          <w:p w:rsidR="00A56FE9" w:rsidRDefault="00000000">
            <w:pPr>
              <w:pStyle w:val="TableParagraph"/>
              <w:spacing w:line="200" w:lineRule="exact"/>
              <w:ind w:left="107"/>
              <w:rPr>
                <w:sz w:val="18"/>
              </w:rPr>
            </w:pPr>
            <w:r>
              <w:rPr>
                <w:b/>
                <w:sz w:val="18"/>
              </w:rPr>
              <w:t>2.3.</w:t>
            </w:r>
            <w:r>
              <w:rPr>
                <w:b/>
                <w:spacing w:val="-5"/>
                <w:sz w:val="18"/>
              </w:rPr>
              <w:t xml:space="preserve"> </w:t>
            </w:r>
            <w:r>
              <w:rPr>
                <w:sz w:val="18"/>
              </w:rPr>
              <w:t>Promote the</w:t>
            </w:r>
            <w:r>
              <w:rPr>
                <w:spacing w:val="-1"/>
                <w:sz w:val="18"/>
              </w:rPr>
              <w:t xml:space="preserve"> </w:t>
            </w:r>
            <w:r>
              <w:rPr>
                <w:sz w:val="18"/>
              </w:rPr>
              <w:t>acquisition</w:t>
            </w:r>
            <w:r>
              <w:rPr>
                <w:spacing w:val="-2"/>
                <w:sz w:val="18"/>
              </w:rPr>
              <w:t xml:space="preserve"> </w:t>
            </w:r>
            <w:r>
              <w:rPr>
                <w:sz w:val="18"/>
              </w:rPr>
              <w:t>of</w:t>
            </w:r>
            <w:r>
              <w:rPr>
                <w:spacing w:val="-2"/>
                <w:sz w:val="18"/>
              </w:rPr>
              <w:t xml:space="preserve"> </w:t>
            </w:r>
            <w:r>
              <w:rPr>
                <w:sz w:val="18"/>
              </w:rPr>
              <w:t>skills.</w:t>
            </w:r>
          </w:p>
        </w:tc>
        <w:tc>
          <w:tcPr>
            <w:tcW w:w="415" w:type="dxa"/>
            <w:tcBorders>
              <w:bottom w:val="single" w:sz="6" w:space="0" w:color="001F5F"/>
            </w:tcBorders>
          </w:tcPr>
          <w:p w:rsidR="00A56FE9" w:rsidRDefault="00A56FE9">
            <w:pPr>
              <w:pStyle w:val="TableParagraph"/>
              <w:rPr>
                <w:sz w:val="14"/>
              </w:rPr>
            </w:pPr>
          </w:p>
        </w:tc>
        <w:tc>
          <w:tcPr>
            <w:tcW w:w="391" w:type="dxa"/>
            <w:tcBorders>
              <w:bottom w:val="single" w:sz="6" w:space="0" w:color="001F5F"/>
            </w:tcBorders>
          </w:tcPr>
          <w:p w:rsidR="00A56FE9" w:rsidRDefault="00A56FE9">
            <w:pPr>
              <w:pStyle w:val="TableParagraph"/>
              <w:rPr>
                <w:sz w:val="14"/>
              </w:rPr>
            </w:pPr>
          </w:p>
        </w:tc>
        <w:tc>
          <w:tcPr>
            <w:tcW w:w="350" w:type="dxa"/>
            <w:tcBorders>
              <w:bottom w:val="single" w:sz="6" w:space="0" w:color="001F5F"/>
            </w:tcBorders>
          </w:tcPr>
          <w:p w:rsidR="00A56FE9" w:rsidRDefault="00A56FE9">
            <w:pPr>
              <w:pStyle w:val="TableParagraph"/>
              <w:rPr>
                <w:sz w:val="14"/>
              </w:rPr>
            </w:pPr>
          </w:p>
        </w:tc>
        <w:tc>
          <w:tcPr>
            <w:tcW w:w="381" w:type="dxa"/>
            <w:tcBorders>
              <w:bottom w:val="single" w:sz="6" w:space="0" w:color="001F5F"/>
            </w:tcBorders>
          </w:tcPr>
          <w:p w:rsidR="00A56FE9" w:rsidRDefault="00A56FE9">
            <w:pPr>
              <w:pStyle w:val="TableParagraph"/>
              <w:rPr>
                <w:sz w:val="14"/>
              </w:rPr>
            </w:pPr>
          </w:p>
        </w:tc>
        <w:tc>
          <w:tcPr>
            <w:tcW w:w="381" w:type="dxa"/>
            <w:tcBorders>
              <w:bottom w:val="single" w:sz="6" w:space="0" w:color="001F5F"/>
            </w:tcBorders>
          </w:tcPr>
          <w:p w:rsidR="00A56FE9" w:rsidRDefault="00A56FE9">
            <w:pPr>
              <w:pStyle w:val="TableParagraph"/>
              <w:rPr>
                <w:sz w:val="14"/>
              </w:rPr>
            </w:pPr>
          </w:p>
        </w:tc>
        <w:tc>
          <w:tcPr>
            <w:tcW w:w="388" w:type="dxa"/>
            <w:tcBorders>
              <w:bottom w:val="single" w:sz="6" w:space="0" w:color="001F5F"/>
            </w:tcBorders>
          </w:tcPr>
          <w:p w:rsidR="00A56FE9" w:rsidRDefault="00000000">
            <w:pPr>
              <w:pStyle w:val="TableParagraph"/>
              <w:spacing w:before="1" w:line="199" w:lineRule="exact"/>
              <w:ind w:right="113"/>
              <w:jc w:val="right"/>
              <w:rPr>
                <w:rFonts w:ascii="Wingdings" w:hAnsi="Wingdings"/>
                <w:sz w:val="18"/>
              </w:rPr>
            </w:pPr>
            <w:r>
              <w:rPr>
                <w:rFonts w:ascii="Wingdings" w:hAnsi="Wingdings"/>
                <w:color w:val="006FC0"/>
                <w:sz w:val="18"/>
              </w:rPr>
              <w:t></w:t>
            </w:r>
          </w:p>
        </w:tc>
        <w:tc>
          <w:tcPr>
            <w:tcW w:w="398" w:type="dxa"/>
            <w:tcBorders>
              <w:bottom w:val="single" w:sz="6" w:space="0" w:color="001F5F"/>
            </w:tcBorders>
          </w:tcPr>
          <w:p w:rsidR="00A56FE9" w:rsidRDefault="00A56FE9">
            <w:pPr>
              <w:pStyle w:val="TableParagraph"/>
              <w:rPr>
                <w:sz w:val="14"/>
              </w:rPr>
            </w:pPr>
          </w:p>
        </w:tc>
        <w:tc>
          <w:tcPr>
            <w:tcW w:w="398" w:type="dxa"/>
            <w:tcBorders>
              <w:bottom w:val="single" w:sz="6" w:space="0" w:color="001F5F"/>
            </w:tcBorders>
          </w:tcPr>
          <w:p w:rsidR="00A56FE9" w:rsidRDefault="00A56FE9">
            <w:pPr>
              <w:pStyle w:val="TableParagraph"/>
              <w:rPr>
                <w:sz w:val="14"/>
              </w:rPr>
            </w:pPr>
          </w:p>
        </w:tc>
        <w:tc>
          <w:tcPr>
            <w:tcW w:w="395" w:type="dxa"/>
            <w:tcBorders>
              <w:bottom w:val="single" w:sz="6" w:space="0" w:color="001F5F"/>
            </w:tcBorders>
          </w:tcPr>
          <w:p w:rsidR="00A56FE9" w:rsidRDefault="00A56FE9">
            <w:pPr>
              <w:pStyle w:val="TableParagraph"/>
              <w:rPr>
                <w:sz w:val="14"/>
              </w:rPr>
            </w:pPr>
          </w:p>
        </w:tc>
        <w:tc>
          <w:tcPr>
            <w:tcW w:w="383" w:type="dxa"/>
            <w:tcBorders>
              <w:bottom w:val="single" w:sz="6" w:space="0" w:color="001F5F"/>
            </w:tcBorders>
          </w:tcPr>
          <w:p w:rsidR="00A56FE9" w:rsidRDefault="00A56FE9">
            <w:pPr>
              <w:pStyle w:val="TableParagraph"/>
              <w:rPr>
                <w:sz w:val="14"/>
              </w:rPr>
            </w:pPr>
          </w:p>
        </w:tc>
        <w:tc>
          <w:tcPr>
            <w:tcW w:w="395" w:type="dxa"/>
            <w:tcBorders>
              <w:bottom w:val="single" w:sz="6" w:space="0" w:color="001F5F"/>
            </w:tcBorders>
          </w:tcPr>
          <w:p w:rsidR="00A56FE9" w:rsidRDefault="00A56FE9">
            <w:pPr>
              <w:pStyle w:val="TableParagraph"/>
              <w:rPr>
                <w:sz w:val="14"/>
              </w:rPr>
            </w:pPr>
          </w:p>
        </w:tc>
        <w:tc>
          <w:tcPr>
            <w:tcW w:w="397" w:type="dxa"/>
            <w:tcBorders>
              <w:bottom w:val="single" w:sz="6" w:space="0" w:color="001F5F"/>
            </w:tcBorders>
          </w:tcPr>
          <w:p w:rsidR="00A56FE9" w:rsidRDefault="00A56FE9">
            <w:pPr>
              <w:pStyle w:val="TableParagraph"/>
              <w:rPr>
                <w:sz w:val="14"/>
              </w:rPr>
            </w:pPr>
          </w:p>
        </w:tc>
        <w:tc>
          <w:tcPr>
            <w:tcW w:w="395" w:type="dxa"/>
            <w:tcBorders>
              <w:bottom w:val="single" w:sz="6" w:space="0" w:color="001F5F"/>
            </w:tcBorders>
          </w:tcPr>
          <w:p w:rsidR="00A56FE9" w:rsidRDefault="00A56FE9">
            <w:pPr>
              <w:pStyle w:val="TableParagraph"/>
              <w:rPr>
                <w:sz w:val="14"/>
              </w:rPr>
            </w:pPr>
          </w:p>
        </w:tc>
        <w:tc>
          <w:tcPr>
            <w:tcW w:w="376" w:type="dxa"/>
            <w:tcBorders>
              <w:bottom w:val="single" w:sz="6" w:space="0" w:color="001F5F"/>
            </w:tcBorders>
          </w:tcPr>
          <w:p w:rsidR="00A56FE9" w:rsidRDefault="00A56FE9">
            <w:pPr>
              <w:pStyle w:val="TableParagraph"/>
              <w:rPr>
                <w:sz w:val="14"/>
              </w:rPr>
            </w:pPr>
          </w:p>
        </w:tc>
        <w:tc>
          <w:tcPr>
            <w:tcW w:w="395" w:type="dxa"/>
            <w:tcBorders>
              <w:bottom w:val="single" w:sz="6" w:space="0" w:color="001F5F"/>
            </w:tcBorders>
          </w:tcPr>
          <w:p w:rsidR="00A56FE9" w:rsidRDefault="00000000">
            <w:pPr>
              <w:pStyle w:val="TableParagraph"/>
              <w:spacing w:before="1" w:line="199" w:lineRule="exact"/>
              <w:ind w:left="27"/>
              <w:jc w:val="center"/>
              <w:rPr>
                <w:rFonts w:ascii="Wingdings" w:hAnsi="Wingdings"/>
                <w:sz w:val="18"/>
              </w:rPr>
            </w:pPr>
            <w:r>
              <w:rPr>
                <w:rFonts w:ascii="Wingdings" w:hAnsi="Wingdings"/>
                <w:color w:val="C00000"/>
                <w:sz w:val="18"/>
              </w:rPr>
              <w:t></w:t>
            </w:r>
          </w:p>
        </w:tc>
        <w:tc>
          <w:tcPr>
            <w:tcW w:w="588" w:type="dxa"/>
            <w:tcBorders>
              <w:bottom w:val="single" w:sz="6" w:space="0" w:color="001F5F"/>
            </w:tcBorders>
          </w:tcPr>
          <w:p w:rsidR="00A56FE9" w:rsidRDefault="00000000">
            <w:pPr>
              <w:pStyle w:val="TableParagraph"/>
              <w:spacing w:before="1" w:line="199" w:lineRule="exact"/>
              <w:ind w:left="28"/>
              <w:jc w:val="center"/>
              <w:rPr>
                <w:rFonts w:ascii="Wingdings" w:hAnsi="Wingdings"/>
                <w:sz w:val="18"/>
              </w:rPr>
            </w:pPr>
            <w:r>
              <w:rPr>
                <w:rFonts w:ascii="Wingdings" w:hAnsi="Wingdings"/>
                <w:color w:val="BE8F00"/>
                <w:sz w:val="18"/>
              </w:rPr>
              <w:t></w:t>
            </w:r>
          </w:p>
        </w:tc>
        <w:tc>
          <w:tcPr>
            <w:tcW w:w="607" w:type="dxa"/>
            <w:tcBorders>
              <w:bottom w:val="single" w:sz="6" w:space="0" w:color="001F5F"/>
            </w:tcBorders>
          </w:tcPr>
          <w:p w:rsidR="00A56FE9" w:rsidRDefault="00000000">
            <w:pPr>
              <w:pStyle w:val="TableParagraph"/>
              <w:spacing w:before="1" w:line="199" w:lineRule="exact"/>
              <w:ind w:left="29"/>
              <w:jc w:val="center"/>
              <w:rPr>
                <w:rFonts w:ascii="Wingdings" w:hAnsi="Wingdings"/>
                <w:sz w:val="18"/>
              </w:rPr>
            </w:pPr>
            <w:r>
              <w:rPr>
                <w:rFonts w:ascii="Wingdings" w:hAnsi="Wingdings"/>
                <w:color w:val="BE8F00"/>
                <w:sz w:val="18"/>
              </w:rPr>
              <w:t></w:t>
            </w:r>
          </w:p>
        </w:tc>
        <w:tc>
          <w:tcPr>
            <w:tcW w:w="403" w:type="dxa"/>
            <w:tcBorders>
              <w:bottom w:val="single" w:sz="6" w:space="0" w:color="001F5F"/>
            </w:tcBorders>
          </w:tcPr>
          <w:p w:rsidR="00A56FE9" w:rsidRDefault="00000000">
            <w:pPr>
              <w:pStyle w:val="TableParagraph"/>
              <w:spacing w:before="1" w:line="199" w:lineRule="exact"/>
              <w:ind w:right="111"/>
              <w:jc w:val="right"/>
              <w:rPr>
                <w:rFonts w:ascii="Wingdings" w:hAnsi="Wingdings"/>
                <w:sz w:val="18"/>
              </w:rPr>
            </w:pPr>
            <w:r>
              <w:rPr>
                <w:rFonts w:ascii="Wingdings" w:hAnsi="Wingdings"/>
                <w:color w:val="FFCC00"/>
                <w:sz w:val="18"/>
              </w:rPr>
              <w:t></w:t>
            </w:r>
          </w:p>
        </w:tc>
        <w:tc>
          <w:tcPr>
            <w:tcW w:w="420" w:type="dxa"/>
            <w:tcBorders>
              <w:bottom w:val="single" w:sz="6" w:space="0" w:color="001F5F"/>
            </w:tcBorders>
          </w:tcPr>
          <w:p w:rsidR="00A56FE9" w:rsidRDefault="00A56FE9">
            <w:pPr>
              <w:pStyle w:val="TableParagraph"/>
              <w:rPr>
                <w:sz w:val="14"/>
              </w:rPr>
            </w:pPr>
          </w:p>
        </w:tc>
        <w:tc>
          <w:tcPr>
            <w:tcW w:w="420" w:type="dxa"/>
            <w:tcBorders>
              <w:bottom w:val="single" w:sz="6" w:space="0" w:color="001F5F"/>
            </w:tcBorders>
          </w:tcPr>
          <w:p w:rsidR="00A56FE9" w:rsidRDefault="00000000">
            <w:pPr>
              <w:pStyle w:val="TableParagraph"/>
              <w:spacing w:before="1" w:line="199" w:lineRule="exact"/>
              <w:ind w:left="30"/>
              <w:jc w:val="center"/>
              <w:rPr>
                <w:rFonts w:ascii="Wingdings" w:hAnsi="Wingdings"/>
                <w:sz w:val="18"/>
              </w:rPr>
            </w:pPr>
            <w:r>
              <w:rPr>
                <w:rFonts w:ascii="Wingdings" w:hAnsi="Wingdings"/>
                <w:color w:val="FFCC00"/>
                <w:sz w:val="18"/>
              </w:rPr>
              <w:t></w:t>
            </w:r>
          </w:p>
        </w:tc>
        <w:tc>
          <w:tcPr>
            <w:tcW w:w="984" w:type="dxa"/>
            <w:tcBorders>
              <w:bottom w:val="single" w:sz="6" w:space="0" w:color="001F5F"/>
            </w:tcBorders>
          </w:tcPr>
          <w:p w:rsidR="00A56FE9" w:rsidRDefault="00000000">
            <w:pPr>
              <w:pStyle w:val="TableParagraph"/>
              <w:spacing w:before="1" w:line="199" w:lineRule="exact"/>
              <w:ind w:left="436"/>
              <w:rPr>
                <w:rFonts w:ascii="Wingdings" w:hAnsi="Wingdings"/>
                <w:sz w:val="18"/>
              </w:rPr>
            </w:pPr>
            <w:r>
              <w:rPr>
                <w:rFonts w:ascii="Wingdings" w:hAnsi="Wingdings"/>
                <w:color w:val="6FAC46"/>
                <w:sz w:val="18"/>
              </w:rPr>
              <w:t></w:t>
            </w:r>
          </w:p>
        </w:tc>
        <w:tc>
          <w:tcPr>
            <w:tcW w:w="1047" w:type="dxa"/>
            <w:tcBorders>
              <w:bottom w:val="single" w:sz="6" w:space="0" w:color="001F5F"/>
              <w:right w:val="nil"/>
            </w:tcBorders>
          </w:tcPr>
          <w:p w:rsidR="00A56FE9" w:rsidRDefault="00000000">
            <w:pPr>
              <w:pStyle w:val="TableParagraph"/>
              <w:spacing w:before="1" w:line="199" w:lineRule="exact"/>
              <w:ind w:left="467"/>
              <w:rPr>
                <w:rFonts w:ascii="Wingdings" w:hAnsi="Wingdings"/>
                <w:sz w:val="18"/>
              </w:rPr>
            </w:pPr>
            <w:r>
              <w:rPr>
                <w:rFonts w:ascii="Wingdings" w:hAnsi="Wingdings"/>
                <w:color w:val="585858"/>
                <w:sz w:val="18"/>
              </w:rPr>
              <w:t></w:t>
            </w:r>
          </w:p>
        </w:tc>
      </w:tr>
      <w:tr w:rsidR="00A56FE9">
        <w:trPr>
          <w:trHeight w:val="1259"/>
        </w:trPr>
        <w:tc>
          <w:tcPr>
            <w:tcW w:w="668" w:type="dxa"/>
            <w:vMerge w:val="restart"/>
            <w:tcBorders>
              <w:top w:val="single" w:sz="6" w:space="0" w:color="001F5F"/>
              <w:left w:val="nil"/>
            </w:tcBorders>
            <w:shd w:val="clear" w:color="auto" w:fill="F1F1F1"/>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9"/>
              <w:rPr>
                <w:b/>
              </w:rPr>
            </w:pPr>
          </w:p>
          <w:p w:rsidR="00A56FE9" w:rsidRDefault="00000000">
            <w:pPr>
              <w:pStyle w:val="TableParagraph"/>
              <w:ind w:left="112"/>
              <w:rPr>
                <w:b/>
                <w:sz w:val="18"/>
              </w:rPr>
            </w:pPr>
            <w:r>
              <w:rPr>
                <w:b/>
                <w:sz w:val="18"/>
              </w:rPr>
              <w:t>CSR3</w:t>
            </w:r>
          </w:p>
        </w:tc>
        <w:tc>
          <w:tcPr>
            <w:tcW w:w="3008" w:type="dxa"/>
            <w:tcBorders>
              <w:top w:val="single" w:sz="6" w:space="0" w:color="001F5F"/>
            </w:tcBorders>
            <w:shd w:val="clear" w:color="auto" w:fill="F1F1F1"/>
          </w:tcPr>
          <w:p w:rsidR="00A56FE9" w:rsidRDefault="00000000">
            <w:pPr>
              <w:pStyle w:val="TableParagraph"/>
              <w:ind w:left="107" w:right="237"/>
              <w:rPr>
                <w:sz w:val="18"/>
              </w:rPr>
            </w:pPr>
            <w:r>
              <w:rPr>
                <w:b/>
                <w:sz w:val="18"/>
              </w:rPr>
              <w:t xml:space="preserve">3.1. </w:t>
            </w:r>
            <w:r>
              <w:rPr>
                <w:sz w:val="18"/>
              </w:rPr>
              <w:t>Give priority to the</w:t>
            </w:r>
            <w:r>
              <w:rPr>
                <w:spacing w:val="1"/>
                <w:sz w:val="18"/>
              </w:rPr>
              <w:t xml:space="preserve"> </w:t>
            </w:r>
            <w:r>
              <w:rPr>
                <w:sz w:val="18"/>
              </w:rPr>
              <w:t>implementation and financing of</w:t>
            </w:r>
            <w:r>
              <w:rPr>
                <w:spacing w:val="1"/>
                <w:sz w:val="18"/>
              </w:rPr>
              <w:t xml:space="preserve"> </w:t>
            </w:r>
            <w:r>
              <w:rPr>
                <w:sz w:val="18"/>
              </w:rPr>
              <w:t>already</w:t>
            </w:r>
            <w:r>
              <w:rPr>
                <w:spacing w:val="-6"/>
                <w:sz w:val="18"/>
              </w:rPr>
              <w:t xml:space="preserve"> </w:t>
            </w:r>
            <w:r>
              <w:rPr>
                <w:sz w:val="18"/>
              </w:rPr>
              <w:t>developed</w:t>
            </w:r>
            <w:r>
              <w:rPr>
                <w:spacing w:val="-1"/>
                <w:sz w:val="18"/>
              </w:rPr>
              <w:t xml:space="preserve"> </w:t>
            </w:r>
            <w:r>
              <w:rPr>
                <w:sz w:val="18"/>
              </w:rPr>
              <w:t>public</w:t>
            </w:r>
            <w:r>
              <w:rPr>
                <w:spacing w:val="-4"/>
                <w:sz w:val="18"/>
              </w:rPr>
              <w:t xml:space="preserve"> </w:t>
            </w:r>
            <w:r>
              <w:rPr>
                <w:sz w:val="18"/>
              </w:rPr>
              <w:t>investment</w:t>
            </w:r>
            <w:r>
              <w:rPr>
                <w:spacing w:val="-42"/>
                <w:sz w:val="18"/>
              </w:rPr>
              <w:t xml:space="preserve"> </w:t>
            </w:r>
            <w:r>
              <w:rPr>
                <w:sz w:val="18"/>
              </w:rPr>
              <w:t>projects and promote private</w:t>
            </w:r>
            <w:r>
              <w:rPr>
                <w:spacing w:val="1"/>
                <w:sz w:val="18"/>
              </w:rPr>
              <w:t xml:space="preserve"> </w:t>
            </w:r>
            <w:r>
              <w:rPr>
                <w:sz w:val="18"/>
              </w:rPr>
              <w:t>investment to support economic</w:t>
            </w:r>
            <w:r>
              <w:rPr>
                <w:spacing w:val="1"/>
                <w:sz w:val="18"/>
              </w:rPr>
              <w:t xml:space="preserve"> </w:t>
            </w:r>
            <w:r>
              <w:rPr>
                <w:sz w:val="18"/>
              </w:rPr>
              <w:t>recovery</w:t>
            </w:r>
          </w:p>
        </w:tc>
        <w:tc>
          <w:tcPr>
            <w:tcW w:w="415" w:type="dxa"/>
            <w:tcBorders>
              <w:top w:val="single" w:sz="6" w:space="0" w:color="001F5F"/>
            </w:tcBorders>
          </w:tcPr>
          <w:p w:rsidR="00A56FE9" w:rsidRDefault="00A56FE9">
            <w:pPr>
              <w:pStyle w:val="TableParagraph"/>
              <w:rPr>
                <w:b/>
                <w:sz w:val="20"/>
              </w:rPr>
            </w:pPr>
          </w:p>
          <w:p w:rsidR="00A56FE9" w:rsidRDefault="00A56FE9">
            <w:pPr>
              <w:pStyle w:val="TableParagraph"/>
              <w:spacing w:before="4"/>
              <w:rPr>
                <w:b/>
                <w:sz w:val="25"/>
              </w:rPr>
            </w:pPr>
          </w:p>
          <w:p w:rsidR="00A56FE9" w:rsidRDefault="00000000">
            <w:pPr>
              <w:pStyle w:val="TableParagraph"/>
              <w:ind w:left="138"/>
              <w:rPr>
                <w:rFonts w:ascii="Wingdings" w:hAnsi="Wingdings"/>
                <w:sz w:val="18"/>
              </w:rPr>
            </w:pPr>
            <w:r>
              <w:rPr>
                <w:rFonts w:ascii="Wingdings" w:hAnsi="Wingdings"/>
                <w:color w:val="006FC0"/>
                <w:sz w:val="18"/>
              </w:rPr>
              <w:t></w:t>
            </w:r>
          </w:p>
        </w:tc>
        <w:tc>
          <w:tcPr>
            <w:tcW w:w="391" w:type="dxa"/>
            <w:tcBorders>
              <w:top w:val="single" w:sz="6" w:space="0" w:color="001F5F"/>
            </w:tcBorders>
          </w:tcPr>
          <w:p w:rsidR="00A56FE9" w:rsidRDefault="00A56FE9">
            <w:pPr>
              <w:pStyle w:val="TableParagraph"/>
              <w:rPr>
                <w:sz w:val="18"/>
              </w:rPr>
            </w:pPr>
          </w:p>
        </w:tc>
        <w:tc>
          <w:tcPr>
            <w:tcW w:w="350" w:type="dxa"/>
            <w:tcBorders>
              <w:top w:val="single" w:sz="6" w:space="0" w:color="001F5F"/>
            </w:tcBorders>
          </w:tcPr>
          <w:p w:rsidR="00A56FE9" w:rsidRDefault="00A56FE9">
            <w:pPr>
              <w:pStyle w:val="TableParagraph"/>
              <w:rPr>
                <w:sz w:val="18"/>
              </w:rPr>
            </w:pPr>
          </w:p>
        </w:tc>
        <w:tc>
          <w:tcPr>
            <w:tcW w:w="381" w:type="dxa"/>
            <w:tcBorders>
              <w:top w:val="single" w:sz="6" w:space="0" w:color="001F5F"/>
            </w:tcBorders>
          </w:tcPr>
          <w:p w:rsidR="00A56FE9" w:rsidRDefault="00A56FE9">
            <w:pPr>
              <w:pStyle w:val="TableParagraph"/>
              <w:rPr>
                <w:sz w:val="18"/>
              </w:rPr>
            </w:pPr>
          </w:p>
        </w:tc>
        <w:tc>
          <w:tcPr>
            <w:tcW w:w="381" w:type="dxa"/>
            <w:tcBorders>
              <w:top w:val="single" w:sz="6" w:space="0" w:color="001F5F"/>
            </w:tcBorders>
          </w:tcPr>
          <w:p w:rsidR="00A56FE9" w:rsidRDefault="00A56FE9">
            <w:pPr>
              <w:pStyle w:val="TableParagraph"/>
              <w:rPr>
                <w:b/>
                <w:sz w:val="20"/>
              </w:rPr>
            </w:pPr>
          </w:p>
          <w:p w:rsidR="00A56FE9" w:rsidRDefault="00A56FE9">
            <w:pPr>
              <w:pStyle w:val="TableParagraph"/>
              <w:spacing w:before="4"/>
              <w:rPr>
                <w:b/>
                <w:sz w:val="25"/>
              </w:rPr>
            </w:pPr>
          </w:p>
          <w:p w:rsidR="00A56FE9" w:rsidRDefault="00000000">
            <w:pPr>
              <w:pStyle w:val="TableParagraph"/>
              <w:ind w:left="14"/>
              <w:jc w:val="center"/>
              <w:rPr>
                <w:rFonts w:ascii="Wingdings" w:hAnsi="Wingdings"/>
                <w:sz w:val="18"/>
              </w:rPr>
            </w:pPr>
            <w:r>
              <w:rPr>
                <w:rFonts w:ascii="Wingdings" w:hAnsi="Wingdings"/>
                <w:color w:val="006FC0"/>
                <w:sz w:val="18"/>
              </w:rPr>
              <w:t></w:t>
            </w:r>
          </w:p>
        </w:tc>
        <w:tc>
          <w:tcPr>
            <w:tcW w:w="388" w:type="dxa"/>
            <w:tcBorders>
              <w:top w:val="single" w:sz="6" w:space="0" w:color="001F5F"/>
            </w:tcBorders>
          </w:tcPr>
          <w:p w:rsidR="00A56FE9" w:rsidRDefault="00A56FE9">
            <w:pPr>
              <w:pStyle w:val="TableParagraph"/>
              <w:rPr>
                <w:b/>
                <w:sz w:val="20"/>
              </w:rPr>
            </w:pPr>
          </w:p>
          <w:p w:rsidR="00A56FE9" w:rsidRDefault="00A56FE9">
            <w:pPr>
              <w:pStyle w:val="TableParagraph"/>
              <w:spacing w:before="4"/>
              <w:rPr>
                <w:b/>
                <w:sz w:val="25"/>
              </w:rPr>
            </w:pPr>
          </w:p>
          <w:p w:rsidR="00A56FE9" w:rsidRDefault="00000000">
            <w:pPr>
              <w:pStyle w:val="TableParagraph"/>
              <w:ind w:right="113"/>
              <w:jc w:val="right"/>
              <w:rPr>
                <w:rFonts w:ascii="Wingdings" w:hAnsi="Wingdings"/>
                <w:sz w:val="18"/>
              </w:rPr>
            </w:pPr>
            <w:r>
              <w:rPr>
                <w:rFonts w:ascii="Wingdings" w:hAnsi="Wingdings"/>
                <w:color w:val="006FC0"/>
                <w:sz w:val="18"/>
              </w:rPr>
              <w:t></w:t>
            </w:r>
          </w:p>
        </w:tc>
        <w:tc>
          <w:tcPr>
            <w:tcW w:w="398" w:type="dxa"/>
            <w:tcBorders>
              <w:top w:val="single" w:sz="6" w:space="0" w:color="001F5F"/>
            </w:tcBorders>
          </w:tcPr>
          <w:p w:rsidR="00A56FE9" w:rsidRDefault="00A56FE9">
            <w:pPr>
              <w:pStyle w:val="TableParagraph"/>
              <w:rPr>
                <w:b/>
                <w:sz w:val="20"/>
              </w:rPr>
            </w:pPr>
          </w:p>
          <w:p w:rsidR="00A56FE9" w:rsidRDefault="00A56FE9">
            <w:pPr>
              <w:pStyle w:val="TableParagraph"/>
              <w:spacing w:before="4"/>
              <w:rPr>
                <w:b/>
                <w:sz w:val="25"/>
              </w:rPr>
            </w:pPr>
          </w:p>
          <w:p w:rsidR="00A56FE9" w:rsidRDefault="00000000">
            <w:pPr>
              <w:pStyle w:val="TableParagraph"/>
              <w:ind w:right="120"/>
              <w:jc w:val="right"/>
              <w:rPr>
                <w:rFonts w:ascii="Wingdings" w:hAnsi="Wingdings"/>
                <w:sz w:val="18"/>
              </w:rPr>
            </w:pPr>
            <w:r>
              <w:rPr>
                <w:rFonts w:ascii="Wingdings" w:hAnsi="Wingdings"/>
                <w:color w:val="C00000"/>
                <w:sz w:val="18"/>
              </w:rPr>
              <w:t></w:t>
            </w:r>
          </w:p>
        </w:tc>
        <w:tc>
          <w:tcPr>
            <w:tcW w:w="398" w:type="dxa"/>
            <w:tcBorders>
              <w:top w:val="single" w:sz="6" w:space="0" w:color="001F5F"/>
            </w:tcBorders>
          </w:tcPr>
          <w:p w:rsidR="00A56FE9" w:rsidRDefault="00A56FE9">
            <w:pPr>
              <w:pStyle w:val="TableParagraph"/>
              <w:rPr>
                <w:sz w:val="18"/>
              </w:rPr>
            </w:pPr>
          </w:p>
        </w:tc>
        <w:tc>
          <w:tcPr>
            <w:tcW w:w="395" w:type="dxa"/>
            <w:tcBorders>
              <w:top w:val="single" w:sz="6" w:space="0" w:color="001F5F"/>
            </w:tcBorders>
          </w:tcPr>
          <w:p w:rsidR="00A56FE9" w:rsidRDefault="00A56FE9">
            <w:pPr>
              <w:pStyle w:val="TableParagraph"/>
              <w:rPr>
                <w:sz w:val="18"/>
              </w:rPr>
            </w:pPr>
          </w:p>
        </w:tc>
        <w:tc>
          <w:tcPr>
            <w:tcW w:w="383" w:type="dxa"/>
            <w:tcBorders>
              <w:top w:val="single" w:sz="6" w:space="0" w:color="001F5F"/>
            </w:tcBorders>
          </w:tcPr>
          <w:p w:rsidR="00A56FE9" w:rsidRDefault="00A56FE9">
            <w:pPr>
              <w:pStyle w:val="TableParagraph"/>
              <w:rPr>
                <w:sz w:val="18"/>
              </w:rPr>
            </w:pPr>
          </w:p>
        </w:tc>
        <w:tc>
          <w:tcPr>
            <w:tcW w:w="395" w:type="dxa"/>
            <w:tcBorders>
              <w:top w:val="single" w:sz="6" w:space="0" w:color="001F5F"/>
            </w:tcBorders>
          </w:tcPr>
          <w:p w:rsidR="00A56FE9" w:rsidRDefault="00A56FE9">
            <w:pPr>
              <w:pStyle w:val="TableParagraph"/>
              <w:rPr>
                <w:sz w:val="18"/>
              </w:rPr>
            </w:pPr>
          </w:p>
        </w:tc>
        <w:tc>
          <w:tcPr>
            <w:tcW w:w="397" w:type="dxa"/>
            <w:tcBorders>
              <w:top w:val="single" w:sz="6" w:space="0" w:color="001F5F"/>
            </w:tcBorders>
          </w:tcPr>
          <w:p w:rsidR="00A56FE9" w:rsidRDefault="00A56FE9">
            <w:pPr>
              <w:pStyle w:val="TableParagraph"/>
              <w:rPr>
                <w:sz w:val="18"/>
              </w:rPr>
            </w:pPr>
          </w:p>
        </w:tc>
        <w:tc>
          <w:tcPr>
            <w:tcW w:w="395" w:type="dxa"/>
            <w:tcBorders>
              <w:top w:val="single" w:sz="6" w:space="0" w:color="001F5F"/>
            </w:tcBorders>
          </w:tcPr>
          <w:p w:rsidR="00A56FE9" w:rsidRDefault="00A56FE9">
            <w:pPr>
              <w:pStyle w:val="TableParagraph"/>
              <w:rPr>
                <w:sz w:val="18"/>
              </w:rPr>
            </w:pPr>
          </w:p>
        </w:tc>
        <w:tc>
          <w:tcPr>
            <w:tcW w:w="376" w:type="dxa"/>
            <w:tcBorders>
              <w:top w:val="single" w:sz="6" w:space="0" w:color="001F5F"/>
            </w:tcBorders>
          </w:tcPr>
          <w:p w:rsidR="00A56FE9" w:rsidRDefault="00A56FE9">
            <w:pPr>
              <w:pStyle w:val="TableParagraph"/>
              <w:rPr>
                <w:sz w:val="18"/>
              </w:rPr>
            </w:pPr>
          </w:p>
        </w:tc>
        <w:tc>
          <w:tcPr>
            <w:tcW w:w="395" w:type="dxa"/>
            <w:tcBorders>
              <w:top w:val="single" w:sz="6" w:space="0" w:color="001F5F"/>
            </w:tcBorders>
          </w:tcPr>
          <w:p w:rsidR="00A56FE9" w:rsidRDefault="00A56FE9">
            <w:pPr>
              <w:pStyle w:val="TableParagraph"/>
              <w:rPr>
                <w:sz w:val="18"/>
              </w:rPr>
            </w:pPr>
          </w:p>
        </w:tc>
        <w:tc>
          <w:tcPr>
            <w:tcW w:w="588" w:type="dxa"/>
            <w:tcBorders>
              <w:top w:val="single" w:sz="6" w:space="0" w:color="001F5F"/>
            </w:tcBorders>
          </w:tcPr>
          <w:p w:rsidR="00A56FE9" w:rsidRDefault="00A56FE9">
            <w:pPr>
              <w:pStyle w:val="TableParagraph"/>
              <w:rPr>
                <w:sz w:val="18"/>
              </w:rPr>
            </w:pPr>
          </w:p>
        </w:tc>
        <w:tc>
          <w:tcPr>
            <w:tcW w:w="607" w:type="dxa"/>
            <w:tcBorders>
              <w:top w:val="single" w:sz="6" w:space="0" w:color="001F5F"/>
            </w:tcBorders>
          </w:tcPr>
          <w:p w:rsidR="00A56FE9" w:rsidRDefault="00A56FE9">
            <w:pPr>
              <w:pStyle w:val="TableParagraph"/>
              <w:rPr>
                <w:sz w:val="18"/>
              </w:rPr>
            </w:pPr>
          </w:p>
        </w:tc>
        <w:tc>
          <w:tcPr>
            <w:tcW w:w="403" w:type="dxa"/>
            <w:tcBorders>
              <w:top w:val="single" w:sz="6" w:space="0" w:color="001F5F"/>
            </w:tcBorders>
          </w:tcPr>
          <w:p w:rsidR="00A56FE9" w:rsidRDefault="00A56FE9">
            <w:pPr>
              <w:pStyle w:val="TableParagraph"/>
              <w:rPr>
                <w:sz w:val="18"/>
              </w:rPr>
            </w:pPr>
          </w:p>
        </w:tc>
        <w:tc>
          <w:tcPr>
            <w:tcW w:w="420" w:type="dxa"/>
            <w:tcBorders>
              <w:top w:val="single" w:sz="6" w:space="0" w:color="001F5F"/>
            </w:tcBorders>
          </w:tcPr>
          <w:p w:rsidR="00A56FE9" w:rsidRDefault="00A56FE9">
            <w:pPr>
              <w:pStyle w:val="TableParagraph"/>
              <w:rPr>
                <w:sz w:val="18"/>
              </w:rPr>
            </w:pPr>
          </w:p>
        </w:tc>
        <w:tc>
          <w:tcPr>
            <w:tcW w:w="420" w:type="dxa"/>
            <w:tcBorders>
              <w:top w:val="single" w:sz="6" w:space="0" w:color="001F5F"/>
            </w:tcBorders>
          </w:tcPr>
          <w:p w:rsidR="00A56FE9" w:rsidRDefault="00A56FE9">
            <w:pPr>
              <w:pStyle w:val="TableParagraph"/>
              <w:rPr>
                <w:sz w:val="18"/>
              </w:rPr>
            </w:pPr>
          </w:p>
        </w:tc>
        <w:tc>
          <w:tcPr>
            <w:tcW w:w="984" w:type="dxa"/>
            <w:tcBorders>
              <w:top w:val="single" w:sz="6" w:space="0" w:color="001F5F"/>
            </w:tcBorders>
          </w:tcPr>
          <w:p w:rsidR="00A56FE9" w:rsidRDefault="00A56FE9">
            <w:pPr>
              <w:pStyle w:val="TableParagraph"/>
              <w:rPr>
                <w:sz w:val="18"/>
              </w:rPr>
            </w:pPr>
          </w:p>
        </w:tc>
        <w:tc>
          <w:tcPr>
            <w:tcW w:w="1047" w:type="dxa"/>
            <w:tcBorders>
              <w:top w:val="single" w:sz="6" w:space="0" w:color="001F5F"/>
              <w:right w:val="nil"/>
            </w:tcBorders>
          </w:tcPr>
          <w:p w:rsidR="00A56FE9" w:rsidRDefault="00A56FE9">
            <w:pPr>
              <w:pStyle w:val="TableParagraph"/>
              <w:rPr>
                <w:sz w:val="18"/>
              </w:rPr>
            </w:pPr>
          </w:p>
        </w:tc>
      </w:tr>
      <w:tr w:rsidR="00A56FE9">
        <w:trPr>
          <w:trHeight w:val="640"/>
        </w:trPr>
        <w:tc>
          <w:tcPr>
            <w:tcW w:w="668" w:type="dxa"/>
            <w:vMerge/>
            <w:tcBorders>
              <w:top w:val="nil"/>
              <w:left w:val="nil"/>
            </w:tcBorders>
            <w:shd w:val="clear" w:color="auto" w:fill="F1F1F1"/>
          </w:tcPr>
          <w:p w:rsidR="00A56FE9" w:rsidRDefault="00A56FE9">
            <w:pPr>
              <w:rPr>
                <w:sz w:val="2"/>
                <w:szCs w:val="2"/>
              </w:rPr>
            </w:pPr>
          </w:p>
        </w:tc>
        <w:tc>
          <w:tcPr>
            <w:tcW w:w="3008" w:type="dxa"/>
            <w:shd w:val="clear" w:color="auto" w:fill="F1F1F1"/>
          </w:tcPr>
          <w:p w:rsidR="00A56FE9" w:rsidRDefault="00000000">
            <w:pPr>
              <w:pStyle w:val="TableParagraph"/>
              <w:spacing w:line="242" w:lineRule="auto"/>
              <w:ind w:left="107" w:right="174"/>
              <w:rPr>
                <w:sz w:val="18"/>
              </w:rPr>
            </w:pPr>
            <w:r>
              <w:rPr>
                <w:b/>
                <w:sz w:val="18"/>
              </w:rPr>
              <w:t>3.2.</w:t>
            </w:r>
            <w:r>
              <w:rPr>
                <w:b/>
                <w:spacing w:val="-4"/>
                <w:sz w:val="18"/>
              </w:rPr>
              <w:t xml:space="preserve"> </w:t>
            </w:r>
            <w:r>
              <w:rPr>
                <w:sz w:val="18"/>
              </w:rPr>
              <w:t>Further</w:t>
            </w:r>
            <w:r>
              <w:rPr>
                <w:spacing w:val="-2"/>
                <w:sz w:val="18"/>
              </w:rPr>
              <w:t xml:space="preserve"> </w:t>
            </w:r>
            <w:r>
              <w:rPr>
                <w:sz w:val="18"/>
              </w:rPr>
              <w:t>reduce</w:t>
            </w:r>
            <w:r>
              <w:rPr>
                <w:spacing w:val="-4"/>
                <w:sz w:val="18"/>
              </w:rPr>
              <w:t xml:space="preserve"> </w:t>
            </w:r>
            <w:r>
              <w:rPr>
                <w:sz w:val="18"/>
              </w:rPr>
              <w:t>parafiscal</w:t>
            </w:r>
            <w:r>
              <w:rPr>
                <w:spacing w:val="-2"/>
                <w:sz w:val="18"/>
              </w:rPr>
              <w:t xml:space="preserve"> </w:t>
            </w:r>
            <w:r>
              <w:rPr>
                <w:sz w:val="18"/>
              </w:rPr>
              <w:t>charges</w:t>
            </w:r>
            <w:r>
              <w:rPr>
                <w:spacing w:val="-42"/>
                <w:sz w:val="18"/>
              </w:rPr>
              <w:t xml:space="preserve"> </w:t>
            </w:r>
            <w:r>
              <w:rPr>
                <w:sz w:val="18"/>
              </w:rPr>
              <w:t>and</w:t>
            </w:r>
            <w:r>
              <w:rPr>
                <w:spacing w:val="-2"/>
                <w:sz w:val="18"/>
              </w:rPr>
              <w:t xml:space="preserve"> </w:t>
            </w:r>
            <w:r>
              <w:rPr>
                <w:sz w:val="18"/>
              </w:rPr>
              <w:t>restrictions</w:t>
            </w:r>
            <w:r>
              <w:rPr>
                <w:spacing w:val="-3"/>
                <w:sz w:val="18"/>
              </w:rPr>
              <w:t xml:space="preserve"> </w:t>
            </w:r>
            <w:r>
              <w:rPr>
                <w:sz w:val="18"/>
              </w:rPr>
              <w:t>in</w:t>
            </w:r>
            <w:r>
              <w:rPr>
                <w:spacing w:val="-1"/>
                <w:sz w:val="18"/>
              </w:rPr>
              <w:t xml:space="preserve"> </w:t>
            </w:r>
            <w:r>
              <w:rPr>
                <w:sz w:val="18"/>
              </w:rPr>
              <w:t>goods</w:t>
            </w:r>
            <w:r>
              <w:rPr>
                <w:spacing w:val="-3"/>
                <w:sz w:val="18"/>
              </w:rPr>
              <w:t xml:space="preserve"> </w:t>
            </w:r>
            <w:r>
              <w:rPr>
                <w:sz w:val="18"/>
              </w:rPr>
              <w:t>and</w:t>
            </w:r>
            <w:r>
              <w:rPr>
                <w:spacing w:val="-1"/>
                <w:sz w:val="18"/>
              </w:rPr>
              <w:t xml:space="preserve"> </w:t>
            </w:r>
            <w:r>
              <w:rPr>
                <w:sz w:val="18"/>
              </w:rPr>
              <w:t>services</w:t>
            </w:r>
          </w:p>
          <w:p w:rsidR="00A56FE9" w:rsidRDefault="00000000">
            <w:pPr>
              <w:pStyle w:val="TableParagraph"/>
              <w:spacing w:line="206" w:lineRule="exact"/>
              <w:ind w:left="107"/>
              <w:rPr>
                <w:sz w:val="18"/>
              </w:rPr>
            </w:pPr>
            <w:r>
              <w:rPr>
                <w:sz w:val="18"/>
              </w:rPr>
              <w:t>market</w:t>
            </w:r>
            <w:r>
              <w:rPr>
                <w:spacing w:val="-2"/>
                <w:sz w:val="18"/>
              </w:rPr>
              <w:t xml:space="preserve"> </w:t>
            </w:r>
            <w:r>
              <w:rPr>
                <w:sz w:val="18"/>
              </w:rPr>
              <w:t>regulation.</w:t>
            </w:r>
          </w:p>
        </w:tc>
        <w:tc>
          <w:tcPr>
            <w:tcW w:w="415" w:type="dxa"/>
          </w:tcPr>
          <w:p w:rsidR="00A56FE9" w:rsidRDefault="00A56FE9">
            <w:pPr>
              <w:pStyle w:val="TableParagraph"/>
              <w:spacing w:before="5"/>
              <w:rPr>
                <w:b/>
                <w:sz w:val="18"/>
              </w:rPr>
            </w:pPr>
          </w:p>
          <w:p w:rsidR="00A56FE9" w:rsidRDefault="00000000">
            <w:pPr>
              <w:pStyle w:val="TableParagraph"/>
              <w:ind w:left="138"/>
              <w:rPr>
                <w:rFonts w:ascii="Wingdings" w:hAnsi="Wingdings"/>
                <w:sz w:val="18"/>
              </w:rPr>
            </w:pPr>
            <w:r>
              <w:rPr>
                <w:rFonts w:ascii="Wingdings" w:hAnsi="Wingdings"/>
                <w:color w:val="006FC0"/>
                <w:sz w:val="18"/>
              </w:rPr>
              <w:t></w:t>
            </w:r>
          </w:p>
        </w:tc>
        <w:tc>
          <w:tcPr>
            <w:tcW w:w="391" w:type="dxa"/>
          </w:tcPr>
          <w:p w:rsidR="00A56FE9" w:rsidRDefault="00A56FE9">
            <w:pPr>
              <w:pStyle w:val="TableParagraph"/>
              <w:rPr>
                <w:sz w:val="18"/>
              </w:rPr>
            </w:pPr>
          </w:p>
        </w:tc>
        <w:tc>
          <w:tcPr>
            <w:tcW w:w="350"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83"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97"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76" w:type="dxa"/>
          </w:tcPr>
          <w:p w:rsidR="00A56FE9" w:rsidRDefault="00A56FE9">
            <w:pPr>
              <w:pStyle w:val="TableParagraph"/>
              <w:rPr>
                <w:sz w:val="18"/>
              </w:rPr>
            </w:pPr>
          </w:p>
        </w:tc>
        <w:tc>
          <w:tcPr>
            <w:tcW w:w="395" w:type="dxa"/>
          </w:tcPr>
          <w:p w:rsidR="00A56FE9" w:rsidRDefault="00A56FE9">
            <w:pPr>
              <w:pStyle w:val="TableParagraph"/>
              <w:rPr>
                <w:sz w:val="18"/>
              </w:rPr>
            </w:pPr>
          </w:p>
        </w:tc>
        <w:tc>
          <w:tcPr>
            <w:tcW w:w="588" w:type="dxa"/>
          </w:tcPr>
          <w:p w:rsidR="00A56FE9" w:rsidRDefault="00A56FE9">
            <w:pPr>
              <w:pStyle w:val="TableParagraph"/>
              <w:rPr>
                <w:sz w:val="18"/>
              </w:rPr>
            </w:pPr>
          </w:p>
        </w:tc>
        <w:tc>
          <w:tcPr>
            <w:tcW w:w="607" w:type="dxa"/>
          </w:tcPr>
          <w:p w:rsidR="00A56FE9" w:rsidRDefault="00A56FE9">
            <w:pPr>
              <w:pStyle w:val="TableParagraph"/>
              <w:rPr>
                <w:sz w:val="18"/>
              </w:rPr>
            </w:pPr>
          </w:p>
        </w:tc>
        <w:tc>
          <w:tcPr>
            <w:tcW w:w="40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2092"/>
        </w:trPr>
        <w:tc>
          <w:tcPr>
            <w:tcW w:w="668" w:type="dxa"/>
            <w:vMerge/>
            <w:tcBorders>
              <w:top w:val="nil"/>
              <w:left w:val="nil"/>
            </w:tcBorders>
            <w:shd w:val="clear" w:color="auto" w:fill="F1F1F1"/>
          </w:tcPr>
          <w:p w:rsidR="00A56FE9" w:rsidRDefault="00A56FE9">
            <w:pPr>
              <w:rPr>
                <w:sz w:val="2"/>
                <w:szCs w:val="2"/>
              </w:rPr>
            </w:pPr>
          </w:p>
        </w:tc>
        <w:tc>
          <w:tcPr>
            <w:tcW w:w="3008" w:type="dxa"/>
            <w:shd w:val="clear" w:color="auto" w:fill="F1F1F1"/>
          </w:tcPr>
          <w:p w:rsidR="00A56FE9" w:rsidRDefault="00000000">
            <w:pPr>
              <w:pStyle w:val="TableParagraph"/>
              <w:ind w:left="107" w:right="162"/>
              <w:rPr>
                <w:sz w:val="18"/>
              </w:rPr>
            </w:pPr>
            <w:r>
              <w:rPr>
                <w:b/>
                <w:sz w:val="18"/>
              </w:rPr>
              <w:t xml:space="preserve">3.3. </w:t>
            </w:r>
            <w:r>
              <w:rPr>
                <w:sz w:val="18"/>
              </w:rPr>
              <w:t>Front-load mature public</w:t>
            </w:r>
            <w:r>
              <w:rPr>
                <w:spacing w:val="1"/>
                <w:sz w:val="18"/>
              </w:rPr>
              <w:t xml:space="preserve"> </w:t>
            </w:r>
            <w:r>
              <w:rPr>
                <w:sz w:val="18"/>
              </w:rPr>
              <w:t>investment projects and promote</w:t>
            </w:r>
            <w:r>
              <w:rPr>
                <w:spacing w:val="1"/>
                <w:sz w:val="18"/>
              </w:rPr>
              <w:t xml:space="preserve"> </w:t>
            </w:r>
            <w:r>
              <w:rPr>
                <w:sz w:val="18"/>
              </w:rPr>
              <w:t>private investment to foster the</w:t>
            </w:r>
            <w:r>
              <w:rPr>
                <w:spacing w:val="1"/>
                <w:sz w:val="18"/>
              </w:rPr>
              <w:t xml:space="preserve"> </w:t>
            </w:r>
            <w:r>
              <w:rPr>
                <w:sz w:val="18"/>
              </w:rPr>
              <w:t>economic</w:t>
            </w:r>
            <w:r>
              <w:rPr>
                <w:spacing w:val="-4"/>
                <w:sz w:val="18"/>
              </w:rPr>
              <w:t xml:space="preserve"> </w:t>
            </w:r>
            <w:r>
              <w:rPr>
                <w:sz w:val="18"/>
              </w:rPr>
              <w:t>recovery.</w:t>
            </w:r>
            <w:r>
              <w:rPr>
                <w:spacing w:val="-3"/>
                <w:sz w:val="18"/>
              </w:rPr>
              <w:t xml:space="preserve"> </w:t>
            </w:r>
            <w:r>
              <w:rPr>
                <w:sz w:val="18"/>
              </w:rPr>
              <w:t>Focus</w:t>
            </w:r>
            <w:r>
              <w:rPr>
                <w:spacing w:val="-4"/>
                <w:sz w:val="18"/>
              </w:rPr>
              <w:t xml:space="preserve"> </w:t>
            </w:r>
            <w:r>
              <w:rPr>
                <w:sz w:val="18"/>
              </w:rPr>
              <w:t>investment</w:t>
            </w:r>
            <w:r>
              <w:rPr>
                <w:spacing w:val="-42"/>
                <w:sz w:val="18"/>
              </w:rPr>
              <w:t xml:space="preserve"> </w:t>
            </w:r>
            <w:r>
              <w:rPr>
                <w:sz w:val="18"/>
              </w:rPr>
              <w:t>on the green and digital transition, in</w:t>
            </w:r>
            <w:r>
              <w:rPr>
                <w:spacing w:val="1"/>
                <w:sz w:val="18"/>
              </w:rPr>
              <w:t xml:space="preserve"> </w:t>
            </w:r>
            <w:r>
              <w:rPr>
                <w:sz w:val="18"/>
              </w:rPr>
              <w:t>particular</w:t>
            </w:r>
            <w:r>
              <w:rPr>
                <w:spacing w:val="-1"/>
                <w:sz w:val="18"/>
              </w:rPr>
              <w:t xml:space="preserve"> </w:t>
            </w:r>
            <w:r>
              <w:rPr>
                <w:sz w:val="18"/>
              </w:rPr>
              <w:t>on</w:t>
            </w:r>
            <w:r>
              <w:rPr>
                <w:spacing w:val="1"/>
                <w:sz w:val="18"/>
              </w:rPr>
              <w:t xml:space="preserve"> </w:t>
            </w:r>
            <w:r>
              <w:rPr>
                <w:sz w:val="18"/>
              </w:rPr>
              <w:t>environmental</w:t>
            </w:r>
            <w:r>
              <w:rPr>
                <w:spacing w:val="1"/>
                <w:sz w:val="18"/>
              </w:rPr>
              <w:t xml:space="preserve"> </w:t>
            </w:r>
            <w:r>
              <w:rPr>
                <w:sz w:val="18"/>
              </w:rPr>
              <w:t>infrastructure, sustainable urban and</w:t>
            </w:r>
            <w:r>
              <w:rPr>
                <w:spacing w:val="1"/>
                <w:sz w:val="18"/>
              </w:rPr>
              <w:t xml:space="preserve"> </w:t>
            </w:r>
            <w:r>
              <w:rPr>
                <w:sz w:val="18"/>
              </w:rPr>
              <w:t>rail transport, clean and efficient</w:t>
            </w:r>
            <w:r>
              <w:rPr>
                <w:spacing w:val="1"/>
                <w:sz w:val="18"/>
              </w:rPr>
              <w:t xml:space="preserve"> </w:t>
            </w:r>
            <w:r>
              <w:rPr>
                <w:sz w:val="18"/>
              </w:rPr>
              <w:t>production and use of energy and</w:t>
            </w:r>
            <w:r>
              <w:rPr>
                <w:spacing w:val="1"/>
                <w:sz w:val="18"/>
              </w:rPr>
              <w:t xml:space="preserve"> </w:t>
            </w:r>
            <w:r>
              <w:rPr>
                <w:sz w:val="18"/>
              </w:rPr>
              <w:t>high-speed</w:t>
            </w:r>
            <w:r>
              <w:rPr>
                <w:spacing w:val="-2"/>
                <w:sz w:val="18"/>
              </w:rPr>
              <w:t xml:space="preserve"> </w:t>
            </w:r>
            <w:r>
              <w:rPr>
                <w:sz w:val="18"/>
              </w:rPr>
              <w:t>broadband.</w:t>
            </w:r>
          </w:p>
        </w:tc>
        <w:tc>
          <w:tcPr>
            <w:tcW w:w="415" w:type="dxa"/>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6"/>
              <w:rPr>
                <w:b/>
                <w:sz w:val="21"/>
              </w:rPr>
            </w:pPr>
          </w:p>
          <w:p w:rsidR="00A56FE9" w:rsidRDefault="00000000">
            <w:pPr>
              <w:pStyle w:val="TableParagraph"/>
              <w:ind w:left="138"/>
              <w:rPr>
                <w:rFonts w:ascii="Wingdings" w:hAnsi="Wingdings"/>
                <w:sz w:val="18"/>
              </w:rPr>
            </w:pPr>
            <w:r>
              <w:rPr>
                <w:rFonts w:ascii="Wingdings" w:hAnsi="Wingdings"/>
                <w:color w:val="006FC0"/>
                <w:sz w:val="18"/>
              </w:rPr>
              <w:t></w:t>
            </w:r>
          </w:p>
        </w:tc>
        <w:tc>
          <w:tcPr>
            <w:tcW w:w="391" w:type="dxa"/>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6"/>
              <w:rPr>
                <w:b/>
                <w:sz w:val="21"/>
              </w:rPr>
            </w:pPr>
          </w:p>
          <w:p w:rsidR="00A56FE9" w:rsidRDefault="00000000">
            <w:pPr>
              <w:pStyle w:val="TableParagraph"/>
              <w:ind w:left="6"/>
              <w:jc w:val="center"/>
              <w:rPr>
                <w:rFonts w:ascii="Wingdings" w:hAnsi="Wingdings"/>
                <w:sz w:val="18"/>
              </w:rPr>
            </w:pPr>
            <w:r>
              <w:rPr>
                <w:rFonts w:ascii="Wingdings" w:hAnsi="Wingdings"/>
                <w:color w:val="006FC0"/>
                <w:sz w:val="18"/>
              </w:rPr>
              <w:t></w:t>
            </w:r>
          </w:p>
        </w:tc>
        <w:tc>
          <w:tcPr>
            <w:tcW w:w="350" w:type="dxa"/>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6"/>
              <w:rPr>
                <w:b/>
                <w:sz w:val="21"/>
              </w:rPr>
            </w:pPr>
          </w:p>
          <w:p w:rsidR="00A56FE9" w:rsidRDefault="00000000">
            <w:pPr>
              <w:pStyle w:val="TableParagraph"/>
              <w:ind w:left="9"/>
              <w:jc w:val="center"/>
              <w:rPr>
                <w:rFonts w:ascii="Wingdings" w:hAnsi="Wingdings"/>
                <w:sz w:val="18"/>
              </w:rPr>
            </w:pPr>
            <w:r>
              <w:rPr>
                <w:rFonts w:ascii="Wingdings" w:hAnsi="Wingdings"/>
                <w:color w:val="006FC0"/>
                <w:sz w:val="18"/>
              </w:rPr>
              <w:t></w:t>
            </w:r>
          </w:p>
        </w:tc>
        <w:tc>
          <w:tcPr>
            <w:tcW w:w="381" w:type="dxa"/>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6"/>
              <w:rPr>
                <w:b/>
                <w:sz w:val="21"/>
              </w:rPr>
            </w:pPr>
          </w:p>
          <w:p w:rsidR="00A56FE9" w:rsidRDefault="00000000">
            <w:pPr>
              <w:pStyle w:val="TableParagraph"/>
              <w:ind w:left="8"/>
              <w:jc w:val="center"/>
              <w:rPr>
                <w:rFonts w:ascii="Wingdings" w:hAnsi="Wingdings"/>
                <w:sz w:val="18"/>
              </w:rPr>
            </w:pPr>
            <w:r>
              <w:rPr>
                <w:rFonts w:ascii="Wingdings" w:hAnsi="Wingdings"/>
                <w:color w:val="006FC0"/>
                <w:sz w:val="18"/>
              </w:rPr>
              <w:t></w:t>
            </w:r>
          </w:p>
        </w:tc>
        <w:tc>
          <w:tcPr>
            <w:tcW w:w="381" w:type="dxa"/>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6"/>
              <w:rPr>
                <w:b/>
                <w:sz w:val="21"/>
              </w:rPr>
            </w:pPr>
          </w:p>
          <w:p w:rsidR="00A56FE9" w:rsidRDefault="00000000">
            <w:pPr>
              <w:pStyle w:val="TableParagraph"/>
              <w:ind w:left="14"/>
              <w:jc w:val="center"/>
              <w:rPr>
                <w:rFonts w:ascii="Wingdings" w:hAnsi="Wingdings"/>
                <w:sz w:val="18"/>
              </w:rPr>
            </w:pPr>
            <w:r>
              <w:rPr>
                <w:rFonts w:ascii="Wingdings" w:hAnsi="Wingdings"/>
                <w:color w:val="006FC0"/>
                <w:sz w:val="18"/>
              </w:rPr>
              <w:t></w:t>
            </w:r>
          </w:p>
        </w:tc>
        <w:tc>
          <w:tcPr>
            <w:tcW w:w="388" w:type="dxa"/>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6"/>
              <w:rPr>
                <w:b/>
                <w:sz w:val="21"/>
              </w:rPr>
            </w:pPr>
          </w:p>
          <w:p w:rsidR="00A56FE9" w:rsidRDefault="00000000">
            <w:pPr>
              <w:pStyle w:val="TableParagraph"/>
              <w:ind w:right="113"/>
              <w:jc w:val="right"/>
              <w:rPr>
                <w:rFonts w:ascii="Wingdings" w:hAnsi="Wingdings"/>
                <w:sz w:val="18"/>
              </w:rPr>
            </w:pPr>
            <w:r>
              <w:rPr>
                <w:rFonts w:ascii="Wingdings" w:hAnsi="Wingdings"/>
                <w:color w:val="006FC0"/>
                <w:sz w:val="18"/>
              </w:rPr>
              <w:t></w:t>
            </w:r>
          </w:p>
        </w:tc>
        <w:tc>
          <w:tcPr>
            <w:tcW w:w="398"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83"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97"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76" w:type="dxa"/>
          </w:tcPr>
          <w:p w:rsidR="00A56FE9" w:rsidRDefault="00A56FE9">
            <w:pPr>
              <w:pStyle w:val="TableParagraph"/>
              <w:rPr>
                <w:sz w:val="18"/>
              </w:rPr>
            </w:pPr>
          </w:p>
        </w:tc>
        <w:tc>
          <w:tcPr>
            <w:tcW w:w="395" w:type="dxa"/>
          </w:tcPr>
          <w:p w:rsidR="00A56FE9" w:rsidRDefault="00A56FE9">
            <w:pPr>
              <w:pStyle w:val="TableParagraph"/>
              <w:rPr>
                <w:sz w:val="18"/>
              </w:rPr>
            </w:pPr>
          </w:p>
        </w:tc>
        <w:tc>
          <w:tcPr>
            <w:tcW w:w="588" w:type="dxa"/>
          </w:tcPr>
          <w:p w:rsidR="00A56FE9" w:rsidRDefault="00A56FE9">
            <w:pPr>
              <w:pStyle w:val="TableParagraph"/>
              <w:rPr>
                <w:sz w:val="18"/>
              </w:rPr>
            </w:pPr>
          </w:p>
        </w:tc>
        <w:tc>
          <w:tcPr>
            <w:tcW w:w="607" w:type="dxa"/>
          </w:tcPr>
          <w:p w:rsidR="00A56FE9" w:rsidRDefault="00A56FE9">
            <w:pPr>
              <w:pStyle w:val="TableParagraph"/>
              <w:rPr>
                <w:sz w:val="18"/>
              </w:rPr>
            </w:pPr>
          </w:p>
        </w:tc>
        <w:tc>
          <w:tcPr>
            <w:tcW w:w="403" w:type="dxa"/>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6"/>
              <w:rPr>
                <w:b/>
                <w:sz w:val="21"/>
              </w:rPr>
            </w:pPr>
          </w:p>
          <w:p w:rsidR="00A56FE9" w:rsidRDefault="00000000">
            <w:pPr>
              <w:pStyle w:val="TableParagraph"/>
              <w:ind w:right="111"/>
              <w:jc w:val="right"/>
              <w:rPr>
                <w:rFonts w:ascii="Wingdings" w:hAnsi="Wingdings"/>
                <w:sz w:val="18"/>
              </w:rPr>
            </w:pPr>
            <w:r>
              <w:rPr>
                <w:rFonts w:ascii="Wingdings" w:hAnsi="Wingdings"/>
                <w:color w:val="FFCC00"/>
                <w:sz w:val="18"/>
              </w:rPr>
              <w:t></w:t>
            </w:r>
          </w:p>
        </w:tc>
        <w:tc>
          <w:tcPr>
            <w:tcW w:w="420"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rPr>
                <w:b/>
                <w:sz w:val="20"/>
              </w:rPr>
            </w:pPr>
          </w:p>
          <w:p w:rsidR="00A56FE9" w:rsidRDefault="00A56FE9">
            <w:pPr>
              <w:pStyle w:val="TableParagraph"/>
              <w:spacing w:before="6"/>
              <w:rPr>
                <w:b/>
                <w:sz w:val="21"/>
              </w:rPr>
            </w:pPr>
          </w:p>
          <w:p w:rsidR="00A56FE9" w:rsidRDefault="00000000">
            <w:pPr>
              <w:pStyle w:val="TableParagraph"/>
              <w:ind w:left="467"/>
              <w:rPr>
                <w:rFonts w:ascii="Wingdings" w:hAnsi="Wingdings"/>
                <w:sz w:val="18"/>
              </w:rPr>
            </w:pPr>
            <w:r>
              <w:rPr>
                <w:rFonts w:ascii="Wingdings" w:hAnsi="Wingdings"/>
                <w:color w:val="585858"/>
                <w:sz w:val="18"/>
              </w:rPr>
              <w:t></w:t>
            </w:r>
          </w:p>
        </w:tc>
      </w:tr>
    </w:tbl>
    <w:p w:rsidR="00A56FE9" w:rsidRDefault="00A56FE9">
      <w:pPr>
        <w:rPr>
          <w:rFonts w:ascii="Wingdings" w:hAnsi="Wingdings"/>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b/>
          <w:sz w:val="27"/>
        </w:rPr>
      </w:pPr>
    </w:p>
    <w:tbl>
      <w:tblPr>
        <w:tblStyle w:val="TableNormal"/>
        <w:tblW w:w="0" w:type="auto"/>
        <w:tblInd w:w="970"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668"/>
        <w:gridCol w:w="3008"/>
        <w:gridCol w:w="415"/>
        <w:gridCol w:w="391"/>
        <w:gridCol w:w="350"/>
        <w:gridCol w:w="381"/>
        <w:gridCol w:w="381"/>
        <w:gridCol w:w="413"/>
        <w:gridCol w:w="372"/>
        <w:gridCol w:w="398"/>
        <w:gridCol w:w="395"/>
        <w:gridCol w:w="383"/>
        <w:gridCol w:w="395"/>
        <w:gridCol w:w="397"/>
        <w:gridCol w:w="395"/>
        <w:gridCol w:w="376"/>
        <w:gridCol w:w="416"/>
        <w:gridCol w:w="568"/>
        <w:gridCol w:w="625"/>
        <w:gridCol w:w="385"/>
        <w:gridCol w:w="420"/>
        <w:gridCol w:w="420"/>
        <w:gridCol w:w="984"/>
        <w:gridCol w:w="1047"/>
      </w:tblGrid>
      <w:tr w:rsidR="00A56FE9">
        <w:trPr>
          <w:trHeight w:val="782"/>
        </w:trPr>
        <w:tc>
          <w:tcPr>
            <w:tcW w:w="668" w:type="dxa"/>
            <w:tcBorders>
              <w:bottom w:val="nil"/>
              <w:right w:val="nil"/>
            </w:tcBorders>
            <w:shd w:val="clear" w:color="auto" w:fill="2C398A"/>
          </w:tcPr>
          <w:p w:rsidR="00A56FE9" w:rsidRDefault="00A56FE9">
            <w:pPr>
              <w:pStyle w:val="TableParagraph"/>
              <w:rPr>
                <w:sz w:val="18"/>
              </w:rPr>
            </w:pPr>
          </w:p>
        </w:tc>
        <w:tc>
          <w:tcPr>
            <w:tcW w:w="3008" w:type="dxa"/>
            <w:tcBorders>
              <w:left w:val="nil"/>
              <w:bottom w:val="nil"/>
              <w:right w:val="nil"/>
            </w:tcBorders>
            <w:shd w:val="clear" w:color="auto" w:fill="2C398A"/>
          </w:tcPr>
          <w:p w:rsidR="00A56FE9" w:rsidRDefault="00A56FE9">
            <w:pPr>
              <w:pStyle w:val="TableParagraph"/>
              <w:spacing w:before="5"/>
              <w:rPr>
                <w:b/>
                <w:sz w:val="26"/>
              </w:rPr>
            </w:pPr>
          </w:p>
          <w:p w:rsidR="00A56FE9" w:rsidRDefault="00000000">
            <w:pPr>
              <w:pStyle w:val="TableParagraph"/>
              <w:ind w:left="701" w:right="1356"/>
              <w:jc w:val="center"/>
              <w:rPr>
                <w:sz w:val="18"/>
              </w:rPr>
            </w:pPr>
            <w:r>
              <w:rPr>
                <w:color w:val="FFFFFF"/>
                <w:sz w:val="18"/>
              </w:rPr>
              <w:t>Components</w:t>
            </w:r>
          </w:p>
        </w:tc>
        <w:tc>
          <w:tcPr>
            <w:tcW w:w="415" w:type="dxa"/>
            <w:tcBorders>
              <w:left w:val="nil"/>
              <w:bottom w:val="nil"/>
              <w:right w:val="nil"/>
            </w:tcBorders>
            <w:shd w:val="clear" w:color="auto" w:fill="2C398A"/>
          </w:tcPr>
          <w:p w:rsidR="00A56FE9" w:rsidRDefault="00A56FE9">
            <w:pPr>
              <w:pStyle w:val="TableParagraph"/>
              <w:rPr>
                <w:sz w:val="18"/>
              </w:rPr>
            </w:pPr>
          </w:p>
        </w:tc>
        <w:tc>
          <w:tcPr>
            <w:tcW w:w="391" w:type="dxa"/>
            <w:tcBorders>
              <w:left w:val="nil"/>
              <w:bottom w:val="nil"/>
              <w:right w:val="nil"/>
            </w:tcBorders>
            <w:shd w:val="clear" w:color="auto" w:fill="2C398A"/>
          </w:tcPr>
          <w:p w:rsidR="00A56FE9" w:rsidRDefault="00A56FE9">
            <w:pPr>
              <w:pStyle w:val="TableParagraph"/>
              <w:rPr>
                <w:sz w:val="18"/>
              </w:rPr>
            </w:pPr>
          </w:p>
        </w:tc>
        <w:tc>
          <w:tcPr>
            <w:tcW w:w="731" w:type="dxa"/>
            <w:gridSpan w:val="2"/>
            <w:tcBorders>
              <w:left w:val="nil"/>
              <w:bottom w:val="nil"/>
              <w:right w:val="nil"/>
            </w:tcBorders>
            <w:shd w:val="clear" w:color="auto" w:fill="2C398A"/>
          </w:tcPr>
          <w:p w:rsidR="00A56FE9" w:rsidRDefault="00A56FE9">
            <w:pPr>
              <w:pStyle w:val="TableParagraph"/>
              <w:spacing w:before="5"/>
              <w:rPr>
                <w:b/>
                <w:sz w:val="26"/>
              </w:rPr>
            </w:pPr>
          </w:p>
          <w:p w:rsidR="00A56FE9" w:rsidRDefault="00000000">
            <w:pPr>
              <w:pStyle w:val="TableParagraph"/>
              <w:ind w:left="33"/>
              <w:rPr>
                <w:sz w:val="18"/>
              </w:rPr>
            </w:pPr>
            <w:r>
              <w:rPr>
                <w:color w:val="FFFFFF"/>
                <w:sz w:val="18"/>
              </w:rPr>
              <w:t>Economy</w:t>
            </w:r>
          </w:p>
        </w:tc>
        <w:tc>
          <w:tcPr>
            <w:tcW w:w="381" w:type="dxa"/>
            <w:tcBorders>
              <w:left w:val="nil"/>
              <w:bottom w:val="nil"/>
              <w:right w:val="nil"/>
            </w:tcBorders>
            <w:shd w:val="clear" w:color="auto" w:fill="2C398A"/>
          </w:tcPr>
          <w:p w:rsidR="00A56FE9" w:rsidRDefault="00A56FE9">
            <w:pPr>
              <w:pStyle w:val="TableParagraph"/>
              <w:rPr>
                <w:sz w:val="18"/>
              </w:rPr>
            </w:pPr>
          </w:p>
        </w:tc>
        <w:tc>
          <w:tcPr>
            <w:tcW w:w="413" w:type="dxa"/>
            <w:tcBorders>
              <w:left w:val="nil"/>
              <w:bottom w:val="nil"/>
              <w:right w:val="nil"/>
            </w:tcBorders>
            <w:shd w:val="clear" w:color="auto" w:fill="2C398A"/>
          </w:tcPr>
          <w:p w:rsidR="00A56FE9" w:rsidRDefault="00A56FE9">
            <w:pPr>
              <w:pStyle w:val="TableParagraph"/>
              <w:rPr>
                <w:sz w:val="18"/>
              </w:rPr>
            </w:pPr>
          </w:p>
        </w:tc>
        <w:tc>
          <w:tcPr>
            <w:tcW w:w="3527" w:type="dxa"/>
            <w:gridSpan w:val="9"/>
            <w:tcBorders>
              <w:left w:val="nil"/>
              <w:bottom w:val="nil"/>
              <w:right w:val="nil"/>
            </w:tcBorders>
            <w:shd w:val="clear" w:color="auto" w:fill="2C398A"/>
          </w:tcPr>
          <w:p w:rsidR="00A56FE9" w:rsidRDefault="00A56FE9">
            <w:pPr>
              <w:pStyle w:val="TableParagraph"/>
              <w:spacing w:before="5"/>
              <w:rPr>
                <w:b/>
                <w:sz w:val="17"/>
              </w:rPr>
            </w:pPr>
          </w:p>
          <w:p w:rsidR="00A56FE9" w:rsidRDefault="00000000">
            <w:pPr>
              <w:pStyle w:val="TableParagraph"/>
              <w:spacing w:before="1"/>
              <w:ind w:left="1561" w:right="185" w:hanging="1294"/>
              <w:rPr>
                <w:sz w:val="18"/>
              </w:rPr>
            </w:pPr>
            <w:r>
              <w:rPr>
                <w:color w:val="FFFFFF"/>
                <w:sz w:val="18"/>
              </w:rPr>
              <w:t>Public Administration, Judiciary and State</w:t>
            </w:r>
            <w:r>
              <w:rPr>
                <w:color w:val="FFFFFF"/>
                <w:spacing w:val="-42"/>
                <w:sz w:val="18"/>
              </w:rPr>
              <w:t xml:space="preserve"> </w:t>
            </w:r>
            <w:r>
              <w:rPr>
                <w:color w:val="FFFFFF"/>
                <w:sz w:val="18"/>
              </w:rPr>
              <w:t>Assets</w:t>
            </w:r>
          </w:p>
        </w:tc>
        <w:tc>
          <w:tcPr>
            <w:tcW w:w="1193" w:type="dxa"/>
            <w:gridSpan w:val="2"/>
            <w:tcBorders>
              <w:left w:val="nil"/>
              <w:bottom w:val="nil"/>
              <w:right w:val="nil"/>
            </w:tcBorders>
            <w:shd w:val="clear" w:color="auto" w:fill="2C398A"/>
          </w:tcPr>
          <w:p w:rsidR="00A56FE9" w:rsidRDefault="00000000">
            <w:pPr>
              <w:pStyle w:val="TableParagraph"/>
              <w:spacing w:before="98"/>
              <w:ind w:left="194" w:right="131" w:firstLine="45"/>
              <w:jc w:val="both"/>
              <w:rPr>
                <w:sz w:val="18"/>
              </w:rPr>
            </w:pPr>
            <w:r>
              <w:rPr>
                <w:color w:val="FFFFFF"/>
                <w:sz w:val="18"/>
              </w:rPr>
              <w:t>Education,</w:t>
            </w:r>
            <w:r>
              <w:rPr>
                <w:color w:val="FFFFFF"/>
                <w:spacing w:val="1"/>
                <w:sz w:val="18"/>
              </w:rPr>
              <w:t xml:space="preserve"> </w:t>
            </w:r>
            <w:r>
              <w:rPr>
                <w:color w:val="FFFFFF"/>
                <w:spacing w:val="-1"/>
                <w:sz w:val="18"/>
              </w:rPr>
              <w:t xml:space="preserve">Science </w:t>
            </w:r>
            <w:r>
              <w:rPr>
                <w:color w:val="FFFFFF"/>
                <w:sz w:val="18"/>
              </w:rPr>
              <w:t>and</w:t>
            </w:r>
            <w:r>
              <w:rPr>
                <w:color w:val="FFFFFF"/>
                <w:spacing w:val="-42"/>
                <w:sz w:val="18"/>
              </w:rPr>
              <w:t xml:space="preserve"> </w:t>
            </w:r>
            <w:r>
              <w:rPr>
                <w:color w:val="FFFFFF"/>
                <w:sz w:val="18"/>
              </w:rPr>
              <w:t>Research</w:t>
            </w:r>
          </w:p>
        </w:tc>
        <w:tc>
          <w:tcPr>
            <w:tcW w:w="1225" w:type="dxa"/>
            <w:gridSpan w:val="3"/>
            <w:tcBorders>
              <w:left w:val="nil"/>
              <w:bottom w:val="nil"/>
              <w:right w:val="nil"/>
            </w:tcBorders>
            <w:shd w:val="clear" w:color="auto" w:fill="2C398A"/>
          </w:tcPr>
          <w:p w:rsidR="00A56FE9" w:rsidRDefault="00000000">
            <w:pPr>
              <w:pStyle w:val="TableParagraph"/>
              <w:ind w:left="223" w:right="175" w:firstLine="3"/>
              <w:jc w:val="center"/>
              <w:rPr>
                <w:sz w:val="18"/>
              </w:rPr>
            </w:pPr>
            <w:r>
              <w:rPr>
                <w:color w:val="FFFFFF"/>
                <w:sz w:val="18"/>
              </w:rPr>
              <w:t>Labour</w:t>
            </w:r>
            <w:r>
              <w:rPr>
                <w:color w:val="FFFFFF"/>
                <w:spacing w:val="1"/>
                <w:sz w:val="18"/>
              </w:rPr>
              <w:t xml:space="preserve"> </w:t>
            </w:r>
            <w:r>
              <w:rPr>
                <w:color w:val="FFFFFF"/>
                <w:spacing w:val="-1"/>
                <w:sz w:val="18"/>
              </w:rPr>
              <w:t xml:space="preserve">Market </w:t>
            </w:r>
            <w:r>
              <w:rPr>
                <w:color w:val="FFFFFF"/>
                <w:sz w:val="18"/>
              </w:rPr>
              <w:t>and</w:t>
            </w:r>
            <w:r>
              <w:rPr>
                <w:color w:val="FFFFFF"/>
                <w:spacing w:val="-42"/>
                <w:sz w:val="18"/>
              </w:rPr>
              <w:t xml:space="preserve"> </w:t>
            </w:r>
            <w:r>
              <w:rPr>
                <w:color w:val="FFFFFF"/>
                <w:sz w:val="18"/>
              </w:rPr>
              <w:t>Social</w:t>
            </w:r>
          </w:p>
          <w:p w:rsidR="00A56FE9" w:rsidRDefault="00000000">
            <w:pPr>
              <w:pStyle w:val="TableParagraph"/>
              <w:spacing w:line="146" w:lineRule="exact"/>
              <w:ind w:left="246" w:right="198"/>
              <w:jc w:val="center"/>
              <w:rPr>
                <w:sz w:val="18"/>
              </w:rPr>
            </w:pPr>
            <w:r>
              <w:rPr>
                <w:color w:val="FFFFFF"/>
                <w:sz w:val="18"/>
              </w:rPr>
              <w:t>Protection</w:t>
            </w:r>
          </w:p>
        </w:tc>
        <w:tc>
          <w:tcPr>
            <w:tcW w:w="984" w:type="dxa"/>
            <w:tcBorders>
              <w:left w:val="nil"/>
              <w:bottom w:val="nil"/>
              <w:right w:val="nil"/>
            </w:tcBorders>
            <w:shd w:val="clear" w:color="auto" w:fill="2C398A"/>
          </w:tcPr>
          <w:p w:rsidR="00A56FE9" w:rsidRDefault="00A56FE9">
            <w:pPr>
              <w:pStyle w:val="TableParagraph"/>
              <w:spacing w:before="5"/>
              <w:rPr>
                <w:b/>
                <w:sz w:val="17"/>
              </w:rPr>
            </w:pPr>
          </w:p>
          <w:p w:rsidR="00A56FE9" w:rsidRDefault="00000000">
            <w:pPr>
              <w:pStyle w:val="TableParagraph"/>
              <w:spacing w:before="1"/>
              <w:ind w:left="337" w:right="217" w:hanging="70"/>
              <w:rPr>
                <w:sz w:val="18"/>
              </w:rPr>
            </w:pPr>
            <w:r>
              <w:rPr>
                <w:color w:val="FFFFFF"/>
                <w:sz w:val="18"/>
              </w:rPr>
              <w:t>Health</w:t>
            </w:r>
            <w:r>
              <w:rPr>
                <w:color w:val="FFFFFF"/>
                <w:spacing w:val="-43"/>
                <w:sz w:val="18"/>
              </w:rPr>
              <w:t xml:space="preserve"> </w:t>
            </w:r>
            <w:r>
              <w:rPr>
                <w:color w:val="FFFFFF"/>
                <w:sz w:val="18"/>
              </w:rPr>
              <w:t>Care</w:t>
            </w:r>
          </w:p>
        </w:tc>
        <w:tc>
          <w:tcPr>
            <w:tcW w:w="1047" w:type="dxa"/>
            <w:tcBorders>
              <w:left w:val="nil"/>
              <w:bottom w:val="nil"/>
            </w:tcBorders>
            <w:shd w:val="clear" w:color="auto" w:fill="2C398A"/>
          </w:tcPr>
          <w:p w:rsidR="00A56FE9" w:rsidRDefault="00000000">
            <w:pPr>
              <w:pStyle w:val="TableParagraph"/>
              <w:spacing w:before="98"/>
              <w:ind w:left="124" w:right="84"/>
              <w:jc w:val="center"/>
              <w:rPr>
                <w:sz w:val="18"/>
              </w:rPr>
            </w:pPr>
            <w:r>
              <w:rPr>
                <w:color w:val="FFFFFF"/>
                <w:sz w:val="18"/>
              </w:rPr>
              <w:t>Renovation</w:t>
            </w:r>
            <w:r>
              <w:rPr>
                <w:color w:val="FFFFFF"/>
                <w:spacing w:val="-42"/>
                <w:sz w:val="18"/>
              </w:rPr>
              <w:t xml:space="preserve"> </w:t>
            </w:r>
            <w:r>
              <w:rPr>
                <w:color w:val="FFFFFF"/>
                <w:sz w:val="18"/>
              </w:rPr>
              <w:t>of</w:t>
            </w:r>
            <w:r>
              <w:rPr>
                <w:color w:val="FFFFFF"/>
                <w:spacing w:val="1"/>
                <w:sz w:val="18"/>
              </w:rPr>
              <w:t xml:space="preserve"> </w:t>
            </w:r>
            <w:r>
              <w:rPr>
                <w:color w:val="FFFFFF"/>
                <w:sz w:val="18"/>
              </w:rPr>
              <w:t>Buildings</w:t>
            </w:r>
          </w:p>
        </w:tc>
      </w:tr>
      <w:tr w:rsidR="00A56FE9">
        <w:trPr>
          <w:trHeight w:val="491"/>
        </w:trPr>
        <w:tc>
          <w:tcPr>
            <w:tcW w:w="668" w:type="dxa"/>
            <w:tcBorders>
              <w:top w:val="nil"/>
              <w:bottom w:val="single" w:sz="4" w:space="0" w:color="FFFFFF"/>
              <w:right w:val="nil"/>
            </w:tcBorders>
            <w:shd w:val="clear" w:color="auto" w:fill="2C398A"/>
          </w:tcPr>
          <w:p w:rsidR="00A56FE9" w:rsidRDefault="00A56FE9">
            <w:pPr>
              <w:pStyle w:val="TableParagraph"/>
              <w:rPr>
                <w:sz w:val="18"/>
              </w:rPr>
            </w:pPr>
          </w:p>
        </w:tc>
        <w:tc>
          <w:tcPr>
            <w:tcW w:w="3008" w:type="dxa"/>
            <w:tcBorders>
              <w:top w:val="nil"/>
              <w:left w:val="nil"/>
              <w:bottom w:val="single" w:sz="4" w:space="0" w:color="FFFFFF"/>
              <w:right w:val="nil"/>
            </w:tcBorders>
            <w:shd w:val="clear" w:color="auto" w:fill="2C398A"/>
          </w:tcPr>
          <w:p w:rsidR="00A56FE9" w:rsidRDefault="00000000">
            <w:pPr>
              <w:pStyle w:val="TableParagraph"/>
              <w:spacing w:before="160"/>
              <w:ind w:left="700" w:right="1356"/>
              <w:jc w:val="center"/>
              <w:rPr>
                <w:sz w:val="18"/>
              </w:rPr>
            </w:pPr>
            <w:r>
              <w:rPr>
                <w:color w:val="FFFFFF"/>
                <w:sz w:val="18"/>
              </w:rPr>
              <w:t>Code</w:t>
            </w:r>
          </w:p>
        </w:tc>
        <w:tc>
          <w:tcPr>
            <w:tcW w:w="415"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1"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731" w:type="dxa"/>
            <w:gridSpan w:val="2"/>
            <w:tcBorders>
              <w:top w:val="nil"/>
              <w:left w:val="nil"/>
              <w:bottom w:val="single" w:sz="4" w:space="0" w:color="FFFFFF"/>
              <w:right w:val="nil"/>
            </w:tcBorders>
            <w:shd w:val="clear" w:color="auto" w:fill="2C398A"/>
          </w:tcPr>
          <w:p w:rsidR="00A56FE9" w:rsidRDefault="00000000">
            <w:pPr>
              <w:pStyle w:val="TableParagraph"/>
              <w:spacing w:before="160"/>
              <w:ind w:left="250" w:right="230"/>
              <w:jc w:val="center"/>
              <w:rPr>
                <w:sz w:val="18"/>
              </w:rPr>
            </w:pPr>
            <w:r>
              <w:rPr>
                <w:color w:val="FFFFFF"/>
                <w:sz w:val="18"/>
              </w:rPr>
              <w:t>C1</w:t>
            </w:r>
          </w:p>
        </w:tc>
        <w:tc>
          <w:tcPr>
            <w:tcW w:w="381"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13"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72"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8"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5"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83"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5" w:type="dxa"/>
            <w:tcBorders>
              <w:top w:val="nil"/>
              <w:left w:val="nil"/>
              <w:bottom w:val="single" w:sz="4" w:space="0" w:color="FFFFFF"/>
              <w:right w:val="nil"/>
            </w:tcBorders>
            <w:shd w:val="clear" w:color="auto" w:fill="2C398A"/>
          </w:tcPr>
          <w:p w:rsidR="00A56FE9" w:rsidRDefault="00000000">
            <w:pPr>
              <w:pStyle w:val="TableParagraph"/>
              <w:spacing w:before="160"/>
              <w:ind w:left="143"/>
              <w:rPr>
                <w:sz w:val="18"/>
              </w:rPr>
            </w:pPr>
            <w:r>
              <w:rPr>
                <w:color w:val="FFFFFF"/>
                <w:sz w:val="18"/>
              </w:rPr>
              <w:t>C2</w:t>
            </w:r>
          </w:p>
        </w:tc>
        <w:tc>
          <w:tcPr>
            <w:tcW w:w="397"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95"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76"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16"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1193" w:type="dxa"/>
            <w:gridSpan w:val="2"/>
            <w:tcBorders>
              <w:top w:val="nil"/>
              <w:left w:val="nil"/>
              <w:bottom w:val="single" w:sz="4" w:space="0" w:color="FFFFFF"/>
              <w:right w:val="nil"/>
            </w:tcBorders>
            <w:shd w:val="clear" w:color="auto" w:fill="2C398A"/>
          </w:tcPr>
          <w:p w:rsidR="00A56FE9" w:rsidRDefault="00000000">
            <w:pPr>
              <w:pStyle w:val="TableParagraph"/>
              <w:spacing w:before="160"/>
              <w:ind w:left="503" w:right="439"/>
              <w:jc w:val="center"/>
              <w:rPr>
                <w:sz w:val="18"/>
              </w:rPr>
            </w:pPr>
            <w:r>
              <w:rPr>
                <w:color w:val="FFFFFF"/>
                <w:sz w:val="18"/>
              </w:rPr>
              <w:t>C3</w:t>
            </w:r>
          </w:p>
        </w:tc>
        <w:tc>
          <w:tcPr>
            <w:tcW w:w="385"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20" w:type="dxa"/>
            <w:tcBorders>
              <w:top w:val="nil"/>
              <w:left w:val="nil"/>
              <w:bottom w:val="single" w:sz="4" w:space="0" w:color="FFFFFF"/>
              <w:right w:val="nil"/>
            </w:tcBorders>
            <w:shd w:val="clear" w:color="auto" w:fill="2C398A"/>
          </w:tcPr>
          <w:p w:rsidR="00A56FE9" w:rsidRDefault="00000000">
            <w:pPr>
              <w:pStyle w:val="TableParagraph"/>
              <w:spacing w:before="160"/>
              <w:ind w:left="125" w:right="44"/>
              <w:jc w:val="center"/>
              <w:rPr>
                <w:sz w:val="18"/>
              </w:rPr>
            </w:pPr>
            <w:r>
              <w:rPr>
                <w:color w:val="FFFFFF"/>
                <w:sz w:val="18"/>
              </w:rPr>
              <w:t>C4</w:t>
            </w:r>
          </w:p>
        </w:tc>
        <w:tc>
          <w:tcPr>
            <w:tcW w:w="420"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984" w:type="dxa"/>
            <w:tcBorders>
              <w:top w:val="nil"/>
              <w:left w:val="nil"/>
              <w:bottom w:val="single" w:sz="4" w:space="0" w:color="FFFFFF"/>
              <w:right w:val="nil"/>
            </w:tcBorders>
            <w:shd w:val="clear" w:color="auto" w:fill="2C398A"/>
          </w:tcPr>
          <w:p w:rsidR="00A56FE9" w:rsidRDefault="00000000">
            <w:pPr>
              <w:pStyle w:val="TableParagraph"/>
              <w:spacing w:before="160"/>
              <w:ind w:left="402"/>
              <w:rPr>
                <w:sz w:val="18"/>
              </w:rPr>
            </w:pPr>
            <w:r>
              <w:rPr>
                <w:color w:val="FFFFFF"/>
                <w:sz w:val="18"/>
              </w:rPr>
              <w:t>C5</w:t>
            </w:r>
          </w:p>
        </w:tc>
        <w:tc>
          <w:tcPr>
            <w:tcW w:w="1047" w:type="dxa"/>
            <w:tcBorders>
              <w:top w:val="nil"/>
              <w:left w:val="nil"/>
              <w:bottom w:val="single" w:sz="4" w:space="0" w:color="FFFFFF"/>
            </w:tcBorders>
            <w:shd w:val="clear" w:color="auto" w:fill="2C398A"/>
          </w:tcPr>
          <w:p w:rsidR="00A56FE9" w:rsidRDefault="00000000">
            <w:pPr>
              <w:pStyle w:val="TableParagraph"/>
              <w:spacing w:before="160"/>
              <w:ind w:right="395"/>
              <w:jc w:val="right"/>
              <w:rPr>
                <w:sz w:val="18"/>
              </w:rPr>
            </w:pPr>
            <w:r>
              <w:rPr>
                <w:color w:val="FFFFFF"/>
                <w:sz w:val="18"/>
              </w:rPr>
              <w:t>C6</w:t>
            </w:r>
          </w:p>
        </w:tc>
      </w:tr>
      <w:tr w:rsidR="00A56FE9">
        <w:trPr>
          <w:trHeight w:val="369"/>
        </w:trPr>
        <w:tc>
          <w:tcPr>
            <w:tcW w:w="3676" w:type="dxa"/>
            <w:gridSpan w:val="2"/>
            <w:tcBorders>
              <w:top w:val="single" w:sz="4" w:space="0" w:color="FFFFFF"/>
              <w:left w:val="nil"/>
              <w:right w:val="nil"/>
            </w:tcBorders>
            <w:shd w:val="clear" w:color="auto" w:fill="D9D9D9"/>
          </w:tcPr>
          <w:p w:rsidR="00A56FE9" w:rsidRDefault="00A56FE9">
            <w:pPr>
              <w:pStyle w:val="TableParagraph"/>
              <w:rPr>
                <w:sz w:val="18"/>
              </w:rPr>
            </w:pPr>
          </w:p>
        </w:tc>
        <w:tc>
          <w:tcPr>
            <w:tcW w:w="415" w:type="dxa"/>
            <w:tcBorders>
              <w:top w:val="single" w:sz="4" w:space="0" w:color="FFFFFF"/>
              <w:left w:val="nil"/>
              <w:right w:val="nil"/>
            </w:tcBorders>
            <w:shd w:val="clear" w:color="auto" w:fill="DEEAF6"/>
          </w:tcPr>
          <w:p w:rsidR="00A56FE9" w:rsidRDefault="00000000">
            <w:pPr>
              <w:pStyle w:val="TableParagraph"/>
              <w:spacing w:before="47"/>
              <w:ind w:left="5"/>
              <w:jc w:val="center"/>
              <w:rPr>
                <w:sz w:val="18"/>
              </w:rPr>
            </w:pPr>
            <w:r>
              <w:rPr>
                <w:sz w:val="18"/>
              </w:rPr>
              <w:t>1</w:t>
            </w:r>
          </w:p>
        </w:tc>
        <w:tc>
          <w:tcPr>
            <w:tcW w:w="391" w:type="dxa"/>
            <w:tcBorders>
              <w:top w:val="single" w:sz="4" w:space="0" w:color="FFFFFF"/>
              <w:left w:val="nil"/>
              <w:right w:val="nil"/>
            </w:tcBorders>
            <w:shd w:val="clear" w:color="auto" w:fill="DEEAF6"/>
          </w:tcPr>
          <w:p w:rsidR="00A56FE9" w:rsidRDefault="00000000">
            <w:pPr>
              <w:pStyle w:val="TableParagraph"/>
              <w:spacing w:before="47"/>
              <w:ind w:left="5"/>
              <w:jc w:val="center"/>
              <w:rPr>
                <w:sz w:val="18"/>
              </w:rPr>
            </w:pPr>
            <w:r>
              <w:rPr>
                <w:sz w:val="18"/>
              </w:rPr>
              <w:t>2</w:t>
            </w:r>
          </w:p>
        </w:tc>
        <w:tc>
          <w:tcPr>
            <w:tcW w:w="350" w:type="dxa"/>
            <w:tcBorders>
              <w:top w:val="single" w:sz="4" w:space="0" w:color="FFFFFF"/>
              <w:left w:val="nil"/>
              <w:right w:val="nil"/>
            </w:tcBorders>
            <w:shd w:val="clear" w:color="auto" w:fill="DEEAF6"/>
          </w:tcPr>
          <w:p w:rsidR="00A56FE9" w:rsidRDefault="00000000">
            <w:pPr>
              <w:pStyle w:val="TableParagraph"/>
              <w:spacing w:before="47"/>
              <w:ind w:left="158"/>
              <w:rPr>
                <w:sz w:val="18"/>
              </w:rPr>
            </w:pPr>
            <w:r>
              <w:rPr>
                <w:sz w:val="18"/>
              </w:rPr>
              <w:t>3</w:t>
            </w:r>
          </w:p>
        </w:tc>
        <w:tc>
          <w:tcPr>
            <w:tcW w:w="381" w:type="dxa"/>
            <w:tcBorders>
              <w:top w:val="single" w:sz="4" w:space="0" w:color="FFFFFF"/>
              <w:left w:val="nil"/>
              <w:right w:val="nil"/>
            </w:tcBorders>
            <w:shd w:val="clear" w:color="auto" w:fill="DEEAF6"/>
          </w:tcPr>
          <w:p w:rsidR="00A56FE9" w:rsidRDefault="00000000">
            <w:pPr>
              <w:pStyle w:val="TableParagraph"/>
              <w:spacing w:before="47"/>
              <w:ind w:left="199"/>
              <w:rPr>
                <w:sz w:val="18"/>
              </w:rPr>
            </w:pPr>
            <w:r>
              <w:rPr>
                <w:sz w:val="18"/>
              </w:rPr>
              <w:t>4</w:t>
            </w:r>
          </w:p>
        </w:tc>
        <w:tc>
          <w:tcPr>
            <w:tcW w:w="381" w:type="dxa"/>
            <w:tcBorders>
              <w:top w:val="single" w:sz="4" w:space="0" w:color="FFFFFF"/>
              <w:left w:val="nil"/>
              <w:right w:val="nil"/>
            </w:tcBorders>
            <w:shd w:val="clear" w:color="auto" w:fill="DEEAF6"/>
          </w:tcPr>
          <w:p w:rsidR="00A56FE9" w:rsidRDefault="00000000">
            <w:pPr>
              <w:pStyle w:val="TableParagraph"/>
              <w:spacing w:before="47"/>
              <w:ind w:left="199"/>
              <w:rPr>
                <w:sz w:val="18"/>
              </w:rPr>
            </w:pPr>
            <w:r>
              <w:rPr>
                <w:sz w:val="18"/>
              </w:rPr>
              <w:t>5</w:t>
            </w:r>
          </w:p>
        </w:tc>
        <w:tc>
          <w:tcPr>
            <w:tcW w:w="413" w:type="dxa"/>
            <w:tcBorders>
              <w:top w:val="single" w:sz="4" w:space="0" w:color="FFFFFF"/>
              <w:left w:val="nil"/>
              <w:right w:val="nil"/>
            </w:tcBorders>
            <w:shd w:val="clear" w:color="auto" w:fill="DEEAF6"/>
          </w:tcPr>
          <w:p w:rsidR="00A56FE9" w:rsidRDefault="00000000">
            <w:pPr>
              <w:pStyle w:val="TableParagraph"/>
              <w:spacing w:before="47"/>
              <w:ind w:right="115"/>
              <w:jc w:val="right"/>
              <w:rPr>
                <w:sz w:val="18"/>
              </w:rPr>
            </w:pPr>
            <w:r>
              <w:rPr>
                <w:sz w:val="18"/>
              </w:rPr>
              <w:t>6</w:t>
            </w:r>
          </w:p>
        </w:tc>
        <w:tc>
          <w:tcPr>
            <w:tcW w:w="372" w:type="dxa"/>
            <w:tcBorders>
              <w:top w:val="single" w:sz="4" w:space="0" w:color="FFFFFF"/>
              <w:left w:val="nil"/>
              <w:right w:val="nil"/>
            </w:tcBorders>
            <w:shd w:val="clear" w:color="auto" w:fill="FAE3D4"/>
          </w:tcPr>
          <w:p w:rsidR="00A56FE9" w:rsidRDefault="00000000">
            <w:pPr>
              <w:pStyle w:val="TableParagraph"/>
              <w:spacing w:before="47"/>
              <w:ind w:right="96"/>
              <w:jc w:val="right"/>
              <w:rPr>
                <w:sz w:val="18"/>
              </w:rPr>
            </w:pPr>
            <w:r>
              <w:rPr>
                <w:sz w:val="18"/>
              </w:rPr>
              <w:t>1</w:t>
            </w:r>
          </w:p>
        </w:tc>
        <w:tc>
          <w:tcPr>
            <w:tcW w:w="398" w:type="dxa"/>
            <w:tcBorders>
              <w:top w:val="single" w:sz="4" w:space="0" w:color="FFFFFF"/>
              <w:left w:val="nil"/>
              <w:right w:val="nil"/>
            </w:tcBorders>
            <w:shd w:val="clear" w:color="auto" w:fill="FAE3D4"/>
          </w:tcPr>
          <w:p w:rsidR="00A56FE9" w:rsidRDefault="00000000">
            <w:pPr>
              <w:pStyle w:val="TableParagraph"/>
              <w:spacing w:before="47"/>
              <w:ind w:right="100"/>
              <w:jc w:val="right"/>
              <w:rPr>
                <w:sz w:val="18"/>
              </w:rPr>
            </w:pPr>
            <w:r>
              <w:rPr>
                <w:sz w:val="18"/>
              </w:rPr>
              <w:t>2</w:t>
            </w:r>
          </w:p>
        </w:tc>
        <w:tc>
          <w:tcPr>
            <w:tcW w:w="395" w:type="dxa"/>
            <w:tcBorders>
              <w:top w:val="single" w:sz="4" w:space="0" w:color="FFFFFF"/>
              <w:left w:val="nil"/>
              <w:right w:val="nil"/>
            </w:tcBorders>
            <w:shd w:val="clear" w:color="auto" w:fill="FAE3D4"/>
          </w:tcPr>
          <w:p w:rsidR="00A56FE9" w:rsidRDefault="00000000">
            <w:pPr>
              <w:pStyle w:val="TableParagraph"/>
              <w:spacing w:before="47"/>
              <w:ind w:left="198"/>
              <w:rPr>
                <w:sz w:val="18"/>
              </w:rPr>
            </w:pPr>
            <w:r>
              <w:rPr>
                <w:sz w:val="18"/>
              </w:rPr>
              <w:t>3</w:t>
            </w:r>
          </w:p>
        </w:tc>
        <w:tc>
          <w:tcPr>
            <w:tcW w:w="383" w:type="dxa"/>
            <w:tcBorders>
              <w:top w:val="single" w:sz="4" w:space="0" w:color="FFFFFF"/>
              <w:left w:val="nil"/>
              <w:right w:val="nil"/>
            </w:tcBorders>
            <w:shd w:val="clear" w:color="auto" w:fill="FAE3D4"/>
          </w:tcPr>
          <w:p w:rsidR="00A56FE9" w:rsidRDefault="00000000">
            <w:pPr>
              <w:pStyle w:val="TableParagraph"/>
              <w:spacing w:before="47"/>
              <w:ind w:left="199"/>
              <w:rPr>
                <w:sz w:val="18"/>
              </w:rPr>
            </w:pPr>
            <w:r>
              <w:rPr>
                <w:sz w:val="18"/>
              </w:rPr>
              <w:t>4</w:t>
            </w:r>
          </w:p>
        </w:tc>
        <w:tc>
          <w:tcPr>
            <w:tcW w:w="395" w:type="dxa"/>
            <w:tcBorders>
              <w:top w:val="single" w:sz="4" w:space="0" w:color="FFFFFF"/>
              <w:left w:val="nil"/>
              <w:right w:val="nil"/>
            </w:tcBorders>
            <w:shd w:val="clear" w:color="auto" w:fill="FAE3D4"/>
          </w:tcPr>
          <w:p w:rsidR="00A56FE9" w:rsidRDefault="00000000">
            <w:pPr>
              <w:pStyle w:val="TableParagraph"/>
              <w:spacing w:before="47"/>
              <w:ind w:left="210"/>
              <w:rPr>
                <w:sz w:val="18"/>
              </w:rPr>
            </w:pPr>
            <w:r>
              <w:rPr>
                <w:sz w:val="18"/>
              </w:rPr>
              <w:t>5</w:t>
            </w:r>
          </w:p>
        </w:tc>
        <w:tc>
          <w:tcPr>
            <w:tcW w:w="397" w:type="dxa"/>
            <w:tcBorders>
              <w:top w:val="single" w:sz="4" w:space="0" w:color="FFFFFF"/>
              <w:left w:val="nil"/>
              <w:right w:val="nil"/>
            </w:tcBorders>
            <w:shd w:val="clear" w:color="auto" w:fill="FAE3D4"/>
          </w:tcPr>
          <w:p w:rsidR="00A56FE9" w:rsidRDefault="00000000">
            <w:pPr>
              <w:pStyle w:val="TableParagraph"/>
              <w:spacing w:before="47"/>
              <w:ind w:left="211"/>
              <w:rPr>
                <w:sz w:val="18"/>
              </w:rPr>
            </w:pPr>
            <w:r>
              <w:rPr>
                <w:sz w:val="18"/>
              </w:rPr>
              <w:t>6</w:t>
            </w:r>
          </w:p>
        </w:tc>
        <w:tc>
          <w:tcPr>
            <w:tcW w:w="395" w:type="dxa"/>
            <w:tcBorders>
              <w:top w:val="single" w:sz="4" w:space="0" w:color="FFFFFF"/>
              <w:left w:val="nil"/>
              <w:right w:val="nil"/>
            </w:tcBorders>
            <w:shd w:val="clear" w:color="auto" w:fill="FAE3D4"/>
          </w:tcPr>
          <w:p w:rsidR="00A56FE9" w:rsidRDefault="00000000">
            <w:pPr>
              <w:pStyle w:val="TableParagraph"/>
              <w:spacing w:before="47"/>
              <w:ind w:left="205"/>
              <w:rPr>
                <w:sz w:val="18"/>
              </w:rPr>
            </w:pPr>
            <w:r>
              <w:rPr>
                <w:sz w:val="18"/>
              </w:rPr>
              <w:t>7</w:t>
            </w:r>
          </w:p>
        </w:tc>
        <w:tc>
          <w:tcPr>
            <w:tcW w:w="376" w:type="dxa"/>
            <w:tcBorders>
              <w:top w:val="single" w:sz="4" w:space="0" w:color="FFFFFF"/>
              <w:left w:val="nil"/>
              <w:right w:val="nil"/>
            </w:tcBorders>
            <w:shd w:val="clear" w:color="auto" w:fill="FAE3D4"/>
          </w:tcPr>
          <w:p w:rsidR="00A56FE9" w:rsidRDefault="00000000">
            <w:pPr>
              <w:pStyle w:val="TableParagraph"/>
              <w:spacing w:before="47"/>
              <w:ind w:left="192"/>
              <w:rPr>
                <w:sz w:val="18"/>
              </w:rPr>
            </w:pPr>
            <w:r>
              <w:rPr>
                <w:sz w:val="18"/>
              </w:rPr>
              <w:t>8</w:t>
            </w:r>
          </w:p>
        </w:tc>
        <w:tc>
          <w:tcPr>
            <w:tcW w:w="416" w:type="dxa"/>
            <w:tcBorders>
              <w:top w:val="single" w:sz="4" w:space="0" w:color="FFFFFF"/>
              <w:left w:val="nil"/>
              <w:right w:val="nil"/>
            </w:tcBorders>
            <w:shd w:val="clear" w:color="auto" w:fill="FAE3D4"/>
          </w:tcPr>
          <w:p w:rsidR="00A56FE9" w:rsidRDefault="00000000">
            <w:pPr>
              <w:pStyle w:val="TableParagraph"/>
              <w:spacing w:before="47"/>
              <w:ind w:left="84"/>
              <w:jc w:val="center"/>
              <w:rPr>
                <w:sz w:val="18"/>
              </w:rPr>
            </w:pPr>
            <w:r>
              <w:rPr>
                <w:sz w:val="18"/>
              </w:rPr>
              <w:t>9</w:t>
            </w:r>
          </w:p>
        </w:tc>
        <w:tc>
          <w:tcPr>
            <w:tcW w:w="568" w:type="dxa"/>
            <w:tcBorders>
              <w:top w:val="single" w:sz="4" w:space="0" w:color="FFFFFF"/>
              <w:left w:val="nil"/>
              <w:right w:val="nil"/>
            </w:tcBorders>
            <w:shd w:val="clear" w:color="auto" w:fill="FFF1CC"/>
          </w:tcPr>
          <w:p w:rsidR="00A56FE9" w:rsidRDefault="00000000">
            <w:pPr>
              <w:pStyle w:val="TableParagraph"/>
              <w:spacing w:before="47"/>
              <w:ind w:left="88"/>
              <w:jc w:val="center"/>
              <w:rPr>
                <w:sz w:val="18"/>
              </w:rPr>
            </w:pPr>
            <w:r>
              <w:rPr>
                <w:sz w:val="18"/>
              </w:rPr>
              <w:t>1</w:t>
            </w:r>
          </w:p>
        </w:tc>
        <w:tc>
          <w:tcPr>
            <w:tcW w:w="625" w:type="dxa"/>
            <w:tcBorders>
              <w:top w:val="single" w:sz="4" w:space="0" w:color="FFFFFF"/>
              <w:left w:val="nil"/>
              <w:right w:val="nil"/>
            </w:tcBorders>
            <w:shd w:val="clear" w:color="auto" w:fill="FFF1CC"/>
          </w:tcPr>
          <w:p w:rsidR="00A56FE9" w:rsidRDefault="00000000">
            <w:pPr>
              <w:pStyle w:val="TableParagraph"/>
              <w:spacing w:before="47"/>
              <w:ind w:left="87"/>
              <w:jc w:val="center"/>
              <w:rPr>
                <w:sz w:val="18"/>
              </w:rPr>
            </w:pPr>
            <w:r>
              <w:rPr>
                <w:sz w:val="18"/>
              </w:rPr>
              <w:t>2</w:t>
            </w:r>
          </w:p>
        </w:tc>
        <w:tc>
          <w:tcPr>
            <w:tcW w:w="385" w:type="dxa"/>
            <w:tcBorders>
              <w:top w:val="single" w:sz="4" w:space="0" w:color="FFFFFF"/>
              <w:left w:val="nil"/>
              <w:right w:val="nil"/>
            </w:tcBorders>
            <w:shd w:val="clear" w:color="auto" w:fill="FFFF66"/>
          </w:tcPr>
          <w:p w:rsidR="00A56FE9" w:rsidRDefault="00000000">
            <w:pPr>
              <w:pStyle w:val="TableParagraph"/>
              <w:spacing w:before="47"/>
              <w:ind w:left="182"/>
              <w:rPr>
                <w:sz w:val="18"/>
              </w:rPr>
            </w:pPr>
            <w:r>
              <w:rPr>
                <w:sz w:val="18"/>
              </w:rPr>
              <w:t>1</w:t>
            </w:r>
          </w:p>
        </w:tc>
        <w:tc>
          <w:tcPr>
            <w:tcW w:w="420" w:type="dxa"/>
            <w:tcBorders>
              <w:top w:val="single" w:sz="4" w:space="0" w:color="FFFFFF"/>
              <w:left w:val="nil"/>
              <w:right w:val="nil"/>
            </w:tcBorders>
            <w:shd w:val="clear" w:color="auto" w:fill="FFFF66"/>
          </w:tcPr>
          <w:p w:rsidR="00A56FE9" w:rsidRDefault="00000000">
            <w:pPr>
              <w:pStyle w:val="TableParagraph"/>
              <w:spacing w:before="47"/>
              <w:ind w:left="53"/>
              <w:jc w:val="center"/>
              <w:rPr>
                <w:sz w:val="18"/>
              </w:rPr>
            </w:pPr>
            <w:r>
              <w:rPr>
                <w:sz w:val="18"/>
              </w:rPr>
              <w:t>2</w:t>
            </w:r>
          </w:p>
        </w:tc>
        <w:tc>
          <w:tcPr>
            <w:tcW w:w="420" w:type="dxa"/>
            <w:tcBorders>
              <w:top w:val="single" w:sz="4" w:space="0" w:color="FFFFFF"/>
              <w:left w:val="nil"/>
              <w:right w:val="nil"/>
            </w:tcBorders>
            <w:shd w:val="clear" w:color="auto" w:fill="FFFF66"/>
          </w:tcPr>
          <w:p w:rsidR="00A56FE9" w:rsidRDefault="00000000">
            <w:pPr>
              <w:pStyle w:val="TableParagraph"/>
              <w:spacing w:before="47"/>
              <w:ind w:left="29"/>
              <w:jc w:val="center"/>
              <w:rPr>
                <w:sz w:val="18"/>
              </w:rPr>
            </w:pPr>
            <w:r>
              <w:rPr>
                <w:sz w:val="18"/>
              </w:rPr>
              <w:t>3</w:t>
            </w:r>
          </w:p>
        </w:tc>
        <w:tc>
          <w:tcPr>
            <w:tcW w:w="984" w:type="dxa"/>
            <w:tcBorders>
              <w:top w:val="single" w:sz="4" w:space="0" w:color="FFFFFF"/>
              <w:left w:val="nil"/>
              <w:right w:val="nil"/>
            </w:tcBorders>
            <w:shd w:val="clear" w:color="auto" w:fill="E1EED9"/>
          </w:tcPr>
          <w:p w:rsidR="00A56FE9" w:rsidRDefault="00000000">
            <w:pPr>
              <w:pStyle w:val="TableParagraph"/>
              <w:spacing w:before="47"/>
              <w:ind w:left="462"/>
              <w:rPr>
                <w:sz w:val="18"/>
              </w:rPr>
            </w:pPr>
            <w:r>
              <w:rPr>
                <w:sz w:val="18"/>
              </w:rPr>
              <w:t>1</w:t>
            </w:r>
          </w:p>
        </w:tc>
        <w:tc>
          <w:tcPr>
            <w:tcW w:w="1047" w:type="dxa"/>
            <w:tcBorders>
              <w:top w:val="single" w:sz="4" w:space="0" w:color="FFFFFF"/>
              <w:left w:val="nil"/>
              <w:right w:val="nil"/>
            </w:tcBorders>
            <w:shd w:val="clear" w:color="auto" w:fill="D0CECE"/>
          </w:tcPr>
          <w:p w:rsidR="00A56FE9" w:rsidRDefault="00000000">
            <w:pPr>
              <w:pStyle w:val="TableParagraph"/>
              <w:spacing w:before="47"/>
              <w:ind w:right="460"/>
              <w:jc w:val="right"/>
              <w:rPr>
                <w:sz w:val="18"/>
              </w:rPr>
            </w:pPr>
            <w:r>
              <w:rPr>
                <w:sz w:val="18"/>
              </w:rPr>
              <w:t>1</w:t>
            </w:r>
          </w:p>
        </w:tc>
      </w:tr>
      <w:tr w:rsidR="00A56FE9">
        <w:trPr>
          <w:trHeight w:val="1056"/>
        </w:trPr>
        <w:tc>
          <w:tcPr>
            <w:tcW w:w="668" w:type="dxa"/>
            <w:vMerge w:val="restart"/>
            <w:tcBorders>
              <w:left w:val="nil"/>
            </w:tcBorders>
            <w:shd w:val="clear" w:color="auto" w:fill="F1F1F1"/>
          </w:tcPr>
          <w:p w:rsidR="00A56FE9" w:rsidRDefault="00A56FE9">
            <w:pPr>
              <w:pStyle w:val="TableParagraph"/>
              <w:rPr>
                <w:b/>
                <w:sz w:val="20"/>
              </w:rPr>
            </w:pPr>
          </w:p>
          <w:p w:rsidR="00A56FE9" w:rsidRDefault="00A56FE9">
            <w:pPr>
              <w:pStyle w:val="TableParagraph"/>
              <w:rPr>
                <w:b/>
                <w:sz w:val="20"/>
              </w:rPr>
            </w:pPr>
          </w:p>
          <w:p w:rsidR="00A56FE9" w:rsidRDefault="00000000">
            <w:pPr>
              <w:pStyle w:val="TableParagraph"/>
              <w:spacing w:before="157"/>
              <w:ind w:left="112"/>
              <w:rPr>
                <w:b/>
                <w:sz w:val="18"/>
              </w:rPr>
            </w:pPr>
            <w:r>
              <w:rPr>
                <w:b/>
                <w:sz w:val="18"/>
              </w:rPr>
              <w:t>CSR4</w:t>
            </w:r>
          </w:p>
        </w:tc>
        <w:tc>
          <w:tcPr>
            <w:tcW w:w="3008" w:type="dxa"/>
            <w:shd w:val="clear" w:color="auto" w:fill="F1F1F1"/>
          </w:tcPr>
          <w:p w:rsidR="00A56FE9" w:rsidRDefault="00000000">
            <w:pPr>
              <w:pStyle w:val="TableParagraph"/>
              <w:ind w:left="107" w:right="111"/>
              <w:rPr>
                <w:sz w:val="18"/>
              </w:rPr>
            </w:pPr>
            <w:r>
              <w:rPr>
                <w:b/>
                <w:sz w:val="18"/>
              </w:rPr>
              <w:t xml:space="preserve">4.1. </w:t>
            </w:r>
            <w:r>
              <w:rPr>
                <w:sz w:val="18"/>
              </w:rPr>
              <w:t>Reinforce the capacity and</w:t>
            </w:r>
            <w:r>
              <w:rPr>
                <w:spacing w:val="1"/>
                <w:sz w:val="18"/>
              </w:rPr>
              <w:t xml:space="preserve"> </w:t>
            </w:r>
            <w:r>
              <w:rPr>
                <w:sz w:val="18"/>
              </w:rPr>
              <w:t>efficiency of the public administration</w:t>
            </w:r>
            <w:r>
              <w:rPr>
                <w:spacing w:val="-43"/>
                <w:sz w:val="18"/>
              </w:rPr>
              <w:t xml:space="preserve"> </w:t>
            </w:r>
            <w:r>
              <w:rPr>
                <w:sz w:val="18"/>
              </w:rPr>
              <w:t>to design and implement public</w:t>
            </w:r>
            <w:r>
              <w:rPr>
                <w:spacing w:val="1"/>
                <w:sz w:val="18"/>
              </w:rPr>
              <w:t xml:space="preserve"> </w:t>
            </w:r>
            <w:r>
              <w:rPr>
                <w:sz w:val="18"/>
              </w:rPr>
              <w:t>projects and policies at central and</w:t>
            </w:r>
            <w:r>
              <w:rPr>
                <w:spacing w:val="1"/>
                <w:sz w:val="18"/>
              </w:rPr>
              <w:t xml:space="preserve"> </w:t>
            </w:r>
            <w:r>
              <w:rPr>
                <w:sz w:val="18"/>
              </w:rPr>
              <w:t>local</w:t>
            </w:r>
            <w:r>
              <w:rPr>
                <w:spacing w:val="-1"/>
                <w:sz w:val="18"/>
              </w:rPr>
              <w:t xml:space="preserve"> </w:t>
            </w:r>
            <w:r>
              <w:rPr>
                <w:sz w:val="18"/>
              </w:rPr>
              <w:t>levels</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50"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1" w:type="dxa"/>
          </w:tcPr>
          <w:p w:rsidR="00A56FE9" w:rsidRDefault="00A56FE9">
            <w:pPr>
              <w:pStyle w:val="TableParagraph"/>
              <w:rPr>
                <w:sz w:val="18"/>
              </w:rPr>
            </w:pPr>
          </w:p>
        </w:tc>
        <w:tc>
          <w:tcPr>
            <w:tcW w:w="413"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right="138"/>
              <w:jc w:val="right"/>
              <w:rPr>
                <w:rFonts w:ascii="Wingdings" w:hAnsi="Wingdings"/>
                <w:sz w:val="18"/>
              </w:rPr>
            </w:pPr>
            <w:r>
              <w:rPr>
                <w:rFonts w:ascii="Wingdings" w:hAnsi="Wingdings"/>
                <w:color w:val="006FC0"/>
                <w:sz w:val="18"/>
              </w:rPr>
              <w:t></w:t>
            </w:r>
          </w:p>
        </w:tc>
        <w:tc>
          <w:tcPr>
            <w:tcW w:w="372"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right="119"/>
              <w:jc w:val="right"/>
              <w:rPr>
                <w:rFonts w:ascii="Wingdings" w:hAnsi="Wingdings"/>
                <w:sz w:val="18"/>
              </w:rPr>
            </w:pPr>
            <w:r>
              <w:rPr>
                <w:rFonts w:ascii="Wingdings" w:hAnsi="Wingdings"/>
                <w:color w:val="C00000"/>
                <w:sz w:val="18"/>
              </w:rPr>
              <w:t></w:t>
            </w:r>
          </w:p>
        </w:tc>
        <w:tc>
          <w:tcPr>
            <w:tcW w:w="398"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right="116"/>
              <w:jc w:val="right"/>
              <w:rPr>
                <w:rFonts w:ascii="Wingdings" w:hAnsi="Wingdings"/>
                <w:sz w:val="18"/>
              </w:rPr>
            </w:pPr>
            <w:r>
              <w:rPr>
                <w:rFonts w:ascii="Wingdings" w:hAnsi="Wingdings"/>
                <w:color w:val="C00000"/>
                <w:sz w:val="18"/>
              </w:rPr>
              <w:t></w:t>
            </w:r>
          </w:p>
        </w:tc>
        <w:tc>
          <w:tcPr>
            <w:tcW w:w="395"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left="131"/>
              <w:rPr>
                <w:rFonts w:ascii="Wingdings" w:hAnsi="Wingdings"/>
                <w:sz w:val="18"/>
              </w:rPr>
            </w:pPr>
            <w:r>
              <w:rPr>
                <w:rFonts w:ascii="Wingdings" w:hAnsi="Wingdings"/>
                <w:color w:val="C00000"/>
                <w:sz w:val="18"/>
              </w:rPr>
              <w:t></w:t>
            </w:r>
          </w:p>
        </w:tc>
        <w:tc>
          <w:tcPr>
            <w:tcW w:w="383"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97"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76" w:type="dxa"/>
          </w:tcPr>
          <w:p w:rsidR="00A56FE9" w:rsidRDefault="00A56FE9">
            <w:pPr>
              <w:pStyle w:val="TableParagraph"/>
              <w:rPr>
                <w:sz w:val="18"/>
              </w:rPr>
            </w:pPr>
          </w:p>
        </w:tc>
        <w:tc>
          <w:tcPr>
            <w:tcW w:w="416" w:type="dxa"/>
          </w:tcPr>
          <w:p w:rsidR="00A56FE9" w:rsidRDefault="00A56FE9">
            <w:pPr>
              <w:pStyle w:val="TableParagraph"/>
              <w:rPr>
                <w:b/>
                <w:sz w:val="20"/>
              </w:rPr>
            </w:pPr>
          </w:p>
          <w:p w:rsidR="00A56FE9" w:rsidRDefault="00A56FE9">
            <w:pPr>
              <w:pStyle w:val="TableParagraph"/>
              <w:spacing w:before="4"/>
              <w:rPr>
                <w:b/>
                <w:sz w:val="16"/>
              </w:rPr>
            </w:pPr>
          </w:p>
          <w:p w:rsidR="00A56FE9" w:rsidRDefault="00000000">
            <w:pPr>
              <w:pStyle w:val="TableParagraph"/>
              <w:spacing w:before="1"/>
              <w:ind w:left="8"/>
              <w:jc w:val="center"/>
              <w:rPr>
                <w:rFonts w:ascii="Wingdings" w:hAnsi="Wingdings"/>
                <w:sz w:val="18"/>
              </w:rPr>
            </w:pPr>
            <w:r>
              <w:rPr>
                <w:rFonts w:ascii="Wingdings" w:hAnsi="Wingdings"/>
                <w:color w:val="C00000"/>
                <w:sz w:val="18"/>
              </w:rPr>
              <w:t></w:t>
            </w:r>
          </w:p>
        </w:tc>
        <w:tc>
          <w:tcPr>
            <w:tcW w:w="568" w:type="dxa"/>
          </w:tcPr>
          <w:p w:rsidR="00A56FE9" w:rsidRDefault="00A56FE9">
            <w:pPr>
              <w:pStyle w:val="TableParagraph"/>
              <w:rPr>
                <w:sz w:val="18"/>
              </w:rPr>
            </w:pPr>
          </w:p>
        </w:tc>
        <w:tc>
          <w:tcPr>
            <w:tcW w:w="625" w:type="dxa"/>
          </w:tcPr>
          <w:p w:rsidR="00A56FE9" w:rsidRDefault="00A56FE9">
            <w:pPr>
              <w:pStyle w:val="TableParagraph"/>
              <w:rPr>
                <w:sz w:val="18"/>
              </w:rPr>
            </w:pPr>
          </w:p>
        </w:tc>
        <w:tc>
          <w:tcPr>
            <w:tcW w:w="385"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r w:rsidR="00A56FE9">
        <w:trPr>
          <w:trHeight w:val="433"/>
        </w:trPr>
        <w:tc>
          <w:tcPr>
            <w:tcW w:w="668" w:type="dxa"/>
            <w:vMerge/>
            <w:tcBorders>
              <w:top w:val="nil"/>
              <w:left w:val="nil"/>
            </w:tcBorders>
            <w:shd w:val="clear" w:color="auto" w:fill="F1F1F1"/>
          </w:tcPr>
          <w:p w:rsidR="00A56FE9" w:rsidRDefault="00A56FE9">
            <w:pPr>
              <w:rPr>
                <w:sz w:val="2"/>
                <w:szCs w:val="2"/>
              </w:rPr>
            </w:pPr>
          </w:p>
        </w:tc>
        <w:tc>
          <w:tcPr>
            <w:tcW w:w="3008" w:type="dxa"/>
            <w:shd w:val="clear" w:color="auto" w:fill="F1F1F1"/>
          </w:tcPr>
          <w:p w:rsidR="00A56FE9" w:rsidRDefault="00000000">
            <w:pPr>
              <w:pStyle w:val="TableParagraph"/>
              <w:spacing w:line="242" w:lineRule="auto"/>
              <w:ind w:left="107" w:right="466"/>
              <w:rPr>
                <w:sz w:val="18"/>
              </w:rPr>
            </w:pPr>
            <w:r>
              <w:rPr>
                <w:b/>
                <w:sz w:val="18"/>
              </w:rPr>
              <w:t>4.2.</w:t>
            </w:r>
            <w:r>
              <w:rPr>
                <w:b/>
                <w:spacing w:val="-1"/>
                <w:sz w:val="18"/>
              </w:rPr>
              <w:t xml:space="preserve"> </w:t>
            </w:r>
            <w:r>
              <w:rPr>
                <w:sz w:val="18"/>
              </w:rPr>
              <w:t>Improve</w:t>
            </w:r>
            <w:r>
              <w:rPr>
                <w:spacing w:val="-1"/>
                <w:sz w:val="18"/>
              </w:rPr>
              <w:t xml:space="preserve"> </w:t>
            </w:r>
            <w:r>
              <w:rPr>
                <w:sz w:val="18"/>
              </w:rPr>
              <w:t>the</w:t>
            </w:r>
            <w:r>
              <w:rPr>
                <w:spacing w:val="-1"/>
                <w:sz w:val="18"/>
              </w:rPr>
              <w:t xml:space="preserve"> </w:t>
            </w:r>
            <w:r>
              <w:rPr>
                <w:sz w:val="18"/>
              </w:rPr>
              <w:t>efficiency</w:t>
            </w:r>
            <w:r>
              <w:rPr>
                <w:spacing w:val="-4"/>
                <w:sz w:val="18"/>
              </w:rPr>
              <w:t xml:space="preserve"> </w:t>
            </w:r>
            <w:r>
              <w:rPr>
                <w:sz w:val="18"/>
              </w:rPr>
              <w:t>of</w:t>
            </w:r>
            <w:r>
              <w:rPr>
                <w:spacing w:val="-2"/>
                <w:sz w:val="18"/>
              </w:rPr>
              <w:t xml:space="preserve"> </w:t>
            </w:r>
            <w:r>
              <w:rPr>
                <w:sz w:val="18"/>
              </w:rPr>
              <w:t>the</w:t>
            </w:r>
            <w:r>
              <w:rPr>
                <w:spacing w:val="-42"/>
                <w:sz w:val="18"/>
              </w:rPr>
              <w:t xml:space="preserve"> </w:t>
            </w:r>
            <w:r>
              <w:rPr>
                <w:sz w:val="18"/>
              </w:rPr>
              <w:t>judicial</w:t>
            </w:r>
            <w:r>
              <w:rPr>
                <w:spacing w:val="-1"/>
                <w:sz w:val="18"/>
              </w:rPr>
              <w:t xml:space="preserve"> </w:t>
            </w:r>
            <w:r>
              <w:rPr>
                <w:sz w:val="18"/>
              </w:rPr>
              <w:t>system</w:t>
            </w:r>
          </w:p>
        </w:tc>
        <w:tc>
          <w:tcPr>
            <w:tcW w:w="415" w:type="dxa"/>
          </w:tcPr>
          <w:p w:rsidR="00A56FE9" w:rsidRDefault="00A56FE9">
            <w:pPr>
              <w:pStyle w:val="TableParagraph"/>
              <w:rPr>
                <w:sz w:val="18"/>
              </w:rPr>
            </w:pPr>
          </w:p>
        </w:tc>
        <w:tc>
          <w:tcPr>
            <w:tcW w:w="391" w:type="dxa"/>
          </w:tcPr>
          <w:p w:rsidR="00A56FE9" w:rsidRDefault="00A56FE9">
            <w:pPr>
              <w:pStyle w:val="TableParagraph"/>
              <w:rPr>
                <w:sz w:val="18"/>
              </w:rPr>
            </w:pPr>
          </w:p>
        </w:tc>
        <w:tc>
          <w:tcPr>
            <w:tcW w:w="350" w:type="dxa"/>
          </w:tcPr>
          <w:p w:rsidR="00A56FE9" w:rsidRDefault="00A56FE9">
            <w:pPr>
              <w:pStyle w:val="TableParagraph"/>
              <w:rPr>
                <w:sz w:val="18"/>
              </w:rPr>
            </w:pPr>
          </w:p>
        </w:tc>
        <w:tc>
          <w:tcPr>
            <w:tcW w:w="381" w:type="dxa"/>
          </w:tcPr>
          <w:p w:rsidR="00A56FE9" w:rsidRDefault="00A56FE9">
            <w:pPr>
              <w:pStyle w:val="TableParagraph"/>
              <w:rPr>
                <w:sz w:val="18"/>
              </w:rPr>
            </w:pPr>
          </w:p>
        </w:tc>
        <w:tc>
          <w:tcPr>
            <w:tcW w:w="381"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72" w:type="dxa"/>
          </w:tcPr>
          <w:p w:rsidR="00A56FE9" w:rsidRDefault="00A56FE9">
            <w:pPr>
              <w:pStyle w:val="TableParagraph"/>
              <w:rPr>
                <w:sz w:val="18"/>
              </w:rPr>
            </w:pPr>
          </w:p>
        </w:tc>
        <w:tc>
          <w:tcPr>
            <w:tcW w:w="398"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83" w:type="dxa"/>
          </w:tcPr>
          <w:p w:rsidR="00A56FE9" w:rsidRDefault="00A56FE9">
            <w:pPr>
              <w:pStyle w:val="TableParagraph"/>
              <w:rPr>
                <w:sz w:val="18"/>
              </w:rPr>
            </w:pPr>
          </w:p>
        </w:tc>
        <w:tc>
          <w:tcPr>
            <w:tcW w:w="395" w:type="dxa"/>
          </w:tcPr>
          <w:p w:rsidR="00A56FE9" w:rsidRDefault="00000000">
            <w:pPr>
              <w:pStyle w:val="TableParagraph"/>
              <w:spacing w:before="109"/>
              <w:ind w:left="133"/>
              <w:rPr>
                <w:rFonts w:ascii="Wingdings" w:hAnsi="Wingdings"/>
                <w:sz w:val="18"/>
              </w:rPr>
            </w:pPr>
            <w:r>
              <w:rPr>
                <w:rFonts w:ascii="Wingdings" w:hAnsi="Wingdings"/>
                <w:color w:val="C00000"/>
                <w:sz w:val="18"/>
              </w:rPr>
              <w:t></w:t>
            </w:r>
          </w:p>
        </w:tc>
        <w:tc>
          <w:tcPr>
            <w:tcW w:w="397" w:type="dxa"/>
          </w:tcPr>
          <w:p w:rsidR="00A56FE9" w:rsidRDefault="00A56FE9">
            <w:pPr>
              <w:pStyle w:val="TableParagraph"/>
              <w:rPr>
                <w:sz w:val="18"/>
              </w:rPr>
            </w:pPr>
          </w:p>
        </w:tc>
        <w:tc>
          <w:tcPr>
            <w:tcW w:w="395" w:type="dxa"/>
          </w:tcPr>
          <w:p w:rsidR="00A56FE9" w:rsidRDefault="00A56FE9">
            <w:pPr>
              <w:pStyle w:val="TableParagraph"/>
              <w:rPr>
                <w:sz w:val="18"/>
              </w:rPr>
            </w:pPr>
          </w:p>
        </w:tc>
        <w:tc>
          <w:tcPr>
            <w:tcW w:w="376" w:type="dxa"/>
          </w:tcPr>
          <w:p w:rsidR="00A56FE9" w:rsidRDefault="00A56FE9">
            <w:pPr>
              <w:pStyle w:val="TableParagraph"/>
              <w:rPr>
                <w:sz w:val="18"/>
              </w:rPr>
            </w:pPr>
          </w:p>
        </w:tc>
        <w:tc>
          <w:tcPr>
            <w:tcW w:w="416" w:type="dxa"/>
          </w:tcPr>
          <w:p w:rsidR="00A56FE9" w:rsidRDefault="00A56FE9">
            <w:pPr>
              <w:pStyle w:val="TableParagraph"/>
              <w:rPr>
                <w:sz w:val="18"/>
              </w:rPr>
            </w:pPr>
          </w:p>
        </w:tc>
        <w:tc>
          <w:tcPr>
            <w:tcW w:w="568" w:type="dxa"/>
          </w:tcPr>
          <w:p w:rsidR="00A56FE9" w:rsidRDefault="00A56FE9">
            <w:pPr>
              <w:pStyle w:val="TableParagraph"/>
              <w:rPr>
                <w:sz w:val="18"/>
              </w:rPr>
            </w:pPr>
          </w:p>
        </w:tc>
        <w:tc>
          <w:tcPr>
            <w:tcW w:w="625" w:type="dxa"/>
          </w:tcPr>
          <w:p w:rsidR="00A56FE9" w:rsidRDefault="00A56FE9">
            <w:pPr>
              <w:pStyle w:val="TableParagraph"/>
              <w:rPr>
                <w:sz w:val="18"/>
              </w:rPr>
            </w:pPr>
          </w:p>
        </w:tc>
        <w:tc>
          <w:tcPr>
            <w:tcW w:w="385"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20" w:type="dxa"/>
          </w:tcPr>
          <w:p w:rsidR="00A56FE9" w:rsidRDefault="00A56FE9">
            <w:pPr>
              <w:pStyle w:val="TableParagraph"/>
              <w:rPr>
                <w:sz w:val="18"/>
              </w:rPr>
            </w:pPr>
          </w:p>
        </w:tc>
        <w:tc>
          <w:tcPr>
            <w:tcW w:w="984" w:type="dxa"/>
          </w:tcPr>
          <w:p w:rsidR="00A56FE9" w:rsidRDefault="00A56FE9">
            <w:pPr>
              <w:pStyle w:val="TableParagraph"/>
              <w:rPr>
                <w:sz w:val="18"/>
              </w:rPr>
            </w:pPr>
          </w:p>
        </w:tc>
        <w:tc>
          <w:tcPr>
            <w:tcW w:w="1047" w:type="dxa"/>
            <w:tcBorders>
              <w:right w:val="nil"/>
            </w:tcBorders>
          </w:tcPr>
          <w:p w:rsidR="00A56FE9" w:rsidRDefault="00A56FE9">
            <w:pPr>
              <w:pStyle w:val="TableParagraph"/>
              <w:rPr>
                <w:sz w:val="18"/>
              </w:rPr>
            </w:pPr>
          </w:p>
        </w:tc>
      </w:tr>
    </w:tbl>
    <w:p w:rsidR="00A56FE9" w:rsidRDefault="00A56FE9">
      <w:pPr>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9"/>
        <w:ind w:left="0"/>
        <w:jc w:val="left"/>
        <w:rPr>
          <w:b/>
          <w:sz w:val="18"/>
        </w:rPr>
      </w:pPr>
    </w:p>
    <w:p w:rsidR="00A56FE9" w:rsidRDefault="00000000">
      <w:pPr>
        <w:pStyle w:val="Naslov5"/>
        <w:spacing w:before="90"/>
        <w:ind w:left="958"/>
        <w:jc w:val="left"/>
      </w:pPr>
      <w:r>
        <w:rPr>
          <w:b w:val="0"/>
          <w:color w:val="003399"/>
        </w:rPr>
        <w:t>Addendum</w:t>
      </w:r>
      <w:r>
        <w:rPr>
          <w:b w:val="0"/>
          <w:color w:val="003399"/>
          <w:spacing w:val="-1"/>
        </w:rPr>
        <w:t xml:space="preserve"> </w:t>
      </w:r>
      <w:r>
        <w:rPr>
          <w:b w:val="0"/>
          <w:color w:val="003399"/>
        </w:rPr>
        <w:t>2.</w:t>
      </w:r>
      <w:r>
        <w:rPr>
          <w:b w:val="0"/>
          <w:color w:val="003399"/>
          <w:spacing w:val="-1"/>
        </w:rPr>
        <w:t xml:space="preserve"> </w:t>
      </w:r>
      <w:r>
        <w:rPr>
          <w:color w:val="003399"/>
        </w:rPr>
        <w:t>Alignment</w:t>
      </w:r>
      <w:r>
        <w:rPr>
          <w:color w:val="003399"/>
          <w:spacing w:val="-1"/>
        </w:rPr>
        <w:t xml:space="preserve"> </w:t>
      </w:r>
      <w:r>
        <w:rPr>
          <w:color w:val="003399"/>
        </w:rPr>
        <w:t>of</w:t>
      </w:r>
      <w:r>
        <w:rPr>
          <w:color w:val="003399"/>
          <w:spacing w:val="-1"/>
        </w:rPr>
        <w:t xml:space="preserve"> </w:t>
      </w:r>
      <w:r>
        <w:rPr>
          <w:color w:val="003399"/>
        </w:rPr>
        <w:t>NRP</w:t>
      </w:r>
      <w:r>
        <w:rPr>
          <w:color w:val="003399"/>
          <w:spacing w:val="-3"/>
        </w:rPr>
        <w:t xml:space="preserve"> </w:t>
      </w:r>
      <w:r>
        <w:rPr>
          <w:color w:val="003399"/>
        </w:rPr>
        <w:t>with</w:t>
      </w:r>
      <w:r>
        <w:rPr>
          <w:color w:val="003399"/>
          <w:spacing w:val="-1"/>
        </w:rPr>
        <w:t xml:space="preserve"> </w:t>
      </w:r>
      <w:r>
        <w:rPr>
          <w:color w:val="003399"/>
        </w:rPr>
        <w:t>the</w:t>
      </w:r>
      <w:r>
        <w:rPr>
          <w:color w:val="003399"/>
          <w:spacing w:val="-1"/>
        </w:rPr>
        <w:t xml:space="preserve"> </w:t>
      </w:r>
      <w:r>
        <w:rPr>
          <w:color w:val="003399"/>
        </w:rPr>
        <w:t>principles</w:t>
      </w:r>
      <w:r>
        <w:rPr>
          <w:color w:val="003399"/>
          <w:spacing w:val="-1"/>
        </w:rPr>
        <w:t xml:space="preserve"> </w:t>
      </w:r>
      <w:r>
        <w:rPr>
          <w:color w:val="003399"/>
        </w:rPr>
        <w:t>of</w:t>
      </w:r>
      <w:r>
        <w:rPr>
          <w:color w:val="003399"/>
          <w:spacing w:val="1"/>
        </w:rPr>
        <w:t xml:space="preserve"> </w:t>
      </w:r>
      <w:r>
        <w:rPr>
          <w:color w:val="003399"/>
        </w:rPr>
        <w:t>the</w:t>
      </w:r>
      <w:r>
        <w:rPr>
          <w:color w:val="003399"/>
          <w:spacing w:val="-1"/>
        </w:rPr>
        <w:t xml:space="preserve"> </w:t>
      </w:r>
      <w:r>
        <w:rPr>
          <w:color w:val="003399"/>
        </w:rPr>
        <w:t>European</w:t>
      </w:r>
      <w:r>
        <w:rPr>
          <w:color w:val="003399"/>
          <w:spacing w:val="-1"/>
        </w:rPr>
        <w:t xml:space="preserve"> </w:t>
      </w:r>
      <w:r>
        <w:rPr>
          <w:color w:val="003399"/>
        </w:rPr>
        <w:t>Pillar</w:t>
      </w:r>
      <w:r>
        <w:rPr>
          <w:color w:val="003399"/>
          <w:spacing w:val="-1"/>
        </w:rPr>
        <w:t xml:space="preserve"> </w:t>
      </w:r>
      <w:r>
        <w:rPr>
          <w:color w:val="003399"/>
        </w:rPr>
        <w:t>of</w:t>
      </w:r>
      <w:r>
        <w:rPr>
          <w:color w:val="003399"/>
          <w:spacing w:val="-1"/>
        </w:rPr>
        <w:t xml:space="preserve"> </w:t>
      </w:r>
      <w:r>
        <w:rPr>
          <w:color w:val="003399"/>
        </w:rPr>
        <w:t>Social Rights</w:t>
      </w:r>
    </w:p>
    <w:p w:rsidR="00A56FE9" w:rsidRDefault="00A56FE9">
      <w:pPr>
        <w:pStyle w:val="Tijeloteksta"/>
        <w:spacing w:before="10"/>
        <w:ind w:left="0"/>
        <w:jc w:val="left"/>
        <w:rPr>
          <w:b/>
          <w:sz w:val="17"/>
        </w:rPr>
      </w:pPr>
    </w:p>
    <w:tbl>
      <w:tblPr>
        <w:tblStyle w:val="TableNormal"/>
        <w:tblW w:w="0" w:type="auto"/>
        <w:tblInd w:w="970"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3399"/>
        <w:gridCol w:w="426"/>
        <w:gridCol w:w="394"/>
        <w:gridCol w:w="407"/>
        <w:gridCol w:w="349"/>
        <w:gridCol w:w="407"/>
        <w:gridCol w:w="412"/>
        <w:gridCol w:w="418"/>
        <w:gridCol w:w="455"/>
        <w:gridCol w:w="415"/>
        <w:gridCol w:w="411"/>
        <w:gridCol w:w="351"/>
        <w:gridCol w:w="358"/>
        <w:gridCol w:w="351"/>
        <w:gridCol w:w="356"/>
        <w:gridCol w:w="426"/>
        <w:gridCol w:w="614"/>
        <w:gridCol w:w="615"/>
        <w:gridCol w:w="565"/>
        <w:gridCol w:w="567"/>
        <w:gridCol w:w="529"/>
        <w:gridCol w:w="992"/>
        <w:gridCol w:w="791"/>
      </w:tblGrid>
      <w:tr w:rsidR="00A56FE9">
        <w:trPr>
          <w:trHeight w:val="783"/>
        </w:trPr>
        <w:tc>
          <w:tcPr>
            <w:tcW w:w="3399" w:type="dxa"/>
            <w:tcBorders>
              <w:bottom w:val="nil"/>
              <w:right w:val="single" w:sz="4" w:space="0" w:color="FFFFFF"/>
            </w:tcBorders>
            <w:shd w:val="clear" w:color="auto" w:fill="2C398A"/>
          </w:tcPr>
          <w:p w:rsidR="00A56FE9" w:rsidRDefault="00A56FE9">
            <w:pPr>
              <w:pStyle w:val="TableParagraph"/>
              <w:spacing w:before="7"/>
              <w:rPr>
                <w:b/>
                <w:sz w:val="26"/>
              </w:rPr>
            </w:pPr>
          </w:p>
          <w:p w:rsidR="00A56FE9" w:rsidRDefault="00000000">
            <w:pPr>
              <w:pStyle w:val="TableParagraph"/>
              <w:spacing w:before="1"/>
              <w:ind w:left="1224" w:right="1215"/>
              <w:jc w:val="center"/>
              <w:rPr>
                <w:sz w:val="18"/>
              </w:rPr>
            </w:pPr>
            <w:r>
              <w:rPr>
                <w:color w:val="FFFFFF"/>
                <w:sz w:val="18"/>
              </w:rPr>
              <w:t>Components</w:t>
            </w:r>
          </w:p>
        </w:tc>
        <w:tc>
          <w:tcPr>
            <w:tcW w:w="426" w:type="dxa"/>
            <w:tcBorders>
              <w:left w:val="single" w:sz="4" w:space="0" w:color="FFFFFF"/>
              <w:bottom w:val="nil"/>
              <w:right w:val="nil"/>
            </w:tcBorders>
            <w:shd w:val="clear" w:color="auto" w:fill="2C398A"/>
          </w:tcPr>
          <w:p w:rsidR="00A56FE9" w:rsidRDefault="00A56FE9">
            <w:pPr>
              <w:pStyle w:val="TableParagraph"/>
              <w:rPr>
                <w:sz w:val="18"/>
              </w:rPr>
            </w:pPr>
          </w:p>
        </w:tc>
        <w:tc>
          <w:tcPr>
            <w:tcW w:w="394" w:type="dxa"/>
            <w:tcBorders>
              <w:left w:val="nil"/>
              <w:bottom w:val="nil"/>
              <w:right w:val="nil"/>
            </w:tcBorders>
            <w:shd w:val="clear" w:color="auto" w:fill="2C398A"/>
          </w:tcPr>
          <w:p w:rsidR="00A56FE9" w:rsidRDefault="00A56FE9">
            <w:pPr>
              <w:pStyle w:val="TableParagraph"/>
              <w:rPr>
                <w:sz w:val="18"/>
              </w:rPr>
            </w:pPr>
          </w:p>
        </w:tc>
        <w:tc>
          <w:tcPr>
            <w:tcW w:w="756" w:type="dxa"/>
            <w:gridSpan w:val="2"/>
            <w:tcBorders>
              <w:left w:val="nil"/>
              <w:bottom w:val="nil"/>
              <w:right w:val="nil"/>
            </w:tcBorders>
            <w:shd w:val="clear" w:color="auto" w:fill="2C398A"/>
          </w:tcPr>
          <w:p w:rsidR="00A56FE9" w:rsidRDefault="00A56FE9">
            <w:pPr>
              <w:pStyle w:val="TableParagraph"/>
              <w:spacing w:before="7"/>
              <w:rPr>
                <w:b/>
                <w:sz w:val="26"/>
              </w:rPr>
            </w:pPr>
          </w:p>
          <w:p w:rsidR="00A56FE9" w:rsidRDefault="00000000">
            <w:pPr>
              <w:pStyle w:val="TableParagraph"/>
              <w:spacing w:before="1"/>
              <w:ind w:left="37"/>
              <w:rPr>
                <w:sz w:val="18"/>
              </w:rPr>
            </w:pPr>
            <w:r>
              <w:rPr>
                <w:color w:val="FFFFFF"/>
                <w:sz w:val="18"/>
              </w:rPr>
              <w:t>Economy</w:t>
            </w:r>
          </w:p>
        </w:tc>
        <w:tc>
          <w:tcPr>
            <w:tcW w:w="407" w:type="dxa"/>
            <w:tcBorders>
              <w:left w:val="nil"/>
              <w:bottom w:val="nil"/>
              <w:right w:val="nil"/>
            </w:tcBorders>
            <w:shd w:val="clear" w:color="auto" w:fill="2C398A"/>
          </w:tcPr>
          <w:p w:rsidR="00A56FE9" w:rsidRDefault="00A56FE9">
            <w:pPr>
              <w:pStyle w:val="TableParagraph"/>
              <w:rPr>
                <w:sz w:val="18"/>
              </w:rPr>
            </w:pPr>
          </w:p>
        </w:tc>
        <w:tc>
          <w:tcPr>
            <w:tcW w:w="412" w:type="dxa"/>
            <w:tcBorders>
              <w:left w:val="nil"/>
              <w:bottom w:val="nil"/>
              <w:right w:val="single" w:sz="4" w:space="0" w:color="FFFFFF"/>
            </w:tcBorders>
            <w:shd w:val="clear" w:color="auto" w:fill="2C398A"/>
          </w:tcPr>
          <w:p w:rsidR="00A56FE9" w:rsidRDefault="00A56FE9">
            <w:pPr>
              <w:pStyle w:val="TableParagraph"/>
              <w:rPr>
                <w:sz w:val="18"/>
              </w:rPr>
            </w:pPr>
          </w:p>
        </w:tc>
        <w:tc>
          <w:tcPr>
            <w:tcW w:w="3541" w:type="dxa"/>
            <w:gridSpan w:val="9"/>
            <w:tcBorders>
              <w:left w:val="single" w:sz="4" w:space="0" w:color="FFFFFF"/>
              <w:bottom w:val="nil"/>
              <w:right w:val="single" w:sz="4" w:space="0" w:color="FFFFFF"/>
            </w:tcBorders>
            <w:shd w:val="clear" w:color="auto" w:fill="2C398A"/>
          </w:tcPr>
          <w:p w:rsidR="00A56FE9" w:rsidRDefault="00A56FE9">
            <w:pPr>
              <w:pStyle w:val="TableParagraph"/>
              <w:spacing w:before="8"/>
              <w:rPr>
                <w:b/>
                <w:sz w:val="17"/>
              </w:rPr>
            </w:pPr>
          </w:p>
          <w:p w:rsidR="00A56FE9" w:rsidRDefault="00000000">
            <w:pPr>
              <w:pStyle w:val="TableParagraph"/>
              <w:ind w:left="1529" w:right="221" w:hanging="1294"/>
              <w:rPr>
                <w:sz w:val="18"/>
              </w:rPr>
            </w:pPr>
            <w:r>
              <w:rPr>
                <w:color w:val="FFFFFF"/>
                <w:sz w:val="18"/>
              </w:rPr>
              <w:t>Public Administration, Judiciary and State</w:t>
            </w:r>
            <w:r>
              <w:rPr>
                <w:color w:val="FFFFFF"/>
                <w:spacing w:val="-42"/>
                <w:sz w:val="18"/>
              </w:rPr>
              <w:t xml:space="preserve"> </w:t>
            </w:r>
            <w:r>
              <w:rPr>
                <w:color w:val="FFFFFF"/>
                <w:sz w:val="18"/>
              </w:rPr>
              <w:t>Assets</w:t>
            </w:r>
          </w:p>
        </w:tc>
        <w:tc>
          <w:tcPr>
            <w:tcW w:w="1229" w:type="dxa"/>
            <w:gridSpan w:val="2"/>
            <w:tcBorders>
              <w:left w:val="single" w:sz="4" w:space="0" w:color="FFFFFF"/>
              <w:bottom w:val="nil"/>
              <w:right w:val="single" w:sz="4" w:space="0" w:color="FFFFFF"/>
            </w:tcBorders>
            <w:shd w:val="clear" w:color="auto" w:fill="2C398A"/>
          </w:tcPr>
          <w:p w:rsidR="00A56FE9" w:rsidRDefault="00000000">
            <w:pPr>
              <w:pStyle w:val="TableParagraph"/>
              <w:spacing w:before="98"/>
              <w:ind w:left="172" w:right="179" w:firstLine="43"/>
              <w:jc w:val="both"/>
              <w:rPr>
                <w:sz w:val="18"/>
              </w:rPr>
            </w:pPr>
            <w:r>
              <w:rPr>
                <w:color w:val="FFFFFF"/>
                <w:sz w:val="18"/>
              </w:rPr>
              <w:t>Education,</w:t>
            </w:r>
            <w:r>
              <w:rPr>
                <w:color w:val="FFFFFF"/>
                <w:spacing w:val="1"/>
                <w:sz w:val="18"/>
              </w:rPr>
              <w:t xml:space="preserve"> </w:t>
            </w:r>
            <w:r>
              <w:rPr>
                <w:color w:val="FFFFFF"/>
                <w:spacing w:val="-1"/>
                <w:sz w:val="18"/>
              </w:rPr>
              <w:t xml:space="preserve">Science </w:t>
            </w:r>
            <w:r>
              <w:rPr>
                <w:color w:val="FFFFFF"/>
                <w:sz w:val="18"/>
              </w:rPr>
              <w:t>and</w:t>
            </w:r>
            <w:r>
              <w:rPr>
                <w:color w:val="FFFFFF"/>
                <w:spacing w:val="-42"/>
                <w:sz w:val="18"/>
              </w:rPr>
              <w:t xml:space="preserve"> </w:t>
            </w:r>
            <w:r>
              <w:rPr>
                <w:color w:val="FFFFFF"/>
                <w:sz w:val="18"/>
              </w:rPr>
              <w:t>Research</w:t>
            </w:r>
          </w:p>
        </w:tc>
        <w:tc>
          <w:tcPr>
            <w:tcW w:w="1661" w:type="dxa"/>
            <w:gridSpan w:val="3"/>
            <w:tcBorders>
              <w:left w:val="single" w:sz="4" w:space="0" w:color="FFFFFF"/>
              <w:bottom w:val="nil"/>
              <w:right w:val="single" w:sz="4" w:space="0" w:color="FFFFFF"/>
            </w:tcBorders>
            <w:shd w:val="clear" w:color="auto" w:fill="2C398A"/>
          </w:tcPr>
          <w:p w:rsidR="00A56FE9" w:rsidRDefault="00A56FE9">
            <w:pPr>
              <w:pStyle w:val="TableParagraph"/>
              <w:spacing w:before="8"/>
              <w:rPr>
                <w:b/>
                <w:sz w:val="17"/>
              </w:rPr>
            </w:pPr>
          </w:p>
          <w:p w:rsidR="00A56FE9" w:rsidRDefault="00000000">
            <w:pPr>
              <w:pStyle w:val="TableParagraph"/>
              <w:ind w:left="201" w:right="120" w:hanging="80"/>
              <w:rPr>
                <w:sz w:val="18"/>
              </w:rPr>
            </w:pPr>
            <w:r>
              <w:rPr>
                <w:color w:val="FFFFFF"/>
                <w:sz w:val="18"/>
              </w:rPr>
              <w:t>Labour Market and</w:t>
            </w:r>
            <w:r>
              <w:rPr>
                <w:color w:val="FFFFFF"/>
                <w:spacing w:val="-42"/>
                <w:sz w:val="18"/>
              </w:rPr>
              <w:t xml:space="preserve"> </w:t>
            </w:r>
            <w:r>
              <w:rPr>
                <w:color w:val="FFFFFF"/>
                <w:sz w:val="18"/>
              </w:rPr>
              <w:t>Social</w:t>
            </w:r>
            <w:r>
              <w:rPr>
                <w:color w:val="FFFFFF"/>
                <w:spacing w:val="-3"/>
                <w:sz w:val="18"/>
              </w:rPr>
              <w:t xml:space="preserve"> </w:t>
            </w:r>
            <w:r>
              <w:rPr>
                <w:color w:val="FFFFFF"/>
                <w:sz w:val="18"/>
              </w:rPr>
              <w:t>Protection</w:t>
            </w:r>
          </w:p>
        </w:tc>
        <w:tc>
          <w:tcPr>
            <w:tcW w:w="992" w:type="dxa"/>
            <w:tcBorders>
              <w:left w:val="single" w:sz="4" w:space="0" w:color="FFFFFF"/>
              <w:bottom w:val="nil"/>
              <w:right w:val="single" w:sz="4" w:space="0" w:color="FFFFFF"/>
            </w:tcBorders>
            <w:shd w:val="clear" w:color="auto" w:fill="2C398A"/>
          </w:tcPr>
          <w:p w:rsidR="00A56FE9" w:rsidRDefault="00A56FE9">
            <w:pPr>
              <w:pStyle w:val="TableParagraph"/>
              <w:spacing w:before="8"/>
              <w:rPr>
                <w:b/>
                <w:sz w:val="17"/>
              </w:rPr>
            </w:pPr>
          </w:p>
          <w:p w:rsidR="00A56FE9" w:rsidRDefault="00000000">
            <w:pPr>
              <w:pStyle w:val="TableParagraph"/>
              <w:ind w:left="311" w:right="241" w:hanging="70"/>
              <w:rPr>
                <w:sz w:val="18"/>
              </w:rPr>
            </w:pPr>
            <w:r>
              <w:rPr>
                <w:color w:val="FFFFFF"/>
                <w:sz w:val="18"/>
              </w:rPr>
              <w:t>Health</w:t>
            </w:r>
            <w:r>
              <w:rPr>
                <w:color w:val="FFFFFF"/>
                <w:spacing w:val="-43"/>
                <w:sz w:val="18"/>
              </w:rPr>
              <w:t xml:space="preserve"> </w:t>
            </w:r>
            <w:r>
              <w:rPr>
                <w:color w:val="FFFFFF"/>
                <w:sz w:val="18"/>
              </w:rPr>
              <w:t>Care</w:t>
            </w:r>
          </w:p>
        </w:tc>
        <w:tc>
          <w:tcPr>
            <w:tcW w:w="791" w:type="dxa"/>
            <w:tcBorders>
              <w:left w:val="single" w:sz="4" w:space="0" w:color="FFFFFF"/>
              <w:bottom w:val="nil"/>
            </w:tcBorders>
            <w:shd w:val="clear" w:color="auto" w:fill="2C398A"/>
          </w:tcPr>
          <w:p w:rsidR="00A56FE9" w:rsidRDefault="00000000">
            <w:pPr>
              <w:pStyle w:val="TableParagraph"/>
              <w:spacing w:line="242" w:lineRule="auto"/>
              <w:ind w:left="107" w:right="121"/>
              <w:jc w:val="center"/>
              <w:rPr>
                <w:sz w:val="18"/>
              </w:rPr>
            </w:pPr>
            <w:r>
              <w:rPr>
                <w:color w:val="FFFFFF"/>
                <w:sz w:val="18"/>
              </w:rPr>
              <w:t>Renova</w:t>
            </w:r>
            <w:r>
              <w:rPr>
                <w:color w:val="FFFFFF"/>
                <w:spacing w:val="-42"/>
                <w:sz w:val="18"/>
              </w:rPr>
              <w:t xml:space="preserve"> </w:t>
            </w:r>
            <w:r>
              <w:rPr>
                <w:color w:val="FFFFFF"/>
                <w:sz w:val="18"/>
              </w:rPr>
              <w:t>tion</w:t>
            </w:r>
            <w:r>
              <w:rPr>
                <w:color w:val="FFFFFF"/>
                <w:spacing w:val="-1"/>
                <w:sz w:val="18"/>
              </w:rPr>
              <w:t xml:space="preserve"> </w:t>
            </w:r>
            <w:r>
              <w:rPr>
                <w:color w:val="FFFFFF"/>
                <w:sz w:val="18"/>
              </w:rPr>
              <w:t>of</w:t>
            </w:r>
          </w:p>
          <w:p w:rsidR="00A56FE9" w:rsidRDefault="00000000">
            <w:pPr>
              <w:pStyle w:val="TableParagraph"/>
              <w:spacing w:line="206" w:lineRule="exact"/>
              <w:ind w:left="107" w:right="120"/>
              <w:jc w:val="center"/>
              <w:rPr>
                <w:sz w:val="18"/>
              </w:rPr>
            </w:pPr>
            <w:r>
              <w:rPr>
                <w:color w:val="FFFFFF"/>
                <w:sz w:val="18"/>
              </w:rPr>
              <w:t>Buildin</w:t>
            </w:r>
            <w:r>
              <w:rPr>
                <w:color w:val="FFFFFF"/>
                <w:spacing w:val="-42"/>
                <w:sz w:val="18"/>
              </w:rPr>
              <w:t xml:space="preserve"> </w:t>
            </w:r>
            <w:r>
              <w:rPr>
                <w:color w:val="FFFFFF"/>
                <w:sz w:val="18"/>
              </w:rPr>
              <w:t>gs</w:t>
            </w:r>
          </w:p>
        </w:tc>
      </w:tr>
      <w:tr w:rsidR="00A56FE9">
        <w:trPr>
          <w:trHeight w:val="446"/>
        </w:trPr>
        <w:tc>
          <w:tcPr>
            <w:tcW w:w="3399" w:type="dxa"/>
            <w:tcBorders>
              <w:top w:val="nil"/>
              <w:bottom w:val="single" w:sz="4" w:space="0" w:color="FFFFFF"/>
              <w:right w:val="single" w:sz="4" w:space="0" w:color="FFFFFF"/>
            </w:tcBorders>
            <w:shd w:val="clear" w:color="auto" w:fill="2C398A"/>
          </w:tcPr>
          <w:p w:rsidR="00A56FE9" w:rsidRDefault="00000000">
            <w:pPr>
              <w:pStyle w:val="TableParagraph"/>
              <w:spacing w:before="113"/>
              <w:ind w:left="1222" w:right="1215"/>
              <w:jc w:val="center"/>
              <w:rPr>
                <w:sz w:val="18"/>
              </w:rPr>
            </w:pPr>
            <w:r>
              <w:rPr>
                <w:color w:val="FFFFFF"/>
                <w:sz w:val="18"/>
              </w:rPr>
              <w:t>Šifra</w:t>
            </w:r>
          </w:p>
        </w:tc>
        <w:tc>
          <w:tcPr>
            <w:tcW w:w="426" w:type="dxa"/>
            <w:tcBorders>
              <w:top w:val="nil"/>
              <w:left w:val="single" w:sz="4" w:space="0" w:color="FFFFFF"/>
              <w:bottom w:val="single" w:sz="4" w:space="0" w:color="FFFFFF"/>
              <w:right w:val="nil"/>
            </w:tcBorders>
            <w:shd w:val="clear" w:color="auto" w:fill="2C398A"/>
          </w:tcPr>
          <w:p w:rsidR="00A56FE9" w:rsidRDefault="00A56FE9">
            <w:pPr>
              <w:pStyle w:val="TableParagraph"/>
              <w:rPr>
                <w:sz w:val="18"/>
              </w:rPr>
            </w:pPr>
          </w:p>
        </w:tc>
        <w:tc>
          <w:tcPr>
            <w:tcW w:w="394"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756" w:type="dxa"/>
            <w:gridSpan w:val="2"/>
            <w:tcBorders>
              <w:top w:val="nil"/>
              <w:left w:val="nil"/>
              <w:bottom w:val="single" w:sz="4" w:space="0" w:color="FFFFFF"/>
              <w:right w:val="nil"/>
            </w:tcBorders>
            <w:shd w:val="clear" w:color="auto" w:fill="2C398A"/>
          </w:tcPr>
          <w:p w:rsidR="00A56FE9" w:rsidRDefault="00000000">
            <w:pPr>
              <w:pStyle w:val="TableParagraph"/>
              <w:spacing w:before="113"/>
              <w:ind w:left="254" w:right="251"/>
              <w:jc w:val="center"/>
              <w:rPr>
                <w:sz w:val="18"/>
              </w:rPr>
            </w:pPr>
            <w:r>
              <w:rPr>
                <w:color w:val="FFFFFF"/>
                <w:sz w:val="18"/>
              </w:rPr>
              <w:t>C1</w:t>
            </w:r>
          </w:p>
        </w:tc>
        <w:tc>
          <w:tcPr>
            <w:tcW w:w="407"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12" w:type="dxa"/>
            <w:tcBorders>
              <w:top w:val="nil"/>
              <w:left w:val="nil"/>
              <w:bottom w:val="single" w:sz="4" w:space="0" w:color="FFFFFF"/>
              <w:right w:val="single" w:sz="4" w:space="0" w:color="FFFFFF"/>
            </w:tcBorders>
            <w:shd w:val="clear" w:color="auto" w:fill="2C398A"/>
          </w:tcPr>
          <w:p w:rsidR="00A56FE9" w:rsidRDefault="00A56FE9">
            <w:pPr>
              <w:pStyle w:val="TableParagraph"/>
              <w:rPr>
                <w:sz w:val="18"/>
              </w:rPr>
            </w:pPr>
          </w:p>
        </w:tc>
        <w:tc>
          <w:tcPr>
            <w:tcW w:w="418" w:type="dxa"/>
            <w:tcBorders>
              <w:top w:val="nil"/>
              <w:left w:val="single" w:sz="4" w:space="0" w:color="FFFFFF"/>
              <w:bottom w:val="single" w:sz="4" w:space="0" w:color="FFFFFF"/>
              <w:right w:val="nil"/>
            </w:tcBorders>
            <w:shd w:val="clear" w:color="auto" w:fill="2C398A"/>
          </w:tcPr>
          <w:p w:rsidR="00A56FE9" w:rsidRDefault="00A56FE9">
            <w:pPr>
              <w:pStyle w:val="TableParagraph"/>
              <w:rPr>
                <w:sz w:val="18"/>
              </w:rPr>
            </w:pPr>
          </w:p>
        </w:tc>
        <w:tc>
          <w:tcPr>
            <w:tcW w:w="455"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15"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762" w:type="dxa"/>
            <w:gridSpan w:val="2"/>
            <w:tcBorders>
              <w:top w:val="nil"/>
              <w:left w:val="nil"/>
              <w:bottom w:val="single" w:sz="4" w:space="0" w:color="FFFFFF"/>
              <w:right w:val="nil"/>
            </w:tcBorders>
            <w:shd w:val="clear" w:color="auto" w:fill="2C398A"/>
          </w:tcPr>
          <w:p w:rsidR="00A56FE9" w:rsidRDefault="00000000">
            <w:pPr>
              <w:pStyle w:val="TableParagraph"/>
              <w:spacing w:before="113"/>
              <w:ind w:left="376"/>
              <w:rPr>
                <w:sz w:val="18"/>
              </w:rPr>
            </w:pPr>
            <w:r>
              <w:rPr>
                <w:color w:val="FFFFFF"/>
                <w:sz w:val="18"/>
              </w:rPr>
              <w:t>C2</w:t>
            </w:r>
          </w:p>
        </w:tc>
        <w:tc>
          <w:tcPr>
            <w:tcW w:w="358"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51"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56"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26" w:type="dxa"/>
            <w:tcBorders>
              <w:top w:val="nil"/>
              <w:left w:val="nil"/>
              <w:bottom w:val="single" w:sz="4" w:space="0" w:color="FFFFFF"/>
              <w:right w:val="single" w:sz="4" w:space="0" w:color="FFFFFF"/>
            </w:tcBorders>
            <w:shd w:val="clear" w:color="auto" w:fill="2C398A"/>
          </w:tcPr>
          <w:p w:rsidR="00A56FE9" w:rsidRDefault="00A56FE9">
            <w:pPr>
              <w:pStyle w:val="TableParagraph"/>
              <w:rPr>
                <w:sz w:val="18"/>
              </w:rPr>
            </w:pPr>
          </w:p>
        </w:tc>
        <w:tc>
          <w:tcPr>
            <w:tcW w:w="1229" w:type="dxa"/>
            <w:gridSpan w:val="2"/>
            <w:tcBorders>
              <w:top w:val="nil"/>
              <w:left w:val="single" w:sz="4" w:space="0" w:color="FFFFFF"/>
              <w:bottom w:val="single" w:sz="4" w:space="0" w:color="FFFFFF"/>
              <w:right w:val="single" w:sz="4" w:space="0" w:color="FFFFFF"/>
            </w:tcBorders>
            <w:shd w:val="clear" w:color="auto" w:fill="2C398A"/>
          </w:tcPr>
          <w:p w:rsidR="00A56FE9" w:rsidRDefault="00000000">
            <w:pPr>
              <w:pStyle w:val="TableParagraph"/>
              <w:spacing w:before="113"/>
              <w:ind w:left="479" w:right="488"/>
              <w:jc w:val="center"/>
              <w:rPr>
                <w:sz w:val="18"/>
              </w:rPr>
            </w:pPr>
            <w:r>
              <w:rPr>
                <w:color w:val="FFFFFF"/>
                <w:sz w:val="18"/>
              </w:rPr>
              <w:t>C3</w:t>
            </w:r>
          </w:p>
        </w:tc>
        <w:tc>
          <w:tcPr>
            <w:tcW w:w="565" w:type="dxa"/>
            <w:tcBorders>
              <w:top w:val="nil"/>
              <w:left w:val="single" w:sz="4" w:space="0" w:color="FFFFFF"/>
              <w:bottom w:val="single" w:sz="4" w:space="0" w:color="FFFFFF"/>
              <w:right w:val="nil"/>
            </w:tcBorders>
            <w:shd w:val="clear" w:color="auto" w:fill="2C398A"/>
          </w:tcPr>
          <w:p w:rsidR="00A56FE9" w:rsidRDefault="00A56FE9">
            <w:pPr>
              <w:pStyle w:val="TableParagraph"/>
              <w:rPr>
                <w:sz w:val="18"/>
              </w:rPr>
            </w:pPr>
          </w:p>
        </w:tc>
        <w:tc>
          <w:tcPr>
            <w:tcW w:w="567" w:type="dxa"/>
            <w:tcBorders>
              <w:top w:val="nil"/>
              <w:left w:val="nil"/>
              <w:bottom w:val="single" w:sz="4" w:space="0" w:color="FFFFFF"/>
              <w:right w:val="nil"/>
            </w:tcBorders>
            <w:shd w:val="clear" w:color="auto" w:fill="2C398A"/>
          </w:tcPr>
          <w:p w:rsidR="00A56FE9" w:rsidRDefault="00000000">
            <w:pPr>
              <w:pStyle w:val="TableParagraph"/>
              <w:spacing w:before="113"/>
              <w:ind w:right="202"/>
              <w:jc w:val="right"/>
              <w:rPr>
                <w:sz w:val="18"/>
              </w:rPr>
            </w:pPr>
            <w:r>
              <w:rPr>
                <w:color w:val="FFFFFF"/>
                <w:sz w:val="18"/>
              </w:rPr>
              <w:t>C4</w:t>
            </w:r>
          </w:p>
        </w:tc>
        <w:tc>
          <w:tcPr>
            <w:tcW w:w="529" w:type="dxa"/>
            <w:tcBorders>
              <w:top w:val="nil"/>
              <w:left w:val="nil"/>
              <w:bottom w:val="single" w:sz="4" w:space="0" w:color="FFFFFF"/>
              <w:right w:val="single" w:sz="4" w:space="0" w:color="FFFFFF"/>
            </w:tcBorders>
            <w:shd w:val="clear" w:color="auto" w:fill="2C398A"/>
          </w:tcPr>
          <w:p w:rsidR="00A56FE9" w:rsidRDefault="00A56FE9">
            <w:pPr>
              <w:pStyle w:val="TableParagraph"/>
              <w:rPr>
                <w:sz w:val="18"/>
              </w:rPr>
            </w:pPr>
          </w:p>
        </w:tc>
        <w:tc>
          <w:tcPr>
            <w:tcW w:w="992" w:type="dxa"/>
            <w:tcBorders>
              <w:top w:val="nil"/>
              <w:left w:val="single" w:sz="4" w:space="0" w:color="FFFFFF"/>
              <w:bottom w:val="single" w:sz="4" w:space="0" w:color="FFFFFF"/>
              <w:right w:val="single" w:sz="4" w:space="0" w:color="FFFFFF"/>
            </w:tcBorders>
            <w:shd w:val="clear" w:color="auto" w:fill="2C398A"/>
          </w:tcPr>
          <w:p w:rsidR="00A56FE9" w:rsidRDefault="00000000">
            <w:pPr>
              <w:pStyle w:val="TableParagraph"/>
              <w:spacing w:before="113"/>
              <w:ind w:right="393"/>
              <w:jc w:val="right"/>
              <w:rPr>
                <w:sz w:val="18"/>
              </w:rPr>
            </w:pPr>
            <w:r>
              <w:rPr>
                <w:color w:val="FFFFFF"/>
                <w:sz w:val="18"/>
              </w:rPr>
              <w:t>C5</w:t>
            </w:r>
          </w:p>
        </w:tc>
        <w:tc>
          <w:tcPr>
            <w:tcW w:w="791" w:type="dxa"/>
            <w:tcBorders>
              <w:top w:val="nil"/>
              <w:left w:val="single" w:sz="4" w:space="0" w:color="FFFFFF"/>
              <w:bottom w:val="single" w:sz="4" w:space="0" w:color="FFFFFF"/>
            </w:tcBorders>
            <w:shd w:val="clear" w:color="auto" w:fill="2C398A"/>
          </w:tcPr>
          <w:p w:rsidR="00A56FE9" w:rsidRDefault="00000000">
            <w:pPr>
              <w:pStyle w:val="TableParagraph"/>
              <w:spacing w:before="113"/>
              <w:ind w:left="104" w:right="121"/>
              <w:jc w:val="center"/>
              <w:rPr>
                <w:sz w:val="18"/>
              </w:rPr>
            </w:pPr>
            <w:r>
              <w:rPr>
                <w:color w:val="FFFFFF"/>
                <w:sz w:val="18"/>
              </w:rPr>
              <w:t>C6</w:t>
            </w:r>
          </w:p>
        </w:tc>
      </w:tr>
      <w:tr w:rsidR="00A56FE9">
        <w:trPr>
          <w:trHeight w:val="325"/>
        </w:trPr>
        <w:tc>
          <w:tcPr>
            <w:tcW w:w="3399" w:type="dxa"/>
            <w:tcBorders>
              <w:top w:val="single" w:sz="4" w:space="0" w:color="FFFFFF"/>
              <w:left w:val="nil"/>
              <w:right w:val="single" w:sz="4" w:space="0" w:color="FFFFFF"/>
            </w:tcBorders>
            <w:shd w:val="clear" w:color="auto" w:fill="D9D9D9"/>
          </w:tcPr>
          <w:p w:rsidR="00A56FE9" w:rsidRDefault="00A56FE9">
            <w:pPr>
              <w:pStyle w:val="TableParagraph"/>
              <w:rPr>
                <w:sz w:val="18"/>
              </w:rPr>
            </w:pPr>
          </w:p>
        </w:tc>
        <w:tc>
          <w:tcPr>
            <w:tcW w:w="426" w:type="dxa"/>
            <w:tcBorders>
              <w:top w:val="single" w:sz="4" w:space="0" w:color="FFFFFF"/>
              <w:left w:val="single" w:sz="4" w:space="0" w:color="FFFFFF"/>
              <w:right w:val="nil"/>
            </w:tcBorders>
            <w:shd w:val="clear" w:color="auto" w:fill="DEEAF6"/>
          </w:tcPr>
          <w:p w:rsidR="00A56FE9" w:rsidRDefault="00000000">
            <w:pPr>
              <w:pStyle w:val="TableParagraph"/>
              <w:spacing w:before="55"/>
              <w:jc w:val="center"/>
              <w:rPr>
                <w:sz w:val="18"/>
              </w:rPr>
            </w:pPr>
            <w:r>
              <w:rPr>
                <w:sz w:val="18"/>
              </w:rPr>
              <w:t>1</w:t>
            </w:r>
          </w:p>
        </w:tc>
        <w:tc>
          <w:tcPr>
            <w:tcW w:w="394" w:type="dxa"/>
            <w:tcBorders>
              <w:top w:val="single" w:sz="4" w:space="0" w:color="FFFFFF"/>
              <w:left w:val="nil"/>
              <w:right w:val="nil"/>
            </w:tcBorders>
            <w:shd w:val="clear" w:color="auto" w:fill="DEEAF6"/>
          </w:tcPr>
          <w:p w:rsidR="00A56FE9" w:rsidRDefault="00000000">
            <w:pPr>
              <w:pStyle w:val="TableParagraph"/>
              <w:spacing w:before="55"/>
              <w:ind w:left="6"/>
              <w:jc w:val="center"/>
              <w:rPr>
                <w:sz w:val="18"/>
              </w:rPr>
            </w:pPr>
            <w:r>
              <w:rPr>
                <w:sz w:val="18"/>
              </w:rPr>
              <w:t>2</w:t>
            </w:r>
          </w:p>
        </w:tc>
        <w:tc>
          <w:tcPr>
            <w:tcW w:w="407" w:type="dxa"/>
            <w:tcBorders>
              <w:top w:val="single" w:sz="4" w:space="0" w:color="FFFFFF"/>
              <w:left w:val="nil"/>
              <w:right w:val="nil"/>
            </w:tcBorders>
            <w:shd w:val="clear" w:color="auto" w:fill="DEEAF6"/>
          </w:tcPr>
          <w:p w:rsidR="00A56FE9" w:rsidRDefault="00000000">
            <w:pPr>
              <w:pStyle w:val="TableParagraph"/>
              <w:spacing w:before="55"/>
              <w:ind w:left="2"/>
              <w:jc w:val="center"/>
              <w:rPr>
                <w:sz w:val="18"/>
              </w:rPr>
            </w:pPr>
            <w:r>
              <w:rPr>
                <w:sz w:val="18"/>
              </w:rPr>
              <w:t>3</w:t>
            </w:r>
          </w:p>
        </w:tc>
        <w:tc>
          <w:tcPr>
            <w:tcW w:w="349" w:type="dxa"/>
            <w:tcBorders>
              <w:top w:val="single" w:sz="4" w:space="0" w:color="FFFFFF"/>
              <w:left w:val="nil"/>
              <w:right w:val="nil"/>
            </w:tcBorders>
            <w:shd w:val="clear" w:color="auto" w:fill="DEEAF6"/>
          </w:tcPr>
          <w:p w:rsidR="00A56FE9" w:rsidRDefault="00000000">
            <w:pPr>
              <w:pStyle w:val="TableParagraph"/>
              <w:spacing w:before="55"/>
              <w:ind w:left="9"/>
              <w:jc w:val="center"/>
              <w:rPr>
                <w:sz w:val="18"/>
              </w:rPr>
            </w:pPr>
            <w:r>
              <w:rPr>
                <w:sz w:val="18"/>
              </w:rPr>
              <w:t>4</w:t>
            </w:r>
          </w:p>
        </w:tc>
        <w:tc>
          <w:tcPr>
            <w:tcW w:w="407" w:type="dxa"/>
            <w:tcBorders>
              <w:top w:val="single" w:sz="4" w:space="0" w:color="FFFFFF"/>
              <w:left w:val="nil"/>
              <w:right w:val="nil"/>
            </w:tcBorders>
            <w:shd w:val="clear" w:color="auto" w:fill="DEEAF6"/>
          </w:tcPr>
          <w:p w:rsidR="00A56FE9" w:rsidRDefault="00000000">
            <w:pPr>
              <w:pStyle w:val="TableParagraph"/>
              <w:spacing w:before="55"/>
              <w:ind w:left="2"/>
              <w:jc w:val="center"/>
              <w:rPr>
                <w:sz w:val="18"/>
              </w:rPr>
            </w:pPr>
            <w:r>
              <w:rPr>
                <w:sz w:val="18"/>
              </w:rPr>
              <w:t>5</w:t>
            </w:r>
          </w:p>
        </w:tc>
        <w:tc>
          <w:tcPr>
            <w:tcW w:w="412" w:type="dxa"/>
            <w:tcBorders>
              <w:top w:val="single" w:sz="4" w:space="0" w:color="FFFFFF"/>
              <w:left w:val="nil"/>
              <w:right w:val="single" w:sz="4" w:space="0" w:color="FFFFFF"/>
            </w:tcBorders>
            <w:shd w:val="clear" w:color="auto" w:fill="DEEAF6"/>
          </w:tcPr>
          <w:p w:rsidR="00A56FE9" w:rsidRDefault="00000000">
            <w:pPr>
              <w:pStyle w:val="TableParagraph"/>
              <w:spacing w:before="55"/>
              <w:ind w:left="9"/>
              <w:jc w:val="center"/>
              <w:rPr>
                <w:sz w:val="18"/>
              </w:rPr>
            </w:pPr>
            <w:r>
              <w:rPr>
                <w:sz w:val="18"/>
              </w:rPr>
              <w:t>6</w:t>
            </w:r>
          </w:p>
        </w:tc>
        <w:tc>
          <w:tcPr>
            <w:tcW w:w="418" w:type="dxa"/>
            <w:tcBorders>
              <w:top w:val="single" w:sz="4" w:space="0" w:color="FFFFFF"/>
              <w:left w:val="single" w:sz="4" w:space="0" w:color="FFFFFF"/>
              <w:right w:val="nil"/>
            </w:tcBorders>
            <w:shd w:val="clear" w:color="auto" w:fill="FAE3D4"/>
          </w:tcPr>
          <w:p w:rsidR="00A56FE9" w:rsidRDefault="00000000">
            <w:pPr>
              <w:pStyle w:val="TableParagraph"/>
              <w:spacing w:before="55"/>
              <w:jc w:val="center"/>
              <w:rPr>
                <w:sz w:val="18"/>
              </w:rPr>
            </w:pPr>
            <w:r>
              <w:rPr>
                <w:sz w:val="18"/>
              </w:rPr>
              <w:t>1</w:t>
            </w:r>
          </w:p>
        </w:tc>
        <w:tc>
          <w:tcPr>
            <w:tcW w:w="455" w:type="dxa"/>
            <w:tcBorders>
              <w:top w:val="single" w:sz="4" w:space="0" w:color="FFFFFF"/>
              <w:left w:val="nil"/>
              <w:right w:val="nil"/>
            </w:tcBorders>
            <w:shd w:val="clear" w:color="auto" w:fill="FAE3D4"/>
          </w:tcPr>
          <w:p w:rsidR="00A56FE9" w:rsidRDefault="00000000">
            <w:pPr>
              <w:pStyle w:val="TableParagraph"/>
              <w:spacing w:before="55"/>
              <w:ind w:left="5"/>
              <w:jc w:val="center"/>
              <w:rPr>
                <w:sz w:val="18"/>
              </w:rPr>
            </w:pPr>
            <w:r>
              <w:rPr>
                <w:sz w:val="18"/>
              </w:rPr>
              <w:t>2</w:t>
            </w:r>
          </w:p>
        </w:tc>
        <w:tc>
          <w:tcPr>
            <w:tcW w:w="415" w:type="dxa"/>
            <w:tcBorders>
              <w:top w:val="single" w:sz="4" w:space="0" w:color="FFFFFF"/>
              <w:left w:val="nil"/>
              <w:right w:val="nil"/>
            </w:tcBorders>
            <w:shd w:val="clear" w:color="auto" w:fill="FAE3D4"/>
          </w:tcPr>
          <w:p w:rsidR="00A56FE9" w:rsidRDefault="00000000">
            <w:pPr>
              <w:pStyle w:val="TableParagraph"/>
              <w:spacing w:before="55"/>
              <w:ind w:left="4"/>
              <w:jc w:val="center"/>
              <w:rPr>
                <w:sz w:val="18"/>
              </w:rPr>
            </w:pPr>
            <w:r>
              <w:rPr>
                <w:sz w:val="18"/>
              </w:rPr>
              <w:t>3</w:t>
            </w:r>
          </w:p>
        </w:tc>
        <w:tc>
          <w:tcPr>
            <w:tcW w:w="411" w:type="dxa"/>
            <w:tcBorders>
              <w:top w:val="single" w:sz="4" w:space="0" w:color="FFFFFF"/>
              <w:left w:val="nil"/>
              <w:right w:val="nil"/>
            </w:tcBorders>
            <w:shd w:val="clear" w:color="auto" w:fill="FAE3D4"/>
          </w:tcPr>
          <w:p w:rsidR="00A56FE9" w:rsidRDefault="00000000">
            <w:pPr>
              <w:pStyle w:val="TableParagraph"/>
              <w:spacing w:before="55"/>
              <w:jc w:val="center"/>
              <w:rPr>
                <w:sz w:val="18"/>
              </w:rPr>
            </w:pPr>
            <w:r>
              <w:rPr>
                <w:sz w:val="18"/>
              </w:rPr>
              <w:t>4</w:t>
            </w:r>
          </w:p>
        </w:tc>
        <w:tc>
          <w:tcPr>
            <w:tcW w:w="351" w:type="dxa"/>
            <w:tcBorders>
              <w:top w:val="single" w:sz="4" w:space="0" w:color="FFFFFF"/>
              <w:left w:val="nil"/>
              <w:right w:val="nil"/>
            </w:tcBorders>
            <w:shd w:val="clear" w:color="auto" w:fill="FAE3D4"/>
          </w:tcPr>
          <w:p w:rsidR="00A56FE9" w:rsidRDefault="00000000">
            <w:pPr>
              <w:pStyle w:val="TableParagraph"/>
              <w:spacing w:before="55"/>
              <w:jc w:val="center"/>
              <w:rPr>
                <w:sz w:val="18"/>
              </w:rPr>
            </w:pPr>
            <w:r>
              <w:rPr>
                <w:sz w:val="18"/>
              </w:rPr>
              <w:t>5</w:t>
            </w:r>
          </w:p>
        </w:tc>
        <w:tc>
          <w:tcPr>
            <w:tcW w:w="358" w:type="dxa"/>
            <w:tcBorders>
              <w:top w:val="single" w:sz="4" w:space="0" w:color="FFFFFF"/>
              <w:left w:val="nil"/>
              <w:right w:val="nil"/>
            </w:tcBorders>
            <w:shd w:val="clear" w:color="auto" w:fill="FAE3D4"/>
          </w:tcPr>
          <w:p w:rsidR="00A56FE9" w:rsidRDefault="00000000">
            <w:pPr>
              <w:pStyle w:val="TableParagraph"/>
              <w:spacing w:before="55"/>
              <w:jc w:val="center"/>
              <w:rPr>
                <w:sz w:val="18"/>
              </w:rPr>
            </w:pPr>
            <w:r>
              <w:rPr>
                <w:sz w:val="18"/>
              </w:rPr>
              <w:t>6</w:t>
            </w:r>
          </w:p>
        </w:tc>
        <w:tc>
          <w:tcPr>
            <w:tcW w:w="351" w:type="dxa"/>
            <w:tcBorders>
              <w:top w:val="single" w:sz="4" w:space="0" w:color="FFFFFF"/>
              <w:left w:val="nil"/>
              <w:right w:val="nil"/>
            </w:tcBorders>
            <w:shd w:val="clear" w:color="auto" w:fill="FAE3D4"/>
          </w:tcPr>
          <w:p w:rsidR="00A56FE9" w:rsidRDefault="00000000">
            <w:pPr>
              <w:pStyle w:val="TableParagraph"/>
              <w:spacing w:before="55"/>
              <w:ind w:right="1"/>
              <w:jc w:val="center"/>
              <w:rPr>
                <w:sz w:val="18"/>
              </w:rPr>
            </w:pPr>
            <w:r>
              <w:rPr>
                <w:sz w:val="18"/>
              </w:rPr>
              <w:t>7</w:t>
            </w:r>
          </w:p>
        </w:tc>
        <w:tc>
          <w:tcPr>
            <w:tcW w:w="356" w:type="dxa"/>
            <w:tcBorders>
              <w:top w:val="single" w:sz="4" w:space="0" w:color="FFFFFF"/>
              <w:left w:val="nil"/>
              <w:right w:val="nil"/>
            </w:tcBorders>
            <w:shd w:val="clear" w:color="auto" w:fill="FAE3D4"/>
          </w:tcPr>
          <w:p w:rsidR="00A56FE9" w:rsidRDefault="00000000">
            <w:pPr>
              <w:pStyle w:val="TableParagraph"/>
              <w:spacing w:before="55"/>
              <w:jc w:val="center"/>
              <w:rPr>
                <w:sz w:val="18"/>
              </w:rPr>
            </w:pPr>
            <w:r>
              <w:rPr>
                <w:sz w:val="18"/>
              </w:rPr>
              <w:t>8</w:t>
            </w:r>
          </w:p>
        </w:tc>
        <w:tc>
          <w:tcPr>
            <w:tcW w:w="426" w:type="dxa"/>
            <w:tcBorders>
              <w:top w:val="single" w:sz="4" w:space="0" w:color="FFFFFF"/>
              <w:left w:val="nil"/>
              <w:right w:val="single" w:sz="4" w:space="0" w:color="FFFFFF"/>
            </w:tcBorders>
            <w:shd w:val="clear" w:color="auto" w:fill="FAE3D4"/>
          </w:tcPr>
          <w:p w:rsidR="00A56FE9" w:rsidRDefault="00000000">
            <w:pPr>
              <w:pStyle w:val="TableParagraph"/>
              <w:spacing w:before="55"/>
              <w:jc w:val="center"/>
              <w:rPr>
                <w:sz w:val="18"/>
              </w:rPr>
            </w:pPr>
            <w:r>
              <w:rPr>
                <w:sz w:val="18"/>
              </w:rPr>
              <w:t>9</w:t>
            </w:r>
          </w:p>
        </w:tc>
        <w:tc>
          <w:tcPr>
            <w:tcW w:w="614" w:type="dxa"/>
            <w:tcBorders>
              <w:top w:val="single" w:sz="4" w:space="0" w:color="FFFFFF"/>
              <w:left w:val="single" w:sz="4" w:space="0" w:color="FFFFFF"/>
              <w:right w:val="nil"/>
            </w:tcBorders>
            <w:shd w:val="clear" w:color="auto" w:fill="FFF1CC"/>
          </w:tcPr>
          <w:p w:rsidR="00A56FE9" w:rsidRDefault="00000000">
            <w:pPr>
              <w:pStyle w:val="TableParagraph"/>
              <w:spacing w:before="55"/>
              <w:ind w:right="13"/>
              <w:jc w:val="center"/>
              <w:rPr>
                <w:sz w:val="18"/>
              </w:rPr>
            </w:pPr>
            <w:r>
              <w:rPr>
                <w:sz w:val="18"/>
              </w:rPr>
              <w:t>1</w:t>
            </w:r>
          </w:p>
        </w:tc>
        <w:tc>
          <w:tcPr>
            <w:tcW w:w="615" w:type="dxa"/>
            <w:tcBorders>
              <w:top w:val="single" w:sz="4" w:space="0" w:color="FFFFFF"/>
              <w:left w:val="nil"/>
              <w:right w:val="single" w:sz="4" w:space="0" w:color="FFFFFF"/>
            </w:tcBorders>
            <w:shd w:val="clear" w:color="auto" w:fill="FFF1CC"/>
          </w:tcPr>
          <w:p w:rsidR="00A56FE9" w:rsidRDefault="00000000">
            <w:pPr>
              <w:pStyle w:val="TableParagraph"/>
              <w:spacing w:before="55"/>
              <w:ind w:right="2"/>
              <w:jc w:val="center"/>
              <w:rPr>
                <w:sz w:val="18"/>
              </w:rPr>
            </w:pPr>
            <w:r>
              <w:rPr>
                <w:sz w:val="18"/>
              </w:rPr>
              <w:t>2</w:t>
            </w:r>
          </w:p>
        </w:tc>
        <w:tc>
          <w:tcPr>
            <w:tcW w:w="565" w:type="dxa"/>
            <w:tcBorders>
              <w:top w:val="single" w:sz="4" w:space="0" w:color="FFFFFF"/>
              <w:left w:val="single" w:sz="4" w:space="0" w:color="FFFFFF"/>
              <w:right w:val="nil"/>
            </w:tcBorders>
            <w:shd w:val="clear" w:color="auto" w:fill="FFFF66"/>
          </w:tcPr>
          <w:p w:rsidR="00A56FE9" w:rsidRDefault="00000000">
            <w:pPr>
              <w:pStyle w:val="TableParagraph"/>
              <w:spacing w:before="55"/>
              <w:ind w:right="16"/>
              <w:jc w:val="center"/>
              <w:rPr>
                <w:sz w:val="18"/>
              </w:rPr>
            </w:pPr>
            <w:r>
              <w:rPr>
                <w:sz w:val="18"/>
              </w:rPr>
              <w:t>1</w:t>
            </w:r>
          </w:p>
        </w:tc>
        <w:tc>
          <w:tcPr>
            <w:tcW w:w="567" w:type="dxa"/>
            <w:tcBorders>
              <w:top w:val="single" w:sz="4" w:space="0" w:color="FFFFFF"/>
              <w:left w:val="nil"/>
              <w:right w:val="nil"/>
            </w:tcBorders>
            <w:shd w:val="clear" w:color="auto" w:fill="FFFF66"/>
          </w:tcPr>
          <w:p w:rsidR="00A56FE9" w:rsidRDefault="00000000">
            <w:pPr>
              <w:pStyle w:val="TableParagraph"/>
              <w:spacing w:before="55"/>
              <w:ind w:right="245"/>
              <w:jc w:val="right"/>
              <w:rPr>
                <w:sz w:val="18"/>
              </w:rPr>
            </w:pPr>
            <w:r>
              <w:rPr>
                <w:sz w:val="18"/>
              </w:rPr>
              <w:t>2</w:t>
            </w:r>
          </w:p>
        </w:tc>
        <w:tc>
          <w:tcPr>
            <w:tcW w:w="529" w:type="dxa"/>
            <w:tcBorders>
              <w:top w:val="single" w:sz="4" w:space="0" w:color="FFFFFF"/>
              <w:left w:val="nil"/>
              <w:right w:val="single" w:sz="4" w:space="0" w:color="FFFFFF"/>
            </w:tcBorders>
            <w:shd w:val="clear" w:color="auto" w:fill="FFFF66"/>
          </w:tcPr>
          <w:p w:rsidR="00A56FE9" w:rsidRDefault="00000000">
            <w:pPr>
              <w:pStyle w:val="TableParagraph"/>
              <w:spacing w:before="55"/>
              <w:ind w:right="7"/>
              <w:jc w:val="center"/>
              <w:rPr>
                <w:sz w:val="18"/>
              </w:rPr>
            </w:pPr>
            <w:r>
              <w:rPr>
                <w:sz w:val="18"/>
              </w:rPr>
              <w:t>3</w:t>
            </w:r>
          </w:p>
        </w:tc>
        <w:tc>
          <w:tcPr>
            <w:tcW w:w="992" w:type="dxa"/>
            <w:tcBorders>
              <w:top w:val="single" w:sz="4" w:space="0" w:color="FFFFFF"/>
              <w:left w:val="single" w:sz="4" w:space="0" w:color="FFFFFF"/>
              <w:right w:val="single" w:sz="4" w:space="0" w:color="FFFFFF"/>
            </w:tcBorders>
            <w:shd w:val="clear" w:color="auto" w:fill="E1EED9"/>
          </w:tcPr>
          <w:p w:rsidR="00A56FE9" w:rsidRDefault="00000000">
            <w:pPr>
              <w:pStyle w:val="TableParagraph"/>
              <w:spacing w:before="55"/>
              <w:ind w:right="453"/>
              <w:jc w:val="right"/>
              <w:rPr>
                <w:sz w:val="18"/>
              </w:rPr>
            </w:pPr>
            <w:r>
              <w:rPr>
                <w:sz w:val="18"/>
              </w:rPr>
              <w:t>1</w:t>
            </w:r>
          </w:p>
        </w:tc>
        <w:tc>
          <w:tcPr>
            <w:tcW w:w="791" w:type="dxa"/>
            <w:tcBorders>
              <w:top w:val="single" w:sz="4" w:space="0" w:color="FFFFFF"/>
              <w:left w:val="single" w:sz="4" w:space="0" w:color="FFFFFF"/>
              <w:right w:val="nil"/>
            </w:tcBorders>
            <w:shd w:val="clear" w:color="auto" w:fill="D0CECE"/>
          </w:tcPr>
          <w:p w:rsidR="00A56FE9" w:rsidRDefault="00000000">
            <w:pPr>
              <w:pStyle w:val="TableParagraph"/>
              <w:spacing w:before="55"/>
              <w:ind w:right="22"/>
              <w:jc w:val="center"/>
              <w:rPr>
                <w:sz w:val="18"/>
              </w:rPr>
            </w:pPr>
            <w:r>
              <w:rPr>
                <w:sz w:val="18"/>
              </w:rPr>
              <w:t>1</w:t>
            </w:r>
          </w:p>
        </w:tc>
      </w:tr>
    </w:tbl>
    <w:p w:rsidR="00A56FE9" w:rsidRDefault="00000000">
      <w:pPr>
        <w:spacing w:before="13"/>
        <w:ind w:left="1071"/>
        <w:rPr>
          <w:b/>
        </w:rPr>
      </w:pPr>
      <w:r>
        <w:rPr>
          <w:b/>
        </w:rPr>
        <w:t>Principle</w:t>
      </w:r>
      <w:r>
        <w:rPr>
          <w:b/>
          <w:spacing w:val="-2"/>
        </w:rPr>
        <w:t xml:space="preserve"> </w:t>
      </w:r>
      <w:r>
        <w:rPr>
          <w:b/>
        </w:rPr>
        <w:t>of</w:t>
      </w:r>
      <w:r>
        <w:rPr>
          <w:b/>
          <w:spacing w:val="-1"/>
        </w:rPr>
        <w:t xml:space="preserve"> </w:t>
      </w:r>
      <w:r>
        <w:rPr>
          <w:b/>
        </w:rPr>
        <w:t>the</w:t>
      </w:r>
      <w:r>
        <w:rPr>
          <w:b/>
          <w:spacing w:val="-1"/>
        </w:rPr>
        <w:t xml:space="preserve"> </w:t>
      </w:r>
      <w:r>
        <w:rPr>
          <w:b/>
        </w:rPr>
        <w:t>European</w:t>
      </w:r>
      <w:r>
        <w:rPr>
          <w:b/>
          <w:spacing w:val="-4"/>
        </w:rPr>
        <w:t xml:space="preserve"> </w:t>
      </w:r>
      <w:r>
        <w:rPr>
          <w:b/>
        </w:rPr>
        <w:t>Pillar</w:t>
      </w:r>
      <w:r>
        <w:rPr>
          <w:b/>
          <w:spacing w:val="-1"/>
        </w:rPr>
        <w:t xml:space="preserve"> </w:t>
      </w:r>
      <w:r>
        <w:rPr>
          <w:b/>
        </w:rPr>
        <w:t>of</w:t>
      </w:r>
      <w:r>
        <w:rPr>
          <w:b/>
          <w:spacing w:val="-1"/>
        </w:rPr>
        <w:t xml:space="preserve"> </w:t>
      </w:r>
      <w:r>
        <w:rPr>
          <w:b/>
        </w:rPr>
        <w:t>Social</w:t>
      </w:r>
      <w:r>
        <w:rPr>
          <w:b/>
          <w:spacing w:val="-1"/>
        </w:rPr>
        <w:t xml:space="preserve"> </w:t>
      </w:r>
      <w:r>
        <w:rPr>
          <w:b/>
        </w:rPr>
        <w:t>Rights</w:t>
      </w:r>
      <w:r>
        <w:rPr>
          <w:b/>
          <w:spacing w:val="-3"/>
        </w:rPr>
        <w:t xml:space="preserve"> </w:t>
      </w:r>
      <w:r>
        <w:rPr>
          <w:b/>
        </w:rPr>
        <w:t>(EPSR)</w:t>
      </w:r>
    </w:p>
    <w:p w:rsidR="00A56FE9" w:rsidRDefault="00A56FE9">
      <w:pPr>
        <w:pStyle w:val="Tijeloteksta"/>
        <w:spacing w:before="6"/>
        <w:ind w:left="0"/>
        <w:jc w:val="left"/>
        <w:rPr>
          <w:b/>
          <w:sz w:val="6"/>
        </w:rPr>
      </w:pPr>
    </w:p>
    <w:tbl>
      <w:tblPr>
        <w:tblStyle w:val="TableNormal"/>
        <w:tblW w:w="0" w:type="auto"/>
        <w:tblInd w:w="970"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3399"/>
        <w:gridCol w:w="426"/>
        <w:gridCol w:w="397"/>
        <w:gridCol w:w="407"/>
        <w:gridCol w:w="352"/>
        <w:gridCol w:w="407"/>
        <w:gridCol w:w="412"/>
        <w:gridCol w:w="419"/>
        <w:gridCol w:w="457"/>
        <w:gridCol w:w="414"/>
        <w:gridCol w:w="414"/>
        <w:gridCol w:w="349"/>
        <w:gridCol w:w="361"/>
        <w:gridCol w:w="349"/>
        <w:gridCol w:w="356"/>
        <w:gridCol w:w="426"/>
        <w:gridCol w:w="616"/>
        <w:gridCol w:w="614"/>
        <w:gridCol w:w="568"/>
        <w:gridCol w:w="566"/>
        <w:gridCol w:w="530"/>
        <w:gridCol w:w="993"/>
        <w:gridCol w:w="797"/>
      </w:tblGrid>
      <w:tr w:rsidR="00A56FE9">
        <w:trPr>
          <w:trHeight w:val="479"/>
        </w:trPr>
        <w:tc>
          <w:tcPr>
            <w:tcW w:w="3399" w:type="dxa"/>
            <w:tcBorders>
              <w:left w:val="nil"/>
            </w:tcBorders>
            <w:shd w:val="clear" w:color="auto" w:fill="F1F1F1"/>
          </w:tcPr>
          <w:p w:rsidR="00A56FE9" w:rsidRDefault="00000000">
            <w:pPr>
              <w:pStyle w:val="TableParagraph"/>
              <w:ind w:left="108" w:right="466"/>
              <w:rPr>
                <w:sz w:val="20"/>
              </w:rPr>
            </w:pPr>
            <w:r>
              <w:rPr>
                <w:b/>
                <w:sz w:val="20"/>
              </w:rPr>
              <w:t>1.</w:t>
            </w:r>
            <w:r>
              <w:rPr>
                <w:b/>
                <w:spacing w:val="-2"/>
                <w:sz w:val="20"/>
              </w:rPr>
              <w:t xml:space="preserve"> </w:t>
            </w:r>
            <w:r>
              <w:rPr>
                <w:sz w:val="20"/>
              </w:rPr>
              <w:t>Education,</w:t>
            </w:r>
            <w:r>
              <w:rPr>
                <w:spacing w:val="-3"/>
                <w:sz w:val="20"/>
              </w:rPr>
              <w:t xml:space="preserve"> </w:t>
            </w:r>
            <w:r>
              <w:rPr>
                <w:sz w:val="20"/>
              </w:rPr>
              <w:t>training</w:t>
            </w:r>
            <w:r>
              <w:rPr>
                <w:spacing w:val="-4"/>
                <w:sz w:val="20"/>
              </w:rPr>
              <w:t xml:space="preserve"> </w:t>
            </w:r>
            <w:r>
              <w:rPr>
                <w:sz w:val="20"/>
              </w:rPr>
              <w:t>and</w:t>
            </w:r>
            <w:r>
              <w:rPr>
                <w:spacing w:val="-2"/>
                <w:sz w:val="20"/>
              </w:rPr>
              <w:t xml:space="preserve"> </w:t>
            </w:r>
            <w:r>
              <w:rPr>
                <w:sz w:val="20"/>
              </w:rPr>
              <w:t>life-long</w:t>
            </w:r>
            <w:r>
              <w:rPr>
                <w:spacing w:val="-47"/>
                <w:sz w:val="20"/>
              </w:rPr>
              <w:t xml:space="preserve"> </w:t>
            </w:r>
            <w:r>
              <w:rPr>
                <w:sz w:val="20"/>
              </w:rPr>
              <w:t>learning</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000000">
            <w:pPr>
              <w:pStyle w:val="TableParagraph"/>
              <w:spacing w:before="130"/>
              <w:ind w:right="38"/>
              <w:jc w:val="center"/>
              <w:rPr>
                <w:rFonts w:ascii="Wingdings" w:hAnsi="Wingdings"/>
                <w:sz w:val="18"/>
              </w:rPr>
            </w:pPr>
            <w:r>
              <w:rPr>
                <w:rFonts w:ascii="Wingdings" w:hAnsi="Wingdings"/>
                <w:color w:val="BE8F00"/>
                <w:sz w:val="18"/>
              </w:rPr>
              <w:t></w:t>
            </w:r>
          </w:p>
        </w:tc>
        <w:tc>
          <w:tcPr>
            <w:tcW w:w="614" w:type="dxa"/>
          </w:tcPr>
          <w:p w:rsidR="00A56FE9" w:rsidRDefault="00A56FE9">
            <w:pPr>
              <w:pStyle w:val="TableParagraph"/>
              <w:rPr>
                <w:sz w:val="18"/>
              </w:rPr>
            </w:pPr>
          </w:p>
        </w:tc>
        <w:tc>
          <w:tcPr>
            <w:tcW w:w="568" w:type="dxa"/>
          </w:tcPr>
          <w:p w:rsidR="00A56FE9" w:rsidRDefault="00000000">
            <w:pPr>
              <w:pStyle w:val="TableParagraph"/>
              <w:spacing w:before="130"/>
              <w:ind w:left="188"/>
              <w:rPr>
                <w:rFonts w:ascii="Wingdings" w:hAnsi="Wingdings"/>
                <w:sz w:val="18"/>
              </w:rPr>
            </w:pPr>
            <w:r>
              <w:rPr>
                <w:rFonts w:ascii="Wingdings" w:hAnsi="Wingdings"/>
                <w:color w:val="FFCC00"/>
                <w:sz w:val="18"/>
              </w:rPr>
              <w:t></w:t>
            </w: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000000">
            <w:pPr>
              <w:pStyle w:val="TableParagraph"/>
              <w:spacing w:before="130"/>
              <w:ind w:right="67"/>
              <w:jc w:val="center"/>
              <w:rPr>
                <w:rFonts w:ascii="Wingdings" w:hAnsi="Wingdings"/>
                <w:sz w:val="18"/>
              </w:rPr>
            </w:pPr>
            <w:r>
              <w:rPr>
                <w:rFonts w:ascii="Wingdings" w:hAnsi="Wingdings"/>
                <w:color w:val="585858"/>
                <w:sz w:val="18"/>
              </w:rPr>
              <w:t></w:t>
            </w:r>
          </w:p>
        </w:tc>
      </w:tr>
      <w:tr w:rsidR="00A56FE9">
        <w:trPr>
          <w:trHeight w:val="249"/>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2.</w:t>
            </w:r>
            <w:r>
              <w:rPr>
                <w:b/>
                <w:spacing w:val="-1"/>
                <w:sz w:val="20"/>
              </w:rPr>
              <w:t xml:space="preserve"> </w:t>
            </w:r>
            <w:r>
              <w:rPr>
                <w:sz w:val="20"/>
              </w:rPr>
              <w:t>Gender</w:t>
            </w:r>
            <w:r>
              <w:rPr>
                <w:spacing w:val="-1"/>
                <w:sz w:val="20"/>
              </w:rPr>
              <w:t xml:space="preserve"> </w:t>
            </w:r>
            <w:r>
              <w:rPr>
                <w:sz w:val="20"/>
              </w:rPr>
              <w:t>equality</w:t>
            </w:r>
            <w:r>
              <w:rPr>
                <w:sz w:val="20"/>
                <w:vertAlign w:val="superscript"/>
              </w:rPr>
              <w:t>57</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000000">
            <w:pPr>
              <w:pStyle w:val="TableParagraph"/>
              <w:spacing w:before="15"/>
              <w:ind w:left="188"/>
              <w:rPr>
                <w:rFonts w:ascii="Wingdings" w:hAnsi="Wingdings"/>
                <w:sz w:val="18"/>
              </w:rPr>
            </w:pPr>
            <w:r>
              <w:rPr>
                <w:rFonts w:ascii="Wingdings" w:hAnsi="Wingdings"/>
                <w:color w:val="FFCC00"/>
                <w:sz w:val="18"/>
              </w:rPr>
              <w:t></w:t>
            </w: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251"/>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3.</w:t>
            </w:r>
            <w:r>
              <w:rPr>
                <w:b/>
                <w:spacing w:val="-2"/>
                <w:sz w:val="20"/>
              </w:rPr>
              <w:t xml:space="preserve"> </w:t>
            </w:r>
            <w:r>
              <w:rPr>
                <w:sz w:val="20"/>
              </w:rPr>
              <w:t>Equal</w:t>
            </w:r>
            <w:r>
              <w:rPr>
                <w:spacing w:val="-3"/>
                <w:sz w:val="20"/>
              </w:rPr>
              <w:t xml:space="preserve"> </w:t>
            </w:r>
            <w:r>
              <w:rPr>
                <w:sz w:val="20"/>
              </w:rPr>
              <w:t>opportunities</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000000">
            <w:pPr>
              <w:pStyle w:val="TableParagraph"/>
              <w:spacing w:before="18"/>
              <w:ind w:right="47"/>
              <w:jc w:val="center"/>
              <w:rPr>
                <w:rFonts w:ascii="Wingdings" w:hAnsi="Wingdings"/>
                <w:sz w:val="18"/>
              </w:rPr>
            </w:pPr>
            <w:r>
              <w:rPr>
                <w:rFonts w:ascii="Wingdings" w:hAnsi="Wingdings"/>
                <w:color w:val="FFCC00"/>
                <w:sz w:val="18"/>
              </w:rPr>
              <w:t></w:t>
            </w:r>
          </w:p>
        </w:tc>
        <w:tc>
          <w:tcPr>
            <w:tcW w:w="993" w:type="dxa"/>
          </w:tcPr>
          <w:p w:rsidR="00A56FE9" w:rsidRDefault="00A56FE9">
            <w:pPr>
              <w:pStyle w:val="TableParagraph"/>
              <w:rPr>
                <w:sz w:val="18"/>
              </w:rPr>
            </w:pPr>
          </w:p>
        </w:tc>
        <w:tc>
          <w:tcPr>
            <w:tcW w:w="797" w:type="dxa"/>
            <w:tcBorders>
              <w:right w:val="nil"/>
            </w:tcBorders>
          </w:tcPr>
          <w:p w:rsidR="00A56FE9" w:rsidRDefault="00000000">
            <w:pPr>
              <w:pStyle w:val="TableParagraph"/>
              <w:spacing w:before="18"/>
              <w:ind w:right="67"/>
              <w:jc w:val="center"/>
              <w:rPr>
                <w:rFonts w:ascii="Wingdings" w:hAnsi="Wingdings"/>
                <w:sz w:val="18"/>
              </w:rPr>
            </w:pPr>
            <w:r>
              <w:rPr>
                <w:rFonts w:ascii="Wingdings" w:hAnsi="Wingdings"/>
                <w:color w:val="585858"/>
                <w:sz w:val="18"/>
              </w:rPr>
              <w:t></w:t>
            </w:r>
          </w:p>
        </w:tc>
      </w:tr>
      <w:tr w:rsidR="00A56FE9">
        <w:trPr>
          <w:trHeight w:val="249"/>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4.</w:t>
            </w:r>
            <w:r>
              <w:rPr>
                <w:b/>
                <w:spacing w:val="-2"/>
                <w:sz w:val="20"/>
              </w:rPr>
              <w:t xml:space="preserve"> </w:t>
            </w:r>
            <w:r>
              <w:rPr>
                <w:sz w:val="20"/>
              </w:rPr>
              <w:t>Active support</w:t>
            </w:r>
            <w:r>
              <w:rPr>
                <w:spacing w:val="-4"/>
                <w:sz w:val="20"/>
              </w:rPr>
              <w:t xml:space="preserve"> </w:t>
            </w:r>
            <w:r>
              <w:rPr>
                <w:sz w:val="20"/>
              </w:rPr>
              <w:t>to</w:t>
            </w:r>
            <w:r>
              <w:rPr>
                <w:spacing w:val="-2"/>
                <w:sz w:val="20"/>
              </w:rPr>
              <w:t xml:space="preserve"> </w:t>
            </w:r>
            <w:r>
              <w:rPr>
                <w:sz w:val="20"/>
              </w:rPr>
              <w:t>employment</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000000">
            <w:pPr>
              <w:pStyle w:val="TableParagraph"/>
              <w:spacing w:before="15"/>
              <w:ind w:left="188"/>
              <w:rPr>
                <w:rFonts w:ascii="Wingdings" w:hAnsi="Wingdings"/>
                <w:sz w:val="18"/>
              </w:rPr>
            </w:pPr>
            <w:r>
              <w:rPr>
                <w:rFonts w:ascii="Wingdings" w:hAnsi="Wingdings"/>
                <w:color w:val="FFCC00"/>
                <w:sz w:val="18"/>
              </w:rPr>
              <w:t></w:t>
            </w: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249"/>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5.</w:t>
            </w:r>
            <w:r>
              <w:rPr>
                <w:b/>
                <w:spacing w:val="-2"/>
                <w:sz w:val="20"/>
              </w:rPr>
              <w:t xml:space="preserve"> </w:t>
            </w:r>
            <w:r>
              <w:rPr>
                <w:sz w:val="20"/>
              </w:rPr>
              <w:t>Secure</w:t>
            </w:r>
            <w:r>
              <w:rPr>
                <w:spacing w:val="-2"/>
                <w:sz w:val="20"/>
              </w:rPr>
              <w:t xml:space="preserve"> </w:t>
            </w:r>
            <w:r>
              <w:rPr>
                <w:sz w:val="20"/>
              </w:rPr>
              <w:t>and</w:t>
            </w:r>
            <w:r>
              <w:rPr>
                <w:spacing w:val="-2"/>
                <w:sz w:val="20"/>
              </w:rPr>
              <w:t xml:space="preserve"> </w:t>
            </w:r>
            <w:r>
              <w:rPr>
                <w:sz w:val="20"/>
              </w:rPr>
              <w:t>adaptable</w:t>
            </w:r>
            <w:r>
              <w:rPr>
                <w:spacing w:val="-2"/>
                <w:sz w:val="20"/>
              </w:rPr>
              <w:t xml:space="preserve"> </w:t>
            </w:r>
            <w:r>
              <w:rPr>
                <w:sz w:val="20"/>
              </w:rPr>
              <w:t>employment</w:t>
            </w:r>
          </w:p>
        </w:tc>
        <w:tc>
          <w:tcPr>
            <w:tcW w:w="426" w:type="dxa"/>
          </w:tcPr>
          <w:p w:rsidR="00A56FE9" w:rsidRDefault="00A56FE9">
            <w:pPr>
              <w:pStyle w:val="TableParagraph"/>
              <w:rPr>
                <w:sz w:val="18"/>
              </w:rPr>
            </w:pPr>
          </w:p>
        </w:tc>
        <w:tc>
          <w:tcPr>
            <w:tcW w:w="397" w:type="dxa"/>
          </w:tcPr>
          <w:p w:rsidR="00A56FE9" w:rsidRDefault="00000000">
            <w:pPr>
              <w:pStyle w:val="TableParagraph"/>
              <w:spacing w:before="15"/>
              <w:ind w:left="123"/>
              <w:rPr>
                <w:rFonts w:ascii="Wingdings" w:hAnsi="Wingdings"/>
                <w:sz w:val="18"/>
              </w:rPr>
            </w:pPr>
            <w:r>
              <w:rPr>
                <w:rFonts w:ascii="Wingdings" w:hAnsi="Wingdings"/>
                <w:color w:val="006FC0"/>
                <w:sz w:val="18"/>
              </w:rPr>
              <w:t></w:t>
            </w: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000000">
            <w:pPr>
              <w:pStyle w:val="TableParagraph"/>
              <w:spacing w:before="15"/>
              <w:ind w:left="188"/>
              <w:rPr>
                <w:rFonts w:ascii="Wingdings" w:hAnsi="Wingdings"/>
                <w:sz w:val="18"/>
              </w:rPr>
            </w:pPr>
            <w:r>
              <w:rPr>
                <w:rFonts w:ascii="Wingdings" w:hAnsi="Wingdings"/>
                <w:color w:val="FFCC00"/>
                <w:sz w:val="18"/>
              </w:rPr>
              <w:t></w:t>
            </w: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000000">
            <w:pPr>
              <w:pStyle w:val="TableParagraph"/>
              <w:spacing w:before="15"/>
              <w:ind w:right="67"/>
              <w:jc w:val="center"/>
              <w:rPr>
                <w:rFonts w:ascii="Wingdings" w:hAnsi="Wingdings"/>
                <w:sz w:val="18"/>
              </w:rPr>
            </w:pPr>
            <w:r>
              <w:rPr>
                <w:rFonts w:ascii="Wingdings" w:hAnsi="Wingdings"/>
                <w:color w:val="585858"/>
                <w:sz w:val="18"/>
              </w:rPr>
              <w:t></w:t>
            </w:r>
          </w:p>
        </w:tc>
      </w:tr>
      <w:tr w:rsidR="00A56FE9">
        <w:trPr>
          <w:trHeight w:val="251"/>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 xml:space="preserve">6. </w:t>
            </w:r>
            <w:r>
              <w:rPr>
                <w:sz w:val="20"/>
              </w:rPr>
              <w:t>Wages</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000000">
            <w:pPr>
              <w:pStyle w:val="TableParagraph"/>
              <w:spacing w:before="18"/>
              <w:ind w:left="188"/>
              <w:rPr>
                <w:rFonts w:ascii="Wingdings" w:hAnsi="Wingdings"/>
                <w:sz w:val="18"/>
              </w:rPr>
            </w:pPr>
            <w:r>
              <w:rPr>
                <w:rFonts w:ascii="Wingdings" w:hAnsi="Wingdings"/>
                <w:color w:val="FFCC00"/>
                <w:sz w:val="18"/>
              </w:rPr>
              <w:t></w:t>
            </w: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710"/>
        </w:trPr>
        <w:tc>
          <w:tcPr>
            <w:tcW w:w="3399" w:type="dxa"/>
            <w:tcBorders>
              <w:left w:val="nil"/>
            </w:tcBorders>
            <w:shd w:val="clear" w:color="auto" w:fill="F1F1F1"/>
          </w:tcPr>
          <w:p w:rsidR="00A56FE9" w:rsidRDefault="00000000">
            <w:pPr>
              <w:pStyle w:val="TableParagraph"/>
              <w:ind w:left="108" w:right="426"/>
              <w:rPr>
                <w:sz w:val="20"/>
              </w:rPr>
            </w:pPr>
            <w:r>
              <w:rPr>
                <w:b/>
                <w:sz w:val="20"/>
              </w:rPr>
              <w:t xml:space="preserve">7. </w:t>
            </w:r>
            <w:r>
              <w:rPr>
                <w:sz w:val="20"/>
              </w:rPr>
              <w:t>Information about employment</w:t>
            </w:r>
            <w:r>
              <w:rPr>
                <w:spacing w:val="1"/>
                <w:sz w:val="20"/>
              </w:rPr>
              <w:t xml:space="preserve"> </w:t>
            </w:r>
            <w:r>
              <w:rPr>
                <w:sz w:val="20"/>
              </w:rPr>
              <w:t>conditions</w:t>
            </w:r>
            <w:r>
              <w:rPr>
                <w:spacing w:val="-3"/>
                <w:sz w:val="20"/>
              </w:rPr>
              <w:t xml:space="preserve"> </w:t>
            </w:r>
            <w:r>
              <w:rPr>
                <w:sz w:val="20"/>
              </w:rPr>
              <w:t>and protection</w:t>
            </w:r>
            <w:r>
              <w:rPr>
                <w:spacing w:val="-2"/>
                <w:sz w:val="20"/>
              </w:rPr>
              <w:t xml:space="preserve"> </w:t>
            </w:r>
            <w:r>
              <w:rPr>
                <w:sz w:val="20"/>
              </w:rPr>
              <w:t>in</w:t>
            </w:r>
            <w:r>
              <w:rPr>
                <w:spacing w:val="-3"/>
                <w:sz w:val="20"/>
              </w:rPr>
              <w:t xml:space="preserve"> </w:t>
            </w:r>
            <w:r>
              <w:rPr>
                <w:sz w:val="20"/>
              </w:rPr>
              <w:t>case</w:t>
            </w:r>
            <w:r>
              <w:rPr>
                <w:spacing w:val="-2"/>
                <w:sz w:val="20"/>
              </w:rPr>
              <w:t xml:space="preserve"> </w:t>
            </w:r>
            <w:r>
              <w:rPr>
                <w:sz w:val="20"/>
              </w:rPr>
              <w:t>of</w:t>
            </w:r>
            <w:r>
              <w:rPr>
                <w:spacing w:val="-47"/>
                <w:sz w:val="20"/>
              </w:rPr>
              <w:t xml:space="preserve"> </w:t>
            </w:r>
            <w:r>
              <w:rPr>
                <w:sz w:val="20"/>
              </w:rPr>
              <w:t>dismissals</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spacing w:before="4"/>
              <w:rPr>
                <w:b/>
                <w:sz w:val="21"/>
              </w:rPr>
            </w:pPr>
          </w:p>
          <w:p w:rsidR="00A56FE9" w:rsidRDefault="00000000">
            <w:pPr>
              <w:pStyle w:val="TableParagraph"/>
              <w:ind w:left="188"/>
              <w:rPr>
                <w:rFonts w:ascii="Wingdings" w:hAnsi="Wingdings"/>
                <w:sz w:val="18"/>
              </w:rPr>
            </w:pPr>
            <w:r>
              <w:rPr>
                <w:rFonts w:ascii="Wingdings" w:hAnsi="Wingdings"/>
                <w:color w:val="FFCC00"/>
                <w:sz w:val="18"/>
              </w:rPr>
              <w:t></w:t>
            </w: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479"/>
        </w:trPr>
        <w:tc>
          <w:tcPr>
            <w:tcW w:w="3399" w:type="dxa"/>
            <w:tcBorders>
              <w:left w:val="nil"/>
            </w:tcBorders>
            <w:shd w:val="clear" w:color="auto" w:fill="F1F1F1"/>
          </w:tcPr>
          <w:p w:rsidR="00A56FE9" w:rsidRDefault="00000000">
            <w:pPr>
              <w:pStyle w:val="TableParagraph"/>
              <w:ind w:left="108" w:right="235"/>
              <w:rPr>
                <w:sz w:val="20"/>
              </w:rPr>
            </w:pPr>
            <w:r>
              <w:rPr>
                <w:b/>
                <w:sz w:val="20"/>
              </w:rPr>
              <w:t>8.</w:t>
            </w:r>
            <w:r>
              <w:rPr>
                <w:b/>
                <w:spacing w:val="-2"/>
                <w:sz w:val="20"/>
              </w:rPr>
              <w:t xml:space="preserve"> </w:t>
            </w:r>
            <w:r>
              <w:rPr>
                <w:sz w:val="20"/>
              </w:rPr>
              <w:t>Social</w:t>
            </w:r>
            <w:r>
              <w:rPr>
                <w:spacing w:val="-3"/>
                <w:sz w:val="20"/>
              </w:rPr>
              <w:t xml:space="preserve"> </w:t>
            </w:r>
            <w:r>
              <w:rPr>
                <w:sz w:val="20"/>
              </w:rPr>
              <w:t>dialogue</w:t>
            </w:r>
            <w:r>
              <w:rPr>
                <w:spacing w:val="-3"/>
                <w:sz w:val="20"/>
              </w:rPr>
              <w:t xml:space="preserve"> </w:t>
            </w:r>
            <w:r>
              <w:rPr>
                <w:sz w:val="20"/>
              </w:rPr>
              <w:t>and</w:t>
            </w:r>
            <w:r>
              <w:rPr>
                <w:spacing w:val="-1"/>
                <w:sz w:val="20"/>
              </w:rPr>
              <w:t xml:space="preserve"> </w:t>
            </w:r>
            <w:r>
              <w:rPr>
                <w:sz w:val="20"/>
              </w:rPr>
              <w:t>involvement</w:t>
            </w:r>
            <w:r>
              <w:rPr>
                <w:spacing w:val="-4"/>
                <w:sz w:val="20"/>
              </w:rPr>
              <w:t xml:space="preserve"> </w:t>
            </w:r>
            <w:r>
              <w:rPr>
                <w:sz w:val="20"/>
              </w:rPr>
              <w:t>of</w:t>
            </w:r>
            <w:r>
              <w:rPr>
                <w:spacing w:val="-47"/>
                <w:sz w:val="20"/>
              </w:rPr>
              <w:t xml:space="preserve"> </w:t>
            </w:r>
            <w:r>
              <w:rPr>
                <w:sz w:val="20"/>
              </w:rPr>
              <w:t>workers</w:t>
            </w:r>
          </w:p>
        </w:tc>
        <w:tc>
          <w:tcPr>
            <w:tcW w:w="426" w:type="dxa"/>
          </w:tcPr>
          <w:p w:rsidR="00A56FE9" w:rsidRDefault="00A56FE9">
            <w:pPr>
              <w:pStyle w:val="TableParagraph"/>
              <w:rPr>
                <w:sz w:val="18"/>
              </w:rPr>
            </w:pPr>
          </w:p>
        </w:tc>
        <w:tc>
          <w:tcPr>
            <w:tcW w:w="397" w:type="dxa"/>
          </w:tcPr>
          <w:p w:rsidR="00A56FE9" w:rsidRDefault="00000000">
            <w:pPr>
              <w:pStyle w:val="TableParagraph"/>
              <w:spacing w:before="130"/>
              <w:ind w:left="123"/>
              <w:rPr>
                <w:rFonts w:ascii="Wingdings" w:hAnsi="Wingdings"/>
                <w:sz w:val="18"/>
              </w:rPr>
            </w:pPr>
            <w:r>
              <w:rPr>
                <w:rFonts w:ascii="Wingdings" w:hAnsi="Wingdings"/>
                <w:color w:val="006FC0"/>
                <w:sz w:val="18"/>
              </w:rPr>
              <w:t></w:t>
            </w: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249"/>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9.</w:t>
            </w:r>
            <w:r>
              <w:rPr>
                <w:b/>
                <w:spacing w:val="-3"/>
                <w:sz w:val="20"/>
              </w:rPr>
              <w:t xml:space="preserve"> </w:t>
            </w:r>
            <w:r>
              <w:rPr>
                <w:sz w:val="20"/>
              </w:rPr>
              <w:t>Work-life</w:t>
            </w:r>
            <w:r>
              <w:rPr>
                <w:spacing w:val="-3"/>
                <w:sz w:val="20"/>
              </w:rPr>
              <w:t xml:space="preserve"> </w:t>
            </w:r>
            <w:r>
              <w:rPr>
                <w:sz w:val="20"/>
              </w:rPr>
              <w:t>balance</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000000">
            <w:pPr>
              <w:pStyle w:val="TableParagraph"/>
              <w:spacing w:before="15"/>
              <w:ind w:left="188"/>
              <w:rPr>
                <w:rFonts w:ascii="Wingdings" w:hAnsi="Wingdings"/>
                <w:sz w:val="18"/>
              </w:rPr>
            </w:pPr>
            <w:r>
              <w:rPr>
                <w:rFonts w:ascii="Wingdings" w:hAnsi="Wingdings"/>
                <w:color w:val="FFCC00"/>
                <w:sz w:val="18"/>
              </w:rPr>
              <w:t></w:t>
            </w: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479"/>
        </w:trPr>
        <w:tc>
          <w:tcPr>
            <w:tcW w:w="3399" w:type="dxa"/>
            <w:tcBorders>
              <w:left w:val="nil"/>
            </w:tcBorders>
            <w:shd w:val="clear" w:color="auto" w:fill="F1F1F1"/>
          </w:tcPr>
          <w:p w:rsidR="00A56FE9" w:rsidRDefault="00000000">
            <w:pPr>
              <w:pStyle w:val="TableParagraph"/>
              <w:ind w:left="108" w:right="231"/>
              <w:rPr>
                <w:sz w:val="20"/>
              </w:rPr>
            </w:pPr>
            <w:r>
              <w:rPr>
                <w:b/>
                <w:sz w:val="20"/>
              </w:rPr>
              <w:t xml:space="preserve">10. </w:t>
            </w:r>
            <w:r>
              <w:rPr>
                <w:sz w:val="20"/>
              </w:rPr>
              <w:t>Healthy, safe and well-adapted</w:t>
            </w:r>
            <w:r>
              <w:rPr>
                <w:spacing w:val="1"/>
                <w:sz w:val="20"/>
              </w:rPr>
              <w:t xml:space="preserve"> </w:t>
            </w:r>
            <w:r>
              <w:rPr>
                <w:sz w:val="20"/>
              </w:rPr>
              <w:t>work</w:t>
            </w:r>
            <w:r>
              <w:rPr>
                <w:spacing w:val="-6"/>
                <w:sz w:val="20"/>
              </w:rPr>
              <w:t xml:space="preserve"> </w:t>
            </w:r>
            <w:r>
              <w:rPr>
                <w:sz w:val="20"/>
              </w:rPr>
              <w:t>environment</w:t>
            </w:r>
            <w:r>
              <w:rPr>
                <w:spacing w:val="-6"/>
                <w:sz w:val="20"/>
              </w:rPr>
              <w:t xml:space="preserve"> </w:t>
            </w:r>
            <w:r>
              <w:rPr>
                <w:sz w:val="20"/>
              </w:rPr>
              <w:t>and</w:t>
            </w:r>
            <w:r>
              <w:rPr>
                <w:spacing w:val="-4"/>
                <w:sz w:val="20"/>
              </w:rPr>
              <w:t xml:space="preserve"> </w:t>
            </w:r>
            <w:r>
              <w:rPr>
                <w:sz w:val="20"/>
              </w:rPr>
              <w:t>data</w:t>
            </w:r>
            <w:r>
              <w:rPr>
                <w:spacing w:val="-4"/>
                <w:sz w:val="20"/>
              </w:rPr>
              <w:t xml:space="preserve"> </w:t>
            </w:r>
            <w:r>
              <w:rPr>
                <w:sz w:val="20"/>
              </w:rPr>
              <w:t>protection</w:t>
            </w:r>
          </w:p>
        </w:tc>
        <w:tc>
          <w:tcPr>
            <w:tcW w:w="426" w:type="dxa"/>
          </w:tcPr>
          <w:p w:rsidR="00A56FE9" w:rsidRDefault="00A56FE9">
            <w:pPr>
              <w:pStyle w:val="TableParagraph"/>
              <w:rPr>
                <w:sz w:val="18"/>
              </w:rPr>
            </w:pPr>
          </w:p>
        </w:tc>
        <w:tc>
          <w:tcPr>
            <w:tcW w:w="397" w:type="dxa"/>
          </w:tcPr>
          <w:p w:rsidR="00A56FE9" w:rsidRDefault="00000000">
            <w:pPr>
              <w:pStyle w:val="TableParagraph"/>
              <w:spacing w:before="130"/>
              <w:ind w:left="123"/>
              <w:rPr>
                <w:rFonts w:ascii="Wingdings" w:hAnsi="Wingdings"/>
                <w:sz w:val="18"/>
              </w:rPr>
            </w:pPr>
            <w:r>
              <w:rPr>
                <w:rFonts w:ascii="Wingdings" w:hAnsi="Wingdings"/>
                <w:color w:val="006FC0"/>
                <w:sz w:val="18"/>
              </w:rPr>
              <w:t></w:t>
            </w: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000000">
            <w:pPr>
              <w:pStyle w:val="TableParagraph"/>
              <w:spacing w:before="130"/>
              <w:ind w:right="67"/>
              <w:jc w:val="center"/>
              <w:rPr>
                <w:rFonts w:ascii="Wingdings" w:hAnsi="Wingdings"/>
                <w:sz w:val="18"/>
              </w:rPr>
            </w:pPr>
            <w:r>
              <w:rPr>
                <w:rFonts w:ascii="Wingdings" w:hAnsi="Wingdings"/>
                <w:color w:val="585858"/>
                <w:sz w:val="18"/>
              </w:rPr>
              <w:t></w:t>
            </w:r>
          </w:p>
        </w:tc>
      </w:tr>
      <w:tr w:rsidR="00A56FE9">
        <w:trPr>
          <w:trHeight w:val="249"/>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11.</w:t>
            </w:r>
            <w:r>
              <w:rPr>
                <w:b/>
                <w:spacing w:val="-2"/>
                <w:sz w:val="20"/>
              </w:rPr>
              <w:t xml:space="preserve"> </w:t>
            </w:r>
            <w:r>
              <w:rPr>
                <w:sz w:val="20"/>
              </w:rPr>
              <w:t>Childcare</w:t>
            </w:r>
            <w:r>
              <w:rPr>
                <w:spacing w:val="-3"/>
                <w:sz w:val="20"/>
              </w:rPr>
              <w:t xml:space="preserve"> </w:t>
            </w:r>
            <w:r>
              <w:rPr>
                <w:sz w:val="20"/>
              </w:rPr>
              <w:t>and</w:t>
            </w:r>
            <w:r>
              <w:rPr>
                <w:spacing w:val="-2"/>
                <w:sz w:val="20"/>
              </w:rPr>
              <w:t xml:space="preserve"> </w:t>
            </w:r>
            <w:r>
              <w:rPr>
                <w:sz w:val="20"/>
              </w:rPr>
              <w:t>support</w:t>
            </w:r>
            <w:r>
              <w:rPr>
                <w:spacing w:val="-3"/>
                <w:sz w:val="20"/>
              </w:rPr>
              <w:t xml:space="preserve"> </w:t>
            </w:r>
            <w:r>
              <w:rPr>
                <w:sz w:val="20"/>
              </w:rPr>
              <w:t>to</w:t>
            </w:r>
            <w:r>
              <w:rPr>
                <w:spacing w:val="-2"/>
                <w:sz w:val="20"/>
              </w:rPr>
              <w:t xml:space="preserve"> </w:t>
            </w:r>
            <w:r>
              <w:rPr>
                <w:sz w:val="20"/>
              </w:rPr>
              <w:t>children</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000000">
            <w:pPr>
              <w:pStyle w:val="TableParagraph"/>
              <w:spacing w:before="18"/>
              <w:ind w:right="47"/>
              <w:jc w:val="center"/>
              <w:rPr>
                <w:rFonts w:ascii="Wingdings" w:hAnsi="Wingdings"/>
                <w:sz w:val="18"/>
              </w:rPr>
            </w:pPr>
            <w:r>
              <w:rPr>
                <w:rFonts w:ascii="Wingdings" w:hAnsi="Wingdings"/>
                <w:color w:val="FFCC00"/>
                <w:sz w:val="18"/>
              </w:rPr>
              <w:t></w:t>
            </w: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251"/>
        </w:trPr>
        <w:tc>
          <w:tcPr>
            <w:tcW w:w="3399" w:type="dxa"/>
            <w:tcBorders>
              <w:left w:val="nil"/>
            </w:tcBorders>
            <w:shd w:val="clear" w:color="auto" w:fill="F1F1F1"/>
          </w:tcPr>
          <w:p w:rsidR="00A56FE9" w:rsidRDefault="00000000">
            <w:pPr>
              <w:pStyle w:val="TableParagraph"/>
              <w:spacing w:line="228" w:lineRule="exact"/>
              <w:ind w:left="108"/>
              <w:rPr>
                <w:sz w:val="20"/>
              </w:rPr>
            </w:pPr>
            <w:r>
              <w:rPr>
                <w:b/>
                <w:sz w:val="20"/>
              </w:rPr>
              <w:t xml:space="preserve">12. </w:t>
            </w:r>
            <w:r>
              <w:rPr>
                <w:sz w:val="20"/>
              </w:rPr>
              <w:t>Social</w:t>
            </w:r>
            <w:r>
              <w:rPr>
                <w:spacing w:val="-1"/>
                <w:sz w:val="20"/>
              </w:rPr>
              <w:t xml:space="preserve"> </w:t>
            </w:r>
            <w:r>
              <w:rPr>
                <w:sz w:val="20"/>
              </w:rPr>
              <w:t>protection</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000000">
            <w:pPr>
              <w:pStyle w:val="TableParagraph"/>
              <w:spacing w:before="18"/>
              <w:ind w:right="47"/>
              <w:jc w:val="center"/>
              <w:rPr>
                <w:rFonts w:ascii="Wingdings" w:hAnsi="Wingdings"/>
                <w:sz w:val="18"/>
              </w:rPr>
            </w:pPr>
            <w:r>
              <w:rPr>
                <w:rFonts w:ascii="Wingdings" w:hAnsi="Wingdings"/>
                <w:color w:val="FFCC00"/>
                <w:sz w:val="18"/>
              </w:rPr>
              <w:t></w:t>
            </w: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249"/>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13.</w:t>
            </w:r>
            <w:r>
              <w:rPr>
                <w:b/>
                <w:spacing w:val="-2"/>
                <w:sz w:val="20"/>
              </w:rPr>
              <w:t xml:space="preserve"> </w:t>
            </w:r>
            <w:r>
              <w:rPr>
                <w:sz w:val="20"/>
              </w:rPr>
              <w:t>Unemployment</w:t>
            </w:r>
            <w:r>
              <w:rPr>
                <w:spacing w:val="-4"/>
                <w:sz w:val="20"/>
              </w:rPr>
              <w:t xml:space="preserve"> </w:t>
            </w:r>
            <w:r>
              <w:rPr>
                <w:sz w:val="20"/>
              </w:rPr>
              <w:t>benefits</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000000">
            <w:pPr>
              <w:pStyle w:val="TableParagraph"/>
              <w:spacing w:before="15"/>
              <w:ind w:right="47"/>
              <w:jc w:val="center"/>
              <w:rPr>
                <w:rFonts w:ascii="Wingdings" w:hAnsi="Wingdings"/>
                <w:sz w:val="18"/>
              </w:rPr>
            </w:pPr>
            <w:r>
              <w:rPr>
                <w:rFonts w:ascii="Wingdings" w:hAnsi="Wingdings"/>
                <w:color w:val="FFCC00"/>
                <w:sz w:val="18"/>
              </w:rPr>
              <w:t></w:t>
            </w: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249"/>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14.</w:t>
            </w:r>
            <w:r>
              <w:rPr>
                <w:b/>
                <w:spacing w:val="-1"/>
                <w:sz w:val="20"/>
              </w:rPr>
              <w:t xml:space="preserve"> </w:t>
            </w:r>
            <w:r>
              <w:rPr>
                <w:sz w:val="20"/>
              </w:rPr>
              <w:t>Minimum</w:t>
            </w:r>
            <w:r>
              <w:rPr>
                <w:spacing w:val="-5"/>
                <w:sz w:val="20"/>
              </w:rPr>
              <w:t xml:space="preserve"> </w:t>
            </w:r>
            <w:r>
              <w:rPr>
                <w:sz w:val="20"/>
              </w:rPr>
              <w:t>income</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252"/>
        </w:trPr>
        <w:tc>
          <w:tcPr>
            <w:tcW w:w="3399" w:type="dxa"/>
            <w:tcBorders>
              <w:left w:val="nil"/>
            </w:tcBorders>
            <w:shd w:val="clear" w:color="auto" w:fill="F1F1F1"/>
          </w:tcPr>
          <w:p w:rsidR="00A56FE9" w:rsidRDefault="00000000">
            <w:pPr>
              <w:pStyle w:val="TableParagraph"/>
              <w:spacing w:line="228" w:lineRule="exact"/>
              <w:ind w:left="108"/>
              <w:rPr>
                <w:sz w:val="20"/>
              </w:rPr>
            </w:pPr>
            <w:r>
              <w:rPr>
                <w:b/>
                <w:sz w:val="20"/>
              </w:rPr>
              <w:t>15.</w:t>
            </w:r>
            <w:r>
              <w:rPr>
                <w:b/>
                <w:spacing w:val="-1"/>
                <w:sz w:val="20"/>
              </w:rPr>
              <w:t xml:space="preserve"> </w:t>
            </w:r>
            <w:r>
              <w:rPr>
                <w:sz w:val="20"/>
              </w:rPr>
              <w:t>Old</w:t>
            </w:r>
            <w:r>
              <w:rPr>
                <w:spacing w:val="-1"/>
                <w:sz w:val="20"/>
              </w:rPr>
              <w:t xml:space="preserve"> </w:t>
            </w:r>
            <w:r>
              <w:rPr>
                <w:sz w:val="20"/>
              </w:rPr>
              <w:t>age</w:t>
            </w:r>
            <w:r>
              <w:rPr>
                <w:spacing w:val="-2"/>
                <w:sz w:val="20"/>
              </w:rPr>
              <w:t xml:space="preserve"> </w:t>
            </w:r>
            <w:r>
              <w:rPr>
                <w:sz w:val="20"/>
              </w:rPr>
              <w:t>income</w:t>
            </w:r>
            <w:r>
              <w:rPr>
                <w:spacing w:val="-1"/>
                <w:sz w:val="20"/>
              </w:rPr>
              <w:t xml:space="preserve"> </w:t>
            </w:r>
            <w:r>
              <w:rPr>
                <w:sz w:val="20"/>
              </w:rPr>
              <w:t>and</w:t>
            </w:r>
            <w:r>
              <w:rPr>
                <w:spacing w:val="-1"/>
                <w:sz w:val="20"/>
              </w:rPr>
              <w:t xml:space="preserve"> </w:t>
            </w:r>
            <w:r>
              <w:rPr>
                <w:sz w:val="20"/>
              </w:rPr>
              <w:t>pensions</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000000">
            <w:pPr>
              <w:pStyle w:val="TableParagraph"/>
              <w:spacing w:before="18"/>
              <w:ind w:left="184"/>
              <w:rPr>
                <w:rFonts w:ascii="Wingdings" w:hAnsi="Wingdings"/>
                <w:sz w:val="18"/>
              </w:rPr>
            </w:pPr>
            <w:r>
              <w:rPr>
                <w:rFonts w:ascii="Wingdings" w:hAnsi="Wingdings"/>
                <w:color w:val="FFCC00"/>
                <w:sz w:val="18"/>
              </w:rPr>
              <w:t></w:t>
            </w: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r w:rsidR="00A56FE9">
        <w:trPr>
          <w:trHeight w:val="249"/>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 xml:space="preserve">16. </w:t>
            </w:r>
            <w:r>
              <w:rPr>
                <w:sz w:val="20"/>
              </w:rPr>
              <w:t>Health</w:t>
            </w:r>
            <w:r>
              <w:rPr>
                <w:spacing w:val="-3"/>
                <w:sz w:val="20"/>
              </w:rPr>
              <w:t xml:space="preserve"> </w:t>
            </w:r>
            <w:r>
              <w:rPr>
                <w:sz w:val="20"/>
              </w:rPr>
              <w:t>care</w:t>
            </w:r>
          </w:p>
        </w:tc>
        <w:tc>
          <w:tcPr>
            <w:tcW w:w="426" w:type="dxa"/>
          </w:tcPr>
          <w:p w:rsidR="00A56FE9" w:rsidRDefault="00A56FE9">
            <w:pPr>
              <w:pStyle w:val="TableParagraph"/>
              <w:rPr>
                <w:sz w:val="18"/>
              </w:rPr>
            </w:pPr>
          </w:p>
        </w:tc>
        <w:tc>
          <w:tcPr>
            <w:tcW w:w="397" w:type="dxa"/>
          </w:tcPr>
          <w:p w:rsidR="00A56FE9" w:rsidRDefault="00000000">
            <w:pPr>
              <w:pStyle w:val="TableParagraph"/>
              <w:spacing w:before="15"/>
              <w:ind w:left="123"/>
              <w:rPr>
                <w:rFonts w:ascii="Wingdings" w:hAnsi="Wingdings"/>
                <w:sz w:val="18"/>
              </w:rPr>
            </w:pPr>
            <w:r>
              <w:rPr>
                <w:rFonts w:ascii="Wingdings" w:hAnsi="Wingdings"/>
                <w:color w:val="006FC0"/>
                <w:sz w:val="18"/>
              </w:rPr>
              <w:t></w:t>
            </w: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000000">
            <w:pPr>
              <w:pStyle w:val="TableParagraph"/>
              <w:spacing w:before="15"/>
              <w:ind w:right="53"/>
              <w:jc w:val="center"/>
              <w:rPr>
                <w:rFonts w:ascii="Wingdings" w:hAnsi="Wingdings"/>
                <w:sz w:val="18"/>
              </w:rPr>
            </w:pPr>
            <w:r>
              <w:rPr>
                <w:rFonts w:ascii="Wingdings" w:hAnsi="Wingdings"/>
                <w:color w:val="6FAC46"/>
                <w:sz w:val="18"/>
              </w:rPr>
              <w:t></w:t>
            </w:r>
          </w:p>
        </w:tc>
        <w:tc>
          <w:tcPr>
            <w:tcW w:w="797" w:type="dxa"/>
            <w:tcBorders>
              <w:right w:val="nil"/>
            </w:tcBorders>
          </w:tcPr>
          <w:p w:rsidR="00A56FE9" w:rsidRDefault="00A56FE9">
            <w:pPr>
              <w:pStyle w:val="TableParagraph"/>
              <w:rPr>
                <w:sz w:val="18"/>
              </w:rPr>
            </w:pPr>
          </w:p>
        </w:tc>
      </w:tr>
      <w:tr w:rsidR="00A56FE9">
        <w:trPr>
          <w:trHeight w:val="249"/>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17.</w:t>
            </w:r>
            <w:r>
              <w:rPr>
                <w:b/>
                <w:spacing w:val="-1"/>
                <w:sz w:val="20"/>
              </w:rPr>
              <w:t xml:space="preserve"> </w:t>
            </w:r>
            <w:r>
              <w:rPr>
                <w:sz w:val="20"/>
              </w:rPr>
              <w:t>Inclusion</w:t>
            </w:r>
            <w:r>
              <w:rPr>
                <w:spacing w:val="-3"/>
                <w:sz w:val="20"/>
              </w:rPr>
              <w:t xml:space="preserve"> </w:t>
            </w:r>
            <w:r>
              <w:rPr>
                <w:sz w:val="20"/>
              </w:rPr>
              <w:t>of</w:t>
            </w:r>
            <w:r>
              <w:rPr>
                <w:spacing w:val="-4"/>
                <w:sz w:val="20"/>
              </w:rPr>
              <w:t xml:space="preserve"> </w:t>
            </w:r>
            <w:r>
              <w:rPr>
                <w:sz w:val="20"/>
              </w:rPr>
              <w:t>people</w:t>
            </w:r>
            <w:r>
              <w:rPr>
                <w:spacing w:val="1"/>
                <w:sz w:val="20"/>
              </w:rPr>
              <w:t xml:space="preserve"> </w:t>
            </w:r>
            <w:r>
              <w:rPr>
                <w:sz w:val="20"/>
              </w:rPr>
              <w:t>with</w:t>
            </w:r>
            <w:r>
              <w:rPr>
                <w:spacing w:val="-4"/>
                <w:sz w:val="20"/>
              </w:rPr>
              <w:t xml:space="preserve"> </w:t>
            </w:r>
            <w:r>
              <w:rPr>
                <w:sz w:val="20"/>
              </w:rPr>
              <w:t>disabilities</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000000">
            <w:pPr>
              <w:pStyle w:val="TableParagraph"/>
              <w:spacing w:before="18"/>
              <w:ind w:right="47"/>
              <w:jc w:val="center"/>
              <w:rPr>
                <w:rFonts w:ascii="Wingdings" w:hAnsi="Wingdings"/>
                <w:sz w:val="18"/>
              </w:rPr>
            </w:pPr>
            <w:r>
              <w:rPr>
                <w:rFonts w:ascii="Wingdings" w:hAnsi="Wingdings"/>
                <w:color w:val="FFCC00"/>
                <w:sz w:val="18"/>
              </w:rPr>
              <w:t></w:t>
            </w:r>
          </w:p>
        </w:tc>
        <w:tc>
          <w:tcPr>
            <w:tcW w:w="993" w:type="dxa"/>
          </w:tcPr>
          <w:p w:rsidR="00A56FE9" w:rsidRDefault="00A56FE9">
            <w:pPr>
              <w:pStyle w:val="TableParagraph"/>
              <w:rPr>
                <w:sz w:val="18"/>
              </w:rPr>
            </w:pPr>
          </w:p>
        </w:tc>
        <w:tc>
          <w:tcPr>
            <w:tcW w:w="797" w:type="dxa"/>
            <w:tcBorders>
              <w:right w:val="nil"/>
            </w:tcBorders>
          </w:tcPr>
          <w:p w:rsidR="00A56FE9" w:rsidRDefault="00000000">
            <w:pPr>
              <w:pStyle w:val="TableParagraph"/>
              <w:spacing w:before="18"/>
              <w:ind w:right="67"/>
              <w:jc w:val="center"/>
              <w:rPr>
                <w:rFonts w:ascii="Wingdings" w:hAnsi="Wingdings"/>
                <w:sz w:val="18"/>
              </w:rPr>
            </w:pPr>
            <w:r>
              <w:rPr>
                <w:rFonts w:ascii="Wingdings" w:hAnsi="Wingdings"/>
                <w:color w:val="585858"/>
                <w:sz w:val="18"/>
              </w:rPr>
              <w:t></w:t>
            </w:r>
          </w:p>
        </w:tc>
      </w:tr>
      <w:tr w:rsidR="00A56FE9">
        <w:trPr>
          <w:trHeight w:val="251"/>
        </w:trPr>
        <w:tc>
          <w:tcPr>
            <w:tcW w:w="3399" w:type="dxa"/>
            <w:tcBorders>
              <w:left w:val="nil"/>
            </w:tcBorders>
            <w:shd w:val="clear" w:color="auto" w:fill="F1F1F1"/>
          </w:tcPr>
          <w:p w:rsidR="00A56FE9" w:rsidRDefault="00000000">
            <w:pPr>
              <w:pStyle w:val="TableParagraph"/>
              <w:spacing w:line="228" w:lineRule="exact"/>
              <w:ind w:left="108"/>
              <w:rPr>
                <w:sz w:val="20"/>
              </w:rPr>
            </w:pPr>
            <w:r>
              <w:rPr>
                <w:b/>
                <w:sz w:val="20"/>
              </w:rPr>
              <w:t>18.</w:t>
            </w:r>
            <w:r>
              <w:rPr>
                <w:b/>
                <w:spacing w:val="-1"/>
                <w:sz w:val="20"/>
              </w:rPr>
              <w:t xml:space="preserve"> </w:t>
            </w:r>
            <w:r>
              <w:rPr>
                <w:sz w:val="20"/>
              </w:rPr>
              <w:t>Long-term</w:t>
            </w:r>
            <w:r>
              <w:rPr>
                <w:spacing w:val="-5"/>
                <w:sz w:val="20"/>
              </w:rPr>
              <w:t xml:space="preserve"> </w:t>
            </w:r>
            <w:r>
              <w:rPr>
                <w:sz w:val="20"/>
              </w:rPr>
              <w:t>care</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bl>
    <w:p w:rsidR="00A56FE9" w:rsidRDefault="00A56FE9">
      <w:pPr>
        <w:pStyle w:val="Tijeloteksta"/>
        <w:ind w:left="0"/>
        <w:jc w:val="left"/>
        <w:rPr>
          <w:b/>
          <w:sz w:val="20"/>
        </w:rPr>
      </w:pPr>
    </w:p>
    <w:p w:rsidR="00A56FE9" w:rsidRDefault="00CC1B9B">
      <w:pPr>
        <w:pStyle w:val="Tijeloteksta"/>
        <w:spacing w:before="2"/>
        <w:ind w:left="0"/>
        <w:jc w:val="left"/>
        <w:rPr>
          <w:b/>
          <w:sz w:val="14"/>
        </w:rPr>
      </w:pPr>
      <w:r>
        <w:rPr>
          <w:noProof/>
        </w:rPr>
        <mc:AlternateContent>
          <mc:Choice Requires="wps">
            <w:drawing>
              <wp:anchor distT="0" distB="0" distL="0" distR="0" simplePos="0" relativeHeight="487712768" behindDoc="1" locked="0" layoutInCell="1" allowOverlap="1">
                <wp:simplePos x="0" y="0"/>
                <wp:positionH relativeFrom="page">
                  <wp:posOffset>900430</wp:posOffset>
                </wp:positionH>
                <wp:positionV relativeFrom="paragraph">
                  <wp:posOffset>128270</wp:posOffset>
                </wp:positionV>
                <wp:extent cx="1828800" cy="7620"/>
                <wp:effectExtent l="0" t="0" r="0" b="0"/>
                <wp:wrapTopAndBottom/>
                <wp:docPr id="13966711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853B9" id="Rectangle 4" o:spid="_x0000_s1026" style="position:absolute;margin-left:70.9pt;margin-top:10.1pt;width:2in;height:.6pt;z-index:-15603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" fillcolor="black" stroked="f">
                <w10:wrap type="topAndBottom" anchorx="page"/>
              </v:rect>
            </w:pict>
          </mc:Fallback>
        </mc:AlternateContent>
      </w:r>
    </w:p>
    <w:p w:rsidR="00A56FE9" w:rsidRDefault="00000000">
      <w:pPr>
        <w:spacing w:before="74"/>
        <w:ind w:left="958"/>
        <w:rPr>
          <w:sz w:val="20"/>
        </w:rPr>
      </w:pPr>
      <w:r>
        <w:rPr>
          <w:sz w:val="20"/>
          <w:vertAlign w:val="superscript"/>
        </w:rPr>
        <w:t>57</w:t>
      </w:r>
      <w:r>
        <w:rPr>
          <w:spacing w:val="-2"/>
          <w:sz w:val="20"/>
        </w:rPr>
        <w:t xml:space="preserve"> </w:t>
      </w:r>
      <w:r>
        <w:rPr>
          <w:sz w:val="20"/>
        </w:rPr>
        <w:t>Contribution</w:t>
      </w:r>
      <w:r>
        <w:rPr>
          <w:spacing w:val="-3"/>
          <w:sz w:val="20"/>
        </w:rPr>
        <w:t xml:space="preserve"> </w:t>
      </w:r>
      <w:r>
        <w:rPr>
          <w:sz w:val="20"/>
        </w:rPr>
        <w:t>to</w:t>
      </w:r>
      <w:r>
        <w:rPr>
          <w:spacing w:val="-1"/>
          <w:sz w:val="20"/>
        </w:rPr>
        <w:t xml:space="preserve"> </w:t>
      </w:r>
      <w:r>
        <w:rPr>
          <w:sz w:val="20"/>
        </w:rPr>
        <w:t>principles</w:t>
      </w:r>
      <w:r>
        <w:rPr>
          <w:spacing w:val="-2"/>
          <w:sz w:val="20"/>
        </w:rPr>
        <w:t xml:space="preserve"> </w:t>
      </w:r>
      <w:r>
        <w:rPr>
          <w:sz w:val="20"/>
        </w:rPr>
        <w:t>2.</w:t>
      </w:r>
      <w:r>
        <w:rPr>
          <w:spacing w:val="-2"/>
          <w:sz w:val="20"/>
        </w:rPr>
        <w:t xml:space="preserve"> </w:t>
      </w:r>
      <w:r>
        <w:rPr>
          <w:sz w:val="20"/>
        </w:rPr>
        <w:t>Gender</w:t>
      </w:r>
      <w:r>
        <w:rPr>
          <w:spacing w:val="-1"/>
          <w:sz w:val="20"/>
        </w:rPr>
        <w:t xml:space="preserve"> </w:t>
      </w:r>
      <w:r>
        <w:rPr>
          <w:sz w:val="20"/>
        </w:rPr>
        <w:t>equality</w:t>
      </w:r>
      <w:r>
        <w:rPr>
          <w:spacing w:val="-6"/>
          <w:sz w:val="20"/>
        </w:rPr>
        <w:t xml:space="preserve"> </w:t>
      </w:r>
      <w:r>
        <w:rPr>
          <w:sz w:val="20"/>
        </w:rPr>
        <w:t>and 3.</w:t>
      </w:r>
      <w:r>
        <w:rPr>
          <w:spacing w:val="-2"/>
          <w:sz w:val="20"/>
        </w:rPr>
        <w:t xml:space="preserve"> </w:t>
      </w:r>
      <w:r>
        <w:rPr>
          <w:sz w:val="20"/>
        </w:rPr>
        <w:t>Equal</w:t>
      </w:r>
      <w:r>
        <w:rPr>
          <w:spacing w:val="-2"/>
          <w:sz w:val="20"/>
        </w:rPr>
        <w:t xml:space="preserve"> </w:t>
      </w:r>
      <w:r>
        <w:rPr>
          <w:sz w:val="20"/>
        </w:rPr>
        <w:t>opportunities</w:t>
      </w:r>
      <w:r>
        <w:rPr>
          <w:spacing w:val="-3"/>
          <w:sz w:val="20"/>
        </w:rPr>
        <w:t xml:space="preserve"> </w:t>
      </w:r>
      <w:r>
        <w:rPr>
          <w:sz w:val="20"/>
        </w:rPr>
        <w:t>is</w:t>
      </w:r>
      <w:r>
        <w:rPr>
          <w:spacing w:val="-2"/>
          <w:sz w:val="20"/>
        </w:rPr>
        <w:t xml:space="preserve"> </w:t>
      </w:r>
      <w:r>
        <w:rPr>
          <w:sz w:val="20"/>
        </w:rPr>
        <w:t>described</w:t>
      </w:r>
      <w:r>
        <w:rPr>
          <w:spacing w:val="-1"/>
          <w:sz w:val="20"/>
        </w:rPr>
        <w:t xml:space="preserve"> </w:t>
      </w:r>
      <w:r>
        <w:rPr>
          <w:sz w:val="20"/>
        </w:rPr>
        <w:t>in</w:t>
      </w:r>
      <w:r>
        <w:rPr>
          <w:spacing w:val="-4"/>
          <w:sz w:val="20"/>
        </w:rPr>
        <w:t xml:space="preserve"> </w:t>
      </w:r>
      <w:r>
        <w:rPr>
          <w:sz w:val="20"/>
        </w:rPr>
        <w:t>NRRP.</w:t>
      </w:r>
    </w:p>
    <w:p w:rsidR="00A56FE9" w:rsidRDefault="00A56FE9">
      <w:pPr>
        <w:rPr>
          <w:sz w:val="20"/>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CellSpacing w:w="4" w:type="dxa"/>
        <w:tblInd w:w="975" w:type="dxa"/>
        <w:tblLayout w:type="fixed"/>
        <w:tblLook w:val="01E0" w:firstRow="1" w:lastRow="1" w:firstColumn="1" w:lastColumn="1" w:noHBand="0" w:noVBand="0"/>
      </w:tblPr>
      <w:tblGrid>
        <w:gridCol w:w="3411"/>
        <w:gridCol w:w="434"/>
        <w:gridCol w:w="402"/>
        <w:gridCol w:w="415"/>
        <w:gridCol w:w="357"/>
        <w:gridCol w:w="415"/>
        <w:gridCol w:w="420"/>
        <w:gridCol w:w="426"/>
        <w:gridCol w:w="463"/>
        <w:gridCol w:w="423"/>
        <w:gridCol w:w="419"/>
        <w:gridCol w:w="359"/>
        <w:gridCol w:w="366"/>
        <w:gridCol w:w="359"/>
        <w:gridCol w:w="364"/>
        <w:gridCol w:w="434"/>
        <w:gridCol w:w="622"/>
        <w:gridCol w:w="623"/>
        <w:gridCol w:w="573"/>
        <w:gridCol w:w="575"/>
        <w:gridCol w:w="537"/>
        <w:gridCol w:w="1000"/>
        <w:gridCol w:w="803"/>
      </w:tblGrid>
      <w:tr w:rsidR="00A56FE9">
        <w:trPr>
          <w:trHeight w:val="1263"/>
          <w:tblCellSpacing w:w="4" w:type="dxa"/>
        </w:trPr>
        <w:tc>
          <w:tcPr>
            <w:tcW w:w="3399" w:type="dxa"/>
            <w:tcBorders>
              <w:top w:val="single" w:sz="4" w:space="0" w:color="001F5F"/>
              <w:left w:val="single" w:sz="4" w:space="0" w:color="001F5F"/>
            </w:tcBorders>
            <w:shd w:val="clear" w:color="auto" w:fill="2C398A"/>
          </w:tcPr>
          <w:p w:rsidR="00A56FE9" w:rsidRDefault="00A56FE9">
            <w:pPr>
              <w:pStyle w:val="TableParagraph"/>
              <w:spacing w:before="5"/>
              <w:rPr>
                <w:sz w:val="26"/>
              </w:rPr>
            </w:pPr>
          </w:p>
          <w:p w:rsidR="00A56FE9" w:rsidRDefault="00000000">
            <w:pPr>
              <w:pStyle w:val="TableParagraph"/>
              <w:ind w:left="1226" w:right="1217"/>
              <w:jc w:val="center"/>
              <w:rPr>
                <w:sz w:val="18"/>
              </w:rPr>
            </w:pPr>
            <w:r>
              <w:rPr>
                <w:color w:val="FFFFFF"/>
                <w:sz w:val="18"/>
              </w:rPr>
              <w:t>Components</w:t>
            </w:r>
          </w:p>
          <w:p w:rsidR="00A56FE9" w:rsidRDefault="00A56FE9">
            <w:pPr>
              <w:pStyle w:val="TableParagraph"/>
              <w:rPr>
                <w:sz w:val="20"/>
              </w:rPr>
            </w:pPr>
          </w:p>
          <w:p w:rsidR="00A56FE9" w:rsidRDefault="00A56FE9">
            <w:pPr>
              <w:pStyle w:val="TableParagraph"/>
              <w:spacing w:before="6"/>
              <w:rPr>
                <w:sz w:val="17"/>
              </w:rPr>
            </w:pPr>
          </w:p>
          <w:p w:rsidR="00A56FE9" w:rsidRDefault="00000000">
            <w:pPr>
              <w:pStyle w:val="TableParagraph"/>
              <w:ind w:left="1224" w:right="1217"/>
              <w:jc w:val="center"/>
              <w:rPr>
                <w:sz w:val="18"/>
              </w:rPr>
            </w:pPr>
            <w:r>
              <w:rPr>
                <w:color w:val="FFFFFF"/>
                <w:sz w:val="18"/>
              </w:rPr>
              <w:t>Šifra</w:t>
            </w:r>
          </w:p>
        </w:tc>
        <w:tc>
          <w:tcPr>
            <w:tcW w:w="2395" w:type="dxa"/>
            <w:gridSpan w:val="6"/>
            <w:tcBorders>
              <w:top w:val="single" w:sz="4" w:space="0" w:color="001F5F"/>
            </w:tcBorders>
            <w:shd w:val="clear" w:color="auto" w:fill="2C398A"/>
          </w:tcPr>
          <w:p w:rsidR="00A56FE9" w:rsidRDefault="00A56FE9">
            <w:pPr>
              <w:pStyle w:val="TableParagraph"/>
              <w:spacing w:before="5"/>
              <w:rPr>
                <w:sz w:val="26"/>
              </w:rPr>
            </w:pPr>
          </w:p>
          <w:p w:rsidR="00A56FE9" w:rsidRDefault="00000000">
            <w:pPr>
              <w:pStyle w:val="TableParagraph"/>
              <w:ind w:left="836" w:right="828"/>
              <w:jc w:val="center"/>
              <w:rPr>
                <w:sz w:val="18"/>
              </w:rPr>
            </w:pPr>
            <w:r>
              <w:rPr>
                <w:color w:val="FFFFFF"/>
                <w:sz w:val="18"/>
              </w:rPr>
              <w:t>Economy</w:t>
            </w:r>
          </w:p>
          <w:p w:rsidR="00A56FE9" w:rsidRDefault="00A56FE9">
            <w:pPr>
              <w:pStyle w:val="TableParagraph"/>
              <w:rPr>
                <w:sz w:val="20"/>
              </w:rPr>
            </w:pPr>
          </w:p>
          <w:p w:rsidR="00A56FE9" w:rsidRDefault="00A56FE9">
            <w:pPr>
              <w:pStyle w:val="TableParagraph"/>
              <w:spacing w:before="6"/>
              <w:rPr>
                <w:sz w:val="17"/>
              </w:rPr>
            </w:pPr>
          </w:p>
          <w:p w:rsidR="00A56FE9" w:rsidRDefault="00000000">
            <w:pPr>
              <w:pStyle w:val="TableParagraph"/>
              <w:ind w:left="832" w:right="828"/>
              <w:jc w:val="center"/>
              <w:rPr>
                <w:sz w:val="18"/>
              </w:rPr>
            </w:pPr>
            <w:r>
              <w:rPr>
                <w:color w:val="FFFFFF"/>
                <w:sz w:val="18"/>
              </w:rPr>
              <w:t>C1</w:t>
            </w:r>
          </w:p>
        </w:tc>
        <w:tc>
          <w:tcPr>
            <w:tcW w:w="3541" w:type="dxa"/>
            <w:gridSpan w:val="9"/>
            <w:tcBorders>
              <w:top w:val="single" w:sz="4" w:space="0" w:color="001F5F"/>
            </w:tcBorders>
            <w:shd w:val="clear" w:color="auto" w:fill="2C398A"/>
          </w:tcPr>
          <w:p w:rsidR="00A56FE9" w:rsidRDefault="00A56FE9">
            <w:pPr>
              <w:pStyle w:val="TableParagraph"/>
              <w:spacing w:before="5"/>
              <w:rPr>
                <w:sz w:val="17"/>
              </w:rPr>
            </w:pPr>
          </w:p>
          <w:p w:rsidR="00A56FE9" w:rsidRDefault="00000000">
            <w:pPr>
              <w:pStyle w:val="TableParagraph"/>
              <w:spacing w:before="1"/>
              <w:ind w:left="235" w:right="237"/>
              <w:jc w:val="center"/>
              <w:rPr>
                <w:sz w:val="18"/>
              </w:rPr>
            </w:pPr>
            <w:r>
              <w:rPr>
                <w:color w:val="FFFFFF"/>
                <w:sz w:val="18"/>
              </w:rPr>
              <w:t>Public Administration, Judiciary and State</w:t>
            </w:r>
            <w:r>
              <w:rPr>
                <w:color w:val="FFFFFF"/>
                <w:spacing w:val="-42"/>
                <w:sz w:val="18"/>
              </w:rPr>
              <w:t xml:space="preserve"> </w:t>
            </w:r>
            <w:r>
              <w:rPr>
                <w:color w:val="FFFFFF"/>
                <w:sz w:val="18"/>
              </w:rPr>
              <w:t>Assets</w:t>
            </w:r>
          </w:p>
          <w:p w:rsidR="00A56FE9" w:rsidRDefault="00A56FE9">
            <w:pPr>
              <w:pStyle w:val="TableParagraph"/>
              <w:spacing w:before="5"/>
              <w:rPr>
                <w:sz w:val="28"/>
              </w:rPr>
            </w:pPr>
          </w:p>
          <w:p w:rsidR="00A56FE9" w:rsidRDefault="00000000">
            <w:pPr>
              <w:pStyle w:val="TableParagraph"/>
              <w:ind w:left="235" w:right="235"/>
              <w:jc w:val="center"/>
              <w:rPr>
                <w:sz w:val="18"/>
              </w:rPr>
            </w:pPr>
            <w:r>
              <w:rPr>
                <w:color w:val="FFFFFF"/>
                <w:sz w:val="18"/>
              </w:rPr>
              <w:t>C2</w:t>
            </w:r>
          </w:p>
        </w:tc>
        <w:tc>
          <w:tcPr>
            <w:tcW w:w="1229" w:type="dxa"/>
            <w:gridSpan w:val="2"/>
            <w:tcBorders>
              <w:top w:val="single" w:sz="4" w:space="0" w:color="001F5F"/>
            </w:tcBorders>
            <w:shd w:val="clear" w:color="auto" w:fill="2C398A"/>
          </w:tcPr>
          <w:p w:rsidR="00A56FE9" w:rsidRDefault="00000000">
            <w:pPr>
              <w:pStyle w:val="TableParagraph"/>
              <w:spacing w:before="98"/>
              <w:ind w:left="172" w:right="179" w:firstLine="43"/>
              <w:jc w:val="both"/>
              <w:rPr>
                <w:sz w:val="18"/>
              </w:rPr>
            </w:pPr>
            <w:r>
              <w:rPr>
                <w:color w:val="FFFFFF"/>
                <w:sz w:val="18"/>
              </w:rPr>
              <w:t>Education,</w:t>
            </w:r>
            <w:r>
              <w:rPr>
                <w:color w:val="FFFFFF"/>
                <w:spacing w:val="1"/>
                <w:sz w:val="18"/>
              </w:rPr>
              <w:t xml:space="preserve"> </w:t>
            </w:r>
            <w:r>
              <w:rPr>
                <w:color w:val="FFFFFF"/>
                <w:sz w:val="18"/>
              </w:rPr>
              <w:t>Science and</w:t>
            </w:r>
            <w:r>
              <w:rPr>
                <w:color w:val="FFFFFF"/>
                <w:spacing w:val="-42"/>
                <w:sz w:val="18"/>
              </w:rPr>
              <w:t xml:space="preserve"> </w:t>
            </w:r>
            <w:r>
              <w:rPr>
                <w:color w:val="FFFFFF"/>
                <w:sz w:val="18"/>
              </w:rPr>
              <w:t>Research</w:t>
            </w:r>
          </w:p>
          <w:p w:rsidR="00A56FE9" w:rsidRDefault="00A56FE9">
            <w:pPr>
              <w:pStyle w:val="TableParagraph"/>
              <w:spacing w:before="5"/>
              <w:rPr>
                <w:sz w:val="19"/>
              </w:rPr>
            </w:pPr>
          </w:p>
          <w:p w:rsidR="00A56FE9" w:rsidRDefault="00000000">
            <w:pPr>
              <w:pStyle w:val="TableParagraph"/>
              <w:ind w:left="484" w:right="493"/>
              <w:jc w:val="center"/>
              <w:rPr>
                <w:sz w:val="18"/>
              </w:rPr>
            </w:pPr>
            <w:r>
              <w:rPr>
                <w:color w:val="FFFFFF"/>
                <w:sz w:val="18"/>
              </w:rPr>
              <w:t>C3</w:t>
            </w:r>
          </w:p>
        </w:tc>
        <w:tc>
          <w:tcPr>
            <w:tcW w:w="1661" w:type="dxa"/>
            <w:gridSpan w:val="3"/>
            <w:tcBorders>
              <w:top w:val="single" w:sz="4" w:space="0" w:color="001F5F"/>
            </w:tcBorders>
            <w:shd w:val="clear" w:color="auto" w:fill="2C398A"/>
          </w:tcPr>
          <w:p w:rsidR="00A56FE9" w:rsidRDefault="00A56FE9">
            <w:pPr>
              <w:pStyle w:val="TableParagraph"/>
              <w:spacing w:before="5"/>
              <w:rPr>
                <w:sz w:val="17"/>
              </w:rPr>
            </w:pPr>
          </w:p>
          <w:p w:rsidR="00A56FE9" w:rsidRDefault="00000000">
            <w:pPr>
              <w:pStyle w:val="TableParagraph"/>
              <w:spacing w:before="1"/>
              <w:ind w:left="122" w:right="136"/>
              <w:jc w:val="center"/>
              <w:rPr>
                <w:sz w:val="18"/>
              </w:rPr>
            </w:pPr>
            <w:r>
              <w:rPr>
                <w:color w:val="FFFFFF"/>
                <w:sz w:val="18"/>
              </w:rPr>
              <w:t>Labour Market and</w:t>
            </w:r>
            <w:r>
              <w:rPr>
                <w:color w:val="FFFFFF"/>
                <w:spacing w:val="-42"/>
                <w:sz w:val="18"/>
              </w:rPr>
              <w:t xml:space="preserve"> </w:t>
            </w:r>
            <w:r>
              <w:rPr>
                <w:color w:val="FFFFFF"/>
                <w:sz w:val="18"/>
              </w:rPr>
              <w:t>Social</w:t>
            </w:r>
            <w:r>
              <w:rPr>
                <w:color w:val="FFFFFF"/>
                <w:spacing w:val="-3"/>
                <w:sz w:val="18"/>
              </w:rPr>
              <w:t xml:space="preserve"> </w:t>
            </w:r>
            <w:r>
              <w:rPr>
                <w:color w:val="FFFFFF"/>
                <w:sz w:val="18"/>
              </w:rPr>
              <w:t>Protection</w:t>
            </w:r>
          </w:p>
          <w:p w:rsidR="00A56FE9" w:rsidRDefault="00A56FE9">
            <w:pPr>
              <w:pStyle w:val="TableParagraph"/>
              <w:spacing w:before="5"/>
              <w:rPr>
                <w:sz w:val="28"/>
              </w:rPr>
            </w:pPr>
          </w:p>
          <w:p w:rsidR="00A56FE9" w:rsidRDefault="00000000">
            <w:pPr>
              <w:pStyle w:val="TableParagraph"/>
              <w:ind w:left="122" w:right="135"/>
              <w:jc w:val="center"/>
              <w:rPr>
                <w:sz w:val="18"/>
              </w:rPr>
            </w:pPr>
            <w:r>
              <w:rPr>
                <w:color w:val="FFFFFF"/>
                <w:sz w:val="18"/>
              </w:rPr>
              <w:t>C4</w:t>
            </w:r>
          </w:p>
        </w:tc>
        <w:tc>
          <w:tcPr>
            <w:tcW w:w="992" w:type="dxa"/>
            <w:tcBorders>
              <w:top w:val="single" w:sz="4" w:space="0" w:color="001F5F"/>
            </w:tcBorders>
            <w:shd w:val="clear" w:color="auto" w:fill="2C398A"/>
          </w:tcPr>
          <w:p w:rsidR="00A56FE9" w:rsidRDefault="00A56FE9">
            <w:pPr>
              <w:pStyle w:val="TableParagraph"/>
              <w:spacing w:before="5"/>
              <w:rPr>
                <w:sz w:val="17"/>
              </w:rPr>
            </w:pPr>
          </w:p>
          <w:p w:rsidR="00A56FE9" w:rsidRDefault="00000000">
            <w:pPr>
              <w:pStyle w:val="TableParagraph"/>
              <w:spacing w:before="1"/>
              <w:ind w:left="242" w:right="259"/>
              <w:jc w:val="center"/>
              <w:rPr>
                <w:sz w:val="18"/>
              </w:rPr>
            </w:pPr>
            <w:r>
              <w:rPr>
                <w:color w:val="FFFFFF"/>
                <w:sz w:val="18"/>
              </w:rPr>
              <w:t>Health</w:t>
            </w:r>
            <w:r>
              <w:rPr>
                <w:color w:val="FFFFFF"/>
                <w:spacing w:val="-42"/>
                <w:sz w:val="18"/>
              </w:rPr>
              <w:t xml:space="preserve"> </w:t>
            </w:r>
            <w:r>
              <w:rPr>
                <w:color w:val="FFFFFF"/>
                <w:sz w:val="18"/>
              </w:rPr>
              <w:t>Care</w:t>
            </w:r>
          </w:p>
          <w:p w:rsidR="00A56FE9" w:rsidRDefault="00A56FE9">
            <w:pPr>
              <w:pStyle w:val="TableParagraph"/>
              <w:spacing w:before="5"/>
              <w:rPr>
                <w:sz w:val="28"/>
              </w:rPr>
            </w:pPr>
          </w:p>
          <w:p w:rsidR="00A56FE9" w:rsidRDefault="00000000">
            <w:pPr>
              <w:pStyle w:val="TableParagraph"/>
              <w:ind w:left="242" w:right="258"/>
              <w:jc w:val="center"/>
              <w:rPr>
                <w:sz w:val="18"/>
              </w:rPr>
            </w:pPr>
            <w:r>
              <w:rPr>
                <w:color w:val="FFFFFF"/>
                <w:sz w:val="18"/>
              </w:rPr>
              <w:t>C5</w:t>
            </w:r>
          </w:p>
        </w:tc>
        <w:tc>
          <w:tcPr>
            <w:tcW w:w="791" w:type="dxa"/>
            <w:tcBorders>
              <w:top w:val="single" w:sz="4" w:space="0" w:color="001F5F"/>
              <w:right w:val="single" w:sz="4" w:space="0" w:color="001F5F"/>
            </w:tcBorders>
            <w:shd w:val="clear" w:color="auto" w:fill="2C398A"/>
          </w:tcPr>
          <w:p w:rsidR="00A56FE9" w:rsidRDefault="00000000">
            <w:pPr>
              <w:pStyle w:val="TableParagraph"/>
              <w:ind w:left="107" w:right="121"/>
              <w:jc w:val="center"/>
              <w:rPr>
                <w:sz w:val="18"/>
              </w:rPr>
            </w:pPr>
            <w:r>
              <w:rPr>
                <w:color w:val="FFFFFF"/>
                <w:sz w:val="18"/>
              </w:rPr>
              <w:t>Renova</w:t>
            </w:r>
            <w:r>
              <w:rPr>
                <w:color w:val="FFFFFF"/>
                <w:spacing w:val="-42"/>
                <w:sz w:val="18"/>
              </w:rPr>
              <w:t xml:space="preserve"> </w:t>
            </w:r>
            <w:r>
              <w:rPr>
                <w:color w:val="FFFFFF"/>
                <w:sz w:val="18"/>
              </w:rPr>
              <w:t>tion of</w:t>
            </w:r>
            <w:r>
              <w:rPr>
                <w:color w:val="FFFFFF"/>
                <w:spacing w:val="1"/>
                <w:sz w:val="18"/>
              </w:rPr>
              <w:t xml:space="preserve"> </w:t>
            </w:r>
            <w:r>
              <w:rPr>
                <w:color w:val="FFFFFF"/>
                <w:sz w:val="18"/>
              </w:rPr>
              <w:t>Buildin</w:t>
            </w:r>
            <w:r>
              <w:rPr>
                <w:color w:val="FFFFFF"/>
                <w:spacing w:val="-42"/>
                <w:sz w:val="18"/>
              </w:rPr>
              <w:t xml:space="preserve"> </w:t>
            </w:r>
            <w:r>
              <w:rPr>
                <w:color w:val="FFFFFF"/>
                <w:sz w:val="18"/>
              </w:rPr>
              <w:t>gs</w:t>
            </w:r>
          </w:p>
          <w:p w:rsidR="00A56FE9" w:rsidRDefault="00000000">
            <w:pPr>
              <w:pStyle w:val="TableParagraph"/>
              <w:spacing w:before="115"/>
              <w:ind w:left="104" w:right="121"/>
              <w:jc w:val="center"/>
              <w:rPr>
                <w:sz w:val="18"/>
              </w:rPr>
            </w:pPr>
            <w:r>
              <w:rPr>
                <w:color w:val="FFFFFF"/>
                <w:sz w:val="18"/>
              </w:rPr>
              <w:t>C6</w:t>
            </w:r>
          </w:p>
        </w:tc>
      </w:tr>
      <w:tr w:rsidR="00A56FE9">
        <w:trPr>
          <w:trHeight w:val="318"/>
          <w:tblCellSpacing w:w="4" w:type="dxa"/>
        </w:trPr>
        <w:tc>
          <w:tcPr>
            <w:tcW w:w="3399" w:type="dxa"/>
            <w:tcBorders>
              <w:left w:val="nil"/>
              <w:bottom w:val="single" w:sz="4" w:space="0" w:color="001F5F"/>
            </w:tcBorders>
            <w:shd w:val="clear" w:color="auto" w:fill="D9D9D9"/>
          </w:tcPr>
          <w:p w:rsidR="00A56FE9" w:rsidRDefault="00A56FE9">
            <w:pPr>
              <w:pStyle w:val="TableParagraph"/>
              <w:rPr>
                <w:sz w:val="18"/>
              </w:rPr>
            </w:pPr>
          </w:p>
        </w:tc>
        <w:tc>
          <w:tcPr>
            <w:tcW w:w="426" w:type="dxa"/>
            <w:tcBorders>
              <w:bottom w:val="single" w:sz="4" w:space="0" w:color="001F5F"/>
            </w:tcBorders>
            <w:shd w:val="clear" w:color="auto" w:fill="DEEAF6"/>
          </w:tcPr>
          <w:p w:rsidR="00A56FE9" w:rsidRDefault="00000000">
            <w:pPr>
              <w:pStyle w:val="TableParagraph"/>
              <w:spacing w:before="55"/>
              <w:ind w:left="5"/>
              <w:jc w:val="center"/>
              <w:rPr>
                <w:sz w:val="18"/>
              </w:rPr>
            </w:pPr>
            <w:r>
              <w:rPr>
                <w:sz w:val="18"/>
              </w:rPr>
              <w:t>1</w:t>
            </w:r>
          </w:p>
        </w:tc>
        <w:tc>
          <w:tcPr>
            <w:tcW w:w="394" w:type="dxa"/>
            <w:tcBorders>
              <w:bottom w:val="single" w:sz="4" w:space="0" w:color="001F5F"/>
            </w:tcBorders>
            <w:shd w:val="clear" w:color="auto" w:fill="DEEAF6"/>
          </w:tcPr>
          <w:p w:rsidR="00A56FE9" w:rsidRDefault="00000000">
            <w:pPr>
              <w:pStyle w:val="TableParagraph"/>
              <w:spacing w:before="55"/>
              <w:ind w:left="6"/>
              <w:jc w:val="center"/>
              <w:rPr>
                <w:sz w:val="18"/>
              </w:rPr>
            </w:pPr>
            <w:r>
              <w:rPr>
                <w:sz w:val="18"/>
              </w:rPr>
              <w:t>2</w:t>
            </w:r>
          </w:p>
        </w:tc>
        <w:tc>
          <w:tcPr>
            <w:tcW w:w="407" w:type="dxa"/>
            <w:tcBorders>
              <w:bottom w:val="single" w:sz="4" w:space="0" w:color="001F5F"/>
              <w:right w:val="nil"/>
            </w:tcBorders>
            <w:shd w:val="clear" w:color="auto" w:fill="DEEAF6"/>
          </w:tcPr>
          <w:p w:rsidR="00A56FE9" w:rsidRDefault="00000000">
            <w:pPr>
              <w:pStyle w:val="TableParagraph"/>
              <w:spacing w:before="55"/>
              <w:ind w:left="4"/>
              <w:jc w:val="center"/>
              <w:rPr>
                <w:sz w:val="18"/>
              </w:rPr>
            </w:pPr>
            <w:r>
              <w:rPr>
                <w:sz w:val="18"/>
              </w:rPr>
              <w:t>3</w:t>
            </w:r>
          </w:p>
        </w:tc>
        <w:tc>
          <w:tcPr>
            <w:tcW w:w="349" w:type="dxa"/>
            <w:tcBorders>
              <w:left w:val="nil"/>
              <w:bottom w:val="single" w:sz="4" w:space="0" w:color="001F5F"/>
            </w:tcBorders>
            <w:shd w:val="clear" w:color="auto" w:fill="DEEAF6"/>
          </w:tcPr>
          <w:p w:rsidR="00A56FE9" w:rsidRDefault="00000000">
            <w:pPr>
              <w:pStyle w:val="TableParagraph"/>
              <w:spacing w:before="55"/>
              <w:ind w:left="6"/>
              <w:jc w:val="center"/>
              <w:rPr>
                <w:sz w:val="18"/>
              </w:rPr>
            </w:pPr>
            <w:r>
              <w:rPr>
                <w:sz w:val="18"/>
              </w:rPr>
              <w:t>4</w:t>
            </w:r>
          </w:p>
        </w:tc>
        <w:tc>
          <w:tcPr>
            <w:tcW w:w="407" w:type="dxa"/>
            <w:tcBorders>
              <w:bottom w:val="single" w:sz="4" w:space="0" w:color="001F5F"/>
              <w:right w:val="nil"/>
            </w:tcBorders>
            <w:shd w:val="clear" w:color="auto" w:fill="DEEAF6"/>
          </w:tcPr>
          <w:p w:rsidR="00A56FE9" w:rsidRDefault="00000000">
            <w:pPr>
              <w:pStyle w:val="TableParagraph"/>
              <w:spacing w:before="55"/>
              <w:ind w:left="4"/>
              <w:jc w:val="center"/>
              <w:rPr>
                <w:sz w:val="18"/>
              </w:rPr>
            </w:pPr>
            <w:r>
              <w:rPr>
                <w:sz w:val="18"/>
              </w:rPr>
              <w:t>5</w:t>
            </w:r>
          </w:p>
        </w:tc>
        <w:tc>
          <w:tcPr>
            <w:tcW w:w="412" w:type="dxa"/>
            <w:tcBorders>
              <w:left w:val="nil"/>
              <w:bottom w:val="single" w:sz="4" w:space="0" w:color="001F5F"/>
            </w:tcBorders>
            <w:shd w:val="clear" w:color="auto" w:fill="DEEAF6"/>
          </w:tcPr>
          <w:p w:rsidR="00A56FE9" w:rsidRDefault="00000000">
            <w:pPr>
              <w:pStyle w:val="TableParagraph"/>
              <w:spacing w:before="55"/>
              <w:ind w:left="1"/>
              <w:jc w:val="center"/>
              <w:rPr>
                <w:sz w:val="18"/>
              </w:rPr>
            </w:pPr>
            <w:r>
              <w:rPr>
                <w:sz w:val="18"/>
              </w:rPr>
              <w:t>6</w:t>
            </w:r>
          </w:p>
        </w:tc>
        <w:tc>
          <w:tcPr>
            <w:tcW w:w="418" w:type="dxa"/>
            <w:tcBorders>
              <w:bottom w:val="single" w:sz="4" w:space="0" w:color="001F5F"/>
            </w:tcBorders>
            <w:shd w:val="clear" w:color="auto" w:fill="FAE3D4"/>
          </w:tcPr>
          <w:p w:rsidR="00A56FE9" w:rsidRDefault="00000000">
            <w:pPr>
              <w:pStyle w:val="TableParagraph"/>
              <w:spacing w:before="55"/>
              <w:ind w:left="4"/>
              <w:jc w:val="center"/>
              <w:rPr>
                <w:sz w:val="18"/>
              </w:rPr>
            </w:pPr>
            <w:r>
              <w:rPr>
                <w:sz w:val="18"/>
              </w:rPr>
              <w:t>1</w:t>
            </w:r>
          </w:p>
        </w:tc>
        <w:tc>
          <w:tcPr>
            <w:tcW w:w="455" w:type="dxa"/>
            <w:tcBorders>
              <w:bottom w:val="single" w:sz="4" w:space="0" w:color="001F5F"/>
              <w:right w:val="nil"/>
            </w:tcBorders>
            <w:shd w:val="clear" w:color="auto" w:fill="FAE3D4"/>
          </w:tcPr>
          <w:p w:rsidR="00A56FE9" w:rsidRDefault="00000000">
            <w:pPr>
              <w:pStyle w:val="TableParagraph"/>
              <w:spacing w:before="55"/>
              <w:ind w:left="7"/>
              <w:jc w:val="center"/>
              <w:rPr>
                <w:sz w:val="18"/>
              </w:rPr>
            </w:pPr>
            <w:r>
              <w:rPr>
                <w:sz w:val="18"/>
              </w:rPr>
              <w:t>2</w:t>
            </w:r>
          </w:p>
        </w:tc>
        <w:tc>
          <w:tcPr>
            <w:tcW w:w="415" w:type="dxa"/>
            <w:tcBorders>
              <w:left w:val="nil"/>
              <w:bottom w:val="single" w:sz="4" w:space="0" w:color="001F5F"/>
            </w:tcBorders>
            <w:shd w:val="clear" w:color="auto" w:fill="FAE3D4"/>
          </w:tcPr>
          <w:p w:rsidR="00A56FE9" w:rsidRDefault="00000000">
            <w:pPr>
              <w:pStyle w:val="TableParagraph"/>
              <w:spacing w:before="55"/>
              <w:ind w:left="2"/>
              <w:jc w:val="center"/>
              <w:rPr>
                <w:sz w:val="18"/>
              </w:rPr>
            </w:pPr>
            <w:r>
              <w:rPr>
                <w:sz w:val="18"/>
              </w:rPr>
              <w:t>3</w:t>
            </w:r>
          </w:p>
        </w:tc>
        <w:tc>
          <w:tcPr>
            <w:tcW w:w="411" w:type="dxa"/>
            <w:tcBorders>
              <w:bottom w:val="single" w:sz="4" w:space="0" w:color="001F5F"/>
            </w:tcBorders>
            <w:shd w:val="clear" w:color="auto" w:fill="FAE3D4"/>
          </w:tcPr>
          <w:p w:rsidR="00A56FE9" w:rsidRDefault="00000000">
            <w:pPr>
              <w:pStyle w:val="TableParagraph"/>
              <w:spacing w:before="55"/>
              <w:jc w:val="center"/>
              <w:rPr>
                <w:sz w:val="18"/>
              </w:rPr>
            </w:pPr>
            <w:r>
              <w:rPr>
                <w:sz w:val="18"/>
              </w:rPr>
              <w:t>4</w:t>
            </w:r>
          </w:p>
        </w:tc>
        <w:tc>
          <w:tcPr>
            <w:tcW w:w="351" w:type="dxa"/>
            <w:tcBorders>
              <w:bottom w:val="single" w:sz="4" w:space="0" w:color="001F5F"/>
            </w:tcBorders>
            <w:shd w:val="clear" w:color="auto" w:fill="FAE3D4"/>
          </w:tcPr>
          <w:p w:rsidR="00A56FE9" w:rsidRDefault="00000000">
            <w:pPr>
              <w:pStyle w:val="TableParagraph"/>
              <w:spacing w:before="55"/>
              <w:jc w:val="center"/>
              <w:rPr>
                <w:sz w:val="18"/>
              </w:rPr>
            </w:pPr>
            <w:r>
              <w:rPr>
                <w:sz w:val="18"/>
              </w:rPr>
              <w:t>5</w:t>
            </w:r>
          </w:p>
        </w:tc>
        <w:tc>
          <w:tcPr>
            <w:tcW w:w="358" w:type="dxa"/>
            <w:tcBorders>
              <w:bottom w:val="single" w:sz="4" w:space="0" w:color="001F5F"/>
            </w:tcBorders>
            <w:shd w:val="clear" w:color="auto" w:fill="FAE3D4"/>
          </w:tcPr>
          <w:p w:rsidR="00A56FE9" w:rsidRDefault="00000000">
            <w:pPr>
              <w:pStyle w:val="TableParagraph"/>
              <w:spacing w:before="55"/>
              <w:jc w:val="center"/>
              <w:rPr>
                <w:sz w:val="18"/>
              </w:rPr>
            </w:pPr>
            <w:r>
              <w:rPr>
                <w:sz w:val="18"/>
              </w:rPr>
              <w:t>6</w:t>
            </w:r>
          </w:p>
        </w:tc>
        <w:tc>
          <w:tcPr>
            <w:tcW w:w="351" w:type="dxa"/>
            <w:tcBorders>
              <w:bottom w:val="single" w:sz="4" w:space="0" w:color="001F5F"/>
            </w:tcBorders>
            <w:shd w:val="clear" w:color="auto" w:fill="FAE3D4"/>
          </w:tcPr>
          <w:p w:rsidR="00A56FE9" w:rsidRDefault="00000000">
            <w:pPr>
              <w:pStyle w:val="TableParagraph"/>
              <w:spacing w:before="55"/>
              <w:ind w:right="1"/>
              <w:jc w:val="center"/>
              <w:rPr>
                <w:sz w:val="18"/>
              </w:rPr>
            </w:pPr>
            <w:r>
              <w:rPr>
                <w:sz w:val="18"/>
              </w:rPr>
              <w:t>7</w:t>
            </w:r>
          </w:p>
        </w:tc>
        <w:tc>
          <w:tcPr>
            <w:tcW w:w="356" w:type="dxa"/>
            <w:tcBorders>
              <w:bottom w:val="single" w:sz="4" w:space="0" w:color="001F5F"/>
            </w:tcBorders>
            <w:shd w:val="clear" w:color="auto" w:fill="FAE3D4"/>
          </w:tcPr>
          <w:p w:rsidR="00A56FE9" w:rsidRDefault="00000000">
            <w:pPr>
              <w:pStyle w:val="TableParagraph"/>
              <w:spacing w:before="55"/>
              <w:jc w:val="center"/>
              <w:rPr>
                <w:sz w:val="18"/>
              </w:rPr>
            </w:pPr>
            <w:r>
              <w:rPr>
                <w:sz w:val="18"/>
              </w:rPr>
              <w:t>8</w:t>
            </w:r>
          </w:p>
        </w:tc>
        <w:tc>
          <w:tcPr>
            <w:tcW w:w="426" w:type="dxa"/>
            <w:tcBorders>
              <w:bottom w:val="single" w:sz="4" w:space="0" w:color="001F5F"/>
            </w:tcBorders>
            <w:shd w:val="clear" w:color="auto" w:fill="FAE3D4"/>
          </w:tcPr>
          <w:p w:rsidR="00A56FE9" w:rsidRDefault="00000000">
            <w:pPr>
              <w:pStyle w:val="TableParagraph"/>
              <w:spacing w:before="55"/>
              <w:ind w:right="5"/>
              <w:jc w:val="center"/>
              <w:rPr>
                <w:sz w:val="18"/>
              </w:rPr>
            </w:pPr>
            <w:r>
              <w:rPr>
                <w:sz w:val="18"/>
              </w:rPr>
              <w:t>9</w:t>
            </w:r>
          </w:p>
        </w:tc>
        <w:tc>
          <w:tcPr>
            <w:tcW w:w="614" w:type="dxa"/>
            <w:tcBorders>
              <w:bottom w:val="single" w:sz="4" w:space="0" w:color="001F5F"/>
              <w:right w:val="nil"/>
            </w:tcBorders>
            <w:shd w:val="clear" w:color="auto" w:fill="FFF1CC"/>
          </w:tcPr>
          <w:p w:rsidR="00A56FE9" w:rsidRDefault="00000000">
            <w:pPr>
              <w:pStyle w:val="TableParagraph"/>
              <w:spacing w:before="55"/>
              <w:ind w:right="5"/>
              <w:jc w:val="center"/>
              <w:rPr>
                <w:sz w:val="18"/>
              </w:rPr>
            </w:pPr>
            <w:r>
              <w:rPr>
                <w:sz w:val="18"/>
              </w:rPr>
              <w:t>1</w:t>
            </w:r>
          </w:p>
        </w:tc>
        <w:tc>
          <w:tcPr>
            <w:tcW w:w="615" w:type="dxa"/>
            <w:tcBorders>
              <w:left w:val="nil"/>
              <w:bottom w:val="single" w:sz="4" w:space="0" w:color="001F5F"/>
            </w:tcBorders>
            <w:shd w:val="clear" w:color="auto" w:fill="FFF1CC"/>
          </w:tcPr>
          <w:p w:rsidR="00A56FE9" w:rsidRDefault="00000000">
            <w:pPr>
              <w:pStyle w:val="TableParagraph"/>
              <w:spacing w:before="55"/>
              <w:ind w:right="9"/>
              <w:jc w:val="center"/>
              <w:rPr>
                <w:sz w:val="18"/>
              </w:rPr>
            </w:pPr>
            <w:r>
              <w:rPr>
                <w:sz w:val="18"/>
              </w:rPr>
              <w:t>2</w:t>
            </w:r>
          </w:p>
        </w:tc>
        <w:tc>
          <w:tcPr>
            <w:tcW w:w="565" w:type="dxa"/>
            <w:tcBorders>
              <w:bottom w:val="single" w:sz="4" w:space="0" w:color="001F5F"/>
            </w:tcBorders>
            <w:shd w:val="clear" w:color="auto" w:fill="FFFF66"/>
          </w:tcPr>
          <w:p w:rsidR="00A56FE9" w:rsidRDefault="00000000">
            <w:pPr>
              <w:pStyle w:val="TableParagraph"/>
              <w:spacing w:before="55"/>
              <w:ind w:right="11"/>
              <w:jc w:val="center"/>
              <w:rPr>
                <w:sz w:val="18"/>
              </w:rPr>
            </w:pPr>
            <w:r>
              <w:rPr>
                <w:sz w:val="18"/>
              </w:rPr>
              <w:t>1</w:t>
            </w:r>
          </w:p>
        </w:tc>
        <w:tc>
          <w:tcPr>
            <w:tcW w:w="567" w:type="dxa"/>
            <w:tcBorders>
              <w:bottom w:val="single" w:sz="4" w:space="0" w:color="001F5F"/>
            </w:tcBorders>
            <w:shd w:val="clear" w:color="auto" w:fill="FFFF66"/>
          </w:tcPr>
          <w:p w:rsidR="00A56FE9" w:rsidRDefault="00000000">
            <w:pPr>
              <w:pStyle w:val="TableParagraph"/>
              <w:spacing w:before="55"/>
              <w:ind w:right="15"/>
              <w:jc w:val="center"/>
              <w:rPr>
                <w:sz w:val="18"/>
              </w:rPr>
            </w:pPr>
            <w:r>
              <w:rPr>
                <w:sz w:val="18"/>
              </w:rPr>
              <w:t>2</w:t>
            </w:r>
          </w:p>
        </w:tc>
        <w:tc>
          <w:tcPr>
            <w:tcW w:w="529" w:type="dxa"/>
            <w:tcBorders>
              <w:bottom w:val="single" w:sz="4" w:space="0" w:color="001F5F"/>
            </w:tcBorders>
            <w:shd w:val="clear" w:color="auto" w:fill="FFFF66"/>
          </w:tcPr>
          <w:p w:rsidR="00A56FE9" w:rsidRDefault="00000000">
            <w:pPr>
              <w:pStyle w:val="TableParagraph"/>
              <w:spacing w:before="55"/>
              <w:ind w:right="12"/>
              <w:jc w:val="center"/>
              <w:rPr>
                <w:sz w:val="18"/>
              </w:rPr>
            </w:pPr>
            <w:r>
              <w:rPr>
                <w:sz w:val="18"/>
              </w:rPr>
              <w:t>3</w:t>
            </w:r>
          </w:p>
        </w:tc>
        <w:tc>
          <w:tcPr>
            <w:tcW w:w="992" w:type="dxa"/>
            <w:tcBorders>
              <w:bottom w:val="single" w:sz="4" w:space="0" w:color="001F5F"/>
            </w:tcBorders>
            <w:shd w:val="clear" w:color="auto" w:fill="E1EED9"/>
          </w:tcPr>
          <w:p w:rsidR="00A56FE9" w:rsidRDefault="00000000">
            <w:pPr>
              <w:pStyle w:val="TableParagraph"/>
              <w:spacing w:before="55"/>
              <w:ind w:right="16"/>
              <w:jc w:val="center"/>
              <w:rPr>
                <w:sz w:val="18"/>
              </w:rPr>
            </w:pPr>
            <w:r>
              <w:rPr>
                <w:sz w:val="18"/>
              </w:rPr>
              <w:t>1</w:t>
            </w:r>
          </w:p>
        </w:tc>
        <w:tc>
          <w:tcPr>
            <w:tcW w:w="791" w:type="dxa"/>
            <w:tcBorders>
              <w:bottom w:val="single" w:sz="4" w:space="0" w:color="001F5F"/>
              <w:right w:val="nil"/>
            </w:tcBorders>
            <w:shd w:val="clear" w:color="auto" w:fill="D0CECE"/>
          </w:tcPr>
          <w:p w:rsidR="00A56FE9" w:rsidRDefault="00000000">
            <w:pPr>
              <w:pStyle w:val="TableParagraph"/>
              <w:spacing w:before="55"/>
              <w:ind w:right="22"/>
              <w:jc w:val="center"/>
              <w:rPr>
                <w:sz w:val="18"/>
              </w:rPr>
            </w:pPr>
            <w:r>
              <w:rPr>
                <w:sz w:val="18"/>
              </w:rPr>
              <w:t>1</w:t>
            </w:r>
          </w:p>
        </w:tc>
      </w:tr>
    </w:tbl>
    <w:p w:rsidR="00A56FE9" w:rsidRDefault="00000000">
      <w:pPr>
        <w:spacing w:before="10"/>
        <w:ind w:left="1071"/>
        <w:rPr>
          <w:b/>
        </w:rPr>
      </w:pPr>
      <w:r>
        <w:rPr>
          <w:b/>
        </w:rPr>
        <w:t>Principle</w:t>
      </w:r>
      <w:r>
        <w:rPr>
          <w:b/>
          <w:spacing w:val="-2"/>
        </w:rPr>
        <w:t xml:space="preserve"> </w:t>
      </w:r>
      <w:r>
        <w:rPr>
          <w:b/>
        </w:rPr>
        <w:t>of</w:t>
      </w:r>
      <w:r>
        <w:rPr>
          <w:b/>
          <w:spacing w:val="-1"/>
        </w:rPr>
        <w:t xml:space="preserve"> </w:t>
      </w:r>
      <w:r>
        <w:rPr>
          <w:b/>
        </w:rPr>
        <w:t>the</w:t>
      </w:r>
      <w:r>
        <w:rPr>
          <w:b/>
          <w:spacing w:val="-1"/>
        </w:rPr>
        <w:t xml:space="preserve"> </w:t>
      </w:r>
      <w:r>
        <w:rPr>
          <w:b/>
        </w:rPr>
        <w:t>European</w:t>
      </w:r>
      <w:r>
        <w:rPr>
          <w:b/>
          <w:spacing w:val="-4"/>
        </w:rPr>
        <w:t xml:space="preserve"> </w:t>
      </w:r>
      <w:r>
        <w:rPr>
          <w:b/>
        </w:rPr>
        <w:t>Pillar</w:t>
      </w:r>
      <w:r>
        <w:rPr>
          <w:b/>
          <w:spacing w:val="-1"/>
        </w:rPr>
        <w:t xml:space="preserve"> </w:t>
      </w:r>
      <w:r>
        <w:rPr>
          <w:b/>
        </w:rPr>
        <w:t>of</w:t>
      </w:r>
      <w:r>
        <w:rPr>
          <w:b/>
          <w:spacing w:val="-1"/>
        </w:rPr>
        <w:t xml:space="preserve"> </w:t>
      </w:r>
      <w:r>
        <w:rPr>
          <w:b/>
        </w:rPr>
        <w:t>Social</w:t>
      </w:r>
      <w:r>
        <w:rPr>
          <w:b/>
          <w:spacing w:val="-1"/>
        </w:rPr>
        <w:t xml:space="preserve"> </w:t>
      </w:r>
      <w:r>
        <w:rPr>
          <w:b/>
        </w:rPr>
        <w:t>Rights</w:t>
      </w:r>
      <w:r>
        <w:rPr>
          <w:b/>
          <w:spacing w:val="-3"/>
        </w:rPr>
        <w:t xml:space="preserve"> </w:t>
      </w:r>
      <w:r>
        <w:rPr>
          <w:b/>
        </w:rPr>
        <w:t>(EPSR)</w:t>
      </w:r>
    </w:p>
    <w:p w:rsidR="00A56FE9" w:rsidRDefault="00A56FE9">
      <w:pPr>
        <w:pStyle w:val="Tijeloteksta"/>
        <w:spacing w:before="6"/>
        <w:ind w:left="0"/>
        <w:jc w:val="left"/>
        <w:rPr>
          <w:b/>
          <w:sz w:val="6"/>
        </w:rPr>
      </w:pPr>
    </w:p>
    <w:tbl>
      <w:tblPr>
        <w:tblStyle w:val="TableNormal"/>
        <w:tblW w:w="0" w:type="auto"/>
        <w:tblInd w:w="970"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3399"/>
        <w:gridCol w:w="426"/>
        <w:gridCol w:w="397"/>
        <w:gridCol w:w="407"/>
        <w:gridCol w:w="352"/>
        <w:gridCol w:w="407"/>
        <w:gridCol w:w="412"/>
        <w:gridCol w:w="419"/>
        <w:gridCol w:w="457"/>
        <w:gridCol w:w="414"/>
        <w:gridCol w:w="414"/>
        <w:gridCol w:w="349"/>
        <w:gridCol w:w="361"/>
        <w:gridCol w:w="349"/>
        <w:gridCol w:w="356"/>
        <w:gridCol w:w="426"/>
        <w:gridCol w:w="616"/>
        <w:gridCol w:w="614"/>
        <w:gridCol w:w="568"/>
        <w:gridCol w:w="566"/>
        <w:gridCol w:w="530"/>
        <w:gridCol w:w="993"/>
        <w:gridCol w:w="797"/>
      </w:tblGrid>
      <w:tr w:rsidR="00A56FE9">
        <w:trPr>
          <w:trHeight w:val="482"/>
        </w:trPr>
        <w:tc>
          <w:tcPr>
            <w:tcW w:w="3399" w:type="dxa"/>
            <w:tcBorders>
              <w:left w:val="nil"/>
            </w:tcBorders>
            <w:shd w:val="clear" w:color="auto" w:fill="F1F1F1"/>
          </w:tcPr>
          <w:p w:rsidR="00A56FE9" w:rsidRDefault="00000000">
            <w:pPr>
              <w:pStyle w:val="TableParagraph"/>
              <w:ind w:left="108" w:right="533"/>
              <w:rPr>
                <w:sz w:val="20"/>
              </w:rPr>
            </w:pPr>
            <w:r>
              <w:rPr>
                <w:b/>
                <w:sz w:val="20"/>
              </w:rPr>
              <w:t>19.</w:t>
            </w:r>
            <w:r>
              <w:rPr>
                <w:b/>
                <w:spacing w:val="-2"/>
                <w:sz w:val="20"/>
              </w:rPr>
              <w:t xml:space="preserve"> </w:t>
            </w:r>
            <w:r>
              <w:rPr>
                <w:sz w:val="20"/>
              </w:rPr>
              <w:t>Housing</w:t>
            </w:r>
            <w:r>
              <w:rPr>
                <w:spacing w:val="-4"/>
                <w:sz w:val="20"/>
              </w:rPr>
              <w:t xml:space="preserve"> </w:t>
            </w:r>
            <w:r>
              <w:rPr>
                <w:sz w:val="20"/>
              </w:rPr>
              <w:t>and</w:t>
            </w:r>
            <w:r>
              <w:rPr>
                <w:spacing w:val="-2"/>
                <w:sz w:val="20"/>
              </w:rPr>
              <w:t xml:space="preserve"> </w:t>
            </w:r>
            <w:r>
              <w:rPr>
                <w:sz w:val="20"/>
              </w:rPr>
              <w:t>assistance</w:t>
            </w:r>
            <w:r>
              <w:rPr>
                <w:spacing w:val="-3"/>
                <w:sz w:val="20"/>
              </w:rPr>
              <w:t xml:space="preserve"> </w:t>
            </w:r>
            <w:r>
              <w:rPr>
                <w:sz w:val="20"/>
              </w:rPr>
              <w:t>for the</w:t>
            </w:r>
            <w:r>
              <w:rPr>
                <w:spacing w:val="-47"/>
                <w:sz w:val="20"/>
              </w:rPr>
              <w:t xml:space="preserve"> </w:t>
            </w:r>
            <w:r>
              <w:rPr>
                <w:sz w:val="20"/>
              </w:rPr>
              <w:t>homeless</w:t>
            </w:r>
          </w:p>
        </w:tc>
        <w:tc>
          <w:tcPr>
            <w:tcW w:w="426" w:type="dxa"/>
          </w:tcPr>
          <w:p w:rsidR="00A56FE9" w:rsidRDefault="00A56FE9">
            <w:pPr>
              <w:pStyle w:val="TableParagraph"/>
              <w:rPr>
                <w:sz w:val="18"/>
              </w:rPr>
            </w:pPr>
          </w:p>
        </w:tc>
        <w:tc>
          <w:tcPr>
            <w:tcW w:w="397" w:type="dxa"/>
          </w:tcPr>
          <w:p w:rsidR="00A56FE9" w:rsidRDefault="00A56FE9">
            <w:pPr>
              <w:pStyle w:val="TableParagraph"/>
              <w:rPr>
                <w:sz w:val="18"/>
              </w:rPr>
            </w:pPr>
          </w:p>
        </w:tc>
        <w:tc>
          <w:tcPr>
            <w:tcW w:w="407" w:type="dxa"/>
          </w:tcPr>
          <w:p w:rsidR="00A56FE9" w:rsidRDefault="00A56FE9">
            <w:pPr>
              <w:pStyle w:val="TableParagraph"/>
              <w:rPr>
                <w:sz w:val="18"/>
              </w:rPr>
            </w:pPr>
          </w:p>
        </w:tc>
        <w:tc>
          <w:tcPr>
            <w:tcW w:w="352" w:type="dxa"/>
          </w:tcPr>
          <w:p w:rsidR="00A56FE9" w:rsidRDefault="00A56FE9">
            <w:pPr>
              <w:pStyle w:val="TableParagraph"/>
              <w:rPr>
                <w:sz w:val="18"/>
              </w:rPr>
            </w:pPr>
          </w:p>
        </w:tc>
        <w:tc>
          <w:tcPr>
            <w:tcW w:w="407" w:type="dxa"/>
          </w:tcPr>
          <w:p w:rsidR="00A56FE9" w:rsidRDefault="00000000">
            <w:pPr>
              <w:pStyle w:val="TableParagraph"/>
              <w:spacing w:before="133"/>
              <w:ind w:left="122"/>
              <w:rPr>
                <w:rFonts w:ascii="Wingdings" w:hAnsi="Wingdings"/>
                <w:sz w:val="18"/>
              </w:rPr>
            </w:pPr>
            <w:r>
              <w:rPr>
                <w:rFonts w:ascii="Wingdings" w:hAnsi="Wingdings"/>
                <w:color w:val="006FC0"/>
                <w:sz w:val="18"/>
              </w:rPr>
              <w:t></w:t>
            </w: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A56FE9">
            <w:pPr>
              <w:pStyle w:val="TableParagraph"/>
              <w:rPr>
                <w:sz w:val="18"/>
              </w:rPr>
            </w:pP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000000">
            <w:pPr>
              <w:pStyle w:val="TableParagraph"/>
              <w:spacing w:before="133"/>
              <w:ind w:right="67"/>
              <w:jc w:val="center"/>
              <w:rPr>
                <w:rFonts w:ascii="Wingdings" w:hAnsi="Wingdings"/>
                <w:sz w:val="18"/>
              </w:rPr>
            </w:pPr>
            <w:r>
              <w:rPr>
                <w:rFonts w:ascii="Wingdings" w:hAnsi="Wingdings"/>
                <w:color w:val="585858"/>
                <w:sz w:val="18"/>
              </w:rPr>
              <w:t></w:t>
            </w:r>
          </w:p>
        </w:tc>
      </w:tr>
      <w:tr w:rsidR="00A56FE9">
        <w:trPr>
          <w:trHeight w:val="249"/>
        </w:trPr>
        <w:tc>
          <w:tcPr>
            <w:tcW w:w="3399" w:type="dxa"/>
            <w:tcBorders>
              <w:left w:val="nil"/>
            </w:tcBorders>
            <w:shd w:val="clear" w:color="auto" w:fill="F1F1F1"/>
          </w:tcPr>
          <w:p w:rsidR="00A56FE9" w:rsidRDefault="00000000">
            <w:pPr>
              <w:pStyle w:val="TableParagraph"/>
              <w:spacing w:line="225" w:lineRule="exact"/>
              <w:ind w:left="108"/>
              <w:rPr>
                <w:sz w:val="20"/>
              </w:rPr>
            </w:pPr>
            <w:r>
              <w:rPr>
                <w:b/>
                <w:sz w:val="20"/>
              </w:rPr>
              <w:t>20.</w:t>
            </w:r>
            <w:r>
              <w:rPr>
                <w:b/>
                <w:spacing w:val="-2"/>
                <w:sz w:val="20"/>
              </w:rPr>
              <w:t xml:space="preserve"> </w:t>
            </w:r>
            <w:r>
              <w:rPr>
                <w:sz w:val="20"/>
              </w:rPr>
              <w:t>Access</w:t>
            </w:r>
            <w:r>
              <w:rPr>
                <w:spacing w:val="-3"/>
                <w:sz w:val="20"/>
              </w:rPr>
              <w:t xml:space="preserve"> </w:t>
            </w:r>
            <w:r>
              <w:rPr>
                <w:sz w:val="20"/>
              </w:rPr>
              <w:t>to</w:t>
            </w:r>
            <w:r>
              <w:rPr>
                <w:spacing w:val="-1"/>
                <w:sz w:val="20"/>
              </w:rPr>
              <w:t xml:space="preserve"> </w:t>
            </w:r>
            <w:r>
              <w:rPr>
                <w:sz w:val="20"/>
              </w:rPr>
              <w:t>essential services</w:t>
            </w:r>
          </w:p>
        </w:tc>
        <w:tc>
          <w:tcPr>
            <w:tcW w:w="426" w:type="dxa"/>
          </w:tcPr>
          <w:p w:rsidR="00A56FE9" w:rsidRDefault="00A56FE9">
            <w:pPr>
              <w:pStyle w:val="TableParagraph"/>
              <w:rPr>
                <w:sz w:val="18"/>
              </w:rPr>
            </w:pPr>
          </w:p>
        </w:tc>
        <w:tc>
          <w:tcPr>
            <w:tcW w:w="397" w:type="dxa"/>
          </w:tcPr>
          <w:p w:rsidR="00A56FE9" w:rsidRDefault="00000000">
            <w:pPr>
              <w:pStyle w:val="TableParagraph"/>
              <w:spacing w:before="15"/>
              <w:ind w:left="123"/>
              <w:rPr>
                <w:rFonts w:ascii="Wingdings" w:hAnsi="Wingdings"/>
                <w:sz w:val="18"/>
              </w:rPr>
            </w:pPr>
            <w:r>
              <w:rPr>
                <w:rFonts w:ascii="Wingdings" w:hAnsi="Wingdings"/>
                <w:color w:val="006FC0"/>
                <w:sz w:val="18"/>
              </w:rPr>
              <w:t></w:t>
            </w:r>
          </w:p>
        </w:tc>
        <w:tc>
          <w:tcPr>
            <w:tcW w:w="407" w:type="dxa"/>
          </w:tcPr>
          <w:p w:rsidR="00A56FE9" w:rsidRDefault="00A56FE9">
            <w:pPr>
              <w:pStyle w:val="TableParagraph"/>
              <w:rPr>
                <w:sz w:val="18"/>
              </w:rPr>
            </w:pPr>
          </w:p>
        </w:tc>
        <w:tc>
          <w:tcPr>
            <w:tcW w:w="352" w:type="dxa"/>
          </w:tcPr>
          <w:p w:rsidR="00A56FE9" w:rsidRDefault="00000000">
            <w:pPr>
              <w:pStyle w:val="TableParagraph"/>
              <w:spacing w:before="15"/>
              <w:ind w:left="99"/>
              <w:rPr>
                <w:rFonts w:ascii="Wingdings" w:hAnsi="Wingdings"/>
                <w:sz w:val="18"/>
              </w:rPr>
            </w:pPr>
            <w:r>
              <w:rPr>
                <w:rFonts w:ascii="Wingdings" w:hAnsi="Wingdings"/>
                <w:color w:val="006FC0"/>
                <w:sz w:val="18"/>
              </w:rPr>
              <w:t></w:t>
            </w:r>
          </w:p>
        </w:tc>
        <w:tc>
          <w:tcPr>
            <w:tcW w:w="407" w:type="dxa"/>
          </w:tcPr>
          <w:p w:rsidR="00A56FE9" w:rsidRDefault="00A56FE9">
            <w:pPr>
              <w:pStyle w:val="TableParagraph"/>
              <w:rPr>
                <w:sz w:val="18"/>
              </w:rPr>
            </w:pPr>
          </w:p>
        </w:tc>
        <w:tc>
          <w:tcPr>
            <w:tcW w:w="412" w:type="dxa"/>
          </w:tcPr>
          <w:p w:rsidR="00A56FE9" w:rsidRDefault="00A56FE9">
            <w:pPr>
              <w:pStyle w:val="TableParagraph"/>
              <w:rPr>
                <w:sz w:val="18"/>
              </w:rPr>
            </w:pPr>
          </w:p>
        </w:tc>
        <w:tc>
          <w:tcPr>
            <w:tcW w:w="419" w:type="dxa"/>
          </w:tcPr>
          <w:p w:rsidR="00A56FE9" w:rsidRDefault="00A56FE9">
            <w:pPr>
              <w:pStyle w:val="TableParagraph"/>
              <w:rPr>
                <w:sz w:val="18"/>
              </w:rPr>
            </w:pPr>
          </w:p>
        </w:tc>
        <w:tc>
          <w:tcPr>
            <w:tcW w:w="457" w:type="dxa"/>
          </w:tcPr>
          <w:p w:rsidR="00A56FE9" w:rsidRDefault="00A56FE9">
            <w:pPr>
              <w:pStyle w:val="TableParagraph"/>
              <w:rPr>
                <w:sz w:val="18"/>
              </w:rPr>
            </w:pPr>
          </w:p>
        </w:tc>
        <w:tc>
          <w:tcPr>
            <w:tcW w:w="414" w:type="dxa"/>
          </w:tcPr>
          <w:p w:rsidR="00A56FE9" w:rsidRDefault="00000000">
            <w:pPr>
              <w:pStyle w:val="TableParagraph"/>
              <w:spacing w:before="15"/>
              <w:ind w:left="124"/>
              <w:rPr>
                <w:rFonts w:ascii="Wingdings" w:hAnsi="Wingdings"/>
                <w:sz w:val="18"/>
              </w:rPr>
            </w:pPr>
            <w:r>
              <w:rPr>
                <w:rFonts w:ascii="Wingdings" w:hAnsi="Wingdings"/>
                <w:color w:val="C00000"/>
                <w:sz w:val="18"/>
              </w:rPr>
              <w:t></w:t>
            </w:r>
          </w:p>
        </w:tc>
        <w:tc>
          <w:tcPr>
            <w:tcW w:w="414"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61" w:type="dxa"/>
          </w:tcPr>
          <w:p w:rsidR="00A56FE9" w:rsidRDefault="00A56FE9">
            <w:pPr>
              <w:pStyle w:val="TableParagraph"/>
              <w:rPr>
                <w:sz w:val="18"/>
              </w:rPr>
            </w:pPr>
          </w:p>
        </w:tc>
        <w:tc>
          <w:tcPr>
            <w:tcW w:w="349" w:type="dxa"/>
          </w:tcPr>
          <w:p w:rsidR="00A56FE9" w:rsidRDefault="00A56FE9">
            <w:pPr>
              <w:pStyle w:val="TableParagraph"/>
              <w:rPr>
                <w:sz w:val="18"/>
              </w:rPr>
            </w:pPr>
          </w:p>
        </w:tc>
        <w:tc>
          <w:tcPr>
            <w:tcW w:w="356" w:type="dxa"/>
          </w:tcPr>
          <w:p w:rsidR="00A56FE9" w:rsidRDefault="00A56FE9">
            <w:pPr>
              <w:pStyle w:val="TableParagraph"/>
              <w:rPr>
                <w:sz w:val="18"/>
              </w:rPr>
            </w:pPr>
          </w:p>
        </w:tc>
        <w:tc>
          <w:tcPr>
            <w:tcW w:w="426" w:type="dxa"/>
          </w:tcPr>
          <w:p w:rsidR="00A56FE9" w:rsidRDefault="00A56FE9">
            <w:pPr>
              <w:pStyle w:val="TableParagraph"/>
              <w:rPr>
                <w:sz w:val="18"/>
              </w:rPr>
            </w:pPr>
          </w:p>
        </w:tc>
        <w:tc>
          <w:tcPr>
            <w:tcW w:w="616" w:type="dxa"/>
          </w:tcPr>
          <w:p w:rsidR="00A56FE9" w:rsidRDefault="00A56FE9">
            <w:pPr>
              <w:pStyle w:val="TableParagraph"/>
              <w:rPr>
                <w:sz w:val="18"/>
              </w:rPr>
            </w:pPr>
          </w:p>
        </w:tc>
        <w:tc>
          <w:tcPr>
            <w:tcW w:w="614" w:type="dxa"/>
          </w:tcPr>
          <w:p w:rsidR="00A56FE9" w:rsidRDefault="00A56FE9">
            <w:pPr>
              <w:pStyle w:val="TableParagraph"/>
              <w:rPr>
                <w:sz w:val="18"/>
              </w:rPr>
            </w:pPr>
          </w:p>
        </w:tc>
        <w:tc>
          <w:tcPr>
            <w:tcW w:w="568"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0" w:type="dxa"/>
          </w:tcPr>
          <w:p w:rsidR="00A56FE9" w:rsidRDefault="00A56FE9">
            <w:pPr>
              <w:pStyle w:val="TableParagraph"/>
              <w:rPr>
                <w:sz w:val="18"/>
              </w:rPr>
            </w:pPr>
          </w:p>
        </w:tc>
        <w:tc>
          <w:tcPr>
            <w:tcW w:w="993" w:type="dxa"/>
          </w:tcPr>
          <w:p w:rsidR="00A56FE9" w:rsidRDefault="00A56FE9">
            <w:pPr>
              <w:pStyle w:val="TableParagraph"/>
              <w:rPr>
                <w:sz w:val="18"/>
              </w:rPr>
            </w:pPr>
          </w:p>
        </w:tc>
        <w:tc>
          <w:tcPr>
            <w:tcW w:w="797" w:type="dxa"/>
            <w:tcBorders>
              <w:right w:val="nil"/>
            </w:tcBorders>
          </w:tcPr>
          <w:p w:rsidR="00A56FE9" w:rsidRDefault="00A56FE9">
            <w:pPr>
              <w:pStyle w:val="TableParagraph"/>
              <w:rPr>
                <w:sz w:val="18"/>
              </w:rPr>
            </w:pPr>
          </w:p>
        </w:tc>
      </w:tr>
    </w:tbl>
    <w:p w:rsidR="00A56FE9" w:rsidRDefault="00A56FE9">
      <w:pPr>
        <w:rPr>
          <w:sz w:val="18"/>
        </w:rPr>
        <w:sectPr w:rsidR="00A56FE9" w:rsidSect="00AB1E70">
          <w:pgSz w:w="16840" w:h="11910" w:orient="landscape"/>
          <w:pgMar w:top="1100" w:right="380" w:bottom="960" w:left="460" w:header="0" w:footer="700" w:gutter="0"/>
          <w:cols w:space="720"/>
        </w:sectPr>
      </w:pPr>
    </w:p>
    <w:p w:rsidR="00A56FE9" w:rsidRDefault="00A56FE9">
      <w:pPr>
        <w:pStyle w:val="Tijeloteksta"/>
        <w:spacing w:before="9"/>
        <w:ind w:left="0"/>
        <w:jc w:val="left"/>
        <w:rPr>
          <w:b/>
          <w:sz w:val="18"/>
        </w:rPr>
      </w:pPr>
    </w:p>
    <w:p w:rsidR="00A56FE9" w:rsidRDefault="00000000">
      <w:pPr>
        <w:pStyle w:val="Naslov5"/>
        <w:spacing w:before="90"/>
        <w:ind w:left="958"/>
        <w:jc w:val="left"/>
      </w:pPr>
      <w:r>
        <w:rPr>
          <w:b w:val="0"/>
          <w:color w:val="003399"/>
        </w:rPr>
        <w:t>Addendum</w:t>
      </w:r>
      <w:r>
        <w:rPr>
          <w:b w:val="0"/>
          <w:color w:val="003399"/>
          <w:spacing w:val="-1"/>
        </w:rPr>
        <w:t xml:space="preserve"> </w:t>
      </w:r>
      <w:r>
        <w:rPr>
          <w:b w:val="0"/>
          <w:color w:val="003399"/>
        </w:rPr>
        <w:t>3.</w:t>
      </w:r>
      <w:r>
        <w:rPr>
          <w:b w:val="0"/>
          <w:color w:val="003399"/>
          <w:spacing w:val="-1"/>
        </w:rPr>
        <w:t xml:space="preserve"> </w:t>
      </w:r>
      <w:r>
        <w:rPr>
          <w:color w:val="003399"/>
        </w:rPr>
        <w:t>Alignment</w:t>
      </w:r>
      <w:r>
        <w:rPr>
          <w:color w:val="003399"/>
          <w:spacing w:val="-1"/>
        </w:rPr>
        <w:t xml:space="preserve"> </w:t>
      </w:r>
      <w:r>
        <w:rPr>
          <w:color w:val="003399"/>
        </w:rPr>
        <w:t>of</w:t>
      </w:r>
      <w:r>
        <w:rPr>
          <w:color w:val="003399"/>
          <w:spacing w:val="-1"/>
        </w:rPr>
        <w:t xml:space="preserve"> </w:t>
      </w:r>
      <w:r>
        <w:rPr>
          <w:color w:val="003399"/>
        </w:rPr>
        <w:t>the NRP</w:t>
      </w:r>
      <w:r>
        <w:rPr>
          <w:color w:val="003399"/>
          <w:spacing w:val="-5"/>
        </w:rPr>
        <w:t xml:space="preserve"> </w:t>
      </w:r>
      <w:r>
        <w:rPr>
          <w:color w:val="003399"/>
        </w:rPr>
        <w:t>to the</w:t>
      </w:r>
      <w:r>
        <w:rPr>
          <w:color w:val="003399"/>
          <w:spacing w:val="-2"/>
        </w:rPr>
        <w:t xml:space="preserve"> </w:t>
      </w:r>
      <w:r>
        <w:rPr>
          <w:color w:val="003399"/>
        </w:rPr>
        <w:t>UN</w:t>
      </w:r>
      <w:r>
        <w:rPr>
          <w:color w:val="003399"/>
          <w:spacing w:val="-2"/>
        </w:rPr>
        <w:t xml:space="preserve"> </w:t>
      </w:r>
      <w:r>
        <w:rPr>
          <w:color w:val="003399"/>
        </w:rPr>
        <w:t>Sustainable Development</w:t>
      </w:r>
      <w:r>
        <w:rPr>
          <w:color w:val="003399"/>
          <w:spacing w:val="-1"/>
        </w:rPr>
        <w:t xml:space="preserve"> </w:t>
      </w:r>
      <w:r>
        <w:rPr>
          <w:color w:val="003399"/>
        </w:rPr>
        <w:t>Goals</w:t>
      </w:r>
    </w:p>
    <w:p w:rsidR="00A56FE9" w:rsidRDefault="00A56FE9">
      <w:pPr>
        <w:pStyle w:val="Tijeloteksta"/>
        <w:spacing w:before="10"/>
        <w:ind w:left="0"/>
        <w:jc w:val="left"/>
        <w:rPr>
          <w:b/>
          <w:sz w:val="17"/>
        </w:rPr>
      </w:pPr>
    </w:p>
    <w:tbl>
      <w:tblPr>
        <w:tblStyle w:val="TableNormal"/>
        <w:tblW w:w="0" w:type="auto"/>
        <w:tblInd w:w="1014"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3305"/>
        <w:gridCol w:w="495"/>
        <w:gridCol w:w="418"/>
        <w:gridCol w:w="411"/>
        <w:gridCol w:w="353"/>
        <w:gridCol w:w="411"/>
        <w:gridCol w:w="410"/>
        <w:gridCol w:w="420"/>
        <w:gridCol w:w="458"/>
        <w:gridCol w:w="416"/>
        <w:gridCol w:w="414"/>
        <w:gridCol w:w="350"/>
        <w:gridCol w:w="362"/>
        <w:gridCol w:w="350"/>
        <w:gridCol w:w="357"/>
        <w:gridCol w:w="424"/>
        <w:gridCol w:w="566"/>
        <w:gridCol w:w="569"/>
        <w:gridCol w:w="566"/>
        <w:gridCol w:w="566"/>
        <w:gridCol w:w="530"/>
        <w:gridCol w:w="991"/>
        <w:gridCol w:w="809"/>
      </w:tblGrid>
      <w:tr w:rsidR="00A56FE9">
        <w:trPr>
          <w:trHeight w:val="783"/>
        </w:trPr>
        <w:tc>
          <w:tcPr>
            <w:tcW w:w="3305" w:type="dxa"/>
            <w:tcBorders>
              <w:bottom w:val="nil"/>
              <w:right w:val="single" w:sz="4" w:space="0" w:color="FFFFFF"/>
            </w:tcBorders>
            <w:shd w:val="clear" w:color="auto" w:fill="2C398A"/>
          </w:tcPr>
          <w:p w:rsidR="00A56FE9" w:rsidRDefault="00A56FE9">
            <w:pPr>
              <w:pStyle w:val="TableParagraph"/>
              <w:spacing w:before="7"/>
              <w:rPr>
                <w:b/>
                <w:sz w:val="26"/>
              </w:rPr>
            </w:pPr>
          </w:p>
          <w:p w:rsidR="00A56FE9" w:rsidRDefault="00000000">
            <w:pPr>
              <w:pStyle w:val="TableParagraph"/>
              <w:spacing w:before="1"/>
              <w:ind w:left="1178" w:right="1167"/>
              <w:jc w:val="center"/>
              <w:rPr>
                <w:sz w:val="18"/>
              </w:rPr>
            </w:pPr>
            <w:r>
              <w:rPr>
                <w:color w:val="FFFFFF"/>
                <w:sz w:val="18"/>
              </w:rPr>
              <w:t>Components</w:t>
            </w:r>
          </w:p>
        </w:tc>
        <w:tc>
          <w:tcPr>
            <w:tcW w:w="495" w:type="dxa"/>
            <w:tcBorders>
              <w:left w:val="single" w:sz="4" w:space="0" w:color="FFFFFF"/>
              <w:bottom w:val="nil"/>
              <w:right w:val="nil"/>
            </w:tcBorders>
            <w:shd w:val="clear" w:color="auto" w:fill="2C398A"/>
          </w:tcPr>
          <w:p w:rsidR="00A56FE9" w:rsidRDefault="00A56FE9">
            <w:pPr>
              <w:pStyle w:val="TableParagraph"/>
              <w:rPr>
                <w:sz w:val="18"/>
              </w:rPr>
            </w:pPr>
          </w:p>
        </w:tc>
        <w:tc>
          <w:tcPr>
            <w:tcW w:w="418" w:type="dxa"/>
            <w:tcBorders>
              <w:left w:val="nil"/>
              <w:bottom w:val="nil"/>
              <w:right w:val="nil"/>
            </w:tcBorders>
            <w:shd w:val="clear" w:color="auto" w:fill="2C398A"/>
          </w:tcPr>
          <w:p w:rsidR="00A56FE9" w:rsidRDefault="00A56FE9">
            <w:pPr>
              <w:pStyle w:val="TableParagraph"/>
              <w:rPr>
                <w:sz w:val="18"/>
              </w:rPr>
            </w:pPr>
          </w:p>
        </w:tc>
        <w:tc>
          <w:tcPr>
            <w:tcW w:w="764" w:type="dxa"/>
            <w:gridSpan w:val="2"/>
            <w:tcBorders>
              <w:left w:val="nil"/>
              <w:bottom w:val="nil"/>
              <w:right w:val="nil"/>
            </w:tcBorders>
            <w:shd w:val="clear" w:color="auto" w:fill="2C398A"/>
          </w:tcPr>
          <w:p w:rsidR="00A56FE9" w:rsidRDefault="00A56FE9">
            <w:pPr>
              <w:pStyle w:val="TableParagraph"/>
              <w:spacing w:before="7"/>
              <w:rPr>
                <w:b/>
                <w:sz w:val="26"/>
              </w:rPr>
            </w:pPr>
          </w:p>
          <w:p w:rsidR="00A56FE9" w:rsidRDefault="00000000">
            <w:pPr>
              <w:pStyle w:val="TableParagraph"/>
              <w:spacing w:before="1"/>
              <w:ind w:left="-5"/>
              <w:rPr>
                <w:sz w:val="18"/>
              </w:rPr>
            </w:pPr>
            <w:r>
              <w:rPr>
                <w:color w:val="FFFFFF"/>
                <w:sz w:val="18"/>
              </w:rPr>
              <w:t>Economy</w:t>
            </w:r>
          </w:p>
        </w:tc>
        <w:tc>
          <w:tcPr>
            <w:tcW w:w="411" w:type="dxa"/>
            <w:tcBorders>
              <w:left w:val="nil"/>
              <w:bottom w:val="nil"/>
              <w:right w:val="nil"/>
            </w:tcBorders>
            <w:shd w:val="clear" w:color="auto" w:fill="2C398A"/>
          </w:tcPr>
          <w:p w:rsidR="00A56FE9" w:rsidRDefault="00A56FE9">
            <w:pPr>
              <w:pStyle w:val="TableParagraph"/>
              <w:rPr>
                <w:sz w:val="18"/>
              </w:rPr>
            </w:pPr>
          </w:p>
        </w:tc>
        <w:tc>
          <w:tcPr>
            <w:tcW w:w="410" w:type="dxa"/>
            <w:tcBorders>
              <w:left w:val="nil"/>
              <w:bottom w:val="nil"/>
              <w:right w:val="single" w:sz="6" w:space="0" w:color="FFFFFF"/>
            </w:tcBorders>
            <w:shd w:val="clear" w:color="auto" w:fill="2C398A"/>
          </w:tcPr>
          <w:p w:rsidR="00A56FE9" w:rsidRDefault="00A56FE9">
            <w:pPr>
              <w:pStyle w:val="TableParagraph"/>
              <w:rPr>
                <w:sz w:val="18"/>
              </w:rPr>
            </w:pPr>
          </w:p>
        </w:tc>
        <w:tc>
          <w:tcPr>
            <w:tcW w:w="3551" w:type="dxa"/>
            <w:gridSpan w:val="9"/>
            <w:tcBorders>
              <w:left w:val="single" w:sz="6" w:space="0" w:color="FFFFFF"/>
              <w:bottom w:val="nil"/>
              <w:right w:val="single" w:sz="4" w:space="0" w:color="FFFFFF"/>
            </w:tcBorders>
            <w:shd w:val="clear" w:color="auto" w:fill="2C398A"/>
          </w:tcPr>
          <w:p w:rsidR="00A56FE9" w:rsidRDefault="00A56FE9">
            <w:pPr>
              <w:pStyle w:val="TableParagraph"/>
              <w:spacing w:before="8"/>
              <w:rPr>
                <w:b/>
                <w:sz w:val="17"/>
              </w:rPr>
            </w:pPr>
          </w:p>
          <w:p w:rsidR="00A56FE9" w:rsidRDefault="00000000">
            <w:pPr>
              <w:pStyle w:val="TableParagraph"/>
              <w:ind w:left="1534" w:right="223" w:hanging="1294"/>
              <w:rPr>
                <w:sz w:val="18"/>
              </w:rPr>
            </w:pPr>
            <w:r>
              <w:rPr>
                <w:color w:val="FFFFFF"/>
                <w:sz w:val="18"/>
              </w:rPr>
              <w:t>Public Administration, Judiciary and State</w:t>
            </w:r>
            <w:r>
              <w:rPr>
                <w:color w:val="FFFFFF"/>
                <w:spacing w:val="-42"/>
                <w:sz w:val="18"/>
              </w:rPr>
              <w:t xml:space="preserve"> </w:t>
            </w:r>
            <w:r>
              <w:rPr>
                <w:color w:val="FFFFFF"/>
                <w:sz w:val="18"/>
              </w:rPr>
              <w:t>Assets</w:t>
            </w:r>
          </w:p>
        </w:tc>
        <w:tc>
          <w:tcPr>
            <w:tcW w:w="1135" w:type="dxa"/>
            <w:gridSpan w:val="2"/>
            <w:tcBorders>
              <w:left w:val="single" w:sz="4" w:space="0" w:color="FFFFFF"/>
              <w:bottom w:val="nil"/>
              <w:right w:val="single" w:sz="4" w:space="0" w:color="FFFFFF"/>
            </w:tcBorders>
            <w:shd w:val="clear" w:color="auto" w:fill="2C398A"/>
          </w:tcPr>
          <w:p w:rsidR="00A56FE9" w:rsidRDefault="00000000">
            <w:pPr>
              <w:pStyle w:val="TableParagraph"/>
              <w:spacing w:before="98"/>
              <w:ind w:left="129" w:right="128" w:firstLine="45"/>
              <w:jc w:val="both"/>
              <w:rPr>
                <w:sz w:val="18"/>
              </w:rPr>
            </w:pPr>
            <w:r>
              <w:rPr>
                <w:color w:val="FFFFFF"/>
                <w:sz w:val="18"/>
              </w:rPr>
              <w:t>Education,</w:t>
            </w:r>
            <w:r>
              <w:rPr>
                <w:color w:val="FFFFFF"/>
                <w:spacing w:val="1"/>
                <w:sz w:val="18"/>
              </w:rPr>
              <w:t xml:space="preserve"> </w:t>
            </w:r>
            <w:r>
              <w:rPr>
                <w:color w:val="FFFFFF"/>
                <w:spacing w:val="-1"/>
                <w:sz w:val="18"/>
              </w:rPr>
              <w:t xml:space="preserve">Science </w:t>
            </w:r>
            <w:r>
              <w:rPr>
                <w:color w:val="FFFFFF"/>
                <w:sz w:val="18"/>
              </w:rPr>
              <w:t>and</w:t>
            </w:r>
            <w:r>
              <w:rPr>
                <w:color w:val="FFFFFF"/>
                <w:spacing w:val="-42"/>
                <w:sz w:val="18"/>
              </w:rPr>
              <w:t xml:space="preserve"> </w:t>
            </w:r>
            <w:r>
              <w:rPr>
                <w:color w:val="FFFFFF"/>
                <w:sz w:val="18"/>
              </w:rPr>
              <w:t>Research</w:t>
            </w:r>
          </w:p>
        </w:tc>
        <w:tc>
          <w:tcPr>
            <w:tcW w:w="1662" w:type="dxa"/>
            <w:gridSpan w:val="3"/>
            <w:tcBorders>
              <w:left w:val="single" w:sz="4" w:space="0" w:color="FFFFFF"/>
              <w:bottom w:val="nil"/>
              <w:right w:val="single" w:sz="4" w:space="0" w:color="FFFFFF"/>
            </w:tcBorders>
            <w:shd w:val="clear" w:color="auto" w:fill="2C398A"/>
          </w:tcPr>
          <w:p w:rsidR="00A56FE9" w:rsidRDefault="00A56FE9">
            <w:pPr>
              <w:pStyle w:val="TableParagraph"/>
              <w:spacing w:before="8"/>
              <w:rPr>
                <w:b/>
                <w:sz w:val="17"/>
              </w:rPr>
            </w:pPr>
          </w:p>
          <w:p w:rsidR="00A56FE9" w:rsidRDefault="00000000">
            <w:pPr>
              <w:pStyle w:val="TableParagraph"/>
              <w:ind w:left="212" w:right="107" w:hanging="77"/>
              <w:rPr>
                <w:sz w:val="18"/>
              </w:rPr>
            </w:pPr>
            <w:r>
              <w:rPr>
                <w:color w:val="FFFFFF"/>
                <w:sz w:val="18"/>
              </w:rPr>
              <w:t>Labour Market and</w:t>
            </w:r>
            <w:r>
              <w:rPr>
                <w:color w:val="FFFFFF"/>
                <w:spacing w:val="-43"/>
                <w:sz w:val="18"/>
              </w:rPr>
              <w:t xml:space="preserve"> </w:t>
            </w:r>
            <w:r>
              <w:rPr>
                <w:color w:val="FFFFFF"/>
                <w:sz w:val="18"/>
              </w:rPr>
              <w:t>Social</w:t>
            </w:r>
            <w:r>
              <w:rPr>
                <w:color w:val="FFFFFF"/>
                <w:spacing w:val="-3"/>
                <w:sz w:val="18"/>
              </w:rPr>
              <w:t xml:space="preserve"> </w:t>
            </w:r>
            <w:r>
              <w:rPr>
                <w:color w:val="FFFFFF"/>
                <w:sz w:val="18"/>
              </w:rPr>
              <w:t>Protection</w:t>
            </w:r>
          </w:p>
        </w:tc>
        <w:tc>
          <w:tcPr>
            <w:tcW w:w="991" w:type="dxa"/>
            <w:tcBorders>
              <w:left w:val="single" w:sz="4" w:space="0" w:color="FFFFFF"/>
              <w:bottom w:val="nil"/>
              <w:right w:val="single" w:sz="4" w:space="0" w:color="FFFFFF"/>
            </w:tcBorders>
            <w:shd w:val="clear" w:color="auto" w:fill="2C398A"/>
          </w:tcPr>
          <w:p w:rsidR="00A56FE9" w:rsidRDefault="00A56FE9">
            <w:pPr>
              <w:pStyle w:val="TableParagraph"/>
              <w:spacing w:before="8"/>
              <w:rPr>
                <w:b/>
                <w:sz w:val="17"/>
              </w:rPr>
            </w:pPr>
          </w:p>
          <w:p w:rsidR="00A56FE9" w:rsidRDefault="00000000">
            <w:pPr>
              <w:pStyle w:val="TableParagraph"/>
              <w:ind w:left="323" w:right="228" w:hanging="70"/>
              <w:rPr>
                <w:sz w:val="18"/>
              </w:rPr>
            </w:pPr>
            <w:r>
              <w:rPr>
                <w:color w:val="FFFFFF"/>
                <w:sz w:val="18"/>
              </w:rPr>
              <w:t>Health</w:t>
            </w:r>
            <w:r>
              <w:rPr>
                <w:color w:val="FFFFFF"/>
                <w:spacing w:val="-43"/>
                <w:sz w:val="18"/>
              </w:rPr>
              <w:t xml:space="preserve"> </w:t>
            </w:r>
            <w:r>
              <w:rPr>
                <w:color w:val="FFFFFF"/>
                <w:sz w:val="18"/>
              </w:rPr>
              <w:t>Care</w:t>
            </w:r>
          </w:p>
        </w:tc>
        <w:tc>
          <w:tcPr>
            <w:tcW w:w="809" w:type="dxa"/>
            <w:tcBorders>
              <w:left w:val="single" w:sz="4" w:space="0" w:color="FFFFFF"/>
              <w:bottom w:val="nil"/>
            </w:tcBorders>
            <w:shd w:val="clear" w:color="auto" w:fill="2C398A"/>
          </w:tcPr>
          <w:p w:rsidR="00A56FE9" w:rsidRDefault="00000000">
            <w:pPr>
              <w:pStyle w:val="TableParagraph"/>
              <w:spacing w:line="242" w:lineRule="auto"/>
              <w:ind w:left="129" w:right="117"/>
              <w:jc w:val="center"/>
              <w:rPr>
                <w:sz w:val="18"/>
              </w:rPr>
            </w:pPr>
            <w:r>
              <w:rPr>
                <w:color w:val="FFFFFF"/>
                <w:sz w:val="18"/>
              </w:rPr>
              <w:t>Renova</w:t>
            </w:r>
            <w:r>
              <w:rPr>
                <w:color w:val="FFFFFF"/>
                <w:spacing w:val="-42"/>
                <w:sz w:val="18"/>
              </w:rPr>
              <w:t xml:space="preserve"> </w:t>
            </w:r>
            <w:r>
              <w:rPr>
                <w:color w:val="FFFFFF"/>
                <w:sz w:val="18"/>
              </w:rPr>
              <w:t>tion</w:t>
            </w:r>
            <w:r>
              <w:rPr>
                <w:color w:val="FFFFFF"/>
                <w:spacing w:val="-1"/>
                <w:sz w:val="18"/>
              </w:rPr>
              <w:t xml:space="preserve"> </w:t>
            </w:r>
            <w:r>
              <w:rPr>
                <w:color w:val="FFFFFF"/>
                <w:sz w:val="18"/>
              </w:rPr>
              <w:t>of</w:t>
            </w:r>
          </w:p>
          <w:p w:rsidR="00A56FE9" w:rsidRDefault="00000000">
            <w:pPr>
              <w:pStyle w:val="TableParagraph"/>
              <w:spacing w:line="206" w:lineRule="exact"/>
              <w:ind w:left="129" w:right="116"/>
              <w:jc w:val="center"/>
              <w:rPr>
                <w:sz w:val="18"/>
              </w:rPr>
            </w:pPr>
            <w:r>
              <w:rPr>
                <w:color w:val="FFFFFF"/>
                <w:sz w:val="18"/>
              </w:rPr>
              <w:t>Buildin</w:t>
            </w:r>
            <w:r>
              <w:rPr>
                <w:color w:val="FFFFFF"/>
                <w:spacing w:val="-42"/>
                <w:sz w:val="18"/>
              </w:rPr>
              <w:t xml:space="preserve"> </w:t>
            </w:r>
            <w:r>
              <w:rPr>
                <w:color w:val="FFFFFF"/>
                <w:sz w:val="18"/>
              </w:rPr>
              <w:t>gs</w:t>
            </w:r>
          </w:p>
        </w:tc>
      </w:tr>
      <w:tr w:rsidR="00A56FE9">
        <w:trPr>
          <w:trHeight w:val="446"/>
        </w:trPr>
        <w:tc>
          <w:tcPr>
            <w:tcW w:w="3305" w:type="dxa"/>
            <w:tcBorders>
              <w:top w:val="nil"/>
              <w:bottom w:val="single" w:sz="4" w:space="0" w:color="FFFFFF"/>
              <w:right w:val="single" w:sz="4" w:space="0" w:color="FFFFFF"/>
            </w:tcBorders>
            <w:shd w:val="clear" w:color="auto" w:fill="2C398A"/>
          </w:tcPr>
          <w:p w:rsidR="00A56FE9" w:rsidRDefault="00000000">
            <w:pPr>
              <w:pStyle w:val="TableParagraph"/>
              <w:spacing w:before="113"/>
              <w:ind w:left="1177" w:right="1167"/>
              <w:jc w:val="center"/>
              <w:rPr>
                <w:sz w:val="18"/>
              </w:rPr>
            </w:pPr>
            <w:r>
              <w:rPr>
                <w:color w:val="FFFFFF"/>
                <w:sz w:val="18"/>
              </w:rPr>
              <w:t>Šifra</w:t>
            </w:r>
          </w:p>
        </w:tc>
        <w:tc>
          <w:tcPr>
            <w:tcW w:w="495" w:type="dxa"/>
            <w:tcBorders>
              <w:top w:val="nil"/>
              <w:left w:val="single" w:sz="4" w:space="0" w:color="FFFFFF"/>
              <w:bottom w:val="single" w:sz="4" w:space="0" w:color="FFFFFF"/>
              <w:right w:val="nil"/>
            </w:tcBorders>
            <w:shd w:val="clear" w:color="auto" w:fill="2C398A"/>
          </w:tcPr>
          <w:p w:rsidR="00A56FE9" w:rsidRDefault="00A56FE9">
            <w:pPr>
              <w:pStyle w:val="TableParagraph"/>
              <w:rPr>
                <w:sz w:val="18"/>
              </w:rPr>
            </w:pPr>
          </w:p>
        </w:tc>
        <w:tc>
          <w:tcPr>
            <w:tcW w:w="418"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764" w:type="dxa"/>
            <w:gridSpan w:val="2"/>
            <w:tcBorders>
              <w:top w:val="nil"/>
              <w:left w:val="nil"/>
              <w:bottom w:val="single" w:sz="4" w:space="0" w:color="FFFFFF"/>
              <w:right w:val="nil"/>
            </w:tcBorders>
            <w:shd w:val="clear" w:color="auto" w:fill="2C398A"/>
          </w:tcPr>
          <w:p w:rsidR="00A56FE9" w:rsidRDefault="00000000">
            <w:pPr>
              <w:pStyle w:val="TableParagraph"/>
              <w:spacing w:before="113"/>
              <w:ind w:left="232"/>
              <w:rPr>
                <w:sz w:val="18"/>
              </w:rPr>
            </w:pPr>
            <w:r>
              <w:rPr>
                <w:color w:val="FFFFFF"/>
                <w:sz w:val="18"/>
              </w:rPr>
              <w:t>C1</w:t>
            </w:r>
          </w:p>
        </w:tc>
        <w:tc>
          <w:tcPr>
            <w:tcW w:w="411"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10" w:type="dxa"/>
            <w:tcBorders>
              <w:top w:val="nil"/>
              <w:left w:val="nil"/>
              <w:bottom w:val="single" w:sz="4" w:space="0" w:color="FFFFFF"/>
              <w:right w:val="single" w:sz="6" w:space="0" w:color="FFFFFF"/>
            </w:tcBorders>
            <w:shd w:val="clear" w:color="auto" w:fill="2C398A"/>
          </w:tcPr>
          <w:p w:rsidR="00A56FE9" w:rsidRDefault="00A56FE9">
            <w:pPr>
              <w:pStyle w:val="TableParagraph"/>
              <w:rPr>
                <w:sz w:val="18"/>
              </w:rPr>
            </w:pPr>
          </w:p>
        </w:tc>
        <w:tc>
          <w:tcPr>
            <w:tcW w:w="420" w:type="dxa"/>
            <w:tcBorders>
              <w:top w:val="nil"/>
              <w:left w:val="single" w:sz="6" w:space="0" w:color="FFFFFF"/>
              <w:bottom w:val="single" w:sz="4" w:space="0" w:color="FFFFFF"/>
              <w:right w:val="nil"/>
            </w:tcBorders>
            <w:shd w:val="clear" w:color="auto" w:fill="2C398A"/>
          </w:tcPr>
          <w:p w:rsidR="00A56FE9" w:rsidRDefault="00A56FE9">
            <w:pPr>
              <w:pStyle w:val="TableParagraph"/>
              <w:rPr>
                <w:sz w:val="18"/>
              </w:rPr>
            </w:pPr>
          </w:p>
        </w:tc>
        <w:tc>
          <w:tcPr>
            <w:tcW w:w="458"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16"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764" w:type="dxa"/>
            <w:gridSpan w:val="2"/>
            <w:tcBorders>
              <w:top w:val="nil"/>
              <w:left w:val="nil"/>
              <w:bottom w:val="single" w:sz="4" w:space="0" w:color="FFFFFF"/>
              <w:right w:val="nil"/>
            </w:tcBorders>
            <w:shd w:val="clear" w:color="auto" w:fill="2C398A"/>
          </w:tcPr>
          <w:p w:rsidR="00A56FE9" w:rsidRDefault="00000000">
            <w:pPr>
              <w:pStyle w:val="TableParagraph"/>
              <w:spacing w:before="113"/>
              <w:ind w:left="378"/>
              <w:rPr>
                <w:sz w:val="18"/>
              </w:rPr>
            </w:pPr>
            <w:r>
              <w:rPr>
                <w:color w:val="FFFFFF"/>
                <w:sz w:val="18"/>
              </w:rPr>
              <w:t>C2</w:t>
            </w:r>
          </w:p>
        </w:tc>
        <w:tc>
          <w:tcPr>
            <w:tcW w:w="362"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50"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357" w:type="dxa"/>
            <w:tcBorders>
              <w:top w:val="nil"/>
              <w:left w:val="nil"/>
              <w:bottom w:val="single" w:sz="4" w:space="0" w:color="FFFFFF"/>
              <w:right w:val="nil"/>
            </w:tcBorders>
            <w:shd w:val="clear" w:color="auto" w:fill="2C398A"/>
          </w:tcPr>
          <w:p w:rsidR="00A56FE9" w:rsidRDefault="00A56FE9">
            <w:pPr>
              <w:pStyle w:val="TableParagraph"/>
              <w:rPr>
                <w:sz w:val="18"/>
              </w:rPr>
            </w:pPr>
          </w:p>
        </w:tc>
        <w:tc>
          <w:tcPr>
            <w:tcW w:w="424" w:type="dxa"/>
            <w:tcBorders>
              <w:top w:val="nil"/>
              <w:left w:val="nil"/>
              <w:bottom w:val="single" w:sz="4" w:space="0" w:color="FFFFFF"/>
              <w:right w:val="single" w:sz="4" w:space="0" w:color="FFFFFF"/>
            </w:tcBorders>
            <w:shd w:val="clear" w:color="auto" w:fill="2C398A"/>
          </w:tcPr>
          <w:p w:rsidR="00A56FE9" w:rsidRDefault="00A56FE9">
            <w:pPr>
              <w:pStyle w:val="TableParagraph"/>
              <w:rPr>
                <w:sz w:val="18"/>
              </w:rPr>
            </w:pPr>
          </w:p>
        </w:tc>
        <w:tc>
          <w:tcPr>
            <w:tcW w:w="1135" w:type="dxa"/>
            <w:gridSpan w:val="2"/>
            <w:tcBorders>
              <w:top w:val="nil"/>
              <w:left w:val="single" w:sz="4" w:space="0" w:color="FFFFFF"/>
              <w:bottom w:val="single" w:sz="4" w:space="0" w:color="FFFFFF"/>
              <w:right w:val="single" w:sz="4" w:space="0" w:color="FFFFFF"/>
            </w:tcBorders>
            <w:shd w:val="clear" w:color="auto" w:fill="2C398A"/>
          </w:tcPr>
          <w:p w:rsidR="00A56FE9" w:rsidRDefault="00000000">
            <w:pPr>
              <w:pStyle w:val="TableParagraph"/>
              <w:spacing w:before="113"/>
              <w:ind w:left="437" w:right="436"/>
              <w:jc w:val="center"/>
              <w:rPr>
                <w:sz w:val="18"/>
              </w:rPr>
            </w:pPr>
            <w:r>
              <w:rPr>
                <w:color w:val="FFFFFF"/>
                <w:sz w:val="18"/>
              </w:rPr>
              <w:t>C3</w:t>
            </w:r>
          </w:p>
        </w:tc>
        <w:tc>
          <w:tcPr>
            <w:tcW w:w="566" w:type="dxa"/>
            <w:tcBorders>
              <w:top w:val="nil"/>
              <w:left w:val="single" w:sz="4" w:space="0" w:color="FFFFFF"/>
              <w:bottom w:val="single" w:sz="4" w:space="0" w:color="FFFFFF"/>
              <w:right w:val="nil"/>
            </w:tcBorders>
            <w:shd w:val="clear" w:color="auto" w:fill="2C398A"/>
          </w:tcPr>
          <w:p w:rsidR="00A56FE9" w:rsidRDefault="00A56FE9">
            <w:pPr>
              <w:pStyle w:val="TableParagraph"/>
              <w:rPr>
                <w:sz w:val="18"/>
              </w:rPr>
            </w:pPr>
          </w:p>
        </w:tc>
        <w:tc>
          <w:tcPr>
            <w:tcW w:w="566" w:type="dxa"/>
            <w:tcBorders>
              <w:top w:val="nil"/>
              <w:left w:val="nil"/>
              <w:bottom w:val="single" w:sz="4" w:space="0" w:color="FFFFFF"/>
              <w:right w:val="nil"/>
            </w:tcBorders>
            <w:shd w:val="clear" w:color="auto" w:fill="2C398A"/>
          </w:tcPr>
          <w:p w:rsidR="00A56FE9" w:rsidRDefault="00000000">
            <w:pPr>
              <w:pStyle w:val="TableParagraph"/>
              <w:spacing w:before="113"/>
              <w:ind w:left="164"/>
              <w:rPr>
                <w:sz w:val="18"/>
              </w:rPr>
            </w:pPr>
            <w:r>
              <w:rPr>
                <w:color w:val="FFFFFF"/>
                <w:sz w:val="18"/>
              </w:rPr>
              <w:t>C4</w:t>
            </w:r>
          </w:p>
        </w:tc>
        <w:tc>
          <w:tcPr>
            <w:tcW w:w="530" w:type="dxa"/>
            <w:tcBorders>
              <w:top w:val="nil"/>
              <w:left w:val="nil"/>
              <w:bottom w:val="single" w:sz="4" w:space="0" w:color="FFFFFF"/>
              <w:right w:val="single" w:sz="4" w:space="0" w:color="FFFFFF"/>
            </w:tcBorders>
            <w:shd w:val="clear" w:color="auto" w:fill="2C398A"/>
          </w:tcPr>
          <w:p w:rsidR="00A56FE9" w:rsidRDefault="00A56FE9">
            <w:pPr>
              <w:pStyle w:val="TableParagraph"/>
              <w:rPr>
                <w:sz w:val="18"/>
              </w:rPr>
            </w:pPr>
          </w:p>
        </w:tc>
        <w:tc>
          <w:tcPr>
            <w:tcW w:w="991" w:type="dxa"/>
            <w:tcBorders>
              <w:top w:val="nil"/>
              <w:left w:val="single" w:sz="4" w:space="0" w:color="FFFFFF"/>
              <w:bottom w:val="single" w:sz="4" w:space="0" w:color="FFFFFF"/>
              <w:right w:val="single" w:sz="4" w:space="0" w:color="FFFFFF"/>
            </w:tcBorders>
            <w:shd w:val="clear" w:color="auto" w:fill="2C398A"/>
          </w:tcPr>
          <w:p w:rsidR="00A56FE9" w:rsidRDefault="00000000">
            <w:pPr>
              <w:pStyle w:val="TableParagraph"/>
              <w:spacing w:before="113"/>
              <w:ind w:left="367" w:right="362"/>
              <w:jc w:val="center"/>
              <w:rPr>
                <w:sz w:val="18"/>
              </w:rPr>
            </w:pPr>
            <w:r>
              <w:rPr>
                <w:color w:val="FFFFFF"/>
                <w:sz w:val="18"/>
              </w:rPr>
              <w:t>C5</w:t>
            </w:r>
          </w:p>
        </w:tc>
        <w:tc>
          <w:tcPr>
            <w:tcW w:w="809" w:type="dxa"/>
            <w:tcBorders>
              <w:top w:val="nil"/>
              <w:left w:val="single" w:sz="4" w:space="0" w:color="FFFFFF"/>
              <w:bottom w:val="single" w:sz="4" w:space="0" w:color="FFFFFF"/>
            </w:tcBorders>
            <w:shd w:val="clear" w:color="auto" w:fill="2C398A"/>
          </w:tcPr>
          <w:p w:rsidR="00A56FE9" w:rsidRDefault="00000000">
            <w:pPr>
              <w:pStyle w:val="TableParagraph"/>
              <w:spacing w:before="113"/>
              <w:ind w:right="289"/>
              <w:jc w:val="right"/>
              <w:rPr>
                <w:sz w:val="18"/>
              </w:rPr>
            </w:pPr>
            <w:r>
              <w:rPr>
                <w:color w:val="FFFFFF"/>
                <w:sz w:val="18"/>
              </w:rPr>
              <w:t>C6</w:t>
            </w:r>
          </w:p>
        </w:tc>
      </w:tr>
      <w:tr w:rsidR="00A56FE9">
        <w:trPr>
          <w:trHeight w:val="366"/>
        </w:trPr>
        <w:tc>
          <w:tcPr>
            <w:tcW w:w="3305" w:type="dxa"/>
            <w:tcBorders>
              <w:top w:val="single" w:sz="4" w:space="0" w:color="FFFFFF"/>
              <w:left w:val="nil"/>
              <w:right w:val="single" w:sz="4" w:space="0" w:color="FFFFFF"/>
            </w:tcBorders>
            <w:shd w:val="clear" w:color="auto" w:fill="D9D9D9"/>
          </w:tcPr>
          <w:p w:rsidR="00A56FE9" w:rsidRDefault="00A56FE9">
            <w:pPr>
              <w:pStyle w:val="TableParagraph"/>
              <w:rPr>
                <w:sz w:val="18"/>
              </w:rPr>
            </w:pPr>
          </w:p>
        </w:tc>
        <w:tc>
          <w:tcPr>
            <w:tcW w:w="495" w:type="dxa"/>
            <w:tcBorders>
              <w:top w:val="single" w:sz="4" w:space="0" w:color="FFFFFF"/>
              <w:left w:val="single" w:sz="4" w:space="0" w:color="FFFFFF"/>
              <w:right w:val="nil"/>
            </w:tcBorders>
            <w:shd w:val="clear" w:color="auto" w:fill="DEEAF6"/>
          </w:tcPr>
          <w:p w:rsidR="00A56FE9" w:rsidRDefault="00000000">
            <w:pPr>
              <w:pStyle w:val="TableParagraph"/>
              <w:spacing w:before="45"/>
              <w:ind w:left="4"/>
              <w:jc w:val="center"/>
              <w:rPr>
                <w:sz w:val="18"/>
              </w:rPr>
            </w:pPr>
            <w:r>
              <w:rPr>
                <w:sz w:val="18"/>
              </w:rPr>
              <w:t>1</w:t>
            </w:r>
          </w:p>
        </w:tc>
        <w:tc>
          <w:tcPr>
            <w:tcW w:w="418" w:type="dxa"/>
            <w:tcBorders>
              <w:top w:val="single" w:sz="4" w:space="0" w:color="FFFFFF"/>
              <w:left w:val="nil"/>
              <w:right w:val="nil"/>
            </w:tcBorders>
            <w:shd w:val="clear" w:color="auto" w:fill="DEEAF6"/>
          </w:tcPr>
          <w:p w:rsidR="00A56FE9" w:rsidRDefault="00000000">
            <w:pPr>
              <w:pStyle w:val="TableParagraph"/>
              <w:spacing w:before="45"/>
              <w:ind w:left="8"/>
              <w:jc w:val="center"/>
              <w:rPr>
                <w:sz w:val="18"/>
              </w:rPr>
            </w:pPr>
            <w:r>
              <w:rPr>
                <w:sz w:val="18"/>
              </w:rPr>
              <w:t>2</w:t>
            </w:r>
          </w:p>
        </w:tc>
        <w:tc>
          <w:tcPr>
            <w:tcW w:w="411" w:type="dxa"/>
            <w:tcBorders>
              <w:top w:val="single" w:sz="4" w:space="0" w:color="FFFFFF"/>
              <w:left w:val="nil"/>
              <w:right w:val="nil"/>
            </w:tcBorders>
            <w:shd w:val="clear" w:color="auto" w:fill="DEEAF6"/>
          </w:tcPr>
          <w:p w:rsidR="00A56FE9" w:rsidRDefault="00000000">
            <w:pPr>
              <w:pStyle w:val="TableParagraph"/>
              <w:spacing w:before="45"/>
              <w:ind w:left="5"/>
              <w:jc w:val="center"/>
              <w:rPr>
                <w:sz w:val="18"/>
              </w:rPr>
            </w:pPr>
            <w:r>
              <w:rPr>
                <w:sz w:val="18"/>
              </w:rPr>
              <w:t>3</w:t>
            </w:r>
          </w:p>
        </w:tc>
        <w:tc>
          <w:tcPr>
            <w:tcW w:w="353" w:type="dxa"/>
            <w:tcBorders>
              <w:top w:val="single" w:sz="4" w:space="0" w:color="FFFFFF"/>
              <w:left w:val="nil"/>
              <w:right w:val="nil"/>
            </w:tcBorders>
            <w:shd w:val="clear" w:color="auto" w:fill="DEEAF6"/>
          </w:tcPr>
          <w:p w:rsidR="00A56FE9" w:rsidRDefault="00000000">
            <w:pPr>
              <w:pStyle w:val="TableParagraph"/>
              <w:spacing w:before="45"/>
              <w:ind w:left="4"/>
              <w:jc w:val="center"/>
              <w:rPr>
                <w:sz w:val="18"/>
              </w:rPr>
            </w:pPr>
            <w:r>
              <w:rPr>
                <w:sz w:val="18"/>
              </w:rPr>
              <w:t>4</w:t>
            </w:r>
          </w:p>
        </w:tc>
        <w:tc>
          <w:tcPr>
            <w:tcW w:w="411" w:type="dxa"/>
            <w:tcBorders>
              <w:top w:val="single" w:sz="4" w:space="0" w:color="FFFFFF"/>
              <w:left w:val="nil"/>
              <w:right w:val="nil"/>
            </w:tcBorders>
            <w:shd w:val="clear" w:color="auto" w:fill="DEEAF6"/>
          </w:tcPr>
          <w:p w:rsidR="00A56FE9" w:rsidRDefault="00000000">
            <w:pPr>
              <w:pStyle w:val="TableParagraph"/>
              <w:spacing w:before="45"/>
              <w:ind w:left="3"/>
              <w:jc w:val="center"/>
              <w:rPr>
                <w:sz w:val="18"/>
              </w:rPr>
            </w:pPr>
            <w:r>
              <w:rPr>
                <w:sz w:val="18"/>
              </w:rPr>
              <w:t>5</w:t>
            </w:r>
          </w:p>
        </w:tc>
        <w:tc>
          <w:tcPr>
            <w:tcW w:w="410" w:type="dxa"/>
            <w:tcBorders>
              <w:top w:val="single" w:sz="4" w:space="0" w:color="FFFFFF"/>
              <w:left w:val="nil"/>
              <w:right w:val="single" w:sz="6" w:space="0" w:color="FFFFFF"/>
            </w:tcBorders>
            <w:shd w:val="clear" w:color="auto" w:fill="DEEAF6"/>
          </w:tcPr>
          <w:p w:rsidR="00A56FE9" w:rsidRDefault="00000000">
            <w:pPr>
              <w:pStyle w:val="TableParagraph"/>
              <w:spacing w:before="45"/>
              <w:ind w:left="10"/>
              <w:jc w:val="center"/>
              <w:rPr>
                <w:sz w:val="18"/>
              </w:rPr>
            </w:pPr>
            <w:r>
              <w:rPr>
                <w:sz w:val="18"/>
              </w:rPr>
              <w:t>6</w:t>
            </w:r>
          </w:p>
        </w:tc>
        <w:tc>
          <w:tcPr>
            <w:tcW w:w="420" w:type="dxa"/>
            <w:tcBorders>
              <w:top w:val="single" w:sz="4" w:space="0" w:color="FFFFFF"/>
              <w:left w:val="single" w:sz="6" w:space="0" w:color="FFFFFF"/>
              <w:right w:val="nil"/>
            </w:tcBorders>
            <w:shd w:val="clear" w:color="auto" w:fill="FAE3D4"/>
          </w:tcPr>
          <w:p w:rsidR="00A56FE9" w:rsidRDefault="00000000">
            <w:pPr>
              <w:pStyle w:val="TableParagraph"/>
              <w:spacing w:before="45"/>
              <w:ind w:right="6"/>
              <w:jc w:val="center"/>
              <w:rPr>
                <w:sz w:val="18"/>
              </w:rPr>
            </w:pPr>
            <w:r>
              <w:rPr>
                <w:sz w:val="18"/>
              </w:rPr>
              <w:t>1</w:t>
            </w:r>
          </w:p>
        </w:tc>
        <w:tc>
          <w:tcPr>
            <w:tcW w:w="458" w:type="dxa"/>
            <w:tcBorders>
              <w:top w:val="single" w:sz="4" w:space="0" w:color="FFFFFF"/>
              <w:left w:val="nil"/>
              <w:right w:val="nil"/>
            </w:tcBorders>
            <w:shd w:val="clear" w:color="auto" w:fill="FAE3D4"/>
          </w:tcPr>
          <w:p w:rsidR="00A56FE9" w:rsidRDefault="00000000">
            <w:pPr>
              <w:pStyle w:val="TableParagraph"/>
              <w:spacing w:before="45"/>
              <w:jc w:val="center"/>
              <w:rPr>
                <w:sz w:val="18"/>
              </w:rPr>
            </w:pPr>
            <w:r>
              <w:rPr>
                <w:sz w:val="18"/>
              </w:rPr>
              <w:t>2</w:t>
            </w:r>
          </w:p>
        </w:tc>
        <w:tc>
          <w:tcPr>
            <w:tcW w:w="416" w:type="dxa"/>
            <w:tcBorders>
              <w:top w:val="single" w:sz="4" w:space="0" w:color="FFFFFF"/>
              <w:left w:val="nil"/>
              <w:right w:val="nil"/>
            </w:tcBorders>
            <w:shd w:val="clear" w:color="auto" w:fill="FAE3D4"/>
          </w:tcPr>
          <w:p w:rsidR="00A56FE9" w:rsidRDefault="00000000">
            <w:pPr>
              <w:pStyle w:val="TableParagraph"/>
              <w:spacing w:before="45"/>
              <w:jc w:val="center"/>
              <w:rPr>
                <w:sz w:val="18"/>
              </w:rPr>
            </w:pPr>
            <w:r>
              <w:rPr>
                <w:sz w:val="18"/>
              </w:rPr>
              <w:t>3</w:t>
            </w:r>
          </w:p>
        </w:tc>
        <w:tc>
          <w:tcPr>
            <w:tcW w:w="414" w:type="dxa"/>
            <w:tcBorders>
              <w:top w:val="single" w:sz="4" w:space="0" w:color="FFFFFF"/>
              <w:left w:val="nil"/>
              <w:right w:val="nil"/>
            </w:tcBorders>
            <w:shd w:val="clear" w:color="auto" w:fill="FAE3D4"/>
          </w:tcPr>
          <w:p w:rsidR="00A56FE9" w:rsidRDefault="00000000">
            <w:pPr>
              <w:pStyle w:val="TableParagraph"/>
              <w:spacing w:before="45"/>
              <w:ind w:right="2"/>
              <w:jc w:val="center"/>
              <w:rPr>
                <w:sz w:val="18"/>
              </w:rPr>
            </w:pPr>
            <w:r>
              <w:rPr>
                <w:sz w:val="18"/>
              </w:rPr>
              <w:t>4</w:t>
            </w:r>
          </w:p>
        </w:tc>
        <w:tc>
          <w:tcPr>
            <w:tcW w:w="350" w:type="dxa"/>
            <w:tcBorders>
              <w:top w:val="single" w:sz="4" w:space="0" w:color="FFFFFF"/>
              <w:left w:val="nil"/>
              <w:right w:val="nil"/>
            </w:tcBorders>
            <w:shd w:val="clear" w:color="auto" w:fill="FAE3D4"/>
          </w:tcPr>
          <w:p w:rsidR="00A56FE9" w:rsidRDefault="00000000">
            <w:pPr>
              <w:pStyle w:val="TableParagraph"/>
              <w:spacing w:before="45"/>
              <w:jc w:val="center"/>
              <w:rPr>
                <w:sz w:val="18"/>
              </w:rPr>
            </w:pPr>
            <w:r>
              <w:rPr>
                <w:sz w:val="18"/>
              </w:rPr>
              <w:t>5</w:t>
            </w:r>
          </w:p>
        </w:tc>
        <w:tc>
          <w:tcPr>
            <w:tcW w:w="362" w:type="dxa"/>
            <w:tcBorders>
              <w:top w:val="single" w:sz="4" w:space="0" w:color="FFFFFF"/>
              <w:left w:val="nil"/>
              <w:right w:val="nil"/>
            </w:tcBorders>
            <w:shd w:val="clear" w:color="auto" w:fill="FAE3D4"/>
          </w:tcPr>
          <w:p w:rsidR="00A56FE9" w:rsidRDefault="00000000">
            <w:pPr>
              <w:pStyle w:val="TableParagraph"/>
              <w:spacing w:before="45"/>
              <w:jc w:val="center"/>
              <w:rPr>
                <w:sz w:val="18"/>
              </w:rPr>
            </w:pPr>
            <w:r>
              <w:rPr>
                <w:sz w:val="18"/>
              </w:rPr>
              <w:t>6</w:t>
            </w:r>
          </w:p>
        </w:tc>
        <w:tc>
          <w:tcPr>
            <w:tcW w:w="350" w:type="dxa"/>
            <w:tcBorders>
              <w:top w:val="single" w:sz="4" w:space="0" w:color="FFFFFF"/>
              <w:left w:val="nil"/>
              <w:right w:val="nil"/>
            </w:tcBorders>
            <w:shd w:val="clear" w:color="auto" w:fill="FAE3D4"/>
          </w:tcPr>
          <w:p w:rsidR="00A56FE9" w:rsidRDefault="00000000">
            <w:pPr>
              <w:pStyle w:val="TableParagraph"/>
              <w:spacing w:before="45"/>
              <w:jc w:val="center"/>
              <w:rPr>
                <w:sz w:val="18"/>
              </w:rPr>
            </w:pPr>
            <w:r>
              <w:rPr>
                <w:sz w:val="18"/>
              </w:rPr>
              <w:t>7</w:t>
            </w:r>
          </w:p>
        </w:tc>
        <w:tc>
          <w:tcPr>
            <w:tcW w:w="357" w:type="dxa"/>
            <w:tcBorders>
              <w:top w:val="single" w:sz="4" w:space="0" w:color="FFFFFF"/>
              <w:left w:val="nil"/>
              <w:right w:val="nil"/>
            </w:tcBorders>
            <w:shd w:val="clear" w:color="auto" w:fill="FAE3D4"/>
          </w:tcPr>
          <w:p w:rsidR="00A56FE9" w:rsidRDefault="00000000">
            <w:pPr>
              <w:pStyle w:val="TableParagraph"/>
              <w:spacing w:before="45"/>
              <w:jc w:val="center"/>
              <w:rPr>
                <w:sz w:val="18"/>
              </w:rPr>
            </w:pPr>
            <w:r>
              <w:rPr>
                <w:sz w:val="18"/>
              </w:rPr>
              <w:t>8</w:t>
            </w:r>
          </w:p>
        </w:tc>
        <w:tc>
          <w:tcPr>
            <w:tcW w:w="424" w:type="dxa"/>
            <w:tcBorders>
              <w:top w:val="single" w:sz="4" w:space="0" w:color="FFFFFF"/>
              <w:left w:val="nil"/>
              <w:right w:val="single" w:sz="4" w:space="0" w:color="FFFFFF"/>
            </w:tcBorders>
            <w:shd w:val="clear" w:color="auto" w:fill="FAE3D4"/>
          </w:tcPr>
          <w:p w:rsidR="00A56FE9" w:rsidRDefault="00000000">
            <w:pPr>
              <w:pStyle w:val="TableParagraph"/>
              <w:spacing w:before="45"/>
              <w:ind w:left="5"/>
              <w:jc w:val="center"/>
              <w:rPr>
                <w:sz w:val="18"/>
              </w:rPr>
            </w:pPr>
            <w:r>
              <w:rPr>
                <w:sz w:val="18"/>
              </w:rPr>
              <w:t>9</w:t>
            </w:r>
          </w:p>
        </w:tc>
        <w:tc>
          <w:tcPr>
            <w:tcW w:w="566" w:type="dxa"/>
            <w:tcBorders>
              <w:top w:val="single" w:sz="4" w:space="0" w:color="FFFFFF"/>
              <w:left w:val="single" w:sz="4" w:space="0" w:color="FFFFFF"/>
              <w:right w:val="nil"/>
            </w:tcBorders>
            <w:shd w:val="clear" w:color="auto" w:fill="FFF1CC"/>
          </w:tcPr>
          <w:p w:rsidR="00A56FE9" w:rsidRDefault="00000000">
            <w:pPr>
              <w:pStyle w:val="TableParagraph"/>
              <w:spacing w:before="45"/>
              <w:jc w:val="center"/>
              <w:rPr>
                <w:sz w:val="18"/>
              </w:rPr>
            </w:pPr>
            <w:r>
              <w:rPr>
                <w:sz w:val="18"/>
              </w:rPr>
              <w:t>1</w:t>
            </w:r>
          </w:p>
        </w:tc>
        <w:tc>
          <w:tcPr>
            <w:tcW w:w="569" w:type="dxa"/>
            <w:tcBorders>
              <w:top w:val="single" w:sz="4" w:space="0" w:color="FFFFFF"/>
              <w:left w:val="nil"/>
              <w:right w:val="single" w:sz="4" w:space="0" w:color="FFFFFF"/>
            </w:tcBorders>
            <w:shd w:val="clear" w:color="auto" w:fill="FFF1CC"/>
          </w:tcPr>
          <w:p w:rsidR="00A56FE9" w:rsidRDefault="00000000">
            <w:pPr>
              <w:pStyle w:val="TableParagraph"/>
              <w:spacing w:before="45"/>
              <w:ind w:left="8"/>
              <w:jc w:val="center"/>
              <w:rPr>
                <w:sz w:val="18"/>
              </w:rPr>
            </w:pPr>
            <w:r>
              <w:rPr>
                <w:sz w:val="18"/>
              </w:rPr>
              <w:t>2</w:t>
            </w:r>
          </w:p>
        </w:tc>
        <w:tc>
          <w:tcPr>
            <w:tcW w:w="566" w:type="dxa"/>
            <w:tcBorders>
              <w:top w:val="single" w:sz="4" w:space="0" w:color="FFFFFF"/>
              <w:left w:val="single" w:sz="4" w:space="0" w:color="FFFFFF"/>
              <w:right w:val="nil"/>
            </w:tcBorders>
            <w:shd w:val="clear" w:color="auto" w:fill="FFFF66"/>
          </w:tcPr>
          <w:p w:rsidR="00A56FE9" w:rsidRDefault="00000000">
            <w:pPr>
              <w:pStyle w:val="TableParagraph"/>
              <w:spacing w:before="45"/>
              <w:ind w:left="1"/>
              <w:jc w:val="center"/>
              <w:rPr>
                <w:sz w:val="18"/>
              </w:rPr>
            </w:pPr>
            <w:r>
              <w:rPr>
                <w:sz w:val="18"/>
              </w:rPr>
              <w:t>1</w:t>
            </w:r>
          </w:p>
        </w:tc>
        <w:tc>
          <w:tcPr>
            <w:tcW w:w="566" w:type="dxa"/>
            <w:tcBorders>
              <w:top w:val="single" w:sz="4" w:space="0" w:color="FFFFFF"/>
              <w:left w:val="nil"/>
              <w:right w:val="nil"/>
            </w:tcBorders>
            <w:shd w:val="clear" w:color="auto" w:fill="FFFF66"/>
          </w:tcPr>
          <w:p w:rsidR="00A56FE9" w:rsidRDefault="00000000">
            <w:pPr>
              <w:pStyle w:val="TableParagraph"/>
              <w:spacing w:before="45"/>
              <w:ind w:left="241"/>
              <w:rPr>
                <w:sz w:val="18"/>
              </w:rPr>
            </w:pPr>
            <w:r>
              <w:rPr>
                <w:sz w:val="18"/>
              </w:rPr>
              <w:t>2</w:t>
            </w:r>
          </w:p>
        </w:tc>
        <w:tc>
          <w:tcPr>
            <w:tcW w:w="530" w:type="dxa"/>
            <w:tcBorders>
              <w:top w:val="single" w:sz="4" w:space="0" w:color="FFFFFF"/>
              <w:left w:val="nil"/>
              <w:right w:val="single" w:sz="4" w:space="0" w:color="FFFFFF"/>
            </w:tcBorders>
            <w:shd w:val="clear" w:color="auto" w:fill="FFFF66"/>
          </w:tcPr>
          <w:p w:rsidR="00A56FE9" w:rsidRDefault="00000000">
            <w:pPr>
              <w:pStyle w:val="TableParagraph"/>
              <w:spacing w:before="45"/>
              <w:ind w:left="10"/>
              <w:jc w:val="center"/>
              <w:rPr>
                <w:sz w:val="18"/>
              </w:rPr>
            </w:pPr>
            <w:r>
              <w:rPr>
                <w:sz w:val="18"/>
              </w:rPr>
              <w:t>3</w:t>
            </w:r>
          </w:p>
        </w:tc>
        <w:tc>
          <w:tcPr>
            <w:tcW w:w="991" w:type="dxa"/>
            <w:tcBorders>
              <w:top w:val="single" w:sz="4" w:space="0" w:color="FFFFFF"/>
              <w:left w:val="single" w:sz="4" w:space="0" w:color="FFFFFF"/>
              <w:right w:val="single" w:sz="4" w:space="0" w:color="FFFFFF"/>
            </w:tcBorders>
            <w:shd w:val="clear" w:color="auto" w:fill="E1EED9"/>
          </w:tcPr>
          <w:p w:rsidR="00A56FE9" w:rsidRDefault="00000000">
            <w:pPr>
              <w:pStyle w:val="TableParagraph"/>
              <w:spacing w:before="45"/>
              <w:ind w:left="5"/>
              <w:jc w:val="center"/>
              <w:rPr>
                <w:sz w:val="18"/>
              </w:rPr>
            </w:pPr>
            <w:r>
              <w:rPr>
                <w:sz w:val="18"/>
              </w:rPr>
              <w:t>1</w:t>
            </w:r>
          </w:p>
        </w:tc>
        <w:tc>
          <w:tcPr>
            <w:tcW w:w="809" w:type="dxa"/>
            <w:tcBorders>
              <w:top w:val="single" w:sz="4" w:space="0" w:color="FFFFFF"/>
              <w:left w:val="single" w:sz="4" w:space="0" w:color="FFFFFF"/>
              <w:right w:val="nil"/>
            </w:tcBorders>
            <w:shd w:val="clear" w:color="auto" w:fill="D0CECE"/>
          </w:tcPr>
          <w:p w:rsidR="00A56FE9" w:rsidRDefault="00000000">
            <w:pPr>
              <w:pStyle w:val="TableParagraph"/>
              <w:spacing w:before="45"/>
              <w:ind w:right="354"/>
              <w:jc w:val="right"/>
              <w:rPr>
                <w:sz w:val="18"/>
              </w:rPr>
            </w:pPr>
            <w:r>
              <w:rPr>
                <w:sz w:val="18"/>
              </w:rPr>
              <w:t>1</w:t>
            </w:r>
          </w:p>
        </w:tc>
      </w:tr>
    </w:tbl>
    <w:p w:rsidR="00A56FE9" w:rsidRDefault="00000000">
      <w:pPr>
        <w:spacing w:before="13"/>
        <w:ind w:left="1114"/>
        <w:rPr>
          <w:b/>
        </w:rPr>
      </w:pPr>
      <w:r>
        <w:rPr>
          <w:b/>
        </w:rPr>
        <w:t>UN</w:t>
      </w:r>
      <w:r>
        <w:rPr>
          <w:b/>
          <w:spacing w:val="-3"/>
        </w:rPr>
        <w:t xml:space="preserve"> </w:t>
      </w:r>
      <w:r>
        <w:rPr>
          <w:b/>
        </w:rPr>
        <w:t>Sustainable</w:t>
      </w:r>
      <w:r>
        <w:rPr>
          <w:b/>
          <w:spacing w:val="-1"/>
        </w:rPr>
        <w:t xml:space="preserve"> </w:t>
      </w:r>
      <w:r>
        <w:rPr>
          <w:b/>
        </w:rPr>
        <w:t>Development</w:t>
      </w:r>
      <w:r>
        <w:rPr>
          <w:b/>
          <w:spacing w:val="-3"/>
        </w:rPr>
        <w:t xml:space="preserve"> </w:t>
      </w:r>
      <w:r>
        <w:rPr>
          <w:b/>
        </w:rPr>
        <w:t>Goals</w:t>
      </w:r>
      <w:r>
        <w:rPr>
          <w:b/>
          <w:spacing w:val="-3"/>
        </w:rPr>
        <w:t xml:space="preserve"> </w:t>
      </w:r>
      <w:r>
        <w:rPr>
          <w:b/>
        </w:rPr>
        <w:t>(SDGs)</w:t>
      </w:r>
    </w:p>
    <w:p w:rsidR="00A56FE9" w:rsidRDefault="00A56FE9">
      <w:pPr>
        <w:pStyle w:val="Tijeloteksta"/>
        <w:spacing w:before="6"/>
        <w:ind w:left="0"/>
        <w:jc w:val="left"/>
        <w:rPr>
          <w:b/>
          <w:sz w:val="6"/>
        </w:rPr>
      </w:pPr>
    </w:p>
    <w:tbl>
      <w:tblPr>
        <w:tblStyle w:val="TableNormal"/>
        <w:tblW w:w="0" w:type="auto"/>
        <w:tblInd w:w="1013"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3308"/>
        <w:gridCol w:w="493"/>
        <w:gridCol w:w="420"/>
        <w:gridCol w:w="408"/>
        <w:gridCol w:w="353"/>
        <w:gridCol w:w="411"/>
        <w:gridCol w:w="411"/>
        <w:gridCol w:w="418"/>
        <w:gridCol w:w="459"/>
        <w:gridCol w:w="416"/>
        <w:gridCol w:w="413"/>
        <w:gridCol w:w="351"/>
        <w:gridCol w:w="363"/>
        <w:gridCol w:w="351"/>
        <w:gridCol w:w="358"/>
        <w:gridCol w:w="425"/>
        <w:gridCol w:w="569"/>
        <w:gridCol w:w="567"/>
        <w:gridCol w:w="566"/>
        <w:gridCol w:w="566"/>
        <w:gridCol w:w="532"/>
        <w:gridCol w:w="990"/>
        <w:gridCol w:w="810"/>
      </w:tblGrid>
      <w:tr w:rsidR="00A56FE9">
        <w:trPr>
          <w:trHeight w:val="479"/>
        </w:trPr>
        <w:tc>
          <w:tcPr>
            <w:tcW w:w="3308" w:type="dxa"/>
            <w:tcBorders>
              <w:left w:val="nil"/>
            </w:tcBorders>
            <w:shd w:val="clear" w:color="auto" w:fill="F1F1F1"/>
          </w:tcPr>
          <w:p w:rsidR="00A56FE9" w:rsidRDefault="00000000">
            <w:pPr>
              <w:pStyle w:val="TableParagraph"/>
              <w:ind w:left="108" w:right="799"/>
              <w:rPr>
                <w:sz w:val="20"/>
              </w:rPr>
            </w:pPr>
            <w:r>
              <w:rPr>
                <w:b/>
                <w:sz w:val="20"/>
              </w:rPr>
              <w:t>1.</w:t>
            </w:r>
            <w:r>
              <w:rPr>
                <w:b/>
                <w:spacing w:val="-2"/>
                <w:sz w:val="20"/>
              </w:rPr>
              <w:t xml:space="preserve"> </w:t>
            </w:r>
            <w:r>
              <w:rPr>
                <w:sz w:val="20"/>
              </w:rPr>
              <w:t>End</w:t>
            </w:r>
            <w:r>
              <w:rPr>
                <w:spacing w:val="-2"/>
                <w:sz w:val="20"/>
              </w:rPr>
              <w:t xml:space="preserve"> </w:t>
            </w:r>
            <w:r>
              <w:rPr>
                <w:sz w:val="20"/>
              </w:rPr>
              <w:t>poverty</w:t>
            </w:r>
            <w:r>
              <w:rPr>
                <w:spacing w:val="-7"/>
                <w:sz w:val="20"/>
              </w:rPr>
              <w:t xml:space="preserve"> </w:t>
            </w:r>
            <w:r>
              <w:rPr>
                <w:sz w:val="20"/>
              </w:rPr>
              <w:t>in</w:t>
            </w:r>
            <w:r>
              <w:rPr>
                <w:spacing w:val="-4"/>
                <w:sz w:val="20"/>
              </w:rPr>
              <w:t xml:space="preserve"> </w:t>
            </w:r>
            <w:r>
              <w:rPr>
                <w:sz w:val="20"/>
              </w:rPr>
              <w:t>all</w:t>
            </w:r>
            <w:r>
              <w:rPr>
                <w:spacing w:val="-3"/>
                <w:sz w:val="20"/>
              </w:rPr>
              <w:t xml:space="preserve"> </w:t>
            </w:r>
            <w:r>
              <w:rPr>
                <w:sz w:val="20"/>
              </w:rPr>
              <w:t>its</w:t>
            </w:r>
            <w:r>
              <w:rPr>
                <w:spacing w:val="-1"/>
                <w:sz w:val="20"/>
              </w:rPr>
              <w:t xml:space="preserve"> </w:t>
            </w:r>
            <w:r>
              <w:rPr>
                <w:sz w:val="20"/>
              </w:rPr>
              <w:t>forms</w:t>
            </w:r>
            <w:r>
              <w:rPr>
                <w:spacing w:val="-47"/>
                <w:sz w:val="20"/>
              </w:rPr>
              <w:t xml:space="preserve"> </w:t>
            </w:r>
            <w:r>
              <w:rPr>
                <w:sz w:val="20"/>
              </w:rPr>
              <w:t>everywhere</w:t>
            </w:r>
          </w:p>
        </w:tc>
        <w:tc>
          <w:tcPr>
            <w:tcW w:w="49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000000">
            <w:pPr>
              <w:pStyle w:val="TableParagraph"/>
              <w:spacing w:before="133"/>
              <w:ind w:right="6"/>
              <w:jc w:val="center"/>
              <w:rPr>
                <w:rFonts w:ascii="Wingdings" w:hAnsi="Wingdings"/>
                <w:sz w:val="18"/>
              </w:rPr>
            </w:pPr>
            <w:r>
              <w:rPr>
                <w:rFonts w:ascii="Wingdings" w:hAnsi="Wingdings"/>
                <w:color w:val="C00000"/>
                <w:sz w:val="18"/>
              </w:rPr>
              <w:t></w:t>
            </w: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000000">
            <w:pPr>
              <w:pStyle w:val="TableParagraph"/>
              <w:spacing w:before="133"/>
              <w:ind w:right="9"/>
              <w:jc w:val="center"/>
              <w:rPr>
                <w:rFonts w:ascii="Wingdings" w:hAnsi="Wingdings"/>
                <w:sz w:val="18"/>
              </w:rPr>
            </w:pPr>
            <w:r>
              <w:rPr>
                <w:rFonts w:ascii="Wingdings" w:hAnsi="Wingdings"/>
                <w:color w:val="FFCC00"/>
                <w:sz w:val="18"/>
              </w:rPr>
              <w:t></w:t>
            </w:r>
          </w:p>
        </w:tc>
        <w:tc>
          <w:tcPr>
            <w:tcW w:w="532" w:type="dxa"/>
          </w:tcPr>
          <w:p w:rsidR="00A56FE9" w:rsidRDefault="00000000">
            <w:pPr>
              <w:pStyle w:val="TableParagraph"/>
              <w:spacing w:before="133"/>
              <w:ind w:right="13"/>
              <w:jc w:val="center"/>
              <w:rPr>
                <w:rFonts w:ascii="Wingdings" w:hAnsi="Wingdings"/>
                <w:sz w:val="18"/>
              </w:rPr>
            </w:pPr>
            <w:r>
              <w:rPr>
                <w:rFonts w:ascii="Wingdings" w:hAnsi="Wingdings"/>
                <w:color w:val="FFCC00"/>
                <w:sz w:val="18"/>
              </w:rPr>
              <w:t></w:t>
            </w: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rPr>
                <w:sz w:val="18"/>
              </w:rPr>
            </w:pPr>
          </w:p>
        </w:tc>
      </w:tr>
      <w:tr w:rsidR="00A56FE9">
        <w:trPr>
          <w:trHeight w:val="709"/>
        </w:trPr>
        <w:tc>
          <w:tcPr>
            <w:tcW w:w="3308" w:type="dxa"/>
            <w:tcBorders>
              <w:left w:val="nil"/>
            </w:tcBorders>
            <w:shd w:val="clear" w:color="auto" w:fill="F1F1F1"/>
          </w:tcPr>
          <w:p w:rsidR="00A56FE9" w:rsidRDefault="00000000">
            <w:pPr>
              <w:pStyle w:val="TableParagraph"/>
              <w:ind w:left="108" w:right="257"/>
              <w:jc w:val="both"/>
              <w:rPr>
                <w:sz w:val="20"/>
              </w:rPr>
            </w:pPr>
            <w:r>
              <w:rPr>
                <w:b/>
                <w:sz w:val="20"/>
              </w:rPr>
              <w:t xml:space="preserve">2. </w:t>
            </w:r>
            <w:r>
              <w:rPr>
                <w:sz w:val="20"/>
              </w:rPr>
              <w:t>End hunger, achieve food security</w:t>
            </w:r>
            <w:r>
              <w:rPr>
                <w:spacing w:val="-48"/>
                <w:sz w:val="20"/>
              </w:rPr>
              <w:t xml:space="preserve"> </w:t>
            </w:r>
            <w:r>
              <w:rPr>
                <w:sz w:val="20"/>
              </w:rPr>
              <w:t>and improved nutrition and promote</w:t>
            </w:r>
            <w:r>
              <w:rPr>
                <w:spacing w:val="-47"/>
                <w:sz w:val="20"/>
              </w:rPr>
              <w:t xml:space="preserve"> </w:t>
            </w:r>
            <w:r>
              <w:rPr>
                <w:sz w:val="20"/>
              </w:rPr>
              <w:t>sustainable</w:t>
            </w:r>
            <w:r>
              <w:rPr>
                <w:spacing w:val="-1"/>
                <w:sz w:val="20"/>
              </w:rPr>
              <w:t xml:space="preserve"> </w:t>
            </w:r>
            <w:r>
              <w:rPr>
                <w:sz w:val="20"/>
              </w:rPr>
              <w:t>agriculture</w:t>
            </w:r>
          </w:p>
        </w:tc>
        <w:tc>
          <w:tcPr>
            <w:tcW w:w="49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A56FE9">
            <w:pPr>
              <w:pStyle w:val="TableParagraph"/>
              <w:rPr>
                <w:sz w:val="18"/>
              </w:rPr>
            </w:pP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spacing w:before="6"/>
              <w:rPr>
                <w:b/>
                <w:sz w:val="21"/>
              </w:rPr>
            </w:pPr>
          </w:p>
          <w:p w:rsidR="00A56FE9" w:rsidRDefault="00000000">
            <w:pPr>
              <w:pStyle w:val="TableParagraph"/>
              <w:spacing w:before="1"/>
              <w:ind w:right="13"/>
              <w:jc w:val="center"/>
              <w:rPr>
                <w:rFonts w:ascii="Wingdings" w:hAnsi="Wingdings"/>
                <w:sz w:val="18"/>
              </w:rPr>
            </w:pPr>
            <w:r>
              <w:rPr>
                <w:rFonts w:ascii="Wingdings" w:hAnsi="Wingdings"/>
                <w:color w:val="FFCC00"/>
                <w:sz w:val="18"/>
              </w:rPr>
              <w:t></w:t>
            </w: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rPr>
                <w:sz w:val="18"/>
              </w:rPr>
            </w:pPr>
          </w:p>
        </w:tc>
      </w:tr>
      <w:tr w:rsidR="00A56FE9">
        <w:trPr>
          <w:trHeight w:val="481"/>
        </w:trPr>
        <w:tc>
          <w:tcPr>
            <w:tcW w:w="3308" w:type="dxa"/>
            <w:tcBorders>
              <w:left w:val="nil"/>
            </w:tcBorders>
            <w:shd w:val="clear" w:color="auto" w:fill="F1F1F1"/>
          </w:tcPr>
          <w:p w:rsidR="00A56FE9" w:rsidRDefault="00000000">
            <w:pPr>
              <w:pStyle w:val="TableParagraph"/>
              <w:ind w:left="108" w:right="320"/>
              <w:rPr>
                <w:sz w:val="20"/>
              </w:rPr>
            </w:pPr>
            <w:r>
              <w:rPr>
                <w:b/>
                <w:sz w:val="20"/>
              </w:rPr>
              <w:t>3.</w:t>
            </w:r>
            <w:r>
              <w:rPr>
                <w:b/>
                <w:spacing w:val="-3"/>
                <w:sz w:val="20"/>
              </w:rPr>
              <w:t xml:space="preserve"> </w:t>
            </w:r>
            <w:r>
              <w:rPr>
                <w:sz w:val="20"/>
              </w:rPr>
              <w:t>Ensure</w:t>
            </w:r>
            <w:r>
              <w:rPr>
                <w:spacing w:val="-3"/>
                <w:sz w:val="20"/>
              </w:rPr>
              <w:t xml:space="preserve"> </w:t>
            </w:r>
            <w:r>
              <w:rPr>
                <w:sz w:val="20"/>
              </w:rPr>
              <w:t>healthy</w:t>
            </w:r>
            <w:r>
              <w:rPr>
                <w:spacing w:val="-4"/>
                <w:sz w:val="20"/>
              </w:rPr>
              <w:t xml:space="preserve"> </w:t>
            </w:r>
            <w:r>
              <w:rPr>
                <w:sz w:val="20"/>
              </w:rPr>
              <w:t>lives</w:t>
            </w:r>
            <w:r>
              <w:rPr>
                <w:spacing w:val="-4"/>
                <w:sz w:val="20"/>
              </w:rPr>
              <w:t xml:space="preserve"> </w:t>
            </w:r>
            <w:r>
              <w:rPr>
                <w:sz w:val="20"/>
              </w:rPr>
              <w:t>and</w:t>
            </w:r>
            <w:r>
              <w:rPr>
                <w:spacing w:val="-2"/>
                <w:sz w:val="20"/>
              </w:rPr>
              <w:t xml:space="preserve"> </w:t>
            </w:r>
            <w:r>
              <w:rPr>
                <w:sz w:val="20"/>
              </w:rPr>
              <w:t>promote</w:t>
            </w:r>
            <w:r>
              <w:rPr>
                <w:spacing w:val="-47"/>
                <w:sz w:val="20"/>
              </w:rPr>
              <w:t xml:space="preserve"> </w:t>
            </w:r>
            <w:r>
              <w:rPr>
                <w:sz w:val="20"/>
              </w:rPr>
              <w:t>well-being for</w:t>
            </w:r>
            <w:r>
              <w:rPr>
                <w:spacing w:val="-1"/>
                <w:sz w:val="20"/>
              </w:rPr>
              <w:t xml:space="preserve"> </w:t>
            </w:r>
            <w:r>
              <w:rPr>
                <w:sz w:val="20"/>
              </w:rPr>
              <w:t>all at</w:t>
            </w:r>
            <w:r>
              <w:rPr>
                <w:spacing w:val="-1"/>
                <w:sz w:val="20"/>
              </w:rPr>
              <w:t xml:space="preserve"> </w:t>
            </w:r>
            <w:r>
              <w:rPr>
                <w:sz w:val="20"/>
              </w:rPr>
              <w:t>all ages</w:t>
            </w:r>
          </w:p>
        </w:tc>
        <w:tc>
          <w:tcPr>
            <w:tcW w:w="49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A56FE9">
            <w:pPr>
              <w:pStyle w:val="TableParagraph"/>
              <w:rPr>
                <w:sz w:val="18"/>
              </w:rPr>
            </w:pP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000000">
            <w:pPr>
              <w:pStyle w:val="TableParagraph"/>
              <w:spacing w:before="133"/>
              <w:ind w:right="13"/>
              <w:jc w:val="center"/>
              <w:rPr>
                <w:rFonts w:ascii="Wingdings" w:hAnsi="Wingdings"/>
                <w:sz w:val="18"/>
              </w:rPr>
            </w:pPr>
            <w:r>
              <w:rPr>
                <w:rFonts w:ascii="Wingdings" w:hAnsi="Wingdings"/>
                <w:color w:val="6FAC46"/>
                <w:sz w:val="18"/>
              </w:rPr>
              <w:t></w:t>
            </w:r>
          </w:p>
        </w:tc>
        <w:tc>
          <w:tcPr>
            <w:tcW w:w="810" w:type="dxa"/>
            <w:tcBorders>
              <w:right w:val="nil"/>
            </w:tcBorders>
          </w:tcPr>
          <w:p w:rsidR="00A56FE9" w:rsidRDefault="00A56FE9">
            <w:pPr>
              <w:pStyle w:val="TableParagraph"/>
              <w:rPr>
                <w:sz w:val="18"/>
              </w:rPr>
            </w:pPr>
          </w:p>
        </w:tc>
      </w:tr>
      <w:tr w:rsidR="00A56FE9">
        <w:trPr>
          <w:trHeight w:val="707"/>
        </w:trPr>
        <w:tc>
          <w:tcPr>
            <w:tcW w:w="3308" w:type="dxa"/>
            <w:tcBorders>
              <w:left w:val="nil"/>
              <w:bottom w:val="single" w:sz="6" w:space="0" w:color="001F5F"/>
            </w:tcBorders>
            <w:shd w:val="clear" w:color="auto" w:fill="F1F1F1"/>
          </w:tcPr>
          <w:p w:rsidR="00A56FE9" w:rsidRDefault="00000000">
            <w:pPr>
              <w:pStyle w:val="TableParagraph"/>
              <w:ind w:left="108" w:right="220"/>
              <w:rPr>
                <w:sz w:val="20"/>
              </w:rPr>
            </w:pPr>
            <w:r>
              <w:rPr>
                <w:b/>
                <w:sz w:val="20"/>
              </w:rPr>
              <w:t xml:space="preserve">4. </w:t>
            </w:r>
            <w:r>
              <w:rPr>
                <w:sz w:val="20"/>
              </w:rPr>
              <w:t>Ensure inclusive and equitable</w:t>
            </w:r>
            <w:r>
              <w:rPr>
                <w:spacing w:val="1"/>
                <w:sz w:val="20"/>
              </w:rPr>
              <w:t xml:space="preserve"> </w:t>
            </w:r>
            <w:r>
              <w:rPr>
                <w:sz w:val="20"/>
              </w:rPr>
              <w:t>quality education and promote</w:t>
            </w:r>
            <w:r>
              <w:rPr>
                <w:spacing w:val="1"/>
                <w:sz w:val="20"/>
              </w:rPr>
              <w:t xml:space="preserve"> </w:t>
            </w:r>
            <w:r>
              <w:rPr>
                <w:sz w:val="20"/>
              </w:rPr>
              <w:t>lifelong</w:t>
            </w:r>
            <w:r>
              <w:rPr>
                <w:spacing w:val="-4"/>
                <w:sz w:val="20"/>
              </w:rPr>
              <w:t xml:space="preserve"> </w:t>
            </w:r>
            <w:r>
              <w:rPr>
                <w:sz w:val="20"/>
              </w:rPr>
              <w:t>learning</w:t>
            </w:r>
            <w:r>
              <w:rPr>
                <w:spacing w:val="-3"/>
                <w:sz w:val="20"/>
              </w:rPr>
              <w:t xml:space="preserve"> </w:t>
            </w:r>
            <w:r>
              <w:rPr>
                <w:sz w:val="20"/>
              </w:rPr>
              <w:t>opportunities</w:t>
            </w:r>
            <w:r>
              <w:rPr>
                <w:spacing w:val="-2"/>
                <w:sz w:val="20"/>
              </w:rPr>
              <w:t xml:space="preserve"> </w:t>
            </w:r>
            <w:r>
              <w:rPr>
                <w:sz w:val="20"/>
              </w:rPr>
              <w:t>for</w:t>
            </w:r>
            <w:r>
              <w:rPr>
                <w:spacing w:val="-2"/>
                <w:sz w:val="20"/>
              </w:rPr>
              <w:t xml:space="preserve"> </w:t>
            </w:r>
            <w:r>
              <w:rPr>
                <w:sz w:val="20"/>
              </w:rPr>
              <w:t>all</w:t>
            </w:r>
          </w:p>
        </w:tc>
        <w:tc>
          <w:tcPr>
            <w:tcW w:w="493" w:type="dxa"/>
            <w:tcBorders>
              <w:bottom w:val="single" w:sz="6" w:space="0" w:color="001F5F"/>
            </w:tcBorders>
          </w:tcPr>
          <w:p w:rsidR="00A56FE9" w:rsidRDefault="00A56FE9">
            <w:pPr>
              <w:pStyle w:val="TableParagraph"/>
              <w:rPr>
                <w:sz w:val="18"/>
              </w:rPr>
            </w:pPr>
          </w:p>
        </w:tc>
        <w:tc>
          <w:tcPr>
            <w:tcW w:w="420" w:type="dxa"/>
            <w:tcBorders>
              <w:bottom w:val="single" w:sz="6" w:space="0" w:color="001F5F"/>
            </w:tcBorders>
          </w:tcPr>
          <w:p w:rsidR="00A56FE9" w:rsidRDefault="00A56FE9">
            <w:pPr>
              <w:pStyle w:val="TableParagraph"/>
              <w:rPr>
                <w:sz w:val="18"/>
              </w:rPr>
            </w:pPr>
          </w:p>
        </w:tc>
        <w:tc>
          <w:tcPr>
            <w:tcW w:w="408" w:type="dxa"/>
            <w:tcBorders>
              <w:bottom w:val="single" w:sz="6" w:space="0" w:color="001F5F"/>
            </w:tcBorders>
          </w:tcPr>
          <w:p w:rsidR="00A56FE9" w:rsidRDefault="00A56FE9">
            <w:pPr>
              <w:pStyle w:val="TableParagraph"/>
              <w:rPr>
                <w:sz w:val="18"/>
              </w:rPr>
            </w:pPr>
          </w:p>
        </w:tc>
        <w:tc>
          <w:tcPr>
            <w:tcW w:w="353" w:type="dxa"/>
            <w:tcBorders>
              <w:bottom w:val="single" w:sz="6" w:space="0" w:color="001F5F"/>
            </w:tcBorders>
          </w:tcPr>
          <w:p w:rsidR="00A56FE9" w:rsidRDefault="00A56FE9">
            <w:pPr>
              <w:pStyle w:val="TableParagraph"/>
              <w:rPr>
                <w:sz w:val="18"/>
              </w:rPr>
            </w:pPr>
          </w:p>
        </w:tc>
        <w:tc>
          <w:tcPr>
            <w:tcW w:w="411" w:type="dxa"/>
            <w:tcBorders>
              <w:bottom w:val="single" w:sz="6" w:space="0" w:color="001F5F"/>
            </w:tcBorders>
          </w:tcPr>
          <w:p w:rsidR="00A56FE9" w:rsidRDefault="00A56FE9">
            <w:pPr>
              <w:pStyle w:val="TableParagraph"/>
              <w:rPr>
                <w:sz w:val="18"/>
              </w:rPr>
            </w:pPr>
          </w:p>
        </w:tc>
        <w:tc>
          <w:tcPr>
            <w:tcW w:w="411" w:type="dxa"/>
            <w:tcBorders>
              <w:bottom w:val="single" w:sz="6" w:space="0" w:color="001F5F"/>
            </w:tcBorders>
          </w:tcPr>
          <w:p w:rsidR="00A56FE9" w:rsidRDefault="00A56FE9">
            <w:pPr>
              <w:pStyle w:val="TableParagraph"/>
              <w:rPr>
                <w:sz w:val="18"/>
              </w:rPr>
            </w:pPr>
          </w:p>
        </w:tc>
        <w:tc>
          <w:tcPr>
            <w:tcW w:w="418" w:type="dxa"/>
            <w:tcBorders>
              <w:bottom w:val="single" w:sz="6" w:space="0" w:color="001F5F"/>
            </w:tcBorders>
          </w:tcPr>
          <w:p w:rsidR="00A56FE9" w:rsidRDefault="00A56FE9">
            <w:pPr>
              <w:pStyle w:val="TableParagraph"/>
              <w:rPr>
                <w:sz w:val="18"/>
              </w:rPr>
            </w:pPr>
          </w:p>
        </w:tc>
        <w:tc>
          <w:tcPr>
            <w:tcW w:w="459" w:type="dxa"/>
            <w:tcBorders>
              <w:bottom w:val="single" w:sz="6" w:space="0" w:color="001F5F"/>
            </w:tcBorders>
          </w:tcPr>
          <w:p w:rsidR="00A56FE9" w:rsidRDefault="00A56FE9">
            <w:pPr>
              <w:pStyle w:val="TableParagraph"/>
              <w:rPr>
                <w:sz w:val="18"/>
              </w:rPr>
            </w:pPr>
          </w:p>
        </w:tc>
        <w:tc>
          <w:tcPr>
            <w:tcW w:w="416" w:type="dxa"/>
            <w:tcBorders>
              <w:bottom w:val="single" w:sz="6" w:space="0" w:color="001F5F"/>
            </w:tcBorders>
          </w:tcPr>
          <w:p w:rsidR="00A56FE9" w:rsidRDefault="00A56FE9">
            <w:pPr>
              <w:pStyle w:val="TableParagraph"/>
              <w:rPr>
                <w:sz w:val="18"/>
              </w:rPr>
            </w:pPr>
          </w:p>
        </w:tc>
        <w:tc>
          <w:tcPr>
            <w:tcW w:w="413" w:type="dxa"/>
            <w:tcBorders>
              <w:bottom w:val="single" w:sz="6" w:space="0" w:color="001F5F"/>
            </w:tcBorders>
          </w:tcPr>
          <w:p w:rsidR="00A56FE9" w:rsidRDefault="00A56FE9">
            <w:pPr>
              <w:pStyle w:val="TableParagraph"/>
              <w:rPr>
                <w:sz w:val="18"/>
              </w:rPr>
            </w:pPr>
          </w:p>
        </w:tc>
        <w:tc>
          <w:tcPr>
            <w:tcW w:w="351" w:type="dxa"/>
            <w:tcBorders>
              <w:bottom w:val="single" w:sz="6" w:space="0" w:color="001F5F"/>
            </w:tcBorders>
          </w:tcPr>
          <w:p w:rsidR="00A56FE9" w:rsidRDefault="00A56FE9">
            <w:pPr>
              <w:pStyle w:val="TableParagraph"/>
              <w:rPr>
                <w:sz w:val="18"/>
              </w:rPr>
            </w:pPr>
          </w:p>
        </w:tc>
        <w:tc>
          <w:tcPr>
            <w:tcW w:w="363" w:type="dxa"/>
            <w:tcBorders>
              <w:bottom w:val="single" w:sz="6" w:space="0" w:color="001F5F"/>
            </w:tcBorders>
          </w:tcPr>
          <w:p w:rsidR="00A56FE9" w:rsidRDefault="00A56FE9">
            <w:pPr>
              <w:pStyle w:val="TableParagraph"/>
              <w:rPr>
                <w:sz w:val="18"/>
              </w:rPr>
            </w:pPr>
          </w:p>
        </w:tc>
        <w:tc>
          <w:tcPr>
            <w:tcW w:w="351" w:type="dxa"/>
            <w:tcBorders>
              <w:bottom w:val="single" w:sz="6" w:space="0" w:color="001F5F"/>
            </w:tcBorders>
          </w:tcPr>
          <w:p w:rsidR="00A56FE9" w:rsidRDefault="00A56FE9">
            <w:pPr>
              <w:pStyle w:val="TableParagraph"/>
              <w:rPr>
                <w:sz w:val="18"/>
              </w:rPr>
            </w:pPr>
          </w:p>
        </w:tc>
        <w:tc>
          <w:tcPr>
            <w:tcW w:w="358" w:type="dxa"/>
            <w:tcBorders>
              <w:bottom w:val="single" w:sz="6" w:space="0" w:color="001F5F"/>
            </w:tcBorders>
          </w:tcPr>
          <w:p w:rsidR="00A56FE9" w:rsidRDefault="00A56FE9">
            <w:pPr>
              <w:pStyle w:val="TableParagraph"/>
              <w:rPr>
                <w:sz w:val="18"/>
              </w:rPr>
            </w:pPr>
          </w:p>
        </w:tc>
        <w:tc>
          <w:tcPr>
            <w:tcW w:w="425" w:type="dxa"/>
            <w:tcBorders>
              <w:bottom w:val="single" w:sz="6" w:space="0" w:color="001F5F"/>
            </w:tcBorders>
          </w:tcPr>
          <w:p w:rsidR="00A56FE9" w:rsidRDefault="00A56FE9">
            <w:pPr>
              <w:pStyle w:val="TableParagraph"/>
              <w:rPr>
                <w:sz w:val="18"/>
              </w:rPr>
            </w:pPr>
          </w:p>
        </w:tc>
        <w:tc>
          <w:tcPr>
            <w:tcW w:w="569" w:type="dxa"/>
            <w:tcBorders>
              <w:bottom w:val="single" w:sz="6" w:space="0" w:color="001F5F"/>
            </w:tcBorders>
          </w:tcPr>
          <w:p w:rsidR="00A56FE9" w:rsidRDefault="00A56FE9">
            <w:pPr>
              <w:pStyle w:val="TableParagraph"/>
              <w:spacing w:before="4"/>
              <w:rPr>
                <w:b/>
                <w:sz w:val="21"/>
              </w:rPr>
            </w:pPr>
          </w:p>
          <w:p w:rsidR="00A56FE9" w:rsidRDefault="00000000">
            <w:pPr>
              <w:pStyle w:val="TableParagraph"/>
              <w:ind w:right="13"/>
              <w:jc w:val="center"/>
              <w:rPr>
                <w:rFonts w:ascii="Wingdings" w:hAnsi="Wingdings"/>
                <w:sz w:val="18"/>
              </w:rPr>
            </w:pPr>
            <w:r>
              <w:rPr>
                <w:rFonts w:ascii="Wingdings" w:hAnsi="Wingdings"/>
                <w:color w:val="BE8F00"/>
                <w:sz w:val="18"/>
              </w:rPr>
              <w:t></w:t>
            </w:r>
          </w:p>
        </w:tc>
        <w:tc>
          <w:tcPr>
            <w:tcW w:w="567" w:type="dxa"/>
            <w:tcBorders>
              <w:bottom w:val="single" w:sz="6" w:space="0" w:color="001F5F"/>
            </w:tcBorders>
          </w:tcPr>
          <w:p w:rsidR="00A56FE9" w:rsidRDefault="00A56FE9">
            <w:pPr>
              <w:pStyle w:val="TableParagraph"/>
              <w:rPr>
                <w:sz w:val="18"/>
              </w:rPr>
            </w:pPr>
          </w:p>
        </w:tc>
        <w:tc>
          <w:tcPr>
            <w:tcW w:w="566" w:type="dxa"/>
            <w:tcBorders>
              <w:bottom w:val="single" w:sz="6" w:space="0" w:color="001F5F"/>
            </w:tcBorders>
          </w:tcPr>
          <w:p w:rsidR="00A56FE9" w:rsidRDefault="00A56FE9">
            <w:pPr>
              <w:pStyle w:val="TableParagraph"/>
              <w:rPr>
                <w:sz w:val="18"/>
              </w:rPr>
            </w:pPr>
          </w:p>
        </w:tc>
        <w:tc>
          <w:tcPr>
            <w:tcW w:w="566" w:type="dxa"/>
            <w:tcBorders>
              <w:bottom w:val="single" w:sz="6" w:space="0" w:color="001F5F"/>
            </w:tcBorders>
          </w:tcPr>
          <w:p w:rsidR="00A56FE9" w:rsidRDefault="00A56FE9">
            <w:pPr>
              <w:pStyle w:val="TableParagraph"/>
              <w:rPr>
                <w:sz w:val="18"/>
              </w:rPr>
            </w:pPr>
          </w:p>
        </w:tc>
        <w:tc>
          <w:tcPr>
            <w:tcW w:w="532" w:type="dxa"/>
            <w:tcBorders>
              <w:bottom w:val="single" w:sz="6" w:space="0" w:color="001F5F"/>
            </w:tcBorders>
          </w:tcPr>
          <w:p w:rsidR="00A56FE9" w:rsidRDefault="00A56FE9">
            <w:pPr>
              <w:pStyle w:val="TableParagraph"/>
              <w:rPr>
                <w:sz w:val="18"/>
              </w:rPr>
            </w:pPr>
          </w:p>
        </w:tc>
        <w:tc>
          <w:tcPr>
            <w:tcW w:w="990" w:type="dxa"/>
            <w:tcBorders>
              <w:bottom w:val="single" w:sz="6" w:space="0" w:color="001F5F"/>
            </w:tcBorders>
          </w:tcPr>
          <w:p w:rsidR="00A56FE9" w:rsidRDefault="00A56FE9">
            <w:pPr>
              <w:pStyle w:val="TableParagraph"/>
              <w:rPr>
                <w:sz w:val="18"/>
              </w:rPr>
            </w:pPr>
          </w:p>
        </w:tc>
        <w:tc>
          <w:tcPr>
            <w:tcW w:w="810" w:type="dxa"/>
            <w:tcBorders>
              <w:bottom w:val="single" w:sz="6" w:space="0" w:color="001F5F"/>
              <w:right w:val="nil"/>
            </w:tcBorders>
          </w:tcPr>
          <w:p w:rsidR="00A56FE9" w:rsidRDefault="00A56FE9">
            <w:pPr>
              <w:pStyle w:val="TableParagraph"/>
              <w:rPr>
                <w:sz w:val="18"/>
              </w:rPr>
            </w:pPr>
          </w:p>
        </w:tc>
      </w:tr>
      <w:tr w:rsidR="00A56FE9">
        <w:trPr>
          <w:trHeight w:val="477"/>
        </w:trPr>
        <w:tc>
          <w:tcPr>
            <w:tcW w:w="3308" w:type="dxa"/>
            <w:tcBorders>
              <w:top w:val="single" w:sz="6" w:space="0" w:color="001F5F"/>
              <w:left w:val="nil"/>
            </w:tcBorders>
            <w:shd w:val="clear" w:color="auto" w:fill="F1F1F1"/>
          </w:tcPr>
          <w:p w:rsidR="00A56FE9" w:rsidRDefault="00000000">
            <w:pPr>
              <w:pStyle w:val="TableParagraph"/>
              <w:ind w:left="108" w:right="675"/>
              <w:rPr>
                <w:sz w:val="20"/>
              </w:rPr>
            </w:pPr>
            <w:r>
              <w:rPr>
                <w:b/>
                <w:sz w:val="20"/>
              </w:rPr>
              <w:t xml:space="preserve">5. </w:t>
            </w:r>
            <w:r>
              <w:rPr>
                <w:sz w:val="20"/>
              </w:rPr>
              <w:t>Achieve gender equality and</w:t>
            </w:r>
            <w:r>
              <w:rPr>
                <w:spacing w:val="-47"/>
                <w:sz w:val="20"/>
              </w:rPr>
              <w:t xml:space="preserve"> </w:t>
            </w:r>
            <w:r>
              <w:rPr>
                <w:sz w:val="20"/>
              </w:rPr>
              <w:t>empower</w:t>
            </w:r>
            <w:r>
              <w:rPr>
                <w:spacing w:val="-2"/>
                <w:sz w:val="20"/>
              </w:rPr>
              <w:t xml:space="preserve"> </w:t>
            </w:r>
            <w:r>
              <w:rPr>
                <w:sz w:val="20"/>
              </w:rPr>
              <w:t>all</w:t>
            </w:r>
            <w:r>
              <w:rPr>
                <w:spacing w:val="-1"/>
                <w:sz w:val="20"/>
              </w:rPr>
              <w:t xml:space="preserve"> </w:t>
            </w:r>
            <w:r>
              <w:rPr>
                <w:sz w:val="20"/>
              </w:rPr>
              <w:t>women</w:t>
            </w:r>
            <w:r>
              <w:rPr>
                <w:spacing w:val="-3"/>
                <w:sz w:val="20"/>
              </w:rPr>
              <w:t xml:space="preserve"> </w:t>
            </w:r>
            <w:r>
              <w:rPr>
                <w:sz w:val="20"/>
              </w:rPr>
              <w:t>and</w:t>
            </w:r>
            <w:r>
              <w:rPr>
                <w:spacing w:val="-2"/>
                <w:sz w:val="20"/>
              </w:rPr>
              <w:t xml:space="preserve"> </w:t>
            </w:r>
            <w:r>
              <w:rPr>
                <w:sz w:val="20"/>
              </w:rPr>
              <w:t>girls</w:t>
            </w:r>
            <w:r>
              <w:rPr>
                <w:sz w:val="20"/>
                <w:vertAlign w:val="superscript"/>
              </w:rPr>
              <w:t>58</w:t>
            </w:r>
          </w:p>
        </w:tc>
        <w:tc>
          <w:tcPr>
            <w:tcW w:w="493" w:type="dxa"/>
            <w:tcBorders>
              <w:top w:val="single" w:sz="6" w:space="0" w:color="001F5F"/>
            </w:tcBorders>
          </w:tcPr>
          <w:p w:rsidR="00A56FE9" w:rsidRDefault="00A56FE9">
            <w:pPr>
              <w:pStyle w:val="TableParagraph"/>
              <w:rPr>
                <w:sz w:val="18"/>
              </w:rPr>
            </w:pPr>
          </w:p>
        </w:tc>
        <w:tc>
          <w:tcPr>
            <w:tcW w:w="420" w:type="dxa"/>
            <w:tcBorders>
              <w:top w:val="single" w:sz="6" w:space="0" w:color="001F5F"/>
            </w:tcBorders>
          </w:tcPr>
          <w:p w:rsidR="00A56FE9" w:rsidRDefault="00A56FE9">
            <w:pPr>
              <w:pStyle w:val="TableParagraph"/>
              <w:rPr>
                <w:sz w:val="18"/>
              </w:rPr>
            </w:pPr>
          </w:p>
        </w:tc>
        <w:tc>
          <w:tcPr>
            <w:tcW w:w="408" w:type="dxa"/>
            <w:tcBorders>
              <w:top w:val="single" w:sz="6" w:space="0" w:color="001F5F"/>
            </w:tcBorders>
          </w:tcPr>
          <w:p w:rsidR="00A56FE9" w:rsidRDefault="00A56FE9">
            <w:pPr>
              <w:pStyle w:val="TableParagraph"/>
              <w:rPr>
                <w:sz w:val="18"/>
              </w:rPr>
            </w:pPr>
          </w:p>
        </w:tc>
        <w:tc>
          <w:tcPr>
            <w:tcW w:w="353" w:type="dxa"/>
            <w:tcBorders>
              <w:top w:val="single" w:sz="6" w:space="0" w:color="001F5F"/>
            </w:tcBorders>
          </w:tcPr>
          <w:p w:rsidR="00A56FE9" w:rsidRDefault="00A56FE9">
            <w:pPr>
              <w:pStyle w:val="TableParagraph"/>
              <w:rPr>
                <w:sz w:val="18"/>
              </w:rPr>
            </w:pPr>
          </w:p>
        </w:tc>
        <w:tc>
          <w:tcPr>
            <w:tcW w:w="411" w:type="dxa"/>
            <w:tcBorders>
              <w:top w:val="single" w:sz="6" w:space="0" w:color="001F5F"/>
            </w:tcBorders>
          </w:tcPr>
          <w:p w:rsidR="00A56FE9" w:rsidRDefault="00A56FE9">
            <w:pPr>
              <w:pStyle w:val="TableParagraph"/>
              <w:rPr>
                <w:sz w:val="18"/>
              </w:rPr>
            </w:pPr>
          </w:p>
        </w:tc>
        <w:tc>
          <w:tcPr>
            <w:tcW w:w="411" w:type="dxa"/>
            <w:tcBorders>
              <w:top w:val="single" w:sz="6" w:space="0" w:color="001F5F"/>
            </w:tcBorders>
          </w:tcPr>
          <w:p w:rsidR="00A56FE9" w:rsidRDefault="00A56FE9">
            <w:pPr>
              <w:pStyle w:val="TableParagraph"/>
              <w:rPr>
                <w:sz w:val="18"/>
              </w:rPr>
            </w:pPr>
          </w:p>
        </w:tc>
        <w:tc>
          <w:tcPr>
            <w:tcW w:w="418" w:type="dxa"/>
            <w:tcBorders>
              <w:top w:val="single" w:sz="6" w:space="0" w:color="001F5F"/>
            </w:tcBorders>
          </w:tcPr>
          <w:p w:rsidR="00A56FE9" w:rsidRDefault="00A56FE9">
            <w:pPr>
              <w:pStyle w:val="TableParagraph"/>
              <w:rPr>
                <w:sz w:val="18"/>
              </w:rPr>
            </w:pPr>
          </w:p>
        </w:tc>
        <w:tc>
          <w:tcPr>
            <w:tcW w:w="459" w:type="dxa"/>
            <w:tcBorders>
              <w:top w:val="single" w:sz="6" w:space="0" w:color="001F5F"/>
            </w:tcBorders>
          </w:tcPr>
          <w:p w:rsidR="00A56FE9" w:rsidRDefault="00A56FE9">
            <w:pPr>
              <w:pStyle w:val="TableParagraph"/>
              <w:rPr>
                <w:sz w:val="18"/>
              </w:rPr>
            </w:pPr>
          </w:p>
        </w:tc>
        <w:tc>
          <w:tcPr>
            <w:tcW w:w="416" w:type="dxa"/>
            <w:tcBorders>
              <w:top w:val="single" w:sz="6" w:space="0" w:color="001F5F"/>
            </w:tcBorders>
          </w:tcPr>
          <w:p w:rsidR="00A56FE9" w:rsidRDefault="00A56FE9">
            <w:pPr>
              <w:pStyle w:val="TableParagraph"/>
              <w:rPr>
                <w:sz w:val="18"/>
              </w:rPr>
            </w:pPr>
          </w:p>
        </w:tc>
        <w:tc>
          <w:tcPr>
            <w:tcW w:w="413" w:type="dxa"/>
            <w:tcBorders>
              <w:top w:val="single" w:sz="6" w:space="0" w:color="001F5F"/>
            </w:tcBorders>
          </w:tcPr>
          <w:p w:rsidR="00A56FE9" w:rsidRDefault="00A56FE9">
            <w:pPr>
              <w:pStyle w:val="TableParagraph"/>
              <w:rPr>
                <w:sz w:val="18"/>
              </w:rPr>
            </w:pPr>
          </w:p>
        </w:tc>
        <w:tc>
          <w:tcPr>
            <w:tcW w:w="351" w:type="dxa"/>
            <w:tcBorders>
              <w:top w:val="single" w:sz="6" w:space="0" w:color="001F5F"/>
            </w:tcBorders>
          </w:tcPr>
          <w:p w:rsidR="00A56FE9" w:rsidRDefault="00A56FE9">
            <w:pPr>
              <w:pStyle w:val="TableParagraph"/>
              <w:rPr>
                <w:sz w:val="18"/>
              </w:rPr>
            </w:pPr>
          </w:p>
        </w:tc>
        <w:tc>
          <w:tcPr>
            <w:tcW w:w="363" w:type="dxa"/>
            <w:tcBorders>
              <w:top w:val="single" w:sz="6" w:space="0" w:color="001F5F"/>
            </w:tcBorders>
          </w:tcPr>
          <w:p w:rsidR="00A56FE9" w:rsidRDefault="00A56FE9">
            <w:pPr>
              <w:pStyle w:val="TableParagraph"/>
              <w:rPr>
                <w:sz w:val="18"/>
              </w:rPr>
            </w:pPr>
          </w:p>
        </w:tc>
        <w:tc>
          <w:tcPr>
            <w:tcW w:w="351" w:type="dxa"/>
            <w:tcBorders>
              <w:top w:val="single" w:sz="6" w:space="0" w:color="001F5F"/>
            </w:tcBorders>
          </w:tcPr>
          <w:p w:rsidR="00A56FE9" w:rsidRDefault="00A56FE9">
            <w:pPr>
              <w:pStyle w:val="TableParagraph"/>
              <w:rPr>
                <w:sz w:val="18"/>
              </w:rPr>
            </w:pPr>
          </w:p>
        </w:tc>
        <w:tc>
          <w:tcPr>
            <w:tcW w:w="358" w:type="dxa"/>
            <w:tcBorders>
              <w:top w:val="single" w:sz="6" w:space="0" w:color="001F5F"/>
            </w:tcBorders>
          </w:tcPr>
          <w:p w:rsidR="00A56FE9" w:rsidRDefault="00A56FE9">
            <w:pPr>
              <w:pStyle w:val="TableParagraph"/>
              <w:rPr>
                <w:sz w:val="18"/>
              </w:rPr>
            </w:pPr>
          </w:p>
        </w:tc>
        <w:tc>
          <w:tcPr>
            <w:tcW w:w="425" w:type="dxa"/>
            <w:tcBorders>
              <w:top w:val="single" w:sz="6" w:space="0" w:color="001F5F"/>
            </w:tcBorders>
          </w:tcPr>
          <w:p w:rsidR="00A56FE9" w:rsidRDefault="00A56FE9">
            <w:pPr>
              <w:pStyle w:val="TableParagraph"/>
              <w:rPr>
                <w:sz w:val="18"/>
              </w:rPr>
            </w:pPr>
          </w:p>
        </w:tc>
        <w:tc>
          <w:tcPr>
            <w:tcW w:w="569" w:type="dxa"/>
            <w:tcBorders>
              <w:top w:val="single" w:sz="6" w:space="0" w:color="001F5F"/>
            </w:tcBorders>
          </w:tcPr>
          <w:p w:rsidR="00A56FE9" w:rsidRDefault="00A56FE9">
            <w:pPr>
              <w:pStyle w:val="TableParagraph"/>
              <w:rPr>
                <w:sz w:val="18"/>
              </w:rPr>
            </w:pPr>
          </w:p>
        </w:tc>
        <w:tc>
          <w:tcPr>
            <w:tcW w:w="567" w:type="dxa"/>
            <w:tcBorders>
              <w:top w:val="single" w:sz="6" w:space="0" w:color="001F5F"/>
            </w:tcBorders>
          </w:tcPr>
          <w:p w:rsidR="00A56FE9" w:rsidRDefault="00A56FE9">
            <w:pPr>
              <w:pStyle w:val="TableParagraph"/>
              <w:rPr>
                <w:sz w:val="18"/>
              </w:rPr>
            </w:pPr>
          </w:p>
        </w:tc>
        <w:tc>
          <w:tcPr>
            <w:tcW w:w="566" w:type="dxa"/>
            <w:tcBorders>
              <w:top w:val="single" w:sz="6" w:space="0" w:color="001F5F"/>
            </w:tcBorders>
          </w:tcPr>
          <w:p w:rsidR="00A56FE9" w:rsidRDefault="00A56FE9">
            <w:pPr>
              <w:pStyle w:val="TableParagraph"/>
              <w:rPr>
                <w:sz w:val="18"/>
              </w:rPr>
            </w:pPr>
          </w:p>
        </w:tc>
        <w:tc>
          <w:tcPr>
            <w:tcW w:w="566" w:type="dxa"/>
            <w:tcBorders>
              <w:top w:val="single" w:sz="6" w:space="0" w:color="001F5F"/>
            </w:tcBorders>
          </w:tcPr>
          <w:p w:rsidR="00A56FE9" w:rsidRDefault="00A56FE9">
            <w:pPr>
              <w:pStyle w:val="TableParagraph"/>
              <w:rPr>
                <w:sz w:val="18"/>
              </w:rPr>
            </w:pPr>
          </w:p>
        </w:tc>
        <w:tc>
          <w:tcPr>
            <w:tcW w:w="532" w:type="dxa"/>
            <w:tcBorders>
              <w:top w:val="single" w:sz="6" w:space="0" w:color="001F5F"/>
            </w:tcBorders>
          </w:tcPr>
          <w:p w:rsidR="00A56FE9" w:rsidRDefault="00000000">
            <w:pPr>
              <w:pStyle w:val="TableParagraph"/>
              <w:spacing w:before="128"/>
              <w:ind w:right="13"/>
              <w:jc w:val="center"/>
              <w:rPr>
                <w:rFonts w:ascii="Wingdings" w:hAnsi="Wingdings"/>
                <w:sz w:val="18"/>
              </w:rPr>
            </w:pPr>
            <w:r>
              <w:rPr>
                <w:rFonts w:ascii="Wingdings" w:hAnsi="Wingdings"/>
                <w:color w:val="FFCC00"/>
                <w:sz w:val="18"/>
              </w:rPr>
              <w:t></w:t>
            </w:r>
          </w:p>
        </w:tc>
        <w:tc>
          <w:tcPr>
            <w:tcW w:w="990" w:type="dxa"/>
            <w:tcBorders>
              <w:top w:val="single" w:sz="6" w:space="0" w:color="001F5F"/>
            </w:tcBorders>
          </w:tcPr>
          <w:p w:rsidR="00A56FE9" w:rsidRDefault="00A56FE9">
            <w:pPr>
              <w:pStyle w:val="TableParagraph"/>
              <w:rPr>
                <w:sz w:val="18"/>
              </w:rPr>
            </w:pPr>
          </w:p>
        </w:tc>
        <w:tc>
          <w:tcPr>
            <w:tcW w:w="810" w:type="dxa"/>
            <w:tcBorders>
              <w:top w:val="single" w:sz="6" w:space="0" w:color="001F5F"/>
              <w:right w:val="nil"/>
            </w:tcBorders>
          </w:tcPr>
          <w:p w:rsidR="00A56FE9" w:rsidRDefault="00A56FE9">
            <w:pPr>
              <w:pStyle w:val="TableParagraph"/>
              <w:rPr>
                <w:sz w:val="18"/>
              </w:rPr>
            </w:pPr>
          </w:p>
        </w:tc>
      </w:tr>
      <w:tr w:rsidR="00A56FE9">
        <w:trPr>
          <w:trHeight w:val="710"/>
        </w:trPr>
        <w:tc>
          <w:tcPr>
            <w:tcW w:w="3308" w:type="dxa"/>
            <w:tcBorders>
              <w:left w:val="nil"/>
            </w:tcBorders>
            <w:shd w:val="clear" w:color="auto" w:fill="F1F1F1"/>
          </w:tcPr>
          <w:p w:rsidR="00A56FE9" w:rsidRDefault="00000000">
            <w:pPr>
              <w:pStyle w:val="TableParagraph"/>
              <w:ind w:left="108" w:right="206"/>
              <w:rPr>
                <w:sz w:val="20"/>
              </w:rPr>
            </w:pPr>
            <w:r>
              <w:rPr>
                <w:b/>
                <w:sz w:val="20"/>
              </w:rPr>
              <w:t>6.</w:t>
            </w:r>
            <w:r>
              <w:rPr>
                <w:b/>
                <w:spacing w:val="-2"/>
                <w:sz w:val="20"/>
              </w:rPr>
              <w:t xml:space="preserve"> </w:t>
            </w:r>
            <w:r>
              <w:rPr>
                <w:sz w:val="20"/>
              </w:rPr>
              <w:t>Ensure</w:t>
            </w:r>
            <w:r>
              <w:rPr>
                <w:spacing w:val="-3"/>
                <w:sz w:val="20"/>
              </w:rPr>
              <w:t xml:space="preserve"> </w:t>
            </w:r>
            <w:r>
              <w:rPr>
                <w:sz w:val="20"/>
              </w:rPr>
              <w:t>availability</w:t>
            </w:r>
            <w:r>
              <w:rPr>
                <w:spacing w:val="-7"/>
                <w:sz w:val="20"/>
              </w:rPr>
              <w:t xml:space="preserve"> </w:t>
            </w:r>
            <w:r>
              <w:rPr>
                <w:sz w:val="20"/>
              </w:rPr>
              <w:t>and</w:t>
            </w:r>
            <w:r>
              <w:rPr>
                <w:spacing w:val="-2"/>
                <w:sz w:val="20"/>
              </w:rPr>
              <w:t xml:space="preserve"> </w:t>
            </w:r>
            <w:r>
              <w:rPr>
                <w:sz w:val="20"/>
              </w:rPr>
              <w:t>sustainable</w:t>
            </w:r>
            <w:r>
              <w:rPr>
                <w:spacing w:val="-47"/>
                <w:sz w:val="20"/>
              </w:rPr>
              <w:t xml:space="preserve"> </w:t>
            </w:r>
            <w:r>
              <w:rPr>
                <w:sz w:val="20"/>
              </w:rPr>
              <w:t>management of water and sanitation</w:t>
            </w:r>
            <w:r>
              <w:rPr>
                <w:spacing w:val="1"/>
                <w:sz w:val="20"/>
              </w:rPr>
              <w:t xml:space="preserve"> </w:t>
            </w:r>
            <w:r>
              <w:rPr>
                <w:sz w:val="20"/>
              </w:rPr>
              <w:t>for</w:t>
            </w:r>
            <w:r>
              <w:rPr>
                <w:spacing w:val="-1"/>
                <w:sz w:val="20"/>
              </w:rPr>
              <w:t xml:space="preserve"> </w:t>
            </w:r>
            <w:r>
              <w:rPr>
                <w:sz w:val="20"/>
              </w:rPr>
              <w:t>all</w:t>
            </w:r>
          </w:p>
        </w:tc>
        <w:tc>
          <w:tcPr>
            <w:tcW w:w="493" w:type="dxa"/>
          </w:tcPr>
          <w:p w:rsidR="00A56FE9" w:rsidRDefault="00A56FE9">
            <w:pPr>
              <w:pStyle w:val="TableParagraph"/>
              <w:rPr>
                <w:sz w:val="18"/>
              </w:rPr>
            </w:pPr>
          </w:p>
        </w:tc>
        <w:tc>
          <w:tcPr>
            <w:tcW w:w="420" w:type="dxa"/>
          </w:tcPr>
          <w:p w:rsidR="00A56FE9" w:rsidRDefault="00A56FE9">
            <w:pPr>
              <w:pStyle w:val="TableParagraph"/>
              <w:spacing w:before="4"/>
              <w:rPr>
                <w:b/>
                <w:sz w:val="21"/>
              </w:rPr>
            </w:pPr>
          </w:p>
          <w:p w:rsidR="00A56FE9" w:rsidRDefault="00000000">
            <w:pPr>
              <w:pStyle w:val="TableParagraph"/>
              <w:ind w:left="135"/>
              <w:rPr>
                <w:rFonts w:ascii="Wingdings" w:hAnsi="Wingdings"/>
                <w:sz w:val="18"/>
              </w:rPr>
            </w:pPr>
            <w:r>
              <w:rPr>
                <w:rFonts w:ascii="Wingdings" w:hAnsi="Wingdings"/>
                <w:color w:val="006FC0"/>
                <w:sz w:val="18"/>
              </w:rPr>
              <w:t></w:t>
            </w:r>
          </w:p>
        </w:tc>
        <w:tc>
          <w:tcPr>
            <w:tcW w:w="408" w:type="dxa"/>
          </w:tcPr>
          <w:p w:rsidR="00A56FE9" w:rsidRDefault="00A56FE9">
            <w:pPr>
              <w:pStyle w:val="TableParagraph"/>
              <w:spacing w:before="4"/>
              <w:rPr>
                <w:b/>
                <w:sz w:val="21"/>
              </w:rPr>
            </w:pPr>
          </w:p>
          <w:p w:rsidR="00A56FE9" w:rsidRDefault="00000000">
            <w:pPr>
              <w:pStyle w:val="TableParagraph"/>
              <w:ind w:left="128"/>
              <w:rPr>
                <w:rFonts w:ascii="Wingdings" w:hAnsi="Wingdings"/>
                <w:sz w:val="18"/>
              </w:rPr>
            </w:pPr>
            <w:r>
              <w:rPr>
                <w:rFonts w:ascii="Wingdings" w:hAnsi="Wingdings"/>
                <w:color w:val="006FC0"/>
                <w:sz w:val="18"/>
              </w:rPr>
              <w:t></w:t>
            </w: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A56FE9">
            <w:pPr>
              <w:pStyle w:val="TableParagraph"/>
              <w:rPr>
                <w:sz w:val="18"/>
              </w:rPr>
            </w:pP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rPr>
                <w:sz w:val="18"/>
              </w:rPr>
            </w:pPr>
          </w:p>
        </w:tc>
      </w:tr>
      <w:tr w:rsidR="00A56FE9">
        <w:trPr>
          <w:trHeight w:val="710"/>
        </w:trPr>
        <w:tc>
          <w:tcPr>
            <w:tcW w:w="3308" w:type="dxa"/>
            <w:tcBorders>
              <w:left w:val="nil"/>
            </w:tcBorders>
            <w:shd w:val="clear" w:color="auto" w:fill="F1F1F1"/>
          </w:tcPr>
          <w:p w:rsidR="00A56FE9" w:rsidRDefault="00000000">
            <w:pPr>
              <w:pStyle w:val="TableParagraph"/>
              <w:ind w:left="108" w:right="605"/>
              <w:rPr>
                <w:sz w:val="20"/>
              </w:rPr>
            </w:pPr>
            <w:r>
              <w:rPr>
                <w:b/>
                <w:sz w:val="20"/>
              </w:rPr>
              <w:t xml:space="preserve">7. </w:t>
            </w:r>
            <w:r>
              <w:rPr>
                <w:sz w:val="20"/>
              </w:rPr>
              <w:t>Ensure access to affordable,</w:t>
            </w:r>
            <w:r>
              <w:rPr>
                <w:spacing w:val="1"/>
                <w:sz w:val="20"/>
              </w:rPr>
              <w:t xml:space="preserve"> </w:t>
            </w:r>
            <w:r>
              <w:rPr>
                <w:sz w:val="20"/>
              </w:rPr>
              <w:t>reliable,</w:t>
            </w:r>
            <w:r>
              <w:rPr>
                <w:spacing w:val="-7"/>
                <w:sz w:val="20"/>
              </w:rPr>
              <w:t xml:space="preserve"> </w:t>
            </w:r>
            <w:r>
              <w:rPr>
                <w:sz w:val="20"/>
              </w:rPr>
              <w:t>sustainable</w:t>
            </w:r>
            <w:r>
              <w:rPr>
                <w:spacing w:val="-7"/>
                <w:sz w:val="20"/>
              </w:rPr>
              <w:t xml:space="preserve"> </w:t>
            </w:r>
            <w:r>
              <w:rPr>
                <w:sz w:val="20"/>
              </w:rPr>
              <w:t>and</w:t>
            </w:r>
            <w:r>
              <w:rPr>
                <w:spacing w:val="-4"/>
                <w:sz w:val="20"/>
              </w:rPr>
              <w:t xml:space="preserve"> </w:t>
            </w:r>
            <w:r>
              <w:rPr>
                <w:sz w:val="20"/>
              </w:rPr>
              <w:t>modern</w:t>
            </w:r>
            <w:r>
              <w:rPr>
                <w:spacing w:val="-47"/>
                <w:sz w:val="20"/>
              </w:rPr>
              <w:t xml:space="preserve"> </w:t>
            </w:r>
            <w:r>
              <w:rPr>
                <w:sz w:val="20"/>
              </w:rPr>
              <w:t>energy</w:t>
            </w:r>
            <w:r>
              <w:rPr>
                <w:spacing w:val="-2"/>
                <w:sz w:val="20"/>
              </w:rPr>
              <w:t xml:space="preserve"> </w:t>
            </w:r>
            <w:r>
              <w:rPr>
                <w:sz w:val="20"/>
              </w:rPr>
              <w:t>for all</w:t>
            </w:r>
          </w:p>
        </w:tc>
        <w:tc>
          <w:tcPr>
            <w:tcW w:w="493" w:type="dxa"/>
          </w:tcPr>
          <w:p w:rsidR="00A56FE9" w:rsidRDefault="00A56FE9">
            <w:pPr>
              <w:pStyle w:val="TableParagraph"/>
              <w:spacing w:before="4"/>
              <w:rPr>
                <w:b/>
                <w:sz w:val="21"/>
              </w:rPr>
            </w:pPr>
          </w:p>
          <w:p w:rsidR="00A56FE9" w:rsidRDefault="00000000">
            <w:pPr>
              <w:pStyle w:val="TableParagraph"/>
              <w:ind w:right="1"/>
              <w:jc w:val="center"/>
              <w:rPr>
                <w:rFonts w:ascii="Wingdings" w:hAnsi="Wingdings"/>
                <w:sz w:val="18"/>
              </w:rPr>
            </w:pPr>
            <w:r>
              <w:rPr>
                <w:rFonts w:ascii="Wingdings" w:hAnsi="Wingdings"/>
                <w:color w:val="006FC0"/>
                <w:sz w:val="18"/>
              </w:rPr>
              <w:t></w:t>
            </w:r>
          </w:p>
        </w:tc>
        <w:tc>
          <w:tcPr>
            <w:tcW w:w="420" w:type="dxa"/>
          </w:tcPr>
          <w:p w:rsidR="00A56FE9" w:rsidRDefault="00A56FE9">
            <w:pPr>
              <w:pStyle w:val="TableParagraph"/>
              <w:rPr>
                <w:sz w:val="18"/>
              </w:rPr>
            </w:pP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A56FE9">
            <w:pPr>
              <w:pStyle w:val="TableParagraph"/>
              <w:rPr>
                <w:sz w:val="18"/>
              </w:rPr>
            </w:pP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spacing w:before="4"/>
              <w:rPr>
                <w:b/>
                <w:sz w:val="21"/>
              </w:rPr>
            </w:pPr>
          </w:p>
          <w:p w:rsidR="00A56FE9" w:rsidRDefault="00000000">
            <w:pPr>
              <w:pStyle w:val="TableParagraph"/>
              <w:ind w:left="325"/>
              <w:rPr>
                <w:rFonts w:ascii="Wingdings" w:hAnsi="Wingdings"/>
                <w:sz w:val="18"/>
              </w:rPr>
            </w:pPr>
            <w:r>
              <w:rPr>
                <w:rFonts w:ascii="Wingdings" w:hAnsi="Wingdings"/>
                <w:color w:val="006FC0"/>
                <w:sz w:val="18"/>
              </w:rPr>
              <w:t></w:t>
            </w:r>
          </w:p>
        </w:tc>
      </w:tr>
      <w:tr w:rsidR="00A56FE9">
        <w:trPr>
          <w:trHeight w:val="938"/>
        </w:trPr>
        <w:tc>
          <w:tcPr>
            <w:tcW w:w="3308" w:type="dxa"/>
            <w:tcBorders>
              <w:left w:val="nil"/>
            </w:tcBorders>
            <w:shd w:val="clear" w:color="auto" w:fill="F1F1F1"/>
          </w:tcPr>
          <w:p w:rsidR="00A56FE9" w:rsidRDefault="00000000">
            <w:pPr>
              <w:pStyle w:val="TableParagraph"/>
              <w:ind w:left="108" w:right="142"/>
              <w:rPr>
                <w:sz w:val="20"/>
              </w:rPr>
            </w:pPr>
            <w:r>
              <w:rPr>
                <w:b/>
                <w:sz w:val="20"/>
              </w:rPr>
              <w:t xml:space="preserve">8. </w:t>
            </w:r>
            <w:r>
              <w:rPr>
                <w:sz w:val="20"/>
              </w:rPr>
              <w:t>Promote sustained, inclusive and</w:t>
            </w:r>
            <w:r>
              <w:rPr>
                <w:spacing w:val="1"/>
                <w:sz w:val="20"/>
              </w:rPr>
              <w:t xml:space="preserve"> </w:t>
            </w:r>
            <w:r>
              <w:rPr>
                <w:sz w:val="20"/>
              </w:rPr>
              <w:t>sustainable</w:t>
            </w:r>
            <w:r>
              <w:rPr>
                <w:spacing w:val="-5"/>
                <w:sz w:val="20"/>
              </w:rPr>
              <w:t xml:space="preserve"> </w:t>
            </w:r>
            <w:r>
              <w:rPr>
                <w:sz w:val="20"/>
              </w:rPr>
              <w:t>economic</w:t>
            </w:r>
            <w:r>
              <w:rPr>
                <w:spacing w:val="-3"/>
                <w:sz w:val="20"/>
              </w:rPr>
              <w:t xml:space="preserve"> </w:t>
            </w:r>
            <w:r>
              <w:rPr>
                <w:sz w:val="20"/>
              </w:rPr>
              <w:t>growth,</w:t>
            </w:r>
            <w:r>
              <w:rPr>
                <w:spacing w:val="-3"/>
                <w:sz w:val="20"/>
              </w:rPr>
              <w:t xml:space="preserve"> </w:t>
            </w:r>
            <w:r>
              <w:rPr>
                <w:sz w:val="20"/>
              </w:rPr>
              <w:t>full</w:t>
            </w:r>
            <w:r>
              <w:rPr>
                <w:spacing w:val="-6"/>
                <w:sz w:val="20"/>
              </w:rPr>
              <w:t xml:space="preserve"> </w:t>
            </w:r>
            <w:r>
              <w:rPr>
                <w:sz w:val="20"/>
              </w:rPr>
              <w:t>and</w:t>
            </w:r>
            <w:r>
              <w:rPr>
                <w:spacing w:val="-47"/>
                <w:sz w:val="20"/>
              </w:rPr>
              <w:t xml:space="preserve"> </w:t>
            </w:r>
            <w:r>
              <w:rPr>
                <w:sz w:val="20"/>
              </w:rPr>
              <w:t>productive employment and decent</w:t>
            </w:r>
            <w:r>
              <w:rPr>
                <w:spacing w:val="1"/>
                <w:sz w:val="20"/>
              </w:rPr>
              <w:t xml:space="preserve"> </w:t>
            </w:r>
            <w:r>
              <w:rPr>
                <w:sz w:val="20"/>
              </w:rPr>
              <w:t>work for all</w:t>
            </w:r>
          </w:p>
        </w:tc>
        <w:tc>
          <w:tcPr>
            <w:tcW w:w="493" w:type="dxa"/>
          </w:tcPr>
          <w:p w:rsidR="00A56FE9" w:rsidRDefault="00A56FE9">
            <w:pPr>
              <w:pStyle w:val="TableParagraph"/>
              <w:rPr>
                <w:b/>
                <w:sz w:val="20"/>
              </w:rPr>
            </w:pPr>
          </w:p>
          <w:p w:rsidR="00A56FE9" w:rsidRDefault="00000000">
            <w:pPr>
              <w:pStyle w:val="TableParagraph"/>
              <w:spacing w:before="131"/>
              <w:ind w:right="1"/>
              <w:jc w:val="center"/>
              <w:rPr>
                <w:rFonts w:ascii="Wingdings" w:hAnsi="Wingdings"/>
                <w:sz w:val="18"/>
              </w:rPr>
            </w:pPr>
            <w:r>
              <w:rPr>
                <w:rFonts w:ascii="Wingdings" w:hAnsi="Wingdings"/>
                <w:color w:val="006FC0"/>
                <w:sz w:val="18"/>
              </w:rPr>
              <w:t></w:t>
            </w:r>
          </w:p>
        </w:tc>
        <w:tc>
          <w:tcPr>
            <w:tcW w:w="420" w:type="dxa"/>
          </w:tcPr>
          <w:p w:rsidR="00A56FE9" w:rsidRDefault="00A56FE9">
            <w:pPr>
              <w:pStyle w:val="TableParagraph"/>
              <w:rPr>
                <w:sz w:val="18"/>
              </w:rPr>
            </w:pP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b/>
                <w:sz w:val="20"/>
              </w:rPr>
            </w:pPr>
          </w:p>
          <w:p w:rsidR="00A56FE9" w:rsidRDefault="00000000">
            <w:pPr>
              <w:pStyle w:val="TableParagraph"/>
              <w:spacing w:before="131"/>
              <w:ind w:left="130"/>
              <w:rPr>
                <w:rFonts w:ascii="Wingdings" w:hAnsi="Wingdings"/>
                <w:sz w:val="18"/>
              </w:rPr>
            </w:pPr>
            <w:r>
              <w:rPr>
                <w:rFonts w:ascii="Wingdings" w:hAnsi="Wingdings"/>
                <w:color w:val="006FC0"/>
                <w:sz w:val="18"/>
              </w:rPr>
              <w:t></w:t>
            </w:r>
          </w:p>
        </w:tc>
        <w:tc>
          <w:tcPr>
            <w:tcW w:w="418" w:type="dxa"/>
          </w:tcPr>
          <w:p w:rsidR="00A56FE9" w:rsidRDefault="00A56FE9">
            <w:pPr>
              <w:pStyle w:val="TableParagraph"/>
              <w:rPr>
                <w:sz w:val="18"/>
              </w:rPr>
            </w:pPr>
          </w:p>
        </w:tc>
        <w:tc>
          <w:tcPr>
            <w:tcW w:w="459" w:type="dxa"/>
          </w:tcPr>
          <w:p w:rsidR="00A56FE9" w:rsidRDefault="00A56FE9">
            <w:pPr>
              <w:pStyle w:val="TableParagraph"/>
              <w:rPr>
                <w:sz w:val="18"/>
              </w:rPr>
            </w:pP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b/>
                <w:sz w:val="20"/>
              </w:rPr>
            </w:pPr>
          </w:p>
          <w:p w:rsidR="00A56FE9" w:rsidRDefault="00000000">
            <w:pPr>
              <w:pStyle w:val="TableParagraph"/>
              <w:spacing w:before="131"/>
              <w:ind w:right="217"/>
              <w:jc w:val="right"/>
              <w:rPr>
                <w:rFonts w:ascii="Wingdings" w:hAnsi="Wingdings"/>
                <w:sz w:val="18"/>
              </w:rPr>
            </w:pPr>
            <w:r>
              <w:rPr>
                <w:rFonts w:ascii="Wingdings" w:hAnsi="Wingdings"/>
                <w:color w:val="BE8F00"/>
                <w:sz w:val="18"/>
              </w:rPr>
              <w:t></w:t>
            </w:r>
          </w:p>
        </w:tc>
        <w:tc>
          <w:tcPr>
            <w:tcW w:w="566" w:type="dxa"/>
          </w:tcPr>
          <w:p w:rsidR="00A56FE9" w:rsidRDefault="00A56FE9">
            <w:pPr>
              <w:pStyle w:val="TableParagraph"/>
              <w:rPr>
                <w:b/>
                <w:sz w:val="20"/>
              </w:rPr>
            </w:pPr>
          </w:p>
          <w:p w:rsidR="00A56FE9" w:rsidRDefault="00000000">
            <w:pPr>
              <w:pStyle w:val="TableParagraph"/>
              <w:spacing w:before="131"/>
              <w:ind w:right="10"/>
              <w:jc w:val="center"/>
              <w:rPr>
                <w:rFonts w:ascii="Wingdings" w:hAnsi="Wingdings"/>
                <w:sz w:val="18"/>
              </w:rPr>
            </w:pPr>
            <w:r>
              <w:rPr>
                <w:rFonts w:ascii="Wingdings" w:hAnsi="Wingdings"/>
                <w:color w:val="FFCC00"/>
                <w:sz w:val="18"/>
              </w:rPr>
              <w:t></w:t>
            </w:r>
          </w:p>
        </w:tc>
        <w:tc>
          <w:tcPr>
            <w:tcW w:w="566" w:type="dxa"/>
          </w:tcPr>
          <w:p w:rsidR="00A56FE9" w:rsidRDefault="00A56FE9">
            <w:pPr>
              <w:pStyle w:val="TableParagraph"/>
              <w:rPr>
                <w:sz w:val="18"/>
              </w:rPr>
            </w:pPr>
          </w:p>
        </w:tc>
        <w:tc>
          <w:tcPr>
            <w:tcW w:w="532" w:type="dxa"/>
          </w:tcPr>
          <w:p w:rsidR="00A56FE9" w:rsidRDefault="00A56FE9">
            <w:pPr>
              <w:pStyle w:val="TableParagraph"/>
              <w:rPr>
                <w:b/>
                <w:sz w:val="20"/>
              </w:rPr>
            </w:pPr>
          </w:p>
          <w:p w:rsidR="00A56FE9" w:rsidRDefault="00000000">
            <w:pPr>
              <w:pStyle w:val="TableParagraph"/>
              <w:spacing w:before="131"/>
              <w:ind w:right="13"/>
              <w:jc w:val="center"/>
              <w:rPr>
                <w:rFonts w:ascii="Wingdings" w:hAnsi="Wingdings"/>
                <w:sz w:val="18"/>
              </w:rPr>
            </w:pPr>
            <w:r>
              <w:rPr>
                <w:rFonts w:ascii="Wingdings" w:hAnsi="Wingdings"/>
                <w:color w:val="FFCC00"/>
                <w:sz w:val="18"/>
              </w:rPr>
              <w:t></w:t>
            </w: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rPr>
                <w:b/>
                <w:sz w:val="20"/>
              </w:rPr>
            </w:pPr>
          </w:p>
          <w:p w:rsidR="00A56FE9" w:rsidRDefault="00000000">
            <w:pPr>
              <w:pStyle w:val="TableParagraph"/>
              <w:spacing w:before="131"/>
              <w:ind w:left="325"/>
              <w:rPr>
                <w:rFonts w:ascii="Wingdings" w:hAnsi="Wingdings"/>
                <w:sz w:val="18"/>
              </w:rPr>
            </w:pPr>
            <w:r>
              <w:rPr>
                <w:rFonts w:ascii="Wingdings" w:hAnsi="Wingdings"/>
                <w:color w:val="006FC0"/>
                <w:sz w:val="18"/>
              </w:rPr>
              <w:t></w:t>
            </w:r>
          </w:p>
        </w:tc>
      </w:tr>
      <w:tr w:rsidR="00A56FE9">
        <w:trPr>
          <w:trHeight w:val="712"/>
        </w:trPr>
        <w:tc>
          <w:tcPr>
            <w:tcW w:w="3308" w:type="dxa"/>
            <w:tcBorders>
              <w:left w:val="nil"/>
            </w:tcBorders>
            <w:shd w:val="clear" w:color="auto" w:fill="F1F1F1"/>
          </w:tcPr>
          <w:p w:rsidR="00A56FE9" w:rsidRDefault="00000000">
            <w:pPr>
              <w:pStyle w:val="TableParagraph"/>
              <w:ind w:left="108" w:right="145"/>
              <w:rPr>
                <w:sz w:val="20"/>
              </w:rPr>
            </w:pPr>
            <w:r>
              <w:rPr>
                <w:b/>
                <w:sz w:val="20"/>
              </w:rPr>
              <w:t xml:space="preserve">9. </w:t>
            </w:r>
            <w:r>
              <w:rPr>
                <w:sz w:val="20"/>
              </w:rPr>
              <w:t>Build resilient infrastructure,</w:t>
            </w:r>
            <w:r>
              <w:rPr>
                <w:spacing w:val="1"/>
                <w:sz w:val="20"/>
              </w:rPr>
              <w:t xml:space="preserve"> </w:t>
            </w:r>
            <w:r>
              <w:rPr>
                <w:sz w:val="20"/>
              </w:rPr>
              <w:t>promote inclusive and sustainable</w:t>
            </w:r>
            <w:r>
              <w:rPr>
                <w:spacing w:val="1"/>
                <w:sz w:val="20"/>
              </w:rPr>
              <w:t xml:space="preserve"> </w:t>
            </w:r>
            <w:r>
              <w:rPr>
                <w:sz w:val="20"/>
              </w:rPr>
              <w:t>industrialization</w:t>
            </w:r>
            <w:r>
              <w:rPr>
                <w:spacing w:val="-8"/>
                <w:sz w:val="20"/>
              </w:rPr>
              <w:t xml:space="preserve"> </w:t>
            </w:r>
            <w:r>
              <w:rPr>
                <w:sz w:val="20"/>
              </w:rPr>
              <w:t>and</w:t>
            </w:r>
            <w:r>
              <w:rPr>
                <w:spacing w:val="-6"/>
                <w:sz w:val="20"/>
              </w:rPr>
              <w:t xml:space="preserve"> </w:t>
            </w:r>
            <w:r>
              <w:rPr>
                <w:sz w:val="20"/>
              </w:rPr>
              <w:t>foster</w:t>
            </w:r>
            <w:r>
              <w:rPr>
                <w:spacing w:val="-6"/>
                <w:sz w:val="20"/>
              </w:rPr>
              <w:t xml:space="preserve"> </w:t>
            </w:r>
            <w:r>
              <w:rPr>
                <w:sz w:val="20"/>
              </w:rPr>
              <w:t>innovation</w:t>
            </w:r>
          </w:p>
        </w:tc>
        <w:tc>
          <w:tcPr>
            <w:tcW w:w="493" w:type="dxa"/>
          </w:tcPr>
          <w:p w:rsidR="00A56FE9" w:rsidRDefault="00A56FE9">
            <w:pPr>
              <w:pStyle w:val="TableParagraph"/>
              <w:spacing w:before="6"/>
              <w:rPr>
                <w:b/>
                <w:sz w:val="21"/>
              </w:rPr>
            </w:pPr>
          </w:p>
          <w:p w:rsidR="00A56FE9" w:rsidRDefault="00000000">
            <w:pPr>
              <w:pStyle w:val="TableParagraph"/>
              <w:spacing w:before="1"/>
              <w:ind w:right="1"/>
              <w:jc w:val="center"/>
              <w:rPr>
                <w:rFonts w:ascii="Wingdings" w:hAnsi="Wingdings"/>
                <w:sz w:val="18"/>
              </w:rPr>
            </w:pPr>
            <w:r>
              <w:rPr>
                <w:rFonts w:ascii="Wingdings" w:hAnsi="Wingdings"/>
                <w:color w:val="006FC0"/>
                <w:sz w:val="18"/>
              </w:rPr>
              <w:t></w:t>
            </w:r>
          </w:p>
        </w:tc>
        <w:tc>
          <w:tcPr>
            <w:tcW w:w="420" w:type="dxa"/>
          </w:tcPr>
          <w:p w:rsidR="00A56FE9" w:rsidRDefault="00A56FE9">
            <w:pPr>
              <w:pStyle w:val="TableParagraph"/>
              <w:rPr>
                <w:sz w:val="18"/>
              </w:rPr>
            </w:pPr>
          </w:p>
        </w:tc>
        <w:tc>
          <w:tcPr>
            <w:tcW w:w="408" w:type="dxa"/>
          </w:tcPr>
          <w:p w:rsidR="00A56FE9" w:rsidRDefault="00A56FE9">
            <w:pPr>
              <w:pStyle w:val="TableParagraph"/>
              <w:rPr>
                <w:sz w:val="18"/>
              </w:rPr>
            </w:pPr>
          </w:p>
        </w:tc>
        <w:tc>
          <w:tcPr>
            <w:tcW w:w="353" w:type="dxa"/>
          </w:tcPr>
          <w:p w:rsidR="00A56FE9" w:rsidRDefault="00A56FE9">
            <w:pPr>
              <w:pStyle w:val="TableParagraph"/>
              <w:spacing w:before="6"/>
              <w:rPr>
                <w:b/>
                <w:sz w:val="21"/>
              </w:rPr>
            </w:pPr>
          </w:p>
          <w:p w:rsidR="00A56FE9" w:rsidRDefault="00000000">
            <w:pPr>
              <w:pStyle w:val="TableParagraph"/>
              <w:spacing w:before="1"/>
              <w:ind w:left="102"/>
              <w:rPr>
                <w:rFonts w:ascii="Wingdings" w:hAnsi="Wingdings"/>
                <w:sz w:val="18"/>
              </w:rPr>
            </w:pPr>
            <w:r>
              <w:rPr>
                <w:rFonts w:ascii="Wingdings" w:hAnsi="Wingdings"/>
                <w:color w:val="006FC0"/>
                <w:sz w:val="18"/>
              </w:rPr>
              <w:t></w:t>
            </w: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A56FE9">
            <w:pPr>
              <w:pStyle w:val="TableParagraph"/>
              <w:rPr>
                <w:sz w:val="18"/>
              </w:rPr>
            </w:pP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spacing w:before="6"/>
              <w:rPr>
                <w:b/>
                <w:sz w:val="21"/>
              </w:rPr>
            </w:pPr>
          </w:p>
          <w:p w:rsidR="00A56FE9" w:rsidRDefault="00000000">
            <w:pPr>
              <w:pStyle w:val="TableParagraph"/>
              <w:spacing w:before="1"/>
              <w:ind w:right="217"/>
              <w:jc w:val="right"/>
              <w:rPr>
                <w:rFonts w:ascii="Wingdings" w:hAnsi="Wingdings"/>
                <w:sz w:val="18"/>
              </w:rPr>
            </w:pPr>
            <w:r>
              <w:rPr>
                <w:rFonts w:ascii="Wingdings" w:hAnsi="Wingdings"/>
                <w:color w:val="BE8F00"/>
                <w:sz w:val="18"/>
              </w:rPr>
              <w:t></w:t>
            </w: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spacing w:before="6"/>
              <w:rPr>
                <w:b/>
                <w:sz w:val="21"/>
              </w:rPr>
            </w:pPr>
          </w:p>
          <w:p w:rsidR="00A56FE9" w:rsidRDefault="00000000">
            <w:pPr>
              <w:pStyle w:val="TableParagraph"/>
              <w:spacing w:before="1"/>
              <w:ind w:left="325"/>
              <w:rPr>
                <w:rFonts w:ascii="Wingdings" w:hAnsi="Wingdings"/>
                <w:sz w:val="18"/>
              </w:rPr>
            </w:pPr>
            <w:r>
              <w:rPr>
                <w:rFonts w:ascii="Wingdings" w:hAnsi="Wingdings"/>
                <w:color w:val="006FC0"/>
                <w:sz w:val="18"/>
              </w:rPr>
              <w:t></w:t>
            </w:r>
          </w:p>
        </w:tc>
      </w:tr>
    </w:tbl>
    <w:p w:rsidR="00A56FE9" w:rsidRDefault="00CC1B9B">
      <w:pPr>
        <w:pStyle w:val="Tijeloteksta"/>
        <w:spacing w:before="11"/>
        <w:ind w:left="0"/>
        <w:jc w:val="left"/>
        <w:rPr>
          <w:b/>
          <w:sz w:val="13"/>
        </w:rPr>
      </w:pPr>
      <w:r>
        <w:rPr>
          <w:noProof/>
        </w:rPr>
        <mc:AlternateContent>
          <mc:Choice Requires="wps">
            <w:drawing>
              <wp:anchor distT="0" distB="0" distL="0" distR="0" simplePos="0" relativeHeight="487713280" behindDoc="1" locked="0" layoutInCell="1" allowOverlap="1">
                <wp:simplePos x="0" y="0"/>
                <wp:positionH relativeFrom="page">
                  <wp:posOffset>900430</wp:posOffset>
                </wp:positionH>
                <wp:positionV relativeFrom="paragraph">
                  <wp:posOffset>127000</wp:posOffset>
                </wp:positionV>
                <wp:extent cx="1828800" cy="7620"/>
                <wp:effectExtent l="0" t="0" r="0" b="0"/>
                <wp:wrapTopAndBottom/>
                <wp:docPr id="57421391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1A907D" id="Rectangle 3" o:spid="_x0000_s1026" style="position:absolute;margin-left:70.9pt;margin-top:10pt;width:2in;height:.6pt;z-index:-15603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" fillcolor="black" stroked="f">
                <w10:wrap type="topAndBottom" anchorx="page"/>
              </v:rect>
            </w:pict>
          </mc:Fallback>
        </mc:AlternateContent>
      </w:r>
    </w:p>
    <w:p w:rsidR="00A56FE9" w:rsidRDefault="00000000">
      <w:pPr>
        <w:spacing w:before="93"/>
        <w:ind w:left="958"/>
        <w:rPr>
          <w:sz w:val="18"/>
        </w:rPr>
      </w:pPr>
      <w:r>
        <w:rPr>
          <w:sz w:val="18"/>
          <w:vertAlign w:val="superscript"/>
        </w:rPr>
        <w:t>58</w:t>
      </w:r>
      <w:r>
        <w:rPr>
          <w:spacing w:val="4"/>
          <w:sz w:val="18"/>
        </w:rPr>
        <w:t xml:space="preserve"> </w:t>
      </w:r>
      <w:r>
        <w:rPr>
          <w:sz w:val="18"/>
        </w:rPr>
        <w:t>Elaborated in</w:t>
      </w:r>
      <w:r>
        <w:rPr>
          <w:spacing w:val="-1"/>
          <w:sz w:val="18"/>
        </w:rPr>
        <w:t xml:space="preserve"> </w:t>
      </w:r>
      <w:r>
        <w:rPr>
          <w:sz w:val="18"/>
        </w:rPr>
        <w:t>the</w:t>
      </w:r>
      <w:r>
        <w:rPr>
          <w:spacing w:val="-1"/>
          <w:sz w:val="18"/>
        </w:rPr>
        <w:t xml:space="preserve"> </w:t>
      </w:r>
      <w:r>
        <w:rPr>
          <w:sz w:val="18"/>
        </w:rPr>
        <w:t>NRRP</w:t>
      </w:r>
      <w:r>
        <w:rPr>
          <w:spacing w:val="3"/>
          <w:sz w:val="18"/>
        </w:rPr>
        <w:t xml:space="preserve"> </w:t>
      </w:r>
      <w:r>
        <w:rPr>
          <w:sz w:val="18"/>
        </w:rPr>
        <w:t>chapters</w:t>
      </w:r>
      <w:r>
        <w:rPr>
          <w:spacing w:val="-3"/>
          <w:sz w:val="18"/>
        </w:rPr>
        <w:t xml:space="preserve"> </w:t>
      </w:r>
      <w:r>
        <w:rPr>
          <w:sz w:val="18"/>
        </w:rPr>
        <w:t>relating</w:t>
      </w:r>
      <w:r>
        <w:rPr>
          <w:spacing w:val="-1"/>
          <w:sz w:val="18"/>
        </w:rPr>
        <w:t xml:space="preserve"> </w:t>
      </w:r>
      <w:r>
        <w:rPr>
          <w:sz w:val="18"/>
        </w:rPr>
        <w:t>to</w:t>
      </w:r>
      <w:r>
        <w:rPr>
          <w:spacing w:val="1"/>
          <w:sz w:val="18"/>
        </w:rPr>
        <w:t xml:space="preserve"> </w:t>
      </w:r>
      <w:r>
        <w:rPr>
          <w:sz w:val="18"/>
        </w:rPr>
        <w:t>gender</w:t>
      </w:r>
      <w:r>
        <w:rPr>
          <w:spacing w:val="-1"/>
          <w:sz w:val="18"/>
        </w:rPr>
        <w:t xml:space="preserve"> </w:t>
      </w:r>
      <w:r>
        <w:rPr>
          <w:sz w:val="18"/>
        </w:rPr>
        <w:t>equality</w:t>
      </w:r>
      <w:r>
        <w:rPr>
          <w:spacing w:val="-3"/>
          <w:sz w:val="18"/>
        </w:rPr>
        <w:t xml:space="preserve"> </w:t>
      </w:r>
      <w:r>
        <w:rPr>
          <w:sz w:val="18"/>
        </w:rPr>
        <w:t>and</w:t>
      </w:r>
      <w:r>
        <w:rPr>
          <w:spacing w:val="1"/>
          <w:sz w:val="18"/>
        </w:rPr>
        <w:t xml:space="preserve"> </w:t>
      </w:r>
      <w:r>
        <w:rPr>
          <w:sz w:val="18"/>
        </w:rPr>
        <w:t>equal</w:t>
      </w:r>
      <w:r>
        <w:rPr>
          <w:spacing w:val="-2"/>
          <w:sz w:val="18"/>
        </w:rPr>
        <w:t xml:space="preserve"> </w:t>
      </w:r>
      <w:r>
        <w:rPr>
          <w:sz w:val="18"/>
        </w:rPr>
        <w:t>opportunity</w:t>
      </w:r>
      <w:r>
        <w:rPr>
          <w:spacing w:val="-1"/>
          <w:sz w:val="18"/>
        </w:rPr>
        <w:t xml:space="preserve"> </w:t>
      </w:r>
      <w:r>
        <w:rPr>
          <w:sz w:val="18"/>
        </w:rPr>
        <w:t>for all.</w:t>
      </w:r>
    </w:p>
    <w:p w:rsidR="00A56FE9" w:rsidRDefault="00A56FE9">
      <w:pPr>
        <w:rPr>
          <w:sz w:val="18"/>
        </w:rPr>
        <w:sectPr w:rsidR="00A56FE9" w:rsidSect="00AB1E70">
          <w:pgSz w:w="16840" w:h="11910" w:orient="landscape"/>
          <w:pgMar w:top="1100" w:right="380" w:bottom="96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CellSpacing w:w="4" w:type="dxa"/>
        <w:tblInd w:w="1018" w:type="dxa"/>
        <w:tblLayout w:type="fixed"/>
        <w:tblLook w:val="01E0" w:firstRow="1" w:lastRow="1" w:firstColumn="1" w:lastColumn="1" w:noHBand="0" w:noVBand="0"/>
      </w:tblPr>
      <w:tblGrid>
        <w:gridCol w:w="3317"/>
        <w:gridCol w:w="503"/>
        <w:gridCol w:w="426"/>
        <w:gridCol w:w="419"/>
        <w:gridCol w:w="361"/>
        <w:gridCol w:w="419"/>
        <w:gridCol w:w="418"/>
        <w:gridCol w:w="428"/>
        <w:gridCol w:w="466"/>
        <w:gridCol w:w="424"/>
        <w:gridCol w:w="422"/>
        <w:gridCol w:w="358"/>
        <w:gridCol w:w="370"/>
        <w:gridCol w:w="358"/>
        <w:gridCol w:w="365"/>
        <w:gridCol w:w="432"/>
        <w:gridCol w:w="574"/>
        <w:gridCol w:w="577"/>
        <w:gridCol w:w="574"/>
        <w:gridCol w:w="574"/>
        <w:gridCol w:w="538"/>
        <w:gridCol w:w="999"/>
        <w:gridCol w:w="821"/>
      </w:tblGrid>
      <w:tr w:rsidR="00A56FE9">
        <w:trPr>
          <w:trHeight w:val="1263"/>
          <w:tblCellSpacing w:w="4" w:type="dxa"/>
        </w:trPr>
        <w:tc>
          <w:tcPr>
            <w:tcW w:w="3305" w:type="dxa"/>
            <w:tcBorders>
              <w:top w:val="single" w:sz="4" w:space="0" w:color="001F5F"/>
              <w:left w:val="single" w:sz="4" w:space="0" w:color="001F5F"/>
            </w:tcBorders>
            <w:shd w:val="clear" w:color="auto" w:fill="2C398A"/>
          </w:tcPr>
          <w:p w:rsidR="00A56FE9" w:rsidRDefault="00A56FE9">
            <w:pPr>
              <w:pStyle w:val="TableParagraph"/>
              <w:spacing w:before="5"/>
              <w:rPr>
                <w:sz w:val="26"/>
              </w:rPr>
            </w:pPr>
          </w:p>
          <w:p w:rsidR="00A56FE9" w:rsidRDefault="00000000">
            <w:pPr>
              <w:pStyle w:val="TableParagraph"/>
              <w:ind w:left="1180" w:right="1169"/>
              <w:jc w:val="center"/>
              <w:rPr>
                <w:sz w:val="18"/>
              </w:rPr>
            </w:pPr>
            <w:r>
              <w:rPr>
                <w:color w:val="FFFFFF"/>
                <w:sz w:val="18"/>
              </w:rPr>
              <w:t>Components</w:t>
            </w:r>
          </w:p>
          <w:p w:rsidR="00A56FE9" w:rsidRDefault="00A56FE9">
            <w:pPr>
              <w:pStyle w:val="TableParagraph"/>
              <w:rPr>
                <w:sz w:val="20"/>
              </w:rPr>
            </w:pPr>
          </w:p>
          <w:p w:rsidR="00A56FE9" w:rsidRDefault="00A56FE9">
            <w:pPr>
              <w:pStyle w:val="TableParagraph"/>
              <w:spacing w:before="6"/>
              <w:rPr>
                <w:sz w:val="17"/>
              </w:rPr>
            </w:pPr>
          </w:p>
          <w:p w:rsidR="00A56FE9" w:rsidRDefault="00000000">
            <w:pPr>
              <w:pStyle w:val="TableParagraph"/>
              <w:ind w:left="1179" w:right="1169"/>
              <w:jc w:val="center"/>
              <w:rPr>
                <w:sz w:val="18"/>
              </w:rPr>
            </w:pPr>
            <w:r>
              <w:rPr>
                <w:color w:val="FFFFFF"/>
                <w:sz w:val="18"/>
              </w:rPr>
              <w:t>Šifra</w:t>
            </w:r>
          </w:p>
        </w:tc>
        <w:tc>
          <w:tcPr>
            <w:tcW w:w="2498" w:type="dxa"/>
            <w:gridSpan w:val="6"/>
            <w:tcBorders>
              <w:top w:val="single" w:sz="4" w:space="0" w:color="001F5F"/>
              <w:right w:val="nil"/>
            </w:tcBorders>
            <w:shd w:val="clear" w:color="auto" w:fill="2C398A"/>
          </w:tcPr>
          <w:p w:rsidR="00A56FE9" w:rsidRDefault="00A56FE9">
            <w:pPr>
              <w:pStyle w:val="TableParagraph"/>
              <w:spacing w:before="5"/>
              <w:rPr>
                <w:sz w:val="26"/>
              </w:rPr>
            </w:pPr>
          </w:p>
          <w:p w:rsidR="00A56FE9" w:rsidRDefault="00000000">
            <w:pPr>
              <w:pStyle w:val="TableParagraph"/>
              <w:ind w:left="889" w:right="879"/>
              <w:jc w:val="center"/>
              <w:rPr>
                <w:sz w:val="18"/>
              </w:rPr>
            </w:pPr>
            <w:r>
              <w:rPr>
                <w:color w:val="FFFFFF"/>
                <w:sz w:val="18"/>
              </w:rPr>
              <w:t>Economy</w:t>
            </w:r>
          </w:p>
          <w:p w:rsidR="00A56FE9" w:rsidRDefault="00A56FE9">
            <w:pPr>
              <w:pStyle w:val="TableParagraph"/>
              <w:rPr>
                <w:sz w:val="20"/>
              </w:rPr>
            </w:pPr>
          </w:p>
          <w:p w:rsidR="00A56FE9" w:rsidRDefault="00A56FE9">
            <w:pPr>
              <w:pStyle w:val="TableParagraph"/>
              <w:spacing w:before="6"/>
              <w:rPr>
                <w:sz w:val="17"/>
              </w:rPr>
            </w:pPr>
          </w:p>
          <w:p w:rsidR="00A56FE9" w:rsidRDefault="00000000">
            <w:pPr>
              <w:pStyle w:val="TableParagraph"/>
              <w:ind w:left="884" w:right="879"/>
              <w:jc w:val="center"/>
              <w:rPr>
                <w:sz w:val="18"/>
              </w:rPr>
            </w:pPr>
            <w:r>
              <w:rPr>
                <w:color w:val="FFFFFF"/>
                <w:sz w:val="18"/>
              </w:rPr>
              <w:t>C1</w:t>
            </w:r>
          </w:p>
        </w:tc>
        <w:tc>
          <w:tcPr>
            <w:tcW w:w="3551" w:type="dxa"/>
            <w:gridSpan w:val="9"/>
            <w:tcBorders>
              <w:top w:val="single" w:sz="4" w:space="0" w:color="001F5F"/>
              <w:left w:val="nil"/>
            </w:tcBorders>
            <w:shd w:val="clear" w:color="auto" w:fill="2C398A"/>
          </w:tcPr>
          <w:p w:rsidR="00A56FE9" w:rsidRDefault="00A56FE9">
            <w:pPr>
              <w:pStyle w:val="TableParagraph"/>
              <w:spacing w:before="5"/>
              <w:rPr>
                <w:sz w:val="17"/>
              </w:rPr>
            </w:pPr>
          </w:p>
          <w:p w:rsidR="00A56FE9" w:rsidRDefault="00000000">
            <w:pPr>
              <w:pStyle w:val="TableParagraph"/>
              <w:spacing w:before="1"/>
              <w:ind w:left="240" w:right="237"/>
              <w:jc w:val="center"/>
              <w:rPr>
                <w:sz w:val="18"/>
              </w:rPr>
            </w:pPr>
            <w:r>
              <w:rPr>
                <w:color w:val="FFFFFF"/>
                <w:sz w:val="18"/>
              </w:rPr>
              <w:t>Public Administration, Judiciary and State</w:t>
            </w:r>
            <w:r>
              <w:rPr>
                <w:color w:val="FFFFFF"/>
                <w:spacing w:val="-42"/>
                <w:sz w:val="18"/>
              </w:rPr>
              <w:t xml:space="preserve"> </w:t>
            </w:r>
            <w:r>
              <w:rPr>
                <w:color w:val="FFFFFF"/>
                <w:sz w:val="18"/>
              </w:rPr>
              <w:t>Assets</w:t>
            </w:r>
          </w:p>
          <w:p w:rsidR="00A56FE9" w:rsidRDefault="00A56FE9">
            <w:pPr>
              <w:pStyle w:val="TableParagraph"/>
              <w:spacing w:before="5"/>
              <w:rPr>
                <w:sz w:val="28"/>
              </w:rPr>
            </w:pPr>
          </w:p>
          <w:p w:rsidR="00A56FE9" w:rsidRDefault="00000000">
            <w:pPr>
              <w:pStyle w:val="TableParagraph"/>
              <w:ind w:left="237" w:right="237"/>
              <w:jc w:val="center"/>
              <w:rPr>
                <w:sz w:val="18"/>
              </w:rPr>
            </w:pPr>
            <w:r>
              <w:rPr>
                <w:color w:val="FFFFFF"/>
                <w:sz w:val="18"/>
              </w:rPr>
              <w:t>C2</w:t>
            </w:r>
          </w:p>
        </w:tc>
        <w:tc>
          <w:tcPr>
            <w:tcW w:w="1135" w:type="dxa"/>
            <w:gridSpan w:val="2"/>
            <w:tcBorders>
              <w:top w:val="single" w:sz="4" w:space="0" w:color="001F5F"/>
            </w:tcBorders>
            <w:shd w:val="clear" w:color="auto" w:fill="2C398A"/>
          </w:tcPr>
          <w:p w:rsidR="00A56FE9" w:rsidRDefault="00000000">
            <w:pPr>
              <w:pStyle w:val="TableParagraph"/>
              <w:spacing w:before="98"/>
              <w:ind w:left="129" w:right="128" w:firstLine="45"/>
              <w:jc w:val="both"/>
              <w:rPr>
                <w:sz w:val="18"/>
              </w:rPr>
            </w:pPr>
            <w:r>
              <w:rPr>
                <w:color w:val="FFFFFF"/>
                <w:sz w:val="18"/>
              </w:rPr>
              <w:t>Education,</w:t>
            </w:r>
            <w:r>
              <w:rPr>
                <w:color w:val="FFFFFF"/>
                <w:spacing w:val="1"/>
                <w:sz w:val="18"/>
              </w:rPr>
              <w:t xml:space="preserve"> </w:t>
            </w:r>
            <w:r>
              <w:rPr>
                <w:color w:val="FFFFFF"/>
                <w:sz w:val="18"/>
              </w:rPr>
              <w:t>Science and</w:t>
            </w:r>
            <w:r>
              <w:rPr>
                <w:color w:val="FFFFFF"/>
                <w:spacing w:val="-42"/>
                <w:sz w:val="18"/>
              </w:rPr>
              <w:t xml:space="preserve"> </w:t>
            </w:r>
            <w:r>
              <w:rPr>
                <w:color w:val="FFFFFF"/>
                <w:sz w:val="18"/>
              </w:rPr>
              <w:t>Research</w:t>
            </w:r>
          </w:p>
          <w:p w:rsidR="00A56FE9" w:rsidRDefault="00A56FE9">
            <w:pPr>
              <w:pStyle w:val="TableParagraph"/>
              <w:spacing w:before="5"/>
              <w:rPr>
                <w:sz w:val="19"/>
              </w:rPr>
            </w:pPr>
          </w:p>
          <w:p w:rsidR="00A56FE9" w:rsidRDefault="00000000">
            <w:pPr>
              <w:pStyle w:val="TableParagraph"/>
              <w:ind w:left="442" w:right="441"/>
              <w:jc w:val="center"/>
              <w:rPr>
                <w:sz w:val="18"/>
              </w:rPr>
            </w:pPr>
            <w:r>
              <w:rPr>
                <w:color w:val="FFFFFF"/>
                <w:sz w:val="18"/>
              </w:rPr>
              <w:t>C3</w:t>
            </w:r>
          </w:p>
        </w:tc>
        <w:tc>
          <w:tcPr>
            <w:tcW w:w="1662" w:type="dxa"/>
            <w:gridSpan w:val="3"/>
            <w:tcBorders>
              <w:top w:val="single" w:sz="4" w:space="0" w:color="001F5F"/>
            </w:tcBorders>
            <w:shd w:val="clear" w:color="auto" w:fill="2C398A"/>
          </w:tcPr>
          <w:p w:rsidR="00A56FE9" w:rsidRDefault="00A56FE9">
            <w:pPr>
              <w:pStyle w:val="TableParagraph"/>
              <w:spacing w:before="5"/>
              <w:rPr>
                <w:sz w:val="17"/>
              </w:rPr>
            </w:pPr>
          </w:p>
          <w:p w:rsidR="00A56FE9" w:rsidRDefault="00000000">
            <w:pPr>
              <w:pStyle w:val="TableParagraph"/>
              <w:spacing w:before="1"/>
              <w:ind w:left="135" w:right="125"/>
              <w:jc w:val="center"/>
              <w:rPr>
                <w:sz w:val="18"/>
              </w:rPr>
            </w:pPr>
            <w:r>
              <w:rPr>
                <w:color w:val="FFFFFF"/>
                <w:sz w:val="18"/>
              </w:rPr>
              <w:t>Labour Market and</w:t>
            </w:r>
            <w:r>
              <w:rPr>
                <w:color w:val="FFFFFF"/>
                <w:spacing w:val="-42"/>
                <w:sz w:val="18"/>
              </w:rPr>
              <w:t xml:space="preserve"> </w:t>
            </w:r>
            <w:r>
              <w:rPr>
                <w:color w:val="FFFFFF"/>
                <w:sz w:val="18"/>
              </w:rPr>
              <w:t>Social</w:t>
            </w:r>
            <w:r>
              <w:rPr>
                <w:color w:val="FFFFFF"/>
                <w:spacing w:val="-3"/>
                <w:sz w:val="18"/>
              </w:rPr>
              <w:t xml:space="preserve"> </w:t>
            </w:r>
            <w:r>
              <w:rPr>
                <w:color w:val="FFFFFF"/>
                <w:sz w:val="18"/>
              </w:rPr>
              <w:t>Protection</w:t>
            </w:r>
          </w:p>
          <w:p w:rsidR="00A56FE9" w:rsidRDefault="00A56FE9">
            <w:pPr>
              <w:pStyle w:val="TableParagraph"/>
              <w:spacing w:before="5"/>
              <w:rPr>
                <w:sz w:val="28"/>
              </w:rPr>
            </w:pPr>
          </w:p>
          <w:p w:rsidR="00A56FE9" w:rsidRDefault="00000000">
            <w:pPr>
              <w:pStyle w:val="TableParagraph"/>
              <w:ind w:left="134" w:right="125"/>
              <w:jc w:val="center"/>
              <w:rPr>
                <w:sz w:val="18"/>
              </w:rPr>
            </w:pPr>
            <w:r>
              <w:rPr>
                <w:color w:val="FFFFFF"/>
                <w:sz w:val="18"/>
              </w:rPr>
              <w:t>C4</w:t>
            </w:r>
          </w:p>
        </w:tc>
        <w:tc>
          <w:tcPr>
            <w:tcW w:w="991" w:type="dxa"/>
            <w:tcBorders>
              <w:top w:val="single" w:sz="4" w:space="0" w:color="001F5F"/>
            </w:tcBorders>
            <w:shd w:val="clear" w:color="auto" w:fill="2C398A"/>
          </w:tcPr>
          <w:p w:rsidR="00A56FE9" w:rsidRDefault="00A56FE9">
            <w:pPr>
              <w:pStyle w:val="TableParagraph"/>
              <w:spacing w:before="5"/>
              <w:rPr>
                <w:sz w:val="17"/>
              </w:rPr>
            </w:pPr>
          </w:p>
          <w:p w:rsidR="00A56FE9" w:rsidRDefault="00000000">
            <w:pPr>
              <w:pStyle w:val="TableParagraph"/>
              <w:spacing w:before="1"/>
              <w:ind w:left="254" w:right="246"/>
              <w:jc w:val="center"/>
              <w:rPr>
                <w:sz w:val="18"/>
              </w:rPr>
            </w:pPr>
            <w:r>
              <w:rPr>
                <w:color w:val="FFFFFF"/>
                <w:sz w:val="18"/>
              </w:rPr>
              <w:t>Health</w:t>
            </w:r>
            <w:r>
              <w:rPr>
                <w:color w:val="FFFFFF"/>
                <w:spacing w:val="-42"/>
                <w:sz w:val="18"/>
              </w:rPr>
              <w:t xml:space="preserve"> </w:t>
            </w:r>
            <w:r>
              <w:rPr>
                <w:color w:val="FFFFFF"/>
                <w:sz w:val="18"/>
              </w:rPr>
              <w:t>Care</w:t>
            </w:r>
          </w:p>
          <w:p w:rsidR="00A56FE9" w:rsidRDefault="00A56FE9">
            <w:pPr>
              <w:pStyle w:val="TableParagraph"/>
              <w:spacing w:before="5"/>
              <w:rPr>
                <w:sz w:val="28"/>
              </w:rPr>
            </w:pPr>
          </w:p>
          <w:p w:rsidR="00A56FE9" w:rsidRDefault="00000000">
            <w:pPr>
              <w:pStyle w:val="TableParagraph"/>
              <w:ind w:left="251" w:right="246"/>
              <w:jc w:val="center"/>
              <w:rPr>
                <w:sz w:val="18"/>
              </w:rPr>
            </w:pPr>
            <w:r>
              <w:rPr>
                <w:color w:val="FFFFFF"/>
                <w:sz w:val="18"/>
              </w:rPr>
              <w:t>C5</w:t>
            </w:r>
          </w:p>
        </w:tc>
        <w:tc>
          <w:tcPr>
            <w:tcW w:w="809" w:type="dxa"/>
            <w:tcBorders>
              <w:top w:val="single" w:sz="4" w:space="0" w:color="001F5F"/>
              <w:right w:val="single" w:sz="4" w:space="0" w:color="001F5F"/>
            </w:tcBorders>
            <w:shd w:val="clear" w:color="auto" w:fill="2C398A"/>
          </w:tcPr>
          <w:p w:rsidR="00A56FE9" w:rsidRDefault="00000000">
            <w:pPr>
              <w:pStyle w:val="TableParagraph"/>
              <w:ind w:left="129" w:right="117"/>
              <w:jc w:val="center"/>
              <w:rPr>
                <w:sz w:val="18"/>
              </w:rPr>
            </w:pPr>
            <w:r>
              <w:rPr>
                <w:color w:val="FFFFFF"/>
                <w:sz w:val="18"/>
              </w:rPr>
              <w:t>Renova</w:t>
            </w:r>
            <w:r>
              <w:rPr>
                <w:color w:val="FFFFFF"/>
                <w:spacing w:val="-42"/>
                <w:sz w:val="18"/>
              </w:rPr>
              <w:t xml:space="preserve"> </w:t>
            </w:r>
            <w:r>
              <w:rPr>
                <w:color w:val="FFFFFF"/>
                <w:sz w:val="18"/>
              </w:rPr>
              <w:t>tion of</w:t>
            </w:r>
            <w:r>
              <w:rPr>
                <w:color w:val="FFFFFF"/>
                <w:spacing w:val="1"/>
                <w:sz w:val="18"/>
              </w:rPr>
              <w:t xml:space="preserve"> </w:t>
            </w:r>
            <w:r>
              <w:rPr>
                <w:color w:val="FFFFFF"/>
                <w:sz w:val="18"/>
              </w:rPr>
              <w:t>Buildin</w:t>
            </w:r>
            <w:r>
              <w:rPr>
                <w:color w:val="FFFFFF"/>
                <w:spacing w:val="-42"/>
                <w:sz w:val="18"/>
              </w:rPr>
              <w:t xml:space="preserve"> </w:t>
            </w:r>
            <w:r>
              <w:rPr>
                <w:color w:val="FFFFFF"/>
                <w:sz w:val="18"/>
              </w:rPr>
              <w:t>gs</w:t>
            </w:r>
          </w:p>
          <w:p w:rsidR="00A56FE9" w:rsidRDefault="00000000">
            <w:pPr>
              <w:pStyle w:val="TableParagraph"/>
              <w:spacing w:before="115"/>
              <w:ind w:left="123" w:right="117"/>
              <w:jc w:val="center"/>
              <w:rPr>
                <w:sz w:val="18"/>
              </w:rPr>
            </w:pPr>
            <w:r>
              <w:rPr>
                <w:color w:val="FFFFFF"/>
                <w:sz w:val="18"/>
              </w:rPr>
              <w:t>C6</w:t>
            </w:r>
          </w:p>
        </w:tc>
      </w:tr>
      <w:tr w:rsidR="00A56FE9">
        <w:trPr>
          <w:trHeight w:val="359"/>
          <w:tblCellSpacing w:w="4" w:type="dxa"/>
        </w:trPr>
        <w:tc>
          <w:tcPr>
            <w:tcW w:w="3305" w:type="dxa"/>
            <w:tcBorders>
              <w:left w:val="nil"/>
              <w:bottom w:val="single" w:sz="4" w:space="0" w:color="001F5F"/>
            </w:tcBorders>
            <w:shd w:val="clear" w:color="auto" w:fill="D9D9D9"/>
          </w:tcPr>
          <w:p w:rsidR="00A56FE9" w:rsidRDefault="00A56FE9">
            <w:pPr>
              <w:pStyle w:val="TableParagraph"/>
              <w:rPr>
                <w:sz w:val="18"/>
              </w:rPr>
            </w:pPr>
          </w:p>
        </w:tc>
        <w:tc>
          <w:tcPr>
            <w:tcW w:w="495" w:type="dxa"/>
            <w:tcBorders>
              <w:bottom w:val="single" w:sz="4" w:space="0" w:color="001F5F"/>
            </w:tcBorders>
            <w:shd w:val="clear" w:color="auto" w:fill="DEEAF6"/>
          </w:tcPr>
          <w:p w:rsidR="00A56FE9" w:rsidRDefault="00000000">
            <w:pPr>
              <w:pStyle w:val="TableParagraph"/>
              <w:spacing w:before="47"/>
              <w:ind w:left="9"/>
              <w:jc w:val="center"/>
              <w:rPr>
                <w:sz w:val="18"/>
              </w:rPr>
            </w:pPr>
            <w:r>
              <w:rPr>
                <w:sz w:val="18"/>
              </w:rPr>
              <w:t>1</w:t>
            </w:r>
          </w:p>
        </w:tc>
        <w:tc>
          <w:tcPr>
            <w:tcW w:w="418" w:type="dxa"/>
            <w:tcBorders>
              <w:bottom w:val="single" w:sz="4" w:space="0" w:color="001F5F"/>
            </w:tcBorders>
            <w:shd w:val="clear" w:color="auto" w:fill="DEEAF6"/>
          </w:tcPr>
          <w:p w:rsidR="00A56FE9" w:rsidRDefault="00000000">
            <w:pPr>
              <w:pStyle w:val="TableParagraph"/>
              <w:spacing w:before="47"/>
              <w:ind w:left="8"/>
              <w:jc w:val="center"/>
              <w:rPr>
                <w:sz w:val="18"/>
              </w:rPr>
            </w:pPr>
            <w:r>
              <w:rPr>
                <w:sz w:val="18"/>
              </w:rPr>
              <w:t>2</w:t>
            </w:r>
          </w:p>
        </w:tc>
        <w:tc>
          <w:tcPr>
            <w:tcW w:w="411" w:type="dxa"/>
            <w:tcBorders>
              <w:bottom w:val="single" w:sz="4" w:space="0" w:color="001F5F"/>
            </w:tcBorders>
            <w:shd w:val="clear" w:color="auto" w:fill="DEEAF6"/>
          </w:tcPr>
          <w:p w:rsidR="00A56FE9" w:rsidRDefault="00000000">
            <w:pPr>
              <w:pStyle w:val="TableParagraph"/>
              <w:spacing w:before="47"/>
              <w:ind w:left="5"/>
              <w:jc w:val="center"/>
              <w:rPr>
                <w:sz w:val="18"/>
              </w:rPr>
            </w:pPr>
            <w:r>
              <w:rPr>
                <w:sz w:val="18"/>
              </w:rPr>
              <w:t>3</w:t>
            </w:r>
          </w:p>
        </w:tc>
        <w:tc>
          <w:tcPr>
            <w:tcW w:w="353" w:type="dxa"/>
            <w:tcBorders>
              <w:bottom w:val="single" w:sz="4" w:space="0" w:color="001F5F"/>
            </w:tcBorders>
            <w:shd w:val="clear" w:color="auto" w:fill="DEEAF6"/>
          </w:tcPr>
          <w:p w:rsidR="00A56FE9" w:rsidRDefault="00000000">
            <w:pPr>
              <w:pStyle w:val="TableParagraph"/>
              <w:spacing w:before="47"/>
              <w:ind w:left="4"/>
              <w:jc w:val="center"/>
              <w:rPr>
                <w:sz w:val="18"/>
              </w:rPr>
            </w:pPr>
            <w:r>
              <w:rPr>
                <w:sz w:val="18"/>
              </w:rPr>
              <w:t>4</w:t>
            </w:r>
          </w:p>
        </w:tc>
        <w:tc>
          <w:tcPr>
            <w:tcW w:w="411" w:type="dxa"/>
            <w:tcBorders>
              <w:bottom w:val="single" w:sz="4" w:space="0" w:color="001F5F"/>
            </w:tcBorders>
            <w:shd w:val="clear" w:color="auto" w:fill="DEEAF6"/>
          </w:tcPr>
          <w:p w:rsidR="00A56FE9" w:rsidRDefault="00000000">
            <w:pPr>
              <w:pStyle w:val="TableParagraph"/>
              <w:spacing w:before="47"/>
              <w:ind w:left="3"/>
              <w:jc w:val="center"/>
              <w:rPr>
                <w:sz w:val="18"/>
              </w:rPr>
            </w:pPr>
            <w:r>
              <w:rPr>
                <w:sz w:val="18"/>
              </w:rPr>
              <w:t>5</w:t>
            </w:r>
          </w:p>
        </w:tc>
        <w:tc>
          <w:tcPr>
            <w:tcW w:w="410" w:type="dxa"/>
            <w:tcBorders>
              <w:bottom w:val="single" w:sz="4" w:space="0" w:color="001F5F"/>
              <w:right w:val="nil"/>
            </w:tcBorders>
            <w:shd w:val="clear" w:color="auto" w:fill="DEEAF6"/>
          </w:tcPr>
          <w:p w:rsidR="00A56FE9" w:rsidRDefault="00000000">
            <w:pPr>
              <w:pStyle w:val="TableParagraph"/>
              <w:spacing w:before="47"/>
              <w:ind w:left="5"/>
              <w:jc w:val="center"/>
              <w:rPr>
                <w:sz w:val="18"/>
              </w:rPr>
            </w:pPr>
            <w:r>
              <w:rPr>
                <w:sz w:val="18"/>
              </w:rPr>
              <w:t>6</w:t>
            </w:r>
          </w:p>
        </w:tc>
        <w:tc>
          <w:tcPr>
            <w:tcW w:w="420" w:type="dxa"/>
            <w:tcBorders>
              <w:left w:val="nil"/>
              <w:bottom w:val="single" w:sz="4" w:space="0" w:color="001F5F"/>
            </w:tcBorders>
            <w:shd w:val="clear" w:color="auto" w:fill="FAE3D4"/>
          </w:tcPr>
          <w:p w:rsidR="00A56FE9" w:rsidRDefault="00000000">
            <w:pPr>
              <w:pStyle w:val="TableParagraph"/>
              <w:spacing w:before="47"/>
              <w:ind w:right="1"/>
              <w:jc w:val="center"/>
              <w:rPr>
                <w:sz w:val="18"/>
              </w:rPr>
            </w:pPr>
            <w:r>
              <w:rPr>
                <w:sz w:val="18"/>
              </w:rPr>
              <w:t>1</w:t>
            </w:r>
          </w:p>
        </w:tc>
        <w:tc>
          <w:tcPr>
            <w:tcW w:w="458" w:type="dxa"/>
            <w:tcBorders>
              <w:bottom w:val="single" w:sz="4" w:space="0" w:color="001F5F"/>
              <w:right w:val="nil"/>
            </w:tcBorders>
            <w:shd w:val="clear" w:color="auto" w:fill="FAE3D4"/>
          </w:tcPr>
          <w:p w:rsidR="00A56FE9" w:rsidRDefault="00000000">
            <w:pPr>
              <w:pStyle w:val="TableParagraph"/>
              <w:spacing w:before="47"/>
              <w:ind w:left="1"/>
              <w:jc w:val="center"/>
              <w:rPr>
                <w:sz w:val="18"/>
              </w:rPr>
            </w:pPr>
            <w:r>
              <w:rPr>
                <w:sz w:val="18"/>
              </w:rPr>
              <w:t>2</w:t>
            </w:r>
          </w:p>
        </w:tc>
        <w:tc>
          <w:tcPr>
            <w:tcW w:w="416" w:type="dxa"/>
            <w:tcBorders>
              <w:left w:val="nil"/>
              <w:bottom w:val="single" w:sz="4" w:space="0" w:color="001F5F"/>
              <w:right w:val="nil"/>
            </w:tcBorders>
            <w:shd w:val="clear" w:color="auto" w:fill="FAE3D4"/>
          </w:tcPr>
          <w:p w:rsidR="00A56FE9" w:rsidRDefault="00000000">
            <w:pPr>
              <w:pStyle w:val="TableParagraph"/>
              <w:spacing w:before="47"/>
              <w:jc w:val="center"/>
              <w:rPr>
                <w:sz w:val="18"/>
              </w:rPr>
            </w:pPr>
            <w:r>
              <w:rPr>
                <w:sz w:val="18"/>
              </w:rPr>
              <w:t>3</w:t>
            </w:r>
          </w:p>
        </w:tc>
        <w:tc>
          <w:tcPr>
            <w:tcW w:w="414" w:type="dxa"/>
            <w:tcBorders>
              <w:left w:val="nil"/>
              <w:bottom w:val="single" w:sz="4" w:space="0" w:color="001F5F"/>
            </w:tcBorders>
            <w:shd w:val="clear" w:color="auto" w:fill="FAE3D4"/>
          </w:tcPr>
          <w:p w:rsidR="00A56FE9" w:rsidRDefault="00000000">
            <w:pPr>
              <w:pStyle w:val="TableParagraph"/>
              <w:spacing w:before="47"/>
              <w:ind w:right="5"/>
              <w:jc w:val="center"/>
              <w:rPr>
                <w:sz w:val="18"/>
              </w:rPr>
            </w:pPr>
            <w:r>
              <w:rPr>
                <w:sz w:val="18"/>
              </w:rPr>
              <w:t>4</w:t>
            </w:r>
          </w:p>
        </w:tc>
        <w:tc>
          <w:tcPr>
            <w:tcW w:w="350" w:type="dxa"/>
            <w:tcBorders>
              <w:bottom w:val="single" w:sz="4" w:space="0" w:color="001F5F"/>
            </w:tcBorders>
            <w:shd w:val="clear" w:color="auto" w:fill="FAE3D4"/>
          </w:tcPr>
          <w:p w:rsidR="00A56FE9" w:rsidRDefault="00000000">
            <w:pPr>
              <w:pStyle w:val="TableParagraph"/>
              <w:spacing w:before="47"/>
              <w:jc w:val="center"/>
              <w:rPr>
                <w:sz w:val="18"/>
              </w:rPr>
            </w:pPr>
            <w:r>
              <w:rPr>
                <w:sz w:val="18"/>
              </w:rPr>
              <w:t>5</w:t>
            </w:r>
          </w:p>
        </w:tc>
        <w:tc>
          <w:tcPr>
            <w:tcW w:w="362" w:type="dxa"/>
            <w:tcBorders>
              <w:bottom w:val="single" w:sz="4" w:space="0" w:color="001F5F"/>
            </w:tcBorders>
            <w:shd w:val="clear" w:color="auto" w:fill="FAE3D4"/>
          </w:tcPr>
          <w:p w:rsidR="00A56FE9" w:rsidRDefault="00000000">
            <w:pPr>
              <w:pStyle w:val="TableParagraph"/>
              <w:spacing w:before="47"/>
              <w:jc w:val="center"/>
              <w:rPr>
                <w:sz w:val="18"/>
              </w:rPr>
            </w:pPr>
            <w:r>
              <w:rPr>
                <w:sz w:val="18"/>
              </w:rPr>
              <w:t>6</w:t>
            </w:r>
          </w:p>
        </w:tc>
        <w:tc>
          <w:tcPr>
            <w:tcW w:w="350" w:type="dxa"/>
            <w:tcBorders>
              <w:bottom w:val="single" w:sz="4" w:space="0" w:color="001F5F"/>
            </w:tcBorders>
            <w:shd w:val="clear" w:color="auto" w:fill="FAE3D4"/>
          </w:tcPr>
          <w:p w:rsidR="00A56FE9" w:rsidRDefault="00000000">
            <w:pPr>
              <w:pStyle w:val="TableParagraph"/>
              <w:spacing w:before="47"/>
              <w:jc w:val="center"/>
              <w:rPr>
                <w:sz w:val="18"/>
              </w:rPr>
            </w:pPr>
            <w:r>
              <w:rPr>
                <w:sz w:val="18"/>
              </w:rPr>
              <w:t>7</w:t>
            </w:r>
          </w:p>
        </w:tc>
        <w:tc>
          <w:tcPr>
            <w:tcW w:w="357" w:type="dxa"/>
            <w:tcBorders>
              <w:bottom w:val="single" w:sz="4" w:space="0" w:color="001F5F"/>
            </w:tcBorders>
            <w:shd w:val="clear" w:color="auto" w:fill="FAE3D4"/>
          </w:tcPr>
          <w:p w:rsidR="00A56FE9" w:rsidRDefault="00000000">
            <w:pPr>
              <w:pStyle w:val="TableParagraph"/>
              <w:spacing w:before="47"/>
              <w:jc w:val="center"/>
              <w:rPr>
                <w:sz w:val="18"/>
              </w:rPr>
            </w:pPr>
            <w:r>
              <w:rPr>
                <w:sz w:val="18"/>
              </w:rPr>
              <w:t>8</w:t>
            </w:r>
          </w:p>
        </w:tc>
        <w:tc>
          <w:tcPr>
            <w:tcW w:w="424" w:type="dxa"/>
            <w:tcBorders>
              <w:bottom w:val="single" w:sz="4" w:space="0" w:color="001F5F"/>
            </w:tcBorders>
            <w:shd w:val="clear" w:color="auto" w:fill="FAE3D4"/>
          </w:tcPr>
          <w:p w:rsidR="00A56FE9" w:rsidRDefault="00000000">
            <w:pPr>
              <w:pStyle w:val="TableParagraph"/>
              <w:spacing w:before="47"/>
              <w:jc w:val="center"/>
              <w:rPr>
                <w:sz w:val="18"/>
              </w:rPr>
            </w:pPr>
            <w:r>
              <w:rPr>
                <w:sz w:val="18"/>
              </w:rPr>
              <w:t>9</w:t>
            </w:r>
          </w:p>
        </w:tc>
        <w:tc>
          <w:tcPr>
            <w:tcW w:w="566" w:type="dxa"/>
            <w:tcBorders>
              <w:bottom w:val="single" w:sz="4" w:space="0" w:color="001F5F"/>
            </w:tcBorders>
            <w:shd w:val="clear" w:color="auto" w:fill="FFF1CC"/>
          </w:tcPr>
          <w:p w:rsidR="00A56FE9" w:rsidRDefault="00000000">
            <w:pPr>
              <w:pStyle w:val="TableParagraph"/>
              <w:spacing w:before="47"/>
              <w:ind w:left="4"/>
              <w:jc w:val="center"/>
              <w:rPr>
                <w:sz w:val="18"/>
              </w:rPr>
            </w:pPr>
            <w:r>
              <w:rPr>
                <w:sz w:val="18"/>
              </w:rPr>
              <w:t>1</w:t>
            </w:r>
          </w:p>
        </w:tc>
        <w:tc>
          <w:tcPr>
            <w:tcW w:w="569" w:type="dxa"/>
            <w:tcBorders>
              <w:bottom w:val="single" w:sz="4" w:space="0" w:color="001F5F"/>
            </w:tcBorders>
            <w:shd w:val="clear" w:color="auto" w:fill="FFF1CC"/>
          </w:tcPr>
          <w:p w:rsidR="00A56FE9" w:rsidRDefault="00000000">
            <w:pPr>
              <w:pStyle w:val="TableParagraph"/>
              <w:spacing w:before="47"/>
              <w:ind w:left="3"/>
              <w:jc w:val="center"/>
              <w:rPr>
                <w:sz w:val="18"/>
              </w:rPr>
            </w:pPr>
            <w:r>
              <w:rPr>
                <w:sz w:val="18"/>
              </w:rPr>
              <w:t>2</w:t>
            </w:r>
          </w:p>
        </w:tc>
        <w:tc>
          <w:tcPr>
            <w:tcW w:w="566" w:type="dxa"/>
            <w:tcBorders>
              <w:bottom w:val="single" w:sz="4" w:space="0" w:color="001F5F"/>
            </w:tcBorders>
            <w:shd w:val="clear" w:color="auto" w:fill="FFFF66"/>
          </w:tcPr>
          <w:p w:rsidR="00A56FE9" w:rsidRDefault="00000000">
            <w:pPr>
              <w:pStyle w:val="TableParagraph"/>
              <w:spacing w:before="47"/>
              <w:ind w:left="6"/>
              <w:jc w:val="center"/>
              <w:rPr>
                <w:sz w:val="18"/>
              </w:rPr>
            </w:pPr>
            <w:r>
              <w:rPr>
                <w:sz w:val="18"/>
              </w:rPr>
              <w:t>1</w:t>
            </w:r>
          </w:p>
        </w:tc>
        <w:tc>
          <w:tcPr>
            <w:tcW w:w="566" w:type="dxa"/>
            <w:tcBorders>
              <w:bottom w:val="single" w:sz="4" w:space="0" w:color="001F5F"/>
            </w:tcBorders>
            <w:shd w:val="clear" w:color="auto" w:fill="FFFF66"/>
          </w:tcPr>
          <w:p w:rsidR="00A56FE9" w:rsidRDefault="00000000">
            <w:pPr>
              <w:pStyle w:val="TableParagraph"/>
              <w:spacing w:before="47"/>
              <w:ind w:left="6"/>
              <w:jc w:val="center"/>
              <w:rPr>
                <w:sz w:val="18"/>
              </w:rPr>
            </w:pPr>
            <w:r>
              <w:rPr>
                <w:sz w:val="18"/>
              </w:rPr>
              <w:t>2</w:t>
            </w:r>
          </w:p>
        </w:tc>
        <w:tc>
          <w:tcPr>
            <w:tcW w:w="530" w:type="dxa"/>
            <w:tcBorders>
              <w:bottom w:val="single" w:sz="4" w:space="0" w:color="001F5F"/>
            </w:tcBorders>
            <w:shd w:val="clear" w:color="auto" w:fill="FFFF66"/>
          </w:tcPr>
          <w:p w:rsidR="00A56FE9" w:rsidRDefault="00000000">
            <w:pPr>
              <w:pStyle w:val="TableParagraph"/>
              <w:spacing w:before="47"/>
              <w:ind w:left="5"/>
              <w:jc w:val="center"/>
              <w:rPr>
                <w:sz w:val="18"/>
              </w:rPr>
            </w:pPr>
            <w:r>
              <w:rPr>
                <w:sz w:val="18"/>
              </w:rPr>
              <w:t>3</w:t>
            </w:r>
          </w:p>
        </w:tc>
        <w:tc>
          <w:tcPr>
            <w:tcW w:w="991" w:type="dxa"/>
            <w:tcBorders>
              <w:bottom w:val="single" w:sz="4" w:space="0" w:color="001F5F"/>
            </w:tcBorders>
            <w:shd w:val="clear" w:color="auto" w:fill="E1EED9"/>
          </w:tcPr>
          <w:p w:rsidR="00A56FE9" w:rsidRDefault="00000000">
            <w:pPr>
              <w:pStyle w:val="TableParagraph"/>
              <w:spacing w:before="47"/>
              <w:ind w:left="5"/>
              <w:jc w:val="center"/>
              <w:rPr>
                <w:sz w:val="18"/>
              </w:rPr>
            </w:pPr>
            <w:r>
              <w:rPr>
                <w:sz w:val="18"/>
              </w:rPr>
              <w:t>1</w:t>
            </w:r>
          </w:p>
        </w:tc>
        <w:tc>
          <w:tcPr>
            <w:tcW w:w="809" w:type="dxa"/>
            <w:tcBorders>
              <w:bottom w:val="single" w:sz="4" w:space="0" w:color="001F5F"/>
              <w:right w:val="nil"/>
            </w:tcBorders>
            <w:shd w:val="clear" w:color="auto" w:fill="D0CECE"/>
          </w:tcPr>
          <w:p w:rsidR="00A56FE9" w:rsidRDefault="00000000">
            <w:pPr>
              <w:pStyle w:val="TableParagraph"/>
              <w:spacing w:before="47"/>
              <w:ind w:left="1"/>
              <w:jc w:val="center"/>
              <w:rPr>
                <w:sz w:val="18"/>
              </w:rPr>
            </w:pPr>
            <w:r>
              <w:rPr>
                <w:sz w:val="18"/>
              </w:rPr>
              <w:t>1</w:t>
            </w:r>
          </w:p>
        </w:tc>
      </w:tr>
    </w:tbl>
    <w:p w:rsidR="00A56FE9" w:rsidRDefault="00000000">
      <w:pPr>
        <w:spacing w:before="13"/>
        <w:ind w:left="1114"/>
        <w:rPr>
          <w:b/>
        </w:rPr>
      </w:pPr>
      <w:r>
        <w:rPr>
          <w:b/>
        </w:rPr>
        <w:t>UN</w:t>
      </w:r>
      <w:r>
        <w:rPr>
          <w:b/>
          <w:spacing w:val="-3"/>
        </w:rPr>
        <w:t xml:space="preserve"> </w:t>
      </w:r>
      <w:r>
        <w:rPr>
          <w:b/>
        </w:rPr>
        <w:t>Sustainable</w:t>
      </w:r>
      <w:r>
        <w:rPr>
          <w:b/>
          <w:spacing w:val="-1"/>
        </w:rPr>
        <w:t xml:space="preserve"> </w:t>
      </w:r>
      <w:r>
        <w:rPr>
          <w:b/>
        </w:rPr>
        <w:t>Development</w:t>
      </w:r>
      <w:r>
        <w:rPr>
          <w:b/>
          <w:spacing w:val="-3"/>
        </w:rPr>
        <w:t xml:space="preserve"> </w:t>
      </w:r>
      <w:r>
        <w:rPr>
          <w:b/>
        </w:rPr>
        <w:t>Goals</w:t>
      </w:r>
      <w:r>
        <w:rPr>
          <w:b/>
          <w:spacing w:val="-3"/>
        </w:rPr>
        <w:t xml:space="preserve"> </w:t>
      </w:r>
      <w:r>
        <w:rPr>
          <w:b/>
        </w:rPr>
        <w:t>(SDGs)</w:t>
      </w:r>
    </w:p>
    <w:p w:rsidR="00A56FE9" w:rsidRDefault="00A56FE9">
      <w:pPr>
        <w:pStyle w:val="Tijeloteksta"/>
        <w:spacing w:before="5"/>
        <w:ind w:left="0"/>
        <w:jc w:val="left"/>
        <w:rPr>
          <w:b/>
          <w:sz w:val="6"/>
        </w:rPr>
      </w:pPr>
    </w:p>
    <w:tbl>
      <w:tblPr>
        <w:tblStyle w:val="TableNormal"/>
        <w:tblW w:w="0" w:type="auto"/>
        <w:tblInd w:w="1013" w:type="dxa"/>
        <w:tblBorders>
          <w:top w:val="single" w:sz="4" w:space="0" w:color="001F5F"/>
          <w:left w:val="single" w:sz="4" w:space="0" w:color="001F5F"/>
          <w:bottom w:val="single" w:sz="4" w:space="0" w:color="001F5F"/>
          <w:right w:val="single" w:sz="4" w:space="0" w:color="001F5F"/>
          <w:insideH w:val="single" w:sz="4" w:space="0" w:color="001F5F"/>
          <w:insideV w:val="single" w:sz="4" w:space="0" w:color="001F5F"/>
        </w:tblBorders>
        <w:tblLayout w:type="fixed"/>
        <w:tblLook w:val="01E0" w:firstRow="1" w:lastRow="1" w:firstColumn="1" w:lastColumn="1" w:noHBand="0" w:noVBand="0"/>
      </w:tblPr>
      <w:tblGrid>
        <w:gridCol w:w="3308"/>
        <w:gridCol w:w="493"/>
        <w:gridCol w:w="420"/>
        <w:gridCol w:w="408"/>
        <w:gridCol w:w="353"/>
        <w:gridCol w:w="411"/>
        <w:gridCol w:w="411"/>
        <w:gridCol w:w="418"/>
        <w:gridCol w:w="459"/>
        <w:gridCol w:w="416"/>
        <w:gridCol w:w="413"/>
        <w:gridCol w:w="351"/>
        <w:gridCol w:w="363"/>
        <w:gridCol w:w="351"/>
        <w:gridCol w:w="358"/>
        <w:gridCol w:w="425"/>
        <w:gridCol w:w="569"/>
        <w:gridCol w:w="567"/>
        <w:gridCol w:w="566"/>
        <w:gridCol w:w="566"/>
        <w:gridCol w:w="532"/>
        <w:gridCol w:w="990"/>
        <w:gridCol w:w="810"/>
      </w:tblGrid>
      <w:tr w:rsidR="00A56FE9">
        <w:trPr>
          <w:trHeight w:val="480"/>
        </w:trPr>
        <w:tc>
          <w:tcPr>
            <w:tcW w:w="3308" w:type="dxa"/>
            <w:tcBorders>
              <w:left w:val="nil"/>
            </w:tcBorders>
            <w:shd w:val="clear" w:color="auto" w:fill="F1F1F1"/>
          </w:tcPr>
          <w:p w:rsidR="00A56FE9" w:rsidRDefault="00000000">
            <w:pPr>
              <w:pStyle w:val="TableParagraph"/>
              <w:ind w:left="108" w:right="537"/>
              <w:rPr>
                <w:sz w:val="20"/>
              </w:rPr>
            </w:pPr>
            <w:r>
              <w:rPr>
                <w:b/>
                <w:sz w:val="20"/>
              </w:rPr>
              <w:t>10.</w:t>
            </w:r>
            <w:r>
              <w:rPr>
                <w:b/>
                <w:spacing w:val="-3"/>
                <w:sz w:val="20"/>
              </w:rPr>
              <w:t xml:space="preserve"> </w:t>
            </w:r>
            <w:r>
              <w:rPr>
                <w:sz w:val="20"/>
              </w:rPr>
              <w:t>Reduce</w:t>
            </w:r>
            <w:r>
              <w:rPr>
                <w:spacing w:val="-3"/>
                <w:sz w:val="20"/>
              </w:rPr>
              <w:t xml:space="preserve"> </w:t>
            </w:r>
            <w:r>
              <w:rPr>
                <w:sz w:val="20"/>
              </w:rPr>
              <w:t>inequality</w:t>
            </w:r>
            <w:r>
              <w:rPr>
                <w:spacing w:val="-2"/>
                <w:sz w:val="20"/>
              </w:rPr>
              <w:t xml:space="preserve"> </w:t>
            </w:r>
            <w:r>
              <w:rPr>
                <w:sz w:val="20"/>
              </w:rPr>
              <w:t>within</w:t>
            </w:r>
            <w:r>
              <w:rPr>
                <w:spacing w:val="-4"/>
                <w:sz w:val="20"/>
              </w:rPr>
              <w:t xml:space="preserve"> </w:t>
            </w:r>
            <w:r>
              <w:rPr>
                <w:sz w:val="20"/>
              </w:rPr>
              <w:t>and</w:t>
            </w:r>
            <w:r>
              <w:rPr>
                <w:spacing w:val="-47"/>
                <w:sz w:val="20"/>
              </w:rPr>
              <w:t xml:space="preserve"> </w:t>
            </w:r>
            <w:r>
              <w:rPr>
                <w:sz w:val="20"/>
              </w:rPr>
              <w:t>among</w:t>
            </w:r>
            <w:r>
              <w:rPr>
                <w:spacing w:val="-2"/>
                <w:sz w:val="20"/>
              </w:rPr>
              <w:t xml:space="preserve"> </w:t>
            </w:r>
            <w:r>
              <w:rPr>
                <w:sz w:val="20"/>
              </w:rPr>
              <w:t>countries</w:t>
            </w:r>
          </w:p>
        </w:tc>
        <w:tc>
          <w:tcPr>
            <w:tcW w:w="49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000000">
            <w:pPr>
              <w:pStyle w:val="TableParagraph"/>
              <w:spacing w:before="130"/>
              <w:ind w:right="6"/>
              <w:jc w:val="center"/>
              <w:rPr>
                <w:rFonts w:ascii="Wingdings" w:hAnsi="Wingdings"/>
                <w:sz w:val="18"/>
              </w:rPr>
            </w:pPr>
            <w:r>
              <w:rPr>
                <w:rFonts w:ascii="Wingdings" w:hAnsi="Wingdings"/>
                <w:color w:val="C00000"/>
                <w:sz w:val="18"/>
              </w:rPr>
              <w:t></w:t>
            </w: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000000">
            <w:pPr>
              <w:pStyle w:val="TableParagraph"/>
              <w:spacing w:before="130"/>
              <w:ind w:right="10"/>
              <w:jc w:val="center"/>
              <w:rPr>
                <w:rFonts w:ascii="Wingdings" w:hAnsi="Wingdings"/>
                <w:sz w:val="18"/>
              </w:rPr>
            </w:pPr>
            <w:r>
              <w:rPr>
                <w:rFonts w:ascii="Wingdings" w:hAnsi="Wingdings"/>
                <w:color w:val="FFCC00"/>
                <w:sz w:val="18"/>
              </w:rPr>
              <w:t></w:t>
            </w: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rPr>
                <w:sz w:val="18"/>
              </w:rPr>
            </w:pPr>
          </w:p>
        </w:tc>
      </w:tr>
      <w:tr w:rsidR="00A56FE9">
        <w:trPr>
          <w:trHeight w:val="710"/>
        </w:trPr>
        <w:tc>
          <w:tcPr>
            <w:tcW w:w="3308" w:type="dxa"/>
            <w:tcBorders>
              <w:left w:val="nil"/>
            </w:tcBorders>
            <w:shd w:val="clear" w:color="auto" w:fill="F1F1F1"/>
          </w:tcPr>
          <w:p w:rsidR="00A56FE9" w:rsidRDefault="00000000">
            <w:pPr>
              <w:pStyle w:val="TableParagraph"/>
              <w:ind w:left="108" w:right="357"/>
              <w:rPr>
                <w:sz w:val="20"/>
              </w:rPr>
            </w:pPr>
            <w:r>
              <w:rPr>
                <w:b/>
                <w:sz w:val="20"/>
              </w:rPr>
              <w:t xml:space="preserve">11. </w:t>
            </w:r>
            <w:r>
              <w:rPr>
                <w:sz w:val="20"/>
              </w:rPr>
              <w:t>Make cities and human</w:t>
            </w:r>
            <w:r>
              <w:rPr>
                <w:spacing w:val="1"/>
                <w:sz w:val="20"/>
              </w:rPr>
              <w:t xml:space="preserve"> </w:t>
            </w:r>
            <w:r>
              <w:rPr>
                <w:sz w:val="20"/>
              </w:rPr>
              <w:t>settlements</w:t>
            </w:r>
            <w:r>
              <w:rPr>
                <w:spacing w:val="-8"/>
                <w:sz w:val="20"/>
              </w:rPr>
              <w:t xml:space="preserve"> </w:t>
            </w:r>
            <w:r>
              <w:rPr>
                <w:sz w:val="20"/>
              </w:rPr>
              <w:t>inclusive,</w:t>
            </w:r>
            <w:r>
              <w:rPr>
                <w:spacing w:val="-7"/>
                <w:sz w:val="20"/>
              </w:rPr>
              <w:t xml:space="preserve"> </w:t>
            </w:r>
            <w:r>
              <w:rPr>
                <w:sz w:val="20"/>
              </w:rPr>
              <w:t>safe,</w:t>
            </w:r>
            <w:r>
              <w:rPr>
                <w:spacing w:val="-6"/>
                <w:sz w:val="20"/>
              </w:rPr>
              <w:t xml:space="preserve"> </w:t>
            </w:r>
            <w:r>
              <w:rPr>
                <w:sz w:val="20"/>
              </w:rPr>
              <w:t>resilient</w:t>
            </w:r>
            <w:r>
              <w:rPr>
                <w:spacing w:val="-47"/>
                <w:sz w:val="20"/>
              </w:rPr>
              <w:t xml:space="preserve"> </w:t>
            </w:r>
            <w:r>
              <w:rPr>
                <w:sz w:val="20"/>
              </w:rPr>
              <w:t>and sustainable</w:t>
            </w:r>
          </w:p>
        </w:tc>
        <w:tc>
          <w:tcPr>
            <w:tcW w:w="493" w:type="dxa"/>
          </w:tcPr>
          <w:p w:rsidR="00A56FE9" w:rsidRDefault="00A56FE9">
            <w:pPr>
              <w:pStyle w:val="TableParagraph"/>
              <w:spacing w:before="4"/>
              <w:rPr>
                <w:b/>
                <w:sz w:val="21"/>
              </w:rPr>
            </w:pPr>
          </w:p>
          <w:p w:rsidR="00A56FE9" w:rsidRDefault="00000000">
            <w:pPr>
              <w:pStyle w:val="TableParagraph"/>
              <w:ind w:right="1"/>
              <w:jc w:val="center"/>
              <w:rPr>
                <w:rFonts w:ascii="Wingdings" w:hAnsi="Wingdings"/>
                <w:sz w:val="18"/>
              </w:rPr>
            </w:pPr>
            <w:r>
              <w:rPr>
                <w:rFonts w:ascii="Wingdings" w:hAnsi="Wingdings"/>
                <w:color w:val="006FC0"/>
                <w:sz w:val="18"/>
              </w:rPr>
              <w:t></w:t>
            </w:r>
          </w:p>
        </w:tc>
        <w:tc>
          <w:tcPr>
            <w:tcW w:w="420" w:type="dxa"/>
          </w:tcPr>
          <w:p w:rsidR="00A56FE9" w:rsidRDefault="00A56FE9">
            <w:pPr>
              <w:pStyle w:val="TableParagraph"/>
              <w:rPr>
                <w:sz w:val="18"/>
              </w:rPr>
            </w:pPr>
          </w:p>
        </w:tc>
        <w:tc>
          <w:tcPr>
            <w:tcW w:w="408" w:type="dxa"/>
          </w:tcPr>
          <w:p w:rsidR="00A56FE9" w:rsidRDefault="00A56FE9">
            <w:pPr>
              <w:pStyle w:val="TableParagraph"/>
              <w:spacing w:before="4"/>
              <w:rPr>
                <w:b/>
                <w:sz w:val="21"/>
              </w:rPr>
            </w:pPr>
          </w:p>
          <w:p w:rsidR="00A56FE9" w:rsidRDefault="00000000">
            <w:pPr>
              <w:pStyle w:val="TableParagraph"/>
              <w:ind w:right="4"/>
              <w:jc w:val="center"/>
              <w:rPr>
                <w:rFonts w:ascii="Wingdings" w:hAnsi="Wingdings"/>
                <w:sz w:val="18"/>
              </w:rPr>
            </w:pPr>
            <w:r>
              <w:rPr>
                <w:rFonts w:ascii="Wingdings" w:hAnsi="Wingdings"/>
                <w:color w:val="006FC0"/>
                <w:sz w:val="18"/>
              </w:rPr>
              <w:t></w:t>
            </w: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spacing w:before="4"/>
              <w:rPr>
                <w:b/>
                <w:sz w:val="21"/>
              </w:rPr>
            </w:pPr>
          </w:p>
          <w:p w:rsidR="00A56FE9" w:rsidRDefault="00000000">
            <w:pPr>
              <w:pStyle w:val="TableParagraph"/>
              <w:ind w:left="130"/>
              <w:rPr>
                <w:rFonts w:ascii="Wingdings" w:hAnsi="Wingdings"/>
                <w:sz w:val="18"/>
              </w:rPr>
            </w:pPr>
            <w:r>
              <w:rPr>
                <w:rFonts w:ascii="Wingdings" w:hAnsi="Wingdings"/>
                <w:color w:val="006FC0"/>
                <w:sz w:val="18"/>
              </w:rPr>
              <w:t></w:t>
            </w:r>
          </w:p>
        </w:tc>
        <w:tc>
          <w:tcPr>
            <w:tcW w:w="418" w:type="dxa"/>
          </w:tcPr>
          <w:p w:rsidR="00A56FE9" w:rsidRDefault="00A56FE9">
            <w:pPr>
              <w:pStyle w:val="TableParagraph"/>
              <w:rPr>
                <w:sz w:val="18"/>
              </w:rPr>
            </w:pPr>
          </w:p>
        </w:tc>
        <w:tc>
          <w:tcPr>
            <w:tcW w:w="459" w:type="dxa"/>
          </w:tcPr>
          <w:p w:rsidR="00A56FE9" w:rsidRDefault="00A56FE9">
            <w:pPr>
              <w:pStyle w:val="TableParagraph"/>
              <w:spacing w:before="4"/>
              <w:rPr>
                <w:b/>
                <w:sz w:val="21"/>
              </w:rPr>
            </w:pPr>
          </w:p>
          <w:p w:rsidR="00A56FE9" w:rsidRDefault="00000000">
            <w:pPr>
              <w:pStyle w:val="TableParagraph"/>
              <w:ind w:right="6"/>
              <w:jc w:val="center"/>
              <w:rPr>
                <w:rFonts w:ascii="Wingdings" w:hAnsi="Wingdings"/>
                <w:sz w:val="18"/>
              </w:rPr>
            </w:pPr>
            <w:r>
              <w:rPr>
                <w:rFonts w:ascii="Wingdings" w:hAnsi="Wingdings"/>
                <w:color w:val="C00000"/>
                <w:sz w:val="18"/>
              </w:rPr>
              <w:t></w:t>
            </w: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spacing w:before="4"/>
              <w:rPr>
                <w:b/>
                <w:sz w:val="21"/>
              </w:rPr>
            </w:pPr>
          </w:p>
          <w:p w:rsidR="00A56FE9" w:rsidRDefault="00000000">
            <w:pPr>
              <w:pStyle w:val="TableParagraph"/>
              <w:ind w:left="325"/>
              <w:rPr>
                <w:rFonts w:ascii="Wingdings" w:hAnsi="Wingdings"/>
                <w:sz w:val="18"/>
              </w:rPr>
            </w:pPr>
            <w:r>
              <w:rPr>
                <w:rFonts w:ascii="Wingdings" w:hAnsi="Wingdings"/>
                <w:color w:val="006FC0"/>
                <w:sz w:val="18"/>
              </w:rPr>
              <w:t></w:t>
            </w:r>
          </w:p>
        </w:tc>
      </w:tr>
      <w:tr w:rsidR="00A56FE9">
        <w:trPr>
          <w:trHeight w:val="479"/>
        </w:trPr>
        <w:tc>
          <w:tcPr>
            <w:tcW w:w="3308" w:type="dxa"/>
            <w:tcBorders>
              <w:left w:val="nil"/>
            </w:tcBorders>
            <w:shd w:val="clear" w:color="auto" w:fill="F1F1F1"/>
          </w:tcPr>
          <w:p w:rsidR="00A56FE9" w:rsidRDefault="00000000">
            <w:pPr>
              <w:pStyle w:val="TableParagraph"/>
              <w:ind w:left="108" w:right="309"/>
              <w:rPr>
                <w:sz w:val="20"/>
              </w:rPr>
            </w:pPr>
            <w:r>
              <w:rPr>
                <w:b/>
                <w:sz w:val="20"/>
              </w:rPr>
              <w:t>12.</w:t>
            </w:r>
            <w:r>
              <w:rPr>
                <w:b/>
                <w:spacing w:val="-4"/>
                <w:sz w:val="20"/>
              </w:rPr>
              <w:t xml:space="preserve"> </w:t>
            </w:r>
            <w:r>
              <w:rPr>
                <w:sz w:val="20"/>
              </w:rPr>
              <w:t>Ensure</w:t>
            </w:r>
            <w:r>
              <w:rPr>
                <w:spacing w:val="-4"/>
                <w:sz w:val="20"/>
              </w:rPr>
              <w:t xml:space="preserve"> </w:t>
            </w:r>
            <w:r>
              <w:rPr>
                <w:sz w:val="20"/>
              </w:rPr>
              <w:t>sustainable</w:t>
            </w:r>
            <w:r>
              <w:rPr>
                <w:spacing w:val="-4"/>
                <w:sz w:val="20"/>
              </w:rPr>
              <w:t xml:space="preserve"> </w:t>
            </w:r>
            <w:r>
              <w:rPr>
                <w:sz w:val="20"/>
              </w:rPr>
              <w:t>consumption</w:t>
            </w:r>
            <w:r>
              <w:rPr>
                <w:spacing w:val="-47"/>
                <w:sz w:val="20"/>
              </w:rPr>
              <w:t xml:space="preserve"> </w:t>
            </w:r>
            <w:r>
              <w:rPr>
                <w:sz w:val="20"/>
              </w:rPr>
              <w:t>and production</w:t>
            </w:r>
            <w:r>
              <w:rPr>
                <w:spacing w:val="-1"/>
                <w:sz w:val="20"/>
              </w:rPr>
              <w:t xml:space="preserve"> </w:t>
            </w:r>
            <w:r>
              <w:rPr>
                <w:sz w:val="20"/>
              </w:rPr>
              <w:t>patterns</w:t>
            </w:r>
          </w:p>
        </w:tc>
        <w:tc>
          <w:tcPr>
            <w:tcW w:w="49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08" w:type="dxa"/>
          </w:tcPr>
          <w:p w:rsidR="00A56FE9" w:rsidRDefault="00000000">
            <w:pPr>
              <w:pStyle w:val="TableParagraph"/>
              <w:spacing w:before="130"/>
              <w:ind w:right="4"/>
              <w:jc w:val="center"/>
              <w:rPr>
                <w:rFonts w:ascii="Wingdings" w:hAnsi="Wingdings"/>
                <w:sz w:val="18"/>
              </w:rPr>
            </w:pPr>
            <w:r>
              <w:rPr>
                <w:rFonts w:ascii="Wingdings" w:hAnsi="Wingdings"/>
                <w:color w:val="006FC0"/>
                <w:sz w:val="18"/>
              </w:rPr>
              <w:t></w:t>
            </w: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000000">
            <w:pPr>
              <w:pStyle w:val="TableParagraph"/>
              <w:spacing w:before="130"/>
              <w:ind w:left="130"/>
              <w:rPr>
                <w:rFonts w:ascii="Wingdings" w:hAnsi="Wingdings"/>
                <w:sz w:val="18"/>
              </w:rPr>
            </w:pPr>
            <w:r>
              <w:rPr>
                <w:rFonts w:ascii="Wingdings" w:hAnsi="Wingdings"/>
                <w:color w:val="006FC0"/>
                <w:sz w:val="18"/>
              </w:rPr>
              <w:t></w:t>
            </w:r>
          </w:p>
        </w:tc>
        <w:tc>
          <w:tcPr>
            <w:tcW w:w="418" w:type="dxa"/>
          </w:tcPr>
          <w:p w:rsidR="00A56FE9" w:rsidRDefault="00A56FE9">
            <w:pPr>
              <w:pStyle w:val="TableParagraph"/>
              <w:rPr>
                <w:sz w:val="18"/>
              </w:rPr>
            </w:pPr>
          </w:p>
        </w:tc>
        <w:tc>
          <w:tcPr>
            <w:tcW w:w="459" w:type="dxa"/>
          </w:tcPr>
          <w:p w:rsidR="00A56FE9" w:rsidRDefault="00A56FE9">
            <w:pPr>
              <w:pStyle w:val="TableParagraph"/>
              <w:rPr>
                <w:sz w:val="18"/>
              </w:rPr>
            </w:pP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rPr>
                <w:sz w:val="18"/>
              </w:rPr>
            </w:pPr>
          </w:p>
        </w:tc>
      </w:tr>
      <w:tr w:rsidR="00A56FE9">
        <w:trPr>
          <w:trHeight w:val="479"/>
        </w:trPr>
        <w:tc>
          <w:tcPr>
            <w:tcW w:w="3308" w:type="dxa"/>
            <w:tcBorders>
              <w:left w:val="nil"/>
            </w:tcBorders>
            <w:shd w:val="clear" w:color="auto" w:fill="F1F1F1"/>
          </w:tcPr>
          <w:p w:rsidR="00A56FE9" w:rsidRDefault="00000000">
            <w:pPr>
              <w:pStyle w:val="TableParagraph"/>
              <w:ind w:left="108" w:right="531"/>
              <w:rPr>
                <w:sz w:val="20"/>
              </w:rPr>
            </w:pPr>
            <w:r>
              <w:rPr>
                <w:b/>
                <w:sz w:val="20"/>
              </w:rPr>
              <w:t xml:space="preserve">13. </w:t>
            </w:r>
            <w:r>
              <w:rPr>
                <w:sz w:val="20"/>
              </w:rPr>
              <w:t>Take urgent action to combat</w:t>
            </w:r>
            <w:r>
              <w:rPr>
                <w:spacing w:val="-48"/>
                <w:sz w:val="20"/>
              </w:rPr>
              <w:t xml:space="preserve"> </w:t>
            </w:r>
            <w:r>
              <w:rPr>
                <w:sz w:val="20"/>
              </w:rPr>
              <w:t>climate</w:t>
            </w:r>
            <w:r>
              <w:rPr>
                <w:spacing w:val="-2"/>
                <w:sz w:val="20"/>
              </w:rPr>
              <w:t xml:space="preserve"> </w:t>
            </w:r>
            <w:r>
              <w:rPr>
                <w:sz w:val="20"/>
              </w:rPr>
              <w:t>change</w:t>
            </w:r>
            <w:r>
              <w:rPr>
                <w:spacing w:val="-1"/>
                <w:sz w:val="20"/>
              </w:rPr>
              <w:t xml:space="preserve"> </w:t>
            </w:r>
            <w:r>
              <w:rPr>
                <w:sz w:val="20"/>
              </w:rPr>
              <w:t>and</w:t>
            </w:r>
            <w:r>
              <w:rPr>
                <w:spacing w:val="-1"/>
                <w:sz w:val="20"/>
              </w:rPr>
              <w:t xml:space="preserve"> </w:t>
            </w:r>
            <w:r>
              <w:rPr>
                <w:sz w:val="20"/>
              </w:rPr>
              <w:t>its</w:t>
            </w:r>
            <w:r>
              <w:rPr>
                <w:spacing w:val="-2"/>
                <w:sz w:val="20"/>
              </w:rPr>
              <w:t xml:space="preserve"> </w:t>
            </w:r>
            <w:r>
              <w:rPr>
                <w:sz w:val="20"/>
              </w:rPr>
              <w:t>impacts</w:t>
            </w:r>
          </w:p>
        </w:tc>
        <w:tc>
          <w:tcPr>
            <w:tcW w:w="493" w:type="dxa"/>
          </w:tcPr>
          <w:p w:rsidR="00A56FE9" w:rsidRDefault="00000000">
            <w:pPr>
              <w:pStyle w:val="TableParagraph"/>
              <w:spacing w:before="133"/>
              <w:ind w:right="1"/>
              <w:jc w:val="center"/>
              <w:rPr>
                <w:rFonts w:ascii="Wingdings" w:hAnsi="Wingdings"/>
                <w:sz w:val="18"/>
              </w:rPr>
            </w:pPr>
            <w:r>
              <w:rPr>
                <w:rFonts w:ascii="Wingdings" w:hAnsi="Wingdings"/>
                <w:color w:val="006FC0"/>
                <w:sz w:val="18"/>
              </w:rPr>
              <w:t></w:t>
            </w:r>
          </w:p>
        </w:tc>
        <w:tc>
          <w:tcPr>
            <w:tcW w:w="420" w:type="dxa"/>
          </w:tcPr>
          <w:p w:rsidR="00A56FE9" w:rsidRDefault="00000000">
            <w:pPr>
              <w:pStyle w:val="TableParagraph"/>
              <w:spacing w:before="133"/>
              <w:ind w:right="2"/>
              <w:jc w:val="center"/>
              <w:rPr>
                <w:rFonts w:ascii="Wingdings" w:hAnsi="Wingdings"/>
                <w:sz w:val="18"/>
              </w:rPr>
            </w:pPr>
            <w:r>
              <w:rPr>
                <w:rFonts w:ascii="Wingdings" w:hAnsi="Wingdings"/>
                <w:color w:val="006FC0"/>
                <w:sz w:val="18"/>
              </w:rPr>
              <w:t></w:t>
            </w: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000000">
            <w:pPr>
              <w:pStyle w:val="TableParagraph"/>
              <w:spacing w:before="133"/>
              <w:ind w:right="6"/>
              <w:jc w:val="center"/>
              <w:rPr>
                <w:rFonts w:ascii="Wingdings" w:hAnsi="Wingdings"/>
                <w:sz w:val="18"/>
              </w:rPr>
            </w:pPr>
            <w:r>
              <w:rPr>
                <w:rFonts w:ascii="Wingdings" w:hAnsi="Wingdings"/>
                <w:color w:val="C00000"/>
                <w:sz w:val="18"/>
              </w:rPr>
              <w:t></w:t>
            </w: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000000">
            <w:pPr>
              <w:pStyle w:val="TableParagraph"/>
              <w:spacing w:before="133"/>
              <w:ind w:left="325"/>
              <w:rPr>
                <w:rFonts w:ascii="Wingdings" w:hAnsi="Wingdings"/>
                <w:sz w:val="18"/>
              </w:rPr>
            </w:pPr>
            <w:r>
              <w:rPr>
                <w:rFonts w:ascii="Wingdings" w:hAnsi="Wingdings"/>
                <w:color w:val="006FC0"/>
                <w:sz w:val="18"/>
              </w:rPr>
              <w:t></w:t>
            </w:r>
          </w:p>
        </w:tc>
      </w:tr>
      <w:tr w:rsidR="00A56FE9">
        <w:trPr>
          <w:trHeight w:val="710"/>
        </w:trPr>
        <w:tc>
          <w:tcPr>
            <w:tcW w:w="3308" w:type="dxa"/>
            <w:tcBorders>
              <w:left w:val="nil"/>
            </w:tcBorders>
            <w:shd w:val="clear" w:color="auto" w:fill="F1F1F1"/>
          </w:tcPr>
          <w:p w:rsidR="00A56FE9" w:rsidRDefault="00000000">
            <w:pPr>
              <w:pStyle w:val="TableParagraph"/>
              <w:ind w:left="108" w:right="187"/>
              <w:jc w:val="both"/>
              <w:rPr>
                <w:sz w:val="20"/>
              </w:rPr>
            </w:pPr>
            <w:r>
              <w:rPr>
                <w:b/>
                <w:sz w:val="20"/>
              </w:rPr>
              <w:t xml:space="preserve">14. </w:t>
            </w:r>
            <w:r>
              <w:rPr>
                <w:sz w:val="20"/>
              </w:rPr>
              <w:t>Conserve and sustainably use the</w:t>
            </w:r>
            <w:r>
              <w:rPr>
                <w:spacing w:val="1"/>
                <w:sz w:val="20"/>
              </w:rPr>
              <w:t xml:space="preserve"> </w:t>
            </w:r>
            <w:r>
              <w:rPr>
                <w:sz w:val="20"/>
              </w:rPr>
              <w:t>oceans,</w:t>
            </w:r>
            <w:r>
              <w:rPr>
                <w:spacing w:val="-4"/>
                <w:sz w:val="20"/>
              </w:rPr>
              <w:t xml:space="preserve"> </w:t>
            </w:r>
            <w:r>
              <w:rPr>
                <w:sz w:val="20"/>
              </w:rPr>
              <w:t>seas</w:t>
            </w:r>
            <w:r>
              <w:rPr>
                <w:spacing w:val="-4"/>
                <w:sz w:val="20"/>
              </w:rPr>
              <w:t xml:space="preserve"> </w:t>
            </w:r>
            <w:r>
              <w:rPr>
                <w:sz w:val="20"/>
              </w:rPr>
              <w:t>and marine</w:t>
            </w:r>
            <w:r>
              <w:rPr>
                <w:spacing w:val="-3"/>
                <w:sz w:val="20"/>
              </w:rPr>
              <w:t xml:space="preserve"> </w:t>
            </w:r>
            <w:r>
              <w:rPr>
                <w:sz w:val="20"/>
              </w:rPr>
              <w:t>resources</w:t>
            </w:r>
            <w:r>
              <w:rPr>
                <w:spacing w:val="-4"/>
                <w:sz w:val="20"/>
              </w:rPr>
              <w:t xml:space="preserve"> </w:t>
            </w:r>
            <w:r>
              <w:rPr>
                <w:sz w:val="20"/>
              </w:rPr>
              <w:t>for</w:t>
            </w:r>
            <w:r>
              <w:rPr>
                <w:spacing w:val="-47"/>
                <w:sz w:val="20"/>
              </w:rPr>
              <w:t xml:space="preserve"> </w:t>
            </w:r>
            <w:r>
              <w:rPr>
                <w:sz w:val="20"/>
              </w:rPr>
              <w:t>sustainable</w:t>
            </w:r>
            <w:r>
              <w:rPr>
                <w:spacing w:val="-1"/>
                <w:sz w:val="20"/>
              </w:rPr>
              <w:t xml:space="preserve"> </w:t>
            </w:r>
            <w:r>
              <w:rPr>
                <w:sz w:val="20"/>
              </w:rPr>
              <w:t>development</w:t>
            </w:r>
          </w:p>
        </w:tc>
        <w:tc>
          <w:tcPr>
            <w:tcW w:w="49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A56FE9">
            <w:pPr>
              <w:pStyle w:val="TableParagraph"/>
              <w:rPr>
                <w:sz w:val="18"/>
              </w:rPr>
            </w:pP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rPr>
                <w:sz w:val="18"/>
              </w:rPr>
            </w:pPr>
          </w:p>
        </w:tc>
      </w:tr>
      <w:tr w:rsidR="00A56FE9">
        <w:trPr>
          <w:trHeight w:val="1401"/>
        </w:trPr>
        <w:tc>
          <w:tcPr>
            <w:tcW w:w="3308" w:type="dxa"/>
            <w:tcBorders>
              <w:left w:val="nil"/>
            </w:tcBorders>
            <w:shd w:val="clear" w:color="auto" w:fill="F1F1F1"/>
          </w:tcPr>
          <w:p w:rsidR="00A56FE9" w:rsidRDefault="00000000">
            <w:pPr>
              <w:pStyle w:val="TableParagraph"/>
              <w:ind w:left="108" w:right="202"/>
              <w:rPr>
                <w:sz w:val="20"/>
              </w:rPr>
            </w:pPr>
            <w:r>
              <w:rPr>
                <w:b/>
                <w:sz w:val="20"/>
              </w:rPr>
              <w:t xml:space="preserve">15. </w:t>
            </w:r>
            <w:r>
              <w:rPr>
                <w:sz w:val="20"/>
              </w:rPr>
              <w:t>Protect, restore and promote</w:t>
            </w:r>
            <w:r>
              <w:rPr>
                <w:spacing w:val="1"/>
                <w:sz w:val="20"/>
              </w:rPr>
              <w:t xml:space="preserve"> </w:t>
            </w:r>
            <w:r>
              <w:rPr>
                <w:sz w:val="20"/>
              </w:rPr>
              <w:t>sustainable use of terrestrial</w:t>
            </w:r>
            <w:r>
              <w:rPr>
                <w:spacing w:val="1"/>
                <w:sz w:val="20"/>
              </w:rPr>
              <w:t xml:space="preserve"> </w:t>
            </w:r>
            <w:r>
              <w:rPr>
                <w:sz w:val="20"/>
              </w:rPr>
              <w:t>ecosystems, sustainably manage</w:t>
            </w:r>
            <w:r>
              <w:rPr>
                <w:spacing w:val="1"/>
                <w:sz w:val="20"/>
              </w:rPr>
              <w:t xml:space="preserve"> </w:t>
            </w:r>
            <w:r>
              <w:rPr>
                <w:sz w:val="20"/>
              </w:rPr>
              <w:t>forests, combat desertification, and</w:t>
            </w:r>
            <w:r>
              <w:rPr>
                <w:spacing w:val="1"/>
                <w:sz w:val="20"/>
              </w:rPr>
              <w:t xml:space="preserve"> </w:t>
            </w:r>
            <w:r>
              <w:rPr>
                <w:sz w:val="20"/>
              </w:rPr>
              <w:t>halt</w:t>
            </w:r>
            <w:r>
              <w:rPr>
                <w:spacing w:val="-5"/>
                <w:sz w:val="20"/>
              </w:rPr>
              <w:t xml:space="preserve"> </w:t>
            </w:r>
            <w:r>
              <w:rPr>
                <w:sz w:val="20"/>
              </w:rPr>
              <w:t>and</w:t>
            </w:r>
            <w:r>
              <w:rPr>
                <w:spacing w:val="-3"/>
                <w:sz w:val="20"/>
              </w:rPr>
              <w:t xml:space="preserve"> </w:t>
            </w:r>
            <w:r>
              <w:rPr>
                <w:sz w:val="20"/>
              </w:rPr>
              <w:t>reverse</w:t>
            </w:r>
            <w:r>
              <w:rPr>
                <w:spacing w:val="-4"/>
                <w:sz w:val="20"/>
              </w:rPr>
              <w:t xml:space="preserve"> </w:t>
            </w:r>
            <w:r>
              <w:rPr>
                <w:sz w:val="20"/>
              </w:rPr>
              <w:t>land</w:t>
            </w:r>
            <w:r>
              <w:rPr>
                <w:spacing w:val="-4"/>
                <w:sz w:val="20"/>
              </w:rPr>
              <w:t xml:space="preserve"> </w:t>
            </w:r>
            <w:r>
              <w:rPr>
                <w:sz w:val="20"/>
              </w:rPr>
              <w:t>degradation</w:t>
            </w:r>
            <w:r>
              <w:rPr>
                <w:spacing w:val="-5"/>
                <w:sz w:val="20"/>
              </w:rPr>
              <w:t xml:space="preserve"> </w:t>
            </w:r>
            <w:r>
              <w:rPr>
                <w:sz w:val="20"/>
              </w:rPr>
              <w:t>and</w:t>
            </w:r>
            <w:r>
              <w:rPr>
                <w:spacing w:val="-47"/>
                <w:sz w:val="20"/>
              </w:rPr>
              <w:t xml:space="preserve"> </w:t>
            </w:r>
            <w:r>
              <w:rPr>
                <w:sz w:val="20"/>
              </w:rPr>
              <w:t>halt</w:t>
            </w:r>
            <w:r>
              <w:rPr>
                <w:spacing w:val="-1"/>
                <w:sz w:val="20"/>
              </w:rPr>
              <w:t xml:space="preserve"> </w:t>
            </w:r>
            <w:r>
              <w:rPr>
                <w:sz w:val="20"/>
              </w:rPr>
              <w:t>biodiversity</w:t>
            </w:r>
            <w:r>
              <w:rPr>
                <w:spacing w:val="-1"/>
                <w:sz w:val="20"/>
              </w:rPr>
              <w:t xml:space="preserve"> </w:t>
            </w:r>
            <w:r>
              <w:rPr>
                <w:sz w:val="20"/>
              </w:rPr>
              <w:t>loss</w:t>
            </w:r>
          </w:p>
        </w:tc>
        <w:tc>
          <w:tcPr>
            <w:tcW w:w="493" w:type="dxa"/>
          </w:tcPr>
          <w:p w:rsidR="00A56FE9" w:rsidRDefault="00A56FE9">
            <w:pPr>
              <w:pStyle w:val="TableParagraph"/>
              <w:rPr>
                <w:sz w:val="18"/>
              </w:rPr>
            </w:pPr>
          </w:p>
        </w:tc>
        <w:tc>
          <w:tcPr>
            <w:tcW w:w="420" w:type="dxa"/>
          </w:tcPr>
          <w:p w:rsidR="00A56FE9" w:rsidRDefault="00A56FE9">
            <w:pPr>
              <w:pStyle w:val="TableParagraph"/>
              <w:rPr>
                <w:b/>
                <w:sz w:val="20"/>
              </w:rPr>
            </w:pPr>
          </w:p>
          <w:p w:rsidR="00A56FE9" w:rsidRDefault="00A56FE9">
            <w:pPr>
              <w:pStyle w:val="TableParagraph"/>
              <w:rPr>
                <w:b/>
                <w:sz w:val="20"/>
              </w:rPr>
            </w:pPr>
          </w:p>
          <w:p w:rsidR="00A56FE9" w:rsidRDefault="00000000">
            <w:pPr>
              <w:pStyle w:val="TableParagraph"/>
              <w:spacing w:before="131"/>
              <w:ind w:right="2"/>
              <w:jc w:val="center"/>
              <w:rPr>
                <w:rFonts w:ascii="Wingdings" w:hAnsi="Wingdings"/>
                <w:sz w:val="18"/>
              </w:rPr>
            </w:pPr>
            <w:r>
              <w:rPr>
                <w:rFonts w:ascii="Wingdings" w:hAnsi="Wingdings"/>
                <w:color w:val="006FC0"/>
                <w:sz w:val="18"/>
              </w:rPr>
              <w:t></w:t>
            </w: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A56FE9">
            <w:pPr>
              <w:pStyle w:val="TableParagraph"/>
              <w:rPr>
                <w:sz w:val="18"/>
              </w:rPr>
            </w:pP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rPr>
                <w:sz w:val="18"/>
              </w:rPr>
            </w:pPr>
          </w:p>
        </w:tc>
      </w:tr>
      <w:tr w:rsidR="00A56FE9">
        <w:trPr>
          <w:trHeight w:val="1168"/>
        </w:trPr>
        <w:tc>
          <w:tcPr>
            <w:tcW w:w="3308" w:type="dxa"/>
            <w:tcBorders>
              <w:left w:val="nil"/>
            </w:tcBorders>
            <w:shd w:val="clear" w:color="auto" w:fill="F1F1F1"/>
          </w:tcPr>
          <w:p w:rsidR="00A56FE9" w:rsidRDefault="00000000">
            <w:pPr>
              <w:pStyle w:val="TableParagraph"/>
              <w:ind w:left="108" w:right="144"/>
              <w:rPr>
                <w:sz w:val="20"/>
              </w:rPr>
            </w:pPr>
            <w:r>
              <w:rPr>
                <w:b/>
                <w:sz w:val="20"/>
              </w:rPr>
              <w:t xml:space="preserve">16. </w:t>
            </w:r>
            <w:r>
              <w:rPr>
                <w:sz w:val="20"/>
              </w:rPr>
              <w:t>Promote peaceful and inclusive</w:t>
            </w:r>
            <w:r>
              <w:rPr>
                <w:spacing w:val="1"/>
                <w:sz w:val="20"/>
              </w:rPr>
              <w:t xml:space="preserve"> </w:t>
            </w:r>
            <w:r>
              <w:rPr>
                <w:sz w:val="20"/>
              </w:rPr>
              <w:t>societies</w:t>
            </w:r>
            <w:r>
              <w:rPr>
                <w:spacing w:val="-4"/>
                <w:sz w:val="20"/>
              </w:rPr>
              <w:t xml:space="preserve"> </w:t>
            </w:r>
            <w:r>
              <w:rPr>
                <w:sz w:val="20"/>
              </w:rPr>
              <w:t>for</w:t>
            </w:r>
            <w:r>
              <w:rPr>
                <w:spacing w:val="-4"/>
                <w:sz w:val="20"/>
              </w:rPr>
              <w:t xml:space="preserve"> </w:t>
            </w:r>
            <w:r>
              <w:rPr>
                <w:sz w:val="20"/>
              </w:rPr>
              <w:t>sustainable</w:t>
            </w:r>
            <w:r>
              <w:rPr>
                <w:spacing w:val="-5"/>
                <w:sz w:val="20"/>
              </w:rPr>
              <w:t xml:space="preserve"> </w:t>
            </w:r>
            <w:r>
              <w:rPr>
                <w:sz w:val="20"/>
              </w:rPr>
              <w:t>development,</w:t>
            </w:r>
            <w:r>
              <w:rPr>
                <w:spacing w:val="-47"/>
                <w:sz w:val="20"/>
              </w:rPr>
              <w:t xml:space="preserve"> </w:t>
            </w:r>
            <w:r>
              <w:rPr>
                <w:sz w:val="20"/>
              </w:rPr>
              <w:t>provide access to justice for all and</w:t>
            </w:r>
            <w:r>
              <w:rPr>
                <w:spacing w:val="1"/>
                <w:sz w:val="20"/>
              </w:rPr>
              <w:t xml:space="preserve"> </w:t>
            </w:r>
            <w:r>
              <w:rPr>
                <w:sz w:val="20"/>
              </w:rPr>
              <w:t>build effective, accountable and</w:t>
            </w:r>
            <w:r>
              <w:rPr>
                <w:spacing w:val="1"/>
                <w:sz w:val="20"/>
              </w:rPr>
              <w:t xml:space="preserve"> </w:t>
            </w:r>
            <w:r>
              <w:rPr>
                <w:sz w:val="20"/>
              </w:rPr>
              <w:t>inclusive</w:t>
            </w:r>
            <w:r>
              <w:rPr>
                <w:spacing w:val="-1"/>
                <w:sz w:val="20"/>
              </w:rPr>
              <w:t xml:space="preserve"> </w:t>
            </w:r>
            <w:r>
              <w:rPr>
                <w:sz w:val="20"/>
              </w:rPr>
              <w:t>institutions</w:t>
            </w:r>
            <w:r>
              <w:rPr>
                <w:spacing w:val="-2"/>
                <w:sz w:val="20"/>
              </w:rPr>
              <w:t xml:space="preserve"> </w:t>
            </w:r>
            <w:r>
              <w:rPr>
                <w:sz w:val="20"/>
              </w:rPr>
              <w:t>at</w:t>
            </w:r>
            <w:r>
              <w:rPr>
                <w:spacing w:val="-1"/>
                <w:sz w:val="20"/>
              </w:rPr>
              <w:t xml:space="preserve"> </w:t>
            </w:r>
            <w:r>
              <w:rPr>
                <w:sz w:val="20"/>
              </w:rPr>
              <w:t>all</w:t>
            </w:r>
            <w:r>
              <w:rPr>
                <w:spacing w:val="-1"/>
                <w:sz w:val="20"/>
              </w:rPr>
              <w:t xml:space="preserve"> </w:t>
            </w:r>
            <w:r>
              <w:rPr>
                <w:sz w:val="20"/>
              </w:rPr>
              <w:t>levels</w:t>
            </w:r>
          </w:p>
        </w:tc>
        <w:tc>
          <w:tcPr>
            <w:tcW w:w="493" w:type="dxa"/>
          </w:tcPr>
          <w:p w:rsidR="00A56FE9" w:rsidRDefault="00A56FE9">
            <w:pPr>
              <w:pStyle w:val="TableParagraph"/>
              <w:rPr>
                <w:sz w:val="18"/>
              </w:rPr>
            </w:pPr>
          </w:p>
        </w:tc>
        <w:tc>
          <w:tcPr>
            <w:tcW w:w="420" w:type="dxa"/>
          </w:tcPr>
          <w:p w:rsidR="00A56FE9" w:rsidRDefault="00A56FE9">
            <w:pPr>
              <w:pStyle w:val="TableParagraph"/>
              <w:rPr>
                <w:sz w:val="18"/>
              </w:rPr>
            </w:pP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A56FE9">
            <w:pPr>
              <w:pStyle w:val="TableParagraph"/>
              <w:rPr>
                <w:b/>
                <w:sz w:val="20"/>
              </w:rPr>
            </w:pPr>
          </w:p>
          <w:p w:rsidR="00A56FE9" w:rsidRDefault="00A56FE9">
            <w:pPr>
              <w:pStyle w:val="TableParagraph"/>
              <w:spacing w:before="4"/>
              <w:rPr>
                <w:b/>
                <w:sz w:val="21"/>
              </w:rPr>
            </w:pPr>
          </w:p>
          <w:p w:rsidR="00A56FE9" w:rsidRDefault="00000000">
            <w:pPr>
              <w:pStyle w:val="TableParagraph"/>
              <w:spacing w:before="1"/>
              <w:ind w:right="6"/>
              <w:jc w:val="center"/>
              <w:rPr>
                <w:rFonts w:ascii="Wingdings" w:hAnsi="Wingdings"/>
                <w:sz w:val="18"/>
              </w:rPr>
            </w:pPr>
            <w:r>
              <w:rPr>
                <w:rFonts w:ascii="Wingdings" w:hAnsi="Wingdings"/>
                <w:color w:val="C00000"/>
                <w:sz w:val="18"/>
              </w:rPr>
              <w:t></w:t>
            </w:r>
          </w:p>
        </w:tc>
        <w:tc>
          <w:tcPr>
            <w:tcW w:w="416" w:type="dxa"/>
          </w:tcPr>
          <w:p w:rsidR="00A56FE9" w:rsidRDefault="00A56FE9">
            <w:pPr>
              <w:pStyle w:val="TableParagraph"/>
              <w:rPr>
                <w:b/>
                <w:sz w:val="20"/>
              </w:rPr>
            </w:pPr>
          </w:p>
          <w:p w:rsidR="00A56FE9" w:rsidRDefault="00A56FE9">
            <w:pPr>
              <w:pStyle w:val="TableParagraph"/>
              <w:spacing w:before="4"/>
              <w:rPr>
                <w:b/>
                <w:sz w:val="21"/>
              </w:rPr>
            </w:pPr>
          </w:p>
          <w:p w:rsidR="00A56FE9" w:rsidRDefault="00000000">
            <w:pPr>
              <w:pStyle w:val="TableParagraph"/>
              <w:spacing w:before="1"/>
              <w:ind w:left="131"/>
              <w:rPr>
                <w:rFonts w:ascii="Wingdings" w:hAnsi="Wingdings"/>
                <w:sz w:val="18"/>
              </w:rPr>
            </w:pPr>
            <w:r>
              <w:rPr>
                <w:rFonts w:ascii="Wingdings" w:hAnsi="Wingdings"/>
                <w:color w:val="C00000"/>
                <w:sz w:val="18"/>
              </w:rPr>
              <w:t></w:t>
            </w:r>
          </w:p>
        </w:tc>
        <w:tc>
          <w:tcPr>
            <w:tcW w:w="413" w:type="dxa"/>
          </w:tcPr>
          <w:p w:rsidR="00A56FE9" w:rsidRDefault="00A56FE9">
            <w:pPr>
              <w:pStyle w:val="TableParagraph"/>
              <w:rPr>
                <w:b/>
                <w:sz w:val="20"/>
              </w:rPr>
            </w:pPr>
          </w:p>
          <w:p w:rsidR="00A56FE9" w:rsidRDefault="00A56FE9">
            <w:pPr>
              <w:pStyle w:val="TableParagraph"/>
              <w:spacing w:before="4"/>
              <w:rPr>
                <w:b/>
                <w:sz w:val="21"/>
              </w:rPr>
            </w:pPr>
          </w:p>
          <w:p w:rsidR="00A56FE9" w:rsidRDefault="00000000">
            <w:pPr>
              <w:pStyle w:val="TableParagraph"/>
              <w:spacing w:before="1"/>
              <w:ind w:left="128"/>
              <w:rPr>
                <w:rFonts w:ascii="Wingdings" w:hAnsi="Wingdings"/>
                <w:sz w:val="18"/>
              </w:rPr>
            </w:pPr>
            <w:r>
              <w:rPr>
                <w:rFonts w:ascii="Wingdings" w:hAnsi="Wingdings"/>
                <w:color w:val="C00000"/>
                <w:sz w:val="18"/>
              </w:rPr>
              <w:t></w:t>
            </w:r>
          </w:p>
        </w:tc>
        <w:tc>
          <w:tcPr>
            <w:tcW w:w="351" w:type="dxa"/>
          </w:tcPr>
          <w:p w:rsidR="00A56FE9" w:rsidRDefault="00A56FE9">
            <w:pPr>
              <w:pStyle w:val="TableParagraph"/>
              <w:rPr>
                <w:b/>
                <w:sz w:val="20"/>
              </w:rPr>
            </w:pPr>
          </w:p>
          <w:p w:rsidR="00A56FE9" w:rsidRDefault="00A56FE9">
            <w:pPr>
              <w:pStyle w:val="TableParagraph"/>
              <w:spacing w:before="4"/>
              <w:rPr>
                <w:b/>
                <w:sz w:val="21"/>
              </w:rPr>
            </w:pPr>
          </w:p>
          <w:p w:rsidR="00A56FE9" w:rsidRDefault="00000000">
            <w:pPr>
              <w:pStyle w:val="TableParagraph"/>
              <w:spacing w:before="1"/>
              <w:ind w:left="99"/>
              <w:rPr>
                <w:rFonts w:ascii="Wingdings" w:hAnsi="Wingdings"/>
                <w:sz w:val="18"/>
              </w:rPr>
            </w:pPr>
            <w:r>
              <w:rPr>
                <w:rFonts w:ascii="Wingdings" w:hAnsi="Wingdings"/>
                <w:color w:val="C00000"/>
                <w:sz w:val="18"/>
              </w:rPr>
              <w:t></w:t>
            </w:r>
          </w:p>
        </w:tc>
        <w:tc>
          <w:tcPr>
            <w:tcW w:w="363" w:type="dxa"/>
          </w:tcPr>
          <w:p w:rsidR="00A56FE9" w:rsidRDefault="00A56FE9">
            <w:pPr>
              <w:pStyle w:val="TableParagraph"/>
              <w:rPr>
                <w:b/>
                <w:sz w:val="20"/>
              </w:rPr>
            </w:pPr>
          </w:p>
          <w:p w:rsidR="00A56FE9" w:rsidRDefault="00A56FE9">
            <w:pPr>
              <w:pStyle w:val="TableParagraph"/>
              <w:spacing w:before="4"/>
              <w:rPr>
                <w:b/>
                <w:sz w:val="21"/>
              </w:rPr>
            </w:pPr>
          </w:p>
          <w:p w:rsidR="00A56FE9" w:rsidRDefault="00000000">
            <w:pPr>
              <w:pStyle w:val="TableParagraph"/>
              <w:spacing w:before="1"/>
              <w:ind w:left="103"/>
              <w:rPr>
                <w:rFonts w:ascii="Wingdings" w:hAnsi="Wingdings"/>
                <w:sz w:val="18"/>
              </w:rPr>
            </w:pPr>
            <w:r>
              <w:rPr>
                <w:rFonts w:ascii="Wingdings" w:hAnsi="Wingdings"/>
                <w:color w:val="C00000"/>
                <w:sz w:val="18"/>
              </w:rPr>
              <w:t></w:t>
            </w: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rPr>
                <w:sz w:val="18"/>
              </w:rPr>
            </w:pPr>
          </w:p>
        </w:tc>
      </w:tr>
      <w:tr w:rsidR="00A56FE9">
        <w:trPr>
          <w:trHeight w:val="940"/>
        </w:trPr>
        <w:tc>
          <w:tcPr>
            <w:tcW w:w="3308" w:type="dxa"/>
            <w:tcBorders>
              <w:left w:val="nil"/>
            </w:tcBorders>
            <w:shd w:val="clear" w:color="auto" w:fill="F1F1F1"/>
          </w:tcPr>
          <w:p w:rsidR="00A56FE9" w:rsidRDefault="00000000">
            <w:pPr>
              <w:pStyle w:val="TableParagraph"/>
              <w:ind w:left="108" w:right="431"/>
              <w:rPr>
                <w:sz w:val="20"/>
              </w:rPr>
            </w:pPr>
            <w:r>
              <w:rPr>
                <w:b/>
                <w:sz w:val="20"/>
              </w:rPr>
              <w:t xml:space="preserve">17. </w:t>
            </w:r>
            <w:r>
              <w:rPr>
                <w:sz w:val="20"/>
              </w:rPr>
              <w:t>Strengthen the means of</w:t>
            </w:r>
            <w:r>
              <w:rPr>
                <w:spacing w:val="1"/>
                <w:sz w:val="20"/>
              </w:rPr>
              <w:t xml:space="preserve"> </w:t>
            </w:r>
            <w:r>
              <w:rPr>
                <w:sz w:val="20"/>
              </w:rPr>
              <w:t>implementation and revitalize the</w:t>
            </w:r>
            <w:r>
              <w:rPr>
                <w:spacing w:val="1"/>
                <w:sz w:val="20"/>
              </w:rPr>
              <w:t xml:space="preserve"> </w:t>
            </w:r>
            <w:r>
              <w:rPr>
                <w:sz w:val="20"/>
              </w:rPr>
              <w:t>Global</w:t>
            </w:r>
            <w:r>
              <w:rPr>
                <w:spacing w:val="-6"/>
                <w:sz w:val="20"/>
              </w:rPr>
              <w:t xml:space="preserve"> </w:t>
            </w:r>
            <w:r>
              <w:rPr>
                <w:sz w:val="20"/>
              </w:rPr>
              <w:t>Partnership</w:t>
            </w:r>
            <w:r>
              <w:rPr>
                <w:spacing w:val="-5"/>
                <w:sz w:val="20"/>
              </w:rPr>
              <w:t xml:space="preserve"> </w:t>
            </w:r>
            <w:r>
              <w:rPr>
                <w:sz w:val="20"/>
              </w:rPr>
              <w:t>for</w:t>
            </w:r>
            <w:r>
              <w:rPr>
                <w:spacing w:val="-6"/>
                <w:sz w:val="20"/>
              </w:rPr>
              <w:t xml:space="preserve"> </w:t>
            </w:r>
            <w:r>
              <w:rPr>
                <w:sz w:val="20"/>
              </w:rPr>
              <w:t>Sustainable</w:t>
            </w:r>
            <w:r>
              <w:rPr>
                <w:spacing w:val="-47"/>
                <w:sz w:val="20"/>
              </w:rPr>
              <w:t xml:space="preserve"> </w:t>
            </w:r>
            <w:r>
              <w:rPr>
                <w:sz w:val="20"/>
              </w:rPr>
              <w:t>Development</w:t>
            </w:r>
          </w:p>
        </w:tc>
        <w:tc>
          <w:tcPr>
            <w:tcW w:w="493" w:type="dxa"/>
          </w:tcPr>
          <w:p w:rsidR="00A56FE9" w:rsidRDefault="00A56FE9">
            <w:pPr>
              <w:pStyle w:val="TableParagraph"/>
              <w:rPr>
                <w:sz w:val="18"/>
              </w:rPr>
            </w:pPr>
          </w:p>
        </w:tc>
        <w:tc>
          <w:tcPr>
            <w:tcW w:w="420" w:type="dxa"/>
          </w:tcPr>
          <w:p w:rsidR="00A56FE9" w:rsidRDefault="00A56FE9">
            <w:pPr>
              <w:pStyle w:val="TableParagraph"/>
              <w:rPr>
                <w:b/>
                <w:sz w:val="20"/>
              </w:rPr>
            </w:pPr>
          </w:p>
          <w:p w:rsidR="00A56FE9" w:rsidRDefault="00000000">
            <w:pPr>
              <w:pStyle w:val="TableParagraph"/>
              <w:spacing w:before="133"/>
              <w:ind w:right="2"/>
              <w:jc w:val="center"/>
              <w:rPr>
                <w:rFonts w:ascii="Wingdings" w:hAnsi="Wingdings"/>
                <w:sz w:val="18"/>
              </w:rPr>
            </w:pPr>
            <w:r>
              <w:rPr>
                <w:rFonts w:ascii="Wingdings" w:hAnsi="Wingdings"/>
                <w:color w:val="006FC0"/>
                <w:sz w:val="18"/>
              </w:rPr>
              <w:t></w:t>
            </w:r>
          </w:p>
        </w:tc>
        <w:tc>
          <w:tcPr>
            <w:tcW w:w="408" w:type="dxa"/>
          </w:tcPr>
          <w:p w:rsidR="00A56FE9" w:rsidRDefault="00A56FE9">
            <w:pPr>
              <w:pStyle w:val="TableParagraph"/>
              <w:rPr>
                <w:sz w:val="18"/>
              </w:rPr>
            </w:pPr>
          </w:p>
        </w:tc>
        <w:tc>
          <w:tcPr>
            <w:tcW w:w="353"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1" w:type="dxa"/>
          </w:tcPr>
          <w:p w:rsidR="00A56FE9" w:rsidRDefault="00A56FE9">
            <w:pPr>
              <w:pStyle w:val="TableParagraph"/>
              <w:rPr>
                <w:sz w:val="18"/>
              </w:rPr>
            </w:pPr>
          </w:p>
        </w:tc>
        <w:tc>
          <w:tcPr>
            <w:tcW w:w="418" w:type="dxa"/>
          </w:tcPr>
          <w:p w:rsidR="00A56FE9" w:rsidRDefault="00A56FE9">
            <w:pPr>
              <w:pStyle w:val="TableParagraph"/>
              <w:rPr>
                <w:sz w:val="18"/>
              </w:rPr>
            </w:pPr>
          </w:p>
        </w:tc>
        <w:tc>
          <w:tcPr>
            <w:tcW w:w="459" w:type="dxa"/>
          </w:tcPr>
          <w:p w:rsidR="00A56FE9" w:rsidRDefault="00A56FE9">
            <w:pPr>
              <w:pStyle w:val="TableParagraph"/>
              <w:rPr>
                <w:b/>
                <w:sz w:val="20"/>
              </w:rPr>
            </w:pPr>
          </w:p>
          <w:p w:rsidR="00A56FE9" w:rsidRDefault="00000000">
            <w:pPr>
              <w:pStyle w:val="TableParagraph"/>
              <w:spacing w:before="133"/>
              <w:ind w:right="6"/>
              <w:jc w:val="center"/>
              <w:rPr>
                <w:rFonts w:ascii="Wingdings" w:hAnsi="Wingdings"/>
                <w:sz w:val="18"/>
              </w:rPr>
            </w:pPr>
            <w:r>
              <w:rPr>
                <w:rFonts w:ascii="Wingdings" w:hAnsi="Wingdings"/>
                <w:color w:val="C00000"/>
                <w:sz w:val="18"/>
              </w:rPr>
              <w:t></w:t>
            </w:r>
          </w:p>
        </w:tc>
        <w:tc>
          <w:tcPr>
            <w:tcW w:w="416" w:type="dxa"/>
          </w:tcPr>
          <w:p w:rsidR="00A56FE9" w:rsidRDefault="00A56FE9">
            <w:pPr>
              <w:pStyle w:val="TableParagraph"/>
              <w:rPr>
                <w:sz w:val="18"/>
              </w:rPr>
            </w:pPr>
          </w:p>
        </w:tc>
        <w:tc>
          <w:tcPr>
            <w:tcW w:w="41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63" w:type="dxa"/>
          </w:tcPr>
          <w:p w:rsidR="00A56FE9" w:rsidRDefault="00A56FE9">
            <w:pPr>
              <w:pStyle w:val="TableParagraph"/>
              <w:rPr>
                <w:sz w:val="18"/>
              </w:rPr>
            </w:pPr>
          </w:p>
        </w:tc>
        <w:tc>
          <w:tcPr>
            <w:tcW w:w="351" w:type="dxa"/>
          </w:tcPr>
          <w:p w:rsidR="00A56FE9" w:rsidRDefault="00A56FE9">
            <w:pPr>
              <w:pStyle w:val="TableParagraph"/>
              <w:rPr>
                <w:sz w:val="18"/>
              </w:rPr>
            </w:pPr>
          </w:p>
        </w:tc>
        <w:tc>
          <w:tcPr>
            <w:tcW w:w="358" w:type="dxa"/>
          </w:tcPr>
          <w:p w:rsidR="00A56FE9" w:rsidRDefault="00A56FE9">
            <w:pPr>
              <w:pStyle w:val="TableParagraph"/>
              <w:rPr>
                <w:sz w:val="18"/>
              </w:rPr>
            </w:pPr>
          </w:p>
        </w:tc>
        <w:tc>
          <w:tcPr>
            <w:tcW w:w="425" w:type="dxa"/>
          </w:tcPr>
          <w:p w:rsidR="00A56FE9" w:rsidRDefault="00A56FE9">
            <w:pPr>
              <w:pStyle w:val="TableParagraph"/>
              <w:rPr>
                <w:sz w:val="18"/>
              </w:rPr>
            </w:pPr>
          </w:p>
        </w:tc>
        <w:tc>
          <w:tcPr>
            <w:tcW w:w="569" w:type="dxa"/>
          </w:tcPr>
          <w:p w:rsidR="00A56FE9" w:rsidRDefault="00A56FE9">
            <w:pPr>
              <w:pStyle w:val="TableParagraph"/>
              <w:rPr>
                <w:sz w:val="18"/>
              </w:rPr>
            </w:pPr>
          </w:p>
        </w:tc>
        <w:tc>
          <w:tcPr>
            <w:tcW w:w="567"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66" w:type="dxa"/>
          </w:tcPr>
          <w:p w:rsidR="00A56FE9" w:rsidRDefault="00A56FE9">
            <w:pPr>
              <w:pStyle w:val="TableParagraph"/>
              <w:rPr>
                <w:sz w:val="18"/>
              </w:rPr>
            </w:pPr>
          </w:p>
        </w:tc>
        <w:tc>
          <w:tcPr>
            <w:tcW w:w="532" w:type="dxa"/>
          </w:tcPr>
          <w:p w:rsidR="00A56FE9" w:rsidRDefault="00A56FE9">
            <w:pPr>
              <w:pStyle w:val="TableParagraph"/>
              <w:rPr>
                <w:sz w:val="18"/>
              </w:rPr>
            </w:pPr>
          </w:p>
        </w:tc>
        <w:tc>
          <w:tcPr>
            <w:tcW w:w="990" w:type="dxa"/>
          </w:tcPr>
          <w:p w:rsidR="00A56FE9" w:rsidRDefault="00A56FE9">
            <w:pPr>
              <w:pStyle w:val="TableParagraph"/>
              <w:rPr>
                <w:sz w:val="18"/>
              </w:rPr>
            </w:pPr>
          </w:p>
        </w:tc>
        <w:tc>
          <w:tcPr>
            <w:tcW w:w="810" w:type="dxa"/>
            <w:tcBorders>
              <w:right w:val="nil"/>
            </w:tcBorders>
          </w:tcPr>
          <w:p w:rsidR="00A56FE9" w:rsidRDefault="00A56FE9">
            <w:pPr>
              <w:pStyle w:val="TableParagraph"/>
              <w:rPr>
                <w:sz w:val="18"/>
              </w:rPr>
            </w:pPr>
          </w:p>
        </w:tc>
      </w:tr>
    </w:tbl>
    <w:p w:rsidR="00A56FE9" w:rsidRDefault="00A56FE9">
      <w:pPr>
        <w:rPr>
          <w:sz w:val="18"/>
        </w:rPr>
        <w:sectPr w:rsidR="00A56FE9" w:rsidSect="00AB1E70">
          <w:pgSz w:w="16840" w:h="11910" w:orient="landscape"/>
          <w:pgMar w:top="1100" w:right="380" w:bottom="960" w:left="460" w:header="0" w:footer="700" w:gutter="0"/>
          <w:cols w:space="720"/>
        </w:sectPr>
      </w:pPr>
    </w:p>
    <w:p w:rsidR="00A56FE9" w:rsidRDefault="00A56FE9">
      <w:pPr>
        <w:pStyle w:val="Tijeloteksta"/>
        <w:spacing w:before="1"/>
        <w:ind w:left="0"/>
        <w:jc w:val="left"/>
        <w:rPr>
          <w:b/>
          <w:sz w:val="18"/>
        </w:rPr>
      </w:pPr>
    </w:p>
    <w:p w:rsidR="00A56FE9" w:rsidRDefault="00000000">
      <w:pPr>
        <w:spacing w:before="93"/>
        <w:ind w:left="958"/>
        <w:jc w:val="both"/>
        <w:rPr>
          <w:b/>
          <w:sz w:val="16"/>
        </w:rPr>
      </w:pPr>
      <w:r>
        <w:rPr>
          <w:color w:val="2C398A"/>
          <w:sz w:val="24"/>
        </w:rPr>
        <w:t>Addendum</w:t>
      </w:r>
      <w:r>
        <w:rPr>
          <w:color w:val="2C398A"/>
          <w:spacing w:val="-2"/>
          <w:sz w:val="24"/>
        </w:rPr>
        <w:t xml:space="preserve"> </w:t>
      </w:r>
      <w:r>
        <w:rPr>
          <w:color w:val="2C398A"/>
          <w:sz w:val="24"/>
        </w:rPr>
        <w:t>1.</w:t>
      </w:r>
      <w:r>
        <w:rPr>
          <w:color w:val="2C398A"/>
          <w:spacing w:val="1"/>
          <w:sz w:val="24"/>
        </w:rPr>
        <w:t xml:space="preserve"> </w:t>
      </w:r>
      <w:r>
        <w:rPr>
          <w:b/>
          <w:color w:val="003399"/>
          <w:sz w:val="24"/>
        </w:rPr>
        <w:t>Progress</w:t>
      </w:r>
      <w:r>
        <w:rPr>
          <w:b/>
          <w:color w:val="003399"/>
          <w:spacing w:val="-1"/>
          <w:sz w:val="24"/>
        </w:rPr>
        <w:t xml:space="preserve"> </w:t>
      </w:r>
      <w:r>
        <w:rPr>
          <w:b/>
          <w:color w:val="003399"/>
          <w:sz w:val="24"/>
        </w:rPr>
        <w:t>based</w:t>
      </w:r>
      <w:r>
        <w:rPr>
          <w:b/>
          <w:color w:val="003399"/>
          <w:spacing w:val="-1"/>
          <w:sz w:val="24"/>
        </w:rPr>
        <w:t xml:space="preserve"> </w:t>
      </w:r>
      <w:r>
        <w:rPr>
          <w:b/>
          <w:color w:val="003399"/>
          <w:sz w:val="24"/>
        </w:rPr>
        <w:t>on</w:t>
      </w:r>
      <w:r>
        <w:rPr>
          <w:b/>
          <w:color w:val="003399"/>
          <w:spacing w:val="-1"/>
          <w:sz w:val="24"/>
        </w:rPr>
        <w:t xml:space="preserve"> </w:t>
      </w:r>
      <w:r>
        <w:rPr>
          <w:b/>
          <w:color w:val="003399"/>
          <w:sz w:val="24"/>
        </w:rPr>
        <w:t>achieved</w:t>
      </w:r>
      <w:r>
        <w:rPr>
          <w:b/>
          <w:color w:val="003399"/>
          <w:spacing w:val="-1"/>
          <w:sz w:val="24"/>
        </w:rPr>
        <w:t xml:space="preserve"> </w:t>
      </w:r>
      <w:r>
        <w:rPr>
          <w:b/>
          <w:color w:val="003399"/>
          <w:sz w:val="24"/>
        </w:rPr>
        <w:t>SDGs</w:t>
      </w:r>
      <w:r>
        <w:rPr>
          <w:b/>
          <w:color w:val="003399"/>
          <w:position w:val="8"/>
          <w:sz w:val="16"/>
        </w:rPr>
        <w:t>59</w:t>
      </w:r>
    </w:p>
    <w:p w:rsidR="00A56FE9" w:rsidRDefault="00A56FE9">
      <w:pPr>
        <w:pStyle w:val="Tijeloteksta"/>
        <w:spacing w:before="9" w:after="1"/>
        <w:ind w:left="0"/>
        <w:jc w:val="left"/>
        <w:rPr>
          <w:b/>
          <w:sz w:val="17"/>
        </w:rPr>
      </w:pPr>
    </w:p>
    <w:tbl>
      <w:tblPr>
        <w:tblStyle w:val="TableNormal"/>
        <w:tblW w:w="0" w:type="auto"/>
        <w:tblInd w:w="951"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6536"/>
        <w:gridCol w:w="4112"/>
        <w:gridCol w:w="708"/>
        <w:gridCol w:w="992"/>
        <w:gridCol w:w="680"/>
        <w:gridCol w:w="996"/>
      </w:tblGrid>
      <w:tr w:rsidR="00A56FE9">
        <w:trPr>
          <w:trHeight w:val="350"/>
        </w:trPr>
        <w:tc>
          <w:tcPr>
            <w:tcW w:w="6536" w:type="dxa"/>
            <w:vMerge w:val="restart"/>
            <w:tcBorders>
              <w:top w:val="nil"/>
              <w:left w:val="nil"/>
              <w:bottom w:val="nil"/>
              <w:right w:val="nil"/>
            </w:tcBorders>
            <w:shd w:val="clear" w:color="auto" w:fill="2C398A"/>
          </w:tcPr>
          <w:p w:rsidR="00A56FE9" w:rsidRDefault="00A56FE9">
            <w:pPr>
              <w:pStyle w:val="TableParagraph"/>
              <w:spacing w:before="5"/>
              <w:rPr>
                <w:b/>
                <w:sz w:val="20"/>
              </w:rPr>
            </w:pPr>
          </w:p>
          <w:p w:rsidR="00A56FE9" w:rsidRDefault="00000000">
            <w:pPr>
              <w:pStyle w:val="TableParagraph"/>
              <w:ind w:left="2848" w:right="2848"/>
              <w:jc w:val="center"/>
              <w:rPr>
                <w:b/>
                <w:sz w:val="20"/>
              </w:rPr>
            </w:pPr>
            <w:r>
              <w:rPr>
                <w:b/>
                <w:color w:val="FFFFFF"/>
                <w:sz w:val="20"/>
              </w:rPr>
              <w:t>Indicator</w:t>
            </w:r>
          </w:p>
        </w:tc>
        <w:tc>
          <w:tcPr>
            <w:tcW w:w="4112" w:type="dxa"/>
            <w:vMerge w:val="restart"/>
            <w:tcBorders>
              <w:top w:val="nil"/>
              <w:left w:val="nil"/>
              <w:bottom w:val="nil"/>
              <w:right w:val="nil"/>
            </w:tcBorders>
            <w:shd w:val="clear" w:color="auto" w:fill="2C398A"/>
          </w:tcPr>
          <w:p w:rsidR="00A56FE9" w:rsidRDefault="00A56FE9">
            <w:pPr>
              <w:pStyle w:val="TableParagraph"/>
              <w:spacing w:before="5"/>
              <w:rPr>
                <w:b/>
                <w:sz w:val="20"/>
              </w:rPr>
            </w:pPr>
          </w:p>
          <w:p w:rsidR="00A56FE9" w:rsidRDefault="00000000">
            <w:pPr>
              <w:pStyle w:val="TableParagraph"/>
              <w:ind w:left="1846" w:right="1848"/>
              <w:jc w:val="center"/>
              <w:rPr>
                <w:b/>
                <w:sz w:val="20"/>
              </w:rPr>
            </w:pPr>
            <w:r>
              <w:rPr>
                <w:b/>
                <w:color w:val="FFFFFF"/>
                <w:sz w:val="20"/>
              </w:rPr>
              <w:t>Unit</w:t>
            </w:r>
          </w:p>
        </w:tc>
        <w:tc>
          <w:tcPr>
            <w:tcW w:w="1700" w:type="dxa"/>
            <w:gridSpan w:val="2"/>
            <w:tcBorders>
              <w:top w:val="nil"/>
              <w:left w:val="nil"/>
              <w:bottom w:val="nil"/>
              <w:right w:val="nil"/>
            </w:tcBorders>
            <w:shd w:val="clear" w:color="auto" w:fill="2C398A"/>
          </w:tcPr>
          <w:p w:rsidR="00A56FE9" w:rsidRDefault="00000000">
            <w:pPr>
              <w:pStyle w:val="TableParagraph"/>
              <w:spacing w:before="55"/>
              <w:ind w:left="567" w:right="569"/>
              <w:jc w:val="center"/>
              <w:rPr>
                <w:b/>
                <w:sz w:val="20"/>
              </w:rPr>
            </w:pPr>
            <w:r>
              <w:rPr>
                <w:b/>
                <w:color w:val="FFFFFF"/>
                <w:sz w:val="20"/>
              </w:rPr>
              <w:t>Initial</w:t>
            </w:r>
          </w:p>
        </w:tc>
        <w:tc>
          <w:tcPr>
            <w:tcW w:w="1676" w:type="dxa"/>
            <w:gridSpan w:val="2"/>
            <w:tcBorders>
              <w:top w:val="nil"/>
              <w:left w:val="nil"/>
              <w:bottom w:val="nil"/>
              <w:right w:val="nil"/>
            </w:tcBorders>
            <w:shd w:val="clear" w:color="auto" w:fill="2C398A"/>
          </w:tcPr>
          <w:p w:rsidR="00A56FE9" w:rsidRDefault="00000000">
            <w:pPr>
              <w:pStyle w:val="TableParagraph"/>
              <w:spacing w:before="55"/>
              <w:ind w:left="277"/>
              <w:rPr>
                <w:b/>
                <w:sz w:val="20"/>
              </w:rPr>
            </w:pPr>
            <w:r>
              <w:rPr>
                <w:b/>
                <w:color w:val="FFFFFF"/>
                <w:sz w:val="20"/>
              </w:rPr>
              <w:t>Most</w:t>
            </w:r>
            <w:r>
              <w:rPr>
                <w:b/>
                <w:color w:val="FFFFFF"/>
                <w:spacing w:val="23"/>
                <w:sz w:val="20"/>
              </w:rPr>
              <w:t xml:space="preserve"> </w:t>
            </w:r>
            <w:r>
              <w:rPr>
                <w:b/>
                <w:color w:val="FFFFFF"/>
                <w:sz w:val="20"/>
              </w:rPr>
              <w:t>Recent</w:t>
            </w:r>
          </w:p>
        </w:tc>
      </w:tr>
      <w:tr w:rsidR="00A56FE9">
        <w:trPr>
          <w:trHeight w:val="369"/>
        </w:trPr>
        <w:tc>
          <w:tcPr>
            <w:tcW w:w="6536" w:type="dxa"/>
            <w:vMerge/>
            <w:tcBorders>
              <w:top w:val="nil"/>
              <w:left w:val="nil"/>
              <w:bottom w:val="nil"/>
              <w:right w:val="nil"/>
            </w:tcBorders>
            <w:shd w:val="clear" w:color="auto" w:fill="2C398A"/>
          </w:tcPr>
          <w:p w:rsidR="00A56FE9" w:rsidRDefault="00A56FE9">
            <w:pPr>
              <w:rPr>
                <w:sz w:val="2"/>
                <w:szCs w:val="2"/>
              </w:rPr>
            </w:pPr>
          </w:p>
        </w:tc>
        <w:tc>
          <w:tcPr>
            <w:tcW w:w="4112" w:type="dxa"/>
            <w:vMerge/>
            <w:tcBorders>
              <w:top w:val="nil"/>
              <w:left w:val="nil"/>
              <w:bottom w:val="nil"/>
              <w:right w:val="nil"/>
            </w:tcBorders>
            <w:shd w:val="clear" w:color="auto" w:fill="2C398A"/>
          </w:tcPr>
          <w:p w:rsidR="00A56FE9" w:rsidRDefault="00A56FE9">
            <w:pPr>
              <w:rPr>
                <w:sz w:val="2"/>
                <w:szCs w:val="2"/>
              </w:rPr>
            </w:pPr>
          </w:p>
        </w:tc>
        <w:tc>
          <w:tcPr>
            <w:tcW w:w="708" w:type="dxa"/>
            <w:tcBorders>
              <w:top w:val="nil"/>
              <w:left w:val="nil"/>
              <w:bottom w:val="nil"/>
              <w:right w:val="nil"/>
            </w:tcBorders>
            <w:shd w:val="clear" w:color="auto" w:fill="2C398A"/>
          </w:tcPr>
          <w:p w:rsidR="00A56FE9" w:rsidRDefault="00000000">
            <w:pPr>
              <w:pStyle w:val="TableParagraph"/>
              <w:spacing w:before="65"/>
              <w:ind w:left="132"/>
              <w:rPr>
                <w:b/>
                <w:sz w:val="20"/>
              </w:rPr>
            </w:pPr>
            <w:r>
              <w:rPr>
                <w:b/>
                <w:color w:val="FFFFFF"/>
                <w:sz w:val="20"/>
              </w:rPr>
              <w:t>Year</w:t>
            </w:r>
          </w:p>
        </w:tc>
        <w:tc>
          <w:tcPr>
            <w:tcW w:w="992" w:type="dxa"/>
            <w:tcBorders>
              <w:top w:val="nil"/>
              <w:left w:val="nil"/>
              <w:bottom w:val="nil"/>
              <w:right w:val="nil"/>
            </w:tcBorders>
            <w:shd w:val="clear" w:color="auto" w:fill="2C398A"/>
          </w:tcPr>
          <w:p w:rsidR="00A56FE9" w:rsidRDefault="00000000">
            <w:pPr>
              <w:pStyle w:val="TableParagraph"/>
              <w:spacing w:before="65"/>
              <w:ind w:left="233"/>
              <w:rPr>
                <w:b/>
                <w:sz w:val="20"/>
              </w:rPr>
            </w:pPr>
            <w:r>
              <w:rPr>
                <w:b/>
                <w:color w:val="FFFFFF"/>
                <w:sz w:val="20"/>
              </w:rPr>
              <w:t>Value</w:t>
            </w:r>
          </w:p>
        </w:tc>
        <w:tc>
          <w:tcPr>
            <w:tcW w:w="680" w:type="dxa"/>
            <w:tcBorders>
              <w:top w:val="nil"/>
              <w:left w:val="nil"/>
              <w:bottom w:val="nil"/>
              <w:right w:val="nil"/>
            </w:tcBorders>
            <w:shd w:val="clear" w:color="auto" w:fill="2C398A"/>
          </w:tcPr>
          <w:p w:rsidR="00A56FE9" w:rsidRDefault="00000000">
            <w:pPr>
              <w:pStyle w:val="TableParagraph"/>
              <w:spacing w:before="65"/>
              <w:ind w:left="119"/>
              <w:rPr>
                <w:b/>
                <w:sz w:val="20"/>
              </w:rPr>
            </w:pPr>
            <w:r>
              <w:rPr>
                <w:b/>
                <w:color w:val="FFFFFF"/>
                <w:sz w:val="20"/>
              </w:rPr>
              <w:t>Year</w:t>
            </w:r>
          </w:p>
        </w:tc>
        <w:tc>
          <w:tcPr>
            <w:tcW w:w="996" w:type="dxa"/>
            <w:tcBorders>
              <w:top w:val="nil"/>
              <w:left w:val="nil"/>
              <w:bottom w:val="nil"/>
              <w:right w:val="nil"/>
            </w:tcBorders>
            <w:shd w:val="clear" w:color="auto" w:fill="2C398A"/>
          </w:tcPr>
          <w:p w:rsidR="00A56FE9" w:rsidRDefault="00000000">
            <w:pPr>
              <w:pStyle w:val="TableParagraph"/>
              <w:spacing w:before="65"/>
              <w:ind w:left="222"/>
              <w:rPr>
                <w:b/>
                <w:sz w:val="20"/>
              </w:rPr>
            </w:pPr>
            <w:r>
              <w:rPr>
                <w:b/>
                <w:color w:val="FFFFFF"/>
                <w:sz w:val="20"/>
              </w:rPr>
              <w:t>Value</w:t>
            </w:r>
          </w:p>
        </w:tc>
      </w:tr>
      <w:tr w:rsidR="00A56FE9">
        <w:trPr>
          <w:trHeight w:val="340"/>
        </w:trPr>
        <w:tc>
          <w:tcPr>
            <w:tcW w:w="14024" w:type="dxa"/>
            <w:gridSpan w:val="6"/>
            <w:tcBorders>
              <w:top w:val="nil"/>
              <w:left w:val="nil"/>
              <w:right w:val="nil"/>
            </w:tcBorders>
          </w:tcPr>
          <w:p w:rsidR="00A56FE9" w:rsidRDefault="00000000">
            <w:pPr>
              <w:pStyle w:val="TableParagraph"/>
              <w:spacing w:before="67"/>
              <w:ind w:left="14"/>
              <w:rPr>
                <w:b/>
                <w:sz w:val="18"/>
              </w:rPr>
            </w:pPr>
            <w:r>
              <w:rPr>
                <w:b/>
                <w:color w:val="003399"/>
                <w:w w:val="105"/>
                <w:sz w:val="18"/>
              </w:rPr>
              <w:t>Goal</w:t>
            </w:r>
            <w:r>
              <w:rPr>
                <w:b/>
                <w:color w:val="003399"/>
                <w:spacing w:val="-5"/>
                <w:w w:val="105"/>
                <w:sz w:val="18"/>
              </w:rPr>
              <w:t xml:space="preserve"> </w:t>
            </w:r>
            <w:r>
              <w:rPr>
                <w:b/>
                <w:color w:val="003399"/>
                <w:w w:val="105"/>
                <w:sz w:val="18"/>
              </w:rPr>
              <w:t>1</w:t>
            </w:r>
            <w:r>
              <w:rPr>
                <w:b/>
                <w:color w:val="003399"/>
                <w:spacing w:val="-2"/>
                <w:w w:val="105"/>
                <w:sz w:val="18"/>
              </w:rPr>
              <w:t xml:space="preserve"> </w:t>
            </w:r>
            <w:r>
              <w:rPr>
                <w:b/>
                <w:color w:val="003399"/>
                <w:w w:val="105"/>
                <w:sz w:val="18"/>
              </w:rPr>
              <w:t>-</w:t>
            </w:r>
            <w:r>
              <w:rPr>
                <w:b/>
                <w:color w:val="003399"/>
                <w:spacing w:val="-2"/>
                <w:w w:val="105"/>
                <w:sz w:val="18"/>
              </w:rPr>
              <w:t xml:space="preserve"> </w:t>
            </w:r>
            <w:r>
              <w:rPr>
                <w:b/>
                <w:color w:val="003399"/>
                <w:w w:val="105"/>
                <w:sz w:val="18"/>
              </w:rPr>
              <w:t>No poverty</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w w:val="105"/>
                <w:sz w:val="18"/>
              </w:rPr>
              <w:t>People</w:t>
            </w:r>
            <w:r>
              <w:rPr>
                <w:spacing w:val="-9"/>
                <w:w w:val="105"/>
                <w:sz w:val="18"/>
              </w:rPr>
              <w:t xml:space="preserve"> </w:t>
            </w:r>
            <w:r>
              <w:rPr>
                <w:w w:val="105"/>
                <w:sz w:val="18"/>
              </w:rPr>
              <w:t>at</w:t>
            </w:r>
            <w:r>
              <w:rPr>
                <w:spacing w:val="-9"/>
                <w:w w:val="105"/>
                <w:sz w:val="18"/>
              </w:rPr>
              <w:t xml:space="preserve"> </w:t>
            </w:r>
            <w:r>
              <w:rPr>
                <w:w w:val="105"/>
                <w:sz w:val="18"/>
              </w:rPr>
              <w:t>risk</w:t>
            </w:r>
            <w:r>
              <w:rPr>
                <w:spacing w:val="-9"/>
                <w:w w:val="105"/>
                <w:sz w:val="18"/>
              </w:rPr>
              <w:t xml:space="preserve"> </w:t>
            </w:r>
            <w:r>
              <w:rPr>
                <w:w w:val="105"/>
                <w:sz w:val="18"/>
              </w:rPr>
              <w:t>of</w:t>
            </w:r>
            <w:r>
              <w:rPr>
                <w:spacing w:val="-9"/>
                <w:w w:val="105"/>
                <w:sz w:val="18"/>
              </w:rPr>
              <w:t xml:space="preserve"> </w:t>
            </w:r>
            <w:r>
              <w:rPr>
                <w:w w:val="105"/>
                <w:sz w:val="18"/>
              </w:rPr>
              <w:t>poverty</w:t>
            </w:r>
            <w:r>
              <w:rPr>
                <w:spacing w:val="-9"/>
                <w:w w:val="105"/>
                <w:sz w:val="18"/>
              </w:rPr>
              <w:t xml:space="preserve"> </w:t>
            </w:r>
            <w:r>
              <w:rPr>
                <w:w w:val="105"/>
                <w:sz w:val="18"/>
              </w:rPr>
              <w:t>or</w:t>
            </w:r>
            <w:r>
              <w:rPr>
                <w:spacing w:val="-8"/>
                <w:w w:val="105"/>
                <w:sz w:val="18"/>
              </w:rPr>
              <w:t xml:space="preserve"> </w:t>
            </w:r>
            <w:r>
              <w:rPr>
                <w:w w:val="105"/>
                <w:sz w:val="18"/>
              </w:rPr>
              <w:t>social</w:t>
            </w:r>
            <w:r>
              <w:rPr>
                <w:spacing w:val="-8"/>
                <w:w w:val="105"/>
                <w:sz w:val="18"/>
              </w:rPr>
              <w:t xml:space="preserve"> </w:t>
            </w:r>
            <w:r>
              <w:rPr>
                <w:w w:val="105"/>
                <w:sz w:val="18"/>
              </w:rPr>
              <w:t>exclusion</w:t>
            </w:r>
          </w:p>
        </w:tc>
        <w:tc>
          <w:tcPr>
            <w:tcW w:w="4112" w:type="dxa"/>
          </w:tcPr>
          <w:p w:rsidR="00A56FE9" w:rsidRDefault="00000000">
            <w:pPr>
              <w:pStyle w:val="TableParagraph"/>
              <w:spacing w:before="4" w:line="203"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1"/>
              <w:jc w:val="right"/>
              <w:rPr>
                <w:sz w:val="18"/>
              </w:rPr>
            </w:pPr>
            <w:r>
              <w:rPr>
                <w:w w:val="105"/>
                <w:sz w:val="18"/>
              </w:rPr>
              <w:t>29.9</w:t>
            </w:r>
          </w:p>
        </w:tc>
        <w:tc>
          <w:tcPr>
            <w:tcW w:w="680" w:type="dxa"/>
          </w:tcPr>
          <w:p w:rsidR="00A56FE9" w:rsidRDefault="00000000">
            <w:pPr>
              <w:pStyle w:val="TableParagraph"/>
              <w:spacing w:before="4" w:line="203" w:lineRule="exact"/>
              <w:ind w:left="148"/>
              <w:rPr>
                <w:sz w:val="18"/>
              </w:rPr>
            </w:pPr>
            <w:r>
              <w:rPr>
                <w:w w:val="105"/>
                <w:sz w:val="18"/>
              </w:rPr>
              <w:t>2020</w:t>
            </w:r>
          </w:p>
        </w:tc>
        <w:tc>
          <w:tcPr>
            <w:tcW w:w="996" w:type="dxa"/>
            <w:tcBorders>
              <w:right w:val="nil"/>
            </w:tcBorders>
          </w:tcPr>
          <w:p w:rsidR="00A56FE9" w:rsidRDefault="00000000">
            <w:pPr>
              <w:pStyle w:val="TableParagraph"/>
              <w:spacing w:before="4" w:line="203" w:lineRule="exact"/>
              <w:ind w:right="148"/>
              <w:jc w:val="right"/>
              <w:rPr>
                <w:sz w:val="18"/>
              </w:rPr>
            </w:pPr>
            <w:r>
              <w:rPr>
                <w:w w:val="105"/>
                <w:sz w:val="18"/>
              </w:rPr>
              <w:t>23.2</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w w:val="105"/>
                <w:sz w:val="18"/>
              </w:rPr>
              <w:t>People</w:t>
            </w:r>
            <w:r>
              <w:rPr>
                <w:spacing w:val="-9"/>
                <w:w w:val="105"/>
                <w:sz w:val="18"/>
              </w:rPr>
              <w:t xml:space="preserve"> </w:t>
            </w:r>
            <w:r>
              <w:rPr>
                <w:w w:val="105"/>
                <w:sz w:val="18"/>
              </w:rPr>
              <w:t>at</w:t>
            </w:r>
            <w:r>
              <w:rPr>
                <w:spacing w:val="-10"/>
                <w:w w:val="105"/>
                <w:sz w:val="18"/>
              </w:rPr>
              <w:t xml:space="preserve"> </w:t>
            </w:r>
            <w:r>
              <w:rPr>
                <w:w w:val="105"/>
                <w:sz w:val="18"/>
              </w:rPr>
              <w:t>risk</w:t>
            </w:r>
            <w:r>
              <w:rPr>
                <w:spacing w:val="-9"/>
                <w:w w:val="105"/>
                <w:sz w:val="18"/>
              </w:rPr>
              <w:t xml:space="preserve"> </w:t>
            </w:r>
            <w:r>
              <w:rPr>
                <w:w w:val="105"/>
                <w:sz w:val="18"/>
              </w:rPr>
              <w:t>of</w:t>
            </w:r>
            <w:r>
              <w:rPr>
                <w:spacing w:val="-9"/>
                <w:w w:val="105"/>
                <w:sz w:val="18"/>
              </w:rPr>
              <w:t xml:space="preserve"> </w:t>
            </w:r>
            <w:r>
              <w:rPr>
                <w:w w:val="105"/>
                <w:sz w:val="18"/>
              </w:rPr>
              <w:t>poverty</w:t>
            </w:r>
            <w:r>
              <w:rPr>
                <w:spacing w:val="-9"/>
                <w:w w:val="105"/>
                <w:sz w:val="18"/>
              </w:rPr>
              <w:t xml:space="preserve"> </w:t>
            </w:r>
            <w:r>
              <w:rPr>
                <w:w w:val="105"/>
                <w:sz w:val="18"/>
              </w:rPr>
              <w:t>or</w:t>
            </w:r>
            <w:r>
              <w:rPr>
                <w:spacing w:val="-9"/>
                <w:w w:val="105"/>
                <w:sz w:val="18"/>
              </w:rPr>
              <w:t xml:space="preserve"> </w:t>
            </w:r>
            <w:r>
              <w:rPr>
                <w:w w:val="105"/>
                <w:sz w:val="18"/>
              </w:rPr>
              <w:t>social</w:t>
            </w:r>
            <w:r>
              <w:rPr>
                <w:spacing w:val="-8"/>
                <w:w w:val="105"/>
                <w:sz w:val="18"/>
              </w:rPr>
              <w:t xml:space="preserve"> </w:t>
            </w:r>
            <w:r>
              <w:rPr>
                <w:w w:val="105"/>
                <w:sz w:val="18"/>
              </w:rPr>
              <w:t>exclusion</w:t>
            </w:r>
            <w:r>
              <w:rPr>
                <w:spacing w:val="-7"/>
                <w:w w:val="105"/>
                <w:sz w:val="18"/>
              </w:rPr>
              <w:t xml:space="preserve"> </w:t>
            </w:r>
            <w:r>
              <w:rPr>
                <w:w w:val="105"/>
                <w:sz w:val="18"/>
              </w:rPr>
              <w:t>by</w:t>
            </w:r>
            <w:r>
              <w:rPr>
                <w:spacing w:val="-9"/>
                <w:w w:val="105"/>
                <w:sz w:val="18"/>
              </w:rPr>
              <w:t xml:space="preserve"> </w:t>
            </w:r>
            <w:r>
              <w:rPr>
                <w:w w:val="105"/>
                <w:sz w:val="18"/>
              </w:rPr>
              <w:t>degree</w:t>
            </w:r>
            <w:r>
              <w:rPr>
                <w:spacing w:val="-10"/>
                <w:w w:val="105"/>
                <w:sz w:val="18"/>
              </w:rPr>
              <w:t xml:space="preserve"> </w:t>
            </w:r>
            <w:r>
              <w:rPr>
                <w:w w:val="105"/>
                <w:sz w:val="18"/>
              </w:rPr>
              <w:t>of</w:t>
            </w:r>
            <w:r>
              <w:rPr>
                <w:spacing w:val="-9"/>
                <w:w w:val="105"/>
                <w:sz w:val="18"/>
              </w:rPr>
              <w:t xml:space="preserve"> </w:t>
            </w:r>
            <w:r>
              <w:rPr>
                <w:w w:val="105"/>
                <w:sz w:val="18"/>
              </w:rPr>
              <w:t>urbanisation</w:t>
            </w:r>
          </w:p>
        </w:tc>
        <w:tc>
          <w:tcPr>
            <w:tcW w:w="4112" w:type="dxa"/>
          </w:tcPr>
          <w:p w:rsidR="00A56FE9" w:rsidRDefault="00000000">
            <w:pPr>
              <w:pStyle w:val="TableParagraph"/>
              <w:spacing w:before="4" w:line="201"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11"/>
              <w:jc w:val="right"/>
              <w:rPr>
                <w:sz w:val="18"/>
              </w:rPr>
            </w:pPr>
            <w:r>
              <w:rPr>
                <w:w w:val="105"/>
                <w:sz w:val="18"/>
              </w:rPr>
              <w:t>36.3</w:t>
            </w:r>
          </w:p>
        </w:tc>
        <w:tc>
          <w:tcPr>
            <w:tcW w:w="680" w:type="dxa"/>
          </w:tcPr>
          <w:p w:rsidR="00A56FE9" w:rsidRDefault="00000000">
            <w:pPr>
              <w:pStyle w:val="TableParagraph"/>
              <w:spacing w:before="4" w:line="201" w:lineRule="exact"/>
              <w:ind w:left="148"/>
              <w:rPr>
                <w:sz w:val="18"/>
              </w:rPr>
            </w:pPr>
            <w:r>
              <w:rPr>
                <w:w w:val="105"/>
                <w:sz w:val="18"/>
              </w:rPr>
              <w:t>2020</w:t>
            </w:r>
          </w:p>
        </w:tc>
        <w:tc>
          <w:tcPr>
            <w:tcW w:w="996" w:type="dxa"/>
            <w:tcBorders>
              <w:right w:val="nil"/>
            </w:tcBorders>
          </w:tcPr>
          <w:p w:rsidR="00A56FE9" w:rsidRDefault="00000000">
            <w:pPr>
              <w:pStyle w:val="TableParagraph"/>
              <w:spacing w:before="4" w:line="201" w:lineRule="exact"/>
              <w:ind w:right="148"/>
              <w:jc w:val="right"/>
              <w:rPr>
                <w:sz w:val="18"/>
              </w:rPr>
            </w:pPr>
            <w:r>
              <w:rPr>
                <w:w w:val="105"/>
                <w:sz w:val="18"/>
              </w:rPr>
              <w:t>28.0</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w w:val="105"/>
                <w:sz w:val="18"/>
              </w:rPr>
              <w:t>People</w:t>
            </w:r>
            <w:r>
              <w:rPr>
                <w:spacing w:val="-3"/>
                <w:w w:val="105"/>
                <w:sz w:val="18"/>
              </w:rPr>
              <w:t xml:space="preserve"> </w:t>
            </w:r>
            <w:r>
              <w:rPr>
                <w:w w:val="105"/>
                <w:sz w:val="18"/>
              </w:rPr>
              <w:t>at</w:t>
            </w:r>
            <w:r>
              <w:rPr>
                <w:spacing w:val="-5"/>
                <w:w w:val="105"/>
                <w:sz w:val="18"/>
              </w:rPr>
              <w:t xml:space="preserve"> </w:t>
            </w:r>
            <w:r>
              <w:rPr>
                <w:w w:val="105"/>
                <w:sz w:val="18"/>
              </w:rPr>
              <w:t>risk</w:t>
            </w:r>
            <w:r>
              <w:rPr>
                <w:spacing w:val="-3"/>
                <w:w w:val="105"/>
                <w:sz w:val="18"/>
              </w:rPr>
              <w:t xml:space="preserve"> </w:t>
            </w:r>
            <w:r>
              <w:rPr>
                <w:w w:val="105"/>
                <w:sz w:val="18"/>
              </w:rPr>
              <w:t>of</w:t>
            </w:r>
            <w:r>
              <w:rPr>
                <w:spacing w:val="-3"/>
                <w:w w:val="105"/>
                <w:sz w:val="18"/>
              </w:rPr>
              <w:t xml:space="preserve"> </w:t>
            </w:r>
            <w:r>
              <w:rPr>
                <w:w w:val="105"/>
                <w:sz w:val="18"/>
              </w:rPr>
              <w:t>income</w:t>
            </w:r>
            <w:r>
              <w:rPr>
                <w:spacing w:val="-6"/>
                <w:w w:val="105"/>
                <w:sz w:val="18"/>
              </w:rPr>
              <w:t xml:space="preserve"> </w:t>
            </w:r>
            <w:r>
              <w:rPr>
                <w:w w:val="105"/>
                <w:sz w:val="18"/>
              </w:rPr>
              <w:t>poverty</w:t>
            </w:r>
            <w:r>
              <w:rPr>
                <w:spacing w:val="-3"/>
                <w:w w:val="105"/>
                <w:sz w:val="18"/>
              </w:rPr>
              <w:t xml:space="preserve"> </w:t>
            </w:r>
            <w:r>
              <w:rPr>
                <w:w w:val="105"/>
                <w:sz w:val="18"/>
              </w:rPr>
              <w:t>after</w:t>
            </w:r>
            <w:r>
              <w:rPr>
                <w:spacing w:val="4"/>
                <w:w w:val="105"/>
                <w:sz w:val="18"/>
              </w:rPr>
              <w:t xml:space="preserve"> </w:t>
            </w:r>
            <w:r>
              <w:rPr>
                <w:w w:val="105"/>
                <w:sz w:val="18"/>
              </w:rPr>
              <w:t>social</w:t>
            </w:r>
            <w:r>
              <w:rPr>
                <w:spacing w:val="-5"/>
                <w:w w:val="105"/>
                <w:sz w:val="18"/>
              </w:rPr>
              <w:t xml:space="preserve"> </w:t>
            </w:r>
            <w:r>
              <w:rPr>
                <w:w w:val="105"/>
                <w:sz w:val="18"/>
              </w:rPr>
              <w:t>transfers</w:t>
            </w:r>
          </w:p>
        </w:tc>
        <w:tc>
          <w:tcPr>
            <w:tcW w:w="4112" w:type="dxa"/>
          </w:tcPr>
          <w:p w:rsidR="00A56FE9" w:rsidRDefault="00000000">
            <w:pPr>
              <w:pStyle w:val="TableParagraph"/>
              <w:spacing w:before="7" w:line="201"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1"/>
              <w:jc w:val="right"/>
              <w:rPr>
                <w:sz w:val="18"/>
              </w:rPr>
            </w:pPr>
            <w:r>
              <w:rPr>
                <w:w w:val="105"/>
                <w:sz w:val="18"/>
              </w:rPr>
              <w:t>19.5</w:t>
            </w:r>
          </w:p>
        </w:tc>
        <w:tc>
          <w:tcPr>
            <w:tcW w:w="680" w:type="dxa"/>
          </w:tcPr>
          <w:p w:rsidR="00A56FE9" w:rsidRDefault="00000000">
            <w:pPr>
              <w:pStyle w:val="TableParagraph"/>
              <w:spacing w:before="7" w:line="201" w:lineRule="exact"/>
              <w:ind w:left="148"/>
              <w:rPr>
                <w:sz w:val="18"/>
              </w:rPr>
            </w:pPr>
            <w:r>
              <w:rPr>
                <w:w w:val="105"/>
                <w:sz w:val="18"/>
              </w:rPr>
              <w:t>2020</w:t>
            </w:r>
          </w:p>
        </w:tc>
        <w:tc>
          <w:tcPr>
            <w:tcW w:w="996" w:type="dxa"/>
            <w:tcBorders>
              <w:right w:val="nil"/>
            </w:tcBorders>
          </w:tcPr>
          <w:p w:rsidR="00A56FE9" w:rsidRDefault="00000000">
            <w:pPr>
              <w:pStyle w:val="TableParagraph"/>
              <w:spacing w:before="7" w:line="201" w:lineRule="exact"/>
              <w:ind w:right="148"/>
              <w:jc w:val="right"/>
              <w:rPr>
                <w:sz w:val="18"/>
              </w:rPr>
            </w:pPr>
            <w:r>
              <w:rPr>
                <w:w w:val="105"/>
                <w:sz w:val="18"/>
              </w:rPr>
              <w:t>18.3</w:t>
            </w:r>
          </w:p>
        </w:tc>
      </w:tr>
      <w:tr w:rsidR="00A56FE9">
        <w:trPr>
          <w:trHeight w:val="228"/>
        </w:trPr>
        <w:tc>
          <w:tcPr>
            <w:tcW w:w="6536" w:type="dxa"/>
            <w:tcBorders>
              <w:left w:val="nil"/>
            </w:tcBorders>
          </w:tcPr>
          <w:p w:rsidR="00A56FE9" w:rsidRDefault="00000000">
            <w:pPr>
              <w:pStyle w:val="TableParagraph"/>
              <w:spacing w:before="5" w:line="203" w:lineRule="exact"/>
              <w:ind w:left="71"/>
              <w:rPr>
                <w:sz w:val="18"/>
              </w:rPr>
            </w:pPr>
            <w:r>
              <w:rPr>
                <w:w w:val="105"/>
                <w:sz w:val="18"/>
              </w:rPr>
              <w:t>People</w:t>
            </w:r>
            <w:r>
              <w:rPr>
                <w:spacing w:val="-3"/>
                <w:w w:val="105"/>
                <w:sz w:val="18"/>
              </w:rPr>
              <w:t xml:space="preserve"> </w:t>
            </w:r>
            <w:r>
              <w:rPr>
                <w:w w:val="105"/>
                <w:sz w:val="18"/>
              </w:rPr>
              <w:t>at</w:t>
            </w:r>
            <w:r>
              <w:rPr>
                <w:spacing w:val="-5"/>
                <w:w w:val="105"/>
                <w:sz w:val="18"/>
              </w:rPr>
              <w:t xml:space="preserve"> </w:t>
            </w:r>
            <w:r>
              <w:rPr>
                <w:w w:val="105"/>
                <w:sz w:val="18"/>
              </w:rPr>
              <w:t>risk</w:t>
            </w:r>
            <w:r>
              <w:rPr>
                <w:spacing w:val="-3"/>
                <w:w w:val="105"/>
                <w:sz w:val="18"/>
              </w:rPr>
              <w:t xml:space="preserve"> </w:t>
            </w:r>
            <w:r>
              <w:rPr>
                <w:w w:val="105"/>
                <w:sz w:val="18"/>
              </w:rPr>
              <w:t>of</w:t>
            </w:r>
            <w:r>
              <w:rPr>
                <w:spacing w:val="-4"/>
                <w:w w:val="105"/>
                <w:sz w:val="18"/>
              </w:rPr>
              <w:t xml:space="preserve"> </w:t>
            </w:r>
            <w:r>
              <w:rPr>
                <w:w w:val="105"/>
                <w:sz w:val="18"/>
              </w:rPr>
              <w:t>income</w:t>
            </w:r>
            <w:r>
              <w:rPr>
                <w:spacing w:val="-5"/>
                <w:w w:val="105"/>
                <w:sz w:val="18"/>
              </w:rPr>
              <w:t xml:space="preserve"> </w:t>
            </w:r>
            <w:r>
              <w:rPr>
                <w:w w:val="105"/>
                <w:sz w:val="18"/>
              </w:rPr>
              <w:t>poverty</w:t>
            </w:r>
            <w:r>
              <w:rPr>
                <w:spacing w:val="-3"/>
                <w:w w:val="105"/>
                <w:sz w:val="18"/>
              </w:rPr>
              <w:t xml:space="preserve"> </w:t>
            </w:r>
            <w:r>
              <w:rPr>
                <w:w w:val="105"/>
                <w:sz w:val="18"/>
              </w:rPr>
              <w:t>after</w:t>
            </w:r>
            <w:r>
              <w:rPr>
                <w:spacing w:val="-2"/>
                <w:w w:val="105"/>
                <w:sz w:val="18"/>
              </w:rPr>
              <w:t xml:space="preserve"> </w:t>
            </w:r>
            <w:r>
              <w:rPr>
                <w:w w:val="105"/>
                <w:sz w:val="18"/>
              </w:rPr>
              <w:t>social</w:t>
            </w:r>
            <w:r>
              <w:rPr>
                <w:spacing w:val="-5"/>
                <w:w w:val="105"/>
                <w:sz w:val="18"/>
              </w:rPr>
              <w:t xml:space="preserve"> </w:t>
            </w:r>
            <w:r>
              <w:rPr>
                <w:w w:val="105"/>
                <w:sz w:val="18"/>
              </w:rPr>
              <w:t>transfers</w:t>
            </w:r>
          </w:p>
        </w:tc>
        <w:tc>
          <w:tcPr>
            <w:tcW w:w="4112" w:type="dxa"/>
          </w:tcPr>
          <w:p w:rsidR="00A56FE9" w:rsidRDefault="00000000">
            <w:pPr>
              <w:pStyle w:val="TableParagraph"/>
              <w:spacing w:before="5" w:line="203"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Pr>
          <w:p w:rsidR="00A56FE9" w:rsidRDefault="00000000">
            <w:pPr>
              <w:pStyle w:val="TableParagraph"/>
              <w:spacing w:before="5" w:line="203" w:lineRule="exact"/>
              <w:ind w:left="132"/>
              <w:rPr>
                <w:sz w:val="18"/>
              </w:rPr>
            </w:pPr>
            <w:r>
              <w:rPr>
                <w:w w:val="105"/>
                <w:sz w:val="18"/>
              </w:rPr>
              <w:t>2013</w:t>
            </w:r>
          </w:p>
        </w:tc>
        <w:tc>
          <w:tcPr>
            <w:tcW w:w="992" w:type="dxa"/>
          </w:tcPr>
          <w:p w:rsidR="00A56FE9" w:rsidRDefault="00000000">
            <w:pPr>
              <w:pStyle w:val="TableParagraph"/>
              <w:spacing w:before="5" w:line="203" w:lineRule="exact"/>
              <w:ind w:right="111"/>
              <w:jc w:val="right"/>
              <w:rPr>
                <w:sz w:val="18"/>
              </w:rPr>
            </w:pPr>
            <w:r>
              <w:rPr>
                <w:w w:val="105"/>
                <w:sz w:val="18"/>
              </w:rPr>
              <w:t>18.9</w:t>
            </w:r>
          </w:p>
        </w:tc>
        <w:tc>
          <w:tcPr>
            <w:tcW w:w="680" w:type="dxa"/>
          </w:tcPr>
          <w:p w:rsidR="00A56FE9" w:rsidRDefault="00000000">
            <w:pPr>
              <w:pStyle w:val="TableParagraph"/>
              <w:spacing w:before="5" w:line="203" w:lineRule="exact"/>
              <w:ind w:left="148"/>
              <w:rPr>
                <w:sz w:val="18"/>
              </w:rPr>
            </w:pPr>
            <w:r>
              <w:rPr>
                <w:w w:val="105"/>
                <w:sz w:val="18"/>
              </w:rPr>
              <w:t>2020</w:t>
            </w:r>
          </w:p>
        </w:tc>
        <w:tc>
          <w:tcPr>
            <w:tcW w:w="996" w:type="dxa"/>
            <w:tcBorders>
              <w:right w:val="nil"/>
            </w:tcBorders>
          </w:tcPr>
          <w:p w:rsidR="00A56FE9" w:rsidRDefault="00000000">
            <w:pPr>
              <w:pStyle w:val="TableParagraph"/>
              <w:spacing w:before="5" w:line="203" w:lineRule="exact"/>
              <w:ind w:right="148"/>
              <w:jc w:val="right"/>
              <w:rPr>
                <w:sz w:val="18"/>
              </w:rPr>
            </w:pPr>
            <w:r>
              <w:rPr>
                <w:w w:val="105"/>
                <w:sz w:val="18"/>
              </w:rPr>
              <w:t>18.6</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spacing w:val="-1"/>
                <w:w w:val="105"/>
                <w:sz w:val="18"/>
              </w:rPr>
              <w:t>Severely</w:t>
            </w:r>
            <w:r>
              <w:rPr>
                <w:spacing w:val="-10"/>
                <w:w w:val="105"/>
                <w:sz w:val="18"/>
              </w:rPr>
              <w:t xml:space="preserve"> </w:t>
            </w:r>
            <w:r>
              <w:rPr>
                <w:w w:val="105"/>
                <w:sz w:val="18"/>
              </w:rPr>
              <w:t>materially</w:t>
            </w:r>
            <w:r>
              <w:rPr>
                <w:spacing w:val="-9"/>
                <w:w w:val="105"/>
                <w:sz w:val="18"/>
              </w:rPr>
              <w:t xml:space="preserve"> </w:t>
            </w:r>
            <w:r>
              <w:rPr>
                <w:w w:val="105"/>
                <w:sz w:val="18"/>
              </w:rPr>
              <w:t>deprived</w:t>
            </w:r>
            <w:r>
              <w:rPr>
                <w:spacing w:val="-12"/>
                <w:w w:val="105"/>
                <w:sz w:val="18"/>
              </w:rPr>
              <w:t xml:space="preserve"> </w:t>
            </w:r>
            <w:r>
              <w:rPr>
                <w:w w:val="105"/>
                <w:sz w:val="18"/>
              </w:rPr>
              <w:t>people</w:t>
            </w:r>
          </w:p>
        </w:tc>
        <w:tc>
          <w:tcPr>
            <w:tcW w:w="4112" w:type="dxa"/>
          </w:tcPr>
          <w:p w:rsidR="00A56FE9" w:rsidRDefault="00000000">
            <w:pPr>
              <w:pStyle w:val="TableParagraph"/>
              <w:spacing w:before="4" w:line="203"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1"/>
              <w:jc w:val="right"/>
              <w:rPr>
                <w:sz w:val="18"/>
              </w:rPr>
            </w:pPr>
            <w:r>
              <w:rPr>
                <w:w w:val="105"/>
                <w:sz w:val="18"/>
              </w:rPr>
              <w:t>14.7</w:t>
            </w:r>
          </w:p>
        </w:tc>
        <w:tc>
          <w:tcPr>
            <w:tcW w:w="680" w:type="dxa"/>
          </w:tcPr>
          <w:p w:rsidR="00A56FE9" w:rsidRDefault="00000000">
            <w:pPr>
              <w:pStyle w:val="TableParagraph"/>
              <w:spacing w:before="4" w:line="203" w:lineRule="exact"/>
              <w:ind w:left="148"/>
              <w:rPr>
                <w:sz w:val="18"/>
              </w:rPr>
            </w:pPr>
            <w:r>
              <w:rPr>
                <w:w w:val="105"/>
                <w:sz w:val="18"/>
              </w:rPr>
              <w:t>2020</w:t>
            </w:r>
          </w:p>
        </w:tc>
        <w:tc>
          <w:tcPr>
            <w:tcW w:w="996" w:type="dxa"/>
            <w:tcBorders>
              <w:right w:val="nil"/>
            </w:tcBorders>
          </w:tcPr>
          <w:p w:rsidR="00A56FE9" w:rsidRDefault="00000000">
            <w:pPr>
              <w:pStyle w:val="TableParagraph"/>
              <w:spacing w:before="4" w:line="203" w:lineRule="exact"/>
              <w:ind w:right="148"/>
              <w:jc w:val="right"/>
              <w:rPr>
                <w:sz w:val="18"/>
              </w:rPr>
            </w:pPr>
            <w:r>
              <w:rPr>
                <w:w w:val="105"/>
                <w:sz w:val="18"/>
              </w:rPr>
              <w:t>6.9</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w w:val="105"/>
                <w:sz w:val="18"/>
              </w:rPr>
              <w:t>People</w:t>
            </w:r>
            <w:r>
              <w:rPr>
                <w:spacing w:val="-10"/>
                <w:w w:val="105"/>
                <w:sz w:val="18"/>
              </w:rPr>
              <w:t xml:space="preserve"> </w:t>
            </w:r>
            <w:r>
              <w:rPr>
                <w:w w:val="105"/>
                <w:sz w:val="18"/>
              </w:rPr>
              <w:t>living</w:t>
            </w:r>
            <w:r>
              <w:rPr>
                <w:spacing w:val="-9"/>
                <w:w w:val="105"/>
                <w:sz w:val="18"/>
              </w:rPr>
              <w:t xml:space="preserve"> </w:t>
            </w:r>
            <w:r>
              <w:rPr>
                <w:w w:val="105"/>
                <w:sz w:val="18"/>
              </w:rPr>
              <w:t>in</w:t>
            </w:r>
            <w:r>
              <w:rPr>
                <w:spacing w:val="-11"/>
                <w:w w:val="105"/>
                <w:sz w:val="18"/>
              </w:rPr>
              <w:t xml:space="preserve"> </w:t>
            </w:r>
            <w:r>
              <w:rPr>
                <w:w w:val="105"/>
                <w:sz w:val="18"/>
              </w:rPr>
              <w:t>households</w:t>
            </w:r>
            <w:r>
              <w:rPr>
                <w:spacing w:val="-9"/>
                <w:w w:val="105"/>
                <w:sz w:val="18"/>
              </w:rPr>
              <w:t xml:space="preserve"> </w:t>
            </w:r>
            <w:r>
              <w:rPr>
                <w:w w:val="105"/>
                <w:sz w:val="18"/>
              </w:rPr>
              <w:t>with</w:t>
            </w:r>
            <w:r>
              <w:rPr>
                <w:spacing w:val="-8"/>
                <w:w w:val="105"/>
                <w:sz w:val="18"/>
              </w:rPr>
              <w:t xml:space="preserve"> </w:t>
            </w:r>
            <w:r>
              <w:rPr>
                <w:w w:val="105"/>
                <w:sz w:val="18"/>
              </w:rPr>
              <w:t>very</w:t>
            </w:r>
            <w:r>
              <w:rPr>
                <w:spacing w:val="-10"/>
                <w:w w:val="105"/>
                <w:sz w:val="18"/>
              </w:rPr>
              <w:t xml:space="preserve"> </w:t>
            </w:r>
            <w:r>
              <w:rPr>
                <w:w w:val="105"/>
                <w:sz w:val="18"/>
              </w:rPr>
              <w:t>low</w:t>
            </w:r>
            <w:r>
              <w:rPr>
                <w:spacing w:val="-11"/>
                <w:w w:val="105"/>
                <w:sz w:val="18"/>
              </w:rPr>
              <w:t xml:space="preserve"> </w:t>
            </w:r>
            <w:r>
              <w:rPr>
                <w:w w:val="105"/>
                <w:sz w:val="18"/>
              </w:rPr>
              <w:t>work</w:t>
            </w:r>
            <w:r>
              <w:rPr>
                <w:spacing w:val="-3"/>
                <w:w w:val="105"/>
                <w:sz w:val="18"/>
              </w:rPr>
              <w:t xml:space="preserve"> </w:t>
            </w:r>
            <w:r>
              <w:rPr>
                <w:w w:val="105"/>
                <w:sz w:val="18"/>
              </w:rPr>
              <w:t>intensity</w:t>
            </w:r>
          </w:p>
        </w:tc>
        <w:tc>
          <w:tcPr>
            <w:tcW w:w="4112" w:type="dxa"/>
          </w:tcPr>
          <w:p w:rsidR="00A56FE9" w:rsidRDefault="00000000">
            <w:pPr>
              <w:pStyle w:val="TableParagraph"/>
              <w:spacing w:before="4" w:line="201" w:lineRule="exact"/>
              <w:ind w:left="837"/>
              <w:rPr>
                <w:sz w:val="18"/>
              </w:rPr>
            </w:pPr>
            <w:r>
              <w:rPr>
                <w:w w:val="105"/>
                <w:sz w:val="18"/>
              </w:rPr>
              <w:t>%</w:t>
            </w:r>
            <w:r>
              <w:rPr>
                <w:spacing w:val="-3"/>
                <w:w w:val="105"/>
                <w:sz w:val="18"/>
              </w:rPr>
              <w:t xml:space="preserve"> </w:t>
            </w:r>
            <w:r>
              <w:rPr>
                <w:w w:val="105"/>
                <w:sz w:val="18"/>
              </w:rPr>
              <w:t>population</w:t>
            </w:r>
            <w:r>
              <w:rPr>
                <w:spacing w:val="-2"/>
                <w:w w:val="105"/>
                <w:sz w:val="18"/>
              </w:rPr>
              <w:t xml:space="preserve"> </w:t>
            </w:r>
            <w:r>
              <w:rPr>
                <w:w w:val="105"/>
                <w:sz w:val="18"/>
              </w:rPr>
              <w:t>aged</w:t>
            </w:r>
            <w:r>
              <w:rPr>
                <w:spacing w:val="-2"/>
                <w:w w:val="105"/>
                <w:sz w:val="18"/>
              </w:rPr>
              <w:t xml:space="preserve"> </w:t>
            </w:r>
            <w:r>
              <w:rPr>
                <w:w w:val="105"/>
                <w:sz w:val="18"/>
              </w:rPr>
              <w:t>0</w:t>
            </w:r>
            <w:r>
              <w:rPr>
                <w:spacing w:val="-3"/>
                <w:w w:val="105"/>
                <w:sz w:val="18"/>
              </w:rPr>
              <w:t xml:space="preserve"> </w:t>
            </w:r>
            <w:r>
              <w:rPr>
                <w:w w:val="105"/>
                <w:sz w:val="18"/>
              </w:rPr>
              <w:t>to</w:t>
            </w:r>
            <w:r>
              <w:rPr>
                <w:spacing w:val="-6"/>
                <w:w w:val="105"/>
                <w:sz w:val="18"/>
              </w:rPr>
              <w:t xml:space="preserve"> </w:t>
            </w:r>
            <w:r>
              <w:rPr>
                <w:w w:val="105"/>
                <w:sz w:val="18"/>
              </w:rPr>
              <w:t>59</w:t>
            </w:r>
            <w:r>
              <w:rPr>
                <w:spacing w:val="-5"/>
                <w:w w:val="105"/>
                <w:sz w:val="18"/>
              </w:rPr>
              <w:t xml:space="preserve"> </w:t>
            </w:r>
            <w:r>
              <w:rPr>
                <w:w w:val="105"/>
                <w:sz w:val="18"/>
              </w:rPr>
              <w:t>years</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11"/>
              <w:jc w:val="right"/>
              <w:rPr>
                <w:sz w:val="18"/>
              </w:rPr>
            </w:pPr>
            <w:r>
              <w:rPr>
                <w:w w:val="105"/>
                <w:sz w:val="18"/>
              </w:rPr>
              <w:t>14.8</w:t>
            </w:r>
          </w:p>
        </w:tc>
        <w:tc>
          <w:tcPr>
            <w:tcW w:w="680" w:type="dxa"/>
          </w:tcPr>
          <w:p w:rsidR="00A56FE9" w:rsidRDefault="00000000">
            <w:pPr>
              <w:pStyle w:val="TableParagraph"/>
              <w:spacing w:before="4" w:line="201" w:lineRule="exact"/>
              <w:ind w:left="148"/>
              <w:rPr>
                <w:sz w:val="18"/>
              </w:rPr>
            </w:pPr>
            <w:r>
              <w:rPr>
                <w:w w:val="105"/>
                <w:sz w:val="18"/>
              </w:rPr>
              <w:t>2020</w:t>
            </w:r>
          </w:p>
        </w:tc>
        <w:tc>
          <w:tcPr>
            <w:tcW w:w="996" w:type="dxa"/>
            <w:tcBorders>
              <w:right w:val="nil"/>
            </w:tcBorders>
          </w:tcPr>
          <w:p w:rsidR="00A56FE9" w:rsidRDefault="00000000">
            <w:pPr>
              <w:pStyle w:val="TableParagraph"/>
              <w:spacing w:before="4" w:line="201" w:lineRule="exact"/>
              <w:ind w:right="148"/>
              <w:jc w:val="right"/>
              <w:rPr>
                <w:sz w:val="18"/>
              </w:rPr>
            </w:pPr>
            <w:r>
              <w:rPr>
                <w:w w:val="105"/>
                <w:sz w:val="18"/>
              </w:rPr>
              <w:t>8.6</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w w:val="105"/>
                <w:sz w:val="18"/>
              </w:rPr>
              <w:t>In</w:t>
            </w:r>
            <w:r>
              <w:rPr>
                <w:spacing w:val="-4"/>
                <w:w w:val="105"/>
                <w:sz w:val="18"/>
              </w:rPr>
              <w:t xml:space="preserve"> </w:t>
            </w:r>
            <w:r>
              <w:rPr>
                <w:w w:val="105"/>
                <w:sz w:val="18"/>
              </w:rPr>
              <w:t>work</w:t>
            </w:r>
            <w:r>
              <w:rPr>
                <w:spacing w:val="-2"/>
                <w:w w:val="105"/>
                <w:sz w:val="18"/>
              </w:rPr>
              <w:t xml:space="preserve"> </w:t>
            </w:r>
            <w:r>
              <w:rPr>
                <w:w w:val="105"/>
                <w:sz w:val="18"/>
              </w:rPr>
              <w:t>at-risk-of-poverty</w:t>
            </w:r>
            <w:r>
              <w:rPr>
                <w:spacing w:val="-6"/>
                <w:w w:val="105"/>
                <w:sz w:val="18"/>
              </w:rPr>
              <w:t xml:space="preserve"> </w:t>
            </w:r>
            <w:r>
              <w:rPr>
                <w:w w:val="105"/>
                <w:sz w:val="18"/>
              </w:rPr>
              <w:t>rate</w:t>
            </w:r>
          </w:p>
        </w:tc>
        <w:tc>
          <w:tcPr>
            <w:tcW w:w="4112" w:type="dxa"/>
          </w:tcPr>
          <w:p w:rsidR="00A56FE9" w:rsidRDefault="00000000">
            <w:pPr>
              <w:pStyle w:val="TableParagraph"/>
              <w:spacing w:before="7" w:line="201" w:lineRule="exact"/>
              <w:ind w:left="626"/>
              <w:rPr>
                <w:sz w:val="18"/>
              </w:rPr>
            </w:pPr>
            <w:r>
              <w:rPr>
                <w:w w:val="105"/>
                <w:sz w:val="18"/>
              </w:rPr>
              <w:t>%</w:t>
            </w:r>
            <w:r>
              <w:rPr>
                <w:spacing w:val="-3"/>
                <w:w w:val="105"/>
                <w:sz w:val="18"/>
              </w:rPr>
              <w:t xml:space="preserve"> </w:t>
            </w:r>
            <w:r>
              <w:rPr>
                <w:w w:val="105"/>
                <w:sz w:val="18"/>
              </w:rPr>
              <w:t>population</w:t>
            </w:r>
            <w:r>
              <w:rPr>
                <w:spacing w:val="-1"/>
                <w:w w:val="105"/>
                <w:sz w:val="18"/>
              </w:rPr>
              <w:t xml:space="preserve"> </w:t>
            </w:r>
            <w:r>
              <w:rPr>
                <w:w w:val="105"/>
                <w:sz w:val="18"/>
              </w:rPr>
              <w:t>aged</w:t>
            </w:r>
            <w:r>
              <w:rPr>
                <w:spacing w:val="-1"/>
                <w:w w:val="105"/>
                <w:sz w:val="18"/>
              </w:rPr>
              <w:t xml:space="preserve"> </w:t>
            </w:r>
            <w:r>
              <w:rPr>
                <w:w w:val="105"/>
                <w:sz w:val="18"/>
              </w:rPr>
              <w:t>8</w:t>
            </w:r>
            <w:r>
              <w:rPr>
                <w:spacing w:val="-3"/>
                <w:w w:val="105"/>
                <w:sz w:val="18"/>
              </w:rPr>
              <w:t xml:space="preserve"> </w:t>
            </w:r>
            <w:r>
              <w:rPr>
                <w:w w:val="105"/>
                <w:sz w:val="18"/>
              </w:rPr>
              <w:t>and</w:t>
            </w:r>
            <w:r>
              <w:rPr>
                <w:spacing w:val="-2"/>
                <w:w w:val="105"/>
                <w:sz w:val="18"/>
              </w:rPr>
              <w:t xml:space="preserve"> </w:t>
            </w:r>
            <w:r>
              <w:rPr>
                <w:w w:val="105"/>
                <w:sz w:val="18"/>
              </w:rPr>
              <w:t>more</w:t>
            </w:r>
            <w:r>
              <w:rPr>
                <w:spacing w:val="-5"/>
                <w:w w:val="105"/>
                <w:sz w:val="18"/>
              </w:rPr>
              <w:t xml:space="preserve"> </w:t>
            </w:r>
            <w:r>
              <w:rPr>
                <w:w w:val="105"/>
                <w:sz w:val="18"/>
              </w:rPr>
              <w:t>years</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1"/>
              <w:jc w:val="right"/>
              <w:rPr>
                <w:sz w:val="18"/>
              </w:rPr>
            </w:pPr>
            <w:r>
              <w:rPr>
                <w:w w:val="105"/>
                <w:sz w:val="18"/>
              </w:rPr>
              <w:t>6.2</w:t>
            </w:r>
          </w:p>
        </w:tc>
        <w:tc>
          <w:tcPr>
            <w:tcW w:w="680" w:type="dxa"/>
          </w:tcPr>
          <w:p w:rsidR="00A56FE9" w:rsidRDefault="00000000">
            <w:pPr>
              <w:pStyle w:val="TableParagraph"/>
              <w:spacing w:before="7" w:line="201" w:lineRule="exact"/>
              <w:ind w:left="148"/>
              <w:rPr>
                <w:sz w:val="18"/>
              </w:rPr>
            </w:pPr>
            <w:r>
              <w:rPr>
                <w:w w:val="105"/>
                <w:sz w:val="18"/>
              </w:rPr>
              <w:t>2020</w:t>
            </w:r>
          </w:p>
        </w:tc>
        <w:tc>
          <w:tcPr>
            <w:tcW w:w="996" w:type="dxa"/>
            <w:tcBorders>
              <w:right w:val="nil"/>
            </w:tcBorders>
          </w:tcPr>
          <w:p w:rsidR="00A56FE9" w:rsidRDefault="00000000">
            <w:pPr>
              <w:pStyle w:val="TableParagraph"/>
              <w:spacing w:before="7" w:line="201" w:lineRule="exact"/>
              <w:ind w:right="148"/>
              <w:jc w:val="right"/>
              <w:rPr>
                <w:sz w:val="18"/>
              </w:rPr>
            </w:pPr>
            <w:r>
              <w:rPr>
                <w:w w:val="105"/>
                <w:sz w:val="18"/>
              </w:rPr>
              <w:t>5.1</w:t>
            </w:r>
          </w:p>
        </w:tc>
      </w:tr>
      <w:tr w:rsidR="00A56FE9">
        <w:trPr>
          <w:trHeight w:val="414"/>
        </w:trPr>
        <w:tc>
          <w:tcPr>
            <w:tcW w:w="6536" w:type="dxa"/>
            <w:tcBorders>
              <w:left w:val="nil"/>
            </w:tcBorders>
          </w:tcPr>
          <w:p w:rsidR="00A56FE9" w:rsidRDefault="00000000">
            <w:pPr>
              <w:pStyle w:val="TableParagraph"/>
              <w:spacing w:line="202" w:lineRule="exact"/>
              <w:ind w:left="71"/>
              <w:rPr>
                <w:sz w:val="18"/>
              </w:rPr>
            </w:pPr>
            <w:r>
              <w:rPr>
                <w:w w:val="105"/>
                <w:sz w:val="18"/>
              </w:rPr>
              <w:t>Population</w:t>
            </w:r>
            <w:r>
              <w:rPr>
                <w:spacing w:val="-1"/>
                <w:w w:val="105"/>
                <w:sz w:val="18"/>
              </w:rPr>
              <w:t xml:space="preserve"> </w:t>
            </w:r>
            <w:r>
              <w:rPr>
                <w:w w:val="105"/>
                <w:sz w:val="18"/>
              </w:rPr>
              <w:t>living</w:t>
            </w:r>
            <w:r>
              <w:rPr>
                <w:spacing w:val="-1"/>
                <w:w w:val="105"/>
                <w:sz w:val="18"/>
              </w:rPr>
              <w:t xml:space="preserve"> </w:t>
            </w:r>
            <w:r>
              <w:rPr>
                <w:w w:val="105"/>
                <w:sz w:val="18"/>
              </w:rPr>
              <w:t>in a</w:t>
            </w:r>
            <w:r>
              <w:rPr>
                <w:spacing w:val="-5"/>
                <w:w w:val="105"/>
                <w:sz w:val="18"/>
              </w:rPr>
              <w:t xml:space="preserve"> </w:t>
            </w:r>
            <w:r>
              <w:rPr>
                <w:w w:val="105"/>
                <w:sz w:val="18"/>
              </w:rPr>
              <w:t>dwelling</w:t>
            </w:r>
            <w:r>
              <w:rPr>
                <w:spacing w:val="2"/>
                <w:w w:val="105"/>
                <w:sz w:val="18"/>
              </w:rPr>
              <w:t xml:space="preserve"> </w:t>
            </w:r>
            <w:r>
              <w:rPr>
                <w:w w:val="105"/>
                <w:sz w:val="18"/>
              </w:rPr>
              <w:t>with</w:t>
            </w:r>
            <w:r>
              <w:rPr>
                <w:spacing w:val="-1"/>
                <w:w w:val="105"/>
                <w:sz w:val="18"/>
              </w:rPr>
              <w:t xml:space="preserve"> </w:t>
            </w:r>
            <w:r>
              <w:rPr>
                <w:w w:val="105"/>
                <w:sz w:val="18"/>
              </w:rPr>
              <w:t>a</w:t>
            </w:r>
            <w:r>
              <w:rPr>
                <w:spacing w:val="-2"/>
                <w:w w:val="105"/>
                <w:sz w:val="18"/>
              </w:rPr>
              <w:t xml:space="preserve"> </w:t>
            </w:r>
            <w:r>
              <w:rPr>
                <w:w w:val="105"/>
                <w:sz w:val="18"/>
              </w:rPr>
              <w:t>leaking</w:t>
            </w:r>
            <w:r>
              <w:rPr>
                <w:spacing w:val="-3"/>
                <w:w w:val="105"/>
                <w:sz w:val="18"/>
              </w:rPr>
              <w:t xml:space="preserve"> </w:t>
            </w:r>
            <w:r>
              <w:rPr>
                <w:w w:val="105"/>
                <w:sz w:val="18"/>
              </w:rPr>
              <w:t>roof,</w:t>
            </w:r>
            <w:r>
              <w:rPr>
                <w:spacing w:val="-3"/>
                <w:w w:val="105"/>
                <w:sz w:val="18"/>
              </w:rPr>
              <w:t xml:space="preserve"> </w:t>
            </w:r>
            <w:r>
              <w:rPr>
                <w:w w:val="105"/>
                <w:sz w:val="18"/>
              </w:rPr>
              <w:t>damp</w:t>
            </w:r>
            <w:r>
              <w:rPr>
                <w:spacing w:val="-1"/>
                <w:w w:val="105"/>
                <w:sz w:val="18"/>
              </w:rPr>
              <w:t xml:space="preserve"> </w:t>
            </w:r>
            <w:r>
              <w:rPr>
                <w:w w:val="105"/>
                <w:sz w:val="18"/>
              </w:rPr>
              <w:t>walls,</w:t>
            </w:r>
            <w:r>
              <w:rPr>
                <w:spacing w:val="-2"/>
                <w:w w:val="105"/>
                <w:sz w:val="18"/>
              </w:rPr>
              <w:t xml:space="preserve"> </w:t>
            </w:r>
            <w:r>
              <w:rPr>
                <w:w w:val="105"/>
                <w:sz w:val="18"/>
              </w:rPr>
              <w:t>floors</w:t>
            </w:r>
            <w:r>
              <w:rPr>
                <w:spacing w:val="-3"/>
                <w:w w:val="105"/>
                <w:sz w:val="18"/>
              </w:rPr>
              <w:t xml:space="preserve"> </w:t>
            </w:r>
            <w:r>
              <w:rPr>
                <w:w w:val="105"/>
                <w:sz w:val="18"/>
              </w:rPr>
              <w:t>or</w:t>
            </w:r>
            <w:r>
              <w:rPr>
                <w:spacing w:val="-3"/>
                <w:w w:val="105"/>
                <w:sz w:val="18"/>
              </w:rPr>
              <w:t xml:space="preserve"> </w:t>
            </w:r>
            <w:r>
              <w:rPr>
                <w:w w:val="105"/>
                <w:sz w:val="18"/>
              </w:rPr>
              <w:t>foundation</w:t>
            </w:r>
          </w:p>
          <w:p w:rsidR="00A56FE9" w:rsidRDefault="00000000">
            <w:pPr>
              <w:pStyle w:val="TableParagraph"/>
              <w:spacing w:line="193" w:lineRule="exact"/>
              <w:ind w:left="71"/>
              <w:rPr>
                <w:sz w:val="18"/>
              </w:rPr>
            </w:pPr>
            <w:r>
              <w:rPr>
                <w:w w:val="105"/>
                <w:sz w:val="18"/>
              </w:rPr>
              <w:t>or</w:t>
            </w:r>
            <w:r>
              <w:rPr>
                <w:spacing w:val="-7"/>
                <w:w w:val="105"/>
                <w:sz w:val="18"/>
              </w:rPr>
              <w:t xml:space="preserve"> </w:t>
            </w:r>
            <w:r>
              <w:rPr>
                <w:w w:val="105"/>
                <w:sz w:val="18"/>
              </w:rPr>
              <w:t>rot</w:t>
            </w:r>
            <w:r>
              <w:rPr>
                <w:spacing w:val="-9"/>
                <w:w w:val="105"/>
                <w:sz w:val="18"/>
              </w:rPr>
              <w:t xml:space="preserve"> </w:t>
            </w:r>
            <w:r>
              <w:rPr>
                <w:w w:val="105"/>
                <w:sz w:val="18"/>
              </w:rPr>
              <w:t>in</w:t>
            </w:r>
            <w:r>
              <w:rPr>
                <w:spacing w:val="-5"/>
                <w:w w:val="105"/>
                <w:sz w:val="18"/>
              </w:rPr>
              <w:t xml:space="preserve"> </w:t>
            </w:r>
            <w:r>
              <w:rPr>
                <w:w w:val="105"/>
                <w:sz w:val="18"/>
              </w:rPr>
              <w:t>window</w:t>
            </w:r>
            <w:r>
              <w:rPr>
                <w:spacing w:val="-3"/>
                <w:w w:val="105"/>
                <w:sz w:val="18"/>
              </w:rPr>
              <w:t xml:space="preserve"> </w:t>
            </w:r>
            <w:r>
              <w:rPr>
                <w:w w:val="105"/>
                <w:sz w:val="18"/>
              </w:rPr>
              <w:t>frames</w:t>
            </w:r>
            <w:r>
              <w:rPr>
                <w:spacing w:val="-6"/>
                <w:w w:val="105"/>
                <w:sz w:val="18"/>
              </w:rPr>
              <w:t xml:space="preserve"> </w:t>
            </w:r>
            <w:r>
              <w:rPr>
                <w:w w:val="105"/>
                <w:sz w:val="18"/>
              </w:rPr>
              <w:t>of</w:t>
            </w:r>
            <w:r>
              <w:rPr>
                <w:spacing w:val="-7"/>
                <w:w w:val="105"/>
                <w:sz w:val="18"/>
              </w:rPr>
              <w:t xml:space="preserve"> </w:t>
            </w:r>
            <w:r>
              <w:rPr>
                <w:w w:val="105"/>
                <w:sz w:val="18"/>
              </w:rPr>
              <w:t>floor</w:t>
            </w:r>
          </w:p>
        </w:tc>
        <w:tc>
          <w:tcPr>
            <w:tcW w:w="4112" w:type="dxa"/>
          </w:tcPr>
          <w:p w:rsidR="00A56FE9" w:rsidRDefault="00000000">
            <w:pPr>
              <w:pStyle w:val="TableParagraph"/>
              <w:spacing w:before="98"/>
              <w:ind w:left="64" w:right="68"/>
              <w:jc w:val="center"/>
              <w:rPr>
                <w:sz w:val="18"/>
              </w:rPr>
            </w:pPr>
            <w:r>
              <w:rPr>
                <w:w w:val="105"/>
                <w:sz w:val="18"/>
              </w:rPr>
              <w:t>%</w:t>
            </w:r>
            <w:r>
              <w:rPr>
                <w:spacing w:val="-4"/>
                <w:w w:val="105"/>
                <w:sz w:val="18"/>
              </w:rPr>
              <w:t xml:space="preserve"> </w:t>
            </w:r>
            <w:r>
              <w:rPr>
                <w:w w:val="105"/>
                <w:sz w:val="18"/>
              </w:rPr>
              <w:t>population</w:t>
            </w:r>
          </w:p>
        </w:tc>
        <w:tc>
          <w:tcPr>
            <w:tcW w:w="708" w:type="dxa"/>
          </w:tcPr>
          <w:p w:rsidR="00A56FE9" w:rsidRDefault="00000000">
            <w:pPr>
              <w:pStyle w:val="TableParagraph"/>
              <w:spacing w:before="98"/>
              <w:ind w:left="132"/>
              <w:rPr>
                <w:sz w:val="18"/>
              </w:rPr>
            </w:pPr>
            <w:r>
              <w:rPr>
                <w:w w:val="105"/>
                <w:sz w:val="18"/>
              </w:rPr>
              <w:t>2013</w:t>
            </w:r>
          </w:p>
        </w:tc>
        <w:tc>
          <w:tcPr>
            <w:tcW w:w="992" w:type="dxa"/>
          </w:tcPr>
          <w:p w:rsidR="00A56FE9" w:rsidRDefault="00000000">
            <w:pPr>
              <w:pStyle w:val="TableParagraph"/>
              <w:spacing w:before="98"/>
              <w:ind w:right="111"/>
              <w:jc w:val="right"/>
              <w:rPr>
                <w:sz w:val="18"/>
              </w:rPr>
            </w:pPr>
            <w:r>
              <w:rPr>
                <w:w w:val="105"/>
                <w:sz w:val="18"/>
              </w:rPr>
              <w:t>13.1</w:t>
            </w:r>
          </w:p>
        </w:tc>
        <w:tc>
          <w:tcPr>
            <w:tcW w:w="680" w:type="dxa"/>
          </w:tcPr>
          <w:p w:rsidR="00A56FE9" w:rsidRDefault="00000000">
            <w:pPr>
              <w:pStyle w:val="TableParagraph"/>
              <w:spacing w:before="98"/>
              <w:ind w:left="148"/>
              <w:rPr>
                <w:sz w:val="18"/>
              </w:rPr>
            </w:pPr>
            <w:r>
              <w:rPr>
                <w:w w:val="105"/>
                <w:sz w:val="18"/>
              </w:rPr>
              <w:t>2020</w:t>
            </w:r>
          </w:p>
        </w:tc>
        <w:tc>
          <w:tcPr>
            <w:tcW w:w="996" w:type="dxa"/>
            <w:tcBorders>
              <w:right w:val="nil"/>
            </w:tcBorders>
          </w:tcPr>
          <w:p w:rsidR="00A56FE9" w:rsidRDefault="00000000">
            <w:pPr>
              <w:pStyle w:val="TableParagraph"/>
              <w:spacing w:before="98"/>
              <w:ind w:right="148"/>
              <w:jc w:val="right"/>
              <w:rPr>
                <w:sz w:val="18"/>
              </w:rPr>
            </w:pPr>
            <w:r>
              <w:rPr>
                <w:w w:val="105"/>
                <w:sz w:val="18"/>
              </w:rPr>
              <w:t>9.4</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w w:val="105"/>
                <w:sz w:val="18"/>
              </w:rPr>
              <w:t>Self-reported</w:t>
            </w:r>
            <w:r>
              <w:rPr>
                <w:spacing w:val="-11"/>
                <w:w w:val="105"/>
                <w:sz w:val="18"/>
              </w:rPr>
              <w:t xml:space="preserve"> </w:t>
            </w:r>
            <w:r>
              <w:rPr>
                <w:w w:val="105"/>
                <w:sz w:val="18"/>
              </w:rPr>
              <w:t>unmet</w:t>
            </w:r>
            <w:r>
              <w:rPr>
                <w:spacing w:val="-12"/>
                <w:w w:val="105"/>
                <w:sz w:val="18"/>
              </w:rPr>
              <w:t xml:space="preserve"> </w:t>
            </w:r>
            <w:r>
              <w:rPr>
                <w:w w:val="105"/>
                <w:sz w:val="18"/>
              </w:rPr>
              <w:t>need</w:t>
            </w:r>
            <w:r>
              <w:rPr>
                <w:spacing w:val="-11"/>
                <w:w w:val="105"/>
                <w:sz w:val="18"/>
              </w:rPr>
              <w:t xml:space="preserve"> </w:t>
            </w:r>
            <w:r>
              <w:rPr>
                <w:w w:val="105"/>
                <w:sz w:val="18"/>
              </w:rPr>
              <w:t>for</w:t>
            </w:r>
            <w:r>
              <w:rPr>
                <w:spacing w:val="-9"/>
                <w:w w:val="105"/>
                <w:sz w:val="18"/>
              </w:rPr>
              <w:t xml:space="preserve"> </w:t>
            </w:r>
            <w:r>
              <w:rPr>
                <w:w w:val="105"/>
                <w:sz w:val="18"/>
              </w:rPr>
              <w:t>medical</w:t>
            </w:r>
            <w:r>
              <w:rPr>
                <w:spacing w:val="-10"/>
                <w:w w:val="105"/>
                <w:sz w:val="18"/>
              </w:rPr>
              <w:t xml:space="preserve"> </w:t>
            </w:r>
            <w:r>
              <w:rPr>
                <w:w w:val="105"/>
                <w:sz w:val="18"/>
              </w:rPr>
              <w:t>examination</w:t>
            </w:r>
            <w:r>
              <w:rPr>
                <w:spacing w:val="-8"/>
                <w:w w:val="105"/>
                <w:sz w:val="18"/>
              </w:rPr>
              <w:t xml:space="preserve"> </w:t>
            </w:r>
            <w:r>
              <w:rPr>
                <w:w w:val="105"/>
                <w:sz w:val="18"/>
              </w:rPr>
              <w:t>and</w:t>
            </w:r>
            <w:r>
              <w:rPr>
                <w:spacing w:val="-11"/>
                <w:w w:val="105"/>
                <w:sz w:val="18"/>
              </w:rPr>
              <w:t xml:space="preserve"> </w:t>
            </w:r>
            <w:r>
              <w:rPr>
                <w:w w:val="105"/>
                <w:sz w:val="18"/>
              </w:rPr>
              <w:t>care</w:t>
            </w:r>
          </w:p>
        </w:tc>
        <w:tc>
          <w:tcPr>
            <w:tcW w:w="4112" w:type="dxa"/>
          </w:tcPr>
          <w:p w:rsidR="00A56FE9" w:rsidRDefault="00000000">
            <w:pPr>
              <w:pStyle w:val="TableParagraph"/>
              <w:spacing w:before="4" w:line="201" w:lineRule="exact"/>
              <w:ind w:left="578"/>
              <w:rPr>
                <w:sz w:val="18"/>
              </w:rPr>
            </w:pPr>
            <w:r>
              <w:rPr>
                <w:w w:val="105"/>
                <w:sz w:val="18"/>
              </w:rPr>
              <w:t>%</w:t>
            </w:r>
            <w:r>
              <w:rPr>
                <w:spacing w:val="-3"/>
                <w:w w:val="105"/>
                <w:sz w:val="18"/>
              </w:rPr>
              <w:t xml:space="preserve"> </w:t>
            </w:r>
            <w:r>
              <w:rPr>
                <w:w w:val="105"/>
                <w:sz w:val="18"/>
              </w:rPr>
              <w:t>population</w:t>
            </w:r>
            <w:r>
              <w:rPr>
                <w:spacing w:val="-1"/>
                <w:w w:val="105"/>
                <w:sz w:val="18"/>
              </w:rPr>
              <w:t xml:space="preserve"> </w:t>
            </w:r>
            <w:r>
              <w:rPr>
                <w:w w:val="105"/>
                <w:sz w:val="18"/>
              </w:rPr>
              <w:t>aged</w:t>
            </w:r>
            <w:r>
              <w:rPr>
                <w:spacing w:val="-2"/>
                <w:w w:val="105"/>
                <w:sz w:val="18"/>
              </w:rPr>
              <w:t xml:space="preserve"> </w:t>
            </w:r>
            <w:r>
              <w:rPr>
                <w:w w:val="105"/>
                <w:sz w:val="18"/>
              </w:rPr>
              <w:t>16</w:t>
            </w:r>
            <w:r>
              <w:rPr>
                <w:spacing w:val="-3"/>
                <w:w w:val="105"/>
                <w:sz w:val="18"/>
              </w:rPr>
              <w:t xml:space="preserve"> </w:t>
            </w:r>
            <w:r>
              <w:rPr>
                <w:w w:val="105"/>
                <w:sz w:val="18"/>
              </w:rPr>
              <w:t>and</w:t>
            </w:r>
            <w:r>
              <w:rPr>
                <w:spacing w:val="-3"/>
                <w:w w:val="105"/>
                <w:sz w:val="18"/>
              </w:rPr>
              <w:t xml:space="preserve"> </w:t>
            </w:r>
            <w:r>
              <w:rPr>
                <w:w w:val="105"/>
                <w:sz w:val="18"/>
              </w:rPr>
              <w:t>more</w:t>
            </w:r>
            <w:r>
              <w:rPr>
                <w:spacing w:val="-3"/>
                <w:w w:val="105"/>
                <w:sz w:val="18"/>
              </w:rPr>
              <w:t xml:space="preserve"> </w:t>
            </w:r>
            <w:r>
              <w:rPr>
                <w:w w:val="105"/>
                <w:sz w:val="18"/>
              </w:rPr>
              <w:t>years</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11"/>
              <w:jc w:val="right"/>
              <w:rPr>
                <w:sz w:val="18"/>
              </w:rPr>
            </w:pPr>
            <w:r>
              <w:rPr>
                <w:w w:val="105"/>
                <w:sz w:val="18"/>
              </w:rPr>
              <w:t>3.3</w:t>
            </w:r>
          </w:p>
        </w:tc>
        <w:tc>
          <w:tcPr>
            <w:tcW w:w="680" w:type="dxa"/>
          </w:tcPr>
          <w:p w:rsidR="00A56FE9" w:rsidRDefault="00000000">
            <w:pPr>
              <w:pStyle w:val="TableParagraph"/>
              <w:spacing w:before="4" w:line="201" w:lineRule="exact"/>
              <w:ind w:left="148"/>
              <w:rPr>
                <w:sz w:val="18"/>
              </w:rPr>
            </w:pPr>
            <w:r>
              <w:rPr>
                <w:w w:val="105"/>
                <w:sz w:val="18"/>
              </w:rPr>
              <w:t>2020</w:t>
            </w:r>
          </w:p>
        </w:tc>
        <w:tc>
          <w:tcPr>
            <w:tcW w:w="996" w:type="dxa"/>
            <w:tcBorders>
              <w:right w:val="nil"/>
            </w:tcBorders>
          </w:tcPr>
          <w:p w:rsidR="00A56FE9" w:rsidRDefault="00000000">
            <w:pPr>
              <w:pStyle w:val="TableParagraph"/>
              <w:spacing w:before="4" w:line="201" w:lineRule="exact"/>
              <w:ind w:right="148"/>
              <w:jc w:val="right"/>
              <w:rPr>
                <w:sz w:val="18"/>
              </w:rPr>
            </w:pPr>
            <w:r>
              <w:rPr>
                <w:w w:val="105"/>
                <w:sz w:val="18"/>
              </w:rPr>
              <w:t>1.5</w:t>
            </w:r>
          </w:p>
        </w:tc>
      </w:tr>
      <w:tr w:rsidR="00A56FE9">
        <w:trPr>
          <w:trHeight w:val="414"/>
        </w:trPr>
        <w:tc>
          <w:tcPr>
            <w:tcW w:w="6536" w:type="dxa"/>
            <w:tcBorders>
              <w:left w:val="nil"/>
            </w:tcBorders>
          </w:tcPr>
          <w:p w:rsidR="00A56FE9" w:rsidRDefault="00000000">
            <w:pPr>
              <w:pStyle w:val="TableParagraph"/>
              <w:spacing w:line="206" w:lineRule="exact"/>
              <w:ind w:left="71"/>
              <w:rPr>
                <w:sz w:val="18"/>
              </w:rPr>
            </w:pPr>
            <w:r>
              <w:rPr>
                <w:w w:val="105"/>
                <w:sz w:val="18"/>
              </w:rPr>
              <w:t>Population</w:t>
            </w:r>
            <w:r>
              <w:rPr>
                <w:spacing w:val="21"/>
                <w:w w:val="105"/>
                <w:sz w:val="18"/>
              </w:rPr>
              <w:t xml:space="preserve"> </w:t>
            </w:r>
            <w:r>
              <w:rPr>
                <w:w w:val="105"/>
                <w:sz w:val="18"/>
              </w:rPr>
              <w:t>having</w:t>
            </w:r>
            <w:r>
              <w:rPr>
                <w:spacing w:val="22"/>
                <w:w w:val="105"/>
                <w:sz w:val="18"/>
              </w:rPr>
              <w:t xml:space="preserve"> </w:t>
            </w:r>
            <w:r>
              <w:rPr>
                <w:w w:val="105"/>
                <w:sz w:val="18"/>
              </w:rPr>
              <w:t>neither</w:t>
            </w:r>
            <w:r>
              <w:rPr>
                <w:spacing w:val="22"/>
                <w:w w:val="105"/>
                <w:sz w:val="18"/>
              </w:rPr>
              <w:t xml:space="preserve"> </w:t>
            </w:r>
            <w:r>
              <w:rPr>
                <w:w w:val="105"/>
                <w:sz w:val="18"/>
              </w:rPr>
              <w:t>a</w:t>
            </w:r>
            <w:r>
              <w:rPr>
                <w:spacing w:val="20"/>
                <w:w w:val="105"/>
                <w:sz w:val="18"/>
              </w:rPr>
              <w:t xml:space="preserve"> </w:t>
            </w:r>
            <w:r>
              <w:rPr>
                <w:w w:val="105"/>
                <w:sz w:val="18"/>
              </w:rPr>
              <w:t>bath,</w:t>
            </w:r>
            <w:r>
              <w:rPr>
                <w:spacing w:val="20"/>
                <w:w w:val="105"/>
                <w:sz w:val="18"/>
              </w:rPr>
              <w:t xml:space="preserve"> </w:t>
            </w:r>
            <w:r>
              <w:rPr>
                <w:w w:val="105"/>
                <w:sz w:val="18"/>
              </w:rPr>
              <w:t>nor</w:t>
            </w:r>
            <w:r>
              <w:rPr>
                <w:spacing w:val="22"/>
                <w:w w:val="105"/>
                <w:sz w:val="18"/>
              </w:rPr>
              <w:t xml:space="preserve"> </w:t>
            </w:r>
            <w:r>
              <w:rPr>
                <w:w w:val="105"/>
                <w:sz w:val="18"/>
              </w:rPr>
              <w:t>a</w:t>
            </w:r>
            <w:r>
              <w:rPr>
                <w:spacing w:val="20"/>
                <w:w w:val="105"/>
                <w:sz w:val="18"/>
              </w:rPr>
              <w:t xml:space="preserve"> </w:t>
            </w:r>
            <w:r>
              <w:rPr>
                <w:w w:val="105"/>
                <w:sz w:val="18"/>
              </w:rPr>
              <w:t>shower,</w:t>
            </w:r>
            <w:r>
              <w:rPr>
                <w:spacing w:val="20"/>
                <w:w w:val="105"/>
                <w:sz w:val="18"/>
              </w:rPr>
              <w:t xml:space="preserve"> </w:t>
            </w:r>
            <w:r>
              <w:rPr>
                <w:w w:val="105"/>
                <w:sz w:val="18"/>
              </w:rPr>
              <w:t>nor</w:t>
            </w:r>
            <w:r>
              <w:rPr>
                <w:spacing w:val="22"/>
                <w:w w:val="105"/>
                <w:sz w:val="18"/>
              </w:rPr>
              <w:t xml:space="preserve"> </w:t>
            </w:r>
            <w:r>
              <w:rPr>
                <w:w w:val="105"/>
                <w:sz w:val="18"/>
              </w:rPr>
              <w:t>indoor</w:t>
            </w:r>
            <w:r>
              <w:rPr>
                <w:spacing w:val="22"/>
                <w:w w:val="105"/>
                <w:sz w:val="18"/>
              </w:rPr>
              <w:t xml:space="preserve"> </w:t>
            </w:r>
            <w:r>
              <w:rPr>
                <w:w w:val="105"/>
                <w:sz w:val="18"/>
              </w:rPr>
              <w:t>flushing</w:t>
            </w:r>
            <w:r>
              <w:rPr>
                <w:spacing w:val="21"/>
                <w:w w:val="105"/>
                <w:sz w:val="18"/>
              </w:rPr>
              <w:t xml:space="preserve"> </w:t>
            </w:r>
            <w:r>
              <w:rPr>
                <w:w w:val="105"/>
                <w:sz w:val="18"/>
              </w:rPr>
              <w:t>toilet</w:t>
            </w:r>
            <w:r>
              <w:rPr>
                <w:spacing w:val="20"/>
                <w:w w:val="105"/>
                <w:sz w:val="18"/>
              </w:rPr>
              <w:t xml:space="preserve"> </w:t>
            </w:r>
            <w:r>
              <w:rPr>
                <w:w w:val="105"/>
                <w:sz w:val="18"/>
              </w:rPr>
              <w:t>in</w:t>
            </w:r>
            <w:r>
              <w:rPr>
                <w:spacing w:val="24"/>
                <w:w w:val="105"/>
                <w:sz w:val="18"/>
              </w:rPr>
              <w:t xml:space="preserve"> </w:t>
            </w:r>
            <w:r>
              <w:rPr>
                <w:w w:val="105"/>
                <w:sz w:val="18"/>
              </w:rPr>
              <w:t>their</w:t>
            </w:r>
            <w:r>
              <w:rPr>
                <w:spacing w:val="-45"/>
                <w:w w:val="105"/>
                <w:sz w:val="18"/>
              </w:rPr>
              <w:t xml:space="preserve"> </w:t>
            </w:r>
            <w:r>
              <w:rPr>
                <w:w w:val="105"/>
                <w:sz w:val="18"/>
              </w:rPr>
              <w:t>household</w:t>
            </w:r>
          </w:p>
        </w:tc>
        <w:tc>
          <w:tcPr>
            <w:tcW w:w="4112" w:type="dxa"/>
          </w:tcPr>
          <w:p w:rsidR="00A56FE9" w:rsidRDefault="00000000">
            <w:pPr>
              <w:pStyle w:val="TableParagraph"/>
              <w:spacing w:before="100"/>
              <w:ind w:left="64" w:right="68"/>
              <w:jc w:val="center"/>
              <w:rPr>
                <w:sz w:val="18"/>
              </w:rPr>
            </w:pPr>
            <w:r>
              <w:rPr>
                <w:w w:val="105"/>
                <w:sz w:val="18"/>
              </w:rPr>
              <w:t>%</w:t>
            </w:r>
            <w:r>
              <w:rPr>
                <w:spacing w:val="-1"/>
                <w:w w:val="105"/>
                <w:sz w:val="18"/>
              </w:rPr>
              <w:t xml:space="preserve"> </w:t>
            </w:r>
            <w:r>
              <w:rPr>
                <w:w w:val="105"/>
                <w:sz w:val="18"/>
              </w:rPr>
              <w:t>population</w:t>
            </w:r>
          </w:p>
        </w:tc>
        <w:tc>
          <w:tcPr>
            <w:tcW w:w="708" w:type="dxa"/>
          </w:tcPr>
          <w:p w:rsidR="00A56FE9" w:rsidRDefault="00000000">
            <w:pPr>
              <w:pStyle w:val="TableParagraph"/>
              <w:spacing w:before="100"/>
              <w:ind w:left="132"/>
              <w:rPr>
                <w:sz w:val="18"/>
              </w:rPr>
            </w:pPr>
            <w:r>
              <w:rPr>
                <w:w w:val="105"/>
                <w:sz w:val="18"/>
              </w:rPr>
              <w:t>2013</w:t>
            </w:r>
          </w:p>
        </w:tc>
        <w:tc>
          <w:tcPr>
            <w:tcW w:w="992" w:type="dxa"/>
          </w:tcPr>
          <w:p w:rsidR="00A56FE9" w:rsidRDefault="00000000">
            <w:pPr>
              <w:pStyle w:val="TableParagraph"/>
              <w:spacing w:before="100"/>
              <w:ind w:right="111"/>
              <w:jc w:val="right"/>
              <w:rPr>
                <w:sz w:val="18"/>
              </w:rPr>
            </w:pPr>
            <w:r>
              <w:rPr>
                <w:w w:val="105"/>
                <w:sz w:val="18"/>
              </w:rPr>
              <w:t>1.5</w:t>
            </w:r>
          </w:p>
        </w:tc>
        <w:tc>
          <w:tcPr>
            <w:tcW w:w="680" w:type="dxa"/>
          </w:tcPr>
          <w:p w:rsidR="00A56FE9" w:rsidRDefault="00000000">
            <w:pPr>
              <w:pStyle w:val="TableParagraph"/>
              <w:spacing w:before="100"/>
              <w:ind w:left="148"/>
              <w:rPr>
                <w:sz w:val="18"/>
              </w:rPr>
            </w:pPr>
            <w:r>
              <w:rPr>
                <w:w w:val="105"/>
                <w:sz w:val="18"/>
              </w:rPr>
              <w:t>2020</w:t>
            </w:r>
          </w:p>
        </w:tc>
        <w:tc>
          <w:tcPr>
            <w:tcW w:w="996" w:type="dxa"/>
            <w:tcBorders>
              <w:right w:val="nil"/>
            </w:tcBorders>
          </w:tcPr>
          <w:p w:rsidR="00A56FE9" w:rsidRDefault="00000000">
            <w:pPr>
              <w:pStyle w:val="TableParagraph"/>
              <w:spacing w:before="100"/>
              <w:ind w:right="148"/>
              <w:jc w:val="right"/>
              <w:rPr>
                <w:sz w:val="18"/>
              </w:rPr>
            </w:pPr>
            <w:r>
              <w:rPr>
                <w:w w:val="105"/>
                <w:sz w:val="18"/>
              </w:rPr>
              <w:t>0.7</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w w:val="105"/>
                <w:sz w:val="18"/>
              </w:rPr>
              <w:t>Population</w:t>
            </w:r>
            <w:r>
              <w:rPr>
                <w:spacing w:val="-11"/>
                <w:w w:val="105"/>
                <w:sz w:val="18"/>
              </w:rPr>
              <w:t xml:space="preserve"> </w:t>
            </w:r>
            <w:r>
              <w:rPr>
                <w:w w:val="105"/>
                <w:sz w:val="18"/>
              </w:rPr>
              <w:t>unable</w:t>
            </w:r>
            <w:r>
              <w:rPr>
                <w:spacing w:val="-12"/>
                <w:w w:val="105"/>
                <w:sz w:val="18"/>
              </w:rPr>
              <w:t xml:space="preserve"> </w:t>
            </w:r>
            <w:r>
              <w:rPr>
                <w:w w:val="105"/>
                <w:sz w:val="18"/>
              </w:rPr>
              <w:t>to</w:t>
            </w:r>
            <w:r>
              <w:rPr>
                <w:spacing w:val="-8"/>
                <w:w w:val="105"/>
                <w:sz w:val="18"/>
              </w:rPr>
              <w:t xml:space="preserve"> </w:t>
            </w:r>
            <w:r>
              <w:rPr>
                <w:w w:val="105"/>
                <w:sz w:val="18"/>
              </w:rPr>
              <w:t>keep</w:t>
            </w:r>
            <w:r>
              <w:rPr>
                <w:spacing w:val="-11"/>
                <w:w w:val="105"/>
                <w:sz w:val="18"/>
              </w:rPr>
              <w:t xml:space="preserve"> </w:t>
            </w:r>
            <w:r>
              <w:rPr>
                <w:w w:val="105"/>
                <w:sz w:val="18"/>
              </w:rPr>
              <w:t>home</w:t>
            </w:r>
            <w:r>
              <w:rPr>
                <w:spacing w:val="-10"/>
                <w:w w:val="105"/>
                <w:sz w:val="18"/>
              </w:rPr>
              <w:t xml:space="preserve"> </w:t>
            </w:r>
            <w:r>
              <w:rPr>
                <w:w w:val="105"/>
                <w:sz w:val="18"/>
              </w:rPr>
              <w:t>adequately</w:t>
            </w:r>
            <w:r>
              <w:rPr>
                <w:spacing w:val="-8"/>
                <w:w w:val="105"/>
                <w:sz w:val="18"/>
              </w:rPr>
              <w:t xml:space="preserve"> </w:t>
            </w:r>
            <w:r>
              <w:rPr>
                <w:w w:val="105"/>
                <w:sz w:val="18"/>
              </w:rPr>
              <w:t>warm</w:t>
            </w:r>
          </w:p>
        </w:tc>
        <w:tc>
          <w:tcPr>
            <w:tcW w:w="4112" w:type="dxa"/>
          </w:tcPr>
          <w:p w:rsidR="00A56FE9" w:rsidRDefault="00000000">
            <w:pPr>
              <w:pStyle w:val="TableParagraph"/>
              <w:spacing w:before="4" w:line="203"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1"/>
              <w:jc w:val="right"/>
              <w:rPr>
                <w:sz w:val="18"/>
              </w:rPr>
            </w:pPr>
            <w:r>
              <w:rPr>
                <w:w w:val="105"/>
                <w:sz w:val="18"/>
              </w:rPr>
              <w:t>9.9</w:t>
            </w:r>
          </w:p>
        </w:tc>
        <w:tc>
          <w:tcPr>
            <w:tcW w:w="680" w:type="dxa"/>
          </w:tcPr>
          <w:p w:rsidR="00A56FE9" w:rsidRDefault="00000000">
            <w:pPr>
              <w:pStyle w:val="TableParagraph"/>
              <w:spacing w:before="4" w:line="203" w:lineRule="exact"/>
              <w:ind w:left="148"/>
              <w:rPr>
                <w:sz w:val="18"/>
              </w:rPr>
            </w:pPr>
            <w:r>
              <w:rPr>
                <w:w w:val="105"/>
                <w:sz w:val="18"/>
              </w:rPr>
              <w:t>2020</w:t>
            </w:r>
          </w:p>
        </w:tc>
        <w:tc>
          <w:tcPr>
            <w:tcW w:w="996" w:type="dxa"/>
            <w:tcBorders>
              <w:right w:val="nil"/>
            </w:tcBorders>
          </w:tcPr>
          <w:p w:rsidR="00A56FE9" w:rsidRDefault="00000000">
            <w:pPr>
              <w:pStyle w:val="TableParagraph"/>
              <w:spacing w:before="4" w:line="203" w:lineRule="exact"/>
              <w:ind w:right="148"/>
              <w:jc w:val="right"/>
              <w:rPr>
                <w:sz w:val="18"/>
              </w:rPr>
            </w:pPr>
            <w:r>
              <w:rPr>
                <w:w w:val="105"/>
                <w:sz w:val="18"/>
              </w:rPr>
              <w:t>5.7</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w w:val="105"/>
                <w:sz w:val="18"/>
              </w:rPr>
              <w:t>Overcrowding</w:t>
            </w:r>
            <w:r>
              <w:rPr>
                <w:spacing w:val="-5"/>
                <w:w w:val="105"/>
                <w:sz w:val="18"/>
              </w:rPr>
              <w:t xml:space="preserve"> </w:t>
            </w:r>
            <w:r>
              <w:rPr>
                <w:w w:val="105"/>
                <w:sz w:val="18"/>
              </w:rPr>
              <w:t>rate</w:t>
            </w:r>
          </w:p>
        </w:tc>
        <w:tc>
          <w:tcPr>
            <w:tcW w:w="4112" w:type="dxa"/>
          </w:tcPr>
          <w:p w:rsidR="00A56FE9" w:rsidRDefault="00000000">
            <w:pPr>
              <w:pStyle w:val="TableParagraph"/>
              <w:spacing w:before="4" w:line="203"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1"/>
              <w:jc w:val="right"/>
              <w:rPr>
                <w:sz w:val="18"/>
              </w:rPr>
            </w:pPr>
            <w:r>
              <w:rPr>
                <w:w w:val="105"/>
                <w:sz w:val="18"/>
              </w:rPr>
              <w:t>42.8</w:t>
            </w:r>
          </w:p>
        </w:tc>
        <w:tc>
          <w:tcPr>
            <w:tcW w:w="680" w:type="dxa"/>
          </w:tcPr>
          <w:p w:rsidR="00A56FE9" w:rsidRDefault="00000000">
            <w:pPr>
              <w:pStyle w:val="TableParagraph"/>
              <w:spacing w:before="4" w:line="203" w:lineRule="exact"/>
              <w:ind w:left="148"/>
              <w:rPr>
                <w:sz w:val="18"/>
              </w:rPr>
            </w:pPr>
            <w:r>
              <w:rPr>
                <w:w w:val="105"/>
                <w:sz w:val="18"/>
              </w:rPr>
              <w:t>2020</w:t>
            </w:r>
          </w:p>
        </w:tc>
        <w:tc>
          <w:tcPr>
            <w:tcW w:w="996" w:type="dxa"/>
            <w:tcBorders>
              <w:right w:val="nil"/>
            </w:tcBorders>
          </w:tcPr>
          <w:p w:rsidR="00A56FE9" w:rsidRDefault="00000000">
            <w:pPr>
              <w:pStyle w:val="TableParagraph"/>
              <w:spacing w:before="4" w:line="203" w:lineRule="exact"/>
              <w:ind w:right="148"/>
              <w:jc w:val="right"/>
              <w:rPr>
                <w:sz w:val="18"/>
              </w:rPr>
            </w:pPr>
            <w:r>
              <w:rPr>
                <w:w w:val="105"/>
                <w:sz w:val="18"/>
              </w:rPr>
              <w:t>36.2</w:t>
            </w:r>
          </w:p>
        </w:tc>
      </w:tr>
      <w:tr w:rsidR="00A56FE9">
        <w:trPr>
          <w:trHeight w:val="338"/>
        </w:trPr>
        <w:tc>
          <w:tcPr>
            <w:tcW w:w="14024" w:type="dxa"/>
            <w:gridSpan w:val="6"/>
            <w:tcBorders>
              <w:left w:val="nil"/>
              <w:right w:val="nil"/>
            </w:tcBorders>
          </w:tcPr>
          <w:p w:rsidR="00A56FE9" w:rsidRDefault="00000000">
            <w:pPr>
              <w:pStyle w:val="TableParagraph"/>
              <w:spacing w:before="67"/>
              <w:ind w:left="71"/>
              <w:rPr>
                <w:b/>
                <w:sz w:val="18"/>
              </w:rPr>
            </w:pPr>
            <w:r>
              <w:rPr>
                <w:b/>
                <w:color w:val="2C398A"/>
                <w:w w:val="105"/>
                <w:sz w:val="18"/>
              </w:rPr>
              <w:t>Goal</w:t>
            </w:r>
            <w:r>
              <w:rPr>
                <w:b/>
                <w:color w:val="2C398A"/>
                <w:spacing w:val="15"/>
                <w:w w:val="105"/>
                <w:sz w:val="18"/>
              </w:rPr>
              <w:t xml:space="preserve"> </w:t>
            </w:r>
            <w:r>
              <w:rPr>
                <w:b/>
                <w:color w:val="2C398A"/>
                <w:w w:val="105"/>
                <w:sz w:val="18"/>
              </w:rPr>
              <w:t>2</w:t>
            </w:r>
            <w:r>
              <w:rPr>
                <w:b/>
                <w:color w:val="2C398A"/>
                <w:spacing w:val="20"/>
                <w:w w:val="105"/>
                <w:sz w:val="18"/>
              </w:rPr>
              <w:t xml:space="preserve"> </w:t>
            </w:r>
            <w:r>
              <w:rPr>
                <w:b/>
                <w:color w:val="2C398A"/>
                <w:w w:val="105"/>
                <w:sz w:val="18"/>
              </w:rPr>
              <w:t>-</w:t>
            </w:r>
            <w:r>
              <w:rPr>
                <w:b/>
                <w:color w:val="2C398A"/>
                <w:spacing w:val="20"/>
                <w:w w:val="105"/>
                <w:sz w:val="18"/>
              </w:rPr>
              <w:t xml:space="preserve"> </w:t>
            </w:r>
            <w:r>
              <w:rPr>
                <w:b/>
                <w:color w:val="2C398A"/>
                <w:w w:val="105"/>
                <w:sz w:val="18"/>
              </w:rPr>
              <w:t>Zero</w:t>
            </w:r>
            <w:r>
              <w:rPr>
                <w:b/>
                <w:color w:val="2C398A"/>
                <w:spacing w:val="21"/>
                <w:w w:val="105"/>
                <w:sz w:val="18"/>
              </w:rPr>
              <w:t xml:space="preserve"> </w:t>
            </w:r>
            <w:r>
              <w:rPr>
                <w:b/>
                <w:color w:val="2C398A"/>
                <w:w w:val="105"/>
                <w:sz w:val="18"/>
              </w:rPr>
              <w:t>hunger</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w w:val="105"/>
                <w:sz w:val="18"/>
              </w:rPr>
              <w:t>Obesity</w:t>
            </w:r>
            <w:r>
              <w:rPr>
                <w:spacing w:val="-4"/>
                <w:w w:val="105"/>
                <w:sz w:val="18"/>
              </w:rPr>
              <w:t xml:space="preserve"> </w:t>
            </w:r>
            <w:r>
              <w:rPr>
                <w:w w:val="105"/>
                <w:sz w:val="18"/>
              </w:rPr>
              <w:t>rate</w:t>
            </w:r>
            <w:r>
              <w:rPr>
                <w:spacing w:val="-4"/>
                <w:w w:val="105"/>
                <w:sz w:val="18"/>
              </w:rPr>
              <w:t xml:space="preserve"> </w:t>
            </w:r>
            <w:r>
              <w:rPr>
                <w:w w:val="105"/>
                <w:sz w:val="18"/>
              </w:rPr>
              <w:t>by</w:t>
            </w:r>
            <w:r>
              <w:rPr>
                <w:spacing w:val="-3"/>
                <w:w w:val="105"/>
                <w:sz w:val="18"/>
              </w:rPr>
              <w:t xml:space="preserve"> </w:t>
            </w:r>
            <w:r>
              <w:rPr>
                <w:w w:val="105"/>
                <w:sz w:val="18"/>
              </w:rPr>
              <w:t>body</w:t>
            </w:r>
            <w:r>
              <w:rPr>
                <w:spacing w:val="-2"/>
                <w:w w:val="105"/>
                <w:sz w:val="18"/>
              </w:rPr>
              <w:t xml:space="preserve"> </w:t>
            </w:r>
            <w:r>
              <w:rPr>
                <w:w w:val="105"/>
                <w:sz w:val="18"/>
              </w:rPr>
              <w:t>mass</w:t>
            </w:r>
            <w:r>
              <w:rPr>
                <w:spacing w:val="-2"/>
                <w:w w:val="105"/>
                <w:sz w:val="18"/>
              </w:rPr>
              <w:t xml:space="preserve"> </w:t>
            </w:r>
            <w:r>
              <w:rPr>
                <w:w w:val="105"/>
                <w:sz w:val="18"/>
              </w:rPr>
              <w:t>index</w:t>
            </w:r>
            <w:r>
              <w:rPr>
                <w:spacing w:val="-6"/>
                <w:w w:val="105"/>
                <w:sz w:val="18"/>
              </w:rPr>
              <w:t xml:space="preserve"> </w:t>
            </w:r>
            <w:r>
              <w:rPr>
                <w:w w:val="105"/>
                <w:sz w:val="18"/>
              </w:rPr>
              <w:t>(BMI)</w:t>
            </w:r>
          </w:p>
        </w:tc>
        <w:tc>
          <w:tcPr>
            <w:tcW w:w="4112" w:type="dxa"/>
          </w:tcPr>
          <w:p w:rsidR="00A56FE9" w:rsidRDefault="00000000">
            <w:pPr>
              <w:pStyle w:val="TableParagraph"/>
              <w:spacing w:before="7" w:line="201" w:lineRule="exact"/>
              <w:ind w:left="622"/>
              <w:rPr>
                <w:sz w:val="18"/>
              </w:rPr>
            </w:pPr>
            <w:r>
              <w:rPr>
                <w:w w:val="105"/>
                <w:sz w:val="18"/>
              </w:rPr>
              <w:t>%</w:t>
            </w:r>
            <w:r>
              <w:rPr>
                <w:spacing w:val="-1"/>
                <w:w w:val="105"/>
                <w:sz w:val="18"/>
              </w:rPr>
              <w:t xml:space="preserve"> </w:t>
            </w:r>
            <w:r>
              <w:rPr>
                <w:w w:val="105"/>
                <w:sz w:val="18"/>
              </w:rPr>
              <w:t>population</w:t>
            </w:r>
            <w:r>
              <w:rPr>
                <w:spacing w:val="-1"/>
                <w:w w:val="105"/>
                <w:sz w:val="18"/>
              </w:rPr>
              <w:t xml:space="preserve"> </w:t>
            </w:r>
            <w:r>
              <w:rPr>
                <w:w w:val="105"/>
                <w:sz w:val="18"/>
              </w:rPr>
              <w:t>aged</w:t>
            </w:r>
            <w:r>
              <w:rPr>
                <w:spacing w:val="-1"/>
                <w:w w:val="105"/>
                <w:sz w:val="18"/>
              </w:rPr>
              <w:t xml:space="preserve"> </w:t>
            </w:r>
            <w:r>
              <w:rPr>
                <w:w w:val="105"/>
                <w:sz w:val="18"/>
              </w:rPr>
              <w:t>18</w:t>
            </w:r>
            <w:r>
              <w:rPr>
                <w:spacing w:val="-3"/>
                <w:w w:val="105"/>
                <w:sz w:val="18"/>
              </w:rPr>
              <w:t xml:space="preserve"> </w:t>
            </w:r>
            <w:r>
              <w:rPr>
                <w:w w:val="105"/>
                <w:sz w:val="18"/>
              </w:rPr>
              <w:t>and</w:t>
            </w:r>
            <w:r>
              <w:rPr>
                <w:spacing w:val="-3"/>
                <w:w w:val="105"/>
                <w:sz w:val="18"/>
              </w:rPr>
              <w:t xml:space="preserve"> </w:t>
            </w:r>
            <w:r>
              <w:rPr>
                <w:w w:val="105"/>
                <w:sz w:val="18"/>
              </w:rPr>
              <w:t>more</w:t>
            </w:r>
            <w:r>
              <w:rPr>
                <w:spacing w:val="-3"/>
                <w:w w:val="105"/>
                <w:sz w:val="18"/>
              </w:rPr>
              <w:t xml:space="preserve"> </w:t>
            </w:r>
            <w:r>
              <w:rPr>
                <w:w w:val="105"/>
                <w:sz w:val="18"/>
              </w:rPr>
              <w:t>years</w:t>
            </w:r>
          </w:p>
        </w:tc>
        <w:tc>
          <w:tcPr>
            <w:tcW w:w="708" w:type="dxa"/>
          </w:tcPr>
          <w:p w:rsidR="00A56FE9" w:rsidRDefault="00000000">
            <w:pPr>
              <w:pStyle w:val="TableParagraph"/>
              <w:spacing w:before="7" w:line="201" w:lineRule="exact"/>
              <w:ind w:left="132"/>
              <w:rPr>
                <w:sz w:val="18"/>
              </w:rPr>
            </w:pPr>
            <w:r>
              <w:rPr>
                <w:w w:val="105"/>
                <w:sz w:val="18"/>
              </w:rPr>
              <w:t>2014</w:t>
            </w:r>
          </w:p>
        </w:tc>
        <w:tc>
          <w:tcPr>
            <w:tcW w:w="992" w:type="dxa"/>
          </w:tcPr>
          <w:p w:rsidR="00A56FE9" w:rsidRDefault="00000000">
            <w:pPr>
              <w:pStyle w:val="TableParagraph"/>
              <w:spacing w:before="7" w:line="201" w:lineRule="exact"/>
              <w:ind w:right="111"/>
              <w:jc w:val="right"/>
              <w:rPr>
                <w:sz w:val="18"/>
              </w:rPr>
            </w:pPr>
            <w:r>
              <w:rPr>
                <w:w w:val="105"/>
                <w:sz w:val="18"/>
              </w:rPr>
              <w:t>18.7</w:t>
            </w:r>
          </w:p>
        </w:tc>
        <w:tc>
          <w:tcPr>
            <w:tcW w:w="680" w:type="dxa"/>
          </w:tcPr>
          <w:p w:rsidR="00A56FE9" w:rsidRDefault="00000000">
            <w:pPr>
              <w:pStyle w:val="TableParagraph"/>
              <w:spacing w:before="7" w:line="201" w:lineRule="exact"/>
              <w:ind w:left="148"/>
              <w:rPr>
                <w:sz w:val="18"/>
              </w:rPr>
            </w:pPr>
            <w:r>
              <w:rPr>
                <w:w w:val="105"/>
                <w:sz w:val="18"/>
              </w:rPr>
              <w:t>2019</w:t>
            </w:r>
          </w:p>
        </w:tc>
        <w:tc>
          <w:tcPr>
            <w:tcW w:w="996" w:type="dxa"/>
            <w:tcBorders>
              <w:right w:val="nil"/>
            </w:tcBorders>
          </w:tcPr>
          <w:p w:rsidR="00A56FE9" w:rsidRDefault="00000000">
            <w:pPr>
              <w:pStyle w:val="TableParagraph"/>
              <w:spacing w:before="7" w:line="201" w:lineRule="exact"/>
              <w:ind w:right="148"/>
              <w:jc w:val="right"/>
              <w:rPr>
                <w:sz w:val="18"/>
              </w:rPr>
            </w:pPr>
            <w:r>
              <w:rPr>
                <w:w w:val="105"/>
                <w:sz w:val="18"/>
              </w:rPr>
              <w:t>23.0</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w w:val="105"/>
                <w:sz w:val="18"/>
              </w:rPr>
              <w:t>Agricultural</w:t>
            </w:r>
            <w:r>
              <w:rPr>
                <w:spacing w:val="-12"/>
                <w:w w:val="105"/>
                <w:sz w:val="18"/>
              </w:rPr>
              <w:t xml:space="preserve"> </w:t>
            </w:r>
            <w:r>
              <w:rPr>
                <w:w w:val="105"/>
                <w:sz w:val="18"/>
              </w:rPr>
              <w:t>factor</w:t>
            </w:r>
            <w:r>
              <w:rPr>
                <w:spacing w:val="-8"/>
                <w:w w:val="105"/>
                <w:sz w:val="18"/>
              </w:rPr>
              <w:t xml:space="preserve"> </w:t>
            </w:r>
            <w:r>
              <w:rPr>
                <w:w w:val="105"/>
                <w:sz w:val="18"/>
              </w:rPr>
              <w:t>income</w:t>
            </w:r>
            <w:r>
              <w:rPr>
                <w:spacing w:val="-11"/>
                <w:w w:val="105"/>
                <w:sz w:val="18"/>
              </w:rPr>
              <w:t xml:space="preserve"> </w:t>
            </w:r>
            <w:r>
              <w:rPr>
                <w:w w:val="105"/>
                <w:sz w:val="18"/>
              </w:rPr>
              <w:t>per</w:t>
            </w:r>
            <w:r>
              <w:rPr>
                <w:spacing w:val="-8"/>
                <w:w w:val="105"/>
                <w:sz w:val="18"/>
              </w:rPr>
              <w:t xml:space="preserve"> </w:t>
            </w:r>
            <w:r>
              <w:rPr>
                <w:w w:val="105"/>
                <w:sz w:val="18"/>
              </w:rPr>
              <w:t>annual</w:t>
            </w:r>
            <w:r>
              <w:rPr>
                <w:spacing w:val="-9"/>
                <w:w w:val="105"/>
                <w:sz w:val="18"/>
              </w:rPr>
              <w:t xml:space="preserve"> </w:t>
            </w:r>
            <w:r>
              <w:rPr>
                <w:w w:val="105"/>
                <w:sz w:val="18"/>
              </w:rPr>
              <w:t>work</w:t>
            </w:r>
            <w:r>
              <w:rPr>
                <w:spacing w:val="-10"/>
                <w:w w:val="105"/>
                <w:sz w:val="18"/>
              </w:rPr>
              <w:t xml:space="preserve"> </w:t>
            </w:r>
            <w:r>
              <w:rPr>
                <w:w w:val="105"/>
                <w:sz w:val="18"/>
              </w:rPr>
              <w:t>unit</w:t>
            </w:r>
            <w:r>
              <w:rPr>
                <w:spacing w:val="-9"/>
                <w:w w:val="105"/>
                <w:sz w:val="18"/>
              </w:rPr>
              <w:t xml:space="preserve"> </w:t>
            </w:r>
            <w:r>
              <w:rPr>
                <w:w w:val="105"/>
                <w:sz w:val="18"/>
              </w:rPr>
              <w:t>(AWU)</w:t>
            </w:r>
          </w:p>
        </w:tc>
        <w:tc>
          <w:tcPr>
            <w:tcW w:w="4112" w:type="dxa"/>
          </w:tcPr>
          <w:p w:rsidR="00A56FE9" w:rsidRDefault="00000000">
            <w:pPr>
              <w:pStyle w:val="TableParagraph"/>
              <w:spacing w:before="7" w:line="201" w:lineRule="exact"/>
              <w:ind w:left="1008"/>
              <w:rPr>
                <w:sz w:val="18"/>
              </w:rPr>
            </w:pPr>
            <w:r>
              <w:rPr>
                <w:sz w:val="18"/>
              </w:rPr>
              <w:t>EUR,</w:t>
            </w:r>
            <w:r>
              <w:rPr>
                <w:spacing w:val="8"/>
                <w:sz w:val="18"/>
              </w:rPr>
              <w:t xml:space="preserve"> </w:t>
            </w:r>
            <w:r>
              <w:rPr>
                <w:sz w:val="18"/>
              </w:rPr>
              <w:t>chained</w:t>
            </w:r>
            <w:r>
              <w:rPr>
                <w:spacing w:val="5"/>
                <w:sz w:val="18"/>
              </w:rPr>
              <w:t xml:space="preserve"> </w:t>
            </w:r>
            <w:r>
              <w:rPr>
                <w:sz w:val="18"/>
              </w:rPr>
              <w:t>values</w:t>
            </w:r>
            <w:r>
              <w:rPr>
                <w:spacing w:val="5"/>
                <w:sz w:val="18"/>
              </w:rPr>
              <w:t xml:space="preserve"> </w:t>
            </w:r>
            <w:r>
              <w:rPr>
                <w:sz w:val="18"/>
              </w:rPr>
              <w:t>(2010)</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2"/>
              <w:jc w:val="right"/>
              <w:rPr>
                <w:sz w:val="18"/>
              </w:rPr>
            </w:pPr>
            <w:r>
              <w:rPr>
                <w:w w:val="105"/>
                <w:sz w:val="18"/>
              </w:rPr>
              <w:t>4,574</w:t>
            </w:r>
          </w:p>
        </w:tc>
        <w:tc>
          <w:tcPr>
            <w:tcW w:w="680" w:type="dxa"/>
          </w:tcPr>
          <w:p w:rsidR="00A56FE9" w:rsidRDefault="00000000">
            <w:pPr>
              <w:pStyle w:val="TableParagraph"/>
              <w:spacing w:before="7" w:line="201" w:lineRule="exact"/>
              <w:ind w:left="148"/>
              <w:rPr>
                <w:sz w:val="18"/>
              </w:rPr>
            </w:pPr>
            <w:r>
              <w:rPr>
                <w:w w:val="105"/>
                <w:sz w:val="18"/>
              </w:rPr>
              <w:t>2019</w:t>
            </w:r>
          </w:p>
        </w:tc>
        <w:tc>
          <w:tcPr>
            <w:tcW w:w="996" w:type="dxa"/>
            <w:tcBorders>
              <w:right w:val="nil"/>
            </w:tcBorders>
          </w:tcPr>
          <w:p w:rsidR="00A56FE9" w:rsidRDefault="00000000">
            <w:pPr>
              <w:pStyle w:val="TableParagraph"/>
              <w:spacing w:before="7" w:line="201" w:lineRule="exact"/>
              <w:ind w:right="148"/>
              <w:jc w:val="right"/>
              <w:rPr>
                <w:sz w:val="18"/>
              </w:rPr>
            </w:pPr>
            <w:r>
              <w:rPr>
                <w:w w:val="105"/>
                <w:sz w:val="18"/>
              </w:rPr>
              <w:t>6</w:t>
            </w:r>
            <w:r>
              <w:rPr>
                <w:spacing w:val="-4"/>
                <w:w w:val="105"/>
                <w:sz w:val="18"/>
              </w:rPr>
              <w:t xml:space="preserve"> </w:t>
            </w:r>
            <w:r>
              <w:rPr>
                <w:w w:val="105"/>
                <w:sz w:val="18"/>
              </w:rPr>
              <w:t>697</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w w:val="105"/>
                <w:sz w:val="18"/>
              </w:rPr>
              <w:t>Government</w:t>
            </w:r>
            <w:r>
              <w:rPr>
                <w:spacing w:val="-7"/>
                <w:w w:val="105"/>
                <w:sz w:val="18"/>
              </w:rPr>
              <w:t xml:space="preserve"> </w:t>
            </w:r>
            <w:r>
              <w:rPr>
                <w:w w:val="105"/>
                <w:sz w:val="18"/>
              </w:rPr>
              <w:t>support</w:t>
            </w:r>
            <w:r>
              <w:rPr>
                <w:spacing w:val="-6"/>
                <w:w w:val="105"/>
                <w:sz w:val="18"/>
              </w:rPr>
              <w:t xml:space="preserve"> </w:t>
            </w:r>
            <w:r>
              <w:rPr>
                <w:w w:val="105"/>
                <w:sz w:val="18"/>
              </w:rPr>
              <w:t>to</w:t>
            </w:r>
            <w:r>
              <w:rPr>
                <w:spacing w:val="-3"/>
                <w:w w:val="105"/>
                <w:sz w:val="18"/>
              </w:rPr>
              <w:t xml:space="preserve"> </w:t>
            </w:r>
            <w:r>
              <w:rPr>
                <w:w w:val="105"/>
                <w:sz w:val="18"/>
              </w:rPr>
              <w:t>agricultural</w:t>
            </w:r>
            <w:r>
              <w:rPr>
                <w:spacing w:val="-6"/>
                <w:w w:val="105"/>
                <w:sz w:val="18"/>
              </w:rPr>
              <w:t xml:space="preserve"> </w:t>
            </w:r>
            <w:r>
              <w:rPr>
                <w:w w:val="105"/>
                <w:sz w:val="18"/>
              </w:rPr>
              <w:t>research</w:t>
            </w:r>
            <w:r>
              <w:rPr>
                <w:spacing w:val="-2"/>
                <w:w w:val="105"/>
                <w:sz w:val="18"/>
              </w:rPr>
              <w:t xml:space="preserve"> </w:t>
            </w:r>
            <w:r>
              <w:rPr>
                <w:w w:val="105"/>
                <w:sz w:val="18"/>
              </w:rPr>
              <w:t>and</w:t>
            </w:r>
            <w:r>
              <w:rPr>
                <w:spacing w:val="-5"/>
                <w:w w:val="105"/>
                <w:sz w:val="18"/>
              </w:rPr>
              <w:t xml:space="preserve"> </w:t>
            </w:r>
            <w:r>
              <w:rPr>
                <w:w w:val="105"/>
                <w:sz w:val="18"/>
              </w:rPr>
              <w:t>development</w:t>
            </w:r>
          </w:p>
        </w:tc>
        <w:tc>
          <w:tcPr>
            <w:tcW w:w="4112" w:type="dxa"/>
          </w:tcPr>
          <w:p w:rsidR="00A56FE9" w:rsidRDefault="00000000">
            <w:pPr>
              <w:pStyle w:val="TableParagraph"/>
              <w:spacing w:before="4" w:line="203" w:lineRule="exact"/>
              <w:ind w:left="1351"/>
              <w:rPr>
                <w:sz w:val="18"/>
              </w:rPr>
            </w:pPr>
            <w:r>
              <w:rPr>
                <w:sz w:val="18"/>
              </w:rPr>
              <w:t>EUR</w:t>
            </w:r>
            <w:r>
              <w:rPr>
                <w:spacing w:val="-4"/>
                <w:sz w:val="18"/>
              </w:rPr>
              <w:t xml:space="preserve"> </w:t>
            </w:r>
            <w:r>
              <w:rPr>
                <w:sz w:val="18"/>
              </w:rPr>
              <w:t>per</w:t>
            </w:r>
            <w:r>
              <w:rPr>
                <w:spacing w:val="-3"/>
                <w:sz w:val="18"/>
              </w:rPr>
              <w:t xml:space="preserve"> </w:t>
            </w:r>
            <w:r>
              <w:rPr>
                <w:sz w:val="18"/>
              </w:rPr>
              <w:t>inhabitant</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1"/>
              <w:jc w:val="right"/>
              <w:rPr>
                <w:sz w:val="18"/>
              </w:rPr>
            </w:pPr>
            <w:r>
              <w:rPr>
                <w:w w:val="105"/>
                <w:sz w:val="18"/>
              </w:rPr>
              <w:t>0.2</w:t>
            </w:r>
          </w:p>
        </w:tc>
        <w:tc>
          <w:tcPr>
            <w:tcW w:w="680" w:type="dxa"/>
          </w:tcPr>
          <w:p w:rsidR="00A56FE9" w:rsidRDefault="00000000">
            <w:pPr>
              <w:pStyle w:val="TableParagraph"/>
              <w:spacing w:before="4" w:line="203" w:lineRule="exact"/>
              <w:ind w:left="148"/>
              <w:rPr>
                <w:sz w:val="18"/>
              </w:rPr>
            </w:pPr>
            <w:r>
              <w:rPr>
                <w:w w:val="105"/>
                <w:sz w:val="18"/>
              </w:rPr>
              <w:t>2020</w:t>
            </w:r>
          </w:p>
        </w:tc>
        <w:tc>
          <w:tcPr>
            <w:tcW w:w="996" w:type="dxa"/>
            <w:tcBorders>
              <w:right w:val="nil"/>
            </w:tcBorders>
          </w:tcPr>
          <w:p w:rsidR="00A56FE9" w:rsidRDefault="00000000">
            <w:pPr>
              <w:pStyle w:val="TableParagraph"/>
              <w:spacing w:before="4" w:line="203" w:lineRule="exact"/>
              <w:ind w:right="145"/>
              <w:jc w:val="right"/>
              <w:rPr>
                <w:sz w:val="18"/>
              </w:rPr>
            </w:pPr>
            <w:r>
              <w:rPr>
                <w:w w:val="103"/>
                <w:sz w:val="18"/>
              </w:rPr>
              <w:t>2</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w w:val="105"/>
                <w:sz w:val="18"/>
              </w:rPr>
              <w:t>Area</w:t>
            </w:r>
            <w:r>
              <w:rPr>
                <w:spacing w:val="-10"/>
                <w:w w:val="105"/>
                <w:sz w:val="18"/>
              </w:rPr>
              <w:t xml:space="preserve"> </w:t>
            </w:r>
            <w:r>
              <w:rPr>
                <w:w w:val="105"/>
                <w:sz w:val="18"/>
              </w:rPr>
              <w:t>under</w:t>
            </w:r>
            <w:r>
              <w:rPr>
                <w:spacing w:val="-9"/>
                <w:w w:val="105"/>
                <w:sz w:val="18"/>
              </w:rPr>
              <w:t xml:space="preserve"> </w:t>
            </w:r>
            <w:r>
              <w:rPr>
                <w:w w:val="105"/>
                <w:sz w:val="18"/>
              </w:rPr>
              <w:t>organic</w:t>
            </w:r>
            <w:r>
              <w:rPr>
                <w:spacing w:val="-10"/>
                <w:w w:val="105"/>
                <w:sz w:val="18"/>
              </w:rPr>
              <w:t xml:space="preserve"> </w:t>
            </w:r>
            <w:r>
              <w:rPr>
                <w:w w:val="105"/>
                <w:sz w:val="18"/>
              </w:rPr>
              <w:t>farming</w:t>
            </w:r>
          </w:p>
        </w:tc>
        <w:tc>
          <w:tcPr>
            <w:tcW w:w="4112" w:type="dxa"/>
          </w:tcPr>
          <w:p w:rsidR="00A56FE9" w:rsidRDefault="00000000">
            <w:pPr>
              <w:pStyle w:val="TableParagraph"/>
              <w:spacing w:before="4" w:line="201" w:lineRule="exact"/>
              <w:ind w:left="1159"/>
              <w:rPr>
                <w:sz w:val="18"/>
              </w:rPr>
            </w:pPr>
            <w:r>
              <w:rPr>
                <w:w w:val="105"/>
                <w:sz w:val="18"/>
              </w:rPr>
              <w:t>%</w:t>
            </w:r>
            <w:r>
              <w:rPr>
                <w:spacing w:val="-3"/>
                <w:w w:val="105"/>
                <w:sz w:val="18"/>
              </w:rPr>
              <w:t xml:space="preserve"> </w:t>
            </w:r>
            <w:r>
              <w:rPr>
                <w:w w:val="105"/>
                <w:sz w:val="18"/>
              </w:rPr>
              <w:t>used</w:t>
            </w:r>
            <w:r>
              <w:rPr>
                <w:spacing w:val="-3"/>
                <w:w w:val="105"/>
                <w:sz w:val="18"/>
              </w:rPr>
              <w:t xml:space="preserve"> </w:t>
            </w:r>
            <w:r>
              <w:rPr>
                <w:w w:val="105"/>
                <w:sz w:val="18"/>
              </w:rPr>
              <w:t>agricultural</w:t>
            </w:r>
            <w:r>
              <w:rPr>
                <w:spacing w:val="-4"/>
                <w:w w:val="105"/>
                <w:sz w:val="18"/>
              </w:rPr>
              <w:t xml:space="preserve"> </w:t>
            </w:r>
            <w:r>
              <w:rPr>
                <w:w w:val="105"/>
                <w:sz w:val="18"/>
              </w:rPr>
              <w:t>area</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11"/>
              <w:jc w:val="right"/>
              <w:rPr>
                <w:sz w:val="18"/>
              </w:rPr>
            </w:pPr>
            <w:r>
              <w:rPr>
                <w:w w:val="105"/>
                <w:sz w:val="18"/>
              </w:rPr>
              <w:t>3.1</w:t>
            </w:r>
          </w:p>
        </w:tc>
        <w:tc>
          <w:tcPr>
            <w:tcW w:w="680" w:type="dxa"/>
          </w:tcPr>
          <w:p w:rsidR="00A56FE9" w:rsidRDefault="00000000">
            <w:pPr>
              <w:pStyle w:val="TableParagraph"/>
              <w:spacing w:before="4" w:line="201" w:lineRule="exact"/>
              <w:ind w:left="148"/>
              <w:rPr>
                <w:sz w:val="18"/>
              </w:rPr>
            </w:pPr>
            <w:r>
              <w:rPr>
                <w:w w:val="105"/>
                <w:sz w:val="18"/>
              </w:rPr>
              <w:t>2019</w:t>
            </w:r>
          </w:p>
        </w:tc>
        <w:tc>
          <w:tcPr>
            <w:tcW w:w="996" w:type="dxa"/>
            <w:tcBorders>
              <w:right w:val="nil"/>
            </w:tcBorders>
          </w:tcPr>
          <w:p w:rsidR="00A56FE9" w:rsidRDefault="00000000">
            <w:pPr>
              <w:pStyle w:val="TableParagraph"/>
              <w:spacing w:before="4" w:line="201" w:lineRule="exact"/>
              <w:ind w:right="148"/>
              <w:jc w:val="right"/>
              <w:rPr>
                <w:sz w:val="18"/>
              </w:rPr>
            </w:pPr>
            <w:r>
              <w:rPr>
                <w:w w:val="105"/>
                <w:sz w:val="18"/>
              </w:rPr>
              <w:t>7.2</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spacing w:val="-1"/>
                <w:w w:val="105"/>
                <w:sz w:val="18"/>
              </w:rPr>
              <w:t>Harmonised</w:t>
            </w:r>
            <w:r>
              <w:rPr>
                <w:spacing w:val="-11"/>
                <w:w w:val="105"/>
                <w:sz w:val="18"/>
              </w:rPr>
              <w:t xml:space="preserve"> </w:t>
            </w:r>
            <w:r>
              <w:rPr>
                <w:w w:val="105"/>
                <w:sz w:val="18"/>
              </w:rPr>
              <w:t>risk</w:t>
            </w:r>
            <w:r>
              <w:rPr>
                <w:spacing w:val="-9"/>
                <w:w w:val="105"/>
                <w:sz w:val="18"/>
              </w:rPr>
              <w:t xml:space="preserve"> </w:t>
            </w:r>
            <w:r>
              <w:rPr>
                <w:w w:val="105"/>
                <w:sz w:val="18"/>
              </w:rPr>
              <w:t>indicator</w:t>
            </w:r>
            <w:r>
              <w:rPr>
                <w:spacing w:val="-10"/>
                <w:w w:val="105"/>
                <w:sz w:val="18"/>
              </w:rPr>
              <w:t xml:space="preserve"> </w:t>
            </w:r>
            <w:r>
              <w:rPr>
                <w:w w:val="105"/>
                <w:sz w:val="18"/>
              </w:rPr>
              <w:t>for</w:t>
            </w:r>
            <w:r>
              <w:rPr>
                <w:spacing w:val="-10"/>
                <w:w w:val="105"/>
                <w:sz w:val="18"/>
              </w:rPr>
              <w:t xml:space="preserve"> </w:t>
            </w:r>
            <w:r>
              <w:rPr>
                <w:w w:val="105"/>
                <w:sz w:val="18"/>
              </w:rPr>
              <w:t>pesticides</w:t>
            </w:r>
            <w:r>
              <w:rPr>
                <w:spacing w:val="-11"/>
                <w:w w:val="105"/>
                <w:sz w:val="18"/>
              </w:rPr>
              <w:t xml:space="preserve"> </w:t>
            </w:r>
            <w:r>
              <w:rPr>
                <w:w w:val="105"/>
                <w:sz w:val="18"/>
              </w:rPr>
              <w:t>(HRI1)</w:t>
            </w:r>
          </w:p>
        </w:tc>
        <w:tc>
          <w:tcPr>
            <w:tcW w:w="4112" w:type="dxa"/>
          </w:tcPr>
          <w:p w:rsidR="00A56FE9" w:rsidRDefault="00000000">
            <w:pPr>
              <w:pStyle w:val="TableParagraph"/>
              <w:spacing w:before="7" w:line="201" w:lineRule="exact"/>
              <w:ind w:left="761"/>
              <w:rPr>
                <w:sz w:val="18"/>
              </w:rPr>
            </w:pPr>
            <w:r>
              <w:rPr>
                <w:w w:val="105"/>
                <w:sz w:val="18"/>
              </w:rPr>
              <w:t>index,</w:t>
            </w:r>
            <w:r>
              <w:rPr>
                <w:spacing w:val="-4"/>
                <w:w w:val="105"/>
                <w:sz w:val="18"/>
              </w:rPr>
              <w:t xml:space="preserve"> </w:t>
            </w:r>
            <w:r>
              <w:rPr>
                <w:w w:val="105"/>
                <w:sz w:val="18"/>
              </w:rPr>
              <w:t>average</w:t>
            </w:r>
            <w:r>
              <w:rPr>
                <w:spacing w:val="-3"/>
                <w:w w:val="105"/>
                <w:sz w:val="18"/>
              </w:rPr>
              <w:t xml:space="preserve"> </w:t>
            </w:r>
            <w:r>
              <w:rPr>
                <w:w w:val="105"/>
                <w:sz w:val="18"/>
              </w:rPr>
              <w:t>2011</w:t>
            </w:r>
            <w:r>
              <w:rPr>
                <w:spacing w:val="-1"/>
                <w:w w:val="105"/>
                <w:sz w:val="18"/>
              </w:rPr>
              <w:t xml:space="preserve"> </w:t>
            </w:r>
            <w:r>
              <w:rPr>
                <w:w w:val="105"/>
                <w:sz w:val="18"/>
              </w:rPr>
              <w:t>–</w:t>
            </w:r>
            <w:r>
              <w:rPr>
                <w:spacing w:val="-2"/>
                <w:w w:val="105"/>
                <w:sz w:val="18"/>
              </w:rPr>
              <w:t xml:space="preserve"> </w:t>
            </w:r>
            <w:r>
              <w:rPr>
                <w:w w:val="105"/>
                <w:sz w:val="18"/>
              </w:rPr>
              <w:t>2013</w:t>
            </w:r>
            <w:r>
              <w:rPr>
                <w:spacing w:val="-1"/>
                <w:w w:val="105"/>
                <w:sz w:val="18"/>
              </w:rPr>
              <w:t xml:space="preserve"> </w:t>
            </w:r>
            <w:r>
              <w:rPr>
                <w:w w:val="105"/>
                <w:sz w:val="18"/>
              </w:rPr>
              <w:t>=</w:t>
            </w:r>
            <w:r>
              <w:rPr>
                <w:spacing w:val="-2"/>
                <w:w w:val="105"/>
                <w:sz w:val="18"/>
              </w:rPr>
              <w:t xml:space="preserve"> </w:t>
            </w:r>
            <w:r>
              <w:rPr>
                <w:w w:val="105"/>
                <w:sz w:val="18"/>
              </w:rPr>
              <w:t>100</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06"/>
              <w:jc w:val="right"/>
              <w:rPr>
                <w:sz w:val="18"/>
              </w:rPr>
            </w:pPr>
            <w:r>
              <w:rPr>
                <w:sz w:val="18"/>
              </w:rPr>
              <w:t>100</w:t>
            </w:r>
          </w:p>
        </w:tc>
        <w:tc>
          <w:tcPr>
            <w:tcW w:w="680" w:type="dxa"/>
          </w:tcPr>
          <w:p w:rsidR="00A56FE9" w:rsidRDefault="00000000">
            <w:pPr>
              <w:pStyle w:val="TableParagraph"/>
              <w:spacing w:before="7" w:line="201" w:lineRule="exact"/>
              <w:ind w:left="148"/>
              <w:rPr>
                <w:sz w:val="18"/>
              </w:rPr>
            </w:pPr>
            <w:r>
              <w:rPr>
                <w:w w:val="105"/>
                <w:sz w:val="18"/>
              </w:rPr>
              <w:t>2019</w:t>
            </w:r>
          </w:p>
        </w:tc>
        <w:tc>
          <w:tcPr>
            <w:tcW w:w="996" w:type="dxa"/>
            <w:tcBorders>
              <w:right w:val="nil"/>
            </w:tcBorders>
          </w:tcPr>
          <w:p w:rsidR="00A56FE9" w:rsidRDefault="00000000">
            <w:pPr>
              <w:pStyle w:val="TableParagraph"/>
              <w:spacing w:before="7" w:line="201" w:lineRule="exact"/>
              <w:ind w:right="147"/>
              <w:jc w:val="right"/>
              <w:rPr>
                <w:sz w:val="18"/>
              </w:rPr>
            </w:pPr>
            <w:r>
              <w:rPr>
                <w:w w:val="105"/>
                <w:sz w:val="18"/>
              </w:rPr>
              <w:t>55</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sz w:val="18"/>
              </w:rPr>
              <w:t>Ammonia</w:t>
            </w:r>
            <w:r>
              <w:rPr>
                <w:spacing w:val="12"/>
                <w:sz w:val="18"/>
              </w:rPr>
              <w:t xml:space="preserve"> </w:t>
            </w:r>
            <w:r>
              <w:rPr>
                <w:sz w:val="18"/>
              </w:rPr>
              <w:t>emissions</w:t>
            </w:r>
            <w:r>
              <w:rPr>
                <w:spacing w:val="10"/>
                <w:sz w:val="18"/>
              </w:rPr>
              <w:t xml:space="preserve"> </w:t>
            </w:r>
            <w:r>
              <w:rPr>
                <w:sz w:val="18"/>
              </w:rPr>
              <w:t>from</w:t>
            </w:r>
            <w:r>
              <w:rPr>
                <w:spacing w:val="12"/>
                <w:sz w:val="18"/>
              </w:rPr>
              <w:t xml:space="preserve"> </w:t>
            </w:r>
            <w:r>
              <w:rPr>
                <w:sz w:val="18"/>
              </w:rPr>
              <w:t>agriculture</w:t>
            </w:r>
          </w:p>
        </w:tc>
        <w:tc>
          <w:tcPr>
            <w:tcW w:w="4112" w:type="dxa"/>
          </w:tcPr>
          <w:p w:rsidR="00A56FE9" w:rsidRDefault="00000000">
            <w:pPr>
              <w:pStyle w:val="TableParagraph"/>
              <w:spacing w:before="7" w:line="201" w:lineRule="exact"/>
              <w:ind w:left="763"/>
              <w:rPr>
                <w:sz w:val="18"/>
              </w:rPr>
            </w:pPr>
            <w:r>
              <w:rPr>
                <w:w w:val="105"/>
                <w:sz w:val="18"/>
              </w:rPr>
              <w:t>kg</w:t>
            </w:r>
            <w:r>
              <w:rPr>
                <w:spacing w:val="-5"/>
                <w:w w:val="105"/>
                <w:sz w:val="18"/>
              </w:rPr>
              <w:t xml:space="preserve"> </w:t>
            </w:r>
            <w:r>
              <w:rPr>
                <w:w w:val="105"/>
                <w:sz w:val="18"/>
              </w:rPr>
              <w:t>per</w:t>
            </w:r>
            <w:r>
              <w:rPr>
                <w:spacing w:val="-5"/>
                <w:w w:val="105"/>
                <w:sz w:val="18"/>
              </w:rPr>
              <w:t xml:space="preserve"> </w:t>
            </w:r>
            <w:r>
              <w:rPr>
                <w:w w:val="105"/>
                <w:sz w:val="18"/>
              </w:rPr>
              <w:t>ha</w:t>
            </w:r>
            <w:r>
              <w:rPr>
                <w:spacing w:val="-4"/>
                <w:w w:val="105"/>
                <w:sz w:val="18"/>
              </w:rPr>
              <w:t xml:space="preserve"> </w:t>
            </w:r>
            <w:r>
              <w:rPr>
                <w:w w:val="105"/>
                <w:sz w:val="18"/>
              </w:rPr>
              <w:t>of</w:t>
            </w:r>
            <w:r>
              <w:rPr>
                <w:spacing w:val="-3"/>
                <w:w w:val="105"/>
                <w:sz w:val="18"/>
              </w:rPr>
              <w:t xml:space="preserve"> </w:t>
            </w:r>
            <w:r>
              <w:rPr>
                <w:w w:val="105"/>
                <w:sz w:val="18"/>
              </w:rPr>
              <w:t>used</w:t>
            </w:r>
            <w:r>
              <w:rPr>
                <w:spacing w:val="-1"/>
                <w:w w:val="105"/>
                <w:sz w:val="18"/>
              </w:rPr>
              <w:t xml:space="preserve"> </w:t>
            </w:r>
            <w:r>
              <w:rPr>
                <w:w w:val="105"/>
                <w:sz w:val="18"/>
              </w:rPr>
              <w:t>agricultural</w:t>
            </w:r>
            <w:r>
              <w:rPr>
                <w:spacing w:val="-5"/>
                <w:w w:val="105"/>
                <w:sz w:val="18"/>
              </w:rPr>
              <w:t xml:space="preserve"> </w:t>
            </w:r>
            <w:r>
              <w:rPr>
                <w:w w:val="105"/>
                <w:sz w:val="18"/>
              </w:rPr>
              <w:t>area</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1"/>
              <w:jc w:val="right"/>
              <w:rPr>
                <w:sz w:val="18"/>
              </w:rPr>
            </w:pPr>
            <w:r>
              <w:rPr>
                <w:w w:val="105"/>
                <w:sz w:val="18"/>
              </w:rPr>
              <w:t>22.4</w:t>
            </w:r>
          </w:p>
        </w:tc>
        <w:tc>
          <w:tcPr>
            <w:tcW w:w="680" w:type="dxa"/>
          </w:tcPr>
          <w:p w:rsidR="00A56FE9" w:rsidRDefault="00000000">
            <w:pPr>
              <w:pStyle w:val="TableParagraph"/>
              <w:spacing w:before="7" w:line="201" w:lineRule="exact"/>
              <w:ind w:left="148"/>
              <w:rPr>
                <w:sz w:val="18"/>
              </w:rPr>
            </w:pPr>
            <w:r>
              <w:rPr>
                <w:w w:val="105"/>
                <w:sz w:val="18"/>
              </w:rPr>
              <w:t>2019</w:t>
            </w:r>
          </w:p>
        </w:tc>
        <w:tc>
          <w:tcPr>
            <w:tcW w:w="996" w:type="dxa"/>
            <w:tcBorders>
              <w:right w:val="nil"/>
            </w:tcBorders>
          </w:tcPr>
          <w:p w:rsidR="00A56FE9" w:rsidRDefault="00000000">
            <w:pPr>
              <w:pStyle w:val="TableParagraph"/>
              <w:spacing w:before="7" w:line="201" w:lineRule="exact"/>
              <w:ind w:right="148"/>
              <w:jc w:val="right"/>
              <w:rPr>
                <w:sz w:val="18"/>
              </w:rPr>
            </w:pPr>
            <w:r>
              <w:rPr>
                <w:w w:val="105"/>
                <w:sz w:val="18"/>
              </w:rPr>
              <w:t>21.0</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w w:val="105"/>
                <w:sz w:val="18"/>
              </w:rPr>
              <w:t>Estimated</w:t>
            </w:r>
            <w:r>
              <w:rPr>
                <w:spacing w:val="-5"/>
                <w:w w:val="105"/>
                <w:sz w:val="18"/>
              </w:rPr>
              <w:t xml:space="preserve"> </w:t>
            </w:r>
            <w:r>
              <w:rPr>
                <w:w w:val="105"/>
                <w:sz w:val="18"/>
              </w:rPr>
              <w:t>soil</w:t>
            </w:r>
            <w:r>
              <w:rPr>
                <w:spacing w:val="-4"/>
                <w:w w:val="105"/>
                <w:sz w:val="18"/>
              </w:rPr>
              <w:t xml:space="preserve"> </w:t>
            </w:r>
            <w:r>
              <w:rPr>
                <w:w w:val="105"/>
                <w:sz w:val="18"/>
              </w:rPr>
              <w:t>erosion</w:t>
            </w:r>
            <w:r>
              <w:rPr>
                <w:spacing w:val="-1"/>
                <w:w w:val="105"/>
                <w:sz w:val="18"/>
              </w:rPr>
              <w:t xml:space="preserve"> </w:t>
            </w:r>
            <w:r>
              <w:rPr>
                <w:w w:val="105"/>
                <w:sz w:val="18"/>
              </w:rPr>
              <w:t>by</w:t>
            </w:r>
            <w:r>
              <w:rPr>
                <w:spacing w:val="-2"/>
                <w:w w:val="105"/>
                <w:sz w:val="18"/>
              </w:rPr>
              <w:t xml:space="preserve"> </w:t>
            </w:r>
            <w:r>
              <w:rPr>
                <w:w w:val="105"/>
                <w:sz w:val="18"/>
              </w:rPr>
              <w:t>water</w:t>
            </w:r>
          </w:p>
        </w:tc>
        <w:tc>
          <w:tcPr>
            <w:tcW w:w="4112" w:type="dxa"/>
          </w:tcPr>
          <w:p w:rsidR="00A56FE9" w:rsidRDefault="00000000">
            <w:pPr>
              <w:pStyle w:val="TableParagraph"/>
              <w:spacing w:before="4" w:line="203" w:lineRule="exact"/>
              <w:ind w:left="64" w:right="65"/>
              <w:jc w:val="center"/>
              <w:rPr>
                <w:sz w:val="18"/>
              </w:rPr>
            </w:pPr>
            <w:r>
              <w:rPr>
                <w:w w:val="105"/>
                <w:sz w:val="18"/>
              </w:rPr>
              <w:t>km</w:t>
            </w:r>
            <w:r>
              <w:rPr>
                <w:w w:val="105"/>
                <w:sz w:val="18"/>
                <w:vertAlign w:val="superscript"/>
              </w:rPr>
              <w:t>2</w:t>
            </w:r>
          </w:p>
        </w:tc>
        <w:tc>
          <w:tcPr>
            <w:tcW w:w="708" w:type="dxa"/>
          </w:tcPr>
          <w:p w:rsidR="00A56FE9" w:rsidRDefault="00000000">
            <w:pPr>
              <w:pStyle w:val="TableParagraph"/>
              <w:spacing w:before="4" w:line="203" w:lineRule="exact"/>
              <w:ind w:left="132"/>
              <w:rPr>
                <w:sz w:val="18"/>
              </w:rPr>
            </w:pPr>
            <w:r>
              <w:rPr>
                <w:w w:val="105"/>
                <w:sz w:val="18"/>
              </w:rPr>
              <w:t>2010</w:t>
            </w:r>
          </w:p>
        </w:tc>
        <w:tc>
          <w:tcPr>
            <w:tcW w:w="992" w:type="dxa"/>
          </w:tcPr>
          <w:p w:rsidR="00A56FE9" w:rsidRDefault="00000000">
            <w:pPr>
              <w:pStyle w:val="TableParagraph"/>
              <w:spacing w:before="4" w:line="203" w:lineRule="exact"/>
              <w:ind w:right="111"/>
              <w:jc w:val="right"/>
              <w:rPr>
                <w:sz w:val="18"/>
              </w:rPr>
            </w:pPr>
            <w:r>
              <w:rPr>
                <w:w w:val="105"/>
                <w:sz w:val="18"/>
              </w:rPr>
              <w:t>3,780.9</w:t>
            </w:r>
          </w:p>
        </w:tc>
        <w:tc>
          <w:tcPr>
            <w:tcW w:w="680" w:type="dxa"/>
          </w:tcPr>
          <w:p w:rsidR="00A56FE9" w:rsidRDefault="00000000">
            <w:pPr>
              <w:pStyle w:val="TableParagraph"/>
              <w:spacing w:before="4" w:line="203" w:lineRule="exact"/>
              <w:ind w:left="148"/>
              <w:rPr>
                <w:sz w:val="18"/>
              </w:rPr>
            </w:pPr>
            <w:r>
              <w:rPr>
                <w:w w:val="105"/>
                <w:sz w:val="18"/>
              </w:rPr>
              <w:t>2016</w:t>
            </w:r>
          </w:p>
        </w:tc>
        <w:tc>
          <w:tcPr>
            <w:tcW w:w="996" w:type="dxa"/>
            <w:tcBorders>
              <w:right w:val="nil"/>
            </w:tcBorders>
          </w:tcPr>
          <w:p w:rsidR="00A56FE9" w:rsidRDefault="00000000">
            <w:pPr>
              <w:pStyle w:val="TableParagraph"/>
              <w:spacing w:before="4" w:line="203" w:lineRule="exact"/>
              <w:ind w:right="148"/>
              <w:jc w:val="right"/>
              <w:rPr>
                <w:sz w:val="18"/>
              </w:rPr>
            </w:pPr>
            <w:r>
              <w:rPr>
                <w:w w:val="105"/>
                <w:sz w:val="18"/>
              </w:rPr>
              <w:t>2,562.1</w:t>
            </w:r>
          </w:p>
        </w:tc>
      </w:tr>
      <w:tr w:rsidR="00A56FE9">
        <w:trPr>
          <w:trHeight w:val="340"/>
        </w:trPr>
        <w:tc>
          <w:tcPr>
            <w:tcW w:w="14024" w:type="dxa"/>
            <w:gridSpan w:val="6"/>
            <w:tcBorders>
              <w:left w:val="nil"/>
              <w:right w:val="nil"/>
            </w:tcBorders>
          </w:tcPr>
          <w:p w:rsidR="00A56FE9" w:rsidRDefault="00000000">
            <w:pPr>
              <w:pStyle w:val="TableParagraph"/>
              <w:spacing w:before="67"/>
              <w:ind w:left="71"/>
              <w:rPr>
                <w:b/>
                <w:sz w:val="18"/>
              </w:rPr>
            </w:pPr>
            <w:r>
              <w:rPr>
                <w:b/>
                <w:color w:val="2C398A"/>
                <w:w w:val="105"/>
                <w:sz w:val="18"/>
              </w:rPr>
              <w:t>Goal</w:t>
            </w:r>
            <w:r>
              <w:rPr>
                <w:b/>
                <w:color w:val="2C398A"/>
                <w:spacing w:val="20"/>
                <w:w w:val="105"/>
                <w:sz w:val="18"/>
              </w:rPr>
              <w:t xml:space="preserve"> </w:t>
            </w:r>
            <w:r>
              <w:rPr>
                <w:b/>
                <w:color w:val="2C398A"/>
                <w:w w:val="105"/>
                <w:sz w:val="18"/>
              </w:rPr>
              <w:t>3</w:t>
            </w:r>
            <w:r>
              <w:rPr>
                <w:b/>
                <w:color w:val="2C398A"/>
                <w:spacing w:val="24"/>
                <w:w w:val="105"/>
                <w:sz w:val="18"/>
              </w:rPr>
              <w:t xml:space="preserve"> </w:t>
            </w:r>
            <w:r>
              <w:rPr>
                <w:b/>
                <w:color w:val="2C398A"/>
                <w:w w:val="105"/>
                <w:sz w:val="18"/>
              </w:rPr>
              <w:t>-</w:t>
            </w:r>
            <w:r>
              <w:rPr>
                <w:b/>
                <w:color w:val="2C398A"/>
                <w:spacing w:val="25"/>
                <w:w w:val="105"/>
                <w:sz w:val="18"/>
              </w:rPr>
              <w:t xml:space="preserve"> </w:t>
            </w:r>
            <w:r>
              <w:rPr>
                <w:b/>
                <w:color w:val="2C398A"/>
                <w:w w:val="105"/>
                <w:sz w:val="18"/>
              </w:rPr>
              <w:t>Good</w:t>
            </w:r>
            <w:r>
              <w:rPr>
                <w:b/>
                <w:color w:val="2C398A"/>
                <w:spacing w:val="23"/>
                <w:w w:val="105"/>
                <w:sz w:val="18"/>
              </w:rPr>
              <w:t xml:space="preserve"> </w:t>
            </w:r>
            <w:r>
              <w:rPr>
                <w:b/>
                <w:color w:val="2C398A"/>
                <w:w w:val="105"/>
                <w:sz w:val="18"/>
              </w:rPr>
              <w:t>health</w:t>
            </w:r>
            <w:r>
              <w:rPr>
                <w:b/>
                <w:color w:val="2C398A"/>
                <w:spacing w:val="22"/>
                <w:w w:val="105"/>
                <w:sz w:val="18"/>
              </w:rPr>
              <w:t xml:space="preserve"> </w:t>
            </w:r>
            <w:r>
              <w:rPr>
                <w:b/>
                <w:color w:val="2C398A"/>
                <w:w w:val="105"/>
                <w:sz w:val="18"/>
              </w:rPr>
              <w:t>and</w:t>
            </w:r>
            <w:r>
              <w:rPr>
                <w:b/>
                <w:color w:val="2C398A"/>
                <w:spacing w:val="24"/>
                <w:w w:val="105"/>
                <w:sz w:val="18"/>
              </w:rPr>
              <w:t xml:space="preserve"> </w:t>
            </w:r>
            <w:r>
              <w:rPr>
                <w:b/>
                <w:color w:val="2C398A"/>
                <w:w w:val="105"/>
                <w:sz w:val="18"/>
              </w:rPr>
              <w:t>well-being</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w w:val="105"/>
                <w:sz w:val="18"/>
              </w:rPr>
              <w:t>Healthy</w:t>
            </w:r>
            <w:r>
              <w:rPr>
                <w:spacing w:val="-7"/>
                <w:w w:val="105"/>
                <w:sz w:val="18"/>
              </w:rPr>
              <w:t xml:space="preserve"> </w:t>
            </w:r>
            <w:r>
              <w:rPr>
                <w:w w:val="105"/>
                <w:sz w:val="18"/>
              </w:rPr>
              <w:t>life</w:t>
            </w:r>
            <w:r>
              <w:rPr>
                <w:spacing w:val="-10"/>
                <w:w w:val="105"/>
                <w:sz w:val="18"/>
              </w:rPr>
              <w:t xml:space="preserve"> </w:t>
            </w:r>
            <w:r>
              <w:rPr>
                <w:w w:val="105"/>
                <w:sz w:val="18"/>
              </w:rPr>
              <w:t>years</w:t>
            </w:r>
            <w:r>
              <w:rPr>
                <w:spacing w:val="-8"/>
                <w:w w:val="105"/>
                <w:sz w:val="18"/>
              </w:rPr>
              <w:t xml:space="preserve"> </w:t>
            </w:r>
            <w:r>
              <w:rPr>
                <w:w w:val="105"/>
                <w:sz w:val="18"/>
              </w:rPr>
              <w:t>at</w:t>
            </w:r>
            <w:r>
              <w:rPr>
                <w:spacing w:val="-8"/>
                <w:w w:val="105"/>
                <w:sz w:val="18"/>
              </w:rPr>
              <w:t xml:space="preserve"> </w:t>
            </w:r>
            <w:r>
              <w:rPr>
                <w:w w:val="105"/>
                <w:sz w:val="18"/>
              </w:rPr>
              <w:t>birth</w:t>
            </w:r>
          </w:p>
        </w:tc>
        <w:tc>
          <w:tcPr>
            <w:tcW w:w="4112" w:type="dxa"/>
          </w:tcPr>
          <w:p w:rsidR="00A56FE9" w:rsidRDefault="00000000">
            <w:pPr>
              <w:pStyle w:val="TableParagraph"/>
              <w:spacing w:before="4" w:line="201" w:lineRule="exact"/>
              <w:ind w:left="64" w:right="67"/>
              <w:jc w:val="center"/>
              <w:rPr>
                <w:sz w:val="18"/>
              </w:rPr>
            </w:pPr>
            <w:r>
              <w:rPr>
                <w:w w:val="105"/>
                <w:sz w:val="18"/>
              </w:rPr>
              <w:t>in</w:t>
            </w:r>
            <w:r>
              <w:rPr>
                <w:spacing w:val="-7"/>
                <w:w w:val="105"/>
                <w:sz w:val="18"/>
              </w:rPr>
              <w:t xml:space="preserve"> </w:t>
            </w:r>
            <w:r>
              <w:rPr>
                <w:w w:val="105"/>
                <w:sz w:val="18"/>
              </w:rPr>
              <w:t>years</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11"/>
              <w:jc w:val="right"/>
              <w:rPr>
                <w:sz w:val="18"/>
              </w:rPr>
            </w:pPr>
            <w:r>
              <w:rPr>
                <w:w w:val="105"/>
                <w:sz w:val="18"/>
              </w:rPr>
              <w:t>59.0</w:t>
            </w:r>
          </w:p>
        </w:tc>
        <w:tc>
          <w:tcPr>
            <w:tcW w:w="680" w:type="dxa"/>
          </w:tcPr>
          <w:p w:rsidR="00A56FE9" w:rsidRDefault="00000000">
            <w:pPr>
              <w:pStyle w:val="TableParagraph"/>
              <w:spacing w:before="4" w:line="201" w:lineRule="exact"/>
              <w:ind w:left="148"/>
              <w:rPr>
                <w:sz w:val="18"/>
              </w:rPr>
            </w:pPr>
            <w:r>
              <w:rPr>
                <w:w w:val="105"/>
                <w:sz w:val="18"/>
              </w:rPr>
              <w:t>2019</w:t>
            </w:r>
          </w:p>
        </w:tc>
        <w:tc>
          <w:tcPr>
            <w:tcW w:w="996" w:type="dxa"/>
            <w:tcBorders>
              <w:right w:val="nil"/>
            </w:tcBorders>
          </w:tcPr>
          <w:p w:rsidR="00A56FE9" w:rsidRDefault="00000000">
            <w:pPr>
              <w:pStyle w:val="TableParagraph"/>
              <w:spacing w:before="4" w:line="201" w:lineRule="exact"/>
              <w:ind w:right="148"/>
              <w:jc w:val="right"/>
              <w:rPr>
                <w:sz w:val="18"/>
              </w:rPr>
            </w:pPr>
            <w:r>
              <w:rPr>
                <w:w w:val="105"/>
                <w:sz w:val="18"/>
              </w:rPr>
              <w:t>57.4</w:t>
            </w:r>
          </w:p>
        </w:tc>
      </w:tr>
      <w:tr w:rsidR="00A56FE9">
        <w:trPr>
          <w:trHeight w:val="228"/>
        </w:trPr>
        <w:tc>
          <w:tcPr>
            <w:tcW w:w="6536" w:type="dxa"/>
            <w:tcBorders>
              <w:left w:val="nil"/>
            </w:tcBorders>
          </w:tcPr>
          <w:p w:rsidR="00A56FE9" w:rsidRDefault="00000000">
            <w:pPr>
              <w:pStyle w:val="TableParagraph"/>
              <w:spacing w:before="7" w:line="201" w:lineRule="exact"/>
              <w:ind w:left="71"/>
              <w:rPr>
                <w:sz w:val="18"/>
              </w:rPr>
            </w:pPr>
            <w:r>
              <w:rPr>
                <w:w w:val="105"/>
                <w:sz w:val="18"/>
              </w:rPr>
              <w:t>Share</w:t>
            </w:r>
            <w:r>
              <w:rPr>
                <w:spacing w:val="-9"/>
                <w:w w:val="105"/>
                <w:sz w:val="18"/>
              </w:rPr>
              <w:t xml:space="preserve"> </w:t>
            </w:r>
            <w:r>
              <w:rPr>
                <w:w w:val="105"/>
                <w:sz w:val="18"/>
              </w:rPr>
              <w:t>of</w:t>
            </w:r>
            <w:r>
              <w:rPr>
                <w:spacing w:val="-7"/>
                <w:w w:val="105"/>
                <w:sz w:val="18"/>
              </w:rPr>
              <w:t xml:space="preserve"> </w:t>
            </w:r>
            <w:r>
              <w:rPr>
                <w:w w:val="105"/>
                <w:sz w:val="18"/>
              </w:rPr>
              <w:t>people</w:t>
            </w:r>
            <w:r>
              <w:rPr>
                <w:spacing w:val="-8"/>
                <w:w w:val="105"/>
                <w:sz w:val="18"/>
              </w:rPr>
              <w:t xml:space="preserve"> </w:t>
            </w:r>
            <w:r>
              <w:rPr>
                <w:w w:val="105"/>
                <w:sz w:val="18"/>
              </w:rPr>
              <w:t>with</w:t>
            </w:r>
            <w:r>
              <w:rPr>
                <w:spacing w:val="-8"/>
                <w:w w:val="105"/>
                <w:sz w:val="18"/>
              </w:rPr>
              <w:t xml:space="preserve"> </w:t>
            </w:r>
            <w:r>
              <w:rPr>
                <w:w w:val="105"/>
                <w:sz w:val="18"/>
              </w:rPr>
              <w:t>good</w:t>
            </w:r>
            <w:r>
              <w:rPr>
                <w:spacing w:val="-9"/>
                <w:w w:val="105"/>
                <w:sz w:val="18"/>
              </w:rPr>
              <w:t xml:space="preserve"> </w:t>
            </w:r>
            <w:r>
              <w:rPr>
                <w:w w:val="105"/>
                <w:sz w:val="18"/>
              </w:rPr>
              <w:t>or</w:t>
            </w:r>
            <w:r>
              <w:rPr>
                <w:spacing w:val="-8"/>
                <w:w w:val="105"/>
                <w:sz w:val="18"/>
              </w:rPr>
              <w:t xml:space="preserve"> </w:t>
            </w:r>
            <w:r>
              <w:rPr>
                <w:w w:val="105"/>
                <w:sz w:val="18"/>
              </w:rPr>
              <w:t>very</w:t>
            </w:r>
            <w:r>
              <w:rPr>
                <w:spacing w:val="-9"/>
                <w:w w:val="105"/>
                <w:sz w:val="18"/>
              </w:rPr>
              <w:t xml:space="preserve"> </w:t>
            </w:r>
            <w:r>
              <w:rPr>
                <w:w w:val="105"/>
                <w:sz w:val="18"/>
              </w:rPr>
              <w:t>good</w:t>
            </w:r>
            <w:r>
              <w:rPr>
                <w:spacing w:val="-9"/>
                <w:w w:val="105"/>
                <w:sz w:val="18"/>
              </w:rPr>
              <w:t xml:space="preserve"> </w:t>
            </w:r>
            <w:r>
              <w:rPr>
                <w:w w:val="105"/>
                <w:sz w:val="18"/>
              </w:rPr>
              <w:t>perceived</w:t>
            </w:r>
            <w:r>
              <w:rPr>
                <w:spacing w:val="-9"/>
                <w:w w:val="105"/>
                <w:sz w:val="18"/>
              </w:rPr>
              <w:t xml:space="preserve"> </w:t>
            </w:r>
            <w:r>
              <w:rPr>
                <w:w w:val="105"/>
                <w:sz w:val="18"/>
              </w:rPr>
              <w:t>health</w:t>
            </w:r>
          </w:p>
        </w:tc>
        <w:tc>
          <w:tcPr>
            <w:tcW w:w="4112" w:type="dxa"/>
          </w:tcPr>
          <w:p w:rsidR="00A56FE9" w:rsidRDefault="00000000">
            <w:pPr>
              <w:pStyle w:val="TableParagraph"/>
              <w:spacing w:before="7" w:line="201" w:lineRule="exact"/>
              <w:ind w:left="624"/>
              <w:rPr>
                <w:sz w:val="18"/>
              </w:rPr>
            </w:pPr>
            <w:r>
              <w:rPr>
                <w:w w:val="105"/>
                <w:sz w:val="18"/>
              </w:rPr>
              <w:t>%</w:t>
            </w:r>
            <w:r>
              <w:rPr>
                <w:spacing w:val="-3"/>
                <w:w w:val="105"/>
                <w:sz w:val="18"/>
              </w:rPr>
              <w:t xml:space="preserve"> </w:t>
            </w:r>
            <w:r>
              <w:rPr>
                <w:w w:val="105"/>
                <w:sz w:val="18"/>
              </w:rPr>
              <w:t>population</w:t>
            </w:r>
            <w:r>
              <w:rPr>
                <w:spacing w:val="-1"/>
                <w:w w:val="105"/>
                <w:sz w:val="18"/>
              </w:rPr>
              <w:t xml:space="preserve"> </w:t>
            </w:r>
            <w:r>
              <w:rPr>
                <w:w w:val="105"/>
                <w:sz w:val="18"/>
              </w:rPr>
              <w:t>aged</w:t>
            </w:r>
            <w:r>
              <w:rPr>
                <w:spacing w:val="-1"/>
                <w:w w:val="105"/>
                <w:sz w:val="18"/>
              </w:rPr>
              <w:t xml:space="preserve"> </w:t>
            </w:r>
            <w:r>
              <w:rPr>
                <w:w w:val="105"/>
                <w:sz w:val="18"/>
              </w:rPr>
              <w:t>16</w:t>
            </w:r>
            <w:r>
              <w:rPr>
                <w:spacing w:val="-4"/>
                <w:w w:val="105"/>
                <w:sz w:val="18"/>
              </w:rPr>
              <w:t xml:space="preserve"> </w:t>
            </w:r>
            <w:r>
              <w:rPr>
                <w:w w:val="105"/>
                <w:sz w:val="18"/>
              </w:rPr>
              <w:t>and</w:t>
            </w:r>
            <w:r>
              <w:rPr>
                <w:spacing w:val="-1"/>
                <w:w w:val="105"/>
                <w:sz w:val="18"/>
              </w:rPr>
              <w:t xml:space="preserve"> </w:t>
            </w:r>
            <w:r>
              <w:rPr>
                <w:w w:val="105"/>
                <w:sz w:val="18"/>
              </w:rPr>
              <w:t>more</w:t>
            </w:r>
            <w:r>
              <w:rPr>
                <w:spacing w:val="-5"/>
                <w:w w:val="105"/>
                <w:sz w:val="18"/>
              </w:rPr>
              <w:t xml:space="preserve"> </w:t>
            </w:r>
            <w:r>
              <w:rPr>
                <w:w w:val="105"/>
                <w:sz w:val="18"/>
              </w:rPr>
              <w:t>years</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1"/>
              <w:jc w:val="right"/>
              <w:rPr>
                <w:sz w:val="18"/>
              </w:rPr>
            </w:pPr>
            <w:r>
              <w:rPr>
                <w:w w:val="105"/>
                <w:sz w:val="18"/>
              </w:rPr>
              <w:t>46.6</w:t>
            </w:r>
          </w:p>
        </w:tc>
        <w:tc>
          <w:tcPr>
            <w:tcW w:w="680" w:type="dxa"/>
          </w:tcPr>
          <w:p w:rsidR="00A56FE9" w:rsidRDefault="00000000">
            <w:pPr>
              <w:pStyle w:val="TableParagraph"/>
              <w:spacing w:before="7" w:line="201" w:lineRule="exact"/>
              <w:ind w:left="148"/>
              <w:rPr>
                <w:sz w:val="18"/>
              </w:rPr>
            </w:pPr>
            <w:r>
              <w:rPr>
                <w:w w:val="105"/>
                <w:sz w:val="18"/>
              </w:rPr>
              <w:t>2020</w:t>
            </w:r>
          </w:p>
        </w:tc>
        <w:tc>
          <w:tcPr>
            <w:tcW w:w="996" w:type="dxa"/>
            <w:tcBorders>
              <w:right w:val="nil"/>
            </w:tcBorders>
          </w:tcPr>
          <w:p w:rsidR="00A56FE9" w:rsidRDefault="00000000">
            <w:pPr>
              <w:pStyle w:val="TableParagraph"/>
              <w:spacing w:before="7" w:line="201" w:lineRule="exact"/>
              <w:ind w:right="148"/>
              <w:jc w:val="right"/>
              <w:rPr>
                <w:sz w:val="18"/>
              </w:rPr>
            </w:pPr>
            <w:r>
              <w:rPr>
                <w:w w:val="105"/>
                <w:sz w:val="18"/>
              </w:rPr>
              <w:t>63.7</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spacing w:val="-1"/>
                <w:w w:val="105"/>
                <w:sz w:val="18"/>
              </w:rPr>
              <w:t>Smoking</w:t>
            </w:r>
            <w:r>
              <w:rPr>
                <w:spacing w:val="-10"/>
                <w:w w:val="105"/>
                <w:sz w:val="18"/>
              </w:rPr>
              <w:t xml:space="preserve"> </w:t>
            </w:r>
            <w:r>
              <w:rPr>
                <w:w w:val="105"/>
                <w:sz w:val="18"/>
              </w:rPr>
              <w:t>prevalence</w:t>
            </w:r>
          </w:p>
        </w:tc>
        <w:tc>
          <w:tcPr>
            <w:tcW w:w="4112" w:type="dxa"/>
          </w:tcPr>
          <w:p w:rsidR="00A56FE9" w:rsidRDefault="00000000">
            <w:pPr>
              <w:pStyle w:val="TableParagraph"/>
              <w:spacing w:before="4" w:line="203" w:lineRule="exact"/>
              <w:ind w:left="622"/>
              <w:rPr>
                <w:sz w:val="18"/>
              </w:rPr>
            </w:pPr>
            <w:r>
              <w:rPr>
                <w:w w:val="105"/>
                <w:sz w:val="18"/>
              </w:rPr>
              <w:t>%</w:t>
            </w:r>
            <w:r>
              <w:rPr>
                <w:spacing w:val="-1"/>
                <w:w w:val="105"/>
                <w:sz w:val="18"/>
              </w:rPr>
              <w:t xml:space="preserve"> </w:t>
            </w:r>
            <w:r>
              <w:rPr>
                <w:w w:val="105"/>
                <w:sz w:val="18"/>
              </w:rPr>
              <w:t>population</w:t>
            </w:r>
            <w:r>
              <w:rPr>
                <w:spacing w:val="-1"/>
                <w:w w:val="105"/>
                <w:sz w:val="18"/>
              </w:rPr>
              <w:t xml:space="preserve"> </w:t>
            </w:r>
            <w:r>
              <w:rPr>
                <w:w w:val="105"/>
                <w:sz w:val="18"/>
              </w:rPr>
              <w:t>aged</w:t>
            </w:r>
            <w:r>
              <w:rPr>
                <w:spacing w:val="-1"/>
                <w:w w:val="105"/>
                <w:sz w:val="18"/>
              </w:rPr>
              <w:t xml:space="preserve"> </w:t>
            </w:r>
            <w:r>
              <w:rPr>
                <w:w w:val="105"/>
                <w:sz w:val="18"/>
              </w:rPr>
              <w:t>15</w:t>
            </w:r>
            <w:r>
              <w:rPr>
                <w:spacing w:val="-3"/>
                <w:w w:val="105"/>
                <w:sz w:val="18"/>
              </w:rPr>
              <w:t xml:space="preserve"> </w:t>
            </w:r>
            <w:r>
              <w:rPr>
                <w:w w:val="105"/>
                <w:sz w:val="18"/>
              </w:rPr>
              <w:t>and</w:t>
            </w:r>
            <w:r>
              <w:rPr>
                <w:spacing w:val="-3"/>
                <w:w w:val="105"/>
                <w:sz w:val="18"/>
              </w:rPr>
              <w:t xml:space="preserve"> </w:t>
            </w:r>
            <w:r>
              <w:rPr>
                <w:w w:val="105"/>
                <w:sz w:val="18"/>
              </w:rPr>
              <w:t>more</w:t>
            </w:r>
            <w:r>
              <w:rPr>
                <w:spacing w:val="-5"/>
                <w:w w:val="105"/>
                <w:sz w:val="18"/>
              </w:rPr>
              <w:t xml:space="preserve"> </w:t>
            </w:r>
            <w:r>
              <w:rPr>
                <w:w w:val="105"/>
                <w:sz w:val="18"/>
              </w:rPr>
              <w:t>years</w:t>
            </w:r>
          </w:p>
        </w:tc>
        <w:tc>
          <w:tcPr>
            <w:tcW w:w="708" w:type="dxa"/>
          </w:tcPr>
          <w:p w:rsidR="00A56FE9" w:rsidRDefault="00000000">
            <w:pPr>
              <w:pStyle w:val="TableParagraph"/>
              <w:spacing w:before="4" w:line="203" w:lineRule="exact"/>
              <w:ind w:left="132"/>
              <w:rPr>
                <w:sz w:val="18"/>
              </w:rPr>
            </w:pPr>
            <w:r>
              <w:rPr>
                <w:w w:val="105"/>
                <w:sz w:val="18"/>
              </w:rPr>
              <w:t>2014</w:t>
            </w:r>
          </w:p>
        </w:tc>
        <w:tc>
          <w:tcPr>
            <w:tcW w:w="992" w:type="dxa"/>
          </w:tcPr>
          <w:p w:rsidR="00A56FE9" w:rsidRDefault="00000000">
            <w:pPr>
              <w:pStyle w:val="TableParagraph"/>
              <w:spacing w:before="4" w:line="203" w:lineRule="exact"/>
              <w:ind w:right="111"/>
              <w:jc w:val="right"/>
              <w:rPr>
                <w:sz w:val="18"/>
              </w:rPr>
            </w:pPr>
            <w:r>
              <w:rPr>
                <w:w w:val="105"/>
                <w:sz w:val="18"/>
              </w:rPr>
              <w:t>33</w:t>
            </w:r>
          </w:p>
        </w:tc>
        <w:tc>
          <w:tcPr>
            <w:tcW w:w="680" w:type="dxa"/>
          </w:tcPr>
          <w:p w:rsidR="00A56FE9" w:rsidRDefault="00000000">
            <w:pPr>
              <w:pStyle w:val="TableParagraph"/>
              <w:spacing w:before="4" w:line="203" w:lineRule="exact"/>
              <w:ind w:left="148"/>
              <w:rPr>
                <w:sz w:val="18"/>
              </w:rPr>
            </w:pPr>
            <w:r>
              <w:rPr>
                <w:w w:val="105"/>
                <w:sz w:val="18"/>
              </w:rPr>
              <w:t>2020</w:t>
            </w:r>
          </w:p>
        </w:tc>
        <w:tc>
          <w:tcPr>
            <w:tcW w:w="996" w:type="dxa"/>
            <w:tcBorders>
              <w:right w:val="nil"/>
            </w:tcBorders>
          </w:tcPr>
          <w:p w:rsidR="00A56FE9" w:rsidRDefault="00000000">
            <w:pPr>
              <w:pStyle w:val="TableParagraph"/>
              <w:spacing w:before="4" w:line="203" w:lineRule="exact"/>
              <w:ind w:right="147"/>
              <w:jc w:val="right"/>
              <w:rPr>
                <w:sz w:val="18"/>
              </w:rPr>
            </w:pPr>
            <w:r>
              <w:rPr>
                <w:w w:val="105"/>
                <w:sz w:val="18"/>
              </w:rPr>
              <w:t>36</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spacing w:val="-1"/>
                <w:w w:val="105"/>
                <w:sz w:val="18"/>
              </w:rPr>
              <w:t>Standardised</w:t>
            </w:r>
            <w:r>
              <w:rPr>
                <w:spacing w:val="-10"/>
                <w:w w:val="105"/>
                <w:sz w:val="18"/>
              </w:rPr>
              <w:t xml:space="preserve"> </w:t>
            </w:r>
            <w:r>
              <w:rPr>
                <w:w w:val="105"/>
                <w:sz w:val="18"/>
              </w:rPr>
              <w:t>death</w:t>
            </w:r>
            <w:r>
              <w:rPr>
                <w:spacing w:val="-8"/>
                <w:w w:val="105"/>
                <w:sz w:val="18"/>
              </w:rPr>
              <w:t xml:space="preserve"> </w:t>
            </w:r>
            <w:r>
              <w:rPr>
                <w:w w:val="105"/>
                <w:sz w:val="18"/>
              </w:rPr>
              <w:t>rate</w:t>
            </w:r>
            <w:r>
              <w:rPr>
                <w:spacing w:val="-10"/>
                <w:w w:val="105"/>
                <w:sz w:val="18"/>
              </w:rPr>
              <w:t xml:space="preserve"> </w:t>
            </w:r>
            <w:r>
              <w:rPr>
                <w:w w:val="105"/>
                <w:sz w:val="18"/>
              </w:rPr>
              <w:t>due</w:t>
            </w:r>
            <w:r>
              <w:rPr>
                <w:spacing w:val="-11"/>
                <w:w w:val="105"/>
                <w:sz w:val="18"/>
              </w:rPr>
              <w:t xml:space="preserve"> </w:t>
            </w:r>
            <w:r>
              <w:rPr>
                <w:w w:val="105"/>
                <w:sz w:val="18"/>
              </w:rPr>
              <w:t>to</w:t>
            </w:r>
            <w:r>
              <w:rPr>
                <w:spacing w:val="-7"/>
                <w:w w:val="105"/>
                <w:sz w:val="18"/>
              </w:rPr>
              <w:t xml:space="preserve"> </w:t>
            </w:r>
            <w:r>
              <w:rPr>
                <w:w w:val="105"/>
                <w:sz w:val="18"/>
              </w:rPr>
              <w:t>tuberculosis,</w:t>
            </w:r>
            <w:r>
              <w:rPr>
                <w:spacing w:val="-9"/>
                <w:w w:val="105"/>
                <w:sz w:val="18"/>
              </w:rPr>
              <w:t xml:space="preserve"> </w:t>
            </w:r>
            <w:r>
              <w:rPr>
                <w:w w:val="105"/>
                <w:sz w:val="18"/>
              </w:rPr>
              <w:t>HIV</w:t>
            </w:r>
            <w:r>
              <w:rPr>
                <w:spacing w:val="-8"/>
                <w:w w:val="105"/>
                <w:sz w:val="18"/>
              </w:rPr>
              <w:t xml:space="preserve"> </w:t>
            </w:r>
            <w:r>
              <w:rPr>
                <w:w w:val="105"/>
                <w:sz w:val="18"/>
              </w:rPr>
              <w:t>and</w:t>
            </w:r>
            <w:r>
              <w:rPr>
                <w:spacing w:val="-10"/>
                <w:w w:val="105"/>
                <w:sz w:val="18"/>
              </w:rPr>
              <w:t xml:space="preserve"> </w:t>
            </w:r>
            <w:r>
              <w:rPr>
                <w:w w:val="105"/>
                <w:sz w:val="18"/>
              </w:rPr>
              <w:t>hepatitis</w:t>
            </w:r>
          </w:p>
        </w:tc>
        <w:tc>
          <w:tcPr>
            <w:tcW w:w="4112" w:type="dxa"/>
          </w:tcPr>
          <w:p w:rsidR="00A56FE9" w:rsidRDefault="00000000">
            <w:pPr>
              <w:pStyle w:val="TableParagraph"/>
              <w:spacing w:before="4" w:line="203" w:lineRule="exact"/>
              <w:ind w:left="1037"/>
              <w:rPr>
                <w:sz w:val="18"/>
              </w:rPr>
            </w:pPr>
            <w:r>
              <w:rPr>
                <w:w w:val="105"/>
                <w:sz w:val="18"/>
              </w:rPr>
              <w:t>standardized</w:t>
            </w:r>
            <w:r>
              <w:rPr>
                <w:spacing w:val="-5"/>
                <w:w w:val="105"/>
                <w:sz w:val="18"/>
              </w:rPr>
              <w:t xml:space="preserve"> </w:t>
            </w:r>
            <w:r>
              <w:rPr>
                <w:w w:val="105"/>
                <w:sz w:val="18"/>
              </w:rPr>
              <w:t>mortality</w:t>
            </w:r>
            <w:r>
              <w:rPr>
                <w:spacing w:val="-6"/>
                <w:w w:val="105"/>
                <w:sz w:val="18"/>
              </w:rPr>
              <w:t xml:space="preserve"> </w:t>
            </w:r>
            <w:r>
              <w:rPr>
                <w:w w:val="105"/>
                <w:sz w:val="18"/>
              </w:rPr>
              <w:t>rate</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08"/>
              <w:jc w:val="right"/>
              <w:rPr>
                <w:sz w:val="18"/>
              </w:rPr>
            </w:pPr>
            <w:r>
              <w:rPr>
                <w:w w:val="105"/>
                <w:sz w:val="18"/>
              </w:rPr>
              <w:t>2.38</w:t>
            </w:r>
          </w:p>
        </w:tc>
        <w:tc>
          <w:tcPr>
            <w:tcW w:w="680" w:type="dxa"/>
          </w:tcPr>
          <w:p w:rsidR="00A56FE9" w:rsidRDefault="00000000">
            <w:pPr>
              <w:pStyle w:val="TableParagraph"/>
              <w:spacing w:before="4" w:line="203" w:lineRule="exact"/>
              <w:ind w:left="148"/>
              <w:rPr>
                <w:sz w:val="18"/>
              </w:rPr>
            </w:pPr>
            <w:r>
              <w:rPr>
                <w:w w:val="105"/>
                <w:sz w:val="18"/>
              </w:rPr>
              <w:t>2018</w:t>
            </w:r>
          </w:p>
        </w:tc>
        <w:tc>
          <w:tcPr>
            <w:tcW w:w="996" w:type="dxa"/>
            <w:tcBorders>
              <w:right w:val="nil"/>
            </w:tcBorders>
          </w:tcPr>
          <w:p w:rsidR="00A56FE9" w:rsidRDefault="00000000">
            <w:pPr>
              <w:pStyle w:val="TableParagraph"/>
              <w:spacing w:before="4" w:line="203" w:lineRule="exact"/>
              <w:ind w:right="145"/>
              <w:jc w:val="right"/>
              <w:rPr>
                <w:sz w:val="18"/>
              </w:rPr>
            </w:pPr>
            <w:r>
              <w:rPr>
                <w:w w:val="105"/>
                <w:sz w:val="18"/>
              </w:rPr>
              <w:t>2.28</w:t>
            </w:r>
          </w:p>
        </w:tc>
      </w:tr>
    </w:tbl>
    <w:p w:rsidR="00A56FE9" w:rsidRDefault="00CC1B9B">
      <w:pPr>
        <w:pStyle w:val="Tijeloteksta"/>
        <w:spacing w:before="6"/>
        <w:ind w:left="0"/>
        <w:jc w:val="left"/>
        <w:rPr>
          <w:b/>
          <w:sz w:val="14"/>
        </w:rPr>
      </w:pPr>
      <w:r>
        <w:rPr>
          <w:noProof/>
        </w:rPr>
        <mc:AlternateContent>
          <mc:Choice Requires="wps">
            <w:drawing>
              <wp:anchor distT="0" distB="0" distL="0" distR="0" simplePos="0" relativeHeight="487713792" behindDoc="1" locked="0" layoutInCell="1" allowOverlap="1">
                <wp:simplePos x="0" y="0"/>
                <wp:positionH relativeFrom="page">
                  <wp:posOffset>900430</wp:posOffset>
                </wp:positionH>
                <wp:positionV relativeFrom="paragraph">
                  <wp:posOffset>130810</wp:posOffset>
                </wp:positionV>
                <wp:extent cx="1828800" cy="7620"/>
                <wp:effectExtent l="0" t="0" r="0" b="0"/>
                <wp:wrapTopAndBottom/>
                <wp:docPr id="22177776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5E0FBA" id="Rectangle 2" o:spid="_x0000_s1026" style="position:absolute;margin-left:70.9pt;margin-top:10.3pt;width:2in;height:.6pt;z-index:-15602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" fillcolor="black" stroked="f">
                <w10:wrap type="topAndBottom" anchorx="page"/>
              </v:rect>
            </w:pict>
          </mc:Fallback>
        </mc:AlternateContent>
      </w:r>
    </w:p>
    <w:p w:rsidR="00A56FE9" w:rsidRDefault="00000000">
      <w:pPr>
        <w:spacing w:before="76"/>
        <w:ind w:left="958" w:right="1031"/>
        <w:jc w:val="both"/>
        <w:rPr>
          <w:sz w:val="16"/>
        </w:rPr>
      </w:pPr>
      <w:r>
        <w:rPr>
          <w:sz w:val="16"/>
          <w:vertAlign w:val="superscript"/>
        </w:rPr>
        <w:t>59</w:t>
      </w:r>
      <w:r>
        <w:rPr>
          <w:sz w:val="16"/>
        </w:rPr>
        <w:t xml:space="preserve"> The table shows the indicators that measure Croatia's progress towards achieving the UN Sustainable Development Goals (SDGs) since Croatia's accession to the EU. It is a set of EU indicators used by Eurostat to</w:t>
      </w:r>
      <w:r>
        <w:rPr>
          <w:spacing w:val="1"/>
          <w:sz w:val="16"/>
        </w:rPr>
        <w:t xml:space="preserve"> </w:t>
      </w:r>
      <w:r>
        <w:rPr>
          <w:sz w:val="16"/>
        </w:rPr>
        <w:t>monitor progress towards the Sustainable Development Goals in the EU context and is closely linked to EU policy initiatives. Data sources are the European Statistical System and other relevant data sources. The data</w:t>
      </w:r>
      <w:r>
        <w:rPr>
          <w:spacing w:val="1"/>
          <w:sz w:val="16"/>
        </w:rPr>
        <w:t xml:space="preserve"> </w:t>
      </w:r>
      <w:r>
        <w:rPr>
          <w:sz w:val="16"/>
        </w:rPr>
        <w:t>were</w:t>
      </w:r>
      <w:r>
        <w:rPr>
          <w:spacing w:val="-3"/>
          <w:sz w:val="16"/>
        </w:rPr>
        <w:t xml:space="preserve"> </w:t>
      </w:r>
      <w:r>
        <w:rPr>
          <w:sz w:val="16"/>
        </w:rPr>
        <w:t>retrieved</w:t>
      </w:r>
      <w:r>
        <w:rPr>
          <w:spacing w:val="1"/>
          <w:sz w:val="16"/>
        </w:rPr>
        <w:t xml:space="preserve"> </w:t>
      </w:r>
      <w:r>
        <w:rPr>
          <w:sz w:val="16"/>
        </w:rPr>
        <w:t>on</w:t>
      </w:r>
      <w:r>
        <w:rPr>
          <w:spacing w:val="-1"/>
          <w:sz w:val="16"/>
        </w:rPr>
        <w:t xml:space="preserve"> </w:t>
      </w:r>
      <w:r>
        <w:rPr>
          <w:sz w:val="16"/>
        </w:rPr>
        <w:t>9</w:t>
      </w:r>
      <w:r>
        <w:rPr>
          <w:spacing w:val="1"/>
          <w:sz w:val="16"/>
        </w:rPr>
        <w:t xml:space="preserve"> </w:t>
      </w:r>
      <w:r>
        <w:rPr>
          <w:sz w:val="16"/>
        </w:rPr>
        <w:t>January</w:t>
      </w:r>
      <w:r>
        <w:rPr>
          <w:spacing w:val="-3"/>
          <w:sz w:val="16"/>
        </w:rPr>
        <w:t xml:space="preserve"> </w:t>
      </w:r>
      <w:r>
        <w:rPr>
          <w:sz w:val="16"/>
        </w:rPr>
        <w:t>2022</w:t>
      </w:r>
      <w:r>
        <w:rPr>
          <w:spacing w:val="1"/>
          <w:sz w:val="16"/>
        </w:rPr>
        <w:t xml:space="preserve"> </w:t>
      </w:r>
      <w:r>
        <w:rPr>
          <w:sz w:val="16"/>
        </w:rPr>
        <w:t>from the</w:t>
      </w:r>
      <w:r>
        <w:rPr>
          <w:spacing w:val="-2"/>
          <w:sz w:val="16"/>
        </w:rPr>
        <w:t xml:space="preserve"> </w:t>
      </w:r>
      <w:r>
        <w:rPr>
          <w:sz w:val="16"/>
        </w:rPr>
        <w:t>Eurostat</w:t>
      </w:r>
      <w:r>
        <w:rPr>
          <w:spacing w:val="-1"/>
          <w:sz w:val="16"/>
        </w:rPr>
        <w:t xml:space="preserve"> </w:t>
      </w:r>
      <w:r>
        <w:rPr>
          <w:sz w:val="16"/>
        </w:rPr>
        <w:t>database</w:t>
      </w:r>
    </w:p>
    <w:p w:rsidR="00A56FE9" w:rsidRDefault="00A56FE9">
      <w:pPr>
        <w:jc w:val="both"/>
        <w:rPr>
          <w:sz w:val="16"/>
        </w:rPr>
        <w:sectPr w:rsidR="00A56FE9" w:rsidSect="00AB1E70">
          <w:pgSz w:w="16840" w:h="11910" w:orient="landscape"/>
          <w:pgMar w:top="1100" w:right="380" w:bottom="96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95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6536"/>
        <w:gridCol w:w="4112"/>
        <w:gridCol w:w="708"/>
        <w:gridCol w:w="994"/>
        <w:gridCol w:w="680"/>
        <w:gridCol w:w="990"/>
      </w:tblGrid>
      <w:tr w:rsidR="00A56FE9">
        <w:trPr>
          <w:trHeight w:val="349"/>
        </w:trPr>
        <w:tc>
          <w:tcPr>
            <w:tcW w:w="6536" w:type="dxa"/>
            <w:vMerge w:val="restart"/>
            <w:tcBorders>
              <w:top w:val="nil"/>
              <w:left w:val="nil"/>
              <w:bottom w:val="nil"/>
              <w:right w:val="nil"/>
            </w:tcBorders>
            <w:shd w:val="clear" w:color="auto" w:fill="2C398A"/>
          </w:tcPr>
          <w:p w:rsidR="00A56FE9" w:rsidRDefault="00A56FE9">
            <w:pPr>
              <w:pStyle w:val="TableParagraph"/>
              <w:spacing w:before="5"/>
              <w:rPr>
                <w:sz w:val="20"/>
              </w:rPr>
            </w:pPr>
          </w:p>
          <w:p w:rsidR="00A56FE9" w:rsidRDefault="00000000">
            <w:pPr>
              <w:pStyle w:val="TableParagraph"/>
              <w:ind w:left="2848" w:right="2848"/>
              <w:jc w:val="center"/>
              <w:rPr>
                <w:b/>
                <w:sz w:val="20"/>
              </w:rPr>
            </w:pPr>
            <w:r>
              <w:rPr>
                <w:b/>
                <w:color w:val="FFFFFF"/>
                <w:sz w:val="20"/>
              </w:rPr>
              <w:t>Indicator</w:t>
            </w:r>
          </w:p>
        </w:tc>
        <w:tc>
          <w:tcPr>
            <w:tcW w:w="4112" w:type="dxa"/>
            <w:vMerge w:val="restart"/>
            <w:tcBorders>
              <w:top w:val="nil"/>
              <w:left w:val="nil"/>
              <w:bottom w:val="nil"/>
              <w:right w:val="nil"/>
            </w:tcBorders>
            <w:shd w:val="clear" w:color="auto" w:fill="2C398A"/>
          </w:tcPr>
          <w:p w:rsidR="00A56FE9" w:rsidRDefault="00A56FE9">
            <w:pPr>
              <w:pStyle w:val="TableParagraph"/>
              <w:spacing w:before="5"/>
              <w:rPr>
                <w:sz w:val="20"/>
              </w:rPr>
            </w:pPr>
          </w:p>
          <w:p w:rsidR="00A56FE9" w:rsidRDefault="00000000">
            <w:pPr>
              <w:pStyle w:val="TableParagraph"/>
              <w:ind w:left="1846" w:right="1848"/>
              <w:jc w:val="center"/>
              <w:rPr>
                <w:b/>
                <w:sz w:val="20"/>
              </w:rPr>
            </w:pPr>
            <w:r>
              <w:rPr>
                <w:b/>
                <w:color w:val="FFFFFF"/>
                <w:sz w:val="20"/>
              </w:rPr>
              <w:t>Unit</w:t>
            </w:r>
          </w:p>
        </w:tc>
        <w:tc>
          <w:tcPr>
            <w:tcW w:w="1702" w:type="dxa"/>
            <w:gridSpan w:val="2"/>
            <w:tcBorders>
              <w:top w:val="nil"/>
              <w:left w:val="nil"/>
              <w:bottom w:val="nil"/>
            </w:tcBorders>
            <w:shd w:val="clear" w:color="auto" w:fill="2C398A"/>
          </w:tcPr>
          <w:p w:rsidR="00A56FE9" w:rsidRDefault="00000000">
            <w:pPr>
              <w:pStyle w:val="TableParagraph"/>
              <w:spacing w:before="55"/>
              <w:ind w:left="566" w:right="567"/>
              <w:jc w:val="center"/>
              <w:rPr>
                <w:b/>
                <w:sz w:val="20"/>
              </w:rPr>
            </w:pPr>
            <w:r>
              <w:rPr>
                <w:b/>
                <w:color w:val="FFFFFF"/>
                <w:sz w:val="20"/>
              </w:rPr>
              <w:t>Initial</w:t>
            </w:r>
          </w:p>
        </w:tc>
        <w:tc>
          <w:tcPr>
            <w:tcW w:w="1670" w:type="dxa"/>
            <w:gridSpan w:val="2"/>
            <w:tcBorders>
              <w:top w:val="nil"/>
              <w:bottom w:val="nil"/>
              <w:right w:val="nil"/>
            </w:tcBorders>
            <w:shd w:val="clear" w:color="auto" w:fill="2C398A"/>
          </w:tcPr>
          <w:p w:rsidR="00A56FE9" w:rsidRDefault="00000000">
            <w:pPr>
              <w:pStyle w:val="TableParagraph"/>
              <w:spacing w:before="55"/>
              <w:ind w:left="270"/>
              <w:rPr>
                <w:b/>
                <w:sz w:val="20"/>
              </w:rPr>
            </w:pPr>
            <w:r>
              <w:rPr>
                <w:b/>
                <w:color w:val="FFFFFF"/>
                <w:sz w:val="20"/>
              </w:rPr>
              <w:t>Most</w:t>
            </w:r>
            <w:r>
              <w:rPr>
                <w:b/>
                <w:color w:val="FFFFFF"/>
                <w:spacing w:val="23"/>
                <w:sz w:val="20"/>
              </w:rPr>
              <w:t xml:space="preserve"> </w:t>
            </w:r>
            <w:r>
              <w:rPr>
                <w:b/>
                <w:color w:val="FFFFFF"/>
                <w:sz w:val="20"/>
              </w:rPr>
              <w:t>Recent</w:t>
            </w:r>
          </w:p>
        </w:tc>
      </w:tr>
      <w:tr w:rsidR="00A56FE9">
        <w:trPr>
          <w:trHeight w:val="358"/>
        </w:trPr>
        <w:tc>
          <w:tcPr>
            <w:tcW w:w="6536" w:type="dxa"/>
            <w:vMerge/>
            <w:tcBorders>
              <w:top w:val="nil"/>
              <w:left w:val="nil"/>
              <w:bottom w:val="nil"/>
              <w:right w:val="nil"/>
            </w:tcBorders>
            <w:shd w:val="clear" w:color="auto" w:fill="2C398A"/>
          </w:tcPr>
          <w:p w:rsidR="00A56FE9" w:rsidRDefault="00A56FE9">
            <w:pPr>
              <w:rPr>
                <w:sz w:val="2"/>
                <w:szCs w:val="2"/>
              </w:rPr>
            </w:pPr>
          </w:p>
        </w:tc>
        <w:tc>
          <w:tcPr>
            <w:tcW w:w="4112" w:type="dxa"/>
            <w:vMerge/>
            <w:tcBorders>
              <w:top w:val="nil"/>
              <w:left w:val="nil"/>
              <w:bottom w:val="nil"/>
              <w:right w:val="nil"/>
            </w:tcBorders>
            <w:shd w:val="clear" w:color="auto" w:fill="2C398A"/>
          </w:tcPr>
          <w:p w:rsidR="00A56FE9" w:rsidRDefault="00A56FE9">
            <w:pPr>
              <w:rPr>
                <w:sz w:val="2"/>
                <w:szCs w:val="2"/>
              </w:rPr>
            </w:pPr>
          </w:p>
        </w:tc>
        <w:tc>
          <w:tcPr>
            <w:tcW w:w="708" w:type="dxa"/>
            <w:tcBorders>
              <w:top w:val="nil"/>
              <w:left w:val="nil"/>
              <w:bottom w:val="nil"/>
            </w:tcBorders>
            <w:shd w:val="clear" w:color="auto" w:fill="2C398A"/>
          </w:tcPr>
          <w:p w:rsidR="00A56FE9" w:rsidRDefault="00000000">
            <w:pPr>
              <w:pStyle w:val="TableParagraph"/>
              <w:spacing w:before="66"/>
              <w:ind w:left="132"/>
              <w:rPr>
                <w:b/>
                <w:sz w:val="20"/>
              </w:rPr>
            </w:pPr>
            <w:r>
              <w:rPr>
                <w:b/>
                <w:color w:val="FFFFFF"/>
                <w:sz w:val="20"/>
              </w:rPr>
              <w:t>Year</w:t>
            </w:r>
          </w:p>
        </w:tc>
        <w:tc>
          <w:tcPr>
            <w:tcW w:w="994" w:type="dxa"/>
            <w:tcBorders>
              <w:top w:val="nil"/>
              <w:bottom w:val="nil"/>
            </w:tcBorders>
            <w:shd w:val="clear" w:color="auto" w:fill="2C398A"/>
          </w:tcPr>
          <w:p w:rsidR="00A56FE9" w:rsidRDefault="00000000">
            <w:pPr>
              <w:pStyle w:val="TableParagraph"/>
              <w:spacing w:before="66"/>
              <w:ind w:left="228"/>
              <w:rPr>
                <w:b/>
                <w:sz w:val="20"/>
              </w:rPr>
            </w:pPr>
            <w:r>
              <w:rPr>
                <w:b/>
                <w:color w:val="FFFFFF"/>
                <w:sz w:val="20"/>
              </w:rPr>
              <w:t>Value</w:t>
            </w:r>
          </w:p>
        </w:tc>
        <w:tc>
          <w:tcPr>
            <w:tcW w:w="680" w:type="dxa"/>
            <w:tcBorders>
              <w:top w:val="nil"/>
              <w:bottom w:val="nil"/>
            </w:tcBorders>
            <w:shd w:val="clear" w:color="auto" w:fill="2C398A"/>
          </w:tcPr>
          <w:p w:rsidR="00A56FE9" w:rsidRDefault="00000000">
            <w:pPr>
              <w:pStyle w:val="TableParagraph"/>
              <w:spacing w:before="66"/>
              <w:ind w:left="112"/>
              <w:rPr>
                <w:b/>
                <w:sz w:val="20"/>
              </w:rPr>
            </w:pPr>
            <w:r>
              <w:rPr>
                <w:b/>
                <w:color w:val="FFFFFF"/>
                <w:sz w:val="20"/>
              </w:rPr>
              <w:t>Year</w:t>
            </w:r>
          </w:p>
        </w:tc>
        <w:tc>
          <w:tcPr>
            <w:tcW w:w="990" w:type="dxa"/>
            <w:tcBorders>
              <w:top w:val="nil"/>
              <w:bottom w:val="nil"/>
              <w:right w:val="nil"/>
            </w:tcBorders>
            <w:shd w:val="clear" w:color="auto" w:fill="2C398A"/>
          </w:tcPr>
          <w:p w:rsidR="00A56FE9" w:rsidRDefault="00000000">
            <w:pPr>
              <w:pStyle w:val="TableParagraph"/>
              <w:spacing w:before="66"/>
              <w:ind w:left="215"/>
              <w:rPr>
                <w:b/>
                <w:sz w:val="20"/>
              </w:rPr>
            </w:pPr>
            <w:r>
              <w:rPr>
                <w:b/>
                <w:color w:val="FFFFFF"/>
                <w:sz w:val="20"/>
              </w:rPr>
              <w:t>Value</w:t>
            </w:r>
          </w:p>
        </w:tc>
      </w:tr>
      <w:tr w:rsidR="00A56FE9">
        <w:trPr>
          <w:trHeight w:val="208"/>
        </w:trPr>
        <w:tc>
          <w:tcPr>
            <w:tcW w:w="6536" w:type="dxa"/>
            <w:tcBorders>
              <w:top w:val="nil"/>
              <w:left w:val="nil"/>
              <w:bottom w:val="single" w:sz="4" w:space="0" w:color="2C398A"/>
              <w:right w:val="single" w:sz="4" w:space="0" w:color="2C398A"/>
            </w:tcBorders>
          </w:tcPr>
          <w:p w:rsidR="00A56FE9" w:rsidRDefault="00000000">
            <w:pPr>
              <w:pStyle w:val="TableParagraph"/>
              <w:spacing w:line="188" w:lineRule="exact"/>
              <w:ind w:left="71"/>
              <w:rPr>
                <w:sz w:val="18"/>
              </w:rPr>
            </w:pPr>
            <w:r>
              <w:rPr>
                <w:w w:val="105"/>
                <w:sz w:val="18"/>
              </w:rPr>
              <w:t>Standardised</w:t>
            </w:r>
            <w:r>
              <w:rPr>
                <w:spacing w:val="-7"/>
                <w:w w:val="105"/>
                <w:sz w:val="18"/>
              </w:rPr>
              <w:t xml:space="preserve"> </w:t>
            </w:r>
            <w:r>
              <w:rPr>
                <w:w w:val="105"/>
                <w:sz w:val="18"/>
              </w:rPr>
              <w:t>preventable</w:t>
            </w:r>
            <w:r>
              <w:rPr>
                <w:spacing w:val="-8"/>
                <w:w w:val="105"/>
                <w:sz w:val="18"/>
              </w:rPr>
              <w:t xml:space="preserve"> </w:t>
            </w:r>
            <w:r>
              <w:rPr>
                <w:w w:val="105"/>
                <w:sz w:val="18"/>
              </w:rPr>
              <w:t>and</w:t>
            </w:r>
            <w:r>
              <w:rPr>
                <w:spacing w:val="-4"/>
                <w:w w:val="105"/>
                <w:sz w:val="18"/>
              </w:rPr>
              <w:t xml:space="preserve"> </w:t>
            </w:r>
            <w:r>
              <w:rPr>
                <w:w w:val="105"/>
                <w:sz w:val="18"/>
              </w:rPr>
              <w:t>treatable</w:t>
            </w:r>
            <w:r>
              <w:rPr>
                <w:spacing w:val="-6"/>
                <w:w w:val="105"/>
                <w:sz w:val="18"/>
              </w:rPr>
              <w:t xml:space="preserve"> </w:t>
            </w:r>
            <w:r>
              <w:rPr>
                <w:w w:val="105"/>
                <w:sz w:val="18"/>
              </w:rPr>
              <w:t>mortality</w:t>
            </w:r>
          </w:p>
        </w:tc>
        <w:tc>
          <w:tcPr>
            <w:tcW w:w="4112" w:type="dxa"/>
            <w:tcBorders>
              <w:top w:val="single" w:sz="8" w:space="0" w:color="2C398A"/>
              <w:left w:val="single" w:sz="4" w:space="0" w:color="2C398A"/>
              <w:bottom w:val="single" w:sz="4" w:space="0" w:color="2C398A"/>
              <w:right w:val="single" w:sz="4" w:space="0" w:color="2C398A"/>
            </w:tcBorders>
          </w:tcPr>
          <w:p w:rsidR="00A56FE9" w:rsidRDefault="00000000">
            <w:pPr>
              <w:pStyle w:val="TableParagraph"/>
              <w:spacing w:line="188" w:lineRule="exact"/>
              <w:ind w:left="1037"/>
              <w:rPr>
                <w:sz w:val="18"/>
              </w:rPr>
            </w:pPr>
            <w:r>
              <w:rPr>
                <w:w w:val="105"/>
                <w:sz w:val="18"/>
              </w:rPr>
              <w:t>standardized</w:t>
            </w:r>
            <w:r>
              <w:rPr>
                <w:spacing w:val="-5"/>
                <w:w w:val="105"/>
                <w:sz w:val="18"/>
              </w:rPr>
              <w:t xml:space="preserve"> </w:t>
            </w:r>
            <w:r>
              <w:rPr>
                <w:w w:val="105"/>
                <w:sz w:val="18"/>
              </w:rPr>
              <w:t>mortality</w:t>
            </w:r>
            <w:r>
              <w:rPr>
                <w:spacing w:val="-3"/>
                <w:w w:val="105"/>
                <w:sz w:val="18"/>
              </w:rPr>
              <w:t xml:space="preserve"> </w:t>
            </w:r>
            <w:r>
              <w:rPr>
                <w:w w:val="105"/>
                <w:sz w:val="18"/>
              </w:rPr>
              <w:t>rate</w:t>
            </w:r>
          </w:p>
        </w:tc>
        <w:tc>
          <w:tcPr>
            <w:tcW w:w="708" w:type="dxa"/>
            <w:tcBorders>
              <w:top w:val="single" w:sz="8" w:space="0" w:color="2C398A"/>
              <w:left w:val="single" w:sz="4" w:space="0" w:color="2C398A"/>
              <w:bottom w:val="single" w:sz="4" w:space="0" w:color="2C398A"/>
            </w:tcBorders>
          </w:tcPr>
          <w:p w:rsidR="00A56FE9" w:rsidRDefault="00000000">
            <w:pPr>
              <w:pStyle w:val="TableParagraph"/>
              <w:spacing w:line="188" w:lineRule="exact"/>
              <w:ind w:left="132"/>
              <w:rPr>
                <w:sz w:val="18"/>
              </w:rPr>
            </w:pPr>
            <w:r>
              <w:rPr>
                <w:w w:val="105"/>
                <w:sz w:val="18"/>
              </w:rPr>
              <w:t>2013</w:t>
            </w:r>
          </w:p>
        </w:tc>
        <w:tc>
          <w:tcPr>
            <w:tcW w:w="994" w:type="dxa"/>
            <w:tcBorders>
              <w:top w:val="single" w:sz="8" w:space="0" w:color="2C398A"/>
              <w:bottom w:val="single" w:sz="4" w:space="0" w:color="2C398A"/>
            </w:tcBorders>
          </w:tcPr>
          <w:p w:rsidR="00A56FE9" w:rsidRDefault="00000000">
            <w:pPr>
              <w:pStyle w:val="TableParagraph"/>
              <w:spacing w:line="188" w:lineRule="exact"/>
              <w:ind w:right="110"/>
              <w:jc w:val="right"/>
              <w:rPr>
                <w:sz w:val="18"/>
              </w:rPr>
            </w:pPr>
            <w:r>
              <w:rPr>
                <w:w w:val="105"/>
                <w:sz w:val="18"/>
              </w:rPr>
              <w:t>384.47</w:t>
            </w:r>
          </w:p>
        </w:tc>
        <w:tc>
          <w:tcPr>
            <w:tcW w:w="680" w:type="dxa"/>
            <w:tcBorders>
              <w:top w:val="single" w:sz="8" w:space="0" w:color="2C398A"/>
              <w:bottom w:val="single" w:sz="4" w:space="0" w:color="2C398A"/>
            </w:tcBorders>
          </w:tcPr>
          <w:p w:rsidR="00A56FE9" w:rsidRDefault="00000000">
            <w:pPr>
              <w:pStyle w:val="TableParagraph"/>
              <w:spacing w:line="188" w:lineRule="exact"/>
              <w:ind w:left="146"/>
              <w:rPr>
                <w:sz w:val="18"/>
              </w:rPr>
            </w:pPr>
            <w:r>
              <w:rPr>
                <w:w w:val="105"/>
                <w:sz w:val="18"/>
              </w:rPr>
              <w:t>2018</w:t>
            </w:r>
          </w:p>
        </w:tc>
        <w:tc>
          <w:tcPr>
            <w:tcW w:w="990" w:type="dxa"/>
            <w:tcBorders>
              <w:top w:val="single" w:sz="8" w:space="0" w:color="2C398A"/>
              <w:bottom w:val="single" w:sz="4" w:space="0" w:color="2C398A"/>
              <w:right w:val="nil"/>
            </w:tcBorders>
          </w:tcPr>
          <w:p w:rsidR="00A56FE9" w:rsidRDefault="00000000">
            <w:pPr>
              <w:pStyle w:val="TableParagraph"/>
              <w:spacing w:line="188" w:lineRule="exact"/>
              <w:ind w:right="141"/>
              <w:jc w:val="right"/>
              <w:rPr>
                <w:sz w:val="18"/>
              </w:rPr>
            </w:pPr>
            <w:r>
              <w:rPr>
                <w:w w:val="105"/>
                <w:sz w:val="18"/>
              </w:rPr>
              <w:t>371.74</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w w:val="105"/>
                <w:sz w:val="18"/>
              </w:rPr>
              <w:t>Self-reported</w:t>
            </w:r>
            <w:r>
              <w:rPr>
                <w:spacing w:val="-11"/>
                <w:w w:val="105"/>
                <w:sz w:val="18"/>
              </w:rPr>
              <w:t xml:space="preserve"> </w:t>
            </w:r>
            <w:r>
              <w:rPr>
                <w:w w:val="105"/>
                <w:sz w:val="18"/>
              </w:rPr>
              <w:t>unmet</w:t>
            </w:r>
            <w:r>
              <w:rPr>
                <w:spacing w:val="-12"/>
                <w:w w:val="105"/>
                <w:sz w:val="18"/>
              </w:rPr>
              <w:t xml:space="preserve"> </w:t>
            </w:r>
            <w:r>
              <w:rPr>
                <w:w w:val="105"/>
                <w:sz w:val="18"/>
              </w:rPr>
              <w:t>need</w:t>
            </w:r>
            <w:r>
              <w:rPr>
                <w:spacing w:val="-11"/>
                <w:w w:val="105"/>
                <w:sz w:val="18"/>
              </w:rPr>
              <w:t xml:space="preserve"> </w:t>
            </w:r>
            <w:r>
              <w:rPr>
                <w:w w:val="105"/>
                <w:sz w:val="18"/>
              </w:rPr>
              <w:t>for</w:t>
            </w:r>
            <w:r>
              <w:rPr>
                <w:spacing w:val="-9"/>
                <w:w w:val="105"/>
                <w:sz w:val="18"/>
              </w:rPr>
              <w:t xml:space="preserve"> </w:t>
            </w:r>
            <w:r>
              <w:rPr>
                <w:w w:val="105"/>
                <w:sz w:val="18"/>
              </w:rPr>
              <w:t>medical</w:t>
            </w:r>
            <w:r>
              <w:rPr>
                <w:spacing w:val="-10"/>
                <w:w w:val="105"/>
                <w:sz w:val="18"/>
              </w:rPr>
              <w:t xml:space="preserve"> </w:t>
            </w:r>
            <w:r>
              <w:rPr>
                <w:w w:val="105"/>
                <w:sz w:val="18"/>
              </w:rPr>
              <w:t>examination</w:t>
            </w:r>
            <w:r>
              <w:rPr>
                <w:spacing w:val="-8"/>
                <w:w w:val="105"/>
                <w:sz w:val="18"/>
              </w:rPr>
              <w:t xml:space="preserve"> </w:t>
            </w:r>
            <w:r>
              <w:rPr>
                <w:w w:val="105"/>
                <w:sz w:val="18"/>
              </w:rPr>
              <w:t>and</w:t>
            </w:r>
            <w:r>
              <w:rPr>
                <w:spacing w:val="-11"/>
                <w:w w:val="105"/>
                <w:sz w:val="18"/>
              </w:rPr>
              <w:t xml:space="preserve"> </w:t>
            </w:r>
            <w:r>
              <w:rPr>
                <w:w w:val="105"/>
                <w:sz w:val="18"/>
              </w:rPr>
              <w:t>care</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581"/>
              <w:rPr>
                <w:sz w:val="18"/>
              </w:rPr>
            </w:pPr>
            <w:r>
              <w:rPr>
                <w:w w:val="105"/>
                <w:sz w:val="18"/>
              </w:rPr>
              <w:t>%</w:t>
            </w:r>
            <w:r>
              <w:rPr>
                <w:spacing w:val="-3"/>
                <w:w w:val="105"/>
                <w:sz w:val="18"/>
              </w:rPr>
              <w:t xml:space="preserve"> </w:t>
            </w:r>
            <w:r>
              <w:rPr>
                <w:w w:val="105"/>
                <w:sz w:val="18"/>
              </w:rPr>
              <w:t>population</w:t>
            </w:r>
            <w:r>
              <w:rPr>
                <w:spacing w:val="-2"/>
                <w:w w:val="105"/>
                <w:sz w:val="18"/>
              </w:rPr>
              <w:t xml:space="preserve"> </w:t>
            </w:r>
            <w:r>
              <w:rPr>
                <w:w w:val="105"/>
                <w:sz w:val="18"/>
              </w:rPr>
              <w:t>aged</w:t>
            </w:r>
            <w:r>
              <w:rPr>
                <w:spacing w:val="-4"/>
                <w:w w:val="105"/>
                <w:sz w:val="18"/>
              </w:rPr>
              <w:t xml:space="preserve"> </w:t>
            </w:r>
            <w:r>
              <w:rPr>
                <w:w w:val="105"/>
                <w:sz w:val="18"/>
              </w:rPr>
              <w:t>16</w:t>
            </w:r>
            <w:r>
              <w:rPr>
                <w:spacing w:val="-3"/>
                <w:w w:val="105"/>
                <w:sz w:val="18"/>
              </w:rPr>
              <w:t xml:space="preserve"> </w:t>
            </w:r>
            <w:r>
              <w:rPr>
                <w:w w:val="105"/>
                <w:sz w:val="18"/>
              </w:rPr>
              <w:t>and</w:t>
            </w:r>
            <w:r>
              <w:rPr>
                <w:spacing w:val="-2"/>
                <w:w w:val="105"/>
                <w:sz w:val="18"/>
              </w:rPr>
              <w:t xml:space="preserve"> </w:t>
            </w:r>
            <w:r>
              <w:rPr>
                <w:w w:val="105"/>
                <w:sz w:val="18"/>
              </w:rPr>
              <w:t>more</w:t>
            </w:r>
            <w:r>
              <w:rPr>
                <w:spacing w:val="-3"/>
                <w:w w:val="105"/>
                <w:sz w:val="18"/>
              </w:rPr>
              <w:t xml:space="preserve"> </w:t>
            </w:r>
            <w:r>
              <w:rPr>
                <w:w w:val="105"/>
                <w:sz w:val="18"/>
              </w:rPr>
              <w:t>years</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7" w:line="201" w:lineRule="exact"/>
              <w:ind w:right="113"/>
              <w:jc w:val="right"/>
              <w:rPr>
                <w:sz w:val="18"/>
              </w:rPr>
            </w:pPr>
            <w:r>
              <w:rPr>
                <w:w w:val="105"/>
                <w:sz w:val="18"/>
              </w:rPr>
              <w:t>3.3</w:t>
            </w:r>
          </w:p>
        </w:tc>
        <w:tc>
          <w:tcPr>
            <w:tcW w:w="680" w:type="dxa"/>
            <w:tcBorders>
              <w:top w:val="single" w:sz="4" w:space="0" w:color="2C398A"/>
              <w:bottom w:val="single" w:sz="4" w:space="0" w:color="2C398A"/>
            </w:tcBorders>
          </w:tcPr>
          <w:p w:rsidR="00A56FE9" w:rsidRDefault="00000000">
            <w:pPr>
              <w:pStyle w:val="TableParagraph"/>
              <w:spacing w:before="7" w:line="201" w:lineRule="exact"/>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1.5</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w w:val="105"/>
                <w:sz w:val="18"/>
              </w:rPr>
              <w:t>Obesity</w:t>
            </w:r>
            <w:r>
              <w:rPr>
                <w:spacing w:val="-4"/>
                <w:w w:val="105"/>
                <w:sz w:val="18"/>
              </w:rPr>
              <w:t xml:space="preserve"> </w:t>
            </w:r>
            <w:r>
              <w:rPr>
                <w:w w:val="105"/>
                <w:sz w:val="18"/>
              </w:rPr>
              <w:t>rate</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22"/>
              <w:rPr>
                <w:sz w:val="18"/>
              </w:rPr>
            </w:pPr>
            <w:r>
              <w:rPr>
                <w:w w:val="105"/>
                <w:sz w:val="18"/>
              </w:rPr>
              <w:t>%</w:t>
            </w:r>
            <w:r>
              <w:rPr>
                <w:spacing w:val="-1"/>
                <w:w w:val="105"/>
                <w:sz w:val="18"/>
              </w:rPr>
              <w:t xml:space="preserve"> </w:t>
            </w:r>
            <w:r>
              <w:rPr>
                <w:w w:val="105"/>
                <w:sz w:val="18"/>
              </w:rPr>
              <w:t>population</w:t>
            </w:r>
            <w:r>
              <w:rPr>
                <w:spacing w:val="-1"/>
                <w:w w:val="105"/>
                <w:sz w:val="18"/>
              </w:rPr>
              <w:t xml:space="preserve"> </w:t>
            </w:r>
            <w:r>
              <w:rPr>
                <w:w w:val="105"/>
                <w:sz w:val="18"/>
              </w:rPr>
              <w:t>aged</w:t>
            </w:r>
            <w:r>
              <w:rPr>
                <w:spacing w:val="-3"/>
                <w:w w:val="105"/>
                <w:sz w:val="18"/>
              </w:rPr>
              <w:t xml:space="preserve"> </w:t>
            </w:r>
            <w:r>
              <w:rPr>
                <w:w w:val="105"/>
                <w:sz w:val="18"/>
              </w:rPr>
              <w:t>18 and</w:t>
            </w:r>
            <w:r>
              <w:rPr>
                <w:spacing w:val="-3"/>
                <w:w w:val="105"/>
                <w:sz w:val="18"/>
              </w:rPr>
              <w:t xml:space="preserve"> </w:t>
            </w:r>
            <w:r>
              <w:rPr>
                <w:w w:val="105"/>
                <w:sz w:val="18"/>
              </w:rPr>
              <w:t>more</w:t>
            </w:r>
            <w:r>
              <w:rPr>
                <w:spacing w:val="-5"/>
                <w:w w:val="105"/>
                <w:sz w:val="18"/>
              </w:rPr>
              <w:t xml:space="preserve"> </w:t>
            </w:r>
            <w:r>
              <w:rPr>
                <w:w w:val="105"/>
                <w:sz w:val="18"/>
              </w:rPr>
              <w:t>years</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4" w:line="203" w:lineRule="exact"/>
              <w:ind w:left="132"/>
              <w:rPr>
                <w:sz w:val="18"/>
              </w:rPr>
            </w:pPr>
            <w:r>
              <w:rPr>
                <w:w w:val="105"/>
                <w:sz w:val="18"/>
              </w:rPr>
              <w:t>2014</w:t>
            </w:r>
          </w:p>
        </w:tc>
        <w:tc>
          <w:tcPr>
            <w:tcW w:w="994" w:type="dxa"/>
            <w:tcBorders>
              <w:top w:val="single" w:sz="4" w:space="0" w:color="2C398A"/>
              <w:bottom w:val="single" w:sz="4" w:space="0" w:color="2C398A"/>
            </w:tcBorders>
          </w:tcPr>
          <w:p w:rsidR="00A56FE9" w:rsidRDefault="00000000">
            <w:pPr>
              <w:pStyle w:val="TableParagraph"/>
              <w:spacing w:before="4" w:line="203" w:lineRule="exact"/>
              <w:ind w:right="113"/>
              <w:jc w:val="right"/>
              <w:rPr>
                <w:sz w:val="18"/>
              </w:rPr>
            </w:pPr>
            <w:r>
              <w:rPr>
                <w:w w:val="105"/>
                <w:sz w:val="18"/>
              </w:rPr>
              <w:t>18.7</w:t>
            </w:r>
          </w:p>
        </w:tc>
        <w:tc>
          <w:tcPr>
            <w:tcW w:w="680" w:type="dxa"/>
            <w:tcBorders>
              <w:top w:val="single" w:sz="4" w:space="0" w:color="2C398A"/>
              <w:bottom w:val="single" w:sz="4" w:space="0" w:color="2C398A"/>
            </w:tcBorders>
          </w:tcPr>
          <w:p w:rsidR="00A56FE9" w:rsidRDefault="00000000">
            <w:pPr>
              <w:pStyle w:val="TableParagraph"/>
              <w:spacing w:before="4" w:line="203" w:lineRule="exact"/>
              <w:ind w:left="146"/>
              <w:rPr>
                <w:sz w:val="18"/>
              </w:rPr>
            </w:pPr>
            <w:r>
              <w:rPr>
                <w:w w:val="105"/>
                <w:sz w:val="18"/>
              </w:rPr>
              <w:t>2019</w:t>
            </w:r>
          </w:p>
        </w:tc>
        <w:tc>
          <w:tcPr>
            <w:tcW w:w="990" w:type="dxa"/>
            <w:tcBorders>
              <w:top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23.0</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w w:val="105"/>
                <w:sz w:val="18"/>
              </w:rPr>
              <w:t>People</w:t>
            </w:r>
            <w:r>
              <w:rPr>
                <w:spacing w:val="-11"/>
                <w:w w:val="105"/>
                <w:sz w:val="18"/>
              </w:rPr>
              <w:t xml:space="preserve"> </w:t>
            </w:r>
            <w:r>
              <w:rPr>
                <w:w w:val="105"/>
                <w:sz w:val="18"/>
              </w:rPr>
              <w:t>killed</w:t>
            </w:r>
            <w:r>
              <w:rPr>
                <w:spacing w:val="-6"/>
                <w:w w:val="105"/>
                <w:sz w:val="18"/>
              </w:rPr>
              <w:t xml:space="preserve"> </w:t>
            </w:r>
            <w:r>
              <w:rPr>
                <w:w w:val="105"/>
                <w:sz w:val="18"/>
              </w:rPr>
              <w:t>in</w:t>
            </w:r>
            <w:r>
              <w:rPr>
                <w:spacing w:val="-9"/>
                <w:w w:val="105"/>
                <w:sz w:val="18"/>
              </w:rPr>
              <w:t xml:space="preserve"> </w:t>
            </w:r>
            <w:r>
              <w:rPr>
                <w:w w:val="105"/>
                <w:sz w:val="18"/>
              </w:rPr>
              <w:t>accidents</w:t>
            </w:r>
            <w:r>
              <w:rPr>
                <w:spacing w:val="-8"/>
                <w:w w:val="105"/>
                <w:sz w:val="18"/>
              </w:rPr>
              <w:t xml:space="preserve"> </w:t>
            </w:r>
            <w:r>
              <w:rPr>
                <w:w w:val="105"/>
                <w:sz w:val="18"/>
              </w:rPr>
              <w:t>at</w:t>
            </w:r>
            <w:r>
              <w:rPr>
                <w:spacing w:val="-8"/>
                <w:w w:val="105"/>
                <w:sz w:val="18"/>
              </w:rPr>
              <w:t xml:space="preserve"> </w:t>
            </w:r>
            <w:r>
              <w:rPr>
                <w:w w:val="105"/>
                <w:sz w:val="18"/>
              </w:rPr>
              <w:t>work</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890"/>
              <w:rPr>
                <w:sz w:val="18"/>
              </w:rPr>
            </w:pPr>
            <w:r>
              <w:rPr>
                <w:w w:val="105"/>
                <w:sz w:val="18"/>
              </w:rPr>
              <w:t>number</w:t>
            </w:r>
            <w:r>
              <w:rPr>
                <w:spacing w:val="-4"/>
                <w:w w:val="105"/>
                <w:sz w:val="18"/>
              </w:rPr>
              <w:t xml:space="preserve"> </w:t>
            </w:r>
            <w:r>
              <w:rPr>
                <w:w w:val="105"/>
                <w:sz w:val="18"/>
              </w:rPr>
              <w:t>per</w:t>
            </w:r>
            <w:r>
              <w:rPr>
                <w:spacing w:val="-2"/>
                <w:w w:val="105"/>
                <w:sz w:val="18"/>
              </w:rPr>
              <w:t xml:space="preserve"> </w:t>
            </w:r>
            <w:r>
              <w:rPr>
                <w:w w:val="105"/>
                <w:sz w:val="18"/>
              </w:rPr>
              <w:t>100</w:t>
            </w:r>
            <w:r>
              <w:rPr>
                <w:spacing w:val="-5"/>
                <w:w w:val="105"/>
                <w:sz w:val="18"/>
              </w:rPr>
              <w:t xml:space="preserve"> </w:t>
            </w:r>
            <w:r>
              <w:rPr>
                <w:w w:val="105"/>
                <w:sz w:val="18"/>
              </w:rPr>
              <w:t>000</w:t>
            </w:r>
            <w:r>
              <w:rPr>
                <w:spacing w:val="-2"/>
                <w:w w:val="105"/>
                <w:sz w:val="18"/>
              </w:rPr>
              <w:t xml:space="preserve"> </w:t>
            </w:r>
            <w:r>
              <w:rPr>
                <w:w w:val="105"/>
                <w:sz w:val="18"/>
              </w:rPr>
              <w:t>employed</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4" w:line="203" w:lineRule="exact"/>
              <w:ind w:right="110"/>
              <w:jc w:val="right"/>
              <w:rPr>
                <w:sz w:val="18"/>
              </w:rPr>
            </w:pPr>
            <w:r>
              <w:rPr>
                <w:w w:val="105"/>
                <w:sz w:val="18"/>
              </w:rPr>
              <w:t>2.09</w:t>
            </w:r>
          </w:p>
        </w:tc>
        <w:tc>
          <w:tcPr>
            <w:tcW w:w="680" w:type="dxa"/>
            <w:tcBorders>
              <w:top w:val="single" w:sz="4" w:space="0" w:color="2C398A"/>
              <w:bottom w:val="single" w:sz="4" w:space="0" w:color="2C398A"/>
            </w:tcBorders>
          </w:tcPr>
          <w:p w:rsidR="00A56FE9" w:rsidRDefault="00000000">
            <w:pPr>
              <w:pStyle w:val="TableParagraph"/>
              <w:spacing w:before="4" w:line="203" w:lineRule="exact"/>
              <w:ind w:left="146"/>
              <w:rPr>
                <w:sz w:val="18"/>
              </w:rPr>
            </w:pPr>
            <w:r>
              <w:rPr>
                <w:w w:val="105"/>
                <w:sz w:val="18"/>
              </w:rPr>
              <w:t>2019</w:t>
            </w:r>
          </w:p>
        </w:tc>
        <w:tc>
          <w:tcPr>
            <w:tcW w:w="990" w:type="dxa"/>
            <w:tcBorders>
              <w:top w:val="single" w:sz="4" w:space="0" w:color="2C398A"/>
              <w:bottom w:val="single" w:sz="4" w:space="0" w:color="2C398A"/>
              <w:right w:val="nil"/>
            </w:tcBorders>
          </w:tcPr>
          <w:p w:rsidR="00A56FE9" w:rsidRDefault="00000000">
            <w:pPr>
              <w:pStyle w:val="TableParagraph"/>
              <w:spacing w:before="4" w:line="203" w:lineRule="exact"/>
              <w:ind w:right="141"/>
              <w:jc w:val="right"/>
              <w:rPr>
                <w:sz w:val="18"/>
              </w:rPr>
            </w:pPr>
            <w:r>
              <w:rPr>
                <w:w w:val="105"/>
                <w:sz w:val="18"/>
              </w:rPr>
              <w:t>2.96</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w w:val="105"/>
                <w:sz w:val="18"/>
              </w:rPr>
              <w:t>Population</w:t>
            </w:r>
            <w:r>
              <w:rPr>
                <w:spacing w:val="-4"/>
                <w:w w:val="105"/>
                <w:sz w:val="18"/>
              </w:rPr>
              <w:t xml:space="preserve"> </w:t>
            </w:r>
            <w:r>
              <w:rPr>
                <w:w w:val="105"/>
                <w:sz w:val="18"/>
              </w:rPr>
              <w:t>living</w:t>
            </w:r>
            <w:r>
              <w:rPr>
                <w:spacing w:val="-5"/>
                <w:w w:val="105"/>
                <w:sz w:val="18"/>
              </w:rPr>
              <w:t xml:space="preserve"> </w:t>
            </w:r>
            <w:r>
              <w:rPr>
                <w:w w:val="105"/>
                <w:sz w:val="18"/>
              </w:rPr>
              <w:t>in</w:t>
            </w:r>
            <w:r>
              <w:rPr>
                <w:spacing w:val="-5"/>
                <w:w w:val="105"/>
                <w:sz w:val="18"/>
              </w:rPr>
              <w:t xml:space="preserve"> </w:t>
            </w:r>
            <w:r>
              <w:rPr>
                <w:w w:val="105"/>
                <w:sz w:val="18"/>
              </w:rPr>
              <w:t>households</w:t>
            </w:r>
            <w:r>
              <w:rPr>
                <w:spacing w:val="-5"/>
                <w:w w:val="105"/>
                <w:sz w:val="18"/>
              </w:rPr>
              <w:t xml:space="preserve"> </w:t>
            </w:r>
            <w:r>
              <w:rPr>
                <w:w w:val="105"/>
                <w:sz w:val="18"/>
              </w:rPr>
              <w:t>considering</w:t>
            </w:r>
            <w:r>
              <w:rPr>
                <w:spacing w:val="-4"/>
                <w:w w:val="105"/>
                <w:sz w:val="18"/>
              </w:rPr>
              <w:t xml:space="preserve"> </w:t>
            </w:r>
            <w:r>
              <w:rPr>
                <w:w w:val="105"/>
                <w:sz w:val="18"/>
              </w:rPr>
              <w:t>that</w:t>
            </w:r>
            <w:r>
              <w:rPr>
                <w:spacing w:val="-5"/>
                <w:w w:val="105"/>
                <w:sz w:val="18"/>
              </w:rPr>
              <w:t xml:space="preserve"> </w:t>
            </w:r>
            <w:r>
              <w:rPr>
                <w:w w:val="105"/>
                <w:sz w:val="18"/>
              </w:rPr>
              <w:t>they</w:t>
            </w:r>
            <w:r>
              <w:rPr>
                <w:spacing w:val="-3"/>
                <w:w w:val="105"/>
                <w:sz w:val="18"/>
              </w:rPr>
              <w:t xml:space="preserve"> </w:t>
            </w:r>
            <w:r>
              <w:rPr>
                <w:w w:val="105"/>
                <w:sz w:val="18"/>
              </w:rPr>
              <w:t>suffer</w:t>
            </w:r>
            <w:r>
              <w:rPr>
                <w:spacing w:val="-5"/>
                <w:w w:val="105"/>
                <w:sz w:val="18"/>
              </w:rPr>
              <w:t xml:space="preserve"> </w:t>
            </w:r>
            <w:r>
              <w:rPr>
                <w:w w:val="105"/>
                <w:sz w:val="18"/>
              </w:rPr>
              <w:t>from</w:t>
            </w:r>
            <w:r>
              <w:rPr>
                <w:spacing w:val="-6"/>
                <w:w w:val="105"/>
                <w:sz w:val="18"/>
              </w:rPr>
              <w:t xml:space="preserve"> </w:t>
            </w:r>
            <w:r>
              <w:rPr>
                <w:w w:val="105"/>
                <w:sz w:val="18"/>
              </w:rPr>
              <w:t>noise</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4" w:line="201" w:lineRule="exact"/>
              <w:ind w:right="113"/>
              <w:jc w:val="right"/>
              <w:rPr>
                <w:sz w:val="18"/>
              </w:rPr>
            </w:pPr>
            <w:r>
              <w:rPr>
                <w:w w:val="105"/>
                <w:sz w:val="18"/>
              </w:rPr>
              <w:t>10.0</w:t>
            </w:r>
          </w:p>
        </w:tc>
        <w:tc>
          <w:tcPr>
            <w:tcW w:w="680" w:type="dxa"/>
            <w:tcBorders>
              <w:top w:val="single" w:sz="4" w:space="0" w:color="2C398A"/>
              <w:bottom w:val="single" w:sz="4" w:space="0" w:color="2C398A"/>
            </w:tcBorders>
          </w:tcPr>
          <w:p w:rsidR="00A56FE9" w:rsidRDefault="00000000">
            <w:pPr>
              <w:pStyle w:val="TableParagraph"/>
              <w:spacing w:before="4" w:line="201" w:lineRule="exact"/>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4" w:line="201" w:lineRule="exact"/>
              <w:ind w:right="144"/>
              <w:jc w:val="right"/>
              <w:rPr>
                <w:sz w:val="18"/>
              </w:rPr>
            </w:pPr>
            <w:r>
              <w:rPr>
                <w:w w:val="105"/>
                <w:sz w:val="18"/>
              </w:rPr>
              <w:t>8.1</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1"/>
                <w:w w:val="105"/>
                <w:sz w:val="18"/>
              </w:rPr>
              <w:t>Road</w:t>
            </w:r>
            <w:r>
              <w:rPr>
                <w:spacing w:val="-9"/>
                <w:w w:val="105"/>
                <w:sz w:val="18"/>
              </w:rPr>
              <w:t xml:space="preserve"> </w:t>
            </w:r>
            <w:r>
              <w:rPr>
                <w:spacing w:val="-1"/>
                <w:w w:val="105"/>
                <w:sz w:val="18"/>
              </w:rPr>
              <w:t>traffic</w:t>
            </w:r>
            <w:r>
              <w:rPr>
                <w:spacing w:val="-10"/>
                <w:w w:val="105"/>
                <w:sz w:val="18"/>
              </w:rPr>
              <w:t xml:space="preserve"> </w:t>
            </w:r>
            <w:r>
              <w:rPr>
                <w:spacing w:val="-1"/>
                <w:w w:val="105"/>
                <w:sz w:val="18"/>
              </w:rPr>
              <w:t>deaths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7"/>
              <w:jc w:val="center"/>
              <w:rPr>
                <w:sz w:val="18"/>
              </w:rPr>
            </w:pPr>
            <w:r>
              <w:rPr>
                <w:w w:val="105"/>
                <w:sz w:val="18"/>
              </w:rPr>
              <w:t>number</w:t>
            </w:r>
            <w:r>
              <w:rPr>
                <w:spacing w:val="-8"/>
                <w:w w:val="105"/>
                <w:sz w:val="18"/>
              </w:rPr>
              <w:t xml:space="preserve"> </w:t>
            </w:r>
            <w:r>
              <w:rPr>
                <w:w w:val="105"/>
                <w:sz w:val="18"/>
              </w:rPr>
              <w:t>of</w:t>
            </w:r>
            <w:r>
              <w:rPr>
                <w:spacing w:val="-9"/>
                <w:w w:val="105"/>
                <w:sz w:val="18"/>
              </w:rPr>
              <w:t xml:space="preserve"> </w:t>
            </w:r>
            <w:r>
              <w:rPr>
                <w:w w:val="105"/>
                <w:sz w:val="18"/>
              </w:rPr>
              <w:t>deaths</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7" w:line="201" w:lineRule="exact"/>
              <w:ind w:right="113"/>
              <w:jc w:val="right"/>
              <w:rPr>
                <w:sz w:val="18"/>
              </w:rPr>
            </w:pPr>
            <w:r>
              <w:rPr>
                <w:w w:val="105"/>
                <w:sz w:val="18"/>
              </w:rPr>
              <w:t>368</w:t>
            </w:r>
          </w:p>
        </w:tc>
        <w:tc>
          <w:tcPr>
            <w:tcW w:w="680" w:type="dxa"/>
            <w:tcBorders>
              <w:top w:val="single" w:sz="4" w:space="0" w:color="2C398A"/>
              <w:bottom w:val="single" w:sz="4" w:space="0" w:color="2C398A"/>
            </w:tcBorders>
          </w:tcPr>
          <w:p w:rsidR="00A56FE9" w:rsidRDefault="00000000">
            <w:pPr>
              <w:pStyle w:val="TableParagraph"/>
              <w:spacing w:before="7" w:line="201" w:lineRule="exact"/>
              <w:ind w:left="146"/>
              <w:rPr>
                <w:sz w:val="18"/>
              </w:rPr>
            </w:pPr>
            <w:r>
              <w:rPr>
                <w:w w:val="105"/>
                <w:sz w:val="18"/>
              </w:rPr>
              <w:t>2019</w:t>
            </w:r>
          </w:p>
        </w:tc>
        <w:tc>
          <w:tcPr>
            <w:tcW w:w="990" w:type="dxa"/>
            <w:tcBorders>
              <w:top w:val="single" w:sz="4" w:space="0" w:color="2C398A"/>
              <w:bottom w:val="single" w:sz="4" w:space="0" w:color="2C398A"/>
              <w:right w:val="nil"/>
            </w:tcBorders>
          </w:tcPr>
          <w:p w:rsidR="00A56FE9" w:rsidRDefault="00000000">
            <w:pPr>
              <w:pStyle w:val="TableParagraph"/>
              <w:spacing w:before="7" w:line="201" w:lineRule="exact"/>
              <w:ind w:right="143"/>
              <w:jc w:val="right"/>
              <w:rPr>
                <w:sz w:val="18"/>
              </w:rPr>
            </w:pPr>
            <w:r>
              <w:rPr>
                <w:w w:val="105"/>
                <w:sz w:val="18"/>
              </w:rPr>
              <w:t>297</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w w:val="105"/>
                <w:sz w:val="18"/>
              </w:rPr>
              <w:t>Exposure</w:t>
            </w:r>
            <w:r>
              <w:rPr>
                <w:spacing w:val="-11"/>
                <w:w w:val="105"/>
                <w:sz w:val="18"/>
              </w:rPr>
              <w:t xml:space="preserve"> </w:t>
            </w:r>
            <w:r>
              <w:rPr>
                <w:w w:val="105"/>
                <w:sz w:val="18"/>
              </w:rPr>
              <w:t>to</w:t>
            </w:r>
            <w:r>
              <w:rPr>
                <w:spacing w:val="-8"/>
                <w:w w:val="105"/>
                <w:sz w:val="18"/>
              </w:rPr>
              <w:t xml:space="preserve"> </w:t>
            </w:r>
            <w:r>
              <w:rPr>
                <w:w w:val="105"/>
                <w:sz w:val="18"/>
              </w:rPr>
              <w:t>air</w:t>
            </w:r>
            <w:r>
              <w:rPr>
                <w:spacing w:val="-11"/>
                <w:w w:val="105"/>
                <w:sz w:val="18"/>
              </w:rPr>
              <w:t xml:space="preserve"> </w:t>
            </w:r>
            <w:r>
              <w:rPr>
                <w:w w:val="105"/>
                <w:sz w:val="18"/>
              </w:rPr>
              <w:t>pollution</w:t>
            </w:r>
            <w:r>
              <w:rPr>
                <w:spacing w:val="-11"/>
                <w:w w:val="105"/>
                <w:sz w:val="18"/>
              </w:rPr>
              <w:t xml:space="preserve"> </w:t>
            </w:r>
            <w:r>
              <w:rPr>
                <w:w w:val="105"/>
                <w:sz w:val="18"/>
              </w:rPr>
              <w:t>by</w:t>
            </w:r>
            <w:r>
              <w:rPr>
                <w:spacing w:val="-11"/>
                <w:w w:val="105"/>
                <w:sz w:val="18"/>
              </w:rPr>
              <w:t xml:space="preserve"> </w:t>
            </w:r>
            <w:r>
              <w:rPr>
                <w:w w:val="105"/>
                <w:sz w:val="18"/>
              </w:rPr>
              <w:t>particulate</w:t>
            </w:r>
            <w:r>
              <w:rPr>
                <w:spacing w:val="-10"/>
                <w:w w:val="105"/>
                <w:sz w:val="18"/>
              </w:rPr>
              <w:t xml:space="preserve"> </w:t>
            </w:r>
            <w:r>
              <w:rPr>
                <w:w w:val="105"/>
                <w:sz w:val="18"/>
              </w:rPr>
              <w:t>matter</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61"/>
              <w:rPr>
                <w:sz w:val="18"/>
              </w:rPr>
            </w:pPr>
            <w:r>
              <w:rPr>
                <w:w w:val="105"/>
                <w:sz w:val="18"/>
              </w:rPr>
              <w:t>particles</w:t>
            </w:r>
            <w:r>
              <w:rPr>
                <w:spacing w:val="-2"/>
                <w:w w:val="105"/>
                <w:sz w:val="18"/>
              </w:rPr>
              <w:t xml:space="preserve"> </w:t>
            </w:r>
            <w:r>
              <w:rPr>
                <w:w w:val="105"/>
                <w:sz w:val="18"/>
              </w:rPr>
              <w:t>&lt;</w:t>
            </w:r>
            <w:r>
              <w:rPr>
                <w:spacing w:val="-2"/>
                <w:w w:val="105"/>
                <w:sz w:val="18"/>
              </w:rPr>
              <w:t xml:space="preserve"> </w:t>
            </w:r>
            <w:r>
              <w:rPr>
                <w:w w:val="105"/>
                <w:sz w:val="18"/>
              </w:rPr>
              <w:t>2.5</w:t>
            </w:r>
            <w:r>
              <w:rPr>
                <w:spacing w:val="-2"/>
                <w:w w:val="105"/>
                <w:sz w:val="18"/>
              </w:rPr>
              <w:t xml:space="preserve"> </w:t>
            </w:r>
            <w:r>
              <w:rPr>
                <w:w w:val="105"/>
                <w:sz w:val="18"/>
              </w:rPr>
              <w:t>µm</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4" w:line="203" w:lineRule="exact"/>
              <w:ind w:right="113"/>
              <w:jc w:val="right"/>
              <w:rPr>
                <w:sz w:val="18"/>
              </w:rPr>
            </w:pPr>
            <w:r>
              <w:rPr>
                <w:w w:val="105"/>
                <w:sz w:val="18"/>
              </w:rPr>
              <w:t>21.9</w:t>
            </w:r>
          </w:p>
        </w:tc>
        <w:tc>
          <w:tcPr>
            <w:tcW w:w="680" w:type="dxa"/>
            <w:tcBorders>
              <w:top w:val="single" w:sz="4" w:space="0" w:color="2C398A"/>
              <w:bottom w:val="single" w:sz="4" w:space="0" w:color="2C398A"/>
            </w:tcBorders>
          </w:tcPr>
          <w:p w:rsidR="00A56FE9" w:rsidRDefault="00000000">
            <w:pPr>
              <w:pStyle w:val="TableParagraph"/>
              <w:spacing w:before="4" w:line="203" w:lineRule="exact"/>
              <w:ind w:left="146"/>
              <w:rPr>
                <w:sz w:val="18"/>
              </w:rPr>
            </w:pPr>
            <w:r>
              <w:rPr>
                <w:w w:val="105"/>
                <w:sz w:val="18"/>
              </w:rPr>
              <w:t>2019</w:t>
            </w:r>
          </w:p>
        </w:tc>
        <w:tc>
          <w:tcPr>
            <w:tcW w:w="990" w:type="dxa"/>
            <w:tcBorders>
              <w:top w:val="single" w:sz="4" w:space="0" w:color="2C398A"/>
              <w:bottom w:val="single" w:sz="4" w:space="0" w:color="2C398A"/>
              <w:right w:val="nil"/>
            </w:tcBorders>
          </w:tcPr>
          <w:p w:rsidR="00A56FE9" w:rsidRDefault="00000000">
            <w:pPr>
              <w:pStyle w:val="TableParagraph"/>
              <w:spacing w:before="4" w:line="203" w:lineRule="exact"/>
              <w:ind w:right="143"/>
              <w:jc w:val="right"/>
              <w:rPr>
                <w:sz w:val="18"/>
              </w:rPr>
            </w:pPr>
            <w:r>
              <w:rPr>
                <w:w w:val="105"/>
                <w:sz w:val="18"/>
              </w:rPr>
              <w:t>16</w:t>
            </w:r>
          </w:p>
        </w:tc>
      </w:tr>
      <w:tr w:rsidR="00A56FE9">
        <w:trPr>
          <w:trHeight w:val="340"/>
        </w:trPr>
        <w:tc>
          <w:tcPr>
            <w:tcW w:w="14020" w:type="dxa"/>
            <w:gridSpan w:val="6"/>
            <w:tcBorders>
              <w:top w:val="single" w:sz="4" w:space="0" w:color="2C398A"/>
              <w:left w:val="nil"/>
              <w:bottom w:val="single" w:sz="4" w:space="0" w:color="2C398A"/>
              <w:right w:val="nil"/>
            </w:tcBorders>
          </w:tcPr>
          <w:p w:rsidR="00A56FE9" w:rsidRDefault="00000000">
            <w:pPr>
              <w:pStyle w:val="TableParagraph"/>
              <w:spacing w:before="67"/>
              <w:ind w:left="71"/>
              <w:rPr>
                <w:b/>
                <w:sz w:val="18"/>
              </w:rPr>
            </w:pPr>
            <w:r>
              <w:rPr>
                <w:b/>
                <w:color w:val="003399"/>
                <w:w w:val="105"/>
                <w:sz w:val="18"/>
              </w:rPr>
              <w:t>Goal</w:t>
            </w:r>
            <w:r>
              <w:rPr>
                <w:b/>
                <w:color w:val="003399"/>
                <w:spacing w:val="-6"/>
                <w:w w:val="105"/>
                <w:sz w:val="18"/>
              </w:rPr>
              <w:t xml:space="preserve"> </w:t>
            </w:r>
            <w:r>
              <w:rPr>
                <w:b/>
                <w:color w:val="003399"/>
                <w:w w:val="105"/>
                <w:sz w:val="18"/>
              </w:rPr>
              <w:t>4</w:t>
            </w:r>
            <w:r>
              <w:rPr>
                <w:b/>
                <w:color w:val="003399"/>
                <w:spacing w:val="-3"/>
                <w:w w:val="105"/>
                <w:sz w:val="18"/>
              </w:rPr>
              <w:t xml:space="preserve"> </w:t>
            </w:r>
            <w:r>
              <w:rPr>
                <w:b/>
                <w:color w:val="003399"/>
                <w:w w:val="105"/>
                <w:sz w:val="18"/>
              </w:rPr>
              <w:t>-</w:t>
            </w:r>
            <w:r>
              <w:rPr>
                <w:b/>
                <w:color w:val="003399"/>
                <w:spacing w:val="-3"/>
                <w:w w:val="105"/>
                <w:sz w:val="18"/>
              </w:rPr>
              <w:t xml:space="preserve"> </w:t>
            </w:r>
            <w:r>
              <w:rPr>
                <w:b/>
                <w:color w:val="003399"/>
                <w:w w:val="105"/>
                <w:sz w:val="18"/>
              </w:rPr>
              <w:t>Quality</w:t>
            </w:r>
            <w:r>
              <w:rPr>
                <w:b/>
                <w:color w:val="003399"/>
                <w:spacing w:val="-4"/>
                <w:w w:val="105"/>
                <w:sz w:val="18"/>
              </w:rPr>
              <w:t xml:space="preserve"> </w:t>
            </w:r>
            <w:r>
              <w:rPr>
                <w:b/>
                <w:color w:val="003399"/>
                <w:w w:val="105"/>
                <w:sz w:val="18"/>
              </w:rPr>
              <w:t>education</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w w:val="105"/>
                <w:sz w:val="18"/>
              </w:rPr>
              <w:t>Early</w:t>
            </w:r>
            <w:r>
              <w:rPr>
                <w:spacing w:val="-9"/>
                <w:w w:val="105"/>
                <w:sz w:val="18"/>
              </w:rPr>
              <w:t xml:space="preserve"> </w:t>
            </w:r>
            <w:r>
              <w:rPr>
                <w:w w:val="105"/>
                <w:sz w:val="18"/>
              </w:rPr>
              <w:t>leavers</w:t>
            </w:r>
            <w:r>
              <w:rPr>
                <w:spacing w:val="-11"/>
                <w:w w:val="105"/>
                <w:sz w:val="18"/>
              </w:rPr>
              <w:t xml:space="preserve"> </w:t>
            </w:r>
            <w:r>
              <w:rPr>
                <w:w w:val="105"/>
                <w:sz w:val="18"/>
              </w:rPr>
              <w:t>from</w:t>
            </w:r>
            <w:r>
              <w:rPr>
                <w:spacing w:val="-9"/>
                <w:w w:val="105"/>
                <w:sz w:val="18"/>
              </w:rPr>
              <w:t xml:space="preserve"> </w:t>
            </w:r>
            <w:r>
              <w:rPr>
                <w:w w:val="105"/>
                <w:sz w:val="18"/>
              </w:rPr>
              <w:t>education</w:t>
            </w:r>
            <w:r>
              <w:rPr>
                <w:spacing w:val="-9"/>
                <w:w w:val="105"/>
                <w:sz w:val="18"/>
              </w:rPr>
              <w:t xml:space="preserve"> </w:t>
            </w:r>
            <w:r>
              <w:rPr>
                <w:w w:val="105"/>
                <w:sz w:val="18"/>
              </w:rPr>
              <w:t>and</w:t>
            </w:r>
            <w:r>
              <w:rPr>
                <w:spacing w:val="-10"/>
                <w:w w:val="105"/>
                <w:sz w:val="18"/>
              </w:rPr>
              <w:t xml:space="preserve"> </w:t>
            </w:r>
            <w:r>
              <w:rPr>
                <w:w w:val="105"/>
                <w:sz w:val="18"/>
              </w:rPr>
              <w:t>training</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792"/>
              <w:rPr>
                <w:sz w:val="18"/>
              </w:rPr>
            </w:pPr>
            <w:r>
              <w:rPr>
                <w:w w:val="105"/>
                <w:sz w:val="18"/>
              </w:rPr>
              <w:t>%</w:t>
            </w:r>
            <w:r>
              <w:rPr>
                <w:spacing w:val="-3"/>
                <w:w w:val="105"/>
                <w:sz w:val="18"/>
              </w:rPr>
              <w:t xml:space="preserve"> </w:t>
            </w:r>
            <w:r>
              <w:rPr>
                <w:w w:val="105"/>
                <w:sz w:val="18"/>
              </w:rPr>
              <w:t>population</w:t>
            </w:r>
            <w:r>
              <w:rPr>
                <w:spacing w:val="-2"/>
                <w:w w:val="105"/>
                <w:sz w:val="18"/>
              </w:rPr>
              <w:t xml:space="preserve"> </w:t>
            </w:r>
            <w:r>
              <w:rPr>
                <w:w w:val="105"/>
                <w:sz w:val="18"/>
              </w:rPr>
              <w:t>aged</w:t>
            </w:r>
            <w:r>
              <w:rPr>
                <w:spacing w:val="-1"/>
                <w:w w:val="105"/>
                <w:sz w:val="18"/>
              </w:rPr>
              <w:t xml:space="preserve"> </w:t>
            </w:r>
            <w:r>
              <w:rPr>
                <w:w w:val="105"/>
                <w:sz w:val="18"/>
              </w:rPr>
              <w:t>18</w:t>
            </w:r>
            <w:r>
              <w:rPr>
                <w:spacing w:val="-6"/>
                <w:w w:val="105"/>
                <w:sz w:val="18"/>
              </w:rPr>
              <w:t xml:space="preserve"> </w:t>
            </w:r>
            <w:r>
              <w:rPr>
                <w:w w:val="105"/>
                <w:sz w:val="18"/>
              </w:rPr>
              <w:t>to</w:t>
            </w:r>
            <w:r>
              <w:rPr>
                <w:spacing w:val="-8"/>
                <w:w w:val="105"/>
                <w:sz w:val="18"/>
              </w:rPr>
              <w:t xml:space="preserve"> </w:t>
            </w:r>
            <w:r>
              <w:rPr>
                <w:w w:val="105"/>
                <w:sz w:val="18"/>
              </w:rPr>
              <w:t>24</w:t>
            </w:r>
            <w:r>
              <w:rPr>
                <w:spacing w:val="-3"/>
                <w:w w:val="105"/>
                <w:sz w:val="18"/>
              </w:rPr>
              <w:t xml:space="preserve"> </w:t>
            </w:r>
            <w:r>
              <w:rPr>
                <w:w w:val="105"/>
                <w:sz w:val="18"/>
              </w:rPr>
              <w:t>years</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3"/>
              <w:jc w:val="right"/>
              <w:rPr>
                <w:sz w:val="18"/>
              </w:rPr>
            </w:pPr>
            <w:r>
              <w:rPr>
                <w:w w:val="105"/>
                <w:sz w:val="18"/>
              </w:rPr>
              <w:t>4.5</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4"/>
              <w:jc w:val="right"/>
              <w:rPr>
                <w:sz w:val="18"/>
              </w:rPr>
            </w:pPr>
            <w:r>
              <w:rPr>
                <w:w w:val="105"/>
                <w:sz w:val="18"/>
              </w:rPr>
              <w:t>2.2</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1"/>
                <w:w w:val="105"/>
                <w:sz w:val="18"/>
              </w:rPr>
              <w:t>Early</w:t>
            </w:r>
            <w:r>
              <w:rPr>
                <w:spacing w:val="-9"/>
                <w:w w:val="105"/>
                <w:sz w:val="18"/>
              </w:rPr>
              <w:t xml:space="preserve"> </w:t>
            </w:r>
            <w:r>
              <w:rPr>
                <w:w w:val="105"/>
                <w:sz w:val="18"/>
              </w:rPr>
              <w:t>leavers</w:t>
            </w:r>
            <w:r>
              <w:rPr>
                <w:spacing w:val="-11"/>
                <w:w w:val="105"/>
                <w:sz w:val="18"/>
              </w:rPr>
              <w:t xml:space="preserve"> </w:t>
            </w:r>
            <w:r>
              <w:rPr>
                <w:w w:val="105"/>
                <w:sz w:val="18"/>
              </w:rPr>
              <w:t>from</w:t>
            </w:r>
            <w:r>
              <w:rPr>
                <w:spacing w:val="-9"/>
                <w:w w:val="105"/>
                <w:sz w:val="18"/>
              </w:rPr>
              <w:t xml:space="preserve"> </w:t>
            </w:r>
            <w:r>
              <w:rPr>
                <w:w w:val="105"/>
                <w:sz w:val="18"/>
              </w:rPr>
              <w:t>education</w:t>
            </w:r>
            <w:r>
              <w:rPr>
                <w:spacing w:val="-8"/>
                <w:w w:val="105"/>
                <w:sz w:val="18"/>
              </w:rPr>
              <w:t xml:space="preserve"> </w:t>
            </w:r>
            <w:r>
              <w:rPr>
                <w:w w:val="105"/>
                <w:sz w:val="18"/>
              </w:rPr>
              <w:t>and</w:t>
            </w:r>
            <w:r>
              <w:rPr>
                <w:spacing w:val="-11"/>
                <w:w w:val="105"/>
                <w:sz w:val="18"/>
              </w:rPr>
              <w:t xml:space="preserve"> </w:t>
            </w:r>
            <w:r>
              <w:rPr>
                <w:w w:val="105"/>
                <w:sz w:val="18"/>
              </w:rPr>
              <w:t>training,</w:t>
            </w:r>
            <w:r>
              <w:rPr>
                <w:spacing w:val="-12"/>
                <w:w w:val="105"/>
                <w:sz w:val="18"/>
              </w:rPr>
              <w:t xml:space="preserve"> </w:t>
            </w:r>
            <w:r>
              <w:rPr>
                <w:w w:val="105"/>
                <w:sz w:val="18"/>
              </w:rPr>
              <w:t>by</w:t>
            </w:r>
            <w:r>
              <w:rPr>
                <w:spacing w:val="-8"/>
                <w:w w:val="105"/>
                <w:sz w:val="18"/>
              </w:rPr>
              <w:t xml:space="preserve"> </w:t>
            </w:r>
            <w:r>
              <w:rPr>
                <w:w w:val="105"/>
                <w:sz w:val="18"/>
              </w:rPr>
              <w:t>citizenship</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792"/>
              <w:rPr>
                <w:sz w:val="18"/>
              </w:rPr>
            </w:pPr>
            <w:r>
              <w:rPr>
                <w:w w:val="105"/>
                <w:sz w:val="18"/>
              </w:rPr>
              <w:t>%</w:t>
            </w:r>
            <w:r>
              <w:rPr>
                <w:spacing w:val="-3"/>
                <w:w w:val="105"/>
                <w:sz w:val="18"/>
              </w:rPr>
              <w:t xml:space="preserve"> </w:t>
            </w:r>
            <w:r>
              <w:rPr>
                <w:w w:val="105"/>
                <w:sz w:val="18"/>
              </w:rPr>
              <w:t>population</w:t>
            </w:r>
            <w:r>
              <w:rPr>
                <w:spacing w:val="-2"/>
                <w:w w:val="105"/>
                <w:sz w:val="18"/>
              </w:rPr>
              <w:t xml:space="preserve"> </w:t>
            </w:r>
            <w:r>
              <w:rPr>
                <w:w w:val="105"/>
                <w:sz w:val="18"/>
              </w:rPr>
              <w:t>aged</w:t>
            </w:r>
            <w:r>
              <w:rPr>
                <w:spacing w:val="-1"/>
                <w:w w:val="105"/>
                <w:sz w:val="18"/>
              </w:rPr>
              <w:t xml:space="preserve"> </w:t>
            </w:r>
            <w:r>
              <w:rPr>
                <w:w w:val="105"/>
                <w:sz w:val="18"/>
              </w:rPr>
              <w:t>18</w:t>
            </w:r>
            <w:r>
              <w:rPr>
                <w:spacing w:val="-6"/>
                <w:w w:val="105"/>
                <w:sz w:val="18"/>
              </w:rPr>
              <w:t xml:space="preserve"> </w:t>
            </w:r>
            <w:r>
              <w:rPr>
                <w:w w:val="105"/>
                <w:sz w:val="18"/>
              </w:rPr>
              <w:t>to</w:t>
            </w:r>
            <w:r>
              <w:rPr>
                <w:spacing w:val="-8"/>
                <w:w w:val="105"/>
                <w:sz w:val="18"/>
              </w:rPr>
              <w:t xml:space="preserve"> </w:t>
            </w:r>
            <w:r>
              <w:rPr>
                <w:w w:val="105"/>
                <w:sz w:val="18"/>
              </w:rPr>
              <w:t>24</w:t>
            </w:r>
            <w:r>
              <w:rPr>
                <w:spacing w:val="-3"/>
                <w:w w:val="105"/>
                <w:sz w:val="18"/>
              </w:rPr>
              <w:t xml:space="preserve"> </w:t>
            </w:r>
            <w:r>
              <w:rPr>
                <w:w w:val="105"/>
                <w:sz w:val="18"/>
              </w:rPr>
              <w:t>years</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4.4</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2.1</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1"/>
                <w:w w:val="105"/>
                <w:sz w:val="18"/>
              </w:rPr>
              <w:t>Tertiary</w:t>
            </w:r>
            <w:r>
              <w:rPr>
                <w:spacing w:val="-8"/>
                <w:w w:val="105"/>
                <w:sz w:val="18"/>
              </w:rPr>
              <w:t xml:space="preserve"> </w:t>
            </w:r>
            <w:r>
              <w:rPr>
                <w:spacing w:val="-1"/>
                <w:w w:val="105"/>
                <w:sz w:val="18"/>
              </w:rPr>
              <w:t>educational</w:t>
            </w:r>
            <w:r>
              <w:rPr>
                <w:spacing w:val="-10"/>
                <w:w w:val="105"/>
                <w:sz w:val="18"/>
              </w:rPr>
              <w:t xml:space="preserve"> </w:t>
            </w:r>
            <w:r>
              <w:rPr>
                <w:w w:val="105"/>
                <w:sz w:val="18"/>
              </w:rPr>
              <w:t>attainment</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790"/>
              <w:rPr>
                <w:sz w:val="18"/>
              </w:rPr>
            </w:pPr>
            <w:r>
              <w:rPr>
                <w:w w:val="105"/>
                <w:sz w:val="18"/>
              </w:rPr>
              <w:t>%</w:t>
            </w:r>
            <w:r>
              <w:rPr>
                <w:spacing w:val="-3"/>
                <w:w w:val="105"/>
                <w:sz w:val="18"/>
              </w:rPr>
              <w:t xml:space="preserve"> </w:t>
            </w:r>
            <w:r>
              <w:rPr>
                <w:w w:val="105"/>
                <w:sz w:val="18"/>
              </w:rPr>
              <w:t>population</w:t>
            </w:r>
            <w:r>
              <w:rPr>
                <w:spacing w:val="-2"/>
                <w:w w:val="105"/>
                <w:sz w:val="18"/>
              </w:rPr>
              <w:t xml:space="preserve"> </w:t>
            </w:r>
            <w:r>
              <w:rPr>
                <w:w w:val="105"/>
                <w:sz w:val="18"/>
              </w:rPr>
              <w:t>aged</w:t>
            </w:r>
            <w:r>
              <w:rPr>
                <w:spacing w:val="-1"/>
                <w:w w:val="105"/>
                <w:sz w:val="18"/>
              </w:rPr>
              <w:t xml:space="preserve"> </w:t>
            </w:r>
            <w:r>
              <w:rPr>
                <w:w w:val="105"/>
                <w:sz w:val="18"/>
              </w:rPr>
              <w:t>25</w:t>
            </w:r>
            <w:r>
              <w:rPr>
                <w:spacing w:val="-6"/>
                <w:w w:val="105"/>
                <w:sz w:val="18"/>
              </w:rPr>
              <w:t xml:space="preserve"> </w:t>
            </w:r>
            <w:r>
              <w:rPr>
                <w:w w:val="105"/>
                <w:sz w:val="18"/>
              </w:rPr>
              <w:t>to</w:t>
            </w:r>
            <w:r>
              <w:rPr>
                <w:spacing w:val="-5"/>
                <w:w w:val="105"/>
                <w:sz w:val="18"/>
              </w:rPr>
              <w:t xml:space="preserve"> </w:t>
            </w:r>
            <w:r>
              <w:rPr>
                <w:w w:val="105"/>
                <w:sz w:val="18"/>
              </w:rPr>
              <w:t>34</w:t>
            </w:r>
            <w:r>
              <w:rPr>
                <w:spacing w:val="-3"/>
                <w:w w:val="105"/>
                <w:sz w:val="18"/>
              </w:rPr>
              <w:t xml:space="preserve"> </w:t>
            </w:r>
            <w:r>
              <w:rPr>
                <w:w w:val="105"/>
                <w:sz w:val="18"/>
              </w:rPr>
              <w:t>years</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3"/>
              <w:jc w:val="right"/>
              <w:rPr>
                <w:sz w:val="18"/>
              </w:rPr>
            </w:pPr>
            <w:r>
              <w:rPr>
                <w:w w:val="105"/>
                <w:sz w:val="18"/>
              </w:rPr>
              <w:t>27.3</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36.6</w:t>
            </w:r>
          </w:p>
        </w:tc>
      </w:tr>
      <w:tr w:rsidR="00A56FE9">
        <w:trPr>
          <w:trHeight w:val="412"/>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98"/>
              <w:ind w:left="71"/>
              <w:rPr>
                <w:sz w:val="18"/>
              </w:rPr>
            </w:pPr>
            <w:r>
              <w:rPr>
                <w:spacing w:val="-2"/>
                <w:w w:val="105"/>
                <w:sz w:val="18"/>
              </w:rPr>
              <w:t>Participation</w:t>
            </w:r>
            <w:r>
              <w:rPr>
                <w:spacing w:val="-10"/>
                <w:w w:val="105"/>
                <w:sz w:val="18"/>
              </w:rPr>
              <w:t xml:space="preserve"> </w:t>
            </w:r>
            <w:r>
              <w:rPr>
                <w:spacing w:val="-2"/>
                <w:w w:val="105"/>
                <w:sz w:val="18"/>
              </w:rPr>
              <w:t>in</w:t>
            </w:r>
            <w:r>
              <w:rPr>
                <w:spacing w:val="-9"/>
                <w:w w:val="105"/>
                <w:sz w:val="18"/>
              </w:rPr>
              <w:t xml:space="preserve"> </w:t>
            </w:r>
            <w:r>
              <w:rPr>
                <w:spacing w:val="-2"/>
                <w:w w:val="105"/>
                <w:sz w:val="18"/>
              </w:rPr>
              <w:t>early</w:t>
            </w:r>
            <w:r>
              <w:rPr>
                <w:spacing w:val="-9"/>
                <w:w w:val="105"/>
                <w:sz w:val="18"/>
              </w:rPr>
              <w:t xml:space="preserve"> </w:t>
            </w:r>
            <w:r>
              <w:rPr>
                <w:spacing w:val="-1"/>
                <w:w w:val="105"/>
                <w:sz w:val="18"/>
              </w:rPr>
              <w:t>childhood</w:t>
            </w:r>
            <w:r>
              <w:rPr>
                <w:spacing w:val="-10"/>
                <w:w w:val="105"/>
                <w:sz w:val="18"/>
              </w:rPr>
              <w:t xml:space="preserve"> </w:t>
            </w:r>
            <w:r>
              <w:rPr>
                <w:spacing w:val="-1"/>
                <w:w w:val="105"/>
                <w:sz w:val="18"/>
              </w:rPr>
              <w:t>education</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02" w:lineRule="exact"/>
              <w:ind w:left="64" w:right="55"/>
              <w:jc w:val="center"/>
              <w:rPr>
                <w:sz w:val="18"/>
              </w:rPr>
            </w:pPr>
            <w:r>
              <w:rPr>
                <w:sz w:val="18"/>
              </w:rPr>
              <w:t>% age</w:t>
            </w:r>
            <w:r>
              <w:rPr>
                <w:spacing w:val="-5"/>
                <w:sz w:val="18"/>
              </w:rPr>
              <w:t xml:space="preserve"> </w:t>
            </w:r>
            <w:r>
              <w:rPr>
                <w:sz w:val="18"/>
              </w:rPr>
              <w:t>group</w:t>
            </w:r>
            <w:r>
              <w:rPr>
                <w:spacing w:val="-2"/>
                <w:sz w:val="18"/>
              </w:rPr>
              <w:t xml:space="preserve"> </w:t>
            </w:r>
            <w:r>
              <w:rPr>
                <w:sz w:val="18"/>
              </w:rPr>
              <w:t>from</w:t>
            </w:r>
            <w:r>
              <w:rPr>
                <w:spacing w:val="-4"/>
                <w:sz w:val="18"/>
              </w:rPr>
              <w:t xml:space="preserve"> </w:t>
            </w:r>
            <w:r>
              <w:rPr>
                <w:sz w:val="18"/>
              </w:rPr>
              <w:t>3rd</w:t>
            </w:r>
            <w:r>
              <w:rPr>
                <w:spacing w:val="-5"/>
                <w:sz w:val="18"/>
              </w:rPr>
              <w:t xml:space="preserve"> </w:t>
            </w:r>
            <w:r>
              <w:rPr>
                <w:sz w:val="18"/>
              </w:rPr>
              <w:t>year</w:t>
            </w:r>
            <w:r>
              <w:rPr>
                <w:spacing w:val="-3"/>
                <w:sz w:val="18"/>
              </w:rPr>
              <w:t xml:space="preserve"> </w:t>
            </w:r>
            <w:r>
              <w:rPr>
                <w:sz w:val="18"/>
              </w:rPr>
              <w:t>of</w:t>
            </w:r>
            <w:r>
              <w:rPr>
                <w:spacing w:val="-3"/>
                <w:sz w:val="18"/>
              </w:rPr>
              <w:t xml:space="preserve"> </w:t>
            </w:r>
            <w:r>
              <w:rPr>
                <w:sz w:val="18"/>
              </w:rPr>
              <w:t>life</w:t>
            </w:r>
            <w:r>
              <w:rPr>
                <w:spacing w:val="-4"/>
                <w:sz w:val="18"/>
              </w:rPr>
              <w:t xml:space="preserve"> </w:t>
            </w:r>
            <w:r>
              <w:rPr>
                <w:sz w:val="18"/>
              </w:rPr>
              <w:t>to</w:t>
            </w:r>
            <w:r>
              <w:rPr>
                <w:spacing w:val="-3"/>
                <w:sz w:val="18"/>
              </w:rPr>
              <w:t xml:space="preserve"> </w:t>
            </w:r>
            <w:r>
              <w:rPr>
                <w:sz w:val="18"/>
              </w:rPr>
              <w:t>start</w:t>
            </w:r>
            <w:r>
              <w:rPr>
                <w:spacing w:val="-4"/>
                <w:sz w:val="18"/>
              </w:rPr>
              <w:t xml:space="preserve"> </w:t>
            </w:r>
            <w:r>
              <w:rPr>
                <w:sz w:val="18"/>
              </w:rPr>
              <w:t>of</w:t>
            </w:r>
          </w:p>
          <w:p w:rsidR="00A56FE9" w:rsidRDefault="00000000">
            <w:pPr>
              <w:pStyle w:val="TableParagraph"/>
              <w:spacing w:line="191" w:lineRule="exact"/>
              <w:ind w:left="64" w:right="64"/>
              <w:jc w:val="center"/>
              <w:rPr>
                <w:sz w:val="18"/>
              </w:rPr>
            </w:pPr>
            <w:r>
              <w:rPr>
                <w:sz w:val="18"/>
              </w:rPr>
              <w:t>compulsory</w:t>
            </w:r>
            <w:r>
              <w:rPr>
                <w:spacing w:val="-5"/>
                <w:sz w:val="18"/>
              </w:rPr>
              <w:t xml:space="preserve"> </w:t>
            </w:r>
            <w:r>
              <w:rPr>
                <w:sz w:val="18"/>
              </w:rPr>
              <w:t>schooling</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98"/>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98"/>
              <w:ind w:right="113"/>
              <w:jc w:val="right"/>
              <w:rPr>
                <w:sz w:val="18"/>
              </w:rPr>
            </w:pPr>
            <w:r>
              <w:rPr>
                <w:w w:val="105"/>
                <w:sz w:val="18"/>
              </w:rPr>
              <w:t>67.6</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98"/>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98"/>
              <w:ind w:right="144"/>
              <w:jc w:val="right"/>
              <w:rPr>
                <w:sz w:val="18"/>
              </w:rPr>
            </w:pPr>
            <w:r>
              <w:rPr>
                <w:w w:val="105"/>
                <w:sz w:val="18"/>
              </w:rPr>
              <w:t>79.4</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1"/>
                <w:w w:val="105"/>
                <w:sz w:val="18"/>
              </w:rPr>
              <w:t>Underachievement</w:t>
            </w:r>
            <w:r>
              <w:rPr>
                <w:spacing w:val="-9"/>
                <w:w w:val="105"/>
                <w:sz w:val="18"/>
              </w:rPr>
              <w:t xml:space="preserve"> </w:t>
            </w:r>
            <w:r>
              <w:rPr>
                <w:w w:val="105"/>
                <w:sz w:val="18"/>
              </w:rPr>
              <w:t>in</w:t>
            </w:r>
            <w:r>
              <w:rPr>
                <w:spacing w:val="-6"/>
                <w:w w:val="105"/>
                <w:sz w:val="18"/>
              </w:rPr>
              <w:t xml:space="preserve"> </w:t>
            </w:r>
            <w:r>
              <w:rPr>
                <w:w w:val="105"/>
                <w:sz w:val="18"/>
              </w:rPr>
              <w:t>reading</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713"/>
              <w:rPr>
                <w:sz w:val="18"/>
              </w:rPr>
            </w:pPr>
            <w:r>
              <w:rPr>
                <w:w w:val="105"/>
                <w:sz w:val="18"/>
              </w:rPr>
              <w:t>%</w:t>
            </w:r>
            <w:r>
              <w:rPr>
                <w:spacing w:val="-7"/>
                <w:w w:val="105"/>
                <w:sz w:val="18"/>
              </w:rPr>
              <w:t xml:space="preserve"> </w:t>
            </w:r>
            <w:r>
              <w:rPr>
                <w:w w:val="105"/>
                <w:sz w:val="18"/>
              </w:rPr>
              <w:t>pupils</w:t>
            </w:r>
            <w:r>
              <w:rPr>
                <w:spacing w:val="-5"/>
                <w:w w:val="105"/>
                <w:sz w:val="18"/>
              </w:rPr>
              <w:t xml:space="preserve"> </w:t>
            </w:r>
            <w:r>
              <w:rPr>
                <w:w w:val="105"/>
                <w:sz w:val="18"/>
              </w:rPr>
              <w:t>aged</w:t>
            </w:r>
            <w:r>
              <w:rPr>
                <w:spacing w:val="-6"/>
                <w:w w:val="105"/>
                <w:sz w:val="18"/>
              </w:rPr>
              <w:t xml:space="preserve"> </w:t>
            </w:r>
            <w:r>
              <w:rPr>
                <w:w w:val="105"/>
                <w:sz w:val="18"/>
              </w:rPr>
              <w:t>up</w:t>
            </w:r>
            <w:r>
              <w:rPr>
                <w:spacing w:val="-3"/>
                <w:w w:val="105"/>
                <w:sz w:val="18"/>
              </w:rPr>
              <w:t xml:space="preserve"> </w:t>
            </w:r>
            <w:r>
              <w:rPr>
                <w:w w:val="105"/>
                <w:sz w:val="18"/>
              </w:rPr>
              <w:t>to</w:t>
            </w:r>
            <w:r>
              <w:rPr>
                <w:spacing w:val="-6"/>
                <w:w w:val="105"/>
                <w:sz w:val="18"/>
              </w:rPr>
              <w:t xml:space="preserve"> </w:t>
            </w:r>
            <w:r>
              <w:rPr>
                <w:w w:val="105"/>
                <w:sz w:val="18"/>
              </w:rPr>
              <w:t>15</w:t>
            </w:r>
            <w:r>
              <w:rPr>
                <w:spacing w:val="-3"/>
                <w:w w:val="105"/>
                <w:sz w:val="18"/>
              </w:rPr>
              <w:t xml:space="preserve"> </w:t>
            </w:r>
            <w:r>
              <w:rPr>
                <w:w w:val="105"/>
                <w:sz w:val="18"/>
              </w:rPr>
              <w:t>years</w:t>
            </w:r>
            <w:r>
              <w:rPr>
                <w:spacing w:val="-4"/>
                <w:w w:val="105"/>
                <w:sz w:val="18"/>
              </w:rPr>
              <w:t xml:space="preserve"> </w:t>
            </w:r>
            <w:r>
              <w:rPr>
                <w:w w:val="105"/>
                <w:sz w:val="18"/>
              </w:rPr>
              <w:t>of</w:t>
            </w:r>
            <w:r>
              <w:rPr>
                <w:spacing w:val="-1"/>
                <w:w w:val="105"/>
                <w:sz w:val="18"/>
              </w:rPr>
              <w:t xml:space="preserve"> </w:t>
            </w:r>
            <w:r>
              <w:rPr>
                <w:w w:val="105"/>
                <w:sz w:val="18"/>
              </w:rPr>
              <w:t>age</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2015</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19.9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2018</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21.6</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1"/>
                <w:w w:val="105"/>
                <w:sz w:val="18"/>
              </w:rPr>
              <w:t>Adult</w:t>
            </w:r>
            <w:r>
              <w:rPr>
                <w:spacing w:val="-11"/>
                <w:w w:val="105"/>
                <w:sz w:val="18"/>
              </w:rPr>
              <w:t xml:space="preserve"> </w:t>
            </w:r>
            <w:r>
              <w:rPr>
                <w:w w:val="105"/>
                <w:sz w:val="18"/>
              </w:rPr>
              <w:t>participation</w:t>
            </w:r>
            <w:r>
              <w:rPr>
                <w:spacing w:val="-9"/>
                <w:w w:val="105"/>
                <w:sz w:val="18"/>
              </w:rPr>
              <w:t xml:space="preserve"> </w:t>
            </w:r>
            <w:r>
              <w:rPr>
                <w:w w:val="105"/>
                <w:sz w:val="18"/>
              </w:rPr>
              <w:t>in</w:t>
            </w:r>
            <w:r>
              <w:rPr>
                <w:spacing w:val="-11"/>
                <w:w w:val="105"/>
                <w:sz w:val="18"/>
              </w:rPr>
              <w:t xml:space="preserve"> </w:t>
            </w:r>
            <w:r>
              <w:rPr>
                <w:w w:val="105"/>
                <w:sz w:val="18"/>
              </w:rPr>
              <w:t>learning</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015"/>
              <w:rPr>
                <w:sz w:val="18"/>
              </w:rPr>
            </w:pPr>
            <w:r>
              <w:rPr>
                <w:w w:val="105"/>
                <w:sz w:val="18"/>
              </w:rPr>
              <w:t>%</w:t>
            </w:r>
            <w:r>
              <w:rPr>
                <w:spacing w:val="-4"/>
                <w:w w:val="105"/>
                <w:sz w:val="18"/>
              </w:rPr>
              <w:t xml:space="preserve"> </w:t>
            </w:r>
            <w:r>
              <w:rPr>
                <w:w w:val="105"/>
                <w:sz w:val="18"/>
              </w:rPr>
              <w:t>population</w:t>
            </w:r>
            <w:r>
              <w:rPr>
                <w:spacing w:val="-2"/>
                <w:w w:val="105"/>
                <w:sz w:val="18"/>
              </w:rPr>
              <w:t xml:space="preserve"> </w:t>
            </w:r>
            <w:r>
              <w:rPr>
                <w:w w:val="105"/>
                <w:sz w:val="18"/>
              </w:rPr>
              <w:t>aged</w:t>
            </w:r>
            <w:r>
              <w:rPr>
                <w:spacing w:val="-2"/>
                <w:w w:val="105"/>
                <w:sz w:val="18"/>
              </w:rPr>
              <w:t xml:space="preserve"> </w:t>
            </w:r>
            <w:r>
              <w:rPr>
                <w:w w:val="105"/>
                <w:sz w:val="18"/>
              </w:rPr>
              <w:t>25</w:t>
            </w:r>
            <w:r>
              <w:rPr>
                <w:spacing w:val="-6"/>
                <w:w w:val="105"/>
                <w:sz w:val="18"/>
              </w:rPr>
              <w:t xml:space="preserve"> </w:t>
            </w:r>
            <w:r>
              <w:rPr>
                <w:w w:val="105"/>
                <w:sz w:val="18"/>
              </w:rPr>
              <w:t>to</w:t>
            </w:r>
            <w:r>
              <w:rPr>
                <w:spacing w:val="-9"/>
                <w:w w:val="105"/>
                <w:sz w:val="18"/>
              </w:rPr>
              <w:t xml:space="preserve"> </w:t>
            </w:r>
            <w:r>
              <w:rPr>
                <w:w w:val="105"/>
                <w:sz w:val="18"/>
              </w:rPr>
              <w:t>64</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3.1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3.2</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z w:val="18"/>
              </w:rPr>
              <w:t>Share</w:t>
            </w:r>
            <w:r>
              <w:rPr>
                <w:spacing w:val="-2"/>
                <w:sz w:val="18"/>
              </w:rPr>
              <w:t xml:space="preserve"> </w:t>
            </w:r>
            <w:r>
              <w:rPr>
                <w:sz w:val="18"/>
              </w:rPr>
              <w:t>of</w:t>
            </w:r>
            <w:r>
              <w:rPr>
                <w:spacing w:val="-3"/>
                <w:sz w:val="18"/>
              </w:rPr>
              <w:t xml:space="preserve"> </w:t>
            </w:r>
            <w:r>
              <w:rPr>
                <w:sz w:val="18"/>
              </w:rPr>
              <w:t>individuals</w:t>
            </w:r>
            <w:r>
              <w:rPr>
                <w:spacing w:val="-3"/>
                <w:sz w:val="18"/>
              </w:rPr>
              <w:t xml:space="preserve"> </w:t>
            </w:r>
            <w:r>
              <w:rPr>
                <w:sz w:val="18"/>
              </w:rPr>
              <w:t>having</w:t>
            </w:r>
            <w:r>
              <w:rPr>
                <w:spacing w:val="-2"/>
                <w:sz w:val="18"/>
              </w:rPr>
              <w:t xml:space="preserve"> </w:t>
            </w:r>
            <w:r>
              <w:rPr>
                <w:sz w:val="18"/>
              </w:rPr>
              <w:t>at least</w:t>
            </w:r>
            <w:r>
              <w:rPr>
                <w:spacing w:val="-1"/>
                <w:sz w:val="18"/>
              </w:rPr>
              <w:t xml:space="preserve"> </w:t>
            </w:r>
            <w:r>
              <w:rPr>
                <w:sz w:val="18"/>
              </w:rPr>
              <w:t>basic</w:t>
            </w:r>
            <w:r>
              <w:rPr>
                <w:spacing w:val="-2"/>
                <w:sz w:val="18"/>
              </w:rPr>
              <w:t xml:space="preserve"> </w:t>
            </w:r>
            <w:r>
              <w:rPr>
                <w:sz w:val="18"/>
              </w:rPr>
              <w:t>digital</w:t>
            </w:r>
            <w:r>
              <w:rPr>
                <w:spacing w:val="-1"/>
                <w:sz w:val="18"/>
              </w:rPr>
              <w:t xml:space="preserve"> </w:t>
            </w:r>
            <w:r>
              <w:rPr>
                <w:sz w:val="18"/>
              </w:rPr>
              <w:t>skills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020"/>
              <w:rPr>
                <w:sz w:val="18"/>
              </w:rPr>
            </w:pPr>
            <w:r>
              <w:rPr>
                <w:w w:val="105"/>
                <w:sz w:val="18"/>
              </w:rPr>
              <w:t>%</w:t>
            </w:r>
            <w:r>
              <w:rPr>
                <w:spacing w:val="-4"/>
                <w:w w:val="105"/>
                <w:sz w:val="18"/>
              </w:rPr>
              <w:t xml:space="preserve"> </w:t>
            </w:r>
            <w:r>
              <w:rPr>
                <w:w w:val="105"/>
                <w:sz w:val="18"/>
              </w:rPr>
              <w:t>population</w:t>
            </w:r>
            <w:r>
              <w:rPr>
                <w:spacing w:val="-3"/>
                <w:w w:val="105"/>
                <w:sz w:val="18"/>
              </w:rPr>
              <w:t xml:space="preserve"> </w:t>
            </w:r>
            <w:r>
              <w:rPr>
                <w:w w:val="105"/>
                <w:sz w:val="18"/>
              </w:rPr>
              <w:t>aged</w:t>
            </w:r>
            <w:r>
              <w:rPr>
                <w:spacing w:val="-3"/>
                <w:w w:val="105"/>
                <w:sz w:val="18"/>
              </w:rPr>
              <w:t xml:space="preserve"> </w:t>
            </w:r>
            <w:r>
              <w:rPr>
                <w:w w:val="105"/>
                <w:sz w:val="18"/>
              </w:rPr>
              <w:t>16</w:t>
            </w:r>
            <w:r>
              <w:rPr>
                <w:spacing w:val="-7"/>
                <w:w w:val="105"/>
                <w:sz w:val="18"/>
              </w:rPr>
              <w:t xml:space="preserve"> </w:t>
            </w:r>
            <w:r>
              <w:rPr>
                <w:w w:val="105"/>
                <w:sz w:val="18"/>
              </w:rPr>
              <w:t>to</w:t>
            </w:r>
            <w:r>
              <w:rPr>
                <w:spacing w:val="-9"/>
                <w:w w:val="105"/>
                <w:sz w:val="18"/>
              </w:rPr>
              <w:t xml:space="preserve"> </w:t>
            </w:r>
            <w:r>
              <w:rPr>
                <w:w w:val="105"/>
                <w:sz w:val="18"/>
              </w:rPr>
              <w:t>74</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2015</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08"/>
              <w:jc w:val="right"/>
              <w:rPr>
                <w:sz w:val="18"/>
              </w:rPr>
            </w:pPr>
            <w:r>
              <w:rPr>
                <w:sz w:val="18"/>
              </w:rPr>
              <w:t>51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3"/>
              <w:jc w:val="right"/>
              <w:rPr>
                <w:sz w:val="18"/>
              </w:rPr>
            </w:pPr>
            <w:r>
              <w:rPr>
                <w:w w:val="105"/>
                <w:sz w:val="18"/>
              </w:rPr>
              <w:t>53</w:t>
            </w:r>
          </w:p>
        </w:tc>
      </w:tr>
      <w:tr w:rsidR="00A56FE9">
        <w:trPr>
          <w:trHeight w:val="340"/>
        </w:trPr>
        <w:tc>
          <w:tcPr>
            <w:tcW w:w="14020" w:type="dxa"/>
            <w:gridSpan w:val="6"/>
            <w:tcBorders>
              <w:top w:val="single" w:sz="4" w:space="0" w:color="2C398A"/>
              <w:left w:val="nil"/>
              <w:bottom w:val="single" w:sz="4" w:space="0" w:color="2C398A"/>
              <w:right w:val="nil"/>
            </w:tcBorders>
          </w:tcPr>
          <w:p w:rsidR="00A56FE9" w:rsidRDefault="00000000">
            <w:pPr>
              <w:pStyle w:val="TableParagraph"/>
              <w:spacing w:before="67"/>
              <w:ind w:left="71"/>
              <w:rPr>
                <w:b/>
                <w:sz w:val="18"/>
              </w:rPr>
            </w:pPr>
            <w:r>
              <w:rPr>
                <w:b/>
                <w:color w:val="003399"/>
                <w:w w:val="105"/>
                <w:sz w:val="18"/>
              </w:rPr>
              <w:t>Goal</w:t>
            </w:r>
            <w:r>
              <w:rPr>
                <w:b/>
                <w:color w:val="003399"/>
                <w:spacing w:val="-5"/>
                <w:w w:val="105"/>
                <w:sz w:val="18"/>
              </w:rPr>
              <w:t xml:space="preserve"> </w:t>
            </w:r>
            <w:r>
              <w:rPr>
                <w:b/>
                <w:color w:val="003399"/>
                <w:w w:val="105"/>
                <w:sz w:val="18"/>
              </w:rPr>
              <w:t>5</w:t>
            </w:r>
            <w:r>
              <w:rPr>
                <w:b/>
                <w:color w:val="003399"/>
                <w:spacing w:val="-2"/>
                <w:w w:val="105"/>
                <w:sz w:val="18"/>
              </w:rPr>
              <w:t xml:space="preserve"> </w:t>
            </w:r>
            <w:r>
              <w:rPr>
                <w:b/>
                <w:color w:val="003399"/>
                <w:w w:val="105"/>
                <w:sz w:val="18"/>
              </w:rPr>
              <w:t>-</w:t>
            </w:r>
            <w:r>
              <w:rPr>
                <w:b/>
                <w:color w:val="003399"/>
                <w:spacing w:val="-2"/>
                <w:w w:val="105"/>
                <w:sz w:val="18"/>
              </w:rPr>
              <w:t xml:space="preserve"> </w:t>
            </w:r>
            <w:r>
              <w:rPr>
                <w:b/>
                <w:color w:val="003399"/>
                <w:w w:val="105"/>
                <w:sz w:val="18"/>
              </w:rPr>
              <w:t>Gender</w:t>
            </w:r>
            <w:r>
              <w:rPr>
                <w:b/>
                <w:color w:val="003399"/>
                <w:spacing w:val="-4"/>
                <w:w w:val="105"/>
                <w:sz w:val="18"/>
              </w:rPr>
              <w:t xml:space="preserve"> </w:t>
            </w:r>
            <w:r>
              <w:rPr>
                <w:b/>
                <w:color w:val="003399"/>
                <w:w w:val="105"/>
                <w:sz w:val="18"/>
              </w:rPr>
              <w:t>equality</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5" w:line="201" w:lineRule="exact"/>
              <w:ind w:left="71"/>
              <w:rPr>
                <w:sz w:val="18"/>
              </w:rPr>
            </w:pPr>
            <w:r>
              <w:rPr>
                <w:w w:val="105"/>
                <w:sz w:val="18"/>
              </w:rPr>
              <w:t>Physical</w:t>
            </w:r>
            <w:r>
              <w:rPr>
                <w:spacing w:val="-10"/>
                <w:w w:val="105"/>
                <w:sz w:val="18"/>
              </w:rPr>
              <w:t xml:space="preserve"> </w:t>
            </w:r>
            <w:r>
              <w:rPr>
                <w:w w:val="105"/>
                <w:sz w:val="18"/>
              </w:rPr>
              <w:t>and</w:t>
            </w:r>
            <w:r>
              <w:rPr>
                <w:spacing w:val="-7"/>
                <w:w w:val="105"/>
                <w:sz w:val="18"/>
              </w:rPr>
              <w:t xml:space="preserve"> </w:t>
            </w:r>
            <w:r>
              <w:rPr>
                <w:w w:val="105"/>
                <w:sz w:val="18"/>
              </w:rPr>
              <w:t>sexual</w:t>
            </w:r>
            <w:r>
              <w:rPr>
                <w:spacing w:val="-11"/>
                <w:w w:val="105"/>
                <w:sz w:val="18"/>
              </w:rPr>
              <w:t xml:space="preserve"> </w:t>
            </w:r>
            <w:r>
              <w:rPr>
                <w:w w:val="105"/>
                <w:sz w:val="18"/>
              </w:rPr>
              <w:t>violence</w:t>
            </w:r>
            <w:r>
              <w:rPr>
                <w:spacing w:val="-10"/>
                <w:w w:val="105"/>
                <w:sz w:val="18"/>
              </w:rPr>
              <w:t xml:space="preserve"> </w:t>
            </w:r>
            <w:r>
              <w:rPr>
                <w:w w:val="105"/>
                <w:sz w:val="18"/>
              </w:rPr>
              <w:t>to</w:t>
            </w:r>
            <w:r>
              <w:rPr>
                <w:spacing w:val="-6"/>
                <w:w w:val="105"/>
                <w:sz w:val="18"/>
              </w:rPr>
              <w:t xml:space="preserve"> </w:t>
            </w:r>
            <w:r>
              <w:rPr>
                <w:w w:val="105"/>
                <w:sz w:val="18"/>
              </w:rPr>
              <w:t>women</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1" w:lineRule="exact"/>
              <w:ind w:left="1133"/>
              <w:rPr>
                <w:sz w:val="18"/>
              </w:rPr>
            </w:pPr>
            <w:r>
              <w:rPr>
                <w:w w:val="105"/>
                <w:sz w:val="18"/>
              </w:rPr>
              <w:t>%</w:t>
            </w:r>
            <w:r>
              <w:rPr>
                <w:spacing w:val="-2"/>
                <w:w w:val="105"/>
                <w:sz w:val="18"/>
              </w:rPr>
              <w:t xml:space="preserve"> </w:t>
            </w:r>
            <w:r>
              <w:rPr>
                <w:w w:val="105"/>
                <w:sz w:val="18"/>
              </w:rPr>
              <w:t>women</w:t>
            </w:r>
            <w:r>
              <w:rPr>
                <w:spacing w:val="-1"/>
                <w:w w:val="105"/>
                <w:sz w:val="18"/>
              </w:rPr>
              <w:t xml:space="preserve"> </w:t>
            </w:r>
            <w:r>
              <w:rPr>
                <w:w w:val="105"/>
                <w:sz w:val="18"/>
              </w:rPr>
              <w:t>aged</w:t>
            </w:r>
            <w:r>
              <w:rPr>
                <w:spacing w:val="-1"/>
                <w:w w:val="105"/>
                <w:sz w:val="18"/>
              </w:rPr>
              <w:t xml:space="preserve"> </w:t>
            </w:r>
            <w:r>
              <w:rPr>
                <w:w w:val="105"/>
                <w:sz w:val="18"/>
              </w:rPr>
              <w:t>15</w:t>
            </w:r>
            <w:r>
              <w:rPr>
                <w:spacing w:val="1"/>
                <w:w w:val="105"/>
                <w:sz w:val="18"/>
              </w:rPr>
              <w:t xml:space="preserve"> </w:t>
            </w:r>
            <w:r>
              <w:rPr>
                <w:w w:val="105"/>
                <w:sz w:val="18"/>
              </w:rPr>
              <w:t>to</w:t>
            </w:r>
            <w:r>
              <w:rPr>
                <w:spacing w:val="-2"/>
                <w:w w:val="105"/>
                <w:sz w:val="18"/>
              </w:rPr>
              <w:t xml:space="preserve"> </w:t>
            </w:r>
            <w:r>
              <w:rPr>
                <w:w w:val="105"/>
                <w:sz w:val="18"/>
              </w:rPr>
              <w:t>74</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1" w:lineRule="exact"/>
              <w:ind w:left="158"/>
              <w:rPr>
                <w:sz w:val="18"/>
              </w:rPr>
            </w:pPr>
            <w:r>
              <w:rPr>
                <w:w w:val="105"/>
                <w:sz w:val="18"/>
              </w:rPr>
              <w:t>N/A</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1" w:lineRule="exact"/>
              <w:ind w:right="111"/>
              <w:jc w:val="right"/>
              <w:rPr>
                <w:sz w:val="18"/>
              </w:rPr>
            </w:pPr>
            <w:r>
              <w:rPr>
                <w:w w:val="103"/>
                <w:sz w:val="18"/>
              </w:rPr>
              <w:t>:</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1" w:lineRule="exact"/>
              <w:ind w:left="146"/>
              <w:rPr>
                <w:sz w:val="18"/>
              </w:rPr>
            </w:pPr>
            <w:r>
              <w:rPr>
                <w:w w:val="105"/>
                <w:sz w:val="18"/>
              </w:rPr>
              <w:t>2012</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5" w:line="201" w:lineRule="exact"/>
              <w:ind w:right="141"/>
              <w:jc w:val="right"/>
              <w:rPr>
                <w:sz w:val="18"/>
              </w:rPr>
            </w:pPr>
            <w:r>
              <w:rPr>
                <w:w w:val="103"/>
                <w:sz w:val="18"/>
              </w:rPr>
              <w:t>5</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1"/>
                <w:w w:val="105"/>
                <w:sz w:val="18"/>
              </w:rPr>
              <w:t>Gender</w:t>
            </w:r>
            <w:r>
              <w:rPr>
                <w:spacing w:val="-10"/>
                <w:w w:val="105"/>
                <w:sz w:val="18"/>
              </w:rPr>
              <w:t xml:space="preserve"> </w:t>
            </w:r>
            <w:r>
              <w:rPr>
                <w:spacing w:val="-1"/>
                <w:w w:val="105"/>
                <w:sz w:val="18"/>
              </w:rPr>
              <w:t>pay</w:t>
            </w:r>
            <w:r>
              <w:rPr>
                <w:spacing w:val="-10"/>
                <w:w w:val="105"/>
                <w:sz w:val="18"/>
              </w:rPr>
              <w:t xml:space="preserve"> </w:t>
            </w:r>
            <w:r>
              <w:rPr>
                <w:spacing w:val="-1"/>
                <w:w w:val="105"/>
                <w:sz w:val="18"/>
              </w:rPr>
              <w:t>gap</w:t>
            </w:r>
            <w:r>
              <w:rPr>
                <w:spacing w:val="-8"/>
                <w:w w:val="105"/>
                <w:sz w:val="18"/>
              </w:rPr>
              <w:t xml:space="preserve"> </w:t>
            </w:r>
            <w:r>
              <w:rPr>
                <w:spacing w:val="-1"/>
                <w:w w:val="105"/>
                <w:sz w:val="18"/>
              </w:rPr>
              <w:t>in</w:t>
            </w:r>
            <w:r>
              <w:rPr>
                <w:spacing w:val="-7"/>
                <w:w w:val="105"/>
                <w:sz w:val="18"/>
              </w:rPr>
              <w:t xml:space="preserve"> </w:t>
            </w:r>
            <w:r>
              <w:rPr>
                <w:spacing w:val="-1"/>
                <w:w w:val="105"/>
                <w:sz w:val="18"/>
              </w:rPr>
              <w:t>unadjusted</w:t>
            </w:r>
            <w:r>
              <w:rPr>
                <w:spacing w:val="-10"/>
                <w:w w:val="105"/>
                <w:sz w:val="18"/>
              </w:rPr>
              <w:t xml:space="preserve"> </w:t>
            </w:r>
            <w:r>
              <w:rPr>
                <w:w w:val="105"/>
                <w:sz w:val="18"/>
              </w:rPr>
              <w:t>form</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62"/>
              <w:rPr>
                <w:sz w:val="18"/>
              </w:rPr>
            </w:pPr>
            <w:r>
              <w:rPr>
                <w:w w:val="105"/>
                <w:sz w:val="18"/>
              </w:rPr>
              <w:t>%</w:t>
            </w:r>
            <w:r>
              <w:rPr>
                <w:spacing w:val="21"/>
                <w:w w:val="105"/>
                <w:sz w:val="18"/>
              </w:rPr>
              <w:t xml:space="preserve"> </w:t>
            </w:r>
            <w:r>
              <w:rPr>
                <w:w w:val="105"/>
                <w:sz w:val="18"/>
              </w:rPr>
              <w:t>average</w:t>
            </w:r>
            <w:r>
              <w:rPr>
                <w:spacing w:val="-1"/>
                <w:w w:val="105"/>
                <w:sz w:val="18"/>
              </w:rPr>
              <w:t xml:space="preserve"> </w:t>
            </w:r>
            <w:r>
              <w:rPr>
                <w:w w:val="105"/>
                <w:sz w:val="18"/>
              </w:rPr>
              <w:t>gross</w:t>
            </w:r>
            <w:r>
              <w:rPr>
                <w:spacing w:val="-3"/>
                <w:w w:val="105"/>
                <w:sz w:val="18"/>
              </w:rPr>
              <w:t xml:space="preserve"> </w:t>
            </w:r>
            <w:r>
              <w:rPr>
                <w:w w:val="105"/>
                <w:sz w:val="18"/>
              </w:rPr>
              <w:t>hourly</w:t>
            </w:r>
            <w:r>
              <w:rPr>
                <w:spacing w:val="-2"/>
                <w:w w:val="105"/>
                <w:sz w:val="18"/>
              </w:rPr>
              <w:t xml:space="preserve"> </w:t>
            </w:r>
            <w:r>
              <w:rPr>
                <w:w w:val="105"/>
                <w:sz w:val="18"/>
              </w:rPr>
              <w:t>rate</w:t>
            </w:r>
            <w:r>
              <w:rPr>
                <w:spacing w:val="-4"/>
                <w:w w:val="105"/>
                <w:sz w:val="18"/>
              </w:rPr>
              <w:t xml:space="preserve"> </w:t>
            </w:r>
            <w:r>
              <w:rPr>
                <w:w w:val="105"/>
                <w:sz w:val="18"/>
              </w:rPr>
              <w:t>for</w:t>
            </w:r>
            <w:r>
              <w:rPr>
                <w:spacing w:val="-1"/>
                <w:w w:val="105"/>
                <w:sz w:val="18"/>
              </w:rPr>
              <w:t xml:space="preserve"> </w:t>
            </w:r>
            <w:r>
              <w:rPr>
                <w:w w:val="105"/>
                <w:sz w:val="18"/>
              </w:rPr>
              <w:t>men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7.7</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11.5</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w w:val="105"/>
                <w:sz w:val="18"/>
              </w:rPr>
              <w:t>Gender</w:t>
            </w:r>
            <w:r>
              <w:rPr>
                <w:spacing w:val="-9"/>
                <w:w w:val="105"/>
                <w:sz w:val="18"/>
              </w:rPr>
              <w:t xml:space="preserve"> </w:t>
            </w:r>
            <w:r>
              <w:rPr>
                <w:w w:val="105"/>
                <w:sz w:val="18"/>
              </w:rPr>
              <w:t>employment</w:t>
            </w:r>
            <w:r>
              <w:rPr>
                <w:spacing w:val="-12"/>
                <w:w w:val="105"/>
                <w:sz w:val="18"/>
              </w:rPr>
              <w:t xml:space="preserve"> </w:t>
            </w:r>
            <w:r>
              <w:rPr>
                <w:w w:val="105"/>
                <w:sz w:val="18"/>
              </w:rPr>
              <w:t>gap</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533"/>
              <w:jc w:val="right"/>
              <w:rPr>
                <w:sz w:val="18"/>
              </w:rPr>
            </w:pPr>
            <w:r>
              <w:rPr>
                <w:w w:val="105"/>
                <w:sz w:val="18"/>
              </w:rPr>
              <w:t>percentage</w:t>
            </w:r>
            <w:r>
              <w:rPr>
                <w:spacing w:val="-10"/>
                <w:w w:val="105"/>
                <w:sz w:val="18"/>
              </w:rPr>
              <w:t xml:space="preserve"> </w:t>
            </w:r>
            <w:r>
              <w:rPr>
                <w:w w:val="105"/>
                <w:sz w:val="18"/>
              </w:rPr>
              <w:t>points,</w:t>
            </w:r>
            <w:r>
              <w:rPr>
                <w:spacing w:val="-9"/>
                <w:w w:val="105"/>
                <w:sz w:val="18"/>
              </w:rPr>
              <w:t xml:space="preserve"> </w:t>
            </w:r>
            <w:r>
              <w:rPr>
                <w:w w:val="105"/>
                <w:sz w:val="18"/>
              </w:rPr>
              <w:t>persons</w:t>
            </w:r>
            <w:r>
              <w:rPr>
                <w:spacing w:val="-6"/>
                <w:w w:val="105"/>
                <w:sz w:val="18"/>
              </w:rPr>
              <w:t xml:space="preserve"> </w:t>
            </w:r>
            <w:r>
              <w:rPr>
                <w:w w:val="105"/>
                <w:sz w:val="18"/>
              </w:rPr>
              <w:t>aged</w:t>
            </w:r>
            <w:r>
              <w:rPr>
                <w:spacing w:val="-3"/>
                <w:w w:val="105"/>
                <w:sz w:val="18"/>
              </w:rPr>
              <w:t xml:space="preserve"> </w:t>
            </w:r>
            <w:r>
              <w:rPr>
                <w:w w:val="105"/>
                <w:sz w:val="18"/>
              </w:rPr>
              <w:t>20</w:t>
            </w:r>
            <w:r>
              <w:rPr>
                <w:spacing w:val="-7"/>
                <w:w w:val="105"/>
                <w:sz w:val="18"/>
              </w:rPr>
              <w:t xml:space="preserve"> </w:t>
            </w:r>
            <w:r>
              <w:rPr>
                <w:w w:val="105"/>
                <w:sz w:val="18"/>
              </w:rPr>
              <w:t>to</w:t>
            </w:r>
            <w:r>
              <w:rPr>
                <w:spacing w:val="-7"/>
                <w:w w:val="105"/>
                <w:sz w:val="18"/>
              </w:rPr>
              <w:t xml:space="preserve"> </w:t>
            </w:r>
            <w:r>
              <w:rPr>
                <w:w w:val="105"/>
                <w:sz w:val="18"/>
              </w:rPr>
              <w:t>64</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3"/>
              <w:jc w:val="right"/>
              <w:rPr>
                <w:sz w:val="18"/>
              </w:rPr>
            </w:pPr>
            <w:r>
              <w:rPr>
                <w:w w:val="105"/>
                <w:sz w:val="18"/>
              </w:rPr>
              <w:t>8.8</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11.2</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1"/>
                <w:w w:val="105"/>
                <w:sz w:val="18"/>
              </w:rPr>
              <w:t>Inactive</w:t>
            </w:r>
            <w:r>
              <w:rPr>
                <w:spacing w:val="-10"/>
                <w:w w:val="105"/>
                <w:sz w:val="18"/>
              </w:rPr>
              <w:t xml:space="preserve"> </w:t>
            </w:r>
            <w:r>
              <w:rPr>
                <w:spacing w:val="-1"/>
                <w:w w:val="105"/>
                <w:sz w:val="18"/>
              </w:rPr>
              <w:t>population</w:t>
            </w:r>
            <w:r>
              <w:rPr>
                <w:spacing w:val="-10"/>
                <w:w w:val="105"/>
                <w:sz w:val="18"/>
              </w:rPr>
              <w:t xml:space="preserve"> </w:t>
            </w:r>
            <w:r>
              <w:rPr>
                <w:w w:val="105"/>
                <w:sz w:val="18"/>
              </w:rPr>
              <w:t>due</w:t>
            </w:r>
            <w:r>
              <w:rPr>
                <w:spacing w:val="-10"/>
                <w:w w:val="105"/>
                <w:sz w:val="18"/>
              </w:rPr>
              <w:t xml:space="preserve"> </w:t>
            </w:r>
            <w:r>
              <w:rPr>
                <w:w w:val="105"/>
                <w:sz w:val="18"/>
              </w:rPr>
              <w:t>to</w:t>
            </w:r>
            <w:r>
              <w:rPr>
                <w:spacing w:val="-6"/>
                <w:w w:val="105"/>
                <w:sz w:val="18"/>
              </w:rPr>
              <w:t xml:space="preserve"> </w:t>
            </w:r>
            <w:r>
              <w:rPr>
                <w:w w:val="105"/>
                <w:sz w:val="18"/>
              </w:rPr>
              <w:t>caring</w:t>
            </w:r>
            <w:r>
              <w:rPr>
                <w:spacing w:val="-9"/>
                <w:w w:val="105"/>
                <w:sz w:val="18"/>
              </w:rPr>
              <w:t xml:space="preserve"> </w:t>
            </w:r>
            <w:r>
              <w:rPr>
                <w:w w:val="105"/>
                <w:sz w:val="18"/>
              </w:rPr>
              <w:t>responsibilities</w:t>
            </w:r>
            <w:r>
              <w:rPr>
                <w:spacing w:val="-8"/>
                <w:w w:val="105"/>
                <w:sz w:val="18"/>
              </w:rPr>
              <w:t xml:space="preserve"> </w:t>
            </w:r>
            <w:r>
              <w:rPr>
                <w:w w:val="105"/>
                <w:sz w:val="18"/>
              </w:rPr>
              <w:t>by</w:t>
            </w:r>
            <w:r>
              <w:rPr>
                <w:spacing w:val="-9"/>
                <w:w w:val="105"/>
                <w:sz w:val="18"/>
              </w:rPr>
              <w:t xml:space="preserve"> </w:t>
            </w:r>
            <w:r>
              <w:rPr>
                <w:w w:val="105"/>
                <w:sz w:val="18"/>
              </w:rPr>
              <w:t>sex</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533"/>
              <w:jc w:val="right"/>
              <w:rPr>
                <w:sz w:val="18"/>
              </w:rPr>
            </w:pPr>
            <w:r>
              <w:rPr>
                <w:w w:val="105"/>
                <w:sz w:val="18"/>
              </w:rPr>
              <w:t>percentage</w:t>
            </w:r>
            <w:r>
              <w:rPr>
                <w:spacing w:val="-10"/>
                <w:w w:val="105"/>
                <w:sz w:val="18"/>
              </w:rPr>
              <w:t xml:space="preserve"> </w:t>
            </w:r>
            <w:r>
              <w:rPr>
                <w:w w:val="105"/>
                <w:sz w:val="18"/>
              </w:rPr>
              <w:t>points,</w:t>
            </w:r>
            <w:r>
              <w:rPr>
                <w:spacing w:val="-9"/>
                <w:w w:val="105"/>
                <w:sz w:val="18"/>
              </w:rPr>
              <w:t xml:space="preserve"> </w:t>
            </w:r>
            <w:r>
              <w:rPr>
                <w:w w:val="105"/>
                <w:sz w:val="18"/>
              </w:rPr>
              <w:t>persons</w:t>
            </w:r>
            <w:r>
              <w:rPr>
                <w:spacing w:val="-6"/>
                <w:w w:val="105"/>
                <w:sz w:val="18"/>
              </w:rPr>
              <w:t xml:space="preserve"> </w:t>
            </w:r>
            <w:r>
              <w:rPr>
                <w:w w:val="105"/>
                <w:sz w:val="18"/>
              </w:rPr>
              <w:t>aged</w:t>
            </w:r>
            <w:r>
              <w:rPr>
                <w:spacing w:val="-3"/>
                <w:w w:val="105"/>
                <w:sz w:val="18"/>
              </w:rPr>
              <w:t xml:space="preserve"> </w:t>
            </w:r>
            <w:r>
              <w:rPr>
                <w:w w:val="105"/>
                <w:sz w:val="18"/>
              </w:rPr>
              <w:t>20</w:t>
            </w:r>
            <w:r>
              <w:rPr>
                <w:spacing w:val="-7"/>
                <w:w w:val="105"/>
                <w:sz w:val="18"/>
              </w:rPr>
              <w:t xml:space="preserve"> </w:t>
            </w:r>
            <w:r>
              <w:rPr>
                <w:w w:val="105"/>
                <w:sz w:val="18"/>
              </w:rPr>
              <w:t>to</w:t>
            </w:r>
            <w:r>
              <w:rPr>
                <w:spacing w:val="-7"/>
                <w:w w:val="105"/>
                <w:sz w:val="18"/>
              </w:rPr>
              <w:t xml:space="preserve"> </w:t>
            </w:r>
            <w:r>
              <w:rPr>
                <w:w w:val="105"/>
                <w:sz w:val="18"/>
              </w:rPr>
              <w:t>64</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3"/>
              <w:jc w:val="right"/>
              <w:rPr>
                <w:sz w:val="18"/>
              </w:rPr>
            </w:pPr>
            <w:r>
              <w:rPr>
                <w:w w:val="105"/>
                <w:sz w:val="18"/>
              </w:rPr>
              <w:t>22.1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25.7</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sz w:val="18"/>
              </w:rPr>
              <w:t>Seats</w:t>
            </w:r>
            <w:r>
              <w:rPr>
                <w:spacing w:val="6"/>
                <w:sz w:val="18"/>
              </w:rPr>
              <w:t xml:space="preserve"> </w:t>
            </w:r>
            <w:r>
              <w:rPr>
                <w:sz w:val="18"/>
              </w:rPr>
              <w:t>held</w:t>
            </w:r>
            <w:r>
              <w:rPr>
                <w:spacing w:val="9"/>
                <w:sz w:val="18"/>
              </w:rPr>
              <w:t xml:space="preserve"> </w:t>
            </w:r>
            <w:r>
              <w:rPr>
                <w:sz w:val="18"/>
              </w:rPr>
              <w:t>by</w:t>
            </w:r>
            <w:r>
              <w:rPr>
                <w:spacing w:val="10"/>
                <w:sz w:val="18"/>
              </w:rPr>
              <w:t xml:space="preserve"> </w:t>
            </w:r>
            <w:r>
              <w:rPr>
                <w:sz w:val="18"/>
              </w:rPr>
              <w:t>women</w:t>
            </w:r>
            <w:r>
              <w:rPr>
                <w:spacing w:val="10"/>
                <w:sz w:val="18"/>
              </w:rPr>
              <w:t xml:space="preserve"> </w:t>
            </w:r>
            <w:r>
              <w:rPr>
                <w:sz w:val="18"/>
              </w:rPr>
              <w:t>in</w:t>
            </w:r>
            <w:r>
              <w:rPr>
                <w:spacing w:val="7"/>
                <w:sz w:val="18"/>
              </w:rPr>
              <w:t xml:space="preserve"> </w:t>
            </w:r>
            <w:r>
              <w:rPr>
                <w:sz w:val="18"/>
              </w:rPr>
              <w:t>national</w:t>
            </w:r>
            <w:r>
              <w:rPr>
                <w:spacing w:val="9"/>
                <w:sz w:val="18"/>
              </w:rPr>
              <w:t xml:space="preserve"> </w:t>
            </w:r>
            <w:r>
              <w:rPr>
                <w:sz w:val="18"/>
              </w:rPr>
              <w:t>parliaments</w:t>
            </w:r>
            <w:r>
              <w:rPr>
                <w:spacing w:val="10"/>
                <w:sz w:val="18"/>
              </w:rPr>
              <w:t xml:space="preserve"> </w:t>
            </w:r>
            <w:r>
              <w:rPr>
                <w:sz w:val="18"/>
              </w:rPr>
              <w:t>and</w:t>
            </w:r>
            <w:r>
              <w:rPr>
                <w:spacing w:val="9"/>
                <w:sz w:val="18"/>
              </w:rPr>
              <w:t xml:space="preserve"> </w:t>
            </w:r>
            <w:r>
              <w:rPr>
                <w:sz w:val="18"/>
              </w:rPr>
              <w:t>governments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61"/>
              <w:jc w:val="center"/>
              <w:rPr>
                <w:sz w:val="18"/>
              </w:rPr>
            </w:pPr>
            <w:r>
              <w:rPr>
                <w:spacing w:val="-6"/>
                <w:w w:val="105"/>
                <w:sz w:val="18"/>
              </w:rPr>
              <w:t>%</w:t>
            </w:r>
            <w:r>
              <w:rPr>
                <w:spacing w:val="-5"/>
                <w:w w:val="105"/>
                <w:sz w:val="18"/>
              </w:rPr>
              <w:t xml:space="preserve"> </w:t>
            </w:r>
            <w:r>
              <w:rPr>
                <w:spacing w:val="-6"/>
                <w:w w:val="105"/>
                <w:sz w:val="18"/>
              </w:rPr>
              <w:t>seats</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3"/>
              <w:jc w:val="right"/>
              <w:rPr>
                <w:sz w:val="18"/>
              </w:rPr>
            </w:pPr>
            <w:r>
              <w:rPr>
                <w:w w:val="105"/>
                <w:sz w:val="18"/>
              </w:rPr>
              <w:t>23.8</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4"/>
              <w:jc w:val="right"/>
              <w:rPr>
                <w:sz w:val="18"/>
              </w:rPr>
            </w:pPr>
            <w:r>
              <w:rPr>
                <w:w w:val="105"/>
                <w:sz w:val="18"/>
              </w:rPr>
              <w:t>31.1</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2"/>
                <w:w w:val="105"/>
                <w:sz w:val="18"/>
              </w:rPr>
              <w:t>Positions</w:t>
            </w:r>
            <w:r>
              <w:rPr>
                <w:spacing w:val="-8"/>
                <w:w w:val="105"/>
                <w:sz w:val="18"/>
              </w:rPr>
              <w:t xml:space="preserve"> </w:t>
            </w:r>
            <w:r>
              <w:rPr>
                <w:spacing w:val="-2"/>
                <w:w w:val="105"/>
                <w:sz w:val="18"/>
              </w:rPr>
              <w:t>held</w:t>
            </w:r>
            <w:r>
              <w:rPr>
                <w:spacing w:val="-7"/>
                <w:w w:val="105"/>
                <w:sz w:val="18"/>
              </w:rPr>
              <w:t xml:space="preserve"> </w:t>
            </w:r>
            <w:r>
              <w:rPr>
                <w:spacing w:val="-2"/>
                <w:w w:val="105"/>
                <w:sz w:val="18"/>
              </w:rPr>
              <w:t>by</w:t>
            </w:r>
            <w:r>
              <w:rPr>
                <w:spacing w:val="-7"/>
                <w:w w:val="105"/>
                <w:sz w:val="18"/>
              </w:rPr>
              <w:t xml:space="preserve"> </w:t>
            </w:r>
            <w:r>
              <w:rPr>
                <w:spacing w:val="-2"/>
                <w:w w:val="105"/>
                <w:sz w:val="18"/>
              </w:rPr>
              <w:t>women</w:t>
            </w:r>
            <w:r>
              <w:rPr>
                <w:spacing w:val="-7"/>
                <w:w w:val="105"/>
                <w:sz w:val="18"/>
              </w:rPr>
              <w:t xml:space="preserve"> </w:t>
            </w:r>
            <w:r>
              <w:rPr>
                <w:spacing w:val="-2"/>
                <w:w w:val="105"/>
                <w:sz w:val="18"/>
              </w:rPr>
              <w:t>in</w:t>
            </w:r>
            <w:r>
              <w:rPr>
                <w:spacing w:val="-7"/>
                <w:w w:val="105"/>
                <w:sz w:val="18"/>
              </w:rPr>
              <w:t xml:space="preserve"> </w:t>
            </w:r>
            <w:r>
              <w:rPr>
                <w:spacing w:val="-1"/>
                <w:w w:val="105"/>
                <w:sz w:val="18"/>
              </w:rPr>
              <w:t>senior</w:t>
            </w:r>
            <w:r>
              <w:rPr>
                <w:spacing w:val="-5"/>
                <w:w w:val="105"/>
                <w:sz w:val="18"/>
              </w:rPr>
              <w:t xml:space="preserve"> </w:t>
            </w:r>
            <w:r>
              <w:rPr>
                <w:spacing w:val="-1"/>
                <w:w w:val="105"/>
                <w:sz w:val="18"/>
              </w:rPr>
              <w:t>management</w:t>
            </w:r>
            <w:r>
              <w:rPr>
                <w:spacing w:val="-11"/>
                <w:w w:val="105"/>
                <w:sz w:val="18"/>
              </w:rPr>
              <w:t xml:space="preserve"> </w:t>
            </w:r>
            <w:r>
              <w:rPr>
                <w:spacing w:val="-1"/>
                <w:w w:val="105"/>
                <w:sz w:val="18"/>
              </w:rPr>
              <w:t>positions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63"/>
              <w:rPr>
                <w:sz w:val="18"/>
              </w:rPr>
            </w:pPr>
            <w:r>
              <w:rPr>
                <w:w w:val="105"/>
                <w:sz w:val="18"/>
              </w:rPr>
              <w:t>%</w:t>
            </w:r>
            <w:r>
              <w:rPr>
                <w:spacing w:val="-5"/>
                <w:w w:val="105"/>
                <w:sz w:val="18"/>
              </w:rPr>
              <w:t xml:space="preserve"> </w:t>
            </w:r>
            <w:r>
              <w:rPr>
                <w:w w:val="105"/>
                <w:sz w:val="18"/>
              </w:rPr>
              <w:t>board members</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15.1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26.2</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z w:val="18"/>
              </w:rPr>
              <w:t>Early</w:t>
            </w:r>
            <w:r>
              <w:rPr>
                <w:spacing w:val="-4"/>
                <w:sz w:val="18"/>
              </w:rPr>
              <w:t xml:space="preserve"> </w:t>
            </w:r>
            <w:r>
              <w:rPr>
                <w:sz w:val="18"/>
              </w:rPr>
              <w:t>leavers</w:t>
            </w:r>
            <w:r>
              <w:rPr>
                <w:spacing w:val="-5"/>
                <w:sz w:val="18"/>
              </w:rPr>
              <w:t xml:space="preserve"> </w:t>
            </w:r>
            <w:r>
              <w:rPr>
                <w:sz w:val="18"/>
              </w:rPr>
              <w:t>from</w:t>
            </w:r>
            <w:r>
              <w:rPr>
                <w:spacing w:val="-5"/>
                <w:sz w:val="18"/>
              </w:rPr>
              <w:t xml:space="preserve"> </w:t>
            </w:r>
            <w:r>
              <w:rPr>
                <w:sz w:val="18"/>
              </w:rPr>
              <w:t>education</w:t>
            </w:r>
            <w:r>
              <w:rPr>
                <w:spacing w:val="-3"/>
                <w:sz w:val="18"/>
              </w:rPr>
              <w:t xml:space="preserve"> </w:t>
            </w:r>
            <w:r>
              <w:rPr>
                <w:sz w:val="18"/>
              </w:rPr>
              <w:t>and</w:t>
            </w:r>
            <w:r>
              <w:rPr>
                <w:spacing w:val="-4"/>
                <w:sz w:val="18"/>
              </w:rPr>
              <w:t xml:space="preserve"> </w:t>
            </w:r>
            <w:r>
              <w:rPr>
                <w:sz w:val="18"/>
              </w:rPr>
              <w:t>training</w:t>
            </w:r>
            <w:r>
              <w:rPr>
                <w:spacing w:val="-7"/>
                <w:sz w:val="18"/>
              </w:rPr>
              <w:t xml:space="preserve"> </w:t>
            </w:r>
            <w:r>
              <w:rPr>
                <w:sz w:val="18"/>
              </w:rPr>
              <w:t>by</w:t>
            </w:r>
            <w:r>
              <w:rPr>
                <w:spacing w:val="-4"/>
                <w:sz w:val="18"/>
              </w:rPr>
              <w:t xml:space="preserve"> </w:t>
            </w:r>
            <w:r>
              <w:rPr>
                <w:sz w:val="18"/>
              </w:rPr>
              <w:t>sex</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533"/>
              <w:jc w:val="right"/>
              <w:rPr>
                <w:sz w:val="18"/>
              </w:rPr>
            </w:pPr>
            <w:r>
              <w:rPr>
                <w:w w:val="105"/>
                <w:sz w:val="18"/>
              </w:rPr>
              <w:t>percentage</w:t>
            </w:r>
            <w:r>
              <w:rPr>
                <w:spacing w:val="-10"/>
                <w:w w:val="105"/>
                <w:sz w:val="18"/>
              </w:rPr>
              <w:t xml:space="preserve"> </w:t>
            </w:r>
            <w:r>
              <w:rPr>
                <w:w w:val="105"/>
                <w:sz w:val="18"/>
              </w:rPr>
              <w:t>points,</w:t>
            </w:r>
            <w:r>
              <w:rPr>
                <w:spacing w:val="-9"/>
                <w:w w:val="105"/>
                <w:sz w:val="18"/>
              </w:rPr>
              <w:t xml:space="preserve"> </w:t>
            </w:r>
            <w:r>
              <w:rPr>
                <w:w w:val="105"/>
                <w:sz w:val="18"/>
              </w:rPr>
              <w:t>persons</w:t>
            </w:r>
            <w:r>
              <w:rPr>
                <w:spacing w:val="-6"/>
                <w:w w:val="105"/>
                <w:sz w:val="18"/>
              </w:rPr>
              <w:t xml:space="preserve"> </w:t>
            </w:r>
            <w:r>
              <w:rPr>
                <w:w w:val="105"/>
                <w:sz w:val="18"/>
              </w:rPr>
              <w:t>aged</w:t>
            </w:r>
            <w:r>
              <w:rPr>
                <w:spacing w:val="-3"/>
                <w:w w:val="105"/>
                <w:sz w:val="18"/>
              </w:rPr>
              <w:t xml:space="preserve"> </w:t>
            </w:r>
            <w:r>
              <w:rPr>
                <w:w w:val="105"/>
                <w:sz w:val="18"/>
              </w:rPr>
              <w:t>18</w:t>
            </w:r>
            <w:r>
              <w:rPr>
                <w:spacing w:val="-7"/>
                <w:w w:val="105"/>
                <w:sz w:val="18"/>
              </w:rPr>
              <w:t xml:space="preserve"> </w:t>
            </w:r>
            <w:r>
              <w:rPr>
                <w:w w:val="105"/>
                <w:sz w:val="18"/>
              </w:rPr>
              <w:t>to</w:t>
            </w:r>
            <w:r>
              <w:rPr>
                <w:spacing w:val="-7"/>
                <w:w w:val="105"/>
                <w:sz w:val="18"/>
              </w:rPr>
              <w:t xml:space="preserve"> </w:t>
            </w:r>
            <w:r>
              <w:rPr>
                <w:w w:val="105"/>
                <w:sz w:val="18"/>
              </w:rPr>
              <w:t>24</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3"/>
              <w:jc w:val="right"/>
              <w:rPr>
                <w:sz w:val="18"/>
              </w:rPr>
            </w:pPr>
            <w:r>
              <w:rPr>
                <w:w w:val="105"/>
                <w:sz w:val="18"/>
              </w:rPr>
              <w:t>2.1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0.4</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z w:val="18"/>
              </w:rPr>
              <w:t>Tertiary</w:t>
            </w:r>
            <w:r>
              <w:rPr>
                <w:spacing w:val="-6"/>
                <w:sz w:val="18"/>
              </w:rPr>
              <w:t xml:space="preserve"> </w:t>
            </w:r>
            <w:r>
              <w:rPr>
                <w:sz w:val="18"/>
              </w:rPr>
              <w:t>educational</w:t>
            </w:r>
            <w:r>
              <w:rPr>
                <w:spacing w:val="-7"/>
                <w:sz w:val="18"/>
              </w:rPr>
              <w:t xml:space="preserve"> </w:t>
            </w:r>
            <w:r>
              <w:rPr>
                <w:sz w:val="18"/>
              </w:rPr>
              <w:t>attainment</w:t>
            </w:r>
            <w:r>
              <w:rPr>
                <w:spacing w:val="-7"/>
                <w:sz w:val="18"/>
              </w:rPr>
              <w:t xml:space="preserve"> </w:t>
            </w:r>
            <w:r>
              <w:rPr>
                <w:sz w:val="18"/>
              </w:rPr>
              <w:t>by</w:t>
            </w:r>
            <w:r>
              <w:rPr>
                <w:spacing w:val="-5"/>
                <w:sz w:val="18"/>
              </w:rPr>
              <w:t xml:space="preserve"> </w:t>
            </w:r>
            <w:r>
              <w:rPr>
                <w:sz w:val="18"/>
              </w:rPr>
              <w:t>sex</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533"/>
              <w:jc w:val="right"/>
              <w:rPr>
                <w:sz w:val="18"/>
              </w:rPr>
            </w:pPr>
            <w:r>
              <w:rPr>
                <w:sz w:val="18"/>
              </w:rPr>
              <w:t>percentage</w:t>
            </w:r>
            <w:r>
              <w:rPr>
                <w:spacing w:val="11"/>
                <w:sz w:val="18"/>
              </w:rPr>
              <w:t xml:space="preserve"> </w:t>
            </w:r>
            <w:r>
              <w:rPr>
                <w:sz w:val="18"/>
              </w:rPr>
              <w:t>points,</w:t>
            </w:r>
            <w:r>
              <w:rPr>
                <w:spacing w:val="11"/>
                <w:sz w:val="18"/>
              </w:rPr>
              <w:t xml:space="preserve"> </w:t>
            </w:r>
            <w:r>
              <w:rPr>
                <w:sz w:val="18"/>
              </w:rPr>
              <w:t>persons</w:t>
            </w:r>
            <w:r>
              <w:rPr>
                <w:spacing w:val="15"/>
                <w:sz w:val="18"/>
              </w:rPr>
              <w:t xml:space="preserve"> </w:t>
            </w:r>
            <w:r>
              <w:rPr>
                <w:sz w:val="18"/>
              </w:rPr>
              <w:t>aged</w:t>
            </w:r>
            <w:r>
              <w:rPr>
                <w:spacing w:val="21"/>
                <w:sz w:val="18"/>
              </w:rPr>
              <w:t xml:space="preserve"> </w:t>
            </w:r>
            <w:r>
              <w:rPr>
                <w:sz w:val="18"/>
              </w:rPr>
              <w:t>25</w:t>
            </w:r>
            <w:r>
              <w:rPr>
                <w:spacing w:val="7"/>
                <w:sz w:val="18"/>
              </w:rPr>
              <w:t xml:space="preserve"> </w:t>
            </w:r>
            <w:r>
              <w:rPr>
                <w:sz w:val="18"/>
              </w:rPr>
              <w:t>to</w:t>
            </w:r>
            <w:r>
              <w:rPr>
                <w:spacing w:val="10"/>
                <w:sz w:val="18"/>
              </w:rPr>
              <w:t xml:space="preserve"> </w:t>
            </w:r>
            <w:r>
              <w:rPr>
                <w:sz w:val="18"/>
              </w:rPr>
              <w:t>34</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3"/>
              <w:jc w:val="right"/>
              <w:rPr>
                <w:sz w:val="18"/>
              </w:rPr>
            </w:pPr>
            <w:r>
              <w:rPr>
                <w:w w:val="105"/>
                <w:sz w:val="18"/>
              </w:rPr>
              <w:t>13.5</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18.3</w:t>
            </w:r>
          </w:p>
        </w:tc>
      </w:tr>
      <w:tr w:rsidR="00A56FE9">
        <w:trPr>
          <w:trHeight w:val="338"/>
        </w:trPr>
        <w:tc>
          <w:tcPr>
            <w:tcW w:w="14020" w:type="dxa"/>
            <w:gridSpan w:val="6"/>
            <w:tcBorders>
              <w:top w:val="single" w:sz="4" w:space="0" w:color="2C398A"/>
              <w:left w:val="nil"/>
              <w:bottom w:val="single" w:sz="4" w:space="0" w:color="2C398A"/>
              <w:right w:val="nil"/>
            </w:tcBorders>
          </w:tcPr>
          <w:p w:rsidR="00A56FE9" w:rsidRDefault="00000000">
            <w:pPr>
              <w:pStyle w:val="TableParagraph"/>
              <w:spacing w:before="64"/>
              <w:ind w:left="71"/>
              <w:rPr>
                <w:b/>
                <w:sz w:val="18"/>
              </w:rPr>
            </w:pPr>
            <w:r>
              <w:rPr>
                <w:b/>
                <w:color w:val="003399"/>
                <w:w w:val="105"/>
                <w:sz w:val="18"/>
              </w:rPr>
              <w:t>Goal</w:t>
            </w:r>
            <w:r>
              <w:rPr>
                <w:b/>
                <w:color w:val="003399"/>
                <w:spacing w:val="-5"/>
                <w:w w:val="105"/>
                <w:sz w:val="18"/>
              </w:rPr>
              <w:t xml:space="preserve"> </w:t>
            </w:r>
            <w:r>
              <w:rPr>
                <w:b/>
                <w:color w:val="003399"/>
                <w:w w:val="105"/>
                <w:sz w:val="18"/>
              </w:rPr>
              <w:t>6</w:t>
            </w:r>
            <w:r>
              <w:rPr>
                <w:b/>
                <w:color w:val="003399"/>
                <w:spacing w:val="-3"/>
                <w:w w:val="105"/>
                <w:sz w:val="18"/>
              </w:rPr>
              <w:t xml:space="preserve"> </w:t>
            </w:r>
            <w:r>
              <w:rPr>
                <w:b/>
                <w:color w:val="003399"/>
                <w:w w:val="105"/>
                <w:sz w:val="18"/>
              </w:rPr>
              <w:t>-</w:t>
            </w:r>
            <w:r>
              <w:rPr>
                <w:b/>
                <w:color w:val="003399"/>
                <w:spacing w:val="-3"/>
                <w:w w:val="105"/>
                <w:sz w:val="18"/>
              </w:rPr>
              <w:t xml:space="preserve"> </w:t>
            </w:r>
            <w:r>
              <w:rPr>
                <w:b/>
                <w:color w:val="003399"/>
                <w:w w:val="105"/>
                <w:sz w:val="18"/>
              </w:rPr>
              <w:t>Clean</w:t>
            </w:r>
            <w:r>
              <w:rPr>
                <w:b/>
                <w:color w:val="003399"/>
                <w:spacing w:val="-1"/>
                <w:w w:val="105"/>
                <w:sz w:val="18"/>
              </w:rPr>
              <w:t xml:space="preserve"> </w:t>
            </w:r>
            <w:r>
              <w:rPr>
                <w:b/>
                <w:color w:val="003399"/>
                <w:w w:val="105"/>
                <w:sz w:val="18"/>
              </w:rPr>
              <w:t>water</w:t>
            </w:r>
            <w:r>
              <w:rPr>
                <w:b/>
                <w:color w:val="003399"/>
                <w:spacing w:val="-4"/>
                <w:w w:val="105"/>
                <w:sz w:val="18"/>
              </w:rPr>
              <w:t xml:space="preserve"> </w:t>
            </w:r>
            <w:r>
              <w:rPr>
                <w:b/>
                <w:color w:val="003399"/>
                <w:w w:val="105"/>
                <w:sz w:val="18"/>
              </w:rPr>
              <w:t>and</w:t>
            </w:r>
            <w:r>
              <w:rPr>
                <w:b/>
                <w:color w:val="003399"/>
                <w:spacing w:val="-4"/>
                <w:w w:val="105"/>
                <w:sz w:val="18"/>
              </w:rPr>
              <w:t xml:space="preserve"> </w:t>
            </w:r>
            <w:r>
              <w:rPr>
                <w:b/>
                <w:color w:val="003399"/>
                <w:w w:val="105"/>
                <w:sz w:val="18"/>
              </w:rPr>
              <w:t>sanitation</w:t>
            </w:r>
          </w:p>
        </w:tc>
      </w:tr>
      <w:tr w:rsidR="00A56FE9">
        <w:trPr>
          <w:trHeight w:val="41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line="206" w:lineRule="exact"/>
              <w:ind w:left="71"/>
              <w:rPr>
                <w:sz w:val="18"/>
              </w:rPr>
            </w:pPr>
            <w:r>
              <w:rPr>
                <w:w w:val="105"/>
                <w:sz w:val="18"/>
              </w:rPr>
              <w:t>Population</w:t>
            </w:r>
            <w:r>
              <w:rPr>
                <w:spacing w:val="21"/>
                <w:w w:val="105"/>
                <w:sz w:val="18"/>
              </w:rPr>
              <w:t xml:space="preserve"> </w:t>
            </w:r>
            <w:r>
              <w:rPr>
                <w:w w:val="105"/>
                <w:sz w:val="18"/>
              </w:rPr>
              <w:t>having</w:t>
            </w:r>
            <w:r>
              <w:rPr>
                <w:spacing w:val="22"/>
                <w:w w:val="105"/>
                <w:sz w:val="18"/>
              </w:rPr>
              <w:t xml:space="preserve"> </w:t>
            </w:r>
            <w:r>
              <w:rPr>
                <w:w w:val="105"/>
                <w:sz w:val="18"/>
              </w:rPr>
              <w:t>neither</w:t>
            </w:r>
            <w:r>
              <w:rPr>
                <w:spacing w:val="22"/>
                <w:w w:val="105"/>
                <w:sz w:val="18"/>
              </w:rPr>
              <w:t xml:space="preserve"> </w:t>
            </w:r>
            <w:r>
              <w:rPr>
                <w:w w:val="105"/>
                <w:sz w:val="18"/>
              </w:rPr>
              <w:t>a</w:t>
            </w:r>
            <w:r>
              <w:rPr>
                <w:spacing w:val="20"/>
                <w:w w:val="105"/>
                <w:sz w:val="18"/>
              </w:rPr>
              <w:t xml:space="preserve"> </w:t>
            </w:r>
            <w:r>
              <w:rPr>
                <w:w w:val="105"/>
                <w:sz w:val="18"/>
              </w:rPr>
              <w:t>bath,</w:t>
            </w:r>
            <w:r>
              <w:rPr>
                <w:spacing w:val="20"/>
                <w:w w:val="105"/>
                <w:sz w:val="18"/>
              </w:rPr>
              <w:t xml:space="preserve"> </w:t>
            </w:r>
            <w:r>
              <w:rPr>
                <w:w w:val="105"/>
                <w:sz w:val="18"/>
              </w:rPr>
              <w:t>nor</w:t>
            </w:r>
            <w:r>
              <w:rPr>
                <w:spacing w:val="22"/>
                <w:w w:val="105"/>
                <w:sz w:val="18"/>
              </w:rPr>
              <w:t xml:space="preserve"> </w:t>
            </w:r>
            <w:r>
              <w:rPr>
                <w:w w:val="105"/>
                <w:sz w:val="18"/>
              </w:rPr>
              <w:t>a</w:t>
            </w:r>
            <w:r>
              <w:rPr>
                <w:spacing w:val="20"/>
                <w:w w:val="105"/>
                <w:sz w:val="18"/>
              </w:rPr>
              <w:t xml:space="preserve"> </w:t>
            </w:r>
            <w:r>
              <w:rPr>
                <w:w w:val="105"/>
                <w:sz w:val="18"/>
              </w:rPr>
              <w:t>shower,</w:t>
            </w:r>
            <w:r>
              <w:rPr>
                <w:spacing w:val="20"/>
                <w:w w:val="105"/>
                <w:sz w:val="18"/>
              </w:rPr>
              <w:t xml:space="preserve"> </w:t>
            </w:r>
            <w:r>
              <w:rPr>
                <w:w w:val="105"/>
                <w:sz w:val="18"/>
              </w:rPr>
              <w:t>nor</w:t>
            </w:r>
            <w:r>
              <w:rPr>
                <w:spacing w:val="22"/>
                <w:w w:val="105"/>
                <w:sz w:val="18"/>
              </w:rPr>
              <w:t xml:space="preserve"> </w:t>
            </w:r>
            <w:r>
              <w:rPr>
                <w:w w:val="105"/>
                <w:sz w:val="18"/>
              </w:rPr>
              <w:t>indoor</w:t>
            </w:r>
            <w:r>
              <w:rPr>
                <w:spacing w:val="22"/>
                <w:w w:val="105"/>
                <w:sz w:val="18"/>
              </w:rPr>
              <w:t xml:space="preserve"> </w:t>
            </w:r>
            <w:r>
              <w:rPr>
                <w:w w:val="105"/>
                <w:sz w:val="18"/>
              </w:rPr>
              <w:t>flushing</w:t>
            </w:r>
            <w:r>
              <w:rPr>
                <w:spacing w:val="21"/>
                <w:w w:val="105"/>
                <w:sz w:val="18"/>
              </w:rPr>
              <w:t xml:space="preserve"> </w:t>
            </w:r>
            <w:r>
              <w:rPr>
                <w:w w:val="105"/>
                <w:sz w:val="18"/>
              </w:rPr>
              <w:t>toilet</w:t>
            </w:r>
            <w:r>
              <w:rPr>
                <w:spacing w:val="20"/>
                <w:w w:val="105"/>
                <w:sz w:val="18"/>
              </w:rPr>
              <w:t xml:space="preserve"> </w:t>
            </w:r>
            <w:r>
              <w:rPr>
                <w:w w:val="105"/>
                <w:sz w:val="18"/>
              </w:rPr>
              <w:t>in</w:t>
            </w:r>
            <w:r>
              <w:rPr>
                <w:spacing w:val="24"/>
                <w:w w:val="105"/>
                <w:sz w:val="18"/>
              </w:rPr>
              <w:t xml:space="preserve"> </w:t>
            </w:r>
            <w:r>
              <w:rPr>
                <w:w w:val="105"/>
                <w:sz w:val="18"/>
              </w:rPr>
              <w:t>their</w:t>
            </w:r>
            <w:r>
              <w:rPr>
                <w:spacing w:val="-45"/>
                <w:w w:val="105"/>
                <w:sz w:val="18"/>
              </w:rPr>
              <w:t xml:space="preserve"> </w:t>
            </w:r>
            <w:r>
              <w:rPr>
                <w:w w:val="105"/>
                <w:sz w:val="18"/>
              </w:rPr>
              <w:t>household</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left="64" w:right="68"/>
              <w:jc w:val="center"/>
              <w:rPr>
                <w:sz w:val="18"/>
              </w:rPr>
            </w:pPr>
            <w:r>
              <w:rPr>
                <w:w w:val="105"/>
                <w:sz w:val="18"/>
              </w:rPr>
              <w:t>%</w:t>
            </w:r>
            <w:r>
              <w:rPr>
                <w:spacing w:val="-1"/>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right="113"/>
              <w:jc w:val="right"/>
              <w:rPr>
                <w:sz w:val="18"/>
              </w:rPr>
            </w:pPr>
            <w:r>
              <w:rPr>
                <w:w w:val="105"/>
                <w:sz w:val="18"/>
              </w:rPr>
              <w:t>1.5</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100"/>
              <w:ind w:right="144"/>
              <w:jc w:val="right"/>
              <w:rPr>
                <w:sz w:val="18"/>
              </w:rPr>
            </w:pPr>
            <w:r>
              <w:rPr>
                <w:w w:val="105"/>
                <w:sz w:val="18"/>
              </w:rPr>
              <w:t>0.7</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z w:val="18"/>
              </w:rPr>
              <w:t>Population</w:t>
            </w:r>
            <w:r>
              <w:rPr>
                <w:spacing w:val="-6"/>
                <w:sz w:val="18"/>
              </w:rPr>
              <w:t xml:space="preserve"> </w:t>
            </w:r>
            <w:r>
              <w:rPr>
                <w:sz w:val="18"/>
              </w:rPr>
              <w:t>connected</w:t>
            </w:r>
            <w:r>
              <w:rPr>
                <w:spacing w:val="-5"/>
                <w:sz w:val="18"/>
              </w:rPr>
              <w:t xml:space="preserve"> </w:t>
            </w:r>
            <w:r>
              <w:rPr>
                <w:sz w:val="18"/>
              </w:rPr>
              <w:t>to</w:t>
            </w:r>
            <w:r>
              <w:rPr>
                <w:spacing w:val="-5"/>
                <w:sz w:val="18"/>
              </w:rPr>
              <w:t xml:space="preserve"> </w:t>
            </w:r>
            <w:r>
              <w:rPr>
                <w:sz w:val="18"/>
              </w:rPr>
              <w:t>at</w:t>
            </w:r>
            <w:r>
              <w:rPr>
                <w:spacing w:val="-8"/>
                <w:sz w:val="18"/>
              </w:rPr>
              <w:t xml:space="preserve"> </w:t>
            </w:r>
            <w:r>
              <w:rPr>
                <w:sz w:val="18"/>
              </w:rPr>
              <w:t>least</w:t>
            </w:r>
            <w:r>
              <w:rPr>
                <w:spacing w:val="-7"/>
                <w:sz w:val="18"/>
              </w:rPr>
              <w:t xml:space="preserve"> </w:t>
            </w:r>
            <w:r>
              <w:rPr>
                <w:sz w:val="18"/>
              </w:rPr>
              <w:t>secondary</w:t>
            </w:r>
            <w:r>
              <w:rPr>
                <w:spacing w:val="-4"/>
                <w:sz w:val="18"/>
              </w:rPr>
              <w:t xml:space="preserve"> </w:t>
            </w:r>
            <w:r>
              <w:rPr>
                <w:sz w:val="18"/>
              </w:rPr>
              <w:t>wastewater</w:t>
            </w:r>
            <w:r>
              <w:rPr>
                <w:spacing w:val="-6"/>
                <w:sz w:val="18"/>
              </w:rPr>
              <w:t xml:space="preserve"> </w:t>
            </w:r>
            <w:r>
              <w:rPr>
                <w:sz w:val="18"/>
              </w:rPr>
              <w:t>treatment</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6"/>
              <w:jc w:val="center"/>
              <w:rPr>
                <w:sz w:val="18"/>
              </w:rPr>
            </w:pPr>
            <w:r>
              <w:rPr>
                <w:w w:val="105"/>
                <w:sz w:val="18"/>
              </w:rPr>
              <w:t>%</w:t>
            </w:r>
            <w:r>
              <w:rPr>
                <w:spacing w:val="-2"/>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3"/>
              <w:jc w:val="right"/>
              <w:rPr>
                <w:sz w:val="18"/>
              </w:rPr>
            </w:pPr>
            <w:r>
              <w:rPr>
                <w:w w:val="105"/>
                <w:sz w:val="18"/>
              </w:rPr>
              <w:t>36.9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2018</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36.9</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z w:val="18"/>
              </w:rPr>
              <w:t>Biochemical</w:t>
            </w:r>
            <w:r>
              <w:rPr>
                <w:spacing w:val="9"/>
                <w:sz w:val="18"/>
              </w:rPr>
              <w:t xml:space="preserve"> </w:t>
            </w:r>
            <w:r>
              <w:rPr>
                <w:sz w:val="18"/>
              </w:rPr>
              <w:t>oxygen</w:t>
            </w:r>
            <w:r>
              <w:rPr>
                <w:spacing w:val="11"/>
                <w:sz w:val="18"/>
              </w:rPr>
              <w:t xml:space="preserve"> </w:t>
            </w:r>
            <w:r>
              <w:rPr>
                <w:sz w:val="18"/>
              </w:rPr>
              <w:t>demand</w:t>
            </w:r>
            <w:r>
              <w:rPr>
                <w:spacing w:val="10"/>
                <w:sz w:val="18"/>
              </w:rPr>
              <w:t xml:space="preserve"> </w:t>
            </w:r>
            <w:r>
              <w:rPr>
                <w:sz w:val="18"/>
              </w:rPr>
              <w:t>in</w:t>
            </w:r>
            <w:r>
              <w:rPr>
                <w:spacing w:val="8"/>
                <w:sz w:val="18"/>
              </w:rPr>
              <w:t xml:space="preserve"> </w:t>
            </w:r>
            <w:r>
              <w:rPr>
                <w:sz w:val="18"/>
              </w:rPr>
              <w:t>rivers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08" w:lineRule="exact"/>
              <w:ind w:left="64" w:right="66"/>
              <w:jc w:val="center"/>
              <w:rPr>
                <w:sz w:val="18"/>
              </w:rPr>
            </w:pPr>
            <w:r>
              <w:rPr>
                <w:w w:val="105"/>
                <w:position w:val="2"/>
                <w:sz w:val="18"/>
              </w:rPr>
              <w:t>mg</w:t>
            </w:r>
            <w:r>
              <w:rPr>
                <w:spacing w:val="-11"/>
                <w:w w:val="105"/>
                <w:position w:val="2"/>
                <w:sz w:val="18"/>
              </w:rPr>
              <w:t xml:space="preserve"> </w:t>
            </w:r>
            <w:r>
              <w:rPr>
                <w:w w:val="105"/>
                <w:position w:val="2"/>
                <w:sz w:val="18"/>
              </w:rPr>
              <w:t>O</w:t>
            </w:r>
            <w:r>
              <w:rPr>
                <w:w w:val="105"/>
                <w:sz w:val="18"/>
              </w:rPr>
              <w:t>2</w:t>
            </w:r>
            <w:r>
              <w:rPr>
                <w:spacing w:val="2"/>
                <w:w w:val="105"/>
                <w:sz w:val="18"/>
              </w:rPr>
              <w:t xml:space="preserve"> </w:t>
            </w:r>
            <w:r>
              <w:rPr>
                <w:w w:val="105"/>
                <w:position w:val="2"/>
                <w:sz w:val="18"/>
              </w:rPr>
              <w:t>per</w:t>
            </w:r>
            <w:r>
              <w:rPr>
                <w:spacing w:val="-5"/>
                <w:w w:val="105"/>
                <w:position w:val="2"/>
                <w:sz w:val="18"/>
              </w:rPr>
              <w:t xml:space="preserve"> </w:t>
            </w:r>
            <w:r>
              <w:rPr>
                <w:w w:val="105"/>
                <w:position w:val="2"/>
                <w:sz w:val="18"/>
              </w:rPr>
              <w:t>litre</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0"/>
              <w:jc w:val="right"/>
              <w:rPr>
                <w:sz w:val="18"/>
              </w:rPr>
            </w:pPr>
            <w:r>
              <w:rPr>
                <w:w w:val="105"/>
                <w:sz w:val="18"/>
              </w:rPr>
              <w:t>2.16</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2018</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1"/>
              <w:jc w:val="right"/>
              <w:rPr>
                <w:sz w:val="18"/>
              </w:rPr>
            </w:pPr>
            <w:r>
              <w:rPr>
                <w:w w:val="105"/>
                <w:sz w:val="18"/>
              </w:rPr>
              <w:t>1.85</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spacing w:val="-1"/>
                <w:w w:val="105"/>
                <w:sz w:val="18"/>
              </w:rPr>
              <w:t>Phosphate</w:t>
            </w:r>
            <w:r>
              <w:rPr>
                <w:spacing w:val="-10"/>
                <w:w w:val="105"/>
                <w:sz w:val="18"/>
              </w:rPr>
              <w:t xml:space="preserve"> </w:t>
            </w:r>
            <w:r>
              <w:rPr>
                <w:spacing w:val="-1"/>
                <w:w w:val="105"/>
                <w:sz w:val="18"/>
              </w:rPr>
              <w:t>in</w:t>
            </w:r>
            <w:r>
              <w:rPr>
                <w:spacing w:val="-10"/>
                <w:w w:val="105"/>
                <w:sz w:val="18"/>
              </w:rPr>
              <w:t xml:space="preserve"> </w:t>
            </w:r>
            <w:r>
              <w:rPr>
                <w:spacing w:val="-1"/>
                <w:w w:val="105"/>
                <w:sz w:val="18"/>
              </w:rPr>
              <w:t>rivers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05" w:lineRule="exact"/>
              <w:ind w:left="64" w:right="64"/>
              <w:jc w:val="center"/>
              <w:rPr>
                <w:sz w:val="18"/>
              </w:rPr>
            </w:pPr>
            <w:r>
              <w:rPr>
                <w:spacing w:val="-1"/>
                <w:w w:val="105"/>
                <w:position w:val="2"/>
                <w:sz w:val="18"/>
              </w:rPr>
              <w:t>mg</w:t>
            </w:r>
            <w:r>
              <w:rPr>
                <w:spacing w:val="-11"/>
                <w:w w:val="105"/>
                <w:position w:val="2"/>
                <w:sz w:val="18"/>
              </w:rPr>
              <w:t xml:space="preserve"> </w:t>
            </w:r>
            <w:r>
              <w:rPr>
                <w:spacing w:val="-1"/>
                <w:w w:val="105"/>
                <w:position w:val="2"/>
                <w:sz w:val="18"/>
              </w:rPr>
              <w:t>PO</w:t>
            </w:r>
            <w:r>
              <w:rPr>
                <w:spacing w:val="-1"/>
                <w:w w:val="105"/>
                <w:sz w:val="18"/>
              </w:rPr>
              <w:t>4</w:t>
            </w:r>
            <w:r>
              <w:rPr>
                <w:spacing w:val="-2"/>
                <w:w w:val="105"/>
                <w:sz w:val="18"/>
              </w:rPr>
              <w:t xml:space="preserve"> </w:t>
            </w:r>
            <w:r>
              <w:rPr>
                <w:spacing w:val="-1"/>
                <w:w w:val="105"/>
                <w:position w:val="2"/>
                <w:sz w:val="18"/>
              </w:rPr>
              <w:t>per</w:t>
            </w:r>
            <w:r>
              <w:rPr>
                <w:spacing w:val="-10"/>
                <w:w w:val="105"/>
                <w:position w:val="2"/>
                <w:sz w:val="18"/>
              </w:rPr>
              <w:t xml:space="preserve"> </w:t>
            </w:r>
            <w:r>
              <w:rPr>
                <w:spacing w:val="-1"/>
                <w:w w:val="105"/>
                <w:position w:val="2"/>
                <w:sz w:val="18"/>
              </w:rPr>
              <w:t>litre</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4"/>
              <w:jc w:val="right"/>
              <w:rPr>
                <w:sz w:val="18"/>
              </w:rPr>
            </w:pPr>
            <w:r>
              <w:rPr>
                <w:w w:val="105"/>
                <w:sz w:val="18"/>
              </w:rPr>
              <w:t>0.029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6"/>
              <w:rPr>
                <w:sz w:val="18"/>
              </w:rPr>
            </w:pPr>
            <w:r>
              <w:rPr>
                <w:w w:val="105"/>
                <w:sz w:val="18"/>
              </w:rPr>
              <w:t>2018</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4"/>
              <w:jc w:val="right"/>
              <w:rPr>
                <w:sz w:val="18"/>
              </w:rPr>
            </w:pPr>
            <w:r>
              <w:rPr>
                <w:w w:val="105"/>
                <w:sz w:val="18"/>
              </w:rPr>
              <w:t>0.026</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1"/>
                <w:w w:val="105"/>
                <w:sz w:val="18"/>
              </w:rPr>
              <w:t>Water</w:t>
            </w:r>
            <w:r>
              <w:rPr>
                <w:spacing w:val="-9"/>
                <w:w w:val="105"/>
                <w:sz w:val="18"/>
              </w:rPr>
              <w:t xml:space="preserve"> </w:t>
            </w:r>
            <w:r>
              <w:rPr>
                <w:w w:val="105"/>
                <w:sz w:val="18"/>
              </w:rPr>
              <w:t>exploitation</w:t>
            </w:r>
            <w:r>
              <w:rPr>
                <w:spacing w:val="-11"/>
                <w:w w:val="105"/>
                <w:sz w:val="18"/>
              </w:rPr>
              <w:t xml:space="preserve"> </w:t>
            </w:r>
            <w:r>
              <w:rPr>
                <w:w w:val="105"/>
                <w:sz w:val="18"/>
              </w:rPr>
              <w:t>index,</w:t>
            </w:r>
            <w:r>
              <w:rPr>
                <w:spacing w:val="-12"/>
                <w:w w:val="105"/>
                <w:sz w:val="18"/>
              </w:rPr>
              <w:t xml:space="preserve"> </w:t>
            </w:r>
            <w:r>
              <w:rPr>
                <w:w w:val="105"/>
                <w:sz w:val="18"/>
              </w:rPr>
              <w:t>plus</w:t>
            </w:r>
            <w:r>
              <w:rPr>
                <w:spacing w:val="-11"/>
                <w:w w:val="105"/>
                <w:sz w:val="18"/>
              </w:rPr>
              <w:t xml:space="preserve"> </w:t>
            </w:r>
            <w:r>
              <w:rPr>
                <w:w w:val="105"/>
                <w:sz w:val="18"/>
              </w:rPr>
              <w:t>(WEI+)</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128"/>
              <w:rPr>
                <w:sz w:val="18"/>
              </w:rPr>
            </w:pPr>
            <w:r>
              <w:rPr>
                <w:w w:val="105"/>
                <w:sz w:val="18"/>
              </w:rPr>
              <w:t>%,</w:t>
            </w:r>
            <w:r>
              <w:rPr>
                <w:spacing w:val="-7"/>
                <w:w w:val="105"/>
                <w:sz w:val="18"/>
              </w:rPr>
              <w:t xml:space="preserve"> </w:t>
            </w:r>
            <w:r>
              <w:rPr>
                <w:w w:val="105"/>
                <w:sz w:val="18"/>
              </w:rPr>
              <w:t>average</w:t>
            </w:r>
            <w:r>
              <w:rPr>
                <w:spacing w:val="-2"/>
                <w:w w:val="105"/>
                <w:sz w:val="18"/>
              </w:rPr>
              <w:t xml:space="preserve"> </w:t>
            </w:r>
            <w:r>
              <w:rPr>
                <w:w w:val="105"/>
                <w:sz w:val="18"/>
              </w:rPr>
              <w:t>annual</w:t>
            </w:r>
            <w:r>
              <w:rPr>
                <w:spacing w:val="-4"/>
                <w:w w:val="105"/>
                <w:sz w:val="18"/>
              </w:rPr>
              <w:t xml:space="preserve"> </w:t>
            </w:r>
            <w:r>
              <w:rPr>
                <w:w w:val="105"/>
                <w:sz w:val="18"/>
              </w:rPr>
              <w:t>value</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0"/>
              <w:jc w:val="right"/>
              <w:rPr>
                <w:sz w:val="18"/>
              </w:rPr>
            </w:pPr>
            <w:r>
              <w:rPr>
                <w:sz w:val="18"/>
              </w:rPr>
              <w:t>0.43</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2017</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1"/>
              <w:jc w:val="right"/>
              <w:rPr>
                <w:sz w:val="18"/>
              </w:rPr>
            </w:pPr>
            <w:r>
              <w:rPr>
                <w:w w:val="105"/>
                <w:sz w:val="18"/>
              </w:rPr>
              <w:t>0.36</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2"/>
                <w:w w:val="105"/>
                <w:sz w:val="18"/>
              </w:rPr>
              <w:t>Bathing</w:t>
            </w:r>
            <w:r>
              <w:rPr>
                <w:spacing w:val="-9"/>
                <w:w w:val="105"/>
                <w:sz w:val="18"/>
              </w:rPr>
              <w:t xml:space="preserve"> </w:t>
            </w:r>
            <w:r>
              <w:rPr>
                <w:spacing w:val="-2"/>
                <w:w w:val="105"/>
                <w:sz w:val="18"/>
              </w:rPr>
              <w:t>sites</w:t>
            </w:r>
            <w:r>
              <w:rPr>
                <w:spacing w:val="-8"/>
                <w:w w:val="105"/>
                <w:sz w:val="18"/>
              </w:rPr>
              <w:t xml:space="preserve"> </w:t>
            </w:r>
            <w:r>
              <w:rPr>
                <w:spacing w:val="-1"/>
                <w:w w:val="105"/>
                <w:sz w:val="18"/>
              </w:rPr>
              <w:t>with</w:t>
            </w:r>
            <w:r>
              <w:rPr>
                <w:spacing w:val="-7"/>
                <w:w w:val="105"/>
                <w:sz w:val="18"/>
              </w:rPr>
              <w:t xml:space="preserve"> </w:t>
            </w:r>
            <w:r>
              <w:rPr>
                <w:spacing w:val="-1"/>
                <w:w w:val="105"/>
                <w:sz w:val="18"/>
              </w:rPr>
              <w:t>excellent</w:t>
            </w:r>
            <w:r>
              <w:rPr>
                <w:spacing w:val="-9"/>
                <w:w w:val="105"/>
                <w:sz w:val="18"/>
              </w:rPr>
              <w:t xml:space="preserve"> </w:t>
            </w:r>
            <w:r>
              <w:rPr>
                <w:spacing w:val="-1"/>
                <w:w w:val="105"/>
                <w:sz w:val="18"/>
              </w:rPr>
              <w:t>water</w:t>
            </w:r>
            <w:r>
              <w:rPr>
                <w:spacing w:val="-11"/>
                <w:w w:val="105"/>
                <w:sz w:val="18"/>
              </w:rPr>
              <w:t xml:space="preserve"> </w:t>
            </w:r>
            <w:r>
              <w:rPr>
                <w:spacing w:val="-1"/>
                <w:w w:val="105"/>
                <w:sz w:val="18"/>
              </w:rPr>
              <w:t>quality</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489"/>
              <w:jc w:val="right"/>
              <w:rPr>
                <w:sz w:val="18"/>
              </w:rPr>
            </w:pPr>
            <w:r>
              <w:rPr>
                <w:w w:val="105"/>
                <w:sz w:val="18"/>
              </w:rPr>
              <w:t>%</w:t>
            </w:r>
            <w:r>
              <w:rPr>
                <w:spacing w:val="-4"/>
                <w:w w:val="105"/>
                <w:sz w:val="18"/>
              </w:rPr>
              <w:t xml:space="preserve"> </w:t>
            </w:r>
            <w:r>
              <w:rPr>
                <w:w w:val="105"/>
                <w:sz w:val="18"/>
              </w:rPr>
              <w:t>bathing</w:t>
            </w:r>
            <w:r>
              <w:rPr>
                <w:spacing w:val="-3"/>
                <w:w w:val="105"/>
                <w:sz w:val="18"/>
              </w:rPr>
              <w:t xml:space="preserve"> </w:t>
            </w:r>
            <w:r>
              <w:rPr>
                <w:w w:val="105"/>
                <w:sz w:val="18"/>
              </w:rPr>
              <w:t>sites</w:t>
            </w:r>
            <w:r>
              <w:rPr>
                <w:spacing w:val="-3"/>
                <w:w w:val="105"/>
                <w:sz w:val="18"/>
              </w:rPr>
              <w:t xml:space="preserve"> </w:t>
            </w:r>
            <w:r>
              <w:rPr>
                <w:w w:val="105"/>
                <w:sz w:val="18"/>
              </w:rPr>
              <w:t>with</w:t>
            </w:r>
            <w:r>
              <w:rPr>
                <w:spacing w:val="-5"/>
                <w:w w:val="105"/>
                <w:sz w:val="18"/>
              </w:rPr>
              <w:t xml:space="preserve"> </w:t>
            </w:r>
            <w:r>
              <w:rPr>
                <w:w w:val="105"/>
                <w:sz w:val="18"/>
              </w:rPr>
              <w:t>excellent</w:t>
            </w:r>
            <w:r>
              <w:rPr>
                <w:spacing w:val="-6"/>
                <w:w w:val="105"/>
                <w:sz w:val="18"/>
              </w:rPr>
              <w:t xml:space="preserve"> </w:t>
            </w:r>
            <w:r>
              <w:rPr>
                <w:w w:val="105"/>
                <w:sz w:val="18"/>
              </w:rPr>
              <w:t>water</w:t>
            </w:r>
            <w:r>
              <w:rPr>
                <w:spacing w:val="-5"/>
                <w:w w:val="105"/>
                <w:sz w:val="18"/>
              </w:rPr>
              <w:t xml:space="preserve"> </w:t>
            </w:r>
            <w:r>
              <w:rPr>
                <w:w w:val="105"/>
                <w:sz w:val="18"/>
              </w:rPr>
              <w:t>quality</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08"/>
              <w:jc w:val="right"/>
              <w:rPr>
                <w:sz w:val="18"/>
              </w:rPr>
            </w:pPr>
            <w:r>
              <w:rPr>
                <w:sz w:val="18"/>
              </w:rPr>
              <w:t>37.50</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3"/>
              <w:jc w:val="right"/>
              <w:rPr>
                <w:sz w:val="18"/>
              </w:rPr>
            </w:pPr>
            <w:r>
              <w:rPr>
                <w:w w:val="105"/>
                <w:sz w:val="18"/>
              </w:rPr>
              <w:t>14.63</w:t>
            </w:r>
          </w:p>
        </w:tc>
      </w:tr>
    </w:tbl>
    <w:p w:rsidR="00A56FE9" w:rsidRDefault="00A56FE9">
      <w:pPr>
        <w:spacing w:line="203" w:lineRule="exact"/>
        <w:jc w:val="righ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951" w:type="dxa"/>
        <w:tblBorders>
          <w:top w:val="single" w:sz="4" w:space="0" w:color="2C398A"/>
          <w:left w:val="single" w:sz="4" w:space="0" w:color="2C398A"/>
          <w:bottom w:val="single" w:sz="4" w:space="0" w:color="2C398A"/>
          <w:right w:val="single" w:sz="4" w:space="0" w:color="2C398A"/>
          <w:insideH w:val="single" w:sz="4" w:space="0" w:color="2C398A"/>
          <w:insideV w:val="single" w:sz="4" w:space="0" w:color="2C398A"/>
        </w:tblBorders>
        <w:tblLayout w:type="fixed"/>
        <w:tblLook w:val="01E0" w:firstRow="1" w:lastRow="1" w:firstColumn="1" w:lastColumn="1" w:noHBand="0" w:noVBand="0"/>
      </w:tblPr>
      <w:tblGrid>
        <w:gridCol w:w="6536"/>
        <w:gridCol w:w="4112"/>
        <w:gridCol w:w="708"/>
        <w:gridCol w:w="992"/>
        <w:gridCol w:w="680"/>
        <w:gridCol w:w="989"/>
      </w:tblGrid>
      <w:tr w:rsidR="00A56FE9">
        <w:trPr>
          <w:trHeight w:val="349"/>
        </w:trPr>
        <w:tc>
          <w:tcPr>
            <w:tcW w:w="6536" w:type="dxa"/>
            <w:vMerge w:val="restart"/>
            <w:tcBorders>
              <w:top w:val="nil"/>
              <w:left w:val="nil"/>
              <w:bottom w:val="nil"/>
              <w:right w:val="nil"/>
            </w:tcBorders>
            <w:shd w:val="clear" w:color="auto" w:fill="2C398A"/>
          </w:tcPr>
          <w:p w:rsidR="00A56FE9" w:rsidRDefault="00A56FE9">
            <w:pPr>
              <w:pStyle w:val="TableParagraph"/>
              <w:spacing w:before="5"/>
              <w:rPr>
                <w:sz w:val="20"/>
              </w:rPr>
            </w:pPr>
          </w:p>
          <w:p w:rsidR="00A56FE9" w:rsidRDefault="00000000">
            <w:pPr>
              <w:pStyle w:val="TableParagraph"/>
              <w:ind w:left="2848" w:right="2848"/>
              <w:jc w:val="center"/>
              <w:rPr>
                <w:b/>
                <w:sz w:val="20"/>
              </w:rPr>
            </w:pPr>
            <w:r>
              <w:rPr>
                <w:b/>
                <w:color w:val="FFFFFF"/>
                <w:sz w:val="20"/>
              </w:rPr>
              <w:t>Indicator</w:t>
            </w:r>
          </w:p>
        </w:tc>
        <w:tc>
          <w:tcPr>
            <w:tcW w:w="4112" w:type="dxa"/>
            <w:vMerge w:val="restart"/>
            <w:tcBorders>
              <w:top w:val="nil"/>
              <w:left w:val="nil"/>
              <w:bottom w:val="nil"/>
              <w:right w:val="nil"/>
            </w:tcBorders>
            <w:shd w:val="clear" w:color="auto" w:fill="2C398A"/>
          </w:tcPr>
          <w:p w:rsidR="00A56FE9" w:rsidRDefault="00A56FE9">
            <w:pPr>
              <w:pStyle w:val="TableParagraph"/>
              <w:spacing w:before="5"/>
              <w:rPr>
                <w:sz w:val="20"/>
              </w:rPr>
            </w:pPr>
          </w:p>
          <w:p w:rsidR="00A56FE9" w:rsidRDefault="00000000">
            <w:pPr>
              <w:pStyle w:val="TableParagraph"/>
              <w:ind w:left="1846" w:right="1848"/>
              <w:jc w:val="center"/>
              <w:rPr>
                <w:b/>
                <w:sz w:val="20"/>
              </w:rPr>
            </w:pPr>
            <w:r>
              <w:rPr>
                <w:b/>
                <w:color w:val="FFFFFF"/>
                <w:sz w:val="20"/>
              </w:rPr>
              <w:t>Unit</w:t>
            </w:r>
          </w:p>
        </w:tc>
        <w:tc>
          <w:tcPr>
            <w:tcW w:w="1700" w:type="dxa"/>
            <w:gridSpan w:val="2"/>
            <w:tcBorders>
              <w:top w:val="nil"/>
              <w:left w:val="nil"/>
              <w:bottom w:val="nil"/>
              <w:right w:val="nil"/>
            </w:tcBorders>
            <w:shd w:val="clear" w:color="auto" w:fill="2C398A"/>
          </w:tcPr>
          <w:p w:rsidR="00A56FE9" w:rsidRDefault="00000000">
            <w:pPr>
              <w:pStyle w:val="TableParagraph"/>
              <w:spacing w:before="55"/>
              <w:ind w:left="567" w:right="569"/>
              <w:jc w:val="center"/>
              <w:rPr>
                <w:b/>
                <w:sz w:val="20"/>
              </w:rPr>
            </w:pPr>
            <w:r>
              <w:rPr>
                <w:b/>
                <w:color w:val="FFFFFF"/>
                <w:sz w:val="20"/>
              </w:rPr>
              <w:t>Initial</w:t>
            </w:r>
          </w:p>
        </w:tc>
        <w:tc>
          <w:tcPr>
            <w:tcW w:w="1669" w:type="dxa"/>
            <w:gridSpan w:val="2"/>
            <w:tcBorders>
              <w:top w:val="nil"/>
              <w:left w:val="nil"/>
              <w:bottom w:val="nil"/>
              <w:right w:val="nil"/>
            </w:tcBorders>
            <w:shd w:val="clear" w:color="auto" w:fill="2C398A"/>
          </w:tcPr>
          <w:p w:rsidR="00A56FE9" w:rsidRDefault="00000000">
            <w:pPr>
              <w:pStyle w:val="TableParagraph"/>
              <w:spacing w:before="55"/>
              <w:ind w:left="277"/>
              <w:rPr>
                <w:b/>
                <w:sz w:val="20"/>
              </w:rPr>
            </w:pPr>
            <w:r>
              <w:rPr>
                <w:b/>
                <w:color w:val="FFFFFF"/>
                <w:sz w:val="20"/>
              </w:rPr>
              <w:t>Most</w:t>
            </w:r>
            <w:r>
              <w:rPr>
                <w:b/>
                <w:color w:val="FFFFFF"/>
                <w:spacing w:val="23"/>
                <w:sz w:val="20"/>
              </w:rPr>
              <w:t xml:space="preserve"> </w:t>
            </w:r>
            <w:r>
              <w:rPr>
                <w:b/>
                <w:color w:val="FFFFFF"/>
                <w:sz w:val="20"/>
              </w:rPr>
              <w:t>Recent</w:t>
            </w:r>
          </w:p>
        </w:tc>
      </w:tr>
      <w:tr w:rsidR="00A56FE9">
        <w:trPr>
          <w:trHeight w:val="368"/>
        </w:trPr>
        <w:tc>
          <w:tcPr>
            <w:tcW w:w="6536" w:type="dxa"/>
            <w:vMerge/>
            <w:tcBorders>
              <w:top w:val="nil"/>
              <w:left w:val="nil"/>
              <w:bottom w:val="nil"/>
              <w:right w:val="nil"/>
            </w:tcBorders>
            <w:shd w:val="clear" w:color="auto" w:fill="2C398A"/>
          </w:tcPr>
          <w:p w:rsidR="00A56FE9" w:rsidRDefault="00A56FE9">
            <w:pPr>
              <w:rPr>
                <w:sz w:val="2"/>
                <w:szCs w:val="2"/>
              </w:rPr>
            </w:pPr>
          </w:p>
        </w:tc>
        <w:tc>
          <w:tcPr>
            <w:tcW w:w="4112" w:type="dxa"/>
            <w:vMerge/>
            <w:tcBorders>
              <w:top w:val="nil"/>
              <w:left w:val="nil"/>
              <w:bottom w:val="nil"/>
              <w:right w:val="nil"/>
            </w:tcBorders>
            <w:shd w:val="clear" w:color="auto" w:fill="2C398A"/>
          </w:tcPr>
          <w:p w:rsidR="00A56FE9" w:rsidRDefault="00A56FE9">
            <w:pPr>
              <w:rPr>
                <w:sz w:val="2"/>
                <w:szCs w:val="2"/>
              </w:rPr>
            </w:pPr>
          </w:p>
        </w:tc>
        <w:tc>
          <w:tcPr>
            <w:tcW w:w="708" w:type="dxa"/>
            <w:tcBorders>
              <w:top w:val="nil"/>
              <w:left w:val="nil"/>
              <w:bottom w:val="nil"/>
              <w:right w:val="nil"/>
            </w:tcBorders>
            <w:shd w:val="clear" w:color="auto" w:fill="2C398A"/>
          </w:tcPr>
          <w:p w:rsidR="00A56FE9" w:rsidRDefault="00000000">
            <w:pPr>
              <w:pStyle w:val="TableParagraph"/>
              <w:spacing w:before="66"/>
              <w:ind w:left="132"/>
              <w:rPr>
                <w:b/>
                <w:sz w:val="20"/>
              </w:rPr>
            </w:pPr>
            <w:r>
              <w:rPr>
                <w:b/>
                <w:color w:val="FFFFFF"/>
                <w:sz w:val="20"/>
              </w:rPr>
              <w:t>Year</w:t>
            </w:r>
          </w:p>
        </w:tc>
        <w:tc>
          <w:tcPr>
            <w:tcW w:w="992" w:type="dxa"/>
            <w:tcBorders>
              <w:top w:val="nil"/>
              <w:left w:val="nil"/>
              <w:bottom w:val="nil"/>
              <w:right w:val="nil"/>
            </w:tcBorders>
            <w:shd w:val="clear" w:color="auto" w:fill="2C398A"/>
          </w:tcPr>
          <w:p w:rsidR="00A56FE9" w:rsidRDefault="00000000">
            <w:pPr>
              <w:pStyle w:val="TableParagraph"/>
              <w:spacing w:before="66"/>
              <w:ind w:left="233"/>
              <w:rPr>
                <w:b/>
                <w:sz w:val="20"/>
              </w:rPr>
            </w:pPr>
            <w:r>
              <w:rPr>
                <w:b/>
                <w:color w:val="FFFFFF"/>
                <w:sz w:val="20"/>
              </w:rPr>
              <w:t>Value</w:t>
            </w:r>
          </w:p>
        </w:tc>
        <w:tc>
          <w:tcPr>
            <w:tcW w:w="680" w:type="dxa"/>
            <w:tcBorders>
              <w:top w:val="nil"/>
              <w:left w:val="nil"/>
              <w:bottom w:val="nil"/>
              <w:right w:val="nil"/>
            </w:tcBorders>
            <w:shd w:val="clear" w:color="auto" w:fill="2C398A"/>
          </w:tcPr>
          <w:p w:rsidR="00A56FE9" w:rsidRDefault="00000000">
            <w:pPr>
              <w:pStyle w:val="TableParagraph"/>
              <w:spacing w:before="66"/>
              <w:ind w:left="119"/>
              <w:rPr>
                <w:b/>
                <w:sz w:val="20"/>
              </w:rPr>
            </w:pPr>
            <w:r>
              <w:rPr>
                <w:b/>
                <w:color w:val="FFFFFF"/>
                <w:sz w:val="20"/>
              </w:rPr>
              <w:t>Year</w:t>
            </w:r>
          </w:p>
        </w:tc>
        <w:tc>
          <w:tcPr>
            <w:tcW w:w="989" w:type="dxa"/>
            <w:tcBorders>
              <w:top w:val="nil"/>
              <w:left w:val="nil"/>
              <w:bottom w:val="nil"/>
              <w:right w:val="nil"/>
            </w:tcBorders>
            <w:shd w:val="clear" w:color="auto" w:fill="2C398A"/>
          </w:tcPr>
          <w:p w:rsidR="00A56FE9" w:rsidRDefault="00000000">
            <w:pPr>
              <w:pStyle w:val="TableParagraph"/>
              <w:spacing w:before="66"/>
              <w:ind w:left="222"/>
              <w:rPr>
                <w:b/>
                <w:sz w:val="20"/>
              </w:rPr>
            </w:pPr>
            <w:r>
              <w:rPr>
                <w:b/>
                <w:color w:val="FFFFFF"/>
                <w:sz w:val="20"/>
              </w:rPr>
              <w:t>Value</w:t>
            </w:r>
          </w:p>
        </w:tc>
      </w:tr>
      <w:tr w:rsidR="00A56FE9">
        <w:trPr>
          <w:trHeight w:val="331"/>
        </w:trPr>
        <w:tc>
          <w:tcPr>
            <w:tcW w:w="14017" w:type="dxa"/>
            <w:gridSpan w:val="6"/>
            <w:tcBorders>
              <w:top w:val="nil"/>
              <w:left w:val="nil"/>
              <w:right w:val="nil"/>
            </w:tcBorders>
          </w:tcPr>
          <w:p w:rsidR="00A56FE9" w:rsidRDefault="00000000">
            <w:pPr>
              <w:pStyle w:val="TableParagraph"/>
              <w:spacing w:before="57"/>
              <w:ind w:left="71"/>
              <w:rPr>
                <w:b/>
                <w:sz w:val="18"/>
              </w:rPr>
            </w:pPr>
            <w:r>
              <w:rPr>
                <w:b/>
                <w:color w:val="2C398A"/>
                <w:w w:val="105"/>
                <w:sz w:val="18"/>
              </w:rPr>
              <w:t>Goal</w:t>
            </w:r>
            <w:r>
              <w:rPr>
                <w:b/>
                <w:color w:val="2C398A"/>
                <w:spacing w:val="-6"/>
                <w:w w:val="105"/>
                <w:sz w:val="18"/>
              </w:rPr>
              <w:t xml:space="preserve"> </w:t>
            </w:r>
            <w:r>
              <w:rPr>
                <w:b/>
                <w:color w:val="2C398A"/>
                <w:w w:val="105"/>
                <w:sz w:val="18"/>
              </w:rPr>
              <w:t>7</w:t>
            </w:r>
            <w:r>
              <w:rPr>
                <w:b/>
                <w:color w:val="2C398A"/>
                <w:spacing w:val="-2"/>
                <w:w w:val="105"/>
                <w:sz w:val="18"/>
              </w:rPr>
              <w:t xml:space="preserve"> </w:t>
            </w:r>
            <w:r>
              <w:rPr>
                <w:b/>
                <w:color w:val="2C398A"/>
                <w:w w:val="105"/>
                <w:sz w:val="18"/>
              </w:rPr>
              <w:t>-</w:t>
            </w:r>
            <w:r>
              <w:rPr>
                <w:b/>
                <w:color w:val="2C398A"/>
                <w:spacing w:val="-3"/>
                <w:w w:val="105"/>
                <w:sz w:val="18"/>
              </w:rPr>
              <w:t xml:space="preserve"> </w:t>
            </w:r>
            <w:r>
              <w:rPr>
                <w:b/>
                <w:color w:val="2C398A"/>
                <w:w w:val="105"/>
                <w:sz w:val="18"/>
              </w:rPr>
              <w:t>Affordable</w:t>
            </w:r>
            <w:r>
              <w:rPr>
                <w:b/>
                <w:color w:val="2C398A"/>
                <w:spacing w:val="-4"/>
                <w:w w:val="105"/>
                <w:sz w:val="18"/>
              </w:rPr>
              <w:t xml:space="preserve"> </w:t>
            </w:r>
            <w:r>
              <w:rPr>
                <w:b/>
                <w:color w:val="2C398A"/>
                <w:w w:val="105"/>
                <w:sz w:val="18"/>
              </w:rPr>
              <w:t>and</w:t>
            </w:r>
            <w:r>
              <w:rPr>
                <w:b/>
                <w:color w:val="2C398A"/>
                <w:spacing w:val="-1"/>
                <w:w w:val="105"/>
                <w:sz w:val="18"/>
              </w:rPr>
              <w:t xml:space="preserve"> </w:t>
            </w:r>
            <w:r>
              <w:rPr>
                <w:b/>
                <w:color w:val="2C398A"/>
                <w:w w:val="105"/>
                <w:sz w:val="18"/>
              </w:rPr>
              <w:t>clean</w:t>
            </w:r>
            <w:r>
              <w:rPr>
                <w:b/>
                <w:color w:val="2C398A"/>
                <w:spacing w:val="-5"/>
                <w:w w:val="105"/>
                <w:sz w:val="18"/>
              </w:rPr>
              <w:t xml:space="preserve"> </w:t>
            </w:r>
            <w:r>
              <w:rPr>
                <w:b/>
                <w:color w:val="2C398A"/>
                <w:w w:val="105"/>
                <w:sz w:val="18"/>
              </w:rPr>
              <w:t>energy</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spacing w:val="-2"/>
                <w:w w:val="105"/>
                <w:sz w:val="18"/>
              </w:rPr>
              <w:t>Primary</w:t>
            </w:r>
            <w:r>
              <w:rPr>
                <w:spacing w:val="-9"/>
                <w:w w:val="105"/>
                <w:sz w:val="18"/>
              </w:rPr>
              <w:t xml:space="preserve"> </w:t>
            </w:r>
            <w:r>
              <w:rPr>
                <w:spacing w:val="-2"/>
                <w:w w:val="105"/>
                <w:sz w:val="18"/>
              </w:rPr>
              <w:t>energy</w:t>
            </w:r>
            <w:r>
              <w:rPr>
                <w:spacing w:val="-9"/>
                <w:w w:val="105"/>
                <w:sz w:val="18"/>
              </w:rPr>
              <w:t xml:space="preserve"> </w:t>
            </w:r>
            <w:r>
              <w:rPr>
                <w:spacing w:val="-1"/>
                <w:w w:val="105"/>
                <w:sz w:val="18"/>
              </w:rPr>
              <w:t>consumption</w:t>
            </w:r>
          </w:p>
        </w:tc>
        <w:tc>
          <w:tcPr>
            <w:tcW w:w="4112" w:type="dxa"/>
          </w:tcPr>
          <w:p w:rsidR="00A56FE9" w:rsidRDefault="00000000">
            <w:pPr>
              <w:pStyle w:val="TableParagraph"/>
              <w:spacing w:before="7" w:line="201" w:lineRule="exact"/>
              <w:ind w:left="494"/>
              <w:rPr>
                <w:sz w:val="18"/>
              </w:rPr>
            </w:pPr>
            <w:r>
              <w:rPr>
                <w:sz w:val="18"/>
              </w:rPr>
              <w:t>millions</w:t>
            </w:r>
            <w:r>
              <w:rPr>
                <w:spacing w:val="3"/>
                <w:sz w:val="18"/>
              </w:rPr>
              <w:t xml:space="preserve"> </w:t>
            </w:r>
            <w:r>
              <w:rPr>
                <w:sz w:val="18"/>
              </w:rPr>
              <w:t>of</w:t>
            </w:r>
            <w:r>
              <w:rPr>
                <w:spacing w:val="4"/>
                <w:sz w:val="18"/>
              </w:rPr>
              <w:t xml:space="preserve"> </w:t>
            </w:r>
            <w:r>
              <w:rPr>
                <w:sz w:val="18"/>
              </w:rPr>
              <w:t>tonnes</w:t>
            </w:r>
            <w:r>
              <w:rPr>
                <w:spacing w:val="3"/>
                <w:sz w:val="18"/>
              </w:rPr>
              <w:t xml:space="preserve"> </w:t>
            </w:r>
            <w:r>
              <w:rPr>
                <w:sz w:val="18"/>
              </w:rPr>
              <w:t>of</w:t>
            </w:r>
            <w:r>
              <w:rPr>
                <w:spacing w:val="2"/>
                <w:sz w:val="18"/>
              </w:rPr>
              <w:t xml:space="preserve"> </w:t>
            </w:r>
            <w:r>
              <w:rPr>
                <w:sz w:val="18"/>
              </w:rPr>
              <w:t>oil</w:t>
            </w:r>
            <w:r>
              <w:rPr>
                <w:spacing w:val="2"/>
                <w:sz w:val="18"/>
              </w:rPr>
              <w:t xml:space="preserve"> </w:t>
            </w:r>
            <w:r>
              <w:rPr>
                <w:sz w:val="18"/>
              </w:rPr>
              <w:t>equivalent</w:t>
            </w:r>
            <w:r>
              <w:rPr>
                <w:spacing w:val="2"/>
                <w:sz w:val="18"/>
              </w:rPr>
              <w:t xml:space="preserve"> </w:t>
            </w:r>
            <w:r>
              <w:rPr>
                <w:sz w:val="18"/>
              </w:rPr>
              <w:t>(Mtoe)</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1"/>
              <w:jc w:val="right"/>
              <w:rPr>
                <w:sz w:val="18"/>
              </w:rPr>
            </w:pPr>
            <w:r>
              <w:rPr>
                <w:w w:val="105"/>
                <w:sz w:val="18"/>
              </w:rPr>
              <w:t>8.0</w:t>
            </w:r>
          </w:p>
        </w:tc>
        <w:tc>
          <w:tcPr>
            <w:tcW w:w="680" w:type="dxa"/>
          </w:tcPr>
          <w:p w:rsidR="00A56FE9" w:rsidRDefault="00000000">
            <w:pPr>
              <w:pStyle w:val="TableParagraph"/>
              <w:spacing w:before="7"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7" w:line="201" w:lineRule="exact"/>
              <w:ind w:right="141"/>
              <w:jc w:val="right"/>
              <w:rPr>
                <w:sz w:val="18"/>
              </w:rPr>
            </w:pPr>
            <w:r>
              <w:rPr>
                <w:w w:val="105"/>
                <w:sz w:val="18"/>
              </w:rPr>
              <w:t>7.8</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spacing w:val="-1"/>
                <w:w w:val="105"/>
                <w:sz w:val="18"/>
              </w:rPr>
              <w:t>Final</w:t>
            </w:r>
            <w:r>
              <w:rPr>
                <w:spacing w:val="-11"/>
                <w:w w:val="105"/>
                <w:sz w:val="18"/>
              </w:rPr>
              <w:t xml:space="preserve"> </w:t>
            </w:r>
            <w:r>
              <w:rPr>
                <w:w w:val="105"/>
                <w:sz w:val="18"/>
              </w:rPr>
              <w:t>energy</w:t>
            </w:r>
            <w:r>
              <w:rPr>
                <w:spacing w:val="-9"/>
                <w:w w:val="105"/>
                <w:sz w:val="18"/>
              </w:rPr>
              <w:t xml:space="preserve"> </w:t>
            </w:r>
            <w:r>
              <w:rPr>
                <w:w w:val="105"/>
                <w:sz w:val="18"/>
              </w:rPr>
              <w:t>consumption</w:t>
            </w:r>
          </w:p>
        </w:tc>
        <w:tc>
          <w:tcPr>
            <w:tcW w:w="4112" w:type="dxa"/>
          </w:tcPr>
          <w:p w:rsidR="00A56FE9" w:rsidRDefault="00000000">
            <w:pPr>
              <w:pStyle w:val="TableParagraph"/>
              <w:spacing w:before="4" w:line="203" w:lineRule="exact"/>
              <w:ind w:left="494"/>
              <w:rPr>
                <w:sz w:val="18"/>
              </w:rPr>
            </w:pPr>
            <w:r>
              <w:rPr>
                <w:sz w:val="18"/>
              </w:rPr>
              <w:t>millions</w:t>
            </w:r>
            <w:r>
              <w:rPr>
                <w:spacing w:val="3"/>
                <w:sz w:val="18"/>
              </w:rPr>
              <w:t xml:space="preserve"> </w:t>
            </w:r>
            <w:r>
              <w:rPr>
                <w:sz w:val="18"/>
              </w:rPr>
              <w:t>of</w:t>
            </w:r>
            <w:r>
              <w:rPr>
                <w:spacing w:val="4"/>
                <w:sz w:val="18"/>
              </w:rPr>
              <w:t xml:space="preserve"> </w:t>
            </w:r>
            <w:r>
              <w:rPr>
                <w:sz w:val="18"/>
              </w:rPr>
              <w:t>tonnes</w:t>
            </w:r>
            <w:r>
              <w:rPr>
                <w:spacing w:val="3"/>
                <w:sz w:val="18"/>
              </w:rPr>
              <w:t xml:space="preserve"> </w:t>
            </w:r>
            <w:r>
              <w:rPr>
                <w:sz w:val="18"/>
              </w:rPr>
              <w:t>of</w:t>
            </w:r>
            <w:r>
              <w:rPr>
                <w:spacing w:val="2"/>
                <w:sz w:val="18"/>
              </w:rPr>
              <w:t xml:space="preserve"> </w:t>
            </w:r>
            <w:r>
              <w:rPr>
                <w:sz w:val="18"/>
              </w:rPr>
              <w:t>oil</w:t>
            </w:r>
            <w:r>
              <w:rPr>
                <w:spacing w:val="2"/>
                <w:sz w:val="18"/>
              </w:rPr>
              <w:t xml:space="preserve"> </w:t>
            </w:r>
            <w:r>
              <w:rPr>
                <w:sz w:val="18"/>
              </w:rPr>
              <w:t>equivalent</w:t>
            </w:r>
            <w:r>
              <w:rPr>
                <w:spacing w:val="2"/>
                <w:sz w:val="18"/>
              </w:rPr>
              <w:t xml:space="preserve"> </w:t>
            </w:r>
            <w:r>
              <w:rPr>
                <w:sz w:val="18"/>
              </w:rPr>
              <w:t>(Mtoe)</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1"/>
              <w:jc w:val="right"/>
              <w:rPr>
                <w:sz w:val="18"/>
              </w:rPr>
            </w:pPr>
            <w:r>
              <w:rPr>
                <w:w w:val="105"/>
                <w:sz w:val="18"/>
              </w:rPr>
              <w:t>6.6</w:t>
            </w:r>
          </w:p>
        </w:tc>
        <w:tc>
          <w:tcPr>
            <w:tcW w:w="680" w:type="dxa"/>
          </w:tcPr>
          <w:p w:rsidR="00A56FE9" w:rsidRDefault="00000000">
            <w:pPr>
              <w:pStyle w:val="TableParagraph"/>
              <w:spacing w:before="4"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3" w:lineRule="exact"/>
              <w:ind w:right="141"/>
              <w:jc w:val="right"/>
              <w:rPr>
                <w:sz w:val="18"/>
              </w:rPr>
            </w:pPr>
            <w:r>
              <w:rPr>
                <w:w w:val="105"/>
                <w:sz w:val="18"/>
              </w:rPr>
              <w:t>6.5</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w w:val="105"/>
                <w:sz w:val="18"/>
              </w:rPr>
              <w:t>Final</w:t>
            </w:r>
            <w:r>
              <w:rPr>
                <w:spacing w:val="-11"/>
                <w:w w:val="105"/>
                <w:sz w:val="18"/>
              </w:rPr>
              <w:t xml:space="preserve"> </w:t>
            </w:r>
            <w:r>
              <w:rPr>
                <w:w w:val="105"/>
                <w:sz w:val="18"/>
              </w:rPr>
              <w:t>energy</w:t>
            </w:r>
            <w:r>
              <w:rPr>
                <w:spacing w:val="-9"/>
                <w:w w:val="105"/>
                <w:sz w:val="18"/>
              </w:rPr>
              <w:t xml:space="preserve"> </w:t>
            </w:r>
            <w:r>
              <w:rPr>
                <w:w w:val="105"/>
                <w:sz w:val="18"/>
              </w:rPr>
              <w:t>consumption</w:t>
            </w:r>
            <w:r>
              <w:rPr>
                <w:spacing w:val="-10"/>
                <w:w w:val="105"/>
                <w:sz w:val="18"/>
              </w:rPr>
              <w:t xml:space="preserve"> </w:t>
            </w:r>
            <w:r>
              <w:rPr>
                <w:w w:val="105"/>
                <w:sz w:val="18"/>
              </w:rPr>
              <w:t>in</w:t>
            </w:r>
            <w:r>
              <w:rPr>
                <w:spacing w:val="-11"/>
                <w:w w:val="105"/>
                <w:sz w:val="18"/>
              </w:rPr>
              <w:t xml:space="preserve"> </w:t>
            </w:r>
            <w:r>
              <w:rPr>
                <w:w w:val="105"/>
                <w:sz w:val="18"/>
              </w:rPr>
              <w:t>households</w:t>
            </w:r>
            <w:r>
              <w:rPr>
                <w:spacing w:val="-10"/>
                <w:w w:val="105"/>
                <w:sz w:val="18"/>
              </w:rPr>
              <w:t xml:space="preserve"> </w:t>
            </w:r>
            <w:r>
              <w:rPr>
                <w:w w:val="105"/>
                <w:sz w:val="18"/>
              </w:rPr>
              <w:t>per</w:t>
            </w:r>
            <w:r>
              <w:rPr>
                <w:spacing w:val="-9"/>
                <w:w w:val="105"/>
                <w:sz w:val="18"/>
              </w:rPr>
              <w:t xml:space="preserve"> </w:t>
            </w:r>
            <w:r>
              <w:rPr>
                <w:w w:val="105"/>
                <w:sz w:val="18"/>
              </w:rPr>
              <w:t>capita</w:t>
            </w:r>
          </w:p>
        </w:tc>
        <w:tc>
          <w:tcPr>
            <w:tcW w:w="4112" w:type="dxa"/>
          </w:tcPr>
          <w:p w:rsidR="00A56FE9" w:rsidRDefault="00000000">
            <w:pPr>
              <w:pStyle w:val="TableParagraph"/>
              <w:spacing w:before="4" w:line="203" w:lineRule="exact"/>
              <w:ind w:left="64" w:right="65"/>
              <w:jc w:val="center"/>
              <w:rPr>
                <w:sz w:val="18"/>
              </w:rPr>
            </w:pPr>
            <w:r>
              <w:rPr>
                <w:w w:val="105"/>
                <w:sz w:val="18"/>
              </w:rPr>
              <w:t>kgoe</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1"/>
              <w:jc w:val="right"/>
              <w:rPr>
                <w:sz w:val="18"/>
              </w:rPr>
            </w:pPr>
            <w:r>
              <w:rPr>
                <w:w w:val="105"/>
                <w:sz w:val="18"/>
              </w:rPr>
              <w:t>586</w:t>
            </w:r>
          </w:p>
        </w:tc>
        <w:tc>
          <w:tcPr>
            <w:tcW w:w="680" w:type="dxa"/>
          </w:tcPr>
          <w:p w:rsidR="00A56FE9" w:rsidRDefault="00000000">
            <w:pPr>
              <w:pStyle w:val="TableParagraph"/>
              <w:spacing w:before="4"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3" w:lineRule="exact"/>
              <w:ind w:right="140"/>
              <w:jc w:val="right"/>
              <w:rPr>
                <w:sz w:val="18"/>
              </w:rPr>
            </w:pPr>
            <w:r>
              <w:rPr>
                <w:w w:val="105"/>
                <w:sz w:val="18"/>
              </w:rPr>
              <w:t>563</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spacing w:val="-1"/>
                <w:w w:val="105"/>
                <w:sz w:val="18"/>
              </w:rPr>
              <w:t>Energy</w:t>
            </w:r>
            <w:r>
              <w:rPr>
                <w:spacing w:val="-8"/>
                <w:w w:val="105"/>
                <w:sz w:val="18"/>
              </w:rPr>
              <w:t xml:space="preserve"> </w:t>
            </w:r>
            <w:r>
              <w:rPr>
                <w:spacing w:val="-1"/>
                <w:w w:val="105"/>
                <w:sz w:val="18"/>
              </w:rPr>
              <w:t>productivity</w:t>
            </w:r>
          </w:p>
        </w:tc>
        <w:tc>
          <w:tcPr>
            <w:tcW w:w="4112" w:type="dxa"/>
          </w:tcPr>
          <w:p w:rsidR="00A56FE9" w:rsidRDefault="00000000">
            <w:pPr>
              <w:pStyle w:val="TableParagraph"/>
              <w:spacing w:before="4" w:line="201" w:lineRule="exact"/>
              <w:ind w:left="64" w:right="65"/>
              <w:jc w:val="center"/>
              <w:rPr>
                <w:sz w:val="18"/>
              </w:rPr>
            </w:pPr>
            <w:r>
              <w:rPr>
                <w:sz w:val="18"/>
              </w:rPr>
              <w:t>EUR per</w:t>
            </w:r>
            <w:r>
              <w:rPr>
                <w:spacing w:val="2"/>
                <w:sz w:val="18"/>
              </w:rPr>
              <w:t xml:space="preserve"> </w:t>
            </w:r>
            <w:r>
              <w:rPr>
                <w:sz w:val="18"/>
              </w:rPr>
              <w:t>kgoe</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08"/>
              <w:jc w:val="right"/>
              <w:rPr>
                <w:sz w:val="18"/>
              </w:rPr>
            </w:pPr>
            <w:r>
              <w:rPr>
                <w:w w:val="105"/>
                <w:sz w:val="18"/>
              </w:rPr>
              <w:t>5.18</w:t>
            </w:r>
          </w:p>
        </w:tc>
        <w:tc>
          <w:tcPr>
            <w:tcW w:w="680" w:type="dxa"/>
          </w:tcPr>
          <w:p w:rsidR="00A56FE9" w:rsidRDefault="00000000">
            <w:pPr>
              <w:pStyle w:val="TableParagraph"/>
              <w:spacing w:before="4"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1" w:lineRule="exact"/>
              <w:ind w:right="138"/>
              <w:jc w:val="right"/>
              <w:rPr>
                <w:sz w:val="18"/>
              </w:rPr>
            </w:pPr>
            <w:r>
              <w:rPr>
                <w:w w:val="105"/>
                <w:sz w:val="18"/>
              </w:rPr>
              <w:t>5.70</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w w:val="105"/>
                <w:sz w:val="18"/>
              </w:rPr>
              <w:t>Share</w:t>
            </w:r>
            <w:r>
              <w:rPr>
                <w:spacing w:val="-11"/>
                <w:w w:val="105"/>
                <w:sz w:val="18"/>
              </w:rPr>
              <w:t xml:space="preserve"> </w:t>
            </w:r>
            <w:r>
              <w:rPr>
                <w:w w:val="105"/>
                <w:sz w:val="18"/>
              </w:rPr>
              <w:t>of</w:t>
            </w:r>
            <w:r>
              <w:rPr>
                <w:spacing w:val="-7"/>
                <w:w w:val="105"/>
                <w:sz w:val="18"/>
              </w:rPr>
              <w:t xml:space="preserve"> </w:t>
            </w:r>
            <w:r>
              <w:rPr>
                <w:w w:val="105"/>
                <w:sz w:val="18"/>
              </w:rPr>
              <w:t>renewable</w:t>
            </w:r>
            <w:r>
              <w:rPr>
                <w:spacing w:val="-10"/>
                <w:w w:val="105"/>
                <w:sz w:val="18"/>
              </w:rPr>
              <w:t xml:space="preserve"> </w:t>
            </w:r>
            <w:r>
              <w:rPr>
                <w:w w:val="105"/>
                <w:sz w:val="18"/>
              </w:rPr>
              <w:t>energy</w:t>
            </w:r>
            <w:r>
              <w:rPr>
                <w:spacing w:val="-10"/>
                <w:w w:val="105"/>
                <w:sz w:val="18"/>
              </w:rPr>
              <w:t xml:space="preserve"> </w:t>
            </w:r>
            <w:r>
              <w:rPr>
                <w:w w:val="105"/>
                <w:sz w:val="18"/>
              </w:rPr>
              <w:t>in</w:t>
            </w:r>
            <w:r>
              <w:rPr>
                <w:spacing w:val="-10"/>
                <w:w w:val="105"/>
                <w:sz w:val="18"/>
              </w:rPr>
              <w:t xml:space="preserve"> </w:t>
            </w:r>
            <w:r>
              <w:rPr>
                <w:w w:val="105"/>
                <w:sz w:val="18"/>
              </w:rPr>
              <w:t>gross</w:t>
            </w:r>
            <w:r>
              <w:rPr>
                <w:spacing w:val="-11"/>
                <w:w w:val="105"/>
                <w:sz w:val="18"/>
              </w:rPr>
              <w:t xml:space="preserve"> </w:t>
            </w:r>
            <w:r>
              <w:rPr>
                <w:w w:val="105"/>
                <w:sz w:val="18"/>
              </w:rPr>
              <w:t>final</w:t>
            </w:r>
            <w:r>
              <w:rPr>
                <w:spacing w:val="-9"/>
                <w:w w:val="105"/>
                <w:sz w:val="18"/>
              </w:rPr>
              <w:t xml:space="preserve"> </w:t>
            </w:r>
            <w:r>
              <w:rPr>
                <w:w w:val="105"/>
                <w:sz w:val="18"/>
              </w:rPr>
              <w:t>energy</w:t>
            </w:r>
            <w:r>
              <w:rPr>
                <w:spacing w:val="-8"/>
                <w:w w:val="105"/>
                <w:sz w:val="18"/>
              </w:rPr>
              <w:t xml:space="preserve"> </w:t>
            </w:r>
            <w:r>
              <w:rPr>
                <w:w w:val="105"/>
                <w:sz w:val="18"/>
              </w:rPr>
              <w:t>consumption</w:t>
            </w:r>
          </w:p>
        </w:tc>
        <w:tc>
          <w:tcPr>
            <w:tcW w:w="4112" w:type="dxa"/>
          </w:tcPr>
          <w:p w:rsidR="00A56FE9" w:rsidRDefault="00000000">
            <w:pPr>
              <w:pStyle w:val="TableParagraph"/>
              <w:spacing w:before="7" w:line="201" w:lineRule="exact"/>
              <w:ind w:right="3"/>
              <w:jc w:val="center"/>
              <w:rPr>
                <w:sz w:val="18"/>
              </w:rPr>
            </w:pPr>
            <w:r>
              <w:rPr>
                <w:w w:val="103"/>
                <w:sz w:val="18"/>
              </w:rPr>
              <w:t>%</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1"/>
              <w:jc w:val="right"/>
              <w:rPr>
                <w:sz w:val="18"/>
              </w:rPr>
            </w:pPr>
            <w:r>
              <w:rPr>
                <w:w w:val="105"/>
                <w:sz w:val="18"/>
              </w:rPr>
              <w:t>28.0</w:t>
            </w:r>
          </w:p>
        </w:tc>
        <w:tc>
          <w:tcPr>
            <w:tcW w:w="680" w:type="dxa"/>
          </w:tcPr>
          <w:p w:rsidR="00A56FE9" w:rsidRDefault="00000000">
            <w:pPr>
              <w:pStyle w:val="TableParagraph"/>
              <w:spacing w:before="7"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7" w:line="201" w:lineRule="exact"/>
              <w:ind w:right="141"/>
              <w:jc w:val="right"/>
              <w:rPr>
                <w:sz w:val="18"/>
              </w:rPr>
            </w:pPr>
            <w:r>
              <w:rPr>
                <w:w w:val="105"/>
                <w:sz w:val="18"/>
              </w:rPr>
              <w:t>28.5</w:t>
            </w:r>
          </w:p>
        </w:tc>
      </w:tr>
      <w:tr w:rsidR="00A56FE9">
        <w:trPr>
          <w:trHeight w:val="228"/>
        </w:trPr>
        <w:tc>
          <w:tcPr>
            <w:tcW w:w="6536" w:type="dxa"/>
            <w:tcBorders>
              <w:left w:val="nil"/>
            </w:tcBorders>
          </w:tcPr>
          <w:p w:rsidR="00A56FE9" w:rsidRDefault="00000000">
            <w:pPr>
              <w:pStyle w:val="TableParagraph"/>
              <w:spacing w:before="5" w:line="203" w:lineRule="exact"/>
              <w:ind w:left="71"/>
              <w:rPr>
                <w:sz w:val="18"/>
              </w:rPr>
            </w:pPr>
            <w:r>
              <w:rPr>
                <w:w w:val="105"/>
                <w:sz w:val="18"/>
              </w:rPr>
              <w:t>Energy</w:t>
            </w:r>
            <w:r>
              <w:rPr>
                <w:spacing w:val="-4"/>
                <w:w w:val="105"/>
                <w:sz w:val="18"/>
              </w:rPr>
              <w:t xml:space="preserve"> </w:t>
            </w:r>
            <w:r>
              <w:rPr>
                <w:w w:val="105"/>
                <w:sz w:val="18"/>
              </w:rPr>
              <w:t>import</w:t>
            </w:r>
            <w:r>
              <w:rPr>
                <w:spacing w:val="-6"/>
                <w:w w:val="105"/>
                <w:sz w:val="18"/>
              </w:rPr>
              <w:t xml:space="preserve"> </w:t>
            </w:r>
            <w:r>
              <w:rPr>
                <w:w w:val="105"/>
                <w:sz w:val="18"/>
              </w:rPr>
              <w:t>dependency</w:t>
            </w:r>
          </w:p>
        </w:tc>
        <w:tc>
          <w:tcPr>
            <w:tcW w:w="4112" w:type="dxa"/>
          </w:tcPr>
          <w:p w:rsidR="00A56FE9" w:rsidRDefault="00000000">
            <w:pPr>
              <w:pStyle w:val="TableParagraph"/>
              <w:spacing w:before="5" w:line="203" w:lineRule="exact"/>
              <w:ind w:left="689"/>
              <w:rPr>
                <w:sz w:val="18"/>
              </w:rPr>
            </w:pPr>
            <w:r>
              <w:rPr>
                <w:w w:val="105"/>
                <w:sz w:val="18"/>
              </w:rPr>
              <w:t>%</w:t>
            </w:r>
            <w:r>
              <w:rPr>
                <w:spacing w:val="-3"/>
                <w:w w:val="105"/>
                <w:sz w:val="18"/>
              </w:rPr>
              <w:t xml:space="preserve"> </w:t>
            </w:r>
            <w:r>
              <w:rPr>
                <w:w w:val="105"/>
                <w:sz w:val="18"/>
              </w:rPr>
              <w:t>imports</w:t>
            </w:r>
            <w:r>
              <w:rPr>
                <w:spacing w:val="-4"/>
                <w:w w:val="105"/>
                <w:sz w:val="18"/>
              </w:rPr>
              <w:t xml:space="preserve"> </w:t>
            </w:r>
            <w:r>
              <w:rPr>
                <w:w w:val="105"/>
                <w:sz w:val="18"/>
              </w:rPr>
              <w:t>of</w:t>
            </w:r>
            <w:r>
              <w:rPr>
                <w:spacing w:val="-4"/>
                <w:w w:val="105"/>
                <w:sz w:val="18"/>
              </w:rPr>
              <w:t xml:space="preserve"> </w:t>
            </w:r>
            <w:r>
              <w:rPr>
                <w:w w:val="105"/>
                <w:sz w:val="18"/>
              </w:rPr>
              <w:t>gross</w:t>
            </w:r>
            <w:r>
              <w:rPr>
                <w:spacing w:val="-4"/>
                <w:w w:val="105"/>
                <w:sz w:val="18"/>
              </w:rPr>
              <w:t xml:space="preserve"> </w:t>
            </w:r>
            <w:r>
              <w:rPr>
                <w:w w:val="105"/>
                <w:sz w:val="18"/>
              </w:rPr>
              <w:t>available</w:t>
            </w:r>
            <w:r>
              <w:rPr>
                <w:spacing w:val="-2"/>
                <w:w w:val="105"/>
                <w:sz w:val="18"/>
              </w:rPr>
              <w:t xml:space="preserve"> </w:t>
            </w:r>
            <w:r>
              <w:rPr>
                <w:w w:val="105"/>
                <w:sz w:val="18"/>
              </w:rPr>
              <w:t>energy</w:t>
            </w:r>
          </w:p>
        </w:tc>
        <w:tc>
          <w:tcPr>
            <w:tcW w:w="708" w:type="dxa"/>
          </w:tcPr>
          <w:p w:rsidR="00A56FE9" w:rsidRDefault="00000000">
            <w:pPr>
              <w:pStyle w:val="TableParagraph"/>
              <w:spacing w:before="5" w:line="203" w:lineRule="exact"/>
              <w:ind w:left="132"/>
              <w:rPr>
                <w:sz w:val="18"/>
              </w:rPr>
            </w:pPr>
            <w:r>
              <w:rPr>
                <w:w w:val="105"/>
                <w:sz w:val="18"/>
              </w:rPr>
              <w:t>2013</w:t>
            </w:r>
          </w:p>
        </w:tc>
        <w:tc>
          <w:tcPr>
            <w:tcW w:w="992" w:type="dxa"/>
          </w:tcPr>
          <w:p w:rsidR="00A56FE9" w:rsidRDefault="00000000">
            <w:pPr>
              <w:pStyle w:val="TableParagraph"/>
              <w:spacing w:before="5" w:line="203" w:lineRule="exact"/>
              <w:ind w:right="111"/>
              <w:jc w:val="right"/>
              <w:rPr>
                <w:sz w:val="18"/>
              </w:rPr>
            </w:pPr>
            <w:r>
              <w:rPr>
                <w:w w:val="105"/>
                <w:sz w:val="18"/>
              </w:rPr>
              <w:t>47.4</w:t>
            </w:r>
          </w:p>
        </w:tc>
        <w:tc>
          <w:tcPr>
            <w:tcW w:w="680" w:type="dxa"/>
          </w:tcPr>
          <w:p w:rsidR="00A56FE9" w:rsidRDefault="00000000">
            <w:pPr>
              <w:pStyle w:val="TableParagraph"/>
              <w:spacing w:before="5"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5" w:line="203" w:lineRule="exact"/>
              <w:ind w:right="141"/>
              <w:jc w:val="right"/>
              <w:rPr>
                <w:sz w:val="18"/>
              </w:rPr>
            </w:pPr>
            <w:r>
              <w:rPr>
                <w:w w:val="105"/>
                <w:sz w:val="18"/>
              </w:rPr>
              <w:t>53.6</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w w:val="105"/>
                <w:sz w:val="18"/>
              </w:rPr>
              <w:t>Population</w:t>
            </w:r>
            <w:r>
              <w:rPr>
                <w:spacing w:val="-11"/>
                <w:w w:val="105"/>
                <w:sz w:val="18"/>
              </w:rPr>
              <w:t xml:space="preserve"> </w:t>
            </w:r>
            <w:r>
              <w:rPr>
                <w:w w:val="105"/>
                <w:sz w:val="18"/>
              </w:rPr>
              <w:t>unable</w:t>
            </w:r>
            <w:r>
              <w:rPr>
                <w:spacing w:val="-12"/>
                <w:w w:val="105"/>
                <w:sz w:val="18"/>
              </w:rPr>
              <w:t xml:space="preserve"> </w:t>
            </w:r>
            <w:r>
              <w:rPr>
                <w:w w:val="105"/>
                <w:sz w:val="18"/>
              </w:rPr>
              <w:t>to</w:t>
            </w:r>
            <w:r>
              <w:rPr>
                <w:spacing w:val="-8"/>
                <w:w w:val="105"/>
                <w:sz w:val="18"/>
              </w:rPr>
              <w:t xml:space="preserve"> </w:t>
            </w:r>
            <w:r>
              <w:rPr>
                <w:w w:val="105"/>
                <w:sz w:val="18"/>
              </w:rPr>
              <w:t>keep</w:t>
            </w:r>
            <w:r>
              <w:rPr>
                <w:spacing w:val="-11"/>
                <w:w w:val="105"/>
                <w:sz w:val="18"/>
              </w:rPr>
              <w:t xml:space="preserve"> </w:t>
            </w:r>
            <w:r>
              <w:rPr>
                <w:w w:val="105"/>
                <w:sz w:val="18"/>
              </w:rPr>
              <w:t>home</w:t>
            </w:r>
            <w:r>
              <w:rPr>
                <w:spacing w:val="-10"/>
                <w:w w:val="105"/>
                <w:sz w:val="18"/>
              </w:rPr>
              <w:t xml:space="preserve"> </w:t>
            </w:r>
            <w:r>
              <w:rPr>
                <w:w w:val="105"/>
                <w:sz w:val="18"/>
              </w:rPr>
              <w:t>adequately</w:t>
            </w:r>
            <w:r>
              <w:rPr>
                <w:spacing w:val="-8"/>
                <w:w w:val="105"/>
                <w:sz w:val="18"/>
              </w:rPr>
              <w:t xml:space="preserve"> </w:t>
            </w:r>
            <w:r>
              <w:rPr>
                <w:w w:val="105"/>
                <w:sz w:val="18"/>
              </w:rPr>
              <w:t>warm</w:t>
            </w:r>
          </w:p>
        </w:tc>
        <w:tc>
          <w:tcPr>
            <w:tcW w:w="4112" w:type="dxa"/>
          </w:tcPr>
          <w:p w:rsidR="00A56FE9" w:rsidRDefault="00000000">
            <w:pPr>
              <w:pStyle w:val="TableParagraph"/>
              <w:spacing w:before="4" w:line="203"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1"/>
              <w:jc w:val="right"/>
              <w:rPr>
                <w:sz w:val="18"/>
              </w:rPr>
            </w:pPr>
            <w:r>
              <w:rPr>
                <w:w w:val="105"/>
                <w:sz w:val="18"/>
              </w:rPr>
              <w:t>9.9</w:t>
            </w:r>
          </w:p>
        </w:tc>
        <w:tc>
          <w:tcPr>
            <w:tcW w:w="680" w:type="dxa"/>
          </w:tcPr>
          <w:p w:rsidR="00A56FE9" w:rsidRDefault="00000000">
            <w:pPr>
              <w:pStyle w:val="TableParagraph"/>
              <w:spacing w:before="4"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3" w:lineRule="exact"/>
              <w:ind w:right="141"/>
              <w:jc w:val="right"/>
              <w:rPr>
                <w:sz w:val="18"/>
              </w:rPr>
            </w:pPr>
            <w:r>
              <w:rPr>
                <w:w w:val="105"/>
                <w:sz w:val="18"/>
              </w:rPr>
              <w:t>5.7</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spacing w:val="-1"/>
                <w:w w:val="105"/>
                <w:sz w:val="18"/>
              </w:rPr>
              <w:t>Greenhouse</w:t>
            </w:r>
            <w:r>
              <w:rPr>
                <w:spacing w:val="-11"/>
                <w:w w:val="105"/>
                <w:sz w:val="18"/>
              </w:rPr>
              <w:t xml:space="preserve"> </w:t>
            </w:r>
            <w:r>
              <w:rPr>
                <w:spacing w:val="-1"/>
                <w:w w:val="105"/>
                <w:sz w:val="18"/>
              </w:rPr>
              <w:t>gas</w:t>
            </w:r>
            <w:r>
              <w:rPr>
                <w:spacing w:val="-8"/>
                <w:w w:val="105"/>
                <w:sz w:val="18"/>
              </w:rPr>
              <w:t xml:space="preserve"> </w:t>
            </w:r>
            <w:r>
              <w:rPr>
                <w:spacing w:val="-1"/>
                <w:w w:val="105"/>
                <w:sz w:val="18"/>
              </w:rPr>
              <w:t>emissions</w:t>
            </w:r>
            <w:r>
              <w:rPr>
                <w:spacing w:val="-8"/>
                <w:w w:val="105"/>
                <w:sz w:val="18"/>
              </w:rPr>
              <w:t xml:space="preserve"> </w:t>
            </w:r>
            <w:r>
              <w:rPr>
                <w:w w:val="105"/>
                <w:sz w:val="18"/>
              </w:rPr>
              <w:t>intensity</w:t>
            </w:r>
            <w:r>
              <w:rPr>
                <w:spacing w:val="-10"/>
                <w:w w:val="105"/>
                <w:sz w:val="18"/>
              </w:rPr>
              <w:t xml:space="preserve"> </w:t>
            </w:r>
            <w:r>
              <w:rPr>
                <w:w w:val="105"/>
                <w:sz w:val="18"/>
              </w:rPr>
              <w:t>of</w:t>
            </w:r>
            <w:r>
              <w:rPr>
                <w:spacing w:val="-8"/>
                <w:w w:val="105"/>
                <w:sz w:val="18"/>
              </w:rPr>
              <w:t xml:space="preserve"> </w:t>
            </w:r>
            <w:r>
              <w:rPr>
                <w:w w:val="105"/>
                <w:sz w:val="18"/>
              </w:rPr>
              <w:t>energy</w:t>
            </w:r>
            <w:r>
              <w:rPr>
                <w:spacing w:val="-7"/>
                <w:w w:val="105"/>
                <w:sz w:val="18"/>
              </w:rPr>
              <w:t xml:space="preserve"> </w:t>
            </w:r>
            <w:r>
              <w:rPr>
                <w:w w:val="105"/>
                <w:sz w:val="18"/>
              </w:rPr>
              <w:t>consumption</w:t>
            </w:r>
          </w:p>
        </w:tc>
        <w:tc>
          <w:tcPr>
            <w:tcW w:w="4112" w:type="dxa"/>
          </w:tcPr>
          <w:p w:rsidR="00A56FE9" w:rsidRDefault="00000000">
            <w:pPr>
              <w:pStyle w:val="TableParagraph"/>
              <w:spacing w:before="4" w:line="201" w:lineRule="exact"/>
              <w:ind w:left="64" w:right="64"/>
              <w:jc w:val="center"/>
              <w:rPr>
                <w:sz w:val="18"/>
              </w:rPr>
            </w:pPr>
            <w:r>
              <w:rPr>
                <w:w w:val="105"/>
                <w:sz w:val="18"/>
              </w:rPr>
              <w:t>index</w:t>
            </w:r>
            <w:r>
              <w:rPr>
                <w:spacing w:val="-6"/>
                <w:w w:val="105"/>
                <w:sz w:val="18"/>
              </w:rPr>
              <w:t xml:space="preserve"> </w:t>
            </w:r>
            <w:r>
              <w:rPr>
                <w:w w:val="105"/>
                <w:sz w:val="18"/>
              </w:rPr>
              <w:t>2000</w:t>
            </w:r>
            <w:r>
              <w:rPr>
                <w:spacing w:val="-9"/>
                <w:w w:val="105"/>
                <w:sz w:val="18"/>
              </w:rPr>
              <w:t xml:space="preserve"> </w:t>
            </w:r>
            <w:r>
              <w:rPr>
                <w:w w:val="105"/>
                <w:sz w:val="18"/>
              </w:rPr>
              <w:t>=</w:t>
            </w:r>
            <w:r>
              <w:rPr>
                <w:spacing w:val="-10"/>
                <w:w w:val="105"/>
                <w:sz w:val="18"/>
              </w:rPr>
              <w:t xml:space="preserve"> </w:t>
            </w:r>
            <w:r>
              <w:rPr>
                <w:w w:val="105"/>
                <w:sz w:val="18"/>
              </w:rPr>
              <w:t>100</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11"/>
              <w:jc w:val="right"/>
              <w:rPr>
                <w:sz w:val="18"/>
              </w:rPr>
            </w:pPr>
            <w:r>
              <w:rPr>
                <w:w w:val="105"/>
                <w:sz w:val="18"/>
              </w:rPr>
              <w:t>93.7</w:t>
            </w:r>
          </w:p>
        </w:tc>
        <w:tc>
          <w:tcPr>
            <w:tcW w:w="680" w:type="dxa"/>
          </w:tcPr>
          <w:p w:rsidR="00A56FE9" w:rsidRDefault="00000000">
            <w:pPr>
              <w:pStyle w:val="TableParagraph"/>
              <w:spacing w:before="4" w:line="201" w:lineRule="exact"/>
              <w:ind w:left="148"/>
              <w:rPr>
                <w:sz w:val="18"/>
              </w:rPr>
            </w:pPr>
            <w:r>
              <w:rPr>
                <w:w w:val="105"/>
                <w:sz w:val="18"/>
              </w:rPr>
              <w:t>2019</w:t>
            </w:r>
          </w:p>
        </w:tc>
        <w:tc>
          <w:tcPr>
            <w:tcW w:w="989" w:type="dxa"/>
            <w:tcBorders>
              <w:right w:val="nil"/>
            </w:tcBorders>
          </w:tcPr>
          <w:p w:rsidR="00A56FE9" w:rsidRDefault="00000000">
            <w:pPr>
              <w:pStyle w:val="TableParagraph"/>
              <w:spacing w:before="4" w:line="201" w:lineRule="exact"/>
              <w:ind w:right="141"/>
              <w:jc w:val="right"/>
              <w:rPr>
                <w:sz w:val="18"/>
              </w:rPr>
            </w:pPr>
            <w:r>
              <w:rPr>
                <w:w w:val="105"/>
                <w:sz w:val="18"/>
              </w:rPr>
              <w:t>86.6</w:t>
            </w:r>
          </w:p>
        </w:tc>
      </w:tr>
      <w:tr w:rsidR="00A56FE9">
        <w:trPr>
          <w:trHeight w:val="340"/>
        </w:trPr>
        <w:tc>
          <w:tcPr>
            <w:tcW w:w="14017" w:type="dxa"/>
            <w:gridSpan w:val="6"/>
            <w:tcBorders>
              <w:left w:val="nil"/>
              <w:right w:val="nil"/>
            </w:tcBorders>
          </w:tcPr>
          <w:p w:rsidR="00A56FE9" w:rsidRDefault="00000000">
            <w:pPr>
              <w:pStyle w:val="TableParagraph"/>
              <w:spacing w:before="67"/>
              <w:ind w:left="71"/>
              <w:rPr>
                <w:b/>
                <w:sz w:val="18"/>
              </w:rPr>
            </w:pPr>
            <w:r>
              <w:rPr>
                <w:b/>
                <w:color w:val="2C398A"/>
                <w:w w:val="105"/>
                <w:sz w:val="18"/>
              </w:rPr>
              <w:t>Goal</w:t>
            </w:r>
            <w:r>
              <w:rPr>
                <w:b/>
                <w:color w:val="2C398A"/>
                <w:spacing w:val="-5"/>
                <w:w w:val="105"/>
                <w:sz w:val="18"/>
              </w:rPr>
              <w:t xml:space="preserve"> </w:t>
            </w:r>
            <w:r>
              <w:rPr>
                <w:b/>
                <w:color w:val="2C398A"/>
                <w:w w:val="105"/>
                <w:sz w:val="18"/>
              </w:rPr>
              <w:t>8</w:t>
            </w:r>
            <w:r>
              <w:rPr>
                <w:b/>
                <w:color w:val="2C398A"/>
                <w:spacing w:val="-2"/>
                <w:w w:val="105"/>
                <w:sz w:val="18"/>
              </w:rPr>
              <w:t xml:space="preserve"> </w:t>
            </w:r>
            <w:r>
              <w:rPr>
                <w:b/>
                <w:color w:val="2C398A"/>
                <w:w w:val="105"/>
                <w:sz w:val="18"/>
              </w:rPr>
              <w:t>-</w:t>
            </w:r>
            <w:r>
              <w:rPr>
                <w:b/>
                <w:color w:val="2C398A"/>
                <w:spacing w:val="-3"/>
                <w:w w:val="105"/>
                <w:sz w:val="18"/>
              </w:rPr>
              <w:t xml:space="preserve"> </w:t>
            </w:r>
            <w:r>
              <w:rPr>
                <w:b/>
                <w:color w:val="2C398A"/>
                <w:w w:val="105"/>
                <w:sz w:val="18"/>
              </w:rPr>
              <w:t>Decent</w:t>
            </w:r>
            <w:r>
              <w:rPr>
                <w:b/>
                <w:color w:val="2C398A"/>
                <w:spacing w:val="-2"/>
                <w:w w:val="105"/>
                <w:sz w:val="18"/>
              </w:rPr>
              <w:t xml:space="preserve"> </w:t>
            </w:r>
            <w:r>
              <w:rPr>
                <w:b/>
                <w:color w:val="2C398A"/>
                <w:w w:val="105"/>
                <w:sz w:val="18"/>
              </w:rPr>
              <w:t>work</w:t>
            </w:r>
            <w:r>
              <w:rPr>
                <w:b/>
                <w:color w:val="2C398A"/>
                <w:spacing w:val="-4"/>
                <w:w w:val="105"/>
                <w:sz w:val="18"/>
              </w:rPr>
              <w:t xml:space="preserve"> </w:t>
            </w:r>
            <w:r>
              <w:rPr>
                <w:b/>
                <w:color w:val="2C398A"/>
                <w:w w:val="105"/>
                <w:sz w:val="18"/>
              </w:rPr>
              <w:t>and</w:t>
            </w:r>
            <w:r>
              <w:rPr>
                <w:b/>
                <w:color w:val="2C398A"/>
                <w:spacing w:val="-1"/>
                <w:w w:val="105"/>
                <w:sz w:val="18"/>
              </w:rPr>
              <w:t xml:space="preserve"> </w:t>
            </w:r>
            <w:r>
              <w:rPr>
                <w:b/>
                <w:color w:val="2C398A"/>
                <w:w w:val="105"/>
                <w:sz w:val="18"/>
              </w:rPr>
              <w:t>economic</w:t>
            </w:r>
            <w:r>
              <w:rPr>
                <w:b/>
                <w:color w:val="2C398A"/>
                <w:spacing w:val="-4"/>
                <w:w w:val="105"/>
                <w:sz w:val="18"/>
              </w:rPr>
              <w:t xml:space="preserve"> </w:t>
            </w:r>
            <w:r>
              <w:rPr>
                <w:b/>
                <w:color w:val="2C398A"/>
                <w:w w:val="105"/>
                <w:sz w:val="18"/>
              </w:rPr>
              <w:t>growth</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spacing w:val="-1"/>
                <w:w w:val="105"/>
                <w:sz w:val="18"/>
              </w:rPr>
              <w:t>Real</w:t>
            </w:r>
            <w:r>
              <w:rPr>
                <w:spacing w:val="-11"/>
                <w:w w:val="105"/>
                <w:sz w:val="18"/>
              </w:rPr>
              <w:t xml:space="preserve"> </w:t>
            </w:r>
            <w:r>
              <w:rPr>
                <w:w w:val="105"/>
                <w:sz w:val="18"/>
              </w:rPr>
              <w:t>GDP</w:t>
            </w:r>
            <w:r>
              <w:rPr>
                <w:spacing w:val="-11"/>
                <w:w w:val="105"/>
                <w:sz w:val="18"/>
              </w:rPr>
              <w:t xml:space="preserve"> </w:t>
            </w:r>
            <w:r>
              <w:rPr>
                <w:w w:val="105"/>
                <w:sz w:val="18"/>
              </w:rPr>
              <w:t>per</w:t>
            </w:r>
            <w:r>
              <w:rPr>
                <w:spacing w:val="-9"/>
                <w:w w:val="105"/>
                <w:sz w:val="18"/>
              </w:rPr>
              <w:t xml:space="preserve"> </w:t>
            </w:r>
            <w:r>
              <w:rPr>
                <w:w w:val="105"/>
                <w:sz w:val="18"/>
              </w:rPr>
              <w:t>capita</w:t>
            </w:r>
          </w:p>
        </w:tc>
        <w:tc>
          <w:tcPr>
            <w:tcW w:w="4112" w:type="dxa"/>
          </w:tcPr>
          <w:p w:rsidR="00A56FE9" w:rsidRDefault="00000000">
            <w:pPr>
              <w:pStyle w:val="TableParagraph"/>
              <w:spacing w:before="7" w:line="201" w:lineRule="exact"/>
              <w:ind w:left="626"/>
              <w:rPr>
                <w:sz w:val="18"/>
              </w:rPr>
            </w:pPr>
            <w:r>
              <w:rPr>
                <w:spacing w:val="-1"/>
                <w:w w:val="105"/>
                <w:sz w:val="18"/>
              </w:rPr>
              <w:t>EUR</w:t>
            </w:r>
            <w:r>
              <w:rPr>
                <w:spacing w:val="-11"/>
                <w:w w:val="105"/>
                <w:sz w:val="18"/>
              </w:rPr>
              <w:t xml:space="preserve"> </w:t>
            </w:r>
            <w:r>
              <w:rPr>
                <w:spacing w:val="-1"/>
                <w:w w:val="105"/>
                <w:sz w:val="18"/>
              </w:rPr>
              <w:t>per</w:t>
            </w:r>
            <w:r>
              <w:rPr>
                <w:spacing w:val="-8"/>
                <w:w w:val="105"/>
                <w:sz w:val="18"/>
              </w:rPr>
              <w:t xml:space="preserve"> </w:t>
            </w:r>
            <w:r>
              <w:rPr>
                <w:spacing w:val="-1"/>
                <w:w w:val="105"/>
                <w:sz w:val="18"/>
              </w:rPr>
              <w:t>capita,</w:t>
            </w:r>
            <w:r>
              <w:rPr>
                <w:spacing w:val="-11"/>
                <w:w w:val="105"/>
                <w:sz w:val="18"/>
              </w:rPr>
              <w:t xml:space="preserve"> </w:t>
            </w:r>
            <w:r>
              <w:rPr>
                <w:spacing w:val="-1"/>
                <w:w w:val="105"/>
                <w:sz w:val="18"/>
              </w:rPr>
              <w:t>chained</w:t>
            </w:r>
            <w:r>
              <w:rPr>
                <w:spacing w:val="-9"/>
                <w:w w:val="105"/>
                <w:sz w:val="18"/>
              </w:rPr>
              <w:t xml:space="preserve"> </w:t>
            </w:r>
            <w:r>
              <w:rPr>
                <w:w w:val="105"/>
                <w:sz w:val="18"/>
              </w:rPr>
              <w:t>values</w:t>
            </w:r>
            <w:r>
              <w:rPr>
                <w:spacing w:val="-11"/>
                <w:w w:val="105"/>
                <w:sz w:val="18"/>
              </w:rPr>
              <w:t xml:space="preserve"> </w:t>
            </w:r>
            <w:r>
              <w:rPr>
                <w:w w:val="105"/>
                <w:sz w:val="18"/>
              </w:rPr>
              <w:t>(2010)</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2"/>
              <w:jc w:val="right"/>
              <w:rPr>
                <w:sz w:val="18"/>
              </w:rPr>
            </w:pPr>
            <w:r>
              <w:rPr>
                <w:w w:val="105"/>
                <w:sz w:val="18"/>
              </w:rPr>
              <w:t>10,420</w:t>
            </w:r>
          </w:p>
        </w:tc>
        <w:tc>
          <w:tcPr>
            <w:tcW w:w="680" w:type="dxa"/>
          </w:tcPr>
          <w:p w:rsidR="00A56FE9" w:rsidRDefault="00000000">
            <w:pPr>
              <w:pStyle w:val="TableParagraph"/>
              <w:spacing w:before="7"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7" w:line="201" w:lineRule="exact"/>
              <w:ind w:right="142"/>
              <w:jc w:val="right"/>
              <w:rPr>
                <w:sz w:val="18"/>
              </w:rPr>
            </w:pPr>
            <w:r>
              <w:rPr>
                <w:w w:val="105"/>
                <w:sz w:val="18"/>
              </w:rPr>
              <w:t>11</w:t>
            </w:r>
            <w:r>
              <w:rPr>
                <w:spacing w:val="-2"/>
                <w:w w:val="105"/>
                <w:sz w:val="18"/>
              </w:rPr>
              <w:t xml:space="preserve"> </w:t>
            </w:r>
            <w:r>
              <w:rPr>
                <w:w w:val="105"/>
                <w:sz w:val="18"/>
              </w:rPr>
              <w:t>720</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sz w:val="18"/>
              </w:rPr>
              <w:t>Investment</w:t>
            </w:r>
            <w:r>
              <w:rPr>
                <w:spacing w:val="2"/>
                <w:sz w:val="18"/>
              </w:rPr>
              <w:t xml:space="preserve"> </w:t>
            </w:r>
            <w:r>
              <w:rPr>
                <w:sz w:val="18"/>
              </w:rPr>
              <w:t>share</w:t>
            </w:r>
            <w:r>
              <w:rPr>
                <w:spacing w:val="1"/>
                <w:sz w:val="18"/>
              </w:rPr>
              <w:t xml:space="preserve"> </w:t>
            </w:r>
            <w:r>
              <w:rPr>
                <w:sz w:val="18"/>
              </w:rPr>
              <w:t>of</w:t>
            </w:r>
            <w:r>
              <w:rPr>
                <w:spacing w:val="4"/>
                <w:sz w:val="18"/>
              </w:rPr>
              <w:t xml:space="preserve"> </w:t>
            </w:r>
            <w:r>
              <w:rPr>
                <w:sz w:val="18"/>
              </w:rPr>
              <w:t>GDP</w:t>
            </w:r>
          </w:p>
        </w:tc>
        <w:tc>
          <w:tcPr>
            <w:tcW w:w="4112" w:type="dxa"/>
          </w:tcPr>
          <w:p w:rsidR="00A56FE9" w:rsidRDefault="00000000">
            <w:pPr>
              <w:pStyle w:val="TableParagraph"/>
              <w:spacing w:before="4" w:line="203" w:lineRule="exact"/>
              <w:ind w:left="64" w:right="63"/>
              <w:jc w:val="center"/>
              <w:rPr>
                <w:sz w:val="18"/>
              </w:rPr>
            </w:pPr>
            <w:r>
              <w:rPr>
                <w:w w:val="105"/>
                <w:sz w:val="18"/>
              </w:rPr>
              <w:t>%</w:t>
            </w:r>
            <w:r>
              <w:rPr>
                <w:spacing w:val="-11"/>
                <w:w w:val="105"/>
                <w:sz w:val="18"/>
              </w:rPr>
              <w:t xml:space="preserve"> </w:t>
            </w:r>
            <w:r>
              <w:rPr>
                <w:w w:val="105"/>
                <w:sz w:val="18"/>
              </w:rPr>
              <w:t>BDP-a</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2"/>
              <w:jc w:val="right"/>
              <w:rPr>
                <w:sz w:val="18"/>
              </w:rPr>
            </w:pPr>
            <w:r>
              <w:rPr>
                <w:w w:val="105"/>
                <w:sz w:val="18"/>
              </w:rPr>
              <w:t>19,4</w:t>
            </w:r>
          </w:p>
        </w:tc>
        <w:tc>
          <w:tcPr>
            <w:tcW w:w="680" w:type="dxa"/>
          </w:tcPr>
          <w:p w:rsidR="00A56FE9" w:rsidRDefault="00000000">
            <w:pPr>
              <w:pStyle w:val="TableParagraph"/>
              <w:spacing w:before="4"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3" w:lineRule="exact"/>
              <w:ind w:right="141"/>
              <w:jc w:val="right"/>
              <w:rPr>
                <w:sz w:val="18"/>
              </w:rPr>
            </w:pPr>
            <w:r>
              <w:rPr>
                <w:w w:val="105"/>
                <w:sz w:val="18"/>
              </w:rPr>
              <w:t>22,3</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w w:val="105"/>
                <w:sz w:val="18"/>
              </w:rPr>
              <w:t>Young</w:t>
            </w:r>
            <w:r>
              <w:rPr>
                <w:spacing w:val="-11"/>
                <w:w w:val="105"/>
                <w:sz w:val="18"/>
              </w:rPr>
              <w:t xml:space="preserve"> </w:t>
            </w:r>
            <w:r>
              <w:rPr>
                <w:w w:val="105"/>
                <w:sz w:val="18"/>
              </w:rPr>
              <w:t>people</w:t>
            </w:r>
            <w:r>
              <w:rPr>
                <w:spacing w:val="-11"/>
                <w:w w:val="105"/>
                <w:sz w:val="18"/>
              </w:rPr>
              <w:t xml:space="preserve"> </w:t>
            </w:r>
            <w:r>
              <w:rPr>
                <w:w w:val="105"/>
                <w:sz w:val="18"/>
              </w:rPr>
              <w:t>neither</w:t>
            </w:r>
            <w:r>
              <w:rPr>
                <w:spacing w:val="-7"/>
                <w:w w:val="105"/>
                <w:sz w:val="18"/>
              </w:rPr>
              <w:t xml:space="preserve"> </w:t>
            </w:r>
            <w:r>
              <w:rPr>
                <w:w w:val="105"/>
                <w:sz w:val="18"/>
              </w:rPr>
              <w:t>in</w:t>
            </w:r>
            <w:r>
              <w:rPr>
                <w:spacing w:val="-10"/>
                <w:w w:val="105"/>
                <w:sz w:val="18"/>
              </w:rPr>
              <w:t xml:space="preserve"> </w:t>
            </w:r>
            <w:r>
              <w:rPr>
                <w:w w:val="105"/>
                <w:sz w:val="18"/>
              </w:rPr>
              <w:t>employment</w:t>
            </w:r>
            <w:r>
              <w:rPr>
                <w:spacing w:val="-11"/>
                <w:w w:val="105"/>
                <w:sz w:val="18"/>
              </w:rPr>
              <w:t xml:space="preserve"> </w:t>
            </w:r>
            <w:r>
              <w:rPr>
                <w:w w:val="105"/>
                <w:sz w:val="18"/>
              </w:rPr>
              <w:t>nor</w:t>
            </w:r>
            <w:r>
              <w:rPr>
                <w:spacing w:val="-8"/>
                <w:w w:val="105"/>
                <w:sz w:val="18"/>
              </w:rPr>
              <w:t xml:space="preserve"> </w:t>
            </w:r>
            <w:r>
              <w:rPr>
                <w:w w:val="105"/>
                <w:sz w:val="18"/>
              </w:rPr>
              <w:t>in</w:t>
            </w:r>
            <w:r>
              <w:rPr>
                <w:spacing w:val="-10"/>
                <w:w w:val="105"/>
                <w:sz w:val="18"/>
              </w:rPr>
              <w:t xml:space="preserve"> </w:t>
            </w:r>
            <w:r>
              <w:rPr>
                <w:w w:val="105"/>
                <w:sz w:val="18"/>
              </w:rPr>
              <w:t>education</w:t>
            </w:r>
            <w:r>
              <w:rPr>
                <w:spacing w:val="-7"/>
                <w:w w:val="105"/>
                <w:sz w:val="18"/>
              </w:rPr>
              <w:t xml:space="preserve"> </w:t>
            </w:r>
            <w:r>
              <w:rPr>
                <w:w w:val="105"/>
                <w:sz w:val="18"/>
              </w:rPr>
              <w:t>and</w:t>
            </w:r>
            <w:r>
              <w:rPr>
                <w:spacing w:val="-4"/>
                <w:w w:val="105"/>
                <w:sz w:val="18"/>
              </w:rPr>
              <w:t xml:space="preserve"> </w:t>
            </w:r>
            <w:r>
              <w:rPr>
                <w:w w:val="105"/>
                <w:sz w:val="18"/>
              </w:rPr>
              <w:t>training</w:t>
            </w:r>
          </w:p>
        </w:tc>
        <w:tc>
          <w:tcPr>
            <w:tcW w:w="4112" w:type="dxa"/>
          </w:tcPr>
          <w:p w:rsidR="00A56FE9" w:rsidRDefault="00000000">
            <w:pPr>
              <w:pStyle w:val="TableParagraph"/>
              <w:spacing w:before="4" w:line="201" w:lineRule="exact"/>
              <w:ind w:left="991"/>
              <w:rPr>
                <w:sz w:val="18"/>
              </w:rPr>
            </w:pPr>
            <w:r>
              <w:rPr>
                <w:w w:val="105"/>
                <w:sz w:val="18"/>
              </w:rPr>
              <w:t>%</w:t>
            </w:r>
            <w:r>
              <w:rPr>
                <w:spacing w:val="-2"/>
                <w:w w:val="105"/>
                <w:sz w:val="18"/>
              </w:rPr>
              <w:t xml:space="preserve"> </w:t>
            </w:r>
            <w:r>
              <w:rPr>
                <w:w w:val="105"/>
                <w:sz w:val="18"/>
              </w:rPr>
              <w:t>population aged 15</w:t>
            </w:r>
            <w:r>
              <w:rPr>
                <w:spacing w:val="-7"/>
                <w:w w:val="105"/>
                <w:sz w:val="18"/>
              </w:rPr>
              <w:t xml:space="preserve"> </w:t>
            </w:r>
            <w:r>
              <w:rPr>
                <w:w w:val="105"/>
                <w:sz w:val="18"/>
              </w:rPr>
              <w:t>do</w:t>
            </w:r>
            <w:r>
              <w:rPr>
                <w:spacing w:val="-7"/>
                <w:w w:val="105"/>
                <w:sz w:val="18"/>
              </w:rPr>
              <w:t xml:space="preserve"> </w:t>
            </w:r>
            <w:r>
              <w:rPr>
                <w:w w:val="105"/>
                <w:sz w:val="18"/>
              </w:rPr>
              <w:t>29</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12"/>
              <w:jc w:val="right"/>
              <w:rPr>
                <w:sz w:val="18"/>
              </w:rPr>
            </w:pPr>
            <w:r>
              <w:rPr>
                <w:w w:val="105"/>
                <w:sz w:val="18"/>
              </w:rPr>
              <w:t>22,3</w:t>
            </w:r>
          </w:p>
        </w:tc>
        <w:tc>
          <w:tcPr>
            <w:tcW w:w="680" w:type="dxa"/>
          </w:tcPr>
          <w:p w:rsidR="00A56FE9" w:rsidRDefault="00000000">
            <w:pPr>
              <w:pStyle w:val="TableParagraph"/>
              <w:spacing w:before="4"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1" w:lineRule="exact"/>
              <w:ind w:right="141"/>
              <w:jc w:val="right"/>
              <w:rPr>
                <w:sz w:val="18"/>
              </w:rPr>
            </w:pPr>
            <w:r>
              <w:rPr>
                <w:w w:val="105"/>
                <w:sz w:val="18"/>
              </w:rPr>
              <w:t>14,6</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w w:val="105"/>
                <w:sz w:val="18"/>
              </w:rPr>
              <w:t>Young</w:t>
            </w:r>
            <w:r>
              <w:rPr>
                <w:spacing w:val="-11"/>
                <w:w w:val="105"/>
                <w:sz w:val="18"/>
              </w:rPr>
              <w:t xml:space="preserve"> </w:t>
            </w:r>
            <w:r>
              <w:rPr>
                <w:w w:val="105"/>
                <w:sz w:val="18"/>
              </w:rPr>
              <w:t>people</w:t>
            </w:r>
            <w:r>
              <w:rPr>
                <w:spacing w:val="-11"/>
                <w:w w:val="105"/>
                <w:sz w:val="18"/>
              </w:rPr>
              <w:t xml:space="preserve"> </w:t>
            </w:r>
            <w:r>
              <w:rPr>
                <w:w w:val="105"/>
                <w:sz w:val="18"/>
              </w:rPr>
              <w:t>neither</w:t>
            </w:r>
            <w:r>
              <w:rPr>
                <w:spacing w:val="-8"/>
                <w:w w:val="105"/>
                <w:sz w:val="18"/>
              </w:rPr>
              <w:t xml:space="preserve"> </w:t>
            </w:r>
            <w:r>
              <w:rPr>
                <w:w w:val="105"/>
                <w:sz w:val="18"/>
              </w:rPr>
              <w:t>in</w:t>
            </w:r>
            <w:r>
              <w:rPr>
                <w:spacing w:val="-10"/>
                <w:w w:val="105"/>
                <w:sz w:val="18"/>
              </w:rPr>
              <w:t xml:space="preserve"> </w:t>
            </w:r>
            <w:r>
              <w:rPr>
                <w:w w:val="105"/>
                <w:sz w:val="18"/>
              </w:rPr>
              <w:t>employment</w:t>
            </w:r>
            <w:r>
              <w:rPr>
                <w:spacing w:val="-11"/>
                <w:w w:val="105"/>
                <w:sz w:val="18"/>
              </w:rPr>
              <w:t xml:space="preserve"> </w:t>
            </w:r>
            <w:r>
              <w:rPr>
                <w:w w:val="105"/>
                <w:sz w:val="18"/>
              </w:rPr>
              <w:t>nor</w:t>
            </w:r>
            <w:r>
              <w:rPr>
                <w:spacing w:val="-8"/>
                <w:w w:val="105"/>
                <w:sz w:val="18"/>
              </w:rPr>
              <w:t xml:space="preserve"> </w:t>
            </w:r>
            <w:r>
              <w:rPr>
                <w:w w:val="105"/>
                <w:sz w:val="18"/>
              </w:rPr>
              <w:t>in</w:t>
            </w:r>
            <w:r>
              <w:rPr>
                <w:spacing w:val="-10"/>
                <w:w w:val="105"/>
                <w:sz w:val="18"/>
              </w:rPr>
              <w:t xml:space="preserve"> </w:t>
            </w:r>
            <w:r>
              <w:rPr>
                <w:w w:val="105"/>
                <w:sz w:val="18"/>
              </w:rPr>
              <w:t>education</w:t>
            </w:r>
            <w:r>
              <w:rPr>
                <w:spacing w:val="-8"/>
                <w:w w:val="105"/>
                <w:sz w:val="18"/>
              </w:rPr>
              <w:t xml:space="preserve"> </w:t>
            </w:r>
            <w:r>
              <w:rPr>
                <w:w w:val="105"/>
                <w:sz w:val="18"/>
              </w:rPr>
              <w:t>and</w:t>
            </w:r>
            <w:r>
              <w:rPr>
                <w:spacing w:val="-10"/>
                <w:w w:val="105"/>
                <w:sz w:val="18"/>
              </w:rPr>
              <w:t xml:space="preserve"> </w:t>
            </w:r>
            <w:r>
              <w:rPr>
                <w:w w:val="105"/>
                <w:sz w:val="18"/>
              </w:rPr>
              <w:t>training</w:t>
            </w:r>
          </w:p>
        </w:tc>
        <w:tc>
          <w:tcPr>
            <w:tcW w:w="4112" w:type="dxa"/>
          </w:tcPr>
          <w:p w:rsidR="00A56FE9" w:rsidRDefault="00000000">
            <w:pPr>
              <w:pStyle w:val="TableParagraph"/>
              <w:spacing w:before="7" w:line="201" w:lineRule="exact"/>
              <w:ind w:left="991"/>
              <w:rPr>
                <w:sz w:val="18"/>
              </w:rPr>
            </w:pPr>
            <w:r>
              <w:rPr>
                <w:w w:val="105"/>
                <w:sz w:val="18"/>
              </w:rPr>
              <w:t>%</w:t>
            </w:r>
            <w:r>
              <w:rPr>
                <w:spacing w:val="-2"/>
                <w:w w:val="105"/>
                <w:sz w:val="18"/>
              </w:rPr>
              <w:t xml:space="preserve"> </w:t>
            </w:r>
            <w:r>
              <w:rPr>
                <w:w w:val="105"/>
                <w:sz w:val="18"/>
              </w:rPr>
              <w:t>population aged 15</w:t>
            </w:r>
            <w:r>
              <w:rPr>
                <w:spacing w:val="-7"/>
                <w:w w:val="105"/>
                <w:sz w:val="18"/>
              </w:rPr>
              <w:t xml:space="preserve"> </w:t>
            </w:r>
            <w:r>
              <w:rPr>
                <w:w w:val="105"/>
                <w:sz w:val="18"/>
              </w:rPr>
              <w:t>do</w:t>
            </w:r>
            <w:r>
              <w:rPr>
                <w:spacing w:val="-7"/>
                <w:w w:val="105"/>
                <w:sz w:val="18"/>
              </w:rPr>
              <w:t xml:space="preserve"> </w:t>
            </w:r>
            <w:r>
              <w:rPr>
                <w:w w:val="105"/>
                <w:sz w:val="18"/>
              </w:rPr>
              <w:t>29</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2"/>
              <w:jc w:val="right"/>
              <w:rPr>
                <w:sz w:val="18"/>
              </w:rPr>
            </w:pPr>
            <w:r>
              <w:rPr>
                <w:w w:val="105"/>
                <w:sz w:val="18"/>
              </w:rPr>
              <w:t>22,2</w:t>
            </w:r>
          </w:p>
        </w:tc>
        <w:tc>
          <w:tcPr>
            <w:tcW w:w="680" w:type="dxa"/>
          </w:tcPr>
          <w:p w:rsidR="00A56FE9" w:rsidRDefault="00000000">
            <w:pPr>
              <w:pStyle w:val="TableParagraph"/>
              <w:spacing w:before="7"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7" w:line="201" w:lineRule="exact"/>
              <w:ind w:right="141"/>
              <w:jc w:val="right"/>
              <w:rPr>
                <w:sz w:val="18"/>
              </w:rPr>
            </w:pPr>
            <w:r>
              <w:rPr>
                <w:w w:val="105"/>
                <w:sz w:val="18"/>
              </w:rPr>
              <w:t>14,6</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spacing w:val="-1"/>
                <w:w w:val="105"/>
                <w:sz w:val="18"/>
              </w:rPr>
              <w:t>Employment</w:t>
            </w:r>
            <w:r>
              <w:rPr>
                <w:spacing w:val="-8"/>
                <w:w w:val="105"/>
                <w:sz w:val="18"/>
              </w:rPr>
              <w:t xml:space="preserve"> </w:t>
            </w:r>
            <w:r>
              <w:rPr>
                <w:w w:val="105"/>
                <w:sz w:val="18"/>
              </w:rPr>
              <w:t>rate</w:t>
            </w:r>
          </w:p>
        </w:tc>
        <w:tc>
          <w:tcPr>
            <w:tcW w:w="4112" w:type="dxa"/>
          </w:tcPr>
          <w:p w:rsidR="00A56FE9" w:rsidRDefault="00000000">
            <w:pPr>
              <w:pStyle w:val="TableParagraph"/>
              <w:spacing w:before="7" w:line="201" w:lineRule="exact"/>
              <w:ind w:left="989"/>
              <w:rPr>
                <w:sz w:val="18"/>
              </w:rPr>
            </w:pPr>
            <w:r>
              <w:rPr>
                <w:w w:val="105"/>
                <w:sz w:val="18"/>
              </w:rPr>
              <w:t>%</w:t>
            </w:r>
            <w:r>
              <w:rPr>
                <w:spacing w:val="2"/>
                <w:w w:val="105"/>
                <w:sz w:val="18"/>
              </w:rPr>
              <w:t xml:space="preserve"> </w:t>
            </w:r>
            <w:r>
              <w:rPr>
                <w:w w:val="105"/>
                <w:sz w:val="18"/>
              </w:rPr>
              <w:t>population aged 20</w:t>
            </w:r>
            <w:r>
              <w:rPr>
                <w:spacing w:val="-7"/>
                <w:w w:val="105"/>
                <w:sz w:val="18"/>
              </w:rPr>
              <w:t xml:space="preserve"> </w:t>
            </w:r>
            <w:r>
              <w:rPr>
                <w:w w:val="105"/>
                <w:sz w:val="18"/>
              </w:rPr>
              <w:t>do</w:t>
            </w:r>
            <w:r>
              <w:rPr>
                <w:spacing w:val="-7"/>
                <w:w w:val="105"/>
                <w:sz w:val="18"/>
              </w:rPr>
              <w:t xml:space="preserve"> </w:t>
            </w:r>
            <w:r>
              <w:rPr>
                <w:w w:val="105"/>
                <w:sz w:val="18"/>
              </w:rPr>
              <w:t>64</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2"/>
              <w:jc w:val="right"/>
              <w:rPr>
                <w:sz w:val="18"/>
              </w:rPr>
            </w:pPr>
            <w:r>
              <w:rPr>
                <w:w w:val="105"/>
                <w:sz w:val="18"/>
              </w:rPr>
              <w:t>57,2</w:t>
            </w:r>
          </w:p>
        </w:tc>
        <w:tc>
          <w:tcPr>
            <w:tcW w:w="680" w:type="dxa"/>
          </w:tcPr>
          <w:p w:rsidR="00A56FE9" w:rsidRDefault="00000000">
            <w:pPr>
              <w:pStyle w:val="TableParagraph"/>
              <w:spacing w:before="7"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7" w:line="201" w:lineRule="exact"/>
              <w:ind w:right="141"/>
              <w:jc w:val="right"/>
              <w:rPr>
                <w:sz w:val="18"/>
              </w:rPr>
            </w:pPr>
            <w:r>
              <w:rPr>
                <w:w w:val="105"/>
                <w:sz w:val="18"/>
              </w:rPr>
              <w:t>66,9</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spacing w:val="-1"/>
                <w:w w:val="105"/>
                <w:sz w:val="18"/>
              </w:rPr>
              <w:t>Employment</w:t>
            </w:r>
            <w:r>
              <w:rPr>
                <w:spacing w:val="-11"/>
                <w:w w:val="105"/>
                <w:sz w:val="18"/>
              </w:rPr>
              <w:t xml:space="preserve"> </w:t>
            </w:r>
            <w:r>
              <w:rPr>
                <w:w w:val="105"/>
                <w:sz w:val="18"/>
              </w:rPr>
              <w:t>rate,</w:t>
            </w:r>
            <w:r>
              <w:rPr>
                <w:spacing w:val="-9"/>
                <w:w w:val="105"/>
                <w:sz w:val="18"/>
              </w:rPr>
              <w:t xml:space="preserve"> </w:t>
            </w:r>
            <w:r>
              <w:rPr>
                <w:w w:val="105"/>
                <w:sz w:val="18"/>
              </w:rPr>
              <w:t>by</w:t>
            </w:r>
            <w:r>
              <w:rPr>
                <w:spacing w:val="-8"/>
                <w:w w:val="105"/>
                <w:sz w:val="18"/>
              </w:rPr>
              <w:t xml:space="preserve"> </w:t>
            </w:r>
            <w:r>
              <w:rPr>
                <w:w w:val="105"/>
                <w:sz w:val="18"/>
              </w:rPr>
              <w:t>citizenship</w:t>
            </w:r>
          </w:p>
        </w:tc>
        <w:tc>
          <w:tcPr>
            <w:tcW w:w="4112" w:type="dxa"/>
          </w:tcPr>
          <w:p w:rsidR="00A56FE9" w:rsidRDefault="00000000">
            <w:pPr>
              <w:pStyle w:val="TableParagraph"/>
              <w:spacing w:before="4" w:line="203" w:lineRule="exact"/>
              <w:ind w:left="989"/>
              <w:rPr>
                <w:sz w:val="18"/>
              </w:rPr>
            </w:pPr>
            <w:r>
              <w:rPr>
                <w:w w:val="105"/>
                <w:sz w:val="18"/>
              </w:rPr>
              <w:t>%</w:t>
            </w:r>
            <w:r>
              <w:rPr>
                <w:spacing w:val="2"/>
                <w:w w:val="105"/>
                <w:sz w:val="18"/>
              </w:rPr>
              <w:t xml:space="preserve"> </w:t>
            </w:r>
            <w:r>
              <w:rPr>
                <w:w w:val="105"/>
                <w:sz w:val="18"/>
              </w:rPr>
              <w:t>population aged 20</w:t>
            </w:r>
            <w:r>
              <w:rPr>
                <w:spacing w:val="-7"/>
                <w:w w:val="105"/>
                <w:sz w:val="18"/>
              </w:rPr>
              <w:t xml:space="preserve"> </w:t>
            </w:r>
            <w:r>
              <w:rPr>
                <w:w w:val="105"/>
                <w:sz w:val="18"/>
              </w:rPr>
              <w:t>do</w:t>
            </w:r>
            <w:r>
              <w:rPr>
                <w:spacing w:val="-7"/>
                <w:w w:val="105"/>
                <w:sz w:val="18"/>
              </w:rPr>
              <w:t xml:space="preserve"> </w:t>
            </w:r>
            <w:r>
              <w:rPr>
                <w:w w:val="105"/>
                <w:sz w:val="18"/>
              </w:rPr>
              <w:t>64</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2"/>
              <w:jc w:val="right"/>
              <w:rPr>
                <w:sz w:val="18"/>
              </w:rPr>
            </w:pPr>
            <w:r>
              <w:rPr>
                <w:w w:val="105"/>
                <w:sz w:val="18"/>
              </w:rPr>
              <w:t>57,2</w:t>
            </w:r>
          </w:p>
        </w:tc>
        <w:tc>
          <w:tcPr>
            <w:tcW w:w="680" w:type="dxa"/>
          </w:tcPr>
          <w:p w:rsidR="00A56FE9" w:rsidRDefault="00000000">
            <w:pPr>
              <w:pStyle w:val="TableParagraph"/>
              <w:spacing w:before="4"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3" w:lineRule="exact"/>
              <w:ind w:right="141"/>
              <w:jc w:val="right"/>
              <w:rPr>
                <w:sz w:val="18"/>
              </w:rPr>
            </w:pPr>
            <w:r>
              <w:rPr>
                <w:w w:val="105"/>
                <w:sz w:val="18"/>
              </w:rPr>
              <w:t>66,9</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sz w:val="18"/>
              </w:rPr>
              <w:t>Long-term</w:t>
            </w:r>
            <w:r>
              <w:rPr>
                <w:spacing w:val="25"/>
                <w:sz w:val="18"/>
              </w:rPr>
              <w:t xml:space="preserve"> </w:t>
            </w:r>
            <w:r>
              <w:rPr>
                <w:sz w:val="18"/>
              </w:rPr>
              <w:t>unemployment</w:t>
            </w:r>
          </w:p>
        </w:tc>
        <w:tc>
          <w:tcPr>
            <w:tcW w:w="4112" w:type="dxa"/>
          </w:tcPr>
          <w:p w:rsidR="00A56FE9" w:rsidRDefault="00000000">
            <w:pPr>
              <w:pStyle w:val="TableParagraph"/>
              <w:spacing w:before="4" w:line="201" w:lineRule="exact"/>
              <w:ind w:left="1303"/>
              <w:rPr>
                <w:sz w:val="18"/>
              </w:rPr>
            </w:pPr>
            <w:r>
              <w:rPr>
                <w:w w:val="105"/>
                <w:sz w:val="18"/>
              </w:rPr>
              <w:t>%</w:t>
            </w:r>
            <w:r>
              <w:rPr>
                <w:spacing w:val="-10"/>
                <w:w w:val="105"/>
                <w:sz w:val="18"/>
              </w:rPr>
              <w:t xml:space="preserve"> </w:t>
            </w:r>
            <w:r>
              <w:rPr>
                <w:w w:val="105"/>
                <w:sz w:val="18"/>
              </w:rPr>
              <w:t>active</w:t>
            </w:r>
            <w:r>
              <w:rPr>
                <w:spacing w:val="-12"/>
                <w:w w:val="105"/>
                <w:sz w:val="18"/>
              </w:rPr>
              <w:t xml:space="preserve"> </w:t>
            </w:r>
            <w:r>
              <w:rPr>
                <w:w w:val="105"/>
                <w:sz w:val="18"/>
              </w:rPr>
              <w:t>population</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12"/>
              <w:jc w:val="right"/>
              <w:rPr>
                <w:sz w:val="18"/>
              </w:rPr>
            </w:pPr>
            <w:r>
              <w:rPr>
                <w:w w:val="105"/>
                <w:sz w:val="18"/>
              </w:rPr>
              <w:t>11,0</w:t>
            </w:r>
          </w:p>
        </w:tc>
        <w:tc>
          <w:tcPr>
            <w:tcW w:w="680" w:type="dxa"/>
          </w:tcPr>
          <w:p w:rsidR="00A56FE9" w:rsidRDefault="00000000">
            <w:pPr>
              <w:pStyle w:val="TableParagraph"/>
              <w:spacing w:before="4"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1" w:lineRule="exact"/>
              <w:ind w:right="141"/>
              <w:jc w:val="right"/>
              <w:rPr>
                <w:sz w:val="18"/>
              </w:rPr>
            </w:pPr>
            <w:r>
              <w:rPr>
                <w:w w:val="105"/>
                <w:sz w:val="18"/>
              </w:rPr>
              <w:t>2,1</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w w:val="105"/>
                <w:sz w:val="18"/>
              </w:rPr>
              <w:t>People</w:t>
            </w:r>
            <w:r>
              <w:rPr>
                <w:spacing w:val="-11"/>
                <w:w w:val="105"/>
                <w:sz w:val="18"/>
              </w:rPr>
              <w:t xml:space="preserve"> </w:t>
            </w:r>
            <w:r>
              <w:rPr>
                <w:w w:val="105"/>
                <w:sz w:val="18"/>
              </w:rPr>
              <w:t>killed</w:t>
            </w:r>
            <w:r>
              <w:rPr>
                <w:spacing w:val="-6"/>
                <w:w w:val="105"/>
                <w:sz w:val="18"/>
              </w:rPr>
              <w:t xml:space="preserve"> </w:t>
            </w:r>
            <w:r>
              <w:rPr>
                <w:w w:val="105"/>
                <w:sz w:val="18"/>
              </w:rPr>
              <w:t>in</w:t>
            </w:r>
            <w:r>
              <w:rPr>
                <w:spacing w:val="-9"/>
                <w:w w:val="105"/>
                <w:sz w:val="18"/>
              </w:rPr>
              <w:t xml:space="preserve"> </w:t>
            </w:r>
            <w:r>
              <w:rPr>
                <w:w w:val="105"/>
                <w:sz w:val="18"/>
              </w:rPr>
              <w:t>accidents</w:t>
            </w:r>
            <w:r>
              <w:rPr>
                <w:spacing w:val="-8"/>
                <w:w w:val="105"/>
                <w:sz w:val="18"/>
              </w:rPr>
              <w:t xml:space="preserve"> </w:t>
            </w:r>
            <w:r>
              <w:rPr>
                <w:w w:val="105"/>
                <w:sz w:val="18"/>
              </w:rPr>
              <w:t>at</w:t>
            </w:r>
            <w:r>
              <w:rPr>
                <w:spacing w:val="-8"/>
                <w:w w:val="105"/>
                <w:sz w:val="18"/>
              </w:rPr>
              <w:t xml:space="preserve"> </w:t>
            </w:r>
            <w:r>
              <w:rPr>
                <w:w w:val="105"/>
                <w:sz w:val="18"/>
              </w:rPr>
              <w:t>work</w:t>
            </w:r>
          </w:p>
        </w:tc>
        <w:tc>
          <w:tcPr>
            <w:tcW w:w="4112" w:type="dxa"/>
          </w:tcPr>
          <w:p w:rsidR="00A56FE9" w:rsidRDefault="00000000">
            <w:pPr>
              <w:pStyle w:val="TableParagraph"/>
              <w:spacing w:before="7" w:line="201" w:lineRule="exact"/>
              <w:ind w:left="657"/>
              <w:rPr>
                <w:sz w:val="18"/>
              </w:rPr>
            </w:pPr>
            <w:r>
              <w:rPr>
                <w:w w:val="105"/>
                <w:sz w:val="18"/>
              </w:rPr>
              <w:t>number</w:t>
            </w:r>
            <w:r>
              <w:rPr>
                <w:spacing w:val="-4"/>
                <w:w w:val="105"/>
                <w:sz w:val="18"/>
              </w:rPr>
              <w:t xml:space="preserve"> </w:t>
            </w:r>
            <w:r>
              <w:rPr>
                <w:w w:val="105"/>
                <w:sz w:val="18"/>
              </w:rPr>
              <w:t>per</w:t>
            </w:r>
            <w:r>
              <w:rPr>
                <w:spacing w:val="-3"/>
                <w:w w:val="105"/>
                <w:sz w:val="18"/>
              </w:rPr>
              <w:t xml:space="preserve"> </w:t>
            </w:r>
            <w:r>
              <w:rPr>
                <w:w w:val="105"/>
                <w:sz w:val="18"/>
              </w:rPr>
              <w:t>every</w:t>
            </w:r>
            <w:r>
              <w:rPr>
                <w:spacing w:val="-2"/>
                <w:w w:val="105"/>
                <w:sz w:val="18"/>
              </w:rPr>
              <w:t xml:space="preserve"> </w:t>
            </w:r>
            <w:r>
              <w:rPr>
                <w:w w:val="105"/>
                <w:sz w:val="18"/>
              </w:rPr>
              <w:t>100</w:t>
            </w:r>
            <w:r>
              <w:rPr>
                <w:spacing w:val="-5"/>
                <w:w w:val="105"/>
                <w:sz w:val="18"/>
              </w:rPr>
              <w:t xml:space="preserve"> </w:t>
            </w:r>
            <w:r>
              <w:rPr>
                <w:w w:val="105"/>
                <w:sz w:val="18"/>
              </w:rPr>
              <w:t>000</w:t>
            </w:r>
            <w:r>
              <w:rPr>
                <w:spacing w:val="-1"/>
                <w:w w:val="105"/>
                <w:sz w:val="18"/>
              </w:rPr>
              <w:t xml:space="preserve"> </w:t>
            </w:r>
            <w:r>
              <w:rPr>
                <w:w w:val="105"/>
                <w:sz w:val="18"/>
              </w:rPr>
              <w:t>employed</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2"/>
              <w:jc w:val="right"/>
              <w:rPr>
                <w:sz w:val="18"/>
              </w:rPr>
            </w:pPr>
            <w:r>
              <w:rPr>
                <w:w w:val="105"/>
                <w:sz w:val="18"/>
              </w:rPr>
              <w:t>2,09</w:t>
            </w:r>
          </w:p>
        </w:tc>
        <w:tc>
          <w:tcPr>
            <w:tcW w:w="680" w:type="dxa"/>
          </w:tcPr>
          <w:p w:rsidR="00A56FE9" w:rsidRDefault="00000000">
            <w:pPr>
              <w:pStyle w:val="TableParagraph"/>
              <w:spacing w:before="7" w:line="201" w:lineRule="exact"/>
              <w:ind w:left="148"/>
              <w:rPr>
                <w:sz w:val="18"/>
              </w:rPr>
            </w:pPr>
            <w:r>
              <w:rPr>
                <w:w w:val="105"/>
                <w:sz w:val="18"/>
              </w:rPr>
              <w:t>2019</w:t>
            </w:r>
          </w:p>
        </w:tc>
        <w:tc>
          <w:tcPr>
            <w:tcW w:w="989" w:type="dxa"/>
            <w:tcBorders>
              <w:right w:val="nil"/>
            </w:tcBorders>
          </w:tcPr>
          <w:p w:rsidR="00A56FE9" w:rsidRDefault="00000000">
            <w:pPr>
              <w:pStyle w:val="TableParagraph"/>
              <w:spacing w:before="7" w:line="201" w:lineRule="exact"/>
              <w:ind w:right="141"/>
              <w:jc w:val="right"/>
              <w:rPr>
                <w:sz w:val="18"/>
              </w:rPr>
            </w:pPr>
            <w:r>
              <w:rPr>
                <w:w w:val="105"/>
                <w:sz w:val="18"/>
              </w:rPr>
              <w:t>2,96</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w w:val="105"/>
                <w:sz w:val="18"/>
              </w:rPr>
              <w:t>In</w:t>
            </w:r>
            <w:r>
              <w:rPr>
                <w:spacing w:val="-4"/>
                <w:w w:val="105"/>
                <w:sz w:val="18"/>
              </w:rPr>
              <w:t xml:space="preserve"> </w:t>
            </w:r>
            <w:r>
              <w:rPr>
                <w:w w:val="105"/>
                <w:sz w:val="18"/>
              </w:rPr>
              <w:t>work</w:t>
            </w:r>
            <w:r>
              <w:rPr>
                <w:spacing w:val="-2"/>
                <w:w w:val="105"/>
                <w:sz w:val="18"/>
              </w:rPr>
              <w:t xml:space="preserve"> </w:t>
            </w:r>
            <w:r>
              <w:rPr>
                <w:w w:val="105"/>
                <w:sz w:val="18"/>
              </w:rPr>
              <w:t>at-risk-of-poverty</w:t>
            </w:r>
            <w:r>
              <w:rPr>
                <w:spacing w:val="-6"/>
                <w:w w:val="105"/>
                <w:sz w:val="18"/>
              </w:rPr>
              <w:t xml:space="preserve"> </w:t>
            </w:r>
            <w:r>
              <w:rPr>
                <w:w w:val="105"/>
                <w:sz w:val="18"/>
              </w:rPr>
              <w:t>rate</w:t>
            </w:r>
          </w:p>
        </w:tc>
        <w:tc>
          <w:tcPr>
            <w:tcW w:w="4112" w:type="dxa"/>
          </w:tcPr>
          <w:p w:rsidR="00A56FE9" w:rsidRDefault="00000000">
            <w:pPr>
              <w:pStyle w:val="TableParagraph"/>
              <w:spacing w:before="7" w:line="201" w:lineRule="exact"/>
              <w:ind w:left="581"/>
              <w:rPr>
                <w:sz w:val="18"/>
              </w:rPr>
            </w:pPr>
            <w:r>
              <w:rPr>
                <w:w w:val="105"/>
                <w:sz w:val="18"/>
              </w:rPr>
              <w:t>%</w:t>
            </w:r>
            <w:r>
              <w:rPr>
                <w:spacing w:val="-3"/>
                <w:w w:val="105"/>
                <w:sz w:val="18"/>
              </w:rPr>
              <w:t xml:space="preserve"> </w:t>
            </w:r>
            <w:r>
              <w:rPr>
                <w:w w:val="105"/>
                <w:sz w:val="18"/>
              </w:rPr>
              <w:t>population</w:t>
            </w:r>
            <w:r>
              <w:rPr>
                <w:spacing w:val="-2"/>
                <w:w w:val="105"/>
                <w:sz w:val="18"/>
              </w:rPr>
              <w:t xml:space="preserve"> </w:t>
            </w:r>
            <w:r>
              <w:rPr>
                <w:w w:val="105"/>
                <w:sz w:val="18"/>
              </w:rPr>
              <w:t>aged</w:t>
            </w:r>
            <w:r>
              <w:rPr>
                <w:spacing w:val="-4"/>
                <w:w w:val="105"/>
                <w:sz w:val="18"/>
              </w:rPr>
              <w:t xml:space="preserve"> </w:t>
            </w:r>
            <w:r>
              <w:rPr>
                <w:w w:val="105"/>
                <w:sz w:val="18"/>
              </w:rPr>
              <w:t>18</w:t>
            </w:r>
            <w:r>
              <w:rPr>
                <w:spacing w:val="-3"/>
                <w:w w:val="105"/>
                <w:sz w:val="18"/>
              </w:rPr>
              <w:t xml:space="preserve"> </w:t>
            </w:r>
            <w:r>
              <w:rPr>
                <w:w w:val="105"/>
                <w:sz w:val="18"/>
              </w:rPr>
              <w:t>and</w:t>
            </w:r>
            <w:r>
              <w:rPr>
                <w:spacing w:val="-2"/>
                <w:w w:val="105"/>
                <w:sz w:val="18"/>
              </w:rPr>
              <w:t xml:space="preserve"> </w:t>
            </w:r>
            <w:r>
              <w:rPr>
                <w:w w:val="105"/>
                <w:sz w:val="18"/>
              </w:rPr>
              <w:t>more</w:t>
            </w:r>
            <w:r>
              <w:rPr>
                <w:spacing w:val="-3"/>
                <w:w w:val="105"/>
                <w:sz w:val="18"/>
              </w:rPr>
              <w:t xml:space="preserve"> </w:t>
            </w:r>
            <w:r>
              <w:rPr>
                <w:w w:val="105"/>
                <w:sz w:val="18"/>
              </w:rPr>
              <w:t>years</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1"/>
              <w:jc w:val="right"/>
              <w:rPr>
                <w:sz w:val="18"/>
              </w:rPr>
            </w:pPr>
            <w:r>
              <w:rPr>
                <w:w w:val="105"/>
                <w:sz w:val="18"/>
              </w:rPr>
              <w:t>6,2</w:t>
            </w:r>
          </w:p>
        </w:tc>
        <w:tc>
          <w:tcPr>
            <w:tcW w:w="680" w:type="dxa"/>
          </w:tcPr>
          <w:p w:rsidR="00A56FE9" w:rsidRDefault="00000000">
            <w:pPr>
              <w:pStyle w:val="TableParagraph"/>
              <w:spacing w:before="7"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7" w:line="201" w:lineRule="exact"/>
              <w:ind w:right="141"/>
              <w:jc w:val="right"/>
              <w:rPr>
                <w:sz w:val="18"/>
              </w:rPr>
            </w:pPr>
            <w:r>
              <w:rPr>
                <w:w w:val="105"/>
                <w:sz w:val="18"/>
              </w:rPr>
              <w:t>5,1</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spacing w:val="-1"/>
                <w:w w:val="105"/>
                <w:sz w:val="18"/>
              </w:rPr>
              <w:t>Inactive</w:t>
            </w:r>
            <w:r>
              <w:rPr>
                <w:spacing w:val="-10"/>
                <w:w w:val="105"/>
                <w:sz w:val="18"/>
              </w:rPr>
              <w:t xml:space="preserve"> </w:t>
            </w:r>
            <w:r>
              <w:rPr>
                <w:spacing w:val="-1"/>
                <w:w w:val="105"/>
                <w:sz w:val="18"/>
              </w:rPr>
              <w:t>population</w:t>
            </w:r>
            <w:r>
              <w:rPr>
                <w:spacing w:val="-10"/>
                <w:w w:val="105"/>
                <w:sz w:val="18"/>
              </w:rPr>
              <w:t xml:space="preserve"> </w:t>
            </w:r>
            <w:r>
              <w:rPr>
                <w:w w:val="105"/>
                <w:sz w:val="18"/>
              </w:rPr>
              <w:t>due</w:t>
            </w:r>
            <w:r>
              <w:rPr>
                <w:spacing w:val="-10"/>
                <w:w w:val="105"/>
                <w:sz w:val="18"/>
              </w:rPr>
              <w:t xml:space="preserve"> </w:t>
            </w:r>
            <w:r>
              <w:rPr>
                <w:w w:val="105"/>
                <w:sz w:val="18"/>
              </w:rPr>
              <w:t>to</w:t>
            </w:r>
            <w:r>
              <w:rPr>
                <w:spacing w:val="-6"/>
                <w:w w:val="105"/>
                <w:sz w:val="18"/>
              </w:rPr>
              <w:t xml:space="preserve"> </w:t>
            </w:r>
            <w:r>
              <w:rPr>
                <w:w w:val="105"/>
                <w:sz w:val="18"/>
              </w:rPr>
              <w:t>caring</w:t>
            </w:r>
            <w:r>
              <w:rPr>
                <w:spacing w:val="-9"/>
                <w:w w:val="105"/>
                <w:sz w:val="18"/>
              </w:rPr>
              <w:t xml:space="preserve"> </w:t>
            </w:r>
            <w:r>
              <w:rPr>
                <w:w w:val="105"/>
                <w:sz w:val="18"/>
              </w:rPr>
              <w:t>responsibilities</w:t>
            </w:r>
            <w:r>
              <w:rPr>
                <w:spacing w:val="-8"/>
                <w:w w:val="105"/>
                <w:sz w:val="18"/>
              </w:rPr>
              <w:t xml:space="preserve"> </w:t>
            </w:r>
            <w:r>
              <w:rPr>
                <w:w w:val="105"/>
                <w:sz w:val="18"/>
              </w:rPr>
              <w:t>by</w:t>
            </w:r>
            <w:r>
              <w:rPr>
                <w:spacing w:val="-9"/>
                <w:w w:val="105"/>
                <w:sz w:val="18"/>
              </w:rPr>
              <w:t xml:space="preserve"> </w:t>
            </w:r>
            <w:r>
              <w:rPr>
                <w:w w:val="105"/>
                <w:sz w:val="18"/>
              </w:rPr>
              <w:t>sex</w:t>
            </w:r>
          </w:p>
        </w:tc>
        <w:tc>
          <w:tcPr>
            <w:tcW w:w="4112" w:type="dxa"/>
          </w:tcPr>
          <w:p w:rsidR="00A56FE9" w:rsidRDefault="00000000">
            <w:pPr>
              <w:pStyle w:val="TableParagraph"/>
              <w:spacing w:before="4" w:line="203" w:lineRule="exact"/>
              <w:ind w:left="578"/>
              <w:rPr>
                <w:sz w:val="18"/>
              </w:rPr>
            </w:pPr>
            <w:r>
              <w:rPr>
                <w:w w:val="105"/>
                <w:sz w:val="18"/>
              </w:rPr>
              <w:t>percentage</w:t>
            </w:r>
            <w:r>
              <w:rPr>
                <w:spacing w:val="-8"/>
                <w:w w:val="105"/>
                <w:sz w:val="18"/>
              </w:rPr>
              <w:t xml:space="preserve"> </w:t>
            </w:r>
            <w:r>
              <w:rPr>
                <w:w w:val="105"/>
                <w:sz w:val="18"/>
              </w:rPr>
              <w:t>points,</w:t>
            </w:r>
            <w:r>
              <w:rPr>
                <w:spacing w:val="-7"/>
                <w:w w:val="105"/>
                <w:sz w:val="18"/>
              </w:rPr>
              <w:t xml:space="preserve"> </w:t>
            </w:r>
            <w:r>
              <w:rPr>
                <w:w w:val="105"/>
                <w:sz w:val="18"/>
              </w:rPr>
              <w:t>persons</w:t>
            </w:r>
            <w:r>
              <w:rPr>
                <w:spacing w:val="-5"/>
                <w:w w:val="105"/>
                <w:sz w:val="18"/>
              </w:rPr>
              <w:t xml:space="preserve"> </w:t>
            </w:r>
            <w:r>
              <w:rPr>
                <w:w w:val="105"/>
                <w:sz w:val="18"/>
              </w:rPr>
              <w:t>age</w:t>
            </w:r>
            <w:r>
              <w:rPr>
                <w:spacing w:val="-4"/>
                <w:w w:val="105"/>
                <w:sz w:val="18"/>
              </w:rPr>
              <w:t xml:space="preserve"> </w:t>
            </w:r>
            <w:r>
              <w:rPr>
                <w:w w:val="105"/>
                <w:sz w:val="18"/>
              </w:rPr>
              <w:t>20</w:t>
            </w:r>
            <w:r>
              <w:rPr>
                <w:spacing w:val="-8"/>
                <w:w w:val="105"/>
                <w:sz w:val="18"/>
              </w:rPr>
              <w:t xml:space="preserve"> </w:t>
            </w:r>
            <w:r>
              <w:rPr>
                <w:w w:val="105"/>
                <w:sz w:val="18"/>
              </w:rPr>
              <w:t>to</w:t>
            </w:r>
            <w:r>
              <w:rPr>
                <w:spacing w:val="-8"/>
                <w:w w:val="105"/>
                <w:sz w:val="18"/>
              </w:rPr>
              <w:t xml:space="preserve"> </w:t>
            </w:r>
            <w:r>
              <w:rPr>
                <w:w w:val="105"/>
                <w:sz w:val="18"/>
              </w:rPr>
              <w:t>64</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2"/>
              <w:jc w:val="right"/>
              <w:rPr>
                <w:sz w:val="18"/>
              </w:rPr>
            </w:pPr>
            <w:r>
              <w:rPr>
                <w:w w:val="105"/>
                <w:sz w:val="18"/>
              </w:rPr>
              <w:t>22,1</w:t>
            </w:r>
          </w:p>
        </w:tc>
        <w:tc>
          <w:tcPr>
            <w:tcW w:w="680" w:type="dxa"/>
          </w:tcPr>
          <w:p w:rsidR="00A56FE9" w:rsidRDefault="00000000">
            <w:pPr>
              <w:pStyle w:val="TableParagraph"/>
              <w:spacing w:before="4"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3" w:lineRule="exact"/>
              <w:ind w:right="141"/>
              <w:jc w:val="right"/>
              <w:rPr>
                <w:sz w:val="18"/>
              </w:rPr>
            </w:pPr>
            <w:r>
              <w:rPr>
                <w:w w:val="105"/>
                <w:sz w:val="18"/>
              </w:rPr>
              <w:t>25,7</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w w:val="105"/>
                <w:sz w:val="18"/>
              </w:rPr>
              <w:t>Resource</w:t>
            </w:r>
            <w:r>
              <w:rPr>
                <w:spacing w:val="-8"/>
                <w:w w:val="105"/>
                <w:sz w:val="18"/>
              </w:rPr>
              <w:t xml:space="preserve"> </w:t>
            </w:r>
            <w:r>
              <w:rPr>
                <w:w w:val="105"/>
                <w:sz w:val="18"/>
              </w:rPr>
              <w:t>productivity</w:t>
            </w:r>
          </w:p>
        </w:tc>
        <w:tc>
          <w:tcPr>
            <w:tcW w:w="4112" w:type="dxa"/>
          </w:tcPr>
          <w:p w:rsidR="00A56FE9" w:rsidRDefault="00000000">
            <w:pPr>
              <w:pStyle w:val="TableParagraph"/>
              <w:spacing w:before="4" w:line="201" w:lineRule="exact"/>
              <w:ind w:left="725"/>
              <w:rPr>
                <w:sz w:val="18"/>
              </w:rPr>
            </w:pPr>
            <w:r>
              <w:rPr>
                <w:sz w:val="18"/>
              </w:rPr>
              <w:t>EUR</w:t>
            </w:r>
            <w:r>
              <w:rPr>
                <w:spacing w:val="5"/>
                <w:sz w:val="18"/>
              </w:rPr>
              <w:t xml:space="preserve"> </w:t>
            </w:r>
            <w:r>
              <w:rPr>
                <w:sz w:val="18"/>
              </w:rPr>
              <w:t>per</w:t>
            </w:r>
            <w:r>
              <w:rPr>
                <w:spacing w:val="8"/>
                <w:sz w:val="18"/>
              </w:rPr>
              <w:t xml:space="preserve"> </w:t>
            </w:r>
            <w:r>
              <w:rPr>
                <w:sz w:val="18"/>
              </w:rPr>
              <w:t>kg,</w:t>
            </w:r>
            <w:r>
              <w:rPr>
                <w:spacing w:val="9"/>
                <w:sz w:val="18"/>
              </w:rPr>
              <w:t xml:space="preserve"> </w:t>
            </w:r>
            <w:r>
              <w:rPr>
                <w:sz w:val="18"/>
              </w:rPr>
              <w:t>chained</w:t>
            </w:r>
            <w:r>
              <w:rPr>
                <w:spacing w:val="8"/>
                <w:sz w:val="18"/>
              </w:rPr>
              <w:t xml:space="preserve"> </w:t>
            </w:r>
            <w:r>
              <w:rPr>
                <w:sz w:val="18"/>
              </w:rPr>
              <w:t>values</w:t>
            </w:r>
            <w:r>
              <w:rPr>
                <w:spacing w:val="6"/>
                <w:sz w:val="18"/>
              </w:rPr>
              <w:t xml:space="preserve"> </w:t>
            </w:r>
            <w:r>
              <w:rPr>
                <w:sz w:val="18"/>
              </w:rPr>
              <w:t>(2015.)</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08"/>
              <w:jc w:val="right"/>
              <w:rPr>
                <w:sz w:val="18"/>
              </w:rPr>
            </w:pPr>
            <w:r>
              <w:rPr>
                <w:w w:val="105"/>
                <w:sz w:val="18"/>
              </w:rPr>
              <w:t>1.03</w:t>
            </w:r>
          </w:p>
        </w:tc>
        <w:tc>
          <w:tcPr>
            <w:tcW w:w="680" w:type="dxa"/>
          </w:tcPr>
          <w:p w:rsidR="00A56FE9" w:rsidRDefault="00000000">
            <w:pPr>
              <w:pStyle w:val="TableParagraph"/>
              <w:spacing w:before="4"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1" w:lineRule="exact"/>
              <w:ind w:right="138"/>
              <w:jc w:val="right"/>
              <w:rPr>
                <w:sz w:val="18"/>
              </w:rPr>
            </w:pPr>
            <w:r>
              <w:rPr>
                <w:w w:val="105"/>
                <w:sz w:val="18"/>
              </w:rPr>
              <w:t>1.02</w:t>
            </w:r>
          </w:p>
        </w:tc>
      </w:tr>
      <w:tr w:rsidR="00A56FE9">
        <w:trPr>
          <w:trHeight w:val="340"/>
        </w:trPr>
        <w:tc>
          <w:tcPr>
            <w:tcW w:w="14017" w:type="dxa"/>
            <w:gridSpan w:val="6"/>
            <w:tcBorders>
              <w:left w:val="nil"/>
              <w:right w:val="nil"/>
            </w:tcBorders>
          </w:tcPr>
          <w:p w:rsidR="00A56FE9" w:rsidRDefault="00000000">
            <w:pPr>
              <w:pStyle w:val="TableParagraph"/>
              <w:spacing w:before="67"/>
              <w:ind w:left="71"/>
              <w:rPr>
                <w:b/>
                <w:sz w:val="18"/>
              </w:rPr>
            </w:pPr>
            <w:r>
              <w:rPr>
                <w:b/>
                <w:color w:val="2C398A"/>
                <w:w w:val="105"/>
                <w:sz w:val="18"/>
              </w:rPr>
              <w:t>Goal</w:t>
            </w:r>
            <w:r>
              <w:rPr>
                <w:b/>
                <w:color w:val="2C398A"/>
                <w:spacing w:val="-6"/>
                <w:w w:val="105"/>
                <w:sz w:val="18"/>
              </w:rPr>
              <w:t xml:space="preserve"> </w:t>
            </w:r>
            <w:r>
              <w:rPr>
                <w:b/>
                <w:color w:val="2C398A"/>
                <w:w w:val="105"/>
                <w:sz w:val="18"/>
              </w:rPr>
              <w:t>9</w:t>
            </w:r>
            <w:r>
              <w:rPr>
                <w:b/>
                <w:color w:val="2C398A"/>
                <w:spacing w:val="-4"/>
                <w:w w:val="105"/>
                <w:sz w:val="18"/>
              </w:rPr>
              <w:t xml:space="preserve"> </w:t>
            </w:r>
            <w:r>
              <w:rPr>
                <w:b/>
                <w:color w:val="2C398A"/>
                <w:w w:val="105"/>
                <w:sz w:val="18"/>
              </w:rPr>
              <w:t>-</w:t>
            </w:r>
            <w:r>
              <w:rPr>
                <w:b/>
                <w:color w:val="2C398A"/>
                <w:spacing w:val="-4"/>
                <w:w w:val="105"/>
                <w:sz w:val="18"/>
              </w:rPr>
              <w:t xml:space="preserve"> </w:t>
            </w:r>
            <w:r>
              <w:rPr>
                <w:b/>
                <w:color w:val="2C398A"/>
                <w:w w:val="105"/>
                <w:sz w:val="18"/>
              </w:rPr>
              <w:t>Industry,</w:t>
            </w:r>
            <w:r>
              <w:rPr>
                <w:b/>
                <w:color w:val="2C398A"/>
                <w:spacing w:val="-3"/>
                <w:w w:val="105"/>
                <w:sz w:val="18"/>
              </w:rPr>
              <w:t xml:space="preserve"> </w:t>
            </w:r>
            <w:r>
              <w:rPr>
                <w:b/>
                <w:color w:val="2C398A"/>
                <w:w w:val="105"/>
                <w:sz w:val="18"/>
              </w:rPr>
              <w:t>innovation</w:t>
            </w:r>
            <w:r>
              <w:rPr>
                <w:b/>
                <w:color w:val="2C398A"/>
                <w:spacing w:val="-2"/>
                <w:w w:val="105"/>
                <w:sz w:val="18"/>
              </w:rPr>
              <w:t xml:space="preserve"> </w:t>
            </w:r>
            <w:r>
              <w:rPr>
                <w:b/>
                <w:color w:val="2C398A"/>
                <w:w w:val="105"/>
                <w:sz w:val="18"/>
              </w:rPr>
              <w:t>and</w:t>
            </w:r>
            <w:r>
              <w:rPr>
                <w:b/>
                <w:color w:val="2C398A"/>
                <w:spacing w:val="-5"/>
                <w:w w:val="105"/>
                <w:sz w:val="18"/>
              </w:rPr>
              <w:t xml:space="preserve"> </w:t>
            </w:r>
            <w:r>
              <w:rPr>
                <w:b/>
                <w:color w:val="2C398A"/>
                <w:w w:val="105"/>
                <w:sz w:val="18"/>
              </w:rPr>
              <w:t>infrastructure</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w w:val="105"/>
                <w:sz w:val="18"/>
              </w:rPr>
              <w:t>Gross</w:t>
            </w:r>
            <w:r>
              <w:rPr>
                <w:spacing w:val="-5"/>
                <w:w w:val="105"/>
                <w:sz w:val="18"/>
              </w:rPr>
              <w:t xml:space="preserve"> </w:t>
            </w:r>
            <w:r>
              <w:rPr>
                <w:w w:val="105"/>
                <w:sz w:val="18"/>
              </w:rPr>
              <w:t>domestic</w:t>
            </w:r>
            <w:r>
              <w:rPr>
                <w:spacing w:val="-6"/>
                <w:w w:val="105"/>
                <w:sz w:val="18"/>
              </w:rPr>
              <w:t xml:space="preserve"> </w:t>
            </w:r>
            <w:r>
              <w:rPr>
                <w:w w:val="105"/>
                <w:sz w:val="18"/>
              </w:rPr>
              <w:t>expenditure</w:t>
            </w:r>
            <w:r>
              <w:rPr>
                <w:spacing w:val="-5"/>
                <w:w w:val="105"/>
                <w:sz w:val="18"/>
              </w:rPr>
              <w:t xml:space="preserve"> </w:t>
            </w:r>
            <w:r>
              <w:rPr>
                <w:w w:val="105"/>
                <w:sz w:val="18"/>
              </w:rPr>
              <w:t>on</w:t>
            </w:r>
            <w:r>
              <w:rPr>
                <w:spacing w:val="-4"/>
                <w:w w:val="105"/>
                <w:sz w:val="18"/>
              </w:rPr>
              <w:t xml:space="preserve"> </w:t>
            </w:r>
            <w:r>
              <w:rPr>
                <w:w w:val="105"/>
                <w:sz w:val="18"/>
              </w:rPr>
              <w:t>R&amp;D</w:t>
            </w:r>
          </w:p>
        </w:tc>
        <w:tc>
          <w:tcPr>
            <w:tcW w:w="4112" w:type="dxa"/>
          </w:tcPr>
          <w:p w:rsidR="00A56FE9" w:rsidRDefault="00000000">
            <w:pPr>
              <w:pStyle w:val="TableParagraph"/>
              <w:spacing w:before="7" w:line="201" w:lineRule="exact"/>
              <w:ind w:left="64" w:right="66"/>
              <w:jc w:val="center"/>
              <w:rPr>
                <w:sz w:val="18"/>
              </w:rPr>
            </w:pPr>
            <w:r>
              <w:rPr>
                <w:w w:val="105"/>
                <w:sz w:val="18"/>
              </w:rPr>
              <w:t>%</w:t>
            </w:r>
            <w:r>
              <w:rPr>
                <w:spacing w:val="-10"/>
                <w:w w:val="105"/>
                <w:sz w:val="18"/>
              </w:rPr>
              <w:t xml:space="preserve"> </w:t>
            </w:r>
            <w:r>
              <w:rPr>
                <w:w w:val="105"/>
                <w:sz w:val="18"/>
              </w:rPr>
              <w:t>GDP</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08"/>
              <w:jc w:val="right"/>
              <w:rPr>
                <w:sz w:val="18"/>
              </w:rPr>
            </w:pPr>
            <w:r>
              <w:rPr>
                <w:w w:val="105"/>
                <w:sz w:val="18"/>
              </w:rPr>
              <w:t>0.81</w:t>
            </w:r>
          </w:p>
        </w:tc>
        <w:tc>
          <w:tcPr>
            <w:tcW w:w="680" w:type="dxa"/>
          </w:tcPr>
          <w:p w:rsidR="00A56FE9" w:rsidRDefault="00000000">
            <w:pPr>
              <w:pStyle w:val="TableParagraph"/>
              <w:spacing w:before="7"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7" w:line="201" w:lineRule="exact"/>
              <w:ind w:right="138"/>
              <w:jc w:val="right"/>
              <w:rPr>
                <w:sz w:val="18"/>
              </w:rPr>
            </w:pPr>
            <w:r>
              <w:rPr>
                <w:w w:val="105"/>
                <w:sz w:val="18"/>
              </w:rPr>
              <w:t>1.27</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w w:val="105"/>
                <w:sz w:val="18"/>
              </w:rPr>
              <w:t>R&amp;D</w:t>
            </w:r>
            <w:r>
              <w:rPr>
                <w:spacing w:val="-5"/>
                <w:w w:val="105"/>
                <w:sz w:val="18"/>
              </w:rPr>
              <w:t xml:space="preserve"> </w:t>
            </w:r>
            <w:r>
              <w:rPr>
                <w:w w:val="105"/>
                <w:sz w:val="18"/>
              </w:rPr>
              <w:t>personnel</w:t>
            </w:r>
          </w:p>
        </w:tc>
        <w:tc>
          <w:tcPr>
            <w:tcW w:w="4112" w:type="dxa"/>
          </w:tcPr>
          <w:p w:rsidR="00A56FE9" w:rsidRDefault="00000000">
            <w:pPr>
              <w:pStyle w:val="TableParagraph"/>
              <w:spacing w:before="4" w:line="203" w:lineRule="exact"/>
              <w:ind w:left="1279"/>
              <w:rPr>
                <w:sz w:val="18"/>
              </w:rPr>
            </w:pPr>
            <w:r>
              <w:rPr>
                <w:w w:val="105"/>
                <w:sz w:val="18"/>
              </w:rPr>
              <w:t>% active</w:t>
            </w:r>
            <w:r>
              <w:rPr>
                <w:spacing w:val="13"/>
                <w:w w:val="105"/>
                <w:sz w:val="18"/>
              </w:rPr>
              <w:t xml:space="preserve"> </w:t>
            </w:r>
            <w:r>
              <w:rPr>
                <w:w w:val="105"/>
                <w:sz w:val="18"/>
              </w:rPr>
              <w:t>population</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08"/>
              <w:jc w:val="right"/>
              <w:rPr>
                <w:sz w:val="18"/>
              </w:rPr>
            </w:pPr>
            <w:r>
              <w:rPr>
                <w:w w:val="105"/>
                <w:sz w:val="18"/>
              </w:rPr>
              <w:t>0.58</w:t>
            </w:r>
          </w:p>
        </w:tc>
        <w:tc>
          <w:tcPr>
            <w:tcW w:w="680" w:type="dxa"/>
          </w:tcPr>
          <w:p w:rsidR="00A56FE9" w:rsidRDefault="00000000">
            <w:pPr>
              <w:pStyle w:val="TableParagraph"/>
              <w:spacing w:before="4"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3" w:lineRule="exact"/>
              <w:ind w:right="138"/>
              <w:jc w:val="right"/>
              <w:rPr>
                <w:sz w:val="18"/>
              </w:rPr>
            </w:pPr>
            <w:r>
              <w:rPr>
                <w:w w:val="105"/>
                <w:sz w:val="18"/>
              </w:rPr>
              <w:t>0.88</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spacing w:val="-1"/>
                <w:w w:val="105"/>
                <w:sz w:val="18"/>
              </w:rPr>
              <w:t>Patent</w:t>
            </w:r>
            <w:r>
              <w:rPr>
                <w:spacing w:val="-10"/>
                <w:w w:val="105"/>
                <w:sz w:val="18"/>
              </w:rPr>
              <w:t xml:space="preserve"> </w:t>
            </w:r>
            <w:r>
              <w:rPr>
                <w:w w:val="105"/>
                <w:sz w:val="18"/>
              </w:rPr>
              <w:t>applications</w:t>
            </w:r>
            <w:r>
              <w:rPr>
                <w:spacing w:val="-9"/>
                <w:w w:val="105"/>
                <w:sz w:val="18"/>
              </w:rPr>
              <w:t xml:space="preserve"> </w:t>
            </w:r>
            <w:r>
              <w:rPr>
                <w:w w:val="105"/>
                <w:sz w:val="18"/>
              </w:rPr>
              <w:t>to</w:t>
            </w:r>
            <w:r>
              <w:rPr>
                <w:spacing w:val="-11"/>
                <w:w w:val="105"/>
                <w:sz w:val="18"/>
              </w:rPr>
              <w:t xml:space="preserve"> </w:t>
            </w:r>
            <w:r>
              <w:rPr>
                <w:w w:val="105"/>
                <w:sz w:val="18"/>
              </w:rPr>
              <w:t>the</w:t>
            </w:r>
            <w:r>
              <w:rPr>
                <w:spacing w:val="-10"/>
                <w:w w:val="105"/>
                <w:sz w:val="18"/>
              </w:rPr>
              <w:t xml:space="preserve"> </w:t>
            </w:r>
            <w:r>
              <w:rPr>
                <w:w w:val="105"/>
                <w:sz w:val="18"/>
              </w:rPr>
              <w:t>European</w:t>
            </w:r>
            <w:r>
              <w:rPr>
                <w:spacing w:val="-8"/>
                <w:w w:val="105"/>
                <w:sz w:val="18"/>
              </w:rPr>
              <w:t xml:space="preserve"> </w:t>
            </w:r>
            <w:r>
              <w:rPr>
                <w:w w:val="105"/>
                <w:sz w:val="18"/>
              </w:rPr>
              <w:t>Patent</w:t>
            </w:r>
            <w:r>
              <w:rPr>
                <w:spacing w:val="-12"/>
                <w:w w:val="105"/>
                <w:sz w:val="18"/>
              </w:rPr>
              <w:t xml:space="preserve"> </w:t>
            </w:r>
            <w:r>
              <w:rPr>
                <w:w w:val="105"/>
                <w:sz w:val="18"/>
              </w:rPr>
              <w:t>Office</w:t>
            </w:r>
          </w:p>
        </w:tc>
        <w:tc>
          <w:tcPr>
            <w:tcW w:w="4112" w:type="dxa"/>
          </w:tcPr>
          <w:p w:rsidR="00A56FE9" w:rsidRDefault="00000000">
            <w:pPr>
              <w:pStyle w:val="TableParagraph"/>
              <w:spacing w:before="4" w:line="203" w:lineRule="exact"/>
              <w:ind w:left="64" w:right="65"/>
              <w:jc w:val="center"/>
              <w:rPr>
                <w:sz w:val="18"/>
              </w:rPr>
            </w:pPr>
            <w:r>
              <w:rPr>
                <w:w w:val="105"/>
                <w:sz w:val="18"/>
              </w:rPr>
              <w:t>number</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1"/>
              <w:jc w:val="right"/>
              <w:rPr>
                <w:sz w:val="18"/>
              </w:rPr>
            </w:pPr>
            <w:r>
              <w:rPr>
                <w:w w:val="105"/>
                <w:sz w:val="18"/>
              </w:rPr>
              <w:t>10</w:t>
            </w:r>
          </w:p>
        </w:tc>
        <w:tc>
          <w:tcPr>
            <w:tcW w:w="680" w:type="dxa"/>
          </w:tcPr>
          <w:p w:rsidR="00A56FE9" w:rsidRDefault="00000000">
            <w:pPr>
              <w:pStyle w:val="TableParagraph"/>
              <w:spacing w:before="4"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3" w:lineRule="exact"/>
              <w:ind w:right="140"/>
              <w:jc w:val="right"/>
              <w:rPr>
                <w:sz w:val="18"/>
              </w:rPr>
            </w:pPr>
            <w:r>
              <w:rPr>
                <w:w w:val="105"/>
                <w:sz w:val="18"/>
              </w:rPr>
              <w:t>22</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spacing w:val="-2"/>
                <w:w w:val="105"/>
                <w:sz w:val="18"/>
              </w:rPr>
              <w:t>Share</w:t>
            </w:r>
            <w:r>
              <w:rPr>
                <w:spacing w:val="-8"/>
                <w:w w:val="105"/>
                <w:sz w:val="18"/>
              </w:rPr>
              <w:t xml:space="preserve"> </w:t>
            </w:r>
            <w:r>
              <w:rPr>
                <w:spacing w:val="-1"/>
                <w:w w:val="105"/>
                <w:sz w:val="18"/>
              </w:rPr>
              <w:t>of</w:t>
            </w:r>
            <w:r>
              <w:rPr>
                <w:spacing w:val="-10"/>
                <w:w w:val="105"/>
                <w:sz w:val="18"/>
              </w:rPr>
              <w:t xml:space="preserve"> </w:t>
            </w:r>
            <w:r>
              <w:rPr>
                <w:spacing w:val="-1"/>
                <w:w w:val="105"/>
                <w:sz w:val="18"/>
              </w:rPr>
              <w:t>buses</w:t>
            </w:r>
            <w:r>
              <w:rPr>
                <w:spacing w:val="-10"/>
                <w:w w:val="105"/>
                <w:sz w:val="18"/>
              </w:rPr>
              <w:t xml:space="preserve"> </w:t>
            </w:r>
            <w:r>
              <w:rPr>
                <w:spacing w:val="-1"/>
                <w:w w:val="105"/>
                <w:sz w:val="18"/>
              </w:rPr>
              <w:t>and</w:t>
            </w:r>
            <w:r>
              <w:rPr>
                <w:spacing w:val="-6"/>
                <w:w w:val="105"/>
                <w:sz w:val="18"/>
              </w:rPr>
              <w:t xml:space="preserve"> </w:t>
            </w:r>
            <w:r>
              <w:rPr>
                <w:spacing w:val="-1"/>
                <w:w w:val="105"/>
                <w:sz w:val="18"/>
              </w:rPr>
              <w:t>trains</w:t>
            </w:r>
            <w:r>
              <w:rPr>
                <w:spacing w:val="-8"/>
                <w:w w:val="105"/>
                <w:sz w:val="18"/>
              </w:rPr>
              <w:t xml:space="preserve"> </w:t>
            </w:r>
            <w:r>
              <w:rPr>
                <w:spacing w:val="-1"/>
                <w:w w:val="105"/>
                <w:sz w:val="18"/>
              </w:rPr>
              <w:t>in</w:t>
            </w:r>
            <w:r>
              <w:rPr>
                <w:spacing w:val="-7"/>
                <w:w w:val="105"/>
                <w:sz w:val="18"/>
              </w:rPr>
              <w:t xml:space="preserve"> </w:t>
            </w:r>
            <w:r>
              <w:rPr>
                <w:spacing w:val="-1"/>
                <w:w w:val="105"/>
                <w:sz w:val="18"/>
              </w:rPr>
              <w:t>total</w:t>
            </w:r>
            <w:r>
              <w:rPr>
                <w:spacing w:val="-9"/>
                <w:w w:val="105"/>
                <w:sz w:val="18"/>
              </w:rPr>
              <w:t xml:space="preserve"> </w:t>
            </w:r>
            <w:r>
              <w:rPr>
                <w:spacing w:val="-1"/>
                <w:w w:val="105"/>
                <w:sz w:val="18"/>
              </w:rPr>
              <w:t>passenger</w:t>
            </w:r>
            <w:r>
              <w:rPr>
                <w:spacing w:val="-7"/>
                <w:w w:val="105"/>
                <w:sz w:val="18"/>
              </w:rPr>
              <w:t xml:space="preserve"> </w:t>
            </w:r>
            <w:r>
              <w:rPr>
                <w:spacing w:val="-1"/>
                <w:w w:val="105"/>
                <w:sz w:val="18"/>
              </w:rPr>
              <w:t>transport</w:t>
            </w:r>
          </w:p>
        </w:tc>
        <w:tc>
          <w:tcPr>
            <w:tcW w:w="4112" w:type="dxa"/>
          </w:tcPr>
          <w:p w:rsidR="00A56FE9" w:rsidRDefault="00000000">
            <w:pPr>
              <w:pStyle w:val="TableParagraph"/>
              <w:spacing w:before="4" w:line="201" w:lineRule="exact"/>
              <w:ind w:left="83"/>
              <w:rPr>
                <w:sz w:val="18"/>
              </w:rPr>
            </w:pPr>
            <w:r>
              <w:rPr>
                <w:spacing w:val="-1"/>
                <w:w w:val="105"/>
                <w:sz w:val="18"/>
              </w:rPr>
              <w:t>%</w:t>
            </w:r>
            <w:r>
              <w:rPr>
                <w:spacing w:val="-9"/>
                <w:w w:val="105"/>
                <w:sz w:val="18"/>
              </w:rPr>
              <w:t xml:space="preserve"> </w:t>
            </w:r>
            <w:r>
              <w:rPr>
                <w:spacing w:val="-1"/>
                <w:w w:val="105"/>
                <w:sz w:val="18"/>
              </w:rPr>
              <w:t>total</w:t>
            </w:r>
            <w:r>
              <w:rPr>
                <w:spacing w:val="-9"/>
                <w:w w:val="105"/>
                <w:sz w:val="18"/>
              </w:rPr>
              <w:t xml:space="preserve"> </w:t>
            </w:r>
            <w:r>
              <w:rPr>
                <w:spacing w:val="-1"/>
                <w:w w:val="105"/>
                <w:sz w:val="18"/>
              </w:rPr>
              <w:t>land</w:t>
            </w:r>
            <w:r>
              <w:rPr>
                <w:spacing w:val="-7"/>
                <w:w w:val="105"/>
                <w:sz w:val="18"/>
              </w:rPr>
              <w:t xml:space="preserve"> </w:t>
            </w:r>
            <w:r>
              <w:rPr>
                <w:spacing w:val="-1"/>
                <w:w w:val="105"/>
                <w:sz w:val="18"/>
              </w:rPr>
              <w:t>transport</w:t>
            </w:r>
            <w:r>
              <w:rPr>
                <w:spacing w:val="-10"/>
                <w:w w:val="105"/>
                <w:sz w:val="18"/>
              </w:rPr>
              <w:t xml:space="preserve"> </w:t>
            </w:r>
            <w:r>
              <w:rPr>
                <w:spacing w:val="-1"/>
                <w:w w:val="105"/>
                <w:sz w:val="18"/>
              </w:rPr>
              <w:t>–</w:t>
            </w:r>
            <w:r>
              <w:rPr>
                <w:spacing w:val="-9"/>
                <w:w w:val="105"/>
                <w:sz w:val="18"/>
              </w:rPr>
              <w:t xml:space="preserve"> </w:t>
            </w:r>
            <w:r>
              <w:rPr>
                <w:spacing w:val="-1"/>
                <w:w w:val="105"/>
                <w:sz w:val="18"/>
              </w:rPr>
              <w:t>passenger-kilometres</w:t>
            </w:r>
            <w:r>
              <w:rPr>
                <w:spacing w:val="-7"/>
                <w:w w:val="105"/>
                <w:sz w:val="18"/>
              </w:rPr>
              <w:t xml:space="preserve"> </w:t>
            </w:r>
            <w:r>
              <w:rPr>
                <w:w w:val="105"/>
                <w:sz w:val="18"/>
              </w:rPr>
              <w:t>(PKM)</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11"/>
              <w:jc w:val="right"/>
              <w:rPr>
                <w:sz w:val="18"/>
              </w:rPr>
            </w:pPr>
            <w:r>
              <w:rPr>
                <w:w w:val="105"/>
                <w:sz w:val="18"/>
              </w:rPr>
              <w:t>14.5</w:t>
            </w:r>
          </w:p>
        </w:tc>
        <w:tc>
          <w:tcPr>
            <w:tcW w:w="680" w:type="dxa"/>
          </w:tcPr>
          <w:p w:rsidR="00A56FE9" w:rsidRDefault="00000000">
            <w:pPr>
              <w:pStyle w:val="TableParagraph"/>
              <w:spacing w:before="4" w:line="201" w:lineRule="exact"/>
              <w:ind w:left="148"/>
              <w:rPr>
                <w:sz w:val="18"/>
              </w:rPr>
            </w:pPr>
            <w:r>
              <w:rPr>
                <w:w w:val="105"/>
                <w:sz w:val="18"/>
              </w:rPr>
              <w:t>2019</w:t>
            </w:r>
          </w:p>
        </w:tc>
        <w:tc>
          <w:tcPr>
            <w:tcW w:w="989" w:type="dxa"/>
            <w:tcBorders>
              <w:right w:val="nil"/>
            </w:tcBorders>
          </w:tcPr>
          <w:p w:rsidR="00A56FE9" w:rsidRDefault="00000000">
            <w:pPr>
              <w:pStyle w:val="TableParagraph"/>
              <w:spacing w:before="4" w:line="201" w:lineRule="exact"/>
              <w:ind w:right="141"/>
              <w:jc w:val="right"/>
              <w:rPr>
                <w:sz w:val="18"/>
              </w:rPr>
            </w:pPr>
            <w:r>
              <w:rPr>
                <w:w w:val="105"/>
                <w:sz w:val="18"/>
              </w:rPr>
              <w:t>15.8</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spacing w:val="-1"/>
                <w:w w:val="105"/>
                <w:sz w:val="18"/>
              </w:rPr>
              <w:t>Share</w:t>
            </w:r>
            <w:r>
              <w:rPr>
                <w:spacing w:val="-9"/>
                <w:w w:val="105"/>
                <w:sz w:val="18"/>
              </w:rPr>
              <w:t xml:space="preserve"> </w:t>
            </w:r>
            <w:r>
              <w:rPr>
                <w:spacing w:val="-1"/>
                <w:w w:val="105"/>
                <w:sz w:val="18"/>
              </w:rPr>
              <w:t>of</w:t>
            </w:r>
            <w:r>
              <w:rPr>
                <w:spacing w:val="-10"/>
                <w:w w:val="105"/>
                <w:sz w:val="18"/>
              </w:rPr>
              <w:t xml:space="preserve"> </w:t>
            </w:r>
            <w:r>
              <w:rPr>
                <w:spacing w:val="-1"/>
                <w:w w:val="105"/>
                <w:sz w:val="18"/>
              </w:rPr>
              <w:t>rail</w:t>
            </w:r>
            <w:r>
              <w:rPr>
                <w:spacing w:val="-9"/>
                <w:w w:val="105"/>
                <w:sz w:val="18"/>
              </w:rPr>
              <w:t xml:space="preserve"> </w:t>
            </w:r>
            <w:r>
              <w:rPr>
                <w:spacing w:val="-1"/>
                <w:w w:val="105"/>
                <w:sz w:val="18"/>
              </w:rPr>
              <w:t>and</w:t>
            </w:r>
            <w:r>
              <w:rPr>
                <w:spacing w:val="-9"/>
                <w:w w:val="105"/>
                <w:sz w:val="18"/>
              </w:rPr>
              <w:t xml:space="preserve"> </w:t>
            </w:r>
            <w:r>
              <w:rPr>
                <w:spacing w:val="-1"/>
                <w:w w:val="105"/>
                <w:sz w:val="18"/>
              </w:rPr>
              <w:t>inland</w:t>
            </w:r>
            <w:r>
              <w:rPr>
                <w:spacing w:val="-8"/>
                <w:w w:val="105"/>
                <w:sz w:val="18"/>
              </w:rPr>
              <w:t xml:space="preserve"> </w:t>
            </w:r>
            <w:r>
              <w:rPr>
                <w:spacing w:val="-1"/>
                <w:w w:val="105"/>
                <w:sz w:val="18"/>
              </w:rPr>
              <w:t>waterways</w:t>
            </w:r>
            <w:r>
              <w:rPr>
                <w:spacing w:val="-8"/>
                <w:w w:val="105"/>
                <w:sz w:val="18"/>
              </w:rPr>
              <w:t xml:space="preserve"> </w:t>
            </w:r>
            <w:r>
              <w:rPr>
                <w:spacing w:val="-1"/>
                <w:w w:val="105"/>
                <w:sz w:val="18"/>
              </w:rPr>
              <w:t>in</w:t>
            </w:r>
            <w:r>
              <w:rPr>
                <w:spacing w:val="-9"/>
                <w:w w:val="105"/>
                <w:sz w:val="18"/>
              </w:rPr>
              <w:t xml:space="preserve"> </w:t>
            </w:r>
            <w:r>
              <w:rPr>
                <w:spacing w:val="-1"/>
                <w:w w:val="105"/>
                <w:sz w:val="18"/>
              </w:rPr>
              <w:t>total</w:t>
            </w:r>
            <w:r>
              <w:rPr>
                <w:spacing w:val="-9"/>
                <w:w w:val="105"/>
                <w:sz w:val="18"/>
              </w:rPr>
              <w:t xml:space="preserve"> </w:t>
            </w:r>
            <w:r>
              <w:rPr>
                <w:spacing w:val="-1"/>
                <w:w w:val="105"/>
                <w:sz w:val="18"/>
              </w:rPr>
              <w:t>freight</w:t>
            </w:r>
            <w:r>
              <w:rPr>
                <w:spacing w:val="-9"/>
                <w:w w:val="105"/>
                <w:sz w:val="18"/>
              </w:rPr>
              <w:t xml:space="preserve"> </w:t>
            </w:r>
            <w:r>
              <w:rPr>
                <w:spacing w:val="-1"/>
                <w:w w:val="105"/>
                <w:sz w:val="18"/>
              </w:rPr>
              <w:t>transport</w:t>
            </w:r>
          </w:p>
        </w:tc>
        <w:tc>
          <w:tcPr>
            <w:tcW w:w="4112" w:type="dxa"/>
          </w:tcPr>
          <w:p w:rsidR="00A56FE9" w:rsidRDefault="00000000">
            <w:pPr>
              <w:pStyle w:val="TableParagraph"/>
              <w:spacing w:before="7" w:line="201" w:lineRule="exact"/>
              <w:ind w:left="194"/>
              <w:rPr>
                <w:sz w:val="18"/>
              </w:rPr>
            </w:pPr>
            <w:r>
              <w:rPr>
                <w:w w:val="105"/>
                <w:sz w:val="18"/>
              </w:rPr>
              <w:t>%</w:t>
            </w:r>
            <w:r>
              <w:rPr>
                <w:spacing w:val="-9"/>
                <w:w w:val="105"/>
                <w:sz w:val="18"/>
              </w:rPr>
              <w:t xml:space="preserve"> </w:t>
            </w:r>
            <w:r>
              <w:rPr>
                <w:w w:val="105"/>
                <w:sz w:val="18"/>
              </w:rPr>
              <w:t>total</w:t>
            </w:r>
            <w:r>
              <w:rPr>
                <w:spacing w:val="-11"/>
                <w:w w:val="105"/>
                <w:sz w:val="18"/>
              </w:rPr>
              <w:t xml:space="preserve"> </w:t>
            </w:r>
            <w:r>
              <w:rPr>
                <w:w w:val="105"/>
                <w:sz w:val="18"/>
              </w:rPr>
              <w:t>land</w:t>
            </w:r>
            <w:r>
              <w:rPr>
                <w:spacing w:val="-11"/>
                <w:w w:val="105"/>
                <w:sz w:val="18"/>
              </w:rPr>
              <w:t xml:space="preserve"> </w:t>
            </w:r>
            <w:r>
              <w:rPr>
                <w:w w:val="105"/>
                <w:sz w:val="18"/>
              </w:rPr>
              <w:t>transport</w:t>
            </w:r>
            <w:r>
              <w:rPr>
                <w:spacing w:val="-10"/>
                <w:w w:val="105"/>
                <w:sz w:val="18"/>
              </w:rPr>
              <w:t xml:space="preserve"> </w:t>
            </w:r>
            <w:r>
              <w:rPr>
                <w:w w:val="105"/>
                <w:sz w:val="18"/>
              </w:rPr>
              <w:t>–</w:t>
            </w:r>
            <w:r>
              <w:rPr>
                <w:spacing w:val="-6"/>
                <w:w w:val="105"/>
                <w:sz w:val="18"/>
              </w:rPr>
              <w:t xml:space="preserve"> </w:t>
            </w:r>
            <w:r>
              <w:rPr>
                <w:w w:val="105"/>
                <w:sz w:val="18"/>
              </w:rPr>
              <w:t>tonne-kilometres</w:t>
            </w:r>
            <w:r>
              <w:rPr>
                <w:spacing w:val="-7"/>
                <w:w w:val="105"/>
                <w:sz w:val="18"/>
              </w:rPr>
              <w:t xml:space="preserve"> </w:t>
            </w:r>
            <w:r>
              <w:rPr>
                <w:w w:val="105"/>
                <w:sz w:val="18"/>
              </w:rPr>
              <w:t>(TKM)</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1"/>
              <w:jc w:val="right"/>
              <w:rPr>
                <w:sz w:val="18"/>
              </w:rPr>
            </w:pPr>
            <w:r>
              <w:rPr>
                <w:w w:val="105"/>
                <w:sz w:val="18"/>
              </w:rPr>
              <w:t>27.1</w:t>
            </w:r>
          </w:p>
        </w:tc>
        <w:tc>
          <w:tcPr>
            <w:tcW w:w="680" w:type="dxa"/>
          </w:tcPr>
          <w:p w:rsidR="00A56FE9" w:rsidRDefault="00000000">
            <w:pPr>
              <w:pStyle w:val="TableParagraph"/>
              <w:spacing w:before="7" w:line="201" w:lineRule="exact"/>
              <w:ind w:left="148"/>
              <w:rPr>
                <w:sz w:val="18"/>
              </w:rPr>
            </w:pPr>
            <w:r>
              <w:rPr>
                <w:w w:val="105"/>
                <w:sz w:val="18"/>
              </w:rPr>
              <w:t>2019</w:t>
            </w:r>
          </w:p>
        </w:tc>
        <w:tc>
          <w:tcPr>
            <w:tcW w:w="989" w:type="dxa"/>
            <w:tcBorders>
              <w:right w:val="nil"/>
            </w:tcBorders>
          </w:tcPr>
          <w:p w:rsidR="00A56FE9" w:rsidRDefault="00000000">
            <w:pPr>
              <w:pStyle w:val="TableParagraph"/>
              <w:spacing w:before="7" w:line="201" w:lineRule="exact"/>
              <w:ind w:right="141"/>
              <w:jc w:val="right"/>
              <w:rPr>
                <w:sz w:val="18"/>
              </w:rPr>
            </w:pPr>
            <w:r>
              <w:rPr>
                <w:w w:val="105"/>
                <w:sz w:val="18"/>
              </w:rPr>
              <w:t>29.3</w:t>
            </w:r>
          </w:p>
        </w:tc>
      </w:tr>
      <w:tr w:rsidR="00A56FE9">
        <w:trPr>
          <w:trHeight w:val="228"/>
        </w:trPr>
        <w:tc>
          <w:tcPr>
            <w:tcW w:w="6536" w:type="dxa"/>
            <w:tcBorders>
              <w:left w:val="nil"/>
            </w:tcBorders>
          </w:tcPr>
          <w:p w:rsidR="00A56FE9" w:rsidRDefault="00000000">
            <w:pPr>
              <w:pStyle w:val="TableParagraph"/>
              <w:spacing w:before="5" w:line="203" w:lineRule="exact"/>
              <w:ind w:left="71"/>
              <w:rPr>
                <w:sz w:val="18"/>
              </w:rPr>
            </w:pPr>
            <w:r>
              <w:rPr>
                <w:spacing w:val="-2"/>
                <w:w w:val="105"/>
                <w:sz w:val="18"/>
              </w:rPr>
              <w:t>Air</w:t>
            </w:r>
            <w:r>
              <w:rPr>
                <w:spacing w:val="-8"/>
                <w:w w:val="105"/>
                <w:sz w:val="18"/>
              </w:rPr>
              <w:t xml:space="preserve"> </w:t>
            </w:r>
            <w:r>
              <w:rPr>
                <w:spacing w:val="-2"/>
                <w:w w:val="105"/>
                <w:sz w:val="18"/>
              </w:rPr>
              <w:t>emission</w:t>
            </w:r>
            <w:r>
              <w:rPr>
                <w:spacing w:val="-7"/>
                <w:w w:val="105"/>
                <w:sz w:val="18"/>
              </w:rPr>
              <w:t xml:space="preserve"> </w:t>
            </w:r>
            <w:r>
              <w:rPr>
                <w:spacing w:val="-1"/>
                <w:w w:val="105"/>
                <w:sz w:val="18"/>
              </w:rPr>
              <w:t>intensity</w:t>
            </w:r>
            <w:r>
              <w:rPr>
                <w:spacing w:val="-10"/>
                <w:w w:val="105"/>
                <w:sz w:val="18"/>
              </w:rPr>
              <w:t xml:space="preserve"> </w:t>
            </w:r>
            <w:r>
              <w:rPr>
                <w:spacing w:val="-1"/>
                <w:w w:val="105"/>
                <w:sz w:val="18"/>
              </w:rPr>
              <w:t>from</w:t>
            </w:r>
            <w:r>
              <w:rPr>
                <w:spacing w:val="-10"/>
                <w:w w:val="105"/>
                <w:sz w:val="18"/>
              </w:rPr>
              <w:t xml:space="preserve"> </w:t>
            </w:r>
            <w:r>
              <w:rPr>
                <w:spacing w:val="-1"/>
                <w:w w:val="105"/>
                <w:sz w:val="18"/>
              </w:rPr>
              <w:t>industry</w:t>
            </w:r>
          </w:p>
        </w:tc>
        <w:tc>
          <w:tcPr>
            <w:tcW w:w="4112" w:type="dxa"/>
          </w:tcPr>
          <w:p w:rsidR="00A56FE9" w:rsidRDefault="00000000">
            <w:pPr>
              <w:pStyle w:val="TableParagraph"/>
              <w:spacing w:before="5" w:line="203" w:lineRule="exact"/>
              <w:ind w:left="619"/>
              <w:rPr>
                <w:sz w:val="18"/>
              </w:rPr>
            </w:pPr>
            <w:r>
              <w:rPr>
                <w:w w:val="105"/>
                <w:sz w:val="18"/>
              </w:rPr>
              <w:t>grams</w:t>
            </w:r>
            <w:r>
              <w:rPr>
                <w:spacing w:val="-10"/>
                <w:w w:val="105"/>
                <w:sz w:val="18"/>
              </w:rPr>
              <w:t xml:space="preserve"> </w:t>
            </w:r>
            <w:r>
              <w:rPr>
                <w:w w:val="105"/>
                <w:sz w:val="18"/>
              </w:rPr>
              <w:t>per</w:t>
            </w:r>
            <w:r>
              <w:rPr>
                <w:spacing w:val="-9"/>
                <w:w w:val="105"/>
                <w:sz w:val="18"/>
              </w:rPr>
              <w:t xml:space="preserve"> </w:t>
            </w:r>
            <w:r>
              <w:rPr>
                <w:w w:val="105"/>
                <w:sz w:val="18"/>
              </w:rPr>
              <w:t>euro,</w:t>
            </w:r>
            <w:r>
              <w:rPr>
                <w:spacing w:val="-9"/>
                <w:w w:val="105"/>
                <w:sz w:val="18"/>
              </w:rPr>
              <w:t xml:space="preserve"> </w:t>
            </w:r>
            <w:r>
              <w:rPr>
                <w:w w:val="105"/>
                <w:sz w:val="18"/>
              </w:rPr>
              <w:t>chained</w:t>
            </w:r>
            <w:r>
              <w:rPr>
                <w:spacing w:val="-11"/>
                <w:w w:val="105"/>
                <w:sz w:val="18"/>
              </w:rPr>
              <w:t xml:space="preserve"> </w:t>
            </w:r>
            <w:r>
              <w:rPr>
                <w:w w:val="105"/>
                <w:sz w:val="18"/>
              </w:rPr>
              <w:t>values(2010.)</w:t>
            </w:r>
          </w:p>
        </w:tc>
        <w:tc>
          <w:tcPr>
            <w:tcW w:w="708" w:type="dxa"/>
          </w:tcPr>
          <w:p w:rsidR="00A56FE9" w:rsidRDefault="00000000">
            <w:pPr>
              <w:pStyle w:val="TableParagraph"/>
              <w:spacing w:before="5" w:line="203" w:lineRule="exact"/>
              <w:ind w:left="132"/>
              <w:rPr>
                <w:sz w:val="18"/>
              </w:rPr>
            </w:pPr>
            <w:r>
              <w:rPr>
                <w:w w:val="105"/>
                <w:sz w:val="18"/>
              </w:rPr>
              <w:t>2013</w:t>
            </w:r>
          </w:p>
        </w:tc>
        <w:tc>
          <w:tcPr>
            <w:tcW w:w="992" w:type="dxa"/>
          </w:tcPr>
          <w:p w:rsidR="00A56FE9" w:rsidRDefault="00000000">
            <w:pPr>
              <w:pStyle w:val="TableParagraph"/>
              <w:spacing w:before="5" w:line="203" w:lineRule="exact"/>
              <w:ind w:right="108"/>
              <w:jc w:val="right"/>
              <w:rPr>
                <w:sz w:val="18"/>
              </w:rPr>
            </w:pPr>
            <w:r>
              <w:rPr>
                <w:w w:val="105"/>
                <w:sz w:val="18"/>
              </w:rPr>
              <w:t>0.27</w:t>
            </w:r>
          </w:p>
        </w:tc>
        <w:tc>
          <w:tcPr>
            <w:tcW w:w="680" w:type="dxa"/>
          </w:tcPr>
          <w:p w:rsidR="00A56FE9" w:rsidRDefault="00000000">
            <w:pPr>
              <w:pStyle w:val="TableParagraph"/>
              <w:spacing w:before="5" w:line="203" w:lineRule="exact"/>
              <w:ind w:left="148"/>
              <w:rPr>
                <w:sz w:val="18"/>
              </w:rPr>
            </w:pPr>
            <w:r>
              <w:rPr>
                <w:w w:val="105"/>
                <w:sz w:val="18"/>
              </w:rPr>
              <w:t>2019</w:t>
            </w:r>
          </w:p>
        </w:tc>
        <w:tc>
          <w:tcPr>
            <w:tcW w:w="989" w:type="dxa"/>
            <w:tcBorders>
              <w:right w:val="nil"/>
            </w:tcBorders>
          </w:tcPr>
          <w:p w:rsidR="00A56FE9" w:rsidRDefault="00000000">
            <w:pPr>
              <w:pStyle w:val="TableParagraph"/>
              <w:spacing w:before="5" w:line="203" w:lineRule="exact"/>
              <w:ind w:right="141"/>
              <w:jc w:val="right"/>
              <w:rPr>
                <w:sz w:val="18"/>
              </w:rPr>
            </w:pPr>
            <w:r>
              <w:rPr>
                <w:w w:val="105"/>
                <w:sz w:val="18"/>
              </w:rPr>
              <w:t>0.2</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spacing w:val="-1"/>
                <w:w w:val="105"/>
                <w:sz w:val="18"/>
              </w:rPr>
              <w:t>Tertiary</w:t>
            </w:r>
            <w:r>
              <w:rPr>
                <w:spacing w:val="-8"/>
                <w:w w:val="105"/>
                <w:sz w:val="18"/>
              </w:rPr>
              <w:t xml:space="preserve"> </w:t>
            </w:r>
            <w:r>
              <w:rPr>
                <w:spacing w:val="-1"/>
                <w:w w:val="105"/>
                <w:sz w:val="18"/>
              </w:rPr>
              <w:t>educational</w:t>
            </w:r>
            <w:r>
              <w:rPr>
                <w:spacing w:val="-10"/>
                <w:w w:val="105"/>
                <w:sz w:val="18"/>
              </w:rPr>
              <w:t xml:space="preserve"> </w:t>
            </w:r>
            <w:r>
              <w:rPr>
                <w:w w:val="105"/>
                <w:sz w:val="18"/>
              </w:rPr>
              <w:t>attainment</w:t>
            </w:r>
          </w:p>
        </w:tc>
        <w:tc>
          <w:tcPr>
            <w:tcW w:w="4112" w:type="dxa"/>
          </w:tcPr>
          <w:p w:rsidR="00A56FE9" w:rsidRDefault="00000000">
            <w:pPr>
              <w:pStyle w:val="TableParagraph"/>
              <w:spacing w:before="4" w:line="203" w:lineRule="exact"/>
              <w:ind w:left="902"/>
              <w:rPr>
                <w:sz w:val="18"/>
              </w:rPr>
            </w:pPr>
            <w:r>
              <w:rPr>
                <w:w w:val="105"/>
                <w:sz w:val="18"/>
              </w:rPr>
              <w:t>% of</w:t>
            </w:r>
            <w:r>
              <w:rPr>
                <w:spacing w:val="9"/>
                <w:w w:val="105"/>
                <w:sz w:val="18"/>
              </w:rPr>
              <w:t xml:space="preserve"> </w:t>
            </w:r>
            <w:r>
              <w:rPr>
                <w:w w:val="105"/>
                <w:sz w:val="18"/>
              </w:rPr>
              <w:t>population</w:t>
            </w:r>
            <w:r>
              <w:rPr>
                <w:spacing w:val="-1"/>
                <w:w w:val="105"/>
                <w:sz w:val="18"/>
              </w:rPr>
              <w:t xml:space="preserve"> </w:t>
            </w:r>
            <w:r>
              <w:rPr>
                <w:w w:val="105"/>
                <w:sz w:val="18"/>
              </w:rPr>
              <w:t>aged 25</w:t>
            </w:r>
            <w:r>
              <w:rPr>
                <w:spacing w:val="-6"/>
                <w:w w:val="105"/>
                <w:sz w:val="18"/>
              </w:rPr>
              <w:t xml:space="preserve"> </w:t>
            </w:r>
            <w:r>
              <w:rPr>
                <w:w w:val="105"/>
                <w:sz w:val="18"/>
              </w:rPr>
              <w:t>to</w:t>
            </w:r>
            <w:r>
              <w:rPr>
                <w:spacing w:val="-5"/>
                <w:w w:val="105"/>
                <w:sz w:val="18"/>
              </w:rPr>
              <w:t xml:space="preserve"> </w:t>
            </w:r>
            <w:r>
              <w:rPr>
                <w:w w:val="105"/>
                <w:sz w:val="18"/>
              </w:rPr>
              <w:t>34</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1"/>
              <w:jc w:val="right"/>
              <w:rPr>
                <w:sz w:val="18"/>
              </w:rPr>
            </w:pPr>
            <w:r>
              <w:rPr>
                <w:w w:val="105"/>
                <w:sz w:val="18"/>
              </w:rPr>
              <w:t>27.3</w:t>
            </w:r>
          </w:p>
        </w:tc>
        <w:tc>
          <w:tcPr>
            <w:tcW w:w="680" w:type="dxa"/>
          </w:tcPr>
          <w:p w:rsidR="00A56FE9" w:rsidRDefault="00000000">
            <w:pPr>
              <w:pStyle w:val="TableParagraph"/>
              <w:spacing w:before="4"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3" w:lineRule="exact"/>
              <w:ind w:right="141"/>
              <w:jc w:val="right"/>
              <w:rPr>
                <w:sz w:val="18"/>
              </w:rPr>
            </w:pPr>
            <w:r>
              <w:rPr>
                <w:w w:val="105"/>
                <w:sz w:val="18"/>
              </w:rPr>
              <w:t>36.6</w:t>
            </w:r>
          </w:p>
        </w:tc>
      </w:tr>
      <w:tr w:rsidR="00A56FE9">
        <w:trPr>
          <w:trHeight w:val="225"/>
        </w:trPr>
        <w:tc>
          <w:tcPr>
            <w:tcW w:w="6536" w:type="dxa"/>
            <w:tcBorders>
              <w:left w:val="nil"/>
            </w:tcBorders>
          </w:tcPr>
          <w:p w:rsidR="00A56FE9" w:rsidRDefault="00000000">
            <w:pPr>
              <w:pStyle w:val="TableParagraph"/>
              <w:spacing w:before="4" w:line="201" w:lineRule="exact"/>
              <w:ind w:left="71"/>
              <w:rPr>
                <w:sz w:val="18"/>
              </w:rPr>
            </w:pPr>
            <w:r>
              <w:rPr>
                <w:spacing w:val="-1"/>
                <w:w w:val="105"/>
                <w:sz w:val="18"/>
              </w:rPr>
              <w:t>Average</w:t>
            </w:r>
            <w:r>
              <w:rPr>
                <w:spacing w:val="-11"/>
                <w:w w:val="105"/>
                <w:sz w:val="18"/>
              </w:rPr>
              <w:t xml:space="preserve"> </w:t>
            </w:r>
            <w:r>
              <w:rPr>
                <w:spacing w:val="-1"/>
                <w:w w:val="105"/>
                <w:sz w:val="18"/>
              </w:rPr>
              <w:t>CO2</w:t>
            </w:r>
            <w:r>
              <w:rPr>
                <w:spacing w:val="-7"/>
                <w:w w:val="105"/>
                <w:sz w:val="18"/>
              </w:rPr>
              <w:t xml:space="preserve"> </w:t>
            </w:r>
            <w:r>
              <w:rPr>
                <w:spacing w:val="-1"/>
                <w:w w:val="105"/>
                <w:sz w:val="18"/>
              </w:rPr>
              <w:t>emissions</w:t>
            </w:r>
            <w:r>
              <w:rPr>
                <w:spacing w:val="-11"/>
                <w:w w:val="105"/>
                <w:sz w:val="18"/>
              </w:rPr>
              <w:t xml:space="preserve"> </w:t>
            </w:r>
            <w:r>
              <w:rPr>
                <w:spacing w:val="-1"/>
                <w:w w:val="105"/>
                <w:sz w:val="18"/>
              </w:rPr>
              <w:t>per</w:t>
            </w:r>
            <w:r>
              <w:rPr>
                <w:spacing w:val="-10"/>
                <w:w w:val="105"/>
                <w:sz w:val="18"/>
              </w:rPr>
              <w:t xml:space="preserve"> </w:t>
            </w:r>
            <w:r>
              <w:rPr>
                <w:spacing w:val="-1"/>
                <w:w w:val="105"/>
                <w:sz w:val="18"/>
              </w:rPr>
              <w:t>km</w:t>
            </w:r>
            <w:r>
              <w:rPr>
                <w:spacing w:val="-6"/>
                <w:w w:val="105"/>
                <w:sz w:val="18"/>
              </w:rPr>
              <w:t xml:space="preserve"> </w:t>
            </w:r>
            <w:r>
              <w:rPr>
                <w:spacing w:val="-1"/>
                <w:w w:val="105"/>
                <w:sz w:val="18"/>
              </w:rPr>
              <w:t>from</w:t>
            </w:r>
            <w:r>
              <w:rPr>
                <w:spacing w:val="-9"/>
                <w:w w:val="105"/>
                <w:sz w:val="18"/>
              </w:rPr>
              <w:t xml:space="preserve"> </w:t>
            </w:r>
            <w:r>
              <w:rPr>
                <w:spacing w:val="-1"/>
                <w:w w:val="105"/>
                <w:sz w:val="18"/>
              </w:rPr>
              <w:t>new</w:t>
            </w:r>
            <w:r>
              <w:rPr>
                <w:spacing w:val="-8"/>
                <w:w w:val="105"/>
                <w:sz w:val="18"/>
              </w:rPr>
              <w:t xml:space="preserve"> </w:t>
            </w:r>
            <w:r>
              <w:rPr>
                <w:spacing w:val="-1"/>
                <w:w w:val="105"/>
                <w:sz w:val="18"/>
              </w:rPr>
              <w:t>passenger</w:t>
            </w:r>
            <w:r>
              <w:rPr>
                <w:spacing w:val="-7"/>
                <w:w w:val="105"/>
                <w:sz w:val="18"/>
              </w:rPr>
              <w:t xml:space="preserve"> </w:t>
            </w:r>
            <w:r>
              <w:rPr>
                <w:spacing w:val="-1"/>
                <w:w w:val="105"/>
                <w:sz w:val="18"/>
              </w:rPr>
              <w:t>cars</w:t>
            </w:r>
          </w:p>
        </w:tc>
        <w:tc>
          <w:tcPr>
            <w:tcW w:w="4112" w:type="dxa"/>
          </w:tcPr>
          <w:p w:rsidR="00A56FE9" w:rsidRDefault="00000000">
            <w:pPr>
              <w:pStyle w:val="TableParagraph"/>
              <w:spacing w:before="4" w:line="201" w:lineRule="exact"/>
              <w:ind w:left="64" w:right="63"/>
              <w:jc w:val="center"/>
              <w:rPr>
                <w:sz w:val="18"/>
              </w:rPr>
            </w:pPr>
            <w:r>
              <w:rPr>
                <w:w w:val="105"/>
                <w:position w:val="1"/>
                <w:sz w:val="18"/>
              </w:rPr>
              <w:t>g</w:t>
            </w:r>
            <w:r>
              <w:rPr>
                <w:spacing w:val="-9"/>
                <w:w w:val="105"/>
                <w:position w:val="1"/>
                <w:sz w:val="18"/>
              </w:rPr>
              <w:t xml:space="preserve"> </w:t>
            </w:r>
            <w:r>
              <w:rPr>
                <w:w w:val="105"/>
                <w:position w:val="1"/>
                <w:sz w:val="18"/>
              </w:rPr>
              <w:t>CO</w:t>
            </w:r>
            <w:r>
              <w:rPr>
                <w:w w:val="105"/>
                <w:sz w:val="12"/>
              </w:rPr>
              <w:t>2</w:t>
            </w:r>
            <w:r>
              <w:rPr>
                <w:spacing w:val="7"/>
                <w:w w:val="105"/>
                <w:sz w:val="12"/>
              </w:rPr>
              <w:t xml:space="preserve"> </w:t>
            </w:r>
            <w:r>
              <w:rPr>
                <w:w w:val="105"/>
                <w:position w:val="1"/>
                <w:sz w:val="18"/>
              </w:rPr>
              <w:t>per</w:t>
            </w:r>
            <w:r>
              <w:rPr>
                <w:spacing w:val="-5"/>
                <w:w w:val="105"/>
                <w:position w:val="1"/>
                <w:sz w:val="18"/>
              </w:rPr>
              <w:t xml:space="preserve"> </w:t>
            </w:r>
            <w:r>
              <w:rPr>
                <w:w w:val="105"/>
                <w:position w:val="1"/>
                <w:sz w:val="18"/>
              </w:rPr>
              <w:t>km</w:t>
            </w:r>
          </w:p>
        </w:tc>
        <w:tc>
          <w:tcPr>
            <w:tcW w:w="708" w:type="dxa"/>
          </w:tcPr>
          <w:p w:rsidR="00A56FE9" w:rsidRDefault="00000000">
            <w:pPr>
              <w:pStyle w:val="TableParagraph"/>
              <w:spacing w:before="4" w:line="201" w:lineRule="exact"/>
              <w:ind w:left="132"/>
              <w:rPr>
                <w:sz w:val="18"/>
              </w:rPr>
            </w:pPr>
            <w:r>
              <w:rPr>
                <w:w w:val="105"/>
                <w:sz w:val="18"/>
              </w:rPr>
              <w:t>2013</w:t>
            </w:r>
          </w:p>
        </w:tc>
        <w:tc>
          <w:tcPr>
            <w:tcW w:w="992" w:type="dxa"/>
          </w:tcPr>
          <w:p w:rsidR="00A56FE9" w:rsidRDefault="00000000">
            <w:pPr>
              <w:pStyle w:val="TableParagraph"/>
              <w:spacing w:before="4" w:line="201" w:lineRule="exact"/>
              <w:ind w:right="111"/>
              <w:jc w:val="right"/>
              <w:rPr>
                <w:sz w:val="18"/>
              </w:rPr>
            </w:pPr>
            <w:r>
              <w:rPr>
                <w:w w:val="105"/>
                <w:sz w:val="18"/>
              </w:rPr>
              <w:t>127.1</w:t>
            </w:r>
          </w:p>
        </w:tc>
        <w:tc>
          <w:tcPr>
            <w:tcW w:w="680" w:type="dxa"/>
          </w:tcPr>
          <w:p w:rsidR="00A56FE9" w:rsidRDefault="00000000">
            <w:pPr>
              <w:pStyle w:val="TableParagraph"/>
              <w:spacing w:before="4" w:line="201" w:lineRule="exact"/>
              <w:ind w:left="148"/>
              <w:rPr>
                <w:sz w:val="18"/>
              </w:rPr>
            </w:pPr>
            <w:r>
              <w:rPr>
                <w:w w:val="105"/>
                <w:sz w:val="18"/>
              </w:rPr>
              <w:t>2019</w:t>
            </w:r>
          </w:p>
        </w:tc>
        <w:tc>
          <w:tcPr>
            <w:tcW w:w="989" w:type="dxa"/>
            <w:tcBorders>
              <w:right w:val="nil"/>
            </w:tcBorders>
          </w:tcPr>
          <w:p w:rsidR="00A56FE9" w:rsidRDefault="00000000">
            <w:pPr>
              <w:pStyle w:val="TableParagraph"/>
              <w:spacing w:before="4" w:line="201" w:lineRule="exact"/>
              <w:ind w:right="141"/>
              <w:jc w:val="right"/>
              <w:rPr>
                <w:sz w:val="18"/>
              </w:rPr>
            </w:pPr>
            <w:r>
              <w:rPr>
                <w:w w:val="105"/>
                <w:sz w:val="18"/>
              </w:rPr>
              <w:t>119.4</w:t>
            </w:r>
          </w:p>
        </w:tc>
      </w:tr>
      <w:tr w:rsidR="00A56FE9">
        <w:trPr>
          <w:trHeight w:val="227"/>
        </w:trPr>
        <w:tc>
          <w:tcPr>
            <w:tcW w:w="6536" w:type="dxa"/>
            <w:tcBorders>
              <w:left w:val="nil"/>
            </w:tcBorders>
          </w:tcPr>
          <w:p w:rsidR="00A56FE9" w:rsidRDefault="00000000">
            <w:pPr>
              <w:pStyle w:val="TableParagraph"/>
              <w:spacing w:before="7" w:line="201" w:lineRule="exact"/>
              <w:ind w:left="71"/>
              <w:rPr>
                <w:sz w:val="18"/>
              </w:rPr>
            </w:pPr>
            <w:r>
              <w:rPr>
                <w:spacing w:val="-2"/>
                <w:w w:val="105"/>
                <w:sz w:val="18"/>
              </w:rPr>
              <w:t>High-speed</w:t>
            </w:r>
            <w:r>
              <w:rPr>
                <w:spacing w:val="-8"/>
                <w:w w:val="105"/>
                <w:sz w:val="18"/>
              </w:rPr>
              <w:t xml:space="preserve"> </w:t>
            </w:r>
            <w:r>
              <w:rPr>
                <w:spacing w:val="-2"/>
                <w:w w:val="105"/>
                <w:sz w:val="18"/>
              </w:rPr>
              <w:t>internet</w:t>
            </w:r>
            <w:r>
              <w:rPr>
                <w:spacing w:val="-9"/>
                <w:w w:val="105"/>
                <w:sz w:val="18"/>
              </w:rPr>
              <w:t xml:space="preserve"> </w:t>
            </w:r>
            <w:r>
              <w:rPr>
                <w:spacing w:val="-1"/>
                <w:w w:val="105"/>
                <w:sz w:val="18"/>
              </w:rPr>
              <w:t>coverage</w:t>
            </w:r>
            <w:r>
              <w:rPr>
                <w:spacing w:val="-8"/>
                <w:w w:val="105"/>
                <w:sz w:val="18"/>
              </w:rPr>
              <w:t xml:space="preserve"> </w:t>
            </w:r>
            <w:r>
              <w:rPr>
                <w:spacing w:val="-1"/>
                <w:w w:val="105"/>
                <w:sz w:val="18"/>
              </w:rPr>
              <w:t>by</w:t>
            </w:r>
            <w:r>
              <w:rPr>
                <w:spacing w:val="-10"/>
                <w:w w:val="105"/>
                <w:sz w:val="18"/>
              </w:rPr>
              <w:t xml:space="preserve"> </w:t>
            </w:r>
            <w:r>
              <w:rPr>
                <w:spacing w:val="-1"/>
                <w:w w:val="105"/>
                <w:sz w:val="18"/>
              </w:rPr>
              <w:t>household</w:t>
            </w:r>
          </w:p>
        </w:tc>
        <w:tc>
          <w:tcPr>
            <w:tcW w:w="4112" w:type="dxa"/>
          </w:tcPr>
          <w:p w:rsidR="00A56FE9" w:rsidRDefault="00000000">
            <w:pPr>
              <w:pStyle w:val="TableParagraph"/>
              <w:spacing w:before="7" w:line="201" w:lineRule="exact"/>
              <w:ind w:left="64" w:right="65"/>
              <w:jc w:val="center"/>
              <w:rPr>
                <w:sz w:val="18"/>
              </w:rPr>
            </w:pPr>
            <w:r>
              <w:rPr>
                <w:w w:val="105"/>
                <w:sz w:val="18"/>
              </w:rPr>
              <w:t>%</w:t>
            </w:r>
            <w:r>
              <w:rPr>
                <w:spacing w:val="-11"/>
                <w:w w:val="105"/>
                <w:sz w:val="18"/>
              </w:rPr>
              <w:t xml:space="preserve"> </w:t>
            </w:r>
            <w:r>
              <w:rPr>
                <w:w w:val="105"/>
                <w:sz w:val="18"/>
              </w:rPr>
              <w:t>households</w:t>
            </w:r>
          </w:p>
        </w:tc>
        <w:tc>
          <w:tcPr>
            <w:tcW w:w="708" w:type="dxa"/>
          </w:tcPr>
          <w:p w:rsidR="00A56FE9" w:rsidRDefault="00000000">
            <w:pPr>
              <w:pStyle w:val="TableParagraph"/>
              <w:spacing w:before="7" w:line="201" w:lineRule="exact"/>
              <w:ind w:left="132"/>
              <w:rPr>
                <w:sz w:val="18"/>
              </w:rPr>
            </w:pPr>
            <w:r>
              <w:rPr>
                <w:w w:val="105"/>
                <w:sz w:val="18"/>
              </w:rPr>
              <w:t>2013</w:t>
            </w:r>
          </w:p>
        </w:tc>
        <w:tc>
          <w:tcPr>
            <w:tcW w:w="992" w:type="dxa"/>
          </w:tcPr>
          <w:p w:rsidR="00A56FE9" w:rsidRDefault="00000000">
            <w:pPr>
              <w:pStyle w:val="TableParagraph"/>
              <w:spacing w:before="7" w:line="201" w:lineRule="exact"/>
              <w:ind w:right="111"/>
              <w:jc w:val="right"/>
              <w:rPr>
                <w:sz w:val="18"/>
              </w:rPr>
            </w:pPr>
            <w:r>
              <w:rPr>
                <w:w w:val="105"/>
                <w:sz w:val="18"/>
              </w:rPr>
              <w:t>6.9</w:t>
            </w:r>
          </w:p>
        </w:tc>
        <w:tc>
          <w:tcPr>
            <w:tcW w:w="680" w:type="dxa"/>
          </w:tcPr>
          <w:p w:rsidR="00A56FE9" w:rsidRDefault="00000000">
            <w:pPr>
              <w:pStyle w:val="TableParagraph"/>
              <w:spacing w:before="7" w:line="201" w:lineRule="exact"/>
              <w:ind w:left="148"/>
              <w:rPr>
                <w:sz w:val="18"/>
              </w:rPr>
            </w:pPr>
            <w:r>
              <w:rPr>
                <w:w w:val="105"/>
                <w:sz w:val="18"/>
              </w:rPr>
              <w:t>2020</w:t>
            </w:r>
          </w:p>
        </w:tc>
        <w:tc>
          <w:tcPr>
            <w:tcW w:w="989" w:type="dxa"/>
            <w:tcBorders>
              <w:right w:val="nil"/>
            </w:tcBorders>
          </w:tcPr>
          <w:p w:rsidR="00A56FE9" w:rsidRDefault="00000000">
            <w:pPr>
              <w:pStyle w:val="TableParagraph"/>
              <w:spacing w:before="7" w:line="201" w:lineRule="exact"/>
              <w:ind w:right="141"/>
              <w:jc w:val="right"/>
              <w:rPr>
                <w:sz w:val="18"/>
              </w:rPr>
            </w:pPr>
            <w:r>
              <w:rPr>
                <w:w w:val="105"/>
                <w:sz w:val="18"/>
              </w:rPr>
              <w:t>46.5</w:t>
            </w:r>
          </w:p>
        </w:tc>
      </w:tr>
      <w:tr w:rsidR="00A56FE9">
        <w:trPr>
          <w:trHeight w:val="340"/>
        </w:trPr>
        <w:tc>
          <w:tcPr>
            <w:tcW w:w="14017" w:type="dxa"/>
            <w:gridSpan w:val="6"/>
            <w:tcBorders>
              <w:left w:val="nil"/>
              <w:right w:val="nil"/>
            </w:tcBorders>
          </w:tcPr>
          <w:p w:rsidR="00A56FE9" w:rsidRDefault="00000000">
            <w:pPr>
              <w:pStyle w:val="TableParagraph"/>
              <w:spacing w:before="67"/>
              <w:ind w:left="71"/>
              <w:rPr>
                <w:b/>
                <w:sz w:val="18"/>
              </w:rPr>
            </w:pPr>
            <w:r>
              <w:rPr>
                <w:b/>
                <w:color w:val="2C398A"/>
                <w:w w:val="105"/>
                <w:sz w:val="18"/>
              </w:rPr>
              <w:t>Goal</w:t>
            </w:r>
            <w:r>
              <w:rPr>
                <w:b/>
                <w:color w:val="2C398A"/>
                <w:spacing w:val="-6"/>
                <w:w w:val="105"/>
                <w:sz w:val="18"/>
              </w:rPr>
              <w:t xml:space="preserve"> </w:t>
            </w:r>
            <w:r>
              <w:rPr>
                <w:b/>
                <w:color w:val="2C398A"/>
                <w:w w:val="105"/>
                <w:sz w:val="18"/>
              </w:rPr>
              <w:t>10</w:t>
            </w:r>
            <w:r>
              <w:rPr>
                <w:b/>
                <w:color w:val="2C398A"/>
                <w:spacing w:val="-2"/>
                <w:w w:val="105"/>
                <w:sz w:val="18"/>
              </w:rPr>
              <w:t xml:space="preserve"> </w:t>
            </w:r>
            <w:r>
              <w:rPr>
                <w:b/>
                <w:color w:val="2C398A"/>
                <w:w w:val="105"/>
                <w:sz w:val="18"/>
              </w:rPr>
              <w:t>-</w:t>
            </w:r>
            <w:r>
              <w:rPr>
                <w:b/>
                <w:color w:val="2C398A"/>
                <w:spacing w:val="-3"/>
                <w:w w:val="105"/>
                <w:sz w:val="18"/>
              </w:rPr>
              <w:t xml:space="preserve"> </w:t>
            </w:r>
            <w:r>
              <w:rPr>
                <w:b/>
                <w:color w:val="2C398A"/>
                <w:w w:val="105"/>
                <w:sz w:val="18"/>
              </w:rPr>
              <w:t>Reduced</w:t>
            </w:r>
            <w:r>
              <w:rPr>
                <w:b/>
                <w:color w:val="2C398A"/>
                <w:spacing w:val="-5"/>
                <w:w w:val="105"/>
                <w:sz w:val="18"/>
              </w:rPr>
              <w:t xml:space="preserve"> </w:t>
            </w:r>
            <w:r>
              <w:rPr>
                <w:b/>
                <w:color w:val="2C398A"/>
                <w:w w:val="105"/>
                <w:sz w:val="18"/>
              </w:rPr>
              <w:t>inequalities</w:t>
            </w:r>
          </w:p>
        </w:tc>
      </w:tr>
      <w:tr w:rsidR="00A56FE9">
        <w:trPr>
          <w:trHeight w:val="227"/>
        </w:trPr>
        <w:tc>
          <w:tcPr>
            <w:tcW w:w="6536" w:type="dxa"/>
            <w:tcBorders>
              <w:left w:val="nil"/>
            </w:tcBorders>
          </w:tcPr>
          <w:p w:rsidR="00A56FE9" w:rsidRDefault="00000000">
            <w:pPr>
              <w:pStyle w:val="TableParagraph"/>
              <w:spacing w:before="4" w:line="203" w:lineRule="exact"/>
              <w:ind w:left="71"/>
              <w:rPr>
                <w:sz w:val="18"/>
              </w:rPr>
            </w:pPr>
            <w:r>
              <w:rPr>
                <w:spacing w:val="-2"/>
                <w:w w:val="105"/>
                <w:sz w:val="18"/>
              </w:rPr>
              <w:t>Purchasing</w:t>
            </w:r>
            <w:r>
              <w:rPr>
                <w:spacing w:val="-10"/>
                <w:w w:val="105"/>
                <w:sz w:val="18"/>
              </w:rPr>
              <w:t xml:space="preserve"> </w:t>
            </w:r>
            <w:r>
              <w:rPr>
                <w:spacing w:val="-1"/>
                <w:w w:val="105"/>
                <w:sz w:val="18"/>
              </w:rPr>
              <w:t>power</w:t>
            </w:r>
            <w:r>
              <w:rPr>
                <w:spacing w:val="-7"/>
                <w:w w:val="105"/>
                <w:sz w:val="18"/>
              </w:rPr>
              <w:t xml:space="preserve"> </w:t>
            </w:r>
            <w:r>
              <w:rPr>
                <w:spacing w:val="-1"/>
                <w:w w:val="105"/>
                <w:sz w:val="18"/>
              </w:rPr>
              <w:t>adjusted</w:t>
            </w:r>
            <w:r>
              <w:rPr>
                <w:spacing w:val="-10"/>
                <w:w w:val="105"/>
                <w:sz w:val="18"/>
              </w:rPr>
              <w:t xml:space="preserve"> </w:t>
            </w:r>
            <w:r>
              <w:rPr>
                <w:spacing w:val="-1"/>
                <w:w w:val="105"/>
                <w:sz w:val="18"/>
              </w:rPr>
              <w:t>GDP</w:t>
            </w:r>
            <w:r>
              <w:rPr>
                <w:spacing w:val="-8"/>
                <w:w w:val="105"/>
                <w:sz w:val="18"/>
              </w:rPr>
              <w:t xml:space="preserve"> </w:t>
            </w:r>
            <w:r>
              <w:rPr>
                <w:spacing w:val="-1"/>
                <w:w w:val="105"/>
                <w:sz w:val="18"/>
              </w:rPr>
              <w:t>per</w:t>
            </w:r>
            <w:r>
              <w:rPr>
                <w:spacing w:val="-7"/>
                <w:w w:val="105"/>
                <w:sz w:val="18"/>
              </w:rPr>
              <w:t xml:space="preserve"> </w:t>
            </w:r>
            <w:r>
              <w:rPr>
                <w:spacing w:val="-1"/>
                <w:w w:val="105"/>
                <w:sz w:val="18"/>
              </w:rPr>
              <w:t>capita</w:t>
            </w:r>
          </w:p>
        </w:tc>
        <w:tc>
          <w:tcPr>
            <w:tcW w:w="4112" w:type="dxa"/>
          </w:tcPr>
          <w:p w:rsidR="00A56FE9" w:rsidRDefault="00000000">
            <w:pPr>
              <w:pStyle w:val="TableParagraph"/>
              <w:spacing w:before="4" w:line="203" w:lineRule="exact"/>
              <w:ind w:left="45"/>
              <w:rPr>
                <w:sz w:val="18"/>
              </w:rPr>
            </w:pPr>
            <w:r>
              <w:rPr>
                <w:spacing w:val="-3"/>
                <w:sz w:val="18"/>
              </w:rPr>
              <w:t>real</w:t>
            </w:r>
            <w:r>
              <w:rPr>
                <w:spacing w:val="-8"/>
                <w:sz w:val="18"/>
              </w:rPr>
              <w:t xml:space="preserve"> </w:t>
            </w:r>
            <w:r>
              <w:rPr>
                <w:spacing w:val="-2"/>
                <w:sz w:val="18"/>
              </w:rPr>
              <w:t>expenditures</w:t>
            </w:r>
            <w:r>
              <w:rPr>
                <w:spacing w:val="-8"/>
                <w:sz w:val="18"/>
              </w:rPr>
              <w:t xml:space="preserve"> </w:t>
            </w:r>
            <w:r>
              <w:rPr>
                <w:spacing w:val="-2"/>
                <w:sz w:val="18"/>
              </w:rPr>
              <w:t>per</w:t>
            </w:r>
            <w:r>
              <w:rPr>
                <w:spacing w:val="-9"/>
                <w:sz w:val="18"/>
              </w:rPr>
              <w:t xml:space="preserve"> </w:t>
            </w:r>
            <w:r>
              <w:rPr>
                <w:spacing w:val="-2"/>
                <w:sz w:val="18"/>
              </w:rPr>
              <w:t>capita</w:t>
            </w:r>
            <w:r>
              <w:rPr>
                <w:spacing w:val="-11"/>
                <w:sz w:val="18"/>
              </w:rPr>
              <w:t xml:space="preserve"> </w:t>
            </w:r>
            <w:r>
              <w:rPr>
                <w:spacing w:val="-2"/>
                <w:sz w:val="18"/>
              </w:rPr>
              <w:t>(in</w:t>
            </w:r>
            <w:r>
              <w:rPr>
                <w:spacing w:val="-9"/>
                <w:sz w:val="18"/>
              </w:rPr>
              <w:t xml:space="preserve"> </w:t>
            </w:r>
            <w:r>
              <w:rPr>
                <w:spacing w:val="-2"/>
                <w:sz w:val="18"/>
              </w:rPr>
              <w:t>purchasing</w:t>
            </w:r>
            <w:r>
              <w:rPr>
                <w:spacing w:val="-9"/>
                <w:sz w:val="18"/>
              </w:rPr>
              <w:t xml:space="preserve"> </w:t>
            </w:r>
            <w:r>
              <w:rPr>
                <w:spacing w:val="-2"/>
                <w:sz w:val="18"/>
              </w:rPr>
              <w:t>power</w:t>
            </w:r>
            <w:r>
              <w:rPr>
                <w:spacing w:val="-9"/>
                <w:sz w:val="18"/>
              </w:rPr>
              <w:t xml:space="preserve"> </w:t>
            </w:r>
            <w:r>
              <w:rPr>
                <w:spacing w:val="-2"/>
                <w:sz w:val="18"/>
              </w:rPr>
              <w:t>parity)</w:t>
            </w:r>
          </w:p>
        </w:tc>
        <w:tc>
          <w:tcPr>
            <w:tcW w:w="708" w:type="dxa"/>
          </w:tcPr>
          <w:p w:rsidR="00A56FE9" w:rsidRDefault="00000000">
            <w:pPr>
              <w:pStyle w:val="TableParagraph"/>
              <w:spacing w:before="4" w:line="203" w:lineRule="exact"/>
              <w:ind w:left="132"/>
              <w:rPr>
                <w:sz w:val="18"/>
              </w:rPr>
            </w:pPr>
            <w:r>
              <w:rPr>
                <w:w w:val="105"/>
                <w:sz w:val="18"/>
              </w:rPr>
              <w:t>2013</w:t>
            </w:r>
          </w:p>
        </w:tc>
        <w:tc>
          <w:tcPr>
            <w:tcW w:w="992" w:type="dxa"/>
          </w:tcPr>
          <w:p w:rsidR="00A56FE9" w:rsidRDefault="00000000">
            <w:pPr>
              <w:pStyle w:val="TableParagraph"/>
              <w:spacing w:before="4" w:line="203" w:lineRule="exact"/>
              <w:ind w:right="112"/>
              <w:jc w:val="right"/>
              <w:rPr>
                <w:sz w:val="18"/>
              </w:rPr>
            </w:pPr>
            <w:r>
              <w:rPr>
                <w:w w:val="105"/>
                <w:sz w:val="18"/>
              </w:rPr>
              <w:t>15,900</w:t>
            </w:r>
          </w:p>
        </w:tc>
        <w:tc>
          <w:tcPr>
            <w:tcW w:w="680" w:type="dxa"/>
          </w:tcPr>
          <w:p w:rsidR="00A56FE9" w:rsidRDefault="00000000">
            <w:pPr>
              <w:pStyle w:val="TableParagraph"/>
              <w:spacing w:before="4" w:line="203" w:lineRule="exact"/>
              <w:ind w:left="148"/>
              <w:rPr>
                <w:sz w:val="18"/>
              </w:rPr>
            </w:pPr>
            <w:r>
              <w:rPr>
                <w:w w:val="105"/>
                <w:sz w:val="18"/>
              </w:rPr>
              <w:t>2020</w:t>
            </w:r>
          </w:p>
        </w:tc>
        <w:tc>
          <w:tcPr>
            <w:tcW w:w="989" w:type="dxa"/>
            <w:tcBorders>
              <w:right w:val="nil"/>
            </w:tcBorders>
          </w:tcPr>
          <w:p w:rsidR="00A56FE9" w:rsidRDefault="00000000">
            <w:pPr>
              <w:pStyle w:val="TableParagraph"/>
              <w:spacing w:before="4" w:line="203" w:lineRule="exact"/>
              <w:ind w:right="141"/>
              <w:jc w:val="right"/>
              <w:rPr>
                <w:sz w:val="18"/>
              </w:rPr>
            </w:pPr>
            <w:r>
              <w:rPr>
                <w:w w:val="105"/>
                <w:sz w:val="18"/>
              </w:rPr>
              <w:t>19,200</w:t>
            </w:r>
          </w:p>
        </w:tc>
      </w:tr>
    </w:tbl>
    <w:p w:rsidR="00A56FE9" w:rsidRDefault="00A56FE9">
      <w:pPr>
        <w:spacing w:line="203" w:lineRule="exact"/>
        <w:jc w:val="righ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95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6536"/>
        <w:gridCol w:w="4112"/>
        <w:gridCol w:w="708"/>
        <w:gridCol w:w="994"/>
        <w:gridCol w:w="680"/>
        <w:gridCol w:w="990"/>
      </w:tblGrid>
      <w:tr w:rsidR="00A56FE9">
        <w:trPr>
          <w:trHeight w:val="349"/>
        </w:trPr>
        <w:tc>
          <w:tcPr>
            <w:tcW w:w="6536" w:type="dxa"/>
            <w:vMerge w:val="restart"/>
            <w:tcBorders>
              <w:top w:val="nil"/>
              <w:left w:val="nil"/>
              <w:bottom w:val="nil"/>
              <w:right w:val="nil"/>
            </w:tcBorders>
            <w:shd w:val="clear" w:color="auto" w:fill="2C398A"/>
          </w:tcPr>
          <w:p w:rsidR="00A56FE9" w:rsidRDefault="00A56FE9">
            <w:pPr>
              <w:pStyle w:val="TableParagraph"/>
              <w:spacing w:before="5"/>
              <w:rPr>
                <w:sz w:val="20"/>
              </w:rPr>
            </w:pPr>
          </w:p>
          <w:p w:rsidR="00A56FE9" w:rsidRDefault="00000000">
            <w:pPr>
              <w:pStyle w:val="TableParagraph"/>
              <w:ind w:left="2848" w:right="2848"/>
              <w:jc w:val="center"/>
              <w:rPr>
                <w:b/>
                <w:sz w:val="20"/>
              </w:rPr>
            </w:pPr>
            <w:r>
              <w:rPr>
                <w:b/>
                <w:color w:val="FFFFFF"/>
                <w:sz w:val="20"/>
              </w:rPr>
              <w:t>Indicator</w:t>
            </w:r>
          </w:p>
        </w:tc>
        <w:tc>
          <w:tcPr>
            <w:tcW w:w="4112" w:type="dxa"/>
            <w:vMerge w:val="restart"/>
            <w:tcBorders>
              <w:top w:val="nil"/>
              <w:left w:val="nil"/>
              <w:bottom w:val="nil"/>
              <w:right w:val="nil"/>
            </w:tcBorders>
            <w:shd w:val="clear" w:color="auto" w:fill="2C398A"/>
          </w:tcPr>
          <w:p w:rsidR="00A56FE9" w:rsidRDefault="00A56FE9">
            <w:pPr>
              <w:pStyle w:val="TableParagraph"/>
              <w:spacing w:before="5"/>
              <w:rPr>
                <w:sz w:val="20"/>
              </w:rPr>
            </w:pPr>
          </w:p>
          <w:p w:rsidR="00A56FE9" w:rsidRDefault="00000000">
            <w:pPr>
              <w:pStyle w:val="TableParagraph"/>
              <w:ind w:left="1846" w:right="1848"/>
              <w:jc w:val="center"/>
              <w:rPr>
                <w:b/>
                <w:sz w:val="20"/>
              </w:rPr>
            </w:pPr>
            <w:r>
              <w:rPr>
                <w:b/>
                <w:color w:val="FFFFFF"/>
                <w:sz w:val="20"/>
              </w:rPr>
              <w:t>Unit</w:t>
            </w:r>
          </w:p>
        </w:tc>
        <w:tc>
          <w:tcPr>
            <w:tcW w:w="1702" w:type="dxa"/>
            <w:gridSpan w:val="2"/>
            <w:tcBorders>
              <w:top w:val="nil"/>
              <w:left w:val="nil"/>
              <w:bottom w:val="nil"/>
            </w:tcBorders>
            <w:shd w:val="clear" w:color="auto" w:fill="2C398A"/>
          </w:tcPr>
          <w:p w:rsidR="00A56FE9" w:rsidRDefault="00000000">
            <w:pPr>
              <w:pStyle w:val="TableParagraph"/>
              <w:spacing w:before="55"/>
              <w:ind w:left="566" w:right="567"/>
              <w:jc w:val="center"/>
              <w:rPr>
                <w:b/>
                <w:sz w:val="20"/>
              </w:rPr>
            </w:pPr>
            <w:r>
              <w:rPr>
                <w:b/>
                <w:color w:val="FFFFFF"/>
                <w:sz w:val="20"/>
              </w:rPr>
              <w:t>Initial</w:t>
            </w:r>
          </w:p>
        </w:tc>
        <w:tc>
          <w:tcPr>
            <w:tcW w:w="1670" w:type="dxa"/>
            <w:gridSpan w:val="2"/>
            <w:tcBorders>
              <w:top w:val="nil"/>
              <w:bottom w:val="nil"/>
              <w:right w:val="nil"/>
            </w:tcBorders>
            <w:shd w:val="clear" w:color="auto" w:fill="2C398A"/>
          </w:tcPr>
          <w:p w:rsidR="00A56FE9" w:rsidRDefault="00000000">
            <w:pPr>
              <w:pStyle w:val="TableParagraph"/>
              <w:spacing w:before="55"/>
              <w:ind w:left="270"/>
              <w:rPr>
                <w:b/>
                <w:sz w:val="20"/>
              </w:rPr>
            </w:pPr>
            <w:r>
              <w:rPr>
                <w:b/>
                <w:color w:val="FFFFFF"/>
                <w:sz w:val="20"/>
              </w:rPr>
              <w:t>Most</w:t>
            </w:r>
            <w:r>
              <w:rPr>
                <w:b/>
                <w:color w:val="FFFFFF"/>
                <w:spacing w:val="23"/>
                <w:sz w:val="20"/>
              </w:rPr>
              <w:t xml:space="preserve"> </w:t>
            </w:r>
            <w:r>
              <w:rPr>
                <w:b/>
                <w:color w:val="FFFFFF"/>
                <w:sz w:val="20"/>
              </w:rPr>
              <w:t>Recent</w:t>
            </w:r>
          </w:p>
        </w:tc>
      </w:tr>
      <w:tr w:rsidR="00A56FE9">
        <w:trPr>
          <w:trHeight w:val="358"/>
        </w:trPr>
        <w:tc>
          <w:tcPr>
            <w:tcW w:w="6536" w:type="dxa"/>
            <w:vMerge/>
            <w:tcBorders>
              <w:top w:val="nil"/>
              <w:left w:val="nil"/>
              <w:bottom w:val="nil"/>
              <w:right w:val="nil"/>
            </w:tcBorders>
            <w:shd w:val="clear" w:color="auto" w:fill="2C398A"/>
          </w:tcPr>
          <w:p w:rsidR="00A56FE9" w:rsidRDefault="00A56FE9">
            <w:pPr>
              <w:rPr>
                <w:sz w:val="2"/>
                <w:szCs w:val="2"/>
              </w:rPr>
            </w:pPr>
          </w:p>
        </w:tc>
        <w:tc>
          <w:tcPr>
            <w:tcW w:w="4112" w:type="dxa"/>
            <w:vMerge/>
            <w:tcBorders>
              <w:top w:val="nil"/>
              <w:left w:val="nil"/>
              <w:bottom w:val="nil"/>
              <w:right w:val="nil"/>
            </w:tcBorders>
            <w:shd w:val="clear" w:color="auto" w:fill="2C398A"/>
          </w:tcPr>
          <w:p w:rsidR="00A56FE9" w:rsidRDefault="00A56FE9">
            <w:pPr>
              <w:rPr>
                <w:sz w:val="2"/>
                <w:szCs w:val="2"/>
              </w:rPr>
            </w:pPr>
          </w:p>
        </w:tc>
        <w:tc>
          <w:tcPr>
            <w:tcW w:w="708" w:type="dxa"/>
            <w:tcBorders>
              <w:top w:val="nil"/>
              <w:left w:val="nil"/>
              <w:bottom w:val="nil"/>
            </w:tcBorders>
            <w:shd w:val="clear" w:color="auto" w:fill="2C398A"/>
          </w:tcPr>
          <w:p w:rsidR="00A56FE9" w:rsidRDefault="00000000">
            <w:pPr>
              <w:pStyle w:val="TableParagraph"/>
              <w:spacing w:before="66"/>
              <w:ind w:left="132"/>
              <w:rPr>
                <w:b/>
                <w:sz w:val="20"/>
              </w:rPr>
            </w:pPr>
            <w:r>
              <w:rPr>
                <w:b/>
                <w:color w:val="FFFFFF"/>
                <w:sz w:val="20"/>
              </w:rPr>
              <w:t>Year</w:t>
            </w:r>
          </w:p>
        </w:tc>
        <w:tc>
          <w:tcPr>
            <w:tcW w:w="994" w:type="dxa"/>
            <w:tcBorders>
              <w:top w:val="nil"/>
              <w:bottom w:val="nil"/>
            </w:tcBorders>
            <w:shd w:val="clear" w:color="auto" w:fill="2C398A"/>
          </w:tcPr>
          <w:p w:rsidR="00A56FE9" w:rsidRDefault="00000000">
            <w:pPr>
              <w:pStyle w:val="TableParagraph"/>
              <w:spacing w:before="66"/>
              <w:ind w:left="228"/>
              <w:rPr>
                <w:b/>
                <w:sz w:val="20"/>
              </w:rPr>
            </w:pPr>
            <w:r>
              <w:rPr>
                <w:b/>
                <w:color w:val="FFFFFF"/>
                <w:sz w:val="20"/>
              </w:rPr>
              <w:t>Value</w:t>
            </w:r>
          </w:p>
        </w:tc>
        <w:tc>
          <w:tcPr>
            <w:tcW w:w="680" w:type="dxa"/>
            <w:tcBorders>
              <w:top w:val="nil"/>
              <w:bottom w:val="nil"/>
            </w:tcBorders>
            <w:shd w:val="clear" w:color="auto" w:fill="2C398A"/>
          </w:tcPr>
          <w:p w:rsidR="00A56FE9" w:rsidRDefault="00000000">
            <w:pPr>
              <w:pStyle w:val="TableParagraph"/>
              <w:spacing w:before="66"/>
              <w:ind w:left="112"/>
              <w:rPr>
                <w:b/>
                <w:sz w:val="20"/>
              </w:rPr>
            </w:pPr>
            <w:r>
              <w:rPr>
                <w:b/>
                <w:color w:val="FFFFFF"/>
                <w:sz w:val="20"/>
              </w:rPr>
              <w:t>Year</w:t>
            </w:r>
          </w:p>
        </w:tc>
        <w:tc>
          <w:tcPr>
            <w:tcW w:w="990" w:type="dxa"/>
            <w:tcBorders>
              <w:top w:val="nil"/>
              <w:bottom w:val="nil"/>
              <w:right w:val="nil"/>
            </w:tcBorders>
            <w:shd w:val="clear" w:color="auto" w:fill="2C398A"/>
          </w:tcPr>
          <w:p w:rsidR="00A56FE9" w:rsidRDefault="00000000">
            <w:pPr>
              <w:pStyle w:val="TableParagraph"/>
              <w:spacing w:before="66"/>
              <w:ind w:left="215"/>
              <w:rPr>
                <w:b/>
                <w:sz w:val="20"/>
              </w:rPr>
            </w:pPr>
            <w:r>
              <w:rPr>
                <w:b/>
                <w:color w:val="FFFFFF"/>
                <w:sz w:val="20"/>
              </w:rPr>
              <w:t>Value</w:t>
            </w:r>
          </w:p>
        </w:tc>
      </w:tr>
      <w:tr w:rsidR="00A56FE9">
        <w:trPr>
          <w:trHeight w:val="208"/>
        </w:trPr>
        <w:tc>
          <w:tcPr>
            <w:tcW w:w="6536" w:type="dxa"/>
            <w:tcBorders>
              <w:top w:val="nil"/>
              <w:left w:val="nil"/>
              <w:bottom w:val="single" w:sz="4" w:space="0" w:color="2C398A"/>
              <w:right w:val="single" w:sz="4" w:space="0" w:color="2C398A"/>
            </w:tcBorders>
          </w:tcPr>
          <w:p w:rsidR="00A56FE9" w:rsidRDefault="00000000">
            <w:pPr>
              <w:pStyle w:val="TableParagraph"/>
              <w:spacing w:line="188" w:lineRule="exact"/>
              <w:ind w:left="71"/>
              <w:rPr>
                <w:sz w:val="18"/>
              </w:rPr>
            </w:pPr>
            <w:r>
              <w:rPr>
                <w:w w:val="105"/>
                <w:sz w:val="18"/>
              </w:rPr>
              <w:t>Adjusted</w:t>
            </w:r>
            <w:r>
              <w:rPr>
                <w:spacing w:val="-12"/>
                <w:w w:val="105"/>
                <w:sz w:val="18"/>
              </w:rPr>
              <w:t xml:space="preserve"> </w:t>
            </w:r>
            <w:r>
              <w:rPr>
                <w:w w:val="105"/>
                <w:sz w:val="18"/>
              </w:rPr>
              <w:t>gross</w:t>
            </w:r>
            <w:r>
              <w:rPr>
                <w:spacing w:val="-9"/>
                <w:w w:val="105"/>
                <w:sz w:val="18"/>
              </w:rPr>
              <w:t xml:space="preserve"> </w:t>
            </w:r>
            <w:r>
              <w:rPr>
                <w:w w:val="105"/>
                <w:sz w:val="18"/>
              </w:rPr>
              <w:t>disposable</w:t>
            </w:r>
            <w:r>
              <w:rPr>
                <w:spacing w:val="-9"/>
                <w:w w:val="105"/>
                <w:sz w:val="18"/>
              </w:rPr>
              <w:t xml:space="preserve"> </w:t>
            </w:r>
            <w:r>
              <w:rPr>
                <w:w w:val="105"/>
                <w:sz w:val="18"/>
              </w:rPr>
              <w:t>income</w:t>
            </w:r>
            <w:r>
              <w:rPr>
                <w:spacing w:val="-10"/>
                <w:w w:val="105"/>
                <w:sz w:val="18"/>
              </w:rPr>
              <w:t xml:space="preserve"> </w:t>
            </w:r>
            <w:r>
              <w:rPr>
                <w:w w:val="105"/>
                <w:sz w:val="18"/>
              </w:rPr>
              <w:t>of</w:t>
            </w:r>
            <w:r>
              <w:rPr>
                <w:spacing w:val="-10"/>
                <w:w w:val="105"/>
                <w:sz w:val="18"/>
              </w:rPr>
              <w:t xml:space="preserve"> </w:t>
            </w:r>
            <w:r>
              <w:rPr>
                <w:w w:val="105"/>
                <w:sz w:val="18"/>
              </w:rPr>
              <w:t>households</w:t>
            </w:r>
            <w:r>
              <w:rPr>
                <w:spacing w:val="-12"/>
                <w:w w:val="105"/>
                <w:sz w:val="18"/>
              </w:rPr>
              <w:t xml:space="preserve"> </w:t>
            </w:r>
            <w:r>
              <w:rPr>
                <w:w w:val="105"/>
                <w:sz w:val="18"/>
              </w:rPr>
              <w:t>per</w:t>
            </w:r>
            <w:r>
              <w:rPr>
                <w:spacing w:val="-10"/>
                <w:w w:val="105"/>
                <w:sz w:val="18"/>
              </w:rPr>
              <w:t xml:space="preserve"> </w:t>
            </w:r>
            <w:r>
              <w:rPr>
                <w:w w:val="105"/>
                <w:sz w:val="18"/>
              </w:rPr>
              <w:t>capita</w:t>
            </w:r>
          </w:p>
        </w:tc>
        <w:tc>
          <w:tcPr>
            <w:tcW w:w="4112" w:type="dxa"/>
            <w:tcBorders>
              <w:top w:val="single" w:sz="8" w:space="0" w:color="2C398A"/>
              <w:left w:val="single" w:sz="4" w:space="0" w:color="2C398A"/>
              <w:bottom w:val="single" w:sz="4" w:space="0" w:color="2C398A"/>
              <w:right w:val="single" w:sz="4" w:space="0" w:color="2C398A"/>
            </w:tcBorders>
          </w:tcPr>
          <w:p w:rsidR="00A56FE9" w:rsidRDefault="00000000">
            <w:pPr>
              <w:pStyle w:val="TableParagraph"/>
              <w:spacing w:line="188" w:lineRule="exact"/>
              <w:ind w:left="63" w:right="68"/>
              <w:jc w:val="center"/>
              <w:rPr>
                <w:sz w:val="18"/>
              </w:rPr>
            </w:pPr>
            <w:r>
              <w:rPr>
                <w:w w:val="105"/>
                <w:sz w:val="18"/>
              </w:rPr>
              <w:t>purchasing</w:t>
            </w:r>
            <w:r>
              <w:rPr>
                <w:spacing w:val="-10"/>
                <w:w w:val="105"/>
                <w:sz w:val="18"/>
              </w:rPr>
              <w:t xml:space="preserve"> </w:t>
            </w:r>
            <w:r>
              <w:rPr>
                <w:w w:val="105"/>
                <w:sz w:val="18"/>
              </w:rPr>
              <w:t>power</w:t>
            </w:r>
            <w:r>
              <w:rPr>
                <w:spacing w:val="-10"/>
                <w:w w:val="105"/>
                <w:sz w:val="18"/>
              </w:rPr>
              <w:t xml:space="preserve"> </w:t>
            </w:r>
            <w:r>
              <w:rPr>
                <w:w w:val="105"/>
                <w:sz w:val="18"/>
              </w:rPr>
              <w:t>parity</w:t>
            </w:r>
          </w:p>
        </w:tc>
        <w:tc>
          <w:tcPr>
            <w:tcW w:w="708" w:type="dxa"/>
            <w:tcBorders>
              <w:top w:val="single" w:sz="8" w:space="0" w:color="2C398A"/>
              <w:left w:val="single" w:sz="4" w:space="0" w:color="2C398A"/>
              <w:bottom w:val="single" w:sz="4" w:space="0" w:color="2C398A"/>
            </w:tcBorders>
          </w:tcPr>
          <w:p w:rsidR="00A56FE9" w:rsidRDefault="00000000">
            <w:pPr>
              <w:pStyle w:val="TableParagraph"/>
              <w:spacing w:line="188" w:lineRule="exact"/>
              <w:ind w:left="132"/>
              <w:rPr>
                <w:sz w:val="18"/>
              </w:rPr>
            </w:pPr>
            <w:r>
              <w:rPr>
                <w:w w:val="105"/>
                <w:sz w:val="18"/>
              </w:rPr>
              <w:t>2013</w:t>
            </w:r>
          </w:p>
        </w:tc>
        <w:tc>
          <w:tcPr>
            <w:tcW w:w="994" w:type="dxa"/>
            <w:tcBorders>
              <w:top w:val="single" w:sz="8" w:space="0" w:color="2C398A"/>
              <w:bottom w:val="single" w:sz="4" w:space="0" w:color="2C398A"/>
            </w:tcBorders>
          </w:tcPr>
          <w:p w:rsidR="00A56FE9" w:rsidRDefault="00000000">
            <w:pPr>
              <w:pStyle w:val="TableParagraph"/>
              <w:spacing w:line="188" w:lineRule="exact"/>
              <w:ind w:right="114"/>
              <w:jc w:val="right"/>
              <w:rPr>
                <w:sz w:val="18"/>
              </w:rPr>
            </w:pPr>
            <w:r>
              <w:rPr>
                <w:w w:val="105"/>
                <w:sz w:val="18"/>
              </w:rPr>
              <w:t>12,008</w:t>
            </w:r>
          </w:p>
        </w:tc>
        <w:tc>
          <w:tcPr>
            <w:tcW w:w="680" w:type="dxa"/>
            <w:tcBorders>
              <w:top w:val="single" w:sz="8" w:space="0" w:color="2C398A"/>
              <w:bottom w:val="single" w:sz="4" w:space="0" w:color="2C398A"/>
            </w:tcBorders>
          </w:tcPr>
          <w:p w:rsidR="00A56FE9" w:rsidRDefault="00000000">
            <w:pPr>
              <w:pStyle w:val="TableParagraph"/>
              <w:spacing w:line="188" w:lineRule="exact"/>
              <w:ind w:left="146"/>
              <w:rPr>
                <w:sz w:val="18"/>
              </w:rPr>
            </w:pPr>
            <w:r>
              <w:rPr>
                <w:w w:val="105"/>
                <w:sz w:val="18"/>
              </w:rPr>
              <w:t>2019</w:t>
            </w:r>
          </w:p>
        </w:tc>
        <w:tc>
          <w:tcPr>
            <w:tcW w:w="990" w:type="dxa"/>
            <w:tcBorders>
              <w:top w:val="single" w:sz="8" w:space="0" w:color="2C398A"/>
              <w:bottom w:val="single" w:sz="4" w:space="0" w:color="2C398A"/>
              <w:right w:val="nil"/>
            </w:tcBorders>
          </w:tcPr>
          <w:p w:rsidR="00A56FE9" w:rsidRDefault="00000000">
            <w:pPr>
              <w:pStyle w:val="TableParagraph"/>
              <w:spacing w:line="188" w:lineRule="exact"/>
              <w:ind w:right="144"/>
              <w:jc w:val="right"/>
              <w:rPr>
                <w:sz w:val="18"/>
              </w:rPr>
            </w:pPr>
            <w:r>
              <w:rPr>
                <w:w w:val="105"/>
                <w:sz w:val="18"/>
              </w:rPr>
              <w:t>15,249</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z w:val="18"/>
              </w:rPr>
              <w:t>Relative</w:t>
            </w:r>
            <w:r>
              <w:rPr>
                <w:spacing w:val="9"/>
                <w:sz w:val="18"/>
              </w:rPr>
              <w:t xml:space="preserve"> </w:t>
            </w:r>
            <w:r>
              <w:rPr>
                <w:sz w:val="18"/>
              </w:rPr>
              <w:t>median</w:t>
            </w:r>
            <w:r>
              <w:rPr>
                <w:spacing w:val="13"/>
                <w:sz w:val="18"/>
              </w:rPr>
              <w:t xml:space="preserve"> </w:t>
            </w:r>
            <w:r>
              <w:rPr>
                <w:sz w:val="18"/>
              </w:rPr>
              <w:t>at-risk-of-poverty</w:t>
            </w:r>
            <w:r>
              <w:rPr>
                <w:spacing w:val="11"/>
                <w:sz w:val="18"/>
              </w:rPr>
              <w:t xml:space="preserve"> </w:t>
            </w:r>
            <w:r>
              <w:rPr>
                <w:sz w:val="18"/>
              </w:rPr>
              <w:t>gap</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3" w:right="68"/>
              <w:jc w:val="center"/>
              <w:rPr>
                <w:sz w:val="18"/>
              </w:rPr>
            </w:pPr>
            <w:r>
              <w:rPr>
                <w:w w:val="105"/>
                <w:sz w:val="18"/>
              </w:rPr>
              <w:t>%</w:t>
            </w:r>
            <w:r>
              <w:rPr>
                <w:spacing w:val="-11"/>
                <w:w w:val="105"/>
                <w:sz w:val="18"/>
              </w:rPr>
              <w:t xml:space="preserve"> </w:t>
            </w:r>
            <w:r>
              <w:rPr>
                <w:w w:val="105"/>
                <w:sz w:val="18"/>
              </w:rPr>
              <w:t>distance</w:t>
            </w:r>
            <w:r>
              <w:rPr>
                <w:spacing w:val="-10"/>
                <w:w w:val="105"/>
                <w:sz w:val="18"/>
              </w:rPr>
              <w:t xml:space="preserve"> </w:t>
            </w:r>
            <w:r>
              <w:rPr>
                <w:w w:val="105"/>
                <w:sz w:val="18"/>
              </w:rPr>
              <w:t>to</w:t>
            </w:r>
            <w:r>
              <w:rPr>
                <w:spacing w:val="-10"/>
                <w:w w:val="105"/>
                <w:sz w:val="18"/>
              </w:rPr>
              <w:t xml:space="preserve"> </w:t>
            </w:r>
            <w:r>
              <w:rPr>
                <w:w w:val="105"/>
                <w:sz w:val="18"/>
              </w:rPr>
              <w:t>poverty</w:t>
            </w:r>
            <w:r>
              <w:rPr>
                <w:spacing w:val="-10"/>
                <w:w w:val="105"/>
                <w:sz w:val="18"/>
              </w:rPr>
              <w:t xml:space="preserve"> </w:t>
            </w:r>
            <w:r>
              <w:rPr>
                <w:w w:val="105"/>
                <w:sz w:val="18"/>
              </w:rPr>
              <w:t>threshold</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7" w:line="201" w:lineRule="exact"/>
              <w:ind w:right="113"/>
              <w:jc w:val="right"/>
              <w:rPr>
                <w:sz w:val="18"/>
              </w:rPr>
            </w:pPr>
            <w:r>
              <w:rPr>
                <w:w w:val="105"/>
                <w:sz w:val="18"/>
              </w:rPr>
              <w:t>28.1</w:t>
            </w:r>
          </w:p>
        </w:tc>
        <w:tc>
          <w:tcPr>
            <w:tcW w:w="680" w:type="dxa"/>
            <w:tcBorders>
              <w:top w:val="single" w:sz="4" w:space="0" w:color="2C398A"/>
              <w:bottom w:val="single" w:sz="4" w:space="0" w:color="2C398A"/>
            </w:tcBorders>
          </w:tcPr>
          <w:p w:rsidR="00A56FE9" w:rsidRDefault="00000000">
            <w:pPr>
              <w:pStyle w:val="TableParagraph"/>
              <w:spacing w:before="7" w:line="201" w:lineRule="exact"/>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28.0</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2"/>
                <w:w w:val="105"/>
                <w:sz w:val="18"/>
              </w:rPr>
              <w:t>Income</w:t>
            </w:r>
            <w:r>
              <w:rPr>
                <w:spacing w:val="-7"/>
                <w:w w:val="105"/>
                <w:sz w:val="18"/>
              </w:rPr>
              <w:t xml:space="preserve"> </w:t>
            </w:r>
            <w:r>
              <w:rPr>
                <w:spacing w:val="-2"/>
                <w:w w:val="105"/>
                <w:sz w:val="18"/>
              </w:rPr>
              <w:t>distribution</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5"/>
              <w:jc w:val="center"/>
              <w:rPr>
                <w:sz w:val="18"/>
              </w:rPr>
            </w:pPr>
            <w:r>
              <w:rPr>
                <w:sz w:val="18"/>
              </w:rPr>
              <w:t>quintile income ratio</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4" w:line="203" w:lineRule="exact"/>
              <w:ind w:right="113"/>
              <w:jc w:val="right"/>
              <w:rPr>
                <w:sz w:val="18"/>
              </w:rPr>
            </w:pPr>
            <w:r>
              <w:rPr>
                <w:w w:val="105"/>
                <w:sz w:val="18"/>
              </w:rPr>
              <w:t>5.3</w:t>
            </w:r>
          </w:p>
        </w:tc>
        <w:tc>
          <w:tcPr>
            <w:tcW w:w="680" w:type="dxa"/>
            <w:tcBorders>
              <w:top w:val="single" w:sz="4" w:space="0" w:color="2C398A"/>
              <w:bottom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4.6</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w w:val="105"/>
                <w:sz w:val="18"/>
              </w:rPr>
              <w:t>Income</w:t>
            </w:r>
            <w:r>
              <w:rPr>
                <w:spacing w:val="-10"/>
                <w:w w:val="105"/>
                <w:sz w:val="18"/>
              </w:rPr>
              <w:t xml:space="preserve"> </w:t>
            </w:r>
            <w:r>
              <w:rPr>
                <w:w w:val="105"/>
                <w:sz w:val="18"/>
              </w:rPr>
              <w:t>share</w:t>
            </w:r>
            <w:r>
              <w:rPr>
                <w:spacing w:val="-8"/>
                <w:w w:val="105"/>
                <w:sz w:val="18"/>
              </w:rPr>
              <w:t xml:space="preserve"> </w:t>
            </w:r>
            <w:r>
              <w:rPr>
                <w:w w:val="105"/>
                <w:sz w:val="18"/>
              </w:rPr>
              <w:t>of</w:t>
            </w:r>
            <w:r>
              <w:rPr>
                <w:spacing w:val="-5"/>
                <w:w w:val="105"/>
                <w:sz w:val="18"/>
              </w:rPr>
              <w:t xml:space="preserve"> </w:t>
            </w:r>
            <w:r>
              <w:rPr>
                <w:w w:val="105"/>
                <w:sz w:val="18"/>
              </w:rPr>
              <w:t>the</w:t>
            </w:r>
            <w:r>
              <w:rPr>
                <w:spacing w:val="-8"/>
                <w:w w:val="105"/>
                <w:sz w:val="18"/>
              </w:rPr>
              <w:t xml:space="preserve"> </w:t>
            </w:r>
            <w:r>
              <w:rPr>
                <w:w w:val="105"/>
                <w:sz w:val="18"/>
              </w:rPr>
              <w:t>bottom</w:t>
            </w:r>
            <w:r>
              <w:rPr>
                <w:spacing w:val="-9"/>
                <w:w w:val="105"/>
                <w:sz w:val="18"/>
              </w:rPr>
              <w:t xml:space="preserve"> </w:t>
            </w:r>
            <w:r>
              <w:rPr>
                <w:w w:val="105"/>
                <w:sz w:val="18"/>
              </w:rPr>
              <w:t>40</w:t>
            </w:r>
            <w:r>
              <w:rPr>
                <w:spacing w:val="-4"/>
                <w:w w:val="105"/>
                <w:sz w:val="18"/>
              </w:rPr>
              <w:t xml:space="preserve"> </w:t>
            </w:r>
            <w:r>
              <w:rPr>
                <w:w w:val="105"/>
                <w:sz w:val="18"/>
              </w:rPr>
              <w:t>%</w:t>
            </w:r>
            <w:r>
              <w:rPr>
                <w:spacing w:val="-9"/>
                <w:w w:val="105"/>
                <w:sz w:val="18"/>
              </w:rPr>
              <w:t xml:space="preserve"> </w:t>
            </w:r>
            <w:r>
              <w:rPr>
                <w:w w:val="105"/>
                <w:sz w:val="18"/>
              </w:rPr>
              <w:t>of</w:t>
            </w:r>
            <w:r>
              <w:rPr>
                <w:spacing w:val="-5"/>
                <w:w w:val="105"/>
                <w:sz w:val="18"/>
              </w:rPr>
              <w:t xml:space="preserve"> </w:t>
            </w:r>
            <w:r>
              <w:rPr>
                <w:w w:val="105"/>
                <w:sz w:val="18"/>
              </w:rPr>
              <w:t>the</w:t>
            </w:r>
            <w:r>
              <w:rPr>
                <w:spacing w:val="-7"/>
                <w:w w:val="105"/>
                <w:sz w:val="18"/>
              </w:rPr>
              <w:t xml:space="preserve"> </w:t>
            </w:r>
            <w:r>
              <w:rPr>
                <w:w w:val="105"/>
                <w:sz w:val="18"/>
              </w:rPr>
              <w:t>population</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6"/>
              <w:jc w:val="center"/>
              <w:rPr>
                <w:sz w:val="18"/>
              </w:rPr>
            </w:pPr>
            <w:r>
              <w:rPr>
                <w:w w:val="105"/>
                <w:sz w:val="18"/>
              </w:rPr>
              <w:t>%</w:t>
            </w:r>
            <w:r>
              <w:rPr>
                <w:spacing w:val="-10"/>
                <w:w w:val="105"/>
                <w:sz w:val="18"/>
              </w:rPr>
              <w:t xml:space="preserve"> </w:t>
            </w:r>
            <w:r>
              <w:rPr>
                <w:w w:val="105"/>
                <w:sz w:val="18"/>
              </w:rPr>
              <w:t>income</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4" w:line="203" w:lineRule="exact"/>
              <w:ind w:right="113"/>
              <w:jc w:val="right"/>
              <w:rPr>
                <w:sz w:val="18"/>
              </w:rPr>
            </w:pPr>
            <w:r>
              <w:rPr>
                <w:w w:val="105"/>
                <w:sz w:val="18"/>
              </w:rPr>
              <w:t>20.4</w:t>
            </w:r>
          </w:p>
        </w:tc>
        <w:tc>
          <w:tcPr>
            <w:tcW w:w="680" w:type="dxa"/>
            <w:tcBorders>
              <w:top w:val="single" w:sz="4" w:space="0" w:color="2C398A"/>
              <w:bottom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21.8</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w w:val="105"/>
                <w:sz w:val="18"/>
              </w:rPr>
              <w:t>Asylum</w:t>
            </w:r>
            <w:r>
              <w:rPr>
                <w:spacing w:val="-6"/>
                <w:w w:val="105"/>
                <w:sz w:val="18"/>
              </w:rPr>
              <w:t xml:space="preserve"> </w:t>
            </w:r>
            <w:r>
              <w:rPr>
                <w:w w:val="105"/>
                <w:sz w:val="18"/>
              </w:rPr>
              <w:t>applications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56"/>
              <w:jc w:val="center"/>
              <w:rPr>
                <w:sz w:val="18"/>
              </w:rPr>
            </w:pPr>
            <w:r>
              <w:rPr>
                <w:spacing w:val="-3"/>
                <w:sz w:val="18"/>
              </w:rPr>
              <w:t>positive</w:t>
            </w:r>
            <w:r>
              <w:rPr>
                <w:spacing w:val="-11"/>
                <w:sz w:val="18"/>
              </w:rPr>
              <w:t xml:space="preserve"> </w:t>
            </w:r>
            <w:r>
              <w:rPr>
                <w:spacing w:val="-3"/>
                <w:sz w:val="18"/>
              </w:rPr>
              <w:t>first-instance</w:t>
            </w:r>
            <w:r>
              <w:rPr>
                <w:spacing w:val="-8"/>
                <w:sz w:val="18"/>
              </w:rPr>
              <w:t xml:space="preserve"> </w:t>
            </w:r>
            <w:r>
              <w:rPr>
                <w:spacing w:val="-3"/>
                <w:sz w:val="18"/>
              </w:rPr>
              <w:t>decisions</w:t>
            </w:r>
            <w:r>
              <w:rPr>
                <w:spacing w:val="-10"/>
                <w:sz w:val="18"/>
              </w:rPr>
              <w:t xml:space="preserve"> </w:t>
            </w:r>
            <w:r>
              <w:rPr>
                <w:spacing w:val="-2"/>
                <w:sz w:val="18"/>
              </w:rPr>
              <w:t>per</w:t>
            </w:r>
            <w:r>
              <w:rPr>
                <w:spacing w:val="-9"/>
                <w:sz w:val="18"/>
              </w:rPr>
              <w:t xml:space="preserve"> </w:t>
            </w:r>
            <w:r>
              <w:rPr>
                <w:spacing w:val="-2"/>
                <w:sz w:val="18"/>
              </w:rPr>
              <w:t>million</w:t>
            </w:r>
            <w:r>
              <w:rPr>
                <w:spacing w:val="-7"/>
                <w:sz w:val="18"/>
              </w:rPr>
              <w:t xml:space="preserve"> </w:t>
            </w:r>
            <w:r>
              <w:rPr>
                <w:spacing w:val="-2"/>
                <w:sz w:val="18"/>
              </w:rPr>
              <w:t>inhabitants</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4" w:line="201" w:lineRule="exact"/>
              <w:ind w:right="111"/>
              <w:jc w:val="right"/>
              <w:rPr>
                <w:sz w:val="18"/>
              </w:rPr>
            </w:pPr>
            <w:r>
              <w:rPr>
                <w:w w:val="103"/>
                <w:sz w:val="18"/>
              </w:rPr>
              <w:t>6</w:t>
            </w:r>
          </w:p>
        </w:tc>
        <w:tc>
          <w:tcPr>
            <w:tcW w:w="680" w:type="dxa"/>
            <w:tcBorders>
              <w:top w:val="single" w:sz="4" w:space="0" w:color="2C398A"/>
              <w:bottom w:val="single" w:sz="4" w:space="0" w:color="2C398A"/>
            </w:tcBorders>
          </w:tcPr>
          <w:p w:rsidR="00A56FE9" w:rsidRDefault="00000000">
            <w:pPr>
              <w:pStyle w:val="TableParagraph"/>
              <w:spacing w:before="4" w:line="201" w:lineRule="exact"/>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4" w:line="201" w:lineRule="exact"/>
              <w:ind w:right="143"/>
              <w:jc w:val="right"/>
              <w:rPr>
                <w:sz w:val="18"/>
              </w:rPr>
            </w:pPr>
            <w:r>
              <w:rPr>
                <w:w w:val="105"/>
                <w:sz w:val="18"/>
              </w:rPr>
              <w:t>10</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w w:val="105"/>
                <w:sz w:val="18"/>
              </w:rPr>
              <w:t>People</w:t>
            </w:r>
            <w:r>
              <w:rPr>
                <w:spacing w:val="-9"/>
                <w:w w:val="105"/>
                <w:sz w:val="18"/>
              </w:rPr>
              <w:t xml:space="preserve"> </w:t>
            </w:r>
            <w:r>
              <w:rPr>
                <w:w w:val="105"/>
                <w:sz w:val="18"/>
              </w:rPr>
              <w:t>at</w:t>
            </w:r>
            <w:r>
              <w:rPr>
                <w:spacing w:val="-10"/>
                <w:w w:val="105"/>
                <w:sz w:val="18"/>
              </w:rPr>
              <w:t xml:space="preserve"> </w:t>
            </w:r>
            <w:r>
              <w:rPr>
                <w:w w:val="105"/>
                <w:sz w:val="18"/>
              </w:rPr>
              <w:t>risk</w:t>
            </w:r>
            <w:r>
              <w:rPr>
                <w:spacing w:val="-9"/>
                <w:w w:val="105"/>
                <w:sz w:val="18"/>
              </w:rPr>
              <w:t xml:space="preserve"> </w:t>
            </w:r>
            <w:r>
              <w:rPr>
                <w:w w:val="105"/>
                <w:sz w:val="18"/>
              </w:rPr>
              <w:t>of</w:t>
            </w:r>
            <w:r>
              <w:rPr>
                <w:spacing w:val="-9"/>
                <w:w w:val="105"/>
                <w:sz w:val="18"/>
              </w:rPr>
              <w:t xml:space="preserve"> </w:t>
            </w:r>
            <w:r>
              <w:rPr>
                <w:w w:val="105"/>
                <w:sz w:val="18"/>
              </w:rPr>
              <w:t>poverty</w:t>
            </w:r>
            <w:r>
              <w:rPr>
                <w:spacing w:val="-9"/>
                <w:w w:val="105"/>
                <w:sz w:val="18"/>
              </w:rPr>
              <w:t xml:space="preserve"> </w:t>
            </w:r>
            <w:r>
              <w:rPr>
                <w:w w:val="105"/>
                <w:sz w:val="18"/>
              </w:rPr>
              <w:t>or</w:t>
            </w:r>
            <w:r>
              <w:rPr>
                <w:spacing w:val="-9"/>
                <w:w w:val="105"/>
                <w:sz w:val="18"/>
              </w:rPr>
              <w:t xml:space="preserve"> </w:t>
            </w:r>
            <w:r>
              <w:rPr>
                <w:w w:val="105"/>
                <w:sz w:val="18"/>
              </w:rPr>
              <w:t>social</w:t>
            </w:r>
            <w:r>
              <w:rPr>
                <w:spacing w:val="-8"/>
                <w:w w:val="105"/>
                <w:sz w:val="18"/>
              </w:rPr>
              <w:t xml:space="preserve"> </w:t>
            </w:r>
            <w:r>
              <w:rPr>
                <w:w w:val="105"/>
                <w:sz w:val="18"/>
              </w:rPr>
              <w:t>exclusion</w:t>
            </w:r>
            <w:r>
              <w:rPr>
                <w:spacing w:val="-7"/>
                <w:w w:val="105"/>
                <w:sz w:val="18"/>
              </w:rPr>
              <w:t xml:space="preserve"> </w:t>
            </w:r>
            <w:r>
              <w:rPr>
                <w:w w:val="105"/>
                <w:sz w:val="18"/>
              </w:rPr>
              <w:t>by</w:t>
            </w:r>
            <w:r>
              <w:rPr>
                <w:spacing w:val="-9"/>
                <w:w w:val="105"/>
                <w:sz w:val="18"/>
              </w:rPr>
              <w:t xml:space="preserve"> </w:t>
            </w:r>
            <w:r>
              <w:rPr>
                <w:w w:val="105"/>
                <w:sz w:val="18"/>
              </w:rPr>
              <w:t>degree</w:t>
            </w:r>
            <w:r>
              <w:rPr>
                <w:spacing w:val="-10"/>
                <w:w w:val="105"/>
                <w:sz w:val="18"/>
              </w:rPr>
              <w:t xml:space="preserve"> </w:t>
            </w:r>
            <w:r>
              <w:rPr>
                <w:w w:val="105"/>
                <w:sz w:val="18"/>
              </w:rPr>
              <w:t>of</w:t>
            </w:r>
            <w:r>
              <w:rPr>
                <w:spacing w:val="-9"/>
                <w:w w:val="105"/>
                <w:sz w:val="18"/>
              </w:rPr>
              <w:t xml:space="preserve"> </w:t>
            </w:r>
            <w:r>
              <w:rPr>
                <w:w w:val="105"/>
                <w:sz w:val="18"/>
              </w:rPr>
              <w:t>urbanisation</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7" w:line="201" w:lineRule="exact"/>
              <w:ind w:right="113"/>
              <w:jc w:val="right"/>
              <w:rPr>
                <w:sz w:val="18"/>
              </w:rPr>
            </w:pPr>
            <w:r>
              <w:rPr>
                <w:w w:val="105"/>
                <w:sz w:val="18"/>
              </w:rPr>
              <w:t>36.3</w:t>
            </w:r>
          </w:p>
        </w:tc>
        <w:tc>
          <w:tcPr>
            <w:tcW w:w="680" w:type="dxa"/>
            <w:tcBorders>
              <w:top w:val="single" w:sz="4" w:space="0" w:color="2C398A"/>
              <w:bottom w:val="single" w:sz="4" w:space="0" w:color="2C398A"/>
            </w:tcBorders>
          </w:tcPr>
          <w:p w:rsidR="00A56FE9" w:rsidRDefault="00000000">
            <w:pPr>
              <w:pStyle w:val="TableParagraph"/>
              <w:spacing w:before="7" w:line="201" w:lineRule="exact"/>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28.0</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w w:val="105"/>
                <w:sz w:val="18"/>
              </w:rPr>
              <w:t>People</w:t>
            </w:r>
            <w:r>
              <w:rPr>
                <w:spacing w:val="-3"/>
                <w:w w:val="105"/>
                <w:sz w:val="18"/>
              </w:rPr>
              <w:t xml:space="preserve"> </w:t>
            </w:r>
            <w:r>
              <w:rPr>
                <w:w w:val="105"/>
                <w:sz w:val="18"/>
              </w:rPr>
              <w:t>at</w:t>
            </w:r>
            <w:r>
              <w:rPr>
                <w:spacing w:val="-5"/>
                <w:w w:val="105"/>
                <w:sz w:val="18"/>
              </w:rPr>
              <w:t xml:space="preserve"> </w:t>
            </w:r>
            <w:r>
              <w:rPr>
                <w:w w:val="105"/>
                <w:sz w:val="18"/>
              </w:rPr>
              <w:t>risk</w:t>
            </w:r>
            <w:r>
              <w:rPr>
                <w:spacing w:val="-3"/>
                <w:w w:val="105"/>
                <w:sz w:val="18"/>
              </w:rPr>
              <w:t xml:space="preserve"> </w:t>
            </w:r>
            <w:r>
              <w:rPr>
                <w:w w:val="105"/>
                <w:sz w:val="18"/>
              </w:rPr>
              <w:t>of</w:t>
            </w:r>
            <w:r>
              <w:rPr>
                <w:spacing w:val="-4"/>
                <w:w w:val="105"/>
                <w:sz w:val="18"/>
              </w:rPr>
              <w:t xml:space="preserve"> </w:t>
            </w:r>
            <w:r>
              <w:rPr>
                <w:w w:val="105"/>
                <w:sz w:val="18"/>
              </w:rPr>
              <w:t>income</w:t>
            </w:r>
            <w:r>
              <w:rPr>
                <w:spacing w:val="-5"/>
                <w:w w:val="105"/>
                <w:sz w:val="18"/>
              </w:rPr>
              <w:t xml:space="preserve"> </w:t>
            </w:r>
            <w:r>
              <w:rPr>
                <w:w w:val="105"/>
                <w:sz w:val="18"/>
              </w:rPr>
              <w:t>poverty</w:t>
            </w:r>
            <w:r>
              <w:rPr>
                <w:spacing w:val="-3"/>
                <w:w w:val="105"/>
                <w:sz w:val="18"/>
              </w:rPr>
              <w:t xml:space="preserve"> </w:t>
            </w:r>
            <w:r>
              <w:rPr>
                <w:w w:val="105"/>
                <w:sz w:val="18"/>
              </w:rPr>
              <w:t>after</w:t>
            </w:r>
            <w:r>
              <w:rPr>
                <w:spacing w:val="-2"/>
                <w:w w:val="105"/>
                <w:sz w:val="18"/>
              </w:rPr>
              <w:t xml:space="preserve"> </w:t>
            </w:r>
            <w:r>
              <w:rPr>
                <w:w w:val="105"/>
                <w:sz w:val="18"/>
              </w:rPr>
              <w:t>social</w:t>
            </w:r>
            <w:r>
              <w:rPr>
                <w:spacing w:val="-5"/>
                <w:w w:val="105"/>
                <w:sz w:val="18"/>
              </w:rPr>
              <w:t xml:space="preserve"> </w:t>
            </w:r>
            <w:r>
              <w:rPr>
                <w:w w:val="105"/>
                <w:sz w:val="18"/>
              </w:rPr>
              <w:t>transfers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4" w:line="203" w:lineRule="exact"/>
              <w:ind w:right="113"/>
              <w:jc w:val="right"/>
              <w:rPr>
                <w:sz w:val="18"/>
              </w:rPr>
            </w:pPr>
            <w:r>
              <w:rPr>
                <w:w w:val="105"/>
                <w:sz w:val="18"/>
              </w:rPr>
              <w:t>18.9</w:t>
            </w:r>
          </w:p>
        </w:tc>
        <w:tc>
          <w:tcPr>
            <w:tcW w:w="680" w:type="dxa"/>
            <w:tcBorders>
              <w:top w:val="single" w:sz="4" w:space="0" w:color="2C398A"/>
              <w:bottom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18.6</w:t>
            </w:r>
          </w:p>
        </w:tc>
      </w:tr>
      <w:tr w:rsidR="00A56FE9">
        <w:trPr>
          <w:trHeight w:val="228"/>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5" w:line="203" w:lineRule="exact"/>
              <w:ind w:left="71"/>
              <w:rPr>
                <w:sz w:val="18"/>
              </w:rPr>
            </w:pPr>
            <w:r>
              <w:rPr>
                <w:spacing w:val="-1"/>
                <w:w w:val="105"/>
                <w:sz w:val="18"/>
              </w:rPr>
              <w:t>Early</w:t>
            </w:r>
            <w:r>
              <w:rPr>
                <w:spacing w:val="-9"/>
                <w:w w:val="105"/>
                <w:sz w:val="18"/>
              </w:rPr>
              <w:t xml:space="preserve"> </w:t>
            </w:r>
            <w:r>
              <w:rPr>
                <w:w w:val="105"/>
                <w:sz w:val="18"/>
              </w:rPr>
              <w:t>leavers</w:t>
            </w:r>
            <w:r>
              <w:rPr>
                <w:spacing w:val="-11"/>
                <w:w w:val="105"/>
                <w:sz w:val="18"/>
              </w:rPr>
              <w:t xml:space="preserve"> </w:t>
            </w:r>
            <w:r>
              <w:rPr>
                <w:w w:val="105"/>
                <w:sz w:val="18"/>
              </w:rPr>
              <w:t>from</w:t>
            </w:r>
            <w:r>
              <w:rPr>
                <w:spacing w:val="-9"/>
                <w:w w:val="105"/>
                <w:sz w:val="18"/>
              </w:rPr>
              <w:t xml:space="preserve"> </w:t>
            </w:r>
            <w:r>
              <w:rPr>
                <w:w w:val="105"/>
                <w:sz w:val="18"/>
              </w:rPr>
              <w:t>education</w:t>
            </w:r>
            <w:r>
              <w:rPr>
                <w:spacing w:val="-8"/>
                <w:w w:val="105"/>
                <w:sz w:val="18"/>
              </w:rPr>
              <w:t xml:space="preserve"> </w:t>
            </w:r>
            <w:r>
              <w:rPr>
                <w:w w:val="105"/>
                <w:sz w:val="18"/>
              </w:rPr>
              <w:t>and</w:t>
            </w:r>
            <w:r>
              <w:rPr>
                <w:spacing w:val="-11"/>
                <w:w w:val="105"/>
                <w:sz w:val="18"/>
              </w:rPr>
              <w:t xml:space="preserve"> </w:t>
            </w:r>
            <w:r>
              <w:rPr>
                <w:w w:val="105"/>
                <w:sz w:val="18"/>
              </w:rPr>
              <w:t>training,</w:t>
            </w:r>
            <w:r>
              <w:rPr>
                <w:spacing w:val="-12"/>
                <w:w w:val="105"/>
                <w:sz w:val="18"/>
              </w:rPr>
              <w:t xml:space="preserve"> </w:t>
            </w:r>
            <w:r>
              <w:rPr>
                <w:w w:val="105"/>
                <w:sz w:val="18"/>
              </w:rPr>
              <w:t>by</w:t>
            </w:r>
            <w:r>
              <w:rPr>
                <w:spacing w:val="-8"/>
                <w:w w:val="105"/>
                <w:sz w:val="18"/>
              </w:rPr>
              <w:t xml:space="preserve"> </w:t>
            </w:r>
            <w:r>
              <w:rPr>
                <w:w w:val="105"/>
                <w:sz w:val="18"/>
              </w:rPr>
              <w:t>citizenship</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3" w:lineRule="exact"/>
              <w:ind w:left="64" w:right="64"/>
              <w:jc w:val="center"/>
              <w:rPr>
                <w:sz w:val="18"/>
              </w:rPr>
            </w:pPr>
            <w:r>
              <w:rPr>
                <w:w w:val="105"/>
                <w:sz w:val="18"/>
              </w:rPr>
              <w:t>%</w:t>
            </w:r>
            <w:r>
              <w:rPr>
                <w:spacing w:val="-2"/>
                <w:w w:val="105"/>
                <w:sz w:val="18"/>
              </w:rPr>
              <w:t xml:space="preserve"> </w:t>
            </w:r>
            <w:r>
              <w:rPr>
                <w:w w:val="105"/>
                <w:sz w:val="18"/>
              </w:rPr>
              <w:t>population aged 18</w:t>
            </w:r>
            <w:r>
              <w:rPr>
                <w:spacing w:val="-7"/>
                <w:w w:val="105"/>
                <w:sz w:val="18"/>
              </w:rPr>
              <w:t xml:space="preserve"> </w:t>
            </w:r>
            <w:r>
              <w:rPr>
                <w:w w:val="105"/>
                <w:sz w:val="18"/>
              </w:rPr>
              <w:t>do</w:t>
            </w:r>
            <w:r>
              <w:rPr>
                <w:spacing w:val="-7"/>
                <w:w w:val="105"/>
                <w:sz w:val="18"/>
              </w:rPr>
              <w:t xml:space="preserve"> </w:t>
            </w:r>
            <w:r>
              <w:rPr>
                <w:w w:val="105"/>
                <w:sz w:val="18"/>
              </w:rPr>
              <w:t>24</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5" w:line="203"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5" w:line="203" w:lineRule="exact"/>
              <w:ind w:right="113"/>
              <w:jc w:val="right"/>
              <w:rPr>
                <w:sz w:val="18"/>
              </w:rPr>
            </w:pPr>
            <w:r>
              <w:rPr>
                <w:w w:val="105"/>
                <w:sz w:val="18"/>
              </w:rPr>
              <w:t>4.4</w:t>
            </w:r>
          </w:p>
        </w:tc>
        <w:tc>
          <w:tcPr>
            <w:tcW w:w="680" w:type="dxa"/>
            <w:tcBorders>
              <w:top w:val="single" w:sz="4" w:space="0" w:color="2C398A"/>
              <w:bottom w:val="single" w:sz="4" w:space="0" w:color="2C398A"/>
            </w:tcBorders>
          </w:tcPr>
          <w:p w:rsidR="00A56FE9" w:rsidRDefault="00000000">
            <w:pPr>
              <w:pStyle w:val="TableParagraph"/>
              <w:spacing w:before="5" w:line="203" w:lineRule="exact"/>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5" w:line="203" w:lineRule="exact"/>
              <w:ind w:right="144"/>
              <w:jc w:val="right"/>
              <w:rPr>
                <w:sz w:val="18"/>
              </w:rPr>
            </w:pPr>
            <w:r>
              <w:rPr>
                <w:w w:val="105"/>
                <w:sz w:val="18"/>
              </w:rPr>
              <w:t>2.1</w:t>
            </w:r>
          </w:p>
        </w:tc>
      </w:tr>
      <w:tr w:rsidR="00A56FE9">
        <w:trPr>
          <w:trHeight w:val="412"/>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line="202" w:lineRule="exact"/>
              <w:ind w:left="71"/>
              <w:rPr>
                <w:sz w:val="18"/>
              </w:rPr>
            </w:pPr>
            <w:r>
              <w:rPr>
                <w:w w:val="105"/>
                <w:sz w:val="18"/>
              </w:rPr>
              <w:t>Young</w:t>
            </w:r>
            <w:r>
              <w:rPr>
                <w:spacing w:val="32"/>
                <w:w w:val="105"/>
                <w:sz w:val="18"/>
              </w:rPr>
              <w:t xml:space="preserve"> </w:t>
            </w:r>
            <w:r>
              <w:rPr>
                <w:w w:val="105"/>
                <w:sz w:val="18"/>
              </w:rPr>
              <w:t>people</w:t>
            </w:r>
            <w:r>
              <w:rPr>
                <w:spacing w:val="33"/>
                <w:w w:val="105"/>
                <w:sz w:val="18"/>
              </w:rPr>
              <w:t xml:space="preserve"> </w:t>
            </w:r>
            <w:r>
              <w:rPr>
                <w:w w:val="105"/>
                <w:sz w:val="18"/>
              </w:rPr>
              <w:t>neither</w:t>
            </w:r>
            <w:r>
              <w:rPr>
                <w:spacing w:val="35"/>
                <w:w w:val="105"/>
                <w:sz w:val="18"/>
              </w:rPr>
              <w:t xml:space="preserve"> </w:t>
            </w:r>
            <w:r>
              <w:rPr>
                <w:w w:val="105"/>
                <w:sz w:val="18"/>
              </w:rPr>
              <w:t>in</w:t>
            </w:r>
            <w:r>
              <w:rPr>
                <w:spacing w:val="35"/>
                <w:w w:val="105"/>
                <w:sz w:val="18"/>
              </w:rPr>
              <w:t xml:space="preserve"> </w:t>
            </w:r>
            <w:r>
              <w:rPr>
                <w:w w:val="105"/>
                <w:sz w:val="18"/>
              </w:rPr>
              <w:t>employment</w:t>
            </w:r>
            <w:r>
              <w:rPr>
                <w:spacing w:val="32"/>
                <w:w w:val="105"/>
                <w:sz w:val="18"/>
              </w:rPr>
              <w:t xml:space="preserve"> </w:t>
            </w:r>
            <w:r>
              <w:rPr>
                <w:w w:val="105"/>
                <w:sz w:val="18"/>
              </w:rPr>
              <w:t>nor</w:t>
            </w:r>
            <w:r>
              <w:rPr>
                <w:spacing w:val="35"/>
                <w:w w:val="105"/>
                <w:sz w:val="18"/>
              </w:rPr>
              <w:t xml:space="preserve"> </w:t>
            </w:r>
            <w:r>
              <w:rPr>
                <w:w w:val="105"/>
                <w:sz w:val="18"/>
              </w:rPr>
              <w:t>in</w:t>
            </w:r>
            <w:r>
              <w:rPr>
                <w:spacing w:val="35"/>
                <w:w w:val="105"/>
                <w:sz w:val="18"/>
              </w:rPr>
              <w:t xml:space="preserve"> </w:t>
            </w:r>
            <w:r>
              <w:rPr>
                <w:w w:val="105"/>
                <w:sz w:val="18"/>
              </w:rPr>
              <w:t>education</w:t>
            </w:r>
            <w:r>
              <w:rPr>
                <w:spacing w:val="35"/>
                <w:w w:val="105"/>
                <w:sz w:val="18"/>
              </w:rPr>
              <w:t xml:space="preserve"> </w:t>
            </w:r>
            <w:r>
              <w:rPr>
                <w:w w:val="105"/>
                <w:sz w:val="18"/>
              </w:rPr>
              <w:t>and</w:t>
            </w:r>
            <w:r>
              <w:rPr>
                <w:spacing w:val="43"/>
                <w:w w:val="105"/>
                <w:sz w:val="18"/>
              </w:rPr>
              <w:t xml:space="preserve"> </w:t>
            </w:r>
            <w:r>
              <w:rPr>
                <w:w w:val="105"/>
                <w:sz w:val="18"/>
              </w:rPr>
              <w:t>training</w:t>
            </w:r>
            <w:r>
              <w:rPr>
                <w:spacing w:val="35"/>
                <w:w w:val="105"/>
                <w:sz w:val="18"/>
              </w:rPr>
              <w:t xml:space="preserve"> </w:t>
            </w:r>
            <w:r>
              <w:rPr>
                <w:w w:val="105"/>
                <w:sz w:val="18"/>
              </w:rPr>
              <w:t>(NEET),</w:t>
            </w:r>
            <w:r>
              <w:rPr>
                <w:spacing w:val="34"/>
                <w:w w:val="105"/>
                <w:sz w:val="18"/>
              </w:rPr>
              <w:t xml:space="preserve"> </w:t>
            </w:r>
            <w:r>
              <w:rPr>
                <w:w w:val="105"/>
                <w:sz w:val="18"/>
              </w:rPr>
              <w:t>by</w:t>
            </w:r>
          </w:p>
          <w:p w:rsidR="00A56FE9" w:rsidRDefault="00000000">
            <w:pPr>
              <w:pStyle w:val="TableParagraph"/>
              <w:spacing w:line="191" w:lineRule="exact"/>
              <w:ind w:left="71"/>
              <w:rPr>
                <w:sz w:val="18"/>
              </w:rPr>
            </w:pPr>
            <w:r>
              <w:rPr>
                <w:w w:val="105"/>
                <w:sz w:val="18"/>
              </w:rPr>
              <w:t>citizenship</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98"/>
              <w:ind w:left="64" w:right="64"/>
              <w:jc w:val="center"/>
              <w:rPr>
                <w:sz w:val="18"/>
              </w:rPr>
            </w:pPr>
            <w:r>
              <w:rPr>
                <w:w w:val="105"/>
                <w:sz w:val="18"/>
              </w:rPr>
              <w:t>%</w:t>
            </w:r>
            <w:r>
              <w:rPr>
                <w:spacing w:val="-2"/>
                <w:w w:val="105"/>
                <w:sz w:val="18"/>
              </w:rPr>
              <w:t xml:space="preserve"> </w:t>
            </w:r>
            <w:r>
              <w:rPr>
                <w:w w:val="105"/>
                <w:sz w:val="18"/>
              </w:rPr>
              <w:t>population aged 15</w:t>
            </w:r>
            <w:r>
              <w:rPr>
                <w:spacing w:val="-7"/>
                <w:w w:val="105"/>
                <w:sz w:val="18"/>
              </w:rPr>
              <w:t xml:space="preserve"> </w:t>
            </w:r>
            <w:r>
              <w:rPr>
                <w:w w:val="105"/>
                <w:sz w:val="18"/>
              </w:rPr>
              <w:t>do</w:t>
            </w:r>
            <w:r>
              <w:rPr>
                <w:spacing w:val="-7"/>
                <w:w w:val="105"/>
                <w:sz w:val="18"/>
              </w:rPr>
              <w:t xml:space="preserve"> </w:t>
            </w:r>
            <w:r>
              <w:rPr>
                <w:w w:val="105"/>
                <w:sz w:val="18"/>
              </w:rPr>
              <w:t>29</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98"/>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98"/>
              <w:ind w:right="113"/>
              <w:jc w:val="right"/>
              <w:rPr>
                <w:sz w:val="18"/>
              </w:rPr>
            </w:pPr>
            <w:r>
              <w:rPr>
                <w:w w:val="105"/>
                <w:sz w:val="18"/>
              </w:rPr>
              <w:t>22.2</w:t>
            </w:r>
          </w:p>
        </w:tc>
        <w:tc>
          <w:tcPr>
            <w:tcW w:w="680" w:type="dxa"/>
            <w:tcBorders>
              <w:top w:val="single" w:sz="4" w:space="0" w:color="2C398A"/>
              <w:bottom w:val="single" w:sz="4" w:space="0" w:color="2C398A"/>
            </w:tcBorders>
          </w:tcPr>
          <w:p w:rsidR="00A56FE9" w:rsidRDefault="00000000">
            <w:pPr>
              <w:pStyle w:val="TableParagraph"/>
              <w:spacing w:before="98"/>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98"/>
              <w:ind w:right="144"/>
              <w:jc w:val="right"/>
              <w:rPr>
                <w:sz w:val="18"/>
              </w:rPr>
            </w:pPr>
            <w:r>
              <w:rPr>
                <w:w w:val="105"/>
                <w:sz w:val="18"/>
              </w:rPr>
              <w:t>14.6</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1"/>
                <w:w w:val="105"/>
                <w:sz w:val="18"/>
              </w:rPr>
              <w:t>Employment</w:t>
            </w:r>
            <w:r>
              <w:rPr>
                <w:spacing w:val="-10"/>
                <w:w w:val="105"/>
                <w:sz w:val="18"/>
              </w:rPr>
              <w:t xml:space="preserve"> </w:t>
            </w:r>
            <w:r>
              <w:rPr>
                <w:spacing w:val="-1"/>
                <w:w w:val="105"/>
                <w:sz w:val="18"/>
              </w:rPr>
              <w:t>rate,</w:t>
            </w:r>
            <w:r>
              <w:rPr>
                <w:spacing w:val="-8"/>
                <w:w w:val="105"/>
                <w:sz w:val="18"/>
              </w:rPr>
              <w:t xml:space="preserve"> </w:t>
            </w:r>
            <w:r>
              <w:rPr>
                <w:w w:val="105"/>
                <w:sz w:val="18"/>
              </w:rPr>
              <w:t>by</w:t>
            </w:r>
            <w:r>
              <w:rPr>
                <w:spacing w:val="-9"/>
                <w:w w:val="105"/>
                <w:sz w:val="18"/>
              </w:rPr>
              <w:t xml:space="preserve"> </w:t>
            </w:r>
            <w:r>
              <w:rPr>
                <w:w w:val="105"/>
                <w:sz w:val="18"/>
              </w:rPr>
              <w:t>citizenship</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4"/>
              <w:jc w:val="center"/>
              <w:rPr>
                <w:sz w:val="18"/>
              </w:rPr>
            </w:pPr>
            <w:r>
              <w:rPr>
                <w:w w:val="105"/>
                <w:sz w:val="18"/>
              </w:rPr>
              <w:t>%</w:t>
            </w:r>
            <w:r>
              <w:rPr>
                <w:spacing w:val="-2"/>
                <w:w w:val="105"/>
                <w:sz w:val="18"/>
              </w:rPr>
              <w:t xml:space="preserve"> </w:t>
            </w:r>
            <w:r>
              <w:rPr>
                <w:w w:val="105"/>
                <w:sz w:val="18"/>
              </w:rPr>
              <w:t>population aged 20</w:t>
            </w:r>
            <w:r>
              <w:rPr>
                <w:spacing w:val="-7"/>
                <w:w w:val="105"/>
                <w:sz w:val="18"/>
              </w:rPr>
              <w:t xml:space="preserve"> </w:t>
            </w:r>
            <w:r>
              <w:rPr>
                <w:w w:val="105"/>
                <w:sz w:val="18"/>
              </w:rPr>
              <w:t>do</w:t>
            </w:r>
            <w:r>
              <w:rPr>
                <w:spacing w:val="-7"/>
                <w:w w:val="105"/>
                <w:sz w:val="18"/>
              </w:rPr>
              <w:t xml:space="preserve"> </w:t>
            </w:r>
            <w:r>
              <w:rPr>
                <w:w w:val="105"/>
                <w:sz w:val="18"/>
              </w:rPr>
              <w:t>64</w:t>
            </w:r>
          </w:p>
        </w:tc>
        <w:tc>
          <w:tcPr>
            <w:tcW w:w="708" w:type="dxa"/>
            <w:tcBorders>
              <w:top w:val="single" w:sz="4" w:space="0" w:color="2C398A"/>
              <w:left w:val="single" w:sz="4" w:space="0" w:color="2C398A"/>
              <w:bottom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bottom w:val="single" w:sz="4" w:space="0" w:color="2C398A"/>
            </w:tcBorders>
          </w:tcPr>
          <w:p w:rsidR="00A56FE9" w:rsidRDefault="00000000">
            <w:pPr>
              <w:pStyle w:val="TableParagraph"/>
              <w:spacing w:before="4" w:line="203" w:lineRule="exact"/>
              <w:ind w:right="113"/>
              <w:jc w:val="right"/>
              <w:rPr>
                <w:sz w:val="18"/>
              </w:rPr>
            </w:pPr>
            <w:r>
              <w:rPr>
                <w:w w:val="105"/>
                <w:sz w:val="18"/>
              </w:rPr>
              <w:t>57.2</w:t>
            </w:r>
          </w:p>
        </w:tc>
        <w:tc>
          <w:tcPr>
            <w:tcW w:w="680" w:type="dxa"/>
            <w:tcBorders>
              <w:top w:val="single" w:sz="4" w:space="0" w:color="2C398A"/>
              <w:bottom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66.9</w:t>
            </w:r>
          </w:p>
        </w:tc>
      </w:tr>
      <w:tr w:rsidR="00A56FE9">
        <w:trPr>
          <w:trHeight w:val="340"/>
        </w:trPr>
        <w:tc>
          <w:tcPr>
            <w:tcW w:w="14020" w:type="dxa"/>
            <w:gridSpan w:val="6"/>
            <w:tcBorders>
              <w:top w:val="single" w:sz="4" w:space="0" w:color="2C398A"/>
              <w:left w:val="nil"/>
              <w:bottom w:val="single" w:sz="4" w:space="0" w:color="2C398A"/>
              <w:right w:val="nil"/>
            </w:tcBorders>
          </w:tcPr>
          <w:p w:rsidR="00A56FE9" w:rsidRDefault="00000000">
            <w:pPr>
              <w:pStyle w:val="TableParagraph"/>
              <w:spacing w:before="67"/>
              <w:ind w:left="71"/>
              <w:rPr>
                <w:b/>
                <w:sz w:val="18"/>
              </w:rPr>
            </w:pPr>
            <w:r>
              <w:rPr>
                <w:b/>
                <w:color w:val="2C398A"/>
                <w:w w:val="105"/>
                <w:sz w:val="18"/>
              </w:rPr>
              <w:t>Goal</w:t>
            </w:r>
            <w:r>
              <w:rPr>
                <w:b/>
                <w:color w:val="2C398A"/>
                <w:spacing w:val="-6"/>
                <w:w w:val="105"/>
                <w:sz w:val="18"/>
              </w:rPr>
              <w:t xml:space="preserve"> </w:t>
            </w:r>
            <w:r>
              <w:rPr>
                <w:b/>
                <w:color w:val="2C398A"/>
                <w:w w:val="105"/>
                <w:sz w:val="18"/>
              </w:rPr>
              <w:t>11</w:t>
            </w:r>
            <w:r>
              <w:rPr>
                <w:b/>
                <w:color w:val="2C398A"/>
                <w:spacing w:val="-1"/>
                <w:w w:val="105"/>
                <w:sz w:val="18"/>
              </w:rPr>
              <w:t xml:space="preserve"> </w:t>
            </w:r>
            <w:r>
              <w:rPr>
                <w:b/>
                <w:color w:val="2C398A"/>
                <w:w w:val="105"/>
                <w:sz w:val="18"/>
              </w:rPr>
              <w:t>-</w:t>
            </w:r>
            <w:r>
              <w:rPr>
                <w:b/>
                <w:color w:val="2C398A"/>
                <w:spacing w:val="-4"/>
                <w:w w:val="105"/>
                <w:sz w:val="18"/>
              </w:rPr>
              <w:t xml:space="preserve"> </w:t>
            </w:r>
            <w:r>
              <w:rPr>
                <w:b/>
                <w:color w:val="2C398A"/>
                <w:w w:val="105"/>
                <w:sz w:val="18"/>
              </w:rPr>
              <w:t>Sustainable</w:t>
            </w:r>
            <w:r>
              <w:rPr>
                <w:b/>
                <w:color w:val="2C398A"/>
                <w:spacing w:val="-4"/>
                <w:w w:val="105"/>
                <w:sz w:val="18"/>
              </w:rPr>
              <w:t xml:space="preserve"> </w:t>
            </w:r>
            <w:r>
              <w:rPr>
                <w:b/>
                <w:color w:val="2C398A"/>
                <w:w w:val="105"/>
                <w:sz w:val="18"/>
              </w:rPr>
              <w:t>cities</w:t>
            </w:r>
            <w:r>
              <w:rPr>
                <w:b/>
                <w:color w:val="2C398A"/>
                <w:spacing w:val="-4"/>
                <w:w w:val="105"/>
                <w:sz w:val="18"/>
              </w:rPr>
              <w:t xml:space="preserve"> </w:t>
            </w:r>
            <w:r>
              <w:rPr>
                <w:b/>
                <w:color w:val="2C398A"/>
                <w:w w:val="105"/>
                <w:sz w:val="18"/>
              </w:rPr>
              <w:t>and</w:t>
            </w:r>
            <w:r>
              <w:rPr>
                <w:b/>
                <w:color w:val="2C398A"/>
                <w:spacing w:val="-5"/>
                <w:w w:val="105"/>
                <w:sz w:val="18"/>
              </w:rPr>
              <w:t xml:space="preserve"> </w:t>
            </w:r>
            <w:r>
              <w:rPr>
                <w:b/>
                <w:color w:val="2C398A"/>
                <w:w w:val="105"/>
                <w:sz w:val="18"/>
              </w:rPr>
              <w:t>communities</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w w:val="105"/>
                <w:sz w:val="18"/>
              </w:rPr>
              <w:t>Overcrowding</w:t>
            </w:r>
            <w:r>
              <w:rPr>
                <w:spacing w:val="-5"/>
                <w:w w:val="105"/>
                <w:sz w:val="18"/>
              </w:rPr>
              <w:t xml:space="preserve"> </w:t>
            </w:r>
            <w:r>
              <w:rPr>
                <w:w w:val="105"/>
                <w:sz w:val="18"/>
              </w:rPr>
              <w:t>rate</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3"/>
              <w:jc w:val="right"/>
              <w:rPr>
                <w:sz w:val="18"/>
              </w:rPr>
            </w:pPr>
            <w:r>
              <w:rPr>
                <w:w w:val="105"/>
                <w:sz w:val="18"/>
              </w:rPr>
              <w:t>42.8</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4"/>
              <w:jc w:val="right"/>
              <w:rPr>
                <w:sz w:val="18"/>
              </w:rPr>
            </w:pPr>
            <w:r>
              <w:rPr>
                <w:w w:val="105"/>
                <w:sz w:val="18"/>
              </w:rPr>
              <w:t>36.2</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w w:val="105"/>
                <w:sz w:val="18"/>
              </w:rPr>
              <w:t>Population</w:t>
            </w:r>
            <w:r>
              <w:rPr>
                <w:spacing w:val="-4"/>
                <w:w w:val="105"/>
                <w:sz w:val="18"/>
              </w:rPr>
              <w:t xml:space="preserve"> </w:t>
            </w:r>
            <w:r>
              <w:rPr>
                <w:w w:val="105"/>
                <w:sz w:val="18"/>
              </w:rPr>
              <w:t>living</w:t>
            </w:r>
            <w:r>
              <w:rPr>
                <w:spacing w:val="-5"/>
                <w:w w:val="105"/>
                <w:sz w:val="18"/>
              </w:rPr>
              <w:t xml:space="preserve"> </w:t>
            </w:r>
            <w:r>
              <w:rPr>
                <w:w w:val="105"/>
                <w:sz w:val="18"/>
              </w:rPr>
              <w:t>in</w:t>
            </w:r>
            <w:r>
              <w:rPr>
                <w:spacing w:val="-5"/>
                <w:w w:val="105"/>
                <w:sz w:val="18"/>
              </w:rPr>
              <w:t xml:space="preserve"> </w:t>
            </w:r>
            <w:r>
              <w:rPr>
                <w:w w:val="105"/>
                <w:sz w:val="18"/>
              </w:rPr>
              <w:t>households</w:t>
            </w:r>
            <w:r>
              <w:rPr>
                <w:spacing w:val="-5"/>
                <w:w w:val="105"/>
                <w:sz w:val="18"/>
              </w:rPr>
              <w:t xml:space="preserve"> </w:t>
            </w:r>
            <w:r>
              <w:rPr>
                <w:w w:val="105"/>
                <w:sz w:val="18"/>
              </w:rPr>
              <w:t>considering</w:t>
            </w:r>
            <w:r>
              <w:rPr>
                <w:spacing w:val="-4"/>
                <w:w w:val="105"/>
                <w:sz w:val="18"/>
              </w:rPr>
              <w:t xml:space="preserve"> </w:t>
            </w:r>
            <w:r>
              <w:rPr>
                <w:w w:val="105"/>
                <w:sz w:val="18"/>
              </w:rPr>
              <w:t>that</w:t>
            </w:r>
            <w:r>
              <w:rPr>
                <w:spacing w:val="-5"/>
                <w:w w:val="105"/>
                <w:sz w:val="18"/>
              </w:rPr>
              <w:t xml:space="preserve"> </w:t>
            </w:r>
            <w:r>
              <w:rPr>
                <w:w w:val="105"/>
                <w:sz w:val="18"/>
              </w:rPr>
              <w:t>they</w:t>
            </w:r>
            <w:r>
              <w:rPr>
                <w:spacing w:val="-3"/>
                <w:w w:val="105"/>
                <w:sz w:val="18"/>
              </w:rPr>
              <w:t xml:space="preserve"> </w:t>
            </w:r>
            <w:r>
              <w:rPr>
                <w:w w:val="105"/>
                <w:sz w:val="18"/>
              </w:rPr>
              <w:t>suffer</w:t>
            </w:r>
            <w:r>
              <w:rPr>
                <w:spacing w:val="-5"/>
                <w:w w:val="105"/>
                <w:sz w:val="18"/>
              </w:rPr>
              <w:t xml:space="preserve"> </w:t>
            </w:r>
            <w:r>
              <w:rPr>
                <w:w w:val="105"/>
                <w:sz w:val="18"/>
              </w:rPr>
              <w:t>from</w:t>
            </w:r>
            <w:r>
              <w:rPr>
                <w:spacing w:val="-6"/>
                <w:w w:val="105"/>
                <w:sz w:val="18"/>
              </w:rPr>
              <w:t xml:space="preserve"> </w:t>
            </w:r>
            <w:r>
              <w:rPr>
                <w:w w:val="105"/>
                <w:sz w:val="18"/>
              </w:rPr>
              <w:t>noise</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8"/>
              <w:jc w:val="center"/>
              <w:rPr>
                <w:sz w:val="18"/>
              </w:rPr>
            </w:pPr>
            <w:r>
              <w:rPr>
                <w:w w:val="105"/>
                <w:sz w:val="18"/>
              </w:rPr>
              <w:t>%</w:t>
            </w:r>
            <w:r>
              <w:rPr>
                <w:spacing w:val="-1"/>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10.0</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8.1</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w w:val="105"/>
                <w:sz w:val="18"/>
              </w:rPr>
              <w:t>Settlement</w:t>
            </w:r>
            <w:r>
              <w:rPr>
                <w:spacing w:val="-12"/>
                <w:w w:val="105"/>
                <w:sz w:val="18"/>
              </w:rPr>
              <w:t xml:space="preserve"> </w:t>
            </w:r>
            <w:r>
              <w:rPr>
                <w:w w:val="105"/>
                <w:sz w:val="18"/>
              </w:rPr>
              <w:t>area</w:t>
            </w:r>
            <w:r>
              <w:rPr>
                <w:spacing w:val="-11"/>
                <w:w w:val="105"/>
                <w:sz w:val="18"/>
              </w:rPr>
              <w:t xml:space="preserve"> </w:t>
            </w:r>
            <w:r>
              <w:rPr>
                <w:w w:val="105"/>
                <w:sz w:val="18"/>
              </w:rPr>
              <w:t>per</w:t>
            </w:r>
            <w:r>
              <w:rPr>
                <w:spacing w:val="-7"/>
                <w:w w:val="105"/>
                <w:sz w:val="18"/>
              </w:rPr>
              <w:t xml:space="preserve"> </w:t>
            </w:r>
            <w:r>
              <w:rPr>
                <w:w w:val="105"/>
                <w:sz w:val="18"/>
              </w:rPr>
              <w:t>capita</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5"/>
              <w:jc w:val="center"/>
              <w:rPr>
                <w:sz w:val="18"/>
              </w:rPr>
            </w:pPr>
            <w:r>
              <w:rPr>
                <w:w w:val="105"/>
                <w:sz w:val="18"/>
              </w:rPr>
              <w:t>m</w:t>
            </w:r>
            <w:r>
              <w:rPr>
                <w:w w:val="105"/>
                <w:sz w:val="18"/>
                <w:vertAlign w:val="superscript"/>
              </w:rPr>
              <w:t>2</w:t>
            </w:r>
            <w:r>
              <w:rPr>
                <w:spacing w:val="-4"/>
                <w:w w:val="105"/>
                <w:sz w:val="18"/>
              </w:rPr>
              <w:t xml:space="preserve"> </w:t>
            </w:r>
            <w:r>
              <w:rPr>
                <w:w w:val="105"/>
                <w:sz w:val="18"/>
              </w:rPr>
              <w:t>per</w:t>
            </w:r>
            <w:r>
              <w:rPr>
                <w:spacing w:val="-2"/>
                <w:w w:val="105"/>
                <w:sz w:val="18"/>
              </w:rPr>
              <w:t xml:space="preserve"> </w:t>
            </w:r>
            <w:r>
              <w:rPr>
                <w:w w:val="105"/>
                <w:sz w:val="18"/>
              </w:rPr>
              <w:t>capita</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2015</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670.7</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2018</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722.5</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1"/>
                <w:w w:val="105"/>
                <w:sz w:val="18"/>
              </w:rPr>
              <w:t>Road</w:t>
            </w:r>
            <w:r>
              <w:rPr>
                <w:spacing w:val="-9"/>
                <w:w w:val="105"/>
                <w:sz w:val="18"/>
              </w:rPr>
              <w:t xml:space="preserve"> </w:t>
            </w:r>
            <w:r>
              <w:rPr>
                <w:spacing w:val="-1"/>
                <w:w w:val="105"/>
                <w:sz w:val="18"/>
              </w:rPr>
              <w:t>traffic</w:t>
            </w:r>
            <w:r>
              <w:rPr>
                <w:spacing w:val="-10"/>
                <w:w w:val="105"/>
                <w:sz w:val="18"/>
              </w:rPr>
              <w:t xml:space="preserve"> </w:t>
            </w:r>
            <w:r>
              <w:rPr>
                <w:spacing w:val="-1"/>
                <w:w w:val="105"/>
                <w:sz w:val="18"/>
              </w:rPr>
              <w:t>deaths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7"/>
              <w:jc w:val="center"/>
              <w:rPr>
                <w:sz w:val="18"/>
              </w:rPr>
            </w:pPr>
            <w:r>
              <w:rPr>
                <w:w w:val="105"/>
                <w:sz w:val="18"/>
              </w:rPr>
              <w:t>number</w:t>
            </w:r>
            <w:r>
              <w:rPr>
                <w:spacing w:val="-8"/>
                <w:w w:val="105"/>
                <w:sz w:val="18"/>
              </w:rPr>
              <w:t xml:space="preserve"> </w:t>
            </w:r>
            <w:r>
              <w:rPr>
                <w:w w:val="105"/>
                <w:sz w:val="18"/>
              </w:rPr>
              <w:t>of</w:t>
            </w:r>
            <w:r>
              <w:rPr>
                <w:spacing w:val="-9"/>
                <w:w w:val="105"/>
                <w:sz w:val="18"/>
              </w:rPr>
              <w:t xml:space="preserve"> </w:t>
            </w:r>
            <w:r>
              <w:rPr>
                <w:w w:val="105"/>
                <w:sz w:val="18"/>
              </w:rPr>
              <w:t>deaths</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3"/>
              <w:jc w:val="right"/>
              <w:rPr>
                <w:sz w:val="18"/>
              </w:rPr>
            </w:pPr>
            <w:r>
              <w:rPr>
                <w:w w:val="105"/>
                <w:sz w:val="18"/>
              </w:rPr>
              <w:t>368</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3"/>
              <w:jc w:val="right"/>
              <w:rPr>
                <w:sz w:val="18"/>
              </w:rPr>
            </w:pPr>
            <w:r>
              <w:rPr>
                <w:w w:val="105"/>
                <w:sz w:val="18"/>
              </w:rPr>
              <w:t>297</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w w:val="105"/>
                <w:sz w:val="18"/>
              </w:rPr>
              <w:t>Exposure</w:t>
            </w:r>
            <w:r>
              <w:rPr>
                <w:spacing w:val="-11"/>
                <w:w w:val="105"/>
                <w:sz w:val="18"/>
              </w:rPr>
              <w:t xml:space="preserve"> </w:t>
            </w:r>
            <w:r>
              <w:rPr>
                <w:w w:val="105"/>
                <w:sz w:val="18"/>
              </w:rPr>
              <w:t>to</w:t>
            </w:r>
            <w:r>
              <w:rPr>
                <w:spacing w:val="-8"/>
                <w:w w:val="105"/>
                <w:sz w:val="18"/>
              </w:rPr>
              <w:t xml:space="preserve"> </w:t>
            </w:r>
            <w:r>
              <w:rPr>
                <w:w w:val="105"/>
                <w:sz w:val="18"/>
              </w:rPr>
              <w:t>air</w:t>
            </w:r>
            <w:r>
              <w:rPr>
                <w:spacing w:val="-10"/>
                <w:w w:val="105"/>
                <w:sz w:val="18"/>
              </w:rPr>
              <w:t xml:space="preserve"> </w:t>
            </w:r>
            <w:r>
              <w:rPr>
                <w:w w:val="105"/>
                <w:sz w:val="18"/>
              </w:rPr>
              <w:t>pollution</w:t>
            </w:r>
            <w:r>
              <w:rPr>
                <w:spacing w:val="-11"/>
                <w:w w:val="105"/>
                <w:sz w:val="18"/>
              </w:rPr>
              <w:t xml:space="preserve"> </w:t>
            </w:r>
            <w:r>
              <w:rPr>
                <w:w w:val="105"/>
                <w:sz w:val="18"/>
              </w:rPr>
              <w:t>by</w:t>
            </w:r>
            <w:r>
              <w:rPr>
                <w:spacing w:val="-8"/>
                <w:w w:val="105"/>
                <w:sz w:val="18"/>
              </w:rPr>
              <w:t xml:space="preserve"> </w:t>
            </w:r>
            <w:r>
              <w:rPr>
                <w:w w:val="105"/>
                <w:sz w:val="18"/>
              </w:rPr>
              <w:t>particulate</w:t>
            </w:r>
            <w:r>
              <w:rPr>
                <w:spacing w:val="-10"/>
                <w:w w:val="105"/>
                <w:sz w:val="18"/>
              </w:rPr>
              <w:t xml:space="preserve"> </w:t>
            </w:r>
            <w:r>
              <w:rPr>
                <w:w w:val="105"/>
                <w:sz w:val="18"/>
              </w:rPr>
              <w:t>matter</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65"/>
              <w:jc w:val="center"/>
              <w:rPr>
                <w:sz w:val="18"/>
              </w:rPr>
            </w:pPr>
            <w:r>
              <w:rPr>
                <w:w w:val="105"/>
                <w:sz w:val="18"/>
              </w:rPr>
              <w:t>particles</w:t>
            </w:r>
            <w:r>
              <w:rPr>
                <w:spacing w:val="-2"/>
                <w:w w:val="105"/>
                <w:sz w:val="18"/>
              </w:rPr>
              <w:t xml:space="preserve"> </w:t>
            </w:r>
            <w:r>
              <w:rPr>
                <w:w w:val="105"/>
                <w:sz w:val="18"/>
              </w:rPr>
              <w:t>&lt;</w:t>
            </w:r>
            <w:r>
              <w:rPr>
                <w:spacing w:val="-2"/>
                <w:w w:val="105"/>
                <w:sz w:val="18"/>
              </w:rPr>
              <w:t xml:space="preserve"> </w:t>
            </w:r>
            <w:r>
              <w:rPr>
                <w:w w:val="105"/>
                <w:sz w:val="18"/>
              </w:rPr>
              <w:t>2.5</w:t>
            </w:r>
            <w:r>
              <w:rPr>
                <w:spacing w:val="-2"/>
                <w:w w:val="105"/>
                <w:sz w:val="18"/>
              </w:rPr>
              <w:t xml:space="preserve"> </w:t>
            </w:r>
            <w:r>
              <w:rPr>
                <w:w w:val="105"/>
                <w:sz w:val="18"/>
              </w:rPr>
              <w:t>µm</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3"/>
              <w:jc w:val="right"/>
              <w:rPr>
                <w:sz w:val="18"/>
              </w:rPr>
            </w:pPr>
            <w:r>
              <w:rPr>
                <w:w w:val="105"/>
                <w:sz w:val="18"/>
              </w:rPr>
              <w:t>21.9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3"/>
              <w:jc w:val="right"/>
              <w:rPr>
                <w:sz w:val="18"/>
              </w:rPr>
            </w:pPr>
            <w:r>
              <w:rPr>
                <w:w w:val="105"/>
                <w:sz w:val="18"/>
              </w:rPr>
              <w:t>16</w:t>
            </w:r>
          </w:p>
        </w:tc>
      </w:tr>
      <w:tr w:rsidR="00A56FE9">
        <w:trPr>
          <w:trHeight w:val="228"/>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1"/>
                <w:w w:val="105"/>
                <w:sz w:val="18"/>
              </w:rPr>
              <w:t>Recycling</w:t>
            </w:r>
            <w:r>
              <w:rPr>
                <w:spacing w:val="-11"/>
                <w:w w:val="105"/>
                <w:sz w:val="18"/>
              </w:rPr>
              <w:t xml:space="preserve"> </w:t>
            </w:r>
            <w:r>
              <w:rPr>
                <w:spacing w:val="-1"/>
                <w:w w:val="105"/>
                <w:sz w:val="18"/>
              </w:rPr>
              <w:t>rate</w:t>
            </w:r>
            <w:r>
              <w:rPr>
                <w:spacing w:val="-10"/>
                <w:w w:val="105"/>
                <w:sz w:val="18"/>
              </w:rPr>
              <w:t xml:space="preserve"> </w:t>
            </w:r>
            <w:r>
              <w:rPr>
                <w:spacing w:val="-1"/>
                <w:w w:val="105"/>
                <w:sz w:val="18"/>
              </w:rPr>
              <w:t>of</w:t>
            </w:r>
            <w:r>
              <w:rPr>
                <w:spacing w:val="-9"/>
                <w:w w:val="105"/>
                <w:sz w:val="18"/>
              </w:rPr>
              <w:t xml:space="preserve"> </w:t>
            </w:r>
            <w:r>
              <w:rPr>
                <w:spacing w:val="-1"/>
                <w:w w:val="105"/>
                <w:sz w:val="18"/>
              </w:rPr>
              <w:t>municipal</w:t>
            </w:r>
            <w:r>
              <w:rPr>
                <w:spacing w:val="-9"/>
                <w:w w:val="105"/>
                <w:sz w:val="18"/>
              </w:rPr>
              <w:t xml:space="preserve"> </w:t>
            </w:r>
            <w:r>
              <w:rPr>
                <w:spacing w:val="-1"/>
                <w:w w:val="105"/>
                <w:sz w:val="18"/>
              </w:rPr>
              <w:t>waste</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5"/>
              <w:jc w:val="center"/>
              <w:rPr>
                <w:sz w:val="18"/>
              </w:rPr>
            </w:pPr>
            <w:r>
              <w:rPr>
                <w:w w:val="105"/>
                <w:sz w:val="18"/>
              </w:rPr>
              <w:t>%</w:t>
            </w:r>
            <w:r>
              <w:rPr>
                <w:spacing w:val="-10"/>
                <w:w w:val="105"/>
                <w:sz w:val="18"/>
              </w:rPr>
              <w:t xml:space="preserve"> </w:t>
            </w:r>
            <w:r>
              <w:rPr>
                <w:w w:val="105"/>
                <w:sz w:val="18"/>
              </w:rPr>
              <w:t>total</w:t>
            </w:r>
            <w:r>
              <w:rPr>
                <w:spacing w:val="-5"/>
                <w:w w:val="105"/>
                <w:sz w:val="18"/>
              </w:rPr>
              <w:t xml:space="preserve"> </w:t>
            </w:r>
            <w:r>
              <w:rPr>
                <w:w w:val="105"/>
                <w:sz w:val="18"/>
              </w:rPr>
              <w:t>generated</w:t>
            </w:r>
            <w:r>
              <w:rPr>
                <w:spacing w:val="-2"/>
                <w:w w:val="105"/>
                <w:sz w:val="18"/>
              </w:rPr>
              <w:t xml:space="preserve"> </w:t>
            </w:r>
            <w:r>
              <w:rPr>
                <w:w w:val="105"/>
                <w:sz w:val="18"/>
              </w:rPr>
              <w:t>waste</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14.9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34.3</w:t>
            </w:r>
          </w:p>
        </w:tc>
      </w:tr>
      <w:tr w:rsidR="00A56FE9">
        <w:trPr>
          <w:trHeight w:val="414"/>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line="202" w:lineRule="exact"/>
              <w:ind w:left="71"/>
              <w:rPr>
                <w:sz w:val="18"/>
              </w:rPr>
            </w:pPr>
            <w:r>
              <w:rPr>
                <w:w w:val="105"/>
                <w:sz w:val="18"/>
              </w:rPr>
              <w:t>Population</w:t>
            </w:r>
            <w:r>
              <w:rPr>
                <w:spacing w:val="-1"/>
                <w:w w:val="105"/>
                <w:sz w:val="18"/>
              </w:rPr>
              <w:t xml:space="preserve"> </w:t>
            </w:r>
            <w:r>
              <w:rPr>
                <w:w w:val="105"/>
                <w:sz w:val="18"/>
              </w:rPr>
              <w:t>living</w:t>
            </w:r>
            <w:r>
              <w:rPr>
                <w:spacing w:val="-1"/>
                <w:w w:val="105"/>
                <w:sz w:val="18"/>
              </w:rPr>
              <w:t xml:space="preserve"> </w:t>
            </w:r>
            <w:r>
              <w:rPr>
                <w:w w:val="105"/>
                <w:sz w:val="18"/>
              </w:rPr>
              <w:t>in a</w:t>
            </w:r>
            <w:r>
              <w:rPr>
                <w:spacing w:val="-5"/>
                <w:w w:val="105"/>
                <w:sz w:val="18"/>
              </w:rPr>
              <w:t xml:space="preserve"> </w:t>
            </w:r>
            <w:r>
              <w:rPr>
                <w:w w:val="105"/>
                <w:sz w:val="18"/>
              </w:rPr>
              <w:t>dwelling</w:t>
            </w:r>
            <w:r>
              <w:rPr>
                <w:spacing w:val="2"/>
                <w:w w:val="105"/>
                <w:sz w:val="18"/>
              </w:rPr>
              <w:t xml:space="preserve"> </w:t>
            </w:r>
            <w:r>
              <w:rPr>
                <w:w w:val="105"/>
                <w:sz w:val="18"/>
              </w:rPr>
              <w:t>with</w:t>
            </w:r>
            <w:r>
              <w:rPr>
                <w:spacing w:val="-1"/>
                <w:w w:val="105"/>
                <w:sz w:val="18"/>
              </w:rPr>
              <w:t xml:space="preserve"> </w:t>
            </w:r>
            <w:r>
              <w:rPr>
                <w:w w:val="105"/>
                <w:sz w:val="18"/>
              </w:rPr>
              <w:t>a</w:t>
            </w:r>
            <w:r>
              <w:rPr>
                <w:spacing w:val="-2"/>
                <w:w w:val="105"/>
                <w:sz w:val="18"/>
              </w:rPr>
              <w:t xml:space="preserve"> </w:t>
            </w:r>
            <w:r>
              <w:rPr>
                <w:w w:val="105"/>
                <w:sz w:val="18"/>
              </w:rPr>
              <w:t>leaking</w:t>
            </w:r>
            <w:r>
              <w:rPr>
                <w:spacing w:val="-3"/>
                <w:w w:val="105"/>
                <w:sz w:val="18"/>
              </w:rPr>
              <w:t xml:space="preserve"> </w:t>
            </w:r>
            <w:r>
              <w:rPr>
                <w:w w:val="105"/>
                <w:sz w:val="18"/>
              </w:rPr>
              <w:t>roof,</w:t>
            </w:r>
            <w:r>
              <w:rPr>
                <w:spacing w:val="-3"/>
                <w:w w:val="105"/>
                <w:sz w:val="18"/>
              </w:rPr>
              <w:t xml:space="preserve"> </w:t>
            </w:r>
            <w:r>
              <w:rPr>
                <w:w w:val="105"/>
                <w:sz w:val="18"/>
              </w:rPr>
              <w:t>damp</w:t>
            </w:r>
            <w:r>
              <w:rPr>
                <w:spacing w:val="-1"/>
                <w:w w:val="105"/>
                <w:sz w:val="18"/>
              </w:rPr>
              <w:t xml:space="preserve"> </w:t>
            </w:r>
            <w:r>
              <w:rPr>
                <w:w w:val="105"/>
                <w:sz w:val="18"/>
              </w:rPr>
              <w:t>walls,</w:t>
            </w:r>
            <w:r>
              <w:rPr>
                <w:spacing w:val="-2"/>
                <w:w w:val="105"/>
                <w:sz w:val="18"/>
              </w:rPr>
              <w:t xml:space="preserve"> </w:t>
            </w:r>
            <w:r>
              <w:rPr>
                <w:w w:val="105"/>
                <w:sz w:val="18"/>
              </w:rPr>
              <w:t>floors</w:t>
            </w:r>
            <w:r>
              <w:rPr>
                <w:spacing w:val="-3"/>
                <w:w w:val="105"/>
                <w:sz w:val="18"/>
              </w:rPr>
              <w:t xml:space="preserve"> </w:t>
            </w:r>
            <w:r>
              <w:rPr>
                <w:w w:val="105"/>
                <w:sz w:val="18"/>
              </w:rPr>
              <w:t>or</w:t>
            </w:r>
            <w:r>
              <w:rPr>
                <w:spacing w:val="-3"/>
                <w:w w:val="105"/>
                <w:sz w:val="18"/>
              </w:rPr>
              <w:t xml:space="preserve"> </w:t>
            </w:r>
            <w:r>
              <w:rPr>
                <w:w w:val="105"/>
                <w:sz w:val="18"/>
              </w:rPr>
              <w:t>foundation</w:t>
            </w:r>
          </w:p>
          <w:p w:rsidR="00A56FE9" w:rsidRDefault="00000000">
            <w:pPr>
              <w:pStyle w:val="TableParagraph"/>
              <w:spacing w:before="2" w:line="191" w:lineRule="exact"/>
              <w:ind w:left="71"/>
              <w:rPr>
                <w:sz w:val="18"/>
              </w:rPr>
            </w:pPr>
            <w:r>
              <w:rPr>
                <w:w w:val="105"/>
                <w:sz w:val="18"/>
              </w:rPr>
              <w:t>or</w:t>
            </w:r>
            <w:r>
              <w:rPr>
                <w:spacing w:val="-7"/>
                <w:w w:val="105"/>
                <w:sz w:val="18"/>
              </w:rPr>
              <w:t xml:space="preserve"> </w:t>
            </w:r>
            <w:r>
              <w:rPr>
                <w:w w:val="105"/>
                <w:sz w:val="18"/>
              </w:rPr>
              <w:t>rot</w:t>
            </w:r>
            <w:r>
              <w:rPr>
                <w:spacing w:val="-9"/>
                <w:w w:val="105"/>
                <w:sz w:val="18"/>
              </w:rPr>
              <w:t xml:space="preserve"> </w:t>
            </w:r>
            <w:r>
              <w:rPr>
                <w:w w:val="105"/>
                <w:sz w:val="18"/>
              </w:rPr>
              <w:t>in</w:t>
            </w:r>
            <w:r>
              <w:rPr>
                <w:spacing w:val="-5"/>
                <w:w w:val="105"/>
                <w:sz w:val="18"/>
              </w:rPr>
              <w:t xml:space="preserve"> </w:t>
            </w:r>
            <w:r>
              <w:rPr>
                <w:w w:val="105"/>
                <w:sz w:val="18"/>
              </w:rPr>
              <w:t>window</w:t>
            </w:r>
            <w:r>
              <w:rPr>
                <w:spacing w:val="-6"/>
                <w:w w:val="105"/>
                <w:sz w:val="18"/>
              </w:rPr>
              <w:t xml:space="preserve"> </w:t>
            </w:r>
            <w:r>
              <w:rPr>
                <w:w w:val="105"/>
                <w:sz w:val="18"/>
              </w:rPr>
              <w:t>frames</w:t>
            </w:r>
            <w:r>
              <w:rPr>
                <w:spacing w:val="-6"/>
                <w:w w:val="105"/>
                <w:sz w:val="18"/>
              </w:rPr>
              <w:t xml:space="preserve"> </w:t>
            </w:r>
            <w:r>
              <w:rPr>
                <w:w w:val="105"/>
                <w:sz w:val="18"/>
              </w:rPr>
              <w:t>of</w:t>
            </w:r>
            <w:r>
              <w:rPr>
                <w:spacing w:val="-7"/>
                <w:w w:val="105"/>
                <w:sz w:val="18"/>
              </w:rPr>
              <w:t xml:space="preserve"> </w:t>
            </w:r>
            <w:r>
              <w:rPr>
                <w:w w:val="105"/>
                <w:sz w:val="18"/>
              </w:rPr>
              <w:t>floor</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left="64" w:right="68"/>
              <w:jc w:val="center"/>
              <w:rPr>
                <w:sz w:val="18"/>
              </w:rPr>
            </w:pPr>
            <w:r>
              <w:rPr>
                <w:w w:val="105"/>
                <w:sz w:val="18"/>
              </w:rPr>
              <w:t>%</w:t>
            </w:r>
            <w:r>
              <w:rPr>
                <w:spacing w:val="-1"/>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right="113"/>
              <w:jc w:val="right"/>
              <w:rPr>
                <w:sz w:val="18"/>
              </w:rPr>
            </w:pPr>
            <w:r>
              <w:rPr>
                <w:w w:val="105"/>
                <w:sz w:val="18"/>
              </w:rPr>
              <w:t>13.1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100"/>
              <w:ind w:right="144"/>
              <w:jc w:val="right"/>
              <w:rPr>
                <w:sz w:val="18"/>
              </w:rPr>
            </w:pPr>
            <w:r>
              <w:rPr>
                <w:w w:val="105"/>
                <w:sz w:val="18"/>
              </w:rPr>
              <w:t>9.4</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z w:val="18"/>
              </w:rPr>
              <w:t>Population</w:t>
            </w:r>
            <w:r>
              <w:rPr>
                <w:spacing w:val="-5"/>
                <w:sz w:val="18"/>
              </w:rPr>
              <w:t xml:space="preserve"> </w:t>
            </w:r>
            <w:r>
              <w:rPr>
                <w:sz w:val="18"/>
              </w:rPr>
              <w:t>connected</w:t>
            </w:r>
            <w:r>
              <w:rPr>
                <w:spacing w:val="-5"/>
                <w:sz w:val="18"/>
              </w:rPr>
              <w:t xml:space="preserve"> </w:t>
            </w:r>
            <w:r>
              <w:rPr>
                <w:sz w:val="18"/>
              </w:rPr>
              <w:t>to</w:t>
            </w:r>
            <w:r>
              <w:rPr>
                <w:spacing w:val="-5"/>
                <w:sz w:val="18"/>
              </w:rPr>
              <w:t xml:space="preserve"> </w:t>
            </w:r>
            <w:r>
              <w:rPr>
                <w:sz w:val="18"/>
              </w:rPr>
              <w:t>at</w:t>
            </w:r>
            <w:r>
              <w:rPr>
                <w:spacing w:val="-6"/>
                <w:sz w:val="18"/>
              </w:rPr>
              <w:t xml:space="preserve"> </w:t>
            </w:r>
            <w:r>
              <w:rPr>
                <w:sz w:val="18"/>
              </w:rPr>
              <w:t>least</w:t>
            </w:r>
            <w:r>
              <w:rPr>
                <w:spacing w:val="-7"/>
                <w:sz w:val="18"/>
              </w:rPr>
              <w:t xml:space="preserve"> </w:t>
            </w:r>
            <w:r>
              <w:rPr>
                <w:sz w:val="18"/>
              </w:rPr>
              <w:t>secondary</w:t>
            </w:r>
            <w:r>
              <w:rPr>
                <w:spacing w:val="-5"/>
                <w:sz w:val="18"/>
              </w:rPr>
              <w:t xml:space="preserve"> </w:t>
            </w:r>
            <w:r>
              <w:rPr>
                <w:sz w:val="18"/>
              </w:rPr>
              <w:t>waste</w:t>
            </w:r>
            <w:r>
              <w:rPr>
                <w:spacing w:val="-7"/>
                <w:sz w:val="18"/>
              </w:rPr>
              <w:t xml:space="preserve"> </w:t>
            </w:r>
            <w:r>
              <w:rPr>
                <w:sz w:val="18"/>
              </w:rPr>
              <w:t>water</w:t>
            </w:r>
            <w:r>
              <w:rPr>
                <w:spacing w:val="-4"/>
                <w:sz w:val="18"/>
              </w:rPr>
              <w:t xml:space="preserve"> </w:t>
            </w:r>
            <w:r>
              <w:rPr>
                <w:sz w:val="18"/>
              </w:rPr>
              <w:t>treatment</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6"/>
              <w:jc w:val="center"/>
              <w:rPr>
                <w:sz w:val="18"/>
              </w:rPr>
            </w:pPr>
            <w:r>
              <w:rPr>
                <w:w w:val="105"/>
                <w:sz w:val="18"/>
              </w:rPr>
              <w:t>%</w:t>
            </w:r>
            <w:r>
              <w:rPr>
                <w:spacing w:val="-2"/>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3"/>
              <w:jc w:val="right"/>
              <w:rPr>
                <w:sz w:val="18"/>
              </w:rPr>
            </w:pPr>
            <w:r>
              <w:rPr>
                <w:w w:val="105"/>
                <w:sz w:val="18"/>
              </w:rPr>
              <w:t>36.9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2018</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36.9</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spacing w:val="-2"/>
                <w:w w:val="105"/>
                <w:sz w:val="18"/>
              </w:rPr>
              <w:t>Share</w:t>
            </w:r>
            <w:r>
              <w:rPr>
                <w:spacing w:val="-8"/>
                <w:w w:val="105"/>
                <w:sz w:val="18"/>
              </w:rPr>
              <w:t xml:space="preserve"> </w:t>
            </w:r>
            <w:r>
              <w:rPr>
                <w:spacing w:val="-1"/>
                <w:w w:val="105"/>
                <w:sz w:val="18"/>
              </w:rPr>
              <w:t>of</w:t>
            </w:r>
            <w:r>
              <w:rPr>
                <w:spacing w:val="-10"/>
                <w:w w:val="105"/>
                <w:sz w:val="18"/>
              </w:rPr>
              <w:t xml:space="preserve"> </w:t>
            </w:r>
            <w:r>
              <w:rPr>
                <w:spacing w:val="-1"/>
                <w:w w:val="105"/>
                <w:sz w:val="18"/>
              </w:rPr>
              <w:t>buses</w:t>
            </w:r>
            <w:r>
              <w:rPr>
                <w:spacing w:val="-10"/>
                <w:w w:val="105"/>
                <w:sz w:val="18"/>
              </w:rPr>
              <w:t xml:space="preserve"> </w:t>
            </w:r>
            <w:r>
              <w:rPr>
                <w:spacing w:val="-1"/>
                <w:w w:val="105"/>
                <w:sz w:val="18"/>
              </w:rPr>
              <w:t>and</w:t>
            </w:r>
            <w:r>
              <w:rPr>
                <w:spacing w:val="-8"/>
                <w:w w:val="105"/>
                <w:sz w:val="18"/>
              </w:rPr>
              <w:t xml:space="preserve"> </w:t>
            </w:r>
            <w:r>
              <w:rPr>
                <w:spacing w:val="-1"/>
                <w:w w:val="105"/>
                <w:sz w:val="18"/>
              </w:rPr>
              <w:t>trains</w:t>
            </w:r>
            <w:r>
              <w:rPr>
                <w:spacing w:val="-8"/>
                <w:w w:val="105"/>
                <w:sz w:val="18"/>
              </w:rPr>
              <w:t xml:space="preserve"> </w:t>
            </w:r>
            <w:r>
              <w:rPr>
                <w:spacing w:val="-1"/>
                <w:w w:val="105"/>
                <w:sz w:val="18"/>
              </w:rPr>
              <w:t>in</w:t>
            </w:r>
            <w:r>
              <w:rPr>
                <w:spacing w:val="-7"/>
                <w:w w:val="105"/>
                <w:sz w:val="18"/>
              </w:rPr>
              <w:t xml:space="preserve"> </w:t>
            </w:r>
            <w:r>
              <w:rPr>
                <w:spacing w:val="-1"/>
                <w:w w:val="105"/>
                <w:sz w:val="18"/>
              </w:rPr>
              <w:t>total</w:t>
            </w:r>
            <w:r>
              <w:rPr>
                <w:spacing w:val="-9"/>
                <w:w w:val="105"/>
                <w:sz w:val="18"/>
              </w:rPr>
              <w:t xml:space="preserve"> </w:t>
            </w:r>
            <w:r>
              <w:rPr>
                <w:spacing w:val="-1"/>
                <w:w w:val="105"/>
                <w:sz w:val="18"/>
              </w:rPr>
              <w:t>passenger</w:t>
            </w:r>
            <w:r>
              <w:rPr>
                <w:spacing w:val="-7"/>
                <w:w w:val="105"/>
                <w:sz w:val="18"/>
              </w:rPr>
              <w:t xml:space="preserve"> </w:t>
            </w:r>
            <w:r>
              <w:rPr>
                <w:spacing w:val="-1"/>
                <w:w w:val="105"/>
                <w:sz w:val="18"/>
              </w:rPr>
              <w:t>transport</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68"/>
              <w:jc w:val="center"/>
              <w:rPr>
                <w:sz w:val="18"/>
              </w:rPr>
            </w:pPr>
            <w:r>
              <w:rPr>
                <w:spacing w:val="-1"/>
                <w:w w:val="105"/>
                <w:sz w:val="18"/>
              </w:rPr>
              <w:t>%</w:t>
            </w:r>
            <w:r>
              <w:rPr>
                <w:spacing w:val="-4"/>
                <w:w w:val="105"/>
                <w:sz w:val="18"/>
              </w:rPr>
              <w:t xml:space="preserve"> </w:t>
            </w:r>
            <w:r>
              <w:rPr>
                <w:spacing w:val="-1"/>
                <w:w w:val="105"/>
                <w:sz w:val="18"/>
              </w:rPr>
              <w:t>total</w:t>
            </w:r>
            <w:r>
              <w:rPr>
                <w:spacing w:val="-8"/>
                <w:w w:val="105"/>
                <w:sz w:val="18"/>
              </w:rPr>
              <w:t xml:space="preserve"> </w:t>
            </w:r>
            <w:r>
              <w:rPr>
                <w:spacing w:val="-1"/>
                <w:w w:val="105"/>
                <w:sz w:val="18"/>
              </w:rPr>
              <w:t>land</w:t>
            </w:r>
            <w:r>
              <w:rPr>
                <w:spacing w:val="-7"/>
                <w:w w:val="105"/>
                <w:sz w:val="18"/>
              </w:rPr>
              <w:t xml:space="preserve"> </w:t>
            </w:r>
            <w:r>
              <w:rPr>
                <w:spacing w:val="-1"/>
                <w:w w:val="105"/>
                <w:sz w:val="18"/>
              </w:rPr>
              <w:t>transport</w:t>
            </w:r>
            <w:r>
              <w:rPr>
                <w:spacing w:val="-7"/>
                <w:w w:val="105"/>
                <w:sz w:val="18"/>
              </w:rPr>
              <w:t xml:space="preserve"> </w:t>
            </w:r>
            <w:r>
              <w:rPr>
                <w:spacing w:val="-1"/>
                <w:w w:val="105"/>
                <w:sz w:val="18"/>
              </w:rPr>
              <w:t>–</w:t>
            </w:r>
            <w:r>
              <w:rPr>
                <w:spacing w:val="-10"/>
                <w:w w:val="105"/>
                <w:sz w:val="18"/>
              </w:rPr>
              <w:t xml:space="preserve"> </w:t>
            </w:r>
            <w:r>
              <w:rPr>
                <w:spacing w:val="-1"/>
                <w:w w:val="105"/>
                <w:sz w:val="18"/>
              </w:rPr>
              <w:t>passenger-kilometres</w:t>
            </w:r>
            <w:r>
              <w:rPr>
                <w:spacing w:val="-6"/>
                <w:w w:val="105"/>
                <w:sz w:val="18"/>
              </w:rPr>
              <w:t xml:space="preserve"> </w:t>
            </w:r>
            <w:r>
              <w:rPr>
                <w:w w:val="105"/>
                <w:sz w:val="18"/>
              </w:rPr>
              <w:t>(PKM)</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3"/>
              <w:jc w:val="right"/>
              <w:rPr>
                <w:sz w:val="18"/>
              </w:rPr>
            </w:pPr>
            <w:r>
              <w:rPr>
                <w:w w:val="105"/>
                <w:sz w:val="18"/>
              </w:rPr>
              <w:t>14.5</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4"/>
              <w:jc w:val="right"/>
              <w:rPr>
                <w:sz w:val="18"/>
              </w:rPr>
            </w:pPr>
            <w:r>
              <w:rPr>
                <w:w w:val="105"/>
                <w:sz w:val="18"/>
              </w:rPr>
              <w:t>15.8</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2"/>
                <w:w w:val="105"/>
                <w:sz w:val="18"/>
              </w:rPr>
              <w:t>Population</w:t>
            </w:r>
            <w:r>
              <w:rPr>
                <w:spacing w:val="-10"/>
                <w:w w:val="105"/>
                <w:sz w:val="18"/>
              </w:rPr>
              <w:t xml:space="preserve"> </w:t>
            </w:r>
            <w:r>
              <w:rPr>
                <w:spacing w:val="-2"/>
                <w:w w:val="105"/>
                <w:sz w:val="18"/>
              </w:rPr>
              <w:t>reporting</w:t>
            </w:r>
            <w:r>
              <w:rPr>
                <w:spacing w:val="-9"/>
                <w:w w:val="105"/>
                <w:sz w:val="18"/>
              </w:rPr>
              <w:t xml:space="preserve"> </w:t>
            </w:r>
            <w:r>
              <w:rPr>
                <w:spacing w:val="-2"/>
                <w:w w:val="105"/>
                <w:sz w:val="18"/>
              </w:rPr>
              <w:t>occurrence</w:t>
            </w:r>
            <w:r>
              <w:rPr>
                <w:spacing w:val="-8"/>
                <w:w w:val="105"/>
                <w:sz w:val="18"/>
              </w:rPr>
              <w:t xml:space="preserve"> </w:t>
            </w:r>
            <w:r>
              <w:rPr>
                <w:spacing w:val="-1"/>
                <w:w w:val="105"/>
                <w:sz w:val="18"/>
              </w:rPr>
              <w:t>of</w:t>
            </w:r>
            <w:r>
              <w:rPr>
                <w:spacing w:val="-7"/>
                <w:w w:val="105"/>
                <w:sz w:val="18"/>
              </w:rPr>
              <w:t xml:space="preserve"> </w:t>
            </w:r>
            <w:r>
              <w:rPr>
                <w:spacing w:val="-1"/>
                <w:w w:val="105"/>
                <w:sz w:val="18"/>
              </w:rPr>
              <w:t>crime,</w:t>
            </w:r>
            <w:r>
              <w:rPr>
                <w:spacing w:val="-8"/>
                <w:w w:val="105"/>
                <w:sz w:val="18"/>
              </w:rPr>
              <w:t xml:space="preserve"> </w:t>
            </w:r>
            <w:r>
              <w:rPr>
                <w:spacing w:val="-1"/>
                <w:w w:val="105"/>
                <w:sz w:val="18"/>
              </w:rPr>
              <w:t>violence</w:t>
            </w:r>
            <w:r>
              <w:rPr>
                <w:spacing w:val="-9"/>
                <w:w w:val="105"/>
                <w:sz w:val="18"/>
              </w:rPr>
              <w:t xml:space="preserve"> </w:t>
            </w:r>
            <w:r>
              <w:rPr>
                <w:spacing w:val="-1"/>
                <w:w w:val="105"/>
                <w:sz w:val="18"/>
              </w:rPr>
              <w:t>or</w:t>
            </w:r>
            <w:r>
              <w:rPr>
                <w:spacing w:val="-6"/>
                <w:w w:val="105"/>
                <w:sz w:val="18"/>
              </w:rPr>
              <w:t xml:space="preserve"> </w:t>
            </w:r>
            <w:r>
              <w:rPr>
                <w:spacing w:val="-1"/>
                <w:w w:val="105"/>
                <w:sz w:val="18"/>
              </w:rPr>
              <w:t>vandalism</w:t>
            </w:r>
            <w:r>
              <w:rPr>
                <w:spacing w:val="-9"/>
                <w:w w:val="105"/>
                <w:sz w:val="18"/>
              </w:rPr>
              <w:t xml:space="preserve"> </w:t>
            </w:r>
            <w:r>
              <w:rPr>
                <w:spacing w:val="-1"/>
                <w:w w:val="105"/>
                <w:sz w:val="18"/>
              </w:rPr>
              <w:t>in</w:t>
            </w:r>
            <w:r>
              <w:rPr>
                <w:spacing w:val="-9"/>
                <w:w w:val="105"/>
                <w:sz w:val="18"/>
              </w:rPr>
              <w:t xml:space="preserve"> </w:t>
            </w:r>
            <w:r>
              <w:rPr>
                <w:spacing w:val="-1"/>
                <w:w w:val="105"/>
                <w:sz w:val="18"/>
              </w:rPr>
              <w:t>their</w:t>
            </w:r>
            <w:r>
              <w:rPr>
                <w:spacing w:val="-6"/>
                <w:w w:val="105"/>
                <w:sz w:val="18"/>
              </w:rPr>
              <w:t xml:space="preserve"> </w:t>
            </w:r>
            <w:r>
              <w:rPr>
                <w:spacing w:val="-1"/>
                <w:w w:val="105"/>
                <w:sz w:val="18"/>
              </w:rPr>
              <w:t>area</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6"/>
              <w:jc w:val="center"/>
              <w:rPr>
                <w:sz w:val="18"/>
              </w:rPr>
            </w:pPr>
            <w:r>
              <w:rPr>
                <w:w w:val="105"/>
                <w:sz w:val="18"/>
              </w:rPr>
              <w:t>%</w:t>
            </w:r>
            <w:r>
              <w:rPr>
                <w:spacing w:val="-2"/>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2.9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2.4</w:t>
            </w:r>
          </w:p>
        </w:tc>
      </w:tr>
      <w:tr w:rsidR="00A56FE9">
        <w:trPr>
          <w:trHeight w:val="340"/>
        </w:trPr>
        <w:tc>
          <w:tcPr>
            <w:tcW w:w="14020" w:type="dxa"/>
            <w:gridSpan w:val="6"/>
            <w:tcBorders>
              <w:top w:val="single" w:sz="4" w:space="0" w:color="2C398A"/>
              <w:left w:val="nil"/>
              <w:bottom w:val="single" w:sz="4" w:space="0" w:color="2C398A"/>
              <w:right w:val="nil"/>
            </w:tcBorders>
          </w:tcPr>
          <w:p w:rsidR="00A56FE9" w:rsidRDefault="00000000">
            <w:pPr>
              <w:pStyle w:val="TableParagraph"/>
              <w:spacing w:before="67"/>
              <w:ind w:left="71"/>
              <w:rPr>
                <w:b/>
                <w:sz w:val="18"/>
              </w:rPr>
            </w:pPr>
            <w:r>
              <w:rPr>
                <w:b/>
                <w:color w:val="2C398A"/>
                <w:w w:val="105"/>
                <w:sz w:val="18"/>
              </w:rPr>
              <w:t>Goal</w:t>
            </w:r>
            <w:r>
              <w:rPr>
                <w:b/>
                <w:color w:val="2C398A"/>
                <w:spacing w:val="-6"/>
                <w:w w:val="105"/>
                <w:sz w:val="18"/>
              </w:rPr>
              <w:t xml:space="preserve"> </w:t>
            </w:r>
            <w:r>
              <w:rPr>
                <w:b/>
                <w:color w:val="2C398A"/>
                <w:w w:val="105"/>
                <w:sz w:val="18"/>
              </w:rPr>
              <w:t>12</w:t>
            </w:r>
            <w:r>
              <w:rPr>
                <w:b/>
                <w:color w:val="2C398A"/>
                <w:spacing w:val="-3"/>
                <w:w w:val="105"/>
                <w:sz w:val="18"/>
              </w:rPr>
              <w:t xml:space="preserve"> </w:t>
            </w:r>
            <w:r>
              <w:rPr>
                <w:b/>
                <w:color w:val="2C398A"/>
                <w:w w:val="105"/>
                <w:sz w:val="18"/>
              </w:rPr>
              <w:t>-</w:t>
            </w:r>
            <w:r>
              <w:rPr>
                <w:b/>
                <w:color w:val="2C398A"/>
                <w:spacing w:val="-4"/>
                <w:w w:val="105"/>
                <w:sz w:val="18"/>
              </w:rPr>
              <w:t xml:space="preserve"> </w:t>
            </w:r>
            <w:r>
              <w:rPr>
                <w:b/>
                <w:color w:val="2C398A"/>
                <w:w w:val="105"/>
                <w:sz w:val="18"/>
              </w:rPr>
              <w:t>Responsible</w:t>
            </w:r>
            <w:r>
              <w:rPr>
                <w:b/>
                <w:color w:val="2C398A"/>
                <w:spacing w:val="-3"/>
                <w:w w:val="105"/>
                <w:sz w:val="18"/>
              </w:rPr>
              <w:t xml:space="preserve"> </w:t>
            </w:r>
            <w:r>
              <w:rPr>
                <w:b/>
                <w:color w:val="2C398A"/>
                <w:w w:val="105"/>
                <w:sz w:val="18"/>
              </w:rPr>
              <w:t>consumption</w:t>
            </w:r>
            <w:r>
              <w:rPr>
                <w:b/>
                <w:color w:val="2C398A"/>
                <w:spacing w:val="-5"/>
                <w:w w:val="105"/>
                <w:sz w:val="18"/>
              </w:rPr>
              <w:t xml:space="preserve"> </w:t>
            </w:r>
            <w:r>
              <w:rPr>
                <w:b/>
                <w:color w:val="2C398A"/>
                <w:w w:val="105"/>
                <w:sz w:val="18"/>
              </w:rPr>
              <w:t>and</w:t>
            </w:r>
            <w:r>
              <w:rPr>
                <w:b/>
                <w:color w:val="2C398A"/>
                <w:spacing w:val="-2"/>
                <w:w w:val="105"/>
                <w:sz w:val="18"/>
              </w:rPr>
              <w:t xml:space="preserve"> </w:t>
            </w:r>
            <w:r>
              <w:rPr>
                <w:b/>
                <w:color w:val="2C398A"/>
                <w:w w:val="105"/>
                <w:sz w:val="18"/>
              </w:rPr>
              <w:t>production</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w w:val="105"/>
                <w:sz w:val="18"/>
              </w:rPr>
              <w:t>Resource</w:t>
            </w:r>
            <w:r>
              <w:rPr>
                <w:spacing w:val="-8"/>
                <w:w w:val="105"/>
                <w:sz w:val="18"/>
              </w:rPr>
              <w:t xml:space="preserve"> </w:t>
            </w:r>
            <w:r>
              <w:rPr>
                <w:w w:val="105"/>
                <w:sz w:val="18"/>
              </w:rPr>
              <w:t>productivity</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8"/>
              <w:jc w:val="center"/>
              <w:rPr>
                <w:sz w:val="18"/>
              </w:rPr>
            </w:pPr>
            <w:r>
              <w:rPr>
                <w:sz w:val="18"/>
              </w:rPr>
              <w:t>EUR</w:t>
            </w:r>
            <w:r>
              <w:rPr>
                <w:spacing w:val="5"/>
                <w:sz w:val="18"/>
              </w:rPr>
              <w:t xml:space="preserve"> </w:t>
            </w:r>
            <w:r>
              <w:rPr>
                <w:sz w:val="18"/>
              </w:rPr>
              <w:t>per</w:t>
            </w:r>
            <w:r>
              <w:rPr>
                <w:spacing w:val="8"/>
                <w:sz w:val="18"/>
              </w:rPr>
              <w:t xml:space="preserve"> </w:t>
            </w:r>
            <w:r>
              <w:rPr>
                <w:sz w:val="18"/>
              </w:rPr>
              <w:t>kg,</w:t>
            </w:r>
            <w:r>
              <w:rPr>
                <w:spacing w:val="12"/>
                <w:sz w:val="18"/>
              </w:rPr>
              <w:t xml:space="preserve"> </w:t>
            </w:r>
            <w:r>
              <w:rPr>
                <w:sz w:val="18"/>
              </w:rPr>
              <w:t>chained</w:t>
            </w:r>
            <w:r>
              <w:rPr>
                <w:spacing w:val="8"/>
                <w:sz w:val="18"/>
              </w:rPr>
              <w:t xml:space="preserve"> </w:t>
            </w:r>
            <w:r>
              <w:rPr>
                <w:sz w:val="18"/>
              </w:rPr>
              <w:t>values</w:t>
            </w:r>
            <w:r>
              <w:rPr>
                <w:spacing w:val="1"/>
                <w:sz w:val="18"/>
              </w:rPr>
              <w:t xml:space="preserve"> </w:t>
            </w:r>
            <w:r>
              <w:rPr>
                <w:sz w:val="18"/>
              </w:rPr>
              <w:t>(2015.)</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0"/>
              <w:jc w:val="right"/>
              <w:rPr>
                <w:sz w:val="18"/>
              </w:rPr>
            </w:pPr>
            <w:r>
              <w:rPr>
                <w:w w:val="105"/>
                <w:sz w:val="18"/>
              </w:rPr>
              <w:t>1.03</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1"/>
              <w:jc w:val="right"/>
              <w:rPr>
                <w:sz w:val="18"/>
              </w:rPr>
            </w:pPr>
            <w:r>
              <w:rPr>
                <w:w w:val="105"/>
                <w:sz w:val="18"/>
              </w:rPr>
              <w:t>1.02</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spacing w:val="-1"/>
                <w:w w:val="105"/>
                <w:sz w:val="18"/>
              </w:rPr>
              <w:t>Average</w:t>
            </w:r>
            <w:r>
              <w:rPr>
                <w:spacing w:val="-11"/>
                <w:w w:val="105"/>
                <w:sz w:val="18"/>
              </w:rPr>
              <w:t xml:space="preserve"> </w:t>
            </w:r>
            <w:r>
              <w:rPr>
                <w:spacing w:val="-1"/>
                <w:w w:val="105"/>
                <w:sz w:val="18"/>
              </w:rPr>
              <w:t>CO2</w:t>
            </w:r>
            <w:r>
              <w:rPr>
                <w:spacing w:val="-6"/>
                <w:w w:val="105"/>
                <w:sz w:val="18"/>
              </w:rPr>
              <w:t xml:space="preserve"> </w:t>
            </w:r>
            <w:r>
              <w:rPr>
                <w:spacing w:val="-1"/>
                <w:w w:val="105"/>
                <w:sz w:val="18"/>
              </w:rPr>
              <w:t>emissions</w:t>
            </w:r>
            <w:r>
              <w:rPr>
                <w:spacing w:val="-11"/>
                <w:w w:val="105"/>
                <w:sz w:val="18"/>
              </w:rPr>
              <w:t xml:space="preserve"> </w:t>
            </w:r>
            <w:r>
              <w:rPr>
                <w:spacing w:val="-1"/>
                <w:w w:val="105"/>
                <w:sz w:val="18"/>
              </w:rPr>
              <w:t>per</w:t>
            </w:r>
            <w:r>
              <w:rPr>
                <w:spacing w:val="-10"/>
                <w:w w:val="105"/>
                <w:sz w:val="18"/>
              </w:rPr>
              <w:t xml:space="preserve"> </w:t>
            </w:r>
            <w:r>
              <w:rPr>
                <w:spacing w:val="-1"/>
                <w:w w:val="105"/>
                <w:sz w:val="18"/>
              </w:rPr>
              <w:t>km</w:t>
            </w:r>
            <w:r>
              <w:rPr>
                <w:spacing w:val="-6"/>
                <w:w w:val="105"/>
                <w:sz w:val="18"/>
              </w:rPr>
              <w:t xml:space="preserve"> </w:t>
            </w:r>
            <w:r>
              <w:rPr>
                <w:spacing w:val="-1"/>
                <w:w w:val="105"/>
                <w:sz w:val="18"/>
              </w:rPr>
              <w:t>from</w:t>
            </w:r>
            <w:r>
              <w:rPr>
                <w:spacing w:val="-9"/>
                <w:w w:val="105"/>
                <w:sz w:val="18"/>
              </w:rPr>
              <w:t xml:space="preserve"> </w:t>
            </w:r>
            <w:r>
              <w:rPr>
                <w:spacing w:val="-1"/>
                <w:w w:val="105"/>
                <w:sz w:val="18"/>
              </w:rPr>
              <w:t>new</w:t>
            </w:r>
            <w:r>
              <w:rPr>
                <w:spacing w:val="-8"/>
                <w:w w:val="105"/>
                <w:sz w:val="18"/>
              </w:rPr>
              <w:t xml:space="preserve"> </w:t>
            </w:r>
            <w:r>
              <w:rPr>
                <w:spacing w:val="-1"/>
                <w:w w:val="105"/>
                <w:sz w:val="18"/>
              </w:rPr>
              <w:t>passenger</w:t>
            </w:r>
            <w:r>
              <w:rPr>
                <w:spacing w:val="-7"/>
                <w:w w:val="105"/>
                <w:sz w:val="18"/>
              </w:rPr>
              <w:t xml:space="preserve"> </w:t>
            </w:r>
            <w:r>
              <w:rPr>
                <w:spacing w:val="-1"/>
                <w:w w:val="105"/>
                <w:sz w:val="18"/>
              </w:rPr>
              <w:t>cars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05" w:lineRule="exact"/>
              <w:ind w:left="64" w:right="64"/>
              <w:jc w:val="center"/>
              <w:rPr>
                <w:sz w:val="18"/>
              </w:rPr>
            </w:pPr>
            <w:r>
              <w:rPr>
                <w:w w:val="105"/>
                <w:sz w:val="18"/>
              </w:rPr>
              <w:t>g</w:t>
            </w:r>
            <w:r>
              <w:rPr>
                <w:spacing w:val="-9"/>
                <w:w w:val="105"/>
                <w:sz w:val="18"/>
              </w:rPr>
              <w:t xml:space="preserve"> </w:t>
            </w:r>
            <w:r>
              <w:rPr>
                <w:w w:val="105"/>
                <w:position w:val="-1"/>
                <w:sz w:val="18"/>
              </w:rPr>
              <w:t>CO</w:t>
            </w:r>
            <w:r>
              <w:rPr>
                <w:w w:val="105"/>
                <w:position w:val="-1"/>
                <w:sz w:val="18"/>
                <w:vertAlign w:val="subscript"/>
              </w:rPr>
              <w:t>2</w:t>
            </w:r>
            <w:r>
              <w:rPr>
                <w:spacing w:val="2"/>
                <w:w w:val="105"/>
                <w:position w:val="-1"/>
                <w:sz w:val="18"/>
              </w:rPr>
              <w:t xml:space="preserve"> </w:t>
            </w:r>
            <w:r>
              <w:rPr>
                <w:w w:val="105"/>
                <w:sz w:val="18"/>
              </w:rPr>
              <w:t>per</w:t>
            </w:r>
            <w:r>
              <w:rPr>
                <w:spacing w:val="-4"/>
                <w:w w:val="105"/>
                <w:sz w:val="18"/>
              </w:rPr>
              <w:t xml:space="preserve"> </w:t>
            </w:r>
            <w:r>
              <w:rPr>
                <w:w w:val="105"/>
                <w:sz w:val="18"/>
              </w:rPr>
              <w:t>km</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3"/>
              <w:jc w:val="right"/>
              <w:rPr>
                <w:sz w:val="18"/>
              </w:rPr>
            </w:pPr>
            <w:r>
              <w:rPr>
                <w:w w:val="105"/>
                <w:sz w:val="18"/>
              </w:rPr>
              <w:t>127.1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4"/>
              <w:jc w:val="right"/>
              <w:rPr>
                <w:sz w:val="18"/>
              </w:rPr>
            </w:pPr>
            <w:r>
              <w:rPr>
                <w:w w:val="105"/>
                <w:sz w:val="18"/>
              </w:rPr>
              <w:t>119.4</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w w:val="105"/>
                <w:sz w:val="18"/>
              </w:rPr>
              <w:t>Circular</w:t>
            </w:r>
            <w:r>
              <w:rPr>
                <w:spacing w:val="-8"/>
                <w:w w:val="105"/>
                <w:sz w:val="18"/>
              </w:rPr>
              <w:t xml:space="preserve"> </w:t>
            </w:r>
            <w:r>
              <w:rPr>
                <w:w w:val="105"/>
                <w:sz w:val="18"/>
              </w:rPr>
              <w:t>material</w:t>
            </w:r>
            <w:r>
              <w:rPr>
                <w:spacing w:val="-10"/>
                <w:w w:val="105"/>
                <w:sz w:val="18"/>
              </w:rPr>
              <w:t xml:space="preserve"> </w:t>
            </w:r>
            <w:r>
              <w:rPr>
                <w:w w:val="105"/>
                <w:sz w:val="18"/>
              </w:rPr>
              <w:t>use</w:t>
            </w:r>
            <w:r>
              <w:rPr>
                <w:spacing w:val="-9"/>
                <w:w w:val="105"/>
                <w:sz w:val="18"/>
              </w:rPr>
              <w:t xml:space="preserve"> </w:t>
            </w:r>
            <w:r>
              <w:rPr>
                <w:w w:val="105"/>
                <w:sz w:val="18"/>
              </w:rPr>
              <w:t>rate</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jc w:val="center"/>
              <w:rPr>
                <w:sz w:val="18"/>
              </w:rPr>
            </w:pPr>
            <w:r>
              <w:rPr>
                <w:w w:val="103"/>
                <w:sz w:val="18"/>
              </w:rPr>
              <w:t>%</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3.9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5.1</w:t>
            </w:r>
          </w:p>
        </w:tc>
      </w:tr>
      <w:tr w:rsidR="00A56FE9">
        <w:trPr>
          <w:trHeight w:val="228"/>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2"/>
                <w:w w:val="105"/>
                <w:sz w:val="18"/>
              </w:rPr>
              <w:t>Generation</w:t>
            </w:r>
            <w:r>
              <w:rPr>
                <w:spacing w:val="-9"/>
                <w:w w:val="105"/>
                <w:sz w:val="18"/>
              </w:rPr>
              <w:t xml:space="preserve"> </w:t>
            </w:r>
            <w:r>
              <w:rPr>
                <w:spacing w:val="-2"/>
                <w:w w:val="105"/>
                <w:sz w:val="18"/>
              </w:rPr>
              <w:t>of</w:t>
            </w:r>
            <w:r>
              <w:rPr>
                <w:spacing w:val="-9"/>
                <w:w w:val="105"/>
                <w:sz w:val="18"/>
              </w:rPr>
              <w:t xml:space="preserve"> </w:t>
            </w:r>
            <w:r>
              <w:rPr>
                <w:spacing w:val="-2"/>
                <w:w w:val="105"/>
                <w:sz w:val="18"/>
              </w:rPr>
              <w:t>waste</w:t>
            </w:r>
            <w:r>
              <w:rPr>
                <w:spacing w:val="-9"/>
                <w:w w:val="105"/>
                <w:sz w:val="18"/>
              </w:rPr>
              <w:t xml:space="preserve"> </w:t>
            </w:r>
            <w:r>
              <w:rPr>
                <w:spacing w:val="-1"/>
                <w:w w:val="105"/>
                <w:sz w:val="18"/>
              </w:rPr>
              <w:t>excluding</w:t>
            </w:r>
            <w:r>
              <w:rPr>
                <w:spacing w:val="-9"/>
                <w:w w:val="105"/>
                <w:sz w:val="18"/>
              </w:rPr>
              <w:t xml:space="preserve"> </w:t>
            </w:r>
            <w:r>
              <w:rPr>
                <w:spacing w:val="-1"/>
                <w:w w:val="105"/>
                <w:sz w:val="18"/>
              </w:rPr>
              <w:t>major</w:t>
            </w:r>
            <w:r>
              <w:rPr>
                <w:spacing w:val="-8"/>
                <w:w w:val="105"/>
                <w:sz w:val="18"/>
              </w:rPr>
              <w:t xml:space="preserve"> </w:t>
            </w:r>
            <w:r>
              <w:rPr>
                <w:spacing w:val="-1"/>
                <w:w w:val="105"/>
                <w:sz w:val="18"/>
              </w:rPr>
              <w:t>mineral</w:t>
            </w:r>
            <w:r>
              <w:rPr>
                <w:spacing w:val="-11"/>
                <w:w w:val="105"/>
                <w:sz w:val="18"/>
              </w:rPr>
              <w:t xml:space="preserve"> </w:t>
            </w:r>
            <w:r>
              <w:rPr>
                <w:spacing w:val="-1"/>
                <w:w w:val="105"/>
                <w:sz w:val="18"/>
              </w:rPr>
              <w:t>wastes</w:t>
            </w:r>
            <w:r>
              <w:rPr>
                <w:spacing w:val="-9"/>
                <w:w w:val="105"/>
                <w:sz w:val="18"/>
              </w:rPr>
              <w:t xml:space="preserve"> </w:t>
            </w:r>
            <w:r>
              <w:rPr>
                <w:spacing w:val="-1"/>
                <w:w w:val="105"/>
                <w:sz w:val="18"/>
              </w:rPr>
              <w:t>by</w:t>
            </w:r>
            <w:r>
              <w:rPr>
                <w:spacing w:val="-9"/>
                <w:w w:val="105"/>
                <w:sz w:val="18"/>
              </w:rPr>
              <w:t xml:space="preserve"> </w:t>
            </w:r>
            <w:r>
              <w:rPr>
                <w:spacing w:val="-1"/>
                <w:w w:val="105"/>
                <w:sz w:val="18"/>
              </w:rPr>
              <w:t>hazardousness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5"/>
              <w:jc w:val="center"/>
              <w:rPr>
                <w:sz w:val="18"/>
              </w:rPr>
            </w:pPr>
            <w:r>
              <w:rPr>
                <w:spacing w:val="-1"/>
                <w:w w:val="105"/>
                <w:sz w:val="18"/>
              </w:rPr>
              <w:t>kg</w:t>
            </w:r>
            <w:r>
              <w:rPr>
                <w:spacing w:val="-10"/>
                <w:w w:val="105"/>
                <w:sz w:val="18"/>
              </w:rPr>
              <w:t xml:space="preserve"> </w:t>
            </w:r>
            <w:r>
              <w:rPr>
                <w:spacing w:val="-1"/>
                <w:w w:val="105"/>
                <w:sz w:val="18"/>
              </w:rPr>
              <w:t>per</w:t>
            </w:r>
            <w:r>
              <w:rPr>
                <w:spacing w:val="-3"/>
                <w:w w:val="105"/>
                <w:sz w:val="18"/>
              </w:rPr>
              <w:t xml:space="preserve"> </w:t>
            </w:r>
            <w:r>
              <w:rPr>
                <w:spacing w:val="-1"/>
                <w:w w:val="105"/>
                <w:sz w:val="18"/>
              </w:rPr>
              <w:t>capita</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2012</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620</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2018</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3"/>
              <w:jc w:val="right"/>
              <w:rPr>
                <w:sz w:val="18"/>
              </w:rPr>
            </w:pPr>
            <w:r>
              <w:rPr>
                <w:w w:val="105"/>
                <w:sz w:val="18"/>
              </w:rPr>
              <w:t>922</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z w:val="18"/>
              </w:rPr>
              <w:t>Gross</w:t>
            </w:r>
            <w:r>
              <w:rPr>
                <w:spacing w:val="-3"/>
                <w:sz w:val="18"/>
              </w:rPr>
              <w:t xml:space="preserve"> </w:t>
            </w:r>
            <w:r>
              <w:rPr>
                <w:sz w:val="18"/>
              </w:rPr>
              <w:t>value</w:t>
            </w:r>
            <w:r>
              <w:rPr>
                <w:spacing w:val="-3"/>
                <w:sz w:val="18"/>
              </w:rPr>
              <w:t xml:space="preserve"> </w:t>
            </w:r>
            <w:r>
              <w:rPr>
                <w:sz w:val="18"/>
              </w:rPr>
              <w:t>added</w:t>
            </w:r>
            <w:r>
              <w:rPr>
                <w:spacing w:val="-1"/>
                <w:sz w:val="18"/>
              </w:rPr>
              <w:t xml:space="preserve"> </w:t>
            </w:r>
            <w:r>
              <w:rPr>
                <w:sz w:val="18"/>
              </w:rPr>
              <w:t>in</w:t>
            </w:r>
            <w:r>
              <w:rPr>
                <w:spacing w:val="1"/>
                <w:sz w:val="18"/>
              </w:rPr>
              <w:t xml:space="preserve"> </w:t>
            </w:r>
            <w:r>
              <w:rPr>
                <w:sz w:val="18"/>
              </w:rPr>
              <w:t>environmental</w:t>
            </w:r>
            <w:r>
              <w:rPr>
                <w:spacing w:val="-2"/>
                <w:sz w:val="18"/>
              </w:rPr>
              <w:t xml:space="preserve"> </w:t>
            </w:r>
            <w:r>
              <w:rPr>
                <w:sz w:val="18"/>
              </w:rPr>
              <w:t>goods</w:t>
            </w:r>
            <w:r>
              <w:rPr>
                <w:spacing w:val="-2"/>
                <w:sz w:val="18"/>
              </w:rPr>
              <w:t xml:space="preserve"> </w:t>
            </w:r>
            <w:r>
              <w:rPr>
                <w:sz w:val="18"/>
              </w:rPr>
              <w:t>and services</w:t>
            </w:r>
            <w:r>
              <w:rPr>
                <w:spacing w:val="-2"/>
                <w:sz w:val="18"/>
              </w:rPr>
              <w:t xml:space="preserve"> </w:t>
            </w:r>
            <w:r>
              <w:rPr>
                <w:sz w:val="18"/>
              </w:rPr>
              <w:t>sector</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5"/>
              <w:jc w:val="center"/>
              <w:rPr>
                <w:sz w:val="18"/>
              </w:rPr>
            </w:pPr>
            <w:r>
              <w:rPr>
                <w:sz w:val="18"/>
              </w:rPr>
              <w:t>%</w:t>
            </w:r>
            <w:r>
              <w:rPr>
                <w:spacing w:val="2"/>
                <w:sz w:val="18"/>
              </w:rPr>
              <w:t xml:space="preserve"> </w:t>
            </w:r>
            <w:r>
              <w:rPr>
                <w:sz w:val="18"/>
              </w:rPr>
              <w:t>gross</w:t>
            </w:r>
            <w:r>
              <w:rPr>
                <w:spacing w:val="1"/>
                <w:sz w:val="18"/>
              </w:rPr>
              <w:t xml:space="preserve"> </w:t>
            </w:r>
            <w:r>
              <w:rPr>
                <w:sz w:val="18"/>
              </w:rPr>
              <w:t>domestic</w:t>
            </w:r>
            <w:r>
              <w:rPr>
                <w:spacing w:val="1"/>
                <w:sz w:val="18"/>
              </w:rPr>
              <w:t xml:space="preserve"> </w:t>
            </w:r>
            <w:r>
              <w:rPr>
                <w:sz w:val="18"/>
              </w:rPr>
              <w:t>product</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2014</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0"/>
              <w:jc w:val="right"/>
              <w:rPr>
                <w:sz w:val="18"/>
              </w:rPr>
            </w:pPr>
            <w:r>
              <w:rPr>
                <w:sz w:val="18"/>
              </w:rPr>
              <w:t>1.62</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1"/>
              <w:jc w:val="right"/>
              <w:rPr>
                <w:sz w:val="18"/>
              </w:rPr>
            </w:pPr>
            <w:r>
              <w:rPr>
                <w:w w:val="105"/>
                <w:sz w:val="18"/>
              </w:rPr>
              <w:t>1.43</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spacing w:val="-1"/>
                <w:w w:val="105"/>
                <w:sz w:val="18"/>
              </w:rPr>
              <w:t>Energy</w:t>
            </w:r>
            <w:r>
              <w:rPr>
                <w:spacing w:val="-8"/>
                <w:w w:val="105"/>
                <w:sz w:val="18"/>
              </w:rPr>
              <w:t xml:space="preserve"> </w:t>
            </w:r>
            <w:r>
              <w:rPr>
                <w:spacing w:val="-1"/>
                <w:w w:val="105"/>
                <w:sz w:val="18"/>
              </w:rPr>
              <w:t>productivity</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65"/>
              <w:jc w:val="center"/>
              <w:rPr>
                <w:sz w:val="18"/>
              </w:rPr>
            </w:pPr>
            <w:r>
              <w:rPr>
                <w:sz w:val="18"/>
              </w:rPr>
              <w:t>EUR per</w:t>
            </w:r>
            <w:r>
              <w:rPr>
                <w:spacing w:val="2"/>
                <w:sz w:val="18"/>
              </w:rPr>
              <w:t xml:space="preserve"> </w:t>
            </w:r>
            <w:r>
              <w:rPr>
                <w:sz w:val="18"/>
              </w:rPr>
              <w:t>kgoe</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0"/>
              <w:jc w:val="right"/>
              <w:rPr>
                <w:sz w:val="18"/>
              </w:rPr>
            </w:pPr>
            <w:r>
              <w:rPr>
                <w:w w:val="105"/>
                <w:sz w:val="18"/>
              </w:rPr>
              <w:t>5.18</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6"/>
              <w:rPr>
                <w:sz w:val="18"/>
              </w:rPr>
            </w:pPr>
            <w:r>
              <w:rPr>
                <w:w w:val="105"/>
                <w:sz w:val="18"/>
              </w:rPr>
              <w:t>2020</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1"/>
              <w:jc w:val="right"/>
              <w:rPr>
                <w:sz w:val="18"/>
              </w:rPr>
            </w:pPr>
            <w:r>
              <w:rPr>
                <w:w w:val="105"/>
                <w:sz w:val="18"/>
              </w:rPr>
              <w:t>5.70</w:t>
            </w:r>
          </w:p>
        </w:tc>
      </w:tr>
      <w:tr w:rsidR="00A56FE9">
        <w:trPr>
          <w:trHeight w:val="340"/>
        </w:trPr>
        <w:tc>
          <w:tcPr>
            <w:tcW w:w="14020" w:type="dxa"/>
            <w:gridSpan w:val="6"/>
            <w:tcBorders>
              <w:top w:val="single" w:sz="4" w:space="0" w:color="2C398A"/>
              <w:left w:val="nil"/>
              <w:bottom w:val="single" w:sz="4" w:space="0" w:color="2C398A"/>
              <w:right w:val="nil"/>
            </w:tcBorders>
          </w:tcPr>
          <w:p w:rsidR="00A56FE9" w:rsidRDefault="00000000">
            <w:pPr>
              <w:pStyle w:val="TableParagraph"/>
              <w:spacing w:before="67"/>
              <w:ind w:left="71"/>
              <w:rPr>
                <w:b/>
                <w:sz w:val="18"/>
              </w:rPr>
            </w:pPr>
            <w:r>
              <w:rPr>
                <w:b/>
                <w:color w:val="2C398A"/>
                <w:w w:val="105"/>
                <w:sz w:val="18"/>
              </w:rPr>
              <w:t>Goal</w:t>
            </w:r>
            <w:r>
              <w:rPr>
                <w:b/>
                <w:color w:val="2C398A"/>
                <w:spacing w:val="-6"/>
                <w:w w:val="105"/>
                <w:sz w:val="18"/>
              </w:rPr>
              <w:t xml:space="preserve"> </w:t>
            </w:r>
            <w:r>
              <w:rPr>
                <w:b/>
                <w:color w:val="2C398A"/>
                <w:w w:val="105"/>
                <w:sz w:val="18"/>
              </w:rPr>
              <w:t>13</w:t>
            </w:r>
            <w:r>
              <w:rPr>
                <w:b/>
                <w:color w:val="2C398A"/>
                <w:spacing w:val="-1"/>
                <w:w w:val="105"/>
                <w:sz w:val="18"/>
              </w:rPr>
              <w:t xml:space="preserve"> </w:t>
            </w:r>
            <w:r>
              <w:rPr>
                <w:b/>
                <w:color w:val="2C398A"/>
                <w:w w:val="105"/>
                <w:sz w:val="18"/>
              </w:rPr>
              <w:t>-</w:t>
            </w:r>
            <w:r>
              <w:rPr>
                <w:b/>
                <w:color w:val="2C398A"/>
                <w:spacing w:val="-3"/>
                <w:w w:val="105"/>
                <w:sz w:val="18"/>
              </w:rPr>
              <w:t xml:space="preserve"> </w:t>
            </w:r>
            <w:r>
              <w:rPr>
                <w:b/>
                <w:color w:val="2C398A"/>
                <w:w w:val="105"/>
                <w:sz w:val="18"/>
              </w:rPr>
              <w:t>Climate</w:t>
            </w:r>
            <w:r>
              <w:rPr>
                <w:b/>
                <w:color w:val="2C398A"/>
                <w:spacing w:val="-4"/>
                <w:w w:val="105"/>
                <w:sz w:val="18"/>
              </w:rPr>
              <w:t xml:space="preserve"> </w:t>
            </w:r>
            <w:r>
              <w:rPr>
                <w:b/>
                <w:color w:val="2C398A"/>
                <w:w w:val="105"/>
                <w:sz w:val="18"/>
              </w:rPr>
              <w:t>action</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z w:val="18"/>
              </w:rPr>
              <w:t>Greenhouse</w:t>
            </w:r>
            <w:r>
              <w:rPr>
                <w:spacing w:val="8"/>
                <w:sz w:val="18"/>
              </w:rPr>
              <w:t xml:space="preserve"> </w:t>
            </w:r>
            <w:r>
              <w:rPr>
                <w:sz w:val="18"/>
              </w:rPr>
              <w:t>gas</w:t>
            </w:r>
            <w:r>
              <w:rPr>
                <w:spacing w:val="13"/>
                <w:sz w:val="18"/>
              </w:rPr>
              <w:t xml:space="preserve"> </w:t>
            </w:r>
            <w:r>
              <w:rPr>
                <w:sz w:val="18"/>
              </w:rPr>
              <w:t>emissions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4"/>
              <w:jc w:val="center"/>
              <w:rPr>
                <w:sz w:val="18"/>
              </w:rPr>
            </w:pPr>
            <w:r>
              <w:rPr>
                <w:w w:val="105"/>
                <w:sz w:val="18"/>
              </w:rPr>
              <w:t>index</w:t>
            </w:r>
            <w:r>
              <w:rPr>
                <w:spacing w:val="-6"/>
                <w:w w:val="105"/>
                <w:sz w:val="18"/>
              </w:rPr>
              <w:t xml:space="preserve"> </w:t>
            </w:r>
            <w:r>
              <w:rPr>
                <w:w w:val="105"/>
                <w:sz w:val="18"/>
              </w:rPr>
              <w:t>1990</w:t>
            </w:r>
            <w:r>
              <w:rPr>
                <w:spacing w:val="-9"/>
                <w:w w:val="105"/>
                <w:sz w:val="18"/>
              </w:rPr>
              <w:t xml:space="preserve"> </w:t>
            </w:r>
            <w:r>
              <w:rPr>
                <w:w w:val="105"/>
                <w:sz w:val="18"/>
              </w:rPr>
              <w:t>=</w:t>
            </w:r>
            <w:r>
              <w:rPr>
                <w:spacing w:val="-10"/>
                <w:w w:val="105"/>
                <w:sz w:val="18"/>
              </w:rPr>
              <w:t xml:space="preserve"> </w:t>
            </w:r>
            <w:r>
              <w:rPr>
                <w:w w:val="105"/>
                <w:sz w:val="18"/>
              </w:rPr>
              <w:t>100</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3"/>
              <w:jc w:val="right"/>
              <w:rPr>
                <w:sz w:val="18"/>
              </w:rPr>
            </w:pPr>
            <w:r>
              <w:rPr>
                <w:w w:val="105"/>
                <w:sz w:val="18"/>
              </w:rPr>
              <w:t>73.1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4"/>
              <w:jc w:val="right"/>
              <w:rPr>
                <w:sz w:val="18"/>
              </w:rPr>
            </w:pPr>
            <w:r>
              <w:rPr>
                <w:w w:val="105"/>
                <w:sz w:val="18"/>
              </w:rPr>
              <w:t>73.3</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1"/>
                <w:w w:val="105"/>
                <w:sz w:val="18"/>
              </w:rPr>
              <w:t>Greenhouse</w:t>
            </w:r>
            <w:r>
              <w:rPr>
                <w:spacing w:val="-11"/>
                <w:w w:val="105"/>
                <w:sz w:val="18"/>
              </w:rPr>
              <w:t xml:space="preserve"> </w:t>
            </w:r>
            <w:r>
              <w:rPr>
                <w:spacing w:val="-1"/>
                <w:w w:val="105"/>
                <w:sz w:val="18"/>
              </w:rPr>
              <w:t>gas</w:t>
            </w:r>
            <w:r>
              <w:rPr>
                <w:spacing w:val="-8"/>
                <w:w w:val="105"/>
                <w:sz w:val="18"/>
              </w:rPr>
              <w:t xml:space="preserve"> </w:t>
            </w:r>
            <w:r>
              <w:rPr>
                <w:spacing w:val="-1"/>
                <w:w w:val="105"/>
                <w:sz w:val="18"/>
              </w:rPr>
              <w:t>emissions</w:t>
            </w:r>
            <w:r>
              <w:rPr>
                <w:spacing w:val="-6"/>
                <w:w w:val="105"/>
                <w:sz w:val="18"/>
              </w:rPr>
              <w:t xml:space="preserve"> </w:t>
            </w:r>
            <w:r>
              <w:rPr>
                <w:w w:val="105"/>
                <w:sz w:val="18"/>
              </w:rPr>
              <w:t>intensity</w:t>
            </w:r>
            <w:r>
              <w:rPr>
                <w:spacing w:val="-10"/>
                <w:w w:val="105"/>
                <w:sz w:val="18"/>
              </w:rPr>
              <w:t xml:space="preserve"> </w:t>
            </w:r>
            <w:r>
              <w:rPr>
                <w:w w:val="105"/>
                <w:sz w:val="18"/>
              </w:rPr>
              <w:t>of</w:t>
            </w:r>
            <w:r>
              <w:rPr>
                <w:spacing w:val="-7"/>
                <w:w w:val="105"/>
                <w:sz w:val="18"/>
              </w:rPr>
              <w:t xml:space="preserve"> </w:t>
            </w:r>
            <w:r>
              <w:rPr>
                <w:w w:val="105"/>
                <w:sz w:val="18"/>
              </w:rPr>
              <w:t>energy</w:t>
            </w:r>
            <w:r>
              <w:rPr>
                <w:spacing w:val="-7"/>
                <w:w w:val="105"/>
                <w:sz w:val="18"/>
              </w:rPr>
              <w:t xml:space="preserve"> </w:t>
            </w:r>
            <w:r>
              <w:rPr>
                <w:w w:val="105"/>
                <w:sz w:val="18"/>
              </w:rPr>
              <w:t>consumption</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4"/>
              <w:jc w:val="center"/>
              <w:rPr>
                <w:sz w:val="18"/>
              </w:rPr>
            </w:pPr>
            <w:r>
              <w:rPr>
                <w:w w:val="105"/>
                <w:sz w:val="18"/>
              </w:rPr>
              <w:t>index</w:t>
            </w:r>
            <w:r>
              <w:rPr>
                <w:spacing w:val="-6"/>
                <w:w w:val="105"/>
                <w:sz w:val="18"/>
              </w:rPr>
              <w:t xml:space="preserve"> </w:t>
            </w:r>
            <w:r>
              <w:rPr>
                <w:w w:val="105"/>
                <w:sz w:val="18"/>
              </w:rPr>
              <w:t>2000</w:t>
            </w:r>
            <w:r>
              <w:rPr>
                <w:spacing w:val="-9"/>
                <w:w w:val="105"/>
                <w:sz w:val="18"/>
              </w:rPr>
              <w:t xml:space="preserve"> </w:t>
            </w:r>
            <w:r>
              <w:rPr>
                <w:w w:val="105"/>
                <w:sz w:val="18"/>
              </w:rPr>
              <w:t>=</w:t>
            </w:r>
            <w:r>
              <w:rPr>
                <w:spacing w:val="-10"/>
                <w:w w:val="105"/>
                <w:sz w:val="18"/>
              </w:rPr>
              <w:t xml:space="preserve"> </w:t>
            </w:r>
            <w:r>
              <w:rPr>
                <w:w w:val="105"/>
                <w:sz w:val="18"/>
              </w:rPr>
              <w:t>100</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3"/>
              <w:jc w:val="right"/>
              <w:rPr>
                <w:sz w:val="18"/>
              </w:rPr>
            </w:pPr>
            <w:r>
              <w:rPr>
                <w:w w:val="105"/>
                <w:sz w:val="18"/>
              </w:rPr>
              <w:t>93.7</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4"/>
              <w:jc w:val="right"/>
              <w:rPr>
                <w:sz w:val="18"/>
              </w:rPr>
            </w:pPr>
            <w:r>
              <w:rPr>
                <w:w w:val="105"/>
                <w:sz w:val="18"/>
              </w:rPr>
              <w:t>86.6</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4"/>
                <w:sz w:val="18"/>
              </w:rPr>
              <w:t>Contribution</w:t>
            </w:r>
            <w:r>
              <w:rPr>
                <w:spacing w:val="-11"/>
                <w:sz w:val="18"/>
              </w:rPr>
              <w:t xml:space="preserve"> </w:t>
            </w:r>
            <w:r>
              <w:rPr>
                <w:spacing w:val="-4"/>
                <w:sz w:val="18"/>
              </w:rPr>
              <w:t>to</w:t>
            </w:r>
            <w:r>
              <w:rPr>
                <w:spacing w:val="-11"/>
                <w:sz w:val="18"/>
              </w:rPr>
              <w:t xml:space="preserve"> </w:t>
            </w:r>
            <w:r>
              <w:rPr>
                <w:spacing w:val="-4"/>
                <w:sz w:val="18"/>
              </w:rPr>
              <w:t>the</w:t>
            </w:r>
            <w:r>
              <w:rPr>
                <w:spacing w:val="-12"/>
                <w:sz w:val="18"/>
              </w:rPr>
              <w:t xml:space="preserve"> </w:t>
            </w:r>
            <w:r>
              <w:rPr>
                <w:spacing w:val="-4"/>
                <w:sz w:val="18"/>
              </w:rPr>
              <w:t>international</w:t>
            </w:r>
            <w:r>
              <w:rPr>
                <w:spacing w:val="-16"/>
                <w:sz w:val="18"/>
              </w:rPr>
              <w:t xml:space="preserve"> </w:t>
            </w:r>
            <w:r>
              <w:rPr>
                <w:spacing w:val="-4"/>
                <w:sz w:val="18"/>
              </w:rPr>
              <w:t>100bn</w:t>
            </w:r>
            <w:r>
              <w:rPr>
                <w:spacing w:val="-14"/>
                <w:sz w:val="18"/>
              </w:rPr>
              <w:t xml:space="preserve"> </w:t>
            </w:r>
            <w:r>
              <w:rPr>
                <w:spacing w:val="-4"/>
                <w:sz w:val="18"/>
              </w:rPr>
              <w:t>USD</w:t>
            </w:r>
            <w:r>
              <w:rPr>
                <w:spacing w:val="-11"/>
                <w:sz w:val="18"/>
              </w:rPr>
              <w:t xml:space="preserve"> </w:t>
            </w:r>
            <w:r>
              <w:rPr>
                <w:spacing w:val="-4"/>
                <w:sz w:val="18"/>
              </w:rPr>
              <w:t>commitment</w:t>
            </w:r>
            <w:r>
              <w:rPr>
                <w:spacing w:val="-13"/>
                <w:sz w:val="18"/>
              </w:rPr>
              <w:t xml:space="preserve"> </w:t>
            </w:r>
            <w:r>
              <w:rPr>
                <w:spacing w:val="-3"/>
                <w:sz w:val="18"/>
              </w:rPr>
              <w:t>on</w:t>
            </w:r>
            <w:r>
              <w:rPr>
                <w:spacing w:val="-11"/>
                <w:sz w:val="18"/>
              </w:rPr>
              <w:t xml:space="preserve"> </w:t>
            </w:r>
            <w:r>
              <w:rPr>
                <w:spacing w:val="-3"/>
                <w:sz w:val="18"/>
              </w:rPr>
              <w:t>climate</w:t>
            </w:r>
            <w:r>
              <w:rPr>
                <w:spacing w:val="-12"/>
                <w:sz w:val="18"/>
              </w:rPr>
              <w:t xml:space="preserve"> </w:t>
            </w:r>
            <w:r>
              <w:rPr>
                <w:spacing w:val="-3"/>
                <w:sz w:val="18"/>
              </w:rPr>
              <w:t>related</w:t>
            </w:r>
            <w:r>
              <w:rPr>
                <w:spacing w:val="-11"/>
                <w:sz w:val="18"/>
              </w:rPr>
              <w:t xml:space="preserve"> </w:t>
            </w:r>
            <w:r>
              <w:rPr>
                <w:spacing w:val="-3"/>
                <w:sz w:val="18"/>
              </w:rPr>
              <w:t>expending</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5"/>
              <w:jc w:val="center"/>
              <w:rPr>
                <w:sz w:val="18"/>
              </w:rPr>
            </w:pPr>
            <w:r>
              <w:rPr>
                <w:sz w:val="18"/>
              </w:rPr>
              <w:t>in millions</w:t>
            </w:r>
            <w:r>
              <w:rPr>
                <w:spacing w:val="3"/>
                <w:sz w:val="18"/>
              </w:rPr>
              <w:t xml:space="preserve"> </w:t>
            </w:r>
            <w:r>
              <w:rPr>
                <w:sz w:val="18"/>
              </w:rPr>
              <w:t>EUR,</w:t>
            </w:r>
            <w:r>
              <w:rPr>
                <w:spacing w:val="2"/>
                <w:sz w:val="18"/>
              </w:rPr>
              <w:t xml:space="preserve"> </w:t>
            </w:r>
            <w:r>
              <w:rPr>
                <w:sz w:val="18"/>
              </w:rPr>
              <w:t>at</w:t>
            </w:r>
            <w:r>
              <w:rPr>
                <w:spacing w:val="-3"/>
                <w:sz w:val="18"/>
              </w:rPr>
              <w:t xml:space="preserve"> </w:t>
            </w:r>
            <w:r>
              <w:rPr>
                <w:sz w:val="18"/>
              </w:rPr>
              <w:t>current</w:t>
            </w:r>
            <w:r>
              <w:rPr>
                <w:spacing w:val="-6"/>
                <w:sz w:val="18"/>
              </w:rPr>
              <w:t xml:space="preserve"> </w:t>
            </w:r>
            <w:r>
              <w:rPr>
                <w:sz w:val="18"/>
              </w:rPr>
              <w:t>prices</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2014</w:t>
            </w:r>
          </w:p>
        </w:tc>
        <w:tc>
          <w:tcPr>
            <w:tcW w:w="994"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0"/>
              <w:jc w:val="right"/>
              <w:rPr>
                <w:sz w:val="18"/>
              </w:rPr>
            </w:pPr>
            <w:r>
              <w:rPr>
                <w:sz w:val="18"/>
              </w:rPr>
              <w:t>0.03</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6"/>
              <w:rPr>
                <w:sz w:val="18"/>
              </w:rPr>
            </w:pPr>
            <w:r>
              <w:rPr>
                <w:w w:val="105"/>
                <w:sz w:val="18"/>
              </w:rPr>
              <w:t>2019</w:t>
            </w:r>
          </w:p>
        </w:tc>
        <w:tc>
          <w:tcPr>
            <w:tcW w:w="990"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1"/>
              <w:jc w:val="right"/>
              <w:rPr>
                <w:sz w:val="18"/>
              </w:rPr>
            </w:pPr>
            <w:r>
              <w:rPr>
                <w:w w:val="105"/>
                <w:sz w:val="18"/>
              </w:rPr>
              <w:t>0.03</w:t>
            </w:r>
          </w:p>
        </w:tc>
      </w:tr>
    </w:tbl>
    <w:p w:rsidR="00A56FE9" w:rsidRDefault="00A56FE9">
      <w:pPr>
        <w:spacing w:line="203" w:lineRule="exact"/>
        <w:jc w:val="right"/>
        <w:rPr>
          <w:sz w:val="18"/>
        </w:rPr>
        <w:sectPr w:rsidR="00A56FE9" w:rsidSect="00AB1E70">
          <w:pgSz w:w="16840" w:h="11910" w:orient="landscape"/>
          <w:pgMar w:top="1100" w:right="380" w:bottom="880" w:left="460" w:header="0" w:footer="700" w:gutter="0"/>
          <w:cols w:space="720"/>
        </w:sectPr>
      </w:pPr>
    </w:p>
    <w:p w:rsidR="00A56FE9" w:rsidRDefault="00A56FE9">
      <w:pPr>
        <w:pStyle w:val="Tijeloteksta"/>
        <w:spacing w:before="1" w:after="1"/>
        <w:ind w:left="0"/>
        <w:jc w:val="left"/>
        <w:rPr>
          <w:sz w:val="27"/>
        </w:rPr>
      </w:pPr>
    </w:p>
    <w:tbl>
      <w:tblPr>
        <w:tblStyle w:val="TableNormal"/>
        <w:tblW w:w="0" w:type="auto"/>
        <w:tblInd w:w="951"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1E0" w:firstRow="1" w:lastRow="1" w:firstColumn="1" w:lastColumn="1" w:noHBand="0" w:noVBand="0"/>
      </w:tblPr>
      <w:tblGrid>
        <w:gridCol w:w="6536"/>
        <w:gridCol w:w="4112"/>
        <w:gridCol w:w="708"/>
        <w:gridCol w:w="992"/>
        <w:gridCol w:w="680"/>
        <w:gridCol w:w="989"/>
      </w:tblGrid>
      <w:tr w:rsidR="00A56FE9">
        <w:trPr>
          <w:trHeight w:val="349"/>
        </w:trPr>
        <w:tc>
          <w:tcPr>
            <w:tcW w:w="6536" w:type="dxa"/>
            <w:vMerge w:val="restart"/>
            <w:tcBorders>
              <w:top w:val="nil"/>
              <w:left w:val="nil"/>
              <w:bottom w:val="nil"/>
              <w:right w:val="nil"/>
            </w:tcBorders>
            <w:shd w:val="clear" w:color="auto" w:fill="2C398A"/>
          </w:tcPr>
          <w:p w:rsidR="00A56FE9" w:rsidRDefault="00A56FE9">
            <w:pPr>
              <w:pStyle w:val="TableParagraph"/>
              <w:spacing w:before="5"/>
              <w:rPr>
                <w:sz w:val="20"/>
              </w:rPr>
            </w:pPr>
          </w:p>
          <w:p w:rsidR="00A56FE9" w:rsidRDefault="00000000">
            <w:pPr>
              <w:pStyle w:val="TableParagraph"/>
              <w:ind w:left="2848" w:right="2848"/>
              <w:jc w:val="center"/>
              <w:rPr>
                <w:b/>
                <w:sz w:val="20"/>
              </w:rPr>
            </w:pPr>
            <w:r>
              <w:rPr>
                <w:b/>
                <w:color w:val="FFFFFF"/>
                <w:sz w:val="20"/>
              </w:rPr>
              <w:t>Indicator</w:t>
            </w:r>
          </w:p>
        </w:tc>
        <w:tc>
          <w:tcPr>
            <w:tcW w:w="4112" w:type="dxa"/>
            <w:vMerge w:val="restart"/>
            <w:tcBorders>
              <w:top w:val="nil"/>
              <w:left w:val="nil"/>
              <w:bottom w:val="nil"/>
              <w:right w:val="nil"/>
            </w:tcBorders>
            <w:shd w:val="clear" w:color="auto" w:fill="2C398A"/>
          </w:tcPr>
          <w:p w:rsidR="00A56FE9" w:rsidRDefault="00A56FE9">
            <w:pPr>
              <w:pStyle w:val="TableParagraph"/>
              <w:spacing w:before="5"/>
              <w:rPr>
                <w:sz w:val="20"/>
              </w:rPr>
            </w:pPr>
          </w:p>
          <w:p w:rsidR="00A56FE9" w:rsidRDefault="00000000">
            <w:pPr>
              <w:pStyle w:val="TableParagraph"/>
              <w:ind w:left="1846" w:right="1848"/>
              <w:jc w:val="center"/>
              <w:rPr>
                <w:b/>
                <w:sz w:val="20"/>
              </w:rPr>
            </w:pPr>
            <w:r>
              <w:rPr>
                <w:b/>
                <w:color w:val="FFFFFF"/>
                <w:sz w:val="20"/>
              </w:rPr>
              <w:t>Unit</w:t>
            </w:r>
          </w:p>
        </w:tc>
        <w:tc>
          <w:tcPr>
            <w:tcW w:w="1700" w:type="dxa"/>
            <w:gridSpan w:val="2"/>
            <w:tcBorders>
              <w:top w:val="nil"/>
              <w:left w:val="nil"/>
              <w:bottom w:val="nil"/>
            </w:tcBorders>
            <w:shd w:val="clear" w:color="auto" w:fill="2C398A"/>
          </w:tcPr>
          <w:p w:rsidR="00A56FE9" w:rsidRDefault="00000000">
            <w:pPr>
              <w:pStyle w:val="TableParagraph"/>
              <w:spacing w:before="55"/>
              <w:ind w:left="566" w:right="556"/>
              <w:jc w:val="center"/>
              <w:rPr>
                <w:b/>
                <w:sz w:val="20"/>
              </w:rPr>
            </w:pPr>
            <w:r>
              <w:rPr>
                <w:b/>
                <w:color w:val="FFFFFF"/>
                <w:sz w:val="20"/>
              </w:rPr>
              <w:t>Initial</w:t>
            </w:r>
          </w:p>
        </w:tc>
        <w:tc>
          <w:tcPr>
            <w:tcW w:w="1669" w:type="dxa"/>
            <w:gridSpan w:val="2"/>
            <w:tcBorders>
              <w:top w:val="nil"/>
              <w:bottom w:val="nil"/>
              <w:right w:val="nil"/>
            </w:tcBorders>
            <w:shd w:val="clear" w:color="auto" w:fill="2C398A"/>
          </w:tcPr>
          <w:p w:rsidR="00A56FE9" w:rsidRDefault="00000000">
            <w:pPr>
              <w:pStyle w:val="TableParagraph"/>
              <w:spacing w:before="55"/>
              <w:ind w:left="262"/>
              <w:rPr>
                <w:b/>
                <w:sz w:val="20"/>
              </w:rPr>
            </w:pPr>
            <w:r>
              <w:rPr>
                <w:b/>
                <w:color w:val="FFFFFF"/>
                <w:sz w:val="20"/>
              </w:rPr>
              <w:t>Most</w:t>
            </w:r>
            <w:r>
              <w:rPr>
                <w:b/>
                <w:color w:val="FFFFFF"/>
                <w:spacing w:val="23"/>
                <w:sz w:val="20"/>
              </w:rPr>
              <w:t xml:space="preserve"> </w:t>
            </w:r>
            <w:r>
              <w:rPr>
                <w:b/>
                <w:color w:val="FFFFFF"/>
                <w:sz w:val="20"/>
              </w:rPr>
              <w:t>Recent</w:t>
            </w:r>
          </w:p>
        </w:tc>
      </w:tr>
      <w:tr w:rsidR="00A56FE9">
        <w:trPr>
          <w:trHeight w:val="358"/>
        </w:trPr>
        <w:tc>
          <w:tcPr>
            <w:tcW w:w="6536" w:type="dxa"/>
            <w:vMerge/>
            <w:tcBorders>
              <w:top w:val="nil"/>
              <w:left w:val="nil"/>
              <w:bottom w:val="nil"/>
              <w:right w:val="nil"/>
            </w:tcBorders>
            <w:shd w:val="clear" w:color="auto" w:fill="2C398A"/>
          </w:tcPr>
          <w:p w:rsidR="00A56FE9" w:rsidRDefault="00A56FE9">
            <w:pPr>
              <w:rPr>
                <w:sz w:val="2"/>
                <w:szCs w:val="2"/>
              </w:rPr>
            </w:pPr>
          </w:p>
        </w:tc>
        <w:tc>
          <w:tcPr>
            <w:tcW w:w="4112" w:type="dxa"/>
            <w:vMerge/>
            <w:tcBorders>
              <w:top w:val="nil"/>
              <w:left w:val="nil"/>
              <w:bottom w:val="nil"/>
              <w:right w:val="nil"/>
            </w:tcBorders>
            <w:shd w:val="clear" w:color="auto" w:fill="2C398A"/>
          </w:tcPr>
          <w:p w:rsidR="00A56FE9" w:rsidRDefault="00A56FE9">
            <w:pPr>
              <w:rPr>
                <w:sz w:val="2"/>
                <w:szCs w:val="2"/>
              </w:rPr>
            </w:pPr>
          </w:p>
        </w:tc>
        <w:tc>
          <w:tcPr>
            <w:tcW w:w="708" w:type="dxa"/>
            <w:tcBorders>
              <w:top w:val="nil"/>
              <w:left w:val="nil"/>
              <w:bottom w:val="nil"/>
              <w:right w:val="single" w:sz="4" w:space="0" w:color="FFFFFF"/>
            </w:tcBorders>
            <w:shd w:val="clear" w:color="auto" w:fill="2C398A"/>
          </w:tcPr>
          <w:p w:rsidR="00A56FE9" w:rsidRDefault="00000000">
            <w:pPr>
              <w:pStyle w:val="TableParagraph"/>
              <w:spacing w:before="66"/>
              <w:ind w:left="132"/>
              <w:rPr>
                <w:b/>
                <w:sz w:val="20"/>
              </w:rPr>
            </w:pPr>
            <w:r>
              <w:rPr>
                <w:b/>
                <w:color w:val="FFFFFF"/>
                <w:sz w:val="20"/>
              </w:rPr>
              <w:t>Year</w:t>
            </w:r>
          </w:p>
        </w:tc>
        <w:tc>
          <w:tcPr>
            <w:tcW w:w="992" w:type="dxa"/>
            <w:tcBorders>
              <w:top w:val="nil"/>
              <w:left w:val="single" w:sz="4" w:space="0" w:color="FFFFFF"/>
              <w:bottom w:val="nil"/>
            </w:tcBorders>
            <w:shd w:val="clear" w:color="auto" w:fill="2C398A"/>
          </w:tcPr>
          <w:p w:rsidR="00A56FE9" w:rsidRDefault="00000000">
            <w:pPr>
              <w:pStyle w:val="TableParagraph"/>
              <w:spacing w:before="66"/>
              <w:ind w:left="228"/>
              <w:rPr>
                <w:b/>
                <w:sz w:val="20"/>
              </w:rPr>
            </w:pPr>
            <w:r>
              <w:rPr>
                <w:b/>
                <w:color w:val="FFFFFF"/>
                <w:sz w:val="20"/>
              </w:rPr>
              <w:t>Value</w:t>
            </w:r>
          </w:p>
        </w:tc>
        <w:tc>
          <w:tcPr>
            <w:tcW w:w="680" w:type="dxa"/>
            <w:tcBorders>
              <w:top w:val="nil"/>
              <w:bottom w:val="nil"/>
              <w:right w:val="single" w:sz="4" w:space="0" w:color="FFFFFF"/>
            </w:tcBorders>
            <w:shd w:val="clear" w:color="auto" w:fill="2C398A"/>
          </w:tcPr>
          <w:p w:rsidR="00A56FE9" w:rsidRDefault="00000000">
            <w:pPr>
              <w:pStyle w:val="TableParagraph"/>
              <w:spacing w:before="66"/>
              <w:ind w:left="104"/>
              <w:rPr>
                <w:b/>
                <w:sz w:val="20"/>
              </w:rPr>
            </w:pPr>
            <w:r>
              <w:rPr>
                <w:b/>
                <w:color w:val="FFFFFF"/>
                <w:sz w:val="20"/>
              </w:rPr>
              <w:t>Year</w:t>
            </w:r>
          </w:p>
        </w:tc>
        <w:tc>
          <w:tcPr>
            <w:tcW w:w="989" w:type="dxa"/>
            <w:tcBorders>
              <w:top w:val="nil"/>
              <w:left w:val="single" w:sz="4" w:space="0" w:color="FFFFFF"/>
              <w:bottom w:val="nil"/>
              <w:right w:val="nil"/>
            </w:tcBorders>
            <w:shd w:val="clear" w:color="auto" w:fill="2C398A"/>
          </w:tcPr>
          <w:p w:rsidR="00A56FE9" w:rsidRDefault="00000000">
            <w:pPr>
              <w:pStyle w:val="TableParagraph"/>
              <w:spacing w:before="66"/>
              <w:ind w:left="217"/>
              <w:rPr>
                <w:b/>
                <w:sz w:val="20"/>
              </w:rPr>
            </w:pPr>
            <w:r>
              <w:rPr>
                <w:b/>
                <w:color w:val="FFFFFF"/>
                <w:sz w:val="20"/>
              </w:rPr>
              <w:t>Value</w:t>
            </w:r>
          </w:p>
        </w:tc>
      </w:tr>
      <w:tr w:rsidR="00A56FE9">
        <w:trPr>
          <w:trHeight w:val="208"/>
        </w:trPr>
        <w:tc>
          <w:tcPr>
            <w:tcW w:w="6536" w:type="dxa"/>
            <w:tcBorders>
              <w:top w:val="nil"/>
              <w:left w:val="nil"/>
              <w:bottom w:val="single" w:sz="4" w:space="0" w:color="2C398A"/>
              <w:right w:val="single" w:sz="4" w:space="0" w:color="2C398A"/>
            </w:tcBorders>
          </w:tcPr>
          <w:p w:rsidR="00A56FE9" w:rsidRDefault="00000000">
            <w:pPr>
              <w:pStyle w:val="TableParagraph"/>
              <w:spacing w:line="188" w:lineRule="exact"/>
              <w:ind w:left="71"/>
              <w:rPr>
                <w:sz w:val="18"/>
              </w:rPr>
            </w:pPr>
            <w:r>
              <w:rPr>
                <w:sz w:val="18"/>
              </w:rPr>
              <w:t>Population</w:t>
            </w:r>
            <w:r>
              <w:rPr>
                <w:spacing w:val="-1"/>
                <w:sz w:val="18"/>
              </w:rPr>
              <w:t xml:space="preserve"> </w:t>
            </w:r>
            <w:r>
              <w:rPr>
                <w:sz w:val="18"/>
              </w:rPr>
              <w:t>covered</w:t>
            </w:r>
            <w:r>
              <w:rPr>
                <w:spacing w:val="-2"/>
                <w:sz w:val="18"/>
              </w:rPr>
              <w:t xml:space="preserve"> </w:t>
            </w:r>
            <w:r>
              <w:rPr>
                <w:sz w:val="18"/>
              </w:rPr>
              <w:t>by</w:t>
            </w:r>
            <w:r>
              <w:rPr>
                <w:spacing w:val="-5"/>
                <w:sz w:val="18"/>
              </w:rPr>
              <w:t xml:space="preserve"> </w:t>
            </w:r>
            <w:r>
              <w:rPr>
                <w:sz w:val="18"/>
              </w:rPr>
              <w:t>the</w:t>
            </w:r>
            <w:r>
              <w:rPr>
                <w:spacing w:val="-2"/>
                <w:sz w:val="18"/>
              </w:rPr>
              <w:t xml:space="preserve"> </w:t>
            </w:r>
            <w:r>
              <w:rPr>
                <w:sz w:val="18"/>
              </w:rPr>
              <w:t>Covenant</w:t>
            </w:r>
            <w:r>
              <w:rPr>
                <w:spacing w:val="-1"/>
                <w:sz w:val="18"/>
              </w:rPr>
              <w:t xml:space="preserve"> </w:t>
            </w:r>
            <w:r>
              <w:rPr>
                <w:sz w:val="18"/>
              </w:rPr>
              <w:t>of</w:t>
            </w:r>
            <w:r>
              <w:rPr>
                <w:spacing w:val="-3"/>
                <w:sz w:val="18"/>
              </w:rPr>
              <w:t xml:space="preserve"> </w:t>
            </w:r>
            <w:r>
              <w:rPr>
                <w:sz w:val="18"/>
              </w:rPr>
              <w:t>Mayors</w:t>
            </w:r>
            <w:r>
              <w:rPr>
                <w:spacing w:val="6"/>
                <w:sz w:val="18"/>
              </w:rPr>
              <w:t xml:space="preserve"> </w:t>
            </w:r>
            <w:r>
              <w:rPr>
                <w:sz w:val="18"/>
              </w:rPr>
              <w:t>for</w:t>
            </w:r>
            <w:r>
              <w:rPr>
                <w:spacing w:val="-1"/>
                <w:sz w:val="18"/>
              </w:rPr>
              <w:t xml:space="preserve"> </w:t>
            </w:r>
            <w:r>
              <w:rPr>
                <w:sz w:val="18"/>
              </w:rPr>
              <w:t>Climate</w:t>
            </w:r>
            <w:r>
              <w:rPr>
                <w:spacing w:val="-1"/>
                <w:sz w:val="18"/>
              </w:rPr>
              <w:t xml:space="preserve"> </w:t>
            </w:r>
            <w:r>
              <w:rPr>
                <w:sz w:val="18"/>
              </w:rPr>
              <w:t>&amp;</w:t>
            </w:r>
            <w:r>
              <w:rPr>
                <w:spacing w:val="-2"/>
                <w:sz w:val="18"/>
              </w:rPr>
              <w:t xml:space="preserve"> </w:t>
            </w:r>
            <w:r>
              <w:rPr>
                <w:sz w:val="18"/>
              </w:rPr>
              <w:t>Energy</w:t>
            </w:r>
            <w:r>
              <w:rPr>
                <w:spacing w:val="-5"/>
                <w:sz w:val="18"/>
              </w:rPr>
              <w:t xml:space="preserve"> </w:t>
            </w:r>
            <w:r>
              <w:rPr>
                <w:sz w:val="18"/>
              </w:rPr>
              <w:t>signatories</w:t>
            </w:r>
          </w:p>
        </w:tc>
        <w:tc>
          <w:tcPr>
            <w:tcW w:w="4112" w:type="dxa"/>
            <w:tcBorders>
              <w:top w:val="single" w:sz="8" w:space="0" w:color="2C398A"/>
              <w:left w:val="single" w:sz="4" w:space="0" w:color="2C398A"/>
              <w:bottom w:val="single" w:sz="4" w:space="0" w:color="2C398A"/>
              <w:right w:val="single" w:sz="4" w:space="0" w:color="2C398A"/>
            </w:tcBorders>
          </w:tcPr>
          <w:p w:rsidR="00A56FE9" w:rsidRDefault="00000000">
            <w:pPr>
              <w:pStyle w:val="TableParagraph"/>
              <w:spacing w:line="188" w:lineRule="exact"/>
              <w:ind w:left="1351"/>
              <w:rPr>
                <w:sz w:val="18"/>
              </w:rPr>
            </w:pPr>
            <w:r>
              <w:rPr>
                <w:w w:val="105"/>
                <w:sz w:val="18"/>
              </w:rPr>
              <w:t>%</w:t>
            </w:r>
            <w:r>
              <w:rPr>
                <w:spacing w:val="-3"/>
                <w:w w:val="105"/>
                <w:sz w:val="18"/>
              </w:rPr>
              <w:t xml:space="preserve"> </w:t>
            </w:r>
            <w:r>
              <w:rPr>
                <w:w w:val="105"/>
                <w:sz w:val="18"/>
              </w:rPr>
              <w:t>total</w:t>
            </w:r>
            <w:r>
              <w:rPr>
                <w:spacing w:val="-6"/>
                <w:w w:val="105"/>
                <w:sz w:val="18"/>
              </w:rPr>
              <w:t xml:space="preserve"> </w:t>
            </w:r>
            <w:r>
              <w:rPr>
                <w:w w:val="105"/>
                <w:sz w:val="18"/>
              </w:rPr>
              <w:t>population</w:t>
            </w:r>
          </w:p>
        </w:tc>
        <w:tc>
          <w:tcPr>
            <w:tcW w:w="708" w:type="dxa"/>
            <w:tcBorders>
              <w:top w:val="single" w:sz="8" w:space="0" w:color="2C398A"/>
              <w:left w:val="single" w:sz="4" w:space="0" w:color="2C398A"/>
              <w:bottom w:val="single" w:sz="4" w:space="0" w:color="2C398A"/>
              <w:right w:val="single" w:sz="4" w:space="0" w:color="FFFFFF"/>
            </w:tcBorders>
          </w:tcPr>
          <w:p w:rsidR="00A56FE9" w:rsidRDefault="00000000">
            <w:pPr>
              <w:pStyle w:val="TableParagraph"/>
              <w:spacing w:line="188" w:lineRule="exact"/>
              <w:ind w:left="141"/>
              <w:rPr>
                <w:sz w:val="18"/>
              </w:rPr>
            </w:pPr>
            <w:r>
              <w:rPr>
                <w:sz w:val="18"/>
              </w:rPr>
              <w:t>2013</w:t>
            </w:r>
          </w:p>
        </w:tc>
        <w:tc>
          <w:tcPr>
            <w:tcW w:w="992" w:type="dxa"/>
            <w:tcBorders>
              <w:top w:val="single" w:sz="8" w:space="0" w:color="2C398A"/>
              <w:left w:val="single" w:sz="4" w:space="0" w:color="FFFFFF"/>
              <w:bottom w:val="single" w:sz="4" w:space="0" w:color="2C398A"/>
            </w:tcBorders>
          </w:tcPr>
          <w:p w:rsidR="00A56FE9" w:rsidRDefault="00000000">
            <w:pPr>
              <w:pStyle w:val="TableParagraph"/>
              <w:spacing w:line="188" w:lineRule="exact"/>
              <w:ind w:right="97"/>
              <w:jc w:val="right"/>
              <w:rPr>
                <w:sz w:val="18"/>
              </w:rPr>
            </w:pPr>
            <w:r>
              <w:rPr>
                <w:sz w:val="18"/>
              </w:rPr>
              <w:t>40.6</w:t>
            </w:r>
          </w:p>
        </w:tc>
        <w:tc>
          <w:tcPr>
            <w:tcW w:w="680" w:type="dxa"/>
            <w:tcBorders>
              <w:top w:val="single" w:sz="8" w:space="0" w:color="2C398A"/>
              <w:bottom w:val="single" w:sz="4" w:space="0" w:color="2C398A"/>
              <w:right w:val="single" w:sz="4" w:space="0" w:color="FFFFFF"/>
            </w:tcBorders>
          </w:tcPr>
          <w:p w:rsidR="00A56FE9" w:rsidRDefault="00000000">
            <w:pPr>
              <w:pStyle w:val="TableParagraph"/>
              <w:spacing w:line="188" w:lineRule="exact"/>
              <w:ind w:left="145"/>
              <w:rPr>
                <w:sz w:val="18"/>
              </w:rPr>
            </w:pPr>
            <w:r>
              <w:rPr>
                <w:sz w:val="18"/>
              </w:rPr>
              <w:t>2020</w:t>
            </w:r>
          </w:p>
        </w:tc>
        <w:tc>
          <w:tcPr>
            <w:tcW w:w="989" w:type="dxa"/>
            <w:tcBorders>
              <w:top w:val="single" w:sz="8" w:space="0" w:color="2C398A"/>
              <w:left w:val="single" w:sz="4" w:space="0" w:color="FFFFFF"/>
              <w:bottom w:val="single" w:sz="4" w:space="0" w:color="2C398A"/>
              <w:right w:val="nil"/>
            </w:tcBorders>
          </w:tcPr>
          <w:p w:rsidR="00A56FE9" w:rsidRDefault="00000000">
            <w:pPr>
              <w:pStyle w:val="TableParagraph"/>
              <w:spacing w:line="188" w:lineRule="exact"/>
              <w:ind w:right="141"/>
              <w:jc w:val="right"/>
              <w:rPr>
                <w:sz w:val="18"/>
              </w:rPr>
            </w:pPr>
            <w:r>
              <w:rPr>
                <w:w w:val="105"/>
                <w:sz w:val="18"/>
              </w:rPr>
              <w:t>51.2</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w w:val="105"/>
                <w:sz w:val="18"/>
              </w:rPr>
              <w:t>Share</w:t>
            </w:r>
            <w:r>
              <w:rPr>
                <w:spacing w:val="-11"/>
                <w:w w:val="105"/>
                <w:sz w:val="18"/>
              </w:rPr>
              <w:t xml:space="preserve"> </w:t>
            </w:r>
            <w:r>
              <w:rPr>
                <w:w w:val="105"/>
                <w:sz w:val="18"/>
              </w:rPr>
              <w:t>of</w:t>
            </w:r>
            <w:r>
              <w:rPr>
                <w:spacing w:val="-7"/>
                <w:w w:val="105"/>
                <w:sz w:val="18"/>
              </w:rPr>
              <w:t xml:space="preserve"> </w:t>
            </w:r>
            <w:r>
              <w:rPr>
                <w:w w:val="105"/>
                <w:sz w:val="18"/>
              </w:rPr>
              <w:t>renewable</w:t>
            </w:r>
            <w:r>
              <w:rPr>
                <w:spacing w:val="-10"/>
                <w:w w:val="105"/>
                <w:sz w:val="18"/>
              </w:rPr>
              <w:t xml:space="preserve"> </w:t>
            </w:r>
            <w:r>
              <w:rPr>
                <w:w w:val="105"/>
                <w:sz w:val="18"/>
              </w:rPr>
              <w:t>energy</w:t>
            </w:r>
            <w:r>
              <w:rPr>
                <w:spacing w:val="-10"/>
                <w:w w:val="105"/>
                <w:sz w:val="18"/>
              </w:rPr>
              <w:t xml:space="preserve"> </w:t>
            </w:r>
            <w:r>
              <w:rPr>
                <w:w w:val="105"/>
                <w:sz w:val="18"/>
              </w:rPr>
              <w:t>in</w:t>
            </w:r>
            <w:r>
              <w:rPr>
                <w:spacing w:val="-10"/>
                <w:w w:val="105"/>
                <w:sz w:val="18"/>
              </w:rPr>
              <w:t xml:space="preserve"> </w:t>
            </w:r>
            <w:r>
              <w:rPr>
                <w:w w:val="105"/>
                <w:sz w:val="18"/>
              </w:rPr>
              <w:t>gross</w:t>
            </w:r>
            <w:r>
              <w:rPr>
                <w:spacing w:val="-11"/>
                <w:w w:val="105"/>
                <w:sz w:val="18"/>
              </w:rPr>
              <w:t xml:space="preserve"> </w:t>
            </w:r>
            <w:r>
              <w:rPr>
                <w:w w:val="105"/>
                <w:sz w:val="18"/>
              </w:rPr>
              <w:t>final</w:t>
            </w:r>
            <w:r>
              <w:rPr>
                <w:spacing w:val="-9"/>
                <w:w w:val="105"/>
                <w:sz w:val="18"/>
              </w:rPr>
              <w:t xml:space="preserve"> </w:t>
            </w:r>
            <w:r>
              <w:rPr>
                <w:w w:val="105"/>
                <w:sz w:val="18"/>
              </w:rPr>
              <w:t>energy</w:t>
            </w:r>
            <w:r>
              <w:rPr>
                <w:spacing w:val="-8"/>
                <w:w w:val="105"/>
                <w:sz w:val="18"/>
              </w:rPr>
              <w:t xml:space="preserve"> </w:t>
            </w:r>
            <w:r>
              <w:rPr>
                <w:w w:val="105"/>
                <w:sz w:val="18"/>
              </w:rPr>
              <w:t>consumption</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3"/>
              <w:jc w:val="center"/>
              <w:rPr>
                <w:sz w:val="18"/>
              </w:rPr>
            </w:pPr>
            <w:r>
              <w:rPr>
                <w:w w:val="103"/>
                <w:sz w:val="18"/>
              </w:rPr>
              <w:t>%</w:t>
            </w:r>
          </w:p>
        </w:tc>
        <w:tc>
          <w:tcPr>
            <w:tcW w:w="708" w:type="dxa"/>
            <w:tcBorders>
              <w:top w:val="single" w:sz="4" w:space="0" w:color="2C398A"/>
              <w:left w:val="single" w:sz="4" w:space="0" w:color="2C398A"/>
              <w:bottom w:val="single" w:sz="4" w:space="0" w:color="2C398A"/>
              <w:right w:val="single" w:sz="4" w:space="0" w:color="FFFFFF"/>
            </w:tcBorders>
          </w:tcPr>
          <w:p w:rsidR="00A56FE9" w:rsidRDefault="00000000">
            <w:pPr>
              <w:pStyle w:val="TableParagraph"/>
              <w:spacing w:before="7" w:line="201" w:lineRule="exact"/>
              <w:ind w:left="132"/>
              <w:rPr>
                <w:sz w:val="18"/>
              </w:rPr>
            </w:pPr>
            <w:r>
              <w:rPr>
                <w:w w:val="105"/>
                <w:sz w:val="18"/>
              </w:rPr>
              <w:t>2013</w:t>
            </w:r>
          </w:p>
        </w:tc>
        <w:tc>
          <w:tcPr>
            <w:tcW w:w="992" w:type="dxa"/>
            <w:tcBorders>
              <w:top w:val="single" w:sz="4" w:space="0" w:color="2C398A"/>
              <w:left w:val="single" w:sz="4" w:space="0" w:color="FFFFFF"/>
              <w:bottom w:val="single" w:sz="4" w:space="0" w:color="2C398A"/>
            </w:tcBorders>
          </w:tcPr>
          <w:p w:rsidR="00A56FE9" w:rsidRDefault="00000000">
            <w:pPr>
              <w:pStyle w:val="TableParagraph"/>
              <w:spacing w:before="7" w:line="201" w:lineRule="exact"/>
              <w:ind w:right="101"/>
              <w:jc w:val="right"/>
              <w:rPr>
                <w:sz w:val="18"/>
              </w:rPr>
            </w:pPr>
            <w:r>
              <w:rPr>
                <w:w w:val="105"/>
                <w:sz w:val="18"/>
              </w:rPr>
              <w:t>28.0</w:t>
            </w:r>
          </w:p>
        </w:tc>
        <w:tc>
          <w:tcPr>
            <w:tcW w:w="680" w:type="dxa"/>
            <w:tcBorders>
              <w:top w:val="single" w:sz="4" w:space="0" w:color="2C398A"/>
              <w:bottom w:val="single" w:sz="4" w:space="0" w:color="2C398A"/>
              <w:right w:val="single" w:sz="4" w:space="0" w:color="FFFFFF"/>
            </w:tcBorders>
          </w:tcPr>
          <w:p w:rsidR="00A56FE9" w:rsidRDefault="00000000">
            <w:pPr>
              <w:pStyle w:val="TableParagraph"/>
              <w:spacing w:before="7" w:line="201" w:lineRule="exact"/>
              <w:ind w:left="138"/>
              <w:rPr>
                <w:sz w:val="18"/>
              </w:rPr>
            </w:pPr>
            <w:r>
              <w:rPr>
                <w:w w:val="105"/>
                <w:sz w:val="18"/>
              </w:rPr>
              <w:t>2020</w:t>
            </w:r>
          </w:p>
        </w:tc>
        <w:tc>
          <w:tcPr>
            <w:tcW w:w="989" w:type="dxa"/>
            <w:tcBorders>
              <w:top w:val="single" w:sz="4" w:space="0" w:color="2C398A"/>
              <w:left w:val="single" w:sz="4" w:space="0" w:color="FFFFFF"/>
              <w:bottom w:val="single" w:sz="4" w:space="0" w:color="2C398A"/>
              <w:right w:val="nil"/>
            </w:tcBorders>
          </w:tcPr>
          <w:p w:rsidR="00A56FE9" w:rsidRDefault="00000000">
            <w:pPr>
              <w:pStyle w:val="TableParagraph"/>
              <w:spacing w:before="7" w:line="201" w:lineRule="exact"/>
              <w:ind w:right="141"/>
              <w:jc w:val="right"/>
              <w:rPr>
                <w:sz w:val="18"/>
              </w:rPr>
            </w:pPr>
            <w:r>
              <w:rPr>
                <w:w w:val="105"/>
                <w:sz w:val="18"/>
              </w:rPr>
              <w:t>28.5</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1"/>
                <w:w w:val="105"/>
                <w:sz w:val="18"/>
              </w:rPr>
              <w:t>Average</w:t>
            </w:r>
            <w:r>
              <w:rPr>
                <w:spacing w:val="-11"/>
                <w:w w:val="105"/>
                <w:sz w:val="18"/>
              </w:rPr>
              <w:t xml:space="preserve"> </w:t>
            </w:r>
            <w:r>
              <w:rPr>
                <w:spacing w:val="-1"/>
                <w:w w:val="105"/>
                <w:sz w:val="18"/>
              </w:rPr>
              <w:t>CO2</w:t>
            </w:r>
            <w:r>
              <w:rPr>
                <w:spacing w:val="-7"/>
                <w:w w:val="105"/>
                <w:sz w:val="18"/>
              </w:rPr>
              <w:t xml:space="preserve"> </w:t>
            </w:r>
            <w:r>
              <w:rPr>
                <w:spacing w:val="-1"/>
                <w:w w:val="105"/>
                <w:sz w:val="18"/>
              </w:rPr>
              <w:t>emissions</w:t>
            </w:r>
            <w:r>
              <w:rPr>
                <w:spacing w:val="-11"/>
                <w:w w:val="105"/>
                <w:sz w:val="18"/>
              </w:rPr>
              <w:t xml:space="preserve"> </w:t>
            </w:r>
            <w:r>
              <w:rPr>
                <w:spacing w:val="-1"/>
                <w:w w:val="105"/>
                <w:sz w:val="18"/>
              </w:rPr>
              <w:t>per</w:t>
            </w:r>
            <w:r>
              <w:rPr>
                <w:spacing w:val="-10"/>
                <w:w w:val="105"/>
                <w:sz w:val="18"/>
              </w:rPr>
              <w:t xml:space="preserve"> </w:t>
            </w:r>
            <w:r>
              <w:rPr>
                <w:spacing w:val="-1"/>
                <w:w w:val="105"/>
                <w:sz w:val="18"/>
              </w:rPr>
              <w:t>km</w:t>
            </w:r>
            <w:r>
              <w:rPr>
                <w:spacing w:val="-6"/>
                <w:w w:val="105"/>
                <w:sz w:val="18"/>
              </w:rPr>
              <w:t xml:space="preserve"> </w:t>
            </w:r>
            <w:r>
              <w:rPr>
                <w:spacing w:val="-1"/>
                <w:w w:val="105"/>
                <w:sz w:val="18"/>
              </w:rPr>
              <w:t>from</w:t>
            </w:r>
            <w:r>
              <w:rPr>
                <w:spacing w:val="-9"/>
                <w:w w:val="105"/>
                <w:sz w:val="18"/>
              </w:rPr>
              <w:t xml:space="preserve"> </w:t>
            </w:r>
            <w:r>
              <w:rPr>
                <w:spacing w:val="-1"/>
                <w:w w:val="105"/>
                <w:sz w:val="18"/>
              </w:rPr>
              <w:t>new</w:t>
            </w:r>
            <w:r>
              <w:rPr>
                <w:spacing w:val="-8"/>
                <w:w w:val="105"/>
                <w:sz w:val="18"/>
              </w:rPr>
              <w:t xml:space="preserve"> </w:t>
            </w:r>
            <w:r>
              <w:rPr>
                <w:spacing w:val="-1"/>
                <w:w w:val="105"/>
                <w:sz w:val="18"/>
              </w:rPr>
              <w:t>passenger</w:t>
            </w:r>
            <w:r>
              <w:rPr>
                <w:spacing w:val="-7"/>
                <w:w w:val="105"/>
                <w:sz w:val="18"/>
              </w:rPr>
              <w:t xml:space="preserve"> </w:t>
            </w:r>
            <w:r>
              <w:rPr>
                <w:spacing w:val="-1"/>
                <w:w w:val="105"/>
                <w:sz w:val="18"/>
              </w:rPr>
              <w:t>cars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08" w:lineRule="exact"/>
              <w:ind w:left="64" w:right="64"/>
              <w:jc w:val="center"/>
              <w:rPr>
                <w:sz w:val="18"/>
              </w:rPr>
            </w:pPr>
            <w:r>
              <w:rPr>
                <w:w w:val="105"/>
                <w:sz w:val="18"/>
              </w:rPr>
              <w:t>g</w:t>
            </w:r>
            <w:r>
              <w:rPr>
                <w:spacing w:val="-9"/>
                <w:w w:val="105"/>
                <w:sz w:val="18"/>
              </w:rPr>
              <w:t xml:space="preserve"> </w:t>
            </w:r>
            <w:r>
              <w:rPr>
                <w:w w:val="105"/>
                <w:position w:val="-1"/>
                <w:sz w:val="18"/>
              </w:rPr>
              <w:t>CO</w:t>
            </w:r>
            <w:r>
              <w:rPr>
                <w:w w:val="105"/>
                <w:position w:val="-1"/>
                <w:sz w:val="18"/>
                <w:vertAlign w:val="subscript"/>
              </w:rPr>
              <w:t>2</w:t>
            </w:r>
            <w:r>
              <w:rPr>
                <w:spacing w:val="2"/>
                <w:w w:val="105"/>
                <w:position w:val="-1"/>
                <w:sz w:val="18"/>
              </w:rPr>
              <w:t xml:space="preserve"> </w:t>
            </w:r>
            <w:r>
              <w:rPr>
                <w:w w:val="105"/>
                <w:sz w:val="18"/>
              </w:rPr>
              <w:t>per</w:t>
            </w:r>
            <w:r>
              <w:rPr>
                <w:spacing w:val="-4"/>
                <w:w w:val="105"/>
                <w:sz w:val="18"/>
              </w:rPr>
              <w:t xml:space="preserve"> </w:t>
            </w:r>
            <w:r>
              <w:rPr>
                <w:w w:val="105"/>
                <w:sz w:val="18"/>
              </w:rPr>
              <w:t>km</w:t>
            </w:r>
          </w:p>
        </w:tc>
        <w:tc>
          <w:tcPr>
            <w:tcW w:w="708" w:type="dxa"/>
            <w:tcBorders>
              <w:top w:val="single" w:sz="4" w:space="0" w:color="2C398A"/>
              <w:left w:val="single" w:sz="4" w:space="0" w:color="2C398A"/>
              <w:bottom w:val="single" w:sz="4" w:space="0" w:color="2C398A"/>
              <w:right w:val="single" w:sz="4" w:space="0" w:color="FFFFFF"/>
            </w:tcBorders>
          </w:tcPr>
          <w:p w:rsidR="00A56FE9" w:rsidRDefault="00000000">
            <w:pPr>
              <w:pStyle w:val="TableParagraph"/>
              <w:spacing w:before="4" w:line="203" w:lineRule="exact"/>
              <w:ind w:left="132"/>
              <w:rPr>
                <w:sz w:val="18"/>
              </w:rPr>
            </w:pPr>
            <w:r>
              <w:rPr>
                <w:w w:val="105"/>
                <w:sz w:val="18"/>
              </w:rPr>
              <w:t>2013</w:t>
            </w:r>
          </w:p>
        </w:tc>
        <w:tc>
          <w:tcPr>
            <w:tcW w:w="992" w:type="dxa"/>
            <w:tcBorders>
              <w:top w:val="single" w:sz="4" w:space="0" w:color="2C398A"/>
              <w:left w:val="single" w:sz="4" w:space="0" w:color="FFFFFF"/>
              <w:bottom w:val="single" w:sz="4" w:space="0" w:color="2C398A"/>
            </w:tcBorders>
          </w:tcPr>
          <w:p w:rsidR="00A56FE9" w:rsidRDefault="00000000">
            <w:pPr>
              <w:pStyle w:val="TableParagraph"/>
              <w:spacing w:before="4" w:line="203" w:lineRule="exact"/>
              <w:ind w:right="101"/>
              <w:jc w:val="right"/>
              <w:rPr>
                <w:sz w:val="18"/>
              </w:rPr>
            </w:pPr>
            <w:r>
              <w:rPr>
                <w:w w:val="105"/>
                <w:sz w:val="18"/>
              </w:rPr>
              <w:t>127.1</w:t>
            </w:r>
          </w:p>
        </w:tc>
        <w:tc>
          <w:tcPr>
            <w:tcW w:w="680" w:type="dxa"/>
            <w:tcBorders>
              <w:top w:val="single" w:sz="4" w:space="0" w:color="2C398A"/>
              <w:bottom w:val="single" w:sz="4" w:space="0" w:color="2C398A"/>
              <w:right w:val="single" w:sz="4" w:space="0" w:color="FFFFFF"/>
            </w:tcBorders>
          </w:tcPr>
          <w:p w:rsidR="00A56FE9" w:rsidRDefault="00000000">
            <w:pPr>
              <w:pStyle w:val="TableParagraph"/>
              <w:spacing w:before="4" w:line="203" w:lineRule="exact"/>
              <w:ind w:left="138"/>
              <w:rPr>
                <w:sz w:val="18"/>
              </w:rPr>
            </w:pPr>
            <w:r>
              <w:rPr>
                <w:w w:val="105"/>
                <w:sz w:val="18"/>
              </w:rPr>
              <w:t>2019</w:t>
            </w:r>
          </w:p>
        </w:tc>
        <w:tc>
          <w:tcPr>
            <w:tcW w:w="989" w:type="dxa"/>
            <w:tcBorders>
              <w:top w:val="single" w:sz="4" w:space="0" w:color="2C398A"/>
              <w:left w:val="single" w:sz="4" w:space="0" w:color="FFFFFF"/>
              <w:bottom w:val="single" w:sz="4" w:space="0" w:color="2C398A"/>
              <w:right w:val="nil"/>
            </w:tcBorders>
          </w:tcPr>
          <w:p w:rsidR="00A56FE9" w:rsidRDefault="00000000">
            <w:pPr>
              <w:pStyle w:val="TableParagraph"/>
              <w:spacing w:before="4" w:line="203" w:lineRule="exact"/>
              <w:ind w:right="141"/>
              <w:jc w:val="right"/>
              <w:rPr>
                <w:sz w:val="18"/>
              </w:rPr>
            </w:pPr>
            <w:r>
              <w:rPr>
                <w:w w:val="105"/>
                <w:sz w:val="18"/>
              </w:rPr>
              <w:t>119.4</w:t>
            </w:r>
          </w:p>
        </w:tc>
      </w:tr>
      <w:tr w:rsidR="00A56FE9">
        <w:trPr>
          <w:trHeight w:val="340"/>
        </w:trPr>
        <w:tc>
          <w:tcPr>
            <w:tcW w:w="14017" w:type="dxa"/>
            <w:gridSpan w:val="6"/>
            <w:tcBorders>
              <w:top w:val="single" w:sz="4" w:space="0" w:color="2C398A"/>
              <w:left w:val="nil"/>
              <w:bottom w:val="single" w:sz="4" w:space="0" w:color="2C398A"/>
              <w:right w:val="nil"/>
            </w:tcBorders>
          </w:tcPr>
          <w:p w:rsidR="00A56FE9" w:rsidRDefault="00000000">
            <w:pPr>
              <w:pStyle w:val="TableParagraph"/>
              <w:spacing w:before="67"/>
              <w:ind w:left="71"/>
              <w:rPr>
                <w:b/>
                <w:sz w:val="18"/>
              </w:rPr>
            </w:pPr>
            <w:r>
              <w:rPr>
                <w:b/>
                <w:color w:val="2C398A"/>
                <w:w w:val="105"/>
                <w:sz w:val="18"/>
              </w:rPr>
              <w:t>Goal</w:t>
            </w:r>
            <w:r>
              <w:rPr>
                <w:b/>
                <w:color w:val="2C398A"/>
                <w:spacing w:val="-5"/>
                <w:w w:val="105"/>
                <w:sz w:val="18"/>
              </w:rPr>
              <w:t xml:space="preserve"> </w:t>
            </w:r>
            <w:r>
              <w:rPr>
                <w:b/>
                <w:color w:val="2C398A"/>
                <w:w w:val="105"/>
                <w:sz w:val="18"/>
              </w:rPr>
              <w:t>14</w:t>
            </w:r>
            <w:r>
              <w:rPr>
                <w:b/>
                <w:color w:val="2C398A"/>
                <w:spacing w:val="-1"/>
                <w:w w:val="105"/>
                <w:sz w:val="18"/>
              </w:rPr>
              <w:t xml:space="preserve"> </w:t>
            </w:r>
            <w:r>
              <w:rPr>
                <w:b/>
                <w:color w:val="2C398A"/>
                <w:w w:val="105"/>
                <w:sz w:val="18"/>
              </w:rPr>
              <w:t>-</w:t>
            </w:r>
            <w:r>
              <w:rPr>
                <w:b/>
                <w:color w:val="2C398A"/>
                <w:spacing w:val="-2"/>
                <w:w w:val="105"/>
                <w:sz w:val="18"/>
              </w:rPr>
              <w:t xml:space="preserve"> </w:t>
            </w:r>
            <w:r>
              <w:rPr>
                <w:b/>
                <w:color w:val="2C398A"/>
                <w:w w:val="105"/>
                <w:sz w:val="18"/>
              </w:rPr>
              <w:t>Life</w:t>
            </w:r>
            <w:r>
              <w:rPr>
                <w:b/>
                <w:color w:val="2C398A"/>
                <w:spacing w:val="-2"/>
                <w:w w:val="105"/>
                <w:sz w:val="18"/>
              </w:rPr>
              <w:t xml:space="preserve"> </w:t>
            </w:r>
            <w:r>
              <w:rPr>
                <w:b/>
                <w:color w:val="2C398A"/>
                <w:w w:val="105"/>
                <w:sz w:val="18"/>
              </w:rPr>
              <w:t>below</w:t>
            </w:r>
            <w:r>
              <w:rPr>
                <w:b/>
                <w:color w:val="2C398A"/>
                <w:spacing w:val="-3"/>
                <w:w w:val="105"/>
                <w:sz w:val="18"/>
              </w:rPr>
              <w:t xml:space="preserve"> </w:t>
            </w:r>
            <w:r>
              <w:rPr>
                <w:b/>
                <w:color w:val="2C398A"/>
                <w:w w:val="105"/>
                <w:sz w:val="18"/>
              </w:rPr>
              <w:t>water</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w w:val="105"/>
                <w:sz w:val="18"/>
              </w:rPr>
              <w:t>Surface</w:t>
            </w:r>
            <w:r>
              <w:rPr>
                <w:spacing w:val="-11"/>
                <w:w w:val="105"/>
                <w:sz w:val="18"/>
              </w:rPr>
              <w:t xml:space="preserve"> </w:t>
            </w:r>
            <w:r>
              <w:rPr>
                <w:w w:val="105"/>
                <w:sz w:val="18"/>
              </w:rPr>
              <w:t>of</w:t>
            </w:r>
            <w:r>
              <w:rPr>
                <w:spacing w:val="-8"/>
                <w:w w:val="105"/>
                <w:sz w:val="18"/>
              </w:rPr>
              <w:t xml:space="preserve"> </w:t>
            </w:r>
            <w:r>
              <w:rPr>
                <w:w w:val="105"/>
                <w:sz w:val="18"/>
              </w:rPr>
              <w:t>marine</w:t>
            </w:r>
            <w:r>
              <w:rPr>
                <w:spacing w:val="-11"/>
                <w:w w:val="105"/>
                <w:sz w:val="18"/>
              </w:rPr>
              <w:t xml:space="preserve"> </w:t>
            </w:r>
            <w:r>
              <w:rPr>
                <w:w w:val="105"/>
                <w:sz w:val="18"/>
              </w:rPr>
              <w:t>sites</w:t>
            </w:r>
            <w:r>
              <w:rPr>
                <w:spacing w:val="-10"/>
                <w:w w:val="105"/>
                <w:sz w:val="18"/>
              </w:rPr>
              <w:t xml:space="preserve"> </w:t>
            </w:r>
            <w:r>
              <w:rPr>
                <w:w w:val="105"/>
                <w:sz w:val="18"/>
              </w:rPr>
              <w:t>designated</w:t>
            </w:r>
            <w:r>
              <w:rPr>
                <w:spacing w:val="-10"/>
                <w:w w:val="105"/>
                <w:sz w:val="18"/>
              </w:rPr>
              <w:t xml:space="preserve"> </w:t>
            </w:r>
            <w:r>
              <w:rPr>
                <w:w w:val="105"/>
                <w:sz w:val="18"/>
              </w:rPr>
              <w:t>under</w:t>
            </w:r>
            <w:r>
              <w:rPr>
                <w:spacing w:val="-8"/>
                <w:w w:val="105"/>
                <w:sz w:val="18"/>
              </w:rPr>
              <w:t xml:space="preserve"> </w:t>
            </w:r>
            <w:r>
              <w:rPr>
                <w:w w:val="105"/>
                <w:sz w:val="18"/>
              </w:rPr>
              <w:t>Natura</w:t>
            </w:r>
            <w:r>
              <w:rPr>
                <w:spacing w:val="-10"/>
                <w:w w:val="105"/>
                <w:sz w:val="18"/>
              </w:rPr>
              <w:t xml:space="preserve"> </w:t>
            </w:r>
            <w:r>
              <w:rPr>
                <w:w w:val="105"/>
                <w:sz w:val="18"/>
              </w:rPr>
              <w:t>2000</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65"/>
              <w:jc w:val="center"/>
              <w:rPr>
                <w:sz w:val="18"/>
              </w:rPr>
            </w:pPr>
            <w:r>
              <w:rPr>
                <w:w w:val="105"/>
                <w:sz w:val="18"/>
              </w:rPr>
              <w:t>km</w:t>
            </w:r>
            <w:r>
              <w:rPr>
                <w:w w:val="105"/>
                <w:sz w:val="18"/>
                <w:vertAlign w:val="superscript"/>
              </w:rPr>
              <w:t>2</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2"/>
              <w:jc w:val="right"/>
              <w:rPr>
                <w:sz w:val="18"/>
              </w:rPr>
            </w:pPr>
            <w:r>
              <w:rPr>
                <w:w w:val="105"/>
                <w:sz w:val="18"/>
              </w:rPr>
              <w:t>5,280</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8"/>
              <w:rPr>
                <w:sz w:val="18"/>
              </w:rPr>
            </w:pPr>
            <w:r>
              <w:rPr>
                <w:w w:val="105"/>
                <w:sz w:val="18"/>
              </w:rPr>
              <w:t>2020</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1"/>
              <w:jc w:val="right"/>
              <w:rPr>
                <w:sz w:val="18"/>
              </w:rPr>
            </w:pPr>
            <w:r>
              <w:rPr>
                <w:w w:val="105"/>
                <w:sz w:val="18"/>
              </w:rPr>
              <w:t>5,238</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2"/>
                <w:w w:val="105"/>
                <w:sz w:val="18"/>
              </w:rPr>
              <w:t>Coastal</w:t>
            </w:r>
            <w:r>
              <w:rPr>
                <w:spacing w:val="-10"/>
                <w:w w:val="105"/>
                <w:sz w:val="18"/>
              </w:rPr>
              <w:t xml:space="preserve"> </w:t>
            </w:r>
            <w:r>
              <w:rPr>
                <w:spacing w:val="-2"/>
                <w:w w:val="105"/>
                <w:sz w:val="18"/>
              </w:rPr>
              <w:t>bathing</w:t>
            </w:r>
            <w:r>
              <w:rPr>
                <w:spacing w:val="-9"/>
                <w:w w:val="105"/>
                <w:sz w:val="18"/>
              </w:rPr>
              <w:t xml:space="preserve"> </w:t>
            </w:r>
            <w:r>
              <w:rPr>
                <w:spacing w:val="-1"/>
                <w:w w:val="105"/>
                <w:sz w:val="18"/>
              </w:rPr>
              <w:t>sites</w:t>
            </w:r>
            <w:r>
              <w:rPr>
                <w:spacing w:val="-9"/>
                <w:w w:val="105"/>
                <w:sz w:val="18"/>
              </w:rPr>
              <w:t xml:space="preserve"> </w:t>
            </w:r>
            <w:r>
              <w:rPr>
                <w:spacing w:val="-1"/>
                <w:w w:val="105"/>
                <w:sz w:val="18"/>
              </w:rPr>
              <w:t>with</w:t>
            </w:r>
            <w:r>
              <w:rPr>
                <w:spacing w:val="-9"/>
                <w:w w:val="105"/>
                <w:sz w:val="18"/>
              </w:rPr>
              <w:t xml:space="preserve"> </w:t>
            </w:r>
            <w:r>
              <w:rPr>
                <w:spacing w:val="-1"/>
                <w:w w:val="105"/>
                <w:sz w:val="18"/>
              </w:rPr>
              <w:t>excellent</w:t>
            </w:r>
            <w:r>
              <w:rPr>
                <w:spacing w:val="-10"/>
                <w:w w:val="105"/>
                <w:sz w:val="18"/>
              </w:rPr>
              <w:t xml:space="preserve"> </w:t>
            </w:r>
            <w:r>
              <w:rPr>
                <w:spacing w:val="-1"/>
                <w:w w:val="105"/>
                <w:sz w:val="18"/>
              </w:rPr>
              <w:t>water</w:t>
            </w:r>
            <w:r>
              <w:rPr>
                <w:spacing w:val="-8"/>
                <w:w w:val="105"/>
                <w:sz w:val="18"/>
              </w:rPr>
              <w:t xml:space="preserve"> </w:t>
            </w:r>
            <w:r>
              <w:rPr>
                <w:spacing w:val="-1"/>
                <w:w w:val="105"/>
                <w:sz w:val="18"/>
              </w:rPr>
              <w:t>quality</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439"/>
              <w:rPr>
                <w:sz w:val="18"/>
              </w:rPr>
            </w:pPr>
            <w:r>
              <w:rPr>
                <w:spacing w:val="-1"/>
                <w:w w:val="105"/>
                <w:sz w:val="18"/>
              </w:rPr>
              <w:t>%</w:t>
            </w:r>
            <w:r>
              <w:rPr>
                <w:spacing w:val="-6"/>
                <w:w w:val="105"/>
                <w:sz w:val="18"/>
              </w:rPr>
              <w:t xml:space="preserve"> </w:t>
            </w:r>
            <w:r>
              <w:rPr>
                <w:spacing w:val="-1"/>
                <w:w w:val="105"/>
                <w:sz w:val="18"/>
              </w:rPr>
              <w:t>bathing</w:t>
            </w:r>
            <w:r>
              <w:rPr>
                <w:spacing w:val="-11"/>
                <w:w w:val="105"/>
                <w:sz w:val="18"/>
              </w:rPr>
              <w:t xml:space="preserve"> </w:t>
            </w:r>
            <w:r>
              <w:rPr>
                <w:spacing w:val="-1"/>
                <w:w w:val="105"/>
                <w:sz w:val="18"/>
              </w:rPr>
              <w:t>sites</w:t>
            </w:r>
            <w:r>
              <w:rPr>
                <w:spacing w:val="-9"/>
                <w:w w:val="105"/>
                <w:sz w:val="18"/>
              </w:rPr>
              <w:t xml:space="preserve"> </w:t>
            </w:r>
            <w:r>
              <w:rPr>
                <w:spacing w:val="-1"/>
                <w:w w:val="105"/>
                <w:sz w:val="18"/>
              </w:rPr>
              <w:t>with</w:t>
            </w:r>
            <w:r>
              <w:rPr>
                <w:spacing w:val="-9"/>
                <w:w w:val="105"/>
                <w:sz w:val="18"/>
              </w:rPr>
              <w:t xml:space="preserve"> </w:t>
            </w:r>
            <w:r>
              <w:rPr>
                <w:spacing w:val="-1"/>
                <w:w w:val="105"/>
                <w:sz w:val="18"/>
              </w:rPr>
              <w:t>excellent</w:t>
            </w:r>
            <w:r>
              <w:rPr>
                <w:spacing w:val="-10"/>
                <w:w w:val="105"/>
                <w:sz w:val="18"/>
              </w:rPr>
              <w:t xml:space="preserve"> </w:t>
            </w:r>
            <w:r>
              <w:rPr>
                <w:spacing w:val="-1"/>
                <w:w w:val="105"/>
                <w:sz w:val="18"/>
              </w:rPr>
              <w:t>water</w:t>
            </w:r>
            <w:r>
              <w:rPr>
                <w:spacing w:val="-11"/>
                <w:w w:val="105"/>
                <w:sz w:val="18"/>
              </w:rPr>
              <w:t xml:space="preserve"> </w:t>
            </w:r>
            <w:r>
              <w:rPr>
                <w:spacing w:val="-1"/>
                <w:w w:val="105"/>
                <w:sz w:val="18"/>
              </w:rPr>
              <w:t>quality</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07"/>
              <w:jc w:val="right"/>
              <w:rPr>
                <w:sz w:val="18"/>
              </w:rPr>
            </w:pPr>
            <w:r>
              <w:rPr>
                <w:sz w:val="18"/>
              </w:rPr>
              <w:t>95.4</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8"/>
              <w:rPr>
                <w:sz w:val="18"/>
              </w:rPr>
            </w:pPr>
            <w:r>
              <w:rPr>
                <w:w w:val="105"/>
                <w:sz w:val="18"/>
              </w:rPr>
              <w:t>2020</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1"/>
              <w:jc w:val="right"/>
              <w:rPr>
                <w:sz w:val="18"/>
              </w:rPr>
            </w:pPr>
            <w:r>
              <w:rPr>
                <w:w w:val="105"/>
                <w:sz w:val="18"/>
              </w:rPr>
              <w:t>98.8</w:t>
            </w:r>
          </w:p>
        </w:tc>
      </w:tr>
      <w:tr w:rsidR="00A56FE9">
        <w:trPr>
          <w:trHeight w:val="228"/>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5" w:line="203" w:lineRule="exact"/>
              <w:ind w:left="71"/>
              <w:rPr>
                <w:sz w:val="18"/>
              </w:rPr>
            </w:pPr>
            <w:r>
              <w:rPr>
                <w:w w:val="105"/>
                <w:sz w:val="18"/>
              </w:rPr>
              <w:t>Marine</w:t>
            </w:r>
            <w:r>
              <w:rPr>
                <w:spacing w:val="-5"/>
                <w:w w:val="105"/>
                <w:sz w:val="18"/>
              </w:rPr>
              <w:t xml:space="preserve"> </w:t>
            </w:r>
            <w:r>
              <w:rPr>
                <w:w w:val="105"/>
                <w:sz w:val="18"/>
              </w:rPr>
              <w:t>waters</w:t>
            </w:r>
            <w:r>
              <w:rPr>
                <w:spacing w:val="-6"/>
                <w:w w:val="105"/>
                <w:sz w:val="18"/>
              </w:rPr>
              <w:t xml:space="preserve"> </w:t>
            </w:r>
            <w:r>
              <w:rPr>
                <w:w w:val="105"/>
                <w:sz w:val="18"/>
              </w:rPr>
              <w:t>affected</w:t>
            </w:r>
            <w:r>
              <w:rPr>
                <w:spacing w:val="-5"/>
                <w:w w:val="105"/>
                <w:sz w:val="18"/>
              </w:rPr>
              <w:t xml:space="preserve"> </w:t>
            </w:r>
            <w:r>
              <w:rPr>
                <w:w w:val="105"/>
                <w:sz w:val="18"/>
              </w:rPr>
              <w:t>by</w:t>
            </w:r>
            <w:r>
              <w:rPr>
                <w:spacing w:val="-3"/>
                <w:w w:val="105"/>
                <w:sz w:val="18"/>
              </w:rPr>
              <w:t xml:space="preserve"> </w:t>
            </w:r>
            <w:r>
              <w:rPr>
                <w:w w:val="105"/>
                <w:sz w:val="18"/>
              </w:rPr>
              <w:t>eutrophication</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3" w:lineRule="exact"/>
              <w:ind w:left="64" w:right="231"/>
              <w:jc w:val="center"/>
              <w:rPr>
                <w:sz w:val="18"/>
              </w:rPr>
            </w:pPr>
            <w:r>
              <w:rPr>
                <w:w w:val="105"/>
                <w:sz w:val="18"/>
              </w:rPr>
              <w:t>km</w:t>
            </w:r>
            <w:r>
              <w:rPr>
                <w:w w:val="105"/>
                <w:sz w:val="18"/>
                <w:vertAlign w:val="superscript"/>
              </w:rPr>
              <w:t>2</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3"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3" w:lineRule="exact"/>
              <w:ind w:right="106"/>
              <w:jc w:val="right"/>
              <w:rPr>
                <w:sz w:val="18"/>
              </w:rPr>
            </w:pPr>
            <w:r>
              <w:rPr>
                <w:sz w:val="18"/>
              </w:rPr>
              <w:t>261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3" w:lineRule="exact"/>
              <w:ind w:left="148"/>
              <w:rPr>
                <w:sz w:val="18"/>
              </w:rPr>
            </w:pPr>
            <w:r>
              <w:rPr>
                <w:w w:val="105"/>
                <w:sz w:val="18"/>
              </w:rPr>
              <w:t>2019</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5" w:line="203" w:lineRule="exact"/>
              <w:ind w:right="140"/>
              <w:jc w:val="right"/>
              <w:rPr>
                <w:sz w:val="18"/>
              </w:rPr>
            </w:pPr>
            <w:r>
              <w:rPr>
                <w:w w:val="105"/>
                <w:sz w:val="18"/>
              </w:rPr>
              <w:t>122</w:t>
            </w:r>
          </w:p>
        </w:tc>
      </w:tr>
      <w:tr w:rsidR="00A56FE9">
        <w:trPr>
          <w:trHeight w:val="340"/>
        </w:trPr>
        <w:tc>
          <w:tcPr>
            <w:tcW w:w="14017" w:type="dxa"/>
            <w:gridSpan w:val="6"/>
            <w:tcBorders>
              <w:top w:val="single" w:sz="4" w:space="0" w:color="2C398A"/>
              <w:left w:val="nil"/>
              <w:bottom w:val="single" w:sz="4" w:space="0" w:color="2C398A"/>
              <w:right w:val="nil"/>
            </w:tcBorders>
          </w:tcPr>
          <w:p w:rsidR="00A56FE9" w:rsidRDefault="00000000">
            <w:pPr>
              <w:pStyle w:val="TableParagraph"/>
              <w:spacing w:before="67"/>
              <w:ind w:left="71"/>
              <w:rPr>
                <w:b/>
                <w:sz w:val="18"/>
              </w:rPr>
            </w:pPr>
            <w:r>
              <w:rPr>
                <w:b/>
                <w:color w:val="2C398A"/>
                <w:w w:val="105"/>
                <w:sz w:val="18"/>
              </w:rPr>
              <w:t>Goal</w:t>
            </w:r>
            <w:r>
              <w:rPr>
                <w:b/>
                <w:color w:val="2C398A"/>
                <w:spacing w:val="-4"/>
                <w:w w:val="105"/>
                <w:sz w:val="18"/>
              </w:rPr>
              <w:t xml:space="preserve"> </w:t>
            </w:r>
            <w:r>
              <w:rPr>
                <w:b/>
                <w:color w:val="2C398A"/>
                <w:w w:val="105"/>
                <w:sz w:val="18"/>
              </w:rPr>
              <w:t>15</w:t>
            </w:r>
            <w:r>
              <w:rPr>
                <w:b/>
                <w:color w:val="2C398A"/>
                <w:spacing w:val="-1"/>
                <w:w w:val="105"/>
                <w:sz w:val="18"/>
              </w:rPr>
              <w:t xml:space="preserve"> </w:t>
            </w:r>
            <w:r>
              <w:rPr>
                <w:b/>
                <w:color w:val="2C398A"/>
                <w:w w:val="105"/>
                <w:sz w:val="18"/>
              </w:rPr>
              <w:t>-</w:t>
            </w:r>
            <w:r>
              <w:rPr>
                <w:b/>
                <w:color w:val="2C398A"/>
                <w:spacing w:val="-2"/>
                <w:w w:val="105"/>
                <w:sz w:val="18"/>
              </w:rPr>
              <w:t xml:space="preserve"> </w:t>
            </w:r>
            <w:r>
              <w:rPr>
                <w:b/>
                <w:color w:val="2C398A"/>
                <w:w w:val="105"/>
                <w:sz w:val="18"/>
              </w:rPr>
              <w:t>Life</w:t>
            </w:r>
            <w:r>
              <w:rPr>
                <w:b/>
                <w:color w:val="2C398A"/>
                <w:spacing w:val="-3"/>
                <w:w w:val="105"/>
                <w:sz w:val="18"/>
              </w:rPr>
              <w:t xml:space="preserve"> </w:t>
            </w:r>
            <w:r>
              <w:rPr>
                <w:b/>
                <w:color w:val="2C398A"/>
                <w:w w:val="105"/>
                <w:sz w:val="18"/>
              </w:rPr>
              <w:t>on</w:t>
            </w:r>
            <w:r>
              <w:rPr>
                <w:b/>
                <w:color w:val="2C398A"/>
                <w:spacing w:val="-3"/>
                <w:w w:val="105"/>
                <w:sz w:val="18"/>
              </w:rPr>
              <w:t xml:space="preserve"> </w:t>
            </w:r>
            <w:r>
              <w:rPr>
                <w:b/>
                <w:color w:val="2C398A"/>
                <w:w w:val="105"/>
                <w:sz w:val="18"/>
              </w:rPr>
              <w:t>land</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w w:val="105"/>
                <w:sz w:val="18"/>
              </w:rPr>
              <w:t>Share</w:t>
            </w:r>
            <w:r>
              <w:rPr>
                <w:spacing w:val="-11"/>
                <w:w w:val="105"/>
                <w:sz w:val="18"/>
              </w:rPr>
              <w:t xml:space="preserve"> </w:t>
            </w:r>
            <w:r>
              <w:rPr>
                <w:w w:val="105"/>
                <w:sz w:val="18"/>
              </w:rPr>
              <w:t>of</w:t>
            </w:r>
            <w:r>
              <w:rPr>
                <w:spacing w:val="-11"/>
                <w:w w:val="105"/>
                <w:sz w:val="18"/>
              </w:rPr>
              <w:t xml:space="preserve"> </w:t>
            </w:r>
            <w:r>
              <w:rPr>
                <w:w w:val="105"/>
                <w:sz w:val="18"/>
              </w:rPr>
              <w:t>forest</w:t>
            </w:r>
            <w:r>
              <w:rPr>
                <w:spacing w:val="-11"/>
                <w:w w:val="105"/>
                <w:sz w:val="18"/>
              </w:rPr>
              <w:t xml:space="preserve"> </w:t>
            </w:r>
            <w:r>
              <w:rPr>
                <w:w w:val="105"/>
                <w:sz w:val="18"/>
              </w:rPr>
              <w:t>area</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64"/>
              <w:jc w:val="center"/>
              <w:rPr>
                <w:sz w:val="18"/>
              </w:rPr>
            </w:pPr>
            <w:r>
              <w:rPr>
                <w:w w:val="105"/>
                <w:sz w:val="18"/>
              </w:rPr>
              <w:t>%</w:t>
            </w:r>
            <w:r>
              <w:rPr>
                <w:spacing w:val="-5"/>
                <w:w w:val="105"/>
                <w:sz w:val="18"/>
              </w:rPr>
              <w:t xml:space="preserve"> </w:t>
            </w:r>
            <w:r>
              <w:rPr>
                <w:w w:val="105"/>
                <w:sz w:val="18"/>
              </w:rPr>
              <w:t>total</w:t>
            </w:r>
            <w:r>
              <w:rPr>
                <w:spacing w:val="-2"/>
                <w:w w:val="105"/>
                <w:sz w:val="18"/>
              </w:rPr>
              <w:t xml:space="preserve"> </w:t>
            </w:r>
            <w:r>
              <w:rPr>
                <w:w w:val="105"/>
                <w:sz w:val="18"/>
              </w:rPr>
              <w:t>area</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2015</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1"/>
              <w:jc w:val="right"/>
              <w:rPr>
                <w:sz w:val="18"/>
              </w:rPr>
            </w:pPr>
            <w:r>
              <w:rPr>
                <w:w w:val="105"/>
                <w:sz w:val="18"/>
              </w:rPr>
              <w:t>50.6</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8"/>
              <w:rPr>
                <w:sz w:val="18"/>
              </w:rPr>
            </w:pPr>
            <w:r>
              <w:rPr>
                <w:w w:val="105"/>
                <w:sz w:val="18"/>
              </w:rPr>
              <w:t>2018</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1"/>
              <w:jc w:val="right"/>
              <w:rPr>
                <w:sz w:val="18"/>
              </w:rPr>
            </w:pPr>
            <w:r>
              <w:rPr>
                <w:w w:val="105"/>
                <w:sz w:val="18"/>
              </w:rPr>
              <w:t>58.0</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w w:val="105"/>
                <w:sz w:val="18"/>
              </w:rPr>
              <w:t>Surface</w:t>
            </w:r>
            <w:r>
              <w:rPr>
                <w:spacing w:val="-12"/>
                <w:w w:val="105"/>
                <w:sz w:val="18"/>
              </w:rPr>
              <w:t xml:space="preserve"> </w:t>
            </w:r>
            <w:r>
              <w:rPr>
                <w:w w:val="105"/>
                <w:sz w:val="18"/>
              </w:rPr>
              <w:t>of</w:t>
            </w:r>
            <w:r>
              <w:rPr>
                <w:spacing w:val="-10"/>
                <w:w w:val="105"/>
                <w:sz w:val="18"/>
              </w:rPr>
              <w:t xml:space="preserve"> </w:t>
            </w:r>
            <w:r>
              <w:rPr>
                <w:w w:val="105"/>
                <w:sz w:val="18"/>
              </w:rPr>
              <w:t>terrestrial</w:t>
            </w:r>
            <w:r>
              <w:rPr>
                <w:spacing w:val="-12"/>
                <w:w w:val="105"/>
                <w:sz w:val="18"/>
              </w:rPr>
              <w:t xml:space="preserve"> </w:t>
            </w:r>
            <w:r>
              <w:rPr>
                <w:w w:val="105"/>
                <w:sz w:val="18"/>
              </w:rPr>
              <w:t>sites</w:t>
            </w:r>
            <w:r>
              <w:rPr>
                <w:spacing w:val="-11"/>
                <w:w w:val="105"/>
                <w:sz w:val="18"/>
              </w:rPr>
              <w:t xml:space="preserve"> </w:t>
            </w:r>
            <w:r>
              <w:rPr>
                <w:w w:val="105"/>
                <w:sz w:val="18"/>
              </w:rPr>
              <w:t>designated</w:t>
            </w:r>
            <w:r>
              <w:rPr>
                <w:spacing w:val="-8"/>
                <w:w w:val="105"/>
                <w:sz w:val="18"/>
              </w:rPr>
              <w:t xml:space="preserve"> </w:t>
            </w:r>
            <w:r>
              <w:rPr>
                <w:w w:val="105"/>
                <w:sz w:val="18"/>
              </w:rPr>
              <w:t>under</w:t>
            </w:r>
            <w:r>
              <w:rPr>
                <w:spacing w:val="-9"/>
                <w:w w:val="105"/>
                <w:sz w:val="18"/>
              </w:rPr>
              <w:t xml:space="preserve"> </w:t>
            </w:r>
            <w:r>
              <w:rPr>
                <w:w w:val="105"/>
                <w:sz w:val="18"/>
              </w:rPr>
              <w:t>Natura</w:t>
            </w:r>
            <w:r>
              <w:rPr>
                <w:spacing w:val="-10"/>
                <w:w w:val="105"/>
                <w:sz w:val="18"/>
              </w:rPr>
              <w:t xml:space="preserve"> </w:t>
            </w:r>
            <w:r>
              <w:rPr>
                <w:w w:val="105"/>
                <w:sz w:val="18"/>
              </w:rPr>
              <w:t>2000</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5"/>
              <w:jc w:val="center"/>
              <w:rPr>
                <w:sz w:val="18"/>
              </w:rPr>
            </w:pPr>
            <w:r>
              <w:rPr>
                <w:w w:val="105"/>
                <w:sz w:val="18"/>
              </w:rPr>
              <w:t>km</w:t>
            </w:r>
            <w:r>
              <w:rPr>
                <w:w w:val="105"/>
                <w:sz w:val="18"/>
                <w:vertAlign w:val="superscript"/>
              </w:rPr>
              <w:t>2</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2"/>
              <w:jc w:val="right"/>
              <w:rPr>
                <w:sz w:val="18"/>
              </w:rPr>
            </w:pPr>
            <w:r>
              <w:rPr>
                <w:w w:val="105"/>
                <w:sz w:val="18"/>
              </w:rPr>
              <w:t>20,672</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8"/>
              <w:rPr>
                <w:sz w:val="18"/>
              </w:rPr>
            </w:pPr>
            <w:r>
              <w:rPr>
                <w:w w:val="105"/>
                <w:sz w:val="18"/>
              </w:rPr>
              <w:t>2020</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1"/>
              <w:jc w:val="right"/>
              <w:rPr>
                <w:sz w:val="18"/>
              </w:rPr>
            </w:pPr>
            <w:r>
              <w:rPr>
                <w:w w:val="105"/>
                <w:sz w:val="18"/>
              </w:rPr>
              <w:t>20,716</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2"/>
                <w:w w:val="105"/>
                <w:sz w:val="18"/>
              </w:rPr>
              <w:t>Soil</w:t>
            </w:r>
            <w:r>
              <w:rPr>
                <w:spacing w:val="-9"/>
                <w:w w:val="105"/>
                <w:sz w:val="18"/>
              </w:rPr>
              <w:t xml:space="preserve"> </w:t>
            </w:r>
            <w:r>
              <w:rPr>
                <w:spacing w:val="-2"/>
                <w:w w:val="105"/>
                <w:sz w:val="18"/>
              </w:rPr>
              <w:t>sealing</w:t>
            </w:r>
            <w:r>
              <w:rPr>
                <w:spacing w:val="-6"/>
                <w:w w:val="105"/>
                <w:sz w:val="18"/>
              </w:rPr>
              <w:t xml:space="preserve"> </w:t>
            </w:r>
            <w:r>
              <w:rPr>
                <w:spacing w:val="-1"/>
                <w:w w:val="105"/>
                <w:sz w:val="18"/>
              </w:rPr>
              <w:t>index</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4"/>
              <w:jc w:val="center"/>
              <w:rPr>
                <w:sz w:val="18"/>
              </w:rPr>
            </w:pPr>
            <w:r>
              <w:rPr>
                <w:w w:val="105"/>
                <w:sz w:val="18"/>
              </w:rPr>
              <w:t>index</w:t>
            </w:r>
            <w:r>
              <w:rPr>
                <w:spacing w:val="-6"/>
                <w:w w:val="105"/>
                <w:sz w:val="18"/>
              </w:rPr>
              <w:t xml:space="preserve"> </w:t>
            </w:r>
            <w:r>
              <w:rPr>
                <w:w w:val="105"/>
                <w:sz w:val="18"/>
              </w:rPr>
              <w:t>2006</w:t>
            </w:r>
            <w:r>
              <w:rPr>
                <w:spacing w:val="-9"/>
                <w:w w:val="105"/>
                <w:sz w:val="18"/>
              </w:rPr>
              <w:t xml:space="preserve"> </w:t>
            </w:r>
            <w:r>
              <w:rPr>
                <w:w w:val="105"/>
                <w:sz w:val="18"/>
              </w:rPr>
              <w:t>=</w:t>
            </w:r>
            <w:r>
              <w:rPr>
                <w:spacing w:val="-10"/>
                <w:w w:val="105"/>
                <w:sz w:val="18"/>
              </w:rPr>
              <w:t xml:space="preserve"> </w:t>
            </w:r>
            <w:r>
              <w:rPr>
                <w:w w:val="105"/>
                <w:sz w:val="18"/>
              </w:rPr>
              <w:t>100</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2012</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1"/>
              <w:jc w:val="right"/>
              <w:rPr>
                <w:sz w:val="18"/>
              </w:rPr>
            </w:pPr>
            <w:r>
              <w:rPr>
                <w:w w:val="105"/>
                <w:sz w:val="18"/>
              </w:rPr>
              <w:t>102.9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8"/>
              <w:rPr>
                <w:sz w:val="18"/>
              </w:rPr>
            </w:pPr>
            <w:r>
              <w:rPr>
                <w:w w:val="105"/>
                <w:sz w:val="18"/>
              </w:rPr>
              <w:t>2018</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1"/>
              <w:jc w:val="right"/>
              <w:rPr>
                <w:sz w:val="18"/>
              </w:rPr>
            </w:pPr>
            <w:r>
              <w:rPr>
                <w:w w:val="105"/>
                <w:sz w:val="18"/>
              </w:rPr>
              <w:t>107.3</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w w:val="105"/>
                <w:sz w:val="18"/>
              </w:rPr>
              <w:t>Estimated</w:t>
            </w:r>
            <w:r>
              <w:rPr>
                <w:spacing w:val="-4"/>
                <w:w w:val="105"/>
                <w:sz w:val="18"/>
              </w:rPr>
              <w:t xml:space="preserve"> </w:t>
            </w:r>
            <w:r>
              <w:rPr>
                <w:w w:val="105"/>
                <w:sz w:val="18"/>
              </w:rPr>
              <w:t>soil</w:t>
            </w:r>
            <w:r>
              <w:rPr>
                <w:spacing w:val="-3"/>
                <w:w w:val="105"/>
                <w:sz w:val="18"/>
              </w:rPr>
              <w:t xml:space="preserve"> </w:t>
            </w:r>
            <w:r>
              <w:rPr>
                <w:w w:val="105"/>
                <w:sz w:val="18"/>
              </w:rPr>
              <w:t>erosion</w:t>
            </w:r>
            <w:r>
              <w:rPr>
                <w:spacing w:val="-4"/>
                <w:w w:val="105"/>
                <w:sz w:val="18"/>
              </w:rPr>
              <w:t xml:space="preserve"> </w:t>
            </w:r>
            <w:r>
              <w:rPr>
                <w:w w:val="105"/>
                <w:sz w:val="18"/>
              </w:rPr>
              <w:t>by</w:t>
            </w:r>
            <w:r>
              <w:rPr>
                <w:spacing w:val="-1"/>
                <w:w w:val="105"/>
                <w:sz w:val="18"/>
              </w:rPr>
              <w:t xml:space="preserve"> </w:t>
            </w:r>
            <w:r>
              <w:rPr>
                <w:w w:val="105"/>
                <w:sz w:val="18"/>
              </w:rPr>
              <w:t>water</w:t>
            </w:r>
            <w:r>
              <w:rPr>
                <w:spacing w:val="4"/>
                <w:w w:val="105"/>
                <w:sz w:val="18"/>
              </w:rPr>
              <w:t xml:space="preserve"> </w:t>
            </w:r>
            <w:r>
              <w:rPr>
                <w:w w:val="105"/>
                <w:sz w:val="18"/>
              </w:rPr>
              <w:t>-</w:t>
            </w:r>
            <w:r>
              <w:rPr>
                <w:spacing w:val="-4"/>
                <w:w w:val="105"/>
                <w:sz w:val="18"/>
              </w:rPr>
              <w:t xml:space="preserve"> </w:t>
            </w:r>
            <w:r>
              <w:rPr>
                <w:w w:val="105"/>
                <w:sz w:val="18"/>
              </w:rPr>
              <w:t>area</w:t>
            </w:r>
            <w:r>
              <w:rPr>
                <w:spacing w:val="-2"/>
                <w:w w:val="105"/>
                <w:sz w:val="18"/>
              </w:rPr>
              <w:t xml:space="preserve"> </w:t>
            </w:r>
            <w:r>
              <w:rPr>
                <w:w w:val="105"/>
                <w:sz w:val="18"/>
              </w:rPr>
              <w:t>affected</w:t>
            </w:r>
            <w:r>
              <w:rPr>
                <w:spacing w:val="-4"/>
                <w:w w:val="105"/>
                <w:sz w:val="18"/>
              </w:rPr>
              <w:t xml:space="preserve"> </w:t>
            </w:r>
            <w:r>
              <w:rPr>
                <w:w w:val="105"/>
                <w:sz w:val="18"/>
              </w:rPr>
              <w:t>by</w:t>
            </w:r>
            <w:r>
              <w:rPr>
                <w:spacing w:val="-3"/>
                <w:w w:val="105"/>
                <w:sz w:val="18"/>
              </w:rPr>
              <w:t xml:space="preserve"> </w:t>
            </w:r>
            <w:r>
              <w:rPr>
                <w:w w:val="105"/>
                <w:sz w:val="18"/>
              </w:rPr>
              <w:t>severe</w:t>
            </w:r>
            <w:r>
              <w:rPr>
                <w:spacing w:val="-2"/>
                <w:w w:val="105"/>
                <w:sz w:val="18"/>
              </w:rPr>
              <w:t xml:space="preserve"> </w:t>
            </w:r>
            <w:r>
              <w:rPr>
                <w:w w:val="105"/>
                <w:sz w:val="18"/>
              </w:rPr>
              <w:t>erosion</w:t>
            </w:r>
            <w:r>
              <w:rPr>
                <w:spacing w:val="-4"/>
                <w:w w:val="105"/>
                <w:sz w:val="18"/>
              </w:rPr>
              <w:t xml:space="preserve"> </w:t>
            </w:r>
            <w:r>
              <w:rPr>
                <w:w w:val="105"/>
                <w:sz w:val="18"/>
              </w:rPr>
              <w:t>rate</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5"/>
              <w:jc w:val="center"/>
              <w:rPr>
                <w:sz w:val="18"/>
              </w:rPr>
            </w:pPr>
            <w:r>
              <w:rPr>
                <w:w w:val="105"/>
                <w:sz w:val="18"/>
              </w:rPr>
              <w:t>km</w:t>
            </w:r>
            <w:r>
              <w:rPr>
                <w:w w:val="105"/>
                <w:sz w:val="18"/>
                <w:vertAlign w:val="superscript"/>
              </w:rPr>
              <w:t>2</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2010</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1"/>
              <w:jc w:val="right"/>
              <w:rPr>
                <w:sz w:val="18"/>
              </w:rPr>
            </w:pPr>
            <w:r>
              <w:rPr>
                <w:w w:val="105"/>
                <w:sz w:val="18"/>
              </w:rPr>
              <w:t>3,780.9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8"/>
              <w:rPr>
                <w:sz w:val="18"/>
              </w:rPr>
            </w:pPr>
            <w:r>
              <w:rPr>
                <w:w w:val="105"/>
                <w:sz w:val="18"/>
              </w:rPr>
              <w:t>2016</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1"/>
              <w:jc w:val="right"/>
              <w:rPr>
                <w:sz w:val="18"/>
              </w:rPr>
            </w:pPr>
            <w:r>
              <w:rPr>
                <w:w w:val="105"/>
                <w:sz w:val="18"/>
              </w:rPr>
              <w:t>2,562.1</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sz w:val="18"/>
              </w:rPr>
              <w:t>Biochemical</w:t>
            </w:r>
            <w:r>
              <w:rPr>
                <w:spacing w:val="9"/>
                <w:sz w:val="18"/>
              </w:rPr>
              <w:t xml:space="preserve"> </w:t>
            </w:r>
            <w:r>
              <w:rPr>
                <w:sz w:val="18"/>
              </w:rPr>
              <w:t>oxygen</w:t>
            </w:r>
            <w:r>
              <w:rPr>
                <w:spacing w:val="11"/>
                <w:sz w:val="18"/>
              </w:rPr>
              <w:t xml:space="preserve"> </w:t>
            </w:r>
            <w:r>
              <w:rPr>
                <w:sz w:val="18"/>
              </w:rPr>
              <w:t>demand</w:t>
            </w:r>
            <w:r>
              <w:rPr>
                <w:spacing w:val="10"/>
                <w:sz w:val="18"/>
              </w:rPr>
              <w:t xml:space="preserve"> </w:t>
            </w:r>
            <w:r>
              <w:rPr>
                <w:sz w:val="18"/>
              </w:rPr>
              <w:t>in</w:t>
            </w:r>
            <w:r>
              <w:rPr>
                <w:spacing w:val="8"/>
                <w:sz w:val="18"/>
              </w:rPr>
              <w:t xml:space="preserve"> </w:t>
            </w:r>
            <w:r>
              <w:rPr>
                <w:sz w:val="18"/>
              </w:rPr>
              <w:t>rivers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05" w:lineRule="exact"/>
              <w:ind w:left="64" w:right="66"/>
              <w:jc w:val="center"/>
              <w:rPr>
                <w:sz w:val="18"/>
              </w:rPr>
            </w:pPr>
            <w:r>
              <w:rPr>
                <w:w w:val="105"/>
                <w:position w:val="2"/>
                <w:sz w:val="18"/>
              </w:rPr>
              <w:t>mg</w:t>
            </w:r>
            <w:r>
              <w:rPr>
                <w:spacing w:val="-11"/>
                <w:w w:val="105"/>
                <w:position w:val="2"/>
                <w:sz w:val="18"/>
              </w:rPr>
              <w:t xml:space="preserve"> </w:t>
            </w:r>
            <w:r>
              <w:rPr>
                <w:w w:val="105"/>
                <w:position w:val="2"/>
                <w:sz w:val="18"/>
              </w:rPr>
              <w:t>O</w:t>
            </w:r>
            <w:r>
              <w:rPr>
                <w:w w:val="105"/>
                <w:sz w:val="18"/>
              </w:rPr>
              <w:t>2</w:t>
            </w:r>
            <w:r>
              <w:rPr>
                <w:spacing w:val="2"/>
                <w:w w:val="105"/>
                <w:sz w:val="18"/>
              </w:rPr>
              <w:t xml:space="preserve"> </w:t>
            </w:r>
            <w:r>
              <w:rPr>
                <w:w w:val="105"/>
                <w:position w:val="2"/>
                <w:sz w:val="18"/>
              </w:rPr>
              <w:t>per</w:t>
            </w:r>
            <w:r>
              <w:rPr>
                <w:spacing w:val="-5"/>
                <w:w w:val="105"/>
                <w:position w:val="2"/>
                <w:sz w:val="18"/>
              </w:rPr>
              <w:t xml:space="preserve"> </w:t>
            </w:r>
            <w:r>
              <w:rPr>
                <w:w w:val="105"/>
                <w:position w:val="2"/>
                <w:sz w:val="18"/>
              </w:rPr>
              <w:t>litre</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08"/>
              <w:jc w:val="right"/>
              <w:rPr>
                <w:sz w:val="18"/>
              </w:rPr>
            </w:pPr>
            <w:r>
              <w:rPr>
                <w:w w:val="105"/>
                <w:sz w:val="18"/>
              </w:rPr>
              <w:t>2.16</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8"/>
              <w:rPr>
                <w:sz w:val="18"/>
              </w:rPr>
            </w:pPr>
            <w:r>
              <w:rPr>
                <w:w w:val="105"/>
                <w:sz w:val="18"/>
              </w:rPr>
              <w:t>2018</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38"/>
              <w:jc w:val="right"/>
              <w:rPr>
                <w:sz w:val="18"/>
              </w:rPr>
            </w:pPr>
            <w:r>
              <w:rPr>
                <w:w w:val="105"/>
                <w:sz w:val="18"/>
              </w:rPr>
              <w:t>1.85</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pacing w:val="-1"/>
                <w:w w:val="105"/>
                <w:sz w:val="18"/>
              </w:rPr>
              <w:t>Phosphate</w:t>
            </w:r>
            <w:r>
              <w:rPr>
                <w:spacing w:val="-10"/>
                <w:w w:val="105"/>
                <w:sz w:val="18"/>
              </w:rPr>
              <w:t xml:space="preserve"> </w:t>
            </w:r>
            <w:r>
              <w:rPr>
                <w:spacing w:val="-1"/>
                <w:w w:val="105"/>
                <w:sz w:val="18"/>
              </w:rPr>
              <w:t>in</w:t>
            </w:r>
            <w:r>
              <w:rPr>
                <w:spacing w:val="-10"/>
                <w:w w:val="105"/>
                <w:sz w:val="18"/>
              </w:rPr>
              <w:t xml:space="preserve"> </w:t>
            </w:r>
            <w:r>
              <w:rPr>
                <w:spacing w:val="-1"/>
                <w:w w:val="105"/>
                <w:sz w:val="18"/>
              </w:rPr>
              <w:t>rivers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08" w:lineRule="exact"/>
              <w:ind w:left="64" w:right="64"/>
              <w:jc w:val="center"/>
              <w:rPr>
                <w:sz w:val="18"/>
              </w:rPr>
            </w:pPr>
            <w:r>
              <w:rPr>
                <w:spacing w:val="-1"/>
                <w:w w:val="105"/>
                <w:position w:val="2"/>
                <w:sz w:val="18"/>
              </w:rPr>
              <w:t>mg</w:t>
            </w:r>
            <w:r>
              <w:rPr>
                <w:spacing w:val="-11"/>
                <w:w w:val="105"/>
                <w:position w:val="2"/>
                <w:sz w:val="18"/>
              </w:rPr>
              <w:t xml:space="preserve"> </w:t>
            </w:r>
            <w:r>
              <w:rPr>
                <w:spacing w:val="-1"/>
                <w:w w:val="105"/>
                <w:position w:val="2"/>
                <w:sz w:val="18"/>
              </w:rPr>
              <w:t>PO</w:t>
            </w:r>
            <w:r>
              <w:rPr>
                <w:spacing w:val="-1"/>
                <w:w w:val="105"/>
                <w:sz w:val="18"/>
              </w:rPr>
              <w:t>4</w:t>
            </w:r>
            <w:r>
              <w:rPr>
                <w:spacing w:val="-2"/>
                <w:w w:val="105"/>
                <w:sz w:val="18"/>
              </w:rPr>
              <w:t xml:space="preserve"> </w:t>
            </w:r>
            <w:r>
              <w:rPr>
                <w:spacing w:val="-1"/>
                <w:w w:val="105"/>
                <w:position w:val="2"/>
                <w:sz w:val="18"/>
              </w:rPr>
              <w:t>per</w:t>
            </w:r>
            <w:r>
              <w:rPr>
                <w:spacing w:val="-10"/>
                <w:w w:val="105"/>
                <w:position w:val="2"/>
                <w:sz w:val="18"/>
              </w:rPr>
              <w:t xml:space="preserve"> </w:t>
            </w:r>
            <w:r>
              <w:rPr>
                <w:spacing w:val="-1"/>
                <w:w w:val="105"/>
                <w:position w:val="2"/>
                <w:sz w:val="18"/>
              </w:rPr>
              <w:t>litre</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2"/>
              <w:jc w:val="right"/>
              <w:rPr>
                <w:sz w:val="18"/>
              </w:rPr>
            </w:pPr>
            <w:r>
              <w:rPr>
                <w:w w:val="105"/>
                <w:sz w:val="18"/>
              </w:rPr>
              <w:t>0.029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8"/>
              <w:rPr>
                <w:sz w:val="18"/>
              </w:rPr>
            </w:pPr>
            <w:r>
              <w:rPr>
                <w:w w:val="105"/>
                <w:sz w:val="18"/>
              </w:rPr>
              <w:t>2018</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1"/>
              <w:jc w:val="right"/>
              <w:rPr>
                <w:sz w:val="18"/>
              </w:rPr>
            </w:pPr>
            <w:r>
              <w:rPr>
                <w:w w:val="105"/>
                <w:sz w:val="18"/>
              </w:rPr>
              <w:t>0.026</w:t>
            </w:r>
          </w:p>
        </w:tc>
      </w:tr>
      <w:tr w:rsidR="00A56FE9">
        <w:trPr>
          <w:trHeight w:val="340"/>
        </w:trPr>
        <w:tc>
          <w:tcPr>
            <w:tcW w:w="14017" w:type="dxa"/>
            <w:gridSpan w:val="6"/>
            <w:tcBorders>
              <w:top w:val="single" w:sz="4" w:space="0" w:color="2C398A"/>
              <w:left w:val="nil"/>
              <w:bottom w:val="single" w:sz="4" w:space="0" w:color="2C398A"/>
              <w:right w:val="nil"/>
            </w:tcBorders>
          </w:tcPr>
          <w:p w:rsidR="00A56FE9" w:rsidRDefault="00000000">
            <w:pPr>
              <w:pStyle w:val="TableParagraph"/>
              <w:spacing w:before="67"/>
              <w:ind w:left="71"/>
              <w:rPr>
                <w:b/>
                <w:sz w:val="18"/>
              </w:rPr>
            </w:pPr>
            <w:r>
              <w:rPr>
                <w:b/>
                <w:color w:val="2C398A"/>
                <w:w w:val="105"/>
                <w:sz w:val="18"/>
              </w:rPr>
              <w:t>Goal</w:t>
            </w:r>
            <w:r>
              <w:rPr>
                <w:b/>
                <w:color w:val="2C398A"/>
                <w:spacing w:val="-6"/>
                <w:w w:val="105"/>
                <w:sz w:val="18"/>
              </w:rPr>
              <w:t xml:space="preserve"> </w:t>
            </w:r>
            <w:r>
              <w:rPr>
                <w:b/>
                <w:color w:val="2C398A"/>
                <w:w w:val="105"/>
                <w:sz w:val="18"/>
              </w:rPr>
              <w:t>16</w:t>
            </w:r>
            <w:r>
              <w:rPr>
                <w:b/>
                <w:color w:val="2C398A"/>
                <w:spacing w:val="-2"/>
                <w:w w:val="105"/>
                <w:sz w:val="18"/>
              </w:rPr>
              <w:t xml:space="preserve"> </w:t>
            </w:r>
            <w:r>
              <w:rPr>
                <w:b/>
                <w:color w:val="2C398A"/>
                <w:w w:val="105"/>
                <w:sz w:val="18"/>
              </w:rPr>
              <w:t>-</w:t>
            </w:r>
            <w:r>
              <w:rPr>
                <w:b/>
                <w:color w:val="2C398A"/>
                <w:spacing w:val="-2"/>
                <w:w w:val="105"/>
                <w:sz w:val="18"/>
              </w:rPr>
              <w:t xml:space="preserve"> </w:t>
            </w:r>
            <w:r>
              <w:rPr>
                <w:b/>
                <w:color w:val="2C398A"/>
                <w:w w:val="105"/>
                <w:sz w:val="18"/>
              </w:rPr>
              <w:t>Peace,</w:t>
            </w:r>
            <w:r>
              <w:rPr>
                <w:b/>
                <w:color w:val="2C398A"/>
                <w:spacing w:val="-6"/>
                <w:w w:val="105"/>
                <w:sz w:val="18"/>
              </w:rPr>
              <w:t xml:space="preserve"> </w:t>
            </w:r>
            <w:r>
              <w:rPr>
                <w:b/>
                <w:color w:val="2C398A"/>
                <w:w w:val="105"/>
                <w:sz w:val="18"/>
              </w:rPr>
              <w:t>justice</w:t>
            </w:r>
            <w:r>
              <w:rPr>
                <w:b/>
                <w:color w:val="2C398A"/>
                <w:spacing w:val="-4"/>
                <w:w w:val="105"/>
                <w:sz w:val="18"/>
              </w:rPr>
              <w:t xml:space="preserve"> </w:t>
            </w:r>
            <w:r>
              <w:rPr>
                <w:b/>
                <w:color w:val="2C398A"/>
                <w:w w:val="105"/>
                <w:sz w:val="18"/>
              </w:rPr>
              <w:t>and</w:t>
            </w:r>
            <w:r>
              <w:rPr>
                <w:b/>
                <w:color w:val="2C398A"/>
                <w:spacing w:val="-2"/>
                <w:w w:val="105"/>
                <w:sz w:val="18"/>
              </w:rPr>
              <w:t xml:space="preserve"> </w:t>
            </w:r>
            <w:r>
              <w:rPr>
                <w:b/>
                <w:color w:val="2C398A"/>
                <w:w w:val="105"/>
                <w:sz w:val="18"/>
              </w:rPr>
              <w:t>strong</w:t>
            </w:r>
            <w:r>
              <w:rPr>
                <w:b/>
                <w:color w:val="2C398A"/>
                <w:spacing w:val="-2"/>
                <w:w w:val="105"/>
                <w:sz w:val="18"/>
              </w:rPr>
              <w:t xml:space="preserve"> </w:t>
            </w:r>
            <w:r>
              <w:rPr>
                <w:b/>
                <w:color w:val="2C398A"/>
                <w:w w:val="105"/>
                <w:sz w:val="18"/>
              </w:rPr>
              <w:t>institutions</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w w:val="105"/>
                <w:sz w:val="18"/>
              </w:rPr>
              <w:t>Standardised</w:t>
            </w:r>
            <w:r>
              <w:rPr>
                <w:spacing w:val="-4"/>
                <w:w w:val="105"/>
                <w:sz w:val="18"/>
              </w:rPr>
              <w:t xml:space="preserve"> </w:t>
            </w:r>
            <w:r>
              <w:rPr>
                <w:w w:val="105"/>
                <w:sz w:val="18"/>
              </w:rPr>
              <w:t>death</w:t>
            </w:r>
            <w:r>
              <w:rPr>
                <w:spacing w:val="-3"/>
                <w:w w:val="105"/>
                <w:sz w:val="18"/>
              </w:rPr>
              <w:t xml:space="preserve"> </w:t>
            </w:r>
            <w:r>
              <w:rPr>
                <w:w w:val="105"/>
                <w:sz w:val="18"/>
              </w:rPr>
              <w:t>rate</w:t>
            </w:r>
            <w:r>
              <w:rPr>
                <w:spacing w:val="-4"/>
                <w:w w:val="105"/>
                <w:sz w:val="18"/>
              </w:rPr>
              <w:t xml:space="preserve"> </w:t>
            </w:r>
            <w:r>
              <w:rPr>
                <w:w w:val="105"/>
                <w:sz w:val="18"/>
              </w:rPr>
              <w:t>due</w:t>
            </w:r>
            <w:r>
              <w:rPr>
                <w:spacing w:val="-3"/>
                <w:w w:val="105"/>
                <w:sz w:val="18"/>
              </w:rPr>
              <w:t xml:space="preserve"> </w:t>
            </w:r>
            <w:r>
              <w:rPr>
                <w:w w:val="105"/>
                <w:sz w:val="18"/>
              </w:rPr>
              <w:t>to</w:t>
            </w:r>
            <w:r>
              <w:rPr>
                <w:spacing w:val="-3"/>
                <w:w w:val="105"/>
                <w:sz w:val="18"/>
              </w:rPr>
              <w:t xml:space="preserve"> </w:t>
            </w:r>
            <w:r>
              <w:rPr>
                <w:w w:val="105"/>
                <w:sz w:val="18"/>
              </w:rPr>
              <w:t>homicide</w:t>
            </w:r>
            <w:r>
              <w:rPr>
                <w:spacing w:val="1"/>
                <w:w w:val="105"/>
                <w:sz w:val="18"/>
              </w:rPr>
              <w:t xml:space="preserve"> </w:t>
            </w:r>
            <w:r>
              <w:rPr>
                <w:w w:val="105"/>
                <w:sz w:val="18"/>
              </w:rPr>
              <w:t>a</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056"/>
              <w:rPr>
                <w:sz w:val="18"/>
              </w:rPr>
            </w:pPr>
            <w:r>
              <w:rPr>
                <w:spacing w:val="-1"/>
                <w:w w:val="105"/>
                <w:sz w:val="18"/>
              </w:rPr>
              <w:t>standardised</w:t>
            </w:r>
            <w:r>
              <w:rPr>
                <w:spacing w:val="-9"/>
                <w:w w:val="105"/>
                <w:sz w:val="18"/>
              </w:rPr>
              <w:t xml:space="preserve"> </w:t>
            </w:r>
            <w:r>
              <w:rPr>
                <w:w w:val="105"/>
                <w:sz w:val="18"/>
              </w:rPr>
              <w:t>mortality</w:t>
            </w:r>
            <w:r>
              <w:rPr>
                <w:spacing w:val="-10"/>
                <w:w w:val="105"/>
                <w:sz w:val="18"/>
              </w:rPr>
              <w:t xml:space="preserve"> </w:t>
            </w:r>
            <w:r>
              <w:rPr>
                <w:w w:val="105"/>
                <w:sz w:val="18"/>
              </w:rPr>
              <w:t>rate</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08"/>
              <w:jc w:val="right"/>
              <w:rPr>
                <w:sz w:val="18"/>
              </w:rPr>
            </w:pPr>
            <w:r>
              <w:rPr>
                <w:w w:val="105"/>
                <w:sz w:val="18"/>
              </w:rPr>
              <w:t>1.12</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8"/>
              <w:rPr>
                <w:sz w:val="18"/>
              </w:rPr>
            </w:pPr>
            <w:r>
              <w:rPr>
                <w:w w:val="105"/>
                <w:sz w:val="18"/>
              </w:rPr>
              <w:t>2018</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38"/>
              <w:jc w:val="right"/>
              <w:rPr>
                <w:sz w:val="18"/>
              </w:rPr>
            </w:pPr>
            <w:r>
              <w:rPr>
                <w:w w:val="105"/>
                <w:sz w:val="18"/>
              </w:rPr>
              <w:t>0.56</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5" w:line="203" w:lineRule="exact"/>
              <w:ind w:left="71"/>
              <w:rPr>
                <w:sz w:val="18"/>
              </w:rPr>
            </w:pPr>
            <w:r>
              <w:rPr>
                <w:spacing w:val="-2"/>
                <w:w w:val="105"/>
                <w:sz w:val="18"/>
              </w:rPr>
              <w:t>Population</w:t>
            </w:r>
            <w:r>
              <w:rPr>
                <w:spacing w:val="-10"/>
                <w:w w:val="105"/>
                <w:sz w:val="18"/>
              </w:rPr>
              <w:t xml:space="preserve"> </w:t>
            </w:r>
            <w:r>
              <w:rPr>
                <w:spacing w:val="-2"/>
                <w:w w:val="105"/>
                <w:sz w:val="18"/>
              </w:rPr>
              <w:t>reporting</w:t>
            </w:r>
            <w:r>
              <w:rPr>
                <w:spacing w:val="-9"/>
                <w:w w:val="105"/>
                <w:sz w:val="18"/>
              </w:rPr>
              <w:t xml:space="preserve"> </w:t>
            </w:r>
            <w:r>
              <w:rPr>
                <w:spacing w:val="-2"/>
                <w:w w:val="105"/>
                <w:sz w:val="18"/>
              </w:rPr>
              <w:t>occurrence</w:t>
            </w:r>
            <w:r>
              <w:rPr>
                <w:spacing w:val="-8"/>
                <w:w w:val="105"/>
                <w:sz w:val="18"/>
              </w:rPr>
              <w:t xml:space="preserve"> </w:t>
            </w:r>
            <w:r>
              <w:rPr>
                <w:spacing w:val="-1"/>
                <w:w w:val="105"/>
                <w:sz w:val="18"/>
              </w:rPr>
              <w:t>of</w:t>
            </w:r>
            <w:r>
              <w:rPr>
                <w:spacing w:val="-7"/>
                <w:w w:val="105"/>
                <w:sz w:val="18"/>
              </w:rPr>
              <w:t xml:space="preserve"> </w:t>
            </w:r>
            <w:r>
              <w:rPr>
                <w:spacing w:val="-1"/>
                <w:w w:val="105"/>
                <w:sz w:val="18"/>
              </w:rPr>
              <w:t>crime,</w:t>
            </w:r>
            <w:r>
              <w:rPr>
                <w:spacing w:val="-8"/>
                <w:w w:val="105"/>
                <w:sz w:val="18"/>
              </w:rPr>
              <w:t xml:space="preserve"> </w:t>
            </w:r>
            <w:r>
              <w:rPr>
                <w:spacing w:val="-1"/>
                <w:w w:val="105"/>
                <w:sz w:val="18"/>
              </w:rPr>
              <w:t>violence</w:t>
            </w:r>
            <w:r>
              <w:rPr>
                <w:spacing w:val="-9"/>
                <w:w w:val="105"/>
                <w:sz w:val="18"/>
              </w:rPr>
              <w:t xml:space="preserve"> </w:t>
            </w:r>
            <w:r>
              <w:rPr>
                <w:spacing w:val="-1"/>
                <w:w w:val="105"/>
                <w:sz w:val="18"/>
              </w:rPr>
              <w:t>or</w:t>
            </w:r>
            <w:r>
              <w:rPr>
                <w:spacing w:val="-6"/>
                <w:w w:val="105"/>
                <w:sz w:val="18"/>
              </w:rPr>
              <w:t xml:space="preserve"> </w:t>
            </w:r>
            <w:r>
              <w:rPr>
                <w:spacing w:val="-1"/>
                <w:w w:val="105"/>
                <w:sz w:val="18"/>
              </w:rPr>
              <w:t>vandalism</w:t>
            </w:r>
            <w:r>
              <w:rPr>
                <w:spacing w:val="-9"/>
                <w:w w:val="105"/>
                <w:sz w:val="18"/>
              </w:rPr>
              <w:t xml:space="preserve"> </w:t>
            </w:r>
            <w:r>
              <w:rPr>
                <w:spacing w:val="-1"/>
                <w:w w:val="105"/>
                <w:sz w:val="18"/>
              </w:rPr>
              <w:t>in</w:t>
            </w:r>
            <w:r>
              <w:rPr>
                <w:spacing w:val="-9"/>
                <w:w w:val="105"/>
                <w:sz w:val="18"/>
              </w:rPr>
              <w:t xml:space="preserve"> </w:t>
            </w:r>
            <w:r>
              <w:rPr>
                <w:spacing w:val="-1"/>
                <w:w w:val="105"/>
                <w:sz w:val="18"/>
              </w:rPr>
              <w:t>their</w:t>
            </w:r>
            <w:r>
              <w:rPr>
                <w:spacing w:val="-6"/>
                <w:w w:val="105"/>
                <w:sz w:val="18"/>
              </w:rPr>
              <w:t xml:space="preserve"> </w:t>
            </w:r>
            <w:r>
              <w:rPr>
                <w:spacing w:val="-1"/>
                <w:w w:val="105"/>
                <w:sz w:val="18"/>
              </w:rPr>
              <w:t>area</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3" w:lineRule="exact"/>
              <w:ind w:left="64" w:right="66"/>
              <w:jc w:val="center"/>
              <w:rPr>
                <w:sz w:val="18"/>
              </w:rPr>
            </w:pPr>
            <w:r>
              <w:rPr>
                <w:w w:val="105"/>
                <w:sz w:val="18"/>
              </w:rPr>
              <w:t>%</w:t>
            </w:r>
            <w:r>
              <w:rPr>
                <w:spacing w:val="-2"/>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3"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3" w:lineRule="exact"/>
              <w:ind w:right="111"/>
              <w:jc w:val="right"/>
              <w:rPr>
                <w:sz w:val="18"/>
              </w:rPr>
            </w:pPr>
            <w:r>
              <w:rPr>
                <w:w w:val="105"/>
                <w:sz w:val="18"/>
              </w:rPr>
              <w:t>2.9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5" w:line="203" w:lineRule="exact"/>
              <w:ind w:left="148"/>
              <w:rPr>
                <w:sz w:val="18"/>
              </w:rPr>
            </w:pPr>
            <w:r>
              <w:rPr>
                <w:w w:val="105"/>
                <w:sz w:val="18"/>
              </w:rPr>
              <w:t>2020</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5" w:line="203" w:lineRule="exact"/>
              <w:ind w:right="141"/>
              <w:jc w:val="right"/>
              <w:rPr>
                <w:sz w:val="18"/>
              </w:rPr>
            </w:pPr>
            <w:r>
              <w:rPr>
                <w:w w:val="105"/>
                <w:sz w:val="18"/>
              </w:rPr>
              <w:t>2.4</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w w:val="105"/>
                <w:sz w:val="18"/>
              </w:rPr>
              <w:t>General</w:t>
            </w:r>
            <w:r>
              <w:rPr>
                <w:spacing w:val="-6"/>
                <w:w w:val="105"/>
                <w:sz w:val="18"/>
              </w:rPr>
              <w:t xml:space="preserve"> </w:t>
            </w:r>
            <w:r>
              <w:rPr>
                <w:w w:val="105"/>
                <w:sz w:val="18"/>
              </w:rPr>
              <w:t>government</w:t>
            </w:r>
            <w:r>
              <w:rPr>
                <w:spacing w:val="-1"/>
                <w:w w:val="105"/>
                <w:sz w:val="18"/>
              </w:rPr>
              <w:t xml:space="preserve"> </w:t>
            </w:r>
            <w:r>
              <w:rPr>
                <w:w w:val="105"/>
                <w:sz w:val="18"/>
              </w:rPr>
              <w:t>total</w:t>
            </w:r>
            <w:r>
              <w:rPr>
                <w:spacing w:val="-6"/>
                <w:w w:val="105"/>
                <w:sz w:val="18"/>
              </w:rPr>
              <w:t xml:space="preserve"> </w:t>
            </w:r>
            <w:r>
              <w:rPr>
                <w:w w:val="105"/>
                <w:sz w:val="18"/>
              </w:rPr>
              <w:t>expenditure</w:t>
            </w:r>
            <w:r>
              <w:rPr>
                <w:spacing w:val="-6"/>
                <w:w w:val="105"/>
                <w:sz w:val="18"/>
              </w:rPr>
              <w:t xml:space="preserve"> </w:t>
            </w:r>
            <w:r>
              <w:rPr>
                <w:w w:val="105"/>
                <w:sz w:val="18"/>
              </w:rPr>
              <w:t>on</w:t>
            </w:r>
            <w:r>
              <w:rPr>
                <w:spacing w:val="-2"/>
                <w:w w:val="105"/>
                <w:sz w:val="18"/>
              </w:rPr>
              <w:t xml:space="preserve"> </w:t>
            </w:r>
            <w:r>
              <w:rPr>
                <w:w w:val="105"/>
                <w:sz w:val="18"/>
              </w:rPr>
              <w:t>law</w:t>
            </w:r>
            <w:r>
              <w:rPr>
                <w:spacing w:val="-2"/>
                <w:w w:val="105"/>
                <w:sz w:val="18"/>
              </w:rPr>
              <w:t xml:space="preserve"> </w:t>
            </w:r>
            <w:r>
              <w:rPr>
                <w:w w:val="105"/>
                <w:sz w:val="18"/>
              </w:rPr>
              <w:t>courts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64"/>
              <w:jc w:val="center"/>
              <w:rPr>
                <w:sz w:val="18"/>
              </w:rPr>
            </w:pPr>
            <w:r>
              <w:rPr>
                <w:sz w:val="18"/>
              </w:rPr>
              <w:t>in</w:t>
            </w:r>
            <w:r>
              <w:rPr>
                <w:spacing w:val="-8"/>
                <w:sz w:val="18"/>
              </w:rPr>
              <w:t xml:space="preserve"> </w:t>
            </w:r>
            <w:r>
              <w:rPr>
                <w:sz w:val="18"/>
              </w:rPr>
              <w:t>millions</w:t>
            </w:r>
            <w:r>
              <w:rPr>
                <w:spacing w:val="-8"/>
                <w:sz w:val="18"/>
              </w:rPr>
              <w:t xml:space="preserve"> </w:t>
            </w:r>
            <w:r>
              <w:rPr>
                <w:sz w:val="18"/>
              </w:rPr>
              <w:t>EUR</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1"/>
              <w:jc w:val="right"/>
              <w:rPr>
                <w:sz w:val="18"/>
              </w:rPr>
            </w:pPr>
            <w:r>
              <w:rPr>
                <w:w w:val="105"/>
                <w:sz w:val="18"/>
              </w:rPr>
              <w:t>211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8"/>
              <w:rPr>
                <w:sz w:val="18"/>
              </w:rPr>
            </w:pPr>
            <w:r>
              <w:rPr>
                <w:w w:val="105"/>
                <w:sz w:val="18"/>
              </w:rPr>
              <w:t>2018</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0"/>
              <w:jc w:val="right"/>
              <w:rPr>
                <w:sz w:val="18"/>
              </w:rPr>
            </w:pPr>
            <w:r>
              <w:rPr>
                <w:w w:val="105"/>
                <w:sz w:val="18"/>
              </w:rPr>
              <w:t>228</w:t>
            </w:r>
          </w:p>
        </w:tc>
      </w:tr>
      <w:tr w:rsidR="00A56FE9">
        <w:trPr>
          <w:trHeight w:val="414"/>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100"/>
              <w:ind w:left="71"/>
              <w:rPr>
                <w:sz w:val="18"/>
              </w:rPr>
            </w:pPr>
            <w:r>
              <w:rPr>
                <w:w w:val="105"/>
                <w:sz w:val="18"/>
              </w:rPr>
              <w:t>Perceived</w:t>
            </w:r>
            <w:r>
              <w:rPr>
                <w:spacing w:val="-3"/>
                <w:w w:val="105"/>
                <w:sz w:val="18"/>
              </w:rPr>
              <w:t xml:space="preserve"> </w:t>
            </w:r>
            <w:r>
              <w:rPr>
                <w:w w:val="105"/>
                <w:sz w:val="18"/>
              </w:rPr>
              <w:t>independence</w:t>
            </w:r>
            <w:r>
              <w:rPr>
                <w:spacing w:val="-6"/>
                <w:w w:val="105"/>
                <w:sz w:val="18"/>
              </w:rPr>
              <w:t xml:space="preserve"> </w:t>
            </w:r>
            <w:r>
              <w:rPr>
                <w:w w:val="105"/>
                <w:sz w:val="18"/>
              </w:rPr>
              <w:t>of</w:t>
            </w:r>
            <w:r>
              <w:rPr>
                <w:spacing w:val="-3"/>
                <w:w w:val="105"/>
                <w:sz w:val="18"/>
              </w:rPr>
              <w:t xml:space="preserve"> </w:t>
            </w:r>
            <w:r>
              <w:rPr>
                <w:w w:val="105"/>
                <w:sz w:val="18"/>
              </w:rPr>
              <w:t>the</w:t>
            </w:r>
            <w:r>
              <w:rPr>
                <w:spacing w:val="-4"/>
                <w:w w:val="105"/>
                <w:sz w:val="18"/>
              </w:rPr>
              <w:t xml:space="preserve"> </w:t>
            </w:r>
            <w:r>
              <w:rPr>
                <w:w w:val="105"/>
                <w:sz w:val="18"/>
              </w:rPr>
              <w:t>justice</w:t>
            </w:r>
            <w:r>
              <w:rPr>
                <w:spacing w:val="-6"/>
                <w:w w:val="105"/>
                <w:sz w:val="18"/>
              </w:rPr>
              <w:t xml:space="preserve"> </w:t>
            </w:r>
            <w:r>
              <w:rPr>
                <w:w w:val="105"/>
                <w:sz w:val="18"/>
              </w:rPr>
              <w:t>system</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line="202" w:lineRule="exact"/>
              <w:ind w:left="64" w:right="68"/>
              <w:jc w:val="center"/>
              <w:rPr>
                <w:sz w:val="18"/>
              </w:rPr>
            </w:pPr>
            <w:r>
              <w:rPr>
                <w:w w:val="105"/>
                <w:sz w:val="18"/>
              </w:rPr>
              <w:t>%</w:t>
            </w:r>
            <w:r>
              <w:rPr>
                <w:spacing w:val="-1"/>
                <w:w w:val="105"/>
                <w:sz w:val="18"/>
              </w:rPr>
              <w:t xml:space="preserve"> </w:t>
            </w:r>
            <w:r>
              <w:rPr>
                <w:w w:val="105"/>
                <w:sz w:val="18"/>
              </w:rPr>
              <w:t>population</w:t>
            </w:r>
            <w:r>
              <w:rPr>
                <w:spacing w:val="-2"/>
                <w:w w:val="105"/>
                <w:sz w:val="18"/>
              </w:rPr>
              <w:t xml:space="preserve"> </w:t>
            </w:r>
            <w:r>
              <w:rPr>
                <w:w w:val="105"/>
                <w:sz w:val="18"/>
              </w:rPr>
              <w:t>whose</w:t>
            </w:r>
            <w:r>
              <w:rPr>
                <w:spacing w:val="-3"/>
                <w:w w:val="105"/>
                <w:sz w:val="18"/>
              </w:rPr>
              <w:t xml:space="preserve"> </w:t>
            </w:r>
            <w:r>
              <w:rPr>
                <w:w w:val="105"/>
                <w:sz w:val="18"/>
              </w:rPr>
              <w:t>level</w:t>
            </w:r>
            <w:r>
              <w:rPr>
                <w:spacing w:val="-6"/>
                <w:w w:val="105"/>
                <w:sz w:val="18"/>
              </w:rPr>
              <w:t xml:space="preserve"> </w:t>
            </w:r>
            <w:r>
              <w:rPr>
                <w:w w:val="105"/>
                <w:sz w:val="18"/>
              </w:rPr>
              <w:t>of</w:t>
            </w:r>
            <w:r>
              <w:rPr>
                <w:spacing w:val="-3"/>
                <w:w w:val="105"/>
                <w:sz w:val="18"/>
              </w:rPr>
              <w:t xml:space="preserve"> </w:t>
            </w:r>
            <w:r>
              <w:rPr>
                <w:w w:val="105"/>
                <w:sz w:val="18"/>
              </w:rPr>
              <w:t>perception</w:t>
            </w:r>
            <w:r>
              <w:rPr>
                <w:spacing w:val="-4"/>
                <w:w w:val="105"/>
                <w:sz w:val="18"/>
              </w:rPr>
              <w:t xml:space="preserve"> </w:t>
            </w:r>
            <w:r>
              <w:rPr>
                <w:w w:val="105"/>
                <w:sz w:val="18"/>
              </w:rPr>
              <w:t>is</w:t>
            </w:r>
            <w:r>
              <w:rPr>
                <w:spacing w:val="-4"/>
                <w:w w:val="105"/>
                <w:sz w:val="18"/>
              </w:rPr>
              <w:t xml:space="preserve"> </w:t>
            </w:r>
            <w:r>
              <w:rPr>
                <w:w w:val="105"/>
                <w:sz w:val="18"/>
              </w:rPr>
              <w:t>"very</w:t>
            </w:r>
          </w:p>
          <w:p w:rsidR="00A56FE9" w:rsidRDefault="00000000">
            <w:pPr>
              <w:pStyle w:val="TableParagraph"/>
              <w:spacing w:before="2" w:line="191" w:lineRule="exact"/>
              <w:ind w:left="64" w:right="68"/>
              <w:jc w:val="center"/>
              <w:rPr>
                <w:sz w:val="18"/>
              </w:rPr>
            </w:pPr>
            <w:r>
              <w:rPr>
                <w:w w:val="105"/>
                <w:sz w:val="18"/>
              </w:rPr>
              <w:t>good</w:t>
            </w:r>
            <w:r>
              <w:rPr>
                <w:spacing w:val="-2"/>
                <w:w w:val="105"/>
                <w:sz w:val="18"/>
              </w:rPr>
              <w:t xml:space="preserve"> </w:t>
            </w:r>
            <w:r>
              <w:rPr>
                <w:w w:val="105"/>
                <w:sz w:val="18"/>
              </w:rPr>
              <w:t>or</w:t>
            </w:r>
            <w:r>
              <w:rPr>
                <w:spacing w:val="-4"/>
                <w:w w:val="105"/>
                <w:sz w:val="18"/>
              </w:rPr>
              <w:t xml:space="preserve"> </w:t>
            </w:r>
            <w:r>
              <w:rPr>
                <w:w w:val="105"/>
                <w:sz w:val="18"/>
              </w:rPr>
              <w:t>quite</w:t>
            </w:r>
            <w:r>
              <w:rPr>
                <w:spacing w:val="-5"/>
                <w:w w:val="105"/>
                <w:sz w:val="18"/>
              </w:rPr>
              <w:t xml:space="preserve"> </w:t>
            </w:r>
            <w:r>
              <w:rPr>
                <w:w w:val="105"/>
                <w:sz w:val="18"/>
              </w:rPr>
              <w:t>good"</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left="132"/>
              <w:rPr>
                <w:sz w:val="18"/>
              </w:rPr>
            </w:pPr>
            <w:r>
              <w:rPr>
                <w:w w:val="105"/>
                <w:sz w:val="18"/>
              </w:rPr>
              <w:t>2016</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right="111"/>
              <w:jc w:val="right"/>
              <w:rPr>
                <w:sz w:val="18"/>
              </w:rPr>
            </w:pPr>
            <w:r>
              <w:rPr>
                <w:w w:val="105"/>
                <w:sz w:val="18"/>
              </w:rPr>
              <w:t>28</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100"/>
              <w:ind w:left="148"/>
              <w:rPr>
                <w:sz w:val="18"/>
              </w:rPr>
            </w:pPr>
            <w:r>
              <w:rPr>
                <w:w w:val="105"/>
                <w:sz w:val="18"/>
              </w:rPr>
              <w:t>2021</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100"/>
              <w:ind w:right="140"/>
              <w:jc w:val="right"/>
              <w:rPr>
                <w:sz w:val="18"/>
              </w:rPr>
            </w:pPr>
            <w:r>
              <w:rPr>
                <w:w w:val="105"/>
                <w:sz w:val="18"/>
              </w:rPr>
              <w:t>17</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1"/>
                <w:w w:val="105"/>
                <w:sz w:val="18"/>
              </w:rPr>
              <w:t>Corruption</w:t>
            </w:r>
            <w:r>
              <w:rPr>
                <w:spacing w:val="-9"/>
                <w:w w:val="105"/>
                <w:sz w:val="18"/>
              </w:rPr>
              <w:t xml:space="preserve"> </w:t>
            </w:r>
            <w:r>
              <w:rPr>
                <w:spacing w:val="-1"/>
                <w:w w:val="105"/>
                <w:sz w:val="18"/>
              </w:rPr>
              <w:t>Perceptions</w:t>
            </w:r>
            <w:r>
              <w:rPr>
                <w:spacing w:val="-7"/>
                <w:w w:val="105"/>
                <w:sz w:val="18"/>
              </w:rPr>
              <w:t xml:space="preserve"> </w:t>
            </w:r>
            <w:r>
              <w:rPr>
                <w:w w:val="105"/>
                <w:sz w:val="18"/>
              </w:rPr>
              <w:t>Index</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230"/>
              <w:rPr>
                <w:sz w:val="18"/>
              </w:rPr>
            </w:pPr>
            <w:r>
              <w:rPr>
                <w:spacing w:val="-5"/>
                <w:sz w:val="18"/>
              </w:rPr>
              <w:t>On</w:t>
            </w:r>
            <w:r>
              <w:rPr>
                <w:spacing w:val="-16"/>
                <w:sz w:val="18"/>
              </w:rPr>
              <w:t xml:space="preserve"> </w:t>
            </w:r>
            <w:r>
              <w:rPr>
                <w:spacing w:val="-5"/>
                <w:sz w:val="18"/>
              </w:rPr>
              <w:t>a</w:t>
            </w:r>
            <w:r>
              <w:rPr>
                <w:spacing w:val="-17"/>
                <w:sz w:val="18"/>
              </w:rPr>
              <w:t xml:space="preserve"> </w:t>
            </w:r>
            <w:r>
              <w:rPr>
                <w:spacing w:val="-5"/>
                <w:sz w:val="18"/>
              </w:rPr>
              <w:t>scale</w:t>
            </w:r>
            <w:r>
              <w:rPr>
                <w:spacing w:val="-18"/>
                <w:sz w:val="18"/>
              </w:rPr>
              <w:t xml:space="preserve"> </w:t>
            </w:r>
            <w:r>
              <w:rPr>
                <w:spacing w:val="-5"/>
                <w:sz w:val="18"/>
              </w:rPr>
              <w:t>of</w:t>
            </w:r>
            <w:r>
              <w:rPr>
                <w:spacing w:val="-15"/>
                <w:sz w:val="18"/>
              </w:rPr>
              <w:t xml:space="preserve"> </w:t>
            </w:r>
            <w:r>
              <w:rPr>
                <w:spacing w:val="-5"/>
                <w:sz w:val="18"/>
              </w:rPr>
              <w:t>0</w:t>
            </w:r>
            <w:r>
              <w:rPr>
                <w:spacing w:val="-18"/>
                <w:sz w:val="18"/>
              </w:rPr>
              <w:t xml:space="preserve"> </w:t>
            </w:r>
            <w:r>
              <w:rPr>
                <w:spacing w:val="-5"/>
                <w:sz w:val="18"/>
              </w:rPr>
              <w:t>(high</w:t>
            </w:r>
            <w:r>
              <w:rPr>
                <w:spacing w:val="-15"/>
                <w:sz w:val="18"/>
              </w:rPr>
              <w:t xml:space="preserve"> </w:t>
            </w:r>
            <w:r>
              <w:rPr>
                <w:spacing w:val="-5"/>
                <w:sz w:val="18"/>
              </w:rPr>
              <w:t>corruption)</w:t>
            </w:r>
            <w:r>
              <w:rPr>
                <w:spacing w:val="-15"/>
                <w:sz w:val="18"/>
              </w:rPr>
              <w:t xml:space="preserve"> </w:t>
            </w:r>
            <w:r>
              <w:rPr>
                <w:spacing w:val="-4"/>
                <w:sz w:val="18"/>
              </w:rPr>
              <w:t>to</w:t>
            </w:r>
            <w:r>
              <w:rPr>
                <w:spacing w:val="-16"/>
                <w:sz w:val="18"/>
              </w:rPr>
              <w:t xml:space="preserve"> </w:t>
            </w:r>
            <w:r>
              <w:rPr>
                <w:spacing w:val="-4"/>
                <w:sz w:val="18"/>
              </w:rPr>
              <w:t>100</w:t>
            </w:r>
            <w:r>
              <w:rPr>
                <w:spacing w:val="-17"/>
                <w:sz w:val="18"/>
              </w:rPr>
              <w:t xml:space="preserve"> </w:t>
            </w:r>
            <w:r>
              <w:rPr>
                <w:spacing w:val="-4"/>
                <w:sz w:val="18"/>
              </w:rPr>
              <w:t>(no</w:t>
            </w:r>
            <w:r>
              <w:rPr>
                <w:spacing w:val="-14"/>
                <w:sz w:val="18"/>
              </w:rPr>
              <w:t xml:space="preserve"> </w:t>
            </w:r>
            <w:r>
              <w:rPr>
                <w:spacing w:val="-4"/>
                <w:sz w:val="18"/>
              </w:rPr>
              <w:t>corruption)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1"/>
              <w:jc w:val="right"/>
              <w:rPr>
                <w:sz w:val="18"/>
              </w:rPr>
            </w:pPr>
            <w:r>
              <w:rPr>
                <w:w w:val="105"/>
                <w:sz w:val="18"/>
              </w:rPr>
              <w:t>48</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8"/>
              <w:rPr>
                <w:sz w:val="18"/>
              </w:rPr>
            </w:pPr>
            <w:r>
              <w:rPr>
                <w:w w:val="105"/>
                <w:sz w:val="18"/>
              </w:rPr>
              <w:t>2020</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0"/>
              <w:jc w:val="right"/>
              <w:rPr>
                <w:sz w:val="18"/>
              </w:rPr>
            </w:pPr>
            <w:r>
              <w:rPr>
                <w:w w:val="105"/>
                <w:sz w:val="18"/>
              </w:rPr>
              <w:t>47</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sz w:val="18"/>
              </w:rPr>
              <w:t>Population</w:t>
            </w:r>
            <w:r>
              <w:rPr>
                <w:spacing w:val="8"/>
                <w:sz w:val="18"/>
              </w:rPr>
              <w:t xml:space="preserve"> </w:t>
            </w:r>
            <w:r>
              <w:rPr>
                <w:sz w:val="18"/>
              </w:rPr>
              <w:t>with</w:t>
            </w:r>
            <w:r>
              <w:rPr>
                <w:spacing w:val="9"/>
                <w:sz w:val="18"/>
              </w:rPr>
              <w:t xml:space="preserve"> </w:t>
            </w:r>
            <w:r>
              <w:rPr>
                <w:sz w:val="18"/>
              </w:rPr>
              <w:t>confidence</w:t>
            </w:r>
            <w:r>
              <w:rPr>
                <w:spacing w:val="7"/>
                <w:sz w:val="18"/>
              </w:rPr>
              <w:t xml:space="preserve"> </w:t>
            </w:r>
            <w:r>
              <w:rPr>
                <w:sz w:val="18"/>
              </w:rPr>
              <w:t>in</w:t>
            </w:r>
            <w:r>
              <w:rPr>
                <w:spacing w:val="8"/>
                <w:sz w:val="18"/>
              </w:rPr>
              <w:t xml:space="preserve"> </w:t>
            </w:r>
            <w:r>
              <w:rPr>
                <w:sz w:val="18"/>
              </w:rPr>
              <w:t>EU</w:t>
            </w:r>
            <w:r>
              <w:rPr>
                <w:spacing w:val="9"/>
                <w:sz w:val="18"/>
              </w:rPr>
              <w:t xml:space="preserve"> </w:t>
            </w:r>
            <w:r>
              <w:rPr>
                <w:sz w:val="18"/>
              </w:rPr>
              <w:t>institutions</w:t>
            </w:r>
            <w:r>
              <w:rPr>
                <w:spacing w:val="5"/>
                <w:sz w:val="18"/>
              </w:rPr>
              <w:t xml:space="preserve"> </w:t>
            </w:r>
            <w:r>
              <w:rPr>
                <w:sz w:val="18"/>
              </w:rPr>
              <w:t>by</w:t>
            </w:r>
            <w:r>
              <w:rPr>
                <w:spacing w:val="8"/>
                <w:sz w:val="18"/>
              </w:rPr>
              <w:t xml:space="preserve"> </w:t>
            </w:r>
            <w:r>
              <w:rPr>
                <w:sz w:val="18"/>
              </w:rPr>
              <w:t>institution</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64" w:right="66"/>
              <w:jc w:val="center"/>
              <w:rPr>
                <w:sz w:val="18"/>
              </w:rPr>
            </w:pPr>
            <w:r>
              <w:rPr>
                <w:w w:val="105"/>
                <w:sz w:val="18"/>
              </w:rPr>
              <w:t>%</w:t>
            </w:r>
            <w:r>
              <w:rPr>
                <w:spacing w:val="-2"/>
                <w:w w:val="105"/>
                <w:sz w:val="18"/>
              </w:rPr>
              <w:t xml:space="preserve"> </w:t>
            </w:r>
            <w:r>
              <w:rPr>
                <w:w w:val="105"/>
                <w:sz w:val="18"/>
              </w:rPr>
              <w:t>population</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11"/>
              <w:jc w:val="right"/>
              <w:rPr>
                <w:sz w:val="18"/>
              </w:rPr>
            </w:pPr>
            <w:r>
              <w:rPr>
                <w:w w:val="105"/>
                <w:sz w:val="18"/>
              </w:rPr>
              <w:t>44</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8"/>
              <w:rPr>
                <w:sz w:val="18"/>
              </w:rPr>
            </w:pPr>
            <w:r>
              <w:rPr>
                <w:w w:val="105"/>
                <w:sz w:val="18"/>
              </w:rPr>
              <w:t>2021</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40"/>
              <w:jc w:val="right"/>
              <w:rPr>
                <w:sz w:val="18"/>
              </w:rPr>
            </w:pPr>
            <w:r>
              <w:rPr>
                <w:w w:val="105"/>
                <w:sz w:val="18"/>
              </w:rPr>
              <w:t>55</w:t>
            </w:r>
          </w:p>
        </w:tc>
      </w:tr>
      <w:tr w:rsidR="00A56FE9">
        <w:trPr>
          <w:trHeight w:val="340"/>
        </w:trPr>
        <w:tc>
          <w:tcPr>
            <w:tcW w:w="14017" w:type="dxa"/>
            <w:gridSpan w:val="6"/>
            <w:tcBorders>
              <w:top w:val="single" w:sz="4" w:space="0" w:color="2C398A"/>
              <w:left w:val="nil"/>
              <w:bottom w:val="single" w:sz="4" w:space="0" w:color="2C398A"/>
              <w:right w:val="nil"/>
            </w:tcBorders>
          </w:tcPr>
          <w:p w:rsidR="00A56FE9" w:rsidRDefault="00000000">
            <w:pPr>
              <w:pStyle w:val="TableParagraph"/>
              <w:spacing w:before="67"/>
              <w:ind w:left="71"/>
              <w:rPr>
                <w:b/>
                <w:sz w:val="18"/>
              </w:rPr>
            </w:pPr>
            <w:r>
              <w:rPr>
                <w:b/>
                <w:color w:val="2C398A"/>
                <w:w w:val="105"/>
                <w:sz w:val="18"/>
              </w:rPr>
              <w:t>Goal</w:t>
            </w:r>
            <w:r>
              <w:rPr>
                <w:b/>
                <w:color w:val="2C398A"/>
                <w:spacing w:val="-6"/>
                <w:w w:val="105"/>
                <w:sz w:val="18"/>
              </w:rPr>
              <w:t xml:space="preserve"> </w:t>
            </w:r>
            <w:r>
              <w:rPr>
                <w:b/>
                <w:color w:val="2C398A"/>
                <w:w w:val="105"/>
                <w:sz w:val="18"/>
              </w:rPr>
              <w:t>17</w:t>
            </w:r>
            <w:r>
              <w:rPr>
                <w:b/>
                <w:color w:val="2C398A"/>
                <w:spacing w:val="-1"/>
                <w:w w:val="105"/>
                <w:sz w:val="18"/>
              </w:rPr>
              <w:t xml:space="preserve"> </w:t>
            </w:r>
            <w:r>
              <w:rPr>
                <w:b/>
                <w:color w:val="2C398A"/>
                <w:w w:val="105"/>
                <w:sz w:val="18"/>
              </w:rPr>
              <w:t>-</w:t>
            </w:r>
            <w:r>
              <w:rPr>
                <w:b/>
                <w:color w:val="2C398A"/>
                <w:spacing w:val="-2"/>
                <w:w w:val="105"/>
                <w:sz w:val="18"/>
              </w:rPr>
              <w:t xml:space="preserve"> </w:t>
            </w:r>
            <w:r>
              <w:rPr>
                <w:b/>
                <w:color w:val="2C398A"/>
                <w:w w:val="105"/>
                <w:sz w:val="18"/>
              </w:rPr>
              <w:t>Partnerships</w:t>
            </w:r>
            <w:r>
              <w:rPr>
                <w:b/>
                <w:color w:val="2C398A"/>
                <w:spacing w:val="-4"/>
                <w:w w:val="105"/>
                <w:sz w:val="18"/>
              </w:rPr>
              <w:t xml:space="preserve"> </w:t>
            </w:r>
            <w:r>
              <w:rPr>
                <w:b/>
                <w:color w:val="2C398A"/>
                <w:w w:val="105"/>
                <w:sz w:val="18"/>
              </w:rPr>
              <w:t>for</w:t>
            </w:r>
            <w:r>
              <w:rPr>
                <w:b/>
                <w:color w:val="2C398A"/>
                <w:spacing w:val="-4"/>
                <w:w w:val="105"/>
                <w:sz w:val="18"/>
              </w:rPr>
              <w:t xml:space="preserve"> </w:t>
            </w:r>
            <w:r>
              <w:rPr>
                <w:b/>
                <w:color w:val="2C398A"/>
                <w:w w:val="105"/>
                <w:sz w:val="18"/>
              </w:rPr>
              <w:t>the</w:t>
            </w:r>
            <w:r>
              <w:rPr>
                <w:b/>
                <w:color w:val="2C398A"/>
                <w:spacing w:val="-2"/>
                <w:w w:val="105"/>
                <w:sz w:val="18"/>
              </w:rPr>
              <w:t xml:space="preserve"> </w:t>
            </w:r>
            <w:r>
              <w:rPr>
                <w:b/>
                <w:color w:val="2C398A"/>
                <w:w w:val="105"/>
                <w:sz w:val="18"/>
              </w:rPr>
              <w:t>goals</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w w:val="105"/>
                <w:sz w:val="18"/>
              </w:rPr>
              <w:t>Official</w:t>
            </w:r>
            <w:r>
              <w:rPr>
                <w:spacing w:val="-10"/>
                <w:w w:val="105"/>
                <w:sz w:val="18"/>
              </w:rPr>
              <w:t xml:space="preserve"> </w:t>
            </w:r>
            <w:r>
              <w:rPr>
                <w:w w:val="105"/>
                <w:sz w:val="18"/>
              </w:rPr>
              <w:t>development</w:t>
            </w:r>
            <w:r>
              <w:rPr>
                <w:spacing w:val="-10"/>
                <w:w w:val="105"/>
                <w:sz w:val="18"/>
              </w:rPr>
              <w:t xml:space="preserve"> </w:t>
            </w:r>
            <w:r>
              <w:rPr>
                <w:w w:val="105"/>
                <w:sz w:val="18"/>
              </w:rPr>
              <w:t>assistance</w:t>
            </w:r>
            <w:r>
              <w:rPr>
                <w:spacing w:val="-10"/>
                <w:w w:val="105"/>
                <w:sz w:val="18"/>
              </w:rPr>
              <w:t xml:space="preserve"> </w:t>
            </w:r>
            <w:r>
              <w:rPr>
                <w:w w:val="105"/>
                <w:sz w:val="18"/>
              </w:rPr>
              <w:t>as</w:t>
            </w:r>
            <w:r>
              <w:rPr>
                <w:spacing w:val="-11"/>
                <w:w w:val="105"/>
                <w:sz w:val="18"/>
              </w:rPr>
              <w:t xml:space="preserve"> </w:t>
            </w:r>
            <w:r>
              <w:rPr>
                <w:w w:val="105"/>
                <w:sz w:val="18"/>
              </w:rPr>
              <w:t>share</w:t>
            </w:r>
            <w:r>
              <w:rPr>
                <w:spacing w:val="-10"/>
                <w:w w:val="105"/>
                <w:sz w:val="18"/>
              </w:rPr>
              <w:t xml:space="preserve"> </w:t>
            </w:r>
            <w:r>
              <w:rPr>
                <w:w w:val="105"/>
                <w:sz w:val="18"/>
              </w:rPr>
              <w:t>of</w:t>
            </w:r>
            <w:r>
              <w:rPr>
                <w:spacing w:val="-10"/>
                <w:w w:val="105"/>
                <w:sz w:val="18"/>
              </w:rPr>
              <w:t xml:space="preserve"> </w:t>
            </w:r>
            <w:r>
              <w:rPr>
                <w:w w:val="105"/>
                <w:sz w:val="18"/>
              </w:rPr>
              <w:t>gross</w:t>
            </w:r>
            <w:r>
              <w:rPr>
                <w:spacing w:val="-11"/>
                <w:w w:val="105"/>
                <w:sz w:val="18"/>
              </w:rPr>
              <w:t xml:space="preserve"> </w:t>
            </w:r>
            <w:r>
              <w:rPr>
                <w:w w:val="105"/>
                <w:sz w:val="18"/>
              </w:rPr>
              <w:t>national</w:t>
            </w:r>
            <w:r>
              <w:rPr>
                <w:spacing w:val="-10"/>
                <w:w w:val="105"/>
                <w:sz w:val="18"/>
              </w:rPr>
              <w:t xml:space="preserve"> </w:t>
            </w:r>
            <w:r>
              <w:rPr>
                <w:w w:val="105"/>
                <w:sz w:val="18"/>
              </w:rPr>
              <w:t>income</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7"/>
              <w:jc w:val="center"/>
              <w:rPr>
                <w:sz w:val="18"/>
              </w:rPr>
            </w:pPr>
            <w:r>
              <w:rPr>
                <w:w w:val="105"/>
                <w:sz w:val="18"/>
              </w:rPr>
              <w:t>%</w:t>
            </w:r>
            <w:r>
              <w:rPr>
                <w:spacing w:val="-9"/>
                <w:w w:val="105"/>
                <w:sz w:val="18"/>
              </w:rPr>
              <w:t xml:space="preserve"> </w:t>
            </w:r>
            <w:r>
              <w:rPr>
                <w:w w:val="105"/>
                <w:sz w:val="18"/>
              </w:rPr>
              <w:t>GNI</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08"/>
              <w:jc w:val="right"/>
              <w:rPr>
                <w:sz w:val="18"/>
              </w:rPr>
            </w:pPr>
            <w:r>
              <w:rPr>
                <w:w w:val="105"/>
                <w:sz w:val="18"/>
              </w:rPr>
              <w:t>0.08</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8"/>
              <w:rPr>
                <w:sz w:val="18"/>
              </w:rPr>
            </w:pPr>
            <w:r>
              <w:rPr>
                <w:w w:val="105"/>
                <w:sz w:val="18"/>
              </w:rPr>
              <w:t>2020</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38"/>
              <w:jc w:val="right"/>
              <w:rPr>
                <w:sz w:val="18"/>
              </w:rPr>
            </w:pPr>
            <w:r>
              <w:rPr>
                <w:w w:val="105"/>
                <w:sz w:val="18"/>
              </w:rPr>
              <w:t>0.15</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spacing w:val="-1"/>
                <w:w w:val="105"/>
                <w:sz w:val="18"/>
              </w:rPr>
              <w:t>EU</w:t>
            </w:r>
            <w:r>
              <w:rPr>
                <w:spacing w:val="-9"/>
                <w:w w:val="105"/>
                <w:sz w:val="18"/>
              </w:rPr>
              <w:t xml:space="preserve"> </w:t>
            </w:r>
            <w:r>
              <w:rPr>
                <w:spacing w:val="-1"/>
                <w:w w:val="105"/>
                <w:sz w:val="18"/>
              </w:rPr>
              <w:t>imports</w:t>
            </w:r>
            <w:r>
              <w:rPr>
                <w:spacing w:val="-9"/>
                <w:w w:val="105"/>
                <w:sz w:val="18"/>
              </w:rPr>
              <w:t xml:space="preserve"> </w:t>
            </w:r>
            <w:r>
              <w:rPr>
                <w:w w:val="105"/>
                <w:sz w:val="18"/>
              </w:rPr>
              <w:t>from</w:t>
            </w:r>
            <w:r>
              <w:rPr>
                <w:spacing w:val="-11"/>
                <w:w w:val="105"/>
                <w:sz w:val="18"/>
              </w:rPr>
              <w:t xml:space="preserve"> </w:t>
            </w:r>
            <w:r>
              <w:rPr>
                <w:w w:val="105"/>
                <w:sz w:val="18"/>
              </w:rPr>
              <w:t>developing</w:t>
            </w:r>
            <w:r>
              <w:rPr>
                <w:spacing w:val="-7"/>
                <w:w w:val="105"/>
                <w:sz w:val="18"/>
              </w:rPr>
              <w:t xml:space="preserve"> </w:t>
            </w:r>
            <w:r>
              <w:rPr>
                <w:w w:val="105"/>
                <w:sz w:val="18"/>
              </w:rPr>
              <w:t>countries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845"/>
              <w:rPr>
                <w:sz w:val="18"/>
              </w:rPr>
            </w:pPr>
            <w:r>
              <w:rPr>
                <w:sz w:val="18"/>
              </w:rPr>
              <w:t>in</w:t>
            </w:r>
            <w:r>
              <w:rPr>
                <w:spacing w:val="-6"/>
                <w:sz w:val="18"/>
              </w:rPr>
              <w:t xml:space="preserve"> </w:t>
            </w:r>
            <w:r>
              <w:rPr>
                <w:sz w:val="18"/>
              </w:rPr>
              <w:t>millions</w:t>
            </w:r>
            <w:r>
              <w:rPr>
                <w:spacing w:val="-4"/>
                <w:sz w:val="18"/>
              </w:rPr>
              <w:t xml:space="preserve"> </w:t>
            </w:r>
            <w:r>
              <w:rPr>
                <w:sz w:val="18"/>
              </w:rPr>
              <w:t>EUR,</w:t>
            </w:r>
            <w:r>
              <w:rPr>
                <w:spacing w:val="-3"/>
                <w:sz w:val="18"/>
              </w:rPr>
              <w:t xml:space="preserve"> </w:t>
            </w:r>
            <w:r>
              <w:rPr>
                <w:sz w:val="18"/>
              </w:rPr>
              <w:t>at</w:t>
            </w:r>
            <w:r>
              <w:rPr>
                <w:spacing w:val="-8"/>
                <w:sz w:val="18"/>
              </w:rPr>
              <w:t xml:space="preserve"> </w:t>
            </w:r>
            <w:r>
              <w:rPr>
                <w:sz w:val="18"/>
              </w:rPr>
              <w:t>current</w:t>
            </w:r>
            <w:r>
              <w:rPr>
                <w:spacing w:val="-8"/>
                <w:sz w:val="18"/>
              </w:rPr>
              <w:t xml:space="preserve"> </w:t>
            </w:r>
            <w:r>
              <w:rPr>
                <w:sz w:val="18"/>
              </w:rPr>
              <w:t>prices</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12"/>
              <w:jc w:val="right"/>
              <w:rPr>
                <w:sz w:val="18"/>
              </w:rPr>
            </w:pPr>
            <w:r>
              <w:rPr>
                <w:w w:val="105"/>
                <w:sz w:val="18"/>
              </w:rPr>
              <w:t>3,471</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8"/>
              <w:rPr>
                <w:sz w:val="18"/>
              </w:rPr>
            </w:pPr>
            <w:r>
              <w:rPr>
                <w:w w:val="105"/>
                <w:sz w:val="18"/>
              </w:rPr>
              <w:t>2020</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1"/>
              <w:jc w:val="right"/>
              <w:rPr>
                <w:sz w:val="18"/>
              </w:rPr>
            </w:pPr>
            <w:r>
              <w:rPr>
                <w:w w:val="105"/>
                <w:sz w:val="18"/>
              </w:rPr>
              <w:t>4,259</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3" w:lineRule="exact"/>
              <w:ind w:left="71"/>
              <w:rPr>
                <w:sz w:val="18"/>
              </w:rPr>
            </w:pPr>
            <w:r>
              <w:rPr>
                <w:w w:val="105"/>
                <w:sz w:val="18"/>
              </w:rPr>
              <w:t>General</w:t>
            </w:r>
            <w:r>
              <w:rPr>
                <w:spacing w:val="-10"/>
                <w:w w:val="105"/>
                <w:sz w:val="18"/>
              </w:rPr>
              <w:t xml:space="preserve"> </w:t>
            </w:r>
            <w:r>
              <w:rPr>
                <w:w w:val="105"/>
                <w:sz w:val="18"/>
              </w:rPr>
              <w:t>government</w:t>
            </w:r>
            <w:r>
              <w:rPr>
                <w:spacing w:val="-10"/>
                <w:w w:val="105"/>
                <w:sz w:val="18"/>
              </w:rPr>
              <w:t xml:space="preserve"> </w:t>
            </w:r>
            <w:r>
              <w:rPr>
                <w:w w:val="105"/>
                <w:sz w:val="18"/>
              </w:rPr>
              <w:t>gross</w:t>
            </w:r>
            <w:r>
              <w:rPr>
                <w:spacing w:val="-11"/>
                <w:w w:val="105"/>
                <w:sz w:val="18"/>
              </w:rPr>
              <w:t xml:space="preserve"> </w:t>
            </w:r>
            <w:r>
              <w:rPr>
                <w:w w:val="105"/>
                <w:sz w:val="18"/>
              </w:rPr>
              <w:t>debt</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64" w:right="65"/>
              <w:jc w:val="center"/>
              <w:rPr>
                <w:sz w:val="18"/>
              </w:rPr>
            </w:pPr>
            <w:r>
              <w:rPr>
                <w:w w:val="105"/>
                <w:sz w:val="18"/>
              </w:rPr>
              <w:t>%</w:t>
            </w:r>
            <w:r>
              <w:rPr>
                <w:spacing w:val="-5"/>
                <w:w w:val="105"/>
                <w:sz w:val="18"/>
              </w:rPr>
              <w:t xml:space="preserve"> </w:t>
            </w:r>
            <w:r>
              <w:rPr>
                <w:w w:val="105"/>
                <w:sz w:val="18"/>
              </w:rPr>
              <w:t>GDP</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34"/>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right="109"/>
              <w:jc w:val="right"/>
              <w:rPr>
                <w:sz w:val="18"/>
              </w:rPr>
            </w:pPr>
            <w:r>
              <w:rPr>
                <w:w w:val="105"/>
                <w:sz w:val="18"/>
              </w:rPr>
              <w:t>80.3</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3" w:lineRule="exact"/>
              <w:ind w:left="148"/>
              <w:rPr>
                <w:sz w:val="18"/>
              </w:rPr>
            </w:pPr>
            <w:r>
              <w:rPr>
                <w:w w:val="105"/>
                <w:sz w:val="18"/>
              </w:rPr>
              <w:t>2020</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3" w:lineRule="exact"/>
              <w:ind w:right="141"/>
              <w:jc w:val="right"/>
              <w:rPr>
                <w:sz w:val="18"/>
              </w:rPr>
            </w:pPr>
            <w:r>
              <w:rPr>
                <w:w w:val="105"/>
                <w:sz w:val="18"/>
              </w:rPr>
              <w:t>87.3</w:t>
            </w:r>
          </w:p>
        </w:tc>
      </w:tr>
      <w:tr w:rsidR="00A56FE9">
        <w:trPr>
          <w:trHeight w:val="225"/>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4" w:line="201" w:lineRule="exact"/>
              <w:ind w:left="71"/>
              <w:rPr>
                <w:sz w:val="18"/>
              </w:rPr>
            </w:pPr>
            <w:r>
              <w:rPr>
                <w:w w:val="105"/>
                <w:sz w:val="18"/>
              </w:rPr>
              <w:t>Share</w:t>
            </w:r>
            <w:r>
              <w:rPr>
                <w:spacing w:val="-11"/>
                <w:w w:val="105"/>
                <w:sz w:val="18"/>
              </w:rPr>
              <w:t xml:space="preserve"> </w:t>
            </w:r>
            <w:r>
              <w:rPr>
                <w:w w:val="105"/>
                <w:sz w:val="18"/>
              </w:rPr>
              <w:t>of</w:t>
            </w:r>
            <w:r>
              <w:rPr>
                <w:spacing w:val="-7"/>
                <w:w w:val="105"/>
                <w:sz w:val="18"/>
              </w:rPr>
              <w:t xml:space="preserve"> </w:t>
            </w:r>
            <w:r>
              <w:rPr>
                <w:w w:val="105"/>
                <w:sz w:val="18"/>
              </w:rPr>
              <w:t>environmental</w:t>
            </w:r>
            <w:r>
              <w:rPr>
                <w:spacing w:val="-10"/>
                <w:w w:val="105"/>
                <w:sz w:val="18"/>
              </w:rPr>
              <w:t xml:space="preserve"> </w:t>
            </w:r>
            <w:r>
              <w:rPr>
                <w:w w:val="105"/>
                <w:sz w:val="18"/>
              </w:rPr>
              <w:t>taxes</w:t>
            </w:r>
            <w:r>
              <w:rPr>
                <w:spacing w:val="-8"/>
                <w:w w:val="105"/>
                <w:sz w:val="18"/>
              </w:rPr>
              <w:t xml:space="preserve"> </w:t>
            </w:r>
            <w:r>
              <w:rPr>
                <w:w w:val="105"/>
                <w:sz w:val="18"/>
              </w:rPr>
              <w:t>in</w:t>
            </w:r>
            <w:r>
              <w:rPr>
                <w:spacing w:val="-8"/>
                <w:w w:val="105"/>
                <w:sz w:val="18"/>
              </w:rPr>
              <w:t xml:space="preserve"> </w:t>
            </w:r>
            <w:r>
              <w:rPr>
                <w:w w:val="105"/>
                <w:sz w:val="18"/>
              </w:rPr>
              <w:t>total</w:t>
            </w:r>
            <w:r>
              <w:rPr>
                <w:spacing w:val="-9"/>
                <w:w w:val="105"/>
                <w:sz w:val="18"/>
              </w:rPr>
              <w:t xml:space="preserve"> </w:t>
            </w:r>
            <w:r>
              <w:rPr>
                <w:w w:val="105"/>
                <w:sz w:val="18"/>
              </w:rPr>
              <w:t>tax</w:t>
            </w:r>
            <w:r>
              <w:rPr>
                <w:spacing w:val="-11"/>
                <w:w w:val="105"/>
                <w:sz w:val="18"/>
              </w:rPr>
              <w:t xml:space="preserve"> </w:t>
            </w:r>
            <w:r>
              <w:rPr>
                <w:w w:val="105"/>
                <w:sz w:val="18"/>
              </w:rPr>
              <w:t>revenues</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413"/>
              <w:rPr>
                <w:sz w:val="18"/>
              </w:rPr>
            </w:pPr>
            <w:r>
              <w:rPr>
                <w:w w:val="105"/>
                <w:sz w:val="18"/>
              </w:rPr>
              <w:t>%</w:t>
            </w:r>
            <w:r>
              <w:rPr>
                <w:spacing w:val="-9"/>
                <w:w w:val="105"/>
                <w:sz w:val="18"/>
              </w:rPr>
              <w:t xml:space="preserve"> </w:t>
            </w:r>
            <w:r>
              <w:rPr>
                <w:w w:val="105"/>
                <w:sz w:val="18"/>
              </w:rPr>
              <w:t>total</w:t>
            </w:r>
            <w:r>
              <w:rPr>
                <w:spacing w:val="-9"/>
                <w:w w:val="105"/>
                <w:sz w:val="18"/>
              </w:rPr>
              <w:t xml:space="preserve"> </w:t>
            </w:r>
            <w:r>
              <w:rPr>
                <w:w w:val="105"/>
                <w:sz w:val="18"/>
              </w:rPr>
              <w:t>tax</w:t>
            </w:r>
            <w:r>
              <w:rPr>
                <w:spacing w:val="-10"/>
                <w:w w:val="105"/>
                <w:sz w:val="18"/>
              </w:rPr>
              <w:t xml:space="preserve"> </w:t>
            </w:r>
            <w:r>
              <w:rPr>
                <w:w w:val="105"/>
                <w:sz w:val="18"/>
              </w:rPr>
              <w:t>revenue</w:t>
            </w:r>
            <w:r>
              <w:rPr>
                <w:spacing w:val="-9"/>
                <w:w w:val="105"/>
                <w:sz w:val="18"/>
              </w:rPr>
              <w:t xml:space="preserve"> </w:t>
            </w:r>
            <w:r>
              <w:rPr>
                <w:w w:val="105"/>
                <w:sz w:val="18"/>
              </w:rPr>
              <w:t>and</w:t>
            </w:r>
            <w:r>
              <w:rPr>
                <w:spacing w:val="-10"/>
                <w:w w:val="105"/>
                <w:sz w:val="18"/>
              </w:rPr>
              <w:t xml:space="preserve"> </w:t>
            </w:r>
            <w:r>
              <w:rPr>
                <w:w w:val="105"/>
                <w:sz w:val="18"/>
              </w:rPr>
              <w:t>social</w:t>
            </w:r>
            <w:r>
              <w:rPr>
                <w:spacing w:val="-6"/>
                <w:w w:val="105"/>
                <w:sz w:val="18"/>
              </w:rPr>
              <w:t xml:space="preserve"> </w:t>
            </w:r>
            <w:r>
              <w:rPr>
                <w:w w:val="105"/>
                <w:sz w:val="18"/>
              </w:rPr>
              <w:t>contributions</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34"/>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right="108"/>
              <w:jc w:val="right"/>
              <w:rPr>
                <w:sz w:val="18"/>
              </w:rPr>
            </w:pPr>
            <w:r>
              <w:rPr>
                <w:w w:val="105"/>
                <w:sz w:val="18"/>
              </w:rPr>
              <w:t>7.78</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4" w:line="201" w:lineRule="exact"/>
              <w:ind w:left="148"/>
              <w:rPr>
                <w:sz w:val="18"/>
              </w:rPr>
            </w:pPr>
            <w:r>
              <w:rPr>
                <w:w w:val="105"/>
                <w:sz w:val="18"/>
              </w:rPr>
              <w:t>2020</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4" w:line="201" w:lineRule="exact"/>
              <w:ind w:right="138"/>
              <w:jc w:val="right"/>
              <w:rPr>
                <w:sz w:val="18"/>
              </w:rPr>
            </w:pPr>
            <w:r>
              <w:rPr>
                <w:w w:val="105"/>
                <w:sz w:val="18"/>
              </w:rPr>
              <w:t>8.85</w:t>
            </w:r>
          </w:p>
        </w:tc>
      </w:tr>
      <w:tr w:rsidR="00A56FE9">
        <w:trPr>
          <w:trHeight w:val="227"/>
        </w:trPr>
        <w:tc>
          <w:tcPr>
            <w:tcW w:w="6536" w:type="dxa"/>
            <w:tcBorders>
              <w:top w:val="single" w:sz="4" w:space="0" w:color="2C398A"/>
              <w:left w:val="nil"/>
              <w:bottom w:val="single" w:sz="4" w:space="0" w:color="2C398A"/>
              <w:right w:val="single" w:sz="4" w:space="0" w:color="2C398A"/>
            </w:tcBorders>
          </w:tcPr>
          <w:p w:rsidR="00A56FE9" w:rsidRDefault="00000000">
            <w:pPr>
              <w:pStyle w:val="TableParagraph"/>
              <w:spacing w:before="7" w:line="201" w:lineRule="exact"/>
              <w:ind w:left="71"/>
              <w:rPr>
                <w:sz w:val="18"/>
              </w:rPr>
            </w:pPr>
            <w:r>
              <w:rPr>
                <w:sz w:val="18"/>
              </w:rPr>
              <w:t>High-speed</w:t>
            </w:r>
            <w:r>
              <w:rPr>
                <w:spacing w:val="13"/>
                <w:sz w:val="18"/>
              </w:rPr>
              <w:t xml:space="preserve"> </w:t>
            </w:r>
            <w:r>
              <w:rPr>
                <w:sz w:val="18"/>
              </w:rPr>
              <w:t>internet</w:t>
            </w:r>
            <w:r>
              <w:rPr>
                <w:spacing w:val="11"/>
                <w:sz w:val="18"/>
              </w:rPr>
              <w:t xml:space="preserve"> </w:t>
            </w:r>
            <w:r>
              <w:rPr>
                <w:sz w:val="18"/>
              </w:rPr>
              <w:t>coverage</w:t>
            </w:r>
          </w:p>
        </w:tc>
        <w:tc>
          <w:tcPr>
            <w:tcW w:w="411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64" w:right="65"/>
              <w:jc w:val="center"/>
              <w:rPr>
                <w:sz w:val="18"/>
              </w:rPr>
            </w:pPr>
            <w:r>
              <w:rPr>
                <w:w w:val="105"/>
                <w:sz w:val="18"/>
              </w:rPr>
              <w:t>%</w:t>
            </w:r>
            <w:r>
              <w:rPr>
                <w:spacing w:val="-11"/>
                <w:w w:val="105"/>
                <w:sz w:val="18"/>
              </w:rPr>
              <w:t xml:space="preserve"> </w:t>
            </w:r>
            <w:r>
              <w:rPr>
                <w:w w:val="105"/>
                <w:sz w:val="18"/>
              </w:rPr>
              <w:t>households</w:t>
            </w:r>
          </w:p>
        </w:tc>
        <w:tc>
          <w:tcPr>
            <w:tcW w:w="708"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32"/>
              <w:rPr>
                <w:sz w:val="18"/>
              </w:rPr>
            </w:pPr>
            <w:r>
              <w:rPr>
                <w:w w:val="105"/>
                <w:sz w:val="18"/>
              </w:rPr>
              <w:t>2013</w:t>
            </w:r>
          </w:p>
        </w:tc>
        <w:tc>
          <w:tcPr>
            <w:tcW w:w="992"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right="111"/>
              <w:jc w:val="right"/>
              <w:rPr>
                <w:sz w:val="18"/>
              </w:rPr>
            </w:pPr>
            <w:r>
              <w:rPr>
                <w:w w:val="105"/>
                <w:sz w:val="18"/>
              </w:rPr>
              <w:t>6.9</w:t>
            </w:r>
          </w:p>
        </w:tc>
        <w:tc>
          <w:tcPr>
            <w:tcW w:w="680" w:type="dxa"/>
            <w:tcBorders>
              <w:top w:val="single" w:sz="4" w:space="0" w:color="2C398A"/>
              <w:left w:val="single" w:sz="4" w:space="0" w:color="2C398A"/>
              <w:bottom w:val="single" w:sz="4" w:space="0" w:color="2C398A"/>
              <w:right w:val="single" w:sz="4" w:space="0" w:color="2C398A"/>
            </w:tcBorders>
          </w:tcPr>
          <w:p w:rsidR="00A56FE9" w:rsidRDefault="00000000">
            <w:pPr>
              <w:pStyle w:val="TableParagraph"/>
              <w:spacing w:before="7" w:line="201" w:lineRule="exact"/>
              <w:ind w:left="148"/>
              <w:rPr>
                <w:sz w:val="18"/>
              </w:rPr>
            </w:pPr>
            <w:r>
              <w:rPr>
                <w:w w:val="105"/>
                <w:sz w:val="18"/>
              </w:rPr>
              <w:t>2020</w:t>
            </w:r>
          </w:p>
        </w:tc>
        <w:tc>
          <w:tcPr>
            <w:tcW w:w="989" w:type="dxa"/>
            <w:tcBorders>
              <w:top w:val="single" w:sz="4" w:space="0" w:color="2C398A"/>
              <w:left w:val="single" w:sz="4" w:space="0" w:color="2C398A"/>
              <w:bottom w:val="single" w:sz="4" w:space="0" w:color="2C398A"/>
              <w:right w:val="nil"/>
            </w:tcBorders>
          </w:tcPr>
          <w:p w:rsidR="00A56FE9" w:rsidRDefault="00000000">
            <w:pPr>
              <w:pStyle w:val="TableParagraph"/>
              <w:spacing w:before="7" w:line="201" w:lineRule="exact"/>
              <w:ind w:right="141"/>
              <w:jc w:val="right"/>
              <w:rPr>
                <w:sz w:val="18"/>
              </w:rPr>
            </w:pPr>
            <w:r>
              <w:rPr>
                <w:w w:val="105"/>
                <w:sz w:val="18"/>
              </w:rPr>
              <w:t>46.5</w:t>
            </w:r>
          </w:p>
        </w:tc>
      </w:tr>
    </w:tbl>
    <w:p w:rsidR="00A56FE9" w:rsidRDefault="00000000">
      <w:pPr>
        <w:spacing w:line="226" w:lineRule="exact"/>
        <w:ind w:left="958"/>
        <w:rPr>
          <w:i/>
          <w:sz w:val="20"/>
        </w:rPr>
      </w:pPr>
      <w:r>
        <w:rPr>
          <w:i/>
          <w:sz w:val="20"/>
        </w:rPr>
        <w:t>Source:</w:t>
      </w:r>
      <w:r>
        <w:rPr>
          <w:i/>
          <w:spacing w:val="-1"/>
          <w:sz w:val="20"/>
        </w:rPr>
        <w:t xml:space="preserve"> </w:t>
      </w:r>
      <w:r>
        <w:rPr>
          <w:i/>
          <w:sz w:val="20"/>
        </w:rPr>
        <w:t>Eurostat</w:t>
      </w:r>
    </w:p>
    <w:sectPr w:rsidR="00A56FE9">
      <w:pgSz w:w="16840" w:h="11910" w:orient="landscape"/>
      <w:pgMar w:top="1100" w:right="380" w:bottom="880" w:left="460" w:header="0" w:footer="7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B1E70" w:rsidRDefault="00AB1E70">
      <w:r>
        <w:separator/>
      </w:r>
    </w:p>
  </w:endnote>
  <w:endnote w:type="continuationSeparator" w:id="0">
    <w:p w:rsidR="00AB1E70" w:rsidRDefault="00AB1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MT"/>
    <w:charset w:val="01"/>
    <w:family w:val="swiss"/>
    <w:pitch w:val="variable"/>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56FE9" w:rsidRDefault="00CC1B9B">
    <w:pPr>
      <w:pStyle w:val="Tijeloteksta"/>
      <w:spacing w:line="14" w:lineRule="auto"/>
      <w:ind w:left="0"/>
      <w:jc w:val="left"/>
      <w:rPr>
        <w:sz w:val="20"/>
      </w:rPr>
    </w:pPr>
    <w:r>
      <w:rPr>
        <w:noProof/>
      </w:rPr>
      <mc:AlternateContent>
        <mc:Choice Requires="wps">
          <w:drawing>
            <wp:anchor distT="0" distB="0" distL="114300" distR="114300" simplePos="0" relativeHeight="475853312" behindDoc="1" locked="0" layoutInCell="1" allowOverlap="1">
              <wp:simplePos x="0" y="0"/>
              <wp:positionH relativeFrom="page">
                <wp:posOffset>6470650</wp:posOffset>
              </wp:positionH>
              <wp:positionV relativeFrom="page">
                <wp:posOffset>10057765</wp:posOffset>
              </wp:positionV>
              <wp:extent cx="228600" cy="194310"/>
              <wp:effectExtent l="0" t="0" r="0" b="0"/>
              <wp:wrapNone/>
              <wp:docPr id="4103671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pStyle w:val="Tijeloteksta"/>
                            <w:spacing w:before="10"/>
                            <w:ind w:left="60"/>
                            <w:jc w:val="left"/>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33" type="#_x0000_t202" style="position:absolute;margin-left:509.5pt;margin-top:791.95pt;width:18pt;height:15.3pt;z-index:-2746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" filled="f" stroked="f">
              <v:textbox inset="0,0,0,0">
                <w:txbxContent>
                  <w:p w:rsidR="00A56FE9" w:rsidRDefault="00000000">
                    <w:pPr>
                      <w:pStyle w:val="Tijeloteksta"/>
                      <w:spacing w:before="10"/>
                      <w:ind w:left="60"/>
                      <w:jc w:val="left"/>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56FE9" w:rsidRDefault="00CC1B9B">
    <w:pPr>
      <w:pStyle w:val="Tijeloteksta"/>
      <w:spacing w:line="14" w:lineRule="auto"/>
      <w:ind w:left="0"/>
      <w:jc w:val="left"/>
      <w:rPr>
        <w:sz w:val="20"/>
      </w:rPr>
    </w:pPr>
    <w:r>
      <w:rPr>
        <w:noProof/>
      </w:rPr>
      <mc:AlternateContent>
        <mc:Choice Requires="wps">
          <w:drawing>
            <wp:anchor distT="0" distB="0" distL="114300" distR="114300" simplePos="0" relativeHeight="475853824" behindDoc="1" locked="0" layoutInCell="1" allowOverlap="1">
              <wp:simplePos x="0" y="0"/>
              <wp:positionH relativeFrom="page">
                <wp:posOffset>901065</wp:posOffset>
              </wp:positionH>
              <wp:positionV relativeFrom="page">
                <wp:posOffset>9570720</wp:posOffset>
              </wp:positionV>
              <wp:extent cx="1828800" cy="7620"/>
              <wp:effectExtent l="0" t="0" r="0" b="0"/>
              <wp:wrapNone/>
              <wp:docPr id="125567284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05C27" id="Rectangle 9" o:spid="_x0000_s1026" style="position:absolute;margin-left:70.95pt;margin-top:753.6pt;width:2in;height:.6pt;z-index:-27462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" fillcolor="black" stroked="f">
              <w10:wrap anchorx="page" anchory="page"/>
            </v:rect>
          </w:pict>
        </mc:Fallback>
      </mc:AlternateContent>
    </w:r>
    <w:r>
      <w:rPr>
        <w:noProof/>
      </w:rPr>
      <mc:AlternateContent>
        <mc:Choice Requires="wps">
          <w:drawing>
            <wp:anchor distT="0" distB="0" distL="114300" distR="114300" simplePos="0" relativeHeight="475854336" behindDoc="1" locked="0" layoutInCell="1" allowOverlap="1">
              <wp:simplePos x="0" y="0"/>
              <wp:positionH relativeFrom="page">
                <wp:posOffset>862965</wp:posOffset>
              </wp:positionH>
              <wp:positionV relativeFrom="page">
                <wp:posOffset>9632315</wp:posOffset>
              </wp:positionV>
              <wp:extent cx="772160" cy="170815"/>
              <wp:effectExtent l="0" t="0" r="0" b="0"/>
              <wp:wrapNone/>
              <wp:docPr id="104724706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spacing w:before="18"/>
                            <w:ind w:left="60"/>
                            <w:rPr>
                              <w:sz w:val="20"/>
                            </w:rPr>
                          </w:pPr>
                          <w:r>
                            <w:fldChar w:fldCharType="begin"/>
                          </w:r>
                          <w:r>
                            <w:rPr>
                              <w:sz w:val="20"/>
                              <w:vertAlign w:val="superscript"/>
                            </w:rPr>
                            <w:instrText xml:space="preserve"> PAGE </w:instrText>
                          </w:r>
                          <w:r>
                            <w:fldChar w:fldCharType="separate"/>
                          </w:r>
                          <w:r>
                            <w:t>19</w:t>
                          </w:r>
                          <w:r>
                            <w:fldChar w:fldCharType="end"/>
                          </w:r>
                          <w:r>
                            <w:rPr>
                              <w:spacing w:val="-1"/>
                              <w:sz w:val="20"/>
                            </w:rPr>
                            <w:t xml:space="preserve"> </w:t>
                          </w:r>
                          <w:r>
                            <w:rPr>
                              <w:sz w:val="20"/>
                            </w:rPr>
                            <w:t>OG 144/21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4" type="#_x0000_t202" style="position:absolute;margin-left:67.95pt;margin-top:758.45pt;width:60.8pt;height:13.45pt;z-index:-2746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" filled="f" stroked="f">
              <v:textbox inset="0,0,0,0">
                <w:txbxContent>
                  <w:p w:rsidR="00A56FE9" w:rsidRDefault="00000000">
                    <w:pPr>
                      <w:spacing w:before="18"/>
                      <w:ind w:left="60"/>
                      <w:rPr>
                        <w:sz w:val="20"/>
                      </w:rPr>
                    </w:pPr>
                    <w:r>
                      <w:fldChar w:fldCharType="begin"/>
                    </w:r>
                    <w:r>
                      <w:rPr>
                        <w:sz w:val="20"/>
                        <w:vertAlign w:val="superscript"/>
                      </w:rPr>
                      <w:instrText xml:space="preserve"> PAGE </w:instrText>
                    </w:r>
                    <w:r>
                      <w:fldChar w:fldCharType="separate"/>
                    </w:r>
                    <w:r>
                      <w:t>19</w:t>
                    </w:r>
                    <w:r>
                      <w:fldChar w:fldCharType="end"/>
                    </w:r>
                    <w:r>
                      <w:rPr>
                        <w:spacing w:val="-1"/>
                        <w:sz w:val="20"/>
                      </w:rPr>
                      <w:t xml:space="preserve"> </w:t>
                    </w:r>
                    <w:r>
                      <w:rPr>
                        <w:sz w:val="20"/>
                      </w:rPr>
                      <w:t>OG 144/21</w:t>
                    </w:r>
                  </w:p>
                </w:txbxContent>
              </v:textbox>
              <w10:wrap anchorx="page" anchory="page"/>
            </v:shape>
          </w:pict>
        </mc:Fallback>
      </mc:AlternateContent>
    </w:r>
    <w:r>
      <w:rPr>
        <w:noProof/>
      </w:rPr>
      <mc:AlternateContent>
        <mc:Choice Requires="wps">
          <w:drawing>
            <wp:anchor distT="0" distB="0" distL="114300" distR="114300" simplePos="0" relativeHeight="475854848" behindDoc="1" locked="0" layoutInCell="1" allowOverlap="1">
              <wp:simplePos x="0" y="0"/>
              <wp:positionH relativeFrom="page">
                <wp:posOffset>6496050</wp:posOffset>
              </wp:positionH>
              <wp:positionV relativeFrom="page">
                <wp:posOffset>10057765</wp:posOffset>
              </wp:positionV>
              <wp:extent cx="177800" cy="194310"/>
              <wp:effectExtent l="0" t="0" r="0" b="0"/>
              <wp:wrapNone/>
              <wp:docPr id="199355760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pStyle w:val="Tijeloteksta"/>
                            <w:spacing w:before="10"/>
                            <w:ind w:left="20"/>
                            <w:jc w:val="left"/>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5" type="#_x0000_t202" style="position:absolute;margin-left:511.5pt;margin-top:791.95pt;width:14pt;height:15.3pt;z-index:-27461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" filled="f" stroked="f">
              <v:textbox inset="0,0,0,0">
                <w:txbxContent>
                  <w:p w:rsidR="00A56FE9" w:rsidRDefault="00000000">
                    <w:pPr>
                      <w:pStyle w:val="Tijeloteksta"/>
                      <w:spacing w:before="10"/>
                      <w:ind w:left="20"/>
                      <w:jc w:val="left"/>
                    </w:pPr>
                    <w:r>
                      <w:t>19</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56FE9" w:rsidRDefault="00CC1B9B">
    <w:pPr>
      <w:pStyle w:val="Tijeloteksta"/>
      <w:spacing w:line="14" w:lineRule="auto"/>
      <w:ind w:left="0"/>
      <w:jc w:val="left"/>
      <w:rPr>
        <w:sz w:val="20"/>
      </w:rPr>
    </w:pPr>
    <w:r>
      <w:rPr>
        <w:noProof/>
      </w:rPr>
      <mc:AlternateContent>
        <mc:Choice Requires="wps">
          <w:drawing>
            <wp:anchor distT="0" distB="0" distL="114300" distR="114300" simplePos="0" relativeHeight="475855360" behindDoc="1" locked="0" layoutInCell="1" allowOverlap="1">
              <wp:simplePos x="0" y="0"/>
              <wp:positionH relativeFrom="page">
                <wp:posOffset>6470650</wp:posOffset>
              </wp:positionH>
              <wp:positionV relativeFrom="page">
                <wp:posOffset>10057765</wp:posOffset>
              </wp:positionV>
              <wp:extent cx="228600" cy="194310"/>
              <wp:effectExtent l="0" t="0" r="0" b="0"/>
              <wp:wrapNone/>
              <wp:docPr id="48400210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pStyle w:val="Tijeloteksta"/>
                            <w:spacing w:before="10"/>
                            <w:ind w:left="60"/>
                            <w:jc w:val="left"/>
                          </w:pPr>
                          <w:r>
                            <w:fldChar w:fldCharType="begin"/>
                          </w:r>
                          <w:r>
                            <w:instrText xml:space="preserve"> PAGE </w:instrText>
                          </w:r>
                          <w:r>
                            <w:fldChar w:fldCharType="separate"/>
                          </w:r>
                          <w: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6" type="#_x0000_t202" style="position:absolute;margin-left:509.5pt;margin-top:791.95pt;width:18pt;height:15.3pt;z-index:-2746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" filled="f" stroked="f">
              <v:textbox inset="0,0,0,0">
                <w:txbxContent>
                  <w:p w:rsidR="00A56FE9" w:rsidRDefault="00000000">
                    <w:pPr>
                      <w:pStyle w:val="Tijeloteksta"/>
                      <w:spacing w:before="10"/>
                      <w:ind w:left="60"/>
                      <w:jc w:val="left"/>
                    </w:pPr>
                    <w:r>
                      <w:fldChar w:fldCharType="begin"/>
                    </w:r>
                    <w:r>
                      <w:instrText xml:space="preserve"> PAGE </w:instrText>
                    </w:r>
                    <w:r>
                      <w:fldChar w:fldCharType="separate"/>
                    </w:r>
                    <w:r>
                      <w:t>21</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56FE9" w:rsidRDefault="00CC1B9B">
    <w:pPr>
      <w:pStyle w:val="Tijeloteksta"/>
      <w:spacing w:line="14" w:lineRule="auto"/>
      <w:ind w:left="0"/>
      <w:jc w:val="left"/>
      <w:rPr>
        <w:sz w:val="20"/>
      </w:rPr>
    </w:pPr>
    <w:r>
      <w:rPr>
        <w:noProof/>
      </w:rPr>
      <mc:AlternateContent>
        <mc:Choice Requires="wps">
          <w:drawing>
            <wp:anchor distT="0" distB="0" distL="114300" distR="114300" simplePos="0" relativeHeight="475855872" behindDoc="1" locked="0" layoutInCell="1" allowOverlap="1">
              <wp:simplePos x="0" y="0"/>
              <wp:positionH relativeFrom="page">
                <wp:posOffset>6470650</wp:posOffset>
              </wp:positionH>
              <wp:positionV relativeFrom="page">
                <wp:posOffset>10057765</wp:posOffset>
              </wp:positionV>
              <wp:extent cx="228600" cy="194310"/>
              <wp:effectExtent l="0" t="0" r="0" b="0"/>
              <wp:wrapNone/>
              <wp:docPr id="6422254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pStyle w:val="Tijeloteksta"/>
                            <w:spacing w:before="10"/>
                            <w:ind w:left="60"/>
                            <w:jc w:val="left"/>
                          </w:pPr>
                          <w:r>
                            <w:fldChar w:fldCharType="begin"/>
                          </w:r>
                          <w:r>
                            <w:instrText xml:space="preserve"> PAGE </w:instrText>
                          </w:r>
                          <w:r>
                            <w:fldChar w:fldCharType="separate"/>
                          </w:r>
                          <w:r>
                            <w:t>89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7" type="#_x0000_t202" style="position:absolute;margin-left:509.5pt;margin-top:791.95pt;width:18pt;height:15.3pt;z-index:-2746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" filled="f" stroked="f">
              <v:textbox inset="0,0,0,0">
                <w:txbxContent>
                  <w:p w:rsidR="00A56FE9" w:rsidRDefault="00000000">
                    <w:pPr>
                      <w:pStyle w:val="Tijeloteksta"/>
                      <w:spacing w:before="10"/>
                      <w:ind w:left="60"/>
                      <w:jc w:val="left"/>
                    </w:pPr>
                    <w:r>
                      <w:fldChar w:fldCharType="begin"/>
                    </w:r>
                    <w:r>
                      <w:instrText xml:space="preserve"> PAGE </w:instrText>
                    </w:r>
                    <w:r>
                      <w:fldChar w:fldCharType="separate"/>
                    </w:r>
                    <w:r>
                      <w:t>89</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56FE9" w:rsidRDefault="00CC1B9B">
    <w:pPr>
      <w:pStyle w:val="Tijeloteksta"/>
      <w:spacing w:line="14" w:lineRule="auto"/>
      <w:ind w:left="0"/>
      <w:jc w:val="left"/>
      <w:rPr>
        <w:sz w:val="20"/>
      </w:rPr>
    </w:pPr>
    <w:r>
      <w:rPr>
        <w:noProof/>
      </w:rPr>
      <mc:AlternateContent>
        <mc:Choice Requires="wps">
          <w:drawing>
            <wp:anchor distT="0" distB="0" distL="114300" distR="114300" simplePos="0" relativeHeight="475856384" behindDoc="1" locked="0" layoutInCell="1" allowOverlap="1">
              <wp:simplePos x="0" y="0"/>
              <wp:positionH relativeFrom="page">
                <wp:posOffset>6496050</wp:posOffset>
              </wp:positionH>
              <wp:positionV relativeFrom="page">
                <wp:posOffset>10057765</wp:posOffset>
              </wp:positionV>
              <wp:extent cx="177800" cy="194310"/>
              <wp:effectExtent l="0" t="0" r="0" b="0"/>
              <wp:wrapNone/>
              <wp:docPr id="125022024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pStyle w:val="Tijeloteksta"/>
                            <w:spacing w:before="10"/>
                            <w:ind w:left="20"/>
                            <w:jc w:val="left"/>
                          </w:pPr>
                          <w: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8" type="#_x0000_t202" style="position:absolute;margin-left:511.5pt;margin-top:791.95pt;width:14pt;height:15.3pt;z-index:-2746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" filled="f" stroked="f">
              <v:textbox inset="0,0,0,0">
                <w:txbxContent>
                  <w:p w:rsidR="00A56FE9" w:rsidRDefault="00000000">
                    <w:pPr>
                      <w:pStyle w:val="Tijeloteksta"/>
                      <w:spacing w:before="10"/>
                      <w:ind w:left="20"/>
                      <w:jc w:val="left"/>
                    </w:pPr>
                    <w:r>
                      <w:t>97</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56FE9" w:rsidRDefault="00CC1B9B">
    <w:pPr>
      <w:pStyle w:val="Tijeloteksta"/>
      <w:spacing w:line="14" w:lineRule="auto"/>
      <w:ind w:left="0"/>
      <w:jc w:val="left"/>
      <w:rPr>
        <w:sz w:val="19"/>
      </w:rPr>
    </w:pPr>
    <w:r>
      <w:rPr>
        <w:noProof/>
      </w:rPr>
      <mc:AlternateContent>
        <mc:Choice Requires="wps">
          <w:drawing>
            <wp:anchor distT="0" distB="0" distL="114300" distR="114300" simplePos="0" relativeHeight="475856896" behindDoc="1" locked="0" layoutInCell="1" allowOverlap="1">
              <wp:simplePos x="0" y="0"/>
              <wp:positionH relativeFrom="page">
                <wp:posOffset>6394450</wp:posOffset>
              </wp:positionH>
              <wp:positionV relativeFrom="page">
                <wp:posOffset>10057765</wp:posOffset>
              </wp:positionV>
              <wp:extent cx="304800" cy="194310"/>
              <wp:effectExtent l="0" t="0" r="0" b="0"/>
              <wp:wrapNone/>
              <wp:docPr id="79845490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pStyle w:val="Tijeloteksta"/>
                            <w:spacing w:before="10"/>
                            <w:ind w:left="60"/>
                            <w:jc w:val="left"/>
                          </w:pPr>
                          <w:r>
                            <w:fldChar w:fldCharType="begin"/>
                          </w:r>
                          <w:r>
                            <w:instrText xml:space="preserve"> PAGE </w:instrText>
                          </w:r>
                          <w:r>
                            <w:fldChar w:fldCharType="separate"/>
                          </w:r>
                          <w:r>
                            <w:t>112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9" type="#_x0000_t202" style="position:absolute;margin-left:503.5pt;margin-top:791.95pt;width:24pt;height:15.3pt;z-index:-2745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" filled="f" stroked="f">
              <v:textbox inset="0,0,0,0">
                <w:txbxContent>
                  <w:p w:rsidR="00A56FE9" w:rsidRDefault="00000000">
                    <w:pPr>
                      <w:pStyle w:val="Tijeloteksta"/>
                      <w:spacing w:before="10"/>
                      <w:ind w:left="60"/>
                      <w:jc w:val="left"/>
                    </w:pPr>
                    <w:r>
                      <w:fldChar w:fldCharType="begin"/>
                    </w:r>
                    <w:r>
                      <w:instrText xml:space="preserve"> PAGE </w:instrText>
                    </w:r>
                    <w:r>
                      <w:fldChar w:fldCharType="separate"/>
                    </w:r>
                    <w:r>
                      <w:t>112</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56FE9" w:rsidRDefault="00CC1B9B">
    <w:pPr>
      <w:pStyle w:val="Tijeloteksta"/>
      <w:spacing w:line="14" w:lineRule="auto"/>
      <w:ind w:left="0"/>
      <w:jc w:val="left"/>
      <w:rPr>
        <w:sz w:val="20"/>
      </w:rPr>
    </w:pPr>
    <w:r>
      <w:rPr>
        <w:noProof/>
      </w:rPr>
      <mc:AlternateContent>
        <mc:Choice Requires="wps">
          <w:drawing>
            <wp:anchor distT="0" distB="0" distL="114300" distR="114300" simplePos="0" relativeHeight="475857408" behindDoc="1" locked="0" layoutInCell="1" allowOverlap="1">
              <wp:simplePos x="0" y="0"/>
              <wp:positionH relativeFrom="page">
                <wp:posOffset>6394450</wp:posOffset>
              </wp:positionH>
              <wp:positionV relativeFrom="page">
                <wp:posOffset>10057765</wp:posOffset>
              </wp:positionV>
              <wp:extent cx="304800" cy="194310"/>
              <wp:effectExtent l="0" t="0" r="0" b="0"/>
              <wp:wrapNone/>
              <wp:docPr id="7086649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pStyle w:val="Tijeloteksta"/>
                            <w:spacing w:before="10"/>
                            <w:ind w:left="60"/>
                            <w:jc w:val="left"/>
                          </w:pPr>
                          <w:r>
                            <w:fldChar w:fldCharType="begin"/>
                          </w:r>
                          <w:r>
                            <w:instrText xml:space="preserve"> PAGE </w:instrText>
                          </w:r>
                          <w:r>
                            <w:fldChar w:fldCharType="separate"/>
                          </w:r>
                          <w:r>
                            <w:t>115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40" type="#_x0000_t202" style="position:absolute;margin-left:503.5pt;margin-top:791.95pt;width:24pt;height:15.3pt;z-index:-2745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" filled="f" stroked="f">
              <v:textbox inset="0,0,0,0">
                <w:txbxContent>
                  <w:p w:rsidR="00A56FE9" w:rsidRDefault="00000000">
                    <w:pPr>
                      <w:pStyle w:val="Tijeloteksta"/>
                      <w:spacing w:before="10"/>
                      <w:ind w:left="60"/>
                      <w:jc w:val="left"/>
                    </w:pPr>
                    <w:r>
                      <w:fldChar w:fldCharType="begin"/>
                    </w:r>
                    <w:r>
                      <w:instrText xml:space="preserve"> PAGE </w:instrText>
                    </w:r>
                    <w:r>
                      <w:fldChar w:fldCharType="separate"/>
                    </w:r>
                    <w:r>
                      <w:t>115</w:t>
                    </w:r>
                    <w: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56FE9" w:rsidRDefault="00CC1B9B">
    <w:pPr>
      <w:pStyle w:val="Tijeloteksta"/>
      <w:spacing w:line="14" w:lineRule="auto"/>
      <w:ind w:left="0"/>
      <w:jc w:val="left"/>
      <w:rPr>
        <w:sz w:val="20"/>
      </w:rPr>
    </w:pPr>
    <w:r>
      <w:rPr>
        <w:noProof/>
      </w:rPr>
      <mc:AlternateContent>
        <mc:Choice Requires="wps">
          <w:drawing>
            <wp:anchor distT="0" distB="0" distL="114300" distR="114300" simplePos="0" relativeHeight="475857920" behindDoc="1" locked="0" layoutInCell="1" allowOverlap="1">
              <wp:simplePos x="0" y="0"/>
              <wp:positionH relativeFrom="page">
                <wp:posOffset>9526270</wp:posOffset>
              </wp:positionH>
              <wp:positionV relativeFrom="page">
                <wp:posOffset>6925310</wp:posOffset>
              </wp:positionV>
              <wp:extent cx="304800" cy="194310"/>
              <wp:effectExtent l="0" t="0" r="0" b="0"/>
              <wp:wrapNone/>
              <wp:docPr id="4237536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6FE9" w:rsidRDefault="00000000">
                          <w:pPr>
                            <w:pStyle w:val="Tijeloteksta"/>
                            <w:spacing w:before="10"/>
                            <w:ind w:left="60"/>
                            <w:jc w:val="left"/>
                          </w:pPr>
                          <w:r>
                            <w:fldChar w:fldCharType="begin"/>
                          </w:r>
                          <w:r>
                            <w:instrText xml:space="preserve"> PAGE </w:instrText>
                          </w:r>
                          <w:r>
                            <w:fldChar w:fldCharType="separate"/>
                          </w:r>
                          <w:r>
                            <w:t>121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1" type="#_x0000_t202" style="position:absolute;margin-left:750.1pt;margin-top:545.3pt;width:24pt;height:15.3pt;z-index:-2745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" filled="f" stroked="f">
              <v:textbox inset="0,0,0,0">
                <w:txbxContent>
                  <w:p w:rsidR="00A56FE9" w:rsidRDefault="00000000">
                    <w:pPr>
                      <w:pStyle w:val="Tijeloteksta"/>
                      <w:spacing w:before="10"/>
                      <w:ind w:left="60"/>
                      <w:jc w:val="left"/>
                    </w:pPr>
                    <w:r>
                      <w:fldChar w:fldCharType="begin"/>
                    </w:r>
                    <w:r>
                      <w:instrText xml:space="preserve"> PAGE </w:instrText>
                    </w:r>
                    <w:r>
                      <w:fldChar w:fldCharType="separate"/>
                    </w:r>
                    <w:r>
                      <w:t>121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B1E70" w:rsidRDefault="00AB1E70">
      <w:r>
        <w:separator/>
      </w:r>
    </w:p>
  </w:footnote>
  <w:footnote w:type="continuationSeparator" w:id="0">
    <w:p w:rsidR="00AB1E70" w:rsidRDefault="00AB1E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1A7C25"/>
    <w:multiLevelType w:val="hybridMultilevel"/>
    <w:tmpl w:val="CFC68842"/>
    <w:lvl w:ilvl="0" w:tplc="F6664036">
      <w:start w:val="1"/>
      <w:numFmt w:val="upperRoman"/>
      <w:lvlText w:val="%1."/>
      <w:lvlJc w:val="left"/>
      <w:pPr>
        <w:ind w:left="592" w:hanging="454"/>
        <w:jc w:val="left"/>
      </w:pPr>
      <w:rPr>
        <w:rFonts w:ascii="Calibri Light" w:eastAsia="Calibri Light" w:hAnsi="Calibri Light" w:cs="Calibri Light" w:hint="default"/>
        <w:color w:val="DA1F2C"/>
        <w:spacing w:val="-2"/>
        <w:w w:val="100"/>
        <w:sz w:val="48"/>
        <w:szCs w:val="48"/>
        <w:lang w:val="en-US" w:eastAsia="en-US" w:bidi="ar-SA"/>
      </w:rPr>
    </w:lvl>
    <w:lvl w:ilvl="1" w:tplc="C0C02128">
      <w:numFmt w:val="bullet"/>
      <w:lvlText w:val="•"/>
      <w:lvlJc w:val="left"/>
      <w:pPr>
        <w:ind w:left="1488" w:hanging="454"/>
      </w:pPr>
      <w:rPr>
        <w:rFonts w:hint="default"/>
        <w:lang w:val="en-US" w:eastAsia="en-US" w:bidi="ar-SA"/>
      </w:rPr>
    </w:lvl>
    <w:lvl w:ilvl="2" w:tplc="4EFA43DC">
      <w:numFmt w:val="bullet"/>
      <w:lvlText w:val="•"/>
      <w:lvlJc w:val="left"/>
      <w:pPr>
        <w:ind w:left="2377" w:hanging="454"/>
      </w:pPr>
      <w:rPr>
        <w:rFonts w:hint="default"/>
        <w:lang w:val="en-US" w:eastAsia="en-US" w:bidi="ar-SA"/>
      </w:rPr>
    </w:lvl>
    <w:lvl w:ilvl="3" w:tplc="9D149C3C">
      <w:numFmt w:val="bullet"/>
      <w:lvlText w:val="•"/>
      <w:lvlJc w:val="left"/>
      <w:pPr>
        <w:ind w:left="3265" w:hanging="454"/>
      </w:pPr>
      <w:rPr>
        <w:rFonts w:hint="default"/>
        <w:lang w:val="en-US" w:eastAsia="en-US" w:bidi="ar-SA"/>
      </w:rPr>
    </w:lvl>
    <w:lvl w:ilvl="4" w:tplc="25D6E566">
      <w:numFmt w:val="bullet"/>
      <w:lvlText w:val="•"/>
      <w:lvlJc w:val="left"/>
      <w:pPr>
        <w:ind w:left="4154" w:hanging="454"/>
      </w:pPr>
      <w:rPr>
        <w:rFonts w:hint="default"/>
        <w:lang w:val="en-US" w:eastAsia="en-US" w:bidi="ar-SA"/>
      </w:rPr>
    </w:lvl>
    <w:lvl w:ilvl="5" w:tplc="FCE6B902">
      <w:numFmt w:val="bullet"/>
      <w:lvlText w:val="•"/>
      <w:lvlJc w:val="left"/>
      <w:pPr>
        <w:ind w:left="5043" w:hanging="454"/>
      </w:pPr>
      <w:rPr>
        <w:rFonts w:hint="default"/>
        <w:lang w:val="en-US" w:eastAsia="en-US" w:bidi="ar-SA"/>
      </w:rPr>
    </w:lvl>
    <w:lvl w:ilvl="6" w:tplc="2E746108">
      <w:numFmt w:val="bullet"/>
      <w:lvlText w:val="•"/>
      <w:lvlJc w:val="left"/>
      <w:pPr>
        <w:ind w:left="5931" w:hanging="454"/>
      </w:pPr>
      <w:rPr>
        <w:rFonts w:hint="default"/>
        <w:lang w:val="en-US" w:eastAsia="en-US" w:bidi="ar-SA"/>
      </w:rPr>
    </w:lvl>
    <w:lvl w:ilvl="7" w:tplc="ED22F6D4">
      <w:numFmt w:val="bullet"/>
      <w:lvlText w:val="•"/>
      <w:lvlJc w:val="left"/>
      <w:pPr>
        <w:ind w:left="6820" w:hanging="454"/>
      </w:pPr>
      <w:rPr>
        <w:rFonts w:hint="default"/>
        <w:lang w:val="en-US" w:eastAsia="en-US" w:bidi="ar-SA"/>
      </w:rPr>
    </w:lvl>
    <w:lvl w:ilvl="8" w:tplc="ECE0F296">
      <w:numFmt w:val="bullet"/>
      <w:lvlText w:val="•"/>
      <w:lvlJc w:val="left"/>
      <w:pPr>
        <w:ind w:left="7709" w:hanging="454"/>
      </w:pPr>
      <w:rPr>
        <w:rFonts w:hint="default"/>
        <w:lang w:val="en-US" w:eastAsia="en-US" w:bidi="ar-SA"/>
      </w:rPr>
    </w:lvl>
  </w:abstractNum>
  <w:abstractNum w:abstractNumId="1" w15:restartNumberingAfterBreak="0">
    <w:nsid w:val="1F8B585E"/>
    <w:multiLevelType w:val="hybridMultilevel"/>
    <w:tmpl w:val="98486E46"/>
    <w:lvl w:ilvl="0" w:tplc="E2A693DA">
      <w:start w:val="1"/>
      <w:numFmt w:val="decimal"/>
      <w:lvlText w:val="%1"/>
      <w:lvlJc w:val="left"/>
      <w:pPr>
        <w:ind w:left="422" w:hanging="284"/>
        <w:jc w:val="left"/>
      </w:pPr>
      <w:rPr>
        <w:rFonts w:ascii="Times New Roman" w:eastAsia="Times New Roman" w:hAnsi="Times New Roman" w:cs="Times New Roman" w:hint="default"/>
        <w:b/>
        <w:bCs/>
        <w:color w:val="DA1F2C"/>
        <w:w w:val="100"/>
        <w:sz w:val="40"/>
        <w:szCs w:val="40"/>
        <w:lang w:val="en-US" w:eastAsia="en-US" w:bidi="ar-SA"/>
      </w:rPr>
    </w:lvl>
    <w:lvl w:ilvl="1" w:tplc="81C0426E">
      <w:numFmt w:val="bullet"/>
      <w:lvlText w:val="•"/>
      <w:lvlJc w:val="left"/>
      <w:pPr>
        <w:ind w:left="1326" w:hanging="284"/>
      </w:pPr>
      <w:rPr>
        <w:rFonts w:hint="default"/>
        <w:lang w:val="en-US" w:eastAsia="en-US" w:bidi="ar-SA"/>
      </w:rPr>
    </w:lvl>
    <w:lvl w:ilvl="2" w:tplc="FA2CF6C4">
      <w:numFmt w:val="bullet"/>
      <w:lvlText w:val="•"/>
      <w:lvlJc w:val="left"/>
      <w:pPr>
        <w:ind w:left="2233" w:hanging="284"/>
      </w:pPr>
      <w:rPr>
        <w:rFonts w:hint="default"/>
        <w:lang w:val="en-US" w:eastAsia="en-US" w:bidi="ar-SA"/>
      </w:rPr>
    </w:lvl>
    <w:lvl w:ilvl="3" w:tplc="72C8E1D8">
      <w:numFmt w:val="bullet"/>
      <w:lvlText w:val="•"/>
      <w:lvlJc w:val="left"/>
      <w:pPr>
        <w:ind w:left="3139" w:hanging="284"/>
      </w:pPr>
      <w:rPr>
        <w:rFonts w:hint="default"/>
        <w:lang w:val="en-US" w:eastAsia="en-US" w:bidi="ar-SA"/>
      </w:rPr>
    </w:lvl>
    <w:lvl w:ilvl="4" w:tplc="96E08808">
      <w:numFmt w:val="bullet"/>
      <w:lvlText w:val="•"/>
      <w:lvlJc w:val="left"/>
      <w:pPr>
        <w:ind w:left="4046" w:hanging="284"/>
      </w:pPr>
      <w:rPr>
        <w:rFonts w:hint="default"/>
        <w:lang w:val="en-US" w:eastAsia="en-US" w:bidi="ar-SA"/>
      </w:rPr>
    </w:lvl>
    <w:lvl w:ilvl="5" w:tplc="18E0920A">
      <w:numFmt w:val="bullet"/>
      <w:lvlText w:val="•"/>
      <w:lvlJc w:val="left"/>
      <w:pPr>
        <w:ind w:left="4953" w:hanging="284"/>
      </w:pPr>
      <w:rPr>
        <w:rFonts w:hint="default"/>
        <w:lang w:val="en-US" w:eastAsia="en-US" w:bidi="ar-SA"/>
      </w:rPr>
    </w:lvl>
    <w:lvl w:ilvl="6" w:tplc="2A50C1E8">
      <w:numFmt w:val="bullet"/>
      <w:lvlText w:val="•"/>
      <w:lvlJc w:val="left"/>
      <w:pPr>
        <w:ind w:left="5859" w:hanging="284"/>
      </w:pPr>
      <w:rPr>
        <w:rFonts w:hint="default"/>
        <w:lang w:val="en-US" w:eastAsia="en-US" w:bidi="ar-SA"/>
      </w:rPr>
    </w:lvl>
    <w:lvl w:ilvl="7" w:tplc="76003CF2">
      <w:numFmt w:val="bullet"/>
      <w:lvlText w:val="•"/>
      <w:lvlJc w:val="left"/>
      <w:pPr>
        <w:ind w:left="6766" w:hanging="284"/>
      </w:pPr>
      <w:rPr>
        <w:rFonts w:hint="default"/>
        <w:lang w:val="en-US" w:eastAsia="en-US" w:bidi="ar-SA"/>
      </w:rPr>
    </w:lvl>
    <w:lvl w:ilvl="8" w:tplc="5C3E2E8C">
      <w:numFmt w:val="bullet"/>
      <w:lvlText w:val="•"/>
      <w:lvlJc w:val="left"/>
      <w:pPr>
        <w:ind w:left="7673" w:hanging="284"/>
      </w:pPr>
      <w:rPr>
        <w:rFonts w:hint="default"/>
        <w:lang w:val="en-US" w:eastAsia="en-US" w:bidi="ar-SA"/>
      </w:rPr>
    </w:lvl>
  </w:abstractNum>
  <w:abstractNum w:abstractNumId="2" w15:restartNumberingAfterBreak="0">
    <w:nsid w:val="4EF607B3"/>
    <w:multiLevelType w:val="hybridMultilevel"/>
    <w:tmpl w:val="33C6A3D2"/>
    <w:lvl w:ilvl="0" w:tplc="513A767A">
      <w:start w:val="1"/>
      <w:numFmt w:val="decimal"/>
      <w:lvlText w:val="%1)"/>
      <w:lvlJc w:val="left"/>
      <w:pPr>
        <w:ind w:left="301" w:hanging="197"/>
        <w:jc w:val="left"/>
      </w:pPr>
      <w:rPr>
        <w:rFonts w:ascii="Times New Roman" w:eastAsia="Times New Roman" w:hAnsi="Times New Roman" w:cs="Times New Roman" w:hint="default"/>
        <w:spacing w:val="0"/>
        <w:w w:val="100"/>
        <w:sz w:val="18"/>
        <w:szCs w:val="18"/>
        <w:lang w:val="en-US" w:eastAsia="en-US" w:bidi="ar-SA"/>
      </w:rPr>
    </w:lvl>
    <w:lvl w:ilvl="1" w:tplc="C9F2EC9A">
      <w:numFmt w:val="bullet"/>
      <w:lvlText w:val="•"/>
      <w:lvlJc w:val="left"/>
      <w:pPr>
        <w:ind w:left="1161" w:hanging="197"/>
      </w:pPr>
      <w:rPr>
        <w:rFonts w:hint="default"/>
        <w:lang w:val="en-US" w:eastAsia="en-US" w:bidi="ar-SA"/>
      </w:rPr>
    </w:lvl>
    <w:lvl w:ilvl="2" w:tplc="861A1BB2">
      <w:numFmt w:val="bullet"/>
      <w:lvlText w:val="•"/>
      <w:lvlJc w:val="left"/>
      <w:pPr>
        <w:ind w:left="2023" w:hanging="197"/>
      </w:pPr>
      <w:rPr>
        <w:rFonts w:hint="default"/>
        <w:lang w:val="en-US" w:eastAsia="en-US" w:bidi="ar-SA"/>
      </w:rPr>
    </w:lvl>
    <w:lvl w:ilvl="3" w:tplc="FCA0360E">
      <w:numFmt w:val="bullet"/>
      <w:lvlText w:val="•"/>
      <w:lvlJc w:val="left"/>
      <w:pPr>
        <w:ind w:left="2885" w:hanging="197"/>
      </w:pPr>
      <w:rPr>
        <w:rFonts w:hint="default"/>
        <w:lang w:val="en-US" w:eastAsia="en-US" w:bidi="ar-SA"/>
      </w:rPr>
    </w:lvl>
    <w:lvl w:ilvl="4" w:tplc="1452022C">
      <w:numFmt w:val="bullet"/>
      <w:lvlText w:val="•"/>
      <w:lvlJc w:val="left"/>
      <w:pPr>
        <w:ind w:left="3746" w:hanging="197"/>
      </w:pPr>
      <w:rPr>
        <w:rFonts w:hint="default"/>
        <w:lang w:val="en-US" w:eastAsia="en-US" w:bidi="ar-SA"/>
      </w:rPr>
    </w:lvl>
    <w:lvl w:ilvl="5" w:tplc="AAB21D90">
      <w:numFmt w:val="bullet"/>
      <w:lvlText w:val="•"/>
      <w:lvlJc w:val="left"/>
      <w:pPr>
        <w:ind w:left="4608" w:hanging="197"/>
      </w:pPr>
      <w:rPr>
        <w:rFonts w:hint="default"/>
        <w:lang w:val="en-US" w:eastAsia="en-US" w:bidi="ar-SA"/>
      </w:rPr>
    </w:lvl>
    <w:lvl w:ilvl="6" w:tplc="658897F0">
      <w:numFmt w:val="bullet"/>
      <w:lvlText w:val="•"/>
      <w:lvlJc w:val="left"/>
      <w:pPr>
        <w:ind w:left="5470" w:hanging="197"/>
      </w:pPr>
      <w:rPr>
        <w:rFonts w:hint="default"/>
        <w:lang w:val="en-US" w:eastAsia="en-US" w:bidi="ar-SA"/>
      </w:rPr>
    </w:lvl>
    <w:lvl w:ilvl="7" w:tplc="71380BCA">
      <w:numFmt w:val="bullet"/>
      <w:lvlText w:val="•"/>
      <w:lvlJc w:val="left"/>
      <w:pPr>
        <w:ind w:left="6331" w:hanging="197"/>
      </w:pPr>
      <w:rPr>
        <w:rFonts w:hint="default"/>
        <w:lang w:val="en-US" w:eastAsia="en-US" w:bidi="ar-SA"/>
      </w:rPr>
    </w:lvl>
    <w:lvl w:ilvl="8" w:tplc="983499AE">
      <w:numFmt w:val="bullet"/>
      <w:lvlText w:val="•"/>
      <w:lvlJc w:val="left"/>
      <w:pPr>
        <w:ind w:left="7193" w:hanging="197"/>
      </w:pPr>
      <w:rPr>
        <w:rFonts w:hint="default"/>
        <w:lang w:val="en-US" w:eastAsia="en-US" w:bidi="ar-SA"/>
      </w:rPr>
    </w:lvl>
  </w:abstractNum>
  <w:abstractNum w:abstractNumId="3" w15:restartNumberingAfterBreak="0">
    <w:nsid w:val="67B9757D"/>
    <w:multiLevelType w:val="hybridMultilevel"/>
    <w:tmpl w:val="1AD84ED8"/>
    <w:lvl w:ilvl="0" w:tplc="0E1208BC">
      <w:start w:val="1"/>
      <w:numFmt w:val="upperRoman"/>
      <w:lvlText w:val="%1."/>
      <w:lvlJc w:val="left"/>
      <w:pPr>
        <w:ind w:left="616" w:hanging="480"/>
        <w:jc w:val="left"/>
      </w:pPr>
      <w:rPr>
        <w:rFonts w:ascii="Times New Roman" w:eastAsia="Times New Roman" w:hAnsi="Times New Roman" w:cs="Times New Roman" w:hint="default"/>
        <w:spacing w:val="-4"/>
        <w:w w:val="99"/>
        <w:sz w:val="24"/>
        <w:szCs w:val="24"/>
        <w:lang w:val="en-US" w:eastAsia="en-US" w:bidi="ar-SA"/>
      </w:rPr>
    </w:lvl>
    <w:lvl w:ilvl="1" w:tplc="77822E76">
      <w:start w:val="1"/>
      <w:numFmt w:val="decimal"/>
      <w:lvlText w:val="%2"/>
      <w:lvlJc w:val="left"/>
      <w:pPr>
        <w:ind w:left="563" w:hanging="190"/>
        <w:jc w:val="left"/>
      </w:pPr>
      <w:rPr>
        <w:rFonts w:ascii="Times New Roman" w:eastAsia="Times New Roman" w:hAnsi="Times New Roman" w:cs="Times New Roman" w:hint="default"/>
        <w:b/>
        <w:bCs/>
        <w:color w:val="2C398A"/>
        <w:w w:val="100"/>
        <w:sz w:val="24"/>
        <w:szCs w:val="24"/>
        <w:lang w:val="en-US" w:eastAsia="en-US" w:bidi="ar-SA"/>
      </w:rPr>
    </w:lvl>
    <w:lvl w:ilvl="2" w:tplc="EF982938">
      <w:numFmt w:val="bullet"/>
      <w:lvlText w:val="•"/>
      <w:lvlJc w:val="left"/>
      <w:pPr>
        <w:ind w:left="1605" w:hanging="190"/>
      </w:pPr>
      <w:rPr>
        <w:rFonts w:hint="default"/>
        <w:lang w:val="en-US" w:eastAsia="en-US" w:bidi="ar-SA"/>
      </w:rPr>
    </w:lvl>
    <w:lvl w:ilvl="3" w:tplc="93244108">
      <w:numFmt w:val="bullet"/>
      <w:lvlText w:val="•"/>
      <w:lvlJc w:val="left"/>
      <w:pPr>
        <w:ind w:left="2590" w:hanging="190"/>
      </w:pPr>
      <w:rPr>
        <w:rFonts w:hint="default"/>
        <w:lang w:val="en-US" w:eastAsia="en-US" w:bidi="ar-SA"/>
      </w:rPr>
    </w:lvl>
    <w:lvl w:ilvl="4" w:tplc="6332E580">
      <w:numFmt w:val="bullet"/>
      <w:lvlText w:val="•"/>
      <w:lvlJc w:val="left"/>
      <w:pPr>
        <w:ind w:left="3575" w:hanging="190"/>
      </w:pPr>
      <w:rPr>
        <w:rFonts w:hint="default"/>
        <w:lang w:val="en-US" w:eastAsia="en-US" w:bidi="ar-SA"/>
      </w:rPr>
    </w:lvl>
    <w:lvl w:ilvl="5" w:tplc="12B2AE54">
      <w:numFmt w:val="bullet"/>
      <w:lvlText w:val="•"/>
      <w:lvlJc w:val="left"/>
      <w:pPr>
        <w:ind w:left="4560" w:hanging="190"/>
      </w:pPr>
      <w:rPr>
        <w:rFonts w:hint="default"/>
        <w:lang w:val="en-US" w:eastAsia="en-US" w:bidi="ar-SA"/>
      </w:rPr>
    </w:lvl>
    <w:lvl w:ilvl="6" w:tplc="629A3C56">
      <w:numFmt w:val="bullet"/>
      <w:lvlText w:val="•"/>
      <w:lvlJc w:val="left"/>
      <w:pPr>
        <w:ind w:left="5545" w:hanging="190"/>
      </w:pPr>
      <w:rPr>
        <w:rFonts w:hint="default"/>
        <w:lang w:val="en-US" w:eastAsia="en-US" w:bidi="ar-SA"/>
      </w:rPr>
    </w:lvl>
    <w:lvl w:ilvl="7" w:tplc="2C2CF400">
      <w:numFmt w:val="bullet"/>
      <w:lvlText w:val="•"/>
      <w:lvlJc w:val="left"/>
      <w:pPr>
        <w:ind w:left="6530" w:hanging="190"/>
      </w:pPr>
      <w:rPr>
        <w:rFonts w:hint="default"/>
        <w:lang w:val="en-US" w:eastAsia="en-US" w:bidi="ar-SA"/>
      </w:rPr>
    </w:lvl>
    <w:lvl w:ilvl="8" w:tplc="4724AEAC">
      <w:numFmt w:val="bullet"/>
      <w:lvlText w:val="•"/>
      <w:lvlJc w:val="left"/>
      <w:pPr>
        <w:ind w:left="7516" w:hanging="190"/>
      </w:pPr>
      <w:rPr>
        <w:rFonts w:hint="default"/>
        <w:lang w:val="en-US" w:eastAsia="en-US" w:bidi="ar-SA"/>
      </w:rPr>
    </w:lvl>
  </w:abstractNum>
  <w:abstractNum w:abstractNumId="4" w15:restartNumberingAfterBreak="0">
    <w:nsid w:val="69CA453F"/>
    <w:multiLevelType w:val="hybridMultilevel"/>
    <w:tmpl w:val="6B7611AC"/>
    <w:lvl w:ilvl="0" w:tplc="4DD69AD2">
      <w:numFmt w:val="bullet"/>
      <w:lvlText w:val="-"/>
      <w:lvlJc w:val="left"/>
      <w:pPr>
        <w:ind w:left="498" w:hanging="219"/>
      </w:pPr>
      <w:rPr>
        <w:rFonts w:ascii="Times New Roman" w:eastAsia="Times New Roman" w:hAnsi="Times New Roman" w:cs="Times New Roman" w:hint="default"/>
        <w:w w:val="100"/>
        <w:sz w:val="16"/>
        <w:szCs w:val="16"/>
        <w:lang w:val="en-US" w:eastAsia="en-US" w:bidi="ar-SA"/>
      </w:rPr>
    </w:lvl>
    <w:lvl w:ilvl="1" w:tplc="FE046972">
      <w:numFmt w:val="bullet"/>
      <w:lvlText w:val="•"/>
      <w:lvlJc w:val="left"/>
      <w:pPr>
        <w:ind w:left="1398" w:hanging="219"/>
      </w:pPr>
      <w:rPr>
        <w:rFonts w:hint="default"/>
        <w:lang w:val="en-US" w:eastAsia="en-US" w:bidi="ar-SA"/>
      </w:rPr>
    </w:lvl>
    <w:lvl w:ilvl="2" w:tplc="DBBE91A2">
      <w:numFmt w:val="bullet"/>
      <w:lvlText w:val="•"/>
      <w:lvlJc w:val="left"/>
      <w:pPr>
        <w:ind w:left="2297" w:hanging="219"/>
      </w:pPr>
      <w:rPr>
        <w:rFonts w:hint="default"/>
        <w:lang w:val="en-US" w:eastAsia="en-US" w:bidi="ar-SA"/>
      </w:rPr>
    </w:lvl>
    <w:lvl w:ilvl="3" w:tplc="72B87ADE">
      <w:numFmt w:val="bullet"/>
      <w:lvlText w:val="•"/>
      <w:lvlJc w:val="left"/>
      <w:pPr>
        <w:ind w:left="3195" w:hanging="219"/>
      </w:pPr>
      <w:rPr>
        <w:rFonts w:hint="default"/>
        <w:lang w:val="en-US" w:eastAsia="en-US" w:bidi="ar-SA"/>
      </w:rPr>
    </w:lvl>
    <w:lvl w:ilvl="4" w:tplc="1F2EA09A">
      <w:numFmt w:val="bullet"/>
      <w:lvlText w:val="•"/>
      <w:lvlJc w:val="left"/>
      <w:pPr>
        <w:ind w:left="4094" w:hanging="219"/>
      </w:pPr>
      <w:rPr>
        <w:rFonts w:hint="default"/>
        <w:lang w:val="en-US" w:eastAsia="en-US" w:bidi="ar-SA"/>
      </w:rPr>
    </w:lvl>
    <w:lvl w:ilvl="5" w:tplc="ADD8B4D0">
      <w:numFmt w:val="bullet"/>
      <w:lvlText w:val="•"/>
      <w:lvlJc w:val="left"/>
      <w:pPr>
        <w:ind w:left="4993" w:hanging="219"/>
      </w:pPr>
      <w:rPr>
        <w:rFonts w:hint="default"/>
        <w:lang w:val="en-US" w:eastAsia="en-US" w:bidi="ar-SA"/>
      </w:rPr>
    </w:lvl>
    <w:lvl w:ilvl="6" w:tplc="2B248EDA">
      <w:numFmt w:val="bullet"/>
      <w:lvlText w:val="•"/>
      <w:lvlJc w:val="left"/>
      <w:pPr>
        <w:ind w:left="5891" w:hanging="219"/>
      </w:pPr>
      <w:rPr>
        <w:rFonts w:hint="default"/>
        <w:lang w:val="en-US" w:eastAsia="en-US" w:bidi="ar-SA"/>
      </w:rPr>
    </w:lvl>
    <w:lvl w:ilvl="7" w:tplc="C462865E">
      <w:numFmt w:val="bullet"/>
      <w:lvlText w:val="•"/>
      <w:lvlJc w:val="left"/>
      <w:pPr>
        <w:ind w:left="6790" w:hanging="219"/>
      </w:pPr>
      <w:rPr>
        <w:rFonts w:hint="default"/>
        <w:lang w:val="en-US" w:eastAsia="en-US" w:bidi="ar-SA"/>
      </w:rPr>
    </w:lvl>
    <w:lvl w:ilvl="8" w:tplc="35848E82">
      <w:numFmt w:val="bullet"/>
      <w:lvlText w:val="•"/>
      <w:lvlJc w:val="left"/>
      <w:pPr>
        <w:ind w:left="7689" w:hanging="219"/>
      </w:pPr>
      <w:rPr>
        <w:rFonts w:hint="default"/>
        <w:lang w:val="en-US" w:eastAsia="en-US" w:bidi="ar-SA"/>
      </w:rPr>
    </w:lvl>
  </w:abstractNum>
  <w:abstractNum w:abstractNumId="5" w15:restartNumberingAfterBreak="0">
    <w:nsid w:val="725D2A6D"/>
    <w:multiLevelType w:val="hybridMultilevel"/>
    <w:tmpl w:val="9BA69BEC"/>
    <w:lvl w:ilvl="0" w:tplc="4D3EA790">
      <w:start w:val="1"/>
      <w:numFmt w:val="decimal"/>
      <w:lvlText w:val="%1)"/>
      <w:lvlJc w:val="left"/>
      <w:pPr>
        <w:ind w:left="57" w:hanging="175"/>
        <w:jc w:val="left"/>
      </w:pPr>
      <w:rPr>
        <w:rFonts w:ascii="Times New Roman" w:eastAsia="Times New Roman" w:hAnsi="Times New Roman" w:cs="Times New Roman" w:hint="default"/>
        <w:w w:val="100"/>
        <w:sz w:val="16"/>
        <w:szCs w:val="16"/>
        <w:lang w:val="en-US" w:eastAsia="en-US" w:bidi="ar-SA"/>
      </w:rPr>
    </w:lvl>
    <w:lvl w:ilvl="1" w:tplc="C3E82746">
      <w:numFmt w:val="bullet"/>
      <w:lvlText w:val="•"/>
      <w:lvlJc w:val="left"/>
      <w:pPr>
        <w:ind w:left="363" w:hanging="175"/>
      </w:pPr>
      <w:rPr>
        <w:rFonts w:hint="default"/>
        <w:lang w:val="en-US" w:eastAsia="en-US" w:bidi="ar-SA"/>
      </w:rPr>
    </w:lvl>
    <w:lvl w:ilvl="2" w:tplc="202EDAEA">
      <w:numFmt w:val="bullet"/>
      <w:lvlText w:val="•"/>
      <w:lvlJc w:val="left"/>
      <w:pPr>
        <w:ind w:left="667" w:hanging="175"/>
      </w:pPr>
      <w:rPr>
        <w:rFonts w:hint="default"/>
        <w:lang w:val="en-US" w:eastAsia="en-US" w:bidi="ar-SA"/>
      </w:rPr>
    </w:lvl>
    <w:lvl w:ilvl="3" w:tplc="E0D297B6">
      <w:numFmt w:val="bullet"/>
      <w:lvlText w:val="•"/>
      <w:lvlJc w:val="left"/>
      <w:pPr>
        <w:ind w:left="970" w:hanging="175"/>
      </w:pPr>
      <w:rPr>
        <w:rFonts w:hint="default"/>
        <w:lang w:val="en-US" w:eastAsia="en-US" w:bidi="ar-SA"/>
      </w:rPr>
    </w:lvl>
    <w:lvl w:ilvl="4" w:tplc="8BDCEEF0">
      <w:numFmt w:val="bullet"/>
      <w:lvlText w:val="•"/>
      <w:lvlJc w:val="left"/>
      <w:pPr>
        <w:ind w:left="1274" w:hanging="175"/>
      </w:pPr>
      <w:rPr>
        <w:rFonts w:hint="default"/>
        <w:lang w:val="en-US" w:eastAsia="en-US" w:bidi="ar-SA"/>
      </w:rPr>
    </w:lvl>
    <w:lvl w:ilvl="5" w:tplc="F97A7F8A">
      <w:numFmt w:val="bullet"/>
      <w:lvlText w:val="•"/>
      <w:lvlJc w:val="left"/>
      <w:pPr>
        <w:ind w:left="1578" w:hanging="175"/>
      </w:pPr>
      <w:rPr>
        <w:rFonts w:hint="default"/>
        <w:lang w:val="en-US" w:eastAsia="en-US" w:bidi="ar-SA"/>
      </w:rPr>
    </w:lvl>
    <w:lvl w:ilvl="6" w:tplc="4322CEDA">
      <w:numFmt w:val="bullet"/>
      <w:lvlText w:val="•"/>
      <w:lvlJc w:val="left"/>
      <w:pPr>
        <w:ind w:left="1881" w:hanging="175"/>
      </w:pPr>
      <w:rPr>
        <w:rFonts w:hint="default"/>
        <w:lang w:val="en-US" w:eastAsia="en-US" w:bidi="ar-SA"/>
      </w:rPr>
    </w:lvl>
    <w:lvl w:ilvl="7" w:tplc="022008DA">
      <w:numFmt w:val="bullet"/>
      <w:lvlText w:val="•"/>
      <w:lvlJc w:val="left"/>
      <w:pPr>
        <w:ind w:left="2185" w:hanging="175"/>
      </w:pPr>
      <w:rPr>
        <w:rFonts w:hint="default"/>
        <w:lang w:val="en-US" w:eastAsia="en-US" w:bidi="ar-SA"/>
      </w:rPr>
    </w:lvl>
    <w:lvl w:ilvl="8" w:tplc="F314F122">
      <w:numFmt w:val="bullet"/>
      <w:lvlText w:val="•"/>
      <w:lvlJc w:val="left"/>
      <w:pPr>
        <w:ind w:left="2488" w:hanging="175"/>
      </w:pPr>
      <w:rPr>
        <w:rFonts w:hint="default"/>
        <w:lang w:val="en-US" w:eastAsia="en-US" w:bidi="ar-SA"/>
      </w:rPr>
    </w:lvl>
  </w:abstractNum>
  <w:abstractNum w:abstractNumId="6" w15:restartNumberingAfterBreak="0">
    <w:nsid w:val="744D79D2"/>
    <w:multiLevelType w:val="hybridMultilevel"/>
    <w:tmpl w:val="6DBC5C22"/>
    <w:lvl w:ilvl="0" w:tplc="0F5CB9C6">
      <w:numFmt w:val="bullet"/>
      <w:lvlText w:val=""/>
      <w:lvlJc w:val="left"/>
      <w:pPr>
        <w:ind w:left="498" w:hanging="360"/>
      </w:pPr>
      <w:rPr>
        <w:rFonts w:ascii="Symbol" w:eastAsia="Symbol" w:hAnsi="Symbol" w:cs="Symbol" w:hint="default"/>
        <w:w w:val="100"/>
        <w:sz w:val="24"/>
        <w:szCs w:val="24"/>
        <w:lang w:val="en-US" w:eastAsia="en-US" w:bidi="ar-SA"/>
      </w:rPr>
    </w:lvl>
    <w:lvl w:ilvl="1" w:tplc="651EB4EE">
      <w:numFmt w:val="bullet"/>
      <w:lvlText w:val="•"/>
      <w:lvlJc w:val="left"/>
      <w:pPr>
        <w:ind w:left="1398" w:hanging="360"/>
      </w:pPr>
      <w:rPr>
        <w:rFonts w:hint="default"/>
        <w:lang w:val="en-US" w:eastAsia="en-US" w:bidi="ar-SA"/>
      </w:rPr>
    </w:lvl>
    <w:lvl w:ilvl="2" w:tplc="AF1EB9EE">
      <w:numFmt w:val="bullet"/>
      <w:lvlText w:val="•"/>
      <w:lvlJc w:val="left"/>
      <w:pPr>
        <w:ind w:left="2297" w:hanging="360"/>
      </w:pPr>
      <w:rPr>
        <w:rFonts w:hint="default"/>
        <w:lang w:val="en-US" w:eastAsia="en-US" w:bidi="ar-SA"/>
      </w:rPr>
    </w:lvl>
    <w:lvl w:ilvl="3" w:tplc="54D6055C">
      <w:numFmt w:val="bullet"/>
      <w:lvlText w:val="•"/>
      <w:lvlJc w:val="left"/>
      <w:pPr>
        <w:ind w:left="3195" w:hanging="360"/>
      </w:pPr>
      <w:rPr>
        <w:rFonts w:hint="default"/>
        <w:lang w:val="en-US" w:eastAsia="en-US" w:bidi="ar-SA"/>
      </w:rPr>
    </w:lvl>
    <w:lvl w:ilvl="4" w:tplc="1256E4EA">
      <w:numFmt w:val="bullet"/>
      <w:lvlText w:val="•"/>
      <w:lvlJc w:val="left"/>
      <w:pPr>
        <w:ind w:left="4094" w:hanging="360"/>
      </w:pPr>
      <w:rPr>
        <w:rFonts w:hint="default"/>
        <w:lang w:val="en-US" w:eastAsia="en-US" w:bidi="ar-SA"/>
      </w:rPr>
    </w:lvl>
    <w:lvl w:ilvl="5" w:tplc="8C82E37A">
      <w:numFmt w:val="bullet"/>
      <w:lvlText w:val="•"/>
      <w:lvlJc w:val="left"/>
      <w:pPr>
        <w:ind w:left="4993" w:hanging="360"/>
      </w:pPr>
      <w:rPr>
        <w:rFonts w:hint="default"/>
        <w:lang w:val="en-US" w:eastAsia="en-US" w:bidi="ar-SA"/>
      </w:rPr>
    </w:lvl>
    <w:lvl w:ilvl="6" w:tplc="41A6F46E">
      <w:numFmt w:val="bullet"/>
      <w:lvlText w:val="•"/>
      <w:lvlJc w:val="left"/>
      <w:pPr>
        <w:ind w:left="5891" w:hanging="360"/>
      </w:pPr>
      <w:rPr>
        <w:rFonts w:hint="default"/>
        <w:lang w:val="en-US" w:eastAsia="en-US" w:bidi="ar-SA"/>
      </w:rPr>
    </w:lvl>
    <w:lvl w:ilvl="7" w:tplc="DB7EFF42">
      <w:numFmt w:val="bullet"/>
      <w:lvlText w:val="•"/>
      <w:lvlJc w:val="left"/>
      <w:pPr>
        <w:ind w:left="6790" w:hanging="360"/>
      </w:pPr>
      <w:rPr>
        <w:rFonts w:hint="default"/>
        <w:lang w:val="en-US" w:eastAsia="en-US" w:bidi="ar-SA"/>
      </w:rPr>
    </w:lvl>
    <w:lvl w:ilvl="8" w:tplc="54AEF506">
      <w:numFmt w:val="bullet"/>
      <w:lvlText w:val="•"/>
      <w:lvlJc w:val="left"/>
      <w:pPr>
        <w:ind w:left="7689" w:hanging="360"/>
      </w:pPr>
      <w:rPr>
        <w:rFonts w:hint="default"/>
        <w:lang w:val="en-US" w:eastAsia="en-US" w:bidi="ar-SA"/>
      </w:rPr>
    </w:lvl>
  </w:abstractNum>
  <w:abstractNum w:abstractNumId="7" w15:restartNumberingAfterBreak="0">
    <w:nsid w:val="74896EE2"/>
    <w:multiLevelType w:val="hybridMultilevel"/>
    <w:tmpl w:val="35F68136"/>
    <w:lvl w:ilvl="0" w:tplc="85F2F416">
      <w:numFmt w:val="bullet"/>
      <w:lvlText w:val="-"/>
      <w:lvlJc w:val="left"/>
      <w:pPr>
        <w:ind w:left="498" w:hanging="360"/>
      </w:pPr>
      <w:rPr>
        <w:rFonts w:ascii="Arial MT" w:eastAsia="Arial MT" w:hAnsi="Arial MT" w:cs="Arial MT" w:hint="default"/>
        <w:w w:val="99"/>
        <w:sz w:val="24"/>
        <w:szCs w:val="24"/>
        <w:lang w:val="en-US" w:eastAsia="en-US" w:bidi="ar-SA"/>
      </w:rPr>
    </w:lvl>
    <w:lvl w:ilvl="1" w:tplc="A21C7D02">
      <w:numFmt w:val="bullet"/>
      <w:lvlText w:val="-"/>
      <w:lvlJc w:val="left"/>
      <w:pPr>
        <w:ind w:left="858" w:hanging="360"/>
      </w:pPr>
      <w:rPr>
        <w:rFonts w:ascii="Times New Roman" w:eastAsia="Times New Roman" w:hAnsi="Times New Roman" w:cs="Times New Roman" w:hint="default"/>
        <w:w w:val="99"/>
        <w:sz w:val="24"/>
        <w:szCs w:val="24"/>
        <w:lang w:val="en-US" w:eastAsia="en-US" w:bidi="ar-SA"/>
      </w:rPr>
    </w:lvl>
    <w:lvl w:ilvl="2" w:tplc="360CE64C">
      <w:numFmt w:val="bullet"/>
      <w:lvlText w:val="•"/>
      <w:lvlJc w:val="left"/>
      <w:pPr>
        <w:ind w:left="1818" w:hanging="360"/>
      </w:pPr>
      <w:rPr>
        <w:rFonts w:hint="default"/>
        <w:lang w:val="en-US" w:eastAsia="en-US" w:bidi="ar-SA"/>
      </w:rPr>
    </w:lvl>
    <w:lvl w:ilvl="3" w:tplc="AAFE40F2">
      <w:numFmt w:val="bullet"/>
      <w:lvlText w:val="•"/>
      <w:lvlJc w:val="left"/>
      <w:pPr>
        <w:ind w:left="2776" w:hanging="360"/>
      </w:pPr>
      <w:rPr>
        <w:rFonts w:hint="default"/>
        <w:lang w:val="en-US" w:eastAsia="en-US" w:bidi="ar-SA"/>
      </w:rPr>
    </w:lvl>
    <w:lvl w:ilvl="4" w:tplc="0DA24CF2">
      <w:numFmt w:val="bullet"/>
      <w:lvlText w:val="•"/>
      <w:lvlJc w:val="left"/>
      <w:pPr>
        <w:ind w:left="3735" w:hanging="360"/>
      </w:pPr>
      <w:rPr>
        <w:rFonts w:hint="default"/>
        <w:lang w:val="en-US" w:eastAsia="en-US" w:bidi="ar-SA"/>
      </w:rPr>
    </w:lvl>
    <w:lvl w:ilvl="5" w:tplc="5A804DAE">
      <w:numFmt w:val="bullet"/>
      <w:lvlText w:val="•"/>
      <w:lvlJc w:val="left"/>
      <w:pPr>
        <w:ind w:left="4693" w:hanging="360"/>
      </w:pPr>
      <w:rPr>
        <w:rFonts w:hint="default"/>
        <w:lang w:val="en-US" w:eastAsia="en-US" w:bidi="ar-SA"/>
      </w:rPr>
    </w:lvl>
    <w:lvl w:ilvl="6" w:tplc="9C5C10CE">
      <w:numFmt w:val="bullet"/>
      <w:lvlText w:val="•"/>
      <w:lvlJc w:val="left"/>
      <w:pPr>
        <w:ind w:left="5652" w:hanging="360"/>
      </w:pPr>
      <w:rPr>
        <w:rFonts w:hint="default"/>
        <w:lang w:val="en-US" w:eastAsia="en-US" w:bidi="ar-SA"/>
      </w:rPr>
    </w:lvl>
    <w:lvl w:ilvl="7" w:tplc="EF7AB6DE">
      <w:numFmt w:val="bullet"/>
      <w:lvlText w:val="•"/>
      <w:lvlJc w:val="left"/>
      <w:pPr>
        <w:ind w:left="6610" w:hanging="360"/>
      </w:pPr>
      <w:rPr>
        <w:rFonts w:hint="default"/>
        <w:lang w:val="en-US" w:eastAsia="en-US" w:bidi="ar-SA"/>
      </w:rPr>
    </w:lvl>
    <w:lvl w:ilvl="8" w:tplc="FF645C10">
      <w:numFmt w:val="bullet"/>
      <w:lvlText w:val="•"/>
      <w:lvlJc w:val="left"/>
      <w:pPr>
        <w:ind w:left="7569" w:hanging="360"/>
      </w:pPr>
      <w:rPr>
        <w:rFonts w:hint="default"/>
        <w:lang w:val="en-US" w:eastAsia="en-US" w:bidi="ar-SA"/>
      </w:rPr>
    </w:lvl>
  </w:abstractNum>
  <w:abstractNum w:abstractNumId="8" w15:restartNumberingAfterBreak="0">
    <w:nsid w:val="7DB1368D"/>
    <w:multiLevelType w:val="hybridMultilevel"/>
    <w:tmpl w:val="E67A6108"/>
    <w:lvl w:ilvl="0" w:tplc="D5D4C632">
      <w:start w:val="1"/>
      <w:numFmt w:val="lowerRoman"/>
      <w:lvlText w:val="%1)"/>
      <w:lvlJc w:val="left"/>
      <w:pPr>
        <w:ind w:left="110" w:hanging="125"/>
        <w:jc w:val="left"/>
      </w:pPr>
      <w:rPr>
        <w:rFonts w:ascii="Times New Roman" w:eastAsia="Times New Roman" w:hAnsi="Times New Roman" w:cs="Times New Roman" w:hint="default"/>
        <w:spacing w:val="-4"/>
        <w:w w:val="100"/>
        <w:sz w:val="16"/>
        <w:szCs w:val="16"/>
        <w:lang w:val="en-US" w:eastAsia="en-US" w:bidi="ar-SA"/>
      </w:rPr>
    </w:lvl>
    <w:lvl w:ilvl="1" w:tplc="E80245F6">
      <w:numFmt w:val="bullet"/>
      <w:lvlText w:val="•"/>
      <w:lvlJc w:val="left"/>
      <w:pPr>
        <w:ind w:left="220" w:hanging="125"/>
      </w:pPr>
      <w:rPr>
        <w:rFonts w:hint="default"/>
        <w:lang w:val="en-US" w:eastAsia="en-US" w:bidi="ar-SA"/>
      </w:rPr>
    </w:lvl>
    <w:lvl w:ilvl="2" w:tplc="682E46C6">
      <w:numFmt w:val="bullet"/>
      <w:lvlText w:val="•"/>
      <w:lvlJc w:val="left"/>
      <w:pPr>
        <w:ind w:left="321" w:hanging="125"/>
      </w:pPr>
      <w:rPr>
        <w:rFonts w:hint="default"/>
        <w:lang w:val="en-US" w:eastAsia="en-US" w:bidi="ar-SA"/>
      </w:rPr>
    </w:lvl>
    <w:lvl w:ilvl="3" w:tplc="82DE269C">
      <w:numFmt w:val="bullet"/>
      <w:lvlText w:val="•"/>
      <w:lvlJc w:val="left"/>
      <w:pPr>
        <w:ind w:left="422" w:hanging="125"/>
      </w:pPr>
      <w:rPr>
        <w:rFonts w:hint="default"/>
        <w:lang w:val="en-US" w:eastAsia="en-US" w:bidi="ar-SA"/>
      </w:rPr>
    </w:lvl>
    <w:lvl w:ilvl="4" w:tplc="77F2207A">
      <w:numFmt w:val="bullet"/>
      <w:lvlText w:val="•"/>
      <w:lvlJc w:val="left"/>
      <w:pPr>
        <w:ind w:left="522" w:hanging="125"/>
      </w:pPr>
      <w:rPr>
        <w:rFonts w:hint="default"/>
        <w:lang w:val="en-US" w:eastAsia="en-US" w:bidi="ar-SA"/>
      </w:rPr>
    </w:lvl>
    <w:lvl w:ilvl="5" w:tplc="4CACEF68">
      <w:numFmt w:val="bullet"/>
      <w:lvlText w:val="•"/>
      <w:lvlJc w:val="left"/>
      <w:pPr>
        <w:ind w:left="623" w:hanging="125"/>
      </w:pPr>
      <w:rPr>
        <w:rFonts w:hint="default"/>
        <w:lang w:val="en-US" w:eastAsia="en-US" w:bidi="ar-SA"/>
      </w:rPr>
    </w:lvl>
    <w:lvl w:ilvl="6" w:tplc="134C9E18">
      <w:numFmt w:val="bullet"/>
      <w:lvlText w:val="•"/>
      <w:lvlJc w:val="left"/>
      <w:pPr>
        <w:ind w:left="724" w:hanging="125"/>
      </w:pPr>
      <w:rPr>
        <w:rFonts w:hint="default"/>
        <w:lang w:val="en-US" w:eastAsia="en-US" w:bidi="ar-SA"/>
      </w:rPr>
    </w:lvl>
    <w:lvl w:ilvl="7" w:tplc="9FE8F5CC">
      <w:numFmt w:val="bullet"/>
      <w:lvlText w:val="•"/>
      <w:lvlJc w:val="left"/>
      <w:pPr>
        <w:ind w:left="824" w:hanging="125"/>
      </w:pPr>
      <w:rPr>
        <w:rFonts w:hint="default"/>
        <w:lang w:val="en-US" w:eastAsia="en-US" w:bidi="ar-SA"/>
      </w:rPr>
    </w:lvl>
    <w:lvl w:ilvl="8" w:tplc="4F8891C6">
      <w:numFmt w:val="bullet"/>
      <w:lvlText w:val="•"/>
      <w:lvlJc w:val="left"/>
      <w:pPr>
        <w:ind w:left="925" w:hanging="125"/>
      </w:pPr>
      <w:rPr>
        <w:rFonts w:hint="default"/>
        <w:lang w:val="en-US" w:eastAsia="en-US" w:bidi="ar-SA"/>
      </w:rPr>
    </w:lvl>
  </w:abstractNum>
  <w:num w:numId="1" w16cid:durableId="1738938627">
    <w:abstractNumId w:val="2"/>
  </w:num>
  <w:num w:numId="2" w16cid:durableId="395907068">
    <w:abstractNumId w:val="5"/>
  </w:num>
  <w:num w:numId="3" w16cid:durableId="1028726712">
    <w:abstractNumId w:val="8"/>
  </w:num>
  <w:num w:numId="4" w16cid:durableId="1387946319">
    <w:abstractNumId w:val="4"/>
  </w:num>
  <w:num w:numId="5" w16cid:durableId="1834645027">
    <w:abstractNumId w:val="7"/>
  </w:num>
  <w:num w:numId="6" w16cid:durableId="649216646">
    <w:abstractNumId w:val="6"/>
  </w:num>
  <w:num w:numId="7" w16cid:durableId="2027829848">
    <w:abstractNumId w:val="1"/>
  </w:num>
  <w:num w:numId="8" w16cid:durableId="1058480322">
    <w:abstractNumId w:val="0"/>
  </w:num>
  <w:num w:numId="9" w16cid:durableId="21007158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FE9"/>
    <w:rsid w:val="00A56FE9"/>
    <w:rsid w:val="00AB1E70"/>
    <w:rsid w:val="00CC1B9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D0334A66-F0AC-436B-83C3-27AC9BFD0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Naslov1">
    <w:name w:val="heading 1"/>
    <w:basedOn w:val="Normal"/>
    <w:uiPriority w:val="9"/>
    <w:qFormat/>
    <w:pPr>
      <w:spacing w:line="568" w:lineRule="exact"/>
      <w:ind w:left="592"/>
      <w:outlineLvl w:val="0"/>
    </w:pPr>
    <w:rPr>
      <w:rFonts w:ascii="Calibri Light" w:eastAsia="Calibri Light" w:hAnsi="Calibri Light" w:cs="Calibri Light"/>
      <w:sz w:val="32"/>
      <w:szCs w:val="32"/>
    </w:rPr>
  </w:style>
  <w:style w:type="paragraph" w:styleId="Naslov2">
    <w:name w:val="heading 2"/>
    <w:basedOn w:val="Normal"/>
    <w:uiPriority w:val="9"/>
    <w:unhideWhenUsed/>
    <w:qFormat/>
    <w:pPr>
      <w:spacing w:before="59"/>
      <w:ind w:left="422" w:hanging="285"/>
      <w:outlineLvl w:val="1"/>
    </w:pPr>
    <w:rPr>
      <w:b/>
      <w:bCs/>
      <w:sz w:val="28"/>
      <w:szCs w:val="28"/>
    </w:rPr>
  </w:style>
  <w:style w:type="paragraph" w:styleId="Naslov3">
    <w:name w:val="heading 3"/>
    <w:basedOn w:val="Normal"/>
    <w:uiPriority w:val="9"/>
    <w:unhideWhenUsed/>
    <w:qFormat/>
    <w:pPr>
      <w:spacing w:before="187"/>
      <w:ind w:left="138"/>
      <w:jc w:val="both"/>
      <w:outlineLvl w:val="2"/>
    </w:pPr>
    <w:rPr>
      <w:rFonts w:ascii="Calibri Light" w:eastAsia="Calibri Light" w:hAnsi="Calibri Light" w:cs="Calibri Light"/>
      <w:sz w:val="28"/>
      <w:szCs w:val="28"/>
    </w:rPr>
  </w:style>
  <w:style w:type="paragraph" w:styleId="Naslov4">
    <w:name w:val="heading 4"/>
    <w:basedOn w:val="Normal"/>
    <w:uiPriority w:val="9"/>
    <w:unhideWhenUsed/>
    <w:qFormat/>
    <w:pPr>
      <w:ind w:left="138"/>
      <w:jc w:val="both"/>
      <w:outlineLvl w:val="3"/>
    </w:pPr>
    <w:rPr>
      <w:b/>
      <w:bCs/>
      <w:sz w:val="26"/>
      <w:szCs w:val="26"/>
    </w:rPr>
  </w:style>
  <w:style w:type="paragraph" w:styleId="Naslov5">
    <w:name w:val="heading 5"/>
    <w:basedOn w:val="Normal"/>
    <w:uiPriority w:val="9"/>
    <w:unhideWhenUsed/>
    <w:qFormat/>
    <w:pPr>
      <w:spacing w:before="19"/>
      <w:ind w:left="138"/>
      <w:jc w:val="both"/>
      <w:outlineLvl w:val="4"/>
    </w:pPr>
    <w:rPr>
      <w:b/>
      <w:bCs/>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adraj1">
    <w:name w:val="toc 1"/>
    <w:basedOn w:val="Normal"/>
    <w:uiPriority w:val="1"/>
    <w:qFormat/>
    <w:pPr>
      <w:spacing w:before="120"/>
      <w:ind w:left="616" w:hanging="481"/>
    </w:pPr>
    <w:rPr>
      <w:sz w:val="24"/>
      <w:szCs w:val="24"/>
    </w:rPr>
  </w:style>
  <w:style w:type="paragraph" w:styleId="Sadraj2">
    <w:name w:val="toc 2"/>
    <w:basedOn w:val="Normal"/>
    <w:uiPriority w:val="1"/>
    <w:qFormat/>
    <w:pPr>
      <w:spacing w:before="124"/>
      <w:ind w:left="563" w:hanging="190"/>
    </w:pPr>
    <w:rPr>
      <w:b/>
      <w:bCs/>
      <w:sz w:val="24"/>
      <w:szCs w:val="24"/>
    </w:rPr>
  </w:style>
  <w:style w:type="paragraph" w:styleId="Sadraj3">
    <w:name w:val="toc 3"/>
    <w:basedOn w:val="Normal"/>
    <w:uiPriority w:val="1"/>
    <w:qFormat/>
    <w:pPr>
      <w:spacing w:before="59"/>
      <w:ind w:left="618"/>
    </w:pPr>
  </w:style>
  <w:style w:type="paragraph" w:styleId="Tijeloteksta">
    <w:name w:val="Body Text"/>
    <w:basedOn w:val="Normal"/>
    <w:uiPriority w:val="1"/>
    <w:qFormat/>
    <w:pPr>
      <w:ind w:left="138"/>
      <w:jc w:val="both"/>
    </w:pPr>
    <w:rPr>
      <w:sz w:val="24"/>
      <w:szCs w:val="24"/>
    </w:rPr>
  </w:style>
  <w:style w:type="paragraph" w:styleId="Odlomakpopisa">
    <w:name w:val="List Paragraph"/>
    <w:basedOn w:val="Normal"/>
    <w:uiPriority w:val="1"/>
    <w:qFormat/>
    <w:pPr>
      <w:ind w:left="498"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hyperlink" Target="https://mingor.gov.hr/o-ministarstvu-1065/djelokrug/uprava-za-zastitu-prirode-1180/strane-i-invazivne-strane-vrste/projekt-razvijanje-sustava-upravljanja-i-kontrole-invazivnih-stranih-vrsta/5550" TargetMode="External"/><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hyperlink" Target="https://mingor.gov.hr/o-ministarstvu-1065/djelokrug/uprava-za-zastitu-prirode-1180/strane-i-invazivne-strane-vrste/projekt-razvijanje-sustava-upravljanja-i-kontrole-invazivnih-stranih-vrsta/5550" TargetMode="Externa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yperlink" Target="https://mingor.gov.hr/o-ministarstvu-1065/djelokrug/uprava-za-zastitu-prirode-1180/ekoloska-mreza-natura-2000/projekt-razvoj-okvira-za-upravljanje-ekoloskom-mrezom-natura-2000/5990"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hyperlink" Target="https://mmpi.gov.hr/" TargetMode="External"/><Relationship Id="rId5" Type="http://schemas.openxmlformats.org/officeDocument/2006/relationships/footnotes" Target="footnotes.xml"/><Relationship Id="rId15" Type="http://schemas.openxmlformats.org/officeDocument/2006/relationships/hyperlink" Target="https://mingor.gov.hr/o-ministarstvu-1065/djelokrug/uprava-za-zastitu-prirode-1180/ekoloska-mreza-natura-2000/projekt-razvoj-okvira-za-upravljanje-ekoloskom-mrezom-natura-2000/5990" TargetMode="External"/><Relationship Id="rId23" Type="http://schemas.openxmlformats.org/officeDocument/2006/relationships/hyperlink" Target="https://www.amcham.hr/webinar-na-temu-alata-za-javnu-nabavu-procurcompeu-e405" TargetMode="External"/><Relationship Id="rId28"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image" Target="media/image2.png"/><Relationship Id="rId3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haop.hr/hr/projekti" TargetMode="External"/><Relationship Id="rId22" Type="http://schemas.openxmlformats.org/officeDocument/2006/relationships/image" Target="media/image5.png"/><Relationship Id="rId27" Type="http://schemas.openxmlformats.org/officeDocument/2006/relationships/footer" Target="footer8.xml"/><Relationship Id="rId30"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6" ma:contentTypeDescription="Create a new document." ma:contentTypeScope="" ma:versionID="31dcd707ebbca97b32d53542fe6ce10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150583dcc260f5aef49e11bcffb8f30"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01B8A1-A98F-44A0-9845-71D575F7509B}"/>
</file>

<file path=customXml/itemProps2.xml><?xml version="1.0" encoding="utf-8"?>
<ds:datastoreItem xmlns:ds="http://schemas.openxmlformats.org/officeDocument/2006/customXml" ds:itemID="{2C0B1208-C0E3-4575-BAB2-1C6054E5B74B}"/>
</file>

<file path=docProps/app.xml><?xml version="1.0" encoding="utf-8"?>
<Properties xmlns="http://schemas.openxmlformats.org/officeDocument/2006/extended-properties" xmlns:vt="http://schemas.openxmlformats.org/officeDocument/2006/docPropsVTypes">
  <Template>Normal.dotm</Template>
  <TotalTime>1</TotalTime>
  <Pages>3</Pages>
  <Words>91561</Words>
  <Characters>521900</Characters>
  <Application>Microsoft Office Word</Application>
  <DocSecurity>0</DocSecurity>
  <Lines>4349</Lines>
  <Paragraphs>1224</Paragraphs>
  <ScaleCrop>false</ScaleCrop>
  <Company/>
  <LinksUpToDate>false</LinksUpToDate>
  <CharactersWithSpaces>612237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Marela Knežević</dc:creator>
  <cp:lastModifiedBy>Jelena Blagus</cp:lastModifiedBy>
  <cp:revision>2</cp:revision>
  <dcterms:created xsi:type="dcterms:W3CDTF">2024-05-02T12:05:00Z</dcterms:created>
  <dcterms:modified xsi:type="dcterms:W3CDTF">2024-05-02T12:05:00Z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2022-05-02T00:00:00Z</vt:filetime>
  </property>
  <property fmtid="{D5CDD505-2E9C-101B-9397-08002B2CF9AE}" pid="3" name="Creator">
    <vt:lpwstr>Microsoft® Word 2016</vt:lpwstr>
  </property>
  <property fmtid="{D5CDD505-2E9C-101B-9397-08002B2CF9AE}" pid="4" name="LastSaved">
    <vt:filetime>2024-05-02T00:00:00Z</vt:filetime>
  </property>
</Properties>
</file>